
<file path=[Content_Types].xml><?xml version="1.0" encoding="utf-8"?>
<Types xmlns="http://schemas.openxmlformats.org/package/2006/content-types">
  <Override PartName="/word/charts/chart10.xml" ContentType="application/vnd.openxmlformats-officedocument.drawingml.chart+xml"/>
  <Override PartName="/word/header18.xml" ContentType="application/vnd.openxmlformats-officedocument.wordprocessingml.header+xml"/>
  <Override PartName="/word/header29.xml" ContentType="application/vnd.openxmlformats-officedocument.wordprocessingml.header+xml"/>
  <Override PartName="/word/diagrams/quickStyle2.xml" ContentType="application/vnd.openxmlformats-officedocument.drawingml.diagramStyle+xml"/>
  <Override PartName="/customXml/itemProps1.xml" ContentType="application/vnd.openxmlformats-officedocument.customXmlProperties+xml"/>
  <Override PartName="/word/header36.xml" ContentType="application/vnd.openxmlformats-officedocument.wordprocessingml.header+xml"/>
  <Override PartName="/word/diagrams/colors1.xml" ContentType="application/vnd.openxmlformats-officedocument.drawingml.diagramColors+xml"/>
  <Override PartName="/word/footer7.xml" ContentType="application/vnd.openxmlformats-officedocument.wordprocessingml.footer+xml"/>
  <Override PartName="/word/theme/themeOverride1.xml" ContentType="application/vnd.openxmlformats-officedocument.themeOverride+xml"/>
  <Override PartName="/word/header14.xml" ContentType="application/vnd.openxmlformats-officedocument.wordprocessingml.header+xml"/>
  <Override PartName="/word/header25.xml" ContentType="application/vnd.openxmlformats-officedocument.wordprocessingml.header+xml"/>
  <Override PartName="/word/footer19.xml" ContentType="application/vnd.openxmlformats-officedocument.wordprocessingml.foot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charts/chart9.xml" ContentType="application/vnd.openxmlformats-officedocument.drawingml.chart+xml"/>
  <Override PartName="/word/charts/chart19.xml" ContentType="application/vnd.openxmlformats-officedocument.drawingml.chart+xml"/>
  <Override PartName="/word/header21.xml" ContentType="application/vnd.openxmlformats-officedocument.wordprocessingml.header+xml"/>
  <Override PartName="/word/header32.xml" ContentType="application/vnd.openxmlformats-officedocument.wordprocessingml.header+xml"/>
  <Override PartName="/word/stylesWithEffects.xml" ContentType="application/vnd.ms-word.stylesWithEffects+xml"/>
  <Override PartName="/word/footer3.xml" ContentType="application/vnd.openxmlformats-officedocument.wordprocessingml.footer+xml"/>
  <Override PartName="/word/charts/chart26.xml" ContentType="application/vnd.openxmlformats-officedocument.drawingml.chart+xml"/>
  <Override PartName="/word/header10.xml" ContentType="application/vnd.openxmlformats-officedocument.wordprocessingml.header+xml"/>
  <Override PartName="/word/charts/chart37.xml" ContentType="application/vnd.openxmlformats-officedocument.drawingml.chart+xml"/>
  <Override PartName="/word/footer15.xml" ContentType="application/vnd.openxmlformats-officedocument.wordprocessingml.footer+xml"/>
  <Override PartName="/word/diagrams/drawing2.xml" ContentType="application/vnd.ms-office.drawingml.diagramDrawing+xml"/>
  <Override PartName="/word/charts/chart5.xml" ContentType="application/vnd.openxmlformats-officedocument.drawingml.chart+xml"/>
  <Override PartName="/word/header4.xml" ContentType="application/vnd.openxmlformats-officedocument.wordprocessingml.header+xml"/>
  <Override PartName="/word/charts/chart15.xml" ContentType="application/vnd.openxmlformats-officedocument.drawingml.chart+xml"/>
  <Override PartName="/word/footer11.xml" ContentType="application/vnd.openxmlformats-officedocument.wordprocessingml.footer+xml"/>
  <Override PartName="/word/header2.xml" ContentType="application/vnd.openxmlformats-officedocument.wordprocessingml.header+xml"/>
  <Override PartName="/word/charts/chart3.xml" ContentType="application/vnd.openxmlformats-officedocument.drawingml.chart+xml"/>
  <Override PartName="/word/charts/chart13.xml" ContentType="application/vnd.openxmlformats-officedocument.drawingml.chart+xml"/>
  <Override PartName="/word/charts/chart22.xml" ContentType="application/vnd.openxmlformats-officedocument.drawingml.chart+xml"/>
  <Default Extension="xlsx" ContentType="application/vnd.openxmlformats-officedocument.spreadsheetml.sheet"/>
  <Override PartName="/word/charts/chart31.xml" ContentType="application/vnd.openxmlformats-officedocument.drawingml.chart+xml"/>
  <Override PartName="/word/charts/chart33.xml" ContentType="application/vnd.openxmlformats-officedocument.drawingml.chart+xml"/>
  <Override PartName="/word/charts/chart1.xml" ContentType="application/vnd.openxmlformats-officedocument.drawingml.chart+xml"/>
  <Override PartName="/word/diagrams/layout1.xml" ContentType="application/vnd.openxmlformats-officedocument.drawingml.diagramLayout+xml"/>
  <Override PartName="/word/charts/chart11.xml" ContentType="application/vnd.openxmlformats-officedocument.drawingml.chart+xml"/>
  <Override PartName="/word/charts/chart20.xml" ContentType="application/vnd.openxmlformats-officedocument.drawingml.chart+xml"/>
  <Override PartName="/word/charts/chart40.xml" ContentType="application/vnd.openxmlformats-officedocument.drawingml.chart+xml"/>
  <Override PartName="/customXml/itemProps2.xml" ContentType="application/vnd.openxmlformats-officedocument.customXmlProperties+xml"/>
  <Default Extension="png" ContentType="image/png"/>
  <Override PartName="/word/diagrams/quickStyle1.xml" ContentType="application/vnd.openxmlformats-officedocument.drawingml.diagramStyle+xml"/>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diagrams/data2.xml" ContentType="application/vnd.openxmlformats-officedocument.drawingml.diagramData+xml"/>
  <Override PartName="/word/diagrams/colors2.xml" ContentType="application/vnd.openxmlformats-officedocument.drawingml.diagramColors+xml"/>
  <Override PartName="/word/header35.xml" ContentType="application/vnd.openxmlformats-officedocument.wordprocessingml.header+xml"/>
  <Default Extension="jpeg" ContentType="image/jpeg"/>
  <Default Extension="emf" ContentType="image/x-emf"/>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Override PartName="/word/footer1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charts/chart8.xml" ContentType="application/vnd.openxmlformats-officedocument.drawingml.chart+xml"/>
  <Override PartName="/word/header9.xml" ContentType="application/vnd.openxmlformats-officedocument.wordprocessingml.header+xml"/>
  <Override PartName="/word/header13.xml" ContentType="application/vnd.openxmlformats-officedocument.wordprocessingml.header+xml"/>
  <Override PartName="/word/charts/chart29.xml" ContentType="application/vnd.openxmlformats-officedocument.drawingml.chart+xml"/>
  <Override PartName="/word/charts/chart38.xml" ContentType="application/vnd.openxmlformats-officedocument.drawingml.chart+xml"/>
  <Override PartName="/word/header22.xml" ContentType="application/vnd.openxmlformats-officedocument.wordprocessingml.header+xml"/>
  <Override PartName="/word/header31.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diagrams/drawing1.xml" ContentType="application/vnd.ms-office.drawingml.diagramDrawing+xml"/>
  <Override PartName="/word/header7.xml" ContentType="application/vnd.openxmlformats-officedocument.wordprocessingml.header+xml"/>
  <Override PartName="/word/drawings/drawing1.xml" ContentType="application/vnd.openxmlformats-officedocument.drawingml.chartshapes+xml"/>
  <Override PartName="/word/charts/chart18.xml" ContentType="application/vnd.openxmlformats-officedocument.drawingml.chart+xml"/>
  <Override PartName="/word/header11.xml" ContentType="application/vnd.openxmlformats-officedocument.wordprocessingml.header+xml"/>
  <Override PartName="/word/charts/chart27.xml" ContentType="application/vnd.openxmlformats-officedocument.drawingml.chart+xml"/>
  <Override PartName="/word/charts/chart36.xml" ContentType="application/vnd.openxmlformats-officedocument.drawingml.chart+xml"/>
  <Override PartName="/word/header20.xml" ContentType="application/vnd.openxmlformats-officedocument.wordprocessingml.header+xml"/>
  <Override PartName="/word/footer14.xml" ContentType="application/vnd.openxmlformats-officedocument.wordprocessingml.footer+xml"/>
  <Override PartName="/word/charts/chart4.xml" ContentType="application/vnd.openxmlformats-officedocument.drawingml.chart+xml"/>
  <Override PartName="/word/header5.xml" ContentType="application/vnd.openxmlformats-officedocument.wordprocessingml.header+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footer12.xml" ContentType="application/vnd.openxmlformats-officedocument.wordprocessingml.footer+xml"/>
  <Default Extension="gif" ContentType="image/gif"/>
  <Override PartName="/word/theme/theme1.xml" ContentType="application/vnd.openxmlformats-officedocument.theme+xml"/>
  <Override PartName="/word/header3.xml" ContentType="application/vnd.openxmlformats-officedocument.wordprocessingml.header+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footer10.xml" ContentType="application/vnd.openxmlformats-officedocument.wordprocessingml.footer+xml"/>
  <Override PartName="/word/charts/chart41.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2.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diagrams/layout2.xml" ContentType="application/vnd.openxmlformats-officedocument.drawingml.diagramLayout+xml"/>
  <Override PartName="/docProps/core.xml" ContentType="application/vnd.openxmlformats-package.core-properties+xml"/>
  <Override PartName="/word/footnotes.xml" ContentType="application/vnd.openxmlformats-officedocument.wordprocessingml.footnotes+xml"/>
  <Override PartName="/word/diagrams/data1.xml" ContentType="application/vnd.openxmlformats-officedocument.drawingml.diagramData+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Default Extension="wmf" ContentType="image/x-wmf"/>
  <Override PartName="/word/header34.xml" ContentType="application/vnd.openxmlformats-officedocument.wordprocessingml.header+xml"/>
  <Default Extension="rels" ContentType="application/vnd.openxmlformats-package.relationships+xml"/>
  <Override PartName="/word/footer5.xml" ContentType="application/vnd.openxmlformats-officedocument.wordprocessingml.footer+xml"/>
  <Override PartName="/word/header12.xml" ContentType="application/vnd.openxmlformats-officedocument.wordprocessingml.header+xml"/>
  <Override PartName="/word/charts/chart28.xml" ContentType="application/vnd.openxmlformats-officedocument.drawingml.chart+xml"/>
  <Override PartName="/word/header23.xml" ContentType="application/vnd.openxmlformats-officedocument.wordprocessingml.header+xml"/>
  <Override PartName="/word/charts/chart39.xml" ContentType="application/vnd.openxmlformats-officedocument.drawingml.chart+xml"/>
  <Override PartName="/word/footer17.xml" ContentType="application/vnd.openxmlformats-officedocument.wordprocessingml.footer+xml"/>
  <Override PartName="/word/charts/chart7.xml" ContentType="application/vnd.openxmlformats-officedocument.drawingml.chart+xml"/>
  <Override PartName="/word/header6.xml" ContentType="application/vnd.openxmlformats-officedocument.wordprocessingml.header+xml"/>
  <Override PartName="/word/charts/chart17.xml" ContentType="application/vnd.openxmlformats-officedocument.drawingml.chart+xml"/>
  <Override PartName="/word/footer13.xml" ContentType="application/vnd.openxmlformats-officedocument.wordprocessingml.footer+xml"/>
  <Override PartName="/word/header30.xml" ContentType="application/vnd.openxmlformats-officedocument.wordprocessingml.header+xml"/>
  <Override PartName="/word/footer1.xml" ContentType="application/vnd.openxmlformats-officedocument.wordprocessingml.footer+xml"/>
  <Override PartName="/word/charts/chart24.xml" ContentType="application/vnd.openxmlformats-officedocument.drawingml.chart+xml"/>
  <Override PartName="/word/charts/chart35.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2871" w:rsidRDefault="007C2871" w:rsidP="007C2871">
      <w:pPr>
        <w:spacing w:after="0" w:line="288" w:lineRule="auto"/>
        <w:jc w:val="center"/>
        <w:rPr>
          <w:rFonts w:ascii="Constantia" w:hAnsi="Constantia"/>
          <w:b/>
          <w:sz w:val="48"/>
          <w:szCs w:val="48"/>
        </w:rPr>
      </w:pPr>
      <w:bookmarkStart w:id="0" w:name="_Toc430010833"/>
    </w:p>
    <w:p w:rsidR="007C2871" w:rsidRDefault="007C2871" w:rsidP="007C2871">
      <w:pPr>
        <w:spacing w:after="0" w:line="288" w:lineRule="auto"/>
        <w:jc w:val="center"/>
        <w:rPr>
          <w:rFonts w:ascii="Constantia" w:hAnsi="Constantia"/>
          <w:b/>
          <w:sz w:val="48"/>
          <w:szCs w:val="48"/>
        </w:rPr>
      </w:pPr>
    </w:p>
    <w:p w:rsidR="007C2871" w:rsidRDefault="007C2871" w:rsidP="007C2871">
      <w:pPr>
        <w:spacing w:after="0" w:line="288" w:lineRule="auto"/>
        <w:jc w:val="center"/>
        <w:rPr>
          <w:rFonts w:ascii="Constantia" w:hAnsi="Constantia"/>
          <w:b/>
          <w:sz w:val="48"/>
          <w:szCs w:val="48"/>
        </w:rPr>
      </w:pPr>
    </w:p>
    <w:p w:rsidR="007C2871" w:rsidRPr="007C2871" w:rsidRDefault="007C2871" w:rsidP="007C2871">
      <w:pPr>
        <w:spacing w:after="0" w:line="288" w:lineRule="auto"/>
        <w:jc w:val="center"/>
        <w:rPr>
          <w:rFonts w:ascii="Constantia" w:hAnsi="Constantia"/>
          <w:b/>
          <w:sz w:val="48"/>
          <w:szCs w:val="48"/>
        </w:rPr>
      </w:pPr>
      <w:r w:rsidRPr="007C2871">
        <w:rPr>
          <w:rFonts w:ascii="Constantia" w:hAnsi="Constantia"/>
          <w:b/>
          <w:sz w:val="48"/>
          <w:szCs w:val="48"/>
        </w:rPr>
        <w:t>Bangladesh Delta Plan 2100</w:t>
      </w:r>
    </w:p>
    <w:p w:rsidR="007C2871" w:rsidRPr="007C2871" w:rsidRDefault="007C2871" w:rsidP="007C2871">
      <w:pPr>
        <w:spacing w:after="0" w:line="288" w:lineRule="auto"/>
        <w:jc w:val="center"/>
        <w:rPr>
          <w:rFonts w:ascii="Constantia" w:hAnsi="Constantia"/>
          <w:b/>
          <w:sz w:val="48"/>
          <w:szCs w:val="48"/>
        </w:rPr>
      </w:pPr>
      <w:r w:rsidRPr="007C2871">
        <w:rPr>
          <w:rFonts w:ascii="Constantia" w:hAnsi="Constantia"/>
          <w:b/>
          <w:sz w:val="48"/>
          <w:szCs w:val="48"/>
        </w:rPr>
        <w:t>(Draft</w:t>
      </w:r>
      <w:r w:rsidR="00E400BA">
        <w:rPr>
          <w:rFonts w:ascii="Constantia" w:hAnsi="Constantia"/>
          <w:b/>
          <w:sz w:val="48"/>
          <w:szCs w:val="48"/>
        </w:rPr>
        <w:t>: Not to be Quoted</w:t>
      </w:r>
      <w:r w:rsidRPr="007C2871">
        <w:rPr>
          <w:rFonts w:ascii="Constantia" w:hAnsi="Constantia"/>
          <w:b/>
          <w:sz w:val="48"/>
          <w:szCs w:val="48"/>
        </w:rPr>
        <w:t>)</w:t>
      </w:r>
    </w:p>
    <w:sdt>
      <w:sdtPr>
        <w:id w:val="-2029866484"/>
        <w:docPartObj>
          <w:docPartGallery w:val="Cover Pages"/>
          <w:docPartUnique/>
        </w:docPartObj>
      </w:sdtPr>
      <w:sdtEndPr>
        <w:rPr>
          <w:b/>
          <w:bCs/>
          <w:highlight w:val="yellow"/>
        </w:rPr>
      </w:sdtEndPr>
      <w:sdtContent>
        <w:p w:rsidR="004046C5" w:rsidRDefault="004046C5"/>
        <w:p w:rsidR="007C2871" w:rsidRDefault="007C2871"/>
        <w:p w:rsidR="007C2871" w:rsidRDefault="007C2871"/>
        <w:p w:rsidR="007C2871" w:rsidRDefault="007C2871"/>
        <w:p w:rsidR="007C2871" w:rsidRDefault="007C2871"/>
        <w:p w:rsidR="007C2871" w:rsidRDefault="007C2871"/>
        <w:p w:rsidR="007C2871" w:rsidRDefault="007C2871"/>
        <w:p w:rsidR="007C2871" w:rsidRPr="007C2871" w:rsidRDefault="007C2871" w:rsidP="007C2871">
          <w:pPr>
            <w:pStyle w:val="NoSpacing"/>
            <w:tabs>
              <w:tab w:val="left" w:pos="2775"/>
            </w:tabs>
            <w:spacing w:after="0" w:line="264" w:lineRule="auto"/>
            <w:jc w:val="center"/>
            <w:rPr>
              <w:rFonts w:ascii="Constantia" w:hAnsi="Constantia"/>
              <w:b/>
              <w:color w:val="002060"/>
              <w:sz w:val="28"/>
              <w:szCs w:val="28"/>
            </w:rPr>
          </w:pPr>
          <w:r w:rsidRPr="007C2871">
            <w:rPr>
              <w:rFonts w:ascii="Constantia" w:hAnsi="Constantia"/>
              <w:b/>
              <w:color w:val="002060"/>
              <w:sz w:val="28"/>
              <w:szCs w:val="28"/>
            </w:rPr>
            <w:t>Government of the People’s Re</w:t>
          </w:r>
          <w:r w:rsidR="006B79BB">
            <w:rPr>
              <w:rFonts w:ascii="Constantia" w:hAnsi="Constantia"/>
              <w:b/>
              <w:color w:val="002060"/>
              <w:sz w:val="28"/>
              <w:szCs w:val="28"/>
            </w:rPr>
            <w:t>public</w:t>
          </w:r>
          <w:r w:rsidRPr="007C2871">
            <w:rPr>
              <w:rFonts w:ascii="Constantia" w:hAnsi="Constantia"/>
              <w:b/>
              <w:color w:val="002060"/>
              <w:sz w:val="28"/>
              <w:szCs w:val="28"/>
            </w:rPr>
            <w:t xml:space="preserve"> of Bangladesh</w:t>
          </w:r>
        </w:p>
        <w:p w:rsidR="007C2871" w:rsidRPr="007C2871" w:rsidRDefault="007C2871" w:rsidP="007C2871">
          <w:pPr>
            <w:pStyle w:val="NoSpacing"/>
            <w:tabs>
              <w:tab w:val="left" w:pos="2775"/>
            </w:tabs>
            <w:spacing w:after="0" w:line="264" w:lineRule="auto"/>
            <w:jc w:val="center"/>
            <w:rPr>
              <w:rFonts w:ascii="Constantia" w:hAnsi="Constantia"/>
              <w:b/>
              <w:color w:val="002060"/>
              <w:sz w:val="28"/>
              <w:szCs w:val="28"/>
            </w:rPr>
          </w:pPr>
          <w:r w:rsidRPr="007C2871">
            <w:rPr>
              <w:rFonts w:ascii="Constantia" w:hAnsi="Constantia"/>
              <w:b/>
              <w:color w:val="002060"/>
              <w:sz w:val="28"/>
              <w:szCs w:val="28"/>
            </w:rPr>
            <w:t>Ban</w:t>
          </w:r>
          <w:r w:rsidR="00E400BA">
            <w:rPr>
              <w:rFonts w:ascii="Constantia" w:hAnsi="Constantia"/>
              <w:b/>
              <w:color w:val="002060"/>
              <w:sz w:val="28"/>
              <w:szCs w:val="28"/>
            </w:rPr>
            <w:t>g</w:t>
          </w:r>
          <w:r w:rsidRPr="007C2871">
            <w:rPr>
              <w:rFonts w:ascii="Constantia" w:hAnsi="Constantia"/>
              <w:b/>
              <w:color w:val="002060"/>
              <w:sz w:val="28"/>
              <w:szCs w:val="28"/>
            </w:rPr>
            <w:t>ladesh Planning Commission</w:t>
          </w:r>
        </w:p>
        <w:p w:rsidR="007C2871" w:rsidRPr="007C2871" w:rsidRDefault="007C2871" w:rsidP="007C2871">
          <w:pPr>
            <w:pStyle w:val="NoSpacing"/>
            <w:spacing w:after="0" w:line="264" w:lineRule="auto"/>
            <w:jc w:val="center"/>
            <w:rPr>
              <w:rFonts w:ascii="Constantia" w:hAnsi="Constantia"/>
              <w:b/>
              <w:color w:val="002060"/>
              <w:sz w:val="28"/>
              <w:szCs w:val="28"/>
            </w:rPr>
          </w:pPr>
          <w:r w:rsidRPr="007C2871">
            <w:rPr>
              <w:rFonts w:ascii="Constantia" w:hAnsi="Constantia"/>
              <w:b/>
              <w:color w:val="002060"/>
              <w:sz w:val="28"/>
              <w:szCs w:val="28"/>
            </w:rPr>
            <w:t>General Economics Division</w:t>
          </w:r>
        </w:p>
        <w:p w:rsidR="007C2871" w:rsidRPr="007C2871" w:rsidRDefault="007C2871" w:rsidP="007C2871">
          <w:pPr>
            <w:pStyle w:val="NoSpacing"/>
            <w:spacing w:after="0" w:line="264" w:lineRule="auto"/>
            <w:jc w:val="center"/>
            <w:rPr>
              <w:b/>
              <w:bCs/>
              <w:sz w:val="28"/>
              <w:szCs w:val="28"/>
              <w:highlight w:val="yellow"/>
            </w:rPr>
          </w:pPr>
        </w:p>
        <w:p w:rsidR="007C2871" w:rsidRDefault="007C2871" w:rsidP="007C2871">
          <w:pPr>
            <w:jc w:val="center"/>
            <w:rPr>
              <w:sz w:val="28"/>
              <w:szCs w:val="28"/>
              <w:highlight w:val="yellow"/>
            </w:rPr>
          </w:pPr>
        </w:p>
        <w:p w:rsidR="007C2871" w:rsidRDefault="007C2871" w:rsidP="007C2871">
          <w:pPr>
            <w:jc w:val="center"/>
            <w:rPr>
              <w:sz w:val="28"/>
              <w:szCs w:val="28"/>
              <w:highlight w:val="yellow"/>
            </w:rPr>
          </w:pPr>
        </w:p>
        <w:p w:rsidR="007C2871" w:rsidRDefault="007C2871" w:rsidP="007C2871">
          <w:pPr>
            <w:jc w:val="center"/>
            <w:rPr>
              <w:sz w:val="28"/>
              <w:szCs w:val="28"/>
              <w:highlight w:val="yellow"/>
            </w:rPr>
          </w:pPr>
        </w:p>
        <w:p w:rsidR="007C2871" w:rsidRDefault="007C2871" w:rsidP="007C2871">
          <w:pPr>
            <w:jc w:val="center"/>
            <w:rPr>
              <w:sz w:val="28"/>
              <w:szCs w:val="28"/>
              <w:highlight w:val="yellow"/>
            </w:rPr>
          </w:pPr>
        </w:p>
        <w:p w:rsidR="007C2871" w:rsidRDefault="007C2871" w:rsidP="007C2871">
          <w:pPr>
            <w:jc w:val="center"/>
            <w:rPr>
              <w:sz w:val="28"/>
              <w:szCs w:val="28"/>
              <w:highlight w:val="yellow"/>
            </w:rPr>
          </w:pPr>
        </w:p>
        <w:p w:rsidR="007C2871" w:rsidRDefault="007C2871" w:rsidP="007C2871">
          <w:pPr>
            <w:jc w:val="center"/>
            <w:rPr>
              <w:sz w:val="28"/>
              <w:szCs w:val="28"/>
              <w:highlight w:val="yellow"/>
            </w:rPr>
          </w:pPr>
        </w:p>
        <w:p w:rsidR="007C2871" w:rsidRPr="007C2871" w:rsidRDefault="007C2871" w:rsidP="007C2871">
          <w:pPr>
            <w:jc w:val="center"/>
            <w:rPr>
              <w:sz w:val="28"/>
              <w:szCs w:val="28"/>
              <w:highlight w:val="yellow"/>
            </w:rPr>
          </w:pPr>
        </w:p>
        <w:p w:rsidR="004046C5" w:rsidRDefault="001A12B2">
          <w:pPr>
            <w:rPr>
              <w:highlight w:val="yellow"/>
            </w:rPr>
          </w:pPr>
        </w:p>
      </w:sdtContent>
    </w:sdt>
    <w:sdt>
      <w:sdtPr>
        <w:rPr>
          <w:b w:val="0"/>
          <w:bCs w:val="0"/>
          <w:i w:val="0"/>
          <w:iCs w:val="0"/>
          <w:vanish/>
          <w:color w:val="auto"/>
          <w:szCs w:val="22"/>
          <w:highlight w:val="yellow"/>
          <w:lang w:val="en-US"/>
        </w:rPr>
        <w:id w:val="-607350795"/>
        <w:docPartObj>
          <w:docPartGallery w:val="Table of Contents"/>
          <w:docPartUnique/>
        </w:docPartObj>
      </w:sdtPr>
      <w:sdtEndPr>
        <w:rPr>
          <w:noProof/>
        </w:rPr>
      </w:sdtEndPr>
      <w:sdtContent>
        <w:p w:rsidR="00396C71" w:rsidRPr="00DC0AF7" w:rsidRDefault="00396C71" w:rsidP="00DC0AF7">
          <w:pPr>
            <w:pStyle w:val="IntenseQuote"/>
            <w:spacing w:after="480"/>
            <w:jc w:val="center"/>
            <w:rPr>
              <w:sz w:val="32"/>
            </w:rPr>
          </w:pPr>
          <w:r w:rsidRPr="00DC0AF7">
            <w:rPr>
              <w:sz w:val="32"/>
            </w:rPr>
            <w:t>Table of Contents</w:t>
          </w:r>
        </w:p>
        <w:p w:rsidR="00E76515" w:rsidRDefault="001A12B2">
          <w:pPr>
            <w:pStyle w:val="TOC1"/>
            <w:rPr>
              <w:rFonts w:asciiTheme="minorHAnsi" w:eastAsiaTheme="minorEastAsia" w:hAnsiTheme="minorHAnsi" w:cstheme="minorBidi"/>
              <w:b w:val="0"/>
              <w:sz w:val="22"/>
              <w:szCs w:val="22"/>
            </w:rPr>
          </w:pPr>
          <w:r w:rsidRPr="001A12B2">
            <w:fldChar w:fldCharType="begin"/>
          </w:r>
          <w:r w:rsidR="00B01045">
            <w:instrText xml:space="preserve"> TOC \h \z \t "Heading 1,1,Heading 2,2,Heading 3,3,Title,1" </w:instrText>
          </w:r>
          <w:r w:rsidRPr="001A12B2">
            <w:fldChar w:fldCharType="separate"/>
          </w:r>
          <w:hyperlink w:anchor="_Toc474638824" w:history="1">
            <w:r w:rsidR="00E76515" w:rsidRPr="004E3B7B">
              <w:rPr>
                <w:rStyle w:val="Hyperlink"/>
              </w:rPr>
              <w:t>List of Tables</w:t>
            </w:r>
            <w:r w:rsidR="00E76515">
              <w:rPr>
                <w:webHidden/>
              </w:rPr>
              <w:tab/>
            </w:r>
            <w:r>
              <w:rPr>
                <w:webHidden/>
              </w:rPr>
              <w:fldChar w:fldCharType="begin"/>
            </w:r>
            <w:r w:rsidR="00E76515">
              <w:rPr>
                <w:webHidden/>
              </w:rPr>
              <w:instrText xml:space="preserve"> PAGEREF _Toc474638824 \h </w:instrText>
            </w:r>
            <w:r>
              <w:rPr>
                <w:webHidden/>
              </w:rPr>
            </w:r>
            <w:r>
              <w:rPr>
                <w:webHidden/>
              </w:rPr>
              <w:fldChar w:fldCharType="separate"/>
            </w:r>
            <w:r w:rsidR="00AF29C3">
              <w:rPr>
                <w:webHidden/>
              </w:rPr>
              <w:t>iv</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25" w:history="1">
            <w:r w:rsidR="00E76515" w:rsidRPr="004E3B7B">
              <w:rPr>
                <w:rStyle w:val="Hyperlink"/>
              </w:rPr>
              <w:t>List of Figures</w:t>
            </w:r>
            <w:r w:rsidR="00E76515">
              <w:rPr>
                <w:webHidden/>
              </w:rPr>
              <w:tab/>
            </w:r>
            <w:r>
              <w:rPr>
                <w:webHidden/>
              </w:rPr>
              <w:fldChar w:fldCharType="begin"/>
            </w:r>
            <w:r w:rsidR="00E76515">
              <w:rPr>
                <w:webHidden/>
              </w:rPr>
              <w:instrText xml:space="preserve"> PAGEREF _Toc474638825 \h </w:instrText>
            </w:r>
            <w:r>
              <w:rPr>
                <w:webHidden/>
              </w:rPr>
            </w:r>
            <w:r>
              <w:rPr>
                <w:webHidden/>
              </w:rPr>
              <w:fldChar w:fldCharType="separate"/>
            </w:r>
            <w:r w:rsidR="00AF29C3">
              <w:rPr>
                <w:webHidden/>
              </w:rPr>
              <w:t>viii</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26" w:history="1">
            <w:r w:rsidR="00E76515" w:rsidRPr="004E3B7B">
              <w:rPr>
                <w:rStyle w:val="Hyperlink"/>
              </w:rPr>
              <w:t>List of Maps</w:t>
            </w:r>
            <w:r w:rsidR="00E76515">
              <w:rPr>
                <w:webHidden/>
              </w:rPr>
              <w:tab/>
            </w:r>
            <w:r>
              <w:rPr>
                <w:webHidden/>
              </w:rPr>
              <w:fldChar w:fldCharType="begin"/>
            </w:r>
            <w:r w:rsidR="00E76515">
              <w:rPr>
                <w:webHidden/>
              </w:rPr>
              <w:instrText xml:space="preserve"> PAGEREF _Toc474638826 \h </w:instrText>
            </w:r>
            <w:r>
              <w:rPr>
                <w:webHidden/>
              </w:rPr>
            </w:r>
            <w:r>
              <w:rPr>
                <w:webHidden/>
              </w:rPr>
              <w:fldChar w:fldCharType="separate"/>
            </w:r>
            <w:r w:rsidR="00AF29C3">
              <w:rPr>
                <w:webHidden/>
              </w:rPr>
              <w:t>x</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27" w:history="1">
            <w:r w:rsidR="00E76515" w:rsidRPr="004E3B7B">
              <w:rPr>
                <w:rStyle w:val="Hyperlink"/>
              </w:rPr>
              <w:t>List of Boxes</w:t>
            </w:r>
            <w:r w:rsidR="00E76515">
              <w:rPr>
                <w:webHidden/>
              </w:rPr>
              <w:tab/>
            </w:r>
            <w:r>
              <w:rPr>
                <w:webHidden/>
              </w:rPr>
              <w:fldChar w:fldCharType="begin"/>
            </w:r>
            <w:r w:rsidR="00E76515">
              <w:rPr>
                <w:webHidden/>
              </w:rPr>
              <w:instrText xml:space="preserve"> PAGEREF _Toc474638827 \h </w:instrText>
            </w:r>
            <w:r>
              <w:rPr>
                <w:webHidden/>
              </w:rPr>
            </w:r>
            <w:r>
              <w:rPr>
                <w:webHidden/>
              </w:rPr>
              <w:fldChar w:fldCharType="separate"/>
            </w:r>
            <w:r w:rsidR="00AF29C3">
              <w:rPr>
                <w:webHidden/>
              </w:rPr>
              <w:t>xi</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28" w:history="1">
            <w:r w:rsidR="00E76515" w:rsidRPr="004E3B7B">
              <w:rPr>
                <w:rStyle w:val="Hyperlink"/>
              </w:rPr>
              <w:t>List of Annex Tables</w:t>
            </w:r>
            <w:r w:rsidR="00E76515">
              <w:rPr>
                <w:webHidden/>
              </w:rPr>
              <w:tab/>
            </w:r>
            <w:r>
              <w:rPr>
                <w:webHidden/>
              </w:rPr>
              <w:fldChar w:fldCharType="begin"/>
            </w:r>
            <w:r w:rsidR="00E76515">
              <w:rPr>
                <w:webHidden/>
              </w:rPr>
              <w:instrText xml:space="preserve"> PAGEREF _Toc474638828 \h </w:instrText>
            </w:r>
            <w:r>
              <w:rPr>
                <w:webHidden/>
              </w:rPr>
            </w:r>
            <w:r>
              <w:rPr>
                <w:webHidden/>
              </w:rPr>
              <w:fldChar w:fldCharType="separate"/>
            </w:r>
            <w:r w:rsidR="00AF29C3">
              <w:rPr>
                <w:webHidden/>
              </w:rPr>
              <w:t>xi</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29" w:history="1">
            <w:r w:rsidR="00E76515" w:rsidRPr="004E3B7B">
              <w:rPr>
                <w:rStyle w:val="Hyperlink"/>
              </w:rPr>
              <w:t>Abbreviations</w:t>
            </w:r>
            <w:r w:rsidR="00E76515">
              <w:rPr>
                <w:webHidden/>
              </w:rPr>
              <w:tab/>
            </w:r>
            <w:r>
              <w:rPr>
                <w:webHidden/>
              </w:rPr>
              <w:fldChar w:fldCharType="begin"/>
            </w:r>
            <w:r w:rsidR="00E76515">
              <w:rPr>
                <w:webHidden/>
              </w:rPr>
              <w:instrText xml:space="preserve"> PAGEREF _Toc474638829 \h </w:instrText>
            </w:r>
            <w:r>
              <w:rPr>
                <w:webHidden/>
              </w:rPr>
            </w:r>
            <w:r>
              <w:rPr>
                <w:webHidden/>
              </w:rPr>
              <w:fldChar w:fldCharType="separate"/>
            </w:r>
            <w:r w:rsidR="00AF29C3">
              <w:rPr>
                <w:webHidden/>
              </w:rPr>
              <w:t>xiii</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30" w:history="1">
            <w:r w:rsidR="00E76515" w:rsidRPr="004E3B7B">
              <w:rPr>
                <w:rStyle w:val="Hyperlink"/>
              </w:rPr>
              <w:t>Executive Summary</w:t>
            </w:r>
            <w:r w:rsidR="00E76515">
              <w:rPr>
                <w:webHidden/>
              </w:rPr>
              <w:tab/>
            </w:r>
            <w:r>
              <w:rPr>
                <w:webHidden/>
              </w:rPr>
              <w:fldChar w:fldCharType="begin"/>
            </w:r>
            <w:r w:rsidR="00E76515">
              <w:rPr>
                <w:webHidden/>
              </w:rPr>
              <w:instrText xml:space="preserve"> PAGEREF _Toc474638830 \h </w:instrText>
            </w:r>
            <w:r>
              <w:rPr>
                <w:webHidden/>
              </w:rPr>
            </w:r>
            <w:r>
              <w:rPr>
                <w:webHidden/>
              </w:rPr>
              <w:fldChar w:fldCharType="separate"/>
            </w:r>
            <w:r w:rsidR="00AF29C3">
              <w:rPr>
                <w:webHidden/>
              </w:rPr>
              <w:t>xxii</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31" w:history="1">
            <w:r w:rsidR="00E76515" w:rsidRPr="004E3B7B">
              <w:rPr>
                <w:rStyle w:val="Hyperlink"/>
              </w:rPr>
              <w:t>Summary of Main Findings of BDP2100</w:t>
            </w:r>
            <w:r w:rsidR="00E76515">
              <w:rPr>
                <w:webHidden/>
              </w:rPr>
              <w:tab/>
            </w:r>
            <w:r>
              <w:rPr>
                <w:webHidden/>
              </w:rPr>
              <w:fldChar w:fldCharType="begin"/>
            </w:r>
            <w:r w:rsidR="00E76515">
              <w:rPr>
                <w:webHidden/>
              </w:rPr>
              <w:instrText xml:space="preserve"> PAGEREF _Toc474638831 \h </w:instrText>
            </w:r>
            <w:r>
              <w:rPr>
                <w:webHidden/>
              </w:rPr>
            </w:r>
            <w:r>
              <w:rPr>
                <w:webHidden/>
              </w:rPr>
              <w:fldChar w:fldCharType="separate"/>
            </w:r>
            <w:r w:rsidR="00AF29C3">
              <w:rPr>
                <w:webHidden/>
              </w:rPr>
              <w:t>xxxv</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32" w:history="1">
            <w:r w:rsidR="00E76515" w:rsidRPr="004E3B7B">
              <w:rPr>
                <w:rStyle w:val="Hyperlink"/>
              </w:rPr>
              <w:t>CHAPTER 1</w:t>
            </w:r>
            <w:r w:rsidR="00E76515">
              <w:rPr>
                <w:webHidden/>
              </w:rPr>
              <w:tab/>
            </w:r>
            <w:r>
              <w:rPr>
                <w:webHidden/>
              </w:rPr>
              <w:fldChar w:fldCharType="begin"/>
            </w:r>
            <w:r w:rsidR="00E76515">
              <w:rPr>
                <w:webHidden/>
              </w:rPr>
              <w:instrText xml:space="preserve"> PAGEREF _Toc474638832 \h </w:instrText>
            </w:r>
            <w:r>
              <w:rPr>
                <w:webHidden/>
              </w:rPr>
            </w:r>
            <w:r>
              <w:rPr>
                <w:webHidden/>
              </w:rPr>
              <w:fldChar w:fldCharType="separate"/>
            </w:r>
            <w:r w:rsidR="00AF29C3">
              <w:rPr>
                <w:webHidden/>
              </w:rPr>
              <w:t>1</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33" w:history="1">
            <w:r w:rsidR="00E76515" w:rsidRPr="004E3B7B">
              <w:rPr>
                <w:rStyle w:val="Hyperlink"/>
              </w:rPr>
              <w:t>Opportunities and Challenges of the Bangladesh Delta</w:t>
            </w:r>
            <w:r w:rsidR="00E76515">
              <w:rPr>
                <w:webHidden/>
              </w:rPr>
              <w:tab/>
            </w:r>
            <w:r>
              <w:rPr>
                <w:webHidden/>
              </w:rPr>
              <w:fldChar w:fldCharType="begin"/>
            </w:r>
            <w:r w:rsidR="00E76515">
              <w:rPr>
                <w:webHidden/>
              </w:rPr>
              <w:instrText xml:space="preserve"> PAGEREF _Toc474638833 \h </w:instrText>
            </w:r>
            <w:r>
              <w:rPr>
                <w:webHidden/>
              </w:rPr>
            </w:r>
            <w:r>
              <w:rPr>
                <w:webHidden/>
              </w:rPr>
              <w:fldChar w:fldCharType="separate"/>
            </w:r>
            <w:r w:rsidR="00AF29C3">
              <w:rPr>
                <w:webHidden/>
              </w:rPr>
              <w:t>1</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34" w:history="1">
            <w:r w:rsidR="00E76515" w:rsidRPr="004E3B7B">
              <w:rPr>
                <w:rStyle w:val="Hyperlink"/>
                <w:noProof/>
              </w:rPr>
              <w:t>1.1.</w:t>
            </w:r>
            <w:r w:rsidR="00E76515">
              <w:rPr>
                <w:rFonts w:asciiTheme="minorHAnsi" w:eastAsiaTheme="minorEastAsia" w:hAnsiTheme="minorHAnsi"/>
                <w:noProof/>
                <w:szCs w:val="22"/>
                <w:lang w:val="en-US"/>
              </w:rPr>
              <w:tab/>
            </w:r>
            <w:r w:rsidR="00E76515" w:rsidRPr="004E3B7B">
              <w:rPr>
                <w:rStyle w:val="Hyperlink"/>
                <w:noProof/>
              </w:rPr>
              <w:t>Bangladesh Development Prospects and Constraints</w:t>
            </w:r>
            <w:r w:rsidR="00E76515">
              <w:rPr>
                <w:noProof/>
                <w:webHidden/>
              </w:rPr>
              <w:tab/>
            </w:r>
            <w:r>
              <w:rPr>
                <w:noProof/>
                <w:webHidden/>
              </w:rPr>
              <w:fldChar w:fldCharType="begin"/>
            </w:r>
            <w:r w:rsidR="00E76515">
              <w:rPr>
                <w:noProof/>
                <w:webHidden/>
              </w:rPr>
              <w:instrText xml:space="preserve"> PAGEREF _Toc474638834 \h </w:instrText>
            </w:r>
            <w:r>
              <w:rPr>
                <w:noProof/>
                <w:webHidden/>
              </w:rPr>
            </w:r>
            <w:r>
              <w:rPr>
                <w:noProof/>
                <w:webHidden/>
              </w:rPr>
              <w:fldChar w:fldCharType="separate"/>
            </w:r>
            <w:r w:rsidR="00AF29C3">
              <w:rPr>
                <w:noProof/>
                <w:webHidden/>
              </w:rPr>
              <w:t>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35" w:history="1">
            <w:r w:rsidR="00E76515" w:rsidRPr="004E3B7B">
              <w:rPr>
                <w:rStyle w:val="Hyperlink"/>
                <w:noProof/>
              </w:rPr>
              <w:t>1.2.</w:t>
            </w:r>
            <w:r w:rsidR="00E76515">
              <w:rPr>
                <w:rFonts w:asciiTheme="minorHAnsi" w:eastAsiaTheme="minorEastAsia" w:hAnsiTheme="minorHAnsi"/>
                <w:noProof/>
                <w:szCs w:val="22"/>
                <w:lang w:val="en-US"/>
              </w:rPr>
              <w:tab/>
            </w:r>
            <w:r w:rsidR="00E76515" w:rsidRPr="004E3B7B">
              <w:rPr>
                <w:rStyle w:val="Hyperlink"/>
                <w:noProof/>
              </w:rPr>
              <w:t>Need for a Delta Plan</w:t>
            </w:r>
            <w:r w:rsidR="00E76515">
              <w:rPr>
                <w:noProof/>
                <w:webHidden/>
              </w:rPr>
              <w:tab/>
            </w:r>
            <w:r>
              <w:rPr>
                <w:noProof/>
                <w:webHidden/>
              </w:rPr>
              <w:fldChar w:fldCharType="begin"/>
            </w:r>
            <w:r w:rsidR="00E76515">
              <w:rPr>
                <w:noProof/>
                <w:webHidden/>
              </w:rPr>
              <w:instrText xml:space="preserve"> PAGEREF _Toc474638835 \h </w:instrText>
            </w:r>
            <w:r>
              <w:rPr>
                <w:noProof/>
                <w:webHidden/>
              </w:rPr>
            </w:r>
            <w:r>
              <w:rPr>
                <w:noProof/>
                <w:webHidden/>
              </w:rPr>
              <w:fldChar w:fldCharType="separate"/>
            </w:r>
            <w:r w:rsidR="00AF29C3">
              <w:rPr>
                <w:noProof/>
                <w:webHidden/>
              </w:rPr>
              <w:t>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36" w:history="1">
            <w:r w:rsidR="00E76515" w:rsidRPr="004E3B7B">
              <w:rPr>
                <w:rStyle w:val="Hyperlink"/>
                <w:noProof/>
              </w:rPr>
              <w:t>1.3.</w:t>
            </w:r>
            <w:r w:rsidR="00E76515">
              <w:rPr>
                <w:rFonts w:asciiTheme="minorHAnsi" w:eastAsiaTheme="minorEastAsia" w:hAnsiTheme="minorHAnsi"/>
                <w:noProof/>
                <w:szCs w:val="22"/>
                <w:lang w:val="en-US"/>
              </w:rPr>
              <w:tab/>
            </w:r>
            <w:r w:rsidR="00E76515" w:rsidRPr="004E3B7B">
              <w:rPr>
                <w:rStyle w:val="Hyperlink"/>
                <w:noProof/>
              </w:rPr>
              <w:t>Bangladesh Delta Definitions, Hydrological Regions and Hotspots</w:t>
            </w:r>
            <w:r w:rsidR="00E76515">
              <w:rPr>
                <w:noProof/>
                <w:webHidden/>
              </w:rPr>
              <w:tab/>
            </w:r>
            <w:r>
              <w:rPr>
                <w:noProof/>
                <w:webHidden/>
              </w:rPr>
              <w:fldChar w:fldCharType="begin"/>
            </w:r>
            <w:r w:rsidR="00E76515">
              <w:rPr>
                <w:noProof/>
                <w:webHidden/>
              </w:rPr>
              <w:instrText xml:space="preserve"> PAGEREF _Toc474638836 \h </w:instrText>
            </w:r>
            <w:r>
              <w:rPr>
                <w:noProof/>
                <w:webHidden/>
              </w:rPr>
            </w:r>
            <w:r>
              <w:rPr>
                <w:noProof/>
                <w:webHidden/>
              </w:rPr>
              <w:fldChar w:fldCharType="separate"/>
            </w:r>
            <w:r w:rsidR="00AF29C3">
              <w:rPr>
                <w:noProof/>
                <w:webHidden/>
              </w:rPr>
              <w:t>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37" w:history="1">
            <w:r w:rsidR="00E76515" w:rsidRPr="004E3B7B">
              <w:rPr>
                <w:rStyle w:val="Hyperlink"/>
                <w:noProof/>
              </w:rPr>
              <w:t>1.4.</w:t>
            </w:r>
            <w:r w:rsidR="00E76515">
              <w:rPr>
                <w:rFonts w:asciiTheme="minorHAnsi" w:eastAsiaTheme="minorEastAsia" w:hAnsiTheme="minorHAnsi"/>
                <w:noProof/>
                <w:szCs w:val="22"/>
                <w:lang w:val="en-US"/>
              </w:rPr>
              <w:tab/>
            </w:r>
            <w:r w:rsidR="00E76515" w:rsidRPr="004E3B7B">
              <w:rPr>
                <w:rStyle w:val="Hyperlink"/>
                <w:noProof/>
              </w:rPr>
              <w:t>Bangladesh Delta Opportunities</w:t>
            </w:r>
            <w:r w:rsidR="00E76515">
              <w:rPr>
                <w:noProof/>
                <w:webHidden/>
              </w:rPr>
              <w:tab/>
            </w:r>
            <w:r>
              <w:rPr>
                <w:noProof/>
                <w:webHidden/>
              </w:rPr>
              <w:fldChar w:fldCharType="begin"/>
            </w:r>
            <w:r w:rsidR="00E76515">
              <w:rPr>
                <w:noProof/>
                <w:webHidden/>
              </w:rPr>
              <w:instrText xml:space="preserve"> PAGEREF _Toc474638837 \h </w:instrText>
            </w:r>
            <w:r>
              <w:rPr>
                <w:noProof/>
                <w:webHidden/>
              </w:rPr>
            </w:r>
            <w:r>
              <w:rPr>
                <w:noProof/>
                <w:webHidden/>
              </w:rPr>
              <w:fldChar w:fldCharType="separate"/>
            </w:r>
            <w:r w:rsidR="00AF29C3">
              <w:rPr>
                <w:noProof/>
                <w:webHidden/>
              </w:rPr>
              <w:t>11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38" w:history="1">
            <w:r w:rsidR="00E76515" w:rsidRPr="004E3B7B">
              <w:rPr>
                <w:rStyle w:val="Hyperlink"/>
                <w:noProof/>
              </w:rPr>
              <w:t>1.5.</w:t>
            </w:r>
            <w:r w:rsidR="00E76515">
              <w:rPr>
                <w:rFonts w:asciiTheme="minorHAnsi" w:eastAsiaTheme="minorEastAsia" w:hAnsiTheme="minorHAnsi"/>
                <w:noProof/>
                <w:szCs w:val="22"/>
                <w:lang w:val="en-US"/>
              </w:rPr>
              <w:tab/>
            </w:r>
            <w:r w:rsidR="00E76515" w:rsidRPr="004E3B7B">
              <w:rPr>
                <w:rStyle w:val="Hyperlink"/>
                <w:noProof/>
              </w:rPr>
              <w:t>Bangladesh Delta Challenges</w:t>
            </w:r>
            <w:r w:rsidR="00E76515">
              <w:rPr>
                <w:noProof/>
                <w:webHidden/>
              </w:rPr>
              <w:tab/>
            </w:r>
            <w:r>
              <w:rPr>
                <w:noProof/>
                <w:webHidden/>
              </w:rPr>
              <w:fldChar w:fldCharType="begin"/>
            </w:r>
            <w:r w:rsidR="00E76515">
              <w:rPr>
                <w:noProof/>
                <w:webHidden/>
              </w:rPr>
              <w:instrText xml:space="preserve"> PAGEREF _Toc474638838 \h </w:instrText>
            </w:r>
            <w:r>
              <w:rPr>
                <w:noProof/>
                <w:webHidden/>
              </w:rPr>
            </w:r>
            <w:r>
              <w:rPr>
                <w:noProof/>
                <w:webHidden/>
              </w:rPr>
              <w:fldChar w:fldCharType="separate"/>
            </w:r>
            <w:r w:rsidR="00AF29C3">
              <w:rPr>
                <w:noProof/>
                <w:webHidden/>
              </w:rPr>
              <w:t>12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39" w:history="1">
            <w:r w:rsidR="00E76515" w:rsidRPr="004E3B7B">
              <w:rPr>
                <w:rStyle w:val="Hyperlink"/>
                <w:noProof/>
              </w:rPr>
              <w:t>1.6.</w:t>
            </w:r>
            <w:r w:rsidR="00E76515">
              <w:rPr>
                <w:rFonts w:asciiTheme="minorHAnsi" w:eastAsiaTheme="minorEastAsia" w:hAnsiTheme="minorHAnsi"/>
                <w:noProof/>
                <w:szCs w:val="22"/>
                <w:lang w:val="en-US"/>
              </w:rPr>
              <w:tab/>
            </w:r>
            <w:r w:rsidR="00E76515" w:rsidRPr="004E3B7B">
              <w:rPr>
                <w:rStyle w:val="Hyperlink"/>
                <w:noProof/>
              </w:rPr>
              <w:t>Preserving the Ecosystems: Forests, Wetlands, Coastal, Marine and Biodiversity</w:t>
            </w:r>
            <w:r w:rsidR="00E76515">
              <w:rPr>
                <w:noProof/>
                <w:webHidden/>
              </w:rPr>
              <w:tab/>
            </w:r>
            <w:r>
              <w:rPr>
                <w:noProof/>
                <w:webHidden/>
              </w:rPr>
              <w:fldChar w:fldCharType="begin"/>
            </w:r>
            <w:r w:rsidR="00E76515">
              <w:rPr>
                <w:noProof/>
                <w:webHidden/>
              </w:rPr>
              <w:instrText xml:space="preserve"> PAGEREF _Toc474638839 \h </w:instrText>
            </w:r>
            <w:r>
              <w:rPr>
                <w:noProof/>
                <w:webHidden/>
              </w:rPr>
            </w:r>
            <w:r>
              <w:rPr>
                <w:noProof/>
                <w:webHidden/>
              </w:rPr>
              <w:fldChar w:fldCharType="separate"/>
            </w:r>
            <w:r w:rsidR="00AF29C3">
              <w:rPr>
                <w:noProof/>
                <w:webHidden/>
              </w:rPr>
              <w:t>31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40" w:history="1">
            <w:r w:rsidR="00E76515" w:rsidRPr="004E3B7B">
              <w:rPr>
                <w:rStyle w:val="Hyperlink"/>
                <w:noProof/>
              </w:rPr>
              <w:t>1.7.</w:t>
            </w:r>
            <w:r w:rsidR="00E76515">
              <w:rPr>
                <w:rFonts w:asciiTheme="minorHAnsi" w:eastAsiaTheme="minorEastAsia" w:hAnsiTheme="minorHAnsi"/>
                <w:noProof/>
                <w:szCs w:val="22"/>
                <w:lang w:val="en-US"/>
              </w:rPr>
              <w:tab/>
            </w:r>
            <w:r w:rsidR="00E76515" w:rsidRPr="004E3B7B">
              <w:rPr>
                <w:rStyle w:val="Hyperlink"/>
                <w:noProof/>
              </w:rPr>
              <w:t>Natural Hazard Risks and Challenges by Hotspots</w:t>
            </w:r>
            <w:r w:rsidR="00E76515">
              <w:rPr>
                <w:noProof/>
                <w:webHidden/>
              </w:rPr>
              <w:tab/>
            </w:r>
            <w:r>
              <w:rPr>
                <w:noProof/>
                <w:webHidden/>
              </w:rPr>
              <w:fldChar w:fldCharType="begin"/>
            </w:r>
            <w:r w:rsidR="00E76515">
              <w:rPr>
                <w:noProof/>
                <w:webHidden/>
              </w:rPr>
              <w:instrText xml:space="preserve"> PAGEREF _Toc474638840 \h </w:instrText>
            </w:r>
            <w:r>
              <w:rPr>
                <w:noProof/>
                <w:webHidden/>
              </w:rPr>
            </w:r>
            <w:r>
              <w:rPr>
                <w:noProof/>
                <w:webHidden/>
              </w:rPr>
              <w:fldChar w:fldCharType="separate"/>
            </w:r>
            <w:r w:rsidR="00AF29C3">
              <w:rPr>
                <w:noProof/>
                <w:webHidden/>
              </w:rPr>
              <w:t>35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41" w:history="1">
            <w:r w:rsidR="00E76515" w:rsidRPr="004E3B7B">
              <w:rPr>
                <w:rStyle w:val="Hyperlink"/>
                <w:noProof/>
              </w:rPr>
              <w:t>1.8.</w:t>
            </w:r>
            <w:r w:rsidR="00E76515">
              <w:rPr>
                <w:rFonts w:asciiTheme="minorHAnsi" w:eastAsiaTheme="minorEastAsia" w:hAnsiTheme="minorHAnsi"/>
                <w:noProof/>
                <w:szCs w:val="22"/>
                <w:lang w:val="en-US"/>
              </w:rPr>
              <w:tab/>
            </w:r>
            <w:r w:rsidR="00E76515" w:rsidRPr="004E3B7B">
              <w:rPr>
                <w:rStyle w:val="Hyperlink"/>
                <w:noProof/>
              </w:rPr>
              <w:t>Haor Hotspot (Northeast Region): Freshwater Wetlands</w:t>
            </w:r>
            <w:r w:rsidR="00E76515">
              <w:rPr>
                <w:noProof/>
                <w:webHidden/>
              </w:rPr>
              <w:tab/>
            </w:r>
            <w:r>
              <w:rPr>
                <w:noProof/>
                <w:webHidden/>
              </w:rPr>
              <w:fldChar w:fldCharType="begin"/>
            </w:r>
            <w:r w:rsidR="00E76515">
              <w:rPr>
                <w:noProof/>
                <w:webHidden/>
              </w:rPr>
              <w:instrText xml:space="preserve"> PAGEREF _Toc474638841 \h </w:instrText>
            </w:r>
            <w:r>
              <w:rPr>
                <w:noProof/>
                <w:webHidden/>
              </w:rPr>
            </w:r>
            <w:r>
              <w:rPr>
                <w:noProof/>
                <w:webHidden/>
              </w:rPr>
              <w:fldChar w:fldCharType="separate"/>
            </w:r>
            <w:r w:rsidR="00AF29C3">
              <w:rPr>
                <w:noProof/>
                <w:webHidden/>
              </w:rPr>
              <w:t>44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42" w:history="1">
            <w:r w:rsidR="00E76515" w:rsidRPr="004E3B7B">
              <w:rPr>
                <w:rStyle w:val="Hyperlink"/>
                <w:noProof/>
              </w:rPr>
              <w:t>1.9.</w:t>
            </w:r>
            <w:r w:rsidR="00E76515">
              <w:rPr>
                <w:rFonts w:asciiTheme="minorHAnsi" w:eastAsiaTheme="minorEastAsia" w:hAnsiTheme="minorHAnsi"/>
                <w:noProof/>
                <w:szCs w:val="22"/>
                <w:lang w:val="en-US"/>
              </w:rPr>
              <w:tab/>
            </w:r>
            <w:r w:rsidR="00E76515" w:rsidRPr="004E3B7B">
              <w:rPr>
                <w:rStyle w:val="Hyperlink"/>
                <w:noProof/>
              </w:rPr>
              <w:t>Major Rivers and Estuary Hotspot</w:t>
            </w:r>
            <w:r w:rsidR="00E76515">
              <w:rPr>
                <w:noProof/>
                <w:webHidden/>
              </w:rPr>
              <w:tab/>
            </w:r>
            <w:r>
              <w:rPr>
                <w:noProof/>
                <w:webHidden/>
              </w:rPr>
              <w:fldChar w:fldCharType="begin"/>
            </w:r>
            <w:r w:rsidR="00E76515">
              <w:rPr>
                <w:noProof/>
                <w:webHidden/>
              </w:rPr>
              <w:instrText xml:space="preserve"> PAGEREF _Toc474638842 \h </w:instrText>
            </w:r>
            <w:r>
              <w:rPr>
                <w:noProof/>
                <w:webHidden/>
              </w:rPr>
            </w:r>
            <w:r>
              <w:rPr>
                <w:noProof/>
                <w:webHidden/>
              </w:rPr>
              <w:fldChar w:fldCharType="separate"/>
            </w:r>
            <w:r w:rsidR="00AF29C3">
              <w:rPr>
                <w:noProof/>
                <w:webHidden/>
              </w:rPr>
              <w:t>49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43" w:history="1">
            <w:r w:rsidR="00E76515" w:rsidRPr="004E3B7B">
              <w:rPr>
                <w:rStyle w:val="Hyperlink"/>
                <w:noProof/>
              </w:rPr>
              <w:t>1.10.</w:t>
            </w:r>
            <w:r w:rsidR="00E76515">
              <w:rPr>
                <w:rFonts w:asciiTheme="minorHAnsi" w:eastAsiaTheme="minorEastAsia" w:hAnsiTheme="minorHAnsi"/>
                <w:noProof/>
                <w:szCs w:val="22"/>
                <w:lang w:val="en-US"/>
              </w:rPr>
              <w:tab/>
            </w:r>
            <w:r w:rsidR="00E76515" w:rsidRPr="004E3B7B">
              <w:rPr>
                <w:rStyle w:val="Hyperlink"/>
                <w:noProof/>
              </w:rPr>
              <w:t>Chittagong Hill Tracts Hotspot (Eastern Hills Region)</w:t>
            </w:r>
            <w:r w:rsidR="00E76515">
              <w:rPr>
                <w:noProof/>
                <w:webHidden/>
              </w:rPr>
              <w:tab/>
            </w:r>
            <w:r>
              <w:rPr>
                <w:noProof/>
                <w:webHidden/>
              </w:rPr>
              <w:fldChar w:fldCharType="begin"/>
            </w:r>
            <w:r w:rsidR="00E76515">
              <w:rPr>
                <w:noProof/>
                <w:webHidden/>
              </w:rPr>
              <w:instrText xml:space="preserve"> PAGEREF _Toc474638843 \h </w:instrText>
            </w:r>
            <w:r>
              <w:rPr>
                <w:noProof/>
                <w:webHidden/>
              </w:rPr>
            </w:r>
            <w:r>
              <w:rPr>
                <w:noProof/>
                <w:webHidden/>
              </w:rPr>
              <w:fldChar w:fldCharType="separate"/>
            </w:r>
            <w:r w:rsidR="00AF29C3">
              <w:rPr>
                <w:noProof/>
                <w:webHidden/>
              </w:rPr>
              <w:t>58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44" w:history="1">
            <w:r w:rsidR="00E76515" w:rsidRPr="004E3B7B">
              <w:rPr>
                <w:rStyle w:val="Hyperlink"/>
                <w:noProof/>
              </w:rPr>
              <w:t>1.11.</w:t>
            </w:r>
            <w:r w:rsidR="00E76515">
              <w:rPr>
                <w:rFonts w:asciiTheme="minorHAnsi" w:eastAsiaTheme="minorEastAsia" w:hAnsiTheme="minorHAnsi"/>
                <w:noProof/>
                <w:szCs w:val="22"/>
                <w:lang w:val="en-US"/>
              </w:rPr>
              <w:tab/>
            </w:r>
            <w:r w:rsidR="00E76515" w:rsidRPr="004E3B7B">
              <w:rPr>
                <w:rStyle w:val="Hyperlink"/>
                <w:noProof/>
              </w:rPr>
              <w:t>Urban Areas Hotspot</w:t>
            </w:r>
            <w:r w:rsidR="00E76515">
              <w:rPr>
                <w:noProof/>
                <w:webHidden/>
              </w:rPr>
              <w:tab/>
            </w:r>
            <w:r>
              <w:rPr>
                <w:noProof/>
                <w:webHidden/>
              </w:rPr>
              <w:fldChar w:fldCharType="begin"/>
            </w:r>
            <w:r w:rsidR="00E76515">
              <w:rPr>
                <w:noProof/>
                <w:webHidden/>
              </w:rPr>
              <w:instrText xml:space="preserve"> PAGEREF _Toc474638844 \h </w:instrText>
            </w:r>
            <w:r>
              <w:rPr>
                <w:noProof/>
                <w:webHidden/>
              </w:rPr>
            </w:r>
            <w:r>
              <w:rPr>
                <w:noProof/>
                <w:webHidden/>
              </w:rPr>
              <w:fldChar w:fldCharType="separate"/>
            </w:r>
            <w:r w:rsidR="00AF29C3">
              <w:rPr>
                <w:noProof/>
                <w:webHidden/>
              </w:rPr>
              <w:t>64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45" w:history="1">
            <w:r w:rsidR="00E76515" w:rsidRPr="004E3B7B">
              <w:rPr>
                <w:rStyle w:val="Hyperlink"/>
                <w:noProof/>
              </w:rPr>
              <w:t>1.12.</w:t>
            </w:r>
            <w:r w:rsidR="00E76515">
              <w:rPr>
                <w:rFonts w:asciiTheme="minorHAnsi" w:eastAsiaTheme="minorEastAsia" w:hAnsiTheme="minorHAnsi"/>
                <w:noProof/>
                <w:szCs w:val="22"/>
                <w:lang w:val="en-US"/>
              </w:rPr>
              <w:tab/>
            </w:r>
            <w:r w:rsidR="00E76515" w:rsidRPr="004E3B7B">
              <w:rPr>
                <w:rStyle w:val="Hyperlink"/>
                <w:noProof/>
              </w:rPr>
              <w:t>Economic Impacts of Climate Change</w:t>
            </w:r>
            <w:r w:rsidR="00E76515">
              <w:rPr>
                <w:noProof/>
                <w:webHidden/>
              </w:rPr>
              <w:tab/>
            </w:r>
            <w:r>
              <w:rPr>
                <w:noProof/>
                <w:webHidden/>
              </w:rPr>
              <w:fldChar w:fldCharType="begin"/>
            </w:r>
            <w:r w:rsidR="00E76515">
              <w:rPr>
                <w:noProof/>
                <w:webHidden/>
              </w:rPr>
              <w:instrText xml:space="preserve"> PAGEREF _Toc474638845 \h </w:instrText>
            </w:r>
            <w:r>
              <w:rPr>
                <w:noProof/>
                <w:webHidden/>
              </w:rPr>
            </w:r>
            <w:r>
              <w:rPr>
                <w:noProof/>
                <w:webHidden/>
              </w:rPr>
              <w:fldChar w:fldCharType="separate"/>
            </w:r>
            <w:r w:rsidR="00AF29C3">
              <w:rPr>
                <w:noProof/>
                <w:webHidden/>
              </w:rPr>
              <w:t>69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46" w:history="1">
            <w:r w:rsidR="00E76515" w:rsidRPr="004E3B7B">
              <w:rPr>
                <w:rStyle w:val="Hyperlink"/>
                <w:noProof/>
              </w:rPr>
              <w:t>1.13.</w:t>
            </w:r>
            <w:r w:rsidR="00E76515">
              <w:rPr>
                <w:rFonts w:asciiTheme="minorHAnsi" w:eastAsiaTheme="minorEastAsia" w:hAnsiTheme="minorHAnsi"/>
                <w:noProof/>
                <w:szCs w:val="22"/>
                <w:lang w:val="en-US"/>
              </w:rPr>
              <w:tab/>
            </w:r>
            <w:r w:rsidR="00E76515" w:rsidRPr="004E3B7B">
              <w:rPr>
                <w:rStyle w:val="Hyperlink"/>
                <w:noProof/>
              </w:rPr>
              <w:t>Concluding Remarks</w:t>
            </w:r>
            <w:r w:rsidR="00E76515">
              <w:rPr>
                <w:noProof/>
                <w:webHidden/>
              </w:rPr>
              <w:tab/>
            </w:r>
            <w:r>
              <w:rPr>
                <w:noProof/>
                <w:webHidden/>
              </w:rPr>
              <w:fldChar w:fldCharType="begin"/>
            </w:r>
            <w:r w:rsidR="00E76515">
              <w:rPr>
                <w:noProof/>
                <w:webHidden/>
              </w:rPr>
              <w:instrText xml:space="preserve"> PAGEREF _Toc474638846 \h </w:instrText>
            </w:r>
            <w:r>
              <w:rPr>
                <w:noProof/>
                <w:webHidden/>
              </w:rPr>
            </w:r>
            <w:r>
              <w:rPr>
                <w:noProof/>
                <w:webHidden/>
              </w:rPr>
              <w:fldChar w:fldCharType="separate"/>
            </w:r>
            <w:r w:rsidR="00AF29C3">
              <w:rPr>
                <w:noProof/>
                <w:webHidden/>
              </w:rPr>
              <w:t>74</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47" w:history="1">
            <w:r w:rsidR="00E76515" w:rsidRPr="004E3B7B">
              <w:rPr>
                <w:rStyle w:val="Hyperlink"/>
              </w:rPr>
              <w:t>CHAPTER 2</w:t>
            </w:r>
            <w:r w:rsidR="00E76515">
              <w:rPr>
                <w:webHidden/>
              </w:rPr>
              <w:tab/>
            </w:r>
            <w:r>
              <w:rPr>
                <w:webHidden/>
              </w:rPr>
              <w:fldChar w:fldCharType="begin"/>
            </w:r>
            <w:r w:rsidR="00E76515">
              <w:rPr>
                <w:webHidden/>
              </w:rPr>
              <w:instrText xml:space="preserve"> PAGEREF _Toc474638847 \h </w:instrText>
            </w:r>
            <w:r>
              <w:rPr>
                <w:webHidden/>
              </w:rPr>
            </w:r>
            <w:r>
              <w:rPr>
                <w:webHidden/>
              </w:rPr>
              <w:fldChar w:fldCharType="separate"/>
            </w:r>
            <w:r w:rsidR="00AF29C3">
              <w:rPr>
                <w:webHidden/>
              </w:rPr>
              <w:t>76</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48" w:history="1">
            <w:r w:rsidR="00E76515" w:rsidRPr="004E3B7B">
              <w:rPr>
                <w:rStyle w:val="Hyperlink"/>
              </w:rPr>
              <w:t>Socio Economic Characteristics of the Bangladesh Delta</w:t>
            </w:r>
            <w:r w:rsidR="00E76515">
              <w:rPr>
                <w:webHidden/>
              </w:rPr>
              <w:tab/>
            </w:r>
            <w:r>
              <w:rPr>
                <w:webHidden/>
              </w:rPr>
              <w:fldChar w:fldCharType="begin"/>
            </w:r>
            <w:r w:rsidR="00E76515">
              <w:rPr>
                <w:webHidden/>
              </w:rPr>
              <w:instrText xml:space="preserve"> PAGEREF _Toc474638848 \h </w:instrText>
            </w:r>
            <w:r>
              <w:rPr>
                <w:webHidden/>
              </w:rPr>
            </w:r>
            <w:r>
              <w:rPr>
                <w:webHidden/>
              </w:rPr>
              <w:fldChar w:fldCharType="separate"/>
            </w:r>
            <w:r w:rsidR="00AF29C3">
              <w:rPr>
                <w:webHidden/>
              </w:rPr>
              <w:t>76</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49" w:history="1">
            <w:r w:rsidR="00E76515" w:rsidRPr="004E3B7B">
              <w:rPr>
                <w:rStyle w:val="Hyperlink"/>
                <w:noProof/>
              </w:rPr>
              <w:t>2.1.</w:t>
            </w:r>
            <w:r w:rsidR="00E76515">
              <w:rPr>
                <w:rFonts w:asciiTheme="minorHAnsi" w:eastAsiaTheme="minorEastAsia" w:hAnsiTheme="minorHAnsi"/>
                <w:noProof/>
                <w:szCs w:val="22"/>
                <w:lang w:val="en-US"/>
              </w:rPr>
              <w:tab/>
            </w:r>
            <w:r w:rsidR="00E76515" w:rsidRPr="004E3B7B">
              <w:rPr>
                <w:rStyle w:val="Hyperlink"/>
                <w:noProof/>
              </w:rPr>
              <w:t>Background</w:t>
            </w:r>
            <w:r w:rsidR="00E76515">
              <w:rPr>
                <w:noProof/>
                <w:webHidden/>
              </w:rPr>
              <w:tab/>
            </w:r>
            <w:r>
              <w:rPr>
                <w:noProof/>
                <w:webHidden/>
              </w:rPr>
              <w:fldChar w:fldCharType="begin"/>
            </w:r>
            <w:r w:rsidR="00E76515">
              <w:rPr>
                <w:noProof/>
                <w:webHidden/>
              </w:rPr>
              <w:instrText xml:space="preserve"> PAGEREF _Toc474638849 \h </w:instrText>
            </w:r>
            <w:r>
              <w:rPr>
                <w:noProof/>
                <w:webHidden/>
              </w:rPr>
            </w:r>
            <w:r>
              <w:rPr>
                <w:noProof/>
                <w:webHidden/>
              </w:rPr>
              <w:fldChar w:fldCharType="separate"/>
            </w:r>
            <w:r w:rsidR="00AF29C3">
              <w:rPr>
                <w:noProof/>
                <w:webHidden/>
              </w:rPr>
              <w:t>76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50" w:history="1">
            <w:r w:rsidR="00E76515" w:rsidRPr="004E3B7B">
              <w:rPr>
                <w:rStyle w:val="Hyperlink"/>
                <w:noProof/>
              </w:rPr>
              <w:t>2.2.</w:t>
            </w:r>
            <w:r w:rsidR="00E76515">
              <w:rPr>
                <w:rFonts w:asciiTheme="minorHAnsi" w:eastAsiaTheme="minorEastAsia" w:hAnsiTheme="minorHAnsi"/>
                <w:noProof/>
                <w:szCs w:val="22"/>
                <w:lang w:val="en-US"/>
              </w:rPr>
              <w:tab/>
            </w:r>
            <w:r w:rsidR="00E76515" w:rsidRPr="004E3B7B">
              <w:rPr>
                <w:rStyle w:val="Hyperlink"/>
                <w:noProof/>
              </w:rPr>
              <w:t>Data and Methodology</w:t>
            </w:r>
            <w:r w:rsidR="00E76515">
              <w:rPr>
                <w:noProof/>
                <w:webHidden/>
              </w:rPr>
              <w:tab/>
            </w:r>
            <w:r>
              <w:rPr>
                <w:noProof/>
                <w:webHidden/>
              </w:rPr>
              <w:fldChar w:fldCharType="begin"/>
            </w:r>
            <w:r w:rsidR="00E76515">
              <w:rPr>
                <w:noProof/>
                <w:webHidden/>
              </w:rPr>
              <w:instrText xml:space="preserve"> PAGEREF _Toc474638850 \h </w:instrText>
            </w:r>
            <w:r>
              <w:rPr>
                <w:noProof/>
                <w:webHidden/>
              </w:rPr>
            </w:r>
            <w:r>
              <w:rPr>
                <w:noProof/>
                <w:webHidden/>
              </w:rPr>
              <w:fldChar w:fldCharType="separate"/>
            </w:r>
            <w:r w:rsidR="00AF29C3">
              <w:rPr>
                <w:noProof/>
                <w:webHidden/>
              </w:rPr>
              <w:t>77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51" w:history="1">
            <w:r w:rsidR="00E76515" w:rsidRPr="004E3B7B">
              <w:rPr>
                <w:rStyle w:val="Hyperlink"/>
                <w:noProof/>
              </w:rPr>
              <w:t>2.3.</w:t>
            </w:r>
            <w:r w:rsidR="00E76515">
              <w:rPr>
                <w:rFonts w:asciiTheme="minorHAnsi" w:eastAsiaTheme="minorEastAsia" w:hAnsiTheme="minorHAnsi"/>
                <w:noProof/>
                <w:szCs w:val="22"/>
                <w:lang w:val="en-US"/>
              </w:rPr>
              <w:tab/>
            </w:r>
            <w:r w:rsidR="00E76515" w:rsidRPr="004E3B7B">
              <w:rPr>
                <w:rStyle w:val="Hyperlink"/>
                <w:noProof/>
              </w:rPr>
              <w:t>Basic Hotspot Indicators</w:t>
            </w:r>
            <w:r w:rsidR="00E76515">
              <w:rPr>
                <w:noProof/>
                <w:webHidden/>
              </w:rPr>
              <w:tab/>
            </w:r>
            <w:r>
              <w:rPr>
                <w:noProof/>
                <w:webHidden/>
              </w:rPr>
              <w:fldChar w:fldCharType="begin"/>
            </w:r>
            <w:r w:rsidR="00E76515">
              <w:rPr>
                <w:noProof/>
                <w:webHidden/>
              </w:rPr>
              <w:instrText xml:space="preserve"> PAGEREF _Toc474638851 \h </w:instrText>
            </w:r>
            <w:r>
              <w:rPr>
                <w:noProof/>
                <w:webHidden/>
              </w:rPr>
            </w:r>
            <w:r>
              <w:rPr>
                <w:noProof/>
                <w:webHidden/>
              </w:rPr>
              <w:fldChar w:fldCharType="separate"/>
            </w:r>
            <w:r w:rsidR="00AF29C3">
              <w:rPr>
                <w:noProof/>
                <w:webHidden/>
              </w:rPr>
              <w:t>79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52" w:history="1">
            <w:r w:rsidR="00E76515" w:rsidRPr="004E3B7B">
              <w:rPr>
                <w:rStyle w:val="Hyperlink"/>
                <w:noProof/>
              </w:rPr>
              <w:t>2.4.</w:t>
            </w:r>
            <w:r w:rsidR="00E76515">
              <w:rPr>
                <w:rFonts w:asciiTheme="minorHAnsi" w:eastAsiaTheme="minorEastAsia" w:hAnsiTheme="minorHAnsi"/>
                <w:noProof/>
                <w:szCs w:val="22"/>
                <w:lang w:val="en-US"/>
              </w:rPr>
              <w:tab/>
            </w:r>
            <w:r w:rsidR="00E76515" w:rsidRPr="004E3B7B">
              <w:rPr>
                <w:rStyle w:val="Hyperlink"/>
                <w:noProof/>
              </w:rPr>
              <w:t>District Level Vulnerability to Natural Disasters</w:t>
            </w:r>
            <w:r w:rsidR="00E76515">
              <w:rPr>
                <w:noProof/>
                <w:webHidden/>
              </w:rPr>
              <w:tab/>
            </w:r>
            <w:r>
              <w:rPr>
                <w:noProof/>
                <w:webHidden/>
              </w:rPr>
              <w:fldChar w:fldCharType="begin"/>
            </w:r>
            <w:r w:rsidR="00E76515">
              <w:rPr>
                <w:noProof/>
                <w:webHidden/>
              </w:rPr>
              <w:instrText xml:space="preserve"> PAGEREF _Toc474638852 \h </w:instrText>
            </w:r>
            <w:r>
              <w:rPr>
                <w:noProof/>
                <w:webHidden/>
              </w:rPr>
            </w:r>
            <w:r>
              <w:rPr>
                <w:noProof/>
                <w:webHidden/>
              </w:rPr>
              <w:fldChar w:fldCharType="separate"/>
            </w:r>
            <w:r w:rsidR="00AF29C3">
              <w:rPr>
                <w:noProof/>
                <w:webHidden/>
              </w:rPr>
              <w:t>94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53" w:history="1">
            <w:r w:rsidR="00E76515" w:rsidRPr="004E3B7B">
              <w:rPr>
                <w:rStyle w:val="Hyperlink"/>
                <w:noProof/>
              </w:rPr>
              <w:t>2.5.</w:t>
            </w:r>
            <w:r w:rsidR="00E76515">
              <w:rPr>
                <w:rFonts w:asciiTheme="minorHAnsi" w:eastAsiaTheme="minorEastAsia" w:hAnsiTheme="minorHAnsi"/>
                <w:noProof/>
                <w:szCs w:val="22"/>
                <w:lang w:val="en-US"/>
              </w:rPr>
              <w:tab/>
            </w:r>
            <w:r w:rsidR="00E76515" w:rsidRPr="004E3B7B">
              <w:rPr>
                <w:rStyle w:val="Hyperlink"/>
                <w:noProof/>
              </w:rPr>
              <w:t>Understanding the Positive Adaptive Experiences</w:t>
            </w:r>
            <w:r w:rsidR="00E76515">
              <w:rPr>
                <w:noProof/>
                <w:webHidden/>
              </w:rPr>
              <w:tab/>
            </w:r>
            <w:r>
              <w:rPr>
                <w:noProof/>
                <w:webHidden/>
              </w:rPr>
              <w:fldChar w:fldCharType="begin"/>
            </w:r>
            <w:r w:rsidR="00E76515">
              <w:rPr>
                <w:noProof/>
                <w:webHidden/>
              </w:rPr>
              <w:instrText xml:space="preserve"> PAGEREF _Toc474638853 \h </w:instrText>
            </w:r>
            <w:r>
              <w:rPr>
                <w:noProof/>
                <w:webHidden/>
              </w:rPr>
            </w:r>
            <w:r>
              <w:rPr>
                <w:noProof/>
                <w:webHidden/>
              </w:rPr>
              <w:fldChar w:fldCharType="separate"/>
            </w:r>
            <w:r w:rsidR="00AF29C3">
              <w:rPr>
                <w:noProof/>
                <w:webHidden/>
              </w:rPr>
              <w:t>100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54" w:history="1">
            <w:r w:rsidR="00E76515" w:rsidRPr="004E3B7B">
              <w:rPr>
                <w:rStyle w:val="Hyperlink"/>
                <w:noProof/>
              </w:rPr>
              <w:t>2.6.</w:t>
            </w:r>
            <w:r w:rsidR="00E76515">
              <w:rPr>
                <w:rFonts w:asciiTheme="minorHAnsi" w:eastAsiaTheme="minorEastAsia" w:hAnsiTheme="minorHAnsi"/>
                <w:noProof/>
                <w:szCs w:val="22"/>
                <w:lang w:val="en-US"/>
              </w:rPr>
              <w:tab/>
            </w:r>
            <w:r w:rsidR="00E76515" w:rsidRPr="004E3B7B">
              <w:rPr>
                <w:rStyle w:val="Hyperlink"/>
                <w:noProof/>
              </w:rPr>
              <w:t>Concluding Remarks</w:t>
            </w:r>
            <w:r w:rsidR="00E76515">
              <w:rPr>
                <w:noProof/>
                <w:webHidden/>
              </w:rPr>
              <w:tab/>
            </w:r>
            <w:r>
              <w:rPr>
                <w:noProof/>
                <w:webHidden/>
              </w:rPr>
              <w:fldChar w:fldCharType="begin"/>
            </w:r>
            <w:r w:rsidR="00E76515">
              <w:rPr>
                <w:noProof/>
                <w:webHidden/>
              </w:rPr>
              <w:instrText xml:space="preserve"> PAGEREF _Toc474638854 \h </w:instrText>
            </w:r>
            <w:r>
              <w:rPr>
                <w:noProof/>
                <w:webHidden/>
              </w:rPr>
            </w:r>
            <w:r>
              <w:rPr>
                <w:noProof/>
                <w:webHidden/>
              </w:rPr>
              <w:fldChar w:fldCharType="separate"/>
            </w:r>
            <w:r w:rsidR="00AF29C3">
              <w:rPr>
                <w:noProof/>
                <w:webHidden/>
              </w:rPr>
              <w:t>114</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55" w:history="1">
            <w:r w:rsidR="00E76515" w:rsidRPr="004E3B7B">
              <w:rPr>
                <w:rStyle w:val="Hyperlink"/>
              </w:rPr>
              <w:t>CHAPTER 3</w:t>
            </w:r>
            <w:r w:rsidR="00E76515">
              <w:rPr>
                <w:webHidden/>
              </w:rPr>
              <w:tab/>
            </w:r>
            <w:r>
              <w:rPr>
                <w:webHidden/>
              </w:rPr>
              <w:fldChar w:fldCharType="begin"/>
            </w:r>
            <w:r w:rsidR="00E76515">
              <w:rPr>
                <w:webHidden/>
              </w:rPr>
              <w:instrText xml:space="preserve"> PAGEREF _Toc474638855 \h </w:instrText>
            </w:r>
            <w:r>
              <w:rPr>
                <w:webHidden/>
              </w:rPr>
            </w:r>
            <w:r>
              <w:rPr>
                <w:webHidden/>
              </w:rPr>
              <w:fldChar w:fldCharType="separate"/>
            </w:r>
            <w:r w:rsidR="00AF29C3">
              <w:rPr>
                <w:webHidden/>
              </w:rPr>
              <w:t>116</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56" w:history="1">
            <w:r w:rsidR="00E76515" w:rsidRPr="004E3B7B">
              <w:rPr>
                <w:rStyle w:val="Hyperlink"/>
              </w:rPr>
              <w:t>Climate Change, Environment and Ecological Issues</w:t>
            </w:r>
            <w:r w:rsidR="00E76515">
              <w:rPr>
                <w:webHidden/>
              </w:rPr>
              <w:tab/>
            </w:r>
            <w:r>
              <w:rPr>
                <w:webHidden/>
              </w:rPr>
              <w:fldChar w:fldCharType="begin"/>
            </w:r>
            <w:r w:rsidR="00E76515">
              <w:rPr>
                <w:webHidden/>
              </w:rPr>
              <w:instrText xml:space="preserve"> PAGEREF _Toc474638856 \h </w:instrText>
            </w:r>
            <w:r>
              <w:rPr>
                <w:webHidden/>
              </w:rPr>
            </w:r>
            <w:r>
              <w:rPr>
                <w:webHidden/>
              </w:rPr>
              <w:fldChar w:fldCharType="separate"/>
            </w:r>
            <w:r w:rsidR="00AF29C3">
              <w:rPr>
                <w:webHidden/>
              </w:rPr>
              <w:t>116</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57" w:history="1">
            <w:r w:rsidR="00E76515" w:rsidRPr="004E3B7B">
              <w:rPr>
                <w:rStyle w:val="Hyperlink"/>
                <w:noProof/>
              </w:rPr>
              <w:t>3.1.</w:t>
            </w:r>
            <w:r w:rsidR="00E76515">
              <w:rPr>
                <w:rFonts w:asciiTheme="minorHAnsi" w:eastAsiaTheme="minorEastAsia" w:hAnsiTheme="minorHAnsi"/>
                <w:noProof/>
                <w:szCs w:val="22"/>
                <w:lang w:val="en-US"/>
              </w:rPr>
              <w:tab/>
            </w:r>
            <w:r w:rsidR="00E76515" w:rsidRPr="004E3B7B">
              <w:rPr>
                <w:rStyle w:val="Hyperlink"/>
                <w:noProof/>
              </w:rPr>
              <w:t>Overview</w:t>
            </w:r>
            <w:r w:rsidR="00E76515">
              <w:rPr>
                <w:noProof/>
                <w:webHidden/>
              </w:rPr>
              <w:tab/>
            </w:r>
            <w:r>
              <w:rPr>
                <w:noProof/>
                <w:webHidden/>
              </w:rPr>
              <w:fldChar w:fldCharType="begin"/>
            </w:r>
            <w:r w:rsidR="00E76515">
              <w:rPr>
                <w:noProof/>
                <w:webHidden/>
              </w:rPr>
              <w:instrText xml:space="preserve"> PAGEREF _Toc474638857 \h </w:instrText>
            </w:r>
            <w:r>
              <w:rPr>
                <w:noProof/>
                <w:webHidden/>
              </w:rPr>
            </w:r>
            <w:r>
              <w:rPr>
                <w:noProof/>
                <w:webHidden/>
              </w:rPr>
              <w:fldChar w:fldCharType="separate"/>
            </w:r>
            <w:r w:rsidR="00AF29C3">
              <w:rPr>
                <w:noProof/>
                <w:webHidden/>
              </w:rPr>
              <w:t>116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58" w:history="1">
            <w:r w:rsidR="00E76515" w:rsidRPr="004E3B7B">
              <w:rPr>
                <w:rStyle w:val="Hyperlink"/>
                <w:noProof/>
              </w:rPr>
              <w:t>3.2.</w:t>
            </w:r>
            <w:r w:rsidR="00E76515">
              <w:rPr>
                <w:rFonts w:asciiTheme="minorHAnsi" w:eastAsiaTheme="minorEastAsia" w:hAnsiTheme="minorHAnsi"/>
                <w:noProof/>
                <w:szCs w:val="22"/>
                <w:lang w:val="en-US"/>
              </w:rPr>
              <w:tab/>
            </w:r>
            <w:r w:rsidR="00E76515" w:rsidRPr="004E3B7B">
              <w:rPr>
                <w:rStyle w:val="Hyperlink"/>
                <w:noProof/>
              </w:rPr>
              <w:t>Environmental Challenges Facing Bangladesh</w:t>
            </w:r>
            <w:r w:rsidR="00E76515">
              <w:rPr>
                <w:noProof/>
                <w:webHidden/>
              </w:rPr>
              <w:tab/>
            </w:r>
            <w:r>
              <w:rPr>
                <w:noProof/>
                <w:webHidden/>
              </w:rPr>
              <w:fldChar w:fldCharType="begin"/>
            </w:r>
            <w:r w:rsidR="00E76515">
              <w:rPr>
                <w:noProof/>
                <w:webHidden/>
              </w:rPr>
              <w:instrText xml:space="preserve"> PAGEREF _Toc474638858 \h </w:instrText>
            </w:r>
            <w:r>
              <w:rPr>
                <w:noProof/>
                <w:webHidden/>
              </w:rPr>
            </w:r>
            <w:r>
              <w:rPr>
                <w:noProof/>
                <w:webHidden/>
              </w:rPr>
              <w:fldChar w:fldCharType="separate"/>
            </w:r>
            <w:r w:rsidR="00AF29C3">
              <w:rPr>
                <w:noProof/>
                <w:webHidden/>
              </w:rPr>
              <w:t>117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59" w:history="1">
            <w:r w:rsidR="00E76515" w:rsidRPr="004E3B7B">
              <w:rPr>
                <w:rStyle w:val="Hyperlink"/>
                <w:noProof/>
              </w:rPr>
              <w:t>3.3.</w:t>
            </w:r>
            <w:r w:rsidR="00E76515">
              <w:rPr>
                <w:rFonts w:asciiTheme="minorHAnsi" w:eastAsiaTheme="minorEastAsia" w:hAnsiTheme="minorHAnsi"/>
                <w:noProof/>
                <w:szCs w:val="22"/>
                <w:lang w:val="en-US"/>
              </w:rPr>
              <w:tab/>
            </w:r>
            <w:r w:rsidR="00E76515" w:rsidRPr="004E3B7B">
              <w:rPr>
                <w:rStyle w:val="Hyperlink"/>
                <w:noProof/>
              </w:rPr>
              <w:t>Ecology</w:t>
            </w:r>
            <w:r w:rsidR="00E76515">
              <w:rPr>
                <w:noProof/>
                <w:webHidden/>
              </w:rPr>
              <w:tab/>
            </w:r>
            <w:r>
              <w:rPr>
                <w:noProof/>
                <w:webHidden/>
              </w:rPr>
              <w:fldChar w:fldCharType="begin"/>
            </w:r>
            <w:r w:rsidR="00E76515">
              <w:rPr>
                <w:noProof/>
                <w:webHidden/>
              </w:rPr>
              <w:instrText xml:space="preserve"> PAGEREF _Toc474638859 \h </w:instrText>
            </w:r>
            <w:r>
              <w:rPr>
                <w:noProof/>
                <w:webHidden/>
              </w:rPr>
            </w:r>
            <w:r>
              <w:rPr>
                <w:noProof/>
                <w:webHidden/>
              </w:rPr>
              <w:fldChar w:fldCharType="separate"/>
            </w:r>
            <w:r w:rsidR="00AF29C3">
              <w:rPr>
                <w:noProof/>
                <w:webHidden/>
              </w:rPr>
              <w:t>123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60" w:history="1">
            <w:r w:rsidR="00E76515" w:rsidRPr="004E3B7B">
              <w:rPr>
                <w:rStyle w:val="Hyperlink"/>
                <w:noProof/>
              </w:rPr>
              <w:t>3.4.</w:t>
            </w:r>
            <w:r w:rsidR="00E76515">
              <w:rPr>
                <w:rFonts w:asciiTheme="minorHAnsi" w:eastAsiaTheme="minorEastAsia" w:hAnsiTheme="minorHAnsi"/>
                <w:noProof/>
                <w:szCs w:val="22"/>
                <w:lang w:val="en-US"/>
              </w:rPr>
              <w:tab/>
            </w:r>
            <w:r w:rsidR="00E76515" w:rsidRPr="004E3B7B">
              <w:rPr>
                <w:rStyle w:val="Hyperlink"/>
                <w:noProof/>
              </w:rPr>
              <w:t>Impact of Climate Change on Environment and Ecology</w:t>
            </w:r>
            <w:r w:rsidR="00E76515">
              <w:rPr>
                <w:noProof/>
                <w:webHidden/>
              </w:rPr>
              <w:tab/>
            </w:r>
            <w:r>
              <w:rPr>
                <w:noProof/>
                <w:webHidden/>
              </w:rPr>
              <w:fldChar w:fldCharType="begin"/>
            </w:r>
            <w:r w:rsidR="00E76515">
              <w:rPr>
                <w:noProof/>
                <w:webHidden/>
              </w:rPr>
              <w:instrText xml:space="preserve"> PAGEREF _Toc474638860 \h </w:instrText>
            </w:r>
            <w:r>
              <w:rPr>
                <w:noProof/>
                <w:webHidden/>
              </w:rPr>
            </w:r>
            <w:r>
              <w:rPr>
                <w:noProof/>
                <w:webHidden/>
              </w:rPr>
              <w:fldChar w:fldCharType="separate"/>
            </w:r>
            <w:r w:rsidR="00AF29C3">
              <w:rPr>
                <w:noProof/>
                <w:webHidden/>
              </w:rPr>
              <w:t>137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61" w:history="1">
            <w:r w:rsidR="00E76515" w:rsidRPr="004E3B7B">
              <w:rPr>
                <w:rStyle w:val="Hyperlink"/>
                <w:noProof/>
              </w:rPr>
              <w:t>3.5.</w:t>
            </w:r>
            <w:r w:rsidR="00E76515">
              <w:rPr>
                <w:rFonts w:asciiTheme="minorHAnsi" w:eastAsiaTheme="minorEastAsia" w:hAnsiTheme="minorHAnsi"/>
                <w:noProof/>
                <w:szCs w:val="22"/>
                <w:lang w:val="en-US"/>
              </w:rPr>
              <w:tab/>
            </w:r>
            <w:r w:rsidR="00E76515" w:rsidRPr="004E3B7B">
              <w:rPr>
                <w:rStyle w:val="Hyperlink"/>
                <w:noProof/>
              </w:rPr>
              <w:t>Review of Strategies, Policies and Institutions</w:t>
            </w:r>
            <w:r w:rsidR="00E76515">
              <w:rPr>
                <w:noProof/>
                <w:webHidden/>
              </w:rPr>
              <w:tab/>
            </w:r>
            <w:r>
              <w:rPr>
                <w:noProof/>
                <w:webHidden/>
              </w:rPr>
              <w:fldChar w:fldCharType="begin"/>
            </w:r>
            <w:r w:rsidR="00E76515">
              <w:rPr>
                <w:noProof/>
                <w:webHidden/>
              </w:rPr>
              <w:instrText xml:space="preserve"> PAGEREF _Toc474638861 \h </w:instrText>
            </w:r>
            <w:r>
              <w:rPr>
                <w:noProof/>
                <w:webHidden/>
              </w:rPr>
            </w:r>
            <w:r>
              <w:rPr>
                <w:noProof/>
                <w:webHidden/>
              </w:rPr>
              <w:fldChar w:fldCharType="separate"/>
            </w:r>
            <w:r w:rsidR="00AF29C3">
              <w:rPr>
                <w:noProof/>
                <w:webHidden/>
              </w:rPr>
              <w:t>140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62" w:history="1">
            <w:r w:rsidR="00E76515" w:rsidRPr="004E3B7B">
              <w:rPr>
                <w:rStyle w:val="Hyperlink"/>
                <w:noProof/>
              </w:rPr>
              <w:t>3.6.</w:t>
            </w:r>
            <w:r w:rsidR="00E76515">
              <w:rPr>
                <w:rFonts w:asciiTheme="minorHAnsi" w:eastAsiaTheme="minorEastAsia" w:hAnsiTheme="minorHAnsi"/>
                <w:noProof/>
                <w:szCs w:val="22"/>
                <w:lang w:val="en-US"/>
              </w:rPr>
              <w:tab/>
            </w:r>
            <w:r w:rsidR="00E76515" w:rsidRPr="004E3B7B">
              <w:rPr>
                <w:rStyle w:val="Hyperlink"/>
                <w:noProof/>
              </w:rPr>
              <w:t>Strategies and Policies for Moving Forward</w:t>
            </w:r>
            <w:r w:rsidR="00E76515">
              <w:rPr>
                <w:noProof/>
                <w:webHidden/>
              </w:rPr>
              <w:tab/>
            </w:r>
            <w:r>
              <w:rPr>
                <w:noProof/>
                <w:webHidden/>
              </w:rPr>
              <w:fldChar w:fldCharType="begin"/>
            </w:r>
            <w:r w:rsidR="00E76515">
              <w:rPr>
                <w:noProof/>
                <w:webHidden/>
              </w:rPr>
              <w:instrText xml:space="preserve"> PAGEREF _Toc474638862 \h </w:instrText>
            </w:r>
            <w:r>
              <w:rPr>
                <w:noProof/>
                <w:webHidden/>
              </w:rPr>
            </w:r>
            <w:r>
              <w:rPr>
                <w:noProof/>
                <w:webHidden/>
              </w:rPr>
              <w:fldChar w:fldCharType="separate"/>
            </w:r>
            <w:r w:rsidR="00AF29C3">
              <w:rPr>
                <w:noProof/>
                <w:webHidden/>
              </w:rPr>
              <w:t>148</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63" w:history="1">
            <w:r w:rsidR="00E76515" w:rsidRPr="004E3B7B">
              <w:rPr>
                <w:rStyle w:val="Hyperlink"/>
              </w:rPr>
              <w:t>CHAPTER 4</w:t>
            </w:r>
            <w:r w:rsidR="00E76515">
              <w:rPr>
                <w:webHidden/>
              </w:rPr>
              <w:tab/>
            </w:r>
            <w:r>
              <w:rPr>
                <w:webHidden/>
              </w:rPr>
              <w:fldChar w:fldCharType="begin"/>
            </w:r>
            <w:r w:rsidR="00E76515">
              <w:rPr>
                <w:webHidden/>
              </w:rPr>
              <w:instrText xml:space="preserve"> PAGEREF _Toc474638863 \h </w:instrText>
            </w:r>
            <w:r>
              <w:rPr>
                <w:webHidden/>
              </w:rPr>
            </w:r>
            <w:r>
              <w:rPr>
                <w:webHidden/>
              </w:rPr>
              <w:fldChar w:fldCharType="separate"/>
            </w:r>
            <w:r w:rsidR="00AF29C3">
              <w:rPr>
                <w:webHidden/>
              </w:rPr>
              <w:t>151</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64" w:history="1">
            <w:r w:rsidR="00E76515" w:rsidRPr="004E3B7B">
              <w:rPr>
                <w:rStyle w:val="Hyperlink"/>
              </w:rPr>
              <w:t>National and Transboundary Water Management Issues</w:t>
            </w:r>
            <w:r w:rsidR="00E76515">
              <w:rPr>
                <w:webHidden/>
              </w:rPr>
              <w:tab/>
            </w:r>
            <w:r>
              <w:rPr>
                <w:webHidden/>
              </w:rPr>
              <w:fldChar w:fldCharType="begin"/>
            </w:r>
            <w:r w:rsidR="00E76515">
              <w:rPr>
                <w:webHidden/>
              </w:rPr>
              <w:instrText xml:space="preserve"> PAGEREF _Toc474638864 \h </w:instrText>
            </w:r>
            <w:r>
              <w:rPr>
                <w:webHidden/>
              </w:rPr>
            </w:r>
            <w:r>
              <w:rPr>
                <w:webHidden/>
              </w:rPr>
              <w:fldChar w:fldCharType="separate"/>
            </w:r>
            <w:r w:rsidR="00AF29C3">
              <w:rPr>
                <w:webHidden/>
              </w:rPr>
              <w:t>151</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65" w:history="1">
            <w:r w:rsidR="00E76515" w:rsidRPr="004E3B7B">
              <w:rPr>
                <w:rStyle w:val="Hyperlink"/>
                <w:noProof/>
              </w:rPr>
              <w:t>4.1.</w:t>
            </w:r>
            <w:r w:rsidR="00E76515">
              <w:rPr>
                <w:rFonts w:asciiTheme="minorHAnsi" w:eastAsiaTheme="minorEastAsia" w:hAnsiTheme="minorHAnsi"/>
                <w:noProof/>
                <w:szCs w:val="22"/>
                <w:lang w:val="en-US"/>
              </w:rPr>
              <w:tab/>
            </w:r>
            <w:r w:rsidR="00E76515" w:rsidRPr="004E3B7B">
              <w:rPr>
                <w:rStyle w:val="Hyperlink"/>
                <w:noProof/>
              </w:rPr>
              <w:t>Water Resources Setting and Water Availability</w:t>
            </w:r>
            <w:r w:rsidR="00E76515">
              <w:rPr>
                <w:noProof/>
                <w:webHidden/>
              </w:rPr>
              <w:tab/>
            </w:r>
            <w:r>
              <w:rPr>
                <w:noProof/>
                <w:webHidden/>
              </w:rPr>
              <w:fldChar w:fldCharType="begin"/>
            </w:r>
            <w:r w:rsidR="00E76515">
              <w:rPr>
                <w:noProof/>
                <w:webHidden/>
              </w:rPr>
              <w:instrText xml:space="preserve"> PAGEREF _Toc474638865 \h </w:instrText>
            </w:r>
            <w:r>
              <w:rPr>
                <w:noProof/>
                <w:webHidden/>
              </w:rPr>
            </w:r>
            <w:r>
              <w:rPr>
                <w:noProof/>
                <w:webHidden/>
              </w:rPr>
              <w:fldChar w:fldCharType="separate"/>
            </w:r>
            <w:r w:rsidR="00AF29C3">
              <w:rPr>
                <w:noProof/>
                <w:webHidden/>
              </w:rPr>
              <w:t>151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66" w:history="1">
            <w:r w:rsidR="00E76515" w:rsidRPr="004E3B7B">
              <w:rPr>
                <w:rStyle w:val="Hyperlink"/>
                <w:bCs/>
                <w:noProof/>
              </w:rPr>
              <w:t>4.2.</w:t>
            </w:r>
            <w:r w:rsidR="00E76515">
              <w:rPr>
                <w:rFonts w:asciiTheme="minorHAnsi" w:eastAsiaTheme="minorEastAsia" w:hAnsiTheme="minorHAnsi"/>
                <w:noProof/>
                <w:szCs w:val="22"/>
                <w:lang w:val="en-US"/>
              </w:rPr>
              <w:tab/>
            </w:r>
            <w:r w:rsidR="00E76515" w:rsidRPr="004E3B7B">
              <w:rPr>
                <w:rStyle w:val="Hyperlink"/>
                <w:noProof/>
              </w:rPr>
              <w:t>Problem and Challenges</w:t>
            </w:r>
            <w:r w:rsidR="00E76515">
              <w:rPr>
                <w:noProof/>
                <w:webHidden/>
              </w:rPr>
              <w:tab/>
            </w:r>
            <w:r>
              <w:rPr>
                <w:noProof/>
                <w:webHidden/>
              </w:rPr>
              <w:fldChar w:fldCharType="begin"/>
            </w:r>
            <w:r w:rsidR="00E76515">
              <w:rPr>
                <w:noProof/>
                <w:webHidden/>
              </w:rPr>
              <w:instrText xml:space="preserve"> PAGEREF _Toc474638866 \h </w:instrText>
            </w:r>
            <w:r>
              <w:rPr>
                <w:noProof/>
                <w:webHidden/>
              </w:rPr>
            </w:r>
            <w:r>
              <w:rPr>
                <w:noProof/>
                <w:webHidden/>
              </w:rPr>
              <w:fldChar w:fldCharType="separate"/>
            </w:r>
            <w:r w:rsidR="00AF29C3">
              <w:rPr>
                <w:noProof/>
                <w:webHidden/>
              </w:rPr>
              <w:t>153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67" w:history="1">
            <w:r w:rsidR="00E76515" w:rsidRPr="004E3B7B">
              <w:rPr>
                <w:rStyle w:val="Hyperlink"/>
                <w:noProof/>
              </w:rPr>
              <w:t>4.3.</w:t>
            </w:r>
            <w:r w:rsidR="00E76515">
              <w:rPr>
                <w:rFonts w:asciiTheme="minorHAnsi" w:eastAsiaTheme="minorEastAsia" w:hAnsiTheme="minorHAnsi"/>
                <w:noProof/>
                <w:szCs w:val="22"/>
                <w:lang w:val="en-US"/>
              </w:rPr>
              <w:tab/>
            </w:r>
            <w:r w:rsidR="00E76515" w:rsidRPr="004E3B7B">
              <w:rPr>
                <w:rStyle w:val="Hyperlink"/>
                <w:noProof/>
              </w:rPr>
              <w:t>Future Water Challenges</w:t>
            </w:r>
            <w:r w:rsidR="00E76515">
              <w:rPr>
                <w:noProof/>
                <w:webHidden/>
              </w:rPr>
              <w:tab/>
            </w:r>
            <w:r>
              <w:rPr>
                <w:noProof/>
                <w:webHidden/>
              </w:rPr>
              <w:fldChar w:fldCharType="begin"/>
            </w:r>
            <w:r w:rsidR="00E76515">
              <w:rPr>
                <w:noProof/>
                <w:webHidden/>
              </w:rPr>
              <w:instrText xml:space="preserve"> PAGEREF _Toc474638867 \h </w:instrText>
            </w:r>
            <w:r>
              <w:rPr>
                <w:noProof/>
                <w:webHidden/>
              </w:rPr>
            </w:r>
            <w:r>
              <w:rPr>
                <w:noProof/>
                <w:webHidden/>
              </w:rPr>
              <w:fldChar w:fldCharType="separate"/>
            </w:r>
            <w:r w:rsidR="00AF29C3">
              <w:rPr>
                <w:noProof/>
                <w:webHidden/>
              </w:rPr>
              <w:t>168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68" w:history="1">
            <w:r w:rsidR="00E76515" w:rsidRPr="004E3B7B">
              <w:rPr>
                <w:rStyle w:val="Hyperlink"/>
                <w:noProof/>
              </w:rPr>
              <w:t>4.4.</w:t>
            </w:r>
            <w:r w:rsidR="00E76515">
              <w:rPr>
                <w:rFonts w:asciiTheme="minorHAnsi" w:eastAsiaTheme="minorEastAsia" w:hAnsiTheme="minorHAnsi"/>
                <w:noProof/>
                <w:szCs w:val="22"/>
                <w:lang w:val="en-US"/>
              </w:rPr>
              <w:tab/>
            </w:r>
            <w:r w:rsidR="00E76515" w:rsidRPr="004E3B7B">
              <w:rPr>
                <w:rStyle w:val="Hyperlink"/>
                <w:noProof/>
              </w:rPr>
              <w:t>Transboundary Water Management Issues</w:t>
            </w:r>
            <w:r w:rsidR="00E76515">
              <w:rPr>
                <w:noProof/>
                <w:webHidden/>
              </w:rPr>
              <w:tab/>
            </w:r>
            <w:r>
              <w:rPr>
                <w:noProof/>
                <w:webHidden/>
              </w:rPr>
              <w:fldChar w:fldCharType="begin"/>
            </w:r>
            <w:r w:rsidR="00E76515">
              <w:rPr>
                <w:noProof/>
                <w:webHidden/>
              </w:rPr>
              <w:instrText xml:space="preserve"> PAGEREF _Toc474638868 \h </w:instrText>
            </w:r>
            <w:r>
              <w:rPr>
                <w:noProof/>
                <w:webHidden/>
              </w:rPr>
            </w:r>
            <w:r>
              <w:rPr>
                <w:noProof/>
                <w:webHidden/>
              </w:rPr>
              <w:fldChar w:fldCharType="separate"/>
            </w:r>
            <w:r w:rsidR="00AF29C3">
              <w:rPr>
                <w:noProof/>
                <w:webHidden/>
              </w:rPr>
              <w:t>169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69" w:history="1">
            <w:r w:rsidR="00E76515" w:rsidRPr="004E3B7B">
              <w:rPr>
                <w:rStyle w:val="Hyperlink"/>
                <w:noProof/>
              </w:rPr>
              <w:t>4.5.</w:t>
            </w:r>
            <w:r w:rsidR="00E76515">
              <w:rPr>
                <w:rFonts w:asciiTheme="minorHAnsi" w:eastAsiaTheme="minorEastAsia" w:hAnsiTheme="minorHAnsi"/>
                <w:noProof/>
                <w:szCs w:val="22"/>
                <w:lang w:val="en-US"/>
              </w:rPr>
              <w:tab/>
            </w:r>
            <w:r w:rsidR="00E76515" w:rsidRPr="004E3B7B">
              <w:rPr>
                <w:rStyle w:val="Hyperlink"/>
                <w:noProof/>
              </w:rPr>
              <w:t>Regional Co-operation Framework and River Basin Organization</w:t>
            </w:r>
            <w:r w:rsidR="00E76515">
              <w:rPr>
                <w:noProof/>
                <w:webHidden/>
              </w:rPr>
              <w:tab/>
            </w:r>
            <w:r>
              <w:rPr>
                <w:noProof/>
                <w:webHidden/>
              </w:rPr>
              <w:fldChar w:fldCharType="begin"/>
            </w:r>
            <w:r w:rsidR="00E76515">
              <w:rPr>
                <w:noProof/>
                <w:webHidden/>
              </w:rPr>
              <w:instrText xml:space="preserve"> PAGEREF _Toc474638869 \h </w:instrText>
            </w:r>
            <w:r>
              <w:rPr>
                <w:noProof/>
                <w:webHidden/>
              </w:rPr>
            </w:r>
            <w:r>
              <w:rPr>
                <w:noProof/>
                <w:webHidden/>
              </w:rPr>
              <w:fldChar w:fldCharType="separate"/>
            </w:r>
            <w:r w:rsidR="00AF29C3">
              <w:rPr>
                <w:noProof/>
                <w:webHidden/>
              </w:rPr>
              <w:t>173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70" w:history="1">
            <w:r w:rsidR="00E76515" w:rsidRPr="004E3B7B">
              <w:rPr>
                <w:rStyle w:val="Hyperlink"/>
                <w:noProof/>
              </w:rPr>
              <w:t>4.6.</w:t>
            </w:r>
            <w:r w:rsidR="00E76515">
              <w:rPr>
                <w:rFonts w:asciiTheme="minorHAnsi" w:eastAsiaTheme="minorEastAsia" w:hAnsiTheme="minorHAnsi"/>
                <w:noProof/>
                <w:szCs w:val="22"/>
                <w:lang w:val="en-US"/>
              </w:rPr>
              <w:tab/>
            </w:r>
            <w:r w:rsidR="00E76515" w:rsidRPr="004E3B7B">
              <w:rPr>
                <w:rStyle w:val="Hyperlink"/>
                <w:noProof/>
              </w:rPr>
              <w:t>Review of Progress with Regional Water Cooperation</w:t>
            </w:r>
            <w:r w:rsidR="00E76515">
              <w:rPr>
                <w:noProof/>
                <w:webHidden/>
              </w:rPr>
              <w:tab/>
            </w:r>
            <w:r>
              <w:rPr>
                <w:noProof/>
                <w:webHidden/>
              </w:rPr>
              <w:fldChar w:fldCharType="begin"/>
            </w:r>
            <w:r w:rsidR="00E76515">
              <w:rPr>
                <w:noProof/>
                <w:webHidden/>
              </w:rPr>
              <w:instrText xml:space="preserve"> PAGEREF _Toc474638870 \h </w:instrText>
            </w:r>
            <w:r>
              <w:rPr>
                <w:noProof/>
                <w:webHidden/>
              </w:rPr>
            </w:r>
            <w:r>
              <w:rPr>
                <w:noProof/>
                <w:webHidden/>
              </w:rPr>
              <w:fldChar w:fldCharType="separate"/>
            </w:r>
            <w:r w:rsidR="00AF29C3">
              <w:rPr>
                <w:noProof/>
                <w:webHidden/>
              </w:rPr>
              <w:t>176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71" w:history="1">
            <w:r w:rsidR="00E76515" w:rsidRPr="004E3B7B">
              <w:rPr>
                <w:rStyle w:val="Hyperlink"/>
                <w:noProof/>
              </w:rPr>
              <w:t>4.7.</w:t>
            </w:r>
            <w:r w:rsidR="00E76515">
              <w:rPr>
                <w:rFonts w:asciiTheme="minorHAnsi" w:eastAsiaTheme="minorEastAsia" w:hAnsiTheme="minorHAnsi"/>
                <w:noProof/>
                <w:szCs w:val="22"/>
                <w:lang w:val="en-US"/>
              </w:rPr>
              <w:tab/>
            </w:r>
            <w:r w:rsidR="00E76515" w:rsidRPr="004E3B7B">
              <w:rPr>
                <w:rStyle w:val="Hyperlink"/>
                <w:noProof/>
              </w:rPr>
              <w:t>Strategy for Better Regional Cooperation</w:t>
            </w:r>
            <w:r w:rsidR="00E76515">
              <w:rPr>
                <w:noProof/>
                <w:webHidden/>
              </w:rPr>
              <w:tab/>
            </w:r>
            <w:r>
              <w:rPr>
                <w:noProof/>
                <w:webHidden/>
              </w:rPr>
              <w:fldChar w:fldCharType="begin"/>
            </w:r>
            <w:r w:rsidR="00E76515">
              <w:rPr>
                <w:noProof/>
                <w:webHidden/>
              </w:rPr>
              <w:instrText xml:space="preserve"> PAGEREF _Toc474638871 \h </w:instrText>
            </w:r>
            <w:r>
              <w:rPr>
                <w:noProof/>
                <w:webHidden/>
              </w:rPr>
            </w:r>
            <w:r>
              <w:rPr>
                <w:noProof/>
                <w:webHidden/>
              </w:rPr>
              <w:fldChar w:fldCharType="separate"/>
            </w:r>
            <w:r w:rsidR="00AF29C3">
              <w:rPr>
                <w:noProof/>
                <w:webHidden/>
              </w:rPr>
              <w:t>180</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72" w:history="1">
            <w:r w:rsidR="00E76515" w:rsidRPr="004E3B7B">
              <w:rPr>
                <w:rStyle w:val="Hyperlink"/>
              </w:rPr>
              <w:t>CHAPTER 5</w:t>
            </w:r>
            <w:r w:rsidR="00E76515">
              <w:rPr>
                <w:webHidden/>
              </w:rPr>
              <w:tab/>
            </w:r>
            <w:r>
              <w:rPr>
                <w:webHidden/>
              </w:rPr>
              <w:fldChar w:fldCharType="begin"/>
            </w:r>
            <w:r w:rsidR="00E76515">
              <w:rPr>
                <w:webHidden/>
              </w:rPr>
              <w:instrText xml:space="preserve"> PAGEREF _Toc474638872 \h </w:instrText>
            </w:r>
            <w:r>
              <w:rPr>
                <w:webHidden/>
              </w:rPr>
            </w:r>
            <w:r>
              <w:rPr>
                <w:webHidden/>
              </w:rPr>
              <w:fldChar w:fldCharType="separate"/>
            </w:r>
            <w:r w:rsidR="00AF29C3">
              <w:rPr>
                <w:webHidden/>
              </w:rPr>
              <w:t>183</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73" w:history="1">
            <w:r w:rsidR="00E76515" w:rsidRPr="004E3B7B">
              <w:rPr>
                <w:rStyle w:val="Hyperlink"/>
              </w:rPr>
              <w:t>Delta Vision, Goals and Scenarios</w:t>
            </w:r>
            <w:r w:rsidR="00E76515">
              <w:rPr>
                <w:webHidden/>
              </w:rPr>
              <w:tab/>
            </w:r>
            <w:r>
              <w:rPr>
                <w:webHidden/>
              </w:rPr>
              <w:fldChar w:fldCharType="begin"/>
            </w:r>
            <w:r w:rsidR="00E76515">
              <w:rPr>
                <w:webHidden/>
              </w:rPr>
              <w:instrText xml:space="preserve"> PAGEREF _Toc474638873 \h </w:instrText>
            </w:r>
            <w:r>
              <w:rPr>
                <w:webHidden/>
              </w:rPr>
            </w:r>
            <w:r>
              <w:rPr>
                <w:webHidden/>
              </w:rPr>
              <w:fldChar w:fldCharType="separate"/>
            </w:r>
            <w:r w:rsidR="00AF29C3">
              <w:rPr>
                <w:webHidden/>
              </w:rPr>
              <w:t>183</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74" w:history="1">
            <w:r w:rsidR="00E76515" w:rsidRPr="004E3B7B">
              <w:rPr>
                <w:rStyle w:val="Hyperlink"/>
                <w:noProof/>
              </w:rPr>
              <w:t>5.1.</w:t>
            </w:r>
            <w:r w:rsidR="00E76515">
              <w:rPr>
                <w:rFonts w:asciiTheme="minorHAnsi" w:eastAsiaTheme="minorEastAsia" w:hAnsiTheme="minorHAnsi"/>
                <w:noProof/>
                <w:szCs w:val="22"/>
                <w:lang w:val="en-US"/>
              </w:rPr>
              <w:tab/>
            </w:r>
            <w:r w:rsidR="00E76515" w:rsidRPr="004E3B7B">
              <w:rPr>
                <w:rStyle w:val="Hyperlink"/>
                <w:noProof/>
              </w:rPr>
              <w:t>Background</w:t>
            </w:r>
            <w:r w:rsidR="00E76515">
              <w:rPr>
                <w:noProof/>
                <w:webHidden/>
              </w:rPr>
              <w:tab/>
            </w:r>
            <w:r>
              <w:rPr>
                <w:noProof/>
                <w:webHidden/>
              </w:rPr>
              <w:fldChar w:fldCharType="begin"/>
            </w:r>
            <w:r w:rsidR="00E76515">
              <w:rPr>
                <w:noProof/>
                <w:webHidden/>
              </w:rPr>
              <w:instrText xml:space="preserve"> PAGEREF _Toc474638874 \h </w:instrText>
            </w:r>
            <w:r>
              <w:rPr>
                <w:noProof/>
                <w:webHidden/>
              </w:rPr>
            </w:r>
            <w:r>
              <w:rPr>
                <w:noProof/>
                <w:webHidden/>
              </w:rPr>
              <w:fldChar w:fldCharType="separate"/>
            </w:r>
            <w:r w:rsidR="00AF29C3">
              <w:rPr>
                <w:noProof/>
                <w:webHidden/>
              </w:rPr>
              <w:t>183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75" w:history="1">
            <w:r w:rsidR="00E76515" w:rsidRPr="004E3B7B">
              <w:rPr>
                <w:rStyle w:val="Hyperlink"/>
                <w:noProof/>
              </w:rPr>
              <w:t>5.2.</w:t>
            </w:r>
            <w:r w:rsidR="00E76515">
              <w:rPr>
                <w:rFonts w:asciiTheme="minorHAnsi" w:eastAsiaTheme="minorEastAsia" w:hAnsiTheme="minorHAnsi"/>
                <w:noProof/>
                <w:szCs w:val="22"/>
                <w:lang w:val="en-US"/>
              </w:rPr>
              <w:tab/>
            </w:r>
            <w:r w:rsidR="00E76515" w:rsidRPr="004E3B7B">
              <w:rPr>
                <w:rStyle w:val="Hyperlink"/>
                <w:noProof/>
              </w:rPr>
              <w:t>Delta Vision, Goals and Targets</w:t>
            </w:r>
            <w:r w:rsidR="00E76515">
              <w:rPr>
                <w:noProof/>
                <w:webHidden/>
              </w:rPr>
              <w:tab/>
            </w:r>
            <w:r>
              <w:rPr>
                <w:noProof/>
                <w:webHidden/>
              </w:rPr>
              <w:fldChar w:fldCharType="begin"/>
            </w:r>
            <w:r w:rsidR="00E76515">
              <w:rPr>
                <w:noProof/>
                <w:webHidden/>
              </w:rPr>
              <w:instrText xml:space="preserve"> PAGEREF _Toc474638875 \h </w:instrText>
            </w:r>
            <w:r>
              <w:rPr>
                <w:noProof/>
                <w:webHidden/>
              </w:rPr>
            </w:r>
            <w:r>
              <w:rPr>
                <w:noProof/>
                <w:webHidden/>
              </w:rPr>
              <w:fldChar w:fldCharType="separate"/>
            </w:r>
            <w:r w:rsidR="00AF29C3">
              <w:rPr>
                <w:noProof/>
                <w:webHidden/>
              </w:rPr>
              <w:t>184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76" w:history="1">
            <w:r w:rsidR="00E76515" w:rsidRPr="004E3B7B">
              <w:rPr>
                <w:rStyle w:val="Hyperlink"/>
                <w:noProof/>
              </w:rPr>
              <w:t>5.3.</w:t>
            </w:r>
            <w:r w:rsidR="00E76515">
              <w:rPr>
                <w:rFonts w:asciiTheme="minorHAnsi" w:eastAsiaTheme="minorEastAsia" w:hAnsiTheme="minorHAnsi"/>
                <w:noProof/>
                <w:szCs w:val="22"/>
                <w:lang w:val="en-US"/>
              </w:rPr>
              <w:tab/>
            </w:r>
            <w:r w:rsidR="00E76515" w:rsidRPr="004E3B7B">
              <w:rPr>
                <w:rStyle w:val="Hyperlink"/>
                <w:noProof/>
              </w:rPr>
              <w:t>Delta Policy Options</w:t>
            </w:r>
            <w:r w:rsidR="00E76515">
              <w:rPr>
                <w:noProof/>
                <w:webHidden/>
              </w:rPr>
              <w:tab/>
            </w:r>
            <w:r>
              <w:rPr>
                <w:noProof/>
                <w:webHidden/>
              </w:rPr>
              <w:fldChar w:fldCharType="begin"/>
            </w:r>
            <w:r w:rsidR="00E76515">
              <w:rPr>
                <w:noProof/>
                <w:webHidden/>
              </w:rPr>
              <w:instrText xml:space="preserve"> PAGEREF _Toc474638876 \h </w:instrText>
            </w:r>
            <w:r>
              <w:rPr>
                <w:noProof/>
                <w:webHidden/>
              </w:rPr>
            </w:r>
            <w:r>
              <w:rPr>
                <w:noProof/>
                <w:webHidden/>
              </w:rPr>
              <w:fldChar w:fldCharType="separate"/>
            </w:r>
            <w:r w:rsidR="00AF29C3">
              <w:rPr>
                <w:noProof/>
                <w:webHidden/>
              </w:rPr>
              <w:t>188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77" w:history="1">
            <w:r w:rsidR="00E76515" w:rsidRPr="004E3B7B">
              <w:rPr>
                <w:rStyle w:val="Hyperlink"/>
                <w:noProof/>
              </w:rPr>
              <w:t>5.4.</w:t>
            </w:r>
            <w:r w:rsidR="00E76515">
              <w:rPr>
                <w:rFonts w:asciiTheme="minorHAnsi" w:eastAsiaTheme="minorEastAsia" w:hAnsiTheme="minorHAnsi"/>
                <w:noProof/>
                <w:szCs w:val="22"/>
                <w:lang w:val="en-US"/>
              </w:rPr>
              <w:tab/>
            </w:r>
            <w:r w:rsidR="00E76515" w:rsidRPr="004E3B7B">
              <w:rPr>
                <w:rStyle w:val="Hyperlink"/>
                <w:noProof/>
              </w:rPr>
              <w:t>Business as Usual (BAU) Policy Option</w:t>
            </w:r>
            <w:r w:rsidR="00E76515">
              <w:rPr>
                <w:noProof/>
                <w:webHidden/>
              </w:rPr>
              <w:tab/>
            </w:r>
            <w:r>
              <w:rPr>
                <w:noProof/>
                <w:webHidden/>
              </w:rPr>
              <w:fldChar w:fldCharType="begin"/>
            </w:r>
            <w:r w:rsidR="00E76515">
              <w:rPr>
                <w:noProof/>
                <w:webHidden/>
              </w:rPr>
              <w:instrText xml:space="preserve"> PAGEREF _Toc474638877 \h </w:instrText>
            </w:r>
            <w:r>
              <w:rPr>
                <w:noProof/>
                <w:webHidden/>
              </w:rPr>
            </w:r>
            <w:r>
              <w:rPr>
                <w:noProof/>
                <w:webHidden/>
              </w:rPr>
              <w:fldChar w:fldCharType="separate"/>
            </w:r>
            <w:r w:rsidR="00AF29C3">
              <w:rPr>
                <w:noProof/>
                <w:webHidden/>
              </w:rPr>
              <w:t>191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78" w:history="1">
            <w:r w:rsidR="00E76515" w:rsidRPr="004E3B7B">
              <w:rPr>
                <w:rStyle w:val="Hyperlink"/>
                <w:noProof/>
              </w:rPr>
              <w:t>5.5.</w:t>
            </w:r>
            <w:r w:rsidR="00E76515">
              <w:rPr>
                <w:rFonts w:asciiTheme="minorHAnsi" w:eastAsiaTheme="minorEastAsia" w:hAnsiTheme="minorHAnsi"/>
                <w:noProof/>
                <w:szCs w:val="22"/>
                <w:lang w:val="en-US"/>
              </w:rPr>
              <w:tab/>
            </w:r>
            <w:r w:rsidR="00E76515" w:rsidRPr="004E3B7B">
              <w:rPr>
                <w:rStyle w:val="Hyperlink"/>
                <w:noProof/>
              </w:rPr>
              <w:t>The Delta Plan (DP) Policy Option</w:t>
            </w:r>
            <w:r w:rsidR="00E76515">
              <w:rPr>
                <w:noProof/>
                <w:webHidden/>
              </w:rPr>
              <w:tab/>
            </w:r>
            <w:r>
              <w:rPr>
                <w:noProof/>
                <w:webHidden/>
              </w:rPr>
              <w:fldChar w:fldCharType="begin"/>
            </w:r>
            <w:r w:rsidR="00E76515">
              <w:rPr>
                <w:noProof/>
                <w:webHidden/>
              </w:rPr>
              <w:instrText xml:space="preserve"> PAGEREF _Toc474638878 \h </w:instrText>
            </w:r>
            <w:r>
              <w:rPr>
                <w:noProof/>
                <w:webHidden/>
              </w:rPr>
            </w:r>
            <w:r>
              <w:rPr>
                <w:noProof/>
                <w:webHidden/>
              </w:rPr>
              <w:fldChar w:fldCharType="separate"/>
            </w:r>
            <w:r w:rsidR="00AF29C3">
              <w:rPr>
                <w:noProof/>
                <w:webHidden/>
              </w:rPr>
              <w:t>197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79" w:history="1">
            <w:r w:rsidR="00E76515" w:rsidRPr="004E3B7B">
              <w:rPr>
                <w:rStyle w:val="Hyperlink"/>
                <w:noProof/>
              </w:rPr>
              <w:t>5.6.</w:t>
            </w:r>
            <w:r w:rsidR="00E76515">
              <w:rPr>
                <w:rFonts w:asciiTheme="minorHAnsi" w:eastAsiaTheme="minorEastAsia" w:hAnsiTheme="minorHAnsi"/>
                <w:noProof/>
                <w:szCs w:val="22"/>
                <w:lang w:val="en-US"/>
              </w:rPr>
              <w:tab/>
            </w:r>
            <w:r w:rsidR="00E76515" w:rsidRPr="004E3B7B">
              <w:rPr>
                <w:rStyle w:val="Hyperlink"/>
                <w:noProof/>
              </w:rPr>
              <w:t>Sectoral Results</w:t>
            </w:r>
            <w:r w:rsidR="00E76515">
              <w:rPr>
                <w:noProof/>
                <w:webHidden/>
              </w:rPr>
              <w:tab/>
            </w:r>
            <w:r>
              <w:rPr>
                <w:noProof/>
                <w:webHidden/>
              </w:rPr>
              <w:fldChar w:fldCharType="begin"/>
            </w:r>
            <w:r w:rsidR="00E76515">
              <w:rPr>
                <w:noProof/>
                <w:webHidden/>
              </w:rPr>
              <w:instrText xml:space="preserve"> PAGEREF _Toc474638879 \h </w:instrText>
            </w:r>
            <w:r>
              <w:rPr>
                <w:noProof/>
                <w:webHidden/>
              </w:rPr>
            </w:r>
            <w:r>
              <w:rPr>
                <w:noProof/>
                <w:webHidden/>
              </w:rPr>
              <w:fldChar w:fldCharType="separate"/>
            </w:r>
            <w:r w:rsidR="00AF29C3">
              <w:rPr>
                <w:noProof/>
                <w:webHidden/>
              </w:rPr>
              <w:t>206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80" w:history="1">
            <w:r w:rsidR="00E76515" w:rsidRPr="004E3B7B">
              <w:rPr>
                <w:rStyle w:val="Hyperlink"/>
                <w:noProof/>
              </w:rPr>
              <w:t>5.7.</w:t>
            </w:r>
            <w:r w:rsidR="00E76515">
              <w:rPr>
                <w:rFonts w:asciiTheme="minorHAnsi" w:eastAsiaTheme="minorEastAsia" w:hAnsiTheme="minorHAnsi"/>
                <w:noProof/>
                <w:szCs w:val="22"/>
                <w:lang w:val="en-US"/>
              </w:rPr>
              <w:tab/>
            </w:r>
            <w:r w:rsidR="00E76515" w:rsidRPr="004E3B7B">
              <w:rPr>
                <w:rStyle w:val="Hyperlink"/>
                <w:noProof/>
              </w:rPr>
              <w:t>Conclusion</w:t>
            </w:r>
            <w:r w:rsidR="00E76515">
              <w:rPr>
                <w:noProof/>
                <w:webHidden/>
              </w:rPr>
              <w:tab/>
            </w:r>
            <w:r>
              <w:rPr>
                <w:noProof/>
                <w:webHidden/>
              </w:rPr>
              <w:fldChar w:fldCharType="begin"/>
            </w:r>
            <w:r w:rsidR="00E76515">
              <w:rPr>
                <w:noProof/>
                <w:webHidden/>
              </w:rPr>
              <w:instrText xml:space="preserve"> PAGEREF _Toc474638880 \h </w:instrText>
            </w:r>
            <w:r>
              <w:rPr>
                <w:noProof/>
                <w:webHidden/>
              </w:rPr>
            </w:r>
            <w:r>
              <w:rPr>
                <w:noProof/>
                <w:webHidden/>
              </w:rPr>
              <w:fldChar w:fldCharType="separate"/>
            </w:r>
            <w:r w:rsidR="00AF29C3">
              <w:rPr>
                <w:noProof/>
                <w:webHidden/>
              </w:rPr>
              <w:t>213</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81" w:history="1">
            <w:r w:rsidR="00E76515" w:rsidRPr="004E3B7B">
              <w:rPr>
                <w:rStyle w:val="Hyperlink"/>
              </w:rPr>
              <w:t>CHAPTER 6</w:t>
            </w:r>
            <w:r w:rsidR="00E76515">
              <w:rPr>
                <w:webHidden/>
              </w:rPr>
              <w:tab/>
            </w:r>
            <w:r>
              <w:rPr>
                <w:webHidden/>
              </w:rPr>
              <w:fldChar w:fldCharType="begin"/>
            </w:r>
            <w:r w:rsidR="00E76515">
              <w:rPr>
                <w:webHidden/>
              </w:rPr>
              <w:instrText xml:space="preserve"> PAGEREF _Toc474638881 \h </w:instrText>
            </w:r>
            <w:r>
              <w:rPr>
                <w:webHidden/>
              </w:rPr>
            </w:r>
            <w:r>
              <w:rPr>
                <w:webHidden/>
              </w:rPr>
              <w:fldChar w:fldCharType="separate"/>
            </w:r>
            <w:r w:rsidR="00AF29C3">
              <w:rPr>
                <w:webHidden/>
              </w:rPr>
              <w:t>215</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82" w:history="1">
            <w:r w:rsidR="00E76515" w:rsidRPr="004E3B7B">
              <w:rPr>
                <w:rStyle w:val="Hyperlink"/>
              </w:rPr>
              <w:t>Managing Water Resources</w:t>
            </w:r>
            <w:r w:rsidR="00E76515">
              <w:rPr>
                <w:webHidden/>
              </w:rPr>
              <w:tab/>
            </w:r>
            <w:r>
              <w:rPr>
                <w:webHidden/>
              </w:rPr>
              <w:fldChar w:fldCharType="begin"/>
            </w:r>
            <w:r w:rsidR="00E76515">
              <w:rPr>
                <w:webHidden/>
              </w:rPr>
              <w:instrText xml:space="preserve"> PAGEREF _Toc474638882 \h </w:instrText>
            </w:r>
            <w:r>
              <w:rPr>
                <w:webHidden/>
              </w:rPr>
            </w:r>
            <w:r>
              <w:rPr>
                <w:webHidden/>
              </w:rPr>
              <w:fldChar w:fldCharType="separate"/>
            </w:r>
            <w:r w:rsidR="00AF29C3">
              <w:rPr>
                <w:webHidden/>
              </w:rPr>
              <w:t>215</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83" w:history="1">
            <w:r w:rsidR="00E76515" w:rsidRPr="004E3B7B">
              <w:rPr>
                <w:rStyle w:val="Hyperlink"/>
                <w:noProof/>
              </w:rPr>
              <w:t>6.1.</w:t>
            </w:r>
            <w:r w:rsidR="00E76515">
              <w:rPr>
                <w:rFonts w:asciiTheme="minorHAnsi" w:eastAsiaTheme="minorEastAsia" w:hAnsiTheme="minorHAnsi"/>
                <w:noProof/>
                <w:szCs w:val="22"/>
                <w:lang w:val="en-US"/>
              </w:rPr>
              <w:tab/>
            </w:r>
            <w:r w:rsidR="00E76515" w:rsidRPr="004E3B7B">
              <w:rPr>
                <w:rStyle w:val="Hyperlink"/>
                <w:noProof/>
              </w:rPr>
              <w:t>Introduction</w:t>
            </w:r>
            <w:r w:rsidR="00E76515">
              <w:rPr>
                <w:noProof/>
                <w:webHidden/>
              </w:rPr>
              <w:tab/>
            </w:r>
            <w:r>
              <w:rPr>
                <w:noProof/>
                <w:webHidden/>
              </w:rPr>
              <w:fldChar w:fldCharType="begin"/>
            </w:r>
            <w:r w:rsidR="00E76515">
              <w:rPr>
                <w:noProof/>
                <w:webHidden/>
              </w:rPr>
              <w:instrText xml:space="preserve"> PAGEREF _Toc474638883 \h </w:instrText>
            </w:r>
            <w:r>
              <w:rPr>
                <w:noProof/>
                <w:webHidden/>
              </w:rPr>
            </w:r>
            <w:r>
              <w:rPr>
                <w:noProof/>
                <w:webHidden/>
              </w:rPr>
              <w:fldChar w:fldCharType="separate"/>
            </w:r>
            <w:r w:rsidR="00AF29C3">
              <w:rPr>
                <w:noProof/>
                <w:webHidden/>
              </w:rPr>
              <w:t>215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84" w:history="1">
            <w:r w:rsidR="00E76515" w:rsidRPr="004E3B7B">
              <w:rPr>
                <w:rStyle w:val="Hyperlink"/>
                <w:noProof/>
              </w:rPr>
              <w:t>6.2.</w:t>
            </w:r>
            <w:r w:rsidR="00E76515">
              <w:rPr>
                <w:rFonts w:asciiTheme="minorHAnsi" w:eastAsiaTheme="minorEastAsia" w:hAnsiTheme="minorHAnsi"/>
                <w:noProof/>
                <w:szCs w:val="22"/>
                <w:lang w:val="en-US"/>
              </w:rPr>
              <w:tab/>
            </w:r>
            <w:r w:rsidR="00E76515" w:rsidRPr="004E3B7B">
              <w:rPr>
                <w:rStyle w:val="Hyperlink"/>
                <w:noProof/>
              </w:rPr>
              <w:t>Water Strategies</w:t>
            </w:r>
            <w:r w:rsidR="00E76515">
              <w:rPr>
                <w:noProof/>
                <w:webHidden/>
              </w:rPr>
              <w:tab/>
            </w:r>
            <w:r>
              <w:rPr>
                <w:noProof/>
                <w:webHidden/>
              </w:rPr>
              <w:fldChar w:fldCharType="begin"/>
            </w:r>
            <w:r w:rsidR="00E76515">
              <w:rPr>
                <w:noProof/>
                <w:webHidden/>
              </w:rPr>
              <w:instrText xml:space="preserve"> PAGEREF _Toc474638884 \h </w:instrText>
            </w:r>
            <w:r>
              <w:rPr>
                <w:noProof/>
                <w:webHidden/>
              </w:rPr>
            </w:r>
            <w:r>
              <w:rPr>
                <w:noProof/>
                <w:webHidden/>
              </w:rPr>
              <w:fldChar w:fldCharType="separate"/>
            </w:r>
            <w:r w:rsidR="00AF29C3">
              <w:rPr>
                <w:noProof/>
                <w:webHidden/>
              </w:rPr>
              <w:t>216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85" w:history="1">
            <w:r w:rsidR="00E76515" w:rsidRPr="004E3B7B">
              <w:rPr>
                <w:rStyle w:val="Hyperlink"/>
                <w:noProof/>
              </w:rPr>
              <w:t>6.3.</w:t>
            </w:r>
            <w:r w:rsidR="00E76515">
              <w:rPr>
                <w:rFonts w:asciiTheme="minorHAnsi" w:eastAsiaTheme="minorEastAsia" w:hAnsiTheme="minorHAnsi"/>
                <w:noProof/>
                <w:szCs w:val="22"/>
                <w:lang w:val="en-US"/>
              </w:rPr>
              <w:tab/>
            </w:r>
            <w:r w:rsidR="00E76515" w:rsidRPr="004E3B7B">
              <w:rPr>
                <w:rStyle w:val="Hyperlink"/>
                <w:noProof/>
              </w:rPr>
              <w:t>National Strategy</w:t>
            </w:r>
            <w:r w:rsidR="00E76515">
              <w:rPr>
                <w:noProof/>
                <w:webHidden/>
              </w:rPr>
              <w:tab/>
            </w:r>
            <w:r>
              <w:rPr>
                <w:noProof/>
                <w:webHidden/>
              </w:rPr>
              <w:fldChar w:fldCharType="begin"/>
            </w:r>
            <w:r w:rsidR="00E76515">
              <w:rPr>
                <w:noProof/>
                <w:webHidden/>
              </w:rPr>
              <w:instrText xml:space="preserve"> PAGEREF _Toc474638885 \h </w:instrText>
            </w:r>
            <w:r>
              <w:rPr>
                <w:noProof/>
                <w:webHidden/>
              </w:rPr>
            </w:r>
            <w:r>
              <w:rPr>
                <w:noProof/>
                <w:webHidden/>
              </w:rPr>
              <w:fldChar w:fldCharType="separate"/>
            </w:r>
            <w:r w:rsidR="00AF29C3">
              <w:rPr>
                <w:noProof/>
                <w:webHidden/>
              </w:rPr>
              <w:t>217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86" w:history="1">
            <w:r w:rsidR="00E76515" w:rsidRPr="004E3B7B">
              <w:rPr>
                <w:rStyle w:val="Hyperlink"/>
                <w:noProof/>
              </w:rPr>
              <w:t>6.4.</w:t>
            </w:r>
            <w:r w:rsidR="00E76515">
              <w:rPr>
                <w:rFonts w:asciiTheme="minorHAnsi" w:eastAsiaTheme="minorEastAsia" w:hAnsiTheme="minorHAnsi"/>
                <w:noProof/>
                <w:szCs w:val="22"/>
                <w:lang w:val="en-US"/>
              </w:rPr>
              <w:tab/>
            </w:r>
            <w:r w:rsidR="00E76515" w:rsidRPr="004E3B7B">
              <w:rPr>
                <w:rStyle w:val="Hyperlink"/>
                <w:noProof/>
              </w:rPr>
              <w:t>Strategy for Priority areas under the Hotspots</w:t>
            </w:r>
            <w:r w:rsidR="00E76515">
              <w:rPr>
                <w:noProof/>
                <w:webHidden/>
              </w:rPr>
              <w:tab/>
            </w:r>
            <w:r>
              <w:rPr>
                <w:noProof/>
                <w:webHidden/>
              </w:rPr>
              <w:fldChar w:fldCharType="begin"/>
            </w:r>
            <w:r w:rsidR="00E76515">
              <w:rPr>
                <w:noProof/>
                <w:webHidden/>
              </w:rPr>
              <w:instrText xml:space="preserve"> PAGEREF _Toc474638886 \h </w:instrText>
            </w:r>
            <w:r>
              <w:rPr>
                <w:noProof/>
                <w:webHidden/>
              </w:rPr>
            </w:r>
            <w:r>
              <w:rPr>
                <w:noProof/>
                <w:webHidden/>
              </w:rPr>
              <w:fldChar w:fldCharType="separate"/>
            </w:r>
            <w:r w:rsidR="00AF29C3">
              <w:rPr>
                <w:noProof/>
                <w:webHidden/>
              </w:rPr>
              <w:t>249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87" w:history="1">
            <w:r w:rsidR="00E76515" w:rsidRPr="004E3B7B">
              <w:rPr>
                <w:rStyle w:val="Hyperlink"/>
                <w:noProof/>
              </w:rPr>
              <w:t>6.5.</w:t>
            </w:r>
            <w:r w:rsidR="00E76515">
              <w:rPr>
                <w:rFonts w:asciiTheme="minorHAnsi" w:eastAsiaTheme="minorEastAsia" w:hAnsiTheme="minorHAnsi"/>
                <w:noProof/>
                <w:szCs w:val="22"/>
                <w:lang w:val="en-US"/>
              </w:rPr>
              <w:tab/>
            </w:r>
            <w:r w:rsidR="00E76515" w:rsidRPr="004E3B7B">
              <w:rPr>
                <w:rStyle w:val="Hyperlink"/>
                <w:noProof/>
              </w:rPr>
              <w:t>Implications for Implementation of Water Strategies</w:t>
            </w:r>
            <w:r w:rsidR="00E76515">
              <w:rPr>
                <w:noProof/>
                <w:webHidden/>
              </w:rPr>
              <w:tab/>
            </w:r>
            <w:r>
              <w:rPr>
                <w:noProof/>
                <w:webHidden/>
              </w:rPr>
              <w:fldChar w:fldCharType="begin"/>
            </w:r>
            <w:r w:rsidR="00E76515">
              <w:rPr>
                <w:noProof/>
                <w:webHidden/>
              </w:rPr>
              <w:instrText xml:space="preserve"> PAGEREF _Toc474638887 \h </w:instrText>
            </w:r>
            <w:r>
              <w:rPr>
                <w:noProof/>
                <w:webHidden/>
              </w:rPr>
            </w:r>
            <w:r>
              <w:rPr>
                <w:noProof/>
                <w:webHidden/>
              </w:rPr>
              <w:fldChar w:fldCharType="separate"/>
            </w:r>
            <w:r w:rsidR="00AF29C3">
              <w:rPr>
                <w:noProof/>
                <w:webHidden/>
              </w:rPr>
              <w:t>260</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88" w:history="1">
            <w:r w:rsidR="00E76515" w:rsidRPr="004E3B7B">
              <w:rPr>
                <w:rStyle w:val="Hyperlink"/>
              </w:rPr>
              <w:t>CHAPTER 7</w:t>
            </w:r>
            <w:r w:rsidR="00E76515">
              <w:rPr>
                <w:webHidden/>
              </w:rPr>
              <w:tab/>
            </w:r>
            <w:r>
              <w:rPr>
                <w:webHidden/>
              </w:rPr>
              <w:fldChar w:fldCharType="begin"/>
            </w:r>
            <w:r w:rsidR="00E76515">
              <w:rPr>
                <w:webHidden/>
              </w:rPr>
              <w:instrText xml:space="preserve"> PAGEREF _Toc474638888 \h </w:instrText>
            </w:r>
            <w:r>
              <w:rPr>
                <w:webHidden/>
              </w:rPr>
            </w:r>
            <w:r>
              <w:rPr>
                <w:webHidden/>
              </w:rPr>
              <w:fldChar w:fldCharType="separate"/>
            </w:r>
            <w:r w:rsidR="00AF29C3">
              <w:rPr>
                <w:webHidden/>
              </w:rPr>
              <w:t>261</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89" w:history="1">
            <w:r w:rsidR="00E76515" w:rsidRPr="004E3B7B">
              <w:rPr>
                <w:rStyle w:val="Hyperlink"/>
              </w:rPr>
              <w:t>Land Resource Management</w:t>
            </w:r>
            <w:r w:rsidR="00E76515">
              <w:rPr>
                <w:webHidden/>
              </w:rPr>
              <w:tab/>
            </w:r>
            <w:r>
              <w:rPr>
                <w:webHidden/>
              </w:rPr>
              <w:fldChar w:fldCharType="begin"/>
            </w:r>
            <w:r w:rsidR="00E76515">
              <w:rPr>
                <w:webHidden/>
              </w:rPr>
              <w:instrText xml:space="preserve"> PAGEREF _Toc474638889 \h </w:instrText>
            </w:r>
            <w:r>
              <w:rPr>
                <w:webHidden/>
              </w:rPr>
            </w:r>
            <w:r>
              <w:rPr>
                <w:webHidden/>
              </w:rPr>
              <w:fldChar w:fldCharType="separate"/>
            </w:r>
            <w:r w:rsidR="00AF29C3">
              <w:rPr>
                <w:webHidden/>
              </w:rPr>
              <w:t>261</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90" w:history="1">
            <w:r w:rsidR="00E76515" w:rsidRPr="004E3B7B">
              <w:rPr>
                <w:rStyle w:val="Hyperlink"/>
                <w:noProof/>
              </w:rPr>
              <w:t>7.1.</w:t>
            </w:r>
            <w:r w:rsidR="00E76515">
              <w:rPr>
                <w:rFonts w:asciiTheme="minorHAnsi" w:eastAsiaTheme="minorEastAsia" w:hAnsiTheme="minorHAnsi"/>
                <w:noProof/>
                <w:szCs w:val="22"/>
                <w:lang w:val="en-US"/>
              </w:rPr>
              <w:tab/>
            </w:r>
            <w:r w:rsidR="00E76515" w:rsidRPr="004E3B7B">
              <w:rPr>
                <w:rStyle w:val="Hyperlink"/>
                <w:noProof/>
              </w:rPr>
              <w:t>Introduction</w:t>
            </w:r>
            <w:r w:rsidR="00E76515">
              <w:rPr>
                <w:noProof/>
                <w:webHidden/>
              </w:rPr>
              <w:tab/>
            </w:r>
            <w:r>
              <w:rPr>
                <w:noProof/>
                <w:webHidden/>
              </w:rPr>
              <w:fldChar w:fldCharType="begin"/>
            </w:r>
            <w:r w:rsidR="00E76515">
              <w:rPr>
                <w:noProof/>
                <w:webHidden/>
              </w:rPr>
              <w:instrText xml:space="preserve"> PAGEREF _Toc474638890 \h </w:instrText>
            </w:r>
            <w:r>
              <w:rPr>
                <w:noProof/>
                <w:webHidden/>
              </w:rPr>
            </w:r>
            <w:r>
              <w:rPr>
                <w:noProof/>
                <w:webHidden/>
              </w:rPr>
              <w:fldChar w:fldCharType="separate"/>
            </w:r>
            <w:r w:rsidR="00AF29C3">
              <w:rPr>
                <w:noProof/>
                <w:webHidden/>
              </w:rPr>
              <w:t>261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91" w:history="1">
            <w:r w:rsidR="00E76515" w:rsidRPr="004E3B7B">
              <w:rPr>
                <w:rStyle w:val="Hyperlink"/>
                <w:noProof/>
              </w:rPr>
              <w:t>7.2.</w:t>
            </w:r>
            <w:r w:rsidR="00E76515">
              <w:rPr>
                <w:rFonts w:asciiTheme="minorHAnsi" w:eastAsiaTheme="minorEastAsia" w:hAnsiTheme="minorHAnsi"/>
                <w:noProof/>
                <w:szCs w:val="22"/>
                <w:lang w:val="en-US"/>
              </w:rPr>
              <w:tab/>
            </w:r>
            <w:r w:rsidR="00E76515" w:rsidRPr="004E3B7B">
              <w:rPr>
                <w:rStyle w:val="Hyperlink"/>
                <w:noProof/>
              </w:rPr>
              <w:t>Land Resource Management</w:t>
            </w:r>
            <w:r w:rsidR="00E76515">
              <w:rPr>
                <w:noProof/>
                <w:webHidden/>
              </w:rPr>
              <w:tab/>
            </w:r>
            <w:r>
              <w:rPr>
                <w:noProof/>
                <w:webHidden/>
              </w:rPr>
              <w:fldChar w:fldCharType="begin"/>
            </w:r>
            <w:r w:rsidR="00E76515">
              <w:rPr>
                <w:noProof/>
                <w:webHidden/>
              </w:rPr>
              <w:instrText xml:space="preserve"> PAGEREF _Toc474638891 \h </w:instrText>
            </w:r>
            <w:r>
              <w:rPr>
                <w:noProof/>
                <w:webHidden/>
              </w:rPr>
            </w:r>
            <w:r>
              <w:rPr>
                <w:noProof/>
                <w:webHidden/>
              </w:rPr>
              <w:fldChar w:fldCharType="separate"/>
            </w:r>
            <w:r w:rsidR="00AF29C3">
              <w:rPr>
                <w:noProof/>
                <w:webHidden/>
              </w:rPr>
              <w:t>265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92" w:history="1">
            <w:r w:rsidR="00E76515" w:rsidRPr="004E3B7B">
              <w:rPr>
                <w:rStyle w:val="Hyperlink"/>
                <w:noProof/>
              </w:rPr>
              <w:t>7.3.</w:t>
            </w:r>
            <w:r w:rsidR="00E76515">
              <w:rPr>
                <w:rFonts w:asciiTheme="minorHAnsi" w:eastAsiaTheme="minorEastAsia" w:hAnsiTheme="minorHAnsi"/>
                <w:noProof/>
                <w:szCs w:val="22"/>
                <w:lang w:val="en-US"/>
              </w:rPr>
              <w:tab/>
            </w:r>
            <w:r w:rsidR="00E76515" w:rsidRPr="004E3B7B">
              <w:rPr>
                <w:rStyle w:val="Hyperlink"/>
                <w:noProof/>
              </w:rPr>
              <w:t>Governance Structure of Land Management</w:t>
            </w:r>
            <w:r w:rsidR="00E76515">
              <w:rPr>
                <w:noProof/>
                <w:webHidden/>
              </w:rPr>
              <w:tab/>
            </w:r>
            <w:r>
              <w:rPr>
                <w:noProof/>
                <w:webHidden/>
              </w:rPr>
              <w:fldChar w:fldCharType="begin"/>
            </w:r>
            <w:r w:rsidR="00E76515">
              <w:rPr>
                <w:noProof/>
                <w:webHidden/>
              </w:rPr>
              <w:instrText xml:space="preserve"> PAGEREF _Toc474638892 \h </w:instrText>
            </w:r>
            <w:r>
              <w:rPr>
                <w:noProof/>
                <w:webHidden/>
              </w:rPr>
            </w:r>
            <w:r>
              <w:rPr>
                <w:noProof/>
                <w:webHidden/>
              </w:rPr>
              <w:fldChar w:fldCharType="separate"/>
            </w:r>
            <w:r w:rsidR="00AF29C3">
              <w:rPr>
                <w:noProof/>
                <w:webHidden/>
              </w:rPr>
              <w:t>286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93" w:history="1">
            <w:r w:rsidR="00E76515" w:rsidRPr="004E3B7B">
              <w:rPr>
                <w:rStyle w:val="Hyperlink"/>
                <w:noProof/>
              </w:rPr>
              <w:t>7.4.</w:t>
            </w:r>
            <w:r w:rsidR="00E76515">
              <w:rPr>
                <w:rFonts w:asciiTheme="minorHAnsi" w:eastAsiaTheme="minorEastAsia" w:hAnsiTheme="minorHAnsi"/>
                <w:noProof/>
                <w:szCs w:val="22"/>
                <w:lang w:val="en-US"/>
              </w:rPr>
              <w:tab/>
            </w:r>
            <w:r w:rsidR="00E76515" w:rsidRPr="004E3B7B">
              <w:rPr>
                <w:rStyle w:val="Hyperlink"/>
                <w:noProof/>
              </w:rPr>
              <w:t>Land Management related Laws and Regulations</w:t>
            </w:r>
            <w:r w:rsidR="00E76515">
              <w:rPr>
                <w:noProof/>
                <w:webHidden/>
              </w:rPr>
              <w:tab/>
            </w:r>
            <w:r>
              <w:rPr>
                <w:noProof/>
                <w:webHidden/>
              </w:rPr>
              <w:fldChar w:fldCharType="begin"/>
            </w:r>
            <w:r w:rsidR="00E76515">
              <w:rPr>
                <w:noProof/>
                <w:webHidden/>
              </w:rPr>
              <w:instrText xml:space="preserve"> PAGEREF _Toc474638893 \h </w:instrText>
            </w:r>
            <w:r>
              <w:rPr>
                <w:noProof/>
                <w:webHidden/>
              </w:rPr>
            </w:r>
            <w:r>
              <w:rPr>
                <w:noProof/>
                <w:webHidden/>
              </w:rPr>
              <w:fldChar w:fldCharType="separate"/>
            </w:r>
            <w:r w:rsidR="00AF29C3">
              <w:rPr>
                <w:noProof/>
                <w:webHidden/>
              </w:rPr>
              <w:t>292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94" w:history="1">
            <w:r w:rsidR="00E76515" w:rsidRPr="004E3B7B">
              <w:rPr>
                <w:rStyle w:val="Hyperlink"/>
                <w:noProof/>
              </w:rPr>
              <w:t>7.5.</w:t>
            </w:r>
            <w:r w:rsidR="00E76515">
              <w:rPr>
                <w:rFonts w:asciiTheme="minorHAnsi" w:eastAsiaTheme="minorEastAsia" w:hAnsiTheme="minorHAnsi"/>
                <w:noProof/>
                <w:szCs w:val="22"/>
                <w:lang w:val="en-US"/>
              </w:rPr>
              <w:tab/>
            </w:r>
            <w:r w:rsidR="00E76515" w:rsidRPr="004E3B7B">
              <w:rPr>
                <w:rStyle w:val="Hyperlink"/>
                <w:noProof/>
              </w:rPr>
              <w:t>Policies and Priorities</w:t>
            </w:r>
            <w:r w:rsidR="00E76515">
              <w:rPr>
                <w:noProof/>
                <w:webHidden/>
              </w:rPr>
              <w:tab/>
            </w:r>
            <w:r>
              <w:rPr>
                <w:noProof/>
                <w:webHidden/>
              </w:rPr>
              <w:fldChar w:fldCharType="begin"/>
            </w:r>
            <w:r w:rsidR="00E76515">
              <w:rPr>
                <w:noProof/>
                <w:webHidden/>
              </w:rPr>
              <w:instrText xml:space="preserve"> PAGEREF _Toc474638894 \h </w:instrText>
            </w:r>
            <w:r>
              <w:rPr>
                <w:noProof/>
                <w:webHidden/>
              </w:rPr>
            </w:r>
            <w:r>
              <w:rPr>
                <w:noProof/>
                <w:webHidden/>
              </w:rPr>
              <w:fldChar w:fldCharType="separate"/>
            </w:r>
            <w:r w:rsidR="00AF29C3">
              <w:rPr>
                <w:noProof/>
                <w:webHidden/>
              </w:rPr>
              <w:t>293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95" w:history="1">
            <w:r w:rsidR="00E76515" w:rsidRPr="004E3B7B">
              <w:rPr>
                <w:rStyle w:val="Hyperlink"/>
                <w:noProof/>
              </w:rPr>
              <w:t>7.6.</w:t>
            </w:r>
            <w:r w:rsidR="00E76515">
              <w:rPr>
                <w:rFonts w:asciiTheme="minorHAnsi" w:eastAsiaTheme="minorEastAsia" w:hAnsiTheme="minorHAnsi"/>
                <w:noProof/>
                <w:szCs w:val="22"/>
                <w:lang w:val="en-US"/>
              </w:rPr>
              <w:tab/>
            </w:r>
            <w:r w:rsidR="00E76515" w:rsidRPr="004E3B7B">
              <w:rPr>
                <w:rStyle w:val="Hyperlink"/>
                <w:noProof/>
              </w:rPr>
              <w:t>Strategy for Sustainable Land Use and Spatial Planning</w:t>
            </w:r>
            <w:r w:rsidR="00E76515">
              <w:rPr>
                <w:noProof/>
                <w:webHidden/>
              </w:rPr>
              <w:tab/>
            </w:r>
            <w:r>
              <w:rPr>
                <w:noProof/>
                <w:webHidden/>
              </w:rPr>
              <w:fldChar w:fldCharType="begin"/>
            </w:r>
            <w:r w:rsidR="00E76515">
              <w:rPr>
                <w:noProof/>
                <w:webHidden/>
              </w:rPr>
              <w:instrText xml:space="preserve"> PAGEREF _Toc474638895 \h </w:instrText>
            </w:r>
            <w:r>
              <w:rPr>
                <w:noProof/>
                <w:webHidden/>
              </w:rPr>
            </w:r>
            <w:r>
              <w:rPr>
                <w:noProof/>
                <w:webHidden/>
              </w:rPr>
              <w:fldChar w:fldCharType="separate"/>
            </w:r>
            <w:r w:rsidR="00AF29C3">
              <w:rPr>
                <w:noProof/>
                <w:webHidden/>
              </w:rPr>
              <w:t>298</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96" w:history="1">
            <w:r w:rsidR="00E76515" w:rsidRPr="004E3B7B">
              <w:rPr>
                <w:rStyle w:val="Hyperlink"/>
              </w:rPr>
              <w:t>CHAPTER 8</w:t>
            </w:r>
            <w:r w:rsidR="00E76515">
              <w:rPr>
                <w:webHidden/>
              </w:rPr>
              <w:tab/>
            </w:r>
            <w:r>
              <w:rPr>
                <w:webHidden/>
              </w:rPr>
              <w:fldChar w:fldCharType="begin"/>
            </w:r>
            <w:r w:rsidR="00E76515">
              <w:rPr>
                <w:webHidden/>
              </w:rPr>
              <w:instrText xml:space="preserve"> PAGEREF _Toc474638896 \h </w:instrText>
            </w:r>
            <w:r>
              <w:rPr>
                <w:webHidden/>
              </w:rPr>
            </w:r>
            <w:r>
              <w:rPr>
                <w:webHidden/>
              </w:rPr>
              <w:fldChar w:fldCharType="separate"/>
            </w:r>
            <w:r w:rsidR="00AF29C3">
              <w:rPr>
                <w:webHidden/>
              </w:rPr>
              <w:t>309</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897" w:history="1">
            <w:r w:rsidR="00E76515" w:rsidRPr="004E3B7B">
              <w:rPr>
                <w:rStyle w:val="Hyperlink"/>
              </w:rPr>
              <w:t>Sustainable Agriculture, Food Security, Nutrition and Livelihoods</w:t>
            </w:r>
            <w:r w:rsidR="00E76515">
              <w:rPr>
                <w:webHidden/>
              </w:rPr>
              <w:tab/>
            </w:r>
            <w:r>
              <w:rPr>
                <w:webHidden/>
              </w:rPr>
              <w:fldChar w:fldCharType="begin"/>
            </w:r>
            <w:r w:rsidR="00E76515">
              <w:rPr>
                <w:webHidden/>
              </w:rPr>
              <w:instrText xml:space="preserve"> PAGEREF _Toc474638897 \h </w:instrText>
            </w:r>
            <w:r>
              <w:rPr>
                <w:webHidden/>
              </w:rPr>
            </w:r>
            <w:r>
              <w:rPr>
                <w:webHidden/>
              </w:rPr>
              <w:fldChar w:fldCharType="separate"/>
            </w:r>
            <w:r w:rsidR="00AF29C3">
              <w:rPr>
                <w:webHidden/>
              </w:rPr>
              <w:t>309</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98" w:history="1">
            <w:r w:rsidR="00E76515" w:rsidRPr="004E3B7B">
              <w:rPr>
                <w:rStyle w:val="Hyperlink"/>
                <w:noProof/>
              </w:rPr>
              <w:t>8.1.</w:t>
            </w:r>
            <w:r w:rsidR="00E76515">
              <w:rPr>
                <w:rFonts w:asciiTheme="minorHAnsi" w:eastAsiaTheme="minorEastAsia" w:hAnsiTheme="minorHAnsi"/>
                <w:noProof/>
                <w:szCs w:val="22"/>
                <w:lang w:val="en-US"/>
              </w:rPr>
              <w:tab/>
            </w:r>
            <w:r w:rsidR="00E76515" w:rsidRPr="004E3B7B">
              <w:rPr>
                <w:rStyle w:val="Hyperlink"/>
                <w:noProof/>
              </w:rPr>
              <w:t>Climate Change and the Bangladesh Delta</w:t>
            </w:r>
            <w:r w:rsidR="00E76515">
              <w:rPr>
                <w:noProof/>
                <w:webHidden/>
              </w:rPr>
              <w:tab/>
            </w:r>
            <w:r>
              <w:rPr>
                <w:noProof/>
                <w:webHidden/>
              </w:rPr>
              <w:fldChar w:fldCharType="begin"/>
            </w:r>
            <w:r w:rsidR="00E76515">
              <w:rPr>
                <w:noProof/>
                <w:webHidden/>
              </w:rPr>
              <w:instrText xml:space="preserve"> PAGEREF _Toc474638898 \h </w:instrText>
            </w:r>
            <w:r>
              <w:rPr>
                <w:noProof/>
                <w:webHidden/>
              </w:rPr>
            </w:r>
            <w:r>
              <w:rPr>
                <w:noProof/>
                <w:webHidden/>
              </w:rPr>
              <w:fldChar w:fldCharType="separate"/>
            </w:r>
            <w:r w:rsidR="00AF29C3">
              <w:rPr>
                <w:noProof/>
                <w:webHidden/>
              </w:rPr>
              <w:t>309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899" w:history="1">
            <w:r w:rsidR="00E76515" w:rsidRPr="004E3B7B">
              <w:rPr>
                <w:rStyle w:val="Hyperlink"/>
                <w:noProof/>
              </w:rPr>
              <w:t>8.2.</w:t>
            </w:r>
            <w:r w:rsidR="00E76515">
              <w:rPr>
                <w:rFonts w:asciiTheme="minorHAnsi" w:eastAsiaTheme="minorEastAsia" w:hAnsiTheme="minorHAnsi"/>
                <w:noProof/>
                <w:szCs w:val="22"/>
                <w:lang w:val="en-US"/>
              </w:rPr>
              <w:tab/>
            </w:r>
            <w:r w:rsidR="00E76515" w:rsidRPr="004E3B7B">
              <w:rPr>
                <w:rStyle w:val="Hyperlink"/>
                <w:noProof/>
              </w:rPr>
              <w:t>Opportunities and Challenges in Agriculture</w:t>
            </w:r>
            <w:r w:rsidR="00E76515">
              <w:rPr>
                <w:noProof/>
                <w:webHidden/>
              </w:rPr>
              <w:tab/>
            </w:r>
            <w:r>
              <w:rPr>
                <w:noProof/>
                <w:webHidden/>
              </w:rPr>
              <w:fldChar w:fldCharType="begin"/>
            </w:r>
            <w:r w:rsidR="00E76515">
              <w:rPr>
                <w:noProof/>
                <w:webHidden/>
              </w:rPr>
              <w:instrText xml:space="preserve"> PAGEREF _Toc474638899 \h </w:instrText>
            </w:r>
            <w:r>
              <w:rPr>
                <w:noProof/>
                <w:webHidden/>
              </w:rPr>
            </w:r>
            <w:r>
              <w:rPr>
                <w:noProof/>
                <w:webHidden/>
              </w:rPr>
              <w:fldChar w:fldCharType="separate"/>
            </w:r>
            <w:r w:rsidR="00AF29C3">
              <w:rPr>
                <w:noProof/>
                <w:webHidden/>
              </w:rPr>
              <w:t>310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00" w:history="1">
            <w:r w:rsidR="00E76515" w:rsidRPr="004E3B7B">
              <w:rPr>
                <w:rStyle w:val="Hyperlink"/>
                <w:noProof/>
              </w:rPr>
              <w:t>8.3.</w:t>
            </w:r>
            <w:r w:rsidR="00E76515">
              <w:rPr>
                <w:rFonts w:asciiTheme="minorHAnsi" w:eastAsiaTheme="minorEastAsia" w:hAnsiTheme="minorHAnsi"/>
                <w:noProof/>
                <w:szCs w:val="22"/>
                <w:lang w:val="en-US"/>
              </w:rPr>
              <w:tab/>
            </w:r>
            <w:r w:rsidR="00E76515" w:rsidRPr="004E3B7B">
              <w:rPr>
                <w:rStyle w:val="Hyperlink"/>
                <w:noProof/>
              </w:rPr>
              <w:t>Issues and Challenges Facing Bangladesh Agriculture</w:t>
            </w:r>
            <w:r w:rsidR="00E76515">
              <w:rPr>
                <w:noProof/>
                <w:webHidden/>
              </w:rPr>
              <w:tab/>
            </w:r>
            <w:r>
              <w:rPr>
                <w:noProof/>
                <w:webHidden/>
              </w:rPr>
              <w:fldChar w:fldCharType="begin"/>
            </w:r>
            <w:r w:rsidR="00E76515">
              <w:rPr>
                <w:noProof/>
                <w:webHidden/>
              </w:rPr>
              <w:instrText xml:space="preserve"> PAGEREF _Toc474638900 \h </w:instrText>
            </w:r>
            <w:r>
              <w:rPr>
                <w:noProof/>
                <w:webHidden/>
              </w:rPr>
            </w:r>
            <w:r>
              <w:rPr>
                <w:noProof/>
                <w:webHidden/>
              </w:rPr>
              <w:fldChar w:fldCharType="separate"/>
            </w:r>
            <w:r w:rsidR="00AF29C3">
              <w:rPr>
                <w:noProof/>
                <w:webHidden/>
              </w:rPr>
              <w:t>319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01" w:history="1">
            <w:r w:rsidR="00E76515" w:rsidRPr="004E3B7B">
              <w:rPr>
                <w:rStyle w:val="Hyperlink"/>
                <w:noProof/>
              </w:rPr>
              <w:t>8.4.</w:t>
            </w:r>
            <w:r w:rsidR="00E76515">
              <w:rPr>
                <w:rFonts w:asciiTheme="minorHAnsi" w:eastAsiaTheme="minorEastAsia" w:hAnsiTheme="minorHAnsi"/>
                <w:noProof/>
                <w:szCs w:val="22"/>
                <w:lang w:val="en-US"/>
              </w:rPr>
              <w:tab/>
            </w:r>
            <w:r w:rsidR="00E76515" w:rsidRPr="004E3B7B">
              <w:rPr>
                <w:rStyle w:val="Hyperlink"/>
                <w:noProof/>
              </w:rPr>
              <w:t>Climate Change, Agriculture and Food Security</w:t>
            </w:r>
            <w:r w:rsidR="00E76515">
              <w:rPr>
                <w:noProof/>
                <w:webHidden/>
              </w:rPr>
              <w:tab/>
            </w:r>
            <w:r>
              <w:rPr>
                <w:noProof/>
                <w:webHidden/>
              </w:rPr>
              <w:fldChar w:fldCharType="begin"/>
            </w:r>
            <w:r w:rsidR="00E76515">
              <w:rPr>
                <w:noProof/>
                <w:webHidden/>
              </w:rPr>
              <w:instrText xml:space="preserve"> PAGEREF _Toc474638901 \h </w:instrText>
            </w:r>
            <w:r>
              <w:rPr>
                <w:noProof/>
                <w:webHidden/>
              </w:rPr>
            </w:r>
            <w:r>
              <w:rPr>
                <w:noProof/>
                <w:webHidden/>
              </w:rPr>
              <w:fldChar w:fldCharType="separate"/>
            </w:r>
            <w:r w:rsidR="00AF29C3">
              <w:rPr>
                <w:noProof/>
                <w:webHidden/>
              </w:rPr>
              <w:t>322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02" w:history="1">
            <w:r w:rsidR="00E76515" w:rsidRPr="004E3B7B">
              <w:rPr>
                <w:rStyle w:val="Hyperlink"/>
                <w:noProof/>
              </w:rPr>
              <w:t>8.5.</w:t>
            </w:r>
            <w:r w:rsidR="00E76515">
              <w:rPr>
                <w:rFonts w:asciiTheme="minorHAnsi" w:eastAsiaTheme="minorEastAsia" w:hAnsiTheme="minorHAnsi"/>
                <w:noProof/>
                <w:szCs w:val="22"/>
                <w:lang w:val="en-US"/>
              </w:rPr>
              <w:tab/>
            </w:r>
            <w:r w:rsidR="00E76515" w:rsidRPr="004E3B7B">
              <w:rPr>
                <w:rStyle w:val="Hyperlink"/>
                <w:noProof/>
              </w:rPr>
              <w:t>International Evidence on Developing Deltaic Agriculture under Climate Change</w:t>
            </w:r>
            <w:r w:rsidR="00E76515">
              <w:rPr>
                <w:noProof/>
                <w:webHidden/>
              </w:rPr>
              <w:tab/>
            </w:r>
            <w:r>
              <w:rPr>
                <w:noProof/>
                <w:webHidden/>
              </w:rPr>
              <w:fldChar w:fldCharType="begin"/>
            </w:r>
            <w:r w:rsidR="00E76515">
              <w:rPr>
                <w:noProof/>
                <w:webHidden/>
              </w:rPr>
              <w:instrText xml:space="preserve"> PAGEREF _Toc474638902 \h </w:instrText>
            </w:r>
            <w:r>
              <w:rPr>
                <w:noProof/>
                <w:webHidden/>
              </w:rPr>
            </w:r>
            <w:r>
              <w:rPr>
                <w:noProof/>
                <w:webHidden/>
              </w:rPr>
              <w:fldChar w:fldCharType="separate"/>
            </w:r>
            <w:r w:rsidR="00AF29C3">
              <w:rPr>
                <w:noProof/>
                <w:webHidden/>
              </w:rPr>
              <w:t>328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03" w:history="1">
            <w:r w:rsidR="00E76515" w:rsidRPr="004E3B7B">
              <w:rPr>
                <w:rStyle w:val="Hyperlink"/>
                <w:noProof/>
              </w:rPr>
              <w:t>8.6.</w:t>
            </w:r>
            <w:r w:rsidR="00E76515">
              <w:rPr>
                <w:rFonts w:asciiTheme="minorHAnsi" w:eastAsiaTheme="minorEastAsia" w:hAnsiTheme="minorHAnsi"/>
                <w:noProof/>
                <w:szCs w:val="22"/>
                <w:lang w:val="en-US"/>
              </w:rPr>
              <w:tab/>
            </w:r>
            <w:r w:rsidR="00E76515" w:rsidRPr="004E3B7B">
              <w:rPr>
                <w:rStyle w:val="Hyperlink"/>
                <w:noProof/>
              </w:rPr>
              <w:t>Adaptation and Mitigation Measures in Bangladesh Agriculture and Food Security</w:t>
            </w:r>
            <w:r w:rsidR="00E76515">
              <w:rPr>
                <w:noProof/>
                <w:webHidden/>
              </w:rPr>
              <w:tab/>
            </w:r>
            <w:r>
              <w:rPr>
                <w:noProof/>
                <w:webHidden/>
              </w:rPr>
              <w:fldChar w:fldCharType="begin"/>
            </w:r>
            <w:r w:rsidR="00E76515">
              <w:rPr>
                <w:noProof/>
                <w:webHidden/>
              </w:rPr>
              <w:instrText xml:space="preserve"> PAGEREF _Toc474638903 \h </w:instrText>
            </w:r>
            <w:r>
              <w:rPr>
                <w:noProof/>
                <w:webHidden/>
              </w:rPr>
            </w:r>
            <w:r>
              <w:rPr>
                <w:noProof/>
                <w:webHidden/>
              </w:rPr>
              <w:fldChar w:fldCharType="separate"/>
            </w:r>
            <w:r w:rsidR="00AF29C3">
              <w:rPr>
                <w:noProof/>
                <w:webHidden/>
              </w:rPr>
              <w:t>340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04" w:history="1">
            <w:r w:rsidR="00E76515" w:rsidRPr="004E3B7B">
              <w:rPr>
                <w:rStyle w:val="Hyperlink"/>
                <w:noProof/>
              </w:rPr>
              <w:t>8.7.</w:t>
            </w:r>
            <w:r w:rsidR="00E76515">
              <w:rPr>
                <w:rFonts w:asciiTheme="minorHAnsi" w:eastAsiaTheme="minorEastAsia" w:hAnsiTheme="minorHAnsi"/>
                <w:noProof/>
                <w:szCs w:val="22"/>
                <w:lang w:val="en-US"/>
              </w:rPr>
              <w:tab/>
            </w:r>
            <w:r w:rsidR="00E76515" w:rsidRPr="004E3B7B">
              <w:rPr>
                <w:rStyle w:val="Hyperlink"/>
                <w:noProof/>
              </w:rPr>
              <w:t>Special Considerations for Agriculture and Rural Livelihoods by Hot Spots</w:t>
            </w:r>
            <w:r w:rsidR="00E76515">
              <w:rPr>
                <w:noProof/>
                <w:webHidden/>
              </w:rPr>
              <w:tab/>
            </w:r>
            <w:r>
              <w:rPr>
                <w:noProof/>
                <w:webHidden/>
              </w:rPr>
              <w:fldChar w:fldCharType="begin"/>
            </w:r>
            <w:r w:rsidR="00E76515">
              <w:rPr>
                <w:noProof/>
                <w:webHidden/>
              </w:rPr>
              <w:instrText xml:space="preserve"> PAGEREF _Toc474638904 \h </w:instrText>
            </w:r>
            <w:r>
              <w:rPr>
                <w:noProof/>
                <w:webHidden/>
              </w:rPr>
            </w:r>
            <w:r>
              <w:rPr>
                <w:noProof/>
                <w:webHidden/>
              </w:rPr>
              <w:fldChar w:fldCharType="separate"/>
            </w:r>
            <w:r w:rsidR="00AF29C3">
              <w:rPr>
                <w:noProof/>
                <w:webHidden/>
              </w:rPr>
              <w:t>366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05" w:history="1">
            <w:r w:rsidR="00E76515" w:rsidRPr="004E3B7B">
              <w:rPr>
                <w:rStyle w:val="Hyperlink"/>
                <w:noProof/>
              </w:rPr>
              <w:t>8.8.</w:t>
            </w:r>
            <w:r w:rsidR="00E76515">
              <w:rPr>
                <w:rFonts w:asciiTheme="minorHAnsi" w:eastAsiaTheme="minorEastAsia" w:hAnsiTheme="minorHAnsi"/>
                <w:noProof/>
                <w:szCs w:val="22"/>
                <w:lang w:val="en-US"/>
              </w:rPr>
              <w:tab/>
            </w:r>
            <w:r w:rsidR="00E76515" w:rsidRPr="004E3B7B">
              <w:rPr>
                <w:rStyle w:val="Hyperlink"/>
                <w:noProof/>
              </w:rPr>
              <w:t>Concluding Remarks</w:t>
            </w:r>
            <w:r w:rsidR="00E76515">
              <w:rPr>
                <w:noProof/>
                <w:webHidden/>
              </w:rPr>
              <w:tab/>
            </w:r>
            <w:r>
              <w:rPr>
                <w:noProof/>
                <w:webHidden/>
              </w:rPr>
              <w:fldChar w:fldCharType="begin"/>
            </w:r>
            <w:r w:rsidR="00E76515">
              <w:rPr>
                <w:noProof/>
                <w:webHidden/>
              </w:rPr>
              <w:instrText xml:space="preserve"> PAGEREF _Toc474638905 \h </w:instrText>
            </w:r>
            <w:r>
              <w:rPr>
                <w:noProof/>
                <w:webHidden/>
              </w:rPr>
            </w:r>
            <w:r>
              <w:rPr>
                <w:noProof/>
                <w:webHidden/>
              </w:rPr>
              <w:fldChar w:fldCharType="separate"/>
            </w:r>
            <w:r w:rsidR="00AF29C3">
              <w:rPr>
                <w:noProof/>
                <w:webHidden/>
              </w:rPr>
              <w:t>379</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06" w:history="1">
            <w:r w:rsidR="00E76515" w:rsidRPr="004E3B7B">
              <w:rPr>
                <w:rStyle w:val="Hyperlink"/>
              </w:rPr>
              <w:t>CHAPTER 9</w:t>
            </w:r>
            <w:r w:rsidR="00E76515">
              <w:rPr>
                <w:webHidden/>
              </w:rPr>
              <w:tab/>
            </w:r>
            <w:r>
              <w:rPr>
                <w:webHidden/>
              </w:rPr>
              <w:fldChar w:fldCharType="begin"/>
            </w:r>
            <w:r w:rsidR="00E76515">
              <w:rPr>
                <w:webHidden/>
              </w:rPr>
              <w:instrText xml:space="preserve"> PAGEREF _Toc474638906 \h </w:instrText>
            </w:r>
            <w:r>
              <w:rPr>
                <w:webHidden/>
              </w:rPr>
            </w:r>
            <w:r>
              <w:rPr>
                <w:webHidden/>
              </w:rPr>
              <w:fldChar w:fldCharType="separate"/>
            </w:r>
            <w:r w:rsidR="00AF29C3">
              <w:rPr>
                <w:webHidden/>
              </w:rPr>
              <w:t>381</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07" w:history="1">
            <w:r w:rsidR="00E76515" w:rsidRPr="004E3B7B">
              <w:rPr>
                <w:rStyle w:val="Hyperlink"/>
              </w:rPr>
              <w:t>Dynamizing the Inland Water Transport System of the Bangladesh Delta</w:t>
            </w:r>
            <w:r w:rsidR="00E76515">
              <w:rPr>
                <w:webHidden/>
              </w:rPr>
              <w:tab/>
            </w:r>
            <w:r>
              <w:rPr>
                <w:webHidden/>
              </w:rPr>
              <w:fldChar w:fldCharType="begin"/>
            </w:r>
            <w:r w:rsidR="00E76515">
              <w:rPr>
                <w:webHidden/>
              </w:rPr>
              <w:instrText xml:space="preserve"> PAGEREF _Toc474638907 \h </w:instrText>
            </w:r>
            <w:r>
              <w:rPr>
                <w:webHidden/>
              </w:rPr>
            </w:r>
            <w:r>
              <w:rPr>
                <w:webHidden/>
              </w:rPr>
              <w:fldChar w:fldCharType="separate"/>
            </w:r>
            <w:r w:rsidR="00AF29C3">
              <w:rPr>
                <w:webHidden/>
              </w:rPr>
              <w:t>381</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08" w:history="1">
            <w:r w:rsidR="00E76515" w:rsidRPr="004E3B7B">
              <w:rPr>
                <w:rStyle w:val="Hyperlink"/>
                <w:noProof/>
              </w:rPr>
              <w:t>9.1.</w:t>
            </w:r>
            <w:r w:rsidR="00E76515">
              <w:rPr>
                <w:rFonts w:asciiTheme="minorHAnsi" w:eastAsiaTheme="minorEastAsia" w:hAnsiTheme="minorHAnsi"/>
                <w:noProof/>
                <w:szCs w:val="22"/>
                <w:lang w:val="en-US"/>
              </w:rPr>
              <w:tab/>
            </w:r>
            <w:r w:rsidR="00E76515" w:rsidRPr="004E3B7B">
              <w:rPr>
                <w:rStyle w:val="Hyperlink"/>
                <w:noProof/>
              </w:rPr>
              <w:t>Inland Water Transport Development Context</w:t>
            </w:r>
            <w:r w:rsidR="00E76515">
              <w:rPr>
                <w:noProof/>
                <w:webHidden/>
              </w:rPr>
              <w:tab/>
            </w:r>
            <w:r>
              <w:rPr>
                <w:noProof/>
                <w:webHidden/>
              </w:rPr>
              <w:fldChar w:fldCharType="begin"/>
            </w:r>
            <w:r w:rsidR="00E76515">
              <w:rPr>
                <w:noProof/>
                <w:webHidden/>
              </w:rPr>
              <w:instrText xml:space="preserve"> PAGEREF _Toc474638908 \h </w:instrText>
            </w:r>
            <w:r>
              <w:rPr>
                <w:noProof/>
                <w:webHidden/>
              </w:rPr>
            </w:r>
            <w:r>
              <w:rPr>
                <w:noProof/>
                <w:webHidden/>
              </w:rPr>
              <w:fldChar w:fldCharType="separate"/>
            </w:r>
            <w:r w:rsidR="00AF29C3">
              <w:rPr>
                <w:noProof/>
                <w:webHidden/>
              </w:rPr>
              <w:t>381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09" w:history="1">
            <w:r w:rsidR="00E76515" w:rsidRPr="004E3B7B">
              <w:rPr>
                <w:rStyle w:val="Hyperlink"/>
                <w:noProof/>
              </w:rPr>
              <w:t>9.2.</w:t>
            </w:r>
            <w:r w:rsidR="00E76515">
              <w:rPr>
                <w:rFonts w:asciiTheme="minorHAnsi" w:eastAsiaTheme="minorEastAsia" w:hAnsiTheme="minorHAnsi"/>
                <w:noProof/>
                <w:szCs w:val="22"/>
                <w:lang w:val="en-US"/>
              </w:rPr>
              <w:tab/>
            </w:r>
            <w:r w:rsidR="00E76515" w:rsidRPr="004E3B7B">
              <w:rPr>
                <w:rStyle w:val="Hyperlink"/>
                <w:noProof/>
              </w:rPr>
              <w:t>The Economics of Bangladesh IWT</w:t>
            </w:r>
            <w:r w:rsidR="00E76515">
              <w:rPr>
                <w:noProof/>
                <w:webHidden/>
              </w:rPr>
              <w:tab/>
            </w:r>
            <w:r>
              <w:rPr>
                <w:noProof/>
                <w:webHidden/>
              </w:rPr>
              <w:fldChar w:fldCharType="begin"/>
            </w:r>
            <w:r w:rsidR="00E76515">
              <w:rPr>
                <w:noProof/>
                <w:webHidden/>
              </w:rPr>
              <w:instrText xml:space="preserve"> PAGEREF _Toc474638909 \h </w:instrText>
            </w:r>
            <w:r>
              <w:rPr>
                <w:noProof/>
                <w:webHidden/>
              </w:rPr>
            </w:r>
            <w:r>
              <w:rPr>
                <w:noProof/>
                <w:webHidden/>
              </w:rPr>
              <w:fldChar w:fldCharType="separate"/>
            </w:r>
            <w:r w:rsidR="00AF29C3">
              <w:rPr>
                <w:noProof/>
                <w:webHidden/>
              </w:rPr>
              <w:t>385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0" w:history="1">
            <w:r w:rsidR="00E76515" w:rsidRPr="004E3B7B">
              <w:rPr>
                <w:rStyle w:val="Hyperlink"/>
                <w:noProof/>
              </w:rPr>
              <w:t>9.3.</w:t>
            </w:r>
            <w:r w:rsidR="00E76515">
              <w:rPr>
                <w:rFonts w:asciiTheme="minorHAnsi" w:eastAsiaTheme="minorEastAsia" w:hAnsiTheme="minorHAnsi"/>
                <w:noProof/>
                <w:szCs w:val="22"/>
                <w:lang w:val="en-US"/>
              </w:rPr>
              <w:tab/>
            </w:r>
            <w:r w:rsidR="00E76515" w:rsidRPr="004E3B7B">
              <w:rPr>
                <w:rStyle w:val="Hyperlink"/>
                <w:noProof/>
              </w:rPr>
              <w:t>Present Status of Inland Water Transport (IWT)</w:t>
            </w:r>
            <w:r w:rsidR="00E76515">
              <w:rPr>
                <w:noProof/>
                <w:webHidden/>
              </w:rPr>
              <w:tab/>
            </w:r>
            <w:r>
              <w:rPr>
                <w:noProof/>
                <w:webHidden/>
              </w:rPr>
              <w:fldChar w:fldCharType="begin"/>
            </w:r>
            <w:r w:rsidR="00E76515">
              <w:rPr>
                <w:noProof/>
                <w:webHidden/>
              </w:rPr>
              <w:instrText xml:space="preserve"> PAGEREF _Toc474638910 \h </w:instrText>
            </w:r>
            <w:r>
              <w:rPr>
                <w:noProof/>
                <w:webHidden/>
              </w:rPr>
            </w:r>
            <w:r>
              <w:rPr>
                <w:noProof/>
                <w:webHidden/>
              </w:rPr>
              <w:fldChar w:fldCharType="separate"/>
            </w:r>
            <w:r w:rsidR="00AF29C3">
              <w:rPr>
                <w:noProof/>
                <w:webHidden/>
              </w:rPr>
              <w:t>388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1" w:history="1">
            <w:r w:rsidR="00E76515" w:rsidRPr="004E3B7B">
              <w:rPr>
                <w:rStyle w:val="Hyperlink"/>
                <w:noProof/>
              </w:rPr>
              <w:t>9.4.</w:t>
            </w:r>
            <w:r w:rsidR="00E76515">
              <w:rPr>
                <w:rFonts w:asciiTheme="minorHAnsi" w:eastAsiaTheme="minorEastAsia" w:hAnsiTheme="minorHAnsi"/>
                <w:noProof/>
                <w:szCs w:val="22"/>
                <w:lang w:val="en-US"/>
              </w:rPr>
              <w:tab/>
            </w:r>
            <w:r w:rsidR="00E76515" w:rsidRPr="004E3B7B">
              <w:rPr>
                <w:rStyle w:val="Hyperlink"/>
                <w:noProof/>
              </w:rPr>
              <w:t>River Morphology and Climate Change Issues</w:t>
            </w:r>
            <w:r w:rsidR="00E76515">
              <w:rPr>
                <w:noProof/>
                <w:webHidden/>
              </w:rPr>
              <w:tab/>
            </w:r>
            <w:r>
              <w:rPr>
                <w:noProof/>
                <w:webHidden/>
              </w:rPr>
              <w:fldChar w:fldCharType="begin"/>
            </w:r>
            <w:r w:rsidR="00E76515">
              <w:rPr>
                <w:noProof/>
                <w:webHidden/>
              </w:rPr>
              <w:instrText xml:space="preserve"> PAGEREF _Toc474638911 \h </w:instrText>
            </w:r>
            <w:r>
              <w:rPr>
                <w:noProof/>
                <w:webHidden/>
              </w:rPr>
            </w:r>
            <w:r>
              <w:rPr>
                <w:noProof/>
                <w:webHidden/>
              </w:rPr>
              <w:fldChar w:fldCharType="separate"/>
            </w:r>
            <w:r w:rsidR="00AF29C3">
              <w:rPr>
                <w:noProof/>
                <w:webHidden/>
              </w:rPr>
              <w:t>395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2" w:history="1">
            <w:r w:rsidR="00E76515" w:rsidRPr="004E3B7B">
              <w:rPr>
                <w:rStyle w:val="Hyperlink"/>
                <w:noProof/>
              </w:rPr>
              <w:t>9.5.</w:t>
            </w:r>
            <w:r w:rsidR="00E76515">
              <w:rPr>
                <w:rFonts w:asciiTheme="minorHAnsi" w:eastAsiaTheme="minorEastAsia" w:hAnsiTheme="minorHAnsi"/>
                <w:noProof/>
                <w:szCs w:val="22"/>
                <w:lang w:val="en-US"/>
              </w:rPr>
              <w:tab/>
            </w:r>
            <w:r w:rsidR="00E76515" w:rsidRPr="004E3B7B">
              <w:rPr>
                <w:rStyle w:val="Hyperlink"/>
                <w:noProof/>
              </w:rPr>
              <w:t>Navigability in Waterways Management Issues</w:t>
            </w:r>
            <w:r w:rsidR="00E76515">
              <w:rPr>
                <w:noProof/>
                <w:webHidden/>
              </w:rPr>
              <w:tab/>
            </w:r>
            <w:r>
              <w:rPr>
                <w:noProof/>
                <w:webHidden/>
              </w:rPr>
              <w:fldChar w:fldCharType="begin"/>
            </w:r>
            <w:r w:rsidR="00E76515">
              <w:rPr>
                <w:noProof/>
                <w:webHidden/>
              </w:rPr>
              <w:instrText xml:space="preserve"> PAGEREF _Toc474638912 \h </w:instrText>
            </w:r>
            <w:r>
              <w:rPr>
                <w:noProof/>
                <w:webHidden/>
              </w:rPr>
            </w:r>
            <w:r>
              <w:rPr>
                <w:noProof/>
                <w:webHidden/>
              </w:rPr>
              <w:fldChar w:fldCharType="separate"/>
            </w:r>
            <w:r w:rsidR="00AF29C3">
              <w:rPr>
                <w:noProof/>
                <w:webHidden/>
              </w:rPr>
              <w:t>399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3" w:history="1">
            <w:r w:rsidR="00E76515" w:rsidRPr="004E3B7B">
              <w:rPr>
                <w:rStyle w:val="Hyperlink"/>
                <w:noProof/>
              </w:rPr>
              <w:t>9.6.</w:t>
            </w:r>
            <w:r w:rsidR="00E76515">
              <w:rPr>
                <w:rFonts w:asciiTheme="minorHAnsi" w:eastAsiaTheme="minorEastAsia" w:hAnsiTheme="minorHAnsi"/>
                <w:noProof/>
                <w:szCs w:val="22"/>
                <w:lang w:val="en-US"/>
              </w:rPr>
              <w:tab/>
            </w:r>
            <w:r w:rsidR="00E76515" w:rsidRPr="004E3B7B">
              <w:rPr>
                <w:rStyle w:val="Hyperlink"/>
                <w:noProof/>
              </w:rPr>
              <w:t>Maintenance and Development of Navigability in Waterways Management</w:t>
            </w:r>
            <w:r w:rsidR="00E76515">
              <w:rPr>
                <w:noProof/>
                <w:webHidden/>
              </w:rPr>
              <w:tab/>
            </w:r>
            <w:r>
              <w:rPr>
                <w:noProof/>
                <w:webHidden/>
              </w:rPr>
              <w:fldChar w:fldCharType="begin"/>
            </w:r>
            <w:r w:rsidR="00E76515">
              <w:rPr>
                <w:noProof/>
                <w:webHidden/>
              </w:rPr>
              <w:instrText xml:space="preserve"> PAGEREF _Toc474638913 \h </w:instrText>
            </w:r>
            <w:r>
              <w:rPr>
                <w:noProof/>
                <w:webHidden/>
              </w:rPr>
            </w:r>
            <w:r>
              <w:rPr>
                <w:noProof/>
                <w:webHidden/>
              </w:rPr>
              <w:fldChar w:fldCharType="separate"/>
            </w:r>
            <w:r w:rsidR="00AF29C3">
              <w:rPr>
                <w:noProof/>
                <w:webHidden/>
              </w:rPr>
              <w:t>407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4" w:history="1">
            <w:r w:rsidR="00E76515" w:rsidRPr="004E3B7B">
              <w:rPr>
                <w:rStyle w:val="Hyperlink"/>
                <w:noProof/>
              </w:rPr>
              <w:t>9.7.</w:t>
            </w:r>
            <w:r w:rsidR="00E76515">
              <w:rPr>
                <w:rFonts w:asciiTheme="minorHAnsi" w:eastAsiaTheme="minorEastAsia" w:hAnsiTheme="minorHAnsi"/>
                <w:noProof/>
                <w:szCs w:val="22"/>
                <w:lang w:val="en-US"/>
              </w:rPr>
              <w:tab/>
            </w:r>
            <w:r w:rsidR="00E76515" w:rsidRPr="004E3B7B">
              <w:rPr>
                <w:rStyle w:val="Hyperlink"/>
                <w:noProof/>
              </w:rPr>
              <w:t>Demand Side Development and Issues</w:t>
            </w:r>
            <w:r w:rsidR="00E76515">
              <w:rPr>
                <w:noProof/>
                <w:webHidden/>
              </w:rPr>
              <w:tab/>
            </w:r>
            <w:r>
              <w:rPr>
                <w:noProof/>
                <w:webHidden/>
              </w:rPr>
              <w:fldChar w:fldCharType="begin"/>
            </w:r>
            <w:r w:rsidR="00E76515">
              <w:rPr>
                <w:noProof/>
                <w:webHidden/>
              </w:rPr>
              <w:instrText xml:space="preserve"> PAGEREF _Toc474638914 \h </w:instrText>
            </w:r>
            <w:r>
              <w:rPr>
                <w:noProof/>
                <w:webHidden/>
              </w:rPr>
            </w:r>
            <w:r>
              <w:rPr>
                <w:noProof/>
                <w:webHidden/>
              </w:rPr>
              <w:fldChar w:fldCharType="separate"/>
            </w:r>
            <w:r w:rsidR="00AF29C3">
              <w:rPr>
                <w:noProof/>
                <w:webHidden/>
              </w:rPr>
              <w:t>416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5" w:history="1">
            <w:r w:rsidR="00E76515" w:rsidRPr="004E3B7B">
              <w:rPr>
                <w:rStyle w:val="Hyperlink"/>
                <w:noProof/>
              </w:rPr>
              <w:t>9.8.</w:t>
            </w:r>
            <w:r w:rsidR="00E76515">
              <w:rPr>
                <w:rFonts w:asciiTheme="minorHAnsi" w:eastAsiaTheme="minorEastAsia" w:hAnsiTheme="minorHAnsi"/>
                <w:noProof/>
                <w:szCs w:val="22"/>
                <w:lang w:val="en-US"/>
              </w:rPr>
              <w:tab/>
            </w:r>
            <w:r w:rsidR="00E76515" w:rsidRPr="004E3B7B">
              <w:rPr>
                <w:rStyle w:val="Hyperlink"/>
                <w:noProof/>
              </w:rPr>
              <w:t>Governance and Institutional Dimensions of IWT</w:t>
            </w:r>
            <w:r w:rsidR="00E76515">
              <w:rPr>
                <w:noProof/>
                <w:webHidden/>
              </w:rPr>
              <w:tab/>
            </w:r>
            <w:r>
              <w:rPr>
                <w:noProof/>
                <w:webHidden/>
              </w:rPr>
              <w:fldChar w:fldCharType="begin"/>
            </w:r>
            <w:r w:rsidR="00E76515">
              <w:rPr>
                <w:noProof/>
                <w:webHidden/>
              </w:rPr>
              <w:instrText xml:space="preserve"> PAGEREF _Toc474638915 \h </w:instrText>
            </w:r>
            <w:r>
              <w:rPr>
                <w:noProof/>
                <w:webHidden/>
              </w:rPr>
            </w:r>
            <w:r>
              <w:rPr>
                <w:noProof/>
                <w:webHidden/>
              </w:rPr>
              <w:fldChar w:fldCharType="separate"/>
            </w:r>
            <w:r w:rsidR="00AF29C3">
              <w:rPr>
                <w:noProof/>
                <w:webHidden/>
              </w:rPr>
              <w:t>425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6" w:history="1">
            <w:r w:rsidR="00E76515" w:rsidRPr="004E3B7B">
              <w:rPr>
                <w:rStyle w:val="Hyperlink"/>
                <w:noProof/>
              </w:rPr>
              <w:t>9.9.</w:t>
            </w:r>
            <w:r w:rsidR="00E76515">
              <w:rPr>
                <w:rFonts w:asciiTheme="minorHAnsi" w:eastAsiaTheme="minorEastAsia" w:hAnsiTheme="minorHAnsi"/>
                <w:noProof/>
                <w:szCs w:val="22"/>
                <w:lang w:val="en-US"/>
              </w:rPr>
              <w:tab/>
            </w:r>
            <w:r w:rsidR="00E76515" w:rsidRPr="004E3B7B">
              <w:rPr>
                <w:rStyle w:val="Hyperlink"/>
                <w:noProof/>
              </w:rPr>
              <w:t>Developing a Dynamic Inland Water Transport System</w:t>
            </w:r>
            <w:r w:rsidR="00E76515">
              <w:rPr>
                <w:noProof/>
                <w:webHidden/>
              </w:rPr>
              <w:tab/>
            </w:r>
            <w:r>
              <w:rPr>
                <w:noProof/>
                <w:webHidden/>
              </w:rPr>
              <w:fldChar w:fldCharType="begin"/>
            </w:r>
            <w:r w:rsidR="00E76515">
              <w:rPr>
                <w:noProof/>
                <w:webHidden/>
              </w:rPr>
              <w:instrText xml:space="preserve"> PAGEREF _Toc474638916 \h </w:instrText>
            </w:r>
            <w:r>
              <w:rPr>
                <w:noProof/>
                <w:webHidden/>
              </w:rPr>
            </w:r>
            <w:r>
              <w:rPr>
                <w:noProof/>
                <w:webHidden/>
              </w:rPr>
              <w:fldChar w:fldCharType="separate"/>
            </w:r>
            <w:r w:rsidR="00AF29C3">
              <w:rPr>
                <w:noProof/>
                <w:webHidden/>
              </w:rPr>
              <w:t>430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7" w:history="1">
            <w:r w:rsidR="00E76515" w:rsidRPr="004E3B7B">
              <w:rPr>
                <w:rStyle w:val="Hyperlink"/>
                <w:noProof/>
              </w:rPr>
              <w:t>9.10.</w:t>
            </w:r>
            <w:r w:rsidR="00E76515">
              <w:rPr>
                <w:rFonts w:asciiTheme="minorHAnsi" w:eastAsiaTheme="minorEastAsia" w:hAnsiTheme="minorHAnsi"/>
                <w:noProof/>
                <w:szCs w:val="22"/>
                <w:lang w:val="en-US"/>
              </w:rPr>
              <w:tab/>
            </w:r>
            <w:r w:rsidR="00E76515" w:rsidRPr="004E3B7B">
              <w:rPr>
                <w:rStyle w:val="Hyperlink"/>
                <w:noProof/>
              </w:rPr>
              <w:t>IWT Strategy aligned with BDP 2100 Goals</w:t>
            </w:r>
            <w:r w:rsidR="00E76515">
              <w:rPr>
                <w:noProof/>
                <w:webHidden/>
              </w:rPr>
              <w:tab/>
            </w:r>
            <w:r>
              <w:rPr>
                <w:noProof/>
                <w:webHidden/>
              </w:rPr>
              <w:fldChar w:fldCharType="begin"/>
            </w:r>
            <w:r w:rsidR="00E76515">
              <w:rPr>
                <w:noProof/>
                <w:webHidden/>
              </w:rPr>
              <w:instrText xml:space="preserve"> PAGEREF _Toc474638917 \h </w:instrText>
            </w:r>
            <w:r>
              <w:rPr>
                <w:noProof/>
                <w:webHidden/>
              </w:rPr>
            </w:r>
            <w:r>
              <w:rPr>
                <w:noProof/>
                <w:webHidden/>
              </w:rPr>
              <w:fldChar w:fldCharType="separate"/>
            </w:r>
            <w:r w:rsidR="00AF29C3">
              <w:rPr>
                <w:noProof/>
                <w:webHidden/>
              </w:rPr>
              <w:t>438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8" w:history="1">
            <w:r w:rsidR="00E76515" w:rsidRPr="004E3B7B">
              <w:rPr>
                <w:rStyle w:val="Hyperlink"/>
                <w:noProof/>
              </w:rPr>
              <w:t>9.11.</w:t>
            </w:r>
            <w:r w:rsidR="00E76515">
              <w:rPr>
                <w:rFonts w:asciiTheme="minorHAnsi" w:eastAsiaTheme="minorEastAsia" w:hAnsiTheme="minorHAnsi"/>
                <w:noProof/>
                <w:szCs w:val="22"/>
                <w:lang w:val="en-US"/>
              </w:rPr>
              <w:tab/>
            </w:r>
            <w:r w:rsidR="00E76515" w:rsidRPr="004E3B7B">
              <w:rPr>
                <w:rStyle w:val="Hyperlink"/>
                <w:noProof/>
              </w:rPr>
              <w:t>Goal wise elaboration of IWT Strategies, Sub-strategies and Projects</w:t>
            </w:r>
            <w:r w:rsidR="00E76515">
              <w:rPr>
                <w:noProof/>
                <w:webHidden/>
              </w:rPr>
              <w:tab/>
            </w:r>
            <w:r>
              <w:rPr>
                <w:noProof/>
                <w:webHidden/>
              </w:rPr>
              <w:fldChar w:fldCharType="begin"/>
            </w:r>
            <w:r w:rsidR="00E76515">
              <w:rPr>
                <w:noProof/>
                <w:webHidden/>
              </w:rPr>
              <w:instrText xml:space="preserve"> PAGEREF _Toc474638918 \h </w:instrText>
            </w:r>
            <w:r>
              <w:rPr>
                <w:noProof/>
                <w:webHidden/>
              </w:rPr>
            </w:r>
            <w:r>
              <w:rPr>
                <w:noProof/>
                <w:webHidden/>
              </w:rPr>
              <w:fldChar w:fldCharType="separate"/>
            </w:r>
            <w:r w:rsidR="00AF29C3">
              <w:rPr>
                <w:noProof/>
                <w:webHidden/>
              </w:rPr>
              <w:t>439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19" w:history="1">
            <w:r w:rsidR="00E76515" w:rsidRPr="004E3B7B">
              <w:rPr>
                <w:rStyle w:val="Hyperlink"/>
                <w:noProof/>
              </w:rPr>
              <w:t>9.12.</w:t>
            </w:r>
            <w:r w:rsidR="00E76515">
              <w:rPr>
                <w:rFonts w:asciiTheme="minorHAnsi" w:eastAsiaTheme="minorEastAsia" w:hAnsiTheme="minorHAnsi"/>
                <w:noProof/>
                <w:szCs w:val="22"/>
                <w:lang w:val="en-US"/>
              </w:rPr>
              <w:tab/>
            </w:r>
            <w:r w:rsidR="00E76515" w:rsidRPr="004E3B7B">
              <w:rPr>
                <w:rStyle w:val="Hyperlink"/>
                <w:noProof/>
              </w:rPr>
              <w:t>Concluding Remarks</w:t>
            </w:r>
            <w:r w:rsidR="00E76515">
              <w:rPr>
                <w:noProof/>
                <w:webHidden/>
              </w:rPr>
              <w:tab/>
            </w:r>
            <w:r>
              <w:rPr>
                <w:noProof/>
                <w:webHidden/>
              </w:rPr>
              <w:fldChar w:fldCharType="begin"/>
            </w:r>
            <w:r w:rsidR="00E76515">
              <w:rPr>
                <w:noProof/>
                <w:webHidden/>
              </w:rPr>
              <w:instrText xml:space="preserve"> PAGEREF _Toc474638919 \h </w:instrText>
            </w:r>
            <w:r>
              <w:rPr>
                <w:noProof/>
                <w:webHidden/>
              </w:rPr>
            </w:r>
            <w:r>
              <w:rPr>
                <w:noProof/>
                <w:webHidden/>
              </w:rPr>
              <w:fldChar w:fldCharType="separate"/>
            </w:r>
            <w:r w:rsidR="00AF29C3">
              <w:rPr>
                <w:noProof/>
                <w:webHidden/>
              </w:rPr>
              <w:t>452</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20" w:history="1">
            <w:r w:rsidR="00E76515" w:rsidRPr="004E3B7B">
              <w:rPr>
                <w:rStyle w:val="Hyperlink"/>
              </w:rPr>
              <w:t>CHAPTER 10</w:t>
            </w:r>
            <w:r w:rsidR="00E76515">
              <w:rPr>
                <w:webHidden/>
              </w:rPr>
              <w:tab/>
            </w:r>
            <w:r>
              <w:rPr>
                <w:webHidden/>
              </w:rPr>
              <w:fldChar w:fldCharType="begin"/>
            </w:r>
            <w:r w:rsidR="00E76515">
              <w:rPr>
                <w:webHidden/>
              </w:rPr>
              <w:instrText xml:space="preserve"> PAGEREF _Toc474638920 \h </w:instrText>
            </w:r>
            <w:r>
              <w:rPr>
                <w:webHidden/>
              </w:rPr>
            </w:r>
            <w:r>
              <w:rPr>
                <w:webHidden/>
              </w:rPr>
              <w:fldChar w:fldCharType="separate"/>
            </w:r>
            <w:r w:rsidR="00AF29C3">
              <w:rPr>
                <w:webHidden/>
              </w:rPr>
              <w:t>454</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21" w:history="1">
            <w:r w:rsidR="00E76515" w:rsidRPr="004E3B7B">
              <w:rPr>
                <w:rStyle w:val="Hyperlink"/>
              </w:rPr>
              <w:t>Urban Water Management</w:t>
            </w:r>
            <w:r w:rsidR="00E76515">
              <w:rPr>
                <w:webHidden/>
              </w:rPr>
              <w:tab/>
            </w:r>
            <w:r>
              <w:rPr>
                <w:webHidden/>
              </w:rPr>
              <w:fldChar w:fldCharType="begin"/>
            </w:r>
            <w:r w:rsidR="00E76515">
              <w:rPr>
                <w:webHidden/>
              </w:rPr>
              <w:instrText xml:space="preserve"> PAGEREF _Toc474638921 \h </w:instrText>
            </w:r>
            <w:r>
              <w:rPr>
                <w:webHidden/>
              </w:rPr>
            </w:r>
            <w:r>
              <w:rPr>
                <w:webHidden/>
              </w:rPr>
              <w:fldChar w:fldCharType="separate"/>
            </w:r>
            <w:r w:rsidR="00AF29C3">
              <w:rPr>
                <w:webHidden/>
              </w:rPr>
              <w:t>454</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22" w:history="1">
            <w:r w:rsidR="00E76515" w:rsidRPr="004E3B7B">
              <w:rPr>
                <w:rStyle w:val="Hyperlink"/>
                <w:noProof/>
              </w:rPr>
              <w:t>10.1.</w:t>
            </w:r>
            <w:r w:rsidR="00E76515">
              <w:rPr>
                <w:rFonts w:asciiTheme="minorHAnsi" w:eastAsiaTheme="minorEastAsia" w:hAnsiTheme="minorHAnsi"/>
                <w:noProof/>
                <w:szCs w:val="22"/>
                <w:lang w:val="en-US"/>
              </w:rPr>
              <w:tab/>
            </w:r>
            <w:r w:rsidR="00E76515" w:rsidRPr="004E3B7B">
              <w:rPr>
                <w:rStyle w:val="Hyperlink"/>
                <w:noProof/>
              </w:rPr>
              <w:t>Urban Water Management Challenge</w:t>
            </w:r>
            <w:r w:rsidR="00E76515">
              <w:rPr>
                <w:noProof/>
                <w:webHidden/>
              </w:rPr>
              <w:tab/>
            </w:r>
            <w:r>
              <w:rPr>
                <w:noProof/>
                <w:webHidden/>
              </w:rPr>
              <w:fldChar w:fldCharType="begin"/>
            </w:r>
            <w:r w:rsidR="00E76515">
              <w:rPr>
                <w:noProof/>
                <w:webHidden/>
              </w:rPr>
              <w:instrText xml:space="preserve"> PAGEREF _Toc474638922 \h </w:instrText>
            </w:r>
            <w:r>
              <w:rPr>
                <w:noProof/>
                <w:webHidden/>
              </w:rPr>
            </w:r>
            <w:r>
              <w:rPr>
                <w:noProof/>
                <w:webHidden/>
              </w:rPr>
              <w:fldChar w:fldCharType="separate"/>
            </w:r>
            <w:r w:rsidR="00AF29C3">
              <w:rPr>
                <w:noProof/>
                <w:webHidden/>
              </w:rPr>
              <w:t>454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23" w:history="1">
            <w:r w:rsidR="00E76515" w:rsidRPr="004E3B7B">
              <w:rPr>
                <w:rStyle w:val="Hyperlink"/>
                <w:noProof/>
              </w:rPr>
              <w:t>10.2.</w:t>
            </w:r>
            <w:r w:rsidR="00E76515">
              <w:rPr>
                <w:rFonts w:asciiTheme="minorHAnsi" w:eastAsiaTheme="minorEastAsia" w:hAnsiTheme="minorHAnsi"/>
                <w:noProof/>
                <w:szCs w:val="22"/>
                <w:lang w:val="en-US"/>
              </w:rPr>
              <w:tab/>
            </w:r>
            <w:r w:rsidR="00E76515" w:rsidRPr="004E3B7B">
              <w:rPr>
                <w:rStyle w:val="Hyperlink"/>
                <w:noProof/>
              </w:rPr>
              <w:t>Urban Water Supply</w:t>
            </w:r>
            <w:r w:rsidR="00E76515">
              <w:rPr>
                <w:noProof/>
                <w:webHidden/>
              </w:rPr>
              <w:tab/>
            </w:r>
            <w:r>
              <w:rPr>
                <w:noProof/>
                <w:webHidden/>
              </w:rPr>
              <w:fldChar w:fldCharType="begin"/>
            </w:r>
            <w:r w:rsidR="00E76515">
              <w:rPr>
                <w:noProof/>
                <w:webHidden/>
              </w:rPr>
              <w:instrText xml:space="preserve"> PAGEREF _Toc474638923 \h </w:instrText>
            </w:r>
            <w:r>
              <w:rPr>
                <w:noProof/>
                <w:webHidden/>
              </w:rPr>
            </w:r>
            <w:r>
              <w:rPr>
                <w:noProof/>
                <w:webHidden/>
              </w:rPr>
              <w:fldChar w:fldCharType="separate"/>
            </w:r>
            <w:r w:rsidR="00AF29C3">
              <w:rPr>
                <w:noProof/>
                <w:webHidden/>
              </w:rPr>
              <w:t>456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24" w:history="1">
            <w:r w:rsidR="00E76515" w:rsidRPr="004E3B7B">
              <w:rPr>
                <w:rStyle w:val="Hyperlink"/>
                <w:noProof/>
              </w:rPr>
              <w:t>10.3.</w:t>
            </w:r>
            <w:r w:rsidR="00E76515">
              <w:rPr>
                <w:rFonts w:asciiTheme="minorHAnsi" w:eastAsiaTheme="minorEastAsia" w:hAnsiTheme="minorHAnsi"/>
                <w:noProof/>
                <w:szCs w:val="22"/>
                <w:lang w:val="en-US"/>
              </w:rPr>
              <w:tab/>
            </w:r>
            <w:r w:rsidR="00E76515" w:rsidRPr="004E3B7B">
              <w:rPr>
                <w:rStyle w:val="Hyperlink"/>
                <w:noProof/>
              </w:rPr>
              <w:t>Urban Sanitation and Waste Water Management</w:t>
            </w:r>
            <w:r w:rsidR="00E76515">
              <w:rPr>
                <w:noProof/>
                <w:webHidden/>
              </w:rPr>
              <w:tab/>
            </w:r>
            <w:r>
              <w:rPr>
                <w:noProof/>
                <w:webHidden/>
              </w:rPr>
              <w:fldChar w:fldCharType="begin"/>
            </w:r>
            <w:r w:rsidR="00E76515">
              <w:rPr>
                <w:noProof/>
                <w:webHidden/>
              </w:rPr>
              <w:instrText xml:space="preserve"> PAGEREF _Toc474638924 \h </w:instrText>
            </w:r>
            <w:r>
              <w:rPr>
                <w:noProof/>
                <w:webHidden/>
              </w:rPr>
            </w:r>
            <w:r>
              <w:rPr>
                <w:noProof/>
                <w:webHidden/>
              </w:rPr>
              <w:fldChar w:fldCharType="separate"/>
            </w:r>
            <w:r w:rsidR="00AF29C3">
              <w:rPr>
                <w:noProof/>
                <w:webHidden/>
              </w:rPr>
              <w:t>470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25" w:history="1">
            <w:r w:rsidR="00E76515" w:rsidRPr="004E3B7B">
              <w:rPr>
                <w:rStyle w:val="Hyperlink"/>
                <w:noProof/>
              </w:rPr>
              <w:t>10.4.</w:t>
            </w:r>
            <w:r w:rsidR="00E76515">
              <w:rPr>
                <w:rFonts w:asciiTheme="minorHAnsi" w:eastAsiaTheme="minorEastAsia" w:hAnsiTheme="minorHAnsi"/>
                <w:noProof/>
                <w:szCs w:val="22"/>
                <w:lang w:val="en-US"/>
              </w:rPr>
              <w:tab/>
            </w:r>
            <w:r w:rsidR="00E76515" w:rsidRPr="004E3B7B">
              <w:rPr>
                <w:rStyle w:val="Hyperlink"/>
                <w:noProof/>
              </w:rPr>
              <w:t>Solid Waste Management</w:t>
            </w:r>
            <w:r w:rsidR="00E76515">
              <w:rPr>
                <w:noProof/>
                <w:webHidden/>
              </w:rPr>
              <w:tab/>
            </w:r>
            <w:r>
              <w:rPr>
                <w:noProof/>
                <w:webHidden/>
              </w:rPr>
              <w:fldChar w:fldCharType="begin"/>
            </w:r>
            <w:r w:rsidR="00E76515">
              <w:rPr>
                <w:noProof/>
                <w:webHidden/>
              </w:rPr>
              <w:instrText xml:space="preserve"> PAGEREF _Toc474638925 \h </w:instrText>
            </w:r>
            <w:r>
              <w:rPr>
                <w:noProof/>
                <w:webHidden/>
              </w:rPr>
            </w:r>
            <w:r>
              <w:rPr>
                <w:noProof/>
                <w:webHidden/>
              </w:rPr>
              <w:fldChar w:fldCharType="separate"/>
            </w:r>
            <w:r w:rsidR="00AF29C3">
              <w:rPr>
                <w:noProof/>
                <w:webHidden/>
              </w:rPr>
              <w:t>483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26" w:history="1">
            <w:r w:rsidR="00E76515" w:rsidRPr="004E3B7B">
              <w:rPr>
                <w:rStyle w:val="Hyperlink"/>
                <w:noProof/>
              </w:rPr>
              <w:t>10.5.</w:t>
            </w:r>
            <w:r w:rsidR="00E76515">
              <w:rPr>
                <w:rFonts w:asciiTheme="minorHAnsi" w:eastAsiaTheme="minorEastAsia" w:hAnsiTheme="minorHAnsi"/>
                <w:noProof/>
                <w:szCs w:val="22"/>
                <w:lang w:val="en-US"/>
              </w:rPr>
              <w:tab/>
            </w:r>
            <w:r w:rsidR="00E76515" w:rsidRPr="004E3B7B">
              <w:rPr>
                <w:rStyle w:val="Hyperlink"/>
                <w:noProof/>
              </w:rPr>
              <w:t>Storm-Water and Urban Drainage Management</w:t>
            </w:r>
            <w:r w:rsidR="00E76515">
              <w:rPr>
                <w:noProof/>
                <w:webHidden/>
              </w:rPr>
              <w:tab/>
            </w:r>
            <w:r>
              <w:rPr>
                <w:noProof/>
                <w:webHidden/>
              </w:rPr>
              <w:fldChar w:fldCharType="begin"/>
            </w:r>
            <w:r w:rsidR="00E76515">
              <w:rPr>
                <w:noProof/>
                <w:webHidden/>
              </w:rPr>
              <w:instrText xml:space="preserve"> PAGEREF _Toc474638926 \h </w:instrText>
            </w:r>
            <w:r>
              <w:rPr>
                <w:noProof/>
                <w:webHidden/>
              </w:rPr>
            </w:r>
            <w:r>
              <w:rPr>
                <w:noProof/>
                <w:webHidden/>
              </w:rPr>
              <w:fldChar w:fldCharType="separate"/>
            </w:r>
            <w:r w:rsidR="00AF29C3">
              <w:rPr>
                <w:noProof/>
                <w:webHidden/>
              </w:rPr>
              <w:t>497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27" w:history="1">
            <w:r w:rsidR="00E76515" w:rsidRPr="004E3B7B">
              <w:rPr>
                <w:rStyle w:val="Hyperlink"/>
                <w:noProof/>
              </w:rPr>
              <w:t>10.6.</w:t>
            </w:r>
            <w:r w:rsidR="00E76515">
              <w:rPr>
                <w:rFonts w:asciiTheme="minorHAnsi" w:eastAsiaTheme="minorEastAsia" w:hAnsiTheme="minorHAnsi"/>
                <w:noProof/>
                <w:szCs w:val="22"/>
                <w:lang w:val="en-US"/>
              </w:rPr>
              <w:tab/>
            </w:r>
            <w:r w:rsidR="00E76515" w:rsidRPr="004E3B7B">
              <w:rPr>
                <w:rStyle w:val="Hyperlink"/>
                <w:noProof/>
              </w:rPr>
              <w:t>Institutional Reforms in Urban Water Management</w:t>
            </w:r>
            <w:r w:rsidR="00E76515">
              <w:rPr>
                <w:noProof/>
                <w:webHidden/>
              </w:rPr>
              <w:tab/>
            </w:r>
            <w:r>
              <w:rPr>
                <w:noProof/>
                <w:webHidden/>
              </w:rPr>
              <w:fldChar w:fldCharType="begin"/>
            </w:r>
            <w:r w:rsidR="00E76515">
              <w:rPr>
                <w:noProof/>
                <w:webHidden/>
              </w:rPr>
              <w:instrText xml:space="preserve"> PAGEREF _Toc474638927 \h </w:instrText>
            </w:r>
            <w:r>
              <w:rPr>
                <w:noProof/>
                <w:webHidden/>
              </w:rPr>
            </w:r>
            <w:r>
              <w:rPr>
                <w:noProof/>
                <w:webHidden/>
              </w:rPr>
              <w:fldChar w:fldCharType="separate"/>
            </w:r>
            <w:r w:rsidR="00AF29C3">
              <w:rPr>
                <w:noProof/>
                <w:webHidden/>
              </w:rPr>
              <w:t>512</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28" w:history="1">
            <w:r w:rsidR="00E76515" w:rsidRPr="004E3B7B">
              <w:rPr>
                <w:rStyle w:val="Hyperlink"/>
              </w:rPr>
              <w:t>CHAPTER 11</w:t>
            </w:r>
            <w:r w:rsidR="00E76515">
              <w:rPr>
                <w:webHidden/>
              </w:rPr>
              <w:tab/>
            </w:r>
            <w:r>
              <w:rPr>
                <w:webHidden/>
              </w:rPr>
              <w:fldChar w:fldCharType="begin"/>
            </w:r>
            <w:r w:rsidR="00E76515">
              <w:rPr>
                <w:webHidden/>
              </w:rPr>
              <w:instrText xml:space="preserve"> PAGEREF _Toc474638928 \h </w:instrText>
            </w:r>
            <w:r>
              <w:rPr>
                <w:webHidden/>
              </w:rPr>
            </w:r>
            <w:r>
              <w:rPr>
                <w:webHidden/>
              </w:rPr>
              <w:fldChar w:fldCharType="separate"/>
            </w:r>
            <w:r w:rsidR="00AF29C3">
              <w:rPr>
                <w:webHidden/>
              </w:rPr>
              <w:t>515</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29" w:history="1">
            <w:r w:rsidR="00E76515" w:rsidRPr="004E3B7B">
              <w:rPr>
                <w:rStyle w:val="Hyperlink"/>
              </w:rPr>
              <w:t>Investment Planning, Financing and Implementation Strategy</w:t>
            </w:r>
            <w:r w:rsidR="00E76515">
              <w:rPr>
                <w:webHidden/>
              </w:rPr>
              <w:tab/>
            </w:r>
            <w:r>
              <w:rPr>
                <w:webHidden/>
              </w:rPr>
              <w:fldChar w:fldCharType="begin"/>
            </w:r>
            <w:r w:rsidR="00E76515">
              <w:rPr>
                <w:webHidden/>
              </w:rPr>
              <w:instrText xml:space="preserve"> PAGEREF _Toc474638929 \h </w:instrText>
            </w:r>
            <w:r>
              <w:rPr>
                <w:webHidden/>
              </w:rPr>
            </w:r>
            <w:r>
              <w:rPr>
                <w:webHidden/>
              </w:rPr>
              <w:fldChar w:fldCharType="separate"/>
            </w:r>
            <w:r w:rsidR="00AF29C3">
              <w:rPr>
                <w:webHidden/>
              </w:rPr>
              <w:t>515</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30" w:history="1">
            <w:r w:rsidR="00E76515" w:rsidRPr="004E3B7B">
              <w:rPr>
                <w:rStyle w:val="Hyperlink"/>
                <w:noProof/>
              </w:rPr>
              <w:t>11.1.</w:t>
            </w:r>
            <w:r w:rsidR="00E76515">
              <w:rPr>
                <w:rFonts w:asciiTheme="minorHAnsi" w:eastAsiaTheme="minorEastAsia" w:hAnsiTheme="minorHAnsi"/>
                <w:noProof/>
                <w:szCs w:val="22"/>
                <w:lang w:val="en-US"/>
              </w:rPr>
              <w:tab/>
            </w:r>
            <w:r w:rsidR="00E76515" w:rsidRPr="004E3B7B">
              <w:rPr>
                <w:rStyle w:val="Hyperlink"/>
                <w:noProof/>
              </w:rPr>
              <w:t>Background</w:t>
            </w:r>
            <w:r w:rsidR="00E76515">
              <w:rPr>
                <w:noProof/>
                <w:webHidden/>
              </w:rPr>
              <w:tab/>
            </w:r>
            <w:r>
              <w:rPr>
                <w:noProof/>
                <w:webHidden/>
              </w:rPr>
              <w:fldChar w:fldCharType="begin"/>
            </w:r>
            <w:r w:rsidR="00E76515">
              <w:rPr>
                <w:noProof/>
                <w:webHidden/>
              </w:rPr>
              <w:instrText xml:space="preserve"> PAGEREF _Toc474638930 \h </w:instrText>
            </w:r>
            <w:r>
              <w:rPr>
                <w:noProof/>
                <w:webHidden/>
              </w:rPr>
            </w:r>
            <w:r>
              <w:rPr>
                <w:noProof/>
                <w:webHidden/>
              </w:rPr>
              <w:fldChar w:fldCharType="separate"/>
            </w:r>
            <w:r w:rsidR="00AF29C3">
              <w:rPr>
                <w:noProof/>
                <w:webHidden/>
              </w:rPr>
              <w:t>515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31" w:history="1">
            <w:r w:rsidR="00E76515" w:rsidRPr="004E3B7B">
              <w:rPr>
                <w:rStyle w:val="Hyperlink"/>
                <w:noProof/>
              </w:rPr>
              <w:t>11.2.</w:t>
            </w:r>
            <w:r w:rsidR="00E76515">
              <w:rPr>
                <w:rFonts w:asciiTheme="minorHAnsi" w:eastAsiaTheme="minorEastAsia" w:hAnsiTheme="minorHAnsi"/>
                <w:noProof/>
                <w:szCs w:val="22"/>
                <w:lang w:val="en-US"/>
              </w:rPr>
              <w:tab/>
            </w:r>
            <w:r w:rsidR="00E76515" w:rsidRPr="004E3B7B">
              <w:rPr>
                <w:rStyle w:val="Hyperlink"/>
                <w:noProof/>
              </w:rPr>
              <w:t>Macroeconomic Outlook and the Delta Specific Investment Plan</w:t>
            </w:r>
            <w:r w:rsidR="00E76515">
              <w:rPr>
                <w:noProof/>
                <w:webHidden/>
              </w:rPr>
              <w:tab/>
            </w:r>
            <w:r>
              <w:rPr>
                <w:noProof/>
                <w:webHidden/>
              </w:rPr>
              <w:fldChar w:fldCharType="begin"/>
            </w:r>
            <w:r w:rsidR="00E76515">
              <w:rPr>
                <w:noProof/>
                <w:webHidden/>
              </w:rPr>
              <w:instrText xml:space="preserve"> PAGEREF _Toc474638931 \h </w:instrText>
            </w:r>
            <w:r>
              <w:rPr>
                <w:noProof/>
                <w:webHidden/>
              </w:rPr>
            </w:r>
            <w:r>
              <w:rPr>
                <w:noProof/>
                <w:webHidden/>
              </w:rPr>
              <w:fldChar w:fldCharType="separate"/>
            </w:r>
            <w:r w:rsidR="00AF29C3">
              <w:rPr>
                <w:noProof/>
                <w:webHidden/>
              </w:rPr>
              <w:t>515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32" w:history="1">
            <w:r w:rsidR="00E76515" w:rsidRPr="004E3B7B">
              <w:rPr>
                <w:rStyle w:val="Hyperlink"/>
                <w:noProof/>
              </w:rPr>
              <w:t>11.3.</w:t>
            </w:r>
            <w:r w:rsidR="00E76515">
              <w:rPr>
                <w:rFonts w:asciiTheme="minorHAnsi" w:eastAsiaTheme="minorEastAsia" w:hAnsiTheme="minorHAnsi"/>
                <w:noProof/>
                <w:szCs w:val="22"/>
                <w:lang w:val="en-US"/>
              </w:rPr>
              <w:tab/>
            </w:r>
            <w:r w:rsidR="00E76515" w:rsidRPr="004E3B7B">
              <w:rPr>
                <w:rStyle w:val="Hyperlink"/>
                <w:noProof/>
              </w:rPr>
              <w:t>Climate Change Impact Assessment and Investment Requirements</w:t>
            </w:r>
            <w:r w:rsidR="00E76515">
              <w:rPr>
                <w:noProof/>
                <w:webHidden/>
              </w:rPr>
              <w:tab/>
            </w:r>
            <w:r>
              <w:rPr>
                <w:noProof/>
                <w:webHidden/>
              </w:rPr>
              <w:fldChar w:fldCharType="begin"/>
            </w:r>
            <w:r w:rsidR="00E76515">
              <w:rPr>
                <w:noProof/>
                <w:webHidden/>
              </w:rPr>
              <w:instrText xml:space="preserve"> PAGEREF _Toc474638932 \h </w:instrText>
            </w:r>
            <w:r>
              <w:rPr>
                <w:noProof/>
                <w:webHidden/>
              </w:rPr>
            </w:r>
            <w:r>
              <w:rPr>
                <w:noProof/>
                <w:webHidden/>
              </w:rPr>
              <w:fldChar w:fldCharType="separate"/>
            </w:r>
            <w:r w:rsidR="00AF29C3">
              <w:rPr>
                <w:noProof/>
                <w:webHidden/>
              </w:rPr>
              <w:t>518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33" w:history="1">
            <w:r w:rsidR="00E76515" w:rsidRPr="004E3B7B">
              <w:rPr>
                <w:rStyle w:val="Hyperlink"/>
                <w:noProof/>
              </w:rPr>
              <w:t>11.4.</w:t>
            </w:r>
            <w:r w:rsidR="00E76515">
              <w:rPr>
                <w:rFonts w:asciiTheme="minorHAnsi" w:eastAsiaTheme="minorEastAsia" w:hAnsiTheme="minorHAnsi"/>
                <w:noProof/>
                <w:szCs w:val="22"/>
                <w:lang w:val="en-US"/>
              </w:rPr>
              <w:tab/>
            </w:r>
            <w:r w:rsidR="00E76515" w:rsidRPr="004E3B7B">
              <w:rPr>
                <w:rStyle w:val="Hyperlink"/>
                <w:noProof/>
              </w:rPr>
              <w:t>Current Patterns of Resource Allocation and Estimated Resource Gap</w:t>
            </w:r>
            <w:r w:rsidR="00E76515">
              <w:rPr>
                <w:noProof/>
                <w:webHidden/>
              </w:rPr>
              <w:tab/>
            </w:r>
            <w:r>
              <w:rPr>
                <w:noProof/>
                <w:webHidden/>
              </w:rPr>
              <w:fldChar w:fldCharType="begin"/>
            </w:r>
            <w:r w:rsidR="00E76515">
              <w:rPr>
                <w:noProof/>
                <w:webHidden/>
              </w:rPr>
              <w:instrText xml:space="preserve"> PAGEREF _Toc474638933 \h </w:instrText>
            </w:r>
            <w:r>
              <w:rPr>
                <w:noProof/>
                <w:webHidden/>
              </w:rPr>
            </w:r>
            <w:r>
              <w:rPr>
                <w:noProof/>
                <w:webHidden/>
              </w:rPr>
              <w:fldChar w:fldCharType="separate"/>
            </w:r>
            <w:r w:rsidR="00AF29C3">
              <w:rPr>
                <w:noProof/>
                <w:webHidden/>
              </w:rPr>
              <w:t>526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34" w:history="1">
            <w:r w:rsidR="00E76515" w:rsidRPr="004E3B7B">
              <w:rPr>
                <w:rStyle w:val="Hyperlink"/>
                <w:noProof/>
              </w:rPr>
              <w:t>11.5.</w:t>
            </w:r>
            <w:r w:rsidR="00E76515">
              <w:rPr>
                <w:rFonts w:asciiTheme="minorHAnsi" w:eastAsiaTheme="minorEastAsia" w:hAnsiTheme="minorHAnsi"/>
                <w:noProof/>
                <w:szCs w:val="22"/>
                <w:lang w:val="en-US"/>
              </w:rPr>
              <w:tab/>
            </w:r>
            <w:r w:rsidR="00E76515" w:rsidRPr="004E3B7B">
              <w:rPr>
                <w:rStyle w:val="Hyperlink"/>
                <w:noProof/>
              </w:rPr>
              <w:t>Resource Constraints and Resource Allocation</w:t>
            </w:r>
            <w:r w:rsidR="00E76515">
              <w:rPr>
                <w:noProof/>
                <w:webHidden/>
              </w:rPr>
              <w:tab/>
            </w:r>
            <w:r>
              <w:rPr>
                <w:noProof/>
                <w:webHidden/>
              </w:rPr>
              <w:fldChar w:fldCharType="begin"/>
            </w:r>
            <w:r w:rsidR="00E76515">
              <w:rPr>
                <w:noProof/>
                <w:webHidden/>
              </w:rPr>
              <w:instrText xml:space="preserve"> PAGEREF _Toc474638934 \h </w:instrText>
            </w:r>
            <w:r>
              <w:rPr>
                <w:noProof/>
                <w:webHidden/>
              </w:rPr>
            </w:r>
            <w:r>
              <w:rPr>
                <w:noProof/>
                <w:webHidden/>
              </w:rPr>
              <w:fldChar w:fldCharType="separate"/>
            </w:r>
            <w:r w:rsidR="00AF29C3">
              <w:rPr>
                <w:noProof/>
                <w:webHidden/>
              </w:rPr>
              <w:t>527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35" w:history="1">
            <w:r w:rsidR="00E76515" w:rsidRPr="004E3B7B">
              <w:rPr>
                <w:rStyle w:val="Hyperlink"/>
                <w:noProof/>
              </w:rPr>
              <w:t>11.6.</w:t>
            </w:r>
            <w:r w:rsidR="00E76515">
              <w:rPr>
                <w:rFonts w:asciiTheme="minorHAnsi" w:eastAsiaTheme="minorEastAsia" w:hAnsiTheme="minorHAnsi"/>
                <w:noProof/>
                <w:szCs w:val="22"/>
                <w:lang w:val="en-US"/>
              </w:rPr>
              <w:tab/>
            </w:r>
            <w:r w:rsidR="00E76515" w:rsidRPr="004E3B7B">
              <w:rPr>
                <w:rStyle w:val="Hyperlink"/>
                <w:noProof/>
              </w:rPr>
              <w:t>Innovative financing arrangements and financial mechanisms</w:t>
            </w:r>
            <w:r w:rsidR="00E76515">
              <w:rPr>
                <w:noProof/>
                <w:webHidden/>
              </w:rPr>
              <w:tab/>
            </w:r>
            <w:r>
              <w:rPr>
                <w:noProof/>
                <w:webHidden/>
              </w:rPr>
              <w:fldChar w:fldCharType="begin"/>
            </w:r>
            <w:r w:rsidR="00E76515">
              <w:rPr>
                <w:noProof/>
                <w:webHidden/>
              </w:rPr>
              <w:instrText xml:space="preserve"> PAGEREF _Toc474638935 \h </w:instrText>
            </w:r>
            <w:r>
              <w:rPr>
                <w:noProof/>
                <w:webHidden/>
              </w:rPr>
            </w:r>
            <w:r>
              <w:rPr>
                <w:noProof/>
                <w:webHidden/>
              </w:rPr>
              <w:fldChar w:fldCharType="separate"/>
            </w:r>
            <w:r w:rsidR="00AF29C3">
              <w:rPr>
                <w:noProof/>
                <w:webHidden/>
              </w:rPr>
              <w:t>530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36" w:history="1">
            <w:r w:rsidR="00E76515" w:rsidRPr="004E3B7B">
              <w:rPr>
                <w:rStyle w:val="Hyperlink"/>
                <w:noProof/>
              </w:rPr>
              <w:t>11.7.</w:t>
            </w:r>
            <w:r w:rsidR="00E76515">
              <w:rPr>
                <w:rFonts w:asciiTheme="minorHAnsi" w:eastAsiaTheme="minorEastAsia" w:hAnsiTheme="minorHAnsi"/>
                <w:noProof/>
                <w:szCs w:val="22"/>
                <w:lang w:val="en-US"/>
              </w:rPr>
              <w:tab/>
            </w:r>
            <w:r w:rsidR="00E76515" w:rsidRPr="004E3B7B">
              <w:rPr>
                <w:rStyle w:val="Hyperlink"/>
                <w:noProof/>
              </w:rPr>
              <w:t>Private Sector Involvement in BDP2100</w:t>
            </w:r>
            <w:r w:rsidR="00E76515">
              <w:rPr>
                <w:noProof/>
                <w:webHidden/>
              </w:rPr>
              <w:tab/>
            </w:r>
            <w:r>
              <w:rPr>
                <w:noProof/>
                <w:webHidden/>
              </w:rPr>
              <w:fldChar w:fldCharType="begin"/>
            </w:r>
            <w:r w:rsidR="00E76515">
              <w:rPr>
                <w:noProof/>
                <w:webHidden/>
              </w:rPr>
              <w:instrText xml:space="preserve"> PAGEREF _Toc474638936 \h </w:instrText>
            </w:r>
            <w:r>
              <w:rPr>
                <w:noProof/>
                <w:webHidden/>
              </w:rPr>
            </w:r>
            <w:r>
              <w:rPr>
                <w:noProof/>
                <w:webHidden/>
              </w:rPr>
              <w:fldChar w:fldCharType="separate"/>
            </w:r>
            <w:r w:rsidR="00AF29C3">
              <w:rPr>
                <w:noProof/>
                <w:webHidden/>
              </w:rPr>
              <w:t>540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37" w:history="1">
            <w:r w:rsidR="00E76515" w:rsidRPr="004E3B7B">
              <w:rPr>
                <w:rStyle w:val="Hyperlink"/>
                <w:noProof/>
              </w:rPr>
              <w:t>11.8.</w:t>
            </w:r>
            <w:r w:rsidR="00E76515">
              <w:rPr>
                <w:rFonts w:asciiTheme="minorHAnsi" w:eastAsiaTheme="minorEastAsia" w:hAnsiTheme="minorHAnsi"/>
                <w:noProof/>
                <w:szCs w:val="22"/>
                <w:lang w:val="en-US"/>
              </w:rPr>
              <w:tab/>
            </w:r>
            <w:r w:rsidR="00E76515" w:rsidRPr="004E3B7B">
              <w:rPr>
                <w:rStyle w:val="Hyperlink"/>
                <w:noProof/>
              </w:rPr>
              <w:t>Framework of Investment Planning</w:t>
            </w:r>
            <w:r w:rsidR="00E76515">
              <w:rPr>
                <w:noProof/>
                <w:webHidden/>
              </w:rPr>
              <w:tab/>
            </w:r>
            <w:r>
              <w:rPr>
                <w:noProof/>
                <w:webHidden/>
              </w:rPr>
              <w:fldChar w:fldCharType="begin"/>
            </w:r>
            <w:r w:rsidR="00E76515">
              <w:rPr>
                <w:noProof/>
                <w:webHidden/>
              </w:rPr>
              <w:instrText xml:space="preserve"> PAGEREF _Toc474638937 \h </w:instrText>
            </w:r>
            <w:r>
              <w:rPr>
                <w:noProof/>
                <w:webHidden/>
              </w:rPr>
            </w:r>
            <w:r>
              <w:rPr>
                <w:noProof/>
                <w:webHidden/>
              </w:rPr>
              <w:fldChar w:fldCharType="separate"/>
            </w:r>
            <w:r w:rsidR="00AF29C3">
              <w:rPr>
                <w:noProof/>
                <w:webHidden/>
              </w:rPr>
              <w:t>544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38" w:history="1">
            <w:r w:rsidR="00E76515" w:rsidRPr="004E3B7B">
              <w:rPr>
                <w:rStyle w:val="Hyperlink"/>
                <w:noProof/>
              </w:rPr>
              <w:t>11.9.</w:t>
            </w:r>
            <w:r w:rsidR="00E76515">
              <w:rPr>
                <w:rFonts w:asciiTheme="minorHAnsi" w:eastAsiaTheme="minorEastAsia" w:hAnsiTheme="minorHAnsi"/>
                <w:noProof/>
                <w:szCs w:val="22"/>
                <w:lang w:val="en-US"/>
              </w:rPr>
              <w:tab/>
            </w:r>
            <w:r w:rsidR="00E76515" w:rsidRPr="004E3B7B">
              <w:rPr>
                <w:rStyle w:val="Hyperlink"/>
                <w:noProof/>
              </w:rPr>
              <w:t>Resource Constraints and Resource Allocation</w:t>
            </w:r>
            <w:r w:rsidR="00E76515">
              <w:rPr>
                <w:noProof/>
                <w:webHidden/>
              </w:rPr>
              <w:tab/>
            </w:r>
            <w:r>
              <w:rPr>
                <w:noProof/>
                <w:webHidden/>
              </w:rPr>
              <w:fldChar w:fldCharType="begin"/>
            </w:r>
            <w:r w:rsidR="00E76515">
              <w:rPr>
                <w:noProof/>
                <w:webHidden/>
              </w:rPr>
              <w:instrText xml:space="preserve"> PAGEREF _Toc474638938 \h </w:instrText>
            </w:r>
            <w:r>
              <w:rPr>
                <w:noProof/>
                <w:webHidden/>
              </w:rPr>
            </w:r>
            <w:r>
              <w:rPr>
                <w:noProof/>
                <w:webHidden/>
              </w:rPr>
              <w:fldChar w:fldCharType="separate"/>
            </w:r>
            <w:r w:rsidR="00AF29C3">
              <w:rPr>
                <w:noProof/>
                <w:webHidden/>
              </w:rPr>
              <w:t>551</w:t>
            </w:r>
            <w:r>
              <w:rPr>
                <w:noProof/>
                <w:webHidden/>
              </w:rPr>
              <w:fldChar w:fldCharType="end"/>
            </w:r>
          </w:hyperlink>
        </w:p>
        <w:p w:rsidR="00E76515" w:rsidRDefault="001A12B2">
          <w:pPr>
            <w:pStyle w:val="TOC2"/>
            <w:tabs>
              <w:tab w:val="left" w:pos="1530"/>
            </w:tabs>
            <w:rPr>
              <w:rFonts w:asciiTheme="minorHAnsi" w:eastAsiaTheme="minorEastAsia" w:hAnsiTheme="minorHAnsi"/>
              <w:noProof/>
              <w:szCs w:val="22"/>
              <w:lang w:val="en-US"/>
            </w:rPr>
          </w:pPr>
          <w:hyperlink w:anchor="_Toc474638939" w:history="1">
            <w:r w:rsidR="00E76515" w:rsidRPr="004E3B7B">
              <w:rPr>
                <w:rStyle w:val="Hyperlink"/>
                <w:noProof/>
              </w:rPr>
              <w:t>11.10.</w:t>
            </w:r>
            <w:r w:rsidR="00E76515">
              <w:rPr>
                <w:rFonts w:asciiTheme="minorHAnsi" w:eastAsiaTheme="minorEastAsia" w:hAnsiTheme="minorHAnsi"/>
                <w:noProof/>
                <w:szCs w:val="22"/>
                <w:lang w:val="en-US"/>
              </w:rPr>
              <w:tab/>
            </w:r>
            <w:r w:rsidR="00E76515" w:rsidRPr="004E3B7B">
              <w:rPr>
                <w:rStyle w:val="Hyperlink"/>
                <w:noProof/>
              </w:rPr>
              <w:t>Concluding Observations</w:t>
            </w:r>
            <w:r w:rsidR="00E76515">
              <w:rPr>
                <w:noProof/>
                <w:webHidden/>
              </w:rPr>
              <w:tab/>
            </w:r>
            <w:r>
              <w:rPr>
                <w:noProof/>
                <w:webHidden/>
              </w:rPr>
              <w:fldChar w:fldCharType="begin"/>
            </w:r>
            <w:r w:rsidR="00E76515">
              <w:rPr>
                <w:noProof/>
                <w:webHidden/>
              </w:rPr>
              <w:instrText xml:space="preserve"> PAGEREF _Toc474638939 \h </w:instrText>
            </w:r>
            <w:r>
              <w:rPr>
                <w:noProof/>
                <w:webHidden/>
              </w:rPr>
            </w:r>
            <w:r>
              <w:rPr>
                <w:noProof/>
                <w:webHidden/>
              </w:rPr>
              <w:fldChar w:fldCharType="separate"/>
            </w:r>
            <w:r w:rsidR="00AF29C3">
              <w:rPr>
                <w:noProof/>
                <w:webHidden/>
              </w:rPr>
              <w:t>556</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40" w:history="1">
            <w:r w:rsidR="00E76515" w:rsidRPr="004E3B7B">
              <w:rPr>
                <w:rStyle w:val="Hyperlink"/>
              </w:rPr>
              <w:t>CHAPTER 12</w:t>
            </w:r>
            <w:r w:rsidR="00E76515">
              <w:rPr>
                <w:webHidden/>
              </w:rPr>
              <w:tab/>
            </w:r>
            <w:r>
              <w:rPr>
                <w:webHidden/>
              </w:rPr>
              <w:fldChar w:fldCharType="begin"/>
            </w:r>
            <w:r w:rsidR="00E76515">
              <w:rPr>
                <w:webHidden/>
              </w:rPr>
              <w:instrText xml:space="preserve"> PAGEREF _Toc474638940 \h </w:instrText>
            </w:r>
            <w:r>
              <w:rPr>
                <w:webHidden/>
              </w:rPr>
            </w:r>
            <w:r>
              <w:rPr>
                <w:webHidden/>
              </w:rPr>
              <w:fldChar w:fldCharType="separate"/>
            </w:r>
            <w:r w:rsidR="00AF29C3">
              <w:rPr>
                <w:webHidden/>
              </w:rPr>
              <w:t>558</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41" w:history="1">
            <w:r w:rsidR="00E76515" w:rsidRPr="004E3B7B">
              <w:rPr>
                <w:rStyle w:val="Hyperlink"/>
              </w:rPr>
              <w:t>Governance and Institutional Issues</w:t>
            </w:r>
            <w:r w:rsidR="00E76515">
              <w:rPr>
                <w:webHidden/>
              </w:rPr>
              <w:tab/>
            </w:r>
            <w:r>
              <w:rPr>
                <w:webHidden/>
              </w:rPr>
              <w:fldChar w:fldCharType="begin"/>
            </w:r>
            <w:r w:rsidR="00E76515">
              <w:rPr>
                <w:webHidden/>
              </w:rPr>
              <w:instrText xml:space="preserve"> PAGEREF _Toc474638941 \h </w:instrText>
            </w:r>
            <w:r>
              <w:rPr>
                <w:webHidden/>
              </w:rPr>
            </w:r>
            <w:r>
              <w:rPr>
                <w:webHidden/>
              </w:rPr>
              <w:fldChar w:fldCharType="separate"/>
            </w:r>
            <w:r w:rsidR="00AF29C3">
              <w:rPr>
                <w:webHidden/>
              </w:rPr>
              <w:t>558</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42" w:history="1">
            <w:r w:rsidR="00E76515" w:rsidRPr="004E3B7B">
              <w:rPr>
                <w:rStyle w:val="Hyperlink"/>
                <w:noProof/>
              </w:rPr>
              <w:t>12.1.</w:t>
            </w:r>
            <w:r w:rsidR="00E76515">
              <w:rPr>
                <w:rFonts w:asciiTheme="minorHAnsi" w:eastAsiaTheme="minorEastAsia" w:hAnsiTheme="minorHAnsi"/>
                <w:noProof/>
                <w:szCs w:val="22"/>
                <w:lang w:val="en-US"/>
              </w:rPr>
              <w:tab/>
            </w:r>
            <w:r w:rsidR="00E76515" w:rsidRPr="004E3B7B">
              <w:rPr>
                <w:rStyle w:val="Hyperlink"/>
                <w:noProof/>
              </w:rPr>
              <w:t>Introduction</w:t>
            </w:r>
            <w:r w:rsidR="00E76515">
              <w:rPr>
                <w:noProof/>
                <w:webHidden/>
              </w:rPr>
              <w:tab/>
            </w:r>
            <w:r>
              <w:rPr>
                <w:noProof/>
                <w:webHidden/>
              </w:rPr>
              <w:fldChar w:fldCharType="begin"/>
            </w:r>
            <w:r w:rsidR="00E76515">
              <w:rPr>
                <w:noProof/>
                <w:webHidden/>
              </w:rPr>
              <w:instrText xml:space="preserve"> PAGEREF _Toc474638942 \h </w:instrText>
            </w:r>
            <w:r>
              <w:rPr>
                <w:noProof/>
                <w:webHidden/>
              </w:rPr>
            </w:r>
            <w:r>
              <w:rPr>
                <w:noProof/>
                <w:webHidden/>
              </w:rPr>
              <w:fldChar w:fldCharType="separate"/>
            </w:r>
            <w:r w:rsidR="00AF29C3">
              <w:rPr>
                <w:noProof/>
                <w:webHidden/>
              </w:rPr>
              <w:t>558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43" w:history="1">
            <w:r w:rsidR="00E76515" w:rsidRPr="004E3B7B">
              <w:rPr>
                <w:rStyle w:val="Hyperlink"/>
                <w:noProof/>
              </w:rPr>
              <w:t>12.2.</w:t>
            </w:r>
            <w:r w:rsidR="00E76515">
              <w:rPr>
                <w:rFonts w:asciiTheme="minorHAnsi" w:eastAsiaTheme="minorEastAsia" w:hAnsiTheme="minorHAnsi"/>
                <w:noProof/>
                <w:szCs w:val="22"/>
                <w:lang w:val="en-US"/>
              </w:rPr>
              <w:tab/>
            </w:r>
            <w:r w:rsidR="00E76515" w:rsidRPr="004E3B7B">
              <w:rPr>
                <w:rStyle w:val="Hyperlink"/>
                <w:noProof/>
              </w:rPr>
              <w:t>Lessons of International Experiences</w:t>
            </w:r>
            <w:r w:rsidR="00E76515">
              <w:rPr>
                <w:noProof/>
                <w:webHidden/>
              </w:rPr>
              <w:tab/>
            </w:r>
            <w:r>
              <w:rPr>
                <w:noProof/>
                <w:webHidden/>
              </w:rPr>
              <w:fldChar w:fldCharType="begin"/>
            </w:r>
            <w:r w:rsidR="00E76515">
              <w:rPr>
                <w:noProof/>
                <w:webHidden/>
              </w:rPr>
              <w:instrText xml:space="preserve"> PAGEREF _Toc474638943 \h </w:instrText>
            </w:r>
            <w:r>
              <w:rPr>
                <w:noProof/>
                <w:webHidden/>
              </w:rPr>
            </w:r>
            <w:r>
              <w:rPr>
                <w:noProof/>
                <w:webHidden/>
              </w:rPr>
              <w:fldChar w:fldCharType="separate"/>
            </w:r>
            <w:r w:rsidR="00AF29C3">
              <w:rPr>
                <w:noProof/>
                <w:webHidden/>
              </w:rPr>
              <w:t>559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44" w:history="1">
            <w:r w:rsidR="00E76515" w:rsidRPr="004E3B7B">
              <w:rPr>
                <w:rStyle w:val="Hyperlink"/>
                <w:noProof/>
              </w:rPr>
              <w:t>12.3.</w:t>
            </w:r>
            <w:r w:rsidR="00E76515">
              <w:rPr>
                <w:rFonts w:asciiTheme="minorHAnsi" w:eastAsiaTheme="minorEastAsia" w:hAnsiTheme="minorHAnsi"/>
                <w:noProof/>
                <w:szCs w:val="22"/>
                <w:lang w:val="en-US"/>
              </w:rPr>
              <w:tab/>
            </w:r>
            <w:r w:rsidR="00E76515" w:rsidRPr="004E3B7B">
              <w:rPr>
                <w:rStyle w:val="Hyperlink"/>
                <w:noProof/>
              </w:rPr>
              <w:t>Existing Policy and Institutional Framework for Water Management in Bangladesh</w:t>
            </w:r>
            <w:r w:rsidR="00E76515">
              <w:rPr>
                <w:noProof/>
                <w:webHidden/>
              </w:rPr>
              <w:tab/>
            </w:r>
            <w:r>
              <w:rPr>
                <w:noProof/>
                <w:webHidden/>
              </w:rPr>
              <w:fldChar w:fldCharType="begin"/>
            </w:r>
            <w:r w:rsidR="00E76515">
              <w:rPr>
                <w:noProof/>
                <w:webHidden/>
              </w:rPr>
              <w:instrText xml:space="preserve"> PAGEREF _Toc474638944 \h </w:instrText>
            </w:r>
            <w:r>
              <w:rPr>
                <w:noProof/>
                <w:webHidden/>
              </w:rPr>
            </w:r>
            <w:r>
              <w:rPr>
                <w:noProof/>
                <w:webHidden/>
              </w:rPr>
              <w:fldChar w:fldCharType="separate"/>
            </w:r>
            <w:r w:rsidR="00AF29C3">
              <w:rPr>
                <w:noProof/>
                <w:webHidden/>
              </w:rPr>
              <w:t>565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45" w:history="1">
            <w:r w:rsidR="00E76515" w:rsidRPr="004E3B7B">
              <w:rPr>
                <w:rStyle w:val="Hyperlink"/>
                <w:noProof/>
              </w:rPr>
              <w:t>12.4.</w:t>
            </w:r>
            <w:r w:rsidR="00E76515">
              <w:rPr>
                <w:rFonts w:asciiTheme="minorHAnsi" w:eastAsiaTheme="minorEastAsia" w:hAnsiTheme="minorHAnsi"/>
                <w:noProof/>
                <w:szCs w:val="22"/>
                <w:lang w:val="en-US"/>
              </w:rPr>
              <w:tab/>
            </w:r>
            <w:r w:rsidR="00E76515" w:rsidRPr="004E3B7B">
              <w:rPr>
                <w:rStyle w:val="Hyperlink"/>
                <w:noProof/>
              </w:rPr>
              <w:t>Issues and Challenges in Integrated Water Management</w:t>
            </w:r>
            <w:r w:rsidR="00E76515">
              <w:rPr>
                <w:noProof/>
                <w:webHidden/>
              </w:rPr>
              <w:tab/>
            </w:r>
            <w:r>
              <w:rPr>
                <w:noProof/>
                <w:webHidden/>
              </w:rPr>
              <w:fldChar w:fldCharType="begin"/>
            </w:r>
            <w:r w:rsidR="00E76515">
              <w:rPr>
                <w:noProof/>
                <w:webHidden/>
              </w:rPr>
              <w:instrText xml:space="preserve"> PAGEREF _Toc474638945 \h </w:instrText>
            </w:r>
            <w:r>
              <w:rPr>
                <w:noProof/>
                <w:webHidden/>
              </w:rPr>
            </w:r>
            <w:r>
              <w:rPr>
                <w:noProof/>
                <w:webHidden/>
              </w:rPr>
              <w:fldChar w:fldCharType="separate"/>
            </w:r>
            <w:r w:rsidR="00AF29C3">
              <w:rPr>
                <w:noProof/>
                <w:webHidden/>
              </w:rPr>
              <w:t>573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46" w:history="1">
            <w:r w:rsidR="00E76515" w:rsidRPr="004E3B7B">
              <w:rPr>
                <w:rStyle w:val="Hyperlink"/>
                <w:noProof/>
              </w:rPr>
              <w:t>12.5.</w:t>
            </w:r>
            <w:r w:rsidR="00E76515">
              <w:rPr>
                <w:rFonts w:asciiTheme="minorHAnsi" w:eastAsiaTheme="minorEastAsia" w:hAnsiTheme="minorHAnsi"/>
                <w:noProof/>
                <w:szCs w:val="22"/>
                <w:lang w:val="en-US"/>
              </w:rPr>
              <w:tab/>
            </w:r>
            <w:r w:rsidR="00E76515" w:rsidRPr="004E3B7B">
              <w:rPr>
                <w:rStyle w:val="Hyperlink"/>
                <w:noProof/>
              </w:rPr>
              <w:t>Reform of Governance and Institutions for Adaptive Delta Management</w:t>
            </w:r>
            <w:r w:rsidR="00E76515">
              <w:rPr>
                <w:noProof/>
                <w:webHidden/>
              </w:rPr>
              <w:tab/>
            </w:r>
            <w:r>
              <w:rPr>
                <w:noProof/>
                <w:webHidden/>
              </w:rPr>
              <w:fldChar w:fldCharType="begin"/>
            </w:r>
            <w:r w:rsidR="00E76515">
              <w:rPr>
                <w:noProof/>
                <w:webHidden/>
              </w:rPr>
              <w:instrText xml:space="preserve"> PAGEREF _Toc474638946 \h </w:instrText>
            </w:r>
            <w:r>
              <w:rPr>
                <w:noProof/>
                <w:webHidden/>
              </w:rPr>
            </w:r>
            <w:r>
              <w:rPr>
                <w:noProof/>
                <w:webHidden/>
              </w:rPr>
              <w:fldChar w:fldCharType="separate"/>
            </w:r>
            <w:r w:rsidR="00AF29C3">
              <w:rPr>
                <w:noProof/>
                <w:webHidden/>
              </w:rPr>
              <w:t>578</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47" w:history="1">
            <w:r w:rsidR="00E76515" w:rsidRPr="004E3B7B">
              <w:rPr>
                <w:rStyle w:val="Hyperlink"/>
              </w:rPr>
              <w:t>CHAPTER 13</w:t>
            </w:r>
            <w:r w:rsidR="00E76515">
              <w:rPr>
                <w:webHidden/>
              </w:rPr>
              <w:tab/>
            </w:r>
            <w:r>
              <w:rPr>
                <w:webHidden/>
              </w:rPr>
              <w:fldChar w:fldCharType="begin"/>
            </w:r>
            <w:r w:rsidR="00E76515">
              <w:rPr>
                <w:webHidden/>
              </w:rPr>
              <w:instrText xml:space="preserve"> PAGEREF _Toc474638947 \h </w:instrText>
            </w:r>
            <w:r>
              <w:rPr>
                <w:webHidden/>
              </w:rPr>
            </w:r>
            <w:r>
              <w:rPr>
                <w:webHidden/>
              </w:rPr>
              <w:fldChar w:fldCharType="separate"/>
            </w:r>
            <w:r w:rsidR="00AF29C3">
              <w:rPr>
                <w:webHidden/>
              </w:rPr>
              <w:t>596</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48" w:history="1">
            <w:r w:rsidR="00E76515" w:rsidRPr="004E3B7B">
              <w:rPr>
                <w:rStyle w:val="Hyperlink"/>
              </w:rPr>
              <w:t>Monitoring and Evaluation System for Bangladesh Delta Plan</w:t>
            </w:r>
            <w:r w:rsidR="00E76515">
              <w:rPr>
                <w:webHidden/>
              </w:rPr>
              <w:tab/>
            </w:r>
            <w:r>
              <w:rPr>
                <w:webHidden/>
              </w:rPr>
              <w:fldChar w:fldCharType="begin"/>
            </w:r>
            <w:r w:rsidR="00E76515">
              <w:rPr>
                <w:webHidden/>
              </w:rPr>
              <w:instrText xml:space="preserve"> PAGEREF _Toc474638948 \h </w:instrText>
            </w:r>
            <w:r>
              <w:rPr>
                <w:webHidden/>
              </w:rPr>
            </w:r>
            <w:r>
              <w:rPr>
                <w:webHidden/>
              </w:rPr>
              <w:fldChar w:fldCharType="separate"/>
            </w:r>
            <w:r w:rsidR="00AF29C3">
              <w:rPr>
                <w:webHidden/>
              </w:rPr>
              <w:t>596</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49" w:history="1">
            <w:r w:rsidR="00E76515" w:rsidRPr="004E3B7B">
              <w:rPr>
                <w:rStyle w:val="Hyperlink"/>
                <w:noProof/>
              </w:rPr>
              <w:t>13.1.</w:t>
            </w:r>
            <w:r w:rsidR="00E76515">
              <w:rPr>
                <w:rFonts w:asciiTheme="minorHAnsi" w:eastAsiaTheme="minorEastAsia" w:hAnsiTheme="minorHAnsi"/>
                <w:noProof/>
                <w:szCs w:val="22"/>
                <w:lang w:val="en-US"/>
              </w:rPr>
              <w:tab/>
            </w:r>
            <w:r w:rsidR="00E76515" w:rsidRPr="004E3B7B">
              <w:rPr>
                <w:rStyle w:val="Hyperlink"/>
                <w:noProof/>
              </w:rPr>
              <w:t>Importance of Monitoring and Evaluation (M&amp;E)</w:t>
            </w:r>
            <w:r w:rsidR="00E76515">
              <w:rPr>
                <w:noProof/>
                <w:webHidden/>
              </w:rPr>
              <w:tab/>
            </w:r>
            <w:r>
              <w:rPr>
                <w:noProof/>
                <w:webHidden/>
              </w:rPr>
              <w:fldChar w:fldCharType="begin"/>
            </w:r>
            <w:r w:rsidR="00E76515">
              <w:rPr>
                <w:noProof/>
                <w:webHidden/>
              </w:rPr>
              <w:instrText xml:space="preserve"> PAGEREF _Toc474638949 \h </w:instrText>
            </w:r>
            <w:r>
              <w:rPr>
                <w:noProof/>
                <w:webHidden/>
              </w:rPr>
            </w:r>
            <w:r>
              <w:rPr>
                <w:noProof/>
                <w:webHidden/>
              </w:rPr>
              <w:fldChar w:fldCharType="separate"/>
            </w:r>
            <w:r w:rsidR="00AF29C3">
              <w:rPr>
                <w:noProof/>
                <w:webHidden/>
              </w:rPr>
              <w:t>596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50" w:history="1">
            <w:r w:rsidR="00E76515" w:rsidRPr="004E3B7B">
              <w:rPr>
                <w:rStyle w:val="Hyperlink"/>
                <w:noProof/>
              </w:rPr>
              <w:t>13.2.</w:t>
            </w:r>
            <w:r w:rsidR="00E76515">
              <w:rPr>
                <w:rFonts w:asciiTheme="minorHAnsi" w:eastAsiaTheme="minorEastAsia" w:hAnsiTheme="minorHAnsi"/>
                <w:noProof/>
                <w:szCs w:val="22"/>
                <w:lang w:val="en-US"/>
              </w:rPr>
              <w:tab/>
            </w:r>
            <w:r w:rsidR="00E76515" w:rsidRPr="004E3B7B">
              <w:rPr>
                <w:rStyle w:val="Hyperlink"/>
                <w:noProof/>
              </w:rPr>
              <w:t>Present M&amp;E Practices for Integrated Water Management</w:t>
            </w:r>
            <w:r w:rsidR="00E76515">
              <w:rPr>
                <w:noProof/>
                <w:webHidden/>
              </w:rPr>
              <w:tab/>
            </w:r>
            <w:r>
              <w:rPr>
                <w:noProof/>
                <w:webHidden/>
              </w:rPr>
              <w:fldChar w:fldCharType="begin"/>
            </w:r>
            <w:r w:rsidR="00E76515">
              <w:rPr>
                <w:noProof/>
                <w:webHidden/>
              </w:rPr>
              <w:instrText xml:space="preserve"> PAGEREF _Toc474638950 \h </w:instrText>
            </w:r>
            <w:r>
              <w:rPr>
                <w:noProof/>
                <w:webHidden/>
              </w:rPr>
            </w:r>
            <w:r>
              <w:rPr>
                <w:noProof/>
                <w:webHidden/>
              </w:rPr>
              <w:fldChar w:fldCharType="separate"/>
            </w:r>
            <w:r w:rsidR="00AF29C3">
              <w:rPr>
                <w:noProof/>
                <w:webHidden/>
              </w:rPr>
              <w:t>599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51" w:history="1">
            <w:r w:rsidR="00E76515" w:rsidRPr="004E3B7B">
              <w:rPr>
                <w:rStyle w:val="Hyperlink"/>
                <w:noProof/>
              </w:rPr>
              <w:t>13.3.</w:t>
            </w:r>
            <w:r w:rsidR="00E76515">
              <w:rPr>
                <w:rFonts w:asciiTheme="minorHAnsi" w:eastAsiaTheme="minorEastAsia" w:hAnsiTheme="minorHAnsi"/>
                <w:noProof/>
                <w:szCs w:val="22"/>
                <w:lang w:val="en-US"/>
              </w:rPr>
              <w:tab/>
            </w:r>
            <w:r w:rsidR="00E76515" w:rsidRPr="004E3B7B">
              <w:rPr>
                <w:rStyle w:val="Hyperlink"/>
                <w:noProof/>
              </w:rPr>
              <w:t>Data Usage and Dissemination Practices</w:t>
            </w:r>
            <w:r w:rsidR="00E76515">
              <w:rPr>
                <w:noProof/>
                <w:webHidden/>
              </w:rPr>
              <w:tab/>
            </w:r>
            <w:r>
              <w:rPr>
                <w:noProof/>
                <w:webHidden/>
              </w:rPr>
              <w:fldChar w:fldCharType="begin"/>
            </w:r>
            <w:r w:rsidR="00E76515">
              <w:rPr>
                <w:noProof/>
                <w:webHidden/>
              </w:rPr>
              <w:instrText xml:space="preserve"> PAGEREF _Toc474638951 \h </w:instrText>
            </w:r>
            <w:r>
              <w:rPr>
                <w:noProof/>
                <w:webHidden/>
              </w:rPr>
            </w:r>
            <w:r>
              <w:rPr>
                <w:noProof/>
                <w:webHidden/>
              </w:rPr>
              <w:fldChar w:fldCharType="separate"/>
            </w:r>
            <w:r w:rsidR="00AF29C3">
              <w:rPr>
                <w:noProof/>
                <w:webHidden/>
              </w:rPr>
              <w:t>605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52" w:history="1">
            <w:r w:rsidR="00E76515" w:rsidRPr="004E3B7B">
              <w:rPr>
                <w:rStyle w:val="Hyperlink"/>
                <w:noProof/>
              </w:rPr>
              <w:t>13.4.</w:t>
            </w:r>
            <w:r w:rsidR="00E76515">
              <w:rPr>
                <w:rFonts w:asciiTheme="minorHAnsi" w:eastAsiaTheme="minorEastAsia" w:hAnsiTheme="minorHAnsi"/>
                <w:noProof/>
                <w:szCs w:val="22"/>
                <w:lang w:val="en-US"/>
              </w:rPr>
              <w:tab/>
            </w:r>
            <w:r w:rsidR="00E76515" w:rsidRPr="004E3B7B">
              <w:rPr>
                <w:rStyle w:val="Hyperlink"/>
                <w:noProof/>
              </w:rPr>
              <w:t>Lessons from International Experiences</w:t>
            </w:r>
            <w:r w:rsidR="00E76515">
              <w:rPr>
                <w:noProof/>
                <w:webHidden/>
              </w:rPr>
              <w:tab/>
            </w:r>
            <w:r>
              <w:rPr>
                <w:noProof/>
                <w:webHidden/>
              </w:rPr>
              <w:fldChar w:fldCharType="begin"/>
            </w:r>
            <w:r w:rsidR="00E76515">
              <w:rPr>
                <w:noProof/>
                <w:webHidden/>
              </w:rPr>
              <w:instrText xml:space="preserve"> PAGEREF _Toc474638952 \h </w:instrText>
            </w:r>
            <w:r>
              <w:rPr>
                <w:noProof/>
                <w:webHidden/>
              </w:rPr>
            </w:r>
            <w:r>
              <w:rPr>
                <w:noProof/>
                <w:webHidden/>
              </w:rPr>
              <w:fldChar w:fldCharType="separate"/>
            </w:r>
            <w:r w:rsidR="00AF29C3">
              <w:rPr>
                <w:noProof/>
                <w:webHidden/>
              </w:rPr>
              <w:t>607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53" w:history="1">
            <w:r w:rsidR="00E76515" w:rsidRPr="004E3B7B">
              <w:rPr>
                <w:rStyle w:val="Hyperlink"/>
                <w:noProof/>
              </w:rPr>
              <w:t>13.5.</w:t>
            </w:r>
            <w:r w:rsidR="00E76515">
              <w:rPr>
                <w:rFonts w:asciiTheme="minorHAnsi" w:eastAsiaTheme="minorEastAsia" w:hAnsiTheme="minorHAnsi"/>
                <w:noProof/>
                <w:szCs w:val="22"/>
                <w:lang w:val="en-US"/>
              </w:rPr>
              <w:tab/>
            </w:r>
            <w:r w:rsidR="00E76515" w:rsidRPr="004E3B7B">
              <w:rPr>
                <w:rStyle w:val="Hyperlink"/>
                <w:noProof/>
              </w:rPr>
              <w:t>The Delta M&amp;E Framework</w:t>
            </w:r>
            <w:r w:rsidR="00E76515">
              <w:rPr>
                <w:noProof/>
                <w:webHidden/>
              </w:rPr>
              <w:tab/>
            </w:r>
            <w:r>
              <w:rPr>
                <w:noProof/>
                <w:webHidden/>
              </w:rPr>
              <w:fldChar w:fldCharType="begin"/>
            </w:r>
            <w:r w:rsidR="00E76515">
              <w:rPr>
                <w:noProof/>
                <w:webHidden/>
              </w:rPr>
              <w:instrText xml:space="preserve"> PAGEREF _Toc474638953 \h </w:instrText>
            </w:r>
            <w:r>
              <w:rPr>
                <w:noProof/>
                <w:webHidden/>
              </w:rPr>
            </w:r>
            <w:r>
              <w:rPr>
                <w:noProof/>
                <w:webHidden/>
              </w:rPr>
              <w:fldChar w:fldCharType="separate"/>
            </w:r>
            <w:r w:rsidR="00AF29C3">
              <w:rPr>
                <w:noProof/>
                <w:webHidden/>
              </w:rPr>
              <w:t>607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54" w:history="1">
            <w:r w:rsidR="00E76515" w:rsidRPr="004E3B7B">
              <w:rPr>
                <w:rStyle w:val="Hyperlink"/>
                <w:noProof/>
              </w:rPr>
              <w:t>13.6.</w:t>
            </w:r>
            <w:r w:rsidR="00E76515">
              <w:rPr>
                <w:rFonts w:asciiTheme="minorHAnsi" w:eastAsiaTheme="minorEastAsia" w:hAnsiTheme="minorHAnsi"/>
                <w:noProof/>
                <w:szCs w:val="22"/>
                <w:lang w:val="en-US"/>
              </w:rPr>
              <w:tab/>
            </w:r>
            <w:r w:rsidR="00E76515" w:rsidRPr="004E3B7B">
              <w:rPr>
                <w:rStyle w:val="Hyperlink"/>
                <w:noProof/>
              </w:rPr>
              <w:t>Data Collection and Analysis</w:t>
            </w:r>
            <w:r w:rsidR="00E76515">
              <w:rPr>
                <w:noProof/>
                <w:webHidden/>
              </w:rPr>
              <w:tab/>
            </w:r>
            <w:r>
              <w:rPr>
                <w:noProof/>
                <w:webHidden/>
              </w:rPr>
              <w:fldChar w:fldCharType="begin"/>
            </w:r>
            <w:r w:rsidR="00E76515">
              <w:rPr>
                <w:noProof/>
                <w:webHidden/>
              </w:rPr>
              <w:instrText xml:space="preserve"> PAGEREF _Toc474638954 \h </w:instrText>
            </w:r>
            <w:r>
              <w:rPr>
                <w:noProof/>
                <w:webHidden/>
              </w:rPr>
            </w:r>
            <w:r>
              <w:rPr>
                <w:noProof/>
                <w:webHidden/>
              </w:rPr>
              <w:fldChar w:fldCharType="separate"/>
            </w:r>
            <w:r w:rsidR="00AF29C3">
              <w:rPr>
                <w:noProof/>
                <w:webHidden/>
              </w:rPr>
              <w:t>613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55" w:history="1">
            <w:r w:rsidR="00E76515" w:rsidRPr="004E3B7B">
              <w:rPr>
                <w:rStyle w:val="Hyperlink"/>
                <w:noProof/>
              </w:rPr>
              <w:t>13.7.</w:t>
            </w:r>
            <w:r w:rsidR="00E76515">
              <w:rPr>
                <w:rFonts w:asciiTheme="minorHAnsi" w:eastAsiaTheme="minorEastAsia" w:hAnsiTheme="minorHAnsi"/>
                <w:noProof/>
                <w:szCs w:val="22"/>
                <w:lang w:val="en-US"/>
              </w:rPr>
              <w:tab/>
            </w:r>
            <w:r w:rsidR="00E76515" w:rsidRPr="004E3B7B">
              <w:rPr>
                <w:rStyle w:val="Hyperlink"/>
                <w:noProof/>
              </w:rPr>
              <w:t>Reporting Results</w:t>
            </w:r>
            <w:r w:rsidR="00E76515">
              <w:rPr>
                <w:noProof/>
                <w:webHidden/>
              </w:rPr>
              <w:tab/>
            </w:r>
            <w:r>
              <w:rPr>
                <w:noProof/>
                <w:webHidden/>
              </w:rPr>
              <w:fldChar w:fldCharType="begin"/>
            </w:r>
            <w:r w:rsidR="00E76515">
              <w:rPr>
                <w:noProof/>
                <w:webHidden/>
              </w:rPr>
              <w:instrText xml:space="preserve"> PAGEREF _Toc474638955 \h </w:instrText>
            </w:r>
            <w:r>
              <w:rPr>
                <w:noProof/>
                <w:webHidden/>
              </w:rPr>
            </w:r>
            <w:r>
              <w:rPr>
                <w:noProof/>
                <w:webHidden/>
              </w:rPr>
              <w:fldChar w:fldCharType="separate"/>
            </w:r>
            <w:r w:rsidR="00AF29C3">
              <w:rPr>
                <w:noProof/>
                <w:webHidden/>
              </w:rPr>
              <w:t>616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56" w:history="1">
            <w:r w:rsidR="00E76515" w:rsidRPr="004E3B7B">
              <w:rPr>
                <w:rStyle w:val="Hyperlink"/>
                <w:noProof/>
              </w:rPr>
              <w:t>13.8.</w:t>
            </w:r>
            <w:r w:rsidR="00E76515">
              <w:rPr>
                <w:rFonts w:asciiTheme="minorHAnsi" w:eastAsiaTheme="minorEastAsia" w:hAnsiTheme="minorHAnsi"/>
                <w:noProof/>
                <w:szCs w:val="22"/>
                <w:lang w:val="en-US"/>
              </w:rPr>
              <w:tab/>
            </w:r>
            <w:r w:rsidR="00E76515" w:rsidRPr="004E3B7B">
              <w:rPr>
                <w:rStyle w:val="Hyperlink"/>
                <w:noProof/>
              </w:rPr>
              <w:t>BDP2100 Accountability</w:t>
            </w:r>
            <w:r w:rsidR="00E76515">
              <w:rPr>
                <w:noProof/>
                <w:webHidden/>
              </w:rPr>
              <w:tab/>
            </w:r>
            <w:r>
              <w:rPr>
                <w:noProof/>
                <w:webHidden/>
              </w:rPr>
              <w:fldChar w:fldCharType="begin"/>
            </w:r>
            <w:r w:rsidR="00E76515">
              <w:rPr>
                <w:noProof/>
                <w:webHidden/>
              </w:rPr>
              <w:instrText xml:space="preserve"> PAGEREF _Toc474638956 \h </w:instrText>
            </w:r>
            <w:r>
              <w:rPr>
                <w:noProof/>
                <w:webHidden/>
              </w:rPr>
            </w:r>
            <w:r>
              <w:rPr>
                <w:noProof/>
                <w:webHidden/>
              </w:rPr>
              <w:fldChar w:fldCharType="separate"/>
            </w:r>
            <w:r w:rsidR="00AF29C3">
              <w:rPr>
                <w:noProof/>
                <w:webHidden/>
              </w:rPr>
              <w:t>616</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57" w:history="1">
            <w:r w:rsidR="00E76515" w:rsidRPr="004E3B7B">
              <w:rPr>
                <w:rStyle w:val="Hyperlink"/>
              </w:rPr>
              <w:t>CHAPTER 14</w:t>
            </w:r>
            <w:r w:rsidR="00E76515">
              <w:rPr>
                <w:webHidden/>
              </w:rPr>
              <w:tab/>
            </w:r>
            <w:r>
              <w:rPr>
                <w:webHidden/>
              </w:rPr>
              <w:fldChar w:fldCharType="begin"/>
            </w:r>
            <w:r w:rsidR="00E76515">
              <w:rPr>
                <w:webHidden/>
              </w:rPr>
              <w:instrText xml:space="preserve"> PAGEREF _Toc474638957 \h </w:instrText>
            </w:r>
            <w:r>
              <w:rPr>
                <w:webHidden/>
              </w:rPr>
            </w:r>
            <w:r>
              <w:rPr>
                <w:webHidden/>
              </w:rPr>
              <w:fldChar w:fldCharType="separate"/>
            </w:r>
            <w:r w:rsidR="00AF29C3">
              <w:rPr>
                <w:webHidden/>
              </w:rPr>
              <w:t>618</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58" w:history="1">
            <w:r w:rsidR="00E76515" w:rsidRPr="004E3B7B">
              <w:rPr>
                <w:rStyle w:val="Hyperlink"/>
              </w:rPr>
              <w:t>Delta Knowledge Hub and Data Management</w:t>
            </w:r>
            <w:r w:rsidR="00E76515">
              <w:rPr>
                <w:webHidden/>
              </w:rPr>
              <w:tab/>
            </w:r>
            <w:r>
              <w:rPr>
                <w:webHidden/>
              </w:rPr>
              <w:fldChar w:fldCharType="begin"/>
            </w:r>
            <w:r w:rsidR="00E76515">
              <w:rPr>
                <w:webHidden/>
              </w:rPr>
              <w:instrText xml:space="preserve"> PAGEREF _Toc474638958 \h </w:instrText>
            </w:r>
            <w:r>
              <w:rPr>
                <w:webHidden/>
              </w:rPr>
            </w:r>
            <w:r>
              <w:rPr>
                <w:webHidden/>
              </w:rPr>
              <w:fldChar w:fldCharType="separate"/>
            </w:r>
            <w:r w:rsidR="00AF29C3">
              <w:rPr>
                <w:webHidden/>
              </w:rPr>
              <w:t>618</w:t>
            </w:r>
            <w:r>
              <w:rPr>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59" w:history="1">
            <w:r w:rsidR="00E76515" w:rsidRPr="004E3B7B">
              <w:rPr>
                <w:rStyle w:val="Hyperlink"/>
                <w:noProof/>
              </w:rPr>
              <w:t>14.1.</w:t>
            </w:r>
            <w:r w:rsidR="00E76515">
              <w:rPr>
                <w:rFonts w:asciiTheme="minorHAnsi" w:eastAsiaTheme="minorEastAsia" w:hAnsiTheme="minorHAnsi"/>
                <w:noProof/>
                <w:szCs w:val="22"/>
                <w:lang w:val="en-US"/>
              </w:rPr>
              <w:tab/>
            </w:r>
            <w:r w:rsidR="00E76515" w:rsidRPr="004E3B7B">
              <w:rPr>
                <w:rStyle w:val="Hyperlink"/>
                <w:noProof/>
              </w:rPr>
              <w:t>Role of Knowledge in Delta Management</w:t>
            </w:r>
            <w:r w:rsidR="00E76515">
              <w:rPr>
                <w:noProof/>
                <w:webHidden/>
              </w:rPr>
              <w:tab/>
            </w:r>
            <w:r>
              <w:rPr>
                <w:noProof/>
                <w:webHidden/>
              </w:rPr>
              <w:fldChar w:fldCharType="begin"/>
            </w:r>
            <w:r w:rsidR="00E76515">
              <w:rPr>
                <w:noProof/>
                <w:webHidden/>
              </w:rPr>
              <w:instrText xml:space="preserve"> PAGEREF _Toc474638959 \h </w:instrText>
            </w:r>
            <w:r>
              <w:rPr>
                <w:noProof/>
                <w:webHidden/>
              </w:rPr>
            </w:r>
            <w:r>
              <w:rPr>
                <w:noProof/>
                <w:webHidden/>
              </w:rPr>
              <w:fldChar w:fldCharType="separate"/>
            </w:r>
            <w:r w:rsidR="00AF29C3">
              <w:rPr>
                <w:noProof/>
                <w:webHidden/>
              </w:rPr>
              <w:t>618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60" w:history="1">
            <w:r w:rsidR="00E76515" w:rsidRPr="004E3B7B">
              <w:rPr>
                <w:rStyle w:val="Hyperlink"/>
                <w:noProof/>
              </w:rPr>
              <w:t>14.2.</w:t>
            </w:r>
            <w:r w:rsidR="00E76515">
              <w:rPr>
                <w:rFonts w:asciiTheme="minorHAnsi" w:eastAsiaTheme="minorEastAsia" w:hAnsiTheme="minorHAnsi"/>
                <w:noProof/>
                <w:szCs w:val="22"/>
                <w:lang w:val="en-US"/>
              </w:rPr>
              <w:tab/>
            </w:r>
            <w:r w:rsidR="00E76515" w:rsidRPr="004E3B7B">
              <w:rPr>
                <w:rStyle w:val="Hyperlink"/>
                <w:noProof/>
              </w:rPr>
              <w:t>Context and Current Situation of Delta Knowledge and Data Management</w:t>
            </w:r>
            <w:r w:rsidR="00E76515">
              <w:rPr>
                <w:noProof/>
                <w:webHidden/>
              </w:rPr>
              <w:tab/>
            </w:r>
            <w:r>
              <w:rPr>
                <w:noProof/>
                <w:webHidden/>
              </w:rPr>
              <w:fldChar w:fldCharType="begin"/>
            </w:r>
            <w:r w:rsidR="00E76515">
              <w:rPr>
                <w:noProof/>
                <w:webHidden/>
              </w:rPr>
              <w:instrText xml:space="preserve"> PAGEREF _Toc474638960 \h </w:instrText>
            </w:r>
            <w:r>
              <w:rPr>
                <w:noProof/>
                <w:webHidden/>
              </w:rPr>
            </w:r>
            <w:r>
              <w:rPr>
                <w:noProof/>
                <w:webHidden/>
              </w:rPr>
              <w:fldChar w:fldCharType="separate"/>
            </w:r>
            <w:r w:rsidR="00AF29C3">
              <w:rPr>
                <w:noProof/>
                <w:webHidden/>
              </w:rPr>
              <w:t>619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61" w:history="1">
            <w:r w:rsidR="00E76515" w:rsidRPr="004E3B7B">
              <w:rPr>
                <w:rStyle w:val="Hyperlink"/>
                <w:noProof/>
              </w:rPr>
              <w:t>14.3.</w:t>
            </w:r>
            <w:r w:rsidR="00E76515">
              <w:rPr>
                <w:rFonts w:asciiTheme="minorHAnsi" w:eastAsiaTheme="minorEastAsia" w:hAnsiTheme="minorHAnsi"/>
                <w:noProof/>
                <w:szCs w:val="22"/>
                <w:lang w:val="en-US"/>
              </w:rPr>
              <w:tab/>
            </w:r>
            <w:r w:rsidR="00E76515" w:rsidRPr="004E3B7B">
              <w:rPr>
                <w:rStyle w:val="Hyperlink"/>
                <w:noProof/>
              </w:rPr>
              <w:t>Lessons of International Experience</w:t>
            </w:r>
            <w:r w:rsidR="00E76515">
              <w:rPr>
                <w:noProof/>
                <w:webHidden/>
              </w:rPr>
              <w:tab/>
            </w:r>
            <w:r>
              <w:rPr>
                <w:noProof/>
                <w:webHidden/>
              </w:rPr>
              <w:fldChar w:fldCharType="begin"/>
            </w:r>
            <w:r w:rsidR="00E76515">
              <w:rPr>
                <w:noProof/>
                <w:webHidden/>
              </w:rPr>
              <w:instrText xml:space="preserve"> PAGEREF _Toc474638961 \h </w:instrText>
            </w:r>
            <w:r>
              <w:rPr>
                <w:noProof/>
                <w:webHidden/>
              </w:rPr>
            </w:r>
            <w:r>
              <w:rPr>
                <w:noProof/>
                <w:webHidden/>
              </w:rPr>
              <w:fldChar w:fldCharType="separate"/>
            </w:r>
            <w:r w:rsidR="00AF29C3">
              <w:rPr>
                <w:noProof/>
                <w:webHidden/>
              </w:rPr>
              <w:t>624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62" w:history="1">
            <w:r w:rsidR="00E76515" w:rsidRPr="004E3B7B">
              <w:rPr>
                <w:rStyle w:val="Hyperlink"/>
                <w:noProof/>
              </w:rPr>
              <w:t>14.4.</w:t>
            </w:r>
            <w:r w:rsidR="00E76515">
              <w:rPr>
                <w:rFonts w:asciiTheme="minorHAnsi" w:eastAsiaTheme="minorEastAsia" w:hAnsiTheme="minorHAnsi"/>
                <w:noProof/>
                <w:szCs w:val="22"/>
                <w:lang w:val="en-US"/>
              </w:rPr>
              <w:tab/>
            </w:r>
            <w:r w:rsidR="00E76515" w:rsidRPr="004E3B7B">
              <w:rPr>
                <w:rStyle w:val="Hyperlink"/>
                <w:noProof/>
              </w:rPr>
              <w:t>Strategic Considerations for the Bangladesh Delta Knowledge Hub</w:t>
            </w:r>
            <w:r w:rsidR="00E76515">
              <w:rPr>
                <w:noProof/>
                <w:webHidden/>
              </w:rPr>
              <w:tab/>
            </w:r>
            <w:r>
              <w:rPr>
                <w:noProof/>
                <w:webHidden/>
              </w:rPr>
              <w:fldChar w:fldCharType="begin"/>
            </w:r>
            <w:r w:rsidR="00E76515">
              <w:rPr>
                <w:noProof/>
                <w:webHidden/>
              </w:rPr>
              <w:instrText xml:space="preserve"> PAGEREF _Toc474638962 \h </w:instrText>
            </w:r>
            <w:r>
              <w:rPr>
                <w:noProof/>
                <w:webHidden/>
              </w:rPr>
            </w:r>
            <w:r>
              <w:rPr>
                <w:noProof/>
                <w:webHidden/>
              </w:rPr>
              <w:fldChar w:fldCharType="separate"/>
            </w:r>
            <w:r w:rsidR="00AF29C3">
              <w:rPr>
                <w:noProof/>
                <w:webHidden/>
              </w:rPr>
              <w:t>627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63" w:history="1">
            <w:r w:rsidR="00E76515" w:rsidRPr="004E3B7B">
              <w:rPr>
                <w:rStyle w:val="Hyperlink"/>
                <w:noProof/>
              </w:rPr>
              <w:t>14.5.</w:t>
            </w:r>
            <w:r w:rsidR="00E76515">
              <w:rPr>
                <w:rFonts w:asciiTheme="minorHAnsi" w:eastAsiaTheme="minorEastAsia" w:hAnsiTheme="minorHAnsi"/>
                <w:noProof/>
                <w:szCs w:val="22"/>
                <w:lang w:val="en-US"/>
              </w:rPr>
              <w:tab/>
            </w:r>
            <w:r w:rsidR="00E76515" w:rsidRPr="004E3B7B">
              <w:rPr>
                <w:rStyle w:val="Hyperlink"/>
                <w:noProof/>
              </w:rPr>
              <w:t>Institutional Set-up for Operating the Knowledge Hub</w:t>
            </w:r>
            <w:r w:rsidR="00E76515">
              <w:rPr>
                <w:noProof/>
                <w:webHidden/>
              </w:rPr>
              <w:tab/>
            </w:r>
            <w:r>
              <w:rPr>
                <w:noProof/>
                <w:webHidden/>
              </w:rPr>
              <w:fldChar w:fldCharType="begin"/>
            </w:r>
            <w:r w:rsidR="00E76515">
              <w:rPr>
                <w:noProof/>
                <w:webHidden/>
              </w:rPr>
              <w:instrText xml:space="preserve"> PAGEREF _Toc474638963 \h </w:instrText>
            </w:r>
            <w:r>
              <w:rPr>
                <w:noProof/>
                <w:webHidden/>
              </w:rPr>
            </w:r>
            <w:r>
              <w:rPr>
                <w:noProof/>
                <w:webHidden/>
              </w:rPr>
              <w:fldChar w:fldCharType="separate"/>
            </w:r>
            <w:r w:rsidR="00AF29C3">
              <w:rPr>
                <w:noProof/>
                <w:webHidden/>
              </w:rPr>
              <w:t>642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64" w:history="1">
            <w:r w:rsidR="00E76515" w:rsidRPr="004E3B7B">
              <w:rPr>
                <w:rStyle w:val="Hyperlink"/>
                <w:noProof/>
              </w:rPr>
              <w:t>14.6.</w:t>
            </w:r>
            <w:r w:rsidR="00E76515">
              <w:rPr>
                <w:rFonts w:asciiTheme="minorHAnsi" w:eastAsiaTheme="minorEastAsia" w:hAnsiTheme="minorHAnsi"/>
                <w:noProof/>
                <w:szCs w:val="22"/>
                <w:lang w:val="en-US"/>
              </w:rPr>
              <w:tab/>
            </w:r>
            <w:r w:rsidR="00E76515" w:rsidRPr="004E3B7B">
              <w:rPr>
                <w:rStyle w:val="Hyperlink"/>
                <w:noProof/>
              </w:rPr>
              <w:t>Data Access Policy</w:t>
            </w:r>
            <w:r w:rsidR="00E76515">
              <w:rPr>
                <w:noProof/>
                <w:webHidden/>
              </w:rPr>
              <w:tab/>
            </w:r>
            <w:r>
              <w:rPr>
                <w:noProof/>
                <w:webHidden/>
              </w:rPr>
              <w:fldChar w:fldCharType="begin"/>
            </w:r>
            <w:r w:rsidR="00E76515">
              <w:rPr>
                <w:noProof/>
                <w:webHidden/>
              </w:rPr>
              <w:instrText xml:space="preserve"> PAGEREF _Toc474638964 \h </w:instrText>
            </w:r>
            <w:r>
              <w:rPr>
                <w:noProof/>
                <w:webHidden/>
              </w:rPr>
            </w:r>
            <w:r>
              <w:rPr>
                <w:noProof/>
                <w:webHidden/>
              </w:rPr>
              <w:fldChar w:fldCharType="separate"/>
            </w:r>
            <w:r w:rsidR="00AF29C3">
              <w:rPr>
                <w:noProof/>
                <w:webHidden/>
              </w:rPr>
              <w:t>645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65" w:history="1">
            <w:r w:rsidR="00E76515" w:rsidRPr="004E3B7B">
              <w:rPr>
                <w:rStyle w:val="Hyperlink"/>
                <w:noProof/>
              </w:rPr>
              <w:t>14.7.</w:t>
            </w:r>
            <w:r w:rsidR="00E76515">
              <w:rPr>
                <w:rFonts w:asciiTheme="minorHAnsi" w:eastAsiaTheme="minorEastAsia" w:hAnsiTheme="minorHAnsi"/>
                <w:noProof/>
                <w:szCs w:val="22"/>
                <w:lang w:val="en-US"/>
              </w:rPr>
              <w:tab/>
            </w:r>
            <w:r w:rsidR="00E76515" w:rsidRPr="004E3B7B">
              <w:rPr>
                <w:rStyle w:val="Hyperlink"/>
                <w:noProof/>
              </w:rPr>
              <w:t>Data Standards and Knowledge Hub Hosting</w:t>
            </w:r>
            <w:r w:rsidR="00E76515">
              <w:rPr>
                <w:noProof/>
                <w:webHidden/>
              </w:rPr>
              <w:tab/>
            </w:r>
            <w:r>
              <w:rPr>
                <w:noProof/>
                <w:webHidden/>
              </w:rPr>
              <w:fldChar w:fldCharType="begin"/>
            </w:r>
            <w:r w:rsidR="00E76515">
              <w:rPr>
                <w:noProof/>
                <w:webHidden/>
              </w:rPr>
              <w:instrText xml:space="preserve"> PAGEREF _Toc474638965 \h </w:instrText>
            </w:r>
            <w:r>
              <w:rPr>
                <w:noProof/>
                <w:webHidden/>
              </w:rPr>
            </w:r>
            <w:r>
              <w:rPr>
                <w:noProof/>
                <w:webHidden/>
              </w:rPr>
              <w:fldChar w:fldCharType="separate"/>
            </w:r>
            <w:r w:rsidR="00AF29C3">
              <w:rPr>
                <w:noProof/>
                <w:webHidden/>
              </w:rPr>
              <w:t>646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66" w:history="1">
            <w:r w:rsidR="00E76515" w:rsidRPr="004E3B7B">
              <w:rPr>
                <w:rStyle w:val="Hyperlink"/>
                <w:noProof/>
              </w:rPr>
              <w:t>14.8.</w:t>
            </w:r>
            <w:r w:rsidR="00E76515">
              <w:rPr>
                <w:rFonts w:asciiTheme="minorHAnsi" w:eastAsiaTheme="minorEastAsia" w:hAnsiTheme="minorHAnsi"/>
                <w:noProof/>
                <w:szCs w:val="22"/>
                <w:lang w:val="en-US"/>
              </w:rPr>
              <w:tab/>
            </w:r>
            <w:r w:rsidR="00E76515" w:rsidRPr="004E3B7B">
              <w:rPr>
                <w:rStyle w:val="Hyperlink"/>
                <w:noProof/>
              </w:rPr>
              <w:t>Monitoring and Evaluation (M&amp;E)</w:t>
            </w:r>
            <w:r w:rsidR="00E76515">
              <w:rPr>
                <w:noProof/>
                <w:webHidden/>
              </w:rPr>
              <w:tab/>
            </w:r>
            <w:r>
              <w:rPr>
                <w:noProof/>
                <w:webHidden/>
              </w:rPr>
              <w:fldChar w:fldCharType="begin"/>
            </w:r>
            <w:r w:rsidR="00E76515">
              <w:rPr>
                <w:noProof/>
                <w:webHidden/>
              </w:rPr>
              <w:instrText xml:space="preserve"> PAGEREF _Toc474638966 \h </w:instrText>
            </w:r>
            <w:r>
              <w:rPr>
                <w:noProof/>
                <w:webHidden/>
              </w:rPr>
            </w:r>
            <w:r>
              <w:rPr>
                <w:noProof/>
                <w:webHidden/>
              </w:rPr>
              <w:fldChar w:fldCharType="separate"/>
            </w:r>
            <w:r w:rsidR="00AF29C3">
              <w:rPr>
                <w:noProof/>
                <w:webHidden/>
              </w:rPr>
              <w:t>648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67" w:history="1">
            <w:r w:rsidR="00E76515" w:rsidRPr="004E3B7B">
              <w:rPr>
                <w:rStyle w:val="Hyperlink"/>
                <w:noProof/>
              </w:rPr>
              <w:t>14.9.</w:t>
            </w:r>
            <w:r w:rsidR="00E76515">
              <w:rPr>
                <w:rFonts w:asciiTheme="minorHAnsi" w:eastAsiaTheme="minorEastAsia" w:hAnsiTheme="minorHAnsi"/>
                <w:noProof/>
                <w:szCs w:val="22"/>
                <w:lang w:val="en-US"/>
              </w:rPr>
              <w:tab/>
            </w:r>
            <w:r w:rsidR="00E76515" w:rsidRPr="004E3B7B">
              <w:rPr>
                <w:rStyle w:val="Hyperlink"/>
                <w:noProof/>
              </w:rPr>
              <w:t>Knowledge Hub Usage and Usefulness</w:t>
            </w:r>
            <w:r w:rsidR="00E76515">
              <w:rPr>
                <w:noProof/>
                <w:webHidden/>
              </w:rPr>
              <w:tab/>
            </w:r>
            <w:r>
              <w:rPr>
                <w:noProof/>
                <w:webHidden/>
              </w:rPr>
              <w:fldChar w:fldCharType="begin"/>
            </w:r>
            <w:r w:rsidR="00E76515">
              <w:rPr>
                <w:noProof/>
                <w:webHidden/>
              </w:rPr>
              <w:instrText xml:space="preserve"> PAGEREF _Toc474638967 \h </w:instrText>
            </w:r>
            <w:r>
              <w:rPr>
                <w:noProof/>
                <w:webHidden/>
              </w:rPr>
            </w:r>
            <w:r>
              <w:rPr>
                <w:noProof/>
                <w:webHidden/>
              </w:rPr>
              <w:fldChar w:fldCharType="separate"/>
            </w:r>
            <w:r w:rsidR="00AF29C3">
              <w:rPr>
                <w:noProof/>
                <w:webHidden/>
              </w:rPr>
              <w:t>648</w:t>
            </w:r>
            <w:r>
              <w:rPr>
                <w:noProof/>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68" w:history="1">
            <w:r w:rsidR="00E76515" w:rsidRPr="004E3B7B">
              <w:rPr>
                <w:rStyle w:val="Hyperlink"/>
              </w:rPr>
              <w:t>Bibliography</w:t>
            </w:r>
            <w:r w:rsidR="00E76515">
              <w:rPr>
                <w:webHidden/>
              </w:rPr>
              <w:tab/>
            </w:r>
            <w:r>
              <w:rPr>
                <w:webHidden/>
              </w:rPr>
              <w:fldChar w:fldCharType="begin"/>
            </w:r>
            <w:r w:rsidR="00E76515">
              <w:rPr>
                <w:webHidden/>
              </w:rPr>
              <w:instrText xml:space="preserve"> PAGEREF _Toc474638968 \h </w:instrText>
            </w:r>
            <w:r>
              <w:rPr>
                <w:webHidden/>
              </w:rPr>
            </w:r>
            <w:r>
              <w:rPr>
                <w:webHidden/>
              </w:rPr>
              <w:fldChar w:fldCharType="separate"/>
            </w:r>
            <w:r w:rsidR="00AF29C3">
              <w:rPr>
                <w:webHidden/>
              </w:rPr>
              <w:t>657</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69" w:history="1">
            <w:r w:rsidR="00E76515" w:rsidRPr="004E3B7B">
              <w:rPr>
                <w:rStyle w:val="Hyperlink"/>
              </w:rPr>
              <w:t>Annex A: Technical Annex to Chapter 2</w:t>
            </w:r>
            <w:r w:rsidR="00E76515">
              <w:rPr>
                <w:webHidden/>
              </w:rPr>
              <w:tab/>
            </w:r>
            <w:r>
              <w:rPr>
                <w:webHidden/>
              </w:rPr>
              <w:fldChar w:fldCharType="begin"/>
            </w:r>
            <w:r w:rsidR="00E76515">
              <w:rPr>
                <w:webHidden/>
              </w:rPr>
              <w:instrText xml:space="preserve"> PAGEREF _Toc474638969 \h </w:instrText>
            </w:r>
            <w:r>
              <w:rPr>
                <w:webHidden/>
              </w:rPr>
            </w:r>
            <w:r>
              <w:rPr>
                <w:webHidden/>
              </w:rPr>
              <w:fldChar w:fldCharType="separate"/>
            </w:r>
            <w:r w:rsidR="00AF29C3">
              <w:rPr>
                <w:webHidden/>
              </w:rPr>
              <w:t>674</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70" w:history="1">
            <w:r w:rsidR="00E76515" w:rsidRPr="004E3B7B">
              <w:rPr>
                <w:rStyle w:val="Hyperlink"/>
              </w:rPr>
              <w:t>Annex B: Technical Annex to Chapter 5</w:t>
            </w:r>
            <w:r w:rsidR="00E76515">
              <w:rPr>
                <w:webHidden/>
              </w:rPr>
              <w:tab/>
            </w:r>
            <w:r>
              <w:rPr>
                <w:webHidden/>
              </w:rPr>
              <w:fldChar w:fldCharType="begin"/>
            </w:r>
            <w:r w:rsidR="00E76515">
              <w:rPr>
                <w:webHidden/>
              </w:rPr>
              <w:instrText xml:space="preserve"> PAGEREF _Toc474638970 \h </w:instrText>
            </w:r>
            <w:r>
              <w:rPr>
                <w:webHidden/>
              </w:rPr>
            </w:r>
            <w:r>
              <w:rPr>
                <w:webHidden/>
              </w:rPr>
              <w:fldChar w:fldCharType="separate"/>
            </w:r>
            <w:r w:rsidR="00AF29C3">
              <w:rPr>
                <w:webHidden/>
              </w:rPr>
              <w:t>679</w:t>
            </w:r>
            <w:r>
              <w:rPr>
                <w:webHidden/>
              </w:rPr>
              <w:fldChar w:fldCharType="end"/>
            </w:r>
          </w:hyperlink>
        </w:p>
        <w:p w:rsidR="00E76515" w:rsidRDefault="001A12B2">
          <w:pPr>
            <w:pStyle w:val="TOC1"/>
            <w:rPr>
              <w:rFonts w:asciiTheme="minorHAnsi" w:eastAsiaTheme="minorEastAsia" w:hAnsiTheme="minorHAnsi" w:cstheme="minorBidi"/>
              <w:b w:val="0"/>
              <w:sz w:val="22"/>
              <w:szCs w:val="22"/>
            </w:rPr>
          </w:pPr>
          <w:hyperlink w:anchor="_Toc474638971" w:history="1">
            <w:r w:rsidR="00E76515" w:rsidRPr="004E3B7B">
              <w:rPr>
                <w:rStyle w:val="Hyperlink"/>
              </w:rPr>
              <w:t>Annex C: Technical Annex to Chapter 11.</w:t>
            </w:r>
            <w:r w:rsidR="00E76515">
              <w:rPr>
                <w:webHidden/>
              </w:rPr>
              <w:tab/>
            </w:r>
            <w:r>
              <w:rPr>
                <w:webHidden/>
              </w:rPr>
              <w:fldChar w:fldCharType="begin"/>
            </w:r>
            <w:r w:rsidR="00E76515">
              <w:rPr>
                <w:webHidden/>
              </w:rPr>
              <w:instrText xml:space="preserve"> PAGEREF _Toc474638971 \h </w:instrText>
            </w:r>
            <w:r>
              <w:rPr>
                <w:webHidden/>
              </w:rPr>
            </w:r>
            <w:r>
              <w:rPr>
                <w:webHidden/>
              </w:rPr>
              <w:fldChar w:fldCharType="separate"/>
            </w:r>
            <w:r w:rsidR="00AF29C3">
              <w:rPr>
                <w:webHidden/>
              </w:rPr>
              <w:t>698</w:t>
            </w:r>
            <w:r>
              <w:rPr>
                <w:webHidden/>
              </w:rPr>
              <w:fldChar w:fldCharType="end"/>
            </w:r>
          </w:hyperlink>
        </w:p>
        <w:p w:rsidR="00396C71" w:rsidRDefault="001A12B2">
          <w:r>
            <w:fldChar w:fldCharType="end"/>
          </w:r>
        </w:p>
      </w:sdtContent>
    </w:sdt>
    <w:p w:rsidR="0097590C" w:rsidRDefault="00671124" w:rsidP="008C0601">
      <w:pPr>
        <w:pStyle w:val="Heading1"/>
      </w:pPr>
      <w:bookmarkStart w:id="1" w:name="_Toc474638824"/>
      <w:r>
        <w:t>List of Tables</w:t>
      </w:r>
      <w:bookmarkEnd w:id="1"/>
    </w:p>
    <w:p w:rsidR="00E76515" w:rsidRDefault="001A12B2">
      <w:pPr>
        <w:pStyle w:val="TOC2"/>
        <w:rPr>
          <w:rFonts w:asciiTheme="minorHAnsi" w:eastAsiaTheme="minorEastAsia" w:hAnsiTheme="minorHAnsi"/>
          <w:noProof/>
          <w:szCs w:val="22"/>
          <w:lang w:val="en-US"/>
        </w:rPr>
      </w:pPr>
      <w:r w:rsidRPr="001A12B2">
        <w:fldChar w:fldCharType="begin"/>
      </w:r>
      <w:r w:rsidR="002D548F">
        <w:instrText xml:space="preserve"> TOC \h \z \t "Heading 4,2" </w:instrText>
      </w:r>
      <w:r w:rsidRPr="001A12B2">
        <w:fldChar w:fldCharType="separate"/>
      </w:r>
      <w:hyperlink w:anchor="_Toc474638972" w:history="1">
        <w:r w:rsidR="00E76515" w:rsidRPr="00AB0391">
          <w:rPr>
            <w:rStyle w:val="Hyperlink"/>
            <w:noProof/>
          </w:rPr>
          <w:t>Table 1.1: Relationship between Hotspots and Hydrological Zones</w:t>
        </w:r>
        <w:r w:rsidR="00E76515">
          <w:rPr>
            <w:noProof/>
            <w:webHidden/>
          </w:rPr>
          <w:tab/>
        </w:r>
        <w:r>
          <w:rPr>
            <w:noProof/>
            <w:webHidden/>
          </w:rPr>
          <w:fldChar w:fldCharType="begin"/>
        </w:r>
        <w:r w:rsidR="00E76515">
          <w:rPr>
            <w:noProof/>
            <w:webHidden/>
          </w:rPr>
          <w:instrText xml:space="preserve"> PAGEREF _Toc474638972 \h </w:instrText>
        </w:r>
        <w:r>
          <w:rPr>
            <w:noProof/>
            <w:webHidden/>
          </w:rPr>
        </w:r>
        <w:r>
          <w:rPr>
            <w:noProof/>
            <w:webHidden/>
          </w:rPr>
          <w:fldChar w:fldCharType="separate"/>
        </w:r>
        <w:r w:rsidR="00AF29C3">
          <w:rPr>
            <w:noProof/>
            <w:webHidden/>
          </w:rPr>
          <w:t>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73" w:history="1">
        <w:r w:rsidR="00E76515" w:rsidRPr="00AB0391">
          <w:rPr>
            <w:rStyle w:val="Hyperlink"/>
            <w:noProof/>
          </w:rPr>
          <w:t>Table 1.2: Bangladesh Delta Hotspots – Basic Socio-Economic Indicators 2011</w:t>
        </w:r>
        <w:r w:rsidR="00E76515">
          <w:rPr>
            <w:noProof/>
            <w:webHidden/>
          </w:rPr>
          <w:tab/>
        </w:r>
        <w:r>
          <w:rPr>
            <w:noProof/>
            <w:webHidden/>
          </w:rPr>
          <w:fldChar w:fldCharType="begin"/>
        </w:r>
        <w:r w:rsidR="00E76515">
          <w:rPr>
            <w:noProof/>
            <w:webHidden/>
          </w:rPr>
          <w:instrText xml:space="preserve"> PAGEREF _Toc474638973 \h </w:instrText>
        </w:r>
        <w:r>
          <w:rPr>
            <w:noProof/>
            <w:webHidden/>
          </w:rPr>
        </w:r>
        <w:r>
          <w:rPr>
            <w:noProof/>
            <w:webHidden/>
          </w:rPr>
          <w:fldChar w:fldCharType="separate"/>
        </w:r>
        <w:r w:rsidR="00AF29C3">
          <w:rPr>
            <w:noProof/>
            <w:webHidden/>
          </w:rPr>
          <w:t>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74" w:history="1">
        <w:r w:rsidR="00E76515" w:rsidRPr="00AB0391">
          <w:rPr>
            <w:rStyle w:val="Hyperlink"/>
            <w:noProof/>
          </w:rPr>
          <w:t>Table 1.3: Mapping of Districts to Hotspot Areas</w:t>
        </w:r>
        <w:r w:rsidR="00E76515">
          <w:rPr>
            <w:noProof/>
            <w:webHidden/>
          </w:rPr>
          <w:tab/>
        </w:r>
        <w:r>
          <w:rPr>
            <w:noProof/>
            <w:webHidden/>
          </w:rPr>
          <w:fldChar w:fldCharType="begin"/>
        </w:r>
        <w:r w:rsidR="00E76515">
          <w:rPr>
            <w:noProof/>
            <w:webHidden/>
          </w:rPr>
          <w:instrText xml:space="preserve"> PAGEREF _Toc474638974 \h </w:instrText>
        </w:r>
        <w:r>
          <w:rPr>
            <w:noProof/>
            <w:webHidden/>
          </w:rPr>
        </w:r>
        <w:r>
          <w:rPr>
            <w:noProof/>
            <w:webHidden/>
          </w:rPr>
          <w:fldChar w:fldCharType="separate"/>
        </w:r>
        <w:r w:rsidR="00AF29C3">
          <w:rPr>
            <w:noProof/>
            <w:webHidden/>
          </w:rPr>
          <w:t>10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75" w:history="1">
        <w:r w:rsidR="00E76515" w:rsidRPr="00AB0391">
          <w:rPr>
            <w:rStyle w:val="Hyperlink"/>
            <w:noProof/>
          </w:rPr>
          <w:t>Table 1.4: Projected global mean surface warming (</w:t>
        </w:r>
        <w:r w:rsidR="00E76515" w:rsidRPr="00AB0391">
          <w:rPr>
            <w:rStyle w:val="Hyperlink"/>
            <w:noProof/>
            <w:vertAlign w:val="superscript"/>
          </w:rPr>
          <w:t>O</w:t>
        </w:r>
        <w:r w:rsidR="00E76515" w:rsidRPr="00AB0391">
          <w:rPr>
            <w:rStyle w:val="Hyperlink"/>
            <w:noProof/>
          </w:rPr>
          <w:t>C) for different RCPs</w:t>
        </w:r>
        <w:r w:rsidR="00E76515">
          <w:rPr>
            <w:noProof/>
            <w:webHidden/>
          </w:rPr>
          <w:tab/>
        </w:r>
        <w:r>
          <w:rPr>
            <w:noProof/>
            <w:webHidden/>
          </w:rPr>
          <w:fldChar w:fldCharType="begin"/>
        </w:r>
        <w:r w:rsidR="00E76515">
          <w:rPr>
            <w:noProof/>
            <w:webHidden/>
          </w:rPr>
          <w:instrText xml:space="preserve"> PAGEREF _Toc474638975 \h </w:instrText>
        </w:r>
        <w:r>
          <w:rPr>
            <w:noProof/>
            <w:webHidden/>
          </w:rPr>
        </w:r>
        <w:r>
          <w:rPr>
            <w:noProof/>
            <w:webHidden/>
          </w:rPr>
          <w:fldChar w:fldCharType="separate"/>
        </w:r>
        <w:r w:rsidR="00AF29C3">
          <w:rPr>
            <w:noProof/>
            <w:webHidden/>
          </w:rPr>
          <w:t>12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76" w:history="1">
        <w:r w:rsidR="00E76515" w:rsidRPr="00AB0391">
          <w:rPr>
            <w:rStyle w:val="Hyperlink"/>
            <w:noProof/>
          </w:rPr>
          <w:t>Table 1.5: Projected Seasonal and Annual Surface Warming (</w:t>
        </w:r>
        <w:r w:rsidR="00E76515" w:rsidRPr="00AB0391">
          <w:rPr>
            <w:rStyle w:val="Hyperlink"/>
            <w:noProof/>
            <w:vertAlign w:val="superscript"/>
          </w:rPr>
          <w:t>O</w:t>
        </w:r>
        <w:r w:rsidR="00E76515" w:rsidRPr="00AB0391">
          <w:rPr>
            <w:rStyle w:val="Hyperlink"/>
            <w:noProof/>
          </w:rPr>
          <w:t>C) for BAU</w:t>
        </w:r>
        <w:r w:rsidR="00E76515">
          <w:rPr>
            <w:noProof/>
            <w:webHidden/>
          </w:rPr>
          <w:tab/>
        </w:r>
        <w:r>
          <w:rPr>
            <w:noProof/>
            <w:webHidden/>
          </w:rPr>
          <w:fldChar w:fldCharType="begin"/>
        </w:r>
        <w:r w:rsidR="00E76515">
          <w:rPr>
            <w:noProof/>
            <w:webHidden/>
          </w:rPr>
          <w:instrText xml:space="preserve"> PAGEREF _Toc474638976 \h </w:instrText>
        </w:r>
        <w:r>
          <w:rPr>
            <w:noProof/>
            <w:webHidden/>
          </w:rPr>
        </w:r>
        <w:r>
          <w:rPr>
            <w:noProof/>
            <w:webHidden/>
          </w:rPr>
          <w:fldChar w:fldCharType="separate"/>
        </w:r>
        <w:r w:rsidR="00AF29C3">
          <w:rPr>
            <w:noProof/>
            <w:webHidden/>
          </w:rPr>
          <w:t>13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77" w:history="1">
        <w:r w:rsidR="00E76515" w:rsidRPr="00AB0391">
          <w:rPr>
            <w:rStyle w:val="Hyperlink"/>
            <w:noProof/>
          </w:rPr>
          <w:t>Table 1.6: Projected Seasonal and Annual Change in Rainfall for BAU</w:t>
        </w:r>
        <w:r w:rsidR="00E76515">
          <w:rPr>
            <w:noProof/>
            <w:webHidden/>
          </w:rPr>
          <w:tab/>
        </w:r>
        <w:r>
          <w:rPr>
            <w:noProof/>
            <w:webHidden/>
          </w:rPr>
          <w:fldChar w:fldCharType="begin"/>
        </w:r>
        <w:r w:rsidR="00E76515">
          <w:rPr>
            <w:noProof/>
            <w:webHidden/>
          </w:rPr>
          <w:instrText xml:space="preserve"> PAGEREF _Toc474638977 \h </w:instrText>
        </w:r>
        <w:r>
          <w:rPr>
            <w:noProof/>
            <w:webHidden/>
          </w:rPr>
        </w:r>
        <w:r>
          <w:rPr>
            <w:noProof/>
            <w:webHidden/>
          </w:rPr>
          <w:fldChar w:fldCharType="separate"/>
        </w:r>
        <w:r w:rsidR="00AF29C3">
          <w:rPr>
            <w:noProof/>
            <w:webHidden/>
          </w:rPr>
          <w:t>14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78" w:history="1">
        <w:r w:rsidR="00E76515" w:rsidRPr="00AB0391">
          <w:rPr>
            <w:rStyle w:val="Hyperlink"/>
            <w:noProof/>
          </w:rPr>
          <w:t>Table 1.7:  Typical Storm Surge Inundation Characteristics for cyclones of Varying Strength in Bangladesh</w:t>
        </w:r>
        <w:r w:rsidR="00E76515">
          <w:rPr>
            <w:noProof/>
            <w:webHidden/>
          </w:rPr>
          <w:tab/>
        </w:r>
        <w:r>
          <w:rPr>
            <w:noProof/>
            <w:webHidden/>
          </w:rPr>
          <w:fldChar w:fldCharType="begin"/>
        </w:r>
        <w:r w:rsidR="00E76515">
          <w:rPr>
            <w:noProof/>
            <w:webHidden/>
          </w:rPr>
          <w:instrText xml:space="preserve"> PAGEREF _Toc474638978 \h </w:instrText>
        </w:r>
        <w:r>
          <w:rPr>
            <w:noProof/>
            <w:webHidden/>
          </w:rPr>
        </w:r>
        <w:r>
          <w:rPr>
            <w:noProof/>
            <w:webHidden/>
          </w:rPr>
          <w:fldChar w:fldCharType="separate"/>
        </w:r>
        <w:r w:rsidR="00AF29C3">
          <w:rPr>
            <w:noProof/>
            <w:webHidden/>
          </w:rPr>
          <w:t>28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79" w:history="1">
        <w:r w:rsidR="00E76515" w:rsidRPr="00AB0391">
          <w:rPr>
            <w:rStyle w:val="Hyperlink"/>
            <w:noProof/>
          </w:rPr>
          <w:t>Table 1.8:  Vulnerable areas in Bangladesh due to storm surge induced inundation</w:t>
        </w:r>
        <w:r w:rsidR="00E76515">
          <w:rPr>
            <w:noProof/>
            <w:webHidden/>
          </w:rPr>
          <w:tab/>
        </w:r>
        <w:r>
          <w:rPr>
            <w:noProof/>
            <w:webHidden/>
          </w:rPr>
          <w:fldChar w:fldCharType="begin"/>
        </w:r>
        <w:r w:rsidR="00E76515">
          <w:rPr>
            <w:noProof/>
            <w:webHidden/>
          </w:rPr>
          <w:instrText xml:space="preserve"> PAGEREF _Toc474638979 \h </w:instrText>
        </w:r>
        <w:r>
          <w:rPr>
            <w:noProof/>
            <w:webHidden/>
          </w:rPr>
        </w:r>
        <w:r>
          <w:rPr>
            <w:noProof/>
            <w:webHidden/>
          </w:rPr>
          <w:fldChar w:fldCharType="separate"/>
        </w:r>
        <w:r w:rsidR="00AF29C3">
          <w:rPr>
            <w:noProof/>
            <w:webHidden/>
          </w:rPr>
          <w:t>29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0" w:history="1">
        <w:r w:rsidR="00E76515" w:rsidRPr="00AB0391">
          <w:rPr>
            <w:rStyle w:val="Hyperlink"/>
            <w:noProof/>
          </w:rPr>
          <w:t>Table 1.9: Key Vulnerabilities from Climate Change and Impacts</w:t>
        </w:r>
        <w:r w:rsidR="00E76515">
          <w:rPr>
            <w:noProof/>
            <w:webHidden/>
          </w:rPr>
          <w:tab/>
        </w:r>
        <w:r>
          <w:rPr>
            <w:noProof/>
            <w:webHidden/>
          </w:rPr>
          <w:fldChar w:fldCharType="begin"/>
        </w:r>
        <w:r w:rsidR="00E76515">
          <w:rPr>
            <w:noProof/>
            <w:webHidden/>
          </w:rPr>
          <w:instrText xml:space="preserve"> PAGEREF _Toc474638980 \h </w:instrText>
        </w:r>
        <w:r>
          <w:rPr>
            <w:noProof/>
            <w:webHidden/>
          </w:rPr>
        </w:r>
        <w:r>
          <w:rPr>
            <w:noProof/>
            <w:webHidden/>
          </w:rPr>
          <w:fldChar w:fldCharType="separate"/>
        </w:r>
        <w:r w:rsidR="00AF29C3">
          <w:rPr>
            <w:noProof/>
            <w:webHidden/>
          </w:rPr>
          <w:t>30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1" w:history="1">
        <w:r w:rsidR="00E76515" w:rsidRPr="00AB0391">
          <w:rPr>
            <w:rStyle w:val="Hyperlink"/>
            <w:noProof/>
          </w:rPr>
          <w:t>Table 1.10: Key vulnerabilities of the Coastal Zone Hotspots</w:t>
        </w:r>
        <w:r w:rsidR="00E76515">
          <w:rPr>
            <w:noProof/>
            <w:webHidden/>
          </w:rPr>
          <w:tab/>
        </w:r>
        <w:r>
          <w:rPr>
            <w:noProof/>
            <w:webHidden/>
          </w:rPr>
          <w:fldChar w:fldCharType="begin"/>
        </w:r>
        <w:r w:rsidR="00E76515">
          <w:rPr>
            <w:noProof/>
            <w:webHidden/>
          </w:rPr>
          <w:instrText xml:space="preserve"> PAGEREF _Toc474638981 \h </w:instrText>
        </w:r>
        <w:r>
          <w:rPr>
            <w:noProof/>
            <w:webHidden/>
          </w:rPr>
        </w:r>
        <w:r>
          <w:rPr>
            <w:noProof/>
            <w:webHidden/>
          </w:rPr>
          <w:fldChar w:fldCharType="separate"/>
        </w:r>
        <w:r w:rsidR="00AF29C3">
          <w:rPr>
            <w:noProof/>
            <w:webHidden/>
          </w:rPr>
          <w:t>39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2" w:history="1">
        <w:r w:rsidR="00E76515" w:rsidRPr="00AB0391">
          <w:rPr>
            <w:rStyle w:val="Hyperlink"/>
            <w:noProof/>
          </w:rPr>
          <w:t>Table 1.11: Key vulnerabilities of the Barind and Drought Prone Hotspot</w:t>
        </w:r>
        <w:r w:rsidR="00E76515">
          <w:rPr>
            <w:noProof/>
            <w:webHidden/>
          </w:rPr>
          <w:tab/>
        </w:r>
        <w:r>
          <w:rPr>
            <w:noProof/>
            <w:webHidden/>
          </w:rPr>
          <w:fldChar w:fldCharType="begin"/>
        </w:r>
        <w:r w:rsidR="00E76515">
          <w:rPr>
            <w:noProof/>
            <w:webHidden/>
          </w:rPr>
          <w:instrText xml:space="preserve"> PAGEREF _Toc474638982 \h </w:instrText>
        </w:r>
        <w:r>
          <w:rPr>
            <w:noProof/>
            <w:webHidden/>
          </w:rPr>
        </w:r>
        <w:r>
          <w:rPr>
            <w:noProof/>
            <w:webHidden/>
          </w:rPr>
          <w:fldChar w:fldCharType="separate"/>
        </w:r>
        <w:r w:rsidR="00AF29C3">
          <w:rPr>
            <w:noProof/>
            <w:webHidden/>
          </w:rPr>
          <w:t>44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3" w:history="1">
        <w:r w:rsidR="00E76515" w:rsidRPr="00AB0391">
          <w:rPr>
            <w:rStyle w:val="Hyperlink"/>
            <w:noProof/>
          </w:rPr>
          <w:t>Table 1.12: Key Vulnerabilities of the Haor Hotspot</w:t>
        </w:r>
        <w:r w:rsidR="00E76515">
          <w:rPr>
            <w:noProof/>
            <w:webHidden/>
          </w:rPr>
          <w:tab/>
        </w:r>
        <w:r>
          <w:rPr>
            <w:noProof/>
            <w:webHidden/>
          </w:rPr>
          <w:fldChar w:fldCharType="begin"/>
        </w:r>
        <w:r w:rsidR="00E76515">
          <w:rPr>
            <w:noProof/>
            <w:webHidden/>
          </w:rPr>
          <w:instrText xml:space="preserve"> PAGEREF _Toc474638983 \h </w:instrText>
        </w:r>
        <w:r>
          <w:rPr>
            <w:noProof/>
            <w:webHidden/>
          </w:rPr>
        </w:r>
        <w:r>
          <w:rPr>
            <w:noProof/>
            <w:webHidden/>
          </w:rPr>
          <w:fldChar w:fldCharType="separate"/>
        </w:r>
        <w:r w:rsidR="00AF29C3">
          <w:rPr>
            <w:noProof/>
            <w:webHidden/>
          </w:rPr>
          <w:t>49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4" w:history="1">
        <w:r w:rsidR="00E76515" w:rsidRPr="00AB0391">
          <w:rPr>
            <w:rStyle w:val="Hyperlink"/>
            <w:noProof/>
          </w:rPr>
          <w:t>Table 1.13: Width, Length and Discharge of Major Rivers</w:t>
        </w:r>
        <w:r w:rsidR="00E76515">
          <w:rPr>
            <w:noProof/>
            <w:webHidden/>
          </w:rPr>
          <w:tab/>
        </w:r>
        <w:r>
          <w:rPr>
            <w:noProof/>
            <w:webHidden/>
          </w:rPr>
          <w:fldChar w:fldCharType="begin"/>
        </w:r>
        <w:r w:rsidR="00E76515">
          <w:rPr>
            <w:noProof/>
            <w:webHidden/>
          </w:rPr>
          <w:instrText xml:space="preserve"> PAGEREF _Toc474638984 \h </w:instrText>
        </w:r>
        <w:r>
          <w:rPr>
            <w:noProof/>
            <w:webHidden/>
          </w:rPr>
        </w:r>
        <w:r>
          <w:rPr>
            <w:noProof/>
            <w:webHidden/>
          </w:rPr>
          <w:fldChar w:fldCharType="separate"/>
        </w:r>
        <w:r w:rsidR="00AF29C3">
          <w:rPr>
            <w:noProof/>
            <w:webHidden/>
          </w:rPr>
          <w:t>50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5" w:history="1">
        <w:r w:rsidR="00E76515" w:rsidRPr="00AB0391">
          <w:rPr>
            <w:rStyle w:val="Hyperlink"/>
            <w:noProof/>
          </w:rPr>
          <w:t>Table 1.14: Erosion &amp; Accretion in Three Major Rivers of Bangladesh (1973-2013)</w:t>
        </w:r>
        <w:r w:rsidR="00E76515">
          <w:rPr>
            <w:noProof/>
            <w:webHidden/>
          </w:rPr>
          <w:tab/>
        </w:r>
        <w:r>
          <w:rPr>
            <w:noProof/>
            <w:webHidden/>
          </w:rPr>
          <w:fldChar w:fldCharType="begin"/>
        </w:r>
        <w:r w:rsidR="00E76515">
          <w:rPr>
            <w:noProof/>
            <w:webHidden/>
          </w:rPr>
          <w:instrText xml:space="preserve"> PAGEREF _Toc474638985 \h </w:instrText>
        </w:r>
        <w:r>
          <w:rPr>
            <w:noProof/>
            <w:webHidden/>
          </w:rPr>
        </w:r>
        <w:r>
          <w:rPr>
            <w:noProof/>
            <w:webHidden/>
          </w:rPr>
          <w:fldChar w:fldCharType="separate"/>
        </w:r>
        <w:r w:rsidR="00AF29C3">
          <w:rPr>
            <w:noProof/>
            <w:webHidden/>
          </w:rPr>
          <w:t>51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6" w:history="1">
        <w:r w:rsidR="00E76515" w:rsidRPr="00AB0391">
          <w:rPr>
            <w:rStyle w:val="Hyperlink"/>
            <w:noProof/>
          </w:rPr>
          <w:t>Table 1.15: Bank Erosion and Accretion along the Jamuna River 1973 – 2014</w:t>
        </w:r>
        <w:r w:rsidR="00E76515">
          <w:rPr>
            <w:noProof/>
            <w:webHidden/>
          </w:rPr>
          <w:tab/>
        </w:r>
        <w:r>
          <w:rPr>
            <w:noProof/>
            <w:webHidden/>
          </w:rPr>
          <w:fldChar w:fldCharType="begin"/>
        </w:r>
        <w:r w:rsidR="00E76515">
          <w:rPr>
            <w:noProof/>
            <w:webHidden/>
          </w:rPr>
          <w:instrText xml:space="preserve"> PAGEREF _Toc474638986 \h </w:instrText>
        </w:r>
        <w:r>
          <w:rPr>
            <w:noProof/>
            <w:webHidden/>
          </w:rPr>
        </w:r>
        <w:r>
          <w:rPr>
            <w:noProof/>
            <w:webHidden/>
          </w:rPr>
          <w:fldChar w:fldCharType="separate"/>
        </w:r>
        <w:r w:rsidR="00AF29C3">
          <w:rPr>
            <w:noProof/>
            <w:webHidden/>
          </w:rPr>
          <w:t>52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7" w:history="1">
        <w:r w:rsidR="00E76515" w:rsidRPr="00AB0391">
          <w:rPr>
            <w:rStyle w:val="Hyperlink"/>
            <w:noProof/>
          </w:rPr>
          <w:t>Table 1.16: Bank Erosion and Accretion along the Ganges River 1973 – 2014</w:t>
        </w:r>
        <w:r w:rsidR="00E76515">
          <w:rPr>
            <w:noProof/>
            <w:webHidden/>
          </w:rPr>
          <w:tab/>
        </w:r>
        <w:r>
          <w:rPr>
            <w:noProof/>
            <w:webHidden/>
          </w:rPr>
          <w:fldChar w:fldCharType="begin"/>
        </w:r>
        <w:r w:rsidR="00E76515">
          <w:rPr>
            <w:noProof/>
            <w:webHidden/>
          </w:rPr>
          <w:instrText xml:space="preserve"> PAGEREF _Toc474638987 \h </w:instrText>
        </w:r>
        <w:r>
          <w:rPr>
            <w:noProof/>
            <w:webHidden/>
          </w:rPr>
        </w:r>
        <w:r>
          <w:rPr>
            <w:noProof/>
            <w:webHidden/>
          </w:rPr>
          <w:fldChar w:fldCharType="separate"/>
        </w:r>
        <w:r w:rsidR="00AF29C3">
          <w:rPr>
            <w:noProof/>
            <w:webHidden/>
          </w:rPr>
          <w:t>53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8" w:history="1">
        <w:r w:rsidR="00E76515" w:rsidRPr="00AB0391">
          <w:rPr>
            <w:rStyle w:val="Hyperlink"/>
            <w:noProof/>
          </w:rPr>
          <w:t>Table 1.17: Bank Erosion and Accretion along the Padma River 1973 – 2014</w:t>
        </w:r>
        <w:r w:rsidR="00E76515">
          <w:rPr>
            <w:noProof/>
            <w:webHidden/>
          </w:rPr>
          <w:tab/>
        </w:r>
        <w:r>
          <w:rPr>
            <w:noProof/>
            <w:webHidden/>
          </w:rPr>
          <w:fldChar w:fldCharType="begin"/>
        </w:r>
        <w:r w:rsidR="00E76515">
          <w:rPr>
            <w:noProof/>
            <w:webHidden/>
          </w:rPr>
          <w:instrText xml:space="preserve"> PAGEREF _Toc474638988 \h </w:instrText>
        </w:r>
        <w:r>
          <w:rPr>
            <w:noProof/>
            <w:webHidden/>
          </w:rPr>
        </w:r>
        <w:r>
          <w:rPr>
            <w:noProof/>
            <w:webHidden/>
          </w:rPr>
          <w:fldChar w:fldCharType="separate"/>
        </w:r>
        <w:r w:rsidR="00AF29C3">
          <w:rPr>
            <w:noProof/>
            <w:webHidden/>
          </w:rPr>
          <w:t>54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89" w:history="1">
        <w:r w:rsidR="00E76515" w:rsidRPr="00AB0391">
          <w:rPr>
            <w:rStyle w:val="Hyperlink"/>
            <w:noProof/>
          </w:rPr>
          <w:t>Table 1.18: Bank Erosion and Accretion along the Lower Meghna River 1973 – 2012</w:t>
        </w:r>
        <w:r w:rsidR="00E76515">
          <w:rPr>
            <w:noProof/>
            <w:webHidden/>
          </w:rPr>
          <w:tab/>
        </w:r>
        <w:r>
          <w:rPr>
            <w:noProof/>
            <w:webHidden/>
          </w:rPr>
          <w:fldChar w:fldCharType="begin"/>
        </w:r>
        <w:r w:rsidR="00E76515">
          <w:rPr>
            <w:noProof/>
            <w:webHidden/>
          </w:rPr>
          <w:instrText xml:space="preserve"> PAGEREF _Toc474638989 \h </w:instrText>
        </w:r>
        <w:r>
          <w:rPr>
            <w:noProof/>
            <w:webHidden/>
          </w:rPr>
        </w:r>
        <w:r>
          <w:rPr>
            <w:noProof/>
            <w:webHidden/>
          </w:rPr>
          <w:fldChar w:fldCharType="separate"/>
        </w:r>
        <w:r w:rsidR="00AF29C3">
          <w:rPr>
            <w:noProof/>
            <w:webHidden/>
          </w:rPr>
          <w:t>55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0" w:history="1">
        <w:r w:rsidR="00E76515" w:rsidRPr="00AB0391">
          <w:rPr>
            <w:rStyle w:val="Hyperlink"/>
            <w:noProof/>
          </w:rPr>
          <w:t>Table 1.19: Key vulnerabilities of the Major Rivers and Estuaries Hotspot</w:t>
        </w:r>
        <w:r w:rsidR="00E76515">
          <w:rPr>
            <w:noProof/>
            <w:webHidden/>
          </w:rPr>
          <w:tab/>
        </w:r>
        <w:r>
          <w:rPr>
            <w:noProof/>
            <w:webHidden/>
          </w:rPr>
          <w:fldChar w:fldCharType="begin"/>
        </w:r>
        <w:r w:rsidR="00E76515">
          <w:rPr>
            <w:noProof/>
            <w:webHidden/>
          </w:rPr>
          <w:instrText xml:space="preserve"> PAGEREF _Toc474638990 \h </w:instrText>
        </w:r>
        <w:r>
          <w:rPr>
            <w:noProof/>
            <w:webHidden/>
          </w:rPr>
        </w:r>
        <w:r>
          <w:rPr>
            <w:noProof/>
            <w:webHidden/>
          </w:rPr>
          <w:fldChar w:fldCharType="separate"/>
        </w:r>
        <w:r w:rsidR="00AF29C3">
          <w:rPr>
            <w:noProof/>
            <w:webHidden/>
          </w:rPr>
          <w:t>58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1" w:history="1">
        <w:r w:rsidR="00E76515" w:rsidRPr="00AB0391">
          <w:rPr>
            <w:rStyle w:val="Hyperlink"/>
            <w:noProof/>
          </w:rPr>
          <w:t>Table 1.20: Key Vulnerabilities of the Chittagong Hill Tracts Hotspot</w:t>
        </w:r>
        <w:r w:rsidR="00E76515">
          <w:rPr>
            <w:noProof/>
            <w:webHidden/>
          </w:rPr>
          <w:tab/>
        </w:r>
        <w:r>
          <w:rPr>
            <w:noProof/>
            <w:webHidden/>
          </w:rPr>
          <w:fldChar w:fldCharType="begin"/>
        </w:r>
        <w:r w:rsidR="00E76515">
          <w:rPr>
            <w:noProof/>
            <w:webHidden/>
          </w:rPr>
          <w:instrText xml:space="preserve"> PAGEREF _Toc474638991 \h </w:instrText>
        </w:r>
        <w:r>
          <w:rPr>
            <w:noProof/>
            <w:webHidden/>
          </w:rPr>
        </w:r>
        <w:r>
          <w:rPr>
            <w:noProof/>
            <w:webHidden/>
          </w:rPr>
          <w:fldChar w:fldCharType="separate"/>
        </w:r>
        <w:r w:rsidR="00AF29C3">
          <w:rPr>
            <w:noProof/>
            <w:webHidden/>
          </w:rPr>
          <w:t>63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2" w:history="1">
        <w:r w:rsidR="00E76515" w:rsidRPr="00AB0391">
          <w:rPr>
            <w:rStyle w:val="Hyperlink"/>
            <w:noProof/>
          </w:rPr>
          <w:t>Table 1.21: Urbanization Overview</w:t>
        </w:r>
        <w:r w:rsidR="00E76515">
          <w:rPr>
            <w:noProof/>
            <w:webHidden/>
          </w:rPr>
          <w:tab/>
        </w:r>
        <w:r>
          <w:rPr>
            <w:noProof/>
            <w:webHidden/>
          </w:rPr>
          <w:fldChar w:fldCharType="begin"/>
        </w:r>
        <w:r w:rsidR="00E76515">
          <w:rPr>
            <w:noProof/>
            <w:webHidden/>
          </w:rPr>
          <w:instrText xml:space="preserve"> PAGEREF _Toc474638992 \h </w:instrText>
        </w:r>
        <w:r>
          <w:rPr>
            <w:noProof/>
            <w:webHidden/>
          </w:rPr>
        </w:r>
        <w:r>
          <w:rPr>
            <w:noProof/>
            <w:webHidden/>
          </w:rPr>
          <w:fldChar w:fldCharType="separate"/>
        </w:r>
        <w:r w:rsidR="00AF29C3">
          <w:rPr>
            <w:noProof/>
            <w:webHidden/>
          </w:rPr>
          <w:t>64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3" w:history="1">
        <w:r w:rsidR="00E76515" w:rsidRPr="00AB0391">
          <w:rPr>
            <w:rStyle w:val="Hyperlink"/>
            <w:noProof/>
          </w:rPr>
          <w:t>Table 1.22: Pollution Overview in Hotspots</w:t>
        </w:r>
        <w:r w:rsidR="00E76515">
          <w:rPr>
            <w:noProof/>
            <w:webHidden/>
          </w:rPr>
          <w:tab/>
        </w:r>
        <w:r>
          <w:rPr>
            <w:noProof/>
            <w:webHidden/>
          </w:rPr>
          <w:fldChar w:fldCharType="begin"/>
        </w:r>
        <w:r w:rsidR="00E76515">
          <w:rPr>
            <w:noProof/>
            <w:webHidden/>
          </w:rPr>
          <w:instrText xml:space="preserve"> PAGEREF _Toc474638993 \h </w:instrText>
        </w:r>
        <w:r>
          <w:rPr>
            <w:noProof/>
            <w:webHidden/>
          </w:rPr>
        </w:r>
        <w:r>
          <w:rPr>
            <w:noProof/>
            <w:webHidden/>
          </w:rPr>
          <w:fldChar w:fldCharType="separate"/>
        </w:r>
        <w:r w:rsidR="00AF29C3">
          <w:rPr>
            <w:noProof/>
            <w:webHidden/>
          </w:rPr>
          <w:t>67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4" w:history="1">
        <w:r w:rsidR="00E76515" w:rsidRPr="00AB0391">
          <w:rPr>
            <w:rStyle w:val="Hyperlink"/>
            <w:noProof/>
          </w:rPr>
          <w:t>Table 1.23: Key vulnerabilities of the Urban Areas Hotspot</w:t>
        </w:r>
        <w:r w:rsidR="00E76515">
          <w:rPr>
            <w:noProof/>
            <w:webHidden/>
          </w:rPr>
          <w:tab/>
        </w:r>
        <w:r>
          <w:rPr>
            <w:noProof/>
            <w:webHidden/>
          </w:rPr>
          <w:fldChar w:fldCharType="begin"/>
        </w:r>
        <w:r w:rsidR="00E76515">
          <w:rPr>
            <w:noProof/>
            <w:webHidden/>
          </w:rPr>
          <w:instrText xml:space="preserve"> PAGEREF _Toc474638994 \h </w:instrText>
        </w:r>
        <w:r>
          <w:rPr>
            <w:noProof/>
            <w:webHidden/>
          </w:rPr>
        </w:r>
        <w:r>
          <w:rPr>
            <w:noProof/>
            <w:webHidden/>
          </w:rPr>
          <w:fldChar w:fldCharType="separate"/>
        </w:r>
        <w:r w:rsidR="00AF29C3">
          <w:rPr>
            <w:noProof/>
            <w:webHidden/>
          </w:rPr>
          <w:t>68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5" w:history="1">
        <w:r w:rsidR="00E76515" w:rsidRPr="00AB0391">
          <w:rPr>
            <w:rStyle w:val="Hyperlink"/>
            <w:noProof/>
          </w:rPr>
          <w:t>Table 1.24: Annual Average Adaptation Cost during 2010 – 2050 for South Asia</w:t>
        </w:r>
        <w:r w:rsidR="00E76515">
          <w:rPr>
            <w:noProof/>
            <w:webHidden/>
          </w:rPr>
          <w:tab/>
        </w:r>
        <w:r>
          <w:rPr>
            <w:noProof/>
            <w:webHidden/>
          </w:rPr>
          <w:fldChar w:fldCharType="begin"/>
        </w:r>
        <w:r w:rsidR="00E76515">
          <w:rPr>
            <w:noProof/>
            <w:webHidden/>
          </w:rPr>
          <w:instrText xml:space="preserve"> PAGEREF _Toc474638995 \h </w:instrText>
        </w:r>
        <w:r>
          <w:rPr>
            <w:noProof/>
            <w:webHidden/>
          </w:rPr>
        </w:r>
        <w:r>
          <w:rPr>
            <w:noProof/>
            <w:webHidden/>
          </w:rPr>
          <w:fldChar w:fldCharType="separate"/>
        </w:r>
        <w:r w:rsidR="00AF29C3">
          <w:rPr>
            <w:noProof/>
            <w:webHidden/>
          </w:rPr>
          <w:t>71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6" w:history="1">
        <w:r w:rsidR="00E76515" w:rsidRPr="00AB0391">
          <w:rPr>
            <w:rStyle w:val="Hyperlink"/>
            <w:noProof/>
          </w:rPr>
          <w:t>Table 1.25: Possible Sectoral Impacts of Climate Change</w:t>
        </w:r>
        <w:r w:rsidR="00E76515">
          <w:rPr>
            <w:noProof/>
            <w:webHidden/>
          </w:rPr>
          <w:tab/>
        </w:r>
        <w:r>
          <w:rPr>
            <w:noProof/>
            <w:webHidden/>
          </w:rPr>
          <w:fldChar w:fldCharType="begin"/>
        </w:r>
        <w:r w:rsidR="00E76515">
          <w:rPr>
            <w:noProof/>
            <w:webHidden/>
          </w:rPr>
          <w:instrText xml:space="preserve"> PAGEREF _Toc474638996 \h </w:instrText>
        </w:r>
        <w:r>
          <w:rPr>
            <w:noProof/>
            <w:webHidden/>
          </w:rPr>
        </w:r>
        <w:r>
          <w:rPr>
            <w:noProof/>
            <w:webHidden/>
          </w:rPr>
          <w:fldChar w:fldCharType="separate"/>
        </w:r>
        <w:r w:rsidR="00AF29C3">
          <w:rPr>
            <w:noProof/>
            <w:webHidden/>
          </w:rPr>
          <w:t>75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7" w:history="1">
        <w:r w:rsidR="00E76515" w:rsidRPr="00AB0391">
          <w:rPr>
            <w:rStyle w:val="Hyperlink"/>
            <w:noProof/>
          </w:rPr>
          <w:t>Table 2.1: Basic Indicators – Population and Area</w:t>
        </w:r>
        <w:r w:rsidR="00E76515">
          <w:rPr>
            <w:noProof/>
            <w:webHidden/>
          </w:rPr>
          <w:tab/>
        </w:r>
        <w:r>
          <w:rPr>
            <w:noProof/>
            <w:webHidden/>
          </w:rPr>
          <w:fldChar w:fldCharType="begin"/>
        </w:r>
        <w:r w:rsidR="00E76515">
          <w:rPr>
            <w:noProof/>
            <w:webHidden/>
          </w:rPr>
          <w:instrText xml:space="preserve"> PAGEREF _Toc474638997 \h </w:instrText>
        </w:r>
        <w:r>
          <w:rPr>
            <w:noProof/>
            <w:webHidden/>
          </w:rPr>
        </w:r>
        <w:r>
          <w:rPr>
            <w:noProof/>
            <w:webHidden/>
          </w:rPr>
          <w:fldChar w:fldCharType="separate"/>
        </w:r>
        <w:r w:rsidR="00AF29C3">
          <w:rPr>
            <w:noProof/>
            <w:webHidden/>
          </w:rPr>
          <w:t>79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8" w:history="1">
        <w:r w:rsidR="00E76515" w:rsidRPr="00AB0391">
          <w:rPr>
            <w:rStyle w:val="Hyperlink"/>
            <w:noProof/>
          </w:rPr>
          <w:t>Table 2.2: Housing Structure – Roof Materials (%)</w:t>
        </w:r>
        <w:r w:rsidR="00E76515">
          <w:rPr>
            <w:noProof/>
            <w:webHidden/>
          </w:rPr>
          <w:tab/>
        </w:r>
        <w:r>
          <w:rPr>
            <w:noProof/>
            <w:webHidden/>
          </w:rPr>
          <w:fldChar w:fldCharType="begin"/>
        </w:r>
        <w:r w:rsidR="00E76515">
          <w:rPr>
            <w:noProof/>
            <w:webHidden/>
          </w:rPr>
          <w:instrText xml:space="preserve"> PAGEREF _Toc474638998 \h </w:instrText>
        </w:r>
        <w:r>
          <w:rPr>
            <w:noProof/>
            <w:webHidden/>
          </w:rPr>
        </w:r>
        <w:r>
          <w:rPr>
            <w:noProof/>
            <w:webHidden/>
          </w:rPr>
          <w:fldChar w:fldCharType="separate"/>
        </w:r>
        <w:r w:rsidR="00AF29C3">
          <w:rPr>
            <w:noProof/>
            <w:webHidden/>
          </w:rPr>
          <w:t>81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8999" w:history="1">
        <w:r w:rsidR="00E76515" w:rsidRPr="00AB0391">
          <w:rPr>
            <w:rStyle w:val="Hyperlink"/>
            <w:noProof/>
          </w:rPr>
          <w:t>Table 2.3: Housing Structure – Wall Materials (%)</w:t>
        </w:r>
        <w:r w:rsidR="00E76515">
          <w:rPr>
            <w:noProof/>
            <w:webHidden/>
          </w:rPr>
          <w:tab/>
        </w:r>
        <w:r>
          <w:rPr>
            <w:noProof/>
            <w:webHidden/>
          </w:rPr>
          <w:fldChar w:fldCharType="begin"/>
        </w:r>
        <w:r w:rsidR="00E76515">
          <w:rPr>
            <w:noProof/>
            <w:webHidden/>
          </w:rPr>
          <w:instrText xml:space="preserve"> PAGEREF _Toc474638999 \h </w:instrText>
        </w:r>
        <w:r>
          <w:rPr>
            <w:noProof/>
            <w:webHidden/>
          </w:rPr>
        </w:r>
        <w:r>
          <w:rPr>
            <w:noProof/>
            <w:webHidden/>
          </w:rPr>
          <w:fldChar w:fldCharType="separate"/>
        </w:r>
        <w:r w:rsidR="00AF29C3">
          <w:rPr>
            <w:noProof/>
            <w:webHidden/>
          </w:rPr>
          <w:t>82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0" w:history="1">
        <w:r w:rsidR="00E76515" w:rsidRPr="00AB0391">
          <w:rPr>
            <w:rStyle w:val="Hyperlink"/>
            <w:noProof/>
          </w:rPr>
          <w:t>Table 2.4: Sources of Drinking Water (%)</w:t>
        </w:r>
        <w:r w:rsidR="00E76515">
          <w:rPr>
            <w:noProof/>
            <w:webHidden/>
          </w:rPr>
          <w:tab/>
        </w:r>
        <w:r>
          <w:rPr>
            <w:noProof/>
            <w:webHidden/>
          </w:rPr>
          <w:fldChar w:fldCharType="begin"/>
        </w:r>
        <w:r w:rsidR="00E76515">
          <w:rPr>
            <w:noProof/>
            <w:webHidden/>
          </w:rPr>
          <w:instrText xml:space="preserve"> PAGEREF _Toc474639000 \h </w:instrText>
        </w:r>
        <w:r>
          <w:rPr>
            <w:noProof/>
            <w:webHidden/>
          </w:rPr>
        </w:r>
        <w:r>
          <w:rPr>
            <w:noProof/>
            <w:webHidden/>
          </w:rPr>
          <w:fldChar w:fldCharType="separate"/>
        </w:r>
        <w:r w:rsidR="00AF29C3">
          <w:rPr>
            <w:noProof/>
            <w:webHidden/>
          </w:rPr>
          <w:t>83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1" w:history="1">
        <w:r w:rsidR="00E76515" w:rsidRPr="00AB0391">
          <w:rPr>
            <w:rStyle w:val="Hyperlink"/>
            <w:noProof/>
          </w:rPr>
          <w:t>Table 2.5: Sanitation (%)</w:t>
        </w:r>
        <w:r w:rsidR="00E76515">
          <w:rPr>
            <w:noProof/>
            <w:webHidden/>
          </w:rPr>
          <w:tab/>
        </w:r>
        <w:r>
          <w:rPr>
            <w:noProof/>
            <w:webHidden/>
          </w:rPr>
          <w:fldChar w:fldCharType="begin"/>
        </w:r>
        <w:r w:rsidR="00E76515">
          <w:rPr>
            <w:noProof/>
            <w:webHidden/>
          </w:rPr>
          <w:instrText xml:space="preserve"> PAGEREF _Toc474639001 \h </w:instrText>
        </w:r>
        <w:r>
          <w:rPr>
            <w:noProof/>
            <w:webHidden/>
          </w:rPr>
        </w:r>
        <w:r>
          <w:rPr>
            <w:noProof/>
            <w:webHidden/>
          </w:rPr>
          <w:fldChar w:fldCharType="separate"/>
        </w:r>
        <w:r w:rsidR="00AF29C3">
          <w:rPr>
            <w:noProof/>
            <w:webHidden/>
          </w:rPr>
          <w:t>85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2" w:history="1">
        <w:r w:rsidR="00E76515" w:rsidRPr="00AB0391">
          <w:rPr>
            <w:rStyle w:val="Hyperlink"/>
            <w:noProof/>
          </w:rPr>
          <w:t>Table 2.6: Households with Electricity, Internet and Cell Phone Connections (%)</w:t>
        </w:r>
        <w:r w:rsidR="00E76515">
          <w:rPr>
            <w:noProof/>
            <w:webHidden/>
          </w:rPr>
          <w:tab/>
        </w:r>
        <w:r>
          <w:rPr>
            <w:noProof/>
            <w:webHidden/>
          </w:rPr>
          <w:fldChar w:fldCharType="begin"/>
        </w:r>
        <w:r w:rsidR="00E76515">
          <w:rPr>
            <w:noProof/>
            <w:webHidden/>
          </w:rPr>
          <w:instrText xml:space="preserve"> PAGEREF _Toc474639002 \h </w:instrText>
        </w:r>
        <w:r>
          <w:rPr>
            <w:noProof/>
            <w:webHidden/>
          </w:rPr>
        </w:r>
        <w:r>
          <w:rPr>
            <w:noProof/>
            <w:webHidden/>
          </w:rPr>
          <w:fldChar w:fldCharType="separate"/>
        </w:r>
        <w:r w:rsidR="00AF29C3">
          <w:rPr>
            <w:noProof/>
            <w:webHidden/>
          </w:rPr>
          <w:t>85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3" w:history="1">
        <w:r w:rsidR="00E76515" w:rsidRPr="00AB0391">
          <w:rPr>
            <w:rStyle w:val="Hyperlink"/>
            <w:noProof/>
          </w:rPr>
          <w:t>Table 2.7: Structure of Main Occupation (%)</w:t>
        </w:r>
        <w:r w:rsidR="00E76515">
          <w:rPr>
            <w:noProof/>
            <w:webHidden/>
          </w:rPr>
          <w:tab/>
        </w:r>
        <w:r>
          <w:rPr>
            <w:noProof/>
            <w:webHidden/>
          </w:rPr>
          <w:fldChar w:fldCharType="begin"/>
        </w:r>
        <w:r w:rsidR="00E76515">
          <w:rPr>
            <w:noProof/>
            <w:webHidden/>
          </w:rPr>
          <w:instrText xml:space="preserve"> PAGEREF _Toc474639003 \h </w:instrText>
        </w:r>
        <w:r>
          <w:rPr>
            <w:noProof/>
            <w:webHidden/>
          </w:rPr>
        </w:r>
        <w:r>
          <w:rPr>
            <w:noProof/>
            <w:webHidden/>
          </w:rPr>
          <w:fldChar w:fldCharType="separate"/>
        </w:r>
        <w:r w:rsidR="00AF29C3">
          <w:rPr>
            <w:noProof/>
            <w:webHidden/>
          </w:rPr>
          <w:t>86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4" w:history="1">
        <w:r w:rsidR="00E76515" w:rsidRPr="00AB0391">
          <w:rPr>
            <w:rStyle w:val="Hyperlink"/>
            <w:noProof/>
          </w:rPr>
          <w:t>Table 2.8: Per Capita Income Pattern (Taka current prices)</w:t>
        </w:r>
        <w:r w:rsidR="00E76515">
          <w:rPr>
            <w:noProof/>
            <w:webHidden/>
          </w:rPr>
          <w:tab/>
        </w:r>
        <w:r>
          <w:rPr>
            <w:noProof/>
            <w:webHidden/>
          </w:rPr>
          <w:fldChar w:fldCharType="begin"/>
        </w:r>
        <w:r w:rsidR="00E76515">
          <w:rPr>
            <w:noProof/>
            <w:webHidden/>
          </w:rPr>
          <w:instrText xml:space="preserve"> PAGEREF _Toc474639004 \h </w:instrText>
        </w:r>
        <w:r>
          <w:rPr>
            <w:noProof/>
            <w:webHidden/>
          </w:rPr>
        </w:r>
        <w:r>
          <w:rPr>
            <w:noProof/>
            <w:webHidden/>
          </w:rPr>
          <w:fldChar w:fldCharType="separate"/>
        </w:r>
        <w:r w:rsidR="00AF29C3">
          <w:rPr>
            <w:noProof/>
            <w:webHidden/>
          </w:rPr>
          <w:t>87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5" w:history="1">
        <w:r w:rsidR="00E76515" w:rsidRPr="00AB0391">
          <w:rPr>
            <w:rStyle w:val="Hyperlink"/>
            <w:noProof/>
          </w:rPr>
          <w:t>Table 2.9: Labour Force Participation Rate (%)</w:t>
        </w:r>
        <w:r w:rsidR="00E76515">
          <w:rPr>
            <w:noProof/>
            <w:webHidden/>
          </w:rPr>
          <w:tab/>
        </w:r>
        <w:r>
          <w:rPr>
            <w:noProof/>
            <w:webHidden/>
          </w:rPr>
          <w:fldChar w:fldCharType="begin"/>
        </w:r>
        <w:r w:rsidR="00E76515">
          <w:rPr>
            <w:noProof/>
            <w:webHidden/>
          </w:rPr>
          <w:instrText xml:space="preserve"> PAGEREF _Toc474639005 \h </w:instrText>
        </w:r>
        <w:r>
          <w:rPr>
            <w:noProof/>
            <w:webHidden/>
          </w:rPr>
        </w:r>
        <w:r>
          <w:rPr>
            <w:noProof/>
            <w:webHidden/>
          </w:rPr>
          <w:fldChar w:fldCharType="separate"/>
        </w:r>
        <w:r w:rsidR="00AF29C3">
          <w:rPr>
            <w:noProof/>
            <w:webHidden/>
          </w:rPr>
          <w:t>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6" w:history="1">
        <w:r w:rsidR="00E76515" w:rsidRPr="00AB0391">
          <w:rPr>
            <w:rStyle w:val="Hyperlink"/>
            <w:noProof/>
          </w:rPr>
          <w:t>Table 2.10: Employment and Unemployment Rate (%)</w:t>
        </w:r>
        <w:r w:rsidR="00E76515">
          <w:rPr>
            <w:noProof/>
            <w:webHidden/>
          </w:rPr>
          <w:tab/>
        </w:r>
        <w:r>
          <w:rPr>
            <w:noProof/>
            <w:webHidden/>
          </w:rPr>
          <w:fldChar w:fldCharType="begin"/>
        </w:r>
        <w:r w:rsidR="00E76515">
          <w:rPr>
            <w:noProof/>
            <w:webHidden/>
          </w:rPr>
          <w:instrText xml:space="preserve"> PAGEREF _Toc474639006 \h </w:instrText>
        </w:r>
        <w:r>
          <w:rPr>
            <w:noProof/>
            <w:webHidden/>
          </w:rPr>
        </w:r>
        <w:r>
          <w:rPr>
            <w:noProof/>
            <w:webHidden/>
          </w:rPr>
          <w:fldChar w:fldCharType="separate"/>
        </w:r>
        <w:r w:rsidR="00AF29C3">
          <w:rPr>
            <w:noProof/>
            <w:webHidden/>
          </w:rPr>
          <w:t>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7" w:history="1">
        <w:r w:rsidR="00E76515" w:rsidRPr="00AB0391">
          <w:rPr>
            <w:rStyle w:val="Hyperlink"/>
            <w:noProof/>
          </w:rPr>
          <w:t>Table 2.11: Distribution of Employed Persons (%)</w:t>
        </w:r>
        <w:r w:rsidR="00E76515">
          <w:rPr>
            <w:noProof/>
            <w:webHidden/>
          </w:rPr>
          <w:tab/>
        </w:r>
        <w:r>
          <w:rPr>
            <w:noProof/>
            <w:webHidden/>
          </w:rPr>
          <w:fldChar w:fldCharType="begin"/>
        </w:r>
        <w:r w:rsidR="00E76515">
          <w:rPr>
            <w:noProof/>
            <w:webHidden/>
          </w:rPr>
          <w:instrText xml:space="preserve"> PAGEREF _Toc474639007 \h </w:instrText>
        </w:r>
        <w:r>
          <w:rPr>
            <w:noProof/>
            <w:webHidden/>
          </w:rPr>
        </w:r>
        <w:r>
          <w:rPr>
            <w:noProof/>
            <w:webHidden/>
          </w:rPr>
          <w:fldChar w:fldCharType="separate"/>
        </w:r>
        <w:r w:rsidR="00AF29C3">
          <w:rPr>
            <w:noProof/>
            <w:webHidden/>
          </w:rPr>
          <w:t>89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8" w:history="1">
        <w:r w:rsidR="00E76515" w:rsidRPr="00AB0391">
          <w:rPr>
            <w:rStyle w:val="Hyperlink"/>
            <w:noProof/>
          </w:rPr>
          <w:t>Table 2.12: Poverty and Inequality (%)</w:t>
        </w:r>
        <w:r w:rsidR="00E76515">
          <w:rPr>
            <w:noProof/>
            <w:webHidden/>
          </w:rPr>
          <w:tab/>
        </w:r>
        <w:r>
          <w:rPr>
            <w:noProof/>
            <w:webHidden/>
          </w:rPr>
          <w:fldChar w:fldCharType="begin"/>
        </w:r>
        <w:r w:rsidR="00E76515">
          <w:rPr>
            <w:noProof/>
            <w:webHidden/>
          </w:rPr>
          <w:instrText xml:space="preserve"> PAGEREF _Toc474639008 \h </w:instrText>
        </w:r>
        <w:r>
          <w:rPr>
            <w:noProof/>
            <w:webHidden/>
          </w:rPr>
        </w:r>
        <w:r>
          <w:rPr>
            <w:noProof/>
            <w:webHidden/>
          </w:rPr>
          <w:fldChar w:fldCharType="separate"/>
        </w:r>
        <w:r w:rsidR="00AF29C3">
          <w:rPr>
            <w:noProof/>
            <w:webHidden/>
          </w:rPr>
          <w:t>91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09" w:history="1">
        <w:r w:rsidR="00E76515" w:rsidRPr="00AB0391">
          <w:rPr>
            <w:rStyle w:val="Hyperlink"/>
            <w:noProof/>
          </w:rPr>
          <w:t>Table 2.13: Poverty Vulnerability</w:t>
        </w:r>
        <w:r w:rsidR="00E76515" w:rsidRPr="00AB0391">
          <w:rPr>
            <w:rStyle w:val="Hyperlink"/>
            <w:rFonts w:eastAsia="Times New Roman"/>
            <w:noProof/>
          </w:rPr>
          <w:t xml:space="preserve"> (%)</w:t>
        </w:r>
        <w:r w:rsidR="00E76515">
          <w:rPr>
            <w:noProof/>
            <w:webHidden/>
          </w:rPr>
          <w:tab/>
        </w:r>
        <w:r>
          <w:rPr>
            <w:noProof/>
            <w:webHidden/>
          </w:rPr>
          <w:fldChar w:fldCharType="begin"/>
        </w:r>
        <w:r w:rsidR="00E76515">
          <w:rPr>
            <w:noProof/>
            <w:webHidden/>
          </w:rPr>
          <w:instrText xml:space="preserve"> PAGEREF _Toc474639009 \h </w:instrText>
        </w:r>
        <w:r>
          <w:rPr>
            <w:noProof/>
            <w:webHidden/>
          </w:rPr>
        </w:r>
        <w:r>
          <w:rPr>
            <w:noProof/>
            <w:webHidden/>
          </w:rPr>
          <w:fldChar w:fldCharType="separate"/>
        </w:r>
        <w:r w:rsidR="00AF29C3">
          <w:rPr>
            <w:noProof/>
            <w:webHidden/>
          </w:rPr>
          <w:t>93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0" w:history="1">
        <w:r w:rsidR="00E76515" w:rsidRPr="00AB0391">
          <w:rPr>
            <w:rStyle w:val="Hyperlink"/>
            <w:noProof/>
          </w:rPr>
          <w:t>Table 2.14 District Level Natural Hazard Ranking</w:t>
        </w:r>
        <w:r w:rsidR="00E76515">
          <w:rPr>
            <w:noProof/>
            <w:webHidden/>
          </w:rPr>
          <w:tab/>
        </w:r>
        <w:r>
          <w:rPr>
            <w:noProof/>
            <w:webHidden/>
          </w:rPr>
          <w:fldChar w:fldCharType="begin"/>
        </w:r>
        <w:r w:rsidR="00E76515">
          <w:rPr>
            <w:noProof/>
            <w:webHidden/>
          </w:rPr>
          <w:instrText xml:space="preserve"> PAGEREF _Toc474639010 \h </w:instrText>
        </w:r>
        <w:r>
          <w:rPr>
            <w:noProof/>
            <w:webHidden/>
          </w:rPr>
        </w:r>
        <w:r>
          <w:rPr>
            <w:noProof/>
            <w:webHidden/>
          </w:rPr>
          <w:fldChar w:fldCharType="separate"/>
        </w:r>
        <w:r w:rsidR="00AF29C3">
          <w:rPr>
            <w:noProof/>
            <w:webHidden/>
          </w:rPr>
          <w:t>96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1" w:history="1">
        <w:r w:rsidR="00E76515" w:rsidRPr="00AB0391">
          <w:rPr>
            <w:rStyle w:val="Hyperlink"/>
            <w:noProof/>
          </w:rPr>
          <w:t>Table 2.15: Correlation Between Natural Hazards and Welfare</w:t>
        </w:r>
        <w:r w:rsidR="00E76515">
          <w:rPr>
            <w:noProof/>
            <w:webHidden/>
          </w:rPr>
          <w:tab/>
        </w:r>
        <w:r>
          <w:rPr>
            <w:noProof/>
            <w:webHidden/>
          </w:rPr>
          <w:fldChar w:fldCharType="begin"/>
        </w:r>
        <w:r w:rsidR="00E76515">
          <w:rPr>
            <w:noProof/>
            <w:webHidden/>
          </w:rPr>
          <w:instrText xml:space="preserve"> PAGEREF _Toc474639011 \h </w:instrText>
        </w:r>
        <w:r>
          <w:rPr>
            <w:noProof/>
            <w:webHidden/>
          </w:rPr>
        </w:r>
        <w:r>
          <w:rPr>
            <w:noProof/>
            <w:webHidden/>
          </w:rPr>
          <w:fldChar w:fldCharType="separate"/>
        </w:r>
        <w:r w:rsidR="00AF29C3">
          <w:rPr>
            <w:noProof/>
            <w:webHidden/>
          </w:rPr>
          <w:t>97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2" w:history="1">
        <w:r w:rsidR="00E76515" w:rsidRPr="00AB0391">
          <w:rPr>
            <w:rStyle w:val="Hyperlink"/>
            <w:noProof/>
          </w:rPr>
          <w:t>Table 2.16: Profile of Districts with Positive Adaptation</w:t>
        </w:r>
        <w:r w:rsidR="00E76515">
          <w:rPr>
            <w:noProof/>
            <w:webHidden/>
          </w:rPr>
          <w:tab/>
        </w:r>
        <w:r>
          <w:rPr>
            <w:noProof/>
            <w:webHidden/>
          </w:rPr>
          <w:fldChar w:fldCharType="begin"/>
        </w:r>
        <w:r w:rsidR="00E76515">
          <w:rPr>
            <w:noProof/>
            <w:webHidden/>
          </w:rPr>
          <w:instrText xml:space="preserve"> PAGEREF _Toc474639012 \h </w:instrText>
        </w:r>
        <w:r>
          <w:rPr>
            <w:noProof/>
            <w:webHidden/>
          </w:rPr>
        </w:r>
        <w:r>
          <w:rPr>
            <w:noProof/>
            <w:webHidden/>
          </w:rPr>
          <w:fldChar w:fldCharType="separate"/>
        </w:r>
        <w:r w:rsidR="00AF29C3">
          <w:rPr>
            <w:noProof/>
            <w:webHidden/>
          </w:rPr>
          <w:t>101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3" w:history="1">
        <w:r w:rsidR="00E76515" w:rsidRPr="00AB0391">
          <w:rPr>
            <w:rStyle w:val="Hyperlink"/>
            <w:noProof/>
          </w:rPr>
          <w:t>Table 2.17: Barguna Poverty Level by Upazilla</w:t>
        </w:r>
        <w:r w:rsidR="00E76515">
          <w:rPr>
            <w:noProof/>
            <w:webHidden/>
          </w:rPr>
          <w:tab/>
        </w:r>
        <w:r>
          <w:rPr>
            <w:noProof/>
            <w:webHidden/>
          </w:rPr>
          <w:fldChar w:fldCharType="begin"/>
        </w:r>
        <w:r w:rsidR="00E76515">
          <w:rPr>
            <w:noProof/>
            <w:webHidden/>
          </w:rPr>
          <w:instrText xml:space="preserve"> PAGEREF _Toc474639013 \h </w:instrText>
        </w:r>
        <w:r>
          <w:rPr>
            <w:noProof/>
            <w:webHidden/>
          </w:rPr>
        </w:r>
        <w:r>
          <w:rPr>
            <w:noProof/>
            <w:webHidden/>
          </w:rPr>
          <w:fldChar w:fldCharType="separate"/>
        </w:r>
        <w:r w:rsidR="00AF29C3">
          <w:rPr>
            <w:noProof/>
            <w:webHidden/>
          </w:rPr>
          <w:t>103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4" w:history="1">
        <w:r w:rsidR="00E76515" w:rsidRPr="00AB0391">
          <w:rPr>
            <w:rStyle w:val="Hyperlink"/>
            <w:noProof/>
          </w:rPr>
          <w:t>Table 2.18: Patuakhali Poverty Distribution by Upzilla</w:t>
        </w:r>
        <w:r w:rsidR="00E76515">
          <w:rPr>
            <w:noProof/>
            <w:webHidden/>
          </w:rPr>
          <w:tab/>
        </w:r>
        <w:r>
          <w:rPr>
            <w:noProof/>
            <w:webHidden/>
          </w:rPr>
          <w:fldChar w:fldCharType="begin"/>
        </w:r>
        <w:r w:rsidR="00E76515">
          <w:rPr>
            <w:noProof/>
            <w:webHidden/>
          </w:rPr>
          <w:instrText xml:space="preserve"> PAGEREF _Toc474639014 \h </w:instrText>
        </w:r>
        <w:r>
          <w:rPr>
            <w:noProof/>
            <w:webHidden/>
          </w:rPr>
        </w:r>
        <w:r>
          <w:rPr>
            <w:noProof/>
            <w:webHidden/>
          </w:rPr>
          <w:fldChar w:fldCharType="separate"/>
        </w:r>
        <w:r w:rsidR="00AF29C3">
          <w:rPr>
            <w:noProof/>
            <w:webHidden/>
          </w:rPr>
          <w:t>105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5" w:history="1">
        <w:r w:rsidR="00E76515" w:rsidRPr="00AB0391">
          <w:rPr>
            <w:rStyle w:val="Hyperlink"/>
            <w:noProof/>
          </w:rPr>
          <w:t>Table 2.19: Bogra Upzilla Level Poverty</w:t>
        </w:r>
        <w:r w:rsidR="00E76515">
          <w:rPr>
            <w:noProof/>
            <w:webHidden/>
          </w:rPr>
          <w:tab/>
        </w:r>
        <w:r>
          <w:rPr>
            <w:noProof/>
            <w:webHidden/>
          </w:rPr>
          <w:fldChar w:fldCharType="begin"/>
        </w:r>
        <w:r w:rsidR="00E76515">
          <w:rPr>
            <w:noProof/>
            <w:webHidden/>
          </w:rPr>
          <w:instrText xml:space="preserve"> PAGEREF _Toc474639015 \h </w:instrText>
        </w:r>
        <w:r>
          <w:rPr>
            <w:noProof/>
            <w:webHidden/>
          </w:rPr>
        </w:r>
        <w:r>
          <w:rPr>
            <w:noProof/>
            <w:webHidden/>
          </w:rPr>
          <w:fldChar w:fldCharType="separate"/>
        </w:r>
        <w:r w:rsidR="00AF29C3">
          <w:rPr>
            <w:noProof/>
            <w:webHidden/>
          </w:rPr>
          <w:t>107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6" w:history="1">
        <w:r w:rsidR="00E76515" w:rsidRPr="00AB0391">
          <w:rPr>
            <w:rStyle w:val="Hyperlink"/>
            <w:noProof/>
          </w:rPr>
          <w:t>Table 2.20: Feni Upzilla Level Poverty</w:t>
        </w:r>
        <w:r w:rsidR="00E76515">
          <w:rPr>
            <w:noProof/>
            <w:webHidden/>
          </w:rPr>
          <w:tab/>
        </w:r>
        <w:r>
          <w:rPr>
            <w:noProof/>
            <w:webHidden/>
          </w:rPr>
          <w:fldChar w:fldCharType="begin"/>
        </w:r>
        <w:r w:rsidR="00E76515">
          <w:rPr>
            <w:noProof/>
            <w:webHidden/>
          </w:rPr>
          <w:instrText xml:space="preserve"> PAGEREF _Toc474639016 \h </w:instrText>
        </w:r>
        <w:r>
          <w:rPr>
            <w:noProof/>
            <w:webHidden/>
          </w:rPr>
        </w:r>
        <w:r>
          <w:rPr>
            <w:noProof/>
            <w:webHidden/>
          </w:rPr>
          <w:fldChar w:fldCharType="separate"/>
        </w:r>
        <w:r w:rsidR="00AF29C3">
          <w:rPr>
            <w:noProof/>
            <w:webHidden/>
          </w:rPr>
          <w:t>109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7" w:history="1">
        <w:r w:rsidR="00E76515" w:rsidRPr="00AB0391">
          <w:rPr>
            <w:rStyle w:val="Hyperlink"/>
            <w:noProof/>
          </w:rPr>
          <w:t>Table 2.21: Khulna Upzilla level poverty Distribution</w:t>
        </w:r>
        <w:r w:rsidR="00E76515">
          <w:rPr>
            <w:noProof/>
            <w:webHidden/>
          </w:rPr>
          <w:tab/>
        </w:r>
        <w:r>
          <w:rPr>
            <w:noProof/>
            <w:webHidden/>
          </w:rPr>
          <w:fldChar w:fldCharType="begin"/>
        </w:r>
        <w:r w:rsidR="00E76515">
          <w:rPr>
            <w:noProof/>
            <w:webHidden/>
          </w:rPr>
          <w:instrText xml:space="preserve"> PAGEREF _Toc474639017 \h </w:instrText>
        </w:r>
        <w:r>
          <w:rPr>
            <w:noProof/>
            <w:webHidden/>
          </w:rPr>
        </w:r>
        <w:r>
          <w:rPr>
            <w:noProof/>
            <w:webHidden/>
          </w:rPr>
          <w:fldChar w:fldCharType="separate"/>
        </w:r>
        <w:r w:rsidR="00AF29C3">
          <w:rPr>
            <w:noProof/>
            <w:webHidden/>
          </w:rPr>
          <w:t>111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8" w:history="1">
        <w:r w:rsidR="00E76515" w:rsidRPr="00AB0391">
          <w:rPr>
            <w:rStyle w:val="Hyperlink"/>
            <w:noProof/>
          </w:rPr>
          <w:t>Table 2.22: Distribution of Poverty in Bagerhat by Upzilla, 2010</w:t>
        </w:r>
        <w:r w:rsidR="00E76515">
          <w:rPr>
            <w:noProof/>
            <w:webHidden/>
          </w:rPr>
          <w:tab/>
        </w:r>
        <w:r>
          <w:rPr>
            <w:noProof/>
            <w:webHidden/>
          </w:rPr>
          <w:fldChar w:fldCharType="begin"/>
        </w:r>
        <w:r w:rsidR="00E76515">
          <w:rPr>
            <w:noProof/>
            <w:webHidden/>
          </w:rPr>
          <w:instrText xml:space="preserve"> PAGEREF _Toc474639018 \h </w:instrText>
        </w:r>
        <w:r>
          <w:rPr>
            <w:noProof/>
            <w:webHidden/>
          </w:rPr>
        </w:r>
        <w:r>
          <w:rPr>
            <w:noProof/>
            <w:webHidden/>
          </w:rPr>
          <w:fldChar w:fldCharType="separate"/>
        </w:r>
        <w:r w:rsidR="00AF29C3">
          <w:rPr>
            <w:noProof/>
            <w:webHidden/>
          </w:rPr>
          <w:t>114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19" w:history="1">
        <w:r w:rsidR="00E76515" w:rsidRPr="00AB0391">
          <w:rPr>
            <w:rStyle w:val="Hyperlink"/>
            <w:noProof/>
          </w:rPr>
          <w:t>Table 3.1: Water Quality Indicators of Selected Rivers</w:t>
        </w:r>
        <w:r w:rsidR="00E76515">
          <w:rPr>
            <w:noProof/>
            <w:webHidden/>
          </w:rPr>
          <w:tab/>
        </w:r>
        <w:r>
          <w:rPr>
            <w:noProof/>
            <w:webHidden/>
          </w:rPr>
          <w:fldChar w:fldCharType="begin"/>
        </w:r>
        <w:r w:rsidR="00E76515">
          <w:rPr>
            <w:noProof/>
            <w:webHidden/>
          </w:rPr>
          <w:instrText xml:space="preserve"> PAGEREF _Toc474639019 \h </w:instrText>
        </w:r>
        <w:r>
          <w:rPr>
            <w:noProof/>
            <w:webHidden/>
          </w:rPr>
        </w:r>
        <w:r>
          <w:rPr>
            <w:noProof/>
            <w:webHidden/>
          </w:rPr>
          <w:fldChar w:fldCharType="separate"/>
        </w:r>
        <w:r w:rsidR="00AF29C3">
          <w:rPr>
            <w:noProof/>
            <w:webHidden/>
          </w:rPr>
          <w:t>118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0" w:history="1">
        <w:r w:rsidR="00E76515" w:rsidRPr="00AB0391">
          <w:rPr>
            <w:rStyle w:val="Hyperlink"/>
            <w:noProof/>
          </w:rPr>
          <w:t>Table 3.2: Area Comparison Groundwater Tables 2004 - 2010</w:t>
        </w:r>
        <w:r w:rsidR="00E76515">
          <w:rPr>
            <w:noProof/>
            <w:webHidden/>
          </w:rPr>
          <w:tab/>
        </w:r>
        <w:r>
          <w:rPr>
            <w:noProof/>
            <w:webHidden/>
          </w:rPr>
          <w:fldChar w:fldCharType="begin"/>
        </w:r>
        <w:r w:rsidR="00E76515">
          <w:rPr>
            <w:noProof/>
            <w:webHidden/>
          </w:rPr>
          <w:instrText xml:space="preserve"> PAGEREF _Toc474639020 \h </w:instrText>
        </w:r>
        <w:r>
          <w:rPr>
            <w:noProof/>
            <w:webHidden/>
          </w:rPr>
        </w:r>
        <w:r>
          <w:rPr>
            <w:noProof/>
            <w:webHidden/>
          </w:rPr>
          <w:fldChar w:fldCharType="separate"/>
        </w:r>
        <w:r w:rsidR="00AF29C3">
          <w:rPr>
            <w:noProof/>
            <w:webHidden/>
          </w:rPr>
          <w:t>121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1" w:history="1">
        <w:r w:rsidR="00E76515" w:rsidRPr="00AB0391">
          <w:rPr>
            <w:rStyle w:val="Hyperlink"/>
            <w:noProof/>
          </w:rPr>
          <w:t>Table 3.3: Types of Wetlands and their Estimated Area during the Wet Season</w:t>
        </w:r>
        <w:r w:rsidR="00E76515">
          <w:rPr>
            <w:noProof/>
            <w:webHidden/>
          </w:rPr>
          <w:tab/>
        </w:r>
        <w:r>
          <w:rPr>
            <w:noProof/>
            <w:webHidden/>
          </w:rPr>
          <w:fldChar w:fldCharType="begin"/>
        </w:r>
        <w:r w:rsidR="00E76515">
          <w:rPr>
            <w:noProof/>
            <w:webHidden/>
          </w:rPr>
          <w:instrText xml:space="preserve"> PAGEREF _Toc474639021 \h </w:instrText>
        </w:r>
        <w:r>
          <w:rPr>
            <w:noProof/>
            <w:webHidden/>
          </w:rPr>
        </w:r>
        <w:r>
          <w:rPr>
            <w:noProof/>
            <w:webHidden/>
          </w:rPr>
          <w:fldChar w:fldCharType="separate"/>
        </w:r>
        <w:r w:rsidR="00AF29C3">
          <w:rPr>
            <w:noProof/>
            <w:webHidden/>
          </w:rPr>
          <w:t>126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2" w:history="1">
        <w:r w:rsidR="00E76515" w:rsidRPr="00AB0391">
          <w:rPr>
            <w:rStyle w:val="Hyperlink"/>
            <w:noProof/>
          </w:rPr>
          <w:t>Table 3.4: Number of Species Identified in various Groups of Plants in numbers</w:t>
        </w:r>
        <w:r w:rsidR="00E76515">
          <w:rPr>
            <w:noProof/>
            <w:webHidden/>
          </w:rPr>
          <w:tab/>
        </w:r>
        <w:r>
          <w:rPr>
            <w:noProof/>
            <w:webHidden/>
          </w:rPr>
          <w:fldChar w:fldCharType="begin"/>
        </w:r>
        <w:r w:rsidR="00E76515">
          <w:rPr>
            <w:noProof/>
            <w:webHidden/>
          </w:rPr>
          <w:instrText xml:space="preserve"> PAGEREF _Toc474639022 \h </w:instrText>
        </w:r>
        <w:r>
          <w:rPr>
            <w:noProof/>
            <w:webHidden/>
          </w:rPr>
        </w:r>
        <w:r>
          <w:rPr>
            <w:noProof/>
            <w:webHidden/>
          </w:rPr>
          <w:fldChar w:fldCharType="separate"/>
        </w:r>
        <w:r w:rsidR="00AF29C3">
          <w:rPr>
            <w:noProof/>
            <w:webHidden/>
          </w:rPr>
          <w:t>133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3" w:history="1">
        <w:r w:rsidR="00E76515" w:rsidRPr="00AB0391">
          <w:rPr>
            <w:rStyle w:val="Hyperlink"/>
            <w:noProof/>
          </w:rPr>
          <w:t>Table 3.5: Diversity of Faunal Species in Bangladesh compared to World and Subcontinent in Numbers</w:t>
        </w:r>
        <w:r w:rsidR="00E76515">
          <w:rPr>
            <w:noProof/>
            <w:webHidden/>
          </w:rPr>
          <w:tab/>
        </w:r>
        <w:r>
          <w:rPr>
            <w:noProof/>
            <w:webHidden/>
          </w:rPr>
          <w:fldChar w:fldCharType="begin"/>
        </w:r>
        <w:r w:rsidR="00E76515">
          <w:rPr>
            <w:noProof/>
            <w:webHidden/>
          </w:rPr>
          <w:instrText xml:space="preserve"> PAGEREF _Toc474639023 \h </w:instrText>
        </w:r>
        <w:r>
          <w:rPr>
            <w:noProof/>
            <w:webHidden/>
          </w:rPr>
        </w:r>
        <w:r>
          <w:rPr>
            <w:noProof/>
            <w:webHidden/>
          </w:rPr>
          <w:fldChar w:fldCharType="separate"/>
        </w:r>
        <w:r w:rsidR="00AF29C3">
          <w:rPr>
            <w:noProof/>
            <w:webHidden/>
          </w:rPr>
          <w:t>134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4" w:history="1">
        <w:r w:rsidR="00E76515" w:rsidRPr="00AB0391">
          <w:rPr>
            <w:rStyle w:val="Hyperlink"/>
            <w:noProof/>
          </w:rPr>
          <w:t>Table 3.6: National Status of Inland and Resident Vertebrates of Bangladesh</w:t>
        </w:r>
        <w:r w:rsidR="00E76515">
          <w:rPr>
            <w:noProof/>
            <w:webHidden/>
          </w:rPr>
          <w:tab/>
        </w:r>
        <w:r>
          <w:rPr>
            <w:noProof/>
            <w:webHidden/>
          </w:rPr>
          <w:fldChar w:fldCharType="begin"/>
        </w:r>
        <w:r w:rsidR="00E76515">
          <w:rPr>
            <w:noProof/>
            <w:webHidden/>
          </w:rPr>
          <w:instrText xml:space="preserve"> PAGEREF _Toc474639024 \h </w:instrText>
        </w:r>
        <w:r>
          <w:rPr>
            <w:noProof/>
            <w:webHidden/>
          </w:rPr>
        </w:r>
        <w:r>
          <w:rPr>
            <w:noProof/>
            <w:webHidden/>
          </w:rPr>
          <w:fldChar w:fldCharType="separate"/>
        </w:r>
        <w:r w:rsidR="00AF29C3">
          <w:rPr>
            <w:noProof/>
            <w:webHidden/>
          </w:rPr>
          <w:t>136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5" w:history="1">
        <w:r w:rsidR="00E76515" w:rsidRPr="00AB0391">
          <w:rPr>
            <w:rStyle w:val="Hyperlink"/>
            <w:noProof/>
          </w:rPr>
          <w:t>Table 4.1: Problems and Challenges of the Hydrological Regions</w:t>
        </w:r>
        <w:r w:rsidR="00E76515">
          <w:rPr>
            <w:noProof/>
            <w:webHidden/>
          </w:rPr>
          <w:tab/>
        </w:r>
        <w:r>
          <w:rPr>
            <w:noProof/>
            <w:webHidden/>
          </w:rPr>
          <w:fldChar w:fldCharType="begin"/>
        </w:r>
        <w:r w:rsidR="00E76515">
          <w:rPr>
            <w:noProof/>
            <w:webHidden/>
          </w:rPr>
          <w:instrText xml:space="preserve"> PAGEREF _Toc474639025 \h </w:instrText>
        </w:r>
        <w:r>
          <w:rPr>
            <w:noProof/>
            <w:webHidden/>
          </w:rPr>
        </w:r>
        <w:r>
          <w:rPr>
            <w:noProof/>
            <w:webHidden/>
          </w:rPr>
          <w:fldChar w:fldCharType="separate"/>
        </w:r>
        <w:r w:rsidR="00AF29C3">
          <w:rPr>
            <w:noProof/>
            <w:webHidden/>
          </w:rPr>
          <w:t>154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6" w:history="1">
        <w:r w:rsidR="00E76515" w:rsidRPr="00AB0391">
          <w:rPr>
            <w:rStyle w:val="Hyperlink"/>
            <w:noProof/>
          </w:rPr>
          <w:t>Table 4.2: Flood Calendar of Bangladesh</w:t>
        </w:r>
        <w:r w:rsidR="00E76515">
          <w:rPr>
            <w:noProof/>
            <w:webHidden/>
          </w:rPr>
          <w:tab/>
        </w:r>
        <w:r>
          <w:rPr>
            <w:noProof/>
            <w:webHidden/>
          </w:rPr>
          <w:fldChar w:fldCharType="begin"/>
        </w:r>
        <w:r w:rsidR="00E76515">
          <w:rPr>
            <w:noProof/>
            <w:webHidden/>
          </w:rPr>
          <w:instrText xml:space="preserve"> PAGEREF _Toc474639026 \h </w:instrText>
        </w:r>
        <w:r>
          <w:rPr>
            <w:noProof/>
            <w:webHidden/>
          </w:rPr>
        </w:r>
        <w:r>
          <w:rPr>
            <w:noProof/>
            <w:webHidden/>
          </w:rPr>
          <w:fldChar w:fldCharType="separate"/>
        </w:r>
        <w:r w:rsidR="00AF29C3">
          <w:rPr>
            <w:noProof/>
            <w:webHidden/>
          </w:rPr>
          <w:t>160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7" w:history="1">
        <w:r w:rsidR="00E76515" w:rsidRPr="00AB0391">
          <w:rPr>
            <w:rStyle w:val="Hyperlink"/>
            <w:noProof/>
          </w:rPr>
          <w:t>Table 5.1: Region wise Migration in BAU Option (in million)</w:t>
        </w:r>
        <w:r w:rsidR="00E76515">
          <w:rPr>
            <w:noProof/>
            <w:webHidden/>
          </w:rPr>
          <w:tab/>
        </w:r>
        <w:r>
          <w:rPr>
            <w:noProof/>
            <w:webHidden/>
          </w:rPr>
          <w:fldChar w:fldCharType="begin"/>
        </w:r>
        <w:r w:rsidR="00E76515">
          <w:rPr>
            <w:noProof/>
            <w:webHidden/>
          </w:rPr>
          <w:instrText xml:space="preserve"> PAGEREF _Toc474639027 \h </w:instrText>
        </w:r>
        <w:r>
          <w:rPr>
            <w:noProof/>
            <w:webHidden/>
          </w:rPr>
        </w:r>
        <w:r>
          <w:rPr>
            <w:noProof/>
            <w:webHidden/>
          </w:rPr>
          <w:fldChar w:fldCharType="separate"/>
        </w:r>
        <w:r w:rsidR="00AF29C3">
          <w:rPr>
            <w:noProof/>
            <w:webHidden/>
          </w:rPr>
          <w:t>197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8" w:history="1">
        <w:r w:rsidR="00E76515" w:rsidRPr="00AB0391">
          <w:rPr>
            <w:rStyle w:val="Hyperlink"/>
            <w:noProof/>
          </w:rPr>
          <w:t>Table 5.2: Years Required by Countries to Transform from Lower Middle Income to Upper Middle Income Country</w:t>
        </w:r>
        <w:r w:rsidR="00E76515">
          <w:rPr>
            <w:noProof/>
            <w:webHidden/>
          </w:rPr>
          <w:tab/>
        </w:r>
        <w:r>
          <w:rPr>
            <w:noProof/>
            <w:webHidden/>
          </w:rPr>
          <w:fldChar w:fldCharType="begin"/>
        </w:r>
        <w:r w:rsidR="00E76515">
          <w:rPr>
            <w:noProof/>
            <w:webHidden/>
          </w:rPr>
          <w:instrText xml:space="preserve"> PAGEREF _Toc474639028 \h </w:instrText>
        </w:r>
        <w:r>
          <w:rPr>
            <w:noProof/>
            <w:webHidden/>
          </w:rPr>
        </w:r>
        <w:r>
          <w:rPr>
            <w:noProof/>
            <w:webHidden/>
          </w:rPr>
          <w:fldChar w:fldCharType="separate"/>
        </w:r>
        <w:r w:rsidR="00AF29C3">
          <w:rPr>
            <w:noProof/>
            <w:webHidden/>
          </w:rPr>
          <w:t>198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29" w:history="1">
        <w:r w:rsidR="00E76515" w:rsidRPr="00AB0391">
          <w:rPr>
            <w:rStyle w:val="Hyperlink"/>
            <w:noProof/>
          </w:rPr>
          <w:t>Table 5.3: Region wise Migration in BAU Option (in million)</w:t>
        </w:r>
        <w:r w:rsidR="00E76515">
          <w:rPr>
            <w:noProof/>
            <w:webHidden/>
          </w:rPr>
          <w:tab/>
        </w:r>
        <w:r>
          <w:rPr>
            <w:noProof/>
            <w:webHidden/>
          </w:rPr>
          <w:fldChar w:fldCharType="begin"/>
        </w:r>
        <w:r w:rsidR="00E76515">
          <w:rPr>
            <w:noProof/>
            <w:webHidden/>
          </w:rPr>
          <w:instrText xml:space="preserve"> PAGEREF _Toc474639029 \h </w:instrText>
        </w:r>
        <w:r>
          <w:rPr>
            <w:noProof/>
            <w:webHidden/>
          </w:rPr>
        </w:r>
        <w:r>
          <w:rPr>
            <w:noProof/>
            <w:webHidden/>
          </w:rPr>
          <w:fldChar w:fldCharType="separate"/>
        </w:r>
        <w:r w:rsidR="00AF29C3">
          <w:rPr>
            <w:noProof/>
            <w:webHidden/>
          </w:rPr>
          <w:t>205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0" w:history="1">
        <w:r w:rsidR="00E76515" w:rsidRPr="00AB0391">
          <w:rPr>
            <w:rStyle w:val="Hyperlink"/>
            <w:noProof/>
          </w:rPr>
          <w:t>Table 5.4: Sectoral Growth Rates (BAU Option)</w:t>
        </w:r>
        <w:r w:rsidR="00E76515">
          <w:rPr>
            <w:noProof/>
            <w:webHidden/>
          </w:rPr>
          <w:tab/>
        </w:r>
        <w:r>
          <w:rPr>
            <w:noProof/>
            <w:webHidden/>
          </w:rPr>
          <w:fldChar w:fldCharType="begin"/>
        </w:r>
        <w:r w:rsidR="00E76515">
          <w:rPr>
            <w:noProof/>
            <w:webHidden/>
          </w:rPr>
          <w:instrText xml:space="preserve"> PAGEREF _Toc474639030 \h </w:instrText>
        </w:r>
        <w:r>
          <w:rPr>
            <w:noProof/>
            <w:webHidden/>
          </w:rPr>
        </w:r>
        <w:r>
          <w:rPr>
            <w:noProof/>
            <w:webHidden/>
          </w:rPr>
          <w:fldChar w:fldCharType="separate"/>
        </w:r>
        <w:r w:rsidR="00AF29C3">
          <w:rPr>
            <w:noProof/>
            <w:webHidden/>
          </w:rPr>
          <w:t>208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1" w:history="1">
        <w:r w:rsidR="00E76515" w:rsidRPr="00AB0391">
          <w:rPr>
            <w:rStyle w:val="Hyperlink"/>
            <w:noProof/>
          </w:rPr>
          <w:t>Table 5.5: Sectoral Growth Rates (Delta Plan Option)</w:t>
        </w:r>
        <w:r w:rsidR="00E76515">
          <w:rPr>
            <w:noProof/>
            <w:webHidden/>
          </w:rPr>
          <w:tab/>
        </w:r>
        <w:r>
          <w:rPr>
            <w:noProof/>
            <w:webHidden/>
          </w:rPr>
          <w:fldChar w:fldCharType="begin"/>
        </w:r>
        <w:r w:rsidR="00E76515">
          <w:rPr>
            <w:noProof/>
            <w:webHidden/>
          </w:rPr>
          <w:instrText xml:space="preserve"> PAGEREF _Toc474639031 \h </w:instrText>
        </w:r>
        <w:r>
          <w:rPr>
            <w:noProof/>
            <w:webHidden/>
          </w:rPr>
        </w:r>
        <w:r>
          <w:rPr>
            <w:noProof/>
            <w:webHidden/>
          </w:rPr>
          <w:fldChar w:fldCharType="separate"/>
        </w:r>
        <w:r w:rsidR="00AF29C3">
          <w:rPr>
            <w:noProof/>
            <w:webHidden/>
          </w:rPr>
          <w:t>208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2" w:history="1">
        <w:r w:rsidR="00E76515" w:rsidRPr="00AB0391">
          <w:rPr>
            <w:rStyle w:val="Hyperlink"/>
            <w:noProof/>
          </w:rPr>
          <w:t>Table 5.6: Sectoral GDP Shares (BAU Option)</w:t>
        </w:r>
        <w:r w:rsidR="00E76515">
          <w:rPr>
            <w:noProof/>
            <w:webHidden/>
          </w:rPr>
          <w:tab/>
        </w:r>
        <w:r>
          <w:rPr>
            <w:noProof/>
            <w:webHidden/>
          </w:rPr>
          <w:fldChar w:fldCharType="begin"/>
        </w:r>
        <w:r w:rsidR="00E76515">
          <w:rPr>
            <w:noProof/>
            <w:webHidden/>
          </w:rPr>
          <w:instrText xml:space="preserve"> PAGEREF _Toc474639032 \h </w:instrText>
        </w:r>
        <w:r>
          <w:rPr>
            <w:noProof/>
            <w:webHidden/>
          </w:rPr>
        </w:r>
        <w:r>
          <w:rPr>
            <w:noProof/>
            <w:webHidden/>
          </w:rPr>
          <w:fldChar w:fldCharType="separate"/>
        </w:r>
        <w:r w:rsidR="00AF29C3">
          <w:rPr>
            <w:noProof/>
            <w:webHidden/>
          </w:rPr>
          <w:t>209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3" w:history="1">
        <w:r w:rsidR="00E76515" w:rsidRPr="00AB0391">
          <w:rPr>
            <w:rStyle w:val="Hyperlink"/>
            <w:noProof/>
          </w:rPr>
          <w:t>Table 5.7: Sectoral GDP Shares (Delta Plan Policy Option)</w:t>
        </w:r>
        <w:r w:rsidR="00E76515">
          <w:rPr>
            <w:noProof/>
            <w:webHidden/>
          </w:rPr>
          <w:tab/>
        </w:r>
        <w:r>
          <w:rPr>
            <w:noProof/>
            <w:webHidden/>
          </w:rPr>
          <w:fldChar w:fldCharType="begin"/>
        </w:r>
        <w:r w:rsidR="00E76515">
          <w:rPr>
            <w:noProof/>
            <w:webHidden/>
          </w:rPr>
          <w:instrText xml:space="preserve"> PAGEREF _Toc474639033 \h </w:instrText>
        </w:r>
        <w:r>
          <w:rPr>
            <w:noProof/>
            <w:webHidden/>
          </w:rPr>
        </w:r>
        <w:r>
          <w:rPr>
            <w:noProof/>
            <w:webHidden/>
          </w:rPr>
          <w:fldChar w:fldCharType="separate"/>
        </w:r>
        <w:r w:rsidR="00AF29C3">
          <w:rPr>
            <w:noProof/>
            <w:webHidden/>
          </w:rPr>
          <w:t>210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4" w:history="1">
        <w:r w:rsidR="00E76515" w:rsidRPr="00AB0391">
          <w:rPr>
            <w:rStyle w:val="Hyperlink"/>
            <w:noProof/>
          </w:rPr>
          <w:t>Table 5.8: Sectoral Investment Shares (BAU Option)</w:t>
        </w:r>
        <w:r w:rsidR="00E76515">
          <w:rPr>
            <w:noProof/>
            <w:webHidden/>
          </w:rPr>
          <w:tab/>
        </w:r>
        <w:r>
          <w:rPr>
            <w:noProof/>
            <w:webHidden/>
          </w:rPr>
          <w:fldChar w:fldCharType="begin"/>
        </w:r>
        <w:r w:rsidR="00E76515">
          <w:rPr>
            <w:noProof/>
            <w:webHidden/>
          </w:rPr>
          <w:instrText xml:space="preserve"> PAGEREF _Toc474639034 \h </w:instrText>
        </w:r>
        <w:r>
          <w:rPr>
            <w:noProof/>
            <w:webHidden/>
          </w:rPr>
        </w:r>
        <w:r>
          <w:rPr>
            <w:noProof/>
            <w:webHidden/>
          </w:rPr>
          <w:fldChar w:fldCharType="separate"/>
        </w:r>
        <w:r w:rsidR="00AF29C3">
          <w:rPr>
            <w:noProof/>
            <w:webHidden/>
          </w:rPr>
          <w:t>211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5" w:history="1">
        <w:r w:rsidR="00E76515" w:rsidRPr="00AB0391">
          <w:rPr>
            <w:rStyle w:val="Hyperlink"/>
            <w:noProof/>
          </w:rPr>
          <w:t>Table 5.9: Sectoral Investment Shares (DP Policy Option)</w:t>
        </w:r>
        <w:r w:rsidR="00E76515">
          <w:rPr>
            <w:noProof/>
            <w:webHidden/>
          </w:rPr>
          <w:tab/>
        </w:r>
        <w:r>
          <w:rPr>
            <w:noProof/>
            <w:webHidden/>
          </w:rPr>
          <w:fldChar w:fldCharType="begin"/>
        </w:r>
        <w:r w:rsidR="00E76515">
          <w:rPr>
            <w:noProof/>
            <w:webHidden/>
          </w:rPr>
          <w:instrText xml:space="preserve"> PAGEREF _Toc474639035 \h </w:instrText>
        </w:r>
        <w:r>
          <w:rPr>
            <w:noProof/>
            <w:webHidden/>
          </w:rPr>
        </w:r>
        <w:r>
          <w:rPr>
            <w:noProof/>
            <w:webHidden/>
          </w:rPr>
          <w:fldChar w:fldCharType="separate"/>
        </w:r>
        <w:r w:rsidR="00AF29C3">
          <w:rPr>
            <w:noProof/>
            <w:webHidden/>
          </w:rPr>
          <w:t>211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6" w:history="1">
        <w:r w:rsidR="00E76515" w:rsidRPr="00AB0391">
          <w:rPr>
            <w:rStyle w:val="Hyperlink"/>
            <w:noProof/>
          </w:rPr>
          <w:t>Table 5.10: Sectoral Employment Share (BAU Option) (%)</w:t>
        </w:r>
        <w:r w:rsidR="00E76515">
          <w:rPr>
            <w:noProof/>
            <w:webHidden/>
          </w:rPr>
          <w:tab/>
        </w:r>
        <w:r>
          <w:rPr>
            <w:noProof/>
            <w:webHidden/>
          </w:rPr>
          <w:fldChar w:fldCharType="begin"/>
        </w:r>
        <w:r w:rsidR="00E76515">
          <w:rPr>
            <w:noProof/>
            <w:webHidden/>
          </w:rPr>
          <w:instrText xml:space="preserve"> PAGEREF _Toc474639036 \h </w:instrText>
        </w:r>
        <w:r>
          <w:rPr>
            <w:noProof/>
            <w:webHidden/>
          </w:rPr>
        </w:r>
        <w:r>
          <w:rPr>
            <w:noProof/>
            <w:webHidden/>
          </w:rPr>
          <w:fldChar w:fldCharType="separate"/>
        </w:r>
        <w:r w:rsidR="00AF29C3">
          <w:rPr>
            <w:noProof/>
            <w:webHidden/>
          </w:rPr>
          <w:t>212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7" w:history="1">
        <w:r w:rsidR="00E76515" w:rsidRPr="00AB0391">
          <w:rPr>
            <w:rStyle w:val="Hyperlink"/>
            <w:noProof/>
          </w:rPr>
          <w:t>Table 5.11: Sectoral Employment Share (DP Policy Option) (%)</w:t>
        </w:r>
        <w:r w:rsidR="00E76515">
          <w:rPr>
            <w:noProof/>
            <w:webHidden/>
          </w:rPr>
          <w:tab/>
        </w:r>
        <w:r>
          <w:rPr>
            <w:noProof/>
            <w:webHidden/>
          </w:rPr>
          <w:fldChar w:fldCharType="begin"/>
        </w:r>
        <w:r w:rsidR="00E76515">
          <w:rPr>
            <w:noProof/>
            <w:webHidden/>
          </w:rPr>
          <w:instrText xml:space="preserve"> PAGEREF _Toc474639037 \h </w:instrText>
        </w:r>
        <w:r>
          <w:rPr>
            <w:noProof/>
            <w:webHidden/>
          </w:rPr>
        </w:r>
        <w:r>
          <w:rPr>
            <w:noProof/>
            <w:webHidden/>
          </w:rPr>
          <w:fldChar w:fldCharType="separate"/>
        </w:r>
        <w:r w:rsidR="00AF29C3">
          <w:rPr>
            <w:noProof/>
            <w:webHidden/>
          </w:rPr>
          <w:t>213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8" w:history="1">
        <w:r w:rsidR="00E76515" w:rsidRPr="00AB0391">
          <w:rPr>
            <w:rStyle w:val="Hyperlink"/>
            <w:noProof/>
          </w:rPr>
          <w:t>Table 7.1:  Distribution of Various Land Type of Bangladesh</w:t>
        </w:r>
        <w:r w:rsidR="00E76515">
          <w:rPr>
            <w:noProof/>
            <w:webHidden/>
          </w:rPr>
          <w:tab/>
        </w:r>
        <w:r>
          <w:rPr>
            <w:noProof/>
            <w:webHidden/>
          </w:rPr>
          <w:fldChar w:fldCharType="begin"/>
        </w:r>
        <w:r w:rsidR="00E76515">
          <w:rPr>
            <w:noProof/>
            <w:webHidden/>
          </w:rPr>
          <w:instrText xml:space="preserve"> PAGEREF _Toc474639038 \h </w:instrText>
        </w:r>
        <w:r>
          <w:rPr>
            <w:noProof/>
            <w:webHidden/>
          </w:rPr>
        </w:r>
        <w:r>
          <w:rPr>
            <w:noProof/>
            <w:webHidden/>
          </w:rPr>
          <w:fldChar w:fldCharType="separate"/>
        </w:r>
        <w:r w:rsidR="00AF29C3">
          <w:rPr>
            <w:noProof/>
            <w:webHidden/>
          </w:rPr>
          <w:t>270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39" w:history="1">
        <w:r w:rsidR="00E76515" w:rsidRPr="00AB0391">
          <w:rPr>
            <w:rStyle w:val="Hyperlink"/>
            <w:noProof/>
          </w:rPr>
          <w:t>Table 7.2: Present land utilization/land cover of Bangladesh on the basis SRDI</w:t>
        </w:r>
        <w:r w:rsidR="00E76515">
          <w:rPr>
            <w:noProof/>
            <w:webHidden/>
          </w:rPr>
          <w:tab/>
        </w:r>
        <w:r>
          <w:rPr>
            <w:noProof/>
            <w:webHidden/>
          </w:rPr>
          <w:fldChar w:fldCharType="begin"/>
        </w:r>
        <w:r w:rsidR="00E76515">
          <w:rPr>
            <w:noProof/>
            <w:webHidden/>
          </w:rPr>
          <w:instrText xml:space="preserve"> PAGEREF _Toc474639039 \h </w:instrText>
        </w:r>
        <w:r>
          <w:rPr>
            <w:noProof/>
            <w:webHidden/>
          </w:rPr>
        </w:r>
        <w:r>
          <w:rPr>
            <w:noProof/>
            <w:webHidden/>
          </w:rPr>
          <w:fldChar w:fldCharType="separate"/>
        </w:r>
        <w:r w:rsidR="00AF29C3">
          <w:rPr>
            <w:noProof/>
            <w:webHidden/>
          </w:rPr>
          <w:t>272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0" w:history="1">
        <w:r w:rsidR="00E76515" w:rsidRPr="00AB0391">
          <w:rPr>
            <w:rStyle w:val="Hyperlink"/>
            <w:noProof/>
          </w:rPr>
          <w:t>Table 7.3: Area and Average Annual Change in Land Use Acreage (%)</w:t>
        </w:r>
        <w:r w:rsidR="00E76515">
          <w:rPr>
            <w:noProof/>
            <w:webHidden/>
          </w:rPr>
          <w:tab/>
        </w:r>
        <w:r>
          <w:rPr>
            <w:noProof/>
            <w:webHidden/>
          </w:rPr>
          <w:fldChar w:fldCharType="begin"/>
        </w:r>
        <w:r w:rsidR="00E76515">
          <w:rPr>
            <w:noProof/>
            <w:webHidden/>
          </w:rPr>
          <w:instrText xml:space="preserve"> PAGEREF _Toc474639040 \h </w:instrText>
        </w:r>
        <w:r>
          <w:rPr>
            <w:noProof/>
            <w:webHidden/>
          </w:rPr>
        </w:r>
        <w:r>
          <w:rPr>
            <w:noProof/>
            <w:webHidden/>
          </w:rPr>
          <w:fldChar w:fldCharType="separate"/>
        </w:r>
        <w:r w:rsidR="00AF29C3">
          <w:rPr>
            <w:noProof/>
            <w:webHidden/>
          </w:rPr>
          <w:t>274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1" w:history="1">
        <w:r w:rsidR="00E76515" w:rsidRPr="00AB0391">
          <w:rPr>
            <w:rStyle w:val="Hyperlink"/>
            <w:noProof/>
          </w:rPr>
          <w:t>Table 7.4a: Historic Development of Urban Centers</w:t>
        </w:r>
        <w:r w:rsidR="00E76515">
          <w:rPr>
            <w:noProof/>
            <w:webHidden/>
          </w:rPr>
          <w:tab/>
        </w:r>
        <w:r>
          <w:rPr>
            <w:noProof/>
            <w:webHidden/>
          </w:rPr>
          <w:fldChar w:fldCharType="begin"/>
        </w:r>
        <w:r w:rsidR="00E76515">
          <w:rPr>
            <w:noProof/>
            <w:webHidden/>
          </w:rPr>
          <w:instrText xml:space="preserve"> PAGEREF _Toc474639041 \h </w:instrText>
        </w:r>
        <w:r>
          <w:rPr>
            <w:noProof/>
            <w:webHidden/>
          </w:rPr>
        </w:r>
        <w:r>
          <w:rPr>
            <w:noProof/>
            <w:webHidden/>
          </w:rPr>
          <w:fldChar w:fldCharType="separate"/>
        </w:r>
        <w:r w:rsidR="00AF29C3">
          <w:rPr>
            <w:noProof/>
            <w:webHidden/>
          </w:rPr>
          <w:t>279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2" w:history="1">
        <w:r w:rsidR="00E76515" w:rsidRPr="00AB0391">
          <w:rPr>
            <w:rStyle w:val="Hyperlink"/>
            <w:noProof/>
          </w:rPr>
          <w:t xml:space="preserve">Table 7.4b: Urban Centers by Size Class as of 2011 </w:t>
        </w:r>
        <w:r w:rsidR="00E76515" w:rsidRPr="00AB0391">
          <w:rPr>
            <w:rStyle w:val="Hyperlink"/>
            <w:i/>
            <w:noProof/>
          </w:rPr>
          <w:t>(under revised definition of BBS)</w:t>
        </w:r>
        <w:r w:rsidR="00E76515">
          <w:rPr>
            <w:noProof/>
            <w:webHidden/>
          </w:rPr>
          <w:tab/>
        </w:r>
        <w:r>
          <w:rPr>
            <w:noProof/>
            <w:webHidden/>
          </w:rPr>
          <w:fldChar w:fldCharType="begin"/>
        </w:r>
        <w:r w:rsidR="00E76515">
          <w:rPr>
            <w:noProof/>
            <w:webHidden/>
          </w:rPr>
          <w:instrText xml:space="preserve"> PAGEREF _Toc474639042 \h </w:instrText>
        </w:r>
        <w:r>
          <w:rPr>
            <w:noProof/>
            <w:webHidden/>
          </w:rPr>
        </w:r>
        <w:r>
          <w:rPr>
            <w:noProof/>
            <w:webHidden/>
          </w:rPr>
          <w:fldChar w:fldCharType="separate"/>
        </w:r>
        <w:r w:rsidR="00AF29C3">
          <w:rPr>
            <w:noProof/>
            <w:webHidden/>
          </w:rPr>
          <w:t>279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3" w:history="1">
        <w:r w:rsidR="00E76515" w:rsidRPr="00AB0391">
          <w:rPr>
            <w:rStyle w:val="Hyperlink"/>
            <w:noProof/>
          </w:rPr>
          <w:t>Table 7.5:  Distribution of Erosion &amp; Accretion in the three of the Mighty Rivers of Bangladesh (1973-2013)</w:t>
        </w:r>
        <w:r w:rsidR="00E76515">
          <w:rPr>
            <w:noProof/>
            <w:webHidden/>
          </w:rPr>
          <w:tab/>
        </w:r>
        <w:r>
          <w:rPr>
            <w:noProof/>
            <w:webHidden/>
          </w:rPr>
          <w:fldChar w:fldCharType="begin"/>
        </w:r>
        <w:r w:rsidR="00E76515">
          <w:rPr>
            <w:noProof/>
            <w:webHidden/>
          </w:rPr>
          <w:instrText xml:space="preserve"> PAGEREF _Toc474639043 \h </w:instrText>
        </w:r>
        <w:r>
          <w:rPr>
            <w:noProof/>
            <w:webHidden/>
          </w:rPr>
        </w:r>
        <w:r>
          <w:rPr>
            <w:noProof/>
            <w:webHidden/>
          </w:rPr>
          <w:fldChar w:fldCharType="separate"/>
        </w:r>
        <w:r w:rsidR="00AF29C3">
          <w:rPr>
            <w:noProof/>
            <w:webHidden/>
          </w:rPr>
          <w:t>283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4" w:history="1">
        <w:r w:rsidR="00E76515" w:rsidRPr="00AB0391">
          <w:rPr>
            <w:rStyle w:val="Hyperlink"/>
            <w:noProof/>
          </w:rPr>
          <w:t>Table 7.6:  Summary of Time, Cost and Procedures for Registering Property in Bangladesh</w:t>
        </w:r>
        <w:r w:rsidR="00E76515">
          <w:rPr>
            <w:noProof/>
            <w:webHidden/>
          </w:rPr>
          <w:tab/>
        </w:r>
        <w:r>
          <w:rPr>
            <w:noProof/>
            <w:webHidden/>
          </w:rPr>
          <w:fldChar w:fldCharType="begin"/>
        </w:r>
        <w:r w:rsidR="00E76515">
          <w:rPr>
            <w:noProof/>
            <w:webHidden/>
          </w:rPr>
          <w:instrText xml:space="preserve"> PAGEREF _Toc474639044 \h </w:instrText>
        </w:r>
        <w:r>
          <w:rPr>
            <w:noProof/>
            <w:webHidden/>
          </w:rPr>
        </w:r>
        <w:r>
          <w:rPr>
            <w:noProof/>
            <w:webHidden/>
          </w:rPr>
          <w:fldChar w:fldCharType="separate"/>
        </w:r>
        <w:r w:rsidR="00AF29C3">
          <w:rPr>
            <w:noProof/>
            <w:webHidden/>
          </w:rPr>
          <w:t>290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5" w:history="1">
        <w:r w:rsidR="00E76515" w:rsidRPr="00AB0391">
          <w:rPr>
            <w:rStyle w:val="Hyperlink"/>
            <w:noProof/>
          </w:rPr>
          <w:t>Table 8.1: Delta Implications for Agriculture</w:t>
        </w:r>
        <w:r w:rsidR="00E76515">
          <w:rPr>
            <w:noProof/>
            <w:webHidden/>
          </w:rPr>
          <w:tab/>
        </w:r>
        <w:r>
          <w:rPr>
            <w:noProof/>
            <w:webHidden/>
          </w:rPr>
          <w:fldChar w:fldCharType="begin"/>
        </w:r>
        <w:r w:rsidR="00E76515">
          <w:rPr>
            <w:noProof/>
            <w:webHidden/>
          </w:rPr>
          <w:instrText xml:space="preserve"> PAGEREF _Toc474639045 \h </w:instrText>
        </w:r>
        <w:r>
          <w:rPr>
            <w:noProof/>
            <w:webHidden/>
          </w:rPr>
        </w:r>
        <w:r>
          <w:rPr>
            <w:noProof/>
            <w:webHidden/>
          </w:rPr>
          <w:fldChar w:fldCharType="separate"/>
        </w:r>
        <w:r w:rsidR="00AF29C3">
          <w:rPr>
            <w:noProof/>
            <w:webHidden/>
          </w:rPr>
          <w:t>311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6" w:history="1">
        <w:r w:rsidR="00E76515" w:rsidRPr="00AB0391">
          <w:rPr>
            <w:rStyle w:val="Hyperlink"/>
            <w:noProof/>
            <w:shd w:val="clear" w:color="auto" w:fill="FFFFFF"/>
          </w:rPr>
          <w:t>Table 8.2: Changing Structure of Agricultural Production in Bangladesh  (% Constant Prices)</w:t>
        </w:r>
        <w:r w:rsidR="00E76515">
          <w:rPr>
            <w:noProof/>
            <w:webHidden/>
          </w:rPr>
          <w:tab/>
        </w:r>
        <w:r>
          <w:rPr>
            <w:noProof/>
            <w:webHidden/>
          </w:rPr>
          <w:fldChar w:fldCharType="begin"/>
        </w:r>
        <w:r w:rsidR="00E76515">
          <w:rPr>
            <w:noProof/>
            <w:webHidden/>
          </w:rPr>
          <w:instrText xml:space="preserve"> PAGEREF _Toc474639046 \h </w:instrText>
        </w:r>
        <w:r>
          <w:rPr>
            <w:noProof/>
            <w:webHidden/>
          </w:rPr>
        </w:r>
        <w:r>
          <w:rPr>
            <w:noProof/>
            <w:webHidden/>
          </w:rPr>
          <w:fldChar w:fldCharType="separate"/>
        </w:r>
        <w:r w:rsidR="00AF29C3">
          <w:rPr>
            <w:noProof/>
            <w:webHidden/>
          </w:rPr>
          <w:t>313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7" w:history="1">
        <w:r w:rsidR="00E76515" w:rsidRPr="00AB0391">
          <w:rPr>
            <w:rStyle w:val="Hyperlink"/>
            <w:noProof/>
            <w:shd w:val="clear" w:color="auto" w:fill="FFFFFF"/>
          </w:rPr>
          <w:t>Table 8.3: Growth Performance of Agriculture and Sub-sectors, FY1972-15</w:t>
        </w:r>
        <w:r w:rsidR="00E76515">
          <w:rPr>
            <w:noProof/>
            <w:webHidden/>
          </w:rPr>
          <w:tab/>
        </w:r>
        <w:r>
          <w:rPr>
            <w:noProof/>
            <w:webHidden/>
          </w:rPr>
          <w:fldChar w:fldCharType="begin"/>
        </w:r>
        <w:r w:rsidR="00E76515">
          <w:rPr>
            <w:noProof/>
            <w:webHidden/>
          </w:rPr>
          <w:instrText xml:space="preserve"> PAGEREF _Toc474639047 \h </w:instrText>
        </w:r>
        <w:r>
          <w:rPr>
            <w:noProof/>
            <w:webHidden/>
          </w:rPr>
        </w:r>
        <w:r>
          <w:rPr>
            <w:noProof/>
            <w:webHidden/>
          </w:rPr>
          <w:fldChar w:fldCharType="separate"/>
        </w:r>
        <w:r w:rsidR="00AF29C3">
          <w:rPr>
            <w:noProof/>
            <w:webHidden/>
          </w:rPr>
          <w:t>313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8" w:history="1">
        <w:r w:rsidR="00E76515" w:rsidRPr="00AB0391">
          <w:rPr>
            <w:rStyle w:val="Hyperlink"/>
            <w:noProof/>
            <w:shd w:val="clear" w:color="auto" w:fill="FFFFFF"/>
          </w:rPr>
          <w:t>Table 8.4: Average Annual Production of Major Crops and Livestock  (‘000 MT)</w:t>
        </w:r>
        <w:r w:rsidR="00E76515">
          <w:rPr>
            <w:noProof/>
            <w:webHidden/>
          </w:rPr>
          <w:tab/>
        </w:r>
        <w:r>
          <w:rPr>
            <w:noProof/>
            <w:webHidden/>
          </w:rPr>
          <w:fldChar w:fldCharType="begin"/>
        </w:r>
        <w:r w:rsidR="00E76515">
          <w:rPr>
            <w:noProof/>
            <w:webHidden/>
          </w:rPr>
          <w:instrText xml:space="preserve"> PAGEREF _Toc474639048 \h </w:instrText>
        </w:r>
        <w:r>
          <w:rPr>
            <w:noProof/>
            <w:webHidden/>
          </w:rPr>
        </w:r>
        <w:r>
          <w:rPr>
            <w:noProof/>
            <w:webHidden/>
          </w:rPr>
          <w:fldChar w:fldCharType="separate"/>
        </w:r>
        <w:r w:rsidR="00AF29C3">
          <w:rPr>
            <w:noProof/>
            <w:webHidden/>
          </w:rPr>
          <w:t>314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49" w:history="1">
        <w:r w:rsidR="00E76515" w:rsidRPr="00AB0391">
          <w:rPr>
            <w:rStyle w:val="Hyperlink"/>
            <w:noProof/>
          </w:rPr>
          <w:t>Table 8.5: Evolution of the Fisheries Sector by Source</w:t>
        </w:r>
        <w:r w:rsidR="00E76515">
          <w:rPr>
            <w:noProof/>
            <w:webHidden/>
          </w:rPr>
          <w:tab/>
        </w:r>
        <w:r>
          <w:rPr>
            <w:noProof/>
            <w:webHidden/>
          </w:rPr>
          <w:fldChar w:fldCharType="begin"/>
        </w:r>
        <w:r w:rsidR="00E76515">
          <w:rPr>
            <w:noProof/>
            <w:webHidden/>
          </w:rPr>
          <w:instrText xml:space="preserve"> PAGEREF _Toc474639049 \h </w:instrText>
        </w:r>
        <w:r>
          <w:rPr>
            <w:noProof/>
            <w:webHidden/>
          </w:rPr>
        </w:r>
        <w:r>
          <w:rPr>
            <w:noProof/>
            <w:webHidden/>
          </w:rPr>
          <w:fldChar w:fldCharType="separate"/>
        </w:r>
        <w:r w:rsidR="00AF29C3">
          <w:rPr>
            <w:noProof/>
            <w:webHidden/>
          </w:rPr>
          <w:t>316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0" w:history="1">
        <w:r w:rsidR="00E76515" w:rsidRPr="00AB0391">
          <w:rPr>
            <w:rStyle w:val="Hyperlink"/>
            <w:noProof/>
          </w:rPr>
          <w:t>Table 8.6: National Livestock Production (Animal Numbers 000s)</w:t>
        </w:r>
        <w:r w:rsidR="00E76515">
          <w:rPr>
            <w:noProof/>
            <w:webHidden/>
          </w:rPr>
          <w:tab/>
        </w:r>
        <w:r>
          <w:rPr>
            <w:noProof/>
            <w:webHidden/>
          </w:rPr>
          <w:fldChar w:fldCharType="begin"/>
        </w:r>
        <w:r w:rsidR="00E76515">
          <w:rPr>
            <w:noProof/>
            <w:webHidden/>
          </w:rPr>
          <w:instrText xml:space="preserve"> PAGEREF _Toc474639050 \h </w:instrText>
        </w:r>
        <w:r>
          <w:rPr>
            <w:noProof/>
            <w:webHidden/>
          </w:rPr>
        </w:r>
        <w:r>
          <w:rPr>
            <w:noProof/>
            <w:webHidden/>
          </w:rPr>
          <w:fldChar w:fldCharType="separate"/>
        </w:r>
        <w:r w:rsidR="00AF29C3">
          <w:rPr>
            <w:noProof/>
            <w:webHidden/>
          </w:rPr>
          <w:t>316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1" w:history="1">
        <w:r w:rsidR="00E76515" w:rsidRPr="00AB0391">
          <w:rPr>
            <w:rStyle w:val="Hyperlink"/>
            <w:noProof/>
          </w:rPr>
          <w:t>Table 8.7: Per capita Availability of major food items (1994-2011)</w:t>
        </w:r>
        <w:r w:rsidR="00E76515">
          <w:rPr>
            <w:noProof/>
            <w:webHidden/>
          </w:rPr>
          <w:tab/>
        </w:r>
        <w:r>
          <w:rPr>
            <w:noProof/>
            <w:webHidden/>
          </w:rPr>
          <w:fldChar w:fldCharType="begin"/>
        </w:r>
        <w:r w:rsidR="00E76515">
          <w:rPr>
            <w:noProof/>
            <w:webHidden/>
          </w:rPr>
          <w:instrText xml:space="preserve"> PAGEREF _Toc474639051 \h </w:instrText>
        </w:r>
        <w:r>
          <w:rPr>
            <w:noProof/>
            <w:webHidden/>
          </w:rPr>
        </w:r>
        <w:r>
          <w:rPr>
            <w:noProof/>
            <w:webHidden/>
          </w:rPr>
          <w:fldChar w:fldCharType="separate"/>
        </w:r>
        <w:r w:rsidR="00AF29C3">
          <w:rPr>
            <w:noProof/>
            <w:webHidden/>
          </w:rPr>
          <w:t>317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2" w:history="1">
        <w:r w:rsidR="00E76515" w:rsidRPr="00AB0391">
          <w:rPr>
            <w:rStyle w:val="Hyperlink"/>
            <w:noProof/>
          </w:rPr>
          <w:t>Table 8.8: Frequency of Household Food Shortages</w:t>
        </w:r>
        <w:r w:rsidR="00E76515">
          <w:rPr>
            <w:noProof/>
            <w:webHidden/>
          </w:rPr>
          <w:tab/>
        </w:r>
        <w:r>
          <w:rPr>
            <w:noProof/>
            <w:webHidden/>
          </w:rPr>
          <w:fldChar w:fldCharType="begin"/>
        </w:r>
        <w:r w:rsidR="00E76515">
          <w:rPr>
            <w:noProof/>
            <w:webHidden/>
          </w:rPr>
          <w:instrText xml:space="preserve"> PAGEREF _Toc474639052 \h </w:instrText>
        </w:r>
        <w:r>
          <w:rPr>
            <w:noProof/>
            <w:webHidden/>
          </w:rPr>
        </w:r>
        <w:r>
          <w:rPr>
            <w:noProof/>
            <w:webHidden/>
          </w:rPr>
          <w:fldChar w:fldCharType="separate"/>
        </w:r>
        <w:r w:rsidR="00AF29C3">
          <w:rPr>
            <w:noProof/>
            <w:webHidden/>
          </w:rPr>
          <w:t>318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3" w:history="1">
        <w:r w:rsidR="00E76515" w:rsidRPr="00AB0391">
          <w:rPr>
            <w:rStyle w:val="Hyperlink"/>
            <w:noProof/>
          </w:rPr>
          <w:t>Table 8.9: Consumption of different food items (gm/person/day)</w:t>
        </w:r>
        <w:r w:rsidR="00E76515">
          <w:rPr>
            <w:noProof/>
            <w:webHidden/>
          </w:rPr>
          <w:tab/>
        </w:r>
        <w:r>
          <w:rPr>
            <w:noProof/>
            <w:webHidden/>
          </w:rPr>
          <w:fldChar w:fldCharType="begin"/>
        </w:r>
        <w:r w:rsidR="00E76515">
          <w:rPr>
            <w:noProof/>
            <w:webHidden/>
          </w:rPr>
          <w:instrText xml:space="preserve"> PAGEREF _Toc474639053 \h </w:instrText>
        </w:r>
        <w:r>
          <w:rPr>
            <w:noProof/>
            <w:webHidden/>
          </w:rPr>
        </w:r>
        <w:r>
          <w:rPr>
            <w:noProof/>
            <w:webHidden/>
          </w:rPr>
          <w:fldChar w:fldCharType="separate"/>
        </w:r>
        <w:r w:rsidR="00AF29C3">
          <w:rPr>
            <w:noProof/>
            <w:webHidden/>
          </w:rPr>
          <w:t>319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4" w:history="1">
        <w:r w:rsidR="00E76515" w:rsidRPr="00AB0391">
          <w:rPr>
            <w:rStyle w:val="Hyperlink"/>
            <w:noProof/>
          </w:rPr>
          <w:t>Table 8.10: Climate Change and Potential Impacts on Agriculture</w:t>
        </w:r>
        <w:r w:rsidR="00E76515">
          <w:rPr>
            <w:noProof/>
            <w:webHidden/>
          </w:rPr>
          <w:tab/>
        </w:r>
        <w:r>
          <w:rPr>
            <w:noProof/>
            <w:webHidden/>
          </w:rPr>
          <w:fldChar w:fldCharType="begin"/>
        </w:r>
        <w:r w:rsidR="00E76515">
          <w:rPr>
            <w:noProof/>
            <w:webHidden/>
          </w:rPr>
          <w:instrText xml:space="preserve"> PAGEREF _Toc474639054 \h </w:instrText>
        </w:r>
        <w:r>
          <w:rPr>
            <w:noProof/>
            <w:webHidden/>
          </w:rPr>
        </w:r>
        <w:r>
          <w:rPr>
            <w:noProof/>
            <w:webHidden/>
          </w:rPr>
          <w:fldChar w:fldCharType="separate"/>
        </w:r>
        <w:r w:rsidR="00AF29C3">
          <w:rPr>
            <w:noProof/>
            <w:webHidden/>
          </w:rPr>
          <w:t>324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5" w:history="1">
        <w:r w:rsidR="00E76515" w:rsidRPr="00AB0391">
          <w:rPr>
            <w:rStyle w:val="Hyperlink"/>
            <w:noProof/>
          </w:rPr>
          <w:t>Table 8.11: Climate Change Factors and Impacts</w:t>
        </w:r>
        <w:r w:rsidR="00E76515">
          <w:rPr>
            <w:noProof/>
            <w:webHidden/>
          </w:rPr>
          <w:tab/>
        </w:r>
        <w:r>
          <w:rPr>
            <w:noProof/>
            <w:webHidden/>
          </w:rPr>
          <w:fldChar w:fldCharType="begin"/>
        </w:r>
        <w:r w:rsidR="00E76515">
          <w:rPr>
            <w:noProof/>
            <w:webHidden/>
          </w:rPr>
          <w:instrText xml:space="preserve"> PAGEREF _Toc474639055 \h </w:instrText>
        </w:r>
        <w:r>
          <w:rPr>
            <w:noProof/>
            <w:webHidden/>
          </w:rPr>
        </w:r>
        <w:r>
          <w:rPr>
            <w:noProof/>
            <w:webHidden/>
          </w:rPr>
          <w:fldChar w:fldCharType="separate"/>
        </w:r>
        <w:r w:rsidR="00AF29C3">
          <w:rPr>
            <w:noProof/>
            <w:webHidden/>
          </w:rPr>
          <w:t>327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6" w:history="1">
        <w:r w:rsidR="00E76515" w:rsidRPr="00AB0391">
          <w:rPr>
            <w:rStyle w:val="Hyperlink"/>
            <w:noProof/>
          </w:rPr>
          <w:t>Table 8.12: Summary of Key Adaptation Options for Agriculture in Southeast Asia</w:t>
        </w:r>
        <w:r w:rsidR="00E76515">
          <w:rPr>
            <w:noProof/>
            <w:webHidden/>
          </w:rPr>
          <w:tab/>
        </w:r>
        <w:r>
          <w:rPr>
            <w:noProof/>
            <w:webHidden/>
          </w:rPr>
          <w:fldChar w:fldCharType="begin"/>
        </w:r>
        <w:r w:rsidR="00E76515">
          <w:rPr>
            <w:noProof/>
            <w:webHidden/>
          </w:rPr>
          <w:instrText xml:space="preserve"> PAGEREF _Toc474639056 \h </w:instrText>
        </w:r>
        <w:r>
          <w:rPr>
            <w:noProof/>
            <w:webHidden/>
          </w:rPr>
        </w:r>
        <w:r>
          <w:rPr>
            <w:noProof/>
            <w:webHidden/>
          </w:rPr>
          <w:fldChar w:fldCharType="separate"/>
        </w:r>
        <w:r w:rsidR="00AF29C3">
          <w:rPr>
            <w:noProof/>
            <w:webHidden/>
          </w:rPr>
          <w:t>329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7" w:history="1">
        <w:r w:rsidR="00E76515" w:rsidRPr="00AB0391">
          <w:rPr>
            <w:rStyle w:val="Hyperlink"/>
            <w:noProof/>
          </w:rPr>
          <w:t>Table 8.13: Summary of Key Adaptation Options in Forestry Sector</w:t>
        </w:r>
        <w:r w:rsidR="00E76515">
          <w:rPr>
            <w:noProof/>
            <w:webHidden/>
          </w:rPr>
          <w:tab/>
        </w:r>
        <w:r>
          <w:rPr>
            <w:noProof/>
            <w:webHidden/>
          </w:rPr>
          <w:fldChar w:fldCharType="begin"/>
        </w:r>
        <w:r w:rsidR="00E76515">
          <w:rPr>
            <w:noProof/>
            <w:webHidden/>
          </w:rPr>
          <w:instrText xml:space="preserve"> PAGEREF _Toc474639057 \h </w:instrText>
        </w:r>
        <w:r>
          <w:rPr>
            <w:noProof/>
            <w:webHidden/>
          </w:rPr>
        </w:r>
        <w:r>
          <w:rPr>
            <w:noProof/>
            <w:webHidden/>
          </w:rPr>
          <w:fldChar w:fldCharType="separate"/>
        </w:r>
        <w:r w:rsidR="00AF29C3">
          <w:rPr>
            <w:noProof/>
            <w:webHidden/>
          </w:rPr>
          <w:t>331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8" w:history="1">
        <w:r w:rsidR="00E76515" w:rsidRPr="00AB0391">
          <w:rPr>
            <w:rStyle w:val="Hyperlink"/>
            <w:noProof/>
          </w:rPr>
          <w:t>Table 8.14: Adaptation Options: A summary</w:t>
        </w:r>
        <w:r w:rsidR="00E76515">
          <w:rPr>
            <w:noProof/>
            <w:webHidden/>
          </w:rPr>
          <w:tab/>
        </w:r>
        <w:r>
          <w:rPr>
            <w:noProof/>
            <w:webHidden/>
          </w:rPr>
          <w:fldChar w:fldCharType="begin"/>
        </w:r>
        <w:r w:rsidR="00E76515">
          <w:rPr>
            <w:noProof/>
            <w:webHidden/>
          </w:rPr>
          <w:instrText xml:space="preserve"> PAGEREF _Toc474639058 \h </w:instrText>
        </w:r>
        <w:r>
          <w:rPr>
            <w:noProof/>
            <w:webHidden/>
          </w:rPr>
        </w:r>
        <w:r>
          <w:rPr>
            <w:noProof/>
            <w:webHidden/>
          </w:rPr>
          <w:fldChar w:fldCharType="separate"/>
        </w:r>
        <w:r w:rsidR="00AF29C3">
          <w:rPr>
            <w:noProof/>
            <w:webHidden/>
          </w:rPr>
          <w:t>335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59" w:history="1">
        <w:r w:rsidR="00E76515" w:rsidRPr="00AB0391">
          <w:rPr>
            <w:rStyle w:val="Hyperlink"/>
            <w:noProof/>
          </w:rPr>
          <w:t>Table 8.15: Technology Generation and Innovations in Bangladesh Agriculture, 2004-14</w:t>
        </w:r>
        <w:r w:rsidR="00E76515">
          <w:rPr>
            <w:noProof/>
            <w:webHidden/>
          </w:rPr>
          <w:tab/>
        </w:r>
        <w:r>
          <w:rPr>
            <w:noProof/>
            <w:webHidden/>
          </w:rPr>
          <w:fldChar w:fldCharType="begin"/>
        </w:r>
        <w:r w:rsidR="00E76515">
          <w:rPr>
            <w:noProof/>
            <w:webHidden/>
          </w:rPr>
          <w:instrText xml:space="preserve"> PAGEREF _Toc474639059 \h </w:instrText>
        </w:r>
        <w:r>
          <w:rPr>
            <w:noProof/>
            <w:webHidden/>
          </w:rPr>
        </w:r>
        <w:r>
          <w:rPr>
            <w:noProof/>
            <w:webHidden/>
          </w:rPr>
          <w:fldChar w:fldCharType="separate"/>
        </w:r>
        <w:r w:rsidR="00AF29C3">
          <w:rPr>
            <w:noProof/>
            <w:webHidden/>
          </w:rPr>
          <w:t>346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0" w:history="1">
        <w:r w:rsidR="00E76515" w:rsidRPr="00AB0391">
          <w:rPr>
            <w:rStyle w:val="Hyperlink"/>
            <w:noProof/>
          </w:rPr>
          <w:t>Table 8.16: Number of Cultivars Registered for Notified Crops, 2000–14</w:t>
        </w:r>
        <w:r w:rsidR="00E76515">
          <w:rPr>
            <w:noProof/>
            <w:webHidden/>
          </w:rPr>
          <w:tab/>
        </w:r>
        <w:r>
          <w:rPr>
            <w:noProof/>
            <w:webHidden/>
          </w:rPr>
          <w:fldChar w:fldCharType="begin"/>
        </w:r>
        <w:r w:rsidR="00E76515">
          <w:rPr>
            <w:noProof/>
            <w:webHidden/>
          </w:rPr>
          <w:instrText xml:space="preserve"> PAGEREF _Toc474639060 \h </w:instrText>
        </w:r>
        <w:r>
          <w:rPr>
            <w:noProof/>
            <w:webHidden/>
          </w:rPr>
        </w:r>
        <w:r>
          <w:rPr>
            <w:noProof/>
            <w:webHidden/>
          </w:rPr>
          <w:fldChar w:fldCharType="separate"/>
        </w:r>
        <w:r w:rsidR="00AF29C3">
          <w:rPr>
            <w:noProof/>
            <w:webHidden/>
          </w:rPr>
          <w:t>346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1" w:history="1">
        <w:r w:rsidR="00E76515" w:rsidRPr="00AB0391">
          <w:rPr>
            <w:rStyle w:val="Hyperlink"/>
            <w:noProof/>
          </w:rPr>
          <w:t xml:space="preserve">Table 8.17: Food Demand (million </w:t>
        </w:r>
        <w:r w:rsidR="00FE6385">
          <w:rPr>
            <w:rStyle w:val="Hyperlink"/>
            <w:noProof/>
          </w:rPr>
          <w:t>tonne</w:t>
        </w:r>
        <w:r w:rsidR="00E76515" w:rsidRPr="00AB0391">
          <w:rPr>
            <w:rStyle w:val="Hyperlink"/>
            <w:noProof/>
          </w:rPr>
          <w:t>) (Scenario 1)</w:t>
        </w:r>
        <w:r w:rsidR="00E76515">
          <w:rPr>
            <w:noProof/>
            <w:webHidden/>
          </w:rPr>
          <w:tab/>
        </w:r>
        <w:r>
          <w:rPr>
            <w:noProof/>
            <w:webHidden/>
          </w:rPr>
          <w:fldChar w:fldCharType="begin"/>
        </w:r>
        <w:r w:rsidR="00E76515">
          <w:rPr>
            <w:noProof/>
            <w:webHidden/>
          </w:rPr>
          <w:instrText xml:space="preserve"> PAGEREF _Toc474639061 \h </w:instrText>
        </w:r>
        <w:r>
          <w:rPr>
            <w:noProof/>
            <w:webHidden/>
          </w:rPr>
        </w:r>
        <w:r>
          <w:rPr>
            <w:noProof/>
            <w:webHidden/>
          </w:rPr>
          <w:fldChar w:fldCharType="separate"/>
        </w:r>
        <w:r w:rsidR="00AF29C3">
          <w:rPr>
            <w:noProof/>
            <w:webHidden/>
          </w:rPr>
          <w:t>351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2" w:history="1">
        <w:r w:rsidR="00E76515" w:rsidRPr="00AB0391">
          <w:rPr>
            <w:rStyle w:val="Hyperlink"/>
            <w:noProof/>
          </w:rPr>
          <w:t xml:space="preserve">Table 8.18: Food Demand (million </w:t>
        </w:r>
        <w:r w:rsidR="00FE6385">
          <w:rPr>
            <w:rStyle w:val="Hyperlink"/>
            <w:noProof/>
          </w:rPr>
          <w:t>tonne</w:t>
        </w:r>
        <w:r w:rsidR="00E76515" w:rsidRPr="00AB0391">
          <w:rPr>
            <w:rStyle w:val="Hyperlink"/>
            <w:noProof/>
          </w:rPr>
          <w:t>) (Scenario 2)</w:t>
        </w:r>
        <w:r w:rsidR="00E76515">
          <w:rPr>
            <w:noProof/>
            <w:webHidden/>
          </w:rPr>
          <w:tab/>
        </w:r>
        <w:r>
          <w:rPr>
            <w:noProof/>
            <w:webHidden/>
          </w:rPr>
          <w:fldChar w:fldCharType="begin"/>
        </w:r>
        <w:r w:rsidR="00E76515">
          <w:rPr>
            <w:noProof/>
            <w:webHidden/>
          </w:rPr>
          <w:instrText xml:space="preserve"> PAGEREF _Toc474639062 \h </w:instrText>
        </w:r>
        <w:r>
          <w:rPr>
            <w:noProof/>
            <w:webHidden/>
          </w:rPr>
        </w:r>
        <w:r>
          <w:rPr>
            <w:noProof/>
            <w:webHidden/>
          </w:rPr>
          <w:fldChar w:fldCharType="separate"/>
        </w:r>
        <w:r w:rsidR="00AF29C3">
          <w:rPr>
            <w:noProof/>
            <w:webHidden/>
          </w:rPr>
          <w:t>352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3" w:history="1">
        <w:r w:rsidR="00E76515" w:rsidRPr="00AB0391">
          <w:rPr>
            <w:rStyle w:val="Hyperlink"/>
            <w:noProof/>
          </w:rPr>
          <w:t>Table 8.19: Climate Change Risks, Impact and Adaptation Practices</w:t>
        </w:r>
        <w:r w:rsidR="00E76515">
          <w:rPr>
            <w:noProof/>
            <w:webHidden/>
          </w:rPr>
          <w:tab/>
        </w:r>
        <w:r>
          <w:rPr>
            <w:noProof/>
            <w:webHidden/>
          </w:rPr>
          <w:fldChar w:fldCharType="begin"/>
        </w:r>
        <w:r w:rsidR="00E76515">
          <w:rPr>
            <w:noProof/>
            <w:webHidden/>
          </w:rPr>
          <w:instrText xml:space="preserve"> PAGEREF _Toc474639063 \h </w:instrText>
        </w:r>
        <w:r>
          <w:rPr>
            <w:noProof/>
            <w:webHidden/>
          </w:rPr>
        </w:r>
        <w:r>
          <w:rPr>
            <w:noProof/>
            <w:webHidden/>
          </w:rPr>
          <w:fldChar w:fldCharType="separate"/>
        </w:r>
        <w:r w:rsidR="00AF29C3">
          <w:rPr>
            <w:noProof/>
            <w:webHidden/>
          </w:rPr>
          <w:t>352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4" w:history="1">
        <w:r w:rsidR="00E76515" w:rsidRPr="00AB0391">
          <w:rPr>
            <w:rStyle w:val="Hyperlink"/>
            <w:noProof/>
          </w:rPr>
          <w:t>Table 8.20: Climate Change Risks for Ecosystems and Potential livelihood Impacts, South Asia</w:t>
        </w:r>
        <w:r w:rsidR="00E76515">
          <w:rPr>
            <w:noProof/>
            <w:webHidden/>
          </w:rPr>
          <w:tab/>
        </w:r>
        <w:r>
          <w:rPr>
            <w:noProof/>
            <w:webHidden/>
          </w:rPr>
          <w:fldChar w:fldCharType="begin"/>
        </w:r>
        <w:r w:rsidR="00E76515">
          <w:rPr>
            <w:noProof/>
            <w:webHidden/>
          </w:rPr>
          <w:instrText xml:space="preserve"> PAGEREF _Toc474639064 \h </w:instrText>
        </w:r>
        <w:r>
          <w:rPr>
            <w:noProof/>
            <w:webHidden/>
          </w:rPr>
        </w:r>
        <w:r>
          <w:rPr>
            <w:noProof/>
            <w:webHidden/>
          </w:rPr>
          <w:fldChar w:fldCharType="separate"/>
        </w:r>
        <w:r w:rsidR="00AF29C3">
          <w:rPr>
            <w:noProof/>
            <w:webHidden/>
          </w:rPr>
          <w:t>366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5" w:history="1">
        <w:r w:rsidR="00E76515" w:rsidRPr="00AB0391">
          <w:rPr>
            <w:rStyle w:val="Hyperlink"/>
            <w:noProof/>
          </w:rPr>
          <w:t>Table 8.21: Rice Production by Hotspots 2013-2014</w:t>
        </w:r>
        <w:r w:rsidR="00E76515">
          <w:rPr>
            <w:noProof/>
            <w:webHidden/>
          </w:rPr>
          <w:tab/>
        </w:r>
        <w:r>
          <w:rPr>
            <w:noProof/>
            <w:webHidden/>
          </w:rPr>
          <w:fldChar w:fldCharType="begin"/>
        </w:r>
        <w:r w:rsidR="00E76515">
          <w:rPr>
            <w:noProof/>
            <w:webHidden/>
          </w:rPr>
          <w:instrText xml:space="preserve"> PAGEREF _Toc474639065 \h </w:instrText>
        </w:r>
        <w:r>
          <w:rPr>
            <w:noProof/>
            <w:webHidden/>
          </w:rPr>
        </w:r>
        <w:r>
          <w:rPr>
            <w:noProof/>
            <w:webHidden/>
          </w:rPr>
          <w:fldChar w:fldCharType="separate"/>
        </w:r>
        <w:r w:rsidR="00AF29C3">
          <w:rPr>
            <w:noProof/>
            <w:webHidden/>
          </w:rPr>
          <w:t>367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6" w:history="1">
        <w:r w:rsidR="00E76515" w:rsidRPr="00AB0391">
          <w:rPr>
            <w:rStyle w:val="Hyperlink"/>
            <w:noProof/>
          </w:rPr>
          <w:t xml:space="preserve">Table 8.22:  Fisheries Production by Hotspots 2013-14 (metric </w:t>
        </w:r>
        <w:r w:rsidR="00FE6385">
          <w:rPr>
            <w:rStyle w:val="Hyperlink"/>
            <w:noProof/>
          </w:rPr>
          <w:t>tonne</w:t>
        </w:r>
        <w:r w:rsidR="00E76515" w:rsidRPr="00AB0391">
          <w:rPr>
            <w:rStyle w:val="Hyperlink"/>
            <w:noProof/>
          </w:rPr>
          <w:t>)</w:t>
        </w:r>
        <w:r w:rsidR="00E76515">
          <w:rPr>
            <w:noProof/>
            <w:webHidden/>
          </w:rPr>
          <w:tab/>
        </w:r>
        <w:r>
          <w:rPr>
            <w:noProof/>
            <w:webHidden/>
          </w:rPr>
          <w:fldChar w:fldCharType="begin"/>
        </w:r>
        <w:r w:rsidR="00E76515">
          <w:rPr>
            <w:noProof/>
            <w:webHidden/>
          </w:rPr>
          <w:instrText xml:space="preserve"> PAGEREF _Toc474639066 \h </w:instrText>
        </w:r>
        <w:r>
          <w:rPr>
            <w:noProof/>
            <w:webHidden/>
          </w:rPr>
        </w:r>
        <w:r>
          <w:rPr>
            <w:noProof/>
            <w:webHidden/>
          </w:rPr>
          <w:fldChar w:fldCharType="separate"/>
        </w:r>
        <w:r w:rsidR="00AF29C3">
          <w:rPr>
            <w:noProof/>
            <w:webHidden/>
          </w:rPr>
          <w:t>368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7" w:history="1">
        <w:r w:rsidR="00E76515" w:rsidRPr="00AB0391">
          <w:rPr>
            <w:rStyle w:val="Hyperlink"/>
            <w:noProof/>
            <w:shd w:val="clear" w:color="auto" w:fill="FFFFFF"/>
          </w:rPr>
          <w:t>Table 9.1: Major Inland Waterway Networks in Europe and Asia</w:t>
        </w:r>
        <w:r w:rsidR="00E76515">
          <w:rPr>
            <w:noProof/>
            <w:webHidden/>
          </w:rPr>
          <w:tab/>
        </w:r>
        <w:r>
          <w:rPr>
            <w:noProof/>
            <w:webHidden/>
          </w:rPr>
          <w:fldChar w:fldCharType="begin"/>
        </w:r>
        <w:r w:rsidR="00E76515">
          <w:rPr>
            <w:noProof/>
            <w:webHidden/>
          </w:rPr>
          <w:instrText xml:space="preserve"> PAGEREF _Toc474639067 \h </w:instrText>
        </w:r>
        <w:r>
          <w:rPr>
            <w:noProof/>
            <w:webHidden/>
          </w:rPr>
        </w:r>
        <w:r>
          <w:rPr>
            <w:noProof/>
            <w:webHidden/>
          </w:rPr>
          <w:fldChar w:fldCharType="separate"/>
        </w:r>
        <w:r w:rsidR="00AF29C3">
          <w:rPr>
            <w:noProof/>
            <w:webHidden/>
          </w:rPr>
          <w:t>383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8" w:history="1">
        <w:r w:rsidR="00E76515" w:rsidRPr="00AB0391">
          <w:rPr>
            <w:rStyle w:val="Hyperlink"/>
            <w:noProof/>
          </w:rPr>
          <w:t xml:space="preserve">Table 9.2: Rate of Fare and Freight of Different Modes of </w:t>
        </w:r>
        <w:r w:rsidR="006B79BB">
          <w:rPr>
            <w:rStyle w:val="Hyperlink"/>
            <w:noProof/>
          </w:rPr>
          <w:t>Public</w:t>
        </w:r>
        <w:r w:rsidR="00E76515" w:rsidRPr="00AB0391">
          <w:rPr>
            <w:rStyle w:val="Hyperlink"/>
            <w:noProof/>
          </w:rPr>
          <w:t xml:space="preserve"> Transport</w:t>
        </w:r>
        <w:r w:rsidR="00E76515">
          <w:rPr>
            <w:noProof/>
            <w:webHidden/>
          </w:rPr>
          <w:tab/>
        </w:r>
        <w:r>
          <w:rPr>
            <w:noProof/>
            <w:webHidden/>
          </w:rPr>
          <w:fldChar w:fldCharType="begin"/>
        </w:r>
        <w:r w:rsidR="00E76515">
          <w:rPr>
            <w:noProof/>
            <w:webHidden/>
          </w:rPr>
          <w:instrText xml:space="preserve"> PAGEREF _Toc474639068 \h </w:instrText>
        </w:r>
        <w:r>
          <w:rPr>
            <w:noProof/>
            <w:webHidden/>
          </w:rPr>
        </w:r>
        <w:r>
          <w:rPr>
            <w:noProof/>
            <w:webHidden/>
          </w:rPr>
          <w:fldChar w:fldCharType="separate"/>
        </w:r>
        <w:r w:rsidR="00AF29C3">
          <w:rPr>
            <w:noProof/>
            <w:webHidden/>
          </w:rPr>
          <w:t>387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69" w:history="1">
        <w:r w:rsidR="00E76515" w:rsidRPr="00AB0391">
          <w:rPr>
            <w:rStyle w:val="Hyperlink"/>
            <w:noProof/>
          </w:rPr>
          <w:t xml:space="preserve">Table 9.3: Comparison of Cargo Tariff by Modes (BDT/ </w:t>
        </w:r>
        <w:r w:rsidR="00FE6385">
          <w:rPr>
            <w:rStyle w:val="Hyperlink"/>
            <w:noProof/>
          </w:rPr>
          <w:t>tonne</w:t>
        </w:r>
        <w:r w:rsidR="00E76515" w:rsidRPr="00AB0391">
          <w:rPr>
            <w:rStyle w:val="Hyperlink"/>
            <w:noProof/>
          </w:rPr>
          <w:t>-km)</w:t>
        </w:r>
        <w:r w:rsidR="00E76515">
          <w:rPr>
            <w:noProof/>
            <w:webHidden/>
          </w:rPr>
          <w:tab/>
        </w:r>
        <w:r>
          <w:rPr>
            <w:noProof/>
            <w:webHidden/>
          </w:rPr>
          <w:fldChar w:fldCharType="begin"/>
        </w:r>
        <w:r w:rsidR="00E76515">
          <w:rPr>
            <w:noProof/>
            <w:webHidden/>
          </w:rPr>
          <w:instrText xml:space="preserve"> PAGEREF _Toc474639069 \h </w:instrText>
        </w:r>
        <w:r>
          <w:rPr>
            <w:noProof/>
            <w:webHidden/>
          </w:rPr>
        </w:r>
        <w:r>
          <w:rPr>
            <w:noProof/>
            <w:webHidden/>
          </w:rPr>
          <w:fldChar w:fldCharType="separate"/>
        </w:r>
        <w:r w:rsidR="00AF29C3">
          <w:rPr>
            <w:noProof/>
            <w:webHidden/>
          </w:rPr>
          <w:t>387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0" w:history="1">
        <w:r w:rsidR="00E76515" w:rsidRPr="00AB0391">
          <w:rPr>
            <w:rStyle w:val="Hyperlink"/>
            <w:noProof/>
          </w:rPr>
          <w:t>Table 9.4: Productivity of Different Modes</w:t>
        </w:r>
        <w:r w:rsidR="00E76515">
          <w:rPr>
            <w:noProof/>
            <w:webHidden/>
          </w:rPr>
          <w:tab/>
        </w:r>
        <w:r>
          <w:rPr>
            <w:noProof/>
            <w:webHidden/>
          </w:rPr>
          <w:fldChar w:fldCharType="begin"/>
        </w:r>
        <w:r w:rsidR="00E76515">
          <w:rPr>
            <w:noProof/>
            <w:webHidden/>
          </w:rPr>
          <w:instrText xml:space="preserve"> PAGEREF _Toc474639070 \h </w:instrText>
        </w:r>
        <w:r>
          <w:rPr>
            <w:noProof/>
            <w:webHidden/>
          </w:rPr>
        </w:r>
        <w:r>
          <w:rPr>
            <w:noProof/>
            <w:webHidden/>
          </w:rPr>
          <w:fldChar w:fldCharType="separate"/>
        </w:r>
        <w:r w:rsidR="00AF29C3">
          <w:rPr>
            <w:noProof/>
            <w:webHidden/>
          </w:rPr>
          <w:t>388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1" w:history="1">
        <w:r w:rsidR="00E76515" w:rsidRPr="00AB0391">
          <w:rPr>
            <w:rStyle w:val="Hyperlink"/>
            <w:noProof/>
          </w:rPr>
          <w:t>Table 9.5: Inland Waterway Route Classification</w:t>
        </w:r>
        <w:r w:rsidR="00E76515">
          <w:rPr>
            <w:noProof/>
            <w:webHidden/>
          </w:rPr>
          <w:tab/>
        </w:r>
        <w:r>
          <w:rPr>
            <w:noProof/>
            <w:webHidden/>
          </w:rPr>
          <w:fldChar w:fldCharType="begin"/>
        </w:r>
        <w:r w:rsidR="00E76515">
          <w:rPr>
            <w:noProof/>
            <w:webHidden/>
          </w:rPr>
          <w:instrText xml:space="preserve"> PAGEREF _Toc474639071 \h </w:instrText>
        </w:r>
        <w:r>
          <w:rPr>
            <w:noProof/>
            <w:webHidden/>
          </w:rPr>
        </w:r>
        <w:r>
          <w:rPr>
            <w:noProof/>
            <w:webHidden/>
          </w:rPr>
          <w:fldChar w:fldCharType="separate"/>
        </w:r>
        <w:r w:rsidR="00AF29C3">
          <w:rPr>
            <w:noProof/>
            <w:webHidden/>
          </w:rPr>
          <w:t>389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2" w:history="1">
        <w:r w:rsidR="00E76515" w:rsidRPr="00AB0391">
          <w:rPr>
            <w:rStyle w:val="Hyperlink"/>
            <w:noProof/>
          </w:rPr>
          <w:t>Table 9.6: Classified IWT Routes (I &amp; II)</w:t>
        </w:r>
        <w:r w:rsidR="00E76515">
          <w:rPr>
            <w:noProof/>
            <w:webHidden/>
          </w:rPr>
          <w:tab/>
        </w:r>
        <w:r>
          <w:rPr>
            <w:noProof/>
            <w:webHidden/>
          </w:rPr>
          <w:fldChar w:fldCharType="begin"/>
        </w:r>
        <w:r w:rsidR="00E76515">
          <w:rPr>
            <w:noProof/>
            <w:webHidden/>
          </w:rPr>
          <w:instrText xml:space="preserve"> PAGEREF _Toc474639072 \h </w:instrText>
        </w:r>
        <w:r>
          <w:rPr>
            <w:noProof/>
            <w:webHidden/>
          </w:rPr>
        </w:r>
        <w:r>
          <w:rPr>
            <w:noProof/>
            <w:webHidden/>
          </w:rPr>
          <w:fldChar w:fldCharType="separate"/>
        </w:r>
        <w:r w:rsidR="00AF29C3">
          <w:rPr>
            <w:noProof/>
            <w:webHidden/>
          </w:rPr>
          <w:t>390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3" w:history="1">
        <w:r w:rsidR="00E76515" w:rsidRPr="00AB0391">
          <w:rPr>
            <w:rStyle w:val="Hyperlink"/>
            <w:noProof/>
          </w:rPr>
          <w:t>Table 9.7: Core Waterways Network Recommended in the Master Plan, 2009</w:t>
        </w:r>
        <w:r w:rsidR="00E76515">
          <w:rPr>
            <w:noProof/>
            <w:webHidden/>
          </w:rPr>
          <w:tab/>
        </w:r>
        <w:r>
          <w:rPr>
            <w:noProof/>
            <w:webHidden/>
          </w:rPr>
          <w:fldChar w:fldCharType="begin"/>
        </w:r>
        <w:r w:rsidR="00E76515">
          <w:rPr>
            <w:noProof/>
            <w:webHidden/>
          </w:rPr>
          <w:instrText xml:space="preserve"> PAGEREF _Toc474639073 \h </w:instrText>
        </w:r>
        <w:r>
          <w:rPr>
            <w:noProof/>
            <w:webHidden/>
          </w:rPr>
        </w:r>
        <w:r>
          <w:rPr>
            <w:noProof/>
            <w:webHidden/>
          </w:rPr>
          <w:fldChar w:fldCharType="separate"/>
        </w:r>
        <w:r w:rsidR="00AF29C3">
          <w:rPr>
            <w:noProof/>
            <w:webHidden/>
          </w:rPr>
          <w:t>391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4" w:history="1">
        <w:r w:rsidR="00E76515" w:rsidRPr="00AB0391">
          <w:rPr>
            <w:rStyle w:val="Hyperlink"/>
            <w:noProof/>
          </w:rPr>
          <w:t>Table 9.8: Passenger Service Routes</w:t>
        </w:r>
        <w:r w:rsidR="00E76515">
          <w:rPr>
            <w:noProof/>
            <w:webHidden/>
          </w:rPr>
          <w:tab/>
        </w:r>
        <w:r>
          <w:rPr>
            <w:noProof/>
            <w:webHidden/>
          </w:rPr>
          <w:fldChar w:fldCharType="begin"/>
        </w:r>
        <w:r w:rsidR="00E76515">
          <w:rPr>
            <w:noProof/>
            <w:webHidden/>
          </w:rPr>
          <w:instrText xml:space="preserve"> PAGEREF _Toc474639074 \h </w:instrText>
        </w:r>
        <w:r>
          <w:rPr>
            <w:noProof/>
            <w:webHidden/>
          </w:rPr>
        </w:r>
        <w:r>
          <w:rPr>
            <w:noProof/>
            <w:webHidden/>
          </w:rPr>
          <w:fldChar w:fldCharType="separate"/>
        </w:r>
        <w:r w:rsidR="00AF29C3">
          <w:rPr>
            <w:noProof/>
            <w:webHidden/>
          </w:rPr>
          <w:t>393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5" w:history="1">
        <w:r w:rsidR="00E76515" w:rsidRPr="00AB0391">
          <w:rPr>
            <w:rStyle w:val="Hyperlink"/>
            <w:noProof/>
          </w:rPr>
          <w:t>Table 9.9: Major IWT Cargo Service Routes</w:t>
        </w:r>
        <w:r w:rsidR="00E76515">
          <w:rPr>
            <w:noProof/>
            <w:webHidden/>
          </w:rPr>
          <w:tab/>
        </w:r>
        <w:r>
          <w:rPr>
            <w:noProof/>
            <w:webHidden/>
          </w:rPr>
          <w:fldChar w:fldCharType="begin"/>
        </w:r>
        <w:r w:rsidR="00E76515">
          <w:rPr>
            <w:noProof/>
            <w:webHidden/>
          </w:rPr>
          <w:instrText xml:space="preserve"> PAGEREF _Toc474639075 \h </w:instrText>
        </w:r>
        <w:r>
          <w:rPr>
            <w:noProof/>
            <w:webHidden/>
          </w:rPr>
        </w:r>
        <w:r>
          <w:rPr>
            <w:noProof/>
            <w:webHidden/>
          </w:rPr>
          <w:fldChar w:fldCharType="separate"/>
        </w:r>
        <w:r w:rsidR="00AF29C3">
          <w:rPr>
            <w:noProof/>
            <w:webHidden/>
          </w:rPr>
          <w:t>393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6" w:history="1">
        <w:r w:rsidR="00E76515" w:rsidRPr="00AB0391">
          <w:rPr>
            <w:rStyle w:val="Hyperlink"/>
            <w:noProof/>
          </w:rPr>
          <w:t>Table 9.10: Ferry Services Routes</w:t>
        </w:r>
        <w:r w:rsidR="00E76515">
          <w:rPr>
            <w:noProof/>
            <w:webHidden/>
          </w:rPr>
          <w:tab/>
        </w:r>
        <w:r>
          <w:rPr>
            <w:noProof/>
            <w:webHidden/>
          </w:rPr>
          <w:fldChar w:fldCharType="begin"/>
        </w:r>
        <w:r w:rsidR="00E76515">
          <w:rPr>
            <w:noProof/>
            <w:webHidden/>
          </w:rPr>
          <w:instrText xml:space="preserve"> PAGEREF _Toc474639076 \h </w:instrText>
        </w:r>
        <w:r>
          <w:rPr>
            <w:noProof/>
            <w:webHidden/>
          </w:rPr>
        </w:r>
        <w:r>
          <w:rPr>
            <w:noProof/>
            <w:webHidden/>
          </w:rPr>
          <w:fldChar w:fldCharType="separate"/>
        </w:r>
        <w:r w:rsidR="00AF29C3">
          <w:rPr>
            <w:noProof/>
            <w:webHidden/>
          </w:rPr>
          <w:t>394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7" w:history="1">
        <w:r w:rsidR="00E76515" w:rsidRPr="00AB0391">
          <w:rPr>
            <w:rStyle w:val="Hyperlink"/>
            <w:noProof/>
          </w:rPr>
          <w:t>Table 9.11: Income &amp; Expenditure of BIWTA (Figure in Lakhs Tk.)</w:t>
        </w:r>
        <w:r w:rsidR="00E76515">
          <w:rPr>
            <w:noProof/>
            <w:webHidden/>
          </w:rPr>
          <w:tab/>
        </w:r>
        <w:r>
          <w:rPr>
            <w:noProof/>
            <w:webHidden/>
          </w:rPr>
          <w:fldChar w:fldCharType="begin"/>
        </w:r>
        <w:r w:rsidR="00E76515">
          <w:rPr>
            <w:noProof/>
            <w:webHidden/>
          </w:rPr>
          <w:instrText xml:space="preserve"> PAGEREF _Toc474639077 \h </w:instrText>
        </w:r>
        <w:r>
          <w:rPr>
            <w:noProof/>
            <w:webHidden/>
          </w:rPr>
        </w:r>
        <w:r>
          <w:rPr>
            <w:noProof/>
            <w:webHidden/>
          </w:rPr>
          <w:fldChar w:fldCharType="separate"/>
        </w:r>
        <w:r w:rsidR="00AF29C3">
          <w:rPr>
            <w:noProof/>
            <w:webHidden/>
          </w:rPr>
          <w:t>394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8" w:history="1">
        <w:r w:rsidR="00E76515" w:rsidRPr="00AB0391">
          <w:rPr>
            <w:rStyle w:val="Hyperlink"/>
            <w:noProof/>
          </w:rPr>
          <w:t>Table 9.12: Drivers in Different Region of Bangladesh</w:t>
        </w:r>
        <w:r w:rsidR="00E76515">
          <w:rPr>
            <w:noProof/>
            <w:webHidden/>
          </w:rPr>
          <w:tab/>
        </w:r>
        <w:r>
          <w:rPr>
            <w:noProof/>
            <w:webHidden/>
          </w:rPr>
          <w:fldChar w:fldCharType="begin"/>
        </w:r>
        <w:r w:rsidR="00E76515">
          <w:rPr>
            <w:noProof/>
            <w:webHidden/>
          </w:rPr>
          <w:instrText xml:space="preserve"> PAGEREF _Toc474639078 \h </w:instrText>
        </w:r>
        <w:r>
          <w:rPr>
            <w:noProof/>
            <w:webHidden/>
          </w:rPr>
        </w:r>
        <w:r>
          <w:rPr>
            <w:noProof/>
            <w:webHidden/>
          </w:rPr>
          <w:fldChar w:fldCharType="separate"/>
        </w:r>
        <w:r w:rsidR="00AF29C3">
          <w:rPr>
            <w:noProof/>
            <w:webHidden/>
          </w:rPr>
          <w:t>396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79" w:history="1">
        <w:r w:rsidR="00E76515" w:rsidRPr="00AB0391">
          <w:rPr>
            <w:rStyle w:val="Hyperlink"/>
            <w:noProof/>
          </w:rPr>
          <w:t>Table 9.13: Cargo Transport Costs and Revenue with Head load and with Equipment</w:t>
        </w:r>
        <w:r w:rsidR="00E76515">
          <w:rPr>
            <w:noProof/>
            <w:webHidden/>
          </w:rPr>
          <w:tab/>
        </w:r>
        <w:r>
          <w:rPr>
            <w:noProof/>
            <w:webHidden/>
          </w:rPr>
          <w:fldChar w:fldCharType="begin"/>
        </w:r>
        <w:r w:rsidR="00E76515">
          <w:rPr>
            <w:noProof/>
            <w:webHidden/>
          </w:rPr>
          <w:instrText xml:space="preserve"> PAGEREF _Toc474639079 \h </w:instrText>
        </w:r>
        <w:r>
          <w:rPr>
            <w:noProof/>
            <w:webHidden/>
          </w:rPr>
        </w:r>
        <w:r>
          <w:rPr>
            <w:noProof/>
            <w:webHidden/>
          </w:rPr>
          <w:fldChar w:fldCharType="separate"/>
        </w:r>
        <w:r w:rsidR="00AF29C3">
          <w:rPr>
            <w:noProof/>
            <w:webHidden/>
          </w:rPr>
          <w:t>402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0" w:history="1">
        <w:r w:rsidR="00E76515" w:rsidRPr="00AB0391">
          <w:rPr>
            <w:rStyle w:val="Hyperlink"/>
            <w:noProof/>
          </w:rPr>
          <w:t>Table 9.14: Average Turnaround Time in handing vessels</w:t>
        </w:r>
        <w:r w:rsidR="00E76515">
          <w:rPr>
            <w:noProof/>
            <w:webHidden/>
          </w:rPr>
          <w:tab/>
        </w:r>
        <w:r>
          <w:rPr>
            <w:noProof/>
            <w:webHidden/>
          </w:rPr>
          <w:fldChar w:fldCharType="begin"/>
        </w:r>
        <w:r w:rsidR="00E76515">
          <w:rPr>
            <w:noProof/>
            <w:webHidden/>
          </w:rPr>
          <w:instrText xml:space="preserve"> PAGEREF _Toc474639080 \h </w:instrText>
        </w:r>
        <w:r>
          <w:rPr>
            <w:noProof/>
            <w:webHidden/>
          </w:rPr>
        </w:r>
        <w:r>
          <w:rPr>
            <w:noProof/>
            <w:webHidden/>
          </w:rPr>
          <w:fldChar w:fldCharType="separate"/>
        </w:r>
        <w:r w:rsidR="00AF29C3">
          <w:rPr>
            <w:noProof/>
            <w:webHidden/>
          </w:rPr>
          <w:t>402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1" w:history="1">
        <w:r w:rsidR="00E76515" w:rsidRPr="00AB0391">
          <w:rPr>
            <w:rStyle w:val="Hyperlink"/>
            <w:noProof/>
          </w:rPr>
          <w:t>Table 9.15: Maritime Accidents and Fatalities: 2000-14</w:t>
        </w:r>
        <w:r w:rsidR="00E76515">
          <w:rPr>
            <w:noProof/>
            <w:webHidden/>
          </w:rPr>
          <w:tab/>
        </w:r>
        <w:r>
          <w:rPr>
            <w:noProof/>
            <w:webHidden/>
          </w:rPr>
          <w:fldChar w:fldCharType="begin"/>
        </w:r>
        <w:r w:rsidR="00E76515">
          <w:rPr>
            <w:noProof/>
            <w:webHidden/>
          </w:rPr>
          <w:instrText xml:space="preserve"> PAGEREF _Toc474639081 \h </w:instrText>
        </w:r>
        <w:r>
          <w:rPr>
            <w:noProof/>
            <w:webHidden/>
          </w:rPr>
        </w:r>
        <w:r>
          <w:rPr>
            <w:noProof/>
            <w:webHidden/>
          </w:rPr>
          <w:fldChar w:fldCharType="separate"/>
        </w:r>
        <w:r w:rsidR="00AF29C3">
          <w:rPr>
            <w:noProof/>
            <w:webHidden/>
          </w:rPr>
          <w:t>403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2" w:history="1">
        <w:r w:rsidR="00E76515" w:rsidRPr="00AB0391">
          <w:rPr>
            <w:rStyle w:val="Hyperlink"/>
            <w:noProof/>
          </w:rPr>
          <w:t>Table 9.16: Hydrographic Survey of Waterways</w:t>
        </w:r>
        <w:r w:rsidR="00E76515">
          <w:rPr>
            <w:noProof/>
            <w:webHidden/>
          </w:rPr>
          <w:tab/>
        </w:r>
        <w:r>
          <w:rPr>
            <w:noProof/>
            <w:webHidden/>
          </w:rPr>
          <w:fldChar w:fldCharType="begin"/>
        </w:r>
        <w:r w:rsidR="00E76515">
          <w:rPr>
            <w:noProof/>
            <w:webHidden/>
          </w:rPr>
          <w:instrText xml:space="preserve"> PAGEREF _Toc474639082 \h </w:instrText>
        </w:r>
        <w:r>
          <w:rPr>
            <w:noProof/>
            <w:webHidden/>
          </w:rPr>
        </w:r>
        <w:r>
          <w:rPr>
            <w:noProof/>
            <w:webHidden/>
          </w:rPr>
          <w:fldChar w:fldCharType="separate"/>
        </w:r>
        <w:r w:rsidR="00AF29C3">
          <w:rPr>
            <w:noProof/>
            <w:webHidden/>
          </w:rPr>
          <w:t>408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3" w:history="1">
        <w:r w:rsidR="00E76515" w:rsidRPr="00AB0391">
          <w:rPr>
            <w:rStyle w:val="Hyperlink"/>
            <w:noProof/>
          </w:rPr>
          <w:t>Table 9.17: Total Volume of Dredging: FY2006-FY2015</w:t>
        </w:r>
        <w:r w:rsidR="00E76515">
          <w:rPr>
            <w:noProof/>
            <w:webHidden/>
          </w:rPr>
          <w:tab/>
        </w:r>
        <w:r>
          <w:rPr>
            <w:noProof/>
            <w:webHidden/>
          </w:rPr>
          <w:fldChar w:fldCharType="begin"/>
        </w:r>
        <w:r w:rsidR="00E76515">
          <w:rPr>
            <w:noProof/>
            <w:webHidden/>
          </w:rPr>
          <w:instrText xml:space="preserve"> PAGEREF _Toc474639083 \h </w:instrText>
        </w:r>
        <w:r>
          <w:rPr>
            <w:noProof/>
            <w:webHidden/>
          </w:rPr>
        </w:r>
        <w:r>
          <w:rPr>
            <w:noProof/>
            <w:webHidden/>
          </w:rPr>
          <w:fldChar w:fldCharType="separate"/>
        </w:r>
        <w:r w:rsidR="00AF29C3">
          <w:rPr>
            <w:noProof/>
            <w:webHidden/>
          </w:rPr>
          <w:t>409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4" w:history="1">
        <w:r w:rsidR="00E76515" w:rsidRPr="00AB0391">
          <w:rPr>
            <w:rStyle w:val="Hyperlink"/>
            <w:noProof/>
          </w:rPr>
          <w:t>Table 9.18: Dredging Volume in the Ferry Routes</w:t>
        </w:r>
        <w:r w:rsidR="00E76515">
          <w:rPr>
            <w:noProof/>
            <w:webHidden/>
          </w:rPr>
          <w:tab/>
        </w:r>
        <w:r>
          <w:rPr>
            <w:noProof/>
            <w:webHidden/>
          </w:rPr>
          <w:fldChar w:fldCharType="begin"/>
        </w:r>
        <w:r w:rsidR="00E76515">
          <w:rPr>
            <w:noProof/>
            <w:webHidden/>
          </w:rPr>
          <w:instrText xml:space="preserve"> PAGEREF _Toc474639084 \h </w:instrText>
        </w:r>
        <w:r>
          <w:rPr>
            <w:noProof/>
            <w:webHidden/>
          </w:rPr>
        </w:r>
        <w:r>
          <w:rPr>
            <w:noProof/>
            <w:webHidden/>
          </w:rPr>
          <w:fldChar w:fldCharType="separate"/>
        </w:r>
        <w:r w:rsidR="00AF29C3">
          <w:rPr>
            <w:noProof/>
            <w:webHidden/>
          </w:rPr>
          <w:t>410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5" w:history="1">
        <w:r w:rsidR="00E76515" w:rsidRPr="00AB0391">
          <w:rPr>
            <w:rStyle w:val="Hyperlink"/>
            <w:noProof/>
          </w:rPr>
          <w:t>Table 9.19: Estimated Dredging Requirement</w:t>
        </w:r>
        <w:r w:rsidR="00E76515">
          <w:rPr>
            <w:noProof/>
            <w:webHidden/>
          </w:rPr>
          <w:tab/>
        </w:r>
        <w:r>
          <w:rPr>
            <w:noProof/>
            <w:webHidden/>
          </w:rPr>
          <w:fldChar w:fldCharType="begin"/>
        </w:r>
        <w:r w:rsidR="00E76515">
          <w:rPr>
            <w:noProof/>
            <w:webHidden/>
          </w:rPr>
          <w:instrText xml:space="preserve"> PAGEREF _Toc474639085 \h </w:instrText>
        </w:r>
        <w:r>
          <w:rPr>
            <w:noProof/>
            <w:webHidden/>
          </w:rPr>
        </w:r>
        <w:r>
          <w:rPr>
            <w:noProof/>
            <w:webHidden/>
          </w:rPr>
          <w:fldChar w:fldCharType="separate"/>
        </w:r>
        <w:r w:rsidR="00AF29C3">
          <w:rPr>
            <w:noProof/>
            <w:webHidden/>
          </w:rPr>
          <w:t>410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6" w:history="1">
        <w:r w:rsidR="00E76515" w:rsidRPr="00AB0391">
          <w:rPr>
            <w:rStyle w:val="Hyperlink"/>
            <w:noProof/>
          </w:rPr>
          <w:t>Table 9.20: Existing Dredger Fleet of BIWTA</w:t>
        </w:r>
        <w:r w:rsidR="00E76515">
          <w:rPr>
            <w:noProof/>
            <w:webHidden/>
          </w:rPr>
          <w:tab/>
        </w:r>
        <w:r>
          <w:rPr>
            <w:noProof/>
            <w:webHidden/>
          </w:rPr>
          <w:fldChar w:fldCharType="begin"/>
        </w:r>
        <w:r w:rsidR="00E76515">
          <w:rPr>
            <w:noProof/>
            <w:webHidden/>
          </w:rPr>
          <w:instrText xml:space="preserve"> PAGEREF _Toc474639086 \h </w:instrText>
        </w:r>
        <w:r>
          <w:rPr>
            <w:noProof/>
            <w:webHidden/>
          </w:rPr>
        </w:r>
        <w:r>
          <w:rPr>
            <w:noProof/>
            <w:webHidden/>
          </w:rPr>
          <w:fldChar w:fldCharType="separate"/>
        </w:r>
        <w:r w:rsidR="00AF29C3">
          <w:rPr>
            <w:noProof/>
            <w:webHidden/>
          </w:rPr>
          <w:t>412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7" w:history="1">
        <w:r w:rsidR="00E76515" w:rsidRPr="00AB0391">
          <w:rPr>
            <w:rStyle w:val="Hyperlink"/>
            <w:noProof/>
          </w:rPr>
          <w:t>Table 9.21: Private Sector Participation in Navigation Dredging</w:t>
        </w:r>
        <w:r w:rsidR="00E76515">
          <w:rPr>
            <w:noProof/>
            <w:webHidden/>
          </w:rPr>
          <w:tab/>
        </w:r>
        <w:r>
          <w:rPr>
            <w:noProof/>
            <w:webHidden/>
          </w:rPr>
          <w:fldChar w:fldCharType="begin"/>
        </w:r>
        <w:r w:rsidR="00E76515">
          <w:rPr>
            <w:noProof/>
            <w:webHidden/>
          </w:rPr>
          <w:instrText xml:space="preserve"> PAGEREF _Toc474639087 \h </w:instrText>
        </w:r>
        <w:r>
          <w:rPr>
            <w:noProof/>
            <w:webHidden/>
          </w:rPr>
        </w:r>
        <w:r>
          <w:rPr>
            <w:noProof/>
            <w:webHidden/>
          </w:rPr>
          <w:fldChar w:fldCharType="separate"/>
        </w:r>
        <w:r w:rsidR="00AF29C3">
          <w:rPr>
            <w:noProof/>
            <w:webHidden/>
          </w:rPr>
          <w:t>413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8" w:history="1">
        <w:r w:rsidR="00E76515" w:rsidRPr="00AB0391">
          <w:rPr>
            <w:rStyle w:val="Hyperlink"/>
            <w:noProof/>
          </w:rPr>
          <w:t>Table 9.22: Dredging Volume in the Haor Area</w:t>
        </w:r>
        <w:r w:rsidR="00E76515">
          <w:rPr>
            <w:noProof/>
            <w:webHidden/>
          </w:rPr>
          <w:tab/>
        </w:r>
        <w:r>
          <w:rPr>
            <w:noProof/>
            <w:webHidden/>
          </w:rPr>
          <w:fldChar w:fldCharType="begin"/>
        </w:r>
        <w:r w:rsidR="00E76515">
          <w:rPr>
            <w:noProof/>
            <w:webHidden/>
          </w:rPr>
          <w:instrText xml:space="preserve"> PAGEREF _Toc474639088 \h </w:instrText>
        </w:r>
        <w:r>
          <w:rPr>
            <w:noProof/>
            <w:webHidden/>
          </w:rPr>
        </w:r>
        <w:r>
          <w:rPr>
            <w:noProof/>
            <w:webHidden/>
          </w:rPr>
          <w:fldChar w:fldCharType="separate"/>
        </w:r>
        <w:r w:rsidR="00AF29C3">
          <w:rPr>
            <w:noProof/>
            <w:webHidden/>
          </w:rPr>
          <w:t>414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89" w:history="1">
        <w:r w:rsidR="00E76515" w:rsidRPr="00AB0391">
          <w:rPr>
            <w:rStyle w:val="Hyperlink"/>
            <w:noProof/>
          </w:rPr>
          <w:t>Table 9.23: Equipment of Navigational Aids in Waterways</w:t>
        </w:r>
        <w:r w:rsidR="00E76515">
          <w:rPr>
            <w:noProof/>
            <w:webHidden/>
          </w:rPr>
          <w:tab/>
        </w:r>
        <w:r>
          <w:rPr>
            <w:noProof/>
            <w:webHidden/>
          </w:rPr>
          <w:fldChar w:fldCharType="begin"/>
        </w:r>
        <w:r w:rsidR="00E76515">
          <w:rPr>
            <w:noProof/>
            <w:webHidden/>
          </w:rPr>
          <w:instrText xml:space="preserve"> PAGEREF _Toc474639089 \h </w:instrText>
        </w:r>
        <w:r>
          <w:rPr>
            <w:noProof/>
            <w:webHidden/>
          </w:rPr>
        </w:r>
        <w:r>
          <w:rPr>
            <w:noProof/>
            <w:webHidden/>
          </w:rPr>
          <w:fldChar w:fldCharType="separate"/>
        </w:r>
        <w:r w:rsidR="00AF29C3">
          <w:rPr>
            <w:noProof/>
            <w:webHidden/>
          </w:rPr>
          <w:t>415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0" w:history="1">
        <w:r w:rsidR="00E76515" w:rsidRPr="00AB0391">
          <w:rPr>
            <w:rStyle w:val="Hyperlink"/>
            <w:noProof/>
          </w:rPr>
          <w:t>Table 9.24:  Aids to day/night Navigation</w:t>
        </w:r>
        <w:r w:rsidR="00E76515">
          <w:rPr>
            <w:noProof/>
            <w:webHidden/>
          </w:rPr>
          <w:tab/>
        </w:r>
        <w:r>
          <w:rPr>
            <w:noProof/>
            <w:webHidden/>
          </w:rPr>
          <w:fldChar w:fldCharType="begin"/>
        </w:r>
        <w:r w:rsidR="00E76515">
          <w:rPr>
            <w:noProof/>
            <w:webHidden/>
          </w:rPr>
          <w:instrText xml:space="preserve"> PAGEREF _Toc474639090 \h </w:instrText>
        </w:r>
        <w:r>
          <w:rPr>
            <w:noProof/>
            <w:webHidden/>
          </w:rPr>
        </w:r>
        <w:r>
          <w:rPr>
            <w:noProof/>
            <w:webHidden/>
          </w:rPr>
          <w:fldChar w:fldCharType="separate"/>
        </w:r>
        <w:r w:rsidR="00AF29C3">
          <w:rPr>
            <w:noProof/>
            <w:webHidden/>
          </w:rPr>
          <w:t>415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1" w:history="1">
        <w:r w:rsidR="00E76515" w:rsidRPr="00AB0391">
          <w:rPr>
            <w:rStyle w:val="Hyperlink"/>
            <w:noProof/>
          </w:rPr>
          <w:t>Table 9.25: Total Number of Passengers and Cargo Handled by Inland Waterways</w:t>
        </w:r>
        <w:r w:rsidR="00E76515">
          <w:rPr>
            <w:noProof/>
            <w:webHidden/>
          </w:rPr>
          <w:tab/>
        </w:r>
        <w:r>
          <w:rPr>
            <w:noProof/>
            <w:webHidden/>
          </w:rPr>
          <w:fldChar w:fldCharType="begin"/>
        </w:r>
        <w:r w:rsidR="00E76515">
          <w:rPr>
            <w:noProof/>
            <w:webHidden/>
          </w:rPr>
          <w:instrText xml:space="preserve"> PAGEREF _Toc474639091 \h </w:instrText>
        </w:r>
        <w:r>
          <w:rPr>
            <w:noProof/>
            <w:webHidden/>
          </w:rPr>
        </w:r>
        <w:r>
          <w:rPr>
            <w:noProof/>
            <w:webHidden/>
          </w:rPr>
          <w:fldChar w:fldCharType="separate"/>
        </w:r>
        <w:r w:rsidR="00AF29C3">
          <w:rPr>
            <w:noProof/>
            <w:webHidden/>
          </w:rPr>
          <w:t>417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2" w:history="1">
        <w:r w:rsidR="00E76515" w:rsidRPr="00AB0391">
          <w:rPr>
            <w:rStyle w:val="Hyperlink"/>
            <w:noProof/>
          </w:rPr>
          <w:t>Table 9.26: Passenger and Cargo Throughputs of River Ports (taka million)</w:t>
        </w:r>
        <w:r w:rsidR="00E76515">
          <w:rPr>
            <w:noProof/>
            <w:webHidden/>
          </w:rPr>
          <w:tab/>
        </w:r>
        <w:r>
          <w:rPr>
            <w:noProof/>
            <w:webHidden/>
          </w:rPr>
          <w:fldChar w:fldCharType="begin"/>
        </w:r>
        <w:r w:rsidR="00E76515">
          <w:rPr>
            <w:noProof/>
            <w:webHidden/>
          </w:rPr>
          <w:instrText xml:space="preserve"> PAGEREF _Toc474639092 \h </w:instrText>
        </w:r>
        <w:r>
          <w:rPr>
            <w:noProof/>
            <w:webHidden/>
          </w:rPr>
        </w:r>
        <w:r>
          <w:rPr>
            <w:noProof/>
            <w:webHidden/>
          </w:rPr>
          <w:fldChar w:fldCharType="separate"/>
        </w:r>
        <w:r w:rsidR="00AF29C3">
          <w:rPr>
            <w:noProof/>
            <w:webHidden/>
          </w:rPr>
          <w:t>417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3" w:history="1">
        <w:r w:rsidR="00E76515" w:rsidRPr="00AB0391">
          <w:rPr>
            <w:rStyle w:val="Hyperlink"/>
            <w:noProof/>
          </w:rPr>
          <w:t>Table 9.27: Cargo Handled by the Chittagong Port (</w:t>
        </w:r>
        <w:r w:rsidR="00E76515" w:rsidRPr="00AB0391">
          <w:rPr>
            <w:rStyle w:val="Hyperlink"/>
            <w:rFonts w:eastAsia="Times New Roman"/>
            <w:noProof/>
          </w:rPr>
          <w:t xml:space="preserve">metric </w:t>
        </w:r>
        <w:r w:rsidR="00FE6385">
          <w:rPr>
            <w:rStyle w:val="Hyperlink"/>
            <w:rFonts w:eastAsia="Times New Roman"/>
            <w:noProof/>
          </w:rPr>
          <w:t>tonne</w:t>
        </w:r>
        <w:r w:rsidR="00E76515" w:rsidRPr="00AB0391">
          <w:rPr>
            <w:rStyle w:val="Hyperlink"/>
            <w:rFonts w:eastAsia="Times New Roman"/>
            <w:noProof/>
          </w:rPr>
          <w:t>s)</w:t>
        </w:r>
        <w:r w:rsidR="00E76515">
          <w:rPr>
            <w:noProof/>
            <w:webHidden/>
          </w:rPr>
          <w:tab/>
        </w:r>
        <w:r>
          <w:rPr>
            <w:noProof/>
            <w:webHidden/>
          </w:rPr>
          <w:fldChar w:fldCharType="begin"/>
        </w:r>
        <w:r w:rsidR="00E76515">
          <w:rPr>
            <w:noProof/>
            <w:webHidden/>
          </w:rPr>
          <w:instrText xml:space="preserve"> PAGEREF _Toc474639093 \h </w:instrText>
        </w:r>
        <w:r>
          <w:rPr>
            <w:noProof/>
            <w:webHidden/>
          </w:rPr>
        </w:r>
        <w:r>
          <w:rPr>
            <w:noProof/>
            <w:webHidden/>
          </w:rPr>
          <w:fldChar w:fldCharType="separate"/>
        </w:r>
        <w:r w:rsidR="00AF29C3">
          <w:rPr>
            <w:noProof/>
            <w:webHidden/>
          </w:rPr>
          <w:t>418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4" w:history="1">
        <w:r w:rsidR="00E76515" w:rsidRPr="00AB0391">
          <w:rPr>
            <w:rStyle w:val="Hyperlink"/>
            <w:noProof/>
          </w:rPr>
          <w:t>Table 9.28: Projection of IWT Container Traffic (000TEU)</w:t>
        </w:r>
        <w:r w:rsidR="00E76515">
          <w:rPr>
            <w:noProof/>
            <w:webHidden/>
          </w:rPr>
          <w:tab/>
        </w:r>
        <w:r>
          <w:rPr>
            <w:noProof/>
            <w:webHidden/>
          </w:rPr>
          <w:fldChar w:fldCharType="begin"/>
        </w:r>
        <w:r w:rsidR="00E76515">
          <w:rPr>
            <w:noProof/>
            <w:webHidden/>
          </w:rPr>
          <w:instrText xml:space="preserve"> PAGEREF _Toc474639094 \h </w:instrText>
        </w:r>
        <w:r>
          <w:rPr>
            <w:noProof/>
            <w:webHidden/>
          </w:rPr>
        </w:r>
        <w:r>
          <w:rPr>
            <w:noProof/>
            <w:webHidden/>
          </w:rPr>
          <w:fldChar w:fldCharType="separate"/>
        </w:r>
        <w:r w:rsidR="00AF29C3">
          <w:rPr>
            <w:noProof/>
            <w:webHidden/>
          </w:rPr>
          <w:t>419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5" w:history="1">
        <w:r w:rsidR="00E76515" w:rsidRPr="00AB0391">
          <w:rPr>
            <w:rStyle w:val="Hyperlink"/>
            <w:noProof/>
          </w:rPr>
          <w:t>Table 9.29: Movements of Vessels &amp; Cargo under PIWTT</w:t>
        </w:r>
        <w:r w:rsidR="00E76515">
          <w:rPr>
            <w:noProof/>
            <w:webHidden/>
          </w:rPr>
          <w:tab/>
        </w:r>
        <w:r>
          <w:rPr>
            <w:noProof/>
            <w:webHidden/>
          </w:rPr>
          <w:fldChar w:fldCharType="begin"/>
        </w:r>
        <w:r w:rsidR="00E76515">
          <w:rPr>
            <w:noProof/>
            <w:webHidden/>
          </w:rPr>
          <w:instrText xml:space="preserve"> PAGEREF _Toc474639095 \h </w:instrText>
        </w:r>
        <w:r>
          <w:rPr>
            <w:noProof/>
            <w:webHidden/>
          </w:rPr>
        </w:r>
        <w:r>
          <w:rPr>
            <w:noProof/>
            <w:webHidden/>
          </w:rPr>
          <w:fldChar w:fldCharType="separate"/>
        </w:r>
        <w:r w:rsidR="00AF29C3">
          <w:rPr>
            <w:noProof/>
            <w:webHidden/>
          </w:rPr>
          <w:t>420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6" w:history="1">
        <w:r w:rsidR="00E76515" w:rsidRPr="00AB0391">
          <w:rPr>
            <w:rStyle w:val="Hyperlink"/>
            <w:noProof/>
          </w:rPr>
          <w:t xml:space="preserve">Table 9.30: Cargo of India-Bangladesh Bilateral Trade (in </w:t>
        </w:r>
        <w:r w:rsidR="00FE6385">
          <w:rPr>
            <w:rStyle w:val="Hyperlink"/>
            <w:noProof/>
          </w:rPr>
          <w:t>tonne</w:t>
        </w:r>
        <w:r w:rsidR="00E76515" w:rsidRPr="00AB0391">
          <w:rPr>
            <w:rStyle w:val="Hyperlink"/>
            <w:noProof/>
          </w:rPr>
          <w:t>)</w:t>
        </w:r>
        <w:r w:rsidR="00E76515">
          <w:rPr>
            <w:noProof/>
            <w:webHidden/>
          </w:rPr>
          <w:tab/>
        </w:r>
        <w:r>
          <w:rPr>
            <w:noProof/>
            <w:webHidden/>
          </w:rPr>
          <w:fldChar w:fldCharType="begin"/>
        </w:r>
        <w:r w:rsidR="00E76515">
          <w:rPr>
            <w:noProof/>
            <w:webHidden/>
          </w:rPr>
          <w:instrText xml:space="preserve"> PAGEREF _Toc474639096 \h </w:instrText>
        </w:r>
        <w:r>
          <w:rPr>
            <w:noProof/>
            <w:webHidden/>
          </w:rPr>
        </w:r>
        <w:r>
          <w:rPr>
            <w:noProof/>
            <w:webHidden/>
          </w:rPr>
          <w:fldChar w:fldCharType="separate"/>
        </w:r>
        <w:r w:rsidR="00AF29C3">
          <w:rPr>
            <w:noProof/>
            <w:webHidden/>
          </w:rPr>
          <w:t>420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7" w:history="1">
        <w:r w:rsidR="00E76515" w:rsidRPr="00AB0391">
          <w:rPr>
            <w:rStyle w:val="Hyperlink"/>
            <w:noProof/>
          </w:rPr>
          <w:t>Table 9.31: Volume of IWT Transit Trade</w:t>
        </w:r>
        <w:r w:rsidR="00E76515">
          <w:rPr>
            <w:noProof/>
            <w:webHidden/>
          </w:rPr>
          <w:tab/>
        </w:r>
        <w:r>
          <w:rPr>
            <w:noProof/>
            <w:webHidden/>
          </w:rPr>
          <w:fldChar w:fldCharType="begin"/>
        </w:r>
        <w:r w:rsidR="00E76515">
          <w:rPr>
            <w:noProof/>
            <w:webHidden/>
          </w:rPr>
          <w:instrText xml:space="preserve"> PAGEREF _Toc474639097 \h </w:instrText>
        </w:r>
        <w:r>
          <w:rPr>
            <w:noProof/>
            <w:webHidden/>
          </w:rPr>
        </w:r>
        <w:r>
          <w:rPr>
            <w:noProof/>
            <w:webHidden/>
          </w:rPr>
          <w:fldChar w:fldCharType="separate"/>
        </w:r>
        <w:r w:rsidR="00AF29C3">
          <w:rPr>
            <w:noProof/>
            <w:webHidden/>
          </w:rPr>
          <w:t>421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8" w:history="1">
        <w:r w:rsidR="00E76515" w:rsidRPr="00AB0391">
          <w:rPr>
            <w:rStyle w:val="Hyperlink"/>
            <w:noProof/>
          </w:rPr>
          <w:t>Table 9.32: Key Routes of India-Bangladesh Inland Water Transit and Trade</w:t>
        </w:r>
        <w:r w:rsidR="00E76515">
          <w:rPr>
            <w:noProof/>
            <w:webHidden/>
          </w:rPr>
          <w:tab/>
        </w:r>
        <w:r>
          <w:rPr>
            <w:noProof/>
            <w:webHidden/>
          </w:rPr>
          <w:fldChar w:fldCharType="begin"/>
        </w:r>
        <w:r w:rsidR="00E76515">
          <w:rPr>
            <w:noProof/>
            <w:webHidden/>
          </w:rPr>
          <w:instrText xml:space="preserve"> PAGEREF _Toc474639098 \h </w:instrText>
        </w:r>
        <w:r>
          <w:rPr>
            <w:noProof/>
            <w:webHidden/>
          </w:rPr>
        </w:r>
        <w:r>
          <w:rPr>
            <w:noProof/>
            <w:webHidden/>
          </w:rPr>
          <w:fldChar w:fldCharType="separate"/>
        </w:r>
        <w:r w:rsidR="00AF29C3">
          <w:rPr>
            <w:noProof/>
            <w:webHidden/>
          </w:rPr>
          <w:t>422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099" w:history="1">
        <w:r w:rsidR="00E76515" w:rsidRPr="00AB0391">
          <w:rPr>
            <w:rStyle w:val="Hyperlink"/>
            <w:noProof/>
          </w:rPr>
          <w:t>Table 9.33: ADP Allocation in the Surface Transport in Percentage</w:t>
        </w:r>
        <w:r w:rsidR="00E76515">
          <w:rPr>
            <w:noProof/>
            <w:webHidden/>
          </w:rPr>
          <w:tab/>
        </w:r>
        <w:r>
          <w:rPr>
            <w:noProof/>
            <w:webHidden/>
          </w:rPr>
          <w:fldChar w:fldCharType="begin"/>
        </w:r>
        <w:r w:rsidR="00E76515">
          <w:rPr>
            <w:noProof/>
            <w:webHidden/>
          </w:rPr>
          <w:instrText xml:space="preserve"> PAGEREF _Toc474639099 \h </w:instrText>
        </w:r>
        <w:r>
          <w:rPr>
            <w:noProof/>
            <w:webHidden/>
          </w:rPr>
        </w:r>
        <w:r>
          <w:rPr>
            <w:noProof/>
            <w:webHidden/>
          </w:rPr>
          <w:fldChar w:fldCharType="separate"/>
        </w:r>
        <w:r w:rsidR="00AF29C3">
          <w:rPr>
            <w:noProof/>
            <w:webHidden/>
          </w:rPr>
          <w:t>428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0" w:history="1">
        <w:r w:rsidR="00E76515" w:rsidRPr="00AB0391">
          <w:rPr>
            <w:rStyle w:val="Hyperlink"/>
            <w:noProof/>
          </w:rPr>
          <w:t>Table 10.1: Water Supply Coverage</w:t>
        </w:r>
        <w:r w:rsidR="00E76515">
          <w:rPr>
            <w:noProof/>
            <w:webHidden/>
          </w:rPr>
          <w:tab/>
        </w:r>
        <w:r>
          <w:rPr>
            <w:noProof/>
            <w:webHidden/>
          </w:rPr>
          <w:fldChar w:fldCharType="begin"/>
        </w:r>
        <w:r w:rsidR="00E76515">
          <w:rPr>
            <w:noProof/>
            <w:webHidden/>
          </w:rPr>
          <w:instrText xml:space="preserve"> PAGEREF _Toc474639100 \h </w:instrText>
        </w:r>
        <w:r>
          <w:rPr>
            <w:noProof/>
            <w:webHidden/>
          </w:rPr>
        </w:r>
        <w:r>
          <w:rPr>
            <w:noProof/>
            <w:webHidden/>
          </w:rPr>
          <w:fldChar w:fldCharType="separate"/>
        </w:r>
        <w:r w:rsidR="00AF29C3">
          <w:rPr>
            <w:noProof/>
            <w:webHidden/>
          </w:rPr>
          <w:t>456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1" w:history="1">
        <w:r w:rsidR="00E76515" w:rsidRPr="00AB0391">
          <w:rPr>
            <w:rStyle w:val="Hyperlink"/>
            <w:noProof/>
          </w:rPr>
          <w:t>Table 10.2: Water Supply Coverage in Urban Areas</w:t>
        </w:r>
        <w:r w:rsidR="00E76515">
          <w:rPr>
            <w:noProof/>
            <w:webHidden/>
          </w:rPr>
          <w:tab/>
        </w:r>
        <w:r>
          <w:rPr>
            <w:noProof/>
            <w:webHidden/>
          </w:rPr>
          <w:fldChar w:fldCharType="begin"/>
        </w:r>
        <w:r w:rsidR="00E76515">
          <w:rPr>
            <w:noProof/>
            <w:webHidden/>
          </w:rPr>
          <w:instrText xml:space="preserve"> PAGEREF _Toc474639101 \h </w:instrText>
        </w:r>
        <w:r>
          <w:rPr>
            <w:noProof/>
            <w:webHidden/>
          </w:rPr>
        </w:r>
        <w:r>
          <w:rPr>
            <w:noProof/>
            <w:webHidden/>
          </w:rPr>
          <w:fldChar w:fldCharType="separate"/>
        </w:r>
        <w:r w:rsidR="00AF29C3">
          <w:rPr>
            <w:noProof/>
            <w:webHidden/>
          </w:rPr>
          <w:t>456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2" w:history="1">
        <w:r w:rsidR="00E76515" w:rsidRPr="00AB0391">
          <w:rPr>
            <w:rStyle w:val="Hyperlink"/>
            <w:noProof/>
          </w:rPr>
          <w:t>Table 10.3: Piped Water Supply – Coverage, Production, Consumption and Loss of Water</w:t>
        </w:r>
        <w:r w:rsidR="00E76515">
          <w:rPr>
            <w:noProof/>
            <w:webHidden/>
          </w:rPr>
          <w:tab/>
        </w:r>
        <w:r>
          <w:rPr>
            <w:noProof/>
            <w:webHidden/>
          </w:rPr>
          <w:fldChar w:fldCharType="begin"/>
        </w:r>
        <w:r w:rsidR="00E76515">
          <w:rPr>
            <w:noProof/>
            <w:webHidden/>
          </w:rPr>
          <w:instrText xml:space="preserve"> PAGEREF _Toc474639102 \h </w:instrText>
        </w:r>
        <w:r>
          <w:rPr>
            <w:noProof/>
            <w:webHidden/>
          </w:rPr>
        </w:r>
        <w:r>
          <w:rPr>
            <w:noProof/>
            <w:webHidden/>
          </w:rPr>
          <w:fldChar w:fldCharType="separate"/>
        </w:r>
        <w:r w:rsidR="00AF29C3">
          <w:rPr>
            <w:noProof/>
            <w:webHidden/>
          </w:rPr>
          <w:t>457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3" w:history="1">
        <w:r w:rsidR="00E76515" w:rsidRPr="00AB0391">
          <w:rPr>
            <w:rStyle w:val="Hyperlink"/>
            <w:noProof/>
          </w:rPr>
          <w:t>Table 10.4: Water Supply Norms for Indian Cities</w:t>
        </w:r>
        <w:r w:rsidR="00E76515">
          <w:rPr>
            <w:noProof/>
            <w:webHidden/>
          </w:rPr>
          <w:tab/>
        </w:r>
        <w:r>
          <w:rPr>
            <w:noProof/>
            <w:webHidden/>
          </w:rPr>
          <w:fldChar w:fldCharType="begin"/>
        </w:r>
        <w:r w:rsidR="00E76515">
          <w:rPr>
            <w:noProof/>
            <w:webHidden/>
          </w:rPr>
          <w:instrText xml:space="preserve"> PAGEREF _Toc474639103 \h </w:instrText>
        </w:r>
        <w:r>
          <w:rPr>
            <w:noProof/>
            <w:webHidden/>
          </w:rPr>
        </w:r>
        <w:r>
          <w:rPr>
            <w:noProof/>
            <w:webHidden/>
          </w:rPr>
          <w:fldChar w:fldCharType="separate"/>
        </w:r>
        <w:r w:rsidR="00AF29C3">
          <w:rPr>
            <w:noProof/>
            <w:webHidden/>
          </w:rPr>
          <w:t>457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4" w:history="1">
        <w:r w:rsidR="00E76515" w:rsidRPr="00AB0391">
          <w:rPr>
            <w:rStyle w:val="Hyperlink"/>
            <w:noProof/>
          </w:rPr>
          <w:t>Table 10.5: Distribution of Urban Local Bodies by Water Consumption</w:t>
        </w:r>
        <w:r w:rsidR="00E76515">
          <w:rPr>
            <w:noProof/>
            <w:webHidden/>
          </w:rPr>
          <w:tab/>
        </w:r>
        <w:r>
          <w:rPr>
            <w:noProof/>
            <w:webHidden/>
          </w:rPr>
          <w:fldChar w:fldCharType="begin"/>
        </w:r>
        <w:r w:rsidR="00E76515">
          <w:rPr>
            <w:noProof/>
            <w:webHidden/>
          </w:rPr>
          <w:instrText xml:space="preserve"> PAGEREF _Toc474639104 \h </w:instrText>
        </w:r>
        <w:r>
          <w:rPr>
            <w:noProof/>
            <w:webHidden/>
          </w:rPr>
        </w:r>
        <w:r>
          <w:rPr>
            <w:noProof/>
            <w:webHidden/>
          </w:rPr>
          <w:fldChar w:fldCharType="separate"/>
        </w:r>
        <w:r w:rsidR="00AF29C3">
          <w:rPr>
            <w:noProof/>
            <w:webHidden/>
          </w:rPr>
          <w:t>458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5" w:history="1">
        <w:r w:rsidR="00E76515" w:rsidRPr="00AB0391">
          <w:rPr>
            <w:rStyle w:val="Hyperlink"/>
            <w:noProof/>
          </w:rPr>
          <w:t>Table 10.6: Water Supply Status in Dhaka City</w:t>
        </w:r>
        <w:r w:rsidR="00E76515">
          <w:rPr>
            <w:noProof/>
            <w:webHidden/>
          </w:rPr>
          <w:tab/>
        </w:r>
        <w:r>
          <w:rPr>
            <w:noProof/>
            <w:webHidden/>
          </w:rPr>
          <w:fldChar w:fldCharType="begin"/>
        </w:r>
        <w:r w:rsidR="00E76515">
          <w:rPr>
            <w:noProof/>
            <w:webHidden/>
          </w:rPr>
          <w:instrText xml:space="preserve"> PAGEREF _Toc474639105 \h </w:instrText>
        </w:r>
        <w:r>
          <w:rPr>
            <w:noProof/>
            <w:webHidden/>
          </w:rPr>
        </w:r>
        <w:r>
          <w:rPr>
            <w:noProof/>
            <w:webHidden/>
          </w:rPr>
          <w:fldChar w:fldCharType="separate"/>
        </w:r>
        <w:r w:rsidR="00AF29C3">
          <w:rPr>
            <w:noProof/>
            <w:webHidden/>
          </w:rPr>
          <w:t>459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6" w:history="1">
        <w:r w:rsidR="00E76515" w:rsidRPr="00AB0391">
          <w:rPr>
            <w:rStyle w:val="Hyperlink"/>
            <w:noProof/>
          </w:rPr>
          <w:t>Table 10.7: Water Supply Status in Other Cities with WASAs</w:t>
        </w:r>
        <w:r w:rsidR="00E76515">
          <w:rPr>
            <w:noProof/>
            <w:webHidden/>
          </w:rPr>
          <w:tab/>
        </w:r>
        <w:r>
          <w:rPr>
            <w:noProof/>
            <w:webHidden/>
          </w:rPr>
          <w:fldChar w:fldCharType="begin"/>
        </w:r>
        <w:r w:rsidR="00E76515">
          <w:rPr>
            <w:noProof/>
            <w:webHidden/>
          </w:rPr>
          <w:instrText xml:space="preserve"> PAGEREF _Toc474639106 \h </w:instrText>
        </w:r>
        <w:r>
          <w:rPr>
            <w:noProof/>
            <w:webHidden/>
          </w:rPr>
        </w:r>
        <w:r>
          <w:rPr>
            <w:noProof/>
            <w:webHidden/>
          </w:rPr>
          <w:fldChar w:fldCharType="separate"/>
        </w:r>
        <w:r w:rsidR="00AF29C3">
          <w:rPr>
            <w:noProof/>
            <w:webHidden/>
          </w:rPr>
          <w:t>459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7" w:history="1">
        <w:r w:rsidR="00E76515" w:rsidRPr="00AB0391">
          <w:rPr>
            <w:rStyle w:val="Hyperlink"/>
            <w:noProof/>
          </w:rPr>
          <w:t>Table 10.8: Piped Water Supply Status in Paurashavas</w:t>
        </w:r>
        <w:r w:rsidR="00E76515">
          <w:rPr>
            <w:noProof/>
            <w:webHidden/>
          </w:rPr>
          <w:tab/>
        </w:r>
        <w:r>
          <w:rPr>
            <w:noProof/>
            <w:webHidden/>
          </w:rPr>
          <w:fldChar w:fldCharType="begin"/>
        </w:r>
        <w:r w:rsidR="00E76515">
          <w:rPr>
            <w:noProof/>
            <w:webHidden/>
          </w:rPr>
          <w:instrText xml:space="preserve"> PAGEREF _Toc474639107 \h </w:instrText>
        </w:r>
        <w:r>
          <w:rPr>
            <w:noProof/>
            <w:webHidden/>
          </w:rPr>
        </w:r>
        <w:r>
          <w:rPr>
            <w:noProof/>
            <w:webHidden/>
          </w:rPr>
          <w:fldChar w:fldCharType="separate"/>
        </w:r>
        <w:r w:rsidR="00AF29C3">
          <w:rPr>
            <w:noProof/>
            <w:webHidden/>
          </w:rPr>
          <w:t>460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8" w:history="1">
        <w:r w:rsidR="00E76515" w:rsidRPr="00AB0391">
          <w:rPr>
            <w:rStyle w:val="Hyperlink"/>
            <w:noProof/>
          </w:rPr>
          <w:t>Table 10.9: Cost of and Revenue from Water Supply</w:t>
        </w:r>
        <w:r w:rsidR="00E76515">
          <w:rPr>
            <w:noProof/>
            <w:webHidden/>
          </w:rPr>
          <w:tab/>
        </w:r>
        <w:r>
          <w:rPr>
            <w:noProof/>
            <w:webHidden/>
          </w:rPr>
          <w:fldChar w:fldCharType="begin"/>
        </w:r>
        <w:r w:rsidR="00E76515">
          <w:rPr>
            <w:noProof/>
            <w:webHidden/>
          </w:rPr>
          <w:instrText xml:space="preserve"> PAGEREF _Toc474639108 \h </w:instrText>
        </w:r>
        <w:r>
          <w:rPr>
            <w:noProof/>
            <w:webHidden/>
          </w:rPr>
        </w:r>
        <w:r>
          <w:rPr>
            <w:noProof/>
            <w:webHidden/>
          </w:rPr>
          <w:fldChar w:fldCharType="separate"/>
        </w:r>
        <w:r w:rsidR="00AF29C3">
          <w:rPr>
            <w:noProof/>
            <w:webHidden/>
          </w:rPr>
          <w:t>460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09" w:history="1">
        <w:r w:rsidR="00E76515" w:rsidRPr="00AB0391">
          <w:rPr>
            <w:rStyle w:val="Hyperlink"/>
            <w:noProof/>
          </w:rPr>
          <w:t>Table 10.10: Distribution of ULBs by Cost Recovery</w:t>
        </w:r>
        <w:r w:rsidR="00E76515">
          <w:rPr>
            <w:noProof/>
            <w:webHidden/>
          </w:rPr>
          <w:tab/>
        </w:r>
        <w:r>
          <w:rPr>
            <w:noProof/>
            <w:webHidden/>
          </w:rPr>
          <w:fldChar w:fldCharType="begin"/>
        </w:r>
        <w:r w:rsidR="00E76515">
          <w:rPr>
            <w:noProof/>
            <w:webHidden/>
          </w:rPr>
          <w:instrText xml:space="preserve"> PAGEREF _Toc474639109 \h </w:instrText>
        </w:r>
        <w:r>
          <w:rPr>
            <w:noProof/>
            <w:webHidden/>
          </w:rPr>
        </w:r>
        <w:r>
          <w:rPr>
            <w:noProof/>
            <w:webHidden/>
          </w:rPr>
          <w:fldChar w:fldCharType="separate"/>
        </w:r>
        <w:r w:rsidR="00AF29C3">
          <w:rPr>
            <w:noProof/>
            <w:webHidden/>
          </w:rPr>
          <w:t>461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0" w:history="1">
        <w:r w:rsidR="00E76515" w:rsidRPr="00AB0391">
          <w:rPr>
            <w:rStyle w:val="Hyperlink"/>
            <w:noProof/>
          </w:rPr>
          <w:t>Table 10.11: Service Level and Operating Efficiency Indicators for Urban Water Supply</w:t>
        </w:r>
        <w:r w:rsidR="00E76515">
          <w:rPr>
            <w:noProof/>
            <w:webHidden/>
          </w:rPr>
          <w:tab/>
        </w:r>
        <w:r>
          <w:rPr>
            <w:noProof/>
            <w:webHidden/>
          </w:rPr>
          <w:fldChar w:fldCharType="begin"/>
        </w:r>
        <w:r w:rsidR="00E76515">
          <w:rPr>
            <w:noProof/>
            <w:webHidden/>
          </w:rPr>
          <w:instrText xml:space="preserve"> PAGEREF _Toc474639110 \h </w:instrText>
        </w:r>
        <w:r>
          <w:rPr>
            <w:noProof/>
            <w:webHidden/>
          </w:rPr>
        </w:r>
        <w:r>
          <w:rPr>
            <w:noProof/>
            <w:webHidden/>
          </w:rPr>
          <w:fldChar w:fldCharType="separate"/>
        </w:r>
        <w:r w:rsidR="00AF29C3">
          <w:rPr>
            <w:noProof/>
            <w:webHidden/>
          </w:rPr>
          <w:t>462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1" w:history="1">
        <w:r w:rsidR="00E76515" w:rsidRPr="00AB0391">
          <w:rPr>
            <w:rStyle w:val="Hyperlink"/>
            <w:noProof/>
          </w:rPr>
          <w:t>Table 10.12: Main Climate Change Hazards and Impacts on Water Supply Installation in Different Zones</w:t>
        </w:r>
        <w:r w:rsidR="00E76515">
          <w:rPr>
            <w:noProof/>
            <w:webHidden/>
          </w:rPr>
          <w:tab/>
        </w:r>
        <w:r>
          <w:rPr>
            <w:noProof/>
            <w:webHidden/>
          </w:rPr>
          <w:fldChar w:fldCharType="begin"/>
        </w:r>
        <w:r w:rsidR="00E76515">
          <w:rPr>
            <w:noProof/>
            <w:webHidden/>
          </w:rPr>
          <w:instrText xml:space="preserve"> PAGEREF _Toc474639111 \h </w:instrText>
        </w:r>
        <w:r>
          <w:rPr>
            <w:noProof/>
            <w:webHidden/>
          </w:rPr>
        </w:r>
        <w:r>
          <w:rPr>
            <w:noProof/>
            <w:webHidden/>
          </w:rPr>
          <w:fldChar w:fldCharType="separate"/>
        </w:r>
        <w:r w:rsidR="00AF29C3">
          <w:rPr>
            <w:noProof/>
            <w:webHidden/>
          </w:rPr>
          <w:t>466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2" w:history="1">
        <w:r w:rsidR="00E76515" w:rsidRPr="00AB0391">
          <w:rPr>
            <w:rStyle w:val="Hyperlink"/>
            <w:noProof/>
          </w:rPr>
          <w:t>Table 10.13: Sanitation Coverage According to JMP Report 2014</w:t>
        </w:r>
        <w:r w:rsidR="00E76515">
          <w:rPr>
            <w:noProof/>
            <w:webHidden/>
          </w:rPr>
          <w:tab/>
        </w:r>
        <w:r>
          <w:rPr>
            <w:noProof/>
            <w:webHidden/>
          </w:rPr>
          <w:fldChar w:fldCharType="begin"/>
        </w:r>
        <w:r w:rsidR="00E76515">
          <w:rPr>
            <w:noProof/>
            <w:webHidden/>
          </w:rPr>
          <w:instrText xml:space="preserve"> PAGEREF _Toc474639112 \h </w:instrText>
        </w:r>
        <w:r>
          <w:rPr>
            <w:noProof/>
            <w:webHidden/>
          </w:rPr>
        </w:r>
        <w:r>
          <w:rPr>
            <w:noProof/>
            <w:webHidden/>
          </w:rPr>
          <w:fldChar w:fldCharType="separate"/>
        </w:r>
        <w:r w:rsidR="00AF29C3">
          <w:rPr>
            <w:noProof/>
            <w:webHidden/>
          </w:rPr>
          <w:t>471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3" w:history="1">
        <w:r w:rsidR="00E76515" w:rsidRPr="00AB0391">
          <w:rPr>
            <w:rStyle w:val="Hyperlink"/>
            <w:noProof/>
          </w:rPr>
          <w:t>Table 10.14: Sanitation Coverage in Urban Area according to MICS 2012-13 Report</w:t>
        </w:r>
        <w:r w:rsidR="00E76515">
          <w:rPr>
            <w:noProof/>
            <w:webHidden/>
          </w:rPr>
          <w:tab/>
        </w:r>
        <w:r>
          <w:rPr>
            <w:noProof/>
            <w:webHidden/>
          </w:rPr>
          <w:fldChar w:fldCharType="begin"/>
        </w:r>
        <w:r w:rsidR="00E76515">
          <w:rPr>
            <w:noProof/>
            <w:webHidden/>
          </w:rPr>
          <w:instrText xml:space="preserve"> PAGEREF _Toc474639113 \h </w:instrText>
        </w:r>
        <w:r>
          <w:rPr>
            <w:noProof/>
            <w:webHidden/>
          </w:rPr>
        </w:r>
        <w:r>
          <w:rPr>
            <w:noProof/>
            <w:webHidden/>
          </w:rPr>
          <w:fldChar w:fldCharType="separate"/>
        </w:r>
        <w:r w:rsidR="00AF29C3">
          <w:rPr>
            <w:noProof/>
            <w:webHidden/>
          </w:rPr>
          <w:t>471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4" w:history="1">
        <w:r w:rsidR="00E76515" w:rsidRPr="00AB0391">
          <w:rPr>
            <w:rStyle w:val="Hyperlink"/>
            <w:noProof/>
          </w:rPr>
          <w:t>Table 10.15:  Estimated Volume of Waste Water in Three Cities</w:t>
        </w:r>
        <w:r w:rsidR="00E76515">
          <w:rPr>
            <w:noProof/>
            <w:webHidden/>
          </w:rPr>
          <w:tab/>
        </w:r>
        <w:r>
          <w:rPr>
            <w:noProof/>
            <w:webHidden/>
          </w:rPr>
          <w:fldChar w:fldCharType="begin"/>
        </w:r>
        <w:r w:rsidR="00E76515">
          <w:rPr>
            <w:noProof/>
            <w:webHidden/>
          </w:rPr>
          <w:instrText xml:space="preserve"> PAGEREF _Toc474639114 \h </w:instrText>
        </w:r>
        <w:r>
          <w:rPr>
            <w:noProof/>
            <w:webHidden/>
          </w:rPr>
        </w:r>
        <w:r>
          <w:rPr>
            <w:noProof/>
            <w:webHidden/>
          </w:rPr>
          <w:fldChar w:fldCharType="separate"/>
        </w:r>
        <w:r w:rsidR="00AF29C3">
          <w:rPr>
            <w:noProof/>
            <w:webHidden/>
          </w:rPr>
          <w:t>475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5" w:history="1">
        <w:r w:rsidR="00E76515" w:rsidRPr="00AB0391">
          <w:rPr>
            <w:rStyle w:val="Hyperlink"/>
            <w:noProof/>
          </w:rPr>
          <w:t>Table 10.16: Volume of Industrial Wastewater in Dhaka</w:t>
        </w:r>
        <w:r w:rsidR="00E76515">
          <w:rPr>
            <w:noProof/>
            <w:webHidden/>
          </w:rPr>
          <w:tab/>
        </w:r>
        <w:r>
          <w:rPr>
            <w:noProof/>
            <w:webHidden/>
          </w:rPr>
          <w:fldChar w:fldCharType="begin"/>
        </w:r>
        <w:r w:rsidR="00E76515">
          <w:rPr>
            <w:noProof/>
            <w:webHidden/>
          </w:rPr>
          <w:instrText xml:space="preserve"> PAGEREF _Toc474639115 \h </w:instrText>
        </w:r>
        <w:r>
          <w:rPr>
            <w:noProof/>
            <w:webHidden/>
          </w:rPr>
        </w:r>
        <w:r>
          <w:rPr>
            <w:noProof/>
            <w:webHidden/>
          </w:rPr>
          <w:fldChar w:fldCharType="separate"/>
        </w:r>
        <w:r w:rsidR="00AF29C3">
          <w:rPr>
            <w:noProof/>
            <w:webHidden/>
          </w:rPr>
          <w:t>475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6" w:history="1">
        <w:r w:rsidR="00E76515" w:rsidRPr="00AB0391">
          <w:rPr>
            <w:rStyle w:val="Hyperlink"/>
            <w:noProof/>
          </w:rPr>
          <w:t>Table 10.17: Destination of Extracted Sludge</w:t>
        </w:r>
        <w:r w:rsidR="00E76515">
          <w:rPr>
            <w:noProof/>
            <w:webHidden/>
          </w:rPr>
          <w:tab/>
        </w:r>
        <w:r>
          <w:rPr>
            <w:noProof/>
            <w:webHidden/>
          </w:rPr>
          <w:fldChar w:fldCharType="begin"/>
        </w:r>
        <w:r w:rsidR="00E76515">
          <w:rPr>
            <w:noProof/>
            <w:webHidden/>
          </w:rPr>
          <w:instrText xml:space="preserve"> PAGEREF _Toc474639116 \h </w:instrText>
        </w:r>
        <w:r>
          <w:rPr>
            <w:noProof/>
            <w:webHidden/>
          </w:rPr>
        </w:r>
        <w:r>
          <w:rPr>
            <w:noProof/>
            <w:webHidden/>
          </w:rPr>
          <w:fldChar w:fldCharType="separate"/>
        </w:r>
        <w:r w:rsidR="00AF29C3">
          <w:rPr>
            <w:noProof/>
            <w:webHidden/>
          </w:rPr>
          <w:t>476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7" w:history="1">
        <w:r w:rsidR="00E76515" w:rsidRPr="00AB0391">
          <w:rPr>
            <w:rStyle w:val="Hyperlink"/>
            <w:noProof/>
          </w:rPr>
          <w:t>Table 10.18: Service Level and Operating Efficiency Indicators for Urban Sanitation</w:t>
        </w:r>
        <w:r w:rsidR="00E76515">
          <w:rPr>
            <w:noProof/>
            <w:webHidden/>
          </w:rPr>
          <w:tab/>
        </w:r>
        <w:r>
          <w:rPr>
            <w:noProof/>
            <w:webHidden/>
          </w:rPr>
          <w:fldChar w:fldCharType="begin"/>
        </w:r>
        <w:r w:rsidR="00E76515">
          <w:rPr>
            <w:noProof/>
            <w:webHidden/>
          </w:rPr>
          <w:instrText xml:space="preserve"> PAGEREF _Toc474639117 \h </w:instrText>
        </w:r>
        <w:r>
          <w:rPr>
            <w:noProof/>
            <w:webHidden/>
          </w:rPr>
        </w:r>
        <w:r>
          <w:rPr>
            <w:noProof/>
            <w:webHidden/>
          </w:rPr>
          <w:fldChar w:fldCharType="separate"/>
        </w:r>
        <w:r w:rsidR="00AF29C3">
          <w:rPr>
            <w:noProof/>
            <w:webHidden/>
          </w:rPr>
          <w:t>478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8" w:history="1">
        <w:r w:rsidR="00E76515" w:rsidRPr="00AB0391">
          <w:rPr>
            <w:rStyle w:val="Hyperlink"/>
            <w:noProof/>
          </w:rPr>
          <w:t>Table 10.19: Growth in Solid Waste Generation in Bangladesh since 1991</w:t>
        </w:r>
        <w:r w:rsidR="00E76515">
          <w:rPr>
            <w:noProof/>
            <w:webHidden/>
          </w:rPr>
          <w:tab/>
        </w:r>
        <w:r>
          <w:rPr>
            <w:noProof/>
            <w:webHidden/>
          </w:rPr>
          <w:fldChar w:fldCharType="begin"/>
        </w:r>
        <w:r w:rsidR="00E76515">
          <w:rPr>
            <w:noProof/>
            <w:webHidden/>
          </w:rPr>
          <w:instrText xml:space="preserve"> PAGEREF _Toc474639118 \h </w:instrText>
        </w:r>
        <w:r>
          <w:rPr>
            <w:noProof/>
            <w:webHidden/>
          </w:rPr>
        </w:r>
        <w:r>
          <w:rPr>
            <w:noProof/>
            <w:webHidden/>
          </w:rPr>
          <w:fldChar w:fldCharType="separate"/>
        </w:r>
        <w:r w:rsidR="00AF29C3">
          <w:rPr>
            <w:noProof/>
            <w:webHidden/>
          </w:rPr>
          <w:t>484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19" w:history="1">
        <w:r w:rsidR="00E76515" w:rsidRPr="00AB0391">
          <w:rPr>
            <w:rStyle w:val="Hyperlink"/>
            <w:noProof/>
          </w:rPr>
          <w:t>Table 10.20: Dhaka Solid Waste Comparative Scenario: BIGD and other Studies</w:t>
        </w:r>
        <w:r w:rsidR="00E76515">
          <w:rPr>
            <w:noProof/>
            <w:webHidden/>
          </w:rPr>
          <w:tab/>
        </w:r>
        <w:r>
          <w:rPr>
            <w:noProof/>
            <w:webHidden/>
          </w:rPr>
          <w:fldChar w:fldCharType="begin"/>
        </w:r>
        <w:r w:rsidR="00E76515">
          <w:rPr>
            <w:noProof/>
            <w:webHidden/>
          </w:rPr>
          <w:instrText xml:space="preserve"> PAGEREF _Toc474639119 \h </w:instrText>
        </w:r>
        <w:r>
          <w:rPr>
            <w:noProof/>
            <w:webHidden/>
          </w:rPr>
        </w:r>
        <w:r>
          <w:rPr>
            <w:noProof/>
            <w:webHidden/>
          </w:rPr>
          <w:fldChar w:fldCharType="separate"/>
        </w:r>
        <w:r w:rsidR="00AF29C3">
          <w:rPr>
            <w:noProof/>
            <w:webHidden/>
          </w:rPr>
          <w:t>484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0" w:history="1">
        <w:r w:rsidR="00E76515" w:rsidRPr="00AB0391">
          <w:rPr>
            <w:rStyle w:val="Hyperlink"/>
            <w:noProof/>
          </w:rPr>
          <w:t>Table 10.21: Waste Generation Rate of Four City Corporations</w:t>
        </w:r>
        <w:r w:rsidR="00E76515">
          <w:rPr>
            <w:noProof/>
            <w:webHidden/>
          </w:rPr>
          <w:tab/>
        </w:r>
        <w:r>
          <w:rPr>
            <w:noProof/>
            <w:webHidden/>
          </w:rPr>
          <w:fldChar w:fldCharType="begin"/>
        </w:r>
        <w:r w:rsidR="00E76515">
          <w:rPr>
            <w:noProof/>
            <w:webHidden/>
          </w:rPr>
          <w:instrText xml:space="preserve"> PAGEREF _Toc474639120 \h </w:instrText>
        </w:r>
        <w:r>
          <w:rPr>
            <w:noProof/>
            <w:webHidden/>
          </w:rPr>
        </w:r>
        <w:r>
          <w:rPr>
            <w:noProof/>
            <w:webHidden/>
          </w:rPr>
          <w:fldChar w:fldCharType="separate"/>
        </w:r>
        <w:r w:rsidR="00AF29C3">
          <w:rPr>
            <w:noProof/>
            <w:webHidden/>
          </w:rPr>
          <w:t>485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1" w:history="1">
        <w:r w:rsidR="00E76515" w:rsidRPr="00AB0391">
          <w:rPr>
            <w:rStyle w:val="Hyperlink"/>
            <w:noProof/>
          </w:rPr>
          <w:t>Table 10.22: Waste Generation Rate of 6 Paurashavas (Class A)</w:t>
        </w:r>
        <w:r w:rsidR="00E76515">
          <w:rPr>
            <w:noProof/>
            <w:webHidden/>
          </w:rPr>
          <w:tab/>
        </w:r>
        <w:r>
          <w:rPr>
            <w:noProof/>
            <w:webHidden/>
          </w:rPr>
          <w:fldChar w:fldCharType="begin"/>
        </w:r>
        <w:r w:rsidR="00E76515">
          <w:rPr>
            <w:noProof/>
            <w:webHidden/>
          </w:rPr>
          <w:instrText xml:space="preserve"> PAGEREF _Toc474639121 \h </w:instrText>
        </w:r>
        <w:r>
          <w:rPr>
            <w:noProof/>
            <w:webHidden/>
          </w:rPr>
        </w:r>
        <w:r>
          <w:rPr>
            <w:noProof/>
            <w:webHidden/>
          </w:rPr>
          <w:fldChar w:fldCharType="separate"/>
        </w:r>
        <w:r w:rsidR="00AF29C3">
          <w:rPr>
            <w:noProof/>
            <w:webHidden/>
          </w:rPr>
          <w:t>485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2" w:history="1">
        <w:r w:rsidR="00E76515" w:rsidRPr="00AB0391">
          <w:rPr>
            <w:rStyle w:val="Hyperlink"/>
            <w:noProof/>
          </w:rPr>
          <w:t>Table 10.23: Households’ Waste Generation (daily): Volume and Composition</w:t>
        </w:r>
        <w:r w:rsidR="00E76515">
          <w:rPr>
            <w:noProof/>
            <w:webHidden/>
          </w:rPr>
          <w:tab/>
        </w:r>
        <w:r>
          <w:rPr>
            <w:noProof/>
            <w:webHidden/>
          </w:rPr>
          <w:fldChar w:fldCharType="begin"/>
        </w:r>
        <w:r w:rsidR="00E76515">
          <w:rPr>
            <w:noProof/>
            <w:webHidden/>
          </w:rPr>
          <w:instrText xml:space="preserve"> PAGEREF _Toc474639122 \h </w:instrText>
        </w:r>
        <w:r>
          <w:rPr>
            <w:noProof/>
            <w:webHidden/>
          </w:rPr>
        </w:r>
        <w:r>
          <w:rPr>
            <w:noProof/>
            <w:webHidden/>
          </w:rPr>
          <w:fldChar w:fldCharType="separate"/>
        </w:r>
        <w:r w:rsidR="00AF29C3">
          <w:rPr>
            <w:noProof/>
            <w:webHidden/>
          </w:rPr>
          <w:t>486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3" w:history="1">
        <w:r w:rsidR="00E76515" w:rsidRPr="00AB0391">
          <w:rPr>
            <w:rStyle w:val="Hyperlink"/>
            <w:noProof/>
          </w:rPr>
          <w:t>Table 10.24: Waste Collection Efficiency of City Corporations</w:t>
        </w:r>
        <w:r w:rsidR="00E76515">
          <w:rPr>
            <w:noProof/>
            <w:webHidden/>
          </w:rPr>
          <w:tab/>
        </w:r>
        <w:r>
          <w:rPr>
            <w:noProof/>
            <w:webHidden/>
          </w:rPr>
          <w:fldChar w:fldCharType="begin"/>
        </w:r>
        <w:r w:rsidR="00E76515">
          <w:rPr>
            <w:noProof/>
            <w:webHidden/>
          </w:rPr>
          <w:instrText xml:space="preserve"> PAGEREF _Toc474639123 \h </w:instrText>
        </w:r>
        <w:r>
          <w:rPr>
            <w:noProof/>
            <w:webHidden/>
          </w:rPr>
        </w:r>
        <w:r>
          <w:rPr>
            <w:noProof/>
            <w:webHidden/>
          </w:rPr>
          <w:fldChar w:fldCharType="separate"/>
        </w:r>
        <w:r w:rsidR="00AF29C3">
          <w:rPr>
            <w:noProof/>
            <w:webHidden/>
          </w:rPr>
          <w:t>488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4" w:history="1">
        <w:r w:rsidR="00E76515" w:rsidRPr="00AB0391">
          <w:rPr>
            <w:rStyle w:val="Hyperlink"/>
            <w:noProof/>
          </w:rPr>
          <w:t>Table 10.25: Waste Collection Efficiency of A-Class Paurashava</w:t>
        </w:r>
        <w:r w:rsidR="00E76515">
          <w:rPr>
            <w:noProof/>
            <w:webHidden/>
          </w:rPr>
          <w:tab/>
        </w:r>
        <w:r>
          <w:rPr>
            <w:noProof/>
            <w:webHidden/>
          </w:rPr>
          <w:fldChar w:fldCharType="begin"/>
        </w:r>
        <w:r w:rsidR="00E76515">
          <w:rPr>
            <w:noProof/>
            <w:webHidden/>
          </w:rPr>
          <w:instrText xml:space="preserve"> PAGEREF _Toc474639124 \h </w:instrText>
        </w:r>
        <w:r>
          <w:rPr>
            <w:noProof/>
            <w:webHidden/>
          </w:rPr>
        </w:r>
        <w:r>
          <w:rPr>
            <w:noProof/>
            <w:webHidden/>
          </w:rPr>
          <w:fldChar w:fldCharType="separate"/>
        </w:r>
        <w:r w:rsidR="00AF29C3">
          <w:rPr>
            <w:noProof/>
            <w:webHidden/>
          </w:rPr>
          <w:t>488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5" w:history="1">
        <w:r w:rsidR="00E76515" w:rsidRPr="00AB0391">
          <w:rPr>
            <w:rStyle w:val="Hyperlink"/>
            <w:noProof/>
          </w:rPr>
          <w:t>Table 10.26: Waste Management Cost Analysis of Four City Corporation Areas</w:t>
        </w:r>
        <w:r w:rsidR="00E76515">
          <w:rPr>
            <w:noProof/>
            <w:webHidden/>
          </w:rPr>
          <w:tab/>
        </w:r>
        <w:r>
          <w:rPr>
            <w:noProof/>
            <w:webHidden/>
          </w:rPr>
          <w:fldChar w:fldCharType="begin"/>
        </w:r>
        <w:r w:rsidR="00E76515">
          <w:rPr>
            <w:noProof/>
            <w:webHidden/>
          </w:rPr>
          <w:instrText xml:space="preserve"> PAGEREF _Toc474639125 \h </w:instrText>
        </w:r>
        <w:r>
          <w:rPr>
            <w:noProof/>
            <w:webHidden/>
          </w:rPr>
        </w:r>
        <w:r>
          <w:rPr>
            <w:noProof/>
            <w:webHidden/>
          </w:rPr>
          <w:fldChar w:fldCharType="separate"/>
        </w:r>
        <w:r w:rsidR="00AF29C3">
          <w:rPr>
            <w:noProof/>
            <w:webHidden/>
          </w:rPr>
          <w:t>489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6" w:history="1">
        <w:r w:rsidR="00E76515" w:rsidRPr="00AB0391">
          <w:rPr>
            <w:rStyle w:val="Hyperlink"/>
            <w:noProof/>
          </w:rPr>
          <w:t>Table 10.27: Waste Management Cost Analysis of High Waste Generating Class A Paurashavas</w:t>
        </w:r>
        <w:r w:rsidR="00E76515">
          <w:rPr>
            <w:noProof/>
            <w:webHidden/>
          </w:rPr>
          <w:tab/>
        </w:r>
        <w:r>
          <w:rPr>
            <w:noProof/>
            <w:webHidden/>
          </w:rPr>
          <w:fldChar w:fldCharType="begin"/>
        </w:r>
        <w:r w:rsidR="00E76515">
          <w:rPr>
            <w:noProof/>
            <w:webHidden/>
          </w:rPr>
          <w:instrText xml:space="preserve"> PAGEREF _Toc474639126 \h </w:instrText>
        </w:r>
        <w:r>
          <w:rPr>
            <w:noProof/>
            <w:webHidden/>
          </w:rPr>
        </w:r>
        <w:r>
          <w:rPr>
            <w:noProof/>
            <w:webHidden/>
          </w:rPr>
          <w:fldChar w:fldCharType="separate"/>
        </w:r>
        <w:r w:rsidR="00AF29C3">
          <w:rPr>
            <w:noProof/>
            <w:webHidden/>
          </w:rPr>
          <w:t>489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7" w:history="1">
        <w:r w:rsidR="00E76515" w:rsidRPr="00AB0391">
          <w:rPr>
            <w:rStyle w:val="Hyperlink"/>
            <w:noProof/>
          </w:rPr>
          <w:t xml:space="preserve">Table 10.28: DCC North and South – SWM Cost per </w:t>
        </w:r>
        <w:r w:rsidR="00FE6385">
          <w:rPr>
            <w:rStyle w:val="Hyperlink"/>
            <w:noProof/>
          </w:rPr>
          <w:t>Tonne</w:t>
        </w:r>
        <w:r w:rsidR="00E76515">
          <w:rPr>
            <w:noProof/>
            <w:webHidden/>
          </w:rPr>
          <w:tab/>
        </w:r>
        <w:r>
          <w:rPr>
            <w:noProof/>
            <w:webHidden/>
          </w:rPr>
          <w:fldChar w:fldCharType="begin"/>
        </w:r>
        <w:r w:rsidR="00E76515">
          <w:rPr>
            <w:noProof/>
            <w:webHidden/>
          </w:rPr>
          <w:instrText xml:space="preserve"> PAGEREF _Toc474639127 \h </w:instrText>
        </w:r>
        <w:r>
          <w:rPr>
            <w:noProof/>
            <w:webHidden/>
          </w:rPr>
        </w:r>
        <w:r>
          <w:rPr>
            <w:noProof/>
            <w:webHidden/>
          </w:rPr>
          <w:fldChar w:fldCharType="separate"/>
        </w:r>
        <w:r w:rsidR="00AF29C3">
          <w:rPr>
            <w:noProof/>
            <w:webHidden/>
          </w:rPr>
          <w:t>490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8" w:history="1">
        <w:r w:rsidR="00E76515" w:rsidRPr="00AB0391">
          <w:rPr>
            <w:rStyle w:val="Hyperlink"/>
            <w:noProof/>
          </w:rPr>
          <w:t>Table 10.29: Income from Solid Waste Management</w:t>
        </w:r>
        <w:r w:rsidR="00E76515">
          <w:rPr>
            <w:noProof/>
            <w:webHidden/>
          </w:rPr>
          <w:tab/>
        </w:r>
        <w:r>
          <w:rPr>
            <w:noProof/>
            <w:webHidden/>
          </w:rPr>
          <w:fldChar w:fldCharType="begin"/>
        </w:r>
        <w:r w:rsidR="00E76515">
          <w:rPr>
            <w:noProof/>
            <w:webHidden/>
          </w:rPr>
          <w:instrText xml:space="preserve"> PAGEREF _Toc474639128 \h </w:instrText>
        </w:r>
        <w:r>
          <w:rPr>
            <w:noProof/>
            <w:webHidden/>
          </w:rPr>
        </w:r>
        <w:r>
          <w:rPr>
            <w:noProof/>
            <w:webHidden/>
          </w:rPr>
          <w:fldChar w:fldCharType="separate"/>
        </w:r>
        <w:r w:rsidR="00AF29C3">
          <w:rPr>
            <w:noProof/>
            <w:webHidden/>
          </w:rPr>
          <w:t>490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29" w:history="1">
        <w:r w:rsidR="00E76515" w:rsidRPr="00AB0391">
          <w:rPr>
            <w:rStyle w:val="Hyperlink"/>
            <w:noProof/>
          </w:rPr>
          <w:t>Table 10.30: Solid Waste Management Expenditure</w:t>
        </w:r>
        <w:r w:rsidR="00E76515">
          <w:rPr>
            <w:noProof/>
            <w:webHidden/>
          </w:rPr>
          <w:tab/>
        </w:r>
        <w:r>
          <w:rPr>
            <w:noProof/>
            <w:webHidden/>
          </w:rPr>
          <w:fldChar w:fldCharType="begin"/>
        </w:r>
        <w:r w:rsidR="00E76515">
          <w:rPr>
            <w:noProof/>
            <w:webHidden/>
          </w:rPr>
          <w:instrText xml:space="preserve"> PAGEREF _Toc474639129 \h </w:instrText>
        </w:r>
        <w:r>
          <w:rPr>
            <w:noProof/>
            <w:webHidden/>
          </w:rPr>
        </w:r>
        <w:r>
          <w:rPr>
            <w:noProof/>
            <w:webHidden/>
          </w:rPr>
          <w:fldChar w:fldCharType="separate"/>
        </w:r>
        <w:r w:rsidR="00AF29C3">
          <w:rPr>
            <w:noProof/>
            <w:webHidden/>
          </w:rPr>
          <w:t>490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0" w:history="1">
        <w:r w:rsidR="00E76515" w:rsidRPr="00AB0391">
          <w:rPr>
            <w:rStyle w:val="Hyperlink"/>
            <w:noProof/>
          </w:rPr>
          <w:t>Table 10.31: Investment Requirements for Various SWM Activities</w:t>
        </w:r>
        <w:r w:rsidR="00E76515">
          <w:rPr>
            <w:noProof/>
            <w:webHidden/>
          </w:rPr>
          <w:tab/>
        </w:r>
        <w:r>
          <w:rPr>
            <w:noProof/>
            <w:webHidden/>
          </w:rPr>
          <w:fldChar w:fldCharType="begin"/>
        </w:r>
        <w:r w:rsidR="00E76515">
          <w:rPr>
            <w:noProof/>
            <w:webHidden/>
          </w:rPr>
          <w:instrText xml:space="preserve"> PAGEREF _Toc474639130 \h </w:instrText>
        </w:r>
        <w:r>
          <w:rPr>
            <w:noProof/>
            <w:webHidden/>
          </w:rPr>
        </w:r>
        <w:r>
          <w:rPr>
            <w:noProof/>
            <w:webHidden/>
          </w:rPr>
          <w:fldChar w:fldCharType="separate"/>
        </w:r>
        <w:r w:rsidR="00AF29C3">
          <w:rPr>
            <w:noProof/>
            <w:webHidden/>
          </w:rPr>
          <w:t>492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1" w:history="1">
        <w:r w:rsidR="00E76515" w:rsidRPr="00AB0391">
          <w:rPr>
            <w:rStyle w:val="Hyperlink"/>
            <w:noProof/>
            <w:lang w:eastAsia="en-GB"/>
          </w:rPr>
          <w:t xml:space="preserve">Table 10.32: Characteristics of Major </w:t>
        </w:r>
        <w:r w:rsidR="00F82BA1">
          <w:rPr>
            <w:rStyle w:val="Hyperlink"/>
            <w:noProof/>
            <w:lang w:eastAsia="en-GB"/>
          </w:rPr>
          <w:t>Canals</w:t>
        </w:r>
        <w:r w:rsidR="00E76515" w:rsidRPr="00AB0391">
          <w:rPr>
            <w:rStyle w:val="Hyperlink"/>
            <w:noProof/>
            <w:lang w:eastAsia="en-GB"/>
          </w:rPr>
          <w:t xml:space="preserve"> in Dhaka City</w:t>
        </w:r>
        <w:r w:rsidR="00E76515">
          <w:rPr>
            <w:noProof/>
            <w:webHidden/>
          </w:rPr>
          <w:tab/>
        </w:r>
        <w:r>
          <w:rPr>
            <w:noProof/>
            <w:webHidden/>
          </w:rPr>
          <w:fldChar w:fldCharType="begin"/>
        </w:r>
        <w:r w:rsidR="00E76515">
          <w:rPr>
            <w:noProof/>
            <w:webHidden/>
          </w:rPr>
          <w:instrText xml:space="preserve"> PAGEREF _Toc474639131 \h </w:instrText>
        </w:r>
        <w:r>
          <w:rPr>
            <w:noProof/>
            <w:webHidden/>
          </w:rPr>
        </w:r>
        <w:r>
          <w:rPr>
            <w:noProof/>
            <w:webHidden/>
          </w:rPr>
          <w:fldChar w:fldCharType="separate"/>
        </w:r>
        <w:r w:rsidR="00AF29C3">
          <w:rPr>
            <w:noProof/>
            <w:webHidden/>
          </w:rPr>
          <w:t>499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2" w:history="1">
        <w:r w:rsidR="00E76515" w:rsidRPr="00AB0391">
          <w:rPr>
            <w:rStyle w:val="Hyperlink"/>
            <w:noProof/>
          </w:rPr>
          <w:t>Table 10.33: Total Estimated Cost of Adaptation of Structural Measures for Five Zones</w:t>
        </w:r>
        <w:r w:rsidR="00E76515">
          <w:rPr>
            <w:noProof/>
            <w:webHidden/>
          </w:rPr>
          <w:tab/>
        </w:r>
        <w:r>
          <w:rPr>
            <w:noProof/>
            <w:webHidden/>
          </w:rPr>
          <w:fldChar w:fldCharType="begin"/>
        </w:r>
        <w:r w:rsidR="00E76515">
          <w:rPr>
            <w:noProof/>
            <w:webHidden/>
          </w:rPr>
          <w:instrText xml:space="preserve"> PAGEREF _Toc474639132 \h </w:instrText>
        </w:r>
        <w:r>
          <w:rPr>
            <w:noProof/>
            <w:webHidden/>
          </w:rPr>
        </w:r>
        <w:r>
          <w:rPr>
            <w:noProof/>
            <w:webHidden/>
          </w:rPr>
          <w:fldChar w:fldCharType="separate"/>
        </w:r>
        <w:r w:rsidR="00AF29C3">
          <w:rPr>
            <w:noProof/>
            <w:webHidden/>
          </w:rPr>
          <w:t>505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3" w:history="1">
        <w:r w:rsidR="00E76515" w:rsidRPr="00AB0391">
          <w:rPr>
            <w:rStyle w:val="Hyperlink"/>
            <w:noProof/>
          </w:rPr>
          <w:t>Table 10.34: Coverage Percentage by Urban Drainage</w:t>
        </w:r>
        <w:r w:rsidR="00E76515">
          <w:rPr>
            <w:noProof/>
            <w:webHidden/>
          </w:rPr>
          <w:tab/>
        </w:r>
        <w:r>
          <w:rPr>
            <w:noProof/>
            <w:webHidden/>
          </w:rPr>
          <w:fldChar w:fldCharType="begin"/>
        </w:r>
        <w:r w:rsidR="00E76515">
          <w:rPr>
            <w:noProof/>
            <w:webHidden/>
          </w:rPr>
          <w:instrText xml:space="preserve"> PAGEREF _Toc474639133 \h </w:instrText>
        </w:r>
        <w:r>
          <w:rPr>
            <w:noProof/>
            <w:webHidden/>
          </w:rPr>
        </w:r>
        <w:r>
          <w:rPr>
            <w:noProof/>
            <w:webHidden/>
          </w:rPr>
          <w:fldChar w:fldCharType="separate"/>
        </w:r>
        <w:r w:rsidR="00AF29C3">
          <w:rPr>
            <w:noProof/>
            <w:webHidden/>
          </w:rPr>
          <w:t>506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4" w:history="1">
        <w:r w:rsidR="00E76515" w:rsidRPr="00AB0391">
          <w:rPr>
            <w:rStyle w:val="Hyperlink"/>
            <w:noProof/>
          </w:rPr>
          <w:t>Table 10.35: Conventional and Alternative Approaches to Stormwater Management</w:t>
        </w:r>
        <w:r w:rsidR="00E76515">
          <w:rPr>
            <w:noProof/>
            <w:webHidden/>
          </w:rPr>
          <w:tab/>
        </w:r>
        <w:r>
          <w:rPr>
            <w:noProof/>
            <w:webHidden/>
          </w:rPr>
          <w:fldChar w:fldCharType="begin"/>
        </w:r>
        <w:r w:rsidR="00E76515">
          <w:rPr>
            <w:noProof/>
            <w:webHidden/>
          </w:rPr>
          <w:instrText xml:space="preserve"> PAGEREF _Toc474639134 \h </w:instrText>
        </w:r>
        <w:r>
          <w:rPr>
            <w:noProof/>
            <w:webHidden/>
          </w:rPr>
        </w:r>
        <w:r>
          <w:rPr>
            <w:noProof/>
            <w:webHidden/>
          </w:rPr>
          <w:fldChar w:fldCharType="separate"/>
        </w:r>
        <w:r w:rsidR="00AF29C3">
          <w:rPr>
            <w:noProof/>
            <w:webHidden/>
          </w:rPr>
          <w:t>509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5" w:history="1">
        <w:r w:rsidR="00E76515" w:rsidRPr="00AB0391">
          <w:rPr>
            <w:rStyle w:val="Hyperlink"/>
            <w:noProof/>
          </w:rPr>
          <w:t>Table 11.1: Investment Requirements for Adaptation to Climate Change (% of GDP)</w:t>
        </w:r>
        <w:r w:rsidR="00E76515">
          <w:rPr>
            <w:noProof/>
            <w:webHidden/>
          </w:rPr>
          <w:tab/>
        </w:r>
        <w:r>
          <w:rPr>
            <w:noProof/>
            <w:webHidden/>
          </w:rPr>
          <w:fldChar w:fldCharType="begin"/>
        </w:r>
        <w:r w:rsidR="00E76515">
          <w:rPr>
            <w:noProof/>
            <w:webHidden/>
          </w:rPr>
          <w:instrText xml:space="preserve"> PAGEREF _Toc474639135 \h </w:instrText>
        </w:r>
        <w:r>
          <w:rPr>
            <w:noProof/>
            <w:webHidden/>
          </w:rPr>
        </w:r>
        <w:r>
          <w:rPr>
            <w:noProof/>
            <w:webHidden/>
          </w:rPr>
          <w:fldChar w:fldCharType="separate"/>
        </w:r>
        <w:r w:rsidR="00AF29C3">
          <w:rPr>
            <w:noProof/>
            <w:webHidden/>
          </w:rPr>
          <w:t>519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6" w:history="1">
        <w:r w:rsidR="00E76515" w:rsidRPr="00AB0391">
          <w:rPr>
            <w:rStyle w:val="Hyperlink"/>
            <w:noProof/>
          </w:rPr>
          <w:t>Table 11.2: Fiscal Framework for Delta Investment Plan Financing, FY2016- FY2031</w:t>
        </w:r>
        <w:r w:rsidR="00E76515">
          <w:rPr>
            <w:noProof/>
            <w:webHidden/>
          </w:rPr>
          <w:tab/>
        </w:r>
        <w:r>
          <w:rPr>
            <w:noProof/>
            <w:webHidden/>
          </w:rPr>
          <w:fldChar w:fldCharType="begin"/>
        </w:r>
        <w:r w:rsidR="00E76515">
          <w:rPr>
            <w:noProof/>
            <w:webHidden/>
          </w:rPr>
          <w:instrText xml:space="preserve"> PAGEREF _Toc474639136 \h </w:instrText>
        </w:r>
        <w:r>
          <w:rPr>
            <w:noProof/>
            <w:webHidden/>
          </w:rPr>
        </w:r>
        <w:r>
          <w:rPr>
            <w:noProof/>
            <w:webHidden/>
          </w:rPr>
          <w:fldChar w:fldCharType="separate"/>
        </w:r>
        <w:r w:rsidR="00AF29C3">
          <w:rPr>
            <w:noProof/>
            <w:webHidden/>
          </w:rPr>
          <w:t>523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7" w:history="1">
        <w:r w:rsidR="00E76515" w:rsidRPr="00AB0391">
          <w:rPr>
            <w:rStyle w:val="Hyperlink"/>
            <w:noProof/>
          </w:rPr>
          <w:t xml:space="preserve">Table 11.3: Sources of </w:t>
        </w:r>
        <w:r w:rsidR="006B79BB">
          <w:rPr>
            <w:rStyle w:val="Hyperlink"/>
            <w:noProof/>
          </w:rPr>
          <w:t>Public</w:t>
        </w:r>
        <w:r w:rsidR="00E76515" w:rsidRPr="00AB0391">
          <w:rPr>
            <w:rStyle w:val="Hyperlink"/>
            <w:noProof/>
          </w:rPr>
          <w:t>Sector Financing for the DIP</w:t>
        </w:r>
        <w:r w:rsidR="00E76515">
          <w:rPr>
            <w:noProof/>
            <w:webHidden/>
          </w:rPr>
          <w:tab/>
        </w:r>
        <w:r>
          <w:rPr>
            <w:noProof/>
            <w:webHidden/>
          </w:rPr>
          <w:fldChar w:fldCharType="begin"/>
        </w:r>
        <w:r w:rsidR="00E76515">
          <w:rPr>
            <w:noProof/>
            <w:webHidden/>
          </w:rPr>
          <w:instrText xml:space="preserve"> PAGEREF _Toc474639137 \h </w:instrText>
        </w:r>
        <w:r>
          <w:rPr>
            <w:noProof/>
            <w:webHidden/>
          </w:rPr>
        </w:r>
        <w:r>
          <w:rPr>
            <w:noProof/>
            <w:webHidden/>
          </w:rPr>
          <w:fldChar w:fldCharType="separate"/>
        </w:r>
        <w:r w:rsidR="00AF29C3">
          <w:rPr>
            <w:noProof/>
            <w:webHidden/>
          </w:rPr>
          <w:t>524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8" w:history="1">
        <w:r w:rsidR="00E76515" w:rsidRPr="00AB0391">
          <w:rPr>
            <w:rStyle w:val="Hyperlink"/>
            <w:noProof/>
          </w:rPr>
          <w:t xml:space="preserve">Table 11.4: </w:t>
        </w:r>
        <w:r w:rsidR="006B79BB">
          <w:rPr>
            <w:rStyle w:val="Hyperlink"/>
            <w:noProof/>
          </w:rPr>
          <w:t>Public</w:t>
        </w:r>
        <w:r w:rsidR="00E76515" w:rsidRPr="00AB0391">
          <w:rPr>
            <w:rStyle w:val="Hyperlink"/>
            <w:noProof/>
          </w:rPr>
          <w:t xml:space="preserve"> Sector Allocation for Delta-related Programmes</w:t>
        </w:r>
        <w:r w:rsidR="00E76515">
          <w:rPr>
            <w:noProof/>
            <w:webHidden/>
          </w:rPr>
          <w:tab/>
        </w:r>
        <w:r>
          <w:rPr>
            <w:noProof/>
            <w:webHidden/>
          </w:rPr>
          <w:fldChar w:fldCharType="begin"/>
        </w:r>
        <w:r w:rsidR="00E76515">
          <w:rPr>
            <w:noProof/>
            <w:webHidden/>
          </w:rPr>
          <w:instrText xml:space="preserve"> PAGEREF _Toc474639138 \h </w:instrText>
        </w:r>
        <w:r>
          <w:rPr>
            <w:noProof/>
            <w:webHidden/>
          </w:rPr>
        </w:r>
        <w:r>
          <w:rPr>
            <w:noProof/>
            <w:webHidden/>
          </w:rPr>
          <w:fldChar w:fldCharType="separate"/>
        </w:r>
        <w:r w:rsidR="00AF29C3">
          <w:rPr>
            <w:noProof/>
            <w:webHidden/>
          </w:rPr>
          <w:t>526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39" w:history="1">
        <w:r w:rsidR="00E76515" w:rsidRPr="00AB0391">
          <w:rPr>
            <w:rStyle w:val="Hyperlink"/>
            <w:noProof/>
          </w:rPr>
          <w:t xml:space="preserve">Table 11.5: Indicative Composition of </w:t>
        </w:r>
        <w:r w:rsidR="006B79BB">
          <w:rPr>
            <w:rStyle w:val="Hyperlink"/>
            <w:noProof/>
          </w:rPr>
          <w:t>Public</w:t>
        </w:r>
        <w:r w:rsidR="00E76515" w:rsidRPr="00AB0391">
          <w:rPr>
            <w:rStyle w:val="Hyperlink"/>
            <w:noProof/>
          </w:rPr>
          <w:t xml:space="preserve"> Investment under the BDP, FY2019-FY2031</w:t>
        </w:r>
        <w:r w:rsidR="00E76515">
          <w:rPr>
            <w:noProof/>
            <w:webHidden/>
          </w:rPr>
          <w:tab/>
        </w:r>
        <w:r>
          <w:rPr>
            <w:noProof/>
            <w:webHidden/>
          </w:rPr>
          <w:fldChar w:fldCharType="begin"/>
        </w:r>
        <w:r w:rsidR="00E76515">
          <w:rPr>
            <w:noProof/>
            <w:webHidden/>
          </w:rPr>
          <w:instrText xml:space="preserve"> PAGEREF _Toc474639139 \h </w:instrText>
        </w:r>
        <w:r>
          <w:rPr>
            <w:noProof/>
            <w:webHidden/>
          </w:rPr>
        </w:r>
        <w:r>
          <w:rPr>
            <w:noProof/>
            <w:webHidden/>
          </w:rPr>
          <w:fldChar w:fldCharType="separate"/>
        </w:r>
        <w:r w:rsidR="00AF29C3">
          <w:rPr>
            <w:noProof/>
            <w:webHidden/>
          </w:rPr>
          <w:t>528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0" w:history="1">
        <w:r w:rsidR="00E76515" w:rsidRPr="00AB0391">
          <w:rPr>
            <w:rStyle w:val="Hyperlink"/>
            <w:noProof/>
          </w:rPr>
          <w:t>Table 11.6: Delta Plan Top 15 Investment Projects</w:t>
        </w:r>
        <w:r w:rsidR="00E76515">
          <w:rPr>
            <w:noProof/>
            <w:webHidden/>
          </w:rPr>
          <w:tab/>
        </w:r>
        <w:r>
          <w:rPr>
            <w:noProof/>
            <w:webHidden/>
          </w:rPr>
          <w:fldChar w:fldCharType="begin"/>
        </w:r>
        <w:r w:rsidR="00E76515">
          <w:rPr>
            <w:noProof/>
            <w:webHidden/>
          </w:rPr>
          <w:instrText xml:space="preserve"> PAGEREF _Toc474639140 \h </w:instrText>
        </w:r>
        <w:r>
          <w:rPr>
            <w:noProof/>
            <w:webHidden/>
          </w:rPr>
        </w:r>
        <w:r>
          <w:rPr>
            <w:noProof/>
            <w:webHidden/>
          </w:rPr>
          <w:fldChar w:fldCharType="separate"/>
        </w:r>
        <w:r w:rsidR="00AF29C3">
          <w:rPr>
            <w:noProof/>
            <w:webHidden/>
          </w:rPr>
          <w:t>529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1" w:history="1">
        <w:r w:rsidR="00E76515" w:rsidRPr="00AB0391">
          <w:rPr>
            <w:rStyle w:val="Hyperlink"/>
            <w:noProof/>
          </w:rPr>
          <w:t>Table 11.7: Selection of international practices on Innovative Finance for Water</w:t>
        </w:r>
        <w:r w:rsidR="00E76515">
          <w:rPr>
            <w:noProof/>
            <w:webHidden/>
          </w:rPr>
          <w:tab/>
        </w:r>
        <w:r>
          <w:rPr>
            <w:noProof/>
            <w:webHidden/>
          </w:rPr>
          <w:fldChar w:fldCharType="begin"/>
        </w:r>
        <w:r w:rsidR="00E76515">
          <w:rPr>
            <w:noProof/>
            <w:webHidden/>
          </w:rPr>
          <w:instrText xml:space="preserve"> PAGEREF _Toc474639141 \h </w:instrText>
        </w:r>
        <w:r>
          <w:rPr>
            <w:noProof/>
            <w:webHidden/>
          </w:rPr>
        </w:r>
        <w:r>
          <w:rPr>
            <w:noProof/>
            <w:webHidden/>
          </w:rPr>
          <w:fldChar w:fldCharType="separate"/>
        </w:r>
        <w:r w:rsidR="00AF29C3">
          <w:rPr>
            <w:noProof/>
            <w:webHidden/>
          </w:rPr>
          <w:t>533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2" w:history="1">
        <w:r w:rsidR="00E76515" w:rsidRPr="00AB0391">
          <w:rPr>
            <w:rStyle w:val="Hyperlink"/>
            <w:noProof/>
          </w:rPr>
          <w:t xml:space="preserve">Table 11.8: Indicative Composition of </w:t>
        </w:r>
        <w:r w:rsidR="006B79BB">
          <w:rPr>
            <w:rStyle w:val="Hyperlink"/>
            <w:noProof/>
          </w:rPr>
          <w:t>Public</w:t>
        </w:r>
        <w:r w:rsidR="00E76515" w:rsidRPr="00AB0391">
          <w:rPr>
            <w:rStyle w:val="Hyperlink"/>
            <w:noProof/>
          </w:rPr>
          <w:t xml:space="preserve"> Investment under the BDP, FY2019-FY2031</w:t>
        </w:r>
        <w:r w:rsidR="00E76515">
          <w:rPr>
            <w:noProof/>
            <w:webHidden/>
          </w:rPr>
          <w:tab/>
        </w:r>
        <w:r>
          <w:rPr>
            <w:noProof/>
            <w:webHidden/>
          </w:rPr>
          <w:fldChar w:fldCharType="begin"/>
        </w:r>
        <w:r w:rsidR="00E76515">
          <w:rPr>
            <w:noProof/>
            <w:webHidden/>
          </w:rPr>
          <w:instrText xml:space="preserve"> PAGEREF _Toc474639142 \h </w:instrText>
        </w:r>
        <w:r>
          <w:rPr>
            <w:noProof/>
            <w:webHidden/>
          </w:rPr>
        </w:r>
        <w:r>
          <w:rPr>
            <w:noProof/>
            <w:webHidden/>
          </w:rPr>
          <w:fldChar w:fldCharType="separate"/>
        </w:r>
        <w:r w:rsidR="00AF29C3">
          <w:rPr>
            <w:noProof/>
            <w:webHidden/>
          </w:rPr>
          <w:t>555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3" w:history="1">
        <w:r w:rsidR="00E76515" w:rsidRPr="00AB0391">
          <w:rPr>
            <w:rStyle w:val="Hyperlink"/>
            <w:noProof/>
          </w:rPr>
          <w:t>Table 11.9: Delta Plan Top 15 Investment Projects</w:t>
        </w:r>
        <w:r w:rsidR="00E76515">
          <w:rPr>
            <w:noProof/>
            <w:webHidden/>
          </w:rPr>
          <w:tab/>
        </w:r>
        <w:r>
          <w:rPr>
            <w:noProof/>
            <w:webHidden/>
          </w:rPr>
          <w:fldChar w:fldCharType="begin"/>
        </w:r>
        <w:r w:rsidR="00E76515">
          <w:rPr>
            <w:noProof/>
            <w:webHidden/>
          </w:rPr>
          <w:instrText xml:space="preserve"> PAGEREF _Toc474639143 \h </w:instrText>
        </w:r>
        <w:r>
          <w:rPr>
            <w:noProof/>
            <w:webHidden/>
          </w:rPr>
        </w:r>
        <w:r>
          <w:rPr>
            <w:noProof/>
            <w:webHidden/>
          </w:rPr>
          <w:fldChar w:fldCharType="separate"/>
        </w:r>
        <w:r w:rsidR="00AF29C3">
          <w:rPr>
            <w:noProof/>
            <w:webHidden/>
          </w:rPr>
          <w:t>556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4" w:history="1">
        <w:r w:rsidR="00E76515" w:rsidRPr="00AB0391">
          <w:rPr>
            <w:rStyle w:val="Hyperlink"/>
            <w:noProof/>
          </w:rPr>
          <w:t>Table 12.1: Chronological List of Major Water Policies and Programmes</w:t>
        </w:r>
        <w:r w:rsidR="00E76515">
          <w:rPr>
            <w:noProof/>
            <w:webHidden/>
          </w:rPr>
          <w:tab/>
        </w:r>
        <w:r>
          <w:rPr>
            <w:noProof/>
            <w:webHidden/>
          </w:rPr>
          <w:fldChar w:fldCharType="begin"/>
        </w:r>
        <w:r w:rsidR="00E76515">
          <w:rPr>
            <w:noProof/>
            <w:webHidden/>
          </w:rPr>
          <w:instrText xml:space="preserve"> PAGEREF _Toc474639144 \h </w:instrText>
        </w:r>
        <w:r>
          <w:rPr>
            <w:noProof/>
            <w:webHidden/>
          </w:rPr>
        </w:r>
        <w:r>
          <w:rPr>
            <w:noProof/>
            <w:webHidden/>
          </w:rPr>
          <w:fldChar w:fldCharType="separate"/>
        </w:r>
        <w:r w:rsidR="00AF29C3">
          <w:rPr>
            <w:noProof/>
            <w:webHidden/>
          </w:rPr>
          <w:t>567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5" w:history="1">
        <w:r w:rsidR="00E76515" w:rsidRPr="00AB0391">
          <w:rPr>
            <w:rStyle w:val="Hyperlink"/>
            <w:noProof/>
          </w:rPr>
          <w:t>Table 12.2: Legal Framework for Environmental Management</w:t>
        </w:r>
        <w:r w:rsidR="00E76515">
          <w:rPr>
            <w:noProof/>
            <w:webHidden/>
          </w:rPr>
          <w:tab/>
        </w:r>
        <w:r>
          <w:rPr>
            <w:noProof/>
            <w:webHidden/>
          </w:rPr>
          <w:fldChar w:fldCharType="begin"/>
        </w:r>
        <w:r w:rsidR="00E76515">
          <w:rPr>
            <w:noProof/>
            <w:webHidden/>
          </w:rPr>
          <w:instrText xml:space="preserve"> PAGEREF _Toc474639145 \h </w:instrText>
        </w:r>
        <w:r>
          <w:rPr>
            <w:noProof/>
            <w:webHidden/>
          </w:rPr>
        </w:r>
        <w:r>
          <w:rPr>
            <w:noProof/>
            <w:webHidden/>
          </w:rPr>
          <w:fldChar w:fldCharType="separate"/>
        </w:r>
        <w:r w:rsidR="00AF29C3">
          <w:rPr>
            <w:noProof/>
            <w:webHidden/>
          </w:rPr>
          <w:t>569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6" w:history="1">
        <w:r w:rsidR="00E76515" w:rsidRPr="00AB0391">
          <w:rPr>
            <w:rStyle w:val="Hyperlink"/>
            <w:noProof/>
          </w:rPr>
          <w:t>Table 12.3: List of Important Policies and Programmes in other Delta-related Ministries</w:t>
        </w:r>
        <w:r w:rsidR="00E76515">
          <w:rPr>
            <w:noProof/>
            <w:webHidden/>
          </w:rPr>
          <w:tab/>
        </w:r>
        <w:r>
          <w:rPr>
            <w:noProof/>
            <w:webHidden/>
          </w:rPr>
          <w:fldChar w:fldCharType="begin"/>
        </w:r>
        <w:r w:rsidR="00E76515">
          <w:rPr>
            <w:noProof/>
            <w:webHidden/>
          </w:rPr>
          <w:instrText xml:space="preserve"> PAGEREF _Toc474639146 \h </w:instrText>
        </w:r>
        <w:r>
          <w:rPr>
            <w:noProof/>
            <w:webHidden/>
          </w:rPr>
        </w:r>
        <w:r>
          <w:rPr>
            <w:noProof/>
            <w:webHidden/>
          </w:rPr>
          <w:fldChar w:fldCharType="separate"/>
        </w:r>
        <w:r w:rsidR="00AF29C3">
          <w:rPr>
            <w:noProof/>
            <w:webHidden/>
          </w:rPr>
          <w:t>571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7" w:history="1">
        <w:r w:rsidR="00E76515" w:rsidRPr="00AB0391">
          <w:rPr>
            <w:rStyle w:val="Hyperlink"/>
            <w:noProof/>
          </w:rPr>
          <w:t>Table 12.4: Suggested Local Water Bodies</w:t>
        </w:r>
        <w:r w:rsidR="00E76515">
          <w:rPr>
            <w:noProof/>
            <w:webHidden/>
          </w:rPr>
          <w:tab/>
        </w:r>
        <w:r>
          <w:rPr>
            <w:noProof/>
            <w:webHidden/>
          </w:rPr>
          <w:fldChar w:fldCharType="begin"/>
        </w:r>
        <w:r w:rsidR="00E76515">
          <w:rPr>
            <w:noProof/>
            <w:webHidden/>
          </w:rPr>
          <w:instrText xml:space="preserve"> PAGEREF _Toc474639147 \h </w:instrText>
        </w:r>
        <w:r>
          <w:rPr>
            <w:noProof/>
            <w:webHidden/>
          </w:rPr>
        </w:r>
        <w:r>
          <w:rPr>
            <w:noProof/>
            <w:webHidden/>
          </w:rPr>
          <w:fldChar w:fldCharType="separate"/>
        </w:r>
        <w:r w:rsidR="00AF29C3">
          <w:rPr>
            <w:noProof/>
            <w:webHidden/>
          </w:rPr>
          <w:t>588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8" w:history="1">
        <w:r w:rsidR="00E76515" w:rsidRPr="00AB0391">
          <w:rPr>
            <w:rStyle w:val="Hyperlink"/>
            <w:noProof/>
          </w:rPr>
          <w:t>Table 12.5: Summary of Delta Governance and Institutional Reforms</w:t>
        </w:r>
        <w:r w:rsidR="00E76515">
          <w:rPr>
            <w:noProof/>
            <w:webHidden/>
          </w:rPr>
          <w:tab/>
        </w:r>
        <w:r>
          <w:rPr>
            <w:noProof/>
            <w:webHidden/>
          </w:rPr>
          <w:fldChar w:fldCharType="begin"/>
        </w:r>
        <w:r w:rsidR="00E76515">
          <w:rPr>
            <w:noProof/>
            <w:webHidden/>
          </w:rPr>
          <w:instrText xml:space="preserve"> PAGEREF _Toc474639148 \h </w:instrText>
        </w:r>
        <w:r>
          <w:rPr>
            <w:noProof/>
            <w:webHidden/>
          </w:rPr>
        </w:r>
        <w:r>
          <w:rPr>
            <w:noProof/>
            <w:webHidden/>
          </w:rPr>
          <w:fldChar w:fldCharType="separate"/>
        </w:r>
        <w:r w:rsidR="00AF29C3">
          <w:rPr>
            <w:noProof/>
            <w:webHidden/>
          </w:rPr>
          <w:t>593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49" w:history="1">
        <w:r w:rsidR="00E76515" w:rsidRPr="00AB0391">
          <w:rPr>
            <w:rStyle w:val="Hyperlink"/>
            <w:noProof/>
          </w:rPr>
          <w:t>Table 13.1: The 84 Programmes of NWMP</w:t>
        </w:r>
        <w:r w:rsidR="00E76515">
          <w:rPr>
            <w:noProof/>
            <w:webHidden/>
          </w:rPr>
          <w:tab/>
        </w:r>
        <w:r>
          <w:rPr>
            <w:noProof/>
            <w:webHidden/>
          </w:rPr>
          <w:fldChar w:fldCharType="begin"/>
        </w:r>
        <w:r w:rsidR="00E76515">
          <w:rPr>
            <w:noProof/>
            <w:webHidden/>
          </w:rPr>
          <w:instrText xml:space="preserve"> PAGEREF _Toc474639149 \h </w:instrText>
        </w:r>
        <w:r>
          <w:rPr>
            <w:noProof/>
            <w:webHidden/>
          </w:rPr>
        </w:r>
        <w:r>
          <w:rPr>
            <w:noProof/>
            <w:webHidden/>
          </w:rPr>
          <w:fldChar w:fldCharType="separate"/>
        </w:r>
        <w:r w:rsidR="00AF29C3">
          <w:rPr>
            <w:noProof/>
            <w:webHidden/>
          </w:rPr>
          <w:t>600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0" w:history="1">
        <w:r w:rsidR="00E76515" w:rsidRPr="00AB0391">
          <w:rPr>
            <w:rStyle w:val="Hyperlink"/>
            <w:noProof/>
          </w:rPr>
          <w:t>Table 13.2: Delta Related Data Monitoring</w:t>
        </w:r>
        <w:r w:rsidR="00E76515">
          <w:rPr>
            <w:noProof/>
            <w:webHidden/>
          </w:rPr>
          <w:tab/>
        </w:r>
        <w:r>
          <w:rPr>
            <w:noProof/>
            <w:webHidden/>
          </w:rPr>
          <w:fldChar w:fldCharType="begin"/>
        </w:r>
        <w:r w:rsidR="00E76515">
          <w:rPr>
            <w:noProof/>
            <w:webHidden/>
          </w:rPr>
          <w:instrText xml:space="preserve"> PAGEREF _Toc474639150 \h </w:instrText>
        </w:r>
        <w:r>
          <w:rPr>
            <w:noProof/>
            <w:webHidden/>
          </w:rPr>
        </w:r>
        <w:r>
          <w:rPr>
            <w:noProof/>
            <w:webHidden/>
          </w:rPr>
          <w:fldChar w:fldCharType="separate"/>
        </w:r>
        <w:r w:rsidR="00AF29C3">
          <w:rPr>
            <w:noProof/>
            <w:webHidden/>
          </w:rPr>
          <w:t>602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1" w:history="1">
        <w:r w:rsidR="00E76515" w:rsidRPr="00AB0391">
          <w:rPr>
            <w:rStyle w:val="Hyperlink"/>
            <w:noProof/>
          </w:rPr>
          <w:t>Table 13.3: Sources of Data on Water Resources</w:t>
        </w:r>
        <w:r w:rsidR="00E76515">
          <w:rPr>
            <w:noProof/>
            <w:webHidden/>
          </w:rPr>
          <w:tab/>
        </w:r>
        <w:r>
          <w:rPr>
            <w:noProof/>
            <w:webHidden/>
          </w:rPr>
          <w:fldChar w:fldCharType="begin"/>
        </w:r>
        <w:r w:rsidR="00E76515">
          <w:rPr>
            <w:noProof/>
            <w:webHidden/>
          </w:rPr>
          <w:instrText xml:space="preserve"> PAGEREF _Toc474639151 \h </w:instrText>
        </w:r>
        <w:r>
          <w:rPr>
            <w:noProof/>
            <w:webHidden/>
          </w:rPr>
        </w:r>
        <w:r>
          <w:rPr>
            <w:noProof/>
            <w:webHidden/>
          </w:rPr>
          <w:fldChar w:fldCharType="separate"/>
        </w:r>
        <w:r w:rsidR="00AF29C3">
          <w:rPr>
            <w:noProof/>
            <w:webHidden/>
          </w:rPr>
          <w:t>604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2" w:history="1">
        <w:r w:rsidR="00E76515" w:rsidRPr="00AB0391">
          <w:rPr>
            <w:rStyle w:val="Hyperlink"/>
            <w:noProof/>
          </w:rPr>
          <w:t>Table 13.4: Hydro-Metrological Data Collection Sources</w:t>
        </w:r>
        <w:r w:rsidR="00E76515">
          <w:rPr>
            <w:noProof/>
            <w:webHidden/>
          </w:rPr>
          <w:tab/>
        </w:r>
        <w:r>
          <w:rPr>
            <w:noProof/>
            <w:webHidden/>
          </w:rPr>
          <w:fldChar w:fldCharType="begin"/>
        </w:r>
        <w:r w:rsidR="00E76515">
          <w:rPr>
            <w:noProof/>
            <w:webHidden/>
          </w:rPr>
          <w:instrText xml:space="preserve"> PAGEREF _Toc474639152 \h </w:instrText>
        </w:r>
        <w:r>
          <w:rPr>
            <w:noProof/>
            <w:webHidden/>
          </w:rPr>
        </w:r>
        <w:r>
          <w:rPr>
            <w:noProof/>
            <w:webHidden/>
          </w:rPr>
          <w:fldChar w:fldCharType="separate"/>
        </w:r>
        <w:r w:rsidR="00AF29C3">
          <w:rPr>
            <w:noProof/>
            <w:webHidden/>
          </w:rPr>
          <w:t>605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3" w:history="1">
        <w:r w:rsidR="00E76515" w:rsidRPr="00AB0391">
          <w:rPr>
            <w:rStyle w:val="Hyperlink"/>
            <w:noProof/>
          </w:rPr>
          <w:t>Table 13.5: The BDP2100 Development Results Framework</w:t>
        </w:r>
        <w:r w:rsidR="00E76515">
          <w:rPr>
            <w:noProof/>
            <w:webHidden/>
          </w:rPr>
          <w:tab/>
        </w:r>
        <w:r>
          <w:rPr>
            <w:noProof/>
            <w:webHidden/>
          </w:rPr>
          <w:fldChar w:fldCharType="begin"/>
        </w:r>
        <w:r w:rsidR="00E76515">
          <w:rPr>
            <w:noProof/>
            <w:webHidden/>
          </w:rPr>
          <w:instrText xml:space="preserve"> PAGEREF _Toc474639153 \h </w:instrText>
        </w:r>
        <w:r>
          <w:rPr>
            <w:noProof/>
            <w:webHidden/>
          </w:rPr>
        </w:r>
        <w:r>
          <w:rPr>
            <w:noProof/>
            <w:webHidden/>
          </w:rPr>
          <w:fldChar w:fldCharType="separate"/>
        </w:r>
        <w:r w:rsidR="00AF29C3">
          <w:rPr>
            <w:noProof/>
            <w:webHidden/>
          </w:rPr>
          <w:t>610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4" w:history="1">
        <w:r w:rsidR="00E76515" w:rsidRPr="00AB0391">
          <w:rPr>
            <w:rStyle w:val="Hyperlink"/>
            <w:noProof/>
          </w:rPr>
          <w:t>Table 13.6: Data Requirements for BDP2100 DRF</w:t>
        </w:r>
        <w:r w:rsidR="00E76515">
          <w:rPr>
            <w:noProof/>
            <w:webHidden/>
          </w:rPr>
          <w:tab/>
        </w:r>
        <w:r>
          <w:rPr>
            <w:noProof/>
            <w:webHidden/>
          </w:rPr>
          <w:fldChar w:fldCharType="begin"/>
        </w:r>
        <w:r w:rsidR="00E76515">
          <w:rPr>
            <w:noProof/>
            <w:webHidden/>
          </w:rPr>
          <w:instrText xml:space="preserve"> PAGEREF _Toc474639154 \h </w:instrText>
        </w:r>
        <w:r>
          <w:rPr>
            <w:noProof/>
            <w:webHidden/>
          </w:rPr>
        </w:r>
        <w:r>
          <w:rPr>
            <w:noProof/>
            <w:webHidden/>
          </w:rPr>
          <w:fldChar w:fldCharType="separate"/>
        </w:r>
        <w:r w:rsidR="00AF29C3">
          <w:rPr>
            <w:noProof/>
            <w:webHidden/>
          </w:rPr>
          <w:t>614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5" w:history="1">
        <w:r w:rsidR="00E76515" w:rsidRPr="00AB0391">
          <w:rPr>
            <w:rStyle w:val="Hyperlink"/>
            <w:noProof/>
          </w:rPr>
          <w:t>Table 14.1: Delta-Related Government Information Databases in Bangladesh</w:t>
        </w:r>
        <w:r w:rsidR="00E76515">
          <w:rPr>
            <w:noProof/>
            <w:webHidden/>
          </w:rPr>
          <w:tab/>
        </w:r>
        <w:r>
          <w:rPr>
            <w:noProof/>
            <w:webHidden/>
          </w:rPr>
          <w:fldChar w:fldCharType="begin"/>
        </w:r>
        <w:r w:rsidR="00E76515">
          <w:rPr>
            <w:noProof/>
            <w:webHidden/>
          </w:rPr>
          <w:instrText xml:space="preserve"> PAGEREF _Toc474639155 \h </w:instrText>
        </w:r>
        <w:r>
          <w:rPr>
            <w:noProof/>
            <w:webHidden/>
          </w:rPr>
        </w:r>
        <w:r>
          <w:rPr>
            <w:noProof/>
            <w:webHidden/>
          </w:rPr>
          <w:fldChar w:fldCharType="separate"/>
        </w:r>
        <w:r w:rsidR="00AF29C3">
          <w:rPr>
            <w:noProof/>
            <w:webHidden/>
          </w:rPr>
          <w:t>620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6" w:history="1">
        <w:r w:rsidR="00E76515" w:rsidRPr="00AB0391">
          <w:rPr>
            <w:rStyle w:val="Hyperlink"/>
            <w:noProof/>
          </w:rPr>
          <w:t>Table 14.2: Institutions Involved in Knowledge Creation, Updating and Dissemination</w:t>
        </w:r>
        <w:r w:rsidR="00E76515">
          <w:rPr>
            <w:noProof/>
            <w:webHidden/>
          </w:rPr>
          <w:tab/>
        </w:r>
        <w:r>
          <w:rPr>
            <w:noProof/>
            <w:webHidden/>
          </w:rPr>
          <w:fldChar w:fldCharType="begin"/>
        </w:r>
        <w:r w:rsidR="00E76515">
          <w:rPr>
            <w:noProof/>
            <w:webHidden/>
          </w:rPr>
          <w:instrText xml:space="preserve"> PAGEREF _Toc474639156 \h </w:instrText>
        </w:r>
        <w:r>
          <w:rPr>
            <w:noProof/>
            <w:webHidden/>
          </w:rPr>
        </w:r>
        <w:r>
          <w:rPr>
            <w:noProof/>
            <w:webHidden/>
          </w:rPr>
          <w:fldChar w:fldCharType="separate"/>
        </w:r>
        <w:r w:rsidR="00AF29C3">
          <w:rPr>
            <w:noProof/>
            <w:webHidden/>
          </w:rPr>
          <w:t>621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7" w:history="1">
        <w:r w:rsidR="00E76515" w:rsidRPr="00AB0391">
          <w:rPr>
            <w:rStyle w:val="Hyperlink"/>
            <w:noProof/>
          </w:rPr>
          <w:t>Table 14.3: Top Ten Most Popular Portals on the Web</w:t>
        </w:r>
        <w:r w:rsidR="00E76515">
          <w:rPr>
            <w:noProof/>
            <w:webHidden/>
          </w:rPr>
          <w:tab/>
        </w:r>
        <w:r>
          <w:rPr>
            <w:noProof/>
            <w:webHidden/>
          </w:rPr>
          <w:fldChar w:fldCharType="begin"/>
        </w:r>
        <w:r w:rsidR="00E76515">
          <w:rPr>
            <w:noProof/>
            <w:webHidden/>
          </w:rPr>
          <w:instrText xml:space="preserve"> PAGEREF _Toc474639157 \h </w:instrText>
        </w:r>
        <w:r>
          <w:rPr>
            <w:noProof/>
            <w:webHidden/>
          </w:rPr>
        </w:r>
        <w:r>
          <w:rPr>
            <w:noProof/>
            <w:webHidden/>
          </w:rPr>
          <w:fldChar w:fldCharType="separate"/>
        </w:r>
        <w:r w:rsidR="00AF29C3">
          <w:rPr>
            <w:noProof/>
            <w:webHidden/>
          </w:rPr>
          <w:t>624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8" w:history="1">
        <w:r w:rsidR="00E76515" w:rsidRPr="00AB0391">
          <w:rPr>
            <w:rStyle w:val="Hyperlink"/>
            <w:noProof/>
          </w:rPr>
          <w:t>Table 14.4: BDP 2100 Knowledge Agenda</w:t>
        </w:r>
        <w:r w:rsidR="00E76515">
          <w:rPr>
            <w:noProof/>
            <w:webHidden/>
          </w:rPr>
          <w:tab/>
        </w:r>
        <w:r>
          <w:rPr>
            <w:noProof/>
            <w:webHidden/>
          </w:rPr>
          <w:fldChar w:fldCharType="begin"/>
        </w:r>
        <w:r w:rsidR="00E76515">
          <w:rPr>
            <w:noProof/>
            <w:webHidden/>
          </w:rPr>
          <w:instrText xml:space="preserve"> PAGEREF _Toc474639158 \h </w:instrText>
        </w:r>
        <w:r>
          <w:rPr>
            <w:noProof/>
            <w:webHidden/>
          </w:rPr>
        </w:r>
        <w:r>
          <w:rPr>
            <w:noProof/>
            <w:webHidden/>
          </w:rPr>
          <w:fldChar w:fldCharType="separate"/>
        </w:r>
        <w:r w:rsidR="00AF29C3">
          <w:rPr>
            <w:noProof/>
            <w:webHidden/>
          </w:rPr>
          <w:t>633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59" w:history="1">
        <w:r w:rsidR="00E76515" w:rsidRPr="00AB0391">
          <w:rPr>
            <w:rStyle w:val="Hyperlink"/>
            <w:noProof/>
          </w:rPr>
          <w:t>Table 14.5: Agencies involved in Delta related Knowledge Management</w:t>
        </w:r>
        <w:r w:rsidR="00E76515">
          <w:rPr>
            <w:noProof/>
            <w:webHidden/>
          </w:rPr>
          <w:tab/>
        </w:r>
        <w:r>
          <w:rPr>
            <w:noProof/>
            <w:webHidden/>
          </w:rPr>
          <w:fldChar w:fldCharType="begin"/>
        </w:r>
        <w:r w:rsidR="00E76515">
          <w:rPr>
            <w:noProof/>
            <w:webHidden/>
          </w:rPr>
          <w:instrText xml:space="preserve"> PAGEREF _Toc474639159 \h </w:instrText>
        </w:r>
        <w:r>
          <w:rPr>
            <w:noProof/>
            <w:webHidden/>
          </w:rPr>
        </w:r>
        <w:r>
          <w:rPr>
            <w:noProof/>
            <w:webHidden/>
          </w:rPr>
          <w:fldChar w:fldCharType="separate"/>
        </w:r>
        <w:r w:rsidR="00AF29C3">
          <w:rPr>
            <w:noProof/>
            <w:webHidden/>
          </w:rPr>
          <w:t>641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60" w:history="1">
        <w:r w:rsidR="00E76515" w:rsidRPr="00AB0391">
          <w:rPr>
            <w:rStyle w:val="Hyperlink"/>
            <w:noProof/>
          </w:rPr>
          <w:t>Table 14.6: Main target groups and potential uses</w:t>
        </w:r>
        <w:r w:rsidR="00E76515">
          <w:rPr>
            <w:noProof/>
            <w:webHidden/>
          </w:rPr>
          <w:tab/>
        </w:r>
        <w:r>
          <w:rPr>
            <w:noProof/>
            <w:webHidden/>
          </w:rPr>
          <w:fldChar w:fldCharType="begin"/>
        </w:r>
        <w:r w:rsidR="00E76515">
          <w:rPr>
            <w:noProof/>
            <w:webHidden/>
          </w:rPr>
          <w:instrText xml:space="preserve"> PAGEREF _Toc474639160 \h </w:instrText>
        </w:r>
        <w:r>
          <w:rPr>
            <w:noProof/>
            <w:webHidden/>
          </w:rPr>
        </w:r>
        <w:r>
          <w:rPr>
            <w:noProof/>
            <w:webHidden/>
          </w:rPr>
          <w:fldChar w:fldCharType="separate"/>
        </w:r>
        <w:r w:rsidR="00AF29C3">
          <w:rPr>
            <w:noProof/>
            <w:webHidden/>
          </w:rPr>
          <w:t>651</w:t>
        </w:r>
        <w:r>
          <w:rPr>
            <w:noProof/>
            <w:webHidden/>
          </w:rPr>
          <w:fldChar w:fldCharType="end"/>
        </w:r>
      </w:hyperlink>
    </w:p>
    <w:p w:rsidR="00AA0BA3" w:rsidRDefault="001A12B2" w:rsidP="00700B9D">
      <w:r>
        <w:fldChar w:fldCharType="end"/>
      </w:r>
    </w:p>
    <w:p w:rsidR="00671124" w:rsidRDefault="00671124" w:rsidP="008C0601">
      <w:pPr>
        <w:pStyle w:val="Heading1"/>
      </w:pPr>
      <w:bookmarkStart w:id="2" w:name="_Toc474638825"/>
      <w:r>
        <w:t>List of Figures</w:t>
      </w:r>
      <w:bookmarkEnd w:id="2"/>
    </w:p>
    <w:p w:rsidR="00E76515" w:rsidRDefault="001A12B2">
      <w:pPr>
        <w:pStyle w:val="TOC2"/>
        <w:rPr>
          <w:rFonts w:asciiTheme="minorHAnsi" w:eastAsiaTheme="minorEastAsia" w:hAnsiTheme="minorHAnsi"/>
          <w:noProof/>
          <w:szCs w:val="22"/>
          <w:lang w:val="en-US"/>
        </w:rPr>
      </w:pPr>
      <w:r w:rsidRPr="001A12B2">
        <w:fldChar w:fldCharType="begin"/>
      </w:r>
      <w:r w:rsidR="00E97223">
        <w:instrText xml:space="preserve"> TOC \h \z \t "Heading 5,2" </w:instrText>
      </w:r>
      <w:r w:rsidRPr="001A12B2">
        <w:fldChar w:fldCharType="separate"/>
      </w:r>
      <w:hyperlink w:anchor="_Toc474639161" w:history="1">
        <w:r w:rsidR="00E76515" w:rsidRPr="00040767">
          <w:rPr>
            <w:rStyle w:val="Hyperlink"/>
            <w:noProof/>
          </w:rPr>
          <w:t>Figure 1.1: Increased Frequency of Mega Floods due to Climate Change</w:t>
        </w:r>
        <w:r w:rsidR="00E76515">
          <w:rPr>
            <w:noProof/>
            <w:webHidden/>
          </w:rPr>
          <w:tab/>
        </w:r>
        <w:r>
          <w:rPr>
            <w:noProof/>
            <w:webHidden/>
          </w:rPr>
          <w:fldChar w:fldCharType="begin"/>
        </w:r>
        <w:r w:rsidR="00E76515">
          <w:rPr>
            <w:noProof/>
            <w:webHidden/>
          </w:rPr>
          <w:instrText xml:space="preserve"> PAGEREF _Toc474639161 \h </w:instrText>
        </w:r>
        <w:r>
          <w:rPr>
            <w:noProof/>
            <w:webHidden/>
          </w:rPr>
        </w:r>
        <w:r>
          <w:rPr>
            <w:noProof/>
            <w:webHidden/>
          </w:rPr>
          <w:fldChar w:fldCharType="separate"/>
        </w:r>
        <w:r w:rsidR="00AF29C3">
          <w:rPr>
            <w:noProof/>
            <w:webHidden/>
          </w:rPr>
          <w:t>16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62" w:history="1">
        <w:r w:rsidR="00E76515" w:rsidRPr="00040767">
          <w:rPr>
            <w:rStyle w:val="Hyperlink"/>
            <w:noProof/>
          </w:rPr>
          <w:t>Figure 1.2: Sea Level Rise Predictions for different RCPs in Bay of Bengal</w:t>
        </w:r>
        <w:r w:rsidR="00E76515">
          <w:rPr>
            <w:noProof/>
            <w:webHidden/>
          </w:rPr>
          <w:tab/>
        </w:r>
        <w:r>
          <w:rPr>
            <w:noProof/>
            <w:webHidden/>
          </w:rPr>
          <w:fldChar w:fldCharType="begin"/>
        </w:r>
        <w:r w:rsidR="00E76515">
          <w:rPr>
            <w:noProof/>
            <w:webHidden/>
          </w:rPr>
          <w:instrText xml:space="preserve"> PAGEREF _Toc474639162 \h </w:instrText>
        </w:r>
        <w:r>
          <w:rPr>
            <w:noProof/>
            <w:webHidden/>
          </w:rPr>
        </w:r>
        <w:r>
          <w:rPr>
            <w:noProof/>
            <w:webHidden/>
          </w:rPr>
          <w:fldChar w:fldCharType="separate"/>
        </w:r>
        <w:r w:rsidR="00AF29C3">
          <w:rPr>
            <w:noProof/>
            <w:webHidden/>
          </w:rPr>
          <w:t>22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63" w:history="1">
        <w:r w:rsidR="00E76515" w:rsidRPr="00040767">
          <w:rPr>
            <w:rStyle w:val="Hyperlink"/>
            <w:noProof/>
          </w:rPr>
          <w:t>Figure 1.3: Level of Urbanization and Rural - Urban Population Trends</w:t>
        </w:r>
        <w:r w:rsidR="00E76515">
          <w:rPr>
            <w:noProof/>
            <w:webHidden/>
          </w:rPr>
          <w:tab/>
        </w:r>
        <w:r>
          <w:rPr>
            <w:noProof/>
            <w:webHidden/>
          </w:rPr>
          <w:fldChar w:fldCharType="begin"/>
        </w:r>
        <w:r w:rsidR="00E76515">
          <w:rPr>
            <w:noProof/>
            <w:webHidden/>
          </w:rPr>
          <w:instrText xml:space="preserve"> PAGEREF _Toc474639163 \h </w:instrText>
        </w:r>
        <w:r>
          <w:rPr>
            <w:noProof/>
            <w:webHidden/>
          </w:rPr>
        </w:r>
        <w:r>
          <w:rPr>
            <w:noProof/>
            <w:webHidden/>
          </w:rPr>
          <w:fldChar w:fldCharType="separate"/>
        </w:r>
        <w:r w:rsidR="00AF29C3">
          <w:rPr>
            <w:noProof/>
            <w:webHidden/>
          </w:rPr>
          <w:t>65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64" w:history="1">
        <w:r w:rsidR="00E76515" w:rsidRPr="00040767">
          <w:rPr>
            <w:rStyle w:val="Hyperlink"/>
            <w:noProof/>
          </w:rPr>
          <w:t>Figure 2.1: Distribution of Upazillas by Hotspots</w:t>
        </w:r>
        <w:r w:rsidR="00E76515">
          <w:rPr>
            <w:noProof/>
            <w:webHidden/>
          </w:rPr>
          <w:tab/>
        </w:r>
        <w:r>
          <w:rPr>
            <w:noProof/>
            <w:webHidden/>
          </w:rPr>
          <w:fldChar w:fldCharType="begin"/>
        </w:r>
        <w:r w:rsidR="00E76515">
          <w:rPr>
            <w:noProof/>
            <w:webHidden/>
          </w:rPr>
          <w:instrText xml:space="preserve"> PAGEREF _Toc474639164 \h </w:instrText>
        </w:r>
        <w:r>
          <w:rPr>
            <w:noProof/>
            <w:webHidden/>
          </w:rPr>
        </w:r>
        <w:r>
          <w:rPr>
            <w:noProof/>
            <w:webHidden/>
          </w:rPr>
          <w:fldChar w:fldCharType="separate"/>
        </w:r>
        <w:r w:rsidR="00AF29C3">
          <w:rPr>
            <w:noProof/>
            <w:webHidden/>
          </w:rPr>
          <w:t>78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65" w:history="1">
        <w:r w:rsidR="00E76515" w:rsidRPr="00040767">
          <w:rPr>
            <w:rStyle w:val="Hyperlink"/>
            <w:noProof/>
          </w:rPr>
          <w:t>Figure 2.2: Population Growth by Hotspot (2011-2001)</w:t>
        </w:r>
        <w:r w:rsidR="00E76515">
          <w:rPr>
            <w:noProof/>
            <w:webHidden/>
          </w:rPr>
          <w:tab/>
        </w:r>
        <w:r>
          <w:rPr>
            <w:noProof/>
            <w:webHidden/>
          </w:rPr>
          <w:fldChar w:fldCharType="begin"/>
        </w:r>
        <w:r w:rsidR="00E76515">
          <w:rPr>
            <w:noProof/>
            <w:webHidden/>
          </w:rPr>
          <w:instrText xml:space="preserve"> PAGEREF _Toc474639165 \h </w:instrText>
        </w:r>
        <w:r>
          <w:rPr>
            <w:noProof/>
            <w:webHidden/>
          </w:rPr>
        </w:r>
        <w:r>
          <w:rPr>
            <w:noProof/>
            <w:webHidden/>
          </w:rPr>
          <w:fldChar w:fldCharType="separate"/>
        </w:r>
        <w:r w:rsidR="00AF29C3">
          <w:rPr>
            <w:noProof/>
            <w:webHidden/>
          </w:rPr>
          <w:t>80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66" w:history="1">
        <w:r w:rsidR="00E76515" w:rsidRPr="00040767">
          <w:rPr>
            <w:rStyle w:val="Hyperlink"/>
            <w:noProof/>
          </w:rPr>
          <w:t>Figure 2.3: Literacy Rates across Delta Regions</w:t>
        </w:r>
        <w:r w:rsidR="00E76515">
          <w:rPr>
            <w:noProof/>
            <w:webHidden/>
          </w:rPr>
          <w:tab/>
        </w:r>
        <w:r>
          <w:rPr>
            <w:noProof/>
            <w:webHidden/>
          </w:rPr>
          <w:fldChar w:fldCharType="begin"/>
        </w:r>
        <w:r w:rsidR="00E76515">
          <w:rPr>
            <w:noProof/>
            <w:webHidden/>
          </w:rPr>
          <w:instrText xml:space="preserve"> PAGEREF _Toc474639166 \h </w:instrText>
        </w:r>
        <w:r>
          <w:rPr>
            <w:noProof/>
            <w:webHidden/>
          </w:rPr>
        </w:r>
        <w:r>
          <w:rPr>
            <w:noProof/>
            <w:webHidden/>
          </w:rPr>
          <w:fldChar w:fldCharType="separate"/>
        </w:r>
        <w:r w:rsidR="00AF29C3">
          <w:rPr>
            <w:noProof/>
            <w:webHidden/>
          </w:rPr>
          <w:t>80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67" w:history="1">
        <w:r w:rsidR="00E76515" w:rsidRPr="00040767">
          <w:rPr>
            <w:rStyle w:val="Hyperlink"/>
            <w:noProof/>
          </w:rPr>
          <w:t>Figure 2.4: Income Distribution Pattern</w:t>
        </w:r>
        <w:r w:rsidR="00E76515">
          <w:rPr>
            <w:noProof/>
            <w:webHidden/>
          </w:rPr>
          <w:tab/>
        </w:r>
        <w:r>
          <w:rPr>
            <w:noProof/>
            <w:webHidden/>
          </w:rPr>
          <w:fldChar w:fldCharType="begin"/>
        </w:r>
        <w:r w:rsidR="00E76515">
          <w:rPr>
            <w:noProof/>
            <w:webHidden/>
          </w:rPr>
          <w:instrText xml:space="preserve"> PAGEREF _Toc474639167 \h </w:instrText>
        </w:r>
        <w:r>
          <w:rPr>
            <w:noProof/>
            <w:webHidden/>
          </w:rPr>
        </w:r>
        <w:r>
          <w:rPr>
            <w:noProof/>
            <w:webHidden/>
          </w:rPr>
          <w:fldChar w:fldCharType="separate"/>
        </w:r>
        <w:r w:rsidR="00AF29C3">
          <w:rPr>
            <w:noProof/>
            <w:webHidden/>
          </w:rPr>
          <w:t>92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68" w:history="1">
        <w:r w:rsidR="00E76515" w:rsidRPr="00040767">
          <w:rPr>
            <w:rStyle w:val="Hyperlink"/>
            <w:noProof/>
          </w:rPr>
          <w:t>Figure 2.5: 15-Most Poverty Stricken Districts, UPL 2010 (%)</w:t>
        </w:r>
        <w:r w:rsidR="00E76515">
          <w:rPr>
            <w:noProof/>
            <w:webHidden/>
          </w:rPr>
          <w:tab/>
        </w:r>
        <w:r>
          <w:rPr>
            <w:noProof/>
            <w:webHidden/>
          </w:rPr>
          <w:fldChar w:fldCharType="begin"/>
        </w:r>
        <w:r w:rsidR="00E76515">
          <w:rPr>
            <w:noProof/>
            <w:webHidden/>
          </w:rPr>
          <w:instrText xml:space="preserve"> PAGEREF _Toc474639168 \h </w:instrText>
        </w:r>
        <w:r>
          <w:rPr>
            <w:noProof/>
            <w:webHidden/>
          </w:rPr>
        </w:r>
        <w:r>
          <w:rPr>
            <w:noProof/>
            <w:webHidden/>
          </w:rPr>
          <w:fldChar w:fldCharType="separate"/>
        </w:r>
        <w:r w:rsidR="00AF29C3">
          <w:rPr>
            <w:noProof/>
            <w:webHidden/>
          </w:rPr>
          <w:t>99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69" w:history="1">
        <w:r w:rsidR="00E76515" w:rsidRPr="00040767">
          <w:rPr>
            <w:rStyle w:val="Hyperlink"/>
            <w:noProof/>
          </w:rPr>
          <w:t>Figure 2.6 Poorest of the Poor Upzillas</w:t>
        </w:r>
        <w:r w:rsidR="00E76515">
          <w:rPr>
            <w:noProof/>
            <w:webHidden/>
          </w:rPr>
          <w:tab/>
        </w:r>
        <w:r>
          <w:rPr>
            <w:noProof/>
            <w:webHidden/>
          </w:rPr>
          <w:fldChar w:fldCharType="begin"/>
        </w:r>
        <w:r w:rsidR="00E76515">
          <w:rPr>
            <w:noProof/>
            <w:webHidden/>
          </w:rPr>
          <w:instrText xml:space="preserve"> PAGEREF _Toc474639169 \h </w:instrText>
        </w:r>
        <w:r>
          <w:rPr>
            <w:noProof/>
            <w:webHidden/>
          </w:rPr>
        </w:r>
        <w:r>
          <w:rPr>
            <w:noProof/>
            <w:webHidden/>
          </w:rPr>
          <w:fldChar w:fldCharType="separate"/>
        </w:r>
        <w:r w:rsidR="00AF29C3">
          <w:rPr>
            <w:noProof/>
            <w:webHidden/>
          </w:rPr>
          <w:t>100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0" w:history="1">
        <w:r w:rsidR="00E76515" w:rsidRPr="00040767">
          <w:rPr>
            <w:rStyle w:val="Hyperlink"/>
            <w:noProof/>
          </w:rPr>
          <w:t>Figure 3.1: District wise Incidence of Arsenic Poisoning</w:t>
        </w:r>
        <w:r w:rsidR="00E76515">
          <w:rPr>
            <w:noProof/>
            <w:webHidden/>
          </w:rPr>
          <w:tab/>
        </w:r>
        <w:r>
          <w:rPr>
            <w:noProof/>
            <w:webHidden/>
          </w:rPr>
          <w:fldChar w:fldCharType="begin"/>
        </w:r>
        <w:r w:rsidR="00E76515">
          <w:rPr>
            <w:noProof/>
            <w:webHidden/>
          </w:rPr>
          <w:instrText xml:space="preserve"> PAGEREF _Toc474639170 \h </w:instrText>
        </w:r>
        <w:r>
          <w:rPr>
            <w:noProof/>
            <w:webHidden/>
          </w:rPr>
        </w:r>
        <w:r>
          <w:rPr>
            <w:noProof/>
            <w:webHidden/>
          </w:rPr>
          <w:fldChar w:fldCharType="separate"/>
        </w:r>
        <w:r w:rsidR="00AF29C3">
          <w:rPr>
            <w:noProof/>
            <w:webHidden/>
          </w:rPr>
          <w:t>122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1" w:history="1">
        <w:r w:rsidR="00E76515" w:rsidRPr="00040767">
          <w:rPr>
            <w:rStyle w:val="Hyperlink"/>
            <w:noProof/>
          </w:rPr>
          <w:t>Figure 5.1: Per Capita GNI Comparison (USD)</w:t>
        </w:r>
        <w:r w:rsidR="00E76515">
          <w:rPr>
            <w:noProof/>
            <w:webHidden/>
          </w:rPr>
          <w:tab/>
        </w:r>
        <w:r>
          <w:rPr>
            <w:noProof/>
            <w:webHidden/>
          </w:rPr>
          <w:fldChar w:fldCharType="begin"/>
        </w:r>
        <w:r w:rsidR="00E76515">
          <w:rPr>
            <w:noProof/>
            <w:webHidden/>
          </w:rPr>
          <w:instrText xml:space="preserve"> PAGEREF _Toc474639171 \h </w:instrText>
        </w:r>
        <w:r>
          <w:rPr>
            <w:noProof/>
            <w:webHidden/>
          </w:rPr>
        </w:r>
        <w:r>
          <w:rPr>
            <w:noProof/>
            <w:webHidden/>
          </w:rPr>
          <w:fldChar w:fldCharType="separate"/>
        </w:r>
        <w:r w:rsidR="00AF29C3">
          <w:rPr>
            <w:noProof/>
            <w:webHidden/>
          </w:rPr>
          <w:t>193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2" w:history="1">
        <w:r w:rsidR="00E76515" w:rsidRPr="00040767">
          <w:rPr>
            <w:rStyle w:val="Hyperlink"/>
            <w:noProof/>
          </w:rPr>
          <w:t>Figure 5.2: Income Gap between BAU Option and Government’s Planned  Option with 8% growth</w:t>
        </w:r>
        <w:r w:rsidR="00E76515">
          <w:rPr>
            <w:noProof/>
            <w:webHidden/>
          </w:rPr>
          <w:tab/>
        </w:r>
        <w:r>
          <w:rPr>
            <w:noProof/>
            <w:webHidden/>
          </w:rPr>
          <w:fldChar w:fldCharType="begin"/>
        </w:r>
        <w:r w:rsidR="00E76515">
          <w:rPr>
            <w:noProof/>
            <w:webHidden/>
          </w:rPr>
          <w:instrText xml:space="preserve"> PAGEREF _Toc474639172 \h </w:instrText>
        </w:r>
        <w:r>
          <w:rPr>
            <w:noProof/>
            <w:webHidden/>
          </w:rPr>
        </w:r>
        <w:r>
          <w:rPr>
            <w:noProof/>
            <w:webHidden/>
          </w:rPr>
          <w:fldChar w:fldCharType="separate"/>
        </w:r>
        <w:r w:rsidR="00AF29C3">
          <w:rPr>
            <w:noProof/>
            <w:webHidden/>
          </w:rPr>
          <w:t>194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3" w:history="1">
        <w:r w:rsidR="00E76515" w:rsidRPr="00040767">
          <w:rPr>
            <w:rStyle w:val="Hyperlink"/>
            <w:noProof/>
          </w:rPr>
          <w:t>Figure 5.3: Increased Unemployment due to Environmental Degradation in BAU Option</w:t>
        </w:r>
        <w:r w:rsidR="00E76515">
          <w:rPr>
            <w:noProof/>
            <w:webHidden/>
          </w:rPr>
          <w:tab/>
        </w:r>
        <w:r>
          <w:rPr>
            <w:noProof/>
            <w:webHidden/>
          </w:rPr>
          <w:fldChar w:fldCharType="begin"/>
        </w:r>
        <w:r w:rsidR="00E76515">
          <w:rPr>
            <w:noProof/>
            <w:webHidden/>
          </w:rPr>
          <w:instrText xml:space="preserve"> PAGEREF _Toc474639173 \h </w:instrText>
        </w:r>
        <w:r>
          <w:rPr>
            <w:noProof/>
            <w:webHidden/>
          </w:rPr>
        </w:r>
        <w:r>
          <w:rPr>
            <w:noProof/>
            <w:webHidden/>
          </w:rPr>
          <w:fldChar w:fldCharType="separate"/>
        </w:r>
        <w:r w:rsidR="00AF29C3">
          <w:rPr>
            <w:noProof/>
            <w:webHidden/>
          </w:rPr>
          <w:t>194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4" w:history="1">
        <w:r w:rsidR="00E76515" w:rsidRPr="00040767">
          <w:rPr>
            <w:rStyle w:val="Hyperlink"/>
            <w:noProof/>
          </w:rPr>
          <w:t>Figure 5.4: Region wise Increase in Unemployment in BAU Option (in million)</w:t>
        </w:r>
        <w:r w:rsidR="00E76515">
          <w:rPr>
            <w:noProof/>
            <w:webHidden/>
          </w:rPr>
          <w:tab/>
        </w:r>
        <w:r>
          <w:rPr>
            <w:noProof/>
            <w:webHidden/>
          </w:rPr>
          <w:fldChar w:fldCharType="begin"/>
        </w:r>
        <w:r w:rsidR="00E76515">
          <w:rPr>
            <w:noProof/>
            <w:webHidden/>
          </w:rPr>
          <w:instrText xml:space="preserve"> PAGEREF _Toc474639174 \h </w:instrText>
        </w:r>
        <w:r>
          <w:rPr>
            <w:noProof/>
            <w:webHidden/>
          </w:rPr>
        </w:r>
        <w:r>
          <w:rPr>
            <w:noProof/>
            <w:webHidden/>
          </w:rPr>
          <w:fldChar w:fldCharType="separate"/>
        </w:r>
        <w:r w:rsidR="00AF29C3">
          <w:rPr>
            <w:noProof/>
            <w:webHidden/>
          </w:rPr>
          <w:t>194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5" w:history="1">
        <w:r w:rsidR="00E76515" w:rsidRPr="00040767">
          <w:rPr>
            <w:rStyle w:val="Hyperlink"/>
            <w:noProof/>
          </w:rPr>
          <w:t>Figure 5.5: Moderate Poverty in BAU Option</w:t>
        </w:r>
        <w:r w:rsidR="00E76515">
          <w:rPr>
            <w:noProof/>
            <w:webHidden/>
          </w:rPr>
          <w:tab/>
        </w:r>
        <w:r>
          <w:rPr>
            <w:noProof/>
            <w:webHidden/>
          </w:rPr>
          <w:fldChar w:fldCharType="begin"/>
        </w:r>
        <w:r w:rsidR="00E76515">
          <w:rPr>
            <w:noProof/>
            <w:webHidden/>
          </w:rPr>
          <w:instrText xml:space="preserve"> PAGEREF _Toc474639175 \h </w:instrText>
        </w:r>
        <w:r>
          <w:rPr>
            <w:noProof/>
            <w:webHidden/>
          </w:rPr>
        </w:r>
        <w:r>
          <w:rPr>
            <w:noProof/>
            <w:webHidden/>
          </w:rPr>
          <w:fldChar w:fldCharType="separate"/>
        </w:r>
        <w:r w:rsidR="00AF29C3">
          <w:rPr>
            <w:noProof/>
            <w:webHidden/>
          </w:rPr>
          <w:t>196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6" w:history="1">
        <w:r w:rsidR="00E76515" w:rsidRPr="00040767">
          <w:rPr>
            <w:rStyle w:val="Hyperlink"/>
            <w:noProof/>
          </w:rPr>
          <w:t>Figure 5.6: Extreme Poverty in BAU Option</w:t>
        </w:r>
        <w:r w:rsidR="00E76515">
          <w:rPr>
            <w:noProof/>
            <w:webHidden/>
          </w:rPr>
          <w:tab/>
        </w:r>
        <w:r>
          <w:rPr>
            <w:noProof/>
            <w:webHidden/>
          </w:rPr>
          <w:fldChar w:fldCharType="begin"/>
        </w:r>
        <w:r w:rsidR="00E76515">
          <w:rPr>
            <w:noProof/>
            <w:webHidden/>
          </w:rPr>
          <w:instrText xml:space="preserve"> PAGEREF _Toc474639176 \h </w:instrText>
        </w:r>
        <w:r>
          <w:rPr>
            <w:noProof/>
            <w:webHidden/>
          </w:rPr>
        </w:r>
        <w:r>
          <w:rPr>
            <w:noProof/>
            <w:webHidden/>
          </w:rPr>
          <w:fldChar w:fldCharType="separate"/>
        </w:r>
        <w:r w:rsidR="00AF29C3">
          <w:rPr>
            <w:noProof/>
            <w:webHidden/>
          </w:rPr>
          <w:t>196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7" w:history="1">
        <w:r w:rsidR="00E76515" w:rsidRPr="00040767">
          <w:rPr>
            <w:rStyle w:val="Hyperlink"/>
            <w:noProof/>
          </w:rPr>
          <w:t>Figure 5.7: Region wise Moderate Poverty in BAU Option</w:t>
        </w:r>
        <w:r w:rsidR="00E76515">
          <w:rPr>
            <w:noProof/>
            <w:webHidden/>
          </w:rPr>
          <w:tab/>
        </w:r>
        <w:r>
          <w:rPr>
            <w:noProof/>
            <w:webHidden/>
          </w:rPr>
          <w:fldChar w:fldCharType="begin"/>
        </w:r>
        <w:r w:rsidR="00E76515">
          <w:rPr>
            <w:noProof/>
            <w:webHidden/>
          </w:rPr>
          <w:instrText xml:space="preserve"> PAGEREF _Toc474639177 \h </w:instrText>
        </w:r>
        <w:r>
          <w:rPr>
            <w:noProof/>
            <w:webHidden/>
          </w:rPr>
        </w:r>
        <w:r>
          <w:rPr>
            <w:noProof/>
            <w:webHidden/>
          </w:rPr>
          <w:fldChar w:fldCharType="separate"/>
        </w:r>
        <w:r w:rsidR="00AF29C3">
          <w:rPr>
            <w:noProof/>
            <w:webHidden/>
          </w:rPr>
          <w:t>196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8" w:history="1">
        <w:r w:rsidR="00E76515" w:rsidRPr="00040767">
          <w:rPr>
            <w:rStyle w:val="Hyperlink"/>
            <w:noProof/>
          </w:rPr>
          <w:t>Figure 5.8: Region wise Extreme Poverty in BAU Option</w:t>
        </w:r>
        <w:r w:rsidR="00E76515">
          <w:rPr>
            <w:noProof/>
            <w:webHidden/>
          </w:rPr>
          <w:tab/>
        </w:r>
        <w:r>
          <w:rPr>
            <w:noProof/>
            <w:webHidden/>
          </w:rPr>
          <w:fldChar w:fldCharType="begin"/>
        </w:r>
        <w:r w:rsidR="00E76515">
          <w:rPr>
            <w:noProof/>
            <w:webHidden/>
          </w:rPr>
          <w:instrText xml:space="preserve"> PAGEREF _Toc474639178 \h </w:instrText>
        </w:r>
        <w:r>
          <w:rPr>
            <w:noProof/>
            <w:webHidden/>
          </w:rPr>
        </w:r>
        <w:r>
          <w:rPr>
            <w:noProof/>
            <w:webHidden/>
          </w:rPr>
          <w:fldChar w:fldCharType="separate"/>
        </w:r>
        <w:r w:rsidR="00AF29C3">
          <w:rPr>
            <w:noProof/>
            <w:webHidden/>
          </w:rPr>
          <w:t>196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79" w:history="1">
        <w:r w:rsidR="00E76515" w:rsidRPr="00040767">
          <w:rPr>
            <w:rStyle w:val="Hyperlink"/>
            <w:noProof/>
          </w:rPr>
          <w:t>Figure 5.9: Per Capita Nominal GDP (USD)</w:t>
        </w:r>
        <w:r w:rsidR="00E76515">
          <w:rPr>
            <w:noProof/>
            <w:webHidden/>
          </w:rPr>
          <w:tab/>
        </w:r>
        <w:r>
          <w:rPr>
            <w:noProof/>
            <w:webHidden/>
          </w:rPr>
          <w:fldChar w:fldCharType="begin"/>
        </w:r>
        <w:r w:rsidR="00E76515">
          <w:rPr>
            <w:noProof/>
            <w:webHidden/>
          </w:rPr>
          <w:instrText xml:space="preserve"> PAGEREF _Toc474639179 \h </w:instrText>
        </w:r>
        <w:r>
          <w:rPr>
            <w:noProof/>
            <w:webHidden/>
          </w:rPr>
        </w:r>
        <w:r>
          <w:rPr>
            <w:noProof/>
            <w:webHidden/>
          </w:rPr>
          <w:fldChar w:fldCharType="separate"/>
        </w:r>
        <w:r w:rsidR="00AF29C3">
          <w:rPr>
            <w:noProof/>
            <w:webHidden/>
          </w:rPr>
          <w:t>201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0" w:history="1">
        <w:r w:rsidR="00E76515" w:rsidRPr="00040767">
          <w:rPr>
            <w:rStyle w:val="Hyperlink"/>
            <w:noProof/>
          </w:rPr>
          <w:t>Figure 5.10:  Labour Force Participation in Delta Plan Option</w:t>
        </w:r>
        <w:r w:rsidR="00E76515">
          <w:rPr>
            <w:noProof/>
            <w:webHidden/>
          </w:rPr>
          <w:tab/>
        </w:r>
        <w:r>
          <w:rPr>
            <w:noProof/>
            <w:webHidden/>
          </w:rPr>
          <w:fldChar w:fldCharType="begin"/>
        </w:r>
        <w:r w:rsidR="00E76515">
          <w:rPr>
            <w:noProof/>
            <w:webHidden/>
          </w:rPr>
          <w:instrText xml:space="preserve"> PAGEREF _Toc474639180 \h </w:instrText>
        </w:r>
        <w:r>
          <w:rPr>
            <w:noProof/>
            <w:webHidden/>
          </w:rPr>
        </w:r>
        <w:r>
          <w:rPr>
            <w:noProof/>
            <w:webHidden/>
          </w:rPr>
          <w:fldChar w:fldCharType="separate"/>
        </w:r>
        <w:r w:rsidR="00AF29C3">
          <w:rPr>
            <w:noProof/>
            <w:webHidden/>
          </w:rPr>
          <w:t>201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1" w:history="1">
        <w:r w:rsidR="00E76515" w:rsidRPr="00040767">
          <w:rPr>
            <w:rStyle w:val="Hyperlink"/>
            <w:noProof/>
          </w:rPr>
          <w:t>Figure 5.11: Employment in Delta Plan Option</w:t>
        </w:r>
        <w:r w:rsidR="00E76515">
          <w:rPr>
            <w:noProof/>
            <w:webHidden/>
          </w:rPr>
          <w:tab/>
        </w:r>
        <w:r>
          <w:rPr>
            <w:noProof/>
            <w:webHidden/>
          </w:rPr>
          <w:fldChar w:fldCharType="begin"/>
        </w:r>
        <w:r w:rsidR="00E76515">
          <w:rPr>
            <w:noProof/>
            <w:webHidden/>
          </w:rPr>
          <w:instrText xml:space="preserve"> PAGEREF _Toc474639181 \h </w:instrText>
        </w:r>
        <w:r>
          <w:rPr>
            <w:noProof/>
            <w:webHidden/>
          </w:rPr>
        </w:r>
        <w:r>
          <w:rPr>
            <w:noProof/>
            <w:webHidden/>
          </w:rPr>
          <w:fldChar w:fldCharType="separate"/>
        </w:r>
        <w:r w:rsidR="00AF29C3">
          <w:rPr>
            <w:noProof/>
            <w:webHidden/>
          </w:rPr>
          <w:t>201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2" w:history="1">
        <w:r w:rsidR="00E76515" w:rsidRPr="00040767">
          <w:rPr>
            <w:rStyle w:val="Hyperlink"/>
            <w:noProof/>
          </w:rPr>
          <w:t>Figure 5.12: Investment and Capital Stock</w:t>
        </w:r>
        <w:r w:rsidR="00E76515">
          <w:rPr>
            <w:noProof/>
            <w:webHidden/>
          </w:rPr>
          <w:tab/>
        </w:r>
        <w:r>
          <w:rPr>
            <w:noProof/>
            <w:webHidden/>
          </w:rPr>
          <w:fldChar w:fldCharType="begin"/>
        </w:r>
        <w:r w:rsidR="00E76515">
          <w:rPr>
            <w:noProof/>
            <w:webHidden/>
          </w:rPr>
          <w:instrText xml:space="preserve"> PAGEREF _Toc474639182 \h </w:instrText>
        </w:r>
        <w:r>
          <w:rPr>
            <w:noProof/>
            <w:webHidden/>
          </w:rPr>
        </w:r>
        <w:r>
          <w:rPr>
            <w:noProof/>
            <w:webHidden/>
          </w:rPr>
          <w:fldChar w:fldCharType="separate"/>
        </w:r>
        <w:r w:rsidR="00AF29C3">
          <w:rPr>
            <w:noProof/>
            <w:webHidden/>
          </w:rPr>
          <w:t>202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3" w:history="1">
        <w:r w:rsidR="00E76515" w:rsidRPr="00040767">
          <w:rPr>
            <w:rStyle w:val="Hyperlink"/>
            <w:noProof/>
          </w:rPr>
          <w:t>Figure 5.13: Moderate Poverty in Delta Plan Option</w:t>
        </w:r>
        <w:r w:rsidR="00E76515">
          <w:rPr>
            <w:noProof/>
            <w:webHidden/>
          </w:rPr>
          <w:tab/>
        </w:r>
        <w:r>
          <w:rPr>
            <w:noProof/>
            <w:webHidden/>
          </w:rPr>
          <w:fldChar w:fldCharType="begin"/>
        </w:r>
        <w:r w:rsidR="00E76515">
          <w:rPr>
            <w:noProof/>
            <w:webHidden/>
          </w:rPr>
          <w:instrText xml:space="preserve"> PAGEREF _Toc474639183 \h </w:instrText>
        </w:r>
        <w:r>
          <w:rPr>
            <w:noProof/>
            <w:webHidden/>
          </w:rPr>
        </w:r>
        <w:r>
          <w:rPr>
            <w:noProof/>
            <w:webHidden/>
          </w:rPr>
          <w:fldChar w:fldCharType="separate"/>
        </w:r>
        <w:r w:rsidR="00AF29C3">
          <w:rPr>
            <w:noProof/>
            <w:webHidden/>
          </w:rPr>
          <w:t>204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4" w:history="1">
        <w:r w:rsidR="00E76515" w:rsidRPr="00040767">
          <w:rPr>
            <w:rStyle w:val="Hyperlink"/>
            <w:noProof/>
          </w:rPr>
          <w:t>Figure 5.14: Extreme Poverty in Delta Plan Option</w:t>
        </w:r>
        <w:r w:rsidR="00E76515">
          <w:rPr>
            <w:noProof/>
            <w:webHidden/>
          </w:rPr>
          <w:tab/>
        </w:r>
        <w:r>
          <w:rPr>
            <w:noProof/>
            <w:webHidden/>
          </w:rPr>
          <w:fldChar w:fldCharType="begin"/>
        </w:r>
        <w:r w:rsidR="00E76515">
          <w:rPr>
            <w:noProof/>
            <w:webHidden/>
          </w:rPr>
          <w:instrText xml:space="preserve"> PAGEREF _Toc474639184 \h </w:instrText>
        </w:r>
        <w:r>
          <w:rPr>
            <w:noProof/>
            <w:webHidden/>
          </w:rPr>
        </w:r>
        <w:r>
          <w:rPr>
            <w:noProof/>
            <w:webHidden/>
          </w:rPr>
          <w:fldChar w:fldCharType="separate"/>
        </w:r>
        <w:r w:rsidR="00AF29C3">
          <w:rPr>
            <w:noProof/>
            <w:webHidden/>
          </w:rPr>
          <w:t>204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5" w:history="1">
        <w:r w:rsidR="00E76515" w:rsidRPr="00040767">
          <w:rPr>
            <w:rStyle w:val="Hyperlink"/>
            <w:noProof/>
          </w:rPr>
          <w:t>Figure 5.15: Region wise Moderate Poverty in Delta Plan Scenario</w:t>
        </w:r>
        <w:r w:rsidR="00E76515">
          <w:rPr>
            <w:noProof/>
            <w:webHidden/>
          </w:rPr>
          <w:tab/>
        </w:r>
        <w:r>
          <w:rPr>
            <w:noProof/>
            <w:webHidden/>
          </w:rPr>
          <w:fldChar w:fldCharType="begin"/>
        </w:r>
        <w:r w:rsidR="00E76515">
          <w:rPr>
            <w:noProof/>
            <w:webHidden/>
          </w:rPr>
          <w:instrText xml:space="preserve"> PAGEREF _Toc474639185 \h </w:instrText>
        </w:r>
        <w:r>
          <w:rPr>
            <w:noProof/>
            <w:webHidden/>
          </w:rPr>
        </w:r>
        <w:r>
          <w:rPr>
            <w:noProof/>
            <w:webHidden/>
          </w:rPr>
          <w:fldChar w:fldCharType="separate"/>
        </w:r>
        <w:r w:rsidR="00AF29C3">
          <w:rPr>
            <w:noProof/>
            <w:webHidden/>
          </w:rPr>
          <w:t>204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6" w:history="1">
        <w:r w:rsidR="00E76515" w:rsidRPr="00040767">
          <w:rPr>
            <w:rStyle w:val="Hyperlink"/>
            <w:noProof/>
          </w:rPr>
          <w:t>Figure 5.16: Region wise Extreme Poverty in Delta Plan Scenario</w:t>
        </w:r>
        <w:r w:rsidR="00E76515">
          <w:rPr>
            <w:noProof/>
            <w:webHidden/>
          </w:rPr>
          <w:tab/>
        </w:r>
        <w:r>
          <w:rPr>
            <w:noProof/>
            <w:webHidden/>
          </w:rPr>
          <w:fldChar w:fldCharType="begin"/>
        </w:r>
        <w:r w:rsidR="00E76515">
          <w:rPr>
            <w:noProof/>
            <w:webHidden/>
          </w:rPr>
          <w:instrText xml:space="preserve"> PAGEREF _Toc474639186 \h </w:instrText>
        </w:r>
        <w:r>
          <w:rPr>
            <w:noProof/>
            <w:webHidden/>
          </w:rPr>
        </w:r>
        <w:r>
          <w:rPr>
            <w:noProof/>
            <w:webHidden/>
          </w:rPr>
          <w:fldChar w:fldCharType="separate"/>
        </w:r>
        <w:r w:rsidR="00AF29C3">
          <w:rPr>
            <w:noProof/>
            <w:webHidden/>
          </w:rPr>
          <w:t>204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7" w:history="1">
        <w:r w:rsidR="00E76515" w:rsidRPr="00040767">
          <w:rPr>
            <w:rStyle w:val="Hyperlink"/>
            <w:noProof/>
          </w:rPr>
          <w:t>Figure 5.17: Requirements for Mitigation and Adaptation (2016-41)</w:t>
        </w:r>
        <w:r w:rsidR="00E76515">
          <w:rPr>
            <w:noProof/>
            <w:webHidden/>
          </w:rPr>
          <w:tab/>
        </w:r>
        <w:r>
          <w:rPr>
            <w:noProof/>
            <w:webHidden/>
          </w:rPr>
          <w:fldChar w:fldCharType="begin"/>
        </w:r>
        <w:r w:rsidR="00E76515">
          <w:rPr>
            <w:noProof/>
            <w:webHidden/>
          </w:rPr>
          <w:instrText xml:space="preserve"> PAGEREF _Toc474639187 \h </w:instrText>
        </w:r>
        <w:r>
          <w:rPr>
            <w:noProof/>
            <w:webHidden/>
          </w:rPr>
        </w:r>
        <w:r>
          <w:rPr>
            <w:noProof/>
            <w:webHidden/>
          </w:rPr>
          <w:fldChar w:fldCharType="separate"/>
        </w:r>
        <w:r w:rsidR="00AF29C3">
          <w:rPr>
            <w:noProof/>
            <w:webHidden/>
          </w:rPr>
          <w:t>205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8" w:history="1">
        <w:r w:rsidR="00E76515" w:rsidRPr="00040767">
          <w:rPr>
            <w:rStyle w:val="Hyperlink"/>
            <w:noProof/>
          </w:rPr>
          <w:t>Figure 5.18: Region wise Additional Resource Requirement ( 2016-41)</w:t>
        </w:r>
        <w:r w:rsidR="00E76515">
          <w:rPr>
            <w:noProof/>
            <w:webHidden/>
          </w:rPr>
          <w:tab/>
        </w:r>
        <w:r>
          <w:rPr>
            <w:noProof/>
            <w:webHidden/>
          </w:rPr>
          <w:fldChar w:fldCharType="begin"/>
        </w:r>
        <w:r w:rsidR="00E76515">
          <w:rPr>
            <w:noProof/>
            <w:webHidden/>
          </w:rPr>
          <w:instrText xml:space="preserve"> PAGEREF _Toc474639188 \h </w:instrText>
        </w:r>
        <w:r>
          <w:rPr>
            <w:noProof/>
            <w:webHidden/>
          </w:rPr>
        </w:r>
        <w:r>
          <w:rPr>
            <w:noProof/>
            <w:webHidden/>
          </w:rPr>
          <w:fldChar w:fldCharType="separate"/>
        </w:r>
        <w:r w:rsidR="00AF29C3">
          <w:rPr>
            <w:noProof/>
            <w:webHidden/>
          </w:rPr>
          <w:t>205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89" w:history="1">
        <w:r w:rsidR="00E76515" w:rsidRPr="00040767">
          <w:rPr>
            <w:rStyle w:val="Hyperlink"/>
            <w:noProof/>
          </w:rPr>
          <w:t>Figure 7.1: Land Forms in Bangladesh</w:t>
        </w:r>
        <w:r w:rsidR="00E76515">
          <w:rPr>
            <w:noProof/>
            <w:webHidden/>
          </w:rPr>
          <w:tab/>
        </w:r>
        <w:r>
          <w:rPr>
            <w:noProof/>
            <w:webHidden/>
          </w:rPr>
          <w:fldChar w:fldCharType="begin"/>
        </w:r>
        <w:r w:rsidR="00E76515">
          <w:rPr>
            <w:noProof/>
            <w:webHidden/>
          </w:rPr>
          <w:instrText xml:space="preserve"> PAGEREF _Toc474639189 \h </w:instrText>
        </w:r>
        <w:r>
          <w:rPr>
            <w:noProof/>
            <w:webHidden/>
          </w:rPr>
        </w:r>
        <w:r>
          <w:rPr>
            <w:noProof/>
            <w:webHidden/>
          </w:rPr>
          <w:fldChar w:fldCharType="separate"/>
        </w:r>
        <w:r w:rsidR="00AF29C3">
          <w:rPr>
            <w:noProof/>
            <w:webHidden/>
          </w:rPr>
          <w:t>261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0" w:history="1">
        <w:r w:rsidR="00E76515" w:rsidRPr="00040767">
          <w:rPr>
            <w:rStyle w:val="Hyperlink"/>
            <w:noProof/>
          </w:rPr>
          <w:t>Figure 7.2: Trends of Agricultural and Non-agricultural Land Cover during 1976 -2010</w:t>
        </w:r>
        <w:r w:rsidR="00E76515">
          <w:rPr>
            <w:noProof/>
            <w:webHidden/>
          </w:rPr>
          <w:tab/>
        </w:r>
        <w:r>
          <w:rPr>
            <w:noProof/>
            <w:webHidden/>
          </w:rPr>
          <w:fldChar w:fldCharType="begin"/>
        </w:r>
        <w:r w:rsidR="00E76515">
          <w:rPr>
            <w:noProof/>
            <w:webHidden/>
          </w:rPr>
          <w:instrText xml:space="preserve"> PAGEREF _Toc474639190 \h </w:instrText>
        </w:r>
        <w:r>
          <w:rPr>
            <w:noProof/>
            <w:webHidden/>
          </w:rPr>
        </w:r>
        <w:r>
          <w:rPr>
            <w:noProof/>
            <w:webHidden/>
          </w:rPr>
          <w:fldChar w:fldCharType="separate"/>
        </w:r>
        <w:r w:rsidR="00AF29C3">
          <w:rPr>
            <w:noProof/>
            <w:webHidden/>
          </w:rPr>
          <w:t>273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1" w:history="1">
        <w:r w:rsidR="00E76515" w:rsidRPr="00040767">
          <w:rPr>
            <w:rStyle w:val="Hyperlink"/>
            <w:noProof/>
          </w:rPr>
          <w:t>Figure 7.3: Annual Net Land Loss and Land Gain by Use</w:t>
        </w:r>
        <w:r w:rsidR="00E76515">
          <w:rPr>
            <w:noProof/>
            <w:webHidden/>
          </w:rPr>
          <w:tab/>
        </w:r>
        <w:r>
          <w:rPr>
            <w:noProof/>
            <w:webHidden/>
          </w:rPr>
          <w:fldChar w:fldCharType="begin"/>
        </w:r>
        <w:r w:rsidR="00E76515">
          <w:rPr>
            <w:noProof/>
            <w:webHidden/>
          </w:rPr>
          <w:instrText xml:space="preserve"> PAGEREF _Toc474639191 \h </w:instrText>
        </w:r>
        <w:r>
          <w:rPr>
            <w:noProof/>
            <w:webHidden/>
          </w:rPr>
        </w:r>
        <w:r>
          <w:rPr>
            <w:noProof/>
            <w:webHidden/>
          </w:rPr>
          <w:fldChar w:fldCharType="separate"/>
        </w:r>
        <w:r w:rsidR="00AF29C3">
          <w:rPr>
            <w:noProof/>
            <w:webHidden/>
          </w:rPr>
          <w:t>275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2" w:history="1">
        <w:r w:rsidR="00E76515" w:rsidRPr="00040767">
          <w:rPr>
            <w:rStyle w:val="Hyperlink"/>
            <w:noProof/>
          </w:rPr>
          <w:t>Figure 7.4: Change in Land Cover by Use, 1976 -2010 (Area ‘000’ha)</w:t>
        </w:r>
        <w:r w:rsidR="00E76515">
          <w:rPr>
            <w:noProof/>
            <w:webHidden/>
          </w:rPr>
          <w:tab/>
        </w:r>
        <w:r>
          <w:rPr>
            <w:noProof/>
            <w:webHidden/>
          </w:rPr>
          <w:fldChar w:fldCharType="begin"/>
        </w:r>
        <w:r w:rsidR="00E76515">
          <w:rPr>
            <w:noProof/>
            <w:webHidden/>
          </w:rPr>
          <w:instrText xml:space="preserve"> PAGEREF _Toc474639192 \h </w:instrText>
        </w:r>
        <w:r>
          <w:rPr>
            <w:noProof/>
            <w:webHidden/>
          </w:rPr>
        </w:r>
        <w:r>
          <w:rPr>
            <w:noProof/>
            <w:webHidden/>
          </w:rPr>
          <w:fldChar w:fldCharType="separate"/>
        </w:r>
        <w:r w:rsidR="00AF29C3">
          <w:rPr>
            <w:noProof/>
            <w:webHidden/>
          </w:rPr>
          <w:t>276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3" w:history="1">
        <w:r w:rsidR="00E76515" w:rsidRPr="00040767">
          <w:rPr>
            <w:rStyle w:val="Hyperlink"/>
            <w:noProof/>
          </w:rPr>
          <w:t>Figure 7.5: Land Reclamation and Development in the Meghna Estuaries, 1973-2010</w:t>
        </w:r>
        <w:r w:rsidR="00E76515">
          <w:rPr>
            <w:noProof/>
            <w:webHidden/>
          </w:rPr>
          <w:tab/>
        </w:r>
        <w:r>
          <w:rPr>
            <w:noProof/>
            <w:webHidden/>
          </w:rPr>
          <w:fldChar w:fldCharType="begin"/>
        </w:r>
        <w:r w:rsidR="00E76515">
          <w:rPr>
            <w:noProof/>
            <w:webHidden/>
          </w:rPr>
          <w:instrText xml:space="preserve"> PAGEREF _Toc474639193 \h </w:instrText>
        </w:r>
        <w:r>
          <w:rPr>
            <w:noProof/>
            <w:webHidden/>
          </w:rPr>
        </w:r>
        <w:r>
          <w:rPr>
            <w:noProof/>
            <w:webHidden/>
          </w:rPr>
          <w:fldChar w:fldCharType="separate"/>
        </w:r>
        <w:r w:rsidR="00AF29C3">
          <w:rPr>
            <w:noProof/>
            <w:webHidden/>
          </w:rPr>
          <w:t>285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4" w:history="1">
        <w:r w:rsidR="00E76515" w:rsidRPr="00040767">
          <w:rPr>
            <w:rStyle w:val="Hyperlink"/>
            <w:noProof/>
          </w:rPr>
          <w:t>Figure 7.6: Creating and Maintaining Land Records at Sub-national level: Key Roles, Reporting Lines and Supervision.</w:t>
        </w:r>
        <w:r w:rsidR="00E76515">
          <w:rPr>
            <w:noProof/>
            <w:webHidden/>
          </w:rPr>
          <w:tab/>
        </w:r>
        <w:r>
          <w:rPr>
            <w:noProof/>
            <w:webHidden/>
          </w:rPr>
          <w:fldChar w:fldCharType="begin"/>
        </w:r>
        <w:r w:rsidR="00E76515">
          <w:rPr>
            <w:noProof/>
            <w:webHidden/>
          </w:rPr>
          <w:instrText xml:space="preserve"> PAGEREF _Toc474639194 \h </w:instrText>
        </w:r>
        <w:r>
          <w:rPr>
            <w:noProof/>
            <w:webHidden/>
          </w:rPr>
        </w:r>
        <w:r>
          <w:rPr>
            <w:noProof/>
            <w:webHidden/>
          </w:rPr>
          <w:fldChar w:fldCharType="separate"/>
        </w:r>
        <w:r w:rsidR="00AF29C3">
          <w:rPr>
            <w:noProof/>
            <w:webHidden/>
          </w:rPr>
          <w:t>288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5" w:history="1">
        <w:r w:rsidR="00E76515" w:rsidRPr="00040767">
          <w:rPr>
            <w:rStyle w:val="Hyperlink"/>
            <w:noProof/>
          </w:rPr>
          <w:t>Figure 8.1: Physical impacts of Climate Change on Agricultural production</w:t>
        </w:r>
        <w:r w:rsidR="00E76515">
          <w:rPr>
            <w:noProof/>
            <w:webHidden/>
          </w:rPr>
          <w:tab/>
        </w:r>
        <w:r>
          <w:rPr>
            <w:noProof/>
            <w:webHidden/>
          </w:rPr>
          <w:fldChar w:fldCharType="begin"/>
        </w:r>
        <w:r w:rsidR="00E76515">
          <w:rPr>
            <w:noProof/>
            <w:webHidden/>
          </w:rPr>
          <w:instrText xml:space="preserve"> PAGEREF _Toc474639195 \h </w:instrText>
        </w:r>
        <w:r>
          <w:rPr>
            <w:noProof/>
            <w:webHidden/>
          </w:rPr>
        </w:r>
        <w:r>
          <w:rPr>
            <w:noProof/>
            <w:webHidden/>
          </w:rPr>
          <w:fldChar w:fldCharType="separate"/>
        </w:r>
        <w:r w:rsidR="00AF29C3">
          <w:rPr>
            <w:noProof/>
            <w:webHidden/>
          </w:rPr>
          <w:t>310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6" w:history="1">
        <w:r w:rsidR="00E76515" w:rsidRPr="00040767">
          <w:rPr>
            <w:rStyle w:val="Hyperlink"/>
            <w:noProof/>
          </w:rPr>
          <w:t>Figure 8.2: Trend in Rice Productivity (MT/acre)</w:t>
        </w:r>
        <w:r w:rsidR="00E76515">
          <w:rPr>
            <w:noProof/>
            <w:webHidden/>
          </w:rPr>
          <w:tab/>
        </w:r>
        <w:r>
          <w:rPr>
            <w:noProof/>
            <w:webHidden/>
          </w:rPr>
          <w:fldChar w:fldCharType="begin"/>
        </w:r>
        <w:r w:rsidR="00E76515">
          <w:rPr>
            <w:noProof/>
            <w:webHidden/>
          </w:rPr>
          <w:instrText xml:space="preserve"> PAGEREF _Toc474639196 \h </w:instrText>
        </w:r>
        <w:r>
          <w:rPr>
            <w:noProof/>
            <w:webHidden/>
          </w:rPr>
        </w:r>
        <w:r>
          <w:rPr>
            <w:noProof/>
            <w:webHidden/>
          </w:rPr>
          <w:fldChar w:fldCharType="separate"/>
        </w:r>
        <w:r w:rsidR="00AF29C3">
          <w:rPr>
            <w:noProof/>
            <w:webHidden/>
          </w:rPr>
          <w:t>315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7" w:history="1">
        <w:r w:rsidR="00E76515" w:rsidRPr="00040767">
          <w:rPr>
            <w:rStyle w:val="Hyperlink"/>
            <w:rFonts w:cs="Times New Roman"/>
            <w:noProof/>
          </w:rPr>
          <w:t>Figure 8.3: Rice Demand, Production and Surpluses/Deficits</w:t>
        </w:r>
        <w:r w:rsidR="00E76515">
          <w:rPr>
            <w:noProof/>
            <w:webHidden/>
          </w:rPr>
          <w:tab/>
        </w:r>
        <w:r>
          <w:rPr>
            <w:noProof/>
            <w:webHidden/>
          </w:rPr>
          <w:fldChar w:fldCharType="begin"/>
        </w:r>
        <w:r w:rsidR="00E76515">
          <w:rPr>
            <w:noProof/>
            <w:webHidden/>
          </w:rPr>
          <w:instrText xml:space="preserve"> PAGEREF _Toc474639197 \h </w:instrText>
        </w:r>
        <w:r>
          <w:rPr>
            <w:noProof/>
            <w:webHidden/>
          </w:rPr>
        </w:r>
        <w:r>
          <w:rPr>
            <w:noProof/>
            <w:webHidden/>
          </w:rPr>
          <w:fldChar w:fldCharType="separate"/>
        </w:r>
        <w:r w:rsidR="00AF29C3">
          <w:rPr>
            <w:noProof/>
            <w:webHidden/>
          </w:rPr>
          <w:t>350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8" w:history="1">
        <w:r w:rsidR="00E76515" w:rsidRPr="00040767">
          <w:rPr>
            <w:rStyle w:val="Hyperlink"/>
            <w:rFonts w:cs="Times New Roman"/>
            <w:noProof/>
          </w:rPr>
          <w:t>Figure 8.4: Rice Yields for Selected Countries and Regions</w:t>
        </w:r>
        <w:r w:rsidR="00E76515">
          <w:rPr>
            <w:noProof/>
            <w:webHidden/>
          </w:rPr>
          <w:tab/>
        </w:r>
        <w:r>
          <w:rPr>
            <w:noProof/>
            <w:webHidden/>
          </w:rPr>
          <w:fldChar w:fldCharType="begin"/>
        </w:r>
        <w:r w:rsidR="00E76515">
          <w:rPr>
            <w:noProof/>
            <w:webHidden/>
          </w:rPr>
          <w:instrText xml:space="preserve"> PAGEREF _Toc474639198 \h </w:instrText>
        </w:r>
        <w:r>
          <w:rPr>
            <w:noProof/>
            <w:webHidden/>
          </w:rPr>
        </w:r>
        <w:r>
          <w:rPr>
            <w:noProof/>
            <w:webHidden/>
          </w:rPr>
          <w:fldChar w:fldCharType="separate"/>
        </w:r>
        <w:r w:rsidR="00AF29C3">
          <w:rPr>
            <w:noProof/>
            <w:webHidden/>
          </w:rPr>
          <w:t>354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199" w:history="1">
        <w:r w:rsidR="00E76515" w:rsidRPr="00040767">
          <w:rPr>
            <w:rStyle w:val="Hyperlink"/>
            <w:noProof/>
          </w:rPr>
          <w:t>Figure 8.5 Haor Districts Average Rice Yield FY2010-FY2011 (MT/acre)</w:t>
        </w:r>
        <w:r w:rsidR="00E76515">
          <w:rPr>
            <w:noProof/>
            <w:webHidden/>
          </w:rPr>
          <w:tab/>
        </w:r>
        <w:r>
          <w:rPr>
            <w:noProof/>
            <w:webHidden/>
          </w:rPr>
          <w:fldChar w:fldCharType="begin"/>
        </w:r>
        <w:r w:rsidR="00E76515">
          <w:rPr>
            <w:noProof/>
            <w:webHidden/>
          </w:rPr>
          <w:instrText xml:space="preserve"> PAGEREF _Toc474639199 \h </w:instrText>
        </w:r>
        <w:r>
          <w:rPr>
            <w:noProof/>
            <w:webHidden/>
          </w:rPr>
        </w:r>
        <w:r>
          <w:rPr>
            <w:noProof/>
            <w:webHidden/>
          </w:rPr>
          <w:fldChar w:fldCharType="separate"/>
        </w:r>
        <w:r w:rsidR="00AF29C3">
          <w:rPr>
            <w:noProof/>
            <w:webHidden/>
          </w:rPr>
          <w:t>369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0" w:history="1">
        <w:r w:rsidR="00E76515" w:rsidRPr="00040767">
          <w:rPr>
            <w:rStyle w:val="Hyperlink"/>
            <w:noProof/>
          </w:rPr>
          <w:t>Figure 8.6:  Share of Coastal Hotspot Rice Production (% of National)</w:t>
        </w:r>
        <w:r w:rsidR="00E76515">
          <w:rPr>
            <w:noProof/>
            <w:webHidden/>
          </w:rPr>
          <w:tab/>
        </w:r>
        <w:r>
          <w:rPr>
            <w:noProof/>
            <w:webHidden/>
          </w:rPr>
          <w:fldChar w:fldCharType="begin"/>
        </w:r>
        <w:r w:rsidR="00E76515">
          <w:rPr>
            <w:noProof/>
            <w:webHidden/>
          </w:rPr>
          <w:instrText xml:space="preserve"> PAGEREF _Toc474639200 \h </w:instrText>
        </w:r>
        <w:r>
          <w:rPr>
            <w:noProof/>
            <w:webHidden/>
          </w:rPr>
        </w:r>
        <w:r>
          <w:rPr>
            <w:noProof/>
            <w:webHidden/>
          </w:rPr>
          <w:fldChar w:fldCharType="separate"/>
        </w:r>
        <w:r w:rsidR="00AF29C3">
          <w:rPr>
            <w:noProof/>
            <w:webHidden/>
          </w:rPr>
          <w:t>372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1" w:history="1">
        <w:r w:rsidR="00E76515" w:rsidRPr="00040767">
          <w:rPr>
            <w:rStyle w:val="Hyperlink"/>
            <w:noProof/>
          </w:rPr>
          <w:t>Figure 8.7: Average Rice Yield in the Coastal Hotspot Districts</w:t>
        </w:r>
        <w:r w:rsidR="00E76515">
          <w:rPr>
            <w:noProof/>
            <w:webHidden/>
          </w:rPr>
          <w:tab/>
        </w:r>
        <w:r>
          <w:rPr>
            <w:noProof/>
            <w:webHidden/>
          </w:rPr>
          <w:fldChar w:fldCharType="begin"/>
        </w:r>
        <w:r w:rsidR="00E76515">
          <w:rPr>
            <w:noProof/>
            <w:webHidden/>
          </w:rPr>
          <w:instrText xml:space="preserve"> PAGEREF _Toc474639201 \h </w:instrText>
        </w:r>
        <w:r>
          <w:rPr>
            <w:noProof/>
            <w:webHidden/>
          </w:rPr>
        </w:r>
        <w:r>
          <w:rPr>
            <w:noProof/>
            <w:webHidden/>
          </w:rPr>
          <w:fldChar w:fldCharType="separate"/>
        </w:r>
        <w:r w:rsidR="00AF29C3">
          <w:rPr>
            <w:noProof/>
            <w:webHidden/>
          </w:rPr>
          <w:t>374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2" w:history="1">
        <w:r w:rsidR="00E76515" w:rsidRPr="00040767">
          <w:rPr>
            <w:rStyle w:val="Hyperlink"/>
            <w:noProof/>
          </w:rPr>
          <w:t>Figure 8.8: Share of Barind &amp; Drought Prone Hotspot Rice Production (% National)</w:t>
        </w:r>
        <w:r w:rsidR="00E76515">
          <w:rPr>
            <w:noProof/>
            <w:webHidden/>
          </w:rPr>
          <w:tab/>
        </w:r>
        <w:r>
          <w:rPr>
            <w:noProof/>
            <w:webHidden/>
          </w:rPr>
          <w:fldChar w:fldCharType="begin"/>
        </w:r>
        <w:r w:rsidR="00E76515">
          <w:rPr>
            <w:noProof/>
            <w:webHidden/>
          </w:rPr>
          <w:instrText xml:space="preserve"> PAGEREF _Toc474639202 \h </w:instrText>
        </w:r>
        <w:r>
          <w:rPr>
            <w:noProof/>
            <w:webHidden/>
          </w:rPr>
        </w:r>
        <w:r>
          <w:rPr>
            <w:noProof/>
            <w:webHidden/>
          </w:rPr>
          <w:fldChar w:fldCharType="separate"/>
        </w:r>
        <w:r w:rsidR="00AF29C3">
          <w:rPr>
            <w:noProof/>
            <w:webHidden/>
          </w:rPr>
          <w:t>379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3" w:history="1">
        <w:r w:rsidR="00E76515" w:rsidRPr="00040767">
          <w:rPr>
            <w:rStyle w:val="Hyperlink"/>
            <w:noProof/>
          </w:rPr>
          <w:t>Figure 9.1: Modal Share of Passenger and Cargo Traffic</w:t>
        </w:r>
        <w:r w:rsidR="00E76515">
          <w:rPr>
            <w:noProof/>
            <w:webHidden/>
          </w:rPr>
          <w:tab/>
        </w:r>
        <w:r>
          <w:rPr>
            <w:noProof/>
            <w:webHidden/>
          </w:rPr>
          <w:fldChar w:fldCharType="begin"/>
        </w:r>
        <w:r w:rsidR="00E76515">
          <w:rPr>
            <w:noProof/>
            <w:webHidden/>
          </w:rPr>
          <w:instrText xml:space="preserve"> PAGEREF _Toc474639203 \h </w:instrText>
        </w:r>
        <w:r>
          <w:rPr>
            <w:noProof/>
            <w:webHidden/>
          </w:rPr>
        </w:r>
        <w:r>
          <w:rPr>
            <w:noProof/>
            <w:webHidden/>
          </w:rPr>
          <w:fldChar w:fldCharType="separate"/>
        </w:r>
        <w:r w:rsidR="00AF29C3">
          <w:rPr>
            <w:noProof/>
            <w:webHidden/>
          </w:rPr>
          <w:t>382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4" w:history="1">
        <w:r w:rsidR="00E76515" w:rsidRPr="00040767">
          <w:rPr>
            <w:rStyle w:val="Hyperlink"/>
            <w:noProof/>
          </w:rPr>
          <w:t>Figure 9.2: Growth Rate of Transport Sector (% per year)</w:t>
        </w:r>
        <w:r w:rsidR="00E76515">
          <w:rPr>
            <w:noProof/>
            <w:webHidden/>
          </w:rPr>
          <w:tab/>
        </w:r>
        <w:r>
          <w:rPr>
            <w:noProof/>
            <w:webHidden/>
          </w:rPr>
          <w:fldChar w:fldCharType="begin"/>
        </w:r>
        <w:r w:rsidR="00E76515">
          <w:rPr>
            <w:noProof/>
            <w:webHidden/>
          </w:rPr>
          <w:instrText xml:space="preserve"> PAGEREF _Toc474639204 \h </w:instrText>
        </w:r>
        <w:r>
          <w:rPr>
            <w:noProof/>
            <w:webHidden/>
          </w:rPr>
        </w:r>
        <w:r>
          <w:rPr>
            <w:noProof/>
            <w:webHidden/>
          </w:rPr>
          <w:fldChar w:fldCharType="separate"/>
        </w:r>
        <w:r w:rsidR="00AF29C3">
          <w:rPr>
            <w:noProof/>
            <w:webHidden/>
          </w:rPr>
          <w:t>385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5" w:history="1">
        <w:r w:rsidR="00E76515" w:rsidRPr="00040767">
          <w:rPr>
            <w:rStyle w:val="Hyperlink"/>
            <w:noProof/>
          </w:rPr>
          <w:t>Figure 9.3: Composition of Transport in Value-Added (%)</w:t>
        </w:r>
        <w:r w:rsidR="00E76515">
          <w:rPr>
            <w:noProof/>
            <w:webHidden/>
          </w:rPr>
          <w:tab/>
        </w:r>
        <w:r>
          <w:rPr>
            <w:noProof/>
            <w:webHidden/>
          </w:rPr>
          <w:fldChar w:fldCharType="begin"/>
        </w:r>
        <w:r w:rsidR="00E76515">
          <w:rPr>
            <w:noProof/>
            <w:webHidden/>
          </w:rPr>
          <w:instrText xml:space="preserve"> PAGEREF _Toc474639205 \h </w:instrText>
        </w:r>
        <w:r>
          <w:rPr>
            <w:noProof/>
            <w:webHidden/>
          </w:rPr>
        </w:r>
        <w:r>
          <w:rPr>
            <w:noProof/>
            <w:webHidden/>
          </w:rPr>
          <w:fldChar w:fldCharType="separate"/>
        </w:r>
        <w:r w:rsidR="00AF29C3">
          <w:rPr>
            <w:noProof/>
            <w:webHidden/>
          </w:rPr>
          <w:t>386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6" w:history="1">
        <w:r w:rsidR="00E76515" w:rsidRPr="00040767">
          <w:rPr>
            <w:rStyle w:val="Hyperlink"/>
            <w:noProof/>
          </w:rPr>
          <w:t>Figure 9.4: Causes of Accidents on Inland Waterways</w:t>
        </w:r>
        <w:r w:rsidR="00E76515">
          <w:rPr>
            <w:noProof/>
            <w:webHidden/>
          </w:rPr>
          <w:tab/>
        </w:r>
        <w:r>
          <w:rPr>
            <w:noProof/>
            <w:webHidden/>
          </w:rPr>
          <w:fldChar w:fldCharType="begin"/>
        </w:r>
        <w:r w:rsidR="00E76515">
          <w:rPr>
            <w:noProof/>
            <w:webHidden/>
          </w:rPr>
          <w:instrText xml:space="preserve"> PAGEREF _Toc474639206 \h </w:instrText>
        </w:r>
        <w:r>
          <w:rPr>
            <w:noProof/>
            <w:webHidden/>
          </w:rPr>
        </w:r>
        <w:r>
          <w:rPr>
            <w:noProof/>
            <w:webHidden/>
          </w:rPr>
          <w:fldChar w:fldCharType="separate"/>
        </w:r>
        <w:r w:rsidR="00AF29C3">
          <w:rPr>
            <w:noProof/>
            <w:webHidden/>
          </w:rPr>
          <w:t>404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7" w:history="1">
        <w:r w:rsidR="00E76515" w:rsidRPr="00040767">
          <w:rPr>
            <w:rStyle w:val="Hyperlink"/>
            <w:noProof/>
          </w:rPr>
          <w:t>Figure 9.5: Causes of Ferry Accidents</w:t>
        </w:r>
        <w:r w:rsidR="00E76515">
          <w:rPr>
            <w:noProof/>
            <w:webHidden/>
          </w:rPr>
          <w:tab/>
        </w:r>
        <w:r>
          <w:rPr>
            <w:noProof/>
            <w:webHidden/>
          </w:rPr>
          <w:fldChar w:fldCharType="begin"/>
        </w:r>
        <w:r w:rsidR="00E76515">
          <w:rPr>
            <w:noProof/>
            <w:webHidden/>
          </w:rPr>
          <w:instrText xml:space="preserve"> PAGEREF _Toc474639207 \h </w:instrText>
        </w:r>
        <w:r>
          <w:rPr>
            <w:noProof/>
            <w:webHidden/>
          </w:rPr>
        </w:r>
        <w:r>
          <w:rPr>
            <w:noProof/>
            <w:webHidden/>
          </w:rPr>
          <w:fldChar w:fldCharType="separate"/>
        </w:r>
        <w:r w:rsidR="00AF29C3">
          <w:rPr>
            <w:noProof/>
            <w:webHidden/>
          </w:rPr>
          <w:t>404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8" w:history="1">
        <w:r w:rsidR="00E76515" w:rsidRPr="00040767">
          <w:rPr>
            <w:rStyle w:val="Hyperlink"/>
            <w:noProof/>
          </w:rPr>
          <w:t>Figure 9.6: Structure of Sector Management</w:t>
        </w:r>
        <w:r w:rsidR="00E76515">
          <w:rPr>
            <w:noProof/>
            <w:webHidden/>
          </w:rPr>
          <w:tab/>
        </w:r>
        <w:r>
          <w:rPr>
            <w:noProof/>
            <w:webHidden/>
          </w:rPr>
          <w:fldChar w:fldCharType="begin"/>
        </w:r>
        <w:r w:rsidR="00E76515">
          <w:rPr>
            <w:noProof/>
            <w:webHidden/>
          </w:rPr>
          <w:instrText xml:space="preserve"> PAGEREF _Toc474639208 \h </w:instrText>
        </w:r>
        <w:r>
          <w:rPr>
            <w:noProof/>
            <w:webHidden/>
          </w:rPr>
        </w:r>
        <w:r>
          <w:rPr>
            <w:noProof/>
            <w:webHidden/>
          </w:rPr>
          <w:fldChar w:fldCharType="separate"/>
        </w:r>
        <w:r w:rsidR="00AF29C3">
          <w:rPr>
            <w:noProof/>
            <w:webHidden/>
          </w:rPr>
          <w:t>425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09" w:history="1">
        <w:r w:rsidR="00E76515" w:rsidRPr="00040767">
          <w:rPr>
            <w:rStyle w:val="Hyperlink"/>
            <w:noProof/>
          </w:rPr>
          <w:t>Figure 10.1: Access to Urban Water in Bangladesh by Income Quintile, 1995 and 2008 (%)</w:t>
        </w:r>
        <w:r w:rsidR="00E76515">
          <w:rPr>
            <w:noProof/>
            <w:webHidden/>
          </w:rPr>
          <w:tab/>
        </w:r>
        <w:r>
          <w:rPr>
            <w:noProof/>
            <w:webHidden/>
          </w:rPr>
          <w:fldChar w:fldCharType="begin"/>
        </w:r>
        <w:r w:rsidR="00E76515">
          <w:rPr>
            <w:noProof/>
            <w:webHidden/>
          </w:rPr>
          <w:instrText xml:space="preserve"> PAGEREF _Toc474639209 \h </w:instrText>
        </w:r>
        <w:r>
          <w:rPr>
            <w:noProof/>
            <w:webHidden/>
          </w:rPr>
        </w:r>
        <w:r>
          <w:rPr>
            <w:noProof/>
            <w:webHidden/>
          </w:rPr>
          <w:fldChar w:fldCharType="separate"/>
        </w:r>
        <w:r w:rsidR="00AF29C3">
          <w:rPr>
            <w:noProof/>
            <w:webHidden/>
          </w:rPr>
          <w:t>465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0" w:history="1">
        <w:r w:rsidR="00E76515" w:rsidRPr="00040767">
          <w:rPr>
            <w:rStyle w:val="Hyperlink"/>
            <w:noProof/>
          </w:rPr>
          <w:t>Figure 10.2: Sanitation Ladder in Bangladesh</w:t>
        </w:r>
        <w:r w:rsidR="00E76515">
          <w:rPr>
            <w:noProof/>
            <w:webHidden/>
          </w:rPr>
          <w:tab/>
        </w:r>
        <w:r>
          <w:rPr>
            <w:noProof/>
            <w:webHidden/>
          </w:rPr>
          <w:fldChar w:fldCharType="begin"/>
        </w:r>
        <w:r w:rsidR="00E76515">
          <w:rPr>
            <w:noProof/>
            <w:webHidden/>
          </w:rPr>
          <w:instrText xml:space="preserve"> PAGEREF _Toc474639210 \h </w:instrText>
        </w:r>
        <w:r>
          <w:rPr>
            <w:noProof/>
            <w:webHidden/>
          </w:rPr>
        </w:r>
        <w:r>
          <w:rPr>
            <w:noProof/>
            <w:webHidden/>
          </w:rPr>
          <w:fldChar w:fldCharType="separate"/>
        </w:r>
        <w:r w:rsidR="00AF29C3">
          <w:rPr>
            <w:noProof/>
            <w:webHidden/>
          </w:rPr>
          <w:t>473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1" w:history="1">
        <w:r w:rsidR="00E76515" w:rsidRPr="00040767">
          <w:rPr>
            <w:rStyle w:val="Hyperlink"/>
            <w:noProof/>
          </w:rPr>
          <w:t>Figure 10.3: Waste Water Management in Dhaka (% of people covered)</w:t>
        </w:r>
        <w:r w:rsidR="00E76515">
          <w:rPr>
            <w:noProof/>
            <w:webHidden/>
          </w:rPr>
          <w:tab/>
        </w:r>
        <w:r>
          <w:rPr>
            <w:noProof/>
            <w:webHidden/>
          </w:rPr>
          <w:fldChar w:fldCharType="begin"/>
        </w:r>
        <w:r w:rsidR="00E76515">
          <w:rPr>
            <w:noProof/>
            <w:webHidden/>
          </w:rPr>
          <w:instrText xml:space="preserve"> PAGEREF _Toc474639211 \h </w:instrText>
        </w:r>
        <w:r>
          <w:rPr>
            <w:noProof/>
            <w:webHidden/>
          </w:rPr>
        </w:r>
        <w:r>
          <w:rPr>
            <w:noProof/>
            <w:webHidden/>
          </w:rPr>
          <w:fldChar w:fldCharType="separate"/>
        </w:r>
        <w:r w:rsidR="00AF29C3">
          <w:rPr>
            <w:noProof/>
            <w:webHidden/>
          </w:rPr>
          <w:t>474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2" w:history="1">
        <w:r w:rsidR="00E76515" w:rsidRPr="00040767">
          <w:rPr>
            <w:rStyle w:val="Hyperlink"/>
            <w:noProof/>
          </w:rPr>
          <w:t>Figure 10.4: Fecal Waste Flow Matrix in Dhaka</w:t>
        </w:r>
        <w:r w:rsidR="00E76515">
          <w:rPr>
            <w:noProof/>
            <w:webHidden/>
          </w:rPr>
          <w:tab/>
        </w:r>
        <w:r>
          <w:rPr>
            <w:noProof/>
            <w:webHidden/>
          </w:rPr>
          <w:fldChar w:fldCharType="begin"/>
        </w:r>
        <w:r w:rsidR="00E76515">
          <w:rPr>
            <w:noProof/>
            <w:webHidden/>
          </w:rPr>
          <w:instrText xml:space="preserve"> PAGEREF _Toc474639212 \h </w:instrText>
        </w:r>
        <w:r>
          <w:rPr>
            <w:noProof/>
            <w:webHidden/>
          </w:rPr>
        </w:r>
        <w:r>
          <w:rPr>
            <w:noProof/>
            <w:webHidden/>
          </w:rPr>
          <w:fldChar w:fldCharType="separate"/>
        </w:r>
        <w:r w:rsidR="00AF29C3">
          <w:rPr>
            <w:noProof/>
            <w:webHidden/>
          </w:rPr>
          <w:t>477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3" w:history="1">
        <w:r w:rsidR="00E76515" w:rsidRPr="00040767">
          <w:rPr>
            <w:rStyle w:val="Hyperlink"/>
            <w:noProof/>
          </w:rPr>
          <w:t>Figure 10.5: Physical Composition of Household Waste in 4 City Corporations</w:t>
        </w:r>
        <w:r w:rsidR="00E76515">
          <w:rPr>
            <w:noProof/>
            <w:webHidden/>
          </w:rPr>
          <w:tab/>
        </w:r>
        <w:r>
          <w:rPr>
            <w:noProof/>
            <w:webHidden/>
          </w:rPr>
          <w:fldChar w:fldCharType="begin"/>
        </w:r>
        <w:r w:rsidR="00E76515">
          <w:rPr>
            <w:noProof/>
            <w:webHidden/>
          </w:rPr>
          <w:instrText xml:space="preserve"> PAGEREF _Toc474639213 \h </w:instrText>
        </w:r>
        <w:r>
          <w:rPr>
            <w:noProof/>
            <w:webHidden/>
          </w:rPr>
        </w:r>
        <w:r>
          <w:rPr>
            <w:noProof/>
            <w:webHidden/>
          </w:rPr>
          <w:fldChar w:fldCharType="separate"/>
        </w:r>
        <w:r w:rsidR="00AF29C3">
          <w:rPr>
            <w:noProof/>
            <w:webHidden/>
          </w:rPr>
          <w:t>486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4" w:history="1">
        <w:r w:rsidR="00E76515" w:rsidRPr="00040767">
          <w:rPr>
            <w:rStyle w:val="Hyperlink"/>
            <w:noProof/>
          </w:rPr>
          <w:t>Figure 10.6: Waste Collection and Disposal Process in Dhaka City</w:t>
        </w:r>
        <w:r w:rsidR="00E76515">
          <w:rPr>
            <w:noProof/>
            <w:webHidden/>
          </w:rPr>
          <w:tab/>
        </w:r>
        <w:r>
          <w:rPr>
            <w:noProof/>
            <w:webHidden/>
          </w:rPr>
          <w:fldChar w:fldCharType="begin"/>
        </w:r>
        <w:r w:rsidR="00E76515">
          <w:rPr>
            <w:noProof/>
            <w:webHidden/>
          </w:rPr>
          <w:instrText xml:space="preserve"> PAGEREF _Toc474639214 \h </w:instrText>
        </w:r>
        <w:r>
          <w:rPr>
            <w:noProof/>
            <w:webHidden/>
          </w:rPr>
        </w:r>
        <w:r>
          <w:rPr>
            <w:noProof/>
            <w:webHidden/>
          </w:rPr>
          <w:fldChar w:fldCharType="separate"/>
        </w:r>
        <w:r w:rsidR="00AF29C3">
          <w:rPr>
            <w:noProof/>
            <w:webHidden/>
          </w:rPr>
          <w:t>487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5" w:history="1">
        <w:r w:rsidR="00E76515" w:rsidRPr="00040767">
          <w:rPr>
            <w:rStyle w:val="Hyperlink"/>
            <w:noProof/>
          </w:rPr>
          <w:t>Figure 10.7: Elements of Integrated Solid Waste Management</w:t>
        </w:r>
        <w:r w:rsidR="00E76515">
          <w:rPr>
            <w:noProof/>
            <w:webHidden/>
          </w:rPr>
          <w:tab/>
        </w:r>
        <w:r>
          <w:rPr>
            <w:noProof/>
            <w:webHidden/>
          </w:rPr>
          <w:fldChar w:fldCharType="begin"/>
        </w:r>
        <w:r w:rsidR="00E76515">
          <w:rPr>
            <w:noProof/>
            <w:webHidden/>
          </w:rPr>
          <w:instrText xml:space="preserve"> PAGEREF _Toc474639215 \h </w:instrText>
        </w:r>
        <w:r>
          <w:rPr>
            <w:noProof/>
            <w:webHidden/>
          </w:rPr>
        </w:r>
        <w:r>
          <w:rPr>
            <w:noProof/>
            <w:webHidden/>
          </w:rPr>
          <w:fldChar w:fldCharType="separate"/>
        </w:r>
        <w:r w:rsidR="00AF29C3">
          <w:rPr>
            <w:noProof/>
            <w:webHidden/>
          </w:rPr>
          <w:t>495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6" w:history="1">
        <w:r w:rsidR="00E76515" w:rsidRPr="00040767">
          <w:rPr>
            <w:rStyle w:val="Hyperlink"/>
            <w:noProof/>
          </w:rPr>
          <w:t>Figure 11.1a: Water Related Expenditures</w:t>
        </w:r>
        <w:r w:rsidR="00E76515">
          <w:rPr>
            <w:noProof/>
            <w:webHidden/>
          </w:rPr>
          <w:tab/>
        </w:r>
        <w:r>
          <w:rPr>
            <w:noProof/>
            <w:webHidden/>
          </w:rPr>
          <w:fldChar w:fldCharType="begin"/>
        </w:r>
        <w:r w:rsidR="00E76515">
          <w:rPr>
            <w:noProof/>
            <w:webHidden/>
          </w:rPr>
          <w:instrText xml:space="preserve"> PAGEREF _Toc474639216 \h </w:instrText>
        </w:r>
        <w:r>
          <w:rPr>
            <w:noProof/>
            <w:webHidden/>
          </w:rPr>
        </w:r>
        <w:r>
          <w:rPr>
            <w:noProof/>
            <w:webHidden/>
          </w:rPr>
          <w:fldChar w:fldCharType="separate"/>
        </w:r>
        <w:r w:rsidR="00AF29C3">
          <w:rPr>
            <w:noProof/>
            <w:webHidden/>
          </w:rPr>
          <w:t>516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7" w:history="1">
        <w:r w:rsidR="00E76515" w:rsidRPr="00040767">
          <w:rPr>
            <w:rStyle w:val="Hyperlink"/>
            <w:noProof/>
          </w:rPr>
          <w:t>Figure 11.1b: Water Related Expenditures</w:t>
        </w:r>
        <w:r w:rsidR="00E76515">
          <w:rPr>
            <w:noProof/>
            <w:webHidden/>
          </w:rPr>
          <w:tab/>
        </w:r>
        <w:r>
          <w:rPr>
            <w:noProof/>
            <w:webHidden/>
          </w:rPr>
          <w:fldChar w:fldCharType="begin"/>
        </w:r>
        <w:r w:rsidR="00E76515">
          <w:rPr>
            <w:noProof/>
            <w:webHidden/>
          </w:rPr>
          <w:instrText xml:space="preserve"> PAGEREF _Toc474639217 \h </w:instrText>
        </w:r>
        <w:r>
          <w:rPr>
            <w:noProof/>
            <w:webHidden/>
          </w:rPr>
        </w:r>
        <w:r>
          <w:rPr>
            <w:noProof/>
            <w:webHidden/>
          </w:rPr>
          <w:fldChar w:fldCharType="separate"/>
        </w:r>
        <w:r w:rsidR="00AF29C3">
          <w:rPr>
            <w:noProof/>
            <w:webHidden/>
          </w:rPr>
          <w:t>516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8" w:history="1">
        <w:r w:rsidR="00E76515" w:rsidRPr="00040767">
          <w:rPr>
            <w:rStyle w:val="Hyperlink"/>
            <w:noProof/>
          </w:rPr>
          <w:t xml:space="preserve">Figure 11.2: </w:t>
        </w:r>
        <w:r w:rsidR="006B79BB">
          <w:rPr>
            <w:rStyle w:val="Hyperlink"/>
            <w:noProof/>
          </w:rPr>
          <w:t xml:space="preserve">Public </w:t>
        </w:r>
        <w:r w:rsidR="00E76515" w:rsidRPr="00040767">
          <w:rPr>
            <w:rStyle w:val="Hyperlink"/>
            <w:noProof/>
          </w:rPr>
          <w:t>Expenditure Composition in Delta Plan Policy Option</w:t>
        </w:r>
        <w:r w:rsidR="00E76515">
          <w:rPr>
            <w:noProof/>
            <w:webHidden/>
          </w:rPr>
          <w:tab/>
        </w:r>
        <w:r>
          <w:rPr>
            <w:noProof/>
            <w:webHidden/>
          </w:rPr>
          <w:fldChar w:fldCharType="begin"/>
        </w:r>
        <w:r w:rsidR="00E76515">
          <w:rPr>
            <w:noProof/>
            <w:webHidden/>
          </w:rPr>
          <w:instrText xml:space="preserve"> PAGEREF _Toc474639218 \h </w:instrText>
        </w:r>
        <w:r>
          <w:rPr>
            <w:noProof/>
            <w:webHidden/>
          </w:rPr>
        </w:r>
        <w:r>
          <w:rPr>
            <w:noProof/>
            <w:webHidden/>
          </w:rPr>
          <w:fldChar w:fldCharType="separate"/>
        </w:r>
        <w:r w:rsidR="00AF29C3">
          <w:rPr>
            <w:noProof/>
            <w:webHidden/>
          </w:rPr>
          <w:t>520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19" w:history="1">
        <w:r w:rsidR="00E76515" w:rsidRPr="00040767">
          <w:rPr>
            <w:rStyle w:val="Hyperlink"/>
            <w:noProof/>
          </w:rPr>
          <w:t>Figure 11.3: Sources of Delta Plan Investments (% of GDP)</w:t>
        </w:r>
        <w:r w:rsidR="00E76515">
          <w:rPr>
            <w:noProof/>
            <w:webHidden/>
          </w:rPr>
          <w:tab/>
        </w:r>
        <w:r>
          <w:rPr>
            <w:noProof/>
            <w:webHidden/>
          </w:rPr>
          <w:fldChar w:fldCharType="begin"/>
        </w:r>
        <w:r w:rsidR="00E76515">
          <w:rPr>
            <w:noProof/>
            <w:webHidden/>
          </w:rPr>
          <w:instrText xml:space="preserve"> PAGEREF _Toc474639219 \h </w:instrText>
        </w:r>
        <w:r>
          <w:rPr>
            <w:noProof/>
            <w:webHidden/>
          </w:rPr>
        </w:r>
        <w:r>
          <w:rPr>
            <w:noProof/>
            <w:webHidden/>
          </w:rPr>
          <w:fldChar w:fldCharType="separate"/>
        </w:r>
        <w:r w:rsidR="00AF29C3">
          <w:rPr>
            <w:noProof/>
            <w:webHidden/>
          </w:rPr>
          <w:t>521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0" w:history="1">
        <w:r w:rsidR="00E76515" w:rsidRPr="00040767">
          <w:rPr>
            <w:rStyle w:val="Hyperlink"/>
            <w:noProof/>
          </w:rPr>
          <w:t>Figure 11.4: Bangladesh: Debt Dynamics</w:t>
        </w:r>
        <w:r w:rsidR="00E76515">
          <w:rPr>
            <w:noProof/>
            <w:webHidden/>
          </w:rPr>
          <w:tab/>
        </w:r>
        <w:r>
          <w:rPr>
            <w:noProof/>
            <w:webHidden/>
          </w:rPr>
          <w:fldChar w:fldCharType="begin"/>
        </w:r>
        <w:r w:rsidR="00E76515">
          <w:rPr>
            <w:noProof/>
            <w:webHidden/>
          </w:rPr>
          <w:instrText xml:space="preserve"> PAGEREF _Toc474639220 \h </w:instrText>
        </w:r>
        <w:r>
          <w:rPr>
            <w:noProof/>
            <w:webHidden/>
          </w:rPr>
        </w:r>
        <w:r>
          <w:rPr>
            <w:noProof/>
            <w:webHidden/>
          </w:rPr>
          <w:fldChar w:fldCharType="separate"/>
        </w:r>
        <w:r w:rsidR="00AF29C3">
          <w:rPr>
            <w:noProof/>
            <w:webHidden/>
          </w:rPr>
          <w:t>525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1" w:history="1">
        <w:r w:rsidR="00E76515" w:rsidRPr="00040767">
          <w:rPr>
            <w:rStyle w:val="Hyperlink"/>
            <w:noProof/>
          </w:rPr>
          <w:t>Figure 11.5: Debt Services in Delta Plan</w:t>
        </w:r>
        <w:r w:rsidR="00E76515">
          <w:rPr>
            <w:noProof/>
            <w:webHidden/>
          </w:rPr>
          <w:tab/>
        </w:r>
        <w:r>
          <w:rPr>
            <w:noProof/>
            <w:webHidden/>
          </w:rPr>
          <w:fldChar w:fldCharType="begin"/>
        </w:r>
        <w:r w:rsidR="00E76515">
          <w:rPr>
            <w:noProof/>
            <w:webHidden/>
          </w:rPr>
          <w:instrText xml:space="preserve"> PAGEREF _Toc474639221 \h </w:instrText>
        </w:r>
        <w:r>
          <w:rPr>
            <w:noProof/>
            <w:webHidden/>
          </w:rPr>
        </w:r>
        <w:r>
          <w:rPr>
            <w:noProof/>
            <w:webHidden/>
          </w:rPr>
          <w:fldChar w:fldCharType="separate"/>
        </w:r>
        <w:r w:rsidR="00AF29C3">
          <w:rPr>
            <w:noProof/>
            <w:webHidden/>
          </w:rPr>
          <w:t>525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2" w:history="1">
        <w:r w:rsidR="00E76515" w:rsidRPr="00040767">
          <w:rPr>
            <w:rStyle w:val="Hyperlink"/>
            <w:noProof/>
          </w:rPr>
          <w:t>Figure 11.6: Overview of Current and Foreseen Climate Finance Flows</w:t>
        </w:r>
        <w:r w:rsidR="00E76515">
          <w:rPr>
            <w:noProof/>
            <w:webHidden/>
          </w:rPr>
          <w:tab/>
        </w:r>
        <w:r>
          <w:rPr>
            <w:noProof/>
            <w:webHidden/>
          </w:rPr>
          <w:fldChar w:fldCharType="begin"/>
        </w:r>
        <w:r w:rsidR="00E76515">
          <w:rPr>
            <w:noProof/>
            <w:webHidden/>
          </w:rPr>
          <w:instrText xml:space="preserve"> PAGEREF _Toc474639222 \h </w:instrText>
        </w:r>
        <w:r>
          <w:rPr>
            <w:noProof/>
            <w:webHidden/>
          </w:rPr>
        </w:r>
        <w:r>
          <w:rPr>
            <w:noProof/>
            <w:webHidden/>
          </w:rPr>
          <w:fldChar w:fldCharType="separate"/>
        </w:r>
        <w:r w:rsidR="00AF29C3">
          <w:rPr>
            <w:noProof/>
            <w:webHidden/>
          </w:rPr>
          <w:t>537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3" w:history="1">
        <w:r w:rsidR="00E76515" w:rsidRPr="00040767">
          <w:rPr>
            <w:rStyle w:val="Hyperlink"/>
            <w:noProof/>
          </w:rPr>
          <w:t>Figure 11.7: Framework of Investment Plan</w:t>
        </w:r>
        <w:r w:rsidR="00E76515">
          <w:rPr>
            <w:noProof/>
            <w:webHidden/>
          </w:rPr>
          <w:tab/>
        </w:r>
        <w:r>
          <w:rPr>
            <w:noProof/>
            <w:webHidden/>
          </w:rPr>
          <w:fldChar w:fldCharType="begin"/>
        </w:r>
        <w:r w:rsidR="00E76515">
          <w:rPr>
            <w:noProof/>
            <w:webHidden/>
          </w:rPr>
          <w:instrText xml:space="preserve"> PAGEREF _Toc474639223 \h </w:instrText>
        </w:r>
        <w:r>
          <w:rPr>
            <w:noProof/>
            <w:webHidden/>
          </w:rPr>
        </w:r>
        <w:r>
          <w:rPr>
            <w:noProof/>
            <w:webHidden/>
          </w:rPr>
          <w:fldChar w:fldCharType="separate"/>
        </w:r>
        <w:r w:rsidR="00AF29C3">
          <w:rPr>
            <w:noProof/>
            <w:webHidden/>
          </w:rPr>
          <w:t>545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4" w:history="1">
        <w:r w:rsidR="00E76515" w:rsidRPr="00040767">
          <w:rPr>
            <w:rStyle w:val="Hyperlink"/>
            <w:noProof/>
          </w:rPr>
          <w:t>Figure 11.8: Aspirations for Composition of Water Sector funding in Bangladesh, 2010-2100</w:t>
        </w:r>
        <w:r w:rsidR="00E76515">
          <w:rPr>
            <w:noProof/>
            <w:webHidden/>
          </w:rPr>
          <w:tab/>
        </w:r>
        <w:r>
          <w:rPr>
            <w:noProof/>
            <w:webHidden/>
          </w:rPr>
          <w:fldChar w:fldCharType="begin"/>
        </w:r>
        <w:r w:rsidR="00E76515">
          <w:rPr>
            <w:noProof/>
            <w:webHidden/>
          </w:rPr>
          <w:instrText xml:space="preserve"> PAGEREF _Toc474639224 \h </w:instrText>
        </w:r>
        <w:r>
          <w:rPr>
            <w:noProof/>
            <w:webHidden/>
          </w:rPr>
        </w:r>
        <w:r>
          <w:rPr>
            <w:noProof/>
            <w:webHidden/>
          </w:rPr>
          <w:fldChar w:fldCharType="separate"/>
        </w:r>
        <w:r w:rsidR="00AF29C3">
          <w:rPr>
            <w:noProof/>
            <w:webHidden/>
          </w:rPr>
          <w:t>545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5" w:history="1">
        <w:r w:rsidR="00E76515" w:rsidRPr="00040767">
          <w:rPr>
            <w:rStyle w:val="Hyperlink"/>
            <w:noProof/>
          </w:rPr>
          <w:t>Figure 11.9: Resources Mobilization Potential for Water Sector Funding:  2016-2030</w:t>
        </w:r>
        <w:r w:rsidR="00E76515">
          <w:rPr>
            <w:noProof/>
            <w:webHidden/>
          </w:rPr>
          <w:tab/>
        </w:r>
        <w:r>
          <w:rPr>
            <w:noProof/>
            <w:webHidden/>
          </w:rPr>
          <w:fldChar w:fldCharType="begin"/>
        </w:r>
        <w:r w:rsidR="00E76515">
          <w:rPr>
            <w:noProof/>
            <w:webHidden/>
          </w:rPr>
          <w:instrText xml:space="preserve"> PAGEREF _Toc474639225 \h </w:instrText>
        </w:r>
        <w:r>
          <w:rPr>
            <w:noProof/>
            <w:webHidden/>
          </w:rPr>
        </w:r>
        <w:r>
          <w:rPr>
            <w:noProof/>
            <w:webHidden/>
          </w:rPr>
          <w:fldChar w:fldCharType="separate"/>
        </w:r>
        <w:r w:rsidR="00AF29C3">
          <w:rPr>
            <w:noProof/>
            <w:webHidden/>
          </w:rPr>
          <w:t>547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6" w:history="1">
        <w:r w:rsidR="00E76515" w:rsidRPr="00040767">
          <w:rPr>
            <w:rStyle w:val="Hyperlink"/>
            <w:noProof/>
          </w:rPr>
          <w:t>Figure 11.10: Resource Mobilization Potential for Water Sector, 2030-2050</w:t>
        </w:r>
        <w:r w:rsidR="00E76515">
          <w:rPr>
            <w:noProof/>
            <w:webHidden/>
          </w:rPr>
          <w:tab/>
        </w:r>
        <w:r>
          <w:rPr>
            <w:noProof/>
            <w:webHidden/>
          </w:rPr>
          <w:fldChar w:fldCharType="begin"/>
        </w:r>
        <w:r w:rsidR="00E76515">
          <w:rPr>
            <w:noProof/>
            <w:webHidden/>
          </w:rPr>
          <w:instrText xml:space="preserve"> PAGEREF _Toc474639226 \h </w:instrText>
        </w:r>
        <w:r>
          <w:rPr>
            <w:noProof/>
            <w:webHidden/>
          </w:rPr>
        </w:r>
        <w:r>
          <w:rPr>
            <w:noProof/>
            <w:webHidden/>
          </w:rPr>
          <w:fldChar w:fldCharType="separate"/>
        </w:r>
        <w:r w:rsidR="00AF29C3">
          <w:rPr>
            <w:noProof/>
            <w:webHidden/>
          </w:rPr>
          <w:t>548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7" w:history="1">
        <w:r w:rsidR="00E76515" w:rsidRPr="00040767">
          <w:rPr>
            <w:rStyle w:val="Hyperlink"/>
            <w:noProof/>
          </w:rPr>
          <w:t>Figure 11.11: Resource Mobilization Potential for Water Sector, 2050-2100</w:t>
        </w:r>
        <w:r w:rsidR="00E76515">
          <w:rPr>
            <w:noProof/>
            <w:webHidden/>
          </w:rPr>
          <w:tab/>
        </w:r>
        <w:r>
          <w:rPr>
            <w:noProof/>
            <w:webHidden/>
          </w:rPr>
          <w:fldChar w:fldCharType="begin"/>
        </w:r>
        <w:r w:rsidR="00E76515">
          <w:rPr>
            <w:noProof/>
            <w:webHidden/>
          </w:rPr>
          <w:instrText xml:space="preserve"> PAGEREF _Toc474639227 \h </w:instrText>
        </w:r>
        <w:r>
          <w:rPr>
            <w:noProof/>
            <w:webHidden/>
          </w:rPr>
        </w:r>
        <w:r>
          <w:rPr>
            <w:noProof/>
            <w:webHidden/>
          </w:rPr>
          <w:fldChar w:fldCharType="separate"/>
        </w:r>
        <w:r w:rsidR="00AF29C3">
          <w:rPr>
            <w:noProof/>
            <w:webHidden/>
          </w:rPr>
          <w:t>549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8" w:history="1">
        <w:r w:rsidR="00E76515" w:rsidRPr="00040767">
          <w:rPr>
            <w:rStyle w:val="Hyperlink"/>
            <w:noProof/>
          </w:rPr>
          <w:t>Figure 11.12: Directions and potential for the future funding and operation of Bangladesh water services</w:t>
        </w:r>
        <w:r w:rsidR="00E76515">
          <w:rPr>
            <w:noProof/>
            <w:webHidden/>
          </w:rPr>
          <w:tab/>
        </w:r>
        <w:r>
          <w:rPr>
            <w:noProof/>
            <w:webHidden/>
          </w:rPr>
          <w:fldChar w:fldCharType="begin"/>
        </w:r>
        <w:r w:rsidR="00E76515">
          <w:rPr>
            <w:noProof/>
            <w:webHidden/>
          </w:rPr>
          <w:instrText xml:space="preserve"> PAGEREF _Toc474639228 \h </w:instrText>
        </w:r>
        <w:r>
          <w:rPr>
            <w:noProof/>
            <w:webHidden/>
          </w:rPr>
        </w:r>
        <w:r>
          <w:rPr>
            <w:noProof/>
            <w:webHidden/>
          </w:rPr>
          <w:fldChar w:fldCharType="separate"/>
        </w:r>
        <w:r w:rsidR="00AF29C3">
          <w:rPr>
            <w:noProof/>
            <w:webHidden/>
          </w:rPr>
          <w:t>550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29" w:history="1">
        <w:r w:rsidR="00E76515" w:rsidRPr="00040767">
          <w:rPr>
            <w:rStyle w:val="Hyperlink"/>
            <w:noProof/>
          </w:rPr>
          <w:t>Figure 14.1: BDP 2100 related elements of Knowledge and Competence Management</w:t>
        </w:r>
        <w:r w:rsidR="00E76515">
          <w:rPr>
            <w:noProof/>
            <w:webHidden/>
          </w:rPr>
          <w:tab/>
        </w:r>
        <w:r>
          <w:rPr>
            <w:noProof/>
            <w:webHidden/>
          </w:rPr>
          <w:fldChar w:fldCharType="begin"/>
        </w:r>
        <w:r w:rsidR="00E76515">
          <w:rPr>
            <w:noProof/>
            <w:webHidden/>
          </w:rPr>
          <w:instrText xml:space="preserve"> PAGEREF _Toc474639229 \h </w:instrText>
        </w:r>
        <w:r>
          <w:rPr>
            <w:noProof/>
            <w:webHidden/>
          </w:rPr>
        </w:r>
        <w:r>
          <w:rPr>
            <w:noProof/>
            <w:webHidden/>
          </w:rPr>
          <w:fldChar w:fldCharType="separate"/>
        </w:r>
        <w:r w:rsidR="00AF29C3">
          <w:rPr>
            <w:noProof/>
            <w:webHidden/>
          </w:rPr>
          <w:t>628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30" w:history="1">
        <w:r w:rsidR="00E76515" w:rsidRPr="00040767">
          <w:rPr>
            <w:rStyle w:val="Hyperlink"/>
            <w:noProof/>
          </w:rPr>
          <w:t>Figure 14.2: BDP 2100 Knowledge and Data Management Approach</w:t>
        </w:r>
        <w:r w:rsidR="00E76515">
          <w:rPr>
            <w:noProof/>
            <w:webHidden/>
          </w:rPr>
          <w:tab/>
        </w:r>
        <w:r>
          <w:rPr>
            <w:noProof/>
            <w:webHidden/>
          </w:rPr>
          <w:fldChar w:fldCharType="begin"/>
        </w:r>
        <w:r w:rsidR="00E76515">
          <w:rPr>
            <w:noProof/>
            <w:webHidden/>
          </w:rPr>
          <w:instrText xml:space="preserve"> PAGEREF _Toc474639230 \h </w:instrText>
        </w:r>
        <w:r>
          <w:rPr>
            <w:noProof/>
            <w:webHidden/>
          </w:rPr>
        </w:r>
        <w:r>
          <w:rPr>
            <w:noProof/>
            <w:webHidden/>
          </w:rPr>
          <w:fldChar w:fldCharType="separate"/>
        </w:r>
        <w:r w:rsidR="00AF29C3">
          <w:rPr>
            <w:noProof/>
            <w:webHidden/>
          </w:rPr>
          <w:t>631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31" w:history="1">
        <w:r w:rsidR="00E76515" w:rsidRPr="00040767">
          <w:rPr>
            <w:rStyle w:val="Hyperlink"/>
            <w:noProof/>
          </w:rPr>
          <w:t>Figure 14.3: Illustrative BDP 2100 Portal Flow of Information</w:t>
        </w:r>
        <w:r w:rsidR="00E76515">
          <w:rPr>
            <w:noProof/>
            <w:webHidden/>
          </w:rPr>
          <w:tab/>
        </w:r>
        <w:r>
          <w:rPr>
            <w:noProof/>
            <w:webHidden/>
          </w:rPr>
          <w:fldChar w:fldCharType="begin"/>
        </w:r>
        <w:r w:rsidR="00E76515">
          <w:rPr>
            <w:noProof/>
            <w:webHidden/>
          </w:rPr>
          <w:instrText xml:space="preserve"> PAGEREF _Toc474639231 \h </w:instrText>
        </w:r>
        <w:r>
          <w:rPr>
            <w:noProof/>
            <w:webHidden/>
          </w:rPr>
        </w:r>
        <w:r>
          <w:rPr>
            <w:noProof/>
            <w:webHidden/>
          </w:rPr>
          <w:fldChar w:fldCharType="separate"/>
        </w:r>
        <w:r w:rsidR="00AF29C3">
          <w:rPr>
            <w:noProof/>
            <w:webHidden/>
          </w:rPr>
          <w:t>643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32" w:history="1">
        <w:r w:rsidR="00E76515" w:rsidRPr="00040767">
          <w:rPr>
            <w:rStyle w:val="Hyperlink"/>
            <w:noProof/>
          </w:rPr>
          <w:t>Figure 14.4: Institutional Mechanism to Operate the BDP2100 Knowledge Hub</w:t>
        </w:r>
        <w:r w:rsidR="00E76515">
          <w:rPr>
            <w:noProof/>
            <w:webHidden/>
          </w:rPr>
          <w:tab/>
        </w:r>
        <w:r>
          <w:rPr>
            <w:noProof/>
            <w:webHidden/>
          </w:rPr>
          <w:fldChar w:fldCharType="begin"/>
        </w:r>
        <w:r w:rsidR="00E76515">
          <w:rPr>
            <w:noProof/>
            <w:webHidden/>
          </w:rPr>
          <w:instrText xml:space="preserve"> PAGEREF _Toc474639232 \h </w:instrText>
        </w:r>
        <w:r>
          <w:rPr>
            <w:noProof/>
            <w:webHidden/>
          </w:rPr>
        </w:r>
        <w:r>
          <w:rPr>
            <w:noProof/>
            <w:webHidden/>
          </w:rPr>
          <w:fldChar w:fldCharType="separate"/>
        </w:r>
        <w:r w:rsidR="00AF29C3">
          <w:rPr>
            <w:noProof/>
            <w:webHidden/>
          </w:rPr>
          <w:t>644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33" w:history="1">
        <w:r w:rsidR="00E76515" w:rsidRPr="00040767">
          <w:rPr>
            <w:rStyle w:val="Hyperlink"/>
            <w:noProof/>
          </w:rPr>
          <w:t>Figure 14.5: Data Access Categories</w:t>
        </w:r>
        <w:r w:rsidR="00E76515">
          <w:rPr>
            <w:noProof/>
            <w:webHidden/>
          </w:rPr>
          <w:tab/>
        </w:r>
        <w:r>
          <w:rPr>
            <w:noProof/>
            <w:webHidden/>
          </w:rPr>
          <w:fldChar w:fldCharType="begin"/>
        </w:r>
        <w:r w:rsidR="00E76515">
          <w:rPr>
            <w:noProof/>
            <w:webHidden/>
          </w:rPr>
          <w:instrText xml:space="preserve"> PAGEREF _Toc474639233 \h </w:instrText>
        </w:r>
        <w:r>
          <w:rPr>
            <w:noProof/>
            <w:webHidden/>
          </w:rPr>
        </w:r>
        <w:r>
          <w:rPr>
            <w:noProof/>
            <w:webHidden/>
          </w:rPr>
          <w:fldChar w:fldCharType="separate"/>
        </w:r>
        <w:r w:rsidR="00AF29C3">
          <w:rPr>
            <w:noProof/>
            <w:webHidden/>
          </w:rPr>
          <w:t>646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34" w:history="1">
        <w:r w:rsidR="00E76515" w:rsidRPr="00040767">
          <w:rPr>
            <w:rStyle w:val="Hyperlink"/>
            <w:noProof/>
          </w:rPr>
          <w:t>Figure 14.6: Information Structure</w:t>
        </w:r>
        <w:r w:rsidR="00E76515">
          <w:rPr>
            <w:noProof/>
            <w:webHidden/>
          </w:rPr>
          <w:tab/>
        </w:r>
        <w:r>
          <w:rPr>
            <w:noProof/>
            <w:webHidden/>
          </w:rPr>
          <w:fldChar w:fldCharType="begin"/>
        </w:r>
        <w:r w:rsidR="00E76515">
          <w:rPr>
            <w:noProof/>
            <w:webHidden/>
          </w:rPr>
          <w:instrText xml:space="preserve"> PAGEREF _Toc474639234 \h </w:instrText>
        </w:r>
        <w:r>
          <w:rPr>
            <w:noProof/>
            <w:webHidden/>
          </w:rPr>
        </w:r>
        <w:r>
          <w:rPr>
            <w:noProof/>
            <w:webHidden/>
          </w:rPr>
          <w:fldChar w:fldCharType="separate"/>
        </w:r>
        <w:r w:rsidR="00AF29C3">
          <w:rPr>
            <w:noProof/>
            <w:webHidden/>
          </w:rPr>
          <w:t>650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35" w:history="1">
        <w:r w:rsidR="00E76515" w:rsidRPr="00040767">
          <w:rPr>
            <w:rStyle w:val="Hyperlink"/>
            <w:noProof/>
          </w:rPr>
          <w:t>Figure 14.7: Structure of the Meta Model</w:t>
        </w:r>
        <w:r w:rsidR="00E76515">
          <w:rPr>
            <w:noProof/>
            <w:webHidden/>
          </w:rPr>
          <w:tab/>
        </w:r>
        <w:r>
          <w:rPr>
            <w:noProof/>
            <w:webHidden/>
          </w:rPr>
          <w:fldChar w:fldCharType="begin"/>
        </w:r>
        <w:r w:rsidR="00E76515">
          <w:rPr>
            <w:noProof/>
            <w:webHidden/>
          </w:rPr>
          <w:instrText xml:space="preserve"> PAGEREF _Toc474639235 \h </w:instrText>
        </w:r>
        <w:r>
          <w:rPr>
            <w:noProof/>
            <w:webHidden/>
          </w:rPr>
        </w:r>
        <w:r>
          <w:rPr>
            <w:noProof/>
            <w:webHidden/>
          </w:rPr>
          <w:fldChar w:fldCharType="separate"/>
        </w:r>
        <w:r w:rsidR="00AF29C3">
          <w:rPr>
            <w:noProof/>
            <w:webHidden/>
          </w:rPr>
          <w:t>652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36" w:history="1">
        <w:r w:rsidR="00E76515" w:rsidRPr="00040767">
          <w:rPr>
            <w:rStyle w:val="Hyperlink"/>
            <w:noProof/>
          </w:rPr>
          <w:t>Figure 14.8: System architecture of Information and Knowledge Portal</w:t>
        </w:r>
        <w:r w:rsidR="00E76515">
          <w:rPr>
            <w:noProof/>
            <w:webHidden/>
          </w:rPr>
          <w:tab/>
        </w:r>
        <w:r>
          <w:rPr>
            <w:noProof/>
            <w:webHidden/>
          </w:rPr>
          <w:fldChar w:fldCharType="begin"/>
        </w:r>
        <w:r w:rsidR="00E76515">
          <w:rPr>
            <w:noProof/>
            <w:webHidden/>
          </w:rPr>
          <w:instrText xml:space="preserve"> PAGEREF _Toc474639236 \h </w:instrText>
        </w:r>
        <w:r>
          <w:rPr>
            <w:noProof/>
            <w:webHidden/>
          </w:rPr>
        </w:r>
        <w:r>
          <w:rPr>
            <w:noProof/>
            <w:webHidden/>
          </w:rPr>
          <w:fldChar w:fldCharType="separate"/>
        </w:r>
        <w:r w:rsidR="00AF29C3">
          <w:rPr>
            <w:noProof/>
            <w:webHidden/>
          </w:rPr>
          <w:t>654</w:t>
        </w:r>
        <w:r>
          <w:rPr>
            <w:noProof/>
            <w:webHidden/>
          </w:rPr>
          <w:fldChar w:fldCharType="end"/>
        </w:r>
      </w:hyperlink>
    </w:p>
    <w:p w:rsidR="00671124" w:rsidRDefault="001A12B2" w:rsidP="0097590C">
      <w:r>
        <w:fldChar w:fldCharType="end"/>
      </w:r>
    </w:p>
    <w:p w:rsidR="00671124" w:rsidRDefault="00671124" w:rsidP="008C0601">
      <w:pPr>
        <w:pStyle w:val="Heading1"/>
      </w:pPr>
      <w:bookmarkStart w:id="3" w:name="_Toc474638826"/>
      <w:r>
        <w:t>List of Maps</w:t>
      </w:r>
      <w:bookmarkEnd w:id="3"/>
    </w:p>
    <w:p w:rsidR="00E76515" w:rsidRDefault="001A12B2">
      <w:pPr>
        <w:pStyle w:val="TOC2"/>
        <w:rPr>
          <w:rFonts w:asciiTheme="minorHAnsi" w:eastAsiaTheme="minorEastAsia" w:hAnsiTheme="minorHAnsi"/>
          <w:noProof/>
          <w:szCs w:val="22"/>
          <w:lang w:val="en-US"/>
        </w:rPr>
      </w:pPr>
      <w:r w:rsidRPr="001A12B2">
        <w:fldChar w:fldCharType="begin"/>
      </w:r>
      <w:r w:rsidR="00E97223">
        <w:instrText xml:space="preserve"> TOC \h \z \t "Heading 6,2" </w:instrText>
      </w:r>
      <w:r w:rsidRPr="001A12B2">
        <w:fldChar w:fldCharType="separate"/>
      </w:r>
      <w:hyperlink w:anchor="_Toc474639281" w:history="1">
        <w:r w:rsidR="00E76515" w:rsidRPr="0099507F">
          <w:rPr>
            <w:rStyle w:val="Hyperlink"/>
            <w:noProof/>
          </w:rPr>
          <w:t>Map 1.1: Hydrological Regions of Bangladesh</w:t>
        </w:r>
        <w:r w:rsidR="00E76515">
          <w:rPr>
            <w:noProof/>
            <w:webHidden/>
          </w:rPr>
          <w:tab/>
        </w:r>
        <w:r>
          <w:rPr>
            <w:noProof/>
            <w:webHidden/>
          </w:rPr>
          <w:fldChar w:fldCharType="begin"/>
        </w:r>
        <w:r w:rsidR="00E76515">
          <w:rPr>
            <w:noProof/>
            <w:webHidden/>
          </w:rPr>
          <w:instrText xml:space="preserve"> PAGEREF _Toc474639281 \h </w:instrText>
        </w:r>
        <w:r>
          <w:rPr>
            <w:noProof/>
            <w:webHidden/>
          </w:rPr>
        </w:r>
        <w:r>
          <w:rPr>
            <w:noProof/>
            <w:webHidden/>
          </w:rPr>
          <w:fldChar w:fldCharType="separate"/>
        </w:r>
        <w:r w:rsidR="00AF29C3">
          <w:rPr>
            <w:noProof/>
            <w:webHidden/>
          </w:rPr>
          <w:t>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82" w:history="1">
        <w:r w:rsidR="00E76515" w:rsidRPr="0099507F">
          <w:rPr>
            <w:rStyle w:val="Hyperlink"/>
            <w:noProof/>
          </w:rPr>
          <w:t>Map 1.2: Percentage of Flooded Area in Bangladesh in 2030s and 2050s</w:t>
        </w:r>
        <w:r w:rsidR="00E76515">
          <w:rPr>
            <w:noProof/>
            <w:webHidden/>
          </w:rPr>
          <w:tab/>
        </w:r>
        <w:r>
          <w:rPr>
            <w:noProof/>
            <w:webHidden/>
          </w:rPr>
          <w:fldChar w:fldCharType="begin"/>
        </w:r>
        <w:r w:rsidR="00E76515">
          <w:rPr>
            <w:noProof/>
            <w:webHidden/>
          </w:rPr>
          <w:instrText xml:space="preserve"> PAGEREF _Toc474639282 \h </w:instrText>
        </w:r>
        <w:r>
          <w:rPr>
            <w:noProof/>
            <w:webHidden/>
          </w:rPr>
        </w:r>
        <w:r>
          <w:rPr>
            <w:noProof/>
            <w:webHidden/>
          </w:rPr>
          <w:fldChar w:fldCharType="separate"/>
        </w:r>
        <w:r w:rsidR="00AF29C3">
          <w:rPr>
            <w:noProof/>
            <w:webHidden/>
          </w:rPr>
          <w:t>17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83" w:history="1">
        <w:r w:rsidR="00E76515" w:rsidRPr="0099507F">
          <w:rPr>
            <w:rStyle w:val="Hyperlink"/>
            <w:noProof/>
          </w:rPr>
          <w:t>Map 1.3: Drought prone (Kharif) areas of Bangladesh</w:t>
        </w:r>
        <w:r w:rsidR="00E76515">
          <w:rPr>
            <w:noProof/>
            <w:webHidden/>
          </w:rPr>
          <w:tab/>
        </w:r>
        <w:r>
          <w:rPr>
            <w:noProof/>
            <w:webHidden/>
          </w:rPr>
          <w:fldChar w:fldCharType="begin"/>
        </w:r>
        <w:r w:rsidR="00E76515">
          <w:rPr>
            <w:noProof/>
            <w:webHidden/>
          </w:rPr>
          <w:instrText xml:space="preserve"> PAGEREF _Toc474639283 \h </w:instrText>
        </w:r>
        <w:r>
          <w:rPr>
            <w:noProof/>
            <w:webHidden/>
          </w:rPr>
        </w:r>
        <w:r>
          <w:rPr>
            <w:noProof/>
            <w:webHidden/>
          </w:rPr>
          <w:fldChar w:fldCharType="separate"/>
        </w:r>
        <w:r w:rsidR="00AF29C3">
          <w:rPr>
            <w:noProof/>
            <w:webHidden/>
          </w:rPr>
          <w:t>19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84" w:history="1">
        <w:r w:rsidR="00E76515" w:rsidRPr="0099507F">
          <w:rPr>
            <w:rStyle w:val="Hyperlink"/>
            <w:noProof/>
          </w:rPr>
          <w:t>Map 1.4: Drought prone (Rabi and Pre Kharif) areas of Bangladesh</w:t>
        </w:r>
        <w:r w:rsidR="00E76515">
          <w:rPr>
            <w:noProof/>
            <w:webHidden/>
          </w:rPr>
          <w:tab/>
        </w:r>
        <w:r>
          <w:rPr>
            <w:noProof/>
            <w:webHidden/>
          </w:rPr>
          <w:fldChar w:fldCharType="begin"/>
        </w:r>
        <w:r w:rsidR="00E76515">
          <w:rPr>
            <w:noProof/>
            <w:webHidden/>
          </w:rPr>
          <w:instrText xml:space="preserve"> PAGEREF _Toc474639284 \h </w:instrText>
        </w:r>
        <w:r>
          <w:rPr>
            <w:noProof/>
            <w:webHidden/>
          </w:rPr>
        </w:r>
        <w:r>
          <w:rPr>
            <w:noProof/>
            <w:webHidden/>
          </w:rPr>
          <w:fldChar w:fldCharType="separate"/>
        </w:r>
        <w:r w:rsidR="00AF29C3">
          <w:rPr>
            <w:noProof/>
            <w:webHidden/>
          </w:rPr>
          <w:t>19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85" w:history="1">
        <w:r w:rsidR="00E76515" w:rsidRPr="0099507F">
          <w:rPr>
            <w:rStyle w:val="Hyperlink"/>
            <w:noProof/>
          </w:rPr>
          <w:t>Map 1.5: River Bank Erosion in Bangladesh</w:t>
        </w:r>
        <w:r w:rsidR="00E76515">
          <w:rPr>
            <w:noProof/>
            <w:webHidden/>
          </w:rPr>
          <w:tab/>
        </w:r>
        <w:r>
          <w:rPr>
            <w:noProof/>
            <w:webHidden/>
          </w:rPr>
          <w:fldChar w:fldCharType="begin"/>
        </w:r>
        <w:r w:rsidR="00E76515">
          <w:rPr>
            <w:noProof/>
            <w:webHidden/>
          </w:rPr>
          <w:instrText xml:space="preserve"> PAGEREF _Toc474639285 \h </w:instrText>
        </w:r>
        <w:r>
          <w:rPr>
            <w:noProof/>
            <w:webHidden/>
          </w:rPr>
        </w:r>
        <w:r>
          <w:rPr>
            <w:noProof/>
            <w:webHidden/>
          </w:rPr>
          <w:fldChar w:fldCharType="separate"/>
        </w:r>
        <w:r w:rsidR="00AF29C3">
          <w:rPr>
            <w:noProof/>
            <w:webHidden/>
          </w:rPr>
          <w:t>20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86" w:history="1">
        <w:r w:rsidR="00E76515" w:rsidRPr="0099507F">
          <w:rPr>
            <w:rStyle w:val="Hyperlink"/>
            <w:noProof/>
          </w:rPr>
          <w:t>Map 1.6: Coastal Flooding under BAU Scenario</w:t>
        </w:r>
        <w:r w:rsidR="00E76515">
          <w:rPr>
            <w:noProof/>
            <w:webHidden/>
          </w:rPr>
          <w:tab/>
        </w:r>
        <w:r>
          <w:rPr>
            <w:noProof/>
            <w:webHidden/>
          </w:rPr>
          <w:fldChar w:fldCharType="begin"/>
        </w:r>
        <w:r w:rsidR="00E76515">
          <w:rPr>
            <w:noProof/>
            <w:webHidden/>
          </w:rPr>
          <w:instrText xml:space="preserve"> PAGEREF _Toc474639286 \h </w:instrText>
        </w:r>
        <w:r>
          <w:rPr>
            <w:noProof/>
            <w:webHidden/>
          </w:rPr>
        </w:r>
        <w:r>
          <w:rPr>
            <w:noProof/>
            <w:webHidden/>
          </w:rPr>
          <w:fldChar w:fldCharType="separate"/>
        </w:r>
        <w:r w:rsidR="00AF29C3">
          <w:rPr>
            <w:noProof/>
            <w:webHidden/>
          </w:rPr>
          <w:t>23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87" w:history="1">
        <w:r w:rsidR="00E76515" w:rsidRPr="0099507F">
          <w:rPr>
            <w:rStyle w:val="Hyperlink"/>
            <w:noProof/>
          </w:rPr>
          <w:t>Map 1.7: Coastal Flooding under Extreme Scenario</w:t>
        </w:r>
        <w:r w:rsidR="00E76515">
          <w:rPr>
            <w:noProof/>
            <w:webHidden/>
          </w:rPr>
          <w:tab/>
        </w:r>
        <w:r>
          <w:rPr>
            <w:noProof/>
            <w:webHidden/>
          </w:rPr>
          <w:fldChar w:fldCharType="begin"/>
        </w:r>
        <w:r w:rsidR="00E76515">
          <w:rPr>
            <w:noProof/>
            <w:webHidden/>
          </w:rPr>
          <w:instrText xml:space="preserve"> PAGEREF _Toc474639287 \h </w:instrText>
        </w:r>
        <w:r>
          <w:rPr>
            <w:noProof/>
            <w:webHidden/>
          </w:rPr>
        </w:r>
        <w:r>
          <w:rPr>
            <w:noProof/>
            <w:webHidden/>
          </w:rPr>
          <w:fldChar w:fldCharType="separate"/>
        </w:r>
        <w:r w:rsidR="00AF29C3">
          <w:rPr>
            <w:noProof/>
            <w:webHidden/>
          </w:rPr>
          <w:t>24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88" w:history="1">
        <w:r w:rsidR="00E76515" w:rsidRPr="0099507F">
          <w:rPr>
            <w:rStyle w:val="Hyperlink"/>
            <w:noProof/>
          </w:rPr>
          <w:t>Map 1.8: The Extents of Different Categories Soil Surface Salinity</w:t>
        </w:r>
        <w:r w:rsidR="00E76515">
          <w:rPr>
            <w:noProof/>
            <w:webHidden/>
          </w:rPr>
          <w:tab/>
        </w:r>
        <w:r>
          <w:rPr>
            <w:noProof/>
            <w:webHidden/>
          </w:rPr>
          <w:fldChar w:fldCharType="begin"/>
        </w:r>
        <w:r w:rsidR="00E76515">
          <w:rPr>
            <w:noProof/>
            <w:webHidden/>
          </w:rPr>
          <w:instrText xml:space="preserve"> PAGEREF _Toc474639288 \h </w:instrText>
        </w:r>
        <w:r>
          <w:rPr>
            <w:noProof/>
            <w:webHidden/>
          </w:rPr>
        </w:r>
        <w:r>
          <w:rPr>
            <w:noProof/>
            <w:webHidden/>
          </w:rPr>
          <w:fldChar w:fldCharType="separate"/>
        </w:r>
        <w:r w:rsidR="00AF29C3">
          <w:rPr>
            <w:noProof/>
            <w:webHidden/>
          </w:rPr>
          <w:t>25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89" w:history="1">
        <w:r w:rsidR="00E76515" w:rsidRPr="0099507F">
          <w:rPr>
            <w:rStyle w:val="Hyperlink"/>
            <w:noProof/>
          </w:rPr>
          <w:t>Map 1.9: Soil Salinity Water Salinity Condition in Coastal Areas, 1973-2009</w:t>
        </w:r>
        <w:r w:rsidR="00E76515">
          <w:rPr>
            <w:noProof/>
            <w:webHidden/>
          </w:rPr>
          <w:tab/>
        </w:r>
        <w:r>
          <w:rPr>
            <w:noProof/>
            <w:webHidden/>
          </w:rPr>
          <w:fldChar w:fldCharType="begin"/>
        </w:r>
        <w:r w:rsidR="00E76515">
          <w:rPr>
            <w:noProof/>
            <w:webHidden/>
          </w:rPr>
          <w:instrText xml:space="preserve"> PAGEREF _Toc474639289 \h </w:instrText>
        </w:r>
        <w:r>
          <w:rPr>
            <w:noProof/>
            <w:webHidden/>
          </w:rPr>
        </w:r>
        <w:r>
          <w:rPr>
            <w:noProof/>
            <w:webHidden/>
          </w:rPr>
          <w:fldChar w:fldCharType="separate"/>
        </w:r>
        <w:r w:rsidR="00AF29C3">
          <w:rPr>
            <w:noProof/>
            <w:webHidden/>
          </w:rPr>
          <w:t>26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0" w:history="1">
        <w:r w:rsidR="00E76515" w:rsidRPr="0099507F">
          <w:rPr>
            <w:rStyle w:val="Hyperlink"/>
            <w:noProof/>
            <w:lang w:bidi="bn-BD"/>
          </w:rPr>
          <w:t>Map 1.10: Risk from Major Cyclones in 1960–2009</w:t>
        </w:r>
        <w:r w:rsidR="00E76515">
          <w:rPr>
            <w:noProof/>
            <w:webHidden/>
          </w:rPr>
          <w:tab/>
        </w:r>
        <w:r>
          <w:rPr>
            <w:noProof/>
            <w:webHidden/>
          </w:rPr>
          <w:fldChar w:fldCharType="begin"/>
        </w:r>
        <w:r w:rsidR="00E76515">
          <w:rPr>
            <w:noProof/>
            <w:webHidden/>
          </w:rPr>
          <w:instrText xml:space="preserve"> PAGEREF _Toc474639290 \h </w:instrText>
        </w:r>
        <w:r>
          <w:rPr>
            <w:noProof/>
            <w:webHidden/>
          </w:rPr>
        </w:r>
        <w:r>
          <w:rPr>
            <w:noProof/>
            <w:webHidden/>
          </w:rPr>
          <w:fldChar w:fldCharType="separate"/>
        </w:r>
        <w:r w:rsidR="00AF29C3">
          <w:rPr>
            <w:noProof/>
            <w:webHidden/>
          </w:rPr>
          <w:t>28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1" w:history="1">
        <w:r w:rsidR="00E76515" w:rsidRPr="0099507F">
          <w:rPr>
            <w:rStyle w:val="Hyperlink"/>
            <w:noProof/>
            <w:lang w:bidi="bn-BD"/>
          </w:rPr>
          <w:t>Map 1.11: High-risk Inundation Area for Cyclone-induced Storm Surge by 2050 in Extreme Climate Change Scenario</w:t>
        </w:r>
        <w:r w:rsidR="00E76515">
          <w:rPr>
            <w:noProof/>
            <w:webHidden/>
          </w:rPr>
          <w:tab/>
        </w:r>
        <w:r>
          <w:rPr>
            <w:noProof/>
            <w:webHidden/>
          </w:rPr>
          <w:fldChar w:fldCharType="begin"/>
        </w:r>
        <w:r w:rsidR="00E76515">
          <w:rPr>
            <w:noProof/>
            <w:webHidden/>
          </w:rPr>
          <w:instrText xml:space="preserve"> PAGEREF _Toc474639291 \h </w:instrText>
        </w:r>
        <w:r>
          <w:rPr>
            <w:noProof/>
            <w:webHidden/>
          </w:rPr>
        </w:r>
        <w:r>
          <w:rPr>
            <w:noProof/>
            <w:webHidden/>
          </w:rPr>
          <w:fldChar w:fldCharType="separate"/>
        </w:r>
        <w:r w:rsidR="00AF29C3">
          <w:rPr>
            <w:noProof/>
            <w:webHidden/>
          </w:rPr>
          <w:t>29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2" w:history="1">
        <w:r w:rsidR="00E76515" w:rsidRPr="0099507F">
          <w:rPr>
            <w:rStyle w:val="Hyperlink"/>
            <w:noProof/>
          </w:rPr>
          <w:t>Map 1.12: Morphological Zones of Coastal Area of Bangladesh</w:t>
        </w:r>
        <w:r w:rsidR="00E76515">
          <w:rPr>
            <w:noProof/>
            <w:webHidden/>
          </w:rPr>
          <w:tab/>
        </w:r>
        <w:r>
          <w:rPr>
            <w:noProof/>
            <w:webHidden/>
          </w:rPr>
          <w:fldChar w:fldCharType="begin"/>
        </w:r>
        <w:r w:rsidR="00E76515">
          <w:rPr>
            <w:noProof/>
            <w:webHidden/>
          </w:rPr>
          <w:instrText xml:space="preserve"> PAGEREF _Toc474639292 \h </w:instrText>
        </w:r>
        <w:r>
          <w:rPr>
            <w:noProof/>
            <w:webHidden/>
          </w:rPr>
        </w:r>
        <w:r>
          <w:rPr>
            <w:noProof/>
            <w:webHidden/>
          </w:rPr>
          <w:fldChar w:fldCharType="separate"/>
        </w:r>
        <w:r w:rsidR="00AF29C3">
          <w:rPr>
            <w:noProof/>
            <w:webHidden/>
          </w:rPr>
          <w:t>36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3" w:history="1">
        <w:r w:rsidR="00E76515" w:rsidRPr="0099507F">
          <w:rPr>
            <w:rStyle w:val="Hyperlink"/>
            <w:noProof/>
          </w:rPr>
          <w:t>Map 1.13: Effect of Sea Level on 2ppt Salinity contour (A1B, 2050)</w:t>
        </w:r>
        <w:r w:rsidR="00E76515">
          <w:rPr>
            <w:noProof/>
            <w:webHidden/>
          </w:rPr>
          <w:tab/>
        </w:r>
        <w:r>
          <w:rPr>
            <w:noProof/>
            <w:webHidden/>
          </w:rPr>
          <w:fldChar w:fldCharType="begin"/>
        </w:r>
        <w:r w:rsidR="00E76515">
          <w:rPr>
            <w:noProof/>
            <w:webHidden/>
          </w:rPr>
          <w:instrText xml:space="preserve"> PAGEREF _Toc474639293 \h </w:instrText>
        </w:r>
        <w:r>
          <w:rPr>
            <w:noProof/>
            <w:webHidden/>
          </w:rPr>
        </w:r>
        <w:r>
          <w:rPr>
            <w:noProof/>
            <w:webHidden/>
          </w:rPr>
          <w:fldChar w:fldCharType="separate"/>
        </w:r>
        <w:r w:rsidR="00AF29C3">
          <w:rPr>
            <w:noProof/>
            <w:webHidden/>
          </w:rPr>
          <w:t>38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4" w:history="1">
        <w:r w:rsidR="00E76515" w:rsidRPr="0099507F">
          <w:rPr>
            <w:rStyle w:val="Hyperlink"/>
            <w:noProof/>
          </w:rPr>
          <w:t>Map 1.14: Rivers in the North-West</w:t>
        </w:r>
        <w:r w:rsidR="00E76515">
          <w:rPr>
            <w:noProof/>
            <w:webHidden/>
          </w:rPr>
          <w:tab/>
        </w:r>
        <w:r>
          <w:rPr>
            <w:noProof/>
            <w:webHidden/>
          </w:rPr>
          <w:fldChar w:fldCharType="begin"/>
        </w:r>
        <w:r w:rsidR="00E76515">
          <w:rPr>
            <w:noProof/>
            <w:webHidden/>
          </w:rPr>
          <w:instrText xml:space="preserve"> PAGEREF _Toc474639294 \h </w:instrText>
        </w:r>
        <w:r>
          <w:rPr>
            <w:noProof/>
            <w:webHidden/>
          </w:rPr>
        </w:r>
        <w:r>
          <w:rPr>
            <w:noProof/>
            <w:webHidden/>
          </w:rPr>
          <w:fldChar w:fldCharType="separate"/>
        </w:r>
        <w:r w:rsidR="00AF29C3">
          <w:rPr>
            <w:noProof/>
            <w:webHidden/>
          </w:rPr>
          <w:t>41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5" w:history="1">
        <w:r w:rsidR="00E76515" w:rsidRPr="0099507F">
          <w:rPr>
            <w:rStyle w:val="Hyperlink"/>
            <w:noProof/>
          </w:rPr>
          <w:t>Map 1.15: River system of North-West Region in 1776 and 2010 and Historical Changes of the Teesta River</w:t>
        </w:r>
        <w:r w:rsidR="00E76515">
          <w:rPr>
            <w:noProof/>
            <w:webHidden/>
          </w:rPr>
          <w:tab/>
        </w:r>
        <w:r>
          <w:rPr>
            <w:noProof/>
            <w:webHidden/>
          </w:rPr>
          <w:fldChar w:fldCharType="begin"/>
        </w:r>
        <w:r w:rsidR="00E76515">
          <w:rPr>
            <w:noProof/>
            <w:webHidden/>
          </w:rPr>
          <w:instrText xml:space="preserve"> PAGEREF _Toc474639295 \h </w:instrText>
        </w:r>
        <w:r>
          <w:rPr>
            <w:noProof/>
            <w:webHidden/>
          </w:rPr>
        </w:r>
        <w:r>
          <w:rPr>
            <w:noProof/>
            <w:webHidden/>
          </w:rPr>
          <w:fldChar w:fldCharType="separate"/>
        </w:r>
        <w:r w:rsidR="00AF29C3">
          <w:rPr>
            <w:noProof/>
            <w:webHidden/>
          </w:rPr>
          <w:t>42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6" w:history="1">
        <w:r w:rsidR="00E76515" w:rsidRPr="0099507F">
          <w:rPr>
            <w:rStyle w:val="Hyperlink"/>
            <w:noProof/>
          </w:rPr>
          <w:t>Map 1.16: Rivers in the Haor Hotspot of Bangladesh</w:t>
        </w:r>
        <w:r w:rsidR="00E76515">
          <w:rPr>
            <w:noProof/>
            <w:webHidden/>
          </w:rPr>
          <w:tab/>
        </w:r>
        <w:r>
          <w:rPr>
            <w:noProof/>
            <w:webHidden/>
          </w:rPr>
          <w:fldChar w:fldCharType="begin"/>
        </w:r>
        <w:r w:rsidR="00E76515">
          <w:rPr>
            <w:noProof/>
            <w:webHidden/>
          </w:rPr>
          <w:instrText xml:space="preserve"> PAGEREF _Toc474639296 \h </w:instrText>
        </w:r>
        <w:r>
          <w:rPr>
            <w:noProof/>
            <w:webHidden/>
          </w:rPr>
        </w:r>
        <w:r>
          <w:rPr>
            <w:noProof/>
            <w:webHidden/>
          </w:rPr>
          <w:fldChar w:fldCharType="separate"/>
        </w:r>
        <w:r w:rsidR="00AF29C3">
          <w:rPr>
            <w:noProof/>
            <w:webHidden/>
          </w:rPr>
          <w:t>45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7" w:history="1">
        <w:r w:rsidR="00E76515" w:rsidRPr="0099507F">
          <w:rPr>
            <w:rStyle w:val="Hyperlink"/>
            <w:noProof/>
          </w:rPr>
          <w:t>Map 1.17: River System of Bangladesh in 1776 and 2010</w:t>
        </w:r>
        <w:r w:rsidR="00E76515">
          <w:rPr>
            <w:noProof/>
            <w:webHidden/>
          </w:rPr>
          <w:tab/>
        </w:r>
        <w:r>
          <w:rPr>
            <w:noProof/>
            <w:webHidden/>
          </w:rPr>
          <w:fldChar w:fldCharType="begin"/>
        </w:r>
        <w:r w:rsidR="00E76515">
          <w:rPr>
            <w:noProof/>
            <w:webHidden/>
          </w:rPr>
          <w:instrText xml:space="preserve"> PAGEREF _Toc474639297 \h </w:instrText>
        </w:r>
        <w:r>
          <w:rPr>
            <w:noProof/>
            <w:webHidden/>
          </w:rPr>
        </w:r>
        <w:r>
          <w:rPr>
            <w:noProof/>
            <w:webHidden/>
          </w:rPr>
          <w:fldChar w:fldCharType="separate"/>
        </w:r>
        <w:r w:rsidR="00AF29C3">
          <w:rPr>
            <w:noProof/>
            <w:webHidden/>
          </w:rPr>
          <w:t>50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8" w:history="1">
        <w:r w:rsidR="00E76515" w:rsidRPr="0099507F">
          <w:rPr>
            <w:rStyle w:val="Hyperlink"/>
            <w:noProof/>
          </w:rPr>
          <w:t>Map 1.18: Erosion and Navigation Characteristics of Major Rivers</w:t>
        </w:r>
        <w:r w:rsidR="00E76515">
          <w:rPr>
            <w:noProof/>
            <w:webHidden/>
          </w:rPr>
          <w:tab/>
        </w:r>
        <w:r>
          <w:rPr>
            <w:noProof/>
            <w:webHidden/>
          </w:rPr>
          <w:fldChar w:fldCharType="begin"/>
        </w:r>
        <w:r w:rsidR="00E76515">
          <w:rPr>
            <w:noProof/>
            <w:webHidden/>
          </w:rPr>
          <w:instrText xml:space="preserve"> PAGEREF _Toc474639298 \h </w:instrText>
        </w:r>
        <w:r>
          <w:rPr>
            <w:noProof/>
            <w:webHidden/>
          </w:rPr>
        </w:r>
        <w:r>
          <w:rPr>
            <w:noProof/>
            <w:webHidden/>
          </w:rPr>
          <w:fldChar w:fldCharType="separate"/>
        </w:r>
        <w:r w:rsidR="00AF29C3">
          <w:rPr>
            <w:noProof/>
            <w:webHidden/>
          </w:rPr>
          <w:t>51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299" w:history="1">
        <w:r w:rsidR="00E76515" w:rsidRPr="0099507F">
          <w:rPr>
            <w:rStyle w:val="Hyperlink"/>
            <w:noProof/>
          </w:rPr>
          <w:t>Map 1.19: Erosion-Accretion along the Jamuna during 1973-2014</w:t>
        </w:r>
        <w:r w:rsidR="00E76515">
          <w:rPr>
            <w:noProof/>
            <w:webHidden/>
          </w:rPr>
          <w:tab/>
        </w:r>
        <w:r>
          <w:rPr>
            <w:noProof/>
            <w:webHidden/>
          </w:rPr>
          <w:fldChar w:fldCharType="begin"/>
        </w:r>
        <w:r w:rsidR="00E76515">
          <w:rPr>
            <w:noProof/>
            <w:webHidden/>
          </w:rPr>
          <w:instrText xml:space="preserve"> PAGEREF _Toc474639299 \h </w:instrText>
        </w:r>
        <w:r>
          <w:rPr>
            <w:noProof/>
            <w:webHidden/>
          </w:rPr>
        </w:r>
        <w:r>
          <w:rPr>
            <w:noProof/>
            <w:webHidden/>
          </w:rPr>
          <w:fldChar w:fldCharType="separate"/>
        </w:r>
        <w:r w:rsidR="00AF29C3">
          <w:rPr>
            <w:noProof/>
            <w:webHidden/>
          </w:rPr>
          <w:t>52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0" w:history="1">
        <w:r w:rsidR="00E76515" w:rsidRPr="0099507F">
          <w:rPr>
            <w:rStyle w:val="Hyperlink"/>
            <w:noProof/>
          </w:rPr>
          <w:t>Map 1.20: Erosion-Accretion along the Ganges River (1973-2014)</w:t>
        </w:r>
        <w:r w:rsidR="00E76515">
          <w:rPr>
            <w:noProof/>
            <w:webHidden/>
          </w:rPr>
          <w:tab/>
        </w:r>
        <w:r>
          <w:rPr>
            <w:noProof/>
            <w:webHidden/>
          </w:rPr>
          <w:fldChar w:fldCharType="begin"/>
        </w:r>
        <w:r w:rsidR="00E76515">
          <w:rPr>
            <w:noProof/>
            <w:webHidden/>
          </w:rPr>
          <w:instrText xml:space="preserve"> PAGEREF _Toc474639300 \h </w:instrText>
        </w:r>
        <w:r>
          <w:rPr>
            <w:noProof/>
            <w:webHidden/>
          </w:rPr>
        </w:r>
        <w:r>
          <w:rPr>
            <w:noProof/>
            <w:webHidden/>
          </w:rPr>
          <w:fldChar w:fldCharType="separate"/>
        </w:r>
        <w:r w:rsidR="00AF29C3">
          <w:rPr>
            <w:noProof/>
            <w:webHidden/>
          </w:rPr>
          <w:t>53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1" w:history="1">
        <w:r w:rsidR="00E76515" w:rsidRPr="0099507F">
          <w:rPr>
            <w:rStyle w:val="Hyperlink"/>
            <w:noProof/>
          </w:rPr>
          <w:t>Map 1.21: Erosion-Accretion along the Padma River (1973-2014)</w:t>
        </w:r>
        <w:r w:rsidR="00E76515">
          <w:rPr>
            <w:noProof/>
            <w:webHidden/>
          </w:rPr>
          <w:tab/>
        </w:r>
        <w:r>
          <w:rPr>
            <w:noProof/>
            <w:webHidden/>
          </w:rPr>
          <w:fldChar w:fldCharType="begin"/>
        </w:r>
        <w:r w:rsidR="00E76515">
          <w:rPr>
            <w:noProof/>
            <w:webHidden/>
          </w:rPr>
          <w:instrText xml:space="preserve"> PAGEREF _Toc474639301 \h </w:instrText>
        </w:r>
        <w:r>
          <w:rPr>
            <w:noProof/>
            <w:webHidden/>
          </w:rPr>
        </w:r>
        <w:r>
          <w:rPr>
            <w:noProof/>
            <w:webHidden/>
          </w:rPr>
          <w:fldChar w:fldCharType="separate"/>
        </w:r>
        <w:r w:rsidR="00AF29C3">
          <w:rPr>
            <w:noProof/>
            <w:webHidden/>
          </w:rPr>
          <w:t>54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2" w:history="1">
        <w:r w:rsidR="00E76515" w:rsidRPr="0099507F">
          <w:rPr>
            <w:rStyle w:val="Hyperlink"/>
            <w:noProof/>
          </w:rPr>
          <w:t>Map 1.22: Erosion-Accretion along the Meghna River</w:t>
        </w:r>
        <w:r w:rsidR="00E76515">
          <w:rPr>
            <w:noProof/>
            <w:webHidden/>
          </w:rPr>
          <w:tab/>
        </w:r>
        <w:r>
          <w:rPr>
            <w:noProof/>
            <w:webHidden/>
          </w:rPr>
          <w:fldChar w:fldCharType="begin"/>
        </w:r>
        <w:r w:rsidR="00E76515">
          <w:rPr>
            <w:noProof/>
            <w:webHidden/>
          </w:rPr>
          <w:instrText xml:space="preserve"> PAGEREF _Toc474639302 \h </w:instrText>
        </w:r>
        <w:r>
          <w:rPr>
            <w:noProof/>
            <w:webHidden/>
          </w:rPr>
        </w:r>
        <w:r>
          <w:rPr>
            <w:noProof/>
            <w:webHidden/>
          </w:rPr>
          <w:fldChar w:fldCharType="separate"/>
        </w:r>
        <w:r w:rsidR="00AF29C3">
          <w:rPr>
            <w:noProof/>
            <w:webHidden/>
          </w:rPr>
          <w:t>55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3" w:history="1">
        <w:r w:rsidR="00E76515" w:rsidRPr="0099507F">
          <w:rPr>
            <w:rStyle w:val="Hyperlink"/>
            <w:noProof/>
          </w:rPr>
          <w:t>Map 1.23: Rivers in the Eastern Hills Region</w:t>
        </w:r>
        <w:r w:rsidR="00E76515">
          <w:rPr>
            <w:noProof/>
            <w:webHidden/>
          </w:rPr>
          <w:tab/>
        </w:r>
        <w:r>
          <w:rPr>
            <w:noProof/>
            <w:webHidden/>
          </w:rPr>
          <w:fldChar w:fldCharType="begin"/>
        </w:r>
        <w:r w:rsidR="00E76515">
          <w:rPr>
            <w:noProof/>
            <w:webHidden/>
          </w:rPr>
          <w:instrText xml:space="preserve"> PAGEREF _Toc474639303 \h </w:instrText>
        </w:r>
        <w:r>
          <w:rPr>
            <w:noProof/>
            <w:webHidden/>
          </w:rPr>
        </w:r>
        <w:r>
          <w:rPr>
            <w:noProof/>
            <w:webHidden/>
          </w:rPr>
          <w:fldChar w:fldCharType="separate"/>
        </w:r>
        <w:r w:rsidR="00AF29C3">
          <w:rPr>
            <w:noProof/>
            <w:webHidden/>
          </w:rPr>
          <w:t>59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4" w:history="1">
        <w:r w:rsidR="00E76515" w:rsidRPr="0099507F">
          <w:rPr>
            <w:rStyle w:val="Hyperlink"/>
            <w:noProof/>
          </w:rPr>
          <w:t>Map 1.24: Historical Evolution of Rivers in CHT</w:t>
        </w:r>
        <w:r w:rsidR="00E76515">
          <w:rPr>
            <w:noProof/>
            <w:webHidden/>
          </w:rPr>
          <w:tab/>
        </w:r>
        <w:r>
          <w:rPr>
            <w:noProof/>
            <w:webHidden/>
          </w:rPr>
          <w:fldChar w:fldCharType="begin"/>
        </w:r>
        <w:r w:rsidR="00E76515">
          <w:rPr>
            <w:noProof/>
            <w:webHidden/>
          </w:rPr>
          <w:instrText xml:space="preserve"> PAGEREF _Toc474639304 \h </w:instrText>
        </w:r>
        <w:r>
          <w:rPr>
            <w:noProof/>
            <w:webHidden/>
          </w:rPr>
        </w:r>
        <w:r>
          <w:rPr>
            <w:noProof/>
            <w:webHidden/>
          </w:rPr>
          <w:fldChar w:fldCharType="separate"/>
        </w:r>
        <w:r w:rsidR="00AF29C3">
          <w:rPr>
            <w:noProof/>
            <w:webHidden/>
          </w:rPr>
          <w:t>61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5" w:history="1">
        <w:r w:rsidR="00E76515" w:rsidRPr="0099507F">
          <w:rPr>
            <w:rStyle w:val="Hyperlink"/>
            <w:noProof/>
          </w:rPr>
          <w:t>Map 2.1: Hazard Map of Bangladesh by Intensity</w:t>
        </w:r>
        <w:r w:rsidR="00E76515">
          <w:rPr>
            <w:noProof/>
            <w:webHidden/>
          </w:rPr>
          <w:tab/>
        </w:r>
        <w:r>
          <w:rPr>
            <w:noProof/>
            <w:webHidden/>
          </w:rPr>
          <w:fldChar w:fldCharType="begin"/>
        </w:r>
        <w:r w:rsidR="00E76515">
          <w:rPr>
            <w:noProof/>
            <w:webHidden/>
          </w:rPr>
          <w:instrText xml:space="preserve"> PAGEREF _Toc474639305 \h </w:instrText>
        </w:r>
        <w:r>
          <w:rPr>
            <w:noProof/>
            <w:webHidden/>
          </w:rPr>
        </w:r>
        <w:r>
          <w:rPr>
            <w:noProof/>
            <w:webHidden/>
          </w:rPr>
          <w:fldChar w:fldCharType="separate"/>
        </w:r>
        <w:r w:rsidR="00AF29C3">
          <w:rPr>
            <w:noProof/>
            <w:webHidden/>
          </w:rPr>
          <w:t>95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6" w:history="1">
        <w:r w:rsidR="00E76515" w:rsidRPr="0099507F">
          <w:rPr>
            <w:rStyle w:val="Hyperlink"/>
            <w:noProof/>
          </w:rPr>
          <w:t>Map 2.2: Barguna District Map</w:t>
        </w:r>
        <w:r w:rsidR="00E76515">
          <w:rPr>
            <w:noProof/>
            <w:webHidden/>
          </w:rPr>
          <w:tab/>
        </w:r>
        <w:r>
          <w:rPr>
            <w:noProof/>
            <w:webHidden/>
          </w:rPr>
          <w:fldChar w:fldCharType="begin"/>
        </w:r>
        <w:r w:rsidR="00E76515">
          <w:rPr>
            <w:noProof/>
            <w:webHidden/>
          </w:rPr>
          <w:instrText xml:space="preserve"> PAGEREF _Toc474639306 \h </w:instrText>
        </w:r>
        <w:r>
          <w:rPr>
            <w:noProof/>
            <w:webHidden/>
          </w:rPr>
        </w:r>
        <w:r>
          <w:rPr>
            <w:noProof/>
            <w:webHidden/>
          </w:rPr>
          <w:fldChar w:fldCharType="separate"/>
        </w:r>
        <w:r w:rsidR="00AF29C3">
          <w:rPr>
            <w:noProof/>
            <w:webHidden/>
          </w:rPr>
          <w:t>102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7" w:history="1">
        <w:r w:rsidR="00E76515" w:rsidRPr="0099507F">
          <w:rPr>
            <w:rStyle w:val="Hyperlink"/>
            <w:noProof/>
          </w:rPr>
          <w:t>Map 2.3: Map of Patuakhali</w:t>
        </w:r>
        <w:r w:rsidR="00E76515">
          <w:rPr>
            <w:noProof/>
            <w:webHidden/>
          </w:rPr>
          <w:tab/>
        </w:r>
        <w:r>
          <w:rPr>
            <w:noProof/>
            <w:webHidden/>
          </w:rPr>
          <w:fldChar w:fldCharType="begin"/>
        </w:r>
        <w:r w:rsidR="00E76515">
          <w:rPr>
            <w:noProof/>
            <w:webHidden/>
          </w:rPr>
          <w:instrText xml:space="preserve"> PAGEREF _Toc474639307 \h </w:instrText>
        </w:r>
        <w:r>
          <w:rPr>
            <w:noProof/>
            <w:webHidden/>
          </w:rPr>
        </w:r>
        <w:r>
          <w:rPr>
            <w:noProof/>
            <w:webHidden/>
          </w:rPr>
          <w:fldChar w:fldCharType="separate"/>
        </w:r>
        <w:r w:rsidR="00AF29C3">
          <w:rPr>
            <w:noProof/>
            <w:webHidden/>
          </w:rPr>
          <w:t>104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8" w:history="1">
        <w:r w:rsidR="00E76515" w:rsidRPr="0099507F">
          <w:rPr>
            <w:rStyle w:val="Hyperlink"/>
            <w:noProof/>
          </w:rPr>
          <w:t>Map 2.4: Map of Bogra District</w:t>
        </w:r>
        <w:r w:rsidR="00E76515">
          <w:rPr>
            <w:noProof/>
            <w:webHidden/>
          </w:rPr>
          <w:tab/>
        </w:r>
        <w:r>
          <w:rPr>
            <w:noProof/>
            <w:webHidden/>
          </w:rPr>
          <w:fldChar w:fldCharType="begin"/>
        </w:r>
        <w:r w:rsidR="00E76515">
          <w:rPr>
            <w:noProof/>
            <w:webHidden/>
          </w:rPr>
          <w:instrText xml:space="preserve"> PAGEREF _Toc474639308 \h </w:instrText>
        </w:r>
        <w:r>
          <w:rPr>
            <w:noProof/>
            <w:webHidden/>
          </w:rPr>
        </w:r>
        <w:r>
          <w:rPr>
            <w:noProof/>
            <w:webHidden/>
          </w:rPr>
          <w:fldChar w:fldCharType="separate"/>
        </w:r>
        <w:r w:rsidR="00AF29C3">
          <w:rPr>
            <w:noProof/>
            <w:webHidden/>
          </w:rPr>
          <w:t>106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09" w:history="1">
        <w:r w:rsidR="00E76515" w:rsidRPr="0099507F">
          <w:rPr>
            <w:rStyle w:val="Hyperlink"/>
            <w:noProof/>
          </w:rPr>
          <w:t>Map 2.5: District of Feni</w:t>
        </w:r>
        <w:r w:rsidR="00E76515">
          <w:rPr>
            <w:noProof/>
            <w:webHidden/>
          </w:rPr>
          <w:tab/>
        </w:r>
        <w:r>
          <w:rPr>
            <w:noProof/>
            <w:webHidden/>
          </w:rPr>
          <w:fldChar w:fldCharType="begin"/>
        </w:r>
        <w:r w:rsidR="00E76515">
          <w:rPr>
            <w:noProof/>
            <w:webHidden/>
          </w:rPr>
          <w:instrText xml:space="preserve"> PAGEREF _Toc474639309 \h </w:instrText>
        </w:r>
        <w:r>
          <w:rPr>
            <w:noProof/>
            <w:webHidden/>
          </w:rPr>
        </w:r>
        <w:r>
          <w:rPr>
            <w:noProof/>
            <w:webHidden/>
          </w:rPr>
          <w:fldChar w:fldCharType="separate"/>
        </w:r>
        <w:r w:rsidR="00AF29C3">
          <w:rPr>
            <w:noProof/>
            <w:webHidden/>
          </w:rPr>
          <w:t>108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0" w:history="1">
        <w:r w:rsidR="00E76515" w:rsidRPr="0099507F">
          <w:rPr>
            <w:rStyle w:val="Hyperlink"/>
            <w:noProof/>
          </w:rPr>
          <w:t>Map 2.6: Khulna District Map</w:t>
        </w:r>
        <w:r w:rsidR="00E76515">
          <w:rPr>
            <w:noProof/>
            <w:webHidden/>
          </w:rPr>
          <w:tab/>
        </w:r>
        <w:r>
          <w:rPr>
            <w:noProof/>
            <w:webHidden/>
          </w:rPr>
          <w:fldChar w:fldCharType="begin"/>
        </w:r>
        <w:r w:rsidR="00E76515">
          <w:rPr>
            <w:noProof/>
            <w:webHidden/>
          </w:rPr>
          <w:instrText xml:space="preserve"> PAGEREF _Toc474639310 \h </w:instrText>
        </w:r>
        <w:r>
          <w:rPr>
            <w:noProof/>
            <w:webHidden/>
          </w:rPr>
        </w:r>
        <w:r>
          <w:rPr>
            <w:noProof/>
            <w:webHidden/>
          </w:rPr>
          <w:fldChar w:fldCharType="separate"/>
        </w:r>
        <w:r w:rsidR="00AF29C3">
          <w:rPr>
            <w:noProof/>
            <w:webHidden/>
          </w:rPr>
          <w:t>110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1" w:history="1">
        <w:r w:rsidR="00E76515" w:rsidRPr="0099507F">
          <w:rPr>
            <w:rStyle w:val="Hyperlink"/>
            <w:noProof/>
          </w:rPr>
          <w:t>Map 2.7: Bagerhat District</w:t>
        </w:r>
        <w:r w:rsidR="00E76515">
          <w:rPr>
            <w:noProof/>
            <w:webHidden/>
          </w:rPr>
          <w:tab/>
        </w:r>
        <w:r>
          <w:rPr>
            <w:noProof/>
            <w:webHidden/>
          </w:rPr>
          <w:fldChar w:fldCharType="begin"/>
        </w:r>
        <w:r w:rsidR="00E76515">
          <w:rPr>
            <w:noProof/>
            <w:webHidden/>
          </w:rPr>
          <w:instrText xml:space="preserve"> PAGEREF _Toc474639311 \h </w:instrText>
        </w:r>
        <w:r>
          <w:rPr>
            <w:noProof/>
            <w:webHidden/>
          </w:rPr>
        </w:r>
        <w:r>
          <w:rPr>
            <w:noProof/>
            <w:webHidden/>
          </w:rPr>
          <w:fldChar w:fldCharType="separate"/>
        </w:r>
        <w:r w:rsidR="00AF29C3">
          <w:rPr>
            <w:noProof/>
            <w:webHidden/>
          </w:rPr>
          <w:t>113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2" w:history="1">
        <w:r w:rsidR="00E76515" w:rsidRPr="0099507F">
          <w:rPr>
            <w:rStyle w:val="Hyperlink"/>
            <w:noProof/>
          </w:rPr>
          <w:t>Map 3.1: Ground Water Zoning Maps in Bangladesh, 2004 and 2010</w:t>
        </w:r>
        <w:r w:rsidR="00E76515">
          <w:rPr>
            <w:noProof/>
            <w:webHidden/>
          </w:rPr>
          <w:tab/>
        </w:r>
        <w:r>
          <w:rPr>
            <w:noProof/>
            <w:webHidden/>
          </w:rPr>
          <w:fldChar w:fldCharType="begin"/>
        </w:r>
        <w:r w:rsidR="00E76515">
          <w:rPr>
            <w:noProof/>
            <w:webHidden/>
          </w:rPr>
          <w:instrText xml:space="preserve"> PAGEREF _Toc474639312 \h </w:instrText>
        </w:r>
        <w:r>
          <w:rPr>
            <w:noProof/>
            <w:webHidden/>
          </w:rPr>
        </w:r>
        <w:r>
          <w:rPr>
            <w:noProof/>
            <w:webHidden/>
          </w:rPr>
          <w:fldChar w:fldCharType="separate"/>
        </w:r>
        <w:r w:rsidR="00AF29C3">
          <w:rPr>
            <w:noProof/>
            <w:webHidden/>
          </w:rPr>
          <w:t>120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3" w:history="1">
        <w:r w:rsidR="00E76515" w:rsidRPr="0099507F">
          <w:rPr>
            <w:rStyle w:val="Hyperlink"/>
            <w:noProof/>
          </w:rPr>
          <w:t>Map 3.2: Bio-ecological Zones of Bangladesh</w:t>
        </w:r>
        <w:r w:rsidR="00E76515">
          <w:rPr>
            <w:noProof/>
            <w:webHidden/>
          </w:rPr>
          <w:tab/>
        </w:r>
        <w:r>
          <w:rPr>
            <w:noProof/>
            <w:webHidden/>
          </w:rPr>
          <w:fldChar w:fldCharType="begin"/>
        </w:r>
        <w:r w:rsidR="00E76515">
          <w:rPr>
            <w:noProof/>
            <w:webHidden/>
          </w:rPr>
          <w:instrText xml:space="preserve"> PAGEREF _Toc474639313 \h </w:instrText>
        </w:r>
        <w:r>
          <w:rPr>
            <w:noProof/>
            <w:webHidden/>
          </w:rPr>
        </w:r>
        <w:r>
          <w:rPr>
            <w:noProof/>
            <w:webHidden/>
          </w:rPr>
          <w:fldChar w:fldCharType="separate"/>
        </w:r>
        <w:r w:rsidR="00AF29C3">
          <w:rPr>
            <w:noProof/>
            <w:webHidden/>
          </w:rPr>
          <w:t>124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4" w:history="1">
        <w:r w:rsidR="00E76515" w:rsidRPr="0099507F">
          <w:rPr>
            <w:rStyle w:val="Hyperlink"/>
            <w:noProof/>
          </w:rPr>
          <w:t>Map 3.3: Swatch of No Ground - Bangladesh's First Marine Protected Area</w:t>
        </w:r>
        <w:r w:rsidR="00E76515">
          <w:rPr>
            <w:noProof/>
            <w:webHidden/>
          </w:rPr>
          <w:tab/>
        </w:r>
        <w:r>
          <w:rPr>
            <w:noProof/>
            <w:webHidden/>
          </w:rPr>
          <w:fldChar w:fldCharType="begin"/>
        </w:r>
        <w:r w:rsidR="00E76515">
          <w:rPr>
            <w:noProof/>
            <w:webHidden/>
          </w:rPr>
          <w:instrText xml:space="preserve"> PAGEREF _Toc474639314 \h </w:instrText>
        </w:r>
        <w:r>
          <w:rPr>
            <w:noProof/>
            <w:webHidden/>
          </w:rPr>
        </w:r>
        <w:r>
          <w:rPr>
            <w:noProof/>
            <w:webHidden/>
          </w:rPr>
          <w:fldChar w:fldCharType="separate"/>
        </w:r>
        <w:r w:rsidR="00AF29C3">
          <w:rPr>
            <w:noProof/>
            <w:webHidden/>
          </w:rPr>
          <w:t>129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5" w:history="1">
        <w:r w:rsidR="00E76515" w:rsidRPr="0099507F">
          <w:rPr>
            <w:rStyle w:val="Hyperlink"/>
            <w:noProof/>
          </w:rPr>
          <w:t>Map 3.4: Map of Bangladesh Showing the Distribution of Forests</w:t>
        </w:r>
        <w:r w:rsidR="00E76515">
          <w:rPr>
            <w:noProof/>
            <w:webHidden/>
          </w:rPr>
          <w:tab/>
        </w:r>
        <w:r>
          <w:rPr>
            <w:noProof/>
            <w:webHidden/>
          </w:rPr>
          <w:fldChar w:fldCharType="begin"/>
        </w:r>
        <w:r w:rsidR="00E76515">
          <w:rPr>
            <w:noProof/>
            <w:webHidden/>
          </w:rPr>
          <w:instrText xml:space="preserve"> PAGEREF _Toc474639315 \h </w:instrText>
        </w:r>
        <w:r>
          <w:rPr>
            <w:noProof/>
            <w:webHidden/>
          </w:rPr>
        </w:r>
        <w:r>
          <w:rPr>
            <w:noProof/>
            <w:webHidden/>
          </w:rPr>
          <w:fldChar w:fldCharType="separate"/>
        </w:r>
        <w:r w:rsidR="00AF29C3">
          <w:rPr>
            <w:noProof/>
            <w:webHidden/>
          </w:rPr>
          <w:t>132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6" w:history="1">
        <w:r w:rsidR="00E76515" w:rsidRPr="0099507F">
          <w:rPr>
            <w:rStyle w:val="Hyperlink"/>
            <w:noProof/>
          </w:rPr>
          <w:t>Map 3.5: Protected Areas of Bangladesh</w:t>
        </w:r>
        <w:r w:rsidR="00E76515">
          <w:rPr>
            <w:noProof/>
            <w:webHidden/>
          </w:rPr>
          <w:tab/>
        </w:r>
        <w:r>
          <w:rPr>
            <w:noProof/>
            <w:webHidden/>
          </w:rPr>
          <w:fldChar w:fldCharType="begin"/>
        </w:r>
        <w:r w:rsidR="00E76515">
          <w:rPr>
            <w:noProof/>
            <w:webHidden/>
          </w:rPr>
          <w:instrText xml:space="preserve"> PAGEREF _Toc474639316 \h </w:instrText>
        </w:r>
        <w:r>
          <w:rPr>
            <w:noProof/>
            <w:webHidden/>
          </w:rPr>
        </w:r>
        <w:r>
          <w:rPr>
            <w:noProof/>
            <w:webHidden/>
          </w:rPr>
          <w:fldChar w:fldCharType="separate"/>
        </w:r>
        <w:r w:rsidR="00AF29C3">
          <w:rPr>
            <w:noProof/>
            <w:webHidden/>
          </w:rPr>
          <w:t>135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7" w:history="1">
        <w:r w:rsidR="00E76515" w:rsidRPr="0099507F">
          <w:rPr>
            <w:rStyle w:val="Hyperlink"/>
            <w:noProof/>
          </w:rPr>
          <w:t>Map 4.1: Spatial Extent of different types of floods in Bangladesh</w:t>
        </w:r>
        <w:r w:rsidR="00E76515">
          <w:rPr>
            <w:noProof/>
            <w:webHidden/>
          </w:rPr>
          <w:tab/>
        </w:r>
        <w:r>
          <w:rPr>
            <w:noProof/>
            <w:webHidden/>
          </w:rPr>
          <w:fldChar w:fldCharType="begin"/>
        </w:r>
        <w:r w:rsidR="00E76515">
          <w:rPr>
            <w:noProof/>
            <w:webHidden/>
          </w:rPr>
          <w:instrText xml:space="preserve"> PAGEREF _Toc474639317 \h </w:instrText>
        </w:r>
        <w:r>
          <w:rPr>
            <w:noProof/>
            <w:webHidden/>
          </w:rPr>
        </w:r>
        <w:r>
          <w:rPr>
            <w:noProof/>
            <w:webHidden/>
          </w:rPr>
          <w:fldChar w:fldCharType="separate"/>
        </w:r>
        <w:r w:rsidR="00AF29C3">
          <w:rPr>
            <w:noProof/>
            <w:webHidden/>
          </w:rPr>
          <w:t>161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8" w:history="1">
        <w:r w:rsidR="00E76515" w:rsidRPr="0099507F">
          <w:rPr>
            <w:rStyle w:val="Hyperlink"/>
            <w:noProof/>
            <w:shd w:val="clear" w:color="auto" w:fill="FFFFFF"/>
          </w:rPr>
          <w:t>Map 6.1: Unprotected areas against Extreme Flood</w:t>
        </w:r>
        <w:r w:rsidR="00E76515">
          <w:rPr>
            <w:noProof/>
            <w:webHidden/>
          </w:rPr>
          <w:tab/>
        </w:r>
        <w:r>
          <w:rPr>
            <w:noProof/>
            <w:webHidden/>
          </w:rPr>
          <w:fldChar w:fldCharType="begin"/>
        </w:r>
        <w:r w:rsidR="00E76515">
          <w:rPr>
            <w:noProof/>
            <w:webHidden/>
          </w:rPr>
          <w:instrText xml:space="preserve"> PAGEREF _Toc474639318 \h </w:instrText>
        </w:r>
        <w:r>
          <w:rPr>
            <w:noProof/>
            <w:webHidden/>
          </w:rPr>
        </w:r>
        <w:r>
          <w:rPr>
            <w:noProof/>
            <w:webHidden/>
          </w:rPr>
          <w:fldChar w:fldCharType="separate"/>
        </w:r>
        <w:r w:rsidR="00AF29C3">
          <w:rPr>
            <w:noProof/>
            <w:webHidden/>
          </w:rPr>
          <w:t>218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19" w:history="1">
        <w:r w:rsidR="00E76515" w:rsidRPr="0099507F">
          <w:rPr>
            <w:rStyle w:val="Hyperlink"/>
            <w:noProof/>
          </w:rPr>
          <w:t>Map 7.1: Maps showing urban and industrial zone, salt pan (sea salt production), sandy zone and tea garden of Bangladesh</w:t>
        </w:r>
        <w:r w:rsidR="00E76515">
          <w:rPr>
            <w:noProof/>
            <w:webHidden/>
          </w:rPr>
          <w:tab/>
        </w:r>
        <w:r>
          <w:rPr>
            <w:noProof/>
            <w:webHidden/>
          </w:rPr>
          <w:fldChar w:fldCharType="begin"/>
        </w:r>
        <w:r w:rsidR="00E76515">
          <w:rPr>
            <w:noProof/>
            <w:webHidden/>
          </w:rPr>
          <w:instrText xml:space="preserve"> PAGEREF _Toc474639319 \h </w:instrText>
        </w:r>
        <w:r>
          <w:rPr>
            <w:noProof/>
            <w:webHidden/>
          </w:rPr>
        </w:r>
        <w:r>
          <w:rPr>
            <w:noProof/>
            <w:webHidden/>
          </w:rPr>
          <w:fldChar w:fldCharType="separate"/>
        </w:r>
        <w:r w:rsidR="00AF29C3">
          <w:rPr>
            <w:noProof/>
            <w:webHidden/>
          </w:rPr>
          <w:t>277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20" w:history="1">
        <w:r w:rsidR="00E76515" w:rsidRPr="0099507F">
          <w:rPr>
            <w:rStyle w:val="Hyperlink"/>
            <w:noProof/>
          </w:rPr>
          <w:t>Map 7.2: Maps Showing Rural Settlements of Bangladesh</w:t>
        </w:r>
        <w:r w:rsidR="00E76515">
          <w:rPr>
            <w:noProof/>
            <w:webHidden/>
          </w:rPr>
          <w:tab/>
        </w:r>
        <w:r>
          <w:rPr>
            <w:noProof/>
            <w:webHidden/>
          </w:rPr>
          <w:fldChar w:fldCharType="begin"/>
        </w:r>
        <w:r w:rsidR="00E76515">
          <w:rPr>
            <w:noProof/>
            <w:webHidden/>
          </w:rPr>
          <w:instrText xml:space="preserve"> PAGEREF _Toc474639320 \h </w:instrText>
        </w:r>
        <w:r>
          <w:rPr>
            <w:noProof/>
            <w:webHidden/>
          </w:rPr>
        </w:r>
        <w:r>
          <w:rPr>
            <w:noProof/>
            <w:webHidden/>
          </w:rPr>
          <w:fldChar w:fldCharType="separate"/>
        </w:r>
        <w:r w:rsidR="00AF29C3">
          <w:rPr>
            <w:noProof/>
            <w:webHidden/>
          </w:rPr>
          <w:t>281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21" w:history="1">
        <w:r w:rsidR="00E76515" w:rsidRPr="0099507F">
          <w:rPr>
            <w:rStyle w:val="Hyperlink"/>
            <w:noProof/>
          </w:rPr>
          <w:t>Map 7.3: Maps Showing Char Land and Mudflat of Bangladesh</w:t>
        </w:r>
        <w:r w:rsidR="00E76515">
          <w:rPr>
            <w:noProof/>
            <w:webHidden/>
          </w:rPr>
          <w:tab/>
        </w:r>
        <w:r>
          <w:rPr>
            <w:noProof/>
            <w:webHidden/>
          </w:rPr>
          <w:fldChar w:fldCharType="begin"/>
        </w:r>
        <w:r w:rsidR="00E76515">
          <w:rPr>
            <w:noProof/>
            <w:webHidden/>
          </w:rPr>
          <w:instrText xml:space="preserve"> PAGEREF _Toc474639321 \h </w:instrText>
        </w:r>
        <w:r>
          <w:rPr>
            <w:noProof/>
            <w:webHidden/>
          </w:rPr>
        </w:r>
        <w:r>
          <w:rPr>
            <w:noProof/>
            <w:webHidden/>
          </w:rPr>
          <w:fldChar w:fldCharType="separate"/>
        </w:r>
        <w:r w:rsidR="00AF29C3">
          <w:rPr>
            <w:noProof/>
            <w:webHidden/>
          </w:rPr>
          <w:t>282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22" w:history="1">
        <w:r w:rsidR="00E76515" w:rsidRPr="0099507F">
          <w:rPr>
            <w:rStyle w:val="Hyperlink"/>
            <w:noProof/>
          </w:rPr>
          <w:t>Map 7.4: Distribution of Erosion &amp; Accretion along Ganges, Jamuna, and Padma Rivers (1973-2013)</w:t>
        </w:r>
        <w:r w:rsidR="00E76515">
          <w:rPr>
            <w:noProof/>
            <w:webHidden/>
          </w:rPr>
          <w:tab/>
        </w:r>
        <w:r>
          <w:rPr>
            <w:noProof/>
            <w:webHidden/>
          </w:rPr>
          <w:fldChar w:fldCharType="begin"/>
        </w:r>
        <w:r w:rsidR="00E76515">
          <w:rPr>
            <w:noProof/>
            <w:webHidden/>
          </w:rPr>
          <w:instrText xml:space="preserve"> PAGEREF _Toc474639322 \h </w:instrText>
        </w:r>
        <w:r>
          <w:rPr>
            <w:noProof/>
            <w:webHidden/>
          </w:rPr>
        </w:r>
        <w:r>
          <w:rPr>
            <w:noProof/>
            <w:webHidden/>
          </w:rPr>
          <w:fldChar w:fldCharType="separate"/>
        </w:r>
        <w:r w:rsidR="00AF29C3">
          <w:rPr>
            <w:noProof/>
            <w:webHidden/>
          </w:rPr>
          <w:t>284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23" w:history="1">
        <w:r w:rsidR="00E76515" w:rsidRPr="0099507F">
          <w:rPr>
            <w:rStyle w:val="Hyperlink"/>
            <w:noProof/>
          </w:rPr>
          <w:t>Map 9.1: India-Bangladesh Protocol Map</w:t>
        </w:r>
        <w:r w:rsidR="00E76515">
          <w:rPr>
            <w:noProof/>
            <w:webHidden/>
          </w:rPr>
          <w:tab/>
        </w:r>
        <w:r>
          <w:rPr>
            <w:noProof/>
            <w:webHidden/>
          </w:rPr>
          <w:fldChar w:fldCharType="begin"/>
        </w:r>
        <w:r w:rsidR="00E76515">
          <w:rPr>
            <w:noProof/>
            <w:webHidden/>
          </w:rPr>
          <w:instrText xml:space="preserve"> PAGEREF _Toc474639323 \h </w:instrText>
        </w:r>
        <w:r>
          <w:rPr>
            <w:noProof/>
            <w:webHidden/>
          </w:rPr>
        </w:r>
        <w:r>
          <w:rPr>
            <w:noProof/>
            <w:webHidden/>
          </w:rPr>
          <w:fldChar w:fldCharType="separate"/>
        </w:r>
        <w:r w:rsidR="00AF29C3">
          <w:rPr>
            <w:noProof/>
            <w:webHidden/>
          </w:rPr>
          <w:t>423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24" w:history="1">
        <w:r w:rsidR="00E76515" w:rsidRPr="0099507F">
          <w:rPr>
            <w:rStyle w:val="Hyperlink"/>
            <w:noProof/>
          </w:rPr>
          <w:t>Map 10.1: Zoning of Dhaka for Hydrological Study</w:t>
        </w:r>
        <w:r w:rsidR="00E76515">
          <w:rPr>
            <w:noProof/>
            <w:webHidden/>
          </w:rPr>
          <w:tab/>
        </w:r>
        <w:r>
          <w:rPr>
            <w:noProof/>
            <w:webHidden/>
          </w:rPr>
          <w:fldChar w:fldCharType="begin"/>
        </w:r>
        <w:r w:rsidR="00E76515">
          <w:rPr>
            <w:noProof/>
            <w:webHidden/>
          </w:rPr>
          <w:instrText xml:space="preserve"> PAGEREF _Toc474639324 \h </w:instrText>
        </w:r>
        <w:r>
          <w:rPr>
            <w:noProof/>
            <w:webHidden/>
          </w:rPr>
        </w:r>
        <w:r>
          <w:rPr>
            <w:noProof/>
            <w:webHidden/>
          </w:rPr>
          <w:fldChar w:fldCharType="separate"/>
        </w:r>
        <w:r w:rsidR="00AF29C3">
          <w:rPr>
            <w:noProof/>
            <w:webHidden/>
          </w:rPr>
          <w:t>504</w:t>
        </w:r>
        <w:r>
          <w:rPr>
            <w:noProof/>
            <w:webHidden/>
          </w:rPr>
          <w:fldChar w:fldCharType="end"/>
        </w:r>
      </w:hyperlink>
    </w:p>
    <w:p w:rsidR="00671124" w:rsidRDefault="001A12B2" w:rsidP="0097590C">
      <w:r>
        <w:fldChar w:fldCharType="end"/>
      </w:r>
    </w:p>
    <w:p w:rsidR="00671124" w:rsidRDefault="00671124" w:rsidP="008C0601">
      <w:pPr>
        <w:pStyle w:val="Heading1"/>
      </w:pPr>
      <w:bookmarkStart w:id="4" w:name="_Toc474638827"/>
      <w:r>
        <w:t>List of Boxes</w:t>
      </w:r>
      <w:bookmarkEnd w:id="4"/>
    </w:p>
    <w:p w:rsidR="00E76515" w:rsidRDefault="001A12B2">
      <w:pPr>
        <w:pStyle w:val="TOC2"/>
        <w:rPr>
          <w:rFonts w:asciiTheme="minorHAnsi" w:eastAsiaTheme="minorEastAsia" w:hAnsiTheme="minorHAnsi"/>
          <w:noProof/>
          <w:szCs w:val="22"/>
          <w:lang w:val="en-US"/>
        </w:rPr>
      </w:pPr>
      <w:r w:rsidRPr="001A12B2">
        <w:fldChar w:fldCharType="begin"/>
      </w:r>
      <w:r w:rsidR="00E97223">
        <w:instrText xml:space="preserve"> TOC \h \z \t "Heading 7,2" </w:instrText>
      </w:r>
      <w:r w:rsidRPr="001A12B2">
        <w:fldChar w:fldCharType="separate"/>
      </w:r>
      <w:hyperlink w:anchor="_Toc474639325" w:history="1">
        <w:r w:rsidR="00E76515" w:rsidRPr="00B12471">
          <w:rPr>
            <w:rStyle w:val="Hyperlink"/>
            <w:noProof/>
          </w:rPr>
          <w:t>Box 2.1: Description of Sample Surveys</w:t>
        </w:r>
        <w:r w:rsidR="00E76515">
          <w:rPr>
            <w:noProof/>
            <w:webHidden/>
          </w:rPr>
          <w:tab/>
        </w:r>
        <w:r>
          <w:rPr>
            <w:noProof/>
            <w:webHidden/>
          </w:rPr>
          <w:fldChar w:fldCharType="begin"/>
        </w:r>
        <w:r w:rsidR="00E76515">
          <w:rPr>
            <w:noProof/>
            <w:webHidden/>
          </w:rPr>
          <w:instrText xml:space="preserve"> PAGEREF _Toc474639325 \h </w:instrText>
        </w:r>
        <w:r>
          <w:rPr>
            <w:noProof/>
            <w:webHidden/>
          </w:rPr>
        </w:r>
        <w:r>
          <w:rPr>
            <w:noProof/>
            <w:webHidden/>
          </w:rPr>
          <w:fldChar w:fldCharType="separate"/>
        </w:r>
        <w:r w:rsidR="00AF29C3">
          <w:rPr>
            <w:noProof/>
            <w:webHidden/>
          </w:rPr>
          <w:t>77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r:id="rId9" w:anchor="_Toc474639326" w:history="1">
        <w:r w:rsidR="00E76515" w:rsidRPr="00B12471">
          <w:rPr>
            <w:rStyle w:val="Hyperlink"/>
            <w:noProof/>
          </w:rPr>
          <w:t>Box 5.1: Assumptions on the Threshold of Upper Middle Income Country</w:t>
        </w:r>
        <w:r w:rsidR="00E76515">
          <w:rPr>
            <w:noProof/>
            <w:webHidden/>
          </w:rPr>
          <w:tab/>
        </w:r>
        <w:r>
          <w:rPr>
            <w:noProof/>
            <w:webHidden/>
          </w:rPr>
          <w:fldChar w:fldCharType="begin"/>
        </w:r>
        <w:r w:rsidR="00E76515">
          <w:rPr>
            <w:noProof/>
            <w:webHidden/>
          </w:rPr>
          <w:instrText xml:space="preserve"> PAGEREF _Toc474639326 \h </w:instrText>
        </w:r>
        <w:r>
          <w:rPr>
            <w:noProof/>
            <w:webHidden/>
          </w:rPr>
        </w:r>
        <w:r>
          <w:rPr>
            <w:noProof/>
            <w:webHidden/>
          </w:rPr>
          <w:fldChar w:fldCharType="separate"/>
        </w:r>
        <w:r w:rsidR="00AF29C3">
          <w:rPr>
            <w:noProof/>
            <w:webHidden/>
          </w:rPr>
          <w:t>186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27" w:history="1">
        <w:r w:rsidR="00E76515" w:rsidRPr="00B12471">
          <w:rPr>
            <w:rStyle w:val="Hyperlink"/>
            <w:noProof/>
          </w:rPr>
          <w:t>Box 5.2: Assumptions: Environmental Risk Parameters</w:t>
        </w:r>
        <w:r w:rsidR="00E76515">
          <w:rPr>
            <w:noProof/>
            <w:webHidden/>
          </w:rPr>
          <w:tab/>
        </w:r>
        <w:r>
          <w:rPr>
            <w:noProof/>
            <w:webHidden/>
          </w:rPr>
          <w:fldChar w:fldCharType="begin"/>
        </w:r>
        <w:r w:rsidR="00E76515">
          <w:rPr>
            <w:noProof/>
            <w:webHidden/>
          </w:rPr>
          <w:instrText xml:space="preserve"> PAGEREF _Toc474639327 \h </w:instrText>
        </w:r>
        <w:r>
          <w:rPr>
            <w:noProof/>
            <w:webHidden/>
          </w:rPr>
        </w:r>
        <w:r>
          <w:rPr>
            <w:noProof/>
            <w:webHidden/>
          </w:rPr>
          <w:fldChar w:fldCharType="separate"/>
        </w:r>
        <w:r w:rsidR="00AF29C3">
          <w:rPr>
            <w:noProof/>
            <w:webHidden/>
          </w:rPr>
          <w:t>191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r:id="rId10" w:anchor="_Toc474639328" w:history="1">
        <w:r w:rsidR="00E76515" w:rsidRPr="00B12471">
          <w:rPr>
            <w:rStyle w:val="Hyperlink"/>
            <w:noProof/>
          </w:rPr>
          <w:t>Box 8.1: How Farmers Manage Climate Risks in the Lower Mekong Countries</w:t>
        </w:r>
        <w:r w:rsidR="00E76515">
          <w:rPr>
            <w:noProof/>
            <w:webHidden/>
          </w:rPr>
          <w:tab/>
        </w:r>
        <w:r>
          <w:rPr>
            <w:noProof/>
            <w:webHidden/>
          </w:rPr>
          <w:fldChar w:fldCharType="begin"/>
        </w:r>
        <w:r w:rsidR="00E76515">
          <w:rPr>
            <w:noProof/>
            <w:webHidden/>
          </w:rPr>
          <w:instrText xml:space="preserve"> PAGEREF _Toc474639328 \h </w:instrText>
        </w:r>
        <w:r>
          <w:rPr>
            <w:noProof/>
            <w:webHidden/>
          </w:rPr>
        </w:r>
        <w:r>
          <w:rPr>
            <w:noProof/>
            <w:webHidden/>
          </w:rPr>
          <w:fldChar w:fldCharType="separate"/>
        </w:r>
        <w:r w:rsidR="00AF29C3">
          <w:rPr>
            <w:noProof/>
            <w:webHidden/>
          </w:rPr>
          <w:t>330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29" w:history="1">
        <w:r w:rsidR="00E76515" w:rsidRPr="00B12471">
          <w:rPr>
            <w:rStyle w:val="Hyperlink"/>
            <w:noProof/>
          </w:rPr>
          <w:t>Box 11.1: Green Climate Fund for Climate Change Adaptation in Developing Countries</w:t>
        </w:r>
        <w:r w:rsidR="00E76515">
          <w:rPr>
            <w:noProof/>
            <w:webHidden/>
          </w:rPr>
          <w:tab/>
        </w:r>
        <w:r>
          <w:rPr>
            <w:noProof/>
            <w:webHidden/>
          </w:rPr>
          <w:fldChar w:fldCharType="begin"/>
        </w:r>
        <w:r w:rsidR="00E76515">
          <w:rPr>
            <w:noProof/>
            <w:webHidden/>
          </w:rPr>
          <w:instrText xml:space="preserve"> PAGEREF _Toc474639329 \h </w:instrText>
        </w:r>
        <w:r>
          <w:rPr>
            <w:noProof/>
            <w:webHidden/>
          </w:rPr>
        </w:r>
        <w:r>
          <w:rPr>
            <w:noProof/>
            <w:webHidden/>
          </w:rPr>
          <w:fldChar w:fldCharType="separate"/>
        </w:r>
        <w:r w:rsidR="00AF29C3">
          <w:rPr>
            <w:noProof/>
            <w:webHidden/>
          </w:rPr>
          <w:t>537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r:id="rId11" w:anchor="_Toc474639330" w:history="1">
        <w:r w:rsidR="00E76515" w:rsidRPr="00B12471">
          <w:rPr>
            <w:rStyle w:val="Hyperlink"/>
            <w:noProof/>
          </w:rPr>
          <w:t>Box 12.1: The Dutch Delta Management</w:t>
        </w:r>
        <w:r w:rsidR="00E76515">
          <w:rPr>
            <w:noProof/>
            <w:webHidden/>
          </w:rPr>
          <w:tab/>
        </w:r>
        <w:r>
          <w:rPr>
            <w:noProof/>
            <w:webHidden/>
          </w:rPr>
          <w:fldChar w:fldCharType="begin"/>
        </w:r>
        <w:r w:rsidR="00E76515">
          <w:rPr>
            <w:noProof/>
            <w:webHidden/>
          </w:rPr>
          <w:instrText xml:space="preserve"> PAGEREF _Toc474639330 \h </w:instrText>
        </w:r>
        <w:r>
          <w:rPr>
            <w:noProof/>
            <w:webHidden/>
          </w:rPr>
        </w:r>
        <w:r>
          <w:rPr>
            <w:noProof/>
            <w:webHidden/>
          </w:rPr>
          <w:fldChar w:fldCharType="separate"/>
        </w:r>
        <w:r w:rsidR="00AF29C3">
          <w:rPr>
            <w:noProof/>
            <w:webHidden/>
          </w:rPr>
          <w:t>562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r:id="rId12" w:anchor="_Toc474639331" w:history="1">
        <w:r w:rsidR="00E76515" w:rsidRPr="00B12471">
          <w:rPr>
            <w:rStyle w:val="Hyperlink"/>
            <w:noProof/>
          </w:rPr>
          <w:t>Box 12.2: Decentralized Water Management in the Netherlands</w:t>
        </w:r>
        <w:r w:rsidR="00E76515">
          <w:rPr>
            <w:noProof/>
            <w:webHidden/>
          </w:rPr>
          <w:tab/>
        </w:r>
        <w:r>
          <w:rPr>
            <w:noProof/>
            <w:webHidden/>
          </w:rPr>
          <w:fldChar w:fldCharType="begin"/>
        </w:r>
        <w:r w:rsidR="00E76515">
          <w:rPr>
            <w:noProof/>
            <w:webHidden/>
          </w:rPr>
          <w:instrText xml:space="preserve"> PAGEREF _Toc474639331 \h </w:instrText>
        </w:r>
        <w:r>
          <w:rPr>
            <w:noProof/>
            <w:webHidden/>
          </w:rPr>
        </w:r>
        <w:r>
          <w:rPr>
            <w:noProof/>
            <w:webHidden/>
          </w:rPr>
          <w:fldChar w:fldCharType="separate"/>
        </w:r>
        <w:r w:rsidR="00AF29C3">
          <w:rPr>
            <w:noProof/>
            <w:webHidden/>
          </w:rPr>
          <w:t>564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r:id="rId13" w:anchor="_Toc474639332" w:history="1">
        <w:r w:rsidR="00E76515" w:rsidRPr="00B12471">
          <w:rPr>
            <w:rStyle w:val="Hyperlink"/>
            <w:noProof/>
          </w:rPr>
          <w:t>Box 14.1: National Water Resources Database</w:t>
        </w:r>
        <w:r w:rsidR="00E76515">
          <w:rPr>
            <w:noProof/>
            <w:webHidden/>
          </w:rPr>
          <w:tab/>
        </w:r>
        <w:r>
          <w:rPr>
            <w:noProof/>
            <w:webHidden/>
          </w:rPr>
          <w:fldChar w:fldCharType="begin"/>
        </w:r>
        <w:r w:rsidR="00E76515">
          <w:rPr>
            <w:noProof/>
            <w:webHidden/>
          </w:rPr>
          <w:instrText xml:space="preserve"> PAGEREF _Toc474639332 \h </w:instrText>
        </w:r>
        <w:r>
          <w:rPr>
            <w:noProof/>
            <w:webHidden/>
          </w:rPr>
        </w:r>
        <w:r>
          <w:rPr>
            <w:noProof/>
            <w:webHidden/>
          </w:rPr>
          <w:fldChar w:fldCharType="separate"/>
        </w:r>
        <w:r w:rsidR="00AF29C3">
          <w:rPr>
            <w:noProof/>
            <w:webHidden/>
          </w:rPr>
          <w:t>636</w:t>
        </w:r>
        <w:r>
          <w:rPr>
            <w:noProof/>
            <w:webHidden/>
          </w:rPr>
          <w:fldChar w:fldCharType="end"/>
        </w:r>
      </w:hyperlink>
    </w:p>
    <w:p w:rsidR="00671124" w:rsidRDefault="001A12B2" w:rsidP="0097590C">
      <w:r>
        <w:fldChar w:fldCharType="end"/>
      </w:r>
    </w:p>
    <w:p w:rsidR="00671124" w:rsidRDefault="00671124" w:rsidP="008C0601">
      <w:pPr>
        <w:pStyle w:val="Heading1"/>
      </w:pPr>
      <w:bookmarkStart w:id="5" w:name="_Toc474638828"/>
      <w:r>
        <w:t>List of Annex Tables</w:t>
      </w:r>
      <w:bookmarkEnd w:id="5"/>
    </w:p>
    <w:p w:rsidR="00E76515" w:rsidRDefault="001A12B2">
      <w:pPr>
        <w:pStyle w:val="TOC2"/>
        <w:rPr>
          <w:rFonts w:asciiTheme="minorHAnsi" w:eastAsiaTheme="minorEastAsia" w:hAnsiTheme="minorHAnsi"/>
          <w:noProof/>
          <w:szCs w:val="22"/>
          <w:lang w:val="en-US"/>
        </w:rPr>
      </w:pPr>
      <w:r w:rsidRPr="001A12B2">
        <w:fldChar w:fldCharType="begin"/>
      </w:r>
      <w:r w:rsidR="00E97223">
        <w:instrText xml:space="preserve"> TOC \h \z \t "Heading 8,2" </w:instrText>
      </w:r>
      <w:r w:rsidRPr="001A12B2">
        <w:fldChar w:fldCharType="separate"/>
      </w:r>
      <w:hyperlink w:anchor="_Toc474639333" w:history="1">
        <w:r w:rsidR="00E76515" w:rsidRPr="001267EB">
          <w:rPr>
            <w:rStyle w:val="Hyperlink"/>
            <w:noProof/>
          </w:rPr>
          <w:t>Table A2.1: Coastal Zone District Level Poverty and Inequality (%)</w:t>
        </w:r>
        <w:r w:rsidR="00E76515">
          <w:rPr>
            <w:noProof/>
            <w:webHidden/>
          </w:rPr>
          <w:tab/>
        </w:r>
        <w:r>
          <w:rPr>
            <w:noProof/>
            <w:webHidden/>
          </w:rPr>
          <w:fldChar w:fldCharType="begin"/>
        </w:r>
        <w:r w:rsidR="00E76515">
          <w:rPr>
            <w:noProof/>
            <w:webHidden/>
          </w:rPr>
          <w:instrText xml:space="preserve"> PAGEREF _Toc474639333 \h </w:instrText>
        </w:r>
        <w:r>
          <w:rPr>
            <w:noProof/>
            <w:webHidden/>
          </w:rPr>
        </w:r>
        <w:r>
          <w:rPr>
            <w:noProof/>
            <w:webHidden/>
          </w:rPr>
          <w:fldChar w:fldCharType="separate"/>
        </w:r>
        <w:r w:rsidR="00AF29C3">
          <w:rPr>
            <w:noProof/>
            <w:webHidden/>
          </w:rPr>
          <w:t>674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34" w:history="1">
        <w:r w:rsidR="00E76515" w:rsidRPr="001267EB">
          <w:rPr>
            <w:rStyle w:val="Hyperlink"/>
            <w:noProof/>
          </w:rPr>
          <w:t xml:space="preserve">Table A2.2: Drought Prone District Level </w:t>
        </w:r>
        <w:r w:rsidR="00E76515" w:rsidRPr="001267EB">
          <w:rPr>
            <w:rStyle w:val="Hyperlink"/>
            <w:rFonts w:eastAsia="Times New Roman"/>
            <w:bCs/>
            <w:noProof/>
          </w:rPr>
          <w:t>Poverty and Inequality (%)</w:t>
        </w:r>
        <w:r w:rsidR="00E76515">
          <w:rPr>
            <w:noProof/>
            <w:webHidden/>
          </w:rPr>
          <w:tab/>
        </w:r>
        <w:r>
          <w:rPr>
            <w:noProof/>
            <w:webHidden/>
          </w:rPr>
          <w:fldChar w:fldCharType="begin"/>
        </w:r>
        <w:r w:rsidR="00E76515">
          <w:rPr>
            <w:noProof/>
            <w:webHidden/>
          </w:rPr>
          <w:instrText xml:space="preserve"> PAGEREF _Toc474639334 \h </w:instrText>
        </w:r>
        <w:r>
          <w:rPr>
            <w:noProof/>
            <w:webHidden/>
          </w:rPr>
        </w:r>
        <w:r>
          <w:rPr>
            <w:noProof/>
            <w:webHidden/>
          </w:rPr>
          <w:fldChar w:fldCharType="separate"/>
        </w:r>
        <w:r w:rsidR="00AF29C3">
          <w:rPr>
            <w:noProof/>
            <w:webHidden/>
          </w:rPr>
          <w:t>674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35" w:history="1">
        <w:r w:rsidR="00E76515" w:rsidRPr="001267EB">
          <w:rPr>
            <w:rStyle w:val="Hyperlink"/>
            <w:noProof/>
          </w:rPr>
          <w:t xml:space="preserve">Table A2.3: River and Estuary District Level </w:t>
        </w:r>
        <w:r w:rsidR="00E76515" w:rsidRPr="001267EB">
          <w:rPr>
            <w:rStyle w:val="Hyperlink"/>
            <w:rFonts w:eastAsia="Times New Roman"/>
            <w:bCs/>
            <w:noProof/>
          </w:rPr>
          <w:t>Poverty and Inequality (%)</w:t>
        </w:r>
        <w:r w:rsidR="00E76515">
          <w:rPr>
            <w:noProof/>
            <w:webHidden/>
          </w:rPr>
          <w:tab/>
        </w:r>
        <w:r>
          <w:rPr>
            <w:noProof/>
            <w:webHidden/>
          </w:rPr>
          <w:fldChar w:fldCharType="begin"/>
        </w:r>
        <w:r w:rsidR="00E76515">
          <w:rPr>
            <w:noProof/>
            <w:webHidden/>
          </w:rPr>
          <w:instrText xml:space="preserve"> PAGEREF _Toc474639335 \h </w:instrText>
        </w:r>
        <w:r>
          <w:rPr>
            <w:noProof/>
            <w:webHidden/>
          </w:rPr>
        </w:r>
        <w:r>
          <w:rPr>
            <w:noProof/>
            <w:webHidden/>
          </w:rPr>
          <w:fldChar w:fldCharType="separate"/>
        </w:r>
        <w:r w:rsidR="00AF29C3">
          <w:rPr>
            <w:noProof/>
            <w:webHidden/>
          </w:rPr>
          <w:t>675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36" w:history="1">
        <w:r w:rsidR="00E76515" w:rsidRPr="001267EB">
          <w:rPr>
            <w:rStyle w:val="Hyperlink"/>
            <w:noProof/>
          </w:rPr>
          <w:t xml:space="preserve">Table A2.4: Coastal Zone Sub-District Level </w:t>
        </w:r>
        <w:r w:rsidR="00E76515" w:rsidRPr="001267EB">
          <w:rPr>
            <w:rStyle w:val="Hyperlink"/>
            <w:rFonts w:eastAsia="Times New Roman"/>
            <w:bCs/>
            <w:noProof/>
          </w:rPr>
          <w:t>Poverty and Inequality (%)</w:t>
        </w:r>
        <w:r w:rsidR="00E76515">
          <w:rPr>
            <w:noProof/>
            <w:webHidden/>
          </w:rPr>
          <w:tab/>
        </w:r>
        <w:r>
          <w:rPr>
            <w:noProof/>
            <w:webHidden/>
          </w:rPr>
          <w:fldChar w:fldCharType="begin"/>
        </w:r>
        <w:r w:rsidR="00E76515">
          <w:rPr>
            <w:noProof/>
            <w:webHidden/>
          </w:rPr>
          <w:instrText xml:space="preserve"> PAGEREF _Toc474639336 \h </w:instrText>
        </w:r>
        <w:r>
          <w:rPr>
            <w:noProof/>
            <w:webHidden/>
          </w:rPr>
        </w:r>
        <w:r>
          <w:rPr>
            <w:noProof/>
            <w:webHidden/>
          </w:rPr>
          <w:fldChar w:fldCharType="separate"/>
        </w:r>
        <w:r w:rsidR="00AF29C3">
          <w:rPr>
            <w:noProof/>
            <w:webHidden/>
          </w:rPr>
          <w:t>675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37" w:history="1">
        <w:r w:rsidR="00E76515" w:rsidRPr="001267EB">
          <w:rPr>
            <w:rStyle w:val="Hyperlink"/>
            <w:noProof/>
          </w:rPr>
          <w:t xml:space="preserve">Table A2.5: Drought Prone-District Level </w:t>
        </w:r>
        <w:r w:rsidR="00E76515" w:rsidRPr="001267EB">
          <w:rPr>
            <w:rStyle w:val="Hyperlink"/>
            <w:rFonts w:eastAsia="Times New Roman"/>
            <w:bCs/>
            <w:noProof/>
          </w:rPr>
          <w:t>Poverty and Inequality (%)</w:t>
        </w:r>
        <w:r w:rsidR="00E76515">
          <w:rPr>
            <w:noProof/>
            <w:webHidden/>
          </w:rPr>
          <w:tab/>
        </w:r>
        <w:r>
          <w:rPr>
            <w:noProof/>
            <w:webHidden/>
          </w:rPr>
          <w:fldChar w:fldCharType="begin"/>
        </w:r>
        <w:r w:rsidR="00E76515">
          <w:rPr>
            <w:noProof/>
            <w:webHidden/>
          </w:rPr>
          <w:instrText xml:space="preserve"> PAGEREF _Toc474639337 \h </w:instrText>
        </w:r>
        <w:r>
          <w:rPr>
            <w:noProof/>
            <w:webHidden/>
          </w:rPr>
        </w:r>
        <w:r>
          <w:rPr>
            <w:noProof/>
            <w:webHidden/>
          </w:rPr>
          <w:fldChar w:fldCharType="separate"/>
        </w:r>
        <w:r w:rsidR="00AF29C3">
          <w:rPr>
            <w:noProof/>
            <w:webHidden/>
          </w:rPr>
          <w:t>676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38" w:history="1">
        <w:r w:rsidR="00E76515" w:rsidRPr="001267EB">
          <w:rPr>
            <w:rStyle w:val="Hyperlink"/>
            <w:noProof/>
          </w:rPr>
          <w:t xml:space="preserve">Table A2.6: River and Estuaries Region-District Level </w:t>
        </w:r>
        <w:r w:rsidR="00E76515" w:rsidRPr="001267EB">
          <w:rPr>
            <w:rStyle w:val="Hyperlink"/>
            <w:rFonts w:eastAsia="Times New Roman"/>
            <w:bCs/>
            <w:noProof/>
          </w:rPr>
          <w:t>Poverty and Inequality (%)</w:t>
        </w:r>
        <w:r w:rsidR="00E76515">
          <w:rPr>
            <w:noProof/>
            <w:webHidden/>
          </w:rPr>
          <w:tab/>
        </w:r>
        <w:r>
          <w:rPr>
            <w:noProof/>
            <w:webHidden/>
          </w:rPr>
          <w:fldChar w:fldCharType="begin"/>
        </w:r>
        <w:r w:rsidR="00E76515">
          <w:rPr>
            <w:noProof/>
            <w:webHidden/>
          </w:rPr>
          <w:instrText xml:space="preserve"> PAGEREF _Toc474639338 \h </w:instrText>
        </w:r>
        <w:r>
          <w:rPr>
            <w:noProof/>
            <w:webHidden/>
          </w:rPr>
        </w:r>
        <w:r>
          <w:rPr>
            <w:noProof/>
            <w:webHidden/>
          </w:rPr>
          <w:fldChar w:fldCharType="separate"/>
        </w:r>
        <w:r w:rsidR="00AF29C3">
          <w:rPr>
            <w:noProof/>
            <w:webHidden/>
          </w:rPr>
          <w:t>677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39" w:history="1">
        <w:r w:rsidR="00E76515" w:rsidRPr="001267EB">
          <w:rPr>
            <w:rStyle w:val="Hyperlink"/>
            <w:noProof/>
          </w:rPr>
          <w:t>Table B5.1: Key Macroeconomic Indicators BAU Policy Option, FY2016 to FY2041</w:t>
        </w:r>
        <w:r w:rsidR="00E76515">
          <w:rPr>
            <w:noProof/>
            <w:webHidden/>
          </w:rPr>
          <w:tab/>
        </w:r>
        <w:r>
          <w:rPr>
            <w:noProof/>
            <w:webHidden/>
          </w:rPr>
          <w:fldChar w:fldCharType="begin"/>
        </w:r>
        <w:r w:rsidR="00E76515">
          <w:rPr>
            <w:noProof/>
            <w:webHidden/>
          </w:rPr>
          <w:instrText xml:space="preserve"> PAGEREF _Toc474639339 \h </w:instrText>
        </w:r>
        <w:r>
          <w:rPr>
            <w:noProof/>
            <w:webHidden/>
          </w:rPr>
        </w:r>
        <w:r>
          <w:rPr>
            <w:noProof/>
            <w:webHidden/>
          </w:rPr>
          <w:fldChar w:fldCharType="separate"/>
        </w:r>
        <w:r w:rsidR="00AF29C3">
          <w:rPr>
            <w:noProof/>
            <w:webHidden/>
          </w:rPr>
          <w:t>679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0" w:history="1">
        <w:r w:rsidR="00E76515" w:rsidRPr="001267EB">
          <w:rPr>
            <w:rStyle w:val="Hyperlink"/>
            <w:noProof/>
          </w:rPr>
          <w:t>Table B5.2: Key Macroeconomic Indicators Delta Plan Policy Option, FY2016 to FY2041</w:t>
        </w:r>
        <w:r w:rsidR="00E76515">
          <w:rPr>
            <w:noProof/>
            <w:webHidden/>
          </w:rPr>
          <w:tab/>
        </w:r>
        <w:r>
          <w:rPr>
            <w:noProof/>
            <w:webHidden/>
          </w:rPr>
          <w:fldChar w:fldCharType="begin"/>
        </w:r>
        <w:r w:rsidR="00E76515">
          <w:rPr>
            <w:noProof/>
            <w:webHidden/>
          </w:rPr>
          <w:instrText xml:space="preserve"> PAGEREF _Toc474639340 \h </w:instrText>
        </w:r>
        <w:r>
          <w:rPr>
            <w:noProof/>
            <w:webHidden/>
          </w:rPr>
        </w:r>
        <w:r>
          <w:rPr>
            <w:noProof/>
            <w:webHidden/>
          </w:rPr>
          <w:fldChar w:fldCharType="separate"/>
        </w:r>
        <w:r w:rsidR="00AF29C3">
          <w:rPr>
            <w:noProof/>
            <w:webHidden/>
          </w:rPr>
          <w:t>681</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1" w:history="1">
        <w:r w:rsidR="00E76515" w:rsidRPr="001267EB">
          <w:rPr>
            <w:rStyle w:val="Hyperlink"/>
            <w:noProof/>
          </w:rPr>
          <w:t>Table B5.3:  Employment and Poverty Outcomes under Business as Usual (BAU) Option, FY2016- FY2041</w:t>
        </w:r>
        <w:r w:rsidR="00E76515">
          <w:rPr>
            <w:noProof/>
            <w:webHidden/>
          </w:rPr>
          <w:tab/>
        </w:r>
        <w:r>
          <w:rPr>
            <w:noProof/>
            <w:webHidden/>
          </w:rPr>
          <w:fldChar w:fldCharType="begin"/>
        </w:r>
        <w:r w:rsidR="00E76515">
          <w:rPr>
            <w:noProof/>
            <w:webHidden/>
          </w:rPr>
          <w:instrText xml:space="preserve"> PAGEREF _Toc474639341 \h </w:instrText>
        </w:r>
        <w:r>
          <w:rPr>
            <w:noProof/>
            <w:webHidden/>
          </w:rPr>
        </w:r>
        <w:r>
          <w:rPr>
            <w:noProof/>
            <w:webHidden/>
          </w:rPr>
          <w:fldChar w:fldCharType="separate"/>
        </w:r>
        <w:r w:rsidR="00AF29C3">
          <w:rPr>
            <w:noProof/>
            <w:webHidden/>
          </w:rPr>
          <w:t>682</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2" w:history="1">
        <w:r w:rsidR="00E76515" w:rsidRPr="001267EB">
          <w:rPr>
            <w:rStyle w:val="Hyperlink"/>
            <w:noProof/>
          </w:rPr>
          <w:t>Table B5.4: Employment and Poverty Outcomes in the Delta Plan Option, FY2016- FY2041</w:t>
        </w:r>
        <w:r w:rsidR="00E76515">
          <w:rPr>
            <w:noProof/>
            <w:webHidden/>
          </w:rPr>
          <w:tab/>
        </w:r>
        <w:r>
          <w:rPr>
            <w:noProof/>
            <w:webHidden/>
          </w:rPr>
          <w:fldChar w:fldCharType="begin"/>
        </w:r>
        <w:r w:rsidR="00E76515">
          <w:rPr>
            <w:noProof/>
            <w:webHidden/>
          </w:rPr>
          <w:instrText xml:space="preserve"> PAGEREF _Toc474639342 \h </w:instrText>
        </w:r>
        <w:r>
          <w:rPr>
            <w:noProof/>
            <w:webHidden/>
          </w:rPr>
        </w:r>
        <w:r>
          <w:rPr>
            <w:noProof/>
            <w:webHidden/>
          </w:rPr>
          <w:fldChar w:fldCharType="separate"/>
        </w:r>
        <w:r w:rsidR="00AF29C3">
          <w:rPr>
            <w:noProof/>
            <w:webHidden/>
          </w:rPr>
          <w:t>683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3" w:history="1">
        <w:r w:rsidR="00E76515" w:rsidRPr="001267EB">
          <w:rPr>
            <w:rStyle w:val="Hyperlink"/>
            <w:noProof/>
          </w:rPr>
          <w:t>Table B5.5: Resource Requirements to Mitigation and Adaption Measures in Delta Plan Option, FY2016- FY2041</w:t>
        </w:r>
        <w:r w:rsidR="00E76515">
          <w:rPr>
            <w:noProof/>
            <w:webHidden/>
          </w:rPr>
          <w:tab/>
        </w:r>
        <w:r>
          <w:rPr>
            <w:noProof/>
            <w:webHidden/>
          </w:rPr>
          <w:fldChar w:fldCharType="begin"/>
        </w:r>
        <w:r w:rsidR="00E76515">
          <w:rPr>
            <w:noProof/>
            <w:webHidden/>
          </w:rPr>
          <w:instrText xml:space="preserve"> PAGEREF _Toc474639343 \h </w:instrText>
        </w:r>
        <w:r>
          <w:rPr>
            <w:noProof/>
            <w:webHidden/>
          </w:rPr>
        </w:r>
        <w:r>
          <w:rPr>
            <w:noProof/>
            <w:webHidden/>
          </w:rPr>
          <w:fldChar w:fldCharType="separate"/>
        </w:r>
        <w:r w:rsidR="00AF29C3">
          <w:rPr>
            <w:noProof/>
            <w:webHidden/>
          </w:rPr>
          <w:t>683</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4" w:history="1">
        <w:r w:rsidR="00E76515" w:rsidRPr="001267EB">
          <w:rPr>
            <w:rStyle w:val="Hyperlink"/>
            <w:noProof/>
          </w:rPr>
          <w:t>Table B5.6: Population Dynamics Delta Plan Policy Options, FY2016 - FY2041</w:t>
        </w:r>
        <w:r w:rsidR="00E76515">
          <w:rPr>
            <w:noProof/>
            <w:webHidden/>
          </w:rPr>
          <w:tab/>
        </w:r>
        <w:r>
          <w:rPr>
            <w:noProof/>
            <w:webHidden/>
          </w:rPr>
          <w:fldChar w:fldCharType="begin"/>
        </w:r>
        <w:r w:rsidR="00E76515">
          <w:rPr>
            <w:noProof/>
            <w:webHidden/>
          </w:rPr>
          <w:instrText xml:space="preserve"> PAGEREF _Toc474639344 \h </w:instrText>
        </w:r>
        <w:r>
          <w:rPr>
            <w:noProof/>
            <w:webHidden/>
          </w:rPr>
        </w:r>
        <w:r>
          <w:rPr>
            <w:noProof/>
            <w:webHidden/>
          </w:rPr>
          <w:fldChar w:fldCharType="separate"/>
        </w:r>
        <w:r w:rsidR="00AF29C3">
          <w:rPr>
            <w:noProof/>
            <w:webHidden/>
          </w:rPr>
          <w:t>684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5" w:history="1">
        <w:r w:rsidR="00E76515" w:rsidRPr="001267EB">
          <w:rPr>
            <w:rStyle w:val="Hyperlink"/>
            <w:noProof/>
          </w:rPr>
          <w:t>Table B5.7:  Population Dynamics BAU Policy Option, FY2016 – FY2041</w:t>
        </w:r>
        <w:r w:rsidR="00E76515">
          <w:rPr>
            <w:noProof/>
            <w:webHidden/>
          </w:rPr>
          <w:tab/>
        </w:r>
        <w:r>
          <w:rPr>
            <w:noProof/>
            <w:webHidden/>
          </w:rPr>
          <w:fldChar w:fldCharType="begin"/>
        </w:r>
        <w:r w:rsidR="00E76515">
          <w:rPr>
            <w:noProof/>
            <w:webHidden/>
          </w:rPr>
          <w:instrText xml:space="preserve"> PAGEREF _Toc474639345 \h </w:instrText>
        </w:r>
        <w:r>
          <w:rPr>
            <w:noProof/>
            <w:webHidden/>
          </w:rPr>
        </w:r>
        <w:r>
          <w:rPr>
            <w:noProof/>
            <w:webHidden/>
          </w:rPr>
          <w:fldChar w:fldCharType="separate"/>
        </w:r>
        <w:r w:rsidR="00AF29C3">
          <w:rPr>
            <w:noProof/>
            <w:webHidden/>
          </w:rPr>
          <w:t>684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6" w:history="1">
        <w:r w:rsidR="00E76515" w:rsidRPr="001267EB">
          <w:rPr>
            <w:rStyle w:val="Hyperlink"/>
            <w:noProof/>
          </w:rPr>
          <w:t>Table B5.8:  Labor Force Dynamics Delta Plan Policy Option, FY2016 - FY2041</w:t>
        </w:r>
        <w:r w:rsidR="00E76515">
          <w:rPr>
            <w:noProof/>
            <w:webHidden/>
          </w:rPr>
          <w:tab/>
        </w:r>
        <w:r>
          <w:rPr>
            <w:noProof/>
            <w:webHidden/>
          </w:rPr>
          <w:fldChar w:fldCharType="begin"/>
        </w:r>
        <w:r w:rsidR="00E76515">
          <w:rPr>
            <w:noProof/>
            <w:webHidden/>
          </w:rPr>
          <w:instrText xml:space="preserve"> PAGEREF _Toc474639346 \h </w:instrText>
        </w:r>
        <w:r>
          <w:rPr>
            <w:noProof/>
            <w:webHidden/>
          </w:rPr>
        </w:r>
        <w:r>
          <w:rPr>
            <w:noProof/>
            <w:webHidden/>
          </w:rPr>
          <w:fldChar w:fldCharType="separate"/>
        </w:r>
        <w:r w:rsidR="00AF29C3">
          <w:rPr>
            <w:noProof/>
            <w:webHidden/>
          </w:rPr>
          <w:t>685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7" w:history="1">
        <w:r w:rsidR="00E76515" w:rsidRPr="001267EB">
          <w:rPr>
            <w:rStyle w:val="Hyperlink"/>
            <w:noProof/>
          </w:rPr>
          <w:t>Table B5.9: Labor Force Dynamics BAU Policy Option, FY2016 - FY2041</w:t>
        </w:r>
        <w:r w:rsidR="00E76515">
          <w:rPr>
            <w:noProof/>
            <w:webHidden/>
          </w:rPr>
          <w:tab/>
        </w:r>
        <w:r>
          <w:rPr>
            <w:noProof/>
            <w:webHidden/>
          </w:rPr>
          <w:fldChar w:fldCharType="begin"/>
        </w:r>
        <w:r w:rsidR="00E76515">
          <w:rPr>
            <w:noProof/>
            <w:webHidden/>
          </w:rPr>
          <w:instrText xml:space="preserve"> PAGEREF _Toc474639347 \h </w:instrText>
        </w:r>
        <w:r>
          <w:rPr>
            <w:noProof/>
            <w:webHidden/>
          </w:rPr>
        </w:r>
        <w:r>
          <w:rPr>
            <w:noProof/>
            <w:webHidden/>
          </w:rPr>
          <w:fldChar w:fldCharType="separate"/>
        </w:r>
        <w:r w:rsidR="00AF29C3">
          <w:rPr>
            <w:noProof/>
            <w:webHidden/>
          </w:rPr>
          <w:t>685</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8" w:history="1">
        <w:r w:rsidR="00E76515" w:rsidRPr="001267EB">
          <w:rPr>
            <w:rStyle w:val="Hyperlink"/>
            <w:noProof/>
          </w:rPr>
          <w:t>Table B5.10:  Migration Dynamics Delta Plan Policy Option, FY2016 – FY2041</w:t>
        </w:r>
        <w:r w:rsidR="00E76515">
          <w:rPr>
            <w:noProof/>
            <w:webHidden/>
          </w:rPr>
          <w:tab/>
        </w:r>
        <w:r>
          <w:rPr>
            <w:noProof/>
            <w:webHidden/>
          </w:rPr>
          <w:fldChar w:fldCharType="begin"/>
        </w:r>
        <w:r w:rsidR="00E76515">
          <w:rPr>
            <w:noProof/>
            <w:webHidden/>
          </w:rPr>
          <w:instrText xml:space="preserve"> PAGEREF _Toc474639348 \h </w:instrText>
        </w:r>
        <w:r>
          <w:rPr>
            <w:noProof/>
            <w:webHidden/>
          </w:rPr>
        </w:r>
        <w:r>
          <w:rPr>
            <w:noProof/>
            <w:webHidden/>
          </w:rPr>
          <w:fldChar w:fldCharType="separate"/>
        </w:r>
        <w:r w:rsidR="00AF29C3">
          <w:rPr>
            <w:noProof/>
            <w:webHidden/>
          </w:rPr>
          <w:t>686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49" w:history="1">
        <w:r w:rsidR="00E76515" w:rsidRPr="001267EB">
          <w:rPr>
            <w:rStyle w:val="Hyperlink"/>
            <w:noProof/>
          </w:rPr>
          <w:t>Table B5.11:  Migration Dynamics BAU Policy Option, FY2016 – FY2041</w:t>
        </w:r>
        <w:r w:rsidR="00E76515">
          <w:rPr>
            <w:noProof/>
            <w:webHidden/>
          </w:rPr>
          <w:tab/>
        </w:r>
        <w:r>
          <w:rPr>
            <w:noProof/>
            <w:webHidden/>
          </w:rPr>
          <w:fldChar w:fldCharType="begin"/>
        </w:r>
        <w:r w:rsidR="00E76515">
          <w:rPr>
            <w:noProof/>
            <w:webHidden/>
          </w:rPr>
          <w:instrText xml:space="preserve"> PAGEREF _Toc474639349 \h </w:instrText>
        </w:r>
        <w:r>
          <w:rPr>
            <w:noProof/>
            <w:webHidden/>
          </w:rPr>
        </w:r>
        <w:r>
          <w:rPr>
            <w:noProof/>
            <w:webHidden/>
          </w:rPr>
          <w:fldChar w:fldCharType="separate"/>
        </w:r>
        <w:r w:rsidR="00AF29C3">
          <w:rPr>
            <w:noProof/>
            <w:webHidden/>
          </w:rPr>
          <w:t>686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0" w:history="1">
        <w:r w:rsidR="00E76515" w:rsidRPr="001267EB">
          <w:rPr>
            <w:rStyle w:val="Hyperlink"/>
            <w:noProof/>
          </w:rPr>
          <w:t>Table B5.12: Moderate Poverty Dynamics, FY2016 -FY2041</w:t>
        </w:r>
        <w:r w:rsidR="00E76515">
          <w:rPr>
            <w:noProof/>
            <w:webHidden/>
          </w:rPr>
          <w:tab/>
        </w:r>
        <w:r>
          <w:rPr>
            <w:noProof/>
            <w:webHidden/>
          </w:rPr>
          <w:fldChar w:fldCharType="begin"/>
        </w:r>
        <w:r w:rsidR="00E76515">
          <w:rPr>
            <w:noProof/>
            <w:webHidden/>
          </w:rPr>
          <w:instrText xml:space="preserve"> PAGEREF _Toc474639350 \h </w:instrText>
        </w:r>
        <w:r>
          <w:rPr>
            <w:noProof/>
            <w:webHidden/>
          </w:rPr>
        </w:r>
        <w:r>
          <w:rPr>
            <w:noProof/>
            <w:webHidden/>
          </w:rPr>
          <w:fldChar w:fldCharType="separate"/>
        </w:r>
        <w:r w:rsidR="00AF29C3">
          <w:rPr>
            <w:noProof/>
            <w:webHidden/>
          </w:rPr>
          <w:t>687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1" w:history="1">
        <w:r w:rsidR="00E76515" w:rsidRPr="001267EB">
          <w:rPr>
            <w:rStyle w:val="Hyperlink"/>
            <w:noProof/>
          </w:rPr>
          <w:t>Table B5.13: Extreme Poverty Dynamics, 2016-2041</w:t>
        </w:r>
        <w:r w:rsidR="00E76515">
          <w:rPr>
            <w:noProof/>
            <w:webHidden/>
          </w:rPr>
          <w:tab/>
        </w:r>
        <w:r>
          <w:rPr>
            <w:noProof/>
            <w:webHidden/>
          </w:rPr>
          <w:fldChar w:fldCharType="begin"/>
        </w:r>
        <w:r w:rsidR="00E76515">
          <w:rPr>
            <w:noProof/>
            <w:webHidden/>
          </w:rPr>
          <w:instrText xml:space="preserve"> PAGEREF _Toc474639351 \h </w:instrText>
        </w:r>
        <w:r>
          <w:rPr>
            <w:noProof/>
            <w:webHidden/>
          </w:rPr>
        </w:r>
        <w:r>
          <w:rPr>
            <w:noProof/>
            <w:webHidden/>
          </w:rPr>
          <w:fldChar w:fldCharType="separate"/>
        </w:r>
        <w:r w:rsidR="00AF29C3">
          <w:rPr>
            <w:noProof/>
            <w:webHidden/>
          </w:rPr>
          <w:t>688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2" w:history="1">
        <w:r w:rsidR="00E76515" w:rsidRPr="001267EB">
          <w:rPr>
            <w:rStyle w:val="Hyperlink"/>
            <w:noProof/>
          </w:rPr>
          <w:t>Table B5.14: Nominal GDP per Capita, FY2016 -FY2041</w:t>
        </w:r>
        <w:r w:rsidR="00E76515">
          <w:rPr>
            <w:noProof/>
            <w:webHidden/>
          </w:rPr>
          <w:tab/>
        </w:r>
        <w:r>
          <w:rPr>
            <w:noProof/>
            <w:webHidden/>
          </w:rPr>
          <w:fldChar w:fldCharType="begin"/>
        </w:r>
        <w:r w:rsidR="00E76515">
          <w:rPr>
            <w:noProof/>
            <w:webHidden/>
          </w:rPr>
          <w:instrText xml:space="preserve"> PAGEREF _Toc474639352 \h </w:instrText>
        </w:r>
        <w:r>
          <w:rPr>
            <w:noProof/>
            <w:webHidden/>
          </w:rPr>
        </w:r>
        <w:r>
          <w:rPr>
            <w:noProof/>
            <w:webHidden/>
          </w:rPr>
          <w:fldChar w:fldCharType="separate"/>
        </w:r>
        <w:r w:rsidR="00AF29C3">
          <w:rPr>
            <w:noProof/>
            <w:webHidden/>
          </w:rPr>
          <w:t>688</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3" w:history="1">
        <w:r w:rsidR="00E76515" w:rsidRPr="001267EB">
          <w:rPr>
            <w:rStyle w:val="Hyperlink"/>
            <w:noProof/>
          </w:rPr>
          <w:t>Table B5.15: Impact on Capital and Employment due to Environmental Degradation, 2016 -2041</w:t>
        </w:r>
        <w:r w:rsidR="00E76515">
          <w:rPr>
            <w:noProof/>
            <w:webHidden/>
          </w:rPr>
          <w:tab/>
        </w:r>
        <w:r>
          <w:rPr>
            <w:noProof/>
            <w:webHidden/>
          </w:rPr>
          <w:fldChar w:fldCharType="begin"/>
        </w:r>
        <w:r w:rsidR="00E76515">
          <w:rPr>
            <w:noProof/>
            <w:webHidden/>
          </w:rPr>
          <w:instrText xml:space="preserve"> PAGEREF _Toc474639353 \h </w:instrText>
        </w:r>
        <w:r>
          <w:rPr>
            <w:noProof/>
            <w:webHidden/>
          </w:rPr>
        </w:r>
        <w:r>
          <w:rPr>
            <w:noProof/>
            <w:webHidden/>
          </w:rPr>
          <w:fldChar w:fldCharType="separate"/>
        </w:r>
        <w:r w:rsidR="00AF29C3">
          <w:rPr>
            <w:noProof/>
            <w:webHidden/>
          </w:rPr>
          <w:t>689</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4" w:history="1">
        <w:r w:rsidR="00E76515" w:rsidRPr="001267EB">
          <w:rPr>
            <w:rStyle w:val="Hyperlink"/>
            <w:noProof/>
          </w:rPr>
          <w:t>Table B5.16: Income Loss due to Environmental Degradation, 2016 -2041</w:t>
        </w:r>
        <w:r w:rsidR="00E76515">
          <w:rPr>
            <w:noProof/>
            <w:webHidden/>
          </w:rPr>
          <w:tab/>
        </w:r>
        <w:r>
          <w:rPr>
            <w:noProof/>
            <w:webHidden/>
          </w:rPr>
          <w:fldChar w:fldCharType="begin"/>
        </w:r>
        <w:r w:rsidR="00E76515">
          <w:rPr>
            <w:noProof/>
            <w:webHidden/>
          </w:rPr>
          <w:instrText xml:space="preserve"> PAGEREF _Toc474639354 \h </w:instrText>
        </w:r>
        <w:r>
          <w:rPr>
            <w:noProof/>
            <w:webHidden/>
          </w:rPr>
        </w:r>
        <w:r>
          <w:rPr>
            <w:noProof/>
            <w:webHidden/>
          </w:rPr>
          <w:fldChar w:fldCharType="separate"/>
        </w:r>
        <w:r w:rsidR="00AF29C3">
          <w:rPr>
            <w:noProof/>
            <w:webHidden/>
          </w:rPr>
          <w:t>690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5" w:history="1">
        <w:r w:rsidR="00E76515" w:rsidRPr="001267EB">
          <w:rPr>
            <w:rStyle w:val="Hyperlink"/>
            <w:noProof/>
          </w:rPr>
          <w:t>Table B5.17:  Net Cultivable Land Area, FY2016 -FY2041</w:t>
        </w:r>
        <w:r w:rsidR="00E76515">
          <w:rPr>
            <w:noProof/>
            <w:webHidden/>
          </w:rPr>
          <w:tab/>
        </w:r>
        <w:r>
          <w:rPr>
            <w:noProof/>
            <w:webHidden/>
          </w:rPr>
          <w:fldChar w:fldCharType="begin"/>
        </w:r>
        <w:r w:rsidR="00E76515">
          <w:rPr>
            <w:noProof/>
            <w:webHidden/>
          </w:rPr>
          <w:instrText xml:space="preserve"> PAGEREF _Toc474639355 \h </w:instrText>
        </w:r>
        <w:r>
          <w:rPr>
            <w:noProof/>
            <w:webHidden/>
          </w:rPr>
        </w:r>
        <w:r>
          <w:rPr>
            <w:noProof/>
            <w:webHidden/>
          </w:rPr>
          <w:fldChar w:fldCharType="separate"/>
        </w:r>
        <w:r w:rsidR="00AF29C3">
          <w:rPr>
            <w:noProof/>
            <w:webHidden/>
          </w:rPr>
          <w:t>690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6" w:history="1">
        <w:r w:rsidR="00E76515" w:rsidRPr="001267EB">
          <w:rPr>
            <w:rStyle w:val="Hyperlink"/>
            <w:noProof/>
          </w:rPr>
          <w:t>Table B5.18: Bangladesh: Loss of Flood and Cyclone, FY2016 -FY2041</w:t>
        </w:r>
        <w:r w:rsidR="00E76515">
          <w:rPr>
            <w:noProof/>
            <w:webHidden/>
          </w:rPr>
          <w:tab/>
        </w:r>
        <w:r>
          <w:rPr>
            <w:noProof/>
            <w:webHidden/>
          </w:rPr>
          <w:fldChar w:fldCharType="begin"/>
        </w:r>
        <w:r w:rsidR="00E76515">
          <w:rPr>
            <w:noProof/>
            <w:webHidden/>
          </w:rPr>
          <w:instrText xml:space="preserve"> PAGEREF _Toc474639356 \h </w:instrText>
        </w:r>
        <w:r>
          <w:rPr>
            <w:noProof/>
            <w:webHidden/>
          </w:rPr>
        </w:r>
        <w:r>
          <w:rPr>
            <w:noProof/>
            <w:webHidden/>
          </w:rPr>
          <w:fldChar w:fldCharType="separate"/>
        </w:r>
        <w:r w:rsidR="00AF29C3">
          <w:rPr>
            <w:noProof/>
            <w:webHidden/>
          </w:rPr>
          <w:t>690</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7" w:history="1">
        <w:r w:rsidR="00E76515" w:rsidRPr="001267EB">
          <w:rPr>
            <w:rStyle w:val="Hyperlink"/>
            <w:noProof/>
          </w:rPr>
          <w:t>Table B5.19: Capital Stock in Bangladesh at Constant Prices (BillionTaka)</w:t>
        </w:r>
        <w:r w:rsidR="00E76515">
          <w:rPr>
            <w:noProof/>
            <w:webHidden/>
          </w:rPr>
          <w:tab/>
        </w:r>
        <w:r>
          <w:rPr>
            <w:noProof/>
            <w:webHidden/>
          </w:rPr>
          <w:fldChar w:fldCharType="begin"/>
        </w:r>
        <w:r w:rsidR="00E76515">
          <w:rPr>
            <w:noProof/>
            <w:webHidden/>
          </w:rPr>
          <w:instrText xml:space="preserve"> PAGEREF _Toc474639357 \h </w:instrText>
        </w:r>
        <w:r>
          <w:rPr>
            <w:noProof/>
            <w:webHidden/>
          </w:rPr>
        </w:r>
        <w:r>
          <w:rPr>
            <w:noProof/>
            <w:webHidden/>
          </w:rPr>
          <w:fldChar w:fldCharType="separate"/>
        </w:r>
        <w:r w:rsidR="00AF29C3">
          <w:rPr>
            <w:noProof/>
            <w:webHidden/>
          </w:rPr>
          <w:t>694</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8" w:history="1">
        <w:r w:rsidR="00E76515" w:rsidRPr="001267EB">
          <w:rPr>
            <w:rStyle w:val="Hyperlink"/>
            <w:noProof/>
          </w:rPr>
          <w:t>Table B5.20: Historical Threshold Values for Determination of Income Group</w:t>
        </w:r>
        <w:r w:rsidR="00E76515">
          <w:rPr>
            <w:noProof/>
            <w:webHidden/>
          </w:rPr>
          <w:tab/>
        </w:r>
        <w:r>
          <w:rPr>
            <w:noProof/>
            <w:webHidden/>
          </w:rPr>
          <w:fldChar w:fldCharType="begin"/>
        </w:r>
        <w:r w:rsidR="00E76515">
          <w:rPr>
            <w:noProof/>
            <w:webHidden/>
          </w:rPr>
          <w:instrText xml:space="preserve"> PAGEREF _Toc474639358 \h </w:instrText>
        </w:r>
        <w:r>
          <w:rPr>
            <w:noProof/>
            <w:webHidden/>
          </w:rPr>
        </w:r>
        <w:r>
          <w:rPr>
            <w:noProof/>
            <w:webHidden/>
          </w:rPr>
          <w:fldChar w:fldCharType="separate"/>
        </w:r>
        <w:r w:rsidR="00AF29C3">
          <w:rPr>
            <w:noProof/>
            <w:webHidden/>
          </w:rPr>
          <w:t>696</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59" w:history="1">
        <w:r w:rsidR="00E76515" w:rsidRPr="001267EB">
          <w:rPr>
            <w:rStyle w:val="Hyperlink"/>
            <w:noProof/>
          </w:rPr>
          <w:t>Table B5.21: Forecasted Threshold Values for Determination of Income Group</w:t>
        </w:r>
        <w:r w:rsidR="00E76515">
          <w:rPr>
            <w:noProof/>
            <w:webHidden/>
          </w:rPr>
          <w:tab/>
        </w:r>
        <w:r>
          <w:rPr>
            <w:noProof/>
            <w:webHidden/>
          </w:rPr>
          <w:fldChar w:fldCharType="begin"/>
        </w:r>
        <w:r w:rsidR="00E76515">
          <w:rPr>
            <w:noProof/>
            <w:webHidden/>
          </w:rPr>
          <w:instrText xml:space="preserve"> PAGEREF _Toc474639359 \h </w:instrText>
        </w:r>
        <w:r>
          <w:rPr>
            <w:noProof/>
            <w:webHidden/>
          </w:rPr>
        </w:r>
        <w:r>
          <w:rPr>
            <w:noProof/>
            <w:webHidden/>
          </w:rPr>
          <w:fldChar w:fldCharType="separate"/>
        </w:r>
        <w:r w:rsidR="00AF29C3">
          <w:rPr>
            <w:noProof/>
            <w:webHidden/>
          </w:rPr>
          <w:t>697</w:t>
        </w:r>
        <w:r>
          <w:rPr>
            <w:noProof/>
            <w:webHidden/>
          </w:rPr>
          <w:fldChar w:fldCharType="end"/>
        </w:r>
      </w:hyperlink>
    </w:p>
    <w:p w:rsidR="00E76515" w:rsidRDefault="001A12B2">
      <w:pPr>
        <w:pStyle w:val="TOC2"/>
        <w:rPr>
          <w:rFonts w:asciiTheme="minorHAnsi" w:eastAsiaTheme="minorEastAsia" w:hAnsiTheme="minorHAnsi"/>
          <w:noProof/>
          <w:szCs w:val="22"/>
          <w:lang w:val="en-US"/>
        </w:rPr>
      </w:pPr>
      <w:hyperlink w:anchor="_Toc474639360" w:history="1">
        <w:r w:rsidR="00E76515" w:rsidRPr="001267EB">
          <w:rPr>
            <w:rStyle w:val="Hyperlink"/>
            <w:noProof/>
          </w:rPr>
          <w:t xml:space="preserve">Table C11.1: </w:t>
        </w:r>
        <w:r w:rsidR="006B79BB">
          <w:rPr>
            <w:rStyle w:val="Hyperlink"/>
            <w:noProof/>
          </w:rPr>
          <w:t>Public</w:t>
        </w:r>
        <w:r w:rsidR="00E76515" w:rsidRPr="001267EB">
          <w:rPr>
            <w:rStyle w:val="Hyperlink"/>
            <w:noProof/>
          </w:rPr>
          <w:t xml:space="preserve"> Sector Allocation to the Water Sector</w:t>
        </w:r>
        <w:r w:rsidR="00E76515">
          <w:rPr>
            <w:noProof/>
            <w:webHidden/>
          </w:rPr>
          <w:tab/>
        </w:r>
        <w:r>
          <w:rPr>
            <w:noProof/>
            <w:webHidden/>
          </w:rPr>
          <w:fldChar w:fldCharType="begin"/>
        </w:r>
        <w:r w:rsidR="00E76515">
          <w:rPr>
            <w:noProof/>
            <w:webHidden/>
          </w:rPr>
          <w:instrText xml:space="preserve"> PAGEREF _Toc474639360 \h </w:instrText>
        </w:r>
        <w:r>
          <w:rPr>
            <w:noProof/>
            <w:webHidden/>
          </w:rPr>
        </w:r>
        <w:r>
          <w:rPr>
            <w:noProof/>
            <w:webHidden/>
          </w:rPr>
          <w:fldChar w:fldCharType="separate"/>
        </w:r>
        <w:r w:rsidR="00AF29C3">
          <w:rPr>
            <w:noProof/>
            <w:webHidden/>
          </w:rPr>
          <w:t>698</w:t>
        </w:r>
        <w:r>
          <w:rPr>
            <w:noProof/>
            <w:webHidden/>
          </w:rPr>
          <w:fldChar w:fldCharType="end"/>
        </w:r>
      </w:hyperlink>
    </w:p>
    <w:p w:rsidR="00E97223" w:rsidRDefault="001A12B2" w:rsidP="0097590C">
      <w:r>
        <w:fldChar w:fldCharType="end"/>
      </w:r>
    </w:p>
    <w:p w:rsidR="00E97223" w:rsidRDefault="00E97223" w:rsidP="0097590C"/>
    <w:p w:rsidR="00671124" w:rsidRPr="0097590C" w:rsidRDefault="00671124" w:rsidP="0097590C">
      <w:pPr>
        <w:sectPr w:rsidR="00671124" w:rsidRPr="0097590C" w:rsidSect="00144771">
          <w:headerReference w:type="even" r:id="rId14"/>
          <w:headerReference w:type="default" r:id="rId15"/>
          <w:footerReference w:type="even" r:id="rId16"/>
          <w:footerReference w:type="default" r:id="rId17"/>
          <w:headerReference w:type="first" r:id="rId18"/>
          <w:footerReference w:type="first" r:id="rId19"/>
          <w:pgSz w:w="12240" w:h="15840"/>
          <w:pgMar w:top="1440" w:right="1440" w:bottom="1440" w:left="1440" w:header="720" w:footer="720" w:gutter="0"/>
          <w:pgNumType w:fmt="lowerRoman" w:start="0"/>
          <w:cols w:space="720"/>
          <w:titlePg/>
          <w:docGrid w:linePitch="360"/>
        </w:sectPr>
      </w:pPr>
    </w:p>
    <w:p w:rsidR="002C74E9" w:rsidRDefault="001E28A5" w:rsidP="008C0601">
      <w:pPr>
        <w:pStyle w:val="Heading1"/>
      </w:pPr>
      <w:bookmarkStart w:id="6" w:name="_Toc474638829"/>
      <w:r>
        <w:lastRenderedPageBreak/>
        <w:t>Abbreviations</w:t>
      </w:r>
      <w:bookmarkEnd w:id="6"/>
    </w:p>
    <w:p w:rsidR="00770024" w:rsidRPr="00677A84" w:rsidRDefault="0083646F" w:rsidP="00770024">
      <w:pPr>
        <w:tabs>
          <w:tab w:val="left" w:pos="2160"/>
        </w:tabs>
        <w:spacing w:after="120"/>
        <w:ind w:left="2160" w:hanging="2160"/>
        <w:jc w:val="both"/>
        <w:rPr>
          <w:rFonts w:cs="Times New Roman"/>
          <w:szCs w:val="24"/>
        </w:rPr>
      </w:pPr>
      <w:r w:rsidRPr="00677A84">
        <w:rPr>
          <w:rFonts w:cs="Times New Roman"/>
          <w:szCs w:val="24"/>
        </w:rPr>
        <w:t>A2i</w:t>
      </w:r>
      <w:r w:rsidR="00770024" w:rsidRPr="00677A84">
        <w:rPr>
          <w:rFonts w:cs="Times New Roman"/>
          <w:szCs w:val="24"/>
        </w:rPr>
        <w:tab/>
        <w:t>Access to Information</w:t>
      </w:r>
    </w:p>
    <w:p w:rsidR="00770024" w:rsidRDefault="00770024" w:rsidP="00770024">
      <w:pPr>
        <w:tabs>
          <w:tab w:val="left" w:pos="2160"/>
        </w:tabs>
        <w:spacing w:after="120"/>
        <w:ind w:left="2160" w:hanging="2160"/>
        <w:jc w:val="both"/>
        <w:rPr>
          <w:rFonts w:cs="Times New Roman"/>
          <w:szCs w:val="24"/>
        </w:rPr>
      </w:pPr>
      <w:r>
        <w:rPr>
          <w:rFonts w:cs="Times New Roman"/>
          <w:szCs w:val="24"/>
        </w:rPr>
        <w:t>ADB</w:t>
      </w:r>
      <w:r>
        <w:rPr>
          <w:rFonts w:cs="Times New Roman"/>
          <w:szCs w:val="24"/>
        </w:rPr>
        <w:tab/>
        <w:t>Asian Development Bank</w:t>
      </w:r>
    </w:p>
    <w:p w:rsidR="00770024" w:rsidRPr="007C2871" w:rsidRDefault="00C95F37" w:rsidP="00770024">
      <w:pPr>
        <w:tabs>
          <w:tab w:val="left" w:pos="2160"/>
        </w:tabs>
        <w:spacing w:after="120"/>
        <w:ind w:left="2160" w:hanging="2160"/>
        <w:jc w:val="both"/>
        <w:rPr>
          <w:rFonts w:cs="Times New Roman"/>
          <w:szCs w:val="24"/>
          <w:lang w:val="fr-BE"/>
        </w:rPr>
      </w:pPr>
      <w:r w:rsidRPr="007C2871">
        <w:rPr>
          <w:rFonts w:cs="Times New Roman"/>
          <w:szCs w:val="24"/>
          <w:lang w:val="fr-BE"/>
        </w:rPr>
        <w:t>ADM</w:t>
      </w:r>
      <w:r w:rsidRPr="007C2871">
        <w:rPr>
          <w:rFonts w:cs="Times New Roman"/>
          <w:szCs w:val="24"/>
          <w:lang w:val="fr-BE"/>
        </w:rPr>
        <w:tab/>
        <w:t>Adaptive Delta Model</w:t>
      </w:r>
    </w:p>
    <w:p w:rsidR="00664D4E" w:rsidRPr="007C2871" w:rsidRDefault="00664D4E" w:rsidP="00664D4E">
      <w:pPr>
        <w:tabs>
          <w:tab w:val="left" w:pos="2160"/>
        </w:tabs>
        <w:spacing w:after="120"/>
        <w:ind w:left="2160" w:hanging="2160"/>
        <w:jc w:val="both"/>
        <w:rPr>
          <w:rFonts w:cs="Times New Roman"/>
          <w:szCs w:val="24"/>
          <w:lang w:val="fr-BE"/>
        </w:rPr>
      </w:pPr>
      <w:r w:rsidRPr="007C2871">
        <w:rPr>
          <w:rFonts w:cs="Times New Roman"/>
          <w:szCs w:val="24"/>
          <w:lang w:val="fr-BE"/>
        </w:rPr>
        <w:t>AIS</w:t>
      </w:r>
      <w:r w:rsidRPr="007C2871">
        <w:rPr>
          <w:rFonts w:cs="Times New Roman"/>
          <w:szCs w:val="24"/>
          <w:lang w:val="fr-BE"/>
        </w:rPr>
        <w:tab/>
        <w:t>Agriculture Information Service</w:t>
      </w:r>
    </w:p>
    <w:p w:rsidR="00664D4E" w:rsidRPr="00A40B34" w:rsidRDefault="00664D4E" w:rsidP="00770024">
      <w:pPr>
        <w:tabs>
          <w:tab w:val="left" w:pos="2160"/>
        </w:tabs>
        <w:spacing w:after="120"/>
        <w:ind w:left="2160" w:hanging="2160"/>
        <w:jc w:val="both"/>
        <w:rPr>
          <w:rFonts w:cs="Times New Roman"/>
          <w:szCs w:val="24"/>
        </w:rPr>
      </w:pPr>
      <w:r w:rsidRPr="00A40B34">
        <w:rPr>
          <w:rFonts w:cs="Times New Roman"/>
          <w:szCs w:val="24"/>
        </w:rPr>
        <w:t>ASLR</w:t>
      </w:r>
      <w:r w:rsidRPr="00A40B34">
        <w:rPr>
          <w:rFonts w:cs="Times New Roman"/>
          <w:szCs w:val="24"/>
        </w:rPr>
        <w:tab/>
        <w:t>Accelerated Sea Level Rise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AOGCM</w:t>
      </w:r>
      <w:r w:rsidRPr="00A40B34">
        <w:rPr>
          <w:rFonts w:cs="Times New Roman"/>
          <w:szCs w:val="24"/>
        </w:rPr>
        <w:tab/>
        <w:t xml:space="preserve">Atmosphere-Ocean Global Circulation Models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BARC</w:t>
      </w:r>
      <w:r w:rsidRPr="00A40B34">
        <w:rPr>
          <w:rFonts w:cs="Times New Roman"/>
          <w:szCs w:val="24"/>
        </w:rPr>
        <w:tab/>
        <w:t>Bangladesh Agricultural Research Council</w:t>
      </w:r>
    </w:p>
    <w:p w:rsidR="00E93D14" w:rsidRPr="00A40B34" w:rsidRDefault="00E93D14" w:rsidP="00E93D14">
      <w:pPr>
        <w:tabs>
          <w:tab w:val="left" w:pos="2160"/>
        </w:tabs>
        <w:spacing w:after="120"/>
        <w:ind w:left="2160" w:hanging="2160"/>
        <w:jc w:val="both"/>
        <w:rPr>
          <w:rFonts w:cs="Times New Roman"/>
          <w:szCs w:val="24"/>
        </w:rPr>
      </w:pPr>
      <w:r w:rsidRPr="00A40B34">
        <w:rPr>
          <w:rFonts w:cs="Times New Roman"/>
          <w:szCs w:val="24"/>
        </w:rPr>
        <w:t>BADC</w:t>
      </w:r>
      <w:r w:rsidRPr="00A40B34">
        <w:rPr>
          <w:rFonts w:cs="Times New Roman"/>
          <w:szCs w:val="24"/>
        </w:rPr>
        <w:tab/>
      </w:r>
      <w:r w:rsidRPr="00A40B34">
        <w:rPr>
          <w:szCs w:val="24"/>
        </w:rPr>
        <w:t>Bangladesh Agricultural Development Corporation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BAU</w:t>
      </w:r>
      <w:r w:rsidRPr="00A40B34">
        <w:rPr>
          <w:rFonts w:cs="Times New Roman"/>
          <w:szCs w:val="24"/>
        </w:rPr>
        <w:tab/>
        <w:t>Business as Usual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BBIN</w:t>
      </w:r>
      <w:r w:rsidRPr="00A40B34">
        <w:rPr>
          <w:rFonts w:cs="Times New Roman"/>
          <w:szCs w:val="24"/>
        </w:rPr>
        <w:tab/>
        <w:t>Bangladesh, Bhutan, India and Nepal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BBS</w:t>
      </w:r>
      <w:r w:rsidRPr="00A40B34">
        <w:rPr>
          <w:rFonts w:cs="Times New Roman"/>
          <w:szCs w:val="24"/>
        </w:rPr>
        <w:tab/>
        <w:t>Bangladesh Bureau of Statistics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BCCSAP</w:t>
      </w:r>
      <w:r w:rsidRPr="00A40B34">
        <w:rPr>
          <w:rFonts w:cs="Times New Roman"/>
          <w:szCs w:val="24"/>
        </w:rPr>
        <w:tab/>
        <w:t>Bangladesh Climate Change Strategy and Action Plan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BCM</w:t>
      </w:r>
      <w:r w:rsidRPr="00A40B34">
        <w:rPr>
          <w:rFonts w:cs="Times New Roman"/>
          <w:szCs w:val="24"/>
        </w:rPr>
        <w:tab/>
        <w:t>Billion Cubic Meters</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BDP</w:t>
      </w:r>
      <w:r w:rsidRPr="00A40B34">
        <w:rPr>
          <w:rFonts w:cs="Times New Roman"/>
          <w:szCs w:val="24"/>
        </w:rPr>
        <w:tab/>
        <w:t>Bangladesh Delta Plan</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BDP2100</w:t>
      </w:r>
      <w:r w:rsidRPr="00A40B34">
        <w:rPr>
          <w:rFonts w:cs="Times New Roman"/>
          <w:szCs w:val="24"/>
        </w:rPr>
        <w:tab/>
        <w:t>Bangladesh Delta Plan 2100</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BECA</w:t>
      </w:r>
      <w:r w:rsidRPr="00A40B34">
        <w:rPr>
          <w:rFonts w:cs="Times New Roman"/>
          <w:szCs w:val="24"/>
        </w:rPr>
        <w:tab/>
        <w:t>Bangladesh Environment Conservation Act</w:t>
      </w:r>
    </w:p>
    <w:p w:rsidR="00664D4E" w:rsidRPr="00A40B34" w:rsidRDefault="00664D4E" w:rsidP="00770024">
      <w:pPr>
        <w:tabs>
          <w:tab w:val="left" w:pos="2160"/>
        </w:tabs>
        <w:spacing w:after="120"/>
        <w:ind w:left="2160" w:hanging="2160"/>
        <w:jc w:val="both"/>
        <w:rPr>
          <w:rFonts w:cs="Times New Roman"/>
          <w:szCs w:val="24"/>
        </w:rPr>
      </w:pPr>
      <w:r w:rsidRPr="00A40B34">
        <w:rPr>
          <w:rFonts w:cs="Times New Roman"/>
          <w:szCs w:val="24"/>
        </w:rPr>
        <w:t>BEZA</w:t>
      </w:r>
      <w:r w:rsidRPr="00A40B34">
        <w:rPr>
          <w:rFonts w:cs="Times New Roman"/>
          <w:szCs w:val="24"/>
        </w:rPr>
        <w:tab/>
      </w:r>
      <w:r w:rsidRPr="00A40B34">
        <w:rPr>
          <w:szCs w:val="23"/>
        </w:rPr>
        <w:t>Bangladesh</w:t>
      </w:r>
      <w:r w:rsidRPr="00A40B34">
        <w:rPr>
          <w:sz w:val="23"/>
          <w:szCs w:val="23"/>
        </w:rPr>
        <w:t xml:space="preserve"> Economic Zone Authority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BGD1991G31</w:t>
      </w:r>
      <w:r w:rsidRPr="00A40B34">
        <w:rPr>
          <w:rFonts w:cs="Times New Roman"/>
          <w:szCs w:val="24"/>
        </w:rPr>
        <w:tab/>
        <w:t>Coastal and Wetland Biodiversity Management in Cox’s Bazaar and Hakaluki Haor</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BHWDB </w:t>
      </w:r>
      <w:r w:rsidRPr="00A40B34">
        <w:rPr>
          <w:rFonts w:cs="Times New Roman"/>
          <w:szCs w:val="24"/>
        </w:rPr>
        <w:tab/>
        <w:t>Bangladesh Haor &amp; Wetlands Development Board</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BIDS</w:t>
      </w:r>
      <w:r w:rsidRPr="00A40B34">
        <w:rPr>
          <w:rFonts w:cs="Times New Roman"/>
          <w:szCs w:val="24"/>
        </w:rPr>
        <w:tab/>
        <w:t>Bangladesh Institute of Development Studies</w:t>
      </w:r>
    </w:p>
    <w:p w:rsidR="00090E4A" w:rsidRPr="00A40B34" w:rsidRDefault="00090E4A" w:rsidP="00770024">
      <w:pPr>
        <w:tabs>
          <w:tab w:val="left" w:pos="2160"/>
        </w:tabs>
        <w:spacing w:after="120"/>
        <w:ind w:left="2160" w:hanging="2160"/>
        <w:jc w:val="both"/>
        <w:rPr>
          <w:rFonts w:cs="Times New Roman"/>
          <w:szCs w:val="24"/>
        </w:rPr>
      </w:pPr>
      <w:r w:rsidRPr="00A40B34">
        <w:rPr>
          <w:rFonts w:cs="Times New Roman"/>
          <w:szCs w:val="24"/>
        </w:rPr>
        <w:t>BIGD</w:t>
      </w:r>
      <w:r w:rsidRPr="00A40B34">
        <w:rPr>
          <w:rFonts w:cs="Times New Roman"/>
          <w:szCs w:val="24"/>
        </w:rPr>
        <w:tab/>
        <w:t>BRAC Institute of Governance and Development</w:t>
      </w:r>
    </w:p>
    <w:p w:rsidR="00770024" w:rsidRPr="00A40B34" w:rsidRDefault="00770024" w:rsidP="00770024">
      <w:pPr>
        <w:tabs>
          <w:tab w:val="left" w:pos="2160"/>
        </w:tabs>
        <w:spacing w:after="120"/>
        <w:ind w:left="2160" w:hanging="2160"/>
        <w:jc w:val="both"/>
        <w:rPr>
          <w:rFonts w:cs="Times New Roman"/>
          <w:szCs w:val="24"/>
          <w:lang w:val="en-GB"/>
        </w:rPr>
      </w:pPr>
      <w:r w:rsidRPr="00A40B34">
        <w:rPr>
          <w:rFonts w:cs="Times New Roman"/>
          <w:szCs w:val="24"/>
          <w:lang w:val="en-GB"/>
        </w:rPr>
        <w:t>BIMSTEC</w:t>
      </w:r>
      <w:r w:rsidRPr="00A40B34">
        <w:rPr>
          <w:rFonts w:cs="Times New Roman"/>
          <w:szCs w:val="24"/>
          <w:lang w:val="en-GB"/>
        </w:rPr>
        <w:tab/>
        <w:t>Bay of Bengal Initiative for Multi-Sectoral Technical and Economic Cooperation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BIWTA</w:t>
      </w:r>
      <w:r w:rsidRPr="00A40B34">
        <w:rPr>
          <w:rFonts w:cs="Times New Roman"/>
          <w:szCs w:val="24"/>
        </w:rPr>
        <w:tab/>
        <w:t>Bangladesh Inland Water Transport Authority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BMD</w:t>
      </w:r>
      <w:r w:rsidRPr="00A40B34">
        <w:rPr>
          <w:rFonts w:cs="Times New Roman"/>
          <w:szCs w:val="24"/>
        </w:rPr>
        <w:tab/>
        <w:t>Bangladesh Meteorological Department</w:t>
      </w:r>
    </w:p>
    <w:p w:rsidR="00664D4E" w:rsidRPr="00A40B34" w:rsidRDefault="00664D4E" w:rsidP="00664D4E">
      <w:pPr>
        <w:tabs>
          <w:tab w:val="left" w:pos="2160"/>
        </w:tabs>
        <w:spacing w:after="120"/>
        <w:ind w:left="2160" w:hanging="2160"/>
        <w:jc w:val="both"/>
        <w:rPr>
          <w:rFonts w:cs="Times New Roman"/>
          <w:szCs w:val="24"/>
        </w:rPr>
      </w:pPr>
      <w:r w:rsidRPr="00A40B34">
        <w:rPr>
          <w:rFonts w:cs="Times New Roman"/>
          <w:szCs w:val="24"/>
        </w:rPr>
        <w:t>BSCIC</w:t>
      </w:r>
      <w:r w:rsidRPr="00A40B34">
        <w:rPr>
          <w:rFonts w:cs="Times New Roman"/>
          <w:szCs w:val="24"/>
        </w:rPr>
        <w:tab/>
        <w:t>Bangladesh Small and Cottage Industries Corporation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BMDA</w:t>
      </w:r>
      <w:r w:rsidRPr="00A40B34">
        <w:rPr>
          <w:rFonts w:cs="Times New Roman"/>
          <w:szCs w:val="24"/>
        </w:rPr>
        <w:tab/>
        <w:t>Barind Multipurpose Development Authority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BMDF</w:t>
      </w:r>
      <w:r w:rsidRPr="00A40B34">
        <w:rPr>
          <w:rFonts w:cs="Times New Roman"/>
          <w:szCs w:val="24"/>
        </w:rPr>
        <w:tab/>
        <w:t>Bangladesh Municipal Development Fund</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BTM</w:t>
      </w:r>
      <w:r w:rsidRPr="00A40B34">
        <w:rPr>
          <w:rFonts w:cs="Times New Roman"/>
          <w:szCs w:val="24"/>
        </w:rPr>
        <w:tab/>
        <w:t>Bangladesh Transverse Mercator</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lastRenderedPageBreak/>
        <w:t>BUET</w:t>
      </w:r>
      <w:r w:rsidRPr="00A40B34">
        <w:rPr>
          <w:rFonts w:cs="Times New Roman"/>
          <w:szCs w:val="24"/>
        </w:rPr>
        <w:tab/>
        <w:t>Bangladesh University of Engineering and Technology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BWDA</w:t>
      </w:r>
      <w:r w:rsidRPr="00A40B34">
        <w:rPr>
          <w:rFonts w:cs="Times New Roman"/>
          <w:szCs w:val="24"/>
        </w:rPr>
        <w:tab/>
        <w:t>Bangladesh Water Development Authority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BWDB</w:t>
      </w:r>
      <w:r w:rsidRPr="00A40B34">
        <w:rPr>
          <w:rFonts w:cs="Times New Roman"/>
          <w:szCs w:val="24"/>
        </w:rPr>
        <w:tab/>
        <w:t>Bangladesh Water Development Board</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C–C</w:t>
      </w:r>
      <w:r w:rsidRPr="00A40B34">
        <w:rPr>
          <w:rFonts w:cs="Times New Roman"/>
          <w:szCs w:val="24"/>
        </w:rPr>
        <w:tab/>
        <w:t>Copenhagen-Cancun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CBD</w:t>
      </w:r>
      <w:r w:rsidRPr="00A40B34">
        <w:rPr>
          <w:rFonts w:cs="Times New Roman"/>
          <w:szCs w:val="24"/>
        </w:rPr>
        <w:tab/>
        <w:t>Convention on Biological Diversity</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CBOs</w:t>
      </w:r>
      <w:r w:rsidRPr="00A40B34">
        <w:rPr>
          <w:rFonts w:cs="Times New Roman"/>
          <w:szCs w:val="24"/>
        </w:rPr>
        <w:tab/>
        <w:t>Community-Based Organizations</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CCC</w:t>
      </w:r>
      <w:r w:rsidRPr="00A40B34">
        <w:rPr>
          <w:rFonts w:cs="Times New Roman"/>
          <w:szCs w:val="24"/>
        </w:rPr>
        <w:tab/>
        <w:t>Chittagong City Corporation</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CDA</w:t>
      </w:r>
      <w:r w:rsidRPr="00A40B34">
        <w:rPr>
          <w:rFonts w:cs="Times New Roman"/>
          <w:szCs w:val="24"/>
        </w:rPr>
        <w:tab/>
        <w:t>Chittagong Development Authority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CEGIS</w:t>
      </w:r>
      <w:r w:rsidRPr="00A40B34">
        <w:rPr>
          <w:rFonts w:cs="Times New Roman"/>
          <w:szCs w:val="24"/>
        </w:rPr>
        <w:tab/>
        <w:t>Center for Environmental and Geographic Information Services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CEP </w:t>
      </w:r>
      <w:r w:rsidRPr="00A40B34">
        <w:rPr>
          <w:rFonts w:cs="Times New Roman"/>
          <w:szCs w:val="24"/>
        </w:rPr>
        <w:tab/>
        <w:t xml:space="preserve">Coastal Embankment Project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CETP</w:t>
      </w:r>
      <w:r w:rsidRPr="00A40B34">
        <w:rPr>
          <w:rFonts w:cs="Times New Roman"/>
          <w:szCs w:val="24"/>
        </w:rPr>
        <w:tab/>
        <w:t>Centralized effluent treatment plant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CHT</w:t>
      </w:r>
      <w:r w:rsidRPr="00A40B34">
        <w:rPr>
          <w:rFonts w:cs="Times New Roman"/>
          <w:szCs w:val="24"/>
        </w:rPr>
        <w:tab/>
        <w:t>Chittagong Hill Tracts</w:t>
      </w:r>
    </w:p>
    <w:p w:rsidR="00664D4E" w:rsidRPr="00A40B34" w:rsidRDefault="00664D4E" w:rsidP="00664D4E">
      <w:pPr>
        <w:tabs>
          <w:tab w:val="left" w:pos="2160"/>
        </w:tabs>
        <w:spacing w:after="120"/>
        <w:ind w:left="2160" w:hanging="2160"/>
        <w:jc w:val="both"/>
        <w:rPr>
          <w:rFonts w:cs="Times New Roman"/>
          <w:szCs w:val="24"/>
        </w:rPr>
      </w:pPr>
      <w:r w:rsidRPr="00A40B34">
        <w:rPr>
          <w:rFonts w:cs="Times New Roman"/>
          <w:szCs w:val="24"/>
        </w:rPr>
        <w:t>CHTDB</w:t>
      </w:r>
      <w:r w:rsidRPr="00A40B34">
        <w:rPr>
          <w:rFonts w:cs="Times New Roman"/>
          <w:szCs w:val="24"/>
        </w:rPr>
        <w:tab/>
        <w:t xml:space="preserve">Chittagong Hill Tracts Development Board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CIS</w:t>
      </w:r>
      <w:r w:rsidRPr="00A40B34">
        <w:rPr>
          <w:rFonts w:cs="Times New Roman"/>
          <w:szCs w:val="24"/>
        </w:rPr>
        <w:tab/>
        <w:t>Corrugated Iron Sheet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CITES</w:t>
      </w:r>
      <w:r w:rsidRPr="00A40B34">
        <w:rPr>
          <w:rFonts w:cs="Times New Roman"/>
          <w:szCs w:val="24"/>
        </w:rPr>
        <w:tab/>
        <w:t>Convention on International Trade in Endangered Species of Wild Fauna and Flora</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CLO</w:t>
      </w:r>
      <w:r w:rsidRPr="00A40B34">
        <w:rPr>
          <w:rFonts w:cs="Times New Roman"/>
          <w:szCs w:val="24"/>
        </w:rPr>
        <w:tab/>
        <w:t>Certificate of Land Ownership</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CMS</w:t>
      </w:r>
      <w:r w:rsidRPr="00A40B34">
        <w:rPr>
          <w:rFonts w:cs="Times New Roman"/>
          <w:szCs w:val="24"/>
        </w:rPr>
        <w:tab/>
        <w:t>Convention on Migratory Species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CPHEEO </w:t>
      </w:r>
      <w:r w:rsidRPr="00A40B34">
        <w:rPr>
          <w:rFonts w:cs="Times New Roman"/>
          <w:szCs w:val="24"/>
        </w:rPr>
        <w:tab/>
        <w:t xml:space="preserve">Central </w:t>
      </w:r>
      <w:r w:rsidR="00573016">
        <w:rPr>
          <w:rFonts w:cs="Times New Roman"/>
          <w:szCs w:val="24"/>
        </w:rPr>
        <w:t>Public</w:t>
      </w:r>
      <w:r w:rsidRPr="00A40B34">
        <w:rPr>
          <w:rFonts w:cs="Times New Roman"/>
          <w:szCs w:val="24"/>
        </w:rPr>
        <w:t xml:space="preserve"> Health and Environmental Engineering Organization</w:t>
      </w:r>
    </w:p>
    <w:p w:rsidR="00153D43" w:rsidRPr="00A40B34" w:rsidRDefault="00153D43" w:rsidP="00770024">
      <w:pPr>
        <w:tabs>
          <w:tab w:val="left" w:pos="2160"/>
        </w:tabs>
        <w:spacing w:after="120"/>
        <w:ind w:left="2160" w:hanging="2160"/>
        <w:jc w:val="both"/>
        <w:rPr>
          <w:rFonts w:cs="Times New Roman"/>
          <w:szCs w:val="24"/>
        </w:rPr>
      </w:pPr>
      <w:r w:rsidRPr="00A40B34">
        <w:rPr>
          <w:rFonts w:cs="Times New Roman"/>
          <w:szCs w:val="24"/>
        </w:rPr>
        <w:t>CPA                             Chittagong Port Authority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CPI</w:t>
      </w:r>
      <w:r w:rsidRPr="00A40B34">
        <w:rPr>
          <w:rFonts w:cs="Times New Roman"/>
          <w:szCs w:val="24"/>
        </w:rPr>
        <w:tab/>
        <w:t>Consumer Price Index</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CR</w:t>
      </w:r>
      <w:r w:rsidRPr="00A40B34">
        <w:rPr>
          <w:rFonts w:cs="Times New Roman"/>
          <w:szCs w:val="24"/>
        </w:rPr>
        <w:tab/>
        <w:t>Critically Endangered</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CSA </w:t>
      </w:r>
      <w:r w:rsidRPr="00A40B34">
        <w:rPr>
          <w:rFonts w:cs="Times New Roman"/>
          <w:szCs w:val="24"/>
        </w:rPr>
        <w:tab/>
        <w:t>Climate-smart agriculture</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CSOs</w:t>
      </w:r>
      <w:r w:rsidRPr="00A40B34">
        <w:rPr>
          <w:rFonts w:cs="Times New Roman"/>
          <w:szCs w:val="24"/>
        </w:rPr>
        <w:tab/>
        <w:t>Combined Sewer Overflows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CUS </w:t>
      </w:r>
      <w:r w:rsidRPr="00A40B34">
        <w:rPr>
          <w:rFonts w:cs="Times New Roman"/>
          <w:szCs w:val="24"/>
        </w:rPr>
        <w:tab/>
        <w:t>Centre for Urban Studies</w:t>
      </w:r>
    </w:p>
    <w:p w:rsidR="004764E1" w:rsidRDefault="004764E1" w:rsidP="004764E1">
      <w:pPr>
        <w:tabs>
          <w:tab w:val="left" w:pos="2160"/>
        </w:tabs>
        <w:spacing w:after="120"/>
        <w:ind w:left="2160" w:hanging="2160"/>
        <w:jc w:val="both"/>
        <w:rPr>
          <w:rFonts w:cs="Times New Roman"/>
          <w:szCs w:val="24"/>
        </w:rPr>
      </w:pPr>
      <w:r w:rsidRPr="00A40B34">
        <w:rPr>
          <w:rFonts w:cs="Times New Roman"/>
          <w:szCs w:val="24"/>
        </w:rPr>
        <w:t>CWASA</w:t>
      </w:r>
      <w:r w:rsidRPr="00A40B34">
        <w:rPr>
          <w:rFonts w:cs="Times New Roman"/>
          <w:szCs w:val="24"/>
        </w:rPr>
        <w:tab/>
      </w:r>
      <w:r w:rsidRPr="00A40B34">
        <w:rPr>
          <w:szCs w:val="24"/>
        </w:rPr>
        <w:t xml:space="preserve">Chittagong </w:t>
      </w:r>
      <w:r w:rsidRPr="00A40B34">
        <w:rPr>
          <w:rFonts w:cs="Times New Roman"/>
          <w:szCs w:val="24"/>
        </w:rPr>
        <w:t>Water Supply and Sewerage Authority</w:t>
      </w:r>
    </w:p>
    <w:p w:rsidR="00A84A09" w:rsidRPr="00250E58" w:rsidRDefault="00A84A09" w:rsidP="004764E1">
      <w:pPr>
        <w:tabs>
          <w:tab w:val="left" w:pos="2160"/>
        </w:tabs>
        <w:spacing w:after="120"/>
        <w:ind w:left="2160" w:hanging="2160"/>
        <w:jc w:val="both"/>
        <w:rPr>
          <w:rFonts w:cs="Times New Roman"/>
          <w:szCs w:val="24"/>
        </w:rPr>
      </w:pPr>
      <w:r w:rsidRPr="00A84A09">
        <w:rPr>
          <w:rFonts w:cs="Times New Roman"/>
          <w:szCs w:val="24"/>
        </w:rPr>
        <w:t>CWU</w:t>
      </w:r>
      <w:r w:rsidRPr="00250E58">
        <w:rPr>
          <w:rFonts w:cs="Times New Roman"/>
          <w:szCs w:val="24"/>
        </w:rPr>
        <w:t xml:space="preserve">                           Canal Water Uplifting</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DAP</w:t>
      </w:r>
      <w:r w:rsidRPr="00A40B34">
        <w:rPr>
          <w:rFonts w:cs="Times New Roman"/>
          <w:szCs w:val="24"/>
        </w:rPr>
        <w:tab/>
        <w:t>Detailed Area Plan</w:t>
      </w:r>
    </w:p>
    <w:p w:rsidR="003C3474" w:rsidRPr="00A40B34" w:rsidRDefault="003C3474" w:rsidP="003C3474">
      <w:pPr>
        <w:tabs>
          <w:tab w:val="left" w:pos="2160"/>
        </w:tabs>
        <w:spacing w:after="120"/>
        <w:ind w:left="2160" w:hanging="2160"/>
        <w:jc w:val="both"/>
        <w:rPr>
          <w:rFonts w:cs="Times New Roman"/>
          <w:szCs w:val="24"/>
        </w:rPr>
      </w:pPr>
      <w:r w:rsidRPr="00A40B34">
        <w:rPr>
          <w:rFonts w:cs="Times New Roman"/>
          <w:szCs w:val="24"/>
        </w:rPr>
        <w:t>DAM</w:t>
      </w:r>
      <w:r w:rsidRPr="00A40B34">
        <w:rPr>
          <w:rFonts w:cs="Times New Roman"/>
          <w:szCs w:val="24"/>
        </w:rPr>
        <w:tab/>
        <w:t>Department of Agriculture Marketing</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DBHWD</w:t>
      </w:r>
      <w:r w:rsidRPr="00A40B34">
        <w:rPr>
          <w:rFonts w:cs="Times New Roman"/>
          <w:szCs w:val="24"/>
        </w:rPr>
        <w:tab/>
        <w:t>Department for Bangladesh Haor and Wetlands Development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DD</w:t>
      </w:r>
      <w:r w:rsidRPr="00A40B34">
        <w:rPr>
          <w:rFonts w:cs="Times New Roman"/>
          <w:szCs w:val="24"/>
        </w:rPr>
        <w:tab/>
        <w:t>Data Deficient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lastRenderedPageBreak/>
        <w:t xml:space="preserve">DEPTC </w:t>
      </w:r>
      <w:r w:rsidRPr="00A40B34">
        <w:rPr>
          <w:rFonts w:cs="Times New Roman"/>
          <w:szCs w:val="24"/>
        </w:rPr>
        <w:tab/>
        <w:t>Deck Engine Personnel Training Center</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DFID</w:t>
      </w:r>
      <w:r w:rsidRPr="00A40B34">
        <w:rPr>
          <w:rFonts w:cs="Times New Roman"/>
          <w:szCs w:val="24"/>
        </w:rPr>
        <w:tab/>
        <w:t>Department for International Development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DIEM </w:t>
      </w:r>
      <w:r w:rsidRPr="00A40B34">
        <w:rPr>
          <w:rFonts w:cs="Times New Roman"/>
          <w:szCs w:val="24"/>
        </w:rPr>
        <w:tab/>
        <w:t>Delta Dynamic Integrated Emulator Model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DIP</w:t>
      </w:r>
      <w:r w:rsidRPr="00A40B34">
        <w:rPr>
          <w:rFonts w:cs="Times New Roman"/>
          <w:szCs w:val="24"/>
        </w:rPr>
        <w:tab/>
        <w:t>Delta Investment Plan</w:t>
      </w:r>
    </w:p>
    <w:p w:rsidR="003C3474" w:rsidRPr="00A40B34" w:rsidRDefault="003C3474" w:rsidP="00770024">
      <w:pPr>
        <w:tabs>
          <w:tab w:val="left" w:pos="2160"/>
        </w:tabs>
        <w:spacing w:after="120"/>
        <w:ind w:left="2160" w:hanging="2160"/>
        <w:jc w:val="both"/>
        <w:rPr>
          <w:rFonts w:cs="Times New Roman"/>
          <w:szCs w:val="24"/>
        </w:rPr>
      </w:pPr>
      <w:r w:rsidRPr="00A40B34">
        <w:rPr>
          <w:rFonts w:cs="Times New Roman"/>
          <w:szCs w:val="24"/>
        </w:rPr>
        <w:t>DIS</w:t>
      </w:r>
      <w:r w:rsidR="00812390" w:rsidRPr="00A40B34">
        <w:rPr>
          <w:rFonts w:cs="Times New Roman"/>
          <w:szCs w:val="24"/>
        </w:rPr>
        <w:tab/>
      </w:r>
      <w:r w:rsidRPr="00A40B34">
        <w:rPr>
          <w:rFonts w:cs="Times New Roman"/>
          <w:szCs w:val="24"/>
        </w:rPr>
        <w:t xml:space="preserve">Digital Information </w:t>
      </w:r>
      <w:r w:rsidR="00F57172" w:rsidRPr="00A40B34">
        <w:rPr>
          <w:rFonts w:cs="Times New Roman"/>
          <w:szCs w:val="24"/>
        </w:rPr>
        <w:t>System</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DKRZ</w:t>
      </w:r>
      <w:r w:rsidRPr="00A40B34">
        <w:rPr>
          <w:rFonts w:cs="Times New Roman"/>
          <w:szCs w:val="24"/>
        </w:rPr>
        <w:tab/>
        <w:t>Helmholts Centre and the German Climate Computing Centre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DLRS </w:t>
      </w:r>
      <w:r w:rsidRPr="00A40B34">
        <w:rPr>
          <w:rFonts w:cs="Times New Roman"/>
          <w:szCs w:val="24"/>
        </w:rPr>
        <w:tab/>
        <w:t>Directorate of Land Records and Surveys</w:t>
      </w:r>
    </w:p>
    <w:p w:rsidR="00812390" w:rsidRPr="00A40B34" w:rsidRDefault="00812390" w:rsidP="00770024">
      <w:pPr>
        <w:tabs>
          <w:tab w:val="left" w:pos="2160"/>
        </w:tabs>
        <w:spacing w:after="120"/>
        <w:ind w:left="2160" w:hanging="2160"/>
        <w:jc w:val="both"/>
        <w:rPr>
          <w:rFonts w:cs="Times New Roman"/>
          <w:szCs w:val="24"/>
        </w:rPr>
      </w:pPr>
      <w:r w:rsidRPr="00A40B34">
        <w:rPr>
          <w:rFonts w:cs="Times New Roman"/>
          <w:color w:val="000000"/>
          <w:sz w:val="23"/>
          <w:szCs w:val="23"/>
        </w:rPr>
        <w:t>DLMS</w:t>
      </w:r>
      <w:r w:rsidRPr="00A40B34">
        <w:rPr>
          <w:rFonts w:cs="Times New Roman"/>
          <w:color w:val="000000"/>
          <w:sz w:val="23"/>
          <w:szCs w:val="23"/>
        </w:rPr>
        <w:tab/>
        <w:t>Digital Land Management System</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DND </w:t>
      </w:r>
      <w:r w:rsidRPr="00A40B34">
        <w:rPr>
          <w:rFonts w:cs="Times New Roman"/>
          <w:szCs w:val="24"/>
        </w:rPr>
        <w:tab/>
        <w:t xml:space="preserve">Dhaka-Narayanganj-Demra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DO</w:t>
      </w:r>
      <w:r w:rsidRPr="00A40B34">
        <w:rPr>
          <w:rFonts w:cs="Times New Roman"/>
          <w:szCs w:val="24"/>
        </w:rPr>
        <w:tab/>
        <w:t>Dissolved oxygen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DoE</w:t>
      </w:r>
      <w:r w:rsidRPr="00A40B34">
        <w:rPr>
          <w:rFonts w:cs="Times New Roman"/>
          <w:szCs w:val="24"/>
        </w:rPr>
        <w:tab/>
        <w:t xml:space="preserve">Department of Environment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DOS</w:t>
      </w:r>
      <w:r w:rsidRPr="00A40B34">
        <w:rPr>
          <w:rFonts w:cs="Times New Roman"/>
          <w:szCs w:val="24"/>
        </w:rPr>
        <w:tab/>
        <w:t>Department of Shipping</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DP</w:t>
      </w:r>
      <w:r w:rsidRPr="00A40B34">
        <w:rPr>
          <w:rFonts w:cs="Times New Roman"/>
          <w:szCs w:val="24"/>
        </w:rPr>
        <w:tab/>
        <w:t>Delta Plan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DPHE</w:t>
      </w:r>
      <w:r w:rsidRPr="00A40B34">
        <w:rPr>
          <w:rFonts w:cs="Times New Roman"/>
          <w:szCs w:val="24"/>
        </w:rPr>
        <w:tab/>
        <w:t xml:space="preserve">Department of </w:t>
      </w:r>
      <w:r w:rsidR="00573016">
        <w:rPr>
          <w:rFonts w:cs="Times New Roman"/>
          <w:szCs w:val="24"/>
        </w:rPr>
        <w:t>Public</w:t>
      </w:r>
      <w:r w:rsidRPr="00A40B34">
        <w:rPr>
          <w:rFonts w:cs="Times New Roman"/>
          <w:szCs w:val="24"/>
        </w:rPr>
        <w:t xml:space="preserve"> Health Engineering</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DRAS</w:t>
      </w:r>
      <w:r w:rsidRPr="00A40B34">
        <w:rPr>
          <w:rFonts w:cs="Times New Roman"/>
          <w:szCs w:val="24"/>
        </w:rPr>
        <w:tab/>
        <w:t>Drought Assessment framework</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DRF</w:t>
      </w:r>
      <w:r w:rsidRPr="00A40B34">
        <w:rPr>
          <w:rFonts w:cs="Times New Roman"/>
          <w:szCs w:val="24"/>
        </w:rPr>
        <w:tab/>
        <w:t>Development Results Framework</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DTW</w:t>
      </w:r>
      <w:r w:rsidRPr="00A40B34">
        <w:rPr>
          <w:rFonts w:cs="Times New Roman"/>
          <w:szCs w:val="24"/>
        </w:rPr>
        <w:tab/>
        <w:t>Deep Tube-well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DWASA</w:t>
      </w:r>
      <w:r w:rsidRPr="00A40B34">
        <w:rPr>
          <w:rFonts w:cs="Times New Roman"/>
          <w:szCs w:val="24"/>
        </w:rPr>
        <w:tab/>
        <w:t>Dhaka Water Supply and Sewerage Authority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ECA</w:t>
      </w:r>
      <w:r w:rsidRPr="00A40B34">
        <w:rPr>
          <w:rFonts w:cs="Times New Roman"/>
          <w:szCs w:val="24"/>
        </w:rPr>
        <w:tab/>
        <w:t>Ecologically Critical Area</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ECNEC </w:t>
      </w:r>
      <w:r w:rsidRPr="00A40B34">
        <w:rPr>
          <w:rFonts w:cs="Times New Roman"/>
          <w:szCs w:val="24"/>
        </w:rPr>
        <w:tab/>
        <w:t>Executive Committee of National Economic Council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ECNWC</w:t>
      </w:r>
      <w:r w:rsidRPr="00A40B34">
        <w:rPr>
          <w:rFonts w:cs="Times New Roman"/>
          <w:szCs w:val="24"/>
        </w:rPr>
        <w:tab/>
        <w:t>Executive Committee of the National Water Council</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ECNWRC</w:t>
      </w:r>
      <w:r w:rsidRPr="00A40B34">
        <w:rPr>
          <w:rFonts w:cs="Times New Roman"/>
          <w:szCs w:val="24"/>
        </w:rPr>
        <w:tab/>
        <w:t>Executive Committee of the National Water Resources Council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EEZ</w:t>
      </w:r>
      <w:r w:rsidRPr="00A40B34">
        <w:rPr>
          <w:rFonts w:cs="Times New Roman"/>
          <w:szCs w:val="24"/>
        </w:rPr>
        <w:tab/>
        <w:t>Exclusive Economic Zone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EH</w:t>
      </w:r>
      <w:r w:rsidRPr="00A40B34">
        <w:rPr>
          <w:rFonts w:cs="Times New Roman"/>
          <w:szCs w:val="24"/>
        </w:rPr>
        <w:tab/>
        <w:t>Eastern Hills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EN</w:t>
      </w:r>
      <w:r w:rsidRPr="00A40B34">
        <w:rPr>
          <w:rFonts w:cs="Times New Roman"/>
          <w:szCs w:val="24"/>
        </w:rPr>
        <w:tab/>
        <w:t>Endangered</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ERD</w:t>
      </w:r>
      <w:r w:rsidRPr="00A40B34">
        <w:rPr>
          <w:rFonts w:cs="Times New Roman"/>
          <w:szCs w:val="24"/>
        </w:rPr>
        <w:tab/>
        <w:t>Economic Relations Division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ESPA</w:t>
      </w:r>
      <w:r w:rsidRPr="00A40B34">
        <w:rPr>
          <w:rFonts w:cs="Times New Roman"/>
          <w:szCs w:val="24"/>
        </w:rPr>
        <w:tab/>
        <w:t xml:space="preserve">Ecosystem services for poverty alleviation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ETP</w:t>
      </w:r>
      <w:r w:rsidRPr="00A40B34">
        <w:rPr>
          <w:rFonts w:cs="Times New Roman"/>
          <w:szCs w:val="24"/>
        </w:rPr>
        <w:tab/>
        <w:t>Effluent Treatment Plant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EXT</w:t>
      </w:r>
      <w:r w:rsidRPr="00A40B34">
        <w:rPr>
          <w:rFonts w:cs="Times New Roman"/>
          <w:szCs w:val="24"/>
        </w:rPr>
        <w:tab/>
        <w:t>Extreme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FCD</w:t>
      </w:r>
      <w:r w:rsidR="0083646F" w:rsidRPr="00A40B34">
        <w:rPr>
          <w:rFonts w:cs="Times New Roman"/>
          <w:szCs w:val="24"/>
        </w:rPr>
        <w:t xml:space="preserve"> </w:t>
      </w:r>
      <w:r w:rsidRPr="00A40B34">
        <w:rPr>
          <w:rFonts w:cs="Times New Roman"/>
          <w:szCs w:val="24"/>
        </w:rPr>
        <w:t>(I)</w:t>
      </w:r>
      <w:r w:rsidRPr="00A40B34">
        <w:rPr>
          <w:rFonts w:cs="Times New Roman"/>
          <w:szCs w:val="24"/>
        </w:rPr>
        <w:tab/>
        <w:t>Flood Control Drainage and Irrigation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FCD</w:t>
      </w:r>
      <w:r w:rsidRPr="00A40B34">
        <w:rPr>
          <w:rFonts w:cs="Times New Roman"/>
          <w:szCs w:val="24"/>
        </w:rPr>
        <w:tab/>
        <w:t xml:space="preserve">Flood Control, Drainage Project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lastRenderedPageBreak/>
        <w:t>FD</w:t>
      </w:r>
      <w:r w:rsidRPr="00A40B34">
        <w:rPr>
          <w:rFonts w:cs="Times New Roman"/>
          <w:szCs w:val="24"/>
        </w:rPr>
        <w:tab/>
        <w:t>Forest Department</w:t>
      </w:r>
    </w:p>
    <w:p w:rsidR="00812390" w:rsidRPr="00A40B34" w:rsidRDefault="00812390" w:rsidP="00812390">
      <w:pPr>
        <w:tabs>
          <w:tab w:val="left" w:pos="2160"/>
        </w:tabs>
        <w:spacing w:after="120"/>
        <w:ind w:left="2160" w:hanging="2160"/>
        <w:jc w:val="both"/>
        <w:rPr>
          <w:rFonts w:cs="Times New Roman"/>
          <w:szCs w:val="24"/>
        </w:rPr>
      </w:pPr>
      <w:r w:rsidRPr="00A40B34">
        <w:rPr>
          <w:rFonts w:cs="Times New Roman"/>
          <w:szCs w:val="24"/>
        </w:rPr>
        <w:t>FDI</w:t>
      </w:r>
      <w:r w:rsidRPr="00A40B34">
        <w:rPr>
          <w:rFonts w:cs="Times New Roman"/>
          <w:szCs w:val="24"/>
        </w:rPr>
        <w:tab/>
        <w:t>Foreign Direct Investment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FSM</w:t>
      </w:r>
      <w:r w:rsidRPr="00A40B34">
        <w:rPr>
          <w:rFonts w:cs="Times New Roman"/>
          <w:szCs w:val="24"/>
        </w:rPr>
        <w:tab/>
        <w:t>Faecal Sludge Management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FYP</w:t>
      </w:r>
      <w:r w:rsidRPr="00A40B34">
        <w:rPr>
          <w:rFonts w:cs="Times New Roman"/>
          <w:szCs w:val="24"/>
        </w:rPr>
        <w:tab/>
        <w:t>Five Year Plan</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GBM</w:t>
      </w:r>
      <w:r w:rsidRPr="00A40B34">
        <w:rPr>
          <w:rFonts w:cs="Times New Roman"/>
          <w:szCs w:val="24"/>
        </w:rPr>
        <w:tab/>
        <w:t>Ganges-Brahmaputra-Meghna</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GCF</w:t>
      </w:r>
      <w:r w:rsidRPr="00A40B34">
        <w:rPr>
          <w:rFonts w:cs="Times New Roman"/>
          <w:szCs w:val="24"/>
        </w:rPr>
        <w:tab/>
        <w:t>Green Climate Fund</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 xml:space="preserve">GCM    </w:t>
      </w:r>
      <w:r w:rsidRPr="00A40B34">
        <w:rPr>
          <w:rFonts w:cs="Times New Roman"/>
          <w:szCs w:val="24"/>
        </w:rPr>
        <w:tab/>
        <w:t xml:space="preserve">General Circulation Models </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GDP</w:t>
      </w:r>
      <w:r w:rsidRPr="00A40B34">
        <w:rPr>
          <w:rFonts w:cs="Times New Roman"/>
          <w:szCs w:val="24"/>
        </w:rPr>
        <w:tab/>
        <w:t>Gross Domestic Product</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GED</w:t>
      </w:r>
      <w:r w:rsidRPr="00A40B34">
        <w:rPr>
          <w:rFonts w:cs="Times New Roman"/>
          <w:szCs w:val="24"/>
        </w:rPr>
        <w:tab/>
        <w:t>General Economics Division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GEF</w:t>
      </w:r>
      <w:r w:rsidRPr="00A40B34">
        <w:rPr>
          <w:rFonts w:cs="Times New Roman"/>
          <w:szCs w:val="24"/>
        </w:rPr>
        <w:tab/>
        <w:t>Global Environmental Facility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GHG</w:t>
      </w:r>
      <w:r w:rsidRPr="00A40B34">
        <w:rPr>
          <w:rFonts w:cs="Times New Roman"/>
          <w:szCs w:val="24"/>
        </w:rPr>
        <w:tab/>
        <w:t>Greenhouse Gas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GIS</w:t>
      </w:r>
      <w:r w:rsidRPr="00A40B34">
        <w:rPr>
          <w:rFonts w:cs="Times New Roman"/>
          <w:szCs w:val="24"/>
        </w:rPr>
        <w:tab/>
        <w:t>Geographical Information System</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GIZ</w:t>
      </w:r>
      <w:r w:rsidRPr="00A40B34">
        <w:rPr>
          <w:rFonts w:cs="Times New Roman"/>
          <w:szCs w:val="24"/>
        </w:rPr>
        <w:tab/>
        <w:t>Gesellschaft für Internationale Zusammenarbeit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GNI</w:t>
      </w:r>
      <w:r w:rsidRPr="00A40B34">
        <w:rPr>
          <w:rFonts w:cs="Times New Roman"/>
          <w:szCs w:val="24"/>
        </w:rPr>
        <w:tab/>
        <w:t>Gross National Income</w:t>
      </w:r>
    </w:p>
    <w:p w:rsidR="00812390" w:rsidRPr="00A40B34" w:rsidRDefault="00812390" w:rsidP="00812390">
      <w:pPr>
        <w:tabs>
          <w:tab w:val="left" w:pos="2160"/>
        </w:tabs>
        <w:spacing w:after="120"/>
        <w:ind w:left="2160" w:hanging="2160"/>
        <w:jc w:val="both"/>
        <w:rPr>
          <w:rFonts w:cs="Times New Roman"/>
          <w:szCs w:val="24"/>
        </w:rPr>
      </w:pPr>
      <w:r w:rsidRPr="00A40B34">
        <w:rPr>
          <w:rFonts w:cs="Times New Roman"/>
          <w:szCs w:val="24"/>
        </w:rPr>
        <w:t>GOB</w:t>
      </w:r>
      <w:r w:rsidRPr="00A40B34">
        <w:rPr>
          <w:rFonts w:cs="Times New Roman"/>
          <w:szCs w:val="24"/>
        </w:rPr>
        <w:tab/>
      </w:r>
      <w:r w:rsidR="00F57172" w:rsidRPr="00A40B34">
        <w:rPr>
          <w:rFonts w:cs="Times New Roman"/>
          <w:szCs w:val="24"/>
        </w:rPr>
        <w:t>Government</w:t>
      </w:r>
      <w:r w:rsidRPr="00A40B34">
        <w:rPr>
          <w:rFonts w:cs="Times New Roman"/>
          <w:szCs w:val="24"/>
        </w:rPr>
        <w:t xml:space="preserve"> of Bangladesh</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GTS</w:t>
      </w:r>
      <w:r w:rsidRPr="00A40B34">
        <w:rPr>
          <w:rFonts w:cs="Times New Roman"/>
          <w:szCs w:val="24"/>
        </w:rPr>
        <w:tab/>
        <w:t>Green Transformation Fund</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GW</w:t>
      </w:r>
      <w:r w:rsidRPr="00A40B34">
        <w:rPr>
          <w:rFonts w:cs="Times New Roman"/>
          <w:szCs w:val="24"/>
        </w:rPr>
        <w:tab/>
        <w:t>Groundwater</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HDRC</w:t>
      </w:r>
      <w:r w:rsidRPr="00A40B34">
        <w:rPr>
          <w:rFonts w:cs="Times New Roman"/>
          <w:szCs w:val="24"/>
        </w:rPr>
        <w:tab/>
        <w:t>Human Development Research Centre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HH</w:t>
      </w:r>
      <w:r w:rsidRPr="00A40B34">
        <w:rPr>
          <w:rFonts w:cs="Times New Roman"/>
          <w:szCs w:val="24"/>
        </w:rPr>
        <w:tab/>
        <w:t>Household</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HIC</w:t>
      </w:r>
      <w:r w:rsidRPr="00A40B34">
        <w:rPr>
          <w:rFonts w:cs="Times New Roman"/>
          <w:szCs w:val="24"/>
        </w:rPr>
        <w:tab/>
        <w:t>High Income Country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HIES</w:t>
      </w:r>
      <w:r w:rsidRPr="00A40B34">
        <w:rPr>
          <w:rFonts w:cs="Times New Roman"/>
          <w:szCs w:val="24"/>
        </w:rPr>
        <w:tab/>
        <w:t>Household Income and Expenditure Survey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HRA</w:t>
      </w:r>
      <w:r w:rsidRPr="00A40B34">
        <w:rPr>
          <w:rFonts w:cs="Times New Roman"/>
          <w:szCs w:val="24"/>
        </w:rPr>
        <w:tab/>
        <w:t>Hard to Reach Area</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HYSAWA</w:t>
      </w:r>
      <w:r w:rsidRPr="00A40B34">
        <w:rPr>
          <w:rFonts w:cs="Times New Roman"/>
          <w:szCs w:val="24"/>
        </w:rPr>
        <w:tab/>
        <w:t>Hygiene, Sanitation and Water Services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HYV</w:t>
      </w:r>
      <w:r w:rsidRPr="00A40B34">
        <w:rPr>
          <w:rFonts w:cs="Times New Roman"/>
          <w:szCs w:val="24"/>
        </w:rPr>
        <w:tab/>
        <w:t>High Yield Variety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IBA</w:t>
      </w:r>
      <w:r w:rsidRPr="00A40B34">
        <w:rPr>
          <w:rFonts w:cs="Times New Roman"/>
          <w:szCs w:val="24"/>
        </w:rPr>
        <w:tab/>
        <w:t>Important Bird Areas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ICZM</w:t>
      </w:r>
      <w:r w:rsidRPr="00A40B34">
        <w:rPr>
          <w:rFonts w:cs="Times New Roman"/>
          <w:szCs w:val="24"/>
        </w:rPr>
        <w:tab/>
        <w:t>Integrated Coastal Zone Management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ICZMP</w:t>
      </w:r>
      <w:r w:rsidRPr="00A40B34">
        <w:rPr>
          <w:rFonts w:cs="Times New Roman"/>
          <w:szCs w:val="24"/>
        </w:rPr>
        <w:tab/>
        <w:t>Integrated Coastal Zone Management Planning</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ICOR </w:t>
      </w:r>
      <w:r w:rsidRPr="00A40B34">
        <w:rPr>
          <w:rFonts w:cs="Times New Roman"/>
          <w:szCs w:val="24"/>
        </w:rPr>
        <w:tab/>
        <w:t xml:space="preserve">Incremental Capital Output Ratio </w:t>
      </w:r>
    </w:p>
    <w:p w:rsidR="00812390" w:rsidRPr="00A40B34" w:rsidRDefault="00812390" w:rsidP="00812390">
      <w:pPr>
        <w:tabs>
          <w:tab w:val="left" w:pos="2160"/>
        </w:tabs>
        <w:spacing w:after="120"/>
        <w:ind w:left="2160" w:hanging="2160"/>
        <w:jc w:val="both"/>
        <w:rPr>
          <w:rFonts w:cs="Times New Roman"/>
          <w:szCs w:val="24"/>
        </w:rPr>
      </w:pPr>
      <w:r w:rsidRPr="00A40B34">
        <w:rPr>
          <w:rFonts w:cs="Times New Roman"/>
          <w:szCs w:val="24"/>
        </w:rPr>
        <w:t>ICT</w:t>
      </w:r>
      <w:r w:rsidRPr="00A40B34">
        <w:rPr>
          <w:rFonts w:cs="Times New Roman"/>
          <w:szCs w:val="24"/>
        </w:rPr>
        <w:tab/>
        <w:t>Information Communication Technology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ICRD</w:t>
      </w:r>
      <w:r w:rsidRPr="00A40B34">
        <w:rPr>
          <w:rFonts w:cs="Times New Roman"/>
          <w:szCs w:val="24"/>
        </w:rPr>
        <w:tab/>
        <w:t>Integrated Coastal Resources Database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IDCOL</w:t>
      </w:r>
      <w:r w:rsidRPr="00A40B34">
        <w:rPr>
          <w:rFonts w:cs="Times New Roman"/>
          <w:szCs w:val="24"/>
        </w:rPr>
        <w:tab/>
        <w:t>Infrastructure Development Company Limited</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lastRenderedPageBreak/>
        <w:t>IHWRD</w:t>
      </w:r>
      <w:r w:rsidRPr="00A40B34">
        <w:rPr>
          <w:rFonts w:cs="Times New Roman"/>
          <w:szCs w:val="24"/>
        </w:rPr>
        <w:tab/>
        <w:t>Integrated Haors &amp; Wetlands Resources Database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IPCC </w:t>
      </w:r>
      <w:r w:rsidRPr="00A40B34">
        <w:rPr>
          <w:rFonts w:cs="Times New Roman"/>
          <w:szCs w:val="24"/>
        </w:rPr>
        <w:tab/>
        <w:t>Inter-Governmental Panel for Climate Change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IPM </w:t>
      </w:r>
      <w:r w:rsidRPr="00A40B34">
        <w:rPr>
          <w:rFonts w:cs="Times New Roman"/>
          <w:szCs w:val="24"/>
        </w:rPr>
        <w:tab/>
        <w:t>Integrated Pest Management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IPTT </w:t>
      </w:r>
      <w:r w:rsidRPr="00A40B34">
        <w:rPr>
          <w:rFonts w:cs="Times New Roman"/>
          <w:szCs w:val="24"/>
        </w:rPr>
        <w:tab/>
        <w:t xml:space="preserve">Immovable Property Transfer Tax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ISWM</w:t>
      </w:r>
      <w:r w:rsidRPr="00A40B34">
        <w:rPr>
          <w:rFonts w:cs="Times New Roman"/>
          <w:szCs w:val="24"/>
        </w:rPr>
        <w:tab/>
        <w:t>Integrated Solid Waste Management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ITN </w:t>
      </w:r>
      <w:r w:rsidRPr="00A40B34">
        <w:rPr>
          <w:rFonts w:cs="Times New Roman"/>
          <w:szCs w:val="24"/>
        </w:rPr>
        <w:tab/>
        <w:t xml:space="preserve">International Training Network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IUCN</w:t>
      </w:r>
      <w:r w:rsidRPr="00A40B34">
        <w:rPr>
          <w:rFonts w:cs="Times New Roman"/>
          <w:szCs w:val="24"/>
        </w:rPr>
        <w:tab/>
        <w:t>International Union for Conservation of Nature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IUWSM</w:t>
      </w:r>
      <w:r w:rsidRPr="00A40B34">
        <w:rPr>
          <w:rFonts w:cs="Times New Roman"/>
          <w:szCs w:val="24"/>
        </w:rPr>
        <w:tab/>
        <w:t>Integrated Water Supply Management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IWM</w:t>
      </w:r>
      <w:r w:rsidRPr="00A40B34">
        <w:rPr>
          <w:rFonts w:cs="Times New Roman"/>
          <w:szCs w:val="24"/>
        </w:rPr>
        <w:tab/>
        <w:t>Institute of Water Modelling</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IWMFM </w:t>
      </w:r>
      <w:r w:rsidRPr="00A40B34">
        <w:rPr>
          <w:rFonts w:cs="Times New Roman"/>
          <w:szCs w:val="24"/>
        </w:rPr>
        <w:tab/>
        <w:t xml:space="preserve">Institute of Water Modeling and Flood Management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IWRM</w:t>
      </w:r>
      <w:r w:rsidRPr="00A40B34">
        <w:rPr>
          <w:rFonts w:cs="Times New Roman"/>
          <w:szCs w:val="24"/>
        </w:rPr>
        <w:tab/>
        <w:t>Integrated Water Resources Management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IWT </w:t>
      </w:r>
      <w:r w:rsidRPr="00A40B34">
        <w:rPr>
          <w:rFonts w:cs="Times New Roman"/>
          <w:szCs w:val="24"/>
        </w:rPr>
        <w:tab/>
        <w:t>Inland Water Transport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JCE</w:t>
      </w:r>
      <w:r w:rsidRPr="00A40B34">
        <w:rPr>
          <w:rFonts w:cs="Times New Roman"/>
          <w:szCs w:val="24"/>
        </w:rPr>
        <w:tab/>
        <w:t>Joint Committee of Experts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JMP</w:t>
      </w:r>
      <w:r w:rsidRPr="00A40B34">
        <w:rPr>
          <w:rFonts w:cs="Times New Roman"/>
          <w:szCs w:val="24"/>
        </w:rPr>
        <w:tab/>
        <w:t>Joint Monitoring Programme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JRC</w:t>
      </w:r>
      <w:r w:rsidRPr="00A40B34">
        <w:rPr>
          <w:rFonts w:cs="Times New Roman"/>
          <w:szCs w:val="24"/>
        </w:rPr>
        <w:tab/>
        <w:t>Joint Rivers Commission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JTC </w:t>
      </w:r>
      <w:r w:rsidRPr="00A40B34">
        <w:rPr>
          <w:rFonts w:cs="Times New Roman"/>
          <w:szCs w:val="24"/>
        </w:rPr>
        <w:tab/>
        <w:t xml:space="preserve">Joint Technical Committee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JTST</w:t>
      </w:r>
      <w:r w:rsidRPr="00A40B34">
        <w:rPr>
          <w:rFonts w:cs="Times New Roman"/>
          <w:szCs w:val="24"/>
        </w:rPr>
        <w:tab/>
        <w:t>Joint Technical Study Team</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JWG</w:t>
      </w:r>
      <w:r w:rsidRPr="00A40B34">
        <w:rPr>
          <w:rFonts w:cs="Times New Roman"/>
          <w:szCs w:val="24"/>
        </w:rPr>
        <w:tab/>
        <w:t>Joint Working Group</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KCC</w:t>
      </w:r>
      <w:r w:rsidRPr="00A40B34">
        <w:rPr>
          <w:rFonts w:cs="Times New Roman"/>
          <w:szCs w:val="24"/>
        </w:rPr>
        <w:tab/>
        <w:t>Khulna City Corporation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LCC</w:t>
      </w:r>
      <w:r w:rsidRPr="00A40B34">
        <w:rPr>
          <w:rFonts w:cs="Times New Roman"/>
          <w:szCs w:val="24"/>
        </w:rPr>
        <w:tab/>
        <w:t>Lambert conformal conic projection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LDCs</w:t>
      </w:r>
      <w:r w:rsidRPr="00A40B34">
        <w:rPr>
          <w:rFonts w:cs="Times New Roman"/>
          <w:szCs w:val="24"/>
        </w:rPr>
        <w:tab/>
        <w:t>Least Developed Countries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LFS</w:t>
      </w:r>
      <w:r w:rsidRPr="00A40B34">
        <w:rPr>
          <w:rFonts w:cs="Times New Roman"/>
          <w:szCs w:val="24"/>
        </w:rPr>
        <w:tab/>
        <w:t>Labour Force Survey</w:t>
      </w:r>
    </w:p>
    <w:p w:rsidR="004764E1" w:rsidRPr="00A40B34" w:rsidRDefault="004764E1" w:rsidP="004764E1">
      <w:pPr>
        <w:pStyle w:val="Default"/>
        <w:jc w:val="both"/>
        <w:rPr>
          <w:rFonts w:ascii="Times New Roman" w:hAnsi="Times New Roman" w:cs="Times New Roman"/>
          <w:szCs w:val="24"/>
        </w:rPr>
      </w:pPr>
      <w:r w:rsidRPr="00A40B34">
        <w:rPr>
          <w:rFonts w:ascii="Times New Roman" w:hAnsi="Times New Roman" w:cs="Times New Roman"/>
          <w:szCs w:val="24"/>
        </w:rPr>
        <w:t>LGD</w:t>
      </w:r>
      <w:r w:rsidRPr="00A40B34">
        <w:rPr>
          <w:rFonts w:ascii="Times New Roman" w:hAnsi="Times New Roman" w:cs="Times New Roman"/>
          <w:szCs w:val="24"/>
        </w:rPr>
        <w:tab/>
      </w:r>
      <w:r w:rsidRPr="00A40B34">
        <w:rPr>
          <w:rFonts w:ascii="Times New Roman" w:hAnsi="Times New Roman" w:cs="Times New Roman"/>
          <w:szCs w:val="24"/>
        </w:rPr>
        <w:tab/>
      </w:r>
      <w:r w:rsidRPr="00A40B34">
        <w:rPr>
          <w:rFonts w:ascii="Times New Roman" w:hAnsi="Times New Roman" w:cs="Times New Roman"/>
          <w:szCs w:val="24"/>
        </w:rPr>
        <w:tab/>
        <w:t>Local Government Division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LGED</w:t>
      </w:r>
      <w:r w:rsidRPr="00A40B34">
        <w:rPr>
          <w:rFonts w:cs="Times New Roman"/>
          <w:szCs w:val="24"/>
        </w:rPr>
        <w:tab/>
        <w:t xml:space="preserve"> Local Government Engineering Department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LGI </w:t>
      </w:r>
      <w:r w:rsidRPr="00A40B34">
        <w:rPr>
          <w:rFonts w:cs="Times New Roman"/>
          <w:szCs w:val="24"/>
        </w:rPr>
        <w:tab/>
        <w:t>Local Government Institutions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LGRD</w:t>
      </w:r>
      <w:r w:rsidRPr="00A40B34">
        <w:rPr>
          <w:rFonts w:cs="Times New Roman"/>
          <w:szCs w:val="24"/>
        </w:rPr>
        <w:tab/>
        <w:t>Local Government and Rural Development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LLP</w:t>
      </w:r>
      <w:r w:rsidRPr="00A40B34">
        <w:rPr>
          <w:rFonts w:cs="Times New Roman"/>
          <w:szCs w:val="24"/>
        </w:rPr>
        <w:tab/>
        <w:t>Low Lift pumps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LPCD</w:t>
      </w:r>
      <w:r w:rsidRPr="00A40B34">
        <w:rPr>
          <w:rFonts w:cs="Times New Roman"/>
          <w:szCs w:val="24"/>
        </w:rPr>
        <w:tab/>
        <w:t>Litres per Capita per Day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LPL</w:t>
      </w:r>
      <w:r w:rsidRPr="00A40B34">
        <w:rPr>
          <w:rFonts w:cs="Times New Roman"/>
          <w:szCs w:val="24"/>
        </w:rPr>
        <w:tab/>
        <w:t>Lower poverty line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LOA</w:t>
      </w:r>
      <w:r w:rsidRPr="00A40B34">
        <w:rPr>
          <w:rFonts w:cs="Times New Roman"/>
          <w:szCs w:val="24"/>
        </w:rPr>
        <w:tab/>
        <w:t>Length Overall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LUCF </w:t>
      </w:r>
      <w:r w:rsidRPr="00A40B34">
        <w:rPr>
          <w:rFonts w:cs="Times New Roman"/>
          <w:szCs w:val="24"/>
        </w:rPr>
        <w:tab/>
        <w:t xml:space="preserve">Land Use Change and Forestry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lastRenderedPageBreak/>
        <w:t>MACH</w:t>
      </w:r>
      <w:r w:rsidRPr="00A40B34">
        <w:rPr>
          <w:rFonts w:cs="Times New Roman"/>
          <w:szCs w:val="24"/>
        </w:rPr>
        <w:tab/>
        <w:t>Management of Aquatic Ecosystem through Community Husbandry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MCP</w:t>
      </w:r>
      <w:r w:rsidRPr="00A40B34">
        <w:rPr>
          <w:rFonts w:cs="Times New Roman"/>
          <w:szCs w:val="24"/>
        </w:rPr>
        <w:tab/>
        <w:t>Municipal-Community Partnership</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MDGs</w:t>
      </w:r>
      <w:r w:rsidRPr="00A40B34">
        <w:rPr>
          <w:rFonts w:cs="Times New Roman"/>
          <w:szCs w:val="24"/>
        </w:rPr>
        <w:tab/>
        <w:t>Millennium Development Goals</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M&amp;E</w:t>
      </w:r>
      <w:r w:rsidRPr="00A40B34">
        <w:rPr>
          <w:rFonts w:cs="Times New Roman"/>
          <w:szCs w:val="24"/>
        </w:rPr>
        <w:tab/>
        <w:t>Monitoring and Evaluation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MFI</w:t>
      </w:r>
      <w:r w:rsidRPr="00A40B34">
        <w:rPr>
          <w:rFonts w:cs="Times New Roman"/>
          <w:szCs w:val="24"/>
        </w:rPr>
        <w:tab/>
        <w:t>Micro Finance Institutions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MHRP</w:t>
      </w:r>
      <w:r w:rsidRPr="00A40B34">
        <w:rPr>
          <w:rFonts w:cs="Times New Roman"/>
          <w:szCs w:val="24"/>
        </w:rPr>
        <w:tab/>
        <w:t xml:space="preserve">Million Hectare Reforestation Program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MICCA </w:t>
      </w:r>
      <w:r w:rsidRPr="00A40B34">
        <w:rPr>
          <w:rFonts w:cs="Times New Roman"/>
          <w:szCs w:val="24"/>
        </w:rPr>
        <w:tab/>
        <w:t>Mitigation of Climate Change in Agriculture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MICS</w:t>
      </w:r>
      <w:r w:rsidRPr="00A40B34">
        <w:rPr>
          <w:rFonts w:cs="Times New Roman"/>
          <w:szCs w:val="24"/>
        </w:rPr>
        <w:tab/>
        <w:t>Multiple Indicator Cluster Survey</w:t>
      </w:r>
    </w:p>
    <w:p w:rsidR="00812390" w:rsidRPr="00A40B34" w:rsidRDefault="00812390" w:rsidP="00812390">
      <w:pPr>
        <w:tabs>
          <w:tab w:val="left" w:pos="2160"/>
        </w:tabs>
        <w:spacing w:after="120"/>
        <w:ind w:left="2160" w:hanging="2160"/>
        <w:jc w:val="both"/>
        <w:rPr>
          <w:rFonts w:cs="Times New Roman"/>
          <w:szCs w:val="24"/>
        </w:rPr>
      </w:pPr>
      <w:r w:rsidRPr="00A40B34">
        <w:rPr>
          <w:rFonts w:cs="Times New Roman"/>
          <w:szCs w:val="24"/>
        </w:rPr>
        <w:t>MIS</w:t>
      </w:r>
      <w:r w:rsidRPr="00A40B34">
        <w:rPr>
          <w:rFonts w:cs="Times New Roman"/>
          <w:szCs w:val="24"/>
        </w:rPr>
        <w:tab/>
        <w:t>Management Information System</w:t>
      </w:r>
    </w:p>
    <w:p w:rsidR="00812390" w:rsidRPr="00A40B34" w:rsidRDefault="00812390" w:rsidP="00812390">
      <w:pPr>
        <w:tabs>
          <w:tab w:val="left" w:pos="2160"/>
        </w:tabs>
        <w:spacing w:after="120"/>
        <w:ind w:left="2160" w:hanging="2160"/>
        <w:jc w:val="both"/>
        <w:rPr>
          <w:rFonts w:cs="Times New Roman"/>
          <w:szCs w:val="24"/>
        </w:rPr>
      </w:pPr>
      <w:r w:rsidRPr="00A40B34">
        <w:rPr>
          <w:rFonts w:cs="Times New Roman"/>
          <w:szCs w:val="24"/>
        </w:rPr>
        <w:t>M</w:t>
      </w:r>
      <w:r w:rsidR="00646F4D" w:rsidRPr="00A40B34">
        <w:rPr>
          <w:rFonts w:cs="Times New Roman"/>
          <w:szCs w:val="24"/>
        </w:rPr>
        <w:t>O</w:t>
      </w:r>
      <w:r w:rsidRPr="00A40B34">
        <w:rPr>
          <w:rFonts w:cs="Times New Roman"/>
          <w:szCs w:val="24"/>
        </w:rPr>
        <w:t>LJ</w:t>
      </w:r>
      <w:r w:rsidRPr="00A40B34">
        <w:rPr>
          <w:rFonts w:cs="Times New Roman"/>
          <w:szCs w:val="24"/>
        </w:rPr>
        <w:tab/>
        <w:t xml:space="preserve">Ministry of Law and Justice </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MIE</w:t>
      </w:r>
      <w:r w:rsidRPr="00A40B34">
        <w:rPr>
          <w:rFonts w:cs="Times New Roman"/>
          <w:szCs w:val="24"/>
        </w:rPr>
        <w:tab/>
        <w:t>Multilateral Implementation Entity</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MLD</w:t>
      </w:r>
      <w:r w:rsidRPr="00A40B34">
        <w:rPr>
          <w:rFonts w:cs="Times New Roman"/>
          <w:szCs w:val="24"/>
        </w:rPr>
        <w:tab/>
        <w:t>Million Litres per Day</w:t>
      </w:r>
    </w:p>
    <w:p w:rsidR="004764E1" w:rsidRPr="00A40B34" w:rsidRDefault="004764E1" w:rsidP="004764E1">
      <w:pPr>
        <w:tabs>
          <w:tab w:val="left" w:pos="2160"/>
        </w:tabs>
        <w:spacing w:after="120"/>
        <w:ind w:left="2160" w:hanging="2160"/>
        <w:jc w:val="both"/>
        <w:rPr>
          <w:rFonts w:cs="Times New Roman"/>
          <w:szCs w:val="24"/>
        </w:rPr>
      </w:pPr>
      <w:r w:rsidRPr="00A40B34">
        <w:t>MoA</w:t>
      </w:r>
      <w:r w:rsidRPr="00A40B34">
        <w:tab/>
        <w:t>Ministry of Agriculture</w:t>
      </w:r>
    </w:p>
    <w:p w:rsidR="004764E1" w:rsidRPr="00A40B34" w:rsidRDefault="004764E1" w:rsidP="004764E1">
      <w:pPr>
        <w:tabs>
          <w:tab w:val="left" w:pos="2160"/>
        </w:tabs>
        <w:spacing w:after="120"/>
        <w:ind w:left="2160" w:hanging="2160"/>
        <w:jc w:val="both"/>
        <w:rPr>
          <w:rFonts w:cs="Times New Roman"/>
          <w:szCs w:val="24"/>
        </w:rPr>
      </w:pPr>
      <w:r w:rsidRPr="00A40B34">
        <w:t>MoE&amp;F</w:t>
      </w:r>
      <w:r w:rsidRPr="00A40B34">
        <w:rPr>
          <w:rFonts w:cs="Times New Roman"/>
          <w:szCs w:val="24"/>
        </w:rPr>
        <w:tab/>
        <w:t>Ministry of Environment and Forest</w:t>
      </w:r>
    </w:p>
    <w:p w:rsidR="004764E1" w:rsidRPr="00A40B34" w:rsidRDefault="004764E1" w:rsidP="004764E1">
      <w:pPr>
        <w:tabs>
          <w:tab w:val="left" w:pos="2160"/>
        </w:tabs>
        <w:spacing w:after="120"/>
        <w:ind w:left="2160" w:hanging="2160"/>
        <w:jc w:val="both"/>
      </w:pPr>
      <w:r w:rsidRPr="00A40B34">
        <w:t>MoFL</w:t>
      </w:r>
      <w:r w:rsidRPr="00A40B34">
        <w:tab/>
        <w:t>Ministry of Fisheries and Livestock</w:t>
      </w:r>
    </w:p>
    <w:p w:rsidR="004764E1" w:rsidRPr="00A40B34" w:rsidRDefault="004764E1" w:rsidP="004764E1">
      <w:pPr>
        <w:tabs>
          <w:tab w:val="left" w:pos="2160"/>
        </w:tabs>
        <w:spacing w:after="120"/>
        <w:ind w:left="2160" w:hanging="2160"/>
        <w:jc w:val="both"/>
        <w:rPr>
          <w:rFonts w:cs="Times New Roman"/>
          <w:szCs w:val="24"/>
        </w:rPr>
      </w:pPr>
      <w:r w:rsidRPr="00A40B34">
        <w:t>MoL</w:t>
      </w:r>
      <w:r w:rsidRPr="00A40B34">
        <w:tab/>
        <w:t>Ministry of Land</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MoLGRD&amp;C</w:t>
      </w:r>
      <w:r w:rsidRPr="00A40B34">
        <w:rPr>
          <w:rFonts w:cs="Times New Roman"/>
          <w:szCs w:val="24"/>
        </w:rPr>
        <w:tab/>
        <w:t>Local Government, Rural Development and Cooperatives</w:t>
      </w:r>
    </w:p>
    <w:p w:rsidR="004764E1" w:rsidRPr="00A40B34" w:rsidRDefault="004764E1" w:rsidP="004764E1">
      <w:pPr>
        <w:tabs>
          <w:tab w:val="left" w:pos="2160"/>
        </w:tabs>
        <w:spacing w:after="120"/>
        <w:ind w:left="2160" w:hanging="2160"/>
        <w:jc w:val="both"/>
        <w:rPr>
          <w:rFonts w:cs="Times New Roman"/>
          <w:szCs w:val="24"/>
        </w:rPr>
      </w:pPr>
      <w:r w:rsidRPr="00A40B34">
        <w:t>MoSIWT</w:t>
      </w:r>
      <w:r w:rsidRPr="00A40B34">
        <w:tab/>
        <w:t>Ministry of Shipping and Inland Water Transport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MoWR</w:t>
      </w:r>
      <w:r w:rsidRPr="00A40B34">
        <w:rPr>
          <w:rFonts w:cs="Times New Roman"/>
          <w:szCs w:val="24"/>
        </w:rPr>
        <w:tab/>
        <w:t>Ministry of Water Resources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MoU</w:t>
      </w:r>
      <w:r w:rsidRPr="00A40B34">
        <w:rPr>
          <w:rFonts w:cs="Times New Roman"/>
          <w:szCs w:val="24"/>
        </w:rPr>
        <w:tab/>
        <w:t>Memorandum of Understanding</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MPO</w:t>
      </w:r>
      <w:r w:rsidRPr="00A40B34">
        <w:rPr>
          <w:rFonts w:cs="Times New Roman"/>
          <w:szCs w:val="24"/>
        </w:rPr>
        <w:tab/>
        <w:t>Master Planning Organization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MT</w:t>
      </w:r>
      <w:r w:rsidRPr="00A40B34">
        <w:rPr>
          <w:rFonts w:cs="Times New Roman"/>
          <w:szCs w:val="24"/>
        </w:rPr>
        <w:tab/>
        <w:t>Metropolitan Thana</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NABAR</w:t>
      </w:r>
      <w:r w:rsidRPr="00A40B34">
        <w:rPr>
          <w:rFonts w:cs="Times New Roman"/>
          <w:szCs w:val="24"/>
        </w:rPr>
        <w:tab/>
        <w:t xml:space="preserve">National Bank for Agriculture and Rural Development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NBSAP</w:t>
      </w:r>
      <w:r w:rsidRPr="00A40B34">
        <w:rPr>
          <w:rFonts w:cs="Times New Roman"/>
          <w:szCs w:val="24"/>
        </w:rPr>
        <w:tab/>
        <w:t>National Biodiversity Strategy and Action Plan</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NC</w:t>
      </w:r>
      <w:r w:rsidRPr="00A40B34">
        <w:rPr>
          <w:rFonts w:cs="Times New Roman"/>
          <w:szCs w:val="24"/>
        </w:rPr>
        <w:tab/>
        <w:t>North-Central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NCS</w:t>
      </w:r>
      <w:r w:rsidRPr="00A40B34">
        <w:rPr>
          <w:rFonts w:cs="Times New Roman"/>
          <w:szCs w:val="24"/>
        </w:rPr>
        <w:tab/>
        <w:t>National Conservation Strategy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NDA</w:t>
      </w:r>
      <w:r w:rsidRPr="00A40B34">
        <w:rPr>
          <w:rFonts w:cs="Times New Roman"/>
          <w:szCs w:val="24"/>
        </w:rPr>
        <w:tab/>
        <w:t>National Designated Authority</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NE</w:t>
      </w:r>
      <w:r w:rsidRPr="00A40B34">
        <w:rPr>
          <w:rFonts w:cs="Times New Roman"/>
          <w:szCs w:val="24"/>
        </w:rPr>
        <w:tab/>
        <w:t>Northeast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NEDECO</w:t>
      </w:r>
      <w:r w:rsidRPr="00A40B34">
        <w:rPr>
          <w:rFonts w:cs="Times New Roman"/>
          <w:szCs w:val="24"/>
        </w:rPr>
        <w:tab/>
        <w:t xml:space="preserve">Netherlands Engineering Consultants </w:t>
      </w:r>
    </w:p>
    <w:p w:rsidR="00770024" w:rsidRPr="007C2871" w:rsidRDefault="00770024" w:rsidP="00770024">
      <w:pPr>
        <w:tabs>
          <w:tab w:val="left" w:pos="2160"/>
        </w:tabs>
        <w:spacing w:after="120"/>
        <w:ind w:left="2160" w:hanging="2160"/>
        <w:jc w:val="both"/>
        <w:rPr>
          <w:rFonts w:cs="Times New Roman"/>
          <w:szCs w:val="24"/>
          <w:lang w:val="fr-BE"/>
        </w:rPr>
      </w:pPr>
      <w:r w:rsidRPr="007C2871">
        <w:rPr>
          <w:rFonts w:cs="Times New Roman"/>
          <w:szCs w:val="24"/>
          <w:lang w:val="fr-BE"/>
        </w:rPr>
        <w:t>NEMAP</w:t>
      </w:r>
      <w:r w:rsidRPr="007C2871">
        <w:rPr>
          <w:rFonts w:cs="Times New Roman"/>
          <w:szCs w:val="24"/>
          <w:lang w:val="fr-BE"/>
        </w:rPr>
        <w:tab/>
        <w:t>National Environment Management Action Plan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NIE</w:t>
      </w:r>
      <w:r w:rsidRPr="00A40B34">
        <w:rPr>
          <w:rFonts w:cs="Times New Roman"/>
          <w:szCs w:val="24"/>
        </w:rPr>
        <w:tab/>
        <w:t>National Implementation Entity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lastRenderedPageBreak/>
        <w:t>NILG</w:t>
      </w:r>
      <w:r w:rsidRPr="00A40B34">
        <w:rPr>
          <w:rFonts w:cs="Times New Roman"/>
          <w:szCs w:val="24"/>
        </w:rPr>
        <w:tab/>
        <w:t>National Institute for Local Government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NIMTP</w:t>
      </w:r>
      <w:r w:rsidRPr="00A40B34">
        <w:rPr>
          <w:rFonts w:cs="Times New Roman"/>
          <w:szCs w:val="24"/>
        </w:rPr>
        <w:tab/>
        <w:t xml:space="preserve">National Integrated Multimodal Transport Policy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NGO</w:t>
      </w:r>
      <w:r w:rsidRPr="00A40B34">
        <w:rPr>
          <w:rFonts w:cs="Times New Roman"/>
          <w:szCs w:val="24"/>
        </w:rPr>
        <w:tab/>
        <w:t>Non-Government Organization</w:t>
      </w:r>
    </w:p>
    <w:p w:rsidR="00812390" w:rsidRPr="00A40B34" w:rsidRDefault="00812390" w:rsidP="00770024">
      <w:pPr>
        <w:tabs>
          <w:tab w:val="left" w:pos="2160"/>
        </w:tabs>
        <w:spacing w:after="120"/>
        <w:ind w:left="2160" w:hanging="2160"/>
        <w:jc w:val="both"/>
        <w:rPr>
          <w:rFonts w:cs="Times New Roman"/>
          <w:szCs w:val="24"/>
        </w:rPr>
      </w:pPr>
      <w:r w:rsidRPr="00A40B34">
        <w:rPr>
          <w:rFonts w:cs="Times New Roman"/>
          <w:szCs w:val="24"/>
        </w:rPr>
        <w:t>NLP</w:t>
      </w:r>
      <w:r w:rsidRPr="00A40B34">
        <w:rPr>
          <w:rFonts w:cs="Times New Roman"/>
          <w:szCs w:val="24"/>
        </w:rPr>
        <w:tab/>
        <w:t>National Land Use Policy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NORAD</w:t>
      </w:r>
      <w:r w:rsidRPr="00A40B34">
        <w:rPr>
          <w:rFonts w:cs="Times New Roman"/>
          <w:szCs w:val="24"/>
        </w:rPr>
        <w:tab/>
        <w:t xml:space="preserve">Norwegian Agency for Development Cooperation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NSP</w:t>
      </w:r>
      <w:r w:rsidRPr="00A40B34">
        <w:rPr>
          <w:rFonts w:cs="Times New Roman"/>
          <w:szCs w:val="24"/>
        </w:rPr>
        <w:tab/>
        <w:t>Nishorgo Support Project</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NW</w:t>
      </w:r>
      <w:r w:rsidRPr="00A40B34">
        <w:rPr>
          <w:rFonts w:cs="Times New Roman"/>
          <w:szCs w:val="24"/>
        </w:rPr>
        <w:tab/>
        <w:t>Northwest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NWMP</w:t>
      </w:r>
      <w:r w:rsidRPr="00A40B34">
        <w:rPr>
          <w:rFonts w:cs="Times New Roman"/>
          <w:szCs w:val="24"/>
        </w:rPr>
        <w:tab/>
        <w:t>National Water Management Plan</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NWPo</w:t>
      </w:r>
      <w:r w:rsidRPr="00A40B34">
        <w:rPr>
          <w:rFonts w:cs="Times New Roman"/>
          <w:szCs w:val="24"/>
        </w:rPr>
        <w:tab/>
        <w:t>National Water Policy</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NWRC</w:t>
      </w:r>
      <w:r w:rsidRPr="00A40B34">
        <w:rPr>
          <w:rFonts w:cs="Times New Roman"/>
          <w:szCs w:val="24"/>
        </w:rPr>
        <w:tab/>
        <w:t>National Water Resources Council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NWRD</w:t>
      </w:r>
      <w:r w:rsidRPr="00A40B34">
        <w:rPr>
          <w:rFonts w:cs="Times New Roman"/>
          <w:szCs w:val="24"/>
        </w:rPr>
        <w:tab/>
        <w:t>National Water Resources Database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O&amp;M </w:t>
      </w:r>
      <w:r w:rsidRPr="00A40B34">
        <w:rPr>
          <w:rFonts w:cs="Times New Roman"/>
          <w:szCs w:val="24"/>
        </w:rPr>
        <w:tab/>
        <w:t xml:space="preserve">Operations and Maintenance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PDO-ICZM</w:t>
      </w:r>
      <w:r w:rsidRPr="00A40B34">
        <w:rPr>
          <w:rFonts w:cs="Times New Roman"/>
          <w:szCs w:val="24"/>
        </w:rPr>
        <w:tab/>
        <w:t>Program Development Office for Integrated Coastal Zone Management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PAs</w:t>
      </w:r>
      <w:r w:rsidRPr="00A40B34">
        <w:rPr>
          <w:rFonts w:cs="Times New Roman"/>
          <w:szCs w:val="24"/>
        </w:rPr>
        <w:tab/>
        <w:t>Protected Areas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PCNs</w:t>
      </w:r>
      <w:r w:rsidRPr="00A40B34">
        <w:rPr>
          <w:rFonts w:cs="Times New Roman"/>
          <w:szCs w:val="24"/>
        </w:rPr>
        <w:tab/>
        <w:t>Project Concept Notes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PPP</w:t>
      </w:r>
      <w:r w:rsidRPr="00A40B34">
        <w:rPr>
          <w:rFonts w:cs="Times New Roman"/>
          <w:szCs w:val="24"/>
        </w:rPr>
        <w:tab/>
      </w:r>
      <w:r w:rsidR="00573016">
        <w:rPr>
          <w:rFonts w:cs="Times New Roman"/>
          <w:szCs w:val="24"/>
        </w:rPr>
        <w:t xml:space="preserve">Public </w:t>
      </w:r>
      <w:r w:rsidRPr="00A40B34">
        <w:rPr>
          <w:rFonts w:cs="Times New Roman"/>
          <w:szCs w:val="24"/>
        </w:rPr>
        <w:t>Private Partnerships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RCM </w:t>
      </w:r>
      <w:r w:rsidRPr="00A40B34">
        <w:rPr>
          <w:rFonts w:cs="Times New Roman"/>
          <w:szCs w:val="24"/>
        </w:rPr>
        <w:tab/>
        <w:t xml:space="preserve">Regional Climate Models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PET</w:t>
      </w:r>
      <w:r w:rsidRPr="00A40B34">
        <w:rPr>
          <w:rFonts w:cs="Times New Roman"/>
          <w:szCs w:val="24"/>
        </w:rPr>
        <w:tab/>
        <w:t>Potential Evapotranspiration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PIWTT</w:t>
      </w:r>
      <w:r w:rsidRPr="00A40B34">
        <w:rPr>
          <w:rFonts w:cs="Times New Roman"/>
          <w:szCs w:val="24"/>
        </w:rPr>
        <w:tab/>
        <w:t>Protocol on Inland Water Transit and Trade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PM</w:t>
      </w:r>
      <w:r w:rsidRPr="00A40B34">
        <w:rPr>
          <w:rFonts w:cs="Times New Roman"/>
          <w:szCs w:val="24"/>
        </w:rPr>
        <w:tab/>
        <w:t>Particulate Matter</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PRI</w:t>
      </w:r>
      <w:r w:rsidRPr="00A40B34">
        <w:rPr>
          <w:rFonts w:cs="Times New Roman"/>
          <w:szCs w:val="24"/>
        </w:rPr>
        <w:tab/>
        <w:t xml:space="preserve">Policy Research Institute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PRIF</w:t>
      </w:r>
      <w:r w:rsidRPr="00A40B34">
        <w:rPr>
          <w:rFonts w:cs="Times New Roman"/>
          <w:szCs w:val="24"/>
        </w:rPr>
        <w:tab/>
        <w:t xml:space="preserve">Pre-Investment Feasibility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PW</w:t>
      </w:r>
      <w:r w:rsidRPr="00A40B34">
        <w:rPr>
          <w:rFonts w:cs="Times New Roman"/>
          <w:szCs w:val="24"/>
        </w:rPr>
        <w:tab/>
        <w:t>Production Well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PWSS</w:t>
      </w:r>
      <w:r w:rsidRPr="00A40B34">
        <w:rPr>
          <w:rFonts w:cs="Times New Roman"/>
          <w:szCs w:val="24"/>
        </w:rPr>
        <w:tab/>
        <w:t>Pourashavas Water Supply Sections</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RAJUK</w:t>
      </w:r>
      <w:r w:rsidRPr="00A40B34">
        <w:rPr>
          <w:rFonts w:cs="Times New Roman"/>
          <w:szCs w:val="24"/>
        </w:rPr>
        <w:tab/>
      </w:r>
      <w:r w:rsidR="00F57172" w:rsidRPr="00A40B34">
        <w:rPr>
          <w:rFonts w:cs="Times New Roman"/>
          <w:szCs w:val="24"/>
        </w:rPr>
        <w:t>Rajshahi</w:t>
      </w:r>
      <w:r w:rsidRPr="00A40B34">
        <w:rPr>
          <w:rFonts w:cs="Times New Roman"/>
          <w:szCs w:val="24"/>
        </w:rPr>
        <w:t xml:space="preserve"> Unnayan Kartripakkha</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RAMSAR</w:t>
      </w:r>
      <w:r w:rsidRPr="00A40B34">
        <w:rPr>
          <w:rFonts w:cs="Times New Roman"/>
          <w:szCs w:val="24"/>
        </w:rPr>
        <w:tab/>
        <w:t>Convention on Wetlands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RBOs</w:t>
      </w:r>
      <w:r w:rsidRPr="00A40B34">
        <w:rPr>
          <w:rFonts w:cs="Times New Roman"/>
          <w:szCs w:val="24"/>
        </w:rPr>
        <w:tab/>
        <w:t>River Basin Organizations</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RBM&amp;E</w:t>
      </w:r>
      <w:r w:rsidRPr="00A40B34">
        <w:rPr>
          <w:rFonts w:cs="Times New Roman"/>
          <w:szCs w:val="24"/>
        </w:rPr>
        <w:tab/>
      </w:r>
      <w:r w:rsidR="00F57172" w:rsidRPr="00A40B34">
        <w:rPr>
          <w:rFonts w:cs="Times New Roman"/>
          <w:szCs w:val="24"/>
        </w:rPr>
        <w:t>Results</w:t>
      </w:r>
      <w:r w:rsidRPr="00A40B34">
        <w:rPr>
          <w:rFonts w:cs="Times New Roman"/>
          <w:szCs w:val="24"/>
        </w:rPr>
        <w:t>-Based Monitoring and Evaluation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RCP</w:t>
      </w:r>
      <w:r w:rsidRPr="00A40B34">
        <w:rPr>
          <w:rFonts w:cs="Times New Roman"/>
          <w:szCs w:val="24"/>
        </w:rPr>
        <w:tab/>
        <w:t>Representative Concentration Pathway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RE</w:t>
      </w:r>
      <w:r w:rsidRPr="00A40B34">
        <w:rPr>
          <w:rFonts w:cs="Times New Roman"/>
          <w:szCs w:val="24"/>
        </w:rPr>
        <w:tab/>
        <w:t>Rivers and Estuaries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REDD</w:t>
      </w:r>
      <w:r w:rsidRPr="00A40B34">
        <w:rPr>
          <w:rFonts w:cs="Times New Roman"/>
          <w:szCs w:val="24"/>
        </w:rPr>
        <w:tab/>
        <w:t>Reduced emissions from deforestation and degradation</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lastRenderedPageBreak/>
        <w:t>RHD</w:t>
      </w:r>
      <w:r w:rsidRPr="00A40B34">
        <w:rPr>
          <w:rFonts w:cs="Times New Roman"/>
          <w:szCs w:val="24"/>
        </w:rPr>
        <w:tab/>
        <w:t>Roads and Highways Department</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 xml:space="preserve">ROR </w:t>
      </w:r>
      <w:r w:rsidRPr="00A40B34">
        <w:rPr>
          <w:rFonts w:cs="Times New Roman"/>
          <w:szCs w:val="24"/>
        </w:rPr>
        <w:tab/>
        <w:t xml:space="preserve">Record of Rights </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RMG</w:t>
      </w:r>
      <w:r w:rsidRPr="00A40B34">
        <w:rPr>
          <w:rFonts w:cs="Times New Roman"/>
          <w:szCs w:val="24"/>
        </w:rPr>
        <w:tab/>
        <w:t>Ready Made Garments</w:t>
      </w:r>
    </w:p>
    <w:p w:rsidR="00770024" w:rsidRDefault="00770024" w:rsidP="00770024">
      <w:pPr>
        <w:tabs>
          <w:tab w:val="left" w:pos="2160"/>
        </w:tabs>
        <w:spacing w:after="120"/>
        <w:jc w:val="both"/>
        <w:rPr>
          <w:rFonts w:cs="Times New Roman"/>
          <w:szCs w:val="24"/>
        </w:rPr>
      </w:pPr>
      <w:r w:rsidRPr="00A40B34">
        <w:rPr>
          <w:rFonts w:cs="Times New Roman"/>
          <w:szCs w:val="24"/>
        </w:rPr>
        <w:t>RRI</w:t>
      </w:r>
      <w:r w:rsidRPr="00A40B34">
        <w:rPr>
          <w:rFonts w:cs="Times New Roman"/>
          <w:szCs w:val="24"/>
        </w:rPr>
        <w:tab/>
        <w:t>River Research Institute</w:t>
      </w:r>
    </w:p>
    <w:p w:rsidR="002955FF" w:rsidRPr="00A40B34" w:rsidRDefault="002955FF" w:rsidP="00770024">
      <w:pPr>
        <w:tabs>
          <w:tab w:val="left" w:pos="2160"/>
        </w:tabs>
        <w:spacing w:after="120"/>
        <w:jc w:val="both"/>
        <w:rPr>
          <w:rFonts w:cs="Times New Roman"/>
          <w:szCs w:val="24"/>
        </w:rPr>
      </w:pPr>
      <w:r>
        <w:rPr>
          <w:rFonts w:cs="Times New Roman"/>
          <w:szCs w:val="24"/>
        </w:rPr>
        <w:t>RSV                            River Sea Vessel</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RTI</w:t>
      </w:r>
      <w:r w:rsidRPr="00A40B34">
        <w:rPr>
          <w:rFonts w:cs="Times New Roman"/>
          <w:szCs w:val="24"/>
        </w:rPr>
        <w:tab/>
        <w:t>Right to Information</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SC</w:t>
      </w:r>
      <w:r w:rsidRPr="00A40B34">
        <w:rPr>
          <w:rFonts w:cs="Times New Roman"/>
          <w:szCs w:val="24"/>
        </w:rPr>
        <w:tab/>
        <w:t>South-central</w:t>
      </w:r>
    </w:p>
    <w:p w:rsidR="004764E1" w:rsidRPr="00A40B34" w:rsidRDefault="004764E1" w:rsidP="004764E1">
      <w:pPr>
        <w:tabs>
          <w:tab w:val="left" w:pos="2160"/>
        </w:tabs>
        <w:spacing w:after="120"/>
        <w:jc w:val="both"/>
        <w:rPr>
          <w:rFonts w:cs="Times New Roman"/>
          <w:szCs w:val="24"/>
        </w:rPr>
      </w:pPr>
      <w:r w:rsidRPr="00A40B34">
        <w:rPr>
          <w:rFonts w:cs="Times New Roman"/>
          <w:szCs w:val="24"/>
        </w:rPr>
        <w:t>SDP</w:t>
      </w:r>
      <w:r w:rsidRPr="00A40B34">
        <w:rPr>
          <w:rFonts w:cs="Times New Roman"/>
          <w:szCs w:val="24"/>
        </w:rPr>
        <w:tab/>
        <w:t>Sector Development Plan</w:t>
      </w:r>
    </w:p>
    <w:p w:rsidR="00770024" w:rsidRPr="00A40B34" w:rsidRDefault="00770024" w:rsidP="00770024">
      <w:pPr>
        <w:tabs>
          <w:tab w:val="left" w:pos="2160"/>
        </w:tabs>
        <w:spacing w:after="120"/>
        <w:jc w:val="both"/>
        <w:rPr>
          <w:rFonts w:cs="Times New Roman"/>
          <w:szCs w:val="24"/>
        </w:rPr>
      </w:pPr>
      <w:r w:rsidRPr="00A40B34">
        <w:rPr>
          <w:rFonts w:cs="Times New Roman"/>
          <w:szCs w:val="24"/>
        </w:rPr>
        <w:t>SE</w:t>
      </w:r>
      <w:r w:rsidRPr="00A40B34">
        <w:rPr>
          <w:rFonts w:cs="Times New Roman"/>
          <w:szCs w:val="24"/>
        </w:rPr>
        <w:tab/>
        <w:t>Southeast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SEMP</w:t>
      </w:r>
      <w:r w:rsidRPr="00A40B34">
        <w:rPr>
          <w:rFonts w:cs="Times New Roman"/>
          <w:szCs w:val="24"/>
        </w:rPr>
        <w:tab/>
        <w:t>Sustainable Environment Management Program</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SEZ </w:t>
      </w:r>
      <w:r w:rsidRPr="00A40B34">
        <w:rPr>
          <w:rFonts w:cs="Times New Roman"/>
          <w:szCs w:val="24"/>
        </w:rPr>
        <w:tab/>
        <w:t xml:space="preserve">Special Economic Zone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SIDS</w:t>
      </w:r>
      <w:r w:rsidRPr="00A40B34">
        <w:rPr>
          <w:rFonts w:cs="Times New Roman"/>
          <w:szCs w:val="24"/>
        </w:rPr>
        <w:tab/>
        <w:t>Small Island Developing States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SIP </w:t>
      </w:r>
      <w:r w:rsidRPr="00A40B34">
        <w:rPr>
          <w:rFonts w:cs="Times New Roman"/>
          <w:szCs w:val="24"/>
        </w:rPr>
        <w:tab/>
        <w:t xml:space="preserve">Sector Investment Plan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SLR</w:t>
      </w:r>
      <w:r w:rsidRPr="00A40B34">
        <w:rPr>
          <w:rFonts w:cs="Times New Roman"/>
          <w:szCs w:val="24"/>
        </w:rPr>
        <w:tab/>
        <w:t>Sea Level Rise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 xml:space="preserve">SMA </w:t>
      </w:r>
      <w:r w:rsidRPr="00A40B34">
        <w:rPr>
          <w:rFonts w:cs="Times New Roman"/>
          <w:szCs w:val="24"/>
        </w:rPr>
        <w:tab/>
        <w:t xml:space="preserve">Statistical Metropolitan Area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SME</w:t>
      </w:r>
      <w:r w:rsidRPr="00A40B34">
        <w:rPr>
          <w:rFonts w:cs="Times New Roman"/>
          <w:szCs w:val="24"/>
        </w:rPr>
        <w:tab/>
        <w:t>Small Medium Enterprise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SoB</w:t>
      </w:r>
      <w:r w:rsidRPr="00A40B34">
        <w:rPr>
          <w:rFonts w:cs="Times New Roman"/>
          <w:szCs w:val="24"/>
        </w:rPr>
        <w:tab/>
        <w:t>Survey of Bangladesh</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SRDI</w:t>
      </w:r>
      <w:r w:rsidRPr="00A40B34">
        <w:rPr>
          <w:rFonts w:cs="Times New Roman"/>
          <w:szCs w:val="24"/>
        </w:rPr>
        <w:tab/>
        <w:t>Soil Resources Development Institute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SRES</w:t>
      </w:r>
      <w:r w:rsidRPr="00A40B34">
        <w:rPr>
          <w:rFonts w:cs="Times New Roman"/>
          <w:szCs w:val="24"/>
        </w:rPr>
        <w:tab/>
        <w:t>Special Report on Emissions Scenarios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SRF</w:t>
      </w:r>
      <w:r w:rsidRPr="00A40B34">
        <w:rPr>
          <w:rFonts w:cs="Times New Roman"/>
          <w:szCs w:val="24"/>
        </w:rPr>
        <w:tab/>
        <w:t>Sundarbans Reserved Forests</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SST</w:t>
      </w:r>
      <w:r w:rsidRPr="00A40B34">
        <w:rPr>
          <w:rFonts w:cs="Times New Roman"/>
          <w:szCs w:val="24"/>
        </w:rPr>
        <w:tab/>
        <w:t>Sea surface temperature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SW</w:t>
      </w:r>
      <w:r w:rsidRPr="00A40B34">
        <w:rPr>
          <w:rFonts w:cs="Times New Roman"/>
          <w:szCs w:val="24"/>
        </w:rPr>
        <w:tab/>
        <w:t>Southwest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SWM</w:t>
      </w:r>
      <w:r w:rsidRPr="00A40B34">
        <w:rPr>
          <w:rFonts w:cs="Times New Roman"/>
          <w:szCs w:val="24"/>
        </w:rPr>
        <w:tab/>
        <w:t>Solid Waste Management</w:t>
      </w:r>
    </w:p>
    <w:p w:rsidR="00770024" w:rsidRDefault="00770024" w:rsidP="00770024">
      <w:pPr>
        <w:tabs>
          <w:tab w:val="left" w:pos="2160"/>
        </w:tabs>
        <w:spacing w:after="120"/>
        <w:ind w:left="2160" w:hanging="2160"/>
        <w:jc w:val="both"/>
        <w:rPr>
          <w:rFonts w:cs="Times New Roman"/>
          <w:szCs w:val="24"/>
        </w:rPr>
      </w:pPr>
      <w:r w:rsidRPr="00A40B34">
        <w:rPr>
          <w:rFonts w:cs="Times New Roman"/>
          <w:szCs w:val="24"/>
        </w:rPr>
        <w:t>SWR</w:t>
      </w:r>
      <w:r w:rsidRPr="00A40B34">
        <w:rPr>
          <w:rFonts w:cs="Times New Roman"/>
          <w:szCs w:val="24"/>
        </w:rPr>
        <w:tab/>
        <w:t>Southwestern Region</w:t>
      </w:r>
    </w:p>
    <w:p w:rsidR="00144627" w:rsidRPr="00A40B34" w:rsidRDefault="00144627" w:rsidP="00770024">
      <w:pPr>
        <w:tabs>
          <w:tab w:val="left" w:pos="2160"/>
        </w:tabs>
        <w:spacing w:after="120"/>
        <w:ind w:left="2160" w:hanging="2160"/>
        <w:jc w:val="both"/>
        <w:rPr>
          <w:rFonts w:cs="Times New Roman"/>
          <w:szCs w:val="24"/>
        </w:rPr>
      </w:pPr>
      <w:r>
        <w:rPr>
          <w:rFonts w:cs="Times New Roman"/>
          <w:szCs w:val="24"/>
        </w:rPr>
        <w:t>TEU                            Twenty Feet Equivalent Unit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ToR</w:t>
      </w:r>
      <w:r w:rsidRPr="00A40B34">
        <w:rPr>
          <w:rFonts w:cs="Times New Roman"/>
          <w:szCs w:val="24"/>
        </w:rPr>
        <w:tab/>
        <w:t>Terms of Reference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TP</w:t>
      </w:r>
      <w:r w:rsidRPr="00A40B34">
        <w:rPr>
          <w:rFonts w:cs="Times New Roman"/>
          <w:szCs w:val="24"/>
        </w:rPr>
        <w:tab/>
        <w:t>Treatment Plant</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TRM</w:t>
      </w:r>
      <w:r w:rsidRPr="00A40B34">
        <w:rPr>
          <w:rFonts w:cs="Times New Roman"/>
          <w:szCs w:val="24"/>
        </w:rPr>
        <w:tab/>
        <w:t xml:space="preserve">Tidal River Management </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UFW</w:t>
      </w:r>
      <w:r w:rsidRPr="00A40B34">
        <w:rPr>
          <w:rFonts w:cs="Times New Roman"/>
          <w:szCs w:val="24"/>
        </w:rPr>
        <w:tab/>
        <w:t>Unaccounted for Water</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ULBs</w:t>
      </w:r>
      <w:r w:rsidRPr="00A40B34">
        <w:rPr>
          <w:rFonts w:cs="Times New Roman"/>
          <w:szCs w:val="24"/>
        </w:rPr>
        <w:tab/>
        <w:t>Urban Local Bodies</w:t>
      </w:r>
    </w:p>
    <w:p w:rsidR="004764E1" w:rsidRPr="00A40B34" w:rsidRDefault="004764E1" w:rsidP="004764E1">
      <w:pPr>
        <w:tabs>
          <w:tab w:val="left" w:pos="2160"/>
        </w:tabs>
        <w:spacing w:after="120"/>
        <w:ind w:left="2160" w:hanging="2160"/>
        <w:jc w:val="both"/>
        <w:rPr>
          <w:rFonts w:cs="Times New Roman"/>
          <w:szCs w:val="24"/>
        </w:rPr>
      </w:pPr>
      <w:r w:rsidRPr="00A40B34">
        <w:rPr>
          <w:rFonts w:cs="Times New Roman"/>
          <w:szCs w:val="24"/>
        </w:rPr>
        <w:t>UMY</w:t>
      </w:r>
      <w:r w:rsidRPr="00A40B34">
        <w:rPr>
          <w:rFonts w:cs="Times New Roman"/>
          <w:szCs w:val="24"/>
        </w:rPr>
        <w:tab/>
        <w:t>Upper Middle Income</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lastRenderedPageBreak/>
        <w:t xml:space="preserve">UMIC </w:t>
      </w:r>
      <w:r w:rsidRPr="00A40B34">
        <w:rPr>
          <w:rFonts w:cs="Times New Roman"/>
          <w:szCs w:val="24"/>
        </w:rPr>
        <w:tab/>
        <w:t>Upper Middle Income Country</w:t>
      </w:r>
    </w:p>
    <w:p w:rsidR="00770024" w:rsidRPr="00A40B34" w:rsidRDefault="00770024" w:rsidP="00770024">
      <w:pPr>
        <w:tabs>
          <w:tab w:val="left" w:pos="2160"/>
        </w:tabs>
        <w:spacing w:after="120"/>
        <w:ind w:left="2160" w:hanging="2160"/>
        <w:jc w:val="both"/>
        <w:rPr>
          <w:rFonts w:cs="Times New Roman"/>
          <w:szCs w:val="24"/>
        </w:rPr>
      </w:pPr>
      <w:r w:rsidRPr="00A40B34">
        <w:rPr>
          <w:rFonts w:cs="Times New Roman"/>
          <w:szCs w:val="24"/>
        </w:rPr>
        <w:t>UNDP</w:t>
      </w:r>
      <w:r w:rsidRPr="00A40B34">
        <w:rPr>
          <w:rFonts w:cs="Times New Roman"/>
          <w:szCs w:val="24"/>
        </w:rPr>
        <w:tab/>
        <w:t>United Nations Development Programme</w:t>
      </w:r>
    </w:p>
    <w:p w:rsidR="00770024" w:rsidRDefault="00770024" w:rsidP="00770024">
      <w:pPr>
        <w:tabs>
          <w:tab w:val="left" w:pos="2160"/>
        </w:tabs>
        <w:spacing w:after="120"/>
        <w:ind w:left="2160" w:hanging="2160"/>
        <w:jc w:val="both"/>
        <w:rPr>
          <w:rFonts w:cs="Times New Roman"/>
          <w:szCs w:val="24"/>
        </w:rPr>
      </w:pPr>
      <w:r w:rsidRPr="00A40B34">
        <w:rPr>
          <w:rFonts w:cs="Times New Roman"/>
          <w:szCs w:val="24"/>
        </w:rPr>
        <w:t>UNESCO</w:t>
      </w:r>
      <w:r w:rsidRPr="00A40B34">
        <w:rPr>
          <w:rFonts w:cs="Times New Roman"/>
          <w:szCs w:val="24"/>
        </w:rPr>
        <w:tab/>
        <w:t>United Nations Educational, Scientific and Cultural Organization</w:t>
      </w:r>
    </w:p>
    <w:p w:rsidR="00770024" w:rsidRPr="008313D5" w:rsidRDefault="00770024" w:rsidP="00770024">
      <w:pPr>
        <w:tabs>
          <w:tab w:val="left" w:pos="2160"/>
        </w:tabs>
        <w:spacing w:after="120"/>
        <w:ind w:left="2160" w:hanging="2160"/>
        <w:jc w:val="both"/>
        <w:rPr>
          <w:rFonts w:cs="Times New Roman"/>
          <w:szCs w:val="24"/>
        </w:rPr>
      </w:pPr>
      <w:r w:rsidRPr="008313D5">
        <w:rPr>
          <w:rFonts w:cs="Times New Roman"/>
          <w:szCs w:val="24"/>
        </w:rPr>
        <w:t xml:space="preserve">UNFCCC </w:t>
      </w:r>
      <w:r w:rsidRPr="008313D5">
        <w:rPr>
          <w:rFonts w:cs="Times New Roman"/>
          <w:szCs w:val="24"/>
        </w:rPr>
        <w:tab/>
        <w:t xml:space="preserve">United Nations Framework Convention on Climate Change </w:t>
      </w:r>
    </w:p>
    <w:p w:rsidR="00770024" w:rsidRDefault="00770024" w:rsidP="00770024">
      <w:pPr>
        <w:tabs>
          <w:tab w:val="left" w:pos="2160"/>
        </w:tabs>
        <w:spacing w:after="120"/>
        <w:ind w:left="2160" w:hanging="2160"/>
        <w:jc w:val="both"/>
        <w:rPr>
          <w:rFonts w:cs="Times New Roman"/>
          <w:szCs w:val="24"/>
        </w:rPr>
      </w:pPr>
      <w:r>
        <w:rPr>
          <w:rFonts w:cs="Times New Roman"/>
          <w:szCs w:val="24"/>
        </w:rPr>
        <w:t>UPL</w:t>
      </w:r>
      <w:r>
        <w:rPr>
          <w:rFonts w:cs="Times New Roman"/>
          <w:szCs w:val="24"/>
        </w:rPr>
        <w:tab/>
        <w:t>Upper Poverty L</w:t>
      </w:r>
      <w:r w:rsidRPr="00CC1F45">
        <w:rPr>
          <w:rFonts w:cs="Times New Roman"/>
          <w:szCs w:val="24"/>
        </w:rPr>
        <w:t>ine</w:t>
      </w:r>
    </w:p>
    <w:p w:rsidR="00770024" w:rsidRDefault="00770024" w:rsidP="00770024">
      <w:pPr>
        <w:tabs>
          <w:tab w:val="left" w:pos="2160"/>
        </w:tabs>
        <w:spacing w:after="120"/>
        <w:ind w:left="2160" w:hanging="2160"/>
        <w:jc w:val="both"/>
        <w:rPr>
          <w:rFonts w:cs="Times New Roman"/>
          <w:szCs w:val="24"/>
        </w:rPr>
      </w:pPr>
      <w:r>
        <w:rPr>
          <w:rFonts w:cs="Times New Roman"/>
          <w:szCs w:val="24"/>
        </w:rPr>
        <w:t>USAID</w:t>
      </w:r>
      <w:r>
        <w:rPr>
          <w:rFonts w:cs="Times New Roman"/>
          <w:szCs w:val="24"/>
        </w:rPr>
        <w:tab/>
        <w:t>United States Agency for International Development</w:t>
      </w:r>
    </w:p>
    <w:p w:rsidR="00770024" w:rsidRPr="00BC2859" w:rsidRDefault="00770024" w:rsidP="00770024">
      <w:pPr>
        <w:tabs>
          <w:tab w:val="left" w:pos="2160"/>
        </w:tabs>
        <w:spacing w:after="120"/>
        <w:ind w:left="2160" w:hanging="2160"/>
        <w:jc w:val="both"/>
        <w:rPr>
          <w:rFonts w:cs="Times New Roman"/>
          <w:szCs w:val="24"/>
        </w:rPr>
      </w:pPr>
      <w:r w:rsidRPr="00BC2859">
        <w:rPr>
          <w:rFonts w:cs="Times New Roman"/>
          <w:szCs w:val="24"/>
        </w:rPr>
        <w:t>UTM</w:t>
      </w:r>
      <w:r w:rsidRPr="00BC2859">
        <w:rPr>
          <w:rFonts w:cs="Times New Roman"/>
          <w:szCs w:val="24"/>
        </w:rPr>
        <w:tab/>
        <w:t>Universal Transverse Mercator</w:t>
      </w:r>
    </w:p>
    <w:p w:rsidR="00770024" w:rsidRDefault="00770024" w:rsidP="00770024">
      <w:pPr>
        <w:tabs>
          <w:tab w:val="left" w:pos="2160"/>
        </w:tabs>
        <w:spacing w:after="120"/>
        <w:ind w:left="2160" w:hanging="2160"/>
        <w:jc w:val="both"/>
        <w:rPr>
          <w:rFonts w:cs="Times New Roman"/>
          <w:szCs w:val="24"/>
        </w:rPr>
      </w:pPr>
      <w:r>
        <w:rPr>
          <w:rFonts w:cs="Times New Roman"/>
          <w:szCs w:val="24"/>
        </w:rPr>
        <w:t>VU</w:t>
      </w:r>
      <w:r>
        <w:rPr>
          <w:rFonts w:cs="Times New Roman"/>
          <w:szCs w:val="24"/>
        </w:rPr>
        <w:tab/>
      </w:r>
      <w:r w:rsidRPr="00755D0C">
        <w:rPr>
          <w:rFonts w:cs="Times New Roman"/>
          <w:szCs w:val="24"/>
        </w:rPr>
        <w:t>Vulnerable</w:t>
      </w:r>
    </w:p>
    <w:p w:rsidR="00770024" w:rsidRDefault="00770024" w:rsidP="00770024">
      <w:pPr>
        <w:tabs>
          <w:tab w:val="left" w:pos="2160"/>
        </w:tabs>
        <w:spacing w:after="120"/>
        <w:ind w:left="2160" w:hanging="2160"/>
        <w:jc w:val="both"/>
        <w:rPr>
          <w:rFonts w:cs="Times New Roman"/>
          <w:szCs w:val="24"/>
        </w:rPr>
      </w:pPr>
      <w:r w:rsidRPr="009E0046">
        <w:rPr>
          <w:rFonts w:cs="Times New Roman"/>
          <w:szCs w:val="24"/>
        </w:rPr>
        <w:t>WARPO</w:t>
      </w:r>
      <w:r>
        <w:rPr>
          <w:rFonts w:cs="Times New Roman"/>
          <w:szCs w:val="24"/>
        </w:rPr>
        <w:tab/>
      </w:r>
      <w:r w:rsidRPr="009E0046">
        <w:rPr>
          <w:rFonts w:cs="Times New Roman"/>
          <w:szCs w:val="24"/>
        </w:rPr>
        <w:t>Water Resources Planning Organization</w:t>
      </w:r>
    </w:p>
    <w:p w:rsidR="00770024" w:rsidRPr="00677A84" w:rsidRDefault="00770024" w:rsidP="00770024">
      <w:pPr>
        <w:tabs>
          <w:tab w:val="left" w:pos="2160"/>
        </w:tabs>
        <w:spacing w:after="120"/>
        <w:jc w:val="both"/>
        <w:rPr>
          <w:rFonts w:cs="Times New Roman"/>
          <w:szCs w:val="24"/>
        </w:rPr>
      </w:pPr>
      <w:r w:rsidRPr="00677A84">
        <w:rPr>
          <w:rFonts w:cs="Times New Roman"/>
          <w:szCs w:val="24"/>
        </w:rPr>
        <w:t>WASAs</w:t>
      </w:r>
      <w:r w:rsidRPr="00677A84">
        <w:rPr>
          <w:rFonts w:cs="Times New Roman"/>
          <w:szCs w:val="24"/>
        </w:rPr>
        <w:tab/>
        <w:t>Water Supply and Sewerage Authorities</w:t>
      </w:r>
    </w:p>
    <w:p w:rsidR="00770024" w:rsidRDefault="00770024" w:rsidP="00770024">
      <w:pPr>
        <w:tabs>
          <w:tab w:val="left" w:pos="2160"/>
        </w:tabs>
        <w:spacing w:after="120"/>
        <w:ind w:left="2160" w:hanging="2160"/>
        <w:jc w:val="both"/>
        <w:rPr>
          <w:rFonts w:cs="Times New Roman"/>
          <w:szCs w:val="24"/>
        </w:rPr>
      </w:pPr>
      <w:r>
        <w:rPr>
          <w:rFonts w:cs="Times New Roman"/>
          <w:szCs w:val="24"/>
        </w:rPr>
        <w:t>WDF</w:t>
      </w:r>
      <w:r>
        <w:rPr>
          <w:rFonts w:cs="Times New Roman"/>
          <w:szCs w:val="24"/>
        </w:rPr>
        <w:tab/>
        <w:t>Washing, Dyeing, F</w:t>
      </w:r>
      <w:r w:rsidRPr="00F973F7">
        <w:rPr>
          <w:rFonts w:cs="Times New Roman"/>
          <w:szCs w:val="24"/>
        </w:rPr>
        <w:t>inishing</w:t>
      </w:r>
    </w:p>
    <w:p w:rsidR="00770024" w:rsidRDefault="00770024" w:rsidP="00770024">
      <w:pPr>
        <w:tabs>
          <w:tab w:val="left" w:pos="2160"/>
        </w:tabs>
        <w:spacing w:after="120"/>
        <w:ind w:left="2160" w:hanging="2160"/>
        <w:jc w:val="both"/>
        <w:rPr>
          <w:rFonts w:cs="Times New Roman"/>
          <w:szCs w:val="24"/>
        </w:rPr>
      </w:pPr>
      <w:r>
        <w:rPr>
          <w:rFonts w:cs="Times New Roman"/>
          <w:szCs w:val="24"/>
        </w:rPr>
        <w:t>WHC</w:t>
      </w:r>
      <w:r>
        <w:rPr>
          <w:rFonts w:cs="Times New Roman"/>
          <w:szCs w:val="24"/>
        </w:rPr>
        <w:tab/>
      </w:r>
      <w:r w:rsidRPr="00755D0C">
        <w:rPr>
          <w:rFonts w:cs="Times New Roman"/>
          <w:szCs w:val="24"/>
        </w:rPr>
        <w:t>World Heritage Convention</w:t>
      </w:r>
    </w:p>
    <w:p w:rsidR="00770024" w:rsidRDefault="00770024" w:rsidP="00770024">
      <w:pPr>
        <w:tabs>
          <w:tab w:val="left" w:pos="2160"/>
        </w:tabs>
        <w:spacing w:after="120"/>
        <w:ind w:left="2160" w:hanging="2160"/>
        <w:jc w:val="both"/>
        <w:rPr>
          <w:rFonts w:cs="Times New Roman"/>
          <w:szCs w:val="24"/>
        </w:rPr>
      </w:pPr>
      <w:r>
        <w:rPr>
          <w:rFonts w:cs="Times New Roman"/>
          <w:szCs w:val="24"/>
        </w:rPr>
        <w:t>WHS</w:t>
      </w:r>
      <w:r>
        <w:rPr>
          <w:rFonts w:cs="Times New Roman"/>
          <w:szCs w:val="24"/>
        </w:rPr>
        <w:tab/>
      </w:r>
      <w:r w:rsidRPr="004835C9">
        <w:rPr>
          <w:rFonts w:cs="Times New Roman"/>
          <w:szCs w:val="24"/>
        </w:rPr>
        <w:t>World Heritage Site</w:t>
      </w:r>
    </w:p>
    <w:p w:rsidR="00770024" w:rsidRPr="002E77D0" w:rsidRDefault="00770024" w:rsidP="00770024">
      <w:pPr>
        <w:tabs>
          <w:tab w:val="left" w:pos="2160"/>
        </w:tabs>
        <w:spacing w:after="120"/>
        <w:ind w:left="2160" w:hanging="2160"/>
        <w:jc w:val="both"/>
        <w:rPr>
          <w:rFonts w:cs="Times New Roman"/>
          <w:szCs w:val="24"/>
        </w:rPr>
      </w:pPr>
      <w:r w:rsidRPr="002E77D0">
        <w:rPr>
          <w:rFonts w:cs="Times New Roman"/>
          <w:szCs w:val="24"/>
        </w:rPr>
        <w:t>WMC</w:t>
      </w:r>
      <w:r w:rsidRPr="002E77D0">
        <w:rPr>
          <w:rFonts w:cs="Times New Roman"/>
          <w:szCs w:val="24"/>
        </w:rPr>
        <w:tab/>
        <w:t xml:space="preserve">Waste Management Cost </w:t>
      </w:r>
    </w:p>
    <w:p w:rsidR="00770024" w:rsidRPr="00677A84" w:rsidRDefault="00770024" w:rsidP="00770024">
      <w:pPr>
        <w:tabs>
          <w:tab w:val="left" w:pos="2160"/>
        </w:tabs>
        <w:spacing w:after="120"/>
        <w:ind w:left="2160" w:hanging="2160"/>
        <w:jc w:val="both"/>
        <w:rPr>
          <w:rFonts w:cs="Times New Roman"/>
          <w:szCs w:val="24"/>
        </w:rPr>
      </w:pPr>
      <w:r>
        <w:rPr>
          <w:rFonts w:cs="Times New Roman"/>
          <w:szCs w:val="24"/>
        </w:rPr>
        <w:t>WMIP</w:t>
      </w:r>
      <w:r>
        <w:rPr>
          <w:rFonts w:cs="Times New Roman"/>
          <w:szCs w:val="24"/>
        </w:rPr>
        <w:tab/>
      </w:r>
      <w:r w:rsidRPr="00677A84">
        <w:rPr>
          <w:rFonts w:cs="Times New Roman"/>
          <w:szCs w:val="24"/>
        </w:rPr>
        <w:t>West Midlands Institute of Psychotherapy</w:t>
      </w:r>
    </w:p>
    <w:p w:rsidR="00770024" w:rsidRPr="00677A84" w:rsidRDefault="00770024" w:rsidP="00770024">
      <w:pPr>
        <w:tabs>
          <w:tab w:val="left" w:pos="2160"/>
        </w:tabs>
        <w:spacing w:after="120"/>
        <w:ind w:left="2160" w:hanging="2160"/>
        <w:jc w:val="both"/>
        <w:rPr>
          <w:rFonts w:cs="Times New Roman"/>
          <w:szCs w:val="24"/>
        </w:rPr>
      </w:pPr>
      <w:r>
        <w:rPr>
          <w:rFonts w:cs="Times New Roman"/>
          <w:szCs w:val="24"/>
        </w:rPr>
        <w:t>WRM</w:t>
      </w:r>
      <w:r>
        <w:rPr>
          <w:rFonts w:cs="Times New Roman"/>
          <w:szCs w:val="24"/>
        </w:rPr>
        <w:tab/>
      </w:r>
      <w:r w:rsidRPr="00677A84">
        <w:rPr>
          <w:rFonts w:cs="Times New Roman"/>
          <w:szCs w:val="24"/>
        </w:rPr>
        <w:t>World Rainforest Movement</w:t>
      </w:r>
    </w:p>
    <w:p w:rsidR="00770024" w:rsidRPr="00677A84" w:rsidRDefault="00770024" w:rsidP="00770024">
      <w:pPr>
        <w:tabs>
          <w:tab w:val="left" w:pos="2160"/>
        </w:tabs>
        <w:spacing w:after="120"/>
        <w:ind w:left="2160" w:hanging="2160"/>
        <w:jc w:val="both"/>
        <w:rPr>
          <w:rFonts w:cs="Times New Roman"/>
          <w:szCs w:val="24"/>
        </w:rPr>
      </w:pPr>
      <w:r w:rsidRPr="00677A84">
        <w:rPr>
          <w:rFonts w:cs="Times New Roman"/>
          <w:szCs w:val="24"/>
        </w:rPr>
        <w:t>WSDP</w:t>
      </w:r>
      <w:r w:rsidRPr="00677A84">
        <w:rPr>
          <w:rFonts w:cs="Times New Roman"/>
          <w:szCs w:val="24"/>
        </w:rPr>
        <w:tab/>
        <w:t>Water Sector Development Plan</w:t>
      </w:r>
    </w:p>
    <w:p w:rsidR="00770024" w:rsidRPr="00677A84" w:rsidRDefault="00770024" w:rsidP="00770024">
      <w:pPr>
        <w:tabs>
          <w:tab w:val="left" w:pos="2160"/>
        </w:tabs>
        <w:spacing w:after="120"/>
        <w:ind w:left="2160" w:hanging="2160"/>
        <w:jc w:val="both"/>
        <w:rPr>
          <w:rFonts w:cs="Times New Roman"/>
          <w:szCs w:val="24"/>
        </w:rPr>
      </w:pPr>
      <w:r w:rsidRPr="00677A84">
        <w:rPr>
          <w:rFonts w:cs="Times New Roman"/>
          <w:szCs w:val="24"/>
        </w:rPr>
        <w:t>WSP</w:t>
      </w:r>
      <w:r w:rsidRPr="00677A84">
        <w:rPr>
          <w:rFonts w:cs="Times New Roman"/>
          <w:szCs w:val="24"/>
        </w:rPr>
        <w:tab/>
        <w:t>Water and Sanitation Program</w:t>
      </w:r>
    </w:p>
    <w:p w:rsidR="00770024" w:rsidRPr="00677A84" w:rsidRDefault="00770024" w:rsidP="00770024">
      <w:pPr>
        <w:tabs>
          <w:tab w:val="left" w:pos="2160"/>
        </w:tabs>
        <w:spacing w:after="120"/>
        <w:jc w:val="both"/>
        <w:rPr>
          <w:rFonts w:cs="Times New Roman"/>
          <w:szCs w:val="24"/>
        </w:rPr>
      </w:pPr>
      <w:r w:rsidRPr="00677A84">
        <w:rPr>
          <w:rFonts w:cs="Times New Roman"/>
          <w:szCs w:val="24"/>
        </w:rPr>
        <w:t>WSS</w:t>
      </w:r>
      <w:r w:rsidRPr="00677A84">
        <w:rPr>
          <w:rFonts w:cs="Times New Roman"/>
          <w:szCs w:val="24"/>
        </w:rPr>
        <w:tab/>
        <w:t>Water Supply and Sanitation</w:t>
      </w:r>
    </w:p>
    <w:p w:rsidR="00770024" w:rsidRDefault="00770024" w:rsidP="00770024">
      <w:pPr>
        <w:tabs>
          <w:tab w:val="left" w:pos="2160"/>
        </w:tabs>
        <w:ind w:left="2160" w:hanging="2160"/>
        <w:jc w:val="both"/>
        <w:rPr>
          <w:rFonts w:cs="Times New Roman"/>
          <w:szCs w:val="24"/>
        </w:rPr>
      </w:pPr>
    </w:p>
    <w:p w:rsidR="0097590C" w:rsidRPr="00B83A9D" w:rsidRDefault="0097590C" w:rsidP="0097590C"/>
    <w:p w:rsidR="00B83A9D" w:rsidRDefault="00B83A9D" w:rsidP="00B83A9D"/>
    <w:p w:rsidR="006E3B8A" w:rsidRDefault="00C7235D">
      <w:pPr>
        <w:sectPr w:rsidR="006E3B8A" w:rsidSect="00144771">
          <w:pgSz w:w="12240" w:h="15840"/>
          <w:pgMar w:top="1440" w:right="1440" w:bottom="1440" w:left="1440" w:header="720" w:footer="720" w:gutter="0"/>
          <w:pgNumType w:fmt="lowerRoman"/>
          <w:cols w:space="720"/>
          <w:docGrid w:linePitch="360"/>
        </w:sectPr>
      </w:pPr>
      <w:r>
        <w:br w:type="page"/>
      </w:r>
    </w:p>
    <w:p w:rsidR="007C54D3" w:rsidRDefault="006E3B8A" w:rsidP="008C0601">
      <w:pPr>
        <w:pStyle w:val="Heading1"/>
      </w:pPr>
      <w:bookmarkStart w:id="7" w:name="_Toc474638830"/>
      <w:r w:rsidRPr="00F7031F">
        <w:lastRenderedPageBreak/>
        <w:t>Executive Summary</w:t>
      </w:r>
      <w:bookmarkEnd w:id="7"/>
    </w:p>
    <w:p w:rsidR="009E1CD0" w:rsidRPr="009E1CD0" w:rsidRDefault="009E1CD0" w:rsidP="007C54D3">
      <w:pPr>
        <w:jc w:val="both"/>
        <w:rPr>
          <w:b/>
        </w:rPr>
      </w:pPr>
      <w:r w:rsidRPr="009E1CD0">
        <w:rPr>
          <w:b/>
        </w:rPr>
        <w:t>The Bangladesh Delta Challenge</w:t>
      </w:r>
    </w:p>
    <w:p w:rsidR="0086140D" w:rsidRDefault="007C54D3" w:rsidP="002C2541">
      <w:pPr>
        <w:spacing w:line="276" w:lineRule="auto"/>
        <w:jc w:val="both"/>
      </w:pPr>
      <w:r>
        <w:t xml:space="preserve">Inspired by the exemplary development performance under the Sixth Five Year Plan (FY2010-FY2015), whereby Bangladesh sharply reduced modest and </w:t>
      </w:r>
      <w:r w:rsidR="00F57172">
        <w:t>extreme</w:t>
      </w:r>
      <w:r>
        <w:t xml:space="preserve"> poverty, improved human development and increased growth rate to an average of 6% per year that helped to achieve lower middle income status in 2015, Bangladesh now aspires to reach upper middle income status and eliminate extreme poverty by FY2031.  The solid foundation laid during the Sixth Plan is a comforting factor; yet many fundamental policy and institutional challenges remain.  At the same time, Bangladesh faces substantial downside risks from the interface of its deltaic geographical configuration, high population density, </w:t>
      </w:r>
      <w:r w:rsidR="00430763">
        <w:t xml:space="preserve">and </w:t>
      </w:r>
      <w:r>
        <w:t xml:space="preserve">regular episodes of a range of natural disasters including flooding, river bank erosion, sea level rise, salinity intrusion, cyclones and water-logging. Dry and wet season water shortages and surpluses; vulnerability </w:t>
      </w:r>
      <w:r w:rsidR="00430763">
        <w:t>from being a lower riparian to much</w:t>
      </w:r>
      <w:r>
        <w:t xml:space="preserve"> of the river inflows; growing water demand from rapid urbanization and industrialization; rapid depletion of groundwater owing to over-exploitation in many areas; arsenic </w:t>
      </w:r>
      <w:r w:rsidR="00F57172">
        <w:t>poisoning</w:t>
      </w:r>
      <w:r>
        <w:t xml:space="preserve"> of ground water; and a range of water quality issues emerging from industrialization and urbanization all combine t</w:t>
      </w:r>
      <w:r w:rsidR="00430763">
        <w:t xml:space="preserve">o make </w:t>
      </w:r>
      <w:r>
        <w:t>the effecti</w:t>
      </w:r>
      <w:r w:rsidR="00430763">
        <w:t>ve management of the Delta challenge a major driver of national development</w:t>
      </w:r>
      <w:r>
        <w:t xml:space="preserve">. </w:t>
      </w:r>
    </w:p>
    <w:p w:rsidR="007C54D3" w:rsidRDefault="0086140D" w:rsidP="002C2541">
      <w:pPr>
        <w:spacing w:line="276" w:lineRule="auto"/>
        <w:jc w:val="both"/>
      </w:pPr>
      <w:r w:rsidRPr="00117449">
        <w:rPr>
          <w:rFonts w:cs="Times New Roman"/>
          <w:szCs w:val="24"/>
        </w:rPr>
        <w:t xml:space="preserve">In view of the special long-term challenges </w:t>
      </w:r>
      <w:r>
        <w:rPr>
          <w:rFonts w:cs="Times New Roman"/>
          <w:szCs w:val="24"/>
        </w:rPr>
        <w:t xml:space="preserve">for development outcomes </w:t>
      </w:r>
      <w:r w:rsidRPr="00117449">
        <w:rPr>
          <w:rFonts w:cs="Times New Roman"/>
          <w:szCs w:val="24"/>
        </w:rPr>
        <w:t>presented by climate change and natural hazards, the Governmen</w:t>
      </w:r>
      <w:r w:rsidR="00430763">
        <w:rPr>
          <w:rFonts w:cs="Times New Roman"/>
          <w:szCs w:val="24"/>
        </w:rPr>
        <w:t>t has decided to formulate</w:t>
      </w:r>
      <w:r>
        <w:rPr>
          <w:rFonts w:cs="Times New Roman"/>
          <w:szCs w:val="24"/>
        </w:rPr>
        <w:t xml:space="preserve"> a long-</w:t>
      </w:r>
      <w:r w:rsidRPr="00117449">
        <w:rPr>
          <w:rFonts w:cs="Times New Roman"/>
          <w:szCs w:val="24"/>
        </w:rPr>
        <w:t>term Bangladesh Delta Strategy 2100 (BDP2100)</w:t>
      </w:r>
      <w:r>
        <w:rPr>
          <w:rFonts w:cs="Times New Roman"/>
          <w:szCs w:val="24"/>
        </w:rPr>
        <w:t xml:space="preserve">. The BDP2100 </w:t>
      </w:r>
      <w:r w:rsidRPr="00117449">
        <w:rPr>
          <w:rFonts w:cs="Times New Roman"/>
          <w:szCs w:val="24"/>
        </w:rPr>
        <w:t>seeks to integrate the short-to medium term aspirations of Bangladesh to achieve upper middle income</w:t>
      </w:r>
      <w:r>
        <w:rPr>
          <w:rFonts w:cs="Times New Roman"/>
          <w:szCs w:val="24"/>
        </w:rPr>
        <w:t xml:space="preserve"> (UMIC)</w:t>
      </w:r>
      <w:r w:rsidRPr="00117449">
        <w:rPr>
          <w:rFonts w:cs="Times New Roman"/>
          <w:szCs w:val="24"/>
        </w:rPr>
        <w:t xml:space="preserve"> status and eliminat</w:t>
      </w:r>
      <w:r>
        <w:rPr>
          <w:rFonts w:cs="Times New Roman"/>
          <w:szCs w:val="24"/>
        </w:rPr>
        <w:t xml:space="preserve">e extreme poverty by FY2031 </w:t>
      </w:r>
      <w:r w:rsidRPr="00117449">
        <w:rPr>
          <w:rFonts w:cs="Times New Roman"/>
          <w:szCs w:val="24"/>
        </w:rPr>
        <w:t>with the longer-term challenge of sustainable management of water, ecology, environment and land resources</w:t>
      </w:r>
      <w:r w:rsidR="00430763">
        <w:rPr>
          <w:rFonts w:cs="Times New Roman"/>
          <w:szCs w:val="24"/>
        </w:rPr>
        <w:t xml:space="preserve"> in the context of their interaction with natural disasters and climate change</w:t>
      </w:r>
      <w:r w:rsidRPr="00117449">
        <w:rPr>
          <w:rFonts w:cs="Times New Roman"/>
          <w:szCs w:val="24"/>
        </w:rPr>
        <w:t>. The BDP2100 looks primarily at the medium-term delta agenda (2016-40) but is mindful that the decisions taken today have implications for the longer-term agenda for 2040 and beyond.  In this regard, it sets up a long-term vision for the evolution of the Bangladesh Delta by the end of the 21</w:t>
      </w:r>
      <w:r w:rsidRPr="00117449">
        <w:rPr>
          <w:rFonts w:cs="Times New Roman"/>
          <w:szCs w:val="24"/>
          <w:vertAlign w:val="superscript"/>
        </w:rPr>
        <w:t>st</w:t>
      </w:r>
      <w:r w:rsidRPr="00117449">
        <w:rPr>
          <w:rFonts w:cs="Times New Roman"/>
          <w:szCs w:val="24"/>
        </w:rPr>
        <w:t xml:space="preserve"> Century, but defines short and medium-term goals as steps to reach that vision. These goals, associated strategies, policies, institutions and investments are moving targets and adaptive in nature. They are adaptive to changing natural events in order </w:t>
      </w:r>
      <w:r>
        <w:rPr>
          <w:rFonts w:cs="Times New Roman"/>
          <w:szCs w:val="24"/>
        </w:rPr>
        <w:t xml:space="preserve">to </w:t>
      </w:r>
      <w:r w:rsidRPr="00117449">
        <w:rPr>
          <w:rFonts w:cs="Times New Roman"/>
          <w:szCs w:val="24"/>
        </w:rPr>
        <w:t xml:space="preserve">respond appropriately and stay the course to the path of the long-term </w:t>
      </w:r>
      <w:r w:rsidR="00430763">
        <w:rPr>
          <w:rFonts w:cs="Times New Roman"/>
          <w:szCs w:val="24"/>
        </w:rPr>
        <w:t xml:space="preserve">Delta </w:t>
      </w:r>
      <w:r w:rsidRPr="00117449">
        <w:rPr>
          <w:rFonts w:cs="Times New Roman"/>
          <w:szCs w:val="24"/>
        </w:rPr>
        <w:t>vision.</w:t>
      </w:r>
    </w:p>
    <w:p w:rsidR="00987C99" w:rsidRDefault="00987C99" w:rsidP="002C2541">
      <w:pPr>
        <w:spacing w:line="276" w:lineRule="auto"/>
        <w:jc w:val="both"/>
      </w:pPr>
      <w:r>
        <w:t xml:space="preserve">The evidence from global experience as well as the experience from Bangladesh suggests that climate change is a real threat to global and national level prosperity.  </w:t>
      </w:r>
      <w:r w:rsidRPr="00117449">
        <w:rPr>
          <w:rFonts w:cs="Times New Roman"/>
          <w:szCs w:val="24"/>
        </w:rPr>
        <w:t xml:space="preserve">Owing to the deltaic formation of the country, the configuration of the rivers and </w:t>
      </w:r>
      <w:r w:rsidR="00430763">
        <w:rPr>
          <w:rFonts w:cs="Times New Roman"/>
          <w:szCs w:val="24"/>
        </w:rPr>
        <w:t xml:space="preserve">the challenges posed by natural </w:t>
      </w:r>
      <w:r w:rsidR="00F57172">
        <w:rPr>
          <w:rFonts w:cs="Times New Roman"/>
          <w:szCs w:val="24"/>
        </w:rPr>
        <w:t>disasters</w:t>
      </w:r>
      <w:r w:rsidR="00430763">
        <w:rPr>
          <w:rFonts w:cs="Times New Roman"/>
          <w:szCs w:val="24"/>
        </w:rPr>
        <w:t xml:space="preserve"> and </w:t>
      </w:r>
      <w:r w:rsidRPr="00117449">
        <w:rPr>
          <w:rFonts w:cs="Times New Roman"/>
          <w:szCs w:val="24"/>
        </w:rPr>
        <w:t>climate change, Bangladesh has been ranked as the 5</w:t>
      </w:r>
      <w:r w:rsidRPr="00117449">
        <w:rPr>
          <w:rFonts w:cs="Times New Roman"/>
          <w:szCs w:val="24"/>
          <w:vertAlign w:val="superscript"/>
        </w:rPr>
        <w:t>th</w:t>
      </w:r>
      <w:r w:rsidRPr="00117449">
        <w:rPr>
          <w:rFonts w:cs="Times New Roman"/>
          <w:szCs w:val="24"/>
        </w:rPr>
        <w:t xml:space="preserve"> most vulnerable country in the world in terms of risks from natural hazards. </w:t>
      </w:r>
      <w:r>
        <w:t>These risks have been growin</w:t>
      </w:r>
      <w:r w:rsidR="00430763">
        <w:t>g over time.  Unless these vulnerabilities</w:t>
      </w:r>
      <w:r>
        <w:t xml:space="preserve"> are managed and addressed comprehensively, Bangladesh faces serious downside risks to food security, the growth momentum and poverty reduction efforts. </w:t>
      </w:r>
    </w:p>
    <w:p w:rsidR="00627DC1" w:rsidRDefault="00987C99" w:rsidP="002C2541">
      <w:pPr>
        <w:pStyle w:val="BodyText"/>
        <w:spacing w:after="240" w:line="276" w:lineRule="auto"/>
        <w:jc w:val="both"/>
        <w:rPr>
          <w:rFonts w:cs="Times New Roman"/>
          <w:szCs w:val="24"/>
        </w:rPr>
      </w:pPr>
      <w:r w:rsidRPr="00117449">
        <w:rPr>
          <w:rFonts w:cs="Times New Roman"/>
          <w:szCs w:val="24"/>
        </w:rPr>
        <w:lastRenderedPageBreak/>
        <w:t>These climate change factors working through the geography of the Bangladesh Delta can have vast adverse effects on Bangladesh development. The climate factors work through a large number of sectors that add up to substantial losses economy wide. The most vulner</w:t>
      </w:r>
      <w:r w:rsidR="00430763">
        <w:rPr>
          <w:rFonts w:cs="Times New Roman"/>
          <w:szCs w:val="24"/>
        </w:rPr>
        <w:t xml:space="preserve">able sector is agriculture. </w:t>
      </w:r>
      <w:r w:rsidR="00627DC1" w:rsidRPr="00117449">
        <w:rPr>
          <w:rFonts w:cs="Times New Roman"/>
          <w:szCs w:val="24"/>
        </w:rPr>
        <w:t>Climate change, espe</w:t>
      </w:r>
      <w:r w:rsidR="00627DC1">
        <w:rPr>
          <w:rFonts w:cs="Times New Roman"/>
          <w:szCs w:val="24"/>
        </w:rPr>
        <w:t>cially in areas of temperature, humidity</w:t>
      </w:r>
      <w:r w:rsidR="00627DC1" w:rsidRPr="00117449">
        <w:rPr>
          <w:rFonts w:cs="Times New Roman"/>
          <w:szCs w:val="24"/>
        </w:rPr>
        <w:t xml:space="preserve"> and radiation, increases the incidence of insect pests, diseases, and microorganisms.</w:t>
      </w:r>
      <w:r w:rsidR="00627DC1">
        <w:rPr>
          <w:rFonts w:cs="Times New Roman"/>
          <w:szCs w:val="24"/>
        </w:rPr>
        <w:t xml:space="preserve"> </w:t>
      </w:r>
      <w:r w:rsidR="00430763">
        <w:rPr>
          <w:rFonts w:cs="Times New Roman"/>
          <w:szCs w:val="24"/>
        </w:rPr>
        <w:t>Rising</w:t>
      </w:r>
      <w:r w:rsidRPr="00117449">
        <w:rPr>
          <w:rFonts w:cs="Times New Roman"/>
          <w:szCs w:val="24"/>
        </w:rPr>
        <w:t xml:space="preserve"> temperature reduces yields of high-yielding </w:t>
      </w:r>
      <w:r w:rsidR="00430763">
        <w:rPr>
          <w:rFonts w:cs="Times New Roman"/>
          <w:szCs w:val="24"/>
        </w:rPr>
        <w:t>varieties of</w:t>
      </w:r>
      <w:r w:rsidRPr="00117449">
        <w:rPr>
          <w:rFonts w:cs="Times New Roman"/>
          <w:szCs w:val="24"/>
        </w:rPr>
        <w:t xml:space="preserve"> rice.</w:t>
      </w:r>
      <w:r w:rsidR="007A2DAA">
        <w:rPr>
          <w:rFonts w:cs="Times New Roman"/>
          <w:szCs w:val="24"/>
        </w:rPr>
        <w:t xml:space="preserve">  </w:t>
      </w:r>
      <w:r w:rsidR="00430763">
        <w:rPr>
          <w:rFonts w:cs="Times New Roman"/>
          <w:szCs w:val="24"/>
        </w:rPr>
        <w:t>Farm productivity will fall</w:t>
      </w:r>
      <w:r w:rsidR="007A2DAA" w:rsidRPr="00117449">
        <w:rPr>
          <w:rFonts w:cs="Times New Roman"/>
          <w:szCs w:val="24"/>
        </w:rPr>
        <w:t xml:space="preserve"> from increase in soil salinity</w:t>
      </w:r>
      <w:r w:rsidR="00430763">
        <w:rPr>
          <w:rFonts w:cs="Times New Roman"/>
          <w:szCs w:val="24"/>
        </w:rPr>
        <w:t xml:space="preserve"> caused by sea level rise (SLR)</w:t>
      </w:r>
      <w:r w:rsidR="007A2DAA" w:rsidRPr="00117449">
        <w:rPr>
          <w:rFonts w:cs="Times New Roman"/>
          <w:szCs w:val="24"/>
        </w:rPr>
        <w:t>.  Agriculture will suffer additionally from the higher incidence of flooding caused by climate change, including from inu</w:t>
      </w:r>
      <w:r w:rsidR="00430763">
        <w:rPr>
          <w:rFonts w:cs="Times New Roman"/>
          <w:szCs w:val="24"/>
        </w:rPr>
        <w:t>ndation caused by SLR</w:t>
      </w:r>
      <w:r w:rsidR="007A2DAA" w:rsidRPr="00117449">
        <w:rPr>
          <w:rFonts w:cs="Times New Roman"/>
          <w:szCs w:val="24"/>
        </w:rPr>
        <w:t>.</w:t>
      </w:r>
      <w:r w:rsidR="007A2DAA">
        <w:rPr>
          <w:rFonts w:cs="Times New Roman"/>
          <w:szCs w:val="24"/>
        </w:rPr>
        <w:t xml:space="preserve"> </w:t>
      </w:r>
      <w:r w:rsidR="007A2DAA" w:rsidRPr="00117449">
        <w:rPr>
          <w:rFonts w:cs="Times New Roman"/>
          <w:szCs w:val="24"/>
        </w:rPr>
        <w:t>The other</w:t>
      </w:r>
      <w:r w:rsidR="00430763">
        <w:rPr>
          <w:rFonts w:cs="Times New Roman"/>
          <w:szCs w:val="24"/>
        </w:rPr>
        <w:t xml:space="preserve"> most vulnerable sectors are </w:t>
      </w:r>
      <w:r w:rsidR="007A2DAA" w:rsidRPr="00117449">
        <w:rPr>
          <w:rFonts w:cs="Times New Roman"/>
          <w:szCs w:val="24"/>
        </w:rPr>
        <w:t>forestry and ecosystems. Many of the anticipated adverse effects of climat</w:t>
      </w:r>
      <w:r w:rsidR="00430763">
        <w:rPr>
          <w:rFonts w:cs="Times New Roman"/>
          <w:szCs w:val="24"/>
        </w:rPr>
        <w:t>e change, such as SLR</w:t>
      </w:r>
      <w:r w:rsidR="007A2DAA" w:rsidRPr="00117449">
        <w:rPr>
          <w:rFonts w:cs="Times New Roman"/>
          <w:szCs w:val="24"/>
        </w:rPr>
        <w:t>, higher temperatures, and an increase in cyclone intensity, will damage the forest resources of the country, put pressure on many climate-sensitive species, and cause increased erosion and deterioration of soil quality in many upland forested areas. The world</w:t>
      </w:r>
      <w:r w:rsidR="00430763">
        <w:rPr>
          <w:rFonts w:cs="Times New Roman"/>
          <w:szCs w:val="24"/>
        </w:rPr>
        <w:t>’s</w:t>
      </w:r>
      <w:r w:rsidR="007A2DAA" w:rsidRPr="00117449">
        <w:rPr>
          <w:rFonts w:cs="Times New Roman"/>
          <w:szCs w:val="24"/>
        </w:rPr>
        <w:t xml:space="preserve"> largest mangrove forest, the Sundarbans, is extremely vulnerable to</w:t>
      </w:r>
      <w:r w:rsidR="00430763">
        <w:rPr>
          <w:rFonts w:cs="Times New Roman"/>
          <w:szCs w:val="24"/>
        </w:rPr>
        <w:t xml:space="preserve"> climate change. SLR </w:t>
      </w:r>
      <w:r w:rsidR="007A2DAA" w:rsidRPr="00117449">
        <w:rPr>
          <w:rFonts w:cs="Times New Roman"/>
          <w:szCs w:val="24"/>
        </w:rPr>
        <w:t>will increase saltwater intrusion and negatively affect the forest.</w:t>
      </w:r>
      <w:r w:rsidR="007A2DAA">
        <w:rPr>
          <w:rFonts w:cs="Times New Roman"/>
          <w:szCs w:val="24"/>
        </w:rPr>
        <w:t xml:space="preserve">  </w:t>
      </w:r>
    </w:p>
    <w:p w:rsidR="007A2DAA" w:rsidRPr="00117449" w:rsidRDefault="007A2DAA" w:rsidP="002C2541">
      <w:pPr>
        <w:pStyle w:val="BodyText"/>
        <w:spacing w:after="240" w:line="276" w:lineRule="auto"/>
        <w:jc w:val="both"/>
        <w:rPr>
          <w:rFonts w:cs="Times New Roman"/>
          <w:szCs w:val="24"/>
        </w:rPr>
      </w:pPr>
      <w:r w:rsidRPr="00117449">
        <w:rPr>
          <w:rFonts w:cs="Times New Roman"/>
          <w:szCs w:val="24"/>
        </w:rPr>
        <w:t>Addition</w:t>
      </w:r>
      <w:r w:rsidR="000D49C9">
        <w:rPr>
          <w:rFonts w:cs="Times New Roman"/>
          <w:szCs w:val="24"/>
        </w:rPr>
        <w:t>al adverse effects will happen due to</w:t>
      </w:r>
      <w:r w:rsidRPr="00117449">
        <w:rPr>
          <w:rFonts w:cs="Times New Roman"/>
          <w:szCs w:val="24"/>
        </w:rPr>
        <w:t xml:space="preserve"> loss of land and physical assets from inundation. At a 1 meter SLR a significant part of dryland in Bangladesh will be permanently inundated; the fall in production in all sectors in the economy due to the land quantity shock would lead to a </w:t>
      </w:r>
      <w:r w:rsidR="00430763">
        <w:rPr>
          <w:rFonts w:cs="Times New Roman"/>
          <w:szCs w:val="24"/>
        </w:rPr>
        <w:t xml:space="preserve">substantial </w:t>
      </w:r>
      <w:r w:rsidRPr="00117449">
        <w:rPr>
          <w:rFonts w:cs="Times New Roman"/>
          <w:szCs w:val="24"/>
        </w:rPr>
        <w:t>fall in real GDP.</w:t>
      </w:r>
      <w:r w:rsidRPr="007A2DAA">
        <w:rPr>
          <w:rFonts w:cs="Times New Roman"/>
          <w:szCs w:val="24"/>
        </w:rPr>
        <w:t xml:space="preserve"> </w:t>
      </w:r>
      <w:r w:rsidRPr="00117449">
        <w:rPr>
          <w:rFonts w:cs="Times New Roman"/>
          <w:szCs w:val="24"/>
        </w:rPr>
        <w:t xml:space="preserve">Climate change and the resultant floods and cyclones will have a significant </w:t>
      </w:r>
      <w:r w:rsidR="00430763">
        <w:rPr>
          <w:rFonts w:cs="Times New Roman"/>
          <w:szCs w:val="24"/>
        </w:rPr>
        <w:t xml:space="preserve">negative </w:t>
      </w:r>
      <w:r w:rsidRPr="00117449">
        <w:rPr>
          <w:rFonts w:cs="Times New Roman"/>
          <w:szCs w:val="24"/>
        </w:rPr>
        <w:t xml:space="preserve">impact on </w:t>
      </w:r>
      <w:r w:rsidR="00430763">
        <w:rPr>
          <w:rFonts w:cs="Times New Roman"/>
          <w:szCs w:val="24"/>
        </w:rPr>
        <w:t xml:space="preserve">capital stock in construction and </w:t>
      </w:r>
      <w:r w:rsidRPr="00117449">
        <w:rPr>
          <w:rFonts w:cs="Times New Roman"/>
          <w:szCs w:val="24"/>
        </w:rPr>
        <w:t>infrastructure in Bangladesh</w:t>
      </w:r>
      <w:r w:rsidR="00430763">
        <w:rPr>
          <w:rFonts w:cs="Times New Roman"/>
          <w:szCs w:val="24"/>
        </w:rPr>
        <w:t xml:space="preserve">. </w:t>
      </w:r>
      <w:r w:rsidRPr="00117449">
        <w:rPr>
          <w:rFonts w:cs="Times New Roman"/>
          <w:szCs w:val="24"/>
        </w:rPr>
        <w:t>Health hazards will also intensify. Water-borne diseases, such as diarrhea and dysentery, and vector-borne diseases, such as malaria and dengue, ar</w:t>
      </w:r>
      <w:r w:rsidR="00430763">
        <w:rPr>
          <w:rFonts w:cs="Times New Roman"/>
          <w:szCs w:val="24"/>
        </w:rPr>
        <w:t>e climate sensitive. Res</w:t>
      </w:r>
      <w:r w:rsidR="000003F8">
        <w:rPr>
          <w:rFonts w:cs="Times New Roman"/>
          <w:szCs w:val="24"/>
        </w:rPr>
        <w:t>ea</w:t>
      </w:r>
      <w:r w:rsidR="00430763">
        <w:rPr>
          <w:rFonts w:cs="Times New Roman"/>
          <w:szCs w:val="24"/>
        </w:rPr>
        <w:t>rch suggests that</w:t>
      </w:r>
      <w:r w:rsidRPr="00117449">
        <w:rPr>
          <w:rFonts w:cs="Times New Roman"/>
          <w:szCs w:val="24"/>
        </w:rPr>
        <w:t xml:space="preserve"> growing morbidity could occur from dengue and malaria. </w:t>
      </w:r>
    </w:p>
    <w:p w:rsidR="007A2DAA" w:rsidRDefault="007A2DAA" w:rsidP="002C2541">
      <w:pPr>
        <w:pStyle w:val="BodyText"/>
        <w:spacing w:after="240" w:line="276" w:lineRule="auto"/>
        <w:jc w:val="both"/>
        <w:rPr>
          <w:rFonts w:cs="Times New Roman"/>
          <w:szCs w:val="24"/>
        </w:rPr>
      </w:pPr>
      <w:r w:rsidRPr="00117449">
        <w:rPr>
          <w:rFonts w:cs="Times New Roman"/>
          <w:szCs w:val="24"/>
        </w:rPr>
        <w:t>At the macro-level, the combined effects of climate change could range from a loss of 1</w:t>
      </w:r>
      <w:r w:rsidR="007A1904">
        <w:rPr>
          <w:rFonts w:cs="Times New Roman"/>
          <w:szCs w:val="24"/>
        </w:rPr>
        <w:t>-1.3</w:t>
      </w:r>
      <w:r w:rsidRPr="00117449">
        <w:rPr>
          <w:rFonts w:cs="Times New Roman"/>
          <w:szCs w:val="24"/>
        </w:rPr>
        <w:t>% of GDP per year in a modera</w:t>
      </w:r>
      <w:r w:rsidR="007A1904">
        <w:rPr>
          <w:rFonts w:cs="Times New Roman"/>
          <w:szCs w:val="24"/>
        </w:rPr>
        <w:t>te climate change environment and from</w:t>
      </w:r>
      <w:r w:rsidRPr="00117449">
        <w:rPr>
          <w:rFonts w:cs="Times New Roman"/>
          <w:szCs w:val="24"/>
        </w:rPr>
        <w:t xml:space="preserve"> 2</w:t>
      </w:r>
      <w:r>
        <w:rPr>
          <w:rFonts w:cs="Times New Roman"/>
          <w:szCs w:val="24"/>
        </w:rPr>
        <w:t>-2.5</w:t>
      </w:r>
      <w:r w:rsidRPr="00117449">
        <w:rPr>
          <w:rFonts w:cs="Times New Roman"/>
          <w:szCs w:val="24"/>
        </w:rPr>
        <w:t>% of GDP per year in an extreme climate environment.  In terms of loss of human welfare, district and sub-district level analysis shows that there is a strong positive correlation between incidence of poverty and the intensity of n</w:t>
      </w:r>
      <w:r w:rsidR="000003F8">
        <w:rPr>
          <w:rFonts w:cs="Times New Roman"/>
          <w:szCs w:val="24"/>
        </w:rPr>
        <w:t>atural hazards. On average</w:t>
      </w:r>
      <w:r w:rsidRPr="00117449">
        <w:rPr>
          <w:rFonts w:cs="Times New Roman"/>
          <w:szCs w:val="24"/>
        </w:rPr>
        <w:t xml:space="preserve"> districts </w:t>
      </w:r>
      <w:r w:rsidR="000003F8">
        <w:rPr>
          <w:rFonts w:cs="Times New Roman"/>
          <w:szCs w:val="24"/>
        </w:rPr>
        <w:t xml:space="preserve">that are </w:t>
      </w:r>
      <w:r w:rsidRPr="00117449">
        <w:rPr>
          <w:rFonts w:cs="Times New Roman"/>
          <w:szCs w:val="24"/>
        </w:rPr>
        <w:t>ranked as most exposed t</w:t>
      </w:r>
      <w:r w:rsidR="000003F8">
        <w:rPr>
          <w:rFonts w:cs="Times New Roman"/>
          <w:szCs w:val="24"/>
        </w:rPr>
        <w:t xml:space="preserve">o natural disasters </w:t>
      </w:r>
      <w:r w:rsidRPr="00117449">
        <w:rPr>
          <w:rFonts w:cs="Times New Roman"/>
          <w:szCs w:val="24"/>
        </w:rPr>
        <w:t>also show poverty rates that are higher than the national average</w:t>
      </w:r>
      <w:r w:rsidR="000003F8">
        <w:rPr>
          <w:rFonts w:cs="Times New Roman"/>
          <w:szCs w:val="24"/>
        </w:rPr>
        <w:t>. Strikingly</w:t>
      </w:r>
      <w:r w:rsidRPr="00117449">
        <w:rPr>
          <w:rFonts w:cs="Times New Roman"/>
          <w:szCs w:val="24"/>
        </w:rPr>
        <w:t xml:space="preserve">, of the 15 most poverty-stricken districts, almost 90% of the districts belong to </w:t>
      </w:r>
      <w:r w:rsidR="000003F8">
        <w:rPr>
          <w:rFonts w:cs="Times New Roman"/>
          <w:szCs w:val="24"/>
        </w:rPr>
        <w:t xml:space="preserve">high </w:t>
      </w:r>
      <w:r w:rsidRPr="00117449">
        <w:rPr>
          <w:rFonts w:cs="Times New Roman"/>
          <w:szCs w:val="24"/>
        </w:rPr>
        <w:t>natur</w:t>
      </w:r>
      <w:r w:rsidR="000003F8">
        <w:rPr>
          <w:rFonts w:cs="Times New Roman"/>
          <w:szCs w:val="24"/>
        </w:rPr>
        <w:t>al hazard risk categories</w:t>
      </w:r>
      <w:r w:rsidRPr="00117449">
        <w:rPr>
          <w:rFonts w:cs="Times New Roman"/>
          <w:szCs w:val="24"/>
        </w:rPr>
        <w:t xml:space="preserve">.  </w:t>
      </w:r>
    </w:p>
    <w:p w:rsidR="009E1CD0" w:rsidRPr="009E1CD0" w:rsidRDefault="009E1CD0" w:rsidP="002C2541">
      <w:pPr>
        <w:pStyle w:val="ListParagraph"/>
        <w:spacing w:line="276" w:lineRule="auto"/>
        <w:ind w:left="0"/>
        <w:contextualSpacing w:val="0"/>
        <w:jc w:val="both"/>
        <w:rPr>
          <w:rFonts w:cs="Times New Roman"/>
          <w:b/>
          <w:szCs w:val="24"/>
        </w:rPr>
      </w:pPr>
      <w:r w:rsidRPr="009E1CD0">
        <w:rPr>
          <w:rFonts w:cs="Times New Roman"/>
          <w:b/>
          <w:szCs w:val="24"/>
        </w:rPr>
        <w:t>Bangladesh Delta Plan 2100 (BDP2100) Vision and Goals</w:t>
      </w:r>
    </w:p>
    <w:p w:rsidR="007A2DAA" w:rsidRPr="00117449" w:rsidRDefault="007A2DAA" w:rsidP="002C2541">
      <w:pPr>
        <w:spacing w:line="276" w:lineRule="auto"/>
        <w:jc w:val="both"/>
        <w:rPr>
          <w:rFonts w:cs="Times New Roman"/>
          <w:szCs w:val="24"/>
        </w:rPr>
      </w:pPr>
      <w:r w:rsidRPr="00117449">
        <w:rPr>
          <w:rFonts w:cs="Times New Roman"/>
          <w:b/>
          <w:i/>
          <w:szCs w:val="24"/>
        </w:rPr>
        <w:t>The BDP</w:t>
      </w:r>
      <w:r>
        <w:rPr>
          <w:rFonts w:cs="Times New Roman"/>
          <w:b/>
          <w:i/>
          <w:szCs w:val="24"/>
        </w:rPr>
        <w:t>2100</w:t>
      </w:r>
      <w:r w:rsidRPr="00117449">
        <w:rPr>
          <w:rFonts w:cs="Times New Roman"/>
          <w:b/>
          <w:i/>
          <w:szCs w:val="24"/>
        </w:rPr>
        <w:t xml:space="preserve"> approach to long-term Vision: </w:t>
      </w:r>
      <w:r w:rsidRPr="00117449">
        <w:rPr>
          <w:rFonts w:cs="Times New Roman"/>
          <w:szCs w:val="24"/>
        </w:rPr>
        <w:t>The BDP</w:t>
      </w:r>
      <w:r>
        <w:rPr>
          <w:rFonts w:cs="Times New Roman"/>
          <w:szCs w:val="24"/>
        </w:rPr>
        <w:t>2100</w:t>
      </w:r>
      <w:r w:rsidRPr="00117449">
        <w:rPr>
          <w:rFonts w:cs="Times New Roman"/>
          <w:szCs w:val="24"/>
        </w:rPr>
        <w:t xml:space="preserve"> approach is to first develop a broad-based long-term vision about the evolution of the Bangladesh Delta by the end of the 21st Century.  Thus, an integrated, comprehensive and long term delta vision might be formulated as:</w:t>
      </w:r>
    </w:p>
    <w:p w:rsidR="007A2DAA" w:rsidRPr="00002B2E" w:rsidRDefault="007A2DAA" w:rsidP="002C2541">
      <w:pPr>
        <w:spacing w:line="276" w:lineRule="auto"/>
        <w:jc w:val="both"/>
        <w:rPr>
          <w:rFonts w:cs="Times New Roman"/>
          <w:i/>
          <w:szCs w:val="24"/>
        </w:rPr>
      </w:pPr>
      <w:r w:rsidRPr="00117449">
        <w:rPr>
          <w:rFonts w:cs="Times New Roman"/>
          <w:b/>
          <w:i/>
          <w:szCs w:val="24"/>
        </w:rPr>
        <w:t>“</w:t>
      </w:r>
      <w:r w:rsidRPr="00002B2E">
        <w:rPr>
          <w:rFonts w:cs="Times New Roman"/>
          <w:i/>
          <w:szCs w:val="24"/>
        </w:rPr>
        <w:t>Ensure long term water and food security, economic growth and environmental sustainability while effectively coping with natural disasters, climate change and other delta issues through robust, adaptive and integrated strategies, and equitable water governance.”</w:t>
      </w:r>
    </w:p>
    <w:p w:rsidR="007A2DAA" w:rsidRPr="00117449" w:rsidRDefault="007A2DAA" w:rsidP="002C2541">
      <w:pPr>
        <w:pStyle w:val="ListParagraph"/>
        <w:spacing w:line="276" w:lineRule="auto"/>
        <w:ind w:left="0"/>
        <w:contextualSpacing w:val="0"/>
        <w:jc w:val="both"/>
        <w:rPr>
          <w:rFonts w:cs="Times New Roman"/>
          <w:szCs w:val="24"/>
        </w:rPr>
      </w:pPr>
      <w:r w:rsidRPr="00117449">
        <w:rPr>
          <w:rFonts w:cs="Times New Roman"/>
          <w:b/>
          <w:i/>
          <w:szCs w:val="24"/>
        </w:rPr>
        <w:lastRenderedPageBreak/>
        <w:t>BDP</w:t>
      </w:r>
      <w:r>
        <w:rPr>
          <w:rFonts w:cs="Times New Roman"/>
          <w:b/>
          <w:i/>
          <w:szCs w:val="24"/>
        </w:rPr>
        <w:t>2100</w:t>
      </w:r>
      <w:r w:rsidRPr="00117449">
        <w:rPr>
          <w:rFonts w:cs="Times New Roman"/>
          <w:b/>
          <w:i/>
          <w:szCs w:val="24"/>
        </w:rPr>
        <w:t xml:space="preserve"> approach to long-term goals:</w:t>
      </w:r>
      <w:r w:rsidRPr="00117449">
        <w:rPr>
          <w:rFonts w:cs="Times New Roman"/>
          <w:szCs w:val="24"/>
        </w:rPr>
        <w:t xml:space="preserve"> </w:t>
      </w:r>
      <w:r w:rsidR="00733DCF" w:rsidRPr="00117449">
        <w:rPr>
          <w:rFonts w:cs="Times New Roman"/>
          <w:szCs w:val="24"/>
        </w:rPr>
        <w:t xml:space="preserve">This long-term Vision needs to be translated into specific goals or targets for implementing the Delta Vision. This is best done by combining long-term development outcomes in terms of economic growth and poverty reduction with targets for reducing long-term vulnerability from water and climate change related hazards plus targets for environmental protection. </w:t>
      </w:r>
      <w:r w:rsidRPr="00117449">
        <w:rPr>
          <w:rFonts w:cs="Times New Roman"/>
          <w:szCs w:val="24"/>
        </w:rPr>
        <w:t>The BDP</w:t>
      </w:r>
      <w:r>
        <w:rPr>
          <w:rFonts w:cs="Times New Roman"/>
          <w:szCs w:val="24"/>
        </w:rPr>
        <w:t>2100</w:t>
      </w:r>
      <w:r w:rsidRPr="00117449">
        <w:rPr>
          <w:rFonts w:cs="Times New Roman"/>
          <w:szCs w:val="24"/>
        </w:rPr>
        <w:t xml:space="preserve"> proposes 2 higher level national goals set by the National Plans and 6 </w:t>
      </w:r>
      <w:r w:rsidR="007A1904">
        <w:rPr>
          <w:rFonts w:cs="Times New Roman"/>
          <w:szCs w:val="24"/>
        </w:rPr>
        <w:t xml:space="preserve">water, ecology and land use </w:t>
      </w:r>
      <w:r w:rsidRPr="00117449">
        <w:rPr>
          <w:rFonts w:cs="Times New Roman"/>
          <w:szCs w:val="24"/>
        </w:rPr>
        <w:t>s</w:t>
      </w:r>
      <w:r>
        <w:rPr>
          <w:rFonts w:cs="Times New Roman"/>
          <w:szCs w:val="24"/>
        </w:rPr>
        <w:t xml:space="preserve">pecific goals </w:t>
      </w:r>
      <w:r w:rsidRPr="00117449">
        <w:rPr>
          <w:rFonts w:cs="Times New Roman"/>
          <w:szCs w:val="24"/>
        </w:rPr>
        <w:t xml:space="preserve">that contribute to these higher level goals.   </w:t>
      </w:r>
    </w:p>
    <w:p w:rsidR="007A2DAA" w:rsidRPr="00117449" w:rsidRDefault="007A2DAA" w:rsidP="002C2541">
      <w:pPr>
        <w:spacing w:line="276" w:lineRule="auto"/>
        <w:jc w:val="both"/>
        <w:rPr>
          <w:rFonts w:cs="Times New Roman"/>
          <w:b/>
          <w:i/>
          <w:szCs w:val="24"/>
        </w:rPr>
      </w:pPr>
      <w:r w:rsidRPr="00117449">
        <w:rPr>
          <w:rFonts w:cs="Times New Roman"/>
          <w:b/>
          <w:i/>
          <w:szCs w:val="24"/>
        </w:rPr>
        <w:t xml:space="preserve">Higher level goals:  </w:t>
      </w:r>
      <w:r w:rsidRPr="00117449">
        <w:rPr>
          <w:rFonts w:cs="Times New Roman"/>
          <w:szCs w:val="24"/>
        </w:rPr>
        <w:t xml:space="preserve">Goal 1: Eliminate extreme poverty by </w:t>
      </w:r>
      <w:r w:rsidR="00733DCF">
        <w:rPr>
          <w:rFonts w:cs="Times New Roman"/>
          <w:szCs w:val="24"/>
        </w:rPr>
        <w:t>FY2031</w:t>
      </w:r>
      <w:r w:rsidRPr="00117449">
        <w:rPr>
          <w:rFonts w:cs="Times New Roman"/>
          <w:szCs w:val="24"/>
        </w:rPr>
        <w:t>; Goal 2: Achieve up</w:t>
      </w:r>
      <w:r w:rsidR="00733DCF">
        <w:rPr>
          <w:rFonts w:cs="Times New Roman"/>
          <w:szCs w:val="24"/>
        </w:rPr>
        <w:t>per middle income status by 2031</w:t>
      </w:r>
      <w:r w:rsidRPr="00117449">
        <w:rPr>
          <w:rFonts w:cs="Times New Roman"/>
          <w:szCs w:val="24"/>
        </w:rPr>
        <w:t xml:space="preserve">. </w:t>
      </w:r>
    </w:p>
    <w:p w:rsidR="007A2DAA" w:rsidRPr="00117449" w:rsidRDefault="007A2DAA" w:rsidP="002C2541">
      <w:pPr>
        <w:spacing w:line="276" w:lineRule="auto"/>
        <w:jc w:val="both"/>
        <w:rPr>
          <w:rFonts w:cs="Times New Roman"/>
          <w:b/>
          <w:i/>
          <w:szCs w:val="24"/>
        </w:rPr>
      </w:pPr>
      <w:r>
        <w:rPr>
          <w:rFonts w:cs="Times New Roman"/>
          <w:b/>
          <w:i/>
          <w:szCs w:val="24"/>
        </w:rPr>
        <w:t>BDP2100</w:t>
      </w:r>
      <w:r w:rsidRPr="00117449">
        <w:rPr>
          <w:rFonts w:cs="Times New Roman"/>
          <w:b/>
          <w:i/>
          <w:szCs w:val="24"/>
        </w:rPr>
        <w:t xml:space="preserve"> specific goals: </w:t>
      </w:r>
      <w:r w:rsidRPr="00117449">
        <w:rPr>
          <w:rFonts w:cs="Times New Roman"/>
          <w:szCs w:val="24"/>
        </w:rPr>
        <w:t>Goal 1: Ensure safety from floods and climate change related disasters; Goal 2: Enhance water security and efficiency of water usages; Goal 3: Ensure sustainable and integrated river systems and estuaries management; Goal 4: Conserve and preserve wetlands and ecosystems and promote their wise use; Goal 5: Develop effective institutions and equitable governance for in-country and trans-boundary water resources management; Goal 6: Achieve optimal and integrated use of land and water resources.</w:t>
      </w:r>
    </w:p>
    <w:p w:rsidR="007A2DAA" w:rsidRPr="00117449" w:rsidRDefault="007A2DAA" w:rsidP="002C2541">
      <w:pPr>
        <w:pStyle w:val="ListParagraph"/>
        <w:spacing w:line="276" w:lineRule="auto"/>
        <w:ind w:left="0"/>
        <w:contextualSpacing w:val="0"/>
        <w:jc w:val="both"/>
        <w:rPr>
          <w:rFonts w:cs="Times New Roman"/>
          <w:szCs w:val="24"/>
        </w:rPr>
      </w:pPr>
      <w:r w:rsidRPr="00117449">
        <w:rPr>
          <w:rFonts w:cs="Times New Roman"/>
          <w:b/>
          <w:i/>
          <w:szCs w:val="24"/>
        </w:rPr>
        <w:t>BDP2100 approach to managing uncertainties and linking short-to-medium term to long-term outcomes:</w:t>
      </w:r>
      <w:r w:rsidRPr="00117449">
        <w:rPr>
          <w:rFonts w:cs="Times New Roman"/>
          <w:szCs w:val="24"/>
        </w:rPr>
        <w:t xml:space="preserve"> Given the inherent uncertainties of the long-term behavior of the natural forces that influence water, climate change and environmental outturns, it is essential to adopt a flexible and adaptive approach to converting the long-term Delta Vision </w:t>
      </w:r>
      <w:r>
        <w:rPr>
          <w:rFonts w:cs="Times New Roman"/>
          <w:szCs w:val="24"/>
        </w:rPr>
        <w:t xml:space="preserve">2100 </w:t>
      </w:r>
      <w:r w:rsidRPr="00117449">
        <w:rPr>
          <w:rFonts w:cs="Times New Roman"/>
          <w:szCs w:val="24"/>
        </w:rPr>
        <w:t>to medium-term strategies for movin</w:t>
      </w:r>
      <w:r>
        <w:rPr>
          <w:rFonts w:cs="Times New Roman"/>
          <w:szCs w:val="24"/>
        </w:rPr>
        <w:t xml:space="preserve">g towards this vision.   BDP2100 </w:t>
      </w:r>
      <w:r w:rsidRPr="00117449">
        <w:rPr>
          <w:rFonts w:cs="Times New Roman"/>
          <w:szCs w:val="24"/>
        </w:rPr>
        <w:t>use</w:t>
      </w:r>
      <w:r>
        <w:rPr>
          <w:rFonts w:cs="Times New Roman"/>
          <w:szCs w:val="24"/>
        </w:rPr>
        <w:t>s</w:t>
      </w:r>
      <w:r w:rsidRPr="00117449">
        <w:rPr>
          <w:rFonts w:cs="Times New Roman"/>
          <w:szCs w:val="24"/>
        </w:rPr>
        <w:t xml:space="preserve"> the best available information and develop</w:t>
      </w:r>
      <w:r>
        <w:rPr>
          <w:rFonts w:cs="Times New Roman"/>
          <w:szCs w:val="24"/>
        </w:rPr>
        <w:t>s</w:t>
      </w:r>
      <w:r w:rsidRPr="00117449">
        <w:rPr>
          <w:rFonts w:cs="Times New Roman"/>
          <w:szCs w:val="24"/>
        </w:rPr>
        <w:t xml:space="preserve"> short-to-medium term strategies and policy o</w:t>
      </w:r>
      <w:r>
        <w:rPr>
          <w:rFonts w:cs="Times New Roman"/>
          <w:szCs w:val="24"/>
        </w:rPr>
        <w:t>ptions under different assumptions</w:t>
      </w:r>
      <w:r w:rsidRPr="00117449">
        <w:rPr>
          <w:rFonts w:cs="Times New Roman"/>
          <w:szCs w:val="24"/>
        </w:rPr>
        <w:t xml:space="preserve"> about the external outcomes. The scenarios and strategies will need to update frequently as new information is available on a 5-year cycle. This adaptive approach to delta planning including selection of</w:t>
      </w:r>
      <w:r>
        <w:rPr>
          <w:rFonts w:cs="Times New Roman"/>
          <w:szCs w:val="24"/>
        </w:rPr>
        <w:t xml:space="preserve"> investment projects provides the </w:t>
      </w:r>
      <w:r w:rsidRPr="00117449">
        <w:rPr>
          <w:rFonts w:cs="Times New Roman"/>
          <w:szCs w:val="24"/>
        </w:rPr>
        <w:t>link between the short-to-medium-term development targets and investment programmes with the long-term goals of sustained development based on climate sensitive management.</w:t>
      </w:r>
      <w:r w:rsidR="00BE031E">
        <w:rPr>
          <w:rFonts w:cs="Times New Roman"/>
          <w:szCs w:val="24"/>
        </w:rPr>
        <w:t xml:space="preserve"> This also underscores the importance of establishing a Delta Knowledge bank and doing sound monitoring and evaluation to assess delta progress and shortcomings.</w:t>
      </w:r>
      <w:r w:rsidRPr="00117449">
        <w:rPr>
          <w:rFonts w:cs="Times New Roman"/>
          <w:szCs w:val="24"/>
        </w:rPr>
        <w:t xml:space="preserve">   </w:t>
      </w:r>
    </w:p>
    <w:p w:rsidR="009E1CD0" w:rsidRPr="009E1CD0" w:rsidRDefault="009E1CD0" w:rsidP="002C2541">
      <w:pPr>
        <w:spacing w:line="276" w:lineRule="auto"/>
        <w:jc w:val="both"/>
        <w:rPr>
          <w:rFonts w:cs="Times New Roman"/>
          <w:b/>
          <w:szCs w:val="24"/>
        </w:rPr>
      </w:pPr>
      <w:r w:rsidRPr="009E1CD0">
        <w:rPr>
          <w:rFonts w:cs="Times New Roman"/>
          <w:b/>
          <w:szCs w:val="24"/>
        </w:rPr>
        <w:t>BDP2100 Macroeconomic Strategy</w:t>
      </w:r>
    </w:p>
    <w:p w:rsidR="00760E4F" w:rsidRDefault="00760E4F" w:rsidP="002C2541">
      <w:pPr>
        <w:spacing w:line="276" w:lineRule="auto"/>
        <w:jc w:val="both"/>
        <w:rPr>
          <w:rFonts w:cs="Times New Roman"/>
          <w:szCs w:val="24"/>
        </w:rPr>
      </w:pPr>
      <w:r>
        <w:rPr>
          <w:rFonts w:cs="Times New Roman"/>
          <w:szCs w:val="24"/>
        </w:rPr>
        <w:t xml:space="preserve">To evaluate the impact of climate change and natural hazards on development outcomes the BDP2100 develops a quantitative macroeconomic framework </w:t>
      </w:r>
      <w:r w:rsidRPr="00117449">
        <w:rPr>
          <w:rFonts w:cs="Times New Roman"/>
          <w:szCs w:val="24"/>
        </w:rPr>
        <w:t>by linking the real side (i.e. economic variables) to the environment or climate change parameters.</w:t>
      </w:r>
      <w:r>
        <w:rPr>
          <w:rFonts w:cs="Times New Roman"/>
          <w:szCs w:val="24"/>
        </w:rPr>
        <w:t xml:space="preserve"> Two Scenarios are developed:  Scenario 1 asks the question what happens to development outcomes if there is no Delta Plan; this is the Business as Usual Scenario.  Scenario 2 develops the macroeconomic outcomes if the </w:t>
      </w:r>
      <w:r w:rsidR="00F57172">
        <w:rPr>
          <w:rFonts w:cs="Times New Roman"/>
          <w:szCs w:val="24"/>
        </w:rPr>
        <w:t>Delta</w:t>
      </w:r>
      <w:r>
        <w:rPr>
          <w:rFonts w:cs="Times New Roman"/>
          <w:szCs w:val="24"/>
        </w:rPr>
        <w:t xml:space="preserve"> Plan is adopted. </w:t>
      </w:r>
    </w:p>
    <w:p w:rsidR="00284AD1" w:rsidRDefault="00760E4F" w:rsidP="002C2541">
      <w:pPr>
        <w:spacing w:line="276" w:lineRule="auto"/>
        <w:jc w:val="both"/>
        <w:rPr>
          <w:rFonts w:cs="Times New Roman"/>
          <w:szCs w:val="24"/>
        </w:rPr>
      </w:pPr>
      <w:r>
        <w:rPr>
          <w:rFonts w:cs="Times New Roman"/>
          <w:szCs w:val="24"/>
        </w:rPr>
        <w:t xml:space="preserve">The results are very striking. Under the Business as Usual Scenario, the GDP growth rate starts falling over time as the adverse effects of climate change and natural hazards gain momentum. </w:t>
      </w:r>
      <w:r>
        <w:rPr>
          <w:rFonts w:cs="Times New Roman"/>
          <w:szCs w:val="24"/>
        </w:rPr>
        <w:lastRenderedPageBreak/>
        <w:t xml:space="preserve">The efficiency of capital falls. Outmigration to cities from vulnerable districts increases, adding to the urbanization pressures.  Agriculture productivity falls. Land degradation and lower land productivity reduce land availability and increase land prices. Availability of urban land falls in relation to demand as growing urbanization from outmigration creates additional pressure on urban land.  Cost of urban production increases as flooding and drainage problems damage urban properties and enterprises and create infrastructure </w:t>
      </w:r>
      <w:r w:rsidR="00F57172">
        <w:rPr>
          <w:rFonts w:cs="Times New Roman"/>
          <w:szCs w:val="24"/>
        </w:rPr>
        <w:t>problems</w:t>
      </w:r>
      <w:r>
        <w:rPr>
          <w:rFonts w:cs="Times New Roman"/>
          <w:szCs w:val="24"/>
        </w:rPr>
        <w:t xml:space="preserve">. Urban water shortages, water quality and sanitation risks add to health costs and reduce quality of life.  The net effect is </w:t>
      </w:r>
      <w:r w:rsidR="00721AE2">
        <w:rPr>
          <w:rFonts w:cs="Times New Roman"/>
          <w:szCs w:val="24"/>
        </w:rPr>
        <w:t>a downward slide in the growth effort.  GDP growth falls from 7.2% in FY 2017</w:t>
      </w:r>
      <w:r w:rsidR="00A90B52">
        <w:rPr>
          <w:rFonts w:cs="Times New Roman"/>
          <w:szCs w:val="24"/>
        </w:rPr>
        <w:t xml:space="preserve"> to 5.6</w:t>
      </w:r>
      <w:r w:rsidR="00721AE2">
        <w:rPr>
          <w:rFonts w:cs="Times New Roman"/>
          <w:szCs w:val="24"/>
        </w:rPr>
        <w:t xml:space="preserve">% by FY2041, which amounts to </w:t>
      </w:r>
      <w:r>
        <w:rPr>
          <w:rFonts w:cs="Times New Roman"/>
          <w:szCs w:val="24"/>
        </w:rPr>
        <w:t>an annu</w:t>
      </w:r>
      <w:r w:rsidR="00CA5CA8">
        <w:rPr>
          <w:rFonts w:cs="Times New Roman"/>
          <w:szCs w:val="24"/>
        </w:rPr>
        <w:t>al average GDP loss of about 1.3</w:t>
      </w:r>
      <w:r>
        <w:rPr>
          <w:rFonts w:cs="Times New Roman"/>
          <w:szCs w:val="24"/>
        </w:rPr>
        <w:t>% between FY2017-FY2041</w:t>
      </w:r>
      <w:r w:rsidR="00CA5CA8">
        <w:rPr>
          <w:rFonts w:cs="Times New Roman"/>
          <w:szCs w:val="24"/>
        </w:rPr>
        <w:t xml:space="preserve"> as compared with the government’s target of achieving 8% of GDP</w:t>
      </w:r>
      <w:r>
        <w:rPr>
          <w:rFonts w:cs="Times New Roman"/>
          <w:szCs w:val="24"/>
        </w:rPr>
        <w:t xml:space="preserve">.  Most importantly, in this Scenario Bangladesh is unable to reach upper middle income status and eliminate extreme poverty by FY2031.   </w:t>
      </w:r>
      <w:r w:rsidR="00147C31">
        <w:rPr>
          <w:rFonts w:cs="Times New Roman"/>
          <w:szCs w:val="24"/>
        </w:rPr>
        <w:t>In contrast to this, Under Scenario 2 that incorporates the adoption of the Delta Plan the negative effects of climate change and natural hazards are considerably reduced.  This allows the Bangladesh economy to avoid a disruption of the growth effort and secure a</w:t>
      </w:r>
      <w:r w:rsidR="00CA5CA8">
        <w:rPr>
          <w:rFonts w:cs="Times New Roman"/>
          <w:szCs w:val="24"/>
        </w:rPr>
        <w:t>n</w:t>
      </w:r>
      <w:r w:rsidR="00147C31">
        <w:rPr>
          <w:rFonts w:cs="Times New Roman"/>
          <w:szCs w:val="24"/>
        </w:rPr>
        <w:t xml:space="preserve"> average GDP growth rate of about 8</w:t>
      </w:r>
      <w:r w:rsidR="006C4C04">
        <w:rPr>
          <w:rFonts w:cs="Times New Roman"/>
          <w:szCs w:val="24"/>
        </w:rPr>
        <w:t>% as compared with 6.7</w:t>
      </w:r>
      <w:r w:rsidR="00147C31">
        <w:rPr>
          <w:rFonts w:cs="Times New Roman"/>
          <w:szCs w:val="24"/>
        </w:rPr>
        <w:t xml:space="preserve">% in the First Scenario.  Bangladesh secures the development objectives of eliminating extreme poverty and reaching upper middle income status by FY2031.  </w:t>
      </w:r>
    </w:p>
    <w:p w:rsidR="00284AD1" w:rsidRPr="00117449" w:rsidRDefault="00002B2E" w:rsidP="002C2541">
      <w:pPr>
        <w:spacing w:line="276" w:lineRule="auto"/>
        <w:jc w:val="both"/>
        <w:rPr>
          <w:rFonts w:cs="Times New Roman"/>
          <w:szCs w:val="24"/>
        </w:rPr>
      </w:pPr>
      <w:r w:rsidRPr="00002B2E">
        <w:rPr>
          <w:rFonts w:cs="Times New Roman"/>
          <w:b/>
          <w:i/>
          <w:szCs w:val="24"/>
        </w:rPr>
        <w:t>Delta plan financing needs:</w:t>
      </w:r>
      <w:r>
        <w:rPr>
          <w:rFonts w:cs="Times New Roman"/>
          <w:szCs w:val="24"/>
        </w:rPr>
        <w:t xml:space="preserve"> </w:t>
      </w:r>
      <w:r w:rsidR="00284AD1" w:rsidRPr="00117449">
        <w:rPr>
          <w:rFonts w:cs="Times New Roman"/>
          <w:szCs w:val="24"/>
        </w:rPr>
        <w:t>The implementation of the Delta Plan involves total spending on delta-related interventions, through new projects and maintenance of new and old projects, in an amount of about 2.5% of GDP per annum.  This compares with an annual spending of a mere 0.8% of GDP presently. In current prices and using the prevailing GDP, total required spending on delta plan related projects</w:t>
      </w:r>
      <w:r w:rsidR="00F45958">
        <w:rPr>
          <w:rFonts w:cs="Times New Roman"/>
          <w:szCs w:val="24"/>
        </w:rPr>
        <w:t xml:space="preserve"> (current and capital)</w:t>
      </w:r>
      <w:r w:rsidR="00284AD1" w:rsidRPr="00117449">
        <w:rPr>
          <w:rFonts w:cs="Times New Roman"/>
          <w:szCs w:val="24"/>
        </w:rPr>
        <w:t xml:space="preserve"> would need to grow from the pre-Delta </w:t>
      </w:r>
      <w:r w:rsidR="00CA5CA8">
        <w:rPr>
          <w:rFonts w:cs="Times New Roman"/>
          <w:szCs w:val="24"/>
        </w:rPr>
        <w:t xml:space="preserve">Plan spending levels of about USD </w:t>
      </w:r>
      <w:r w:rsidR="00284AD1" w:rsidRPr="00117449">
        <w:rPr>
          <w:rFonts w:cs="Times New Roman"/>
          <w:szCs w:val="24"/>
        </w:rPr>
        <w:t>1.8 billion in FY</w:t>
      </w:r>
      <w:r w:rsidR="00F45958">
        <w:rPr>
          <w:rFonts w:cs="Times New Roman"/>
          <w:szCs w:val="24"/>
        </w:rPr>
        <w:t>20</w:t>
      </w:r>
      <w:r w:rsidR="00CA5CA8">
        <w:rPr>
          <w:rFonts w:cs="Times New Roman"/>
          <w:szCs w:val="24"/>
        </w:rPr>
        <w:t>16 to about USD</w:t>
      </w:r>
      <w:r w:rsidR="00284AD1" w:rsidRPr="00117449">
        <w:rPr>
          <w:rFonts w:cs="Times New Roman"/>
          <w:szCs w:val="24"/>
        </w:rPr>
        <w:t>3.5 billion in FY</w:t>
      </w:r>
      <w:r w:rsidR="00F45958">
        <w:rPr>
          <w:rFonts w:cs="Times New Roman"/>
          <w:szCs w:val="24"/>
        </w:rPr>
        <w:t>20</w:t>
      </w:r>
      <w:r w:rsidR="00284AD1" w:rsidRPr="00117449">
        <w:rPr>
          <w:rFonts w:cs="Times New Roman"/>
          <w:szCs w:val="24"/>
        </w:rPr>
        <w:t>17 and will incr</w:t>
      </w:r>
      <w:r w:rsidR="00CA5CA8">
        <w:rPr>
          <w:rFonts w:cs="Times New Roman"/>
          <w:szCs w:val="24"/>
        </w:rPr>
        <w:t xml:space="preserve">ease to USD </w:t>
      </w:r>
      <w:r w:rsidR="00F45958">
        <w:rPr>
          <w:rFonts w:cs="Times New Roman"/>
          <w:szCs w:val="24"/>
        </w:rPr>
        <w:t>29.6 billion by FY2031</w:t>
      </w:r>
      <w:r w:rsidR="00284AD1" w:rsidRPr="00117449">
        <w:rPr>
          <w:rFonts w:cs="Times New Roman"/>
          <w:szCs w:val="24"/>
        </w:rPr>
        <w:t xml:space="preserve">.  </w:t>
      </w:r>
      <w:r w:rsidR="00F45958">
        <w:rPr>
          <w:rFonts w:cs="Times New Roman"/>
          <w:szCs w:val="24"/>
        </w:rPr>
        <w:t xml:space="preserve">The additional investment and operations and maintenance (O&amp;M) costs for implementing the Delta Plan of about 1.7% of GDP per year, comprising of 1.2% from the Budget and 0.5% from private sector, more than pays for itself in terms of recovery of GDP growth.       </w:t>
      </w:r>
    </w:p>
    <w:p w:rsidR="00284AD1" w:rsidRDefault="00573016" w:rsidP="002C2541">
      <w:pPr>
        <w:spacing w:line="276" w:lineRule="auto"/>
        <w:jc w:val="both"/>
        <w:rPr>
          <w:rFonts w:cstheme="minorHAnsi"/>
          <w:szCs w:val="24"/>
        </w:rPr>
      </w:pPr>
      <w:r>
        <w:rPr>
          <w:rFonts w:cstheme="minorHAnsi"/>
          <w:b/>
          <w:i/>
          <w:szCs w:val="24"/>
        </w:rPr>
        <w:t>Public</w:t>
      </w:r>
      <w:r w:rsidR="00002B2E" w:rsidRPr="00002B2E">
        <w:rPr>
          <w:rFonts w:cstheme="minorHAnsi"/>
          <w:b/>
          <w:i/>
          <w:szCs w:val="24"/>
        </w:rPr>
        <w:t xml:space="preserve"> sector financing:</w:t>
      </w:r>
      <w:r w:rsidR="00002B2E">
        <w:rPr>
          <w:rFonts w:cstheme="minorHAnsi"/>
          <w:szCs w:val="24"/>
        </w:rPr>
        <w:t xml:space="preserve"> </w:t>
      </w:r>
      <w:r w:rsidR="00F45958">
        <w:rPr>
          <w:rFonts w:cstheme="minorHAnsi"/>
          <w:szCs w:val="24"/>
        </w:rPr>
        <w:t>Finding an</w:t>
      </w:r>
      <w:r w:rsidR="00284AD1" w:rsidRPr="00117449">
        <w:rPr>
          <w:rFonts w:cstheme="minorHAnsi"/>
          <w:szCs w:val="24"/>
        </w:rPr>
        <w:t xml:space="preserve"> additional 1.2% of GDP for </w:t>
      </w:r>
      <w:r>
        <w:rPr>
          <w:rFonts w:cstheme="minorHAnsi"/>
          <w:szCs w:val="24"/>
        </w:rPr>
        <w:t>public</w:t>
      </w:r>
      <w:r w:rsidR="00284AD1" w:rsidRPr="00117449">
        <w:rPr>
          <w:rFonts w:cstheme="minorHAnsi"/>
          <w:szCs w:val="24"/>
        </w:rPr>
        <w:t xml:space="preserve"> financing of the Delta Plan will not be easy.  Th</w:t>
      </w:r>
      <w:r w:rsidR="00F45958">
        <w:rPr>
          <w:rFonts w:cstheme="minorHAnsi"/>
          <w:szCs w:val="24"/>
        </w:rPr>
        <w:t xml:space="preserve">e strategy for </w:t>
      </w:r>
      <w:r>
        <w:rPr>
          <w:rFonts w:cstheme="minorHAnsi"/>
          <w:szCs w:val="24"/>
        </w:rPr>
        <w:t>public</w:t>
      </w:r>
      <w:r w:rsidR="00F45958">
        <w:rPr>
          <w:rFonts w:cstheme="minorHAnsi"/>
          <w:szCs w:val="24"/>
        </w:rPr>
        <w:t xml:space="preserve"> funding involves</w:t>
      </w:r>
      <w:r w:rsidR="00284AD1" w:rsidRPr="00117449">
        <w:rPr>
          <w:rFonts w:cstheme="minorHAnsi"/>
          <w:szCs w:val="24"/>
        </w:rPr>
        <w:t xml:space="preserve"> so</w:t>
      </w:r>
      <w:r w:rsidR="00002B2E">
        <w:rPr>
          <w:rFonts w:cstheme="minorHAnsi"/>
          <w:szCs w:val="24"/>
        </w:rPr>
        <w:t>me combination of tax financing,</w:t>
      </w:r>
      <w:r w:rsidR="00284AD1" w:rsidRPr="00117449">
        <w:rPr>
          <w:rFonts w:cstheme="minorHAnsi"/>
          <w:szCs w:val="24"/>
        </w:rPr>
        <w:t xml:space="preserve"> application of cost recovery based on beneficiary pays principle and mobilizing foreign funding including tapping into the global Green Climate Fund (GCC) initiative. Good practice international expe</w:t>
      </w:r>
      <w:r w:rsidR="00A90B52">
        <w:rPr>
          <w:rFonts w:cstheme="minorHAnsi"/>
          <w:szCs w:val="24"/>
        </w:rPr>
        <w:t>rience with Delta management</w:t>
      </w:r>
      <w:r w:rsidR="00284AD1" w:rsidRPr="00117449">
        <w:rPr>
          <w:rFonts w:cstheme="minorHAnsi"/>
          <w:szCs w:val="24"/>
        </w:rPr>
        <w:t xml:space="preserve"> shows the strong role of the application of the beneficiary pays principle in financing water investments.  </w:t>
      </w:r>
      <w:r w:rsidR="00F45958">
        <w:rPr>
          <w:rFonts w:cstheme="minorHAnsi"/>
          <w:szCs w:val="24"/>
        </w:rPr>
        <w:t>For example, i</w:t>
      </w:r>
      <w:r w:rsidR="00284AD1" w:rsidRPr="00117449">
        <w:rPr>
          <w:rFonts w:cstheme="minorHAnsi"/>
          <w:szCs w:val="24"/>
        </w:rPr>
        <w:t>n the Dutch Delta much of the funding of flood control, irrigation, water supply, sanitation and waste management investments is financed through the application of the beneficiary pays principle. The O&amp;M is fully funded through cost recovery.  In the Netherlands, water management is heavily decentralized.  Some 80% of water spending including 100% of O&amp;M is done by lower levels of government.  The bulk of this spending i</w:t>
      </w:r>
      <w:r w:rsidR="00F45958">
        <w:rPr>
          <w:rFonts w:cstheme="minorHAnsi"/>
          <w:szCs w:val="24"/>
        </w:rPr>
        <w:t>s done by the local water authorities</w:t>
      </w:r>
      <w:r w:rsidR="00284AD1" w:rsidRPr="00117449">
        <w:rPr>
          <w:rFonts w:cstheme="minorHAnsi"/>
          <w:szCs w:val="24"/>
        </w:rPr>
        <w:t xml:space="preserve"> that are </w:t>
      </w:r>
      <w:r w:rsidR="00284AD1" w:rsidRPr="00117449">
        <w:rPr>
          <w:rFonts w:cstheme="minorHAnsi"/>
          <w:szCs w:val="24"/>
        </w:rPr>
        <w:lastRenderedPageBreak/>
        <w:t>managed and run as private cooperative enterprises with 100% application of the beneficiary pays principle, with some degree of cross-subsidies to the</w:t>
      </w:r>
      <w:r w:rsidR="00284AD1">
        <w:rPr>
          <w:rFonts w:cstheme="minorHAnsi"/>
          <w:szCs w:val="24"/>
        </w:rPr>
        <w:t xml:space="preserve"> recognize poorer communities. </w:t>
      </w:r>
    </w:p>
    <w:p w:rsidR="00284AD1" w:rsidRPr="00117449" w:rsidRDefault="00002B2E" w:rsidP="002C2541">
      <w:pPr>
        <w:spacing w:line="276" w:lineRule="auto"/>
        <w:jc w:val="both"/>
        <w:rPr>
          <w:rFonts w:cstheme="minorHAnsi"/>
          <w:szCs w:val="24"/>
        </w:rPr>
      </w:pPr>
      <w:r w:rsidRPr="00002B2E">
        <w:rPr>
          <w:rFonts w:cstheme="minorHAnsi"/>
          <w:b/>
          <w:i/>
          <w:szCs w:val="24"/>
        </w:rPr>
        <w:t xml:space="preserve">Beneficiary pays principle: </w:t>
      </w:r>
      <w:r w:rsidR="00284AD1" w:rsidRPr="00117449">
        <w:rPr>
          <w:rFonts w:cstheme="minorHAnsi"/>
          <w:szCs w:val="24"/>
        </w:rPr>
        <w:t xml:space="preserve">The scope for application of the beneficiary pays principle in Bangladesh Delta management is huge.  In Bangladesh O&amp;M funding of urban water and sanitation is prevalent in significant ways.  But even here, full cost </w:t>
      </w:r>
      <w:r w:rsidR="00F45958">
        <w:rPr>
          <w:rFonts w:cstheme="minorHAnsi"/>
          <w:szCs w:val="24"/>
        </w:rPr>
        <w:t>recovery of O&amp;M does not happen</w:t>
      </w:r>
      <w:r w:rsidR="00284AD1" w:rsidRPr="00117449">
        <w:rPr>
          <w:rFonts w:cstheme="minorHAnsi"/>
          <w:szCs w:val="24"/>
        </w:rPr>
        <w:t>.  Moreover, the cost recovery of O&amp;M of waste management is negligible.  By default, there is no cost recovery of capital cost of urban water supply, sanitation and waste management.  Regarding flood control and irrigation, there is no cost recovery of either capital cost or O&amp;M in Bangladesh. This is mainly because of t</w:t>
      </w:r>
      <w:r w:rsidR="00F45958">
        <w:rPr>
          <w:rFonts w:cstheme="minorHAnsi"/>
          <w:szCs w:val="24"/>
        </w:rPr>
        <w:t>he absence of local water authorities.  Once these local water authorities</w:t>
      </w:r>
      <w:r w:rsidR="00284AD1" w:rsidRPr="00117449">
        <w:rPr>
          <w:rFonts w:cstheme="minorHAnsi"/>
          <w:szCs w:val="24"/>
        </w:rPr>
        <w:t xml:space="preserve"> are created under the proposed Delta </w:t>
      </w:r>
      <w:r w:rsidR="00284AD1">
        <w:rPr>
          <w:rFonts w:cstheme="minorHAnsi"/>
          <w:szCs w:val="24"/>
        </w:rPr>
        <w:t>Act</w:t>
      </w:r>
      <w:r w:rsidR="00284AD1" w:rsidRPr="00117449">
        <w:rPr>
          <w:rFonts w:cstheme="minorHAnsi"/>
          <w:szCs w:val="24"/>
        </w:rPr>
        <w:t xml:space="preserve">, the application of beneficiary pays principle will become a reality.  Regarding urban water and sanitation, the institutions and regulations are in place.  They need to be applied more rigorously. A time bound policy should be adopted whereby all </w:t>
      </w:r>
      <w:r w:rsidR="00573016">
        <w:rPr>
          <w:rFonts w:cstheme="minorHAnsi"/>
          <w:szCs w:val="24"/>
        </w:rPr>
        <w:t>public</w:t>
      </w:r>
      <w:r w:rsidR="00284AD1" w:rsidRPr="00117449">
        <w:rPr>
          <w:rFonts w:cstheme="minorHAnsi"/>
          <w:szCs w:val="24"/>
        </w:rPr>
        <w:t xml:space="preserve"> urban water and sanitation services must be required to cover 100% of the O&amp;M cost.  Over time, consideration may be given to recovering capital costs, starting with the relatively well-off service areas of the 4 WASAs.   Regarding solid waste, cost recovery can happen through an annual service charge linked with the setting up of a modern property tax system. </w:t>
      </w:r>
    </w:p>
    <w:p w:rsidR="004F4E11" w:rsidRPr="0071658A" w:rsidRDefault="00002B2E" w:rsidP="002C2541">
      <w:pPr>
        <w:spacing w:line="276" w:lineRule="auto"/>
        <w:jc w:val="both"/>
        <w:rPr>
          <w:rFonts w:eastAsia="Times New Roman" w:cstheme="minorHAnsi"/>
          <w:color w:val="000000"/>
          <w:szCs w:val="24"/>
        </w:rPr>
      </w:pPr>
      <w:r w:rsidRPr="00002B2E">
        <w:rPr>
          <w:rFonts w:eastAsia="Times New Roman" w:cstheme="minorHAnsi"/>
          <w:b/>
          <w:i/>
          <w:color w:val="000000"/>
          <w:szCs w:val="24"/>
        </w:rPr>
        <w:t>Resources from Green Climate Fund:</w:t>
      </w:r>
      <w:r>
        <w:rPr>
          <w:rFonts w:eastAsia="Times New Roman" w:cstheme="minorHAnsi"/>
          <w:color w:val="000000"/>
          <w:szCs w:val="24"/>
        </w:rPr>
        <w:t xml:space="preserve"> </w:t>
      </w:r>
      <w:r w:rsidR="004F4E11">
        <w:rPr>
          <w:rFonts w:eastAsia="Times New Roman" w:cstheme="minorHAnsi"/>
          <w:color w:val="000000"/>
          <w:szCs w:val="24"/>
        </w:rPr>
        <w:t>Additional international grant financing for Delta Plan can</w:t>
      </w:r>
      <w:r w:rsidR="00F45958">
        <w:rPr>
          <w:rFonts w:eastAsia="Times New Roman" w:cstheme="minorHAnsi"/>
          <w:color w:val="000000"/>
          <w:szCs w:val="24"/>
        </w:rPr>
        <w:t xml:space="preserve"> b</w:t>
      </w:r>
      <w:r w:rsidR="004F4E11">
        <w:rPr>
          <w:rFonts w:eastAsia="Times New Roman" w:cstheme="minorHAnsi"/>
          <w:color w:val="000000"/>
          <w:szCs w:val="24"/>
        </w:rPr>
        <w:t xml:space="preserve">e secured by effectively tapping resources from the global Green Climate Fund (GCF).  </w:t>
      </w:r>
      <w:r w:rsidR="004F4E11" w:rsidRPr="0071658A">
        <w:rPr>
          <w:rFonts w:eastAsia="Times New Roman" w:cstheme="minorHAnsi"/>
          <w:color w:val="000000"/>
          <w:szCs w:val="24"/>
        </w:rPr>
        <w:t xml:space="preserve">Bangladesh has had significant success in using its </w:t>
      </w:r>
      <w:r w:rsidR="00573016">
        <w:rPr>
          <w:rFonts w:eastAsia="Times New Roman" w:cstheme="minorHAnsi"/>
          <w:color w:val="000000"/>
          <w:szCs w:val="24"/>
        </w:rPr>
        <w:t>public</w:t>
      </w:r>
      <w:r w:rsidR="004F4E11" w:rsidRPr="0071658A">
        <w:rPr>
          <w:rFonts w:eastAsia="Times New Roman" w:cstheme="minorHAnsi"/>
          <w:color w:val="000000"/>
          <w:szCs w:val="24"/>
        </w:rPr>
        <w:t xml:space="preserve"> sector intermediaries to incentivize the private sector, particularly in the renewable energy industry. As such, it is well placed to tap this important source of grant funding to scale up delta investments.  While a lot more needs to be done to ensure private enterprises fulfil their crucial role in the fight against climate change, if Bangladesh can pursue her case effectively, there is bright possibility that Bangladesh </w:t>
      </w:r>
      <w:r w:rsidR="004F4E11">
        <w:rPr>
          <w:rFonts w:eastAsia="Times New Roman" w:cstheme="minorHAnsi"/>
          <w:color w:val="000000"/>
          <w:szCs w:val="24"/>
        </w:rPr>
        <w:t>may receive fund as large as</w:t>
      </w:r>
      <w:r w:rsidR="004F4E11" w:rsidRPr="0071658A">
        <w:rPr>
          <w:rFonts w:eastAsia="Times New Roman" w:cstheme="minorHAnsi"/>
          <w:color w:val="000000"/>
          <w:szCs w:val="24"/>
        </w:rPr>
        <w:t xml:space="preserve"> </w:t>
      </w:r>
      <w:r w:rsidR="004F4E11">
        <w:rPr>
          <w:rFonts w:eastAsia="Times New Roman" w:cstheme="minorHAnsi"/>
          <w:color w:val="000000"/>
          <w:szCs w:val="24"/>
        </w:rPr>
        <w:t>$</w:t>
      </w:r>
      <w:r w:rsidR="004F4E11" w:rsidRPr="0071658A">
        <w:rPr>
          <w:rFonts w:eastAsia="Times New Roman" w:cstheme="minorHAnsi"/>
          <w:color w:val="000000"/>
          <w:szCs w:val="24"/>
        </w:rPr>
        <w:t>2 billion per year from the GCF.</w:t>
      </w:r>
    </w:p>
    <w:p w:rsidR="0053026D" w:rsidRPr="00A90B52" w:rsidRDefault="00002B2E" w:rsidP="002C2541">
      <w:pPr>
        <w:spacing w:line="276" w:lineRule="auto"/>
        <w:jc w:val="both"/>
        <w:rPr>
          <w:rFonts w:cstheme="minorHAnsi"/>
          <w:spacing w:val="-2"/>
          <w:szCs w:val="24"/>
        </w:rPr>
      </w:pPr>
      <w:r w:rsidRPr="00002B2E">
        <w:rPr>
          <w:rFonts w:cstheme="minorHAnsi"/>
          <w:b/>
          <w:i/>
          <w:szCs w:val="24"/>
        </w:rPr>
        <w:t>Private sector financing:</w:t>
      </w:r>
      <w:r>
        <w:rPr>
          <w:rFonts w:cstheme="minorHAnsi"/>
          <w:szCs w:val="24"/>
        </w:rPr>
        <w:t xml:space="preserve"> </w:t>
      </w:r>
      <w:r w:rsidR="004F4E11" w:rsidRPr="00117449">
        <w:rPr>
          <w:rFonts w:cstheme="minorHAnsi"/>
          <w:szCs w:val="24"/>
        </w:rPr>
        <w:t>Effective engagement of the private sector will generate sizable resources</w:t>
      </w:r>
      <w:r w:rsidR="00F45958">
        <w:rPr>
          <w:rFonts w:cstheme="minorHAnsi"/>
          <w:szCs w:val="24"/>
        </w:rPr>
        <w:t xml:space="preserve"> to finance the Delta Plan</w:t>
      </w:r>
      <w:r w:rsidR="004F4E11" w:rsidRPr="00117449">
        <w:rPr>
          <w:rFonts w:cstheme="minorHAnsi"/>
          <w:szCs w:val="24"/>
        </w:rPr>
        <w:t xml:space="preserve">. The Delta Plan projects that on average Bangladesh should be able to mobilize at least </w:t>
      </w:r>
      <w:r w:rsidR="004F4E11">
        <w:rPr>
          <w:rFonts w:cstheme="minorHAnsi"/>
          <w:szCs w:val="24"/>
        </w:rPr>
        <w:t>0.5% GDP per year for private financing of</w:t>
      </w:r>
      <w:r w:rsidR="004F4E11" w:rsidRPr="00117449">
        <w:rPr>
          <w:rFonts w:cstheme="minorHAnsi"/>
          <w:szCs w:val="24"/>
        </w:rPr>
        <w:t xml:space="preserve"> water and related infrastructure. Good practice international experience shows that the prospects for attracting private investments</w:t>
      </w:r>
      <w:r w:rsidR="00F45958">
        <w:rPr>
          <w:rFonts w:cstheme="minorHAnsi"/>
          <w:szCs w:val="24"/>
        </w:rPr>
        <w:t xml:space="preserve"> including through </w:t>
      </w:r>
      <w:r w:rsidR="00573016">
        <w:rPr>
          <w:rFonts w:cstheme="minorHAnsi"/>
          <w:szCs w:val="24"/>
        </w:rPr>
        <w:t>public</w:t>
      </w:r>
      <w:r w:rsidR="00F45958">
        <w:rPr>
          <w:rFonts w:cstheme="minorHAnsi"/>
          <w:szCs w:val="24"/>
        </w:rPr>
        <w:t>-private-</w:t>
      </w:r>
      <w:r w:rsidR="00F57172">
        <w:rPr>
          <w:rFonts w:cstheme="minorHAnsi"/>
          <w:szCs w:val="24"/>
        </w:rPr>
        <w:t>partnerships</w:t>
      </w:r>
      <w:r w:rsidR="00F45958">
        <w:rPr>
          <w:rFonts w:cstheme="minorHAnsi"/>
          <w:szCs w:val="24"/>
        </w:rPr>
        <w:t xml:space="preserve"> (PPP)</w:t>
      </w:r>
      <w:r w:rsidR="004F4E11" w:rsidRPr="00117449">
        <w:rPr>
          <w:rFonts w:cstheme="minorHAnsi"/>
          <w:szCs w:val="24"/>
        </w:rPr>
        <w:t xml:space="preserve"> in water treatment, water supply and sewage treatment are excellent.  Another prospective area is irrigation.  A third </w:t>
      </w:r>
      <w:r w:rsidR="004F4E11" w:rsidRPr="00117449">
        <w:rPr>
          <w:rFonts w:cstheme="minorHAnsi"/>
          <w:spacing w:val="-1"/>
          <w:szCs w:val="24"/>
        </w:rPr>
        <w:t xml:space="preserve">area is dredging. There </w:t>
      </w:r>
      <w:r w:rsidR="004F4E11" w:rsidRPr="00117449">
        <w:rPr>
          <w:rFonts w:cstheme="minorHAnsi"/>
          <w:szCs w:val="24"/>
        </w:rPr>
        <w:t xml:space="preserve">is </w:t>
      </w:r>
      <w:r w:rsidR="004F4E11" w:rsidRPr="00117449">
        <w:rPr>
          <w:rFonts w:cstheme="minorHAnsi"/>
          <w:spacing w:val="-1"/>
          <w:szCs w:val="24"/>
        </w:rPr>
        <w:t xml:space="preserve">strong private sector interest </w:t>
      </w:r>
      <w:r w:rsidR="004F4E11" w:rsidRPr="00117449">
        <w:rPr>
          <w:rFonts w:cstheme="minorHAnsi"/>
          <w:szCs w:val="24"/>
        </w:rPr>
        <w:t xml:space="preserve">in </w:t>
      </w:r>
      <w:r w:rsidR="004F4E11" w:rsidRPr="00117449">
        <w:rPr>
          <w:rFonts w:cstheme="minorHAnsi"/>
          <w:spacing w:val="-1"/>
          <w:szCs w:val="24"/>
        </w:rPr>
        <w:t xml:space="preserve">undertaking dredging contracts. The cost of dredging may be significantly offset by the sale proceeds from sand, making dredging costs quite low. Bangladesh can learn from good practice international experience in developing the proper contracting arrangements for dredging. A fourth area for PPP role concerns land reclamation. </w:t>
      </w:r>
      <w:r w:rsidR="004F4E11" w:rsidRPr="00117449">
        <w:rPr>
          <w:rFonts w:cstheme="minorHAnsi"/>
          <w:spacing w:val="-2"/>
          <w:szCs w:val="24"/>
        </w:rPr>
        <w:t xml:space="preserve"> Combining land reclamation with dredging of rivers in a PPP concession framework would make very good sense.  Finally, PPP initiative is also possible in establishing river port infrastructure for </w:t>
      </w:r>
      <w:r w:rsidR="00A90B52">
        <w:rPr>
          <w:rFonts w:cstheme="minorHAnsi"/>
          <w:spacing w:val="-2"/>
          <w:szCs w:val="24"/>
        </w:rPr>
        <w:t>inland water transport (</w:t>
      </w:r>
      <w:r w:rsidR="004F4E11" w:rsidRPr="00117449">
        <w:rPr>
          <w:rFonts w:cstheme="minorHAnsi"/>
          <w:spacing w:val="-2"/>
          <w:szCs w:val="24"/>
        </w:rPr>
        <w:t>IWT</w:t>
      </w:r>
      <w:r w:rsidR="00A90B52">
        <w:rPr>
          <w:rFonts w:cstheme="minorHAnsi"/>
          <w:spacing w:val="-2"/>
          <w:szCs w:val="24"/>
        </w:rPr>
        <w:t>)</w:t>
      </w:r>
      <w:r w:rsidR="004F4E11" w:rsidRPr="00117449">
        <w:rPr>
          <w:rFonts w:cstheme="minorHAnsi"/>
          <w:spacing w:val="-2"/>
          <w:szCs w:val="24"/>
        </w:rPr>
        <w:t xml:space="preserve">. </w:t>
      </w:r>
    </w:p>
    <w:p w:rsidR="008804CD" w:rsidRDefault="008804CD" w:rsidP="002C2541">
      <w:pPr>
        <w:spacing w:line="276" w:lineRule="auto"/>
        <w:jc w:val="both"/>
        <w:rPr>
          <w:rFonts w:cstheme="minorHAnsi"/>
          <w:b/>
          <w:szCs w:val="24"/>
        </w:rPr>
      </w:pPr>
    </w:p>
    <w:p w:rsidR="009E1CD0" w:rsidRDefault="009E1CD0" w:rsidP="002C2541">
      <w:pPr>
        <w:spacing w:line="276" w:lineRule="auto"/>
        <w:jc w:val="both"/>
        <w:rPr>
          <w:rFonts w:cstheme="minorHAnsi"/>
          <w:b/>
          <w:szCs w:val="24"/>
        </w:rPr>
      </w:pPr>
      <w:r>
        <w:rPr>
          <w:rFonts w:cstheme="minorHAnsi"/>
          <w:b/>
          <w:szCs w:val="24"/>
        </w:rPr>
        <w:t>BDP2100 Sectoral Strategies</w:t>
      </w:r>
    </w:p>
    <w:p w:rsidR="007A2DAA" w:rsidRPr="00117449" w:rsidRDefault="00703F65" w:rsidP="002C2541">
      <w:pPr>
        <w:spacing w:line="276" w:lineRule="auto"/>
        <w:jc w:val="both"/>
        <w:rPr>
          <w:rFonts w:cs="Times New Roman"/>
          <w:szCs w:val="24"/>
        </w:rPr>
      </w:pPr>
      <w:r w:rsidRPr="00703F65">
        <w:rPr>
          <w:rFonts w:cs="Times New Roman"/>
          <w:b/>
          <w:i/>
          <w:szCs w:val="24"/>
        </w:rPr>
        <w:t>Water:</w:t>
      </w:r>
      <w:r>
        <w:rPr>
          <w:rFonts w:cs="Times New Roman"/>
          <w:szCs w:val="24"/>
        </w:rPr>
        <w:t xml:space="preserve"> </w:t>
      </w:r>
      <w:r w:rsidR="007A2DAA" w:rsidRPr="00117449">
        <w:rPr>
          <w:rFonts w:cs="Times New Roman"/>
          <w:szCs w:val="24"/>
        </w:rPr>
        <w:t>Water remains an indispensable resource an</w:t>
      </w:r>
      <w:r w:rsidR="00A90B52">
        <w:rPr>
          <w:rFonts w:cs="Times New Roman"/>
          <w:szCs w:val="24"/>
        </w:rPr>
        <w:t>d is used in diversified ways</w:t>
      </w:r>
      <w:r w:rsidR="007A2DAA" w:rsidRPr="00117449">
        <w:rPr>
          <w:rFonts w:cs="Times New Roman"/>
          <w:szCs w:val="24"/>
        </w:rPr>
        <w:t xml:space="preserve">, </w:t>
      </w:r>
      <w:r w:rsidR="00A90B52">
        <w:rPr>
          <w:rFonts w:cs="Times New Roman"/>
          <w:szCs w:val="24"/>
        </w:rPr>
        <w:t xml:space="preserve">for </w:t>
      </w:r>
      <w:r w:rsidR="007A2DAA" w:rsidRPr="00117449">
        <w:rPr>
          <w:rFonts w:cs="Times New Roman"/>
          <w:szCs w:val="24"/>
        </w:rPr>
        <w:t xml:space="preserve">production </w:t>
      </w:r>
      <w:r w:rsidR="00A90B52">
        <w:rPr>
          <w:rFonts w:cs="Times New Roman"/>
          <w:szCs w:val="24"/>
        </w:rPr>
        <w:t>purposes such as, agriculture,</w:t>
      </w:r>
      <w:r w:rsidR="007A2DAA" w:rsidRPr="00117449">
        <w:rPr>
          <w:rFonts w:cs="Times New Roman"/>
          <w:szCs w:val="24"/>
        </w:rPr>
        <w:t xml:space="preserve"> industrial, commercial, forestry, fisheries etc.</w:t>
      </w:r>
      <w:r w:rsidR="00A90B52">
        <w:rPr>
          <w:rFonts w:cs="Times New Roman"/>
          <w:szCs w:val="24"/>
        </w:rPr>
        <w:t xml:space="preserve">, and also for community services like use of water for domestic consumption and sanitation. </w:t>
      </w:r>
      <w:r w:rsidR="007A2DAA" w:rsidRPr="00117449">
        <w:rPr>
          <w:rFonts w:cs="Times New Roman"/>
          <w:szCs w:val="24"/>
        </w:rPr>
        <w:t xml:space="preserve"> The nation-wide demand for water is growing every day which is being intensified by several socio-technical drivers such as, high</w:t>
      </w:r>
      <w:r w:rsidR="00A90B52">
        <w:rPr>
          <w:rFonts w:cs="Times New Roman"/>
          <w:szCs w:val="24"/>
        </w:rPr>
        <w:t xml:space="preserve"> demographic changes</w:t>
      </w:r>
      <w:r w:rsidR="007A2DAA" w:rsidRPr="00117449">
        <w:rPr>
          <w:rFonts w:cs="Times New Roman"/>
          <w:szCs w:val="24"/>
        </w:rPr>
        <w:t>, rapid and unplanned urbanization, high sectoral demand (such as agriculture, fisheries, transportation, indust</w:t>
      </w:r>
      <w:r w:rsidR="00A90B52">
        <w:rPr>
          <w:rFonts w:cs="Times New Roman"/>
          <w:szCs w:val="24"/>
        </w:rPr>
        <w:t xml:space="preserve">ries etc.), climate change etc. </w:t>
      </w:r>
      <w:r w:rsidR="007A2DAA" w:rsidRPr="00117449">
        <w:rPr>
          <w:rFonts w:cs="Times New Roman"/>
          <w:szCs w:val="24"/>
        </w:rPr>
        <w:t xml:space="preserve"> On the other hand, </w:t>
      </w:r>
      <w:r w:rsidR="00136BC3">
        <w:rPr>
          <w:rFonts w:cs="Times New Roman"/>
          <w:szCs w:val="24"/>
        </w:rPr>
        <w:t xml:space="preserve">the </w:t>
      </w:r>
      <w:r w:rsidR="007A2DAA" w:rsidRPr="00117449">
        <w:rPr>
          <w:rFonts w:cs="Times New Roman"/>
          <w:szCs w:val="24"/>
        </w:rPr>
        <w:t>essentiality of water for the rich but vulnerable ecosystem of the country,</w:t>
      </w:r>
      <w:r w:rsidR="00136BC3">
        <w:rPr>
          <w:rFonts w:cs="Times New Roman"/>
          <w:szCs w:val="24"/>
        </w:rPr>
        <w:t xml:space="preserve"> and the </w:t>
      </w:r>
      <w:r w:rsidR="007A2DAA" w:rsidRPr="00117449">
        <w:rPr>
          <w:rFonts w:cs="Times New Roman"/>
          <w:szCs w:val="24"/>
        </w:rPr>
        <w:t>variability of water availability in dry and wet season complicates the issue of water resources management in Bangladesh.  The management of wat</w:t>
      </w:r>
      <w:r w:rsidR="00136BC3">
        <w:rPr>
          <w:rFonts w:cs="Times New Roman"/>
          <w:szCs w:val="24"/>
        </w:rPr>
        <w:t>er resources is further complicated by</w:t>
      </w:r>
      <w:r w:rsidR="007A2DAA" w:rsidRPr="00117449">
        <w:rPr>
          <w:rFonts w:cs="Times New Roman"/>
          <w:szCs w:val="24"/>
        </w:rPr>
        <w:t xml:space="preserve"> the </w:t>
      </w:r>
      <w:r w:rsidR="00136BC3">
        <w:rPr>
          <w:rFonts w:cs="Times New Roman"/>
          <w:szCs w:val="24"/>
        </w:rPr>
        <w:t xml:space="preserve">fact that the </w:t>
      </w:r>
      <w:r w:rsidR="007A2DAA" w:rsidRPr="00117449">
        <w:rPr>
          <w:rFonts w:cs="Times New Roman"/>
          <w:szCs w:val="24"/>
        </w:rPr>
        <w:t>flow generated in the 93% catchment of the Ganges</w:t>
      </w:r>
      <w:r w:rsidR="00136BC3">
        <w:rPr>
          <w:rFonts w:cs="Times New Roman"/>
          <w:szCs w:val="24"/>
        </w:rPr>
        <w:t xml:space="preserve">-Brahmaputra-Meghna (GBM) </w:t>
      </w:r>
      <w:r w:rsidR="007A2DAA" w:rsidRPr="00117449">
        <w:rPr>
          <w:rFonts w:cs="Times New Roman"/>
          <w:szCs w:val="24"/>
        </w:rPr>
        <w:t>is lying outside the border of Bangladesh</w:t>
      </w:r>
      <w:r w:rsidR="00136BC3">
        <w:rPr>
          <w:rFonts w:cs="Times New Roman"/>
          <w:szCs w:val="24"/>
        </w:rPr>
        <w:t xml:space="preserve"> and</w:t>
      </w:r>
      <w:r w:rsidR="007A2DAA" w:rsidRPr="00117449">
        <w:rPr>
          <w:rFonts w:cs="Times New Roman"/>
          <w:szCs w:val="24"/>
        </w:rPr>
        <w:t xml:space="preserve"> is drained out to the Bay of Bengal.</w:t>
      </w:r>
    </w:p>
    <w:p w:rsidR="00136BC3" w:rsidRDefault="00136BC3" w:rsidP="002C2541">
      <w:pPr>
        <w:spacing w:line="276" w:lineRule="auto"/>
        <w:jc w:val="both"/>
        <w:rPr>
          <w:rFonts w:cs="Times New Roman"/>
          <w:szCs w:val="24"/>
        </w:rPr>
      </w:pPr>
      <w:r>
        <w:rPr>
          <w:rFonts w:cs="Times New Roman"/>
          <w:szCs w:val="24"/>
        </w:rPr>
        <w:t>The BDP2100 develops</w:t>
      </w:r>
      <w:r w:rsidRPr="0032604C">
        <w:rPr>
          <w:rFonts w:cs="Times New Roman"/>
          <w:szCs w:val="24"/>
        </w:rPr>
        <w:t xml:space="preserve"> an adaptive, holistic and long term strategic plan to steer the </w:t>
      </w:r>
      <w:r>
        <w:rPr>
          <w:rFonts w:cs="Times New Roman"/>
          <w:szCs w:val="24"/>
        </w:rPr>
        <w:t xml:space="preserve">opportunities and vulnerabilities created by the interface of water, climate change, natural disasters, environment, ecological balance, agriculture, land use and inland water management for national development. The sustainable use of water resources and prevention of water-related natural disasters provides the backbone to the Delta Plan.  </w:t>
      </w:r>
      <w:r w:rsidRPr="00117449">
        <w:rPr>
          <w:rFonts w:cs="Times New Roman"/>
          <w:szCs w:val="24"/>
          <w:lang w:val="en-GB"/>
        </w:rPr>
        <w:t xml:space="preserve">The strategies for managing water resources in wet and dry season </w:t>
      </w:r>
      <w:r>
        <w:rPr>
          <w:rFonts w:cs="Times New Roman"/>
          <w:szCs w:val="24"/>
          <w:lang w:val="en-GB"/>
        </w:rPr>
        <w:t xml:space="preserve">that </w:t>
      </w:r>
      <w:r w:rsidRPr="00117449">
        <w:rPr>
          <w:rFonts w:cs="Times New Roman"/>
          <w:szCs w:val="24"/>
          <w:lang w:val="en-GB"/>
        </w:rPr>
        <w:t xml:space="preserve">have been formulated are </w:t>
      </w:r>
      <w:r w:rsidRPr="00117449">
        <w:rPr>
          <w:rFonts w:cs="Times New Roman"/>
          <w:b/>
          <w:bCs/>
          <w:iCs/>
          <w:szCs w:val="24"/>
        </w:rPr>
        <w:t>flexible</w:t>
      </w:r>
      <w:r w:rsidRPr="00117449">
        <w:rPr>
          <w:rFonts w:cs="Times New Roman"/>
          <w:szCs w:val="24"/>
        </w:rPr>
        <w:t xml:space="preserve"> in respect of measures and actions with its timeframe and uncertainties</w:t>
      </w:r>
      <w:r w:rsidRPr="00117449">
        <w:rPr>
          <w:rFonts w:cs="Times New Roman"/>
          <w:szCs w:val="24"/>
          <w:lang w:val="en-GB"/>
        </w:rPr>
        <w:t xml:space="preserve">. The strategies are </w:t>
      </w:r>
      <w:r w:rsidRPr="00117449">
        <w:rPr>
          <w:rFonts w:cs="Times New Roman"/>
          <w:b/>
          <w:bCs/>
          <w:iCs/>
          <w:szCs w:val="24"/>
        </w:rPr>
        <w:t>adaptive</w:t>
      </w:r>
      <w:r>
        <w:rPr>
          <w:rFonts w:cs="Times New Roman"/>
          <w:szCs w:val="24"/>
        </w:rPr>
        <w:t xml:space="preserve"> in the sense that they need</w:t>
      </w:r>
      <w:r w:rsidRPr="00117449">
        <w:rPr>
          <w:rFonts w:cs="Times New Roman"/>
          <w:szCs w:val="24"/>
        </w:rPr>
        <w:t xml:space="preserve"> periodic review and update in Five Year Planning cycle on the basis of situation and development need</w:t>
      </w:r>
      <w:r>
        <w:rPr>
          <w:rFonts w:cs="Times New Roman"/>
          <w:szCs w:val="24"/>
        </w:rPr>
        <w:t>s</w:t>
      </w:r>
      <w:r w:rsidRPr="00117449">
        <w:rPr>
          <w:rFonts w:cs="Times New Roman"/>
          <w:szCs w:val="24"/>
        </w:rPr>
        <w:t>. These are ‘</w:t>
      </w:r>
      <w:r w:rsidRPr="00117449">
        <w:rPr>
          <w:rFonts w:cs="Times New Roman"/>
          <w:b/>
          <w:szCs w:val="24"/>
        </w:rPr>
        <w:t>no</w:t>
      </w:r>
      <w:r w:rsidRPr="00117449">
        <w:rPr>
          <w:rFonts w:cs="Times New Roman"/>
          <w:b/>
          <w:bCs/>
          <w:iCs/>
          <w:szCs w:val="24"/>
        </w:rPr>
        <w:t xml:space="preserve"> regret' strategies  </w:t>
      </w:r>
      <w:r w:rsidRPr="00117449">
        <w:rPr>
          <w:rFonts w:cs="Times New Roman"/>
          <w:szCs w:val="24"/>
        </w:rPr>
        <w:t xml:space="preserve">in a sense of effectiveness and maximum  benefit and offers </w:t>
      </w:r>
      <w:r w:rsidRPr="00E46568">
        <w:rPr>
          <w:rFonts w:cs="Times New Roman"/>
          <w:bCs/>
          <w:iCs/>
          <w:szCs w:val="24"/>
        </w:rPr>
        <w:t>integrated i</w:t>
      </w:r>
      <w:r w:rsidRPr="00E46568">
        <w:rPr>
          <w:rFonts w:cs="Times New Roman"/>
          <w:szCs w:val="24"/>
        </w:rPr>
        <w:t>mplementation</w:t>
      </w:r>
      <w:r w:rsidRPr="00117449">
        <w:rPr>
          <w:rFonts w:cs="Times New Roman"/>
          <w:szCs w:val="24"/>
        </w:rPr>
        <w:t xml:space="preserve"> with </w:t>
      </w:r>
      <w:r w:rsidRPr="00117449">
        <w:rPr>
          <w:rFonts w:cs="Times New Roman"/>
          <w:iCs/>
          <w:szCs w:val="24"/>
        </w:rPr>
        <w:t xml:space="preserve">innovation, advanced information technology and </w:t>
      </w:r>
      <w:r w:rsidRPr="00117449">
        <w:rPr>
          <w:rFonts w:cs="Times New Roman"/>
          <w:szCs w:val="24"/>
        </w:rPr>
        <w:t xml:space="preserve"> </w:t>
      </w:r>
      <w:r w:rsidRPr="00117449">
        <w:rPr>
          <w:rFonts w:cs="Times New Roman"/>
          <w:iCs/>
          <w:szCs w:val="24"/>
        </w:rPr>
        <w:t>strengthened  institutional capacity.</w:t>
      </w:r>
    </w:p>
    <w:p w:rsidR="007A2DAA" w:rsidRDefault="007A2DAA" w:rsidP="002C2541">
      <w:pPr>
        <w:spacing w:line="276" w:lineRule="auto"/>
        <w:jc w:val="both"/>
        <w:rPr>
          <w:rFonts w:cs="Times New Roman"/>
          <w:szCs w:val="24"/>
        </w:rPr>
      </w:pPr>
      <w:r w:rsidRPr="00117449">
        <w:rPr>
          <w:rFonts w:cs="Times New Roman"/>
          <w:szCs w:val="24"/>
        </w:rPr>
        <w:t xml:space="preserve">The water challenges and proposed strategies in BDP2100 are built around addressing the fundamental problem of flooding that is a nation-wide challenge and addressing </w:t>
      </w:r>
      <w:r w:rsidR="00703F65">
        <w:rPr>
          <w:rFonts w:cs="Times New Roman"/>
          <w:szCs w:val="24"/>
        </w:rPr>
        <w:t>“</w:t>
      </w:r>
      <w:r w:rsidRPr="00117449">
        <w:rPr>
          <w:rFonts w:cs="Times New Roman"/>
          <w:szCs w:val="24"/>
        </w:rPr>
        <w:t>hotspot</w:t>
      </w:r>
      <w:r w:rsidR="00703F65">
        <w:rPr>
          <w:rFonts w:cs="Times New Roman"/>
          <w:szCs w:val="24"/>
        </w:rPr>
        <w:t>”</w:t>
      </w:r>
      <w:r w:rsidRPr="00117449">
        <w:rPr>
          <w:rFonts w:cs="Times New Roman"/>
          <w:szCs w:val="24"/>
        </w:rPr>
        <w:t xml:space="preserve"> specific challenges of water shortage in drought-prone Barind Region; river erosion problems of the river and estuary region; coastal inundation and salinity problems of the Coastal region; flash-flooding and wetland management issues of the Haor region; water shortage, sanitation and drainage problems of the urban region; and the water sh</w:t>
      </w:r>
      <w:r w:rsidR="00703F65">
        <w:rPr>
          <w:rFonts w:cs="Times New Roman"/>
          <w:szCs w:val="24"/>
        </w:rPr>
        <w:t>ortage problem of the Chittagong Hill Tracts (CHT)</w:t>
      </w:r>
      <w:r w:rsidRPr="00117449">
        <w:rPr>
          <w:rFonts w:cs="Times New Roman"/>
          <w:szCs w:val="24"/>
        </w:rPr>
        <w:t xml:space="preserve">. </w:t>
      </w:r>
    </w:p>
    <w:p w:rsidR="00142A94" w:rsidRPr="00142A94" w:rsidRDefault="00703F65" w:rsidP="002C2541">
      <w:pPr>
        <w:spacing w:line="276" w:lineRule="auto"/>
        <w:jc w:val="both"/>
        <w:rPr>
          <w:rFonts w:eastAsiaTheme="majorEastAsia" w:cs="Times New Roman"/>
          <w:szCs w:val="24"/>
        </w:rPr>
      </w:pPr>
      <w:r w:rsidRPr="00703F65">
        <w:rPr>
          <w:rFonts w:eastAsiaTheme="majorEastAsia" w:cs="Times New Roman"/>
          <w:b/>
          <w:i/>
          <w:szCs w:val="24"/>
        </w:rPr>
        <w:t>Environment</w:t>
      </w:r>
      <w:r w:rsidR="00002B2E">
        <w:rPr>
          <w:rFonts w:eastAsiaTheme="majorEastAsia" w:cs="Times New Roman"/>
          <w:b/>
          <w:i/>
          <w:szCs w:val="24"/>
        </w:rPr>
        <w:t>,</w:t>
      </w:r>
      <w:r w:rsidRPr="00703F65">
        <w:rPr>
          <w:rFonts w:eastAsiaTheme="majorEastAsia" w:cs="Times New Roman"/>
          <w:b/>
          <w:i/>
          <w:szCs w:val="24"/>
        </w:rPr>
        <w:t xml:space="preserve"> ecology</w:t>
      </w:r>
      <w:r w:rsidR="00002B2E">
        <w:rPr>
          <w:rFonts w:eastAsiaTheme="majorEastAsia" w:cs="Times New Roman"/>
          <w:b/>
          <w:i/>
          <w:szCs w:val="24"/>
        </w:rPr>
        <w:t xml:space="preserve"> and bio-diversity</w:t>
      </w:r>
      <w:r w:rsidRPr="00703F65">
        <w:rPr>
          <w:rFonts w:eastAsiaTheme="majorEastAsia" w:cs="Times New Roman"/>
          <w:b/>
          <w:i/>
          <w:szCs w:val="24"/>
        </w:rPr>
        <w:t xml:space="preserve">:  </w:t>
      </w:r>
      <w:r w:rsidR="00142A94" w:rsidRPr="00117449">
        <w:rPr>
          <w:rFonts w:eastAsiaTheme="majorEastAsia" w:cs="Times New Roman"/>
          <w:szCs w:val="24"/>
        </w:rPr>
        <w:t>Wetlands are precious for the environment, ecology, and biodiversity. They are an integral part of the local ecosystem and closely related with local cultures, and also support the livelihoods of millions of people based on diverse activities such as fishing and agriculture. There is an urgent need to take action against wetlands degradation and maintain them through proper management.</w:t>
      </w:r>
      <w:r w:rsidR="00142A94">
        <w:rPr>
          <w:rFonts w:eastAsiaTheme="majorEastAsia" w:cs="Times New Roman"/>
          <w:szCs w:val="24"/>
        </w:rPr>
        <w:t xml:space="preserve"> Strategic considerations include: </w:t>
      </w:r>
      <w:r w:rsidR="00142A94">
        <w:rPr>
          <w:rFonts w:cs="Times New Roman"/>
          <w:szCs w:val="24"/>
        </w:rPr>
        <w:t>c</w:t>
      </w:r>
      <w:r w:rsidR="00142A94" w:rsidRPr="00142A94">
        <w:rPr>
          <w:rFonts w:cs="Times New Roman"/>
          <w:szCs w:val="24"/>
        </w:rPr>
        <w:t>o</w:t>
      </w:r>
      <w:r w:rsidR="00142A94">
        <w:rPr>
          <w:rFonts w:cs="Times New Roman"/>
          <w:szCs w:val="24"/>
        </w:rPr>
        <w:t>nservation and preservation of w</w:t>
      </w:r>
      <w:r w:rsidR="00142A94" w:rsidRPr="00142A94">
        <w:rPr>
          <w:rFonts w:cs="Times New Roman"/>
          <w:szCs w:val="24"/>
        </w:rPr>
        <w:t>etlands and ecosystem through institutional capacity building, research</w:t>
      </w:r>
      <w:r w:rsidR="00142A94">
        <w:rPr>
          <w:rFonts w:cs="Times New Roman"/>
          <w:szCs w:val="24"/>
        </w:rPr>
        <w:t xml:space="preserve"> and </w:t>
      </w:r>
      <w:r w:rsidR="00142A94">
        <w:rPr>
          <w:rFonts w:cs="Times New Roman"/>
          <w:szCs w:val="24"/>
        </w:rPr>
        <w:lastRenderedPageBreak/>
        <w:t>awareness raising programs; restoration of the Chalan Beel and the Halda River; establishing greenbelt around the hills of the Kaptai Lake; and preserving the Sundarban mangrove forest and parts of the Ha</w:t>
      </w:r>
      <w:r w:rsidR="006C1780">
        <w:rPr>
          <w:rFonts w:cs="Times New Roman"/>
          <w:szCs w:val="24"/>
        </w:rPr>
        <w:t>o</w:t>
      </w:r>
      <w:r w:rsidR="00142A94">
        <w:rPr>
          <w:rFonts w:cs="Times New Roman"/>
          <w:szCs w:val="24"/>
        </w:rPr>
        <w:t>r Basin wetlands.</w:t>
      </w:r>
    </w:p>
    <w:p w:rsidR="00142A94" w:rsidRPr="00117449" w:rsidRDefault="00703F65" w:rsidP="002C2541">
      <w:pPr>
        <w:spacing w:line="276" w:lineRule="auto"/>
        <w:jc w:val="both"/>
        <w:rPr>
          <w:rFonts w:cs="Times New Roman"/>
          <w:szCs w:val="24"/>
        </w:rPr>
      </w:pPr>
      <w:r w:rsidRPr="00703F65">
        <w:rPr>
          <w:rFonts w:cs="Times New Roman"/>
          <w:b/>
          <w:i/>
          <w:szCs w:val="24"/>
          <w:shd w:val="clear" w:color="auto" w:fill="FFFFFF"/>
        </w:rPr>
        <w:t>Agriculture</w:t>
      </w:r>
      <w:r>
        <w:rPr>
          <w:rFonts w:cs="Times New Roman"/>
          <w:b/>
          <w:i/>
          <w:szCs w:val="24"/>
          <w:shd w:val="clear" w:color="auto" w:fill="FFFFFF"/>
        </w:rPr>
        <w:t xml:space="preserve"> </w:t>
      </w:r>
      <w:r w:rsidRPr="00703F65">
        <w:rPr>
          <w:rFonts w:cs="Times New Roman"/>
          <w:b/>
          <w:i/>
          <w:szCs w:val="24"/>
          <w:shd w:val="clear" w:color="auto" w:fill="FFFFFF"/>
        </w:rPr>
        <w:t>and</w:t>
      </w:r>
      <w:r>
        <w:rPr>
          <w:rFonts w:cs="Times New Roman"/>
          <w:b/>
          <w:i/>
          <w:szCs w:val="24"/>
          <w:shd w:val="clear" w:color="auto" w:fill="FFFFFF"/>
        </w:rPr>
        <w:t xml:space="preserve"> f</w:t>
      </w:r>
      <w:r w:rsidRPr="00703F65">
        <w:rPr>
          <w:rFonts w:cs="Times New Roman"/>
          <w:b/>
          <w:i/>
          <w:szCs w:val="24"/>
          <w:shd w:val="clear" w:color="auto" w:fill="FFFFFF"/>
        </w:rPr>
        <w:t>isheries:</w:t>
      </w:r>
      <w:r>
        <w:rPr>
          <w:rFonts w:cs="Times New Roman"/>
          <w:szCs w:val="24"/>
          <w:shd w:val="clear" w:color="auto" w:fill="FFFFFF"/>
        </w:rPr>
        <w:t xml:space="preserve">  </w:t>
      </w:r>
      <w:r w:rsidR="00142A94" w:rsidRPr="00117449">
        <w:rPr>
          <w:rFonts w:cs="Times New Roman"/>
          <w:szCs w:val="24"/>
          <w:shd w:val="clear" w:color="auto" w:fill="FFFFFF"/>
        </w:rPr>
        <w:t xml:space="preserve">Agriculture is most vulnerable to climate change. Considerable adaptation efforts of the past have helped lower the cost to agriculture.  Nevertheless, several additional initiatives are necessary to cope with the growing risk of climate change for agriculture and livelihood. The </w:t>
      </w:r>
      <w:r w:rsidR="00142A94">
        <w:rPr>
          <w:rFonts w:cs="Times New Roman"/>
          <w:szCs w:val="24"/>
          <w:shd w:val="clear" w:color="auto" w:fill="FFFFFF"/>
        </w:rPr>
        <w:t xml:space="preserve">implementation of water </w:t>
      </w:r>
      <w:r w:rsidR="00142A94" w:rsidRPr="00117449">
        <w:rPr>
          <w:rFonts w:cs="Times New Roman"/>
          <w:szCs w:val="24"/>
          <w:shd w:val="clear" w:color="auto" w:fill="FFFFFF"/>
        </w:rPr>
        <w:t xml:space="preserve">strategies and </w:t>
      </w:r>
      <w:r w:rsidR="00142A94">
        <w:rPr>
          <w:rFonts w:cs="Times New Roman"/>
          <w:szCs w:val="24"/>
          <w:shd w:val="clear" w:color="auto" w:fill="FFFFFF"/>
        </w:rPr>
        <w:t xml:space="preserve">interventions </w:t>
      </w:r>
      <w:r w:rsidR="00142A94" w:rsidRPr="00117449">
        <w:rPr>
          <w:rFonts w:cs="Times New Roman"/>
          <w:szCs w:val="24"/>
          <w:shd w:val="clear" w:color="auto" w:fill="FFFFFF"/>
        </w:rPr>
        <w:t xml:space="preserve">are a major part of protecting agriculture from the adverse effects of </w:t>
      </w:r>
      <w:r>
        <w:rPr>
          <w:rFonts w:cs="Times New Roman"/>
          <w:szCs w:val="24"/>
          <w:shd w:val="clear" w:color="auto" w:fill="FFFFFF"/>
        </w:rPr>
        <w:t xml:space="preserve">natural </w:t>
      </w:r>
      <w:r w:rsidR="00F57172">
        <w:rPr>
          <w:rFonts w:cs="Times New Roman"/>
          <w:szCs w:val="24"/>
          <w:shd w:val="clear" w:color="auto" w:fill="FFFFFF"/>
        </w:rPr>
        <w:t>disasters</w:t>
      </w:r>
      <w:r>
        <w:rPr>
          <w:rFonts w:cs="Times New Roman"/>
          <w:szCs w:val="24"/>
          <w:shd w:val="clear" w:color="auto" w:fill="FFFFFF"/>
        </w:rPr>
        <w:t xml:space="preserve"> and </w:t>
      </w:r>
      <w:r w:rsidR="00142A94" w:rsidRPr="00117449">
        <w:rPr>
          <w:rFonts w:cs="Times New Roman"/>
          <w:szCs w:val="24"/>
          <w:shd w:val="clear" w:color="auto" w:fill="FFFFFF"/>
        </w:rPr>
        <w:t xml:space="preserve">climate change.  Other strategic elements relate to </w:t>
      </w:r>
      <w:r>
        <w:rPr>
          <w:rFonts w:cs="Times New Roman"/>
          <w:szCs w:val="24"/>
          <w:shd w:val="clear" w:color="auto" w:fill="FFFFFF"/>
        </w:rPr>
        <w:t xml:space="preserve">the </w:t>
      </w:r>
      <w:r w:rsidR="00142A94">
        <w:rPr>
          <w:rFonts w:cs="Times New Roman"/>
          <w:szCs w:val="24"/>
          <w:shd w:val="clear" w:color="auto" w:fill="FFFFFF"/>
        </w:rPr>
        <w:t xml:space="preserve">adoption of proper </w:t>
      </w:r>
      <w:r w:rsidR="00142A94" w:rsidRPr="00117449">
        <w:rPr>
          <w:rFonts w:cs="Times New Roman"/>
          <w:szCs w:val="24"/>
          <w:shd w:val="clear" w:color="auto" w:fill="FFFFFF"/>
        </w:rPr>
        <w:t xml:space="preserve">technology </w:t>
      </w:r>
      <w:r>
        <w:rPr>
          <w:rFonts w:cs="Times New Roman"/>
          <w:szCs w:val="24"/>
          <w:shd w:val="clear" w:color="auto" w:fill="FFFFFF"/>
        </w:rPr>
        <w:t xml:space="preserve">to combat salinity and </w:t>
      </w:r>
      <w:r w:rsidR="00142A94">
        <w:rPr>
          <w:rFonts w:cs="Times New Roman"/>
          <w:szCs w:val="24"/>
          <w:shd w:val="clear" w:color="auto" w:fill="FFFFFF"/>
        </w:rPr>
        <w:t xml:space="preserve">rising temperature, </w:t>
      </w:r>
      <w:r>
        <w:rPr>
          <w:rFonts w:cs="Times New Roman"/>
          <w:szCs w:val="24"/>
          <w:shd w:val="clear" w:color="auto" w:fill="FFFFFF"/>
        </w:rPr>
        <w:t xml:space="preserve">and strengthen </w:t>
      </w:r>
      <w:r w:rsidR="00142A94">
        <w:rPr>
          <w:rFonts w:cs="Times New Roman"/>
          <w:szCs w:val="24"/>
          <w:shd w:val="clear" w:color="auto" w:fill="FFFFFF"/>
        </w:rPr>
        <w:t>drought tolerance</w:t>
      </w:r>
      <w:r>
        <w:rPr>
          <w:rFonts w:cs="Times New Roman"/>
          <w:szCs w:val="24"/>
          <w:shd w:val="clear" w:color="auto" w:fill="FFFFFF"/>
        </w:rPr>
        <w:t>,</w:t>
      </w:r>
      <w:r w:rsidR="00142A94">
        <w:rPr>
          <w:rFonts w:cs="Times New Roman"/>
          <w:szCs w:val="24"/>
          <w:shd w:val="clear" w:color="auto" w:fill="FFFFFF"/>
        </w:rPr>
        <w:t xml:space="preserve"> </w:t>
      </w:r>
      <w:r w:rsidR="00142A94" w:rsidRPr="00117449">
        <w:rPr>
          <w:rFonts w:cs="Times New Roman"/>
          <w:szCs w:val="24"/>
          <w:shd w:val="clear" w:color="auto" w:fill="FFFFFF"/>
        </w:rPr>
        <w:t xml:space="preserve">and </w:t>
      </w:r>
      <w:r>
        <w:rPr>
          <w:rFonts w:cs="Times New Roman"/>
          <w:szCs w:val="24"/>
          <w:shd w:val="clear" w:color="auto" w:fill="FFFFFF"/>
        </w:rPr>
        <w:t xml:space="preserve">the institution of </w:t>
      </w:r>
      <w:r w:rsidR="00142A94">
        <w:rPr>
          <w:rFonts w:cs="Times New Roman"/>
          <w:szCs w:val="24"/>
          <w:shd w:val="clear" w:color="auto" w:fill="FFFFFF"/>
        </w:rPr>
        <w:t xml:space="preserve">proper </w:t>
      </w:r>
      <w:r w:rsidR="00142A94" w:rsidRPr="00117449">
        <w:rPr>
          <w:rFonts w:cs="Times New Roman"/>
          <w:szCs w:val="24"/>
          <w:shd w:val="clear" w:color="auto" w:fill="FFFFFF"/>
        </w:rPr>
        <w:t>land management.</w:t>
      </w:r>
      <w:r w:rsidR="00142A94">
        <w:rPr>
          <w:rFonts w:cs="Times New Roman"/>
          <w:szCs w:val="24"/>
          <w:shd w:val="clear" w:color="auto" w:fill="FFFFFF"/>
        </w:rPr>
        <w:t xml:space="preserve">  </w:t>
      </w:r>
      <w:r w:rsidR="001B2640">
        <w:rPr>
          <w:rFonts w:cs="Times New Roman"/>
          <w:szCs w:val="24"/>
          <w:shd w:val="clear" w:color="auto" w:fill="FFFFFF"/>
        </w:rPr>
        <w:t>Diversification of agriculture and p</w:t>
      </w:r>
      <w:r w:rsidR="00142A94">
        <w:rPr>
          <w:rFonts w:cs="Times New Roman"/>
          <w:szCs w:val="24"/>
          <w:shd w:val="clear" w:color="auto" w:fill="FFFFFF"/>
        </w:rPr>
        <w:t xml:space="preserve">reservation of food security requires </w:t>
      </w:r>
      <w:r w:rsidR="001B2640">
        <w:rPr>
          <w:rFonts w:cs="Times New Roman"/>
          <w:szCs w:val="24"/>
          <w:shd w:val="clear" w:color="auto" w:fill="FFFFFF"/>
        </w:rPr>
        <w:t xml:space="preserve">stronger </w:t>
      </w:r>
      <w:r w:rsidR="00142A94">
        <w:rPr>
          <w:rFonts w:cs="Times New Roman"/>
          <w:szCs w:val="24"/>
          <w:shd w:val="clear" w:color="auto" w:fill="FFFFFF"/>
        </w:rPr>
        <w:t xml:space="preserve">policy attention to non-crop agriculture that provides essential nutrition and balanced diet choices including fruits and vegetables, fisheries, </w:t>
      </w:r>
      <w:r w:rsidR="00F57172">
        <w:rPr>
          <w:rFonts w:cs="Times New Roman"/>
          <w:szCs w:val="24"/>
          <w:shd w:val="clear" w:color="auto" w:fill="FFFFFF"/>
        </w:rPr>
        <w:t>dairy</w:t>
      </w:r>
      <w:r w:rsidR="00142A94">
        <w:rPr>
          <w:rFonts w:cs="Times New Roman"/>
          <w:szCs w:val="24"/>
          <w:shd w:val="clear" w:color="auto" w:fill="FFFFFF"/>
        </w:rPr>
        <w:t xml:space="preserve"> farming and livestocks. In particular, the delta location with</w:t>
      </w:r>
      <w:r>
        <w:rPr>
          <w:rFonts w:cs="Times New Roman"/>
          <w:szCs w:val="24"/>
          <w:shd w:val="clear" w:color="auto" w:fill="FFFFFF"/>
        </w:rPr>
        <w:t xml:space="preserve"> multitu</w:t>
      </w:r>
      <w:r w:rsidR="00142A94">
        <w:rPr>
          <w:rFonts w:cs="Times New Roman"/>
          <w:szCs w:val="24"/>
          <w:shd w:val="clear" w:color="auto" w:fill="FFFFFF"/>
        </w:rPr>
        <w:t>de of rivers, lakes and ponds open access to sea provides Bangladesh with rich opportunities to develop and benefit from a prosperous fisheries industry.</w:t>
      </w:r>
      <w:r w:rsidR="00002B2E">
        <w:rPr>
          <w:rFonts w:cs="Times New Roman"/>
          <w:szCs w:val="24"/>
          <w:shd w:val="clear" w:color="auto" w:fill="FFFFFF"/>
        </w:rPr>
        <w:t xml:space="preserve"> Preserving the forest cover to maintain bio-diversity and ecological balance also allows protection from natural hazards. Sustainable forestry can also provide livelihood support to poor people when combined with a broad-based livelihood support strategy.</w:t>
      </w:r>
      <w:r w:rsidR="00142A94">
        <w:rPr>
          <w:rFonts w:cs="Times New Roman"/>
          <w:szCs w:val="24"/>
          <w:shd w:val="clear" w:color="auto" w:fill="FFFFFF"/>
        </w:rPr>
        <w:t xml:space="preserve">  </w:t>
      </w:r>
    </w:p>
    <w:p w:rsidR="00703F65" w:rsidRDefault="00703F65" w:rsidP="002C2541">
      <w:pPr>
        <w:spacing w:line="276" w:lineRule="auto"/>
        <w:jc w:val="both"/>
        <w:rPr>
          <w:rFonts w:cs="Times New Roman"/>
          <w:szCs w:val="24"/>
        </w:rPr>
      </w:pPr>
      <w:r w:rsidRPr="00002B2E">
        <w:rPr>
          <w:rFonts w:eastAsia="Calibri" w:cs="Times New Roman"/>
          <w:b/>
          <w:i/>
          <w:szCs w:val="24"/>
        </w:rPr>
        <w:t>Land management</w:t>
      </w:r>
      <w:r w:rsidRPr="00703F65">
        <w:rPr>
          <w:rFonts w:eastAsia="Calibri" w:cs="Times New Roman"/>
          <w:b/>
          <w:szCs w:val="24"/>
        </w:rPr>
        <w:t>:</w:t>
      </w:r>
      <w:r>
        <w:rPr>
          <w:rFonts w:eastAsia="Calibri" w:cs="Times New Roman"/>
          <w:szCs w:val="24"/>
        </w:rPr>
        <w:t xml:space="preserve"> </w:t>
      </w:r>
      <w:r w:rsidR="0045139F" w:rsidRPr="00117449">
        <w:rPr>
          <w:rFonts w:eastAsia="Calibri" w:cs="Times New Roman"/>
          <w:szCs w:val="24"/>
        </w:rPr>
        <w:t xml:space="preserve">Land resource management is integrally linked to water resource management. </w:t>
      </w:r>
      <w:r w:rsidR="0045139F" w:rsidRPr="00117449">
        <w:rPr>
          <w:rFonts w:cs="Times New Roman"/>
          <w:color w:val="000000" w:themeColor="text1"/>
          <w:szCs w:val="24"/>
        </w:rPr>
        <w:t xml:space="preserve">Given the location and topography of Bangladesh, its land resources management are constrained by floods, drainage congestion and water logging, drought, coastal/tidal surge, soil salinity, river bank erosion, land degradation, soil erosion, soil fertility depletion, decrease of land productivity, siltation on river beds and </w:t>
      </w:r>
      <w:r w:rsidR="00F82BA1">
        <w:rPr>
          <w:rFonts w:cs="Times New Roman"/>
          <w:color w:val="000000" w:themeColor="text1"/>
          <w:szCs w:val="24"/>
        </w:rPr>
        <w:t>canals</w:t>
      </w:r>
      <w:r w:rsidR="0045139F" w:rsidRPr="00117449">
        <w:rPr>
          <w:rFonts w:cs="Times New Roman"/>
          <w:color w:val="000000" w:themeColor="text1"/>
          <w:szCs w:val="24"/>
        </w:rPr>
        <w:t>, rise of sea water due to climate change, increase of population, urban and rural settlements, decrease of crop land creating different challenges</w:t>
      </w:r>
      <w:r w:rsidR="0045139F" w:rsidRPr="00117449">
        <w:rPr>
          <w:rFonts w:eastAsia="Calibri" w:cs="Times New Roman"/>
          <w:szCs w:val="24"/>
        </w:rPr>
        <w:t xml:space="preserve">. </w:t>
      </w:r>
      <w:r w:rsidR="0045139F" w:rsidRPr="00117449">
        <w:rPr>
          <w:rFonts w:cs="Times New Roman"/>
          <w:szCs w:val="24"/>
        </w:rPr>
        <w:t>With population growth and declining per capita availability of land Bangladesh also faces land degradation. Deforestation, cultivation on steep slopes, shifting cultivation, over-exploitation of ground water, unbalanced use of fertilizers, improper crop rotations, is responsible for land degradation induced by humans.</w:t>
      </w:r>
      <w:r w:rsidR="0045139F">
        <w:rPr>
          <w:rFonts w:cs="Times New Roman"/>
          <w:szCs w:val="24"/>
        </w:rPr>
        <w:t xml:space="preserve"> </w:t>
      </w:r>
      <w:r w:rsidR="0045139F" w:rsidRPr="00117449">
        <w:rPr>
          <w:rFonts w:cs="Times New Roman"/>
          <w:szCs w:val="24"/>
        </w:rPr>
        <w:t>All these phenomenon mean the that availability of land for crop agriculture will continue to decline calling for policies, reforms, and technological innovations for not only raising productivity and reducing soil degradation, but also diversifying the crops to better respond to food security needs.</w:t>
      </w:r>
      <w:r w:rsidR="00B47244">
        <w:rPr>
          <w:rFonts w:cs="Times New Roman"/>
          <w:szCs w:val="24"/>
        </w:rPr>
        <w:t xml:space="preserve"> </w:t>
      </w:r>
    </w:p>
    <w:p w:rsidR="00137673" w:rsidRDefault="00B47244" w:rsidP="002C2541">
      <w:pPr>
        <w:spacing w:line="276" w:lineRule="auto"/>
        <w:jc w:val="both"/>
        <w:rPr>
          <w:rFonts w:cs="Times New Roman"/>
          <w:szCs w:val="24"/>
        </w:rPr>
      </w:pPr>
      <w:r>
        <w:rPr>
          <w:rFonts w:cs="Times New Roman"/>
          <w:szCs w:val="24"/>
        </w:rPr>
        <w:t xml:space="preserve">Bangladesh in the past adopted many land reform initiatives but effectiveness was limited due to the inadequate attention to land governance, institutions and land markets. So, the main priorities under BDP2100 are: undertake a comprehensive </w:t>
      </w:r>
      <w:r w:rsidR="00573016">
        <w:rPr>
          <w:rFonts w:cs="Times New Roman"/>
          <w:szCs w:val="24"/>
        </w:rPr>
        <w:t>public</w:t>
      </w:r>
      <w:r>
        <w:rPr>
          <w:rFonts w:cs="Times New Roman"/>
          <w:szCs w:val="24"/>
        </w:rPr>
        <w:t xml:space="preserve"> sector reform involving Ministries/Institutions dealing with land administration; modernization of land management through the Digital Land Management System (DLMS); computerization of processes and use of ITC for all land transactions; comprehensive review and reform of the National Land Use Policy to make it applicable for all land use throughout the country;  reform of the regulatory policies </w:t>
      </w:r>
      <w:r>
        <w:rPr>
          <w:rFonts w:cs="Times New Roman"/>
          <w:szCs w:val="24"/>
        </w:rPr>
        <w:lastRenderedPageBreak/>
        <w:t xml:space="preserve">for land accretion and reclamation to counter land grabbing and other predatory practices; adoption of a comprehensive land zoning policy that is sensitive to climate </w:t>
      </w:r>
      <w:r w:rsidR="00BC7086">
        <w:rPr>
          <w:rFonts w:cs="Times New Roman"/>
          <w:szCs w:val="24"/>
        </w:rPr>
        <w:t>change and water hazard risks; and adoption of a water-sensitive spatial land use planning.</w:t>
      </w:r>
      <w:r>
        <w:rPr>
          <w:rFonts w:cs="Times New Roman"/>
          <w:szCs w:val="24"/>
        </w:rPr>
        <w:t xml:space="preserve"> </w:t>
      </w:r>
    </w:p>
    <w:p w:rsidR="00137673" w:rsidRPr="006C1780" w:rsidRDefault="00703F65" w:rsidP="002C2541">
      <w:pPr>
        <w:spacing w:line="276" w:lineRule="auto"/>
        <w:jc w:val="both"/>
        <w:rPr>
          <w:rFonts w:cs="Times New Roman"/>
          <w:szCs w:val="24"/>
          <w:lang w:val="en-GB"/>
        </w:rPr>
      </w:pPr>
      <w:r w:rsidRPr="00703F65">
        <w:rPr>
          <w:rFonts w:cs="Times New Roman"/>
          <w:b/>
          <w:i/>
          <w:szCs w:val="24"/>
        </w:rPr>
        <w:t>Inland water transport:</w:t>
      </w:r>
      <w:r>
        <w:rPr>
          <w:rFonts w:cs="Times New Roman"/>
          <w:szCs w:val="24"/>
        </w:rPr>
        <w:t xml:space="preserve"> </w:t>
      </w:r>
      <w:r w:rsidR="00137673" w:rsidRPr="00117449">
        <w:rPr>
          <w:rFonts w:cs="Times New Roman"/>
          <w:szCs w:val="24"/>
        </w:rPr>
        <w:t>Being a land of river</w:t>
      </w:r>
      <w:r w:rsidR="006C1780">
        <w:rPr>
          <w:rFonts w:cs="Times New Roman"/>
          <w:szCs w:val="24"/>
        </w:rPr>
        <w:t xml:space="preserve">s, </w:t>
      </w:r>
      <w:r w:rsidR="00137673" w:rsidRPr="00117449">
        <w:rPr>
          <w:rFonts w:cs="Times New Roman"/>
          <w:szCs w:val="24"/>
        </w:rPr>
        <w:t>inland waterway transport (IWT) has always been a natural, environment friendly and relatively cheap mode of transport</w:t>
      </w:r>
      <w:r w:rsidR="006C1780">
        <w:rPr>
          <w:rFonts w:cs="Times New Roman"/>
          <w:szCs w:val="24"/>
        </w:rPr>
        <w:t xml:space="preserve"> for Bangladesh</w:t>
      </w:r>
      <w:r w:rsidR="00137673" w:rsidRPr="00117449">
        <w:rPr>
          <w:rFonts w:cs="Times New Roman"/>
          <w:szCs w:val="24"/>
        </w:rPr>
        <w:t xml:space="preserve">. An estimated 25% percent of the rural population has access to inland navigation. Inland waterways have continued to be important –sometimes the only – transportation mode not only for maintaining transport link between various remote parts of the country; it is a means of transporting export-import cargo as well. </w:t>
      </w:r>
      <w:r w:rsidR="00137673" w:rsidRPr="00117449">
        <w:rPr>
          <w:rFonts w:cs="Times New Roman"/>
          <w:szCs w:val="24"/>
          <w:lang w:val="en-GB"/>
        </w:rPr>
        <w:t>It provides cheaper transit of passengers and goods. Despite being the cheapest mode of transport, the popularity of IWT as a mode of passenger and cargo transportation has been on a secular decline.</w:t>
      </w:r>
      <w:r w:rsidR="00B47244">
        <w:rPr>
          <w:rFonts w:cs="Times New Roman"/>
          <w:szCs w:val="24"/>
        </w:rPr>
        <w:t xml:space="preserve">   </w:t>
      </w:r>
      <w:r w:rsidR="00137673">
        <w:rPr>
          <w:rFonts w:cs="Times New Roman"/>
          <w:szCs w:val="24"/>
        </w:rPr>
        <w:t>IWT has suffered because</w:t>
      </w:r>
      <w:r w:rsidR="00137673" w:rsidRPr="00117449">
        <w:rPr>
          <w:rFonts w:cs="Times New Roman"/>
          <w:szCs w:val="24"/>
        </w:rPr>
        <w:t xml:space="preserve"> many rivers of the country have been deteriorating both for natural, morphological processes and for withdrawal of water from the rivers beyond the border and within the country caused by decreased dry season navigability. This was further aggravated by poor or no maintenance of navigability, weak regulations and safety standards, low allocation of budgetary funds and general under-investment by both </w:t>
      </w:r>
      <w:r w:rsidR="00573016">
        <w:rPr>
          <w:rFonts w:cs="Times New Roman"/>
          <w:szCs w:val="24"/>
        </w:rPr>
        <w:t xml:space="preserve">public </w:t>
      </w:r>
      <w:r w:rsidR="00137673" w:rsidRPr="00117449">
        <w:rPr>
          <w:rFonts w:cs="Times New Roman"/>
          <w:szCs w:val="24"/>
        </w:rPr>
        <w:t xml:space="preserve">and private sectors. </w:t>
      </w:r>
    </w:p>
    <w:p w:rsidR="007A2DAA" w:rsidRDefault="00137673" w:rsidP="002C2541">
      <w:pPr>
        <w:spacing w:line="276" w:lineRule="auto"/>
        <w:jc w:val="both"/>
        <w:rPr>
          <w:rFonts w:cs="Times New Roman"/>
          <w:szCs w:val="24"/>
        </w:rPr>
      </w:pPr>
      <w:r w:rsidRPr="00117449">
        <w:rPr>
          <w:rFonts w:cs="Times New Roman"/>
          <w:szCs w:val="24"/>
        </w:rPr>
        <w:t>In recent years, given the rapid GDP growth and associated demand for passenger and cargo services along with constraints in developing road and railway transport (owing to land and financial scarcity), the prospects for inland waterway look brighter. There is now a growing appreciation that with proper investments, policies, regulations and institutional development the IWT can be a major low-cost transport alternative to the high-cost of land transport. The positive effects of this strategy for income, employment and poverty reduction are large.</w:t>
      </w:r>
      <w:r w:rsidR="006C1780">
        <w:rPr>
          <w:rFonts w:cs="Times New Roman"/>
          <w:szCs w:val="24"/>
        </w:rPr>
        <w:t xml:space="preserve"> Looking forward, the IWT strategy will need to focus on the following main priorities: systematically and substantially address the river morphology and climate change issues affecting IWT; select priority routes and maintain them adequately; develop and modernize priority route infrastructure as an integral part of the multimodal connectivity; substantially increase </w:t>
      </w:r>
      <w:r w:rsidR="00573016">
        <w:rPr>
          <w:rFonts w:cs="Times New Roman"/>
          <w:szCs w:val="24"/>
        </w:rPr>
        <w:t xml:space="preserve">public </w:t>
      </w:r>
      <w:r w:rsidR="006C1780">
        <w:rPr>
          <w:rFonts w:cs="Times New Roman"/>
          <w:szCs w:val="24"/>
        </w:rPr>
        <w:t>and private investment in IWT; improve IWT governance, administration and safety standards; strengthen cross-boundary river traffic through joint investments in infrastructure and proper cost recovery policies.</w:t>
      </w:r>
    </w:p>
    <w:p w:rsidR="006C62E8" w:rsidRPr="008804CD" w:rsidRDefault="006C62E8" w:rsidP="008804CD">
      <w:pPr>
        <w:spacing w:before="120" w:line="276" w:lineRule="auto"/>
        <w:jc w:val="both"/>
        <w:rPr>
          <w:rFonts w:cs="Times New Roman"/>
        </w:rPr>
      </w:pPr>
      <w:r w:rsidRPr="008804CD">
        <w:rPr>
          <w:rFonts w:cs="Times New Roman"/>
          <w:b/>
          <w:i/>
        </w:rPr>
        <w:t>Blue economy:</w:t>
      </w:r>
      <w:r w:rsidRPr="008804CD">
        <w:rPr>
          <w:rFonts w:cs="Times New Roman"/>
        </w:rPr>
        <w:t xml:space="preserve"> With the settlement of maritime border disputes with neighboring states Myanmar and India in 2014, the Government of Bangladesh embarked on to unlock the potentials from better access to sea and ocean resources. The blue economy is now considered as a new ‘development space’ in Bangladesh. Shipping, sea ports, ship building and recycling, marine fisheries, sea salt, coastal tourism, ocean energy, land reclamation, maritime surveillance, human resources development and governance have been identified as key priority issues for the development of blue economy. </w:t>
      </w:r>
    </w:p>
    <w:p w:rsidR="009F5377" w:rsidRPr="009F5377" w:rsidRDefault="009E1CD0" w:rsidP="002C2541">
      <w:pPr>
        <w:spacing w:line="276" w:lineRule="auto"/>
        <w:jc w:val="both"/>
        <w:rPr>
          <w:rFonts w:cs="Times New Roman"/>
          <w:b/>
          <w:szCs w:val="24"/>
        </w:rPr>
      </w:pPr>
      <w:r>
        <w:rPr>
          <w:rFonts w:cs="Times New Roman"/>
          <w:b/>
          <w:szCs w:val="24"/>
        </w:rPr>
        <w:t>BDP2100</w:t>
      </w:r>
      <w:r w:rsidR="009F5377" w:rsidRPr="009F5377">
        <w:rPr>
          <w:rFonts w:cs="Times New Roman"/>
          <w:b/>
          <w:szCs w:val="24"/>
        </w:rPr>
        <w:t xml:space="preserve"> Governance and Institutions</w:t>
      </w:r>
    </w:p>
    <w:p w:rsidR="00574495" w:rsidRPr="00087A05" w:rsidRDefault="00574495" w:rsidP="002C2541">
      <w:pPr>
        <w:spacing w:line="276" w:lineRule="auto"/>
        <w:jc w:val="both"/>
        <w:rPr>
          <w:rFonts w:cstheme="minorHAnsi"/>
          <w:szCs w:val="24"/>
        </w:rPr>
      </w:pPr>
      <w:r w:rsidRPr="00117449">
        <w:rPr>
          <w:rFonts w:cstheme="minorHAnsi"/>
          <w:szCs w:val="24"/>
        </w:rPr>
        <w:lastRenderedPageBreak/>
        <w:t xml:space="preserve">The Delta Plan agenda is essentially cross-sectoral and implementation arrangements involve multiple line ministries, local government institutions, communities and private sector. Clarity of role, interdependence of actions and a coordinated approach are essential requirements of the institutional set up for Delta Plan implementation.  Institutions are dynamic in the sense that they evolve over time.  Starting with a thoughtful design that involves pragmatic solutions based on the present socio-political realities of Bangladesh and working within the umbrella of the overall capacity constraints in </w:t>
      </w:r>
      <w:r w:rsidR="00573016">
        <w:rPr>
          <w:rFonts w:cstheme="minorHAnsi"/>
          <w:szCs w:val="24"/>
        </w:rPr>
        <w:t>public</w:t>
      </w:r>
      <w:r w:rsidRPr="00117449">
        <w:rPr>
          <w:rFonts w:cstheme="minorHAnsi"/>
          <w:szCs w:val="24"/>
        </w:rPr>
        <w:t xml:space="preserve"> administration, institutional changes can further evolve as implementation progress is made.  The immediate challenge is to develop a basic minimum core arrangements now without which the implementation of </w:t>
      </w:r>
      <w:r>
        <w:rPr>
          <w:rFonts w:cstheme="minorHAnsi"/>
          <w:szCs w:val="24"/>
        </w:rPr>
        <w:t>the Delta strategy will falter.</w:t>
      </w:r>
    </w:p>
    <w:p w:rsidR="00681E1D" w:rsidRPr="00D33ABC" w:rsidRDefault="00681E1D" w:rsidP="002C2541">
      <w:pPr>
        <w:spacing w:line="276" w:lineRule="auto"/>
        <w:jc w:val="both"/>
        <w:rPr>
          <w:rFonts w:cs="Times New Roman"/>
          <w:szCs w:val="24"/>
        </w:rPr>
      </w:pPr>
      <w:r w:rsidRPr="0030221A">
        <w:rPr>
          <w:rFonts w:cs="Times New Roman"/>
          <w:szCs w:val="24"/>
        </w:rPr>
        <w:t xml:space="preserve">Some of the broad principles and features of the global institutional practices in delta management can be summarized as follows:  </w:t>
      </w:r>
      <w:r>
        <w:rPr>
          <w:rFonts w:cs="Times New Roman"/>
          <w:szCs w:val="24"/>
        </w:rPr>
        <w:t xml:space="preserve">importance of </w:t>
      </w:r>
      <w:r w:rsidR="00D33ABC">
        <w:rPr>
          <w:rFonts w:cs="Times New Roman"/>
          <w:szCs w:val="24"/>
        </w:rPr>
        <w:t>integrated water management;</w:t>
      </w:r>
      <w:r w:rsidRPr="00681E1D">
        <w:rPr>
          <w:rFonts w:cs="Times New Roman"/>
          <w:szCs w:val="24"/>
        </w:rPr>
        <w:t xml:space="preserve">  need for effec</w:t>
      </w:r>
      <w:r w:rsidR="00D33ABC">
        <w:rPr>
          <w:rFonts w:cs="Times New Roman"/>
          <w:szCs w:val="24"/>
        </w:rPr>
        <w:t>tive regional water cooperation;</w:t>
      </w:r>
      <w:r w:rsidR="0038657A">
        <w:rPr>
          <w:rFonts w:cs="Times New Roman"/>
          <w:szCs w:val="24"/>
        </w:rPr>
        <w:t xml:space="preserve">  s</w:t>
      </w:r>
      <w:r w:rsidRPr="00681E1D">
        <w:rPr>
          <w:rFonts w:cs="Times New Roman"/>
          <w:szCs w:val="24"/>
        </w:rPr>
        <w:t xml:space="preserve">trong and participatory </w:t>
      </w:r>
      <w:r w:rsidRPr="00681E1D">
        <w:rPr>
          <w:rFonts w:cs="Times New Roman"/>
          <w:szCs w:val="24"/>
          <w:shd w:val="clear" w:color="auto" w:fill="FFFFFF"/>
        </w:rPr>
        <w:t>institutions for inte</w:t>
      </w:r>
      <w:r w:rsidR="00D33ABC">
        <w:rPr>
          <w:rFonts w:cs="Times New Roman"/>
          <w:szCs w:val="24"/>
          <w:shd w:val="clear" w:color="auto" w:fill="FFFFFF"/>
        </w:rPr>
        <w:t>rnal water cooperation;</w:t>
      </w:r>
      <w:r w:rsidRPr="00681E1D">
        <w:rPr>
          <w:rFonts w:cs="Times New Roman"/>
          <w:szCs w:val="24"/>
          <w:shd w:val="clear" w:color="auto" w:fill="FFFFFF"/>
        </w:rPr>
        <w:t xml:space="preserve">  focus on knowledg</w:t>
      </w:r>
      <w:r w:rsidR="00D33ABC">
        <w:rPr>
          <w:rFonts w:cs="Times New Roman"/>
          <w:szCs w:val="24"/>
          <w:shd w:val="clear" w:color="auto" w:fill="FFFFFF"/>
        </w:rPr>
        <w:t>e for adaptive delta management;</w:t>
      </w:r>
      <w:r w:rsidRPr="00681E1D">
        <w:rPr>
          <w:rFonts w:cs="Times New Roman"/>
          <w:szCs w:val="24"/>
          <w:shd w:val="clear" w:color="auto" w:fill="FFFFFF"/>
        </w:rPr>
        <w:t xml:space="preserve">  emphasis on </w:t>
      </w:r>
      <w:r w:rsidR="00573016">
        <w:rPr>
          <w:rFonts w:cs="Times New Roman"/>
          <w:szCs w:val="24"/>
          <w:shd w:val="clear" w:color="auto" w:fill="FFFFFF"/>
        </w:rPr>
        <w:t>public</w:t>
      </w:r>
      <w:r w:rsidRPr="00681E1D">
        <w:rPr>
          <w:rFonts w:cs="Times New Roman"/>
          <w:szCs w:val="24"/>
          <w:shd w:val="clear" w:color="auto" w:fill="FFFFFF"/>
        </w:rPr>
        <w:t>-private partnerships</w:t>
      </w:r>
      <w:r>
        <w:rPr>
          <w:rFonts w:cs="Times New Roman"/>
          <w:szCs w:val="24"/>
          <w:shd w:val="clear" w:color="auto" w:fill="FFFFFF"/>
        </w:rPr>
        <w:t>;</w:t>
      </w:r>
      <w:r w:rsidRPr="00681E1D">
        <w:rPr>
          <w:rFonts w:cs="Times New Roman"/>
          <w:szCs w:val="24"/>
          <w:shd w:val="clear" w:color="auto" w:fill="FFFFFF"/>
        </w:rPr>
        <w:t xml:space="preserve"> coordinated approach to delta financing with emphasis on beneficiary pays principle</w:t>
      </w:r>
      <w:r>
        <w:rPr>
          <w:rFonts w:cs="Times New Roman"/>
          <w:szCs w:val="24"/>
          <w:shd w:val="clear" w:color="auto" w:fill="FFFFFF"/>
        </w:rPr>
        <w:t xml:space="preserve">; and effective monitoring and evaluation </w:t>
      </w:r>
    </w:p>
    <w:p w:rsidR="00681E1D" w:rsidRPr="00087A05" w:rsidRDefault="00681E1D" w:rsidP="002C2541">
      <w:pPr>
        <w:spacing w:line="276" w:lineRule="auto"/>
        <w:jc w:val="both"/>
        <w:rPr>
          <w:rFonts w:cs="Times New Roman"/>
          <w:szCs w:val="24"/>
        </w:rPr>
      </w:pPr>
      <w:r w:rsidRPr="0030221A">
        <w:rPr>
          <w:rFonts w:cs="Times New Roman"/>
          <w:szCs w:val="24"/>
        </w:rPr>
        <w:t xml:space="preserve">Bangladesh has 50 plus years of experience in managing water resources that is reflected in numerous water policies and water programmes. Despite this rich history and the enactment of the 2013 Water Policy and the high powered coordinating committees (NWRC, ECNWRC), effectiveness of the implementation of integrated water management is weak.  </w:t>
      </w:r>
      <w:r w:rsidR="00F57172">
        <w:rPr>
          <w:rFonts w:cs="Times New Roman"/>
          <w:szCs w:val="24"/>
        </w:rPr>
        <w:t>Integration</w:t>
      </w:r>
      <w:r>
        <w:rPr>
          <w:rFonts w:cs="Times New Roman"/>
          <w:szCs w:val="24"/>
        </w:rPr>
        <w:t xml:space="preserve"> of water with other challenges of the Bangladesh Delta including a clear link to development </w:t>
      </w:r>
      <w:r w:rsidR="00F57172">
        <w:rPr>
          <w:rFonts w:cs="Times New Roman"/>
          <w:szCs w:val="24"/>
        </w:rPr>
        <w:t>outcomes</w:t>
      </w:r>
      <w:r>
        <w:rPr>
          <w:rFonts w:cs="Times New Roman"/>
          <w:szCs w:val="24"/>
        </w:rPr>
        <w:t xml:space="preserve"> does not exist. The </w:t>
      </w:r>
      <w:r w:rsidR="00F57172">
        <w:rPr>
          <w:rFonts w:cs="Times New Roman"/>
          <w:szCs w:val="24"/>
        </w:rPr>
        <w:t>governance</w:t>
      </w:r>
      <w:r>
        <w:rPr>
          <w:rFonts w:cs="Times New Roman"/>
          <w:szCs w:val="24"/>
        </w:rPr>
        <w:t xml:space="preserve"> and institutional gap with principles of good practice international experiences listed above is large.  </w:t>
      </w:r>
      <w:r w:rsidRPr="0030221A">
        <w:rPr>
          <w:rFonts w:cs="Times New Roman"/>
          <w:szCs w:val="24"/>
        </w:rPr>
        <w:t>Successive governments have engaged in detailed technical studies with international technical experts, but implementation has suffere</w:t>
      </w:r>
      <w:r>
        <w:rPr>
          <w:rFonts w:cs="Times New Roman"/>
          <w:szCs w:val="24"/>
        </w:rPr>
        <w:t xml:space="preserve">d owing to political, financing </w:t>
      </w:r>
      <w:r w:rsidRPr="0030221A">
        <w:rPr>
          <w:rFonts w:cs="Times New Roman"/>
          <w:szCs w:val="24"/>
        </w:rPr>
        <w:t>and institutional constraints.  At the institutional level, the main problem is the weak capacity of all water</w:t>
      </w:r>
      <w:r>
        <w:rPr>
          <w:rFonts w:cs="Times New Roman"/>
          <w:szCs w:val="24"/>
        </w:rPr>
        <w:t xml:space="preserve"> and water related institutions. </w:t>
      </w:r>
      <w:r w:rsidRPr="0030221A">
        <w:rPr>
          <w:rFonts w:cs="Times New Roman"/>
          <w:szCs w:val="24"/>
        </w:rPr>
        <w:t>A second problem is t</w:t>
      </w:r>
      <w:r w:rsidR="00703F65">
        <w:rPr>
          <w:rFonts w:cs="Times New Roman"/>
          <w:szCs w:val="24"/>
        </w:rPr>
        <w:t>he absence of local water authorities</w:t>
      </w:r>
      <w:r w:rsidRPr="0030221A">
        <w:rPr>
          <w:rFonts w:cs="Times New Roman"/>
          <w:szCs w:val="24"/>
        </w:rPr>
        <w:t xml:space="preserve"> and therefore the absence of key-stakeholders (beneficiaries) in water decision making.  A </w:t>
      </w:r>
      <w:r>
        <w:rPr>
          <w:rFonts w:cs="Times New Roman"/>
          <w:szCs w:val="24"/>
        </w:rPr>
        <w:t>third problem is the lack of integration of water issues with climate change, environment, land management and other delta-related challenges owing to</w:t>
      </w:r>
      <w:r w:rsidRPr="0030221A">
        <w:rPr>
          <w:rFonts w:cs="Times New Roman"/>
          <w:szCs w:val="24"/>
        </w:rPr>
        <w:t xml:space="preserve"> inadequate institutional coordination. </w:t>
      </w:r>
    </w:p>
    <w:p w:rsidR="007C54D3" w:rsidRDefault="00CE514D" w:rsidP="002C2541">
      <w:pPr>
        <w:spacing w:line="276" w:lineRule="auto"/>
        <w:jc w:val="both"/>
        <w:rPr>
          <w:rFonts w:cs="Times New Roman"/>
          <w:szCs w:val="24"/>
        </w:rPr>
      </w:pPr>
      <w:r>
        <w:rPr>
          <w:rFonts w:cs="Times New Roman"/>
          <w:szCs w:val="24"/>
        </w:rPr>
        <w:t xml:space="preserve">Clearly, in addition to substantial new investments and adequate financing arrangements a substantial overhaul of the Delta governance and institutional </w:t>
      </w:r>
      <w:r w:rsidR="00F57172">
        <w:rPr>
          <w:rFonts w:cs="Times New Roman"/>
          <w:szCs w:val="24"/>
        </w:rPr>
        <w:t>arrangements</w:t>
      </w:r>
      <w:r>
        <w:rPr>
          <w:rFonts w:cs="Times New Roman"/>
          <w:szCs w:val="24"/>
        </w:rPr>
        <w:t xml:space="preserve"> is needed to implement the Delta Plan.  </w:t>
      </w:r>
      <w:r w:rsidR="00703F65">
        <w:rPr>
          <w:rFonts w:cs="Times New Roman"/>
          <w:szCs w:val="24"/>
        </w:rPr>
        <w:t xml:space="preserve">The 2013 National Water Act provides an excellent starting point that can be reformulated and modified to meet the requirements of the Delta Plan. </w:t>
      </w:r>
      <w:r>
        <w:rPr>
          <w:rFonts w:cs="Times New Roman"/>
          <w:szCs w:val="24"/>
        </w:rPr>
        <w:t xml:space="preserve">The main </w:t>
      </w:r>
      <w:r w:rsidR="00F23845">
        <w:rPr>
          <w:rFonts w:cs="Times New Roman"/>
          <w:szCs w:val="24"/>
        </w:rPr>
        <w:t>as</w:t>
      </w:r>
      <w:r>
        <w:rPr>
          <w:rFonts w:cs="Times New Roman"/>
          <w:szCs w:val="24"/>
        </w:rPr>
        <w:t>p</w:t>
      </w:r>
      <w:r w:rsidR="00F23845">
        <w:rPr>
          <w:rFonts w:cs="Times New Roman"/>
          <w:szCs w:val="24"/>
        </w:rPr>
        <w:t>ect</w:t>
      </w:r>
      <w:r>
        <w:rPr>
          <w:rFonts w:cs="Times New Roman"/>
          <w:szCs w:val="24"/>
        </w:rPr>
        <w:t xml:space="preserve">s of </w:t>
      </w:r>
      <w:r w:rsidR="00703F65">
        <w:rPr>
          <w:rFonts w:cs="Times New Roman"/>
          <w:szCs w:val="24"/>
        </w:rPr>
        <w:t>required</w:t>
      </w:r>
      <w:r>
        <w:rPr>
          <w:rFonts w:cs="Times New Roman"/>
          <w:szCs w:val="24"/>
        </w:rPr>
        <w:t xml:space="preserve"> governance and institutional reforms are summarized in Table 1.</w:t>
      </w:r>
    </w:p>
    <w:p w:rsidR="00981FB5" w:rsidRDefault="00981FB5" w:rsidP="00987C99">
      <w:pPr>
        <w:spacing w:line="276" w:lineRule="auto"/>
        <w:jc w:val="both"/>
        <w:rPr>
          <w:rFonts w:cs="Times New Roman"/>
          <w:szCs w:val="24"/>
        </w:rPr>
      </w:pPr>
    </w:p>
    <w:p w:rsidR="00C470FD" w:rsidRDefault="00C470FD">
      <w:pPr>
        <w:rPr>
          <w:rFonts w:cs="Times New Roman"/>
          <w:b/>
        </w:rPr>
      </w:pPr>
      <w:r>
        <w:rPr>
          <w:rFonts w:cs="Times New Roman"/>
          <w:b/>
        </w:rPr>
        <w:br w:type="page"/>
      </w:r>
    </w:p>
    <w:p w:rsidR="00981FB5" w:rsidRDefault="00981FB5" w:rsidP="00981FB5">
      <w:pPr>
        <w:jc w:val="center"/>
        <w:rPr>
          <w:rFonts w:cs="Times New Roman"/>
          <w:b/>
        </w:rPr>
      </w:pPr>
      <w:r w:rsidRPr="00125111">
        <w:rPr>
          <w:rFonts w:cs="Times New Roman"/>
          <w:b/>
        </w:rPr>
        <w:lastRenderedPageBreak/>
        <w:t>Table</w:t>
      </w:r>
      <w:r w:rsidR="00703F65">
        <w:rPr>
          <w:rFonts w:cs="Times New Roman"/>
          <w:b/>
        </w:rPr>
        <w:t xml:space="preserve"> 1</w:t>
      </w:r>
      <w:r w:rsidRPr="00125111">
        <w:rPr>
          <w:rFonts w:cs="Times New Roman"/>
          <w:b/>
        </w:rPr>
        <w:t xml:space="preserve">: Summary of Delta </w:t>
      </w:r>
      <w:r>
        <w:rPr>
          <w:rFonts w:cs="Times New Roman"/>
          <w:b/>
        </w:rPr>
        <w:t xml:space="preserve">Governance and </w:t>
      </w:r>
      <w:r w:rsidRPr="00125111">
        <w:rPr>
          <w:rFonts w:cs="Times New Roman"/>
          <w:b/>
        </w:rPr>
        <w:t xml:space="preserve">Institutional Reforms </w:t>
      </w:r>
    </w:p>
    <w:tbl>
      <w:tblPr>
        <w:tblStyle w:val="TableGrid"/>
        <w:tblW w:w="5000" w:type="pct"/>
        <w:tblLook w:val="04A0"/>
      </w:tblPr>
      <w:tblGrid>
        <w:gridCol w:w="1220"/>
        <w:gridCol w:w="5504"/>
        <w:gridCol w:w="1475"/>
        <w:gridCol w:w="1377"/>
      </w:tblGrid>
      <w:tr w:rsidR="00B025E0" w:rsidRPr="00B21947" w:rsidTr="00576F19">
        <w:tc>
          <w:tcPr>
            <w:tcW w:w="637" w:type="pct"/>
            <w:shd w:val="clear" w:color="auto" w:fill="EAF1DD" w:themeFill="accent3" w:themeFillTint="33"/>
            <w:vAlign w:val="center"/>
          </w:tcPr>
          <w:p w:rsidR="00B025E0" w:rsidRPr="00E51DDA" w:rsidRDefault="00B025E0" w:rsidP="00576F19">
            <w:pPr>
              <w:spacing w:after="0"/>
              <w:jc w:val="center"/>
              <w:rPr>
                <w:rFonts w:cs="Times New Roman"/>
                <w:b/>
                <w:sz w:val="18"/>
                <w:szCs w:val="18"/>
              </w:rPr>
            </w:pPr>
            <w:r w:rsidRPr="00E51DDA">
              <w:rPr>
                <w:rFonts w:cs="Times New Roman"/>
                <w:b/>
                <w:sz w:val="18"/>
                <w:szCs w:val="18"/>
              </w:rPr>
              <w:t>Proposed Reform</w:t>
            </w:r>
          </w:p>
        </w:tc>
        <w:tc>
          <w:tcPr>
            <w:tcW w:w="2874" w:type="pct"/>
            <w:shd w:val="clear" w:color="auto" w:fill="EAF1DD" w:themeFill="accent3" w:themeFillTint="33"/>
            <w:vAlign w:val="center"/>
          </w:tcPr>
          <w:p w:rsidR="00B025E0" w:rsidRPr="00E51DDA" w:rsidRDefault="00B025E0" w:rsidP="00576F19">
            <w:pPr>
              <w:spacing w:after="0"/>
              <w:jc w:val="center"/>
              <w:rPr>
                <w:rFonts w:cs="Times New Roman"/>
                <w:b/>
                <w:sz w:val="18"/>
                <w:szCs w:val="18"/>
              </w:rPr>
            </w:pPr>
            <w:r w:rsidRPr="00E51DDA">
              <w:rPr>
                <w:rFonts w:cs="Times New Roman"/>
                <w:b/>
                <w:sz w:val="18"/>
                <w:szCs w:val="18"/>
              </w:rPr>
              <w:t>Required Actions</w:t>
            </w:r>
          </w:p>
        </w:tc>
        <w:tc>
          <w:tcPr>
            <w:tcW w:w="770" w:type="pct"/>
            <w:shd w:val="clear" w:color="auto" w:fill="EAF1DD" w:themeFill="accent3" w:themeFillTint="33"/>
            <w:vAlign w:val="center"/>
          </w:tcPr>
          <w:p w:rsidR="00B025E0" w:rsidRPr="00E51DDA" w:rsidRDefault="00B025E0" w:rsidP="00576F19">
            <w:pPr>
              <w:jc w:val="center"/>
              <w:rPr>
                <w:rFonts w:cs="Times New Roman"/>
                <w:b/>
                <w:sz w:val="18"/>
                <w:szCs w:val="18"/>
              </w:rPr>
            </w:pPr>
            <w:r w:rsidRPr="00E51DDA">
              <w:rPr>
                <w:rFonts w:cs="Times New Roman"/>
                <w:b/>
                <w:sz w:val="18"/>
                <w:szCs w:val="18"/>
              </w:rPr>
              <w:t>Responsible Agency</w:t>
            </w:r>
          </w:p>
        </w:tc>
        <w:tc>
          <w:tcPr>
            <w:tcW w:w="719" w:type="pct"/>
            <w:shd w:val="clear" w:color="auto" w:fill="EAF1DD" w:themeFill="accent3" w:themeFillTint="33"/>
            <w:vAlign w:val="center"/>
          </w:tcPr>
          <w:p w:rsidR="00B025E0" w:rsidRPr="00E51DDA" w:rsidRDefault="00B025E0" w:rsidP="00576F19">
            <w:pPr>
              <w:jc w:val="center"/>
              <w:rPr>
                <w:rFonts w:cs="Times New Roman"/>
                <w:b/>
                <w:sz w:val="18"/>
                <w:szCs w:val="18"/>
              </w:rPr>
            </w:pPr>
            <w:r w:rsidRPr="00E51DDA">
              <w:rPr>
                <w:rFonts w:cs="Times New Roman"/>
                <w:b/>
                <w:sz w:val="18"/>
                <w:szCs w:val="18"/>
              </w:rPr>
              <w:t>Time Frame</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t>Adopt Delta Act</w:t>
            </w:r>
          </w:p>
        </w:tc>
        <w:tc>
          <w:tcPr>
            <w:tcW w:w="2874" w:type="pct"/>
          </w:tcPr>
          <w:p w:rsidR="00B025E0" w:rsidRPr="00E51DDA" w:rsidRDefault="00B025E0" w:rsidP="00576F19">
            <w:pPr>
              <w:spacing w:after="0"/>
              <w:rPr>
                <w:rFonts w:cs="Times New Roman"/>
                <w:sz w:val="18"/>
                <w:szCs w:val="18"/>
              </w:rPr>
            </w:pPr>
            <w:r w:rsidRPr="00E51DDA">
              <w:rPr>
                <w:rFonts w:cs="Times New Roman"/>
                <w:sz w:val="18"/>
                <w:szCs w:val="18"/>
              </w:rPr>
              <w:t>Establish the legal framework for implementing the Delta Plan by enacting the Delta Act. The three main areas it will need to address are (a) establishing a Bangladesh Delta Commission including a Delta Secretariat; (b) establishing a Bangladesh Delta Fund incl. O&amp;M compartment; (c) assure necessary implementation capacity on national and decentral levels.</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t xml:space="preserve">-Newly </w:t>
            </w:r>
            <w:r w:rsidR="00EA4E38" w:rsidRPr="00E51DDA">
              <w:rPr>
                <w:rFonts w:cs="Times New Roman"/>
                <w:sz w:val="18"/>
                <w:szCs w:val="18"/>
              </w:rPr>
              <w:t>established</w:t>
            </w:r>
            <w:r w:rsidRPr="00E51DDA">
              <w:rPr>
                <w:rFonts w:cs="Times New Roman"/>
                <w:sz w:val="18"/>
                <w:szCs w:val="18"/>
              </w:rPr>
              <w:t xml:space="preserve"> Pre-</w:t>
            </w:r>
            <w:r w:rsidR="00EA4E38" w:rsidRPr="00E51DDA">
              <w:rPr>
                <w:rFonts w:cs="Times New Roman"/>
                <w:sz w:val="18"/>
                <w:szCs w:val="18"/>
              </w:rPr>
              <w:t>purgatory</w:t>
            </w:r>
            <w:r w:rsidRPr="00E51DDA">
              <w:rPr>
                <w:rFonts w:cs="Times New Roman"/>
                <w:sz w:val="18"/>
                <w:szCs w:val="18"/>
              </w:rPr>
              <w:t xml:space="preserve"> Cell </w:t>
            </w:r>
          </w:p>
          <w:p w:rsidR="00B025E0" w:rsidRPr="00E51DDA" w:rsidRDefault="00B025E0" w:rsidP="00576F19">
            <w:pPr>
              <w:spacing w:after="0"/>
              <w:rPr>
                <w:rFonts w:cs="Times New Roman"/>
                <w:sz w:val="18"/>
                <w:szCs w:val="18"/>
              </w:rPr>
            </w:pPr>
            <w:r w:rsidRPr="00E51DDA">
              <w:rPr>
                <w:rFonts w:cs="Times New Roman"/>
                <w:sz w:val="18"/>
                <w:szCs w:val="18"/>
              </w:rPr>
              <w:t xml:space="preserve">-National Steering Committee (NSC), </w:t>
            </w:r>
            <w:r w:rsidR="00EA4E38" w:rsidRPr="00E51DDA">
              <w:rPr>
                <w:rFonts w:cs="Times New Roman"/>
                <w:sz w:val="18"/>
                <w:szCs w:val="18"/>
              </w:rPr>
              <w:t>National</w:t>
            </w:r>
            <w:r w:rsidRPr="00E51DDA">
              <w:rPr>
                <w:rFonts w:cs="Times New Roman"/>
                <w:sz w:val="18"/>
                <w:szCs w:val="18"/>
              </w:rPr>
              <w:t xml:space="preserve"> Advisory Council (NAC)</w:t>
            </w: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Draft Act to Parliament within 12 months</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t>Establish Bangladesh Delta Governance Council</w:t>
            </w:r>
          </w:p>
        </w:tc>
        <w:tc>
          <w:tcPr>
            <w:tcW w:w="2874" w:type="pct"/>
          </w:tcPr>
          <w:p w:rsidR="00B025E0" w:rsidRPr="00E51DDA" w:rsidRDefault="00B025E0" w:rsidP="00576F19">
            <w:pPr>
              <w:spacing w:after="0"/>
              <w:rPr>
                <w:rFonts w:cs="Times New Roman"/>
                <w:sz w:val="18"/>
                <w:szCs w:val="18"/>
              </w:rPr>
            </w:pPr>
            <w:r w:rsidRPr="00E51DDA">
              <w:rPr>
                <w:rFonts w:cs="Times New Roman"/>
                <w:sz w:val="18"/>
                <w:szCs w:val="18"/>
              </w:rPr>
              <w:t>The ‘Delta Governance Council (DGC)’ is proposed as a small but high-level forum. It would be chaired by the Prime Minister. The DGC functions as a formal linkage for achieving political commitments regarding BDP 2100, provides directions and makes decisions. It provides strategic advices and has broader accountabilities as defined under the Delta Act.</w:t>
            </w:r>
          </w:p>
        </w:tc>
        <w:tc>
          <w:tcPr>
            <w:tcW w:w="770" w:type="pct"/>
          </w:tcPr>
          <w:p w:rsidR="00B025E0" w:rsidRPr="00E51DDA" w:rsidRDefault="00B025E0" w:rsidP="00576F19">
            <w:pPr>
              <w:rPr>
                <w:rFonts w:cs="Times New Roman"/>
                <w:sz w:val="18"/>
                <w:szCs w:val="18"/>
              </w:rPr>
            </w:pPr>
            <w:r w:rsidRPr="00E51DDA">
              <w:rPr>
                <w:rFonts w:cs="Times New Roman"/>
                <w:sz w:val="18"/>
                <w:szCs w:val="18"/>
              </w:rPr>
              <w:t>Cabinet</w:t>
            </w:r>
          </w:p>
        </w:tc>
        <w:tc>
          <w:tcPr>
            <w:tcW w:w="719" w:type="pct"/>
          </w:tcPr>
          <w:p w:rsidR="00B025E0" w:rsidRPr="00E51DDA" w:rsidRDefault="00B025E0" w:rsidP="00576F19">
            <w:pPr>
              <w:rPr>
                <w:rFonts w:cs="Times New Roman"/>
                <w:sz w:val="18"/>
                <w:szCs w:val="18"/>
              </w:rPr>
            </w:pPr>
            <w:r w:rsidRPr="00E51DDA">
              <w:rPr>
                <w:rFonts w:cs="Times New Roman"/>
                <w:sz w:val="18"/>
                <w:szCs w:val="18"/>
              </w:rPr>
              <w:t>Enactment of the Delta Act</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t>Establish Bangladesh Delta Commission</w:t>
            </w:r>
          </w:p>
        </w:tc>
        <w:tc>
          <w:tcPr>
            <w:tcW w:w="2874" w:type="pct"/>
          </w:tcPr>
          <w:p w:rsidR="00B025E0" w:rsidRPr="00E51DDA" w:rsidRDefault="00B025E0" w:rsidP="00576F19">
            <w:pPr>
              <w:pStyle w:val="Default"/>
              <w:spacing w:after="0" w:line="276" w:lineRule="auto"/>
              <w:jc w:val="both"/>
              <w:rPr>
                <w:rFonts w:ascii="Times New Roman" w:hAnsi="Times New Roman" w:cs="Times New Roman"/>
                <w:color w:val="auto"/>
                <w:sz w:val="18"/>
                <w:szCs w:val="18"/>
              </w:rPr>
            </w:pPr>
            <w:r w:rsidRPr="00E51DDA">
              <w:rPr>
                <w:rFonts w:ascii="Times New Roman" w:hAnsi="Times New Roman" w:cs="Times New Roman"/>
                <w:color w:val="auto"/>
                <w:sz w:val="18"/>
                <w:szCs w:val="18"/>
              </w:rPr>
              <w:t>The Bangladesh Delta Commission including Delta Secretariat is proposed as an independent entity under the ‘Bangladesh Delta Act’ and linked, for administrative purposes, with the Ministry of Planning.</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E51DDA">
              <w:rPr>
                <w:rFonts w:ascii="Times New Roman" w:hAnsi="Times New Roman" w:cs="Times New Roman"/>
                <w:color w:val="auto"/>
                <w:sz w:val="18"/>
                <w:szCs w:val="18"/>
              </w:rPr>
              <w:t>Provide mandate in the areas of coordination, facilitating activities, delta financing, and investment allocation, policies, and research and knowledge management.</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E51DDA">
              <w:rPr>
                <w:rFonts w:ascii="Times New Roman" w:hAnsi="Times New Roman" w:cs="Times New Roman"/>
                <w:color w:val="auto"/>
                <w:sz w:val="18"/>
                <w:szCs w:val="18"/>
              </w:rPr>
              <w:t>To ensure its cross-cutting structure and to facilitate financial decisions, the Delta Commissioner heads the Delta Commission;</w:t>
            </w:r>
          </w:p>
          <w:p w:rsidR="00000000" w:rsidRDefault="00B025E0" w:rsidP="003D5A31">
            <w:pPr>
              <w:pStyle w:val="ListParagraph"/>
              <w:numPr>
                <w:ilvl w:val="0"/>
                <w:numId w:val="176"/>
              </w:numPr>
              <w:spacing w:after="0" w:line="276" w:lineRule="auto"/>
              <w:ind w:left="181" w:hanging="181"/>
              <w:jc w:val="both"/>
              <w:rPr>
                <w:rFonts w:eastAsia="MS ??" w:cs="Times New Roman"/>
                <w:sz w:val="18"/>
                <w:szCs w:val="18"/>
              </w:rPr>
            </w:pPr>
            <w:r w:rsidRPr="00E51DDA">
              <w:rPr>
                <w:rFonts w:cs="Times New Roman"/>
                <w:sz w:val="18"/>
                <w:szCs w:val="18"/>
              </w:rPr>
              <w:t xml:space="preserve">The Delta Commissioner would be </w:t>
            </w:r>
            <w:r w:rsidRPr="00E51DDA">
              <w:rPr>
                <w:rFonts w:eastAsia="Times New Roman" w:cs="Times New Roman"/>
                <w:sz w:val="18"/>
                <w:szCs w:val="18"/>
              </w:rPr>
              <w:t>supported/assisted by two part-time specialist ‘Advisors’ as and when necessary from a broad range of disciplines</w:t>
            </w:r>
            <w:r w:rsidRPr="00E51DDA">
              <w:rPr>
                <w:rFonts w:cs="Times New Roman"/>
                <w:sz w:val="18"/>
                <w:szCs w:val="18"/>
              </w:rPr>
              <w:t>;</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E51DDA">
              <w:rPr>
                <w:rFonts w:ascii="Times New Roman" w:hAnsi="Times New Roman" w:cs="Times New Roman"/>
                <w:color w:val="auto"/>
                <w:sz w:val="18"/>
                <w:szCs w:val="18"/>
              </w:rPr>
              <w:t>The delta spending programme will be prepared by the Delta Commission on a 5- year cycle and updated annually.  It will include investments, O&amp;M funding, research, capacity building and institutional development.</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E51DDA">
              <w:rPr>
                <w:rFonts w:ascii="Times New Roman" w:hAnsi="Times New Roman" w:cs="Times New Roman"/>
                <w:color w:val="auto"/>
                <w:sz w:val="18"/>
                <w:szCs w:val="18"/>
              </w:rPr>
              <w:t xml:space="preserve">Multi-sectoral/multi agency Delta Plan project approval and related financial decisions will be done by the Delta Commission in line with the BDP 2100 Investment Plan; </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E51DDA">
              <w:rPr>
                <w:rFonts w:ascii="Times New Roman" w:hAnsi="Times New Roman" w:cs="Times New Roman"/>
                <w:color w:val="auto"/>
                <w:sz w:val="18"/>
                <w:szCs w:val="18"/>
              </w:rPr>
              <w:t xml:space="preserve">All other (single-sector) projects follow normal procedures and </w:t>
            </w:r>
            <w:r w:rsidR="00EA4E38" w:rsidRPr="00E51DDA">
              <w:rPr>
                <w:rFonts w:ascii="Times New Roman" w:hAnsi="Times New Roman" w:cs="Times New Roman"/>
                <w:color w:val="auto"/>
                <w:sz w:val="18"/>
                <w:szCs w:val="18"/>
              </w:rPr>
              <w:t>shall</w:t>
            </w:r>
            <w:r w:rsidRPr="00E51DDA">
              <w:rPr>
                <w:rFonts w:ascii="Times New Roman" w:hAnsi="Times New Roman" w:cs="Times New Roman"/>
                <w:color w:val="auto"/>
                <w:sz w:val="18"/>
                <w:szCs w:val="18"/>
              </w:rPr>
              <w:t xml:space="preserve"> be in line with the BDP 2100 Investment Plan;</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E51DDA">
              <w:rPr>
                <w:rFonts w:ascii="Times New Roman" w:hAnsi="Times New Roman" w:cs="Times New Roman"/>
                <w:color w:val="auto"/>
                <w:sz w:val="18"/>
                <w:szCs w:val="18"/>
              </w:rPr>
              <w:t>All project implementation will be done by concerned line ministries and implementing agencies as presently.</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t>Cabinet</w:t>
            </w: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Enactment of the Delta Act</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t>Establish Delta Commission Secretariat</w:t>
            </w:r>
          </w:p>
        </w:tc>
        <w:tc>
          <w:tcPr>
            <w:tcW w:w="2874" w:type="pct"/>
          </w:tcPr>
          <w:p w:rsidR="00B025E0" w:rsidRPr="00E51DDA" w:rsidRDefault="00B025E0" w:rsidP="00576F19">
            <w:pPr>
              <w:spacing w:after="40"/>
              <w:rPr>
                <w:rFonts w:eastAsia="Times New Roman" w:cs="Times New Roman"/>
                <w:sz w:val="18"/>
                <w:szCs w:val="18"/>
              </w:rPr>
            </w:pPr>
            <w:r w:rsidRPr="00E51DDA">
              <w:rPr>
                <w:rFonts w:eastAsia="Times New Roman" w:cs="Times New Roman"/>
                <w:sz w:val="18"/>
                <w:szCs w:val="18"/>
              </w:rPr>
              <w:t>A Delta Division / Secretariat would provide secretariat and functional support to the Delta Commission.</w:t>
            </w:r>
          </w:p>
          <w:p w:rsidR="00000000" w:rsidRDefault="00B025E0" w:rsidP="003D5A31">
            <w:pPr>
              <w:pStyle w:val="ListParagraph"/>
              <w:numPr>
                <w:ilvl w:val="0"/>
                <w:numId w:val="177"/>
              </w:numPr>
              <w:spacing w:after="40" w:line="276" w:lineRule="auto"/>
              <w:ind w:left="181" w:hanging="181"/>
              <w:jc w:val="both"/>
              <w:rPr>
                <w:rFonts w:eastAsia="Times New Roman" w:cs="Times New Roman"/>
                <w:sz w:val="18"/>
                <w:szCs w:val="18"/>
              </w:rPr>
            </w:pPr>
            <w:r w:rsidRPr="00E51DDA">
              <w:rPr>
                <w:rFonts w:eastAsia="Times New Roman" w:cs="Times New Roman"/>
                <w:sz w:val="18"/>
                <w:szCs w:val="18"/>
              </w:rPr>
              <w:t>The Delta Division/Secretariat may be structured following the structure of a Division of the Planning Commission headed by a “Member” equivalent to the Senior Secretary/Secretary to the Government. The division may have several wings: (i) Programming, Planning &amp; Alignment incl. coordination and facilitating sectoral implementation; (ii) Study, Research &amp; Knowledge Management; (iii) Monitoring &amp; Evaluation and (iv) Administration, Financing &amp; Coordination.</w:t>
            </w:r>
          </w:p>
          <w:p w:rsidR="00000000" w:rsidRDefault="00B025E0" w:rsidP="003D5A31">
            <w:pPr>
              <w:pStyle w:val="ListParagraph"/>
              <w:numPr>
                <w:ilvl w:val="0"/>
                <w:numId w:val="177"/>
              </w:numPr>
              <w:spacing w:after="0" w:line="276" w:lineRule="auto"/>
              <w:ind w:left="181" w:hanging="181"/>
              <w:jc w:val="both"/>
              <w:rPr>
                <w:rFonts w:eastAsia="Times New Roman" w:cs="Times New Roman"/>
                <w:sz w:val="18"/>
                <w:szCs w:val="18"/>
              </w:rPr>
            </w:pPr>
            <w:r w:rsidRPr="00E51DDA">
              <w:rPr>
                <w:rFonts w:eastAsia="Times New Roman" w:cs="Times New Roman"/>
                <w:sz w:val="18"/>
                <w:szCs w:val="18"/>
              </w:rPr>
              <w:t xml:space="preserve">The Delta Division would have multi-sectoral staffing, with at least </w:t>
            </w:r>
            <w:r w:rsidRPr="00E51DDA">
              <w:rPr>
                <w:rFonts w:eastAsia="Times New Roman" w:cs="Times New Roman"/>
                <w:sz w:val="18"/>
                <w:szCs w:val="18"/>
              </w:rPr>
              <w:lastRenderedPageBreak/>
              <w:t>half of them on deputation from different ministries / agencies at the desk level and other half would be appointed from planning and development related officials of GoB.</w:t>
            </w:r>
          </w:p>
          <w:p w:rsidR="00000000" w:rsidRDefault="00B025E0" w:rsidP="003D5A31">
            <w:pPr>
              <w:pStyle w:val="ListParagraph"/>
              <w:numPr>
                <w:ilvl w:val="0"/>
                <w:numId w:val="177"/>
              </w:numPr>
              <w:spacing w:after="0" w:line="276" w:lineRule="auto"/>
              <w:ind w:left="181" w:hanging="181"/>
              <w:jc w:val="both"/>
              <w:rPr>
                <w:rFonts w:eastAsia="MS ??" w:cs="Times New Roman"/>
                <w:sz w:val="18"/>
                <w:szCs w:val="18"/>
              </w:rPr>
            </w:pPr>
            <w:r w:rsidRPr="00E51DDA">
              <w:rPr>
                <w:rFonts w:cs="Times New Roman"/>
                <w:sz w:val="18"/>
                <w:szCs w:val="18"/>
              </w:rPr>
              <w:t>Stronger capacity is needed in: integrated planning, research, economic management, financial planning, cost-benefit analysis and consultative processes.</w:t>
            </w:r>
          </w:p>
          <w:p w:rsidR="00000000" w:rsidRDefault="00B025E0" w:rsidP="003D5A31">
            <w:pPr>
              <w:pStyle w:val="ListParagraph"/>
              <w:numPr>
                <w:ilvl w:val="0"/>
                <w:numId w:val="177"/>
              </w:numPr>
              <w:spacing w:after="120" w:line="276" w:lineRule="auto"/>
              <w:ind w:left="187" w:hanging="187"/>
              <w:contextualSpacing w:val="0"/>
              <w:jc w:val="both"/>
              <w:rPr>
                <w:rFonts w:eastAsia="MS ??" w:cs="Times New Roman"/>
                <w:sz w:val="18"/>
                <w:szCs w:val="18"/>
              </w:rPr>
            </w:pPr>
            <w:r w:rsidRPr="00E51DDA">
              <w:rPr>
                <w:rFonts w:cs="Times New Roman"/>
                <w:sz w:val="18"/>
                <w:szCs w:val="18"/>
              </w:rPr>
              <w:t>Strengthen partnership of the Secretariat with implementing government agencies, BIDS, WARPO, BWDB, BARC, JRC, CEGIS, IWM, BUET and private economic research institutions.</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lastRenderedPageBreak/>
              <w:t>Delta Commission</w:t>
            </w: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Establishment of the Delta Commission</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lastRenderedPageBreak/>
              <w:t>Establish Bangladesh Delta Fund</w:t>
            </w:r>
          </w:p>
        </w:tc>
        <w:tc>
          <w:tcPr>
            <w:tcW w:w="2874" w:type="pct"/>
          </w:tcPr>
          <w:p w:rsidR="00000000" w:rsidRDefault="00B025E0" w:rsidP="003D5A31">
            <w:pPr>
              <w:pStyle w:val="ListParagraph"/>
              <w:numPr>
                <w:ilvl w:val="0"/>
                <w:numId w:val="178"/>
              </w:numPr>
              <w:spacing w:after="0" w:line="276" w:lineRule="auto"/>
              <w:ind w:left="181" w:hanging="180"/>
              <w:jc w:val="both"/>
              <w:rPr>
                <w:rFonts w:eastAsia="MS ??" w:cs="Times New Roman"/>
                <w:sz w:val="18"/>
                <w:szCs w:val="18"/>
              </w:rPr>
            </w:pPr>
            <w:r w:rsidRPr="00E51DDA">
              <w:rPr>
                <w:rFonts w:cs="Times New Roman"/>
                <w:sz w:val="18"/>
                <w:szCs w:val="18"/>
              </w:rPr>
              <w:t>Establish the Delta Fund to coordinate funding of all programs related to the Delta Plan. The Delta Fund will be managed by the Delta Commission as an integrated program that is prepared ahead of the financing allocation.</w:t>
            </w:r>
          </w:p>
          <w:p w:rsidR="00000000" w:rsidRDefault="00B025E0" w:rsidP="003D5A31">
            <w:pPr>
              <w:pStyle w:val="ListParagraph"/>
              <w:numPr>
                <w:ilvl w:val="0"/>
                <w:numId w:val="178"/>
              </w:numPr>
              <w:spacing w:after="40" w:line="276" w:lineRule="auto"/>
              <w:ind w:left="181" w:hanging="180"/>
              <w:jc w:val="both"/>
              <w:rPr>
                <w:rFonts w:eastAsia="Times New Roman" w:cs="Times New Roman"/>
                <w:sz w:val="18"/>
                <w:szCs w:val="18"/>
              </w:rPr>
            </w:pPr>
            <w:r w:rsidRPr="00E51DDA">
              <w:rPr>
                <w:rFonts w:eastAsia="Times New Roman" w:cs="Times New Roman"/>
                <w:sz w:val="18"/>
                <w:szCs w:val="18"/>
              </w:rPr>
              <w:t>The Bangladesh Delta Fund would be an earmarked fund for financing the implementation of the Bangladesh Delta Plan 2100. Sources of this fund may be GOB, DPs, Environment and Climate Change related funds, PPP, etc.</w:t>
            </w:r>
          </w:p>
          <w:p w:rsidR="00000000" w:rsidRDefault="00B025E0" w:rsidP="003D5A31">
            <w:pPr>
              <w:pStyle w:val="ListParagraph"/>
              <w:numPr>
                <w:ilvl w:val="0"/>
                <w:numId w:val="178"/>
              </w:numPr>
              <w:spacing w:after="40" w:line="276" w:lineRule="auto"/>
              <w:ind w:left="181" w:hanging="180"/>
              <w:jc w:val="both"/>
              <w:rPr>
                <w:rFonts w:eastAsia="Times New Roman" w:cs="Times New Roman"/>
                <w:sz w:val="18"/>
                <w:szCs w:val="18"/>
              </w:rPr>
            </w:pPr>
            <w:r w:rsidRPr="00E51DDA">
              <w:rPr>
                <w:rFonts w:eastAsia="Times New Roman" w:cs="Times New Roman"/>
                <w:sz w:val="18"/>
                <w:szCs w:val="18"/>
              </w:rPr>
              <w:t>The Government has a plan to allocate about 2% of GDP annually to the Delta Fund gradually – as indicated in the 7th Five-Year Plan. At present, this amounts to around US$ 4.0 billion annually (10-12% of the Annual Budget and about 30% of ADP).</w:t>
            </w:r>
          </w:p>
          <w:p w:rsidR="00000000" w:rsidRDefault="00B025E0" w:rsidP="003D5A31">
            <w:pPr>
              <w:pStyle w:val="ListParagraph"/>
              <w:numPr>
                <w:ilvl w:val="0"/>
                <w:numId w:val="178"/>
              </w:numPr>
              <w:spacing w:after="40" w:line="276" w:lineRule="auto"/>
              <w:ind w:left="181" w:hanging="180"/>
              <w:jc w:val="both"/>
              <w:rPr>
                <w:rFonts w:eastAsia="Times New Roman" w:cs="Times New Roman"/>
                <w:sz w:val="18"/>
                <w:szCs w:val="18"/>
              </w:rPr>
            </w:pPr>
            <w:r w:rsidRPr="00E51DDA">
              <w:rPr>
                <w:rFonts w:eastAsia="Times New Roman" w:cs="Times New Roman"/>
                <w:sz w:val="18"/>
                <w:szCs w:val="18"/>
              </w:rPr>
              <w:t>The Delta Fund would consist of capital expenditure for investment projects and recurrent budget funds for operation &amp; maintenance to ensure sustainability of delta-related projects.</w:t>
            </w:r>
          </w:p>
          <w:p w:rsidR="00000000" w:rsidRDefault="00B025E0" w:rsidP="003D5A31">
            <w:pPr>
              <w:pStyle w:val="ListParagraph"/>
              <w:numPr>
                <w:ilvl w:val="0"/>
                <w:numId w:val="178"/>
              </w:numPr>
              <w:spacing w:after="40" w:line="276" w:lineRule="auto"/>
              <w:ind w:left="181" w:hanging="180"/>
              <w:jc w:val="both"/>
              <w:rPr>
                <w:rFonts w:eastAsia="Times New Roman" w:cs="Times New Roman"/>
                <w:sz w:val="18"/>
                <w:szCs w:val="18"/>
              </w:rPr>
            </w:pPr>
            <w:r w:rsidRPr="00E51DDA">
              <w:rPr>
                <w:rFonts w:eastAsia="Times New Roman" w:cs="Times New Roman"/>
                <w:sz w:val="18"/>
                <w:szCs w:val="18"/>
              </w:rPr>
              <w:t>O &amp; M budget for related infrastructure could be part of this Delta Fund.</w:t>
            </w:r>
          </w:p>
          <w:p w:rsidR="00000000" w:rsidRDefault="00B025E0" w:rsidP="003D5A31">
            <w:pPr>
              <w:pStyle w:val="ListParagraph"/>
              <w:numPr>
                <w:ilvl w:val="0"/>
                <w:numId w:val="178"/>
              </w:numPr>
              <w:spacing w:after="0" w:line="276" w:lineRule="auto"/>
              <w:ind w:left="181" w:hanging="180"/>
              <w:jc w:val="both"/>
              <w:rPr>
                <w:rFonts w:eastAsia="Times New Roman" w:cs="Times New Roman"/>
                <w:sz w:val="18"/>
                <w:szCs w:val="18"/>
              </w:rPr>
            </w:pPr>
            <w:r w:rsidRPr="00E51DDA">
              <w:rPr>
                <w:rFonts w:eastAsia="Times New Roman" w:cs="Times New Roman"/>
                <w:sz w:val="18"/>
                <w:szCs w:val="18"/>
              </w:rPr>
              <w:t>Operational and administrative cost for the Delta Commission would be met from the GOB,s annual  budget</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t>Cabinet</w:t>
            </w: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Enactment of the Delta Act</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t>Strengthen Core Delta Institutions</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 xml:space="preserve">For the Delta Plan to succeed, it is imperative to strengthen the core delta institutions. These include: BWDB,WARPO, DoE, DAE, DPHE etc., the local water bodies including  WASAs, City Corporations and Pourashavas, Water Management Organizations, the </w:t>
            </w:r>
            <w:r w:rsidRPr="00E51DDA">
              <w:rPr>
                <w:rFonts w:eastAsia="Times New Roman" w:cs="Times New Roman"/>
                <w:sz w:val="18"/>
                <w:szCs w:val="18"/>
              </w:rPr>
              <w:t xml:space="preserve">facilitated emergence of strengthened WMOs with legal and financial arrangements </w:t>
            </w:r>
            <w:r w:rsidRPr="00E51DDA">
              <w:rPr>
                <w:rFonts w:cs="Times New Roman"/>
                <w:sz w:val="18"/>
                <w:szCs w:val="18"/>
              </w:rPr>
              <w:t xml:space="preserve">and all specialized institutions within different non-water delta line ministries </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Upgrade capacities in areas of technology, innovation, integrated planning, financial management, participatory planning, economic management, knowledge management and M&amp;E.</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Provide adequate budget</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Convert all municipalities into au</w:t>
            </w:r>
            <w:r w:rsidR="00FE6385">
              <w:rPr>
                <w:rFonts w:cs="Times New Roman"/>
                <w:sz w:val="18"/>
                <w:szCs w:val="18"/>
              </w:rPr>
              <w:t>t</w:t>
            </w:r>
            <w:r w:rsidR="00573016">
              <w:rPr>
                <w:rFonts w:cs="Times New Roman"/>
                <w:sz w:val="18"/>
                <w:szCs w:val="18"/>
              </w:rPr>
              <w:t>on</w:t>
            </w:r>
            <w:r w:rsidRPr="00E51DDA">
              <w:rPr>
                <w:rFonts w:cs="Times New Roman"/>
                <w:sz w:val="18"/>
                <w:szCs w:val="18"/>
              </w:rPr>
              <w:t>omous bodies</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t>-Cabinet</w:t>
            </w:r>
          </w:p>
          <w:p w:rsidR="00B025E0" w:rsidRPr="00E51DDA" w:rsidRDefault="00B025E0" w:rsidP="00576F19">
            <w:pPr>
              <w:spacing w:after="0"/>
              <w:rPr>
                <w:rFonts w:cs="Times New Roman"/>
                <w:sz w:val="18"/>
                <w:szCs w:val="18"/>
              </w:rPr>
            </w:pPr>
            <w:r w:rsidRPr="00E51DDA">
              <w:rPr>
                <w:rFonts w:cs="Times New Roman"/>
                <w:sz w:val="18"/>
                <w:szCs w:val="18"/>
              </w:rPr>
              <w:t>-Concerned line ministries</w:t>
            </w:r>
          </w:p>
          <w:p w:rsidR="00B025E0" w:rsidRPr="00E51DDA" w:rsidRDefault="00B025E0" w:rsidP="00576F19">
            <w:pPr>
              <w:spacing w:after="0"/>
              <w:rPr>
                <w:rFonts w:cs="Times New Roman"/>
                <w:sz w:val="18"/>
                <w:szCs w:val="18"/>
              </w:rPr>
            </w:pPr>
            <w:r w:rsidRPr="00E51DDA">
              <w:rPr>
                <w:rFonts w:cs="Times New Roman"/>
                <w:sz w:val="18"/>
                <w:szCs w:val="18"/>
              </w:rPr>
              <w:t>-Concerned specialized agencies</w:t>
            </w:r>
          </w:p>
          <w:p w:rsidR="00B025E0" w:rsidRPr="00E51DDA" w:rsidRDefault="00B025E0" w:rsidP="00576F19">
            <w:pPr>
              <w:spacing w:after="0"/>
              <w:rPr>
                <w:rFonts w:cs="Times New Roman"/>
                <w:sz w:val="18"/>
                <w:szCs w:val="18"/>
              </w:rPr>
            </w:pPr>
            <w:r w:rsidRPr="00E51DDA">
              <w:rPr>
                <w:rFonts w:cs="Times New Roman"/>
                <w:sz w:val="18"/>
                <w:szCs w:val="18"/>
              </w:rPr>
              <w:t>-Municipa-lities</w:t>
            </w: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Adoption of the Delta Plan</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t>Strengthen Cross-Boundary Water Dialogue</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Adopt a water basin benefit sharing approach to water dialogue</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Develop multi-purpose technical options and cost-benefit analysis of these options as background research to dialogue with India.</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Strengthen technical capacity and negotiating skills of the JRC with proper coordination with the Delta Commission</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t>-Ministry of Water Resources</w:t>
            </w:r>
          </w:p>
          <w:p w:rsidR="00B025E0" w:rsidRPr="00E51DDA" w:rsidRDefault="00B025E0" w:rsidP="00576F19">
            <w:pPr>
              <w:spacing w:after="0"/>
              <w:rPr>
                <w:rFonts w:cs="Times New Roman"/>
                <w:sz w:val="18"/>
                <w:szCs w:val="18"/>
              </w:rPr>
            </w:pPr>
            <w:r w:rsidRPr="00E51DDA">
              <w:rPr>
                <w:rFonts w:cs="Times New Roman"/>
                <w:sz w:val="18"/>
                <w:szCs w:val="18"/>
              </w:rPr>
              <w:t>-Joint Rivers Commission (JRC)</w:t>
            </w: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Adoption of the Delta Plan</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t>Institute Beneficiary Pays Principle</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Long-term sustainability of the Delta Plan requires the adoption of the following financing principles for investments and O&amp;M:</w:t>
            </w:r>
          </w:p>
          <w:p w:rsidR="00000000" w:rsidRDefault="00B025E0" w:rsidP="003D5A31">
            <w:pPr>
              <w:pStyle w:val="ListParagraph"/>
              <w:numPr>
                <w:ilvl w:val="0"/>
                <w:numId w:val="180"/>
              </w:numPr>
              <w:spacing w:after="0" w:line="276" w:lineRule="auto"/>
              <w:ind w:left="451" w:hanging="270"/>
              <w:jc w:val="both"/>
              <w:rPr>
                <w:rFonts w:eastAsia="MS ??" w:cs="Times New Roman"/>
                <w:sz w:val="18"/>
                <w:szCs w:val="18"/>
              </w:rPr>
            </w:pPr>
            <w:r w:rsidRPr="00E51DDA">
              <w:rPr>
                <w:rFonts w:cs="Times New Roman"/>
                <w:sz w:val="18"/>
                <w:szCs w:val="18"/>
              </w:rPr>
              <w:t>Beneficiary pays principle: Those who benefit more from Delta investments must pay their fair share through the institution of the LWAs</w:t>
            </w:r>
          </w:p>
          <w:p w:rsidR="00000000" w:rsidRDefault="00B025E0" w:rsidP="003D5A31">
            <w:pPr>
              <w:pStyle w:val="ListParagraph"/>
              <w:numPr>
                <w:ilvl w:val="0"/>
                <w:numId w:val="180"/>
              </w:numPr>
              <w:spacing w:after="0" w:line="276" w:lineRule="auto"/>
              <w:ind w:left="451" w:hanging="270"/>
              <w:jc w:val="both"/>
              <w:rPr>
                <w:rFonts w:eastAsia="MS ??" w:cs="Times New Roman"/>
                <w:sz w:val="18"/>
                <w:szCs w:val="18"/>
              </w:rPr>
            </w:pPr>
            <w:r w:rsidRPr="00E51DDA">
              <w:rPr>
                <w:rFonts w:cs="Times New Roman"/>
                <w:sz w:val="18"/>
                <w:szCs w:val="18"/>
              </w:rPr>
              <w:t xml:space="preserve">Polluter pay principle: Those who pollute/damage natural </w:t>
            </w:r>
            <w:r w:rsidRPr="00E51DDA">
              <w:rPr>
                <w:rFonts w:cs="Times New Roman"/>
                <w:sz w:val="18"/>
                <w:szCs w:val="18"/>
              </w:rPr>
              <w:lastRenderedPageBreak/>
              <w:t>resources including water must pay for the damages.</w:t>
            </w:r>
          </w:p>
          <w:p w:rsidR="00000000" w:rsidRDefault="00B025E0" w:rsidP="003D5A31">
            <w:pPr>
              <w:pStyle w:val="ListParagraph"/>
              <w:numPr>
                <w:ilvl w:val="0"/>
                <w:numId w:val="180"/>
              </w:numPr>
              <w:spacing w:after="0" w:line="276" w:lineRule="auto"/>
              <w:ind w:left="451" w:hanging="270"/>
              <w:jc w:val="both"/>
              <w:rPr>
                <w:rFonts w:eastAsia="MS ??" w:cs="Times New Roman"/>
                <w:sz w:val="18"/>
                <w:szCs w:val="18"/>
              </w:rPr>
            </w:pPr>
            <w:r w:rsidRPr="00E51DDA">
              <w:rPr>
                <w:rFonts w:cs="Times New Roman"/>
                <w:sz w:val="18"/>
                <w:szCs w:val="18"/>
              </w:rPr>
              <w:t xml:space="preserve">c) Cost recovery principle: All delta-related services provided by </w:t>
            </w:r>
            <w:r w:rsidR="00573016">
              <w:rPr>
                <w:rFonts w:cs="Times New Roman"/>
                <w:sz w:val="18"/>
                <w:szCs w:val="18"/>
              </w:rPr>
              <w:t xml:space="preserve">public </w:t>
            </w:r>
            <w:r w:rsidRPr="00E51DDA">
              <w:rPr>
                <w:rFonts w:cs="Times New Roman"/>
                <w:sz w:val="18"/>
                <w:szCs w:val="18"/>
              </w:rPr>
              <w:t xml:space="preserve"> institutions must fully recover costs including capital costs.</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lastRenderedPageBreak/>
              <w:t>-Cabinet</w:t>
            </w:r>
          </w:p>
          <w:p w:rsidR="00B025E0" w:rsidRPr="00E51DDA" w:rsidRDefault="00B025E0" w:rsidP="00576F19">
            <w:pPr>
              <w:spacing w:after="0"/>
              <w:rPr>
                <w:rFonts w:cs="Times New Roman"/>
                <w:sz w:val="18"/>
                <w:szCs w:val="18"/>
              </w:rPr>
            </w:pPr>
            <w:r w:rsidRPr="00E51DDA">
              <w:rPr>
                <w:rFonts w:cs="Times New Roman"/>
                <w:sz w:val="18"/>
                <w:szCs w:val="18"/>
              </w:rPr>
              <w:t>-Concerned line ministries</w:t>
            </w:r>
          </w:p>
          <w:p w:rsidR="00B025E0" w:rsidRPr="00E51DDA" w:rsidRDefault="00B025E0" w:rsidP="00576F19">
            <w:pPr>
              <w:spacing w:after="0"/>
              <w:rPr>
                <w:rFonts w:cs="Times New Roman"/>
                <w:sz w:val="18"/>
                <w:szCs w:val="18"/>
              </w:rPr>
            </w:pPr>
            <w:r w:rsidRPr="00E51DDA">
              <w:rPr>
                <w:rFonts w:cs="Times New Roman"/>
                <w:sz w:val="18"/>
                <w:szCs w:val="18"/>
              </w:rPr>
              <w:t>-Municipalities</w:t>
            </w:r>
          </w:p>
          <w:p w:rsidR="00B025E0" w:rsidRPr="00E51DDA" w:rsidRDefault="00B025E0" w:rsidP="00576F19">
            <w:pPr>
              <w:spacing w:after="0"/>
              <w:rPr>
                <w:rFonts w:cs="Times New Roman"/>
                <w:sz w:val="18"/>
                <w:szCs w:val="18"/>
              </w:rPr>
            </w:pPr>
            <w:r w:rsidRPr="00E51DDA">
              <w:rPr>
                <w:rFonts w:cs="Times New Roman"/>
                <w:sz w:val="18"/>
                <w:szCs w:val="18"/>
              </w:rPr>
              <w:t>-LWAs</w:t>
            </w: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Adoption of the Delta Plan</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lastRenderedPageBreak/>
              <w:t>Strengthen Private Sector Role</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Eliminate all regulatory restrictions on private sector participation in all aspects of Delta Plan implementation including supply of irrigation water, drinking water, sanitation services, waste water treatment, inland water transport, river dredging and eco-tourism.</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Enable full cost recovery of private investment</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 xml:space="preserve">Encourage joint-venture </w:t>
            </w:r>
            <w:r w:rsidR="00573016">
              <w:rPr>
                <w:rFonts w:cs="Times New Roman"/>
                <w:sz w:val="18"/>
                <w:szCs w:val="18"/>
              </w:rPr>
              <w:t>public</w:t>
            </w:r>
            <w:r w:rsidRPr="00E51DDA">
              <w:rPr>
                <w:rFonts w:cs="Times New Roman"/>
                <w:sz w:val="18"/>
                <w:szCs w:val="18"/>
              </w:rPr>
              <w:t>-private partnerships in the implementation of the Delta Plan.</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Establish prudential regulations on water quality and safety standards.</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t>-Cabinet</w:t>
            </w:r>
          </w:p>
          <w:p w:rsidR="00B025E0" w:rsidRPr="00E51DDA" w:rsidRDefault="00B025E0" w:rsidP="00576F19">
            <w:pPr>
              <w:spacing w:after="0"/>
              <w:rPr>
                <w:rFonts w:cs="Times New Roman"/>
                <w:sz w:val="18"/>
                <w:szCs w:val="18"/>
              </w:rPr>
            </w:pPr>
            <w:r w:rsidRPr="00E51DDA">
              <w:rPr>
                <w:rFonts w:cs="Times New Roman"/>
                <w:sz w:val="18"/>
                <w:szCs w:val="18"/>
              </w:rPr>
              <w:t>-Concerned line Ministries</w:t>
            </w: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Adoption of the Delta Plan</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t>Establish the Delta Knowledge Portal and  Bank</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Create a delta knowledge bank within the Delta Commission: (a) collate all relevant delta-related knowledge globally and nationally into a digitized knowledge library; (b) establish a delta data bank; and (c) develop and implement work program to update knowledge and data.</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Develop a 3-5 year data and research work programme with annual targets.</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 xml:space="preserve">Implement work programme in partnership with BBS, BUET, IWM, CEGIS, other relevant </w:t>
            </w:r>
            <w:r w:rsidR="00573016">
              <w:rPr>
                <w:rFonts w:cs="Times New Roman"/>
                <w:sz w:val="18"/>
                <w:szCs w:val="18"/>
              </w:rPr>
              <w:t>public</w:t>
            </w:r>
            <w:r w:rsidRPr="00E51DDA">
              <w:rPr>
                <w:rFonts w:cs="Times New Roman"/>
                <w:sz w:val="18"/>
                <w:szCs w:val="18"/>
              </w:rPr>
              <w:t xml:space="preserve"> and private research institutions.</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t>-Delta Commission</w:t>
            </w:r>
          </w:p>
          <w:p w:rsidR="00B025E0" w:rsidRPr="00E51DDA" w:rsidRDefault="00B025E0" w:rsidP="00576F19">
            <w:pPr>
              <w:spacing w:after="0"/>
              <w:rPr>
                <w:rFonts w:cs="Times New Roman"/>
                <w:strike/>
                <w:sz w:val="18"/>
                <w:szCs w:val="18"/>
              </w:rPr>
            </w:pP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Adoption of the Delta Plan</w:t>
            </w:r>
          </w:p>
        </w:tc>
      </w:tr>
      <w:tr w:rsidR="00B025E0" w:rsidRPr="00B21947" w:rsidTr="00576F19">
        <w:tc>
          <w:tcPr>
            <w:tcW w:w="637" w:type="pct"/>
          </w:tcPr>
          <w:p w:rsidR="00B025E0" w:rsidRPr="00E51DDA" w:rsidRDefault="00B025E0" w:rsidP="00576F19">
            <w:pPr>
              <w:spacing w:after="0"/>
              <w:rPr>
                <w:rFonts w:cs="Times New Roman"/>
                <w:sz w:val="18"/>
                <w:szCs w:val="18"/>
              </w:rPr>
            </w:pPr>
            <w:r w:rsidRPr="00E51DDA">
              <w:rPr>
                <w:rFonts w:cs="Times New Roman"/>
                <w:sz w:val="18"/>
                <w:szCs w:val="18"/>
              </w:rPr>
              <w:t>Establish an M&amp;E System for the Delta Plan</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Adopt a quantitative development results framework for monitoring and evaluation of the Delta Plan.</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Prepare annual reports on implementation of the Delta Plan.</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Do full M&amp;E of Delta Plan on a 3-year cycle</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Submit M&amp;E report to the Delta Governance Council and disseminate through the Delta Commission website.</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Delta Project level M&amp;E will be done by concerned line Ministries.</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E51DDA">
              <w:rPr>
                <w:rFonts w:cs="Times New Roman"/>
                <w:sz w:val="18"/>
                <w:szCs w:val="18"/>
              </w:rPr>
              <w:t xml:space="preserve">Delta Sectoral level M&amp;Es will be done by IMED and line Ministries. </w:t>
            </w:r>
          </w:p>
        </w:tc>
        <w:tc>
          <w:tcPr>
            <w:tcW w:w="770" w:type="pct"/>
          </w:tcPr>
          <w:p w:rsidR="00B025E0" w:rsidRPr="00E51DDA" w:rsidRDefault="00B025E0" w:rsidP="00576F19">
            <w:pPr>
              <w:spacing w:after="0"/>
              <w:rPr>
                <w:rFonts w:cs="Times New Roman"/>
                <w:sz w:val="18"/>
                <w:szCs w:val="18"/>
              </w:rPr>
            </w:pPr>
            <w:r w:rsidRPr="00E51DDA">
              <w:rPr>
                <w:rFonts w:cs="Times New Roman"/>
                <w:sz w:val="18"/>
                <w:szCs w:val="18"/>
              </w:rPr>
              <w:t>-Delta Commission</w:t>
            </w:r>
          </w:p>
          <w:p w:rsidR="00B025E0" w:rsidRPr="00E51DDA" w:rsidRDefault="00B025E0" w:rsidP="00576F19">
            <w:pPr>
              <w:spacing w:after="0"/>
              <w:rPr>
                <w:rFonts w:cs="Times New Roman"/>
                <w:sz w:val="18"/>
                <w:szCs w:val="18"/>
              </w:rPr>
            </w:pPr>
            <w:r w:rsidRPr="00E51DDA">
              <w:rPr>
                <w:rFonts w:cs="Times New Roman"/>
                <w:sz w:val="18"/>
                <w:szCs w:val="18"/>
              </w:rPr>
              <w:t>-Line Ministries</w:t>
            </w:r>
          </w:p>
          <w:p w:rsidR="00B025E0" w:rsidRPr="00E51DDA" w:rsidRDefault="00B025E0" w:rsidP="00576F19">
            <w:pPr>
              <w:spacing w:after="0"/>
              <w:rPr>
                <w:rFonts w:cs="Times New Roman"/>
                <w:sz w:val="18"/>
                <w:szCs w:val="18"/>
              </w:rPr>
            </w:pPr>
            <w:r w:rsidRPr="00E51DDA">
              <w:rPr>
                <w:rFonts w:cs="Times New Roman"/>
                <w:sz w:val="18"/>
                <w:szCs w:val="18"/>
              </w:rPr>
              <w:t>-IMED</w:t>
            </w:r>
          </w:p>
        </w:tc>
        <w:tc>
          <w:tcPr>
            <w:tcW w:w="719" w:type="pct"/>
          </w:tcPr>
          <w:p w:rsidR="00B025E0" w:rsidRPr="00E51DDA" w:rsidRDefault="00B025E0" w:rsidP="00576F19">
            <w:pPr>
              <w:spacing w:after="0"/>
              <w:rPr>
                <w:rFonts w:cs="Times New Roman"/>
                <w:sz w:val="18"/>
                <w:szCs w:val="18"/>
              </w:rPr>
            </w:pPr>
            <w:r w:rsidRPr="00E51DDA">
              <w:rPr>
                <w:rFonts w:cs="Times New Roman"/>
                <w:sz w:val="18"/>
                <w:szCs w:val="18"/>
              </w:rPr>
              <w:t>Adoption of the Delta Plan</w:t>
            </w:r>
          </w:p>
        </w:tc>
      </w:tr>
    </w:tbl>
    <w:p w:rsidR="00472FE2" w:rsidRDefault="00472FE2" w:rsidP="00981FB5">
      <w:pPr>
        <w:jc w:val="center"/>
        <w:rPr>
          <w:rFonts w:cs="Times New Roman"/>
          <w:b/>
        </w:rPr>
      </w:pPr>
    </w:p>
    <w:p w:rsidR="00B025E0" w:rsidRDefault="00B025E0" w:rsidP="00981FB5">
      <w:pPr>
        <w:jc w:val="center"/>
        <w:rPr>
          <w:rFonts w:cs="Times New Roman"/>
          <w:b/>
        </w:rPr>
      </w:pPr>
    </w:p>
    <w:p w:rsidR="00B025E0" w:rsidRDefault="00B025E0" w:rsidP="00981FB5">
      <w:pPr>
        <w:jc w:val="center"/>
        <w:rPr>
          <w:rFonts w:cs="Times New Roman"/>
          <w:b/>
        </w:rPr>
      </w:pPr>
    </w:p>
    <w:p w:rsidR="005A0CAD" w:rsidRDefault="005A0CAD" w:rsidP="00981FB5">
      <w:pPr>
        <w:jc w:val="center"/>
        <w:rPr>
          <w:rFonts w:cs="Times New Roman"/>
          <w:b/>
        </w:rPr>
      </w:pPr>
    </w:p>
    <w:p w:rsidR="005A0CAD" w:rsidRPr="00981FB5" w:rsidRDefault="005A0CAD" w:rsidP="00981FB5">
      <w:pPr>
        <w:jc w:val="center"/>
        <w:rPr>
          <w:rFonts w:cs="Times New Roman"/>
          <w:b/>
        </w:rPr>
      </w:pPr>
    </w:p>
    <w:p w:rsidR="009B3B69" w:rsidRDefault="009B3B69" w:rsidP="00987C99">
      <w:pPr>
        <w:spacing w:line="276" w:lineRule="auto"/>
        <w:jc w:val="both"/>
        <w:rPr>
          <w:rFonts w:cs="Times New Roman"/>
          <w:szCs w:val="24"/>
        </w:rPr>
      </w:pPr>
    </w:p>
    <w:p w:rsidR="009B3B69" w:rsidRDefault="009B3B69">
      <w:pPr>
        <w:rPr>
          <w:rFonts w:cs="Times New Roman"/>
          <w:szCs w:val="24"/>
        </w:rPr>
      </w:pPr>
      <w:r>
        <w:rPr>
          <w:rFonts w:cs="Times New Roman"/>
          <w:szCs w:val="24"/>
        </w:rPr>
        <w:br w:type="page"/>
      </w:r>
    </w:p>
    <w:p w:rsidR="00981FB5" w:rsidRPr="00987C99" w:rsidRDefault="00981FB5" w:rsidP="00987C99">
      <w:pPr>
        <w:spacing w:line="276" w:lineRule="auto"/>
        <w:jc w:val="both"/>
        <w:rPr>
          <w:rFonts w:cs="Times New Roman"/>
          <w:szCs w:val="24"/>
        </w:rPr>
      </w:pPr>
    </w:p>
    <w:p w:rsidR="009B3B69" w:rsidRDefault="009B3B69" w:rsidP="007C54D3">
      <w:pPr>
        <w:jc w:val="both"/>
      </w:pPr>
    </w:p>
    <w:p w:rsidR="009B3B69" w:rsidRDefault="009B3B69" w:rsidP="007C54D3">
      <w:pPr>
        <w:jc w:val="both"/>
      </w:pPr>
    </w:p>
    <w:p w:rsidR="009B3B69" w:rsidRDefault="009B3B69" w:rsidP="007C54D3">
      <w:pPr>
        <w:jc w:val="both"/>
      </w:pPr>
    </w:p>
    <w:p w:rsidR="009B3B69" w:rsidRDefault="009B3B69" w:rsidP="007C54D3">
      <w:pPr>
        <w:jc w:val="both"/>
      </w:pPr>
    </w:p>
    <w:p w:rsidR="009B3B69" w:rsidRDefault="009B3B69" w:rsidP="007C54D3">
      <w:pPr>
        <w:jc w:val="both"/>
      </w:pPr>
    </w:p>
    <w:p w:rsidR="009B3B69" w:rsidRDefault="009B3B69" w:rsidP="007C54D3">
      <w:pPr>
        <w:jc w:val="both"/>
      </w:pPr>
    </w:p>
    <w:p w:rsidR="009B3B69" w:rsidRDefault="009B3B69" w:rsidP="007C54D3">
      <w:pPr>
        <w:jc w:val="both"/>
      </w:pPr>
    </w:p>
    <w:p w:rsidR="009B3B69" w:rsidRDefault="009B3B69" w:rsidP="007C54D3">
      <w:pPr>
        <w:jc w:val="both"/>
      </w:pPr>
    </w:p>
    <w:p w:rsidR="009B3B69" w:rsidRPr="009B3B69" w:rsidRDefault="009B3B69" w:rsidP="009B3B69">
      <w:pPr>
        <w:jc w:val="center"/>
        <w:rPr>
          <w:sz w:val="28"/>
        </w:rPr>
      </w:pPr>
      <w:r w:rsidRPr="009B3B69">
        <w:rPr>
          <w:sz w:val="48"/>
        </w:rPr>
        <w:t>PART 1</w:t>
      </w:r>
    </w:p>
    <w:p w:rsidR="007C54D3" w:rsidRPr="009B3B69" w:rsidRDefault="009B3B69" w:rsidP="009B3B69">
      <w:pPr>
        <w:jc w:val="center"/>
        <w:rPr>
          <w:rFonts w:eastAsiaTheme="majorEastAsia" w:cs="Times New Roman"/>
          <w:b/>
          <w:bCs/>
          <w:sz w:val="32"/>
          <w:szCs w:val="32"/>
        </w:rPr>
      </w:pPr>
      <w:r w:rsidRPr="009B3B69">
        <w:rPr>
          <w:b/>
          <w:sz w:val="48"/>
        </w:rPr>
        <w:t>SUMMARY OF MAIN FINDINGS</w:t>
      </w:r>
      <w:r w:rsidR="007C54D3" w:rsidRPr="009B3B69">
        <w:rPr>
          <w:b/>
        </w:rPr>
        <w:br w:type="page"/>
      </w:r>
    </w:p>
    <w:p w:rsidR="006E3B8A" w:rsidRPr="007C54D3" w:rsidRDefault="007C54D3" w:rsidP="008C0601">
      <w:pPr>
        <w:pStyle w:val="Heading1"/>
      </w:pPr>
      <w:bookmarkStart w:id="8" w:name="_Toc474638831"/>
      <w:r w:rsidRPr="007C54D3">
        <w:lastRenderedPageBreak/>
        <w:t>Summary of Main Findings</w:t>
      </w:r>
      <w:r>
        <w:t xml:space="preserve"> of BDP2100</w:t>
      </w:r>
      <w:bookmarkEnd w:id="8"/>
    </w:p>
    <w:p w:rsidR="00000000" w:rsidRDefault="006E3B8A" w:rsidP="003D5A31">
      <w:pPr>
        <w:pStyle w:val="ListParagraph"/>
        <w:numPr>
          <w:ilvl w:val="0"/>
          <w:numId w:val="129"/>
        </w:numPr>
        <w:spacing w:line="276" w:lineRule="auto"/>
        <w:jc w:val="both"/>
        <w:rPr>
          <w:rFonts w:cs="Times New Roman"/>
          <w:color w:val="1F497D" w:themeColor="text2"/>
          <w:szCs w:val="24"/>
        </w:rPr>
      </w:pPr>
      <w:r w:rsidRPr="007C54D3">
        <w:rPr>
          <w:rFonts w:cs="Times New Roman"/>
          <w:b/>
          <w:color w:val="1F497D" w:themeColor="text2"/>
          <w:szCs w:val="24"/>
        </w:rPr>
        <w:t>Overview</w:t>
      </w:r>
    </w:p>
    <w:p w:rsidR="006E3B8A" w:rsidRPr="00117449" w:rsidRDefault="006E3B8A" w:rsidP="00912C7F">
      <w:pPr>
        <w:spacing w:line="276" w:lineRule="auto"/>
        <w:jc w:val="both"/>
        <w:rPr>
          <w:rFonts w:cs="Times New Roman"/>
          <w:szCs w:val="24"/>
        </w:rPr>
      </w:pPr>
      <w:r w:rsidRPr="00117449">
        <w:rPr>
          <w:rFonts w:cs="Times New Roman"/>
          <w:szCs w:val="24"/>
        </w:rPr>
        <w:t>Over the past 44 years since independence Bangladesh has secured tremendous gains in development.  GDP growth has climbed from less than 4% in the early 1970s to around 7%  in 2015; per capita income has surged from less  than US$ 100 in 1972  to US$14</w:t>
      </w:r>
      <w:r w:rsidR="00065A4A">
        <w:rPr>
          <w:rFonts w:cs="Times New Roman"/>
          <w:szCs w:val="24"/>
        </w:rPr>
        <w:t>65</w:t>
      </w:r>
      <w:r w:rsidRPr="00117449">
        <w:rPr>
          <w:rFonts w:cs="Times New Roman"/>
          <w:szCs w:val="24"/>
        </w:rPr>
        <w:t xml:space="preserve"> in FY2016; poverty has fallen from more than 75% in the early 1970s to 24% in 2015; fertility rate has decelerated from 7.3 in 1974 to 2.1 in 2014; life expectancy has increased from 55 years in 1974 to 71 years in 2015;  child mortality has declined from 240 per thousand  from  1974 to 31 in 2014; and adult literacy has increased from 22% to 64% over the same period. Bangladesh has achieved food self-sufficiency and the economy is transforming from an agrarian base towards a modern manufacturing and services economy. In 2015 Bangladesh crossed over from a World Bank classified low-income economy to a lower middle income economy.</w:t>
      </w:r>
    </w:p>
    <w:p w:rsidR="006E3B8A" w:rsidRPr="00117449" w:rsidRDefault="006E3B8A" w:rsidP="00912C7F">
      <w:pPr>
        <w:spacing w:line="276" w:lineRule="auto"/>
        <w:jc w:val="both"/>
        <w:rPr>
          <w:rFonts w:cs="Times New Roman"/>
          <w:szCs w:val="24"/>
        </w:rPr>
      </w:pPr>
      <w:r w:rsidRPr="00117449">
        <w:rPr>
          <w:rFonts w:cs="Times New Roman"/>
          <w:szCs w:val="24"/>
        </w:rPr>
        <w:t xml:space="preserve">These indicators of an exceptionally strong development record have inspired the country to aim even higher.  The country now aspires to reach the upper middle income status by </w:t>
      </w:r>
      <w:r w:rsidR="007C54D3">
        <w:rPr>
          <w:rFonts w:cs="Times New Roman"/>
          <w:szCs w:val="24"/>
        </w:rPr>
        <w:t>FY2031</w:t>
      </w:r>
      <w:r w:rsidRPr="00117449">
        <w:rPr>
          <w:rFonts w:cs="Times New Roman"/>
          <w:szCs w:val="24"/>
        </w:rPr>
        <w:t>.  The past gains were secured on the basis of many sound development policies and taking advantage of the hugely abundant supply of labor, a very fertile land and plenty of water and monsoon rains. The Bangladesh Delta, the largest delta of the world, along with a large and growing population base</w:t>
      </w:r>
      <w:r w:rsidR="00E512AD">
        <w:rPr>
          <w:rFonts w:cs="Times New Roman"/>
          <w:szCs w:val="24"/>
        </w:rPr>
        <w:t>,</w:t>
      </w:r>
      <w:r w:rsidRPr="00117449">
        <w:rPr>
          <w:rFonts w:cs="Times New Roman"/>
          <w:szCs w:val="24"/>
        </w:rPr>
        <w:t xml:space="preserve"> presented many advantages that the people and policy makers converted into opportunities to secure the above development gains.  </w:t>
      </w:r>
    </w:p>
    <w:p w:rsidR="006E3B8A" w:rsidRPr="00117449" w:rsidRDefault="006E3B8A" w:rsidP="00912C7F">
      <w:pPr>
        <w:spacing w:line="276" w:lineRule="auto"/>
        <w:jc w:val="both"/>
        <w:rPr>
          <w:rFonts w:cs="Times New Roman"/>
          <w:szCs w:val="24"/>
        </w:rPr>
      </w:pPr>
      <w:r w:rsidRPr="00117449">
        <w:rPr>
          <w:rFonts w:cs="Times New Roman"/>
          <w:szCs w:val="24"/>
        </w:rPr>
        <w:t>Yet, the same delta and high population density presents many development challenges. With a population of 160 millio</w:t>
      </w:r>
      <w:r w:rsidR="00E512AD">
        <w:rPr>
          <w:rFonts w:cs="Times New Roman"/>
          <w:szCs w:val="24"/>
        </w:rPr>
        <w:t xml:space="preserve">n crammed into </w:t>
      </w:r>
      <w:r w:rsidRPr="00117449">
        <w:rPr>
          <w:rFonts w:cs="Times New Roman"/>
          <w:szCs w:val="24"/>
        </w:rPr>
        <w:t>144 thousand square kilometers including rivers, Bangladesh at 1200 people per square kilometer is the most densely populated country in the world, excluding some small island economies with less than 2 million people and the city states of Hongkong and Singapore. Owing to the deltaic formation of the country, the configuration of the rivers and climate change, Bangladesh has been ranked as the 5</w:t>
      </w:r>
      <w:r w:rsidRPr="00117449">
        <w:rPr>
          <w:rFonts w:cs="Times New Roman"/>
          <w:szCs w:val="24"/>
          <w:vertAlign w:val="superscript"/>
        </w:rPr>
        <w:t>th</w:t>
      </w:r>
      <w:r w:rsidRPr="00117449">
        <w:rPr>
          <w:rFonts w:cs="Times New Roman"/>
          <w:szCs w:val="24"/>
        </w:rPr>
        <w:t xml:space="preserve"> most vulnerable country in the world in terms of risks from natural hazards. Tidal surge, salinity, flooding, river erosion and cyclones are regular features of the country. These features pose a continuous challenge to food security for the country and livelihood for a large part of the rural population. These delta-related challenges are just one source of challenge. The country faces other challenges from growing urbanization, declining land availability, infrastructure shortages, energy supply constraints and labor skills. The interface of these multiple challenges with limited </w:t>
      </w:r>
      <w:r w:rsidR="00573016">
        <w:rPr>
          <w:rFonts w:cs="Times New Roman"/>
          <w:szCs w:val="24"/>
        </w:rPr>
        <w:t>public</w:t>
      </w:r>
      <w:r w:rsidRPr="00117449">
        <w:rPr>
          <w:rFonts w:cs="Times New Roman"/>
          <w:szCs w:val="24"/>
        </w:rPr>
        <w:t xml:space="preserve"> resources and a heavily constrained </w:t>
      </w:r>
      <w:r w:rsidR="00573016">
        <w:rPr>
          <w:rFonts w:cs="Times New Roman"/>
          <w:szCs w:val="24"/>
        </w:rPr>
        <w:t>public</w:t>
      </w:r>
      <w:r w:rsidRPr="00117449">
        <w:rPr>
          <w:rFonts w:cs="Times New Roman"/>
          <w:szCs w:val="24"/>
        </w:rPr>
        <w:t xml:space="preserve"> sector capacity define the policy and institutional challenges of </w:t>
      </w:r>
      <w:r w:rsidR="00E512AD">
        <w:rPr>
          <w:rFonts w:cs="Times New Roman"/>
          <w:szCs w:val="24"/>
        </w:rPr>
        <w:t xml:space="preserve">lower </w:t>
      </w:r>
      <w:r w:rsidRPr="00117449">
        <w:rPr>
          <w:rFonts w:cs="Times New Roman"/>
          <w:szCs w:val="24"/>
        </w:rPr>
        <w:t xml:space="preserve">middle income Bangladesh. </w:t>
      </w:r>
      <w:r w:rsidR="00E512AD">
        <w:rPr>
          <w:rFonts w:cs="Times New Roman"/>
          <w:szCs w:val="24"/>
        </w:rPr>
        <w:t>Even so, p</w:t>
      </w:r>
      <w:r w:rsidRPr="00117449">
        <w:rPr>
          <w:rFonts w:cs="Times New Roman"/>
          <w:szCs w:val="24"/>
        </w:rPr>
        <w:t xml:space="preserve">ast track record gives comfort that </w:t>
      </w:r>
      <w:r w:rsidR="00E512AD">
        <w:rPr>
          <w:rFonts w:cs="Times New Roman"/>
          <w:szCs w:val="24"/>
        </w:rPr>
        <w:t xml:space="preserve">with strong determination and effort, </w:t>
      </w:r>
      <w:r w:rsidRPr="00117449">
        <w:rPr>
          <w:rFonts w:cs="Times New Roman"/>
          <w:szCs w:val="24"/>
        </w:rPr>
        <w:t>the country ha</w:t>
      </w:r>
      <w:r w:rsidR="00E512AD">
        <w:rPr>
          <w:rFonts w:cs="Times New Roman"/>
          <w:szCs w:val="24"/>
        </w:rPr>
        <w:t>s the capability to attack these challenges</w:t>
      </w:r>
      <w:r w:rsidRPr="00117449">
        <w:rPr>
          <w:rFonts w:cs="Times New Roman"/>
          <w:szCs w:val="24"/>
        </w:rPr>
        <w:t xml:space="preserve">.  </w:t>
      </w:r>
    </w:p>
    <w:p w:rsidR="006E3B8A" w:rsidRPr="00117449" w:rsidRDefault="006E3B8A" w:rsidP="00912C7F">
      <w:pPr>
        <w:spacing w:line="276" w:lineRule="auto"/>
        <w:jc w:val="both"/>
        <w:rPr>
          <w:rFonts w:cs="Times New Roman"/>
          <w:szCs w:val="24"/>
        </w:rPr>
      </w:pPr>
      <w:r w:rsidRPr="00117449">
        <w:rPr>
          <w:rFonts w:cs="Times New Roman"/>
          <w:szCs w:val="24"/>
        </w:rPr>
        <w:t>In view of the special long-term challenges presented by climate change and natural hazards, the Governmen</w:t>
      </w:r>
      <w:r w:rsidR="00E512AD">
        <w:rPr>
          <w:rFonts w:cs="Times New Roman"/>
          <w:szCs w:val="24"/>
        </w:rPr>
        <w:t>t has decided to develop a long-</w:t>
      </w:r>
      <w:r w:rsidRPr="00117449">
        <w:rPr>
          <w:rFonts w:cs="Times New Roman"/>
          <w:szCs w:val="24"/>
        </w:rPr>
        <w:t>term Bangladesh Delta Strategy 2100 (BDP2100)</w:t>
      </w:r>
      <w:r w:rsidR="00E512AD">
        <w:rPr>
          <w:rFonts w:cs="Times New Roman"/>
          <w:szCs w:val="24"/>
        </w:rPr>
        <w:t xml:space="preserve">. </w:t>
      </w:r>
      <w:r w:rsidR="000023B7">
        <w:rPr>
          <w:rFonts w:cs="Times New Roman"/>
          <w:szCs w:val="24"/>
        </w:rPr>
        <w:lastRenderedPageBreak/>
        <w:t xml:space="preserve">The </w:t>
      </w:r>
      <w:r w:rsidR="00E512AD">
        <w:rPr>
          <w:rFonts w:cs="Times New Roman"/>
          <w:szCs w:val="24"/>
        </w:rPr>
        <w:t xml:space="preserve">BDP2100 </w:t>
      </w:r>
      <w:r w:rsidRPr="00117449">
        <w:rPr>
          <w:rFonts w:cs="Times New Roman"/>
          <w:szCs w:val="24"/>
        </w:rPr>
        <w:t>seeks to integrate the short-to medium term aspirations of Bangladesh to achieve upper middle income</w:t>
      </w:r>
      <w:r w:rsidR="00E512AD">
        <w:rPr>
          <w:rFonts w:cs="Times New Roman"/>
          <w:szCs w:val="24"/>
        </w:rPr>
        <w:t xml:space="preserve"> (UMIC)</w:t>
      </w:r>
      <w:r w:rsidRPr="00117449">
        <w:rPr>
          <w:rFonts w:cs="Times New Roman"/>
          <w:szCs w:val="24"/>
        </w:rPr>
        <w:t xml:space="preserve"> status and eliminat</w:t>
      </w:r>
      <w:r w:rsidR="000023B7">
        <w:rPr>
          <w:rFonts w:cs="Times New Roman"/>
          <w:szCs w:val="24"/>
        </w:rPr>
        <w:t>e extreme poverty by FY2031</w:t>
      </w:r>
      <w:r w:rsidRPr="00117449">
        <w:rPr>
          <w:rFonts w:cs="Times New Roman"/>
          <w:szCs w:val="24"/>
        </w:rPr>
        <w:t xml:space="preserve"> with the longer-term challenge</w:t>
      </w:r>
      <w:r w:rsidR="000023B7">
        <w:rPr>
          <w:rFonts w:cs="Times New Roman"/>
          <w:szCs w:val="24"/>
        </w:rPr>
        <w:t>s</w:t>
      </w:r>
      <w:r w:rsidRPr="00117449">
        <w:rPr>
          <w:rFonts w:cs="Times New Roman"/>
          <w:szCs w:val="24"/>
        </w:rPr>
        <w:t xml:space="preserve"> of sustainable management of water, ecology, environment and land resources. The BDP2100 looks primarily at the medium-term delta agenda (2016-40) but is mindful that the decisions taken today have implications for the longer-term agenda for 2040 and beyond.  In this regard, it sets up a long-term vision for the evolution of the Bangladesh Delta by the end of the 21</w:t>
      </w:r>
      <w:r w:rsidRPr="00117449">
        <w:rPr>
          <w:rFonts w:cs="Times New Roman"/>
          <w:szCs w:val="24"/>
          <w:vertAlign w:val="superscript"/>
        </w:rPr>
        <w:t>st</w:t>
      </w:r>
      <w:r w:rsidRPr="00117449">
        <w:rPr>
          <w:rFonts w:cs="Times New Roman"/>
          <w:szCs w:val="24"/>
        </w:rPr>
        <w:t xml:space="preserve"> Century, but defines short and medium-term goals as steps to reach that vision. These goals, associated strategies, policies, institutions and investments are moving targets and adaptive in nature. They are adaptive to changing natural events in order </w:t>
      </w:r>
      <w:r w:rsidR="00E512AD">
        <w:rPr>
          <w:rFonts w:cs="Times New Roman"/>
          <w:szCs w:val="24"/>
        </w:rPr>
        <w:t xml:space="preserve">to </w:t>
      </w:r>
      <w:r w:rsidRPr="00117449">
        <w:rPr>
          <w:rFonts w:cs="Times New Roman"/>
          <w:szCs w:val="24"/>
        </w:rPr>
        <w:t xml:space="preserve">respond appropriately and stay the course to the path of the long-term vision.  </w:t>
      </w:r>
    </w:p>
    <w:p w:rsidR="00065A4A" w:rsidRDefault="006E3B8A" w:rsidP="004B0A08">
      <w:pPr>
        <w:spacing w:line="276" w:lineRule="auto"/>
        <w:jc w:val="both"/>
        <w:rPr>
          <w:szCs w:val="24"/>
        </w:rPr>
      </w:pPr>
      <w:r w:rsidRPr="00117449">
        <w:rPr>
          <w:rFonts w:cs="Times New Roman"/>
          <w:szCs w:val="24"/>
        </w:rPr>
        <w:t xml:space="preserve">In view of the best practice Dutch Delta management experience, the Government has requested technical assistance from the Government of Netherlands to help Bangladesh develop this BDP2100. The General Economics Division (GED) of the Planning Commission of the Government of Bangladesh has been assigned the coordination role to put together the BDP2100, with support from Dutch and national experts.  </w:t>
      </w:r>
    </w:p>
    <w:p w:rsidR="00000000" w:rsidRDefault="00065A4A" w:rsidP="003D5A31">
      <w:pPr>
        <w:pStyle w:val="ListParagraph"/>
        <w:numPr>
          <w:ilvl w:val="0"/>
          <w:numId w:val="129"/>
        </w:numPr>
        <w:spacing w:line="276" w:lineRule="auto"/>
        <w:jc w:val="both"/>
        <w:rPr>
          <w:szCs w:val="24"/>
        </w:rPr>
      </w:pPr>
      <w:r w:rsidRPr="004B0A08">
        <w:rPr>
          <w:b/>
        </w:rPr>
        <w:t>Need for a Delta Plan</w:t>
      </w:r>
    </w:p>
    <w:p w:rsidR="00EF0884" w:rsidRPr="00A41875" w:rsidRDefault="00065A4A" w:rsidP="00A41875">
      <w:pPr>
        <w:spacing w:line="276" w:lineRule="auto"/>
        <w:jc w:val="both"/>
      </w:pPr>
      <w:r w:rsidRPr="00A41875">
        <w:t xml:space="preserve">A number of sectoral initiatives and plans for water and agricultural development sectors have been adopted in Bangladesh since 1960. Furthermore, national-level strategic plans such as the Five Year Plans and Perspective Plan have been formulated by the Government. More recently, the 17 Sustainable Development Goals with 169 targets, is a new global agenda and Bangladesh is highly committed to meeting these goals. However, the challenge lies in integrating these sectoral, national and global targets and plans into long-term coherent strategies taking climate change and future demands into account, as well </w:t>
      </w:r>
      <w:r w:rsidR="00574E07" w:rsidRPr="00A41875">
        <w:t>as in</w:t>
      </w:r>
      <w:r w:rsidRPr="00A41875">
        <w:t xml:space="preserve"> effective implementation of the needed interventions in a well-coordinated manner. </w:t>
      </w:r>
    </w:p>
    <w:p w:rsidR="00065A4A" w:rsidRPr="00A41875" w:rsidRDefault="00065A4A" w:rsidP="00A41875">
      <w:pPr>
        <w:spacing w:line="276" w:lineRule="auto"/>
        <w:jc w:val="both"/>
      </w:pPr>
      <w:r w:rsidRPr="00A41875">
        <w:t xml:space="preserve">Typically, the sectoral plans tend to be short-term oriented and independently pursued by the formulating ministries or departments. Whereas, goals and targets are at the national level and climate change and </w:t>
      </w:r>
      <w:r w:rsidR="00EF0884" w:rsidRPr="00A41875">
        <w:t>natural disaster risks present major downside risks and uncertainties</w:t>
      </w:r>
      <w:r w:rsidR="00AD275A" w:rsidRPr="00A41875">
        <w:t xml:space="preserve"> that require long-term strategies and </w:t>
      </w:r>
      <w:r w:rsidR="00574E07" w:rsidRPr="00A41875">
        <w:t xml:space="preserve">multi-sectoral coordinated </w:t>
      </w:r>
      <w:r w:rsidR="00AD275A" w:rsidRPr="00A41875">
        <w:t>policy management under uncertainty</w:t>
      </w:r>
      <w:r w:rsidR="00EF0884" w:rsidRPr="00A41875">
        <w:t xml:space="preserve">. For example, </w:t>
      </w:r>
      <w:r w:rsidRPr="00A41875">
        <w:t xml:space="preserve">the </w:t>
      </w:r>
      <w:r w:rsidR="00EF0884" w:rsidRPr="00A41875">
        <w:t>national challenge</w:t>
      </w:r>
      <w:r w:rsidR="00574E07" w:rsidRPr="00A41875">
        <w:t xml:space="preserve"> </w:t>
      </w:r>
      <w:r w:rsidRPr="00A41875">
        <w:t xml:space="preserve">to maintain food sufficiency in </w:t>
      </w:r>
      <w:r w:rsidR="00EF0884" w:rsidRPr="00A41875">
        <w:t xml:space="preserve">the </w:t>
      </w:r>
      <w:r w:rsidRPr="00A41875">
        <w:t>face of increasing population and decreasing agricultural land as well as the threat posed by climate change</w:t>
      </w:r>
      <w:r w:rsidR="00257ED3" w:rsidRPr="00A41875">
        <w:t xml:space="preserve"> requires coordinated policy actions involving ministries of agriculture, environment, land management, </w:t>
      </w:r>
      <w:r w:rsidR="007B4369" w:rsidRPr="00A41875">
        <w:t>f</w:t>
      </w:r>
      <w:r w:rsidR="00257ED3" w:rsidRPr="00A41875">
        <w:t>isheries an</w:t>
      </w:r>
      <w:r w:rsidR="007B4369" w:rsidRPr="00A41875">
        <w:t>d l</w:t>
      </w:r>
      <w:r w:rsidR="00257ED3" w:rsidRPr="00A41875">
        <w:t xml:space="preserve">ivestock, </w:t>
      </w:r>
      <w:r w:rsidR="007B4369" w:rsidRPr="00A41875">
        <w:t>w</w:t>
      </w:r>
      <w:r w:rsidR="00257ED3" w:rsidRPr="00A41875">
        <w:t>ater, LGED,</w:t>
      </w:r>
      <w:r w:rsidR="007B4369" w:rsidRPr="00A41875">
        <w:t xml:space="preserve"> finance and planning</w:t>
      </w:r>
      <w:r w:rsidRPr="00A41875">
        <w:t xml:space="preserve">. </w:t>
      </w:r>
      <w:r w:rsidR="00EF0884" w:rsidRPr="00A41875">
        <w:t>Similarly, t</w:t>
      </w:r>
      <w:r w:rsidRPr="00A41875">
        <w:t>o meet the higher water demand for achieving a greater standard of living and to protect the ever increasing level of investment in housing and industry from disasters, Bangladesh needs a lo</w:t>
      </w:r>
      <w:r w:rsidR="007B4369" w:rsidRPr="00A41875">
        <w:t xml:space="preserve">ng-term vision, </w:t>
      </w:r>
      <w:r w:rsidRPr="00A41875">
        <w:t>planning</w:t>
      </w:r>
      <w:r w:rsidR="007B4369" w:rsidRPr="00A41875">
        <w:t xml:space="preserve"> and implementation involving all government agencies and ministries that contribute to this objective</w:t>
      </w:r>
      <w:r w:rsidRPr="00A41875">
        <w:t>.</w:t>
      </w:r>
    </w:p>
    <w:p w:rsidR="00065A4A" w:rsidRPr="00A41875" w:rsidRDefault="004150E0" w:rsidP="00912C7F">
      <w:pPr>
        <w:spacing w:line="276" w:lineRule="auto"/>
        <w:jc w:val="both"/>
      </w:pPr>
      <w:r w:rsidRPr="00A41875">
        <w:rPr>
          <w:rFonts w:cs="Segoe UI"/>
          <w:szCs w:val="19"/>
          <w:lang w:val="en-GB"/>
        </w:rPr>
        <w:lastRenderedPageBreak/>
        <w:t>Due to the large uncertainties with respect to climate change and socio-economic development, planning is being enriched with adaptive strategy making in several deltas in the world. Rather than providing linear recipes, robust and flexible strategies and measures have been taken, with strong institutions and a good knowledge base that allows policy makers and stakeholders to anticipate and decide on the mo</w:t>
      </w:r>
      <w:r w:rsidR="007B4369" w:rsidRPr="00A41875">
        <w:rPr>
          <w:rFonts w:cs="Segoe UI"/>
          <w:szCs w:val="19"/>
          <w:lang w:val="en-GB"/>
        </w:rPr>
        <w:t>st appropriate investments. Learning from these international experiences,</w:t>
      </w:r>
      <w:r w:rsidRPr="00A41875">
        <w:rPr>
          <w:rFonts w:cs="Segoe UI"/>
          <w:szCs w:val="19"/>
          <w:lang w:val="en-GB"/>
        </w:rPr>
        <w:t xml:space="preserve"> BDP2100 has been </w:t>
      </w:r>
      <w:r w:rsidR="007B4369" w:rsidRPr="00A41875">
        <w:rPr>
          <w:rFonts w:cs="Segoe UI"/>
          <w:szCs w:val="19"/>
          <w:lang w:val="en-GB"/>
        </w:rPr>
        <w:t xml:space="preserve">similarly </w:t>
      </w:r>
      <w:r w:rsidRPr="00A41875">
        <w:rPr>
          <w:rFonts w:cs="Segoe UI"/>
          <w:szCs w:val="19"/>
          <w:lang w:val="en-GB"/>
        </w:rPr>
        <w:t>developed in light of t</w:t>
      </w:r>
      <w:r w:rsidR="007B4369" w:rsidRPr="00A41875">
        <w:rPr>
          <w:rFonts w:cs="Segoe UI"/>
          <w:szCs w:val="19"/>
          <w:lang w:val="en-GB"/>
        </w:rPr>
        <w:t>he many possible future paths that are possible</w:t>
      </w:r>
      <w:r w:rsidRPr="00A41875">
        <w:rPr>
          <w:rFonts w:cs="Segoe UI"/>
          <w:szCs w:val="19"/>
          <w:lang w:val="en-GB"/>
        </w:rPr>
        <w:t>, and is designed to be changed over time as new information becomes available or policy priorities change. So instead of only focusing on short-term ‘trial and error’ actions and projects, the idea is to keep the lon</w:t>
      </w:r>
      <w:r w:rsidR="007B4369" w:rsidRPr="00A41875">
        <w:rPr>
          <w:rFonts w:cs="Segoe UI"/>
          <w:szCs w:val="19"/>
          <w:lang w:val="en-GB"/>
        </w:rPr>
        <w:t>g-</w:t>
      </w:r>
      <w:r w:rsidRPr="00A41875">
        <w:rPr>
          <w:rFonts w:cs="Segoe UI"/>
          <w:szCs w:val="19"/>
          <w:lang w:val="en-GB"/>
        </w:rPr>
        <w:t>term vision in mind while prioritizing short-term ‘no regret’ actions.</w:t>
      </w:r>
    </w:p>
    <w:p w:rsidR="00000000" w:rsidRDefault="006E3B8A" w:rsidP="003D5A31">
      <w:pPr>
        <w:pStyle w:val="BodyText"/>
        <w:numPr>
          <w:ilvl w:val="0"/>
          <w:numId w:val="129"/>
        </w:numPr>
        <w:spacing w:after="240" w:line="276" w:lineRule="auto"/>
        <w:jc w:val="both"/>
        <w:rPr>
          <w:rFonts w:cs="Times New Roman"/>
          <w:b/>
          <w:szCs w:val="24"/>
        </w:rPr>
      </w:pPr>
      <w:r w:rsidRPr="00117449">
        <w:rPr>
          <w:rFonts w:cs="Times New Roman"/>
          <w:b/>
          <w:szCs w:val="24"/>
        </w:rPr>
        <w:t>Analytical Framework</w:t>
      </w:r>
    </w:p>
    <w:p w:rsidR="006E3B8A" w:rsidRPr="00117449" w:rsidRDefault="006E3B8A" w:rsidP="00912C7F">
      <w:pPr>
        <w:pStyle w:val="BodyText"/>
        <w:spacing w:after="240" w:line="276" w:lineRule="auto"/>
        <w:jc w:val="both"/>
        <w:rPr>
          <w:rFonts w:cs="Times New Roman"/>
          <w:szCs w:val="24"/>
        </w:rPr>
      </w:pPr>
      <w:r w:rsidRPr="00117449">
        <w:rPr>
          <w:rFonts w:cs="Times New Roman"/>
          <w:szCs w:val="24"/>
        </w:rPr>
        <w:t xml:space="preserve">The Bangladesh Delta is variously defined in the literature.  This report uses the most </w:t>
      </w:r>
      <w:r w:rsidR="00381EA7">
        <w:rPr>
          <w:rFonts w:cs="Times New Roman"/>
          <w:szCs w:val="24"/>
        </w:rPr>
        <w:t>expansive definition of the d</w:t>
      </w:r>
      <w:r w:rsidRPr="00117449">
        <w:rPr>
          <w:rFonts w:cs="Times New Roman"/>
          <w:szCs w:val="24"/>
        </w:rPr>
        <w:t>elta that basically encompasses almost all districts of Bangladesh because they face numerous weather and climate change risks related to their location either around the sea, around major rivers or in water scarce zone. Only six districts are relatively risk free owing to their location away from sea and active rivers and they do not face any unusual water shortage</w:t>
      </w:r>
      <w:r w:rsidR="000023B7">
        <w:rPr>
          <w:rFonts w:cs="Times New Roman"/>
          <w:szCs w:val="24"/>
        </w:rPr>
        <w:t>s</w:t>
      </w:r>
      <w:r w:rsidRPr="00117449">
        <w:rPr>
          <w:rFonts w:cs="Times New Roman"/>
          <w:szCs w:val="24"/>
        </w:rPr>
        <w:t>. The BDP2100 is essentially an adaptive strategic planning involving the interaction of water, land use, ecosystem and climate change</w:t>
      </w:r>
      <w:r w:rsidR="00E65177">
        <w:rPr>
          <w:rFonts w:cs="Times New Roman"/>
          <w:szCs w:val="24"/>
        </w:rPr>
        <w:t xml:space="preserve"> with </w:t>
      </w:r>
      <w:r w:rsidR="000023B7">
        <w:rPr>
          <w:rFonts w:cs="Times New Roman"/>
          <w:szCs w:val="24"/>
        </w:rPr>
        <w:t>development</w:t>
      </w:r>
      <w:r w:rsidR="00E65177">
        <w:rPr>
          <w:rFonts w:cs="Times New Roman"/>
          <w:szCs w:val="24"/>
        </w:rPr>
        <w:t xml:space="preserve"> outcomes</w:t>
      </w:r>
      <w:r w:rsidRPr="00117449">
        <w:rPr>
          <w:rFonts w:cs="Times New Roman"/>
          <w:szCs w:val="24"/>
        </w:rPr>
        <w:t xml:space="preserve">. Hence, hydrology plays a major role in delineating the planning regions for the preparation of the BDP2100.  Using the 8 hydrological zones as the starting point, the focus has been sharpened on the magnitude of the natural hazard vulnerabilities facing each of the hydrological regions. This has led to a modified grouping of districts and areas facing similar risks of natural hazards.  These groups are called “Hotspots” that simply define a broad grouping of districts and areas facing similar natural hazard risks.  The aggregate hotspot grouping provides a convenient tool to summarize certain broad socio-economic </w:t>
      </w:r>
      <w:r w:rsidR="00381EA7">
        <w:rPr>
          <w:rFonts w:cs="Times New Roman"/>
          <w:szCs w:val="24"/>
        </w:rPr>
        <w:t xml:space="preserve">characteristics </w:t>
      </w:r>
      <w:r w:rsidRPr="00117449">
        <w:rPr>
          <w:rFonts w:cs="Times New Roman"/>
          <w:szCs w:val="24"/>
        </w:rPr>
        <w:t xml:space="preserve">and common risk profile. They are only a first step of analysis. The risk profile and magnitude of vulnerabilities facing a district within </w:t>
      </w:r>
      <w:r w:rsidR="00381EA7">
        <w:rPr>
          <w:rFonts w:cs="Times New Roman"/>
          <w:szCs w:val="24"/>
        </w:rPr>
        <w:t xml:space="preserve">and between </w:t>
      </w:r>
      <w:r w:rsidRPr="00117449">
        <w:rPr>
          <w:rFonts w:cs="Times New Roman"/>
          <w:szCs w:val="24"/>
        </w:rPr>
        <w:t>hotspot districts vary considerably. In some cases, a further disaggregation to the subdivision/thana level may be necessary to understand in detail the risk profile. Accordingly, a risk profile at the district level, and where necessary at the sub-district l</w:t>
      </w:r>
      <w:r w:rsidR="00381EA7">
        <w:rPr>
          <w:rFonts w:cs="Times New Roman"/>
          <w:szCs w:val="24"/>
        </w:rPr>
        <w:t xml:space="preserve">evel, is also developed to inform </w:t>
      </w:r>
      <w:r w:rsidR="00E65177">
        <w:rPr>
          <w:rFonts w:cs="Times New Roman"/>
          <w:szCs w:val="24"/>
        </w:rPr>
        <w:t xml:space="preserve">the </w:t>
      </w:r>
      <w:r w:rsidR="00381EA7">
        <w:rPr>
          <w:rFonts w:cs="Times New Roman"/>
          <w:szCs w:val="24"/>
        </w:rPr>
        <w:t>BDP2100 strategy.</w:t>
      </w:r>
      <w:r w:rsidRPr="00117449">
        <w:rPr>
          <w:rFonts w:cs="Times New Roman"/>
          <w:szCs w:val="24"/>
        </w:rPr>
        <w:t xml:space="preserve"> </w:t>
      </w:r>
    </w:p>
    <w:p w:rsidR="006E3B8A" w:rsidRPr="00117449" w:rsidRDefault="006E3B8A" w:rsidP="00912C7F">
      <w:pPr>
        <w:pStyle w:val="BodyText"/>
        <w:tabs>
          <w:tab w:val="left" w:pos="7455"/>
        </w:tabs>
        <w:spacing w:after="240" w:line="276" w:lineRule="auto"/>
        <w:jc w:val="both"/>
        <w:rPr>
          <w:rFonts w:cs="Times New Roman"/>
          <w:szCs w:val="24"/>
        </w:rPr>
      </w:pPr>
      <w:r w:rsidRPr="00117449">
        <w:rPr>
          <w:rFonts w:cs="Times New Roman"/>
          <w:szCs w:val="24"/>
        </w:rPr>
        <w:t xml:space="preserve">The Six Hotspots and </w:t>
      </w:r>
      <w:r w:rsidR="00E96839">
        <w:rPr>
          <w:rFonts w:cs="Times New Roman"/>
          <w:szCs w:val="24"/>
        </w:rPr>
        <w:t xml:space="preserve">number of districts covered are summarized below.  Because of </w:t>
      </w:r>
      <w:r w:rsidR="00306EB6">
        <w:rPr>
          <w:rFonts w:cs="Times New Roman"/>
          <w:szCs w:val="24"/>
        </w:rPr>
        <w:t xml:space="preserve">geographical </w:t>
      </w:r>
      <w:r w:rsidR="00E96839">
        <w:rPr>
          <w:rFonts w:cs="Times New Roman"/>
          <w:szCs w:val="24"/>
        </w:rPr>
        <w:t>overlap, some districts fall in more than one hotspot.</w:t>
      </w:r>
      <w:r w:rsidRPr="00117449">
        <w:rPr>
          <w:rFonts w:cs="Times New Roman"/>
          <w:szCs w:val="24"/>
        </w:rPr>
        <w:tab/>
      </w:r>
    </w:p>
    <w:p w:rsidR="006E3B8A" w:rsidRPr="00117449" w:rsidRDefault="006E3B8A" w:rsidP="00912C7F">
      <w:pPr>
        <w:pStyle w:val="ListParagraph"/>
        <w:numPr>
          <w:ilvl w:val="0"/>
          <w:numId w:val="1"/>
        </w:numPr>
        <w:spacing w:line="276" w:lineRule="auto"/>
        <w:ind w:left="360"/>
        <w:jc w:val="both"/>
        <w:rPr>
          <w:rFonts w:cs="Times New Roman"/>
          <w:szCs w:val="24"/>
        </w:rPr>
      </w:pPr>
      <w:r w:rsidRPr="00117449">
        <w:rPr>
          <w:rFonts w:cs="Times New Roman"/>
          <w:szCs w:val="24"/>
        </w:rPr>
        <w:t xml:space="preserve">The </w:t>
      </w:r>
      <w:r w:rsidR="00A41875">
        <w:rPr>
          <w:rFonts w:cs="Times New Roman"/>
          <w:szCs w:val="24"/>
        </w:rPr>
        <w:t>Barind and Drought Prone Region</w:t>
      </w:r>
      <w:r w:rsidRPr="00117449">
        <w:rPr>
          <w:rFonts w:cs="Times New Roman"/>
          <w:szCs w:val="24"/>
        </w:rPr>
        <w:t xml:space="preserve">. </w:t>
      </w:r>
    </w:p>
    <w:p w:rsidR="006E3B8A" w:rsidRPr="00117449" w:rsidRDefault="00A41875" w:rsidP="00912C7F">
      <w:pPr>
        <w:pStyle w:val="ListParagraph"/>
        <w:numPr>
          <w:ilvl w:val="0"/>
          <w:numId w:val="1"/>
        </w:numPr>
        <w:spacing w:line="276" w:lineRule="auto"/>
        <w:ind w:left="360"/>
        <w:jc w:val="both"/>
        <w:rPr>
          <w:rFonts w:cs="Times New Roman"/>
          <w:szCs w:val="24"/>
        </w:rPr>
      </w:pPr>
      <w:r>
        <w:rPr>
          <w:rFonts w:cs="Times New Roman"/>
          <w:szCs w:val="24"/>
        </w:rPr>
        <w:t>The Chittagong Hill Tracts</w:t>
      </w:r>
      <w:r w:rsidR="006E3B8A" w:rsidRPr="00117449">
        <w:rPr>
          <w:rFonts w:cs="Times New Roman"/>
          <w:szCs w:val="24"/>
        </w:rPr>
        <w:t>.</w:t>
      </w:r>
    </w:p>
    <w:p w:rsidR="006E3B8A" w:rsidRPr="00117449" w:rsidRDefault="00A41875" w:rsidP="00912C7F">
      <w:pPr>
        <w:pStyle w:val="ListParagraph"/>
        <w:numPr>
          <w:ilvl w:val="0"/>
          <w:numId w:val="1"/>
        </w:numPr>
        <w:spacing w:line="276" w:lineRule="auto"/>
        <w:ind w:left="360"/>
        <w:jc w:val="both"/>
        <w:rPr>
          <w:rFonts w:cs="Times New Roman"/>
          <w:szCs w:val="24"/>
        </w:rPr>
      </w:pPr>
      <w:r>
        <w:rPr>
          <w:rFonts w:cs="Times New Roman"/>
          <w:szCs w:val="24"/>
        </w:rPr>
        <w:t>The Coastal Zone</w:t>
      </w:r>
      <w:r w:rsidR="006E3B8A" w:rsidRPr="00117449">
        <w:rPr>
          <w:rFonts w:cs="Times New Roman"/>
          <w:szCs w:val="24"/>
        </w:rPr>
        <w:t>.</w:t>
      </w:r>
    </w:p>
    <w:p w:rsidR="006E3B8A" w:rsidRPr="00117449" w:rsidRDefault="00A41875" w:rsidP="00912C7F">
      <w:pPr>
        <w:pStyle w:val="ListParagraph"/>
        <w:numPr>
          <w:ilvl w:val="0"/>
          <w:numId w:val="1"/>
        </w:numPr>
        <w:spacing w:line="276" w:lineRule="auto"/>
        <w:ind w:left="360"/>
        <w:jc w:val="both"/>
        <w:rPr>
          <w:rFonts w:cs="Times New Roman"/>
          <w:szCs w:val="24"/>
        </w:rPr>
      </w:pPr>
      <w:r>
        <w:rPr>
          <w:rFonts w:cs="Times New Roman"/>
          <w:szCs w:val="24"/>
        </w:rPr>
        <w:t>The Haor Region</w:t>
      </w:r>
      <w:r w:rsidR="006E3B8A" w:rsidRPr="00117449">
        <w:rPr>
          <w:rFonts w:cs="Times New Roman"/>
          <w:szCs w:val="24"/>
        </w:rPr>
        <w:t>.</w:t>
      </w:r>
    </w:p>
    <w:p w:rsidR="006E3B8A" w:rsidRPr="00F353E2" w:rsidRDefault="00A41875" w:rsidP="00F353E2">
      <w:pPr>
        <w:pStyle w:val="ListParagraph"/>
        <w:numPr>
          <w:ilvl w:val="0"/>
          <w:numId w:val="1"/>
        </w:numPr>
        <w:spacing w:line="276" w:lineRule="auto"/>
        <w:ind w:left="360"/>
        <w:jc w:val="both"/>
        <w:rPr>
          <w:rFonts w:cs="Times New Roman"/>
          <w:szCs w:val="24"/>
        </w:rPr>
      </w:pPr>
      <w:r>
        <w:rPr>
          <w:rFonts w:cs="Times New Roman"/>
          <w:szCs w:val="24"/>
        </w:rPr>
        <w:t>Major Rivers and Estuary Region</w:t>
      </w:r>
      <w:r w:rsidR="006E3B8A" w:rsidRPr="00F353E2">
        <w:rPr>
          <w:rFonts w:cs="Times New Roman"/>
          <w:szCs w:val="24"/>
        </w:rPr>
        <w:t>.</w:t>
      </w:r>
    </w:p>
    <w:p w:rsidR="00E96839" w:rsidRPr="00E96839" w:rsidRDefault="00A41875" w:rsidP="00912C7F">
      <w:pPr>
        <w:pStyle w:val="ListParagraph"/>
        <w:numPr>
          <w:ilvl w:val="0"/>
          <w:numId w:val="1"/>
        </w:numPr>
        <w:spacing w:line="276" w:lineRule="auto"/>
        <w:ind w:left="360"/>
        <w:jc w:val="both"/>
        <w:rPr>
          <w:rFonts w:cs="Times New Roman"/>
          <w:szCs w:val="24"/>
        </w:rPr>
      </w:pPr>
      <w:r>
        <w:rPr>
          <w:rFonts w:cs="Times New Roman"/>
          <w:szCs w:val="24"/>
        </w:rPr>
        <w:lastRenderedPageBreak/>
        <w:t>The Urban Areas</w:t>
      </w:r>
      <w:r w:rsidR="006E3B8A" w:rsidRPr="00117449">
        <w:rPr>
          <w:rFonts w:cs="Times New Roman"/>
          <w:szCs w:val="24"/>
        </w:rPr>
        <w:t>.</w:t>
      </w:r>
    </w:p>
    <w:p w:rsidR="00000000" w:rsidRDefault="006E3B8A" w:rsidP="003D5A31">
      <w:pPr>
        <w:pStyle w:val="BodyText"/>
        <w:numPr>
          <w:ilvl w:val="0"/>
          <w:numId w:val="129"/>
        </w:numPr>
        <w:spacing w:after="240" w:line="276" w:lineRule="auto"/>
        <w:jc w:val="both"/>
        <w:rPr>
          <w:rFonts w:cs="Times New Roman"/>
          <w:b/>
          <w:szCs w:val="24"/>
        </w:rPr>
      </w:pPr>
      <w:r w:rsidRPr="00117449">
        <w:rPr>
          <w:rFonts w:cs="Times New Roman"/>
          <w:b/>
          <w:szCs w:val="24"/>
        </w:rPr>
        <w:t>Delta Opportunities</w:t>
      </w:r>
    </w:p>
    <w:p w:rsidR="006E3B8A" w:rsidRPr="00117449" w:rsidRDefault="006E3B8A" w:rsidP="00912C7F">
      <w:pPr>
        <w:spacing w:line="276" w:lineRule="auto"/>
        <w:jc w:val="both"/>
        <w:rPr>
          <w:rFonts w:cs="Times New Roman"/>
          <w:szCs w:val="24"/>
        </w:rPr>
      </w:pPr>
      <w:r w:rsidRPr="00117449">
        <w:rPr>
          <w:rFonts w:cs="Times New Roman"/>
          <w:szCs w:val="24"/>
        </w:rPr>
        <w:t>The delta opportunities are many.  The soil and water combinati</w:t>
      </w:r>
      <w:r w:rsidR="00F353E2">
        <w:rPr>
          <w:rFonts w:cs="Times New Roman"/>
          <w:szCs w:val="24"/>
        </w:rPr>
        <w:t>on of Bangladesh makes it a high</w:t>
      </w:r>
      <w:r w:rsidRPr="00117449">
        <w:rPr>
          <w:rFonts w:cs="Times New Roman"/>
          <w:szCs w:val="24"/>
        </w:rPr>
        <w:t>ly fertile land with multiple cropping opportunities. Bangladesh has wisely combined this natural advantage with seed-fertilizer- irrigation technology to intensify land cultivation and expand food pro</w:t>
      </w:r>
      <w:r w:rsidR="00306EB6">
        <w:rPr>
          <w:rFonts w:cs="Times New Roman"/>
          <w:szCs w:val="24"/>
        </w:rPr>
        <w:t>duction, primarily rice. Consequently,</w:t>
      </w:r>
      <w:r w:rsidRPr="00117449">
        <w:rPr>
          <w:rFonts w:cs="Times New Roman"/>
          <w:szCs w:val="24"/>
        </w:rPr>
        <w:t xml:space="preserve"> rice production </w:t>
      </w:r>
      <w:r w:rsidR="00306EB6">
        <w:rPr>
          <w:rFonts w:cs="Times New Roman"/>
          <w:szCs w:val="24"/>
        </w:rPr>
        <w:t xml:space="preserve">has surged </w:t>
      </w:r>
      <w:r w:rsidRPr="00117449">
        <w:rPr>
          <w:rFonts w:cs="Times New Roman"/>
          <w:szCs w:val="24"/>
        </w:rPr>
        <w:t xml:space="preserve">from 12 million </w:t>
      </w:r>
      <w:r w:rsidR="00FE6385">
        <w:rPr>
          <w:rFonts w:cs="Times New Roman"/>
          <w:szCs w:val="24"/>
        </w:rPr>
        <w:t>tonne</w:t>
      </w:r>
      <w:r w:rsidRPr="00117449">
        <w:rPr>
          <w:rFonts w:cs="Times New Roman"/>
          <w:szCs w:val="24"/>
        </w:rPr>
        <w:t xml:space="preserve">s in 1973 to 35 million </w:t>
      </w:r>
      <w:r w:rsidR="00FE6385">
        <w:rPr>
          <w:rFonts w:cs="Times New Roman"/>
          <w:szCs w:val="24"/>
        </w:rPr>
        <w:t>tonne</w:t>
      </w:r>
      <w:r w:rsidRPr="00117449">
        <w:rPr>
          <w:rFonts w:cs="Times New Roman"/>
          <w:szCs w:val="24"/>
        </w:rPr>
        <w:t xml:space="preserve">s in 2015.  Along with a very successful population control policy, Bangladesh has now met food self-sufficiency requirements with prospects for rice exports.   This amazing achievement, despite the multiple risks posed by the delta and climate change, is a testimony to the resilience of the Bangladeshi society.  </w:t>
      </w:r>
    </w:p>
    <w:p w:rsidR="006E3B8A" w:rsidRPr="00117449" w:rsidRDefault="006E3B8A" w:rsidP="00912C7F">
      <w:pPr>
        <w:spacing w:line="276" w:lineRule="auto"/>
        <w:jc w:val="both"/>
        <w:rPr>
          <w:rFonts w:cs="Times New Roman"/>
          <w:szCs w:val="24"/>
        </w:rPr>
      </w:pPr>
      <w:r w:rsidRPr="00117449">
        <w:rPr>
          <w:rFonts w:cs="Times New Roman"/>
          <w:szCs w:val="24"/>
        </w:rPr>
        <w:t>The plentiful of rivers, fresh wetlands, and lakes</w:t>
      </w:r>
      <w:r w:rsidR="00F353E2">
        <w:rPr>
          <w:rFonts w:cs="Times New Roman"/>
          <w:szCs w:val="24"/>
        </w:rPr>
        <w:t xml:space="preserve"> provide ample scope for fishery</w:t>
      </w:r>
      <w:r w:rsidRPr="00117449">
        <w:rPr>
          <w:rFonts w:cs="Times New Roman"/>
          <w:szCs w:val="24"/>
        </w:rPr>
        <w:t xml:space="preserve"> resources.  More recently, Bangladesh has been increasingly exploiting the open access to sea. Marine fishing has now become a major source of fish</w:t>
      </w:r>
      <w:r w:rsidR="00F353E2">
        <w:rPr>
          <w:rFonts w:cs="Times New Roman"/>
          <w:szCs w:val="24"/>
        </w:rPr>
        <w:t>ery</w:t>
      </w:r>
      <w:r w:rsidRPr="00117449">
        <w:rPr>
          <w:rFonts w:cs="Times New Roman"/>
          <w:szCs w:val="24"/>
        </w:rPr>
        <w:t xml:space="preserve"> resources.  Owing to t</w:t>
      </w:r>
      <w:r w:rsidR="00F353E2">
        <w:rPr>
          <w:rFonts w:cs="Times New Roman"/>
          <w:szCs w:val="24"/>
        </w:rPr>
        <w:t>he growing importance of fisheries</w:t>
      </w:r>
      <w:r w:rsidRPr="00117449">
        <w:rPr>
          <w:rFonts w:cs="Times New Roman"/>
          <w:szCs w:val="24"/>
        </w:rPr>
        <w:t>, the structure of agriculture is slowly changing as the share of crop agriculture is falling and that of fisheries increasing. Consequently, the value-added and employment share</w:t>
      </w:r>
      <w:r w:rsidR="00F353E2">
        <w:rPr>
          <w:rFonts w:cs="Times New Roman"/>
          <w:szCs w:val="24"/>
        </w:rPr>
        <w:t>s of fisheries</w:t>
      </w:r>
      <w:r w:rsidR="00306EB6">
        <w:rPr>
          <w:rFonts w:cs="Times New Roman"/>
          <w:szCs w:val="24"/>
        </w:rPr>
        <w:t xml:space="preserve"> are</w:t>
      </w:r>
      <w:r w:rsidRPr="00117449">
        <w:rPr>
          <w:rFonts w:cs="Times New Roman"/>
          <w:szCs w:val="24"/>
        </w:rPr>
        <w:t xml:space="preserve"> increasing.  </w:t>
      </w:r>
    </w:p>
    <w:p w:rsidR="006E3B8A" w:rsidRPr="00117449" w:rsidRDefault="006E3B8A" w:rsidP="00912C7F">
      <w:pPr>
        <w:spacing w:line="276" w:lineRule="auto"/>
        <w:jc w:val="both"/>
        <w:rPr>
          <w:rFonts w:cs="Times New Roman"/>
          <w:szCs w:val="24"/>
        </w:rPr>
      </w:pPr>
      <w:r w:rsidRPr="00117449">
        <w:rPr>
          <w:rFonts w:cs="Times New Roman"/>
          <w:szCs w:val="24"/>
        </w:rPr>
        <w:t>The plentiful of rivers in</w:t>
      </w:r>
      <w:r w:rsidR="005334D6">
        <w:rPr>
          <w:rFonts w:cs="Times New Roman"/>
          <w:szCs w:val="24"/>
        </w:rPr>
        <w:t xml:space="preserve"> Bangladesh provide another large</w:t>
      </w:r>
      <w:r w:rsidRPr="00117449">
        <w:rPr>
          <w:rFonts w:cs="Times New Roman"/>
          <w:szCs w:val="24"/>
        </w:rPr>
        <w:t xml:space="preserve"> comparative advantage.  Alm</w:t>
      </w:r>
      <w:r w:rsidR="00306EB6">
        <w:rPr>
          <w:rFonts w:cs="Times New Roman"/>
          <w:szCs w:val="24"/>
        </w:rPr>
        <w:t xml:space="preserve">ost all districts </w:t>
      </w:r>
      <w:r w:rsidRPr="00117449">
        <w:rPr>
          <w:rFonts w:cs="Times New Roman"/>
          <w:szCs w:val="24"/>
        </w:rPr>
        <w:t xml:space="preserve">are connected with each other and with the growth centers of Dhaka, Chittagong and Khulna through river ways. The inland waterways provide an environmentally friendly and low-cost transport option for both passengers and cargo for the country as a whole but especially for the rural poor.  Inland water transport is also a major source of rural employment. More focus on river transport can provide a huge development opportunity to lower </w:t>
      </w:r>
      <w:r w:rsidR="005334D6">
        <w:rPr>
          <w:rFonts w:cs="Times New Roman"/>
          <w:szCs w:val="24"/>
        </w:rPr>
        <w:t>the cost of transportation</w:t>
      </w:r>
      <w:r w:rsidRPr="00117449">
        <w:rPr>
          <w:rFonts w:cs="Times New Roman"/>
          <w:szCs w:val="24"/>
        </w:rPr>
        <w:t xml:space="preserve">, reduce environmental degradation, conserve on budgetary resources and add to employment prospects for the poor.  </w:t>
      </w:r>
    </w:p>
    <w:p w:rsidR="006E3B8A" w:rsidRPr="00117449" w:rsidRDefault="006E3B8A" w:rsidP="00912C7F">
      <w:pPr>
        <w:spacing w:line="276" w:lineRule="auto"/>
        <w:jc w:val="both"/>
        <w:rPr>
          <w:rFonts w:cs="Times New Roman"/>
          <w:szCs w:val="24"/>
        </w:rPr>
      </w:pPr>
      <w:r w:rsidRPr="00117449">
        <w:rPr>
          <w:rFonts w:cs="Times New Roman"/>
          <w:szCs w:val="24"/>
        </w:rPr>
        <w:t xml:space="preserve">The open access to sea is a huge advantage to Bangladesh. In addition to the port facilities that could serve the needs of the growing internal trade and commerce needs of Bangladesh, with proper investments Bangladesh can become a regional hub for </w:t>
      </w:r>
      <w:r w:rsidR="005334D6">
        <w:rPr>
          <w:rFonts w:cs="Times New Roman"/>
          <w:szCs w:val="24"/>
        </w:rPr>
        <w:t xml:space="preserve">international </w:t>
      </w:r>
      <w:r w:rsidRPr="00117449">
        <w:rPr>
          <w:rFonts w:cs="Times New Roman"/>
          <w:szCs w:val="24"/>
        </w:rPr>
        <w:t xml:space="preserve">sea transportation.  Examples of dynamic port cities like Rotterdam, Singapore and Hongkong show dramatically how proper planning and investments can convert this natural advantage to a huge development gain for Bangladesh.   Increasingly, the open access to sea is becoming a major opportunity in another way. The rapidly growing demand for energy in Bangladesh owing to increasing GDP growth led by the expansion of manufacturing sector is facing a huge challenge of primary energy shortage.  The rapid depletion of natural gas has led to a search for other primary fuels.  This search has led to a strategy of procuring clean imported coal, LNG and LPG.  All these primary energy require port facilities to handle these bulky cargoes. Bangladesh is slowly capitalizing this open access to sea by establishing new ports, in addition to Chittagong and Mongla ports. The ongoing Pyra port construction in Patuakhali is an example of this. </w:t>
      </w:r>
    </w:p>
    <w:p w:rsidR="006E3B8A" w:rsidRPr="00117449" w:rsidRDefault="006E3B8A" w:rsidP="00912C7F">
      <w:pPr>
        <w:spacing w:line="276" w:lineRule="auto"/>
        <w:jc w:val="both"/>
        <w:rPr>
          <w:rFonts w:cs="Times New Roman"/>
          <w:szCs w:val="24"/>
        </w:rPr>
      </w:pPr>
      <w:r w:rsidRPr="00117449">
        <w:rPr>
          <w:rFonts w:cs="Times New Roman"/>
          <w:szCs w:val="24"/>
        </w:rPr>
        <w:lastRenderedPageBreak/>
        <w:t xml:space="preserve">The open access to sea also opens up enormous prospects for developing the blue economy of Bangladesh.  Marine fishing is already emerging as a major source of domestic food, exports, income and employment.  There is a growing demand for coastal tourism and alternative options to the traditional Cox’s Bazar coastal resorts are emerging.  An example is the Kuakata coastal tourism in Pyra </w:t>
      </w:r>
      <w:r w:rsidR="002C3182">
        <w:rPr>
          <w:rFonts w:cs="Times New Roman"/>
          <w:szCs w:val="24"/>
        </w:rPr>
        <w:t xml:space="preserve">in </w:t>
      </w:r>
      <w:r w:rsidRPr="00117449">
        <w:rPr>
          <w:rFonts w:cs="Times New Roman"/>
          <w:szCs w:val="24"/>
        </w:rPr>
        <w:t>Patuakhali</w:t>
      </w:r>
      <w:r w:rsidR="002C3182">
        <w:rPr>
          <w:rFonts w:cs="Times New Roman"/>
          <w:szCs w:val="24"/>
        </w:rPr>
        <w:t xml:space="preserve"> District</w:t>
      </w:r>
      <w:r w:rsidRPr="00117449">
        <w:rPr>
          <w:rFonts w:cs="Times New Roman"/>
          <w:szCs w:val="24"/>
        </w:rPr>
        <w:t xml:space="preserve">.  </w:t>
      </w:r>
    </w:p>
    <w:p w:rsidR="00000000" w:rsidRDefault="006E3B8A" w:rsidP="003D5A31">
      <w:pPr>
        <w:pStyle w:val="ListParagraph"/>
        <w:numPr>
          <w:ilvl w:val="0"/>
          <w:numId w:val="129"/>
        </w:numPr>
        <w:spacing w:line="276" w:lineRule="auto"/>
        <w:jc w:val="both"/>
        <w:rPr>
          <w:rFonts w:cs="Times New Roman"/>
          <w:b/>
          <w:szCs w:val="24"/>
        </w:rPr>
      </w:pPr>
      <w:r w:rsidRPr="00117449">
        <w:rPr>
          <w:rFonts w:cs="Times New Roman"/>
          <w:b/>
          <w:szCs w:val="24"/>
        </w:rPr>
        <w:t>Delta Challenges</w:t>
      </w:r>
    </w:p>
    <w:p w:rsidR="006E3B8A" w:rsidRPr="007424FA" w:rsidRDefault="006E3B8A" w:rsidP="00912C7F">
      <w:pPr>
        <w:spacing w:line="276" w:lineRule="auto"/>
        <w:jc w:val="both"/>
        <w:rPr>
          <w:rFonts w:cs="Times New Roman"/>
          <w:b/>
          <w:i/>
          <w:szCs w:val="24"/>
        </w:rPr>
      </w:pPr>
      <w:r w:rsidRPr="007424FA">
        <w:rPr>
          <w:rFonts w:cs="Times New Roman"/>
          <w:b/>
          <w:i/>
          <w:szCs w:val="24"/>
        </w:rPr>
        <w:t>Climate Change</w:t>
      </w:r>
    </w:p>
    <w:p w:rsidR="006E3B8A" w:rsidRPr="00117449" w:rsidRDefault="006E3B8A" w:rsidP="00912C7F">
      <w:pPr>
        <w:spacing w:line="276" w:lineRule="auto"/>
        <w:jc w:val="both"/>
        <w:rPr>
          <w:rFonts w:cs="Times New Roman"/>
          <w:szCs w:val="24"/>
        </w:rPr>
      </w:pPr>
      <w:r w:rsidRPr="00117449">
        <w:rPr>
          <w:rFonts w:cs="Times New Roman"/>
          <w:i/>
          <w:szCs w:val="24"/>
        </w:rPr>
        <w:t>Temperature Rise:</w:t>
      </w:r>
      <w:r w:rsidRPr="00117449">
        <w:rPr>
          <w:rFonts w:cs="Times New Roman"/>
          <w:szCs w:val="24"/>
        </w:rPr>
        <w:t xml:space="preserve">  In the Fifth Assessment Report of the International Panel for Climate Change (IPCC), the globally averaged combined land and ocean surface temperature data show a warming of 0.85 (0.65 to 1.06) °C, over the period 1880 to 2012. The total increase between the average of the 1850–1900 period and the 2003–2012 period is 0.78 (0.72 to 0.85) °C. For the longest period when calculation of regional trends is sufficiently complete (1901 to 2012), almost the entire globe has experienced surface warming. In addition to robust multi-decadal warming, global mean surface temperature exhibits substantial decadal and inter-annual variability.  The pattern of rising global temperatures is expected to continue in the future.  Projections show that for 2046-2065, mean temperature rise ranges from 1.0 to 1.4</w:t>
      </w:r>
      <w:r w:rsidRPr="00117449">
        <w:rPr>
          <w:rFonts w:cs="Times New Roman"/>
          <w:szCs w:val="24"/>
          <w:vertAlign w:val="superscript"/>
        </w:rPr>
        <w:t>O</w:t>
      </w:r>
      <w:r w:rsidRPr="00117449">
        <w:rPr>
          <w:rFonts w:cs="Times New Roman"/>
          <w:szCs w:val="24"/>
        </w:rPr>
        <w:t>C, whereas it ranges from 1.0 to 3.7</w:t>
      </w:r>
      <w:r w:rsidRPr="00117449">
        <w:rPr>
          <w:rFonts w:cs="Times New Roman"/>
          <w:szCs w:val="24"/>
          <w:vertAlign w:val="superscript"/>
        </w:rPr>
        <w:t>O</w:t>
      </w:r>
      <w:r w:rsidRPr="00117449">
        <w:rPr>
          <w:rFonts w:cs="Times New Roman"/>
          <w:szCs w:val="24"/>
        </w:rPr>
        <w:t>C for the period 2081-2100</w:t>
      </w:r>
    </w:p>
    <w:p w:rsidR="006E3B8A" w:rsidRPr="00117449" w:rsidRDefault="006E3B8A" w:rsidP="00912C7F">
      <w:pPr>
        <w:spacing w:line="276" w:lineRule="auto"/>
        <w:jc w:val="both"/>
        <w:rPr>
          <w:rFonts w:cs="Times New Roman"/>
          <w:szCs w:val="24"/>
        </w:rPr>
      </w:pPr>
      <w:r w:rsidRPr="00117449">
        <w:rPr>
          <w:rFonts w:cs="Times New Roman"/>
          <w:szCs w:val="24"/>
        </w:rPr>
        <w:t xml:space="preserve">Bangladesh has also experienced considerable rise in temperature.  While there is debate about the magnitude of future increase, there is consensus that global warming will increase and so will be the case for Bangladesh. In this Report two scenarios are considered: </w:t>
      </w:r>
      <w:r w:rsidRPr="00117449">
        <w:rPr>
          <w:rFonts w:cs="Times New Roman"/>
          <w:i/>
          <w:szCs w:val="24"/>
        </w:rPr>
        <w:t>Business as usual</w:t>
      </w:r>
      <w:r w:rsidRPr="00117449">
        <w:rPr>
          <w:rFonts w:cs="Times New Roman"/>
          <w:szCs w:val="24"/>
        </w:rPr>
        <w:t xml:space="preserve"> scenario (BAU) and </w:t>
      </w:r>
      <w:r w:rsidRPr="00117449">
        <w:rPr>
          <w:rFonts w:cs="Times New Roman"/>
          <w:i/>
          <w:szCs w:val="24"/>
        </w:rPr>
        <w:t>Extreme</w:t>
      </w:r>
      <w:r w:rsidRPr="00117449">
        <w:rPr>
          <w:rFonts w:cs="Times New Roman"/>
          <w:szCs w:val="24"/>
        </w:rPr>
        <w:t xml:space="preserve"> scenario (EXT). The (BAU) considers the moderate climate change scenario with </w:t>
      </w:r>
      <w:r w:rsidR="005334D6">
        <w:rPr>
          <w:rFonts w:cs="Times New Roman"/>
          <w:szCs w:val="24"/>
        </w:rPr>
        <w:t xml:space="preserve">sustained global and national </w:t>
      </w:r>
      <w:r w:rsidRPr="00117449">
        <w:rPr>
          <w:rFonts w:cs="Times New Roman"/>
          <w:szCs w:val="24"/>
        </w:rPr>
        <w:t>efforts to reduce the Green House Gas (GHG) emissions. The EXT considers the extreme climate change scenario with no global and national efforts to reduce the GHG emissions and fossil fuel based economic development. Projections show that temperature will rise in all regions in Bangladesh in the future in a similar trend with the global pattern. The magnitude ranges from 1.4 to 1.9</w:t>
      </w:r>
      <w:r w:rsidRPr="00117449">
        <w:rPr>
          <w:rFonts w:cs="Times New Roman"/>
          <w:szCs w:val="24"/>
          <w:vertAlign w:val="superscript"/>
        </w:rPr>
        <w:t>O</w:t>
      </w:r>
      <w:r w:rsidRPr="00117449">
        <w:rPr>
          <w:rFonts w:cs="Times New Roman"/>
          <w:szCs w:val="24"/>
        </w:rPr>
        <w:t>C for BAU and around 2</w:t>
      </w:r>
      <w:r w:rsidRPr="00117449">
        <w:rPr>
          <w:rFonts w:cs="Times New Roman"/>
          <w:szCs w:val="24"/>
          <w:vertAlign w:val="superscript"/>
        </w:rPr>
        <w:t>O</w:t>
      </w:r>
      <w:r w:rsidRPr="00117449">
        <w:rPr>
          <w:rFonts w:cs="Times New Roman"/>
          <w:szCs w:val="24"/>
        </w:rPr>
        <w:t>C for EXT by 2050. Further rise in temperature is expected in the latter half of the century.</w:t>
      </w:r>
    </w:p>
    <w:p w:rsidR="006E3B8A" w:rsidRPr="00117449" w:rsidRDefault="006E3B8A" w:rsidP="00912C7F">
      <w:pPr>
        <w:spacing w:line="276" w:lineRule="auto"/>
        <w:jc w:val="both"/>
        <w:rPr>
          <w:rFonts w:cs="Times New Roman"/>
          <w:szCs w:val="24"/>
        </w:rPr>
      </w:pPr>
      <w:r w:rsidRPr="00117449">
        <w:rPr>
          <w:rFonts w:cs="Times New Roman"/>
          <w:i/>
          <w:szCs w:val="24"/>
        </w:rPr>
        <w:t xml:space="preserve">Rainfall: </w:t>
      </w:r>
      <w:r w:rsidRPr="00117449">
        <w:rPr>
          <w:rFonts w:cs="Times New Roman"/>
          <w:szCs w:val="24"/>
        </w:rPr>
        <w:t>The rainfall pattern in Bangladesh is going to be more variable and erratic in the future. There is an indication that pre-monsoon and monsoon rainfall will increase under BAU scenario. On an annual basis, the rainfall is expected to increase in most regions during 2030. But, during 2050, southern parts of the country along with the eastern hills might get reductions in rainfall. Under the EXT scenario, as temperature rise will be higher, more erratic behavior of rainfall along with changes in rainfall amounts is expected.</w:t>
      </w:r>
    </w:p>
    <w:p w:rsidR="006E3B8A" w:rsidRPr="00117449" w:rsidRDefault="006E3B8A" w:rsidP="00912C7F">
      <w:pPr>
        <w:spacing w:line="276" w:lineRule="auto"/>
        <w:jc w:val="both"/>
        <w:rPr>
          <w:rFonts w:cs="Times New Roman"/>
          <w:szCs w:val="24"/>
        </w:rPr>
      </w:pPr>
      <w:r w:rsidRPr="00117449">
        <w:rPr>
          <w:rFonts w:cs="Times New Roman"/>
          <w:i/>
          <w:szCs w:val="24"/>
        </w:rPr>
        <w:t xml:space="preserve">Floods: </w:t>
      </w:r>
      <w:r w:rsidRPr="00117449">
        <w:rPr>
          <w:rFonts w:cs="Times New Roman"/>
          <w:szCs w:val="24"/>
        </w:rPr>
        <w:t xml:space="preserve">Flood is a recurrent phenomenon of Bangladesh, occurs in almost every year. Three mighty rivers the Ganges, </w:t>
      </w:r>
      <w:r w:rsidR="00CB4B7C">
        <w:rPr>
          <w:rFonts w:cs="Times New Roman"/>
          <w:szCs w:val="24"/>
        </w:rPr>
        <w:t xml:space="preserve">the </w:t>
      </w:r>
      <w:r w:rsidRPr="00117449">
        <w:rPr>
          <w:rFonts w:cs="Times New Roman"/>
          <w:szCs w:val="24"/>
        </w:rPr>
        <w:t xml:space="preserve">Brahmaputra and </w:t>
      </w:r>
      <w:r w:rsidR="00CB4B7C">
        <w:rPr>
          <w:rFonts w:cs="Times New Roman"/>
          <w:szCs w:val="24"/>
        </w:rPr>
        <w:t xml:space="preserve">the </w:t>
      </w:r>
      <w:r w:rsidRPr="00117449">
        <w:rPr>
          <w:rFonts w:cs="Times New Roman"/>
          <w:szCs w:val="24"/>
        </w:rPr>
        <w:t xml:space="preserve">Meghna meet together in central Bangladesh forming the largest delta of the world. As a consequence, most of the country consists of huge </w:t>
      </w:r>
      <w:r w:rsidRPr="00117449">
        <w:rPr>
          <w:rFonts w:cs="Times New Roman"/>
          <w:szCs w:val="24"/>
        </w:rPr>
        <w:lastRenderedPageBreak/>
        <w:t xml:space="preserve">flood plain and delta of which, around 70% of the total area is less than 1 meter above sea level and 10% of the land area is made up of Lakes and Rivers. Bangladesh experiences heavy monsoon rains, especially over the highlands along with frequent tropical storms in coastal region. </w:t>
      </w:r>
      <w:r w:rsidR="00601B83">
        <w:rPr>
          <w:rFonts w:cs="Times New Roman"/>
          <w:szCs w:val="24"/>
        </w:rPr>
        <w:t>All of these events</w:t>
      </w:r>
      <w:r w:rsidR="00601B83" w:rsidRPr="00117449">
        <w:rPr>
          <w:rFonts w:cs="Times New Roman"/>
          <w:szCs w:val="24"/>
        </w:rPr>
        <w:t xml:space="preserve"> trigger frequent flood occurrence in Bangladesh. </w:t>
      </w:r>
      <w:r w:rsidRPr="00117449">
        <w:rPr>
          <w:rFonts w:cs="Times New Roman"/>
          <w:szCs w:val="24"/>
        </w:rPr>
        <w:t>On average, an estimated 20-25% of the country becomes inundated due to river spilling and drainage congestion. Extreme situation arises when the three major rivers (Ganges, Brahmaputra, and Meghna) reach their flood peak at same time. In general, 55-60% of the country is inundated during extreme flood events. Recent evidence reveals that the magnitude and frequency of mega floods is increasing as a consequence of climate change. Other human causes like construction of dam in upper riparian countries, unplanned urbanization in illegally encroached floodplains, lack of combination of structural and non-structural measures etc. are aggravating the situation. Research suggests that the flood extent will be increased for all areas of the country by mid-century (2050) based on the extreme scenario. Both left and right side</w:t>
      </w:r>
      <w:r w:rsidR="00F353E2">
        <w:rPr>
          <w:rFonts w:cs="Times New Roman"/>
          <w:szCs w:val="24"/>
        </w:rPr>
        <w:t>s</w:t>
      </w:r>
      <w:r w:rsidRPr="00117449">
        <w:rPr>
          <w:rFonts w:cs="Times New Roman"/>
          <w:szCs w:val="24"/>
        </w:rPr>
        <w:t xml:space="preserve"> of the Brahmaputra-Jamuna River</w:t>
      </w:r>
      <w:r w:rsidR="00F353E2">
        <w:rPr>
          <w:rFonts w:cs="Times New Roman"/>
          <w:szCs w:val="24"/>
        </w:rPr>
        <w:t>s</w:t>
      </w:r>
      <w:r w:rsidRPr="00117449">
        <w:rPr>
          <w:rFonts w:cs="Times New Roman"/>
          <w:szCs w:val="24"/>
        </w:rPr>
        <w:t xml:space="preserve"> will be worst affected in this scenario. On average, 3-9% additional area will be inundated from the base (1978-2007) on the left side of the Jamuna River. On the other hand, some portion of the Barind region adjacent to right bank of Jamuna river will be more inundated (around 30%) from the base by 2050 due to flooding in the extreme scenario. </w:t>
      </w:r>
    </w:p>
    <w:p w:rsidR="006E3B8A" w:rsidRPr="00117449" w:rsidRDefault="006E3B8A" w:rsidP="00912C7F">
      <w:pPr>
        <w:spacing w:line="276" w:lineRule="auto"/>
        <w:jc w:val="both"/>
        <w:rPr>
          <w:rFonts w:cs="Times New Roman"/>
          <w:szCs w:val="24"/>
        </w:rPr>
      </w:pPr>
      <w:r w:rsidRPr="00117449">
        <w:rPr>
          <w:rFonts w:cs="Times New Roman"/>
          <w:i/>
          <w:szCs w:val="24"/>
        </w:rPr>
        <w:t xml:space="preserve">Droughts: </w:t>
      </w:r>
      <w:r w:rsidRPr="00117449">
        <w:rPr>
          <w:rFonts w:cs="Times New Roman"/>
          <w:szCs w:val="24"/>
        </w:rPr>
        <w:t>The droughts occurring in Bangladesh are not meteorological droughts but agricultural droughts, which could be also termed as severe moisture stress. In the drought prone agro-ecological regions of Bangladesh, period of dry</w:t>
      </w:r>
      <w:r w:rsidR="005334D6">
        <w:rPr>
          <w:rFonts w:cs="Times New Roman"/>
          <w:szCs w:val="24"/>
        </w:rPr>
        <w:t xml:space="preserve"> days range between 32-48 days, </w:t>
      </w:r>
      <w:r w:rsidRPr="00117449">
        <w:rPr>
          <w:rFonts w:cs="Times New Roman"/>
          <w:szCs w:val="24"/>
        </w:rPr>
        <w:t xml:space="preserve">starting from 24 March to 21 May.  During this period the temperature also rises more than 40°C for 5 to 15 days within the same agro-ecological regions. In addition, some soils have low moisture holding capacities, which show different degrees of droughtiness. The government’s intervention to attack drought with the Barind Region Irrigation Project has changed the profile of the Barind region with a rapid transformation of the area into an agrarian green field with a diversified agriculture based on rice, fruits and vegetables. This </w:t>
      </w:r>
      <w:r w:rsidR="005334D6">
        <w:rPr>
          <w:rFonts w:cs="Times New Roman"/>
          <w:szCs w:val="24"/>
        </w:rPr>
        <w:t>has contributed substantially to lowering poverty in</w:t>
      </w:r>
      <w:r w:rsidRPr="00117449">
        <w:rPr>
          <w:rFonts w:cs="Times New Roman"/>
          <w:szCs w:val="24"/>
        </w:rPr>
        <w:t xml:space="preserve"> the North-West part of Bangladesh. Yet, the drought risk has been shifted forward as surface water reduction from diversion of river water upstream in India and inadequate rainfall in the dry season continues to lower the water table. So, climate change that lowers rainfall further in the dry season could hurt agriculture in the Barind tract.  </w:t>
      </w:r>
    </w:p>
    <w:p w:rsidR="006E3B8A" w:rsidRPr="00117449" w:rsidRDefault="006E3B8A" w:rsidP="00912C7F">
      <w:pPr>
        <w:spacing w:line="276" w:lineRule="auto"/>
        <w:jc w:val="both"/>
        <w:rPr>
          <w:rFonts w:cs="Times New Roman"/>
          <w:szCs w:val="24"/>
        </w:rPr>
      </w:pPr>
      <w:r w:rsidRPr="00117449">
        <w:rPr>
          <w:rFonts w:cs="Times New Roman"/>
          <w:i/>
          <w:szCs w:val="24"/>
        </w:rPr>
        <w:t xml:space="preserve">River Erosion: </w:t>
      </w:r>
      <w:r w:rsidRPr="00117449">
        <w:rPr>
          <w:rFonts w:cs="Times New Roman"/>
          <w:szCs w:val="24"/>
        </w:rPr>
        <w:t xml:space="preserve">Bangladesh is a riverine country. The morphology of the country’s rivers is highly dynamic and river bank erosion is also a regular phenomenon, particularly along the banks of the main rivers.  Erosion in the three major rivers–the Jamuna, the Padma and the lower Meghna can be considered as proxies for riverbank erosion in Bangladesh. The present rate of the Jamuna bank erosion is about 1770 ha per year while bank erosion by Padma River is about 1298 ha per year. Lower Meghna erodes at a rate of 2900 ha per year. </w:t>
      </w:r>
    </w:p>
    <w:p w:rsidR="006E3B8A" w:rsidRPr="00117449" w:rsidRDefault="006E3B8A" w:rsidP="00912C7F">
      <w:pPr>
        <w:spacing w:line="276" w:lineRule="auto"/>
        <w:jc w:val="both"/>
        <w:rPr>
          <w:rFonts w:cs="Times New Roman"/>
          <w:szCs w:val="24"/>
        </w:rPr>
      </w:pPr>
      <w:r w:rsidRPr="00117449">
        <w:rPr>
          <w:rFonts w:cs="Times New Roman"/>
          <w:szCs w:val="24"/>
        </w:rPr>
        <w:t xml:space="preserve">A major reason for the erosion is that the discharge in the rivers is increasing. Flow records over 50 years long for the station Bahadurabad (Brahmaputra/Jamuna rivers) show that peak </w:t>
      </w:r>
      <w:r w:rsidRPr="00117449">
        <w:rPr>
          <w:rFonts w:cs="Times New Roman"/>
          <w:szCs w:val="24"/>
        </w:rPr>
        <w:lastRenderedPageBreak/>
        <w:t>discharge is increasing and is peaking earlier. The average timing of the peak was in the middle of August but is now in the first week of August.  At Bhairab Bazar (Meghna), peak discharge is decreasing and its occurrence is delayed slightly. The time of peak has moved to the last week of September from mid-July in the late 1970s.  At Hardinge Bridge station on the Ganges, peak discharge is increasing but the time of peak is advancing. The date is advancing by about one day in a decade. The rising peak discharges of Ganges and Brahmaputra mean increasing probability of future river erosion. One consolation is that if the present trend of advancing of the peak prevails, the chances of coincidence of Ganges and Brahmaputra peaks will be less, reducing the probability of catastrophic and long-duration floods.</w:t>
      </w:r>
    </w:p>
    <w:p w:rsidR="006E3B8A" w:rsidRPr="00117449" w:rsidRDefault="006E3B8A" w:rsidP="00912C7F">
      <w:pPr>
        <w:spacing w:line="276" w:lineRule="auto"/>
        <w:jc w:val="both"/>
        <w:rPr>
          <w:rFonts w:cs="Times New Roman"/>
          <w:szCs w:val="24"/>
        </w:rPr>
      </w:pPr>
      <w:r w:rsidRPr="00117449">
        <w:rPr>
          <w:rFonts w:cs="Times New Roman"/>
          <w:szCs w:val="24"/>
        </w:rPr>
        <w:t>Along with erosion, there is also some land accretion from river movements and associated transport of sediments. During 1973-2015, a total 52,313 ha land has been accreted. On balance land accretion is sig</w:t>
      </w:r>
      <w:r w:rsidR="00E861DA">
        <w:rPr>
          <w:rFonts w:cs="Times New Roman"/>
          <w:szCs w:val="24"/>
        </w:rPr>
        <w:t>nificantly lower than land</w:t>
      </w:r>
      <w:r w:rsidRPr="00117449">
        <w:rPr>
          <w:rFonts w:cs="Times New Roman"/>
          <w:szCs w:val="24"/>
        </w:rPr>
        <w:t xml:space="preserve"> erosion for all three major rivers, although net erosion is the largest for the Brahmaputra/Jamuna river. Changes in the river flow and sediment transport due to multi-faceted impacts of climate change are expected to increase the dynamics of these rivers even more.</w:t>
      </w:r>
    </w:p>
    <w:p w:rsidR="006E3B8A" w:rsidRPr="00117449" w:rsidRDefault="006E3B8A" w:rsidP="00912C7F">
      <w:pPr>
        <w:spacing w:line="276" w:lineRule="auto"/>
        <w:jc w:val="both"/>
        <w:rPr>
          <w:rFonts w:cs="Times New Roman"/>
          <w:szCs w:val="24"/>
        </w:rPr>
      </w:pPr>
      <w:r w:rsidRPr="00117449">
        <w:rPr>
          <w:rFonts w:cs="Times New Roman"/>
          <w:i/>
          <w:szCs w:val="24"/>
        </w:rPr>
        <w:t xml:space="preserve">Sea Level Rise (SLR) and Salinity Intrusion: </w:t>
      </w:r>
      <w:r w:rsidRPr="00117449">
        <w:rPr>
          <w:rFonts w:cs="Times New Roman"/>
          <w:szCs w:val="24"/>
        </w:rPr>
        <w:t xml:space="preserve">Sea level rise and consequently, salinity intrusion are the most prominent issues now in Bangladesh delta for its complex geographical position. </w:t>
      </w:r>
      <w:r w:rsidR="00E861DA" w:rsidRPr="00117449">
        <w:rPr>
          <w:rFonts w:cs="Times New Roman"/>
          <w:szCs w:val="24"/>
        </w:rPr>
        <w:t xml:space="preserve">IPCC (2013) </w:t>
      </w:r>
      <w:r w:rsidR="00E861DA">
        <w:rPr>
          <w:rFonts w:cs="Times New Roman"/>
          <w:szCs w:val="24"/>
        </w:rPr>
        <w:t xml:space="preserve">predicts sea level rise from </w:t>
      </w:r>
      <w:r w:rsidR="00E861DA" w:rsidRPr="00117449">
        <w:rPr>
          <w:rFonts w:cs="Times New Roman"/>
          <w:szCs w:val="24"/>
        </w:rPr>
        <w:t>0.2</w:t>
      </w:r>
      <w:r w:rsidR="00E861DA">
        <w:rPr>
          <w:rFonts w:cs="Times New Roman"/>
          <w:szCs w:val="24"/>
        </w:rPr>
        <w:t xml:space="preserve"> meter</w:t>
      </w:r>
      <w:r w:rsidR="00E861DA" w:rsidRPr="00117449">
        <w:rPr>
          <w:rFonts w:cs="Times New Roman"/>
          <w:szCs w:val="24"/>
        </w:rPr>
        <w:t xml:space="preserve"> to 1m</w:t>
      </w:r>
      <w:r w:rsidR="00E861DA">
        <w:rPr>
          <w:rFonts w:cs="Times New Roman"/>
          <w:szCs w:val="24"/>
        </w:rPr>
        <w:t>eter</w:t>
      </w:r>
      <w:r w:rsidR="00E861DA" w:rsidRPr="00117449">
        <w:rPr>
          <w:rFonts w:cs="Times New Roman"/>
          <w:szCs w:val="24"/>
        </w:rPr>
        <w:t xml:space="preserve"> for low to high emission scenarios in 2100 for the Bay of Bengal. </w:t>
      </w:r>
      <w:r w:rsidR="00E861DA">
        <w:rPr>
          <w:rFonts w:cs="Times New Roman"/>
          <w:szCs w:val="24"/>
        </w:rPr>
        <w:t>Analysis indicate that</w:t>
      </w:r>
      <w:r w:rsidRPr="00117449">
        <w:rPr>
          <w:rFonts w:cs="Times New Roman"/>
          <w:szCs w:val="24"/>
        </w:rPr>
        <w:t xml:space="preserve"> </w:t>
      </w:r>
      <w:r w:rsidR="00E861DA">
        <w:rPr>
          <w:rFonts w:cs="Times New Roman"/>
          <w:szCs w:val="24"/>
        </w:rPr>
        <w:t xml:space="preserve">under extreme scenario </w:t>
      </w:r>
      <w:r w:rsidRPr="00117449">
        <w:rPr>
          <w:rFonts w:cs="Times New Roman"/>
          <w:szCs w:val="24"/>
        </w:rPr>
        <w:t xml:space="preserve">flooding extent will increase up to 6% and 8% from base (2005) in central </w:t>
      </w:r>
      <w:r w:rsidR="00E861DA">
        <w:rPr>
          <w:rFonts w:cs="Times New Roman"/>
          <w:szCs w:val="24"/>
        </w:rPr>
        <w:t>part of Coastal region</w:t>
      </w:r>
      <w:r w:rsidRPr="00117449">
        <w:rPr>
          <w:rFonts w:cs="Times New Roman"/>
          <w:szCs w:val="24"/>
        </w:rPr>
        <w:t xml:space="preserve"> by 2050 and 2100 respectively, which is highest among other parts of coastal region. The west portion of coastal region will face 5% and 6% more coastal flooding than </w:t>
      </w:r>
      <w:r w:rsidR="00E861DA">
        <w:rPr>
          <w:rFonts w:cs="Times New Roman"/>
          <w:szCs w:val="24"/>
        </w:rPr>
        <w:t xml:space="preserve">base </w:t>
      </w:r>
      <w:r w:rsidRPr="00117449">
        <w:rPr>
          <w:rFonts w:cs="Times New Roman"/>
          <w:szCs w:val="24"/>
        </w:rPr>
        <w:t xml:space="preserve">by 2050 and 2100 respectively. No significant changes have been found in eastern portion of coastal area.   </w:t>
      </w:r>
    </w:p>
    <w:p w:rsidR="006E3B8A" w:rsidRPr="00117449" w:rsidRDefault="006E3B8A" w:rsidP="00912C7F">
      <w:pPr>
        <w:spacing w:line="276" w:lineRule="auto"/>
        <w:jc w:val="both"/>
        <w:rPr>
          <w:rFonts w:cs="Times New Roman"/>
          <w:szCs w:val="24"/>
        </w:rPr>
      </w:pPr>
      <w:r w:rsidRPr="00117449">
        <w:rPr>
          <w:rFonts w:cs="Times New Roman"/>
          <w:szCs w:val="24"/>
        </w:rPr>
        <w:t xml:space="preserve">The rising sea level impedes fresh water availability in coastal area, expediting intrusion of salinity front. Both surface water and soil salinity along the coast may be increased with the rising sea level.  Projections suggest that that in base (2005) condition about 10% area is under 1 ppt salinity </w:t>
      </w:r>
      <w:r w:rsidR="00E861DA">
        <w:rPr>
          <w:rFonts w:cs="Times New Roman"/>
          <w:szCs w:val="24"/>
        </w:rPr>
        <w:t>and 16% under 5 ppt salinity;</w:t>
      </w:r>
      <w:r w:rsidRPr="00117449">
        <w:rPr>
          <w:rFonts w:cs="Times New Roman"/>
          <w:szCs w:val="24"/>
        </w:rPr>
        <w:t xml:space="preserve"> these areas will increase up to 17.5% (1 ppt) and 24% (5 ppt) by 2050 in the extreme scenario.</w:t>
      </w:r>
    </w:p>
    <w:p w:rsidR="006E3B8A" w:rsidRDefault="006E3B8A" w:rsidP="00912C7F">
      <w:pPr>
        <w:spacing w:line="276" w:lineRule="auto"/>
        <w:jc w:val="both"/>
        <w:rPr>
          <w:rFonts w:cs="Times New Roman"/>
          <w:szCs w:val="24"/>
        </w:rPr>
      </w:pPr>
      <w:r w:rsidRPr="00117449">
        <w:rPr>
          <w:rFonts w:cs="Times New Roman"/>
          <w:i/>
          <w:szCs w:val="24"/>
        </w:rPr>
        <w:t>Cyclones and Storm Surges:</w:t>
      </w:r>
      <w:r w:rsidRPr="00117449">
        <w:rPr>
          <w:rFonts w:cs="Times New Roman"/>
          <w:b/>
          <w:szCs w:val="24"/>
        </w:rPr>
        <w:t xml:space="preserve">  </w:t>
      </w:r>
      <w:r w:rsidRPr="00117449">
        <w:rPr>
          <w:rFonts w:cs="Times New Roman"/>
          <w:szCs w:val="24"/>
        </w:rPr>
        <w:t xml:space="preserve">Low lying areas of coastal region are highly vulnerable to cyclones, which pose serious threat to lives and properties of the region. Nearly every year, cyclones hit the country's coastal region and a severe cyclone strikes the country every three years, on average. Intensity of cyclonic storm surges as well as depth and extent of storm surge induced coastal inundation are likely to increase in changing climate through rising sea surface temperature (SST) and sea level.  The IPCC further indicates that future cyclonic storm surges and related coastal floods in Bangladesh will likely become more severe as future tropical cyclones increase in intensity. In the extreme scenario, the areas vulnerable to inundation depths more than 1 meter and 3 meters, respectively would be 14 and 69 percent higher than the </w:t>
      </w:r>
      <w:r w:rsidRPr="00117449">
        <w:rPr>
          <w:rFonts w:cs="Times New Roman"/>
          <w:szCs w:val="24"/>
        </w:rPr>
        <w:lastRenderedPageBreak/>
        <w:t xml:space="preserve">baseline scenario. A 10-year-return period cyclone in extreme scenario will be more intense by 2050 and cover 43 percent of the vulnerable area, 17 percent more than the current coverage. </w:t>
      </w:r>
    </w:p>
    <w:p w:rsidR="00CB4B7C" w:rsidRPr="00A41875" w:rsidRDefault="00CB4B7C" w:rsidP="00A41875">
      <w:pPr>
        <w:spacing w:line="276" w:lineRule="auto"/>
        <w:rPr>
          <w:rFonts w:cs="Segoe UI"/>
          <w:szCs w:val="19"/>
        </w:rPr>
      </w:pPr>
      <w:bookmarkStart w:id="9" w:name="_Toc460430350"/>
      <w:bookmarkStart w:id="10" w:name="_Toc463440591"/>
      <w:r w:rsidRPr="00A41875">
        <w:rPr>
          <w:rFonts w:cs="Segoe UI"/>
          <w:i/>
          <w:szCs w:val="19"/>
        </w:rPr>
        <w:t>Upstream Development</w:t>
      </w:r>
      <w:bookmarkEnd w:id="9"/>
      <w:bookmarkEnd w:id="10"/>
    </w:p>
    <w:p w:rsidR="00CB4B7C" w:rsidRPr="00A41875" w:rsidRDefault="00CB4B7C" w:rsidP="00A41875">
      <w:pPr>
        <w:spacing w:line="276" w:lineRule="auto"/>
        <w:jc w:val="both"/>
        <w:rPr>
          <w:rFonts w:cs="Segoe UI"/>
          <w:szCs w:val="19"/>
        </w:rPr>
      </w:pPr>
      <w:r w:rsidRPr="00A41875">
        <w:rPr>
          <w:rFonts w:cs="Segoe UI"/>
          <w:szCs w:val="19"/>
        </w:rPr>
        <w:t>Being highly dependent upon developments upstream, the diversion, use or storage of flows from the Trans-boundary Rivers is of major importance to Bangladesh. Impacts on dry and monsoon season flows, salinization, siltation of rivers and sediment deposition in the Meghna estuary are the most important factors. These, in turn have a direct impact on the ability of the (coastal) floodplains to keep up with sea level rise in the Meghna estuary.</w:t>
      </w:r>
      <w:r w:rsidR="00891BEE" w:rsidRPr="00A41875">
        <w:rPr>
          <w:rFonts w:cs="Segoe UI"/>
          <w:szCs w:val="19"/>
        </w:rPr>
        <w:t xml:space="preserve"> </w:t>
      </w:r>
      <w:r w:rsidRPr="00A41875">
        <w:t xml:space="preserve">The Ganges River has been found to be the most negatively impacted river among the major rivers followed by the Brahmaputra and to a much lesser extent the Meghna River. The most impacted regional rivers are: the Dudhkumar, Dharla, Teesta &amp; Mahananda rivers. </w:t>
      </w:r>
    </w:p>
    <w:p w:rsidR="00891BEE" w:rsidRPr="00A41875" w:rsidRDefault="00891BEE" w:rsidP="00A41875">
      <w:pPr>
        <w:spacing w:line="276" w:lineRule="auto"/>
        <w:rPr>
          <w:i/>
        </w:rPr>
      </w:pPr>
      <w:bookmarkStart w:id="11" w:name="_Toc460430351"/>
      <w:bookmarkStart w:id="12" w:name="_Toc463440592"/>
      <w:r w:rsidRPr="00A41875">
        <w:rPr>
          <w:i/>
        </w:rPr>
        <w:t>Water Q</w:t>
      </w:r>
      <w:r w:rsidR="00CB4B7C" w:rsidRPr="00A41875">
        <w:rPr>
          <w:i/>
        </w:rPr>
        <w:t>uality</w:t>
      </w:r>
      <w:bookmarkEnd w:id="11"/>
      <w:bookmarkEnd w:id="12"/>
    </w:p>
    <w:p w:rsidR="00CB4B7C" w:rsidRPr="00A41875" w:rsidRDefault="00CB4B7C" w:rsidP="00A41875">
      <w:pPr>
        <w:spacing w:line="276" w:lineRule="auto"/>
        <w:jc w:val="both"/>
      </w:pPr>
      <w:r w:rsidRPr="00A41875">
        <w:t xml:space="preserve">Water quality worsens severely in 32 rivers (based on available data); are considered at risk of severe environmental degradation. Industrialization, which includes the industrialization of the agriculture sector, urbanization and salinization, are expected to lead to further deterioration of surface water quality in the country. There are at least three types of direct negative impacts of water pollution: i) increasing health problems of the rural and urban population; ii) loss of agricultural and industrial productivity due to pollution and salt water intrusion; and iii) environmental degradation, leading to a degradation of the environmental services offered. </w:t>
      </w:r>
    </w:p>
    <w:p w:rsidR="00891BEE" w:rsidRPr="00A41875" w:rsidRDefault="00CB4B7C" w:rsidP="00A41875">
      <w:pPr>
        <w:spacing w:line="276" w:lineRule="auto"/>
        <w:jc w:val="both"/>
      </w:pPr>
      <w:r w:rsidRPr="00A41875">
        <w:t xml:space="preserve">Key issues in groundwater quality include arsenic </w:t>
      </w:r>
      <w:r w:rsidR="00891BEE" w:rsidRPr="00A41875">
        <w:t>in groundwater and salinization. P</w:t>
      </w:r>
      <w:r w:rsidRPr="00A41875">
        <w:t>ollution from industrial and domestic so</w:t>
      </w:r>
      <w:r w:rsidR="00891BEE" w:rsidRPr="00A41875">
        <w:t>urces also</w:t>
      </w:r>
      <w:r w:rsidRPr="00A41875">
        <w:t xml:space="preserve"> constitute a clear risk. About 12.6% of supply water contains arsenic. </w:t>
      </w:r>
      <w:bookmarkStart w:id="13" w:name="_Toc460430352"/>
      <w:bookmarkStart w:id="14" w:name="_Toc463440593"/>
    </w:p>
    <w:p w:rsidR="00891BEE" w:rsidRPr="00A41875" w:rsidRDefault="00CB4B7C" w:rsidP="00A41875">
      <w:pPr>
        <w:spacing w:line="276" w:lineRule="auto"/>
      </w:pPr>
      <w:r w:rsidRPr="00A41875">
        <w:rPr>
          <w:i/>
        </w:rPr>
        <w:t>Waterlogging</w:t>
      </w:r>
      <w:bookmarkEnd w:id="13"/>
      <w:bookmarkEnd w:id="14"/>
    </w:p>
    <w:p w:rsidR="00CB4B7C" w:rsidRPr="00A41875" w:rsidRDefault="00CB4B7C" w:rsidP="00A41875">
      <w:pPr>
        <w:spacing w:line="276" w:lineRule="auto"/>
        <w:jc w:val="both"/>
      </w:pPr>
      <w:r w:rsidRPr="00A41875">
        <w:t>Waterlogging in urban and rural areas</w:t>
      </w:r>
      <w:r w:rsidR="00891BEE" w:rsidRPr="00A41875">
        <w:t xml:space="preserve"> pose a serious development challenge.</w:t>
      </w:r>
      <w:r w:rsidRPr="00A41875">
        <w:t xml:space="preserve"> </w:t>
      </w:r>
      <w:r w:rsidR="00891BEE" w:rsidRPr="00A41875">
        <w:t xml:space="preserve">These are </w:t>
      </w:r>
      <w:r w:rsidRPr="00A41875">
        <w:t>caused by a number of factors, including unplanned and ineff</w:t>
      </w:r>
      <w:r w:rsidR="00891BEE" w:rsidRPr="00A41875">
        <w:t>ective drainage infrastructure</w:t>
      </w:r>
      <w:r w:rsidRPr="00A41875">
        <w:t xml:space="preserve">, encroachment on wetlands in urban and rural areas and the hampering of tidal flows in the coastal area, especially in the southwest (Satkhira, Jessore, Khulna and Bagerhat) and south east (Noakhali, Feni) coastal zones. </w:t>
      </w:r>
    </w:p>
    <w:p w:rsidR="006E3B8A" w:rsidRPr="007424FA" w:rsidRDefault="006E3B8A" w:rsidP="00912C7F">
      <w:pPr>
        <w:spacing w:line="276" w:lineRule="auto"/>
        <w:jc w:val="both"/>
        <w:rPr>
          <w:rFonts w:cs="Times New Roman"/>
          <w:b/>
          <w:i/>
          <w:szCs w:val="24"/>
        </w:rPr>
      </w:pPr>
      <w:r w:rsidRPr="007424FA">
        <w:rPr>
          <w:rFonts w:cs="Times New Roman"/>
          <w:b/>
          <w:i/>
          <w:szCs w:val="24"/>
        </w:rPr>
        <w:t>Economic and Social Impact of Climate Change</w:t>
      </w:r>
    </w:p>
    <w:p w:rsidR="006E3B8A" w:rsidRPr="00117449" w:rsidRDefault="006E3B8A" w:rsidP="00912C7F">
      <w:pPr>
        <w:spacing w:line="276" w:lineRule="auto"/>
        <w:jc w:val="both"/>
        <w:rPr>
          <w:rFonts w:cs="Times New Roman"/>
          <w:szCs w:val="24"/>
        </w:rPr>
      </w:pPr>
      <w:r w:rsidRPr="00117449">
        <w:rPr>
          <w:rFonts w:cs="Times New Roman"/>
          <w:szCs w:val="24"/>
        </w:rPr>
        <w:t xml:space="preserve">These climate change factors working through the geography of the Bangladesh Delta can have vast adverse effects on Bangladesh development. The climate factors work through a large number of sectors that add up to substantial losses economy wide. </w:t>
      </w:r>
    </w:p>
    <w:p w:rsidR="006E3B8A" w:rsidRPr="00117449" w:rsidRDefault="006E3B8A" w:rsidP="00912C7F">
      <w:pPr>
        <w:spacing w:line="276" w:lineRule="auto"/>
        <w:jc w:val="both"/>
        <w:rPr>
          <w:rFonts w:cs="Times New Roman"/>
          <w:szCs w:val="24"/>
        </w:rPr>
      </w:pPr>
      <w:r w:rsidRPr="00117449">
        <w:rPr>
          <w:rFonts w:cs="Times New Roman"/>
          <w:szCs w:val="24"/>
        </w:rPr>
        <w:lastRenderedPageBreak/>
        <w:t xml:space="preserve">The most vulnerable sector is agriculture. High temperature reduces yields of high-yielding varieties of aus, aman, and boro rice. Climate change, especially in temperature, humidity, and radiation, increases the incidence of insect pests, diseases, and microorganisms. Simulation studies predict about 17% decline in overall rice production and as high as 61% decline in wheat production compared with the baseline situation. By 2050, this could lead to a reduction in 4.5 million </w:t>
      </w:r>
      <w:r w:rsidR="00FE6385">
        <w:rPr>
          <w:rFonts w:cs="Times New Roman"/>
          <w:szCs w:val="24"/>
        </w:rPr>
        <w:t>tonne</w:t>
      </w:r>
      <w:r w:rsidRPr="00117449">
        <w:rPr>
          <w:rFonts w:cs="Times New Roman"/>
          <w:szCs w:val="24"/>
        </w:rPr>
        <w:t xml:space="preserve">s of rice output at the 2002 level of production. </w:t>
      </w:r>
      <w:r w:rsidRPr="004B0A08">
        <w:rPr>
          <w:rFonts w:cs="Times New Roman"/>
          <w:i/>
          <w:szCs w:val="24"/>
        </w:rPr>
        <w:t>Agriculture will also suffer from increase in soil salinity.  The salinity effects are already severe as indicated by very low yields in the salinity prone areas, especially Patuakhali where the average rice yield is 40% lower than the national average and more than 50% lower than in Naogaon.</w:t>
      </w:r>
      <w:r w:rsidRPr="00117449">
        <w:rPr>
          <w:rFonts w:cs="Times New Roman"/>
          <w:szCs w:val="24"/>
        </w:rPr>
        <w:t xml:space="preserve">  Under a moderate climate change scenario the crop loss due to salinity intrusion could be about 0.2 million </w:t>
      </w:r>
      <w:r w:rsidR="00FE6385">
        <w:rPr>
          <w:rFonts w:cs="Times New Roman"/>
          <w:szCs w:val="24"/>
        </w:rPr>
        <w:t>tonne</w:t>
      </w:r>
      <w:r w:rsidRPr="00117449">
        <w:rPr>
          <w:rFonts w:cs="Times New Roman"/>
          <w:szCs w:val="24"/>
        </w:rPr>
        <w:t>s per year. Simulations show that under the BAU scenario, due to the reduction in yield, annual paddy production would fall by 1.60% in 2050 and 5.1% in 2100. Agriculture will suffer additionally from the higher incidence of flooding caused by climate change, including from inundation caused by sea level rise.</w:t>
      </w:r>
    </w:p>
    <w:p w:rsidR="006E3B8A" w:rsidRPr="00117449" w:rsidRDefault="006E3B8A" w:rsidP="00912C7F">
      <w:pPr>
        <w:spacing w:line="276" w:lineRule="auto"/>
        <w:jc w:val="both"/>
        <w:rPr>
          <w:rFonts w:cs="Times New Roman"/>
          <w:szCs w:val="24"/>
        </w:rPr>
      </w:pPr>
      <w:r w:rsidRPr="00117449">
        <w:rPr>
          <w:rFonts w:cs="Times New Roman"/>
          <w:szCs w:val="24"/>
        </w:rPr>
        <w:t>The other most vulnerable sectoral effect is on forestry and ecosystems. Many of the anticipated adverse effects of climate change, such as sea level rise, higher temperatures, and an increase in cyclone intensity, will damage the forest resources of the country, put pressure on many climate-sensitive species, and cause increased erosion and deterioration of soil quality in many upland forested areas. The world largest mangrove forest, the Sundarbans, is extremely vulnerable to climate change. Sea level rise will increase saltwater intrusion and negatively affect the forest.</w:t>
      </w:r>
    </w:p>
    <w:p w:rsidR="006E3B8A" w:rsidRPr="004B0A08" w:rsidRDefault="006E3B8A" w:rsidP="00912C7F">
      <w:pPr>
        <w:pStyle w:val="BodyText"/>
        <w:spacing w:after="240" w:line="276" w:lineRule="auto"/>
        <w:jc w:val="both"/>
        <w:rPr>
          <w:rFonts w:cs="Times New Roman"/>
          <w:i/>
          <w:szCs w:val="24"/>
        </w:rPr>
      </w:pPr>
      <w:r w:rsidRPr="00117449">
        <w:rPr>
          <w:rFonts w:cs="Times New Roman"/>
          <w:szCs w:val="24"/>
        </w:rPr>
        <w:t xml:space="preserve">Additional adverse effects will happen in loss of land and physical assets from inundation. </w:t>
      </w:r>
      <w:r w:rsidRPr="004B0A08">
        <w:rPr>
          <w:rFonts w:cs="Times New Roman"/>
          <w:i/>
          <w:szCs w:val="24"/>
        </w:rPr>
        <w:t>At a 1 meter SLR a significant part of dryland in Bangladesh will be permanently inundated; the fall in production in all sectors in the economy due to the land quantity shock would lead to a fall in real GDP. Under the BAU scenario, real GDP would fall by 0.73% per year in 2030 and by up to 0.93% per year in 2100. Climate change and the resultant floods and cyclones will have a significant impact on infrastructure in Bangladesh.  Estimates suggest that the capital stock in the construction sector would be deple</w:t>
      </w:r>
      <w:r w:rsidR="00E77241" w:rsidRPr="004B0A08">
        <w:rPr>
          <w:rFonts w:cs="Times New Roman"/>
          <w:i/>
          <w:szCs w:val="24"/>
        </w:rPr>
        <w:t>ted by 0.05% annually</w:t>
      </w:r>
      <w:r w:rsidRPr="004B0A08">
        <w:rPr>
          <w:rFonts w:cs="Times New Roman"/>
          <w:i/>
          <w:szCs w:val="24"/>
        </w:rPr>
        <w:t xml:space="preserve">. Additional losses will happen to the road infrastructure. </w:t>
      </w:r>
    </w:p>
    <w:p w:rsidR="006E3B8A" w:rsidRPr="00117449" w:rsidRDefault="006E3B8A" w:rsidP="00912C7F">
      <w:pPr>
        <w:pStyle w:val="BodyText"/>
        <w:spacing w:after="240" w:line="276" w:lineRule="auto"/>
        <w:jc w:val="both"/>
        <w:rPr>
          <w:rFonts w:cs="Times New Roman"/>
          <w:szCs w:val="24"/>
        </w:rPr>
      </w:pPr>
      <w:r w:rsidRPr="00117449">
        <w:rPr>
          <w:rFonts w:cs="Times New Roman"/>
          <w:szCs w:val="24"/>
        </w:rPr>
        <w:t xml:space="preserve">Health hazards will also intensify. Water-borne diseases, such as diarrhea and dysentery, and vector-borne diseases, such as malaria and dengue, are climate sensitive. Projections show growing morbidity could occur from dengue and malaria. </w:t>
      </w:r>
    </w:p>
    <w:p w:rsidR="006E3B8A" w:rsidRPr="004B0A08" w:rsidRDefault="006E3B8A" w:rsidP="00912C7F">
      <w:pPr>
        <w:pStyle w:val="BodyText"/>
        <w:spacing w:after="240" w:line="276" w:lineRule="auto"/>
        <w:jc w:val="both"/>
        <w:rPr>
          <w:rFonts w:cs="Times New Roman"/>
          <w:i/>
          <w:szCs w:val="24"/>
        </w:rPr>
      </w:pPr>
      <w:r w:rsidRPr="004B0A08">
        <w:rPr>
          <w:rFonts w:cs="Times New Roman"/>
          <w:i/>
          <w:szCs w:val="24"/>
        </w:rPr>
        <w:t>At the macro-level, the combined effects of climate change could range from a loss of 1</w:t>
      </w:r>
      <w:r w:rsidR="00F353E2" w:rsidRPr="004B0A08">
        <w:rPr>
          <w:rFonts w:cs="Times New Roman"/>
          <w:i/>
          <w:szCs w:val="24"/>
        </w:rPr>
        <w:t>-1.3</w:t>
      </w:r>
      <w:r w:rsidRPr="004B0A08">
        <w:rPr>
          <w:rFonts w:cs="Times New Roman"/>
          <w:i/>
          <w:szCs w:val="24"/>
        </w:rPr>
        <w:t>% of GDP per year in a moderate climate change environment to 2</w:t>
      </w:r>
      <w:r w:rsidR="000F623A" w:rsidRPr="004B0A08">
        <w:rPr>
          <w:rFonts w:cs="Times New Roman"/>
          <w:i/>
          <w:szCs w:val="24"/>
        </w:rPr>
        <w:t>-2.5</w:t>
      </w:r>
      <w:r w:rsidRPr="004B0A08">
        <w:rPr>
          <w:rFonts w:cs="Times New Roman"/>
          <w:i/>
          <w:szCs w:val="24"/>
        </w:rPr>
        <w:t>% of GDP per year in an extreme climate environment.  The projections made for BDP2100 using a moderate climate change environment show</w:t>
      </w:r>
      <w:r w:rsidR="00280940" w:rsidRPr="004B0A08">
        <w:rPr>
          <w:rFonts w:cs="Times New Roman"/>
          <w:i/>
          <w:szCs w:val="24"/>
        </w:rPr>
        <w:t>s</w:t>
      </w:r>
      <w:r w:rsidRPr="004B0A08">
        <w:rPr>
          <w:rFonts w:cs="Times New Roman"/>
          <w:i/>
          <w:szCs w:val="24"/>
        </w:rPr>
        <w:t xml:space="preserve"> a loss of about 1</w:t>
      </w:r>
      <w:r w:rsidR="00F353E2" w:rsidRPr="004B0A08">
        <w:rPr>
          <w:rFonts w:cs="Times New Roman"/>
          <w:i/>
          <w:szCs w:val="24"/>
        </w:rPr>
        <w:t>.3</w:t>
      </w:r>
      <w:r w:rsidRPr="004B0A08">
        <w:rPr>
          <w:rFonts w:cs="Times New Roman"/>
          <w:i/>
          <w:szCs w:val="24"/>
        </w:rPr>
        <w:t>% of GDP per year</w:t>
      </w:r>
      <w:r w:rsidR="00466424" w:rsidRPr="004B0A08">
        <w:rPr>
          <w:rFonts w:cs="Times New Roman"/>
          <w:i/>
          <w:szCs w:val="24"/>
        </w:rPr>
        <w:t xml:space="preserve"> between 2017-2040</w:t>
      </w:r>
      <w:r w:rsidRPr="004B0A08">
        <w:rPr>
          <w:rFonts w:cs="Times New Roman"/>
          <w:i/>
          <w:szCs w:val="24"/>
        </w:rPr>
        <w:t xml:space="preserve">.  This is a huge negative impact and provides the basis for developing and implementing the Bangladesh Delta Plan.  </w:t>
      </w:r>
    </w:p>
    <w:p w:rsidR="006E3B8A" w:rsidRPr="00117449" w:rsidRDefault="006E3B8A" w:rsidP="00912C7F">
      <w:pPr>
        <w:spacing w:line="276" w:lineRule="auto"/>
        <w:jc w:val="both"/>
        <w:rPr>
          <w:rFonts w:cs="Times New Roman"/>
          <w:szCs w:val="24"/>
        </w:rPr>
      </w:pPr>
      <w:r w:rsidRPr="00117449">
        <w:rPr>
          <w:rFonts w:cs="Times New Roman"/>
          <w:szCs w:val="24"/>
        </w:rPr>
        <w:lastRenderedPageBreak/>
        <w:t xml:space="preserve">In terms of loss of human welfare, district and sub-district level analysis shows that there is a strong positive correlation between incidence of poverty and the intensity of natural hazards.  Some 70% of the 16 districts ranked as most exposed to natural disasters (intense risk category with ranking of 1) also show poverty rates that are higher than the national average using the upper poverty line for 2010.  There is a similar highly positive correlation between high-risk districts (risk ranking of 2) and poverty.  Some 67% of these districts have poverty rates that are higher than the national average and 13% have poverty rates same as the national average.  At the national level, of the 15 most poverty-stricken districts, almost 90% of the districts belong to natural hazard risk categories 1 or 2.  Regarding per capita income, some 80% of the most-intense hazard-prone districts (risk ratings of 1) had per capita income below the national average. The corresponding percentages were:  67% for districts in risk category 2 and 100% for risk category 3.  </w:t>
      </w:r>
    </w:p>
    <w:p w:rsidR="00000000" w:rsidRDefault="006E3B8A" w:rsidP="003D5A31">
      <w:pPr>
        <w:pStyle w:val="ListParagraph"/>
        <w:numPr>
          <w:ilvl w:val="0"/>
          <w:numId w:val="129"/>
        </w:numPr>
        <w:spacing w:line="276" w:lineRule="auto"/>
        <w:jc w:val="both"/>
        <w:rPr>
          <w:rFonts w:cs="Times New Roman"/>
          <w:b/>
          <w:szCs w:val="24"/>
        </w:rPr>
      </w:pPr>
      <w:r w:rsidRPr="00117449">
        <w:rPr>
          <w:rFonts w:cs="Times New Roman"/>
          <w:b/>
          <w:szCs w:val="24"/>
        </w:rPr>
        <w:t>The Main Elements of the Bangladesh Delta Plan 2100 (BD2100)</w:t>
      </w:r>
    </w:p>
    <w:p w:rsidR="006E3B8A" w:rsidRPr="00117449" w:rsidRDefault="006E3B8A" w:rsidP="00912C7F">
      <w:pPr>
        <w:pStyle w:val="ListParagraph"/>
        <w:spacing w:line="276" w:lineRule="auto"/>
        <w:jc w:val="both"/>
        <w:rPr>
          <w:rFonts w:cs="Times New Roman"/>
          <w:b/>
          <w:szCs w:val="24"/>
        </w:rPr>
      </w:pPr>
    </w:p>
    <w:p w:rsidR="006E3B8A" w:rsidRPr="007424FA" w:rsidRDefault="006E3B8A" w:rsidP="00912C7F">
      <w:pPr>
        <w:pStyle w:val="ListParagraph"/>
        <w:spacing w:line="276" w:lineRule="auto"/>
        <w:ind w:left="0"/>
        <w:jc w:val="both"/>
        <w:rPr>
          <w:rFonts w:cs="Times New Roman"/>
          <w:b/>
          <w:i/>
          <w:szCs w:val="24"/>
        </w:rPr>
      </w:pPr>
      <w:r w:rsidRPr="007424FA">
        <w:rPr>
          <w:rFonts w:cs="Times New Roman"/>
          <w:b/>
          <w:i/>
          <w:szCs w:val="24"/>
        </w:rPr>
        <w:t>Long-term Goals and Objectives</w:t>
      </w:r>
    </w:p>
    <w:p w:rsidR="006E3B8A" w:rsidRPr="00117449" w:rsidRDefault="006E3B8A" w:rsidP="00912C7F">
      <w:pPr>
        <w:pStyle w:val="ListParagraph"/>
        <w:spacing w:line="276" w:lineRule="auto"/>
        <w:jc w:val="both"/>
        <w:rPr>
          <w:rFonts w:cs="Times New Roman"/>
          <w:b/>
          <w:szCs w:val="24"/>
        </w:rPr>
      </w:pPr>
    </w:p>
    <w:p w:rsidR="006E3B8A" w:rsidRPr="00117449" w:rsidRDefault="006E3B8A" w:rsidP="00912C7F">
      <w:pPr>
        <w:pStyle w:val="ListParagraph"/>
        <w:spacing w:line="276" w:lineRule="auto"/>
        <w:ind w:left="0"/>
        <w:contextualSpacing w:val="0"/>
        <w:jc w:val="both"/>
        <w:rPr>
          <w:rFonts w:cs="Times New Roman"/>
          <w:szCs w:val="24"/>
        </w:rPr>
      </w:pPr>
      <w:r w:rsidRPr="00117449">
        <w:rPr>
          <w:rFonts w:cs="Times New Roman"/>
          <w:b/>
          <w:i/>
          <w:szCs w:val="24"/>
        </w:rPr>
        <w:t>Setting long-term goals in an uncertain environment:</w:t>
      </w:r>
      <w:r w:rsidRPr="00117449">
        <w:rPr>
          <w:rFonts w:cs="Times New Roman"/>
          <w:szCs w:val="24"/>
        </w:rPr>
        <w:t xml:space="preserve"> BDP2100 strategy is envisioned as a long-term integrated and holistic strategy that takes a long-term view on water management, climate change and environmental challenges with a view to supporting long-term development of Bangladesh. The opportunities, risks and vulnerabilities emerging from the interface of water, climate change and environmental issues are long-term in nature.   The strategies, policies and programs must also be formulated with a long-term perspective.  Yet there are immediate and medium-term challenges that must be addressed now or in the near future. The associated short-to medium-term strategies, policies and programs will have implications for long-term developments. </w:t>
      </w:r>
      <w:r w:rsidRPr="004B0A08">
        <w:rPr>
          <w:rFonts w:cs="Times New Roman"/>
          <w:i/>
          <w:szCs w:val="24"/>
        </w:rPr>
        <w:t>As against this, long-term planning is complicated by considerable uncertainties.</w:t>
      </w:r>
      <w:r w:rsidRPr="00117449">
        <w:rPr>
          <w:rFonts w:cs="Times New Roman"/>
          <w:szCs w:val="24"/>
        </w:rPr>
        <w:t xml:space="preserve">  Water, climate change and environment are heavily influenced by the behavior of nature that is not often predictable.  How should policies, programs and investments be formulated in the near-to-medium term to be consistent with the long term outcomes that are inherently uncertain?  This is a major strategy challenge for the BDP2100.</w:t>
      </w:r>
    </w:p>
    <w:p w:rsidR="006E3B8A" w:rsidRPr="00117449" w:rsidRDefault="006E3B8A" w:rsidP="00912C7F">
      <w:pPr>
        <w:spacing w:line="276" w:lineRule="auto"/>
        <w:jc w:val="both"/>
        <w:rPr>
          <w:rFonts w:cs="Times New Roman"/>
          <w:szCs w:val="24"/>
        </w:rPr>
      </w:pPr>
      <w:r w:rsidRPr="00117449">
        <w:rPr>
          <w:rFonts w:cs="Times New Roman"/>
          <w:b/>
          <w:i/>
          <w:szCs w:val="24"/>
        </w:rPr>
        <w:t>The BDP</w:t>
      </w:r>
      <w:r w:rsidR="00E77241">
        <w:rPr>
          <w:rFonts w:cs="Times New Roman"/>
          <w:b/>
          <w:i/>
          <w:szCs w:val="24"/>
        </w:rPr>
        <w:t>2100</w:t>
      </w:r>
      <w:r w:rsidRPr="00117449">
        <w:rPr>
          <w:rFonts w:cs="Times New Roman"/>
          <w:b/>
          <w:i/>
          <w:szCs w:val="24"/>
        </w:rPr>
        <w:t xml:space="preserve"> approach to long-term Vision: </w:t>
      </w:r>
      <w:r w:rsidRPr="00117449">
        <w:rPr>
          <w:rFonts w:cs="Times New Roman"/>
          <w:szCs w:val="24"/>
        </w:rPr>
        <w:t>The BDP</w:t>
      </w:r>
      <w:r w:rsidR="00E77241">
        <w:rPr>
          <w:rFonts w:cs="Times New Roman"/>
          <w:szCs w:val="24"/>
        </w:rPr>
        <w:t>2100</w:t>
      </w:r>
      <w:r w:rsidRPr="00117449">
        <w:rPr>
          <w:rFonts w:cs="Times New Roman"/>
          <w:szCs w:val="24"/>
        </w:rPr>
        <w:t xml:space="preserve"> approach is to first develop a broad-based long-term vision about the evolution of the Bangladesh Delta by the end of the 21st Century.  Thus, an integrated, comprehensive and long term delta vision might be formulated as:</w:t>
      </w:r>
    </w:p>
    <w:p w:rsidR="006E3B8A" w:rsidRPr="00117449" w:rsidRDefault="006E3B8A" w:rsidP="00912C7F">
      <w:pPr>
        <w:spacing w:line="276" w:lineRule="auto"/>
        <w:jc w:val="both"/>
        <w:rPr>
          <w:rFonts w:cs="Times New Roman"/>
          <w:b/>
          <w:i/>
          <w:szCs w:val="24"/>
        </w:rPr>
      </w:pPr>
      <w:r w:rsidRPr="00117449">
        <w:rPr>
          <w:rFonts w:cs="Times New Roman"/>
          <w:b/>
          <w:i/>
          <w:szCs w:val="24"/>
        </w:rPr>
        <w:t>“</w:t>
      </w:r>
      <w:r w:rsidRPr="00F353E2">
        <w:rPr>
          <w:rFonts w:cs="Times New Roman"/>
          <w:i/>
          <w:szCs w:val="24"/>
        </w:rPr>
        <w:t>Ensure long term water and food security, economic growth and environmental sustainability while effectively coping with natural disasters, climate change and other delta issues through robust, adaptive and integrated strategies, and equitable water governance.”</w:t>
      </w:r>
    </w:p>
    <w:p w:rsidR="006E3B8A" w:rsidRPr="00117449" w:rsidRDefault="006E3B8A" w:rsidP="00912C7F">
      <w:pPr>
        <w:pStyle w:val="ListParagraph"/>
        <w:spacing w:line="276" w:lineRule="auto"/>
        <w:ind w:left="0"/>
        <w:contextualSpacing w:val="0"/>
        <w:jc w:val="both"/>
        <w:rPr>
          <w:rFonts w:cs="Times New Roman"/>
          <w:szCs w:val="24"/>
        </w:rPr>
      </w:pPr>
      <w:r w:rsidRPr="00117449">
        <w:rPr>
          <w:rFonts w:cs="Times New Roman"/>
          <w:szCs w:val="24"/>
        </w:rPr>
        <w:t xml:space="preserve">This long-term Vision needs to be translated into specific goals or targets for implementing the Delta Vision. This is best done by combining long-term development outcomes in terms of </w:t>
      </w:r>
      <w:r w:rsidRPr="00117449">
        <w:rPr>
          <w:rFonts w:cs="Times New Roman"/>
          <w:szCs w:val="24"/>
        </w:rPr>
        <w:lastRenderedPageBreak/>
        <w:t xml:space="preserve">economic growth and poverty reduction with targets for reducing long-term vulnerability from water and climate change related hazards plus targets for environmental protection. </w:t>
      </w:r>
    </w:p>
    <w:p w:rsidR="006E3B8A" w:rsidRPr="00117449" w:rsidRDefault="006E3B8A" w:rsidP="00912C7F">
      <w:pPr>
        <w:pStyle w:val="ListParagraph"/>
        <w:spacing w:line="276" w:lineRule="auto"/>
        <w:ind w:left="0"/>
        <w:contextualSpacing w:val="0"/>
        <w:jc w:val="both"/>
        <w:rPr>
          <w:rFonts w:cs="Times New Roman"/>
          <w:szCs w:val="24"/>
        </w:rPr>
      </w:pPr>
      <w:r w:rsidRPr="00117449">
        <w:rPr>
          <w:rFonts w:cs="Times New Roman"/>
          <w:b/>
          <w:i/>
          <w:szCs w:val="24"/>
        </w:rPr>
        <w:t>BDP</w:t>
      </w:r>
      <w:r w:rsidR="00E77241">
        <w:rPr>
          <w:rFonts w:cs="Times New Roman"/>
          <w:b/>
          <w:i/>
          <w:szCs w:val="24"/>
        </w:rPr>
        <w:t>2100</w:t>
      </w:r>
      <w:r w:rsidRPr="00117449">
        <w:rPr>
          <w:rFonts w:cs="Times New Roman"/>
          <w:b/>
          <w:i/>
          <w:szCs w:val="24"/>
        </w:rPr>
        <w:t xml:space="preserve"> approach to long-term goals:</w:t>
      </w:r>
      <w:r w:rsidRPr="00117449">
        <w:rPr>
          <w:rFonts w:cs="Times New Roman"/>
          <w:szCs w:val="24"/>
        </w:rPr>
        <w:t xml:space="preserve"> </w:t>
      </w:r>
      <w:r w:rsidRPr="004B0A08">
        <w:rPr>
          <w:rFonts w:cs="Times New Roman"/>
          <w:i/>
          <w:szCs w:val="24"/>
        </w:rPr>
        <w:t>The BDP</w:t>
      </w:r>
      <w:r w:rsidR="00E77241" w:rsidRPr="004B0A08">
        <w:rPr>
          <w:rFonts w:cs="Times New Roman"/>
          <w:i/>
          <w:szCs w:val="24"/>
        </w:rPr>
        <w:t>2100</w:t>
      </w:r>
      <w:r w:rsidRPr="004B0A08">
        <w:rPr>
          <w:rFonts w:cs="Times New Roman"/>
          <w:i/>
          <w:szCs w:val="24"/>
        </w:rPr>
        <w:t xml:space="preserve"> proposes 2 higher level national goals set by the National Plans and 6 s</w:t>
      </w:r>
      <w:r w:rsidR="00E77241" w:rsidRPr="004B0A08">
        <w:rPr>
          <w:rFonts w:cs="Times New Roman"/>
          <w:i/>
          <w:szCs w:val="24"/>
        </w:rPr>
        <w:t xml:space="preserve">pecific goals </w:t>
      </w:r>
      <w:r w:rsidRPr="004B0A08">
        <w:rPr>
          <w:rFonts w:cs="Times New Roman"/>
          <w:i/>
          <w:szCs w:val="24"/>
        </w:rPr>
        <w:t>that contribute to these higher level goals.</w:t>
      </w:r>
      <w:r w:rsidRPr="00117449">
        <w:rPr>
          <w:rFonts w:cs="Times New Roman"/>
          <w:szCs w:val="24"/>
        </w:rPr>
        <w:t xml:space="preserve">   </w:t>
      </w:r>
    </w:p>
    <w:p w:rsidR="006E3B8A" w:rsidRPr="00117449" w:rsidRDefault="006E3B8A" w:rsidP="00912C7F">
      <w:pPr>
        <w:spacing w:line="276" w:lineRule="auto"/>
        <w:jc w:val="both"/>
        <w:rPr>
          <w:rFonts w:cs="Times New Roman"/>
          <w:b/>
          <w:i/>
          <w:szCs w:val="24"/>
        </w:rPr>
      </w:pPr>
      <w:r w:rsidRPr="00117449">
        <w:rPr>
          <w:rFonts w:cs="Times New Roman"/>
          <w:b/>
          <w:i/>
          <w:szCs w:val="24"/>
        </w:rPr>
        <w:t xml:space="preserve">Higher level goals:  </w:t>
      </w:r>
      <w:r w:rsidRPr="00117449">
        <w:rPr>
          <w:rFonts w:cs="Times New Roman"/>
          <w:szCs w:val="24"/>
        </w:rPr>
        <w:t xml:space="preserve">Goal 1: Eliminate extreme poverty by </w:t>
      </w:r>
      <w:r w:rsidR="00FB39C7">
        <w:rPr>
          <w:rFonts w:cs="Times New Roman"/>
          <w:szCs w:val="24"/>
        </w:rPr>
        <w:t>FY2031</w:t>
      </w:r>
      <w:r w:rsidRPr="00117449">
        <w:rPr>
          <w:rFonts w:cs="Times New Roman"/>
          <w:szCs w:val="24"/>
        </w:rPr>
        <w:t>; Goal 2: Achieve up</w:t>
      </w:r>
      <w:r w:rsidR="00FB39C7">
        <w:rPr>
          <w:rFonts w:cs="Times New Roman"/>
          <w:szCs w:val="24"/>
        </w:rPr>
        <w:t>per middle income status by FY2031</w:t>
      </w:r>
      <w:r w:rsidRPr="00117449">
        <w:rPr>
          <w:rFonts w:cs="Times New Roman"/>
          <w:szCs w:val="24"/>
        </w:rPr>
        <w:t xml:space="preserve">. </w:t>
      </w:r>
    </w:p>
    <w:p w:rsidR="006E3B8A" w:rsidRPr="007261BD" w:rsidRDefault="00E77241" w:rsidP="00912C7F">
      <w:pPr>
        <w:spacing w:line="276" w:lineRule="auto"/>
        <w:jc w:val="both"/>
        <w:rPr>
          <w:rFonts w:cs="Times New Roman"/>
          <w:b/>
          <w:i/>
          <w:szCs w:val="24"/>
        </w:rPr>
      </w:pPr>
      <w:r>
        <w:rPr>
          <w:rFonts w:cs="Times New Roman"/>
          <w:b/>
          <w:i/>
          <w:szCs w:val="24"/>
        </w:rPr>
        <w:t>BDP2100</w:t>
      </w:r>
      <w:r w:rsidR="006E3B8A" w:rsidRPr="00117449">
        <w:rPr>
          <w:rFonts w:cs="Times New Roman"/>
          <w:b/>
          <w:i/>
          <w:szCs w:val="24"/>
        </w:rPr>
        <w:t xml:space="preserve"> specific goals: </w:t>
      </w:r>
      <w:r w:rsidR="006E3B8A" w:rsidRPr="004B0A08">
        <w:rPr>
          <w:rFonts w:cs="Times New Roman"/>
          <w:i/>
          <w:szCs w:val="24"/>
        </w:rPr>
        <w:t>Goal 1: Ensure safety from floods and climate change related disasters; Goal 2: Enhance water security and efficiency of water usages; Goal 3: Ensure sustainable and integrated river systems and estuaries management; Goal 4: Conserve and preserve wetlands and ecosystems and promote their wise use; Goal 5: Develop effective institutions and equitable governance for in-country and trans-boundary water resources management; Goal 6: Achieve optimal and integrated use of land and water resources.</w:t>
      </w:r>
    </w:p>
    <w:p w:rsidR="006E3B8A" w:rsidRPr="00117449" w:rsidRDefault="006E3B8A" w:rsidP="00912C7F">
      <w:pPr>
        <w:pStyle w:val="ListParagraph"/>
        <w:spacing w:line="276" w:lineRule="auto"/>
        <w:ind w:left="0"/>
        <w:contextualSpacing w:val="0"/>
        <w:jc w:val="both"/>
        <w:rPr>
          <w:rFonts w:cs="Times New Roman"/>
          <w:szCs w:val="24"/>
        </w:rPr>
      </w:pPr>
      <w:r w:rsidRPr="00117449">
        <w:rPr>
          <w:rFonts w:cs="Times New Roman"/>
          <w:b/>
          <w:i/>
          <w:szCs w:val="24"/>
        </w:rPr>
        <w:t>BDP2100 approach to managing uncertainties and linking short-to-medium term to long-term outcomes:</w:t>
      </w:r>
      <w:r w:rsidRPr="00117449">
        <w:rPr>
          <w:rFonts w:cs="Times New Roman"/>
          <w:szCs w:val="24"/>
        </w:rPr>
        <w:t xml:space="preserve"> Given the inherent uncertainties of the long-term behavior of the natural forces that influence water, climate change and environmental outturns, it is essential to adopt a flexible and adaptive approach to converting the long-term Delta Vision </w:t>
      </w:r>
      <w:r w:rsidR="00E77241">
        <w:rPr>
          <w:rFonts w:cs="Times New Roman"/>
          <w:szCs w:val="24"/>
        </w:rPr>
        <w:t xml:space="preserve">2100 </w:t>
      </w:r>
      <w:r w:rsidRPr="00117449">
        <w:rPr>
          <w:rFonts w:cs="Times New Roman"/>
          <w:szCs w:val="24"/>
        </w:rPr>
        <w:t>to medium-term strategies for movin</w:t>
      </w:r>
      <w:r w:rsidR="00E77241">
        <w:rPr>
          <w:rFonts w:cs="Times New Roman"/>
          <w:szCs w:val="24"/>
        </w:rPr>
        <w:t xml:space="preserve">g towards this vision.   BDP2100 </w:t>
      </w:r>
      <w:r w:rsidRPr="00117449">
        <w:rPr>
          <w:rFonts w:cs="Times New Roman"/>
          <w:szCs w:val="24"/>
        </w:rPr>
        <w:t>use</w:t>
      </w:r>
      <w:r w:rsidR="00E77241">
        <w:rPr>
          <w:rFonts w:cs="Times New Roman"/>
          <w:szCs w:val="24"/>
        </w:rPr>
        <w:t>s</w:t>
      </w:r>
      <w:r w:rsidRPr="00117449">
        <w:rPr>
          <w:rFonts w:cs="Times New Roman"/>
          <w:szCs w:val="24"/>
        </w:rPr>
        <w:t xml:space="preserve"> the best available information and develop</w:t>
      </w:r>
      <w:r w:rsidR="00E77241">
        <w:rPr>
          <w:rFonts w:cs="Times New Roman"/>
          <w:szCs w:val="24"/>
        </w:rPr>
        <w:t>s</w:t>
      </w:r>
      <w:r w:rsidRPr="00117449">
        <w:rPr>
          <w:rFonts w:cs="Times New Roman"/>
          <w:szCs w:val="24"/>
        </w:rPr>
        <w:t xml:space="preserve"> short-to-medium term strategies and policy o</w:t>
      </w:r>
      <w:r w:rsidR="00E77241">
        <w:rPr>
          <w:rFonts w:cs="Times New Roman"/>
          <w:szCs w:val="24"/>
        </w:rPr>
        <w:t>ptions under different assumptions</w:t>
      </w:r>
      <w:r w:rsidRPr="00117449">
        <w:rPr>
          <w:rFonts w:cs="Times New Roman"/>
          <w:szCs w:val="24"/>
        </w:rPr>
        <w:t xml:space="preserve"> about the external outcomes. The scenarios and strategies will need to update frequently as new information is available on a 5-year cycle. This adaptive approach to delta planning including selection of</w:t>
      </w:r>
      <w:r w:rsidR="009E44AB">
        <w:rPr>
          <w:rFonts w:cs="Times New Roman"/>
          <w:szCs w:val="24"/>
        </w:rPr>
        <w:t xml:space="preserve"> investment projects provides the </w:t>
      </w:r>
      <w:r w:rsidRPr="00117449">
        <w:rPr>
          <w:rFonts w:cs="Times New Roman"/>
          <w:szCs w:val="24"/>
        </w:rPr>
        <w:t xml:space="preserve">link between the short-to-medium-term development targets and investment programmes with the long-term goals of sustained development based on climate sensitive management.   </w:t>
      </w:r>
    </w:p>
    <w:p w:rsidR="00000000" w:rsidRDefault="006E3B8A" w:rsidP="003D5A31">
      <w:pPr>
        <w:pStyle w:val="ListParagraph"/>
        <w:numPr>
          <w:ilvl w:val="0"/>
          <w:numId w:val="129"/>
        </w:numPr>
        <w:spacing w:line="276" w:lineRule="auto"/>
        <w:jc w:val="both"/>
        <w:rPr>
          <w:rFonts w:cs="Times New Roman"/>
          <w:b/>
          <w:szCs w:val="24"/>
        </w:rPr>
      </w:pPr>
      <w:r w:rsidRPr="00117449">
        <w:rPr>
          <w:rFonts w:cs="Times New Roman"/>
          <w:b/>
          <w:szCs w:val="24"/>
        </w:rPr>
        <w:t>Sectoral Strategies for BDP2100</w:t>
      </w:r>
    </w:p>
    <w:p w:rsidR="006E3B8A" w:rsidRPr="00117449" w:rsidRDefault="006E3B8A" w:rsidP="00912C7F">
      <w:pPr>
        <w:pStyle w:val="ListParagraph"/>
        <w:spacing w:line="276" w:lineRule="auto"/>
        <w:jc w:val="both"/>
        <w:rPr>
          <w:rFonts w:cs="Times New Roman"/>
          <w:b/>
          <w:szCs w:val="24"/>
        </w:rPr>
      </w:pPr>
    </w:p>
    <w:p w:rsidR="00000000" w:rsidRDefault="006E3B8A" w:rsidP="003D5A31">
      <w:pPr>
        <w:pStyle w:val="ListParagraph"/>
        <w:numPr>
          <w:ilvl w:val="0"/>
          <w:numId w:val="132"/>
        </w:numPr>
        <w:spacing w:line="276" w:lineRule="auto"/>
        <w:jc w:val="both"/>
        <w:rPr>
          <w:rFonts w:cs="Times New Roman"/>
          <w:b/>
          <w:szCs w:val="24"/>
        </w:rPr>
      </w:pPr>
      <w:r w:rsidRPr="00117449">
        <w:rPr>
          <w:rFonts w:cs="Times New Roman"/>
          <w:b/>
          <w:szCs w:val="24"/>
        </w:rPr>
        <w:t>Water Strategies</w:t>
      </w:r>
    </w:p>
    <w:p w:rsidR="006E3B8A" w:rsidRPr="004B0A08" w:rsidRDefault="006E3B8A" w:rsidP="00912C7F">
      <w:pPr>
        <w:spacing w:line="276" w:lineRule="auto"/>
        <w:jc w:val="both"/>
        <w:rPr>
          <w:rFonts w:cs="Times New Roman"/>
          <w:i/>
          <w:szCs w:val="24"/>
        </w:rPr>
      </w:pPr>
      <w:r w:rsidRPr="00117449">
        <w:rPr>
          <w:rFonts w:cs="Times New Roman"/>
          <w:szCs w:val="24"/>
        </w:rPr>
        <w:t xml:space="preserve">Water remains an indispensable resource and is </w:t>
      </w:r>
      <w:r w:rsidR="00F353E2">
        <w:rPr>
          <w:rFonts w:cs="Times New Roman"/>
          <w:szCs w:val="24"/>
        </w:rPr>
        <w:t xml:space="preserve">used for </w:t>
      </w:r>
      <w:r w:rsidR="00F57172">
        <w:rPr>
          <w:rFonts w:cs="Times New Roman"/>
          <w:szCs w:val="24"/>
        </w:rPr>
        <w:t>both production</w:t>
      </w:r>
      <w:r w:rsidR="00F353E2">
        <w:rPr>
          <w:rFonts w:cs="Times New Roman"/>
          <w:szCs w:val="24"/>
        </w:rPr>
        <w:t xml:space="preserve"> </w:t>
      </w:r>
      <w:r w:rsidRPr="00117449">
        <w:rPr>
          <w:rFonts w:cs="Times New Roman"/>
          <w:szCs w:val="24"/>
        </w:rPr>
        <w:t>secto</w:t>
      </w:r>
      <w:r w:rsidR="00F353E2">
        <w:rPr>
          <w:rFonts w:cs="Times New Roman"/>
          <w:szCs w:val="24"/>
        </w:rPr>
        <w:t>rs</w:t>
      </w:r>
      <w:r w:rsidR="00D31AF0">
        <w:rPr>
          <w:rFonts w:cs="Times New Roman"/>
          <w:szCs w:val="24"/>
        </w:rPr>
        <w:t>,</w:t>
      </w:r>
      <w:r w:rsidR="00F353E2">
        <w:rPr>
          <w:rFonts w:cs="Times New Roman"/>
          <w:szCs w:val="24"/>
        </w:rPr>
        <w:t xml:space="preserve"> such as, agriculture, industry</w:t>
      </w:r>
      <w:r w:rsidRPr="00117449">
        <w:rPr>
          <w:rFonts w:cs="Times New Roman"/>
          <w:szCs w:val="24"/>
        </w:rPr>
        <w:t>, commercial, forestry, fisheries etc.</w:t>
      </w:r>
      <w:r w:rsidR="00F353E2">
        <w:rPr>
          <w:rFonts w:cs="Times New Roman"/>
          <w:szCs w:val="24"/>
        </w:rPr>
        <w:t>, and for human consumption</w:t>
      </w:r>
      <w:r w:rsidR="00D31AF0">
        <w:rPr>
          <w:rFonts w:cs="Times New Roman"/>
          <w:szCs w:val="24"/>
        </w:rPr>
        <w:t xml:space="preserve">, such as drinking, cooking and </w:t>
      </w:r>
      <w:r w:rsidR="00F57172">
        <w:rPr>
          <w:rFonts w:cs="Times New Roman"/>
          <w:szCs w:val="24"/>
        </w:rPr>
        <w:t>hygiene</w:t>
      </w:r>
      <w:r w:rsidR="00F353E2">
        <w:rPr>
          <w:rFonts w:cs="Times New Roman"/>
          <w:szCs w:val="24"/>
        </w:rPr>
        <w:t xml:space="preserve">.  </w:t>
      </w:r>
      <w:r w:rsidRPr="00117449">
        <w:rPr>
          <w:rFonts w:cs="Times New Roman"/>
          <w:szCs w:val="24"/>
        </w:rPr>
        <w:t xml:space="preserve"> The nation-wide deman</w:t>
      </w:r>
      <w:r w:rsidR="00D31AF0">
        <w:rPr>
          <w:rFonts w:cs="Times New Roman"/>
          <w:szCs w:val="24"/>
        </w:rPr>
        <w:t>d for water is growing over time,</w:t>
      </w:r>
      <w:r w:rsidRPr="00117449">
        <w:rPr>
          <w:rFonts w:cs="Times New Roman"/>
          <w:szCs w:val="24"/>
        </w:rPr>
        <w:t xml:space="preserve"> which is being intensified by several socio-technical drivers such as, high demographic growth, rapid and unplanned urbanization, high sectoral demand (such as agriculture, fisheries</w:t>
      </w:r>
      <w:r w:rsidR="00D31AF0">
        <w:rPr>
          <w:rFonts w:cs="Times New Roman"/>
          <w:szCs w:val="24"/>
        </w:rPr>
        <w:t>, transportation, industries</w:t>
      </w:r>
      <w:r w:rsidRPr="00117449">
        <w:rPr>
          <w:rFonts w:cs="Times New Roman"/>
          <w:szCs w:val="24"/>
        </w:rPr>
        <w:t xml:space="preserve">), climate change etc.. On the other hand, </w:t>
      </w:r>
      <w:r w:rsidR="00D31AF0">
        <w:rPr>
          <w:rFonts w:cs="Times New Roman"/>
          <w:szCs w:val="24"/>
        </w:rPr>
        <w:t xml:space="preserve">the </w:t>
      </w:r>
      <w:r w:rsidRPr="00117449">
        <w:rPr>
          <w:rFonts w:cs="Times New Roman"/>
          <w:szCs w:val="24"/>
        </w:rPr>
        <w:t>essentiality of water for the rich but vuln</w:t>
      </w:r>
      <w:r w:rsidR="00D31AF0">
        <w:rPr>
          <w:rFonts w:cs="Times New Roman"/>
          <w:szCs w:val="24"/>
        </w:rPr>
        <w:t>erable ecosystem of the country and the</w:t>
      </w:r>
      <w:r w:rsidRPr="00117449">
        <w:rPr>
          <w:rFonts w:cs="Times New Roman"/>
          <w:szCs w:val="24"/>
        </w:rPr>
        <w:t xml:space="preserve"> variability of water availability in dry and wet </w:t>
      </w:r>
      <w:r w:rsidR="00D31AF0">
        <w:rPr>
          <w:rFonts w:cs="Times New Roman"/>
          <w:szCs w:val="24"/>
        </w:rPr>
        <w:t xml:space="preserve">season complicates </w:t>
      </w:r>
      <w:r w:rsidRPr="00117449">
        <w:rPr>
          <w:rFonts w:cs="Times New Roman"/>
          <w:szCs w:val="24"/>
        </w:rPr>
        <w:t xml:space="preserve">water resources management in Bangladesh.  </w:t>
      </w:r>
      <w:r w:rsidR="00D31AF0" w:rsidRPr="004B0A08">
        <w:rPr>
          <w:rFonts w:cs="Times New Roman"/>
          <w:i/>
          <w:szCs w:val="24"/>
        </w:rPr>
        <w:t>Additionally, t</w:t>
      </w:r>
      <w:r w:rsidRPr="004B0A08">
        <w:rPr>
          <w:rFonts w:cs="Times New Roman"/>
          <w:i/>
          <w:szCs w:val="24"/>
        </w:rPr>
        <w:t>he manag</w:t>
      </w:r>
      <w:r w:rsidR="00D31AF0" w:rsidRPr="004B0A08">
        <w:rPr>
          <w:rFonts w:cs="Times New Roman"/>
          <w:i/>
          <w:szCs w:val="24"/>
        </w:rPr>
        <w:t>ement of water resources is complicated by</w:t>
      </w:r>
      <w:r w:rsidRPr="004B0A08">
        <w:rPr>
          <w:rFonts w:cs="Times New Roman"/>
          <w:i/>
          <w:szCs w:val="24"/>
        </w:rPr>
        <w:t xml:space="preserve"> the </w:t>
      </w:r>
      <w:r w:rsidR="00D31AF0" w:rsidRPr="004B0A08">
        <w:rPr>
          <w:rFonts w:cs="Times New Roman"/>
          <w:i/>
          <w:szCs w:val="24"/>
        </w:rPr>
        <w:t xml:space="preserve">fact that the </w:t>
      </w:r>
      <w:r w:rsidRPr="004B0A08">
        <w:rPr>
          <w:rFonts w:cs="Times New Roman"/>
          <w:i/>
          <w:szCs w:val="24"/>
        </w:rPr>
        <w:t>flow generated in the 93% catchment of the Ganges-Brahmap</w:t>
      </w:r>
      <w:r w:rsidR="00D31AF0" w:rsidRPr="004B0A08">
        <w:rPr>
          <w:rFonts w:cs="Times New Roman"/>
          <w:i/>
          <w:szCs w:val="24"/>
        </w:rPr>
        <w:t>utra-Meghna (GBM) originates</w:t>
      </w:r>
      <w:r w:rsidRPr="004B0A08">
        <w:rPr>
          <w:rFonts w:cs="Times New Roman"/>
          <w:i/>
          <w:szCs w:val="24"/>
        </w:rPr>
        <w:t xml:space="preserve"> outside the</w:t>
      </w:r>
      <w:r w:rsidR="00D31AF0" w:rsidRPr="004B0A08">
        <w:rPr>
          <w:rFonts w:cs="Times New Roman"/>
          <w:i/>
          <w:szCs w:val="24"/>
        </w:rPr>
        <w:t xml:space="preserve"> border of Bangladesh before </w:t>
      </w:r>
      <w:r w:rsidR="00D31AF0" w:rsidRPr="004B0A08">
        <w:rPr>
          <w:rFonts w:cs="Times New Roman"/>
          <w:i/>
          <w:szCs w:val="24"/>
        </w:rPr>
        <w:lastRenderedPageBreak/>
        <w:t>draining</w:t>
      </w:r>
      <w:r w:rsidRPr="004B0A08">
        <w:rPr>
          <w:rFonts w:cs="Times New Roman"/>
          <w:i/>
          <w:szCs w:val="24"/>
        </w:rPr>
        <w:t xml:space="preserve"> out to the Bay of Bengal. The country is frequently hit by natural disasters such as, flood, river bank erosion, cyclone in the wet season; and drought in dry season.  </w:t>
      </w:r>
      <w:r w:rsidR="007261BD" w:rsidRPr="004B0A08">
        <w:rPr>
          <w:rFonts w:cs="Times New Roman"/>
          <w:i/>
          <w:szCs w:val="24"/>
        </w:rPr>
        <w:t>Furthermore</w:t>
      </w:r>
      <w:r w:rsidRPr="004B0A08">
        <w:rPr>
          <w:rFonts w:cs="Times New Roman"/>
          <w:i/>
          <w:szCs w:val="24"/>
        </w:rPr>
        <w:t>, the country encounters problems like water logging, salinity intrusion, arsenic contamination navigation problems etc.</w:t>
      </w:r>
      <w:r w:rsidRPr="004B0A08">
        <w:rPr>
          <w:rFonts w:cs="Times New Roman"/>
          <w:b/>
          <w:i/>
          <w:szCs w:val="24"/>
        </w:rPr>
        <w:t xml:space="preserve"> </w:t>
      </w:r>
      <w:r w:rsidRPr="004B0A08">
        <w:rPr>
          <w:rFonts w:cs="Times New Roman"/>
          <w:i/>
          <w:szCs w:val="24"/>
        </w:rPr>
        <w:t xml:space="preserve">Most importantly, the country confronts with growing uncertainties in receiving equitable water share from its upper riparian countries. Therefore, it is of high importance for the country to manage this critical natural resource in an integrated and holistic strategic manner.  </w:t>
      </w:r>
    </w:p>
    <w:p w:rsidR="006E3B8A" w:rsidRPr="00117449" w:rsidRDefault="006F5BC3" w:rsidP="00912C7F">
      <w:pPr>
        <w:spacing w:line="276" w:lineRule="auto"/>
        <w:jc w:val="both"/>
        <w:rPr>
          <w:rFonts w:cs="Times New Roman"/>
          <w:szCs w:val="24"/>
        </w:rPr>
      </w:pPr>
      <w:r>
        <w:rPr>
          <w:rFonts w:cs="Times New Roman"/>
          <w:szCs w:val="24"/>
        </w:rPr>
        <w:t>The BDP2100</w:t>
      </w:r>
      <w:r w:rsidRPr="0032604C">
        <w:rPr>
          <w:rFonts w:cs="Times New Roman"/>
          <w:szCs w:val="24"/>
        </w:rPr>
        <w:t xml:space="preserve"> therefore comes up with an adaptive, holistic and long term strategic plan to steer the </w:t>
      </w:r>
      <w:r>
        <w:rPr>
          <w:rFonts w:cs="Times New Roman"/>
          <w:szCs w:val="24"/>
        </w:rPr>
        <w:t xml:space="preserve">opportunities and vulnerabilities created by the interface of water, climate change, natural disasters, environment, ecological balance, agriculture, land use and inland water management for national development. </w:t>
      </w:r>
      <w:r w:rsidRPr="004B0A08">
        <w:rPr>
          <w:rFonts w:cs="Times New Roman"/>
          <w:i/>
          <w:szCs w:val="24"/>
        </w:rPr>
        <w:t>The sustainable use of water resources and prevention of water-related natural disasters provides the backbone to the Delta Plan.</w:t>
      </w:r>
      <w:r>
        <w:rPr>
          <w:rFonts w:cs="Times New Roman"/>
          <w:szCs w:val="24"/>
        </w:rPr>
        <w:t xml:space="preserve">  </w:t>
      </w:r>
      <w:r w:rsidR="006E3B8A" w:rsidRPr="00117449">
        <w:rPr>
          <w:rFonts w:cs="Times New Roman"/>
          <w:szCs w:val="24"/>
          <w:lang w:val="en-GB"/>
        </w:rPr>
        <w:t xml:space="preserve">The strategies for managing water resources in wet and dry season have been formulated are </w:t>
      </w:r>
      <w:r w:rsidR="006E3B8A" w:rsidRPr="00117449">
        <w:rPr>
          <w:rFonts w:cs="Times New Roman"/>
          <w:b/>
          <w:bCs/>
          <w:iCs/>
          <w:szCs w:val="24"/>
        </w:rPr>
        <w:t>flexible</w:t>
      </w:r>
      <w:r w:rsidR="006E3B8A" w:rsidRPr="00117449">
        <w:rPr>
          <w:rFonts w:cs="Times New Roman"/>
          <w:szCs w:val="24"/>
        </w:rPr>
        <w:t xml:space="preserve"> in respect of measures and actions with its timeframe and uncertainties</w:t>
      </w:r>
      <w:r w:rsidR="006E3B8A" w:rsidRPr="00117449">
        <w:rPr>
          <w:rFonts w:cs="Times New Roman"/>
          <w:szCs w:val="24"/>
          <w:lang w:val="en-GB"/>
        </w:rPr>
        <w:t xml:space="preserve">. The strategies are </w:t>
      </w:r>
      <w:r w:rsidR="006E3B8A" w:rsidRPr="00117449">
        <w:rPr>
          <w:rFonts w:cs="Times New Roman"/>
          <w:b/>
          <w:bCs/>
          <w:iCs/>
          <w:szCs w:val="24"/>
        </w:rPr>
        <w:t>adaptive</w:t>
      </w:r>
      <w:r w:rsidR="006E3B8A" w:rsidRPr="00117449">
        <w:rPr>
          <w:rFonts w:cs="Times New Roman"/>
          <w:szCs w:val="24"/>
        </w:rPr>
        <w:t xml:space="preserve"> in the sense of periodic review and update in Five Year Planning cycle on the basis of situation and development need</w:t>
      </w:r>
      <w:r w:rsidR="00E46568">
        <w:rPr>
          <w:rFonts w:cs="Times New Roman"/>
          <w:szCs w:val="24"/>
        </w:rPr>
        <w:t>s</w:t>
      </w:r>
      <w:r w:rsidR="006E3B8A" w:rsidRPr="00117449">
        <w:rPr>
          <w:rFonts w:cs="Times New Roman"/>
          <w:szCs w:val="24"/>
        </w:rPr>
        <w:t>. These are ‘</w:t>
      </w:r>
      <w:r w:rsidR="006E3B8A" w:rsidRPr="00117449">
        <w:rPr>
          <w:rFonts w:cs="Times New Roman"/>
          <w:b/>
          <w:szCs w:val="24"/>
        </w:rPr>
        <w:t>no</w:t>
      </w:r>
      <w:r w:rsidR="006E3B8A" w:rsidRPr="00117449">
        <w:rPr>
          <w:rFonts w:cs="Times New Roman"/>
          <w:b/>
          <w:bCs/>
          <w:iCs/>
          <w:szCs w:val="24"/>
        </w:rPr>
        <w:t xml:space="preserve"> regret' strategies  </w:t>
      </w:r>
      <w:r w:rsidR="006E3B8A" w:rsidRPr="00117449">
        <w:rPr>
          <w:rFonts w:cs="Times New Roman"/>
          <w:szCs w:val="24"/>
        </w:rPr>
        <w:t xml:space="preserve">in a sense of effectiveness and maximum  benefit and offers </w:t>
      </w:r>
      <w:r w:rsidR="006E3B8A" w:rsidRPr="00E46568">
        <w:rPr>
          <w:rFonts w:cs="Times New Roman"/>
          <w:bCs/>
          <w:iCs/>
          <w:szCs w:val="24"/>
        </w:rPr>
        <w:t>integrated i</w:t>
      </w:r>
      <w:r w:rsidR="006E3B8A" w:rsidRPr="00E46568">
        <w:rPr>
          <w:rFonts w:cs="Times New Roman"/>
          <w:szCs w:val="24"/>
        </w:rPr>
        <w:t>mplementation</w:t>
      </w:r>
      <w:r w:rsidR="006E3B8A" w:rsidRPr="00117449">
        <w:rPr>
          <w:rFonts w:cs="Times New Roman"/>
          <w:szCs w:val="24"/>
        </w:rPr>
        <w:t xml:space="preserve"> with </w:t>
      </w:r>
      <w:r w:rsidR="006E3B8A" w:rsidRPr="00117449">
        <w:rPr>
          <w:rFonts w:cs="Times New Roman"/>
          <w:iCs/>
          <w:szCs w:val="24"/>
        </w:rPr>
        <w:t xml:space="preserve">innovation, advanced information technology and </w:t>
      </w:r>
      <w:r w:rsidR="006E3B8A" w:rsidRPr="00117449">
        <w:rPr>
          <w:rFonts w:cs="Times New Roman"/>
          <w:szCs w:val="24"/>
        </w:rPr>
        <w:t xml:space="preserve"> </w:t>
      </w:r>
      <w:r w:rsidR="006E3B8A" w:rsidRPr="00117449">
        <w:rPr>
          <w:rFonts w:cs="Times New Roman"/>
          <w:iCs/>
          <w:szCs w:val="24"/>
        </w:rPr>
        <w:t>strengthened  institutional capacity.</w:t>
      </w:r>
    </w:p>
    <w:p w:rsidR="006E3B8A" w:rsidRPr="004B0A08" w:rsidRDefault="006E3B8A" w:rsidP="00912C7F">
      <w:pPr>
        <w:spacing w:line="276" w:lineRule="auto"/>
        <w:jc w:val="both"/>
        <w:rPr>
          <w:rFonts w:cs="Times New Roman"/>
          <w:i/>
          <w:szCs w:val="24"/>
        </w:rPr>
      </w:pPr>
      <w:r w:rsidRPr="004B0A08">
        <w:rPr>
          <w:rFonts w:cs="Times New Roman"/>
          <w:i/>
          <w:szCs w:val="24"/>
        </w:rPr>
        <w:t xml:space="preserve">The water challenges and proposed strategies in BDP2100 are built around addressing the fundamental problem of flooding that is a nation-wide challenge and addressing hotspot specific challenges of water shortage in drought-prone Barind Region; river erosion problems of the river and estuary region; coastal inundation and salinity problems of the Coastal region; flash-flooding and wetland management issues of the Haor region; water shortage, sanitation and drainage problems of the urban region; and the water shortage problem of the CHT region. </w:t>
      </w:r>
    </w:p>
    <w:p w:rsidR="006E3B8A" w:rsidRPr="00586F28" w:rsidRDefault="006E3B8A" w:rsidP="00912C7F">
      <w:pPr>
        <w:spacing w:line="276" w:lineRule="auto"/>
        <w:jc w:val="both"/>
        <w:rPr>
          <w:rFonts w:cs="Times New Roman"/>
          <w:i/>
          <w:szCs w:val="24"/>
        </w:rPr>
      </w:pPr>
      <w:r w:rsidRPr="00586F28">
        <w:rPr>
          <w:rFonts w:cs="Times New Roman"/>
          <w:b/>
          <w:i/>
          <w:szCs w:val="24"/>
        </w:rPr>
        <w:t>National Flood Management</w:t>
      </w:r>
      <w:r w:rsidRPr="00586F28">
        <w:rPr>
          <w:rFonts w:cs="Times New Roman"/>
          <w:i/>
          <w:szCs w:val="24"/>
        </w:rPr>
        <w:t xml:space="preserve">:  Key strategies include: </w:t>
      </w:r>
    </w:p>
    <w:p w:rsidR="006E3B8A" w:rsidRPr="00117449" w:rsidRDefault="006E3B8A" w:rsidP="00A631E1">
      <w:pPr>
        <w:pStyle w:val="ListParagraph"/>
        <w:numPr>
          <w:ilvl w:val="0"/>
          <w:numId w:val="25"/>
        </w:numPr>
        <w:autoSpaceDE w:val="0"/>
        <w:autoSpaceDN w:val="0"/>
        <w:adjustRightInd w:val="0"/>
        <w:spacing w:line="276" w:lineRule="auto"/>
        <w:ind w:left="360"/>
        <w:jc w:val="both"/>
        <w:rPr>
          <w:rFonts w:eastAsia="Times New Roman" w:cs="Times New Roman"/>
          <w:szCs w:val="24"/>
        </w:rPr>
      </w:pPr>
      <w:r w:rsidRPr="00117449">
        <w:rPr>
          <w:rFonts w:cs="Times New Roman"/>
          <w:b/>
          <w:color w:val="76923C" w:themeColor="accent3" w:themeShade="BF"/>
          <w:szCs w:val="24"/>
        </w:rPr>
        <w:t xml:space="preserve">Strategy: Integrated Flood Management against Extreme Flood. </w:t>
      </w:r>
      <w:r w:rsidRPr="00117449">
        <w:rPr>
          <w:rFonts w:cs="Times New Roman"/>
          <w:color w:val="000000" w:themeColor="text1"/>
          <w:szCs w:val="24"/>
        </w:rPr>
        <w:t>Following measures are suggested. (a)</w:t>
      </w:r>
      <w:r w:rsidR="00E46568">
        <w:rPr>
          <w:rFonts w:cs="Times New Roman"/>
          <w:color w:val="000000" w:themeColor="text1"/>
          <w:szCs w:val="24"/>
        </w:rPr>
        <w:t xml:space="preserve"> </w:t>
      </w:r>
      <w:r w:rsidRPr="00117449">
        <w:rPr>
          <w:rFonts w:eastAsia="Times New Roman" w:cs="Times New Roman"/>
          <w:bCs/>
          <w:color w:val="000000"/>
          <w:szCs w:val="24"/>
        </w:rPr>
        <w:t>Extension of flood protected area</w:t>
      </w:r>
      <w:r w:rsidRPr="00117449">
        <w:rPr>
          <w:rFonts w:eastAsia="Times New Roman" w:cs="Times New Roman"/>
          <w:b/>
          <w:bCs/>
          <w:color w:val="000000"/>
          <w:szCs w:val="24"/>
        </w:rPr>
        <w:t xml:space="preserve"> </w:t>
      </w:r>
      <w:r w:rsidRPr="00117449">
        <w:rPr>
          <w:rFonts w:eastAsia="Times New Roman" w:cs="Times New Roman"/>
          <w:bCs/>
          <w:color w:val="000000"/>
          <w:szCs w:val="24"/>
        </w:rPr>
        <w:t>by bringing 16,844 km</w:t>
      </w:r>
      <w:r w:rsidRPr="00117449">
        <w:rPr>
          <w:rFonts w:eastAsia="Times New Roman" w:cs="Times New Roman"/>
          <w:bCs/>
          <w:color w:val="000000"/>
          <w:szCs w:val="24"/>
          <w:vertAlign w:val="superscript"/>
        </w:rPr>
        <w:t xml:space="preserve">2 </w:t>
      </w:r>
      <w:r w:rsidRPr="00117449">
        <w:rPr>
          <w:rFonts w:eastAsia="Times New Roman" w:cs="Times New Roman"/>
          <w:bCs/>
          <w:color w:val="000000"/>
          <w:szCs w:val="24"/>
        </w:rPr>
        <w:t xml:space="preserve">of unprotected areas against extreme floods (identified by CEGIS in 2016) through construction of new embankments, rubber dams, sea barriers, natural flood preventions (e.g. green belt) etc. as well as maintenance and/or strengthening of existing flood protection measures for protection of urban, rural, commercial, industrial and </w:t>
      </w:r>
      <w:r w:rsidR="00573016">
        <w:rPr>
          <w:rFonts w:eastAsia="Times New Roman" w:cs="Times New Roman"/>
          <w:bCs/>
          <w:color w:val="000000"/>
          <w:szCs w:val="24"/>
        </w:rPr>
        <w:t>public</w:t>
      </w:r>
      <w:r w:rsidRPr="00117449">
        <w:rPr>
          <w:rFonts w:eastAsia="Times New Roman" w:cs="Times New Roman"/>
          <w:bCs/>
          <w:color w:val="000000"/>
          <w:szCs w:val="24"/>
        </w:rPr>
        <w:t xml:space="preserve"> utility centers and communication networks from extreme flooding.  (b) Attention to be first given on protecting the highly to very highly vulnerable areas prone to extreme flooding that are not yet brought under flood protection i.e. the areas which suffered from the extreme flood of 1988, 1998, 2004 and </w:t>
      </w:r>
      <w:r w:rsidR="0097411D">
        <w:rPr>
          <w:rFonts w:eastAsia="Times New Roman" w:cs="Times New Roman"/>
          <w:bCs/>
          <w:color w:val="000000"/>
          <w:szCs w:val="24"/>
        </w:rPr>
        <w:t>2007 but not protected yet. Thus, p</w:t>
      </w:r>
      <w:r w:rsidRPr="00117449">
        <w:rPr>
          <w:rFonts w:eastAsia="Times New Roman" w:cs="Times New Roman"/>
          <w:bCs/>
          <w:color w:val="000000"/>
          <w:szCs w:val="24"/>
        </w:rPr>
        <w:t xml:space="preserve">riority should be given to protect the very highly and then to highly vulnerable districts in terms of flood vulnerable population as defined in </w:t>
      </w:r>
      <w:r w:rsidR="00E46568">
        <w:rPr>
          <w:rFonts w:eastAsia="Times New Roman" w:cs="Times New Roman"/>
          <w:bCs/>
          <w:color w:val="000000"/>
          <w:szCs w:val="24"/>
        </w:rPr>
        <w:t xml:space="preserve">the National </w:t>
      </w:r>
      <w:r w:rsidRPr="00117449">
        <w:rPr>
          <w:rFonts w:eastAsia="Times New Roman" w:cs="Times New Roman"/>
          <w:bCs/>
          <w:color w:val="000000"/>
          <w:szCs w:val="24"/>
        </w:rPr>
        <w:t xml:space="preserve">Flood Response Plan (2014). </w:t>
      </w:r>
    </w:p>
    <w:p w:rsidR="006E3B8A" w:rsidRPr="00117449" w:rsidRDefault="006E3B8A" w:rsidP="00A631E1">
      <w:pPr>
        <w:pStyle w:val="ListParagraph"/>
        <w:numPr>
          <w:ilvl w:val="0"/>
          <w:numId w:val="25"/>
        </w:numPr>
        <w:autoSpaceDE w:val="0"/>
        <w:autoSpaceDN w:val="0"/>
        <w:adjustRightInd w:val="0"/>
        <w:spacing w:line="276" w:lineRule="auto"/>
        <w:ind w:left="360"/>
        <w:jc w:val="both"/>
        <w:rPr>
          <w:rFonts w:eastAsia="Times New Roman" w:cs="Times New Roman"/>
          <w:szCs w:val="24"/>
        </w:rPr>
      </w:pPr>
      <w:r w:rsidRPr="00117449">
        <w:rPr>
          <w:rFonts w:cs="Times New Roman"/>
          <w:b/>
          <w:color w:val="76923C" w:themeColor="accent3" w:themeShade="BF"/>
          <w:szCs w:val="24"/>
        </w:rPr>
        <w:lastRenderedPageBreak/>
        <w:t xml:space="preserve">Improved Protection against Normal Flooding: </w:t>
      </w:r>
      <w:r w:rsidRPr="00117449">
        <w:rPr>
          <w:rFonts w:eastAsia="Times New Roman" w:cs="Times New Roman"/>
          <w:szCs w:val="24"/>
        </w:rPr>
        <w:t xml:space="preserve">Following measures can be adopted for protection against the flooding with return period of 5-20 years when 30-43% of the country gets inundated.  (a) </w:t>
      </w:r>
      <w:r w:rsidRPr="00117449">
        <w:rPr>
          <w:rFonts w:eastAsia="Times New Roman" w:cs="Times New Roman"/>
          <w:bCs/>
          <w:color w:val="000000"/>
          <w:szCs w:val="24"/>
        </w:rPr>
        <w:t xml:space="preserve">Strengthening and maintenance of existing flood protection measures for protection of urban, rural, commercial, industrial and </w:t>
      </w:r>
      <w:r w:rsidR="00573016">
        <w:rPr>
          <w:rFonts w:eastAsia="Times New Roman" w:cs="Times New Roman"/>
          <w:bCs/>
          <w:color w:val="000000"/>
          <w:szCs w:val="24"/>
        </w:rPr>
        <w:t>public</w:t>
      </w:r>
      <w:r w:rsidRPr="00117449">
        <w:rPr>
          <w:rFonts w:eastAsia="Times New Roman" w:cs="Times New Roman"/>
          <w:bCs/>
          <w:color w:val="000000"/>
          <w:szCs w:val="24"/>
        </w:rPr>
        <w:t xml:space="preserve"> utility centers and communication networks. The flood protection infrastructures of the areas that are highly to very highly susceptible to normal flooding should be given the priority for strengthening work. However, it is highly recommended that maintenance work of all the flood control measures should go on regular basis with ensured flow of fund. </w:t>
      </w:r>
      <w:r w:rsidRPr="00117449">
        <w:rPr>
          <w:rFonts w:eastAsia="Times New Roman" w:cs="Times New Roman"/>
          <w:szCs w:val="24"/>
        </w:rPr>
        <w:t xml:space="preserve">Moreover, the areas which may further go under normal inundation with exacerbating climate change condition should also be protected eventually with the time to combat the probable effect of climate change. (b) </w:t>
      </w:r>
      <w:r w:rsidRPr="00117449">
        <w:rPr>
          <w:rFonts w:eastAsia="Times New Roman" w:cs="Times New Roman"/>
          <w:bCs/>
          <w:color w:val="000000"/>
          <w:szCs w:val="24"/>
        </w:rPr>
        <w:t xml:space="preserve">Construction and operation of flow controlling structures like sluice gates and regulators on the rivers major rivers with appropriate design and sections to ensure for controlled flooding. The flow controlling structures should remain closed or partially opened during the wet season depending on the flow and demand for agricultural sector and should remain open during the dry season when the river flow is subsequently low. </w:t>
      </w:r>
    </w:p>
    <w:p w:rsidR="006E3B8A" w:rsidRPr="00117449" w:rsidRDefault="00E46568" w:rsidP="00A631E1">
      <w:pPr>
        <w:pStyle w:val="ListParagraph"/>
        <w:numPr>
          <w:ilvl w:val="0"/>
          <w:numId w:val="25"/>
        </w:numPr>
        <w:spacing w:line="276" w:lineRule="auto"/>
        <w:ind w:left="360"/>
        <w:jc w:val="both"/>
        <w:rPr>
          <w:rFonts w:eastAsia="Times New Roman" w:cs="Times New Roman"/>
          <w:bCs/>
          <w:color w:val="000000"/>
          <w:szCs w:val="24"/>
        </w:rPr>
      </w:pPr>
      <w:r>
        <w:rPr>
          <w:rFonts w:cs="Times New Roman"/>
          <w:b/>
          <w:color w:val="76923C" w:themeColor="accent3" w:themeShade="BF"/>
          <w:szCs w:val="24"/>
        </w:rPr>
        <w:t>Strategy: Controlled Flooding and Living with</w:t>
      </w:r>
      <w:r w:rsidR="001B47EC">
        <w:rPr>
          <w:rFonts w:cs="Times New Roman"/>
          <w:b/>
          <w:color w:val="76923C" w:themeColor="accent3" w:themeShade="BF"/>
          <w:szCs w:val="24"/>
        </w:rPr>
        <w:t xml:space="preserve"> annual</w:t>
      </w:r>
      <w:r>
        <w:rPr>
          <w:rFonts w:cs="Times New Roman"/>
          <w:b/>
          <w:color w:val="76923C" w:themeColor="accent3" w:themeShade="BF"/>
          <w:szCs w:val="24"/>
        </w:rPr>
        <w:t xml:space="preserve"> F</w:t>
      </w:r>
      <w:r w:rsidR="006E3B8A" w:rsidRPr="00117449">
        <w:rPr>
          <w:rFonts w:cs="Times New Roman"/>
          <w:b/>
          <w:color w:val="76923C" w:themeColor="accent3" w:themeShade="BF"/>
          <w:szCs w:val="24"/>
        </w:rPr>
        <w:t xml:space="preserve">lood.  </w:t>
      </w:r>
      <w:r w:rsidR="006E3B8A" w:rsidRPr="00117449">
        <w:rPr>
          <w:rFonts w:cs="Times New Roman"/>
          <w:szCs w:val="24"/>
        </w:rPr>
        <w:t>An estimated 80% of the total area of Bangladesh is floodplain. Each year around 20% of this area experiences flooding during the monsoon season, especially between June t</w:t>
      </w:r>
      <w:r w:rsidR="001B47EC">
        <w:rPr>
          <w:rFonts w:cs="Times New Roman"/>
          <w:szCs w:val="24"/>
        </w:rPr>
        <w:t xml:space="preserve">o September. This annual </w:t>
      </w:r>
      <w:r w:rsidR="006E3B8A" w:rsidRPr="00117449">
        <w:rPr>
          <w:rFonts w:cs="Times New Roman"/>
          <w:szCs w:val="24"/>
        </w:rPr>
        <w:t xml:space="preserve">flooding provides irrigation and removes </w:t>
      </w:r>
      <w:r w:rsidR="006E3B8A" w:rsidRPr="00117449">
        <w:rPr>
          <w:rFonts w:cs="Times New Roman"/>
          <w:szCs w:val="24"/>
          <w:shd w:val="clear" w:color="auto" w:fill="FFFFFF"/>
        </w:rPr>
        <w:t>salt deposited on</w:t>
      </w:r>
      <w:r w:rsidR="001B47EC">
        <w:rPr>
          <w:rFonts w:cs="Times New Roman"/>
          <w:szCs w:val="24"/>
          <w:shd w:val="clear" w:color="auto" w:fill="FFFFFF"/>
        </w:rPr>
        <w:t xml:space="preserve"> fields. Hence</w:t>
      </w:r>
      <w:r w:rsidR="006E3B8A" w:rsidRPr="00117449">
        <w:rPr>
          <w:rFonts w:cs="Times New Roman"/>
          <w:szCs w:val="24"/>
          <w:shd w:val="clear" w:color="auto" w:fill="FFFFFF"/>
        </w:rPr>
        <w:t>, complete flood control is not in the interests of most Bangl</w:t>
      </w:r>
      <w:r w:rsidR="001B47EC">
        <w:rPr>
          <w:rFonts w:cs="Times New Roman"/>
          <w:szCs w:val="24"/>
          <w:shd w:val="clear" w:color="auto" w:fill="FFFFFF"/>
        </w:rPr>
        <w:t>adeshi farmers. Given this situation,</w:t>
      </w:r>
      <w:r w:rsidR="006E3B8A" w:rsidRPr="00117449">
        <w:rPr>
          <w:rFonts w:cs="Times New Roman"/>
          <w:szCs w:val="24"/>
          <w:shd w:val="clear" w:color="auto" w:fill="FFFFFF"/>
        </w:rPr>
        <w:t xml:space="preserve"> controlled flooding and living with flood, wherever possible and appropriate, to meet the needs of the agriculture, fisheries, navigation, urban flushing, soil productivity and recharging the surface and ground water resources with minimum dislocation </w:t>
      </w:r>
      <w:r w:rsidR="001B47EC">
        <w:rPr>
          <w:rFonts w:cs="Times New Roman"/>
          <w:szCs w:val="24"/>
          <w:shd w:val="clear" w:color="auto" w:fill="FFFFFF"/>
        </w:rPr>
        <w:t>t</w:t>
      </w:r>
      <w:r w:rsidR="006E3B8A" w:rsidRPr="00117449">
        <w:rPr>
          <w:rFonts w:cs="Times New Roman"/>
          <w:szCs w:val="24"/>
          <w:shd w:val="clear" w:color="auto" w:fill="FFFFFF"/>
        </w:rPr>
        <w:t>o the environment is recommended. The people of Bangladesh shoul</w:t>
      </w:r>
      <w:r w:rsidR="001B47EC">
        <w:rPr>
          <w:rFonts w:cs="Times New Roman"/>
          <w:szCs w:val="24"/>
          <w:shd w:val="clear" w:color="auto" w:fill="FFFFFF"/>
        </w:rPr>
        <w:t>d be encouraged to adapt to living with the annual flood</w:t>
      </w:r>
      <w:r w:rsidR="006E3B8A" w:rsidRPr="00117449">
        <w:rPr>
          <w:rFonts w:cs="Times New Roman"/>
          <w:szCs w:val="24"/>
          <w:shd w:val="clear" w:color="auto" w:fill="FFFFFF"/>
        </w:rPr>
        <w:t xml:space="preserve">. They should build houses and keep their valuable assets in a raised platform above the annual flood level. Floating community services (school, hospital, market etc.) should be introduced.  The main policy interventions are:  (a) </w:t>
      </w:r>
      <w:r w:rsidR="006E3B8A" w:rsidRPr="00117449">
        <w:rPr>
          <w:rFonts w:eastAsia="Times New Roman" w:cs="Times New Roman"/>
          <w:bCs/>
          <w:color w:val="000000"/>
          <w:szCs w:val="24"/>
        </w:rPr>
        <w:t>Construction and operation of flow controlling structures like sluice gat</w:t>
      </w:r>
      <w:r>
        <w:rPr>
          <w:rFonts w:eastAsia="Times New Roman" w:cs="Times New Roman"/>
          <w:bCs/>
          <w:color w:val="000000"/>
          <w:szCs w:val="24"/>
        </w:rPr>
        <w:t xml:space="preserve">es and regulators on </w:t>
      </w:r>
      <w:r w:rsidR="006E3B8A" w:rsidRPr="00117449">
        <w:rPr>
          <w:rFonts w:eastAsia="Times New Roman" w:cs="Times New Roman"/>
          <w:bCs/>
          <w:color w:val="000000"/>
          <w:szCs w:val="24"/>
        </w:rPr>
        <w:t>major rivers with appropriate design and sections are needed to ensure controlled flooding. The flow controlling structures should remain closed or partially opened during the wet season depending on the river flow to pass the required flow to meet the demand of the types of crops grown in the particular area  or region according to the crop calendar and should remain open during the dry season when the river flow is subsequently low.   And (b) Restoration of connectivity of the rivers and the floodplains allowing controlled flooding inside the country.</w:t>
      </w:r>
    </w:p>
    <w:p w:rsidR="006E3B8A" w:rsidRPr="00117449" w:rsidRDefault="006E3B8A" w:rsidP="00912C7F">
      <w:pPr>
        <w:pStyle w:val="ListParagraph"/>
        <w:spacing w:line="276" w:lineRule="auto"/>
        <w:ind w:left="360"/>
        <w:jc w:val="both"/>
        <w:rPr>
          <w:rFonts w:eastAsia="Times New Roman" w:cs="Times New Roman"/>
          <w:bCs/>
          <w:color w:val="000000"/>
          <w:szCs w:val="24"/>
        </w:rPr>
      </w:pPr>
    </w:p>
    <w:p w:rsidR="006E3B8A" w:rsidRPr="00586F28" w:rsidRDefault="006E3B8A" w:rsidP="00912C7F">
      <w:pPr>
        <w:pStyle w:val="ListParagraph"/>
        <w:spacing w:line="276" w:lineRule="auto"/>
        <w:ind w:left="360"/>
        <w:jc w:val="both"/>
        <w:rPr>
          <w:rFonts w:eastAsia="Times New Roman" w:cs="Times New Roman"/>
          <w:b/>
          <w:bCs/>
          <w:i/>
          <w:color w:val="000000"/>
          <w:szCs w:val="24"/>
        </w:rPr>
      </w:pPr>
      <w:r w:rsidRPr="00586F28">
        <w:rPr>
          <w:rFonts w:eastAsia="Times New Roman" w:cs="Times New Roman"/>
          <w:b/>
          <w:bCs/>
          <w:i/>
          <w:color w:val="000000"/>
          <w:szCs w:val="24"/>
        </w:rPr>
        <w:t>Hotspot Specific Water Interventions</w:t>
      </w:r>
    </w:p>
    <w:p w:rsidR="00000000" w:rsidRDefault="006E3B8A" w:rsidP="003D5A31">
      <w:pPr>
        <w:pStyle w:val="Default"/>
        <w:numPr>
          <w:ilvl w:val="0"/>
          <w:numId w:val="130"/>
        </w:numPr>
        <w:spacing w:line="276" w:lineRule="auto"/>
        <w:ind w:left="360"/>
        <w:jc w:val="both"/>
        <w:rPr>
          <w:rFonts w:ascii="Times New Roman" w:hAnsi="Times New Roman" w:cs="Times New Roman"/>
          <w:szCs w:val="24"/>
        </w:rPr>
      </w:pPr>
      <w:r w:rsidRPr="00117449">
        <w:rPr>
          <w:rFonts w:ascii="Times New Roman" w:hAnsi="Times New Roman" w:cs="Times New Roman"/>
          <w:b/>
          <w:szCs w:val="24"/>
        </w:rPr>
        <w:t>Dry Season Water Availability for Irrigation.</w:t>
      </w:r>
      <w:r w:rsidRPr="00117449">
        <w:rPr>
          <w:rFonts w:ascii="Times New Roman" w:hAnsi="Times New Roman" w:cs="Times New Roman"/>
          <w:szCs w:val="24"/>
        </w:rPr>
        <w:t xml:space="preserve">  The main strategies are:</w:t>
      </w:r>
    </w:p>
    <w:p w:rsidR="006E3B8A" w:rsidRPr="00117449" w:rsidRDefault="006E3B8A" w:rsidP="00A631E1">
      <w:pPr>
        <w:pStyle w:val="ListParagraph"/>
        <w:numPr>
          <w:ilvl w:val="0"/>
          <w:numId w:val="29"/>
        </w:numPr>
        <w:spacing w:line="276" w:lineRule="auto"/>
        <w:ind w:left="360"/>
        <w:jc w:val="both"/>
        <w:rPr>
          <w:rFonts w:cs="Times New Roman"/>
          <w:color w:val="000000" w:themeColor="text1"/>
          <w:szCs w:val="24"/>
        </w:rPr>
      </w:pPr>
      <w:r w:rsidRPr="00117449">
        <w:rPr>
          <w:rFonts w:cs="Times New Roman"/>
          <w:b/>
          <w:color w:val="76923C" w:themeColor="accent3" w:themeShade="BF"/>
          <w:szCs w:val="24"/>
        </w:rPr>
        <w:t xml:space="preserve">Strategy: Extension of Dry Season Irrigation Coverage through harnessing water from major rivers.  </w:t>
      </w:r>
      <w:r w:rsidRPr="00117449">
        <w:rPr>
          <w:rFonts w:cs="Times New Roman"/>
          <w:color w:val="000000" w:themeColor="text1"/>
          <w:szCs w:val="24"/>
        </w:rPr>
        <w:t xml:space="preserve">Extension of dry season irrigation coverage is possible by ensuring more </w:t>
      </w:r>
      <w:r w:rsidRPr="00117449">
        <w:rPr>
          <w:rFonts w:cs="Times New Roman"/>
          <w:color w:val="000000" w:themeColor="text1"/>
          <w:szCs w:val="24"/>
        </w:rPr>
        <w:lastRenderedPageBreak/>
        <w:t>surface water for irrigation through</w:t>
      </w:r>
      <w:r w:rsidRPr="00117449">
        <w:rPr>
          <w:rFonts w:cs="Times New Roman"/>
          <w:szCs w:val="24"/>
        </w:rPr>
        <w:t xml:space="preserve"> </w:t>
      </w:r>
      <w:r w:rsidRPr="00117449">
        <w:rPr>
          <w:rFonts w:cs="Times New Roman"/>
          <w:color w:val="000000" w:themeColor="text1"/>
          <w:szCs w:val="24"/>
        </w:rPr>
        <w:t>harnessing water from major rivers after ensuring sufficient water for navigation, environmental flow and fisheries. The main policy interventions are: (a) A network of large barrages on the two major rivers</w:t>
      </w:r>
      <w:r w:rsidR="00E46568">
        <w:rPr>
          <w:rFonts w:cs="Times New Roman"/>
          <w:color w:val="000000" w:themeColor="text1"/>
          <w:szCs w:val="24"/>
        </w:rPr>
        <w:t>,</w:t>
      </w:r>
      <w:r w:rsidRPr="00117449">
        <w:rPr>
          <w:rFonts w:cs="Times New Roman"/>
          <w:color w:val="000000" w:themeColor="text1"/>
          <w:szCs w:val="24"/>
        </w:rPr>
        <w:t xml:space="preserve"> the Ganges and the Brahmaputra</w:t>
      </w:r>
      <w:r w:rsidR="00E46568">
        <w:rPr>
          <w:rFonts w:cs="Times New Roman"/>
          <w:color w:val="000000" w:themeColor="text1"/>
          <w:szCs w:val="24"/>
        </w:rPr>
        <w:t>,</w:t>
      </w:r>
      <w:r w:rsidRPr="00117449">
        <w:rPr>
          <w:rFonts w:cs="Times New Roman"/>
          <w:color w:val="000000" w:themeColor="text1"/>
          <w:szCs w:val="24"/>
        </w:rPr>
        <w:t xml:space="preserve"> to store the water and facilitate irrigation in the dry season is a preferable option for the dry seaso</w:t>
      </w:r>
      <w:r w:rsidR="00DD1FA0">
        <w:rPr>
          <w:rFonts w:cs="Times New Roman"/>
          <w:color w:val="000000" w:themeColor="text1"/>
          <w:szCs w:val="24"/>
        </w:rPr>
        <w:t>n irrigation coverage. And (b) d</w:t>
      </w:r>
      <w:r w:rsidRPr="00117449">
        <w:rPr>
          <w:rFonts w:cs="Times New Roman"/>
          <w:color w:val="000000" w:themeColor="text1"/>
          <w:szCs w:val="24"/>
        </w:rPr>
        <w:t>evelopment of surface water irrigation schemes as a result of the barrages by direct pumping such as from the Ganges and other regional rivers such as the Mahananda in the Drought Prone Barind Hotspot (North-Western) district of Panchagarh and Ch</w:t>
      </w:r>
      <w:r w:rsidRPr="00117449">
        <w:rPr>
          <w:rFonts w:cs="Times New Roman"/>
          <w:szCs w:val="24"/>
        </w:rPr>
        <w:t xml:space="preserve">apai Nawabganj. </w:t>
      </w:r>
    </w:p>
    <w:p w:rsidR="006E3B8A" w:rsidRPr="00117449" w:rsidRDefault="00BD570E" w:rsidP="00A631E1">
      <w:pPr>
        <w:pStyle w:val="ListParagraph"/>
        <w:numPr>
          <w:ilvl w:val="0"/>
          <w:numId w:val="29"/>
        </w:numPr>
        <w:autoSpaceDE w:val="0"/>
        <w:autoSpaceDN w:val="0"/>
        <w:adjustRightInd w:val="0"/>
        <w:spacing w:line="276" w:lineRule="auto"/>
        <w:ind w:left="360"/>
        <w:jc w:val="both"/>
        <w:rPr>
          <w:rFonts w:cs="Times New Roman"/>
          <w:b/>
          <w:color w:val="76923C" w:themeColor="accent3" w:themeShade="BF"/>
          <w:szCs w:val="24"/>
        </w:rPr>
      </w:pPr>
      <w:r>
        <w:rPr>
          <w:rFonts w:cs="Times New Roman"/>
          <w:b/>
          <w:color w:val="76923C" w:themeColor="accent3" w:themeShade="BF"/>
          <w:szCs w:val="24"/>
        </w:rPr>
        <w:t>Strategy: Promotion of Efficient Irrigation T</w:t>
      </w:r>
      <w:r w:rsidR="006E3B8A" w:rsidRPr="00117449">
        <w:rPr>
          <w:rFonts w:cs="Times New Roman"/>
          <w:b/>
          <w:color w:val="76923C" w:themeColor="accent3" w:themeShade="BF"/>
          <w:szCs w:val="24"/>
        </w:rPr>
        <w:t>ec</w:t>
      </w:r>
      <w:r>
        <w:rPr>
          <w:rFonts w:cs="Times New Roman"/>
          <w:b/>
          <w:color w:val="76923C" w:themeColor="accent3" w:themeShade="BF"/>
          <w:szCs w:val="24"/>
        </w:rPr>
        <w:t>hniques S</w:t>
      </w:r>
      <w:r w:rsidR="006E3B8A" w:rsidRPr="00117449">
        <w:rPr>
          <w:rFonts w:cs="Times New Roman"/>
          <w:b/>
          <w:color w:val="76923C" w:themeColor="accent3" w:themeShade="BF"/>
          <w:szCs w:val="24"/>
        </w:rPr>
        <w:t>uitabl</w:t>
      </w:r>
      <w:r>
        <w:rPr>
          <w:rFonts w:cs="Times New Roman"/>
          <w:b/>
          <w:color w:val="76923C" w:themeColor="accent3" w:themeShade="BF"/>
          <w:szCs w:val="24"/>
        </w:rPr>
        <w:t>e for Different Hotspots</w:t>
      </w:r>
      <w:r w:rsidR="006E3B8A" w:rsidRPr="00117449">
        <w:rPr>
          <w:rFonts w:cs="Times New Roman"/>
          <w:b/>
          <w:color w:val="76923C" w:themeColor="accent3" w:themeShade="BF"/>
          <w:szCs w:val="24"/>
        </w:rPr>
        <w:t xml:space="preserve">.  </w:t>
      </w:r>
      <w:r w:rsidR="006E3B8A" w:rsidRPr="00117449">
        <w:rPr>
          <w:rFonts w:cs="Times New Roman"/>
          <w:szCs w:val="24"/>
        </w:rPr>
        <w:t xml:space="preserve">Policies for implementing this strategy include: (a) </w:t>
      </w:r>
      <w:r w:rsidR="006E3B8A" w:rsidRPr="00117449">
        <w:rPr>
          <w:rFonts w:cs="Times New Roman"/>
          <w:color w:val="000000" w:themeColor="text1"/>
          <w:szCs w:val="24"/>
        </w:rPr>
        <w:t>Largescale promotion of localised irrigation technologies, including drip, micro- and sprinkler irrigation. Irrigation through pipe instead of canal in the irrigation projects like Teesta irrigation project, GK irrigation project and Baral irrigation should be introduced. In hilly areas of Sylhet and Chittagong, irrigation through sprinkler will work more effectively than the traditional irrigation system. And (b) Modernisation of existing irrigation schemes – conversion to closed systems, metering, including institutional improvements – PWM, PPP.</w:t>
      </w:r>
    </w:p>
    <w:p w:rsidR="006E3B8A" w:rsidRPr="00160AD2" w:rsidRDefault="006E3B8A" w:rsidP="00A631E1">
      <w:pPr>
        <w:pStyle w:val="ListParagraph"/>
        <w:numPr>
          <w:ilvl w:val="0"/>
          <w:numId w:val="29"/>
        </w:numPr>
        <w:autoSpaceDE w:val="0"/>
        <w:autoSpaceDN w:val="0"/>
        <w:adjustRightInd w:val="0"/>
        <w:spacing w:line="276" w:lineRule="auto"/>
        <w:ind w:left="360"/>
        <w:jc w:val="both"/>
        <w:rPr>
          <w:rFonts w:cs="Times New Roman"/>
          <w:color w:val="000000" w:themeColor="text1"/>
          <w:szCs w:val="24"/>
        </w:rPr>
      </w:pPr>
      <w:r w:rsidRPr="00117449">
        <w:rPr>
          <w:rFonts w:cs="Times New Roman"/>
          <w:b/>
          <w:color w:val="76923C" w:themeColor="accent3" w:themeShade="BF"/>
          <w:szCs w:val="24"/>
        </w:rPr>
        <w:t xml:space="preserve">Strategy: Promotion of Water Efficient Agricultural Practice as per the Crop Calendar.  </w:t>
      </w:r>
      <w:r w:rsidRPr="00117449">
        <w:rPr>
          <w:rFonts w:cs="Times New Roman"/>
          <w:color w:val="000000" w:themeColor="text1"/>
          <w:szCs w:val="24"/>
        </w:rPr>
        <w:t xml:space="preserve">The recommended policies to implement this strategy are: (a) Boro cultivation should be replaced by other rabi crops e.g. pulses, mustards, vegetables, chick peas etc. in the districts that have already passed the sustainable thresholds of groundwater use   (b)  </w:t>
      </w:r>
      <w:r w:rsidRPr="00117449">
        <w:rPr>
          <w:rFonts w:cs="Times New Roman"/>
          <w:szCs w:val="24"/>
        </w:rPr>
        <w:t xml:space="preserve">Introduction of HYV T. </w:t>
      </w:r>
      <w:r w:rsidRPr="00117449">
        <w:rPr>
          <w:rFonts w:cs="Times New Roman"/>
          <w:i/>
          <w:iCs/>
          <w:szCs w:val="24"/>
        </w:rPr>
        <w:t xml:space="preserve">Aman </w:t>
      </w:r>
      <w:r w:rsidRPr="00117449">
        <w:rPr>
          <w:rFonts w:cs="Times New Roman"/>
          <w:szCs w:val="24"/>
        </w:rPr>
        <w:t xml:space="preserve">rice varieties developed by the BRRI suitable to both the Barind and Coastal regions. </w:t>
      </w:r>
    </w:p>
    <w:p w:rsidR="00000000" w:rsidRDefault="006E3B8A" w:rsidP="003D5A31">
      <w:pPr>
        <w:pStyle w:val="ListParagraph"/>
        <w:numPr>
          <w:ilvl w:val="0"/>
          <w:numId w:val="130"/>
        </w:numPr>
        <w:autoSpaceDE w:val="0"/>
        <w:autoSpaceDN w:val="0"/>
        <w:adjustRightInd w:val="0"/>
        <w:spacing w:line="276" w:lineRule="auto"/>
        <w:ind w:left="360"/>
        <w:contextualSpacing w:val="0"/>
        <w:jc w:val="both"/>
        <w:rPr>
          <w:rFonts w:cs="Times New Roman"/>
          <w:szCs w:val="24"/>
        </w:rPr>
      </w:pPr>
      <w:r w:rsidRPr="00F13217">
        <w:rPr>
          <w:rFonts w:cs="Times New Roman"/>
          <w:b/>
          <w:color w:val="000000"/>
          <w:szCs w:val="24"/>
        </w:rPr>
        <w:t>River Management.</w:t>
      </w:r>
      <w:r w:rsidRPr="00F13217">
        <w:rPr>
          <w:rFonts w:cs="Times New Roman"/>
          <w:b/>
          <w:color w:val="000000" w:themeColor="text1"/>
          <w:szCs w:val="24"/>
        </w:rPr>
        <w:t xml:space="preserve">  </w:t>
      </w:r>
      <w:r w:rsidRPr="00F13217">
        <w:rPr>
          <w:rFonts w:cs="Times New Roman"/>
          <w:szCs w:val="24"/>
        </w:rPr>
        <w:t>The proposed strategies are:</w:t>
      </w:r>
    </w:p>
    <w:p w:rsidR="006E3B8A" w:rsidRPr="00117449" w:rsidRDefault="00280D65" w:rsidP="00A631E1">
      <w:pPr>
        <w:pStyle w:val="ListParagraph"/>
        <w:numPr>
          <w:ilvl w:val="0"/>
          <w:numId w:val="31"/>
        </w:numPr>
        <w:autoSpaceDE w:val="0"/>
        <w:autoSpaceDN w:val="0"/>
        <w:adjustRightInd w:val="0"/>
        <w:spacing w:line="276" w:lineRule="auto"/>
        <w:ind w:left="360"/>
        <w:jc w:val="both"/>
        <w:rPr>
          <w:rFonts w:eastAsia="Times New Roman" w:cs="Times New Roman"/>
          <w:bCs/>
          <w:color w:val="000000"/>
          <w:szCs w:val="24"/>
        </w:rPr>
      </w:pPr>
      <w:r>
        <w:rPr>
          <w:rFonts w:cs="Times New Roman"/>
          <w:b/>
          <w:color w:val="76923C" w:themeColor="accent3" w:themeShade="BF"/>
          <w:szCs w:val="24"/>
        </w:rPr>
        <w:t>Strategy: Restoration of Major R</w:t>
      </w:r>
      <w:r w:rsidR="006E3B8A" w:rsidRPr="00117449">
        <w:rPr>
          <w:rFonts w:cs="Times New Roman"/>
          <w:b/>
          <w:color w:val="76923C" w:themeColor="accent3" w:themeShade="BF"/>
          <w:szCs w:val="24"/>
        </w:rPr>
        <w:t>ivers and th</w:t>
      </w:r>
      <w:r>
        <w:rPr>
          <w:rFonts w:cs="Times New Roman"/>
          <w:b/>
          <w:color w:val="76923C" w:themeColor="accent3" w:themeShade="BF"/>
          <w:szCs w:val="24"/>
        </w:rPr>
        <w:t>eir off-takes through Enhanced Regional Cooperation for Dry Season flow A</w:t>
      </w:r>
      <w:r w:rsidR="006E3B8A" w:rsidRPr="00117449">
        <w:rPr>
          <w:rFonts w:cs="Times New Roman"/>
          <w:b/>
          <w:color w:val="76923C" w:themeColor="accent3" w:themeShade="BF"/>
          <w:szCs w:val="24"/>
        </w:rPr>
        <w:t xml:space="preserve">ugmentation.  </w:t>
      </w:r>
      <w:r w:rsidR="006E3B8A" w:rsidRPr="00117449">
        <w:rPr>
          <w:rFonts w:cs="Times New Roman"/>
          <w:color w:val="000000" w:themeColor="text1"/>
          <w:szCs w:val="24"/>
        </w:rPr>
        <w:t xml:space="preserve">The main policies are:  (a) </w:t>
      </w:r>
      <w:r w:rsidR="006E3B8A" w:rsidRPr="00117449">
        <w:rPr>
          <w:rFonts w:eastAsia="Times New Roman" w:cs="Times New Roman"/>
          <w:bCs/>
          <w:color w:val="000000"/>
          <w:szCs w:val="24"/>
        </w:rPr>
        <w:t>Revitalization of major rivers (e.g. Old Brahmaputra revitalization; revitalization of river systems in Gorai-Passur Basin etc.) and regional rivers (e.g. re-excavation of Madaripur Beel Route; Kumar River; Sutang River; Piyain River; Lower Kangsha (Ghulamkhali &amp; Updakhali) River; Bhogai River and Madhumati River etc.).  (b) Restoration of the river off-takes construction of off-take structures by dredging and river training works and other suitable methods. For example: construction of off-take structure over Old Dhaleswari River at Amtali to control the monsoon flow for reduction of bank erosion of Old Dhaleswari River in Upazila: Daulatpur District: Manikganj; construction of a headwork’s structure with proper dredging and training at Gorai Off take. (c) Development of a national dry-season flow diversion network for providing fresh water to drought-prone or saline areas by revitalising / dredging connections between Major Rivers for dry season and necessary river training work. Moreover, such water distribution network may consist of a combination of existing medium and minor rivers, pumps and pipelines.  (d) Strategic dredging at large scale and channelization of major rivers.</w:t>
      </w:r>
    </w:p>
    <w:p w:rsidR="006E3B8A" w:rsidRPr="00117449" w:rsidRDefault="006E3B8A" w:rsidP="00A631E1">
      <w:pPr>
        <w:pStyle w:val="ListParagraph"/>
        <w:numPr>
          <w:ilvl w:val="0"/>
          <w:numId w:val="26"/>
        </w:numPr>
        <w:spacing w:line="276" w:lineRule="auto"/>
        <w:ind w:left="360"/>
        <w:jc w:val="both"/>
        <w:rPr>
          <w:rFonts w:cs="Times New Roman"/>
          <w:szCs w:val="24"/>
        </w:rPr>
      </w:pPr>
      <w:r w:rsidRPr="00117449">
        <w:rPr>
          <w:rFonts w:cs="Times New Roman"/>
          <w:b/>
          <w:color w:val="76923C" w:themeColor="accent3" w:themeShade="BF"/>
          <w:szCs w:val="24"/>
        </w:rPr>
        <w:lastRenderedPageBreak/>
        <w:t xml:space="preserve">Strategy: Improvement of Conveyance Capacity and Navigability of the Rivers.  </w:t>
      </w:r>
      <w:r w:rsidRPr="00117449">
        <w:rPr>
          <w:rFonts w:cs="Times New Roman"/>
          <w:szCs w:val="24"/>
        </w:rPr>
        <w:t>The main policies are: (a) Safe conveyance of the large cross-boundary flow to the Bay of Bengal through channelization of the major rivers as and where appropriate along with keeping room for the river for different functions including flood corridor by allowing space and removing river encroachment (e.g. regulating the use of fishing nets and bandals within the river courses) as much as possible. (b) Improvement of navigability of the regional rivers by strategic dredging and by constructing weirs to increase the depth and navigation lock where applicable. (c) Sustainable restoration and maintenance of major navigation routes and other river routes identified by BIWTA by strategic dredging and/or excavation. (d) Channelization of major rivers (e.g. the Jamuna) for increased navigability and flood protection.  (f) Reduction or distribution of load on the major rivers through diversion of flows into the major distributaries.</w:t>
      </w:r>
    </w:p>
    <w:p w:rsidR="006E3B8A" w:rsidRPr="00117449" w:rsidRDefault="006E3B8A" w:rsidP="00A631E1">
      <w:pPr>
        <w:pStyle w:val="ListParagraph"/>
        <w:numPr>
          <w:ilvl w:val="0"/>
          <w:numId w:val="26"/>
        </w:numPr>
        <w:autoSpaceDE w:val="0"/>
        <w:autoSpaceDN w:val="0"/>
        <w:adjustRightInd w:val="0"/>
        <w:spacing w:line="276" w:lineRule="auto"/>
        <w:ind w:left="360"/>
        <w:jc w:val="both"/>
        <w:rPr>
          <w:rFonts w:cs="Times New Roman"/>
          <w:b/>
          <w:color w:val="76923C" w:themeColor="accent3" w:themeShade="BF"/>
          <w:szCs w:val="24"/>
        </w:rPr>
      </w:pPr>
      <w:r w:rsidRPr="00117449">
        <w:rPr>
          <w:rFonts w:cs="Times New Roman"/>
          <w:b/>
          <w:color w:val="76923C" w:themeColor="accent3" w:themeShade="BF"/>
          <w:szCs w:val="24"/>
        </w:rPr>
        <w:t xml:space="preserve">Strategy: Protection and Improvement of Major River Banks against Erosion. </w:t>
      </w:r>
      <w:r w:rsidRPr="00117449">
        <w:rPr>
          <w:rFonts w:cs="Times New Roman"/>
          <w:szCs w:val="24"/>
        </w:rPr>
        <w:t>Riverbank erosion, one of the major natural disasters in Bangladesh, causes untold miseries every year to thousands of people living along the banks of the rivers of Bangladesh. Policies include: (a) River training work along the major rivers for an immediate recovery from this disaster. (b) Establishing green belts along the banks of the major rivers can be very effective. (c) Strengthening erosion prediction for early action.</w:t>
      </w:r>
    </w:p>
    <w:p w:rsidR="00000000" w:rsidRDefault="006E3B8A" w:rsidP="003D5A31">
      <w:pPr>
        <w:pStyle w:val="ListParagraph"/>
        <w:numPr>
          <w:ilvl w:val="0"/>
          <w:numId w:val="119"/>
        </w:numPr>
        <w:spacing w:line="276" w:lineRule="auto"/>
        <w:ind w:left="360"/>
        <w:jc w:val="both"/>
        <w:rPr>
          <w:rFonts w:eastAsia="Times New Roman" w:cs="Times New Roman"/>
          <w:bCs/>
          <w:color w:val="000000"/>
          <w:szCs w:val="24"/>
        </w:rPr>
      </w:pPr>
      <w:r w:rsidRPr="00117449">
        <w:rPr>
          <w:rFonts w:cs="Times New Roman"/>
          <w:b/>
          <w:color w:val="76923C" w:themeColor="accent3" w:themeShade="BF"/>
          <w:szCs w:val="24"/>
        </w:rPr>
        <w:t xml:space="preserve">Strategy: Effective Sediment Management.  </w:t>
      </w:r>
      <w:r w:rsidRPr="00117449">
        <w:rPr>
          <w:rFonts w:cs="Times New Roman"/>
          <w:szCs w:val="24"/>
        </w:rPr>
        <w:t xml:space="preserve">Some of the specific policies are: (a) </w:t>
      </w:r>
      <w:r w:rsidRPr="00117449">
        <w:rPr>
          <w:rFonts w:eastAsia="Times New Roman" w:cs="Times New Roman"/>
          <w:bCs/>
          <w:color w:val="000000"/>
          <w:szCs w:val="24"/>
        </w:rPr>
        <w:t>Management of sediment volume through strategic dredging and river training works with up to date and accurate information about the location for dredging for maintaining the river courses and ensuring navigability in the major and medium rivers; near the offtakes of major rivers for restoration and revitalization of the rivers, to remove net siltation upstream of the barrages; for exploiting the sediment wave caused by earthquakes in land reclamation and channelization of major rivers. (b) Advanced erosion protection to reduce sediment load in the major and medium rivers. (c) Developing sediment diversion mechanism to manage the sediments to compensate the subsidence especially in the haor basins for diverting sediment laden river flows from the Kushiyara River in strategic locations.</w:t>
      </w:r>
    </w:p>
    <w:p w:rsidR="006E3B8A" w:rsidRPr="00117449" w:rsidRDefault="00280D65" w:rsidP="00A631E1">
      <w:pPr>
        <w:pStyle w:val="ListParagraph"/>
        <w:numPr>
          <w:ilvl w:val="0"/>
          <w:numId w:val="30"/>
        </w:numPr>
        <w:autoSpaceDE w:val="0"/>
        <w:autoSpaceDN w:val="0"/>
        <w:adjustRightInd w:val="0"/>
        <w:spacing w:line="276" w:lineRule="auto"/>
        <w:ind w:left="360"/>
        <w:jc w:val="both"/>
        <w:rPr>
          <w:rFonts w:cs="Times New Roman"/>
          <w:szCs w:val="24"/>
        </w:rPr>
      </w:pPr>
      <w:r>
        <w:rPr>
          <w:rFonts w:cs="Times New Roman"/>
          <w:b/>
          <w:color w:val="76923C" w:themeColor="accent3" w:themeShade="BF"/>
          <w:szCs w:val="24"/>
        </w:rPr>
        <w:t>Strategy: Stabilization of Major R</w:t>
      </w:r>
      <w:r w:rsidR="006E3B8A" w:rsidRPr="00117449">
        <w:rPr>
          <w:rFonts w:cs="Times New Roman"/>
          <w:b/>
          <w:color w:val="76923C" w:themeColor="accent3" w:themeShade="BF"/>
          <w:szCs w:val="24"/>
        </w:rPr>
        <w:t xml:space="preserve">ivers.  </w:t>
      </w:r>
      <w:r w:rsidR="006E3B8A" w:rsidRPr="00117449">
        <w:rPr>
          <w:rFonts w:cs="Times New Roman"/>
          <w:szCs w:val="24"/>
        </w:rPr>
        <w:t>The specific policy measures include:  (a) Stabilize Jamuna river from Indian border to Bangabandhu Bridge by river training works and strategic dredgi</w:t>
      </w:r>
      <w:r>
        <w:rPr>
          <w:rFonts w:cs="Times New Roman"/>
          <w:szCs w:val="24"/>
        </w:rPr>
        <w:t>ng. (b) Stabilize Jamuna-Padma R</w:t>
      </w:r>
      <w:r w:rsidR="00DD1FA0">
        <w:rPr>
          <w:rFonts w:cs="Times New Roman"/>
          <w:szCs w:val="24"/>
        </w:rPr>
        <w:t xml:space="preserve">iver from Bangabandhu Bridge to </w:t>
      </w:r>
      <w:r w:rsidR="006E3B8A" w:rsidRPr="00117449">
        <w:rPr>
          <w:rFonts w:cs="Times New Roman"/>
          <w:szCs w:val="24"/>
        </w:rPr>
        <w:t xml:space="preserve">Chandpur by river training works and strategic dredging. (c)  Stabilize the banks of the Ganges at erosion prone area by protective works.  (d)  Stabilize left </w:t>
      </w:r>
      <w:r>
        <w:rPr>
          <w:rFonts w:cs="Times New Roman"/>
          <w:szCs w:val="24"/>
        </w:rPr>
        <w:t>and right bank of Lower Meghna R</w:t>
      </w:r>
      <w:r w:rsidR="006E3B8A" w:rsidRPr="00117449">
        <w:rPr>
          <w:rFonts w:cs="Times New Roman"/>
          <w:szCs w:val="24"/>
        </w:rPr>
        <w:t>iver.  (e)  Construction of off-take structure over Old Dhaleswari River at Amtali to control the monsoon flow for reduction of bank erosion of Old Dhaleswari River in Upazila: Daulatpur District: Manikganj. (f) Revitalization of river systems in Gorai-Passur</w:t>
      </w:r>
      <w:r w:rsidR="00DD1FA0">
        <w:rPr>
          <w:rFonts w:cs="Times New Roman"/>
          <w:szCs w:val="24"/>
        </w:rPr>
        <w:t xml:space="preserve"> Basin.</w:t>
      </w:r>
    </w:p>
    <w:p w:rsidR="00B56389" w:rsidRPr="00B56389" w:rsidRDefault="00280D65" w:rsidP="00B56389">
      <w:pPr>
        <w:pStyle w:val="ListParagraph"/>
        <w:numPr>
          <w:ilvl w:val="2"/>
          <w:numId w:val="30"/>
        </w:numPr>
        <w:autoSpaceDE w:val="0"/>
        <w:autoSpaceDN w:val="0"/>
        <w:adjustRightInd w:val="0"/>
        <w:spacing w:line="276" w:lineRule="auto"/>
        <w:ind w:left="360"/>
        <w:jc w:val="both"/>
        <w:rPr>
          <w:rFonts w:cs="Times New Roman"/>
          <w:b/>
          <w:color w:val="76923C" w:themeColor="accent3" w:themeShade="BF"/>
          <w:szCs w:val="24"/>
        </w:rPr>
      </w:pPr>
      <w:r>
        <w:rPr>
          <w:rFonts w:cs="Times New Roman"/>
          <w:b/>
          <w:color w:val="76923C" w:themeColor="accent3" w:themeShade="BF"/>
          <w:szCs w:val="24"/>
        </w:rPr>
        <w:t>Strategy: Char Development and Protection against Natural C</w:t>
      </w:r>
      <w:r w:rsidR="006E3B8A" w:rsidRPr="00117449">
        <w:rPr>
          <w:rFonts w:cs="Times New Roman"/>
          <w:b/>
          <w:color w:val="76923C" w:themeColor="accent3" w:themeShade="BF"/>
          <w:szCs w:val="24"/>
        </w:rPr>
        <w:t xml:space="preserve">alamities:  </w:t>
      </w:r>
      <w:r w:rsidR="006E3B8A" w:rsidRPr="00117449">
        <w:rPr>
          <w:rFonts w:cs="Times New Roman"/>
          <w:color w:val="000000" w:themeColor="text1"/>
          <w:szCs w:val="24"/>
        </w:rPr>
        <w:t xml:space="preserve">The chars in the river erosion areas (e.g. Kurigram, Gaibandha) should be protected through appropriate </w:t>
      </w:r>
      <w:r w:rsidR="006E3B8A" w:rsidRPr="00117449">
        <w:rPr>
          <w:rFonts w:cs="Times New Roman"/>
          <w:color w:val="000000" w:themeColor="text1"/>
          <w:szCs w:val="24"/>
        </w:rPr>
        <w:lastRenderedPageBreak/>
        <w:t>structural measures. Focus should also be given for land reclamation through bio-engineering method.</w:t>
      </w:r>
    </w:p>
    <w:p w:rsidR="00B56389" w:rsidRPr="00B56389" w:rsidRDefault="00B56389" w:rsidP="00B56389">
      <w:pPr>
        <w:pStyle w:val="ListParagraph"/>
        <w:autoSpaceDE w:val="0"/>
        <w:autoSpaceDN w:val="0"/>
        <w:adjustRightInd w:val="0"/>
        <w:spacing w:line="276" w:lineRule="auto"/>
        <w:ind w:left="360"/>
        <w:jc w:val="both"/>
        <w:rPr>
          <w:rFonts w:cs="Times New Roman"/>
          <w:b/>
          <w:color w:val="76923C" w:themeColor="accent3" w:themeShade="BF"/>
          <w:szCs w:val="24"/>
        </w:rPr>
      </w:pPr>
    </w:p>
    <w:p w:rsidR="00000000" w:rsidRDefault="006E3B8A" w:rsidP="003D5A31">
      <w:pPr>
        <w:pStyle w:val="ListParagraph"/>
        <w:numPr>
          <w:ilvl w:val="0"/>
          <w:numId w:val="130"/>
        </w:numPr>
        <w:autoSpaceDE w:val="0"/>
        <w:autoSpaceDN w:val="0"/>
        <w:adjustRightInd w:val="0"/>
        <w:spacing w:line="276" w:lineRule="auto"/>
        <w:ind w:left="360"/>
        <w:contextualSpacing w:val="0"/>
        <w:jc w:val="both"/>
        <w:rPr>
          <w:rFonts w:cs="Times New Roman"/>
          <w:b/>
          <w:color w:val="000000"/>
          <w:szCs w:val="24"/>
        </w:rPr>
      </w:pPr>
      <w:r w:rsidRPr="00F13217">
        <w:rPr>
          <w:rFonts w:cs="Times New Roman"/>
          <w:b/>
          <w:color w:val="000000"/>
          <w:szCs w:val="24"/>
        </w:rPr>
        <w:t>Coastal Zone Protection and Management</w:t>
      </w:r>
    </w:p>
    <w:p w:rsidR="006E3B8A" w:rsidRPr="00117449" w:rsidRDefault="00280D65" w:rsidP="00A631E1">
      <w:pPr>
        <w:pStyle w:val="ListParagraph"/>
        <w:numPr>
          <w:ilvl w:val="0"/>
          <w:numId w:val="32"/>
        </w:numPr>
        <w:spacing w:line="276" w:lineRule="auto"/>
        <w:ind w:left="360"/>
        <w:jc w:val="both"/>
        <w:rPr>
          <w:rFonts w:cs="Times New Roman"/>
          <w:szCs w:val="24"/>
        </w:rPr>
      </w:pPr>
      <w:r>
        <w:rPr>
          <w:rFonts w:cs="Times New Roman"/>
          <w:b/>
          <w:color w:val="76923C" w:themeColor="accent3" w:themeShade="BF"/>
          <w:szCs w:val="24"/>
        </w:rPr>
        <w:t>Strategy: Combating Coastal I</w:t>
      </w:r>
      <w:r w:rsidR="006E3B8A" w:rsidRPr="00117449">
        <w:rPr>
          <w:rFonts w:cs="Times New Roman"/>
          <w:b/>
          <w:color w:val="76923C" w:themeColor="accent3" w:themeShade="BF"/>
          <w:szCs w:val="24"/>
        </w:rPr>
        <w:t>nundation an</w:t>
      </w:r>
      <w:r>
        <w:rPr>
          <w:rFonts w:cs="Times New Roman"/>
          <w:b/>
          <w:color w:val="76923C" w:themeColor="accent3" w:themeShade="BF"/>
          <w:szCs w:val="24"/>
        </w:rPr>
        <w:t>d Salinity I</w:t>
      </w:r>
      <w:r w:rsidR="006E3B8A" w:rsidRPr="00117449">
        <w:rPr>
          <w:rFonts w:cs="Times New Roman"/>
          <w:b/>
          <w:color w:val="76923C" w:themeColor="accent3" w:themeShade="BF"/>
          <w:szCs w:val="24"/>
        </w:rPr>
        <w:t xml:space="preserve">ntrusion through Effective Management of Existing Sea Facing Polders. </w:t>
      </w:r>
      <w:r w:rsidR="006E3B8A" w:rsidRPr="00117449">
        <w:rPr>
          <w:rFonts w:cs="Times New Roman"/>
          <w:szCs w:val="24"/>
        </w:rPr>
        <w:t xml:space="preserve">Polders have traditionally played a major role in coastal flooding and salinity control.  However, owing to poor design and inadequate O&amp;M their effectiveness has reduced. Thus, for the polders to act more effectively as a strategic instrument for managing the delta of Bangladesh, following policies may be formulated. (a) Redesigning of the Sea Facing polders considering the impacts of storm surge inundation, sea level rise and frequent other natural disasters depending on the vulnerability of the coastal areas in the future and reconstruction and repair of damaged polders/ embankments. However, sea walls may be constructed in the medium and long term if the coastal inundation increases as per the extreme scenario. (b) Development of existing flood embankment on the right bank of the Ganges, the Padma and the Meghna rivers from Mathabhanga off take at Jalangi to Muladi to enhance safety from flood risk considering climate change for multipurpose use. (c) Regular operation and maintenance of the polders and its infrastructures. (d) Construction and maintenance of modern cyclone shelters. (e) The main infrastructure corridor from Chittagong to Dhaka, needs to be flood proofed and if necessary protected by effective sea-side barriers. Embankments in areas with high erosion risk (throughout the coastal zone), should be sufficiently protected with local hard or soft stabilization solutions. </w:t>
      </w:r>
    </w:p>
    <w:p w:rsidR="006E3B8A" w:rsidRPr="00117449" w:rsidRDefault="006E3B8A" w:rsidP="00A631E1">
      <w:pPr>
        <w:pStyle w:val="ListParagraph"/>
        <w:numPr>
          <w:ilvl w:val="0"/>
          <w:numId w:val="32"/>
        </w:numPr>
        <w:spacing w:line="276" w:lineRule="auto"/>
        <w:ind w:left="360"/>
        <w:jc w:val="both"/>
        <w:rPr>
          <w:rFonts w:cs="Times New Roman"/>
          <w:szCs w:val="24"/>
        </w:rPr>
      </w:pPr>
      <w:r w:rsidRPr="00117449">
        <w:rPr>
          <w:rFonts w:cs="Times New Roman"/>
          <w:b/>
          <w:color w:val="76923C" w:themeColor="accent3" w:themeShade="BF"/>
          <w:szCs w:val="24"/>
        </w:rPr>
        <w:t>Strate</w:t>
      </w:r>
      <w:r w:rsidR="00280D65">
        <w:rPr>
          <w:rFonts w:cs="Times New Roman"/>
          <w:b/>
          <w:color w:val="76923C" w:themeColor="accent3" w:themeShade="BF"/>
          <w:szCs w:val="24"/>
        </w:rPr>
        <w:t>gy: Protection of Upland areas V</w:t>
      </w:r>
      <w:r w:rsidRPr="00117449">
        <w:rPr>
          <w:rFonts w:cs="Times New Roman"/>
          <w:b/>
          <w:color w:val="76923C" w:themeColor="accent3" w:themeShade="BF"/>
          <w:szCs w:val="24"/>
        </w:rPr>
        <w:t>ulnera</w:t>
      </w:r>
      <w:r w:rsidR="00280D65">
        <w:rPr>
          <w:rFonts w:cs="Times New Roman"/>
          <w:b/>
          <w:color w:val="76923C" w:themeColor="accent3" w:themeShade="BF"/>
          <w:szCs w:val="24"/>
        </w:rPr>
        <w:t>ble to Inundation by Strengthening of Intermediate Polders for Protection against Tidal Storm Surge and Coastal I</w:t>
      </w:r>
      <w:r w:rsidRPr="00117449">
        <w:rPr>
          <w:rFonts w:cs="Times New Roman"/>
          <w:b/>
          <w:color w:val="76923C" w:themeColor="accent3" w:themeShade="BF"/>
          <w:szCs w:val="24"/>
        </w:rPr>
        <w:t xml:space="preserve">nundation. </w:t>
      </w:r>
      <w:r w:rsidRPr="00117449">
        <w:rPr>
          <w:rFonts w:cs="Times New Roman"/>
          <w:szCs w:val="24"/>
        </w:rPr>
        <w:t xml:space="preserve">To tackle the possible effects of tidal amplifications in the upland areas, following measures may be taken: (a) Introduction of polderization to protect the upland areas such as Gopalganj, Pirojpur, Jhalkathi </w:t>
      </w:r>
      <w:r w:rsidR="00EB2DC9" w:rsidRPr="00117449">
        <w:rPr>
          <w:rFonts w:cs="Times New Roman"/>
          <w:szCs w:val="24"/>
        </w:rPr>
        <w:t>etc.</w:t>
      </w:r>
      <w:r w:rsidRPr="00117449">
        <w:rPr>
          <w:rFonts w:cs="Times New Roman"/>
          <w:szCs w:val="24"/>
        </w:rPr>
        <w:t xml:space="preserve"> with appropriate design considering the effect of storm surge, sea level rise, salinity intrusion and other factors. </w:t>
      </w:r>
      <w:r w:rsidR="00280D65">
        <w:rPr>
          <w:rFonts w:cs="Times New Roman"/>
          <w:szCs w:val="24"/>
        </w:rPr>
        <w:t xml:space="preserve"> (b) </w:t>
      </w:r>
      <w:r w:rsidRPr="00117449">
        <w:rPr>
          <w:rFonts w:cs="Times New Roman"/>
          <w:szCs w:val="24"/>
        </w:rPr>
        <w:t>Allowing controlled flooding in these upland areas considering the agricultu</w:t>
      </w:r>
      <w:r w:rsidR="00280D65">
        <w:rPr>
          <w:rFonts w:cs="Times New Roman"/>
          <w:szCs w:val="24"/>
        </w:rPr>
        <w:t>ral production, improvement of fisheries,</w:t>
      </w:r>
      <w:r w:rsidRPr="00117449">
        <w:rPr>
          <w:rFonts w:cs="Times New Roman"/>
          <w:szCs w:val="24"/>
        </w:rPr>
        <w:t xml:space="preserve"> habitation of people and other environmental issues.</w:t>
      </w:r>
    </w:p>
    <w:p w:rsidR="006E3B8A" w:rsidRPr="00117449" w:rsidRDefault="006E3B8A" w:rsidP="00A631E1">
      <w:pPr>
        <w:pStyle w:val="ListParagraph"/>
        <w:numPr>
          <w:ilvl w:val="0"/>
          <w:numId w:val="32"/>
        </w:numPr>
        <w:autoSpaceDE w:val="0"/>
        <w:autoSpaceDN w:val="0"/>
        <w:adjustRightInd w:val="0"/>
        <w:spacing w:line="276" w:lineRule="auto"/>
        <w:ind w:left="360"/>
        <w:jc w:val="both"/>
        <w:rPr>
          <w:rFonts w:cs="Times New Roman"/>
          <w:b/>
          <w:color w:val="76923C" w:themeColor="accent3" w:themeShade="BF"/>
          <w:szCs w:val="24"/>
        </w:rPr>
      </w:pPr>
      <w:r w:rsidRPr="00117449">
        <w:rPr>
          <w:rFonts w:cs="Times New Roman"/>
          <w:b/>
          <w:color w:val="76923C" w:themeColor="accent3" w:themeShade="BF"/>
          <w:szCs w:val="24"/>
        </w:rPr>
        <w:t xml:space="preserve">Strategy: Restoration of Severely Water Logged and Drainage Congested Areas in Coastal Region. </w:t>
      </w:r>
      <w:r w:rsidRPr="00117449">
        <w:rPr>
          <w:rFonts w:cs="Times New Roman"/>
          <w:szCs w:val="24"/>
        </w:rPr>
        <w:t>The following measures are proposed to mitigate the problem of water logging and drainage congestion in the coastal region. (a)</w:t>
      </w:r>
      <w:r w:rsidRPr="00117449">
        <w:rPr>
          <w:rFonts w:cs="Times New Roman"/>
          <w:b/>
          <w:color w:val="76923C" w:themeColor="accent3" w:themeShade="BF"/>
          <w:szCs w:val="24"/>
        </w:rPr>
        <w:t xml:space="preserve"> </w:t>
      </w:r>
      <w:r w:rsidRPr="00117449">
        <w:rPr>
          <w:rFonts w:cs="Times New Roman"/>
          <w:szCs w:val="24"/>
        </w:rPr>
        <w:t>Dredging, restoration and maintenance of the peripheral rivers of the polders to increase the conveyance capacity as the bed levels of these rivers have risen up due to siltation process over the years reducing their conveyance capacity significantly. (b)</w:t>
      </w:r>
      <w:r w:rsidRPr="00117449">
        <w:rPr>
          <w:rFonts w:cs="Times New Roman"/>
          <w:b/>
          <w:color w:val="76923C" w:themeColor="accent3" w:themeShade="BF"/>
          <w:szCs w:val="24"/>
        </w:rPr>
        <w:t xml:space="preserve"> </w:t>
      </w:r>
      <w:r w:rsidRPr="00117449">
        <w:rPr>
          <w:rFonts w:cs="Times New Roman"/>
          <w:szCs w:val="24"/>
        </w:rPr>
        <w:t xml:space="preserve">Re-excavation of </w:t>
      </w:r>
      <w:r w:rsidR="00F82BA1">
        <w:rPr>
          <w:rFonts w:cs="Times New Roman"/>
          <w:szCs w:val="24"/>
        </w:rPr>
        <w:t>canals</w:t>
      </w:r>
      <w:r w:rsidRPr="00117449">
        <w:rPr>
          <w:rFonts w:cs="Times New Roman"/>
          <w:szCs w:val="24"/>
        </w:rPr>
        <w:t xml:space="preserve"> and pond and dredging of water bodies and peripheral rivers to increase water retention volume and tidal prism. (c)</w:t>
      </w:r>
      <w:r w:rsidRPr="00117449">
        <w:rPr>
          <w:rFonts w:cs="Times New Roman"/>
          <w:b/>
          <w:color w:val="76923C" w:themeColor="accent3" w:themeShade="BF"/>
          <w:szCs w:val="24"/>
        </w:rPr>
        <w:t xml:space="preserve"> </w:t>
      </w:r>
      <w:r w:rsidRPr="00117449">
        <w:rPr>
          <w:rFonts w:cs="Times New Roman"/>
          <w:szCs w:val="24"/>
        </w:rPr>
        <w:t xml:space="preserve">Sediment injection into the polders as sedimentation is not taking place in the polders and the polders are further subsiding resulting in increased differences in polder level and </w:t>
      </w:r>
      <w:r w:rsidRPr="00117449">
        <w:rPr>
          <w:rFonts w:cs="Times New Roman"/>
          <w:szCs w:val="24"/>
        </w:rPr>
        <w:lastRenderedPageBreak/>
        <w:t>surrounding bed levels leading to water logging and drainage congestion. (d)</w:t>
      </w:r>
      <w:r w:rsidRPr="00117449">
        <w:rPr>
          <w:rFonts w:cs="Times New Roman"/>
          <w:b/>
          <w:color w:val="76923C" w:themeColor="accent3" w:themeShade="BF"/>
          <w:szCs w:val="24"/>
        </w:rPr>
        <w:t xml:space="preserve"> </w:t>
      </w:r>
      <w:r w:rsidRPr="00117449">
        <w:rPr>
          <w:rFonts w:cs="Times New Roman"/>
          <w:szCs w:val="24"/>
        </w:rPr>
        <w:t>Improvement of drainage facility and flooding situation in C</w:t>
      </w:r>
      <w:r w:rsidR="00B619A7">
        <w:rPr>
          <w:rFonts w:cs="Times New Roman"/>
          <w:szCs w:val="24"/>
        </w:rPr>
        <w:t>hittagong and Barisal City</w:t>
      </w:r>
      <w:r w:rsidRPr="00117449">
        <w:rPr>
          <w:rFonts w:cs="Times New Roman"/>
          <w:szCs w:val="24"/>
        </w:rPr>
        <w:t>.</w:t>
      </w:r>
    </w:p>
    <w:p w:rsidR="006E3B8A" w:rsidRPr="00117449" w:rsidRDefault="006E3B8A" w:rsidP="00A631E1">
      <w:pPr>
        <w:pStyle w:val="ListParagraph"/>
        <w:numPr>
          <w:ilvl w:val="0"/>
          <w:numId w:val="32"/>
        </w:numPr>
        <w:autoSpaceDE w:val="0"/>
        <w:autoSpaceDN w:val="0"/>
        <w:adjustRightInd w:val="0"/>
        <w:spacing w:line="276" w:lineRule="auto"/>
        <w:ind w:left="360"/>
        <w:jc w:val="both"/>
        <w:rPr>
          <w:rFonts w:cs="Times New Roman"/>
          <w:b/>
          <w:color w:val="76923C" w:themeColor="accent3" w:themeShade="BF"/>
          <w:szCs w:val="24"/>
        </w:rPr>
      </w:pPr>
      <w:r w:rsidRPr="00117449">
        <w:rPr>
          <w:rFonts w:cs="Times New Roman"/>
          <w:b/>
          <w:color w:val="76923C" w:themeColor="accent3" w:themeShade="BF"/>
          <w:szCs w:val="24"/>
        </w:rPr>
        <w:t xml:space="preserve">Strategy: Ensuring Fresh Water Flow in the Coastal Region.  </w:t>
      </w:r>
      <w:r w:rsidRPr="00117449">
        <w:rPr>
          <w:rFonts w:cs="Times New Roman"/>
          <w:szCs w:val="24"/>
        </w:rPr>
        <w:t xml:space="preserve">The main policy actions are: (a) Construction of the Ganges barrage to restore the freshwater flow through the Gorai would be very advantageous with respect to drinking water and salinization in the Sunderbans. Revitalization of other regional (some trans-boundary rivers) is needed to ensure a sustainable situation. In addition, a successful implementation of these measures will help improve the tidal prism in the peripheral rivers of the polders and will be beneficial for diminishing water-logged areas now and in the future. (b) Improvement of the connectivity between wetlands and floodplains and restore the natural capacities of beels and natural waterbodies as much as possible to ensure freshwater in the coastal zone for sustaining natural ecosystems (e.g. wetlands, beels, fisheries and the Sunderbans) as well as navigation for regional waterway transport.  (c) Modernization and maintenance of Current Flood Control, Drainage and Irrigation (FCDI) infrastructure as insufficient maintenance and changing external conditions have already lead to a substantial degree of malfunctioning. (d) Excavation of </w:t>
      </w:r>
      <w:r w:rsidR="00F82BA1">
        <w:rPr>
          <w:rFonts w:cs="Times New Roman"/>
          <w:szCs w:val="24"/>
        </w:rPr>
        <w:t>canals</w:t>
      </w:r>
      <w:r w:rsidRPr="00117449">
        <w:rPr>
          <w:rFonts w:cs="Times New Roman"/>
          <w:szCs w:val="24"/>
        </w:rPr>
        <w:t xml:space="preserve"> and ponds, development of small scale and medium-scale rainwater harvesting, aquifer storage and recharge techniques, Introduction of piped drinking water from upstream areas and salinity barriers (gated) or salt-water regulators in main tidal rivers. (e) Deep well development in arsenic and salt contaminated areas.  And (f) </w:t>
      </w:r>
      <w:r w:rsidRPr="00117449">
        <w:rPr>
          <w:rFonts w:eastAsia="Times New Roman" w:cs="Times New Roman"/>
          <w:bCs/>
          <w:szCs w:val="24"/>
          <w:lang w:val="en-GB"/>
        </w:rPr>
        <w:t>Promotion of Water treatment facilities including de-salinization plant.</w:t>
      </w:r>
    </w:p>
    <w:p w:rsidR="006E3B8A" w:rsidRPr="00117449" w:rsidRDefault="003442C9" w:rsidP="00A631E1">
      <w:pPr>
        <w:pStyle w:val="ListParagraph"/>
        <w:numPr>
          <w:ilvl w:val="0"/>
          <w:numId w:val="32"/>
        </w:numPr>
        <w:autoSpaceDE w:val="0"/>
        <w:autoSpaceDN w:val="0"/>
        <w:adjustRightInd w:val="0"/>
        <w:spacing w:line="276" w:lineRule="auto"/>
        <w:ind w:left="360"/>
        <w:jc w:val="both"/>
        <w:rPr>
          <w:rFonts w:cs="Times New Roman"/>
          <w:b/>
          <w:color w:val="76923C" w:themeColor="accent3" w:themeShade="BF"/>
          <w:szCs w:val="24"/>
        </w:rPr>
      </w:pPr>
      <w:r>
        <w:rPr>
          <w:rFonts w:cs="Times New Roman"/>
          <w:b/>
          <w:color w:val="76923C" w:themeColor="accent3" w:themeShade="BF"/>
          <w:szCs w:val="24"/>
        </w:rPr>
        <w:t>Strategy: Protection against Coastal E</w:t>
      </w:r>
      <w:r w:rsidR="006E3B8A" w:rsidRPr="00117449">
        <w:rPr>
          <w:rFonts w:cs="Times New Roman"/>
          <w:b/>
          <w:color w:val="76923C" w:themeColor="accent3" w:themeShade="BF"/>
          <w:szCs w:val="24"/>
        </w:rPr>
        <w:t xml:space="preserve">rosion.  </w:t>
      </w:r>
      <w:r w:rsidR="006E3B8A" w:rsidRPr="00117449">
        <w:rPr>
          <w:rFonts w:cs="Times New Roman"/>
          <w:szCs w:val="24"/>
        </w:rPr>
        <w:t>In the dynamic morphological environment of Bangladesh, riverbank and coastal erosion are salient features.  The tidal floodplain area, more to the west, is much more stable, but locally severe erosion is observed</w:t>
      </w:r>
      <w:r>
        <w:rPr>
          <w:rFonts w:cs="Times New Roman"/>
          <w:szCs w:val="24"/>
        </w:rPr>
        <w:t xml:space="preserve">. </w:t>
      </w:r>
      <w:r w:rsidR="006E3B8A" w:rsidRPr="00117449">
        <w:rPr>
          <w:rFonts w:cs="Times New Roman"/>
          <w:szCs w:val="24"/>
        </w:rPr>
        <w:t xml:space="preserve"> River training work along the major rivers and establishing green belts along the banks of the major rivers in this region can be very effective in protecting the areas adjacent to the rivers. Erosion prediction is another important tool to take action against this catastrophic disaster. </w:t>
      </w:r>
    </w:p>
    <w:p w:rsidR="006E3B8A" w:rsidRPr="00117449" w:rsidRDefault="003442C9" w:rsidP="00A631E1">
      <w:pPr>
        <w:pStyle w:val="ListParagraph"/>
        <w:numPr>
          <w:ilvl w:val="0"/>
          <w:numId w:val="32"/>
        </w:numPr>
        <w:autoSpaceDE w:val="0"/>
        <w:autoSpaceDN w:val="0"/>
        <w:adjustRightInd w:val="0"/>
        <w:spacing w:line="276" w:lineRule="auto"/>
        <w:ind w:left="360"/>
        <w:jc w:val="both"/>
        <w:rPr>
          <w:rFonts w:cs="Times New Roman"/>
          <w:b/>
          <w:szCs w:val="24"/>
        </w:rPr>
      </w:pPr>
      <w:r>
        <w:rPr>
          <w:rFonts w:cs="Times New Roman"/>
          <w:b/>
          <w:color w:val="76923C" w:themeColor="accent3" w:themeShade="BF"/>
          <w:szCs w:val="24"/>
        </w:rPr>
        <w:t>Strategy: Large-scale Land Reclamation P</w:t>
      </w:r>
      <w:r w:rsidR="006E3B8A" w:rsidRPr="00117449">
        <w:rPr>
          <w:rFonts w:cs="Times New Roman"/>
          <w:b/>
          <w:color w:val="76923C" w:themeColor="accent3" w:themeShade="BF"/>
          <w:szCs w:val="24"/>
        </w:rPr>
        <w:t xml:space="preserve">rogramme in the Meghna Estuary.  </w:t>
      </w:r>
      <w:r w:rsidR="006E3B8A" w:rsidRPr="00117449">
        <w:rPr>
          <w:rFonts w:cs="Times New Roman"/>
          <w:szCs w:val="24"/>
        </w:rPr>
        <w:t xml:space="preserve">Large scale land reclamation programme in the coastal area including the Meghna Estuary is suggested upon thorough investigation of the environmental, technical, institutional, financial and socio-economic feasibility. Accelerating the natural accretion processes with cross dams and other infrastructure in </w:t>
      </w:r>
      <w:r>
        <w:rPr>
          <w:rFonts w:cs="Times New Roman"/>
          <w:szCs w:val="24"/>
        </w:rPr>
        <w:t>this highly dynamic environment</w:t>
      </w:r>
      <w:r w:rsidR="006E3B8A" w:rsidRPr="00117449">
        <w:rPr>
          <w:rFonts w:cs="Times New Roman"/>
          <w:szCs w:val="24"/>
        </w:rPr>
        <w:t xml:space="preserve"> may offer a large piece of newly gained land, free to be developed in the preferred way. </w:t>
      </w:r>
    </w:p>
    <w:p w:rsidR="006E3B8A" w:rsidRPr="00117449" w:rsidRDefault="006E3B8A" w:rsidP="00912C7F">
      <w:pPr>
        <w:pStyle w:val="ListParagraph"/>
        <w:autoSpaceDE w:val="0"/>
        <w:autoSpaceDN w:val="0"/>
        <w:adjustRightInd w:val="0"/>
        <w:spacing w:line="276" w:lineRule="auto"/>
        <w:ind w:left="360"/>
        <w:jc w:val="both"/>
        <w:rPr>
          <w:rFonts w:cs="Times New Roman"/>
          <w:b/>
          <w:szCs w:val="24"/>
        </w:rPr>
      </w:pPr>
    </w:p>
    <w:p w:rsidR="00000000" w:rsidRDefault="006E3B8A" w:rsidP="003D5A31">
      <w:pPr>
        <w:pStyle w:val="ListParagraph"/>
        <w:numPr>
          <w:ilvl w:val="0"/>
          <w:numId w:val="130"/>
        </w:numPr>
        <w:spacing w:line="276" w:lineRule="auto"/>
        <w:ind w:left="360"/>
        <w:rPr>
          <w:rFonts w:cs="Times New Roman"/>
          <w:szCs w:val="24"/>
        </w:rPr>
      </w:pPr>
      <w:r w:rsidRPr="00CA7297">
        <w:rPr>
          <w:rFonts w:cs="Times New Roman"/>
          <w:b/>
          <w:color w:val="000000"/>
          <w:szCs w:val="24"/>
        </w:rPr>
        <w:t>Strategy for Haor Region.</w:t>
      </w:r>
      <w:r w:rsidRPr="00117449">
        <w:rPr>
          <w:rFonts w:cs="Times New Roman"/>
          <w:b/>
          <w:szCs w:val="24"/>
        </w:rPr>
        <w:t xml:space="preserve"> </w:t>
      </w:r>
      <w:r w:rsidRPr="00117449">
        <w:rPr>
          <w:rFonts w:cs="Times New Roman"/>
          <w:szCs w:val="24"/>
        </w:rPr>
        <w:t>The main elements are</w:t>
      </w:r>
    </w:p>
    <w:p w:rsidR="006E3B8A" w:rsidRPr="00117449" w:rsidRDefault="006E3B8A" w:rsidP="00912C7F">
      <w:pPr>
        <w:pStyle w:val="ListParagraph"/>
        <w:spacing w:line="276" w:lineRule="auto"/>
        <w:ind w:left="0"/>
        <w:rPr>
          <w:rFonts w:cs="Times New Roman"/>
          <w:szCs w:val="24"/>
        </w:rPr>
      </w:pPr>
    </w:p>
    <w:p w:rsidR="006E3B8A" w:rsidRPr="00117449" w:rsidRDefault="003442C9" w:rsidP="00A631E1">
      <w:pPr>
        <w:pStyle w:val="ListParagraph"/>
        <w:numPr>
          <w:ilvl w:val="0"/>
          <w:numId w:val="30"/>
        </w:numPr>
        <w:spacing w:line="276" w:lineRule="auto"/>
        <w:ind w:left="360"/>
        <w:jc w:val="both"/>
        <w:rPr>
          <w:rFonts w:eastAsiaTheme="minorHAnsi" w:cs="Times New Roman"/>
          <w:b/>
          <w:color w:val="76923C" w:themeColor="accent3" w:themeShade="BF"/>
          <w:szCs w:val="24"/>
        </w:rPr>
      </w:pPr>
      <w:r>
        <w:rPr>
          <w:rFonts w:cs="Times New Roman"/>
          <w:b/>
          <w:color w:val="76923C" w:themeColor="accent3" w:themeShade="BF"/>
          <w:szCs w:val="24"/>
        </w:rPr>
        <w:t>Strategy: Pre-monsoon F</w:t>
      </w:r>
      <w:r w:rsidR="006E3B8A" w:rsidRPr="00117449">
        <w:rPr>
          <w:rFonts w:cs="Times New Roman"/>
          <w:b/>
          <w:color w:val="76923C" w:themeColor="accent3" w:themeShade="BF"/>
          <w:szCs w:val="24"/>
        </w:rPr>
        <w:t xml:space="preserve">lood </w:t>
      </w:r>
      <w:r>
        <w:rPr>
          <w:rFonts w:cs="Times New Roman"/>
          <w:b/>
          <w:color w:val="76923C" w:themeColor="accent3" w:themeShade="BF"/>
          <w:szCs w:val="24"/>
        </w:rPr>
        <w:t>Protection from the Flashy R</w:t>
      </w:r>
      <w:r w:rsidR="006E3B8A" w:rsidRPr="00117449">
        <w:rPr>
          <w:rFonts w:cs="Times New Roman"/>
          <w:b/>
          <w:color w:val="76923C" w:themeColor="accent3" w:themeShade="BF"/>
          <w:szCs w:val="24"/>
        </w:rPr>
        <w:t xml:space="preserve">ivers in the Haor Region. </w:t>
      </w:r>
      <w:r w:rsidR="006E3B8A" w:rsidRPr="003442C9">
        <w:rPr>
          <w:rFonts w:cs="Times New Roman"/>
          <w:szCs w:val="24"/>
        </w:rPr>
        <w:t>(a)</w:t>
      </w:r>
      <w:r w:rsidR="006E3B8A" w:rsidRPr="003442C9">
        <w:rPr>
          <w:rFonts w:cs="Times New Roman"/>
          <w:b/>
          <w:szCs w:val="24"/>
        </w:rPr>
        <w:t xml:space="preserve"> </w:t>
      </w:r>
      <w:r w:rsidR="006E3B8A" w:rsidRPr="00117449">
        <w:rPr>
          <w:rFonts w:eastAsia="Times New Roman" w:cs="Times New Roman"/>
          <w:bCs/>
          <w:color w:val="000000"/>
          <w:szCs w:val="24"/>
        </w:rPr>
        <w:t xml:space="preserve">Build and maintain eco-friendly </w:t>
      </w:r>
      <w:r w:rsidR="00B619A7">
        <w:rPr>
          <w:rFonts w:eastAsia="Times New Roman" w:cs="Times New Roman"/>
          <w:bCs/>
          <w:color w:val="000000"/>
          <w:szCs w:val="24"/>
        </w:rPr>
        <w:t>flood embankments on the banks of flashy river</w:t>
      </w:r>
      <w:r w:rsidR="006E3B8A" w:rsidRPr="00117449">
        <w:rPr>
          <w:rFonts w:eastAsia="Times New Roman" w:cs="Times New Roman"/>
          <w:bCs/>
          <w:color w:val="000000"/>
          <w:szCs w:val="24"/>
        </w:rPr>
        <w:t>.</w:t>
      </w:r>
      <w:r w:rsidR="006E3B8A" w:rsidRPr="00117449">
        <w:rPr>
          <w:rFonts w:cs="Times New Roman"/>
          <w:b/>
          <w:color w:val="76923C" w:themeColor="accent3" w:themeShade="BF"/>
          <w:szCs w:val="24"/>
        </w:rPr>
        <w:t xml:space="preserve"> </w:t>
      </w:r>
      <w:r w:rsidR="00CB41DB">
        <w:rPr>
          <w:rFonts w:cs="Times New Roman"/>
          <w:szCs w:val="24"/>
        </w:rPr>
        <w:t>(b</w:t>
      </w:r>
      <w:r w:rsidR="006E3B8A" w:rsidRPr="003442C9">
        <w:rPr>
          <w:rFonts w:cs="Times New Roman"/>
          <w:szCs w:val="24"/>
        </w:rPr>
        <w:t>)</w:t>
      </w:r>
      <w:r w:rsidR="006E3B8A" w:rsidRPr="003442C9">
        <w:rPr>
          <w:rFonts w:cs="Times New Roman"/>
          <w:b/>
          <w:szCs w:val="24"/>
        </w:rPr>
        <w:t xml:space="preserve"> </w:t>
      </w:r>
      <w:r w:rsidR="006E3B8A" w:rsidRPr="00117449">
        <w:rPr>
          <w:rFonts w:eastAsia="Times New Roman" w:cs="Times New Roman"/>
          <w:bCs/>
          <w:color w:val="000000"/>
          <w:szCs w:val="24"/>
        </w:rPr>
        <w:t xml:space="preserve">Build and maintain submersible embankments to provide pre-monsoon flood protection to agricultural lands in the deep haors by submersible embankments and </w:t>
      </w:r>
      <w:r w:rsidR="00CB41DB">
        <w:rPr>
          <w:rFonts w:eastAsia="Times New Roman" w:cs="Times New Roman"/>
          <w:bCs/>
          <w:color w:val="000000"/>
          <w:szCs w:val="24"/>
        </w:rPr>
        <w:t xml:space="preserve">dredging of drainage </w:t>
      </w:r>
      <w:r w:rsidR="00CB41DB">
        <w:rPr>
          <w:rFonts w:eastAsia="Times New Roman" w:cs="Times New Roman"/>
          <w:bCs/>
          <w:color w:val="000000"/>
          <w:szCs w:val="24"/>
        </w:rPr>
        <w:lastRenderedPageBreak/>
        <w:t>channels. (c</w:t>
      </w:r>
      <w:r w:rsidR="006E3B8A" w:rsidRPr="00117449">
        <w:rPr>
          <w:rFonts w:eastAsia="Times New Roman" w:cs="Times New Roman"/>
          <w:bCs/>
          <w:color w:val="000000"/>
          <w:szCs w:val="24"/>
        </w:rPr>
        <w:t>)</w:t>
      </w:r>
      <w:r w:rsidR="006E3B8A" w:rsidRPr="00117449">
        <w:rPr>
          <w:rFonts w:cs="Times New Roman"/>
          <w:b/>
          <w:color w:val="76923C" w:themeColor="accent3" w:themeShade="BF"/>
          <w:szCs w:val="24"/>
        </w:rPr>
        <w:t xml:space="preserve"> </w:t>
      </w:r>
      <w:r w:rsidR="006E3B8A" w:rsidRPr="00117449">
        <w:rPr>
          <w:rFonts w:eastAsia="Times New Roman" w:cs="Times New Roman"/>
          <w:bCs/>
          <w:color w:val="000000"/>
          <w:szCs w:val="24"/>
        </w:rPr>
        <w:t xml:space="preserve">Dredge the rivers and </w:t>
      </w:r>
      <w:r w:rsidR="00F82BA1">
        <w:rPr>
          <w:rFonts w:eastAsia="Times New Roman" w:cs="Times New Roman"/>
          <w:bCs/>
          <w:color w:val="000000"/>
          <w:szCs w:val="24"/>
        </w:rPr>
        <w:t>canals</w:t>
      </w:r>
      <w:r w:rsidR="006E3B8A" w:rsidRPr="00117449">
        <w:rPr>
          <w:rFonts w:eastAsia="Times New Roman" w:cs="Times New Roman"/>
          <w:bCs/>
          <w:color w:val="000000"/>
          <w:szCs w:val="24"/>
        </w:rPr>
        <w:t xml:space="preserve"> to increase the conveyance capacity for quick passage of flash floods.</w:t>
      </w:r>
    </w:p>
    <w:p w:rsidR="00CB41DB" w:rsidRPr="00F03D42" w:rsidRDefault="00F57172" w:rsidP="00F03D42">
      <w:pPr>
        <w:pStyle w:val="ListParagraph"/>
        <w:numPr>
          <w:ilvl w:val="0"/>
          <w:numId w:val="30"/>
        </w:numPr>
        <w:spacing w:line="276" w:lineRule="auto"/>
        <w:ind w:left="360"/>
        <w:jc w:val="both"/>
        <w:rPr>
          <w:rFonts w:cs="Times New Roman"/>
          <w:b/>
          <w:color w:val="76923C" w:themeColor="accent3" w:themeShade="BF"/>
          <w:szCs w:val="24"/>
        </w:rPr>
      </w:pPr>
      <w:r>
        <w:rPr>
          <w:rFonts w:cs="Times New Roman"/>
          <w:b/>
          <w:color w:val="76923C" w:themeColor="accent3" w:themeShade="BF"/>
          <w:szCs w:val="24"/>
        </w:rPr>
        <w:t>Strategy</w:t>
      </w:r>
      <w:r w:rsidR="003442C9">
        <w:rPr>
          <w:rFonts w:cs="Times New Roman"/>
          <w:b/>
          <w:color w:val="76923C" w:themeColor="accent3" w:themeShade="BF"/>
          <w:szCs w:val="24"/>
        </w:rPr>
        <w:t>: Flood P</w:t>
      </w:r>
      <w:r w:rsidR="006E3B8A" w:rsidRPr="00117449">
        <w:rPr>
          <w:rFonts w:cs="Times New Roman"/>
          <w:b/>
          <w:color w:val="76923C" w:themeColor="accent3" w:themeShade="BF"/>
          <w:szCs w:val="24"/>
        </w:rPr>
        <w:t xml:space="preserve">rotection in Haor </w:t>
      </w:r>
      <w:r w:rsidR="003442C9">
        <w:rPr>
          <w:rFonts w:cs="Times New Roman"/>
          <w:b/>
          <w:color w:val="76923C" w:themeColor="accent3" w:themeShade="BF"/>
          <w:szCs w:val="24"/>
        </w:rPr>
        <w:t>Region during M</w:t>
      </w:r>
      <w:r w:rsidR="006E3B8A" w:rsidRPr="00117449">
        <w:rPr>
          <w:rFonts w:cs="Times New Roman"/>
          <w:b/>
          <w:color w:val="76923C" w:themeColor="accent3" w:themeShade="BF"/>
          <w:szCs w:val="24"/>
        </w:rPr>
        <w:t xml:space="preserve">onsoon. (a) </w:t>
      </w:r>
      <w:r w:rsidR="006E3B8A" w:rsidRPr="00117449">
        <w:rPr>
          <w:rFonts w:eastAsia="Times New Roman" w:cs="Times New Roman"/>
          <w:bCs/>
          <w:color w:val="000000"/>
          <w:szCs w:val="24"/>
        </w:rPr>
        <w:t xml:space="preserve">Build full flood management systems in shallow flooded areas to protect to agricultural products lands and settlements. (b) Develop and raise village platforms above flood levels for human settlement, industrial and institutional parks in haor basin by dredging river basins considering flood risk due to climate change. (c) Build wave breakers to provide settlements and towns from erosion by waves in haor and flash flood areas. (d) Rationalize and improve internal water management of all existing FCDI by strengthening and heightening of existing embankments and structure considering flood risk due to climate change. (d) Introduce </w:t>
      </w:r>
      <w:r w:rsidR="003442C9">
        <w:rPr>
          <w:rFonts w:cs="Times New Roman"/>
          <w:szCs w:val="24"/>
        </w:rPr>
        <w:t>fish passes in existing FCD</w:t>
      </w:r>
      <w:r w:rsidR="006E3B8A" w:rsidRPr="00117449">
        <w:rPr>
          <w:rFonts w:cs="Times New Roman"/>
          <w:szCs w:val="24"/>
        </w:rPr>
        <w:t xml:space="preserve">I projects. Sluice-type regulators should be replaced with free flowing fish friendly structures. </w:t>
      </w:r>
    </w:p>
    <w:p w:rsidR="006E3B8A" w:rsidRPr="00117449" w:rsidRDefault="006E3B8A" w:rsidP="00912C7F">
      <w:pPr>
        <w:pStyle w:val="ListParagraph"/>
        <w:spacing w:line="276" w:lineRule="auto"/>
        <w:rPr>
          <w:rFonts w:cs="Times New Roman"/>
          <w:b/>
          <w:szCs w:val="24"/>
        </w:rPr>
      </w:pPr>
    </w:p>
    <w:p w:rsidR="00000000" w:rsidRDefault="006E3B8A" w:rsidP="003D5A31">
      <w:pPr>
        <w:pStyle w:val="ListParagraph"/>
        <w:numPr>
          <w:ilvl w:val="0"/>
          <w:numId w:val="132"/>
        </w:numPr>
        <w:autoSpaceDE w:val="0"/>
        <w:autoSpaceDN w:val="0"/>
        <w:adjustRightInd w:val="0"/>
        <w:spacing w:line="276" w:lineRule="auto"/>
        <w:jc w:val="both"/>
        <w:rPr>
          <w:rFonts w:cs="Times New Roman"/>
          <w:b/>
          <w:szCs w:val="24"/>
        </w:rPr>
      </w:pPr>
      <w:r w:rsidRPr="00117449">
        <w:rPr>
          <w:rFonts w:cs="Times New Roman"/>
          <w:b/>
          <w:szCs w:val="24"/>
        </w:rPr>
        <w:t>Urban and Rural Water Supply, Urban  Drainage and CHT Water Strategies</w:t>
      </w:r>
    </w:p>
    <w:p w:rsidR="006E3B8A" w:rsidRPr="00117449" w:rsidRDefault="006E3B8A" w:rsidP="00912C7F">
      <w:pPr>
        <w:pStyle w:val="ListParagraph"/>
        <w:autoSpaceDE w:val="0"/>
        <w:autoSpaceDN w:val="0"/>
        <w:adjustRightInd w:val="0"/>
        <w:spacing w:line="276" w:lineRule="auto"/>
        <w:jc w:val="both"/>
        <w:rPr>
          <w:rFonts w:cs="Times New Roman"/>
          <w:b/>
          <w:szCs w:val="24"/>
        </w:rPr>
      </w:pPr>
    </w:p>
    <w:p w:rsidR="006E3B8A" w:rsidRPr="00117449" w:rsidRDefault="006E3B8A" w:rsidP="00912C7F">
      <w:pPr>
        <w:pStyle w:val="ListParagraph"/>
        <w:spacing w:line="276" w:lineRule="auto"/>
        <w:ind w:left="360"/>
        <w:jc w:val="both"/>
        <w:rPr>
          <w:rFonts w:cs="Times New Roman"/>
          <w:color w:val="000000" w:themeColor="text1"/>
          <w:szCs w:val="24"/>
        </w:rPr>
      </w:pPr>
      <w:r w:rsidRPr="00117449">
        <w:rPr>
          <w:rFonts w:cs="Times New Roman"/>
          <w:b/>
          <w:i/>
          <w:szCs w:val="24"/>
        </w:rPr>
        <w:t>Water Quantity:</w:t>
      </w:r>
      <w:r w:rsidRPr="00117449">
        <w:rPr>
          <w:rFonts w:cs="Times New Roman"/>
          <w:b/>
          <w:szCs w:val="24"/>
        </w:rPr>
        <w:t xml:space="preserve"> </w:t>
      </w:r>
      <w:r w:rsidRPr="00117449">
        <w:rPr>
          <w:rFonts w:cs="Times New Roman"/>
          <w:color w:val="000000" w:themeColor="text1"/>
          <w:szCs w:val="24"/>
        </w:rPr>
        <w:t>Although domestic/municipal water demand only represents 10 % of total demand, freshwater availability is key to an effective, affordable water supply service to the population of Bangladesh. Supply of fresh water for domestic sector including for drinking and sanitation purposes is strongly related with human resources development as well as poverty, gender and health dimensions. Key issues include the declining water table, saline intrusion, arsenic contamination and the occurrence of waterborne diseases due to lacking sanitation services and the resultant economic loss, especially of poor and female-headed households. Although not a large water user compared to the agriculture sector, the demand for drinking water is expected to increase by 100% in 2050. In CHT, there is a general shortage of water for both agriculture and domestic use.</w:t>
      </w:r>
    </w:p>
    <w:p w:rsidR="006E3B8A" w:rsidRPr="00117449" w:rsidRDefault="006E3B8A" w:rsidP="00912C7F">
      <w:pPr>
        <w:pStyle w:val="ListParagraph"/>
        <w:spacing w:line="276" w:lineRule="auto"/>
        <w:ind w:left="360"/>
        <w:jc w:val="both"/>
        <w:rPr>
          <w:rFonts w:cs="Times New Roman"/>
          <w:color w:val="000000" w:themeColor="text1"/>
          <w:szCs w:val="24"/>
        </w:rPr>
      </w:pPr>
    </w:p>
    <w:p w:rsidR="00000000" w:rsidRDefault="006E3B8A" w:rsidP="003D5A31">
      <w:pPr>
        <w:pStyle w:val="ListParagraph"/>
        <w:numPr>
          <w:ilvl w:val="0"/>
          <w:numId w:val="131"/>
        </w:numPr>
        <w:spacing w:line="276" w:lineRule="auto"/>
        <w:ind w:left="360"/>
        <w:jc w:val="both"/>
        <w:rPr>
          <w:rFonts w:cs="Times New Roman"/>
          <w:b/>
          <w:color w:val="76923C" w:themeColor="accent3" w:themeShade="BF"/>
          <w:szCs w:val="24"/>
        </w:rPr>
      </w:pPr>
      <w:r w:rsidRPr="00117449">
        <w:rPr>
          <w:rFonts w:cs="Times New Roman"/>
          <w:b/>
          <w:color w:val="76923C" w:themeColor="accent3" w:themeShade="BF"/>
          <w:szCs w:val="24"/>
        </w:rPr>
        <w:t>Strategy: Extension and promotion of Efficient Water Supply and Sanitation Management System for Fully Urban, Semi Urban</w:t>
      </w:r>
      <w:r w:rsidR="003442C9">
        <w:rPr>
          <w:rFonts w:cs="Times New Roman"/>
          <w:b/>
          <w:color w:val="76923C" w:themeColor="accent3" w:themeShade="BF"/>
          <w:szCs w:val="24"/>
        </w:rPr>
        <w:t>, CHT</w:t>
      </w:r>
      <w:r w:rsidRPr="00117449">
        <w:rPr>
          <w:rFonts w:cs="Times New Roman"/>
          <w:b/>
          <w:color w:val="76923C" w:themeColor="accent3" w:themeShade="BF"/>
          <w:szCs w:val="24"/>
        </w:rPr>
        <w:t xml:space="preserve"> </w:t>
      </w:r>
      <w:r w:rsidR="003442C9">
        <w:rPr>
          <w:rFonts w:cs="Times New Roman"/>
          <w:b/>
          <w:color w:val="76923C" w:themeColor="accent3" w:themeShade="BF"/>
          <w:szCs w:val="24"/>
        </w:rPr>
        <w:t xml:space="preserve">and Rural Areas to ensure </w:t>
      </w:r>
      <w:r w:rsidRPr="00117449">
        <w:rPr>
          <w:rFonts w:cs="Times New Roman"/>
          <w:b/>
          <w:color w:val="76923C" w:themeColor="accent3" w:themeShade="BF"/>
          <w:szCs w:val="24"/>
        </w:rPr>
        <w:t xml:space="preserve">domestic water efficiency without exhausting natural resources.  </w:t>
      </w:r>
      <w:r w:rsidRPr="00117449">
        <w:rPr>
          <w:rFonts w:cs="Times New Roman"/>
          <w:color w:val="000000" w:themeColor="text1"/>
          <w:szCs w:val="24"/>
        </w:rPr>
        <w:t xml:space="preserve">The following specific policies are recommended. (a) </w:t>
      </w:r>
      <w:r w:rsidRPr="00117449">
        <w:rPr>
          <w:rFonts w:eastAsia="Times New Roman" w:cs="Times New Roman"/>
          <w:color w:val="000000"/>
          <w:szCs w:val="24"/>
        </w:rPr>
        <w:t>Extension of water supply coverage by harnessing surface water from the major rivers in each of the hydrological regions through taking appropriate measures (e.g. construction of barrage, enhanced regional cooperation etc.) and installation of advanced and appropriate water supply network in the urban, semi-urban, slum and rural areas. (b) Drinking water shortages in CHT can be solved by installation of wells, gravity fed systems and pumping water up using solar energy solutions in CHT with application of technological solutions to ensure the quality of the water. (c)</w:t>
      </w:r>
      <w:r w:rsidRPr="00117449">
        <w:rPr>
          <w:rFonts w:cs="Times New Roman"/>
          <w:color w:val="000000" w:themeColor="text1"/>
          <w:szCs w:val="24"/>
        </w:rPr>
        <w:t xml:space="preserve"> </w:t>
      </w:r>
      <w:r w:rsidRPr="00117449">
        <w:rPr>
          <w:rFonts w:eastAsia="Times New Roman" w:cs="Times New Roman"/>
          <w:color w:val="000000"/>
          <w:szCs w:val="24"/>
        </w:rPr>
        <w:t>Development of pipe network system delivering surface water should be installed in the areas having vulnerability or threat of arsenic and other source of ground water pollution. (e)</w:t>
      </w:r>
      <w:r w:rsidRPr="00117449">
        <w:rPr>
          <w:rFonts w:cs="Times New Roman"/>
          <w:color w:val="000000" w:themeColor="text1"/>
          <w:szCs w:val="24"/>
        </w:rPr>
        <w:t xml:space="preserve"> </w:t>
      </w:r>
      <w:r w:rsidRPr="00117449">
        <w:rPr>
          <w:rFonts w:eastAsia="Times New Roman" w:cs="Times New Roman"/>
          <w:color w:val="000000"/>
          <w:szCs w:val="24"/>
        </w:rPr>
        <w:t>Development of small scale reservoir for multi-purpose use e.g. irrigation, water supply. This is applicable for all parts of the Delta including Chittagong Hill Tracts. (f)</w:t>
      </w:r>
      <w:r w:rsidRPr="00117449">
        <w:rPr>
          <w:rFonts w:cs="Times New Roman"/>
          <w:color w:val="000000" w:themeColor="text1"/>
          <w:szCs w:val="24"/>
        </w:rPr>
        <w:t xml:space="preserve"> </w:t>
      </w:r>
      <w:r w:rsidRPr="00117449">
        <w:rPr>
          <w:rFonts w:eastAsia="Times New Roman" w:cs="Times New Roman"/>
          <w:color w:val="000000"/>
          <w:szCs w:val="24"/>
        </w:rPr>
        <w:t xml:space="preserve">Installation of plants for recycling domestic </w:t>
      </w:r>
      <w:r w:rsidRPr="00117449">
        <w:rPr>
          <w:rFonts w:eastAsia="Times New Roman" w:cs="Times New Roman"/>
          <w:color w:val="000000"/>
          <w:szCs w:val="24"/>
        </w:rPr>
        <w:lastRenderedPageBreak/>
        <w:t>wastewater at household or community level in major urban cities should also be established to recycle the domestic wastewater (grey water) to ensure reuse of the recycled water for suitable purposes (e.g. gardening), especially under extreme condition.</w:t>
      </w:r>
    </w:p>
    <w:p w:rsidR="006E3B8A" w:rsidRPr="00117449" w:rsidRDefault="003442C9" w:rsidP="00A631E1">
      <w:pPr>
        <w:pStyle w:val="ListParagraph"/>
        <w:numPr>
          <w:ilvl w:val="0"/>
          <w:numId w:val="27"/>
        </w:numPr>
        <w:spacing w:line="276" w:lineRule="auto"/>
        <w:ind w:left="360"/>
        <w:jc w:val="both"/>
        <w:rPr>
          <w:rFonts w:cs="Times New Roman"/>
          <w:b/>
          <w:color w:val="000000" w:themeColor="text1"/>
          <w:szCs w:val="24"/>
        </w:rPr>
      </w:pPr>
      <w:r>
        <w:rPr>
          <w:rFonts w:cs="Times New Roman"/>
          <w:b/>
          <w:color w:val="76923C" w:themeColor="accent3" w:themeShade="BF"/>
          <w:szCs w:val="24"/>
        </w:rPr>
        <w:t>Strategy: Ensure Freshwater Supply to Support the Industrial G</w:t>
      </w:r>
      <w:r w:rsidR="006E3B8A" w:rsidRPr="00117449">
        <w:rPr>
          <w:rFonts w:cs="Times New Roman"/>
          <w:b/>
          <w:color w:val="76923C" w:themeColor="accent3" w:themeShade="BF"/>
          <w:szCs w:val="24"/>
        </w:rPr>
        <w:t>rowth.</w:t>
      </w:r>
      <w:r w:rsidR="006E3B8A" w:rsidRPr="00117449">
        <w:rPr>
          <w:rFonts w:cs="Times New Roman"/>
          <w:color w:val="000000" w:themeColor="text1"/>
          <w:szCs w:val="24"/>
        </w:rPr>
        <w:t xml:space="preserve"> </w:t>
      </w:r>
      <w:r w:rsidR="006E3B8A" w:rsidRPr="00117449">
        <w:rPr>
          <w:rFonts w:cs="Times New Roman"/>
          <w:szCs w:val="24"/>
        </w:rPr>
        <w:t xml:space="preserve">Though industrial water demand is still low compared to the agriculture sector, it is expected to grow by 440% by 2050. Water resources are particularly important for the textile and leather industries, both in terms of consumptive needs and in view of the pollution pressures caused. </w:t>
      </w:r>
      <w:r w:rsidR="006E3B8A" w:rsidRPr="00117449">
        <w:rPr>
          <w:rFonts w:cs="Times New Roman"/>
          <w:color w:val="000000" w:themeColor="text1"/>
          <w:szCs w:val="24"/>
        </w:rPr>
        <w:t xml:space="preserve">Moreover, water requirement for other types of industries including power generation etc. would also </w:t>
      </w:r>
      <w:r>
        <w:rPr>
          <w:rFonts w:cs="Times New Roman"/>
          <w:color w:val="000000" w:themeColor="text1"/>
          <w:szCs w:val="24"/>
        </w:rPr>
        <w:t xml:space="preserve">need to </w:t>
      </w:r>
      <w:r w:rsidR="006E3B8A" w:rsidRPr="00117449">
        <w:rPr>
          <w:rFonts w:cs="Times New Roman"/>
          <w:color w:val="000000" w:themeColor="text1"/>
          <w:szCs w:val="24"/>
        </w:rPr>
        <w:t xml:space="preserve">be ensured. </w:t>
      </w:r>
      <w:r w:rsidR="006E3B8A" w:rsidRPr="00117449">
        <w:rPr>
          <w:rFonts w:eastAsia="Times New Roman" w:cs="Times New Roman"/>
          <w:color w:val="000000" w:themeColor="text1"/>
          <w:szCs w:val="24"/>
        </w:rPr>
        <w:t>Installation of plants for recycling industrial wastewater in the industrial belt for re-use in the industrial purposes is recommended. Such plants at household or community level in major urban cities should also be established to recycle the domestic wastewater (grey water) to ensure reuse of the recycled water for suitable purposes (e.g. gardening) especially under extreme condition.</w:t>
      </w:r>
    </w:p>
    <w:p w:rsidR="006E3B8A" w:rsidRPr="00117449" w:rsidRDefault="006E3B8A" w:rsidP="00912C7F">
      <w:pPr>
        <w:spacing w:line="276" w:lineRule="auto"/>
        <w:jc w:val="both"/>
        <w:rPr>
          <w:rFonts w:cs="Times New Roman"/>
          <w:szCs w:val="24"/>
        </w:rPr>
      </w:pPr>
      <w:r w:rsidRPr="00117449">
        <w:rPr>
          <w:rFonts w:cs="Times New Roman"/>
          <w:b/>
          <w:i/>
          <w:szCs w:val="24"/>
        </w:rPr>
        <w:t xml:space="preserve">Water Quality: </w:t>
      </w:r>
      <w:r w:rsidRPr="00117449">
        <w:rPr>
          <w:rFonts w:cs="Times New Roman"/>
          <w:szCs w:val="24"/>
        </w:rPr>
        <w:t xml:space="preserve"> This is a growing concern for the country, with many Rivers and the wetlands at serious environmental risk due to pollution, encroachment, and disconnection between wetlands and the river system. Pollution of surface water is caused by three major sources of contamination: industry, agriculture and domestic/municipal. Most of the industries are located on the banks of the rivers. Key polluting industries include textiles, tanneries, pulp and paper mills, distilleries, fertilizer and chemical industries.  The highest number of industries in the country is located in and around big cities such as Dhaka, Chittagong and Khulna. Some 65% of all chemicals, plastics and petroleum industries, totaling some 7000 industries, are concentrated in and around the Dhaka Watershed, in the Dhaka, Narayanganj and Gazipur districts. </w:t>
      </w:r>
    </w:p>
    <w:p w:rsidR="006E3B8A" w:rsidRPr="00117449" w:rsidRDefault="006E3B8A" w:rsidP="00912C7F">
      <w:pPr>
        <w:spacing w:line="276" w:lineRule="auto"/>
        <w:jc w:val="both"/>
        <w:rPr>
          <w:rFonts w:cs="Times New Roman"/>
          <w:szCs w:val="24"/>
        </w:rPr>
      </w:pPr>
      <w:r w:rsidRPr="00117449">
        <w:rPr>
          <w:rFonts w:cs="Times New Roman"/>
          <w:szCs w:val="24"/>
        </w:rPr>
        <w:t>Domestic contamination in rural areas, amongst others with faecal coliforms, although not well quantified, is a serious form of contamination, due to the untreated disposal of human waste into ponds, beels and rivers. Coastal salinity and localized high dissolved iron in the alluvial aquifer and arsenic in groundwater are another issues related to water quality. Some 46 to 57 million people have been exposed to drinking water containing arsenic that exceeded World Health Organization  arsenic standard of 10 µg/L.</w:t>
      </w:r>
    </w:p>
    <w:p w:rsidR="006E3B8A" w:rsidRPr="00117449" w:rsidRDefault="006E3B8A" w:rsidP="00912C7F">
      <w:pPr>
        <w:spacing w:line="276" w:lineRule="auto"/>
        <w:jc w:val="both"/>
        <w:rPr>
          <w:rFonts w:cs="Times New Roman"/>
          <w:szCs w:val="24"/>
        </w:rPr>
      </w:pPr>
      <w:r w:rsidRPr="00117449">
        <w:rPr>
          <w:rFonts w:cs="Times New Roman"/>
          <w:szCs w:val="24"/>
        </w:rPr>
        <w:t>There are at least three types of direct negative impacts of water pollution: i) increasing health problems of the rural and urban population, also leading to increased deaths; ii) loss of agricultural and industrial productivity; and iii) environmental degradation, leading to a series of further impacts. Estimated annual costs amount to some USD 400 million linked to poor surface water quality, including lost agricultural and fisheries production (17%), costs to industry (22%), lost amenity (21%), and health costs (40%).</w:t>
      </w:r>
    </w:p>
    <w:p w:rsidR="006E3B8A" w:rsidRPr="00117449" w:rsidRDefault="006E3B8A" w:rsidP="00A631E1">
      <w:pPr>
        <w:pStyle w:val="ListParagraph"/>
        <w:numPr>
          <w:ilvl w:val="0"/>
          <w:numId w:val="27"/>
        </w:numPr>
        <w:spacing w:line="276" w:lineRule="auto"/>
        <w:ind w:left="360"/>
        <w:jc w:val="both"/>
        <w:rPr>
          <w:rFonts w:eastAsia="Times New Roman" w:cs="Times New Roman"/>
          <w:color w:val="000000"/>
          <w:szCs w:val="24"/>
        </w:rPr>
      </w:pPr>
      <w:r w:rsidRPr="00117449">
        <w:rPr>
          <w:rFonts w:cs="Times New Roman"/>
          <w:b/>
          <w:color w:val="76923C" w:themeColor="accent3" w:themeShade="BF"/>
          <w:szCs w:val="24"/>
        </w:rPr>
        <w:t xml:space="preserve">Strategy: Improvement of the water quality as per local and international standard by reducing the pollution of water from point and non-point sources of pollution.  </w:t>
      </w:r>
      <w:r w:rsidRPr="00117449">
        <w:rPr>
          <w:rFonts w:cs="Times New Roman"/>
          <w:szCs w:val="24"/>
        </w:rPr>
        <w:t>Specific policies include: (a)</w:t>
      </w:r>
      <w:r w:rsidRPr="00117449">
        <w:rPr>
          <w:rFonts w:cs="Times New Roman"/>
          <w:b/>
          <w:color w:val="76923C" w:themeColor="accent3" w:themeShade="BF"/>
          <w:szCs w:val="24"/>
        </w:rPr>
        <w:t xml:space="preserve"> </w:t>
      </w:r>
      <w:r w:rsidRPr="00117449">
        <w:rPr>
          <w:rFonts w:eastAsia="Times New Roman" w:cs="Times New Roman"/>
          <w:color w:val="000000"/>
          <w:szCs w:val="24"/>
        </w:rPr>
        <w:t xml:space="preserve">Establishment of collective and large scale industrial waste water </w:t>
      </w:r>
      <w:r w:rsidRPr="00117449">
        <w:rPr>
          <w:rFonts w:eastAsia="Times New Roman" w:cs="Times New Roman"/>
          <w:color w:val="000000"/>
          <w:szCs w:val="24"/>
        </w:rPr>
        <w:lastRenderedPageBreak/>
        <w:t xml:space="preserve">treatment plant in industrial and/or economic zone of major cities like Dhaka, Rajshahi, Rangpur, Mymensingh, Sylhet, Khulna, Barisal, Comilla and Chittagong etc. (b) Installation of integral sewerage system (including treatment plants) that is separated from the rain water collection system in major cities like Rangpur, Rajshahi, Mymensingh, Sylhet, Dhaka, Khulna, Barisal, Comilla, Chittagong </w:t>
      </w:r>
      <w:r w:rsidR="00EB2DC9" w:rsidRPr="00117449">
        <w:rPr>
          <w:rFonts w:eastAsia="Times New Roman" w:cs="Times New Roman"/>
          <w:color w:val="000000"/>
          <w:szCs w:val="24"/>
        </w:rPr>
        <w:t>etc.</w:t>
      </w:r>
      <w:r w:rsidRPr="00117449">
        <w:rPr>
          <w:rFonts w:eastAsia="Times New Roman" w:cs="Times New Roman"/>
          <w:color w:val="000000"/>
          <w:szCs w:val="24"/>
        </w:rPr>
        <w:t xml:space="preserve"> (c) Installation of latrines combined with faecal sludge collection and faecal treatment facility including septic tanks and other on-site sanitation in rural and semi-urban areas. (d) Development of facilities for treating medical, especially hazardous medical waste and prevention from dumping untreated medical waste into the surface water or ground to avoid surface and groundwater pollution. (e) Surface water treatment plant, deep well in arsenic contaminated areas and piped drinking water from upstream areas in medium and high saline areas of coastal region.</w:t>
      </w:r>
    </w:p>
    <w:p w:rsidR="006E3B8A" w:rsidRPr="00117449" w:rsidRDefault="006E3B8A" w:rsidP="00912C7F">
      <w:pPr>
        <w:autoSpaceDE w:val="0"/>
        <w:autoSpaceDN w:val="0"/>
        <w:adjustRightInd w:val="0"/>
        <w:spacing w:line="276" w:lineRule="auto"/>
        <w:jc w:val="both"/>
        <w:rPr>
          <w:rFonts w:eastAsiaTheme="majorEastAsia" w:cs="Times New Roman"/>
          <w:szCs w:val="24"/>
        </w:rPr>
      </w:pPr>
      <w:r w:rsidRPr="00117449">
        <w:rPr>
          <w:rFonts w:eastAsiaTheme="majorEastAsia" w:cs="Times New Roman"/>
          <w:b/>
          <w:szCs w:val="24"/>
        </w:rPr>
        <w:t xml:space="preserve">Drainage: </w:t>
      </w:r>
      <w:r w:rsidRPr="00117449">
        <w:rPr>
          <w:rFonts w:eastAsiaTheme="majorEastAsia" w:cs="Times New Roman"/>
          <w:szCs w:val="24"/>
        </w:rPr>
        <w:t>This is a huge challenge for many urban hotspot districts.  The problem is very large and strategic choices are necessary with initial focus on areas with highest economic density.</w:t>
      </w:r>
    </w:p>
    <w:p w:rsidR="00000000" w:rsidRDefault="006E3B8A" w:rsidP="003D5A31">
      <w:pPr>
        <w:pStyle w:val="ListParagraph"/>
        <w:numPr>
          <w:ilvl w:val="0"/>
          <w:numId w:val="133"/>
        </w:numPr>
        <w:spacing w:line="276" w:lineRule="auto"/>
        <w:ind w:left="360"/>
        <w:jc w:val="both"/>
        <w:rPr>
          <w:rFonts w:cs="Times New Roman"/>
          <w:color w:val="76923C" w:themeColor="accent3" w:themeShade="BF"/>
          <w:szCs w:val="24"/>
        </w:rPr>
      </w:pPr>
      <w:r w:rsidRPr="00117449">
        <w:rPr>
          <w:rFonts w:cs="Times New Roman"/>
          <w:b/>
          <w:i/>
          <w:color w:val="76923C" w:themeColor="accent3" w:themeShade="BF"/>
          <w:szCs w:val="24"/>
        </w:rPr>
        <w:t xml:space="preserve">Strategy: Dhaka-Narayanganj-Demra (DND) area. </w:t>
      </w:r>
      <w:r w:rsidRPr="00117449">
        <w:rPr>
          <w:rFonts w:cs="Times New Roman"/>
          <w:szCs w:val="24"/>
        </w:rPr>
        <w:t xml:space="preserve">(a) </w:t>
      </w:r>
      <w:r w:rsidRPr="00117449">
        <w:rPr>
          <w:rFonts w:cs="Times New Roman"/>
          <w:color w:val="000000" w:themeColor="text1"/>
          <w:szCs w:val="24"/>
          <w:shd w:val="clear" w:color="auto" w:fill="FFFFFF"/>
        </w:rPr>
        <w:t>The number of pumping stations needs to be increased to remove drainage congestion and water logging.  (b) The flow of rain water cannot reach in front of the pump station as most of the canals have already been encroached and piled up with garbage. So cleaning up the canals is a mandatory. (c) As a low lying part of Dhaka city,</w:t>
      </w:r>
      <w:r w:rsidRPr="00117449">
        <w:rPr>
          <w:rStyle w:val="apple-converted-space"/>
          <w:rFonts w:cs="Times New Roman"/>
          <w:color w:val="000000" w:themeColor="text1"/>
          <w:szCs w:val="24"/>
          <w:shd w:val="clear" w:color="auto" w:fill="FFFFFF"/>
        </w:rPr>
        <w:t> </w:t>
      </w:r>
      <w:r w:rsidRPr="00117449">
        <w:rPr>
          <w:rFonts w:cs="Times New Roman"/>
          <w:color w:val="000000" w:themeColor="text1"/>
          <w:szCs w:val="24"/>
          <w:shd w:val="clear" w:color="auto" w:fill="FFFFFF"/>
        </w:rPr>
        <w:t>DND area should be leveled to avoid water logging in low-lying areas. (d) The BWDB, DWASA, City Corporations and other agencies need to put emphasis on the water logging, drainage congestion, solid waste management and road network development in DND area.</w:t>
      </w:r>
    </w:p>
    <w:p w:rsidR="00000000" w:rsidRDefault="006E3B8A" w:rsidP="003D5A31">
      <w:pPr>
        <w:pStyle w:val="ListParagraph"/>
        <w:numPr>
          <w:ilvl w:val="0"/>
          <w:numId w:val="133"/>
        </w:numPr>
        <w:spacing w:line="276" w:lineRule="auto"/>
        <w:ind w:left="360"/>
        <w:jc w:val="both"/>
        <w:rPr>
          <w:rFonts w:cs="Times New Roman"/>
          <w:color w:val="76923C" w:themeColor="accent3" w:themeShade="BF"/>
          <w:szCs w:val="24"/>
        </w:rPr>
      </w:pPr>
      <w:r w:rsidRPr="00117449">
        <w:rPr>
          <w:rFonts w:cs="Times New Roman"/>
          <w:b/>
          <w:color w:val="76923C" w:themeColor="accent3" w:themeShade="BF"/>
          <w:szCs w:val="24"/>
          <w:shd w:val="clear" w:color="auto" w:fill="FFFFFF"/>
        </w:rPr>
        <w:t>Strategy: Improve drainage an</w:t>
      </w:r>
      <w:r w:rsidR="0084483F">
        <w:rPr>
          <w:rFonts w:cs="Times New Roman"/>
          <w:b/>
          <w:color w:val="76923C" w:themeColor="accent3" w:themeShade="BF"/>
          <w:szCs w:val="24"/>
          <w:shd w:val="clear" w:color="auto" w:fill="FFFFFF"/>
        </w:rPr>
        <w:t xml:space="preserve">d prevent water logging in Chittagong and Barisal and other </w:t>
      </w:r>
      <w:r w:rsidRPr="00117449">
        <w:rPr>
          <w:rFonts w:cs="Times New Roman"/>
          <w:b/>
          <w:color w:val="76923C" w:themeColor="accent3" w:themeShade="BF"/>
          <w:szCs w:val="24"/>
          <w:shd w:val="clear" w:color="auto" w:fill="FFFFFF"/>
        </w:rPr>
        <w:t xml:space="preserve"> large urban cities with high economic density</w:t>
      </w:r>
    </w:p>
    <w:p w:rsidR="00142A94" w:rsidRPr="00142A94" w:rsidRDefault="00142A94" w:rsidP="00142A94">
      <w:pPr>
        <w:pStyle w:val="ListParagraph"/>
        <w:spacing w:line="276" w:lineRule="auto"/>
        <w:ind w:left="360"/>
        <w:jc w:val="both"/>
        <w:rPr>
          <w:rFonts w:cs="Times New Roman"/>
          <w:color w:val="76923C" w:themeColor="accent3" w:themeShade="BF"/>
          <w:szCs w:val="24"/>
        </w:rPr>
      </w:pPr>
    </w:p>
    <w:p w:rsidR="00000000" w:rsidRDefault="006E3B8A" w:rsidP="003D5A31">
      <w:pPr>
        <w:pStyle w:val="ListParagraph"/>
        <w:numPr>
          <w:ilvl w:val="0"/>
          <w:numId w:val="132"/>
        </w:numPr>
        <w:spacing w:line="276" w:lineRule="auto"/>
        <w:jc w:val="both"/>
        <w:rPr>
          <w:rFonts w:cs="Times New Roman"/>
          <w:b/>
          <w:szCs w:val="24"/>
        </w:rPr>
      </w:pPr>
      <w:r w:rsidRPr="00117449">
        <w:rPr>
          <w:rFonts w:cs="Times New Roman"/>
          <w:b/>
          <w:szCs w:val="24"/>
        </w:rPr>
        <w:t>Environment, Ecology and Biodiversity</w:t>
      </w:r>
    </w:p>
    <w:p w:rsidR="006E3B8A" w:rsidRPr="00117449" w:rsidRDefault="006E3B8A" w:rsidP="00912C7F">
      <w:pPr>
        <w:autoSpaceDE w:val="0"/>
        <w:autoSpaceDN w:val="0"/>
        <w:adjustRightInd w:val="0"/>
        <w:spacing w:line="276" w:lineRule="auto"/>
        <w:jc w:val="both"/>
        <w:rPr>
          <w:rFonts w:eastAsia="Times New Roman" w:cs="Times New Roman"/>
          <w:bCs/>
          <w:color w:val="000000"/>
          <w:szCs w:val="24"/>
        </w:rPr>
      </w:pPr>
      <w:r w:rsidRPr="00117449">
        <w:rPr>
          <w:rFonts w:eastAsiaTheme="majorEastAsia" w:cs="Times New Roman"/>
          <w:szCs w:val="24"/>
        </w:rPr>
        <w:t xml:space="preserve">Wetlands are precious for the environment, ecology, and biodiversity. They are an integral part of the local ecosystem and closely related with local cultures, and also support the livelihoods of millions of people based on diverse activities such as fishing and agriculture. There is an urgent need to take action against wetlands degradation and maintain them through proper management.  </w:t>
      </w:r>
    </w:p>
    <w:p w:rsidR="006E3B8A" w:rsidRPr="00117449" w:rsidRDefault="006E3B8A" w:rsidP="00A631E1">
      <w:pPr>
        <w:pStyle w:val="ListParagraph"/>
        <w:numPr>
          <w:ilvl w:val="0"/>
          <w:numId w:val="31"/>
        </w:numPr>
        <w:autoSpaceDE w:val="0"/>
        <w:autoSpaceDN w:val="0"/>
        <w:adjustRightInd w:val="0"/>
        <w:spacing w:line="276" w:lineRule="auto"/>
        <w:ind w:left="360"/>
        <w:jc w:val="both"/>
        <w:rPr>
          <w:rFonts w:eastAsia="Times New Roman" w:cs="Times New Roman"/>
          <w:bCs/>
          <w:color w:val="000000"/>
          <w:szCs w:val="24"/>
        </w:rPr>
      </w:pPr>
      <w:r w:rsidRPr="00117449">
        <w:rPr>
          <w:rFonts w:cs="Times New Roman"/>
          <w:b/>
          <w:color w:val="76923C" w:themeColor="accent3" w:themeShade="BF"/>
          <w:szCs w:val="24"/>
        </w:rPr>
        <w:t xml:space="preserve">Strategy: Conservation and preservation of Wetlands and ecosystem through institutional capacity building, research and awareness raising programs. </w:t>
      </w:r>
      <w:r w:rsidRPr="00117449">
        <w:rPr>
          <w:rFonts w:eastAsiaTheme="majorEastAsia" w:cs="Times New Roman"/>
          <w:szCs w:val="24"/>
        </w:rPr>
        <w:t xml:space="preserve">In this respect, responsible stakeholders need to participate in a cooperative manner to save the wetlands from destroying in near future.  Specific policies include:  (a) </w:t>
      </w:r>
      <w:r w:rsidRPr="00117449">
        <w:rPr>
          <w:rFonts w:eastAsia="Times New Roman" w:cs="Times New Roman"/>
          <w:bCs/>
          <w:color w:val="000000"/>
          <w:szCs w:val="24"/>
        </w:rPr>
        <w:t xml:space="preserve">Formulation and enforcement of Policy by the relevant agencies limiting the use of natural water bodies in order to ensure the conservation and wise use of these waterbodies. (b) Strengthening the capacity of the agencies in terms of manpower, knowledge and budget for protection and conservation of the water bodies. (c) Identification of vulnerable waterbodies and planning and implementing </w:t>
      </w:r>
      <w:r w:rsidRPr="00117449">
        <w:rPr>
          <w:rFonts w:eastAsia="Times New Roman" w:cs="Times New Roman"/>
          <w:bCs/>
          <w:color w:val="000000"/>
          <w:szCs w:val="24"/>
        </w:rPr>
        <w:lastRenderedPageBreak/>
        <w:t>necessary measures to preserve and restore them.  (d) Research and innovation for wise use of the water bodies and implementation of the research outcomes to protect the wetland and associate biodiversity. (e) Awareness raising programs by the agencies involved in protection of the waterbodies against illegal encroachment and other harmful activities for protection and wise use of these waterbodies</w:t>
      </w:r>
    </w:p>
    <w:p w:rsidR="006E3B8A" w:rsidRPr="00117449" w:rsidRDefault="006E3B8A" w:rsidP="00A631E1">
      <w:pPr>
        <w:pStyle w:val="ListParagraph"/>
        <w:numPr>
          <w:ilvl w:val="0"/>
          <w:numId w:val="31"/>
        </w:numPr>
        <w:autoSpaceDE w:val="0"/>
        <w:autoSpaceDN w:val="0"/>
        <w:adjustRightInd w:val="0"/>
        <w:spacing w:line="276" w:lineRule="auto"/>
        <w:ind w:left="360"/>
        <w:jc w:val="both"/>
        <w:rPr>
          <w:rFonts w:cs="Times New Roman"/>
          <w:b/>
          <w:color w:val="76923C" w:themeColor="accent3" w:themeShade="BF"/>
          <w:szCs w:val="24"/>
        </w:rPr>
      </w:pPr>
      <w:r w:rsidRPr="00117449">
        <w:rPr>
          <w:rFonts w:cs="Times New Roman"/>
          <w:b/>
          <w:color w:val="76923C" w:themeColor="accent3" w:themeShade="BF"/>
          <w:szCs w:val="24"/>
        </w:rPr>
        <w:t xml:space="preserve">Strategy: Restoration of the Chalan Beel.  </w:t>
      </w:r>
      <w:r w:rsidRPr="00117449">
        <w:rPr>
          <w:rFonts w:cs="Times New Roman"/>
          <w:szCs w:val="24"/>
        </w:rPr>
        <w:t>The Chalan beel area comprises 21 rivers and 93 smaller seasonal beels of varying size. Most of the rivers and beels are at risk of partial or total degradation, as a result of agricultural encroachment, siltation and other anthropogenic activities. Gradual habitat degradation and overexploitation are key drivers of biodiversity degradation and declining aquatic production in Chalan beel.</w:t>
      </w:r>
      <w:r w:rsidRPr="00117449">
        <w:rPr>
          <w:rFonts w:cs="Times New Roman"/>
          <w:i/>
          <w:szCs w:val="24"/>
        </w:rPr>
        <w:t xml:space="preserve"> </w:t>
      </w:r>
      <w:r w:rsidRPr="00117449">
        <w:rPr>
          <w:rFonts w:cs="Times New Roman"/>
          <w:szCs w:val="24"/>
        </w:rPr>
        <w:t xml:space="preserve">Formulation and activation of Flood action Plan for this region and Chalan beel for successful restoration of Chalan beel is necessary. </w:t>
      </w:r>
    </w:p>
    <w:p w:rsidR="006E3B8A" w:rsidRPr="00117449" w:rsidRDefault="006E3B8A" w:rsidP="00A631E1">
      <w:pPr>
        <w:pStyle w:val="ListParagraph"/>
        <w:numPr>
          <w:ilvl w:val="0"/>
          <w:numId w:val="31"/>
        </w:numPr>
        <w:autoSpaceDE w:val="0"/>
        <w:autoSpaceDN w:val="0"/>
        <w:adjustRightInd w:val="0"/>
        <w:spacing w:line="276" w:lineRule="auto"/>
        <w:ind w:left="360"/>
        <w:jc w:val="both"/>
        <w:rPr>
          <w:rFonts w:cs="Times New Roman"/>
          <w:b/>
          <w:color w:val="76923C" w:themeColor="accent3" w:themeShade="BF"/>
          <w:szCs w:val="24"/>
        </w:rPr>
      </w:pPr>
      <w:r w:rsidRPr="00117449">
        <w:rPr>
          <w:rFonts w:cs="Times New Roman"/>
          <w:b/>
          <w:color w:val="76923C" w:themeColor="accent3" w:themeShade="BF"/>
          <w:szCs w:val="24"/>
        </w:rPr>
        <w:t xml:space="preserve">Strategy: Restoration of the Halda River.  </w:t>
      </w:r>
      <w:r w:rsidRPr="00117449">
        <w:rPr>
          <w:rFonts w:cs="Times New Roman"/>
          <w:color w:val="000000" w:themeColor="text1"/>
          <w:szCs w:val="24"/>
          <w:shd w:val="clear" w:color="auto" w:fill="FFFFFF"/>
        </w:rPr>
        <w:t xml:space="preserve">Development and implementation of an integrated project or programme aiming at protection and ecological restoration of Halda River. Protection of vital points along the river bank through construction of embankments or other appropriate measures. </w:t>
      </w:r>
    </w:p>
    <w:p w:rsidR="006E3B8A" w:rsidRPr="00117449" w:rsidRDefault="006E3B8A" w:rsidP="00A631E1">
      <w:pPr>
        <w:pStyle w:val="ListParagraph"/>
        <w:numPr>
          <w:ilvl w:val="0"/>
          <w:numId w:val="31"/>
        </w:numPr>
        <w:autoSpaceDE w:val="0"/>
        <w:autoSpaceDN w:val="0"/>
        <w:adjustRightInd w:val="0"/>
        <w:spacing w:line="276" w:lineRule="auto"/>
        <w:ind w:left="360"/>
        <w:jc w:val="both"/>
        <w:rPr>
          <w:rFonts w:cs="Times New Roman"/>
          <w:b/>
          <w:color w:val="000000" w:themeColor="text1"/>
          <w:szCs w:val="24"/>
          <w:shd w:val="clear" w:color="auto" w:fill="FFFFFF"/>
        </w:rPr>
      </w:pPr>
      <w:r w:rsidRPr="00117449">
        <w:rPr>
          <w:rFonts w:cs="Times New Roman"/>
          <w:b/>
          <w:color w:val="76923C" w:themeColor="accent3" w:themeShade="BF"/>
          <w:szCs w:val="24"/>
          <w:shd w:val="clear" w:color="auto" w:fill="FFFFFF"/>
        </w:rPr>
        <w:t xml:space="preserve">Strategy: Green belt around the hills of the Kaptai Lake. </w:t>
      </w:r>
      <w:r w:rsidRPr="00117449">
        <w:rPr>
          <w:rFonts w:cs="Times New Roman"/>
          <w:szCs w:val="24"/>
        </w:rPr>
        <w:t xml:space="preserve">Undertake reforestation/Green belt around the hills of Kaptai Lake. Plantation of trees will prevent scouring of sediments. Illegal settlements in the periphery of the lake need to be banned. A green belt is needed to make around the periphery of the lake.  </w:t>
      </w:r>
    </w:p>
    <w:p w:rsidR="00B03FE6" w:rsidRPr="004B0A08" w:rsidRDefault="006E3B8A" w:rsidP="00B03FE6">
      <w:pPr>
        <w:pStyle w:val="ListParagraph"/>
        <w:numPr>
          <w:ilvl w:val="0"/>
          <w:numId w:val="31"/>
        </w:numPr>
        <w:autoSpaceDE w:val="0"/>
        <w:autoSpaceDN w:val="0"/>
        <w:adjustRightInd w:val="0"/>
        <w:spacing w:line="276" w:lineRule="auto"/>
        <w:ind w:left="360"/>
        <w:jc w:val="both"/>
        <w:rPr>
          <w:rFonts w:cs="Times New Roman"/>
          <w:b/>
          <w:color w:val="000000" w:themeColor="text1"/>
          <w:szCs w:val="24"/>
          <w:shd w:val="clear" w:color="auto" w:fill="FFFFFF"/>
        </w:rPr>
      </w:pPr>
      <w:r w:rsidRPr="00117449">
        <w:rPr>
          <w:rFonts w:cs="Times New Roman"/>
          <w:b/>
          <w:color w:val="76923C" w:themeColor="accent3" w:themeShade="BF"/>
          <w:szCs w:val="24"/>
        </w:rPr>
        <w:t>Strategy</w:t>
      </w:r>
      <w:r w:rsidRPr="00117449">
        <w:rPr>
          <w:rFonts w:cs="Times New Roman"/>
          <w:szCs w:val="24"/>
        </w:rPr>
        <w:t xml:space="preserve">: </w:t>
      </w:r>
      <w:r w:rsidRPr="00117449">
        <w:rPr>
          <w:rFonts w:cs="Times New Roman"/>
          <w:b/>
          <w:color w:val="76923C" w:themeColor="accent3" w:themeShade="BF"/>
          <w:szCs w:val="24"/>
        </w:rPr>
        <w:t xml:space="preserve">Preserving the wetlands and converting them to eco-tourism sites. </w:t>
      </w:r>
      <w:r w:rsidRPr="00117449">
        <w:rPr>
          <w:rFonts w:eastAsiaTheme="majorEastAsia" w:cs="Times New Roman"/>
          <w:szCs w:val="24"/>
        </w:rPr>
        <w:t>Preserve the two most important ecologically sensitive areas of the Sundarban mangrove forests and the parts of the Haor Basin wetlands.</w:t>
      </w:r>
    </w:p>
    <w:p w:rsidR="00B03FE6" w:rsidRPr="004B0A08" w:rsidRDefault="00B03FE6" w:rsidP="004B0A08">
      <w:pPr>
        <w:pStyle w:val="ListParagraph"/>
        <w:autoSpaceDE w:val="0"/>
        <w:autoSpaceDN w:val="0"/>
        <w:adjustRightInd w:val="0"/>
        <w:spacing w:line="276" w:lineRule="auto"/>
        <w:ind w:left="360"/>
        <w:jc w:val="both"/>
        <w:rPr>
          <w:rFonts w:cs="Times New Roman"/>
          <w:b/>
          <w:color w:val="000000" w:themeColor="text1"/>
          <w:szCs w:val="24"/>
          <w:shd w:val="clear" w:color="auto" w:fill="FFFFFF"/>
        </w:rPr>
      </w:pPr>
    </w:p>
    <w:p w:rsidR="00000000" w:rsidRDefault="006E3B8A" w:rsidP="003D5A31">
      <w:pPr>
        <w:pStyle w:val="ListParagraph"/>
        <w:numPr>
          <w:ilvl w:val="0"/>
          <w:numId w:val="132"/>
        </w:numPr>
        <w:spacing w:line="276" w:lineRule="auto"/>
        <w:jc w:val="both"/>
        <w:rPr>
          <w:rFonts w:cs="Times New Roman"/>
          <w:b/>
          <w:szCs w:val="24"/>
        </w:rPr>
      </w:pPr>
      <w:r w:rsidRPr="00117449">
        <w:rPr>
          <w:rFonts w:cs="Times New Roman"/>
          <w:b/>
          <w:szCs w:val="24"/>
        </w:rPr>
        <w:t>Agriculture</w:t>
      </w:r>
    </w:p>
    <w:p w:rsidR="006E3B8A" w:rsidRPr="00117449" w:rsidRDefault="006E3B8A" w:rsidP="00912C7F">
      <w:pPr>
        <w:autoSpaceDE w:val="0"/>
        <w:autoSpaceDN w:val="0"/>
        <w:adjustRightInd w:val="0"/>
        <w:spacing w:line="276" w:lineRule="auto"/>
        <w:jc w:val="both"/>
        <w:rPr>
          <w:rFonts w:cs="Times New Roman"/>
          <w:bCs/>
          <w:szCs w:val="24"/>
        </w:rPr>
      </w:pPr>
      <w:r w:rsidRPr="00117449">
        <w:rPr>
          <w:rFonts w:cs="Times New Roman"/>
          <w:b/>
          <w:i/>
          <w:szCs w:val="24"/>
          <w:shd w:val="clear" w:color="auto" w:fill="FFFFFF"/>
        </w:rPr>
        <w:t>Strategies:</w:t>
      </w:r>
      <w:r w:rsidRPr="00117449">
        <w:rPr>
          <w:rFonts w:cs="Times New Roman"/>
          <w:szCs w:val="24"/>
          <w:shd w:val="clear" w:color="auto" w:fill="FFFFFF"/>
        </w:rPr>
        <w:t xml:space="preserve">  Agriculture is most vulnerable to climate change. Considerable adaptation efforts of the past have helped lower the cost to agriculture.  Nevertheless, several additional initiatives are necessary to cope with the growing risk of climate change for agriculture and livelihood. The water related strategies and interventions discussed earlier are a major part of protecting agriculture from the adverse effects of climate change.  Other strategic elements relate to technology and land management. </w:t>
      </w:r>
      <w:r w:rsidRPr="00117449">
        <w:rPr>
          <w:rFonts w:cs="Times New Roman"/>
          <w:bCs/>
          <w:szCs w:val="24"/>
        </w:rPr>
        <w:t>Regarding technology, the main strategic considerations for crop production are:</w:t>
      </w:r>
    </w:p>
    <w:p w:rsidR="006E3B8A" w:rsidRPr="00117449" w:rsidRDefault="006E3B8A" w:rsidP="00912C7F">
      <w:pPr>
        <w:autoSpaceDE w:val="0"/>
        <w:autoSpaceDN w:val="0"/>
        <w:adjustRightInd w:val="0"/>
        <w:spacing w:line="276" w:lineRule="auto"/>
        <w:jc w:val="both"/>
        <w:rPr>
          <w:rFonts w:cs="Times New Roman"/>
          <w:szCs w:val="24"/>
        </w:rPr>
      </w:pPr>
      <w:r w:rsidRPr="00117449">
        <w:rPr>
          <w:rFonts w:cs="Times New Roman"/>
          <w:b/>
          <w:bCs/>
          <w:szCs w:val="24"/>
        </w:rPr>
        <w:t xml:space="preserve">1. Coping with Uncertainty in Developing Responses: </w:t>
      </w:r>
      <w:r w:rsidRPr="00117449">
        <w:rPr>
          <w:rFonts w:cs="Times New Roman"/>
          <w:szCs w:val="24"/>
        </w:rPr>
        <w:t>Adaptations to climate change should be considered as incremental changes to existing systems with the goal of increasing diversification and hedging against new, unknown risk. So, the strategy calls for continued research and learning from international experiences for agricultural adaptation to climate change.</w:t>
      </w:r>
    </w:p>
    <w:p w:rsidR="006E3B8A" w:rsidRPr="00117449" w:rsidRDefault="006E3B8A" w:rsidP="00912C7F">
      <w:pPr>
        <w:autoSpaceDE w:val="0"/>
        <w:autoSpaceDN w:val="0"/>
        <w:adjustRightInd w:val="0"/>
        <w:spacing w:line="276" w:lineRule="auto"/>
        <w:jc w:val="both"/>
        <w:rPr>
          <w:rFonts w:cs="Times New Roman"/>
          <w:szCs w:val="24"/>
        </w:rPr>
      </w:pPr>
      <w:r w:rsidRPr="00117449">
        <w:rPr>
          <w:rFonts w:cs="Times New Roman"/>
          <w:b/>
          <w:bCs/>
          <w:szCs w:val="24"/>
        </w:rPr>
        <w:lastRenderedPageBreak/>
        <w:t xml:space="preserve">2. Sustainably Intensifying Agricultural Production Systems: </w:t>
      </w:r>
      <w:r w:rsidRPr="00117449">
        <w:rPr>
          <w:rFonts w:cs="Times New Roman"/>
          <w:bCs/>
          <w:szCs w:val="24"/>
        </w:rPr>
        <w:t>Strategic considerations include</w:t>
      </w:r>
      <w:r w:rsidRPr="00117449">
        <w:rPr>
          <w:rFonts w:cs="Times New Roman"/>
          <w:szCs w:val="24"/>
        </w:rPr>
        <w:t xml:space="preserve">: (a) </w:t>
      </w:r>
      <w:r w:rsidRPr="00117449">
        <w:rPr>
          <w:rFonts w:cs="Times New Roman"/>
          <w:color w:val="000000"/>
          <w:szCs w:val="24"/>
        </w:rPr>
        <w:t xml:space="preserve">Recognition that increased production will need to be achieved mostly without bringing new land into agriculture. </w:t>
      </w:r>
      <w:r w:rsidRPr="00117449">
        <w:rPr>
          <w:rFonts w:cs="Times New Roman"/>
          <w:szCs w:val="24"/>
        </w:rPr>
        <w:t xml:space="preserve"> (b) </w:t>
      </w:r>
      <w:r w:rsidRPr="00117449">
        <w:rPr>
          <w:rFonts w:cs="Times New Roman"/>
          <w:color w:val="000000"/>
          <w:szCs w:val="24"/>
        </w:rPr>
        <w:t>Increasing the stability of agricultural production systems requires much greater attention to building ecosystem services that increase resilience. (c)</w:t>
      </w:r>
      <w:r w:rsidRPr="00117449">
        <w:rPr>
          <w:rFonts w:cs="Times New Roman"/>
          <w:szCs w:val="24"/>
        </w:rPr>
        <w:t xml:space="preserve"> </w:t>
      </w:r>
      <w:r w:rsidRPr="00117449">
        <w:rPr>
          <w:rFonts w:cs="Times New Roman"/>
          <w:color w:val="000000"/>
          <w:szCs w:val="24"/>
        </w:rPr>
        <w:t>Improving the efficiency of agricultural production systems, increasing sequestration, and reducing waste are not only important forms of mitigation—they may also generate higher and more stable returns.  (d)</w:t>
      </w:r>
      <w:r w:rsidRPr="00117449">
        <w:rPr>
          <w:rFonts w:cs="Times New Roman"/>
          <w:szCs w:val="24"/>
        </w:rPr>
        <w:t xml:space="preserve"> </w:t>
      </w:r>
      <w:r w:rsidR="0084483F">
        <w:rPr>
          <w:rFonts w:cs="Times New Roman"/>
          <w:color w:val="000000"/>
          <w:szCs w:val="24"/>
        </w:rPr>
        <w:t xml:space="preserve"> I</w:t>
      </w:r>
      <w:r w:rsidRPr="00117449">
        <w:rPr>
          <w:rFonts w:cs="Times New Roman"/>
          <w:color w:val="000000"/>
          <w:szCs w:val="24"/>
        </w:rPr>
        <w:t xml:space="preserve">ncrease </w:t>
      </w:r>
      <w:r w:rsidR="0084483F">
        <w:rPr>
          <w:rFonts w:cs="Times New Roman"/>
          <w:color w:val="000000"/>
          <w:szCs w:val="24"/>
        </w:rPr>
        <w:t>yields sustainably by</w:t>
      </w:r>
      <w:r w:rsidRPr="00117449">
        <w:rPr>
          <w:rFonts w:cs="Times New Roman"/>
          <w:color w:val="000000"/>
          <w:szCs w:val="24"/>
        </w:rPr>
        <w:t xml:space="preserve"> harness</w:t>
      </w:r>
      <w:r w:rsidR="0084483F">
        <w:rPr>
          <w:rFonts w:cs="Times New Roman"/>
          <w:color w:val="000000"/>
          <w:szCs w:val="24"/>
        </w:rPr>
        <w:t>ing</w:t>
      </w:r>
      <w:r w:rsidRPr="00117449">
        <w:rPr>
          <w:rFonts w:cs="Times New Roman"/>
          <w:color w:val="000000"/>
          <w:szCs w:val="24"/>
        </w:rPr>
        <w:t xml:space="preserve"> and develop</w:t>
      </w:r>
      <w:r w:rsidR="0084483F">
        <w:rPr>
          <w:rFonts w:cs="Times New Roman"/>
          <w:color w:val="000000"/>
          <w:szCs w:val="24"/>
        </w:rPr>
        <w:t>ing</w:t>
      </w:r>
      <w:r w:rsidRPr="00117449">
        <w:rPr>
          <w:rFonts w:cs="Times New Roman"/>
          <w:color w:val="000000"/>
          <w:szCs w:val="24"/>
        </w:rPr>
        <w:t xml:space="preserve"> the knowledge and insights gained from all current systems of agricultural production, including those based on organic principles, local indigenous knowledge, and innovative plant-breeding technologies. </w:t>
      </w:r>
    </w:p>
    <w:p w:rsidR="006E3B8A" w:rsidRPr="00117449" w:rsidRDefault="006E3B8A" w:rsidP="00912C7F">
      <w:pPr>
        <w:autoSpaceDE w:val="0"/>
        <w:autoSpaceDN w:val="0"/>
        <w:adjustRightInd w:val="0"/>
        <w:spacing w:line="276" w:lineRule="auto"/>
        <w:jc w:val="both"/>
        <w:rPr>
          <w:rFonts w:cs="Times New Roman"/>
          <w:b/>
          <w:bCs/>
          <w:iCs/>
          <w:szCs w:val="24"/>
        </w:rPr>
      </w:pPr>
      <w:r w:rsidRPr="00117449">
        <w:rPr>
          <w:rFonts w:cs="Times New Roman"/>
          <w:b/>
          <w:bCs/>
          <w:szCs w:val="24"/>
        </w:rPr>
        <w:t xml:space="preserve">3. </w:t>
      </w:r>
      <w:r w:rsidRPr="00117449">
        <w:rPr>
          <w:rFonts w:cs="Times New Roman"/>
          <w:b/>
          <w:bCs/>
          <w:iCs/>
          <w:szCs w:val="24"/>
        </w:rPr>
        <w:t xml:space="preserve">Increasing Resilience of Agricultural Production Systems. </w:t>
      </w:r>
      <w:r w:rsidRPr="00117449">
        <w:rPr>
          <w:rFonts w:cs="Times New Roman"/>
          <w:bCs/>
          <w:iCs/>
          <w:szCs w:val="24"/>
        </w:rPr>
        <w:t>T</w:t>
      </w:r>
      <w:r w:rsidRPr="00117449">
        <w:rPr>
          <w:rFonts w:cs="Times New Roman"/>
          <w:szCs w:val="24"/>
        </w:rPr>
        <w:t xml:space="preserve">he overall efficiency and resilience of crop production systems in the face of climate change can be enhanced through : </w:t>
      </w:r>
      <w:r w:rsidRPr="00117449">
        <w:rPr>
          <w:rFonts w:cs="Times New Roman"/>
          <w:bCs/>
          <w:iCs/>
          <w:szCs w:val="24"/>
        </w:rPr>
        <w:t>(a)</w:t>
      </w:r>
      <w:r w:rsidRPr="00117449">
        <w:rPr>
          <w:rFonts w:cs="Times New Roman"/>
          <w:b/>
          <w:bCs/>
          <w:iCs/>
          <w:szCs w:val="24"/>
        </w:rPr>
        <w:t xml:space="preserve"> </w:t>
      </w:r>
      <w:r w:rsidRPr="00117449">
        <w:rPr>
          <w:rFonts w:cs="Times New Roman"/>
          <w:color w:val="000000"/>
          <w:szCs w:val="24"/>
        </w:rPr>
        <w:t xml:space="preserve">Appropriate soil and nutrient management, through composting manure and crop residues, more precise matching of nutrients with plant needs, controlled-release and deep-placement technologies, and using legumes for natural nitrogen fixation, can increase yields and resilience of crops, while reducing the need for often costly and inaccessible synthetic fertilizers (with the co-benefit of reducing the GHG emissions associated with their use). </w:t>
      </w:r>
      <w:r w:rsidRPr="00117449">
        <w:rPr>
          <w:rFonts w:cs="Times New Roman"/>
          <w:bCs/>
          <w:iCs/>
          <w:szCs w:val="24"/>
        </w:rPr>
        <w:t xml:space="preserve"> (b)</w:t>
      </w:r>
      <w:r w:rsidRPr="00117449">
        <w:rPr>
          <w:rFonts w:cs="Times New Roman"/>
          <w:b/>
          <w:bCs/>
          <w:iCs/>
          <w:szCs w:val="24"/>
        </w:rPr>
        <w:t xml:space="preserve"> </w:t>
      </w:r>
      <w:r w:rsidRPr="00117449">
        <w:rPr>
          <w:rFonts w:cs="Times New Roman"/>
          <w:color w:val="000000"/>
          <w:szCs w:val="24"/>
        </w:rPr>
        <w:t>In situations with decreasing rainfall and increasing rainfall variability, there are many ways of improving water harvesting and retention (through the use of pools, dams, pits, retaining ridges, increasing soil organic matter to heighten the water retention capacity of soils) and water-use efficiency (irrigation systems).  (c)</w:t>
      </w:r>
      <w:r w:rsidRPr="00117449">
        <w:rPr>
          <w:rFonts w:cs="Times New Roman"/>
          <w:b/>
          <w:bCs/>
          <w:iCs/>
          <w:szCs w:val="24"/>
        </w:rPr>
        <w:t xml:space="preserve"> </w:t>
      </w:r>
      <w:r w:rsidRPr="00117449">
        <w:rPr>
          <w:rFonts w:cs="Times New Roman"/>
          <w:color w:val="000000"/>
          <w:szCs w:val="24"/>
        </w:rPr>
        <w:t xml:space="preserve">Climate change is already altering the distribution and intensity of weeds and plant pests and diseases. There are considerable gaps in knowledge of systems interactions in relation to weeds, pests, and diseases, and increased understanding will lead to better ways to manage them in a changing climate. </w:t>
      </w:r>
    </w:p>
    <w:p w:rsidR="006E3B8A" w:rsidRPr="00117449" w:rsidRDefault="006E3B8A" w:rsidP="00912C7F">
      <w:pPr>
        <w:spacing w:line="276" w:lineRule="auto"/>
        <w:jc w:val="both"/>
        <w:rPr>
          <w:rFonts w:cs="Times New Roman"/>
          <w:spacing w:val="-1"/>
          <w:szCs w:val="24"/>
        </w:rPr>
      </w:pPr>
      <w:r w:rsidRPr="00117449">
        <w:rPr>
          <w:rFonts w:cs="Times New Roman"/>
          <w:b/>
          <w:szCs w:val="24"/>
        </w:rPr>
        <w:t>4</w:t>
      </w:r>
      <w:r w:rsidRPr="00117449">
        <w:rPr>
          <w:rFonts w:cs="Times New Roman"/>
          <w:szCs w:val="24"/>
        </w:rPr>
        <w:t xml:space="preserve">. </w:t>
      </w:r>
      <w:r w:rsidRPr="00117449">
        <w:rPr>
          <w:rFonts w:cs="Times New Roman"/>
          <w:b/>
          <w:bCs/>
          <w:iCs/>
          <w:szCs w:val="24"/>
        </w:rPr>
        <w:t xml:space="preserve">Diversification in Agricultural Output and Livelihoods: </w:t>
      </w:r>
      <w:r w:rsidRPr="00117449">
        <w:rPr>
          <w:rFonts w:cs="Times New Roman"/>
          <w:spacing w:val="-1"/>
          <w:szCs w:val="24"/>
        </w:rPr>
        <w:t>Diversification</w:t>
      </w:r>
      <w:r w:rsidRPr="00117449">
        <w:rPr>
          <w:rFonts w:cs="Times New Roman"/>
          <w:spacing w:val="-3"/>
          <w:szCs w:val="24"/>
        </w:rPr>
        <w:t xml:space="preserve"> </w:t>
      </w:r>
      <w:r w:rsidRPr="00117449">
        <w:rPr>
          <w:rFonts w:cs="Times New Roman"/>
          <w:szCs w:val="24"/>
        </w:rPr>
        <w:t xml:space="preserve">is </w:t>
      </w:r>
      <w:r w:rsidRPr="00117449">
        <w:rPr>
          <w:rFonts w:cs="Times New Roman"/>
          <w:spacing w:val="-1"/>
          <w:szCs w:val="24"/>
        </w:rPr>
        <w:t>an</w:t>
      </w:r>
      <w:r w:rsidRPr="00117449">
        <w:rPr>
          <w:rFonts w:cs="Times New Roman"/>
          <w:szCs w:val="24"/>
        </w:rPr>
        <w:t xml:space="preserve"> </w:t>
      </w:r>
      <w:r w:rsidRPr="00117449">
        <w:rPr>
          <w:rFonts w:cs="Times New Roman"/>
          <w:spacing w:val="-1"/>
          <w:szCs w:val="24"/>
        </w:rPr>
        <w:t>important</w:t>
      </w:r>
      <w:r w:rsidRPr="00117449">
        <w:rPr>
          <w:rFonts w:cs="Times New Roman"/>
          <w:spacing w:val="1"/>
          <w:szCs w:val="24"/>
        </w:rPr>
        <w:t xml:space="preserve"> </w:t>
      </w:r>
      <w:r w:rsidRPr="00117449">
        <w:rPr>
          <w:rFonts w:cs="Times New Roman"/>
          <w:spacing w:val="-1"/>
          <w:szCs w:val="24"/>
        </w:rPr>
        <w:t>element</w:t>
      </w:r>
      <w:r w:rsidRPr="00117449">
        <w:rPr>
          <w:rFonts w:cs="Times New Roman"/>
          <w:spacing w:val="1"/>
          <w:szCs w:val="24"/>
        </w:rPr>
        <w:t xml:space="preserve"> </w:t>
      </w:r>
      <w:r w:rsidRPr="00117449">
        <w:rPr>
          <w:rFonts w:cs="Times New Roman"/>
          <w:spacing w:val="-2"/>
          <w:szCs w:val="24"/>
        </w:rPr>
        <w:t>of</w:t>
      </w:r>
      <w:r w:rsidRPr="00117449">
        <w:rPr>
          <w:rFonts w:cs="Times New Roman"/>
          <w:spacing w:val="1"/>
          <w:szCs w:val="24"/>
        </w:rPr>
        <w:t xml:space="preserve"> </w:t>
      </w:r>
      <w:r w:rsidRPr="00117449">
        <w:rPr>
          <w:rFonts w:cs="Times New Roman"/>
          <w:spacing w:val="-1"/>
          <w:szCs w:val="24"/>
        </w:rPr>
        <w:t>climate</w:t>
      </w:r>
      <w:r w:rsidRPr="00117449">
        <w:rPr>
          <w:rFonts w:cs="Times New Roman"/>
          <w:szCs w:val="24"/>
        </w:rPr>
        <w:t xml:space="preserve"> </w:t>
      </w:r>
      <w:r w:rsidRPr="00117449">
        <w:rPr>
          <w:rFonts w:cs="Times New Roman"/>
          <w:spacing w:val="-2"/>
          <w:szCs w:val="24"/>
        </w:rPr>
        <w:t>change</w:t>
      </w:r>
      <w:r w:rsidRPr="00117449">
        <w:rPr>
          <w:rFonts w:cs="Times New Roman"/>
          <w:szCs w:val="24"/>
        </w:rPr>
        <w:t xml:space="preserve"> </w:t>
      </w:r>
      <w:r w:rsidRPr="00117449">
        <w:rPr>
          <w:rFonts w:cs="Times New Roman"/>
          <w:spacing w:val="-1"/>
          <w:szCs w:val="24"/>
        </w:rPr>
        <w:t>adaptation.</w:t>
      </w:r>
      <w:r w:rsidRPr="00117449">
        <w:rPr>
          <w:rFonts w:cs="Times New Roman"/>
          <w:szCs w:val="24"/>
        </w:rPr>
        <w:t xml:space="preserve"> </w:t>
      </w:r>
      <w:r w:rsidRPr="00117449">
        <w:rPr>
          <w:rFonts w:cs="Times New Roman"/>
          <w:spacing w:val="-1"/>
          <w:szCs w:val="24"/>
        </w:rPr>
        <w:t>Diversification</w:t>
      </w:r>
      <w:r w:rsidRPr="00117449">
        <w:rPr>
          <w:rFonts w:cs="Times New Roman"/>
          <w:spacing w:val="-3"/>
          <w:szCs w:val="24"/>
        </w:rPr>
        <w:t xml:space="preserve"> </w:t>
      </w:r>
      <w:r w:rsidRPr="00117449">
        <w:rPr>
          <w:rFonts w:cs="Times New Roman"/>
          <w:szCs w:val="24"/>
        </w:rPr>
        <w:t xml:space="preserve">can </w:t>
      </w:r>
      <w:r w:rsidRPr="00117449">
        <w:rPr>
          <w:rFonts w:cs="Times New Roman"/>
          <w:spacing w:val="-1"/>
          <w:szCs w:val="24"/>
        </w:rPr>
        <w:t>potentially</w:t>
      </w:r>
      <w:r w:rsidRPr="00117449">
        <w:rPr>
          <w:rFonts w:cs="Times New Roman"/>
          <w:spacing w:val="-3"/>
          <w:szCs w:val="24"/>
        </w:rPr>
        <w:t xml:space="preserve"> </w:t>
      </w:r>
      <w:r w:rsidRPr="00117449">
        <w:rPr>
          <w:rFonts w:cs="Times New Roman"/>
          <w:spacing w:val="-1"/>
          <w:szCs w:val="24"/>
        </w:rPr>
        <w:t>reduce</w:t>
      </w:r>
      <w:r w:rsidRPr="00117449">
        <w:rPr>
          <w:rFonts w:cs="Times New Roman"/>
          <w:spacing w:val="-2"/>
          <w:szCs w:val="24"/>
        </w:rPr>
        <w:t xml:space="preserve"> </w:t>
      </w:r>
      <w:r w:rsidRPr="00117449">
        <w:rPr>
          <w:rFonts w:cs="Times New Roman"/>
          <w:szCs w:val="24"/>
        </w:rPr>
        <w:t>the</w:t>
      </w:r>
      <w:r w:rsidRPr="00117449">
        <w:rPr>
          <w:rFonts w:cs="Times New Roman"/>
          <w:spacing w:val="-2"/>
          <w:szCs w:val="24"/>
        </w:rPr>
        <w:t xml:space="preserve"> </w:t>
      </w:r>
      <w:r w:rsidRPr="00117449">
        <w:rPr>
          <w:rFonts w:cs="Times New Roman"/>
          <w:spacing w:val="-1"/>
          <w:szCs w:val="24"/>
        </w:rPr>
        <w:t>impact</w:t>
      </w:r>
      <w:r w:rsidRPr="00117449">
        <w:rPr>
          <w:rFonts w:cs="Times New Roman"/>
          <w:spacing w:val="1"/>
          <w:szCs w:val="24"/>
        </w:rPr>
        <w:t xml:space="preserve"> </w:t>
      </w:r>
      <w:r w:rsidRPr="00117449">
        <w:rPr>
          <w:rFonts w:cs="Times New Roman"/>
          <w:szCs w:val="24"/>
        </w:rPr>
        <w:t>of</w:t>
      </w:r>
      <w:r w:rsidRPr="00117449">
        <w:rPr>
          <w:rFonts w:cs="Times New Roman"/>
          <w:spacing w:val="-2"/>
          <w:szCs w:val="24"/>
        </w:rPr>
        <w:t xml:space="preserve"> </w:t>
      </w:r>
      <w:r w:rsidRPr="00117449">
        <w:rPr>
          <w:rFonts w:cs="Times New Roman"/>
          <w:spacing w:val="-1"/>
          <w:szCs w:val="24"/>
        </w:rPr>
        <w:t>weather</w:t>
      </w:r>
      <w:r w:rsidRPr="00117449">
        <w:rPr>
          <w:rFonts w:cs="Times New Roman"/>
          <w:spacing w:val="1"/>
          <w:szCs w:val="24"/>
        </w:rPr>
        <w:t xml:space="preserve"> </w:t>
      </w:r>
      <w:r w:rsidRPr="00117449">
        <w:rPr>
          <w:rFonts w:cs="Times New Roman"/>
          <w:spacing w:val="-1"/>
          <w:szCs w:val="24"/>
        </w:rPr>
        <w:t>events</w:t>
      </w:r>
      <w:r w:rsidRPr="00117449">
        <w:rPr>
          <w:rFonts w:cs="Times New Roman"/>
          <w:szCs w:val="24"/>
        </w:rPr>
        <w:t xml:space="preserve"> on</w:t>
      </w:r>
      <w:r w:rsidRPr="00117449">
        <w:rPr>
          <w:rFonts w:cs="Times New Roman"/>
          <w:spacing w:val="-3"/>
          <w:szCs w:val="24"/>
        </w:rPr>
        <w:t xml:space="preserve"> </w:t>
      </w:r>
      <w:r w:rsidRPr="00117449">
        <w:rPr>
          <w:rFonts w:cs="Times New Roman"/>
          <w:spacing w:val="-1"/>
          <w:szCs w:val="24"/>
        </w:rPr>
        <w:t>income,</w:t>
      </w:r>
      <w:r w:rsidRPr="00117449">
        <w:rPr>
          <w:rFonts w:cs="Times New Roman"/>
          <w:szCs w:val="24"/>
        </w:rPr>
        <w:t xml:space="preserve"> </w:t>
      </w:r>
      <w:r w:rsidRPr="00117449">
        <w:rPr>
          <w:rFonts w:cs="Times New Roman"/>
          <w:spacing w:val="-1"/>
          <w:szCs w:val="24"/>
        </w:rPr>
        <w:t>and</w:t>
      </w:r>
      <w:r w:rsidRPr="00117449">
        <w:rPr>
          <w:rFonts w:cs="Times New Roman"/>
          <w:szCs w:val="24"/>
        </w:rPr>
        <w:t xml:space="preserve"> it</w:t>
      </w:r>
      <w:r w:rsidRPr="00117449">
        <w:rPr>
          <w:rFonts w:cs="Times New Roman"/>
          <w:spacing w:val="-2"/>
          <w:szCs w:val="24"/>
        </w:rPr>
        <w:t xml:space="preserve"> </w:t>
      </w:r>
      <w:r w:rsidRPr="00117449">
        <w:rPr>
          <w:rFonts w:cs="Times New Roman"/>
          <w:szCs w:val="24"/>
        </w:rPr>
        <w:t>can</w:t>
      </w:r>
      <w:r w:rsidRPr="00117449">
        <w:rPr>
          <w:rFonts w:cs="Times New Roman"/>
          <w:spacing w:val="-3"/>
          <w:szCs w:val="24"/>
        </w:rPr>
        <w:t xml:space="preserve"> </w:t>
      </w:r>
      <w:r w:rsidRPr="00117449">
        <w:rPr>
          <w:rFonts w:cs="Times New Roman"/>
          <w:spacing w:val="-1"/>
          <w:szCs w:val="24"/>
        </w:rPr>
        <w:t>also</w:t>
      </w:r>
      <w:r w:rsidRPr="00117449">
        <w:rPr>
          <w:rFonts w:cs="Times New Roman"/>
          <w:spacing w:val="61"/>
          <w:szCs w:val="24"/>
        </w:rPr>
        <w:t xml:space="preserve"> </w:t>
      </w:r>
      <w:r w:rsidRPr="00117449">
        <w:rPr>
          <w:rFonts w:cs="Times New Roman"/>
          <w:spacing w:val="-1"/>
          <w:szCs w:val="24"/>
        </w:rPr>
        <w:t>provide</w:t>
      </w:r>
      <w:r w:rsidRPr="00117449">
        <w:rPr>
          <w:rFonts w:cs="Times New Roman"/>
          <w:spacing w:val="-2"/>
          <w:szCs w:val="24"/>
        </w:rPr>
        <w:t xml:space="preserve"> </w:t>
      </w:r>
      <w:r w:rsidRPr="00117449">
        <w:rPr>
          <w:rFonts w:cs="Times New Roman"/>
          <w:spacing w:val="-1"/>
          <w:szCs w:val="24"/>
        </w:rPr>
        <w:t>farmers</w:t>
      </w:r>
      <w:r w:rsidRPr="00117449">
        <w:rPr>
          <w:rFonts w:cs="Times New Roman"/>
          <w:szCs w:val="24"/>
        </w:rPr>
        <w:t xml:space="preserve"> </w:t>
      </w:r>
      <w:r w:rsidRPr="00117449">
        <w:rPr>
          <w:rFonts w:cs="Times New Roman"/>
          <w:spacing w:val="-1"/>
          <w:szCs w:val="24"/>
        </w:rPr>
        <w:t>with</w:t>
      </w:r>
      <w:r w:rsidRPr="00117449">
        <w:rPr>
          <w:rFonts w:cs="Times New Roman"/>
          <w:spacing w:val="-3"/>
          <w:szCs w:val="24"/>
        </w:rPr>
        <w:t xml:space="preserve"> </w:t>
      </w:r>
      <w:r w:rsidRPr="00117449">
        <w:rPr>
          <w:rFonts w:cs="Times New Roman"/>
          <w:szCs w:val="24"/>
        </w:rPr>
        <w:t xml:space="preserve">a </w:t>
      </w:r>
      <w:r w:rsidRPr="00117449">
        <w:rPr>
          <w:rFonts w:cs="Times New Roman"/>
          <w:spacing w:val="-1"/>
          <w:szCs w:val="24"/>
        </w:rPr>
        <w:t>broader</w:t>
      </w:r>
      <w:r w:rsidRPr="00117449">
        <w:rPr>
          <w:rFonts w:cs="Times New Roman"/>
          <w:spacing w:val="1"/>
          <w:szCs w:val="24"/>
        </w:rPr>
        <w:t xml:space="preserve"> </w:t>
      </w:r>
      <w:r w:rsidRPr="00117449">
        <w:rPr>
          <w:rFonts w:cs="Times New Roman"/>
          <w:spacing w:val="-1"/>
          <w:szCs w:val="24"/>
        </w:rPr>
        <w:t>range</w:t>
      </w:r>
      <w:r w:rsidRPr="00117449">
        <w:rPr>
          <w:rFonts w:cs="Times New Roman"/>
          <w:szCs w:val="24"/>
        </w:rPr>
        <w:t xml:space="preserve"> of</w:t>
      </w:r>
      <w:r w:rsidRPr="00117449">
        <w:rPr>
          <w:rFonts w:cs="Times New Roman"/>
          <w:spacing w:val="1"/>
          <w:szCs w:val="24"/>
        </w:rPr>
        <w:t xml:space="preserve"> </w:t>
      </w:r>
      <w:r w:rsidRPr="00117449">
        <w:rPr>
          <w:rFonts w:cs="Times New Roman"/>
          <w:spacing w:val="-1"/>
          <w:szCs w:val="24"/>
        </w:rPr>
        <w:t>options</w:t>
      </w:r>
      <w:r w:rsidRPr="00117449">
        <w:rPr>
          <w:rFonts w:cs="Times New Roman"/>
          <w:spacing w:val="-2"/>
          <w:szCs w:val="24"/>
        </w:rPr>
        <w:t xml:space="preserve"> </w:t>
      </w:r>
      <w:r w:rsidRPr="00117449">
        <w:rPr>
          <w:rFonts w:cs="Times New Roman"/>
          <w:szCs w:val="24"/>
        </w:rPr>
        <w:t xml:space="preserve">to </w:t>
      </w:r>
      <w:r w:rsidRPr="00117449">
        <w:rPr>
          <w:rFonts w:cs="Times New Roman"/>
          <w:spacing w:val="-1"/>
          <w:szCs w:val="24"/>
        </w:rPr>
        <w:t>address</w:t>
      </w:r>
      <w:r w:rsidRPr="00117449">
        <w:rPr>
          <w:rFonts w:cs="Times New Roman"/>
          <w:spacing w:val="-2"/>
          <w:szCs w:val="24"/>
        </w:rPr>
        <w:t xml:space="preserve"> </w:t>
      </w:r>
      <w:r w:rsidRPr="00117449">
        <w:rPr>
          <w:rFonts w:cs="Times New Roman"/>
          <w:spacing w:val="-1"/>
          <w:szCs w:val="24"/>
        </w:rPr>
        <w:t>future</w:t>
      </w:r>
      <w:r w:rsidRPr="00117449">
        <w:rPr>
          <w:rFonts w:cs="Times New Roman"/>
          <w:spacing w:val="-2"/>
          <w:szCs w:val="24"/>
        </w:rPr>
        <w:t xml:space="preserve"> </w:t>
      </w:r>
      <w:r w:rsidRPr="00117449">
        <w:rPr>
          <w:rFonts w:cs="Times New Roman"/>
          <w:spacing w:val="-1"/>
          <w:szCs w:val="24"/>
        </w:rPr>
        <w:t>change.</w:t>
      </w:r>
      <w:r w:rsidRPr="00117449">
        <w:rPr>
          <w:rFonts w:cs="Times New Roman"/>
          <w:szCs w:val="24"/>
        </w:rPr>
        <w:t xml:space="preserve"> </w:t>
      </w:r>
      <w:r w:rsidRPr="00117449">
        <w:rPr>
          <w:rFonts w:cs="Times New Roman"/>
          <w:spacing w:val="-1"/>
          <w:szCs w:val="24"/>
        </w:rPr>
        <w:t>Given</w:t>
      </w:r>
      <w:r w:rsidRPr="00117449">
        <w:rPr>
          <w:rFonts w:cs="Times New Roman"/>
          <w:szCs w:val="24"/>
        </w:rPr>
        <w:t xml:space="preserve"> </w:t>
      </w:r>
      <w:r w:rsidRPr="00117449">
        <w:rPr>
          <w:rFonts w:cs="Times New Roman"/>
          <w:spacing w:val="-2"/>
          <w:szCs w:val="24"/>
        </w:rPr>
        <w:t>the</w:t>
      </w:r>
      <w:r w:rsidRPr="00117449">
        <w:rPr>
          <w:rFonts w:cs="Times New Roman"/>
          <w:szCs w:val="24"/>
        </w:rPr>
        <w:t xml:space="preserve"> </w:t>
      </w:r>
      <w:r w:rsidRPr="00117449">
        <w:rPr>
          <w:rFonts w:cs="Times New Roman"/>
          <w:spacing w:val="-1"/>
          <w:szCs w:val="24"/>
        </w:rPr>
        <w:t>potential</w:t>
      </w:r>
      <w:r w:rsidRPr="00117449">
        <w:rPr>
          <w:rFonts w:cs="Times New Roman"/>
          <w:spacing w:val="1"/>
          <w:szCs w:val="24"/>
        </w:rPr>
        <w:t xml:space="preserve"> </w:t>
      </w:r>
      <w:r w:rsidRPr="00117449">
        <w:rPr>
          <w:rFonts w:cs="Times New Roman"/>
          <w:spacing w:val="-1"/>
          <w:szCs w:val="24"/>
        </w:rPr>
        <w:t>benefits,</w:t>
      </w:r>
      <w:r w:rsidRPr="00117449">
        <w:rPr>
          <w:rFonts w:cs="Times New Roman"/>
          <w:spacing w:val="73"/>
          <w:szCs w:val="24"/>
        </w:rPr>
        <w:t xml:space="preserve"> </w:t>
      </w:r>
      <w:r w:rsidRPr="00117449">
        <w:rPr>
          <w:rFonts w:cs="Times New Roman"/>
          <w:spacing w:val="-1"/>
          <w:szCs w:val="24"/>
        </w:rPr>
        <w:t>diversification</w:t>
      </w:r>
      <w:r w:rsidRPr="00117449">
        <w:rPr>
          <w:rFonts w:cs="Times New Roman"/>
          <w:szCs w:val="24"/>
        </w:rPr>
        <w:t xml:space="preserve"> is</w:t>
      </w:r>
      <w:r w:rsidRPr="00117449">
        <w:rPr>
          <w:rFonts w:cs="Times New Roman"/>
          <w:spacing w:val="-2"/>
          <w:szCs w:val="24"/>
        </w:rPr>
        <w:t xml:space="preserve"> </w:t>
      </w:r>
      <w:r w:rsidRPr="00117449">
        <w:rPr>
          <w:rFonts w:cs="Times New Roman"/>
          <w:spacing w:val="-1"/>
          <w:szCs w:val="24"/>
        </w:rPr>
        <w:t>major</w:t>
      </w:r>
      <w:r w:rsidRPr="00117449">
        <w:rPr>
          <w:rFonts w:cs="Times New Roman"/>
          <w:szCs w:val="24"/>
        </w:rPr>
        <w:t xml:space="preserve"> </w:t>
      </w:r>
      <w:r w:rsidRPr="00117449">
        <w:rPr>
          <w:rFonts w:cs="Times New Roman"/>
          <w:spacing w:val="-1"/>
          <w:szCs w:val="24"/>
        </w:rPr>
        <w:t>risk</w:t>
      </w:r>
      <w:r w:rsidRPr="00117449">
        <w:rPr>
          <w:rFonts w:cs="Times New Roman"/>
          <w:spacing w:val="-3"/>
          <w:szCs w:val="24"/>
        </w:rPr>
        <w:t xml:space="preserve"> </w:t>
      </w:r>
      <w:r w:rsidRPr="00117449">
        <w:rPr>
          <w:rFonts w:cs="Times New Roman"/>
          <w:spacing w:val="-1"/>
          <w:szCs w:val="24"/>
        </w:rPr>
        <w:t>management</w:t>
      </w:r>
      <w:r w:rsidRPr="00117449">
        <w:rPr>
          <w:rFonts w:cs="Times New Roman"/>
          <w:spacing w:val="1"/>
          <w:szCs w:val="24"/>
        </w:rPr>
        <w:t xml:space="preserve"> </w:t>
      </w:r>
      <w:r w:rsidRPr="00117449">
        <w:rPr>
          <w:rFonts w:cs="Times New Roman"/>
          <w:spacing w:val="-1"/>
          <w:szCs w:val="24"/>
        </w:rPr>
        <w:t>strategy</w:t>
      </w:r>
    </w:p>
    <w:p w:rsidR="006E3B8A" w:rsidRPr="00117449" w:rsidRDefault="006E3B8A" w:rsidP="00912C7F">
      <w:pPr>
        <w:spacing w:line="276" w:lineRule="auto"/>
        <w:jc w:val="both"/>
        <w:rPr>
          <w:rFonts w:cs="Times New Roman"/>
          <w:spacing w:val="-1"/>
          <w:szCs w:val="24"/>
        </w:rPr>
      </w:pPr>
      <w:r w:rsidRPr="00CA7297">
        <w:rPr>
          <w:rFonts w:cs="Times New Roman"/>
          <w:b/>
          <w:spacing w:val="-1"/>
          <w:szCs w:val="24"/>
        </w:rPr>
        <w:t xml:space="preserve">5.  </w:t>
      </w:r>
      <w:r w:rsidRPr="00CA7297">
        <w:rPr>
          <w:rFonts w:cs="Times New Roman"/>
          <w:b/>
          <w:szCs w:val="24"/>
        </w:rPr>
        <w:t>Afforestation</w:t>
      </w:r>
      <w:r w:rsidRPr="00117449">
        <w:rPr>
          <w:rFonts w:cs="Times New Roman"/>
          <w:b/>
          <w:szCs w:val="24"/>
        </w:rPr>
        <w:t xml:space="preserve"> and Reforestation: </w:t>
      </w:r>
      <w:r w:rsidRPr="00117449">
        <w:rPr>
          <w:rFonts w:cs="Times New Roman"/>
          <w:szCs w:val="24"/>
        </w:rPr>
        <w:t xml:space="preserve">The afforestation and reforestation of degraded land contributes to food security by providing fruits and other edible products; energy security by providing fuel wood; livelihood security by employing people in forest plantations; harvesting and trade in forest products; and can protect land from soil erosion and landsides, particularly in hilly areas. Much of Government owned reserve forest land is largely without trees. Following actions are necessary: </w:t>
      </w:r>
      <w:r w:rsidRPr="00117449">
        <w:rPr>
          <w:rFonts w:cs="Times New Roman"/>
          <w:spacing w:val="-1"/>
          <w:szCs w:val="24"/>
        </w:rPr>
        <w:t xml:space="preserve">(a) </w:t>
      </w:r>
      <w:r w:rsidRPr="00117449">
        <w:rPr>
          <w:rFonts w:cs="Times New Roman"/>
          <w:szCs w:val="24"/>
        </w:rPr>
        <w:t>Provide support to existing and new coastal afforestation programmes taking into account the future rise in salinity levels due to sea level rise. (b) Develop a wetland afforestation programme to protect settlements against wave erosion. (c) Study the scope for carbon credits under REDD and invest in reforestation of degraded forests.</w:t>
      </w:r>
      <w:r w:rsidRPr="00117449">
        <w:rPr>
          <w:rFonts w:cs="Times New Roman"/>
          <w:spacing w:val="-1"/>
          <w:szCs w:val="24"/>
        </w:rPr>
        <w:t xml:space="preserve"> (d) </w:t>
      </w:r>
      <w:r w:rsidRPr="00117449">
        <w:rPr>
          <w:rFonts w:cs="Times New Roman"/>
          <w:szCs w:val="24"/>
        </w:rPr>
        <w:t xml:space="preserve">Provide support to </w:t>
      </w:r>
      <w:r w:rsidRPr="00117449">
        <w:rPr>
          <w:rFonts w:cs="Times New Roman"/>
          <w:szCs w:val="24"/>
        </w:rPr>
        <w:lastRenderedPageBreak/>
        <w:t xml:space="preserve">existing and new homestead and </w:t>
      </w:r>
      <w:r w:rsidR="0084483F">
        <w:rPr>
          <w:rFonts w:cs="Times New Roman"/>
          <w:szCs w:val="24"/>
        </w:rPr>
        <w:t>social forestry programmes. (e</w:t>
      </w:r>
      <w:r w:rsidRPr="00117449">
        <w:rPr>
          <w:rFonts w:cs="Times New Roman"/>
          <w:szCs w:val="24"/>
        </w:rPr>
        <w:t>)</w:t>
      </w:r>
      <w:r w:rsidRPr="00117449">
        <w:rPr>
          <w:rFonts w:cs="Times New Roman"/>
          <w:spacing w:val="-1"/>
          <w:szCs w:val="24"/>
        </w:rPr>
        <w:t xml:space="preserve"> </w:t>
      </w:r>
      <w:r w:rsidRPr="00117449">
        <w:rPr>
          <w:rFonts w:cs="Times New Roman"/>
          <w:szCs w:val="24"/>
        </w:rPr>
        <w:t>Research the suitability of various tree species for their carbon-locking properties for designing various forestry programmes.</w:t>
      </w:r>
    </w:p>
    <w:p w:rsidR="006E3B8A" w:rsidRPr="00117449" w:rsidRDefault="0084483F" w:rsidP="00912C7F">
      <w:pPr>
        <w:spacing w:line="276" w:lineRule="auto"/>
        <w:jc w:val="both"/>
        <w:rPr>
          <w:rFonts w:cs="Times New Roman"/>
          <w:i/>
          <w:szCs w:val="24"/>
        </w:rPr>
      </w:pPr>
      <w:r>
        <w:rPr>
          <w:rFonts w:cs="Times New Roman"/>
          <w:b/>
          <w:i/>
          <w:szCs w:val="24"/>
        </w:rPr>
        <w:t>Policy Priorities</w:t>
      </w:r>
      <w:r w:rsidR="006E3B8A" w:rsidRPr="00117449">
        <w:rPr>
          <w:rFonts w:cs="Times New Roman"/>
          <w:b/>
          <w:i/>
          <w:szCs w:val="24"/>
        </w:rPr>
        <w:t xml:space="preserve">: </w:t>
      </w:r>
      <w:r w:rsidR="006E3B8A" w:rsidRPr="00117449">
        <w:rPr>
          <w:rFonts w:cs="Times New Roman"/>
          <w:i/>
          <w:szCs w:val="24"/>
        </w:rPr>
        <w:t xml:space="preserve"> </w:t>
      </w:r>
      <w:r w:rsidR="006E3B8A" w:rsidRPr="00117449">
        <w:rPr>
          <w:rFonts w:cs="Times New Roman"/>
          <w:szCs w:val="24"/>
        </w:rPr>
        <w:t xml:space="preserve">In the crop sector, the policy priority is to strengthen local adaptive capacity by providing </w:t>
      </w:r>
      <w:r w:rsidR="00B57B81">
        <w:rPr>
          <w:rFonts w:cs="Times New Roman"/>
          <w:szCs w:val="24"/>
        </w:rPr>
        <w:t>canals</w:t>
      </w:r>
      <w:r w:rsidR="006E3B8A" w:rsidRPr="00117449">
        <w:rPr>
          <w:rFonts w:cs="Times New Roman"/>
          <w:szCs w:val="24"/>
        </w:rPr>
        <w:t xml:space="preserve"> goods and services, such as better climate information, research and development on heat- resistant crop varieties and other techniques, early warning systems, and efficient irrigation systems; and explore innovative risk-sharing instruments such as index-based insurance schemes.</w:t>
      </w:r>
      <w:r w:rsidR="006E3B8A" w:rsidRPr="00117449">
        <w:rPr>
          <w:rFonts w:cs="Times New Roman"/>
          <w:i/>
          <w:szCs w:val="24"/>
        </w:rPr>
        <w:t xml:space="preserve"> </w:t>
      </w:r>
      <w:r w:rsidR="006E3B8A" w:rsidRPr="00117449">
        <w:rPr>
          <w:rFonts w:cs="Times New Roman"/>
          <w:szCs w:val="24"/>
        </w:rPr>
        <w:t xml:space="preserve">In the forestry sector, the policy priority is to implement aggressive </w:t>
      </w:r>
      <w:r w:rsidR="00B57B81">
        <w:rPr>
          <w:rFonts w:cs="Times New Roman"/>
          <w:szCs w:val="24"/>
        </w:rPr>
        <w:t>canals</w:t>
      </w:r>
      <w:r w:rsidR="006E3B8A" w:rsidRPr="00117449">
        <w:rPr>
          <w:rFonts w:cs="Times New Roman"/>
          <w:szCs w:val="24"/>
        </w:rPr>
        <w:t>-private partnerships for reforestation and afforestation.</w:t>
      </w:r>
      <w:r w:rsidR="006E3B8A" w:rsidRPr="00117449">
        <w:rPr>
          <w:rFonts w:cs="Times New Roman"/>
          <w:i/>
          <w:szCs w:val="24"/>
        </w:rPr>
        <w:t xml:space="preserve"> </w:t>
      </w:r>
      <w:r w:rsidR="006E3B8A" w:rsidRPr="00117449">
        <w:rPr>
          <w:rFonts w:cs="Times New Roman"/>
          <w:szCs w:val="24"/>
        </w:rPr>
        <w:t>In the fisheries sector the main policy priority is to ensure sustainable fishing while paying attention to avoiding soil degradation (salinity) and preserving bio-diversity. In the coastal and marine resources sector, the policy priority is to implement integrated coastal zone management plans, including mangrove conservation and plantation.</w:t>
      </w:r>
      <w:r w:rsidR="006E3B8A" w:rsidRPr="00117449">
        <w:rPr>
          <w:rFonts w:cs="Times New Roman"/>
          <w:i/>
          <w:szCs w:val="24"/>
        </w:rPr>
        <w:t xml:space="preserve"> </w:t>
      </w:r>
    </w:p>
    <w:p w:rsidR="00DF35CA" w:rsidRPr="00142A94" w:rsidRDefault="0084483F" w:rsidP="00142A94">
      <w:pPr>
        <w:spacing w:line="276" w:lineRule="auto"/>
        <w:jc w:val="both"/>
        <w:rPr>
          <w:rFonts w:cs="Times New Roman"/>
          <w:i/>
          <w:szCs w:val="24"/>
        </w:rPr>
      </w:pPr>
      <w:r>
        <w:rPr>
          <w:rFonts w:cs="Times New Roman"/>
          <w:b/>
          <w:i/>
          <w:szCs w:val="24"/>
        </w:rPr>
        <w:t>Livelihood Strategies for the Extreme P</w:t>
      </w:r>
      <w:r w:rsidR="006E3B8A" w:rsidRPr="00117449">
        <w:rPr>
          <w:rFonts w:cs="Times New Roman"/>
          <w:b/>
          <w:i/>
          <w:szCs w:val="24"/>
        </w:rPr>
        <w:t>oor</w:t>
      </w:r>
      <w:r w:rsidR="006E3B8A" w:rsidRPr="00117449">
        <w:rPr>
          <w:rFonts w:cs="Times New Roman"/>
          <w:szCs w:val="24"/>
        </w:rPr>
        <w:t>:  Strategies will be needed to help people in ecologically fragile regions to become climate resilient and ensure their economic and social well-being. Affected regions are likely to include the coastal zone, river chars, hilly areas (e.g., the Hill Tracts) and inland wetland areas. The government needs to adopt a comprehensive and participatory planning and investment for climate resilience against erosion in income, employment and human health in coastal, char, hilly and wetland regions.</w:t>
      </w:r>
      <w:r w:rsidR="006E3B8A" w:rsidRPr="00117449">
        <w:rPr>
          <w:rFonts w:cs="Times New Roman"/>
          <w:i/>
          <w:szCs w:val="24"/>
        </w:rPr>
        <w:t xml:space="preserve"> </w:t>
      </w:r>
      <w:r w:rsidR="00EB2DC9" w:rsidRPr="00117449">
        <w:rPr>
          <w:rFonts w:cs="Times New Roman"/>
          <w:szCs w:val="24"/>
        </w:rPr>
        <w:t>Fishing families, who will be affected by changes in freshwater and marine ecosystems; poor farmers, who will be at greater risk from crop failure</w:t>
      </w:r>
      <w:r w:rsidR="00EB2DC9">
        <w:rPr>
          <w:rFonts w:cs="Times New Roman"/>
          <w:szCs w:val="24"/>
        </w:rPr>
        <w:t xml:space="preserve">, </w:t>
      </w:r>
      <w:r w:rsidR="00EB2DC9" w:rsidRPr="00117449">
        <w:rPr>
          <w:rFonts w:cs="Times New Roman"/>
          <w:szCs w:val="24"/>
        </w:rPr>
        <w:t>will need special attention to protect them from income losses du</w:t>
      </w:r>
      <w:r w:rsidR="00EB2DC9">
        <w:rPr>
          <w:rFonts w:cs="Times New Roman"/>
          <w:szCs w:val="24"/>
        </w:rPr>
        <w:t>e to climate change</w:t>
      </w:r>
      <w:r w:rsidR="00EB2DC9" w:rsidRPr="00117449">
        <w:rPr>
          <w:rFonts w:cs="Times New Roman"/>
          <w:szCs w:val="24"/>
        </w:rPr>
        <w:t xml:space="preserve">. </w:t>
      </w:r>
      <w:r w:rsidR="006E3B8A" w:rsidRPr="00117449">
        <w:rPr>
          <w:rFonts w:cs="Times New Roman"/>
          <w:szCs w:val="24"/>
        </w:rPr>
        <w:t>Therefore, a comprehensive and participatory planning and investment to protect the livelihoods (income, employment, health) of groups who will be especially severely impacted by climate change (e.g., marginal and small farmers, fishermen particularly those fishing in estuaries and the seas) is necessary.</w:t>
      </w:r>
    </w:p>
    <w:p w:rsidR="00000000" w:rsidRDefault="006E3B8A" w:rsidP="003D5A31">
      <w:pPr>
        <w:pStyle w:val="ListParagraph"/>
        <w:numPr>
          <w:ilvl w:val="0"/>
          <w:numId w:val="132"/>
        </w:numPr>
        <w:spacing w:line="276" w:lineRule="auto"/>
        <w:jc w:val="both"/>
        <w:rPr>
          <w:rFonts w:cs="Times New Roman"/>
          <w:b/>
          <w:color w:val="000000" w:themeColor="text1"/>
          <w:szCs w:val="24"/>
        </w:rPr>
      </w:pPr>
      <w:r w:rsidRPr="00117449">
        <w:rPr>
          <w:rFonts w:cs="Times New Roman"/>
          <w:b/>
          <w:color w:val="000000" w:themeColor="text1"/>
          <w:szCs w:val="24"/>
        </w:rPr>
        <w:t>Land Management</w:t>
      </w:r>
    </w:p>
    <w:p w:rsidR="006E3B8A" w:rsidRPr="00117449" w:rsidRDefault="006E3B8A" w:rsidP="00912C7F">
      <w:pPr>
        <w:spacing w:line="276" w:lineRule="auto"/>
        <w:jc w:val="both"/>
        <w:rPr>
          <w:rFonts w:cs="Times New Roman"/>
          <w:szCs w:val="24"/>
        </w:rPr>
      </w:pPr>
      <w:r w:rsidRPr="00117449">
        <w:rPr>
          <w:rFonts w:eastAsia="Calibri" w:cs="Times New Roman"/>
          <w:szCs w:val="24"/>
        </w:rPr>
        <w:t xml:space="preserve">Land resource management is integrally linked to water resource management. </w:t>
      </w:r>
      <w:r w:rsidRPr="00117449">
        <w:rPr>
          <w:rFonts w:cs="Times New Roman"/>
          <w:color w:val="000000" w:themeColor="text1"/>
          <w:szCs w:val="24"/>
        </w:rPr>
        <w:t xml:space="preserve">Given the location and topography of Bangladesh, its land resources management are constrained by floods, drainage congestion and water logging, drought, coastal/tidal surge, soil salinity, river bank erosion, land degradation, soil erosion, soil fertility depletion, decrease of land productivity, siltation on river beds and </w:t>
      </w:r>
      <w:r w:rsidR="00F82BA1">
        <w:rPr>
          <w:rFonts w:cs="Times New Roman"/>
          <w:color w:val="000000" w:themeColor="text1"/>
          <w:szCs w:val="24"/>
        </w:rPr>
        <w:t>canals</w:t>
      </w:r>
      <w:r w:rsidRPr="00117449">
        <w:rPr>
          <w:rFonts w:cs="Times New Roman"/>
          <w:color w:val="000000" w:themeColor="text1"/>
          <w:szCs w:val="24"/>
        </w:rPr>
        <w:t>, rise of sea water due to climate change, increase of population, urban and rural settlements, decrease of crop land creating different challenges</w:t>
      </w:r>
      <w:r w:rsidRPr="00117449">
        <w:rPr>
          <w:rFonts w:eastAsia="Calibri" w:cs="Times New Roman"/>
          <w:szCs w:val="24"/>
        </w:rPr>
        <w:t xml:space="preserve">. </w:t>
      </w:r>
      <w:r w:rsidRPr="00117449">
        <w:rPr>
          <w:rFonts w:cs="Times New Roman"/>
          <w:szCs w:val="24"/>
        </w:rPr>
        <w:t xml:space="preserve">With population growth and declining per capita availability of land Bangladesh also faces land degradation. Deforestation, cultivation on steep slopes, shifting cultivation, over-exploitation of ground water, unbalanced use of fertilizers, improper crop rotations, is responsible for land degradation induced by humans. Lands are also degraded by soil erosion, soil erosion both in floodplains and in hilly areas, salinization, acidification, fertility depletion, water –logging/ </w:t>
      </w:r>
      <w:r w:rsidRPr="00117449">
        <w:rPr>
          <w:rFonts w:cs="Times New Roman"/>
          <w:szCs w:val="24"/>
        </w:rPr>
        <w:lastRenderedPageBreak/>
        <w:t xml:space="preserve">drainage congestion, heavy metal pollution, industrial effluents from urban and industrial growth.  Excessive erosion causes desertification, decreases in agricultural productivity due to land degradation, sedimentation of waterways, and ecological collapse due to loss of the nutrient-rich upper layers. Water and wind erosion causes 84% of land degradation. So another challenge will be preventing soil degradation and also restoring soil health. </w:t>
      </w:r>
    </w:p>
    <w:p w:rsidR="006E3B8A" w:rsidRPr="00117449" w:rsidRDefault="006E3B8A" w:rsidP="00912C7F">
      <w:pPr>
        <w:spacing w:line="276" w:lineRule="auto"/>
        <w:jc w:val="both"/>
        <w:rPr>
          <w:rFonts w:cs="Times New Roman"/>
          <w:szCs w:val="24"/>
        </w:rPr>
      </w:pPr>
      <w:r w:rsidRPr="00117449">
        <w:rPr>
          <w:rFonts w:eastAsia="Calibri" w:cs="Times New Roman"/>
          <w:szCs w:val="24"/>
        </w:rPr>
        <w:t xml:space="preserve">So, all strategies and actions will have to be planned and designed in ways that </w:t>
      </w:r>
      <w:r w:rsidRPr="00117449">
        <w:rPr>
          <w:rFonts w:cs="Times New Roman"/>
          <w:iCs/>
          <w:szCs w:val="24"/>
        </w:rPr>
        <w:t xml:space="preserve">ensures </w:t>
      </w:r>
      <w:r w:rsidRPr="00117449">
        <w:rPr>
          <w:rFonts w:eastAsia="Calibri" w:cs="Times New Roman"/>
          <w:szCs w:val="24"/>
        </w:rPr>
        <w:t xml:space="preserve">efficient integration and proper interaction between land and water use aspects. </w:t>
      </w:r>
      <w:r w:rsidRPr="00117449">
        <w:rPr>
          <w:rFonts w:cs="Times New Roman"/>
          <w:szCs w:val="24"/>
        </w:rPr>
        <w:t xml:space="preserve">All these phenomenon mean the that availability of land for crop agriculture will continue to decline calling for policies, reforms, and technological innovations for not only raising productivity and reducing soil degradation, but also diversifying the crops to better respond to food security needs. Land resource management will therefore require innovations and adaptations that will support both food security as well as land for urban, non-farm activities, industry, and infrastructure needs, and will be interlinked with all aspects of water resource management within each of what has broadly been identified as the six hotspots under the BDP2100. </w:t>
      </w:r>
    </w:p>
    <w:p w:rsidR="006E3B8A" w:rsidRPr="00117449" w:rsidRDefault="006E3B8A" w:rsidP="00912C7F">
      <w:pPr>
        <w:spacing w:line="276" w:lineRule="auto"/>
        <w:ind w:right="43"/>
        <w:jc w:val="both"/>
        <w:rPr>
          <w:rFonts w:eastAsia="Arial" w:cs="Times New Roman"/>
          <w:spacing w:val="-1"/>
          <w:szCs w:val="24"/>
        </w:rPr>
      </w:pPr>
      <w:r w:rsidRPr="00117449">
        <w:rPr>
          <w:rFonts w:cs="Times New Roman"/>
          <w:bCs/>
          <w:szCs w:val="24"/>
        </w:rPr>
        <w:t xml:space="preserve">Bangladesh has undertaken different land related reforms that have been supported by Laws and regulations.  All the desired goals however could not be achieved because the vested interest have always been able to exploit legislative and regulatory loopholes and institutional under capacity.  </w:t>
      </w:r>
      <w:r w:rsidRPr="00117449">
        <w:rPr>
          <w:rFonts w:eastAsia="Arial" w:cs="Times New Roman"/>
          <w:w w:val="101"/>
          <w:szCs w:val="24"/>
        </w:rPr>
        <w:t>On the institutional front efforts were made to bring in change like in synchronizing the</w:t>
      </w:r>
      <w:r w:rsidRPr="00117449">
        <w:rPr>
          <w:rFonts w:eastAsia="Arial" w:cs="Times New Roman"/>
          <w:spacing w:val="3"/>
          <w:szCs w:val="24"/>
        </w:rPr>
        <w:t xml:space="preserve"> </w:t>
      </w:r>
      <w:r w:rsidRPr="00117449">
        <w:rPr>
          <w:rFonts w:eastAsia="Arial" w:cs="Times New Roman"/>
          <w:szCs w:val="24"/>
        </w:rPr>
        <w:t>fu</w:t>
      </w:r>
      <w:r w:rsidRPr="00117449">
        <w:rPr>
          <w:rFonts w:eastAsia="Arial" w:cs="Times New Roman"/>
          <w:spacing w:val="-1"/>
          <w:szCs w:val="24"/>
        </w:rPr>
        <w:t>nc</w:t>
      </w:r>
      <w:r w:rsidRPr="00117449">
        <w:rPr>
          <w:rFonts w:eastAsia="Arial" w:cs="Times New Roman"/>
          <w:szCs w:val="24"/>
        </w:rPr>
        <w:t>t</w:t>
      </w:r>
      <w:r w:rsidRPr="00117449">
        <w:rPr>
          <w:rFonts w:eastAsia="Arial" w:cs="Times New Roman"/>
          <w:spacing w:val="-1"/>
          <w:szCs w:val="24"/>
        </w:rPr>
        <w:t>i</w:t>
      </w:r>
      <w:r w:rsidRPr="00117449">
        <w:rPr>
          <w:rFonts w:eastAsia="Arial" w:cs="Times New Roman"/>
          <w:szCs w:val="24"/>
        </w:rPr>
        <w:t>ons</w:t>
      </w:r>
      <w:r w:rsidRPr="00117449">
        <w:rPr>
          <w:rFonts w:eastAsia="Arial" w:cs="Times New Roman"/>
          <w:spacing w:val="6"/>
          <w:szCs w:val="24"/>
        </w:rPr>
        <w:t xml:space="preserve"> </w:t>
      </w:r>
      <w:r w:rsidRPr="00117449">
        <w:rPr>
          <w:rFonts w:eastAsia="Arial" w:cs="Times New Roman"/>
          <w:szCs w:val="24"/>
        </w:rPr>
        <w:t>of Land</w:t>
      </w:r>
      <w:r w:rsidRPr="00117449">
        <w:rPr>
          <w:rFonts w:eastAsia="Arial" w:cs="Times New Roman"/>
          <w:spacing w:val="2"/>
          <w:szCs w:val="24"/>
        </w:rPr>
        <w:t xml:space="preserve"> </w:t>
      </w:r>
      <w:r w:rsidRPr="00117449">
        <w:rPr>
          <w:rFonts w:eastAsia="Arial" w:cs="Times New Roman"/>
          <w:w w:val="101"/>
          <w:szCs w:val="24"/>
        </w:rPr>
        <w:t>Regi</w:t>
      </w:r>
      <w:r w:rsidRPr="00117449">
        <w:rPr>
          <w:rFonts w:eastAsia="Arial" w:cs="Times New Roman"/>
          <w:spacing w:val="-1"/>
          <w:w w:val="101"/>
          <w:szCs w:val="24"/>
        </w:rPr>
        <w:t>s</w:t>
      </w:r>
      <w:r w:rsidRPr="00117449">
        <w:rPr>
          <w:rFonts w:eastAsia="Arial" w:cs="Times New Roman"/>
          <w:w w:val="102"/>
          <w:szCs w:val="24"/>
        </w:rPr>
        <w:t>t</w:t>
      </w:r>
      <w:r w:rsidRPr="00117449">
        <w:rPr>
          <w:rFonts w:eastAsia="Arial" w:cs="Times New Roman"/>
          <w:w w:val="101"/>
          <w:szCs w:val="24"/>
        </w:rPr>
        <w:t>r</w:t>
      </w:r>
      <w:r w:rsidRPr="00117449">
        <w:rPr>
          <w:rFonts w:eastAsia="Arial" w:cs="Times New Roman"/>
          <w:spacing w:val="-1"/>
          <w:w w:val="101"/>
          <w:szCs w:val="24"/>
        </w:rPr>
        <w:t>a</w:t>
      </w:r>
      <w:r w:rsidRPr="00117449">
        <w:rPr>
          <w:rFonts w:eastAsia="Arial" w:cs="Times New Roman"/>
          <w:w w:val="101"/>
          <w:szCs w:val="24"/>
        </w:rPr>
        <w:t>t</w:t>
      </w:r>
      <w:r w:rsidRPr="00117449">
        <w:rPr>
          <w:rFonts w:eastAsia="Arial" w:cs="Times New Roman"/>
          <w:spacing w:val="-1"/>
          <w:w w:val="101"/>
          <w:szCs w:val="24"/>
        </w:rPr>
        <w:t>i</w:t>
      </w:r>
      <w:r w:rsidRPr="00117449">
        <w:rPr>
          <w:rFonts w:eastAsia="Arial" w:cs="Times New Roman"/>
          <w:w w:val="101"/>
          <w:szCs w:val="24"/>
        </w:rPr>
        <w:t xml:space="preserve">on </w:t>
      </w:r>
      <w:r w:rsidRPr="00117449">
        <w:rPr>
          <w:rFonts w:eastAsia="Arial" w:cs="Times New Roman"/>
          <w:szCs w:val="24"/>
        </w:rPr>
        <w:t>(</w:t>
      </w:r>
      <w:r w:rsidRPr="00117449">
        <w:rPr>
          <w:rFonts w:eastAsia="Arial" w:cs="Times New Roman"/>
          <w:spacing w:val="-1"/>
          <w:szCs w:val="24"/>
        </w:rPr>
        <w:t>su</w:t>
      </w:r>
      <w:r w:rsidRPr="00117449">
        <w:rPr>
          <w:rFonts w:eastAsia="Arial" w:cs="Times New Roman"/>
          <w:szCs w:val="24"/>
        </w:rPr>
        <w:t>b-r</w:t>
      </w:r>
      <w:r w:rsidRPr="00117449">
        <w:rPr>
          <w:rFonts w:eastAsia="Arial" w:cs="Times New Roman"/>
          <w:spacing w:val="-1"/>
          <w:szCs w:val="24"/>
        </w:rPr>
        <w:t>e</w:t>
      </w:r>
      <w:r w:rsidRPr="00117449">
        <w:rPr>
          <w:rFonts w:eastAsia="Arial" w:cs="Times New Roman"/>
          <w:szCs w:val="24"/>
        </w:rPr>
        <w:t>gi</w:t>
      </w:r>
      <w:r w:rsidRPr="00117449">
        <w:rPr>
          <w:rFonts w:eastAsia="Arial" w:cs="Times New Roman"/>
          <w:spacing w:val="-1"/>
          <w:szCs w:val="24"/>
        </w:rPr>
        <w:t>s</w:t>
      </w:r>
      <w:r w:rsidRPr="00117449">
        <w:rPr>
          <w:rFonts w:eastAsia="Arial" w:cs="Times New Roman"/>
          <w:szCs w:val="24"/>
        </w:rPr>
        <w:t>t</w:t>
      </w:r>
      <w:r w:rsidRPr="00117449">
        <w:rPr>
          <w:rFonts w:eastAsia="Arial" w:cs="Times New Roman"/>
          <w:spacing w:val="2"/>
          <w:szCs w:val="24"/>
        </w:rPr>
        <w:t>r</w:t>
      </w:r>
      <w:r w:rsidRPr="00117449">
        <w:rPr>
          <w:rFonts w:eastAsia="Arial" w:cs="Times New Roman"/>
          <w:spacing w:val="-1"/>
          <w:szCs w:val="24"/>
        </w:rPr>
        <w:t>a</w:t>
      </w:r>
      <w:r w:rsidRPr="00117449">
        <w:rPr>
          <w:rFonts w:eastAsia="Arial" w:cs="Times New Roman"/>
          <w:szCs w:val="24"/>
        </w:rPr>
        <w:t>r)</w:t>
      </w:r>
      <w:r w:rsidRPr="00117449">
        <w:rPr>
          <w:rFonts w:eastAsia="Arial" w:cs="Times New Roman"/>
          <w:spacing w:val="21"/>
          <w:szCs w:val="24"/>
        </w:rPr>
        <w:t xml:space="preserve"> </w:t>
      </w:r>
      <w:r w:rsidRPr="00117449">
        <w:rPr>
          <w:rFonts w:eastAsia="Arial" w:cs="Times New Roman"/>
          <w:szCs w:val="24"/>
        </w:rPr>
        <w:t>a</w:t>
      </w:r>
      <w:r w:rsidRPr="00117449">
        <w:rPr>
          <w:rFonts w:eastAsia="Arial" w:cs="Times New Roman"/>
          <w:spacing w:val="-1"/>
          <w:szCs w:val="24"/>
        </w:rPr>
        <w:t>n</w:t>
      </w:r>
      <w:r w:rsidRPr="00117449">
        <w:rPr>
          <w:rFonts w:eastAsia="Arial" w:cs="Times New Roman"/>
          <w:szCs w:val="24"/>
        </w:rPr>
        <w:t>d</w:t>
      </w:r>
      <w:r w:rsidRPr="00117449">
        <w:rPr>
          <w:rFonts w:eastAsia="Arial" w:cs="Times New Roman"/>
          <w:spacing w:val="12"/>
          <w:szCs w:val="24"/>
        </w:rPr>
        <w:t xml:space="preserve"> </w:t>
      </w:r>
      <w:r w:rsidRPr="00117449">
        <w:rPr>
          <w:rFonts w:eastAsia="Arial" w:cs="Times New Roman"/>
          <w:szCs w:val="24"/>
        </w:rPr>
        <w:t>Re</w:t>
      </w:r>
      <w:r w:rsidRPr="00117449">
        <w:rPr>
          <w:rFonts w:eastAsia="Arial" w:cs="Times New Roman"/>
          <w:spacing w:val="-1"/>
          <w:szCs w:val="24"/>
        </w:rPr>
        <w:t>c</w:t>
      </w:r>
      <w:r w:rsidRPr="00117449">
        <w:rPr>
          <w:rFonts w:eastAsia="Arial" w:cs="Times New Roman"/>
          <w:szCs w:val="24"/>
        </w:rPr>
        <w:t>ord</w:t>
      </w:r>
      <w:r w:rsidRPr="00117449">
        <w:rPr>
          <w:rFonts w:eastAsia="Arial" w:cs="Times New Roman"/>
          <w:spacing w:val="14"/>
          <w:szCs w:val="24"/>
        </w:rPr>
        <w:t xml:space="preserve"> </w:t>
      </w:r>
      <w:r w:rsidRPr="00117449">
        <w:rPr>
          <w:rFonts w:eastAsia="Arial" w:cs="Times New Roman"/>
          <w:spacing w:val="-1"/>
          <w:szCs w:val="24"/>
        </w:rPr>
        <w:t>(</w:t>
      </w:r>
      <w:r w:rsidRPr="00117449">
        <w:rPr>
          <w:rFonts w:eastAsia="Arial" w:cs="Times New Roman"/>
          <w:i/>
          <w:szCs w:val="24"/>
        </w:rPr>
        <w:t>tehsil</w:t>
      </w:r>
      <w:r w:rsidRPr="00117449">
        <w:rPr>
          <w:rFonts w:eastAsia="Arial" w:cs="Times New Roman"/>
          <w:szCs w:val="24"/>
        </w:rPr>
        <w:t>)</w:t>
      </w:r>
      <w:r w:rsidRPr="00117449">
        <w:rPr>
          <w:rFonts w:eastAsia="Arial" w:cs="Times New Roman"/>
          <w:w w:val="101"/>
          <w:szCs w:val="24"/>
        </w:rPr>
        <w:t xml:space="preserve"> </w:t>
      </w:r>
      <w:r w:rsidRPr="00117449">
        <w:rPr>
          <w:rFonts w:eastAsia="Arial" w:cs="Times New Roman"/>
          <w:szCs w:val="24"/>
        </w:rPr>
        <w:t>at</w:t>
      </w:r>
      <w:r w:rsidRPr="00117449">
        <w:rPr>
          <w:rFonts w:eastAsia="Arial" w:cs="Times New Roman"/>
          <w:spacing w:val="3"/>
          <w:szCs w:val="24"/>
        </w:rPr>
        <w:t xml:space="preserve"> </w:t>
      </w:r>
      <w:r w:rsidRPr="00117449">
        <w:rPr>
          <w:rFonts w:eastAsia="Arial" w:cs="Times New Roman"/>
          <w:szCs w:val="24"/>
        </w:rPr>
        <w:t>fi</w:t>
      </w:r>
      <w:r w:rsidRPr="00117449">
        <w:rPr>
          <w:rFonts w:eastAsia="Arial" w:cs="Times New Roman"/>
          <w:spacing w:val="-1"/>
          <w:szCs w:val="24"/>
        </w:rPr>
        <w:t>el</w:t>
      </w:r>
      <w:r w:rsidRPr="00117449">
        <w:rPr>
          <w:rFonts w:eastAsia="Arial" w:cs="Times New Roman"/>
          <w:szCs w:val="24"/>
        </w:rPr>
        <w:t>d</w:t>
      </w:r>
      <w:r w:rsidRPr="00117449">
        <w:rPr>
          <w:rFonts w:eastAsia="Arial" w:cs="Times New Roman"/>
          <w:spacing w:val="6"/>
          <w:szCs w:val="24"/>
        </w:rPr>
        <w:t xml:space="preserve"> </w:t>
      </w:r>
      <w:r w:rsidRPr="00117449">
        <w:rPr>
          <w:rFonts w:eastAsia="Arial" w:cs="Times New Roman"/>
          <w:spacing w:val="-1"/>
          <w:szCs w:val="24"/>
        </w:rPr>
        <w:t>l</w:t>
      </w:r>
      <w:r w:rsidRPr="00117449">
        <w:rPr>
          <w:rFonts w:eastAsia="Arial" w:cs="Times New Roman"/>
          <w:spacing w:val="2"/>
          <w:szCs w:val="24"/>
        </w:rPr>
        <w:t>e</w:t>
      </w:r>
      <w:r w:rsidRPr="00117449">
        <w:rPr>
          <w:rFonts w:eastAsia="Arial" w:cs="Times New Roman"/>
          <w:spacing w:val="-2"/>
          <w:szCs w:val="24"/>
        </w:rPr>
        <w:t>v</w:t>
      </w:r>
      <w:r w:rsidRPr="00117449">
        <w:rPr>
          <w:rFonts w:eastAsia="Arial" w:cs="Times New Roman"/>
          <w:spacing w:val="2"/>
          <w:szCs w:val="24"/>
        </w:rPr>
        <w:t>e</w:t>
      </w:r>
      <w:r w:rsidRPr="00117449">
        <w:rPr>
          <w:rFonts w:eastAsia="Arial" w:cs="Times New Roman"/>
          <w:szCs w:val="24"/>
        </w:rPr>
        <w:t>l</w:t>
      </w:r>
      <w:r w:rsidRPr="00117449">
        <w:rPr>
          <w:rFonts w:eastAsia="Arial" w:cs="Times New Roman"/>
          <w:spacing w:val="-1"/>
          <w:szCs w:val="24"/>
        </w:rPr>
        <w:t xml:space="preserve">.  This could improve if proper computerization of the systems gets completed.  The time for cadastral survey is also unduly long though new technologies are now easily available for completing this task efficiently and in shorter time.  </w:t>
      </w:r>
    </w:p>
    <w:p w:rsidR="006E3B8A" w:rsidRPr="00117449" w:rsidRDefault="006E3B8A" w:rsidP="00912C7F">
      <w:pPr>
        <w:spacing w:line="276" w:lineRule="auto"/>
        <w:ind w:right="43"/>
        <w:jc w:val="both"/>
        <w:rPr>
          <w:rFonts w:eastAsia="Arial" w:cs="Times New Roman"/>
          <w:spacing w:val="-1"/>
          <w:szCs w:val="24"/>
        </w:rPr>
      </w:pPr>
      <w:r w:rsidRPr="00117449">
        <w:rPr>
          <w:rFonts w:eastAsia="Arial" w:cs="Times New Roman"/>
          <w:spacing w:val="-1"/>
          <w:szCs w:val="24"/>
        </w:rPr>
        <w:t>Against the backdrop of the above, the main land management policy priorities under BDP2100 include:</w:t>
      </w:r>
    </w:p>
    <w:p w:rsidR="006E3B8A" w:rsidRPr="00117449" w:rsidRDefault="006E3B8A" w:rsidP="00D6486D">
      <w:pPr>
        <w:pStyle w:val="ListParagraph"/>
        <w:numPr>
          <w:ilvl w:val="0"/>
          <w:numId w:val="49"/>
        </w:numPr>
        <w:spacing w:line="276" w:lineRule="auto"/>
        <w:ind w:left="360"/>
        <w:jc w:val="both"/>
        <w:rPr>
          <w:rFonts w:eastAsia="Arial" w:cs="Times New Roman"/>
          <w:spacing w:val="-1"/>
          <w:szCs w:val="24"/>
        </w:rPr>
      </w:pPr>
      <w:r w:rsidRPr="00117449">
        <w:rPr>
          <w:rFonts w:eastAsia="Arial" w:cs="Times New Roman"/>
          <w:spacing w:val="-1"/>
          <w:szCs w:val="24"/>
        </w:rPr>
        <w:t xml:space="preserve">Undertake a comprehensive </w:t>
      </w:r>
      <w:r w:rsidR="00B57B81">
        <w:rPr>
          <w:rFonts w:eastAsia="Arial" w:cs="Times New Roman"/>
          <w:spacing w:val="-1"/>
          <w:szCs w:val="24"/>
        </w:rPr>
        <w:t>canals</w:t>
      </w:r>
      <w:r w:rsidRPr="00117449">
        <w:rPr>
          <w:rFonts w:eastAsia="Arial" w:cs="Times New Roman"/>
          <w:spacing w:val="-1"/>
          <w:szCs w:val="24"/>
        </w:rPr>
        <w:t xml:space="preserve"> sector reform involving Ministries/Institutions involved in land governance. These should help in evolving a regulatory and institutional framework that could make the land market more efficient.</w:t>
      </w:r>
    </w:p>
    <w:p w:rsidR="006E3B8A" w:rsidRPr="00117449" w:rsidRDefault="006E3B8A" w:rsidP="00D6486D">
      <w:pPr>
        <w:pStyle w:val="ListParagraph"/>
        <w:numPr>
          <w:ilvl w:val="0"/>
          <w:numId w:val="49"/>
        </w:numPr>
        <w:spacing w:line="276" w:lineRule="auto"/>
        <w:ind w:left="360" w:right="50"/>
        <w:jc w:val="both"/>
        <w:rPr>
          <w:rFonts w:eastAsia="Arial" w:cs="Times New Roman"/>
          <w:spacing w:val="-1"/>
          <w:szCs w:val="24"/>
        </w:rPr>
      </w:pPr>
      <w:r w:rsidRPr="00117449">
        <w:rPr>
          <w:rFonts w:eastAsia="Arial" w:cs="Times New Roman"/>
          <w:spacing w:val="-1"/>
          <w:szCs w:val="24"/>
        </w:rPr>
        <w:t xml:space="preserve">Computerization of the processes and use of technology in AC Land, the sub-registrar’s office, and the land survey under the e-Government program should be of highest priority.  The target should be accessibility of information to the citizen, reducing unnecessary steps.   </w:t>
      </w:r>
    </w:p>
    <w:p w:rsidR="006E3B8A" w:rsidRPr="00117449" w:rsidRDefault="006E3B8A" w:rsidP="00D6486D">
      <w:pPr>
        <w:pStyle w:val="ListParagraph"/>
        <w:numPr>
          <w:ilvl w:val="0"/>
          <w:numId w:val="49"/>
        </w:numPr>
        <w:spacing w:line="276" w:lineRule="auto"/>
        <w:ind w:left="360" w:right="50"/>
        <w:jc w:val="both"/>
        <w:rPr>
          <w:rFonts w:eastAsia="Arial" w:cs="Times New Roman"/>
          <w:spacing w:val="-1"/>
          <w:szCs w:val="24"/>
        </w:rPr>
      </w:pPr>
      <w:r w:rsidRPr="00117449">
        <w:rPr>
          <w:rFonts w:cs="Times New Roman"/>
          <w:bCs/>
          <w:szCs w:val="24"/>
        </w:rPr>
        <w:t>The modernization of land management through</w:t>
      </w:r>
      <w:r w:rsidRPr="00117449">
        <w:rPr>
          <w:rFonts w:cs="Times New Roman"/>
          <w:szCs w:val="24"/>
        </w:rPr>
        <w:t xml:space="preserve"> Digital Land Management System (DLMS) with a view to facilitating the working of an efficient land market based on digital records of ownership that establishes clear property rights, easy access to land information, and easy and simple land transaction recordation process.</w:t>
      </w:r>
    </w:p>
    <w:p w:rsidR="006E3B8A" w:rsidRPr="00117449" w:rsidRDefault="006E3B8A" w:rsidP="00D6486D">
      <w:pPr>
        <w:pStyle w:val="ListParagraph"/>
        <w:numPr>
          <w:ilvl w:val="0"/>
          <w:numId w:val="49"/>
        </w:numPr>
        <w:spacing w:line="276" w:lineRule="auto"/>
        <w:ind w:left="360" w:right="50"/>
        <w:jc w:val="both"/>
        <w:rPr>
          <w:rFonts w:eastAsia="Arial" w:cs="Times New Roman"/>
          <w:spacing w:val="-1"/>
          <w:szCs w:val="24"/>
        </w:rPr>
      </w:pPr>
      <w:r w:rsidRPr="00117449">
        <w:rPr>
          <w:rFonts w:eastAsia="Arial" w:cs="Times New Roman"/>
          <w:spacing w:val="-1"/>
          <w:szCs w:val="24"/>
        </w:rPr>
        <w:t xml:space="preserve">The National Land Use Policy needs to be revisited, and if required a comprehensive new policy that will be applicable across the country should be adopted.  Of particular importance will be to ensure effective across institutions communications, particularly to ensure that </w:t>
      </w:r>
      <w:r w:rsidRPr="00117449">
        <w:rPr>
          <w:rFonts w:eastAsia="Arial" w:cs="Times New Roman"/>
          <w:spacing w:val="-1"/>
          <w:szCs w:val="24"/>
        </w:rPr>
        <w:lastRenderedPageBreak/>
        <w:t xml:space="preserve">information can get automatically updated, limiting human interaction between officials of institutions and the citizens.  The Land Use Policy should explicitly recognize the competing demand of food security with the need for poverty alleviation, creating jobs and providing housing, infrastructure.  </w:t>
      </w:r>
    </w:p>
    <w:p w:rsidR="006E3B8A" w:rsidRPr="00117449" w:rsidRDefault="006E3B8A" w:rsidP="00D6486D">
      <w:pPr>
        <w:pStyle w:val="ListParagraph"/>
        <w:numPr>
          <w:ilvl w:val="0"/>
          <w:numId w:val="49"/>
        </w:numPr>
        <w:spacing w:line="276" w:lineRule="auto"/>
        <w:ind w:left="360"/>
        <w:jc w:val="both"/>
        <w:rPr>
          <w:rFonts w:cs="Times New Roman"/>
          <w:bCs/>
          <w:szCs w:val="24"/>
        </w:rPr>
      </w:pPr>
      <w:r w:rsidRPr="00117449">
        <w:rPr>
          <w:rFonts w:cs="Times New Roman"/>
          <w:bCs/>
          <w:szCs w:val="24"/>
        </w:rPr>
        <w:t xml:space="preserve">Review and update/enact Laws/Regulations relating to Alluvion and Diluvion to ensure property rights and avoid land grabbing by the rich and powerful, and improve efficiency of land administration of accreting and reclaimed land. Alongside, there should also be reforms in the processes in land administration, particularly reforms in ensuring a faster survey of accreting land.  </w:t>
      </w:r>
    </w:p>
    <w:p w:rsidR="006E3B8A" w:rsidRPr="00117449" w:rsidRDefault="006E3B8A" w:rsidP="00D6486D">
      <w:pPr>
        <w:pStyle w:val="ListParagraph"/>
        <w:numPr>
          <w:ilvl w:val="0"/>
          <w:numId w:val="49"/>
        </w:numPr>
        <w:spacing w:line="276" w:lineRule="auto"/>
        <w:ind w:left="360"/>
        <w:jc w:val="both"/>
        <w:rPr>
          <w:rFonts w:cs="Times New Roman"/>
          <w:bCs/>
          <w:szCs w:val="24"/>
        </w:rPr>
      </w:pPr>
      <w:r w:rsidRPr="00117449">
        <w:rPr>
          <w:rFonts w:cs="Times New Roman"/>
          <w:szCs w:val="24"/>
        </w:rPr>
        <w:t xml:space="preserve">Land zoning is one instrument that could help optimize the use of accreted coastal lands.  Besides, all accreted and reclaimed land should be put to value added used particularly for urban and industrial needs with necessary infrastructure like dikes, high quality road, rail, water transport mode connection, and with adequate power and energy supply.  The actual choice of such value added sites should be on the basis of feasibility and where feasible PPP options should be sought.  </w:t>
      </w:r>
    </w:p>
    <w:p w:rsidR="00DF35CA" w:rsidRPr="00D31AF0" w:rsidRDefault="006E3B8A" w:rsidP="00D6486D">
      <w:pPr>
        <w:pStyle w:val="ListParagraph"/>
        <w:numPr>
          <w:ilvl w:val="0"/>
          <w:numId w:val="49"/>
        </w:numPr>
        <w:spacing w:line="276" w:lineRule="auto"/>
        <w:ind w:left="360"/>
        <w:jc w:val="both"/>
        <w:rPr>
          <w:rFonts w:cs="Times New Roman"/>
          <w:bCs/>
          <w:i/>
          <w:szCs w:val="24"/>
        </w:rPr>
      </w:pPr>
      <w:r w:rsidRPr="00117449">
        <w:rPr>
          <w:rFonts w:cs="Times New Roman"/>
          <w:bCs/>
          <w:szCs w:val="24"/>
        </w:rPr>
        <w:t xml:space="preserve">Land zoning process including formulation of necessary laws and acts need to be accelerated. </w:t>
      </w:r>
      <w:r w:rsidRPr="00117449">
        <w:rPr>
          <w:rFonts w:cs="Times New Roman"/>
          <w:szCs w:val="24"/>
        </w:rPr>
        <w:t xml:space="preserve">The Government has enacted the Economic Zones Act 2010 to facilitate use of land for industry and services.  However, a more articulated policy is required which would lead to zoning of the entire country so that the land use gets distributed optimally to meet the competing and sometimes complementary needs. </w:t>
      </w:r>
      <w:r w:rsidRPr="00117449">
        <w:rPr>
          <w:rFonts w:eastAsia="Arial" w:cs="Times New Roman"/>
          <w:spacing w:val="-1"/>
          <w:szCs w:val="24"/>
        </w:rPr>
        <w:t xml:space="preserve">Special considerations should be given to the following:  </w:t>
      </w:r>
      <w:r w:rsidRPr="00117449">
        <w:rPr>
          <w:rFonts w:cs="Times New Roman"/>
          <w:bCs/>
          <w:szCs w:val="24"/>
        </w:rPr>
        <w:t>Zones for Manufacturing and service industry, and new Urban Centers; For Agriculture and Food Security:; Shrimp farming zones (brackish water, sweet water, salt water; Forest Zone; Mangrove Zone.</w:t>
      </w:r>
      <w:r w:rsidRPr="00117449">
        <w:rPr>
          <w:rFonts w:cs="Times New Roman"/>
          <w:bCs/>
          <w:i/>
          <w:szCs w:val="24"/>
        </w:rPr>
        <w:t xml:space="preserve">  </w:t>
      </w:r>
      <w:r w:rsidRPr="00117449">
        <w:rPr>
          <w:rFonts w:eastAsia="Times New Roman" w:cs="Times New Roman"/>
          <w:szCs w:val="24"/>
        </w:rPr>
        <w:t xml:space="preserve">Local government institutions also will have to be strengthened to implement land zoning.  </w:t>
      </w:r>
    </w:p>
    <w:p w:rsidR="00B47244" w:rsidRPr="004B0A08" w:rsidRDefault="00D31AF0" w:rsidP="00D6486D">
      <w:pPr>
        <w:pStyle w:val="ListParagraph"/>
        <w:numPr>
          <w:ilvl w:val="0"/>
          <w:numId w:val="49"/>
        </w:numPr>
        <w:spacing w:line="276" w:lineRule="auto"/>
        <w:ind w:left="360"/>
        <w:jc w:val="both"/>
        <w:rPr>
          <w:rFonts w:cs="Times New Roman"/>
          <w:bCs/>
          <w:i/>
          <w:szCs w:val="24"/>
        </w:rPr>
      </w:pPr>
      <w:r>
        <w:rPr>
          <w:rFonts w:eastAsia="Times New Roman" w:cs="Times New Roman"/>
          <w:szCs w:val="24"/>
        </w:rPr>
        <w:t>Develop water-sensitive spatial land use planning to adapt to changing water situation.</w:t>
      </w:r>
    </w:p>
    <w:p w:rsidR="00B03FE6" w:rsidRPr="00D31AF0" w:rsidRDefault="00B03FE6" w:rsidP="004B0A08">
      <w:pPr>
        <w:pStyle w:val="ListParagraph"/>
        <w:spacing w:line="276" w:lineRule="auto"/>
        <w:ind w:left="360"/>
        <w:jc w:val="both"/>
        <w:rPr>
          <w:rFonts w:cs="Times New Roman"/>
          <w:bCs/>
          <w:i/>
          <w:szCs w:val="24"/>
        </w:rPr>
      </w:pPr>
    </w:p>
    <w:p w:rsidR="00000000" w:rsidRDefault="006E3B8A" w:rsidP="003D5A31">
      <w:pPr>
        <w:pStyle w:val="ListParagraph"/>
        <w:numPr>
          <w:ilvl w:val="0"/>
          <w:numId w:val="132"/>
        </w:numPr>
        <w:spacing w:line="276" w:lineRule="auto"/>
        <w:jc w:val="both"/>
        <w:rPr>
          <w:rFonts w:eastAsia="Calibri" w:cs="Times New Roman"/>
          <w:b/>
          <w:szCs w:val="24"/>
        </w:rPr>
      </w:pPr>
      <w:r w:rsidRPr="00117449">
        <w:rPr>
          <w:rFonts w:eastAsia="Calibri" w:cs="Times New Roman"/>
          <w:b/>
          <w:szCs w:val="24"/>
        </w:rPr>
        <w:t>Inland Water Transport</w:t>
      </w:r>
    </w:p>
    <w:p w:rsidR="006E3B8A" w:rsidRPr="00117449" w:rsidRDefault="006E3B8A" w:rsidP="00912C7F">
      <w:pPr>
        <w:spacing w:line="276" w:lineRule="auto"/>
        <w:jc w:val="both"/>
        <w:rPr>
          <w:rFonts w:cs="Times New Roman"/>
          <w:szCs w:val="24"/>
          <w:lang w:val="en-GB"/>
        </w:rPr>
      </w:pPr>
      <w:r w:rsidRPr="00117449">
        <w:rPr>
          <w:rFonts w:cs="Times New Roman"/>
          <w:szCs w:val="24"/>
          <w:lang w:val="en-GB"/>
        </w:rPr>
        <w:t xml:space="preserve">Bangladesh is crisscrossed by a network of about </w:t>
      </w:r>
      <w:r w:rsidRPr="00117449">
        <w:rPr>
          <w:rFonts w:cs="Times New Roman"/>
          <w:color w:val="2C2B2B"/>
          <w:szCs w:val="24"/>
          <w:shd w:val="clear" w:color="auto" w:fill="FFFFFF"/>
        </w:rPr>
        <w:t>24,000 km. of rivers, streams and canals, constituting 7% of the country's surface</w:t>
      </w:r>
      <w:r w:rsidRPr="00117449">
        <w:rPr>
          <w:rFonts w:cs="Times New Roman"/>
          <w:szCs w:val="24"/>
          <w:lang w:val="en-GB"/>
        </w:rPr>
        <w:t>.</w:t>
      </w:r>
      <w:r w:rsidRPr="00117449">
        <w:rPr>
          <w:rFonts w:cs="Times New Roman"/>
          <w:szCs w:val="24"/>
        </w:rPr>
        <w:t xml:space="preserve"> Being a land of rivers it always enjoyed the natural advantage of inland navigation. The country is characterized by low lying flat land with alluvial soil that have poor engineering characteristics resulting in very expensive costs for development and maintenance of overland transport infrastructure. On the contrary, inland waterway transport (IWT) has always been a natural, environment friendly and relatively cheap mode of transport. An estimated 25% percent of the rural population has access to inland navigation. Inland waterways have continued to be important –sometimes the only – transportation mode not only for maintaining transport link between various remote parts of the country; it is a means of transporting export-import cargo as well. </w:t>
      </w:r>
      <w:r w:rsidRPr="00117449">
        <w:rPr>
          <w:rFonts w:cs="Times New Roman"/>
          <w:szCs w:val="24"/>
          <w:lang w:val="en-GB"/>
        </w:rPr>
        <w:t xml:space="preserve">It provides cheaper transit of passengers and goods. </w:t>
      </w:r>
    </w:p>
    <w:p w:rsidR="006E3B8A" w:rsidRPr="00117449" w:rsidRDefault="006E3B8A" w:rsidP="00912C7F">
      <w:pPr>
        <w:spacing w:line="276" w:lineRule="auto"/>
        <w:jc w:val="both"/>
        <w:rPr>
          <w:rFonts w:cs="Times New Roman"/>
          <w:szCs w:val="24"/>
        </w:rPr>
      </w:pPr>
      <w:r w:rsidRPr="00117449">
        <w:rPr>
          <w:rFonts w:cs="Times New Roman"/>
          <w:szCs w:val="24"/>
          <w:lang w:val="en-GB"/>
        </w:rPr>
        <w:t xml:space="preserve">Despite being the cheapest mode of transport, the popularity of IWT as a mode of passenger and cargo transportation has been on a secular decline. The modal share of IWT fell from 16% </w:t>
      </w:r>
      <w:r w:rsidRPr="00117449">
        <w:rPr>
          <w:rFonts w:cs="Times New Roman"/>
          <w:szCs w:val="24"/>
          <w:lang w:val="en-GB"/>
        </w:rPr>
        <w:lastRenderedPageBreak/>
        <w:t xml:space="preserve">passenger and 37% cargo in 1975 to 8% passenger and 16% cargo in 2005.  Much of the competition came from the road transport system. </w:t>
      </w:r>
      <w:r w:rsidRPr="00117449">
        <w:rPr>
          <w:rFonts w:cs="Times New Roman"/>
          <w:szCs w:val="24"/>
        </w:rPr>
        <w:t xml:space="preserve">This loss of ground of a low-cost, environmental friendly means of transport to high-cost and environmentally taxing road transport system is unfortunate from the development and welfare point of view of Bangladesh. Road transport systems are not only environmentally unfriendly relative to IWT, the financial unit cost of service is higher.  Importantly, they also add considerably to the already serious road network congestion. Many factors have contributed to this declining role of IWT. </w:t>
      </w:r>
    </w:p>
    <w:p w:rsidR="006E3B8A" w:rsidRPr="00117449" w:rsidRDefault="004C33D0" w:rsidP="00912C7F">
      <w:pPr>
        <w:spacing w:line="276" w:lineRule="auto"/>
        <w:jc w:val="both"/>
        <w:rPr>
          <w:rFonts w:cs="Times New Roman"/>
          <w:szCs w:val="24"/>
        </w:rPr>
      </w:pPr>
      <w:r>
        <w:rPr>
          <w:rFonts w:cs="Times New Roman"/>
          <w:szCs w:val="24"/>
        </w:rPr>
        <w:t>IWT has suffered because</w:t>
      </w:r>
      <w:r w:rsidR="006E3B8A" w:rsidRPr="00117449">
        <w:rPr>
          <w:rFonts w:cs="Times New Roman"/>
          <w:szCs w:val="24"/>
        </w:rPr>
        <w:t xml:space="preserve"> many rivers of the country have been deteriorating both for natural, morphological processes and for withdrawal of water from the rivers beyond the border and within the country caused by decreased dry season navigability. This was further aggravated by poor or no maintenance of navigability, weak regulations and safety standards, low allocation of budgetary funds and general under-investment by both </w:t>
      </w:r>
      <w:r w:rsidR="00B57B81">
        <w:rPr>
          <w:rFonts w:cs="Times New Roman"/>
          <w:szCs w:val="24"/>
        </w:rPr>
        <w:t>canals</w:t>
      </w:r>
      <w:r w:rsidR="006E3B8A" w:rsidRPr="00117449">
        <w:rPr>
          <w:rFonts w:cs="Times New Roman"/>
          <w:szCs w:val="24"/>
        </w:rPr>
        <w:t xml:space="preserve"> and private sectors. </w:t>
      </w:r>
    </w:p>
    <w:p w:rsidR="006E3B8A" w:rsidRPr="00117449" w:rsidRDefault="006E3B8A" w:rsidP="00912C7F">
      <w:pPr>
        <w:spacing w:line="276" w:lineRule="auto"/>
        <w:jc w:val="both"/>
        <w:rPr>
          <w:rFonts w:cs="Times New Roman"/>
          <w:szCs w:val="24"/>
        </w:rPr>
      </w:pPr>
      <w:r w:rsidRPr="00117449">
        <w:rPr>
          <w:rFonts w:cs="Times New Roman"/>
          <w:szCs w:val="24"/>
        </w:rPr>
        <w:t xml:space="preserve">In recent years, given the rapid GDP growth and associated demand for passenger and cargo services along with constraints in developing road and railway transport (owing to land and financial scarcity), the prospects for inland waterway look brighter. There is now a growing appreciation that with proper investments, policies, regulations and institutional development the IWT can be a major low-cost transport alternative to the high-cost of land transport. The positive effects of this strategy for income, employment and poverty reduction are large. Globally, inland waterway plays very critical role in handing large quantity of cargo and passengers. The </w:t>
      </w:r>
      <w:r w:rsidRPr="00117449">
        <w:rPr>
          <w:rFonts w:cs="Times New Roman"/>
          <w:szCs w:val="24"/>
          <w:shd w:val="clear" w:color="auto" w:fill="FFFFFF"/>
        </w:rPr>
        <w:t xml:space="preserve">Rhine and Danube, for instance, constitute two backbones of inland navigation in Europe. The Mekong River is becoming an important link in international trade routes and tourism in Southeast Asia. </w:t>
      </w:r>
      <w:r w:rsidRPr="00117449">
        <w:rPr>
          <w:rFonts w:eastAsia="Times New Roman" w:cs="Times New Roman"/>
          <w:szCs w:val="24"/>
        </w:rPr>
        <w:t xml:space="preserve">China is a country with long water transportation tradition. The Yangtze </w:t>
      </w:r>
      <w:r w:rsidRPr="00117449">
        <w:rPr>
          <w:rFonts w:cs="Times New Roman"/>
          <w:szCs w:val="24"/>
          <w:shd w:val="clear" w:color="auto" w:fill="FFFFFF"/>
        </w:rPr>
        <w:t>is the first waterway in the world for the transport of goods. In the subcontinent water transport is one of the oldest means of transport in India.</w:t>
      </w:r>
    </w:p>
    <w:p w:rsidR="006E3B8A" w:rsidRPr="00117449" w:rsidRDefault="006E3B8A" w:rsidP="00912C7F">
      <w:pPr>
        <w:spacing w:line="276" w:lineRule="auto"/>
        <w:jc w:val="both"/>
        <w:rPr>
          <w:rFonts w:cs="Times New Roman"/>
          <w:szCs w:val="24"/>
        </w:rPr>
      </w:pPr>
      <w:r w:rsidRPr="00117449">
        <w:rPr>
          <w:rFonts w:cs="Times New Roman"/>
          <w:szCs w:val="24"/>
          <w:shd w:val="clear" w:color="auto" w:fill="FFFFFF"/>
        </w:rPr>
        <w:t>Looking forward, the IWT revival strategy will need to focus on the following main priorities:</w:t>
      </w:r>
    </w:p>
    <w:p w:rsidR="006E3B8A" w:rsidRPr="00117449" w:rsidRDefault="00137673" w:rsidP="00D6486D">
      <w:pPr>
        <w:pStyle w:val="ListParagraph"/>
        <w:numPr>
          <w:ilvl w:val="0"/>
          <w:numId w:val="85"/>
        </w:numPr>
        <w:spacing w:line="276" w:lineRule="auto"/>
        <w:ind w:left="360"/>
        <w:jc w:val="both"/>
        <w:rPr>
          <w:rFonts w:cs="Times New Roman"/>
          <w:szCs w:val="24"/>
          <w:lang w:val="en-GB"/>
        </w:rPr>
      </w:pPr>
      <w:r>
        <w:rPr>
          <w:rFonts w:cs="Times New Roman"/>
          <w:szCs w:val="24"/>
          <w:lang w:val="en-GB"/>
        </w:rPr>
        <w:t>Systematically and comprehensively a</w:t>
      </w:r>
      <w:r w:rsidR="006E3B8A" w:rsidRPr="00117449">
        <w:rPr>
          <w:rFonts w:cs="Times New Roman"/>
          <w:szCs w:val="24"/>
          <w:lang w:val="en-GB"/>
        </w:rPr>
        <w:t xml:space="preserve">ddressing river morphological and climate change issues. Policies need to address </w:t>
      </w:r>
      <w:r w:rsidR="00D31AF0">
        <w:rPr>
          <w:rFonts w:cs="Times New Roman"/>
          <w:szCs w:val="24"/>
          <w:lang w:val="en-GB"/>
        </w:rPr>
        <w:t xml:space="preserve">the </w:t>
      </w:r>
      <w:r w:rsidR="006E3B8A" w:rsidRPr="00117449">
        <w:rPr>
          <w:rFonts w:cs="Times New Roman"/>
          <w:szCs w:val="24"/>
          <w:lang w:val="en-GB"/>
        </w:rPr>
        <w:t xml:space="preserve">twin challenges emanating from both domestic as well as from cross border water management issues. </w:t>
      </w:r>
    </w:p>
    <w:p w:rsidR="006E3B8A" w:rsidRPr="00117449" w:rsidRDefault="006E3B8A" w:rsidP="00D6486D">
      <w:pPr>
        <w:pStyle w:val="ListParagraph"/>
        <w:numPr>
          <w:ilvl w:val="0"/>
          <w:numId w:val="85"/>
        </w:numPr>
        <w:spacing w:line="276" w:lineRule="auto"/>
        <w:ind w:left="360"/>
        <w:jc w:val="both"/>
        <w:rPr>
          <w:rFonts w:cs="Times New Roman"/>
          <w:szCs w:val="24"/>
          <w:lang w:val="en-GB"/>
        </w:rPr>
      </w:pPr>
      <w:r w:rsidRPr="00117449">
        <w:rPr>
          <w:rFonts w:cs="Times New Roman"/>
          <w:szCs w:val="24"/>
          <w:lang w:val="en-GB"/>
        </w:rPr>
        <w:t xml:space="preserve">Selecting priority routes and maintaining them adequately.  In this regard, the strategy should be to prioritise routing based on economic viability. </w:t>
      </w:r>
      <w:r w:rsidRPr="00117449">
        <w:rPr>
          <w:rFonts w:cs="Times New Roman"/>
          <w:szCs w:val="24"/>
        </w:rPr>
        <w:t>Improvement of navigability by strategic dredging &amp; river training of following routes are suggested: Route A. Dhaka-Munshiganj-Gajaria-Chandpur- Chittagong Route (Lower Meghna); Route B. Chandpur-Paturia-Sirajganj-Chilmari- Doikhawa Route (Padma - Jamuna);  Route C. Paturia-Pakshi-Rajshahi-Godagori Route (Ganges); Route D. Karnaphuli river and Kaptai Lake (Chittagong); Route E. Regional rivers in Chittagong: Matamuhuri, Sangu and Bakkhali.</w:t>
      </w:r>
    </w:p>
    <w:p w:rsidR="006E3B8A" w:rsidRPr="00117449" w:rsidRDefault="006E3B8A" w:rsidP="00D6486D">
      <w:pPr>
        <w:pStyle w:val="ListParagraph"/>
        <w:numPr>
          <w:ilvl w:val="0"/>
          <w:numId w:val="85"/>
        </w:numPr>
        <w:spacing w:line="276" w:lineRule="auto"/>
        <w:ind w:left="360"/>
        <w:jc w:val="both"/>
        <w:rPr>
          <w:rFonts w:cs="Times New Roman"/>
          <w:szCs w:val="24"/>
          <w:lang w:val="en-GB"/>
        </w:rPr>
      </w:pPr>
      <w:r w:rsidRPr="00117449">
        <w:rPr>
          <w:rFonts w:cs="Times New Roman"/>
          <w:szCs w:val="24"/>
          <w:lang w:val="en-GB"/>
        </w:rPr>
        <w:t xml:space="preserve">A third set of issues concern development of river transport infrastructure along the above routes. Those priority routes should be modernised as an integral part of multimodal </w:t>
      </w:r>
      <w:r w:rsidRPr="00117449">
        <w:rPr>
          <w:rFonts w:cs="Times New Roman"/>
          <w:szCs w:val="24"/>
          <w:lang w:val="en-GB"/>
        </w:rPr>
        <w:lastRenderedPageBreak/>
        <w:t xml:space="preserve">connectivity. This infrastructure modernization can be a combination of </w:t>
      </w:r>
      <w:r w:rsidR="00B57B81">
        <w:rPr>
          <w:rFonts w:cs="Times New Roman"/>
          <w:szCs w:val="24"/>
          <w:lang w:val="en-GB"/>
        </w:rPr>
        <w:t>canals</w:t>
      </w:r>
      <w:r w:rsidRPr="00117449">
        <w:rPr>
          <w:rFonts w:cs="Times New Roman"/>
          <w:szCs w:val="24"/>
          <w:lang w:val="en-GB"/>
        </w:rPr>
        <w:t xml:space="preserve"> investment as well as private investment.  </w:t>
      </w:r>
    </w:p>
    <w:p w:rsidR="006E3B8A" w:rsidRPr="00117449" w:rsidRDefault="00D31AF0" w:rsidP="00D6486D">
      <w:pPr>
        <w:pStyle w:val="ListParagraph"/>
        <w:numPr>
          <w:ilvl w:val="0"/>
          <w:numId w:val="85"/>
        </w:numPr>
        <w:spacing w:line="276" w:lineRule="auto"/>
        <w:ind w:left="360"/>
        <w:jc w:val="both"/>
        <w:rPr>
          <w:rFonts w:cs="Times New Roman"/>
          <w:szCs w:val="24"/>
          <w:lang w:val="en-GB"/>
        </w:rPr>
      </w:pPr>
      <w:r>
        <w:rPr>
          <w:rFonts w:cs="Times New Roman"/>
          <w:szCs w:val="24"/>
          <w:lang w:val="en-GB"/>
        </w:rPr>
        <w:t>A fourth set</w:t>
      </w:r>
      <w:r w:rsidR="006E3B8A" w:rsidRPr="00117449">
        <w:rPr>
          <w:rFonts w:cs="Times New Roman"/>
          <w:szCs w:val="24"/>
          <w:lang w:val="en-GB"/>
        </w:rPr>
        <w:t xml:space="preserve"> of issues involve investment. Without adequate </w:t>
      </w:r>
      <w:r w:rsidR="00B57B81">
        <w:rPr>
          <w:rFonts w:cs="Times New Roman"/>
          <w:szCs w:val="24"/>
          <w:lang w:val="en-GB"/>
        </w:rPr>
        <w:t>canals</w:t>
      </w:r>
      <w:r w:rsidR="006E3B8A" w:rsidRPr="00117449">
        <w:rPr>
          <w:rFonts w:cs="Times New Roman"/>
          <w:szCs w:val="24"/>
          <w:lang w:val="en-GB"/>
        </w:rPr>
        <w:t xml:space="preserve"> investment in river navigability improvement and river port and other safety-related infrastructure, a revival of IWT will not be impossible. Alongside, incentive and regulatory policies must be in place to</w:t>
      </w:r>
      <w:r w:rsidR="004C33D0">
        <w:rPr>
          <w:rFonts w:cs="Times New Roman"/>
          <w:szCs w:val="24"/>
          <w:lang w:val="en-GB"/>
        </w:rPr>
        <w:t xml:space="preserve"> spur private investment in IWT, especially in strengthening transport services.</w:t>
      </w:r>
      <w:r w:rsidR="006E3B8A" w:rsidRPr="00117449">
        <w:rPr>
          <w:rFonts w:cs="Times New Roman"/>
          <w:szCs w:val="24"/>
          <w:lang w:val="en-GB"/>
        </w:rPr>
        <w:t xml:space="preserve">  </w:t>
      </w:r>
    </w:p>
    <w:p w:rsidR="006E3B8A" w:rsidRPr="00117449" w:rsidRDefault="00D31AF0" w:rsidP="00D6486D">
      <w:pPr>
        <w:pStyle w:val="ListParagraph"/>
        <w:numPr>
          <w:ilvl w:val="0"/>
          <w:numId w:val="85"/>
        </w:numPr>
        <w:spacing w:line="276" w:lineRule="auto"/>
        <w:ind w:left="360"/>
        <w:jc w:val="both"/>
        <w:rPr>
          <w:rFonts w:cs="Times New Roman"/>
          <w:szCs w:val="24"/>
          <w:lang w:val="en-GB"/>
        </w:rPr>
      </w:pPr>
      <w:r>
        <w:rPr>
          <w:rFonts w:cs="Times New Roman"/>
          <w:szCs w:val="24"/>
          <w:lang w:val="en-GB"/>
        </w:rPr>
        <w:t>A fifth</w:t>
      </w:r>
      <w:r w:rsidR="006E3B8A" w:rsidRPr="00117449">
        <w:rPr>
          <w:rFonts w:cs="Times New Roman"/>
          <w:szCs w:val="24"/>
          <w:lang w:val="en-GB"/>
        </w:rPr>
        <w:t xml:space="preserve"> set of concerns relate to governanc</w:t>
      </w:r>
      <w:r>
        <w:rPr>
          <w:rFonts w:cs="Times New Roman"/>
          <w:szCs w:val="24"/>
          <w:lang w:val="en-GB"/>
        </w:rPr>
        <w:t>e.  The required reforms deal with</w:t>
      </w:r>
      <w:r w:rsidR="006E3B8A" w:rsidRPr="00117449">
        <w:rPr>
          <w:rFonts w:cs="Times New Roman"/>
          <w:szCs w:val="24"/>
          <w:lang w:val="en-GB"/>
        </w:rPr>
        <w:t xml:space="preserve"> safety standards, inter-ministerial/department coordination, adequate staffing, and modernization of IWT administration and planning. </w:t>
      </w:r>
    </w:p>
    <w:p w:rsidR="006E3B8A" w:rsidRDefault="00D31AF0" w:rsidP="00D6486D">
      <w:pPr>
        <w:pStyle w:val="ListParagraph"/>
        <w:numPr>
          <w:ilvl w:val="0"/>
          <w:numId w:val="85"/>
        </w:numPr>
        <w:spacing w:line="276" w:lineRule="auto"/>
        <w:ind w:left="360"/>
        <w:jc w:val="both"/>
        <w:rPr>
          <w:rFonts w:cs="Times New Roman"/>
          <w:szCs w:val="24"/>
          <w:lang w:val="en-GB"/>
        </w:rPr>
      </w:pPr>
      <w:r>
        <w:rPr>
          <w:rFonts w:cs="Times New Roman"/>
          <w:szCs w:val="24"/>
          <w:lang w:val="en-GB"/>
        </w:rPr>
        <w:t>Final set</w:t>
      </w:r>
      <w:r w:rsidR="006E3B8A" w:rsidRPr="00117449">
        <w:rPr>
          <w:rFonts w:cs="Times New Roman"/>
          <w:szCs w:val="24"/>
          <w:lang w:val="en-GB"/>
        </w:rPr>
        <w:t xml:space="preserve"> of issues deal with the economics and governance of cross-border river, aimed at making the regional river transport viable. In this regard, the corresponding parties should have </w:t>
      </w:r>
      <w:r w:rsidR="00FB39C7">
        <w:rPr>
          <w:rFonts w:cs="Times New Roman"/>
          <w:szCs w:val="24"/>
          <w:lang w:val="en-GB"/>
        </w:rPr>
        <w:t xml:space="preserve">a </w:t>
      </w:r>
      <w:r w:rsidR="006E3B8A" w:rsidRPr="00117449">
        <w:rPr>
          <w:rFonts w:cs="Times New Roman"/>
          <w:szCs w:val="24"/>
          <w:lang w:val="en-GB"/>
        </w:rPr>
        <w:t xml:space="preserve">clear roadmap on user fees, tariff rate, and joint efforts to develop </w:t>
      </w:r>
      <w:r>
        <w:rPr>
          <w:rFonts w:cs="Times New Roman"/>
          <w:szCs w:val="24"/>
          <w:lang w:val="en-GB"/>
        </w:rPr>
        <w:t>the infrastructure.</w:t>
      </w:r>
    </w:p>
    <w:p w:rsidR="00AB19E6" w:rsidRDefault="00AB19E6" w:rsidP="00AB19E6">
      <w:pPr>
        <w:pStyle w:val="ListParagraph"/>
        <w:spacing w:line="276" w:lineRule="auto"/>
        <w:ind w:left="360"/>
        <w:jc w:val="both"/>
        <w:rPr>
          <w:rFonts w:cs="Times New Roman"/>
          <w:szCs w:val="24"/>
          <w:lang w:val="en-GB"/>
        </w:rPr>
      </w:pPr>
    </w:p>
    <w:p w:rsidR="00000000" w:rsidRDefault="00AB19E6" w:rsidP="003D5A31">
      <w:pPr>
        <w:pStyle w:val="ListParagraph"/>
        <w:numPr>
          <w:ilvl w:val="0"/>
          <w:numId w:val="132"/>
        </w:numPr>
        <w:jc w:val="both"/>
        <w:rPr>
          <w:b/>
          <w:color w:val="000000" w:themeColor="text1"/>
        </w:rPr>
      </w:pPr>
      <w:r w:rsidRPr="00AB19E6">
        <w:rPr>
          <w:b/>
          <w:color w:val="000000" w:themeColor="text1"/>
        </w:rPr>
        <w:t>Approaches for Advancing the Blue Economy</w:t>
      </w:r>
    </w:p>
    <w:p w:rsidR="006E3B8A" w:rsidRPr="00BB11A4" w:rsidRDefault="00654A6C" w:rsidP="00BB11A4">
      <w:pPr>
        <w:spacing w:line="276" w:lineRule="auto"/>
        <w:jc w:val="both"/>
        <w:rPr>
          <w:color w:val="000000" w:themeColor="text1"/>
        </w:rPr>
      </w:pPr>
      <w:r w:rsidRPr="00AB19E6">
        <w:rPr>
          <w:color w:val="000000" w:themeColor="text1"/>
        </w:rPr>
        <w:t>With the settlement of maritime border disputes with neighboring states Myanmar and India in 2014, the Government of Bangladesh embarked on to unlock the potentials. The blue economy is now considered as a new ‘development space’ in Bangladesh. Shipping, coastal shipping, sea ports, ship building and recycling, marine fisheries, sea salt, coastal tourism, ocean energy, land reclamation, maritime surveillance, human resources development and governance have been identified as key priority sectors. A total of sixteen different approaches have been proposed. Out of those regional partnerships in developing the blue economy is ranked high on that agenda. Moreover, different MoUs have also been signed with India.</w:t>
      </w:r>
    </w:p>
    <w:p w:rsidR="00000000" w:rsidRDefault="006E3B8A" w:rsidP="003D5A31">
      <w:pPr>
        <w:pStyle w:val="ListParagraph"/>
        <w:numPr>
          <w:ilvl w:val="0"/>
          <w:numId w:val="129"/>
        </w:numPr>
        <w:spacing w:line="276" w:lineRule="auto"/>
        <w:jc w:val="both"/>
        <w:rPr>
          <w:rFonts w:cs="Times New Roman"/>
          <w:b/>
          <w:bCs/>
          <w:szCs w:val="24"/>
        </w:rPr>
      </w:pPr>
      <w:r w:rsidRPr="00117449">
        <w:rPr>
          <w:rFonts w:cs="Times New Roman"/>
          <w:b/>
          <w:bCs/>
          <w:szCs w:val="24"/>
        </w:rPr>
        <w:t>Macroeconomic Scenarios</w:t>
      </w:r>
    </w:p>
    <w:p w:rsidR="006E3B8A" w:rsidRPr="00BB11A4" w:rsidRDefault="006E3B8A" w:rsidP="00912C7F">
      <w:pPr>
        <w:pStyle w:val="ListParagraph"/>
        <w:spacing w:line="276" w:lineRule="auto"/>
        <w:ind w:left="0"/>
        <w:jc w:val="both"/>
        <w:rPr>
          <w:rFonts w:cs="Times New Roman"/>
          <w:b/>
          <w:bCs/>
          <w:iCs/>
          <w:sz w:val="16"/>
          <w:szCs w:val="24"/>
        </w:rPr>
      </w:pPr>
    </w:p>
    <w:p w:rsidR="006E3B8A" w:rsidRPr="00117449" w:rsidRDefault="006E3B8A" w:rsidP="00912C7F">
      <w:pPr>
        <w:pStyle w:val="ListParagraph"/>
        <w:spacing w:line="276" w:lineRule="auto"/>
        <w:ind w:left="0"/>
        <w:jc w:val="both"/>
        <w:rPr>
          <w:rFonts w:cs="Times New Roman"/>
          <w:szCs w:val="24"/>
        </w:rPr>
      </w:pPr>
      <w:r w:rsidRPr="004B0A08">
        <w:rPr>
          <w:rFonts w:cs="Times New Roman"/>
          <w:i/>
          <w:szCs w:val="24"/>
        </w:rPr>
        <w:t>The macroeconomic framework for BDP2100 is the first attempt to quantify economic impacts of climate change by linking the real side (i.e. economic variables) to the environment or climate change parameters.</w:t>
      </w:r>
      <w:r w:rsidRPr="00117449">
        <w:rPr>
          <w:rFonts w:cs="Times New Roman"/>
          <w:szCs w:val="24"/>
        </w:rPr>
        <w:t xml:space="preserve">  The policy scenarios are built around three endogenous variables: economic growth, employment and poverty; two exogenous variables: natural hazards and climate change; and a large number of policy variables including: population and labor force, investment (</w:t>
      </w:r>
      <w:r w:rsidR="00B57B81">
        <w:rPr>
          <w:rFonts w:cs="Times New Roman"/>
          <w:szCs w:val="24"/>
        </w:rPr>
        <w:t>canals</w:t>
      </w:r>
      <w:r w:rsidRPr="00117449">
        <w:rPr>
          <w:rFonts w:cs="Times New Roman"/>
          <w:szCs w:val="24"/>
        </w:rPr>
        <w:t xml:space="preserve">, private and total); sectoral investments including investments needed to offset the various climate change risks; macroeconomic policies; transboundary water dialogues; and institutional reforms and good governance.  The Scenarios are interactive in the sense that they allow for the interaction of endogenous variables with exogenous and policy variables.  As a result, the model helps answer the all-important policy question: what happens if the Delta Plan is not adopted? </w:t>
      </w:r>
    </w:p>
    <w:p w:rsidR="006E3B8A" w:rsidRPr="00117449" w:rsidRDefault="006E3B8A" w:rsidP="00912C7F">
      <w:pPr>
        <w:spacing w:line="276" w:lineRule="auto"/>
        <w:jc w:val="both"/>
        <w:rPr>
          <w:rFonts w:cs="Times New Roman"/>
          <w:szCs w:val="24"/>
        </w:rPr>
      </w:pPr>
      <w:r w:rsidRPr="00117449">
        <w:rPr>
          <w:rFonts w:cs="Times New Roman"/>
          <w:szCs w:val="24"/>
        </w:rPr>
        <w:t xml:space="preserve">In order to illustrate the role of BDP2100 and its contribution to the long-term </w:t>
      </w:r>
      <w:r w:rsidR="00FB39C7">
        <w:rPr>
          <w:rFonts w:cs="Times New Roman"/>
          <w:szCs w:val="24"/>
        </w:rPr>
        <w:t>development of Bangladesh, two</w:t>
      </w:r>
      <w:r w:rsidRPr="00117449">
        <w:rPr>
          <w:rFonts w:cs="Times New Roman"/>
          <w:szCs w:val="24"/>
        </w:rPr>
        <w:t xml:space="preserve"> scenarios </w:t>
      </w:r>
      <w:r w:rsidR="00B56389">
        <w:rPr>
          <w:rFonts w:cs="Times New Roman"/>
          <w:szCs w:val="24"/>
        </w:rPr>
        <w:t xml:space="preserve">based on selected policy options </w:t>
      </w:r>
      <w:r w:rsidRPr="00117449">
        <w:rPr>
          <w:rFonts w:cs="Times New Roman"/>
          <w:szCs w:val="24"/>
        </w:rPr>
        <w:t xml:space="preserve">are considered. </w:t>
      </w:r>
    </w:p>
    <w:p w:rsidR="006E3B8A" w:rsidRPr="0062212A" w:rsidRDefault="0062212A" w:rsidP="00A631E1">
      <w:pPr>
        <w:pStyle w:val="ListParagraph"/>
        <w:numPr>
          <w:ilvl w:val="0"/>
          <w:numId w:val="24"/>
        </w:numPr>
        <w:spacing w:line="276" w:lineRule="auto"/>
        <w:ind w:left="360"/>
        <w:jc w:val="both"/>
        <w:rPr>
          <w:rFonts w:cs="Times New Roman"/>
          <w:szCs w:val="24"/>
        </w:rPr>
      </w:pPr>
      <w:r>
        <w:rPr>
          <w:rFonts w:cs="Times New Roman"/>
          <w:szCs w:val="24"/>
        </w:rPr>
        <w:t xml:space="preserve">The </w:t>
      </w:r>
      <w:r w:rsidR="006E3B8A" w:rsidRPr="0062212A">
        <w:rPr>
          <w:rFonts w:cs="Times New Roman"/>
          <w:szCs w:val="24"/>
        </w:rPr>
        <w:t>First</w:t>
      </w:r>
      <w:r w:rsidR="00B56389">
        <w:rPr>
          <w:rFonts w:cs="Times New Roman"/>
          <w:szCs w:val="24"/>
        </w:rPr>
        <w:t xml:space="preserve"> Option</w:t>
      </w:r>
      <w:r>
        <w:rPr>
          <w:rFonts w:cs="Times New Roman"/>
          <w:szCs w:val="24"/>
        </w:rPr>
        <w:t xml:space="preserve"> r</w:t>
      </w:r>
      <w:r w:rsidR="00B56389">
        <w:rPr>
          <w:rFonts w:cs="Times New Roman"/>
          <w:szCs w:val="24"/>
        </w:rPr>
        <w:t>efers to the Business As Usual policy Option</w:t>
      </w:r>
      <w:r w:rsidR="00FB39C7">
        <w:rPr>
          <w:rFonts w:cs="Times New Roman"/>
          <w:szCs w:val="24"/>
        </w:rPr>
        <w:t xml:space="preserve"> (BAU)</w:t>
      </w:r>
      <w:r w:rsidR="006E3B8A" w:rsidRPr="00117449">
        <w:rPr>
          <w:rFonts w:cs="Times New Roman"/>
          <w:szCs w:val="24"/>
        </w:rPr>
        <w:t xml:space="preserve">. This is essentially a representation of the government’s Vision 2021, Perspective Plan and the </w:t>
      </w:r>
      <w:r w:rsidR="006C1D4C">
        <w:rPr>
          <w:rFonts w:cs="Times New Roman"/>
          <w:szCs w:val="24"/>
        </w:rPr>
        <w:t xml:space="preserve">Seventh Five Year </w:t>
      </w:r>
      <w:r w:rsidR="006C1D4C">
        <w:rPr>
          <w:rFonts w:cs="Times New Roman"/>
          <w:szCs w:val="24"/>
        </w:rPr>
        <w:lastRenderedPageBreak/>
        <w:t>Plan</w:t>
      </w:r>
      <w:r w:rsidR="006E3B8A" w:rsidRPr="00117449">
        <w:rPr>
          <w:rFonts w:cs="Times New Roman"/>
          <w:szCs w:val="24"/>
        </w:rPr>
        <w:t xml:space="preserve">.  </w:t>
      </w:r>
      <w:r>
        <w:rPr>
          <w:rFonts w:cs="Times New Roman"/>
          <w:szCs w:val="24"/>
        </w:rPr>
        <w:t xml:space="preserve">But importantly it directly incorporates </w:t>
      </w:r>
      <w:r w:rsidR="006E3B8A" w:rsidRPr="0062212A">
        <w:rPr>
          <w:rFonts w:cs="Times New Roman"/>
          <w:szCs w:val="24"/>
        </w:rPr>
        <w:t xml:space="preserve">the adverse effects of the climate change and natural hazards to show how these </w:t>
      </w:r>
      <w:r>
        <w:rPr>
          <w:rFonts w:cs="Times New Roman"/>
          <w:szCs w:val="24"/>
        </w:rPr>
        <w:t xml:space="preserve">adverse </w:t>
      </w:r>
      <w:r w:rsidR="006E3B8A" w:rsidRPr="0062212A">
        <w:rPr>
          <w:rFonts w:cs="Times New Roman"/>
          <w:szCs w:val="24"/>
        </w:rPr>
        <w:t xml:space="preserve">effects </w:t>
      </w:r>
      <w:r>
        <w:rPr>
          <w:rFonts w:cs="Times New Roman"/>
          <w:szCs w:val="24"/>
        </w:rPr>
        <w:t>will change the</w:t>
      </w:r>
      <w:r w:rsidR="006E3B8A" w:rsidRPr="0062212A">
        <w:rPr>
          <w:rFonts w:cs="Times New Roman"/>
          <w:szCs w:val="24"/>
        </w:rPr>
        <w:t xml:space="preserve"> outcomes with respect to growth, employment and poverty</w:t>
      </w:r>
      <w:r>
        <w:rPr>
          <w:rFonts w:cs="Times New Roman"/>
          <w:szCs w:val="24"/>
        </w:rPr>
        <w:t xml:space="preserve"> without the adoption of the BDP2100</w:t>
      </w:r>
      <w:r w:rsidR="006E3B8A" w:rsidRPr="0062212A">
        <w:rPr>
          <w:rFonts w:cs="Times New Roman"/>
          <w:szCs w:val="24"/>
        </w:rPr>
        <w:t>. All policies are in place except the implementation of the Del</w:t>
      </w:r>
      <w:r>
        <w:rPr>
          <w:rFonts w:cs="Times New Roman"/>
          <w:szCs w:val="24"/>
        </w:rPr>
        <w:t xml:space="preserve">ta Plan.  This is </w:t>
      </w:r>
      <w:r w:rsidR="00B56389">
        <w:rPr>
          <w:rFonts w:cs="Times New Roman"/>
          <w:szCs w:val="24"/>
        </w:rPr>
        <w:t>the business as usual policy environment</w:t>
      </w:r>
      <w:r w:rsidR="006E3B8A" w:rsidRPr="0062212A">
        <w:rPr>
          <w:rFonts w:cs="Times New Roman"/>
          <w:szCs w:val="24"/>
        </w:rPr>
        <w:t xml:space="preserve"> of the present times where a coordinated effort to manage the delta risks and hazards does not exist.  </w:t>
      </w:r>
    </w:p>
    <w:p w:rsidR="006E3B8A" w:rsidRPr="00117449" w:rsidRDefault="0062212A" w:rsidP="00A631E1">
      <w:pPr>
        <w:pStyle w:val="ListParagraph"/>
        <w:numPr>
          <w:ilvl w:val="0"/>
          <w:numId w:val="24"/>
        </w:numPr>
        <w:spacing w:line="276" w:lineRule="auto"/>
        <w:ind w:left="360"/>
        <w:jc w:val="both"/>
        <w:rPr>
          <w:rFonts w:cs="Times New Roman"/>
          <w:b/>
          <w:bCs/>
          <w:iCs/>
          <w:szCs w:val="24"/>
        </w:rPr>
      </w:pPr>
      <w:r w:rsidRPr="0062212A">
        <w:rPr>
          <w:rFonts w:cs="Times New Roman"/>
          <w:szCs w:val="24"/>
        </w:rPr>
        <w:t>The</w:t>
      </w:r>
      <w:r w:rsidR="006E3B8A" w:rsidRPr="00117449">
        <w:rPr>
          <w:rFonts w:cs="Times New Roman"/>
          <w:szCs w:val="24"/>
        </w:rPr>
        <w:t xml:space="preserve"> </w:t>
      </w:r>
      <w:r w:rsidR="00B56389">
        <w:rPr>
          <w:rFonts w:cs="Times New Roman"/>
          <w:szCs w:val="24"/>
        </w:rPr>
        <w:t>Second Option</w:t>
      </w:r>
      <w:r w:rsidR="006E3B8A" w:rsidRPr="00117449">
        <w:rPr>
          <w:rFonts w:cs="Times New Roman"/>
          <w:szCs w:val="24"/>
        </w:rPr>
        <w:t xml:space="preserve"> is th</w:t>
      </w:r>
      <w:r w:rsidR="00B56389">
        <w:rPr>
          <w:rFonts w:cs="Times New Roman"/>
          <w:szCs w:val="24"/>
        </w:rPr>
        <w:t>e Delta Plan (DP) Policy Option</w:t>
      </w:r>
      <w:r w:rsidR="006E3B8A" w:rsidRPr="00117449">
        <w:rPr>
          <w:rFonts w:cs="Times New Roman"/>
          <w:szCs w:val="24"/>
        </w:rPr>
        <w:t>, which is the co</w:t>
      </w:r>
      <w:r>
        <w:rPr>
          <w:rFonts w:cs="Times New Roman"/>
          <w:szCs w:val="24"/>
        </w:rPr>
        <w:t>mbination of the BAU</w:t>
      </w:r>
      <w:r w:rsidR="006E3B8A" w:rsidRPr="00117449">
        <w:rPr>
          <w:rFonts w:cs="Times New Roman"/>
          <w:szCs w:val="24"/>
        </w:rPr>
        <w:t xml:space="preserve"> with the </w:t>
      </w:r>
      <w:r>
        <w:rPr>
          <w:rFonts w:cs="Times New Roman"/>
          <w:szCs w:val="24"/>
        </w:rPr>
        <w:t>adoption of the BDP2100.  Thus, this scenario incorporates the adoption</w:t>
      </w:r>
      <w:r w:rsidR="006E3B8A" w:rsidRPr="00117449">
        <w:rPr>
          <w:rFonts w:cs="Times New Roman"/>
          <w:szCs w:val="24"/>
        </w:rPr>
        <w:t xml:space="preserve"> of strong climate change and other delta related adaptation measures to achieve higher and sustainable growth trajectories in the face of the various weather-related natural hazards and risks.</w:t>
      </w:r>
    </w:p>
    <w:p w:rsidR="00B56389" w:rsidRDefault="006F445E" w:rsidP="00087A05">
      <w:pPr>
        <w:spacing w:line="276" w:lineRule="auto"/>
        <w:jc w:val="both"/>
        <w:rPr>
          <w:rFonts w:cs="Times New Roman"/>
          <w:szCs w:val="24"/>
        </w:rPr>
      </w:pPr>
      <w:r>
        <w:rPr>
          <w:rFonts w:cs="Times New Roman"/>
          <w:szCs w:val="24"/>
        </w:rPr>
        <w:t xml:space="preserve">The results are very </w:t>
      </w:r>
      <w:r w:rsidR="00B56389">
        <w:rPr>
          <w:rFonts w:cs="Times New Roman"/>
          <w:szCs w:val="24"/>
        </w:rPr>
        <w:t>striking. Under the BAU Policy Option</w:t>
      </w:r>
      <w:r>
        <w:rPr>
          <w:rFonts w:cs="Times New Roman"/>
          <w:szCs w:val="24"/>
        </w:rPr>
        <w:t xml:space="preserve">, the GDP growth rate starts falling over time as the adverse effects of climate change and natural hazards gain momentum. The efficiency of capital falls. Outmigration to cities from vulnerable districts increases, adding to the urbanization pressures.  Agriculture productivity falls. Land degradation and lower land productivity reduce land availability and increase land prices. Availability of urban land falls in relation to demand as growing urbanization from outmigration creates additional pressure on urban land.  Cost of urban production increases as flooding and drainage problems damage urban properties and enterprises and create infrastructure </w:t>
      </w:r>
      <w:r w:rsidR="00F57172">
        <w:rPr>
          <w:rFonts w:cs="Times New Roman"/>
          <w:szCs w:val="24"/>
        </w:rPr>
        <w:t>problems</w:t>
      </w:r>
      <w:r>
        <w:rPr>
          <w:rFonts w:cs="Times New Roman"/>
          <w:szCs w:val="24"/>
        </w:rPr>
        <w:t>. Urban water shortages, water quality and sanitation risks add to health costs and reduce quality of life.  The net effect is an annu</w:t>
      </w:r>
      <w:r w:rsidR="005F60AA">
        <w:rPr>
          <w:rFonts w:cs="Times New Roman"/>
          <w:szCs w:val="24"/>
        </w:rPr>
        <w:t>al average GDP loss of about 1.3</w:t>
      </w:r>
      <w:r>
        <w:rPr>
          <w:rFonts w:cs="Times New Roman"/>
          <w:szCs w:val="24"/>
        </w:rPr>
        <w:t>% between FY2017-FY2041</w:t>
      </w:r>
      <w:r w:rsidR="005F60AA">
        <w:rPr>
          <w:rFonts w:cs="Times New Roman"/>
          <w:szCs w:val="24"/>
        </w:rPr>
        <w:t xml:space="preserve"> as compared with the government’s target to achieve and maintain 8% average GDP growth until FY2041</w:t>
      </w:r>
      <w:r>
        <w:rPr>
          <w:rFonts w:cs="Times New Roman"/>
          <w:szCs w:val="24"/>
        </w:rPr>
        <w:t xml:space="preserve">.  Most importantly, in this Scenario Bangladesh is unable to reach upper middle income status and eliminate extreme poverty </w:t>
      </w:r>
      <w:r w:rsidR="005F60AA">
        <w:rPr>
          <w:rFonts w:cs="Times New Roman"/>
          <w:szCs w:val="24"/>
        </w:rPr>
        <w:t xml:space="preserve">by FY2031.  </w:t>
      </w:r>
    </w:p>
    <w:p w:rsidR="006F445E" w:rsidRDefault="00B56389" w:rsidP="00087A05">
      <w:pPr>
        <w:spacing w:line="276" w:lineRule="auto"/>
        <w:jc w:val="both"/>
        <w:rPr>
          <w:rFonts w:cs="Times New Roman"/>
          <w:szCs w:val="24"/>
        </w:rPr>
      </w:pPr>
      <w:r>
        <w:rPr>
          <w:rFonts w:cs="Times New Roman"/>
          <w:szCs w:val="24"/>
        </w:rPr>
        <w:t>In contrast to the BAU option, u</w:t>
      </w:r>
      <w:r w:rsidR="006F445E">
        <w:rPr>
          <w:rFonts w:cs="Times New Roman"/>
          <w:szCs w:val="24"/>
        </w:rPr>
        <w:t xml:space="preserve">nder </w:t>
      </w:r>
      <w:r>
        <w:rPr>
          <w:rFonts w:cs="Times New Roman"/>
          <w:szCs w:val="24"/>
        </w:rPr>
        <w:t>the DP Policy Option</w:t>
      </w:r>
      <w:r w:rsidR="006F445E">
        <w:rPr>
          <w:rFonts w:cs="Times New Roman"/>
          <w:szCs w:val="24"/>
        </w:rPr>
        <w:t xml:space="preserve"> that incorporates the adoption of the Delta Plan the negative effects of climate change and natural hazards are considerably reduced.  This allows the Bangladesh economy to avoid a disruption of the growth effort and secure an average GDP growth rate of about 8% as comp</w:t>
      </w:r>
      <w:r w:rsidR="0053026D">
        <w:rPr>
          <w:rFonts w:cs="Times New Roman"/>
          <w:szCs w:val="24"/>
        </w:rPr>
        <w:t>ared with 6.7</w:t>
      </w:r>
      <w:r>
        <w:rPr>
          <w:rFonts w:cs="Times New Roman"/>
          <w:szCs w:val="24"/>
        </w:rPr>
        <w:t xml:space="preserve">% in the </w:t>
      </w:r>
      <w:r w:rsidR="00766381">
        <w:rPr>
          <w:rFonts w:cs="Times New Roman"/>
          <w:szCs w:val="24"/>
        </w:rPr>
        <w:t>BAU option</w:t>
      </w:r>
      <w:r w:rsidR="006F445E">
        <w:rPr>
          <w:rFonts w:cs="Times New Roman"/>
          <w:szCs w:val="24"/>
        </w:rPr>
        <w:t xml:space="preserve">.  </w:t>
      </w:r>
      <w:r w:rsidR="00766381">
        <w:rPr>
          <w:rFonts w:cs="Times New Roman"/>
          <w:szCs w:val="24"/>
        </w:rPr>
        <w:t xml:space="preserve">Based on higher GDP growth rate including the avoidance of loss of agricultural income and rural livelihoods, </w:t>
      </w:r>
      <w:r w:rsidR="006F445E">
        <w:rPr>
          <w:rFonts w:cs="Times New Roman"/>
          <w:szCs w:val="24"/>
        </w:rPr>
        <w:t>Bangladesh secures the development objectives of eliminating extreme poverty and reaching upper middle income status by FY2031.</w:t>
      </w:r>
    </w:p>
    <w:p w:rsidR="006E3B8A" w:rsidRPr="00117449" w:rsidRDefault="0053026D" w:rsidP="00912C7F">
      <w:pPr>
        <w:spacing w:line="276" w:lineRule="auto"/>
        <w:jc w:val="both"/>
        <w:rPr>
          <w:rFonts w:cs="Times New Roman"/>
          <w:szCs w:val="24"/>
        </w:rPr>
      </w:pPr>
      <w:r>
        <w:rPr>
          <w:rFonts w:cs="Times New Roman"/>
          <w:szCs w:val="24"/>
        </w:rPr>
        <w:t>Under the BAU</w:t>
      </w:r>
      <w:r w:rsidR="00B56389">
        <w:rPr>
          <w:rFonts w:cs="Times New Roman"/>
          <w:szCs w:val="24"/>
        </w:rPr>
        <w:t xml:space="preserve"> option</w:t>
      </w:r>
      <w:r w:rsidR="006E3B8A" w:rsidRPr="00117449">
        <w:rPr>
          <w:rFonts w:cs="Times New Roman"/>
          <w:szCs w:val="24"/>
        </w:rPr>
        <w:t xml:space="preserve">, the inclusion of environmental risks and subsequent loss in income causes substantial losses compared to the baseline. </w:t>
      </w:r>
      <w:r>
        <w:rPr>
          <w:rFonts w:cs="Times New Roman"/>
          <w:szCs w:val="24"/>
        </w:rPr>
        <w:t>GDP growth goes on a downwar</w:t>
      </w:r>
      <w:r w:rsidR="00F562DB">
        <w:rPr>
          <w:rFonts w:cs="Times New Roman"/>
          <w:szCs w:val="24"/>
        </w:rPr>
        <w:t>d slide, falling from around 7.2% in FY2017</w:t>
      </w:r>
      <w:r>
        <w:rPr>
          <w:rFonts w:cs="Times New Roman"/>
          <w:szCs w:val="24"/>
        </w:rPr>
        <w:t xml:space="preserve"> to only 5.6% by FY2041. </w:t>
      </w:r>
      <w:r w:rsidR="006E3B8A" w:rsidRPr="00117449">
        <w:rPr>
          <w:rFonts w:cs="Times New Roman"/>
          <w:szCs w:val="24"/>
        </w:rPr>
        <w:t>Owing to loss of capital stock and outputs in climate sensitive sectors, per capita nominal i</w:t>
      </w:r>
      <w:r w:rsidR="00753A4A">
        <w:rPr>
          <w:rFonts w:cs="Times New Roman"/>
          <w:szCs w:val="24"/>
        </w:rPr>
        <w:t>ncome would reach only USD 10,540</w:t>
      </w:r>
      <w:r w:rsidR="006E3B8A" w:rsidRPr="00117449">
        <w:rPr>
          <w:rFonts w:cs="Times New Roman"/>
          <w:szCs w:val="24"/>
        </w:rPr>
        <w:t xml:space="preserve"> in </w:t>
      </w:r>
      <w:r>
        <w:rPr>
          <w:rFonts w:cs="Times New Roman"/>
          <w:szCs w:val="24"/>
        </w:rPr>
        <w:t>FY2041</w:t>
      </w:r>
      <w:r w:rsidR="006E3B8A" w:rsidRPr="00117449">
        <w:rPr>
          <w:rFonts w:cs="Times New Roman"/>
          <w:szCs w:val="24"/>
        </w:rPr>
        <w:t>, which would be USD</w:t>
      </w:r>
      <w:r w:rsidR="00753A4A">
        <w:rPr>
          <w:rFonts w:cs="Times New Roman"/>
          <w:szCs w:val="24"/>
        </w:rPr>
        <w:t xml:space="preserve"> 3,837</w:t>
      </w:r>
      <w:r>
        <w:rPr>
          <w:rFonts w:cs="Times New Roman"/>
          <w:szCs w:val="24"/>
        </w:rPr>
        <w:t xml:space="preserve"> lower than the DP </w:t>
      </w:r>
      <w:r w:rsidR="00753A4A">
        <w:rPr>
          <w:rFonts w:cs="Times New Roman"/>
          <w:szCs w:val="24"/>
        </w:rPr>
        <w:t>scenario of USD 14,377</w:t>
      </w:r>
      <w:r w:rsidR="006E3B8A" w:rsidRPr="00117449">
        <w:rPr>
          <w:rFonts w:cs="Times New Roman"/>
          <w:szCs w:val="24"/>
        </w:rPr>
        <w:t>.  On average</w:t>
      </w:r>
      <w:r w:rsidR="001B2EF7">
        <w:rPr>
          <w:rFonts w:cs="Times New Roman"/>
          <w:szCs w:val="24"/>
        </w:rPr>
        <w:t>, there is a loss of 1.3</w:t>
      </w:r>
      <w:r w:rsidR="0014726D">
        <w:rPr>
          <w:rFonts w:cs="Times New Roman"/>
          <w:szCs w:val="24"/>
        </w:rPr>
        <w:t xml:space="preserve">% </w:t>
      </w:r>
      <w:r w:rsidR="006E3B8A" w:rsidRPr="00117449">
        <w:rPr>
          <w:rFonts w:cs="Times New Roman"/>
          <w:szCs w:val="24"/>
        </w:rPr>
        <w:t xml:space="preserve">of real GDP per year in </w:t>
      </w:r>
      <w:r w:rsidR="00753A4A">
        <w:rPr>
          <w:rFonts w:cs="Times New Roman"/>
          <w:szCs w:val="24"/>
        </w:rPr>
        <w:t xml:space="preserve">this scenario over the </w:t>
      </w:r>
      <w:r w:rsidR="001B2EF7">
        <w:rPr>
          <w:rFonts w:cs="Times New Roman"/>
          <w:szCs w:val="24"/>
        </w:rPr>
        <w:t>government’s target of achieving 8% GDP growth rate</w:t>
      </w:r>
      <w:r w:rsidR="00753A4A">
        <w:rPr>
          <w:rFonts w:cs="Times New Roman"/>
          <w:szCs w:val="24"/>
        </w:rPr>
        <w:t xml:space="preserve">, which </w:t>
      </w:r>
      <w:r w:rsidR="006E3B8A" w:rsidRPr="00117449">
        <w:rPr>
          <w:rFonts w:cs="Times New Roman"/>
          <w:szCs w:val="24"/>
        </w:rPr>
        <w:t>add</w:t>
      </w:r>
      <w:r w:rsidR="00753A4A">
        <w:rPr>
          <w:rFonts w:cs="Times New Roman"/>
          <w:szCs w:val="24"/>
        </w:rPr>
        <w:t>s</w:t>
      </w:r>
      <w:r w:rsidR="001B2EF7">
        <w:rPr>
          <w:rFonts w:cs="Times New Roman"/>
          <w:szCs w:val="24"/>
        </w:rPr>
        <w:t xml:space="preserve"> up to a cumulative loss of USD 741 billion of </w:t>
      </w:r>
      <w:r w:rsidR="001B2EF7">
        <w:rPr>
          <w:rFonts w:cs="Times New Roman"/>
          <w:szCs w:val="24"/>
        </w:rPr>
        <w:lastRenderedPageBreak/>
        <w:t>income by</w:t>
      </w:r>
      <w:r w:rsidR="006E3B8A" w:rsidRPr="00117449">
        <w:rPr>
          <w:rFonts w:cs="Times New Roman"/>
          <w:szCs w:val="24"/>
        </w:rPr>
        <w:t xml:space="preserve"> </w:t>
      </w:r>
      <w:r w:rsidR="00753A4A">
        <w:rPr>
          <w:rFonts w:cs="Times New Roman"/>
          <w:szCs w:val="24"/>
        </w:rPr>
        <w:t>FY2041</w:t>
      </w:r>
      <w:r w:rsidR="006E3B8A" w:rsidRPr="00117449">
        <w:rPr>
          <w:rFonts w:cs="Times New Roman"/>
          <w:szCs w:val="24"/>
        </w:rPr>
        <w:t xml:space="preserve">.  This lower GDP growth </w:t>
      </w:r>
      <w:r w:rsidR="00753A4A">
        <w:rPr>
          <w:rFonts w:cs="Times New Roman"/>
          <w:szCs w:val="24"/>
        </w:rPr>
        <w:t>and income levels have</w:t>
      </w:r>
      <w:r w:rsidR="006E3B8A" w:rsidRPr="00117449">
        <w:rPr>
          <w:rFonts w:cs="Times New Roman"/>
          <w:szCs w:val="24"/>
        </w:rPr>
        <w:t xml:space="preserve"> significant welfare consequences in terms of employment and poverty outcomes. Importantly, Bangla</w:t>
      </w:r>
      <w:r w:rsidR="00753A4A">
        <w:rPr>
          <w:rFonts w:cs="Times New Roman"/>
          <w:szCs w:val="24"/>
        </w:rPr>
        <w:t>desh</w:t>
      </w:r>
      <w:r w:rsidR="006E3B8A" w:rsidRPr="00117449">
        <w:rPr>
          <w:rFonts w:cs="Times New Roman"/>
          <w:szCs w:val="24"/>
        </w:rPr>
        <w:t xml:space="preserve"> miss</w:t>
      </w:r>
      <w:r w:rsidR="00753A4A">
        <w:rPr>
          <w:rFonts w:cs="Times New Roman"/>
          <w:szCs w:val="24"/>
        </w:rPr>
        <w:t>es</w:t>
      </w:r>
      <w:r w:rsidR="006E3B8A" w:rsidRPr="00117449">
        <w:rPr>
          <w:rFonts w:cs="Times New Roman"/>
          <w:szCs w:val="24"/>
        </w:rPr>
        <w:t xml:space="preserve"> out on both UMIC and poverty targets</w:t>
      </w:r>
      <w:r w:rsidR="00753A4A">
        <w:rPr>
          <w:rFonts w:cs="Times New Roman"/>
          <w:szCs w:val="24"/>
        </w:rPr>
        <w:t xml:space="preserve"> in the BAU but </w:t>
      </w:r>
      <w:r w:rsidR="00B56389">
        <w:rPr>
          <w:rFonts w:cs="Times New Roman"/>
          <w:szCs w:val="24"/>
        </w:rPr>
        <w:t>achieves them in the DP Policy Option</w:t>
      </w:r>
      <w:r w:rsidR="006E3B8A" w:rsidRPr="00117449">
        <w:rPr>
          <w:rFonts w:cs="Times New Roman"/>
          <w:szCs w:val="24"/>
        </w:rPr>
        <w:t xml:space="preserve">. </w:t>
      </w:r>
      <w:r w:rsidR="00753A4A">
        <w:rPr>
          <w:rFonts w:cs="Times New Roman"/>
          <w:szCs w:val="24"/>
        </w:rPr>
        <w:t xml:space="preserve"> The importance of adopting the DP is obvious.</w:t>
      </w:r>
    </w:p>
    <w:p w:rsidR="00000000" w:rsidRDefault="006E3B8A" w:rsidP="003D5A31">
      <w:pPr>
        <w:pStyle w:val="ListParagraph"/>
        <w:numPr>
          <w:ilvl w:val="0"/>
          <w:numId w:val="129"/>
        </w:numPr>
        <w:spacing w:line="276" w:lineRule="auto"/>
        <w:jc w:val="both"/>
        <w:rPr>
          <w:rFonts w:cs="Times New Roman"/>
          <w:b/>
          <w:szCs w:val="24"/>
        </w:rPr>
      </w:pPr>
      <w:r w:rsidRPr="00117449">
        <w:rPr>
          <w:rFonts w:cs="Times New Roman"/>
          <w:b/>
          <w:szCs w:val="24"/>
        </w:rPr>
        <w:t>Investment Cost of the Delta Plan and Financing Options</w:t>
      </w:r>
    </w:p>
    <w:p w:rsidR="006E3B8A" w:rsidRPr="00117449" w:rsidRDefault="006E3B8A" w:rsidP="00912C7F">
      <w:pPr>
        <w:spacing w:line="276" w:lineRule="auto"/>
        <w:jc w:val="both"/>
        <w:rPr>
          <w:rFonts w:cs="Times New Roman"/>
          <w:b/>
          <w:szCs w:val="24"/>
        </w:rPr>
      </w:pPr>
      <w:r w:rsidRPr="00117449">
        <w:rPr>
          <w:rFonts w:cs="Times New Roman"/>
          <w:b/>
          <w:szCs w:val="24"/>
        </w:rPr>
        <w:t>Investment Needs</w:t>
      </w:r>
    </w:p>
    <w:p w:rsidR="006E3B8A" w:rsidRPr="00117449" w:rsidRDefault="006E3B8A" w:rsidP="00912C7F">
      <w:pPr>
        <w:spacing w:line="276" w:lineRule="auto"/>
        <w:jc w:val="both"/>
        <w:rPr>
          <w:rFonts w:cs="Times New Roman"/>
          <w:szCs w:val="24"/>
        </w:rPr>
      </w:pPr>
      <w:r w:rsidRPr="00117449">
        <w:rPr>
          <w:rFonts w:cs="Times New Roman"/>
          <w:szCs w:val="24"/>
        </w:rPr>
        <w:t>The macroeconomic and sectoral costs of not implementing the Delta Plan can be substantial.  At the macroeconomic level, under moderate climate change conditions, the costs can be as large as 1</w:t>
      </w:r>
      <w:r w:rsidR="0087735E">
        <w:rPr>
          <w:rFonts w:cs="Times New Roman"/>
          <w:szCs w:val="24"/>
        </w:rPr>
        <w:t>.3</w:t>
      </w:r>
      <w:r w:rsidRPr="00117449">
        <w:rPr>
          <w:rFonts w:cs="Times New Roman"/>
          <w:szCs w:val="24"/>
        </w:rPr>
        <w:t xml:space="preserve">% lower rate of growth of GDP per year through </w:t>
      </w:r>
      <w:r w:rsidR="0087735E">
        <w:rPr>
          <w:rFonts w:cs="Times New Roman"/>
          <w:szCs w:val="24"/>
        </w:rPr>
        <w:t xml:space="preserve">the </w:t>
      </w:r>
      <w:r w:rsidRPr="00117449">
        <w:rPr>
          <w:rFonts w:cs="Times New Roman"/>
          <w:szCs w:val="24"/>
        </w:rPr>
        <w:t>loss of physical assets and economic activities.  Others costs will be in terms health risks and loss of bio-diversity.  The costs would be commensurately higher under a worst-case climate change envi</w:t>
      </w:r>
      <w:r w:rsidR="00753A4A">
        <w:rPr>
          <w:rFonts w:cs="Times New Roman"/>
          <w:szCs w:val="24"/>
        </w:rPr>
        <w:t xml:space="preserve">ronment. </w:t>
      </w:r>
      <w:r w:rsidR="00753A4A" w:rsidRPr="004B0A08">
        <w:rPr>
          <w:rFonts w:cs="Times New Roman"/>
          <w:i/>
          <w:szCs w:val="24"/>
        </w:rPr>
        <w:t>The implementation of Delta P</w:t>
      </w:r>
      <w:r w:rsidRPr="004B0A08">
        <w:rPr>
          <w:rFonts w:cs="Times New Roman"/>
          <w:i/>
          <w:szCs w:val="24"/>
        </w:rPr>
        <w:t>lan involves sectoral strategies for water, environment, land, agriculture (forestry, livestock and fisheries) involving policies, institutional reforms and investments.</w:t>
      </w:r>
      <w:r w:rsidRPr="00117449">
        <w:rPr>
          <w:rFonts w:cs="Times New Roman"/>
          <w:szCs w:val="24"/>
        </w:rPr>
        <w:t xml:space="preserve"> These Delta policies, investments and institutional reforms in the delta-related sectors are additional to investments, macroeconomic policies and economy wide governance changes associated with the government’s </w:t>
      </w:r>
      <w:r w:rsidR="006C1D4C">
        <w:rPr>
          <w:rFonts w:cs="Times New Roman"/>
          <w:szCs w:val="24"/>
        </w:rPr>
        <w:t>Seventh Five Year Plan</w:t>
      </w:r>
      <w:r w:rsidRPr="00117449">
        <w:rPr>
          <w:rFonts w:cs="Times New Roman"/>
          <w:szCs w:val="24"/>
        </w:rPr>
        <w:t xml:space="preserve"> and their intensification in the context of the government’s pursuit of an 8% growth strategy. </w:t>
      </w:r>
    </w:p>
    <w:p w:rsidR="006E3B8A" w:rsidRPr="00117449" w:rsidRDefault="006E3B8A" w:rsidP="00912C7F">
      <w:pPr>
        <w:spacing w:line="276" w:lineRule="auto"/>
        <w:jc w:val="both"/>
        <w:rPr>
          <w:rFonts w:cs="Times New Roman"/>
          <w:szCs w:val="24"/>
        </w:rPr>
      </w:pPr>
      <w:r w:rsidRPr="00117449">
        <w:rPr>
          <w:rFonts w:cs="Times New Roman"/>
          <w:szCs w:val="24"/>
        </w:rPr>
        <w:t>The implementation of the Delta Plan involves total spending on delta-related interventions, through new projects and maintenance of new and old projects, in an amount of about 2.5% of GDP per annum.  This compares with an annual spending of a mere 0.8% of GDP presently. In current prices and using the prevailing G</w:t>
      </w:r>
      <w:r w:rsidR="00651741">
        <w:rPr>
          <w:rFonts w:cs="Times New Roman"/>
          <w:szCs w:val="24"/>
        </w:rPr>
        <w:t>DP, total required spending on Delta P</w:t>
      </w:r>
      <w:r w:rsidRPr="00117449">
        <w:rPr>
          <w:rFonts w:cs="Times New Roman"/>
          <w:szCs w:val="24"/>
        </w:rPr>
        <w:t>lan related projects would need to grow from the pre-Delta</w:t>
      </w:r>
      <w:r w:rsidR="00651741">
        <w:rPr>
          <w:rFonts w:cs="Times New Roman"/>
          <w:szCs w:val="24"/>
        </w:rPr>
        <w:t xml:space="preserve"> Plan spending levels of about USD</w:t>
      </w:r>
      <w:r w:rsidRPr="00117449">
        <w:rPr>
          <w:rFonts w:cs="Times New Roman"/>
          <w:szCs w:val="24"/>
        </w:rPr>
        <w:t xml:space="preserve"> 1.8 billion in FY</w:t>
      </w:r>
      <w:r w:rsidR="00B354AD">
        <w:rPr>
          <w:rFonts w:cs="Times New Roman"/>
          <w:szCs w:val="24"/>
        </w:rPr>
        <w:t>20</w:t>
      </w:r>
      <w:r w:rsidRPr="00117449">
        <w:rPr>
          <w:rFonts w:cs="Times New Roman"/>
          <w:szCs w:val="24"/>
        </w:rPr>
        <w:t>16 to about US$3.5 billion in FY</w:t>
      </w:r>
      <w:r w:rsidR="00B354AD">
        <w:rPr>
          <w:rFonts w:cs="Times New Roman"/>
          <w:szCs w:val="24"/>
        </w:rPr>
        <w:t>20</w:t>
      </w:r>
      <w:r w:rsidR="004346FF">
        <w:rPr>
          <w:rFonts w:cs="Times New Roman"/>
          <w:szCs w:val="24"/>
        </w:rPr>
        <w:t>17 and will increase to USD</w:t>
      </w:r>
      <w:r w:rsidRPr="00117449">
        <w:rPr>
          <w:rFonts w:cs="Times New Roman"/>
          <w:szCs w:val="24"/>
        </w:rPr>
        <w:t xml:space="preserve"> 29.6 billion by FY</w:t>
      </w:r>
      <w:r w:rsidR="00B354AD">
        <w:rPr>
          <w:rFonts w:cs="Times New Roman"/>
          <w:szCs w:val="24"/>
        </w:rPr>
        <w:t>2031</w:t>
      </w:r>
      <w:r w:rsidRPr="00117449">
        <w:rPr>
          <w:rFonts w:cs="Times New Roman"/>
          <w:szCs w:val="24"/>
        </w:rPr>
        <w:t xml:space="preserve">.  </w:t>
      </w:r>
    </w:p>
    <w:p w:rsidR="00F562DB" w:rsidRPr="00137673" w:rsidRDefault="006E3B8A" w:rsidP="00137673">
      <w:pPr>
        <w:spacing w:line="276" w:lineRule="auto"/>
        <w:jc w:val="both"/>
        <w:rPr>
          <w:rFonts w:cs="Times New Roman"/>
          <w:szCs w:val="24"/>
        </w:rPr>
      </w:pPr>
      <w:r w:rsidRPr="00117449">
        <w:rPr>
          <w:rFonts w:cs="Times New Roman"/>
          <w:szCs w:val="24"/>
        </w:rPr>
        <w:t xml:space="preserve">The Delta Plan envisages that out of the total required 2.5% of GDP, some 0.5% of GDP could be funded by the private sector under various initiatives discussed below and about 2% of GDP would need to be executed through the </w:t>
      </w:r>
      <w:r w:rsidR="00573016">
        <w:rPr>
          <w:rFonts w:cs="Times New Roman"/>
          <w:szCs w:val="24"/>
        </w:rPr>
        <w:t>public</w:t>
      </w:r>
      <w:r w:rsidRPr="00117449">
        <w:rPr>
          <w:rFonts w:cs="Times New Roman"/>
          <w:szCs w:val="24"/>
        </w:rPr>
        <w:t xml:space="preserve"> sector. Out of this 2% of GDP financed from the Budget, about 0.5% of GDP would need to be spent on O&amp;M activities and the remaining 1.5% of GDP should come under the Delta Investment Plan (DIP). </w:t>
      </w:r>
      <w:r w:rsidRPr="004B0A08">
        <w:rPr>
          <w:rFonts w:cs="Times New Roman"/>
          <w:i/>
          <w:szCs w:val="24"/>
        </w:rPr>
        <w:t xml:space="preserve">It may be noted that at present O&amp;M is very much neglected and the actual amount may not even be more than 0.1% of GDP.  The practice of not maintaining delta related investment has led to rapid deterioration in the quality of water infrastructure and leading to complete rebuilding of the same at much higher costs. </w:t>
      </w:r>
    </w:p>
    <w:p w:rsidR="00EE54F9" w:rsidRDefault="00EE54F9" w:rsidP="00912C7F">
      <w:pPr>
        <w:spacing w:line="276" w:lineRule="auto"/>
        <w:jc w:val="both"/>
        <w:rPr>
          <w:rFonts w:cs="Times New Roman"/>
          <w:b/>
          <w:i/>
          <w:szCs w:val="24"/>
        </w:rPr>
      </w:pPr>
    </w:p>
    <w:p w:rsidR="00BB11A4" w:rsidRDefault="00BB11A4" w:rsidP="00912C7F">
      <w:pPr>
        <w:spacing w:line="276" w:lineRule="auto"/>
        <w:jc w:val="both"/>
        <w:rPr>
          <w:rFonts w:cs="Times New Roman"/>
          <w:b/>
          <w:i/>
          <w:szCs w:val="24"/>
        </w:rPr>
      </w:pPr>
    </w:p>
    <w:p w:rsidR="006E3B8A" w:rsidRPr="00586F28" w:rsidRDefault="006E3B8A" w:rsidP="00912C7F">
      <w:pPr>
        <w:spacing w:line="276" w:lineRule="auto"/>
        <w:jc w:val="both"/>
        <w:rPr>
          <w:rFonts w:cs="Times New Roman"/>
          <w:b/>
          <w:i/>
          <w:szCs w:val="24"/>
        </w:rPr>
      </w:pPr>
      <w:r w:rsidRPr="00586F28">
        <w:rPr>
          <w:rFonts w:cs="Times New Roman"/>
          <w:b/>
          <w:i/>
          <w:szCs w:val="24"/>
        </w:rPr>
        <w:lastRenderedPageBreak/>
        <w:t>Investment Priorities</w:t>
      </w:r>
    </w:p>
    <w:p w:rsidR="006E3B8A" w:rsidRPr="00117449" w:rsidRDefault="006E3B8A" w:rsidP="00912C7F">
      <w:pPr>
        <w:spacing w:line="276" w:lineRule="auto"/>
        <w:jc w:val="both"/>
        <w:rPr>
          <w:rFonts w:cs="Times New Roman"/>
          <w:szCs w:val="24"/>
        </w:rPr>
      </w:pPr>
      <w:r w:rsidRPr="00117449">
        <w:rPr>
          <w:rFonts w:cs="Times New Roman"/>
          <w:szCs w:val="24"/>
        </w:rPr>
        <w:t>The list of investment priorities identified in the Delta Plan is long. Additionally, implementation capacity constraints will limit the ability to design, prepare and implement large projects. So, priorities will have to be set.</w:t>
      </w:r>
      <w:r w:rsidR="0083672E">
        <w:rPr>
          <w:rFonts w:cs="Times New Roman"/>
          <w:szCs w:val="24"/>
        </w:rPr>
        <w:t xml:space="preserve">  It is important to note that DIP</w:t>
      </w:r>
      <w:r w:rsidRPr="00117449">
        <w:rPr>
          <w:rFonts w:cs="Times New Roman"/>
          <w:szCs w:val="24"/>
        </w:rPr>
        <w:t xml:space="preserve"> projects are not just physical investments. There are major research, knowledge and institutional gaps that will require complementary capacity building investments.  </w:t>
      </w:r>
    </w:p>
    <w:p w:rsidR="006E3B8A" w:rsidRPr="00117449" w:rsidRDefault="006E3B8A" w:rsidP="00912C7F">
      <w:pPr>
        <w:spacing w:line="276" w:lineRule="auto"/>
        <w:jc w:val="both"/>
        <w:rPr>
          <w:rFonts w:eastAsia="Times New Roman" w:cs="Times New Roman"/>
          <w:szCs w:val="24"/>
        </w:rPr>
      </w:pPr>
      <w:r w:rsidRPr="00117449">
        <w:rPr>
          <w:rFonts w:eastAsia="Times New Roman" w:cs="Times New Roman"/>
          <w:szCs w:val="24"/>
        </w:rPr>
        <w:t xml:space="preserve">Much of the </w:t>
      </w:r>
      <w:r w:rsidR="00573016">
        <w:rPr>
          <w:rFonts w:eastAsia="Times New Roman" w:cs="Times New Roman"/>
          <w:szCs w:val="24"/>
        </w:rPr>
        <w:t>public</w:t>
      </w:r>
      <w:r w:rsidRPr="00117449">
        <w:rPr>
          <w:rFonts w:eastAsia="Times New Roman" w:cs="Times New Roman"/>
          <w:szCs w:val="24"/>
        </w:rPr>
        <w:t xml:space="preserve"> funding of BDP2100 will need go to flood protection, river erosion control, river management including river training and navigability, urban and rural water supply and waste management, and urban flood control and drainage. These are highly capital intensive investments.  Investments in flood control, river erosion, river management including </w:t>
      </w:r>
      <w:r w:rsidR="0087735E">
        <w:rPr>
          <w:rFonts w:eastAsia="Times New Roman" w:cs="Times New Roman"/>
          <w:szCs w:val="24"/>
        </w:rPr>
        <w:t>dredging</w:t>
      </w:r>
      <w:r w:rsidR="007E28F0">
        <w:rPr>
          <w:rFonts w:eastAsia="Times New Roman" w:cs="Times New Roman"/>
          <w:szCs w:val="24"/>
        </w:rPr>
        <w:t>,</w:t>
      </w:r>
      <w:r w:rsidR="0087735E">
        <w:rPr>
          <w:rFonts w:eastAsia="Times New Roman" w:cs="Times New Roman"/>
          <w:szCs w:val="24"/>
        </w:rPr>
        <w:t xml:space="preserve"> </w:t>
      </w:r>
      <w:r w:rsidRPr="00117449">
        <w:rPr>
          <w:rFonts w:eastAsia="Times New Roman" w:cs="Times New Roman"/>
          <w:szCs w:val="24"/>
        </w:rPr>
        <w:t>training and navigability are amongst the highest priority investments in today’s Banglad</w:t>
      </w:r>
      <w:r w:rsidR="009372E5">
        <w:rPr>
          <w:rFonts w:eastAsia="Times New Roman" w:cs="Times New Roman"/>
          <w:szCs w:val="24"/>
        </w:rPr>
        <w:t>esh and will likely absorb 35</w:t>
      </w:r>
      <w:r w:rsidRPr="00117449">
        <w:rPr>
          <w:rFonts w:eastAsia="Times New Roman" w:cs="Times New Roman"/>
          <w:szCs w:val="24"/>
        </w:rPr>
        <w:t xml:space="preserve">% of total Delta investments. Secondly, the back-log of demand for urban water, sanitation, waste management and drainage in major cities coupled with rapidly growing concentration of population and economic density in these areas suggest that this category will absorb at least 25% of all delta investments. Thirdly, the lack of water and sanitation services in small towns and rural areas suggest that the need to achieve the government’s targets for safe water supply and sanitation for these areas will call for massive investments in these services. This category may absorb as much as 20% of total BDP2100 investment upto </w:t>
      </w:r>
      <w:r w:rsidR="00B354AD">
        <w:rPr>
          <w:rFonts w:eastAsia="Times New Roman" w:cs="Times New Roman"/>
          <w:szCs w:val="24"/>
        </w:rPr>
        <w:t>FY</w:t>
      </w:r>
      <w:r w:rsidRPr="00117449">
        <w:rPr>
          <w:rFonts w:eastAsia="Times New Roman" w:cs="Times New Roman"/>
          <w:szCs w:val="24"/>
        </w:rPr>
        <w:t xml:space="preserve">2031. </w:t>
      </w:r>
      <w:r w:rsidR="00B57B81">
        <w:rPr>
          <w:rFonts w:eastAsia="Times New Roman" w:cs="Times New Roman"/>
          <w:szCs w:val="24"/>
        </w:rPr>
        <w:t>Canals</w:t>
      </w:r>
      <w:r w:rsidRPr="00117449">
        <w:rPr>
          <w:rFonts w:eastAsia="Times New Roman" w:cs="Times New Roman"/>
          <w:szCs w:val="24"/>
        </w:rPr>
        <w:t xml:space="preserve"> investment alone will not be enough.  This is new area, in addition to agriculture water management, where the scope for private participation is large.   </w:t>
      </w:r>
    </w:p>
    <w:p w:rsidR="006E3B8A" w:rsidRPr="00117449" w:rsidRDefault="006E3B8A" w:rsidP="00912C7F">
      <w:pPr>
        <w:spacing w:line="276" w:lineRule="auto"/>
        <w:jc w:val="both"/>
        <w:rPr>
          <w:rFonts w:eastAsia="Times New Roman" w:cs="Times New Roman"/>
          <w:szCs w:val="24"/>
        </w:rPr>
      </w:pPr>
      <w:r w:rsidRPr="00117449">
        <w:rPr>
          <w:rFonts w:eastAsia="Times New Roman" w:cs="Times New Roman"/>
          <w:szCs w:val="24"/>
        </w:rPr>
        <w:t>Based on existing knowledge and the water strategy identified above, the top 15 BDP2100 projects are listed in Table below.</w:t>
      </w:r>
    </w:p>
    <w:p w:rsidR="006E3B8A" w:rsidRPr="00BA2D74" w:rsidRDefault="006E3B8A" w:rsidP="00F31FDB">
      <w:pPr>
        <w:jc w:val="center"/>
        <w:rPr>
          <w:b/>
        </w:rPr>
      </w:pPr>
      <w:r>
        <w:rPr>
          <w:b/>
        </w:rPr>
        <w:t>Delta Plan Top 15 Investment Projects</w:t>
      </w:r>
    </w:p>
    <w:tbl>
      <w:tblPr>
        <w:tblStyle w:val="TableGrid"/>
        <w:tblW w:w="5000" w:type="pct"/>
        <w:tblLook w:val="04A0"/>
      </w:tblPr>
      <w:tblGrid>
        <w:gridCol w:w="1483"/>
        <w:gridCol w:w="2945"/>
        <w:gridCol w:w="5148"/>
      </w:tblGrid>
      <w:tr w:rsidR="006E3B8A" w:rsidTr="00F31FDB">
        <w:trPr>
          <w:trHeight w:hRule="exact" w:val="317"/>
        </w:trPr>
        <w:tc>
          <w:tcPr>
            <w:tcW w:w="774" w:type="pct"/>
          </w:tcPr>
          <w:p w:rsidR="006E3B8A" w:rsidRPr="00EF7A0B" w:rsidRDefault="006E3B8A" w:rsidP="00F31FDB">
            <w:pPr>
              <w:rPr>
                <w:b/>
              </w:rPr>
            </w:pPr>
            <w:r w:rsidRPr="00EF7A0B">
              <w:rPr>
                <w:b/>
              </w:rPr>
              <w:t>Hotspot</w:t>
            </w:r>
          </w:p>
        </w:tc>
        <w:tc>
          <w:tcPr>
            <w:tcW w:w="1538" w:type="pct"/>
          </w:tcPr>
          <w:p w:rsidR="006E3B8A" w:rsidRPr="00EF7A0B" w:rsidRDefault="006E3B8A" w:rsidP="00F31FDB">
            <w:pPr>
              <w:rPr>
                <w:b/>
              </w:rPr>
            </w:pPr>
            <w:r w:rsidRPr="00EF7A0B">
              <w:rPr>
                <w:b/>
              </w:rPr>
              <w:t>Investment Name</w:t>
            </w:r>
          </w:p>
        </w:tc>
        <w:tc>
          <w:tcPr>
            <w:tcW w:w="2688" w:type="pct"/>
          </w:tcPr>
          <w:p w:rsidR="006E3B8A" w:rsidRPr="00EF7A0B" w:rsidRDefault="006E3B8A" w:rsidP="00F31FDB">
            <w:pPr>
              <w:rPr>
                <w:b/>
              </w:rPr>
            </w:pPr>
            <w:r w:rsidRPr="00EF7A0B">
              <w:rPr>
                <w:b/>
              </w:rPr>
              <w:t>Problems Addressed</w:t>
            </w:r>
          </w:p>
        </w:tc>
      </w:tr>
      <w:tr w:rsidR="006E3B8A" w:rsidTr="00F31FDB">
        <w:tc>
          <w:tcPr>
            <w:tcW w:w="774" w:type="pct"/>
          </w:tcPr>
          <w:p w:rsidR="006E3B8A" w:rsidRPr="00EF7A0B" w:rsidRDefault="006E3B8A" w:rsidP="00F31FDB">
            <w:pPr>
              <w:spacing w:after="0" w:line="240" w:lineRule="auto"/>
              <w:rPr>
                <w:sz w:val="20"/>
              </w:rPr>
            </w:pPr>
            <w:r w:rsidRPr="00EF7A0B">
              <w:rPr>
                <w:sz w:val="20"/>
              </w:rPr>
              <w:t>Barind Area</w:t>
            </w:r>
          </w:p>
        </w:tc>
        <w:tc>
          <w:tcPr>
            <w:tcW w:w="1538" w:type="pct"/>
          </w:tcPr>
          <w:p w:rsidR="006E3B8A" w:rsidRPr="00EF7A0B" w:rsidRDefault="006E3B8A" w:rsidP="00F31FDB">
            <w:pPr>
              <w:spacing w:after="0" w:line="240" w:lineRule="auto"/>
              <w:rPr>
                <w:sz w:val="20"/>
              </w:rPr>
            </w:pPr>
            <w:r w:rsidRPr="00EF7A0B">
              <w:rPr>
                <w:sz w:val="20"/>
              </w:rPr>
              <w:t>Ganges Barrage Project</w:t>
            </w:r>
          </w:p>
        </w:tc>
        <w:tc>
          <w:tcPr>
            <w:tcW w:w="2688" w:type="pct"/>
          </w:tcPr>
          <w:p w:rsidR="006E3B8A" w:rsidRPr="00EF7A0B" w:rsidRDefault="006E3B8A" w:rsidP="00F31FDB">
            <w:pPr>
              <w:spacing w:after="0" w:line="240" w:lineRule="auto"/>
              <w:rPr>
                <w:sz w:val="20"/>
              </w:rPr>
            </w:pPr>
            <w:r w:rsidRPr="00EF7A0B">
              <w:rPr>
                <w:sz w:val="20"/>
              </w:rPr>
              <w:t>Flood control in the monsoon season; surface water shortage in the dry period</w:t>
            </w:r>
          </w:p>
        </w:tc>
      </w:tr>
      <w:tr w:rsidR="006E3B8A" w:rsidTr="00F31FDB">
        <w:tc>
          <w:tcPr>
            <w:tcW w:w="774" w:type="pct"/>
          </w:tcPr>
          <w:p w:rsidR="006E3B8A" w:rsidRPr="00EF7A0B" w:rsidRDefault="006E3B8A" w:rsidP="00F31FDB">
            <w:pPr>
              <w:spacing w:after="0" w:line="240" w:lineRule="auto"/>
              <w:rPr>
                <w:sz w:val="20"/>
              </w:rPr>
            </w:pPr>
            <w:r w:rsidRPr="00EF7A0B">
              <w:rPr>
                <w:sz w:val="20"/>
              </w:rPr>
              <w:t>Barind Area</w:t>
            </w:r>
          </w:p>
        </w:tc>
        <w:tc>
          <w:tcPr>
            <w:tcW w:w="1538" w:type="pct"/>
          </w:tcPr>
          <w:p w:rsidR="006E3B8A" w:rsidRPr="00EF7A0B" w:rsidRDefault="006E3B8A" w:rsidP="00F31FDB">
            <w:pPr>
              <w:spacing w:after="0" w:line="240" w:lineRule="auto"/>
              <w:rPr>
                <w:sz w:val="20"/>
              </w:rPr>
            </w:pPr>
            <w:r w:rsidRPr="00EF7A0B">
              <w:rPr>
                <w:sz w:val="20"/>
              </w:rPr>
              <w:t>Restoration of the Chalan Beel</w:t>
            </w:r>
          </w:p>
        </w:tc>
        <w:tc>
          <w:tcPr>
            <w:tcW w:w="2688" w:type="pct"/>
          </w:tcPr>
          <w:p w:rsidR="006E3B8A" w:rsidRPr="00EF7A0B" w:rsidRDefault="006E3B8A" w:rsidP="00F31FDB">
            <w:pPr>
              <w:spacing w:after="0" w:line="240" w:lineRule="auto"/>
              <w:rPr>
                <w:sz w:val="20"/>
              </w:rPr>
            </w:pPr>
            <w:r w:rsidRPr="00EF7A0B">
              <w:rPr>
                <w:sz w:val="20"/>
              </w:rPr>
              <w:t>Wetland preservation; water reservoir for dry period</w:t>
            </w:r>
          </w:p>
        </w:tc>
      </w:tr>
      <w:tr w:rsidR="006E3B8A" w:rsidTr="00F31FDB">
        <w:tc>
          <w:tcPr>
            <w:tcW w:w="774" w:type="pct"/>
          </w:tcPr>
          <w:p w:rsidR="006E3B8A" w:rsidRPr="00EF7A0B" w:rsidRDefault="006E3B8A" w:rsidP="00F31FDB">
            <w:pPr>
              <w:spacing w:after="0" w:line="240" w:lineRule="auto"/>
              <w:rPr>
                <w:sz w:val="20"/>
              </w:rPr>
            </w:pPr>
            <w:r w:rsidRPr="00EF7A0B">
              <w:rPr>
                <w:sz w:val="20"/>
              </w:rPr>
              <w:t>River and Estuary</w:t>
            </w:r>
          </w:p>
        </w:tc>
        <w:tc>
          <w:tcPr>
            <w:tcW w:w="1538" w:type="pct"/>
          </w:tcPr>
          <w:p w:rsidR="006E3B8A" w:rsidRPr="00EF7A0B" w:rsidRDefault="006E3B8A" w:rsidP="00F31FDB">
            <w:pPr>
              <w:spacing w:after="0" w:line="240" w:lineRule="auto"/>
              <w:rPr>
                <w:sz w:val="20"/>
              </w:rPr>
            </w:pPr>
            <w:r w:rsidRPr="00EF7A0B">
              <w:rPr>
                <w:sz w:val="20"/>
              </w:rPr>
              <w:t>Brahmaputra Barrage Project</w:t>
            </w:r>
          </w:p>
        </w:tc>
        <w:tc>
          <w:tcPr>
            <w:tcW w:w="2688" w:type="pct"/>
          </w:tcPr>
          <w:p w:rsidR="006E3B8A" w:rsidRPr="00EF7A0B" w:rsidRDefault="006E3B8A" w:rsidP="00F31FDB">
            <w:pPr>
              <w:spacing w:after="0" w:line="240" w:lineRule="auto"/>
              <w:rPr>
                <w:sz w:val="20"/>
              </w:rPr>
            </w:pPr>
            <w:r w:rsidRPr="00EF7A0B">
              <w:rPr>
                <w:sz w:val="20"/>
              </w:rPr>
              <w:t>Flood control; river erosion; restoration of the old Brahmaputra river</w:t>
            </w:r>
          </w:p>
        </w:tc>
      </w:tr>
      <w:tr w:rsidR="006E3B8A" w:rsidTr="00F31FDB">
        <w:tc>
          <w:tcPr>
            <w:tcW w:w="774" w:type="pct"/>
          </w:tcPr>
          <w:p w:rsidR="006E3B8A" w:rsidRPr="00EF7A0B" w:rsidRDefault="006E3B8A" w:rsidP="00F31FDB">
            <w:pPr>
              <w:spacing w:after="0" w:line="240" w:lineRule="auto"/>
              <w:rPr>
                <w:sz w:val="20"/>
              </w:rPr>
            </w:pPr>
            <w:r w:rsidRPr="00EF7A0B">
              <w:rPr>
                <w:sz w:val="20"/>
              </w:rPr>
              <w:t>River and Estuary</w:t>
            </w:r>
            <w:r>
              <w:rPr>
                <w:sz w:val="20"/>
              </w:rPr>
              <w:t>/Coastal</w:t>
            </w:r>
          </w:p>
        </w:tc>
        <w:tc>
          <w:tcPr>
            <w:tcW w:w="1538" w:type="pct"/>
          </w:tcPr>
          <w:p w:rsidR="006E3B8A" w:rsidRPr="00EF7A0B" w:rsidRDefault="006E3B8A" w:rsidP="00F31FDB">
            <w:pPr>
              <w:spacing w:after="0" w:line="240" w:lineRule="auto"/>
              <w:rPr>
                <w:sz w:val="20"/>
              </w:rPr>
            </w:pPr>
            <w:r>
              <w:rPr>
                <w:sz w:val="20"/>
              </w:rPr>
              <w:t>Char Protection and Development Project (s)</w:t>
            </w:r>
          </w:p>
        </w:tc>
        <w:tc>
          <w:tcPr>
            <w:tcW w:w="2688" w:type="pct"/>
          </w:tcPr>
          <w:p w:rsidR="006E3B8A" w:rsidRPr="00EF7A0B" w:rsidRDefault="006E3B8A" w:rsidP="00F31FDB">
            <w:pPr>
              <w:spacing w:after="0" w:line="240" w:lineRule="auto"/>
              <w:rPr>
                <w:sz w:val="20"/>
              </w:rPr>
            </w:pPr>
            <w:r>
              <w:rPr>
                <w:sz w:val="20"/>
              </w:rPr>
              <w:t>Protection and development opportunities to the poorest of the poor population living in the char areas against flood inundation (e.g. Kurigram, Gaibandha, Bhola, Patuakhali, Laxmipur)</w:t>
            </w:r>
          </w:p>
        </w:tc>
      </w:tr>
      <w:tr w:rsidR="006E3B8A" w:rsidTr="00F31FDB">
        <w:tc>
          <w:tcPr>
            <w:tcW w:w="774" w:type="pct"/>
          </w:tcPr>
          <w:p w:rsidR="006E3B8A" w:rsidRPr="00EF7A0B" w:rsidRDefault="006E3B8A" w:rsidP="00F31FDB">
            <w:pPr>
              <w:spacing w:after="0" w:line="240" w:lineRule="auto"/>
              <w:rPr>
                <w:sz w:val="20"/>
              </w:rPr>
            </w:pPr>
            <w:r>
              <w:rPr>
                <w:sz w:val="20"/>
              </w:rPr>
              <w:t>Coastal Belt</w:t>
            </w:r>
          </w:p>
        </w:tc>
        <w:tc>
          <w:tcPr>
            <w:tcW w:w="1538" w:type="pct"/>
          </w:tcPr>
          <w:p w:rsidR="006E3B8A" w:rsidRPr="00EF7A0B" w:rsidRDefault="006E3B8A" w:rsidP="00F31FDB">
            <w:pPr>
              <w:spacing w:after="0" w:line="240" w:lineRule="auto"/>
              <w:rPr>
                <w:sz w:val="20"/>
              </w:rPr>
            </w:pPr>
            <w:r>
              <w:rPr>
                <w:sz w:val="20"/>
              </w:rPr>
              <w:t>Coastal Embankment Project (s)</w:t>
            </w:r>
          </w:p>
        </w:tc>
        <w:tc>
          <w:tcPr>
            <w:tcW w:w="2688" w:type="pct"/>
          </w:tcPr>
          <w:p w:rsidR="006E3B8A" w:rsidRPr="00EF7A0B" w:rsidRDefault="006E3B8A" w:rsidP="00F31FDB">
            <w:pPr>
              <w:spacing w:after="0" w:line="240" w:lineRule="auto"/>
              <w:rPr>
                <w:sz w:val="20"/>
              </w:rPr>
            </w:pPr>
            <w:r>
              <w:rPr>
                <w:sz w:val="20"/>
              </w:rPr>
              <w:t>Redesigning of all coastal polders and improved O&amp;M</w:t>
            </w:r>
          </w:p>
        </w:tc>
      </w:tr>
      <w:tr w:rsidR="006E3B8A" w:rsidTr="00F31FDB">
        <w:tc>
          <w:tcPr>
            <w:tcW w:w="774" w:type="pct"/>
          </w:tcPr>
          <w:p w:rsidR="006E3B8A" w:rsidRPr="00EF7A0B" w:rsidRDefault="006E3B8A" w:rsidP="00F31FDB">
            <w:pPr>
              <w:spacing w:after="0" w:line="240" w:lineRule="auto"/>
              <w:rPr>
                <w:sz w:val="20"/>
              </w:rPr>
            </w:pPr>
            <w:r>
              <w:rPr>
                <w:sz w:val="20"/>
              </w:rPr>
              <w:t>Coastal Belt</w:t>
            </w:r>
          </w:p>
        </w:tc>
        <w:tc>
          <w:tcPr>
            <w:tcW w:w="1538" w:type="pct"/>
          </w:tcPr>
          <w:p w:rsidR="006E3B8A" w:rsidRPr="00EF7A0B" w:rsidRDefault="006E3B8A" w:rsidP="00F31FDB">
            <w:pPr>
              <w:spacing w:after="0" w:line="240" w:lineRule="auto"/>
              <w:rPr>
                <w:sz w:val="20"/>
              </w:rPr>
            </w:pPr>
            <w:r>
              <w:rPr>
                <w:sz w:val="20"/>
              </w:rPr>
              <w:t>Restoration of the Gorai River Project</w:t>
            </w:r>
          </w:p>
        </w:tc>
        <w:tc>
          <w:tcPr>
            <w:tcW w:w="2688" w:type="pct"/>
          </w:tcPr>
          <w:p w:rsidR="006E3B8A" w:rsidRPr="00EF7A0B" w:rsidRDefault="006E3B8A" w:rsidP="00F31FDB">
            <w:pPr>
              <w:spacing w:after="0" w:line="240" w:lineRule="auto"/>
              <w:rPr>
                <w:sz w:val="20"/>
              </w:rPr>
            </w:pPr>
            <w:r>
              <w:rPr>
                <w:sz w:val="20"/>
              </w:rPr>
              <w:t>Supply fresh water to the salinity prone areas of Khulna, Jessore, Bagerhat and Narail. Protect the Sundarbans</w:t>
            </w:r>
          </w:p>
        </w:tc>
      </w:tr>
      <w:tr w:rsidR="006E3B8A" w:rsidTr="00F31FDB">
        <w:tc>
          <w:tcPr>
            <w:tcW w:w="774" w:type="pct"/>
          </w:tcPr>
          <w:p w:rsidR="006E3B8A" w:rsidRDefault="006E3B8A" w:rsidP="00F31FDB">
            <w:pPr>
              <w:spacing w:after="0" w:line="240" w:lineRule="auto"/>
              <w:rPr>
                <w:sz w:val="20"/>
              </w:rPr>
            </w:pPr>
            <w:r>
              <w:rPr>
                <w:sz w:val="20"/>
              </w:rPr>
              <w:t>Haor Area</w:t>
            </w:r>
          </w:p>
        </w:tc>
        <w:tc>
          <w:tcPr>
            <w:tcW w:w="1538" w:type="pct"/>
          </w:tcPr>
          <w:p w:rsidR="006E3B8A" w:rsidRDefault="006E3B8A" w:rsidP="00F31FDB">
            <w:pPr>
              <w:spacing w:after="0" w:line="240" w:lineRule="auto"/>
              <w:rPr>
                <w:sz w:val="20"/>
              </w:rPr>
            </w:pPr>
            <w:r>
              <w:rPr>
                <w:sz w:val="20"/>
              </w:rPr>
              <w:t>Haor Flood Management Project (s)</w:t>
            </w:r>
          </w:p>
        </w:tc>
        <w:tc>
          <w:tcPr>
            <w:tcW w:w="2688" w:type="pct"/>
          </w:tcPr>
          <w:p w:rsidR="006E3B8A" w:rsidRPr="00EF7A0B" w:rsidRDefault="006E3B8A" w:rsidP="00F31FDB">
            <w:pPr>
              <w:spacing w:after="0" w:line="240" w:lineRule="auto"/>
              <w:rPr>
                <w:sz w:val="20"/>
              </w:rPr>
            </w:pPr>
            <w:r>
              <w:rPr>
                <w:sz w:val="20"/>
              </w:rPr>
              <w:t>Provide pre and post monsoon flood protection to Haor areas.</w:t>
            </w:r>
          </w:p>
        </w:tc>
      </w:tr>
      <w:tr w:rsidR="006E3B8A" w:rsidTr="00F31FDB">
        <w:trPr>
          <w:trHeight w:hRule="exact" w:val="504"/>
        </w:trPr>
        <w:tc>
          <w:tcPr>
            <w:tcW w:w="774" w:type="pct"/>
          </w:tcPr>
          <w:p w:rsidR="006E3B8A" w:rsidRDefault="006E3B8A" w:rsidP="00F31FDB">
            <w:pPr>
              <w:spacing w:after="0" w:line="240" w:lineRule="auto"/>
              <w:rPr>
                <w:sz w:val="20"/>
              </w:rPr>
            </w:pPr>
            <w:r>
              <w:rPr>
                <w:sz w:val="20"/>
              </w:rPr>
              <w:t>Urban Areas</w:t>
            </w:r>
          </w:p>
        </w:tc>
        <w:tc>
          <w:tcPr>
            <w:tcW w:w="1538" w:type="pct"/>
          </w:tcPr>
          <w:p w:rsidR="006E3B8A" w:rsidRPr="00D72C0F" w:rsidRDefault="006E3B8A" w:rsidP="00F31FDB">
            <w:pPr>
              <w:spacing w:after="0" w:line="240" w:lineRule="auto"/>
              <w:rPr>
                <w:sz w:val="20"/>
              </w:rPr>
            </w:pPr>
            <w:r w:rsidRPr="00D72C0F">
              <w:rPr>
                <w:sz w:val="20"/>
              </w:rPr>
              <w:t>Dh</w:t>
            </w:r>
            <w:r>
              <w:rPr>
                <w:sz w:val="20"/>
              </w:rPr>
              <w:t>aka-Narayanganj-Demra (DND) Flood Control and Drainage Project</w:t>
            </w:r>
          </w:p>
          <w:p w:rsidR="006E3B8A" w:rsidRDefault="006E3B8A" w:rsidP="00F31FDB">
            <w:pPr>
              <w:spacing w:after="0" w:line="240" w:lineRule="auto"/>
              <w:rPr>
                <w:sz w:val="20"/>
              </w:rPr>
            </w:pPr>
          </w:p>
        </w:tc>
        <w:tc>
          <w:tcPr>
            <w:tcW w:w="2688" w:type="pct"/>
          </w:tcPr>
          <w:p w:rsidR="006E3B8A" w:rsidRPr="00EF7A0B" w:rsidRDefault="006E3B8A" w:rsidP="00F31FDB">
            <w:pPr>
              <w:spacing w:after="0" w:line="240" w:lineRule="auto"/>
              <w:rPr>
                <w:sz w:val="20"/>
              </w:rPr>
            </w:pPr>
            <w:r>
              <w:rPr>
                <w:sz w:val="20"/>
              </w:rPr>
              <w:t>Flood control and drainage for a high economic density area</w:t>
            </w:r>
          </w:p>
        </w:tc>
      </w:tr>
      <w:tr w:rsidR="006E3B8A" w:rsidTr="00F31FDB">
        <w:trPr>
          <w:trHeight w:val="440"/>
        </w:trPr>
        <w:tc>
          <w:tcPr>
            <w:tcW w:w="774" w:type="pct"/>
          </w:tcPr>
          <w:p w:rsidR="006E3B8A" w:rsidRDefault="006E3B8A" w:rsidP="00F31FDB">
            <w:pPr>
              <w:spacing w:after="0" w:line="240" w:lineRule="auto"/>
              <w:rPr>
                <w:sz w:val="20"/>
              </w:rPr>
            </w:pPr>
            <w:r>
              <w:rPr>
                <w:sz w:val="20"/>
              </w:rPr>
              <w:lastRenderedPageBreak/>
              <w:t>Urban Areas</w:t>
            </w:r>
          </w:p>
        </w:tc>
        <w:tc>
          <w:tcPr>
            <w:tcW w:w="1538" w:type="pct"/>
          </w:tcPr>
          <w:p w:rsidR="006E3B8A" w:rsidRPr="00D72C0F" w:rsidRDefault="006E3B8A" w:rsidP="00F31FDB">
            <w:pPr>
              <w:spacing w:after="0" w:line="240" w:lineRule="auto"/>
              <w:rPr>
                <w:sz w:val="20"/>
              </w:rPr>
            </w:pPr>
            <w:r>
              <w:rPr>
                <w:sz w:val="20"/>
              </w:rPr>
              <w:t>Improved Water Supply and Drainage Project (s)</w:t>
            </w:r>
          </w:p>
        </w:tc>
        <w:tc>
          <w:tcPr>
            <w:tcW w:w="2688" w:type="pct"/>
          </w:tcPr>
          <w:p w:rsidR="006E3B8A" w:rsidRDefault="006E3B8A" w:rsidP="00F31FDB">
            <w:pPr>
              <w:spacing w:after="0" w:line="240" w:lineRule="auto"/>
              <w:rPr>
                <w:sz w:val="20"/>
              </w:rPr>
            </w:pPr>
            <w:r>
              <w:rPr>
                <w:sz w:val="20"/>
              </w:rPr>
              <w:t>All WASAs and City Corporations</w:t>
            </w:r>
          </w:p>
        </w:tc>
      </w:tr>
      <w:tr w:rsidR="006E3B8A" w:rsidTr="00F31FDB">
        <w:trPr>
          <w:trHeight w:val="1152"/>
        </w:trPr>
        <w:tc>
          <w:tcPr>
            <w:tcW w:w="774" w:type="pct"/>
          </w:tcPr>
          <w:p w:rsidR="006E3B8A" w:rsidRPr="00EF7A0B" w:rsidRDefault="006E3B8A" w:rsidP="00F31FDB">
            <w:pPr>
              <w:spacing w:after="0" w:line="240" w:lineRule="auto"/>
              <w:rPr>
                <w:sz w:val="20"/>
              </w:rPr>
            </w:pPr>
            <w:r w:rsidRPr="00EF7A0B">
              <w:rPr>
                <w:sz w:val="20"/>
              </w:rPr>
              <w:t>Chittagong City and CHT</w:t>
            </w:r>
          </w:p>
        </w:tc>
        <w:tc>
          <w:tcPr>
            <w:tcW w:w="1538" w:type="pct"/>
          </w:tcPr>
          <w:p w:rsidR="006E3B8A" w:rsidRPr="00EF7A0B" w:rsidRDefault="006E3B8A" w:rsidP="00F31FDB">
            <w:pPr>
              <w:spacing w:after="0" w:line="240" w:lineRule="auto"/>
              <w:rPr>
                <w:sz w:val="20"/>
              </w:rPr>
            </w:pPr>
            <w:r w:rsidRPr="00EF7A0B">
              <w:rPr>
                <w:sz w:val="20"/>
              </w:rPr>
              <w:t>Chittagong City and CHT Flood Control Project</w:t>
            </w:r>
          </w:p>
        </w:tc>
        <w:tc>
          <w:tcPr>
            <w:tcW w:w="2688" w:type="pct"/>
          </w:tcPr>
          <w:p w:rsidR="006E3B8A" w:rsidRPr="00EF7A0B" w:rsidRDefault="006E3B8A" w:rsidP="00F31FDB">
            <w:pPr>
              <w:spacing w:after="0" w:line="240" w:lineRule="auto"/>
              <w:rPr>
                <w:sz w:val="20"/>
              </w:rPr>
            </w:pPr>
            <w:r w:rsidRPr="00EF7A0B">
              <w:rPr>
                <w:rFonts w:eastAsia="Times New Roman"/>
                <w:bCs/>
                <w:color w:val="000000"/>
                <w:sz w:val="20"/>
              </w:rPr>
              <w:t xml:space="preserve">Protection of floodplains and towns from the flash floods of Chengi, Karnafuli, Sangu, </w:t>
            </w:r>
            <w:r w:rsidRPr="00EF7A0B">
              <w:rPr>
                <w:sz w:val="20"/>
              </w:rPr>
              <w:t xml:space="preserve">Matamhuri, Bakkhali rivers and hilly streams through development of new embankments /water control infrastructure for floods and flash floods in the hills and Flood control structures for </w:t>
            </w:r>
            <w:r w:rsidR="00F82BA1">
              <w:rPr>
                <w:sz w:val="20"/>
              </w:rPr>
              <w:t>canals</w:t>
            </w:r>
          </w:p>
        </w:tc>
      </w:tr>
      <w:tr w:rsidR="006E3B8A" w:rsidTr="00F31FDB">
        <w:trPr>
          <w:trHeight w:val="287"/>
        </w:trPr>
        <w:tc>
          <w:tcPr>
            <w:tcW w:w="774" w:type="pct"/>
          </w:tcPr>
          <w:p w:rsidR="006E3B8A" w:rsidRPr="00EF7A0B" w:rsidRDefault="006E3B8A" w:rsidP="00F31FDB">
            <w:pPr>
              <w:spacing w:after="0" w:line="240" w:lineRule="auto"/>
              <w:rPr>
                <w:sz w:val="20"/>
              </w:rPr>
            </w:pPr>
            <w:r>
              <w:rPr>
                <w:sz w:val="20"/>
              </w:rPr>
              <w:t>CHT</w:t>
            </w:r>
          </w:p>
        </w:tc>
        <w:tc>
          <w:tcPr>
            <w:tcW w:w="1538" w:type="pct"/>
          </w:tcPr>
          <w:p w:rsidR="006E3B8A" w:rsidRPr="00EF7A0B" w:rsidRDefault="006E3B8A" w:rsidP="00F31FDB">
            <w:pPr>
              <w:spacing w:after="0" w:line="240" w:lineRule="auto"/>
              <w:rPr>
                <w:sz w:val="20"/>
              </w:rPr>
            </w:pPr>
            <w:r>
              <w:rPr>
                <w:sz w:val="20"/>
              </w:rPr>
              <w:t>CHT Water Supply Project</w:t>
            </w:r>
          </w:p>
        </w:tc>
        <w:tc>
          <w:tcPr>
            <w:tcW w:w="2688" w:type="pct"/>
          </w:tcPr>
          <w:p w:rsidR="006E3B8A" w:rsidRPr="00EF7A0B" w:rsidRDefault="006E3B8A" w:rsidP="00F31FDB">
            <w:pPr>
              <w:spacing w:after="0" w:line="240" w:lineRule="auto"/>
              <w:rPr>
                <w:rFonts w:eastAsia="Times New Roman"/>
                <w:bCs/>
                <w:color w:val="000000"/>
                <w:sz w:val="20"/>
              </w:rPr>
            </w:pPr>
            <w:r>
              <w:rPr>
                <w:rFonts w:eastAsia="Times New Roman"/>
                <w:bCs/>
                <w:color w:val="000000"/>
                <w:sz w:val="20"/>
              </w:rPr>
              <w:t>Provide safe drinking water supply to CHT</w:t>
            </w:r>
          </w:p>
        </w:tc>
      </w:tr>
      <w:tr w:rsidR="006E3B8A" w:rsidTr="00F31FDB">
        <w:trPr>
          <w:trHeight w:val="728"/>
        </w:trPr>
        <w:tc>
          <w:tcPr>
            <w:tcW w:w="774" w:type="pct"/>
          </w:tcPr>
          <w:p w:rsidR="006E3B8A" w:rsidRDefault="006E3B8A" w:rsidP="00F31FDB">
            <w:pPr>
              <w:spacing w:after="0" w:line="240" w:lineRule="auto"/>
              <w:rPr>
                <w:sz w:val="20"/>
              </w:rPr>
            </w:pPr>
            <w:r>
              <w:rPr>
                <w:sz w:val="20"/>
              </w:rPr>
              <w:t>National</w:t>
            </w:r>
          </w:p>
        </w:tc>
        <w:tc>
          <w:tcPr>
            <w:tcW w:w="1538" w:type="pct"/>
          </w:tcPr>
          <w:p w:rsidR="006E3B8A" w:rsidRPr="00EF7A0B" w:rsidRDefault="006E3B8A" w:rsidP="00F31FDB">
            <w:pPr>
              <w:spacing w:after="0" w:line="240" w:lineRule="auto"/>
              <w:rPr>
                <w:sz w:val="20"/>
              </w:rPr>
            </w:pPr>
            <w:r>
              <w:rPr>
                <w:sz w:val="20"/>
              </w:rPr>
              <w:t>National Flood Control Strengthening and Maintenance Project</w:t>
            </w:r>
          </w:p>
        </w:tc>
        <w:tc>
          <w:tcPr>
            <w:tcW w:w="2688" w:type="pct"/>
          </w:tcPr>
          <w:p w:rsidR="006E3B8A" w:rsidRPr="00EF7A0B" w:rsidRDefault="006E3B8A" w:rsidP="00F31FDB">
            <w:pPr>
              <w:spacing w:after="0" w:line="240" w:lineRule="auto"/>
              <w:rPr>
                <w:sz w:val="20"/>
              </w:rPr>
            </w:pPr>
            <w:r>
              <w:rPr>
                <w:sz w:val="20"/>
              </w:rPr>
              <w:t>All flood control projects outside the polder system</w:t>
            </w:r>
          </w:p>
        </w:tc>
      </w:tr>
      <w:tr w:rsidR="006E3B8A" w:rsidTr="00F31FDB">
        <w:trPr>
          <w:trHeight w:hRule="exact" w:val="1901"/>
        </w:trPr>
        <w:tc>
          <w:tcPr>
            <w:tcW w:w="774" w:type="pct"/>
          </w:tcPr>
          <w:p w:rsidR="006E3B8A" w:rsidRPr="00EF7A0B" w:rsidRDefault="006E3B8A" w:rsidP="00F31FDB">
            <w:pPr>
              <w:spacing w:after="0" w:line="240" w:lineRule="auto"/>
              <w:rPr>
                <w:sz w:val="20"/>
              </w:rPr>
            </w:pPr>
            <w:r>
              <w:rPr>
                <w:sz w:val="20"/>
              </w:rPr>
              <w:t>National</w:t>
            </w:r>
          </w:p>
        </w:tc>
        <w:tc>
          <w:tcPr>
            <w:tcW w:w="1538" w:type="pct"/>
          </w:tcPr>
          <w:p w:rsidR="006E3B8A" w:rsidRPr="00EF7A0B" w:rsidRDefault="006E3B8A" w:rsidP="00F31FDB">
            <w:pPr>
              <w:spacing w:after="0" w:line="240" w:lineRule="auto"/>
              <w:rPr>
                <w:sz w:val="20"/>
              </w:rPr>
            </w:pPr>
            <w:r w:rsidRPr="00EF7A0B">
              <w:rPr>
                <w:sz w:val="20"/>
              </w:rPr>
              <w:t>IWT Navigability Project (s)</w:t>
            </w:r>
          </w:p>
        </w:tc>
        <w:tc>
          <w:tcPr>
            <w:tcW w:w="2688" w:type="pct"/>
          </w:tcPr>
          <w:p w:rsidR="006E3B8A" w:rsidRPr="00EF7A0B" w:rsidRDefault="006E3B8A" w:rsidP="00F31FDB">
            <w:pPr>
              <w:spacing w:after="0" w:line="240" w:lineRule="auto"/>
              <w:rPr>
                <w:sz w:val="20"/>
              </w:rPr>
            </w:pPr>
            <w:r w:rsidRPr="00EF7A0B">
              <w:rPr>
                <w:sz w:val="20"/>
              </w:rPr>
              <w:t>Improvement of navigability by strategic dredging &amp; river training of following routes: Route A. Dhaka-Munshiganj-Gajaria-Chandpur- Chittagong Route (Lower Meghna); Route B. Chandpur-Paturia-Sirajganj-Chilmari- Doikhawa Route (Padma - Jamuna);  Route C. Paturia-Pakshi-Rajshahi-Godagori Route (Ganges); Route D. Karnaphuli river and Kaptai Lake (Chittagong); Route E. Regional rivers in Chittagong: Matamuhuri, Sangu and Bakkhali.</w:t>
            </w:r>
          </w:p>
          <w:p w:rsidR="006E3B8A" w:rsidRPr="00EF7A0B" w:rsidRDefault="006E3B8A" w:rsidP="00F31FDB">
            <w:pPr>
              <w:spacing w:after="0" w:line="240" w:lineRule="auto"/>
              <w:rPr>
                <w:rFonts w:eastAsia="Times New Roman"/>
                <w:bCs/>
                <w:color w:val="000000"/>
                <w:sz w:val="20"/>
              </w:rPr>
            </w:pPr>
          </w:p>
        </w:tc>
      </w:tr>
      <w:tr w:rsidR="006E3B8A" w:rsidTr="00F31FDB">
        <w:trPr>
          <w:trHeight w:val="80"/>
        </w:trPr>
        <w:tc>
          <w:tcPr>
            <w:tcW w:w="774" w:type="pct"/>
          </w:tcPr>
          <w:p w:rsidR="006E3B8A" w:rsidRDefault="006E3B8A" w:rsidP="00F31FDB">
            <w:pPr>
              <w:spacing w:after="0" w:line="240" w:lineRule="auto"/>
              <w:rPr>
                <w:sz w:val="20"/>
              </w:rPr>
            </w:pPr>
            <w:r>
              <w:rPr>
                <w:sz w:val="20"/>
              </w:rPr>
              <w:t>National</w:t>
            </w:r>
          </w:p>
        </w:tc>
        <w:tc>
          <w:tcPr>
            <w:tcW w:w="1538" w:type="pct"/>
          </w:tcPr>
          <w:p w:rsidR="006E3B8A" w:rsidRPr="00EF7A0B" w:rsidRDefault="006E3B8A" w:rsidP="00F31FDB">
            <w:pPr>
              <w:spacing w:after="0" w:line="240" w:lineRule="auto"/>
              <w:rPr>
                <w:sz w:val="20"/>
              </w:rPr>
            </w:pPr>
            <w:r>
              <w:rPr>
                <w:sz w:val="20"/>
              </w:rPr>
              <w:t>Restoration of National Watersheds</w:t>
            </w:r>
          </w:p>
        </w:tc>
        <w:tc>
          <w:tcPr>
            <w:tcW w:w="2688" w:type="pct"/>
          </w:tcPr>
          <w:p w:rsidR="006E3B8A" w:rsidRPr="00EF7A0B" w:rsidRDefault="006E3B8A" w:rsidP="00F31FDB">
            <w:pPr>
              <w:spacing w:after="0" w:line="240" w:lineRule="auto"/>
              <w:rPr>
                <w:sz w:val="20"/>
              </w:rPr>
            </w:pPr>
            <w:r>
              <w:rPr>
                <w:sz w:val="20"/>
              </w:rPr>
              <w:t>Improve ecological balance by preserving bio-diversity; strengthening fresh water fishing; establishing eco-tourism</w:t>
            </w:r>
          </w:p>
        </w:tc>
      </w:tr>
    </w:tbl>
    <w:p w:rsidR="00EE54F9" w:rsidRDefault="00EE54F9" w:rsidP="00912C7F">
      <w:pPr>
        <w:spacing w:line="276" w:lineRule="auto"/>
        <w:jc w:val="both"/>
        <w:rPr>
          <w:rFonts w:cstheme="minorHAnsi"/>
          <w:b/>
          <w:i/>
          <w:szCs w:val="24"/>
        </w:rPr>
      </w:pPr>
    </w:p>
    <w:p w:rsidR="00912C7F" w:rsidRPr="00586F28" w:rsidRDefault="00573016" w:rsidP="00912C7F">
      <w:pPr>
        <w:spacing w:line="276" w:lineRule="auto"/>
        <w:jc w:val="both"/>
        <w:rPr>
          <w:rFonts w:cstheme="minorHAnsi"/>
          <w:b/>
          <w:i/>
          <w:szCs w:val="24"/>
        </w:rPr>
      </w:pPr>
      <w:r>
        <w:rPr>
          <w:rFonts w:cstheme="minorHAnsi"/>
          <w:b/>
          <w:i/>
          <w:szCs w:val="24"/>
        </w:rPr>
        <w:t>Public</w:t>
      </w:r>
      <w:r w:rsidR="00912C7F" w:rsidRPr="00586F28">
        <w:rPr>
          <w:rFonts w:cstheme="minorHAnsi"/>
          <w:b/>
          <w:i/>
          <w:szCs w:val="24"/>
        </w:rPr>
        <w:t xml:space="preserve"> Sector Financing Options</w:t>
      </w:r>
    </w:p>
    <w:p w:rsidR="00912C7F" w:rsidRPr="00117449" w:rsidRDefault="007E28F0" w:rsidP="00912C7F">
      <w:pPr>
        <w:spacing w:line="276" w:lineRule="auto"/>
        <w:jc w:val="both"/>
        <w:rPr>
          <w:rFonts w:cstheme="minorHAnsi"/>
          <w:szCs w:val="24"/>
        </w:rPr>
      </w:pPr>
      <w:r>
        <w:rPr>
          <w:rFonts w:cstheme="minorHAnsi"/>
          <w:szCs w:val="24"/>
        </w:rPr>
        <w:t xml:space="preserve">As noted, presently the government spends about 0.8% of GDP on Delta Plan related programmes, whereas the needs are estimated at </w:t>
      </w:r>
      <w:r w:rsidR="00F57172">
        <w:rPr>
          <w:rFonts w:cstheme="minorHAnsi"/>
          <w:szCs w:val="24"/>
        </w:rPr>
        <w:t>around</w:t>
      </w:r>
      <w:r>
        <w:rPr>
          <w:rFonts w:cstheme="minorHAnsi"/>
          <w:szCs w:val="24"/>
        </w:rPr>
        <w:t xml:space="preserve"> 2% of GDP.  Finding an</w:t>
      </w:r>
      <w:r w:rsidR="00912C7F" w:rsidRPr="00117449">
        <w:rPr>
          <w:rFonts w:cstheme="minorHAnsi"/>
          <w:szCs w:val="24"/>
        </w:rPr>
        <w:t xml:space="preserve"> additional 1.2% of GDP for </w:t>
      </w:r>
      <w:r w:rsidR="00573016">
        <w:rPr>
          <w:rFonts w:cstheme="minorHAnsi"/>
          <w:szCs w:val="24"/>
        </w:rPr>
        <w:t>public</w:t>
      </w:r>
      <w:r w:rsidR="00912C7F" w:rsidRPr="00117449">
        <w:rPr>
          <w:rFonts w:cstheme="minorHAnsi"/>
          <w:szCs w:val="24"/>
        </w:rPr>
        <w:t xml:space="preserve"> financing of the Delta Plan will not be easy.  Even with optimistic assumptions about domestic resource mobilization incorporated in the </w:t>
      </w:r>
      <w:r w:rsidR="006C1D4C">
        <w:rPr>
          <w:rFonts w:cstheme="minorHAnsi"/>
          <w:szCs w:val="24"/>
        </w:rPr>
        <w:t>Seventh Five Year Plan</w:t>
      </w:r>
      <w:r w:rsidR="00912C7F" w:rsidRPr="00117449">
        <w:rPr>
          <w:rFonts w:cstheme="minorHAnsi"/>
          <w:szCs w:val="24"/>
        </w:rPr>
        <w:t xml:space="preserve"> and the BDP2100 macroeconomic framework, some cr</w:t>
      </w:r>
      <w:r w:rsidR="00912C7F">
        <w:rPr>
          <w:rFonts w:cstheme="minorHAnsi"/>
          <w:szCs w:val="24"/>
        </w:rPr>
        <w:t>eative efforts will be needed</w:t>
      </w:r>
      <w:r w:rsidR="00912C7F" w:rsidRPr="00117449">
        <w:rPr>
          <w:rFonts w:cstheme="minorHAnsi"/>
          <w:szCs w:val="24"/>
        </w:rPr>
        <w:t xml:space="preserve">. The </w:t>
      </w:r>
      <w:r w:rsidR="00573016">
        <w:rPr>
          <w:rFonts w:cstheme="minorHAnsi"/>
          <w:szCs w:val="24"/>
        </w:rPr>
        <w:t>public</w:t>
      </w:r>
      <w:r w:rsidR="00912C7F" w:rsidRPr="00117449">
        <w:rPr>
          <w:rFonts w:cstheme="minorHAnsi"/>
          <w:szCs w:val="24"/>
        </w:rPr>
        <w:t xml:space="preserve"> funding of the DIP is a part of the overall </w:t>
      </w:r>
      <w:r w:rsidR="00573016">
        <w:rPr>
          <w:rFonts w:cstheme="minorHAnsi"/>
          <w:szCs w:val="24"/>
        </w:rPr>
        <w:t>public</w:t>
      </w:r>
      <w:r w:rsidR="00912C7F" w:rsidRPr="00117449">
        <w:rPr>
          <w:rFonts w:cstheme="minorHAnsi"/>
          <w:szCs w:val="24"/>
        </w:rPr>
        <w:t xml:space="preserve"> investment programme for the national development strategy discussed in detail under various Scenarios in Chapter 5.  The D</w:t>
      </w:r>
      <w:r w:rsidR="00F562DB">
        <w:rPr>
          <w:rFonts w:cstheme="minorHAnsi"/>
          <w:szCs w:val="24"/>
        </w:rPr>
        <w:t>IP is associated with the Delta Plan</w:t>
      </w:r>
      <w:r w:rsidR="00912C7F" w:rsidRPr="00117449">
        <w:rPr>
          <w:rFonts w:cstheme="minorHAnsi"/>
          <w:szCs w:val="24"/>
        </w:rPr>
        <w:t xml:space="preserve"> Scenario.  The strategy for </w:t>
      </w:r>
      <w:r w:rsidR="00573016">
        <w:rPr>
          <w:rFonts w:cstheme="minorHAnsi"/>
          <w:szCs w:val="24"/>
        </w:rPr>
        <w:t>public</w:t>
      </w:r>
      <w:r w:rsidR="00912C7F" w:rsidRPr="00117449">
        <w:rPr>
          <w:rFonts w:cstheme="minorHAnsi"/>
          <w:szCs w:val="24"/>
        </w:rPr>
        <w:t xml:space="preserve"> funding is some combination of tax financing, application of cost recovery based on beneficiary pays principle and mobilizing foreign funding including tapping into the global Green Climate Fund (GCC) initiative. The fisc</w:t>
      </w:r>
      <w:r w:rsidR="00F562DB">
        <w:rPr>
          <w:rFonts w:cstheme="minorHAnsi"/>
          <w:szCs w:val="24"/>
        </w:rPr>
        <w:t>al policy strategy of the Delta Plan</w:t>
      </w:r>
      <w:r w:rsidR="00912C7F" w:rsidRPr="00117449">
        <w:rPr>
          <w:rFonts w:cstheme="minorHAnsi"/>
          <w:szCs w:val="24"/>
        </w:rPr>
        <w:t xml:space="preserve"> Scenario also outlines the strategy for fiscal deficit and associated domestic and external borrowing strategies that are consistent with internal and external stability.</w:t>
      </w:r>
    </w:p>
    <w:p w:rsidR="00912C7F" w:rsidRDefault="00912C7F" w:rsidP="0083672E">
      <w:pPr>
        <w:spacing w:line="276" w:lineRule="auto"/>
        <w:jc w:val="both"/>
        <w:rPr>
          <w:rFonts w:cstheme="minorHAnsi"/>
          <w:szCs w:val="24"/>
        </w:rPr>
      </w:pPr>
      <w:r w:rsidRPr="00117449">
        <w:rPr>
          <w:rFonts w:cstheme="minorHAnsi"/>
          <w:szCs w:val="24"/>
        </w:rPr>
        <w:t xml:space="preserve">Good practice international experience with Delta implementation shows the strong role of the application of the beneficiary pays principle in financing water investments.  In the Dutch Delta much of the funding of flood control, irrigation, water supply, sanitation and waste management investments is financed through the application of the beneficiary pays principle. The O&amp;M is fully funded through cost recovery.  In the Netherlands, water management is heavily decentralized.  Some 80% of water spending including 100% of O&amp;M is done by lower levels of government.  The bulk of this spending is done by the local water bodies that are managed and </w:t>
      </w:r>
      <w:r w:rsidRPr="00117449">
        <w:rPr>
          <w:rFonts w:cstheme="minorHAnsi"/>
          <w:szCs w:val="24"/>
        </w:rPr>
        <w:lastRenderedPageBreak/>
        <w:t>run as private cooperative enterprises with 100% application of the beneficiary pays principle, with some degree of cross-subsidies to the</w:t>
      </w:r>
      <w:r>
        <w:rPr>
          <w:rFonts w:cstheme="minorHAnsi"/>
          <w:szCs w:val="24"/>
        </w:rPr>
        <w:t xml:space="preserve"> recognize poorer communities. </w:t>
      </w:r>
    </w:p>
    <w:p w:rsidR="006E3B8A" w:rsidRPr="00117449" w:rsidRDefault="006E3B8A" w:rsidP="00912C7F">
      <w:pPr>
        <w:spacing w:line="276" w:lineRule="auto"/>
        <w:jc w:val="both"/>
        <w:rPr>
          <w:rFonts w:cstheme="minorHAnsi"/>
          <w:szCs w:val="24"/>
        </w:rPr>
      </w:pPr>
      <w:r w:rsidRPr="00117449">
        <w:rPr>
          <w:rFonts w:cstheme="minorHAnsi"/>
          <w:szCs w:val="24"/>
        </w:rPr>
        <w:t xml:space="preserve">The scope for application of the beneficiary pays principle in Bangladesh Delta management is huge.  In Bangladesh O&amp;M funding of urban water and sanitation is prevalent in significant ways.  But even here, full cost recovery of O&amp;M is not prevalent.  Moreover, the cost recovery of O&amp;M of waste management is negligible.  By default, there is no cost recovery of capital cost of urban water supply, sanitation and waste management.  Regarding flood control and irrigation, there is no cost recovery of either capital cost or O&amp;M in Bangladesh. This is mainly because of the absence of local water bodies.  Once these local water bodies are created under the proposed Delta </w:t>
      </w:r>
      <w:r w:rsidR="00BD05B4">
        <w:rPr>
          <w:rFonts w:cstheme="minorHAnsi"/>
          <w:szCs w:val="24"/>
        </w:rPr>
        <w:t>Act</w:t>
      </w:r>
      <w:r w:rsidRPr="00117449">
        <w:rPr>
          <w:rFonts w:cstheme="minorHAnsi"/>
          <w:szCs w:val="24"/>
        </w:rPr>
        <w:t xml:space="preserve">, the application of beneficiary pays principle will become a reality.  Regarding urban water and sanitation, the institutions and regulations are in place.  They need to be applied more rigorously. A time bound policy should be adopted whereby all </w:t>
      </w:r>
      <w:r w:rsidR="00573016">
        <w:rPr>
          <w:rFonts w:cstheme="minorHAnsi"/>
          <w:szCs w:val="24"/>
        </w:rPr>
        <w:t>public</w:t>
      </w:r>
      <w:r w:rsidRPr="00117449">
        <w:rPr>
          <w:rFonts w:cstheme="minorHAnsi"/>
          <w:szCs w:val="24"/>
        </w:rPr>
        <w:t xml:space="preserve"> urban water and sanitation services must be required to cover 100% of the O&amp;M cost.  Over time, consideration may be given to recovering capital costs, starting with the relatively well-off service areas of the 4 WASAs.   Regarding solid waste, cost recovery can happen through an annual service charge linked with the setting up of a modern property tax system. </w:t>
      </w:r>
    </w:p>
    <w:p w:rsidR="006E3B8A" w:rsidRPr="00117449" w:rsidRDefault="006E3B8A" w:rsidP="00912C7F">
      <w:pPr>
        <w:spacing w:line="276" w:lineRule="auto"/>
        <w:jc w:val="both"/>
        <w:rPr>
          <w:rFonts w:cstheme="minorHAnsi"/>
          <w:szCs w:val="24"/>
        </w:rPr>
      </w:pPr>
      <w:r w:rsidRPr="00117449">
        <w:rPr>
          <w:rFonts w:cstheme="minorHAnsi"/>
          <w:szCs w:val="24"/>
        </w:rPr>
        <w:t xml:space="preserve">The GCF was established in 2010 based on the 2009 Copenhagen Accord, with the objective to mobilize climate finance to support scaled-up mitigation and adaptation action in developing countries. </w:t>
      </w:r>
      <w:r w:rsidRPr="00117449">
        <w:rPr>
          <w:rFonts w:cstheme="minorHAnsi"/>
          <w:color w:val="000000"/>
          <w:szCs w:val="24"/>
        </w:rPr>
        <w:t xml:space="preserve">With USD 10.2 billion of climate finance pledged to the GCF and USD 5.9 billion confirmed as of January 2016, </w:t>
      </w:r>
      <w:r w:rsidRPr="00117449">
        <w:rPr>
          <w:rFonts w:cstheme="minorHAnsi"/>
          <w:szCs w:val="24"/>
        </w:rPr>
        <w:t>the</w:t>
      </w:r>
      <w:r w:rsidRPr="00117449">
        <w:rPr>
          <w:rFonts w:cstheme="minorHAnsi"/>
          <w:color w:val="000000"/>
          <w:szCs w:val="24"/>
        </w:rPr>
        <w:t xml:space="preserve"> GCF and its funders still have a long way to go to get close to the climate finance target of USD 100 billion annually. The fund has however come a long way since its conceptualization in 2009</w:t>
      </w:r>
    </w:p>
    <w:p w:rsidR="006E3B8A" w:rsidRPr="00117449" w:rsidRDefault="006E3B8A" w:rsidP="00912C7F">
      <w:pPr>
        <w:spacing w:line="276" w:lineRule="auto"/>
        <w:jc w:val="both"/>
        <w:rPr>
          <w:rFonts w:eastAsia="Times New Roman" w:cstheme="minorHAnsi"/>
          <w:color w:val="000000"/>
          <w:szCs w:val="24"/>
        </w:rPr>
      </w:pPr>
      <w:r w:rsidRPr="00117449">
        <w:rPr>
          <w:rFonts w:eastAsia="Times New Roman" w:cstheme="minorHAnsi"/>
          <w:color w:val="000000"/>
          <w:szCs w:val="24"/>
        </w:rPr>
        <w:t xml:space="preserve">The Fund has identified 5 investment priorities which will deliver major mitigation and adaptation benefits: transforming energy generation and access; creating climate-compatible cities; encouraging low-emission and climate-resilient agriculture; scaling up finance for forests and climate change; and enhancing resilience in Small Island Developing States. The </w:t>
      </w:r>
      <w:r w:rsidRPr="00117449">
        <w:rPr>
          <w:rFonts w:cstheme="minorHAnsi"/>
          <w:color w:val="000000"/>
          <w:szCs w:val="24"/>
        </w:rPr>
        <w:t>GCF</w:t>
      </w:r>
      <w:r w:rsidRPr="00117449">
        <w:rPr>
          <w:rFonts w:eastAsia="Times New Roman" w:cstheme="minorHAnsi"/>
          <w:color w:val="000000"/>
          <w:szCs w:val="24"/>
        </w:rPr>
        <w:t xml:space="preserve"> is split between two pots of funding: mitigation and adaptation. Half of the adaptation funding will go to Least Developed Countries (LDCs). Upon request, governments can access grants or concessional loans for both adaptation and mitigation, and to finance the cost of overcoming policy barriers, address information gaps, and capacity constraints that impede local private sector activity.  The fund also seeks to minimise the transaction costs of working with SMEs by having accredited entities originate, approve, administer, and manage financing on behalf of the GCF through a programmatic approach. The accredited entities can be national, regional or international intermediaries that are accredited by the GCF for project management purposes and for the purpose of approving grants and loans.</w:t>
      </w:r>
    </w:p>
    <w:p w:rsidR="006E3B8A" w:rsidRPr="0071658A" w:rsidRDefault="006E3B8A" w:rsidP="00912C7F">
      <w:pPr>
        <w:spacing w:line="276" w:lineRule="auto"/>
        <w:jc w:val="both"/>
        <w:rPr>
          <w:rFonts w:eastAsia="Times New Roman" w:cstheme="minorHAnsi"/>
          <w:color w:val="000000"/>
          <w:szCs w:val="24"/>
        </w:rPr>
      </w:pPr>
      <w:r w:rsidRPr="0071658A">
        <w:rPr>
          <w:rFonts w:eastAsia="Times New Roman" w:cstheme="minorHAnsi"/>
          <w:color w:val="000000"/>
          <w:szCs w:val="24"/>
        </w:rPr>
        <w:t xml:space="preserve">Bangladesh has had significant success in using its </w:t>
      </w:r>
      <w:r w:rsidR="00573016">
        <w:rPr>
          <w:rFonts w:eastAsia="Times New Roman" w:cstheme="minorHAnsi"/>
          <w:color w:val="000000"/>
          <w:szCs w:val="24"/>
        </w:rPr>
        <w:t xml:space="preserve">public </w:t>
      </w:r>
      <w:r w:rsidRPr="0071658A">
        <w:rPr>
          <w:rFonts w:eastAsia="Times New Roman" w:cstheme="minorHAnsi"/>
          <w:color w:val="000000"/>
          <w:szCs w:val="24"/>
        </w:rPr>
        <w:t xml:space="preserve">sector intermediaries to incentivize the private sector, particularly in the renewable energy industry. As such, it is well placed to tap this </w:t>
      </w:r>
      <w:r w:rsidRPr="0071658A">
        <w:rPr>
          <w:rFonts w:eastAsia="Times New Roman" w:cstheme="minorHAnsi"/>
          <w:color w:val="000000"/>
          <w:szCs w:val="24"/>
        </w:rPr>
        <w:lastRenderedPageBreak/>
        <w:t>important source of grant funding to scale up delta investments.  While a lot more needs to be done to ensure private enterprises fulfil their crucial role in the fight against climate change, if Bangladesh can pursue her case effectively, there is bright possibility that Bangladesh may receive fund as large as USD 2 billion per year from the GCF.</w:t>
      </w:r>
    </w:p>
    <w:p w:rsidR="006E3B8A" w:rsidRPr="00586F28" w:rsidRDefault="006E3B8A" w:rsidP="00912C7F">
      <w:pPr>
        <w:spacing w:line="276" w:lineRule="auto"/>
        <w:jc w:val="both"/>
        <w:rPr>
          <w:rFonts w:eastAsia="Times New Roman" w:cstheme="minorHAnsi"/>
          <w:b/>
          <w:i/>
          <w:color w:val="000000"/>
          <w:szCs w:val="24"/>
        </w:rPr>
      </w:pPr>
      <w:r w:rsidRPr="00586F28">
        <w:rPr>
          <w:rFonts w:eastAsia="Times New Roman" w:cstheme="minorHAnsi"/>
          <w:b/>
          <w:i/>
          <w:color w:val="000000"/>
          <w:szCs w:val="24"/>
        </w:rPr>
        <w:t>Private Sector Financing Options</w:t>
      </w:r>
    </w:p>
    <w:p w:rsidR="006E3B8A" w:rsidRPr="00117449" w:rsidRDefault="006E3B8A" w:rsidP="00912C7F">
      <w:pPr>
        <w:spacing w:line="276" w:lineRule="auto"/>
        <w:jc w:val="both"/>
        <w:rPr>
          <w:rFonts w:cstheme="minorHAnsi"/>
          <w:spacing w:val="-1"/>
          <w:szCs w:val="24"/>
        </w:rPr>
      </w:pPr>
      <w:r w:rsidRPr="00117449">
        <w:rPr>
          <w:rFonts w:cstheme="minorHAnsi"/>
          <w:szCs w:val="24"/>
        </w:rPr>
        <w:t>Effective engagement of the private sector will generate sizable resources. Global experiences suggest involvement of the private sector mostly in the form of PPP (</w:t>
      </w:r>
      <w:r w:rsidR="00573016">
        <w:rPr>
          <w:rFonts w:cstheme="minorHAnsi"/>
          <w:szCs w:val="24"/>
        </w:rPr>
        <w:t>public</w:t>
      </w:r>
      <w:r w:rsidRPr="00117449">
        <w:rPr>
          <w:rFonts w:cstheme="minorHAnsi"/>
          <w:szCs w:val="24"/>
        </w:rPr>
        <w:t xml:space="preserve"> private partnership). The Delta Plan project</w:t>
      </w:r>
      <w:r w:rsidR="00AA0BA3">
        <w:rPr>
          <w:rFonts w:cstheme="minorHAnsi"/>
          <w:szCs w:val="24"/>
        </w:rPr>
        <w:t>ion</w:t>
      </w:r>
      <w:r w:rsidRPr="00117449">
        <w:rPr>
          <w:rFonts w:cstheme="minorHAnsi"/>
          <w:szCs w:val="24"/>
        </w:rPr>
        <w:t xml:space="preserve">s </w:t>
      </w:r>
      <w:r w:rsidR="00EE54F9">
        <w:rPr>
          <w:rFonts w:cstheme="minorHAnsi"/>
          <w:szCs w:val="24"/>
        </w:rPr>
        <w:t>suggest</w:t>
      </w:r>
      <w:r w:rsidR="00AA0BA3">
        <w:rPr>
          <w:rFonts w:cstheme="minorHAnsi"/>
          <w:szCs w:val="24"/>
        </w:rPr>
        <w:t xml:space="preserve"> </w:t>
      </w:r>
      <w:r w:rsidRPr="00117449">
        <w:rPr>
          <w:rFonts w:cstheme="minorHAnsi"/>
          <w:szCs w:val="24"/>
        </w:rPr>
        <w:t xml:space="preserve">that on average Bangladesh should be able to mobilize at least </w:t>
      </w:r>
      <w:r w:rsidR="00BD05B4">
        <w:rPr>
          <w:rFonts w:cstheme="minorHAnsi"/>
          <w:szCs w:val="24"/>
        </w:rPr>
        <w:t>0.5% GDP per year for private financing of</w:t>
      </w:r>
      <w:r w:rsidRPr="00117449">
        <w:rPr>
          <w:rFonts w:cstheme="minorHAnsi"/>
          <w:szCs w:val="24"/>
        </w:rPr>
        <w:t xml:space="preserve"> water and related infrastructure. Good practice international experience shows that the prospects for attracting private investments in water treatment, water supply and sewage treatment are excellent.  Another prospective area is irrigation.  A third </w:t>
      </w:r>
      <w:r w:rsidRPr="00117449">
        <w:rPr>
          <w:rFonts w:cstheme="minorHAnsi"/>
          <w:spacing w:val="-1"/>
          <w:szCs w:val="24"/>
        </w:rPr>
        <w:t xml:space="preserve">area is dredging. There </w:t>
      </w:r>
      <w:r w:rsidRPr="00117449">
        <w:rPr>
          <w:rFonts w:cstheme="minorHAnsi"/>
          <w:szCs w:val="24"/>
        </w:rPr>
        <w:t xml:space="preserve">is </w:t>
      </w:r>
      <w:r w:rsidRPr="00117449">
        <w:rPr>
          <w:rFonts w:cstheme="minorHAnsi"/>
          <w:spacing w:val="-1"/>
          <w:szCs w:val="24"/>
        </w:rPr>
        <w:t xml:space="preserve">strong private sector interest </w:t>
      </w:r>
      <w:r w:rsidRPr="00117449">
        <w:rPr>
          <w:rFonts w:cstheme="minorHAnsi"/>
          <w:szCs w:val="24"/>
        </w:rPr>
        <w:t xml:space="preserve">in </w:t>
      </w:r>
      <w:r w:rsidRPr="00117449">
        <w:rPr>
          <w:rFonts w:cstheme="minorHAnsi"/>
          <w:spacing w:val="-1"/>
          <w:szCs w:val="24"/>
        </w:rPr>
        <w:t xml:space="preserve">undertaking dredging contracts. The cost of dredging may be significantly offset by the sale proceeds from sand, making dredging costs quite low. However, there are a number of important technical factors and risk sharing issues that need careful management.  Bangladesh can learn from good practice international experience in developing the proper contracting arrangements for dredging. A fourth area for PPP role concerns land reclamation. </w:t>
      </w:r>
      <w:r w:rsidRPr="00117449">
        <w:rPr>
          <w:rFonts w:cstheme="minorHAnsi"/>
          <w:spacing w:val="-2"/>
          <w:szCs w:val="24"/>
        </w:rPr>
        <w:t xml:space="preserve"> Combining land reclamation with dredging of rivers in a PPP concession framework would make very good sense.  Finally, PPP initiative is also possible in establishing river port infrastructure for IWT. </w:t>
      </w:r>
    </w:p>
    <w:p w:rsidR="00000000" w:rsidRDefault="006E3B8A" w:rsidP="003D5A31">
      <w:pPr>
        <w:pStyle w:val="BodyText"/>
        <w:numPr>
          <w:ilvl w:val="0"/>
          <w:numId w:val="129"/>
        </w:numPr>
        <w:spacing w:after="240" w:line="276" w:lineRule="auto"/>
        <w:jc w:val="both"/>
        <w:rPr>
          <w:rFonts w:cs="Times New Roman"/>
          <w:b/>
          <w:spacing w:val="-1"/>
          <w:szCs w:val="24"/>
        </w:rPr>
      </w:pPr>
      <w:r w:rsidRPr="00BD05B4">
        <w:rPr>
          <w:rFonts w:cs="Times New Roman"/>
          <w:b/>
          <w:spacing w:val="-1"/>
          <w:szCs w:val="24"/>
        </w:rPr>
        <w:t>Governance and Institutional Issues</w:t>
      </w:r>
    </w:p>
    <w:p w:rsidR="006E3B8A" w:rsidRPr="00117449" w:rsidRDefault="006E3B8A" w:rsidP="00912C7F">
      <w:pPr>
        <w:spacing w:line="276" w:lineRule="auto"/>
        <w:jc w:val="both"/>
        <w:rPr>
          <w:rFonts w:cstheme="minorHAnsi"/>
          <w:szCs w:val="24"/>
        </w:rPr>
      </w:pPr>
      <w:r w:rsidRPr="00117449">
        <w:rPr>
          <w:rFonts w:cstheme="minorHAnsi"/>
          <w:szCs w:val="24"/>
        </w:rPr>
        <w:t xml:space="preserve"> Sound implementation of </w:t>
      </w:r>
      <w:r w:rsidR="00573016">
        <w:rPr>
          <w:rFonts w:cstheme="minorHAnsi"/>
          <w:szCs w:val="24"/>
        </w:rPr>
        <w:t>public</w:t>
      </w:r>
      <w:r w:rsidRPr="00117449">
        <w:rPr>
          <w:rFonts w:cstheme="minorHAnsi"/>
          <w:szCs w:val="24"/>
        </w:rPr>
        <w:t xml:space="preserve"> policies and programmes depends upon the prevailing governance environment and underlying institutional arrangements. These requirements gain added significance when policies and programmes are cross-sectoral in nature and involve multiple line agencies.  The Delta Plan agenda is essentially cross-sectoral and implementation arrangements involve multiple line ministries, local government institutions, communities and private sector. Clarity of role, interdependence of actions and a coordinated approach are essential requirements of the institutional set up for Delta Plan implementation.  The stakes are large and so are the resource requirements. Yet, resources are limited and there are competing demands.  How resources are allocated among competing demands, how trade-offs are made and how effectively programmes are implemented to get the best results from limited resources are major political economy issues that depend critically upon the prevailing governance environment. </w:t>
      </w:r>
    </w:p>
    <w:p w:rsidR="006E3B8A" w:rsidRPr="00117449" w:rsidRDefault="006E3B8A" w:rsidP="00912C7F">
      <w:pPr>
        <w:spacing w:line="276" w:lineRule="auto"/>
        <w:jc w:val="both"/>
        <w:rPr>
          <w:rFonts w:cstheme="minorHAnsi"/>
          <w:szCs w:val="24"/>
        </w:rPr>
      </w:pPr>
      <w:r w:rsidRPr="00117449">
        <w:rPr>
          <w:rFonts w:cstheme="minorHAnsi"/>
          <w:szCs w:val="24"/>
        </w:rPr>
        <w:t xml:space="preserve">Globally there are many other delta experiences and Bangladesh can learn from these experiences with a view to avoiding their mistakes and adapting the positive experiences to the Bangladesh situation. Importantly, Bangladesh itself has a long experience in dealing with the Bangladesh delta issues and challenges. A solid review of these experiences, identifying areas of </w:t>
      </w:r>
      <w:r w:rsidRPr="00117449">
        <w:rPr>
          <w:rFonts w:cstheme="minorHAnsi"/>
          <w:szCs w:val="24"/>
        </w:rPr>
        <w:lastRenderedPageBreak/>
        <w:t>success and areas where there are major gaps can provide useful lessons for building the institutional arrangements for the implementation of the Delta Plan.</w:t>
      </w:r>
    </w:p>
    <w:p w:rsidR="00BD05B4" w:rsidRPr="00087A05" w:rsidRDefault="006E3B8A" w:rsidP="00912C7F">
      <w:pPr>
        <w:spacing w:line="276" w:lineRule="auto"/>
        <w:jc w:val="both"/>
        <w:rPr>
          <w:rFonts w:cstheme="minorHAnsi"/>
          <w:szCs w:val="24"/>
        </w:rPr>
      </w:pPr>
      <w:r w:rsidRPr="00117449">
        <w:rPr>
          <w:rFonts w:cstheme="minorHAnsi"/>
          <w:szCs w:val="24"/>
        </w:rPr>
        <w:t xml:space="preserve">Institutions are dynamic in the sense that they evolve over time.  Starting with a thoughtful design that involves pragmatic solutions based on the present socio-political realities of Bangladesh and working within the umbrella of the overall capacity constraints in </w:t>
      </w:r>
      <w:r w:rsidR="00573016">
        <w:rPr>
          <w:rFonts w:cstheme="minorHAnsi"/>
          <w:szCs w:val="24"/>
        </w:rPr>
        <w:t xml:space="preserve">public </w:t>
      </w:r>
      <w:r w:rsidRPr="00117449">
        <w:rPr>
          <w:rFonts w:cstheme="minorHAnsi"/>
          <w:szCs w:val="24"/>
        </w:rPr>
        <w:t xml:space="preserve">administration, institutional changes can further evolve as implementation progress is made.  The immediate challenge is to develop a basic minimum core arrangements now without which the implementation of </w:t>
      </w:r>
      <w:r w:rsidR="00087A05">
        <w:rPr>
          <w:rFonts w:cstheme="minorHAnsi"/>
          <w:szCs w:val="24"/>
        </w:rPr>
        <w:t>the Delta strategy will falter.</w:t>
      </w:r>
    </w:p>
    <w:p w:rsidR="006E3B8A" w:rsidRPr="00586F28" w:rsidRDefault="006E3B8A" w:rsidP="00912C7F">
      <w:pPr>
        <w:spacing w:line="276" w:lineRule="auto"/>
        <w:jc w:val="both"/>
        <w:rPr>
          <w:rFonts w:eastAsia="Times New Roman" w:cstheme="minorHAnsi"/>
          <w:b/>
          <w:i/>
          <w:color w:val="000000"/>
          <w:szCs w:val="24"/>
        </w:rPr>
      </w:pPr>
      <w:r w:rsidRPr="00586F28">
        <w:rPr>
          <w:rFonts w:eastAsia="Times New Roman" w:cstheme="minorHAnsi"/>
          <w:b/>
          <w:i/>
          <w:color w:val="000000"/>
          <w:szCs w:val="24"/>
        </w:rPr>
        <w:t>Lessons of International Experience</w:t>
      </w:r>
    </w:p>
    <w:p w:rsidR="006E3B8A" w:rsidRPr="0030221A" w:rsidRDefault="006E3B8A" w:rsidP="00912C7F">
      <w:pPr>
        <w:spacing w:line="276" w:lineRule="auto"/>
        <w:jc w:val="both"/>
        <w:rPr>
          <w:rFonts w:cs="Times New Roman"/>
          <w:szCs w:val="24"/>
        </w:rPr>
      </w:pPr>
      <w:r w:rsidRPr="0030221A">
        <w:rPr>
          <w:rFonts w:cs="Times New Roman"/>
          <w:szCs w:val="24"/>
        </w:rPr>
        <w:t xml:space="preserve">Some of the broad principles and features of the global institutional practices in delta management can be summarized as follows:  </w:t>
      </w:r>
    </w:p>
    <w:p w:rsidR="006E3B8A" w:rsidRPr="0030221A" w:rsidRDefault="006E3B8A" w:rsidP="003D5A31">
      <w:pPr>
        <w:pStyle w:val="ListParagraph"/>
        <w:numPr>
          <w:ilvl w:val="0"/>
          <w:numId w:val="91"/>
        </w:numPr>
        <w:spacing w:line="276" w:lineRule="auto"/>
        <w:jc w:val="both"/>
        <w:rPr>
          <w:rFonts w:cs="Times New Roman"/>
          <w:szCs w:val="24"/>
        </w:rPr>
      </w:pPr>
      <w:r w:rsidRPr="0030221A">
        <w:rPr>
          <w:rFonts w:cs="Times New Roman"/>
          <w:b/>
          <w:szCs w:val="24"/>
        </w:rPr>
        <w:t>Integrated water management:</w:t>
      </w:r>
      <w:r w:rsidRPr="0030221A">
        <w:rPr>
          <w:rFonts w:cs="Times New Roman"/>
          <w:szCs w:val="24"/>
        </w:rPr>
        <w:t xml:space="preserve">  Since water has multiple uses and involves numerous service providers, without an integrated approach to water management, the risks for conflicting policies, competing water development programmes and inefficient use of water are high.</w:t>
      </w:r>
    </w:p>
    <w:p w:rsidR="006E3B8A" w:rsidRPr="0030221A" w:rsidRDefault="006E3B8A" w:rsidP="003D5A31">
      <w:pPr>
        <w:pStyle w:val="ListParagraph"/>
        <w:numPr>
          <w:ilvl w:val="0"/>
          <w:numId w:val="91"/>
        </w:numPr>
        <w:spacing w:line="276" w:lineRule="auto"/>
        <w:jc w:val="both"/>
        <w:rPr>
          <w:rFonts w:eastAsia="Times New Roman" w:cs="Times New Roman"/>
          <w:b/>
          <w:color w:val="000000"/>
          <w:szCs w:val="24"/>
        </w:rPr>
      </w:pPr>
      <w:r w:rsidRPr="0030221A">
        <w:rPr>
          <w:rFonts w:cs="Times New Roman"/>
          <w:b/>
          <w:szCs w:val="24"/>
        </w:rPr>
        <w:t xml:space="preserve">Regional water cooperation: </w:t>
      </w:r>
      <w:r w:rsidRPr="0030221A">
        <w:rPr>
          <w:rFonts w:cs="Times New Roman"/>
          <w:szCs w:val="24"/>
        </w:rPr>
        <w:t xml:space="preserve"> Water cooperation agreements among riparians are essential. The best approach is to take a river basin view and reach specific agreements about water rights and responsibilities among the riparians.</w:t>
      </w:r>
    </w:p>
    <w:p w:rsidR="006E3B8A" w:rsidRPr="0030221A" w:rsidRDefault="006E3B8A" w:rsidP="003D5A31">
      <w:pPr>
        <w:pStyle w:val="ListParagraph"/>
        <w:numPr>
          <w:ilvl w:val="0"/>
          <w:numId w:val="91"/>
        </w:numPr>
        <w:spacing w:line="276" w:lineRule="auto"/>
        <w:jc w:val="both"/>
        <w:rPr>
          <w:rFonts w:eastAsia="Times New Roman" w:cs="Times New Roman"/>
          <w:b/>
          <w:color w:val="000000"/>
          <w:szCs w:val="24"/>
        </w:rPr>
      </w:pPr>
      <w:r w:rsidRPr="0030221A">
        <w:rPr>
          <w:rFonts w:cs="Times New Roman"/>
          <w:b/>
          <w:szCs w:val="24"/>
          <w:shd w:val="clear" w:color="auto" w:fill="FFFFFF"/>
        </w:rPr>
        <w:t>Institutions for internal water cooperation:</w:t>
      </w:r>
      <w:r w:rsidRPr="0030221A">
        <w:rPr>
          <w:rFonts w:cs="Times New Roman"/>
          <w:szCs w:val="24"/>
          <w:shd w:val="clear" w:color="auto" w:fill="FFFFFF"/>
        </w:rPr>
        <w:t xml:space="preserve">  The cooperation between various actors within a country dealing with water and other aspects of the delta (land use, environment, and bio-diversity) is an extremely important feature of successful delta management. The best practice example of well-coordinated internal water cooperation is the Dutch delta, where the local water groups have emerged as the important player in resolving water conflicts and trade-offs nationwide. More generally, active participation of user groups is an essential requirement for an effective delta management.</w:t>
      </w:r>
    </w:p>
    <w:p w:rsidR="006E3B8A" w:rsidRPr="0030221A" w:rsidRDefault="006E3B8A" w:rsidP="003D5A31">
      <w:pPr>
        <w:pStyle w:val="ListParagraph"/>
        <w:numPr>
          <w:ilvl w:val="0"/>
          <w:numId w:val="91"/>
        </w:numPr>
        <w:spacing w:line="276" w:lineRule="auto"/>
        <w:jc w:val="both"/>
        <w:rPr>
          <w:rFonts w:eastAsia="Times New Roman" w:cs="Times New Roman"/>
          <w:b/>
          <w:color w:val="000000"/>
          <w:szCs w:val="24"/>
        </w:rPr>
      </w:pPr>
      <w:r w:rsidRPr="0030221A">
        <w:rPr>
          <w:rFonts w:cs="Times New Roman"/>
          <w:b/>
          <w:szCs w:val="24"/>
          <w:shd w:val="clear" w:color="auto" w:fill="FFFFFF"/>
        </w:rPr>
        <w:t>Knowledge for adaptive delta management:</w:t>
      </w:r>
      <w:r w:rsidRPr="0030221A">
        <w:rPr>
          <w:rFonts w:cs="Times New Roman"/>
          <w:szCs w:val="24"/>
          <w:shd w:val="clear" w:color="auto" w:fill="FFFFFF"/>
        </w:rPr>
        <w:t xml:space="preserve">  In view of the uncertainties of river course movements, sea behavior, climate pattern and climate change, adaptive delta planning is an essential element of effective delta management.</w:t>
      </w:r>
    </w:p>
    <w:p w:rsidR="006E3B8A" w:rsidRPr="0030221A" w:rsidRDefault="00573016" w:rsidP="003D5A31">
      <w:pPr>
        <w:pStyle w:val="ListParagraph"/>
        <w:numPr>
          <w:ilvl w:val="0"/>
          <w:numId w:val="91"/>
        </w:numPr>
        <w:spacing w:line="276" w:lineRule="auto"/>
        <w:jc w:val="both"/>
        <w:rPr>
          <w:rFonts w:eastAsia="Times New Roman" w:cs="Times New Roman"/>
          <w:b/>
          <w:color w:val="000000"/>
          <w:szCs w:val="24"/>
        </w:rPr>
      </w:pPr>
      <w:r>
        <w:rPr>
          <w:rFonts w:cs="Times New Roman"/>
          <w:b/>
          <w:szCs w:val="24"/>
          <w:shd w:val="clear" w:color="auto" w:fill="FFFFFF"/>
        </w:rPr>
        <w:t>Public</w:t>
      </w:r>
      <w:r w:rsidR="006E3B8A" w:rsidRPr="0030221A">
        <w:rPr>
          <w:rFonts w:cs="Times New Roman"/>
          <w:b/>
          <w:szCs w:val="24"/>
          <w:shd w:val="clear" w:color="auto" w:fill="FFFFFF"/>
        </w:rPr>
        <w:t>-private partnerships:</w:t>
      </w:r>
      <w:r w:rsidR="006E3B8A" w:rsidRPr="0030221A">
        <w:rPr>
          <w:rFonts w:cs="Times New Roman"/>
          <w:szCs w:val="24"/>
          <w:shd w:val="clear" w:color="auto" w:fill="FFFFFF"/>
        </w:rPr>
        <w:t xml:space="preserve"> Although in any typical delta the </w:t>
      </w:r>
      <w:r>
        <w:rPr>
          <w:rFonts w:cs="Times New Roman"/>
          <w:szCs w:val="24"/>
          <w:shd w:val="clear" w:color="auto" w:fill="FFFFFF"/>
        </w:rPr>
        <w:t xml:space="preserve">public </w:t>
      </w:r>
      <w:r w:rsidR="006E3B8A" w:rsidRPr="0030221A">
        <w:rPr>
          <w:rFonts w:cs="Times New Roman"/>
          <w:szCs w:val="24"/>
          <w:shd w:val="clear" w:color="auto" w:fill="FFFFFF"/>
        </w:rPr>
        <w:t xml:space="preserve">sector takes the lead in managing the river delta in view of the </w:t>
      </w:r>
      <w:r>
        <w:rPr>
          <w:rFonts w:cs="Times New Roman"/>
          <w:szCs w:val="24"/>
          <w:shd w:val="clear" w:color="auto" w:fill="FFFFFF"/>
        </w:rPr>
        <w:t>public</w:t>
      </w:r>
      <w:r w:rsidR="006E3B8A" w:rsidRPr="0030221A">
        <w:rPr>
          <w:rFonts w:cs="Times New Roman"/>
          <w:szCs w:val="24"/>
          <w:shd w:val="clear" w:color="auto" w:fill="FFFFFF"/>
        </w:rPr>
        <w:t xml:space="preserve"> goods nature of the issues and challenges, good practice examples show the solid value of well-crafted </w:t>
      </w:r>
      <w:r>
        <w:rPr>
          <w:rFonts w:cs="Times New Roman"/>
          <w:szCs w:val="24"/>
          <w:shd w:val="clear" w:color="auto" w:fill="FFFFFF"/>
        </w:rPr>
        <w:t>public</w:t>
      </w:r>
      <w:r w:rsidR="006E3B8A" w:rsidRPr="0030221A">
        <w:rPr>
          <w:rFonts w:cs="Times New Roman"/>
          <w:szCs w:val="24"/>
          <w:shd w:val="clear" w:color="auto" w:fill="FFFFFF"/>
        </w:rPr>
        <w:t>-private partnerships in delta management.</w:t>
      </w:r>
    </w:p>
    <w:p w:rsidR="006E3B8A" w:rsidRPr="0030221A" w:rsidRDefault="006E3B8A" w:rsidP="003D5A31">
      <w:pPr>
        <w:pStyle w:val="ListParagraph"/>
        <w:numPr>
          <w:ilvl w:val="0"/>
          <w:numId w:val="91"/>
        </w:numPr>
        <w:spacing w:line="276" w:lineRule="auto"/>
        <w:jc w:val="both"/>
        <w:rPr>
          <w:rFonts w:eastAsia="Times New Roman" w:cs="Times New Roman"/>
          <w:b/>
          <w:color w:val="000000"/>
          <w:szCs w:val="24"/>
        </w:rPr>
      </w:pPr>
      <w:r w:rsidRPr="0030221A">
        <w:rPr>
          <w:rFonts w:cs="Times New Roman"/>
          <w:b/>
          <w:szCs w:val="24"/>
          <w:shd w:val="clear" w:color="auto" w:fill="FFFFFF"/>
        </w:rPr>
        <w:t xml:space="preserve">Coordinated approach to delta financing:   </w:t>
      </w:r>
      <w:r w:rsidRPr="0030221A">
        <w:rPr>
          <w:rFonts w:cs="Times New Roman"/>
          <w:szCs w:val="24"/>
          <w:shd w:val="clear" w:color="auto" w:fill="FFFFFF"/>
        </w:rPr>
        <w:t xml:space="preserve">On the spending side, this requires dedicated funding for water management; and a balance between O&amp;M, physical investment; research and innovation.  On the financing side, it calls for a combination of tax financing and beneficiary pays principle. For example, the Dutch Delta management combines a dedicated Delta Fund at the national level to finance large infrastructure and research and innovation </w:t>
      </w:r>
      <w:r w:rsidRPr="0030221A">
        <w:rPr>
          <w:rFonts w:cs="Times New Roman"/>
          <w:szCs w:val="24"/>
          <w:shd w:val="clear" w:color="auto" w:fill="FFFFFF"/>
        </w:rPr>
        <w:lastRenderedPageBreak/>
        <w:t>with most other investments and all O&amp;M funded at the local level through the application of the beneficiary pays principle.</w:t>
      </w:r>
    </w:p>
    <w:p w:rsidR="006E3B8A" w:rsidRPr="0030221A" w:rsidRDefault="006E3B8A" w:rsidP="00912C7F">
      <w:pPr>
        <w:pStyle w:val="ListParagraph"/>
        <w:spacing w:line="276" w:lineRule="auto"/>
        <w:ind w:left="360"/>
        <w:jc w:val="both"/>
        <w:rPr>
          <w:rFonts w:cs="Times New Roman"/>
          <w:b/>
          <w:szCs w:val="24"/>
          <w:shd w:val="clear" w:color="auto" w:fill="FFFFFF"/>
        </w:rPr>
      </w:pPr>
    </w:p>
    <w:p w:rsidR="006E3B8A" w:rsidRPr="00586F28" w:rsidRDefault="00BD05B4" w:rsidP="00912C7F">
      <w:pPr>
        <w:pStyle w:val="ListParagraph"/>
        <w:spacing w:line="276" w:lineRule="auto"/>
        <w:ind w:left="0"/>
        <w:jc w:val="both"/>
        <w:rPr>
          <w:rFonts w:cs="Times New Roman"/>
          <w:b/>
          <w:i/>
          <w:szCs w:val="24"/>
          <w:shd w:val="clear" w:color="auto" w:fill="FFFFFF"/>
        </w:rPr>
      </w:pPr>
      <w:r w:rsidRPr="00586F28">
        <w:rPr>
          <w:rFonts w:cs="Times New Roman"/>
          <w:b/>
          <w:i/>
          <w:szCs w:val="24"/>
          <w:shd w:val="clear" w:color="auto" w:fill="FFFFFF"/>
        </w:rPr>
        <w:t>Governance Issues and Challenges for Bangladesh Water M</w:t>
      </w:r>
      <w:r w:rsidR="006E3B8A" w:rsidRPr="00586F28">
        <w:rPr>
          <w:rFonts w:cs="Times New Roman"/>
          <w:b/>
          <w:i/>
          <w:szCs w:val="24"/>
          <w:shd w:val="clear" w:color="auto" w:fill="FFFFFF"/>
        </w:rPr>
        <w:t>anagement</w:t>
      </w:r>
    </w:p>
    <w:p w:rsidR="006E3B8A" w:rsidRPr="0030221A" w:rsidRDefault="006E3B8A" w:rsidP="00912C7F">
      <w:pPr>
        <w:spacing w:line="276" w:lineRule="auto"/>
        <w:jc w:val="both"/>
        <w:rPr>
          <w:rFonts w:cs="Times New Roman"/>
          <w:szCs w:val="24"/>
        </w:rPr>
      </w:pPr>
      <w:r w:rsidRPr="0030221A">
        <w:rPr>
          <w:rFonts w:cs="Times New Roman"/>
          <w:szCs w:val="24"/>
        </w:rPr>
        <w:t>Bangladesh has a long history of water management. Related water policies, regulations and institutions have emerged over time, partly in response to water-related natural hazards. Nevertheless, the main focus of water management has been the protection of agriculture.  This is understandable in view of the dominant role of agriculture for food security and livelihood for the poor. One negative consequence of this primal focus has been the relative neglect of issues emerging from climate change, river transport, urban water, urban drainage and water quality issues including pollution of river and other water bodies.  These later issues have now gained added significance in the context of integrated delta management.</w:t>
      </w:r>
    </w:p>
    <w:p w:rsidR="00EE54F9" w:rsidRPr="00EE54F9" w:rsidRDefault="006E3B8A" w:rsidP="00EE54F9">
      <w:pPr>
        <w:spacing w:line="276" w:lineRule="auto"/>
        <w:jc w:val="both"/>
        <w:rPr>
          <w:rFonts w:cs="Times New Roman"/>
          <w:szCs w:val="24"/>
        </w:rPr>
      </w:pPr>
      <w:r w:rsidRPr="00EE54F9">
        <w:rPr>
          <w:rFonts w:cs="Times New Roman"/>
          <w:szCs w:val="24"/>
        </w:rPr>
        <w:t xml:space="preserve">The legal framework for water management is provided by the Water Act 2013.  This is a comprehensive Act and covers well all aspects of water management as an integrated resource. According to the Act, the main objective is to “make provisions for integrated development, management, abstraction, distribution, use, protection and conservation of water resources". Since the Act is of recent origin, the associated regulatory policies and institutions have not fully taken shape.  But the Act provides a strong basis for moving forward.  </w:t>
      </w:r>
      <w:r w:rsidR="00EE54F9" w:rsidRPr="00EE54F9">
        <w:rPr>
          <w:rFonts w:cs="Times New Roman"/>
          <w:szCs w:val="24"/>
        </w:rPr>
        <w:t>The Water Act 2013 currently operates through the use of a number of operating principles defined by the National Water Policy of 1999 and the National Water Resource Management document of 2001(adopted in 2004).</w:t>
      </w:r>
    </w:p>
    <w:p w:rsidR="00F562DB" w:rsidRDefault="006E3B8A" w:rsidP="00912C7F">
      <w:pPr>
        <w:spacing w:line="276" w:lineRule="auto"/>
        <w:jc w:val="both"/>
        <w:rPr>
          <w:rFonts w:cs="Times New Roman"/>
          <w:szCs w:val="24"/>
        </w:rPr>
      </w:pPr>
      <w:r w:rsidRPr="0030221A">
        <w:rPr>
          <w:rFonts w:cs="Times New Roman"/>
          <w:szCs w:val="24"/>
        </w:rPr>
        <w:t xml:space="preserve">Bangladesh has 50 plus years of experience in managing water resources that is reflected in numerous water policies and water programmes. Despite this rich history and the enactment of the 2013 Water Policy and the high powered coordinating committees (NWRC, ECNWRC), effectiveness of the implementation of integrated water management is weak.  Successive governments have engaged in detailed technical studies with international technical experts, but implementation has suffered owing to political constraints, financing constraints and institutional constraints.  At the institutional level, the main problem is the weak capacity of all water and water related institutions including the two major water agencies: Bangladesh Water Development Board (BWDB) and the Water Resource Planning Organization (WARPO). A second problem is the absence of local water bodies and therefore the absence of key-stakeholders (beneficiaries) in water decision making.  </w:t>
      </w:r>
      <w:r w:rsidR="00F562DB" w:rsidRPr="0030221A">
        <w:rPr>
          <w:rFonts w:cs="Times New Roman"/>
          <w:szCs w:val="24"/>
        </w:rPr>
        <w:t xml:space="preserve">A </w:t>
      </w:r>
      <w:r w:rsidR="00F562DB">
        <w:rPr>
          <w:rFonts w:cs="Times New Roman"/>
          <w:szCs w:val="24"/>
        </w:rPr>
        <w:t>third problem is the lack of integration of water issues with climate change, environment, land management and other delta-related challenges owing to</w:t>
      </w:r>
      <w:r w:rsidR="00F562DB" w:rsidRPr="0030221A">
        <w:rPr>
          <w:rFonts w:cs="Times New Roman"/>
          <w:szCs w:val="24"/>
        </w:rPr>
        <w:t xml:space="preserve"> inadequate institutional coordination. </w:t>
      </w:r>
    </w:p>
    <w:p w:rsidR="006E3B8A" w:rsidRPr="00586F28" w:rsidRDefault="006E3B8A" w:rsidP="00912C7F">
      <w:pPr>
        <w:spacing w:line="276" w:lineRule="auto"/>
        <w:jc w:val="both"/>
        <w:rPr>
          <w:rFonts w:cs="Times New Roman"/>
          <w:b/>
          <w:i/>
          <w:szCs w:val="24"/>
        </w:rPr>
      </w:pPr>
      <w:r w:rsidRPr="00586F28">
        <w:rPr>
          <w:rFonts w:cs="Times New Roman"/>
          <w:b/>
          <w:i/>
          <w:szCs w:val="24"/>
        </w:rPr>
        <w:t xml:space="preserve">Institutional Reforms for the Delta Plan     </w:t>
      </w:r>
    </w:p>
    <w:p w:rsidR="00287827" w:rsidRDefault="00287827" w:rsidP="00912C7F">
      <w:pPr>
        <w:spacing w:line="276" w:lineRule="auto"/>
        <w:jc w:val="both"/>
        <w:rPr>
          <w:rFonts w:cs="Times New Roman"/>
          <w:szCs w:val="24"/>
        </w:rPr>
      </w:pPr>
      <w:r>
        <w:rPr>
          <w:rFonts w:cs="Times New Roman"/>
          <w:szCs w:val="24"/>
        </w:rPr>
        <w:t>Moving forward, the implementation of the Delta Plan will require major institutional reforms focused on three core objectives:</w:t>
      </w:r>
    </w:p>
    <w:p w:rsidR="00000000" w:rsidRDefault="00287827" w:rsidP="003D5A31">
      <w:pPr>
        <w:pStyle w:val="ListParagraph"/>
        <w:numPr>
          <w:ilvl w:val="0"/>
          <w:numId w:val="252"/>
        </w:numPr>
        <w:spacing w:line="276" w:lineRule="auto"/>
        <w:jc w:val="both"/>
        <w:rPr>
          <w:rFonts w:cs="Times New Roman"/>
          <w:szCs w:val="24"/>
        </w:rPr>
      </w:pPr>
      <w:r>
        <w:rPr>
          <w:rFonts w:cs="Times New Roman"/>
          <w:szCs w:val="24"/>
        </w:rPr>
        <w:lastRenderedPageBreak/>
        <w:t xml:space="preserve">Establishing </w:t>
      </w:r>
      <w:r w:rsidR="006E3B8A" w:rsidRPr="00287827">
        <w:rPr>
          <w:rFonts w:cs="Times New Roman"/>
          <w:szCs w:val="24"/>
        </w:rPr>
        <w:t>effective institutions of inter-sectoral planning</w:t>
      </w:r>
      <w:r w:rsidR="007E28F0" w:rsidRPr="00287827">
        <w:rPr>
          <w:rFonts w:cs="Times New Roman"/>
          <w:szCs w:val="24"/>
        </w:rPr>
        <w:t>, financing, decision-making</w:t>
      </w:r>
      <w:r>
        <w:rPr>
          <w:rFonts w:cs="Times New Roman"/>
          <w:szCs w:val="24"/>
        </w:rPr>
        <w:t xml:space="preserve"> and coordination.</w:t>
      </w:r>
      <w:r w:rsidR="006E3B8A" w:rsidRPr="00287827">
        <w:rPr>
          <w:rFonts w:cs="Times New Roman"/>
          <w:szCs w:val="24"/>
        </w:rPr>
        <w:t xml:space="preserve"> </w:t>
      </w:r>
    </w:p>
    <w:p w:rsidR="00000000" w:rsidRDefault="00287827" w:rsidP="003D5A31">
      <w:pPr>
        <w:pStyle w:val="ListParagraph"/>
        <w:numPr>
          <w:ilvl w:val="0"/>
          <w:numId w:val="252"/>
        </w:numPr>
        <w:spacing w:line="276" w:lineRule="auto"/>
        <w:jc w:val="both"/>
        <w:rPr>
          <w:rFonts w:cs="Times New Roman"/>
          <w:szCs w:val="24"/>
        </w:rPr>
      </w:pPr>
      <w:r>
        <w:rPr>
          <w:rFonts w:cs="Times New Roman"/>
          <w:szCs w:val="24"/>
        </w:rPr>
        <w:t>I</w:t>
      </w:r>
      <w:r w:rsidR="007E28F0" w:rsidRPr="00287827">
        <w:rPr>
          <w:rFonts w:cs="Times New Roman"/>
          <w:szCs w:val="24"/>
        </w:rPr>
        <w:t xml:space="preserve">ncorporating issues of climate change, environment, bio-diversity, agriculture, fisheries, forestry, inland water transport and land management and their interaction with water to develop a comprehensive view of </w:t>
      </w:r>
      <w:r w:rsidR="009C4DC1">
        <w:rPr>
          <w:rFonts w:cs="Times New Roman"/>
          <w:szCs w:val="24"/>
        </w:rPr>
        <w:t>the delta issues and challenges.</w:t>
      </w:r>
    </w:p>
    <w:p w:rsidR="00000000" w:rsidRDefault="009C4DC1" w:rsidP="003D5A31">
      <w:pPr>
        <w:pStyle w:val="ListParagraph"/>
        <w:numPr>
          <w:ilvl w:val="0"/>
          <w:numId w:val="252"/>
        </w:numPr>
        <w:spacing w:line="276" w:lineRule="auto"/>
        <w:jc w:val="both"/>
        <w:rPr>
          <w:rFonts w:cs="Times New Roman"/>
          <w:szCs w:val="24"/>
        </w:rPr>
      </w:pPr>
      <w:r>
        <w:rPr>
          <w:rFonts w:cs="Times New Roman"/>
          <w:szCs w:val="24"/>
        </w:rPr>
        <w:t xml:space="preserve">And </w:t>
      </w:r>
      <w:r w:rsidR="007E28F0" w:rsidRPr="00287827">
        <w:rPr>
          <w:rFonts w:cs="Times New Roman"/>
          <w:szCs w:val="24"/>
        </w:rPr>
        <w:t>third</w:t>
      </w:r>
      <w:r w:rsidR="006E3B8A" w:rsidRPr="00287827">
        <w:rPr>
          <w:rFonts w:cs="Times New Roman"/>
          <w:szCs w:val="24"/>
        </w:rPr>
        <w:t>, converting each of the related institutions of water, climate change and environment management, agriculture and land management</w:t>
      </w:r>
      <w:r w:rsidR="007E28F0" w:rsidRPr="00287827">
        <w:rPr>
          <w:rFonts w:cs="Times New Roman"/>
          <w:szCs w:val="24"/>
        </w:rPr>
        <w:t>, and inland water transport management</w:t>
      </w:r>
      <w:r w:rsidR="006E3B8A" w:rsidRPr="00287827">
        <w:rPr>
          <w:rFonts w:cs="Times New Roman"/>
          <w:szCs w:val="24"/>
        </w:rPr>
        <w:t xml:space="preserve"> into strong institutions with adequate technical skills including in the areas of economic management, financing</w:t>
      </w:r>
      <w:r w:rsidR="007E28F0" w:rsidRPr="00287827">
        <w:rPr>
          <w:rFonts w:cs="Times New Roman"/>
          <w:szCs w:val="24"/>
        </w:rPr>
        <w:t xml:space="preserve">, institution building, monitoring and </w:t>
      </w:r>
      <w:r w:rsidR="007D4F16" w:rsidRPr="00287827">
        <w:rPr>
          <w:rFonts w:cs="Times New Roman"/>
          <w:szCs w:val="24"/>
        </w:rPr>
        <w:t>evaluation</w:t>
      </w:r>
      <w:r w:rsidR="007E28F0" w:rsidRPr="00287827">
        <w:rPr>
          <w:rFonts w:cs="Times New Roman"/>
          <w:szCs w:val="24"/>
        </w:rPr>
        <w:t xml:space="preserve"> and knowledge management. </w:t>
      </w:r>
    </w:p>
    <w:p w:rsidR="006E3B8A" w:rsidRPr="009C4DC1" w:rsidRDefault="007E28F0" w:rsidP="009C4DC1">
      <w:pPr>
        <w:spacing w:line="276" w:lineRule="auto"/>
        <w:ind w:left="360"/>
        <w:jc w:val="both"/>
        <w:rPr>
          <w:rFonts w:cs="Times New Roman"/>
          <w:szCs w:val="24"/>
        </w:rPr>
      </w:pPr>
      <w:r w:rsidRPr="009C4DC1">
        <w:rPr>
          <w:rFonts w:cs="Times New Roman"/>
          <w:szCs w:val="24"/>
        </w:rPr>
        <w:t>All three factors</w:t>
      </w:r>
      <w:r w:rsidR="006E3B8A" w:rsidRPr="009C4DC1">
        <w:rPr>
          <w:rFonts w:cs="Times New Roman"/>
          <w:szCs w:val="24"/>
        </w:rPr>
        <w:t xml:space="preserve"> are essential for having an effective institutional framework for Delta Management.   </w:t>
      </w:r>
    </w:p>
    <w:p w:rsidR="006E3B8A" w:rsidRPr="0030221A" w:rsidRDefault="006E3B8A" w:rsidP="00912C7F">
      <w:pPr>
        <w:spacing w:line="276" w:lineRule="auto"/>
        <w:jc w:val="both"/>
        <w:rPr>
          <w:rFonts w:eastAsia="Times New Roman" w:cs="Times New Roman"/>
          <w:szCs w:val="24"/>
        </w:rPr>
      </w:pPr>
      <w:r w:rsidRPr="0030221A">
        <w:rPr>
          <w:rFonts w:eastAsia="Times New Roman" w:cs="Times New Roman"/>
          <w:b/>
          <w:szCs w:val="24"/>
        </w:rPr>
        <w:t xml:space="preserve">Key elements of the governance and institutional reforms under the Bangladesh Delta Plan: </w:t>
      </w:r>
      <w:r w:rsidRPr="0030221A">
        <w:rPr>
          <w:rFonts w:eastAsia="Times New Roman" w:cs="Times New Roman"/>
          <w:szCs w:val="24"/>
        </w:rPr>
        <w:t>Drawing from the</w:t>
      </w:r>
      <w:r w:rsidR="009C4DC1">
        <w:rPr>
          <w:rFonts w:eastAsia="Times New Roman" w:cs="Times New Roman"/>
          <w:szCs w:val="24"/>
        </w:rPr>
        <w:t xml:space="preserve"> lessons of international experience, especially from </w:t>
      </w:r>
      <w:r w:rsidRPr="0030221A">
        <w:rPr>
          <w:rFonts w:eastAsia="Times New Roman" w:cs="Times New Roman"/>
          <w:szCs w:val="24"/>
        </w:rPr>
        <w:t>the Dutch Delta management, past Bangladesh experience, and the socio-economic-political realities of Bangladesh, the proposed approach to reforming the water and other related delta governance and institutions are as follows:</w:t>
      </w:r>
    </w:p>
    <w:p w:rsidR="006E3B8A" w:rsidRPr="003433FE" w:rsidRDefault="003433FE" w:rsidP="00912C7F">
      <w:pPr>
        <w:pStyle w:val="ListParagraph"/>
        <w:numPr>
          <w:ilvl w:val="1"/>
          <w:numId w:val="80"/>
        </w:numPr>
        <w:spacing w:line="276" w:lineRule="auto"/>
        <w:ind w:left="0" w:firstLine="0"/>
        <w:jc w:val="both"/>
        <w:rPr>
          <w:rFonts w:eastAsia="Times New Roman" w:cs="Times New Roman"/>
          <w:szCs w:val="24"/>
        </w:rPr>
      </w:pPr>
      <w:r w:rsidRPr="004B0A08">
        <w:rPr>
          <w:rFonts w:eastAsia="Times New Roman" w:cs="Times New Roman"/>
          <w:i/>
          <w:szCs w:val="24"/>
        </w:rPr>
        <w:t>Reforming the legal framework for water management:</w:t>
      </w:r>
      <w:r w:rsidRPr="004B0A08">
        <w:rPr>
          <w:rFonts w:eastAsia="Times New Roman" w:cs="Times New Roman"/>
          <w:szCs w:val="24"/>
        </w:rPr>
        <w:t xml:space="preserve">  </w:t>
      </w:r>
      <w:r w:rsidRPr="006D3E84">
        <w:rPr>
          <w:rFonts w:eastAsia="Times New Roman" w:cs="Times New Roman"/>
          <w:szCs w:val="24"/>
        </w:rPr>
        <w:t>A new ‘Delta Act’ should be enacted to provide a sound legal coverage for the long-term nature of BDP 2100 including establishment of the Delta Fund, establishment of the Delta Commission and the Plan itself.</w:t>
      </w:r>
      <w:r w:rsidRPr="004B0A08">
        <w:rPr>
          <w:rFonts w:eastAsia="Times New Roman" w:cs="Times New Roman"/>
          <w:color w:val="0070C0"/>
          <w:szCs w:val="24"/>
        </w:rPr>
        <w:t xml:space="preserve"> </w:t>
      </w:r>
      <w:r w:rsidRPr="004B0A08">
        <w:rPr>
          <w:rFonts w:eastAsia="Times New Roman" w:cs="Times New Roman"/>
          <w:szCs w:val="24"/>
        </w:rPr>
        <w:t>The three main areas it will need to cover are : (a) establishment of local water bodies in the spirit of the water bodies in the Netherlands and providing the legal cover for the operating and financial principles for the water bodies; (a) establishing a Bangladesh Delta Commission; (b) establishing a Bangladesh Delta Fund; and (c) establishment of local water bodies in the spirit of the water bodies in the Netherlands and providing the legal cover for the operating and financial principles for the water bodies; .  Several new institutions have to be created under the Bangladesh Delta Act to help implement the Delta Plan.</w:t>
      </w:r>
      <w:r w:rsidR="006E3B8A" w:rsidRPr="003433FE">
        <w:rPr>
          <w:rFonts w:eastAsia="Times New Roman" w:cs="Times New Roman"/>
          <w:szCs w:val="24"/>
        </w:rPr>
        <w:t xml:space="preserve"> </w:t>
      </w:r>
    </w:p>
    <w:p w:rsidR="005F4B3E" w:rsidRPr="00AA0BA3" w:rsidRDefault="003433FE" w:rsidP="00AA0BA3">
      <w:pPr>
        <w:spacing w:line="276" w:lineRule="auto"/>
        <w:jc w:val="both"/>
        <w:rPr>
          <w:rFonts w:cs="Times New Roman"/>
          <w:color w:val="000000" w:themeColor="text1"/>
          <w:szCs w:val="18"/>
        </w:rPr>
      </w:pPr>
      <w:r>
        <w:rPr>
          <w:rFonts w:eastAsia="Times New Roman" w:cs="Times New Roman"/>
          <w:b/>
          <w:szCs w:val="24"/>
        </w:rPr>
        <w:t xml:space="preserve">(a) </w:t>
      </w:r>
      <w:r w:rsidR="006E3B8A" w:rsidRPr="0030221A">
        <w:rPr>
          <w:rFonts w:eastAsia="Times New Roman" w:cs="Times New Roman"/>
          <w:b/>
          <w:szCs w:val="24"/>
        </w:rPr>
        <w:t>Bangladesh Delta Commission:</w:t>
      </w:r>
      <w:r w:rsidR="006E3B8A" w:rsidRPr="0030221A">
        <w:rPr>
          <w:rFonts w:eastAsia="Times New Roman" w:cs="Times New Roman"/>
          <w:szCs w:val="24"/>
        </w:rPr>
        <w:t xml:space="preserve"> An important way the government may signal its top priority to integrated water management and also incorporate issues and challenges related to climate change, environment, bio-diversity, agriculture, navigation and land management is to follow the Dutch model and establish a Delta Commission to implement the Delta Plan.  </w:t>
      </w:r>
      <w:r w:rsidR="00654A6C" w:rsidRPr="00AA0BA3">
        <w:rPr>
          <w:rFonts w:eastAsia="Times New Roman" w:cs="Segoe UI"/>
          <w:color w:val="000000" w:themeColor="text1"/>
          <w:szCs w:val="19"/>
        </w:rPr>
        <w:t xml:space="preserve">The proposed Delta Commission is an independent entity under the Bangladesh Delta Act. It is </w:t>
      </w:r>
      <w:r w:rsidR="00AA0BA3">
        <w:rPr>
          <w:rFonts w:eastAsia="Times New Roman" w:cs="Segoe UI"/>
          <w:color w:val="000000" w:themeColor="text1"/>
          <w:szCs w:val="19"/>
        </w:rPr>
        <w:t xml:space="preserve">also </w:t>
      </w:r>
      <w:r w:rsidR="00654A6C" w:rsidRPr="00AA0BA3">
        <w:rPr>
          <w:rFonts w:eastAsia="Times New Roman" w:cs="Segoe UI"/>
          <w:color w:val="000000" w:themeColor="text1"/>
          <w:szCs w:val="19"/>
        </w:rPr>
        <w:t xml:space="preserve">proposed that within the Bangladesh Delta Commission, there should be set-ups for ‘office of a Delta Commissioner’ and ‘the Delta Commission Secretariat’. The Secretariat, resembling a Division, shall have four wings: Programming; Delta Fund; Monitoring &amp; Evaluation and General Administration. Indicative roles of the Delta Commission are related to coordination, </w:t>
      </w:r>
      <w:r w:rsidR="00654A6C" w:rsidRPr="00AA0BA3">
        <w:rPr>
          <w:rFonts w:eastAsia="Times New Roman" w:cs="Segoe UI"/>
          <w:color w:val="000000" w:themeColor="text1"/>
          <w:szCs w:val="19"/>
        </w:rPr>
        <w:lastRenderedPageBreak/>
        <w:t xml:space="preserve">programming/planning, financing, research/innovation/evaluation, policy/guidelines and knowledge management. </w:t>
      </w:r>
    </w:p>
    <w:p w:rsidR="006E3B8A" w:rsidRDefault="003433FE" w:rsidP="00912C7F">
      <w:pPr>
        <w:spacing w:line="276" w:lineRule="auto"/>
        <w:jc w:val="both"/>
        <w:rPr>
          <w:rFonts w:eastAsia="Times New Roman" w:cs="Times New Roman"/>
          <w:szCs w:val="24"/>
        </w:rPr>
      </w:pPr>
      <w:r>
        <w:rPr>
          <w:rFonts w:eastAsia="Times New Roman" w:cs="Times New Roman"/>
          <w:szCs w:val="24"/>
        </w:rPr>
        <w:t>(b</w:t>
      </w:r>
      <w:r w:rsidR="006E3B8A" w:rsidRPr="0030221A">
        <w:rPr>
          <w:rFonts w:eastAsia="Times New Roman" w:cs="Times New Roman"/>
          <w:szCs w:val="24"/>
        </w:rPr>
        <w:t>)</w:t>
      </w:r>
      <w:r w:rsidR="006E3B8A" w:rsidRPr="0030221A">
        <w:rPr>
          <w:rFonts w:eastAsia="Times New Roman" w:cs="Times New Roman"/>
          <w:szCs w:val="24"/>
        </w:rPr>
        <w:tab/>
      </w:r>
      <w:r w:rsidR="006E3B8A" w:rsidRPr="0030221A">
        <w:rPr>
          <w:rFonts w:eastAsia="Times New Roman" w:cs="Times New Roman"/>
          <w:b/>
          <w:szCs w:val="24"/>
        </w:rPr>
        <w:t xml:space="preserve">Bangladesh Delta Fund:  </w:t>
      </w:r>
      <w:r w:rsidR="006E3B8A" w:rsidRPr="0030221A">
        <w:rPr>
          <w:rFonts w:eastAsia="Times New Roman" w:cs="Times New Roman"/>
          <w:szCs w:val="24"/>
        </w:rPr>
        <w:t>Given limited resources and the need for a coordinated and integrated approach to delta spending, it would seem appropriate to establish a Delta Fund in the same spirit as in the Netherlands.  This can start with the consolidation of current ADP spending</w:t>
      </w:r>
      <w:r w:rsidR="00AB4D81">
        <w:rPr>
          <w:rFonts w:eastAsia="Times New Roman" w:cs="Times New Roman"/>
          <w:szCs w:val="24"/>
        </w:rPr>
        <w:t xml:space="preserve"> on D</w:t>
      </w:r>
      <w:r w:rsidR="003E661C">
        <w:rPr>
          <w:rFonts w:eastAsia="Times New Roman" w:cs="Times New Roman"/>
          <w:szCs w:val="24"/>
        </w:rPr>
        <w:t xml:space="preserve">elta Plan related programmes </w:t>
      </w:r>
      <w:r w:rsidR="006E3B8A" w:rsidRPr="0030221A">
        <w:rPr>
          <w:rFonts w:eastAsia="Times New Roman" w:cs="Times New Roman"/>
          <w:szCs w:val="24"/>
        </w:rPr>
        <w:t xml:space="preserve">of 0.8% of GDP.  But its allocation will change substantially.  Instead of fragmented ministry level allocations of own individual programmes that are not well coordinated or linked to specific delta objectives and priorities, the Delta Fund will be managed by the Delta Commission as an integrated programme that is prepared ahead of the financing allocation.  The delta spending programme will be prepared and updated on an annual basis by the Delta Commission and will include investments, O&amp;M funding, research, capacity building and institutional development. Approved programmes will be guaranteed funding for the full life of the project and proper balance between new projects and completion of ongoing projects will be ensured. O&amp;M fund will initially come from the Delta Fund but over time it will be phased away by transferring responsibilities to the municipalities and the local water bodies. Similarly, over time the Delta Fund will manage only a small number of national high priority projects, innovation and research as in the case of the Dutch Delta Fund.  The financing of smaller projects will transfer to municipalities and local water authorities with quality assurance on standards and inspection functions performed at the national level.    </w:t>
      </w:r>
    </w:p>
    <w:p w:rsidR="003433FE" w:rsidRPr="0030221A" w:rsidRDefault="003433FE" w:rsidP="00912C7F">
      <w:pPr>
        <w:spacing w:line="276" w:lineRule="auto"/>
        <w:jc w:val="both"/>
        <w:rPr>
          <w:rFonts w:eastAsia="Times New Roman" w:cs="Times New Roman"/>
          <w:szCs w:val="24"/>
        </w:rPr>
      </w:pPr>
      <w:r>
        <w:rPr>
          <w:rFonts w:eastAsia="Times New Roman" w:cs="Times New Roman"/>
          <w:szCs w:val="24"/>
        </w:rPr>
        <w:t>(c</w:t>
      </w:r>
      <w:r w:rsidRPr="0030221A">
        <w:rPr>
          <w:rFonts w:eastAsia="Times New Roman" w:cs="Times New Roman"/>
          <w:szCs w:val="24"/>
        </w:rPr>
        <w:t xml:space="preserve">) </w:t>
      </w:r>
      <w:r w:rsidR="00BB11A4">
        <w:rPr>
          <w:rFonts w:eastAsia="Times New Roman" w:cs="Times New Roman"/>
          <w:b/>
          <w:szCs w:val="24"/>
        </w:rPr>
        <w:t>Local Water B</w:t>
      </w:r>
      <w:r w:rsidRPr="0030221A">
        <w:rPr>
          <w:rFonts w:eastAsia="Times New Roman" w:cs="Times New Roman"/>
          <w:b/>
          <w:szCs w:val="24"/>
        </w:rPr>
        <w:t>odies:</w:t>
      </w:r>
      <w:r w:rsidRPr="0030221A">
        <w:rPr>
          <w:rFonts w:eastAsia="Times New Roman" w:cs="Times New Roman"/>
          <w:szCs w:val="24"/>
        </w:rPr>
        <w:t xml:space="preserve">  The missing water institution in Bangladesh is the representation in decision making of beneficiary stakeholders linked with coastal management, river management, fresh water wetlands (haors and baors) management, large irrigation schemes and flood control. Establishment of this missing link in water management is an essential reform for successful management of the Delta Plan. These water bodies fundamentally must represent the stakeholders and not government interests.  The water bodies should be established based on a careful review of good practice international experiences including the Dutch experience, analysis of the past approaches to establishing water users association in Bangladesh and the reasons for their failure, and doing additional stake-holder consultations.  The full governance principles including membership, selection process, functions, financing and accountabilities must be provided in totalit</w:t>
      </w:r>
      <w:r>
        <w:rPr>
          <w:rFonts w:eastAsia="Times New Roman" w:cs="Times New Roman"/>
          <w:szCs w:val="24"/>
        </w:rPr>
        <w:t xml:space="preserve">y as a part of the Delta Act.  </w:t>
      </w:r>
    </w:p>
    <w:p w:rsidR="006E3B8A" w:rsidRPr="00AA0BA3" w:rsidRDefault="006E3B8A" w:rsidP="00912C7F">
      <w:pPr>
        <w:spacing w:line="276" w:lineRule="auto"/>
        <w:jc w:val="both"/>
        <w:rPr>
          <w:rFonts w:eastAsia="Times New Roman" w:cs="Times New Roman"/>
          <w:color w:val="000000" w:themeColor="text1"/>
          <w:szCs w:val="24"/>
        </w:rPr>
      </w:pPr>
      <w:r w:rsidRPr="0030221A">
        <w:rPr>
          <w:rFonts w:cs="Times New Roman"/>
          <w:szCs w:val="24"/>
        </w:rPr>
        <w:t xml:space="preserve">(d) </w:t>
      </w:r>
      <w:r w:rsidRPr="0030221A">
        <w:rPr>
          <w:rFonts w:cs="Times New Roman"/>
          <w:b/>
          <w:szCs w:val="24"/>
        </w:rPr>
        <w:t>Developing the Delta Act:</w:t>
      </w:r>
      <w:r w:rsidRPr="0030221A">
        <w:rPr>
          <w:rFonts w:cs="Times New Roman"/>
          <w:szCs w:val="24"/>
        </w:rPr>
        <w:t xml:space="preserve">  Preparing the Delta Act and the associated three institutions: the Local Water Bodies; the Delta Commission; and the Delta Fund can start immediately after the approval of the Delta Plan. </w:t>
      </w:r>
      <w:r w:rsidR="005A2232">
        <w:rPr>
          <w:rFonts w:eastAsia="Times New Roman" w:cs="Times New Roman"/>
          <w:szCs w:val="24"/>
        </w:rPr>
        <w:t xml:space="preserve">One possible way of going about this is, </w:t>
      </w:r>
      <w:r w:rsidR="005A2232" w:rsidRPr="00AA0BA3">
        <w:rPr>
          <w:rFonts w:eastAsia="Times New Roman" w:cs="Times New Roman"/>
          <w:color w:val="000000" w:themeColor="text1"/>
          <w:szCs w:val="24"/>
        </w:rPr>
        <w:t xml:space="preserve">as an interim arrangement, a Delta Plan Wing could be established in GED.  This Wing will undertake all necessary preparatory activities and stake-holder consultations and should submit its report to the existing National Steering Committee (NSC).  Formal review by NSC and final approval by existing National Advisory Committee (NAC) and the cabinet should facilitate a submission of the Delta Act to the Parliament. </w:t>
      </w:r>
    </w:p>
    <w:p w:rsidR="006E3B8A" w:rsidRPr="0030221A" w:rsidRDefault="006E3B8A" w:rsidP="00912C7F">
      <w:pPr>
        <w:spacing w:line="276" w:lineRule="auto"/>
        <w:jc w:val="both"/>
        <w:rPr>
          <w:rFonts w:eastAsia="Times New Roman" w:cs="Times New Roman"/>
          <w:szCs w:val="24"/>
        </w:rPr>
      </w:pPr>
      <w:r w:rsidRPr="0030221A">
        <w:rPr>
          <w:rFonts w:eastAsia="Times New Roman" w:cs="Times New Roman"/>
          <w:szCs w:val="24"/>
        </w:rPr>
        <w:lastRenderedPageBreak/>
        <w:t xml:space="preserve">2) </w:t>
      </w:r>
      <w:r w:rsidRPr="0030221A">
        <w:rPr>
          <w:rFonts w:eastAsia="Times New Roman" w:cs="Times New Roman"/>
          <w:i/>
          <w:szCs w:val="24"/>
        </w:rPr>
        <w:t xml:space="preserve">Strengthening core delta institutions: </w:t>
      </w:r>
      <w:r w:rsidRPr="0030221A">
        <w:rPr>
          <w:rFonts w:eastAsia="Times New Roman" w:cs="Times New Roman"/>
          <w:szCs w:val="24"/>
        </w:rPr>
        <w:t xml:space="preserve"> For the Delta Plan to succeed and to effectively implement the Delta Act, it is imperative to strengthen the core delta institutions. This is a tough challenge and involves long term effort.  Yet some core institutions require immediate attention.  These include: the Delta Commission, the </w:t>
      </w:r>
      <w:r w:rsidR="003E661C">
        <w:rPr>
          <w:rFonts w:eastAsia="Times New Roman" w:cs="Times New Roman"/>
          <w:szCs w:val="24"/>
        </w:rPr>
        <w:t>Delta Secretariat</w:t>
      </w:r>
      <w:r w:rsidR="000E2E0F">
        <w:rPr>
          <w:rFonts w:eastAsia="Times New Roman" w:cs="Times New Roman"/>
          <w:szCs w:val="24"/>
        </w:rPr>
        <w:t>,</w:t>
      </w:r>
      <w:r w:rsidR="003E661C">
        <w:rPr>
          <w:rFonts w:eastAsia="Times New Roman" w:cs="Times New Roman"/>
          <w:szCs w:val="24"/>
        </w:rPr>
        <w:t xml:space="preserve"> </w:t>
      </w:r>
      <w:r w:rsidRPr="0030221A">
        <w:rPr>
          <w:rFonts w:eastAsia="Times New Roman" w:cs="Times New Roman"/>
          <w:szCs w:val="24"/>
        </w:rPr>
        <w:t xml:space="preserve">WARPO, BWDB, the municipalities (WASAs, City Corporations and Pourashavas), the newly constituted local water bodies and all specialized institutions within different non-water delta line ministries (specialized institutions working on delta-related issues in the ministries of agriculture, disaster management, shipping and inland water, local government, environment and forestry and fishing).  </w:t>
      </w:r>
    </w:p>
    <w:p w:rsidR="006E3B8A" w:rsidRPr="0030221A" w:rsidRDefault="006E3B8A" w:rsidP="00912C7F">
      <w:pPr>
        <w:spacing w:line="276" w:lineRule="auto"/>
        <w:jc w:val="both"/>
        <w:rPr>
          <w:rFonts w:eastAsia="Times New Roman" w:cs="Times New Roman"/>
          <w:szCs w:val="24"/>
        </w:rPr>
      </w:pPr>
      <w:r w:rsidRPr="0030221A">
        <w:rPr>
          <w:rFonts w:eastAsia="Times New Roman" w:cs="Times New Roman"/>
          <w:szCs w:val="24"/>
        </w:rPr>
        <w:t>The Delta Commission will have the fundamental role of developing the medium -term (5 year) Delta Programme that will be updated on an annual cycle. It will also be responsible for approving the annual delta programmes that will include investments, O&amp;M funding, research and capacity building. While these tasks will need to be done consultatively with inputs from line ministries and water bodies, the decision making functions will require substantial strengthening of capacities in areas of institutions, finance and economics.  As in the case of the Dutch Delta Commission, it will also need to adopt sound economic principles based on cost-benefit analysis to approve individual programmes.  The only thing that will not change is implementation of approved programmes.  As presently, the approved programmes will continue to be implemented by concerned line ministry and municipalities.</w:t>
      </w:r>
    </w:p>
    <w:p w:rsidR="00682EA6" w:rsidRDefault="00682EA6" w:rsidP="00682EA6">
      <w:pPr>
        <w:spacing w:line="276" w:lineRule="auto"/>
        <w:jc w:val="both"/>
        <w:rPr>
          <w:rFonts w:eastAsia="Times New Roman" w:cs="Times New Roman"/>
          <w:szCs w:val="24"/>
        </w:rPr>
      </w:pPr>
      <w:r>
        <w:rPr>
          <w:rFonts w:eastAsia="Times New Roman" w:cs="Times New Roman"/>
          <w:szCs w:val="24"/>
        </w:rPr>
        <w:t xml:space="preserve">The Ministry of Water is the primary water management institution in the country. Its work is supported by a number of specialized agencies including the two core institutions: BWDB and the WARPO.  </w:t>
      </w:r>
      <w:r w:rsidR="000E2E0F">
        <w:rPr>
          <w:rFonts w:eastAsia="Times New Roman" w:cs="Times New Roman"/>
          <w:szCs w:val="24"/>
        </w:rPr>
        <w:t xml:space="preserve">WARPO and </w:t>
      </w:r>
      <w:r>
        <w:rPr>
          <w:rFonts w:eastAsia="Times New Roman" w:cs="Times New Roman"/>
          <w:szCs w:val="24"/>
        </w:rPr>
        <w:t>BWDB need considerable strengthening in new technology, innovation, integrated planning, research, economic management and consultative processes. Along with the Delta Secretariat, it will also need to help out with the establishment of the local water bodies and learn to work with them collegially as a complementary institution rather than as a competing institution. The evolution of decentralized water management will face major challenges and will have obvious teething problems. The Delta Secretariat</w:t>
      </w:r>
      <w:r w:rsidR="000E2E0F">
        <w:rPr>
          <w:rFonts w:eastAsia="Times New Roman" w:cs="Times New Roman"/>
          <w:szCs w:val="24"/>
        </w:rPr>
        <w:t>, WRAPO</w:t>
      </w:r>
      <w:r>
        <w:rPr>
          <w:rFonts w:eastAsia="Times New Roman" w:cs="Times New Roman"/>
          <w:szCs w:val="24"/>
        </w:rPr>
        <w:t xml:space="preserve"> and the BWDB can make this process smoother and less costly through proper support and coordination. </w:t>
      </w:r>
    </w:p>
    <w:p w:rsidR="00682EA6" w:rsidRDefault="00682EA6" w:rsidP="00682EA6">
      <w:pPr>
        <w:spacing w:line="276" w:lineRule="auto"/>
        <w:jc w:val="both"/>
        <w:rPr>
          <w:rFonts w:eastAsia="Times New Roman" w:cs="Times New Roman"/>
          <w:szCs w:val="24"/>
        </w:rPr>
      </w:pPr>
      <w:r>
        <w:rPr>
          <w:rFonts w:eastAsia="Times New Roman" w:cs="Times New Roman"/>
          <w:szCs w:val="24"/>
        </w:rPr>
        <w:t xml:space="preserve">The BWDB has a long history of involvement with water planning and implementation. BWDB has excellent water engineers, but is weak in areas of economic analysis, financing and institution building.  These gaps will have to be addressed with proper staffing of experts in the missing areas.  Additionally, BWDB must be encouraged to find innovative engineering solutions to water management problems in the same spirit as the Dutch Delta Works. Considerable interaction with water engineers in the universities and international training from countries like the Netherlands that have excelled in designing innovative technical solutions to coastal belt management, river management, flood control and irrigation.  Mistakes made with polder investments must be corrected and attention should be given to designing and adopting "no regrets" engineering solutions to flood and irrigation management projects.   </w:t>
      </w:r>
    </w:p>
    <w:p w:rsidR="006E3B8A" w:rsidRPr="0030221A" w:rsidRDefault="006E3B8A" w:rsidP="00912C7F">
      <w:pPr>
        <w:spacing w:line="276" w:lineRule="auto"/>
        <w:jc w:val="both"/>
        <w:rPr>
          <w:rFonts w:eastAsia="Times New Roman" w:cs="Times New Roman"/>
          <w:szCs w:val="24"/>
        </w:rPr>
      </w:pPr>
      <w:r w:rsidRPr="0030221A">
        <w:rPr>
          <w:rFonts w:eastAsia="Times New Roman" w:cs="Times New Roman"/>
          <w:szCs w:val="24"/>
        </w:rPr>
        <w:lastRenderedPageBreak/>
        <w:t>The functioning of water municipalities (WASAs, City Corporations and Pourashavas) needs substantial reforms. In particular, emphasis should be placed on converting these institutions into au</w:t>
      </w:r>
      <w:r w:rsidR="00FE6385">
        <w:rPr>
          <w:rFonts w:eastAsia="Times New Roman" w:cs="Times New Roman"/>
          <w:szCs w:val="24"/>
        </w:rPr>
        <w:t>t</w:t>
      </w:r>
      <w:r w:rsidR="003446B1">
        <w:rPr>
          <w:rFonts w:eastAsia="Times New Roman" w:cs="Times New Roman"/>
          <w:szCs w:val="24"/>
        </w:rPr>
        <w:t>ono</w:t>
      </w:r>
      <w:r w:rsidRPr="0030221A">
        <w:rPr>
          <w:rFonts w:eastAsia="Times New Roman" w:cs="Times New Roman"/>
          <w:szCs w:val="24"/>
        </w:rPr>
        <w:t xml:space="preserve">mous bodies with considerable scope for cost recovery from users based on service provided. The transfusion of additional resources through proper cost recovery can provide the impetus for strengthening the capacity of the municipalities and providing additional services.  This can also support innovative ways of encouraging good performance of municipalities by linking budget funding (block grants) with performance.   </w:t>
      </w:r>
    </w:p>
    <w:p w:rsidR="006E3B8A" w:rsidRPr="0030221A" w:rsidRDefault="006E3B8A" w:rsidP="00912C7F">
      <w:pPr>
        <w:spacing w:line="276" w:lineRule="auto"/>
        <w:jc w:val="both"/>
        <w:rPr>
          <w:rFonts w:eastAsia="Times New Roman" w:cs="Times New Roman"/>
          <w:szCs w:val="24"/>
        </w:rPr>
      </w:pPr>
      <w:r w:rsidRPr="0030221A">
        <w:rPr>
          <w:rFonts w:eastAsia="Times New Roman" w:cs="Times New Roman"/>
          <w:szCs w:val="24"/>
        </w:rPr>
        <w:t xml:space="preserve">Similarly, specialized institutions in other line providing delta-related services must also be strengthened in order to develop projects consistent with delta objectives, do knowledge based and innovative research, do proper O&amp;M and properly implement all delta-related investments and programmes within their jurisdiction. </w:t>
      </w:r>
    </w:p>
    <w:p w:rsidR="006E3B8A" w:rsidRPr="0030221A" w:rsidRDefault="006E3B8A" w:rsidP="00912C7F">
      <w:pPr>
        <w:spacing w:line="276" w:lineRule="auto"/>
        <w:jc w:val="both"/>
        <w:rPr>
          <w:rFonts w:cs="Times New Roman"/>
          <w:szCs w:val="24"/>
        </w:rPr>
      </w:pPr>
      <w:r w:rsidRPr="0030221A">
        <w:rPr>
          <w:rFonts w:cs="Times New Roman"/>
          <w:i/>
          <w:szCs w:val="24"/>
        </w:rPr>
        <w:t>3) Strengthening cross</w:t>
      </w:r>
      <w:r w:rsidRPr="0030221A">
        <w:rPr>
          <w:rFonts w:cs="Times New Roman"/>
          <w:szCs w:val="24"/>
        </w:rPr>
        <w:t>-</w:t>
      </w:r>
      <w:r w:rsidRPr="0030221A">
        <w:rPr>
          <w:rFonts w:cs="Times New Roman"/>
          <w:i/>
          <w:szCs w:val="24"/>
        </w:rPr>
        <w:t xml:space="preserve">boundary dialogue and related institutions: </w:t>
      </w:r>
      <w:r w:rsidR="00087A05">
        <w:rPr>
          <w:rFonts w:cs="Times New Roman"/>
          <w:szCs w:val="24"/>
        </w:rPr>
        <w:t xml:space="preserve">As a </w:t>
      </w:r>
      <w:r w:rsidRPr="0030221A">
        <w:rPr>
          <w:rFonts w:cs="Times New Roman"/>
          <w:szCs w:val="24"/>
        </w:rPr>
        <w:t>lower ripar</w:t>
      </w:r>
      <w:r w:rsidR="00087A05">
        <w:rPr>
          <w:rFonts w:cs="Times New Roman"/>
          <w:szCs w:val="24"/>
        </w:rPr>
        <w:t>ian</w:t>
      </w:r>
      <w:r w:rsidRPr="0030221A">
        <w:rPr>
          <w:rFonts w:cs="Times New Roman"/>
          <w:szCs w:val="24"/>
        </w:rPr>
        <w:t xml:space="preserve">, Bangladesh faces some real risks from adverse developments upstream. The main upper riparian is India.  While there have been some successes, there are many issues and outstanding challenges. Many of the past dialogue failures are explained by adverse political relations.  More recently, a major positive development that holds considerable promise of better cross-boundary water outcomes is the sharply improved political relations of Bangladesh with India. </w:t>
      </w:r>
    </w:p>
    <w:p w:rsidR="006E3B8A" w:rsidRPr="0030221A" w:rsidRDefault="006E3B8A" w:rsidP="00912C7F">
      <w:pPr>
        <w:spacing w:line="276" w:lineRule="auto"/>
        <w:jc w:val="both"/>
        <w:rPr>
          <w:rFonts w:cs="Times New Roman"/>
          <w:szCs w:val="24"/>
        </w:rPr>
      </w:pPr>
      <w:r w:rsidRPr="0030221A">
        <w:rPr>
          <w:rFonts w:cs="Times New Roman"/>
          <w:szCs w:val="24"/>
        </w:rPr>
        <w:t xml:space="preserve">Lessons of international experience suggest that a river basin approach has the best prospects of success.  A further consideration would be to think of river agreements in terms of providing multi-purpose benefits.   When water sharing is viewed as a zero sum game where more for one riparian means less for other, disputes become dominant and negotiations tend to fail. When water sharing involves multiple benefits (flood control, water storage, irrigation and hydro-power), the zero-sum game feature is converted to a win-win situation for both parties and the dialogue takes the shape of negotiating the best deal in terms of sharing of costs and benefits. </w:t>
      </w:r>
    </w:p>
    <w:p w:rsidR="006E3B8A" w:rsidRPr="0030221A" w:rsidRDefault="006E3B8A" w:rsidP="00912C7F">
      <w:pPr>
        <w:spacing w:line="276" w:lineRule="auto"/>
        <w:jc w:val="both"/>
        <w:rPr>
          <w:rFonts w:cs="Times New Roman"/>
          <w:szCs w:val="24"/>
        </w:rPr>
      </w:pPr>
      <w:r w:rsidRPr="0030221A">
        <w:rPr>
          <w:rFonts w:cs="Times New Roman"/>
          <w:szCs w:val="24"/>
        </w:rPr>
        <w:t>The ability to think innovatively requires both diplomacy and technical skills.  The later are required to come up with well-thought multi-purpose river basin projects.  Accordingly, the capacity of the Joint Rivers Commission (JRC) will have to be considerably strengthened. Partnership and coordin</w:t>
      </w:r>
      <w:r w:rsidR="007A7833">
        <w:rPr>
          <w:rFonts w:cs="Times New Roman"/>
          <w:szCs w:val="24"/>
        </w:rPr>
        <w:t>ation of JRC with BWDB and Delta Secretariat</w:t>
      </w:r>
      <w:r w:rsidRPr="0030221A">
        <w:rPr>
          <w:rFonts w:cs="Times New Roman"/>
          <w:szCs w:val="24"/>
        </w:rPr>
        <w:t xml:space="preserve"> will need to be strengthened. Possible multi-purpose technical options and cost-benefit analysis of these options will need to be developed as background research to dialogue with India. Routine dialogue involving exchange of pleasantries and general purpose concerns/complaints and information sharing must give way to strategic dialogue aimed at problem solving and finding solutions.  </w:t>
      </w:r>
    </w:p>
    <w:p w:rsidR="006E3B8A" w:rsidRPr="0030221A" w:rsidRDefault="006E3B8A" w:rsidP="00912C7F">
      <w:pPr>
        <w:spacing w:line="276" w:lineRule="auto"/>
        <w:jc w:val="both"/>
        <w:rPr>
          <w:rFonts w:cs="Times New Roman"/>
          <w:szCs w:val="24"/>
        </w:rPr>
      </w:pPr>
      <w:r w:rsidRPr="0030221A">
        <w:rPr>
          <w:rFonts w:cs="Times New Roman"/>
          <w:szCs w:val="24"/>
        </w:rPr>
        <w:t xml:space="preserve">Satisfactory progress with cross-boundary water management is a sine-qua-non for successful implementation of the Delta Plan.  Positive results on this count will have far-reaching positive consequences including lower-cost water solutions for Bangladesh.   The priority assigned to this task should be as high as priority given to large water infrastructure projects. </w:t>
      </w:r>
    </w:p>
    <w:p w:rsidR="007A7833" w:rsidRDefault="007A7833" w:rsidP="007A7833">
      <w:pPr>
        <w:spacing w:line="276" w:lineRule="auto"/>
        <w:jc w:val="both"/>
        <w:rPr>
          <w:rFonts w:cs="Times New Roman"/>
          <w:szCs w:val="24"/>
        </w:rPr>
      </w:pPr>
      <w:r>
        <w:rPr>
          <w:rFonts w:cs="Times New Roman"/>
          <w:i/>
          <w:szCs w:val="24"/>
        </w:rPr>
        <w:lastRenderedPageBreak/>
        <w:t xml:space="preserve">4) Creating a delta knowledge bank: </w:t>
      </w:r>
      <w:r>
        <w:rPr>
          <w:rFonts w:cs="Times New Roman"/>
          <w:szCs w:val="24"/>
        </w:rPr>
        <w:t xml:space="preserve">As exemplified by the Dutch experience, creation of a delta knowledge bank is an essential pre-requisite for undertaking adaptive delta management. With the establishment of the Delta Commission and the Delta Secretariat, this responsibility will be assigned to the Delta Secretariat, who will create a knowledge unit with three main responsibilities: </w:t>
      </w:r>
    </w:p>
    <w:p w:rsidR="007A7833" w:rsidRDefault="007A7833" w:rsidP="007A7833">
      <w:pPr>
        <w:spacing w:line="276" w:lineRule="auto"/>
        <w:jc w:val="both"/>
        <w:rPr>
          <w:rFonts w:cs="Times New Roman"/>
          <w:szCs w:val="24"/>
        </w:rPr>
      </w:pPr>
      <w:r>
        <w:rPr>
          <w:rFonts w:cs="Times New Roman"/>
          <w:szCs w:val="24"/>
        </w:rPr>
        <w:t xml:space="preserve">(a) collate all relevant delta related knowledge globally and nationally into a digitized knowledge library; </w:t>
      </w:r>
    </w:p>
    <w:p w:rsidR="007A7833" w:rsidRDefault="007A7833" w:rsidP="007A7833">
      <w:pPr>
        <w:spacing w:line="276" w:lineRule="auto"/>
        <w:jc w:val="both"/>
        <w:rPr>
          <w:rFonts w:cs="Times New Roman"/>
          <w:szCs w:val="24"/>
        </w:rPr>
      </w:pPr>
      <w:r>
        <w:rPr>
          <w:rFonts w:cs="Times New Roman"/>
          <w:szCs w:val="24"/>
        </w:rPr>
        <w:t>(b) establish a delta data bank;</w:t>
      </w:r>
    </w:p>
    <w:p w:rsidR="007A7833" w:rsidRDefault="007A7833" w:rsidP="007A7833">
      <w:pPr>
        <w:spacing w:line="276" w:lineRule="auto"/>
        <w:jc w:val="both"/>
        <w:rPr>
          <w:rFonts w:cs="Times New Roman"/>
          <w:szCs w:val="24"/>
        </w:rPr>
      </w:pPr>
      <w:r>
        <w:rPr>
          <w:rFonts w:cs="Times New Roman"/>
          <w:szCs w:val="24"/>
        </w:rPr>
        <w:t xml:space="preserve">(c) develop and implement a comprehensive delta knowledge and data updating effort. </w:t>
      </w:r>
    </w:p>
    <w:p w:rsidR="007A7833" w:rsidRDefault="007A7833" w:rsidP="007A7833">
      <w:pPr>
        <w:spacing w:line="276" w:lineRule="auto"/>
        <w:jc w:val="both"/>
        <w:rPr>
          <w:rFonts w:cs="Times New Roman"/>
          <w:szCs w:val="24"/>
        </w:rPr>
      </w:pPr>
      <w:r>
        <w:rPr>
          <w:rFonts w:cs="Times New Roman"/>
          <w:szCs w:val="24"/>
        </w:rPr>
        <w:t xml:space="preserve">As a first step, the Delta Secretariat should undertake a quick stock taking of existing knowledge over a 6 months period. A summary of the knowledge bank stock should be shared with other delta-related </w:t>
      </w:r>
      <w:r w:rsidR="003446B1">
        <w:rPr>
          <w:rFonts w:cs="Times New Roman"/>
          <w:szCs w:val="24"/>
        </w:rPr>
        <w:t>public</w:t>
      </w:r>
      <w:r>
        <w:rPr>
          <w:rFonts w:cs="Times New Roman"/>
          <w:szCs w:val="24"/>
        </w:rPr>
        <w:t xml:space="preserve"> and private policy and research institutions to develop a knowledge and data upgrading agenda.  The Delta Secretariat should review this agenda to check for consistency and relevance with the needs of the delta management, especially in the context of doing a sound monitoring and evaluation of the Delta Plan, and develop a 3-5 year data and research work programme with annual targets.  Resource requirements should be determined.  Following approval by the Delta Commission of the knowledge work programme and budget, implementation may proceed.  Data work can be implemented in conjunction with the Bangladesh Bureau of Statistics and other delta ministries. Research can be out-sourced to universities and local research institutions.  The Delta Secretariat should be responsible for coordination and oversight.  </w:t>
      </w:r>
    </w:p>
    <w:p w:rsidR="00000000" w:rsidRDefault="007A7833" w:rsidP="003D5A31">
      <w:pPr>
        <w:pStyle w:val="ListParagraph"/>
        <w:numPr>
          <w:ilvl w:val="0"/>
          <w:numId w:val="232"/>
        </w:numPr>
        <w:spacing w:line="276" w:lineRule="auto"/>
        <w:ind w:left="0" w:firstLine="0"/>
        <w:jc w:val="both"/>
        <w:rPr>
          <w:rFonts w:cs="Times New Roman"/>
          <w:szCs w:val="24"/>
        </w:rPr>
      </w:pPr>
      <w:r w:rsidRPr="00902851">
        <w:rPr>
          <w:rFonts w:cs="Times New Roman"/>
          <w:i/>
          <w:szCs w:val="24"/>
        </w:rPr>
        <w:t xml:space="preserve">Developing a sound monitoring and evaluation (M&amp;E) system: </w:t>
      </w:r>
      <w:r w:rsidRPr="00902851">
        <w:rPr>
          <w:rFonts w:cs="Times New Roman"/>
          <w:szCs w:val="24"/>
        </w:rPr>
        <w:t>The practice of conducting M&amp;E of government policies and programmes is a weak link in Bangladesh policy planning.  Water related M&amp;E is no exception.  A solid M&amp;E effort is essential for sound implementation of the delta plan in the context of adaptive delta management.   So far as investment projects are concerned, the M&amp;E is the responsibility of the implementing agencies. Similarly, M&amp;E of sectoral policies and programmes should rest with the concerned sectoral ministry and the IMED.  Regarding M&amp;E of the entire Delta Plan, this wil</w:t>
      </w:r>
      <w:r w:rsidRPr="00463F45">
        <w:rPr>
          <w:rFonts w:cs="Times New Roman"/>
          <w:szCs w:val="24"/>
        </w:rPr>
        <w:t>l be a key responsibility of the Delta Secretariat.  As in the case of implementation of the knowledge agenda, the Delta Secretar</w:t>
      </w:r>
      <w:r w:rsidRPr="00C80DD4">
        <w:rPr>
          <w:rFonts w:cs="Times New Roman"/>
          <w:szCs w:val="24"/>
        </w:rPr>
        <w:t>iat can draw on the technical capabilities of its knowledge partners to help with the Delta Plan level M&amp;E.  Needless to say, the M&amp;E for the Delta Plan will need to be done consultatively, drawing on the analysis of the M&amp;E at the project and sectoral lev</w:t>
      </w:r>
      <w:r w:rsidRPr="008013B7">
        <w:rPr>
          <w:rFonts w:cs="Times New Roman"/>
          <w:szCs w:val="24"/>
        </w:rPr>
        <w:t xml:space="preserve">els and involving all inter-ministerial agencies dealing with delta issues and the IMED. </w:t>
      </w:r>
    </w:p>
    <w:p w:rsidR="00902851" w:rsidRPr="00AA0BA3" w:rsidRDefault="00902851" w:rsidP="00A41875">
      <w:pPr>
        <w:spacing w:line="276" w:lineRule="auto"/>
        <w:jc w:val="both"/>
        <w:rPr>
          <w:color w:val="000000" w:themeColor="text1"/>
        </w:rPr>
      </w:pPr>
      <w:r w:rsidRPr="00AA0BA3">
        <w:rPr>
          <w:rStyle w:val="IntenseEmphasis"/>
          <w:color w:val="000000" w:themeColor="text1"/>
        </w:rPr>
        <w:t>(6) Information and Knowledge Management and Approach:</w:t>
      </w:r>
      <w:r w:rsidRPr="00AA0BA3">
        <w:rPr>
          <w:color w:val="000000" w:themeColor="text1"/>
        </w:rPr>
        <w:t xml:space="preserve"> The comprehensive knowledge domains of delta issues as well as the adaptive nature of delta management emphasize the </w:t>
      </w:r>
      <w:r w:rsidRPr="00AA0BA3">
        <w:rPr>
          <w:color w:val="000000" w:themeColor="text1"/>
        </w:rPr>
        <w:lastRenderedPageBreak/>
        <w:t xml:space="preserve">importance of knowledge management and the requirement of an approach. Five elements of the Approach are described below: </w:t>
      </w:r>
    </w:p>
    <w:p w:rsidR="00902851" w:rsidRPr="00AA0BA3" w:rsidRDefault="00902851" w:rsidP="004B0A08">
      <w:pPr>
        <w:jc w:val="both"/>
        <w:rPr>
          <w:color w:val="000000" w:themeColor="text1"/>
        </w:rPr>
      </w:pPr>
      <w:r w:rsidRPr="00AA0BA3">
        <w:rPr>
          <w:i/>
          <w:color w:val="000000" w:themeColor="text1"/>
        </w:rPr>
        <w:t>(a) Knowledge needs &amp; agenda</w:t>
      </w:r>
      <w:r w:rsidRPr="00AA0BA3">
        <w:rPr>
          <w:color w:val="000000" w:themeColor="text1"/>
        </w:rPr>
        <w:t xml:space="preserve">: The Knowledge Agenda identifies nine key subjects as burning issues along with top-3 most important research questions. </w:t>
      </w:r>
      <w:bookmarkStart w:id="15" w:name="_Toc453408871"/>
    </w:p>
    <w:p w:rsidR="00902851" w:rsidRPr="00AA0BA3" w:rsidRDefault="00902851" w:rsidP="004B0A08">
      <w:pPr>
        <w:jc w:val="both"/>
        <w:rPr>
          <w:color w:val="000000" w:themeColor="text1"/>
        </w:rPr>
      </w:pPr>
      <w:r w:rsidRPr="00AA0BA3">
        <w:rPr>
          <w:color w:val="000000" w:themeColor="text1"/>
        </w:rPr>
        <w:t xml:space="preserve">(b) </w:t>
      </w:r>
      <w:r w:rsidRPr="00AA0BA3">
        <w:rPr>
          <w:i/>
          <w:color w:val="000000" w:themeColor="text1"/>
        </w:rPr>
        <w:t>Knowledge accumulation: A start</w:t>
      </w:r>
      <w:r w:rsidRPr="00AA0BA3">
        <w:rPr>
          <w:color w:val="000000" w:themeColor="text1"/>
        </w:rPr>
        <w:t xml:space="preserve"> has been made with the conduct of the 19 Baseline Studies. </w:t>
      </w:r>
      <w:bookmarkEnd w:id="15"/>
      <w:r w:rsidRPr="00AA0BA3">
        <w:rPr>
          <w:color w:val="000000" w:themeColor="text1"/>
        </w:rPr>
        <w:t>These studies should be updated and new areas of research identified and implemented based on knowledge gap.</w:t>
      </w:r>
    </w:p>
    <w:p w:rsidR="00902851" w:rsidRPr="00AA0BA3" w:rsidRDefault="00902851" w:rsidP="004B0A08">
      <w:pPr>
        <w:jc w:val="both"/>
        <w:rPr>
          <w:color w:val="000000" w:themeColor="text1"/>
        </w:rPr>
      </w:pPr>
      <w:r w:rsidRPr="00AA0BA3">
        <w:rPr>
          <w:i/>
          <w:color w:val="000000" w:themeColor="text1"/>
        </w:rPr>
        <w:t xml:space="preserve">(c) Knowledge availability: </w:t>
      </w:r>
      <w:r w:rsidRPr="00AA0BA3">
        <w:rPr>
          <w:color w:val="000000" w:themeColor="text1"/>
        </w:rPr>
        <w:t xml:space="preserve">This is ensured through a web-based information portal, gathering geographical data layers, studies, policy documents, meeting reports. </w:t>
      </w:r>
    </w:p>
    <w:p w:rsidR="00902851" w:rsidRPr="00AA0BA3" w:rsidRDefault="00902851" w:rsidP="004B0A08">
      <w:pPr>
        <w:jc w:val="both"/>
        <w:rPr>
          <w:color w:val="000000" w:themeColor="text1"/>
        </w:rPr>
      </w:pPr>
      <w:r w:rsidRPr="00AA0BA3">
        <w:rPr>
          <w:color w:val="000000" w:themeColor="text1"/>
        </w:rPr>
        <w:t xml:space="preserve">(d) </w:t>
      </w:r>
      <w:r w:rsidRPr="00AA0BA3">
        <w:rPr>
          <w:i/>
          <w:color w:val="000000" w:themeColor="text1"/>
        </w:rPr>
        <w:t xml:space="preserve">Value realization: </w:t>
      </w:r>
      <w:r w:rsidRPr="00AA0BA3">
        <w:rPr>
          <w:color w:val="000000" w:themeColor="text1"/>
        </w:rPr>
        <w:t>This can be done from delta knowledge once it is put to use in practice. For example, this can be done as input to the 8</w:t>
      </w:r>
      <w:r w:rsidRPr="00AA0BA3">
        <w:rPr>
          <w:color w:val="000000" w:themeColor="text1"/>
          <w:vertAlign w:val="superscript"/>
        </w:rPr>
        <w:t>th</w:t>
      </w:r>
      <w:r w:rsidRPr="00AA0BA3">
        <w:rPr>
          <w:color w:val="000000" w:themeColor="text1"/>
        </w:rPr>
        <w:t xml:space="preserve"> Five Year Plan and the preparation of the Climate Atlas, or when related policies need to be informed by available knowledge and scientific findings. </w:t>
      </w:r>
    </w:p>
    <w:p w:rsidR="00902851" w:rsidRPr="00AA0BA3" w:rsidRDefault="00902851" w:rsidP="004B0A08">
      <w:pPr>
        <w:jc w:val="both"/>
        <w:rPr>
          <w:color w:val="000000" w:themeColor="text1"/>
        </w:rPr>
      </w:pPr>
      <w:r w:rsidRPr="00AA0BA3">
        <w:rPr>
          <w:color w:val="000000" w:themeColor="text1"/>
        </w:rPr>
        <w:t xml:space="preserve">(e) </w:t>
      </w:r>
      <w:r w:rsidRPr="00AA0BA3">
        <w:rPr>
          <w:iCs/>
          <w:color w:val="000000" w:themeColor="text1"/>
        </w:rPr>
        <w:t>Delta knowledge community</w:t>
      </w:r>
      <w:r w:rsidRPr="00AA0BA3">
        <w:rPr>
          <w:color w:val="000000" w:themeColor="text1"/>
        </w:rPr>
        <w:t xml:space="preserve">: This comprises of academics, policy makers, international donors, NGOs and field workers in a community of participants. This Delta Knowledge Community will be able to engage in continuously make knowledge available to its stakeholders, enabling them to engage in adaptive delta management. </w:t>
      </w:r>
    </w:p>
    <w:p w:rsidR="00902851" w:rsidRPr="00AA0BA3" w:rsidRDefault="00902851" w:rsidP="004B0A08">
      <w:pPr>
        <w:jc w:val="both"/>
        <w:rPr>
          <w:color w:val="000000" w:themeColor="text1"/>
        </w:rPr>
      </w:pPr>
      <w:r w:rsidRPr="00AA0BA3">
        <w:rPr>
          <w:rStyle w:val="IntenseEmphasis"/>
          <w:color w:val="000000" w:themeColor="text1"/>
        </w:rPr>
        <w:t xml:space="preserve"> (7) Reviewing and Updating of BDP:</w:t>
      </w:r>
      <w:r w:rsidRPr="00AA0BA3">
        <w:rPr>
          <w:color w:val="000000" w:themeColor="text1"/>
        </w:rPr>
        <w:t xml:space="preserve"> </w:t>
      </w:r>
      <w:r w:rsidR="00EE204C" w:rsidRPr="00AA0BA3">
        <w:rPr>
          <w:color w:val="000000" w:themeColor="text1"/>
        </w:rPr>
        <w:t xml:space="preserve"> </w:t>
      </w:r>
      <w:r w:rsidRPr="00AA0BA3">
        <w:rPr>
          <w:color w:val="000000" w:themeColor="text1"/>
        </w:rPr>
        <w:t>As the BDP is an adaptive and long-term plan, it needs to be integrated with the planning process of the country. It should be periodically and regularly reviewed and incorporated in future Five Year Plans routinely. Moreover, integration with new knowledge and technologies is necessary to enhance the present status of the plan. Its implementation also requires continuous monitoring and evaluation in the future.</w:t>
      </w:r>
    </w:p>
    <w:p w:rsidR="00FF76A6" w:rsidRPr="00902851" w:rsidRDefault="00FF76A6" w:rsidP="004B0A08">
      <w:pPr>
        <w:pStyle w:val="ListParagraph"/>
        <w:spacing w:line="276" w:lineRule="auto"/>
        <w:jc w:val="both"/>
        <w:rPr>
          <w:rFonts w:cs="Times New Roman"/>
          <w:szCs w:val="24"/>
        </w:rPr>
      </w:pPr>
    </w:p>
    <w:p w:rsidR="007A7833" w:rsidRDefault="007A7833" w:rsidP="00912C7F">
      <w:pPr>
        <w:spacing w:line="276" w:lineRule="auto"/>
        <w:jc w:val="both"/>
        <w:rPr>
          <w:rFonts w:cs="Times New Roman"/>
          <w:i/>
          <w:szCs w:val="24"/>
        </w:rPr>
      </w:pPr>
    </w:p>
    <w:p w:rsidR="007A7833" w:rsidRDefault="007A7833" w:rsidP="00912C7F">
      <w:pPr>
        <w:spacing w:line="276" w:lineRule="auto"/>
        <w:jc w:val="both"/>
        <w:rPr>
          <w:rFonts w:cs="Times New Roman"/>
          <w:i/>
          <w:szCs w:val="24"/>
        </w:rPr>
      </w:pPr>
    </w:p>
    <w:p w:rsidR="007A7833" w:rsidRDefault="007A7833" w:rsidP="00912C7F">
      <w:pPr>
        <w:spacing w:line="276" w:lineRule="auto"/>
        <w:jc w:val="both"/>
        <w:rPr>
          <w:rFonts w:cs="Times New Roman"/>
          <w:i/>
          <w:szCs w:val="24"/>
        </w:rPr>
      </w:pPr>
    </w:p>
    <w:p w:rsidR="00B83A9D" w:rsidRDefault="00B83A9D" w:rsidP="00B83A9D"/>
    <w:p w:rsidR="009B3B69" w:rsidRDefault="009B3B69">
      <w:r>
        <w:br w:type="page"/>
      </w:r>
    </w:p>
    <w:p w:rsidR="009B3B69" w:rsidRDefault="009B3B69"/>
    <w:p w:rsidR="009B3B69" w:rsidRDefault="009B3B69"/>
    <w:p w:rsidR="009B3B69" w:rsidRDefault="009B3B69"/>
    <w:p w:rsidR="009B3B69" w:rsidRDefault="009B3B69"/>
    <w:p w:rsidR="009B3B69" w:rsidRDefault="009B3B69"/>
    <w:p w:rsidR="009B3B69" w:rsidRDefault="009B3B69"/>
    <w:p w:rsidR="009B3B69" w:rsidRDefault="009B3B69"/>
    <w:p w:rsidR="009B3B69" w:rsidRDefault="009B3B69"/>
    <w:p w:rsidR="009B3B69" w:rsidRDefault="009B3B69"/>
    <w:p w:rsidR="009B3B69" w:rsidRDefault="009B3B69"/>
    <w:p w:rsidR="009B3B69" w:rsidRPr="00160AD2" w:rsidRDefault="009B3B69" w:rsidP="009B3B69">
      <w:pPr>
        <w:jc w:val="center"/>
        <w:rPr>
          <w:b/>
          <w:sz w:val="48"/>
        </w:rPr>
      </w:pPr>
      <w:r w:rsidRPr="00160AD2">
        <w:rPr>
          <w:b/>
          <w:sz w:val="48"/>
        </w:rPr>
        <w:t>PART 2</w:t>
      </w:r>
    </w:p>
    <w:p w:rsidR="009B3B69" w:rsidRPr="00160AD2" w:rsidRDefault="009B3B69" w:rsidP="009B3B69">
      <w:pPr>
        <w:jc w:val="center"/>
        <w:rPr>
          <w:b/>
          <w:sz w:val="48"/>
        </w:rPr>
      </w:pPr>
      <w:r w:rsidRPr="00160AD2">
        <w:rPr>
          <w:b/>
          <w:sz w:val="48"/>
        </w:rPr>
        <w:t>MAIN REPORT</w:t>
      </w:r>
    </w:p>
    <w:p w:rsidR="009B3B69" w:rsidRDefault="009B3B69" w:rsidP="00B83A9D"/>
    <w:p w:rsidR="009B3B69" w:rsidRDefault="009B3B69" w:rsidP="00B83A9D"/>
    <w:p w:rsidR="009B3B69" w:rsidRDefault="009B3B69" w:rsidP="00B83A9D"/>
    <w:p w:rsidR="009B3B69" w:rsidRPr="00B83A9D" w:rsidRDefault="009B3B69" w:rsidP="00B83A9D">
      <w:pPr>
        <w:sectPr w:rsidR="009B3B69" w:rsidRPr="00B83A9D" w:rsidSect="00144771">
          <w:pgSz w:w="12240" w:h="15840"/>
          <w:pgMar w:top="1440" w:right="1440" w:bottom="1440" w:left="1440" w:header="720" w:footer="720" w:gutter="0"/>
          <w:pgNumType w:fmt="lowerRoman"/>
          <w:cols w:space="720"/>
          <w:docGrid w:linePitch="360"/>
        </w:sectPr>
      </w:pPr>
    </w:p>
    <w:p w:rsidR="00451348" w:rsidRPr="00160AD2" w:rsidRDefault="00451348" w:rsidP="00C84BF5">
      <w:pPr>
        <w:pStyle w:val="Title"/>
        <w:spacing w:after="360"/>
        <w:jc w:val="center"/>
        <w:rPr>
          <w:rFonts w:ascii="Times New Roman" w:hAnsi="Times New Roman" w:cs="Times New Roman"/>
          <w:b/>
          <w:sz w:val="48"/>
        </w:rPr>
      </w:pPr>
      <w:bookmarkStart w:id="16" w:name="_Toc474638832"/>
      <w:r w:rsidRPr="00160AD2">
        <w:rPr>
          <w:rFonts w:ascii="Times New Roman" w:hAnsi="Times New Roman" w:cs="Times New Roman"/>
          <w:b/>
          <w:sz w:val="48"/>
        </w:rPr>
        <w:lastRenderedPageBreak/>
        <w:t xml:space="preserve">CHAPTER </w:t>
      </w:r>
      <w:bookmarkEnd w:id="0"/>
      <w:r w:rsidRPr="00160AD2">
        <w:rPr>
          <w:rFonts w:ascii="Times New Roman" w:hAnsi="Times New Roman" w:cs="Times New Roman"/>
          <w:b/>
          <w:sz w:val="48"/>
        </w:rPr>
        <w:t>1</w:t>
      </w:r>
      <w:bookmarkEnd w:id="16"/>
    </w:p>
    <w:p w:rsidR="00D363FA" w:rsidRPr="00B27AF4" w:rsidRDefault="0084775D" w:rsidP="008C0601">
      <w:pPr>
        <w:pStyle w:val="Heading1"/>
      </w:pPr>
      <w:bookmarkStart w:id="17" w:name="_Toc430010834"/>
      <w:bookmarkStart w:id="18" w:name="_Toc474638833"/>
      <w:r w:rsidRPr="00B27AF4">
        <w:t xml:space="preserve">Opportunities and </w:t>
      </w:r>
      <w:r w:rsidR="00451348" w:rsidRPr="00B27AF4">
        <w:t>C</w:t>
      </w:r>
      <w:r w:rsidRPr="00B27AF4">
        <w:t>hallenges of the Bangladesh Delta</w:t>
      </w:r>
      <w:bookmarkStart w:id="19" w:name="_Toc430010835"/>
      <w:bookmarkEnd w:id="17"/>
      <w:bookmarkEnd w:id="18"/>
    </w:p>
    <w:p w:rsidR="00F64A6A" w:rsidRDefault="00D363FA" w:rsidP="00F64A6A">
      <w:pPr>
        <w:pStyle w:val="Heading2"/>
        <w:numPr>
          <w:ilvl w:val="0"/>
          <w:numId w:val="0"/>
        </w:numPr>
        <w:ind w:left="720"/>
      </w:pPr>
      <w:bookmarkStart w:id="20" w:name="_Toc474638834"/>
      <w:r w:rsidRPr="00F27514">
        <w:t>Bangladesh Development Prospects and Constraints</w:t>
      </w:r>
      <w:bookmarkEnd w:id="20"/>
    </w:p>
    <w:p w:rsidR="00D30492" w:rsidRDefault="00D363FA" w:rsidP="00692127">
      <w:pPr>
        <w:spacing w:line="276" w:lineRule="auto"/>
        <w:jc w:val="both"/>
        <w:rPr>
          <w:rFonts w:cs="Times New Roman"/>
        </w:rPr>
      </w:pPr>
      <w:r w:rsidRPr="00D363FA">
        <w:rPr>
          <w:rFonts w:cs="Times New Roman"/>
        </w:rPr>
        <w:t xml:space="preserve">Over the past </w:t>
      </w:r>
      <w:r>
        <w:rPr>
          <w:rFonts w:cs="Times New Roman"/>
        </w:rPr>
        <w:t xml:space="preserve">44 years since independence Bangladesh has secured </w:t>
      </w:r>
      <w:r w:rsidR="00CC0F98">
        <w:rPr>
          <w:rFonts w:cs="Times New Roman"/>
        </w:rPr>
        <w:t>tremendous gains</w:t>
      </w:r>
      <w:r>
        <w:rPr>
          <w:rFonts w:cs="Times New Roman"/>
        </w:rPr>
        <w:t xml:space="preserve"> in development.  </w:t>
      </w:r>
      <w:r w:rsidR="00D30492">
        <w:rPr>
          <w:rFonts w:cs="Times New Roman"/>
        </w:rPr>
        <w:t>GDP growth has climbed from less than 4% in the early 1970s to around 7%  in 2015; p</w:t>
      </w:r>
      <w:r>
        <w:rPr>
          <w:rFonts w:cs="Times New Roman"/>
        </w:rPr>
        <w:t>er capita income has surged from less  than US$ 100 in</w:t>
      </w:r>
      <w:r w:rsidR="00D30492">
        <w:rPr>
          <w:rFonts w:cs="Times New Roman"/>
        </w:rPr>
        <w:t xml:space="preserve"> </w:t>
      </w:r>
      <w:r>
        <w:rPr>
          <w:rFonts w:cs="Times New Roman"/>
        </w:rPr>
        <w:t>1972  to US$</w:t>
      </w:r>
      <w:r w:rsidR="00D04218">
        <w:rPr>
          <w:rFonts w:cs="Times New Roman"/>
        </w:rPr>
        <w:t xml:space="preserve">1465 </w:t>
      </w:r>
      <w:r>
        <w:rPr>
          <w:rFonts w:cs="Times New Roman"/>
        </w:rPr>
        <w:t xml:space="preserve">in FY2016; poverty has fallen from more than </w:t>
      </w:r>
      <w:r w:rsidR="00D04218">
        <w:rPr>
          <w:rFonts w:cs="Times New Roman"/>
        </w:rPr>
        <w:t>83</w:t>
      </w:r>
      <w:r>
        <w:rPr>
          <w:rFonts w:cs="Times New Roman"/>
        </w:rPr>
        <w:t>% in the early 1970s</w:t>
      </w:r>
      <w:r w:rsidR="00D30492">
        <w:rPr>
          <w:rFonts w:cs="Times New Roman"/>
        </w:rPr>
        <w:t xml:space="preserve"> </w:t>
      </w:r>
      <w:r>
        <w:rPr>
          <w:rFonts w:cs="Times New Roman"/>
        </w:rPr>
        <w:t xml:space="preserve">to </w:t>
      </w:r>
      <w:r w:rsidR="00D04218">
        <w:rPr>
          <w:rFonts w:cs="Times New Roman"/>
        </w:rPr>
        <w:t>23.8</w:t>
      </w:r>
      <w:r>
        <w:rPr>
          <w:rFonts w:cs="Times New Roman"/>
        </w:rPr>
        <w:t xml:space="preserve">% in 2015; </w:t>
      </w:r>
      <w:r w:rsidR="00D30492">
        <w:rPr>
          <w:rFonts w:cs="Times New Roman"/>
        </w:rPr>
        <w:t xml:space="preserve">fertility rate has </w:t>
      </w:r>
      <w:r w:rsidR="005B63B5">
        <w:rPr>
          <w:rFonts w:cs="Times New Roman"/>
        </w:rPr>
        <w:t xml:space="preserve">decelerated from 7.3 in 1974 to 2.1 in 2014; </w:t>
      </w:r>
      <w:r>
        <w:rPr>
          <w:rFonts w:cs="Times New Roman"/>
        </w:rPr>
        <w:t>life expectancy has increased from 55 years in</w:t>
      </w:r>
      <w:r w:rsidR="00D30492">
        <w:rPr>
          <w:rFonts w:cs="Times New Roman"/>
        </w:rPr>
        <w:t xml:space="preserve"> </w:t>
      </w:r>
      <w:r>
        <w:rPr>
          <w:rFonts w:cs="Times New Roman"/>
        </w:rPr>
        <w:t xml:space="preserve">1974 to 71 years in 2015;  child mortality has </w:t>
      </w:r>
      <w:r w:rsidR="00D30492">
        <w:rPr>
          <w:rFonts w:cs="Times New Roman"/>
        </w:rPr>
        <w:t>declined from 24</w:t>
      </w:r>
      <w:r w:rsidR="005B63B5">
        <w:rPr>
          <w:rFonts w:cs="Times New Roman"/>
        </w:rPr>
        <w:t>0 per thousand  from  1974 to 31 in 2014</w:t>
      </w:r>
      <w:r w:rsidR="00D30492">
        <w:rPr>
          <w:rFonts w:cs="Times New Roman"/>
        </w:rPr>
        <w:t>; and adult liter</w:t>
      </w:r>
      <w:r w:rsidR="00AC1A67">
        <w:rPr>
          <w:rFonts w:cs="Times New Roman"/>
        </w:rPr>
        <w:t>acy has increased from 22</w:t>
      </w:r>
      <w:r w:rsidR="005B63B5">
        <w:rPr>
          <w:rFonts w:cs="Times New Roman"/>
        </w:rPr>
        <w:t>% to 64</w:t>
      </w:r>
      <w:r w:rsidR="00D30492">
        <w:rPr>
          <w:rFonts w:cs="Times New Roman"/>
        </w:rPr>
        <w:t>%</w:t>
      </w:r>
      <w:r w:rsidR="005B63B5">
        <w:rPr>
          <w:rFonts w:cs="Times New Roman"/>
        </w:rPr>
        <w:t xml:space="preserve"> over the same period</w:t>
      </w:r>
      <w:r w:rsidR="00D30492">
        <w:rPr>
          <w:rFonts w:cs="Times New Roman"/>
        </w:rPr>
        <w:t>. Bangladesh has achieved food self-</w:t>
      </w:r>
      <w:r w:rsidR="00CC0F98">
        <w:rPr>
          <w:rFonts w:cs="Times New Roman"/>
        </w:rPr>
        <w:t>sufficiency and</w:t>
      </w:r>
      <w:r w:rsidR="00D30492">
        <w:rPr>
          <w:rFonts w:cs="Times New Roman"/>
        </w:rPr>
        <w:t xml:space="preserve"> the economy is transforming from an agrarian base towards a modern manufacturing </w:t>
      </w:r>
      <w:r w:rsidR="00CC0F98">
        <w:rPr>
          <w:rFonts w:cs="Times New Roman"/>
        </w:rPr>
        <w:t>and services</w:t>
      </w:r>
      <w:r w:rsidR="00D30492">
        <w:rPr>
          <w:rFonts w:cs="Times New Roman"/>
        </w:rPr>
        <w:t xml:space="preserve"> economy. In 2015 Bangladesh crossed over from a World Bank classified low-income economy to a lower middle income economy.</w:t>
      </w:r>
    </w:p>
    <w:p w:rsidR="009268BF" w:rsidRDefault="00AC1A67" w:rsidP="00692127">
      <w:pPr>
        <w:spacing w:line="276" w:lineRule="auto"/>
        <w:jc w:val="both"/>
        <w:rPr>
          <w:rFonts w:cs="Times New Roman"/>
        </w:rPr>
      </w:pPr>
      <w:r>
        <w:rPr>
          <w:rFonts w:cs="Times New Roman"/>
        </w:rPr>
        <w:t>These indicators</w:t>
      </w:r>
      <w:r w:rsidR="00CC0F98">
        <w:rPr>
          <w:rFonts w:cs="Times New Roman"/>
        </w:rPr>
        <w:t xml:space="preserve"> of an exceptionally strong development record have</w:t>
      </w:r>
      <w:r w:rsidR="00D30492">
        <w:rPr>
          <w:rFonts w:cs="Times New Roman"/>
        </w:rPr>
        <w:t xml:space="preserve"> </w:t>
      </w:r>
      <w:r w:rsidR="009268BF">
        <w:rPr>
          <w:rFonts w:cs="Times New Roman"/>
        </w:rPr>
        <w:t xml:space="preserve">inspired the country to aim even higher.  The country now aspires to reach the </w:t>
      </w:r>
      <w:r w:rsidR="00CC0F98">
        <w:rPr>
          <w:rFonts w:cs="Times New Roman"/>
        </w:rPr>
        <w:t>upper middle</w:t>
      </w:r>
      <w:r w:rsidR="00D74C6F">
        <w:rPr>
          <w:rFonts w:cs="Times New Roman"/>
        </w:rPr>
        <w:t xml:space="preserve"> income status by </w:t>
      </w:r>
      <w:r w:rsidR="00D04218">
        <w:rPr>
          <w:rFonts w:cs="Times New Roman"/>
        </w:rPr>
        <w:t>2030</w:t>
      </w:r>
      <w:r w:rsidR="009268BF">
        <w:rPr>
          <w:rFonts w:cs="Times New Roman"/>
        </w:rPr>
        <w:t xml:space="preserve">.  The past gains were secured on the basis of </w:t>
      </w:r>
      <w:r>
        <w:rPr>
          <w:rFonts w:cs="Times New Roman"/>
        </w:rPr>
        <w:t xml:space="preserve">many </w:t>
      </w:r>
      <w:r w:rsidR="009268BF">
        <w:rPr>
          <w:rFonts w:cs="Times New Roman"/>
        </w:rPr>
        <w:t xml:space="preserve">sound development policies and taking advantage of </w:t>
      </w:r>
      <w:r>
        <w:rPr>
          <w:rFonts w:cs="Times New Roman"/>
        </w:rPr>
        <w:t xml:space="preserve">the </w:t>
      </w:r>
      <w:r w:rsidR="009268BF">
        <w:rPr>
          <w:rFonts w:cs="Times New Roman"/>
        </w:rPr>
        <w:t xml:space="preserve">hugely abundant supply of labor, a very fertile land and plenty of water and monsoon rains. </w:t>
      </w:r>
      <w:r>
        <w:rPr>
          <w:rFonts w:cs="Times New Roman"/>
        </w:rPr>
        <w:t>The Bangladesh</w:t>
      </w:r>
      <w:r w:rsidR="009268BF">
        <w:rPr>
          <w:rFonts w:cs="Times New Roman"/>
        </w:rPr>
        <w:t xml:space="preserve"> Delta, the largest delta of the world</w:t>
      </w:r>
      <w:r>
        <w:rPr>
          <w:rFonts w:cs="Times New Roman"/>
        </w:rPr>
        <w:t>,</w:t>
      </w:r>
      <w:r w:rsidR="009268BF">
        <w:rPr>
          <w:rFonts w:cs="Times New Roman"/>
        </w:rPr>
        <w:t xml:space="preserve"> along with a large and growing population base presented many advantages th</w:t>
      </w:r>
      <w:r>
        <w:rPr>
          <w:rFonts w:cs="Times New Roman"/>
        </w:rPr>
        <w:t>at the people and policy makers converted</w:t>
      </w:r>
      <w:r w:rsidR="009268BF">
        <w:rPr>
          <w:rFonts w:cs="Times New Roman"/>
        </w:rPr>
        <w:t xml:space="preserve"> into opportunities</w:t>
      </w:r>
      <w:r>
        <w:rPr>
          <w:rFonts w:cs="Times New Roman"/>
        </w:rPr>
        <w:t xml:space="preserve"> to secure the above development gains</w:t>
      </w:r>
      <w:r w:rsidR="009268BF">
        <w:rPr>
          <w:rFonts w:cs="Times New Roman"/>
        </w:rPr>
        <w:t xml:space="preserve">.  </w:t>
      </w:r>
    </w:p>
    <w:p w:rsidR="003732DA" w:rsidRDefault="009268BF" w:rsidP="00692127">
      <w:pPr>
        <w:spacing w:line="276" w:lineRule="auto"/>
        <w:jc w:val="both"/>
        <w:rPr>
          <w:rFonts w:cs="Times New Roman"/>
        </w:rPr>
      </w:pPr>
      <w:r>
        <w:rPr>
          <w:rFonts w:cs="Times New Roman"/>
        </w:rPr>
        <w:t xml:space="preserve">Yet, the same delta and high population </w:t>
      </w:r>
      <w:r w:rsidR="00AC1A67">
        <w:rPr>
          <w:rFonts w:cs="Times New Roman"/>
        </w:rPr>
        <w:t>density</w:t>
      </w:r>
      <w:r w:rsidR="00CC0F98">
        <w:rPr>
          <w:rFonts w:cs="Times New Roman"/>
        </w:rPr>
        <w:t xml:space="preserve"> presents</w:t>
      </w:r>
      <w:r>
        <w:rPr>
          <w:rFonts w:cs="Times New Roman"/>
        </w:rPr>
        <w:t xml:space="preserve"> many development challenges. With a population of 160 million crammed into a total</w:t>
      </w:r>
      <w:r w:rsidR="00202BA0">
        <w:rPr>
          <w:rFonts w:cs="Times New Roman"/>
        </w:rPr>
        <w:t xml:space="preserve"> space of </w:t>
      </w:r>
      <w:r w:rsidR="00D04218">
        <w:rPr>
          <w:rFonts w:cs="Times New Roman"/>
        </w:rPr>
        <w:t xml:space="preserve">147470 </w:t>
      </w:r>
      <w:r>
        <w:rPr>
          <w:rFonts w:cs="Times New Roman"/>
        </w:rPr>
        <w:t>square kilometers including rivers</w:t>
      </w:r>
      <w:r w:rsidR="00D76009">
        <w:rPr>
          <w:rFonts w:cs="Times New Roman"/>
        </w:rPr>
        <w:t xml:space="preserve">, Bangladesh </w:t>
      </w:r>
      <w:r w:rsidR="00202BA0">
        <w:rPr>
          <w:rFonts w:cs="Times New Roman"/>
        </w:rPr>
        <w:t>at 12</w:t>
      </w:r>
      <w:r w:rsidR="00756E29">
        <w:rPr>
          <w:rFonts w:cs="Times New Roman"/>
        </w:rPr>
        <w:t xml:space="preserve">00 people per square kilometer </w:t>
      </w:r>
      <w:r w:rsidR="00202BA0">
        <w:rPr>
          <w:rFonts w:cs="Times New Roman"/>
        </w:rPr>
        <w:t xml:space="preserve">is the </w:t>
      </w:r>
      <w:r w:rsidR="00D76009">
        <w:rPr>
          <w:rFonts w:cs="Times New Roman"/>
        </w:rPr>
        <w:t>most densely populated country in the world</w:t>
      </w:r>
      <w:r w:rsidR="00202BA0">
        <w:rPr>
          <w:rFonts w:cs="Times New Roman"/>
        </w:rPr>
        <w:t>,</w:t>
      </w:r>
      <w:r w:rsidR="00D76009">
        <w:rPr>
          <w:rFonts w:cs="Times New Roman"/>
        </w:rPr>
        <w:t xml:space="preserve"> excluding some small island economies with less than 2 million people</w:t>
      </w:r>
      <w:r w:rsidR="00202BA0">
        <w:rPr>
          <w:rFonts w:cs="Times New Roman"/>
        </w:rPr>
        <w:t xml:space="preserve"> and the city states of </w:t>
      </w:r>
      <w:r w:rsidR="000E0679">
        <w:rPr>
          <w:rFonts w:cs="Times New Roman"/>
        </w:rPr>
        <w:t>Hong Ko</w:t>
      </w:r>
      <w:r w:rsidR="00376FBF">
        <w:rPr>
          <w:rFonts w:cs="Times New Roman"/>
        </w:rPr>
        <w:t>ng</w:t>
      </w:r>
      <w:r w:rsidR="00202BA0">
        <w:rPr>
          <w:rFonts w:cs="Times New Roman"/>
        </w:rPr>
        <w:t xml:space="preserve"> and Singapore</w:t>
      </w:r>
      <w:r w:rsidR="00756E29">
        <w:rPr>
          <w:rFonts w:cs="Times New Roman"/>
        </w:rPr>
        <w:t xml:space="preserve">. </w:t>
      </w:r>
      <w:r w:rsidR="00202BA0">
        <w:rPr>
          <w:rFonts w:cs="Times New Roman"/>
        </w:rPr>
        <w:t>Owing to t</w:t>
      </w:r>
      <w:r w:rsidR="00756E29">
        <w:rPr>
          <w:rFonts w:cs="Times New Roman"/>
        </w:rPr>
        <w:t>he deltaic formation of the country</w:t>
      </w:r>
      <w:r w:rsidR="002E497E">
        <w:rPr>
          <w:rFonts w:cs="Times New Roman"/>
        </w:rPr>
        <w:t>, the configuration o</w:t>
      </w:r>
      <w:r w:rsidR="0031653A">
        <w:rPr>
          <w:rFonts w:cs="Times New Roman"/>
        </w:rPr>
        <w:t xml:space="preserve">f the rivers </w:t>
      </w:r>
      <w:r w:rsidR="002E497E">
        <w:rPr>
          <w:rFonts w:cs="Times New Roman"/>
        </w:rPr>
        <w:t xml:space="preserve">and </w:t>
      </w:r>
      <w:r w:rsidR="00756E29">
        <w:rPr>
          <w:rFonts w:cs="Times New Roman"/>
        </w:rPr>
        <w:t xml:space="preserve">climate </w:t>
      </w:r>
      <w:r w:rsidR="00202BA0">
        <w:rPr>
          <w:rFonts w:cs="Times New Roman"/>
        </w:rPr>
        <w:t>change,</w:t>
      </w:r>
      <w:r w:rsidR="00A81C91">
        <w:rPr>
          <w:rFonts w:cs="Times New Roman"/>
        </w:rPr>
        <w:t xml:space="preserve"> Bangladesh</w:t>
      </w:r>
      <w:r w:rsidR="00756E29">
        <w:rPr>
          <w:rFonts w:cs="Times New Roman"/>
        </w:rPr>
        <w:t xml:space="preserve"> </w:t>
      </w:r>
      <w:r w:rsidR="00202BA0">
        <w:rPr>
          <w:rFonts w:cs="Times New Roman"/>
        </w:rPr>
        <w:t xml:space="preserve">has been ranked as </w:t>
      </w:r>
      <w:r w:rsidR="00756E29">
        <w:rPr>
          <w:rFonts w:cs="Times New Roman"/>
        </w:rPr>
        <w:t>the 5</w:t>
      </w:r>
      <w:r w:rsidR="00756E29" w:rsidRPr="00756E29">
        <w:rPr>
          <w:rFonts w:cs="Times New Roman"/>
          <w:vertAlign w:val="superscript"/>
        </w:rPr>
        <w:t>th</w:t>
      </w:r>
      <w:r w:rsidR="00756E29">
        <w:rPr>
          <w:rFonts w:cs="Times New Roman"/>
        </w:rPr>
        <w:t xml:space="preserve"> </w:t>
      </w:r>
      <w:r w:rsidR="00202BA0">
        <w:rPr>
          <w:rFonts w:cs="Times New Roman"/>
        </w:rPr>
        <w:t xml:space="preserve">most </w:t>
      </w:r>
      <w:r w:rsidR="00756E29">
        <w:rPr>
          <w:rFonts w:cs="Times New Roman"/>
        </w:rPr>
        <w:t xml:space="preserve">vulnerable country in the world in terms of risks from natural hazards. Tidal surge, salinity, flooding, river erosion and cyclones are regular features of the country. </w:t>
      </w:r>
      <w:r w:rsidR="003732DA">
        <w:rPr>
          <w:rFonts w:cs="Times New Roman"/>
        </w:rPr>
        <w:t xml:space="preserve">These features pose a continuous challenge to food security for the country and livelihood for a large part of the rural population. </w:t>
      </w:r>
      <w:r w:rsidR="00E334AA">
        <w:rPr>
          <w:rFonts w:cs="Times New Roman"/>
        </w:rPr>
        <w:t xml:space="preserve">Growing risk of sea </w:t>
      </w:r>
      <w:r w:rsidR="00CC0F98">
        <w:rPr>
          <w:rFonts w:cs="Times New Roman"/>
        </w:rPr>
        <w:t>level rise</w:t>
      </w:r>
      <w:r w:rsidR="00E334AA">
        <w:rPr>
          <w:rFonts w:cs="Times New Roman"/>
        </w:rPr>
        <w:t xml:space="preserve"> threatens to engulf a considerable area of the coastal belt that could displace millions of people living in the coastal districts.  </w:t>
      </w:r>
      <w:r w:rsidR="00923B32">
        <w:rPr>
          <w:rFonts w:cs="Times New Roman"/>
        </w:rPr>
        <w:t>Sea level rise along with drying up of upstream fresh wate</w:t>
      </w:r>
      <w:r w:rsidR="000E0679">
        <w:rPr>
          <w:rFonts w:cs="Times New Roman"/>
        </w:rPr>
        <w:t>r flows in rivers in the Southw</w:t>
      </w:r>
      <w:r w:rsidR="00923B32">
        <w:rPr>
          <w:rFonts w:cs="Times New Roman"/>
        </w:rPr>
        <w:t xml:space="preserve">est is </w:t>
      </w:r>
      <w:r w:rsidR="00376FBF">
        <w:rPr>
          <w:rFonts w:cs="Times New Roman"/>
        </w:rPr>
        <w:t>causing</w:t>
      </w:r>
      <w:r w:rsidR="00923B32">
        <w:rPr>
          <w:rFonts w:cs="Times New Roman"/>
        </w:rPr>
        <w:t xml:space="preserve"> problems for agriculture and fresh water supply.  </w:t>
      </w:r>
      <w:r w:rsidR="00E334AA">
        <w:rPr>
          <w:rFonts w:cs="Times New Roman"/>
        </w:rPr>
        <w:t>Increasing temperature threatens to increase monsoon rains causing river overflow and higher incidence of flooding; temperature rise also threatens to damage crop</w:t>
      </w:r>
      <w:r w:rsidR="00A81C91">
        <w:rPr>
          <w:rFonts w:cs="Times New Roman"/>
        </w:rPr>
        <w:t>s</w:t>
      </w:r>
      <w:r w:rsidR="00E334AA">
        <w:rPr>
          <w:rFonts w:cs="Times New Roman"/>
        </w:rPr>
        <w:t xml:space="preserve"> and</w:t>
      </w:r>
      <w:r w:rsidR="00A81C91">
        <w:rPr>
          <w:rFonts w:cs="Times New Roman"/>
        </w:rPr>
        <w:t xml:space="preserve"> contribute to health problems. In parts of the country over-exploitation of </w:t>
      </w:r>
      <w:r w:rsidR="00A81C91">
        <w:rPr>
          <w:rFonts w:cs="Times New Roman"/>
        </w:rPr>
        <w:lastRenderedPageBreak/>
        <w:t xml:space="preserve">ground water with low </w:t>
      </w:r>
      <w:r w:rsidR="00D06E55">
        <w:rPr>
          <w:rFonts w:cs="Times New Roman"/>
        </w:rPr>
        <w:t xml:space="preserve">rain owing to climate change threatens to weaken the </w:t>
      </w:r>
      <w:r w:rsidR="003732DA">
        <w:rPr>
          <w:rFonts w:cs="Times New Roman"/>
        </w:rPr>
        <w:t>surface a</w:t>
      </w:r>
      <w:r w:rsidR="000E0679">
        <w:rPr>
          <w:rFonts w:cs="Times New Roman"/>
        </w:rPr>
        <w:t>quifers that could create water-</w:t>
      </w:r>
      <w:r w:rsidR="003732DA">
        <w:rPr>
          <w:rFonts w:cs="Times New Roman"/>
        </w:rPr>
        <w:t>shortage problems for irrigation-led agric</w:t>
      </w:r>
      <w:r w:rsidR="000E0679">
        <w:rPr>
          <w:rFonts w:cs="Times New Roman"/>
        </w:rPr>
        <w:t>ulture in the Northw</w:t>
      </w:r>
      <w:r w:rsidR="003732DA">
        <w:rPr>
          <w:rFonts w:cs="Times New Roman"/>
        </w:rPr>
        <w:t xml:space="preserve">est dry zone </w:t>
      </w:r>
      <w:r w:rsidR="00CC0F98">
        <w:rPr>
          <w:rFonts w:cs="Times New Roman"/>
        </w:rPr>
        <w:t>of Bangladesh</w:t>
      </w:r>
      <w:r w:rsidR="003732DA">
        <w:rPr>
          <w:rFonts w:cs="Times New Roman"/>
        </w:rPr>
        <w:t xml:space="preserve">. In the urban areas the water tables in many parts have already fallen very low owing to over-exploitation of ground water. Arsenic </w:t>
      </w:r>
      <w:r w:rsidR="00CC0F98">
        <w:rPr>
          <w:rFonts w:cs="Times New Roman"/>
        </w:rPr>
        <w:t>contamination threatens many</w:t>
      </w:r>
      <w:r w:rsidR="003732DA">
        <w:rPr>
          <w:rFonts w:cs="Times New Roman"/>
        </w:rPr>
        <w:t xml:space="preserve"> rural water s</w:t>
      </w:r>
      <w:r w:rsidR="00854076">
        <w:rPr>
          <w:rFonts w:cs="Times New Roman"/>
        </w:rPr>
        <w:t>upply sources. Assuring adequate</w:t>
      </w:r>
      <w:r w:rsidR="003732DA">
        <w:rPr>
          <w:rFonts w:cs="Times New Roman"/>
        </w:rPr>
        <w:t xml:space="preserve"> water supply to a growing urban</w:t>
      </w:r>
      <w:r w:rsidR="00854076">
        <w:rPr>
          <w:rFonts w:cs="Times New Roman"/>
        </w:rPr>
        <w:t xml:space="preserve"> population and expanding industrial and commercial activities will be a major challenge.  At the same time strengthening the access of the rural population to safe water will be a major task.</w:t>
      </w:r>
      <w:r w:rsidR="003732DA">
        <w:rPr>
          <w:rFonts w:cs="Times New Roman"/>
        </w:rPr>
        <w:t xml:space="preserve"> </w:t>
      </w:r>
    </w:p>
    <w:p w:rsidR="002D1F81" w:rsidRDefault="00854076" w:rsidP="00692127">
      <w:pPr>
        <w:spacing w:line="276" w:lineRule="auto"/>
        <w:jc w:val="both"/>
        <w:rPr>
          <w:rFonts w:cs="Times New Roman"/>
        </w:rPr>
      </w:pPr>
      <w:r>
        <w:rPr>
          <w:rFonts w:cs="Times New Roman"/>
        </w:rPr>
        <w:t>These delta-related challenges are just one source of challenge</w:t>
      </w:r>
      <w:r w:rsidR="000E0679">
        <w:rPr>
          <w:rFonts w:cs="Times New Roman"/>
        </w:rPr>
        <w:t>s</w:t>
      </w:r>
      <w:r>
        <w:rPr>
          <w:rFonts w:cs="Times New Roman"/>
        </w:rPr>
        <w:t xml:space="preserve">. The country faces other challenges from growing urbanization, declining land availability, infrastructure shortages, energy supply constraints </w:t>
      </w:r>
      <w:r w:rsidR="00CC0F98">
        <w:rPr>
          <w:rFonts w:cs="Times New Roman"/>
        </w:rPr>
        <w:t>and labor</w:t>
      </w:r>
      <w:r>
        <w:rPr>
          <w:rFonts w:cs="Times New Roman"/>
        </w:rPr>
        <w:t xml:space="preserve"> skills. The interface of these multiple challenges with limited </w:t>
      </w:r>
      <w:r w:rsidR="003446B1">
        <w:rPr>
          <w:rFonts w:cs="Times New Roman"/>
        </w:rPr>
        <w:t>public</w:t>
      </w:r>
      <w:r>
        <w:rPr>
          <w:rFonts w:cs="Times New Roman"/>
        </w:rPr>
        <w:t xml:space="preserve"> resources and a heavily constrained </w:t>
      </w:r>
      <w:r w:rsidR="003446B1">
        <w:rPr>
          <w:rFonts w:cs="Times New Roman"/>
        </w:rPr>
        <w:t>public</w:t>
      </w:r>
      <w:r>
        <w:rPr>
          <w:rFonts w:cs="Times New Roman"/>
        </w:rPr>
        <w:t xml:space="preserve"> sector capacity define the policy and institutional challenges of</w:t>
      </w:r>
      <w:r w:rsidR="0043580E">
        <w:rPr>
          <w:rFonts w:cs="Times New Roman"/>
        </w:rPr>
        <w:t xml:space="preserve"> an aspiring upper </w:t>
      </w:r>
      <w:r>
        <w:rPr>
          <w:rFonts w:cs="Times New Roman"/>
        </w:rPr>
        <w:t xml:space="preserve">middle income Bangladesh. Past track record gives comfort that the country has the capability </w:t>
      </w:r>
      <w:r w:rsidR="00CC0F98">
        <w:rPr>
          <w:rFonts w:cs="Times New Roman"/>
        </w:rPr>
        <w:t>of making</w:t>
      </w:r>
      <w:r>
        <w:rPr>
          <w:rFonts w:cs="Times New Roman"/>
        </w:rPr>
        <w:t xml:space="preserve"> concerted efforts to attack these challenges with strong determination and vigor.  </w:t>
      </w:r>
    </w:p>
    <w:p w:rsidR="00F71A96" w:rsidRDefault="00854076" w:rsidP="00692127">
      <w:pPr>
        <w:spacing w:line="276" w:lineRule="auto"/>
        <w:jc w:val="both"/>
        <w:rPr>
          <w:rFonts w:cs="Times New Roman"/>
        </w:rPr>
      </w:pPr>
      <w:r>
        <w:rPr>
          <w:rFonts w:cs="Times New Roman"/>
        </w:rPr>
        <w:t xml:space="preserve">Good planning and strategies are necessary </w:t>
      </w:r>
      <w:r w:rsidR="002D1F81">
        <w:rPr>
          <w:rFonts w:cs="Times New Roman"/>
        </w:rPr>
        <w:t>to move coherently and in an organized fashion.</w:t>
      </w:r>
      <w:r>
        <w:rPr>
          <w:rFonts w:cs="Times New Roman"/>
        </w:rPr>
        <w:t xml:space="preserve">  </w:t>
      </w:r>
      <w:r w:rsidR="002D1F81">
        <w:rPr>
          <w:rFonts w:cs="Times New Roman"/>
        </w:rPr>
        <w:t xml:space="preserve">Vision 2021, the 10-year perspective plan 2010-2020 and the </w:t>
      </w:r>
      <w:r w:rsidR="006C1D4C">
        <w:rPr>
          <w:rFonts w:cs="Times New Roman"/>
        </w:rPr>
        <w:t>Seventh Five Year Plan</w:t>
      </w:r>
      <w:r w:rsidR="002D1F81">
        <w:rPr>
          <w:rFonts w:cs="Times New Roman"/>
        </w:rPr>
        <w:t xml:space="preserve"> FY2016-FY2020 are all a part of the government’s ongoing national development strategies. In view of the special long-term challenges presented by climate change to the Bangladesh delta, the Governmen</w:t>
      </w:r>
      <w:r w:rsidR="000E0679">
        <w:rPr>
          <w:rFonts w:cs="Times New Roman"/>
        </w:rPr>
        <w:t>t has decided to develop a long-</w:t>
      </w:r>
      <w:r w:rsidR="002D1F81">
        <w:rPr>
          <w:rFonts w:cs="Times New Roman"/>
        </w:rPr>
        <w:t xml:space="preserve">term Bangladesh Delta </w:t>
      </w:r>
      <w:r w:rsidR="000E0679">
        <w:rPr>
          <w:rFonts w:cs="Times New Roman"/>
        </w:rPr>
        <w:t>Plan</w:t>
      </w:r>
      <w:r w:rsidR="002D1F81">
        <w:rPr>
          <w:rFonts w:cs="Times New Roman"/>
        </w:rPr>
        <w:t xml:space="preserve"> 21</w:t>
      </w:r>
      <w:r w:rsidR="00AE4B0A">
        <w:rPr>
          <w:rFonts w:cs="Times New Roman"/>
        </w:rPr>
        <w:t>00 (BDP2100)</w:t>
      </w:r>
      <w:r w:rsidR="00160AD2">
        <w:rPr>
          <w:rFonts w:cs="Times New Roman"/>
        </w:rPr>
        <w:t>.</w:t>
      </w:r>
      <w:r w:rsidR="00160AD2" w:rsidRPr="00160AD2">
        <w:rPr>
          <w:rFonts w:cs="Times New Roman"/>
          <w:szCs w:val="24"/>
        </w:rPr>
        <w:t xml:space="preserve"> </w:t>
      </w:r>
      <w:r w:rsidR="00160AD2">
        <w:rPr>
          <w:rFonts w:cs="Times New Roman"/>
          <w:szCs w:val="24"/>
        </w:rPr>
        <w:t xml:space="preserve">The BDP2100 </w:t>
      </w:r>
      <w:r w:rsidR="00160AD2" w:rsidRPr="00117449">
        <w:rPr>
          <w:rFonts w:cs="Times New Roman"/>
          <w:szCs w:val="24"/>
        </w:rPr>
        <w:t>seeks to integrate the short-to medium term aspirations of Bangladesh to achieve upper middle income</w:t>
      </w:r>
      <w:r w:rsidR="00160AD2">
        <w:rPr>
          <w:rFonts w:cs="Times New Roman"/>
          <w:szCs w:val="24"/>
        </w:rPr>
        <w:t xml:space="preserve"> (UMIC)</w:t>
      </w:r>
      <w:r w:rsidR="00160AD2" w:rsidRPr="00117449">
        <w:rPr>
          <w:rFonts w:cs="Times New Roman"/>
          <w:szCs w:val="24"/>
        </w:rPr>
        <w:t xml:space="preserve"> status and eliminat</w:t>
      </w:r>
      <w:r w:rsidR="00160AD2">
        <w:rPr>
          <w:rFonts w:cs="Times New Roman"/>
          <w:szCs w:val="24"/>
        </w:rPr>
        <w:t xml:space="preserve">e extreme poverty by FY2031 </w:t>
      </w:r>
      <w:r w:rsidR="00160AD2" w:rsidRPr="00117449">
        <w:rPr>
          <w:rFonts w:cs="Times New Roman"/>
          <w:szCs w:val="24"/>
        </w:rPr>
        <w:t>with the longer-term challenge of sustainable management of water, ecology, environment and land resources</w:t>
      </w:r>
      <w:r w:rsidR="00160AD2">
        <w:rPr>
          <w:rFonts w:cs="Times New Roman"/>
          <w:szCs w:val="24"/>
        </w:rPr>
        <w:t xml:space="preserve"> in the context of their interaction with natural disasters and climate change</w:t>
      </w:r>
      <w:r w:rsidR="00160AD2" w:rsidRPr="00117449">
        <w:rPr>
          <w:rFonts w:cs="Times New Roman"/>
          <w:szCs w:val="24"/>
        </w:rPr>
        <w:t xml:space="preserve">. </w:t>
      </w:r>
      <w:r w:rsidR="00AE4B0A">
        <w:rPr>
          <w:rFonts w:cs="Times New Roman"/>
        </w:rPr>
        <w:t xml:space="preserve"> </w:t>
      </w:r>
      <w:r w:rsidR="002D1F81">
        <w:rPr>
          <w:rFonts w:cs="Times New Roman"/>
        </w:rPr>
        <w:t xml:space="preserve">In view of the best practice </w:t>
      </w:r>
      <w:r w:rsidR="00D04218">
        <w:rPr>
          <w:rFonts w:cs="Times New Roman"/>
        </w:rPr>
        <w:t xml:space="preserve">of </w:t>
      </w:r>
      <w:r w:rsidR="002D1F81">
        <w:rPr>
          <w:rFonts w:cs="Times New Roman"/>
        </w:rPr>
        <w:t>Dutch delta management</w:t>
      </w:r>
      <w:r w:rsidR="00F71A96">
        <w:rPr>
          <w:rFonts w:cs="Times New Roman"/>
        </w:rPr>
        <w:t xml:space="preserve"> experience, the Government </w:t>
      </w:r>
      <w:r w:rsidR="002D1F81">
        <w:rPr>
          <w:rFonts w:cs="Times New Roman"/>
        </w:rPr>
        <w:t xml:space="preserve">requested technical assistance from the Government of Netherlands to help Bangladesh develop this BDP2100. </w:t>
      </w:r>
      <w:r w:rsidR="00F71A96">
        <w:rPr>
          <w:rFonts w:cs="Times New Roman"/>
        </w:rPr>
        <w:t xml:space="preserve"> </w:t>
      </w:r>
    </w:p>
    <w:p w:rsidR="00854076" w:rsidRDefault="00F71A96" w:rsidP="00692127">
      <w:pPr>
        <w:spacing w:line="276" w:lineRule="auto"/>
        <w:jc w:val="both"/>
        <w:rPr>
          <w:rFonts w:cs="Times New Roman"/>
        </w:rPr>
      </w:pPr>
      <w:r>
        <w:rPr>
          <w:rFonts w:cs="Times New Roman"/>
        </w:rPr>
        <w:t xml:space="preserve">The </w:t>
      </w:r>
      <w:r w:rsidR="0043580E">
        <w:rPr>
          <w:rFonts w:cs="Times New Roman"/>
        </w:rPr>
        <w:t xml:space="preserve">formulation of BDP2100 </w:t>
      </w:r>
      <w:r>
        <w:rPr>
          <w:rFonts w:cs="Times New Roman"/>
        </w:rPr>
        <w:t xml:space="preserve">involved a large volume of baseline studies  special background papers, large number of stakeholder consultation meetings, </w:t>
      </w:r>
      <w:r w:rsidR="00043DED">
        <w:rPr>
          <w:rFonts w:cs="Times New Roman"/>
        </w:rPr>
        <w:t xml:space="preserve">and </w:t>
      </w:r>
      <w:r>
        <w:rPr>
          <w:rFonts w:cs="Times New Roman"/>
        </w:rPr>
        <w:t xml:space="preserve">interaction with experts and government officials. In addition, there exists a large volume of literature on water management and water analysis based on </w:t>
      </w:r>
      <w:r w:rsidR="00477718">
        <w:rPr>
          <w:rFonts w:cs="Times New Roman"/>
        </w:rPr>
        <w:t xml:space="preserve">past technical assistance and </w:t>
      </w:r>
      <w:r>
        <w:rPr>
          <w:rFonts w:cs="Times New Roman"/>
        </w:rPr>
        <w:t xml:space="preserve">national and international research.  The BDP2100 draws on this rich volume of technical knowledge to develop the Bangladesh Delta Plan. A full list of consulted research is provided in the bibliography section.   </w:t>
      </w:r>
    </w:p>
    <w:p w:rsidR="00CE66B7" w:rsidRDefault="0054681C" w:rsidP="00043DED">
      <w:pPr>
        <w:spacing w:line="276" w:lineRule="auto"/>
        <w:jc w:val="both"/>
        <w:rPr>
          <w:rFonts w:cs="Times New Roman"/>
        </w:rPr>
      </w:pPr>
      <w:r>
        <w:rPr>
          <w:rFonts w:cs="Times New Roman"/>
        </w:rPr>
        <w:t xml:space="preserve">Chapter 1 provides an overview of the delta opportunities and challenges with a view to identifying the main elements of these opportunities </w:t>
      </w:r>
      <w:r w:rsidR="00043DED">
        <w:rPr>
          <w:rFonts w:cs="Times New Roman"/>
        </w:rPr>
        <w:t xml:space="preserve">and </w:t>
      </w:r>
      <w:r>
        <w:rPr>
          <w:rFonts w:cs="Times New Roman"/>
        </w:rPr>
        <w:t xml:space="preserve">concerns for fuller development in the remaining chapters of the report. </w:t>
      </w:r>
      <w:r w:rsidR="00821CB4">
        <w:rPr>
          <w:rFonts w:cs="Times New Roman"/>
        </w:rPr>
        <w:t>In order to ground these risks and opportunities to the specific context of the Bangladesh delta, t</w:t>
      </w:r>
      <w:r>
        <w:rPr>
          <w:rFonts w:cs="Times New Roman"/>
        </w:rPr>
        <w:t xml:space="preserve">he </w:t>
      </w:r>
      <w:r w:rsidR="00821CB4">
        <w:rPr>
          <w:rFonts w:cs="Times New Roman"/>
        </w:rPr>
        <w:t xml:space="preserve">chapter </w:t>
      </w:r>
      <w:r>
        <w:rPr>
          <w:rFonts w:cs="Times New Roman"/>
        </w:rPr>
        <w:t xml:space="preserve">starts by defining an analytical framework for describing the main delta related constraints </w:t>
      </w:r>
      <w:r w:rsidR="00043DED">
        <w:rPr>
          <w:rFonts w:cs="Times New Roman"/>
        </w:rPr>
        <w:t>in a</w:t>
      </w:r>
      <w:r w:rsidR="00821CB4">
        <w:rPr>
          <w:rFonts w:cs="Times New Roman"/>
        </w:rPr>
        <w:t xml:space="preserve">s much specificity as possible </w:t>
      </w:r>
      <w:r>
        <w:rPr>
          <w:rFonts w:cs="Times New Roman"/>
        </w:rPr>
        <w:t xml:space="preserve">that </w:t>
      </w:r>
      <w:r w:rsidR="00821CB4">
        <w:rPr>
          <w:rFonts w:cs="Times New Roman"/>
        </w:rPr>
        <w:t xml:space="preserve">then </w:t>
      </w:r>
      <w:r>
        <w:rPr>
          <w:rFonts w:cs="Times New Roman"/>
        </w:rPr>
        <w:t xml:space="preserve">helps </w:t>
      </w:r>
      <w:r w:rsidR="00821CB4">
        <w:rPr>
          <w:rFonts w:cs="Times New Roman"/>
        </w:rPr>
        <w:t xml:space="preserve">lay the basis to </w:t>
      </w:r>
      <w:r>
        <w:rPr>
          <w:rFonts w:cs="Times New Roman"/>
        </w:rPr>
        <w:t xml:space="preserve">develop </w:t>
      </w:r>
      <w:r w:rsidR="00821CB4">
        <w:rPr>
          <w:rFonts w:cs="Times New Roman"/>
        </w:rPr>
        <w:t xml:space="preserve">proper </w:t>
      </w:r>
      <w:r>
        <w:rPr>
          <w:rFonts w:cs="Times New Roman"/>
        </w:rPr>
        <w:t>strategies</w:t>
      </w:r>
      <w:r w:rsidR="00821CB4">
        <w:rPr>
          <w:rFonts w:cs="Times New Roman"/>
        </w:rPr>
        <w:t xml:space="preserve">, policies, institutions </w:t>
      </w:r>
      <w:r>
        <w:rPr>
          <w:rFonts w:cs="Times New Roman"/>
        </w:rPr>
        <w:t xml:space="preserve">and investment priorities.  It describes </w:t>
      </w:r>
      <w:r>
        <w:rPr>
          <w:rFonts w:cs="Times New Roman"/>
        </w:rPr>
        <w:lastRenderedPageBreak/>
        <w:t>the interaction of climate change with development including ecological balance and environmental protection that is critical for the long-term sustainability of development</w:t>
      </w:r>
      <w:r w:rsidR="00082923">
        <w:rPr>
          <w:rFonts w:cs="Times New Roman"/>
        </w:rPr>
        <w:t xml:space="preserve">. It then lays </w:t>
      </w:r>
      <w:r w:rsidR="00CC0F98">
        <w:rPr>
          <w:rFonts w:cs="Times New Roman"/>
        </w:rPr>
        <w:t>out the</w:t>
      </w:r>
      <w:r>
        <w:rPr>
          <w:rFonts w:cs="Times New Roman"/>
        </w:rPr>
        <w:t xml:space="preserve"> broad contours of the analytical framework to </w:t>
      </w:r>
      <w:r w:rsidR="00821CB4">
        <w:rPr>
          <w:rFonts w:cs="Times New Roman"/>
        </w:rPr>
        <w:t>provide</w:t>
      </w:r>
      <w:r>
        <w:rPr>
          <w:rFonts w:cs="Times New Roman"/>
        </w:rPr>
        <w:t xml:space="preserve"> the basis for detailed analysis of </w:t>
      </w:r>
      <w:r w:rsidR="00821CB4">
        <w:rPr>
          <w:rFonts w:cs="Times New Roman"/>
        </w:rPr>
        <w:t xml:space="preserve">the </w:t>
      </w:r>
      <w:r>
        <w:rPr>
          <w:rFonts w:cs="Times New Roman"/>
        </w:rPr>
        <w:t xml:space="preserve">various delta </w:t>
      </w:r>
      <w:r w:rsidR="00043DED">
        <w:rPr>
          <w:rFonts w:cs="Times New Roman"/>
        </w:rPr>
        <w:t>challenges</w:t>
      </w:r>
      <w:r w:rsidR="00CC0F98">
        <w:rPr>
          <w:rFonts w:cs="Times New Roman"/>
        </w:rPr>
        <w:t xml:space="preserve"> in</w:t>
      </w:r>
      <w:r>
        <w:rPr>
          <w:rFonts w:cs="Times New Roman"/>
        </w:rPr>
        <w:t xml:space="preserve"> the later chapters.    </w:t>
      </w:r>
    </w:p>
    <w:p w:rsidR="00F64A6A" w:rsidRDefault="0043580E" w:rsidP="00F64A6A">
      <w:pPr>
        <w:pStyle w:val="Heading2"/>
        <w:numPr>
          <w:ilvl w:val="0"/>
          <w:numId w:val="0"/>
        </w:numPr>
        <w:ind w:left="720"/>
      </w:pPr>
      <w:bookmarkStart w:id="21" w:name="_Toc474638835"/>
      <w:r>
        <w:t>Need for a Delta Plan</w:t>
      </w:r>
      <w:bookmarkEnd w:id="21"/>
      <w:r>
        <w:t xml:space="preserve"> </w:t>
      </w:r>
    </w:p>
    <w:p w:rsidR="00297A66" w:rsidRPr="00700B9D" w:rsidRDefault="0043580E" w:rsidP="00700B9D">
      <w:pPr>
        <w:spacing w:line="276" w:lineRule="auto"/>
        <w:jc w:val="both"/>
        <w:rPr>
          <w:rFonts w:cs="Segoe UI"/>
        </w:rPr>
      </w:pPr>
      <w:r w:rsidRPr="00700B9D">
        <w:rPr>
          <w:rFonts w:cs="Segoe UI"/>
        </w:rPr>
        <w:t>A lot of initiatives and plans for water sector and agricultural dev</w:t>
      </w:r>
      <w:r w:rsidR="00700B9D" w:rsidRPr="00700B9D">
        <w:rPr>
          <w:rFonts w:cs="Segoe UI"/>
        </w:rPr>
        <w:t>elopment have been prepared and</w:t>
      </w:r>
      <w:r w:rsidRPr="00700B9D">
        <w:t xml:space="preserve"> adopted in Bangladesh since 1960. </w:t>
      </w:r>
      <w:r w:rsidR="00297A66" w:rsidRPr="00700B9D">
        <w:rPr>
          <w:rFonts w:cs="Segoe UI"/>
        </w:rPr>
        <w:t xml:space="preserve">IECO Master plan (1964) for water resources sector, National Water Plan-I (1986) followed by National Water Plan-II (1991), The Flood Action Plan (after the devastating flood in 1987 and 1988), etc. have been adopted in the country. The FAP studies were very elaborate, and one of the outcomes of the study is the Bangladesh Water and Flood Management Strategy (1995), based on which the National Water Policy (1999) and National Water Management Plan (2004) were formulated. The National Water Policy provides a useful basis for the Delta Framework, as it outlines an integrated approach towards sustainable water resources management. The National Water Management Plan is meant as an operationalization of the NWPo. It is a comprehensive water resources plan in which 13 ministries and more than 30 agencies are involved. It is primarily a management plan. Within the existing institutional context, however, the NWMP shows many implementation issues, which are important to analyze and to consider as “lessons learnt”. The good thing that came out of these various phases of water resources planning is the new planning approach that has undergone many stages and refinement, responding to the socio-economic needs of the people. </w:t>
      </w:r>
    </w:p>
    <w:p w:rsidR="00297A66" w:rsidRPr="00700B9D" w:rsidRDefault="00297A66" w:rsidP="00700B9D">
      <w:pPr>
        <w:spacing w:line="276" w:lineRule="auto"/>
        <w:jc w:val="both"/>
        <w:rPr>
          <w:rFonts w:cs="Segoe UI"/>
        </w:rPr>
      </w:pPr>
      <w:r w:rsidRPr="00700B9D">
        <w:rPr>
          <w:rFonts w:cs="Segoe UI"/>
        </w:rPr>
        <w:t xml:space="preserve">Other ministries and departments of the government also devised their own plans and strategies. Bangladesh is a signatory of the historic Paris Climate Agreement. It is committed to combat climate change reaffirming the government's readiness to continue to work towards mobilizing greater international efforts in support of comprehensive implementation of the Paris deal. Bangladesh has also taken various proactive initiatives, with its own resources and international cooperation, to adapt to climate change. The Ministry of Environment and Forest formulated the National Adaptation Programme of Action (2005) and The Bangladesh Climate Change Strategy and Action Plan (2009) to address adverse impacts of climate change including variability and extreme events and to promote sustainable development of the country. The Master Plan for Haor areas was prepared for haor areas located in the North-Eastern region of the country by Bangladesh Haor and Wetland Development </w:t>
      </w:r>
      <w:r w:rsidR="00D04218">
        <w:rPr>
          <w:rFonts w:cs="Segoe UI"/>
        </w:rPr>
        <w:t>Department</w:t>
      </w:r>
      <w:r w:rsidR="00D04218" w:rsidRPr="00700B9D">
        <w:rPr>
          <w:rFonts w:cs="Segoe UI"/>
        </w:rPr>
        <w:t xml:space="preserve"> </w:t>
      </w:r>
      <w:r w:rsidRPr="00700B9D">
        <w:rPr>
          <w:rFonts w:cs="Segoe UI"/>
        </w:rPr>
        <w:t>in 2010. The Master Plan for Agricultural Development in the southern region of Bangladesh was prepared by the Ministry of Agriculture and FAO in 2013. The National Plan for Disaster Management (2008) was prepared by the Ministry of Food and Disaster Management to reduce the risk of people, especially the poor and disadvantaged, from the effects of natural, environmental and human induced hazards. Most recently, the Local Government Engineering Department has prepared the District Development Plan and Upazila Development Plan. The Ministry of Local Government</w:t>
      </w:r>
      <w:r w:rsidR="00D04218">
        <w:rPr>
          <w:rFonts w:cs="Segoe UI"/>
        </w:rPr>
        <w:t>,</w:t>
      </w:r>
      <w:r w:rsidRPr="00700B9D">
        <w:rPr>
          <w:rFonts w:cs="Segoe UI"/>
        </w:rPr>
        <w:t xml:space="preserve"> Rural </w:t>
      </w:r>
      <w:r w:rsidRPr="00700B9D">
        <w:rPr>
          <w:rFonts w:cs="Segoe UI"/>
        </w:rPr>
        <w:lastRenderedPageBreak/>
        <w:t>Development</w:t>
      </w:r>
      <w:r w:rsidR="00D04218">
        <w:rPr>
          <w:rFonts w:cs="Segoe UI"/>
        </w:rPr>
        <w:t xml:space="preserve"> and Cooperatives </w:t>
      </w:r>
      <w:r w:rsidRPr="00700B9D">
        <w:rPr>
          <w:rFonts w:cs="Segoe UI"/>
        </w:rPr>
        <w:t xml:space="preserve">has prepared the National Policy for Safe Water Supply and Sanitation (1998) for providing safe drinking water and sanitation. </w:t>
      </w:r>
    </w:p>
    <w:p w:rsidR="0043580E" w:rsidRPr="00700B9D" w:rsidRDefault="0043580E" w:rsidP="00700B9D">
      <w:pPr>
        <w:spacing w:line="276" w:lineRule="auto"/>
        <w:jc w:val="both"/>
      </w:pPr>
      <w:r w:rsidRPr="00700B9D">
        <w:t xml:space="preserve">Furthermore, national-level strategic plans such as the Five Year Plans and Perspective Plan have been formulated by the Government. More recently, the 17 Sustainable Development Goals with 169 targets, is a new global agenda and Bangladesh is highly committed to meeting these goals. However, the challenge lies in integrating these sectoral, national and global targets and plans into long-term coherent strategies taking climate change and future demands into account, as well as in effective implementation of the needed interventions in a well-coordinated manner. </w:t>
      </w:r>
    </w:p>
    <w:p w:rsidR="00557369" w:rsidRPr="00700B9D" w:rsidRDefault="0043580E" w:rsidP="00557369">
      <w:pPr>
        <w:spacing w:line="276" w:lineRule="auto"/>
        <w:jc w:val="both"/>
      </w:pPr>
      <w:r w:rsidRPr="00700B9D">
        <w:t xml:space="preserve">Typically, the sectoral plans tend to be short-term oriented and independently pursued by the formulating ministries or departments. Whereas, goals and targets are at the national level and climate change and natural disaster risks present major downside risks and uncertainties that require long-term strategies and multi-sectoral coordinated policy management under uncertainty. For example, the national challenge to maintain food sufficiency in the face of increasing population and decreasing agricultural land as well as the threat posed by climate change requires coordinated policy actions involving </w:t>
      </w:r>
      <w:r w:rsidR="00557369">
        <w:t xml:space="preserve">Ministry </w:t>
      </w:r>
      <w:r w:rsidR="00557369" w:rsidRPr="00700B9D">
        <w:t xml:space="preserve">of </w:t>
      </w:r>
      <w:r w:rsidR="00557369">
        <w:t>A</w:t>
      </w:r>
      <w:r w:rsidR="00557369" w:rsidRPr="00700B9D">
        <w:t xml:space="preserve">griculture, </w:t>
      </w:r>
      <w:r w:rsidR="00557369">
        <w:t>E</w:t>
      </w:r>
      <w:r w:rsidR="00557369" w:rsidRPr="00700B9D">
        <w:t>nvironment</w:t>
      </w:r>
      <w:r w:rsidR="00557369">
        <w:t xml:space="preserve"> and Forests</w:t>
      </w:r>
      <w:r w:rsidR="00557369" w:rsidRPr="00700B9D">
        <w:t xml:space="preserve">, </w:t>
      </w:r>
      <w:r w:rsidR="00557369">
        <w:t>L</w:t>
      </w:r>
      <w:r w:rsidR="00557369" w:rsidRPr="00700B9D">
        <w:t xml:space="preserve">and , </w:t>
      </w:r>
      <w:r w:rsidR="00557369">
        <w:t>F</w:t>
      </w:r>
      <w:r w:rsidR="00557369" w:rsidRPr="00700B9D">
        <w:t xml:space="preserve">isheries and </w:t>
      </w:r>
      <w:r w:rsidR="00557369">
        <w:t>L</w:t>
      </w:r>
      <w:r w:rsidR="00557369" w:rsidRPr="00700B9D">
        <w:t xml:space="preserve">ivestock, </w:t>
      </w:r>
      <w:r w:rsidR="00557369">
        <w:t>W</w:t>
      </w:r>
      <w:r w:rsidR="00557369" w:rsidRPr="00700B9D">
        <w:t>ater</w:t>
      </w:r>
      <w:r w:rsidR="00557369">
        <w:t xml:space="preserve"> Resources</w:t>
      </w:r>
      <w:r w:rsidR="00557369" w:rsidRPr="00700B9D">
        <w:t>, LG</w:t>
      </w:r>
      <w:r w:rsidR="00557369">
        <w:t>R</w:t>
      </w:r>
      <w:r w:rsidR="00557369" w:rsidRPr="00700B9D">
        <w:t>D</w:t>
      </w:r>
      <w:r w:rsidR="00557369">
        <w:t xml:space="preserve"> &amp; C</w:t>
      </w:r>
      <w:r w:rsidR="00557369" w:rsidRPr="00700B9D">
        <w:t xml:space="preserve">, </w:t>
      </w:r>
      <w:r w:rsidR="00557369">
        <w:t>F</w:t>
      </w:r>
      <w:r w:rsidR="00557369" w:rsidRPr="00700B9D">
        <w:t xml:space="preserve">inance and </w:t>
      </w:r>
      <w:r w:rsidR="00557369">
        <w:t>P</w:t>
      </w:r>
      <w:r w:rsidR="00557369" w:rsidRPr="00700B9D">
        <w:t>lanning. Similarly, to meet the higher water demand for achieving a greater standard of living and to protect the ever increasing level of investment in housing and industry from disasters, Bangladesh needs a long-term vision, planning and implementation involving all government agencies and ministries that contribute to this objective.</w:t>
      </w:r>
    </w:p>
    <w:p w:rsidR="0043580E" w:rsidRPr="00700B9D" w:rsidRDefault="0043580E" w:rsidP="00700B9D">
      <w:pPr>
        <w:spacing w:line="276" w:lineRule="auto"/>
        <w:jc w:val="both"/>
      </w:pPr>
      <w:r w:rsidRPr="00700B9D">
        <w:rPr>
          <w:rFonts w:cs="Segoe UI"/>
          <w:szCs w:val="19"/>
          <w:lang w:val="en-GB"/>
        </w:rPr>
        <w:t>Due to the large uncertainties with respect to climate change and socio-economic development, planning is being enriched with adaptive strategy making in several deltas in the world. Rather than providing linear recipes, robust and flexible strategies and measures have been taken, with strong institutions and a good knowledge base that allows policy makers and stakeholders to anticipate and decide on the most appropriate investments. Learning from these international experiences, BDP2100 has been similarly developed in light of the many possible future paths that are possible, and is designed to be changed over time as new information becomes available or policy priorities change. So instead of only focusing on short-term ‘trial and error’ actions and projects, the idea is to keep the long-term vision in mind while prioritizing short-term ‘no regret’ actions.</w:t>
      </w:r>
    </w:p>
    <w:p w:rsidR="00F64A6A" w:rsidRDefault="00E6419F" w:rsidP="00F64A6A">
      <w:pPr>
        <w:pStyle w:val="Heading2"/>
        <w:numPr>
          <w:ilvl w:val="0"/>
          <w:numId w:val="0"/>
        </w:numPr>
        <w:ind w:left="720"/>
      </w:pPr>
      <w:bookmarkStart w:id="22" w:name="_Toc474638836"/>
      <w:r w:rsidRPr="00E6419F">
        <w:t xml:space="preserve">Bangladesh </w:t>
      </w:r>
      <w:r w:rsidR="0084775D" w:rsidRPr="009008EC">
        <w:t>Delta Definitions, Hydrological Regions and Hotspots</w:t>
      </w:r>
      <w:bookmarkEnd w:id="19"/>
      <w:bookmarkEnd w:id="22"/>
    </w:p>
    <w:p w:rsidR="00557369" w:rsidRDefault="00F54C6B" w:rsidP="00557369">
      <w:pPr>
        <w:pStyle w:val="BodyText"/>
        <w:spacing w:after="240" w:line="276" w:lineRule="auto"/>
        <w:jc w:val="both"/>
        <w:rPr>
          <w:rFonts w:cs="Times New Roman"/>
          <w:szCs w:val="24"/>
        </w:rPr>
      </w:pPr>
      <w:r w:rsidRPr="006C3E06">
        <w:rPr>
          <w:rFonts w:cs="Times New Roman"/>
          <w:szCs w:val="24"/>
        </w:rPr>
        <w:t xml:space="preserve">The Bangladesh Delta is variously defined in the literature.  </w:t>
      </w:r>
      <w:r w:rsidR="00376FBF" w:rsidRPr="006C3E06">
        <w:rPr>
          <w:rFonts w:cs="Times New Roman"/>
          <w:szCs w:val="24"/>
        </w:rPr>
        <w:t>The different names include the Ganges Delta; the Ganges-Brahmaputra Delta; the Ganges-Brahmaputra-</w:t>
      </w:r>
      <w:r w:rsidR="00376FBF">
        <w:rPr>
          <w:rFonts w:cs="Times New Roman"/>
          <w:szCs w:val="24"/>
        </w:rPr>
        <w:t>Meghna</w:t>
      </w:r>
      <w:r w:rsidR="00376FBF" w:rsidRPr="006C3E06">
        <w:rPr>
          <w:rFonts w:cs="Times New Roman"/>
          <w:szCs w:val="24"/>
        </w:rPr>
        <w:t xml:space="preserve"> Delta; the Padma-Jamuna-Meghna Delta; the Sundarbans Delta; or the Bangladesh Delta.  </w:t>
      </w:r>
      <w:r w:rsidRPr="006C3E06">
        <w:rPr>
          <w:rFonts w:cs="Times New Roman"/>
          <w:szCs w:val="24"/>
        </w:rPr>
        <w:t xml:space="preserve">The various names derive from the geographical congregation of the three mighty, trans-boundary rivers (Ganges, Brahmaputra and the Meghna) and name changes that happen once the concerned river crosses boundary. The three rivers meet together near the Chandpur district </w:t>
      </w:r>
      <w:r w:rsidR="00162320">
        <w:rPr>
          <w:rFonts w:cs="Times New Roman"/>
          <w:szCs w:val="24"/>
        </w:rPr>
        <w:t xml:space="preserve">of Bangladesh and </w:t>
      </w:r>
      <w:r w:rsidR="00162320">
        <w:rPr>
          <w:rFonts w:cs="Times New Roman"/>
          <w:szCs w:val="24"/>
        </w:rPr>
        <w:lastRenderedPageBreak/>
        <w:t>then evacuate</w:t>
      </w:r>
      <w:r w:rsidRPr="006C3E06">
        <w:rPr>
          <w:rFonts w:cs="Times New Roman"/>
          <w:szCs w:val="24"/>
        </w:rPr>
        <w:t xml:space="preserve"> into the Bay of Bengal from around the district of Bhola.</w:t>
      </w:r>
      <w:r w:rsidR="00032BB8">
        <w:rPr>
          <w:rFonts w:cs="Times New Roman"/>
          <w:szCs w:val="24"/>
        </w:rPr>
        <w:t xml:space="preserve"> </w:t>
      </w:r>
      <w:r>
        <w:rPr>
          <w:rFonts w:cs="Times New Roman"/>
          <w:szCs w:val="24"/>
        </w:rPr>
        <w:t>In the proper sense of the term, the delta would actually begin with the distributaries flow southwards to the Bay of Bengal; strictly speaking, the Bangladesh Delta would comprise the lower delta and coastal zone; m</w:t>
      </w:r>
      <w:r w:rsidRPr="006C3E06">
        <w:rPr>
          <w:rFonts w:cs="Times New Roman"/>
          <w:szCs w:val="24"/>
        </w:rPr>
        <w:t xml:space="preserve">ost narrowly conceived, the geographic delta forms the combined Sundarbans region of India and Bangladesh. In terms of location in Bangladesh, this would comprise roughly the three districts of Satkhira, Khulna and Bagerhat. A more meaningful conception of the Delta Region from </w:t>
      </w:r>
      <w:r>
        <w:rPr>
          <w:rFonts w:cs="Times New Roman"/>
          <w:szCs w:val="24"/>
        </w:rPr>
        <w:t xml:space="preserve">a </w:t>
      </w:r>
      <w:r w:rsidRPr="006C3E06">
        <w:rPr>
          <w:rFonts w:cs="Times New Roman"/>
          <w:szCs w:val="24"/>
        </w:rPr>
        <w:t xml:space="preserve">policy perspective </w:t>
      </w:r>
      <w:r w:rsidR="003507C6">
        <w:rPr>
          <w:rFonts w:cs="Times New Roman"/>
          <w:szCs w:val="24"/>
        </w:rPr>
        <w:t>is</w:t>
      </w:r>
      <w:r w:rsidR="00032BB8">
        <w:rPr>
          <w:rFonts w:cs="Times New Roman"/>
          <w:szCs w:val="24"/>
        </w:rPr>
        <w:t xml:space="preserve"> </w:t>
      </w:r>
      <w:r w:rsidRPr="006C3E06">
        <w:rPr>
          <w:rFonts w:cs="Times New Roman"/>
          <w:szCs w:val="24"/>
        </w:rPr>
        <w:t xml:space="preserve">the districts of </w:t>
      </w:r>
      <w:r>
        <w:rPr>
          <w:rFonts w:cs="Times New Roman"/>
          <w:szCs w:val="24"/>
        </w:rPr>
        <w:t xml:space="preserve">the </w:t>
      </w:r>
      <w:r w:rsidRPr="006C3E06">
        <w:rPr>
          <w:rFonts w:cs="Times New Roman"/>
          <w:szCs w:val="24"/>
        </w:rPr>
        <w:t>Southe</w:t>
      </w:r>
      <w:r w:rsidR="00AC1912">
        <w:rPr>
          <w:rFonts w:cs="Times New Roman"/>
          <w:szCs w:val="24"/>
        </w:rPr>
        <w:t xml:space="preserve">rn coastal belt of Bangladesh. </w:t>
      </w:r>
      <w:r w:rsidRPr="006C3E06">
        <w:rPr>
          <w:rFonts w:cs="Times New Roman"/>
          <w:szCs w:val="24"/>
        </w:rPr>
        <w:t xml:space="preserve">A third and more inclusive definition </w:t>
      </w:r>
      <w:r>
        <w:rPr>
          <w:rFonts w:cs="Times New Roman"/>
          <w:szCs w:val="24"/>
        </w:rPr>
        <w:t xml:space="preserve">comprises </w:t>
      </w:r>
      <w:r w:rsidRPr="006C3E06">
        <w:rPr>
          <w:rFonts w:cs="Times New Roman"/>
          <w:szCs w:val="24"/>
        </w:rPr>
        <w:t xml:space="preserve">the combined areas of the Southern coastal belt and the areas surrounding the flows of the three rivers </w:t>
      </w:r>
      <w:r w:rsidR="00557369" w:rsidRPr="006C3E06">
        <w:rPr>
          <w:rFonts w:cs="Times New Roman"/>
          <w:szCs w:val="24"/>
        </w:rPr>
        <w:t>(</w:t>
      </w:r>
      <w:r w:rsidR="00557369">
        <w:rPr>
          <w:rFonts w:cs="Times New Roman"/>
          <w:szCs w:val="24"/>
        </w:rPr>
        <w:t xml:space="preserve">the </w:t>
      </w:r>
      <w:r w:rsidR="00557369" w:rsidRPr="006C3E06">
        <w:rPr>
          <w:rFonts w:cs="Times New Roman"/>
          <w:szCs w:val="24"/>
        </w:rPr>
        <w:t>Ganges-</w:t>
      </w:r>
      <w:r w:rsidR="00557369">
        <w:rPr>
          <w:rFonts w:cs="Times New Roman"/>
          <w:szCs w:val="24"/>
        </w:rPr>
        <w:t xml:space="preserve">the </w:t>
      </w:r>
      <w:r w:rsidR="00557369" w:rsidRPr="006C3E06">
        <w:rPr>
          <w:rFonts w:cs="Times New Roman"/>
          <w:szCs w:val="24"/>
        </w:rPr>
        <w:t>Brahmaputra-</w:t>
      </w:r>
      <w:r w:rsidR="00557369">
        <w:rPr>
          <w:rFonts w:cs="Times New Roman"/>
          <w:szCs w:val="24"/>
        </w:rPr>
        <w:t xml:space="preserve">the </w:t>
      </w:r>
      <w:r w:rsidR="00557369" w:rsidRPr="006C3E06">
        <w:rPr>
          <w:rFonts w:cs="Times New Roman"/>
          <w:szCs w:val="24"/>
        </w:rPr>
        <w:t xml:space="preserve">Meghna or GBM </w:t>
      </w:r>
      <w:r w:rsidR="00557369">
        <w:rPr>
          <w:rFonts w:cs="Times New Roman"/>
          <w:szCs w:val="24"/>
        </w:rPr>
        <w:t xml:space="preserve">Basins </w:t>
      </w:r>
      <w:r w:rsidR="00557369" w:rsidRPr="006C3E06">
        <w:rPr>
          <w:rFonts w:cs="Times New Roman"/>
          <w:szCs w:val="24"/>
        </w:rPr>
        <w:t xml:space="preserve">for short).Finally, the most expansive definition of the Delta is the Bangladesh Delta that </w:t>
      </w:r>
      <w:r w:rsidR="00557369">
        <w:rPr>
          <w:rFonts w:cs="Times New Roman"/>
          <w:szCs w:val="24"/>
        </w:rPr>
        <w:t xml:space="preserve">includes all districts that face various natural hazards owing to the deltaic formation of Bangladesh and the related interface with the vast river networks, the Bay of Bengal and climate change.  </w:t>
      </w:r>
    </w:p>
    <w:p w:rsidR="002C41C1" w:rsidRPr="00C05871" w:rsidRDefault="00160AD2" w:rsidP="00C05871">
      <w:pPr>
        <w:pStyle w:val="BodyText"/>
        <w:spacing w:after="240" w:line="276" w:lineRule="auto"/>
        <w:jc w:val="both"/>
        <w:rPr>
          <w:rFonts w:cs="Times New Roman"/>
          <w:szCs w:val="24"/>
        </w:rPr>
      </w:pPr>
      <w:r>
        <w:rPr>
          <w:rFonts w:cs="Times New Roman"/>
          <w:szCs w:val="24"/>
        </w:rPr>
        <w:t>Since natural hazard and climate change risks affect almost the entire Bangladesh owing to its Deltaic formation and since integrated water management in the context of its interaction with climate change, environment, ecology, bio-diversity, agriculture and land management is an integral part of the BDP</w:t>
      </w:r>
      <w:r w:rsidR="00AA44C9" w:rsidRPr="00893785">
        <w:rPr>
          <w:rFonts w:cs="Times New Roman"/>
          <w:szCs w:val="24"/>
        </w:rPr>
        <w:t>2100</w:t>
      </w:r>
      <w:r w:rsidR="00C05871">
        <w:rPr>
          <w:rFonts w:cs="Times New Roman"/>
          <w:szCs w:val="24"/>
        </w:rPr>
        <w:t>, t</w:t>
      </w:r>
      <w:r>
        <w:rPr>
          <w:rFonts w:cs="Times New Roman"/>
          <w:szCs w:val="24"/>
        </w:rPr>
        <w:t xml:space="preserve">he </w:t>
      </w:r>
      <w:r w:rsidR="00557369">
        <w:rPr>
          <w:rFonts w:cs="Times New Roman"/>
          <w:szCs w:val="24"/>
        </w:rPr>
        <w:t xml:space="preserve">Plan </w:t>
      </w:r>
      <w:r>
        <w:rPr>
          <w:rFonts w:cs="Times New Roman"/>
          <w:szCs w:val="24"/>
        </w:rPr>
        <w:t>has adopted the most expansive</w:t>
      </w:r>
      <w:r w:rsidR="0074297C" w:rsidRPr="00893785">
        <w:rPr>
          <w:rFonts w:cs="Times New Roman"/>
          <w:szCs w:val="24"/>
        </w:rPr>
        <w:t xml:space="preserve"> definition of the Delta Regi</w:t>
      </w:r>
      <w:r w:rsidR="00023DF2" w:rsidRPr="00893785">
        <w:rPr>
          <w:rFonts w:cs="Times New Roman"/>
          <w:szCs w:val="24"/>
        </w:rPr>
        <w:t>on</w:t>
      </w:r>
      <w:r>
        <w:rPr>
          <w:rFonts w:cs="Times New Roman"/>
          <w:szCs w:val="24"/>
        </w:rPr>
        <w:t>.  F</w:t>
      </w:r>
      <w:r w:rsidR="00AA44C9" w:rsidRPr="00032BB8">
        <w:rPr>
          <w:rFonts w:cs="Times New Roman"/>
          <w:szCs w:val="24"/>
        </w:rPr>
        <w:t>or water resource planning purposes, Bangladesh has been divided into 8 hydrological regions, which are the Northwest (NW), Northeast (NE), North-central (NC), Southeast (SE), South-central (SC), Southwest (SW), Eastern Hills (EH) and the main Rivers and Estuaries (RE).</w:t>
      </w:r>
      <w:r w:rsidR="00C52DC4">
        <w:rPr>
          <w:rFonts w:cs="Times New Roman"/>
          <w:szCs w:val="24"/>
        </w:rPr>
        <w:t xml:space="preserve"> The 8 hydrolo</w:t>
      </w:r>
      <w:r w:rsidR="008E7083">
        <w:rPr>
          <w:rFonts w:cs="Times New Roman"/>
          <w:szCs w:val="24"/>
        </w:rPr>
        <w:t>gical regions are shown in Map</w:t>
      </w:r>
      <w:r w:rsidR="00C52DC4">
        <w:rPr>
          <w:rFonts w:cs="Times New Roman"/>
          <w:szCs w:val="24"/>
        </w:rPr>
        <w:t xml:space="preserve"> </w:t>
      </w:r>
      <w:r w:rsidR="00EB6F18">
        <w:rPr>
          <w:rFonts w:cs="Times New Roman"/>
          <w:szCs w:val="24"/>
        </w:rPr>
        <w:t>1.</w:t>
      </w:r>
      <w:r w:rsidR="00C52DC4">
        <w:rPr>
          <w:rFonts w:cs="Times New Roman"/>
          <w:szCs w:val="24"/>
        </w:rPr>
        <w:t xml:space="preserve">1. </w:t>
      </w:r>
      <w:r w:rsidR="008E7083">
        <w:rPr>
          <w:rFonts w:cs="Times New Roman"/>
          <w:szCs w:val="24"/>
        </w:rPr>
        <w:t xml:space="preserve">Using </w:t>
      </w:r>
      <w:r w:rsidR="002B5567">
        <w:rPr>
          <w:rFonts w:cs="Times New Roman"/>
          <w:szCs w:val="24"/>
        </w:rPr>
        <w:t>the 8 hydrological zones a</w:t>
      </w:r>
      <w:r w:rsidR="00C05871">
        <w:rPr>
          <w:rFonts w:cs="Times New Roman"/>
          <w:szCs w:val="24"/>
        </w:rPr>
        <w:t xml:space="preserve">s the starting point, </w:t>
      </w:r>
      <w:r>
        <w:rPr>
          <w:rFonts w:cs="Times New Roman"/>
          <w:szCs w:val="24"/>
        </w:rPr>
        <w:t xml:space="preserve">the BDP2100 </w:t>
      </w:r>
      <w:r w:rsidR="00C05871">
        <w:rPr>
          <w:rFonts w:cs="Times New Roman"/>
          <w:szCs w:val="24"/>
        </w:rPr>
        <w:t>sharpens the focus</w:t>
      </w:r>
      <w:r w:rsidR="002B5567">
        <w:rPr>
          <w:rFonts w:cs="Times New Roman"/>
          <w:szCs w:val="24"/>
        </w:rPr>
        <w:t xml:space="preserve"> on the magnitude of the natural hazard vulnerabilities facing each of the hydrological regions. This has led to a modified grouping of districts and areas facing similar </w:t>
      </w:r>
      <w:r w:rsidR="001C27B4">
        <w:rPr>
          <w:rFonts w:cs="Times New Roman"/>
          <w:szCs w:val="24"/>
        </w:rPr>
        <w:t xml:space="preserve">risks of natural hazards.  These groups are called “Hotspots” that simply define a broad grouping of districts and areas facing similar natural hazard risks.  </w:t>
      </w:r>
      <w:r w:rsidR="001C27B4" w:rsidRPr="00032BB8">
        <w:rPr>
          <w:rFonts w:cs="Times New Roman"/>
          <w:szCs w:val="24"/>
        </w:rPr>
        <w:t>These Hotspots are prototypical</w:t>
      </w:r>
      <w:r w:rsidR="001C27B4">
        <w:rPr>
          <w:rFonts w:cs="Times New Roman"/>
          <w:szCs w:val="24"/>
        </w:rPr>
        <w:t xml:space="preserve"> areas</w:t>
      </w:r>
      <w:r w:rsidR="001C27B4" w:rsidRPr="00032BB8">
        <w:rPr>
          <w:rFonts w:cs="Times New Roman"/>
          <w:szCs w:val="24"/>
        </w:rPr>
        <w:t xml:space="preserve"> where similar </w:t>
      </w:r>
      <w:r w:rsidR="001C27B4">
        <w:rPr>
          <w:rFonts w:cs="Times New Roman"/>
          <w:szCs w:val="24"/>
        </w:rPr>
        <w:t xml:space="preserve">hydrological and climate-change vulnerability </w:t>
      </w:r>
      <w:r w:rsidR="001C27B4" w:rsidRPr="00032BB8">
        <w:rPr>
          <w:rFonts w:cs="Times New Roman"/>
          <w:szCs w:val="24"/>
        </w:rPr>
        <w:t xml:space="preserve">characteristics and problems converge (such as </w:t>
      </w:r>
      <w:r w:rsidR="001C27B4">
        <w:rPr>
          <w:rFonts w:cs="Times New Roman"/>
          <w:szCs w:val="24"/>
        </w:rPr>
        <w:t>sea-level rise, river erosion</w:t>
      </w:r>
      <w:r w:rsidR="001C27B4" w:rsidRPr="00032BB8">
        <w:rPr>
          <w:rFonts w:cs="Times New Roman"/>
          <w:szCs w:val="24"/>
        </w:rPr>
        <w:t xml:space="preserve">, </w:t>
      </w:r>
      <w:r w:rsidR="001C27B4">
        <w:rPr>
          <w:rFonts w:cs="Times New Roman"/>
          <w:szCs w:val="24"/>
        </w:rPr>
        <w:t xml:space="preserve">source of flooding, </w:t>
      </w:r>
      <w:r w:rsidR="001C27B4" w:rsidRPr="00032BB8">
        <w:rPr>
          <w:rFonts w:cs="Times New Roman"/>
          <w:szCs w:val="24"/>
        </w:rPr>
        <w:t>water shortages, siltation constraints, e</w:t>
      </w:r>
      <w:r w:rsidR="001C27B4">
        <w:rPr>
          <w:rFonts w:cs="Times New Roman"/>
          <w:szCs w:val="24"/>
        </w:rPr>
        <w:t>tc.)</w:t>
      </w:r>
      <w:r w:rsidR="001C27B4" w:rsidRPr="00032BB8">
        <w:rPr>
          <w:rFonts w:cs="Times New Roman"/>
          <w:szCs w:val="24"/>
        </w:rPr>
        <w:t>.</w:t>
      </w:r>
      <w:r w:rsidR="001C27B4">
        <w:rPr>
          <w:rFonts w:cs="Times New Roman"/>
          <w:szCs w:val="24"/>
        </w:rPr>
        <w:t xml:space="preserve">  These are broad definition and the intensity of hazard and underlying risks can vary considerably among districts and sub-districts within the hotspot zone. </w:t>
      </w:r>
    </w:p>
    <w:p w:rsidR="00E038EA" w:rsidRDefault="00E038EA">
      <w:pPr>
        <w:rPr>
          <w:rFonts w:eastAsia="Times New Roman" w:cs="Times New Roman"/>
          <w:b/>
          <w:szCs w:val="24"/>
          <w:lang w:val="en-GB"/>
        </w:rPr>
      </w:pPr>
      <w:r>
        <w:br w:type="page"/>
      </w:r>
    </w:p>
    <w:p w:rsidR="00644B55" w:rsidRPr="00D75285" w:rsidRDefault="00EB6F18" w:rsidP="0036657D">
      <w:pPr>
        <w:pStyle w:val="Heading6"/>
      </w:pPr>
      <w:bookmarkStart w:id="23" w:name="_Toc474639281"/>
      <w:r>
        <w:lastRenderedPageBreak/>
        <w:t>Map 1.1</w:t>
      </w:r>
      <w:r w:rsidR="00644B55" w:rsidRPr="00D75285">
        <w:t xml:space="preserve">: </w:t>
      </w:r>
      <w:r w:rsidR="00644B55">
        <w:t>Hydrological R</w:t>
      </w:r>
      <w:r w:rsidR="00644B55" w:rsidRPr="00D75285">
        <w:t>egions of Bangladesh</w:t>
      </w:r>
      <w:bookmarkEnd w:id="23"/>
      <w:r w:rsidR="00644B55" w:rsidRPr="00D75285">
        <w:t xml:space="preserve"> </w:t>
      </w:r>
    </w:p>
    <w:p w:rsidR="00644B55" w:rsidRPr="00F74113" w:rsidRDefault="001A12B2" w:rsidP="00644B55">
      <w:pPr>
        <w:pStyle w:val="TablesandFigures"/>
        <w:spacing w:line="276" w:lineRule="auto"/>
        <w:jc w:val="center"/>
        <w:rPr>
          <w:rFonts w:ascii="Times New Roman" w:hAnsi="Times New Roman"/>
          <w:b/>
          <w:sz w:val="20"/>
          <w:szCs w:val="20"/>
        </w:rPr>
      </w:pPr>
      <w:r w:rsidRPr="001A12B2">
        <w:rPr>
          <w:rFonts w:ascii="Segoe UI" w:eastAsia="Segoe UI" w:hAnsi="Segoe UI" w:cs="Segoe UI"/>
          <w:noProof/>
          <w:sz w:val="20"/>
          <w:szCs w:val="20"/>
        </w:rPr>
      </w:r>
      <w:r w:rsidRPr="001A12B2">
        <w:rPr>
          <w:rFonts w:ascii="Segoe UI" w:eastAsia="Segoe UI" w:hAnsi="Segoe UI" w:cs="Segoe UI"/>
          <w:noProof/>
          <w:sz w:val="20"/>
          <w:szCs w:val="20"/>
        </w:rPr>
        <w:pict>
          <v:group id="Group 6" o:spid="_x0000_s1203" style="width:6in;height:503.25pt;mso-position-horizontal-relative:char;mso-position-vertical-relative:line" coordsize="8725,123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206" type="#_x0000_t75" style="position:absolute;left:20;top:20;width:8685;height:122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Q7VHAAAAA2wAAAA8AAABkcnMvZG93bnJldi54bWxET91qwjAUvhd8h3CE3WmqExm1qcjAsatJ&#10;Ox/gtDm2xeakJJmtPv1yMdjlx/efHSbTizs531lWsF4lIIhrqztuFFy+T8s3ED4ga+wtk4IHeTjk&#10;81mGqbYjF3QvQyNiCPsUFbQhDKmUvm7JoF/ZgThyV+sMhghdI7XDMYabXm6SZCcNdhwbWhzovaX6&#10;Vv4YBe45Hj/Og9nW1WlTjK6rvnaXSqmXxXTcgwg0hX/xn/tTK3iNY+OX+ANk/g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BDtUcAAAADbAAAADwAAAAAAAAAAAAAAAACfAgAA&#10;ZHJzL2Rvd25yZXYueG1sUEsFBgAAAAAEAAQA9wAAAIwDAAAAAA==&#10;">
              <v:imagedata r:id="rId20" o:title=""/>
            </v:shape>
            <v:group id="Group 8" o:spid="_x0000_s1204" style="position:absolute;left:10;top:10;width:8705;height:12305" coordorigin="10,10" coordsize="8705,12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Freeform 9" o:spid="_x0000_s1205" style="position:absolute;left:10;top:10;width:8705;height:12305;visibility:visible;mso-wrap-style:square;v-text-anchor:top" coordsize="8705,12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tD7cYA&#10;AADbAAAADwAAAGRycy9kb3ducmV2LnhtbESPT2vCQBTE74LfYXlCL6IbS5U2ZiMiFKS3+qfS2yP7&#10;zKbNvo3Zrab99F1B8DjMzG+YbNHZWpyp9ZVjBZNxAoK4cLriUsFu+zp6BuEDssbaMSn4JQ+LvN/L&#10;MNXuwu903oRSRAj7FBWYEJpUSl8YsujHriGO3tG1FkOUbSl1i5cIt7V8TJKZtFhxXDDY0MpQ8b35&#10;sQoOJilPa/fythx+6GZVf+6/ur+9Ug+DbjkHEagL9/CtvdYKnqZw/RJ/gM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tD7cYAAADbAAAADwAAAAAAAAAAAAAAAACYAgAAZHJz&#10;L2Rvd25yZXYueG1sUEsFBgAAAAAEAAQA9QAAAIsDAAAAAA==&#10;" path="m,l8705,r,12305l,12305,,xe" filled="f" strokecolor="gray" strokeweight="1pt">
                <v:path arrowok="t" o:connecttype="custom" o:connectlocs="0,10;8705,10;8705,12315;0,12315;0,10" o:connectangles="0,0,0,0,0"/>
              </v:shape>
            </v:group>
            <w10:wrap type="none"/>
            <w10:anchorlock/>
          </v:group>
        </w:pict>
      </w:r>
    </w:p>
    <w:p w:rsidR="00644B55" w:rsidRPr="00644B55" w:rsidRDefault="00644B55" w:rsidP="00692127">
      <w:pPr>
        <w:pStyle w:val="BodyText"/>
        <w:spacing w:before="120" w:after="0" w:line="276" w:lineRule="auto"/>
        <w:ind w:left="360"/>
        <w:jc w:val="both"/>
        <w:rPr>
          <w:rFonts w:cs="Times New Roman"/>
          <w:b/>
          <w:i/>
          <w:sz w:val="20"/>
          <w:szCs w:val="24"/>
        </w:rPr>
      </w:pPr>
      <w:r w:rsidRPr="008A428D">
        <w:rPr>
          <w:rFonts w:cs="Times New Roman"/>
          <w:b/>
          <w:i/>
          <w:sz w:val="20"/>
          <w:szCs w:val="24"/>
        </w:rPr>
        <w:t>Source:</w:t>
      </w:r>
      <w:r>
        <w:rPr>
          <w:rFonts w:cs="Times New Roman"/>
          <w:b/>
          <w:i/>
          <w:sz w:val="20"/>
          <w:szCs w:val="24"/>
        </w:rPr>
        <w:t xml:space="preserve"> </w:t>
      </w:r>
      <w:r w:rsidRPr="008A428D">
        <w:rPr>
          <w:rFonts w:cs="Times New Roman"/>
          <w:b/>
          <w:i/>
          <w:sz w:val="20"/>
          <w:szCs w:val="24"/>
        </w:rPr>
        <w:t>CEGIS</w:t>
      </w:r>
    </w:p>
    <w:p w:rsidR="00700B9D" w:rsidRPr="00700B9D" w:rsidRDefault="00700B9D" w:rsidP="00692127">
      <w:pPr>
        <w:pStyle w:val="BodyText"/>
        <w:spacing w:after="240" w:line="276" w:lineRule="auto"/>
        <w:jc w:val="both"/>
        <w:rPr>
          <w:rFonts w:cs="Times New Roman"/>
          <w:sz w:val="4"/>
          <w:szCs w:val="24"/>
        </w:rPr>
      </w:pPr>
    </w:p>
    <w:p w:rsidR="00F119CC" w:rsidRDefault="00D45B0F" w:rsidP="00692127">
      <w:pPr>
        <w:pStyle w:val="BodyText"/>
        <w:spacing w:after="240" w:line="276" w:lineRule="auto"/>
        <w:jc w:val="both"/>
        <w:rPr>
          <w:rFonts w:cs="Times New Roman"/>
          <w:szCs w:val="24"/>
        </w:rPr>
      </w:pPr>
      <w:r>
        <w:rPr>
          <w:rFonts w:cs="Times New Roman"/>
          <w:szCs w:val="24"/>
        </w:rPr>
        <w:t xml:space="preserve">The aggregate hotspot grouping provides a convenient </w:t>
      </w:r>
      <w:r w:rsidR="00160AD2">
        <w:rPr>
          <w:rFonts w:cs="Times New Roman"/>
          <w:szCs w:val="24"/>
        </w:rPr>
        <w:t xml:space="preserve">analytical </w:t>
      </w:r>
      <w:r>
        <w:rPr>
          <w:rFonts w:cs="Times New Roman"/>
          <w:szCs w:val="24"/>
        </w:rPr>
        <w:t xml:space="preserve">tool to summarize certain broad socio-economic and common risk </w:t>
      </w:r>
      <w:r w:rsidR="008E7083">
        <w:rPr>
          <w:rFonts w:cs="Times New Roman"/>
          <w:szCs w:val="24"/>
        </w:rPr>
        <w:t xml:space="preserve">profile. </w:t>
      </w:r>
      <w:r w:rsidR="004D7998">
        <w:rPr>
          <w:rFonts w:cs="Times New Roman"/>
          <w:szCs w:val="24"/>
        </w:rPr>
        <w:t>They are only a first step of analy</w:t>
      </w:r>
      <w:r w:rsidR="008E7083">
        <w:rPr>
          <w:rFonts w:cs="Times New Roman"/>
          <w:szCs w:val="24"/>
        </w:rPr>
        <w:t>sis. The risk profile and magnitude</w:t>
      </w:r>
      <w:r w:rsidR="004D7998">
        <w:rPr>
          <w:rFonts w:cs="Times New Roman"/>
          <w:szCs w:val="24"/>
        </w:rPr>
        <w:t xml:space="preserve"> of vulnerabilities facing </w:t>
      </w:r>
      <w:r w:rsidR="008E7083">
        <w:rPr>
          <w:rFonts w:cs="Times New Roman"/>
          <w:szCs w:val="24"/>
        </w:rPr>
        <w:t xml:space="preserve">a district within each hotspot and between hotspot districts vary considerably.  In some cases, a further disaggregation to the subdivision/thana level may be necessary to understand in detail the risk profile. Accordingly, a risk profile </w:t>
      </w:r>
      <w:r w:rsidR="00C52DC4" w:rsidRPr="00D75285">
        <w:rPr>
          <w:rFonts w:cs="Times New Roman"/>
          <w:szCs w:val="24"/>
        </w:rPr>
        <w:t xml:space="preserve">at the </w:t>
      </w:r>
      <w:r w:rsidR="004D7998">
        <w:rPr>
          <w:rFonts w:cs="Times New Roman"/>
          <w:szCs w:val="24"/>
        </w:rPr>
        <w:t xml:space="preserve">district </w:t>
      </w:r>
      <w:r w:rsidR="004D7998">
        <w:rPr>
          <w:rFonts w:cs="Times New Roman"/>
          <w:szCs w:val="24"/>
        </w:rPr>
        <w:lastRenderedPageBreak/>
        <w:t>level, and where necessary at the sub-</w:t>
      </w:r>
      <w:r w:rsidR="004D7998" w:rsidRPr="004D7998">
        <w:rPr>
          <w:rFonts w:cs="Times New Roman"/>
          <w:szCs w:val="24"/>
        </w:rPr>
        <w:t>district</w:t>
      </w:r>
      <w:r w:rsidR="008E7083">
        <w:rPr>
          <w:rFonts w:cs="Times New Roman"/>
          <w:szCs w:val="24"/>
        </w:rPr>
        <w:t xml:space="preserve"> level, is developed and discussed in </w:t>
      </w:r>
      <w:r w:rsidR="004D7998" w:rsidRPr="004D7998">
        <w:rPr>
          <w:rFonts w:cs="Times New Roman"/>
          <w:szCs w:val="24"/>
        </w:rPr>
        <w:t>considerable detail in chapter 2</w:t>
      </w:r>
      <w:r w:rsidR="00644B55">
        <w:rPr>
          <w:rFonts w:cs="Times New Roman"/>
          <w:szCs w:val="24"/>
        </w:rPr>
        <w:t>,</w:t>
      </w:r>
      <w:r w:rsidR="004D7998" w:rsidRPr="004D7998">
        <w:rPr>
          <w:rFonts w:cs="Times New Roman"/>
          <w:szCs w:val="24"/>
        </w:rPr>
        <w:t xml:space="preserve"> while at </w:t>
      </w:r>
      <w:r w:rsidR="00C52DC4" w:rsidRPr="004D7998">
        <w:rPr>
          <w:rFonts w:cs="Times New Roman"/>
          <w:szCs w:val="24"/>
        </w:rPr>
        <w:t xml:space="preserve">same time maintaining the thematic focus on hotspot areas. </w:t>
      </w:r>
      <w:r w:rsidR="004D7998">
        <w:rPr>
          <w:rFonts w:cs="Times New Roman"/>
          <w:szCs w:val="24"/>
        </w:rPr>
        <w:t xml:space="preserve">Needless to say the hotspots are strongly correlated to the </w:t>
      </w:r>
      <w:r w:rsidR="00F119CC">
        <w:rPr>
          <w:rFonts w:cs="Times New Roman"/>
          <w:szCs w:val="24"/>
        </w:rPr>
        <w:t>Hydrological regions.</w:t>
      </w:r>
    </w:p>
    <w:p w:rsidR="00811017" w:rsidRPr="00AB7941" w:rsidRDefault="00F119CC" w:rsidP="004D7998">
      <w:pPr>
        <w:pStyle w:val="BodyText"/>
        <w:spacing w:after="0" w:line="276" w:lineRule="auto"/>
        <w:jc w:val="both"/>
        <w:rPr>
          <w:b/>
          <w:sz w:val="2"/>
          <w:szCs w:val="2"/>
        </w:rPr>
      </w:pPr>
      <w:r>
        <w:rPr>
          <w:rFonts w:cs="Times New Roman"/>
          <w:szCs w:val="24"/>
        </w:rPr>
        <w:t xml:space="preserve"> </w:t>
      </w:r>
      <w:r w:rsidR="004D7998">
        <w:rPr>
          <w:rFonts w:cs="Times New Roman"/>
          <w:szCs w:val="24"/>
        </w:rPr>
        <w:t xml:space="preserve">  </w:t>
      </w:r>
    </w:p>
    <w:p w:rsidR="00811017" w:rsidRPr="00032BB8" w:rsidRDefault="00811017" w:rsidP="00F54C6B">
      <w:pPr>
        <w:pStyle w:val="TablesandFigures"/>
        <w:jc w:val="center"/>
        <w:rPr>
          <w:rFonts w:ascii="Times New Roman" w:hAnsi="Times New Roman"/>
          <w:b/>
          <w:sz w:val="6"/>
          <w:szCs w:val="20"/>
        </w:rPr>
      </w:pPr>
    </w:p>
    <w:p w:rsidR="00557369" w:rsidRPr="00BB5CCF" w:rsidRDefault="00557369" w:rsidP="00557369">
      <w:pPr>
        <w:pStyle w:val="BodyText"/>
        <w:spacing w:after="240" w:line="276" w:lineRule="auto"/>
        <w:jc w:val="both"/>
        <w:rPr>
          <w:rFonts w:cs="Times New Roman"/>
          <w:szCs w:val="24"/>
        </w:rPr>
      </w:pPr>
      <w:r>
        <w:rPr>
          <w:rFonts w:cs="Times New Roman"/>
          <w:szCs w:val="24"/>
        </w:rPr>
        <w:t>The Six Hotspots are</w:t>
      </w:r>
      <w:r>
        <w:rPr>
          <w:rStyle w:val="FootnoteReference"/>
          <w:rFonts w:cs="Times New Roman"/>
          <w:szCs w:val="24"/>
        </w:rPr>
        <w:footnoteReference w:id="1"/>
      </w:r>
      <w:r>
        <w:rPr>
          <w:rFonts w:cs="Times New Roman"/>
          <w:szCs w:val="24"/>
        </w:rPr>
        <w:t>:</w:t>
      </w:r>
    </w:p>
    <w:p w:rsidR="00557369" w:rsidRPr="00E74488" w:rsidRDefault="00557369" w:rsidP="00557369">
      <w:pPr>
        <w:pStyle w:val="ListParagraph"/>
        <w:numPr>
          <w:ilvl w:val="0"/>
          <w:numId w:val="1"/>
        </w:numPr>
        <w:spacing w:line="276" w:lineRule="auto"/>
        <w:jc w:val="both"/>
        <w:rPr>
          <w:rFonts w:cs="Times New Roman"/>
          <w:szCs w:val="20"/>
        </w:rPr>
      </w:pPr>
      <w:r w:rsidRPr="00E74488">
        <w:rPr>
          <w:rFonts w:cs="Times New Roman"/>
          <w:szCs w:val="20"/>
        </w:rPr>
        <w:t xml:space="preserve">The Barind and Drought Prone Region. </w:t>
      </w:r>
    </w:p>
    <w:p w:rsidR="00557369" w:rsidRPr="00E74488" w:rsidRDefault="00557369" w:rsidP="00557369">
      <w:pPr>
        <w:pStyle w:val="ListParagraph"/>
        <w:numPr>
          <w:ilvl w:val="0"/>
          <w:numId w:val="1"/>
        </w:numPr>
        <w:spacing w:line="276" w:lineRule="auto"/>
        <w:jc w:val="both"/>
        <w:rPr>
          <w:rFonts w:cs="Times New Roman"/>
          <w:szCs w:val="20"/>
        </w:rPr>
      </w:pPr>
      <w:r w:rsidRPr="00E74488">
        <w:rPr>
          <w:rFonts w:cs="Times New Roman"/>
          <w:szCs w:val="20"/>
        </w:rPr>
        <w:t>The Chittagong Hill Tracts</w:t>
      </w:r>
      <w:r>
        <w:rPr>
          <w:rFonts w:cs="Times New Roman"/>
          <w:szCs w:val="20"/>
        </w:rPr>
        <w:t xml:space="preserve"> (CHT)</w:t>
      </w:r>
      <w:r w:rsidRPr="00E74488">
        <w:rPr>
          <w:rFonts w:cs="Times New Roman"/>
          <w:szCs w:val="20"/>
        </w:rPr>
        <w:t>.</w:t>
      </w:r>
    </w:p>
    <w:p w:rsidR="00557369" w:rsidRPr="00E74488" w:rsidRDefault="00557369" w:rsidP="00557369">
      <w:pPr>
        <w:pStyle w:val="ListParagraph"/>
        <w:numPr>
          <w:ilvl w:val="0"/>
          <w:numId w:val="1"/>
        </w:numPr>
        <w:spacing w:line="276" w:lineRule="auto"/>
        <w:jc w:val="both"/>
        <w:rPr>
          <w:rFonts w:cs="Times New Roman"/>
          <w:szCs w:val="20"/>
        </w:rPr>
      </w:pPr>
      <w:r w:rsidRPr="00E74488">
        <w:rPr>
          <w:rFonts w:cs="Times New Roman"/>
          <w:szCs w:val="20"/>
        </w:rPr>
        <w:t>The Coastal Zone.</w:t>
      </w:r>
    </w:p>
    <w:p w:rsidR="00557369" w:rsidRPr="00E74488" w:rsidRDefault="00557369" w:rsidP="00557369">
      <w:pPr>
        <w:pStyle w:val="ListParagraph"/>
        <w:numPr>
          <w:ilvl w:val="0"/>
          <w:numId w:val="1"/>
        </w:numPr>
        <w:spacing w:line="276" w:lineRule="auto"/>
        <w:jc w:val="both"/>
        <w:rPr>
          <w:rFonts w:cs="Times New Roman"/>
          <w:szCs w:val="20"/>
        </w:rPr>
      </w:pPr>
      <w:r>
        <w:rPr>
          <w:rFonts w:cs="Times New Roman"/>
          <w:szCs w:val="20"/>
        </w:rPr>
        <w:t>The Haor Region</w:t>
      </w:r>
      <w:r w:rsidRPr="00E74488">
        <w:rPr>
          <w:rFonts w:cs="Times New Roman"/>
          <w:szCs w:val="20"/>
        </w:rPr>
        <w:t>.</w:t>
      </w:r>
    </w:p>
    <w:p w:rsidR="00557369" w:rsidRPr="00E74488" w:rsidRDefault="00557369" w:rsidP="00557369">
      <w:pPr>
        <w:pStyle w:val="ListParagraph"/>
        <w:numPr>
          <w:ilvl w:val="0"/>
          <w:numId w:val="1"/>
        </w:numPr>
        <w:spacing w:line="276" w:lineRule="auto"/>
        <w:jc w:val="both"/>
        <w:rPr>
          <w:rFonts w:cs="Times New Roman"/>
          <w:szCs w:val="20"/>
        </w:rPr>
      </w:pPr>
      <w:r>
        <w:rPr>
          <w:rFonts w:cs="Times New Roman"/>
          <w:szCs w:val="20"/>
        </w:rPr>
        <w:t>Rivers and Estuaries</w:t>
      </w:r>
      <w:r w:rsidRPr="00E74488">
        <w:rPr>
          <w:rFonts w:cs="Times New Roman"/>
          <w:szCs w:val="20"/>
        </w:rPr>
        <w:t>.</w:t>
      </w:r>
    </w:p>
    <w:p w:rsidR="00557369" w:rsidRDefault="00557369" w:rsidP="00557369">
      <w:pPr>
        <w:pStyle w:val="ListParagraph"/>
        <w:numPr>
          <w:ilvl w:val="0"/>
          <w:numId w:val="1"/>
        </w:numPr>
        <w:spacing w:line="276" w:lineRule="auto"/>
        <w:jc w:val="both"/>
        <w:rPr>
          <w:rFonts w:cs="Times New Roman"/>
          <w:szCs w:val="20"/>
        </w:rPr>
      </w:pPr>
      <w:r w:rsidRPr="00E74488">
        <w:rPr>
          <w:rFonts w:cs="Times New Roman"/>
          <w:szCs w:val="20"/>
        </w:rPr>
        <w:t>The Urban Areas.</w:t>
      </w:r>
    </w:p>
    <w:p w:rsidR="00AB7941" w:rsidRPr="00AB7941" w:rsidRDefault="00AB7941" w:rsidP="00692127">
      <w:pPr>
        <w:pStyle w:val="ListParagraph"/>
        <w:spacing w:line="276" w:lineRule="auto"/>
        <w:contextualSpacing w:val="0"/>
        <w:jc w:val="both"/>
        <w:rPr>
          <w:rFonts w:cs="Times New Roman"/>
          <w:sz w:val="8"/>
          <w:szCs w:val="4"/>
        </w:rPr>
      </w:pPr>
    </w:p>
    <w:p w:rsidR="00AB7941" w:rsidRDefault="00AB7941" w:rsidP="00692127">
      <w:pPr>
        <w:pStyle w:val="ListParagraph"/>
        <w:spacing w:line="276" w:lineRule="auto"/>
        <w:ind w:left="0"/>
        <w:contextualSpacing w:val="0"/>
        <w:jc w:val="both"/>
        <w:rPr>
          <w:rFonts w:cs="Times New Roman"/>
          <w:szCs w:val="20"/>
        </w:rPr>
      </w:pPr>
      <w:r>
        <w:rPr>
          <w:rFonts w:cs="Times New Roman"/>
          <w:szCs w:val="20"/>
        </w:rPr>
        <w:t>The logi</w:t>
      </w:r>
      <w:r w:rsidR="00C05871">
        <w:rPr>
          <w:rFonts w:cs="Times New Roman"/>
          <w:szCs w:val="20"/>
        </w:rPr>
        <w:t>c of hotspot grouping has significant analytical merit</w:t>
      </w:r>
      <w:r>
        <w:rPr>
          <w:rFonts w:cs="Times New Roman"/>
          <w:szCs w:val="20"/>
        </w:rPr>
        <w:t>. The climate risks on coastal districts are broadly similar and should be grouped as such rather than distribute them across three regions that also include non-coastal districts.  Similarly, the water and climate change problems of CHT are much different from Chittagong and Cox’s Bazar.  The latter two face the hazards of being a part of the coastal districts. Furthermore, the urban metropolitan divisional headquarter districts face common water challenges and it makes sense to group them together.</w:t>
      </w:r>
    </w:p>
    <w:p w:rsidR="00692127" w:rsidRDefault="000C5E34" w:rsidP="001C27B4">
      <w:pPr>
        <w:pStyle w:val="ListParagraph"/>
        <w:spacing w:line="276" w:lineRule="auto"/>
        <w:ind w:left="0"/>
        <w:contextualSpacing w:val="0"/>
        <w:jc w:val="both"/>
        <w:rPr>
          <w:rFonts w:cs="Times New Roman"/>
          <w:szCs w:val="20"/>
        </w:rPr>
      </w:pPr>
      <w:r>
        <w:rPr>
          <w:rFonts w:cs="Times New Roman"/>
          <w:szCs w:val="20"/>
        </w:rPr>
        <w:t xml:space="preserve">Needless to say, there is nothing water-tight about the hotspot definition and there is little gain from applying a microscopic view to this analytical construct. The more important point is to focus on the associated vulnerabilities, i.e. whether they have been captured adequately, and link these vulnerabilities to the suggested strategies and policy interventions. The main point is that unless all delta major vulnerabilities are identified and strategies and policies address these specific vulnerabilities, the Delta Plan </w:t>
      </w:r>
      <w:r w:rsidR="001C27B4">
        <w:rPr>
          <w:rFonts w:cs="Times New Roman"/>
          <w:szCs w:val="20"/>
        </w:rPr>
        <w:t>will be an incomplete strategy.</w:t>
      </w:r>
    </w:p>
    <w:p w:rsidR="001C27B4" w:rsidRDefault="00C05871" w:rsidP="0015212B">
      <w:pPr>
        <w:pStyle w:val="BodyText"/>
        <w:spacing w:after="240" w:line="276" w:lineRule="auto"/>
        <w:jc w:val="both"/>
        <w:rPr>
          <w:rFonts w:cs="Times New Roman"/>
          <w:szCs w:val="24"/>
        </w:rPr>
      </w:pPr>
      <w:r>
        <w:rPr>
          <w:rFonts w:cs="Times New Roman"/>
          <w:szCs w:val="24"/>
        </w:rPr>
        <w:t>By definition, the hotspots are strongly correlated to the hydrological regions. The interface between these two classifications is summarized in Table 1.1.</w:t>
      </w:r>
    </w:p>
    <w:p w:rsidR="00700B9D" w:rsidRDefault="00700B9D" w:rsidP="0015212B">
      <w:pPr>
        <w:pStyle w:val="BodyText"/>
        <w:spacing w:after="240" w:line="276" w:lineRule="auto"/>
        <w:jc w:val="both"/>
        <w:rPr>
          <w:rFonts w:cs="Times New Roman"/>
          <w:szCs w:val="24"/>
        </w:rPr>
      </w:pPr>
    </w:p>
    <w:p w:rsidR="00700B9D" w:rsidRDefault="00700B9D" w:rsidP="0015212B">
      <w:pPr>
        <w:pStyle w:val="BodyText"/>
        <w:spacing w:after="240" w:line="276" w:lineRule="auto"/>
        <w:jc w:val="both"/>
        <w:rPr>
          <w:rFonts w:cs="Times New Roman"/>
          <w:szCs w:val="24"/>
        </w:rPr>
      </w:pPr>
    </w:p>
    <w:p w:rsidR="00700B9D" w:rsidRDefault="00700B9D" w:rsidP="0015212B">
      <w:pPr>
        <w:pStyle w:val="BodyText"/>
        <w:spacing w:after="240" w:line="276" w:lineRule="auto"/>
        <w:jc w:val="both"/>
        <w:rPr>
          <w:rFonts w:cs="Times New Roman"/>
          <w:szCs w:val="24"/>
        </w:rPr>
      </w:pPr>
    </w:p>
    <w:p w:rsidR="00700B9D" w:rsidRPr="0015212B" w:rsidRDefault="00700B9D" w:rsidP="0015212B">
      <w:pPr>
        <w:pStyle w:val="BodyText"/>
        <w:spacing w:after="240" w:line="276" w:lineRule="auto"/>
        <w:jc w:val="both"/>
        <w:rPr>
          <w:rFonts w:cs="Times New Roman"/>
          <w:szCs w:val="24"/>
        </w:rPr>
      </w:pPr>
    </w:p>
    <w:p w:rsidR="00C05871" w:rsidRPr="008941BA" w:rsidRDefault="00C05871" w:rsidP="0015212B">
      <w:pPr>
        <w:pStyle w:val="TablesandFigures"/>
        <w:spacing w:line="276" w:lineRule="auto"/>
        <w:rPr>
          <w:rFonts w:ascii="Times New Roman" w:hAnsi="Times New Roman"/>
          <w:b/>
          <w:sz w:val="2"/>
          <w:szCs w:val="20"/>
        </w:rPr>
      </w:pPr>
    </w:p>
    <w:p w:rsidR="00C05871" w:rsidRPr="001C27B4" w:rsidRDefault="00C05871" w:rsidP="002B3674">
      <w:pPr>
        <w:pStyle w:val="TablesandFigures"/>
        <w:spacing w:line="276" w:lineRule="auto"/>
        <w:jc w:val="center"/>
        <w:rPr>
          <w:rFonts w:ascii="Times New Roman" w:hAnsi="Times New Roman"/>
          <w:b/>
          <w:sz w:val="8"/>
          <w:szCs w:val="20"/>
        </w:rPr>
      </w:pPr>
    </w:p>
    <w:p w:rsidR="00D45B0F" w:rsidRPr="00B77ABC" w:rsidRDefault="00D45B0F" w:rsidP="00B77ABC">
      <w:pPr>
        <w:pStyle w:val="Heading4"/>
      </w:pPr>
      <w:bookmarkStart w:id="24" w:name="_Toc474638972"/>
      <w:r w:rsidRPr="00B77ABC">
        <w:t xml:space="preserve">Table </w:t>
      </w:r>
      <w:r w:rsidR="00DF6844" w:rsidRPr="00B77ABC">
        <w:t>1.</w:t>
      </w:r>
      <w:r w:rsidRPr="00B77ABC">
        <w:t>1: Relationship between Hotspots and Hydrological Zones</w:t>
      </w:r>
      <w:bookmarkEnd w:id="24"/>
    </w:p>
    <w:tbl>
      <w:tblPr>
        <w:tblStyle w:val="TableGrid"/>
        <w:tblW w:w="5000" w:type="pct"/>
        <w:tblLook w:val="04A0"/>
      </w:tblPr>
      <w:tblGrid>
        <w:gridCol w:w="2988"/>
        <w:gridCol w:w="6588"/>
      </w:tblGrid>
      <w:tr w:rsidR="00D45B0F" w:rsidRPr="00692127" w:rsidTr="008941BA">
        <w:trPr>
          <w:trHeight w:val="20"/>
        </w:trPr>
        <w:tc>
          <w:tcPr>
            <w:tcW w:w="1560" w:type="pct"/>
          </w:tcPr>
          <w:p w:rsidR="00D45B0F" w:rsidRPr="00692127" w:rsidRDefault="00D45B0F" w:rsidP="00692127">
            <w:pPr>
              <w:pStyle w:val="TablesandFigures"/>
              <w:jc w:val="center"/>
              <w:rPr>
                <w:rFonts w:ascii="Times New Roman" w:hAnsi="Times New Roman"/>
                <w:b/>
              </w:rPr>
            </w:pPr>
            <w:r w:rsidRPr="00692127">
              <w:rPr>
                <w:rFonts w:ascii="Times New Roman" w:hAnsi="Times New Roman"/>
                <w:b/>
              </w:rPr>
              <w:t>Hotspots</w:t>
            </w:r>
          </w:p>
        </w:tc>
        <w:tc>
          <w:tcPr>
            <w:tcW w:w="3440" w:type="pct"/>
          </w:tcPr>
          <w:p w:rsidR="00D45B0F" w:rsidRPr="00692127" w:rsidRDefault="00D45B0F" w:rsidP="00692127">
            <w:pPr>
              <w:pStyle w:val="TablesandFigures"/>
              <w:jc w:val="center"/>
              <w:rPr>
                <w:rFonts w:ascii="Times New Roman" w:hAnsi="Times New Roman"/>
                <w:b/>
              </w:rPr>
            </w:pPr>
            <w:r w:rsidRPr="00692127">
              <w:rPr>
                <w:rFonts w:ascii="Times New Roman" w:hAnsi="Times New Roman"/>
                <w:b/>
              </w:rPr>
              <w:t>Hydrological Zones</w:t>
            </w:r>
          </w:p>
        </w:tc>
      </w:tr>
      <w:tr w:rsidR="00D45B0F" w:rsidRPr="00692127" w:rsidTr="008941BA">
        <w:trPr>
          <w:trHeight w:val="20"/>
        </w:trPr>
        <w:tc>
          <w:tcPr>
            <w:tcW w:w="156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Barind and Drought Prone Region</w:t>
            </w:r>
          </w:p>
        </w:tc>
        <w:tc>
          <w:tcPr>
            <w:tcW w:w="344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North West</w:t>
            </w:r>
          </w:p>
        </w:tc>
      </w:tr>
      <w:tr w:rsidR="00D45B0F" w:rsidRPr="00692127" w:rsidTr="008941BA">
        <w:trPr>
          <w:trHeight w:val="20"/>
        </w:trPr>
        <w:tc>
          <w:tcPr>
            <w:tcW w:w="156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Chittagong Hill Tracts</w:t>
            </w:r>
          </w:p>
        </w:tc>
        <w:tc>
          <w:tcPr>
            <w:tcW w:w="344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Eastern Hills excluding Chittagong and Cox’s Bazar</w:t>
            </w:r>
          </w:p>
        </w:tc>
      </w:tr>
      <w:tr w:rsidR="00D45B0F" w:rsidRPr="00692127" w:rsidTr="008941BA">
        <w:trPr>
          <w:trHeight w:val="20"/>
        </w:trPr>
        <w:tc>
          <w:tcPr>
            <w:tcW w:w="156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The Coastal Zone</w:t>
            </w:r>
          </w:p>
        </w:tc>
        <w:tc>
          <w:tcPr>
            <w:tcW w:w="344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 xml:space="preserve">The coastal districts of South West, South Central and South East </w:t>
            </w:r>
          </w:p>
        </w:tc>
      </w:tr>
      <w:tr w:rsidR="00D45B0F" w:rsidRPr="00692127" w:rsidTr="008941BA">
        <w:trPr>
          <w:trHeight w:val="20"/>
        </w:trPr>
        <w:tc>
          <w:tcPr>
            <w:tcW w:w="156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The Haor Region</w:t>
            </w:r>
          </w:p>
        </w:tc>
        <w:tc>
          <w:tcPr>
            <w:tcW w:w="344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North East</w:t>
            </w:r>
          </w:p>
        </w:tc>
      </w:tr>
      <w:tr w:rsidR="00D45B0F" w:rsidRPr="00692127" w:rsidTr="008941BA">
        <w:trPr>
          <w:trHeight w:val="20"/>
        </w:trPr>
        <w:tc>
          <w:tcPr>
            <w:tcW w:w="156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Major Rivers and Estuary</w:t>
            </w:r>
          </w:p>
        </w:tc>
        <w:tc>
          <w:tcPr>
            <w:tcW w:w="344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 xml:space="preserve">Rivers and Estuary; Districts of North Central and South Central that lie along the major rivers.  </w:t>
            </w:r>
          </w:p>
        </w:tc>
      </w:tr>
      <w:tr w:rsidR="00D45B0F" w:rsidRPr="00692127" w:rsidTr="008941BA">
        <w:trPr>
          <w:trHeight w:val="20"/>
        </w:trPr>
        <w:tc>
          <w:tcPr>
            <w:tcW w:w="156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Urban Areas</w:t>
            </w:r>
          </w:p>
        </w:tc>
        <w:tc>
          <w:tcPr>
            <w:tcW w:w="3440" w:type="pct"/>
          </w:tcPr>
          <w:p w:rsidR="00D45B0F" w:rsidRPr="00692127" w:rsidRDefault="00D45B0F" w:rsidP="00692127">
            <w:pPr>
              <w:pStyle w:val="TablesandFigures"/>
              <w:rPr>
                <w:rFonts w:ascii="Times New Roman" w:hAnsi="Times New Roman"/>
                <w:bCs/>
              </w:rPr>
            </w:pPr>
            <w:r w:rsidRPr="00692127">
              <w:rPr>
                <w:rFonts w:ascii="Times New Roman" w:hAnsi="Times New Roman"/>
                <w:bCs/>
              </w:rPr>
              <w:t>No Specific Grouping</w:t>
            </w:r>
          </w:p>
        </w:tc>
      </w:tr>
    </w:tbl>
    <w:p w:rsidR="00D45B0F" w:rsidRDefault="00F27151" w:rsidP="001C27B4">
      <w:pPr>
        <w:pStyle w:val="BodyText"/>
        <w:spacing w:before="120" w:after="240" w:line="276" w:lineRule="auto"/>
        <w:jc w:val="both"/>
        <w:rPr>
          <w:rFonts w:cs="Times New Roman"/>
          <w:szCs w:val="24"/>
        </w:rPr>
      </w:pPr>
      <w:r w:rsidRPr="001C27B4">
        <w:rPr>
          <w:b/>
          <w:i/>
          <w:sz w:val="20"/>
        </w:rPr>
        <w:t>Source:</w:t>
      </w:r>
      <w:r w:rsidR="00C05871">
        <w:rPr>
          <w:b/>
          <w:i/>
          <w:sz w:val="20"/>
        </w:rPr>
        <w:t xml:space="preserve"> </w:t>
      </w:r>
      <w:r w:rsidR="001C27B4">
        <w:rPr>
          <w:b/>
          <w:i/>
          <w:sz w:val="20"/>
        </w:rPr>
        <w:t>GED Analysis</w:t>
      </w:r>
    </w:p>
    <w:p w:rsidR="00E8099E" w:rsidRDefault="005A6222" w:rsidP="00692127">
      <w:pPr>
        <w:pStyle w:val="BodyText"/>
        <w:spacing w:after="240" w:line="276" w:lineRule="auto"/>
        <w:jc w:val="both"/>
        <w:rPr>
          <w:rFonts w:cs="Times New Roman"/>
          <w:szCs w:val="24"/>
        </w:rPr>
      </w:pPr>
      <w:r>
        <w:rPr>
          <w:rFonts w:cs="Times New Roman"/>
          <w:szCs w:val="24"/>
        </w:rPr>
        <w:t xml:space="preserve">While the entire Bangladesh faces some kind </w:t>
      </w:r>
      <w:r w:rsidR="00557369">
        <w:rPr>
          <w:rFonts w:cs="Times New Roman"/>
          <w:szCs w:val="24"/>
        </w:rPr>
        <w:t xml:space="preserve">of </w:t>
      </w:r>
      <w:r>
        <w:rPr>
          <w:rFonts w:cs="Times New Roman"/>
          <w:szCs w:val="24"/>
        </w:rPr>
        <w:t xml:space="preserve">natural disaster risks, there are some </w:t>
      </w:r>
      <w:r w:rsidR="00E038EA">
        <w:rPr>
          <w:rFonts w:cs="Times New Roman"/>
          <w:szCs w:val="24"/>
        </w:rPr>
        <w:t>six districts</w:t>
      </w:r>
      <w:r>
        <w:rPr>
          <w:rFonts w:cs="Times New Roman"/>
          <w:szCs w:val="24"/>
        </w:rPr>
        <w:t xml:space="preserve"> that are geographically located in a way that they are considered relatively</w:t>
      </w:r>
      <w:r w:rsidR="00D02A04">
        <w:rPr>
          <w:rFonts w:cs="Times New Roman"/>
          <w:szCs w:val="24"/>
        </w:rPr>
        <w:t xml:space="preserve"> safe </w:t>
      </w:r>
      <w:r>
        <w:rPr>
          <w:rFonts w:cs="Times New Roman"/>
          <w:szCs w:val="24"/>
        </w:rPr>
        <w:t xml:space="preserve">from </w:t>
      </w:r>
      <w:r w:rsidR="00D02A04">
        <w:rPr>
          <w:rFonts w:cs="Times New Roman"/>
          <w:szCs w:val="24"/>
        </w:rPr>
        <w:t xml:space="preserve">the </w:t>
      </w:r>
      <w:r>
        <w:rPr>
          <w:rFonts w:cs="Times New Roman"/>
          <w:szCs w:val="24"/>
        </w:rPr>
        <w:t>natural hazard risk point of vie</w:t>
      </w:r>
      <w:r w:rsidR="00A26E05">
        <w:rPr>
          <w:rFonts w:cs="Times New Roman"/>
          <w:szCs w:val="24"/>
        </w:rPr>
        <w:t xml:space="preserve">w. These are: </w:t>
      </w:r>
      <w:r>
        <w:rPr>
          <w:rFonts w:cs="Times New Roman"/>
          <w:szCs w:val="24"/>
        </w:rPr>
        <w:t>Nilphamari (North West); Sherpur, Mymensingh and Gazipur</w:t>
      </w:r>
      <w:r w:rsidR="00A26E05">
        <w:rPr>
          <w:rFonts w:cs="Times New Roman"/>
          <w:szCs w:val="24"/>
        </w:rPr>
        <w:t xml:space="preserve"> (North Central); and </w:t>
      </w:r>
      <w:r>
        <w:rPr>
          <w:rFonts w:cs="Times New Roman"/>
          <w:szCs w:val="24"/>
        </w:rPr>
        <w:t xml:space="preserve">Jhenidah and Magura (South West Region). They typically lie outside a major river course </w:t>
      </w:r>
      <w:r w:rsidR="00D02A04">
        <w:rPr>
          <w:rFonts w:cs="Times New Roman"/>
          <w:szCs w:val="24"/>
        </w:rPr>
        <w:t xml:space="preserve">and </w:t>
      </w:r>
      <w:r w:rsidR="00E8099E">
        <w:rPr>
          <w:rFonts w:cs="Times New Roman"/>
          <w:szCs w:val="24"/>
        </w:rPr>
        <w:t xml:space="preserve">far from the coastal belt. They are also further away from the drought-prone dry zone of the North West or the CHT area of South East. </w:t>
      </w:r>
    </w:p>
    <w:p w:rsidR="005A0961" w:rsidRPr="001C74D9" w:rsidRDefault="005A0961" w:rsidP="00692127">
      <w:pPr>
        <w:pStyle w:val="BodyText"/>
        <w:spacing w:after="240" w:line="276" w:lineRule="auto"/>
        <w:jc w:val="both"/>
        <w:rPr>
          <w:rFonts w:cs="Times New Roman"/>
          <w:szCs w:val="24"/>
        </w:rPr>
      </w:pPr>
      <w:r>
        <w:rPr>
          <w:rFonts w:cs="Times New Roman"/>
          <w:szCs w:val="24"/>
        </w:rPr>
        <w:t>The basic characteristics of</w:t>
      </w:r>
      <w:r w:rsidR="00094D54">
        <w:rPr>
          <w:rFonts w:cs="Times New Roman"/>
          <w:szCs w:val="24"/>
        </w:rPr>
        <w:t xml:space="preserve"> the </w:t>
      </w:r>
      <w:r w:rsidR="00094D54" w:rsidRPr="00BB5CCF">
        <w:rPr>
          <w:rFonts w:cs="Times New Roman"/>
          <w:szCs w:val="24"/>
        </w:rPr>
        <w:t>Six Hotspots are</w:t>
      </w:r>
      <w:r w:rsidR="00094D54">
        <w:rPr>
          <w:rFonts w:cs="Times New Roman"/>
          <w:szCs w:val="24"/>
        </w:rPr>
        <w:t xml:space="preserve"> provided in Table </w:t>
      </w:r>
      <w:r w:rsidR="00DF6844">
        <w:rPr>
          <w:rFonts w:cs="Times New Roman"/>
          <w:szCs w:val="24"/>
        </w:rPr>
        <w:t>1.</w:t>
      </w:r>
      <w:r w:rsidR="00094D54">
        <w:rPr>
          <w:rFonts w:cs="Times New Roman"/>
          <w:szCs w:val="24"/>
        </w:rPr>
        <w:t xml:space="preserve">2 </w:t>
      </w:r>
      <w:r w:rsidR="009471CE">
        <w:rPr>
          <w:rFonts w:cs="Times New Roman"/>
          <w:szCs w:val="24"/>
        </w:rPr>
        <w:t>below</w:t>
      </w:r>
      <w:r w:rsidR="00E8099E">
        <w:rPr>
          <w:rFonts w:cs="Times New Roman"/>
          <w:szCs w:val="24"/>
        </w:rPr>
        <w:t xml:space="preserve">. The district mapping of hotspots is shown in Table </w:t>
      </w:r>
      <w:r w:rsidR="00DF6844">
        <w:rPr>
          <w:rFonts w:cs="Times New Roman"/>
          <w:szCs w:val="24"/>
        </w:rPr>
        <w:t>1.</w:t>
      </w:r>
      <w:r w:rsidR="00E8099E">
        <w:rPr>
          <w:rFonts w:cs="Times New Roman"/>
          <w:szCs w:val="24"/>
        </w:rPr>
        <w:t>3.</w:t>
      </w:r>
    </w:p>
    <w:p w:rsidR="007B5C2D" w:rsidRPr="00E1490E" w:rsidRDefault="005A0961" w:rsidP="00E1490E">
      <w:pPr>
        <w:pStyle w:val="Heading4"/>
      </w:pPr>
      <w:bookmarkStart w:id="25" w:name="_Toc474638973"/>
      <w:r>
        <w:t xml:space="preserve">Table </w:t>
      </w:r>
      <w:r w:rsidR="00DF6844">
        <w:t>1.</w:t>
      </w:r>
      <w:r>
        <w:t>2</w:t>
      </w:r>
      <w:r w:rsidR="00E93A64" w:rsidRPr="00E74488">
        <w:t>: Bangladesh Delta Hotspots – Basic Socio-Economic Indicators 2011</w:t>
      </w:r>
      <w:bookmarkEnd w:id="25"/>
    </w:p>
    <w:tbl>
      <w:tblPr>
        <w:tblW w:w="5000" w:type="pct"/>
        <w:jc w:val="center"/>
        <w:tblLook w:val="04A0"/>
      </w:tblPr>
      <w:tblGrid>
        <w:gridCol w:w="1681"/>
        <w:gridCol w:w="1195"/>
        <w:gridCol w:w="1371"/>
        <w:gridCol w:w="1923"/>
        <w:gridCol w:w="1546"/>
        <w:gridCol w:w="1860"/>
      </w:tblGrid>
      <w:tr w:rsidR="00E1490E" w:rsidRPr="00E1490E" w:rsidTr="008941BA">
        <w:trPr>
          <w:trHeight w:val="718"/>
          <w:jc w:val="center"/>
        </w:trPr>
        <w:tc>
          <w:tcPr>
            <w:tcW w:w="878"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Hotspot</w:t>
            </w:r>
          </w:p>
        </w:tc>
        <w:tc>
          <w:tcPr>
            <w:tcW w:w="624" w:type="pct"/>
            <w:tcBorders>
              <w:top w:val="single" w:sz="8" w:space="0" w:color="auto"/>
              <w:left w:val="nil"/>
              <w:bottom w:val="single" w:sz="8"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 xml:space="preserve">Area </w:t>
            </w:r>
          </w:p>
        </w:tc>
        <w:tc>
          <w:tcPr>
            <w:tcW w:w="716" w:type="pct"/>
            <w:tcBorders>
              <w:top w:val="single" w:sz="8" w:space="0" w:color="auto"/>
              <w:left w:val="nil"/>
              <w:bottom w:val="single" w:sz="8"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 xml:space="preserve">Population (million) </w:t>
            </w:r>
          </w:p>
        </w:tc>
        <w:tc>
          <w:tcPr>
            <w:tcW w:w="1004" w:type="pct"/>
            <w:tcBorders>
              <w:top w:val="single" w:sz="8" w:space="0" w:color="auto"/>
              <w:left w:val="nil"/>
              <w:bottom w:val="single" w:sz="8"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Average per Capita GDP (USD)</w:t>
            </w:r>
          </w:p>
        </w:tc>
        <w:tc>
          <w:tcPr>
            <w:tcW w:w="807" w:type="pct"/>
            <w:tcBorders>
              <w:top w:val="single" w:sz="8" w:space="0" w:color="auto"/>
              <w:left w:val="nil"/>
              <w:bottom w:val="single" w:sz="8" w:space="0" w:color="auto"/>
              <w:right w:val="single" w:sz="4" w:space="0" w:color="auto"/>
            </w:tcBorders>
            <w:shd w:val="clear" w:color="auto" w:fill="auto"/>
            <w:vAlign w:val="center"/>
            <w:hideMark/>
          </w:tcPr>
          <w:p w:rsidR="00E1490E" w:rsidRPr="008941BA" w:rsidRDefault="00E1490E" w:rsidP="009C6AF4">
            <w:pPr>
              <w:spacing w:after="0" w:line="240" w:lineRule="auto"/>
              <w:rPr>
                <w:rFonts w:eastAsia="Times New Roman" w:cs="Times New Roman"/>
                <w:b/>
                <w:bCs/>
                <w:color w:val="000000"/>
                <w:sz w:val="20"/>
                <w:szCs w:val="24"/>
              </w:rPr>
            </w:pPr>
            <w:r w:rsidRPr="008941BA">
              <w:rPr>
                <w:rFonts w:eastAsia="Times New Roman" w:cs="Times New Roman"/>
                <w:b/>
                <w:bCs/>
                <w:color w:val="000000"/>
                <w:sz w:val="20"/>
                <w:szCs w:val="24"/>
              </w:rPr>
              <w:t>Literacy Rate (%) (7 years and above)</w:t>
            </w:r>
          </w:p>
        </w:tc>
        <w:tc>
          <w:tcPr>
            <w:tcW w:w="971" w:type="pct"/>
            <w:tcBorders>
              <w:top w:val="single" w:sz="8" w:space="0" w:color="auto"/>
              <w:left w:val="nil"/>
              <w:bottom w:val="single" w:sz="8" w:space="0" w:color="auto"/>
              <w:right w:val="single" w:sz="8"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Population Density (person/km</w:t>
            </w:r>
            <w:r w:rsidRPr="008941BA">
              <w:rPr>
                <w:rFonts w:eastAsia="Times New Roman" w:cs="Times New Roman"/>
                <w:b/>
                <w:bCs/>
                <w:color w:val="000000"/>
                <w:sz w:val="20"/>
                <w:szCs w:val="24"/>
                <w:vertAlign w:val="superscript"/>
              </w:rPr>
              <w:t>2</w:t>
            </w:r>
            <w:r w:rsidRPr="008941BA">
              <w:rPr>
                <w:rFonts w:eastAsia="Times New Roman" w:cs="Times New Roman"/>
                <w:b/>
                <w:bCs/>
                <w:color w:val="000000"/>
                <w:sz w:val="20"/>
                <w:szCs w:val="24"/>
              </w:rPr>
              <w:t xml:space="preserve">) </w:t>
            </w:r>
          </w:p>
        </w:tc>
      </w:tr>
      <w:tr w:rsidR="00E1490E" w:rsidRPr="00E1490E" w:rsidTr="008941BA">
        <w:trPr>
          <w:trHeight w:val="390"/>
          <w:jc w:val="center"/>
        </w:trPr>
        <w:tc>
          <w:tcPr>
            <w:tcW w:w="878" w:type="pct"/>
            <w:tcBorders>
              <w:top w:val="nil"/>
              <w:left w:val="single" w:sz="8" w:space="0" w:color="auto"/>
              <w:bottom w:val="single" w:sz="4"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Cs/>
                <w:color w:val="000000"/>
                <w:sz w:val="20"/>
                <w:szCs w:val="24"/>
              </w:rPr>
            </w:pPr>
            <w:r w:rsidRPr="008941BA">
              <w:rPr>
                <w:rFonts w:eastAsia="Times New Roman" w:cs="Times New Roman"/>
                <w:bCs/>
                <w:color w:val="000000"/>
                <w:sz w:val="20"/>
                <w:szCs w:val="24"/>
              </w:rPr>
              <w:t>Haor</w:t>
            </w:r>
          </w:p>
        </w:tc>
        <w:tc>
          <w:tcPr>
            <w:tcW w:w="62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16574</w:t>
            </w:r>
          </w:p>
        </w:tc>
        <w:tc>
          <w:tcPr>
            <w:tcW w:w="716"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15</w:t>
            </w:r>
          </w:p>
        </w:tc>
        <w:tc>
          <w:tcPr>
            <w:tcW w:w="100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325</w:t>
            </w:r>
          </w:p>
        </w:tc>
        <w:tc>
          <w:tcPr>
            <w:tcW w:w="807"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42.56</w:t>
            </w:r>
          </w:p>
        </w:tc>
        <w:tc>
          <w:tcPr>
            <w:tcW w:w="971" w:type="pct"/>
            <w:tcBorders>
              <w:top w:val="nil"/>
              <w:left w:val="nil"/>
              <w:bottom w:val="single" w:sz="4" w:space="0" w:color="auto"/>
              <w:right w:val="single" w:sz="8"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906</w:t>
            </w:r>
          </w:p>
        </w:tc>
      </w:tr>
      <w:tr w:rsidR="00E1490E" w:rsidRPr="00E1490E" w:rsidTr="008941BA">
        <w:trPr>
          <w:trHeight w:val="330"/>
          <w:jc w:val="center"/>
        </w:trPr>
        <w:tc>
          <w:tcPr>
            <w:tcW w:w="878" w:type="pct"/>
            <w:tcBorders>
              <w:top w:val="nil"/>
              <w:left w:val="single" w:sz="8" w:space="0" w:color="auto"/>
              <w:bottom w:val="single" w:sz="4"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Cs/>
                <w:color w:val="000000"/>
                <w:sz w:val="20"/>
                <w:szCs w:val="24"/>
              </w:rPr>
            </w:pPr>
            <w:r w:rsidRPr="008941BA">
              <w:rPr>
                <w:rFonts w:eastAsia="Times New Roman" w:cs="Times New Roman"/>
                <w:bCs/>
                <w:color w:val="000000"/>
                <w:sz w:val="20"/>
                <w:szCs w:val="24"/>
              </w:rPr>
              <w:t>Coastal</w:t>
            </w:r>
          </w:p>
        </w:tc>
        <w:tc>
          <w:tcPr>
            <w:tcW w:w="624"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27</w:t>
            </w:r>
            <w:r w:rsidR="001C27B4" w:rsidRPr="008941BA">
              <w:rPr>
                <w:rFonts w:eastAsia="Times New Roman" w:cs="Times New Roman"/>
                <w:color w:val="000000"/>
                <w:sz w:val="20"/>
                <w:szCs w:val="24"/>
              </w:rPr>
              <w:t>738</w:t>
            </w:r>
          </w:p>
        </w:tc>
        <w:tc>
          <w:tcPr>
            <w:tcW w:w="716"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22.4</w:t>
            </w:r>
          </w:p>
        </w:tc>
        <w:tc>
          <w:tcPr>
            <w:tcW w:w="100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342</w:t>
            </w:r>
          </w:p>
        </w:tc>
        <w:tc>
          <w:tcPr>
            <w:tcW w:w="807"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42.03</w:t>
            </w:r>
          </w:p>
        </w:tc>
        <w:tc>
          <w:tcPr>
            <w:tcW w:w="971" w:type="pct"/>
            <w:tcBorders>
              <w:top w:val="nil"/>
              <w:left w:val="nil"/>
              <w:bottom w:val="single" w:sz="4" w:space="0" w:color="auto"/>
              <w:right w:val="single" w:sz="8"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807</w:t>
            </w:r>
          </w:p>
        </w:tc>
      </w:tr>
      <w:tr w:rsidR="00E1490E" w:rsidRPr="00E1490E" w:rsidTr="008941BA">
        <w:trPr>
          <w:trHeight w:val="413"/>
          <w:jc w:val="center"/>
        </w:trPr>
        <w:tc>
          <w:tcPr>
            <w:tcW w:w="878" w:type="pct"/>
            <w:tcBorders>
              <w:top w:val="nil"/>
              <w:left w:val="single" w:sz="8" w:space="0" w:color="auto"/>
              <w:bottom w:val="single" w:sz="4"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Cs/>
                <w:color w:val="000000"/>
                <w:sz w:val="20"/>
                <w:szCs w:val="24"/>
              </w:rPr>
            </w:pPr>
            <w:r w:rsidRPr="008941BA">
              <w:rPr>
                <w:rFonts w:eastAsia="Times New Roman" w:cs="Times New Roman"/>
                <w:bCs/>
                <w:color w:val="000000"/>
                <w:sz w:val="20"/>
                <w:szCs w:val="24"/>
              </w:rPr>
              <w:t>CTG Hill (CHT)</w:t>
            </w:r>
          </w:p>
        </w:tc>
        <w:tc>
          <w:tcPr>
            <w:tcW w:w="624"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13295</w:t>
            </w:r>
          </w:p>
        </w:tc>
        <w:tc>
          <w:tcPr>
            <w:tcW w:w="716"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1.7</w:t>
            </w:r>
          </w:p>
        </w:tc>
        <w:tc>
          <w:tcPr>
            <w:tcW w:w="100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426</w:t>
            </w:r>
          </w:p>
        </w:tc>
        <w:tc>
          <w:tcPr>
            <w:tcW w:w="807"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55.55</w:t>
            </w:r>
          </w:p>
        </w:tc>
        <w:tc>
          <w:tcPr>
            <w:tcW w:w="971" w:type="pct"/>
            <w:tcBorders>
              <w:top w:val="nil"/>
              <w:left w:val="nil"/>
              <w:bottom w:val="single" w:sz="4" w:space="0" w:color="auto"/>
              <w:right w:val="single" w:sz="8"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128</w:t>
            </w:r>
          </w:p>
        </w:tc>
      </w:tr>
      <w:tr w:rsidR="00E1490E" w:rsidRPr="00E1490E" w:rsidTr="008941BA">
        <w:trPr>
          <w:trHeight w:hRule="exact" w:val="330"/>
          <w:jc w:val="center"/>
        </w:trPr>
        <w:tc>
          <w:tcPr>
            <w:tcW w:w="878" w:type="pct"/>
            <w:tcBorders>
              <w:top w:val="nil"/>
              <w:left w:val="single" w:sz="8" w:space="0" w:color="auto"/>
              <w:bottom w:val="single" w:sz="4"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Cs/>
                <w:color w:val="000000"/>
                <w:sz w:val="20"/>
                <w:szCs w:val="24"/>
              </w:rPr>
            </w:pPr>
            <w:r w:rsidRPr="008941BA">
              <w:rPr>
                <w:rFonts w:eastAsia="Times New Roman" w:cs="Times New Roman"/>
                <w:bCs/>
                <w:color w:val="000000"/>
                <w:sz w:val="20"/>
                <w:szCs w:val="24"/>
              </w:rPr>
              <w:t>Urban</w:t>
            </w:r>
          </w:p>
        </w:tc>
        <w:tc>
          <w:tcPr>
            <w:tcW w:w="624"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19823</w:t>
            </w:r>
          </w:p>
        </w:tc>
        <w:tc>
          <w:tcPr>
            <w:tcW w:w="716"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31.5</w:t>
            </w:r>
          </w:p>
        </w:tc>
        <w:tc>
          <w:tcPr>
            <w:tcW w:w="100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665</w:t>
            </w:r>
          </w:p>
        </w:tc>
        <w:tc>
          <w:tcPr>
            <w:tcW w:w="807"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43.90</w:t>
            </w:r>
          </w:p>
        </w:tc>
        <w:tc>
          <w:tcPr>
            <w:tcW w:w="971" w:type="pct"/>
            <w:tcBorders>
              <w:top w:val="nil"/>
              <w:left w:val="nil"/>
              <w:bottom w:val="single" w:sz="4" w:space="0" w:color="auto"/>
              <w:right w:val="single" w:sz="8"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1588</w:t>
            </w:r>
          </w:p>
        </w:tc>
      </w:tr>
      <w:tr w:rsidR="00E1490E" w:rsidRPr="00E1490E" w:rsidTr="008941BA">
        <w:trPr>
          <w:trHeight w:hRule="exact" w:val="645"/>
          <w:jc w:val="center"/>
        </w:trPr>
        <w:tc>
          <w:tcPr>
            <w:tcW w:w="878" w:type="pct"/>
            <w:tcBorders>
              <w:top w:val="nil"/>
              <w:left w:val="single" w:sz="8" w:space="0" w:color="auto"/>
              <w:bottom w:val="single" w:sz="4" w:space="0" w:color="auto"/>
              <w:right w:val="single" w:sz="4" w:space="0" w:color="auto"/>
            </w:tcBorders>
            <w:shd w:val="clear" w:color="auto" w:fill="auto"/>
            <w:vAlign w:val="center"/>
            <w:hideMark/>
          </w:tcPr>
          <w:p w:rsidR="00E1490E" w:rsidRPr="008941BA" w:rsidRDefault="00C05871" w:rsidP="009C6AF4">
            <w:pPr>
              <w:spacing w:after="0" w:line="240" w:lineRule="auto"/>
              <w:jc w:val="center"/>
              <w:rPr>
                <w:rFonts w:eastAsia="Times New Roman" w:cs="Times New Roman"/>
                <w:bCs/>
                <w:color w:val="000000"/>
                <w:sz w:val="20"/>
                <w:szCs w:val="24"/>
              </w:rPr>
            </w:pPr>
            <w:r w:rsidRPr="008941BA">
              <w:rPr>
                <w:rFonts w:eastAsia="Times New Roman" w:cs="Times New Roman"/>
                <w:bCs/>
                <w:color w:val="000000"/>
                <w:sz w:val="20"/>
                <w:szCs w:val="24"/>
              </w:rPr>
              <w:t xml:space="preserve">Barind &amp; </w:t>
            </w:r>
            <w:r w:rsidR="00E1490E" w:rsidRPr="008941BA">
              <w:rPr>
                <w:rFonts w:eastAsia="Times New Roman" w:cs="Times New Roman"/>
                <w:bCs/>
                <w:color w:val="000000"/>
                <w:sz w:val="20"/>
                <w:szCs w:val="24"/>
              </w:rPr>
              <w:t>Drought Prone</w:t>
            </w:r>
          </w:p>
        </w:tc>
        <w:tc>
          <w:tcPr>
            <w:tcW w:w="62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22848</w:t>
            </w:r>
          </w:p>
        </w:tc>
        <w:tc>
          <w:tcPr>
            <w:tcW w:w="716"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22.8</w:t>
            </w:r>
          </w:p>
        </w:tc>
        <w:tc>
          <w:tcPr>
            <w:tcW w:w="100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303</w:t>
            </w:r>
          </w:p>
        </w:tc>
        <w:tc>
          <w:tcPr>
            <w:tcW w:w="807"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58.40</w:t>
            </w:r>
          </w:p>
        </w:tc>
        <w:tc>
          <w:tcPr>
            <w:tcW w:w="971" w:type="pct"/>
            <w:tcBorders>
              <w:top w:val="nil"/>
              <w:left w:val="nil"/>
              <w:bottom w:val="single" w:sz="4" w:space="0" w:color="auto"/>
              <w:right w:val="single" w:sz="8"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999</w:t>
            </w:r>
          </w:p>
        </w:tc>
      </w:tr>
      <w:tr w:rsidR="00E1490E" w:rsidRPr="00E1490E" w:rsidTr="008941BA">
        <w:trPr>
          <w:trHeight w:val="548"/>
          <w:jc w:val="center"/>
        </w:trPr>
        <w:tc>
          <w:tcPr>
            <w:tcW w:w="878" w:type="pct"/>
            <w:tcBorders>
              <w:top w:val="nil"/>
              <w:left w:val="single" w:sz="8" w:space="0" w:color="auto"/>
              <w:bottom w:val="single" w:sz="4"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Cs/>
                <w:color w:val="000000"/>
                <w:sz w:val="20"/>
                <w:szCs w:val="24"/>
              </w:rPr>
            </w:pPr>
            <w:r w:rsidRPr="008941BA">
              <w:rPr>
                <w:rFonts w:eastAsia="Times New Roman" w:cs="Times New Roman"/>
                <w:bCs/>
                <w:color w:val="000000"/>
                <w:sz w:val="20"/>
                <w:szCs w:val="24"/>
              </w:rPr>
              <w:t>Rivers &amp; Estuaries</w:t>
            </w:r>
          </w:p>
        </w:tc>
        <w:tc>
          <w:tcPr>
            <w:tcW w:w="62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35204</w:t>
            </w:r>
          </w:p>
        </w:tc>
        <w:tc>
          <w:tcPr>
            <w:tcW w:w="716"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41.4</w:t>
            </w:r>
          </w:p>
        </w:tc>
        <w:tc>
          <w:tcPr>
            <w:tcW w:w="100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335</w:t>
            </w:r>
          </w:p>
        </w:tc>
        <w:tc>
          <w:tcPr>
            <w:tcW w:w="807"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48.35</w:t>
            </w:r>
          </w:p>
        </w:tc>
        <w:tc>
          <w:tcPr>
            <w:tcW w:w="971" w:type="pct"/>
            <w:tcBorders>
              <w:top w:val="nil"/>
              <w:left w:val="nil"/>
              <w:bottom w:val="single" w:sz="4" w:space="0" w:color="auto"/>
              <w:right w:val="single" w:sz="8"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1177</w:t>
            </w:r>
          </w:p>
        </w:tc>
      </w:tr>
      <w:tr w:rsidR="00E1490E" w:rsidRPr="00E1490E" w:rsidTr="008941BA">
        <w:trPr>
          <w:trHeight w:hRule="exact" w:val="330"/>
          <w:jc w:val="center"/>
        </w:trPr>
        <w:tc>
          <w:tcPr>
            <w:tcW w:w="878" w:type="pct"/>
            <w:tcBorders>
              <w:top w:val="nil"/>
              <w:left w:val="single" w:sz="8" w:space="0" w:color="auto"/>
              <w:bottom w:val="single" w:sz="4"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Cs/>
                <w:color w:val="000000"/>
                <w:sz w:val="20"/>
                <w:szCs w:val="24"/>
              </w:rPr>
            </w:pPr>
            <w:r w:rsidRPr="008941BA">
              <w:rPr>
                <w:rFonts w:eastAsia="Times New Roman" w:cs="Times New Roman"/>
                <w:bCs/>
                <w:color w:val="000000"/>
                <w:sz w:val="20"/>
                <w:szCs w:val="24"/>
              </w:rPr>
              <w:t>Safe Areas</w:t>
            </w:r>
          </w:p>
        </w:tc>
        <w:tc>
          <w:tcPr>
            <w:tcW w:w="62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12089</w:t>
            </w:r>
          </w:p>
        </w:tc>
        <w:tc>
          <w:tcPr>
            <w:tcW w:w="716"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15</w:t>
            </w:r>
          </w:p>
        </w:tc>
        <w:tc>
          <w:tcPr>
            <w:tcW w:w="1004" w:type="pct"/>
            <w:tcBorders>
              <w:top w:val="nil"/>
              <w:left w:val="nil"/>
              <w:bottom w:val="single" w:sz="4"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511</w:t>
            </w:r>
          </w:p>
        </w:tc>
        <w:tc>
          <w:tcPr>
            <w:tcW w:w="807" w:type="pct"/>
            <w:tcBorders>
              <w:top w:val="nil"/>
              <w:left w:val="nil"/>
              <w:bottom w:val="single" w:sz="4"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47.79</w:t>
            </w:r>
          </w:p>
        </w:tc>
        <w:tc>
          <w:tcPr>
            <w:tcW w:w="971" w:type="pct"/>
            <w:tcBorders>
              <w:top w:val="nil"/>
              <w:left w:val="nil"/>
              <w:bottom w:val="single" w:sz="4" w:space="0" w:color="auto"/>
              <w:right w:val="single" w:sz="8"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color w:val="000000"/>
                <w:sz w:val="20"/>
                <w:szCs w:val="24"/>
              </w:rPr>
            </w:pPr>
            <w:r w:rsidRPr="008941BA">
              <w:rPr>
                <w:rFonts w:eastAsia="Times New Roman" w:cs="Times New Roman"/>
                <w:color w:val="000000"/>
                <w:sz w:val="20"/>
                <w:szCs w:val="24"/>
              </w:rPr>
              <w:t>1238</w:t>
            </w:r>
          </w:p>
        </w:tc>
      </w:tr>
      <w:tr w:rsidR="00E1490E" w:rsidRPr="00E1490E" w:rsidTr="008941BA">
        <w:trPr>
          <w:trHeight w:hRule="exact" w:val="330"/>
          <w:jc w:val="center"/>
        </w:trPr>
        <w:tc>
          <w:tcPr>
            <w:tcW w:w="878" w:type="pct"/>
            <w:tcBorders>
              <w:top w:val="nil"/>
              <w:left w:val="single" w:sz="8" w:space="0" w:color="auto"/>
              <w:bottom w:val="single" w:sz="8" w:space="0" w:color="auto"/>
              <w:right w:val="single" w:sz="4" w:space="0" w:color="auto"/>
            </w:tcBorders>
            <w:shd w:val="clear" w:color="auto" w:fill="auto"/>
            <w:vAlign w:val="center"/>
            <w:hideMark/>
          </w:tcPr>
          <w:p w:rsidR="00E1490E" w:rsidRPr="008941BA" w:rsidRDefault="00E1490E" w:rsidP="009C6AF4">
            <w:pPr>
              <w:spacing w:after="0" w:line="240" w:lineRule="auto"/>
              <w:jc w:val="center"/>
              <w:rPr>
                <w:rFonts w:eastAsia="Times New Roman" w:cs="Times New Roman"/>
                <w:bCs/>
                <w:color w:val="000000"/>
                <w:sz w:val="20"/>
                <w:szCs w:val="24"/>
              </w:rPr>
            </w:pPr>
            <w:r w:rsidRPr="008941BA">
              <w:rPr>
                <w:rFonts w:eastAsia="Times New Roman" w:cs="Times New Roman"/>
                <w:bCs/>
                <w:color w:val="000000"/>
                <w:sz w:val="20"/>
                <w:szCs w:val="24"/>
              </w:rPr>
              <w:t>Total</w:t>
            </w:r>
          </w:p>
        </w:tc>
        <w:tc>
          <w:tcPr>
            <w:tcW w:w="624" w:type="pct"/>
            <w:tcBorders>
              <w:top w:val="nil"/>
              <w:left w:val="nil"/>
              <w:bottom w:val="single" w:sz="8"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147570</w:t>
            </w:r>
          </w:p>
        </w:tc>
        <w:tc>
          <w:tcPr>
            <w:tcW w:w="716" w:type="pct"/>
            <w:tcBorders>
              <w:top w:val="nil"/>
              <w:left w:val="nil"/>
              <w:bottom w:val="single" w:sz="8"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149.8</w:t>
            </w:r>
          </w:p>
        </w:tc>
        <w:tc>
          <w:tcPr>
            <w:tcW w:w="1004" w:type="pct"/>
            <w:tcBorders>
              <w:top w:val="nil"/>
              <w:left w:val="nil"/>
              <w:bottom w:val="single" w:sz="8" w:space="0" w:color="auto"/>
              <w:right w:val="single" w:sz="4" w:space="0" w:color="auto"/>
            </w:tcBorders>
            <w:shd w:val="clear" w:color="auto" w:fill="auto"/>
            <w:noWrap/>
            <w:vAlign w:val="center"/>
            <w:hideMark/>
          </w:tcPr>
          <w:p w:rsidR="00E1490E" w:rsidRPr="008941BA" w:rsidRDefault="001C27B4"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415</w:t>
            </w:r>
          </w:p>
        </w:tc>
        <w:tc>
          <w:tcPr>
            <w:tcW w:w="807" w:type="pct"/>
            <w:tcBorders>
              <w:top w:val="nil"/>
              <w:left w:val="nil"/>
              <w:bottom w:val="single" w:sz="8" w:space="0" w:color="auto"/>
              <w:right w:val="single" w:sz="4"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48.37</w:t>
            </w:r>
          </w:p>
        </w:tc>
        <w:tc>
          <w:tcPr>
            <w:tcW w:w="971" w:type="pct"/>
            <w:tcBorders>
              <w:top w:val="nil"/>
              <w:left w:val="nil"/>
              <w:bottom w:val="single" w:sz="8" w:space="0" w:color="auto"/>
              <w:right w:val="single" w:sz="8" w:space="0" w:color="auto"/>
            </w:tcBorders>
            <w:shd w:val="clear" w:color="auto" w:fill="auto"/>
            <w:noWrap/>
            <w:vAlign w:val="center"/>
            <w:hideMark/>
          </w:tcPr>
          <w:p w:rsidR="00E1490E" w:rsidRPr="008941BA" w:rsidRDefault="00E1490E" w:rsidP="009C6AF4">
            <w:pPr>
              <w:spacing w:after="0" w:line="240" w:lineRule="auto"/>
              <w:jc w:val="center"/>
              <w:rPr>
                <w:rFonts w:eastAsia="Times New Roman" w:cs="Times New Roman"/>
                <w:b/>
                <w:bCs/>
                <w:color w:val="000000"/>
                <w:sz w:val="20"/>
                <w:szCs w:val="24"/>
              </w:rPr>
            </w:pPr>
            <w:r w:rsidRPr="008941BA">
              <w:rPr>
                <w:rFonts w:eastAsia="Times New Roman" w:cs="Times New Roman"/>
                <w:b/>
                <w:bCs/>
                <w:color w:val="000000"/>
                <w:sz w:val="20"/>
                <w:szCs w:val="24"/>
              </w:rPr>
              <w:t>1015</w:t>
            </w:r>
          </w:p>
        </w:tc>
      </w:tr>
    </w:tbl>
    <w:p w:rsidR="00E93A64" w:rsidRDefault="00E1490E" w:rsidP="007F7816">
      <w:pPr>
        <w:spacing w:before="120"/>
        <w:rPr>
          <w:b/>
          <w:i/>
          <w:sz w:val="20"/>
        </w:rPr>
      </w:pPr>
      <w:r w:rsidRPr="007F7816">
        <w:rPr>
          <w:b/>
          <w:i/>
          <w:sz w:val="20"/>
        </w:rPr>
        <w:t xml:space="preserve">Source: </w:t>
      </w:r>
      <w:r>
        <w:rPr>
          <w:b/>
          <w:i/>
          <w:sz w:val="20"/>
        </w:rPr>
        <w:t xml:space="preserve">GED Estimates &amp; </w:t>
      </w:r>
      <w:r w:rsidRPr="007F7816">
        <w:rPr>
          <w:b/>
          <w:i/>
          <w:sz w:val="20"/>
        </w:rPr>
        <w:t>Bangladesh Bureau of Statistics</w:t>
      </w:r>
      <w:r>
        <w:rPr>
          <w:b/>
          <w:i/>
          <w:sz w:val="20"/>
        </w:rPr>
        <w:t xml:space="preserve"> (BBS)</w:t>
      </w:r>
    </w:p>
    <w:p w:rsidR="00700B9D" w:rsidRDefault="00700B9D" w:rsidP="007F7816">
      <w:pPr>
        <w:spacing w:before="120"/>
        <w:rPr>
          <w:b/>
          <w:i/>
          <w:sz w:val="20"/>
        </w:rPr>
      </w:pPr>
    </w:p>
    <w:p w:rsidR="00700B9D" w:rsidRPr="001C27B4" w:rsidRDefault="00700B9D" w:rsidP="007F7816">
      <w:pPr>
        <w:spacing w:before="120"/>
        <w:rPr>
          <w:i/>
          <w:sz w:val="20"/>
        </w:rPr>
      </w:pPr>
    </w:p>
    <w:p w:rsidR="001C74D9" w:rsidRPr="001C74D9" w:rsidRDefault="001C74D9" w:rsidP="00B77ABC">
      <w:pPr>
        <w:pStyle w:val="Heading4"/>
      </w:pPr>
      <w:bookmarkStart w:id="26" w:name="_Toc474638974"/>
      <w:r w:rsidRPr="001C74D9">
        <w:lastRenderedPageBreak/>
        <w:t xml:space="preserve">Table </w:t>
      </w:r>
      <w:r w:rsidR="00DF6844">
        <w:t>1.</w:t>
      </w:r>
      <w:r w:rsidRPr="001C74D9">
        <w:t>3: Mapping of Districts to Hotspot Areas</w:t>
      </w:r>
      <w:bookmarkEnd w:id="26"/>
    </w:p>
    <w:tbl>
      <w:tblPr>
        <w:tblStyle w:val="TableGrid"/>
        <w:tblW w:w="5000" w:type="pct"/>
        <w:jc w:val="center"/>
        <w:tblLook w:val="04A0"/>
      </w:tblPr>
      <w:tblGrid>
        <w:gridCol w:w="2017"/>
        <w:gridCol w:w="1348"/>
        <w:gridCol w:w="6211"/>
      </w:tblGrid>
      <w:tr w:rsidR="00D45B0F" w:rsidRPr="005F6684" w:rsidTr="00C05871">
        <w:trPr>
          <w:trHeight w:hRule="exact" w:val="648"/>
          <w:jc w:val="center"/>
        </w:trPr>
        <w:tc>
          <w:tcPr>
            <w:tcW w:w="1053" w:type="pct"/>
            <w:vAlign w:val="center"/>
          </w:tcPr>
          <w:p w:rsidR="00D45B0F" w:rsidRPr="005F6684" w:rsidRDefault="00D45B0F" w:rsidP="005F6684">
            <w:pPr>
              <w:jc w:val="center"/>
              <w:rPr>
                <w:rFonts w:cs="Times New Roman"/>
                <w:b/>
                <w:szCs w:val="20"/>
              </w:rPr>
            </w:pPr>
            <w:r w:rsidRPr="005F6684">
              <w:rPr>
                <w:rFonts w:cs="Times New Roman"/>
                <w:b/>
                <w:szCs w:val="20"/>
              </w:rPr>
              <w:t>Hotspots</w:t>
            </w:r>
          </w:p>
        </w:tc>
        <w:tc>
          <w:tcPr>
            <w:tcW w:w="704" w:type="pct"/>
            <w:vAlign w:val="center"/>
          </w:tcPr>
          <w:p w:rsidR="00D45B0F" w:rsidRPr="005F6684" w:rsidRDefault="00D45B0F" w:rsidP="005F6684">
            <w:pPr>
              <w:jc w:val="center"/>
              <w:rPr>
                <w:rFonts w:cs="Times New Roman"/>
                <w:b/>
                <w:szCs w:val="20"/>
              </w:rPr>
            </w:pPr>
            <w:r w:rsidRPr="005F6684">
              <w:rPr>
                <w:rFonts w:cs="Times New Roman"/>
                <w:b/>
                <w:szCs w:val="20"/>
              </w:rPr>
              <w:t>Number of Districts</w:t>
            </w:r>
          </w:p>
        </w:tc>
        <w:tc>
          <w:tcPr>
            <w:tcW w:w="3243" w:type="pct"/>
            <w:vAlign w:val="center"/>
          </w:tcPr>
          <w:p w:rsidR="00D45B0F" w:rsidRPr="005F6684" w:rsidRDefault="00D45B0F" w:rsidP="005F6684">
            <w:pPr>
              <w:jc w:val="center"/>
              <w:rPr>
                <w:rFonts w:cs="Times New Roman"/>
                <w:b/>
                <w:szCs w:val="20"/>
              </w:rPr>
            </w:pPr>
            <w:r w:rsidRPr="005F6684">
              <w:rPr>
                <w:rFonts w:cs="Times New Roman"/>
                <w:b/>
                <w:szCs w:val="20"/>
              </w:rPr>
              <w:t>District Name</w:t>
            </w:r>
          </w:p>
        </w:tc>
      </w:tr>
      <w:tr w:rsidR="00D45B0F" w:rsidRPr="005F6684" w:rsidTr="00C05871">
        <w:trPr>
          <w:trHeight w:hRule="exact" w:val="648"/>
          <w:jc w:val="center"/>
        </w:trPr>
        <w:tc>
          <w:tcPr>
            <w:tcW w:w="1053" w:type="pct"/>
            <w:vAlign w:val="center"/>
          </w:tcPr>
          <w:p w:rsidR="00D45B0F" w:rsidRPr="008941BA" w:rsidRDefault="00D45B0F" w:rsidP="005F6684">
            <w:pPr>
              <w:rPr>
                <w:rFonts w:cs="Times New Roman"/>
                <w:sz w:val="22"/>
                <w:szCs w:val="20"/>
              </w:rPr>
            </w:pPr>
            <w:r w:rsidRPr="008941BA">
              <w:rPr>
                <w:rFonts w:cs="Times New Roman"/>
                <w:sz w:val="22"/>
                <w:szCs w:val="20"/>
              </w:rPr>
              <w:t>Haor Region</w:t>
            </w:r>
          </w:p>
        </w:tc>
        <w:tc>
          <w:tcPr>
            <w:tcW w:w="704" w:type="pct"/>
            <w:vAlign w:val="center"/>
          </w:tcPr>
          <w:p w:rsidR="00D45B0F" w:rsidRPr="008941BA" w:rsidRDefault="00D45B0F" w:rsidP="005F6684">
            <w:pPr>
              <w:jc w:val="center"/>
              <w:rPr>
                <w:rFonts w:cs="Times New Roman"/>
                <w:sz w:val="22"/>
                <w:szCs w:val="20"/>
              </w:rPr>
            </w:pPr>
            <w:r w:rsidRPr="008941BA">
              <w:rPr>
                <w:rFonts w:cs="Times New Roman"/>
                <w:sz w:val="22"/>
                <w:szCs w:val="20"/>
              </w:rPr>
              <w:t>7</w:t>
            </w:r>
          </w:p>
        </w:tc>
        <w:tc>
          <w:tcPr>
            <w:tcW w:w="3243" w:type="pct"/>
            <w:vAlign w:val="center"/>
          </w:tcPr>
          <w:p w:rsidR="00D45B0F" w:rsidRPr="008941BA" w:rsidRDefault="00D45B0F" w:rsidP="005F6684">
            <w:pPr>
              <w:jc w:val="both"/>
              <w:rPr>
                <w:rFonts w:cs="Times New Roman"/>
                <w:sz w:val="22"/>
                <w:szCs w:val="20"/>
              </w:rPr>
            </w:pPr>
            <w:r w:rsidRPr="008941BA">
              <w:rPr>
                <w:rFonts w:cs="Times New Roman"/>
                <w:sz w:val="22"/>
                <w:szCs w:val="20"/>
              </w:rPr>
              <w:t>Brahmanbaria, Habiganj, Kishoreganj, Moulvibazar, Netrokona, Sunamganj, Sylhet</w:t>
            </w:r>
          </w:p>
        </w:tc>
      </w:tr>
      <w:tr w:rsidR="00D45B0F" w:rsidRPr="005F6684" w:rsidTr="00C05871">
        <w:trPr>
          <w:trHeight w:hRule="exact" w:val="936"/>
          <w:jc w:val="center"/>
        </w:trPr>
        <w:tc>
          <w:tcPr>
            <w:tcW w:w="1053" w:type="pct"/>
            <w:vAlign w:val="center"/>
          </w:tcPr>
          <w:p w:rsidR="00D45B0F" w:rsidRPr="008941BA" w:rsidRDefault="00D45B0F" w:rsidP="005F6684">
            <w:pPr>
              <w:rPr>
                <w:rFonts w:cs="Times New Roman"/>
                <w:sz w:val="22"/>
                <w:szCs w:val="20"/>
              </w:rPr>
            </w:pPr>
            <w:r w:rsidRPr="008941BA">
              <w:rPr>
                <w:rFonts w:cs="Times New Roman"/>
                <w:sz w:val="22"/>
                <w:szCs w:val="20"/>
              </w:rPr>
              <w:t>Coastal Region</w:t>
            </w:r>
          </w:p>
        </w:tc>
        <w:tc>
          <w:tcPr>
            <w:tcW w:w="704" w:type="pct"/>
            <w:vAlign w:val="center"/>
          </w:tcPr>
          <w:p w:rsidR="00D45B0F" w:rsidRPr="008941BA" w:rsidRDefault="00656973" w:rsidP="005F6684">
            <w:pPr>
              <w:jc w:val="center"/>
              <w:rPr>
                <w:rFonts w:cs="Times New Roman"/>
                <w:sz w:val="22"/>
                <w:szCs w:val="20"/>
              </w:rPr>
            </w:pPr>
            <w:r w:rsidRPr="008941BA">
              <w:rPr>
                <w:rFonts w:cs="Times New Roman"/>
                <w:sz w:val="22"/>
                <w:szCs w:val="20"/>
              </w:rPr>
              <w:t>16</w:t>
            </w:r>
          </w:p>
        </w:tc>
        <w:tc>
          <w:tcPr>
            <w:tcW w:w="3243" w:type="pct"/>
            <w:vAlign w:val="center"/>
          </w:tcPr>
          <w:p w:rsidR="00D45B0F" w:rsidRPr="008941BA" w:rsidRDefault="00D45B0F" w:rsidP="005F6684">
            <w:pPr>
              <w:jc w:val="both"/>
              <w:rPr>
                <w:rFonts w:cs="Times New Roman"/>
                <w:sz w:val="22"/>
                <w:szCs w:val="20"/>
              </w:rPr>
            </w:pPr>
            <w:r w:rsidRPr="008941BA">
              <w:rPr>
                <w:rFonts w:cs="Times New Roman"/>
                <w:sz w:val="22"/>
                <w:szCs w:val="20"/>
              </w:rPr>
              <w:t>Bagerhat, Ba</w:t>
            </w:r>
            <w:r w:rsidR="00574116" w:rsidRPr="008941BA">
              <w:rPr>
                <w:rFonts w:cs="Times New Roman"/>
                <w:sz w:val="22"/>
                <w:szCs w:val="20"/>
              </w:rPr>
              <w:t>rguna, Barisal, Bhola,</w:t>
            </w:r>
            <w:r w:rsidRPr="008941BA">
              <w:rPr>
                <w:rFonts w:cs="Times New Roman"/>
                <w:sz w:val="22"/>
                <w:szCs w:val="20"/>
              </w:rPr>
              <w:t xml:space="preserve"> Chittagong, Cox’s Bazar, Feni, Jessore, Jhalokathi, Khulna, Lakshmipur, Narail, Noakhali, </w:t>
            </w:r>
            <w:r w:rsidR="00656973" w:rsidRPr="008941BA">
              <w:rPr>
                <w:rFonts w:cs="Times New Roman"/>
                <w:sz w:val="22"/>
                <w:szCs w:val="20"/>
              </w:rPr>
              <w:t>Potuakhali, Pirojpur</w:t>
            </w:r>
            <w:r w:rsidRPr="008941BA">
              <w:rPr>
                <w:rFonts w:cs="Times New Roman"/>
                <w:sz w:val="22"/>
                <w:szCs w:val="20"/>
              </w:rPr>
              <w:t>, Satkhira</w:t>
            </w:r>
          </w:p>
        </w:tc>
      </w:tr>
      <w:tr w:rsidR="00D45B0F" w:rsidRPr="005F6684" w:rsidTr="003E13BD">
        <w:trPr>
          <w:trHeight w:hRule="exact" w:val="576"/>
          <w:jc w:val="center"/>
        </w:trPr>
        <w:tc>
          <w:tcPr>
            <w:tcW w:w="1053" w:type="pct"/>
            <w:vAlign w:val="center"/>
          </w:tcPr>
          <w:p w:rsidR="00D45B0F" w:rsidRPr="008941BA" w:rsidRDefault="001C74D9" w:rsidP="005F6684">
            <w:pPr>
              <w:rPr>
                <w:rFonts w:cs="Times New Roman"/>
                <w:sz w:val="22"/>
                <w:szCs w:val="20"/>
              </w:rPr>
            </w:pPr>
            <w:r w:rsidRPr="008941BA">
              <w:rPr>
                <w:rFonts w:cs="Times New Roman"/>
                <w:sz w:val="22"/>
                <w:szCs w:val="20"/>
              </w:rPr>
              <w:t>Chittagong</w:t>
            </w:r>
            <w:r w:rsidR="00D45B0F" w:rsidRPr="008941BA">
              <w:rPr>
                <w:rFonts w:cs="Times New Roman"/>
                <w:sz w:val="22"/>
                <w:szCs w:val="20"/>
              </w:rPr>
              <w:t xml:space="preserve"> Hill Tracts</w:t>
            </w:r>
          </w:p>
        </w:tc>
        <w:tc>
          <w:tcPr>
            <w:tcW w:w="704" w:type="pct"/>
            <w:vAlign w:val="center"/>
          </w:tcPr>
          <w:p w:rsidR="00D45B0F" w:rsidRPr="008941BA" w:rsidRDefault="00D45B0F" w:rsidP="005F6684">
            <w:pPr>
              <w:jc w:val="center"/>
              <w:rPr>
                <w:rFonts w:cs="Times New Roman"/>
                <w:sz w:val="22"/>
                <w:szCs w:val="20"/>
              </w:rPr>
            </w:pPr>
            <w:r w:rsidRPr="008941BA">
              <w:rPr>
                <w:rFonts w:cs="Times New Roman"/>
                <w:sz w:val="22"/>
                <w:szCs w:val="20"/>
              </w:rPr>
              <w:t>3</w:t>
            </w:r>
          </w:p>
        </w:tc>
        <w:tc>
          <w:tcPr>
            <w:tcW w:w="3243" w:type="pct"/>
            <w:vAlign w:val="center"/>
          </w:tcPr>
          <w:p w:rsidR="00D45B0F" w:rsidRPr="008941BA" w:rsidRDefault="00D45B0F" w:rsidP="005F6684">
            <w:pPr>
              <w:jc w:val="both"/>
              <w:rPr>
                <w:rFonts w:cs="Times New Roman"/>
                <w:sz w:val="22"/>
                <w:szCs w:val="20"/>
              </w:rPr>
            </w:pPr>
            <w:r w:rsidRPr="008941BA">
              <w:rPr>
                <w:rFonts w:cs="Times New Roman"/>
                <w:sz w:val="22"/>
                <w:szCs w:val="20"/>
              </w:rPr>
              <w:t>Bandarban, Khagrachhari, Rangamati</w:t>
            </w:r>
          </w:p>
        </w:tc>
      </w:tr>
      <w:tr w:rsidR="00D45B0F" w:rsidRPr="005F6684" w:rsidTr="00C05871">
        <w:trPr>
          <w:trHeight w:hRule="exact" w:val="432"/>
          <w:jc w:val="center"/>
        </w:trPr>
        <w:tc>
          <w:tcPr>
            <w:tcW w:w="1053" w:type="pct"/>
            <w:vAlign w:val="center"/>
          </w:tcPr>
          <w:p w:rsidR="00D45B0F" w:rsidRPr="008941BA" w:rsidRDefault="00D45B0F" w:rsidP="005F6684">
            <w:pPr>
              <w:rPr>
                <w:rFonts w:cs="Times New Roman"/>
                <w:sz w:val="22"/>
                <w:szCs w:val="20"/>
              </w:rPr>
            </w:pPr>
            <w:r w:rsidRPr="008941BA">
              <w:rPr>
                <w:rFonts w:cs="Times New Roman"/>
                <w:sz w:val="22"/>
                <w:szCs w:val="20"/>
              </w:rPr>
              <w:t>Urban Area</w:t>
            </w:r>
          </w:p>
        </w:tc>
        <w:tc>
          <w:tcPr>
            <w:tcW w:w="704" w:type="pct"/>
            <w:vAlign w:val="center"/>
          </w:tcPr>
          <w:p w:rsidR="00D45B0F" w:rsidRPr="008941BA" w:rsidRDefault="00D45B0F" w:rsidP="005F6684">
            <w:pPr>
              <w:jc w:val="center"/>
              <w:rPr>
                <w:rFonts w:cs="Times New Roman"/>
                <w:sz w:val="22"/>
                <w:szCs w:val="20"/>
              </w:rPr>
            </w:pPr>
            <w:r w:rsidRPr="008941BA">
              <w:rPr>
                <w:rFonts w:cs="Times New Roman"/>
                <w:sz w:val="22"/>
                <w:szCs w:val="20"/>
              </w:rPr>
              <w:t>6</w:t>
            </w:r>
          </w:p>
        </w:tc>
        <w:tc>
          <w:tcPr>
            <w:tcW w:w="3243" w:type="pct"/>
            <w:vAlign w:val="center"/>
          </w:tcPr>
          <w:p w:rsidR="00D45B0F" w:rsidRPr="008941BA" w:rsidRDefault="00D45B0F" w:rsidP="005F6684">
            <w:pPr>
              <w:jc w:val="both"/>
              <w:rPr>
                <w:rFonts w:cs="Times New Roman"/>
                <w:sz w:val="22"/>
                <w:szCs w:val="20"/>
              </w:rPr>
            </w:pPr>
            <w:r w:rsidRPr="008941BA">
              <w:rPr>
                <w:rFonts w:cs="Times New Roman"/>
                <w:sz w:val="22"/>
                <w:szCs w:val="20"/>
              </w:rPr>
              <w:t>Barisal, Chittagong, Dhaka, Khulna, Rajshahi, Sylhet</w:t>
            </w:r>
          </w:p>
        </w:tc>
      </w:tr>
      <w:tr w:rsidR="00D45B0F" w:rsidRPr="005F6684" w:rsidTr="008941BA">
        <w:trPr>
          <w:trHeight w:hRule="exact" w:val="928"/>
          <w:jc w:val="center"/>
        </w:trPr>
        <w:tc>
          <w:tcPr>
            <w:tcW w:w="1053" w:type="pct"/>
            <w:vAlign w:val="center"/>
          </w:tcPr>
          <w:p w:rsidR="00D45B0F" w:rsidRPr="008941BA" w:rsidRDefault="00D45B0F" w:rsidP="005F6684">
            <w:pPr>
              <w:rPr>
                <w:rFonts w:cs="Times New Roman"/>
                <w:sz w:val="22"/>
                <w:szCs w:val="20"/>
              </w:rPr>
            </w:pPr>
            <w:r w:rsidRPr="008941BA">
              <w:rPr>
                <w:rFonts w:cs="Times New Roman"/>
                <w:sz w:val="22"/>
                <w:szCs w:val="20"/>
              </w:rPr>
              <w:t>Drought Prone Area</w:t>
            </w:r>
          </w:p>
        </w:tc>
        <w:tc>
          <w:tcPr>
            <w:tcW w:w="704" w:type="pct"/>
            <w:vAlign w:val="center"/>
          </w:tcPr>
          <w:p w:rsidR="00D45B0F" w:rsidRPr="008941BA" w:rsidRDefault="00D45B0F" w:rsidP="005F6684">
            <w:pPr>
              <w:jc w:val="center"/>
              <w:rPr>
                <w:rFonts w:cs="Times New Roman"/>
                <w:sz w:val="22"/>
                <w:szCs w:val="20"/>
              </w:rPr>
            </w:pPr>
            <w:r w:rsidRPr="008941BA">
              <w:rPr>
                <w:rFonts w:cs="Times New Roman"/>
                <w:sz w:val="22"/>
                <w:szCs w:val="20"/>
              </w:rPr>
              <w:t>18</w:t>
            </w:r>
          </w:p>
        </w:tc>
        <w:tc>
          <w:tcPr>
            <w:tcW w:w="3243" w:type="pct"/>
            <w:vAlign w:val="center"/>
          </w:tcPr>
          <w:p w:rsidR="00D45B0F" w:rsidRPr="008941BA" w:rsidRDefault="00D45B0F" w:rsidP="005F6684">
            <w:pPr>
              <w:jc w:val="both"/>
              <w:rPr>
                <w:rFonts w:cs="Times New Roman"/>
                <w:sz w:val="22"/>
                <w:szCs w:val="20"/>
              </w:rPr>
            </w:pPr>
            <w:r w:rsidRPr="008941BA">
              <w:rPr>
                <w:rFonts w:cs="Times New Roman"/>
                <w:sz w:val="22"/>
                <w:szCs w:val="20"/>
              </w:rPr>
              <w:t>Bogra, Chuadanga, Dinajpur, Gaibandha, Joypurhat, Kushtia, Meherpur, Naogaon, Natore, Nawabganj, Nilphamari, Pabna, Panchagarh, Rajshahi, Rangpur, Satkhira, Sirajganj, Thakurgaon</w:t>
            </w:r>
          </w:p>
        </w:tc>
      </w:tr>
      <w:tr w:rsidR="00D45B0F" w:rsidRPr="005F6684" w:rsidTr="00C44ABF">
        <w:trPr>
          <w:trHeight w:hRule="exact" w:val="1432"/>
          <w:jc w:val="center"/>
        </w:trPr>
        <w:tc>
          <w:tcPr>
            <w:tcW w:w="1053" w:type="pct"/>
            <w:vAlign w:val="center"/>
          </w:tcPr>
          <w:p w:rsidR="00D45B0F" w:rsidRPr="008941BA" w:rsidRDefault="00D45B0F" w:rsidP="005F6684">
            <w:pPr>
              <w:rPr>
                <w:rFonts w:cs="Times New Roman"/>
                <w:sz w:val="22"/>
                <w:szCs w:val="20"/>
              </w:rPr>
            </w:pPr>
            <w:r w:rsidRPr="008941BA">
              <w:rPr>
                <w:rFonts w:cs="Times New Roman"/>
                <w:sz w:val="22"/>
                <w:szCs w:val="20"/>
              </w:rPr>
              <w:t>Rivers &amp; Estuaries</w:t>
            </w:r>
          </w:p>
        </w:tc>
        <w:tc>
          <w:tcPr>
            <w:tcW w:w="704" w:type="pct"/>
            <w:vAlign w:val="center"/>
          </w:tcPr>
          <w:p w:rsidR="00D45B0F" w:rsidRPr="008941BA" w:rsidRDefault="00D45B0F" w:rsidP="005F6684">
            <w:pPr>
              <w:jc w:val="center"/>
              <w:rPr>
                <w:rFonts w:cs="Times New Roman"/>
                <w:sz w:val="22"/>
                <w:szCs w:val="20"/>
              </w:rPr>
            </w:pPr>
            <w:r w:rsidRPr="008941BA">
              <w:rPr>
                <w:rFonts w:cs="Times New Roman"/>
                <w:sz w:val="22"/>
                <w:szCs w:val="20"/>
              </w:rPr>
              <w:t>28</w:t>
            </w:r>
          </w:p>
        </w:tc>
        <w:tc>
          <w:tcPr>
            <w:tcW w:w="3243" w:type="pct"/>
            <w:vAlign w:val="center"/>
          </w:tcPr>
          <w:p w:rsidR="00D45B0F" w:rsidRPr="008941BA" w:rsidRDefault="00D45B0F" w:rsidP="005F6684">
            <w:pPr>
              <w:jc w:val="both"/>
              <w:rPr>
                <w:rFonts w:cs="Times New Roman"/>
                <w:sz w:val="22"/>
                <w:szCs w:val="20"/>
              </w:rPr>
            </w:pPr>
            <w:r w:rsidRPr="008941BA">
              <w:rPr>
                <w:rFonts w:cs="Times New Roman"/>
                <w:sz w:val="22"/>
                <w:szCs w:val="20"/>
              </w:rPr>
              <w:t>Barguna, Barisal, Bhola, Bogra, Chandpur, Comilla, Faridpur, Feni, Gaibandha, Gopalganj, Jamalpur, Kurigram, Lakshmipur, Lalmonirhat, Madaripur, Manikganj, Munshiganj, Narayanganj, Natore, Nawabganj, Noakhali, Pabna, Potuakhali, Rajshahi, Rajbari, Shariatpur, Sirajganj, Tangail</w:t>
            </w:r>
          </w:p>
        </w:tc>
      </w:tr>
      <w:tr w:rsidR="00D45B0F" w:rsidRPr="005F6684" w:rsidTr="008941BA">
        <w:trPr>
          <w:trHeight w:hRule="exact" w:val="388"/>
          <w:jc w:val="center"/>
        </w:trPr>
        <w:tc>
          <w:tcPr>
            <w:tcW w:w="1053" w:type="pct"/>
            <w:vAlign w:val="center"/>
          </w:tcPr>
          <w:p w:rsidR="00D45B0F" w:rsidRPr="008941BA" w:rsidRDefault="00D45B0F" w:rsidP="005F6684">
            <w:pPr>
              <w:rPr>
                <w:rFonts w:cs="Times New Roman"/>
                <w:sz w:val="22"/>
                <w:szCs w:val="20"/>
              </w:rPr>
            </w:pPr>
            <w:r w:rsidRPr="008941BA">
              <w:rPr>
                <w:rFonts w:cs="Times New Roman"/>
                <w:sz w:val="22"/>
                <w:szCs w:val="20"/>
              </w:rPr>
              <w:t>Safe Areas</w:t>
            </w:r>
          </w:p>
        </w:tc>
        <w:tc>
          <w:tcPr>
            <w:tcW w:w="704" w:type="pct"/>
            <w:vAlign w:val="center"/>
          </w:tcPr>
          <w:p w:rsidR="00D45B0F" w:rsidRPr="008941BA" w:rsidRDefault="00D45B0F" w:rsidP="005F6684">
            <w:pPr>
              <w:jc w:val="center"/>
              <w:rPr>
                <w:rFonts w:cs="Times New Roman"/>
                <w:sz w:val="22"/>
                <w:szCs w:val="20"/>
              </w:rPr>
            </w:pPr>
            <w:r w:rsidRPr="008941BA">
              <w:rPr>
                <w:rFonts w:cs="Times New Roman"/>
                <w:sz w:val="22"/>
                <w:szCs w:val="20"/>
              </w:rPr>
              <w:t>6</w:t>
            </w:r>
          </w:p>
        </w:tc>
        <w:tc>
          <w:tcPr>
            <w:tcW w:w="3243" w:type="pct"/>
            <w:vAlign w:val="center"/>
          </w:tcPr>
          <w:p w:rsidR="00D45B0F" w:rsidRPr="008941BA" w:rsidRDefault="00D45B0F" w:rsidP="005F6684">
            <w:pPr>
              <w:jc w:val="both"/>
              <w:rPr>
                <w:rFonts w:cs="Times New Roman"/>
                <w:sz w:val="22"/>
                <w:szCs w:val="20"/>
              </w:rPr>
            </w:pPr>
            <w:r w:rsidRPr="008941BA">
              <w:rPr>
                <w:rFonts w:cs="Times New Roman"/>
                <w:sz w:val="22"/>
                <w:szCs w:val="20"/>
              </w:rPr>
              <w:t>Gazipur, Jhenaidah, Magura, Mymensingh, Nilphamari, Sherpur</w:t>
            </w:r>
          </w:p>
        </w:tc>
      </w:tr>
    </w:tbl>
    <w:p w:rsidR="00F27151" w:rsidRDefault="00F27151" w:rsidP="001C27B4">
      <w:pPr>
        <w:pStyle w:val="BodyText"/>
        <w:spacing w:before="120" w:after="240" w:line="276" w:lineRule="auto"/>
        <w:jc w:val="both"/>
        <w:rPr>
          <w:rFonts w:cs="Times New Roman"/>
          <w:szCs w:val="24"/>
        </w:rPr>
      </w:pPr>
      <w:r w:rsidRPr="001C27B4">
        <w:rPr>
          <w:b/>
          <w:i/>
          <w:sz w:val="20"/>
        </w:rPr>
        <w:t xml:space="preserve">Source: </w:t>
      </w:r>
      <w:r w:rsidR="00F85FFA">
        <w:rPr>
          <w:b/>
          <w:i/>
          <w:sz w:val="20"/>
        </w:rPr>
        <w:t xml:space="preserve">GED </w:t>
      </w:r>
      <w:r w:rsidR="001C27B4">
        <w:rPr>
          <w:b/>
          <w:i/>
          <w:sz w:val="20"/>
        </w:rPr>
        <w:t>Analysis</w:t>
      </w:r>
    </w:p>
    <w:p w:rsidR="001C74D9" w:rsidRDefault="001C74D9" w:rsidP="00692127">
      <w:pPr>
        <w:pStyle w:val="BodyText"/>
        <w:spacing w:after="240" w:line="276" w:lineRule="auto"/>
        <w:jc w:val="both"/>
        <w:rPr>
          <w:rFonts w:cs="Times New Roman"/>
          <w:szCs w:val="24"/>
        </w:rPr>
      </w:pPr>
      <w:r w:rsidRPr="00631AA2">
        <w:rPr>
          <w:rFonts w:cs="Times New Roman"/>
          <w:szCs w:val="24"/>
        </w:rPr>
        <w:t xml:space="preserve">The River and Estuaries </w:t>
      </w:r>
      <w:r w:rsidR="00ED1400">
        <w:rPr>
          <w:rFonts w:cs="Times New Roman"/>
          <w:szCs w:val="24"/>
        </w:rPr>
        <w:t xml:space="preserve">districts </w:t>
      </w:r>
      <w:r w:rsidRPr="00631AA2">
        <w:rPr>
          <w:rFonts w:cs="Times New Roman"/>
          <w:szCs w:val="24"/>
        </w:rPr>
        <w:t xml:space="preserve">constitute the majority share of Bangladesh’s </w:t>
      </w:r>
      <w:r>
        <w:rPr>
          <w:rFonts w:cs="Times New Roman"/>
          <w:szCs w:val="24"/>
        </w:rPr>
        <w:t>population</w:t>
      </w:r>
      <w:r w:rsidRPr="00631AA2">
        <w:rPr>
          <w:rFonts w:cs="Times New Roman"/>
          <w:szCs w:val="24"/>
        </w:rPr>
        <w:t>. The Chittagong Hill Tracts (CHT) area is sparsely populated.  The urban areas have the highest population density.  They also have</w:t>
      </w:r>
      <w:r>
        <w:rPr>
          <w:rFonts w:cs="Times New Roman"/>
          <w:szCs w:val="24"/>
        </w:rPr>
        <w:t xml:space="preserve"> the highest per capita income and </w:t>
      </w:r>
      <w:r w:rsidRPr="00631AA2">
        <w:rPr>
          <w:rFonts w:cs="Times New Roman"/>
          <w:szCs w:val="24"/>
        </w:rPr>
        <w:t>h</w:t>
      </w:r>
      <w:r>
        <w:rPr>
          <w:rFonts w:cs="Times New Roman"/>
          <w:szCs w:val="24"/>
        </w:rPr>
        <w:t>ighest literacy rates</w:t>
      </w:r>
      <w:r w:rsidRPr="00631AA2">
        <w:rPr>
          <w:rFonts w:cs="Times New Roman"/>
          <w:szCs w:val="24"/>
        </w:rPr>
        <w:t>. On average the C</w:t>
      </w:r>
      <w:r>
        <w:rPr>
          <w:rFonts w:cs="Times New Roman"/>
          <w:szCs w:val="24"/>
        </w:rPr>
        <w:t>H</w:t>
      </w:r>
      <w:r w:rsidRPr="00631AA2">
        <w:rPr>
          <w:rFonts w:cs="Times New Roman"/>
          <w:szCs w:val="24"/>
        </w:rPr>
        <w:t xml:space="preserve">T and Hoar regions tend to have the lowest per capita </w:t>
      </w:r>
      <w:r>
        <w:rPr>
          <w:rFonts w:cs="Times New Roman"/>
          <w:szCs w:val="24"/>
        </w:rPr>
        <w:t xml:space="preserve">income and literacy rates, </w:t>
      </w:r>
      <w:r w:rsidRPr="00631AA2">
        <w:rPr>
          <w:rFonts w:cs="Times New Roman"/>
          <w:szCs w:val="24"/>
        </w:rPr>
        <w:t>closely followed by the drought prone region</w:t>
      </w:r>
      <w:r>
        <w:rPr>
          <w:rFonts w:cs="Times New Roman"/>
          <w:szCs w:val="24"/>
        </w:rPr>
        <w:t>.  The detailed socio-economic characteristics and poverty profile of hotspots are contained in Chapter 2.</w:t>
      </w:r>
    </w:p>
    <w:p w:rsidR="00F64A6A" w:rsidRDefault="003C66DD" w:rsidP="00F64A6A">
      <w:pPr>
        <w:pStyle w:val="Heading2"/>
        <w:numPr>
          <w:ilvl w:val="0"/>
          <w:numId w:val="0"/>
        </w:numPr>
        <w:ind w:left="720"/>
      </w:pPr>
      <w:bookmarkStart w:id="27" w:name="_Toc474638837"/>
      <w:r>
        <w:t xml:space="preserve">Bangladesh </w:t>
      </w:r>
      <w:r w:rsidR="008E485C">
        <w:t>Delta</w:t>
      </w:r>
      <w:r>
        <w:t xml:space="preserve"> Opportunities</w:t>
      </w:r>
      <w:bookmarkEnd w:id="27"/>
    </w:p>
    <w:p w:rsidR="00375A35" w:rsidRPr="00ED7E5F" w:rsidRDefault="003C66DD" w:rsidP="00692127">
      <w:pPr>
        <w:spacing w:line="276" w:lineRule="auto"/>
        <w:jc w:val="both"/>
        <w:rPr>
          <w:rFonts w:cs="Times New Roman"/>
        </w:rPr>
      </w:pPr>
      <w:r w:rsidRPr="00ED7E5F">
        <w:rPr>
          <w:rFonts w:cs="Times New Roman"/>
        </w:rPr>
        <w:t>The delta opportunities are many.  The soil and water combination</w:t>
      </w:r>
      <w:r w:rsidR="00ED1400">
        <w:rPr>
          <w:rFonts w:cs="Times New Roman"/>
        </w:rPr>
        <w:t xml:space="preserve"> makes Bangladeshi land highly fertile </w:t>
      </w:r>
      <w:r w:rsidRPr="00ED7E5F">
        <w:rPr>
          <w:rFonts w:cs="Times New Roman"/>
        </w:rPr>
        <w:t xml:space="preserve">with multiple cropping opportunities. Bangladesh has wisely combined this natural </w:t>
      </w:r>
      <w:r w:rsidR="006E0575">
        <w:rPr>
          <w:rFonts w:cs="Times New Roman"/>
        </w:rPr>
        <w:t>advantage with seed-fertilizer</w:t>
      </w:r>
      <w:r w:rsidRPr="00ED7E5F">
        <w:rPr>
          <w:rFonts w:cs="Times New Roman"/>
        </w:rPr>
        <w:t xml:space="preserve"> irrigation technology to intensify land cultivation and expand food production, primarily rice. This has allowed Bangladesh to </w:t>
      </w:r>
      <w:r w:rsidR="004465FF">
        <w:rPr>
          <w:rFonts w:cs="Times New Roman"/>
        </w:rPr>
        <w:t xml:space="preserve">increase rice production from 12 million </w:t>
      </w:r>
      <w:r w:rsidR="00FE6385">
        <w:rPr>
          <w:rFonts w:cs="Times New Roman"/>
        </w:rPr>
        <w:t>tonne</w:t>
      </w:r>
      <w:r w:rsidR="004465FF">
        <w:rPr>
          <w:rFonts w:cs="Times New Roman"/>
        </w:rPr>
        <w:t>s in 1973 to 35</w:t>
      </w:r>
      <w:r w:rsidRPr="00ED7E5F">
        <w:rPr>
          <w:rFonts w:cs="Times New Roman"/>
        </w:rPr>
        <w:t xml:space="preserve"> million </w:t>
      </w:r>
      <w:r w:rsidR="00FE6385">
        <w:rPr>
          <w:rFonts w:cs="Times New Roman"/>
        </w:rPr>
        <w:t>tonne</w:t>
      </w:r>
      <w:r w:rsidRPr="00ED7E5F">
        <w:rPr>
          <w:rFonts w:cs="Times New Roman"/>
        </w:rPr>
        <w:t xml:space="preserve">s in 2015.  Along with a very successful population control policy, Bangladesh has now met food self-sufficiency requirements with prospects for rice exports.   </w:t>
      </w:r>
      <w:r w:rsidR="001C1BF4" w:rsidRPr="00ED7E5F">
        <w:rPr>
          <w:rFonts w:cs="Times New Roman"/>
        </w:rPr>
        <w:t xml:space="preserve">This amazing achievement despite the multiple risks posed by the delta and climate change is a remarkable feather in the hat of the Bangladeshi policy makers.  </w:t>
      </w:r>
    </w:p>
    <w:p w:rsidR="00375A35" w:rsidRPr="00ED7E5F" w:rsidRDefault="00375A35" w:rsidP="00692127">
      <w:pPr>
        <w:spacing w:line="276" w:lineRule="auto"/>
        <w:jc w:val="both"/>
        <w:rPr>
          <w:rFonts w:cs="Times New Roman"/>
        </w:rPr>
      </w:pPr>
      <w:r w:rsidRPr="00ED7E5F">
        <w:rPr>
          <w:rFonts w:cs="Times New Roman"/>
        </w:rPr>
        <w:lastRenderedPageBreak/>
        <w:t xml:space="preserve">The plentiful of rivers, fresh wetlands, and lakes provide ample scope for fishing resources.  More recently, Bangladesh has been increasingly exploiting the open access to sea. Marine fishing has </w:t>
      </w:r>
      <w:r w:rsidR="004E0598" w:rsidRPr="004E0598">
        <w:rPr>
          <w:rFonts w:cs="Times New Roman"/>
        </w:rPr>
        <w:t>become</w:t>
      </w:r>
      <w:r w:rsidR="009A599C">
        <w:rPr>
          <w:rFonts w:cs="Times New Roman"/>
        </w:rPr>
        <w:t xml:space="preserve"> a potentially important source</w:t>
      </w:r>
      <w:r w:rsidR="00ED1400">
        <w:rPr>
          <w:rFonts w:cs="Times New Roman"/>
        </w:rPr>
        <w:t xml:space="preserve"> of f</w:t>
      </w:r>
      <w:r w:rsidR="004E0598" w:rsidRPr="004E0598">
        <w:rPr>
          <w:rFonts w:cs="Times New Roman"/>
        </w:rPr>
        <w:t>ish</w:t>
      </w:r>
      <w:r w:rsidRPr="00ED7E5F">
        <w:rPr>
          <w:rFonts w:cs="Times New Roman"/>
        </w:rPr>
        <w:t>.  Owing to the growing importance of fishing, the structure of agriculture is slowly changing as the share of crop agriculture is falling and that of fisheries increasing. Consequently, the value-added</w:t>
      </w:r>
      <w:r w:rsidR="00ED1400">
        <w:rPr>
          <w:rFonts w:cs="Times New Roman"/>
        </w:rPr>
        <w:t xml:space="preserve"> and employment shares of fisheries are increasing.  The role,</w:t>
      </w:r>
      <w:r w:rsidRPr="00ED7E5F">
        <w:rPr>
          <w:rFonts w:cs="Times New Roman"/>
        </w:rPr>
        <w:t xml:space="preserve"> importance and challenges of </w:t>
      </w:r>
      <w:r w:rsidR="00ED1400">
        <w:rPr>
          <w:rFonts w:cs="Times New Roman"/>
        </w:rPr>
        <w:t xml:space="preserve">the </w:t>
      </w:r>
      <w:r w:rsidRPr="00ED7E5F">
        <w:rPr>
          <w:rFonts w:cs="Times New Roman"/>
        </w:rPr>
        <w:t>agri</w:t>
      </w:r>
      <w:r w:rsidR="00ED1400">
        <w:rPr>
          <w:rFonts w:cs="Times New Roman"/>
        </w:rPr>
        <w:t>culture sector including fisheries</w:t>
      </w:r>
      <w:r w:rsidRPr="00ED7E5F">
        <w:rPr>
          <w:rFonts w:cs="Times New Roman"/>
        </w:rPr>
        <w:t xml:space="preserve"> are discussed in det</w:t>
      </w:r>
      <w:r w:rsidR="009423A8">
        <w:rPr>
          <w:rFonts w:cs="Times New Roman"/>
        </w:rPr>
        <w:t>ail in Chapter 8</w:t>
      </w:r>
      <w:r w:rsidRPr="00ED7E5F">
        <w:rPr>
          <w:rFonts w:cs="Times New Roman"/>
        </w:rPr>
        <w:t xml:space="preserve">. </w:t>
      </w:r>
    </w:p>
    <w:p w:rsidR="00375A35" w:rsidRPr="00ED7E5F" w:rsidRDefault="00AA2D9C" w:rsidP="00692127">
      <w:pPr>
        <w:spacing w:line="276" w:lineRule="auto"/>
        <w:jc w:val="both"/>
        <w:rPr>
          <w:rFonts w:cs="Times New Roman"/>
        </w:rPr>
      </w:pPr>
      <w:r w:rsidRPr="00ED7E5F">
        <w:rPr>
          <w:rFonts w:cs="Times New Roman"/>
        </w:rPr>
        <w:t xml:space="preserve">The plentiful of rivers in Bangladesh provide another huge comparative advantage.  Almost all districts of Bangladesh are connected with each other and with the growth centers of Dhaka, Chittagong and Khulna through river ways. The inland waterways provide an environmentally friendly and low-cost transport option for both passengers and cargo for the country as a whole but especially for the rural poor.  Inland water transport is </w:t>
      </w:r>
      <w:r w:rsidR="004E0598">
        <w:rPr>
          <w:rFonts w:cs="Times New Roman"/>
        </w:rPr>
        <w:t>one of the important</w:t>
      </w:r>
      <w:r w:rsidRPr="00ED7E5F">
        <w:rPr>
          <w:rFonts w:cs="Times New Roman"/>
        </w:rPr>
        <w:t xml:space="preserve"> source</w:t>
      </w:r>
      <w:r w:rsidR="004E0598">
        <w:rPr>
          <w:rFonts w:cs="Times New Roman"/>
        </w:rPr>
        <w:t>s</w:t>
      </w:r>
      <w:r w:rsidRPr="00ED7E5F">
        <w:rPr>
          <w:rFonts w:cs="Times New Roman"/>
        </w:rPr>
        <w:t xml:space="preserve"> of rural employment. Unfortunately, this comparative advantage has not been properly exploited</w:t>
      </w:r>
      <w:r w:rsidR="00ED1400">
        <w:rPr>
          <w:rFonts w:cs="Times New Roman"/>
        </w:rPr>
        <w:t xml:space="preserve"> by Bangladesh</w:t>
      </w:r>
      <w:r w:rsidR="00700B9D">
        <w:rPr>
          <w:rFonts w:cs="Times New Roman"/>
        </w:rPr>
        <w:t>.</w:t>
      </w:r>
      <w:r w:rsidRPr="00ED7E5F">
        <w:rPr>
          <w:rFonts w:cs="Times New Roman"/>
        </w:rPr>
        <w:t xml:space="preserve">  More focus on riv</w:t>
      </w:r>
      <w:r w:rsidR="00ED1400">
        <w:rPr>
          <w:rFonts w:cs="Times New Roman"/>
        </w:rPr>
        <w:t xml:space="preserve">er transport can provide a major </w:t>
      </w:r>
      <w:r w:rsidRPr="00ED7E5F">
        <w:rPr>
          <w:rFonts w:cs="Times New Roman"/>
        </w:rPr>
        <w:t xml:space="preserve">opportunity to lower </w:t>
      </w:r>
      <w:r w:rsidR="00ED1400">
        <w:rPr>
          <w:rFonts w:cs="Times New Roman"/>
        </w:rPr>
        <w:t xml:space="preserve">the </w:t>
      </w:r>
      <w:r w:rsidRPr="00ED7E5F">
        <w:rPr>
          <w:rFonts w:cs="Times New Roman"/>
        </w:rPr>
        <w:t>cost of production, reduce environmental degradation, conserv</w:t>
      </w:r>
      <w:r w:rsidR="00ED1400">
        <w:rPr>
          <w:rFonts w:cs="Times New Roman"/>
        </w:rPr>
        <w:t>e</w:t>
      </w:r>
      <w:r w:rsidRPr="00ED7E5F">
        <w:rPr>
          <w:rFonts w:cs="Times New Roman"/>
        </w:rPr>
        <w:t xml:space="preserve"> budgetary resources and add to employmen</w:t>
      </w:r>
      <w:r w:rsidR="00041A07">
        <w:rPr>
          <w:rFonts w:cs="Times New Roman"/>
        </w:rPr>
        <w:t>t prospects for the poor.  The i</w:t>
      </w:r>
      <w:r w:rsidRPr="00ED7E5F">
        <w:rPr>
          <w:rFonts w:cs="Times New Roman"/>
        </w:rPr>
        <w:t>nland water transport issues are</w:t>
      </w:r>
      <w:r w:rsidR="00007C14">
        <w:rPr>
          <w:rFonts w:cs="Times New Roman"/>
        </w:rPr>
        <w:t xml:space="preserve"> discussed in dept</w:t>
      </w:r>
      <w:r w:rsidR="00ED1400">
        <w:rPr>
          <w:rFonts w:cs="Times New Roman"/>
        </w:rPr>
        <w:t>h</w:t>
      </w:r>
      <w:r w:rsidR="00007C14">
        <w:rPr>
          <w:rFonts w:cs="Times New Roman"/>
        </w:rPr>
        <w:t xml:space="preserve"> in Chapter 9</w:t>
      </w:r>
      <w:r w:rsidR="004B40BC">
        <w:rPr>
          <w:rFonts w:cs="Times New Roman"/>
        </w:rPr>
        <w:t xml:space="preserve">. </w:t>
      </w:r>
    </w:p>
    <w:p w:rsidR="00F65536" w:rsidRPr="00ED7E5F" w:rsidRDefault="00F65536" w:rsidP="00692127">
      <w:pPr>
        <w:spacing w:line="276" w:lineRule="auto"/>
        <w:jc w:val="both"/>
        <w:rPr>
          <w:rFonts w:cs="Times New Roman"/>
        </w:rPr>
      </w:pPr>
      <w:r w:rsidRPr="00ED7E5F">
        <w:rPr>
          <w:rFonts w:cs="Times New Roman"/>
        </w:rPr>
        <w:t xml:space="preserve">The open access to sea is a huge advantage to Bangladesh. In addition to the port facilities that could serve the needs of the growing internal trade and commerce needs of Bangladesh, with proper investments Bangladesh can become a regional hub for sea transportation.  Examples of dynamic port cities like Rotterdam, Singapore and </w:t>
      </w:r>
      <w:r w:rsidR="00376FBF" w:rsidRPr="00ED7E5F">
        <w:rPr>
          <w:rFonts w:cs="Times New Roman"/>
        </w:rPr>
        <w:t>Hong Kong</w:t>
      </w:r>
      <w:r w:rsidRPr="00ED7E5F">
        <w:rPr>
          <w:rFonts w:cs="Times New Roman"/>
        </w:rPr>
        <w:t xml:space="preserve"> show dramatically how proper planning and investments can convert this natural advantage to a huge development gain for Bangladesh.   Increasingly, the open access to sea is becoming a major opportunity in another way. The rapidly growing demand for energy in Bangladesh owing to increasing GDP growth led by the expansion of manufacturing sector </w:t>
      </w:r>
      <w:r w:rsidR="00067953" w:rsidRPr="00ED7E5F">
        <w:rPr>
          <w:rFonts w:cs="Times New Roman"/>
        </w:rPr>
        <w:t>is facing a huge challenge of primary energy shortage.  The rapid depletion of natural gas has led to a search for other primary fuels.  The Government has rightly decided that sole reliance on imported fossil fuel cannot be the answer.  In addition to the fluctuations and uncertainties of global oil prices that cause tremendous fiscal and balance of payments uncertainties, Bangladesh is acutel</w:t>
      </w:r>
      <w:r w:rsidR="00041A07">
        <w:rPr>
          <w:rFonts w:cs="Times New Roman"/>
        </w:rPr>
        <w:t xml:space="preserve">y aware of the need to adopt cleaner energy option to </w:t>
      </w:r>
      <w:r w:rsidR="00067953" w:rsidRPr="00ED7E5F">
        <w:rPr>
          <w:rFonts w:cs="Times New Roman"/>
        </w:rPr>
        <w:t xml:space="preserve">oil.  This search has led to a strategy of procuring clean imported coal, LNG and LPG.  All these </w:t>
      </w:r>
      <w:r w:rsidR="00041A07">
        <w:rPr>
          <w:rFonts w:cs="Times New Roman"/>
        </w:rPr>
        <w:t xml:space="preserve">primarily </w:t>
      </w:r>
      <w:r w:rsidR="00067953" w:rsidRPr="00ED7E5F">
        <w:rPr>
          <w:rFonts w:cs="Times New Roman"/>
        </w:rPr>
        <w:t xml:space="preserve">require port facilities to handle these bulky cargoes. </w:t>
      </w:r>
      <w:r w:rsidR="00007C14">
        <w:rPr>
          <w:rFonts w:cs="Times New Roman"/>
        </w:rPr>
        <w:t xml:space="preserve">Bangladesh is slowly capitalizing this open access to sea by establishing new ports, in addition </w:t>
      </w:r>
      <w:r w:rsidR="00376FBF">
        <w:rPr>
          <w:rFonts w:cs="Times New Roman"/>
        </w:rPr>
        <w:t>to</w:t>
      </w:r>
      <w:r w:rsidR="00007C14">
        <w:rPr>
          <w:rFonts w:cs="Times New Roman"/>
        </w:rPr>
        <w:t xml:space="preserve"> Chittagong and Mongla ports. The ongoing Pyra port construction in Patuakhali is an example of this. There are many other opportunities that could boost Bangladesh trade and commerce by reducing the cost of trade logistics through easier and lower cost access to ports in terms of time and money. </w:t>
      </w:r>
    </w:p>
    <w:p w:rsidR="00DB04A4" w:rsidRPr="00ED7E5F" w:rsidRDefault="00DE413C" w:rsidP="00692127">
      <w:pPr>
        <w:spacing w:line="276" w:lineRule="auto"/>
        <w:jc w:val="both"/>
        <w:rPr>
          <w:rFonts w:cs="Times New Roman"/>
        </w:rPr>
      </w:pPr>
      <w:r>
        <w:rPr>
          <w:rFonts w:cs="Times New Roman"/>
        </w:rPr>
        <w:t xml:space="preserve">In addition to ports, </w:t>
      </w:r>
      <w:r w:rsidR="00F65536" w:rsidRPr="00ED7E5F">
        <w:rPr>
          <w:rFonts w:cs="Times New Roman"/>
        </w:rPr>
        <w:t xml:space="preserve">the prospects for converting the open access to sea </w:t>
      </w:r>
      <w:r w:rsidR="00067953" w:rsidRPr="00ED7E5F">
        <w:rPr>
          <w:rFonts w:cs="Times New Roman"/>
        </w:rPr>
        <w:t xml:space="preserve">to a major source of growth and development are also being viewed from the point of developing the blue economy of Bangladesh. Marine fishing is already emerging as </w:t>
      </w:r>
      <w:r w:rsidR="00557369">
        <w:rPr>
          <w:rFonts w:cs="Times New Roman"/>
        </w:rPr>
        <w:t xml:space="preserve">one of the </w:t>
      </w:r>
      <w:r w:rsidR="00067953" w:rsidRPr="00ED7E5F">
        <w:rPr>
          <w:rFonts w:cs="Times New Roman"/>
        </w:rPr>
        <w:t>major source</w:t>
      </w:r>
      <w:r w:rsidR="00557369">
        <w:rPr>
          <w:rFonts w:cs="Times New Roman"/>
        </w:rPr>
        <w:t>s</w:t>
      </w:r>
      <w:r w:rsidR="00067953" w:rsidRPr="00ED7E5F">
        <w:rPr>
          <w:rFonts w:cs="Times New Roman"/>
        </w:rPr>
        <w:t xml:space="preserve"> of domestic food, </w:t>
      </w:r>
      <w:r w:rsidR="00067953" w:rsidRPr="00ED7E5F">
        <w:rPr>
          <w:rFonts w:cs="Times New Roman"/>
        </w:rPr>
        <w:lastRenderedPageBreak/>
        <w:t>exports, income and employment.  There is also an emerging demand for coastal tourism and alternative areas to the traditional Cox’s Bazar coastal resorts are emerging.  An example is the Kuaka</w:t>
      </w:r>
      <w:r w:rsidR="00ED1400">
        <w:rPr>
          <w:rFonts w:cs="Times New Roman"/>
        </w:rPr>
        <w:t xml:space="preserve">ta coastal tourism in the </w:t>
      </w:r>
      <w:r w:rsidR="00557369">
        <w:rPr>
          <w:rFonts w:cs="Times New Roman"/>
        </w:rPr>
        <w:t>Payra</w:t>
      </w:r>
      <w:r w:rsidR="00557369" w:rsidRPr="00ED7E5F">
        <w:rPr>
          <w:rFonts w:cs="Times New Roman"/>
        </w:rPr>
        <w:t xml:space="preserve"> </w:t>
      </w:r>
      <w:r w:rsidR="00067953" w:rsidRPr="00ED7E5F">
        <w:rPr>
          <w:rFonts w:cs="Times New Roman"/>
        </w:rPr>
        <w:t>sub-division of Patuakhali. The exploitation of the blue economy opportunities is just emerging and the potential is huge.</w:t>
      </w:r>
    </w:p>
    <w:p w:rsidR="00F64A6A" w:rsidRDefault="008E485C" w:rsidP="00F64A6A">
      <w:pPr>
        <w:pStyle w:val="Heading2"/>
        <w:numPr>
          <w:ilvl w:val="0"/>
          <w:numId w:val="0"/>
        </w:numPr>
        <w:ind w:left="720"/>
      </w:pPr>
      <w:bookmarkStart w:id="28" w:name="_Toc474638838"/>
      <w:r>
        <w:t>Bangladesh Delta Challenges</w:t>
      </w:r>
      <w:bookmarkEnd w:id="28"/>
      <w:r>
        <w:t xml:space="preserve"> </w:t>
      </w:r>
    </w:p>
    <w:p w:rsidR="00000000" w:rsidRDefault="00AC42C7" w:rsidP="003D5A31">
      <w:pPr>
        <w:pStyle w:val="ListParagraph"/>
        <w:numPr>
          <w:ilvl w:val="2"/>
          <w:numId w:val="233"/>
        </w:numPr>
        <w:spacing w:line="276" w:lineRule="auto"/>
        <w:jc w:val="both"/>
        <w:rPr>
          <w:b/>
        </w:rPr>
      </w:pPr>
      <w:r w:rsidRPr="007B6647">
        <w:rPr>
          <w:b/>
        </w:rPr>
        <w:t>Climate Change</w:t>
      </w:r>
    </w:p>
    <w:p w:rsidR="00AC42C7" w:rsidRPr="00611709" w:rsidRDefault="00AC42C7" w:rsidP="00AC42C7">
      <w:pPr>
        <w:spacing w:line="276" w:lineRule="auto"/>
        <w:jc w:val="both"/>
        <w:rPr>
          <w:szCs w:val="24"/>
        </w:rPr>
      </w:pPr>
      <w:r w:rsidRPr="006A0504">
        <w:rPr>
          <w:szCs w:val="24"/>
        </w:rPr>
        <w:t xml:space="preserve">In the Fifth Assessment Report of </w:t>
      </w:r>
      <w:r w:rsidR="008E485C">
        <w:rPr>
          <w:szCs w:val="24"/>
        </w:rPr>
        <w:t>the International Panel for Climate Change (</w:t>
      </w:r>
      <w:r w:rsidRPr="006A0504">
        <w:rPr>
          <w:szCs w:val="24"/>
        </w:rPr>
        <w:t>IPCC</w:t>
      </w:r>
      <w:r w:rsidR="008E485C">
        <w:rPr>
          <w:szCs w:val="24"/>
        </w:rPr>
        <w:t>)</w:t>
      </w:r>
      <w:r w:rsidRPr="006A0504">
        <w:rPr>
          <w:szCs w:val="24"/>
        </w:rPr>
        <w:t>, the globally averaged combined land and ocean surface temperature data</w:t>
      </w:r>
      <w:r w:rsidR="008E485C">
        <w:rPr>
          <w:szCs w:val="24"/>
        </w:rPr>
        <w:t>,</w:t>
      </w:r>
      <w:r w:rsidRPr="006A0504">
        <w:rPr>
          <w:szCs w:val="24"/>
        </w:rPr>
        <w:t xml:space="preserve"> as calculated by a linear</w:t>
      </w:r>
      <w:r w:rsidR="0096793F">
        <w:rPr>
          <w:szCs w:val="24"/>
        </w:rPr>
        <w:t xml:space="preserve"> trend, show a warming of 0.85 (0.65 to 1.06)</w:t>
      </w:r>
      <w:r w:rsidRPr="006A0504">
        <w:rPr>
          <w:szCs w:val="24"/>
        </w:rPr>
        <w:t xml:space="preserve"> °C, over the period 1880 to 2012. The total increase between the average of the 1850–1900 period an</w:t>
      </w:r>
      <w:r w:rsidR="0096793F">
        <w:rPr>
          <w:szCs w:val="24"/>
        </w:rPr>
        <w:t>d the 2003–2012 period is 0.78 (0.72 to 0.85) °C. For the longest period where</w:t>
      </w:r>
      <w:r w:rsidRPr="006A0504">
        <w:rPr>
          <w:szCs w:val="24"/>
        </w:rPr>
        <w:t xml:space="preserve"> </w:t>
      </w:r>
      <w:r w:rsidR="0096793F">
        <w:rPr>
          <w:szCs w:val="24"/>
        </w:rPr>
        <w:t xml:space="preserve">the </w:t>
      </w:r>
      <w:r w:rsidRPr="006A0504">
        <w:rPr>
          <w:szCs w:val="24"/>
        </w:rPr>
        <w:t>calculation of regional trends is sufficiently complete (1901 to 2012), almost the entire globe has experienced surface warming. In addition to robust multi-decadal warming, global mean surface temperature exhibits substantial decadal and inter-annual variability.</w:t>
      </w:r>
      <w:r w:rsidR="004B4927">
        <w:rPr>
          <w:szCs w:val="24"/>
        </w:rPr>
        <w:t xml:space="preserve"> </w:t>
      </w:r>
      <w:r w:rsidR="008E485C">
        <w:rPr>
          <w:szCs w:val="24"/>
        </w:rPr>
        <w:t xml:space="preserve">For </w:t>
      </w:r>
      <w:r w:rsidR="004B4927">
        <w:rPr>
          <w:szCs w:val="24"/>
        </w:rPr>
        <w:t xml:space="preserve">the future, </w:t>
      </w:r>
      <w:r w:rsidR="008E485C">
        <w:rPr>
          <w:szCs w:val="24"/>
        </w:rPr>
        <w:t xml:space="preserve">the </w:t>
      </w:r>
      <w:r w:rsidR="004B4927">
        <w:rPr>
          <w:szCs w:val="24"/>
        </w:rPr>
        <w:t xml:space="preserve">IPCC projected </w:t>
      </w:r>
      <w:r w:rsidRPr="006A0504">
        <w:rPr>
          <w:szCs w:val="24"/>
        </w:rPr>
        <w:t>global warming for selected time slices for different</w:t>
      </w:r>
      <w:r w:rsidR="008E485C">
        <w:rPr>
          <w:szCs w:val="24"/>
        </w:rPr>
        <w:t xml:space="preserve"> representative </w:t>
      </w:r>
      <w:r w:rsidR="004B4927">
        <w:rPr>
          <w:szCs w:val="24"/>
        </w:rPr>
        <w:t xml:space="preserve">concentration pathways </w:t>
      </w:r>
      <w:r w:rsidR="008E485C">
        <w:rPr>
          <w:szCs w:val="24"/>
        </w:rPr>
        <w:t>(</w:t>
      </w:r>
      <w:r w:rsidRPr="006A0504">
        <w:rPr>
          <w:szCs w:val="24"/>
        </w:rPr>
        <w:t>RCPs</w:t>
      </w:r>
      <w:r w:rsidR="008E485C">
        <w:rPr>
          <w:szCs w:val="24"/>
        </w:rPr>
        <w:t>)</w:t>
      </w:r>
      <w:r w:rsidRPr="006A0504">
        <w:rPr>
          <w:szCs w:val="24"/>
        </w:rPr>
        <w:t>. For 2046-2065</w:t>
      </w:r>
      <w:r w:rsidR="004B4927">
        <w:rPr>
          <w:szCs w:val="24"/>
        </w:rPr>
        <w:t>,</w:t>
      </w:r>
      <w:r w:rsidRPr="006A0504">
        <w:rPr>
          <w:szCs w:val="24"/>
        </w:rPr>
        <w:t xml:space="preserve"> mean temperature rise </w:t>
      </w:r>
      <w:r w:rsidR="0096793F">
        <w:rPr>
          <w:szCs w:val="24"/>
        </w:rPr>
        <w:t>projections range</w:t>
      </w:r>
      <w:r w:rsidRPr="006A0504">
        <w:rPr>
          <w:szCs w:val="24"/>
        </w:rPr>
        <w:t xml:space="preserve"> from 1.0 to 1.4</w:t>
      </w:r>
      <w:r w:rsidRPr="006A0504">
        <w:rPr>
          <w:szCs w:val="24"/>
          <w:vertAlign w:val="superscript"/>
        </w:rPr>
        <w:t>O</w:t>
      </w:r>
      <w:r w:rsidRPr="006A0504">
        <w:rPr>
          <w:szCs w:val="24"/>
        </w:rPr>
        <w:t>C whereas it ranges from 1.0 to 3.7</w:t>
      </w:r>
      <w:r w:rsidRPr="006A0504">
        <w:rPr>
          <w:szCs w:val="24"/>
          <w:vertAlign w:val="superscript"/>
        </w:rPr>
        <w:t>O</w:t>
      </w:r>
      <w:r w:rsidRPr="006A0504">
        <w:rPr>
          <w:szCs w:val="24"/>
        </w:rPr>
        <w:t>C f</w:t>
      </w:r>
      <w:r w:rsidR="008559E9">
        <w:rPr>
          <w:szCs w:val="24"/>
        </w:rPr>
        <w:t>or the period 2081-2100 (Table 1.4</w:t>
      </w:r>
      <w:r w:rsidRPr="006A0504">
        <w:rPr>
          <w:szCs w:val="24"/>
        </w:rPr>
        <w:t>).</w:t>
      </w:r>
    </w:p>
    <w:p w:rsidR="00AC42C7" w:rsidRPr="00426244" w:rsidRDefault="008559E9" w:rsidP="00B77ABC">
      <w:pPr>
        <w:pStyle w:val="Heading4"/>
      </w:pPr>
      <w:bookmarkStart w:id="29" w:name="_Toc474638975"/>
      <w:r>
        <w:t>Table 1.4</w:t>
      </w:r>
      <w:r w:rsidR="00AC42C7" w:rsidRPr="00426244">
        <w:t>: Projected global mean surface warming (</w:t>
      </w:r>
      <w:r w:rsidR="00AC42C7" w:rsidRPr="00426244">
        <w:rPr>
          <w:vertAlign w:val="superscript"/>
        </w:rPr>
        <w:t>O</w:t>
      </w:r>
      <w:r w:rsidR="00AC42C7" w:rsidRPr="00426244">
        <w:t>C) for different RCPs</w:t>
      </w:r>
      <w:bookmarkEnd w:id="29"/>
    </w:p>
    <w:tbl>
      <w:tblPr>
        <w:tblW w:w="5000" w:type="pct"/>
        <w:tblBorders>
          <w:top w:val="single" w:sz="8" w:space="0" w:color="000000"/>
          <w:bottom w:val="single" w:sz="8" w:space="0" w:color="000000"/>
        </w:tblBorders>
        <w:tblLook w:val="04A0"/>
      </w:tblPr>
      <w:tblGrid>
        <w:gridCol w:w="3393"/>
        <w:gridCol w:w="3090"/>
        <w:gridCol w:w="3093"/>
      </w:tblGrid>
      <w:tr w:rsidR="00AC42C7" w:rsidRPr="00D51102" w:rsidTr="008559E9">
        <w:trPr>
          <w:trHeight w:hRule="exact" w:val="288"/>
        </w:trPr>
        <w:tc>
          <w:tcPr>
            <w:tcW w:w="1771" w:type="pct"/>
            <w:tcBorders>
              <w:top w:val="single" w:sz="8" w:space="0" w:color="000000"/>
              <w:left w:val="nil"/>
              <w:bottom w:val="single" w:sz="8" w:space="0" w:color="000000"/>
              <w:right w:val="nil"/>
            </w:tcBorders>
          </w:tcPr>
          <w:p w:rsidR="00AC42C7" w:rsidRPr="00D51102" w:rsidRDefault="00AC42C7" w:rsidP="008559E9">
            <w:pPr>
              <w:spacing w:line="240" w:lineRule="auto"/>
              <w:ind w:left="180"/>
              <w:jc w:val="both"/>
              <w:rPr>
                <w:b/>
                <w:bCs/>
                <w:color w:val="000000"/>
                <w:szCs w:val="24"/>
              </w:rPr>
            </w:pPr>
            <w:r w:rsidRPr="00D51102">
              <w:rPr>
                <w:b/>
                <w:bCs/>
                <w:color w:val="000000"/>
                <w:szCs w:val="24"/>
              </w:rPr>
              <w:t>Scenario</w:t>
            </w:r>
          </w:p>
        </w:tc>
        <w:tc>
          <w:tcPr>
            <w:tcW w:w="1613" w:type="pct"/>
            <w:tcBorders>
              <w:top w:val="single" w:sz="8" w:space="0" w:color="000000"/>
              <w:left w:val="nil"/>
              <w:bottom w:val="single" w:sz="8" w:space="0" w:color="000000"/>
              <w:right w:val="nil"/>
            </w:tcBorders>
          </w:tcPr>
          <w:p w:rsidR="00AC42C7" w:rsidRPr="00D51102" w:rsidRDefault="00AC42C7" w:rsidP="008559E9">
            <w:pPr>
              <w:spacing w:line="240" w:lineRule="auto"/>
              <w:ind w:left="180"/>
              <w:jc w:val="both"/>
              <w:rPr>
                <w:b/>
                <w:bCs/>
                <w:color w:val="000000"/>
                <w:szCs w:val="24"/>
              </w:rPr>
            </w:pPr>
            <w:r w:rsidRPr="00D51102">
              <w:rPr>
                <w:b/>
                <w:bCs/>
                <w:color w:val="000000"/>
                <w:szCs w:val="24"/>
              </w:rPr>
              <w:t>2046-2065</w:t>
            </w:r>
          </w:p>
        </w:tc>
        <w:tc>
          <w:tcPr>
            <w:tcW w:w="1615" w:type="pct"/>
            <w:tcBorders>
              <w:top w:val="single" w:sz="8" w:space="0" w:color="000000"/>
              <w:left w:val="nil"/>
              <w:bottom w:val="single" w:sz="8" w:space="0" w:color="000000"/>
              <w:right w:val="nil"/>
            </w:tcBorders>
          </w:tcPr>
          <w:p w:rsidR="00AC42C7" w:rsidRPr="00D51102" w:rsidRDefault="00AC42C7" w:rsidP="008559E9">
            <w:pPr>
              <w:spacing w:line="240" w:lineRule="auto"/>
              <w:ind w:left="180"/>
              <w:jc w:val="both"/>
              <w:rPr>
                <w:b/>
                <w:bCs/>
                <w:color w:val="000000"/>
                <w:szCs w:val="24"/>
              </w:rPr>
            </w:pPr>
            <w:r w:rsidRPr="00D51102">
              <w:rPr>
                <w:b/>
                <w:bCs/>
                <w:color w:val="000000"/>
                <w:szCs w:val="24"/>
              </w:rPr>
              <w:t>2081-2100</w:t>
            </w:r>
          </w:p>
        </w:tc>
      </w:tr>
      <w:tr w:rsidR="00AC42C7" w:rsidRPr="00D51102" w:rsidTr="007D4237">
        <w:trPr>
          <w:trHeight w:hRule="exact" w:val="288"/>
        </w:trPr>
        <w:tc>
          <w:tcPr>
            <w:tcW w:w="1771" w:type="pct"/>
            <w:tcBorders>
              <w:left w:val="nil"/>
              <w:right w:val="nil"/>
            </w:tcBorders>
            <w:shd w:val="clear" w:color="auto" w:fill="auto"/>
          </w:tcPr>
          <w:p w:rsidR="00AC42C7" w:rsidRPr="00D51102" w:rsidRDefault="00AC42C7" w:rsidP="008559E9">
            <w:pPr>
              <w:spacing w:line="240" w:lineRule="auto"/>
              <w:ind w:left="180"/>
              <w:jc w:val="both"/>
              <w:rPr>
                <w:b/>
                <w:bCs/>
                <w:color w:val="000000"/>
                <w:szCs w:val="24"/>
              </w:rPr>
            </w:pPr>
            <w:r w:rsidRPr="00D51102">
              <w:rPr>
                <w:b/>
                <w:bCs/>
                <w:color w:val="000000"/>
                <w:szCs w:val="24"/>
              </w:rPr>
              <w:t>RCP2.6</w:t>
            </w:r>
          </w:p>
        </w:tc>
        <w:tc>
          <w:tcPr>
            <w:tcW w:w="1613" w:type="pct"/>
            <w:tcBorders>
              <w:left w:val="nil"/>
              <w:right w:val="nil"/>
            </w:tcBorders>
            <w:shd w:val="clear" w:color="auto" w:fill="auto"/>
          </w:tcPr>
          <w:p w:rsidR="00AC42C7" w:rsidRPr="00D51102" w:rsidRDefault="00AC42C7" w:rsidP="008559E9">
            <w:pPr>
              <w:spacing w:line="240" w:lineRule="auto"/>
              <w:ind w:left="180"/>
              <w:jc w:val="both"/>
              <w:rPr>
                <w:color w:val="000000"/>
                <w:szCs w:val="24"/>
              </w:rPr>
            </w:pPr>
            <w:r w:rsidRPr="00D51102">
              <w:rPr>
                <w:color w:val="000000"/>
                <w:szCs w:val="24"/>
              </w:rPr>
              <w:t>1.0</w:t>
            </w:r>
          </w:p>
        </w:tc>
        <w:tc>
          <w:tcPr>
            <w:tcW w:w="1615" w:type="pct"/>
            <w:tcBorders>
              <w:left w:val="nil"/>
              <w:right w:val="nil"/>
            </w:tcBorders>
            <w:shd w:val="clear" w:color="auto" w:fill="auto"/>
          </w:tcPr>
          <w:p w:rsidR="00AC42C7" w:rsidRPr="00D51102" w:rsidRDefault="00AC42C7" w:rsidP="008559E9">
            <w:pPr>
              <w:spacing w:line="240" w:lineRule="auto"/>
              <w:ind w:left="180"/>
              <w:jc w:val="both"/>
              <w:rPr>
                <w:color w:val="000000"/>
                <w:szCs w:val="24"/>
              </w:rPr>
            </w:pPr>
            <w:r w:rsidRPr="00D51102">
              <w:rPr>
                <w:color w:val="000000"/>
                <w:szCs w:val="24"/>
              </w:rPr>
              <w:t>1.0</w:t>
            </w:r>
          </w:p>
        </w:tc>
      </w:tr>
      <w:tr w:rsidR="00AC42C7" w:rsidRPr="00D51102" w:rsidTr="008559E9">
        <w:trPr>
          <w:trHeight w:hRule="exact" w:val="288"/>
        </w:trPr>
        <w:tc>
          <w:tcPr>
            <w:tcW w:w="1771" w:type="pct"/>
          </w:tcPr>
          <w:p w:rsidR="00AC42C7" w:rsidRPr="00D51102" w:rsidRDefault="00AC42C7" w:rsidP="008559E9">
            <w:pPr>
              <w:spacing w:line="240" w:lineRule="auto"/>
              <w:ind w:left="180"/>
              <w:jc w:val="both"/>
              <w:rPr>
                <w:b/>
                <w:bCs/>
                <w:color w:val="000000"/>
                <w:szCs w:val="24"/>
              </w:rPr>
            </w:pPr>
            <w:r w:rsidRPr="00D51102">
              <w:rPr>
                <w:b/>
                <w:bCs/>
                <w:color w:val="000000"/>
                <w:szCs w:val="24"/>
              </w:rPr>
              <w:t>RCP4.5</w:t>
            </w:r>
          </w:p>
        </w:tc>
        <w:tc>
          <w:tcPr>
            <w:tcW w:w="1613" w:type="pct"/>
          </w:tcPr>
          <w:p w:rsidR="00AC42C7" w:rsidRPr="00D51102" w:rsidRDefault="00AC42C7" w:rsidP="008559E9">
            <w:pPr>
              <w:spacing w:line="240" w:lineRule="auto"/>
              <w:ind w:left="180"/>
              <w:jc w:val="both"/>
              <w:rPr>
                <w:color w:val="000000"/>
                <w:szCs w:val="24"/>
              </w:rPr>
            </w:pPr>
            <w:r w:rsidRPr="00D51102">
              <w:rPr>
                <w:color w:val="000000"/>
                <w:szCs w:val="24"/>
              </w:rPr>
              <w:t>1.4</w:t>
            </w:r>
          </w:p>
        </w:tc>
        <w:tc>
          <w:tcPr>
            <w:tcW w:w="1615" w:type="pct"/>
          </w:tcPr>
          <w:p w:rsidR="00AC42C7" w:rsidRPr="00D51102" w:rsidRDefault="00AC42C7" w:rsidP="008559E9">
            <w:pPr>
              <w:spacing w:line="240" w:lineRule="auto"/>
              <w:ind w:left="180"/>
              <w:jc w:val="both"/>
              <w:rPr>
                <w:color w:val="000000"/>
                <w:szCs w:val="24"/>
              </w:rPr>
            </w:pPr>
            <w:r w:rsidRPr="00D51102">
              <w:rPr>
                <w:color w:val="000000"/>
                <w:szCs w:val="24"/>
              </w:rPr>
              <w:t>1.8</w:t>
            </w:r>
          </w:p>
        </w:tc>
      </w:tr>
      <w:tr w:rsidR="00AC42C7" w:rsidRPr="00D51102" w:rsidTr="007D4237">
        <w:trPr>
          <w:trHeight w:hRule="exact" w:val="288"/>
        </w:trPr>
        <w:tc>
          <w:tcPr>
            <w:tcW w:w="1771" w:type="pct"/>
            <w:tcBorders>
              <w:left w:val="nil"/>
              <w:right w:val="nil"/>
            </w:tcBorders>
            <w:shd w:val="clear" w:color="auto" w:fill="auto"/>
          </w:tcPr>
          <w:p w:rsidR="00AC42C7" w:rsidRPr="00D51102" w:rsidRDefault="00AC42C7" w:rsidP="008559E9">
            <w:pPr>
              <w:spacing w:line="240" w:lineRule="auto"/>
              <w:ind w:left="180"/>
              <w:jc w:val="both"/>
              <w:rPr>
                <w:b/>
                <w:bCs/>
                <w:color w:val="000000"/>
                <w:szCs w:val="24"/>
              </w:rPr>
            </w:pPr>
            <w:r w:rsidRPr="00D51102">
              <w:rPr>
                <w:b/>
                <w:bCs/>
                <w:color w:val="000000"/>
                <w:szCs w:val="24"/>
              </w:rPr>
              <w:t>RCP6.0</w:t>
            </w:r>
          </w:p>
        </w:tc>
        <w:tc>
          <w:tcPr>
            <w:tcW w:w="1613" w:type="pct"/>
            <w:tcBorders>
              <w:left w:val="nil"/>
              <w:right w:val="nil"/>
            </w:tcBorders>
            <w:shd w:val="clear" w:color="auto" w:fill="auto"/>
          </w:tcPr>
          <w:p w:rsidR="00AC42C7" w:rsidRPr="00D51102" w:rsidRDefault="00AC42C7" w:rsidP="008559E9">
            <w:pPr>
              <w:spacing w:line="240" w:lineRule="auto"/>
              <w:ind w:left="180"/>
              <w:jc w:val="both"/>
              <w:rPr>
                <w:color w:val="000000"/>
                <w:szCs w:val="24"/>
              </w:rPr>
            </w:pPr>
            <w:r w:rsidRPr="00D51102">
              <w:rPr>
                <w:color w:val="000000"/>
                <w:szCs w:val="24"/>
              </w:rPr>
              <w:t>1.3</w:t>
            </w:r>
          </w:p>
        </w:tc>
        <w:tc>
          <w:tcPr>
            <w:tcW w:w="1615" w:type="pct"/>
            <w:tcBorders>
              <w:left w:val="nil"/>
              <w:right w:val="nil"/>
            </w:tcBorders>
            <w:shd w:val="clear" w:color="auto" w:fill="auto"/>
          </w:tcPr>
          <w:p w:rsidR="00AC42C7" w:rsidRPr="00D51102" w:rsidRDefault="00AC42C7" w:rsidP="008559E9">
            <w:pPr>
              <w:spacing w:line="240" w:lineRule="auto"/>
              <w:ind w:left="180"/>
              <w:jc w:val="both"/>
              <w:rPr>
                <w:color w:val="000000"/>
                <w:szCs w:val="24"/>
              </w:rPr>
            </w:pPr>
            <w:r w:rsidRPr="00D51102">
              <w:rPr>
                <w:color w:val="000000"/>
                <w:szCs w:val="24"/>
              </w:rPr>
              <w:t>2.2</w:t>
            </w:r>
          </w:p>
        </w:tc>
      </w:tr>
      <w:tr w:rsidR="00AC42C7" w:rsidRPr="00D51102" w:rsidTr="008559E9">
        <w:trPr>
          <w:trHeight w:hRule="exact" w:val="288"/>
        </w:trPr>
        <w:tc>
          <w:tcPr>
            <w:tcW w:w="1771" w:type="pct"/>
          </w:tcPr>
          <w:p w:rsidR="00AC42C7" w:rsidRPr="00D51102" w:rsidRDefault="00AC42C7" w:rsidP="008559E9">
            <w:pPr>
              <w:spacing w:line="240" w:lineRule="auto"/>
              <w:ind w:left="180"/>
              <w:jc w:val="both"/>
              <w:rPr>
                <w:b/>
                <w:bCs/>
                <w:color w:val="000000"/>
                <w:szCs w:val="24"/>
              </w:rPr>
            </w:pPr>
            <w:r w:rsidRPr="00D51102">
              <w:rPr>
                <w:b/>
                <w:bCs/>
                <w:color w:val="000000"/>
                <w:szCs w:val="24"/>
              </w:rPr>
              <w:t>RCP8.5</w:t>
            </w:r>
          </w:p>
        </w:tc>
        <w:tc>
          <w:tcPr>
            <w:tcW w:w="1613" w:type="pct"/>
          </w:tcPr>
          <w:p w:rsidR="00AC42C7" w:rsidRPr="00D51102" w:rsidRDefault="00AC42C7" w:rsidP="008559E9">
            <w:pPr>
              <w:spacing w:line="240" w:lineRule="auto"/>
              <w:ind w:left="180"/>
              <w:jc w:val="both"/>
              <w:rPr>
                <w:color w:val="000000"/>
                <w:szCs w:val="24"/>
              </w:rPr>
            </w:pPr>
            <w:r w:rsidRPr="00D51102">
              <w:rPr>
                <w:color w:val="000000"/>
                <w:szCs w:val="24"/>
              </w:rPr>
              <w:t>2.0</w:t>
            </w:r>
          </w:p>
        </w:tc>
        <w:tc>
          <w:tcPr>
            <w:tcW w:w="1615" w:type="pct"/>
          </w:tcPr>
          <w:p w:rsidR="00AC42C7" w:rsidRPr="00D51102" w:rsidRDefault="00AC42C7" w:rsidP="008559E9">
            <w:pPr>
              <w:spacing w:line="240" w:lineRule="auto"/>
              <w:ind w:left="180"/>
              <w:jc w:val="both"/>
              <w:rPr>
                <w:color w:val="000000"/>
                <w:szCs w:val="24"/>
              </w:rPr>
            </w:pPr>
            <w:r w:rsidRPr="00D51102">
              <w:rPr>
                <w:color w:val="000000"/>
                <w:szCs w:val="24"/>
              </w:rPr>
              <w:t>3.7</w:t>
            </w:r>
          </w:p>
        </w:tc>
      </w:tr>
    </w:tbl>
    <w:p w:rsidR="00AC42C7" w:rsidRPr="006A0504" w:rsidRDefault="00AC42C7" w:rsidP="00AC42C7">
      <w:pPr>
        <w:spacing w:before="120"/>
        <w:ind w:left="187"/>
        <w:jc w:val="both"/>
        <w:rPr>
          <w:b/>
          <w:bCs/>
          <w:i/>
          <w:iCs/>
          <w:sz w:val="20"/>
          <w:szCs w:val="20"/>
        </w:rPr>
      </w:pPr>
      <w:r w:rsidRPr="006A0504">
        <w:rPr>
          <w:b/>
          <w:bCs/>
          <w:i/>
          <w:iCs/>
          <w:sz w:val="20"/>
          <w:szCs w:val="20"/>
        </w:rPr>
        <w:t>Source: IPCC2013</w:t>
      </w:r>
    </w:p>
    <w:p w:rsidR="00AC42C7" w:rsidRPr="006A0504" w:rsidRDefault="004B4927" w:rsidP="00AC42C7">
      <w:pPr>
        <w:spacing w:line="276" w:lineRule="auto"/>
        <w:jc w:val="both"/>
        <w:rPr>
          <w:szCs w:val="24"/>
        </w:rPr>
      </w:pPr>
      <w:r>
        <w:rPr>
          <w:szCs w:val="24"/>
        </w:rPr>
        <w:t xml:space="preserve">There is considerable debate and variations in projected future global </w:t>
      </w:r>
      <w:r w:rsidR="00376FBF">
        <w:rPr>
          <w:szCs w:val="24"/>
        </w:rPr>
        <w:t>climate</w:t>
      </w:r>
      <w:r>
        <w:rPr>
          <w:szCs w:val="24"/>
        </w:rPr>
        <w:t xml:space="preserve"> change and parameters for Bangladesh.  However, there is consensus that global warming will increase and so will be the case for Bangladesh. </w:t>
      </w:r>
      <w:r w:rsidR="00487749">
        <w:rPr>
          <w:szCs w:val="24"/>
        </w:rPr>
        <w:t xml:space="preserve">The IPCC </w:t>
      </w:r>
      <w:r w:rsidR="00AC42C7" w:rsidRPr="006A0504">
        <w:rPr>
          <w:szCs w:val="24"/>
        </w:rPr>
        <w:t>use</w:t>
      </w:r>
      <w:r w:rsidR="00487749">
        <w:rPr>
          <w:szCs w:val="24"/>
        </w:rPr>
        <w:t>d the RCP</w:t>
      </w:r>
      <w:r w:rsidR="00AC42C7" w:rsidRPr="006A0504">
        <w:rPr>
          <w:szCs w:val="24"/>
        </w:rPr>
        <w:t xml:space="preserve"> instead of previous </w:t>
      </w:r>
      <w:r w:rsidR="00A7448C">
        <w:rPr>
          <w:szCs w:val="24"/>
        </w:rPr>
        <w:t>Special Report on Emission Scenarios (</w:t>
      </w:r>
      <w:r w:rsidR="00AC42C7" w:rsidRPr="006A0504">
        <w:rPr>
          <w:szCs w:val="24"/>
        </w:rPr>
        <w:t>SRES</w:t>
      </w:r>
      <w:r w:rsidR="00A7448C">
        <w:rPr>
          <w:szCs w:val="24"/>
        </w:rPr>
        <w:t xml:space="preserve">) </w:t>
      </w:r>
      <w:r w:rsidR="00487749">
        <w:rPr>
          <w:szCs w:val="24"/>
        </w:rPr>
        <w:t>to project global warming</w:t>
      </w:r>
      <w:r w:rsidR="00AC42C7" w:rsidRPr="006A0504">
        <w:rPr>
          <w:szCs w:val="24"/>
        </w:rPr>
        <w:t>. But the available impact study results for Bangladesh are mostly from SRES scenarios. So, in this report, similar c</w:t>
      </w:r>
      <w:r w:rsidR="00A7448C">
        <w:rPr>
          <w:szCs w:val="24"/>
        </w:rPr>
        <w:t xml:space="preserve">haracteristics scenario is </w:t>
      </w:r>
      <w:r w:rsidR="00AC42C7" w:rsidRPr="006A0504">
        <w:rPr>
          <w:szCs w:val="24"/>
        </w:rPr>
        <w:t xml:space="preserve">used to </w:t>
      </w:r>
      <w:r w:rsidR="00376FBF" w:rsidRPr="006A0504">
        <w:rPr>
          <w:szCs w:val="24"/>
        </w:rPr>
        <w:t>analyze</w:t>
      </w:r>
      <w:r w:rsidR="00AC42C7" w:rsidRPr="006A0504">
        <w:rPr>
          <w:szCs w:val="24"/>
        </w:rPr>
        <w:t xml:space="preserve"> the possible future conditions. In this report, two future situations are considered</w:t>
      </w:r>
      <w:r w:rsidR="00487749">
        <w:rPr>
          <w:szCs w:val="24"/>
        </w:rPr>
        <w:t>.</w:t>
      </w:r>
      <w:r w:rsidR="00AC42C7" w:rsidRPr="006A0504">
        <w:rPr>
          <w:szCs w:val="24"/>
        </w:rPr>
        <w:t xml:space="preserve"> </w:t>
      </w:r>
      <w:r w:rsidR="00AC42C7">
        <w:rPr>
          <w:szCs w:val="24"/>
        </w:rPr>
        <w:t>These are:</w:t>
      </w:r>
      <w:r w:rsidR="00AC42C7" w:rsidRPr="006A0504">
        <w:rPr>
          <w:szCs w:val="24"/>
        </w:rPr>
        <w:t xml:space="preserve"> </w:t>
      </w:r>
      <w:r w:rsidR="00AC42C7" w:rsidRPr="006A0504">
        <w:rPr>
          <w:i/>
          <w:szCs w:val="24"/>
        </w:rPr>
        <w:t>Business as usual</w:t>
      </w:r>
      <w:r w:rsidR="00AC42C7" w:rsidRPr="006A0504">
        <w:rPr>
          <w:szCs w:val="24"/>
        </w:rPr>
        <w:t xml:space="preserve"> scenario</w:t>
      </w:r>
      <w:r w:rsidR="00AC42C7">
        <w:rPr>
          <w:szCs w:val="24"/>
        </w:rPr>
        <w:t xml:space="preserve"> (BAU)</w:t>
      </w:r>
      <w:r w:rsidR="00AC42C7" w:rsidRPr="006A0504">
        <w:rPr>
          <w:szCs w:val="24"/>
        </w:rPr>
        <w:t xml:space="preserve"> and </w:t>
      </w:r>
      <w:r w:rsidR="00AC42C7" w:rsidRPr="006A0504">
        <w:rPr>
          <w:i/>
          <w:szCs w:val="24"/>
        </w:rPr>
        <w:t>Extreme</w:t>
      </w:r>
      <w:r w:rsidR="00AC42C7">
        <w:rPr>
          <w:szCs w:val="24"/>
        </w:rPr>
        <w:t xml:space="preserve"> scenario (EXT). The (BAU)</w:t>
      </w:r>
      <w:r w:rsidR="00AC42C7" w:rsidRPr="006A0504">
        <w:rPr>
          <w:szCs w:val="24"/>
        </w:rPr>
        <w:t xml:space="preserve"> considers the moder</w:t>
      </w:r>
      <w:r w:rsidR="00A7448C">
        <w:rPr>
          <w:szCs w:val="24"/>
        </w:rPr>
        <w:t xml:space="preserve">ate climate change scenario that assumes that the global and national </w:t>
      </w:r>
      <w:r w:rsidR="00AC42C7" w:rsidRPr="006A0504">
        <w:rPr>
          <w:szCs w:val="24"/>
        </w:rPr>
        <w:t>efforts to reduce the GHG emissions</w:t>
      </w:r>
      <w:r w:rsidR="00A7448C">
        <w:rPr>
          <w:szCs w:val="24"/>
        </w:rPr>
        <w:t xml:space="preserve"> are maintained</w:t>
      </w:r>
      <w:r w:rsidR="00AC42C7" w:rsidRPr="006A0504">
        <w:rPr>
          <w:szCs w:val="24"/>
        </w:rPr>
        <w:t xml:space="preserve">. </w:t>
      </w:r>
      <w:r w:rsidR="00A7448C">
        <w:rPr>
          <w:szCs w:val="24"/>
        </w:rPr>
        <w:t>The BAU</w:t>
      </w:r>
      <w:r w:rsidR="00AC42C7" w:rsidRPr="006A0504">
        <w:rPr>
          <w:szCs w:val="24"/>
        </w:rPr>
        <w:t xml:space="preserve"> include</w:t>
      </w:r>
      <w:r w:rsidR="00A7448C">
        <w:rPr>
          <w:szCs w:val="24"/>
        </w:rPr>
        <w:t>s</w:t>
      </w:r>
      <w:r w:rsidR="00AC42C7" w:rsidRPr="006A0504">
        <w:rPr>
          <w:szCs w:val="24"/>
        </w:rPr>
        <w:t xml:space="preserve"> the similar scenarios SRES A1B, B1 and RCP 4.5</w:t>
      </w:r>
      <w:r w:rsidR="00487749">
        <w:rPr>
          <w:szCs w:val="24"/>
        </w:rPr>
        <w:t>,</w:t>
      </w:r>
      <w:r w:rsidR="00AC42C7" w:rsidRPr="006A0504">
        <w:rPr>
          <w:szCs w:val="24"/>
        </w:rPr>
        <w:t xml:space="preserve"> which are mostly similar in nature for </w:t>
      </w:r>
      <w:r w:rsidR="00A7448C">
        <w:rPr>
          <w:szCs w:val="24"/>
        </w:rPr>
        <w:t xml:space="preserve">the </w:t>
      </w:r>
      <w:r w:rsidR="00AC42C7" w:rsidRPr="006A0504">
        <w:rPr>
          <w:szCs w:val="24"/>
        </w:rPr>
        <w:t xml:space="preserve">end of </w:t>
      </w:r>
      <w:r w:rsidR="00A7448C">
        <w:rPr>
          <w:szCs w:val="24"/>
        </w:rPr>
        <w:t xml:space="preserve">the </w:t>
      </w:r>
      <w:r w:rsidR="00AC42C7" w:rsidRPr="006A0504">
        <w:rPr>
          <w:szCs w:val="24"/>
        </w:rPr>
        <w:t>century temperature projection</w:t>
      </w:r>
      <w:r w:rsidR="00A7448C">
        <w:rPr>
          <w:szCs w:val="24"/>
        </w:rPr>
        <w:t>s</w:t>
      </w:r>
      <w:r w:rsidR="00AC42C7" w:rsidRPr="006A0504">
        <w:rPr>
          <w:szCs w:val="24"/>
        </w:rPr>
        <w:t xml:space="preserve">. </w:t>
      </w:r>
      <w:r w:rsidR="00AC42C7">
        <w:rPr>
          <w:szCs w:val="24"/>
        </w:rPr>
        <w:t xml:space="preserve">On the other hand, the EXT </w:t>
      </w:r>
      <w:r w:rsidR="00AC42C7" w:rsidRPr="006A0504">
        <w:rPr>
          <w:szCs w:val="24"/>
        </w:rPr>
        <w:t xml:space="preserve">considers the extreme climate change scenario with no global and national efforts to reduce the GHG emissions and </w:t>
      </w:r>
      <w:r w:rsidR="00A7448C">
        <w:rPr>
          <w:szCs w:val="24"/>
        </w:rPr>
        <w:t xml:space="preserve">assumes continued </w:t>
      </w:r>
      <w:r w:rsidR="00A7448C">
        <w:rPr>
          <w:szCs w:val="24"/>
        </w:rPr>
        <w:lastRenderedPageBreak/>
        <w:t xml:space="preserve">pursuit of </w:t>
      </w:r>
      <w:r w:rsidR="00AC42C7" w:rsidRPr="006A0504">
        <w:rPr>
          <w:szCs w:val="24"/>
        </w:rPr>
        <w:t xml:space="preserve">fossil fuel based economic development. </w:t>
      </w:r>
      <w:r w:rsidR="00A7448C">
        <w:rPr>
          <w:szCs w:val="24"/>
        </w:rPr>
        <w:t xml:space="preserve">The EXT </w:t>
      </w:r>
      <w:r w:rsidR="00AC42C7" w:rsidRPr="006A0504">
        <w:rPr>
          <w:szCs w:val="24"/>
        </w:rPr>
        <w:t>include</w:t>
      </w:r>
      <w:r w:rsidR="00A7448C">
        <w:rPr>
          <w:szCs w:val="24"/>
        </w:rPr>
        <w:t>s</w:t>
      </w:r>
      <w:r w:rsidR="00AC42C7" w:rsidRPr="006A0504">
        <w:rPr>
          <w:szCs w:val="24"/>
        </w:rPr>
        <w:t xml:space="preserve"> the similar scenarios SRES A1FI, A2 and RCP 8.5</w:t>
      </w:r>
      <w:r w:rsidR="00A7448C">
        <w:rPr>
          <w:szCs w:val="24"/>
        </w:rPr>
        <w:t>,</w:t>
      </w:r>
      <w:r w:rsidR="00AC42C7" w:rsidRPr="006A0504">
        <w:rPr>
          <w:szCs w:val="24"/>
        </w:rPr>
        <w:t xml:space="preserve"> which are mostly similar in nature.   </w:t>
      </w:r>
    </w:p>
    <w:p w:rsidR="00AC42C7" w:rsidRPr="006A0504" w:rsidRDefault="00AC42C7" w:rsidP="00AC42C7">
      <w:pPr>
        <w:spacing w:line="276" w:lineRule="auto"/>
        <w:jc w:val="both"/>
        <w:rPr>
          <w:szCs w:val="24"/>
        </w:rPr>
      </w:pPr>
      <w:r w:rsidRPr="006A0504">
        <w:rPr>
          <w:szCs w:val="24"/>
        </w:rPr>
        <w:t>The region-wise seasonal changes in temperature and rainfall during 2030 and 2050 under BAU scenario ar</w:t>
      </w:r>
      <w:r>
        <w:rPr>
          <w:szCs w:val="24"/>
        </w:rPr>
        <w:t xml:space="preserve">e presented in </w:t>
      </w:r>
      <w:r w:rsidR="008559E9">
        <w:rPr>
          <w:szCs w:val="24"/>
        </w:rPr>
        <w:t>Tables 1.5 and 1.6</w:t>
      </w:r>
      <w:r w:rsidR="00487749">
        <w:rPr>
          <w:szCs w:val="24"/>
        </w:rPr>
        <w:t xml:space="preserve"> respectively. T</w:t>
      </w:r>
      <w:r w:rsidRPr="006A0504">
        <w:rPr>
          <w:szCs w:val="24"/>
        </w:rPr>
        <w:t>able</w:t>
      </w:r>
      <w:r w:rsidR="00487749">
        <w:rPr>
          <w:szCs w:val="24"/>
        </w:rPr>
        <w:t xml:space="preserve"> 1.5</w:t>
      </w:r>
      <w:r w:rsidR="00A7448C">
        <w:rPr>
          <w:szCs w:val="24"/>
        </w:rPr>
        <w:t xml:space="preserve"> shows that the</w:t>
      </w:r>
      <w:r w:rsidRPr="006A0504">
        <w:rPr>
          <w:szCs w:val="24"/>
        </w:rPr>
        <w:t xml:space="preserve"> temperature is rising in all regions in the future in a similar trend with the global patter</w:t>
      </w:r>
      <w:r w:rsidR="00A7448C">
        <w:rPr>
          <w:szCs w:val="24"/>
        </w:rPr>
        <w:t>n. So, it can be estimated that</w:t>
      </w:r>
      <w:r w:rsidRPr="006A0504">
        <w:rPr>
          <w:szCs w:val="24"/>
        </w:rPr>
        <w:t xml:space="preserve"> due to climate change temperature might rise in the country in a range of 1.4 to 1.9</w:t>
      </w:r>
      <w:r w:rsidRPr="006A0504">
        <w:rPr>
          <w:szCs w:val="24"/>
          <w:vertAlign w:val="superscript"/>
        </w:rPr>
        <w:t>O</w:t>
      </w:r>
      <w:r w:rsidRPr="006A0504">
        <w:rPr>
          <w:szCs w:val="24"/>
        </w:rPr>
        <w:t>C for BAU and around 2</w:t>
      </w:r>
      <w:r w:rsidRPr="006A0504">
        <w:rPr>
          <w:szCs w:val="24"/>
          <w:vertAlign w:val="superscript"/>
        </w:rPr>
        <w:t>O</w:t>
      </w:r>
      <w:r w:rsidRPr="006A0504">
        <w:rPr>
          <w:szCs w:val="24"/>
        </w:rPr>
        <w:t xml:space="preserve">C for EXT by 2050. Further rise in temperature is expected in </w:t>
      </w:r>
      <w:r>
        <w:rPr>
          <w:szCs w:val="24"/>
        </w:rPr>
        <w:t>the latter half of the century.</w:t>
      </w:r>
    </w:p>
    <w:p w:rsidR="00AC42C7" w:rsidRPr="005F6E91" w:rsidRDefault="008559E9" w:rsidP="00B77ABC">
      <w:pPr>
        <w:pStyle w:val="Heading4"/>
        <w:rPr>
          <w:sz w:val="20"/>
        </w:rPr>
      </w:pPr>
      <w:bookmarkStart w:id="30" w:name="_Toc474638976"/>
      <w:r>
        <w:t>Table 1.5</w:t>
      </w:r>
      <w:r w:rsidR="00487749">
        <w:t>: Projected Seasonal and Annual Surface W</w:t>
      </w:r>
      <w:r w:rsidR="00AC42C7" w:rsidRPr="006A0504">
        <w:t>arming (</w:t>
      </w:r>
      <w:r w:rsidR="00AC42C7" w:rsidRPr="006A0504">
        <w:rPr>
          <w:vertAlign w:val="superscript"/>
        </w:rPr>
        <w:t>O</w:t>
      </w:r>
      <w:r w:rsidR="00AC42C7" w:rsidRPr="006A0504">
        <w:t>C) for BAU</w:t>
      </w:r>
      <w:bookmarkEnd w:id="30"/>
    </w:p>
    <w:tbl>
      <w:tblPr>
        <w:tblpPr w:leftFromText="180" w:rightFromText="180" w:vertAnchor="text" w:horzAnchor="margin" w:tblpY="140"/>
        <w:tblW w:w="5000" w:type="pct"/>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086"/>
        <w:gridCol w:w="582"/>
        <w:gridCol w:w="90"/>
        <w:gridCol w:w="810"/>
        <w:gridCol w:w="774"/>
        <w:gridCol w:w="779"/>
        <w:gridCol w:w="1360"/>
        <w:gridCol w:w="676"/>
        <w:gridCol w:w="810"/>
        <w:gridCol w:w="776"/>
        <w:gridCol w:w="680"/>
        <w:gridCol w:w="1153"/>
      </w:tblGrid>
      <w:tr w:rsidR="00AC42C7" w:rsidRPr="00D51102" w:rsidTr="00744CFA">
        <w:trPr>
          <w:trHeight w:val="20"/>
        </w:trPr>
        <w:tc>
          <w:tcPr>
            <w:tcW w:w="567" w:type="pct"/>
          </w:tcPr>
          <w:p w:rsidR="00AC42C7" w:rsidRPr="005F6E91" w:rsidRDefault="00AC42C7" w:rsidP="008559E9">
            <w:pPr>
              <w:spacing w:after="0" w:line="240" w:lineRule="auto"/>
              <w:jc w:val="both"/>
              <w:rPr>
                <w:rFonts w:cs="Times New Roman"/>
                <w:b/>
                <w:bCs/>
                <w:color w:val="000000"/>
                <w:sz w:val="22"/>
                <w:szCs w:val="20"/>
              </w:rPr>
            </w:pPr>
            <w:r w:rsidRPr="005F6E91">
              <w:rPr>
                <w:rFonts w:cs="Times New Roman"/>
                <w:b/>
                <w:bCs/>
                <w:color w:val="000000"/>
                <w:sz w:val="22"/>
                <w:szCs w:val="20"/>
              </w:rPr>
              <w:t>Region</w:t>
            </w:r>
          </w:p>
        </w:tc>
        <w:tc>
          <w:tcPr>
            <w:tcW w:w="1585" w:type="pct"/>
            <w:gridSpan w:val="5"/>
          </w:tcPr>
          <w:p w:rsidR="00AC42C7" w:rsidRPr="005F6E91" w:rsidRDefault="00AC42C7" w:rsidP="008559E9">
            <w:pPr>
              <w:spacing w:after="0" w:line="240" w:lineRule="auto"/>
              <w:jc w:val="both"/>
              <w:rPr>
                <w:rFonts w:cs="Times New Roman"/>
                <w:b/>
                <w:bCs/>
                <w:color w:val="000000"/>
                <w:sz w:val="22"/>
                <w:szCs w:val="20"/>
              </w:rPr>
            </w:pPr>
            <w:r w:rsidRPr="005F6E91">
              <w:rPr>
                <w:rFonts w:cs="Times New Roman"/>
                <w:b/>
                <w:bCs/>
                <w:color w:val="000000"/>
                <w:sz w:val="22"/>
                <w:szCs w:val="20"/>
              </w:rPr>
              <w:t>Seasonal Temperature change (</w:t>
            </w:r>
            <w:r w:rsidRPr="005F6E91">
              <w:rPr>
                <w:rFonts w:cs="Times New Roman"/>
                <w:b/>
                <w:bCs/>
                <w:color w:val="000000"/>
                <w:sz w:val="22"/>
                <w:szCs w:val="20"/>
                <w:vertAlign w:val="superscript"/>
              </w:rPr>
              <w:t>o</w:t>
            </w:r>
            <w:r w:rsidRPr="005F6E91">
              <w:rPr>
                <w:rFonts w:cs="Times New Roman"/>
                <w:b/>
                <w:bCs/>
                <w:color w:val="000000"/>
                <w:sz w:val="22"/>
                <w:szCs w:val="20"/>
              </w:rPr>
              <w:t>C) for 2030</w:t>
            </w:r>
          </w:p>
        </w:tc>
        <w:tc>
          <w:tcPr>
            <w:tcW w:w="710" w:type="pct"/>
          </w:tcPr>
          <w:p w:rsidR="00AC42C7" w:rsidRPr="005F6E91" w:rsidRDefault="00AC42C7" w:rsidP="008559E9">
            <w:pPr>
              <w:spacing w:after="0" w:line="240" w:lineRule="auto"/>
              <w:jc w:val="both"/>
              <w:rPr>
                <w:rFonts w:cs="Times New Roman"/>
                <w:b/>
                <w:bCs/>
                <w:color w:val="000000"/>
                <w:sz w:val="22"/>
                <w:szCs w:val="20"/>
              </w:rPr>
            </w:pPr>
          </w:p>
        </w:tc>
        <w:tc>
          <w:tcPr>
            <w:tcW w:w="1536" w:type="pct"/>
            <w:gridSpan w:val="4"/>
          </w:tcPr>
          <w:p w:rsidR="00AC42C7" w:rsidRPr="005F6E91" w:rsidRDefault="00AC42C7" w:rsidP="008559E9">
            <w:pPr>
              <w:spacing w:after="0" w:line="240" w:lineRule="auto"/>
              <w:jc w:val="both"/>
              <w:rPr>
                <w:rFonts w:cs="Times New Roman"/>
                <w:b/>
                <w:bCs/>
                <w:color w:val="000000"/>
                <w:sz w:val="22"/>
                <w:szCs w:val="20"/>
              </w:rPr>
            </w:pPr>
            <w:r w:rsidRPr="005F6E91">
              <w:rPr>
                <w:rFonts w:cs="Times New Roman"/>
                <w:b/>
                <w:bCs/>
                <w:color w:val="000000"/>
                <w:sz w:val="22"/>
                <w:szCs w:val="20"/>
              </w:rPr>
              <w:t>Seasonal Temperature change (</w:t>
            </w:r>
            <w:r w:rsidRPr="005F6E91">
              <w:rPr>
                <w:rFonts w:cs="Times New Roman"/>
                <w:b/>
                <w:bCs/>
                <w:color w:val="000000"/>
                <w:sz w:val="22"/>
                <w:szCs w:val="20"/>
                <w:vertAlign w:val="superscript"/>
              </w:rPr>
              <w:t>o</w:t>
            </w:r>
            <w:r w:rsidRPr="005F6E91">
              <w:rPr>
                <w:rFonts w:cs="Times New Roman"/>
                <w:b/>
                <w:bCs/>
                <w:color w:val="000000"/>
                <w:sz w:val="22"/>
                <w:szCs w:val="20"/>
              </w:rPr>
              <w:t>C) for 2050</w:t>
            </w:r>
          </w:p>
        </w:tc>
        <w:tc>
          <w:tcPr>
            <w:tcW w:w="602" w:type="pct"/>
          </w:tcPr>
          <w:p w:rsidR="00AC42C7" w:rsidRPr="005F6E91" w:rsidRDefault="00AC42C7" w:rsidP="008559E9">
            <w:pPr>
              <w:spacing w:after="0" w:line="240" w:lineRule="auto"/>
              <w:jc w:val="both"/>
              <w:rPr>
                <w:rFonts w:cs="Times New Roman"/>
                <w:b/>
                <w:bCs/>
                <w:color w:val="000000"/>
                <w:sz w:val="22"/>
                <w:szCs w:val="20"/>
              </w:rPr>
            </w:pPr>
          </w:p>
        </w:tc>
      </w:tr>
      <w:tr w:rsidR="00AC42C7" w:rsidRPr="00E23CE1" w:rsidTr="00744CFA">
        <w:trPr>
          <w:trHeight w:hRule="exact" w:val="360"/>
        </w:trPr>
        <w:tc>
          <w:tcPr>
            <w:tcW w:w="567" w:type="pct"/>
            <w:shd w:val="clear" w:color="auto" w:fill="auto"/>
          </w:tcPr>
          <w:p w:rsidR="00AC42C7" w:rsidRPr="005F6E91" w:rsidRDefault="00AC42C7" w:rsidP="00E23CE1">
            <w:pPr>
              <w:spacing w:after="0" w:line="240" w:lineRule="auto"/>
              <w:jc w:val="both"/>
              <w:rPr>
                <w:rFonts w:cs="Times New Roman"/>
                <w:b/>
                <w:bCs/>
                <w:color w:val="000000"/>
                <w:sz w:val="22"/>
                <w:szCs w:val="20"/>
              </w:rPr>
            </w:pPr>
          </w:p>
        </w:tc>
        <w:tc>
          <w:tcPr>
            <w:tcW w:w="351" w:type="pct"/>
            <w:gridSpan w:val="2"/>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DJF</w:t>
            </w:r>
          </w:p>
        </w:tc>
        <w:tc>
          <w:tcPr>
            <w:tcW w:w="423"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MAM</w:t>
            </w:r>
          </w:p>
        </w:tc>
        <w:tc>
          <w:tcPr>
            <w:tcW w:w="404"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JJAS</w:t>
            </w:r>
          </w:p>
        </w:tc>
        <w:tc>
          <w:tcPr>
            <w:tcW w:w="407"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ON</w:t>
            </w:r>
          </w:p>
        </w:tc>
        <w:tc>
          <w:tcPr>
            <w:tcW w:w="710"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Annual</w:t>
            </w:r>
          </w:p>
        </w:tc>
        <w:tc>
          <w:tcPr>
            <w:tcW w:w="353"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DJF</w:t>
            </w:r>
          </w:p>
        </w:tc>
        <w:tc>
          <w:tcPr>
            <w:tcW w:w="423"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MAM</w:t>
            </w:r>
          </w:p>
        </w:tc>
        <w:tc>
          <w:tcPr>
            <w:tcW w:w="405"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JJAS</w:t>
            </w:r>
          </w:p>
        </w:tc>
        <w:tc>
          <w:tcPr>
            <w:tcW w:w="355"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ON</w:t>
            </w:r>
          </w:p>
        </w:tc>
        <w:tc>
          <w:tcPr>
            <w:tcW w:w="602"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Annual</w:t>
            </w:r>
          </w:p>
        </w:tc>
      </w:tr>
      <w:tr w:rsidR="00AC42C7" w:rsidRPr="00E23CE1" w:rsidTr="00744CFA">
        <w:trPr>
          <w:trHeight w:hRule="exact" w:val="360"/>
        </w:trPr>
        <w:tc>
          <w:tcPr>
            <w:tcW w:w="5000" w:type="pct"/>
            <w:gridSpan w:val="12"/>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Maximum Temperature (</w:t>
            </w:r>
            <w:r w:rsidRPr="00E23CE1">
              <w:rPr>
                <w:rFonts w:cs="Times New Roman"/>
                <w:b/>
                <w:bCs/>
                <w:color w:val="000000"/>
                <w:sz w:val="22"/>
                <w:szCs w:val="20"/>
                <w:vertAlign w:val="superscript"/>
              </w:rPr>
              <w:t>o</w:t>
            </w:r>
            <w:r w:rsidRPr="00E23CE1">
              <w:rPr>
                <w:rFonts w:cs="Times New Roman"/>
                <w:b/>
                <w:bCs/>
                <w:color w:val="000000"/>
                <w:sz w:val="22"/>
                <w:szCs w:val="20"/>
              </w:rPr>
              <w:t>C)</w:t>
            </w:r>
          </w:p>
        </w:tc>
      </w:tr>
      <w:tr w:rsidR="00AC42C7" w:rsidRPr="00E23CE1" w:rsidTr="00744CFA">
        <w:trPr>
          <w:trHeight w:hRule="exact" w:val="288"/>
        </w:trPr>
        <w:tc>
          <w:tcPr>
            <w:tcW w:w="567"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NW</w:t>
            </w:r>
          </w:p>
        </w:tc>
        <w:tc>
          <w:tcPr>
            <w:tcW w:w="351" w:type="pct"/>
            <w:gridSpan w:val="2"/>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1.5</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-0.1</w:t>
            </w:r>
          </w:p>
        </w:tc>
        <w:tc>
          <w:tcPr>
            <w:tcW w:w="4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407"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710"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35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2.3</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0.6</w:t>
            </w:r>
          </w:p>
        </w:tc>
        <w:tc>
          <w:tcPr>
            <w:tcW w:w="40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1.9</w:t>
            </w:r>
          </w:p>
        </w:tc>
        <w:tc>
          <w:tcPr>
            <w:tcW w:w="35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1.9</w:t>
            </w:r>
          </w:p>
        </w:tc>
        <w:tc>
          <w:tcPr>
            <w:tcW w:w="602"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1.7</w:t>
            </w:r>
          </w:p>
        </w:tc>
      </w:tr>
      <w:tr w:rsidR="00AC42C7" w:rsidRPr="00E23CE1" w:rsidTr="00744CFA">
        <w:trPr>
          <w:trHeight w:hRule="exact" w:val="288"/>
        </w:trPr>
        <w:tc>
          <w:tcPr>
            <w:tcW w:w="567" w:type="pct"/>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NC</w:t>
            </w:r>
          </w:p>
        </w:tc>
        <w:tc>
          <w:tcPr>
            <w:tcW w:w="351" w:type="pct"/>
            <w:gridSpan w:val="2"/>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1.4</w:t>
            </w:r>
          </w:p>
        </w:tc>
        <w:tc>
          <w:tcPr>
            <w:tcW w:w="42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-0.3</w:t>
            </w:r>
          </w:p>
        </w:tc>
        <w:tc>
          <w:tcPr>
            <w:tcW w:w="404"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407"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710"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0.9</w:t>
            </w:r>
          </w:p>
        </w:tc>
        <w:tc>
          <w:tcPr>
            <w:tcW w:w="35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2.3</w:t>
            </w:r>
          </w:p>
        </w:tc>
        <w:tc>
          <w:tcPr>
            <w:tcW w:w="42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0.5</w:t>
            </w:r>
          </w:p>
        </w:tc>
        <w:tc>
          <w:tcPr>
            <w:tcW w:w="40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1.9</w:t>
            </w:r>
          </w:p>
        </w:tc>
        <w:tc>
          <w:tcPr>
            <w:tcW w:w="35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c>
          <w:tcPr>
            <w:tcW w:w="602"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r>
      <w:tr w:rsidR="00AC42C7" w:rsidRPr="00E23CE1" w:rsidTr="00744CFA">
        <w:trPr>
          <w:trHeight w:hRule="exact" w:val="288"/>
        </w:trPr>
        <w:tc>
          <w:tcPr>
            <w:tcW w:w="567"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NE</w:t>
            </w:r>
          </w:p>
        </w:tc>
        <w:tc>
          <w:tcPr>
            <w:tcW w:w="351" w:type="pct"/>
            <w:gridSpan w:val="2"/>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1.4</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0.0</w:t>
            </w:r>
          </w:p>
        </w:tc>
        <w:tc>
          <w:tcPr>
            <w:tcW w:w="4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407"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710"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35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2.2</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0.5</w:t>
            </w:r>
          </w:p>
        </w:tc>
        <w:tc>
          <w:tcPr>
            <w:tcW w:w="40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1.9</w:t>
            </w:r>
          </w:p>
        </w:tc>
        <w:tc>
          <w:tcPr>
            <w:tcW w:w="35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c>
          <w:tcPr>
            <w:tcW w:w="602"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r>
      <w:tr w:rsidR="00AC42C7" w:rsidRPr="00E23CE1" w:rsidTr="00744CFA">
        <w:trPr>
          <w:trHeight w:hRule="exact" w:val="288"/>
        </w:trPr>
        <w:tc>
          <w:tcPr>
            <w:tcW w:w="567" w:type="pct"/>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SW</w:t>
            </w:r>
          </w:p>
        </w:tc>
        <w:tc>
          <w:tcPr>
            <w:tcW w:w="351" w:type="pct"/>
            <w:gridSpan w:val="2"/>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42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0.0</w:t>
            </w:r>
          </w:p>
        </w:tc>
        <w:tc>
          <w:tcPr>
            <w:tcW w:w="404"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407"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0.8</w:t>
            </w:r>
          </w:p>
        </w:tc>
        <w:tc>
          <w:tcPr>
            <w:tcW w:w="710"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0.8</w:t>
            </w:r>
          </w:p>
        </w:tc>
        <w:tc>
          <w:tcPr>
            <w:tcW w:w="35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2.2</w:t>
            </w:r>
          </w:p>
        </w:tc>
        <w:tc>
          <w:tcPr>
            <w:tcW w:w="42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0.9</w:t>
            </w:r>
          </w:p>
        </w:tc>
        <w:tc>
          <w:tcPr>
            <w:tcW w:w="40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c>
          <w:tcPr>
            <w:tcW w:w="35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602"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1.5</w:t>
            </w:r>
          </w:p>
        </w:tc>
      </w:tr>
      <w:tr w:rsidR="00AC42C7" w:rsidRPr="00E23CE1" w:rsidTr="00744CFA">
        <w:trPr>
          <w:trHeight w:hRule="exact" w:val="288"/>
        </w:trPr>
        <w:tc>
          <w:tcPr>
            <w:tcW w:w="567"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SC</w:t>
            </w:r>
          </w:p>
        </w:tc>
        <w:tc>
          <w:tcPr>
            <w:tcW w:w="351" w:type="pct"/>
            <w:gridSpan w:val="2"/>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0.4</w:t>
            </w:r>
          </w:p>
        </w:tc>
        <w:tc>
          <w:tcPr>
            <w:tcW w:w="4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407"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0.8</w:t>
            </w:r>
          </w:p>
        </w:tc>
        <w:tc>
          <w:tcPr>
            <w:tcW w:w="710"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0.8</w:t>
            </w:r>
          </w:p>
        </w:tc>
        <w:tc>
          <w:tcPr>
            <w:tcW w:w="35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2.0</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40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1.5</w:t>
            </w:r>
          </w:p>
        </w:tc>
        <w:tc>
          <w:tcPr>
            <w:tcW w:w="35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602"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1.5</w:t>
            </w:r>
          </w:p>
        </w:tc>
      </w:tr>
      <w:tr w:rsidR="00AC42C7" w:rsidRPr="00E23CE1" w:rsidTr="00744CFA">
        <w:trPr>
          <w:trHeight w:hRule="exact" w:val="288"/>
        </w:trPr>
        <w:tc>
          <w:tcPr>
            <w:tcW w:w="567" w:type="pct"/>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SE</w:t>
            </w:r>
          </w:p>
        </w:tc>
        <w:tc>
          <w:tcPr>
            <w:tcW w:w="351" w:type="pct"/>
            <w:gridSpan w:val="2"/>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42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-0.1</w:t>
            </w:r>
          </w:p>
        </w:tc>
        <w:tc>
          <w:tcPr>
            <w:tcW w:w="404"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407"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0.9</w:t>
            </w:r>
          </w:p>
        </w:tc>
        <w:tc>
          <w:tcPr>
            <w:tcW w:w="710"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0.8</w:t>
            </w:r>
          </w:p>
        </w:tc>
        <w:tc>
          <w:tcPr>
            <w:tcW w:w="35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2.1</w:t>
            </w:r>
          </w:p>
        </w:tc>
        <w:tc>
          <w:tcPr>
            <w:tcW w:w="42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0.6</w:t>
            </w:r>
          </w:p>
        </w:tc>
        <w:tc>
          <w:tcPr>
            <w:tcW w:w="40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1.7</w:t>
            </w:r>
          </w:p>
        </w:tc>
        <w:tc>
          <w:tcPr>
            <w:tcW w:w="35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602"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1.4</w:t>
            </w:r>
          </w:p>
        </w:tc>
      </w:tr>
      <w:tr w:rsidR="00AC42C7" w:rsidRPr="00E23CE1" w:rsidTr="00744CFA">
        <w:trPr>
          <w:trHeight w:hRule="exact" w:val="288"/>
        </w:trPr>
        <w:tc>
          <w:tcPr>
            <w:tcW w:w="567"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EH</w:t>
            </w:r>
          </w:p>
        </w:tc>
        <w:tc>
          <w:tcPr>
            <w:tcW w:w="351" w:type="pct"/>
            <w:gridSpan w:val="2"/>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0.4</w:t>
            </w:r>
          </w:p>
        </w:tc>
        <w:tc>
          <w:tcPr>
            <w:tcW w:w="4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407"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0.8</w:t>
            </w:r>
          </w:p>
        </w:tc>
        <w:tc>
          <w:tcPr>
            <w:tcW w:w="710"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0.8</w:t>
            </w:r>
          </w:p>
        </w:tc>
        <w:tc>
          <w:tcPr>
            <w:tcW w:w="35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0.9</w:t>
            </w:r>
          </w:p>
        </w:tc>
        <w:tc>
          <w:tcPr>
            <w:tcW w:w="40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1.5</w:t>
            </w:r>
          </w:p>
        </w:tc>
        <w:tc>
          <w:tcPr>
            <w:tcW w:w="35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602"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1.4</w:t>
            </w:r>
          </w:p>
        </w:tc>
      </w:tr>
      <w:tr w:rsidR="00AC42C7" w:rsidRPr="00E23CE1" w:rsidTr="00744CFA">
        <w:trPr>
          <w:trHeight w:hRule="exact" w:val="288"/>
        </w:trPr>
        <w:tc>
          <w:tcPr>
            <w:tcW w:w="5000" w:type="pct"/>
            <w:gridSpan w:val="12"/>
          </w:tcPr>
          <w:p w:rsidR="00AC42C7" w:rsidRPr="007D4237" w:rsidRDefault="00AC42C7" w:rsidP="00E23CE1">
            <w:pPr>
              <w:spacing w:after="0" w:line="240" w:lineRule="auto"/>
              <w:jc w:val="both"/>
              <w:rPr>
                <w:rFonts w:cs="Times New Roman"/>
                <w:b/>
                <w:bCs/>
                <w:color w:val="000000"/>
                <w:sz w:val="20"/>
                <w:szCs w:val="20"/>
              </w:rPr>
            </w:pPr>
            <w:r w:rsidRPr="007D4237">
              <w:rPr>
                <w:rFonts w:cs="Times New Roman"/>
                <w:b/>
                <w:bCs/>
                <w:color w:val="000000"/>
                <w:sz w:val="20"/>
                <w:szCs w:val="20"/>
              </w:rPr>
              <w:t>Minimum Temperature (</w:t>
            </w:r>
            <w:r w:rsidRPr="007D4237">
              <w:rPr>
                <w:rFonts w:cs="Times New Roman"/>
                <w:b/>
                <w:bCs/>
                <w:color w:val="000000"/>
                <w:sz w:val="20"/>
                <w:szCs w:val="20"/>
                <w:vertAlign w:val="superscript"/>
              </w:rPr>
              <w:t>o</w:t>
            </w:r>
            <w:r w:rsidRPr="007D4237">
              <w:rPr>
                <w:rFonts w:cs="Times New Roman"/>
                <w:b/>
                <w:bCs/>
                <w:color w:val="000000"/>
                <w:sz w:val="20"/>
                <w:szCs w:val="20"/>
              </w:rPr>
              <w:t>C)</w:t>
            </w:r>
          </w:p>
        </w:tc>
      </w:tr>
      <w:tr w:rsidR="00AC42C7" w:rsidRPr="00E23CE1" w:rsidTr="00744CFA">
        <w:trPr>
          <w:trHeight w:hRule="exact" w:val="288"/>
        </w:trPr>
        <w:tc>
          <w:tcPr>
            <w:tcW w:w="567"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NW</w:t>
            </w:r>
          </w:p>
        </w:tc>
        <w:tc>
          <w:tcPr>
            <w:tcW w:w="3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1.4</w:t>
            </w:r>
          </w:p>
        </w:tc>
        <w:tc>
          <w:tcPr>
            <w:tcW w:w="470" w:type="pct"/>
            <w:gridSpan w:val="2"/>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0.6</w:t>
            </w:r>
          </w:p>
        </w:tc>
        <w:tc>
          <w:tcPr>
            <w:tcW w:w="4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407"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1.4</w:t>
            </w:r>
          </w:p>
        </w:tc>
        <w:tc>
          <w:tcPr>
            <w:tcW w:w="710"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35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2.3</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40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1.7</w:t>
            </w:r>
          </w:p>
        </w:tc>
        <w:tc>
          <w:tcPr>
            <w:tcW w:w="35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2.3</w:t>
            </w:r>
          </w:p>
        </w:tc>
        <w:tc>
          <w:tcPr>
            <w:tcW w:w="602"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1.9</w:t>
            </w:r>
          </w:p>
        </w:tc>
      </w:tr>
      <w:tr w:rsidR="00AC42C7" w:rsidRPr="00E23CE1" w:rsidTr="00744CFA">
        <w:trPr>
          <w:trHeight w:hRule="exact" w:val="288"/>
        </w:trPr>
        <w:tc>
          <w:tcPr>
            <w:tcW w:w="567" w:type="pct"/>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NC</w:t>
            </w:r>
          </w:p>
        </w:tc>
        <w:tc>
          <w:tcPr>
            <w:tcW w:w="304"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1.5</w:t>
            </w:r>
          </w:p>
        </w:tc>
        <w:tc>
          <w:tcPr>
            <w:tcW w:w="470" w:type="pct"/>
            <w:gridSpan w:val="2"/>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0.6</w:t>
            </w:r>
          </w:p>
        </w:tc>
        <w:tc>
          <w:tcPr>
            <w:tcW w:w="404"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407"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1.4</w:t>
            </w:r>
          </w:p>
        </w:tc>
        <w:tc>
          <w:tcPr>
            <w:tcW w:w="710"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35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2.4</w:t>
            </w:r>
          </w:p>
        </w:tc>
        <w:tc>
          <w:tcPr>
            <w:tcW w:w="42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40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1.7</w:t>
            </w:r>
          </w:p>
        </w:tc>
        <w:tc>
          <w:tcPr>
            <w:tcW w:w="35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2.3</w:t>
            </w:r>
          </w:p>
        </w:tc>
        <w:tc>
          <w:tcPr>
            <w:tcW w:w="602"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1.8</w:t>
            </w:r>
          </w:p>
        </w:tc>
      </w:tr>
      <w:tr w:rsidR="00AC42C7" w:rsidRPr="00E23CE1" w:rsidTr="00744CFA">
        <w:trPr>
          <w:trHeight w:hRule="exact" w:val="288"/>
        </w:trPr>
        <w:tc>
          <w:tcPr>
            <w:tcW w:w="567"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NE</w:t>
            </w:r>
          </w:p>
        </w:tc>
        <w:tc>
          <w:tcPr>
            <w:tcW w:w="3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c>
          <w:tcPr>
            <w:tcW w:w="470" w:type="pct"/>
            <w:gridSpan w:val="2"/>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0.8</w:t>
            </w:r>
          </w:p>
        </w:tc>
        <w:tc>
          <w:tcPr>
            <w:tcW w:w="4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407"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c>
          <w:tcPr>
            <w:tcW w:w="710"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35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2.4</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40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1.8</w:t>
            </w:r>
          </w:p>
        </w:tc>
        <w:tc>
          <w:tcPr>
            <w:tcW w:w="35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2.4</w:t>
            </w:r>
          </w:p>
        </w:tc>
        <w:tc>
          <w:tcPr>
            <w:tcW w:w="602"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1.9</w:t>
            </w:r>
          </w:p>
        </w:tc>
      </w:tr>
      <w:tr w:rsidR="00AC42C7" w:rsidRPr="00E23CE1" w:rsidTr="00744CFA">
        <w:trPr>
          <w:trHeight w:hRule="exact" w:val="288"/>
        </w:trPr>
        <w:tc>
          <w:tcPr>
            <w:tcW w:w="567" w:type="pct"/>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SW</w:t>
            </w:r>
          </w:p>
        </w:tc>
        <w:tc>
          <w:tcPr>
            <w:tcW w:w="304"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470" w:type="pct"/>
            <w:gridSpan w:val="2"/>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0.6</w:t>
            </w:r>
          </w:p>
        </w:tc>
        <w:tc>
          <w:tcPr>
            <w:tcW w:w="404"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407"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710"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353" w:type="pct"/>
          </w:tcPr>
          <w:p w:rsidR="00AC42C7" w:rsidRPr="007D4237" w:rsidRDefault="00AC42C7" w:rsidP="00E23CE1">
            <w:pPr>
              <w:pStyle w:val="Body"/>
              <w:spacing w:before="0" w:after="0" w:line="240" w:lineRule="auto"/>
              <w:rPr>
                <w:rFonts w:ascii="Times New Roman" w:hAnsi="Times New Roman" w:cs="Times New Roman"/>
                <w:sz w:val="20"/>
                <w:lang w:bidi="ar-SA"/>
              </w:rPr>
            </w:pPr>
            <w:r w:rsidRPr="007D4237">
              <w:rPr>
                <w:rFonts w:ascii="Times New Roman" w:hAnsi="Times New Roman" w:cs="Times New Roman"/>
                <w:sz w:val="20"/>
                <w:lang w:bidi="ar-SA"/>
              </w:rPr>
              <w:t>2.4</w:t>
            </w:r>
          </w:p>
        </w:tc>
        <w:tc>
          <w:tcPr>
            <w:tcW w:w="42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40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c>
          <w:tcPr>
            <w:tcW w:w="35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1.9</w:t>
            </w:r>
          </w:p>
        </w:tc>
        <w:tc>
          <w:tcPr>
            <w:tcW w:w="602"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1.8</w:t>
            </w:r>
          </w:p>
        </w:tc>
      </w:tr>
      <w:tr w:rsidR="00AC42C7" w:rsidRPr="00E23CE1" w:rsidTr="00744CFA">
        <w:trPr>
          <w:trHeight w:hRule="exact" w:val="288"/>
        </w:trPr>
        <w:tc>
          <w:tcPr>
            <w:tcW w:w="567"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SC</w:t>
            </w:r>
          </w:p>
        </w:tc>
        <w:tc>
          <w:tcPr>
            <w:tcW w:w="3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470" w:type="pct"/>
            <w:gridSpan w:val="2"/>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0.7</w:t>
            </w:r>
          </w:p>
        </w:tc>
        <w:tc>
          <w:tcPr>
            <w:tcW w:w="4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407"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710"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1.0</w:t>
            </w:r>
          </w:p>
        </w:tc>
        <w:tc>
          <w:tcPr>
            <w:tcW w:w="35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2.3</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40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1.5</w:t>
            </w:r>
          </w:p>
        </w:tc>
        <w:tc>
          <w:tcPr>
            <w:tcW w:w="35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1.7</w:t>
            </w:r>
          </w:p>
        </w:tc>
        <w:tc>
          <w:tcPr>
            <w:tcW w:w="602"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1.7</w:t>
            </w:r>
          </w:p>
        </w:tc>
      </w:tr>
      <w:tr w:rsidR="00AC42C7" w:rsidRPr="00E23CE1" w:rsidTr="00744CFA">
        <w:trPr>
          <w:trHeight w:hRule="exact" w:val="288"/>
        </w:trPr>
        <w:tc>
          <w:tcPr>
            <w:tcW w:w="567" w:type="pct"/>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SE</w:t>
            </w:r>
          </w:p>
        </w:tc>
        <w:tc>
          <w:tcPr>
            <w:tcW w:w="304"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1.4</w:t>
            </w:r>
          </w:p>
        </w:tc>
        <w:tc>
          <w:tcPr>
            <w:tcW w:w="470" w:type="pct"/>
            <w:gridSpan w:val="2"/>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0.6</w:t>
            </w:r>
          </w:p>
        </w:tc>
        <w:tc>
          <w:tcPr>
            <w:tcW w:w="404"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407"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710"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35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2.4</w:t>
            </w:r>
          </w:p>
        </w:tc>
        <w:tc>
          <w:tcPr>
            <w:tcW w:w="423"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40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1.6</w:t>
            </w:r>
          </w:p>
        </w:tc>
        <w:tc>
          <w:tcPr>
            <w:tcW w:w="355"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2.0</w:t>
            </w:r>
          </w:p>
        </w:tc>
        <w:tc>
          <w:tcPr>
            <w:tcW w:w="602" w:type="pct"/>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1.8</w:t>
            </w:r>
          </w:p>
        </w:tc>
      </w:tr>
      <w:tr w:rsidR="00AC42C7" w:rsidRPr="00D51102" w:rsidTr="00744CFA">
        <w:trPr>
          <w:trHeight w:hRule="exact" w:val="288"/>
        </w:trPr>
        <w:tc>
          <w:tcPr>
            <w:tcW w:w="567" w:type="pct"/>
            <w:shd w:val="clear" w:color="auto" w:fill="auto"/>
          </w:tcPr>
          <w:p w:rsidR="00AC42C7" w:rsidRPr="00E23CE1" w:rsidRDefault="00AC42C7" w:rsidP="00E23CE1">
            <w:pPr>
              <w:spacing w:after="0" w:line="240" w:lineRule="auto"/>
              <w:jc w:val="both"/>
              <w:rPr>
                <w:rFonts w:cs="Times New Roman"/>
                <w:b/>
                <w:bCs/>
                <w:color w:val="000000"/>
                <w:sz w:val="22"/>
                <w:szCs w:val="20"/>
              </w:rPr>
            </w:pPr>
            <w:r w:rsidRPr="00E23CE1">
              <w:rPr>
                <w:rFonts w:cs="Times New Roman"/>
                <w:b/>
                <w:bCs/>
                <w:color w:val="000000"/>
                <w:sz w:val="22"/>
                <w:szCs w:val="20"/>
              </w:rPr>
              <w:t>EH</w:t>
            </w:r>
          </w:p>
        </w:tc>
        <w:tc>
          <w:tcPr>
            <w:tcW w:w="3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1.3</w:t>
            </w:r>
          </w:p>
        </w:tc>
        <w:tc>
          <w:tcPr>
            <w:tcW w:w="470" w:type="pct"/>
            <w:gridSpan w:val="2"/>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0.9</w:t>
            </w:r>
          </w:p>
        </w:tc>
        <w:tc>
          <w:tcPr>
            <w:tcW w:w="404"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407"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1.2</w:t>
            </w:r>
          </w:p>
        </w:tc>
        <w:tc>
          <w:tcPr>
            <w:tcW w:w="710"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1.1</w:t>
            </w:r>
          </w:p>
        </w:tc>
        <w:tc>
          <w:tcPr>
            <w:tcW w:w="35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2.2</w:t>
            </w:r>
          </w:p>
        </w:tc>
        <w:tc>
          <w:tcPr>
            <w:tcW w:w="423"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1.5</w:t>
            </w:r>
          </w:p>
        </w:tc>
        <w:tc>
          <w:tcPr>
            <w:tcW w:w="40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1.7</w:t>
            </w:r>
          </w:p>
        </w:tc>
        <w:tc>
          <w:tcPr>
            <w:tcW w:w="355"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1.9</w:t>
            </w:r>
          </w:p>
        </w:tc>
        <w:tc>
          <w:tcPr>
            <w:tcW w:w="602" w:type="pct"/>
            <w:shd w:val="clear" w:color="auto" w:fill="auto"/>
          </w:tcPr>
          <w:p w:rsidR="00AC42C7" w:rsidRPr="007D4237" w:rsidRDefault="00AC42C7" w:rsidP="00E23CE1">
            <w:pPr>
              <w:spacing w:after="0" w:line="240" w:lineRule="auto"/>
              <w:jc w:val="both"/>
              <w:rPr>
                <w:rFonts w:cs="Times New Roman"/>
                <w:bCs/>
                <w:color w:val="000000"/>
                <w:sz w:val="20"/>
                <w:szCs w:val="20"/>
              </w:rPr>
            </w:pPr>
            <w:r w:rsidRPr="007D4237">
              <w:rPr>
                <w:rFonts w:cs="Times New Roman"/>
                <w:bCs/>
                <w:color w:val="000000"/>
                <w:sz w:val="20"/>
                <w:szCs w:val="20"/>
              </w:rPr>
              <w:t>1.8</w:t>
            </w:r>
          </w:p>
        </w:tc>
      </w:tr>
    </w:tbl>
    <w:p w:rsidR="00081EB6" w:rsidRPr="006A0504" w:rsidRDefault="00081EB6" w:rsidP="00081EB6">
      <w:pPr>
        <w:spacing w:before="120"/>
        <w:ind w:left="187"/>
        <w:jc w:val="both"/>
        <w:rPr>
          <w:b/>
          <w:bCs/>
          <w:i/>
          <w:iCs/>
          <w:sz w:val="20"/>
          <w:szCs w:val="20"/>
        </w:rPr>
      </w:pPr>
      <w:r w:rsidRPr="006A0504">
        <w:rPr>
          <w:b/>
          <w:bCs/>
          <w:i/>
          <w:iCs/>
          <w:sz w:val="20"/>
          <w:szCs w:val="20"/>
        </w:rPr>
        <w:t>Source: IPCC2013</w:t>
      </w:r>
    </w:p>
    <w:p w:rsidR="004B40BC" w:rsidRDefault="00487749" w:rsidP="00A1679C">
      <w:pPr>
        <w:spacing w:line="276" w:lineRule="auto"/>
        <w:jc w:val="both"/>
        <w:rPr>
          <w:szCs w:val="24"/>
        </w:rPr>
      </w:pPr>
      <w:r w:rsidRPr="004B40BC">
        <w:rPr>
          <w:szCs w:val="24"/>
        </w:rPr>
        <w:t>The rainfall pattern is going to be more variable and erratic in the futur</w:t>
      </w:r>
      <w:r w:rsidR="00361C88" w:rsidRPr="004B40BC">
        <w:rPr>
          <w:szCs w:val="24"/>
        </w:rPr>
        <w:t xml:space="preserve">e. There is an indication that </w:t>
      </w:r>
      <w:r w:rsidRPr="004B40BC">
        <w:rPr>
          <w:szCs w:val="24"/>
        </w:rPr>
        <w:t>pre monsoon and monsoon rainfall will increase under BAU scenario</w:t>
      </w:r>
      <w:r w:rsidR="00361C88" w:rsidRPr="004B40BC">
        <w:rPr>
          <w:szCs w:val="24"/>
        </w:rPr>
        <w:t xml:space="preserve"> (Table 1.6)</w:t>
      </w:r>
      <w:r w:rsidRPr="004B40BC">
        <w:rPr>
          <w:szCs w:val="24"/>
        </w:rPr>
        <w:t xml:space="preserve">. On </w:t>
      </w:r>
      <w:r w:rsidR="00361C88" w:rsidRPr="004B40BC">
        <w:rPr>
          <w:szCs w:val="24"/>
        </w:rPr>
        <w:t xml:space="preserve">an </w:t>
      </w:r>
      <w:r w:rsidRPr="004B40BC">
        <w:rPr>
          <w:szCs w:val="24"/>
        </w:rPr>
        <w:t>annual basis, the rainfall is expected to increase in most regions during 2030. But, during 2050, southern parts of the country along with the eastern hills might get reductions in rainfall. Under the EXT scenario, as temperature rise will be higher, more erratic behavior of rainfall along with changes i</w:t>
      </w:r>
      <w:r w:rsidR="004B40BC" w:rsidRPr="004B40BC">
        <w:rPr>
          <w:szCs w:val="24"/>
        </w:rPr>
        <w:t>n rainfall amounts is expected.</w:t>
      </w:r>
    </w:p>
    <w:p w:rsidR="00D7044C" w:rsidRDefault="00D7044C" w:rsidP="00A1679C">
      <w:pPr>
        <w:spacing w:line="276" w:lineRule="auto"/>
        <w:jc w:val="both"/>
        <w:rPr>
          <w:szCs w:val="24"/>
        </w:rPr>
      </w:pPr>
    </w:p>
    <w:p w:rsidR="00D7044C" w:rsidRPr="00A1679C" w:rsidRDefault="00D7044C" w:rsidP="00A1679C">
      <w:pPr>
        <w:spacing w:line="276" w:lineRule="auto"/>
        <w:jc w:val="both"/>
        <w:rPr>
          <w:szCs w:val="24"/>
        </w:rPr>
      </w:pPr>
    </w:p>
    <w:p w:rsidR="00AC42C7" w:rsidRPr="006A0504" w:rsidRDefault="008559E9" w:rsidP="00B77ABC">
      <w:pPr>
        <w:pStyle w:val="Heading4"/>
      </w:pPr>
      <w:bookmarkStart w:id="31" w:name="_Toc474638977"/>
      <w:r>
        <w:lastRenderedPageBreak/>
        <w:t>Table 1.6</w:t>
      </w:r>
      <w:r w:rsidR="00AC42C7">
        <w:t>: Projected Seasonal and A</w:t>
      </w:r>
      <w:r w:rsidR="00AC42C7" w:rsidRPr="006A0504">
        <w:t xml:space="preserve">nnual </w:t>
      </w:r>
      <w:r w:rsidR="00AC42C7">
        <w:t>Change in R</w:t>
      </w:r>
      <w:r w:rsidR="00AC42C7" w:rsidRPr="006A0504">
        <w:t>ainfall for BAU</w:t>
      </w:r>
      <w:bookmarkEnd w:id="31"/>
    </w:p>
    <w:tbl>
      <w:tblPr>
        <w:tblpPr w:leftFromText="180" w:rightFromText="180" w:vertAnchor="text" w:horzAnchor="margin" w:tblpY="57"/>
        <w:tblW w:w="5000" w:type="pct"/>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961"/>
        <w:gridCol w:w="774"/>
        <w:gridCol w:w="862"/>
        <w:gridCol w:w="781"/>
        <w:gridCol w:w="827"/>
        <w:gridCol w:w="1013"/>
        <w:gridCol w:w="774"/>
        <w:gridCol w:w="919"/>
        <w:gridCol w:w="827"/>
        <w:gridCol w:w="735"/>
        <w:gridCol w:w="1103"/>
      </w:tblGrid>
      <w:tr w:rsidR="00AC42C7" w:rsidRPr="001234FC" w:rsidTr="00744CFA">
        <w:trPr>
          <w:trHeight w:val="144"/>
        </w:trPr>
        <w:tc>
          <w:tcPr>
            <w:tcW w:w="501" w:type="pct"/>
            <w:vAlign w:val="center"/>
          </w:tcPr>
          <w:p w:rsidR="00AC42C7" w:rsidRPr="00E23CE1" w:rsidRDefault="00AC42C7" w:rsidP="008559E9">
            <w:pPr>
              <w:spacing w:after="0"/>
              <w:jc w:val="center"/>
              <w:rPr>
                <w:b/>
                <w:bCs/>
                <w:color w:val="000000"/>
                <w:szCs w:val="20"/>
              </w:rPr>
            </w:pPr>
            <w:r w:rsidRPr="00E23CE1">
              <w:rPr>
                <w:b/>
                <w:bCs/>
                <w:color w:val="000000"/>
                <w:szCs w:val="20"/>
              </w:rPr>
              <w:t>Region</w:t>
            </w:r>
          </w:p>
        </w:tc>
        <w:tc>
          <w:tcPr>
            <w:tcW w:w="1694" w:type="pct"/>
            <w:gridSpan w:val="4"/>
            <w:vAlign w:val="center"/>
          </w:tcPr>
          <w:p w:rsidR="00AC42C7" w:rsidRPr="00E23CE1" w:rsidRDefault="00AC42C7" w:rsidP="008559E9">
            <w:pPr>
              <w:spacing w:after="0"/>
              <w:jc w:val="center"/>
              <w:rPr>
                <w:b/>
                <w:bCs/>
                <w:color w:val="000000"/>
                <w:szCs w:val="20"/>
              </w:rPr>
            </w:pPr>
            <w:r w:rsidRPr="00E23CE1">
              <w:rPr>
                <w:b/>
                <w:bCs/>
                <w:color w:val="000000"/>
                <w:szCs w:val="20"/>
              </w:rPr>
              <w:t>Seasonal Rainfall change (%) for 2030</w:t>
            </w:r>
          </w:p>
        </w:tc>
        <w:tc>
          <w:tcPr>
            <w:tcW w:w="529" w:type="pct"/>
            <w:vAlign w:val="center"/>
          </w:tcPr>
          <w:p w:rsidR="00AC42C7" w:rsidRPr="00E23CE1" w:rsidRDefault="00AC42C7" w:rsidP="008559E9">
            <w:pPr>
              <w:spacing w:after="0"/>
              <w:jc w:val="center"/>
              <w:rPr>
                <w:b/>
                <w:bCs/>
                <w:color w:val="000000"/>
                <w:szCs w:val="20"/>
              </w:rPr>
            </w:pPr>
          </w:p>
        </w:tc>
        <w:tc>
          <w:tcPr>
            <w:tcW w:w="1700" w:type="pct"/>
            <w:gridSpan w:val="4"/>
            <w:vAlign w:val="center"/>
          </w:tcPr>
          <w:p w:rsidR="00AC42C7" w:rsidRPr="00E23CE1" w:rsidRDefault="00AC42C7" w:rsidP="008559E9">
            <w:pPr>
              <w:spacing w:after="0"/>
              <w:jc w:val="center"/>
              <w:rPr>
                <w:b/>
                <w:bCs/>
                <w:color w:val="000000"/>
                <w:szCs w:val="20"/>
              </w:rPr>
            </w:pPr>
            <w:r w:rsidRPr="00E23CE1">
              <w:rPr>
                <w:b/>
                <w:bCs/>
                <w:color w:val="000000"/>
                <w:szCs w:val="20"/>
              </w:rPr>
              <w:t>Seasonal Rainfall change (%) for 2050</w:t>
            </w:r>
          </w:p>
        </w:tc>
        <w:tc>
          <w:tcPr>
            <w:tcW w:w="577" w:type="pct"/>
            <w:vAlign w:val="center"/>
          </w:tcPr>
          <w:p w:rsidR="00AC42C7" w:rsidRPr="00E23CE1" w:rsidRDefault="00AC42C7" w:rsidP="008559E9">
            <w:pPr>
              <w:spacing w:after="0"/>
              <w:jc w:val="center"/>
              <w:rPr>
                <w:b/>
                <w:bCs/>
                <w:color w:val="000000"/>
                <w:szCs w:val="20"/>
              </w:rPr>
            </w:pPr>
          </w:p>
        </w:tc>
      </w:tr>
      <w:tr w:rsidR="00AC42C7" w:rsidRPr="001234FC" w:rsidTr="00744CFA">
        <w:trPr>
          <w:trHeight w:hRule="exact" w:val="360"/>
        </w:trPr>
        <w:tc>
          <w:tcPr>
            <w:tcW w:w="501" w:type="pct"/>
            <w:shd w:val="clear" w:color="auto" w:fill="auto"/>
          </w:tcPr>
          <w:p w:rsidR="00AC42C7" w:rsidRPr="00E23CE1" w:rsidRDefault="00AC42C7" w:rsidP="008559E9">
            <w:pPr>
              <w:spacing w:after="0"/>
              <w:jc w:val="both"/>
              <w:rPr>
                <w:b/>
                <w:bCs/>
                <w:color w:val="000000"/>
                <w:szCs w:val="20"/>
              </w:rPr>
            </w:pPr>
          </w:p>
        </w:tc>
        <w:tc>
          <w:tcPr>
            <w:tcW w:w="404"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DJF</w:t>
            </w:r>
          </w:p>
        </w:tc>
        <w:tc>
          <w:tcPr>
            <w:tcW w:w="450"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MAM</w:t>
            </w:r>
          </w:p>
        </w:tc>
        <w:tc>
          <w:tcPr>
            <w:tcW w:w="408"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JJAS</w:t>
            </w:r>
          </w:p>
        </w:tc>
        <w:tc>
          <w:tcPr>
            <w:tcW w:w="432"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ON</w:t>
            </w:r>
          </w:p>
        </w:tc>
        <w:tc>
          <w:tcPr>
            <w:tcW w:w="529"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Annual</w:t>
            </w:r>
          </w:p>
        </w:tc>
        <w:tc>
          <w:tcPr>
            <w:tcW w:w="404"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DJF</w:t>
            </w:r>
          </w:p>
        </w:tc>
        <w:tc>
          <w:tcPr>
            <w:tcW w:w="480"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MAM</w:t>
            </w:r>
          </w:p>
        </w:tc>
        <w:tc>
          <w:tcPr>
            <w:tcW w:w="432"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JJAS</w:t>
            </w:r>
          </w:p>
        </w:tc>
        <w:tc>
          <w:tcPr>
            <w:tcW w:w="384"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ON</w:t>
            </w:r>
          </w:p>
        </w:tc>
        <w:tc>
          <w:tcPr>
            <w:tcW w:w="577"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Annual</w:t>
            </w:r>
          </w:p>
        </w:tc>
      </w:tr>
      <w:tr w:rsidR="00AC42C7" w:rsidRPr="001234FC" w:rsidTr="00744CFA">
        <w:trPr>
          <w:trHeight w:hRule="exact" w:val="360"/>
        </w:trPr>
        <w:tc>
          <w:tcPr>
            <w:tcW w:w="501" w:type="pct"/>
          </w:tcPr>
          <w:p w:rsidR="00AC42C7" w:rsidRPr="00E23CE1" w:rsidRDefault="00AC42C7" w:rsidP="008559E9">
            <w:pPr>
              <w:spacing w:after="0"/>
              <w:jc w:val="both"/>
              <w:rPr>
                <w:b/>
                <w:bCs/>
                <w:color w:val="000000"/>
                <w:szCs w:val="20"/>
              </w:rPr>
            </w:pPr>
            <w:r w:rsidRPr="00E23CE1">
              <w:rPr>
                <w:b/>
                <w:bCs/>
                <w:color w:val="000000"/>
                <w:szCs w:val="20"/>
              </w:rPr>
              <w:t>NW</w:t>
            </w:r>
          </w:p>
        </w:tc>
        <w:tc>
          <w:tcPr>
            <w:tcW w:w="404" w:type="pct"/>
          </w:tcPr>
          <w:p w:rsidR="00AC42C7" w:rsidRPr="00E23CE1" w:rsidRDefault="00AC42C7" w:rsidP="008559E9">
            <w:pPr>
              <w:spacing w:after="0"/>
              <w:jc w:val="both"/>
              <w:rPr>
                <w:bCs/>
                <w:color w:val="000000"/>
                <w:szCs w:val="20"/>
              </w:rPr>
            </w:pPr>
            <w:r w:rsidRPr="00E23CE1">
              <w:rPr>
                <w:bCs/>
                <w:color w:val="000000"/>
                <w:szCs w:val="20"/>
              </w:rPr>
              <w:t>134.0</w:t>
            </w:r>
          </w:p>
        </w:tc>
        <w:tc>
          <w:tcPr>
            <w:tcW w:w="450" w:type="pct"/>
          </w:tcPr>
          <w:p w:rsidR="00AC42C7" w:rsidRPr="00E23CE1" w:rsidRDefault="00AC42C7" w:rsidP="008559E9">
            <w:pPr>
              <w:spacing w:after="0"/>
              <w:jc w:val="both"/>
              <w:rPr>
                <w:bCs/>
                <w:color w:val="000000"/>
                <w:szCs w:val="20"/>
              </w:rPr>
            </w:pPr>
            <w:r w:rsidRPr="00E23CE1">
              <w:rPr>
                <w:bCs/>
                <w:color w:val="000000"/>
                <w:szCs w:val="20"/>
              </w:rPr>
              <w:t>19.9</w:t>
            </w:r>
          </w:p>
        </w:tc>
        <w:tc>
          <w:tcPr>
            <w:tcW w:w="408" w:type="pct"/>
          </w:tcPr>
          <w:p w:rsidR="00AC42C7" w:rsidRPr="00E23CE1" w:rsidRDefault="00AC42C7" w:rsidP="008559E9">
            <w:pPr>
              <w:spacing w:after="0"/>
              <w:jc w:val="both"/>
              <w:rPr>
                <w:bCs/>
                <w:color w:val="000000"/>
                <w:szCs w:val="20"/>
              </w:rPr>
            </w:pPr>
            <w:r w:rsidRPr="00E23CE1">
              <w:rPr>
                <w:bCs/>
                <w:color w:val="000000"/>
                <w:szCs w:val="20"/>
              </w:rPr>
              <w:t>-6.1</w:t>
            </w:r>
          </w:p>
        </w:tc>
        <w:tc>
          <w:tcPr>
            <w:tcW w:w="432" w:type="pct"/>
          </w:tcPr>
          <w:p w:rsidR="00AC42C7" w:rsidRPr="00E23CE1" w:rsidRDefault="00AC42C7" w:rsidP="008559E9">
            <w:pPr>
              <w:spacing w:after="0"/>
              <w:jc w:val="both"/>
              <w:rPr>
                <w:bCs/>
                <w:color w:val="000000"/>
                <w:szCs w:val="20"/>
              </w:rPr>
            </w:pPr>
            <w:r w:rsidRPr="00E23CE1">
              <w:rPr>
                <w:bCs/>
                <w:color w:val="000000"/>
                <w:szCs w:val="20"/>
              </w:rPr>
              <w:t>116.1</w:t>
            </w:r>
          </w:p>
        </w:tc>
        <w:tc>
          <w:tcPr>
            <w:tcW w:w="529" w:type="pct"/>
          </w:tcPr>
          <w:p w:rsidR="00AC42C7" w:rsidRPr="00E23CE1" w:rsidRDefault="00AC42C7" w:rsidP="008559E9">
            <w:pPr>
              <w:spacing w:after="0"/>
              <w:jc w:val="both"/>
              <w:rPr>
                <w:bCs/>
                <w:color w:val="000000"/>
                <w:szCs w:val="20"/>
              </w:rPr>
            </w:pPr>
            <w:r w:rsidRPr="00E23CE1">
              <w:rPr>
                <w:bCs/>
                <w:color w:val="000000"/>
                <w:szCs w:val="20"/>
              </w:rPr>
              <w:t>-0.1</w:t>
            </w:r>
          </w:p>
        </w:tc>
        <w:tc>
          <w:tcPr>
            <w:tcW w:w="404" w:type="pct"/>
          </w:tcPr>
          <w:p w:rsidR="00AC42C7" w:rsidRPr="00E23CE1" w:rsidRDefault="00AC42C7" w:rsidP="008559E9">
            <w:pPr>
              <w:spacing w:after="0"/>
              <w:jc w:val="both"/>
              <w:rPr>
                <w:bCs/>
                <w:color w:val="000000"/>
                <w:szCs w:val="20"/>
              </w:rPr>
            </w:pPr>
            <w:r w:rsidRPr="00E23CE1">
              <w:rPr>
                <w:bCs/>
                <w:color w:val="000000"/>
                <w:szCs w:val="20"/>
              </w:rPr>
              <w:t>119.3</w:t>
            </w:r>
          </w:p>
        </w:tc>
        <w:tc>
          <w:tcPr>
            <w:tcW w:w="480" w:type="pct"/>
          </w:tcPr>
          <w:p w:rsidR="00AC42C7" w:rsidRPr="00E23CE1" w:rsidRDefault="00AC42C7" w:rsidP="008559E9">
            <w:pPr>
              <w:spacing w:after="0"/>
              <w:jc w:val="both"/>
              <w:rPr>
                <w:bCs/>
                <w:color w:val="000000"/>
                <w:szCs w:val="20"/>
              </w:rPr>
            </w:pPr>
            <w:r w:rsidRPr="00E23CE1">
              <w:rPr>
                <w:bCs/>
                <w:color w:val="000000"/>
                <w:szCs w:val="20"/>
              </w:rPr>
              <w:t>-18.6</w:t>
            </w:r>
          </w:p>
        </w:tc>
        <w:tc>
          <w:tcPr>
            <w:tcW w:w="432" w:type="pct"/>
          </w:tcPr>
          <w:p w:rsidR="00AC42C7" w:rsidRPr="00E23CE1" w:rsidRDefault="00AC42C7" w:rsidP="008559E9">
            <w:pPr>
              <w:spacing w:after="0"/>
              <w:jc w:val="both"/>
              <w:rPr>
                <w:bCs/>
                <w:color w:val="000000"/>
                <w:szCs w:val="20"/>
              </w:rPr>
            </w:pPr>
            <w:r w:rsidRPr="00E23CE1">
              <w:rPr>
                <w:bCs/>
                <w:color w:val="000000"/>
                <w:szCs w:val="20"/>
              </w:rPr>
              <w:t>5.6</w:t>
            </w:r>
          </w:p>
        </w:tc>
        <w:tc>
          <w:tcPr>
            <w:tcW w:w="384" w:type="pct"/>
          </w:tcPr>
          <w:p w:rsidR="00AC42C7" w:rsidRPr="00E23CE1" w:rsidRDefault="00AC42C7" w:rsidP="008559E9">
            <w:pPr>
              <w:spacing w:after="0"/>
              <w:jc w:val="both"/>
              <w:rPr>
                <w:bCs/>
                <w:color w:val="000000"/>
                <w:szCs w:val="20"/>
              </w:rPr>
            </w:pPr>
            <w:r w:rsidRPr="00E23CE1">
              <w:rPr>
                <w:bCs/>
                <w:color w:val="000000"/>
                <w:szCs w:val="20"/>
              </w:rPr>
              <w:t>28.8</w:t>
            </w:r>
          </w:p>
        </w:tc>
        <w:tc>
          <w:tcPr>
            <w:tcW w:w="577" w:type="pct"/>
          </w:tcPr>
          <w:p w:rsidR="00AC42C7" w:rsidRPr="00E23CE1" w:rsidRDefault="00AC42C7" w:rsidP="008559E9">
            <w:pPr>
              <w:spacing w:after="0"/>
              <w:jc w:val="both"/>
              <w:rPr>
                <w:bCs/>
                <w:color w:val="000000"/>
                <w:szCs w:val="20"/>
              </w:rPr>
            </w:pPr>
            <w:r w:rsidRPr="00E23CE1">
              <w:rPr>
                <w:bCs/>
                <w:color w:val="000000"/>
                <w:szCs w:val="20"/>
              </w:rPr>
              <w:t>4.5</w:t>
            </w:r>
          </w:p>
        </w:tc>
      </w:tr>
      <w:tr w:rsidR="00AC42C7" w:rsidRPr="001234FC" w:rsidTr="00744CFA">
        <w:trPr>
          <w:trHeight w:hRule="exact" w:val="360"/>
        </w:trPr>
        <w:tc>
          <w:tcPr>
            <w:tcW w:w="501"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NC</w:t>
            </w:r>
          </w:p>
        </w:tc>
        <w:tc>
          <w:tcPr>
            <w:tcW w:w="404" w:type="pct"/>
            <w:shd w:val="clear" w:color="auto" w:fill="auto"/>
          </w:tcPr>
          <w:p w:rsidR="00AC42C7" w:rsidRPr="00E23CE1" w:rsidRDefault="00AC42C7" w:rsidP="008559E9">
            <w:pPr>
              <w:spacing w:after="0"/>
              <w:jc w:val="both"/>
              <w:rPr>
                <w:bCs/>
                <w:color w:val="000000"/>
                <w:szCs w:val="20"/>
              </w:rPr>
            </w:pPr>
            <w:r w:rsidRPr="00E23CE1">
              <w:rPr>
                <w:bCs/>
                <w:color w:val="000000"/>
                <w:szCs w:val="20"/>
              </w:rPr>
              <w:t>107.6</w:t>
            </w:r>
          </w:p>
        </w:tc>
        <w:tc>
          <w:tcPr>
            <w:tcW w:w="450" w:type="pct"/>
            <w:shd w:val="clear" w:color="auto" w:fill="auto"/>
          </w:tcPr>
          <w:p w:rsidR="00AC42C7" w:rsidRPr="00E23CE1" w:rsidRDefault="00AC42C7" w:rsidP="008559E9">
            <w:pPr>
              <w:spacing w:after="0"/>
              <w:jc w:val="both"/>
              <w:rPr>
                <w:bCs/>
                <w:color w:val="000000"/>
                <w:szCs w:val="20"/>
              </w:rPr>
            </w:pPr>
            <w:r w:rsidRPr="00E23CE1">
              <w:rPr>
                <w:bCs/>
                <w:color w:val="000000"/>
                <w:szCs w:val="20"/>
              </w:rPr>
              <w:t>34.1</w:t>
            </w:r>
          </w:p>
        </w:tc>
        <w:tc>
          <w:tcPr>
            <w:tcW w:w="408" w:type="pct"/>
            <w:shd w:val="clear" w:color="auto" w:fill="auto"/>
          </w:tcPr>
          <w:p w:rsidR="00AC42C7" w:rsidRPr="00E23CE1" w:rsidRDefault="00AC42C7" w:rsidP="008559E9">
            <w:pPr>
              <w:spacing w:after="0"/>
              <w:jc w:val="both"/>
              <w:rPr>
                <w:bCs/>
                <w:color w:val="000000"/>
                <w:szCs w:val="20"/>
              </w:rPr>
            </w:pPr>
            <w:r w:rsidRPr="00E23CE1">
              <w:rPr>
                <w:bCs/>
                <w:color w:val="000000"/>
                <w:szCs w:val="20"/>
              </w:rPr>
              <w:t>14.8</w:t>
            </w:r>
          </w:p>
        </w:tc>
        <w:tc>
          <w:tcPr>
            <w:tcW w:w="432" w:type="pct"/>
            <w:shd w:val="clear" w:color="auto" w:fill="auto"/>
          </w:tcPr>
          <w:p w:rsidR="00AC42C7" w:rsidRPr="00E23CE1" w:rsidRDefault="00AC42C7" w:rsidP="008559E9">
            <w:pPr>
              <w:spacing w:after="0"/>
              <w:jc w:val="both"/>
              <w:rPr>
                <w:bCs/>
                <w:color w:val="000000"/>
                <w:szCs w:val="20"/>
              </w:rPr>
            </w:pPr>
            <w:r w:rsidRPr="00E23CE1">
              <w:rPr>
                <w:bCs/>
                <w:color w:val="000000"/>
                <w:szCs w:val="20"/>
              </w:rPr>
              <w:t>47.7</w:t>
            </w:r>
          </w:p>
        </w:tc>
        <w:tc>
          <w:tcPr>
            <w:tcW w:w="529" w:type="pct"/>
            <w:shd w:val="clear" w:color="auto" w:fill="auto"/>
          </w:tcPr>
          <w:p w:rsidR="00AC42C7" w:rsidRPr="00E23CE1" w:rsidRDefault="00AC42C7" w:rsidP="008559E9">
            <w:pPr>
              <w:spacing w:after="0"/>
              <w:jc w:val="both"/>
              <w:rPr>
                <w:bCs/>
                <w:color w:val="000000"/>
                <w:szCs w:val="20"/>
              </w:rPr>
            </w:pPr>
            <w:r w:rsidRPr="00E23CE1">
              <w:rPr>
                <w:bCs/>
                <w:color w:val="000000"/>
                <w:szCs w:val="20"/>
              </w:rPr>
              <w:t>19.0</w:t>
            </w:r>
          </w:p>
        </w:tc>
        <w:tc>
          <w:tcPr>
            <w:tcW w:w="404" w:type="pct"/>
            <w:shd w:val="clear" w:color="auto" w:fill="auto"/>
          </w:tcPr>
          <w:p w:rsidR="00AC42C7" w:rsidRPr="00E23CE1" w:rsidRDefault="00AC42C7" w:rsidP="008559E9">
            <w:pPr>
              <w:spacing w:after="0"/>
              <w:jc w:val="both"/>
              <w:rPr>
                <w:bCs/>
                <w:color w:val="000000"/>
                <w:szCs w:val="20"/>
              </w:rPr>
            </w:pPr>
            <w:r w:rsidRPr="00E23CE1">
              <w:rPr>
                <w:bCs/>
                <w:color w:val="000000"/>
                <w:szCs w:val="20"/>
              </w:rPr>
              <w:t>31.2</w:t>
            </w:r>
          </w:p>
        </w:tc>
        <w:tc>
          <w:tcPr>
            <w:tcW w:w="480" w:type="pct"/>
            <w:shd w:val="clear" w:color="auto" w:fill="auto"/>
          </w:tcPr>
          <w:p w:rsidR="00AC42C7" w:rsidRPr="00E23CE1" w:rsidRDefault="00AC42C7" w:rsidP="008559E9">
            <w:pPr>
              <w:spacing w:after="0"/>
              <w:jc w:val="both"/>
              <w:rPr>
                <w:bCs/>
                <w:color w:val="000000"/>
                <w:szCs w:val="20"/>
              </w:rPr>
            </w:pPr>
            <w:r w:rsidRPr="00E23CE1">
              <w:rPr>
                <w:bCs/>
                <w:color w:val="000000"/>
                <w:szCs w:val="20"/>
              </w:rPr>
              <w:t>-5.1</w:t>
            </w:r>
          </w:p>
        </w:tc>
        <w:tc>
          <w:tcPr>
            <w:tcW w:w="432" w:type="pct"/>
            <w:shd w:val="clear" w:color="auto" w:fill="auto"/>
          </w:tcPr>
          <w:p w:rsidR="00AC42C7" w:rsidRPr="00E23CE1" w:rsidRDefault="00AC42C7" w:rsidP="008559E9">
            <w:pPr>
              <w:spacing w:after="0"/>
              <w:jc w:val="both"/>
              <w:rPr>
                <w:bCs/>
                <w:color w:val="000000"/>
                <w:szCs w:val="20"/>
              </w:rPr>
            </w:pPr>
            <w:r w:rsidRPr="00E23CE1">
              <w:rPr>
                <w:bCs/>
                <w:color w:val="000000"/>
                <w:szCs w:val="20"/>
              </w:rPr>
              <w:t>20.6</w:t>
            </w:r>
          </w:p>
        </w:tc>
        <w:tc>
          <w:tcPr>
            <w:tcW w:w="384" w:type="pct"/>
            <w:shd w:val="clear" w:color="auto" w:fill="auto"/>
          </w:tcPr>
          <w:p w:rsidR="00AC42C7" w:rsidRPr="00E23CE1" w:rsidRDefault="00AC42C7" w:rsidP="008559E9">
            <w:pPr>
              <w:spacing w:after="0"/>
              <w:jc w:val="both"/>
              <w:rPr>
                <w:bCs/>
                <w:color w:val="000000"/>
                <w:szCs w:val="20"/>
              </w:rPr>
            </w:pPr>
            <w:r w:rsidRPr="00E23CE1">
              <w:rPr>
                <w:bCs/>
                <w:color w:val="000000"/>
                <w:szCs w:val="20"/>
              </w:rPr>
              <w:t>12.6</w:t>
            </w:r>
          </w:p>
        </w:tc>
        <w:tc>
          <w:tcPr>
            <w:tcW w:w="577" w:type="pct"/>
            <w:shd w:val="clear" w:color="auto" w:fill="auto"/>
          </w:tcPr>
          <w:p w:rsidR="00AC42C7" w:rsidRPr="00E23CE1" w:rsidRDefault="00AC42C7" w:rsidP="008559E9">
            <w:pPr>
              <w:spacing w:after="0"/>
              <w:jc w:val="both"/>
              <w:rPr>
                <w:bCs/>
                <w:color w:val="000000"/>
                <w:szCs w:val="20"/>
              </w:rPr>
            </w:pPr>
            <w:r w:rsidRPr="00E23CE1">
              <w:rPr>
                <w:bCs/>
                <w:color w:val="000000"/>
                <w:szCs w:val="20"/>
              </w:rPr>
              <w:t>16.9</w:t>
            </w:r>
          </w:p>
        </w:tc>
      </w:tr>
      <w:tr w:rsidR="00AC42C7" w:rsidRPr="001234FC" w:rsidTr="00744CFA">
        <w:trPr>
          <w:trHeight w:hRule="exact" w:val="360"/>
        </w:trPr>
        <w:tc>
          <w:tcPr>
            <w:tcW w:w="501" w:type="pct"/>
          </w:tcPr>
          <w:p w:rsidR="00AC42C7" w:rsidRPr="00E23CE1" w:rsidRDefault="00AC42C7" w:rsidP="008559E9">
            <w:pPr>
              <w:spacing w:after="0"/>
              <w:jc w:val="both"/>
              <w:rPr>
                <w:b/>
                <w:bCs/>
                <w:color w:val="000000"/>
                <w:szCs w:val="20"/>
              </w:rPr>
            </w:pPr>
            <w:r w:rsidRPr="00E23CE1">
              <w:rPr>
                <w:b/>
                <w:bCs/>
                <w:color w:val="000000"/>
                <w:szCs w:val="20"/>
              </w:rPr>
              <w:t>NE</w:t>
            </w:r>
          </w:p>
        </w:tc>
        <w:tc>
          <w:tcPr>
            <w:tcW w:w="404" w:type="pct"/>
          </w:tcPr>
          <w:p w:rsidR="00AC42C7" w:rsidRPr="00E23CE1" w:rsidRDefault="00AC42C7" w:rsidP="008559E9">
            <w:pPr>
              <w:spacing w:after="0"/>
              <w:jc w:val="both"/>
              <w:rPr>
                <w:bCs/>
                <w:color w:val="000000"/>
                <w:szCs w:val="20"/>
              </w:rPr>
            </w:pPr>
            <w:r w:rsidRPr="00E23CE1">
              <w:rPr>
                <w:bCs/>
                <w:color w:val="000000"/>
                <w:szCs w:val="20"/>
              </w:rPr>
              <w:t>32.0</w:t>
            </w:r>
          </w:p>
        </w:tc>
        <w:tc>
          <w:tcPr>
            <w:tcW w:w="450" w:type="pct"/>
          </w:tcPr>
          <w:p w:rsidR="00AC42C7" w:rsidRPr="00E23CE1" w:rsidRDefault="00AC42C7" w:rsidP="008559E9">
            <w:pPr>
              <w:spacing w:after="0"/>
              <w:jc w:val="both"/>
              <w:rPr>
                <w:bCs/>
                <w:color w:val="000000"/>
                <w:szCs w:val="20"/>
              </w:rPr>
            </w:pPr>
            <w:r w:rsidRPr="00E23CE1">
              <w:rPr>
                <w:bCs/>
                <w:color w:val="000000"/>
                <w:szCs w:val="20"/>
              </w:rPr>
              <w:t>7.1</w:t>
            </w:r>
          </w:p>
        </w:tc>
        <w:tc>
          <w:tcPr>
            <w:tcW w:w="408" w:type="pct"/>
          </w:tcPr>
          <w:p w:rsidR="00AC42C7" w:rsidRPr="00E23CE1" w:rsidRDefault="00AC42C7" w:rsidP="008559E9">
            <w:pPr>
              <w:spacing w:after="0"/>
              <w:jc w:val="both"/>
              <w:rPr>
                <w:bCs/>
                <w:color w:val="000000"/>
                <w:szCs w:val="20"/>
              </w:rPr>
            </w:pPr>
            <w:r w:rsidRPr="00E23CE1">
              <w:rPr>
                <w:bCs/>
                <w:color w:val="000000"/>
                <w:szCs w:val="20"/>
              </w:rPr>
              <w:t>15.0</w:t>
            </w:r>
          </w:p>
        </w:tc>
        <w:tc>
          <w:tcPr>
            <w:tcW w:w="432" w:type="pct"/>
          </w:tcPr>
          <w:p w:rsidR="00AC42C7" w:rsidRPr="00E23CE1" w:rsidRDefault="00AC42C7" w:rsidP="008559E9">
            <w:pPr>
              <w:spacing w:after="0"/>
              <w:jc w:val="both"/>
              <w:rPr>
                <w:bCs/>
                <w:color w:val="000000"/>
                <w:szCs w:val="20"/>
              </w:rPr>
            </w:pPr>
            <w:r w:rsidRPr="00E23CE1">
              <w:rPr>
                <w:bCs/>
                <w:color w:val="000000"/>
                <w:szCs w:val="20"/>
              </w:rPr>
              <w:t>8.1</w:t>
            </w:r>
          </w:p>
        </w:tc>
        <w:tc>
          <w:tcPr>
            <w:tcW w:w="529" w:type="pct"/>
          </w:tcPr>
          <w:p w:rsidR="00AC42C7" w:rsidRPr="00E23CE1" w:rsidRDefault="00AC42C7" w:rsidP="008559E9">
            <w:pPr>
              <w:spacing w:after="0"/>
              <w:jc w:val="both"/>
              <w:rPr>
                <w:bCs/>
                <w:color w:val="000000"/>
                <w:szCs w:val="20"/>
              </w:rPr>
            </w:pPr>
            <w:r w:rsidRPr="00E23CE1">
              <w:rPr>
                <w:bCs/>
                <w:color w:val="000000"/>
                <w:szCs w:val="20"/>
              </w:rPr>
              <w:t>13.1</w:t>
            </w:r>
          </w:p>
        </w:tc>
        <w:tc>
          <w:tcPr>
            <w:tcW w:w="404" w:type="pct"/>
          </w:tcPr>
          <w:p w:rsidR="00AC42C7" w:rsidRPr="00E23CE1" w:rsidRDefault="00AC42C7" w:rsidP="008559E9">
            <w:pPr>
              <w:spacing w:after="0"/>
              <w:jc w:val="both"/>
              <w:rPr>
                <w:bCs/>
                <w:color w:val="000000"/>
                <w:szCs w:val="20"/>
              </w:rPr>
            </w:pPr>
            <w:r w:rsidRPr="00E23CE1">
              <w:rPr>
                <w:bCs/>
                <w:color w:val="000000"/>
                <w:szCs w:val="20"/>
              </w:rPr>
              <w:t>12.1</w:t>
            </w:r>
          </w:p>
        </w:tc>
        <w:tc>
          <w:tcPr>
            <w:tcW w:w="480" w:type="pct"/>
          </w:tcPr>
          <w:p w:rsidR="00AC42C7" w:rsidRPr="00E23CE1" w:rsidRDefault="00AC42C7" w:rsidP="008559E9">
            <w:pPr>
              <w:spacing w:after="0"/>
              <w:jc w:val="both"/>
              <w:rPr>
                <w:bCs/>
                <w:color w:val="000000"/>
                <w:szCs w:val="20"/>
              </w:rPr>
            </w:pPr>
            <w:r w:rsidRPr="00E23CE1">
              <w:rPr>
                <w:bCs/>
                <w:color w:val="000000"/>
                <w:szCs w:val="20"/>
              </w:rPr>
              <w:t>-0.9</w:t>
            </w:r>
          </w:p>
        </w:tc>
        <w:tc>
          <w:tcPr>
            <w:tcW w:w="432" w:type="pct"/>
          </w:tcPr>
          <w:p w:rsidR="00AC42C7" w:rsidRPr="00E23CE1" w:rsidRDefault="00AC42C7" w:rsidP="008559E9">
            <w:pPr>
              <w:spacing w:after="0"/>
              <w:jc w:val="both"/>
              <w:rPr>
                <w:bCs/>
                <w:color w:val="000000"/>
                <w:szCs w:val="20"/>
              </w:rPr>
            </w:pPr>
            <w:r w:rsidRPr="00E23CE1">
              <w:rPr>
                <w:bCs/>
                <w:color w:val="000000"/>
                <w:szCs w:val="20"/>
              </w:rPr>
              <w:t>17.9</w:t>
            </w:r>
          </w:p>
        </w:tc>
        <w:tc>
          <w:tcPr>
            <w:tcW w:w="384" w:type="pct"/>
          </w:tcPr>
          <w:p w:rsidR="00AC42C7" w:rsidRPr="00E23CE1" w:rsidRDefault="00AC42C7" w:rsidP="008559E9">
            <w:pPr>
              <w:spacing w:after="0"/>
              <w:jc w:val="both"/>
              <w:rPr>
                <w:bCs/>
                <w:color w:val="000000"/>
                <w:szCs w:val="20"/>
              </w:rPr>
            </w:pPr>
            <w:r w:rsidRPr="00E23CE1">
              <w:rPr>
                <w:bCs/>
                <w:color w:val="000000"/>
                <w:szCs w:val="20"/>
              </w:rPr>
              <w:t>9.8</w:t>
            </w:r>
          </w:p>
        </w:tc>
        <w:tc>
          <w:tcPr>
            <w:tcW w:w="577" w:type="pct"/>
          </w:tcPr>
          <w:p w:rsidR="00AC42C7" w:rsidRPr="00E23CE1" w:rsidRDefault="00AC42C7" w:rsidP="008559E9">
            <w:pPr>
              <w:spacing w:after="0"/>
              <w:jc w:val="both"/>
              <w:rPr>
                <w:bCs/>
                <w:color w:val="000000"/>
                <w:szCs w:val="20"/>
              </w:rPr>
            </w:pPr>
            <w:r w:rsidRPr="00E23CE1">
              <w:rPr>
                <w:bCs/>
                <w:color w:val="000000"/>
                <w:szCs w:val="20"/>
              </w:rPr>
              <w:t>13.2</w:t>
            </w:r>
          </w:p>
        </w:tc>
      </w:tr>
      <w:tr w:rsidR="00AC42C7" w:rsidRPr="001234FC" w:rsidTr="00744CFA">
        <w:trPr>
          <w:trHeight w:hRule="exact" w:val="360"/>
        </w:trPr>
        <w:tc>
          <w:tcPr>
            <w:tcW w:w="501"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SW</w:t>
            </w:r>
          </w:p>
        </w:tc>
        <w:tc>
          <w:tcPr>
            <w:tcW w:w="404" w:type="pct"/>
            <w:shd w:val="clear" w:color="auto" w:fill="auto"/>
          </w:tcPr>
          <w:p w:rsidR="00AC42C7" w:rsidRPr="00E23CE1" w:rsidRDefault="00AC42C7" w:rsidP="008559E9">
            <w:pPr>
              <w:spacing w:after="0"/>
              <w:jc w:val="both"/>
              <w:rPr>
                <w:bCs/>
                <w:color w:val="000000"/>
                <w:szCs w:val="20"/>
              </w:rPr>
            </w:pPr>
            <w:r w:rsidRPr="00E23CE1">
              <w:rPr>
                <w:bCs/>
                <w:color w:val="000000"/>
                <w:szCs w:val="20"/>
              </w:rPr>
              <w:t>68.8</w:t>
            </w:r>
          </w:p>
        </w:tc>
        <w:tc>
          <w:tcPr>
            <w:tcW w:w="450" w:type="pct"/>
            <w:shd w:val="clear" w:color="auto" w:fill="auto"/>
          </w:tcPr>
          <w:p w:rsidR="00AC42C7" w:rsidRPr="00E23CE1" w:rsidRDefault="00AC42C7" w:rsidP="008559E9">
            <w:pPr>
              <w:spacing w:after="0"/>
              <w:jc w:val="both"/>
              <w:rPr>
                <w:bCs/>
                <w:color w:val="000000"/>
                <w:szCs w:val="20"/>
              </w:rPr>
            </w:pPr>
            <w:r w:rsidRPr="00E23CE1">
              <w:rPr>
                <w:bCs/>
                <w:color w:val="000000"/>
                <w:szCs w:val="20"/>
              </w:rPr>
              <w:t>11.9</w:t>
            </w:r>
          </w:p>
        </w:tc>
        <w:tc>
          <w:tcPr>
            <w:tcW w:w="408" w:type="pct"/>
            <w:shd w:val="clear" w:color="auto" w:fill="auto"/>
          </w:tcPr>
          <w:p w:rsidR="00AC42C7" w:rsidRPr="00E23CE1" w:rsidRDefault="00AC42C7" w:rsidP="008559E9">
            <w:pPr>
              <w:spacing w:after="0"/>
              <w:jc w:val="both"/>
              <w:rPr>
                <w:bCs/>
                <w:color w:val="000000"/>
                <w:szCs w:val="20"/>
              </w:rPr>
            </w:pPr>
            <w:r w:rsidRPr="00E23CE1">
              <w:rPr>
                <w:bCs/>
                <w:color w:val="000000"/>
                <w:szCs w:val="20"/>
              </w:rPr>
              <w:t>1.4</w:t>
            </w:r>
          </w:p>
        </w:tc>
        <w:tc>
          <w:tcPr>
            <w:tcW w:w="432" w:type="pct"/>
            <w:shd w:val="clear" w:color="auto" w:fill="auto"/>
          </w:tcPr>
          <w:p w:rsidR="00AC42C7" w:rsidRPr="00E23CE1" w:rsidRDefault="00AC42C7" w:rsidP="008559E9">
            <w:pPr>
              <w:spacing w:after="0"/>
              <w:jc w:val="both"/>
              <w:rPr>
                <w:bCs/>
                <w:color w:val="000000"/>
                <w:szCs w:val="20"/>
              </w:rPr>
            </w:pPr>
            <w:r w:rsidRPr="00E23CE1">
              <w:rPr>
                <w:bCs/>
                <w:color w:val="000000"/>
                <w:szCs w:val="20"/>
              </w:rPr>
              <w:t>76.4</w:t>
            </w:r>
          </w:p>
        </w:tc>
        <w:tc>
          <w:tcPr>
            <w:tcW w:w="529" w:type="pct"/>
            <w:shd w:val="clear" w:color="auto" w:fill="auto"/>
          </w:tcPr>
          <w:p w:rsidR="00AC42C7" w:rsidRPr="00E23CE1" w:rsidRDefault="00AC42C7" w:rsidP="008559E9">
            <w:pPr>
              <w:spacing w:after="0"/>
              <w:jc w:val="both"/>
              <w:rPr>
                <w:bCs/>
                <w:color w:val="000000"/>
                <w:szCs w:val="20"/>
              </w:rPr>
            </w:pPr>
            <w:r w:rsidRPr="00E23CE1">
              <w:rPr>
                <w:bCs/>
                <w:color w:val="000000"/>
                <w:szCs w:val="20"/>
              </w:rPr>
              <w:t>6.0</w:t>
            </w:r>
          </w:p>
        </w:tc>
        <w:tc>
          <w:tcPr>
            <w:tcW w:w="404" w:type="pct"/>
            <w:shd w:val="clear" w:color="auto" w:fill="auto"/>
          </w:tcPr>
          <w:p w:rsidR="00AC42C7" w:rsidRPr="00E23CE1" w:rsidRDefault="00AC42C7" w:rsidP="008559E9">
            <w:pPr>
              <w:spacing w:after="0"/>
              <w:jc w:val="both"/>
              <w:rPr>
                <w:bCs/>
                <w:color w:val="000000"/>
                <w:szCs w:val="20"/>
              </w:rPr>
            </w:pPr>
            <w:r w:rsidRPr="00E23CE1">
              <w:rPr>
                <w:bCs/>
                <w:color w:val="000000"/>
                <w:szCs w:val="20"/>
              </w:rPr>
              <w:t>58.2</w:t>
            </w:r>
          </w:p>
        </w:tc>
        <w:tc>
          <w:tcPr>
            <w:tcW w:w="480" w:type="pct"/>
            <w:shd w:val="clear" w:color="auto" w:fill="auto"/>
          </w:tcPr>
          <w:p w:rsidR="00AC42C7" w:rsidRPr="00E23CE1" w:rsidRDefault="00AC42C7" w:rsidP="008559E9">
            <w:pPr>
              <w:spacing w:after="0"/>
              <w:jc w:val="both"/>
              <w:rPr>
                <w:bCs/>
                <w:color w:val="000000"/>
                <w:szCs w:val="20"/>
              </w:rPr>
            </w:pPr>
            <w:r w:rsidRPr="00E23CE1">
              <w:rPr>
                <w:bCs/>
                <w:color w:val="000000"/>
                <w:szCs w:val="20"/>
              </w:rPr>
              <w:t>-20.3</w:t>
            </w:r>
          </w:p>
        </w:tc>
        <w:tc>
          <w:tcPr>
            <w:tcW w:w="432" w:type="pct"/>
            <w:shd w:val="clear" w:color="auto" w:fill="auto"/>
          </w:tcPr>
          <w:p w:rsidR="00AC42C7" w:rsidRPr="00E23CE1" w:rsidRDefault="00AC42C7" w:rsidP="008559E9">
            <w:pPr>
              <w:spacing w:after="0"/>
              <w:jc w:val="both"/>
              <w:rPr>
                <w:bCs/>
                <w:color w:val="000000"/>
                <w:szCs w:val="20"/>
              </w:rPr>
            </w:pPr>
            <w:r w:rsidRPr="00E23CE1">
              <w:rPr>
                <w:bCs/>
                <w:color w:val="000000"/>
                <w:szCs w:val="20"/>
              </w:rPr>
              <w:t>0.7</w:t>
            </w:r>
          </w:p>
        </w:tc>
        <w:tc>
          <w:tcPr>
            <w:tcW w:w="384" w:type="pct"/>
            <w:shd w:val="clear" w:color="auto" w:fill="auto"/>
          </w:tcPr>
          <w:p w:rsidR="00AC42C7" w:rsidRPr="00E23CE1" w:rsidRDefault="00AC42C7" w:rsidP="008559E9">
            <w:pPr>
              <w:spacing w:after="0"/>
              <w:jc w:val="both"/>
              <w:rPr>
                <w:bCs/>
                <w:color w:val="000000"/>
                <w:szCs w:val="20"/>
              </w:rPr>
            </w:pPr>
            <w:r w:rsidRPr="00E23CE1">
              <w:rPr>
                <w:bCs/>
                <w:color w:val="000000"/>
                <w:szCs w:val="20"/>
              </w:rPr>
              <w:t>-7.8</w:t>
            </w:r>
          </w:p>
        </w:tc>
        <w:tc>
          <w:tcPr>
            <w:tcW w:w="577" w:type="pct"/>
            <w:shd w:val="clear" w:color="auto" w:fill="auto"/>
          </w:tcPr>
          <w:p w:rsidR="00AC42C7" w:rsidRPr="00E23CE1" w:rsidRDefault="00AC42C7" w:rsidP="008559E9">
            <w:pPr>
              <w:spacing w:after="0"/>
              <w:jc w:val="both"/>
              <w:rPr>
                <w:bCs/>
                <w:color w:val="000000"/>
                <w:szCs w:val="20"/>
              </w:rPr>
            </w:pPr>
            <w:r w:rsidRPr="00E23CE1">
              <w:rPr>
                <w:bCs/>
                <w:color w:val="000000"/>
                <w:szCs w:val="20"/>
              </w:rPr>
              <w:t>-1.5</w:t>
            </w:r>
          </w:p>
        </w:tc>
      </w:tr>
      <w:tr w:rsidR="00AC42C7" w:rsidRPr="001234FC" w:rsidTr="00744CFA">
        <w:trPr>
          <w:trHeight w:hRule="exact" w:val="360"/>
        </w:trPr>
        <w:tc>
          <w:tcPr>
            <w:tcW w:w="501" w:type="pct"/>
          </w:tcPr>
          <w:p w:rsidR="00AC42C7" w:rsidRPr="00E23CE1" w:rsidRDefault="00AC42C7" w:rsidP="008559E9">
            <w:pPr>
              <w:spacing w:after="0"/>
              <w:jc w:val="both"/>
              <w:rPr>
                <w:b/>
                <w:bCs/>
                <w:color w:val="000000"/>
                <w:szCs w:val="20"/>
              </w:rPr>
            </w:pPr>
            <w:r w:rsidRPr="00E23CE1">
              <w:rPr>
                <w:b/>
                <w:bCs/>
                <w:color w:val="000000"/>
                <w:szCs w:val="20"/>
              </w:rPr>
              <w:t>SC</w:t>
            </w:r>
          </w:p>
        </w:tc>
        <w:tc>
          <w:tcPr>
            <w:tcW w:w="404" w:type="pct"/>
          </w:tcPr>
          <w:p w:rsidR="00AC42C7" w:rsidRPr="00E23CE1" w:rsidRDefault="00AC42C7" w:rsidP="008559E9">
            <w:pPr>
              <w:spacing w:after="0"/>
              <w:jc w:val="both"/>
              <w:rPr>
                <w:bCs/>
                <w:color w:val="000000"/>
                <w:szCs w:val="20"/>
              </w:rPr>
            </w:pPr>
            <w:r w:rsidRPr="00E23CE1">
              <w:rPr>
                <w:bCs/>
                <w:color w:val="000000"/>
                <w:szCs w:val="20"/>
              </w:rPr>
              <w:t>-6.7</w:t>
            </w:r>
          </w:p>
        </w:tc>
        <w:tc>
          <w:tcPr>
            <w:tcW w:w="450" w:type="pct"/>
          </w:tcPr>
          <w:p w:rsidR="00AC42C7" w:rsidRPr="00E23CE1" w:rsidRDefault="00AC42C7" w:rsidP="008559E9">
            <w:pPr>
              <w:spacing w:after="0"/>
              <w:jc w:val="both"/>
              <w:rPr>
                <w:bCs/>
                <w:color w:val="000000"/>
                <w:szCs w:val="20"/>
              </w:rPr>
            </w:pPr>
            <w:r w:rsidRPr="00E23CE1">
              <w:rPr>
                <w:bCs/>
                <w:color w:val="000000"/>
                <w:szCs w:val="20"/>
              </w:rPr>
              <w:t>15.7</w:t>
            </w:r>
          </w:p>
        </w:tc>
        <w:tc>
          <w:tcPr>
            <w:tcW w:w="408" w:type="pct"/>
          </w:tcPr>
          <w:p w:rsidR="00AC42C7" w:rsidRPr="00E23CE1" w:rsidRDefault="00AC42C7" w:rsidP="008559E9">
            <w:pPr>
              <w:spacing w:after="0"/>
              <w:jc w:val="both"/>
              <w:rPr>
                <w:bCs/>
                <w:color w:val="000000"/>
                <w:szCs w:val="20"/>
              </w:rPr>
            </w:pPr>
            <w:r w:rsidRPr="00E23CE1">
              <w:rPr>
                <w:bCs/>
                <w:color w:val="000000"/>
                <w:szCs w:val="20"/>
              </w:rPr>
              <w:t>3.4</w:t>
            </w:r>
          </w:p>
        </w:tc>
        <w:tc>
          <w:tcPr>
            <w:tcW w:w="432" w:type="pct"/>
          </w:tcPr>
          <w:p w:rsidR="00AC42C7" w:rsidRPr="00E23CE1" w:rsidRDefault="00AC42C7" w:rsidP="008559E9">
            <w:pPr>
              <w:spacing w:after="0"/>
              <w:jc w:val="both"/>
              <w:rPr>
                <w:bCs/>
                <w:color w:val="000000"/>
                <w:szCs w:val="20"/>
              </w:rPr>
            </w:pPr>
            <w:r w:rsidRPr="00E23CE1">
              <w:rPr>
                <w:bCs/>
                <w:color w:val="000000"/>
                <w:szCs w:val="20"/>
              </w:rPr>
              <w:t>45.4</w:t>
            </w:r>
          </w:p>
        </w:tc>
        <w:tc>
          <w:tcPr>
            <w:tcW w:w="529" w:type="pct"/>
          </w:tcPr>
          <w:p w:rsidR="00AC42C7" w:rsidRPr="00E23CE1" w:rsidRDefault="00AC42C7" w:rsidP="008559E9">
            <w:pPr>
              <w:spacing w:after="0"/>
              <w:jc w:val="both"/>
              <w:rPr>
                <w:bCs/>
                <w:color w:val="000000"/>
                <w:szCs w:val="20"/>
              </w:rPr>
            </w:pPr>
            <w:r w:rsidRPr="00E23CE1">
              <w:rPr>
                <w:bCs/>
                <w:color w:val="000000"/>
                <w:szCs w:val="20"/>
              </w:rPr>
              <w:t>6.3</w:t>
            </w:r>
          </w:p>
        </w:tc>
        <w:tc>
          <w:tcPr>
            <w:tcW w:w="404" w:type="pct"/>
          </w:tcPr>
          <w:p w:rsidR="00AC42C7" w:rsidRPr="00E23CE1" w:rsidRDefault="00AC42C7" w:rsidP="008559E9">
            <w:pPr>
              <w:spacing w:after="0"/>
              <w:jc w:val="both"/>
              <w:rPr>
                <w:bCs/>
                <w:color w:val="000000"/>
                <w:szCs w:val="20"/>
              </w:rPr>
            </w:pPr>
            <w:r w:rsidRPr="00E23CE1">
              <w:rPr>
                <w:bCs/>
                <w:color w:val="000000"/>
                <w:szCs w:val="20"/>
              </w:rPr>
              <w:t>0.2</w:t>
            </w:r>
          </w:p>
        </w:tc>
        <w:tc>
          <w:tcPr>
            <w:tcW w:w="480" w:type="pct"/>
          </w:tcPr>
          <w:p w:rsidR="00AC42C7" w:rsidRPr="00E23CE1" w:rsidRDefault="00AC42C7" w:rsidP="008559E9">
            <w:pPr>
              <w:spacing w:after="0"/>
              <w:jc w:val="both"/>
              <w:rPr>
                <w:bCs/>
                <w:color w:val="000000"/>
                <w:szCs w:val="20"/>
              </w:rPr>
            </w:pPr>
            <w:r w:rsidRPr="00E23CE1">
              <w:rPr>
                <w:bCs/>
                <w:color w:val="000000"/>
                <w:szCs w:val="20"/>
              </w:rPr>
              <w:t>-1.5</w:t>
            </w:r>
          </w:p>
        </w:tc>
        <w:tc>
          <w:tcPr>
            <w:tcW w:w="432" w:type="pct"/>
          </w:tcPr>
          <w:p w:rsidR="00AC42C7" w:rsidRPr="00E23CE1" w:rsidRDefault="00AC42C7" w:rsidP="008559E9">
            <w:pPr>
              <w:spacing w:after="0"/>
              <w:jc w:val="both"/>
              <w:rPr>
                <w:bCs/>
                <w:color w:val="000000"/>
                <w:szCs w:val="20"/>
              </w:rPr>
            </w:pPr>
            <w:r w:rsidRPr="00E23CE1">
              <w:rPr>
                <w:bCs/>
                <w:color w:val="000000"/>
                <w:szCs w:val="20"/>
              </w:rPr>
              <w:t>-2.1</w:t>
            </w:r>
          </w:p>
        </w:tc>
        <w:tc>
          <w:tcPr>
            <w:tcW w:w="384" w:type="pct"/>
          </w:tcPr>
          <w:p w:rsidR="00AC42C7" w:rsidRPr="00E23CE1" w:rsidRDefault="00AC42C7" w:rsidP="008559E9">
            <w:pPr>
              <w:spacing w:after="0"/>
              <w:jc w:val="both"/>
              <w:rPr>
                <w:bCs/>
                <w:color w:val="000000"/>
                <w:szCs w:val="20"/>
              </w:rPr>
            </w:pPr>
            <w:r w:rsidRPr="00E23CE1">
              <w:rPr>
                <w:bCs/>
                <w:color w:val="000000"/>
                <w:szCs w:val="20"/>
              </w:rPr>
              <w:t>-11.4</w:t>
            </w:r>
          </w:p>
        </w:tc>
        <w:tc>
          <w:tcPr>
            <w:tcW w:w="577" w:type="pct"/>
          </w:tcPr>
          <w:p w:rsidR="00AC42C7" w:rsidRPr="00E23CE1" w:rsidRDefault="00AC42C7" w:rsidP="008559E9">
            <w:pPr>
              <w:spacing w:after="0"/>
              <w:jc w:val="both"/>
              <w:rPr>
                <w:bCs/>
                <w:color w:val="000000"/>
                <w:szCs w:val="20"/>
              </w:rPr>
            </w:pPr>
            <w:r w:rsidRPr="00E23CE1">
              <w:rPr>
                <w:bCs/>
                <w:color w:val="000000"/>
                <w:szCs w:val="20"/>
              </w:rPr>
              <w:t>-2.5</w:t>
            </w:r>
          </w:p>
        </w:tc>
      </w:tr>
      <w:tr w:rsidR="00AC42C7" w:rsidRPr="001234FC" w:rsidTr="00744CFA">
        <w:trPr>
          <w:trHeight w:hRule="exact" w:val="360"/>
        </w:trPr>
        <w:tc>
          <w:tcPr>
            <w:tcW w:w="501" w:type="pct"/>
            <w:shd w:val="clear" w:color="auto" w:fill="auto"/>
          </w:tcPr>
          <w:p w:rsidR="00AC42C7" w:rsidRPr="00E23CE1" w:rsidRDefault="00AC42C7" w:rsidP="008559E9">
            <w:pPr>
              <w:spacing w:after="0"/>
              <w:jc w:val="both"/>
              <w:rPr>
                <w:b/>
                <w:bCs/>
                <w:color w:val="000000"/>
                <w:szCs w:val="20"/>
              </w:rPr>
            </w:pPr>
            <w:r w:rsidRPr="00E23CE1">
              <w:rPr>
                <w:b/>
                <w:bCs/>
                <w:color w:val="000000"/>
                <w:szCs w:val="20"/>
              </w:rPr>
              <w:t>SE</w:t>
            </w:r>
          </w:p>
        </w:tc>
        <w:tc>
          <w:tcPr>
            <w:tcW w:w="404" w:type="pct"/>
            <w:shd w:val="clear" w:color="auto" w:fill="auto"/>
          </w:tcPr>
          <w:p w:rsidR="00AC42C7" w:rsidRPr="00E23CE1" w:rsidRDefault="00AC42C7" w:rsidP="008559E9">
            <w:pPr>
              <w:spacing w:after="0"/>
              <w:jc w:val="both"/>
              <w:rPr>
                <w:bCs/>
                <w:color w:val="000000"/>
                <w:szCs w:val="20"/>
              </w:rPr>
            </w:pPr>
            <w:r w:rsidRPr="00E23CE1">
              <w:rPr>
                <w:bCs/>
                <w:color w:val="000000"/>
                <w:szCs w:val="20"/>
              </w:rPr>
              <w:t>-5.1</w:t>
            </w:r>
          </w:p>
        </w:tc>
        <w:tc>
          <w:tcPr>
            <w:tcW w:w="450" w:type="pct"/>
            <w:shd w:val="clear" w:color="auto" w:fill="auto"/>
          </w:tcPr>
          <w:p w:rsidR="00AC42C7" w:rsidRPr="00E23CE1" w:rsidRDefault="00AC42C7" w:rsidP="008559E9">
            <w:pPr>
              <w:spacing w:after="0"/>
              <w:jc w:val="both"/>
              <w:rPr>
                <w:bCs/>
                <w:color w:val="000000"/>
                <w:szCs w:val="20"/>
              </w:rPr>
            </w:pPr>
            <w:r w:rsidRPr="00E23CE1">
              <w:rPr>
                <w:bCs/>
                <w:color w:val="000000"/>
                <w:szCs w:val="20"/>
              </w:rPr>
              <w:t>26.6</w:t>
            </w:r>
          </w:p>
        </w:tc>
        <w:tc>
          <w:tcPr>
            <w:tcW w:w="408" w:type="pct"/>
            <w:shd w:val="clear" w:color="auto" w:fill="auto"/>
          </w:tcPr>
          <w:p w:rsidR="00AC42C7" w:rsidRPr="00E23CE1" w:rsidRDefault="00AC42C7" w:rsidP="008559E9">
            <w:pPr>
              <w:spacing w:after="0"/>
              <w:jc w:val="both"/>
              <w:rPr>
                <w:bCs/>
                <w:color w:val="000000"/>
                <w:szCs w:val="20"/>
              </w:rPr>
            </w:pPr>
            <w:r w:rsidRPr="00E23CE1">
              <w:rPr>
                <w:bCs/>
                <w:color w:val="000000"/>
                <w:szCs w:val="20"/>
              </w:rPr>
              <w:t>10.9</w:t>
            </w:r>
          </w:p>
        </w:tc>
        <w:tc>
          <w:tcPr>
            <w:tcW w:w="432" w:type="pct"/>
            <w:shd w:val="clear" w:color="auto" w:fill="auto"/>
          </w:tcPr>
          <w:p w:rsidR="00AC42C7" w:rsidRPr="00E23CE1" w:rsidRDefault="00AC42C7" w:rsidP="008559E9">
            <w:pPr>
              <w:spacing w:after="0"/>
              <w:jc w:val="both"/>
              <w:rPr>
                <w:bCs/>
                <w:color w:val="000000"/>
                <w:szCs w:val="20"/>
              </w:rPr>
            </w:pPr>
            <w:r w:rsidRPr="00E23CE1">
              <w:rPr>
                <w:bCs/>
                <w:color w:val="000000"/>
                <w:szCs w:val="20"/>
              </w:rPr>
              <w:t>6.6</w:t>
            </w:r>
          </w:p>
        </w:tc>
        <w:tc>
          <w:tcPr>
            <w:tcW w:w="529" w:type="pct"/>
            <w:shd w:val="clear" w:color="auto" w:fill="auto"/>
          </w:tcPr>
          <w:p w:rsidR="00AC42C7" w:rsidRPr="00E23CE1" w:rsidRDefault="00AC42C7" w:rsidP="008559E9">
            <w:pPr>
              <w:spacing w:after="0"/>
              <w:jc w:val="both"/>
              <w:rPr>
                <w:bCs/>
                <w:color w:val="000000"/>
                <w:szCs w:val="20"/>
              </w:rPr>
            </w:pPr>
            <w:r w:rsidRPr="00E23CE1">
              <w:rPr>
                <w:bCs/>
                <w:color w:val="000000"/>
                <w:szCs w:val="20"/>
              </w:rPr>
              <w:t>12.3</w:t>
            </w:r>
          </w:p>
        </w:tc>
        <w:tc>
          <w:tcPr>
            <w:tcW w:w="404" w:type="pct"/>
            <w:shd w:val="clear" w:color="auto" w:fill="auto"/>
          </w:tcPr>
          <w:p w:rsidR="00AC42C7" w:rsidRPr="00E23CE1" w:rsidRDefault="00AC42C7" w:rsidP="008559E9">
            <w:pPr>
              <w:spacing w:after="0"/>
              <w:jc w:val="both"/>
              <w:rPr>
                <w:bCs/>
                <w:color w:val="000000"/>
                <w:szCs w:val="20"/>
              </w:rPr>
            </w:pPr>
            <w:r w:rsidRPr="00E23CE1">
              <w:rPr>
                <w:bCs/>
                <w:color w:val="000000"/>
                <w:szCs w:val="20"/>
              </w:rPr>
              <w:t>7.2</w:t>
            </w:r>
          </w:p>
        </w:tc>
        <w:tc>
          <w:tcPr>
            <w:tcW w:w="480" w:type="pct"/>
            <w:shd w:val="clear" w:color="auto" w:fill="auto"/>
          </w:tcPr>
          <w:p w:rsidR="00AC42C7" w:rsidRPr="00E23CE1" w:rsidRDefault="00AC42C7" w:rsidP="008559E9">
            <w:pPr>
              <w:spacing w:after="0"/>
              <w:jc w:val="both"/>
              <w:rPr>
                <w:bCs/>
                <w:color w:val="000000"/>
                <w:szCs w:val="20"/>
              </w:rPr>
            </w:pPr>
            <w:r w:rsidRPr="00E23CE1">
              <w:rPr>
                <w:bCs/>
                <w:color w:val="000000"/>
                <w:szCs w:val="20"/>
              </w:rPr>
              <w:t>9.6</w:t>
            </w:r>
          </w:p>
        </w:tc>
        <w:tc>
          <w:tcPr>
            <w:tcW w:w="432" w:type="pct"/>
            <w:shd w:val="clear" w:color="auto" w:fill="auto"/>
          </w:tcPr>
          <w:p w:rsidR="00AC42C7" w:rsidRPr="00E23CE1" w:rsidRDefault="00AC42C7" w:rsidP="008559E9">
            <w:pPr>
              <w:spacing w:after="0"/>
              <w:jc w:val="both"/>
              <w:rPr>
                <w:bCs/>
                <w:color w:val="000000"/>
                <w:szCs w:val="20"/>
              </w:rPr>
            </w:pPr>
            <w:r w:rsidRPr="00E23CE1">
              <w:rPr>
                <w:bCs/>
                <w:color w:val="000000"/>
                <w:szCs w:val="20"/>
              </w:rPr>
              <w:t>5.0</w:t>
            </w:r>
          </w:p>
        </w:tc>
        <w:tc>
          <w:tcPr>
            <w:tcW w:w="384" w:type="pct"/>
            <w:shd w:val="clear" w:color="auto" w:fill="auto"/>
          </w:tcPr>
          <w:p w:rsidR="00AC42C7" w:rsidRPr="00E23CE1" w:rsidRDefault="00AC42C7" w:rsidP="008559E9">
            <w:pPr>
              <w:spacing w:after="0"/>
              <w:jc w:val="both"/>
              <w:rPr>
                <w:bCs/>
                <w:color w:val="000000"/>
                <w:szCs w:val="20"/>
              </w:rPr>
            </w:pPr>
            <w:r w:rsidRPr="00E23CE1">
              <w:rPr>
                <w:bCs/>
                <w:color w:val="000000"/>
                <w:szCs w:val="20"/>
              </w:rPr>
              <w:t>0.6</w:t>
            </w:r>
          </w:p>
        </w:tc>
        <w:tc>
          <w:tcPr>
            <w:tcW w:w="577" w:type="pct"/>
            <w:shd w:val="clear" w:color="auto" w:fill="auto"/>
          </w:tcPr>
          <w:p w:rsidR="00AC42C7" w:rsidRPr="00E23CE1" w:rsidRDefault="00AC42C7" w:rsidP="008559E9">
            <w:pPr>
              <w:spacing w:after="0"/>
              <w:jc w:val="both"/>
              <w:rPr>
                <w:bCs/>
                <w:color w:val="000000"/>
                <w:szCs w:val="20"/>
              </w:rPr>
            </w:pPr>
            <w:r w:rsidRPr="00E23CE1">
              <w:rPr>
                <w:bCs/>
                <w:color w:val="000000"/>
                <w:szCs w:val="20"/>
              </w:rPr>
              <w:t>5.4</w:t>
            </w:r>
          </w:p>
        </w:tc>
      </w:tr>
      <w:tr w:rsidR="00AC42C7" w:rsidRPr="001234FC" w:rsidTr="00744CFA">
        <w:trPr>
          <w:trHeight w:hRule="exact" w:val="360"/>
        </w:trPr>
        <w:tc>
          <w:tcPr>
            <w:tcW w:w="501" w:type="pct"/>
          </w:tcPr>
          <w:p w:rsidR="00AC42C7" w:rsidRPr="00E23CE1" w:rsidRDefault="00AC42C7" w:rsidP="008559E9">
            <w:pPr>
              <w:spacing w:after="0"/>
              <w:jc w:val="both"/>
              <w:rPr>
                <w:b/>
                <w:bCs/>
                <w:color w:val="000000"/>
                <w:szCs w:val="20"/>
              </w:rPr>
            </w:pPr>
            <w:r w:rsidRPr="00E23CE1">
              <w:rPr>
                <w:b/>
                <w:bCs/>
                <w:color w:val="000000"/>
                <w:szCs w:val="20"/>
              </w:rPr>
              <w:t>EH</w:t>
            </w:r>
          </w:p>
        </w:tc>
        <w:tc>
          <w:tcPr>
            <w:tcW w:w="404" w:type="pct"/>
          </w:tcPr>
          <w:p w:rsidR="00AC42C7" w:rsidRPr="00E23CE1" w:rsidRDefault="00AC42C7" w:rsidP="008559E9">
            <w:pPr>
              <w:spacing w:after="0"/>
              <w:jc w:val="both"/>
              <w:rPr>
                <w:bCs/>
                <w:color w:val="000000"/>
                <w:szCs w:val="20"/>
              </w:rPr>
            </w:pPr>
            <w:r w:rsidRPr="00E23CE1">
              <w:rPr>
                <w:bCs/>
                <w:color w:val="000000"/>
                <w:szCs w:val="20"/>
              </w:rPr>
              <w:t>-32.9</w:t>
            </w:r>
          </w:p>
        </w:tc>
        <w:tc>
          <w:tcPr>
            <w:tcW w:w="450" w:type="pct"/>
          </w:tcPr>
          <w:p w:rsidR="00AC42C7" w:rsidRPr="00E23CE1" w:rsidRDefault="00AC42C7" w:rsidP="008559E9">
            <w:pPr>
              <w:spacing w:after="0"/>
              <w:jc w:val="both"/>
              <w:rPr>
                <w:bCs/>
                <w:color w:val="000000"/>
                <w:szCs w:val="20"/>
              </w:rPr>
            </w:pPr>
            <w:r w:rsidRPr="00E23CE1">
              <w:rPr>
                <w:bCs/>
                <w:color w:val="000000"/>
                <w:szCs w:val="20"/>
              </w:rPr>
              <w:t>-20.1</w:t>
            </w:r>
          </w:p>
        </w:tc>
        <w:tc>
          <w:tcPr>
            <w:tcW w:w="408" w:type="pct"/>
          </w:tcPr>
          <w:p w:rsidR="00AC42C7" w:rsidRPr="00E23CE1" w:rsidRDefault="00AC42C7" w:rsidP="008559E9">
            <w:pPr>
              <w:spacing w:after="0"/>
              <w:jc w:val="both"/>
              <w:rPr>
                <w:bCs/>
                <w:color w:val="000000"/>
                <w:szCs w:val="20"/>
              </w:rPr>
            </w:pPr>
            <w:r w:rsidRPr="00E23CE1">
              <w:rPr>
                <w:bCs/>
                <w:color w:val="000000"/>
                <w:szCs w:val="20"/>
              </w:rPr>
              <w:t>1.8</w:t>
            </w:r>
          </w:p>
        </w:tc>
        <w:tc>
          <w:tcPr>
            <w:tcW w:w="432" w:type="pct"/>
          </w:tcPr>
          <w:p w:rsidR="00AC42C7" w:rsidRPr="00E23CE1" w:rsidRDefault="00AC42C7" w:rsidP="008559E9">
            <w:pPr>
              <w:spacing w:after="0"/>
              <w:jc w:val="both"/>
              <w:rPr>
                <w:bCs/>
                <w:color w:val="000000"/>
                <w:szCs w:val="20"/>
              </w:rPr>
            </w:pPr>
            <w:r w:rsidRPr="00E23CE1">
              <w:rPr>
                <w:bCs/>
                <w:color w:val="000000"/>
                <w:szCs w:val="20"/>
              </w:rPr>
              <w:t>-35.4</w:t>
            </w:r>
          </w:p>
        </w:tc>
        <w:tc>
          <w:tcPr>
            <w:tcW w:w="529" w:type="pct"/>
          </w:tcPr>
          <w:p w:rsidR="00AC42C7" w:rsidRPr="00E23CE1" w:rsidRDefault="00AC42C7" w:rsidP="008559E9">
            <w:pPr>
              <w:spacing w:after="0"/>
              <w:jc w:val="both"/>
              <w:rPr>
                <w:bCs/>
                <w:color w:val="000000"/>
                <w:szCs w:val="20"/>
              </w:rPr>
            </w:pPr>
            <w:r w:rsidRPr="00E23CE1">
              <w:rPr>
                <w:bCs/>
                <w:color w:val="000000"/>
                <w:szCs w:val="20"/>
              </w:rPr>
              <w:t>-2.8</w:t>
            </w:r>
          </w:p>
        </w:tc>
        <w:tc>
          <w:tcPr>
            <w:tcW w:w="404" w:type="pct"/>
          </w:tcPr>
          <w:p w:rsidR="00AC42C7" w:rsidRPr="00E23CE1" w:rsidRDefault="00AC42C7" w:rsidP="008559E9">
            <w:pPr>
              <w:spacing w:after="0"/>
              <w:jc w:val="both"/>
              <w:rPr>
                <w:bCs/>
                <w:color w:val="000000"/>
                <w:szCs w:val="20"/>
              </w:rPr>
            </w:pPr>
            <w:r w:rsidRPr="00E23CE1">
              <w:rPr>
                <w:bCs/>
                <w:color w:val="000000"/>
                <w:szCs w:val="20"/>
              </w:rPr>
              <w:t>45.0</w:t>
            </w:r>
          </w:p>
        </w:tc>
        <w:tc>
          <w:tcPr>
            <w:tcW w:w="480" w:type="pct"/>
          </w:tcPr>
          <w:p w:rsidR="00AC42C7" w:rsidRPr="00E23CE1" w:rsidRDefault="00AC42C7" w:rsidP="008559E9">
            <w:pPr>
              <w:spacing w:after="0"/>
              <w:jc w:val="both"/>
              <w:rPr>
                <w:bCs/>
                <w:color w:val="000000"/>
                <w:szCs w:val="20"/>
              </w:rPr>
            </w:pPr>
            <w:r w:rsidRPr="00E23CE1">
              <w:rPr>
                <w:bCs/>
                <w:color w:val="000000"/>
                <w:szCs w:val="20"/>
              </w:rPr>
              <w:t>2.2</w:t>
            </w:r>
          </w:p>
        </w:tc>
        <w:tc>
          <w:tcPr>
            <w:tcW w:w="432" w:type="pct"/>
          </w:tcPr>
          <w:p w:rsidR="00AC42C7" w:rsidRPr="00E23CE1" w:rsidRDefault="00AC42C7" w:rsidP="008559E9">
            <w:pPr>
              <w:spacing w:after="0"/>
              <w:jc w:val="both"/>
              <w:rPr>
                <w:bCs/>
                <w:color w:val="000000"/>
                <w:szCs w:val="20"/>
              </w:rPr>
            </w:pPr>
            <w:r w:rsidRPr="00E23CE1">
              <w:rPr>
                <w:bCs/>
                <w:color w:val="000000"/>
                <w:szCs w:val="20"/>
              </w:rPr>
              <w:t>-1.3</w:t>
            </w:r>
          </w:p>
        </w:tc>
        <w:tc>
          <w:tcPr>
            <w:tcW w:w="384" w:type="pct"/>
          </w:tcPr>
          <w:p w:rsidR="00AC42C7" w:rsidRPr="00E23CE1" w:rsidRDefault="00AC42C7" w:rsidP="008559E9">
            <w:pPr>
              <w:spacing w:after="0"/>
              <w:jc w:val="both"/>
              <w:rPr>
                <w:bCs/>
                <w:color w:val="000000"/>
                <w:szCs w:val="20"/>
              </w:rPr>
            </w:pPr>
            <w:r w:rsidRPr="00E23CE1">
              <w:rPr>
                <w:bCs/>
                <w:color w:val="000000"/>
                <w:szCs w:val="20"/>
              </w:rPr>
              <w:t>-33.7</w:t>
            </w:r>
          </w:p>
        </w:tc>
        <w:tc>
          <w:tcPr>
            <w:tcW w:w="577" w:type="pct"/>
          </w:tcPr>
          <w:p w:rsidR="00AC42C7" w:rsidRPr="00E23CE1" w:rsidRDefault="00AC42C7" w:rsidP="008559E9">
            <w:pPr>
              <w:spacing w:after="0"/>
              <w:jc w:val="both"/>
              <w:rPr>
                <w:bCs/>
                <w:color w:val="000000"/>
                <w:szCs w:val="20"/>
              </w:rPr>
            </w:pPr>
            <w:r w:rsidRPr="00E23CE1">
              <w:rPr>
                <w:bCs/>
                <w:color w:val="000000"/>
                <w:szCs w:val="20"/>
              </w:rPr>
              <w:t>-1.6</w:t>
            </w:r>
          </w:p>
        </w:tc>
      </w:tr>
    </w:tbl>
    <w:p w:rsidR="00081EB6" w:rsidRPr="006A0504" w:rsidRDefault="00081EB6" w:rsidP="00744CFA">
      <w:pPr>
        <w:spacing w:before="120"/>
        <w:jc w:val="both"/>
        <w:rPr>
          <w:b/>
          <w:bCs/>
          <w:i/>
          <w:iCs/>
          <w:sz w:val="20"/>
          <w:szCs w:val="20"/>
        </w:rPr>
      </w:pPr>
      <w:r w:rsidRPr="006A0504">
        <w:rPr>
          <w:b/>
          <w:bCs/>
          <w:i/>
          <w:iCs/>
          <w:sz w:val="20"/>
          <w:szCs w:val="20"/>
        </w:rPr>
        <w:t>Source: IPCC2013</w:t>
      </w:r>
    </w:p>
    <w:p w:rsidR="00000000" w:rsidRDefault="00AC42C7" w:rsidP="003D5A31">
      <w:pPr>
        <w:pStyle w:val="ListParagraph"/>
        <w:numPr>
          <w:ilvl w:val="2"/>
          <w:numId w:val="233"/>
        </w:numPr>
        <w:spacing w:line="276" w:lineRule="auto"/>
        <w:jc w:val="both"/>
        <w:rPr>
          <w:b/>
        </w:rPr>
      </w:pPr>
      <w:r w:rsidRPr="007B6647">
        <w:rPr>
          <w:b/>
        </w:rPr>
        <w:t>Floods</w:t>
      </w:r>
    </w:p>
    <w:p w:rsidR="00AC42C7" w:rsidRPr="00AC42C7" w:rsidRDefault="00AC42C7" w:rsidP="00AC42C7">
      <w:pPr>
        <w:spacing w:line="276" w:lineRule="auto"/>
        <w:jc w:val="both"/>
        <w:rPr>
          <w:szCs w:val="24"/>
        </w:rPr>
      </w:pPr>
      <w:r w:rsidRPr="006A0504">
        <w:rPr>
          <w:szCs w:val="24"/>
        </w:rPr>
        <w:t>Flood is a recurrent phe</w:t>
      </w:r>
      <w:r w:rsidR="00744CFA">
        <w:rPr>
          <w:szCs w:val="24"/>
        </w:rPr>
        <w:t>nomenon of Bangladesh, occurring</w:t>
      </w:r>
      <w:r w:rsidRPr="006A0504">
        <w:rPr>
          <w:szCs w:val="24"/>
        </w:rPr>
        <w:t xml:space="preserve"> almost every year. Three mighty rivers the Ganges, Brahmaputra and Meghna meet together in central Bangladesh forming the largest delta of the world. As a consequence, most of the country consists of huge flood plain and delta</w:t>
      </w:r>
      <w:r w:rsidR="00744CFA">
        <w:rPr>
          <w:szCs w:val="24"/>
        </w:rPr>
        <w:t>, of which</w:t>
      </w:r>
      <w:r w:rsidRPr="006A0504">
        <w:rPr>
          <w:szCs w:val="24"/>
        </w:rPr>
        <w:t xml:space="preserve"> around 70% of the total area is less than 1 meter above sea level and 10% of the land area is made up of Lakes and Rivers. Bangladesh experiences heavy monsoon rains, especially over the highlands along with frequent tropical storm</w:t>
      </w:r>
      <w:r w:rsidR="00361C88">
        <w:rPr>
          <w:szCs w:val="24"/>
        </w:rPr>
        <w:t xml:space="preserve">s in coastal region. All of these </w:t>
      </w:r>
      <w:r w:rsidR="00376FBF">
        <w:rPr>
          <w:szCs w:val="24"/>
        </w:rPr>
        <w:t>phenomena</w:t>
      </w:r>
      <w:r w:rsidRPr="006A0504">
        <w:rPr>
          <w:szCs w:val="24"/>
        </w:rPr>
        <w:t xml:space="preserve"> trigger frequent f</w:t>
      </w:r>
      <w:r w:rsidR="00361C88">
        <w:rPr>
          <w:szCs w:val="24"/>
        </w:rPr>
        <w:t>lood occurrence in Bangladesh. O</w:t>
      </w:r>
      <w:r w:rsidRPr="006A0504">
        <w:rPr>
          <w:szCs w:val="24"/>
        </w:rPr>
        <w:t>n average</w:t>
      </w:r>
      <w:r w:rsidR="00361C88">
        <w:rPr>
          <w:szCs w:val="24"/>
        </w:rPr>
        <w:t>,</w:t>
      </w:r>
      <w:r w:rsidRPr="006A0504">
        <w:rPr>
          <w:szCs w:val="24"/>
        </w:rPr>
        <w:t xml:space="preserve"> </w:t>
      </w:r>
      <w:r w:rsidR="00361C88">
        <w:rPr>
          <w:szCs w:val="24"/>
        </w:rPr>
        <w:t xml:space="preserve">an estimated </w:t>
      </w:r>
      <w:r w:rsidRPr="006A0504">
        <w:rPr>
          <w:szCs w:val="24"/>
        </w:rPr>
        <w:t xml:space="preserve">20-25% of the country becomes inundated due to river spilling and drainage congestion. Extreme situation arises when </w:t>
      </w:r>
      <w:r w:rsidR="00361C88">
        <w:rPr>
          <w:szCs w:val="24"/>
        </w:rPr>
        <w:t xml:space="preserve">the </w:t>
      </w:r>
      <w:r w:rsidRPr="006A0504">
        <w:rPr>
          <w:szCs w:val="24"/>
        </w:rPr>
        <w:t xml:space="preserve">three </w:t>
      </w:r>
      <w:r w:rsidR="00361C88">
        <w:rPr>
          <w:szCs w:val="24"/>
        </w:rPr>
        <w:t xml:space="preserve">major </w:t>
      </w:r>
      <w:r w:rsidR="0083646F">
        <w:rPr>
          <w:szCs w:val="24"/>
        </w:rPr>
        <w:t>rivers (Ganges, Brahmaputra and</w:t>
      </w:r>
      <w:r w:rsidRPr="006A0504">
        <w:rPr>
          <w:szCs w:val="24"/>
        </w:rPr>
        <w:t xml:space="preserve"> Meghna) reach their flood peak at same time. In general, 55-60% of the country is inundated during extreme flood events. Recent evidence reveals that </w:t>
      </w:r>
      <w:r w:rsidR="00361C88">
        <w:rPr>
          <w:szCs w:val="24"/>
        </w:rPr>
        <w:t xml:space="preserve">the </w:t>
      </w:r>
      <w:r w:rsidRPr="006A0504">
        <w:rPr>
          <w:szCs w:val="24"/>
        </w:rPr>
        <w:t xml:space="preserve">magnitude and frequency of mega floods is increasing </w:t>
      </w:r>
      <w:r w:rsidR="00267A29">
        <w:rPr>
          <w:szCs w:val="24"/>
        </w:rPr>
        <w:t>(Figure 1</w:t>
      </w:r>
      <w:r w:rsidRPr="001234FC">
        <w:rPr>
          <w:szCs w:val="24"/>
        </w:rPr>
        <w:t>.1</w:t>
      </w:r>
      <w:r w:rsidRPr="006A0504">
        <w:rPr>
          <w:szCs w:val="24"/>
        </w:rPr>
        <w:t>) as a consequence o</w:t>
      </w:r>
      <w:r w:rsidR="00361C88">
        <w:rPr>
          <w:szCs w:val="24"/>
        </w:rPr>
        <w:t>f climate change. Other human</w:t>
      </w:r>
      <w:r w:rsidRPr="006A0504">
        <w:rPr>
          <w:szCs w:val="24"/>
        </w:rPr>
        <w:t xml:space="preserve"> causes like construction of dam in upper riparian countries, unplanned urbanization in illegally encroached floodplains, lack of combination of structural and non-structural measures etc. are aggravating the situation. </w:t>
      </w:r>
    </w:p>
    <w:p w:rsidR="004B40BC" w:rsidRDefault="004B40BC">
      <w:pPr>
        <w:rPr>
          <w:b/>
          <w:szCs w:val="24"/>
        </w:rPr>
      </w:pPr>
      <w:r>
        <w:br w:type="page"/>
      </w:r>
    </w:p>
    <w:p w:rsidR="00AC42C7" w:rsidRPr="00AF6F1C" w:rsidRDefault="008559E9" w:rsidP="00AF6F1C">
      <w:pPr>
        <w:pStyle w:val="Heading5"/>
      </w:pPr>
      <w:bookmarkStart w:id="32" w:name="_Toc474639161"/>
      <w:r w:rsidRPr="00AF6F1C">
        <w:lastRenderedPageBreak/>
        <w:t>Figure 1.1</w:t>
      </w:r>
      <w:r w:rsidR="00AC42C7" w:rsidRPr="00AF6F1C">
        <w:t>: Increased Frequency of Mega Floods due to Climate Change</w:t>
      </w:r>
      <w:bookmarkEnd w:id="32"/>
    </w:p>
    <w:p w:rsidR="00AC42C7" w:rsidRPr="00E568FD" w:rsidRDefault="00AC42C7" w:rsidP="00AC42C7">
      <w:pPr>
        <w:spacing w:after="0"/>
        <w:jc w:val="center"/>
      </w:pPr>
      <w:r w:rsidRPr="00E568FD">
        <w:rPr>
          <w:rFonts w:cs="Times New Roman"/>
          <w:noProof/>
          <w:lang w:val="en-AU" w:eastAsia="en-AU" w:bidi="bn-BD"/>
        </w:rPr>
        <w:drawing>
          <wp:inline distT="0" distB="0" distL="0" distR="0">
            <wp:extent cx="4848225" cy="2836591"/>
            <wp:effectExtent l="19050" t="19050" r="9525" b="20955"/>
            <wp:docPr id="206"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0962" cy="2844043"/>
                    </a:xfrm>
                    <a:prstGeom prst="rect">
                      <a:avLst/>
                    </a:prstGeom>
                    <a:noFill/>
                    <a:ln w="12700">
                      <a:solidFill>
                        <a:schemeClr val="tx1"/>
                      </a:solidFill>
                    </a:ln>
                  </pic:spPr>
                </pic:pic>
              </a:graphicData>
            </a:graphic>
          </wp:inline>
        </w:drawing>
      </w:r>
    </w:p>
    <w:p w:rsidR="00AC42C7" w:rsidRPr="00E568FD" w:rsidRDefault="00AC42C7" w:rsidP="00AC42C7">
      <w:pPr>
        <w:spacing w:before="120"/>
        <w:rPr>
          <w:rFonts w:cs="Times New Roman"/>
          <w:b/>
          <w:i/>
          <w:sz w:val="20"/>
        </w:rPr>
      </w:pPr>
      <w:r w:rsidRPr="00E568FD">
        <w:rPr>
          <w:rFonts w:cs="Times New Roman"/>
          <w:b/>
          <w:i/>
          <w:sz w:val="20"/>
        </w:rPr>
        <w:t xml:space="preserve">         </w:t>
      </w:r>
      <w:r w:rsidRPr="00E568FD">
        <w:rPr>
          <w:rFonts w:cs="Times New Roman"/>
          <w:b/>
          <w:i/>
          <w:sz w:val="20"/>
        </w:rPr>
        <w:tab/>
        <w:t xml:space="preserve"> Source: CEGIS </w:t>
      </w:r>
    </w:p>
    <w:p w:rsidR="00AC42C7" w:rsidRDefault="00744CFA" w:rsidP="004B40BC">
      <w:pPr>
        <w:spacing w:line="276" w:lineRule="auto"/>
        <w:jc w:val="both"/>
        <w:rPr>
          <w:szCs w:val="24"/>
        </w:rPr>
      </w:pPr>
      <w:r>
        <w:rPr>
          <w:szCs w:val="24"/>
        </w:rPr>
        <w:t>Projections suggest</w:t>
      </w:r>
      <w:r w:rsidR="00357829">
        <w:rPr>
          <w:szCs w:val="24"/>
        </w:rPr>
        <w:t xml:space="preserve"> </w:t>
      </w:r>
      <w:r w:rsidR="00884B4C">
        <w:rPr>
          <w:szCs w:val="24"/>
        </w:rPr>
        <w:t xml:space="preserve">that the </w:t>
      </w:r>
      <w:r>
        <w:rPr>
          <w:szCs w:val="24"/>
        </w:rPr>
        <w:t>flood extent will increase</w:t>
      </w:r>
      <w:r w:rsidR="00AC42C7" w:rsidRPr="006A0504">
        <w:rPr>
          <w:szCs w:val="24"/>
        </w:rPr>
        <w:t xml:space="preserve"> for </w:t>
      </w:r>
      <w:r w:rsidR="00884B4C">
        <w:rPr>
          <w:szCs w:val="24"/>
        </w:rPr>
        <w:t xml:space="preserve">all areas of the </w:t>
      </w:r>
      <w:r w:rsidR="00AC42C7" w:rsidRPr="006A0504">
        <w:rPr>
          <w:szCs w:val="24"/>
        </w:rPr>
        <w:t>country</w:t>
      </w:r>
      <w:r w:rsidR="00884B4C">
        <w:rPr>
          <w:szCs w:val="24"/>
        </w:rPr>
        <w:t xml:space="preserve"> by mid-century (2050) based on the </w:t>
      </w:r>
      <w:r w:rsidR="00AC42C7" w:rsidRPr="006A0504">
        <w:rPr>
          <w:szCs w:val="24"/>
        </w:rPr>
        <w:t xml:space="preserve">extreme scenario. Both left and right side of the Brahmaputra-Jamuna River will be worst affected in </w:t>
      </w:r>
      <w:r w:rsidR="00884B4C">
        <w:rPr>
          <w:szCs w:val="24"/>
        </w:rPr>
        <w:t>this scenario</w:t>
      </w:r>
      <w:r w:rsidR="00AC42C7" w:rsidRPr="006A0504">
        <w:rPr>
          <w:szCs w:val="24"/>
        </w:rPr>
        <w:t>. On average</w:t>
      </w:r>
      <w:r w:rsidR="00884B4C">
        <w:rPr>
          <w:szCs w:val="24"/>
        </w:rPr>
        <w:t>,</w:t>
      </w:r>
      <w:r w:rsidR="00AC42C7" w:rsidRPr="006A0504">
        <w:rPr>
          <w:szCs w:val="24"/>
        </w:rPr>
        <w:t xml:space="preserve"> 3-9% </w:t>
      </w:r>
      <w:r w:rsidR="00884B4C">
        <w:rPr>
          <w:szCs w:val="24"/>
        </w:rPr>
        <w:t xml:space="preserve">additional area will be </w:t>
      </w:r>
      <w:r w:rsidR="00AC42C7" w:rsidRPr="006A0504">
        <w:rPr>
          <w:szCs w:val="24"/>
        </w:rPr>
        <w:t xml:space="preserve">inundated from </w:t>
      </w:r>
      <w:r w:rsidR="00884B4C">
        <w:rPr>
          <w:szCs w:val="24"/>
        </w:rPr>
        <w:t>the base (1978-2007) on the</w:t>
      </w:r>
      <w:r w:rsidR="00AC42C7" w:rsidRPr="006A0504">
        <w:rPr>
          <w:szCs w:val="24"/>
        </w:rPr>
        <w:t xml:space="preserve"> left side of </w:t>
      </w:r>
      <w:r w:rsidR="00884B4C">
        <w:rPr>
          <w:szCs w:val="24"/>
        </w:rPr>
        <w:t xml:space="preserve">the </w:t>
      </w:r>
      <w:r w:rsidR="00AC42C7" w:rsidRPr="006A0504">
        <w:rPr>
          <w:szCs w:val="24"/>
        </w:rPr>
        <w:t xml:space="preserve">Jamuna River. On the other hand, some portion of </w:t>
      </w:r>
      <w:r w:rsidR="00884B4C">
        <w:rPr>
          <w:szCs w:val="24"/>
        </w:rPr>
        <w:t xml:space="preserve">the </w:t>
      </w:r>
      <w:r w:rsidR="00AC42C7" w:rsidRPr="006A0504">
        <w:rPr>
          <w:szCs w:val="24"/>
        </w:rPr>
        <w:t xml:space="preserve">Barind region adjacent to right bank of Jamuna river will be more inundated (around 30%) from </w:t>
      </w:r>
      <w:r w:rsidR="00884B4C">
        <w:rPr>
          <w:szCs w:val="24"/>
        </w:rPr>
        <w:t>the base by 2050 due to flooding in the</w:t>
      </w:r>
      <w:r w:rsidR="00AC42C7" w:rsidRPr="006A0504">
        <w:rPr>
          <w:szCs w:val="24"/>
        </w:rPr>
        <w:t xml:space="preserve"> extreme scenario. </w:t>
      </w:r>
      <w:r w:rsidR="008737A6">
        <w:rPr>
          <w:szCs w:val="24"/>
        </w:rPr>
        <w:t>Map 1</w:t>
      </w:r>
      <w:r w:rsidR="00AC42C7">
        <w:rPr>
          <w:szCs w:val="24"/>
        </w:rPr>
        <w:t>.</w:t>
      </w:r>
      <w:r w:rsidR="00D8604D">
        <w:rPr>
          <w:szCs w:val="24"/>
        </w:rPr>
        <w:t>2</w:t>
      </w:r>
      <w:r w:rsidR="00AC42C7" w:rsidRPr="006A0504">
        <w:rPr>
          <w:szCs w:val="24"/>
        </w:rPr>
        <w:t xml:space="preserve"> shows percentage of flooded area for future in differe</w:t>
      </w:r>
      <w:r>
        <w:rPr>
          <w:szCs w:val="24"/>
        </w:rPr>
        <w:t>nt parts of Bangladesh under BAU and EXT</w:t>
      </w:r>
      <w:r w:rsidR="00AC42C7" w:rsidRPr="006A0504">
        <w:rPr>
          <w:szCs w:val="24"/>
        </w:rPr>
        <w:t xml:space="preserve"> scenario</w:t>
      </w:r>
      <w:r w:rsidR="00884B4C">
        <w:rPr>
          <w:szCs w:val="24"/>
        </w:rPr>
        <w:t>s</w:t>
      </w:r>
      <w:r w:rsidR="00041A07">
        <w:rPr>
          <w:szCs w:val="24"/>
        </w:rPr>
        <w:t xml:space="preserve">. Sea facing portion of </w:t>
      </w:r>
      <w:r>
        <w:rPr>
          <w:szCs w:val="24"/>
        </w:rPr>
        <w:t xml:space="preserve">the </w:t>
      </w:r>
      <w:r w:rsidR="00041A07">
        <w:rPr>
          <w:szCs w:val="24"/>
        </w:rPr>
        <w:t>c</w:t>
      </w:r>
      <w:r w:rsidR="00AC42C7" w:rsidRPr="006A0504">
        <w:rPr>
          <w:szCs w:val="24"/>
        </w:rPr>
        <w:t>oastal area is mainly prone to coastal f</w:t>
      </w:r>
      <w:r>
        <w:rPr>
          <w:szCs w:val="24"/>
        </w:rPr>
        <w:t>looding</w:t>
      </w:r>
      <w:r w:rsidR="002A02F6">
        <w:rPr>
          <w:szCs w:val="24"/>
        </w:rPr>
        <w:t>.</w:t>
      </w:r>
      <w:r w:rsidR="00AC42C7" w:rsidRPr="006A0504">
        <w:rPr>
          <w:szCs w:val="24"/>
        </w:rPr>
        <w:t xml:space="preserve">  </w:t>
      </w:r>
    </w:p>
    <w:p w:rsidR="00000000" w:rsidRDefault="004E0598" w:rsidP="003D5A31">
      <w:pPr>
        <w:pStyle w:val="ListParagraph"/>
        <w:numPr>
          <w:ilvl w:val="2"/>
          <w:numId w:val="233"/>
        </w:numPr>
        <w:spacing w:line="276" w:lineRule="auto"/>
        <w:jc w:val="both"/>
        <w:rPr>
          <w:b/>
        </w:rPr>
      </w:pPr>
      <w:r w:rsidRPr="00E038EA">
        <w:rPr>
          <w:b/>
        </w:rPr>
        <w:t>Drought</w:t>
      </w:r>
    </w:p>
    <w:p w:rsidR="0059085D" w:rsidRDefault="0051294A" w:rsidP="000303CE">
      <w:pPr>
        <w:spacing w:line="276" w:lineRule="auto"/>
        <w:jc w:val="both"/>
        <w:rPr>
          <w:szCs w:val="24"/>
        </w:rPr>
      </w:pPr>
      <w:r w:rsidRPr="006A0504">
        <w:rPr>
          <w:szCs w:val="24"/>
        </w:rPr>
        <w:t>The droughts occurring in Bangladesh are not me</w:t>
      </w:r>
      <w:r>
        <w:rPr>
          <w:szCs w:val="24"/>
        </w:rPr>
        <w:t xml:space="preserve">teorological droughts but </w:t>
      </w:r>
      <w:r w:rsidRPr="006A0504">
        <w:rPr>
          <w:szCs w:val="24"/>
        </w:rPr>
        <w:t>agricultural droughts</w:t>
      </w:r>
      <w:r>
        <w:rPr>
          <w:szCs w:val="24"/>
        </w:rPr>
        <w:t>,</w:t>
      </w:r>
      <w:r w:rsidRPr="006A0504">
        <w:rPr>
          <w:szCs w:val="24"/>
        </w:rPr>
        <w:t xml:space="preserve"> which could be also termed as severe moisture stress. In </w:t>
      </w:r>
      <w:r w:rsidR="00744CFA">
        <w:rPr>
          <w:szCs w:val="24"/>
        </w:rPr>
        <w:t xml:space="preserve">the </w:t>
      </w:r>
      <w:r w:rsidRPr="006A0504">
        <w:rPr>
          <w:szCs w:val="24"/>
        </w:rPr>
        <w:t xml:space="preserve">Bangladesh context, drought is defined as the period when soil moisture content is less than the required amount for satisfactory crop-growth during the normal crop-growing season. The mean annual rainfall in drought prone zone is 1250-1750 mm, falling mainly in 4 to 5 wet months. The drought situation of the area becomes severe during April-May due to the cumulative effect of presence of soils with low moisture holding capacity (&lt;200 mm available moisture), </w:t>
      </w:r>
      <w:r w:rsidR="00041A07">
        <w:rPr>
          <w:szCs w:val="24"/>
        </w:rPr>
        <w:t>increasing number of dry days (p</w:t>
      </w:r>
      <w:r w:rsidRPr="006A0504">
        <w:rPr>
          <w:szCs w:val="24"/>
        </w:rPr>
        <w:t>recipitation &lt;0.5 PET) and occurrence of extreme summer temperature of more than 40°C.</w:t>
      </w:r>
    </w:p>
    <w:p w:rsidR="009A5CB4" w:rsidRDefault="009A5CB4">
      <w:pPr>
        <w:rPr>
          <w:rFonts w:eastAsia="Times New Roman" w:cs="Times New Roman"/>
          <w:b/>
          <w:szCs w:val="24"/>
          <w:lang w:val="en-GB"/>
        </w:rPr>
      </w:pPr>
      <w:r>
        <w:br w:type="page"/>
      </w:r>
    </w:p>
    <w:p w:rsidR="00AC42C7" w:rsidRPr="00AF6F1C" w:rsidRDefault="008559E9" w:rsidP="00AF6F1C">
      <w:pPr>
        <w:pStyle w:val="Heading6"/>
      </w:pPr>
      <w:bookmarkStart w:id="33" w:name="_Toc474639282"/>
      <w:r w:rsidRPr="00AF6F1C">
        <w:lastRenderedPageBreak/>
        <w:t>Map 1.</w:t>
      </w:r>
      <w:r w:rsidR="00D8604D">
        <w:t>2</w:t>
      </w:r>
      <w:r w:rsidR="0056715C" w:rsidRPr="00AF6F1C">
        <w:t>: Percentage of Flooded A</w:t>
      </w:r>
      <w:r w:rsidR="00AC42C7" w:rsidRPr="00AF6F1C">
        <w:t>rea in Bangladesh in 2030s and 2050s</w:t>
      </w:r>
      <w:bookmarkEnd w:id="33"/>
    </w:p>
    <w:p w:rsidR="00AC42C7" w:rsidRDefault="00AC42C7" w:rsidP="00F27151">
      <w:pPr>
        <w:spacing w:after="120"/>
        <w:ind w:left="-576"/>
        <w:jc w:val="center"/>
        <w:rPr>
          <w:szCs w:val="24"/>
        </w:rPr>
      </w:pPr>
      <w:r w:rsidRPr="006A0504">
        <w:rPr>
          <w:noProof/>
          <w:szCs w:val="24"/>
          <w:lang w:val="en-AU" w:eastAsia="en-AU" w:bidi="bn-BD"/>
        </w:rPr>
        <w:drawing>
          <wp:inline distT="0" distB="0" distL="0" distR="0">
            <wp:extent cx="6000336" cy="7620000"/>
            <wp:effectExtent l="0" t="0" r="635" b="0"/>
            <wp:docPr id="207" name="Picture 207" descr="pri_f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i_fld"/>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28"/>
                    <a:stretch/>
                  </pic:blipFill>
                  <pic:spPr bwMode="auto">
                    <a:xfrm>
                      <a:off x="0" y="0"/>
                      <a:ext cx="6007092" cy="76285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27151" w:rsidRDefault="00F567AA" w:rsidP="00F27151">
      <w:pPr>
        <w:pStyle w:val="BodyText"/>
        <w:spacing w:after="240" w:line="276" w:lineRule="auto"/>
        <w:jc w:val="both"/>
        <w:rPr>
          <w:rFonts w:cs="Times New Roman"/>
          <w:szCs w:val="24"/>
        </w:rPr>
      </w:pPr>
      <w:r w:rsidRPr="00F567AA">
        <w:rPr>
          <w:b/>
          <w:i/>
          <w:sz w:val="20"/>
        </w:rPr>
        <w:t xml:space="preserve">Source: </w:t>
      </w:r>
      <w:r w:rsidRPr="00F567AA">
        <w:rPr>
          <w:rFonts w:cs="Times New Roman"/>
          <w:b/>
          <w:i/>
          <w:sz w:val="20"/>
          <w:szCs w:val="24"/>
        </w:rPr>
        <w:t>CEGIS</w:t>
      </w:r>
    </w:p>
    <w:p w:rsidR="00AC42C7" w:rsidRPr="006A0504" w:rsidRDefault="00AC42C7" w:rsidP="00AC42C7">
      <w:pPr>
        <w:spacing w:line="276" w:lineRule="auto"/>
        <w:jc w:val="both"/>
        <w:rPr>
          <w:szCs w:val="24"/>
        </w:rPr>
      </w:pPr>
      <w:r w:rsidRPr="006A0504">
        <w:rPr>
          <w:szCs w:val="24"/>
        </w:rPr>
        <w:lastRenderedPageBreak/>
        <w:t xml:space="preserve">In the drought prone agro-ecological </w:t>
      </w:r>
      <w:r w:rsidR="00557369">
        <w:rPr>
          <w:szCs w:val="24"/>
        </w:rPr>
        <w:t>zones</w:t>
      </w:r>
      <w:r w:rsidR="00557369" w:rsidRPr="006A0504">
        <w:rPr>
          <w:szCs w:val="24"/>
        </w:rPr>
        <w:t xml:space="preserve"> </w:t>
      </w:r>
      <w:r w:rsidRPr="006A0504">
        <w:rPr>
          <w:szCs w:val="24"/>
        </w:rPr>
        <w:t>of Bangl</w:t>
      </w:r>
      <w:r w:rsidR="0056715C">
        <w:rPr>
          <w:szCs w:val="24"/>
        </w:rPr>
        <w:t>adesh, period of dry days range between 32-48 days,</w:t>
      </w:r>
      <w:r w:rsidR="00376639">
        <w:rPr>
          <w:szCs w:val="24"/>
        </w:rPr>
        <w:t xml:space="preserve"> </w:t>
      </w:r>
      <w:r w:rsidRPr="006A0504">
        <w:rPr>
          <w:szCs w:val="24"/>
        </w:rPr>
        <w:t>star</w:t>
      </w:r>
      <w:r w:rsidR="0056715C">
        <w:rPr>
          <w:szCs w:val="24"/>
        </w:rPr>
        <w:t>ting from 24 March to 21 May.  D</w:t>
      </w:r>
      <w:r w:rsidRPr="006A0504">
        <w:rPr>
          <w:szCs w:val="24"/>
        </w:rPr>
        <w:t xml:space="preserve">uring this period the temperature also rises more than 40°C for 5 to 15 days within the same agro-ecological regions. </w:t>
      </w:r>
      <w:r w:rsidR="00E1145D">
        <w:rPr>
          <w:szCs w:val="24"/>
        </w:rPr>
        <w:t xml:space="preserve">In addition, some soils </w:t>
      </w:r>
      <w:r w:rsidRPr="006A0504">
        <w:rPr>
          <w:szCs w:val="24"/>
        </w:rPr>
        <w:t xml:space="preserve">have low moisture holding capacities, which show different degrees of </w:t>
      </w:r>
      <w:r w:rsidR="0083646F" w:rsidRPr="006A0504">
        <w:rPr>
          <w:szCs w:val="24"/>
        </w:rPr>
        <w:t>d</w:t>
      </w:r>
      <w:r w:rsidR="00744CFA">
        <w:rPr>
          <w:szCs w:val="24"/>
        </w:rPr>
        <w:t>r</w:t>
      </w:r>
      <w:r w:rsidR="0083646F">
        <w:rPr>
          <w:szCs w:val="24"/>
        </w:rPr>
        <w:t>oughtiness</w:t>
      </w:r>
      <w:r w:rsidRPr="006A0504">
        <w:rPr>
          <w:szCs w:val="24"/>
        </w:rPr>
        <w:t>.</w:t>
      </w:r>
    </w:p>
    <w:p w:rsidR="00AC42C7" w:rsidRDefault="00AC42C7" w:rsidP="004B40BC">
      <w:pPr>
        <w:spacing w:line="276" w:lineRule="auto"/>
        <w:jc w:val="both"/>
        <w:rPr>
          <w:szCs w:val="24"/>
        </w:rPr>
      </w:pPr>
      <w:r w:rsidRPr="006A0504">
        <w:rPr>
          <w:szCs w:val="24"/>
        </w:rPr>
        <w:t>Rabi and pre-Kharif drought (January/May) occurs due to the cumulative effect of dry days, higher tempe</w:t>
      </w:r>
      <w:r w:rsidR="00744CFA">
        <w:rPr>
          <w:szCs w:val="24"/>
        </w:rPr>
        <w:t xml:space="preserve">ratures during pre-Kharif (&gt; 40°C </w:t>
      </w:r>
      <w:r w:rsidRPr="006A0504">
        <w:rPr>
          <w:szCs w:val="24"/>
        </w:rPr>
        <w:t>in March/May) and low soil moisture availability. Kharif drought occurs from June/July to October, created by sub-humid and dry conditions in the highland and medium highland areas of the country (in addition to the west/northwest</w:t>
      </w:r>
      <w:r w:rsidR="00041A07">
        <w:rPr>
          <w:szCs w:val="24"/>
        </w:rPr>
        <w:t>)</w:t>
      </w:r>
      <w:r w:rsidRPr="006A0504">
        <w:rPr>
          <w:szCs w:val="24"/>
        </w:rPr>
        <w:t>. The Madhupur tract in the central parts of the country is also drought prone.</w:t>
      </w:r>
    </w:p>
    <w:p w:rsidR="00FC239C" w:rsidRDefault="00FC239C" w:rsidP="004B40BC">
      <w:pPr>
        <w:spacing w:line="276" w:lineRule="auto"/>
        <w:jc w:val="both"/>
        <w:rPr>
          <w:szCs w:val="24"/>
        </w:rPr>
      </w:pPr>
      <w:r>
        <w:rPr>
          <w:szCs w:val="24"/>
        </w:rPr>
        <w:t xml:space="preserve">The government’s intervention to </w:t>
      </w:r>
      <w:r w:rsidR="00557369">
        <w:rPr>
          <w:szCs w:val="24"/>
        </w:rPr>
        <w:t xml:space="preserve">address </w:t>
      </w:r>
      <w:r>
        <w:rPr>
          <w:szCs w:val="24"/>
        </w:rPr>
        <w:t xml:space="preserve">drought with the Barind Region Irrigation Project has changed the profile of the Barind region with a rapid transformation of the area into </w:t>
      </w:r>
      <w:r w:rsidR="00564896">
        <w:rPr>
          <w:szCs w:val="24"/>
        </w:rPr>
        <w:t>a</w:t>
      </w:r>
      <w:r>
        <w:rPr>
          <w:szCs w:val="24"/>
        </w:rPr>
        <w:t xml:space="preserve">n agrarian green field with </w:t>
      </w:r>
      <w:r w:rsidR="00564896">
        <w:rPr>
          <w:szCs w:val="24"/>
        </w:rPr>
        <w:t>a diversified agriculture based on rice, fruits and vegetables. This has contributed substantia</w:t>
      </w:r>
      <w:r w:rsidR="00744CFA">
        <w:rPr>
          <w:szCs w:val="24"/>
        </w:rPr>
        <w:t>lly to lowering poverty in</w:t>
      </w:r>
      <w:r w:rsidR="00564896">
        <w:rPr>
          <w:szCs w:val="24"/>
        </w:rPr>
        <w:t xml:space="preserve"> the North-West part of Bangladesh. Yet, the drought risk has been shifted forward as surface water reduction from </w:t>
      </w:r>
      <w:r w:rsidR="00744CFA">
        <w:rPr>
          <w:szCs w:val="24"/>
        </w:rPr>
        <w:t xml:space="preserve">the </w:t>
      </w:r>
      <w:r w:rsidR="00564896">
        <w:rPr>
          <w:szCs w:val="24"/>
        </w:rPr>
        <w:t xml:space="preserve">diversion of river water upstream in India and inadequate rainfall in the dry season continues to lower the water table. So, climate change that lowers rainfall further in the dry season could hurt agriculture in the Barind tract.  </w:t>
      </w:r>
    </w:p>
    <w:p w:rsidR="0056715C" w:rsidRDefault="00AC42C7" w:rsidP="00AC42C7">
      <w:pPr>
        <w:spacing w:line="276" w:lineRule="auto"/>
        <w:jc w:val="both"/>
        <w:rPr>
          <w:szCs w:val="24"/>
        </w:rPr>
      </w:pPr>
      <w:r w:rsidRPr="006A0504">
        <w:rPr>
          <w:szCs w:val="24"/>
        </w:rPr>
        <w:t xml:space="preserve">The geographical distribution of drought prone areas for different seasons (shown in </w:t>
      </w:r>
      <w:r>
        <w:rPr>
          <w:szCs w:val="24"/>
        </w:rPr>
        <w:t>Map</w:t>
      </w:r>
      <w:r w:rsidR="008559E9">
        <w:rPr>
          <w:szCs w:val="24"/>
        </w:rPr>
        <w:t xml:space="preserve"> 1</w:t>
      </w:r>
      <w:r w:rsidRPr="006A0504">
        <w:rPr>
          <w:szCs w:val="24"/>
        </w:rPr>
        <w:t>.</w:t>
      </w:r>
      <w:r w:rsidR="00D8604D">
        <w:rPr>
          <w:szCs w:val="24"/>
        </w:rPr>
        <w:t>3 and 1.4</w:t>
      </w:r>
      <w:r w:rsidRPr="006A0504">
        <w:rPr>
          <w:szCs w:val="24"/>
        </w:rPr>
        <w:t xml:space="preserve">) illustrates that the western parts as well as Barind area of the country will be at greater risk from droughts during both the Kharif and pre-Kharif seasons. </w:t>
      </w:r>
      <w:r w:rsidR="0056715C">
        <w:rPr>
          <w:szCs w:val="24"/>
        </w:rPr>
        <w:t xml:space="preserve"> </w:t>
      </w:r>
      <w:r w:rsidR="00FC239C">
        <w:rPr>
          <w:szCs w:val="24"/>
        </w:rPr>
        <w:t>It is estimated</w:t>
      </w:r>
      <w:r w:rsidR="0056715C" w:rsidRPr="006A0504">
        <w:rPr>
          <w:szCs w:val="24"/>
        </w:rPr>
        <w:t xml:space="preserve"> that under a moderate climate change scenario, Aus production would decline by 27% while wheat production would be red</w:t>
      </w:r>
      <w:r w:rsidR="0056715C">
        <w:rPr>
          <w:szCs w:val="24"/>
        </w:rPr>
        <w:t>uced to 61%</w:t>
      </w:r>
      <w:r w:rsidR="0056715C" w:rsidRPr="006A0504">
        <w:rPr>
          <w:szCs w:val="24"/>
        </w:rPr>
        <w:t>. Under a severe climate change scenario (with 60% moisture stress), yield of Boro might reduce by 55-62%. Moisture stress might force farmers to reduce the area of Boro cultivation. In case of a severe drought (moisture stress) forced by a change of temperature by +2°C and a reduction in precipitation by 10%, runoff in the Ganges, Brahmaputra, and Meghna rivers would be reduced by 32%, 25% and 17% resp</w:t>
      </w:r>
      <w:r w:rsidR="0056715C">
        <w:rPr>
          <w:szCs w:val="24"/>
        </w:rPr>
        <w:t>ectively</w:t>
      </w:r>
      <w:r w:rsidR="0056715C" w:rsidRPr="006A0504">
        <w:rPr>
          <w:szCs w:val="24"/>
        </w:rPr>
        <w:t>. This would limit surface irrigation potential in drought</w:t>
      </w:r>
      <w:r w:rsidR="00557369">
        <w:rPr>
          <w:szCs w:val="24"/>
        </w:rPr>
        <w:t xml:space="preserve"> prone</w:t>
      </w:r>
      <w:r w:rsidR="0056715C" w:rsidRPr="006A0504">
        <w:rPr>
          <w:szCs w:val="24"/>
        </w:rPr>
        <w:t xml:space="preserve"> areas and challenge the food self-sufficiency of the country.</w:t>
      </w:r>
    </w:p>
    <w:p w:rsidR="0051294A" w:rsidRDefault="0051294A" w:rsidP="00AC42C7">
      <w:pPr>
        <w:spacing w:line="276" w:lineRule="auto"/>
        <w:jc w:val="both"/>
        <w:rPr>
          <w:szCs w:val="24"/>
        </w:rPr>
      </w:pPr>
    </w:p>
    <w:p w:rsidR="0051294A" w:rsidRDefault="0051294A" w:rsidP="00AC42C7">
      <w:pPr>
        <w:spacing w:line="276" w:lineRule="auto"/>
        <w:jc w:val="both"/>
        <w:rPr>
          <w:szCs w:val="24"/>
        </w:rPr>
      </w:pPr>
    </w:p>
    <w:p w:rsidR="0051294A" w:rsidRDefault="0051294A" w:rsidP="00AC42C7">
      <w:pPr>
        <w:spacing w:line="276" w:lineRule="auto"/>
        <w:jc w:val="both"/>
        <w:rPr>
          <w:szCs w:val="24"/>
        </w:rPr>
      </w:pPr>
    </w:p>
    <w:p w:rsidR="0051294A" w:rsidRDefault="0051294A" w:rsidP="00AC42C7">
      <w:pPr>
        <w:spacing w:line="276" w:lineRule="auto"/>
        <w:jc w:val="both"/>
        <w:rPr>
          <w:szCs w:val="24"/>
        </w:rPr>
      </w:pPr>
    </w:p>
    <w:p w:rsidR="0051294A" w:rsidRDefault="0051294A" w:rsidP="00AC42C7">
      <w:pPr>
        <w:spacing w:line="276" w:lineRule="auto"/>
        <w:jc w:val="both"/>
        <w:rPr>
          <w:szCs w:val="24"/>
        </w:rPr>
      </w:pPr>
    </w:p>
    <w:tbl>
      <w:tblPr>
        <w:tblW w:w="10710" w:type="dxa"/>
        <w:tblInd w:w="-432" w:type="dxa"/>
        <w:tblLook w:val="04A0"/>
      </w:tblPr>
      <w:tblGrid>
        <w:gridCol w:w="5286"/>
        <w:gridCol w:w="5424"/>
      </w:tblGrid>
      <w:tr w:rsidR="00AC42C7" w:rsidRPr="00A329DE" w:rsidTr="00FC239C">
        <w:trPr>
          <w:trHeight w:val="567"/>
        </w:trPr>
        <w:tc>
          <w:tcPr>
            <w:tcW w:w="5220" w:type="dxa"/>
          </w:tcPr>
          <w:p w:rsidR="00AC42C7" w:rsidRPr="00A329DE" w:rsidRDefault="008559E9" w:rsidP="00181D96">
            <w:pPr>
              <w:pStyle w:val="Heading6"/>
            </w:pPr>
            <w:bookmarkStart w:id="34" w:name="_Toc474639283"/>
            <w:r>
              <w:lastRenderedPageBreak/>
              <w:t>Map 1.</w:t>
            </w:r>
            <w:r w:rsidR="00D8604D">
              <w:t>3</w:t>
            </w:r>
            <w:r w:rsidR="00AC42C7" w:rsidRPr="00A329DE">
              <w:t>:</w:t>
            </w:r>
            <w:r w:rsidR="00181D96">
              <w:t xml:space="preserve"> </w:t>
            </w:r>
            <w:r w:rsidR="00AC42C7" w:rsidRPr="00A329DE">
              <w:t>Drought prone (Kharif) areas of Bangladesh</w:t>
            </w:r>
            <w:bookmarkEnd w:id="34"/>
            <w:r w:rsidR="00AC42C7" w:rsidRPr="00A329DE">
              <w:t xml:space="preserve"> </w:t>
            </w:r>
          </w:p>
        </w:tc>
        <w:tc>
          <w:tcPr>
            <w:tcW w:w="5490" w:type="dxa"/>
          </w:tcPr>
          <w:p w:rsidR="00AC42C7" w:rsidRPr="00A329DE" w:rsidRDefault="008559E9" w:rsidP="00181D96">
            <w:pPr>
              <w:pStyle w:val="Heading6"/>
            </w:pPr>
            <w:bookmarkStart w:id="35" w:name="_Toc474639284"/>
            <w:r>
              <w:t>Map 1.</w:t>
            </w:r>
            <w:r w:rsidR="00D8604D">
              <w:t>4</w:t>
            </w:r>
            <w:r w:rsidR="00AC42C7" w:rsidRPr="00A329DE">
              <w:t>:</w:t>
            </w:r>
            <w:r w:rsidR="00181D96">
              <w:t xml:space="preserve"> </w:t>
            </w:r>
            <w:r w:rsidR="00AC42C7" w:rsidRPr="00A329DE">
              <w:t>Drought prone (Rabi and Pre Kharif) areas of Bangladesh</w:t>
            </w:r>
            <w:bookmarkEnd w:id="35"/>
            <w:r w:rsidR="00AC42C7" w:rsidRPr="00A329DE">
              <w:t xml:space="preserve"> </w:t>
            </w:r>
          </w:p>
        </w:tc>
      </w:tr>
      <w:tr w:rsidR="00AC42C7" w:rsidRPr="00062DF6" w:rsidTr="00FC239C">
        <w:tblPrEx>
          <w:tblLook w:val="0000"/>
        </w:tblPrEx>
        <w:trPr>
          <w:trHeight w:val="6930"/>
        </w:trPr>
        <w:tc>
          <w:tcPr>
            <w:tcW w:w="5220" w:type="dxa"/>
          </w:tcPr>
          <w:p w:rsidR="00AC42C7" w:rsidRPr="00062DF6" w:rsidRDefault="001A12B2" w:rsidP="00E1145D">
            <w:pPr>
              <w:spacing w:after="0"/>
              <w:jc w:val="both"/>
              <w:rPr>
                <w:rFonts w:ascii="Arial" w:hAnsi="Arial" w:cs="Arial"/>
              </w:rPr>
            </w:pPr>
            <w:r w:rsidRPr="001A12B2">
              <w:rPr>
                <w:rFonts w:ascii="Arial" w:hAnsi="Arial" w:cs="Arial"/>
                <w:noProof/>
              </w:rPr>
            </w:r>
            <w:r>
              <w:rPr>
                <w:rFonts w:ascii="Arial" w:hAnsi="Arial" w:cs="Arial"/>
                <w:noProof/>
              </w:rPr>
              <w:pict>
                <v:group id="Group 220" o:spid="_x0000_s1200" style="width:253.5pt;height:414pt;mso-position-horizontal-relative:char;mso-position-vertical-relative:line" coordorigin="1377,6107" coordsize="4098,7035">
                  <v:shape id="Picture 10" o:spid="_x0000_s1202" type="#_x0000_t75" style="position:absolute;left:1377;top:6107;width:4098;height:70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EFufGAAAA3AAAAA8AAABkcnMvZG93bnJldi54bWxEj0FrwkAUhO+F/oflFXqrmwQpNnUVabXU&#10;g2BSD/X2yD6zwezbkN1q+u9dQfA4zMw3zHQ+2FacqPeNYwXpKAFBXDndcK1g97N6mYDwAVlj65gU&#10;/JOH+ezxYYq5dmcu6FSGWkQI+xwVmBC6XEpfGbLoR64jjt7B9RZDlH0tdY/nCLetzJLkVVpsOC4Y&#10;7OjDUHUs/6yCr7Tm1e9uuS3348X20xzfimK9Uer5aVi8gwg0hHv41v7WCrIsheuZeATk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wQW58YAAADcAAAADwAAAAAAAAAAAAAA&#10;AACfAgAAZHJzL2Rvd25yZXYueG1sUEsFBgAAAAAEAAQA9wAAAJIDAAAAAA==&#10;">
                    <v:imagedata r:id="rId23" o:title=""/>
                  </v:shape>
                  <v:rect id="Rectangle 11" o:spid="_x0000_s1201" style="position:absolute;left:3240;top:6660;width:20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MQcQA&#10;AADcAAAADwAAAGRycy9kb3ducmV2LnhtbESPwWrDMBBE74H+g9hCb7FcH0rrWgkh1FDIpXbyAVtr&#10;YzuxVkaSE/vvq0Khx2Fm3jDFdjaDuJHzvWUFz0kKgrixuudWwelYrl9B+ICscbBMChbysN08rArM&#10;tb1zRbc6tCJC2OeooAthzKX0TUcGfWJH4uidrTMYonSt1A7vEW4GmaXpizTYc1zocKR9R821noyC&#10;y2X6TquPg6yP7lCWX/WbXcag1NPjvHsHEWgO/+G/9qdWkGUZ/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zjEHEAAAA3AAAAA8AAAAAAAAAAAAAAAAAmAIAAGRycy9k&#10;b3ducmV2LnhtbFBLBQYAAAAABAAEAPUAAACJAwAAAAA=&#10;" stroked="f" strokecolor="red" strokeweight="3pt">
                    <v:stroke linestyle="thinThin"/>
                  </v:rect>
                  <w10:wrap type="none"/>
                  <w10:anchorlock/>
                </v:group>
              </w:pict>
            </w:r>
          </w:p>
        </w:tc>
        <w:tc>
          <w:tcPr>
            <w:tcW w:w="5490" w:type="dxa"/>
          </w:tcPr>
          <w:p w:rsidR="00AC42C7" w:rsidRPr="00062DF6" w:rsidRDefault="001A12B2" w:rsidP="008559E9">
            <w:pPr>
              <w:jc w:val="both"/>
              <w:rPr>
                <w:rFonts w:ascii="Arial" w:hAnsi="Arial" w:cs="Arial"/>
              </w:rPr>
            </w:pPr>
            <w:r w:rsidRPr="001A12B2">
              <w:rPr>
                <w:rFonts w:ascii="Arial" w:hAnsi="Arial" w:cs="Arial"/>
                <w:noProof/>
              </w:rPr>
            </w:r>
            <w:r>
              <w:rPr>
                <w:rFonts w:ascii="Arial" w:hAnsi="Arial" w:cs="Arial"/>
                <w:noProof/>
              </w:rPr>
              <w:pict>
                <v:group id="Group 217" o:spid="_x0000_s1197" style="width:258.5pt;height:414pt;mso-position-horizontal-relative:char;mso-position-vertical-relative:line" coordorigin="6090,6076" coordsize="4240,6040">
                  <v:shape id="Picture 7" o:spid="_x0000_s1199" type="#_x0000_t75" style="position:absolute;left:6090;top:6076;width:4240;height:60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Pmt3CAAAA3AAAAA8AAABkcnMvZG93bnJldi54bWxET89rwjAUvgv+D+EJu2lqZaN0RpGK4LbT&#10;VDy/NW9tZ/NSk6x2++uXw8Djx/d7uR5MK3pyvrGsYD5LQBCXVjdcKTgdd9MMhA/IGlvLpOCHPKxX&#10;49ESc21v/E79IVQihrDPUUEdQpdL6cuaDPqZ7Ygj92mdwRChq6R2eIvhppVpkjxJgw3Hhho7Kmoq&#10;L4dvo0AWmbk+pt3r2/bcL4qXj99q476UepgMm2cQgYZwF/+791pBOo9r45l4BO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j5rdwgAAANwAAAAPAAAAAAAAAAAAAAAAAJ8C&#10;AABkcnMvZG93bnJldi54bWxQSwUGAAAAAAQABAD3AAAAjgMAAAAA&#10;">
                    <v:imagedata r:id="rId24" o:title=""/>
                  </v:shape>
                  <v:rect id="Rectangle 8" o:spid="_x0000_s1198" style="position:absolute;left:7905;top:6660;width:21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vUjcMA&#10;AADcAAAADwAAAGRycy9kb3ducmV2LnhtbESPQYvCMBSE7wv7H8Jb2Nua6mHRrqmIWBC8aPUHvG2e&#10;bbV5KUmq9d8bQfA4zMw3zHwxmFZcyfnGsoLxKAFBXFrdcKXgeMh/piB8QNbYWiYFd/KwyD4/5phq&#10;e+M9XYtQiQhhn6KCOoQuldKXNRn0I9sRR+9kncEQpaukdniLcNPKSZL8SoMNx4UaO1rVVF6K3ig4&#10;n/v/ZL/eyuLgtnm+K2b23gWlvr+G5R+IQEN4h1/tjVYwGc/geSYeAZ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vUjcMAAADcAAAADwAAAAAAAAAAAAAAAACYAgAAZHJzL2Rv&#10;d25yZXYueG1sUEsFBgAAAAAEAAQA9QAAAIgDAAAAAA==&#10;" stroked="f" strokecolor="red" strokeweight="3pt">
                    <v:stroke linestyle="thinThin"/>
                  </v:rect>
                  <w10:wrap type="none"/>
                  <w10:anchorlock/>
                </v:group>
              </w:pict>
            </w:r>
          </w:p>
        </w:tc>
      </w:tr>
      <w:tr w:rsidR="00AC42C7" w:rsidRPr="00426244" w:rsidTr="00FC239C">
        <w:tblPrEx>
          <w:tblLook w:val="0000"/>
        </w:tblPrEx>
        <w:trPr>
          <w:trHeight w:val="198"/>
        </w:trPr>
        <w:tc>
          <w:tcPr>
            <w:tcW w:w="5220" w:type="dxa"/>
          </w:tcPr>
          <w:p w:rsidR="00AC42C7" w:rsidRPr="00426244" w:rsidRDefault="00AC42C7" w:rsidP="0059085D">
            <w:pPr>
              <w:pStyle w:val="Mapscs"/>
              <w:spacing w:before="0" w:after="0" w:line="240" w:lineRule="auto"/>
              <w:jc w:val="both"/>
              <w:rPr>
                <w:rFonts w:ascii="Times New Roman" w:hAnsi="Times New Roman" w:cs="Times New Roman"/>
                <w:i/>
                <w:iCs/>
                <w:szCs w:val="24"/>
              </w:rPr>
            </w:pPr>
            <w:r>
              <w:rPr>
                <w:rFonts w:ascii="Times New Roman" w:hAnsi="Times New Roman" w:cs="Times New Roman"/>
                <w:i/>
                <w:iCs/>
                <w:sz w:val="20"/>
                <w:szCs w:val="20"/>
              </w:rPr>
              <w:t xml:space="preserve">        </w:t>
            </w:r>
            <w:r w:rsidRPr="0052496C">
              <w:rPr>
                <w:rFonts w:ascii="Times New Roman" w:hAnsi="Times New Roman" w:cs="Times New Roman"/>
                <w:i/>
                <w:iCs/>
                <w:sz w:val="20"/>
                <w:szCs w:val="20"/>
              </w:rPr>
              <w:t>Source: SRDI</w:t>
            </w:r>
          </w:p>
        </w:tc>
        <w:tc>
          <w:tcPr>
            <w:tcW w:w="5490" w:type="dxa"/>
          </w:tcPr>
          <w:p w:rsidR="00AC42C7" w:rsidRPr="00426244" w:rsidRDefault="00AC42C7" w:rsidP="0059085D">
            <w:pPr>
              <w:pStyle w:val="Mapscs"/>
              <w:spacing w:before="0" w:after="0" w:line="240" w:lineRule="auto"/>
              <w:jc w:val="both"/>
              <w:rPr>
                <w:rFonts w:ascii="Times New Roman" w:hAnsi="Times New Roman" w:cs="Times New Roman"/>
                <w:i/>
                <w:iCs/>
                <w:szCs w:val="24"/>
              </w:rPr>
            </w:pPr>
            <w:r w:rsidRPr="00426244">
              <w:rPr>
                <w:rFonts w:ascii="Times New Roman" w:hAnsi="Times New Roman" w:cs="Times New Roman"/>
                <w:i/>
                <w:iCs/>
                <w:szCs w:val="24"/>
              </w:rPr>
              <w:tab/>
            </w:r>
            <w:r w:rsidRPr="0052496C">
              <w:rPr>
                <w:rFonts w:ascii="Times New Roman" w:hAnsi="Times New Roman" w:cs="Times New Roman"/>
                <w:i/>
                <w:iCs/>
                <w:sz w:val="20"/>
                <w:szCs w:val="20"/>
              </w:rPr>
              <w:t>Source: SRDI</w:t>
            </w:r>
          </w:p>
        </w:tc>
      </w:tr>
    </w:tbl>
    <w:p w:rsidR="0056715C" w:rsidRDefault="0056715C" w:rsidP="00FC239C">
      <w:pPr>
        <w:spacing w:line="276" w:lineRule="auto"/>
        <w:ind w:left="-432"/>
        <w:jc w:val="both"/>
        <w:rPr>
          <w:szCs w:val="24"/>
        </w:rPr>
      </w:pPr>
    </w:p>
    <w:p w:rsidR="00000000" w:rsidRDefault="00AC42C7" w:rsidP="003D5A31">
      <w:pPr>
        <w:pStyle w:val="ListParagraph"/>
        <w:numPr>
          <w:ilvl w:val="2"/>
          <w:numId w:val="233"/>
        </w:numPr>
        <w:spacing w:line="276" w:lineRule="auto"/>
        <w:jc w:val="both"/>
        <w:rPr>
          <w:b/>
        </w:rPr>
      </w:pPr>
      <w:r w:rsidRPr="00E93D14">
        <w:rPr>
          <w:b/>
        </w:rPr>
        <w:t>River Bank Erosion</w:t>
      </w:r>
    </w:p>
    <w:p w:rsidR="00AC42C7" w:rsidRPr="00426244" w:rsidRDefault="00AC42C7" w:rsidP="00AC42C7">
      <w:pPr>
        <w:spacing w:line="276" w:lineRule="auto"/>
        <w:jc w:val="both"/>
        <w:rPr>
          <w:szCs w:val="24"/>
        </w:rPr>
      </w:pPr>
      <w:r w:rsidRPr="00426244">
        <w:rPr>
          <w:szCs w:val="24"/>
        </w:rPr>
        <w:t>Bangladesh is a riverine country. The morphology of the country’s rivers is highly dynamic and river bank erosion is also a regular phenomenon, particularly along the banks of the main rive</w:t>
      </w:r>
      <w:r>
        <w:rPr>
          <w:szCs w:val="24"/>
        </w:rPr>
        <w:t>rs.  Erosion in the</w:t>
      </w:r>
      <w:r w:rsidRPr="00426244">
        <w:rPr>
          <w:szCs w:val="24"/>
        </w:rPr>
        <w:t xml:space="preserve"> three major rivers–the Jamuna, the Padm</w:t>
      </w:r>
      <w:r>
        <w:rPr>
          <w:szCs w:val="24"/>
        </w:rPr>
        <w:t>a and the lower Meghna can be</w:t>
      </w:r>
      <w:r w:rsidRPr="00426244">
        <w:rPr>
          <w:szCs w:val="24"/>
        </w:rPr>
        <w:t xml:space="preserve"> considered as proxies for riverbank erosion in Bangladesh</w:t>
      </w:r>
      <w:r w:rsidR="002E3EFB">
        <w:rPr>
          <w:szCs w:val="24"/>
        </w:rPr>
        <w:t xml:space="preserve"> (Map 1.5</w:t>
      </w:r>
      <w:r w:rsidR="00315DB6">
        <w:rPr>
          <w:szCs w:val="24"/>
        </w:rPr>
        <w:t>)</w:t>
      </w:r>
      <w:r w:rsidRPr="00426244">
        <w:rPr>
          <w:szCs w:val="24"/>
        </w:rPr>
        <w:t xml:space="preserve">. The present rate of the Jamuna bank erosion is about 1770 ha per year while bank erosion by Padma River is about 1298 ha per year. Lower Meghna erodes at a rate of 2900 ha per year. </w:t>
      </w:r>
    </w:p>
    <w:p w:rsidR="00AC42C7" w:rsidRDefault="00AC42C7" w:rsidP="00181D96">
      <w:pPr>
        <w:pStyle w:val="Heading6"/>
      </w:pPr>
      <w:bookmarkStart w:id="36" w:name="_Toc474639285"/>
      <w:r>
        <w:lastRenderedPageBreak/>
        <w:t>Map</w:t>
      </w:r>
      <w:r w:rsidR="00315DB6">
        <w:t xml:space="preserve"> 1</w:t>
      </w:r>
      <w:r w:rsidRPr="00F44E08">
        <w:t>.</w:t>
      </w:r>
      <w:r w:rsidR="00D8604D">
        <w:t>5</w:t>
      </w:r>
      <w:r w:rsidR="008559E9">
        <w:t>: River Bank E</w:t>
      </w:r>
      <w:r w:rsidRPr="00F44E08">
        <w:t>rosion in Bangladesh</w:t>
      </w:r>
      <w:bookmarkEnd w:id="36"/>
    </w:p>
    <w:p w:rsidR="00D7044C" w:rsidRDefault="00D7044C" w:rsidP="00D7044C">
      <w:r>
        <w:t xml:space="preserve">      </w:t>
      </w:r>
      <w:r w:rsidR="002D21F1" w:rsidRPr="00DA4E27">
        <w:rPr>
          <w:noProof/>
          <w:lang w:val="en-AU" w:eastAsia="en-AU" w:bidi="bn-BD"/>
        </w:rPr>
        <w:drawing>
          <wp:inline distT="0" distB="0" distL="0" distR="0">
            <wp:extent cx="5427667" cy="7277100"/>
            <wp:effectExtent l="0" t="0" r="1905" b="0"/>
            <wp:docPr id="88" name="Picture 88" descr="H:\Maps\Vol1\Erosion and Accre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Maps\Vol1\Erosion and Accretion.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36" t="2060" r="2600" b="817"/>
                    <a:stretch/>
                  </pic:blipFill>
                  <pic:spPr bwMode="auto">
                    <a:xfrm>
                      <a:off x="0" y="0"/>
                      <a:ext cx="5431403" cy="72821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87962" w:rsidRPr="00D7044C" w:rsidRDefault="00D7044C" w:rsidP="00D7044C">
      <w:r>
        <w:t xml:space="preserve">   </w:t>
      </w:r>
      <w:r w:rsidR="00C87962" w:rsidRPr="006A0504">
        <w:rPr>
          <w:b/>
          <w:bCs/>
          <w:i/>
          <w:iCs/>
          <w:sz w:val="20"/>
          <w:szCs w:val="20"/>
        </w:rPr>
        <w:t xml:space="preserve">Source: </w:t>
      </w:r>
      <w:r w:rsidR="00C87962">
        <w:rPr>
          <w:b/>
          <w:bCs/>
          <w:i/>
          <w:iCs/>
          <w:sz w:val="20"/>
          <w:szCs w:val="20"/>
        </w:rPr>
        <w:t>Google Maps</w:t>
      </w:r>
    </w:p>
    <w:p w:rsidR="00B9504F" w:rsidRPr="004B0A08" w:rsidRDefault="00B9504F" w:rsidP="00B9504F">
      <w:pPr>
        <w:spacing w:line="276" w:lineRule="auto"/>
        <w:jc w:val="both"/>
        <w:rPr>
          <w:i/>
          <w:szCs w:val="24"/>
        </w:rPr>
      </w:pPr>
      <w:r w:rsidRPr="004B0A08">
        <w:rPr>
          <w:i/>
          <w:szCs w:val="24"/>
        </w:rPr>
        <w:lastRenderedPageBreak/>
        <w:t>The Jamuna River is widening over time.</w:t>
      </w:r>
      <w:r w:rsidRPr="00426244">
        <w:rPr>
          <w:szCs w:val="24"/>
        </w:rPr>
        <w:t xml:space="preserve"> This means that the river is eroding its banks. The river has been widening at an average rate of about 130 m per year. This corresponded to a loss of about 70,000 ha in 23 years, while only 11,000 ha had been accreted</w:t>
      </w:r>
      <w:r>
        <w:rPr>
          <w:szCs w:val="24"/>
        </w:rPr>
        <w:t>.</w:t>
      </w:r>
      <w:r w:rsidRPr="00426244">
        <w:rPr>
          <w:szCs w:val="24"/>
        </w:rPr>
        <w:t xml:space="preserve"> Changes in the river flow and sediment transport due to multi-faceted impacts of climate change are expected to increase the dynamics of these rivers even more. </w:t>
      </w:r>
      <w:r w:rsidRPr="004B0A08">
        <w:rPr>
          <w:i/>
          <w:szCs w:val="24"/>
        </w:rPr>
        <w:t xml:space="preserve">During 1973-2015, a total 52,313 ha land has been accreted due to river bank erosion. </w:t>
      </w:r>
    </w:p>
    <w:p w:rsidR="00B9504F" w:rsidRPr="004B0A08" w:rsidRDefault="00B9504F" w:rsidP="00B9504F">
      <w:pPr>
        <w:spacing w:line="276" w:lineRule="auto"/>
        <w:jc w:val="both"/>
        <w:rPr>
          <w:i/>
          <w:szCs w:val="24"/>
        </w:rPr>
      </w:pPr>
      <w:r w:rsidRPr="00426244">
        <w:rPr>
          <w:szCs w:val="24"/>
        </w:rPr>
        <w:t xml:space="preserve">A major reason for the erosion is that the discharge in the rivers is increasing. </w:t>
      </w:r>
      <w:r w:rsidRPr="004B0A08">
        <w:rPr>
          <w:i/>
          <w:szCs w:val="24"/>
        </w:rPr>
        <w:t xml:space="preserve">Flow records over 50 years long for the station Bahadurabad (Brahmaputra/Jamuna rivers) show that peak discharge is increasing and is peaking earlier. The average timing of the peak was in the middle of August but is now in the first week of August.  </w:t>
      </w:r>
    </w:p>
    <w:p w:rsidR="00E1145D" w:rsidRDefault="00B9504F" w:rsidP="00AC42C7">
      <w:pPr>
        <w:spacing w:line="276" w:lineRule="auto"/>
        <w:jc w:val="both"/>
        <w:rPr>
          <w:szCs w:val="24"/>
        </w:rPr>
      </w:pPr>
      <w:r w:rsidRPr="00426244">
        <w:rPr>
          <w:szCs w:val="24"/>
        </w:rPr>
        <w:t xml:space="preserve">At Bhairab Bazar (Meghna), peak discharge is decreasing and its occurrence is delayed slightly. The time of peak has moved to the last week of September from </w:t>
      </w:r>
      <w:r w:rsidR="00376FBF" w:rsidRPr="00426244">
        <w:rPr>
          <w:szCs w:val="24"/>
        </w:rPr>
        <w:t>mid-July</w:t>
      </w:r>
      <w:r w:rsidRPr="00426244">
        <w:rPr>
          <w:szCs w:val="24"/>
        </w:rPr>
        <w:t xml:space="preserve"> in the late 1970s.  At Hardinge Bridge station on the Ganges, peak discharge is increasing but the time of peak is advancing. The date is advancing by about one day in a decade. If the present trend of advancing of the peak prevails, the chances of coincidence of Ganges and Brahmaputra peaks will be less, reducing the probability of catastrophic and long-duration floods.</w:t>
      </w:r>
    </w:p>
    <w:p w:rsidR="00B9504F" w:rsidRPr="00B9504F" w:rsidRDefault="002A02F6" w:rsidP="00AC42C7">
      <w:pPr>
        <w:spacing w:line="276" w:lineRule="auto"/>
        <w:jc w:val="both"/>
        <w:rPr>
          <w:szCs w:val="24"/>
        </w:rPr>
      </w:pPr>
      <w:r>
        <w:rPr>
          <w:szCs w:val="24"/>
        </w:rPr>
        <w:t xml:space="preserve">On balance land accretion is significantly lower than river bank erosion for all three major rivers, although net erosion is the largest for the Brahmaputra/Jamuna river. </w:t>
      </w:r>
      <w:r w:rsidRPr="00426244">
        <w:rPr>
          <w:szCs w:val="24"/>
        </w:rPr>
        <w:t xml:space="preserve">Changes in the river flow and sediment transport due to multi-faceted impacts of climate change are expected to increase the dynamics of these rivers even more. </w:t>
      </w:r>
    </w:p>
    <w:p w:rsidR="00000000" w:rsidRDefault="00AC42C7" w:rsidP="003D5A31">
      <w:pPr>
        <w:pStyle w:val="ListParagraph"/>
        <w:numPr>
          <w:ilvl w:val="2"/>
          <w:numId w:val="233"/>
        </w:numPr>
        <w:spacing w:line="276" w:lineRule="auto"/>
        <w:jc w:val="both"/>
        <w:rPr>
          <w:b/>
        </w:rPr>
      </w:pPr>
      <w:r w:rsidRPr="00E74DFB">
        <w:rPr>
          <w:b/>
        </w:rPr>
        <w:t>Sea Level Rise and Salinity Intrusion</w:t>
      </w:r>
    </w:p>
    <w:p w:rsidR="00AC42C7" w:rsidRDefault="00AC42C7" w:rsidP="00AC42C7">
      <w:pPr>
        <w:spacing w:line="276" w:lineRule="auto"/>
        <w:jc w:val="both"/>
        <w:rPr>
          <w:szCs w:val="24"/>
        </w:rPr>
      </w:pPr>
      <w:r w:rsidRPr="00426244">
        <w:rPr>
          <w:szCs w:val="24"/>
        </w:rPr>
        <w:t>Sea level rise</w:t>
      </w:r>
      <w:r w:rsidR="00744CFA">
        <w:rPr>
          <w:szCs w:val="24"/>
        </w:rPr>
        <w:t xml:space="preserve"> (SLR)</w:t>
      </w:r>
      <w:r w:rsidRPr="00426244">
        <w:rPr>
          <w:szCs w:val="24"/>
        </w:rPr>
        <w:t xml:space="preserve"> and consequently, salinity intrusion are </w:t>
      </w:r>
      <w:r w:rsidR="002A02F6">
        <w:rPr>
          <w:szCs w:val="24"/>
        </w:rPr>
        <w:t xml:space="preserve">the </w:t>
      </w:r>
      <w:r w:rsidRPr="00426244">
        <w:rPr>
          <w:szCs w:val="24"/>
        </w:rPr>
        <w:t xml:space="preserve">most prominent issues now in </w:t>
      </w:r>
      <w:r w:rsidR="00744CFA">
        <w:rPr>
          <w:szCs w:val="24"/>
        </w:rPr>
        <w:t xml:space="preserve">the </w:t>
      </w:r>
      <w:r w:rsidRPr="00426244">
        <w:rPr>
          <w:szCs w:val="24"/>
        </w:rPr>
        <w:t>Bangladesh delta for its complex geographical position. IPCC (2013) predicts sea level rise between 0.2 to 1m for low to high emission scenarios in 2100 for the Bay of Bengal. For the future, the IPCC projections for very high emissions (red, RCP 8.5) and very low emissions (indigo,</w:t>
      </w:r>
      <w:r w:rsidR="00744CFA">
        <w:rPr>
          <w:szCs w:val="24"/>
        </w:rPr>
        <w:t xml:space="preserve"> RCP 4.5) are shown in Figure 1.2</w:t>
      </w:r>
      <w:r w:rsidRPr="00426244">
        <w:rPr>
          <w:szCs w:val="24"/>
        </w:rPr>
        <w:t xml:space="preserve">. </w:t>
      </w:r>
    </w:p>
    <w:p w:rsidR="00D7044C" w:rsidRDefault="00D7044C" w:rsidP="00AC42C7">
      <w:pPr>
        <w:spacing w:line="276" w:lineRule="auto"/>
        <w:jc w:val="both"/>
        <w:rPr>
          <w:szCs w:val="24"/>
        </w:rPr>
      </w:pPr>
    </w:p>
    <w:p w:rsidR="00D7044C" w:rsidRDefault="00D7044C" w:rsidP="00AC42C7">
      <w:pPr>
        <w:spacing w:line="276" w:lineRule="auto"/>
        <w:jc w:val="both"/>
        <w:rPr>
          <w:szCs w:val="24"/>
        </w:rPr>
      </w:pPr>
    </w:p>
    <w:p w:rsidR="00D7044C" w:rsidRDefault="00D7044C" w:rsidP="00AC42C7">
      <w:pPr>
        <w:spacing w:line="276" w:lineRule="auto"/>
        <w:jc w:val="both"/>
        <w:rPr>
          <w:szCs w:val="24"/>
        </w:rPr>
      </w:pPr>
    </w:p>
    <w:p w:rsidR="00D7044C" w:rsidRDefault="00D7044C" w:rsidP="00AC42C7">
      <w:pPr>
        <w:spacing w:line="276" w:lineRule="auto"/>
        <w:jc w:val="both"/>
        <w:rPr>
          <w:szCs w:val="24"/>
        </w:rPr>
      </w:pPr>
    </w:p>
    <w:p w:rsidR="00D7044C" w:rsidRDefault="00D7044C" w:rsidP="00AC42C7">
      <w:pPr>
        <w:spacing w:line="276" w:lineRule="auto"/>
        <w:jc w:val="both"/>
        <w:rPr>
          <w:szCs w:val="24"/>
        </w:rPr>
      </w:pPr>
    </w:p>
    <w:p w:rsidR="00D7044C" w:rsidRPr="00426244" w:rsidRDefault="00D7044C" w:rsidP="00AC42C7">
      <w:pPr>
        <w:spacing w:line="276" w:lineRule="auto"/>
        <w:jc w:val="both"/>
        <w:rPr>
          <w:szCs w:val="24"/>
        </w:rPr>
      </w:pPr>
    </w:p>
    <w:p w:rsidR="00AC42C7" w:rsidRPr="00F44E08" w:rsidRDefault="00315DB6" w:rsidP="00181D96">
      <w:pPr>
        <w:pStyle w:val="Heading5"/>
      </w:pPr>
      <w:bookmarkStart w:id="37" w:name="_Toc474639162"/>
      <w:r>
        <w:lastRenderedPageBreak/>
        <w:t>Figure 1</w:t>
      </w:r>
      <w:r w:rsidR="00AC42C7">
        <w:t>.2</w:t>
      </w:r>
      <w:r>
        <w:t>: Sea Level Rise P</w:t>
      </w:r>
      <w:r w:rsidR="00AC42C7" w:rsidRPr="00F44E08">
        <w:t>redictions for different RCPs in Bay of Bengal</w:t>
      </w:r>
      <w:bookmarkEnd w:id="37"/>
    </w:p>
    <w:p w:rsidR="00AC42C7" w:rsidRPr="004B30D5" w:rsidRDefault="00AC42C7" w:rsidP="004B40BC">
      <w:pPr>
        <w:spacing w:before="120" w:after="120"/>
        <w:ind w:left="187"/>
        <w:jc w:val="center"/>
        <w:rPr>
          <w:szCs w:val="24"/>
        </w:rPr>
      </w:pPr>
      <w:r w:rsidRPr="004B30D5">
        <w:rPr>
          <w:noProof/>
          <w:szCs w:val="24"/>
          <w:lang w:val="en-AU" w:eastAsia="en-AU" w:bidi="bn-BD"/>
        </w:rPr>
        <w:drawing>
          <wp:inline distT="0" distB="0" distL="0" distR="0">
            <wp:extent cx="4705350" cy="2543175"/>
            <wp:effectExtent l="19050" t="19050" r="19050" b="28575"/>
            <wp:docPr id="209" name="Picture 209" descr="SLR_AR5 - Cop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LR_AR5 - Copy"/>
                    <pic:cNvPicPr>
                      <a:picLocks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65" t="8394"/>
                    <a:stretch>
                      <a:fillRect/>
                    </a:stretch>
                  </pic:blipFill>
                  <pic:spPr bwMode="auto">
                    <a:xfrm>
                      <a:off x="0" y="0"/>
                      <a:ext cx="4705350" cy="2543175"/>
                    </a:xfrm>
                    <a:prstGeom prst="rect">
                      <a:avLst/>
                    </a:prstGeom>
                    <a:noFill/>
                    <a:ln w="12700">
                      <a:solidFill>
                        <a:schemeClr val="tx1"/>
                      </a:solidFill>
                    </a:ln>
                  </pic:spPr>
                </pic:pic>
              </a:graphicData>
            </a:graphic>
          </wp:inline>
        </w:drawing>
      </w:r>
    </w:p>
    <w:p w:rsidR="00AC42C7" w:rsidRDefault="00AC42C7" w:rsidP="004B40BC">
      <w:pPr>
        <w:spacing w:before="120" w:line="276" w:lineRule="auto"/>
        <w:ind w:left="907" w:firstLine="533"/>
        <w:rPr>
          <w:b/>
          <w:i/>
          <w:sz w:val="20"/>
          <w:szCs w:val="24"/>
        </w:rPr>
      </w:pPr>
      <w:r>
        <w:rPr>
          <w:b/>
          <w:i/>
          <w:sz w:val="20"/>
          <w:szCs w:val="24"/>
        </w:rPr>
        <w:t>Source: IPCC, 20</w:t>
      </w:r>
      <w:r w:rsidR="00315DB6">
        <w:rPr>
          <w:b/>
          <w:i/>
          <w:sz w:val="20"/>
          <w:szCs w:val="24"/>
        </w:rPr>
        <w:t>13</w:t>
      </w:r>
    </w:p>
    <w:p w:rsidR="00AC42C7" w:rsidRPr="0080252D" w:rsidRDefault="00AC42C7" w:rsidP="00AC42C7">
      <w:pPr>
        <w:spacing w:line="276" w:lineRule="auto"/>
        <w:jc w:val="both"/>
        <w:rPr>
          <w:b/>
          <w:i/>
          <w:sz w:val="20"/>
          <w:szCs w:val="24"/>
        </w:rPr>
      </w:pPr>
      <w:r>
        <w:rPr>
          <w:szCs w:val="24"/>
        </w:rPr>
        <w:t>T</w:t>
      </w:r>
      <w:r w:rsidRPr="00426244">
        <w:rPr>
          <w:szCs w:val="24"/>
        </w:rPr>
        <w:t xml:space="preserve">he overall trend of sea level </w:t>
      </w:r>
      <w:r w:rsidR="00744CFA">
        <w:rPr>
          <w:szCs w:val="24"/>
        </w:rPr>
        <w:t xml:space="preserve">rise </w:t>
      </w:r>
      <w:r w:rsidRPr="00426244">
        <w:rPr>
          <w:szCs w:val="24"/>
        </w:rPr>
        <w:t xml:space="preserve">in the coastal area is 6-20 mm/year and this trend is much higher in the Chittagong coastal plain area than the Ganges and Meghna subzones. This uprising water level trend forms possibilities of increased intensity and extent of coastal flooding. Sea facing Coastal area is vulnerable for coastal flooding. </w:t>
      </w:r>
      <w:r w:rsidR="002E3EFB">
        <w:rPr>
          <w:szCs w:val="24"/>
        </w:rPr>
        <w:t>Maps 1.6</w:t>
      </w:r>
      <w:r w:rsidRPr="00426244">
        <w:rPr>
          <w:szCs w:val="24"/>
        </w:rPr>
        <w:t xml:space="preserve"> and</w:t>
      </w:r>
      <w:r w:rsidR="002E3EFB">
        <w:rPr>
          <w:szCs w:val="24"/>
        </w:rPr>
        <w:t xml:space="preserve"> 1.7</w:t>
      </w:r>
      <w:r w:rsidRPr="00426244">
        <w:rPr>
          <w:szCs w:val="24"/>
        </w:rPr>
        <w:t xml:space="preserve"> show coastal flooding situation for business as usual (BAU) and extreme scenarios. </w:t>
      </w:r>
    </w:p>
    <w:p w:rsidR="002066E1" w:rsidRDefault="002066E1">
      <w:pPr>
        <w:rPr>
          <w:rFonts w:eastAsia="Times New Roman" w:cs="Times New Roman"/>
          <w:b/>
          <w:szCs w:val="24"/>
          <w:lang w:val="en-GB"/>
        </w:rPr>
      </w:pPr>
      <w:r>
        <w:br w:type="page"/>
      </w:r>
    </w:p>
    <w:p w:rsidR="00AC42C7" w:rsidRPr="00C551E1" w:rsidRDefault="00AC42C7" w:rsidP="00181D96">
      <w:pPr>
        <w:pStyle w:val="Heading6"/>
      </w:pPr>
      <w:bookmarkStart w:id="38" w:name="_Toc474639286"/>
      <w:r>
        <w:lastRenderedPageBreak/>
        <w:t>Map</w:t>
      </w:r>
      <w:r w:rsidR="00315DB6">
        <w:t xml:space="preserve"> 1</w:t>
      </w:r>
      <w:r w:rsidRPr="00C551E1">
        <w:t>.</w:t>
      </w:r>
      <w:r w:rsidR="002E3EFB">
        <w:t>6</w:t>
      </w:r>
      <w:r>
        <w:t>: Coastal F</w:t>
      </w:r>
      <w:r w:rsidRPr="00C551E1">
        <w:t xml:space="preserve">looding under BAU </w:t>
      </w:r>
      <w:r>
        <w:t>S</w:t>
      </w:r>
      <w:r w:rsidRPr="00C551E1">
        <w:t>cenario</w:t>
      </w:r>
      <w:bookmarkEnd w:id="38"/>
    </w:p>
    <w:p w:rsidR="00AC42C7" w:rsidRDefault="00AC42C7" w:rsidP="00F27151">
      <w:pPr>
        <w:spacing w:after="120"/>
        <w:jc w:val="both"/>
        <w:rPr>
          <w:szCs w:val="24"/>
        </w:rPr>
      </w:pPr>
      <w:r w:rsidRPr="004B30D5">
        <w:rPr>
          <w:noProof/>
          <w:szCs w:val="24"/>
          <w:lang w:val="en-AU" w:eastAsia="en-AU" w:bidi="bn-BD"/>
        </w:rPr>
        <w:drawing>
          <wp:inline distT="0" distB="0" distL="0" distR="0">
            <wp:extent cx="5924550" cy="6524625"/>
            <wp:effectExtent l="0" t="0" r="0" b="9525"/>
            <wp:docPr id="210" name="Picture 210" descr="coast_fld_B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ast_fld_BAU"/>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53"/>
                    <a:stretch/>
                  </pic:blipFill>
                  <pic:spPr bwMode="auto">
                    <a:xfrm>
                      <a:off x="0" y="0"/>
                      <a:ext cx="5925268" cy="65254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27151" w:rsidRDefault="00F27151" w:rsidP="004B40BC">
      <w:pPr>
        <w:pStyle w:val="BodyText"/>
        <w:spacing w:before="120" w:after="240" w:line="276" w:lineRule="auto"/>
        <w:jc w:val="both"/>
        <w:rPr>
          <w:rFonts w:cs="Times New Roman"/>
          <w:szCs w:val="24"/>
        </w:rPr>
      </w:pPr>
      <w:r w:rsidRPr="009E594C">
        <w:rPr>
          <w:b/>
          <w:i/>
          <w:sz w:val="20"/>
        </w:rPr>
        <w:t xml:space="preserve">Source: </w:t>
      </w:r>
      <w:r w:rsidR="009E594C" w:rsidRPr="009E594C">
        <w:rPr>
          <w:rFonts w:cs="Times New Roman"/>
          <w:b/>
          <w:i/>
          <w:sz w:val="20"/>
          <w:szCs w:val="24"/>
        </w:rPr>
        <w:t>CEGIS</w:t>
      </w:r>
    </w:p>
    <w:p w:rsidR="002066E1" w:rsidRDefault="002066E1">
      <w:pPr>
        <w:rPr>
          <w:rFonts w:eastAsia="Times New Roman" w:cs="Times New Roman"/>
          <w:b/>
          <w:szCs w:val="24"/>
          <w:lang w:val="en-GB"/>
        </w:rPr>
      </w:pPr>
      <w:r>
        <w:br w:type="page"/>
      </w:r>
    </w:p>
    <w:p w:rsidR="00AC42C7" w:rsidRDefault="00AC42C7" w:rsidP="00181D96">
      <w:pPr>
        <w:pStyle w:val="Heading6"/>
      </w:pPr>
      <w:bookmarkStart w:id="39" w:name="_Toc474639287"/>
      <w:r>
        <w:lastRenderedPageBreak/>
        <w:t>Map</w:t>
      </w:r>
      <w:r w:rsidR="00DF57F6">
        <w:t xml:space="preserve"> 1</w:t>
      </w:r>
      <w:r w:rsidRPr="00C551E1">
        <w:t>.</w:t>
      </w:r>
      <w:r w:rsidR="002E3EFB">
        <w:t>7</w:t>
      </w:r>
      <w:r w:rsidR="00DF57F6">
        <w:t>: Coastal F</w:t>
      </w:r>
      <w:r w:rsidRPr="00C551E1">
        <w:t>looding und</w:t>
      </w:r>
      <w:r w:rsidR="00DF57F6">
        <w:t>er Extreme S</w:t>
      </w:r>
      <w:r w:rsidRPr="00C551E1">
        <w:t>cenario</w:t>
      </w:r>
      <w:bookmarkEnd w:id="39"/>
    </w:p>
    <w:p w:rsidR="00AC42C7" w:rsidRDefault="00AC42C7" w:rsidP="00F27151">
      <w:pPr>
        <w:spacing w:after="120"/>
        <w:ind w:left="187"/>
        <w:jc w:val="both"/>
        <w:rPr>
          <w:szCs w:val="24"/>
        </w:rPr>
      </w:pPr>
      <w:r w:rsidRPr="004B30D5">
        <w:rPr>
          <w:noProof/>
          <w:szCs w:val="24"/>
          <w:lang w:val="en-AU" w:eastAsia="en-AU" w:bidi="bn-BD"/>
        </w:rPr>
        <w:drawing>
          <wp:inline distT="0" distB="0" distL="0" distR="0">
            <wp:extent cx="5724525" cy="7513982"/>
            <wp:effectExtent l="0" t="0" r="0" b="0"/>
            <wp:docPr id="211" name="Picture 211" descr="coast_fld_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ast_fld_EXT"/>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27"/>
                    <a:stretch/>
                  </pic:blipFill>
                  <pic:spPr bwMode="auto">
                    <a:xfrm>
                      <a:off x="0" y="0"/>
                      <a:ext cx="5724713" cy="75142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27151" w:rsidRDefault="00744CFA" w:rsidP="00F27151">
      <w:pPr>
        <w:pStyle w:val="BodyText"/>
        <w:spacing w:after="240" w:line="276" w:lineRule="auto"/>
        <w:jc w:val="both"/>
        <w:rPr>
          <w:rFonts w:cs="Times New Roman"/>
          <w:szCs w:val="24"/>
        </w:rPr>
      </w:pPr>
      <w:r>
        <w:rPr>
          <w:b/>
          <w:i/>
          <w:sz w:val="20"/>
        </w:rPr>
        <w:t xml:space="preserve">      </w:t>
      </w:r>
      <w:r w:rsidR="00F27151" w:rsidRPr="009E594C">
        <w:rPr>
          <w:b/>
          <w:i/>
          <w:sz w:val="20"/>
        </w:rPr>
        <w:t xml:space="preserve">Source: </w:t>
      </w:r>
      <w:r w:rsidR="009E594C" w:rsidRPr="009E594C">
        <w:rPr>
          <w:rFonts w:cs="Times New Roman"/>
          <w:b/>
          <w:i/>
          <w:sz w:val="20"/>
          <w:szCs w:val="24"/>
        </w:rPr>
        <w:t>CEGIS</w:t>
      </w:r>
    </w:p>
    <w:p w:rsidR="002A02F6" w:rsidRPr="002A02F6" w:rsidRDefault="00744CFA" w:rsidP="00AC42C7">
      <w:pPr>
        <w:spacing w:line="276" w:lineRule="auto"/>
        <w:jc w:val="both"/>
        <w:rPr>
          <w:b/>
          <w:i/>
          <w:sz w:val="20"/>
          <w:szCs w:val="24"/>
        </w:rPr>
      </w:pPr>
      <w:r>
        <w:rPr>
          <w:szCs w:val="24"/>
        </w:rPr>
        <w:lastRenderedPageBreak/>
        <w:t>Analysis indicate that flooding extent might</w:t>
      </w:r>
      <w:r w:rsidR="002A02F6" w:rsidRPr="00426244">
        <w:rPr>
          <w:szCs w:val="24"/>
        </w:rPr>
        <w:t xml:space="preserve"> increase up to 6% and 8% from base (2005) in </w:t>
      </w:r>
      <w:r>
        <w:rPr>
          <w:szCs w:val="24"/>
        </w:rPr>
        <w:t xml:space="preserve">the </w:t>
      </w:r>
      <w:r w:rsidR="002A02F6" w:rsidRPr="00426244">
        <w:rPr>
          <w:szCs w:val="24"/>
        </w:rPr>
        <w:t xml:space="preserve">central part of </w:t>
      </w:r>
      <w:r>
        <w:rPr>
          <w:szCs w:val="24"/>
        </w:rPr>
        <w:t xml:space="preserve">the </w:t>
      </w:r>
      <w:r w:rsidR="002A02F6" w:rsidRPr="00426244">
        <w:rPr>
          <w:szCs w:val="24"/>
        </w:rPr>
        <w:t xml:space="preserve">Coastal region following extreme scenario by 2050 and 2100 respectively, which is highest among other parts of coastal region. The west portion of coastal region will face 5% and 6% more coastal flooding than </w:t>
      </w:r>
      <w:r>
        <w:rPr>
          <w:szCs w:val="24"/>
        </w:rPr>
        <w:t xml:space="preserve">the </w:t>
      </w:r>
      <w:r w:rsidR="002A02F6" w:rsidRPr="00426244">
        <w:rPr>
          <w:szCs w:val="24"/>
        </w:rPr>
        <w:t>base</w:t>
      </w:r>
      <w:r>
        <w:rPr>
          <w:szCs w:val="24"/>
        </w:rPr>
        <w:t xml:space="preserve"> situation</w:t>
      </w:r>
      <w:r w:rsidR="002A02F6" w:rsidRPr="00426244">
        <w:rPr>
          <w:szCs w:val="24"/>
        </w:rPr>
        <w:t xml:space="preserve"> following extreme scenario by 2050 and 2100 respectively. No significant changes have been found in </w:t>
      </w:r>
      <w:r>
        <w:rPr>
          <w:szCs w:val="24"/>
        </w:rPr>
        <w:t xml:space="preserve">the </w:t>
      </w:r>
      <w:r w:rsidR="002A02F6" w:rsidRPr="00426244">
        <w:rPr>
          <w:szCs w:val="24"/>
        </w:rPr>
        <w:t xml:space="preserve">eastern portion of </w:t>
      </w:r>
      <w:r>
        <w:rPr>
          <w:szCs w:val="24"/>
        </w:rPr>
        <w:t xml:space="preserve">the </w:t>
      </w:r>
      <w:r w:rsidR="002A02F6" w:rsidRPr="00426244">
        <w:rPr>
          <w:szCs w:val="24"/>
        </w:rPr>
        <w:t xml:space="preserve">coastal area.   </w:t>
      </w:r>
    </w:p>
    <w:p w:rsidR="00AC42C7" w:rsidRPr="00426244" w:rsidRDefault="00AC42C7" w:rsidP="00AC42C7">
      <w:pPr>
        <w:spacing w:line="276" w:lineRule="auto"/>
        <w:jc w:val="both"/>
        <w:rPr>
          <w:szCs w:val="24"/>
        </w:rPr>
      </w:pPr>
      <w:r w:rsidRPr="00426244">
        <w:rPr>
          <w:szCs w:val="24"/>
        </w:rPr>
        <w:t xml:space="preserve">The rising sea level impedes fresh water availability in </w:t>
      </w:r>
      <w:r w:rsidR="00744CFA">
        <w:rPr>
          <w:szCs w:val="24"/>
        </w:rPr>
        <w:t xml:space="preserve">the </w:t>
      </w:r>
      <w:r w:rsidRPr="00426244">
        <w:rPr>
          <w:szCs w:val="24"/>
        </w:rPr>
        <w:t>coastal area, expediting intrusion of salinity front. Both surface water and soil</w:t>
      </w:r>
      <w:r w:rsidR="00744CFA">
        <w:rPr>
          <w:szCs w:val="24"/>
        </w:rPr>
        <w:t xml:space="preserve"> salinity along the coast may increase</w:t>
      </w:r>
      <w:r w:rsidRPr="00426244">
        <w:rPr>
          <w:szCs w:val="24"/>
        </w:rPr>
        <w:t xml:space="preserve"> with the rising sea level</w:t>
      </w:r>
      <w:r w:rsidR="002E3EFB">
        <w:rPr>
          <w:szCs w:val="24"/>
        </w:rPr>
        <w:t xml:space="preserve"> (Map 1.8</w:t>
      </w:r>
      <w:r w:rsidR="00D8604D">
        <w:rPr>
          <w:szCs w:val="24"/>
        </w:rPr>
        <w:t>)</w:t>
      </w:r>
      <w:r w:rsidRPr="00426244">
        <w:rPr>
          <w:szCs w:val="24"/>
        </w:rPr>
        <w:t xml:space="preserve">. </w:t>
      </w:r>
    </w:p>
    <w:p w:rsidR="00AC42C7" w:rsidRDefault="00315DB6" w:rsidP="00181D96">
      <w:pPr>
        <w:pStyle w:val="Heading6"/>
      </w:pPr>
      <w:bookmarkStart w:id="40" w:name="_Toc474639288"/>
      <w:r>
        <w:t>Map 1</w:t>
      </w:r>
      <w:r w:rsidR="00490266">
        <w:t>.</w:t>
      </w:r>
      <w:r w:rsidR="002E3EFB">
        <w:t>8</w:t>
      </w:r>
      <w:r w:rsidR="00DE569D">
        <w:t xml:space="preserve">: The Extents of Different Categories Soil </w:t>
      </w:r>
      <w:r w:rsidR="004E0598">
        <w:t xml:space="preserve">Surface </w:t>
      </w:r>
      <w:r w:rsidR="00DE569D">
        <w:t>S</w:t>
      </w:r>
      <w:r w:rsidR="00AC42C7" w:rsidRPr="00426244">
        <w:t>alinity</w:t>
      </w:r>
      <w:bookmarkEnd w:id="40"/>
    </w:p>
    <w:p w:rsidR="00AC42C7" w:rsidRDefault="00AC42C7" w:rsidP="00F27151">
      <w:pPr>
        <w:spacing w:after="120"/>
        <w:jc w:val="center"/>
        <w:rPr>
          <w:b/>
          <w:bCs/>
          <w:szCs w:val="24"/>
        </w:rPr>
      </w:pPr>
      <w:r w:rsidRPr="00426244">
        <w:rPr>
          <w:b/>
          <w:bCs/>
          <w:noProof/>
          <w:szCs w:val="24"/>
          <w:lang w:val="en-AU" w:eastAsia="en-AU" w:bidi="bn-BD"/>
        </w:rPr>
        <w:drawing>
          <wp:inline distT="0" distB="0" distL="0" distR="0">
            <wp:extent cx="5721383" cy="5381625"/>
            <wp:effectExtent l="0" t="0" r="0" b="0"/>
            <wp:docPr id="212" name="Picture 212" descr="SW Salinity_a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W Salinity_azr"/>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5765" cy="5385747"/>
                    </a:xfrm>
                    <a:prstGeom prst="rect">
                      <a:avLst/>
                    </a:prstGeom>
                    <a:noFill/>
                    <a:ln>
                      <a:noFill/>
                    </a:ln>
                  </pic:spPr>
                </pic:pic>
              </a:graphicData>
            </a:graphic>
          </wp:inline>
        </w:drawing>
      </w:r>
    </w:p>
    <w:p w:rsidR="00F27151" w:rsidRDefault="00D7044C" w:rsidP="00F27151">
      <w:pPr>
        <w:pStyle w:val="BodyText"/>
        <w:spacing w:after="240" w:line="276" w:lineRule="auto"/>
        <w:jc w:val="both"/>
        <w:rPr>
          <w:rFonts w:cs="Times New Roman"/>
          <w:szCs w:val="24"/>
        </w:rPr>
      </w:pPr>
      <w:r>
        <w:rPr>
          <w:b/>
          <w:i/>
          <w:sz w:val="20"/>
        </w:rPr>
        <w:t xml:space="preserve">      </w:t>
      </w:r>
      <w:r w:rsidR="00F27151" w:rsidRPr="009E594C">
        <w:rPr>
          <w:b/>
          <w:i/>
          <w:sz w:val="20"/>
        </w:rPr>
        <w:t xml:space="preserve">Source: </w:t>
      </w:r>
      <w:r w:rsidR="009E594C" w:rsidRPr="009E594C">
        <w:rPr>
          <w:rFonts w:cs="Times New Roman"/>
          <w:b/>
          <w:i/>
          <w:sz w:val="20"/>
          <w:szCs w:val="24"/>
        </w:rPr>
        <w:t>CEGIS</w:t>
      </w:r>
    </w:p>
    <w:p w:rsidR="00DE569D" w:rsidRDefault="00DE569D" w:rsidP="00F27151">
      <w:pPr>
        <w:spacing w:after="120" w:line="276" w:lineRule="auto"/>
        <w:jc w:val="both"/>
        <w:rPr>
          <w:szCs w:val="24"/>
        </w:rPr>
      </w:pPr>
      <w:r w:rsidRPr="00426244">
        <w:rPr>
          <w:szCs w:val="24"/>
        </w:rPr>
        <w:lastRenderedPageBreak/>
        <w:t>The isosaline lines of 1, 5 and 15 ppt have been drawn for base (2005) and 2050 conditions to show changes in salinity in the coastal area o</w:t>
      </w:r>
      <w:r>
        <w:rPr>
          <w:szCs w:val="24"/>
        </w:rPr>
        <w:t>f Bangladesh</w:t>
      </w:r>
      <w:r w:rsidRPr="00426244">
        <w:rPr>
          <w:szCs w:val="24"/>
        </w:rPr>
        <w:t xml:space="preserve">. </w:t>
      </w:r>
      <w:r>
        <w:rPr>
          <w:szCs w:val="24"/>
        </w:rPr>
        <w:t>Map 1</w:t>
      </w:r>
      <w:r w:rsidR="00744CFA">
        <w:rPr>
          <w:szCs w:val="24"/>
        </w:rPr>
        <w:t>.8</w:t>
      </w:r>
      <w:r w:rsidRPr="00426244">
        <w:rPr>
          <w:szCs w:val="24"/>
        </w:rPr>
        <w:t xml:space="preserve"> indicates that in base (2005) condition about 10% area is under 1 ppt salinity and 16</w:t>
      </w:r>
      <w:r w:rsidR="00376639">
        <w:rPr>
          <w:szCs w:val="24"/>
        </w:rPr>
        <w:t>% under 5 ppt salinity</w:t>
      </w:r>
      <w:r w:rsidR="00744CFA">
        <w:rPr>
          <w:szCs w:val="24"/>
        </w:rPr>
        <w:t xml:space="preserve">; </w:t>
      </w:r>
      <w:r w:rsidR="00376639">
        <w:rPr>
          <w:szCs w:val="24"/>
        </w:rPr>
        <w:t xml:space="preserve">these </w:t>
      </w:r>
      <w:r w:rsidRPr="00426244">
        <w:rPr>
          <w:szCs w:val="24"/>
        </w:rPr>
        <w:t>area</w:t>
      </w:r>
      <w:r w:rsidR="00376639">
        <w:rPr>
          <w:szCs w:val="24"/>
        </w:rPr>
        <w:t>s</w:t>
      </w:r>
      <w:r w:rsidRPr="00426244">
        <w:rPr>
          <w:szCs w:val="24"/>
        </w:rPr>
        <w:t xml:space="preserve"> will increase up to 17.5% (1 ppt) and 24% (5 ppt) by 2050 in </w:t>
      </w:r>
      <w:r w:rsidR="00376639">
        <w:rPr>
          <w:szCs w:val="24"/>
        </w:rPr>
        <w:t>the extreme scenario</w:t>
      </w:r>
      <w:r w:rsidRPr="00426244">
        <w:rPr>
          <w:szCs w:val="24"/>
        </w:rPr>
        <w:t xml:space="preserve">. </w:t>
      </w:r>
      <w:r w:rsidR="00376FBF" w:rsidRPr="00426244">
        <w:rPr>
          <w:szCs w:val="24"/>
        </w:rPr>
        <w:t xml:space="preserve">So, there will be around </w:t>
      </w:r>
      <w:r w:rsidR="00376FBF">
        <w:rPr>
          <w:szCs w:val="24"/>
        </w:rPr>
        <w:t xml:space="preserve">a </w:t>
      </w:r>
      <w:r w:rsidR="00376FBF" w:rsidRPr="00426244">
        <w:rPr>
          <w:szCs w:val="24"/>
        </w:rPr>
        <w:t xml:space="preserve">7% increase in area under 5 ppt salinity levels. </w:t>
      </w:r>
      <w:r w:rsidRPr="00426244">
        <w:rPr>
          <w:szCs w:val="24"/>
        </w:rPr>
        <w:t xml:space="preserve">The salinity front will move towards inland from the south of Bangladesh with SLR and it will be further aggravated if the fresh water </w:t>
      </w:r>
      <w:r>
        <w:rPr>
          <w:szCs w:val="24"/>
        </w:rPr>
        <w:t xml:space="preserve">flows from upstream declines.  </w:t>
      </w:r>
    </w:p>
    <w:p w:rsidR="00AC42C7" w:rsidRPr="00C551E1" w:rsidRDefault="00AC42C7" w:rsidP="00181D96">
      <w:pPr>
        <w:pStyle w:val="Heading6"/>
      </w:pPr>
      <w:bookmarkStart w:id="41" w:name="_Toc474639289"/>
      <w:r>
        <w:t>Map</w:t>
      </w:r>
      <w:r w:rsidR="00315DB6">
        <w:t xml:space="preserve"> 1</w:t>
      </w:r>
      <w:r w:rsidR="002E3EFB">
        <w:t>.9</w:t>
      </w:r>
      <w:r w:rsidR="008559E9">
        <w:t xml:space="preserve">: </w:t>
      </w:r>
      <w:r w:rsidR="004E0598">
        <w:t xml:space="preserve">Soil Salinity </w:t>
      </w:r>
      <w:r w:rsidR="008559E9">
        <w:t>Water Salinity Condition in Coastal A</w:t>
      </w:r>
      <w:r w:rsidRPr="00C551E1">
        <w:t>rea</w:t>
      </w:r>
      <w:r w:rsidR="008559E9">
        <w:t>s</w:t>
      </w:r>
      <w:r w:rsidR="00DE569D">
        <w:t>, 1973-2009</w:t>
      </w:r>
      <w:bookmarkEnd w:id="41"/>
    </w:p>
    <w:p w:rsidR="00AC42C7" w:rsidRDefault="00AC42C7" w:rsidP="00F27151">
      <w:pPr>
        <w:spacing w:after="120"/>
        <w:ind w:left="432"/>
        <w:jc w:val="both"/>
        <w:rPr>
          <w:rFonts w:cs="Arial"/>
          <w:szCs w:val="24"/>
        </w:rPr>
      </w:pPr>
      <w:r w:rsidRPr="004B30D5">
        <w:rPr>
          <w:rFonts w:cs="Arial"/>
          <w:noProof/>
          <w:szCs w:val="24"/>
          <w:lang w:val="en-AU" w:eastAsia="en-AU" w:bidi="bn-BD"/>
        </w:rPr>
        <w:drawing>
          <wp:inline distT="0" distB="0" distL="0" distR="0">
            <wp:extent cx="5664200" cy="6142383"/>
            <wp:effectExtent l="0" t="0" r="0" b="0"/>
            <wp:docPr id="213" name="Picture 213" descr="Soil Salinity_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il Salinity_ard"/>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4438" cy="6142641"/>
                    </a:xfrm>
                    <a:prstGeom prst="rect">
                      <a:avLst/>
                    </a:prstGeom>
                    <a:noFill/>
                    <a:ln>
                      <a:noFill/>
                    </a:ln>
                  </pic:spPr>
                </pic:pic>
              </a:graphicData>
            </a:graphic>
          </wp:inline>
        </w:drawing>
      </w:r>
    </w:p>
    <w:p w:rsidR="00F27151" w:rsidRDefault="00D8604D" w:rsidP="00F27151">
      <w:pPr>
        <w:pStyle w:val="BodyText"/>
        <w:spacing w:after="240" w:line="276" w:lineRule="auto"/>
        <w:jc w:val="both"/>
        <w:rPr>
          <w:rFonts w:cs="Times New Roman"/>
          <w:szCs w:val="24"/>
        </w:rPr>
      </w:pPr>
      <w:r>
        <w:rPr>
          <w:b/>
          <w:i/>
          <w:sz w:val="20"/>
        </w:rPr>
        <w:t xml:space="preserve">          </w:t>
      </w:r>
      <w:r w:rsidR="00F27151" w:rsidRPr="009E594C">
        <w:rPr>
          <w:b/>
          <w:i/>
          <w:sz w:val="20"/>
        </w:rPr>
        <w:t xml:space="preserve">Source: </w:t>
      </w:r>
      <w:r>
        <w:rPr>
          <w:rFonts w:cs="Times New Roman"/>
          <w:b/>
          <w:i/>
          <w:sz w:val="20"/>
          <w:szCs w:val="24"/>
        </w:rPr>
        <w:t>SRDI</w:t>
      </w:r>
    </w:p>
    <w:p w:rsidR="00DE569D" w:rsidRPr="00DE569D" w:rsidRDefault="00DE569D" w:rsidP="00DE569D">
      <w:pPr>
        <w:spacing w:line="276" w:lineRule="auto"/>
        <w:jc w:val="both"/>
        <w:rPr>
          <w:szCs w:val="24"/>
        </w:rPr>
      </w:pPr>
      <w:r w:rsidRPr="00426244">
        <w:rPr>
          <w:szCs w:val="24"/>
        </w:rPr>
        <w:lastRenderedPageBreak/>
        <w:t>A soil salinity map for the period of 1973, 2000 and 2009 (</w:t>
      </w:r>
      <w:r>
        <w:rPr>
          <w:szCs w:val="24"/>
        </w:rPr>
        <w:t>Map 1</w:t>
      </w:r>
      <w:r w:rsidRPr="00426244">
        <w:rPr>
          <w:szCs w:val="24"/>
        </w:rPr>
        <w:t>.</w:t>
      </w:r>
      <w:r w:rsidR="002E3EFB">
        <w:rPr>
          <w:szCs w:val="24"/>
        </w:rPr>
        <w:t>9</w:t>
      </w:r>
      <w:r w:rsidRPr="00426244">
        <w:rPr>
          <w:szCs w:val="24"/>
        </w:rPr>
        <w:t xml:space="preserve">) produced by Soil Resources Development Institute (SRDI) shows that the problem is already increasing and severity of salinity is changing. The map shows that soil of Jessore, Magura, Narail, Faridpur, </w:t>
      </w:r>
      <w:r w:rsidR="00376FBF" w:rsidRPr="00426244">
        <w:rPr>
          <w:szCs w:val="24"/>
        </w:rPr>
        <w:t>Gopalganj</w:t>
      </w:r>
      <w:r w:rsidRPr="00426244">
        <w:rPr>
          <w:szCs w:val="24"/>
        </w:rPr>
        <w:t xml:space="preserve"> and Jhalokati was newly saliniz</w:t>
      </w:r>
      <w:r w:rsidR="00744CFA">
        <w:rPr>
          <w:szCs w:val="24"/>
        </w:rPr>
        <w:t>ed over 24 years</w:t>
      </w:r>
      <w:r w:rsidRPr="00426244">
        <w:rPr>
          <w:szCs w:val="24"/>
        </w:rPr>
        <w:t>. The coastal area of Bangladesh covers about 20</w:t>
      </w:r>
      <w:r w:rsidR="00744CFA">
        <w:rPr>
          <w:szCs w:val="24"/>
        </w:rPr>
        <w:t xml:space="preserve">% </w:t>
      </w:r>
      <w:r w:rsidRPr="00426244">
        <w:rPr>
          <w:szCs w:val="24"/>
        </w:rPr>
        <w:t xml:space="preserve">of the country and more than 30% of the cultivable land. Out of 2.86 Mha of coastal and offshore lands about 1.056 Mha of lands are affected by different degrees of soil salinity. Of the 151 upazillas in 19 coastal districts, 93 upazillas under 18 districts are affected by soil salinity. </w:t>
      </w:r>
    </w:p>
    <w:p w:rsidR="00000000" w:rsidRDefault="00AC42C7" w:rsidP="003D5A31">
      <w:pPr>
        <w:pStyle w:val="ListParagraph"/>
        <w:numPr>
          <w:ilvl w:val="2"/>
          <w:numId w:val="233"/>
        </w:numPr>
        <w:spacing w:line="276" w:lineRule="auto"/>
        <w:jc w:val="both"/>
        <w:rPr>
          <w:b/>
        </w:rPr>
      </w:pPr>
      <w:r w:rsidRPr="005E319F">
        <w:rPr>
          <w:b/>
        </w:rPr>
        <w:t>Cyclones and Storm Surges</w:t>
      </w:r>
    </w:p>
    <w:p w:rsidR="00AC42C7" w:rsidRPr="00426244" w:rsidRDefault="00AC42C7" w:rsidP="00AC42C7">
      <w:pPr>
        <w:spacing w:line="276" w:lineRule="auto"/>
        <w:jc w:val="both"/>
        <w:rPr>
          <w:szCs w:val="24"/>
        </w:rPr>
      </w:pPr>
      <w:r w:rsidRPr="00426244">
        <w:rPr>
          <w:szCs w:val="24"/>
        </w:rPr>
        <w:t>Low lying areas of coastal region are highly vulnerable to cyclones, which pose serious threat to lives and properties of the region. Nearly every year, cyclones hit the country</w:t>
      </w:r>
      <w:r w:rsidR="00E93D14">
        <w:rPr>
          <w:szCs w:val="24"/>
        </w:rPr>
        <w:t>’</w:t>
      </w:r>
      <w:r w:rsidRPr="00426244">
        <w:rPr>
          <w:szCs w:val="24"/>
        </w:rPr>
        <w:t>s coastal region and a severe cyclone strikes the country every three years, on average</w:t>
      </w:r>
      <w:r w:rsidR="002E3EFB">
        <w:rPr>
          <w:szCs w:val="24"/>
        </w:rPr>
        <w:t xml:space="preserve"> (Map 1.10</w:t>
      </w:r>
      <w:r w:rsidR="0053282F">
        <w:rPr>
          <w:szCs w:val="24"/>
        </w:rPr>
        <w:t>)</w:t>
      </w:r>
      <w:r w:rsidRPr="00426244">
        <w:rPr>
          <w:szCs w:val="24"/>
        </w:rPr>
        <w:t xml:space="preserve">. Intensity of cyclonic storm surges as well as depth and extent of storm surge induced coastal inundation are likely to increase in changing climate through rising sea surface temperature </w:t>
      </w:r>
      <w:r>
        <w:rPr>
          <w:szCs w:val="24"/>
        </w:rPr>
        <w:t>(SST) and sea level</w:t>
      </w:r>
      <w:r w:rsidRPr="00426244">
        <w:rPr>
          <w:szCs w:val="24"/>
        </w:rPr>
        <w:t>.  The IPCC further indicates that future cyclonic storm surges and related coastal floods in Bangladesh will likely become more severe as future tropical cyclones i</w:t>
      </w:r>
      <w:r>
        <w:rPr>
          <w:szCs w:val="24"/>
        </w:rPr>
        <w:t>ncrease in intensity</w:t>
      </w:r>
      <w:r w:rsidRPr="00426244">
        <w:rPr>
          <w:szCs w:val="24"/>
        </w:rPr>
        <w:t>.</w:t>
      </w:r>
    </w:p>
    <w:p w:rsidR="00AC42C7" w:rsidRPr="00426244" w:rsidRDefault="00AC42C7" w:rsidP="00AC42C7">
      <w:pPr>
        <w:spacing w:line="276" w:lineRule="auto"/>
        <w:jc w:val="both"/>
        <w:rPr>
          <w:szCs w:val="24"/>
        </w:rPr>
      </w:pPr>
      <w:r w:rsidRPr="00426244">
        <w:rPr>
          <w:szCs w:val="24"/>
        </w:rPr>
        <w:t>Recurvature of tropica</w:t>
      </w:r>
      <w:r w:rsidR="0053282F">
        <w:rPr>
          <w:szCs w:val="24"/>
        </w:rPr>
        <w:t>l cyclones in the Bay of Bengal,</w:t>
      </w:r>
      <w:r w:rsidRPr="00426244">
        <w:rPr>
          <w:szCs w:val="24"/>
        </w:rPr>
        <w:t xml:space="preserve"> the wide, shallow continental shelf, especially in </w:t>
      </w:r>
      <w:r w:rsidR="0053282F">
        <w:rPr>
          <w:szCs w:val="24"/>
        </w:rPr>
        <w:t>the eastern part of the country and</w:t>
      </w:r>
      <w:r w:rsidRPr="00426244">
        <w:rPr>
          <w:szCs w:val="24"/>
        </w:rPr>
        <w:t xml:space="preserve"> the high tidal range are the major reasons for this disproportionately large impact of cyclones. Low lying topography like nearly sea-level geography of the coastal land, high-density population and </w:t>
      </w:r>
      <w:r w:rsidR="00557369">
        <w:rPr>
          <w:szCs w:val="24"/>
        </w:rPr>
        <w:t xml:space="preserve">inadequate </w:t>
      </w:r>
      <w:r w:rsidRPr="00426244">
        <w:rPr>
          <w:szCs w:val="24"/>
        </w:rPr>
        <w:t>coast</w:t>
      </w:r>
      <w:r>
        <w:rPr>
          <w:szCs w:val="24"/>
        </w:rPr>
        <w:t xml:space="preserve">al protection system </w:t>
      </w:r>
      <w:r w:rsidRPr="00426244">
        <w:rPr>
          <w:szCs w:val="24"/>
        </w:rPr>
        <w:t xml:space="preserve">are aggravating the situation. Furthermore, triangular shape at the head of the Bay of Bengal, which helps to funnel sea water pushed by the wind towards the coast, causing further surge amplification; Meghna-estuarine region is facing the most surge amplifications. </w:t>
      </w:r>
    </w:p>
    <w:p w:rsidR="00AC42C7" w:rsidRDefault="00AC42C7" w:rsidP="00AC42C7">
      <w:pPr>
        <w:spacing w:line="276" w:lineRule="auto"/>
        <w:jc w:val="both"/>
        <w:rPr>
          <w:szCs w:val="24"/>
        </w:rPr>
      </w:pPr>
      <w:r w:rsidRPr="00426244">
        <w:rPr>
          <w:szCs w:val="24"/>
        </w:rPr>
        <w:t>In general, it has been observed that the frequency of a 10 m</w:t>
      </w:r>
      <w:r w:rsidR="008C67BF">
        <w:rPr>
          <w:szCs w:val="24"/>
        </w:rPr>
        <w:t>eter</w:t>
      </w:r>
      <w:r w:rsidRPr="00426244">
        <w:rPr>
          <w:szCs w:val="24"/>
        </w:rPr>
        <w:t xml:space="preserve"> high wave (surge plus tide) along </w:t>
      </w:r>
      <w:r w:rsidR="008C67BF">
        <w:rPr>
          <w:szCs w:val="24"/>
        </w:rPr>
        <w:t xml:space="preserve">the </w:t>
      </w:r>
      <w:r w:rsidRPr="00426244">
        <w:rPr>
          <w:szCs w:val="24"/>
        </w:rPr>
        <w:t>Banglad</w:t>
      </w:r>
      <w:r w:rsidR="00E11EE9">
        <w:rPr>
          <w:szCs w:val="24"/>
        </w:rPr>
        <w:t>esh coast occurs</w:t>
      </w:r>
      <w:r w:rsidRPr="00426244">
        <w:rPr>
          <w:szCs w:val="24"/>
        </w:rPr>
        <w:t xml:space="preserve"> about once every 20 years, while a wave with a 7 m</w:t>
      </w:r>
      <w:r w:rsidR="008C67BF">
        <w:rPr>
          <w:szCs w:val="24"/>
        </w:rPr>
        <w:t>eter</w:t>
      </w:r>
      <w:r w:rsidRPr="00426244">
        <w:rPr>
          <w:szCs w:val="24"/>
        </w:rPr>
        <w:t xml:space="preserve"> height</w:t>
      </w:r>
      <w:r w:rsidRPr="004B30D5">
        <w:rPr>
          <w:szCs w:val="24"/>
        </w:rPr>
        <w:t xml:space="preserve"> </w:t>
      </w:r>
      <w:r w:rsidRPr="00426244">
        <w:rPr>
          <w:szCs w:val="24"/>
        </w:rPr>
        <w:t>occurs about once in 5 years.</w:t>
      </w:r>
    </w:p>
    <w:p w:rsidR="002C41C1" w:rsidRDefault="002C41C1">
      <w:pPr>
        <w:rPr>
          <w:b/>
          <w:bCs/>
          <w:szCs w:val="24"/>
          <w:lang w:bidi="bn-BD"/>
        </w:rPr>
      </w:pPr>
      <w:r>
        <w:rPr>
          <w:b/>
          <w:bCs/>
          <w:szCs w:val="24"/>
          <w:lang w:bidi="bn-BD"/>
        </w:rPr>
        <w:br w:type="page"/>
      </w:r>
    </w:p>
    <w:p w:rsidR="00AC42C7" w:rsidRPr="00426244" w:rsidRDefault="00AC42C7" w:rsidP="00181D96">
      <w:pPr>
        <w:pStyle w:val="Heading6"/>
      </w:pPr>
      <w:bookmarkStart w:id="42" w:name="_Toc474639290"/>
      <w:r>
        <w:rPr>
          <w:lang w:bidi="bn-BD"/>
        </w:rPr>
        <w:lastRenderedPageBreak/>
        <w:t>Map</w:t>
      </w:r>
      <w:r w:rsidR="00315DB6">
        <w:rPr>
          <w:lang w:bidi="bn-BD"/>
        </w:rPr>
        <w:t xml:space="preserve"> 1</w:t>
      </w:r>
      <w:r w:rsidR="002E3EFB">
        <w:rPr>
          <w:lang w:bidi="bn-BD"/>
        </w:rPr>
        <w:t>.10</w:t>
      </w:r>
      <w:r w:rsidRPr="00426244">
        <w:rPr>
          <w:lang w:bidi="bn-BD"/>
        </w:rPr>
        <w:t>: Risk from M</w:t>
      </w:r>
      <w:r>
        <w:rPr>
          <w:lang w:bidi="bn-BD"/>
        </w:rPr>
        <w:t>ajor Cyclones in 1960–2009</w:t>
      </w:r>
      <w:bookmarkEnd w:id="42"/>
    </w:p>
    <w:p w:rsidR="00AC42C7" w:rsidRPr="004B30D5" w:rsidRDefault="00AC42C7" w:rsidP="00AC42C7">
      <w:pPr>
        <w:spacing w:after="0"/>
        <w:jc w:val="center"/>
        <w:rPr>
          <w:szCs w:val="24"/>
        </w:rPr>
      </w:pPr>
      <w:r w:rsidRPr="004B30D5">
        <w:rPr>
          <w:noProof/>
          <w:szCs w:val="24"/>
          <w:lang w:val="en-AU" w:eastAsia="en-AU" w:bidi="bn-BD"/>
        </w:rPr>
        <w:drawing>
          <wp:inline distT="0" distB="0" distL="0" distR="0">
            <wp:extent cx="5429250" cy="3038475"/>
            <wp:effectExtent l="0" t="0" r="0" b="9525"/>
            <wp:docPr id="214"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0" cy="3038475"/>
                    </a:xfrm>
                    <a:prstGeom prst="rect">
                      <a:avLst/>
                    </a:prstGeom>
                    <a:noFill/>
                    <a:ln>
                      <a:noFill/>
                    </a:ln>
                  </pic:spPr>
                </pic:pic>
              </a:graphicData>
            </a:graphic>
          </wp:inline>
        </w:drawing>
      </w:r>
    </w:p>
    <w:p w:rsidR="00AC42C7" w:rsidRPr="00C551E1" w:rsidRDefault="00AC42C7" w:rsidP="00AC42C7">
      <w:pPr>
        <w:autoSpaceDE w:val="0"/>
        <w:autoSpaceDN w:val="0"/>
        <w:adjustRightInd w:val="0"/>
        <w:ind w:left="360"/>
        <w:jc w:val="both"/>
        <w:rPr>
          <w:b/>
          <w:i/>
          <w:iCs/>
          <w:sz w:val="20"/>
          <w:szCs w:val="24"/>
          <w:lang w:bidi="bn-BD"/>
        </w:rPr>
      </w:pPr>
      <w:r w:rsidRPr="00C551E1">
        <w:rPr>
          <w:b/>
          <w:i/>
          <w:iCs/>
          <w:sz w:val="20"/>
          <w:szCs w:val="24"/>
          <w:lang w:bidi="bn-BD"/>
        </w:rPr>
        <w:t>Source: IWM</w:t>
      </w:r>
    </w:p>
    <w:p w:rsidR="00AC42C7" w:rsidRPr="00426244" w:rsidRDefault="00AC42C7" w:rsidP="00AC42C7">
      <w:pPr>
        <w:spacing w:line="276" w:lineRule="auto"/>
        <w:jc w:val="both"/>
        <w:rPr>
          <w:szCs w:val="24"/>
        </w:rPr>
      </w:pPr>
      <w:r w:rsidRPr="00426244">
        <w:rPr>
          <w:szCs w:val="24"/>
        </w:rPr>
        <w:t xml:space="preserve">Previous records indicate that the greatest damage during cyclones has resulted from the inundation caused by cyclone-induced storm surges. </w:t>
      </w:r>
      <w:r w:rsidR="00E11EE9">
        <w:rPr>
          <w:szCs w:val="24"/>
        </w:rPr>
        <w:t xml:space="preserve">Table 1.7 shows the relationship between wind velocity, </w:t>
      </w:r>
      <w:r w:rsidR="00376FBF">
        <w:rPr>
          <w:szCs w:val="24"/>
        </w:rPr>
        <w:t>strong</w:t>
      </w:r>
      <w:r w:rsidR="00E11EE9">
        <w:rPr>
          <w:szCs w:val="24"/>
        </w:rPr>
        <w:t xml:space="preserve"> surge height and the inundation span from coastline. </w:t>
      </w:r>
      <w:r w:rsidRPr="00426244">
        <w:rPr>
          <w:szCs w:val="24"/>
        </w:rPr>
        <w:t xml:space="preserve">Though time-series records of storm-surge height are scarce, existing literature indicates a 1.5 m to 9 m height range during various severe </w:t>
      </w:r>
      <w:r>
        <w:rPr>
          <w:szCs w:val="24"/>
        </w:rPr>
        <w:t>cyclones</w:t>
      </w:r>
      <w:r w:rsidRPr="00426244">
        <w:rPr>
          <w:szCs w:val="24"/>
        </w:rPr>
        <w:t xml:space="preserve">. </w:t>
      </w:r>
    </w:p>
    <w:p w:rsidR="00AC42C7" w:rsidRPr="00426244" w:rsidRDefault="00315DB6" w:rsidP="00181D96">
      <w:pPr>
        <w:pStyle w:val="Heading4"/>
      </w:pPr>
      <w:bookmarkStart w:id="43" w:name="_Toc474638978"/>
      <w:r>
        <w:t>Table 1.7</w:t>
      </w:r>
      <w:r w:rsidR="00AC42C7" w:rsidRPr="00426244">
        <w:t>:  Typical Storm Surge Inundation Characteristics for cyclones of Varying Strength in Bangladesh</w:t>
      </w:r>
      <w:bookmarkEnd w:id="43"/>
    </w:p>
    <w:tbl>
      <w:tblPr>
        <w:tblW w:w="5000" w:type="pct"/>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tblPr>
      <w:tblGrid>
        <w:gridCol w:w="2536"/>
        <w:gridCol w:w="2704"/>
        <w:gridCol w:w="4336"/>
      </w:tblGrid>
      <w:tr w:rsidR="00AC42C7" w:rsidRPr="00426244" w:rsidTr="008559E9">
        <w:trPr>
          <w:trHeight w:hRule="exact" w:val="595"/>
          <w:tblHeader/>
          <w:jc w:val="center"/>
        </w:trPr>
        <w:tc>
          <w:tcPr>
            <w:tcW w:w="1324" w:type="pct"/>
            <w:tcBorders>
              <w:top w:val="single" w:sz="4" w:space="0" w:color="4472C4"/>
              <w:left w:val="single" w:sz="4" w:space="0" w:color="4472C4"/>
              <w:bottom w:val="single" w:sz="4" w:space="0" w:color="4472C4"/>
              <w:right w:val="nil"/>
            </w:tcBorders>
            <w:shd w:val="clear" w:color="auto" w:fill="4472C4"/>
            <w:vAlign w:val="center"/>
          </w:tcPr>
          <w:p w:rsidR="00AC42C7" w:rsidRPr="00426244" w:rsidRDefault="00AC42C7" w:rsidP="008559E9">
            <w:pPr>
              <w:spacing w:after="0" w:line="240" w:lineRule="auto"/>
              <w:jc w:val="center"/>
              <w:rPr>
                <w:b/>
                <w:bCs/>
                <w:color w:val="FFFFFF"/>
                <w:szCs w:val="24"/>
              </w:rPr>
            </w:pPr>
            <w:r>
              <w:rPr>
                <w:b/>
                <w:bCs/>
                <w:color w:val="FFFFFF"/>
                <w:szCs w:val="24"/>
              </w:rPr>
              <w:t xml:space="preserve">Wind </w:t>
            </w:r>
            <w:r w:rsidRPr="00426244">
              <w:rPr>
                <w:b/>
                <w:bCs/>
                <w:color w:val="FFFFFF"/>
                <w:szCs w:val="24"/>
              </w:rPr>
              <w:t>Velocity (km/hr)</w:t>
            </w:r>
          </w:p>
        </w:tc>
        <w:tc>
          <w:tcPr>
            <w:tcW w:w="1412" w:type="pct"/>
            <w:tcBorders>
              <w:top w:val="single" w:sz="4" w:space="0" w:color="4472C4"/>
              <w:left w:val="nil"/>
              <w:bottom w:val="single" w:sz="4" w:space="0" w:color="4472C4"/>
              <w:right w:val="nil"/>
            </w:tcBorders>
            <w:shd w:val="clear" w:color="auto" w:fill="4472C4"/>
            <w:vAlign w:val="center"/>
          </w:tcPr>
          <w:p w:rsidR="00AC42C7" w:rsidRPr="00426244" w:rsidRDefault="00AC42C7" w:rsidP="008559E9">
            <w:pPr>
              <w:spacing w:after="0" w:line="240" w:lineRule="auto"/>
              <w:jc w:val="center"/>
              <w:rPr>
                <w:b/>
                <w:bCs/>
                <w:color w:val="FFFFFF"/>
                <w:szCs w:val="24"/>
              </w:rPr>
            </w:pPr>
            <w:r w:rsidRPr="00426244">
              <w:rPr>
                <w:b/>
                <w:bCs/>
                <w:color w:val="FFFFFF"/>
                <w:szCs w:val="24"/>
              </w:rPr>
              <w:t>Storm Surge Height (m)</w:t>
            </w:r>
          </w:p>
        </w:tc>
        <w:tc>
          <w:tcPr>
            <w:tcW w:w="2264" w:type="pct"/>
            <w:tcBorders>
              <w:top w:val="single" w:sz="4" w:space="0" w:color="4472C4"/>
              <w:left w:val="nil"/>
              <w:bottom w:val="single" w:sz="4" w:space="0" w:color="4472C4"/>
              <w:right w:val="single" w:sz="4" w:space="0" w:color="4472C4"/>
            </w:tcBorders>
            <w:shd w:val="clear" w:color="auto" w:fill="4472C4"/>
            <w:vAlign w:val="center"/>
          </w:tcPr>
          <w:p w:rsidR="00AC42C7" w:rsidRPr="00426244" w:rsidRDefault="00AC42C7" w:rsidP="008559E9">
            <w:pPr>
              <w:spacing w:after="0" w:line="240" w:lineRule="auto"/>
              <w:jc w:val="center"/>
              <w:rPr>
                <w:b/>
                <w:bCs/>
                <w:color w:val="FFFFFF"/>
                <w:szCs w:val="24"/>
              </w:rPr>
            </w:pPr>
            <w:r w:rsidRPr="00426244">
              <w:rPr>
                <w:b/>
                <w:bCs/>
                <w:color w:val="FFFFFF"/>
                <w:szCs w:val="24"/>
              </w:rPr>
              <w:t>Limit to Inundation from Coastline (km)</w:t>
            </w:r>
          </w:p>
        </w:tc>
      </w:tr>
      <w:tr w:rsidR="00AC42C7" w:rsidRPr="00426244" w:rsidTr="008559E9">
        <w:trPr>
          <w:trHeight w:hRule="exact" w:val="288"/>
          <w:jc w:val="center"/>
        </w:trPr>
        <w:tc>
          <w:tcPr>
            <w:tcW w:w="1324" w:type="pct"/>
            <w:shd w:val="clear" w:color="auto" w:fill="D9E2F3"/>
            <w:vAlign w:val="center"/>
          </w:tcPr>
          <w:p w:rsidR="00AC42C7" w:rsidRPr="00426244" w:rsidRDefault="00AC42C7" w:rsidP="008559E9">
            <w:pPr>
              <w:spacing w:after="0" w:line="240" w:lineRule="auto"/>
              <w:jc w:val="center"/>
              <w:rPr>
                <w:b/>
                <w:bCs/>
                <w:szCs w:val="24"/>
              </w:rPr>
            </w:pPr>
            <w:r w:rsidRPr="00426244">
              <w:rPr>
                <w:b/>
                <w:bCs/>
                <w:szCs w:val="24"/>
              </w:rPr>
              <w:t>85</w:t>
            </w:r>
          </w:p>
        </w:tc>
        <w:tc>
          <w:tcPr>
            <w:tcW w:w="1412" w:type="pct"/>
            <w:shd w:val="clear" w:color="auto" w:fill="D9E2F3"/>
            <w:vAlign w:val="center"/>
          </w:tcPr>
          <w:p w:rsidR="00AC42C7" w:rsidRPr="00426244" w:rsidRDefault="00AC42C7" w:rsidP="008559E9">
            <w:pPr>
              <w:spacing w:after="0" w:line="240" w:lineRule="auto"/>
              <w:jc w:val="center"/>
              <w:rPr>
                <w:szCs w:val="24"/>
              </w:rPr>
            </w:pPr>
            <w:r w:rsidRPr="00426244">
              <w:rPr>
                <w:szCs w:val="24"/>
              </w:rPr>
              <w:t>1.5</w:t>
            </w:r>
          </w:p>
        </w:tc>
        <w:tc>
          <w:tcPr>
            <w:tcW w:w="2264" w:type="pct"/>
            <w:shd w:val="clear" w:color="auto" w:fill="D9E2F3"/>
            <w:vAlign w:val="center"/>
          </w:tcPr>
          <w:p w:rsidR="00AC42C7" w:rsidRPr="00426244" w:rsidRDefault="00AC42C7" w:rsidP="008559E9">
            <w:pPr>
              <w:spacing w:after="0" w:line="240" w:lineRule="auto"/>
              <w:jc w:val="center"/>
              <w:rPr>
                <w:szCs w:val="24"/>
              </w:rPr>
            </w:pPr>
            <w:r w:rsidRPr="00426244">
              <w:rPr>
                <w:szCs w:val="24"/>
              </w:rPr>
              <w:t>1.0</w:t>
            </w:r>
          </w:p>
        </w:tc>
      </w:tr>
      <w:tr w:rsidR="00AC42C7" w:rsidRPr="00426244" w:rsidTr="008559E9">
        <w:trPr>
          <w:trHeight w:hRule="exact" w:val="288"/>
          <w:jc w:val="center"/>
        </w:trPr>
        <w:tc>
          <w:tcPr>
            <w:tcW w:w="1324" w:type="pct"/>
            <w:shd w:val="clear" w:color="auto" w:fill="auto"/>
            <w:vAlign w:val="center"/>
          </w:tcPr>
          <w:p w:rsidR="00AC42C7" w:rsidRPr="00426244" w:rsidRDefault="00AC42C7" w:rsidP="008559E9">
            <w:pPr>
              <w:spacing w:after="0" w:line="240" w:lineRule="auto"/>
              <w:jc w:val="center"/>
              <w:rPr>
                <w:b/>
                <w:bCs/>
                <w:szCs w:val="24"/>
              </w:rPr>
            </w:pPr>
            <w:r w:rsidRPr="00426244">
              <w:rPr>
                <w:b/>
                <w:bCs/>
                <w:szCs w:val="24"/>
              </w:rPr>
              <w:t>115</w:t>
            </w:r>
          </w:p>
        </w:tc>
        <w:tc>
          <w:tcPr>
            <w:tcW w:w="1412" w:type="pct"/>
            <w:shd w:val="clear" w:color="auto" w:fill="auto"/>
            <w:vAlign w:val="center"/>
          </w:tcPr>
          <w:p w:rsidR="00AC42C7" w:rsidRPr="00426244" w:rsidRDefault="00AC42C7" w:rsidP="008559E9">
            <w:pPr>
              <w:spacing w:after="0" w:line="240" w:lineRule="auto"/>
              <w:jc w:val="center"/>
              <w:rPr>
                <w:szCs w:val="24"/>
              </w:rPr>
            </w:pPr>
            <w:r w:rsidRPr="00426244">
              <w:rPr>
                <w:szCs w:val="24"/>
              </w:rPr>
              <w:t>2.5</w:t>
            </w:r>
          </w:p>
        </w:tc>
        <w:tc>
          <w:tcPr>
            <w:tcW w:w="2264" w:type="pct"/>
            <w:shd w:val="clear" w:color="auto" w:fill="auto"/>
            <w:vAlign w:val="center"/>
          </w:tcPr>
          <w:p w:rsidR="00AC42C7" w:rsidRPr="00426244" w:rsidRDefault="00AC42C7" w:rsidP="008559E9">
            <w:pPr>
              <w:spacing w:after="0" w:line="240" w:lineRule="auto"/>
              <w:jc w:val="center"/>
              <w:rPr>
                <w:szCs w:val="24"/>
              </w:rPr>
            </w:pPr>
            <w:r w:rsidRPr="00426244">
              <w:rPr>
                <w:szCs w:val="24"/>
              </w:rPr>
              <w:t>1.0</w:t>
            </w:r>
          </w:p>
        </w:tc>
      </w:tr>
      <w:tr w:rsidR="00AC42C7" w:rsidRPr="00426244" w:rsidTr="008559E9">
        <w:trPr>
          <w:trHeight w:hRule="exact" w:val="288"/>
          <w:jc w:val="center"/>
        </w:trPr>
        <w:tc>
          <w:tcPr>
            <w:tcW w:w="1324" w:type="pct"/>
            <w:shd w:val="clear" w:color="auto" w:fill="D9E2F3"/>
            <w:vAlign w:val="center"/>
          </w:tcPr>
          <w:p w:rsidR="00AC42C7" w:rsidRPr="00426244" w:rsidRDefault="00AC42C7" w:rsidP="008559E9">
            <w:pPr>
              <w:spacing w:after="0" w:line="240" w:lineRule="auto"/>
              <w:jc w:val="center"/>
              <w:rPr>
                <w:b/>
                <w:bCs/>
                <w:szCs w:val="24"/>
              </w:rPr>
            </w:pPr>
            <w:r w:rsidRPr="00426244">
              <w:rPr>
                <w:b/>
                <w:bCs/>
                <w:szCs w:val="24"/>
              </w:rPr>
              <w:t>135</w:t>
            </w:r>
          </w:p>
        </w:tc>
        <w:tc>
          <w:tcPr>
            <w:tcW w:w="1412" w:type="pct"/>
            <w:shd w:val="clear" w:color="auto" w:fill="D9E2F3"/>
            <w:vAlign w:val="center"/>
          </w:tcPr>
          <w:p w:rsidR="00AC42C7" w:rsidRPr="00426244" w:rsidRDefault="00AC42C7" w:rsidP="008559E9">
            <w:pPr>
              <w:spacing w:after="0" w:line="240" w:lineRule="auto"/>
              <w:jc w:val="center"/>
              <w:rPr>
                <w:szCs w:val="24"/>
              </w:rPr>
            </w:pPr>
            <w:r w:rsidRPr="00426244">
              <w:rPr>
                <w:szCs w:val="24"/>
              </w:rPr>
              <w:t>3.0</w:t>
            </w:r>
          </w:p>
        </w:tc>
        <w:tc>
          <w:tcPr>
            <w:tcW w:w="2264" w:type="pct"/>
            <w:shd w:val="clear" w:color="auto" w:fill="D9E2F3"/>
            <w:vAlign w:val="center"/>
          </w:tcPr>
          <w:p w:rsidR="00AC42C7" w:rsidRPr="00426244" w:rsidRDefault="00AC42C7" w:rsidP="008559E9">
            <w:pPr>
              <w:spacing w:after="0" w:line="240" w:lineRule="auto"/>
              <w:jc w:val="center"/>
              <w:rPr>
                <w:szCs w:val="24"/>
              </w:rPr>
            </w:pPr>
            <w:r w:rsidRPr="00426244">
              <w:rPr>
                <w:szCs w:val="24"/>
              </w:rPr>
              <w:t>1.5</w:t>
            </w:r>
          </w:p>
        </w:tc>
      </w:tr>
      <w:tr w:rsidR="00AC42C7" w:rsidRPr="00426244" w:rsidTr="008559E9">
        <w:trPr>
          <w:trHeight w:hRule="exact" w:val="288"/>
          <w:jc w:val="center"/>
        </w:trPr>
        <w:tc>
          <w:tcPr>
            <w:tcW w:w="1324" w:type="pct"/>
            <w:shd w:val="clear" w:color="auto" w:fill="auto"/>
            <w:vAlign w:val="center"/>
          </w:tcPr>
          <w:p w:rsidR="00AC42C7" w:rsidRPr="00426244" w:rsidRDefault="00AC42C7" w:rsidP="008559E9">
            <w:pPr>
              <w:spacing w:after="0" w:line="240" w:lineRule="auto"/>
              <w:jc w:val="center"/>
              <w:rPr>
                <w:b/>
                <w:bCs/>
                <w:szCs w:val="24"/>
              </w:rPr>
            </w:pPr>
            <w:r w:rsidRPr="00426244">
              <w:rPr>
                <w:b/>
                <w:bCs/>
                <w:szCs w:val="24"/>
              </w:rPr>
              <w:t>165</w:t>
            </w:r>
          </w:p>
        </w:tc>
        <w:tc>
          <w:tcPr>
            <w:tcW w:w="1412" w:type="pct"/>
            <w:shd w:val="clear" w:color="auto" w:fill="auto"/>
            <w:vAlign w:val="center"/>
          </w:tcPr>
          <w:p w:rsidR="00AC42C7" w:rsidRPr="00426244" w:rsidRDefault="00AC42C7" w:rsidP="008559E9">
            <w:pPr>
              <w:spacing w:after="0" w:line="240" w:lineRule="auto"/>
              <w:jc w:val="center"/>
              <w:rPr>
                <w:szCs w:val="24"/>
              </w:rPr>
            </w:pPr>
            <w:r w:rsidRPr="00426244">
              <w:rPr>
                <w:szCs w:val="24"/>
              </w:rPr>
              <w:t>3.5</w:t>
            </w:r>
          </w:p>
        </w:tc>
        <w:tc>
          <w:tcPr>
            <w:tcW w:w="2264" w:type="pct"/>
            <w:shd w:val="clear" w:color="auto" w:fill="auto"/>
            <w:vAlign w:val="center"/>
          </w:tcPr>
          <w:p w:rsidR="00AC42C7" w:rsidRPr="00426244" w:rsidRDefault="00AC42C7" w:rsidP="008559E9">
            <w:pPr>
              <w:spacing w:after="0" w:line="240" w:lineRule="auto"/>
              <w:jc w:val="center"/>
              <w:rPr>
                <w:szCs w:val="24"/>
              </w:rPr>
            </w:pPr>
            <w:r w:rsidRPr="00426244">
              <w:rPr>
                <w:szCs w:val="24"/>
              </w:rPr>
              <w:t>2.0</w:t>
            </w:r>
          </w:p>
        </w:tc>
      </w:tr>
      <w:tr w:rsidR="00AC42C7" w:rsidRPr="00426244" w:rsidTr="008559E9">
        <w:trPr>
          <w:trHeight w:hRule="exact" w:val="288"/>
          <w:jc w:val="center"/>
        </w:trPr>
        <w:tc>
          <w:tcPr>
            <w:tcW w:w="1324" w:type="pct"/>
            <w:shd w:val="clear" w:color="auto" w:fill="D9E2F3"/>
            <w:vAlign w:val="center"/>
          </w:tcPr>
          <w:p w:rsidR="00AC42C7" w:rsidRPr="00426244" w:rsidRDefault="00AC42C7" w:rsidP="008559E9">
            <w:pPr>
              <w:spacing w:after="0" w:line="240" w:lineRule="auto"/>
              <w:jc w:val="center"/>
              <w:rPr>
                <w:b/>
                <w:bCs/>
                <w:szCs w:val="24"/>
              </w:rPr>
            </w:pPr>
            <w:r w:rsidRPr="00426244">
              <w:rPr>
                <w:b/>
                <w:bCs/>
                <w:szCs w:val="24"/>
              </w:rPr>
              <w:t>195</w:t>
            </w:r>
          </w:p>
        </w:tc>
        <w:tc>
          <w:tcPr>
            <w:tcW w:w="1412" w:type="pct"/>
            <w:shd w:val="clear" w:color="auto" w:fill="D9E2F3"/>
            <w:vAlign w:val="center"/>
          </w:tcPr>
          <w:p w:rsidR="00AC42C7" w:rsidRPr="00426244" w:rsidRDefault="00AC42C7" w:rsidP="008559E9">
            <w:pPr>
              <w:spacing w:after="0" w:line="240" w:lineRule="auto"/>
              <w:jc w:val="center"/>
              <w:rPr>
                <w:szCs w:val="24"/>
              </w:rPr>
            </w:pPr>
            <w:r w:rsidRPr="00426244">
              <w:rPr>
                <w:szCs w:val="24"/>
              </w:rPr>
              <w:t>4.8</w:t>
            </w:r>
          </w:p>
        </w:tc>
        <w:tc>
          <w:tcPr>
            <w:tcW w:w="2264" w:type="pct"/>
            <w:shd w:val="clear" w:color="auto" w:fill="D9E2F3"/>
            <w:vAlign w:val="center"/>
          </w:tcPr>
          <w:p w:rsidR="00AC42C7" w:rsidRPr="00426244" w:rsidRDefault="00AC42C7" w:rsidP="008559E9">
            <w:pPr>
              <w:spacing w:after="0" w:line="240" w:lineRule="auto"/>
              <w:jc w:val="center"/>
              <w:rPr>
                <w:szCs w:val="24"/>
              </w:rPr>
            </w:pPr>
            <w:r w:rsidRPr="00426244">
              <w:rPr>
                <w:szCs w:val="24"/>
              </w:rPr>
              <w:t>4.0</w:t>
            </w:r>
          </w:p>
        </w:tc>
      </w:tr>
      <w:tr w:rsidR="00AC42C7" w:rsidRPr="00426244" w:rsidTr="008559E9">
        <w:trPr>
          <w:trHeight w:hRule="exact" w:val="288"/>
          <w:jc w:val="center"/>
        </w:trPr>
        <w:tc>
          <w:tcPr>
            <w:tcW w:w="1324" w:type="pct"/>
            <w:shd w:val="clear" w:color="auto" w:fill="auto"/>
            <w:vAlign w:val="center"/>
          </w:tcPr>
          <w:p w:rsidR="00AC42C7" w:rsidRPr="00426244" w:rsidRDefault="00AC42C7" w:rsidP="008559E9">
            <w:pPr>
              <w:spacing w:after="0" w:line="240" w:lineRule="auto"/>
              <w:jc w:val="center"/>
              <w:rPr>
                <w:b/>
                <w:bCs/>
                <w:szCs w:val="24"/>
              </w:rPr>
            </w:pPr>
            <w:r w:rsidRPr="00426244">
              <w:rPr>
                <w:b/>
                <w:bCs/>
                <w:szCs w:val="24"/>
              </w:rPr>
              <w:t>225</w:t>
            </w:r>
          </w:p>
        </w:tc>
        <w:tc>
          <w:tcPr>
            <w:tcW w:w="1412" w:type="pct"/>
            <w:shd w:val="clear" w:color="auto" w:fill="auto"/>
            <w:vAlign w:val="center"/>
          </w:tcPr>
          <w:p w:rsidR="00AC42C7" w:rsidRPr="00426244" w:rsidRDefault="00AC42C7" w:rsidP="008559E9">
            <w:pPr>
              <w:spacing w:after="0" w:line="240" w:lineRule="auto"/>
              <w:jc w:val="center"/>
              <w:rPr>
                <w:szCs w:val="24"/>
              </w:rPr>
            </w:pPr>
            <w:r w:rsidRPr="00426244">
              <w:rPr>
                <w:szCs w:val="24"/>
              </w:rPr>
              <w:t>6.0</w:t>
            </w:r>
          </w:p>
        </w:tc>
        <w:tc>
          <w:tcPr>
            <w:tcW w:w="2264" w:type="pct"/>
            <w:shd w:val="clear" w:color="auto" w:fill="auto"/>
            <w:vAlign w:val="center"/>
          </w:tcPr>
          <w:p w:rsidR="00AC42C7" w:rsidRPr="00426244" w:rsidRDefault="00AC42C7" w:rsidP="008559E9">
            <w:pPr>
              <w:spacing w:after="0" w:line="240" w:lineRule="auto"/>
              <w:jc w:val="center"/>
              <w:rPr>
                <w:szCs w:val="24"/>
              </w:rPr>
            </w:pPr>
            <w:r w:rsidRPr="00426244">
              <w:rPr>
                <w:szCs w:val="24"/>
              </w:rPr>
              <w:t>4.5</w:t>
            </w:r>
          </w:p>
        </w:tc>
      </w:tr>
      <w:tr w:rsidR="00AC42C7" w:rsidRPr="00426244" w:rsidTr="008559E9">
        <w:trPr>
          <w:trHeight w:hRule="exact" w:val="288"/>
          <w:jc w:val="center"/>
        </w:trPr>
        <w:tc>
          <w:tcPr>
            <w:tcW w:w="1324" w:type="pct"/>
            <w:shd w:val="clear" w:color="auto" w:fill="D9E2F3"/>
            <w:vAlign w:val="center"/>
          </w:tcPr>
          <w:p w:rsidR="00AC42C7" w:rsidRPr="00426244" w:rsidRDefault="00AC42C7" w:rsidP="008559E9">
            <w:pPr>
              <w:spacing w:after="0" w:line="240" w:lineRule="auto"/>
              <w:jc w:val="center"/>
              <w:rPr>
                <w:b/>
                <w:bCs/>
                <w:szCs w:val="24"/>
              </w:rPr>
            </w:pPr>
            <w:r w:rsidRPr="00426244">
              <w:rPr>
                <w:b/>
                <w:bCs/>
                <w:szCs w:val="24"/>
              </w:rPr>
              <w:t>235</w:t>
            </w:r>
          </w:p>
        </w:tc>
        <w:tc>
          <w:tcPr>
            <w:tcW w:w="1412" w:type="pct"/>
            <w:shd w:val="clear" w:color="auto" w:fill="D9E2F3"/>
            <w:vAlign w:val="center"/>
          </w:tcPr>
          <w:p w:rsidR="00AC42C7" w:rsidRPr="00426244" w:rsidRDefault="00AC42C7" w:rsidP="008559E9">
            <w:pPr>
              <w:spacing w:after="0" w:line="240" w:lineRule="auto"/>
              <w:jc w:val="center"/>
              <w:rPr>
                <w:szCs w:val="24"/>
              </w:rPr>
            </w:pPr>
            <w:r w:rsidRPr="00426244">
              <w:rPr>
                <w:szCs w:val="24"/>
              </w:rPr>
              <w:t>6.5</w:t>
            </w:r>
          </w:p>
        </w:tc>
        <w:tc>
          <w:tcPr>
            <w:tcW w:w="2264" w:type="pct"/>
            <w:shd w:val="clear" w:color="auto" w:fill="D9E2F3"/>
            <w:vAlign w:val="center"/>
          </w:tcPr>
          <w:p w:rsidR="00AC42C7" w:rsidRPr="00426244" w:rsidRDefault="00AC42C7" w:rsidP="008559E9">
            <w:pPr>
              <w:spacing w:after="0" w:line="240" w:lineRule="auto"/>
              <w:jc w:val="center"/>
              <w:rPr>
                <w:szCs w:val="24"/>
              </w:rPr>
            </w:pPr>
            <w:r w:rsidRPr="00426244">
              <w:rPr>
                <w:szCs w:val="24"/>
              </w:rPr>
              <w:t>5.0</w:t>
            </w:r>
          </w:p>
        </w:tc>
      </w:tr>
      <w:tr w:rsidR="00AC42C7" w:rsidRPr="00426244" w:rsidTr="008559E9">
        <w:trPr>
          <w:trHeight w:hRule="exact" w:val="288"/>
          <w:jc w:val="center"/>
        </w:trPr>
        <w:tc>
          <w:tcPr>
            <w:tcW w:w="1324" w:type="pct"/>
            <w:shd w:val="clear" w:color="auto" w:fill="auto"/>
            <w:vAlign w:val="center"/>
          </w:tcPr>
          <w:p w:rsidR="00AC42C7" w:rsidRPr="00426244" w:rsidRDefault="00AC42C7" w:rsidP="008559E9">
            <w:pPr>
              <w:spacing w:after="0" w:line="240" w:lineRule="auto"/>
              <w:jc w:val="center"/>
              <w:rPr>
                <w:b/>
                <w:bCs/>
                <w:szCs w:val="24"/>
              </w:rPr>
            </w:pPr>
            <w:r w:rsidRPr="00426244">
              <w:rPr>
                <w:b/>
                <w:bCs/>
                <w:szCs w:val="24"/>
              </w:rPr>
              <w:t>260</w:t>
            </w:r>
          </w:p>
        </w:tc>
        <w:tc>
          <w:tcPr>
            <w:tcW w:w="1412" w:type="pct"/>
            <w:shd w:val="clear" w:color="auto" w:fill="auto"/>
            <w:vAlign w:val="center"/>
          </w:tcPr>
          <w:p w:rsidR="00AC42C7" w:rsidRPr="00426244" w:rsidRDefault="00AC42C7" w:rsidP="008559E9">
            <w:pPr>
              <w:spacing w:after="0" w:line="240" w:lineRule="auto"/>
              <w:jc w:val="center"/>
              <w:rPr>
                <w:szCs w:val="24"/>
              </w:rPr>
            </w:pPr>
            <w:r w:rsidRPr="00426244">
              <w:rPr>
                <w:szCs w:val="24"/>
              </w:rPr>
              <w:t>7.8</w:t>
            </w:r>
          </w:p>
        </w:tc>
        <w:tc>
          <w:tcPr>
            <w:tcW w:w="2264" w:type="pct"/>
            <w:shd w:val="clear" w:color="auto" w:fill="auto"/>
            <w:vAlign w:val="center"/>
          </w:tcPr>
          <w:p w:rsidR="00AC42C7" w:rsidRPr="00426244" w:rsidRDefault="00AC42C7" w:rsidP="008559E9">
            <w:pPr>
              <w:spacing w:after="0" w:line="240" w:lineRule="auto"/>
              <w:jc w:val="center"/>
              <w:rPr>
                <w:szCs w:val="24"/>
              </w:rPr>
            </w:pPr>
            <w:r w:rsidRPr="00426244">
              <w:rPr>
                <w:szCs w:val="24"/>
              </w:rPr>
              <w:t>5.5</w:t>
            </w:r>
          </w:p>
        </w:tc>
      </w:tr>
    </w:tbl>
    <w:p w:rsidR="00F27151" w:rsidRDefault="00F27151" w:rsidP="0053282F">
      <w:pPr>
        <w:pStyle w:val="BodyText"/>
        <w:spacing w:before="120" w:after="240" w:line="276" w:lineRule="auto"/>
        <w:jc w:val="both"/>
        <w:rPr>
          <w:rFonts w:cs="Times New Roman"/>
          <w:szCs w:val="24"/>
        </w:rPr>
      </w:pPr>
      <w:r w:rsidRPr="0053282F">
        <w:rPr>
          <w:b/>
          <w:i/>
          <w:sz w:val="20"/>
        </w:rPr>
        <w:t xml:space="preserve">Source: </w:t>
      </w:r>
      <w:r w:rsidR="005918DC" w:rsidRPr="005918DC">
        <w:rPr>
          <w:b/>
          <w:i/>
          <w:sz w:val="20"/>
        </w:rPr>
        <w:t>Multi-purpose Cyclone Shelter project (MCSP)</w:t>
      </w:r>
      <w:r w:rsidR="005918DC" w:rsidRPr="005918DC" w:rsidDel="005918DC">
        <w:rPr>
          <w:b/>
          <w:i/>
          <w:sz w:val="20"/>
        </w:rPr>
        <w:t xml:space="preserve"> </w:t>
      </w:r>
    </w:p>
    <w:p w:rsidR="004B40BC" w:rsidRDefault="004B40BC">
      <w:pPr>
        <w:rPr>
          <w:rFonts w:eastAsia="Times New Roman" w:cs="Times New Roman"/>
          <w:b/>
          <w:szCs w:val="24"/>
          <w:lang w:val="en-GB" w:bidi="bn-BD"/>
        </w:rPr>
      </w:pPr>
      <w:r>
        <w:rPr>
          <w:lang w:bidi="bn-BD"/>
        </w:rPr>
        <w:br w:type="page"/>
      </w:r>
    </w:p>
    <w:p w:rsidR="00AC42C7" w:rsidRPr="00426244" w:rsidRDefault="00AC42C7" w:rsidP="0053282F">
      <w:pPr>
        <w:pStyle w:val="Heading6"/>
        <w:spacing w:after="0"/>
      </w:pPr>
      <w:bookmarkStart w:id="44" w:name="_Toc474639291"/>
      <w:r>
        <w:rPr>
          <w:lang w:bidi="bn-BD"/>
        </w:rPr>
        <w:lastRenderedPageBreak/>
        <w:t>Map</w:t>
      </w:r>
      <w:r w:rsidR="00315DB6">
        <w:rPr>
          <w:lang w:bidi="bn-BD"/>
        </w:rPr>
        <w:t xml:space="preserve"> 1</w:t>
      </w:r>
      <w:r w:rsidRPr="00426244">
        <w:rPr>
          <w:lang w:bidi="bn-BD"/>
        </w:rPr>
        <w:t>.1</w:t>
      </w:r>
      <w:r w:rsidR="0053282F">
        <w:rPr>
          <w:lang w:bidi="bn-BD"/>
        </w:rPr>
        <w:t>1</w:t>
      </w:r>
      <w:r w:rsidR="00357829">
        <w:rPr>
          <w:lang w:bidi="bn-BD"/>
        </w:rPr>
        <w:t xml:space="preserve">: High-risk </w:t>
      </w:r>
      <w:r w:rsidR="002E3EFB">
        <w:rPr>
          <w:lang w:bidi="bn-BD"/>
        </w:rPr>
        <w:t xml:space="preserve">Inundation Area for Cyclone-induced Storm Surge </w:t>
      </w:r>
      <w:r w:rsidR="00357829">
        <w:rPr>
          <w:lang w:bidi="bn-BD"/>
        </w:rPr>
        <w:t>by 2050 in Extreme Climate Change S</w:t>
      </w:r>
      <w:r w:rsidRPr="00426244">
        <w:rPr>
          <w:lang w:bidi="bn-BD"/>
        </w:rPr>
        <w:t>cenario</w:t>
      </w:r>
      <w:bookmarkEnd w:id="44"/>
    </w:p>
    <w:p w:rsidR="00AC42C7" w:rsidRPr="004B30D5" w:rsidRDefault="00AC42C7" w:rsidP="00AC42C7">
      <w:pPr>
        <w:spacing w:after="0" w:line="240" w:lineRule="auto"/>
        <w:ind w:left="187"/>
        <w:jc w:val="center"/>
        <w:rPr>
          <w:szCs w:val="24"/>
        </w:rPr>
      </w:pPr>
      <w:r w:rsidRPr="004B30D5">
        <w:rPr>
          <w:noProof/>
          <w:szCs w:val="24"/>
          <w:lang w:val="en-AU" w:eastAsia="en-AU" w:bidi="bn-BD"/>
        </w:rPr>
        <w:drawing>
          <wp:inline distT="0" distB="0" distL="0" distR="0">
            <wp:extent cx="5502214" cy="3714750"/>
            <wp:effectExtent l="0" t="0" r="3810" b="0"/>
            <wp:docPr id="216" name="Picture 216" descr="Stom su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om surge"/>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7341" cy="3718212"/>
                    </a:xfrm>
                    <a:prstGeom prst="rect">
                      <a:avLst/>
                    </a:prstGeom>
                    <a:noFill/>
                    <a:ln>
                      <a:noFill/>
                    </a:ln>
                  </pic:spPr>
                </pic:pic>
              </a:graphicData>
            </a:graphic>
          </wp:inline>
        </w:drawing>
      </w:r>
    </w:p>
    <w:p w:rsidR="00AC42C7" w:rsidRPr="00C551E1" w:rsidRDefault="00AC42C7" w:rsidP="00F27151">
      <w:pPr>
        <w:ind w:left="187" w:firstLine="533"/>
        <w:jc w:val="both"/>
        <w:rPr>
          <w:b/>
          <w:i/>
          <w:sz w:val="20"/>
          <w:szCs w:val="20"/>
          <w:lang w:bidi="bn-BD"/>
        </w:rPr>
      </w:pPr>
      <w:r w:rsidRPr="00C551E1">
        <w:rPr>
          <w:b/>
          <w:i/>
          <w:sz w:val="20"/>
          <w:szCs w:val="20"/>
          <w:lang w:bidi="bn-BD"/>
        </w:rPr>
        <w:t xml:space="preserve"> Source: Adopted from IWM</w:t>
      </w:r>
    </w:p>
    <w:p w:rsidR="00AC42C7" w:rsidRPr="00C551E1" w:rsidRDefault="00315DB6" w:rsidP="00181D96">
      <w:pPr>
        <w:pStyle w:val="Heading4"/>
      </w:pPr>
      <w:bookmarkStart w:id="45" w:name="_Toc474638979"/>
      <w:r>
        <w:t>Table 1.8</w:t>
      </w:r>
      <w:r w:rsidR="00AC42C7" w:rsidRPr="00C551E1">
        <w:t>:  Vulnerable areas in Bangladesh due to storm surge induced inundation</w:t>
      </w:r>
      <w:bookmarkEnd w:id="45"/>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2374"/>
        <w:gridCol w:w="2532"/>
        <w:gridCol w:w="3232"/>
        <w:gridCol w:w="1438"/>
      </w:tblGrid>
      <w:tr w:rsidR="00AC42C7" w:rsidRPr="00C551E1" w:rsidTr="005943E7">
        <w:trPr>
          <w:trHeight w:hRule="exact" w:val="720"/>
        </w:trPr>
        <w:tc>
          <w:tcPr>
            <w:tcW w:w="0" w:type="auto"/>
            <w:tcBorders>
              <w:top w:val="single" w:sz="4" w:space="0" w:color="FFFFFF"/>
              <w:left w:val="single" w:sz="4" w:space="0" w:color="FFFFFF"/>
              <w:right w:val="nil"/>
            </w:tcBorders>
            <w:shd w:val="clear" w:color="auto" w:fill="70AD47"/>
          </w:tcPr>
          <w:p w:rsidR="00AC42C7" w:rsidRPr="00C551E1" w:rsidRDefault="00AC42C7" w:rsidP="005943E7">
            <w:pPr>
              <w:spacing w:before="120" w:after="0"/>
              <w:jc w:val="center"/>
              <w:rPr>
                <w:b/>
                <w:bCs/>
                <w:color w:val="FFFFFF"/>
                <w:szCs w:val="24"/>
              </w:rPr>
            </w:pPr>
            <w:r w:rsidRPr="00C551E1">
              <w:rPr>
                <w:b/>
                <w:bCs/>
                <w:color w:val="FFFFFF"/>
                <w:szCs w:val="24"/>
              </w:rPr>
              <w:t>Inundation depth (m)</w:t>
            </w:r>
          </w:p>
        </w:tc>
        <w:tc>
          <w:tcPr>
            <w:tcW w:w="0" w:type="auto"/>
            <w:tcBorders>
              <w:top w:val="single" w:sz="4" w:space="0" w:color="FFFFFF"/>
              <w:left w:val="nil"/>
              <w:right w:val="nil"/>
            </w:tcBorders>
            <w:shd w:val="clear" w:color="auto" w:fill="70AD47"/>
          </w:tcPr>
          <w:p w:rsidR="00AC42C7" w:rsidRPr="00C551E1" w:rsidRDefault="00AC42C7" w:rsidP="005943E7">
            <w:pPr>
              <w:spacing w:before="120" w:after="0"/>
              <w:jc w:val="center"/>
              <w:rPr>
                <w:b/>
                <w:bCs/>
                <w:color w:val="FFFFFF"/>
                <w:szCs w:val="24"/>
              </w:rPr>
            </w:pPr>
            <w:r w:rsidRPr="00C551E1">
              <w:rPr>
                <w:b/>
                <w:bCs/>
                <w:color w:val="FFFFFF"/>
                <w:szCs w:val="24"/>
              </w:rPr>
              <w:t>Baseline scenario (km</w:t>
            </w:r>
            <w:r w:rsidRPr="00C551E1">
              <w:rPr>
                <w:b/>
                <w:bCs/>
                <w:color w:val="FFFFFF"/>
                <w:szCs w:val="24"/>
                <w:vertAlign w:val="superscript"/>
              </w:rPr>
              <w:t>2</w:t>
            </w:r>
            <w:r w:rsidRPr="00C551E1">
              <w:rPr>
                <w:b/>
                <w:bCs/>
                <w:color w:val="FFFFFF"/>
                <w:szCs w:val="24"/>
              </w:rPr>
              <w:t>)</w:t>
            </w:r>
          </w:p>
        </w:tc>
        <w:tc>
          <w:tcPr>
            <w:tcW w:w="0" w:type="auto"/>
            <w:tcBorders>
              <w:top w:val="single" w:sz="4" w:space="0" w:color="FFFFFF"/>
              <w:left w:val="nil"/>
              <w:right w:val="nil"/>
            </w:tcBorders>
            <w:shd w:val="clear" w:color="auto" w:fill="70AD47"/>
          </w:tcPr>
          <w:p w:rsidR="00AC42C7" w:rsidRPr="00C551E1" w:rsidRDefault="00AC42C7" w:rsidP="005943E7">
            <w:pPr>
              <w:spacing w:before="120" w:after="0"/>
              <w:jc w:val="center"/>
              <w:rPr>
                <w:b/>
                <w:bCs/>
                <w:color w:val="FFFFFF"/>
                <w:szCs w:val="24"/>
              </w:rPr>
            </w:pPr>
            <w:r w:rsidRPr="00C551E1">
              <w:rPr>
                <w:b/>
                <w:bCs/>
                <w:color w:val="FFFFFF"/>
                <w:szCs w:val="24"/>
              </w:rPr>
              <w:t>Climate change scenario (km</w:t>
            </w:r>
            <w:r w:rsidRPr="00C551E1">
              <w:rPr>
                <w:b/>
                <w:bCs/>
                <w:color w:val="FFFFFF"/>
                <w:szCs w:val="24"/>
                <w:vertAlign w:val="superscript"/>
              </w:rPr>
              <w:t>2</w:t>
            </w:r>
            <w:r w:rsidRPr="00C551E1">
              <w:rPr>
                <w:b/>
                <w:bCs/>
                <w:color w:val="FFFFFF"/>
                <w:szCs w:val="24"/>
              </w:rPr>
              <w:t>)</w:t>
            </w:r>
          </w:p>
        </w:tc>
        <w:tc>
          <w:tcPr>
            <w:tcW w:w="0" w:type="auto"/>
            <w:tcBorders>
              <w:top w:val="single" w:sz="4" w:space="0" w:color="FFFFFF"/>
              <w:left w:val="nil"/>
              <w:right w:val="single" w:sz="4" w:space="0" w:color="FFFFFF"/>
            </w:tcBorders>
            <w:shd w:val="clear" w:color="auto" w:fill="70AD47"/>
          </w:tcPr>
          <w:p w:rsidR="00AC42C7" w:rsidRPr="00C551E1" w:rsidRDefault="00AC42C7" w:rsidP="005943E7">
            <w:pPr>
              <w:spacing w:before="120" w:after="0"/>
              <w:jc w:val="center"/>
              <w:rPr>
                <w:b/>
                <w:bCs/>
                <w:color w:val="FFFFFF"/>
                <w:szCs w:val="24"/>
              </w:rPr>
            </w:pPr>
            <w:r w:rsidRPr="00C551E1">
              <w:rPr>
                <w:b/>
                <w:bCs/>
                <w:color w:val="FFFFFF"/>
                <w:szCs w:val="24"/>
              </w:rPr>
              <w:t>Change (%)</w:t>
            </w:r>
          </w:p>
        </w:tc>
      </w:tr>
      <w:tr w:rsidR="00AC42C7" w:rsidRPr="00C551E1" w:rsidTr="005943E7">
        <w:trPr>
          <w:trHeight w:hRule="exact" w:val="432"/>
        </w:trPr>
        <w:tc>
          <w:tcPr>
            <w:tcW w:w="0" w:type="auto"/>
            <w:tcBorders>
              <w:left w:val="single" w:sz="4" w:space="0" w:color="FFFFFF"/>
            </w:tcBorders>
            <w:shd w:val="clear" w:color="auto" w:fill="70AD47"/>
          </w:tcPr>
          <w:p w:rsidR="00AC42C7" w:rsidRPr="00C551E1" w:rsidRDefault="00AC42C7" w:rsidP="008559E9">
            <w:pPr>
              <w:spacing w:before="120"/>
              <w:jc w:val="both"/>
              <w:rPr>
                <w:b/>
                <w:bCs/>
                <w:color w:val="FFFFFF"/>
                <w:szCs w:val="24"/>
              </w:rPr>
            </w:pPr>
            <w:r w:rsidRPr="00C551E1">
              <w:rPr>
                <w:b/>
                <w:bCs/>
                <w:color w:val="FFFFFF"/>
                <w:szCs w:val="24"/>
              </w:rPr>
              <w:t>&gt;1</w:t>
            </w:r>
          </w:p>
        </w:tc>
        <w:tc>
          <w:tcPr>
            <w:tcW w:w="0" w:type="auto"/>
            <w:shd w:val="clear" w:color="auto" w:fill="C5E0B3"/>
          </w:tcPr>
          <w:p w:rsidR="00AC42C7" w:rsidRPr="00C551E1" w:rsidRDefault="00AC42C7" w:rsidP="008559E9">
            <w:pPr>
              <w:spacing w:before="120"/>
              <w:jc w:val="both"/>
              <w:rPr>
                <w:szCs w:val="24"/>
              </w:rPr>
            </w:pPr>
            <w:r w:rsidRPr="00C551E1">
              <w:rPr>
                <w:szCs w:val="24"/>
              </w:rPr>
              <w:t>20,876</w:t>
            </w:r>
          </w:p>
        </w:tc>
        <w:tc>
          <w:tcPr>
            <w:tcW w:w="0" w:type="auto"/>
            <w:shd w:val="clear" w:color="auto" w:fill="C5E0B3"/>
          </w:tcPr>
          <w:p w:rsidR="00AC42C7" w:rsidRPr="00C551E1" w:rsidRDefault="00AC42C7" w:rsidP="008559E9">
            <w:pPr>
              <w:spacing w:before="120"/>
              <w:jc w:val="both"/>
              <w:rPr>
                <w:szCs w:val="24"/>
              </w:rPr>
            </w:pPr>
            <w:r w:rsidRPr="00C551E1">
              <w:rPr>
                <w:szCs w:val="24"/>
              </w:rPr>
              <w:t>23,764</w:t>
            </w:r>
          </w:p>
        </w:tc>
        <w:tc>
          <w:tcPr>
            <w:tcW w:w="0" w:type="auto"/>
            <w:shd w:val="clear" w:color="auto" w:fill="C5E0B3"/>
          </w:tcPr>
          <w:p w:rsidR="00AC42C7" w:rsidRPr="00C551E1" w:rsidRDefault="00AC42C7" w:rsidP="008559E9">
            <w:pPr>
              <w:spacing w:before="120"/>
              <w:jc w:val="both"/>
              <w:rPr>
                <w:szCs w:val="24"/>
              </w:rPr>
            </w:pPr>
            <w:r w:rsidRPr="00C551E1">
              <w:rPr>
                <w:szCs w:val="24"/>
              </w:rPr>
              <w:t>+14</w:t>
            </w:r>
          </w:p>
        </w:tc>
      </w:tr>
      <w:tr w:rsidR="00AC42C7" w:rsidRPr="00C551E1" w:rsidTr="005943E7">
        <w:trPr>
          <w:trHeight w:hRule="exact" w:val="432"/>
        </w:trPr>
        <w:tc>
          <w:tcPr>
            <w:tcW w:w="0" w:type="auto"/>
            <w:tcBorders>
              <w:left w:val="single" w:sz="4" w:space="0" w:color="FFFFFF"/>
              <w:bottom w:val="single" w:sz="4" w:space="0" w:color="FFFFFF"/>
            </w:tcBorders>
            <w:shd w:val="clear" w:color="auto" w:fill="70AD47"/>
          </w:tcPr>
          <w:p w:rsidR="00AC42C7" w:rsidRPr="00C551E1" w:rsidRDefault="00AC42C7" w:rsidP="008559E9">
            <w:pPr>
              <w:spacing w:before="120"/>
              <w:jc w:val="both"/>
              <w:rPr>
                <w:b/>
                <w:bCs/>
                <w:color w:val="FFFFFF"/>
                <w:szCs w:val="24"/>
              </w:rPr>
            </w:pPr>
            <w:r w:rsidRPr="00C551E1">
              <w:rPr>
                <w:b/>
                <w:bCs/>
                <w:color w:val="FFFFFF"/>
                <w:szCs w:val="24"/>
              </w:rPr>
              <w:t>3</w:t>
            </w:r>
          </w:p>
        </w:tc>
        <w:tc>
          <w:tcPr>
            <w:tcW w:w="0" w:type="auto"/>
            <w:shd w:val="clear" w:color="auto" w:fill="E2EFD9"/>
          </w:tcPr>
          <w:p w:rsidR="00AC42C7" w:rsidRPr="00C551E1" w:rsidRDefault="00AC42C7" w:rsidP="008559E9">
            <w:pPr>
              <w:spacing w:before="120"/>
              <w:jc w:val="both"/>
              <w:rPr>
                <w:szCs w:val="24"/>
              </w:rPr>
            </w:pPr>
            <w:r w:rsidRPr="00C551E1">
              <w:rPr>
                <w:szCs w:val="24"/>
              </w:rPr>
              <w:t>10,163</w:t>
            </w:r>
          </w:p>
        </w:tc>
        <w:tc>
          <w:tcPr>
            <w:tcW w:w="0" w:type="auto"/>
            <w:shd w:val="clear" w:color="auto" w:fill="E2EFD9"/>
          </w:tcPr>
          <w:p w:rsidR="00AC42C7" w:rsidRPr="00C551E1" w:rsidRDefault="00AC42C7" w:rsidP="008559E9">
            <w:pPr>
              <w:spacing w:before="120"/>
              <w:jc w:val="both"/>
              <w:rPr>
                <w:szCs w:val="24"/>
              </w:rPr>
            </w:pPr>
            <w:r w:rsidRPr="00C551E1">
              <w:rPr>
                <w:szCs w:val="24"/>
              </w:rPr>
              <w:t>17,193</w:t>
            </w:r>
          </w:p>
        </w:tc>
        <w:tc>
          <w:tcPr>
            <w:tcW w:w="0" w:type="auto"/>
            <w:shd w:val="clear" w:color="auto" w:fill="E2EFD9"/>
          </w:tcPr>
          <w:p w:rsidR="00AC42C7" w:rsidRPr="00C551E1" w:rsidRDefault="00AC42C7" w:rsidP="008559E9">
            <w:pPr>
              <w:spacing w:before="120"/>
              <w:jc w:val="both"/>
              <w:rPr>
                <w:szCs w:val="24"/>
              </w:rPr>
            </w:pPr>
            <w:r w:rsidRPr="00C551E1">
              <w:rPr>
                <w:szCs w:val="24"/>
              </w:rPr>
              <w:t>+69</w:t>
            </w:r>
          </w:p>
        </w:tc>
      </w:tr>
    </w:tbl>
    <w:p w:rsidR="0053282F" w:rsidRDefault="008E34BA" w:rsidP="008D2F6B">
      <w:pPr>
        <w:pStyle w:val="BodyText"/>
        <w:spacing w:after="240" w:line="276" w:lineRule="auto"/>
        <w:jc w:val="both"/>
        <w:rPr>
          <w:b/>
          <w:i/>
          <w:sz w:val="20"/>
        </w:rPr>
      </w:pPr>
      <w:r w:rsidRPr="008E34BA">
        <w:rPr>
          <w:b/>
          <w:i/>
          <w:sz w:val="20"/>
        </w:rPr>
        <w:t>Source: IWM</w:t>
      </w:r>
    </w:p>
    <w:p w:rsidR="008F10F6" w:rsidRDefault="008F10F6" w:rsidP="008D2F6B">
      <w:pPr>
        <w:pStyle w:val="BodyText"/>
        <w:spacing w:after="240" w:line="276" w:lineRule="auto"/>
        <w:jc w:val="both"/>
        <w:rPr>
          <w:rFonts w:cs="Times New Roman"/>
          <w:b/>
          <w:szCs w:val="24"/>
        </w:rPr>
      </w:pPr>
    </w:p>
    <w:p w:rsidR="00AC42C7" w:rsidRDefault="005943E7" w:rsidP="008D2F6B">
      <w:pPr>
        <w:pStyle w:val="BodyText"/>
        <w:spacing w:after="240" w:line="276" w:lineRule="auto"/>
        <w:jc w:val="both"/>
        <w:rPr>
          <w:rFonts w:cs="Times New Roman"/>
          <w:szCs w:val="24"/>
        </w:rPr>
      </w:pPr>
      <w:r w:rsidRPr="005943E7">
        <w:rPr>
          <w:rFonts w:cs="Times New Roman"/>
          <w:b/>
          <w:szCs w:val="24"/>
        </w:rPr>
        <w:t>Summary of major vulnerabilities from climate change:</w:t>
      </w:r>
      <w:r>
        <w:rPr>
          <w:rFonts w:cs="Times New Roman"/>
          <w:szCs w:val="24"/>
        </w:rPr>
        <w:t xml:space="preserve"> </w:t>
      </w:r>
      <w:r w:rsidR="007D3A46">
        <w:rPr>
          <w:rFonts w:cs="Times New Roman"/>
          <w:szCs w:val="24"/>
        </w:rPr>
        <w:t xml:space="preserve">As is obvious from this review, Bangladesh faces major climate change challenges.  </w:t>
      </w:r>
      <w:r w:rsidR="009938BA">
        <w:rPr>
          <w:rFonts w:cs="Times New Roman"/>
          <w:szCs w:val="24"/>
        </w:rPr>
        <w:t xml:space="preserve">The key vulnerabilities </w:t>
      </w:r>
      <w:r w:rsidR="007D3A46">
        <w:rPr>
          <w:rFonts w:cs="Times New Roman"/>
          <w:szCs w:val="24"/>
        </w:rPr>
        <w:t>from climate c</w:t>
      </w:r>
      <w:r w:rsidR="009938BA">
        <w:rPr>
          <w:rFonts w:cs="Times New Roman"/>
          <w:szCs w:val="24"/>
        </w:rPr>
        <w:t>hange are summarized in Ta</w:t>
      </w:r>
      <w:r w:rsidR="00315DB6">
        <w:rPr>
          <w:rFonts w:cs="Times New Roman"/>
          <w:szCs w:val="24"/>
        </w:rPr>
        <w:t xml:space="preserve">ble </w:t>
      </w:r>
      <w:r w:rsidR="009938BA">
        <w:rPr>
          <w:rFonts w:cs="Times New Roman"/>
          <w:szCs w:val="24"/>
        </w:rPr>
        <w:t>1.</w:t>
      </w:r>
      <w:r w:rsidR="00315DB6">
        <w:rPr>
          <w:rFonts w:cs="Times New Roman"/>
          <w:szCs w:val="24"/>
        </w:rPr>
        <w:t>9</w:t>
      </w:r>
    </w:p>
    <w:p w:rsidR="004B40BC" w:rsidRDefault="004B40BC">
      <w:pPr>
        <w:rPr>
          <w:rFonts w:cs="Times New Roman"/>
          <w:b/>
          <w:bCs/>
          <w:szCs w:val="24"/>
        </w:rPr>
      </w:pPr>
      <w:r>
        <w:br w:type="page"/>
      </w:r>
    </w:p>
    <w:p w:rsidR="009938BA" w:rsidRPr="00EC607D" w:rsidRDefault="009938BA" w:rsidP="00181D96">
      <w:pPr>
        <w:pStyle w:val="Heading4"/>
      </w:pPr>
      <w:bookmarkStart w:id="46" w:name="_Toc474638980"/>
      <w:r w:rsidRPr="00EC607D">
        <w:lastRenderedPageBreak/>
        <w:t xml:space="preserve">Table </w:t>
      </w:r>
      <w:r w:rsidR="00315DB6">
        <w:t>1.9</w:t>
      </w:r>
      <w:r>
        <w:t>: Key Vulnerabilities from Climate C</w:t>
      </w:r>
      <w:r w:rsidRPr="00EC607D">
        <w:t xml:space="preserve">hange </w:t>
      </w:r>
      <w:r>
        <w:t>and I</w:t>
      </w:r>
      <w:r w:rsidRPr="00EC607D">
        <w:t>mpacts</w:t>
      </w:r>
      <w:bookmarkEnd w:id="46"/>
      <w:r w:rsidRPr="00EC607D">
        <w:t xml:space="preserve"> </w:t>
      </w:r>
    </w:p>
    <w:tbl>
      <w:tblPr>
        <w:tblStyle w:val="TableGrid"/>
        <w:tblW w:w="5000" w:type="pct"/>
        <w:jc w:val="center"/>
        <w:tblLook w:val="04A0"/>
      </w:tblPr>
      <w:tblGrid>
        <w:gridCol w:w="1908"/>
        <w:gridCol w:w="2430"/>
        <w:gridCol w:w="2250"/>
        <w:gridCol w:w="2988"/>
      </w:tblGrid>
      <w:tr w:rsidR="009938BA" w:rsidRPr="00643AC5" w:rsidTr="005943E7">
        <w:trPr>
          <w:jc w:val="center"/>
        </w:trPr>
        <w:tc>
          <w:tcPr>
            <w:tcW w:w="996" w:type="pct"/>
          </w:tcPr>
          <w:p w:rsidR="009938BA" w:rsidRPr="00643AC5" w:rsidRDefault="009938BA" w:rsidP="008559E9">
            <w:pPr>
              <w:pStyle w:val="BodyText"/>
              <w:spacing w:after="0" w:line="240" w:lineRule="auto"/>
              <w:jc w:val="center"/>
              <w:rPr>
                <w:rFonts w:cs="Times New Roman"/>
                <w:b/>
                <w:sz w:val="22"/>
                <w:szCs w:val="20"/>
              </w:rPr>
            </w:pPr>
            <w:r w:rsidRPr="00643AC5">
              <w:rPr>
                <w:rFonts w:cs="Times New Roman"/>
                <w:b/>
                <w:sz w:val="22"/>
                <w:szCs w:val="20"/>
              </w:rPr>
              <w:t>Climate Change Impact</w:t>
            </w:r>
          </w:p>
        </w:tc>
        <w:tc>
          <w:tcPr>
            <w:tcW w:w="1269" w:type="pct"/>
          </w:tcPr>
          <w:p w:rsidR="009938BA" w:rsidRPr="00643AC5" w:rsidRDefault="009938BA" w:rsidP="008559E9">
            <w:pPr>
              <w:pStyle w:val="BodyText"/>
              <w:spacing w:after="0" w:line="240" w:lineRule="auto"/>
              <w:jc w:val="center"/>
              <w:rPr>
                <w:rFonts w:cs="Times New Roman"/>
                <w:b/>
                <w:sz w:val="22"/>
                <w:szCs w:val="20"/>
              </w:rPr>
            </w:pPr>
            <w:r w:rsidRPr="00643AC5">
              <w:rPr>
                <w:rFonts w:cs="Times New Roman"/>
                <w:b/>
                <w:sz w:val="22"/>
                <w:szCs w:val="20"/>
              </w:rPr>
              <w:t>Current State</w:t>
            </w:r>
          </w:p>
        </w:tc>
        <w:tc>
          <w:tcPr>
            <w:tcW w:w="1175" w:type="pct"/>
          </w:tcPr>
          <w:p w:rsidR="009938BA" w:rsidRPr="00643AC5" w:rsidRDefault="009938BA" w:rsidP="008559E9">
            <w:pPr>
              <w:pStyle w:val="BodyText"/>
              <w:spacing w:after="0" w:line="240" w:lineRule="auto"/>
              <w:jc w:val="center"/>
              <w:rPr>
                <w:rFonts w:cs="Times New Roman"/>
                <w:b/>
                <w:sz w:val="22"/>
                <w:szCs w:val="20"/>
              </w:rPr>
            </w:pPr>
            <w:r w:rsidRPr="00643AC5">
              <w:rPr>
                <w:rFonts w:cs="Times New Roman"/>
                <w:b/>
                <w:sz w:val="22"/>
                <w:szCs w:val="20"/>
              </w:rPr>
              <w:t>Expected Change</w:t>
            </w:r>
          </w:p>
        </w:tc>
        <w:tc>
          <w:tcPr>
            <w:tcW w:w="1560" w:type="pct"/>
          </w:tcPr>
          <w:p w:rsidR="009938BA" w:rsidRPr="00643AC5" w:rsidRDefault="009938BA" w:rsidP="008559E9">
            <w:pPr>
              <w:pStyle w:val="BodyText"/>
              <w:spacing w:after="0" w:line="240" w:lineRule="auto"/>
              <w:jc w:val="center"/>
              <w:rPr>
                <w:rFonts w:cs="Times New Roman"/>
                <w:b/>
                <w:sz w:val="22"/>
                <w:szCs w:val="20"/>
              </w:rPr>
            </w:pPr>
            <w:r w:rsidRPr="00643AC5">
              <w:rPr>
                <w:rFonts w:cs="Times New Roman"/>
                <w:b/>
                <w:sz w:val="22"/>
                <w:szCs w:val="20"/>
              </w:rPr>
              <w:t>Consequences under a BAU scenario</w:t>
            </w:r>
          </w:p>
        </w:tc>
      </w:tr>
      <w:tr w:rsidR="009938BA" w:rsidRPr="00643AC5" w:rsidTr="005943E7">
        <w:trPr>
          <w:jc w:val="center"/>
        </w:trPr>
        <w:tc>
          <w:tcPr>
            <w:tcW w:w="996"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1. Accelerated Sea Level Rise (ASLR)</w:t>
            </w:r>
          </w:p>
        </w:tc>
        <w:tc>
          <w:tcPr>
            <w:tcW w:w="1269"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 xml:space="preserve">2.0 mm/year sea level rise </w:t>
            </w:r>
          </w:p>
        </w:tc>
        <w:tc>
          <w:tcPr>
            <w:tcW w:w="1175"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1 m or more by 2100; increase in tidal flooding; with monsoonal rainfall and river discharge increase in flooded area</w:t>
            </w:r>
          </w:p>
        </w:tc>
        <w:tc>
          <w:tcPr>
            <w:tcW w:w="1560"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Inundation of between 17-21% (up to 30,000 km</w:t>
            </w:r>
            <w:r w:rsidRPr="008D2F6B">
              <w:rPr>
                <w:rFonts w:cs="Times New Roman"/>
                <w:sz w:val="20"/>
                <w:szCs w:val="20"/>
                <w:vertAlign w:val="superscript"/>
              </w:rPr>
              <w:t>2</w:t>
            </w:r>
            <w:r w:rsidRPr="008D2F6B">
              <w:rPr>
                <w:rFonts w:cs="Times New Roman"/>
                <w:sz w:val="20"/>
                <w:szCs w:val="20"/>
              </w:rPr>
              <w:t>) of total area; increased salinity in additional land area; loss of farmland; loss of livelihoods; out-migration; destruction of infrastructure; destruction of mangroves</w:t>
            </w:r>
          </w:p>
        </w:tc>
      </w:tr>
      <w:tr w:rsidR="009938BA" w:rsidRPr="00643AC5" w:rsidTr="005943E7">
        <w:trPr>
          <w:jc w:val="center"/>
        </w:trPr>
        <w:tc>
          <w:tcPr>
            <w:tcW w:w="996"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2. Temperatures</w:t>
            </w:r>
          </w:p>
        </w:tc>
        <w:tc>
          <w:tcPr>
            <w:tcW w:w="1269"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Increase in minimum temperatures by 0.85 °C between 1948 – 2011; maximum temperatures increased by 0.5 °C</w:t>
            </w:r>
          </w:p>
        </w:tc>
        <w:tc>
          <w:tcPr>
            <w:tcW w:w="1175"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Increases in temperatures of up to 2.0 °C or more</w:t>
            </w:r>
          </w:p>
        </w:tc>
        <w:tc>
          <w:tcPr>
            <w:tcW w:w="1560"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Reduced rice yields; increase in pests and insects; extinction of some species</w:t>
            </w:r>
          </w:p>
        </w:tc>
      </w:tr>
      <w:tr w:rsidR="009938BA" w:rsidRPr="00643AC5" w:rsidTr="005943E7">
        <w:trPr>
          <w:jc w:val="center"/>
        </w:trPr>
        <w:tc>
          <w:tcPr>
            <w:tcW w:w="996"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3. Dry periods / drought</w:t>
            </w:r>
          </w:p>
        </w:tc>
        <w:tc>
          <w:tcPr>
            <w:tcW w:w="1269"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Long period of consecutive dry days</w:t>
            </w:r>
          </w:p>
        </w:tc>
        <w:tc>
          <w:tcPr>
            <w:tcW w:w="1175"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Increase in number of dry days and drought</w:t>
            </w:r>
          </w:p>
        </w:tc>
        <w:tc>
          <w:tcPr>
            <w:tcW w:w="1560"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Further reduction in groundwater table; water scarcity for irrigation and household consumption</w:t>
            </w:r>
          </w:p>
        </w:tc>
      </w:tr>
      <w:tr w:rsidR="009938BA" w:rsidRPr="00643AC5" w:rsidTr="005943E7">
        <w:trPr>
          <w:jc w:val="center"/>
        </w:trPr>
        <w:tc>
          <w:tcPr>
            <w:tcW w:w="996"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4. Precipitation</w:t>
            </w:r>
          </w:p>
        </w:tc>
        <w:tc>
          <w:tcPr>
            <w:tcW w:w="1269"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Increase in total annual rainfall by 10% between 1948-2011</w:t>
            </w:r>
          </w:p>
        </w:tc>
        <w:tc>
          <w:tcPr>
            <w:tcW w:w="1175"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Increase between 300mm in southeast to 800mm in northwest with increase in intensity</w:t>
            </w:r>
          </w:p>
        </w:tc>
        <w:tc>
          <w:tcPr>
            <w:tcW w:w="1560"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Increases in mean annual discharge in the GBM rivers; may cause flash floods, extensive area under flooding, damage to infrastructure, destruction of crops</w:t>
            </w:r>
          </w:p>
        </w:tc>
      </w:tr>
      <w:tr w:rsidR="009938BA" w:rsidRPr="00643AC5" w:rsidTr="005943E7">
        <w:trPr>
          <w:jc w:val="center"/>
        </w:trPr>
        <w:tc>
          <w:tcPr>
            <w:tcW w:w="996"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5. Cyclones</w:t>
            </w:r>
          </w:p>
        </w:tc>
        <w:tc>
          <w:tcPr>
            <w:tcW w:w="1269"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Number of cyclones decreasing but intensity increasing</w:t>
            </w:r>
          </w:p>
        </w:tc>
        <w:tc>
          <w:tcPr>
            <w:tcW w:w="1175"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Increased intensity of cyclones with high wind speeds up to and over 250 km per hour</w:t>
            </w:r>
          </w:p>
        </w:tc>
        <w:tc>
          <w:tcPr>
            <w:tcW w:w="1560"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 xml:space="preserve">Devastating effects on homesteads, crops, livestock; salt water intrusion; water logging; </w:t>
            </w:r>
          </w:p>
        </w:tc>
      </w:tr>
      <w:tr w:rsidR="009938BA" w:rsidRPr="00643AC5" w:rsidTr="005943E7">
        <w:trPr>
          <w:jc w:val="center"/>
        </w:trPr>
        <w:tc>
          <w:tcPr>
            <w:tcW w:w="996"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6. Storm surge</w:t>
            </w:r>
          </w:p>
        </w:tc>
        <w:tc>
          <w:tcPr>
            <w:tcW w:w="1269"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Current storm surge heights are topping over polder embankments (Sidr and Aila cyclones)</w:t>
            </w:r>
          </w:p>
        </w:tc>
        <w:tc>
          <w:tcPr>
            <w:tcW w:w="1175"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Future storm surge heights will double due to higher wind speeds</w:t>
            </w:r>
          </w:p>
        </w:tc>
        <w:tc>
          <w:tcPr>
            <w:tcW w:w="1560" w:type="pct"/>
          </w:tcPr>
          <w:p w:rsidR="009938BA" w:rsidRPr="008D2F6B" w:rsidRDefault="009938BA" w:rsidP="008559E9">
            <w:pPr>
              <w:pStyle w:val="BodyText"/>
              <w:spacing w:after="0" w:line="240" w:lineRule="auto"/>
              <w:rPr>
                <w:rFonts w:cs="Times New Roman"/>
                <w:sz w:val="20"/>
                <w:szCs w:val="20"/>
              </w:rPr>
            </w:pPr>
            <w:r w:rsidRPr="008D2F6B">
              <w:rPr>
                <w:rFonts w:cs="Times New Roman"/>
                <w:sz w:val="20"/>
                <w:szCs w:val="20"/>
              </w:rPr>
              <w:t>All current polders will be flooded with prolonged water logging</w:t>
            </w:r>
          </w:p>
        </w:tc>
      </w:tr>
    </w:tbl>
    <w:p w:rsidR="009938BA" w:rsidRDefault="009938BA" w:rsidP="0053282F">
      <w:pPr>
        <w:pStyle w:val="BodyText"/>
        <w:spacing w:before="120" w:line="276" w:lineRule="auto"/>
        <w:jc w:val="both"/>
        <w:rPr>
          <w:rFonts w:cs="Times New Roman"/>
          <w:b/>
          <w:i/>
          <w:sz w:val="20"/>
          <w:szCs w:val="18"/>
        </w:rPr>
      </w:pPr>
      <w:r>
        <w:rPr>
          <w:rFonts w:cs="Times New Roman"/>
          <w:b/>
          <w:i/>
          <w:sz w:val="20"/>
          <w:szCs w:val="18"/>
        </w:rPr>
        <w:t xml:space="preserve">      Note:  </w:t>
      </w:r>
      <w:r w:rsidRPr="00EC607D">
        <w:rPr>
          <w:rFonts w:cs="Times New Roman"/>
          <w:b/>
          <w:i/>
          <w:sz w:val="20"/>
          <w:szCs w:val="18"/>
        </w:rPr>
        <w:t>BAU = business as usual (i.e. no concerted adaptation or mitigation investments)</w:t>
      </w:r>
    </w:p>
    <w:p w:rsidR="00667776" w:rsidRPr="00727CF1" w:rsidRDefault="00667776" w:rsidP="0053282F">
      <w:pPr>
        <w:pStyle w:val="BodyText"/>
        <w:spacing w:after="240" w:line="276" w:lineRule="auto"/>
        <w:jc w:val="both"/>
        <w:rPr>
          <w:rFonts w:cs="Times New Roman"/>
          <w:b/>
          <w:i/>
          <w:sz w:val="20"/>
          <w:szCs w:val="18"/>
        </w:rPr>
      </w:pPr>
      <w:r>
        <w:rPr>
          <w:rFonts w:cs="Times New Roman"/>
          <w:b/>
          <w:i/>
          <w:sz w:val="20"/>
          <w:szCs w:val="18"/>
        </w:rPr>
        <w:t xml:space="preserve">Source: </w:t>
      </w:r>
      <w:r>
        <w:rPr>
          <w:b/>
          <w:i/>
          <w:sz w:val="20"/>
        </w:rPr>
        <w:t>GED Research</w:t>
      </w:r>
    </w:p>
    <w:p w:rsidR="009938BA" w:rsidRDefault="00962CB1" w:rsidP="008D2F6B">
      <w:pPr>
        <w:pStyle w:val="BodyText"/>
        <w:spacing w:after="240" w:line="276" w:lineRule="auto"/>
        <w:jc w:val="both"/>
        <w:rPr>
          <w:rFonts w:cs="Times New Roman"/>
          <w:szCs w:val="24"/>
        </w:rPr>
      </w:pPr>
      <w:r w:rsidRPr="00962CB1">
        <w:rPr>
          <w:rFonts w:cs="Times New Roman"/>
          <w:b/>
          <w:szCs w:val="24"/>
        </w:rPr>
        <w:t xml:space="preserve">Knowledge gap: </w:t>
      </w:r>
      <w:r>
        <w:rPr>
          <w:rFonts w:cs="Times New Roman"/>
          <w:szCs w:val="24"/>
        </w:rPr>
        <w:t xml:space="preserve"> </w:t>
      </w:r>
      <w:r w:rsidR="009938BA" w:rsidRPr="004B3706">
        <w:rPr>
          <w:rFonts w:cs="Times New Roman"/>
          <w:szCs w:val="24"/>
        </w:rPr>
        <w:t xml:space="preserve">While future trends are becoming clear there is need for more quantified spatial specific information, especially on future changes in extremes. This information is needed for improved flood and drought risk analyses. </w:t>
      </w:r>
      <w:r w:rsidR="009938BA">
        <w:rPr>
          <w:rFonts w:cs="Times New Roman"/>
          <w:szCs w:val="24"/>
        </w:rPr>
        <w:t>C</w:t>
      </w:r>
      <w:r w:rsidR="009938BA" w:rsidRPr="00351780">
        <w:rPr>
          <w:rFonts w:cs="Times New Roman"/>
          <w:szCs w:val="24"/>
        </w:rPr>
        <w:t>limate scenarios have to be used for an integrated c</w:t>
      </w:r>
      <w:r w:rsidR="009938BA">
        <w:rPr>
          <w:rFonts w:cs="Times New Roman"/>
          <w:szCs w:val="24"/>
        </w:rPr>
        <w:t>limate change impact assessment and there is a need to analyz</w:t>
      </w:r>
      <w:r w:rsidR="009938BA" w:rsidRPr="00351780">
        <w:rPr>
          <w:rFonts w:cs="Times New Roman"/>
          <w:szCs w:val="24"/>
        </w:rPr>
        <w:t>e changes in water demand, availability, salt-intrusion and flood risks. To further quantify the possible changes in extreme rainfall events and better understand future chan</w:t>
      </w:r>
      <w:r w:rsidR="009938BA">
        <w:rPr>
          <w:rFonts w:cs="Times New Roman"/>
          <w:szCs w:val="24"/>
        </w:rPr>
        <w:t xml:space="preserve">ges in the onset of the monsoon, </w:t>
      </w:r>
      <w:r w:rsidR="009938BA" w:rsidRPr="00351780">
        <w:rPr>
          <w:rFonts w:cs="Times New Roman"/>
          <w:szCs w:val="24"/>
        </w:rPr>
        <w:t>there is a need for further downscaling of the climate change scenarios. In addition</w:t>
      </w:r>
      <w:r w:rsidR="00041A07">
        <w:rPr>
          <w:rFonts w:cs="Times New Roman"/>
          <w:szCs w:val="24"/>
        </w:rPr>
        <w:t>,</w:t>
      </w:r>
      <w:r w:rsidR="009938BA" w:rsidRPr="00351780">
        <w:rPr>
          <w:rFonts w:cs="Times New Roman"/>
          <w:szCs w:val="24"/>
        </w:rPr>
        <w:t xml:space="preserve"> there is a need to develop improved scenarios on basin wide changes in rainfall and water resource availability. </w:t>
      </w:r>
      <w:r w:rsidR="009938BA">
        <w:rPr>
          <w:rFonts w:cs="Times New Roman"/>
          <w:szCs w:val="24"/>
        </w:rPr>
        <w:t xml:space="preserve">There is </w:t>
      </w:r>
      <w:r w:rsidR="009938BA" w:rsidRPr="00351780">
        <w:rPr>
          <w:rFonts w:cs="Times New Roman"/>
          <w:szCs w:val="24"/>
        </w:rPr>
        <w:t>a gap between climate change science, the use of the knowledge and climate scenarios for adaptation efforts. There is need to improve this link to ensure that adaptation plans are developed based on actual knowledge of climate change at national and local level.</w:t>
      </w:r>
    </w:p>
    <w:p w:rsidR="002E3EFB" w:rsidRDefault="002E3EFB" w:rsidP="008D2F6B">
      <w:pPr>
        <w:pStyle w:val="BodyText"/>
        <w:spacing w:after="240" w:line="276" w:lineRule="auto"/>
        <w:jc w:val="both"/>
        <w:rPr>
          <w:rFonts w:cs="Times New Roman"/>
          <w:szCs w:val="24"/>
        </w:rPr>
      </w:pPr>
    </w:p>
    <w:p w:rsidR="00F64A6A" w:rsidRDefault="00557369" w:rsidP="00F64A6A">
      <w:pPr>
        <w:pStyle w:val="Heading2"/>
        <w:numPr>
          <w:ilvl w:val="0"/>
          <w:numId w:val="0"/>
        </w:numPr>
        <w:ind w:left="720"/>
      </w:pPr>
      <w:bookmarkStart w:id="47" w:name="_Toc474638839"/>
      <w:r>
        <w:lastRenderedPageBreak/>
        <w:t xml:space="preserve">Maintaining </w:t>
      </w:r>
      <w:r w:rsidR="003B601B">
        <w:t xml:space="preserve">the </w:t>
      </w:r>
      <w:r w:rsidR="005D381E">
        <w:t>Ecosystems: Forests, Wetlands, Coastal, Marine and Biodiversity</w:t>
      </w:r>
      <w:bookmarkEnd w:id="47"/>
      <w:r w:rsidR="005D381E">
        <w:t xml:space="preserve"> </w:t>
      </w:r>
    </w:p>
    <w:p w:rsidR="00000000" w:rsidRDefault="00B47B63" w:rsidP="003D5A31">
      <w:pPr>
        <w:pStyle w:val="ListParagraph"/>
        <w:numPr>
          <w:ilvl w:val="2"/>
          <w:numId w:val="234"/>
        </w:numPr>
        <w:rPr>
          <w:b/>
        </w:rPr>
      </w:pPr>
      <w:r w:rsidRPr="005E319F">
        <w:rPr>
          <w:b/>
        </w:rPr>
        <w:t>Eco</w:t>
      </w:r>
      <w:r w:rsidR="00557369">
        <w:rPr>
          <w:b/>
        </w:rPr>
        <w:t>s</w:t>
      </w:r>
      <w:r w:rsidRPr="005E319F">
        <w:rPr>
          <w:b/>
        </w:rPr>
        <w:t>ystem Diversity</w:t>
      </w:r>
    </w:p>
    <w:p w:rsidR="005D381E" w:rsidRPr="00B47B63" w:rsidRDefault="005D381E" w:rsidP="00B47B63">
      <w:pPr>
        <w:pStyle w:val="BodyText"/>
        <w:spacing w:after="240" w:line="276" w:lineRule="auto"/>
        <w:jc w:val="both"/>
        <w:rPr>
          <w:rFonts w:cs="Times New Roman"/>
          <w:szCs w:val="24"/>
        </w:rPr>
      </w:pPr>
      <w:r>
        <w:rPr>
          <w:rFonts w:cs="Times New Roman"/>
          <w:szCs w:val="24"/>
        </w:rPr>
        <w:t xml:space="preserve">A tremendous natural asset for Bangladesh is its rich and diverse ecosystem that not only provides it with the many advantages noted </w:t>
      </w:r>
      <w:r w:rsidR="00557369">
        <w:rPr>
          <w:rFonts w:cs="Times New Roman"/>
          <w:szCs w:val="24"/>
        </w:rPr>
        <w:t>before</w:t>
      </w:r>
      <w:r>
        <w:rPr>
          <w:rFonts w:cs="Times New Roman"/>
          <w:szCs w:val="24"/>
        </w:rPr>
        <w:t>, it also provides for a high qua</w:t>
      </w:r>
      <w:r w:rsidR="00962CB1">
        <w:rPr>
          <w:rFonts w:cs="Times New Roman"/>
          <w:szCs w:val="24"/>
        </w:rPr>
        <w:t>lity of life in terms of the eco balance.  This eco</w:t>
      </w:r>
      <w:r>
        <w:rPr>
          <w:rFonts w:cs="Times New Roman"/>
          <w:szCs w:val="24"/>
        </w:rPr>
        <w:t>system has come under stress from climate change as well as human interventions from settlements and unsustained exploitation of the natural resources. Preserving this ecosystem is a major develo</w:t>
      </w:r>
      <w:r w:rsidR="00B47B63">
        <w:rPr>
          <w:rFonts w:cs="Times New Roman"/>
          <w:szCs w:val="24"/>
        </w:rPr>
        <w:t>pment challenge moving forward.</w:t>
      </w:r>
      <w:r w:rsidR="00EB6F18">
        <w:rPr>
          <w:b/>
        </w:rPr>
        <w:t xml:space="preserve"> </w:t>
      </w:r>
    </w:p>
    <w:p w:rsidR="005D381E" w:rsidRDefault="005D381E" w:rsidP="00692127">
      <w:pPr>
        <w:pStyle w:val="BodyText"/>
        <w:spacing w:after="240" w:line="276" w:lineRule="auto"/>
        <w:jc w:val="both"/>
        <w:rPr>
          <w:rFonts w:cs="Times New Roman"/>
          <w:bCs/>
          <w:szCs w:val="24"/>
        </w:rPr>
      </w:pPr>
      <w:r w:rsidRPr="00937438">
        <w:rPr>
          <w:rFonts w:cs="Times New Roman"/>
          <w:bCs/>
          <w:szCs w:val="24"/>
        </w:rPr>
        <w:t>The ecosystems of Bangladesh</w:t>
      </w:r>
      <w:r w:rsidR="00425718">
        <w:rPr>
          <w:rFonts w:cs="Times New Roman"/>
          <w:bCs/>
          <w:szCs w:val="24"/>
        </w:rPr>
        <w:t xml:space="preserve"> </w:t>
      </w:r>
      <w:r w:rsidRPr="00937438">
        <w:rPr>
          <w:rFonts w:cs="Times New Roman"/>
          <w:bCs/>
          <w:szCs w:val="24"/>
        </w:rPr>
        <w:t>can be categorized into two major groups (i) Terrestrial and (ii) Aquatic. The terrestrial ecosystems include homestead, forest, and crop field; while seasonal and perennial wetlands, rivers, lakes, coastal mangroves, coastal mudflats and chars, and marine fall into the aquatic category. Each of the ecosystems has many sub-units with distinct characteristics as well.</w:t>
      </w:r>
    </w:p>
    <w:p w:rsidR="005D381E" w:rsidRDefault="005D381E" w:rsidP="00692127">
      <w:pPr>
        <w:pStyle w:val="BodyText"/>
        <w:spacing w:after="240" w:line="276" w:lineRule="auto"/>
        <w:jc w:val="both"/>
        <w:rPr>
          <w:rFonts w:cs="Times New Roman"/>
          <w:szCs w:val="24"/>
        </w:rPr>
      </w:pPr>
      <w:r>
        <w:rPr>
          <w:rFonts w:cs="Times New Roman"/>
          <w:szCs w:val="24"/>
        </w:rPr>
        <w:t>T</w:t>
      </w:r>
      <w:r w:rsidRPr="00F82008">
        <w:rPr>
          <w:rFonts w:cs="Times New Roman"/>
          <w:b/>
          <w:szCs w:val="24"/>
        </w:rPr>
        <w:t>errestrial ecosystem</w:t>
      </w:r>
      <w:r w:rsidR="00F01F60">
        <w:rPr>
          <w:rFonts w:cs="Times New Roman"/>
          <w:b/>
          <w:szCs w:val="24"/>
        </w:rPr>
        <w:t>:</w:t>
      </w:r>
      <w:r>
        <w:rPr>
          <w:rFonts w:cs="Times New Roman"/>
          <w:b/>
          <w:szCs w:val="24"/>
        </w:rPr>
        <w:t xml:space="preserve"> </w:t>
      </w:r>
      <w:r w:rsidRPr="004B0A08">
        <w:rPr>
          <w:rFonts w:cs="Times New Roman"/>
          <w:i/>
          <w:szCs w:val="24"/>
        </w:rPr>
        <w:t>In Bangladesh, homesteads cover about 20%</w:t>
      </w:r>
      <w:r w:rsidR="009D48C5">
        <w:rPr>
          <w:rFonts w:cs="Times New Roman"/>
          <w:i/>
          <w:szCs w:val="24"/>
        </w:rPr>
        <w:t xml:space="preserve"> (?)</w:t>
      </w:r>
      <w:r w:rsidRPr="004B0A08">
        <w:rPr>
          <w:rFonts w:cs="Times New Roman"/>
          <w:i/>
          <w:szCs w:val="24"/>
        </w:rPr>
        <w:t xml:space="preserve"> (2.767 mill ha) of the total land</w:t>
      </w:r>
      <w:r w:rsidRPr="006F110C">
        <w:rPr>
          <w:rFonts w:cs="Times New Roman"/>
          <w:szCs w:val="24"/>
        </w:rPr>
        <w:t xml:space="preserve">, of which 10% is covered with trees (National Forest and Tree Resources Assessment 2005-07) and the rest is covered with homestead vegetation, which is important for its wild shrubs and herbs as well as locally cultivated plants and as wildlife refuge. The </w:t>
      </w:r>
      <w:r w:rsidRPr="0051021A">
        <w:rPr>
          <w:rFonts w:cs="Times New Roman"/>
          <w:szCs w:val="24"/>
        </w:rPr>
        <w:t>site lower than homesteads but a little higher than the a</w:t>
      </w:r>
      <w:r w:rsidR="003E13BD">
        <w:rPr>
          <w:rFonts w:cs="Times New Roman"/>
          <w:szCs w:val="24"/>
        </w:rPr>
        <w:t>djoining agricultural fields is locally called ‘kanda’. Long ago,</w:t>
      </w:r>
      <w:r w:rsidRPr="0051021A">
        <w:rPr>
          <w:rFonts w:cs="Times New Roman"/>
          <w:szCs w:val="24"/>
        </w:rPr>
        <w:t xml:space="preserve"> the kandas were occupied by swamp forest, reed swamps and grass. The village roads, highways and embankments provide a good habitat for woody and fruits yielding plants. Coastal embankment plantation has long been in practice in southern Bangladesh. </w:t>
      </w:r>
    </w:p>
    <w:p w:rsidR="005D381E" w:rsidRPr="00834D7B" w:rsidRDefault="005D381E" w:rsidP="00692127">
      <w:pPr>
        <w:pStyle w:val="BodyText"/>
        <w:spacing w:after="240" w:line="276" w:lineRule="auto"/>
        <w:jc w:val="both"/>
        <w:rPr>
          <w:rFonts w:cs="Times New Roman"/>
          <w:szCs w:val="24"/>
        </w:rPr>
      </w:pPr>
      <w:r w:rsidRPr="00DC6E4E">
        <w:rPr>
          <w:rFonts w:cs="Times New Roman"/>
          <w:szCs w:val="24"/>
        </w:rPr>
        <w:t xml:space="preserve">In Bangladesh, </w:t>
      </w:r>
      <w:r w:rsidRPr="0050662E">
        <w:rPr>
          <w:rFonts w:cs="Times New Roman"/>
          <w:szCs w:val="24"/>
        </w:rPr>
        <w:t xml:space="preserve">forests </w:t>
      </w:r>
      <w:r w:rsidRPr="00DC6E4E">
        <w:rPr>
          <w:rFonts w:cs="Times New Roman"/>
          <w:szCs w:val="24"/>
        </w:rPr>
        <w:t>are distributed on the e</w:t>
      </w:r>
      <w:r>
        <w:rPr>
          <w:rFonts w:cs="Times New Roman"/>
          <w:szCs w:val="24"/>
        </w:rPr>
        <w:t>astern hills, central and north-</w:t>
      </w:r>
      <w:r w:rsidRPr="00DC6E4E">
        <w:rPr>
          <w:rFonts w:cs="Times New Roman"/>
          <w:szCs w:val="24"/>
        </w:rPr>
        <w:t>western terraces and the man</w:t>
      </w:r>
      <w:r w:rsidR="00425718">
        <w:rPr>
          <w:rFonts w:cs="Times New Roman"/>
          <w:szCs w:val="24"/>
        </w:rPr>
        <w:t>groves facing the Bay of Bengal.</w:t>
      </w:r>
      <w:r>
        <w:rPr>
          <w:rFonts w:cs="Times New Roman"/>
          <w:szCs w:val="24"/>
        </w:rPr>
        <w:t xml:space="preserve"> </w:t>
      </w:r>
      <w:r w:rsidRPr="00DC6E4E">
        <w:rPr>
          <w:rFonts w:cs="Times New Roman"/>
          <w:szCs w:val="24"/>
        </w:rPr>
        <w:t>In addition</w:t>
      </w:r>
      <w:r>
        <w:rPr>
          <w:rFonts w:cs="Times New Roman"/>
          <w:szCs w:val="24"/>
        </w:rPr>
        <w:t xml:space="preserve"> to </w:t>
      </w:r>
      <w:r w:rsidRPr="00DC6E4E">
        <w:rPr>
          <w:rFonts w:cs="Times New Roman"/>
          <w:szCs w:val="24"/>
        </w:rPr>
        <w:t xml:space="preserve">embankment/roadside plantations, there are rubber </w:t>
      </w:r>
      <w:r w:rsidR="00376FBF" w:rsidRPr="00DC6E4E">
        <w:rPr>
          <w:rFonts w:cs="Times New Roman"/>
          <w:szCs w:val="24"/>
        </w:rPr>
        <w:t>plantation</w:t>
      </w:r>
      <w:r w:rsidR="00376FBF">
        <w:rPr>
          <w:rFonts w:cs="Times New Roman"/>
          <w:szCs w:val="24"/>
        </w:rPr>
        <w:t>s</w:t>
      </w:r>
      <w:r w:rsidR="00376FBF" w:rsidRPr="00DC6E4E">
        <w:rPr>
          <w:rFonts w:cs="Times New Roman"/>
          <w:szCs w:val="24"/>
        </w:rPr>
        <w:t>.</w:t>
      </w:r>
      <w:r w:rsidR="00376FBF" w:rsidRPr="00B40081">
        <w:rPr>
          <w:rFonts w:cs="Times New Roman"/>
          <w:szCs w:val="24"/>
        </w:rPr>
        <w:t xml:space="preserve"> The</w:t>
      </w:r>
      <w:r w:rsidRPr="00B40081">
        <w:rPr>
          <w:rFonts w:cs="Times New Roman"/>
          <w:szCs w:val="24"/>
        </w:rPr>
        <w:t xml:space="preserve"> Madhupur Sal Tract</w:t>
      </w:r>
      <w:r w:rsidR="00962CB1">
        <w:rPr>
          <w:rFonts w:cs="Times New Roman"/>
          <w:szCs w:val="24"/>
        </w:rPr>
        <w:t>, extending</w:t>
      </w:r>
      <w:r w:rsidRPr="00B40081">
        <w:rPr>
          <w:rFonts w:cs="Times New Roman"/>
          <w:szCs w:val="24"/>
        </w:rPr>
        <w:t xml:space="preserve"> across the districts of Gazipur, Tangail and Mymensingh</w:t>
      </w:r>
      <w:r w:rsidR="00962CB1">
        <w:rPr>
          <w:rFonts w:cs="Times New Roman"/>
          <w:szCs w:val="24"/>
        </w:rPr>
        <w:t>,</w:t>
      </w:r>
      <w:r w:rsidRPr="00B40081">
        <w:rPr>
          <w:rFonts w:cs="Times New Roman"/>
          <w:szCs w:val="24"/>
        </w:rPr>
        <w:t xml:space="preserve"> contains important timber species; </w:t>
      </w:r>
      <w:r w:rsidRPr="004B0A08">
        <w:rPr>
          <w:rFonts w:cs="Times New Roman"/>
          <w:i/>
          <w:szCs w:val="24"/>
        </w:rPr>
        <w:t>however, 70 per cent of the sal forest area is either already degraded or encroached.</w:t>
      </w:r>
      <w:r w:rsidRPr="00B40081">
        <w:rPr>
          <w:rFonts w:cs="Times New Roman"/>
          <w:szCs w:val="24"/>
        </w:rPr>
        <w:t xml:space="preserve"> </w:t>
      </w:r>
      <w:r w:rsidR="00041A07">
        <w:rPr>
          <w:rFonts w:cs="Times New Roman"/>
          <w:szCs w:val="24"/>
        </w:rPr>
        <w:t>The south-eastern hill-</w:t>
      </w:r>
      <w:r w:rsidRPr="0050662E">
        <w:rPr>
          <w:rFonts w:cs="Times New Roman"/>
          <w:szCs w:val="24"/>
        </w:rPr>
        <w:t>range in the Chittagong Hills and the Chittagong Tracts is composed of tropical evergreen and semi-evergreen forests. The majority of the species in the lower canopy are evergreen, and the upper canopy of the forest is deciduous type. Tropical evergreen forest is fo</w:t>
      </w:r>
      <w:r w:rsidR="00425718">
        <w:rPr>
          <w:rFonts w:cs="Times New Roman"/>
          <w:szCs w:val="24"/>
        </w:rPr>
        <w:t>und in the valleys of this zone</w:t>
      </w:r>
      <w:r w:rsidRPr="0050662E">
        <w:rPr>
          <w:rFonts w:cs="Times New Roman"/>
          <w:szCs w:val="24"/>
        </w:rPr>
        <w:t xml:space="preserve">. This zone possesses the richest avifauna population of the country.  While the hills are not </w:t>
      </w:r>
      <w:r w:rsidR="000F5493">
        <w:rPr>
          <w:rFonts w:cs="Times New Roman"/>
          <w:szCs w:val="24"/>
        </w:rPr>
        <w:t>very high, generally about 600m</w:t>
      </w:r>
      <w:r>
        <w:rPr>
          <w:rFonts w:cs="Times New Roman"/>
          <w:szCs w:val="24"/>
        </w:rPr>
        <w:t>,</w:t>
      </w:r>
      <w:r w:rsidRPr="0050662E">
        <w:rPr>
          <w:rFonts w:cs="Times New Roman"/>
          <w:szCs w:val="24"/>
        </w:rPr>
        <w:t xml:space="preserve"> they are ragged and often steep</w:t>
      </w:r>
      <w:r>
        <w:rPr>
          <w:rFonts w:cs="Times New Roman"/>
          <w:szCs w:val="24"/>
        </w:rPr>
        <w:t>;</w:t>
      </w:r>
      <w:r w:rsidRPr="0050662E">
        <w:rPr>
          <w:rFonts w:cs="Times New Roman"/>
          <w:szCs w:val="24"/>
        </w:rPr>
        <w:t xml:space="preserve"> these hill forests are the most important watershed areas of the country. The tropical evergreen and semi-evergreen forests are not very distinct, and are often intermingled and merged into one another in this zone. The undergrowth is usually a tangle of shrubs, in which cane, bamboo and wild banana are the prominent species. </w:t>
      </w:r>
      <w:r>
        <w:rPr>
          <w:rFonts w:cs="Times New Roman"/>
          <w:szCs w:val="24"/>
        </w:rPr>
        <w:t xml:space="preserve">In comparison, the </w:t>
      </w:r>
      <w:r w:rsidRPr="0050662E">
        <w:rPr>
          <w:rFonts w:cs="Times New Roman"/>
          <w:szCs w:val="24"/>
        </w:rPr>
        <w:t>Sylhet hillocks average round 40-60 m, with the highest peak around 170 m. Tropical semi evergreen forest is found in this zone, particularly in the valleys. The Lalmai-Tipperah hills</w:t>
      </w:r>
      <w:r>
        <w:rPr>
          <w:rFonts w:cs="Times New Roman"/>
          <w:szCs w:val="24"/>
        </w:rPr>
        <w:t xml:space="preserve"> enjoy</w:t>
      </w:r>
      <w:r w:rsidRPr="0050662E">
        <w:rPr>
          <w:rFonts w:cs="Times New Roman"/>
          <w:szCs w:val="24"/>
        </w:rPr>
        <w:t xml:space="preserve"> tropical semi-evergreen forests. </w:t>
      </w:r>
      <w:r>
        <w:rPr>
          <w:rFonts w:cs="Times New Roman"/>
          <w:szCs w:val="24"/>
        </w:rPr>
        <w:t>T</w:t>
      </w:r>
      <w:r w:rsidRPr="0050662E">
        <w:rPr>
          <w:rFonts w:cs="Times New Roman"/>
          <w:szCs w:val="24"/>
        </w:rPr>
        <w:t xml:space="preserve">his expanse remains largely evergreen with various species. The diversity of bird and mammal species is still </w:t>
      </w:r>
      <w:r w:rsidRPr="0050662E">
        <w:rPr>
          <w:rFonts w:cs="Times New Roman"/>
          <w:szCs w:val="24"/>
        </w:rPr>
        <w:lastRenderedPageBreak/>
        <w:t xml:space="preserve">considerably high but these species are increasingly under threat of extinction due to unhindered loss of habitats. </w:t>
      </w:r>
    </w:p>
    <w:p w:rsidR="005D381E" w:rsidRPr="00991DCE" w:rsidRDefault="005D381E" w:rsidP="00692127">
      <w:pPr>
        <w:pStyle w:val="BodyText"/>
        <w:spacing w:after="240" w:line="276" w:lineRule="auto"/>
        <w:jc w:val="both"/>
        <w:rPr>
          <w:rFonts w:cs="Times New Roman"/>
          <w:szCs w:val="24"/>
        </w:rPr>
      </w:pPr>
      <w:r w:rsidRPr="00991DCE">
        <w:rPr>
          <w:rFonts w:cs="Times New Roman"/>
          <w:b/>
          <w:szCs w:val="24"/>
        </w:rPr>
        <w:t>Aquatic ecosystem</w:t>
      </w:r>
      <w:r>
        <w:rPr>
          <w:rFonts w:cs="Times New Roman"/>
          <w:b/>
          <w:szCs w:val="24"/>
        </w:rPr>
        <w:t>:</w:t>
      </w:r>
      <w:r w:rsidRPr="00991DCE">
        <w:rPr>
          <w:rFonts w:cs="Times New Roman"/>
          <w:szCs w:val="24"/>
        </w:rPr>
        <w:t xml:space="preserve"> These consist of seasonal and perennial wetlands, rivers, lakes, coastal mangroves, coastal mudflats and chars, and marine and are important habitats for aquatic plants, birds, mammals and fish. The majority of the natural ecosystems of Bangladesh are </w:t>
      </w:r>
      <w:r w:rsidRPr="00991DCE">
        <w:rPr>
          <w:rFonts w:cs="Times New Roman"/>
          <w:b/>
          <w:szCs w:val="24"/>
        </w:rPr>
        <w:t>wetlands (Haors).</w:t>
      </w:r>
      <w:r w:rsidRPr="00991DCE">
        <w:rPr>
          <w:rFonts w:cs="Times New Roman"/>
          <w:szCs w:val="24"/>
        </w:rPr>
        <w:t xml:space="preserve"> Intricate networks of rivers that drain into and inundate Bangladesh have created many riverine ecosystems in the country. Bangladesh is a land of many small and large rivers densely </w:t>
      </w:r>
      <w:r w:rsidR="00376FBF" w:rsidRPr="00991DCE">
        <w:rPr>
          <w:rFonts w:cs="Times New Roman"/>
          <w:szCs w:val="24"/>
        </w:rPr>
        <w:t>crisscrossing</w:t>
      </w:r>
      <w:r w:rsidRPr="00991DCE">
        <w:rPr>
          <w:rFonts w:cs="Times New Roman"/>
          <w:szCs w:val="24"/>
        </w:rPr>
        <w:t xml:space="preserve"> like a net covering almost the entire country. The Tanguar</w:t>
      </w:r>
      <w:r>
        <w:rPr>
          <w:rFonts w:cs="Times New Roman"/>
          <w:szCs w:val="24"/>
        </w:rPr>
        <w:t xml:space="preserve"> </w:t>
      </w:r>
      <w:r w:rsidRPr="00991DCE">
        <w:rPr>
          <w:rFonts w:cs="Times New Roman"/>
          <w:szCs w:val="24"/>
        </w:rPr>
        <w:t>Haor, Aila</w:t>
      </w:r>
      <w:r>
        <w:rPr>
          <w:rFonts w:cs="Times New Roman"/>
          <w:szCs w:val="24"/>
        </w:rPr>
        <w:t xml:space="preserve"> </w:t>
      </w:r>
      <w:r w:rsidRPr="00991DCE">
        <w:rPr>
          <w:rFonts w:cs="Times New Roman"/>
          <w:szCs w:val="24"/>
        </w:rPr>
        <w:t>Beel, Hakaluki</w:t>
      </w:r>
      <w:r>
        <w:rPr>
          <w:rFonts w:cs="Times New Roman"/>
          <w:szCs w:val="24"/>
        </w:rPr>
        <w:t xml:space="preserve"> </w:t>
      </w:r>
      <w:r w:rsidRPr="00991DCE">
        <w:rPr>
          <w:rFonts w:cs="Times New Roman"/>
          <w:szCs w:val="24"/>
        </w:rPr>
        <w:t xml:space="preserve">Haor and Hail Haor are considered as Important Bird Areas (IBA). Remnant swamp forest patches are now restricted to sloping areas, helping to protect homesteads from wave erosion, while some are recently replanted areas. The </w:t>
      </w:r>
      <w:r w:rsidRPr="00991DCE">
        <w:rPr>
          <w:rFonts w:cs="Times New Roman"/>
          <w:b/>
          <w:szCs w:val="24"/>
        </w:rPr>
        <w:t>Chalan</w:t>
      </w:r>
      <w:r>
        <w:rPr>
          <w:rFonts w:cs="Times New Roman"/>
          <w:b/>
          <w:szCs w:val="24"/>
        </w:rPr>
        <w:t xml:space="preserve"> </w:t>
      </w:r>
      <w:r w:rsidRPr="00991DCE">
        <w:rPr>
          <w:rFonts w:cs="Times New Roman"/>
          <w:b/>
          <w:szCs w:val="24"/>
        </w:rPr>
        <w:t>beel</w:t>
      </w:r>
      <w:r w:rsidRPr="00991DCE">
        <w:rPr>
          <w:rFonts w:cs="Times New Roman"/>
          <w:szCs w:val="24"/>
        </w:rPr>
        <w:t xml:space="preserve"> is an extensive low land area at the lower Atrai basin in the north-eastern region of Bangladesh spread across the districts</w:t>
      </w:r>
      <w:r w:rsidR="00962CB1">
        <w:rPr>
          <w:rFonts w:cs="Times New Roman"/>
          <w:szCs w:val="24"/>
        </w:rPr>
        <w:t xml:space="preserve"> of Natore, Pabna and Sirajganj.  I</w:t>
      </w:r>
      <w:r w:rsidRPr="00991DCE">
        <w:rPr>
          <w:rFonts w:cs="Times New Roman"/>
          <w:szCs w:val="24"/>
        </w:rPr>
        <w:t xml:space="preserve">t consists of a series of beels connected to one another by various channels to form more or less a continuous water body during the rainy season. As long as the Jamuna remains flooded during the monsoon months, the beel area expands into a vast water body with dense aquatic vegetation. It, however, dries out in the winter leaving only patches of ‘water-holes’ in the central part of this zone. </w:t>
      </w:r>
    </w:p>
    <w:p w:rsidR="005D381E" w:rsidRPr="00217ED0" w:rsidRDefault="005D381E" w:rsidP="00692127">
      <w:pPr>
        <w:pStyle w:val="BodyText"/>
        <w:spacing w:after="240" w:line="276" w:lineRule="auto"/>
        <w:jc w:val="both"/>
        <w:rPr>
          <w:rFonts w:cs="Times New Roman"/>
          <w:szCs w:val="24"/>
        </w:rPr>
      </w:pPr>
      <w:r w:rsidRPr="004B0A08">
        <w:rPr>
          <w:rFonts w:cs="Times New Roman"/>
          <w:i/>
          <w:szCs w:val="24"/>
        </w:rPr>
        <w:t xml:space="preserve">The </w:t>
      </w:r>
      <w:r w:rsidRPr="004B0A08">
        <w:rPr>
          <w:rFonts w:cs="Times New Roman"/>
          <w:bCs/>
          <w:i/>
          <w:szCs w:val="24"/>
        </w:rPr>
        <w:t xml:space="preserve">rivers </w:t>
      </w:r>
      <w:r w:rsidRPr="004B0A08">
        <w:rPr>
          <w:rFonts w:cs="Times New Roman"/>
          <w:i/>
          <w:szCs w:val="24"/>
        </w:rPr>
        <w:t>are the most important component for any ecosystem sustainability.</w:t>
      </w:r>
      <w:r w:rsidRPr="00991DCE">
        <w:rPr>
          <w:rFonts w:cs="Times New Roman"/>
          <w:szCs w:val="24"/>
        </w:rPr>
        <w:t xml:space="preserve"> Many species of fish, invertebrates, algae and birds depend on riverine ecosystem. The </w:t>
      </w:r>
      <w:r w:rsidRPr="00217ED0">
        <w:rPr>
          <w:rFonts w:cs="Times New Roman"/>
          <w:szCs w:val="24"/>
        </w:rPr>
        <w:t>floodplains</w:t>
      </w:r>
      <w:r>
        <w:rPr>
          <w:rFonts w:cs="Times New Roman"/>
          <w:szCs w:val="24"/>
        </w:rPr>
        <w:t xml:space="preserve"> (Teesta, Ganges, </w:t>
      </w:r>
      <w:r w:rsidRPr="007E3364">
        <w:rPr>
          <w:rFonts w:cs="Times New Roman"/>
          <w:szCs w:val="24"/>
        </w:rPr>
        <w:t>Brahmaputra-Jamuna, Surma-Kushiari, and Meghna floodplains</w:t>
      </w:r>
      <w:r>
        <w:rPr>
          <w:rFonts w:cs="Times New Roman"/>
          <w:szCs w:val="24"/>
        </w:rPr>
        <w:t xml:space="preserve">) are </w:t>
      </w:r>
      <w:r w:rsidRPr="00991DCE">
        <w:rPr>
          <w:rFonts w:cs="Times New Roman"/>
          <w:szCs w:val="24"/>
        </w:rPr>
        <w:t>landforms</w:t>
      </w:r>
      <w:r>
        <w:rPr>
          <w:rFonts w:cs="Times New Roman"/>
          <w:szCs w:val="24"/>
        </w:rPr>
        <w:t>,</w:t>
      </w:r>
      <w:r w:rsidRPr="00991DCE">
        <w:rPr>
          <w:rFonts w:cs="Times New Roman"/>
          <w:szCs w:val="24"/>
        </w:rPr>
        <w:t xml:space="preserve"> which are inundated in each monsoon</w:t>
      </w:r>
      <w:r>
        <w:rPr>
          <w:rFonts w:cs="Times New Roman"/>
          <w:szCs w:val="24"/>
        </w:rPr>
        <w:t>.</w:t>
      </w:r>
      <w:r w:rsidRPr="00991DCE">
        <w:rPr>
          <w:rFonts w:cs="Times New Roman"/>
          <w:szCs w:val="24"/>
        </w:rPr>
        <w:t xml:space="preserve"> Except for the Barind Tract, Hill Tracts, Madhupur</w:t>
      </w:r>
      <w:r>
        <w:rPr>
          <w:rFonts w:cs="Times New Roman"/>
          <w:szCs w:val="24"/>
        </w:rPr>
        <w:t xml:space="preserve"> </w:t>
      </w:r>
      <w:r w:rsidRPr="00991DCE">
        <w:rPr>
          <w:rFonts w:cs="Times New Roman"/>
          <w:szCs w:val="24"/>
        </w:rPr>
        <w:t xml:space="preserve">Shal Tract, and Akhaura Terrace, the rest of Bangladesh is under </w:t>
      </w:r>
      <w:r>
        <w:rPr>
          <w:rFonts w:cs="Times New Roman"/>
          <w:szCs w:val="24"/>
        </w:rPr>
        <w:t xml:space="preserve">the </w:t>
      </w:r>
      <w:r w:rsidRPr="00991DCE">
        <w:rPr>
          <w:rFonts w:cs="Times New Roman"/>
          <w:szCs w:val="24"/>
        </w:rPr>
        <w:t xml:space="preserve">floodplain ecosystem. The composition of plant and wildlife is almost same in the floodplain ecosystem. Vegetation of the floodplains </w:t>
      </w:r>
      <w:r>
        <w:rPr>
          <w:rFonts w:cs="Times New Roman"/>
          <w:szCs w:val="24"/>
        </w:rPr>
        <w:t>c</w:t>
      </w:r>
      <w:r w:rsidRPr="00991DCE">
        <w:rPr>
          <w:rFonts w:cs="Times New Roman"/>
          <w:szCs w:val="24"/>
        </w:rPr>
        <w:t>hang</w:t>
      </w:r>
      <w:r>
        <w:rPr>
          <w:rFonts w:cs="Times New Roman"/>
          <w:szCs w:val="24"/>
        </w:rPr>
        <w:t>es with</w:t>
      </w:r>
      <w:r w:rsidRPr="00991DCE">
        <w:rPr>
          <w:rFonts w:cs="Times New Roman"/>
          <w:szCs w:val="24"/>
        </w:rPr>
        <w:t xml:space="preserve"> fluctuation of water level</w:t>
      </w:r>
      <w:r>
        <w:rPr>
          <w:rFonts w:cs="Times New Roman"/>
          <w:szCs w:val="24"/>
        </w:rPr>
        <w:t>s; t</w:t>
      </w:r>
      <w:r w:rsidRPr="00991DCE">
        <w:rPr>
          <w:rFonts w:cs="Times New Roman"/>
          <w:szCs w:val="24"/>
        </w:rPr>
        <w:t xml:space="preserve">his type of seasonal wetland is dominated by grass and rooted floating plants. </w:t>
      </w:r>
      <w:r>
        <w:rPr>
          <w:rFonts w:cs="Times New Roman"/>
          <w:szCs w:val="24"/>
        </w:rPr>
        <w:t xml:space="preserve">In the </w:t>
      </w:r>
      <w:r w:rsidRPr="00991DCE">
        <w:rPr>
          <w:rFonts w:cs="Times New Roman"/>
          <w:szCs w:val="24"/>
        </w:rPr>
        <w:t>dry season, floodplains are converted into agricultural fields. The floodplains, situated close to the coasts, are more influenced by the saline waters of Bay of Bengal.</w:t>
      </w:r>
      <w:r w:rsidRPr="00217ED0">
        <w:rPr>
          <w:rFonts w:cs="Times New Roman"/>
          <w:szCs w:val="24"/>
        </w:rPr>
        <w:t xml:space="preserve"> </w:t>
      </w:r>
      <w:r w:rsidRPr="004B0A08">
        <w:rPr>
          <w:rFonts w:cs="Times New Roman"/>
          <w:i/>
          <w:szCs w:val="24"/>
        </w:rPr>
        <w:t xml:space="preserve">The </w:t>
      </w:r>
      <w:r w:rsidR="00376FBF" w:rsidRPr="004B0A08">
        <w:rPr>
          <w:rFonts w:cs="Times New Roman"/>
          <w:i/>
          <w:szCs w:val="24"/>
        </w:rPr>
        <w:t>Gopalganj</w:t>
      </w:r>
      <w:r w:rsidRPr="004B0A08">
        <w:rPr>
          <w:rFonts w:cs="Times New Roman"/>
          <w:i/>
          <w:szCs w:val="24"/>
        </w:rPr>
        <w:t>-Khulna Peatlands occupy a number of low-lying areas between the Ganges river floodplain and the Ganges tidal floodplain in the south of Faridpur region and the adjoining parts of Khulna and Jessore districts.</w:t>
      </w:r>
      <w:r w:rsidRPr="00217ED0">
        <w:rPr>
          <w:rFonts w:cs="Times New Roman"/>
          <w:szCs w:val="24"/>
        </w:rPr>
        <w:t xml:space="preserve"> Thick deposits of peat occupy perennially wet basins, but they are covered by clay around the edges and by calcareous silty sediments along the Ganges tributaries crossing the zone. Most of the layers harden irreversibly into coal-like lumps when dry. The soil, in this zone, is potentially strongly acidic and low in essential plant nutrients. The basins are deeply flooded by rainwater during the monsoon season. However, in the basin area close to Khulna, the flooded water is somewhat brackish. Understandably then, the floral diversity in this zone is quite limited. </w:t>
      </w:r>
    </w:p>
    <w:p w:rsidR="005D381E" w:rsidRPr="00217ED0" w:rsidRDefault="005D381E" w:rsidP="00692127">
      <w:pPr>
        <w:pStyle w:val="BodyText"/>
        <w:spacing w:after="240" w:line="276" w:lineRule="auto"/>
        <w:jc w:val="both"/>
        <w:rPr>
          <w:rFonts w:cs="Times New Roman"/>
          <w:szCs w:val="24"/>
        </w:rPr>
      </w:pPr>
      <w:r w:rsidRPr="00217ED0">
        <w:rPr>
          <w:rFonts w:cs="Times New Roman"/>
          <w:szCs w:val="24"/>
        </w:rPr>
        <w:t xml:space="preserve">The river channel is continuously shifting within its active floodplains, eroding and depositing large areas of new </w:t>
      </w:r>
      <w:r w:rsidR="00376FBF" w:rsidRPr="00217ED0">
        <w:rPr>
          <w:rFonts w:cs="Times New Roman"/>
          <w:szCs w:val="24"/>
        </w:rPr>
        <w:t>char lands</w:t>
      </w:r>
      <w:r w:rsidRPr="00217ED0">
        <w:rPr>
          <w:rFonts w:cs="Times New Roman"/>
          <w:szCs w:val="24"/>
        </w:rPr>
        <w:t xml:space="preserve"> in each flooding season. A good succession of plants and animals in new </w:t>
      </w:r>
      <w:r w:rsidR="00376FBF" w:rsidRPr="00217ED0">
        <w:rPr>
          <w:rFonts w:cs="Times New Roman"/>
          <w:szCs w:val="24"/>
        </w:rPr>
        <w:t>char lands</w:t>
      </w:r>
      <w:r w:rsidRPr="00217ED0">
        <w:rPr>
          <w:rFonts w:cs="Times New Roman"/>
          <w:szCs w:val="24"/>
        </w:rPr>
        <w:t xml:space="preserve"> has been observed. Chars are good habitats for some of the avian fauna and </w:t>
      </w:r>
      <w:r w:rsidRPr="00217ED0">
        <w:rPr>
          <w:rFonts w:cs="Times New Roman"/>
          <w:szCs w:val="24"/>
        </w:rPr>
        <w:lastRenderedPageBreak/>
        <w:t xml:space="preserve">amphibians because of noise and disturbance-free condition. </w:t>
      </w:r>
      <w:r w:rsidR="00376FBF" w:rsidRPr="00217ED0">
        <w:rPr>
          <w:rFonts w:cs="Times New Roman"/>
          <w:szCs w:val="24"/>
        </w:rPr>
        <w:t>Char lan</w:t>
      </w:r>
      <w:r w:rsidR="00376FBF">
        <w:rPr>
          <w:rFonts w:cs="Times New Roman"/>
          <w:szCs w:val="24"/>
        </w:rPr>
        <w:t>ds</w:t>
      </w:r>
      <w:r w:rsidRPr="00217ED0">
        <w:rPr>
          <w:rFonts w:cs="Times New Roman"/>
          <w:szCs w:val="24"/>
        </w:rPr>
        <w:t xml:space="preserve"> support </w:t>
      </w:r>
      <w:r>
        <w:rPr>
          <w:rFonts w:cs="Times New Roman"/>
          <w:szCs w:val="24"/>
        </w:rPr>
        <w:t xml:space="preserve">a </w:t>
      </w:r>
      <w:r w:rsidRPr="00217ED0">
        <w:rPr>
          <w:rFonts w:cs="Times New Roman"/>
          <w:szCs w:val="24"/>
        </w:rPr>
        <w:t>good number of avifauna like cisticola, prinia, wa</w:t>
      </w:r>
      <w:r>
        <w:rPr>
          <w:rFonts w:cs="Times New Roman"/>
          <w:szCs w:val="24"/>
        </w:rPr>
        <w:t>r</w:t>
      </w:r>
      <w:r w:rsidRPr="00217ED0">
        <w:rPr>
          <w:rFonts w:cs="Times New Roman"/>
          <w:szCs w:val="24"/>
        </w:rPr>
        <w:t xml:space="preserve">blers, grassbirds, larks, pipits and munias. </w:t>
      </w:r>
      <w:r w:rsidR="00376FBF" w:rsidRPr="00217ED0">
        <w:rPr>
          <w:rFonts w:cs="Times New Roman"/>
          <w:szCs w:val="24"/>
        </w:rPr>
        <w:t>Char lands</w:t>
      </w:r>
      <w:r w:rsidRPr="00217ED0">
        <w:rPr>
          <w:rFonts w:cs="Times New Roman"/>
          <w:szCs w:val="24"/>
        </w:rPr>
        <w:t xml:space="preserve"> also support numerous mollusks</w:t>
      </w:r>
      <w:r>
        <w:rPr>
          <w:rFonts w:cs="Times New Roman"/>
          <w:szCs w:val="24"/>
        </w:rPr>
        <w:t>,</w:t>
      </w:r>
      <w:r w:rsidRPr="00217ED0">
        <w:rPr>
          <w:rFonts w:cs="Times New Roman"/>
          <w:szCs w:val="24"/>
        </w:rPr>
        <w:t xml:space="preserve"> which are the feed for water birds, fishes and other aquatic faunal species. The pattern of succession depends on how long the </w:t>
      </w:r>
      <w:r w:rsidR="00376FBF" w:rsidRPr="00217ED0">
        <w:rPr>
          <w:rFonts w:cs="Times New Roman"/>
          <w:szCs w:val="24"/>
        </w:rPr>
        <w:t>char land</w:t>
      </w:r>
      <w:r w:rsidRPr="00217ED0">
        <w:rPr>
          <w:rFonts w:cs="Times New Roman"/>
          <w:szCs w:val="24"/>
        </w:rPr>
        <w:t xml:space="preserve"> has been permanent. A major part of these </w:t>
      </w:r>
      <w:r w:rsidR="00376FBF" w:rsidRPr="00217ED0">
        <w:rPr>
          <w:rFonts w:cs="Times New Roman"/>
          <w:szCs w:val="24"/>
        </w:rPr>
        <w:t>char lands</w:t>
      </w:r>
      <w:r w:rsidRPr="00217ED0">
        <w:rPr>
          <w:rFonts w:cs="Times New Roman"/>
          <w:szCs w:val="24"/>
        </w:rPr>
        <w:t xml:space="preserve"> are seasonally inundated in monsoon and deposit more sand on land surface. During dry season, large portions of the land are used for paddy, maize, sugarcane and groundnut cultivation. </w:t>
      </w:r>
    </w:p>
    <w:p w:rsidR="005D381E" w:rsidRPr="00BD5C32" w:rsidRDefault="005D381E" w:rsidP="00692127">
      <w:pPr>
        <w:pStyle w:val="BodyText"/>
        <w:spacing w:after="240" w:line="276" w:lineRule="auto"/>
        <w:jc w:val="both"/>
        <w:rPr>
          <w:rFonts w:cs="Times New Roman"/>
          <w:szCs w:val="24"/>
        </w:rPr>
      </w:pPr>
      <w:r w:rsidRPr="00834D7B">
        <w:rPr>
          <w:rFonts w:cs="Times New Roman"/>
          <w:szCs w:val="24"/>
        </w:rPr>
        <w:t xml:space="preserve">Mangroves </w:t>
      </w:r>
      <w:r w:rsidRPr="00BD5C32">
        <w:rPr>
          <w:rFonts w:cs="Times New Roman"/>
          <w:szCs w:val="24"/>
        </w:rPr>
        <w:t>are a unique ecosystem hosting incredible biodiversity: migratory birds, marine creatures and reptiles; in addition to associated species of flora function as natural water treatment system</w:t>
      </w:r>
      <w:r>
        <w:rPr>
          <w:rFonts w:cs="Times New Roman"/>
          <w:szCs w:val="24"/>
        </w:rPr>
        <w:t>,</w:t>
      </w:r>
      <w:r w:rsidRPr="00BD5C32">
        <w:rPr>
          <w:rFonts w:cs="Times New Roman"/>
          <w:szCs w:val="24"/>
        </w:rPr>
        <w:t xml:space="preserve"> as spawning grounds for fish, and provide several resources to local communities who directly or indirectly depend upon them for their livelihoods and sustenance. The </w:t>
      </w:r>
      <w:r w:rsidRPr="00834D7B">
        <w:rPr>
          <w:rFonts w:cs="Times New Roman"/>
          <w:szCs w:val="24"/>
        </w:rPr>
        <w:t>Sundarbans</w:t>
      </w:r>
      <w:r>
        <w:rPr>
          <w:rFonts w:cs="Times New Roman"/>
          <w:szCs w:val="24"/>
        </w:rPr>
        <w:t>,</w:t>
      </w:r>
      <w:r w:rsidRPr="00BD5C32">
        <w:rPr>
          <w:rFonts w:cs="Times New Roman"/>
          <w:szCs w:val="24"/>
        </w:rPr>
        <w:t xml:space="preserve"> </w:t>
      </w:r>
      <w:r>
        <w:rPr>
          <w:rFonts w:cs="Times New Roman"/>
          <w:szCs w:val="24"/>
        </w:rPr>
        <w:t xml:space="preserve">a national treasure shared with India, </w:t>
      </w:r>
      <w:r w:rsidRPr="00BD5C32">
        <w:rPr>
          <w:rFonts w:cs="Times New Roman"/>
          <w:szCs w:val="24"/>
        </w:rPr>
        <w:t>is of global importance as the largest mangrove forest in the world. Intact mangroves form a natural coastline buffer against floods, storms or other natural disasters such as tsunamis and hurricanes protecting the coasts from erosion. The Bangladesh part of the Sundarban extends over an area of about 6,017 km</w:t>
      </w:r>
      <w:r w:rsidRPr="006E22E3">
        <w:rPr>
          <w:rFonts w:cs="Times New Roman"/>
          <w:vertAlign w:val="superscript"/>
        </w:rPr>
        <w:t>2</w:t>
      </w:r>
      <w:r w:rsidRPr="00BD5C32">
        <w:rPr>
          <w:rFonts w:cs="Times New Roman"/>
          <w:szCs w:val="24"/>
        </w:rPr>
        <w:t>, of which 4,142 km</w:t>
      </w:r>
      <w:r w:rsidRPr="006E22E3">
        <w:rPr>
          <w:rFonts w:cs="Times New Roman"/>
          <w:vertAlign w:val="superscript"/>
        </w:rPr>
        <w:t>2</w:t>
      </w:r>
      <w:r w:rsidRPr="00BD5C32">
        <w:rPr>
          <w:rFonts w:cs="Times New Roman"/>
          <w:szCs w:val="24"/>
        </w:rPr>
        <w:t xml:space="preserve"> is island and 1,875 km</w:t>
      </w:r>
      <w:r w:rsidRPr="006E22E3">
        <w:rPr>
          <w:rFonts w:cs="Times New Roman"/>
          <w:vertAlign w:val="superscript"/>
        </w:rPr>
        <w:t>2</w:t>
      </w:r>
      <w:r w:rsidRPr="00BD5C32">
        <w:rPr>
          <w:rFonts w:cs="Times New Roman"/>
          <w:szCs w:val="24"/>
        </w:rPr>
        <w:t xml:space="preserve"> is water. About 62% of the forest lies in the administrative districts of Bagerhat, Khulna and Satkhira. This mangrove tract constitutes 44% of the total forest area in Bangladesh and contributes about 50% of the total revenue derived from the forestry sector. This area was declared as Reserved Forests in 1875 and handed over to the Forest Department (FD) for management; the FD manages this area as the Sundarbans Reserved Forests (SRF). A part of the Bangladesh Sundarbans (about 139,700 ha) is under three wildlife sanctuaries, designated as a World Heritage Site (WHS) by UNESCO in 1997 and classified as a natural heritage. The floristic composition of the Sundarbans is rich compared to many other mangrove areas of the world. </w:t>
      </w:r>
      <w:r w:rsidR="009D48C5">
        <w:rPr>
          <w:rFonts w:cs="Times New Roman"/>
          <w:szCs w:val="24"/>
        </w:rPr>
        <w:t xml:space="preserve">The </w:t>
      </w:r>
      <w:r w:rsidRPr="00BD5C32">
        <w:rPr>
          <w:rFonts w:cs="Times New Roman"/>
          <w:szCs w:val="24"/>
        </w:rPr>
        <w:t>Sundarbans is the habitat of the Royal Bengal Tig</w:t>
      </w:r>
      <w:r w:rsidR="00041A07">
        <w:rPr>
          <w:rFonts w:cs="Times New Roman"/>
          <w:szCs w:val="24"/>
        </w:rPr>
        <w:t>ers and according to the Tiger C</w:t>
      </w:r>
      <w:r w:rsidRPr="00BD5C32">
        <w:rPr>
          <w:rFonts w:cs="Times New Roman"/>
          <w:szCs w:val="24"/>
        </w:rPr>
        <w:t>ensus 2015, there are 106 tigers residing in the Su</w:t>
      </w:r>
      <w:r w:rsidR="003E13BD">
        <w:rPr>
          <w:rFonts w:cs="Times New Roman"/>
          <w:szCs w:val="24"/>
        </w:rPr>
        <w:t>ndarban</w:t>
      </w:r>
      <w:r w:rsidR="00041A07">
        <w:rPr>
          <w:rFonts w:cs="Times New Roman"/>
          <w:szCs w:val="24"/>
        </w:rPr>
        <w:t>s</w:t>
      </w:r>
      <w:r w:rsidR="003E13BD">
        <w:rPr>
          <w:rFonts w:cs="Times New Roman"/>
          <w:szCs w:val="24"/>
        </w:rPr>
        <w:t xml:space="preserve"> of Bangladesh</w:t>
      </w:r>
      <w:r w:rsidRPr="00BD5C32">
        <w:rPr>
          <w:rFonts w:cs="Times New Roman"/>
          <w:szCs w:val="24"/>
        </w:rPr>
        <w:t xml:space="preserve"> whereas in 2004 the population was 440.  Wildlife poaching and illegal trade of wildlife and their </w:t>
      </w:r>
      <w:r w:rsidR="009D48C5">
        <w:rPr>
          <w:rFonts w:cs="Times New Roman"/>
          <w:szCs w:val="24"/>
        </w:rPr>
        <w:t>organs remain a challenge</w:t>
      </w:r>
      <w:r w:rsidRPr="00BD5C32">
        <w:rPr>
          <w:rFonts w:cs="Times New Roman"/>
          <w:szCs w:val="24"/>
        </w:rPr>
        <w:t xml:space="preserve">. </w:t>
      </w:r>
    </w:p>
    <w:p w:rsidR="007B337F" w:rsidRDefault="005D381E" w:rsidP="00692127">
      <w:pPr>
        <w:pStyle w:val="BodyText"/>
        <w:spacing w:after="240" w:line="276" w:lineRule="auto"/>
        <w:jc w:val="both"/>
        <w:rPr>
          <w:rFonts w:cs="Times New Roman"/>
          <w:szCs w:val="24"/>
        </w:rPr>
      </w:pPr>
      <w:r w:rsidRPr="00CE590F">
        <w:rPr>
          <w:rFonts w:cs="Times New Roman"/>
          <w:szCs w:val="24"/>
        </w:rPr>
        <w:t xml:space="preserve">Bangladesh is situated at the head of the Bay of Bengal. The coast is characterized by a vast network of rivers (24,000 km in length) covering an area of 9,380 </w:t>
      </w:r>
      <w:r w:rsidRPr="00BD5C32">
        <w:rPr>
          <w:rFonts w:cs="Times New Roman"/>
          <w:szCs w:val="24"/>
        </w:rPr>
        <w:t>km</w:t>
      </w:r>
      <w:r w:rsidRPr="006E22E3">
        <w:rPr>
          <w:rFonts w:cs="Times New Roman"/>
          <w:vertAlign w:val="superscript"/>
        </w:rPr>
        <w:t>2</w:t>
      </w:r>
      <w:r w:rsidRPr="00CE590F">
        <w:rPr>
          <w:rFonts w:cs="Times New Roman"/>
          <w:szCs w:val="24"/>
        </w:rPr>
        <w:t xml:space="preserve">, a large number of islands between channels, a submarine canyon (Swatch of No Ground), the funnel shaped part of the northern Bay of Bengal. The area of the sea that makes up the Bangladesh Exclusive Economic Zone (EEZ) is estimated to be about 1,125,000 </w:t>
      </w:r>
      <w:r w:rsidRPr="00BD5C32">
        <w:rPr>
          <w:rFonts w:cs="Times New Roman"/>
          <w:szCs w:val="24"/>
        </w:rPr>
        <w:t>km</w:t>
      </w:r>
      <w:r w:rsidRPr="006E22E3">
        <w:rPr>
          <w:rFonts w:cs="Times New Roman"/>
          <w:vertAlign w:val="superscript"/>
        </w:rPr>
        <w:t>2</w:t>
      </w:r>
      <w:r w:rsidRPr="00CE590F">
        <w:rPr>
          <w:rFonts w:cs="Times New Roman"/>
          <w:szCs w:val="24"/>
        </w:rPr>
        <w:t xml:space="preserve"> and spreads up to 200 nautical miles. A huge number of offshore islands are scattered in the Bay of Bengal. </w:t>
      </w:r>
      <w:r w:rsidR="009D48C5">
        <w:rPr>
          <w:rFonts w:cs="Times New Roman"/>
          <w:szCs w:val="24"/>
        </w:rPr>
        <w:t xml:space="preserve">The </w:t>
      </w:r>
      <w:r w:rsidRPr="00CE590F">
        <w:rPr>
          <w:rFonts w:cs="Times New Roman"/>
          <w:szCs w:val="24"/>
        </w:rPr>
        <w:t>Saint Martin’s Island (</w:t>
      </w:r>
      <w:r w:rsidR="009D48C5">
        <w:rPr>
          <w:rFonts w:cs="Times New Roman"/>
          <w:szCs w:val="24"/>
        </w:rPr>
        <w:t>Narikel Jinjira</w:t>
      </w:r>
      <w:r w:rsidRPr="00CE590F">
        <w:rPr>
          <w:rFonts w:cs="Times New Roman"/>
          <w:szCs w:val="24"/>
        </w:rPr>
        <w:t>) is the only coral bearing island of Bangladesh, and therefore it is of significance in the context of coastal and marine ecosystems. Estuarine flood plains, sand dunes and beaches characterize the coastal ecosystems of Bangladesh. The Meghna flood plains of Noakhali and Lakshmipur districts are inundated seasonally attract</w:t>
      </w:r>
      <w:r>
        <w:rPr>
          <w:rFonts w:cs="Times New Roman"/>
          <w:szCs w:val="24"/>
        </w:rPr>
        <w:t>ing</w:t>
      </w:r>
      <w:r w:rsidRPr="00CE590F">
        <w:rPr>
          <w:rFonts w:cs="Times New Roman"/>
          <w:szCs w:val="24"/>
        </w:rPr>
        <w:t xml:space="preserve"> a wide variety of birds, including the migratory ones. Rare species of birds including the Globally Critically Endangered Spoon-bill Sandpiper and Indian skimmer (</w:t>
      </w:r>
      <w:r w:rsidR="00F64A6A" w:rsidRPr="00F64A6A">
        <w:rPr>
          <w:rFonts w:cs="Times New Roman"/>
          <w:i/>
          <w:szCs w:val="24"/>
        </w:rPr>
        <w:t>Rhynchops albicollis</w:t>
      </w:r>
      <w:r w:rsidRPr="00CE590F">
        <w:rPr>
          <w:rFonts w:cs="Times New Roman"/>
          <w:szCs w:val="24"/>
        </w:rPr>
        <w:t xml:space="preserve">) visit this ecosystem including Sonadia </w:t>
      </w:r>
      <w:r w:rsidRPr="00CE590F">
        <w:rPr>
          <w:rFonts w:cs="Times New Roman"/>
          <w:szCs w:val="24"/>
        </w:rPr>
        <w:lastRenderedPageBreak/>
        <w:t xml:space="preserve">Island, which is a global hotspot of Spoon-billed Sandpiper. The beaches and sand dunes also attract sea turtles. </w:t>
      </w:r>
    </w:p>
    <w:p w:rsidR="007B337F" w:rsidRDefault="005D381E" w:rsidP="00692127">
      <w:pPr>
        <w:pStyle w:val="BodyText"/>
        <w:spacing w:after="240" w:line="276" w:lineRule="auto"/>
        <w:jc w:val="both"/>
        <w:rPr>
          <w:rFonts w:cs="Segoe UI"/>
          <w:sz w:val="20"/>
          <w:szCs w:val="20"/>
        </w:rPr>
      </w:pPr>
      <w:r w:rsidRPr="00CE590F">
        <w:rPr>
          <w:rFonts w:cs="Times New Roman"/>
          <w:szCs w:val="24"/>
        </w:rPr>
        <w:t>This extensive open water ecosystem extends southwards into the Bay of Bengal. The coastline of Bangladesh is 714 km long and can be broadly divided into three regions: the eastern region (Pacific type), the active delta of the central region, and the stable deltaic western region (Atlantic type). The shallower part of southern continental shelf off the coast of the Sundarbans, Patuakhali and Noakhali is covered by silt and clay; and extensive muddy tidal flats have developed along the shoreline. Some of the shoals and sand ridges present on this part of the continental shelf, show an elongation pattern pointed towards the Swatch of No Ground.</w:t>
      </w:r>
    </w:p>
    <w:p w:rsidR="00000000" w:rsidRDefault="007B337F" w:rsidP="003D5A31">
      <w:pPr>
        <w:pStyle w:val="ListParagraph"/>
        <w:numPr>
          <w:ilvl w:val="2"/>
          <w:numId w:val="234"/>
        </w:numPr>
        <w:rPr>
          <w:b/>
        </w:rPr>
      </w:pPr>
      <w:r w:rsidRPr="005E319F">
        <w:rPr>
          <w:b/>
        </w:rPr>
        <w:t>Major C</w:t>
      </w:r>
      <w:r w:rsidR="005D381E" w:rsidRPr="005E319F">
        <w:rPr>
          <w:b/>
        </w:rPr>
        <w:t>hallenges</w:t>
      </w:r>
      <w:r w:rsidRPr="005E319F">
        <w:rPr>
          <w:b/>
        </w:rPr>
        <w:t xml:space="preserve"> to the Ecosystems</w:t>
      </w:r>
      <w:r w:rsidR="001B103B" w:rsidRPr="005E319F">
        <w:rPr>
          <w:b/>
        </w:rPr>
        <w:t xml:space="preserve"> from Climate Change</w:t>
      </w:r>
    </w:p>
    <w:p w:rsidR="0099271E" w:rsidRDefault="00DB5494" w:rsidP="00692127">
      <w:pPr>
        <w:pStyle w:val="BodyText"/>
        <w:spacing w:after="240" w:line="276" w:lineRule="auto"/>
        <w:jc w:val="both"/>
        <w:rPr>
          <w:rFonts w:cs="Times New Roman"/>
          <w:szCs w:val="24"/>
        </w:rPr>
      </w:pPr>
      <w:r>
        <w:rPr>
          <w:rFonts w:cs="Times New Roman"/>
          <w:szCs w:val="24"/>
        </w:rPr>
        <w:t>The major challenges emerge from</w:t>
      </w:r>
      <w:r w:rsidR="007B337F">
        <w:rPr>
          <w:rFonts w:cs="Times New Roman"/>
          <w:szCs w:val="24"/>
        </w:rPr>
        <w:t xml:space="preserve"> </w:t>
      </w:r>
      <w:r w:rsidR="005D381E" w:rsidRPr="00893B6D">
        <w:rPr>
          <w:rFonts w:cs="Times New Roman"/>
          <w:szCs w:val="24"/>
        </w:rPr>
        <w:t>pressures that bring changes in land use in both terre</w:t>
      </w:r>
      <w:r>
        <w:rPr>
          <w:rFonts w:cs="Times New Roman"/>
          <w:szCs w:val="24"/>
        </w:rPr>
        <w:t>strial and aquatic environments.  These include</w:t>
      </w:r>
      <w:r w:rsidR="005D381E" w:rsidRPr="00893B6D">
        <w:rPr>
          <w:rFonts w:cs="Times New Roman"/>
          <w:szCs w:val="24"/>
        </w:rPr>
        <w:t xml:space="preserve"> demand for increased agricultural lands, collection of fuel wood, and non-timber forest products by the local communities, natural habitats converted into human habitations, ecosystem fr</w:t>
      </w:r>
      <w:r>
        <w:rPr>
          <w:rFonts w:cs="Times New Roman"/>
          <w:szCs w:val="24"/>
        </w:rPr>
        <w:t>agmentation and loss of habitat.  Additionally, there is</w:t>
      </w:r>
      <w:r w:rsidR="005D381E" w:rsidRPr="00893B6D">
        <w:rPr>
          <w:rFonts w:cs="Times New Roman"/>
          <w:szCs w:val="24"/>
        </w:rPr>
        <w:t xml:space="preserve"> degradation of habitats in all ecosystems and landscapes, change in hydrological regimes, pollution, poorly managed and unsustainable tourism (St. Martin's Island, Lawachara National Park, Ratargul Swamp Forest, Madhabkundu Eco-park and Sundarban), unsustainable agricultural practices, urban expansion, invasive alien species, and impacts of climate change including sea level rise. Unchecked challenges will cause irreparable losses </w:t>
      </w:r>
      <w:r w:rsidR="005D381E">
        <w:rPr>
          <w:rFonts w:cs="Times New Roman"/>
          <w:szCs w:val="24"/>
        </w:rPr>
        <w:t xml:space="preserve">of </w:t>
      </w:r>
      <w:r w:rsidR="005D381E" w:rsidRPr="00893B6D">
        <w:rPr>
          <w:rFonts w:cs="Times New Roman"/>
          <w:szCs w:val="24"/>
        </w:rPr>
        <w:t>ecosystem services relating to: (a) provisioning services such as food an</w:t>
      </w:r>
      <w:r w:rsidR="005D381E">
        <w:rPr>
          <w:rFonts w:cs="Times New Roman"/>
          <w:szCs w:val="24"/>
        </w:rPr>
        <w:t xml:space="preserve">d water; </w:t>
      </w:r>
      <w:r w:rsidR="005D381E" w:rsidRPr="00893B6D">
        <w:rPr>
          <w:rFonts w:cs="Times New Roman"/>
          <w:szCs w:val="24"/>
        </w:rPr>
        <w:t>(b) regulating services such as flood and disease control; (c) cultural services such as spiritual, recreational, and cultural benefits; and (d) supporting services, such as nutrient cycling, that maintain th</w:t>
      </w:r>
      <w:r w:rsidR="005F57A4">
        <w:rPr>
          <w:rFonts w:cs="Times New Roman"/>
          <w:szCs w:val="24"/>
        </w:rPr>
        <w:t>e conditions for life on Earth.</w:t>
      </w:r>
    </w:p>
    <w:p w:rsidR="00E86415" w:rsidRDefault="00E86415" w:rsidP="00E86415">
      <w:pPr>
        <w:pStyle w:val="BodyText"/>
        <w:spacing w:after="240" w:line="276" w:lineRule="auto"/>
        <w:jc w:val="both"/>
        <w:rPr>
          <w:rFonts w:cs="Times New Roman"/>
          <w:szCs w:val="24"/>
        </w:rPr>
      </w:pPr>
      <w:r>
        <w:rPr>
          <w:rFonts w:cs="Times New Roman"/>
          <w:szCs w:val="24"/>
        </w:rPr>
        <w:t>The p</w:t>
      </w:r>
      <w:r w:rsidRPr="004E6EF1">
        <w:rPr>
          <w:rFonts w:cs="Times New Roman"/>
          <w:szCs w:val="24"/>
        </w:rPr>
        <w:t xml:space="preserve">redicted rise </w:t>
      </w:r>
      <w:r>
        <w:rPr>
          <w:rFonts w:cs="Times New Roman"/>
          <w:szCs w:val="24"/>
        </w:rPr>
        <w:t xml:space="preserve">in sea level </w:t>
      </w:r>
      <w:r w:rsidRPr="004E6EF1">
        <w:rPr>
          <w:rFonts w:cs="Times New Roman"/>
          <w:szCs w:val="24"/>
        </w:rPr>
        <w:t xml:space="preserve">may inundate </w:t>
      </w:r>
      <w:r>
        <w:rPr>
          <w:rFonts w:cs="Times New Roman"/>
          <w:szCs w:val="24"/>
        </w:rPr>
        <w:t xml:space="preserve">up to </w:t>
      </w:r>
      <w:r w:rsidRPr="004E6EF1">
        <w:rPr>
          <w:rFonts w:cs="Times New Roman"/>
          <w:szCs w:val="24"/>
        </w:rPr>
        <w:t>75% of the Sundarbans</w:t>
      </w:r>
      <w:r>
        <w:rPr>
          <w:rFonts w:cs="Times New Roman"/>
          <w:szCs w:val="24"/>
        </w:rPr>
        <w:t>; h</w:t>
      </w:r>
      <w:r w:rsidRPr="004E6EF1">
        <w:rPr>
          <w:rFonts w:cs="Times New Roman"/>
          <w:szCs w:val="24"/>
        </w:rPr>
        <w:t xml:space="preserve">ighly specialized plants and animals will migrate to </w:t>
      </w:r>
      <w:r>
        <w:rPr>
          <w:rFonts w:cs="Times New Roman"/>
          <w:szCs w:val="24"/>
        </w:rPr>
        <w:t xml:space="preserve">the </w:t>
      </w:r>
      <w:r w:rsidRPr="004E6EF1">
        <w:rPr>
          <w:rFonts w:cs="Times New Roman"/>
          <w:szCs w:val="24"/>
        </w:rPr>
        <w:t xml:space="preserve">north or disappear while less specialized organisms may be in a position to adapt in </w:t>
      </w:r>
      <w:r>
        <w:rPr>
          <w:rFonts w:cs="Times New Roman"/>
          <w:szCs w:val="24"/>
        </w:rPr>
        <w:t xml:space="preserve">the </w:t>
      </w:r>
      <w:r w:rsidRPr="004E6EF1">
        <w:rPr>
          <w:rFonts w:cs="Times New Roman"/>
          <w:szCs w:val="24"/>
        </w:rPr>
        <w:t>newly cr</w:t>
      </w:r>
      <w:r>
        <w:rPr>
          <w:rFonts w:cs="Times New Roman"/>
          <w:szCs w:val="24"/>
        </w:rPr>
        <w:t>eated environment</w:t>
      </w:r>
      <w:r w:rsidRPr="004E6EF1">
        <w:rPr>
          <w:rFonts w:cs="Times New Roman"/>
          <w:szCs w:val="24"/>
        </w:rPr>
        <w:t>. Higher future CO</w:t>
      </w:r>
      <w:r w:rsidRPr="000E0679">
        <w:rPr>
          <w:rFonts w:cs="Times New Roman"/>
          <w:szCs w:val="24"/>
          <w:vertAlign w:val="subscript"/>
        </w:rPr>
        <w:t>2</w:t>
      </w:r>
      <w:r w:rsidRPr="004E6EF1">
        <w:rPr>
          <w:rFonts w:cs="Times New Roman"/>
          <w:szCs w:val="24"/>
        </w:rPr>
        <w:t xml:space="preserve"> levels could benefit forests with fertile soils in the Northeast. However, increased CO</w:t>
      </w:r>
      <w:r w:rsidRPr="000E0679">
        <w:rPr>
          <w:rFonts w:cs="Times New Roman"/>
          <w:szCs w:val="24"/>
          <w:vertAlign w:val="subscript"/>
        </w:rPr>
        <w:t>2</w:t>
      </w:r>
      <w:r w:rsidRPr="004E6EF1">
        <w:rPr>
          <w:rFonts w:cs="Times New Roman"/>
          <w:szCs w:val="24"/>
        </w:rPr>
        <w:t xml:space="preserve"> may not be as effective in promoting growth in the West and Southeast, where water is limited. Warming temperatures could </w:t>
      </w:r>
      <w:r>
        <w:rPr>
          <w:rFonts w:cs="Times New Roman"/>
          <w:szCs w:val="24"/>
        </w:rPr>
        <w:t xml:space="preserve">also </w:t>
      </w:r>
      <w:r w:rsidRPr="004E6EF1">
        <w:rPr>
          <w:rFonts w:cs="Times New Roman"/>
          <w:szCs w:val="24"/>
        </w:rPr>
        <w:t>increase the length of the growing season</w:t>
      </w:r>
      <w:r>
        <w:rPr>
          <w:rFonts w:cs="Times New Roman"/>
          <w:szCs w:val="24"/>
        </w:rPr>
        <w:t xml:space="preserve"> as well </w:t>
      </w:r>
      <w:r w:rsidRPr="004E6EF1">
        <w:rPr>
          <w:rFonts w:cs="Times New Roman"/>
          <w:szCs w:val="24"/>
        </w:rPr>
        <w:t xml:space="preserve">shift the geographic ranges of some tree species. Habitats of some types of trees are likely to move northward or to higher altitudes. Other species may be at risk locally or regionally if conditions in their current geographic range are no longer suitable. For example, species that currently exist only on mountaintops in some regions may die out as the climate warms since they cannot shift to a higher altitude. Climate change will likely increase the risk of drought in some areas and the risk of extreme precipitation and flooding in others. Increased temperatures would alter the timing of snowmelt, affecting the seasonal availability of water. Although many trees are resilient to some degree of drought, increases in temperature could make future droughts more damaging than those experienced in the past. In addition, drought increases wildfire risk, since dry trees and </w:t>
      </w:r>
      <w:r w:rsidRPr="004E6EF1">
        <w:rPr>
          <w:rFonts w:cs="Times New Roman"/>
          <w:szCs w:val="24"/>
        </w:rPr>
        <w:lastRenderedPageBreak/>
        <w:t xml:space="preserve">shrubs provide fuel to fires. Drought also reduces trees' ability to produce sap, which protects them from destructive insects such as pine beetles. </w:t>
      </w:r>
    </w:p>
    <w:p w:rsidR="007D4237" w:rsidRPr="007D4237" w:rsidRDefault="001F0B64" w:rsidP="00E86415">
      <w:pPr>
        <w:pStyle w:val="BodyText"/>
        <w:spacing w:after="240" w:line="276" w:lineRule="auto"/>
        <w:jc w:val="both"/>
        <w:rPr>
          <w:rFonts w:cs="Times New Roman"/>
          <w:szCs w:val="24"/>
        </w:rPr>
      </w:pPr>
      <w:r>
        <w:rPr>
          <w:rFonts w:cs="Times New Roman"/>
          <w:szCs w:val="24"/>
        </w:rPr>
        <w:t xml:space="preserve">Preservation of the ecosystem from the adverse </w:t>
      </w:r>
      <w:r w:rsidR="00E86415">
        <w:rPr>
          <w:rFonts w:cs="Times New Roman"/>
          <w:szCs w:val="24"/>
        </w:rPr>
        <w:t>impacts of climate change</w:t>
      </w:r>
      <w:r>
        <w:rPr>
          <w:rFonts w:cs="Times New Roman"/>
          <w:szCs w:val="24"/>
        </w:rPr>
        <w:t xml:space="preserve"> is very important to reduce the negative </w:t>
      </w:r>
      <w:r w:rsidR="00EB2DC9">
        <w:rPr>
          <w:rFonts w:cs="Times New Roman"/>
          <w:szCs w:val="24"/>
        </w:rPr>
        <w:t>consequences</w:t>
      </w:r>
      <w:r>
        <w:rPr>
          <w:rFonts w:cs="Times New Roman"/>
          <w:szCs w:val="24"/>
        </w:rPr>
        <w:t xml:space="preserve"> of natural disasters on human welfare.  F</w:t>
      </w:r>
      <w:r w:rsidR="00E86415">
        <w:rPr>
          <w:rFonts w:cs="Times New Roman"/>
          <w:szCs w:val="24"/>
        </w:rPr>
        <w:t>orests and trees can</w:t>
      </w:r>
      <w:r w:rsidR="00E86415" w:rsidRPr="00DB1F1A">
        <w:rPr>
          <w:rFonts w:cs="Times New Roman"/>
          <w:szCs w:val="24"/>
        </w:rPr>
        <w:t xml:space="preserve"> reduce wind velocity and storm surges; thick vegetation diminishes the tidal height, thus arresting the magnitude of devastation. Not only mangrove afforestation, social forestry can also be important in cyclone mitigation.</w:t>
      </w:r>
      <w:r w:rsidR="00E86415">
        <w:rPr>
          <w:rFonts w:cs="Times New Roman"/>
          <w:szCs w:val="24"/>
        </w:rPr>
        <w:t xml:space="preserve"> It may be advisable to create a </w:t>
      </w:r>
      <w:r w:rsidR="00E86415" w:rsidRPr="00DB1F1A">
        <w:rPr>
          <w:rFonts w:cs="Times New Roman"/>
          <w:szCs w:val="24"/>
        </w:rPr>
        <w:t xml:space="preserve">green belt of 3 to 4 km width depending on the position and configuration of the coast for protective purpose. The current height of the embankment is not consistent with the maximum height attainable by storm surges. Coastal embankment can be raised and planted with mangrove and mesophytic species </w:t>
      </w:r>
      <w:r w:rsidR="00E86415">
        <w:rPr>
          <w:rFonts w:cs="Times New Roman"/>
          <w:szCs w:val="24"/>
        </w:rPr>
        <w:t xml:space="preserve">(suitable to the coastal zone) </w:t>
      </w:r>
      <w:r w:rsidR="00E86415" w:rsidRPr="00DB1F1A">
        <w:rPr>
          <w:rFonts w:cs="Times New Roman"/>
          <w:szCs w:val="24"/>
        </w:rPr>
        <w:t>on both sides of the embankment to prevent sea water intrusion. The Sundarbans with a width of 80-100km from the sea is very effective in minimizing the intensity of cyclone speed before it reaches human habitation. Unfortunately, the Chokoria</w:t>
      </w:r>
      <w:r w:rsidR="00E86415">
        <w:rPr>
          <w:rFonts w:cs="Times New Roman"/>
          <w:szCs w:val="24"/>
        </w:rPr>
        <w:t xml:space="preserve"> </w:t>
      </w:r>
      <w:r w:rsidR="00E86415" w:rsidRPr="00DB1F1A">
        <w:rPr>
          <w:rFonts w:cs="Times New Roman"/>
          <w:szCs w:val="24"/>
        </w:rPr>
        <w:t xml:space="preserve">Sundarbans in the East has been completely cleared for shrimp farming. In 1991, </w:t>
      </w:r>
      <w:r w:rsidR="009D48C5">
        <w:rPr>
          <w:rFonts w:cs="Times New Roman"/>
          <w:szCs w:val="24"/>
        </w:rPr>
        <w:t>more than 135000</w:t>
      </w:r>
      <w:r w:rsidR="00E86415" w:rsidRPr="00DB1F1A">
        <w:rPr>
          <w:rFonts w:cs="Times New Roman"/>
          <w:szCs w:val="24"/>
        </w:rPr>
        <w:t xml:space="preserve"> people </w:t>
      </w:r>
      <w:r w:rsidR="009D48C5">
        <w:rPr>
          <w:rFonts w:cs="Times New Roman"/>
          <w:szCs w:val="24"/>
        </w:rPr>
        <w:t>killed</w:t>
      </w:r>
      <w:r w:rsidR="009D48C5" w:rsidRPr="00DB1F1A">
        <w:rPr>
          <w:rFonts w:cs="Times New Roman"/>
          <w:szCs w:val="24"/>
        </w:rPr>
        <w:t xml:space="preserve"> </w:t>
      </w:r>
      <w:r w:rsidR="00E86415" w:rsidRPr="00DB1F1A">
        <w:rPr>
          <w:rFonts w:cs="Times New Roman"/>
          <w:szCs w:val="24"/>
        </w:rPr>
        <w:t xml:space="preserve">due to </w:t>
      </w:r>
      <w:r w:rsidR="009D48C5">
        <w:rPr>
          <w:rFonts w:cs="Times New Roman"/>
          <w:szCs w:val="24"/>
        </w:rPr>
        <w:t xml:space="preserve">the </w:t>
      </w:r>
      <w:r w:rsidR="00E86415" w:rsidRPr="00DB1F1A">
        <w:rPr>
          <w:rFonts w:cs="Times New Roman"/>
          <w:szCs w:val="24"/>
        </w:rPr>
        <w:t>cyclone. Had there been a vegetation barrier, the loss could be much lower. In April 1991, a cyclone ravaged the Chittagong coastal belt but the people of Mirsrai and Sitakunda suffered least casualties</w:t>
      </w:r>
      <w:r w:rsidR="00E86415">
        <w:rPr>
          <w:rFonts w:cs="Times New Roman"/>
          <w:szCs w:val="24"/>
        </w:rPr>
        <w:t xml:space="preserve"> </w:t>
      </w:r>
      <w:r w:rsidR="00E86415" w:rsidRPr="00DB1F1A">
        <w:rPr>
          <w:rFonts w:cs="Times New Roman"/>
          <w:szCs w:val="24"/>
        </w:rPr>
        <w:t>primarily due to protection provided by 1-2 km wide plantation buffer along the shore. In coastal areas, foreshore afforestation is a proven cost-effective method to dissipate wave energy and reduce floods on embankments during storm surges. This was also evident during the 2007 Sidr and 2009 Aila cyclones. Even scattered and unplanned afforestation on the embankments affected by the cyclone Sidr substantially broke the storm surge velocity, reducing damages and losses.</w:t>
      </w:r>
    </w:p>
    <w:p w:rsidR="00F64A6A" w:rsidRDefault="00EA67A6" w:rsidP="00F64A6A">
      <w:pPr>
        <w:pStyle w:val="Heading2"/>
        <w:numPr>
          <w:ilvl w:val="0"/>
          <w:numId w:val="0"/>
        </w:numPr>
        <w:ind w:left="720"/>
      </w:pPr>
      <w:bookmarkStart w:id="48" w:name="_Toc474638840"/>
      <w:r w:rsidRPr="00EA67A6">
        <w:t>Natural Hazard Risks and Challenges by Hotspots</w:t>
      </w:r>
      <w:bookmarkEnd w:id="48"/>
    </w:p>
    <w:p w:rsidR="00000000" w:rsidRDefault="00A96654" w:rsidP="003D5A31">
      <w:pPr>
        <w:pStyle w:val="ListParagraph"/>
        <w:numPr>
          <w:ilvl w:val="2"/>
          <w:numId w:val="235"/>
        </w:numPr>
        <w:rPr>
          <w:b/>
        </w:rPr>
      </w:pPr>
      <w:r w:rsidRPr="005E319F">
        <w:rPr>
          <w:b/>
        </w:rPr>
        <w:t>Natural Hazard Risks in the Coastal Hotspot</w:t>
      </w:r>
    </w:p>
    <w:p w:rsidR="004B40BC" w:rsidRPr="00A1679C" w:rsidRDefault="00E86146" w:rsidP="00A1679C">
      <w:pPr>
        <w:pStyle w:val="BodyText"/>
        <w:spacing w:after="240" w:line="276" w:lineRule="auto"/>
        <w:jc w:val="both"/>
        <w:rPr>
          <w:rFonts w:cs="Times New Roman"/>
          <w:szCs w:val="24"/>
        </w:rPr>
      </w:pPr>
      <w:r w:rsidRPr="000127EE">
        <w:rPr>
          <w:rFonts w:cs="Times New Roman"/>
          <w:szCs w:val="24"/>
        </w:rPr>
        <w:t>Three hydrological indicators characterize the Coastal Zone Hotspot: salinity intrusion</w:t>
      </w:r>
      <w:r>
        <w:rPr>
          <w:rFonts w:cs="Times New Roman"/>
          <w:szCs w:val="24"/>
        </w:rPr>
        <w:t xml:space="preserve">, </w:t>
      </w:r>
      <w:r w:rsidRPr="000127EE">
        <w:rPr>
          <w:rFonts w:cs="Times New Roman"/>
          <w:szCs w:val="24"/>
        </w:rPr>
        <w:t xml:space="preserve">tidal </w:t>
      </w:r>
      <w:r>
        <w:rPr>
          <w:rFonts w:cs="Times New Roman"/>
          <w:szCs w:val="24"/>
        </w:rPr>
        <w:t>fluctuation</w:t>
      </w:r>
      <w:r w:rsidRPr="000127EE">
        <w:rPr>
          <w:rFonts w:cs="Times New Roman"/>
          <w:szCs w:val="24"/>
        </w:rPr>
        <w:t xml:space="preserve">, and </w:t>
      </w:r>
      <w:r>
        <w:rPr>
          <w:rFonts w:cs="Times New Roman"/>
          <w:szCs w:val="24"/>
        </w:rPr>
        <w:t xml:space="preserve">risk of </w:t>
      </w:r>
      <w:r w:rsidRPr="000127EE">
        <w:rPr>
          <w:rFonts w:cs="Times New Roman"/>
          <w:szCs w:val="24"/>
        </w:rPr>
        <w:t>cyclones and storm surges.</w:t>
      </w:r>
      <w:r w:rsidR="00093A0C">
        <w:rPr>
          <w:rFonts w:cs="Times New Roman"/>
          <w:szCs w:val="24"/>
        </w:rPr>
        <w:t xml:space="preserve"> </w:t>
      </w:r>
      <w:r w:rsidR="00036B14" w:rsidRPr="008403AA">
        <w:rPr>
          <w:szCs w:val="24"/>
        </w:rPr>
        <w:t>The prospects of climate change impacts such as sea level rise further exacerbates these problems adversely affecting habitation, economic activity and livelihoods of the poor and vulnerable.</w:t>
      </w:r>
      <w:r w:rsidR="00036B14" w:rsidRPr="00036B14">
        <w:rPr>
          <w:szCs w:val="24"/>
        </w:rPr>
        <w:t> </w:t>
      </w:r>
      <w:r w:rsidR="00133823">
        <w:rPr>
          <w:rFonts w:cs="Times New Roman"/>
          <w:szCs w:val="24"/>
        </w:rPr>
        <w:t xml:space="preserve"> </w:t>
      </w:r>
      <w:r w:rsidR="00133823" w:rsidRPr="00101EB9">
        <w:rPr>
          <w:rFonts w:cs="Times New Roman"/>
          <w:szCs w:val="24"/>
        </w:rPr>
        <w:t>Across the coastal zone tidal amplitude ranges from approximately 1.5 m in the west to over 4 m in the east and up to 8 m at spring tide near Sandwip</w:t>
      </w:r>
      <w:r w:rsidR="00133823">
        <w:rPr>
          <w:rFonts w:cs="Times New Roman"/>
          <w:szCs w:val="24"/>
        </w:rPr>
        <w:t>. The coastal zone can be subdivided into four areas b</w:t>
      </w:r>
      <w:r w:rsidR="00133823" w:rsidRPr="002509AA">
        <w:rPr>
          <w:rFonts w:cs="Times New Roman"/>
          <w:szCs w:val="24"/>
        </w:rPr>
        <w:t>ecause</w:t>
      </w:r>
      <w:r w:rsidR="00133823">
        <w:rPr>
          <w:rFonts w:cs="Times New Roman"/>
          <w:szCs w:val="24"/>
        </w:rPr>
        <w:t xml:space="preserve"> of the diversity of conditions</w:t>
      </w:r>
      <w:r w:rsidR="00411279">
        <w:rPr>
          <w:rFonts w:cs="Times New Roman"/>
          <w:szCs w:val="24"/>
        </w:rPr>
        <w:t xml:space="preserve"> (Map 1.12). E</w:t>
      </w:r>
      <w:r w:rsidR="00133823">
        <w:rPr>
          <w:rFonts w:cs="Times New Roman"/>
          <w:szCs w:val="24"/>
        </w:rPr>
        <w:t xml:space="preserve">ach of the four </w:t>
      </w:r>
      <w:r w:rsidR="00133823" w:rsidRPr="002509AA">
        <w:rPr>
          <w:rFonts w:cs="Times New Roman"/>
          <w:szCs w:val="24"/>
        </w:rPr>
        <w:t>areas has a distinct typical set of condit</w:t>
      </w:r>
      <w:r w:rsidR="00133823">
        <w:rPr>
          <w:rFonts w:cs="Times New Roman"/>
          <w:szCs w:val="24"/>
        </w:rPr>
        <w:t>ions and problems</w:t>
      </w:r>
      <w:r w:rsidR="00133823" w:rsidRPr="002509AA">
        <w:rPr>
          <w:rFonts w:cs="Times New Roman"/>
          <w:szCs w:val="24"/>
        </w:rPr>
        <w:t>:</w:t>
      </w:r>
      <w:r w:rsidR="00133823">
        <w:rPr>
          <w:rFonts w:cs="Times New Roman"/>
          <w:szCs w:val="24"/>
        </w:rPr>
        <w:t xml:space="preserve"> i) </w:t>
      </w:r>
      <w:r w:rsidR="00133823" w:rsidRPr="002509AA">
        <w:rPr>
          <w:rFonts w:cs="Times New Roman"/>
          <w:szCs w:val="24"/>
        </w:rPr>
        <w:t>South West (Ganges Tidal Floodplain – West)</w:t>
      </w:r>
      <w:r w:rsidR="00133823">
        <w:rPr>
          <w:rFonts w:cs="Times New Roman"/>
          <w:szCs w:val="24"/>
        </w:rPr>
        <w:t xml:space="preserve">; ii) </w:t>
      </w:r>
      <w:r w:rsidR="00133823" w:rsidRPr="002509AA">
        <w:rPr>
          <w:rFonts w:cs="Times New Roman"/>
          <w:szCs w:val="24"/>
        </w:rPr>
        <w:t>South Central (Ganges Tidal Floodplain – Eas</w:t>
      </w:r>
      <w:r w:rsidR="00133823">
        <w:rPr>
          <w:rFonts w:cs="Times New Roman"/>
          <w:szCs w:val="24"/>
        </w:rPr>
        <w:t xml:space="preserve">t); iii) </w:t>
      </w:r>
      <w:r w:rsidR="00133823" w:rsidRPr="002509AA">
        <w:rPr>
          <w:rFonts w:cs="Times New Roman"/>
          <w:szCs w:val="24"/>
        </w:rPr>
        <w:t>South East (Young Meghna Estuarine Floodplain)</w:t>
      </w:r>
      <w:r w:rsidR="00C85BB5">
        <w:rPr>
          <w:rFonts w:cs="Times New Roman"/>
          <w:szCs w:val="24"/>
        </w:rPr>
        <w:t xml:space="preserve">; and iv) </w:t>
      </w:r>
      <w:r w:rsidR="00133823" w:rsidRPr="002509AA">
        <w:rPr>
          <w:rFonts w:cs="Times New Roman"/>
          <w:szCs w:val="24"/>
        </w:rPr>
        <w:t xml:space="preserve">East and </w:t>
      </w:r>
      <w:r w:rsidR="00133823">
        <w:rPr>
          <w:rFonts w:cs="Times New Roman"/>
          <w:szCs w:val="24"/>
        </w:rPr>
        <w:t>Hill (Chittagong Coastal Plains</w:t>
      </w:r>
      <w:r w:rsidR="00133823" w:rsidRPr="002509AA">
        <w:rPr>
          <w:rFonts w:cs="Times New Roman"/>
          <w:szCs w:val="24"/>
        </w:rPr>
        <w:t>)</w:t>
      </w:r>
      <w:r w:rsidR="00133823">
        <w:rPr>
          <w:rFonts w:cs="Times New Roman"/>
          <w:szCs w:val="24"/>
        </w:rPr>
        <w:t>.  (See Table 1.</w:t>
      </w:r>
      <w:r w:rsidR="00C85BB5">
        <w:rPr>
          <w:rFonts w:cs="Times New Roman"/>
          <w:szCs w:val="24"/>
        </w:rPr>
        <w:t>10</w:t>
      </w:r>
      <w:r w:rsidR="00133823">
        <w:rPr>
          <w:rFonts w:cs="Times New Roman"/>
          <w:szCs w:val="24"/>
        </w:rPr>
        <w:t>)</w:t>
      </w:r>
      <w:bookmarkStart w:id="49" w:name="_Ref405861428"/>
      <w:bookmarkStart w:id="50" w:name="_Toc439598007"/>
      <w:r w:rsidR="004B40BC">
        <w:br w:type="page"/>
      </w:r>
    </w:p>
    <w:p w:rsidR="00E86146" w:rsidRPr="00093A0C" w:rsidRDefault="005F57A4" w:rsidP="00181D96">
      <w:pPr>
        <w:pStyle w:val="Heading6"/>
        <w:rPr>
          <w:i/>
        </w:rPr>
      </w:pPr>
      <w:bookmarkStart w:id="51" w:name="_Toc474639292"/>
      <w:r>
        <w:lastRenderedPageBreak/>
        <w:t>Map</w:t>
      </w:r>
      <w:r w:rsidR="00E86146" w:rsidRPr="00093A0C">
        <w:t xml:space="preserve"> </w:t>
      </w:r>
      <w:bookmarkEnd w:id="49"/>
      <w:r w:rsidR="00EB6F18">
        <w:t>1.</w:t>
      </w:r>
      <w:r w:rsidR="00D43237">
        <w:t>1</w:t>
      </w:r>
      <w:r w:rsidR="0053282F">
        <w:t>2</w:t>
      </w:r>
      <w:r w:rsidR="00E86146" w:rsidRPr="00093A0C">
        <w:t xml:space="preserve">: </w:t>
      </w:r>
      <w:bookmarkStart w:id="52" w:name="_Toc439598009"/>
      <w:bookmarkEnd w:id="50"/>
      <w:r>
        <w:t>Morphological Zones of Coastal A</w:t>
      </w:r>
      <w:r w:rsidR="00E86146" w:rsidRPr="00093A0C">
        <w:t>rea of Bangladesh</w:t>
      </w:r>
      <w:bookmarkEnd w:id="51"/>
      <w:r w:rsidR="00E86146" w:rsidRPr="00093A0C">
        <w:t xml:space="preserve"> </w:t>
      </w:r>
      <w:bookmarkEnd w:id="52"/>
    </w:p>
    <w:p w:rsidR="00E86146" w:rsidRPr="00DE2EF6" w:rsidRDefault="00E86146" w:rsidP="00692127">
      <w:pPr>
        <w:spacing w:line="276" w:lineRule="auto"/>
        <w:rPr>
          <w:b/>
          <w:i/>
          <w:sz w:val="20"/>
          <w:szCs w:val="20"/>
        </w:rPr>
      </w:pPr>
      <w:r>
        <w:rPr>
          <w:noProof/>
          <w:lang w:val="en-AU" w:eastAsia="en-AU" w:bidi="bn-BD"/>
        </w:rPr>
        <w:drawing>
          <wp:inline distT="0" distB="0" distL="0" distR="0">
            <wp:extent cx="6071616" cy="5029200"/>
            <wp:effectExtent l="0" t="0" r="5715" b="0"/>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1616" cy="5029200"/>
                    </a:xfrm>
                    <a:prstGeom prst="rect">
                      <a:avLst/>
                    </a:prstGeom>
                    <a:noFill/>
                    <a:ln>
                      <a:noFill/>
                    </a:ln>
                  </pic:spPr>
                </pic:pic>
              </a:graphicData>
            </a:graphic>
          </wp:inline>
        </w:drawing>
      </w:r>
      <w:r w:rsidR="00093A0C" w:rsidRPr="00093A0C">
        <w:rPr>
          <w:b/>
          <w:i/>
          <w:sz w:val="20"/>
          <w:szCs w:val="18"/>
        </w:rPr>
        <w:t xml:space="preserve">Source: </w:t>
      </w:r>
      <w:r w:rsidRPr="00093A0C">
        <w:rPr>
          <w:b/>
          <w:i/>
          <w:sz w:val="20"/>
          <w:szCs w:val="18"/>
        </w:rPr>
        <w:t>BWDB, 2000</w:t>
      </w:r>
    </w:p>
    <w:p w:rsidR="00A36CE2" w:rsidRPr="001C27B4" w:rsidRDefault="00666C73" w:rsidP="001C27B4">
      <w:pPr>
        <w:pStyle w:val="BodyText"/>
        <w:spacing w:after="240" w:line="276" w:lineRule="auto"/>
        <w:jc w:val="both"/>
        <w:rPr>
          <w:rFonts w:cs="Times New Roman"/>
          <w:szCs w:val="24"/>
        </w:rPr>
      </w:pPr>
      <w:r>
        <w:rPr>
          <w:rFonts w:cs="Times New Roman"/>
          <w:b/>
          <w:szCs w:val="24"/>
        </w:rPr>
        <w:t xml:space="preserve">Ganges Tidal Floodplain </w:t>
      </w:r>
      <w:r w:rsidRPr="00E92298">
        <w:rPr>
          <w:rFonts w:cs="Times New Roman"/>
          <w:b/>
          <w:szCs w:val="24"/>
        </w:rPr>
        <w:t>West</w:t>
      </w:r>
      <w:r w:rsidR="00727CF1">
        <w:rPr>
          <w:rFonts w:cs="Times New Roman"/>
          <w:szCs w:val="24"/>
        </w:rPr>
        <w:t>: This covers</w:t>
      </w:r>
      <w:r>
        <w:rPr>
          <w:rFonts w:cs="Times New Roman"/>
          <w:szCs w:val="24"/>
        </w:rPr>
        <w:t xml:space="preserve"> the</w:t>
      </w:r>
      <w:r w:rsidR="00683320">
        <w:rPr>
          <w:rFonts w:cs="Times New Roman"/>
          <w:szCs w:val="24"/>
        </w:rPr>
        <w:t xml:space="preserve"> </w:t>
      </w:r>
      <w:r w:rsidRPr="00101EB9">
        <w:rPr>
          <w:rFonts w:cs="Times New Roman"/>
          <w:szCs w:val="24"/>
        </w:rPr>
        <w:t>Sunderbans</w:t>
      </w:r>
      <w:r w:rsidR="00683320">
        <w:rPr>
          <w:rFonts w:cs="Times New Roman"/>
          <w:szCs w:val="24"/>
        </w:rPr>
        <w:t xml:space="preserve"> </w:t>
      </w:r>
      <w:r>
        <w:rPr>
          <w:rFonts w:cs="Times New Roman"/>
          <w:szCs w:val="24"/>
        </w:rPr>
        <w:t xml:space="preserve">(mangrove) </w:t>
      </w:r>
      <w:r w:rsidRPr="00101EB9">
        <w:rPr>
          <w:rFonts w:cs="Times New Roman"/>
          <w:szCs w:val="24"/>
        </w:rPr>
        <w:t>forest</w:t>
      </w:r>
      <w:r w:rsidR="00683320">
        <w:rPr>
          <w:rFonts w:cs="Times New Roman"/>
          <w:szCs w:val="24"/>
        </w:rPr>
        <w:t xml:space="preserve"> </w:t>
      </w:r>
      <w:r w:rsidRPr="00101EB9">
        <w:rPr>
          <w:rFonts w:cs="Times New Roman"/>
          <w:szCs w:val="24"/>
        </w:rPr>
        <w:t>cover</w:t>
      </w:r>
      <w:r>
        <w:rPr>
          <w:rFonts w:cs="Times New Roman"/>
          <w:szCs w:val="24"/>
        </w:rPr>
        <w:t>s</w:t>
      </w:r>
      <w:r w:rsidRPr="00101EB9">
        <w:rPr>
          <w:rFonts w:cs="Times New Roman"/>
          <w:szCs w:val="24"/>
        </w:rPr>
        <w:t xml:space="preserve"> the first 60 to 80 km inland from the coastline, </w:t>
      </w:r>
      <w:r>
        <w:rPr>
          <w:rFonts w:cs="Times New Roman"/>
          <w:szCs w:val="24"/>
        </w:rPr>
        <w:t>thus providing</w:t>
      </w:r>
      <w:r w:rsidRPr="00101EB9">
        <w:rPr>
          <w:rFonts w:cs="Times New Roman"/>
          <w:szCs w:val="24"/>
        </w:rPr>
        <w:t xml:space="preserve"> the hinterland to the north with a considerable degree of protection from cyclonic surges. This area has long drainage routes of low gradient and very little fresh water flow from the parent river (the Ganges). </w:t>
      </w:r>
      <w:r w:rsidR="00133823">
        <w:rPr>
          <w:rFonts w:cs="Times New Roman"/>
          <w:szCs w:val="24"/>
        </w:rPr>
        <w:t>Except for Jessore and</w:t>
      </w:r>
      <w:r w:rsidR="00133823" w:rsidRPr="004D57CA">
        <w:rPr>
          <w:rFonts w:cs="Times New Roman"/>
          <w:szCs w:val="24"/>
        </w:rPr>
        <w:t xml:space="preserve"> </w:t>
      </w:r>
      <w:r w:rsidR="00133823">
        <w:rPr>
          <w:rFonts w:cs="Times New Roman"/>
          <w:szCs w:val="24"/>
        </w:rPr>
        <w:t>Narail</w:t>
      </w:r>
      <w:r w:rsidR="00133823" w:rsidRPr="004D57CA">
        <w:rPr>
          <w:rFonts w:cs="Times New Roman"/>
          <w:szCs w:val="24"/>
        </w:rPr>
        <w:t xml:space="preserve">, all other districts are at risk from cyclone and storm surges. There is salinity in </w:t>
      </w:r>
      <w:r w:rsidR="00133823">
        <w:rPr>
          <w:rFonts w:cs="Times New Roman"/>
          <w:szCs w:val="24"/>
        </w:rPr>
        <w:t>all districts</w:t>
      </w:r>
      <w:r w:rsidR="00133823" w:rsidRPr="004D57CA">
        <w:rPr>
          <w:rFonts w:cs="Times New Roman"/>
          <w:szCs w:val="24"/>
        </w:rPr>
        <w:t xml:space="preserve"> and all dis</w:t>
      </w:r>
      <w:bookmarkStart w:id="53" w:name="_Toc439665912"/>
      <w:r w:rsidR="00EA46DA">
        <w:rPr>
          <w:rFonts w:cs="Times New Roman"/>
          <w:szCs w:val="24"/>
        </w:rPr>
        <w:t>tricts have tidal fluctuations.</w:t>
      </w:r>
    </w:p>
    <w:bookmarkEnd w:id="53"/>
    <w:p w:rsidR="001227C0" w:rsidRPr="00133823" w:rsidRDefault="0050229C" w:rsidP="00692127">
      <w:pPr>
        <w:pStyle w:val="BodyText"/>
        <w:spacing w:after="240" w:line="276" w:lineRule="auto"/>
        <w:jc w:val="both"/>
        <w:rPr>
          <w:rFonts w:cs="Times New Roman"/>
          <w:szCs w:val="24"/>
        </w:rPr>
      </w:pPr>
      <w:r w:rsidRPr="004D57CA">
        <w:rPr>
          <w:rFonts w:cs="Times New Roman"/>
          <w:b/>
          <w:szCs w:val="24"/>
        </w:rPr>
        <w:t>Ganges Tidal Plain East</w:t>
      </w:r>
      <w:r w:rsidR="00533ED5">
        <w:rPr>
          <w:rFonts w:cs="Times New Roman"/>
          <w:b/>
          <w:szCs w:val="24"/>
        </w:rPr>
        <w:t xml:space="preserve">: </w:t>
      </w:r>
      <w:r w:rsidR="00533ED5">
        <w:rPr>
          <w:rFonts w:cs="Times New Roman"/>
          <w:szCs w:val="24"/>
        </w:rPr>
        <w:t xml:space="preserve"> T</w:t>
      </w:r>
      <w:r w:rsidRPr="004D57CA">
        <w:rPr>
          <w:rFonts w:cs="Times New Roman"/>
          <w:szCs w:val="24"/>
        </w:rPr>
        <w:t>he area is characterized by a younger stage of estuary development; the land is intersected by a number of rivers receiving water from the Lower Meghna</w:t>
      </w:r>
      <w:r w:rsidR="007B337F">
        <w:rPr>
          <w:rFonts w:cs="Times New Roman"/>
          <w:szCs w:val="24"/>
        </w:rPr>
        <w:t xml:space="preserve"> </w:t>
      </w:r>
      <w:r w:rsidRPr="004D57CA">
        <w:rPr>
          <w:rFonts w:cs="Times New Roman"/>
          <w:szCs w:val="24"/>
        </w:rPr>
        <w:t xml:space="preserve">river and from the Padma river via the Arial Khan river. There is no substantial forest area, and polders extend about 60 km inland from the coastline. Those facing the sea are subject to erosion and migration of rivers is eroding some polder embankments. Siltation of some rivers is causing navigation problems. </w:t>
      </w:r>
      <w:r w:rsidRPr="004B0A08">
        <w:rPr>
          <w:rFonts w:cs="Times New Roman"/>
          <w:i/>
          <w:szCs w:val="24"/>
        </w:rPr>
        <w:t xml:space="preserve">River floods are not a major problem in this area, most of which is </w:t>
      </w:r>
      <w:r w:rsidRPr="004B0A08">
        <w:rPr>
          <w:rFonts w:cs="Times New Roman"/>
          <w:i/>
          <w:szCs w:val="24"/>
        </w:rPr>
        <w:lastRenderedPageBreak/>
        <w:t>primarily subject to tidal effects.</w:t>
      </w:r>
      <w:r w:rsidRPr="004D57CA">
        <w:rPr>
          <w:rFonts w:cs="Times New Roman"/>
          <w:szCs w:val="24"/>
        </w:rPr>
        <w:t xml:space="preserve"> This zone is vulnerable to cyclonic storm surges and eventual damages of infrastructure</w:t>
      </w:r>
      <w:r w:rsidR="00133823">
        <w:rPr>
          <w:rFonts w:cs="Times New Roman"/>
          <w:szCs w:val="24"/>
        </w:rPr>
        <w:t>s, agriculture and aquaculture.</w:t>
      </w:r>
    </w:p>
    <w:p w:rsidR="001227C0" w:rsidRPr="004D57CA" w:rsidRDefault="001227C0" w:rsidP="00692127">
      <w:pPr>
        <w:pStyle w:val="BodyText"/>
        <w:spacing w:after="240" w:line="276" w:lineRule="auto"/>
        <w:jc w:val="both"/>
        <w:rPr>
          <w:rFonts w:cs="Times New Roman"/>
          <w:szCs w:val="24"/>
        </w:rPr>
      </w:pPr>
      <w:r w:rsidRPr="004D57CA">
        <w:rPr>
          <w:rFonts w:cs="Times New Roman"/>
          <w:b/>
          <w:szCs w:val="24"/>
        </w:rPr>
        <w:t xml:space="preserve">Meghna Deltaic </w:t>
      </w:r>
      <w:r w:rsidR="00DC7AD9" w:rsidRPr="004D57CA">
        <w:rPr>
          <w:rFonts w:cs="Times New Roman"/>
          <w:b/>
          <w:szCs w:val="24"/>
        </w:rPr>
        <w:t>(Estuary)</w:t>
      </w:r>
      <w:r w:rsidR="0099271E">
        <w:rPr>
          <w:rFonts w:cs="Times New Roman"/>
          <w:b/>
          <w:szCs w:val="24"/>
        </w:rPr>
        <w:t xml:space="preserve"> </w:t>
      </w:r>
      <w:r w:rsidRPr="004D57CA">
        <w:rPr>
          <w:rFonts w:cs="Times New Roman"/>
          <w:b/>
          <w:szCs w:val="24"/>
        </w:rPr>
        <w:t>Plain</w:t>
      </w:r>
      <w:r w:rsidR="00533ED5">
        <w:rPr>
          <w:rFonts w:cs="Times New Roman"/>
          <w:szCs w:val="24"/>
        </w:rPr>
        <w:t>:</w:t>
      </w:r>
      <w:r w:rsidRPr="004D57CA">
        <w:rPr>
          <w:rFonts w:cs="Times New Roman"/>
          <w:szCs w:val="24"/>
        </w:rPr>
        <w:t xml:space="preserve"> Most of the islands are vulnerable to cyclone storm surges and erosion. </w:t>
      </w:r>
      <w:r w:rsidR="00533ED5" w:rsidRPr="004B0A08">
        <w:rPr>
          <w:rFonts w:cs="Times New Roman"/>
          <w:i/>
          <w:szCs w:val="24"/>
        </w:rPr>
        <w:t>The land accretion is higher than erosion.</w:t>
      </w:r>
      <w:r w:rsidR="00533ED5" w:rsidRPr="004D57CA">
        <w:rPr>
          <w:rFonts w:cs="Times New Roman"/>
          <w:szCs w:val="24"/>
        </w:rPr>
        <w:t xml:space="preserve"> </w:t>
      </w:r>
      <w:r w:rsidRPr="004D57CA">
        <w:rPr>
          <w:rFonts w:cs="Times New Roman"/>
          <w:szCs w:val="24"/>
        </w:rPr>
        <w:t xml:space="preserve">New land is being formed at a rate faster than the erosion of older land in this area. The newly accreted areas are initially too low and vulnerable for human settlement and agricultural use. </w:t>
      </w:r>
      <w:r w:rsidRPr="004B0A08">
        <w:rPr>
          <w:rFonts w:cs="Times New Roman"/>
          <w:i/>
          <w:szCs w:val="24"/>
        </w:rPr>
        <w:t>Population pressure and urgent need for land is, nevertheless, leading people to settle on these recent deposits, and sometimes people demand to empolder them before the natural deposition process has built them high enough for adequate drainage.</w:t>
      </w:r>
      <w:r w:rsidRPr="004D57CA">
        <w:rPr>
          <w:rFonts w:cs="Times New Roman"/>
          <w:szCs w:val="24"/>
        </w:rPr>
        <w:t xml:space="preserve"> The north-east and east sides of Bhola island, north and west sides of Hatia, west side of Manpura, and west side of Sandwip islands have been experiencing severe erosion. Some areas are also increasingly subject to prolonged water-logging due to encroachment and land reclamation by closing the tidal channels. River floods are severe in some parts of the mainland near the Meghna estuary, especially in the districts of Chandpur, Lakshmipur, Noakhali and Feni.</w:t>
      </w:r>
    </w:p>
    <w:p w:rsidR="001227C0" w:rsidRPr="004D57CA" w:rsidRDefault="001227C0" w:rsidP="00692127">
      <w:pPr>
        <w:pStyle w:val="BodyText"/>
        <w:spacing w:after="240" w:line="276" w:lineRule="auto"/>
        <w:jc w:val="both"/>
        <w:rPr>
          <w:rFonts w:cs="Times New Roman"/>
          <w:szCs w:val="24"/>
        </w:rPr>
      </w:pPr>
      <w:r w:rsidRPr="004D57CA">
        <w:rPr>
          <w:rFonts w:cs="Times New Roman"/>
          <w:b/>
          <w:szCs w:val="24"/>
        </w:rPr>
        <w:t>Chittagong Coastal Plain</w:t>
      </w:r>
      <w:r w:rsidR="00533ED5">
        <w:rPr>
          <w:rFonts w:cs="Times New Roman"/>
          <w:b/>
          <w:szCs w:val="24"/>
        </w:rPr>
        <w:t xml:space="preserve">: </w:t>
      </w:r>
      <w:r w:rsidRPr="004D57CA">
        <w:rPr>
          <w:rFonts w:cs="Times New Roman"/>
          <w:szCs w:val="24"/>
        </w:rPr>
        <w:t xml:space="preserve"> </w:t>
      </w:r>
      <w:r w:rsidR="00533ED5">
        <w:rPr>
          <w:rFonts w:cs="Times New Roman"/>
          <w:szCs w:val="24"/>
        </w:rPr>
        <w:t xml:space="preserve">This </w:t>
      </w:r>
      <w:r w:rsidRPr="004D57CA">
        <w:rPr>
          <w:rFonts w:cs="Times New Roman"/>
          <w:szCs w:val="24"/>
        </w:rPr>
        <w:t xml:space="preserve">is directly exposed to vulnerable cyclone and storm surges. A problem that is not seen in the other three areas is flash floods from the hills immediately to the east: the steep gradients, and the usual tendency of hills to generate intense rainfall, produce rapid increases in discharge, which the rivers and other drainage channels across the flat coastal plain cannot convey safely. </w:t>
      </w:r>
    </w:p>
    <w:p w:rsidR="00DD2BFC" w:rsidRPr="004B0A08" w:rsidRDefault="00DD2BFC" w:rsidP="00692127">
      <w:pPr>
        <w:pStyle w:val="BodyText"/>
        <w:spacing w:after="240" w:line="276" w:lineRule="auto"/>
        <w:jc w:val="both"/>
        <w:rPr>
          <w:rFonts w:cs="Times New Roman"/>
          <w:i/>
          <w:szCs w:val="24"/>
        </w:rPr>
      </w:pPr>
      <w:r w:rsidRPr="004B0A08">
        <w:rPr>
          <w:rFonts w:cs="Times New Roman"/>
          <w:i/>
          <w:szCs w:val="24"/>
        </w:rPr>
        <w:t>Coastal polders built by Bangladesh Water Development Board (BWDB) enabled bringing 1.2 million hectares of land under agriculture or aquaculture and provided protection of lives and properties of coastal communities against flood, storm surge and salinity intrusion. However, there have been unintended consequences such as river sedimentation and water-logging that has become increasingly problematic in the last three decades in certain parts of the coastal area.</w:t>
      </w:r>
    </w:p>
    <w:p w:rsidR="00533ED5" w:rsidRDefault="00DD2BFC" w:rsidP="00692127">
      <w:pPr>
        <w:pStyle w:val="BodyText"/>
        <w:spacing w:after="240" w:line="276" w:lineRule="auto"/>
        <w:jc w:val="both"/>
        <w:rPr>
          <w:rFonts w:cs="Times New Roman"/>
          <w:szCs w:val="24"/>
        </w:rPr>
      </w:pPr>
      <w:r w:rsidRPr="004D57CA">
        <w:rPr>
          <w:rFonts w:cs="Times New Roman"/>
          <w:szCs w:val="24"/>
        </w:rPr>
        <w:t>Sea level rise is likely to cause significant changes in river salinity in the southwest coastal area of Bangladesh during the dry season (October to May) by 2050, which will likely lead to significant shortages of drinking water in the coastal urban areas, scarcity of water for irrigation for dry-season agriculture and significant changes in the coasta</w:t>
      </w:r>
      <w:r w:rsidR="00533ED5">
        <w:rPr>
          <w:rFonts w:cs="Times New Roman"/>
          <w:szCs w:val="24"/>
        </w:rPr>
        <w:t>l aquatic ecosystems</w:t>
      </w:r>
      <w:r w:rsidRPr="004D57CA">
        <w:rPr>
          <w:rFonts w:cs="Times New Roman"/>
          <w:szCs w:val="24"/>
        </w:rPr>
        <w:t xml:space="preserve">. Changes in river salinity and the availability of freshwater may affect the fish habitat and productive freshwater fisheries. </w:t>
      </w:r>
    </w:p>
    <w:p w:rsidR="00F634CD" w:rsidRPr="00411279" w:rsidRDefault="00533ED5" w:rsidP="00411279">
      <w:pPr>
        <w:pStyle w:val="BodyText"/>
        <w:spacing w:after="240" w:line="276" w:lineRule="auto"/>
        <w:jc w:val="both"/>
        <w:rPr>
          <w:rFonts w:cs="Times New Roman"/>
          <w:szCs w:val="24"/>
        </w:rPr>
      </w:pPr>
      <w:r w:rsidRPr="00533ED5">
        <w:rPr>
          <w:rFonts w:cs="Times New Roman"/>
          <w:b/>
          <w:szCs w:val="24"/>
        </w:rPr>
        <w:t>Salinity challenge:</w:t>
      </w:r>
      <w:r>
        <w:rPr>
          <w:rFonts w:cs="Times New Roman"/>
          <w:szCs w:val="24"/>
        </w:rPr>
        <w:t xml:space="preserve">  </w:t>
      </w:r>
      <w:r w:rsidR="00EB06DD" w:rsidRPr="004D57CA">
        <w:rPr>
          <w:rFonts w:cs="Times New Roman"/>
          <w:szCs w:val="24"/>
        </w:rPr>
        <w:t xml:space="preserve">Simulation of </w:t>
      </w:r>
      <w:r w:rsidR="00EB06DD" w:rsidRPr="00533ED5">
        <w:rPr>
          <w:rFonts w:cs="Times New Roman"/>
          <w:szCs w:val="24"/>
        </w:rPr>
        <w:t>salinity intrusion with sea level rise of 52 cm in 2050</w:t>
      </w:r>
      <w:r w:rsidR="00EB06DD" w:rsidRPr="004D57CA">
        <w:rPr>
          <w:rFonts w:cs="Times New Roman"/>
          <w:szCs w:val="24"/>
        </w:rPr>
        <w:t xml:space="preserve"> shows that the freshwater  zones in the Bagerhat, Barguna, Barisal, Bhola, are likely to be lost. Khulna, Jhalokati, Pirojpur, and Satkhira Districts will also be most adversely affected by the increase in river salinity. An area of 7,000 </w:t>
      </w:r>
      <w:r w:rsidR="00003A87" w:rsidRPr="004D57CA">
        <w:rPr>
          <w:rFonts w:cs="Times New Roman"/>
          <w:szCs w:val="24"/>
        </w:rPr>
        <w:t>km</w:t>
      </w:r>
      <w:r w:rsidR="00003A87" w:rsidRPr="004D57CA">
        <w:rPr>
          <w:rFonts w:cs="Times New Roman"/>
          <w:szCs w:val="24"/>
          <w:vertAlign w:val="superscript"/>
        </w:rPr>
        <w:t>2</w:t>
      </w:r>
      <w:r w:rsidR="00EB06DD" w:rsidRPr="004D57CA">
        <w:rPr>
          <w:rFonts w:cs="Times New Roman"/>
          <w:szCs w:val="24"/>
        </w:rPr>
        <w:t xml:space="preserve"> is likely to be affected by more than 1 ppt and about 8,400 </w:t>
      </w:r>
      <w:r w:rsidR="00003A87" w:rsidRPr="004D57CA">
        <w:rPr>
          <w:rFonts w:cs="Times New Roman"/>
          <w:szCs w:val="24"/>
        </w:rPr>
        <w:t>km</w:t>
      </w:r>
      <w:r w:rsidR="00003A87" w:rsidRPr="004D57CA">
        <w:rPr>
          <w:rFonts w:cs="Times New Roman"/>
          <w:szCs w:val="24"/>
          <w:vertAlign w:val="superscript"/>
        </w:rPr>
        <w:t>2</w:t>
      </w:r>
      <w:r w:rsidR="00EB06DD" w:rsidRPr="004D57CA">
        <w:rPr>
          <w:rFonts w:cs="Times New Roman"/>
          <w:szCs w:val="24"/>
        </w:rPr>
        <w:t xml:space="preserve"> would be affected by more than 2 ppt salinity in the southwest and south central zones by 2050 with a </w:t>
      </w:r>
      <w:r>
        <w:rPr>
          <w:rFonts w:cs="Times New Roman"/>
          <w:szCs w:val="24"/>
        </w:rPr>
        <w:t>52 cm sea level rise</w:t>
      </w:r>
      <w:r w:rsidR="00EB06DD" w:rsidRPr="004D57CA">
        <w:rPr>
          <w:rFonts w:cs="Times New Roman"/>
          <w:szCs w:val="24"/>
        </w:rPr>
        <w:t xml:space="preserve">. The 2 ppt salinity front moves about 65 km into Barisal </w:t>
      </w:r>
      <w:r w:rsidR="00EB06DD" w:rsidRPr="004D57CA">
        <w:rPr>
          <w:rFonts w:cs="Times New Roman"/>
          <w:szCs w:val="24"/>
        </w:rPr>
        <w:lastRenderedPageBreak/>
        <w:t xml:space="preserve">division as shown in </w:t>
      </w:r>
      <w:r w:rsidR="00565A4C">
        <w:rPr>
          <w:rFonts w:cs="Times New Roman"/>
          <w:szCs w:val="24"/>
        </w:rPr>
        <w:t>Map 1.</w:t>
      </w:r>
      <w:r w:rsidR="00C85BB5">
        <w:rPr>
          <w:rFonts w:cs="Times New Roman"/>
          <w:szCs w:val="24"/>
        </w:rPr>
        <w:t>1</w:t>
      </w:r>
      <w:r w:rsidR="001D0B9A">
        <w:rPr>
          <w:rFonts w:cs="Times New Roman"/>
          <w:szCs w:val="24"/>
        </w:rPr>
        <w:t>3</w:t>
      </w:r>
      <w:r w:rsidR="00EB06DD" w:rsidRPr="004D57CA">
        <w:rPr>
          <w:rFonts w:cs="Times New Roman"/>
          <w:szCs w:val="24"/>
        </w:rPr>
        <w:t xml:space="preserve">. Many farmers have to choose a new farming strategy. The number of people in the southwest coastal region affected by salinity is likely to increase </w:t>
      </w:r>
      <w:r w:rsidR="009D48C5">
        <w:rPr>
          <w:rFonts w:cs="Times New Roman"/>
          <w:szCs w:val="24"/>
        </w:rPr>
        <w:t>from</w:t>
      </w:r>
      <w:r w:rsidR="009D48C5" w:rsidRPr="004D57CA">
        <w:rPr>
          <w:rFonts w:cs="Times New Roman"/>
          <w:szCs w:val="24"/>
        </w:rPr>
        <w:t xml:space="preserve"> </w:t>
      </w:r>
      <w:r w:rsidR="00EB06DD" w:rsidRPr="004D57CA">
        <w:rPr>
          <w:rFonts w:cs="Times New Roman"/>
          <w:szCs w:val="24"/>
        </w:rPr>
        <w:t xml:space="preserve">2.9 to 5.2 million </w:t>
      </w:r>
      <w:r w:rsidR="003A29B3">
        <w:rPr>
          <w:rFonts w:cs="Times New Roman"/>
          <w:szCs w:val="24"/>
        </w:rPr>
        <w:t>mainly</w:t>
      </w:r>
      <w:r w:rsidR="00EB06DD" w:rsidRPr="004D57CA">
        <w:rPr>
          <w:rFonts w:cs="Times New Roman"/>
          <w:szCs w:val="24"/>
        </w:rPr>
        <w:t xml:space="preserve"> the poo</w:t>
      </w:r>
      <w:r>
        <w:rPr>
          <w:rFonts w:cs="Times New Roman"/>
          <w:szCs w:val="24"/>
        </w:rPr>
        <w:t>r</w:t>
      </w:r>
      <w:r w:rsidR="00EB06DD" w:rsidRPr="004D57CA">
        <w:rPr>
          <w:rFonts w:cs="Times New Roman"/>
          <w:szCs w:val="24"/>
        </w:rPr>
        <w:t xml:space="preserve">. Salinity may thus become the biggest problem in the coastal zone for the next 50 to 100 years, due to Accelerated Sea Level Rise (ASLR) and uncertainty in river flows. </w:t>
      </w:r>
    </w:p>
    <w:p w:rsidR="00893C40" w:rsidRPr="009A5CB4" w:rsidRDefault="001A12B2" w:rsidP="00411279">
      <w:pPr>
        <w:pStyle w:val="Heading6"/>
        <w:spacing w:after="0"/>
      </w:pPr>
      <w:bookmarkStart w:id="54" w:name="_Toc474639293"/>
      <w:r w:rsidRPr="001A12B2">
        <w:rPr>
          <w:noProof/>
          <w:lang w:val="en-US"/>
        </w:rPr>
        <w:pict>
          <v:group id="Group 23" o:spid="_x0000_s1032" style="position:absolute;left:0;text-align:left;margin-left:32.85pt;margin-top:23.15pt;width:405pt;height:334.5pt;z-index:251671552;mso-position-horizontal-relative:margin" coordorigin="10800,7620" coordsize="74544,52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">
            <v:shape id="Picture 47" o:spid="_x0000_s1033" type="#_x0000_t75" style="position:absolute;left:10800;top:7620;width:74544;height:525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IFg7DAAAA3AAAAA8AAABkcnMvZG93bnJldi54bWxET01rwkAQvQv+h2WE3nRjILVEVwmB0h5a&#10;qFE8j9kxCWZnQ3abpP313UKht3m8z9kdJtOKgXrXWFawXkUgiEurG64UnE/PyycQziNrbC2Tgi9y&#10;cNjPZztMtR35SEPhKxFC2KWooPa+S6V0ZU0G3cp2xIG72d6gD7CvpO5xDOGmlXEUPUqDDYeGGjvK&#10;ayrvxadRcHrPyhf7cf1OOqI4f8suxaa9KPWwmLItCE+T/xf/uV91mJ8k8PtMuED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gWDsMAAADcAAAADwAAAAAAAAAAAAAAAACf&#10;AgAAZHJzL2Rvd25yZXYueG1sUEsFBgAAAAAEAAQA9wAAAI8DAAAAAA==&#10;">
              <v:imagedata r:id="rId34" o:title="" croptop="3317f" cropbottom="2396f" cropright="-3f"/>
            </v:shape>
            <v:shape id="Freeform 48" o:spid="_x0000_s1034" style="position:absolute;left:17100;top:21039;width:36517;height:17278;visibility:visible;v-text-anchor:middle" coordsize="3651662,17278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secIA&#10;AADcAAAADwAAAGRycy9kb3ducmV2LnhtbERPPWvDMBDdC/0P4grdajmBCuNaCSHQ0k5tHC/ZDutq&#10;O7FOxlJj599XgUC2e7zPK9az7cWZRt851rBIUhDEtTMdNxqq/ftLBsIHZIO9Y9JwIQ/r1eNDgblx&#10;E+/oXIZGxBD2OWpoQxhyKX3dkkWfuIE4cr9utBgiHBtpRpxiuO3lMk2VtNhxbGhxoG1L9an8sxqW&#10;2fZCHyr0m+lYqeO3+vpxfND6+WnevIEINIe7+Ob+NHH+q4LrM/EC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2mx5wgAAANwAAAAPAAAAAAAAAAAAAAAAAJgCAABkcnMvZG93&#10;bnJldi54bWxQSwUGAAAAAAQABAD1AAAAhwMAAAAA&#10;" adj="-11796480,,5400" path="m,534389l201880,706582,421574,819397r112815,89065l599704,950026r59376,-47502l670956,801584,682831,676893,712519,546265,825335,326571r77189,-77189l967839,237506r77189,29688l1116280,267194r136567,-47501l1347849,219693r100940,-23750l1531917,184067r142504,47502l1787236,314696r95003,83127l1947553,480950r47501,166255l2024743,831272r5937,136567l2048493,1045028r11876,53439l2125683,1068779r53439,-41564l2208810,1033153r53439,35626l2315688,1110343r53439,53439l2386940,1235033r,118754l2369127,1413163r-71252,29689l2244436,1460665r-11875,65314l2238498,1626919r29689,95003l2369127,1727859r190005,-95002l2600696,1537854r,-178130l2600696,1205345r23751,-231569l2707574,801584,2873828,623454,3022270,475013,3135085,350322,3348841,201880r178130,-95002l3651662,e" filled="f" strokecolor="red" strokeweight="1.5pt">
              <v:stroke joinstyle="miter"/>
              <v:formulas/>
              <v:path arrowok="t" o:connecttype="custom" o:connectlocs="0,53;20,71;42,82;53,91;60,95;66,90;67,80;68,68;71,55;83,33;90,25;97,24;105,27;112,27;125,22;135,22;145,20;153,18;167,23;179,31;188,40;195,48;200,65;202,83;203,97;205,104;206,110;213,107;218,103;221,103;226,107;232,111;237,116;239,123;239,135;237,141;230,144;224,146;223,153;224,163;227,172;237,173;256,163;260,154;260,136;260,121;262,97;271,80;287,62;302,47;314,35;335,20;353,11;365,0" o:connectangles="0,0,0,0,0,0,0,0,0,0,0,0,0,0,0,0,0,0,0,0,0,0,0,0,0,0,0,0,0,0,0,0,0,0,0,0,0,0,0,0,0,0,0,0,0,0,0,0,0,0,0,0,0,0" textboxrect="0,0,3651662,1727859"/>
              <v:textbox style="mso-next-textbox:#Freeform 48">
                <w:txbxContent>
                  <w:p w:rsidR="009D3B38" w:rsidRDefault="009D3B38" w:rsidP="00EC5DB9">
                    <w:pPr>
                      <w:rPr>
                        <w:rFonts w:eastAsia="Times New Roman"/>
                      </w:rPr>
                    </w:pPr>
                  </w:p>
                </w:txbxContent>
              </v:textbox>
            </v:shape>
            <v:shape id="Freeform 49" o:spid="_x0000_s1035" style="position:absolute;left:17159;top:24067;width:41089;height:25651;visibility:visible;v-text-anchor:middle" coordsize="4108872,256507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d+8MA&#10;AADcAAAADwAAAGRycy9kb3ducmV2LnhtbERPTWvCQBC9C/6HZQq96cZCa4lugrQU20MsTY3nITsm&#10;qdnZkF01/feuIHibx/ucZTqYVpyod41lBbNpBIK4tLrhSsH292PyCsJ5ZI2tZVLwTw7SZDxaYqzt&#10;mX/olPtKhBB2MSqove9iKV1Zk0E3tR1x4Pa2N+gD7CupezyHcNPKpyh6kQYbDg01dvRWU3nIj0bB&#10;n12tv7PZhos1RV/ZLiuO70Oh1OPDsFqA8DT4u/jm/tRh/vMcrs+EC2R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ud+8MAAADcAAAADwAAAAAAAAAAAAAAAACYAgAAZHJzL2Rv&#10;d25yZXYueG1sUEsFBgAAAAAEAAQA9QAAAIgDAAAAAA==&#10;" adj="-11796480,,5400" path="m,314697l112816,552203r95003,142504l285008,724395r83127,-17813l451263,676894r95002,-11875l599704,629393,653143,522515r83128,-83128l754084,356260r5937,-136566l819398,89065,872837,29689,938151,r118753,59377l1211284,124691r65314,65315l1371600,154380r53439,-23751l1531917,237507r130629,136566l1793174,475013r77190,95003l1923803,754084r47501,71252l2078182,872837r47502,160317l2000993,1163782r11875,118754l2066307,1347850r17813,95002l2090058,1520042r35626,124691l2125684,1745673r95002,53439l2315689,1905990r71252,148442l2464130,2167247r71252,112816l2535382,2392878r-59376,112816l2476006,2565071r95002,-59377l2654135,2369128r130629,-106878l2956956,2202873r95003,-5937l3170712,2214749r53439,65314l3230089,2351315r77189,65314l3426032,2428504r124690,l3633850,2398816r130628,-89065l3847606,2161310r112815,-285008l4025735,1597232r-11875,-201881l3966359,1181595r-95003,-95002c3852553,1071749,3898817,913163,3895106,914400v4948,-28699,87830,-231568,89067,-231568c3998028,645227,4110099,479714,4108862,480951e" filled="f" strokecolor="blue" strokeweight="1.5pt">
              <v:stroke joinstyle="miter"/>
              <v:formulas/>
              <v:path arrowok="t" o:connecttype="custom" o:connectlocs="1128,5522;2850,7244;4513,6769;5997,6294;7363,4394;7600,2197;8728,297;10569,594;12766,1900;14250,1306;16626,3741;18704,5700;19713,8253;21257,10332;20129,12826;20841,14429;21257,16448;22207,17991;23870,20545;25354,22801;24760,25057;25710,25057;27848,22623;30520,21970;32242,22801;33073,24167;35507,24285;37645,23098;39604,18763;40139,13954;38714,10866;39842,6828" o:connectangles="0,0,0,0,0,0,0,0,0,0,0,0,0,0,0,0,0,0,0,0,0,0,0,0,0,0,0,0,0,0,0,0" textboxrect="0,0,4108872,2565071"/>
              <v:textbox style="mso-next-textbox:#Freeform 49">
                <w:txbxContent>
                  <w:p w:rsidR="009D3B38" w:rsidRDefault="009D3B38" w:rsidP="00EC5DB9">
                    <w:pPr>
                      <w:rPr>
                        <w:rFonts w:eastAsia="Times New Roman"/>
                      </w:rPr>
                    </w:pPr>
                  </w:p>
                </w:txbxContent>
              </v:textbox>
            </v:shape>
            <v:shapetype id="_x0000_t202" coordsize="21600,21600" o:spt="202" path="m,l,21600r21600,l21600,xe">
              <v:stroke joinstyle="miter"/>
              <v:path gradientshapeok="t" o:connecttype="rect"/>
            </v:shapetype>
            <v:shape id="TextBox 7" o:spid="_x0000_s1036" type="#_x0000_t202" style="position:absolute;left:65159;top:21351;width:15837;height:339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xQcQA&#10;AADcAAAADwAAAGRycy9kb3ducmV2LnhtbESPQWvCQBCF7wX/wzKCl6KbClWJriKCINIeqv6AMTtm&#10;g9nZkN3G+O+dQ6G3Gd6b975ZbXpfq47aWAU28DHJQBEXwVZcGric9+MFqJiQLdaBycCTImzWg7cV&#10;5jY8+Ie6UyqVhHDM0YBLqcm1joUjj3ESGmLRbqH1mGRtS21bfEi4r/U0y2baY8XS4LChnaPifvr1&#10;Bt5dk31/3Q7XvZ0V7n6MOPfd0ZjRsN8uQSXq07/57/pgBf9TaOUZmUCv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bMUHEAAAA3AAAAA8AAAAAAAAAAAAAAAAAmAIAAGRycy9k&#10;b3ducmV2LnhtbFBLBQYAAAAABAAEAPUAAACJAwAAAAA=&#10;" filled="f" stroked="f">
              <v:textbox style="mso-next-textbox:#TextBox 7">
                <w:txbxContent>
                  <w:p w:rsidR="009D3B38" w:rsidRDefault="009D3B38" w:rsidP="00EC5DB9">
                    <w:pPr>
                      <w:pStyle w:val="NormalWeb"/>
                      <w:spacing w:before="0" w:beforeAutospacing="0" w:after="0" w:afterAutospacing="0"/>
                    </w:pPr>
                  </w:p>
                </w:txbxContent>
              </v:textbox>
            </v:shape>
            <v:shape id="TextBox 13" o:spid="_x0000_s1037" type="#_x0000_t202" style="position:absolute;left:44730;top:36177;width:8281;height:4334;rotation:2310094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2SX8IA&#10;AADcAAAADwAAAGRycy9kb3ducmV2LnhtbERP24rCMBB9F/Yfwiz4pqnrBbdrlFURfBHcbj9gaKYX&#10;bCaliVr9eiMIvs3hXGex6kwtLtS6yrKC0TACQZxZXXGhIP3fDeYgnEfWWFsmBTdysFp+9BYYa3vl&#10;P7okvhAhhF2MCkrvm1hKl5Vk0A1tQxy43LYGfYBtIXWL1xBuavkVRTNpsOLQUGJDm5KyU3I2Cux4&#10;vU4nm0N03J3T++y4zU0yz5Xqf3a/PyA8df4tfrn3OsyffsPzmXCB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vZJfwgAAANwAAAAPAAAAAAAAAAAAAAAAAJgCAABkcnMvZG93&#10;bnJldi54bWxQSwUGAAAAAAQABAD1AAAAhwMAAAAA&#10;" filled="f" stroked="f">
              <v:textbox style="mso-next-textbox:#TextBox 13">
                <w:txbxContent>
                  <w:p w:rsidR="009D3B38" w:rsidRDefault="009D3B38" w:rsidP="00EC5DB9">
                    <w:pPr>
                      <w:pStyle w:val="NormalWeb"/>
                      <w:spacing w:before="0" w:beforeAutospacing="0" w:after="0" w:afterAutospacing="0"/>
                    </w:pPr>
                  </w:p>
                </w:txbxContent>
              </v:textbox>
            </v:shape>
            <v:shapetype id="_x0000_t32" coordsize="21600,21600" o:spt="32" o:oned="t" path="m,l21600,21600e" filled="f">
              <v:path arrowok="t" fillok="f" o:connecttype="none"/>
              <o:lock v:ext="edit" shapetype="t"/>
            </v:shapetype>
            <v:shape id="Straight Arrow Connector 52" o:spid="_x0000_s1038" type="#_x0000_t32" style="position:absolute;left:51589;top:39776;width:4799;height:365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O48QAAADcAAAADwAAAGRycy9kb3ducmV2LnhtbESPwW7CQAxE70j8w8qVuMGmHKBNWRCi&#10;KtBeEIQPMFmTRGS9UXYJ4e/rQ6XebM145nmx6l2tOmpD5dnA6yQBRZx7W3Fh4Jx9jd9AhYhssfZM&#10;Bp4UYLUcDhaYWv/gI3WnWCgJ4ZCigTLGJtU65CU5DBPfEIt29a3DKGtbaNviQ8JdradJMtMOK5aG&#10;EhvalJTfTndnwP3su938u8rwcqBpdrucP9+3iTGjl379ASpSH//Nf9d7K/gzwZdnZAK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r47jxAAAANwAAAAPAAAAAAAAAAAA&#10;AAAAAKECAABkcnMvZG93bnJldi54bWxQSwUGAAAAAAQABAD5AAAAkgMAAAAA&#10;" strokecolor="yellow" strokeweight="1.75pt">
              <v:stroke endarrow="open"/>
            </v:shape>
            <v:shape id="Straight Arrow Connector 53" o:spid="_x0000_s1039" type="#_x0000_t32" style="position:absolute;left:43107;top:33092;width:3984;height:3484;rotation:1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8/i8QAAADcAAAADwAAAGRycy9kb3ducmV2LnhtbERPTWsCMRC9C/6HMEIvUrMWsWVrFC2V&#10;9uDFrYceh810s3QzWZPU3f33piB4m8f7nNWmt424kA+1YwXzWQaCuHS65krB6Wv/+AIiRGSNjWNS&#10;MFCAzXo8WmGuXcdHuhSxEimEQ44KTIxtLmUoDVkMM9cSJ+7HeYsxQV9J7bFL4baRT1m2lBZrTg0G&#10;W3ozVP4Wf1bBQZ6H7w99ft9PT+b5sBg6vxsqpR4m/fYVRKQ+3sU396dO85dz+H8mXS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jz+LxAAAANwAAAAPAAAAAAAAAAAA&#10;AAAAAKECAABkcnMvZG93bnJldi54bWxQSwUGAAAAAAQABAD5AAAAkgMAAAAA&#10;" strokecolor="yellow" strokeweight="1.75pt">
              <v:stroke endarrow="open"/>
            </v:shape>
            <v:shape id="TextBox 14" o:spid="_x0000_s1040" type="#_x0000_t202" style="position:absolute;left:66807;top:23870;width:11526;height:58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MFsEA&#10;AADcAAAADwAAAGRycy9kb3ducmV2LnhtbERPzYrCMBC+C75DGMGLaKqHrtRGEUEQ2T2s+gBjM22K&#10;zaQ0sda33yws7G0+vt/Jd4NtRE+drx0rWC4SEMSF0zVXCm7X43wNwgdkjY1jUvAmD7vteJRjpt2L&#10;v6m/hErEEPYZKjAhtJmUvjBk0S9cSxy50nUWQ4RdJXWHrxhuG7lKklRarDk2GGzpYKh4XJ5Wwcy0&#10;yddnebofdVqYx9njh+3PSk0nw34DItAQ/sV/7pOO89MV/D4TL5D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fzBbBAAAA3AAAAA8AAAAAAAAAAAAAAAAAmAIAAGRycy9kb3du&#10;cmV2LnhtbFBLBQYAAAAABAAEAPUAAACGAwAAAAA=&#10;" filled="f" stroked="f">
              <v:textbox style="mso-next-textbox:#TextBox 14">
                <w:txbxContent>
                  <w:p w:rsidR="009D3B38" w:rsidRDefault="009D3B38" w:rsidP="00EC5DB9">
                    <w:pPr>
                      <w:pStyle w:val="NormalWeb"/>
                      <w:spacing w:before="0" w:beforeAutospacing="0" w:after="0" w:afterAutospacing="0"/>
                    </w:pPr>
                  </w:p>
                </w:txbxContent>
              </v:textbox>
            </v:shape>
            <v:line id="Straight Connector 55" o:spid="_x0000_s1041" style="position:absolute;visibility:visible" from="66381,25852" to="69982,25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wLGsIAAADcAAAADwAAAGRycy9kb3ducmV2LnhtbERP32vCMBB+H/g/hBN8m6kKYVRjmcJg&#10;IMim4vOtubVdm0tporb+9ctg4Nt9fD9vlfW2EVfqfOVYw2yagCDOnam40HA6vj2/gPAB2WDjmDQM&#10;5CFbj55WmBp340+6HkIhYgj7FDWUIbSplD4vyaKfupY4ct+usxgi7AppOrzFcNvIeZIoabHi2FBi&#10;S9uS8vpwsRp+nBq+5k7J8+yo9sPpI9ns7rXWk3H/ugQRqA8P8b/73cT5agF/z8QL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YwLGsIAAADcAAAADwAAAAAAAAAAAAAA&#10;AAChAgAAZHJzL2Rvd25yZXYueG1sUEsFBgAAAAAEAAQA+QAAAJADAAAAAA==&#10;" strokecolor="blue" strokeweight="1.5pt"/>
            <v:line id="Straight Connector 56" o:spid="_x0000_s1042" style="position:absolute;visibility:visible" from="66503,28096" to="70104,28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7f/8QAAADcAAAADwAAAGRycy9kb3ducmV2LnhtbERP22rCQBB9L/Qflin4InUTkVCia4iW&#10;0lKo4uUDhuyYi9nZkF019uu7hULf5nCus8gG04or9a62rCCeRCCIC6trLhUcD2/PLyCcR9bYWiYF&#10;d3KQLR8fFphqe+MdXfe+FCGEXYoKKu+7VEpXVGTQTWxHHLiT7Q36APtS6h5vIdy0chpFiTRYc2io&#10;sKN1RcV5fzEKvnArd814HBfJ6j3/9JvX6an5Vmr0NORzEJ4G/y/+c3/oMD+Zwe8z4QK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Pt//xAAAANwAAAAPAAAAAAAAAAAA&#10;AAAAAKECAABkcnMvZG93bnJldi54bWxQSwUGAAAAAAQABAD5AAAAkgMAAAAA&#10;" strokecolor="red" strokeweight="1.5pt"/>
            <v:shape id="TextBox 12" o:spid="_x0000_s1043" type="#_x0000_t202" style="position:absolute;left:70179;top:28194;width:10960;height:339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ZUYsEA&#10;AADcAAAADwAAAGRycy9kb3ducmV2LnhtbERPzYrCMBC+C75DGMGLrKnCVqlGEUEQ2T1YfYDZZmyK&#10;zaQ0sda33ywseJuP73fW297WoqPWV44VzKYJCOLC6YpLBdfL4WMJwgdkjbVjUvAiD9vNcLDGTLsn&#10;n6nLQyliCPsMFZgQmkxKXxiy6KeuIY7czbUWQ4RtKXWLzxhuazlPklRarDg2GGxob6i45w+rYGKa&#10;5Pvrdvw56LQw95PHhe1OSo1H/W4FIlAf3uJ/91HH+ekn/D0TL5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2VGLBAAAA3AAAAA8AAAAAAAAAAAAAAAAAmAIAAGRycy9kb3du&#10;cmV2LnhtbFBLBQYAAAAABAAEAPUAAACGAwAAAAA=&#10;" filled="f" stroked="f">
              <v:textbox style="mso-next-textbox:#TextBox 12">
                <w:txbxContent>
                  <w:p w:rsidR="009D3B38" w:rsidRDefault="009D3B38" w:rsidP="00EC5DB9">
                    <w:pPr>
                      <w:pStyle w:val="NormalWeb"/>
                      <w:spacing w:before="0" w:beforeAutospacing="0" w:after="0" w:afterAutospacing="0"/>
                    </w:pPr>
                  </w:p>
                </w:txbxContent>
              </v:textbox>
            </v:shape>
            <w10:wrap type="topAndBottom" anchorx="margin"/>
          </v:group>
        </w:pict>
      </w:r>
      <w:r w:rsidR="00893C40" w:rsidRPr="00893C40">
        <w:t>Map 1.1</w:t>
      </w:r>
      <w:r w:rsidR="00411279">
        <w:t>3</w:t>
      </w:r>
      <w:r w:rsidR="00893C40" w:rsidRPr="00893C40">
        <w:t>: Effect of Sea Level on 2ppt Salinity contour (A1B, 2050</w:t>
      </w:r>
      <w:r w:rsidR="00DA2BD7">
        <w:t>)</w:t>
      </w:r>
      <w:bookmarkEnd w:id="54"/>
    </w:p>
    <w:p w:rsidR="004F65EF" w:rsidRDefault="00411279" w:rsidP="002066E1">
      <w:pPr>
        <w:spacing w:before="120" w:line="240" w:lineRule="auto"/>
        <w:rPr>
          <w:rFonts w:cs="Times New Roman"/>
          <w:szCs w:val="24"/>
        </w:rPr>
      </w:pPr>
      <w:r>
        <w:t xml:space="preserve">               </w:t>
      </w:r>
      <w:r w:rsidR="005C5208" w:rsidRPr="005C5208">
        <w:rPr>
          <w:b/>
          <w:i/>
          <w:sz w:val="20"/>
        </w:rPr>
        <w:t>Source: IWM</w:t>
      </w:r>
    </w:p>
    <w:p w:rsidR="006D17D9" w:rsidRPr="005E04F6" w:rsidRDefault="004B48C8" w:rsidP="004B48C8">
      <w:pPr>
        <w:pStyle w:val="BodyText"/>
        <w:spacing w:after="240" w:line="276" w:lineRule="auto"/>
        <w:jc w:val="both"/>
        <w:rPr>
          <w:rFonts w:cs="Times New Roman"/>
          <w:szCs w:val="24"/>
        </w:rPr>
      </w:pPr>
      <w:r w:rsidRPr="00622E91">
        <w:rPr>
          <w:rFonts w:cs="Times New Roman"/>
          <w:b/>
          <w:szCs w:val="24"/>
        </w:rPr>
        <w:t xml:space="preserve">Land </w:t>
      </w:r>
      <w:r>
        <w:rPr>
          <w:rFonts w:cs="Times New Roman"/>
          <w:b/>
          <w:szCs w:val="24"/>
        </w:rPr>
        <w:t xml:space="preserve">use </w:t>
      </w:r>
      <w:r w:rsidRPr="00622E91">
        <w:rPr>
          <w:rFonts w:cs="Times New Roman"/>
          <w:b/>
          <w:szCs w:val="24"/>
        </w:rPr>
        <w:t>loss due to sea level rise</w:t>
      </w:r>
      <w:r w:rsidR="000822B2">
        <w:rPr>
          <w:rFonts w:cs="Times New Roman"/>
          <w:b/>
          <w:szCs w:val="24"/>
        </w:rPr>
        <w:t xml:space="preserve"> and flooding</w:t>
      </w:r>
      <w:r>
        <w:rPr>
          <w:rFonts w:cs="Times New Roman"/>
          <w:szCs w:val="24"/>
        </w:rPr>
        <w:t>:</w:t>
      </w:r>
      <w:r w:rsidRPr="00622E91">
        <w:rPr>
          <w:rFonts w:cs="Times New Roman"/>
          <w:szCs w:val="24"/>
        </w:rPr>
        <w:t xml:space="preserve"> </w:t>
      </w:r>
      <w:r>
        <w:rPr>
          <w:rFonts w:cs="Times New Roman"/>
          <w:szCs w:val="24"/>
        </w:rPr>
        <w:t>As noted earlier, the projected land loss from a 1 meter increase in SLR ranges from a low of 3% (4,400</w:t>
      </w:r>
      <w:r w:rsidRPr="004B48C8">
        <w:rPr>
          <w:rFonts w:cs="Times New Roman"/>
          <w:szCs w:val="24"/>
        </w:rPr>
        <w:t xml:space="preserve"> </w:t>
      </w:r>
      <w:r w:rsidR="005C5208" w:rsidRPr="00BD5C32">
        <w:rPr>
          <w:rFonts w:cs="Times New Roman"/>
          <w:szCs w:val="24"/>
        </w:rPr>
        <w:t>km</w:t>
      </w:r>
      <w:r w:rsidR="005C5208" w:rsidRPr="006E22E3">
        <w:rPr>
          <w:rFonts w:cs="Times New Roman"/>
          <w:vertAlign w:val="superscript"/>
        </w:rPr>
        <w:t>2</w:t>
      </w:r>
      <w:r w:rsidR="005C5208">
        <w:rPr>
          <w:rFonts w:cs="Times New Roman"/>
        </w:rPr>
        <w:t>)</w:t>
      </w:r>
      <w:r>
        <w:rPr>
          <w:rFonts w:cs="Times New Roman"/>
          <w:szCs w:val="24"/>
        </w:rPr>
        <w:t xml:space="preserve"> to a high of 21% (30,000</w:t>
      </w:r>
      <w:r w:rsidRPr="004B48C8">
        <w:rPr>
          <w:rFonts w:cs="Times New Roman"/>
          <w:szCs w:val="24"/>
        </w:rPr>
        <w:t xml:space="preserve"> </w:t>
      </w:r>
      <w:r w:rsidRPr="00BD5C32">
        <w:rPr>
          <w:rFonts w:cs="Times New Roman"/>
          <w:szCs w:val="24"/>
        </w:rPr>
        <w:t>km</w:t>
      </w:r>
      <w:r w:rsidRPr="006E22E3">
        <w:rPr>
          <w:rFonts w:cs="Times New Roman"/>
          <w:vertAlign w:val="superscript"/>
        </w:rPr>
        <w:t>2</w:t>
      </w:r>
      <w:r>
        <w:rPr>
          <w:rFonts w:cs="Times New Roman"/>
          <w:szCs w:val="24"/>
        </w:rPr>
        <w:t xml:space="preserve">). Additional problems for land use will be created by growing risk of flooding from higher rainfall and river overflows. </w:t>
      </w:r>
    </w:p>
    <w:p w:rsidR="006D17D9" w:rsidRPr="005E04F6" w:rsidRDefault="004E362F" w:rsidP="005E04F6">
      <w:pPr>
        <w:pStyle w:val="BodyText"/>
        <w:spacing w:after="240" w:line="276" w:lineRule="auto"/>
        <w:jc w:val="both"/>
        <w:rPr>
          <w:rFonts w:cs="Times New Roman"/>
          <w:szCs w:val="24"/>
        </w:rPr>
      </w:pPr>
      <w:r w:rsidRPr="005E04F6">
        <w:rPr>
          <w:rFonts w:cs="Times New Roman"/>
          <w:b/>
          <w:szCs w:val="24"/>
        </w:rPr>
        <w:t>Water logging</w:t>
      </w:r>
      <w:r w:rsidR="006D17D9" w:rsidRPr="005E04F6">
        <w:rPr>
          <w:rFonts w:cs="Times New Roman"/>
          <w:b/>
          <w:szCs w:val="24"/>
        </w:rPr>
        <w:t xml:space="preserve"> </w:t>
      </w:r>
      <w:r w:rsidR="006D17D9" w:rsidRPr="005E04F6">
        <w:rPr>
          <w:rFonts w:cs="Times New Roman"/>
          <w:szCs w:val="24"/>
        </w:rPr>
        <w:t>will become a major problem. The combined effect of sea level rise and increased precipitation in the changing climate, subsidence inside polders and sedimentation of peripheral rivers will deteriorate the drainage condition. Restoration of tidal plain for tidal inundation in increasing the tidal prism of the tidal river, sediment management allow</w:t>
      </w:r>
      <w:r w:rsidR="00041A07">
        <w:rPr>
          <w:rFonts w:cs="Times New Roman"/>
          <w:szCs w:val="24"/>
        </w:rPr>
        <w:t>ing free movement of tide into p</w:t>
      </w:r>
      <w:r w:rsidR="006D17D9" w:rsidRPr="005E04F6">
        <w:rPr>
          <w:rFonts w:cs="Times New Roman"/>
          <w:szCs w:val="24"/>
        </w:rPr>
        <w:t xml:space="preserve">olders for certain periods of the year to raise the low lying land are very likely measures for solving water logging problems. In order to obtain faster drainage in times of </w:t>
      </w:r>
      <w:r w:rsidR="006D17D9" w:rsidRPr="005E04F6">
        <w:rPr>
          <w:rFonts w:cs="Times New Roman"/>
          <w:szCs w:val="24"/>
        </w:rPr>
        <w:lastRenderedPageBreak/>
        <w:t>climate change</w:t>
      </w:r>
      <w:r w:rsidR="005C2089" w:rsidRPr="005E04F6">
        <w:rPr>
          <w:rFonts w:cs="Times New Roman"/>
          <w:szCs w:val="24"/>
        </w:rPr>
        <w:t>,</w:t>
      </w:r>
      <w:r w:rsidR="006D17D9" w:rsidRPr="005E04F6">
        <w:rPr>
          <w:rFonts w:cs="Times New Roman"/>
          <w:szCs w:val="24"/>
        </w:rPr>
        <w:t xml:space="preserve"> pumping might be required in addition to gravity drainage of polders. It is important to asses</w:t>
      </w:r>
      <w:r w:rsidR="005C2089" w:rsidRPr="005E04F6">
        <w:rPr>
          <w:rFonts w:cs="Times New Roman"/>
          <w:szCs w:val="24"/>
        </w:rPr>
        <w:t>s</w:t>
      </w:r>
      <w:r w:rsidR="006D17D9" w:rsidRPr="005E04F6">
        <w:rPr>
          <w:rFonts w:cs="Times New Roman"/>
          <w:szCs w:val="24"/>
        </w:rPr>
        <w:t xml:space="preserve"> where this tipping point lies.</w:t>
      </w:r>
    </w:p>
    <w:p w:rsidR="006D17D9" w:rsidRPr="005E04F6" w:rsidRDefault="006D17D9" w:rsidP="004F65EF">
      <w:pPr>
        <w:pStyle w:val="BodyText"/>
        <w:spacing w:after="240" w:line="271" w:lineRule="auto"/>
        <w:jc w:val="both"/>
        <w:rPr>
          <w:rFonts w:cs="Times New Roman"/>
          <w:szCs w:val="24"/>
        </w:rPr>
      </w:pPr>
      <w:r w:rsidRPr="005E04F6">
        <w:rPr>
          <w:rFonts w:cs="Times New Roman"/>
          <w:b/>
          <w:szCs w:val="24"/>
        </w:rPr>
        <w:t>Cyclones</w:t>
      </w:r>
      <w:r w:rsidRPr="005E04F6">
        <w:rPr>
          <w:rFonts w:cs="Times New Roman"/>
          <w:szCs w:val="24"/>
        </w:rPr>
        <w:t xml:space="preserve"> can have a devastating impact on Bangladesh both in human and economic terms. Changes in cyclone frequency, paths and intensity can therefore have a large impact on the country. The analyses of historic changes on cyclones showed that the number of cyclones is decreasing but the intensity is increasing. For the future, this trend is likely to </w:t>
      </w:r>
      <w:r w:rsidR="004E362F" w:rsidRPr="005E04F6">
        <w:rPr>
          <w:rFonts w:cs="Times New Roman"/>
          <w:szCs w:val="24"/>
        </w:rPr>
        <w:t>continue. Polders</w:t>
      </w:r>
      <w:r w:rsidRPr="005E04F6">
        <w:rPr>
          <w:rFonts w:cs="Times New Roman"/>
          <w:szCs w:val="24"/>
        </w:rPr>
        <w:t xml:space="preserve"> were overtopped in the recent cyclone S</w:t>
      </w:r>
      <w:r w:rsidR="005C2089" w:rsidRPr="005E04F6">
        <w:rPr>
          <w:rFonts w:cs="Times New Roman"/>
          <w:szCs w:val="24"/>
        </w:rPr>
        <w:t>idr</w:t>
      </w:r>
      <w:r w:rsidR="000822B2">
        <w:rPr>
          <w:rFonts w:cs="Times New Roman"/>
          <w:szCs w:val="24"/>
        </w:rPr>
        <w:t xml:space="preserve"> and Aila</w:t>
      </w:r>
      <w:r w:rsidRPr="005E04F6">
        <w:rPr>
          <w:rFonts w:cs="Times New Roman"/>
          <w:szCs w:val="24"/>
        </w:rPr>
        <w:t>. The estimated cost of damage of Sidr is at US</w:t>
      </w:r>
      <w:r w:rsidR="000822B2">
        <w:rPr>
          <w:rFonts w:cs="Times New Roman"/>
          <w:szCs w:val="24"/>
        </w:rPr>
        <w:t>$ 1.7 billion</w:t>
      </w:r>
      <w:r w:rsidR="005264B4">
        <w:rPr>
          <w:rFonts w:cs="Times New Roman"/>
          <w:szCs w:val="24"/>
        </w:rPr>
        <w:t xml:space="preserve"> </w:t>
      </w:r>
      <w:r w:rsidR="005264B4" w:rsidRPr="00411279">
        <w:rPr>
          <w:rFonts w:cs="Times New Roman"/>
          <w:szCs w:val="24"/>
        </w:rPr>
        <w:t>(</w:t>
      </w:r>
      <w:r w:rsidR="005264B4" w:rsidRPr="00411279">
        <w:rPr>
          <w:rFonts w:cs="Times New Roman"/>
          <w:color w:val="000000"/>
          <w:szCs w:val="24"/>
        </w:rPr>
        <w:t>World Bank 2010)</w:t>
      </w:r>
      <w:r w:rsidRPr="00411279">
        <w:rPr>
          <w:rFonts w:cs="Times New Roman"/>
          <w:szCs w:val="24"/>
        </w:rPr>
        <w:t>.</w:t>
      </w:r>
    </w:p>
    <w:p w:rsidR="003D5D8C" w:rsidRPr="005E04F6" w:rsidRDefault="00473FF6" w:rsidP="004F65EF">
      <w:pPr>
        <w:pStyle w:val="BodyText"/>
        <w:spacing w:after="240" w:line="271" w:lineRule="auto"/>
        <w:jc w:val="both"/>
        <w:rPr>
          <w:rFonts w:cs="Times New Roman"/>
          <w:szCs w:val="24"/>
        </w:rPr>
      </w:pPr>
      <w:r w:rsidRPr="005E04F6">
        <w:rPr>
          <w:rFonts w:cs="Times New Roman"/>
          <w:szCs w:val="24"/>
        </w:rPr>
        <w:t xml:space="preserve">In summary, the Coastal Zone Hotspot is most vulnerable to accelerated sea level rise, increasing salinity and water logging, </w:t>
      </w:r>
      <w:r w:rsidR="004F6875" w:rsidRPr="005E04F6">
        <w:rPr>
          <w:rFonts w:cs="Times New Roman"/>
          <w:szCs w:val="24"/>
        </w:rPr>
        <w:t xml:space="preserve">tidal fluctuation, and </w:t>
      </w:r>
      <w:r w:rsidRPr="005E04F6">
        <w:rPr>
          <w:rFonts w:cs="Times New Roman"/>
          <w:szCs w:val="24"/>
        </w:rPr>
        <w:t xml:space="preserve">increasing intensity of cyclones and storm surges which will ultimately lead to huge losses of farming land, homesteads, livelihoods accompanied by severe health impacts (due to scarce freshwater and salinity in drinking water) and out-migration of people from coastal zone into urban centers. </w:t>
      </w:r>
      <w:r w:rsidR="003D5D8C" w:rsidRPr="005E04F6">
        <w:rPr>
          <w:rFonts w:cs="Times New Roman"/>
          <w:szCs w:val="24"/>
        </w:rPr>
        <w:t xml:space="preserve"> </w:t>
      </w:r>
      <w:r w:rsidR="00BE54FC">
        <w:rPr>
          <w:rFonts w:cs="Times New Roman"/>
          <w:szCs w:val="24"/>
        </w:rPr>
        <w:t>The key vulnerabilities are summ</w:t>
      </w:r>
      <w:r w:rsidR="000A0664">
        <w:rPr>
          <w:rFonts w:cs="Times New Roman"/>
          <w:szCs w:val="24"/>
        </w:rPr>
        <w:t>arized in Table 1.10</w:t>
      </w:r>
    </w:p>
    <w:p w:rsidR="00C45A87" w:rsidRPr="003D5D8C" w:rsidRDefault="00C45A87" w:rsidP="00181D96">
      <w:pPr>
        <w:pStyle w:val="Heading4"/>
      </w:pPr>
      <w:bookmarkStart w:id="55" w:name="_Toc474638981"/>
      <w:r w:rsidRPr="003D5D8C">
        <w:t xml:space="preserve">Table </w:t>
      </w:r>
      <w:r w:rsidR="00D9144F">
        <w:t>1.</w:t>
      </w:r>
      <w:r w:rsidR="000A0664">
        <w:t>10</w:t>
      </w:r>
      <w:r w:rsidRPr="003D5D8C">
        <w:t xml:space="preserve">: Key vulnerabilities </w:t>
      </w:r>
      <w:r w:rsidR="004F6875" w:rsidRPr="003D5D8C">
        <w:t>of the Coastal Zone Hotspot</w:t>
      </w:r>
      <w:r w:rsidR="003D5D8C">
        <w:t>s</w:t>
      </w:r>
      <w:bookmarkEnd w:id="55"/>
    </w:p>
    <w:tbl>
      <w:tblPr>
        <w:tblStyle w:val="TableGrid"/>
        <w:tblW w:w="5000" w:type="pct"/>
        <w:jc w:val="center"/>
        <w:tblLook w:val="04A0"/>
      </w:tblPr>
      <w:tblGrid>
        <w:gridCol w:w="1674"/>
        <w:gridCol w:w="3024"/>
        <w:gridCol w:w="1890"/>
        <w:gridCol w:w="2988"/>
      </w:tblGrid>
      <w:tr w:rsidR="00C45A87" w:rsidRPr="00312B8D" w:rsidTr="001F0B64">
        <w:trPr>
          <w:tblHeader/>
          <w:jc w:val="center"/>
        </w:trPr>
        <w:tc>
          <w:tcPr>
            <w:tcW w:w="874" w:type="pct"/>
          </w:tcPr>
          <w:p w:rsidR="00C45A87" w:rsidRPr="006E075E" w:rsidRDefault="008E7A93" w:rsidP="004F6875">
            <w:pPr>
              <w:pStyle w:val="BodyText"/>
              <w:spacing w:after="0" w:line="240" w:lineRule="auto"/>
              <w:jc w:val="center"/>
              <w:rPr>
                <w:rFonts w:cs="Times New Roman"/>
                <w:b/>
                <w:sz w:val="20"/>
                <w:szCs w:val="20"/>
              </w:rPr>
            </w:pPr>
            <w:r>
              <w:rPr>
                <w:rFonts w:cs="Times New Roman"/>
                <w:b/>
                <w:sz w:val="20"/>
                <w:szCs w:val="20"/>
              </w:rPr>
              <w:t>Vulnerability from</w:t>
            </w:r>
          </w:p>
        </w:tc>
        <w:tc>
          <w:tcPr>
            <w:tcW w:w="1579" w:type="pct"/>
          </w:tcPr>
          <w:p w:rsidR="00C45A87" w:rsidRPr="006E075E" w:rsidRDefault="00C45A87" w:rsidP="004F6875">
            <w:pPr>
              <w:pStyle w:val="BodyText"/>
              <w:spacing w:after="0" w:line="240" w:lineRule="auto"/>
              <w:jc w:val="center"/>
              <w:rPr>
                <w:rFonts w:cs="Times New Roman"/>
                <w:b/>
                <w:sz w:val="20"/>
                <w:szCs w:val="20"/>
              </w:rPr>
            </w:pPr>
            <w:r w:rsidRPr="006E075E">
              <w:rPr>
                <w:rFonts w:cs="Times New Roman"/>
                <w:b/>
                <w:sz w:val="20"/>
                <w:szCs w:val="20"/>
              </w:rPr>
              <w:t xml:space="preserve">Current </w:t>
            </w:r>
            <w:r>
              <w:rPr>
                <w:rFonts w:cs="Times New Roman"/>
                <w:b/>
                <w:sz w:val="20"/>
                <w:szCs w:val="20"/>
              </w:rPr>
              <w:t>State</w:t>
            </w:r>
          </w:p>
        </w:tc>
        <w:tc>
          <w:tcPr>
            <w:tcW w:w="987" w:type="pct"/>
          </w:tcPr>
          <w:p w:rsidR="00C45A87" w:rsidRPr="006E075E" w:rsidRDefault="00C45A87" w:rsidP="004F6875">
            <w:pPr>
              <w:pStyle w:val="BodyText"/>
              <w:spacing w:after="0" w:line="240" w:lineRule="auto"/>
              <w:jc w:val="center"/>
              <w:rPr>
                <w:rFonts w:cs="Times New Roman"/>
                <w:b/>
                <w:sz w:val="20"/>
                <w:szCs w:val="20"/>
              </w:rPr>
            </w:pPr>
            <w:r>
              <w:rPr>
                <w:rFonts w:cs="Times New Roman"/>
                <w:b/>
                <w:sz w:val="20"/>
                <w:szCs w:val="20"/>
              </w:rPr>
              <w:t xml:space="preserve">Expected </w:t>
            </w:r>
            <w:r w:rsidRPr="006E075E">
              <w:rPr>
                <w:rFonts w:cs="Times New Roman"/>
                <w:b/>
                <w:sz w:val="20"/>
                <w:szCs w:val="20"/>
              </w:rPr>
              <w:t>Change</w:t>
            </w:r>
          </w:p>
        </w:tc>
        <w:tc>
          <w:tcPr>
            <w:tcW w:w="1560" w:type="pct"/>
          </w:tcPr>
          <w:p w:rsidR="00C45A87" w:rsidRPr="006E075E" w:rsidRDefault="00C45A87" w:rsidP="004F6875">
            <w:pPr>
              <w:pStyle w:val="BodyText"/>
              <w:spacing w:after="0" w:line="240" w:lineRule="auto"/>
              <w:jc w:val="center"/>
              <w:rPr>
                <w:rFonts w:cs="Times New Roman"/>
                <w:b/>
                <w:sz w:val="20"/>
                <w:szCs w:val="20"/>
              </w:rPr>
            </w:pPr>
            <w:r w:rsidRPr="006E075E">
              <w:rPr>
                <w:rFonts w:cs="Times New Roman"/>
                <w:b/>
                <w:sz w:val="20"/>
                <w:szCs w:val="20"/>
              </w:rPr>
              <w:t>Consequences under a BAU scenario</w:t>
            </w:r>
          </w:p>
        </w:tc>
      </w:tr>
      <w:tr w:rsidR="008E7A93" w:rsidRPr="006F44F9" w:rsidTr="001F0B64">
        <w:trPr>
          <w:jc w:val="center"/>
        </w:trPr>
        <w:tc>
          <w:tcPr>
            <w:tcW w:w="874" w:type="pct"/>
          </w:tcPr>
          <w:p w:rsidR="008E7A93" w:rsidRPr="003D5D8C" w:rsidRDefault="008E7A93" w:rsidP="004F6875">
            <w:pPr>
              <w:pStyle w:val="BodyText"/>
              <w:spacing w:after="0" w:line="240" w:lineRule="auto"/>
              <w:rPr>
                <w:rFonts w:cs="Times New Roman"/>
                <w:sz w:val="18"/>
                <w:szCs w:val="20"/>
              </w:rPr>
            </w:pPr>
            <w:r w:rsidRPr="003D5D8C">
              <w:rPr>
                <w:rFonts w:cs="Times New Roman"/>
                <w:sz w:val="18"/>
                <w:szCs w:val="20"/>
              </w:rPr>
              <w:t>1. Tidal fluctuation</w:t>
            </w:r>
          </w:p>
        </w:tc>
        <w:tc>
          <w:tcPr>
            <w:tcW w:w="1579" w:type="pct"/>
          </w:tcPr>
          <w:p w:rsidR="008E7A93" w:rsidRPr="003D5D8C" w:rsidRDefault="008E7A93" w:rsidP="00AA6ED0">
            <w:pPr>
              <w:pStyle w:val="BodyText"/>
              <w:spacing w:after="0" w:line="240" w:lineRule="auto"/>
              <w:jc w:val="both"/>
              <w:rPr>
                <w:rFonts w:cs="Times New Roman"/>
                <w:sz w:val="18"/>
                <w:szCs w:val="20"/>
              </w:rPr>
            </w:pPr>
            <w:r w:rsidRPr="003D5D8C">
              <w:rPr>
                <w:rFonts w:cs="Times New Roman"/>
                <w:sz w:val="18"/>
                <w:szCs w:val="20"/>
              </w:rPr>
              <w:t>ranges from approximately 1.5 m in the west to over 4 m in the east and up to 8 m at spring tide near Sandwip</w:t>
            </w:r>
          </w:p>
        </w:tc>
        <w:tc>
          <w:tcPr>
            <w:tcW w:w="987" w:type="pct"/>
          </w:tcPr>
          <w:p w:rsidR="008E7A93" w:rsidRPr="003D5D8C" w:rsidRDefault="008E7A93" w:rsidP="00AA6ED0">
            <w:pPr>
              <w:pStyle w:val="BodyText"/>
              <w:spacing w:after="0" w:line="240" w:lineRule="auto"/>
              <w:jc w:val="both"/>
              <w:rPr>
                <w:rFonts w:cs="Times New Roman"/>
                <w:sz w:val="18"/>
                <w:szCs w:val="20"/>
              </w:rPr>
            </w:pPr>
            <w:r w:rsidRPr="003D5D8C">
              <w:rPr>
                <w:rFonts w:cs="Times New Roman"/>
                <w:sz w:val="18"/>
                <w:szCs w:val="20"/>
              </w:rPr>
              <w:t xml:space="preserve">Tidal height expected to increase with ASLR </w:t>
            </w:r>
          </w:p>
        </w:tc>
        <w:tc>
          <w:tcPr>
            <w:tcW w:w="1560" w:type="pct"/>
          </w:tcPr>
          <w:p w:rsidR="008E7A93" w:rsidRPr="003D5D8C" w:rsidRDefault="008E7A93" w:rsidP="001F0B64">
            <w:pPr>
              <w:pStyle w:val="BodyText"/>
              <w:spacing w:after="0" w:line="240" w:lineRule="auto"/>
              <w:jc w:val="both"/>
              <w:rPr>
                <w:rFonts w:cs="Times New Roman"/>
                <w:sz w:val="18"/>
                <w:szCs w:val="20"/>
              </w:rPr>
            </w:pPr>
            <w:r w:rsidRPr="003D5D8C">
              <w:rPr>
                <w:rFonts w:cs="Times New Roman"/>
                <w:sz w:val="18"/>
                <w:szCs w:val="20"/>
              </w:rPr>
              <w:t xml:space="preserve">Will affect at least 50% of </w:t>
            </w:r>
            <w:r w:rsidR="001F0B64">
              <w:rPr>
                <w:rFonts w:cs="Times New Roman"/>
                <w:sz w:val="18"/>
                <w:szCs w:val="20"/>
              </w:rPr>
              <w:t xml:space="preserve">coastal zone and </w:t>
            </w:r>
            <w:r w:rsidRPr="003D5D8C">
              <w:rPr>
                <w:rFonts w:cs="Times New Roman"/>
                <w:sz w:val="18"/>
                <w:szCs w:val="20"/>
              </w:rPr>
              <w:t>increase</w:t>
            </w:r>
            <w:r w:rsidR="00000C8C" w:rsidRPr="003D5D8C">
              <w:rPr>
                <w:rFonts w:cs="Times New Roman"/>
                <w:sz w:val="18"/>
                <w:szCs w:val="20"/>
              </w:rPr>
              <w:t>d</w:t>
            </w:r>
            <w:r w:rsidRPr="003D5D8C">
              <w:rPr>
                <w:rFonts w:cs="Times New Roman"/>
                <w:sz w:val="18"/>
                <w:szCs w:val="20"/>
              </w:rPr>
              <w:t xml:space="preserve"> salinity and destr</w:t>
            </w:r>
            <w:r w:rsidR="00000C8C" w:rsidRPr="003D5D8C">
              <w:rPr>
                <w:rFonts w:cs="Times New Roman"/>
                <w:sz w:val="18"/>
                <w:szCs w:val="20"/>
              </w:rPr>
              <w:t>uction of polder</w:t>
            </w:r>
            <w:r w:rsidRPr="003D5D8C">
              <w:rPr>
                <w:rFonts w:cs="Times New Roman"/>
                <w:sz w:val="18"/>
                <w:szCs w:val="20"/>
              </w:rPr>
              <w:t xml:space="preserve"> embankments</w:t>
            </w:r>
            <w:r w:rsidR="00411279">
              <w:rPr>
                <w:rFonts w:cs="Times New Roman"/>
                <w:sz w:val="18"/>
                <w:szCs w:val="20"/>
              </w:rPr>
              <w:t>.</w:t>
            </w:r>
            <w:r w:rsidRPr="003D5D8C">
              <w:rPr>
                <w:rFonts w:cs="Times New Roman"/>
                <w:sz w:val="18"/>
                <w:szCs w:val="20"/>
              </w:rPr>
              <w:t xml:space="preserve"> </w:t>
            </w:r>
          </w:p>
        </w:tc>
      </w:tr>
      <w:tr w:rsidR="00C45A87" w:rsidRPr="006F44F9" w:rsidTr="001F0B64">
        <w:trPr>
          <w:jc w:val="center"/>
        </w:trPr>
        <w:tc>
          <w:tcPr>
            <w:tcW w:w="874" w:type="pct"/>
          </w:tcPr>
          <w:p w:rsidR="00C45A87" w:rsidRPr="003D5D8C" w:rsidRDefault="00000C8C" w:rsidP="004F6875">
            <w:pPr>
              <w:pStyle w:val="BodyText"/>
              <w:spacing w:after="0" w:line="240" w:lineRule="auto"/>
              <w:rPr>
                <w:rFonts w:cs="Times New Roman"/>
                <w:sz w:val="18"/>
                <w:szCs w:val="20"/>
              </w:rPr>
            </w:pPr>
            <w:r w:rsidRPr="003D5D8C">
              <w:rPr>
                <w:rFonts w:cs="Times New Roman"/>
                <w:sz w:val="18"/>
                <w:szCs w:val="20"/>
              </w:rPr>
              <w:t>2</w:t>
            </w:r>
            <w:r w:rsidR="00C45A87" w:rsidRPr="003D5D8C">
              <w:rPr>
                <w:rFonts w:cs="Times New Roman"/>
                <w:sz w:val="18"/>
                <w:szCs w:val="20"/>
              </w:rPr>
              <w:t>. Accelerated Sea Level Rise (ASLR)</w:t>
            </w:r>
          </w:p>
        </w:tc>
        <w:tc>
          <w:tcPr>
            <w:tcW w:w="1579" w:type="pct"/>
          </w:tcPr>
          <w:p w:rsidR="00C45A87" w:rsidRPr="003D5D8C" w:rsidRDefault="00C45A87" w:rsidP="00AA6ED0">
            <w:pPr>
              <w:pStyle w:val="BodyText"/>
              <w:spacing w:after="0" w:line="240" w:lineRule="auto"/>
              <w:jc w:val="both"/>
              <w:rPr>
                <w:rFonts w:cs="Times New Roman"/>
                <w:sz w:val="18"/>
                <w:szCs w:val="20"/>
              </w:rPr>
            </w:pPr>
            <w:r w:rsidRPr="003D5D8C">
              <w:rPr>
                <w:rFonts w:cs="Times New Roman"/>
                <w:sz w:val="18"/>
                <w:szCs w:val="20"/>
              </w:rPr>
              <w:t>2.0 mm/year sea level rise</w:t>
            </w:r>
            <w:r w:rsidR="00411279">
              <w:rPr>
                <w:rFonts w:cs="Times New Roman"/>
                <w:sz w:val="18"/>
                <w:szCs w:val="20"/>
              </w:rPr>
              <w:t>.</w:t>
            </w:r>
            <w:r w:rsidRPr="003D5D8C">
              <w:rPr>
                <w:rFonts w:cs="Times New Roman"/>
                <w:sz w:val="18"/>
                <w:szCs w:val="20"/>
              </w:rPr>
              <w:t xml:space="preserve"> </w:t>
            </w:r>
          </w:p>
        </w:tc>
        <w:tc>
          <w:tcPr>
            <w:tcW w:w="987" w:type="pct"/>
          </w:tcPr>
          <w:p w:rsidR="00C45A87" w:rsidRPr="003D5D8C" w:rsidRDefault="00000C8C" w:rsidP="00AA6ED0">
            <w:pPr>
              <w:pStyle w:val="BodyText"/>
              <w:spacing w:after="0" w:line="240" w:lineRule="auto"/>
              <w:jc w:val="both"/>
              <w:rPr>
                <w:rFonts w:cs="Times New Roman"/>
                <w:sz w:val="18"/>
                <w:szCs w:val="20"/>
              </w:rPr>
            </w:pPr>
            <w:r w:rsidRPr="003D5D8C">
              <w:rPr>
                <w:rFonts w:cs="Times New Roman"/>
                <w:sz w:val="18"/>
                <w:szCs w:val="20"/>
              </w:rPr>
              <w:t>1 m or more by 2100; likely to cause significant changes in river salinity in the southwest coastal area of Bangladesh during the dry season (October to May) by 2050</w:t>
            </w:r>
          </w:p>
        </w:tc>
        <w:tc>
          <w:tcPr>
            <w:tcW w:w="1560" w:type="pct"/>
          </w:tcPr>
          <w:p w:rsidR="00000C8C" w:rsidRPr="003D5D8C" w:rsidRDefault="00C45A87" w:rsidP="00411279">
            <w:pPr>
              <w:pStyle w:val="BodyText"/>
              <w:spacing w:after="0" w:line="240" w:lineRule="auto"/>
              <w:jc w:val="both"/>
              <w:rPr>
                <w:rFonts w:cs="Times New Roman"/>
                <w:sz w:val="18"/>
                <w:szCs w:val="20"/>
              </w:rPr>
            </w:pPr>
            <w:r w:rsidRPr="003D5D8C">
              <w:rPr>
                <w:rFonts w:cs="Times New Roman"/>
                <w:sz w:val="18"/>
                <w:szCs w:val="20"/>
              </w:rPr>
              <w:t>Inundation of</w:t>
            </w:r>
            <w:r w:rsidR="001F0B64">
              <w:rPr>
                <w:rFonts w:cs="Times New Roman"/>
                <w:sz w:val="18"/>
                <w:szCs w:val="20"/>
              </w:rPr>
              <w:t xml:space="preserve"> between 17-21%</w:t>
            </w:r>
            <w:r w:rsidRPr="003D5D8C">
              <w:rPr>
                <w:rFonts w:cs="Times New Roman"/>
                <w:sz w:val="18"/>
                <w:szCs w:val="20"/>
              </w:rPr>
              <w:t xml:space="preserve"> of total area; </w:t>
            </w:r>
            <w:r w:rsidR="00000C8C" w:rsidRPr="003D5D8C">
              <w:rPr>
                <w:rFonts w:cs="Times New Roman"/>
                <w:sz w:val="18"/>
                <w:szCs w:val="20"/>
              </w:rPr>
              <w:t xml:space="preserve">significant shortages of drinking water in the coastal urban areas, scarcity of water for irrigation for dry-season agriculture and significant changes in the coastal aquatic ecosystems; </w:t>
            </w:r>
            <w:r w:rsidRPr="003D5D8C">
              <w:rPr>
                <w:rFonts w:cs="Times New Roman"/>
                <w:sz w:val="18"/>
                <w:szCs w:val="20"/>
              </w:rPr>
              <w:t xml:space="preserve">loss of farmland; loss of livelihoods; out-migration; destruction of infrastructure; </w:t>
            </w:r>
            <w:r w:rsidR="00000C8C" w:rsidRPr="003D5D8C">
              <w:rPr>
                <w:rFonts w:cs="Times New Roman"/>
                <w:sz w:val="18"/>
                <w:szCs w:val="20"/>
              </w:rPr>
              <w:t xml:space="preserve">change in </w:t>
            </w:r>
            <w:r w:rsidRPr="003D5D8C">
              <w:rPr>
                <w:rFonts w:cs="Times New Roman"/>
                <w:sz w:val="18"/>
                <w:szCs w:val="20"/>
              </w:rPr>
              <w:t>mangrove</w:t>
            </w:r>
            <w:r w:rsidR="00000C8C" w:rsidRPr="003D5D8C">
              <w:rPr>
                <w:rFonts w:cs="Times New Roman"/>
                <w:sz w:val="18"/>
                <w:szCs w:val="20"/>
              </w:rPr>
              <w:t xml:space="preserve"> pattern; </w:t>
            </w:r>
            <w:r w:rsidR="00C936FF" w:rsidRPr="003D5D8C">
              <w:rPr>
                <w:rFonts w:cs="Times New Roman"/>
                <w:sz w:val="18"/>
                <w:szCs w:val="20"/>
              </w:rPr>
              <w:t xml:space="preserve">will </w:t>
            </w:r>
            <w:r w:rsidR="00000C8C" w:rsidRPr="003D5D8C">
              <w:rPr>
                <w:rFonts w:cs="Times New Roman"/>
                <w:sz w:val="18"/>
                <w:szCs w:val="20"/>
              </w:rPr>
              <w:t>affect fish habitat and productive freshwater fisheries</w:t>
            </w:r>
            <w:r w:rsidR="00411279">
              <w:rPr>
                <w:rFonts w:cs="Times New Roman"/>
                <w:sz w:val="18"/>
                <w:szCs w:val="20"/>
              </w:rPr>
              <w:t>.</w:t>
            </w:r>
          </w:p>
        </w:tc>
      </w:tr>
      <w:tr w:rsidR="00C45A87" w:rsidRPr="00312B8D" w:rsidTr="001F0B64">
        <w:trPr>
          <w:jc w:val="center"/>
        </w:trPr>
        <w:tc>
          <w:tcPr>
            <w:tcW w:w="874" w:type="pct"/>
          </w:tcPr>
          <w:p w:rsidR="00C45A87" w:rsidRPr="003D5D8C" w:rsidRDefault="00F069D1" w:rsidP="00000C8C">
            <w:pPr>
              <w:pStyle w:val="BodyText"/>
              <w:spacing w:after="0" w:line="240" w:lineRule="auto"/>
              <w:rPr>
                <w:rFonts w:cs="Times New Roman"/>
                <w:sz w:val="18"/>
                <w:szCs w:val="20"/>
              </w:rPr>
            </w:pPr>
            <w:r w:rsidRPr="003D5D8C">
              <w:rPr>
                <w:rFonts w:cs="Times New Roman"/>
                <w:sz w:val="18"/>
                <w:szCs w:val="20"/>
              </w:rPr>
              <w:t>3</w:t>
            </w:r>
            <w:r w:rsidR="00C45A87" w:rsidRPr="003D5D8C">
              <w:rPr>
                <w:rFonts w:cs="Times New Roman"/>
                <w:sz w:val="18"/>
                <w:szCs w:val="20"/>
              </w:rPr>
              <w:t xml:space="preserve">. </w:t>
            </w:r>
            <w:r w:rsidR="00000C8C" w:rsidRPr="003D5D8C">
              <w:rPr>
                <w:rFonts w:cs="Times New Roman"/>
                <w:sz w:val="18"/>
                <w:szCs w:val="20"/>
              </w:rPr>
              <w:t xml:space="preserve">Salinity intrusion with sea level rise </w:t>
            </w:r>
          </w:p>
        </w:tc>
        <w:tc>
          <w:tcPr>
            <w:tcW w:w="1579" w:type="pct"/>
          </w:tcPr>
          <w:p w:rsidR="00C45A87" w:rsidRPr="00411279" w:rsidRDefault="00C936FF" w:rsidP="00411279">
            <w:pPr>
              <w:spacing w:before="100" w:beforeAutospacing="1" w:after="100" w:afterAutospacing="1" w:line="240" w:lineRule="auto"/>
              <w:jc w:val="both"/>
              <w:rPr>
                <w:rFonts w:ascii="Times" w:hAnsi="Times" w:cs="Times New Roman"/>
                <w:sz w:val="18"/>
                <w:szCs w:val="20"/>
              </w:rPr>
            </w:pPr>
            <w:r w:rsidRPr="003D5D8C">
              <w:rPr>
                <w:rFonts w:ascii="TimesNewRoman" w:hAnsi="TimesNewRoman" w:cs="Times New Roman"/>
                <w:sz w:val="18"/>
                <w:szCs w:val="20"/>
              </w:rPr>
              <w:t>Out of 2.86 million hectares of coastal and offshore lands about 1.0 million ha (SRDI 2000) of arable lands are affected by varying degrees of salinity</w:t>
            </w:r>
            <w:r w:rsidR="00411279">
              <w:rPr>
                <w:rFonts w:ascii="TimesNewRoman" w:hAnsi="TimesNewRoman" w:cs="Times New Roman"/>
                <w:sz w:val="18"/>
              </w:rPr>
              <w:t>.</w:t>
            </w:r>
          </w:p>
        </w:tc>
        <w:tc>
          <w:tcPr>
            <w:tcW w:w="987" w:type="pct"/>
          </w:tcPr>
          <w:p w:rsidR="00C45A87" w:rsidRPr="003D5D8C" w:rsidRDefault="00000C8C" w:rsidP="00AA6ED0">
            <w:pPr>
              <w:pStyle w:val="BodyText"/>
              <w:spacing w:after="0" w:line="240" w:lineRule="auto"/>
              <w:jc w:val="both"/>
              <w:rPr>
                <w:rFonts w:cs="Times New Roman"/>
                <w:sz w:val="18"/>
                <w:szCs w:val="20"/>
              </w:rPr>
            </w:pPr>
            <w:r w:rsidRPr="003D5D8C">
              <w:rPr>
                <w:rFonts w:cs="Times New Roman"/>
                <w:sz w:val="18"/>
                <w:szCs w:val="20"/>
              </w:rPr>
              <w:t xml:space="preserve">salinity intrusion </w:t>
            </w:r>
            <w:r w:rsidR="00C936FF" w:rsidRPr="003D5D8C">
              <w:rPr>
                <w:rFonts w:cs="Times New Roman"/>
                <w:sz w:val="18"/>
                <w:szCs w:val="20"/>
              </w:rPr>
              <w:t xml:space="preserve">increase </w:t>
            </w:r>
            <w:r w:rsidRPr="003D5D8C">
              <w:rPr>
                <w:rFonts w:cs="Times New Roman"/>
                <w:sz w:val="18"/>
                <w:szCs w:val="20"/>
              </w:rPr>
              <w:t>with sea level rise of 52 cm in 2050</w:t>
            </w:r>
          </w:p>
        </w:tc>
        <w:tc>
          <w:tcPr>
            <w:tcW w:w="1560" w:type="pct"/>
          </w:tcPr>
          <w:p w:rsidR="00C45A87" w:rsidRPr="003D5D8C" w:rsidRDefault="001F0B64" w:rsidP="00AA6ED0">
            <w:pPr>
              <w:pStyle w:val="BodyText"/>
              <w:spacing w:after="0" w:line="240" w:lineRule="auto"/>
              <w:jc w:val="both"/>
              <w:rPr>
                <w:rFonts w:cs="Times New Roman"/>
                <w:sz w:val="18"/>
                <w:szCs w:val="20"/>
              </w:rPr>
            </w:pPr>
            <w:r>
              <w:rPr>
                <w:rFonts w:cs="Times New Roman"/>
                <w:sz w:val="18"/>
                <w:szCs w:val="20"/>
              </w:rPr>
              <w:t>7,000-</w:t>
            </w:r>
            <w:r w:rsidR="00F069D1" w:rsidRPr="003D5D8C">
              <w:rPr>
                <w:rFonts w:cs="Times New Roman"/>
                <w:sz w:val="18"/>
                <w:szCs w:val="20"/>
              </w:rPr>
              <w:t>8,400 km</w:t>
            </w:r>
            <w:r w:rsidR="00F069D1" w:rsidRPr="003D5D8C">
              <w:rPr>
                <w:rFonts w:cs="Times New Roman"/>
                <w:sz w:val="18"/>
                <w:szCs w:val="20"/>
                <w:vertAlign w:val="superscript"/>
              </w:rPr>
              <w:t>2</w:t>
            </w:r>
            <w:r w:rsidR="00F069D1" w:rsidRPr="003D5D8C">
              <w:rPr>
                <w:rFonts w:cs="Times New Roman"/>
                <w:sz w:val="18"/>
                <w:szCs w:val="20"/>
              </w:rPr>
              <w:t xml:space="preserve"> likely to be affected; </w:t>
            </w:r>
            <w:r w:rsidR="00000C8C" w:rsidRPr="003D5D8C">
              <w:rPr>
                <w:rFonts w:cs="Times New Roman"/>
                <w:sz w:val="18"/>
                <w:szCs w:val="20"/>
              </w:rPr>
              <w:t xml:space="preserve">Loss of freshwater  zones in the Bagerhat, Barguna, Barisal, Bhola; </w:t>
            </w:r>
            <w:r w:rsidR="00F069D1" w:rsidRPr="003D5D8C">
              <w:rPr>
                <w:rFonts w:cs="Times New Roman"/>
                <w:sz w:val="18"/>
                <w:szCs w:val="20"/>
              </w:rPr>
              <w:t>salinity will affect 2.9 to 5.2 million people</w:t>
            </w:r>
          </w:p>
        </w:tc>
      </w:tr>
      <w:tr w:rsidR="00C45A87" w:rsidRPr="00312B8D" w:rsidTr="001F0B64">
        <w:trPr>
          <w:jc w:val="center"/>
        </w:trPr>
        <w:tc>
          <w:tcPr>
            <w:tcW w:w="874" w:type="pct"/>
          </w:tcPr>
          <w:p w:rsidR="00C45A87" w:rsidRPr="003D5D8C" w:rsidRDefault="00C45A87" w:rsidP="004F6875">
            <w:pPr>
              <w:pStyle w:val="BodyText"/>
              <w:spacing w:after="0" w:line="240" w:lineRule="auto"/>
              <w:rPr>
                <w:rFonts w:cs="Times New Roman"/>
                <w:sz w:val="18"/>
                <w:szCs w:val="20"/>
              </w:rPr>
            </w:pPr>
            <w:r w:rsidRPr="003D5D8C">
              <w:rPr>
                <w:rFonts w:cs="Times New Roman"/>
                <w:sz w:val="18"/>
                <w:szCs w:val="20"/>
              </w:rPr>
              <w:t>5. Cyclones</w:t>
            </w:r>
          </w:p>
        </w:tc>
        <w:tc>
          <w:tcPr>
            <w:tcW w:w="1579" w:type="pct"/>
          </w:tcPr>
          <w:p w:rsidR="00C45A87" w:rsidRPr="003D5D8C" w:rsidRDefault="00C45A87" w:rsidP="00AA6ED0">
            <w:pPr>
              <w:pStyle w:val="BodyText"/>
              <w:spacing w:after="0" w:line="240" w:lineRule="auto"/>
              <w:jc w:val="both"/>
              <w:rPr>
                <w:rFonts w:cs="Times New Roman"/>
                <w:sz w:val="18"/>
                <w:szCs w:val="20"/>
              </w:rPr>
            </w:pPr>
            <w:r w:rsidRPr="003D5D8C">
              <w:rPr>
                <w:rFonts w:cs="Times New Roman"/>
                <w:sz w:val="18"/>
                <w:szCs w:val="20"/>
              </w:rPr>
              <w:t>Number of cyclones decreasing but intensity increasing</w:t>
            </w:r>
          </w:p>
        </w:tc>
        <w:tc>
          <w:tcPr>
            <w:tcW w:w="987" w:type="pct"/>
          </w:tcPr>
          <w:p w:rsidR="00C45A87" w:rsidRPr="003D5D8C" w:rsidRDefault="00C45A87" w:rsidP="00AA6ED0">
            <w:pPr>
              <w:pStyle w:val="BodyText"/>
              <w:spacing w:after="0" w:line="240" w:lineRule="auto"/>
              <w:jc w:val="both"/>
              <w:rPr>
                <w:rFonts w:cs="Times New Roman"/>
                <w:sz w:val="18"/>
                <w:szCs w:val="20"/>
              </w:rPr>
            </w:pPr>
            <w:r w:rsidRPr="003D5D8C">
              <w:rPr>
                <w:rFonts w:cs="Times New Roman"/>
                <w:sz w:val="18"/>
                <w:szCs w:val="20"/>
              </w:rPr>
              <w:t>Increased intensity of cyclones with high wind speeds up to and over 250 km per hour</w:t>
            </w:r>
          </w:p>
        </w:tc>
        <w:tc>
          <w:tcPr>
            <w:tcW w:w="1560" w:type="pct"/>
          </w:tcPr>
          <w:p w:rsidR="00C45A87" w:rsidRPr="003D5D8C" w:rsidRDefault="00C45A87" w:rsidP="00AA6ED0">
            <w:pPr>
              <w:pStyle w:val="BodyText"/>
              <w:spacing w:after="0" w:line="240" w:lineRule="auto"/>
              <w:jc w:val="both"/>
              <w:rPr>
                <w:rFonts w:cs="Times New Roman"/>
                <w:sz w:val="18"/>
                <w:szCs w:val="20"/>
              </w:rPr>
            </w:pPr>
            <w:r w:rsidRPr="003D5D8C">
              <w:rPr>
                <w:rFonts w:cs="Times New Roman"/>
                <w:sz w:val="18"/>
                <w:szCs w:val="20"/>
              </w:rPr>
              <w:t>Devastating effects on homesteads, crops, livestock; salt water intrusion; water logging</w:t>
            </w:r>
            <w:r w:rsidR="00411279">
              <w:rPr>
                <w:rFonts w:cs="Times New Roman"/>
                <w:sz w:val="18"/>
                <w:szCs w:val="20"/>
              </w:rPr>
              <w:t>.</w:t>
            </w:r>
          </w:p>
        </w:tc>
      </w:tr>
      <w:tr w:rsidR="00C45A87" w:rsidRPr="006F44F9" w:rsidTr="001F0B64">
        <w:trPr>
          <w:jc w:val="center"/>
        </w:trPr>
        <w:tc>
          <w:tcPr>
            <w:tcW w:w="874" w:type="pct"/>
          </w:tcPr>
          <w:p w:rsidR="00C45A87" w:rsidRPr="003D5D8C" w:rsidRDefault="00C45A87" w:rsidP="004F6875">
            <w:pPr>
              <w:pStyle w:val="BodyText"/>
              <w:spacing w:after="0" w:line="240" w:lineRule="auto"/>
              <w:rPr>
                <w:rFonts w:cs="Times New Roman"/>
                <w:sz w:val="18"/>
                <w:szCs w:val="20"/>
              </w:rPr>
            </w:pPr>
            <w:r w:rsidRPr="003D5D8C">
              <w:rPr>
                <w:rFonts w:cs="Times New Roman"/>
                <w:sz w:val="18"/>
                <w:szCs w:val="20"/>
              </w:rPr>
              <w:t xml:space="preserve">6. Storm surge </w:t>
            </w:r>
          </w:p>
        </w:tc>
        <w:tc>
          <w:tcPr>
            <w:tcW w:w="1579" w:type="pct"/>
          </w:tcPr>
          <w:p w:rsidR="00C45A87" w:rsidRPr="003D5D8C" w:rsidRDefault="00C45A87" w:rsidP="00AA6ED0">
            <w:pPr>
              <w:pStyle w:val="BodyText"/>
              <w:spacing w:after="0" w:line="240" w:lineRule="auto"/>
              <w:jc w:val="both"/>
              <w:rPr>
                <w:rFonts w:cs="Times New Roman"/>
                <w:sz w:val="18"/>
                <w:szCs w:val="20"/>
              </w:rPr>
            </w:pPr>
            <w:r w:rsidRPr="003D5D8C">
              <w:rPr>
                <w:rFonts w:cs="Times New Roman"/>
                <w:sz w:val="18"/>
                <w:szCs w:val="20"/>
              </w:rPr>
              <w:t>Current storm surge heights are topping over polder embankments (Sidr and Aila cyclones)</w:t>
            </w:r>
            <w:r w:rsidR="008F5693" w:rsidRPr="003D5D8C">
              <w:rPr>
                <w:rFonts w:cs="Times New Roman"/>
                <w:sz w:val="18"/>
                <w:szCs w:val="20"/>
              </w:rPr>
              <w:t>; estimated cost of damage of Sidr alone was at US$ 1.7 billion (World Bank, 2010).</w:t>
            </w:r>
          </w:p>
        </w:tc>
        <w:tc>
          <w:tcPr>
            <w:tcW w:w="987" w:type="pct"/>
          </w:tcPr>
          <w:p w:rsidR="00C45A87" w:rsidRPr="003D5D8C" w:rsidRDefault="00C45A87" w:rsidP="00AA6ED0">
            <w:pPr>
              <w:pStyle w:val="BodyText"/>
              <w:spacing w:after="0" w:line="240" w:lineRule="auto"/>
              <w:jc w:val="both"/>
              <w:rPr>
                <w:rFonts w:cs="Times New Roman"/>
                <w:sz w:val="18"/>
                <w:szCs w:val="20"/>
              </w:rPr>
            </w:pPr>
            <w:r w:rsidRPr="003D5D8C">
              <w:rPr>
                <w:rFonts w:cs="Times New Roman"/>
                <w:sz w:val="18"/>
                <w:szCs w:val="20"/>
              </w:rPr>
              <w:t>Future storm surge heights will double due to higher wind</w:t>
            </w:r>
            <w:r w:rsidR="003D5D8C" w:rsidRPr="003D5D8C">
              <w:rPr>
                <w:rFonts w:cs="Times New Roman"/>
                <w:sz w:val="18"/>
                <w:szCs w:val="20"/>
              </w:rPr>
              <w:t xml:space="preserve"> </w:t>
            </w:r>
            <w:r w:rsidRPr="003D5D8C">
              <w:rPr>
                <w:rFonts w:cs="Times New Roman"/>
                <w:sz w:val="18"/>
                <w:szCs w:val="20"/>
              </w:rPr>
              <w:t>speeds</w:t>
            </w:r>
            <w:r w:rsidR="00411279">
              <w:rPr>
                <w:rFonts w:cs="Times New Roman"/>
                <w:sz w:val="18"/>
                <w:szCs w:val="20"/>
              </w:rPr>
              <w:t>.</w:t>
            </w:r>
          </w:p>
        </w:tc>
        <w:tc>
          <w:tcPr>
            <w:tcW w:w="1560" w:type="pct"/>
          </w:tcPr>
          <w:p w:rsidR="008E7A93" w:rsidRPr="003D5D8C" w:rsidRDefault="00C45A87" w:rsidP="00AA6ED0">
            <w:pPr>
              <w:pStyle w:val="BodyText"/>
              <w:spacing w:after="0" w:line="240" w:lineRule="auto"/>
              <w:jc w:val="both"/>
              <w:rPr>
                <w:rFonts w:cs="Times New Roman"/>
                <w:sz w:val="18"/>
                <w:szCs w:val="20"/>
              </w:rPr>
            </w:pPr>
            <w:r w:rsidRPr="003D5D8C">
              <w:rPr>
                <w:rFonts w:cs="Times New Roman"/>
                <w:sz w:val="18"/>
                <w:szCs w:val="20"/>
              </w:rPr>
              <w:t>All current polders will be flooded with prolonged water logging</w:t>
            </w:r>
            <w:r w:rsidR="008E7A93" w:rsidRPr="003D5D8C">
              <w:rPr>
                <w:rFonts w:cs="Times New Roman"/>
                <w:sz w:val="18"/>
                <w:szCs w:val="20"/>
              </w:rPr>
              <w:t>;</w:t>
            </w:r>
            <w:r w:rsidR="003D5D8C" w:rsidRPr="003D5D8C">
              <w:rPr>
                <w:rFonts w:cs="Times New Roman"/>
                <w:sz w:val="18"/>
                <w:szCs w:val="20"/>
              </w:rPr>
              <w:t xml:space="preserve"> </w:t>
            </w:r>
            <w:r w:rsidR="008E7A93" w:rsidRPr="003D5D8C">
              <w:rPr>
                <w:rFonts w:cs="Times New Roman"/>
                <w:sz w:val="18"/>
                <w:szCs w:val="20"/>
              </w:rPr>
              <w:t>damages to infrastructure, agriculture and aquaculture</w:t>
            </w:r>
            <w:r w:rsidR="00411279">
              <w:rPr>
                <w:rFonts w:cs="Times New Roman"/>
                <w:sz w:val="18"/>
                <w:szCs w:val="20"/>
              </w:rPr>
              <w:t>.</w:t>
            </w:r>
          </w:p>
        </w:tc>
      </w:tr>
    </w:tbl>
    <w:p w:rsidR="007D4237" w:rsidRDefault="00A7167D" w:rsidP="00D7044C">
      <w:pPr>
        <w:pStyle w:val="BodyText"/>
        <w:spacing w:before="120" w:after="240" w:line="276" w:lineRule="auto"/>
        <w:jc w:val="both"/>
        <w:rPr>
          <w:rFonts w:cs="Times New Roman"/>
          <w:b/>
          <w:i/>
          <w:sz w:val="20"/>
          <w:szCs w:val="18"/>
        </w:rPr>
      </w:pPr>
      <w:r>
        <w:rPr>
          <w:rFonts w:cs="Times New Roman"/>
          <w:b/>
          <w:i/>
          <w:sz w:val="20"/>
          <w:szCs w:val="18"/>
        </w:rPr>
        <w:t xml:space="preserve">        Note: </w:t>
      </w:r>
      <w:r w:rsidR="008F5693" w:rsidRPr="005E04F6">
        <w:rPr>
          <w:rFonts w:cs="Times New Roman"/>
          <w:b/>
          <w:i/>
          <w:sz w:val="20"/>
          <w:szCs w:val="18"/>
        </w:rPr>
        <w:t xml:space="preserve"> BAU = business as usual (i.e. no concerted adapta</w:t>
      </w:r>
      <w:r w:rsidR="00EA46DA">
        <w:rPr>
          <w:rFonts w:cs="Times New Roman"/>
          <w:b/>
          <w:i/>
          <w:sz w:val="20"/>
          <w:szCs w:val="18"/>
        </w:rPr>
        <w:t>tion or mitigation investments)</w:t>
      </w:r>
    </w:p>
    <w:p w:rsidR="002066E1" w:rsidRDefault="002066E1">
      <w:pPr>
        <w:rPr>
          <w:b/>
        </w:rPr>
      </w:pPr>
      <w:r>
        <w:rPr>
          <w:b/>
        </w:rPr>
        <w:lastRenderedPageBreak/>
        <w:br w:type="page"/>
      </w:r>
    </w:p>
    <w:p w:rsidR="00000000" w:rsidRDefault="00847F49" w:rsidP="003D5A31">
      <w:pPr>
        <w:pStyle w:val="ListParagraph"/>
        <w:numPr>
          <w:ilvl w:val="2"/>
          <w:numId w:val="235"/>
        </w:numPr>
        <w:rPr>
          <w:b/>
        </w:rPr>
      </w:pPr>
      <w:r w:rsidRPr="005E319F">
        <w:rPr>
          <w:b/>
        </w:rPr>
        <w:lastRenderedPageBreak/>
        <w:t xml:space="preserve">Barind and </w:t>
      </w:r>
      <w:r w:rsidR="003507C6" w:rsidRPr="005E319F">
        <w:rPr>
          <w:b/>
        </w:rPr>
        <w:t>Drought Prone</w:t>
      </w:r>
      <w:r w:rsidR="000A0664">
        <w:rPr>
          <w:b/>
        </w:rPr>
        <w:t xml:space="preserve"> Hotspot </w:t>
      </w:r>
    </w:p>
    <w:p w:rsidR="00A60470" w:rsidRPr="005E04F6" w:rsidRDefault="00A60470" w:rsidP="005E04F6">
      <w:pPr>
        <w:pStyle w:val="BodyText"/>
        <w:spacing w:after="240" w:line="276" w:lineRule="auto"/>
        <w:jc w:val="both"/>
        <w:rPr>
          <w:rFonts w:cs="Times New Roman"/>
          <w:szCs w:val="24"/>
        </w:rPr>
      </w:pPr>
      <w:r w:rsidRPr="005E04F6">
        <w:rPr>
          <w:rFonts w:cs="Times New Roman"/>
          <w:szCs w:val="24"/>
        </w:rPr>
        <w:t xml:space="preserve">Most characteristically, the Barind Tract at the west side of Rajshahi Division makes the area elevated, and the elevated riverbanks of the Jamuna and the Ganges make the region basin-shaped where </w:t>
      </w:r>
      <w:r w:rsidR="003507C6" w:rsidRPr="005E04F6">
        <w:rPr>
          <w:rFonts w:cs="Times New Roman"/>
          <w:szCs w:val="24"/>
        </w:rPr>
        <w:t>Chalan Beel</w:t>
      </w:r>
      <w:r w:rsidRPr="005E04F6">
        <w:rPr>
          <w:rFonts w:cs="Times New Roman"/>
          <w:szCs w:val="24"/>
        </w:rPr>
        <w:t xml:space="preserve"> is located. Most of the rivers of this area come from the Ganges River and Barind Tract and outfall in</w:t>
      </w:r>
      <w:r w:rsidR="0029759C">
        <w:rPr>
          <w:rFonts w:cs="Times New Roman"/>
          <w:szCs w:val="24"/>
        </w:rPr>
        <w:t>to the Brahmaputra-Jamuna River</w:t>
      </w:r>
      <w:r w:rsidR="00411279">
        <w:rPr>
          <w:rFonts w:cs="Times New Roman"/>
          <w:szCs w:val="24"/>
        </w:rPr>
        <w:t xml:space="preserve"> (Map 1.14)</w:t>
      </w:r>
      <w:r w:rsidRPr="005E04F6">
        <w:rPr>
          <w:rFonts w:cs="Times New Roman"/>
          <w:szCs w:val="24"/>
        </w:rPr>
        <w:t>. During the last few decades, there were a number of human interventions such as the Teesta Barrage in India (in 1985) and in Bangladesh (in 1995), which have severe consequences on the availability of water during the dry season.</w:t>
      </w:r>
    </w:p>
    <w:p w:rsidR="00A60470" w:rsidRPr="00847F49" w:rsidRDefault="00EB6F18" w:rsidP="00181D96">
      <w:pPr>
        <w:pStyle w:val="Heading6"/>
      </w:pPr>
      <w:bookmarkStart w:id="56" w:name="_Toc474639294"/>
      <w:bookmarkStart w:id="57" w:name="_Ref410822420"/>
      <w:bookmarkStart w:id="58" w:name="_Toc439230651"/>
      <w:r>
        <w:t>Map 1.</w:t>
      </w:r>
      <w:r w:rsidR="00C85BB5">
        <w:t>1</w:t>
      </w:r>
      <w:r w:rsidR="00411279">
        <w:t>4</w:t>
      </w:r>
      <w:r w:rsidR="00A60470" w:rsidRPr="00847F49">
        <w:t>: Rivers in the North-West</w:t>
      </w:r>
      <w:bookmarkEnd w:id="56"/>
    </w:p>
    <w:bookmarkEnd w:id="57"/>
    <w:bookmarkEnd w:id="58"/>
    <w:p w:rsidR="00A60470" w:rsidRDefault="00A60470" w:rsidP="00B046DA">
      <w:pPr>
        <w:spacing w:after="0"/>
        <w:jc w:val="center"/>
        <w:rPr>
          <w:rFonts w:eastAsia="Nikosh" w:cs="Segoe UI"/>
          <w:color w:val="000000"/>
          <w:lang w:bidi="bn-BD"/>
        </w:rPr>
      </w:pPr>
      <w:r>
        <w:rPr>
          <w:rFonts w:eastAsia="Nikosh" w:cs="Segoe UI"/>
          <w:noProof/>
          <w:color w:val="000000"/>
          <w:lang w:val="en-AU" w:eastAsia="en-AU" w:bidi="bn-BD"/>
        </w:rPr>
        <w:drawing>
          <wp:inline distT="0" distB="0" distL="0" distR="0">
            <wp:extent cx="5676900" cy="5657850"/>
            <wp:effectExtent l="0" t="0" r="0" b="0"/>
            <wp:docPr id="27" name="Picture 2" descr="D:\CEGIS Projects\Detta Plan\TAG001_maps\RiverMaps\08 Regional river - NW - A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CEGIS Projects\Detta Plan\TAG001_maps\RiverMaps\08 Regional river - NW - A4.png"/>
                    <pic:cNvPicPr>
                      <a:picLocks noChangeAspect="1" noChangeArrowheads="1"/>
                    </pic:cNvPicPr>
                  </pic:nvPicPr>
                  <pic:blipFill>
                    <a:blip r:embed="rId35"/>
                    <a:srcRect l="5124" t="2924" r="3802" b="3500"/>
                    <a:stretch>
                      <a:fillRect/>
                    </a:stretch>
                  </pic:blipFill>
                  <pic:spPr bwMode="auto">
                    <a:xfrm>
                      <a:off x="0" y="0"/>
                      <a:ext cx="5678975" cy="5659918"/>
                    </a:xfrm>
                    <a:prstGeom prst="rect">
                      <a:avLst/>
                    </a:prstGeom>
                    <a:noFill/>
                    <a:ln w="9525">
                      <a:noFill/>
                      <a:miter lim="800000"/>
                      <a:headEnd/>
                      <a:tailEnd/>
                    </a:ln>
                  </pic:spPr>
                </pic:pic>
              </a:graphicData>
            </a:graphic>
          </wp:inline>
        </w:drawing>
      </w:r>
    </w:p>
    <w:p w:rsidR="00847F49" w:rsidRPr="005E04F6" w:rsidRDefault="0029759C" w:rsidP="0029759C">
      <w:pPr>
        <w:pStyle w:val="BodyText"/>
        <w:spacing w:before="120" w:after="240" w:line="276" w:lineRule="auto"/>
        <w:jc w:val="both"/>
        <w:rPr>
          <w:rFonts w:cs="Times New Roman"/>
          <w:b/>
          <w:i/>
          <w:szCs w:val="24"/>
        </w:rPr>
      </w:pPr>
      <w:r>
        <w:rPr>
          <w:rFonts w:cs="Times New Roman"/>
          <w:szCs w:val="24"/>
        </w:rPr>
        <w:t xml:space="preserve">       </w:t>
      </w:r>
      <w:r w:rsidR="00847F49" w:rsidRPr="005E04F6">
        <w:rPr>
          <w:rFonts w:cs="Times New Roman"/>
          <w:b/>
          <w:i/>
          <w:sz w:val="20"/>
          <w:szCs w:val="24"/>
        </w:rPr>
        <w:t>Source: CEGIS</w:t>
      </w:r>
    </w:p>
    <w:p w:rsidR="00A60470" w:rsidRPr="005E04F6" w:rsidRDefault="00A60470" w:rsidP="005E04F6">
      <w:pPr>
        <w:pStyle w:val="BodyText"/>
        <w:spacing w:after="240" w:line="276" w:lineRule="auto"/>
        <w:jc w:val="both"/>
        <w:rPr>
          <w:rFonts w:cs="Times New Roman"/>
          <w:szCs w:val="24"/>
        </w:rPr>
      </w:pPr>
      <w:r w:rsidRPr="005E04F6">
        <w:rPr>
          <w:rFonts w:cs="Times New Roman"/>
          <w:szCs w:val="24"/>
        </w:rPr>
        <w:lastRenderedPageBreak/>
        <w:t xml:space="preserve">The greater part of the Barind Tract is almost plain and is crisscrossed by only a few minor rivers. This tract is considered an ecologically fragile ecosystem with extremely low vegetation </w:t>
      </w:r>
      <w:r w:rsidR="004E362F" w:rsidRPr="005E04F6">
        <w:rPr>
          <w:rFonts w:cs="Times New Roman"/>
          <w:szCs w:val="24"/>
        </w:rPr>
        <w:t>cover. Though</w:t>
      </w:r>
      <w:r w:rsidRPr="005E04F6">
        <w:rPr>
          <w:rFonts w:cs="Times New Roman"/>
          <w:szCs w:val="24"/>
        </w:rPr>
        <w:t xml:space="preserve"> the zone was rich with faunal diversity in the past, it has now noticeably reduced mostly due to various pressures like expansion of human habitat, agricultural extension, unwise use of agrochemicals, and illegal hunting. </w:t>
      </w:r>
    </w:p>
    <w:p w:rsidR="00F8056C" w:rsidRPr="00B046DA" w:rsidRDefault="008737A6" w:rsidP="00181D96">
      <w:pPr>
        <w:pStyle w:val="Heading6"/>
      </w:pPr>
      <w:bookmarkStart w:id="59" w:name="_Toc474639295"/>
      <w:r>
        <w:t>Map 1.1</w:t>
      </w:r>
      <w:r w:rsidR="001D0B9A">
        <w:t>5</w:t>
      </w:r>
      <w:r w:rsidR="00A60470" w:rsidRPr="00B046DA">
        <w:t>: River system of North-West Region in 1776 and 2010 and Historical Changes of the Teesta River</w:t>
      </w:r>
      <w:bookmarkEnd w:id="59"/>
    </w:p>
    <w:p w:rsidR="00A60470" w:rsidRDefault="00A60470" w:rsidP="00A60470">
      <w:pPr>
        <w:jc w:val="center"/>
        <w:rPr>
          <w:b/>
          <w:bCs/>
        </w:rPr>
      </w:pPr>
      <w:r>
        <w:rPr>
          <w:noProof/>
          <w:lang w:val="en-AU" w:eastAsia="en-AU" w:bidi="bn-BD"/>
        </w:rPr>
        <w:drawing>
          <wp:inline distT="0" distB="0" distL="0" distR="0">
            <wp:extent cx="4568825" cy="3061252"/>
            <wp:effectExtent l="19050" t="19050" r="22225" b="25400"/>
            <wp:docPr id="64" name="Picture 2" descr="G:\N-W regional history_up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W regional history_update.jpg"/>
                    <pic:cNvPicPr>
                      <a:picLocks noChangeAspect="1" noChangeArrowheads="1"/>
                    </pic:cNvPicPr>
                  </pic:nvPicPr>
                  <pic:blipFill rotWithShape="1">
                    <a:blip r:embed="rId36" cstate="print"/>
                    <a:srcRect l="-1512" r="-1"/>
                    <a:stretch/>
                  </pic:blipFill>
                  <pic:spPr bwMode="auto">
                    <a:xfrm>
                      <a:off x="0" y="0"/>
                      <a:ext cx="4574054" cy="3064756"/>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60470" w:rsidRDefault="00A60470" w:rsidP="00B046DA">
      <w:pPr>
        <w:spacing w:after="0"/>
        <w:jc w:val="center"/>
      </w:pPr>
      <w:r>
        <w:rPr>
          <w:rFonts w:cs="Segoe UI"/>
          <w:noProof/>
          <w:lang w:val="en-AU" w:eastAsia="en-AU" w:bidi="bn-BD"/>
        </w:rPr>
        <w:drawing>
          <wp:inline distT="0" distB="0" distL="0" distR="0">
            <wp:extent cx="4619887" cy="2842592"/>
            <wp:effectExtent l="0" t="0" r="0" b="0"/>
            <wp:docPr id="32" name="Picture 1" descr="D:\CEGIS Projects\Detta Plan\te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EGIS Projects\Detta Plan\teesta.jpg"/>
                    <pic:cNvPicPr>
                      <a:picLocks noChangeAspect="1" noChangeArrowheads="1"/>
                    </pic:cNvPicPr>
                  </pic:nvPicPr>
                  <pic:blipFill>
                    <a:blip r:embed="rId37"/>
                    <a:srcRect l="945" t="1080" r="6174" b="41669"/>
                    <a:stretch>
                      <a:fillRect/>
                    </a:stretch>
                  </pic:blipFill>
                  <pic:spPr bwMode="auto">
                    <a:xfrm>
                      <a:off x="0" y="0"/>
                      <a:ext cx="4633150" cy="2850753"/>
                    </a:xfrm>
                    <a:prstGeom prst="rect">
                      <a:avLst/>
                    </a:prstGeom>
                    <a:noFill/>
                    <a:ln w="9525">
                      <a:noFill/>
                      <a:miter lim="800000"/>
                      <a:headEnd/>
                      <a:tailEnd/>
                    </a:ln>
                  </pic:spPr>
                </pic:pic>
              </a:graphicData>
            </a:graphic>
          </wp:inline>
        </w:drawing>
      </w:r>
    </w:p>
    <w:p w:rsidR="00847F49" w:rsidRPr="005E04F6" w:rsidRDefault="00847F49" w:rsidP="004B40BC">
      <w:pPr>
        <w:pStyle w:val="BodyText"/>
        <w:spacing w:before="120" w:after="240" w:line="276" w:lineRule="auto"/>
        <w:ind w:left="720" w:firstLine="720"/>
        <w:jc w:val="both"/>
        <w:rPr>
          <w:rFonts w:cs="Times New Roman"/>
          <w:b/>
          <w:i/>
          <w:szCs w:val="24"/>
        </w:rPr>
      </w:pPr>
      <w:r w:rsidRPr="005E04F6">
        <w:rPr>
          <w:rFonts w:cs="Times New Roman"/>
          <w:b/>
          <w:i/>
          <w:sz w:val="20"/>
          <w:szCs w:val="24"/>
        </w:rPr>
        <w:t>Source: Google Map</w:t>
      </w:r>
    </w:p>
    <w:p w:rsidR="00A60470" w:rsidRPr="005E04F6" w:rsidRDefault="00A60470" w:rsidP="00A915C8">
      <w:pPr>
        <w:pStyle w:val="BodyText"/>
        <w:spacing w:after="240" w:line="276" w:lineRule="auto"/>
        <w:jc w:val="both"/>
        <w:rPr>
          <w:rFonts w:cs="Times New Roman"/>
          <w:b/>
          <w:i/>
        </w:rPr>
      </w:pPr>
      <w:r w:rsidRPr="005E04F6">
        <w:rPr>
          <w:rFonts w:cs="Times New Roman"/>
          <w:szCs w:val="24"/>
        </w:rPr>
        <w:lastRenderedPageBreak/>
        <w:t>Upstream human intervention and natural events, like the Teesta avulsion or shifting due to heavy rainfall in 1787, have had profound impact on the river system changes and development in the North-West Region</w:t>
      </w:r>
      <w:r w:rsidR="001D0B9A">
        <w:rPr>
          <w:rFonts w:cs="Times New Roman"/>
          <w:szCs w:val="24"/>
        </w:rPr>
        <w:t xml:space="preserve"> (Map 1.15</w:t>
      </w:r>
      <w:r w:rsidR="00411279">
        <w:rPr>
          <w:rFonts w:cs="Times New Roman"/>
          <w:szCs w:val="24"/>
        </w:rPr>
        <w:t>)</w:t>
      </w:r>
      <w:r w:rsidRPr="005E04F6">
        <w:rPr>
          <w:rFonts w:cs="Times New Roman"/>
          <w:szCs w:val="24"/>
        </w:rPr>
        <w:t>. In the North-West Region, intensive agriculture is being practiced, especially boro crops, for which intensive irrigation is required. On the other hand, westward migration of right bank of the Jamuna River since 1830 was about 8 km, which caused the net loss of about 2,000 km</w:t>
      </w:r>
      <w:r w:rsidRPr="005E04F6">
        <w:rPr>
          <w:rFonts w:cs="Times New Roman"/>
          <w:vertAlign w:val="superscript"/>
        </w:rPr>
        <w:t>2</w:t>
      </w:r>
      <w:r w:rsidRPr="005E04F6">
        <w:rPr>
          <w:rFonts w:cs="Times New Roman"/>
          <w:szCs w:val="24"/>
        </w:rPr>
        <w:t xml:space="preserve"> of floodplain. Erosion often breaches flood embankment causing widespread flooding in the adjacent floodplain.  The barrages do not permit enough water to flow through it during the dry season. As a result, water scarcity for irrigation recurs. Water level analysis indicates that more water is being stored in the dry season at the upstream of the Teesta barrage on the Indian side but during monsoon flood, the gate of the barrage remains open. In spite of many erosion protection structures along the river bank, erosion remains a major problem and sand carpeting in this river due to flood is very harmful for the cultivation of land in the floodplain. </w:t>
      </w:r>
    </w:p>
    <w:p w:rsidR="0019700B" w:rsidRDefault="00487D03" w:rsidP="005E04F6">
      <w:pPr>
        <w:pStyle w:val="BodyText"/>
        <w:spacing w:after="240" w:line="276" w:lineRule="auto"/>
        <w:jc w:val="both"/>
        <w:rPr>
          <w:rFonts w:cs="Times New Roman"/>
          <w:szCs w:val="24"/>
        </w:rPr>
      </w:pPr>
      <w:r w:rsidRPr="005E04F6">
        <w:rPr>
          <w:rFonts w:cs="Times New Roman"/>
          <w:b/>
          <w:szCs w:val="24"/>
        </w:rPr>
        <w:t>Long-term challenges</w:t>
      </w:r>
      <w:r w:rsidR="004E362F" w:rsidRPr="005E04F6">
        <w:rPr>
          <w:rFonts w:cs="Times New Roman"/>
          <w:szCs w:val="24"/>
        </w:rPr>
        <w:t>:</w:t>
      </w:r>
      <w:r w:rsidRPr="005E04F6">
        <w:rPr>
          <w:rFonts w:cs="Times New Roman"/>
          <w:szCs w:val="24"/>
        </w:rPr>
        <w:t xml:space="preserve"> </w:t>
      </w:r>
      <w:r w:rsidR="0029759C">
        <w:rPr>
          <w:rFonts w:cs="Times New Roman"/>
          <w:szCs w:val="24"/>
        </w:rPr>
        <w:t xml:space="preserve">The socio-economic prospects of the Barind region have improved dramatically in the last few years owing to the large-scale adoption of mechanized </w:t>
      </w:r>
      <w:r w:rsidR="00376FBF">
        <w:rPr>
          <w:rFonts w:cs="Times New Roman"/>
          <w:szCs w:val="24"/>
        </w:rPr>
        <w:t>tube well</w:t>
      </w:r>
      <w:r w:rsidR="0029759C">
        <w:rPr>
          <w:rFonts w:cs="Times New Roman"/>
          <w:szCs w:val="24"/>
        </w:rPr>
        <w:t xml:space="preserve"> based irrigation.  The program was introduced by the government as a part of its Barind region development strategy, but private irrigation took over and expanded the availability of water that revolutionized food and other farm production including fruits and vegetables.  However, this </w:t>
      </w:r>
      <w:r w:rsidR="00376FBF">
        <w:rPr>
          <w:rFonts w:cs="Times New Roman"/>
          <w:szCs w:val="24"/>
        </w:rPr>
        <w:t>improvement</w:t>
      </w:r>
      <w:r w:rsidR="0029759C">
        <w:rPr>
          <w:rFonts w:cs="Times New Roman"/>
          <w:szCs w:val="24"/>
        </w:rPr>
        <w:t xml:space="preserve"> has come at a large future cost.  </w:t>
      </w:r>
      <w:r w:rsidR="00A60470" w:rsidRPr="005E04F6">
        <w:rPr>
          <w:rFonts w:cs="Times New Roman"/>
          <w:szCs w:val="24"/>
        </w:rPr>
        <w:t xml:space="preserve">This region is characterized by the tendency of high extraction of groundwater and diversion of river water for irrigation purpose. Groundwater extraction occurs at high rate particularly, in the Barind Tract area. </w:t>
      </w:r>
      <w:r w:rsidR="0019700B">
        <w:rPr>
          <w:rFonts w:cs="Times New Roman"/>
          <w:szCs w:val="24"/>
        </w:rPr>
        <w:t xml:space="preserve">The reduction of Ganges water during the dry period and inadequate surface water is further creating problems as underground aquifers do not get adequately recharged. </w:t>
      </w:r>
      <w:r w:rsidR="00A60470" w:rsidRPr="005E04F6">
        <w:rPr>
          <w:rFonts w:cs="Times New Roman"/>
          <w:szCs w:val="24"/>
        </w:rPr>
        <w:t xml:space="preserve">In the North-West region the existing water scarcity may be intensified due to effects of climate change. There will be longer dry season and shorter wet season and discharge will increase only in the wet season. This could seriously affect the lives of nearly 39 million (2011) people living in the Drought Prone Hotspot with farmland being affected by water </w:t>
      </w:r>
      <w:r w:rsidR="004E362F" w:rsidRPr="005E04F6">
        <w:rPr>
          <w:rFonts w:cs="Times New Roman"/>
          <w:szCs w:val="24"/>
        </w:rPr>
        <w:t>scarcity. In</w:t>
      </w:r>
      <w:r w:rsidR="00A766B3" w:rsidRPr="005E04F6">
        <w:rPr>
          <w:rFonts w:cs="Times New Roman"/>
          <w:szCs w:val="24"/>
        </w:rPr>
        <w:t xml:space="preserve"> the long run, </w:t>
      </w:r>
      <w:r w:rsidR="00A60470" w:rsidRPr="005E04F6">
        <w:rPr>
          <w:rFonts w:cs="Times New Roman"/>
          <w:szCs w:val="24"/>
        </w:rPr>
        <w:t xml:space="preserve">water scarcity and temperature </w:t>
      </w:r>
      <w:r w:rsidR="00A766B3" w:rsidRPr="005E04F6">
        <w:rPr>
          <w:rFonts w:cs="Times New Roman"/>
          <w:szCs w:val="24"/>
        </w:rPr>
        <w:t xml:space="preserve">increase will </w:t>
      </w:r>
      <w:r w:rsidR="00A60470" w:rsidRPr="005E04F6">
        <w:rPr>
          <w:rFonts w:cs="Times New Roman"/>
          <w:szCs w:val="24"/>
        </w:rPr>
        <w:t>affect crop productivity.</w:t>
      </w:r>
      <w:r w:rsidR="00E956D5" w:rsidRPr="005E04F6">
        <w:rPr>
          <w:rFonts w:cs="Times New Roman"/>
          <w:szCs w:val="24"/>
        </w:rPr>
        <w:t xml:space="preserve"> </w:t>
      </w:r>
    </w:p>
    <w:p w:rsidR="00A915C8" w:rsidRDefault="000A0664" w:rsidP="004927AE">
      <w:pPr>
        <w:pStyle w:val="BodyText"/>
        <w:spacing w:after="240" w:line="276" w:lineRule="auto"/>
        <w:jc w:val="both"/>
        <w:rPr>
          <w:rFonts w:cs="Times New Roman"/>
          <w:szCs w:val="24"/>
        </w:rPr>
      </w:pPr>
      <w:r>
        <w:rPr>
          <w:rFonts w:cs="Times New Roman"/>
          <w:szCs w:val="24"/>
        </w:rPr>
        <w:t xml:space="preserve">In summary, the </w:t>
      </w:r>
      <w:r w:rsidR="00E956D5" w:rsidRPr="005E04F6">
        <w:rPr>
          <w:rFonts w:cs="Times New Roman"/>
          <w:szCs w:val="24"/>
        </w:rPr>
        <w:t>vulnerabilities affect the Barind and Drought Prone Hotspot</w:t>
      </w:r>
      <w:r>
        <w:rPr>
          <w:rFonts w:cs="Times New Roman"/>
          <w:szCs w:val="24"/>
        </w:rPr>
        <w:t xml:space="preserve"> are contained in Table 1.11.  This hotspot poses a major challenge for managing water availability during the dry season. Continued reliance on groundwater based mechanized irrigation without efforts to augment the supply of surface water in the </w:t>
      </w:r>
      <w:r w:rsidR="00EB2DC9">
        <w:rPr>
          <w:rFonts w:cs="Times New Roman"/>
          <w:szCs w:val="24"/>
        </w:rPr>
        <w:t>dry</w:t>
      </w:r>
      <w:r>
        <w:rPr>
          <w:rFonts w:cs="Times New Roman"/>
          <w:szCs w:val="24"/>
        </w:rPr>
        <w:t xml:space="preserve"> season is not sustainable and presents a major risk to food security.</w:t>
      </w:r>
    </w:p>
    <w:p w:rsidR="004B40BC" w:rsidRDefault="004B40BC">
      <w:pPr>
        <w:rPr>
          <w:rFonts w:cs="Times New Roman"/>
          <w:b/>
          <w:bCs/>
          <w:szCs w:val="24"/>
        </w:rPr>
      </w:pPr>
      <w:r>
        <w:br w:type="page"/>
      </w:r>
    </w:p>
    <w:p w:rsidR="00C473C1" w:rsidRPr="0099271E" w:rsidRDefault="00C473C1" w:rsidP="004402F1">
      <w:pPr>
        <w:pStyle w:val="Heading4"/>
      </w:pPr>
      <w:bookmarkStart w:id="60" w:name="_Toc474638982"/>
      <w:r w:rsidRPr="0099271E">
        <w:lastRenderedPageBreak/>
        <w:t xml:space="preserve">Table </w:t>
      </w:r>
      <w:r w:rsidR="00D9144F">
        <w:t>1.</w:t>
      </w:r>
      <w:r w:rsidR="000A0664">
        <w:t>11</w:t>
      </w:r>
      <w:r w:rsidRPr="0099271E">
        <w:t xml:space="preserve">: Key vulnerabilities of the </w:t>
      </w:r>
      <w:r w:rsidR="00E956D5" w:rsidRPr="0099271E">
        <w:t xml:space="preserve">Barind and Drought Prone </w:t>
      </w:r>
      <w:r w:rsidRPr="0099271E">
        <w:t>Hotspot</w:t>
      </w:r>
      <w:bookmarkEnd w:id="60"/>
    </w:p>
    <w:tbl>
      <w:tblPr>
        <w:tblStyle w:val="TableGrid"/>
        <w:tblW w:w="0" w:type="auto"/>
        <w:jc w:val="center"/>
        <w:tblLook w:val="04A0"/>
      </w:tblPr>
      <w:tblGrid>
        <w:gridCol w:w="2214"/>
        <w:gridCol w:w="2214"/>
        <w:gridCol w:w="2214"/>
        <w:gridCol w:w="2214"/>
      </w:tblGrid>
      <w:tr w:rsidR="00E956D5" w:rsidRPr="00312B8D" w:rsidTr="005F6684">
        <w:trPr>
          <w:trHeight w:val="432"/>
          <w:jc w:val="center"/>
        </w:trPr>
        <w:tc>
          <w:tcPr>
            <w:tcW w:w="2214" w:type="dxa"/>
            <w:vAlign w:val="center"/>
          </w:tcPr>
          <w:p w:rsidR="00E956D5" w:rsidRPr="007D4237" w:rsidRDefault="00E956D5" w:rsidP="005F6684">
            <w:pPr>
              <w:pStyle w:val="BodyText"/>
              <w:spacing w:after="0" w:line="240" w:lineRule="auto"/>
              <w:jc w:val="center"/>
              <w:rPr>
                <w:rFonts w:cs="Times New Roman"/>
                <w:b/>
                <w:sz w:val="22"/>
                <w:szCs w:val="20"/>
              </w:rPr>
            </w:pPr>
            <w:r w:rsidRPr="007D4237">
              <w:rPr>
                <w:rFonts w:cs="Times New Roman"/>
                <w:b/>
                <w:sz w:val="22"/>
                <w:szCs w:val="20"/>
              </w:rPr>
              <w:t>Vulnerability from</w:t>
            </w:r>
          </w:p>
        </w:tc>
        <w:tc>
          <w:tcPr>
            <w:tcW w:w="2214" w:type="dxa"/>
            <w:vAlign w:val="center"/>
          </w:tcPr>
          <w:p w:rsidR="00E956D5" w:rsidRPr="007D4237" w:rsidRDefault="00E956D5" w:rsidP="005F6684">
            <w:pPr>
              <w:pStyle w:val="BodyText"/>
              <w:spacing w:after="0" w:line="240" w:lineRule="auto"/>
              <w:jc w:val="center"/>
              <w:rPr>
                <w:rFonts w:cs="Times New Roman"/>
                <w:b/>
                <w:sz w:val="22"/>
                <w:szCs w:val="20"/>
              </w:rPr>
            </w:pPr>
            <w:r w:rsidRPr="007D4237">
              <w:rPr>
                <w:rFonts w:cs="Times New Roman"/>
                <w:b/>
                <w:sz w:val="22"/>
                <w:szCs w:val="20"/>
              </w:rPr>
              <w:t>Current State</w:t>
            </w:r>
          </w:p>
        </w:tc>
        <w:tc>
          <w:tcPr>
            <w:tcW w:w="2214" w:type="dxa"/>
            <w:vAlign w:val="center"/>
          </w:tcPr>
          <w:p w:rsidR="00E956D5" w:rsidRPr="007D4237" w:rsidRDefault="00E956D5" w:rsidP="005F6684">
            <w:pPr>
              <w:pStyle w:val="BodyText"/>
              <w:spacing w:after="0" w:line="240" w:lineRule="auto"/>
              <w:jc w:val="center"/>
              <w:rPr>
                <w:rFonts w:cs="Times New Roman"/>
                <w:b/>
                <w:sz w:val="22"/>
                <w:szCs w:val="20"/>
              </w:rPr>
            </w:pPr>
            <w:r w:rsidRPr="007D4237">
              <w:rPr>
                <w:rFonts w:cs="Times New Roman"/>
                <w:b/>
                <w:sz w:val="22"/>
                <w:szCs w:val="20"/>
              </w:rPr>
              <w:t>Expected Change</w:t>
            </w:r>
          </w:p>
        </w:tc>
        <w:tc>
          <w:tcPr>
            <w:tcW w:w="2214" w:type="dxa"/>
            <w:vAlign w:val="center"/>
          </w:tcPr>
          <w:p w:rsidR="00E956D5" w:rsidRPr="007D4237" w:rsidRDefault="00E956D5" w:rsidP="005F6684">
            <w:pPr>
              <w:pStyle w:val="BodyText"/>
              <w:spacing w:after="0" w:line="240" w:lineRule="auto"/>
              <w:jc w:val="center"/>
              <w:rPr>
                <w:rFonts w:cs="Times New Roman"/>
                <w:b/>
                <w:sz w:val="22"/>
                <w:szCs w:val="20"/>
              </w:rPr>
            </w:pPr>
            <w:r w:rsidRPr="007D4237">
              <w:rPr>
                <w:rFonts w:cs="Times New Roman"/>
                <w:b/>
                <w:sz w:val="22"/>
                <w:szCs w:val="20"/>
              </w:rPr>
              <w:t>Consequences under a BAU scenario</w:t>
            </w:r>
          </w:p>
        </w:tc>
      </w:tr>
      <w:tr w:rsidR="00E956D5" w:rsidRPr="00312B8D" w:rsidTr="005F6684">
        <w:trPr>
          <w:trHeight w:val="432"/>
          <w:jc w:val="center"/>
        </w:trPr>
        <w:tc>
          <w:tcPr>
            <w:tcW w:w="2214" w:type="dxa"/>
          </w:tcPr>
          <w:p w:rsidR="00E956D5" w:rsidRPr="007D4237" w:rsidRDefault="00E956D5" w:rsidP="0016014E">
            <w:pPr>
              <w:pStyle w:val="BodyText"/>
              <w:spacing w:after="0" w:line="240" w:lineRule="auto"/>
              <w:rPr>
                <w:rFonts w:cs="Times New Roman"/>
                <w:sz w:val="22"/>
                <w:szCs w:val="20"/>
              </w:rPr>
            </w:pPr>
            <w:r w:rsidRPr="007D4237">
              <w:rPr>
                <w:rFonts w:cs="Times New Roman"/>
                <w:sz w:val="22"/>
                <w:szCs w:val="20"/>
              </w:rPr>
              <w:t>1. Temperatures</w:t>
            </w:r>
          </w:p>
        </w:tc>
        <w:tc>
          <w:tcPr>
            <w:tcW w:w="2214" w:type="dxa"/>
          </w:tcPr>
          <w:p w:rsidR="00E956D5" w:rsidRPr="007D4237" w:rsidRDefault="00E956D5" w:rsidP="00AA6ED0">
            <w:pPr>
              <w:pStyle w:val="BodyText"/>
              <w:spacing w:after="0" w:line="240" w:lineRule="auto"/>
              <w:rPr>
                <w:rFonts w:cs="Times New Roman"/>
                <w:sz w:val="22"/>
                <w:szCs w:val="20"/>
              </w:rPr>
            </w:pPr>
            <w:r w:rsidRPr="007D4237">
              <w:rPr>
                <w:rFonts w:cs="Times New Roman"/>
                <w:sz w:val="22"/>
                <w:szCs w:val="20"/>
              </w:rPr>
              <w:t>Increase in minimum temperatures by 0.85 °C between 1948 – 2011; maximum temperatures increased by 0.5 °C</w:t>
            </w:r>
          </w:p>
        </w:tc>
        <w:tc>
          <w:tcPr>
            <w:tcW w:w="2214" w:type="dxa"/>
          </w:tcPr>
          <w:p w:rsidR="00E956D5" w:rsidRPr="007D4237" w:rsidRDefault="00E956D5" w:rsidP="00AA6ED0">
            <w:pPr>
              <w:pStyle w:val="BodyText"/>
              <w:spacing w:after="0" w:line="240" w:lineRule="auto"/>
              <w:rPr>
                <w:rFonts w:cs="Times New Roman"/>
                <w:sz w:val="22"/>
                <w:szCs w:val="20"/>
              </w:rPr>
            </w:pPr>
            <w:r w:rsidRPr="007D4237">
              <w:rPr>
                <w:rFonts w:cs="Times New Roman"/>
                <w:sz w:val="22"/>
                <w:szCs w:val="20"/>
              </w:rPr>
              <w:t>Increases in temperatures of up to 2.0 °C or more</w:t>
            </w:r>
          </w:p>
        </w:tc>
        <w:tc>
          <w:tcPr>
            <w:tcW w:w="2214" w:type="dxa"/>
          </w:tcPr>
          <w:p w:rsidR="00E956D5" w:rsidRPr="007D4237" w:rsidRDefault="00E956D5" w:rsidP="00AA6ED0">
            <w:pPr>
              <w:pStyle w:val="BodyText"/>
              <w:spacing w:after="0" w:line="240" w:lineRule="auto"/>
              <w:rPr>
                <w:rFonts w:cs="Times New Roman"/>
                <w:sz w:val="22"/>
                <w:szCs w:val="20"/>
              </w:rPr>
            </w:pPr>
            <w:r w:rsidRPr="007D4237">
              <w:rPr>
                <w:rFonts w:cs="Times New Roman"/>
                <w:sz w:val="22"/>
                <w:szCs w:val="20"/>
              </w:rPr>
              <w:t>Reduced rice yields; increase in pests and insects; extinction of some species</w:t>
            </w:r>
          </w:p>
        </w:tc>
      </w:tr>
      <w:tr w:rsidR="00E956D5" w:rsidRPr="00312B8D" w:rsidTr="005F6684">
        <w:trPr>
          <w:trHeight w:val="432"/>
          <w:jc w:val="center"/>
        </w:trPr>
        <w:tc>
          <w:tcPr>
            <w:tcW w:w="2214" w:type="dxa"/>
          </w:tcPr>
          <w:p w:rsidR="00E956D5" w:rsidRPr="007D4237" w:rsidRDefault="00E956D5" w:rsidP="0016014E">
            <w:pPr>
              <w:pStyle w:val="BodyText"/>
              <w:spacing w:after="0" w:line="240" w:lineRule="auto"/>
              <w:rPr>
                <w:rFonts w:cs="Times New Roman"/>
                <w:sz w:val="22"/>
                <w:szCs w:val="20"/>
              </w:rPr>
            </w:pPr>
            <w:r w:rsidRPr="007D4237">
              <w:rPr>
                <w:rFonts w:cs="Times New Roman"/>
                <w:sz w:val="22"/>
                <w:szCs w:val="20"/>
              </w:rPr>
              <w:t>3. Dry periods / drought</w:t>
            </w:r>
          </w:p>
        </w:tc>
        <w:tc>
          <w:tcPr>
            <w:tcW w:w="2214" w:type="dxa"/>
          </w:tcPr>
          <w:p w:rsidR="00E956D5" w:rsidRPr="007D4237" w:rsidRDefault="00E956D5" w:rsidP="00AA6ED0">
            <w:pPr>
              <w:pStyle w:val="BodyText"/>
              <w:spacing w:after="0" w:line="240" w:lineRule="auto"/>
              <w:rPr>
                <w:rFonts w:cs="Times New Roman"/>
                <w:sz w:val="22"/>
                <w:szCs w:val="20"/>
              </w:rPr>
            </w:pPr>
            <w:r w:rsidRPr="007D4237">
              <w:rPr>
                <w:rFonts w:cs="Times New Roman"/>
                <w:sz w:val="22"/>
                <w:szCs w:val="20"/>
              </w:rPr>
              <w:t>Long period of consecutive dry days</w:t>
            </w:r>
          </w:p>
        </w:tc>
        <w:tc>
          <w:tcPr>
            <w:tcW w:w="2214" w:type="dxa"/>
          </w:tcPr>
          <w:p w:rsidR="00E956D5" w:rsidRPr="007D4237" w:rsidRDefault="00E956D5" w:rsidP="00AA6ED0">
            <w:pPr>
              <w:pStyle w:val="BodyText"/>
              <w:spacing w:after="0" w:line="240" w:lineRule="auto"/>
              <w:rPr>
                <w:rFonts w:cs="Times New Roman"/>
                <w:sz w:val="22"/>
                <w:szCs w:val="20"/>
              </w:rPr>
            </w:pPr>
            <w:r w:rsidRPr="007D4237">
              <w:rPr>
                <w:rFonts w:cs="Times New Roman"/>
                <w:sz w:val="22"/>
                <w:szCs w:val="20"/>
              </w:rPr>
              <w:t>Increase in number of dry days and drought</w:t>
            </w:r>
          </w:p>
        </w:tc>
        <w:tc>
          <w:tcPr>
            <w:tcW w:w="2214" w:type="dxa"/>
          </w:tcPr>
          <w:p w:rsidR="00E956D5" w:rsidRPr="007D4237" w:rsidRDefault="00E956D5" w:rsidP="00AA6ED0">
            <w:pPr>
              <w:pStyle w:val="BodyText"/>
              <w:spacing w:after="0" w:line="240" w:lineRule="auto"/>
              <w:rPr>
                <w:rFonts w:cs="Times New Roman"/>
                <w:sz w:val="22"/>
                <w:szCs w:val="20"/>
              </w:rPr>
            </w:pPr>
            <w:r w:rsidRPr="007D4237">
              <w:rPr>
                <w:rFonts w:cs="Times New Roman"/>
                <w:sz w:val="22"/>
                <w:szCs w:val="20"/>
              </w:rPr>
              <w:t>Further reduction in groundwater table; water scarci</w:t>
            </w:r>
            <w:r w:rsidR="00AA6ED0">
              <w:rPr>
                <w:rFonts w:cs="Times New Roman"/>
                <w:sz w:val="22"/>
                <w:szCs w:val="20"/>
              </w:rPr>
              <w:t xml:space="preserve">ty for irrigation and household </w:t>
            </w:r>
            <w:r w:rsidRPr="007D4237">
              <w:rPr>
                <w:rFonts w:cs="Times New Roman"/>
                <w:sz w:val="22"/>
                <w:szCs w:val="20"/>
              </w:rPr>
              <w:t>consumption</w:t>
            </w:r>
            <w:r w:rsidR="00927FFA" w:rsidRPr="007D4237">
              <w:rPr>
                <w:rFonts w:cs="Times New Roman"/>
                <w:sz w:val="22"/>
                <w:szCs w:val="20"/>
              </w:rPr>
              <w:t>; up to 39 million people could be affected</w:t>
            </w:r>
          </w:p>
        </w:tc>
      </w:tr>
      <w:tr w:rsidR="00E956D5" w:rsidRPr="00312B8D" w:rsidTr="005F6684">
        <w:trPr>
          <w:trHeight w:val="432"/>
          <w:jc w:val="center"/>
        </w:trPr>
        <w:tc>
          <w:tcPr>
            <w:tcW w:w="2214" w:type="dxa"/>
          </w:tcPr>
          <w:p w:rsidR="00E956D5" w:rsidRPr="007D4237" w:rsidRDefault="00E956D5" w:rsidP="00927FFA">
            <w:pPr>
              <w:pStyle w:val="BodyText"/>
              <w:spacing w:after="0" w:line="240" w:lineRule="auto"/>
              <w:rPr>
                <w:rFonts w:cs="Times New Roman"/>
                <w:sz w:val="22"/>
                <w:szCs w:val="20"/>
              </w:rPr>
            </w:pPr>
            <w:r w:rsidRPr="007D4237">
              <w:rPr>
                <w:rFonts w:cs="Times New Roman"/>
                <w:sz w:val="22"/>
                <w:szCs w:val="20"/>
              </w:rPr>
              <w:t xml:space="preserve">4. </w:t>
            </w:r>
            <w:r w:rsidR="00927FFA" w:rsidRPr="007D4237">
              <w:rPr>
                <w:rFonts w:cs="Times New Roman"/>
                <w:sz w:val="22"/>
                <w:szCs w:val="20"/>
              </w:rPr>
              <w:t>Reduced ground water levels</w:t>
            </w:r>
          </w:p>
        </w:tc>
        <w:tc>
          <w:tcPr>
            <w:tcW w:w="2214" w:type="dxa"/>
          </w:tcPr>
          <w:p w:rsidR="00E956D5" w:rsidRPr="007D4237" w:rsidRDefault="00927FFA" w:rsidP="00AA6ED0">
            <w:pPr>
              <w:pStyle w:val="BodyText"/>
              <w:spacing w:after="0" w:line="240" w:lineRule="auto"/>
              <w:rPr>
                <w:rFonts w:cs="Times New Roman"/>
                <w:sz w:val="22"/>
                <w:szCs w:val="20"/>
              </w:rPr>
            </w:pPr>
            <w:r w:rsidRPr="007D4237">
              <w:rPr>
                <w:rFonts w:cs="Times New Roman"/>
                <w:sz w:val="22"/>
                <w:szCs w:val="20"/>
              </w:rPr>
              <w:t>Uncontrolled abstraction of groundwater for irrigation and consumption</w:t>
            </w:r>
          </w:p>
        </w:tc>
        <w:tc>
          <w:tcPr>
            <w:tcW w:w="2214" w:type="dxa"/>
          </w:tcPr>
          <w:p w:rsidR="00E956D5" w:rsidRPr="007D4237" w:rsidRDefault="00927FFA" w:rsidP="00AA6ED0">
            <w:pPr>
              <w:pStyle w:val="BodyText"/>
              <w:spacing w:after="0" w:line="240" w:lineRule="auto"/>
              <w:rPr>
                <w:rFonts w:cs="Times New Roman"/>
                <w:sz w:val="22"/>
                <w:szCs w:val="20"/>
              </w:rPr>
            </w:pPr>
            <w:r w:rsidRPr="007D4237">
              <w:rPr>
                <w:rFonts w:cs="Times New Roman"/>
                <w:sz w:val="22"/>
                <w:szCs w:val="20"/>
              </w:rPr>
              <w:t>Falling groundwater tables; poor re-charging of groundwater due to prolonged dry spells and drought</w:t>
            </w:r>
          </w:p>
        </w:tc>
        <w:tc>
          <w:tcPr>
            <w:tcW w:w="2214" w:type="dxa"/>
          </w:tcPr>
          <w:p w:rsidR="00E956D5" w:rsidRPr="007D4237" w:rsidRDefault="00927FFA" w:rsidP="00AA6ED0">
            <w:pPr>
              <w:pStyle w:val="BodyText"/>
              <w:spacing w:after="0" w:line="240" w:lineRule="auto"/>
              <w:rPr>
                <w:rFonts w:cs="Times New Roman"/>
                <w:sz w:val="22"/>
                <w:szCs w:val="20"/>
              </w:rPr>
            </w:pPr>
            <w:r w:rsidRPr="007D4237">
              <w:rPr>
                <w:rFonts w:cs="Times New Roman"/>
                <w:sz w:val="22"/>
                <w:szCs w:val="20"/>
              </w:rPr>
              <w:t>Crop failures, reduced agricultural output; water scarcity; increase in water, sanitation and hygiene problems and related diseases</w:t>
            </w:r>
          </w:p>
        </w:tc>
      </w:tr>
    </w:tbl>
    <w:p w:rsidR="000A0664" w:rsidRDefault="000A0664" w:rsidP="00B046DA">
      <w:pPr>
        <w:pStyle w:val="BodyText"/>
        <w:spacing w:after="240" w:line="240" w:lineRule="auto"/>
        <w:jc w:val="both"/>
        <w:rPr>
          <w:rFonts w:cs="Times New Roman"/>
          <w:sz w:val="18"/>
          <w:szCs w:val="18"/>
        </w:rPr>
      </w:pPr>
    </w:p>
    <w:p w:rsidR="00F64A6A" w:rsidRDefault="00847F49" w:rsidP="00F64A6A">
      <w:pPr>
        <w:pStyle w:val="Heading2"/>
        <w:numPr>
          <w:ilvl w:val="0"/>
          <w:numId w:val="0"/>
        </w:numPr>
        <w:ind w:left="720"/>
      </w:pPr>
      <w:bookmarkStart w:id="61" w:name="_Toc474638841"/>
      <w:r w:rsidRPr="00F27514">
        <w:t>Haor Hotspot (Northeast Region): Freshwater Wetlands</w:t>
      </w:r>
      <w:bookmarkEnd w:id="61"/>
    </w:p>
    <w:p w:rsidR="00917B43" w:rsidRPr="005E04F6" w:rsidRDefault="00F2613C" w:rsidP="005F6684">
      <w:pPr>
        <w:pStyle w:val="BodyText"/>
        <w:spacing w:after="240" w:line="269" w:lineRule="auto"/>
        <w:jc w:val="both"/>
        <w:rPr>
          <w:rFonts w:cs="Times New Roman"/>
          <w:szCs w:val="24"/>
          <w:lang w:val="en-GB"/>
        </w:rPr>
      </w:pPr>
      <w:r w:rsidRPr="005E04F6">
        <w:rPr>
          <w:rFonts w:cs="Times New Roman"/>
          <w:szCs w:val="24"/>
          <w:lang w:val="en-GB"/>
        </w:rPr>
        <w:t xml:space="preserve">Haors are important bowl or saucer-shaped depressions or </w:t>
      </w:r>
      <w:r w:rsidR="003A29B3">
        <w:rPr>
          <w:rFonts w:cs="Times New Roman"/>
          <w:szCs w:val="24"/>
          <w:lang w:val="en-GB"/>
        </w:rPr>
        <w:t xml:space="preserve">natural </w:t>
      </w:r>
      <w:r w:rsidRPr="005E04F6">
        <w:rPr>
          <w:rFonts w:cs="Times New Roman"/>
          <w:szCs w:val="24"/>
          <w:lang w:val="en-GB"/>
        </w:rPr>
        <w:t>reservoir</w:t>
      </w:r>
      <w:r w:rsidR="003A29B3">
        <w:rPr>
          <w:rFonts w:cs="Times New Roman"/>
          <w:szCs w:val="24"/>
          <w:lang w:val="en-GB"/>
        </w:rPr>
        <w:t>s</w:t>
      </w:r>
      <w:r w:rsidRPr="005E04F6">
        <w:rPr>
          <w:rFonts w:cs="Times New Roman"/>
          <w:szCs w:val="24"/>
          <w:lang w:val="en-GB"/>
        </w:rPr>
        <w:t xml:space="preserve"> of freshwater </w:t>
      </w:r>
      <w:r w:rsidR="004E362F" w:rsidRPr="005E04F6">
        <w:rPr>
          <w:rFonts w:cs="Times New Roman"/>
          <w:szCs w:val="24"/>
          <w:lang w:val="en-GB"/>
        </w:rPr>
        <w:t>wetlands with</w:t>
      </w:r>
      <w:r w:rsidRPr="005E04F6">
        <w:rPr>
          <w:rFonts w:cs="Times New Roman"/>
          <w:szCs w:val="24"/>
          <w:lang w:val="en-GB"/>
        </w:rPr>
        <w:t xml:space="preserve"> renewable and non-renew</w:t>
      </w:r>
      <w:r w:rsidR="00487D03" w:rsidRPr="005E04F6">
        <w:rPr>
          <w:rFonts w:cs="Times New Roman"/>
          <w:szCs w:val="24"/>
          <w:lang w:val="en-GB"/>
        </w:rPr>
        <w:t>a</w:t>
      </w:r>
      <w:r w:rsidRPr="005E04F6">
        <w:rPr>
          <w:rFonts w:cs="Times New Roman"/>
          <w:szCs w:val="24"/>
          <w:lang w:val="en-GB"/>
        </w:rPr>
        <w:t>ble natural resources in the Sylhet Basin in the north-</w:t>
      </w:r>
      <w:r w:rsidR="004E362F" w:rsidRPr="005E04F6">
        <w:rPr>
          <w:rFonts w:cs="Times New Roman"/>
          <w:szCs w:val="24"/>
          <w:lang w:val="en-GB"/>
        </w:rPr>
        <w:t>eastern region</w:t>
      </w:r>
      <w:r w:rsidRPr="005E04F6">
        <w:rPr>
          <w:rFonts w:cs="Times New Roman"/>
          <w:szCs w:val="24"/>
          <w:lang w:val="en-GB"/>
        </w:rPr>
        <w:t xml:space="preserve"> of Bangladesh. They are the back swamps or bowl shaped depressions between the natural levees of rivers. They are flooded to a depth of as much as 4-6 meters during the rainy season, and in most cases during monsoon two or more Haors become linked and form large water bodies. During the dry season most of the water drains out except some shallow lakes locally called Beels. Surface water is likely to be the most severely impa</w:t>
      </w:r>
      <w:r w:rsidR="00E40698" w:rsidRPr="005E04F6">
        <w:rPr>
          <w:rFonts w:cs="Times New Roman"/>
          <w:szCs w:val="24"/>
          <w:lang w:val="en-GB"/>
        </w:rPr>
        <w:t xml:space="preserve">cted natural resource in </w:t>
      </w:r>
      <w:r w:rsidR="003507C6" w:rsidRPr="005E04F6">
        <w:rPr>
          <w:rFonts w:cs="Times New Roman"/>
          <w:szCs w:val="24"/>
          <w:lang w:val="en-GB"/>
        </w:rPr>
        <w:t>Bangladesh</w:t>
      </w:r>
      <w:r w:rsidR="00E40698" w:rsidRPr="005E04F6">
        <w:rPr>
          <w:rFonts w:cs="Times New Roman"/>
          <w:szCs w:val="24"/>
          <w:lang w:val="en-GB"/>
        </w:rPr>
        <w:t xml:space="preserve"> due to climate change; an increase in the risk of extreme precipitation and flooding is likely; warming temperatures could also increase the length of the growing season as well as shift the geographic range of some tree species.</w:t>
      </w:r>
    </w:p>
    <w:p w:rsidR="00355E2E" w:rsidRDefault="00EB2DC9" w:rsidP="00CC05CF">
      <w:pPr>
        <w:pStyle w:val="BodyText"/>
        <w:spacing w:after="240" w:line="269" w:lineRule="auto"/>
        <w:jc w:val="both"/>
        <w:rPr>
          <w:rFonts w:cs="Times New Roman"/>
          <w:szCs w:val="24"/>
          <w:lang w:val="en-GB"/>
        </w:rPr>
      </w:pPr>
      <w:bookmarkStart w:id="62" w:name="_Ref409008947"/>
      <w:bookmarkStart w:id="63" w:name="_Toc439230664"/>
      <w:r w:rsidRPr="005E04F6">
        <w:rPr>
          <w:rFonts w:cs="Times New Roman"/>
          <w:szCs w:val="24"/>
          <w:lang w:val="en-GB"/>
        </w:rPr>
        <w:t>Geographically, Haor region is located in between two major ecosystems of Bangladesh and North-Eastern India</w:t>
      </w:r>
      <w:r>
        <w:rPr>
          <w:rFonts w:cs="Times New Roman"/>
          <w:szCs w:val="24"/>
          <w:lang w:val="en-GB"/>
        </w:rPr>
        <w:t xml:space="preserve"> (Map 1.16)</w:t>
      </w:r>
      <w:r w:rsidRPr="005E04F6">
        <w:rPr>
          <w:rFonts w:cs="Times New Roman"/>
          <w:szCs w:val="24"/>
          <w:lang w:val="en-GB"/>
        </w:rPr>
        <w:t xml:space="preserve">. </w:t>
      </w:r>
      <w:r w:rsidR="00BC12E8" w:rsidRPr="005E04F6">
        <w:rPr>
          <w:rFonts w:cs="Times New Roman"/>
          <w:szCs w:val="24"/>
          <w:lang w:val="en-GB"/>
        </w:rPr>
        <w:t xml:space="preserve">One is Meghalaya-Assam-Tarap hill ranges in India and the other is Brahmaputra-Meghna river systems in Bangladesh. These hill ranges are covered with mixed evergreen forests from where Haors receive most of its freshwater through thousands of hill streams locally known as Charas. The Haors in the north-eastern parts of Bangladesh are probably the most complex of seasonally inundated wetlands. They switch between a vast basin </w:t>
      </w:r>
      <w:r w:rsidR="00BC12E8" w:rsidRPr="005E04F6">
        <w:rPr>
          <w:rFonts w:cs="Times New Roman"/>
          <w:szCs w:val="24"/>
          <w:lang w:val="en-GB"/>
        </w:rPr>
        <w:lastRenderedPageBreak/>
        <w:t>of water during the monsoon and a well-networked system of smaller wetlands including</w:t>
      </w:r>
      <w:r w:rsidR="00CC05CF">
        <w:rPr>
          <w:rFonts w:cs="Times New Roman"/>
          <w:szCs w:val="24"/>
          <w:lang w:val="en-GB"/>
        </w:rPr>
        <w:t xml:space="preserve"> beels and </w:t>
      </w:r>
      <w:r w:rsidR="00F82BA1">
        <w:rPr>
          <w:rFonts w:cs="Times New Roman"/>
          <w:szCs w:val="24"/>
          <w:lang w:val="en-GB"/>
        </w:rPr>
        <w:t>canals</w:t>
      </w:r>
      <w:r w:rsidR="00CC05CF">
        <w:rPr>
          <w:rFonts w:cs="Times New Roman"/>
          <w:szCs w:val="24"/>
          <w:lang w:val="en-GB"/>
        </w:rPr>
        <w:t xml:space="preserve"> in the summer.</w:t>
      </w:r>
    </w:p>
    <w:p w:rsidR="00C473C3" w:rsidRPr="00847F49" w:rsidRDefault="00C85BB5" w:rsidP="004402F1">
      <w:pPr>
        <w:pStyle w:val="Heading6"/>
      </w:pPr>
      <w:bookmarkStart w:id="64" w:name="_Toc474639296"/>
      <w:r>
        <w:t>Map 1.</w:t>
      </w:r>
      <w:r w:rsidR="001D0B9A">
        <w:t>16</w:t>
      </w:r>
      <w:r w:rsidR="000108C8" w:rsidRPr="00847F49">
        <w:t xml:space="preserve">: </w:t>
      </w:r>
      <w:bookmarkEnd w:id="62"/>
      <w:r w:rsidR="000108C8" w:rsidRPr="00847F49">
        <w:t xml:space="preserve">Rivers in the Haor Hotspot </w:t>
      </w:r>
      <w:bookmarkEnd w:id="63"/>
      <w:r w:rsidR="000108C8" w:rsidRPr="00847F49">
        <w:t>of Bangladesh</w:t>
      </w:r>
      <w:bookmarkEnd w:id="64"/>
    </w:p>
    <w:p w:rsidR="0099271E" w:rsidRPr="0099271E" w:rsidRDefault="000108C8" w:rsidP="00B046DA">
      <w:pPr>
        <w:pStyle w:val="BodyText"/>
        <w:spacing w:after="0"/>
        <w:jc w:val="center"/>
        <w:rPr>
          <w:rFonts w:cs="Times New Roman"/>
          <w:szCs w:val="24"/>
          <w:lang w:val="en-GB"/>
        </w:rPr>
      </w:pPr>
      <w:r>
        <w:rPr>
          <w:rFonts w:cs="Segoe UI"/>
          <w:noProof/>
          <w:lang w:val="en-AU" w:eastAsia="en-AU" w:bidi="bn-BD"/>
        </w:rPr>
        <w:drawing>
          <wp:inline distT="0" distB="0" distL="0" distR="0">
            <wp:extent cx="4842391" cy="5534025"/>
            <wp:effectExtent l="0" t="0" r="0" b="0"/>
            <wp:docPr id="40" name="Picture 9" descr="D:\CEGIS Projects\Detta Plan\TAG001_maps\RiverMaps\08 Regional river - NE - A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CEGIS Projects\Detta Plan\TAG001_maps\RiverMaps\08 Regional river - NE - A4.png"/>
                    <pic:cNvPicPr>
                      <a:picLocks noChangeAspect="1" noChangeArrowheads="1"/>
                    </pic:cNvPicPr>
                  </pic:nvPicPr>
                  <pic:blipFill>
                    <a:blip r:embed="rId38"/>
                    <a:srcRect l="5620" t="2573" r="4135" b="2839"/>
                    <a:stretch>
                      <a:fillRect/>
                    </a:stretch>
                  </pic:blipFill>
                  <pic:spPr bwMode="auto">
                    <a:xfrm>
                      <a:off x="0" y="0"/>
                      <a:ext cx="4846320" cy="5538515"/>
                    </a:xfrm>
                    <a:prstGeom prst="rect">
                      <a:avLst/>
                    </a:prstGeom>
                    <a:noFill/>
                    <a:ln w="9525">
                      <a:noFill/>
                      <a:miter lim="800000"/>
                      <a:headEnd/>
                      <a:tailEnd/>
                    </a:ln>
                  </pic:spPr>
                </pic:pic>
              </a:graphicData>
            </a:graphic>
          </wp:inline>
        </w:drawing>
      </w:r>
    </w:p>
    <w:p w:rsidR="00A61E5A" w:rsidRPr="00A915C8" w:rsidRDefault="00C85BB5" w:rsidP="004B40BC">
      <w:pPr>
        <w:spacing w:before="120"/>
        <w:ind w:firstLine="720"/>
        <w:rPr>
          <w:rFonts w:cs="Times New Roman"/>
          <w:b/>
          <w:i/>
          <w:sz w:val="20"/>
        </w:rPr>
      </w:pPr>
      <w:r>
        <w:rPr>
          <w:rFonts w:cs="Times New Roman"/>
          <w:b/>
          <w:i/>
          <w:sz w:val="20"/>
        </w:rPr>
        <w:t xml:space="preserve">   </w:t>
      </w:r>
      <w:r w:rsidR="00966543" w:rsidRPr="00B046DA">
        <w:rPr>
          <w:rFonts w:cs="Times New Roman"/>
          <w:b/>
          <w:i/>
          <w:sz w:val="20"/>
        </w:rPr>
        <w:t>Source: CEGIS</w:t>
      </w:r>
    </w:p>
    <w:p w:rsidR="00CC05CF" w:rsidRPr="005E04F6" w:rsidRDefault="00CC05CF" w:rsidP="009B527A">
      <w:pPr>
        <w:pStyle w:val="BodyText"/>
        <w:spacing w:after="240" w:line="276" w:lineRule="auto"/>
        <w:jc w:val="both"/>
        <w:rPr>
          <w:rFonts w:cs="Times New Roman"/>
          <w:b/>
          <w:i/>
          <w:sz w:val="20"/>
          <w:szCs w:val="18"/>
          <w:lang w:val="en-GB"/>
        </w:rPr>
      </w:pPr>
      <w:r w:rsidRPr="005E04F6">
        <w:rPr>
          <w:rFonts w:cs="Times New Roman"/>
          <w:szCs w:val="24"/>
          <w:lang w:val="en-GB"/>
        </w:rPr>
        <w:t xml:space="preserve">The Sylhet Basin contains </w:t>
      </w:r>
      <w:r w:rsidR="003A29B3">
        <w:rPr>
          <w:rFonts w:cs="Times New Roman"/>
          <w:szCs w:val="24"/>
          <w:lang w:val="en-GB"/>
        </w:rPr>
        <w:t>many</w:t>
      </w:r>
      <w:r w:rsidR="003A29B3" w:rsidRPr="005E04F6">
        <w:rPr>
          <w:rFonts w:cs="Times New Roman"/>
          <w:szCs w:val="24"/>
          <w:lang w:val="en-GB"/>
        </w:rPr>
        <w:t xml:space="preserve"> </w:t>
      </w:r>
      <w:r w:rsidRPr="005E04F6">
        <w:rPr>
          <w:rFonts w:cs="Times New Roman"/>
          <w:szCs w:val="24"/>
          <w:lang w:val="en-GB"/>
        </w:rPr>
        <w:t>large, semi-natural wetlands like haors, baors</w:t>
      </w:r>
      <w:r w:rsidR="003A29B3">
        <w:rPr>
          <w:rFonts w:cs="Times New Roman"/>
          <w:szCs w:val="24"/>
          <w:lang w:val="en-GB"/>
        </w:rPr>
        <w:t xml:space="preserve"> (Ox Bow lakes)</w:t>
      </w:r>
      <w:r w:rsidRPr="005E04F6">
        <w:rPr>
          <w:rFonts w:cs="Times New Roman"/>
          <w:szCs w:val="24"/>
          <w:lang w:val="en-GB"/>
        </w:rPr>
        <w:t xml:space="preserve">, </w:t>
      </w:r>
      <w:r>
        <w:rPr>
          <w:rFonts w:cs="Times New Roman"/>
          <w:szCs w:val="24"/>
          <w:lang w:val="en-GB"/>
        </w:rPr>
        <w:t>and beel</w:t>
      </w:r>
      <w:r w:rsidRPr="005E04F6">
        <w:rPr>
          <w:rFonts w:cs="Times New Roman"/>
          <w:szCs w:val="24"/>
          <w:lang w:val="en-GB"/>
        </w:rPr>
        <w:t>s</w:t>
      </w:r>
      <w:r>
        <w:rPr>
          <w:rFonts w:cs="Times New Roman"/>
          <w:szCs w:val="24"/>
          <w:lang w:val="en-GB"/>
        </w:rPr>
        <w:t xml:space="preserve"> </w:t>
      </w:r>
      <w:r w:rsidRPr="005E04F6">
        <w:rPr>
          <w:rFonts w:cs="Times New Roman"/>
          <w:szCs w:val="24"/>
          <w:lang w:val="en-GB"/>
        </w:rPr>
        <w:t xml:space="preserve">and waterfalls. This basin is close to </w:t>
      </w:r>
      <w:r w:rsidR="003A29B3" w:rsidRPr="005E04F6">
        <w:rPr>
          <w:rFonts w:cs="Times New Roman"/>
          <w:szCs w:val="24"/>
          <w:lang w:val="en-GB"/>
        </w:rPr>
        <w:t>Che</w:t>
      </w:r>
      <w:r w:rsidR="003A29B3">
        <w:rPr>
          <w:rFonts w:cs="Times New Roman"/>
          <w:szCs w:val="24"/>
          <w:lang w:val="en-GB"/>
        </w:rPr>
        <w:t>r</w:t>
      </w:r>
      <w:r w:rsidR="003A29B3" w:rsidRPr="005E04F6">
        <w:rPr>
          <w:rFonts w:cs="Times New Roman"/>
          <w:szCs w:val="24"/>
          <w:lang w:val="en-GB"/>
        </w:rPr>
        <w:t>rapun</w:t>
      </w:r>
      <w:r w:rsidR="003A29B3">
        <w:rPr>
          <w:rFonts w:cs="Times New Roman"/>
          <w:szCs w:val="24"/>
          <w:lang w:val="en-GB"/>
        </w:rPr>
        <w:t>ji</w:t>
      </w:r>
      <w:r w:rsidR="003A29B3" w:rsidRPr="005E04F6">
        <w:rPr>
          <w:rFonts w:cs="Times New Roman"/>
          <w:szCs w:val="24"/>
          <w:lang w:val="en-GB"/>
        </w:rPr>
        <w:t xml:space="preserve"> </w:t>
      </w:r>
      <w:r w:rsidRPr="005E04F6">
        <w:rPr>
          <w:rFonts w:cs="Times New Roman"/>
          <w:szCs w:val="24"/>
          <w:lang w:val="en-GB"/>
        </w:rPr>
        <w:t>in India, which generates the highest rainfall in the world. The basin drains through an outlet at the south. The Sylhet Basin is tec</w:t>
      </w:r>
      <w:r w:rsidR="00FE6385">
        <w:rPr>
          <w:rFonts w:cs="Times New Roman"/>
          <w:szCs w:val="24"/>
          <w:lang w:val="en-GB"/>
        </w:rPr>
        <w:t>to</w:t>
      </w:r>
      <w:r w:rsidR="003446B1">
        <w:rPr>
          <w:rFonts w:cs="Times New Roman"/>
          <w:szCs w:val="24"/>
          <w:lang w:val="en-GB"/>
        </w:rPr>
        <w:t>n</w:t>
      </w:r>
      <w:r w:rsidRPr="005E04F6">
        <w:rPr>
          <w:rFonts w:cs="Times New Roman"/>
          <w:szCs w:val="24"/>
          <w:lang w:val="en-GB"/>
        </w:rPr>
        <w:t xml:space="preserve">ically active and subject to gradual subsidence. Subsidence is further exacerbated by the westward avulsion (movement) of the Brahmaputra, which, in turn, has decreased the sediment supply to the basin. </w:t>
      </w:r>
    </w:p>
    <w:p w:rsidR="00CC05CF" w:rsidRDefault="00CC05CF" w:rsidP="009B527A">
      <w:pPr>
        <w:spacing w:line="276" w:lineRule="auto"/>
        <w:jc w:val="both"/>
        <w:rPr>
          <w:rFonts w:cs="Times New Roman"/>
          <w:szCs w:val="24"/>
          <w:lang w:val="en-GB"/>
        </w:rPr>
      </w:pPr>
      <w:r w:rsidRPr="005E04F6">
        <w:rPr>
          <w:rFonts w:cs="Times New Roman"/>
          <w:szCs w:val="24"/>
          <w:lang w:val="en-GB"/>
        </w:rPr>
        <w:lastRenderedPageBreak/>
        <w:t xml:space="preserve">Farming and fisher folk households in the Haor Hotspot are dependent for their livelihoods on </w:t>
      </w:r>
      <w:r w:rsidRPr="005E04F6">
        <w:rPr>
          <w:rFonts w:cs="Times New Roman"/>
          <w:szCs w:val="24"/>
        </w:rPr>
        <w:t>haors, beels and rivers in the NE region, which provide a key source of livelihood for many rural poor in the country</w:t>
      </w:r>
      <w:r>
        <w:rPr>
          <w:rFonts w:cs="Times New Roman"/>
          <w:szCs w:val="24"/>
        </w:rPr>
        <w:t xml:space="preserve">. </w:t>
      </w:r>
      <w:r w:rsidRPr="005E04F6">
        <w:rPr>
          <w:rFonts w:cs="Times New Roman"/>
          <w:szCs w:val="24"/>
          <w:lang w:val="en-GB"/>
        </w:rPr>
        <w:t xml:space="preserve">The haors and beels (freshwater wetlands) provide key environmental services such as habitats for fish spawning, assimilation of wastes, flood attenuation, navigation and recharge to groundwater. These Haors and beels support major subsistence and commercial fisheries while the seasonally flooded lake shores support major rice-growing activities, and abundant aquatic vegetation provides ideal grazing for domestic livestock and a source of fuel and fertilizers for the local inhabitants.  </w:t>
      </w:r>
    </w:p>
    <w:p w:rsidR="00871482" w:rsidRDefault="00871482" w:rsidP="009B527A">
      <w:pPr>
        <w:pStyle w:val="BodyText"/>
        <w:spacing w:after="240" w:line="276" w:lineRule="auto"/>
        <w:jc w:val="both"/>
        <w:rPr>
          <w:rFonts w:cs="Times New Roman"/>
          <w:szCs w:val="24"/>
          <w:lang w:val="en-GB"/>
        </w:rPr>
      </w:pPr>
      <w:r w:rsidRPr="005E04F6">
        <w:rPr>
          <w:rFonts w:cs="Times New Roman"/>
          <w:szCs w:val="24"/>
          <w:lang w:val="en-GB"/>
        </w:rPr>
        <w:t>The Haor basin is an internationally important wetland ecosystem providing habitats for various types of aquatic species of plants and animals. The Tanguar</w:t>
      </w:r>
      <w:r w:rsidR="00FC147E" w:rsidRPr="005E04F6">
        <w:rPr>
          <w:rFonts w:cs="Times New Roman"/>
          <w:szCs w:val="24"/>
          <w:lang w:val="en-GB"/>
        </w:rPr>
        <w:t xml:space="preserve"> </w:t>
      </w:r>
      <w:r w:rsidRPr="005E04F6">
        <w:rPr>
          <w:rFonts w:cs="Times New Roman"/>
          <w:szCs w:val="24"/>
          <w:lang w:val="en-GB"/>
        </w:rPr>
        <w:t xml:space="preserve">Haor, </w:t>
      </w:r>
      <w:r w:rsidR="003507C6" w:rsidRPr="005E04F6">
        <w:rPr>
          <w:rFonts w:cs="Times New Roman"/>
          <w:szCs w:val="24"/>
          <w:lang w:val="en-GB"/>
        </w:rPr>
        <w:t>Aila Beel</w:t>
      </w:r>
      <w:r w:rsidRPr="005E04F6">
        <w:rPr>
          <w:rFonts w:cs="Times New Roman"/>
          <w:szCs w:val="24"/>
          <w:lang w:val="en-GB"/>
        </w:rPr>
        <w:t xml:space="preserve">, </w:t>
      </w:r>
      <w:r w:rsidR="003507C6" w:rsidRPr="005E04F6">
        <w:rPr>
          <w:rFonts w:cs="Times New Roman"/>
          <w:szCs w:val="24"/>
          <w:lang w:val="en-GB"/>
        </w:rPr>
        <w:t>Hakaluki Haor</w:t>
      </w:r>
      <w:r w:rsidRPr="005E04F6">
        <w:rPr>
          <w:rFonts w:cs="Times New Roman"/>
          <w:szCs w:val="24"/>
          <w:lang w:val="en-GB"/>
        </w:rPr>
        <w:t xml:space="preserve"> and Hail Haor are considered as Important Bird Areas (IBA). A large number of these birds use the aquatic vegetation for shelter, food and nesting. Every winter, the </w:t>
      </w:r>
      <w:r w:rsidR="005264B4" w:rsidRPr="005264B4">
        <w:rPr>
          <w:rFonts w:cs="Times New Roman"/>
          <w:szCs w:val="24"/>
          <w:lang w:val="en-GB"/>
        </w:rPr>
        <w:t>Haor area</w:t>
      </w:r>
      <w:r w:rsidRPr="005E04F6">
        <w:rPr>
          <w:rFonts w:cs="Times New Roman"/>
          <w:szCs w:val="24"/>
          <w:lang w:val="en-GB"/>
        </w:rPr>
        <w:t xml:space="preserve"> is home to about 200 species of migratory waterfowls, including 100,000 to 150,000 ducks and other species. The largest Haor in the country is the </w:t>
      </w:r>
      <w:r w:rsidR="003507C6" w:rsidRPr="005E04F6">
        <w:rPr>
          <w:rFonts w:cs="Times New Roman"/>
          <w:szCs w:val="24"/>
          <w:lang w:val="en-GB"/>
        </w:rPr>
        <w:t>Hakaluki Haor</w:t>
      </w:r>
      <w:r w:rsidRPr="005E04F6">
        <w:rPr>
          <w:rFonts w:cs="Times New Roman"/>
          <w:szCs w:val="24"/>
          <w:lang w:val="en-GB"/>
        </w:rPr>
        <w:t>, which extends over 18,000ha. During the rainy season, the haor consists of more than 80 inter-connected beels. The rich fish resources of Hakaluki support one of the largest inland fisheries in the country. Tanguar is an important “mother fisheries area”, where many species breed during the rainy season.  Haor swamps and marshes are particularly rich in aquatic plants with enormous diversity. Biomass productivity of these submerged plants is observed to be too high. Agriculture, fisheries and animal husbandry are three pillars of Haor economy.</w:t>
      </w:r>
    </w:p>
    <w:p w:rsidR="00871482" w:rsidRPr="005E04F6" w:rsidRDefault="00871482" w:rsidP="009B527A">
      <w:pPr>
        <w:pStyle w:val="BodyText"/>
        <w:spacing w:after="240" w:line="276" w:lineRule="auto"/>
        <w:jc w:val="both"/>
        <w:rPr>
          <w:rFonts w:cs="Times New Roman"/>
          <w:szCs w:val="24"/>
          <w:lang w:val="en-GB"/>
        </w:rPr>
      </w:pPr>
      <w:r w:rsidRPr="005E04F6">
        <w:rPr>
          <w:rFonts w:cs="Times New Roman"/>
          <w:szCs w:val="24"/>
          <w:lang w:val="en-GB"/>
        </w:rPr>
        <w:t xml:space="preserve">Keeping in mind all these ecological benefits, the </w:t>
      </w:r>
      <w:r w:rsidR="003507C6" w:rsidRPr="005E04F6">
        <w:rPr>
          <w:rFonts w:cs="Times New Roman"/>
          <w:szCs w:val="24"/>
          <w:lang w:val="en-GB"/>
        </w:rPr>
        <w:t>Tanguar Haor has</w:t>
      </w:r>
      <w:r w:rsidRPr="005E04F6">
        <w:rPr>
          <w:rFonts w:cs="Times New Roman"/>
          <w:szCs w:val="24"/>
          <w:lang w:val="en-GB"/>
        </w:rPr>
        <w:t xml:space="preserve"> been declared a Ramsar site as well as an Ecologically Critical Area (ECA). The Haor basin is the only region in Bangladesh where remnant patches of freshwater swamp and reed lands still exist. Hence, a wide variety of flora and fauna fall under the protection of international treaties and national legislation.</w:t>
      </w:r>
    </w:p>
    <w:p w:rsidR="00871482" w:rsidRPr="005E04F6" w:rsidRDefault="00871482" w:rsidP="005F6684">
      <w:pPr>
        <w:spacing w:line="269" w:lineRule="auto"/>
        <w:jc w:val="both"/>
        <w:rPr>
          <w:rFonts w:cs="Times New Roman"/>
          <w:szCs w:val="24"/>
          <w:lang w:val="en-GB"/>
        </w:rPr>
      </w:pPr>
      <w:r w:rsidRPr="005E04F6">
        <w:rPr>
          <w:rFonts w:cs="Times New Roman"/>
          <w:szCs w:val="24"/>
          <w:lang w:val="en-GB"/>
        </w:rPr>
        <w:t xml:space="preserve">The Haor is also the habitat of fresh water swamp forest with flood-tolerant evergreen trees. A fully developed stand exhibits a closed canopy with mature trees standing ten to twelve meters tall. These trees mostly produce their seeds in the monsoon period and disperse them through water; seedlings grow in great quantities. In addition, woody shrubs and climbers are found. Swamp forest is adapted to monsoon flooding for three to four months, to depths of 0.5 to 2.5 meters. Remnant swamp forest patches are now restricted to sloping areas, helping to protect homesteads from wave erosion, while some are recently replanted areas. These patches vary from a few plants to several hectares of more than a thousand trees. </w:t>
      </w:r>
      <w:r w:rsidR="003507C6" w:rsidRPr="005E04F6">
        <w:rPr>
          <w:rFonts w:cs="Times New Roman"/>
          <w:szCs w:val="24"/>
          <w:lang w:val="en-GB"/>
        </w:rPr>
        <w:t xml:space="preserve">Depending on local conditions, particularly the extent of human disturbance, the luxuriance of the vegetation varies, from sparse low trees with undergrowth grasses to dense closed canopy with poor undergrowth. </w:t>
      </w:r>
      <w:r w:rsidRPr="005E04F6">
        <w:rPr>
          <w:rFonts w:cs="Times New Roman"/>
          <w:szCs w:val="24"/>
          <w:lang w:val="en-GB"/>
        </w:rPr>
        <w:t>Freshwater swamp forest emerges due to flat low lying land becoming inundated due to rainfall runoff and inflow from surrounding river system. In swamp forest, the water table is typically very close to the surface.</w:t>
      </w:r>
    </w:p>
    <w:p w:rsidR="00C47339" w:rsidRDefault="00871482" w:rsidP="005F6684">
      <w:pPr>
        <w:pStyle w:val="BodyText"/>
        <w:spacing w:after="240" w:line="269" w:lineRule="auto"/>
        <w:jc w:val="both"/>
        <w:rPr>
          <w:rFonts w:cs="Times New Roman"/>
          <w:szCs w:val="24"/>
          <w:lang w:val="en-GB"/>
        </w:rPr>
      </w:pPr>
      <w:r w:rsidRPr="004B0A08">
        <w:rPr>
          <w:rFonts w:cs="Times New Roman"/>
          <w:i/>
          <w:szCs w:val="24"/>
          <w:lang w:val="en-GB"/>
        </w:rPr>
        <w:lastRenderedPageBreak/>
        <w:t>Wetlands are extremely productive ecosystems, which provide crucial habitat and feeding and breeding grounds for many species of reptiles and amphibians.</w:t>
      </w:r>
      <w:r w:rsidRPr="005E04F6">
        <w:rPr>
          <w:rFonts w:cs="Times New Roman"/>
          <w:szCs w:val="24"/>
          <w:lang w:val="en-GB"/>
        </w:rPr>
        <w:t xml:space="preserve"> Many reptiles make their homes in the swampy wetlands. A study of National Conservation Strategy Implementation Plan claimed a total of 35 reptile species were recorded in </w:t>
      </w:r>
      <w:r w:rsidR="00376FBF" w:rsidRPr="005E04F6">
        <w:rPr>
          <w:rFonts w:cs="Times New Roman"/>
          <w:szCs w:val="24"/>
          <w:lang w:val="en-GB"/>
        </w:rPr>
        <w:t>Tanguar Haor</w:t>
      </w:r>
      <w:r w:rsidRPr="005E04F6">
        <w:rPr>
          <w:rFonts w:cs="Times New Roman"/>
          <w:szCs w:val="24"/>
          <w:lang w:val="en-GB"/>
        </w:rPr>
        <w:t xml:space="preserve"> area</w:t>
      </w:r>
    </w:p>
    <w:p w:rsidR="00C85BB5" w:rsidRDefault="00871482" w:rsidP="005F6684">
      <w:pPr>
        <w:pStyle w:val="BodyText"/>
        <w:spacing w:after="240" w:line="269" w:lineRule="auto"/>
        <w:jc w:val="both"/>
        <w:rPr>
          <w:rFonts w:cs="Times New Roman"/>
          <w:szCs w:val="24"/>
          <w:lang w:val="en-GB"/>
        </w:rPr>
      </w:pPr>
      <w:r w:rsidRPr="005E04F6">
        <w:rPr>
          <w:rFonts w:cs="Times New Roman"/>
          <w:szCs w:val="24"/>
          <w:lang w:val="en-GB"/>
        </w:rPr>
        <w:t xml:space="preserve">Wetlands, both in terms of their extent (area and volume) and biodiversity are in </w:t>
      </w:r>
      <w:r w:rsidR="004E362F" w:rsidRPr="005E04F6">
        <w:rPr>
          <w:rFonts w:cs="Times New Roman"/>
          <w:szCs w:val="24"/>
          <w:lang w:val="en-GB"/>
        </w:rPr>
        <w:t>serious</w:t>
      </w:r>
      <w:r w:rsidRPr="005E04F6">
        <w:rPr>
          <w:rFonts w:cs="Times New Roman"/>
          <w:szCs w:val="24"/>
          <w:lang w:val="en-GB"/>
        </w:rPr>
        <w:t xml:space="preserve"> decline. Out of Bangladesh’s 260 freshw</w:t>
      </w:r>
      <w:r w:rsidR="0058569C">
        <w:rPr>
          <w:rFonts w:cs="Times New Roman"/>
          <w:szCs w:val="24"/>
          <w:lang w:val="en-GB"/>
        </w:rPr>
        <w:t>ater fish species</w:t>
      </w:r>
      <w:r w:rsidRPr="005E04F6">
        <w:rPr>
          <w:rFonts w:cs="Times New Roman"/>
          <w:szCs w:val="24"/>
          <w:lang w:val="en-GB"/>
        </w:rPr>
        <w:t>, more than 40% are no</w:t>
      </w:r>
      <w:r w:rsidR="0058569C">
        <w:rPr>
          <w:rFonts w:cs="Times New Roman"/>
          <w:szCs w:val="24"/>
          <w:lang w:val="en-GB"/>
        </w:rPr>
        <w:t>w threatened with extinction</w:t>
      </w:r>
      <w:r w:rsidRPr="005E04F6">
        <w:rPr>
          <w:rFonts w:cs="Times New Roman"/>
          <w:szCs w:val="24"/>
          <w:lang w:val="en-GB"/>
        </w:rPr>
        <w:t xml:space="preserve">. Land filling, encroachment, and </w:t>
      </w:r>
      <w:r w:rsidR="003507C6" w:rsidRPr="005E04F6">
        <w:rPr>
          <w:rFonts w:cs="Times New Roman"/>
          <w:szCs w:val="24"/>
          <w:lang w:val="en-GB"/>
        </w:rPr>
        <w:t>land use</w:t>
      </w:r>
      <w:r w:rsidRPr="005E04F6">
        <w:rPr>
          <w:rFonts w:cs="Times New Roman"/>
          <w:szCs w:val="24"/>
          <w:lang w:val="en-GB"/>
        </w:rPr>
        <w:t xml:space="preserve"> change are the main reas</w:t>
      </w:r>
      <w:r w:rsidR="00C47339">
        <w:rPr>
          <w:rFonts w:cs="Times New Roman"/>
          <w:szCs w:val="24"/>
          <w:lang w:val="en-GB"/>
        </w:rPr>
        <w:t xml:space="preserve">ons for shrinking of wetlands.  </w:t>
      </w:r>
      <w:r w:rsidRPr="005E04F6">
        <w:rPr>
          <w:rFonts w:cs="Times New Roman"/>
          <w:szCs w:val="24"/>
          <w:lang w:val="en-GB"/>
        </w:rPr>
        <w:t xml:space="preserve">Moreover, the Sylhet hilly tracts with small hillocks, locally known as “Tilla” having an average height of 40-60 m, with the highest peak around 170 m host tropical semi evergreen forest, particularly in the valleys. Bamboo is the most dominant vegetation type with at least seven different species. Diversity of other floral species is also very high. </w:t>
      </w:r>
    </w:p>
    <w:p w:rsidR="00871482" w:rsidRPr="005E04F6" w:rsidRDefault="00871482" w:rsidP="005F6684">
      <w:pPr>
        <w:pStyle w:val="BodyText"/>
        <w:spacing w:after="240" w:line="269" w:lineRule="auto"/>
        <w:jc w:val="both"/>
        <w:rPr>
          <w:rFonts w:cs="Times New Roman"/>
          <w:szCs w:val="24"/>
          <w:lang w:val="en-GB"/>
        </w:rPr>
      </w:pPr>
      <w:r w:rsidRPr="005E04F6">
        <w:rPr>
          <w:rFonts w:cs="Times New Roman"/>
          <w:szCs w:val="24"/>
          <w:lang w:val="en-GB"/>
        </w:rPr>
        <w:t xml:space="preserve">It will be important to maintain forested areas in the Sylhet hilly tracts as well as the swamp forests. For the past several decades, forestlands have been under mounting pressure as more areas are converted to croplands and grasslands to meet the demand for food and raw materials. In addition, forestlands have been affected by increasing temperature, heat stress, and drought, with consequent loss of tree species and degradation of forests. </w:t>
      </w:r>
      <w:r w:rsidRPr="004B0A08">
        <w:rPr>
          <w:rFonts w:cs="Times New Roman"/>
          <w:i/>
          <w:szCs w:val="24"/>
          <w:lang w:val="en-GB"/>
        </w:rPr>
        <w:t>The region’s forests hold the key to the success of climate change mitigation efforts, and have great potential to sequester carbon through reduced emissions from deforestation and degradation (REDD), afforestation and reforestation, and forest management.</w:t>
      </w:r>
      <w:r w:rsidRPr="005E04F6">
        <w:rPr>
          <w:rFonts w:cs="Times New Roman"/>
          <w:szCs w:val="24"/>
          <w:lang w:val="en-GB"/>
        </w:rPr>
        <w:t xml:space="preserve"> In turn, deforestation releases CO</w:t>
      </w:r>
      <w:r w:rsidRPr="000E0679">
        <w:rPr>
          <w:rFonts w:cs="Times New Roman"/>
          <w:szCs w:val="24"/>
          <w:vertAlign w:val="subscript"/>
          <w:lang w:val="en-GB"/>
        </w:rPr>
        <w:t xml:space="preserve">2 </w:t>
      </w:r>
      <w:r w:rsidRPr="005E04F6">
        <w:rPr>
          <w:rFonts w:cs="Times New Roman"/>
          <w:szCs w:val="24"/>
          <w:lang w:val="en-GB"/>
        </w:rPr>
        <w:t>and reduces the potential for its sequestration.</w:t>
      </w:r>
    </w:p>
    <w:p w:rsidR="00871482" w:rsidRPr="005E04F6" w:rsidRDefault="00871482" w:rsidP="001B103B">
      <w:pPr>
        <w:pStyle w:val="BodyText"/>
        <w:spacing w:after="240" w:line="276" w:lineRule="auto"/>
        <w:jc w:val="both"/>
        <w:rPr>
          <w:rFonts w:cs="Times New Roman"/>
          <w:szCs w:val="24"/>
          <w:lang w:val="en-GB"/>
        </w:rPr>
      </w:pPr>
      <w:r w:rsidRPr="005E04F6">
        <w:rPr>
          <w:rFonts w:cs="Times New Roman"/>
          <w:szCs w:val="24"/>
          <w:lang w:val="en-GB"/>
        </w:rPr>
        <w:t>The hilly forests assist in absorbing rainwater and reducing run-off and providing a cooling effect of temperatures. Both hilly and swamp forests can mitigate impacts of increasing number of dry days (dry periods) which are expected to be caused by increasing global temperatures or flash floods from intensive rainfall (extreme climate events) can be mitigated by hill and swamp forest areas through water retention, groundwater recharging, and slowing down rate of erosion (and mudslides) from hilly areas. It will be important to retain wetlands and forests in the Haor Hotspot to prepare for mitigating impacts of climate change projected over the century.</w:t>
      </w:r>
    </w:p>
    <w:p w:rsidR="009B527A" w:rsidRPr="00A1679C" w:rsidRDefault="00487D03" w:rsidP="00A1679C">
      <w:pPr>
        <w:pStyle w:val="BodyText"/>
        <w:spacing w:after="240" w:line="269" w:lineRule="auto"/>
        <w:jc w:val="both"/>
        <w:rPr>
          <w:rFonts w:cs="Times New Roman"/>
          <w:szCs w:val="24"/>
          <w:lang w:val="en-GB"/>
        </w:rPr>
      </w:pPr>
      <w:r w:rsidRPr="005E04F6">
        <w:rPr>
          <w:rFonts w:cs="Times New Roman"/>
          <w:b/>
          <w:szCs w:val="24"/>
          <w:lang w:val="en-GB"/>
        </w:rPr>
        <w:t>Long-term challenges</w:t>
      </w:r>
      <w:r w:rsidR="00FC147E" w:rsidRPr="005E04F6">
        <w:rPr>
          <w:rFonts w:cs="Times New Roman"/>
          <w:szCs w:val="24"/>
          <w:lang w:val="en-GB"/>
        </w:rPr>
        <w:t>:</w:t>
      </w:r>
      <w:r w:rsidRPr="005E04F6">
        <w:rPr>
          <w:rFonts w:cs="Times New Roman"/>
          <w:szCs w:val="24"/>
          <w:lang w:val="en-GB"/>
        </w:rPr>
        <w:t xml:space="preserve"> </w:t>
      </w:r>
      <w:r w:rsidR="00871482" w:rsidRPr="005E04F6">
        <w:rPr>
          <w:rFonts w:cs="Times New Roman"/>
          <w:szCs w:val="24"/>
          <w:lang w:val="en-GB"/>
        </w:rPr>
        <w:t xml:space="preserve">Serious challenges in the Haor Hotspot are posed by: shrinking wetlands, reduced flushing of pollutants because of declining water throughput from the rivers, increasing subsidence of the Sylhet Basin due to decline in sediment deposits from rivers, and reduced flood holding areas, and receding ground water table. There is a great concern for this swamp forest habitat due to over logging, and suspected seepage from upstream reservoirs resulting in significantly changed circumstances for many swamp forest </w:t>
      </w:r>
      <w:r w:rsidR="003507C6" w:rsidRPr="005E04F6">
        <w:rPr>
          <w:rFonts w:cs="Times New Roman"/>
          <w:szCs w:val="24"/>
          <w:lang w:val="en-GB"/>
        </w:rPr>
        <w:t>species. Haors</w:t>
      </w:r>
      <w:r w:rsidR="00871482" w:rsidRPr="005E04F6">
        <w:rPr>
          <w:rFonts w:cs="Times New Roman"/>
          <w:szCs w:val="24"/>
          <w:lang w:val="en-GB"/>
        </w:rPr>
        <w:t xml:space="preserve"> and </w:t>
      </w:r>
      <w:r w:rsidR="003507C6" w:rsidRPr="005E04F6">
        <w:rPr>
          <w:rFonts w:cs="Times New Roman"/>
          <w:szCs w:val="24"/>
          <w:lang w:val="en-GB"/>
        </w:rPr>
        <w:t>beels are</w:t>
      </w:r>
      <w:r w:rsidR="00871482" w:rsidRPr="005E04F6">
        <w:rPr>
          <w:rFonts w:cs="Times New Roman"/>
          <w:szCs w:val="24"/>
          <w:lang w:val="en-GB"/>
        </w:rPr>
        <w:t xml:space="preserve"> mostly inhabited by the poor and disadvantaged people who lack access to basic services including drinking water and sanitation. Due to absence of suitable water source and collection system, hoar people are affected by many water</w:t>
      </w:r>
      <w:r w:rsidR="009314A2" w:rsidRPr="005E04F6">
        <w:rPr>
          <w:rFonts w:cs="Times New Roman"/>
          <w:szCs w:val="24"/>
          <w:lang w:val="en-GB"/>
        </w:rPr>
        <w:t>-</w:t>
      </w:r>
      <w:r w:rsidR="004E362F" w:rsidRPr="005E04F6">
        <w:rPr>
          <w:rFonts w:cs="Times New Roman"/>
          <w:szCs w:val="24"/>
          <w:lang w:val="en-GB"/>
        </w:rPr>
        <w:t>borne diseases</w:t>
      </w:r>
      <w:r w:rsidR="00871482" w:rsidRPr="005E04F6">
        <w:rPr>
          <w:rFonts w:cs="Times New Roman"/>
          <w:szCs w:val="24"/>
          <w:lang w:val="en-GB"/>
        </w:rPr>
        <w:t xml:space="preserve">. </w:t>
      </w:r>
      <w:r w:rsidR="000B52B9" w:rsidRPr="005E04F6">
        <w:rPr>
          <w:rFonts w:cs="Times New Roman"/>
          <w:szCs w:val="24"/>
          <w:lang w:val="en-GB"/>
        </w:rPr>
        <w:t xml:space="preserve">Securing </w:t>
      </w:r>
      <w:r w:rsidR="00871482" w:rsidRPr="005E04F6">
        <w:rPr>
          <w:rFonts w:cs="Times New Roman"/>
          <w:szCs w:val="24"/>
          <w:lang w:val="en-GB"/>
        </w:rPr>
        <w:t>and maintaining freshwater wetlands as sources of vital ecosystem services, livelihoods and drinking water remain long-term challenges.</w:t>
      </w:r>
    </w:p>
    <w:p w:rsidR="002066E1" w:rsidRDefault="002066E1">
      <w:pPr>
        <w:rPr>
          <w:rFonts w:cs="Times New Roman"/>
          <w:b/>
          <w:bCs/>
          <w:szCs w:val="24"/>
        </w:rPr>
      </w:pPr>
      <w:r>
        <w:lastRenderedPageBreak/>
        <w:br w:type="page"/>
      </w:r>
    </w:p>
    <w:p w:rsidR="009314A2" w:rsidRPr="00C473C3" w:rsidRDefault="009314A2" w:rsidP="004402F1">
      <w:pPr>
        <w:pStyle w:val="Heading4"/>
      </w:pPr>
      <w:bookmarkStart w:id="65" w:name="_Toc474638983"/>
      <w:r w:rsidRPr="00C473C3">
        <w:lastRenderedPageBreak/>
        <w:t xml:space="preserve">Table </w:t>
      </w:r>
      <w:r w:rsidR="00D9144F">
        <w:t>1.</w:t>
      </w:r>
      <w:r w:rsidR="00CC05CF">
        <w:t>12</w:t>
      </w:r>
      <w:r w:rsidR="00C85BB5">
        <w:t>: Key V</w:t>
      </w:r>
      <w:r w:rsidRPr="00C473C3">
        <w:t>ulnerabilities of the Haor Hotspot</w:t>
      </w:r>
      <w:bookmarkEnd w:id="65"/>
    </w:p>
    <w:tbl>
      <w:tblPr>
        <w:tblStyle w:val="TableGrid"/>
        <w:tblW w:w="0" w:type="auto"/>
        <w:jc w:val="center"/>
        <w:tblLook w:val="04A0"/>
      </w:tblPr>
      <w:tblGrid>
        <w:gridCol w:w="1998"/>
        <w:gridCol w:w="2160"/>
        <w:gridCol w:w="2160"/>
        <w:gridCol w:w="2538"/>
      </w:tblGrid>
      <w:tr w:rsidR="00D25C12" w:rsidRPr="00312B8D" w:rsidTr="00966543">
        <w:trPr>
          <w:jc w:val="center"/>
        </w:trPr>
        <w:tc>
          <w:tcPr>
            <w:tcW w:w="1998" w:type="dxa"/>
          </w:tcPr>
          <w:p w:rsidR="00D25C12" w:rsidRPr="006E075E" w:rsidRDefault="00677CAD" w:rsidP="00F85B66">
            <w:pPr>
              <w:pStyle w:val="BodyText"/>
              <w:spacing w:after="0" w:line="240" w:lineRule="auto"/>
              <w:jc w:val="center"/>
              <w:rPr>
                <w:rFonts w:cs="Times New Roman"/>
                <w:b/>
                <w:sz w:val="20"/>
                <w:szCs w:val="20"/>
              </w:rPr>
            </w:pPr>
            <w:r>
              <w:rPr>
                <w:rFonts w:cs="Times New Roman"/>
                <w:b/>
                <w:sz w:val="20"/>
                <w:szCs w:val="20"/>
              </w:rPr>
              <w:t>Vulnerability from</w:t>
            </w:r>
          </w:p>
        </w:tc>
        <w:tc>
          <w:tcPr>
            <w:tcW w:w="2160" w:type="dxa"/>
          </w:tcPr>
          <w:p w:rsidR="00D25C12" w:rsidRPr="006E075E" w:rsidRDefault="00D25C12" w:rsidP="00F85B66">
            <w:pPr>
              <w:pStyle w:val="BodyText"/>
              <w:spacing w:after="0" w:line="240" w:lineRule="auto"/>
              <w:jc w:val="center"/>
              <w:rPr>
                <w:rFonts w:cs="Times New Roman"/>
                <w:b/>
                <w:sz w:val="20"/>
                <w:szCs w:val="20"/>
              </w:rPr>
            </w:pPr>
            <w:r w:rsidRPr="006E075E">
              <w:rPr>
                <w:rFonts w:cs="Times New Roman"/>
                <w:b/>
                <w:sz w:val="20"/>
                <w:szCs w:val="20"/>
              </w:rPr>
              <w:t xml:space="preserve">Current </w:t>
            </w:r>
            <w:r>
              <w:rPr>
                <w:rFonts w:cs="Times New Roman"/>
                <w:b/>
                <w:sz w:val="20"/>
                <w:szCs w:val="20"/>
              </w:rPr>
              <w:t>State</w:t>
            </w:r>
          </w:p>
        </w:tc>
        <w:tc>
          <w:tcPr>
            <w:tcW w:w="2160" w:type="dxa"/>
          </w:tcPr>
          <w:p w:rsidR="00D25C12" w:rsidRPr="006E075E" w:rsidRDefault="00D25C12" w:rsidP="00F85B66">
            <w:pPr>
              <w:pStyle w:val="BodyText"/>
              <w:spacing w:after="0" w:line="240" w:lineRule="auto"/>
              <w:jc w:val="center"/>
              <w:rPr>
                <w:rFonts w:cs="Times New Roman"/>
                <w:b/>
                <w:sz w:val="20"/>
                <w:szCs w:val="20"/>
              </w:rPr>
            </w:pPr>
            <w:r>
              <w:rPr>
                <w:rFonts w:cs="Times New Roman"/>
                <w:b/>
                <w:sz w:val="20"/>
                <w:szCs w:val="20"/>
              </w:rPr>
              <w:t xml:space="preserve">Expected </w:t>
            </w:r>
            <w:r w:rsidRPr="006E075E">
              <w:rPr>
                <w:rFonts w:cs="Times New Roman"/>
                <w:b/>
                <w:sz w:val="20"/>
                <w:szCs w:val="20"/>
              </w:rPr>
              <w:t>Change</w:t>
            </w:r>
          </w:p>
        </w:tc>
        <w:tc>
          <w:tcPr>
            <w:tcW w:w="2538" w:type="dxa"/>
          </w:tcPr>
          <w:p w:rsidR="00D25C12" w:rsidRPr="006E075E" w:rsidRDefault="00D25C12" w:rsidP="00F85B66">
            <w:pPr>
              <w:pStyle w:val="BodyText"/>
              <w:spacing w:after="0" w:line="240" w:lineRule="auto"/>
              <w:jc w:val="center"/>
              <w:rPr>
                <w:rFonts w:cs="Times New Roman"/>
                <w:b/>
                <w:sz w:val="20"/>
                <w:szCs w:val="20"/>
              </w:rPr>
            </w:pPr>
            <w:r w:rsidRPr="006E075E">
              <w:rPr>
                <w:rFonts w:cs="Times New Roman"/>
                <w:b/>
                <w:sz w:val="20"/>
                <w:szCs w:val="20"/>
              </w:rPr>
              <w:t>Consequences under a BAU scenario</w:t>
            </w:r>
          </w:p>
        </w:tc>
      </w:tr>
      <w:tr w:rsidR="00D25C12" w:rsidRPr="00312B8D" w:rsidTr="00966543">
        <w:trPr>
          <w:jc w:val="center"/>
        </w:trPr>
        <w:tc>
          <w:tcPr>
            <w:tcW w:w="1998" w:type="dxa"/>
          </w:tcPr>
          <w:p w:rsidR="00D25C12" w:rsidRDefault="00F85B66" w:rsidP="00F85B66">
            <w:pPr>
              <w:pStyle w:val="BodyText"/>
              <w:spacing w:after="0" w:line="240" w:lineRule="auto"/>
              <w:rPr>
                <w:rFonts w:cs="Times New Roman"/>
                <w:sz w:val="20"/>
                <w:szCs w:val="20"/>
              </w:rPr>
            </w:pPr>
            <w:r>
              <w:rPr>
                <w:rFonts w:cs="Times New Roman"/>
                <w:sz w:val="20"/>
                <w:szCs w:val="20"/>
              </w:rPr>
              <w:t>1</w:t>
            </w:r>
            <w:r w:rsidR="00D25C12">
              <w:rPr>
                <w:rFonts w:cs="Times New Roman"/>
                <w:sz w:val="20"/>
                <w:szCs w:val="20"/>
              </w:rPr>
              <w:t xml:space="preserve">. Precipitation </w:t>
            </w:r>
          </w:p>
        </w:tc>
        <w:tc>
          <w:tcPr>
            <w:tcW w:w="2160" w:type="dxa"/>
          </w:tcPr>
          <w:p w:rsidR="00D25C12" w:rsidRPr="00A24C4A" w:rsidRDefault="00F85B66" w:rsidP="00F85B66">
            <w:pPr>
              <w:pStyle w:val="BodyText"/>
              <w:spacing w:after="0" w:line="240" w:lineRule="auto"/>
              <w:rPr>
                <w:rFonts w:cs="Times New Roman"/>
                <w:sz w:val="20"/>
                <w:szCs w:val="20"/>
              </w:rPr>
            </w:pPr>
            <w:r>
              <w:rPr>
                <w:rFonts w:cs="Times New Roman"/>
                <w:sz w:val="20"/>
                <w:szCs w:val="20"/>
              </w:rPr>
              <w:t>Highest rainfall in Sylhet Basin due to its proximity to Chera</w:t>
            </w:r>
            <w:r w:rsidR="00B34DBB">
              <w:rPr>
                <w:rFonts w:cs="Times New Roman"/>
                <w:sz w:val="20"/>
                <w:szCs w:val="20"/>
              </w:rPr>
              <w:t>pungi, India, highest rainfall are in the world</w:t>
            </w:r>
          </w:p>
        </w:tc>
        <w:tc>
          <w:tcPr>
            <w:tcW w:w="2160" w:type="dxa"/>
          </w:tcPr>
          <w:p w:rsidR="00D25C12" w:rsidRPr="00A24C4A" w:rsidRDefault="00D25C12" w:rsidP="00F85B66">
            <w:pPr>
              <w:pStyle w:val="BodyText"/>
              <w:spacing w:after="0" w:line="240" w:lineRule="auto"/>
              <w:rPr>
                <w:rFonts w:cs="Times New Roman"/>
                <w:sz w:val="20"/>
                <w:szCs w:val="20"/>
              </w:rPr>
            </w:pPr>
            <w:r>
              <w:rPr>
                <w:rFonts w:cs="Times New Roman"/>
                <w:sz w:val="20"/>
                <w:szCs w:val="20"/>
              </w:rPr>
              <w:t>Increase between 300mm in southeast to 800mm in northwest with increase in intensity</w:t>
            </w:r>
          </w:p>
        </w:tc>
        <w:tc>
          <w:tcPr>
            <w:tcW w:w="2538" w:type="dxa"/>
          </w:tcPr>
          <w:p w:rsidR="00D25C12" w:rsidRPr="00A24C4A" w:rsidRDefault="00D25C12" w:rsidP="00677CAD">
            <w:pPr>
              <w:pStyle w:val="BodyText"/>
              <w:spacing w:after="0" w:line="240" w:lineRule="auto"/>
              <w:rPr>
                <w:rFonts w:cs="Times New Roman"/>
                <w:sz w:val="20"/>
                <w:szCs w:val="20"/>
              </w:rPr>
            </w:pPr>
            <w:r>
              <w:rPr>
                <w:rFonts w:cs="Times New Roman"/>
                <w:sz w:val="20"/>
                <w:szCs w:val="20"/>
              </w:rPr>
              <w:t>Increases in mean annual discharge rivers; may cause flash floods, extensive area under flooding, damage to infrastructure, destruction of crops</w:t>
            </w:r>
          </w:p>
        </w:tc>
      </w:tr>
      <w:tr w:rsidR="00D25C12" w:rsidRPr="00312B8D" w:rsidTr="00966543">
        <w:trPr>
          <w:jc w:val="center"/>
        </w:trPr>
        <w:tc>
          <w:tcPr>
            <w:tcW w:w="1998" w:type="dxa"/>
          </w:tcPr>
          <w:p w:rsidR="00D25C12" w:rsidRDefault="00F85B66" w:rsidP="00F85B66">
            <w:pPr>
              <w:pStyle w:val="BodyText"/>
              <w:spacing w:after="0" w:line="240" w:lineRule="auto"/>
              <w:rPr>
                <w:rFonts w:cs="Times New Roman"/>
                <w:sz w:val="20"/>
                <w:szCs w:val="20"/>
              </w:rPr>
            </w:pPr>
            <w:r>
              <w:rPr>
                <w:rFonts w:cs="Times New Roman"/>
                <w:sz w:val="20"/>
                <w:szCs w:val="20"/>
              </w:rPr>
              <w:t>2</w:t>
            </w:r>
            <w:r w:rsidR="00D25C12">
              <w:rPr>
                <w:rFonts w:cs="Times New Roman"/>
                <w:sz w:val="20"/>
                <w:szCs w:val="20"/>
              </w:rPr>
              <w:t xml:space="preserve">. </w:t>
            </w:r>
            <w:r w:rsidR="00B34DBB">
              <w:rPr>
                <w:rFonts w:cs="Times New Roman"/>
                <w:sz w:val="20"/>
                <w:szCs w:val="20"/>
              </w:rPr>
              <w:t>Subsidence and decreased sediment supply</w:t>
            </w:r>
          </w:p>
        </w:tc>
        <w:tc>
          <w:tcPr>
            <w:tcW w:w="2160" w:type="dxa"/>
          </w:tcPr>
          <w:p w:rsidR="00D25C12" w:rsidRPr="00A24C4A" w:rsidRDefault="00B34DBB" w:rsidP="00F85B66">
            <w:pPr>
              <w:pStyle w:val="BodyText"/>
              <w:spacing w:after="0" w:line="240" w:lineRule="auto"/>
              <w:rPr>
                <w:rFonts w:cs="Times New Roman"/>
                <w:sz w:val="20"/>
                <w:szCs w:val="20"/>
              </w:rPr>
            </w:pPr>
            <w:r>
              <w:rPr>
                <w:rFonts w:cs="Times New Roman"/>
                <w:sz w:val="20"/>
                <w:szCs w:val="20"/>
              </w:rPr>
              <w:t>Tec</w:t>
            </w:r>
            <w:r w:rsidR="00FE6385">
              <w:rPr>
                <w:rFonts w:cs="Times New Roman"/>
                <w:sz w:val="20"/>
                <w:szCs w:val="20"/>
              </w:rPr>
              <w:t>tonne</w:t>
            </w:r>
            <w:r>
              <w:rPr>
                <w:rFonts w:cs="Times New Roman"/>
                <w:sz w:val="20"/>
                <w:szCs w:val="20"/>
              </w:rPr>
              <w:t>ically active and subject to gradual subsidence and westward avulsion of Brahmaputra (Assam earthquake 1950)</w:t>
            </w:r>
          </w:p>
        </w:tc>
        <w:tc>
          <w:tcPr>
            <w:tcW w:w="2160" w:type="dxa"/>
          </w:tcPr>
          <w:p w:rsidR="00D25C12" w:rsidRPr="00A24C4A" w:rsidRDefault="00B34DBB" w:rsidP="00F85B66">
            <w:pPr>
              <w:pStyle w:val="BodyText"/>
              <w:spacing w:after="0" w:line="240" w:lineRule="auto"/>
              <w:rPr>
                <w:rFonts w:cs="Times New Roman"/>
                <w:sz w:val="20"/>
                <w:szCs w:val="20"/>
              </w:rPr>
            </w:pPr>
            <w:r>
              <w:rPr>
                <w:rFonts w:cs="Times New Roman"/>
                <w:sz w:val="20"/>
                <w:szCs w:val="20"/>
              </w:rPr>
              <w:t>Further subsidence and river avulsion due to seismically active area (high magnitude earthquake probable)</w:t>
            </w:r>
          </w:p>
        </w:tc>
        <w:tc>
          <w:tcPr>
            <w:tcW w:w="2538" w:type="dxa"/>
          </w:tcPr>
          <w:p w:rsidR="00D25C12" w:rsidRPr="00A24C4A" w:rsidRDefault="00B34DBB" w:rsidP="00F85B66">
            <w:pPr>
              <w:pStyle w:val="BodyText"/>
              <w:spacing w:after="0" w:line="240" w:lineRule="auto"/>
              <w:rPr>
                <w:rFonts w:cs="Times New Roman"/>
                <w:sz w:val="20"/>
                <w:szCs w:val="20"/>
              </w:rPr>
            </w:pPr>
            <w:r>
              <w:rPr>
                <w:rFonts w:cs="Times New Roman"/>
                <w:sz w:val="20"/>
                <w:szCs w:val="20"/>
              </w:rPr>
              <w:t>Vital source for fisheries, irrigation water, ecosystem functioning and navigation may be disturbed affecting 1.9 million ha of the hotspot</w:t>
            </w:r>
          </w:p>
        </w:tc>
      </w:tr>
      <w:tr w:rsidR="00D25C12" w:rsidRPr="006F44F9" w:rsidTr="00966543">
        <w:trPr>
          <w:jc w:val="center"/>
        </w:trPr>
        <w:tc>
          <w:tcPr>
            <w:tcW w:w="1998" w:type="dxa"/>
          </w:tcPr>
          <w:p w:rsidR="00D25C12" w:rsidRDefault="00F85B66" w:rsidP="00F85B66">
            <w:pPr>
              <w:pStyle w:val="BodyText"/>
              <w:spacing w:after="0" w:line="240" w:lineRule="auto"/>
              <w:rPr>
                <w:rFonts w:cs="Times New Roman"/>
                <w:sz w:val="20"/>
                <w:szCs w:val="20"/>
              </w:rPr>
            </w:pPr>
            <w:r>
              <w:rPr>
                <w:rFonts w:cs="Times New Roman"/>
                <w:sz w:val="20"/>
                <w:szCs w:val="20"/>
              </w:rPr>
              <w:t>3</w:t>
            </w:r>
            <w:r w:rsidR="00D25C12">
              <w:rPr>
                <w:rFonts w:cs="Times New Roman"/>
                <w:sz w:val="20"/>
                <w:szCs w:val="20"/>
              </w:rPr>
              <w:t xml:space="preserve">. </w:t>
            </w:r>
            <w:r w:rsidR="00B34DBB">
              <w:rPr>
                <w:rFonts w:cs="Times New Roman"/>
                <w:sz w:val="20"/>
                <w:szCs w:val="20"/>
              </w:rPr>
              <w:t xml:space="preserve">Land filling, encroachment, </w:t>
            </w:r>
            <w:r w:rsidR="004E362F">
              <w:rPr>
                <w:rFonts w:cs="Times New Roman"/>
                <w:sz w:val="20"/>
                <w:szCs w:val="20"/>
              </w:rPr>
              <w:t>land use</w:t>
            </w:r>
            <w:r w:rsidR="00B34DBB">
              <w:rPr>
                <w:rFonts w:cs="Times New Roman"/>
                <w:sz w:val="20"/>
                <w:szCs w:val="20"/>
              </w:rPr>
              <w:t xml:space="preserve"> change</w:t>
            </w:r>
          </w:p>
        </w:tc>
        <w:tc>
          <w:tcPr>
            <w:tcW w:w="2160" w:type="dxa"/>
          </w:tcPr>
          <w:p w:rsidR="00D25C12" w:rsidRPr="00A24C4A" w:rsidRDefault="00B34DBB" w:rsidP="00B34DBB">
            <w:pPr>
              <w:pStyle w:val="BodyText"/>
              <w:spacing w:after="0" w:line="240" w:lineRule="auto"/>
              <w:rPr>
                <w:rFonts w:cs="Times New Roman"/>
                <w:sz w:val="20"/>
                <w:szCs w:val="20"/>
              </w:rPr>
            </w:pPr>
            <w:r>
              <w:rPr>
                <w:rFonts w:cs="Times New Roman"/>
                <w:sz w:val="20"/>
                <w:szCs w:val="20"/>
              </w:rPr>
              <w:t xml:space="preserve">Shrinkage in wetlands (are and volume); </w:t>
            </w:r>
            <w:r w:rsidR="00677CAD">
              <w:rPr>
                <w:rFonts w:cs="Times New Roman"/>
                <w:sz w:val="20"/>
                <w:szCs w:val="20"/>
              </w:rPr>
              <w:t xml:space="preserve"> 40% </w:t>
            </w:r>
            <w:r>
              <w:rPr>
                <w:rFonts w:cs="Times New Roman"/>
                <w:sz w:val="20"/>
                <w:szCs w:val="20"/>
              </w:rPr>
              <w:t xml:space="preserve">out of 260 species of freshwater fish </w:t>
            </w:r>
            <w:r w:rsidR="00677CAD">
              <w:rPr>
                <w:rFonts w:cs="Times New Roman"/>
                <w:sz w:val="20"/>
                <w:szCs w:val="20"/>
              </w:rPr>
              <w:t>threatened with extinction (IUCN)</w:t>
            </w:r>
          </w:p>
        </w:tc>
        <w:tc>
          <w:tcPr>
            <w:tcW w:w="2160" w:type="dxa"/>
          </w:tcPr>
          <w:p w:rsidR="00D25C12" w:rsidRPr="00A24C4A" w:rsidRDefault="00677CAD" w:rsidP="00F85B66">
            <w:pPr>
              <w:pStyle w:val="BodyText"/>
              <w:spacing w:after="0" w:line="240" w:lineRule="auto"/>
              <w:rPr>
                <w:rFonts w:cs="Times New Roman"/>
                <w:sz w:val="20"/>
                <w:szCs w:val="20"/>
              </w:rPr>
            </w:pPr>
            <w:r>
              <w:rPr>
                <w:rFonts w:cs="Times New Roman"/>
                <w:sz w:val="20"/>
                <w:szCs w:val="20"/>
              </w:rPr>
              <w:t>Continuing land filling, encroachment, land use change</w:t>
            </w:r>
          </w:p>
        </w:tc>
        <w:tc>
          <w:tcPr>
            <w:tcW w:w="2538" w:type="dxa"/>
          </w:tcPr>
          <w:p w:rsidR="00D25C12" w:rsidRPr="00A24C4A" w:rsidRDefault="00677CAD" w:rsidP="00677CAD">
            <w:pPr>
              <w:pStyle w:val="BodyText"/>
              <w:spacing w:after="0" w:line="240" w:lineRule="auto"/>
              <w:rPr>
                <w:rFonts w:cs="Times New Roman"/>
                <w:sz w:val="20"/>
                <w:szCs w:val="20"/>
              </w:rPr>
            </w:pPr>
            <w:r>
              <w:rPr>
                <w:rFonts w:cs="Times New Roman"/>
                <w:sz w:val="20"/>
                <w:szCs w:val="20"/>
              </w:rPr>
              <w:t>Reduced flood holding areas; reduced re-charging of groundwater; loss of crucial habitat and breeding grounds, and livelihoods of poor</w:t>
            </w:r>
          </w:p>
        </w:tc>
      </w:tr>
    </w:tbl>
    <w:p w:rsidR="00667776" w:rsidRDefault="00667776" w:rsidP="009B527A">
      <w:pPr>
        <w:pStyle w:val="BodyText"/>
        <w:spacing w:before="120" w:after="240" w:line="276" w:lineRule="auto"/>
        <w:ind w:firstLine="720"/>
        <w:jc w:val="both"/>
        <w:rPr>
          <w:b/>
          <w:i/>
          <w:sz w:val="20"/>
        </w:rPr>
      </w:pPr>
      <w:r w:rsidRPr="005C1C84">
        <w:rPr>
          <w:rFonts w:cs="Times New Roman"/>
          <w:b/>
          <w:i/>
          <w:sz w:val="18"/>
          <w:szCs w:val="18"/>
        </w:rPr>
        <w:t>Source:</w:t>
      </w:r>
      <w:r>
        <w:rPr>
          <w:rFonts w:cs="Times New Roman"/>
          <w:sz w:val="18"/>
          <w:szCs w:val="18"/>
        </w:rPr>
        <w:t xml:space="preserve"> </w:t>
      </w:r>
      <w:r>
        <w:rPr>
          <w:b/>
          <w:i/>
          <w:sz w:val="20"/>
        </w:rPr>
        <w:t>GED Research</w:t>
      </w:r>
    </w:p>
    <w:p w:rsidR="00F64A6A" w:rsidRDefault="00C473C3" w:rsidP="00F64A6A">
      <w:pPr>
        <w:pStyle w:val="Heading2"/>
        <w:numPr>
          <w:ilvl w:val="0"/>
          <w:numId w:val="0"/>
        </w:numPr>
        <w:ind w:left="720"/>
      </w:pPr>
      <w:bookmarkStart w:id="66" w:name="_Toc474638842"/>
      <w:r w:rsidRPr="00D87CF3">
        <w:t xml:space="preserve">Rivers and </w:t>
      </w:r>
      <w:r w:rsidR="003A29B3" w:rsidRPr="00D87CF3">
        <w:t>Estuar</w:t>
      </w:r>
      <w:r w:rsidR="003A29B3">
        <w:t>ies</w:t>
      </w:r>
      <w:r w:rsidR="003A29B3" w:rsidRPr="00D87CF3">
        <w:t xml:space="preserve"> </w:t>
      </w:r>
      <w:r w:rsidRPr="00D87CF3">
        <w:t>Hotspot</w:t>
      </w:r>
      <w:bookmarkEnd w:id="66"/>
    </w:p>
    <w:p w:rsidR="00C97154" w:rsidRPr="0094379A" w:rsidRDefault="00C97154" w:rsidP="005F6684">
      <w:pPr>
        <w:pStyle w:val="BodyText"/>
        <w:spacing w:after="240" w:line="269" w:lineRule="auto"/>
        <w:jc w:val="both"/>
        <w:rPr>
          <w:rFonts w:cs="Times New Roman"/>
          <w:szCs w:val="24"/>
        </w:rPr>
      </w:pPr>
      <w:r w:rsidRPr="0094379A">
        <w:rPr>
          <w:rFonts w:cs="Times New Roman"/>
          <w:szCs w:val="24"/>
        </w:rPr>
        <w:t>Major rivers, including the Ganges, the Brahmaputra-Jamuna, the Padma and the Meghna and their numerous tributaries and distri</w:t>
      </w:r>
      <w:r w:rsidR="00E37647">
        <w:rPr>
          <w:rFonts w:cs="Times New Roman"/>
          <w:szCs w:val="24"/>
        </w:rPr>
        <w:t>butaries mak</w:t>
      </w:r>
      <w:r w:rsidRPr="0094379A">
        <w:rPr>
          <w:rFonts w:cs="Times New Roman"/>
          <w:szCs w:val="24"/>
        </w:rPr>
        <w:t xml:space="preserve">e Bangladesh a land of rivers, building the Bengal Delta, one of the largest of its kind. </w:t>
      </w:r>
      <w:r w:rsidRPr="004B0A08">
        <w:rPr>
          <w:rFonts w:cs="Times New Roman"/>
          <w:i/>
          <w:szCs w:val="24"/>
        </w:rPr>
        <w:t>The catchment area of these rivers is about 1.</w:t>
      </w:r>
      <w:r w:rsidR="003A29B3">
        <w:rPr>
          <w:rFonts w:cs="Times New Roman"/>
          <w:i/>
          <w:szCs w:val="24"/>
        </w:rPr>
        <w:t>72</w:t>
      </w:r>
      <w:r w:rsidR="003A29B3" w:rsidRPr="004B0A08">
        <w:rPr>
          <w:rFonts w:cs="Times New Roman"/>
          <w:i/>
          <w:szCs w:val="24"/>
        </w:rPr>
        <w:t xml:space="preserve"> </w:t>
      </w:r>
      <w:r w:rsidRPr="004B0A08">
        <w:rPr>
          <w:rFonts w:cs="Times New Roman"/>
          <w:i/>
          <w:szCs w:val="24"/>
        </w:rPr>
        <w:t>million km</w:t>
      </w:r>
      <w:r w:rsidRPr="004B0A08">
        <w:rPr>
          <w:rFonts w:cs="Times New Roman"/>
          <w:i/>
          <w:szCs w:val="24"/>
          <w:vertAlign w:val="superscript"/>
        </w:rPr>
        <w:t>2</w:t>
      </w:r>
      <w:r w:rsidRPr="004B0A08">
        <w:rPr>
          <w:rFonts w:cs="Times New Roman"/>
          <w:i/>
          <w:szCs w:val="24"/>
        </w:rPr>
        <w:t xml:space="preserve"> of which only 7% lies w</w:t>
      </w:r>
      <w:r w:rsidR="00A61E5A" w:rsidRPr="004B0A08">
        <w:rPr>
          <w:rFonts w:cs="Times New Roman"/>
          <w:i/>
          <w:szCs w:val="24"/>
        </w:rPr>
        <w:t>ithin the borders of Bangladesh</w:t>
      </w:r>
      <w:r w:rsidRPr="004B0A08">
        <w:rPr>
          <w:rFonts w:cs="Times New Roman"/>
          <w:i/>
          <w:szCs w:val="24"/>
        </w:rPr>
        <w:t>. This catchment generates 120 million ha-m of runoff annually, of which only 10% is generated within Bangladesh. In addition to the vast quantities of water, these rivers carry about 1.1 bill</w:t>
      </w:r>
      <w:r w:rsidR="00A61E5A" w:rsidRPr="004B0A08">
        <w:rPr>
          <w:rFonts w:cs="Times New Roman"/>
          <w:i/>
          <w:szCs w:val="24"/>
        </w:rPr>
        <w:t xml:space="preserve">ion </w:t>
      </w:r>
      <w:r w:rsidR="00FE6385">
        <w:rPr>
          <w:rFonts w:cs="Times New Roman"/>
          <w:i/>
          <w:szCs w:val="24"/>
        </w:rPr>
        <w:t>tonne</w:t>
      </w:r>
      <w:r w:rsidR="00A61E5A" w:rsidRPr="004B0A08">
        <w:rPr>
          <w:rFonts w:cs="Times New Roman"/>
          <w:i/>
          <w:szCs w:val="24"/>
        </w:rPr>
        <w:t>s of sediment every year</w:t>
      </w:r>
      <w:r w:rsidRPr="004B0A08">
        <w:rPr>
          <w:rFonts w:cs="Times New Roman"/>
          <w:i/>
          <w:szCs w:val="24"/>
        </w:rPr>
        <w:t>.</w:t>
      </w:r>
      <w:r w:rsidRPr="0094379A">
        <w:rPr>
          <w:rFonts w:cs="Times New Roman"/>
          <w:szCs w:val="24"/>
        </w:rPr>
        <w:t xml:space="preserve"> These rivers are dynamic in nature, as the land mass is composed of recent deltaic deposits and the major rivers originate in young mountains across the country’s borders, such as the Himalayas, the Meghalaya and the Tripura Hills, in India, China, Nepal and Bhutan. These young mountains yield huge quantities of sediment due to their active tec</w:t>
      </w:r>
      <w:r w:rsidR="00FE6385">
        <w:rPr>
          <w:rFonts w:cs="Times New Roman"/>
          <w:szCs w:val="24"/>
        </w:rPr>
        <w:t>t</w:t>
      </w:r>
      <w:r w:rsidR="003446B1">
        <w:rPr>
          <w:rFonts w:cs="Times New Roman"/>
          <w:szCs w:val="24"/>
        </w:rPr>
        <w:t>on</w:t>
      </w:r>
      <w:r w:rsidRPr="0094379A">
        <w:rPr>
          <w:rFonts w:cs="Times New Roman"/>
          <w:szCs w:val="24"/>
        </w:rPr>
        <w:t xml:space="preserve">ic movements, wind and rain activities in the regions, and snow melting. </w:t>
      </w:r>
    </w:p>
    <w:p w:rsidR="00C97154" w:rsidRDefault="00C97154" w:rsidP="005F6684">
      <w:pPr>
        <w:pStyle w:val="BodyText"/>
        <w:spacing w:after="240" w:line="269" w:lineRule="auto"/>
        <w:jc w:val="both"/>
        <w:rPr>
          <w:rFonts w:cs="Times New Roman"/>
          <w:szCs w:val="24"/>
        </w:rPr>
      </w:pPr>
      <w:r>
        <w:rPr>
          <w:rFonts w:cs="Times New Roman"/>
          <w:szCs w:val="24"/>
        </w:rPr>
        <w:t>T</w:t>
      </w:r>
      <w:r w:rsidRPr="00AB4A84">
        <w:rPr>
          <w:rFonts w:cs="Times New Roman"/>
          <w:szCs w:val="24"/>
        </w:rPr>
        <w:t xml:space="preserve">he Bengal Basin has been filled by sediments derived from erosion of the highland boundaries on all three landward sides. </w:t>
      </w:r>
      <w:r w:rsidRPr="004B0A08">
        <w:rPr>
          <w:rFonts w:cs="Times New Roman"/>
          <w:i/>
          <w:szCs w:val="24"/>
        </w:rPr>
        <w:t>However, the main source of the sediment has been the Himalayas due to their alpine nature.</w:t>
      </w:r>
      <w:r w:rsidRPr="00AB4A84">
        <w:rPr>
          <w:rFonts w:cs="Times New Roman"/>
          <w:szCs w:val="24"/>
        </w:rPr>
        <w:t xml:space="preserve"> </w:t>
      </w:r>
      <w:r>
        <w:rPr>
          <w:rFonts w:cs="Times New Roman"/>
          <w:szCs w:val="24"/>
        </w:rPr>
        <w:t>R</w:t>
      </w:r>
      <w:r w:rsidRPr="00AB4A84">
        <w:rPr>
          <w:rFonts w:cs="Times New Roman"/>
          <w:szCs w:val="24"/>
        </w:rPr>
        <w:t xml:space="preserve">ecently deposited, alluvial and deltaic sediments form </w:t>
      </w:r>
      <w:r>
        <w:rPr>
          <w:rFonts w:cs="Times New Roman"/>
          <w:szCs w:val="24"/>
        </w:rPr>
        <w:t>a</w:t>
      </w:r>
      <w:r w:rsidRPr="00AB4A84">
        <w:rPr>
          <w:rFonts w:cs="Times New Roman"/>
          <w:szCs w:val="24"/>
        </w:rPr>
        <w:t xml:space="preserve">bout 90% of the land area of Bangladesh. </w:t>
      </w:r>
      <w:r>
        <w:rPr>
          <w:rFonts w:cs="Times New Roman"/>
          <w:szCs w:val="24"/>
        </w:rPr>
        <w:t>T</w:t>
      </w:r>
      <w:r w:rsidRPr="00AB4A84">
        <w:rPr>
          <w:rFonts w:cs="Times New Roman"/>
          <w:szCs w:val="24"/>
        </w:rPr>
        <w:t xml:space="preserve">he Ganges has, together with the Brahmaputra, delivered enormous quantities of sediment to the Bengal Basin. These sediments have formed the world’s largest river delta with an area of about 100,000 </w:t>
      </w:r>
      <w:r w:rsidRPr="00AB4A84">
        <w:rPr>
          <w:rFonts w:cs="Times New Roman"/>
          <w:snapToGrid w:val="0"/>
          <w:szCs w:val="24"/>
        </w:rPr>
        <w:t>km</w:t>
      </w:r>
      <w:r w:rsidRPr="00AB4A84">
        <w:rPr>
          <w:rFonts w:cs="Times New Roman"/>
          <w:snapToGrid w:val="0"/>
          <w:szCs w:val="24"/>
          <w:vertAlign w:val="superscript"/>
        </w:rPr>
        <w:t>2</w:t>
      </w:r>
      <w:r w:rsidRPr="00AB4A84">
        <w:rPr>
          <w:rFonts w:cs="Times New Roman"/>
          <w:szCs w:val="24"/>
        </w:rPr>
        <w:t xml:space="preserve">. </w:t>
      </w:r>
    </w:p>
    <w:p w:rsidR="009B527A" w:rsidRDefault="009B527A">
      <w:pPr>
        <w:rPr>
          <w:rFonts w:cs="Times New Roman"/>
          <w:b/>
          <w:bCs/>
          <w:szCs w:val="24"/>
        </w:rPr>
      </w:pPr>
      <w:bookmarkStart w:id="67" w:name="_Ref410821880"/>
      <w:bookmarkStart w:id="68" w:name="_Toc439230635"/>
      <w:r>
        <w:br w:type="page"/>
      </w:r>
    </w:p>
    <w:p w:rsidR="00C97154" w:rsidRPr="00C473C3" w:rsidRDefault="00C97154" w:rsidP="004402F1">
      <w:pPr>
        <w:pStyle w:val="Heading4"/>
      </w:pPr>
      <w:bookmarkStart w:id="69" w:name="_Toc474638984"/>
      <w:r w:rsidRPr="00C473C3">
        <w:lastRenderedPageBreak/>
        <w:t xml:space="preserve">Table </w:t>
      </w:r>
      <w:r w:rsidR="00D9144F">
        <w:t>1.</w:t>
      </w:r>
      <w:r w:rsidR="00DA3A42" w:rsidRPr="00C473C3">
        <w:t>1</w:t>
      </w:r>
      <w:r w:rsidR="00CC05CF">
        <w:t>3</w:t>
      </w:r>
      <w:r w:rsidRPr="00C473C3">
        <w:t xml:space="preserve">: </w:t>
      </w:r>
      <w:bookmarkStart w:id="70" w:name="_Toc439230689"/>
      <w:r w:rsidR="000303CE">
        <w:t>Width, Length and Discharge of Major R</w:t>
      </w:r>
      <w:r w:rsidRPr="00C473C3">
        <w:t>ivers</w:t>
      </w:r>
      <w:bookmarkEnd w:id="69"/>
      <w:r w:rsidRPr="00C473C3">
        <w:t xml:space="preserve"> </w:t>
      </w:r>
      <w:bookmarkEnd w:id="70"/>
    </w:p>
    <w:p w:rsidR="00C97154" w:rsidRPr="00061492" w:rsidRDefault="00C97154" w:rsidP="003C7A83">
      <w:pPr>
        <w:spacing w:after="0"/>
        <w:rPr>
          <w:rFonts w:cs="Segoe UI"/>
        </w:rPr>
      </w:pPr>
      <w:r w:rsidRPr="00B22F44">
        <w:rPr>
          <w:noProof/>
          <w:sz w:val="20"/>
          <w:szCs w:val="20"/>
          <w:lang w:val="en-AU" w:eastAsia="en-AU" w:bidi="bn-BD"/>
        </w:rPr>
        <w:drawing>
          <wp:inline distT="0" distB="0" distL="0" distR="0">
            <wp:extent cx="5857875" cy="1295400"/>
            <wp:effectExtent l="0" t="0" r="9525" b="0"/>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srcRect/>
                    <a:stretch>
                      <a:fillRect/>
                    </a:stretch>
                  </pic:blipFill>
                  <pic:spPr bwMode="auto">
                    <a:xfrm>
                      <a:off x="0" y="0"/>
                      <a:ext cx="5857875" cy="1295400"/>
                    </a:xfrm>
                    <a:prstGeom prst="rect">
                      <a:avLst/>
                    </a:prstGeom>
                    <a:noFill/>
                    <a:ln w="9525">
                      <a:noFill/>
                      <a:miter lim="800000"/>
                      <a:headEnd/>
                      <a:tailEnd/>
                    </a:ln>
                  </pic:spPr>
                </pic:pic>
              </a:graphicData>
            </a:graphic>
          </wp:inline>
        </w:drawing>
      </w:r>
    </w:p>
    <w:p w:rsidR="00C97154" w:rsidRDefault="00C473C3" w:rsidP="00A61E5A">
      <w:pPr>
        <w:spacing w:before="120" w:line="276" w:lineRule="auto"/>
        <w:rPr>
          <w:rFonts w:cs="Times New Roman"/>
          <w:b/>
          <w:i/>
          <w:sz w:val="20"/>
          <w:szCs w:val="18"/>
        </w:rPr>
      </w:pPr>
      <w:r w:rsidRPr="00C473C3">
        <w:rPr>
          <w:rFonts w:cs="Times New Roman"/>
          <w:b/>
          <w:i/>
          <w:sz w:val="20"/>
          <w:szCs w:val="18"/>
        </w:rPr>
        <w:t xml:space="preserve">Source: </w:t>
      </w:r>
      <w:r w:rsidR="00C97154" w:rsidRPr="00C473C3">
        <w:rPr>
          <w:rFonts w:cs="Times New Roman"/>
          <w:b/>
          <w:i/>
          <w:sz w:val="20"/>
          <w:szCs w:val="18"/>
        </w:rPr>
        <w:t xml:space="preserve"> Rivers of Bangladesh, 2010</w:t>
      </w:r>
    </w:p>
    <w:p w:rsidR="00C47339" w:rsidRPr="00966543" w:rsidRDefault="00982BB0" w:rsidP="003C7A83">
      <w:pPr>
        <w:pStyle w:val="BodyText"/>
        <w:spacing w:after="240" w:line="276" w:lineRule="auto"/>
        <w:jc w:val="both"/>
        <w:rPr>
          <w:rFonts w:cs="Times New Roman"/>
          <w:szCs w:val="24"/>
        </w:rPr>
      </w:pPr>
      <w:r w:rsidRPr="00B22F44">
        <w:rPr>
          <w:rFonts w:cs="Times New Roman"/>
          <w:szCs w:val="24"/>
        </w:rPr>
        <w:t xml:space="preserve">In line with the evolution of the river system, the rivers during the last 250 years have changed their respective courses several times </w:t>
      </w:r>
      <w:r w:rsidR="00565A4C">
        <w:rPr>
          <w:rFonts w:cs="Times New Roman"/>
          <w:szCs w:val="24"/>
        </w:rPr>
        <w:t>(Map</w:t>
      </w:r>
      <w:r w:rsidRPr="00C935D6">
        <w:rPr>
          <w:rFonts w:cs="Times New Roman"/>
          <w:szCs w:val="24"/>
        </w:rPr>
        <w:t xml:space="preserve"> </w:t>
      </w:r>
      <w:r w:rsidR="00565A4C">
        <w:rPr>
          <w:rFonts w:cs="Times New Roman"/>
          <w:szCs w:val="24"/>
        </w:rPr>
        <w:t>1.</w:t>
      </w:r>
      <w:r w:rsidR="001D0B9A">
        <w:rPr>
          <w:rFonts w:cs="Times New Roman"/>
          <w:szCs w:val="24"/>
        </w:rPr>
        <w:t>17</w:t>
      </w:r>
      <w:r w:rsidRPr="00C935D6">
        <w:rPr>
          <w:rFonts w:cs="Times New Roman"/>
          <w:szCs w:val="24"/>
        </w:rPr>
        <w:t>).</w:t>
      </w:r>
      <w:r w:rsidRPr="00B22F44">
        <w:rPr>
          <w:rFonts w:cs="Times New Roman"/>
          <w:szCs w:val="24"/>
        </w:rPr>
        <w:t xml:space="preserve"> The rivers abandoned their courses and subsequently, occupied several other new courses. In most of the cases, delta-building processes, together with tec</w:t>
      </w:r>
      <w:r w:rsidR="00FE6385">
        <w:rPr>
          <w:rFonts w:cs="Times New Roman"/>
          <w:szCs w:val="24"/>
        </w:rPr>
        <w:t>to</w:t>
      </w:r>
      <w:r w:rsidR="003446B1">
        <w:rPr>
          <w:rFonts w:cs="Times New Roman"/>
          <w:szCs w:val="24"/>
        </w:rPr>
        <w:t>ni</w:t>
      </w:r>
      <w:r w:rsidRPr="00B22F44">
        <w:rPr>
          <w:rFonts w:cs="Times New Roman"/>
          <w:szCs w:val="24"/>
        </w:rPr>
        <w:t>cs and natural hazards, like earthquake played the main role for frequent avulsion and shifting processes of the rivers. Erosion and accretion dominate the morphologi</w:t>
      </w:r>
      <w:r w:rsidR="00A61E5A">
        <w:rPr>
          <w:rFonts w:cs="Times New Roman"/>
          <w:szCs w:val="24"/>
        </w:rPr>
        <w:t>cal process in the Bengal Delta.</w:t>
      </w:r>
    </w:p>
    <w:p w:rsidR="00C97154" w:rsidRPr="003C7A83" w:rsidRDefault="005444EB" w:rsidP="004402F1">
      <w:pPr>
        <w:pStyle w:val="Heading6"/>
      </w:pPr>
      <w:bookmarkStart w:id="71" w:name="_Toc474639297"/>
      <w:r w:rsidRPr="003C7A83">
        <w:t>Map</w:t>
      </w:r>
      <w:r w:rsidR="00C97154" w:rsidRPr="003C7A83">
        <w:t xml:space="preserve"> </w:t>
      </w:r>
      <w:r w:rsidR="00565A4C">
        <w:t>1.</w:t>
      </w:r>
      <w:r w:rsidR="001D0B9A">
        <w:t>17</w:t>
      </w:r>
      <w:r w:rsidR="00C97154" w:rsidRPr="003C7A83">
        <w:t xml:space="preserve">: </w:t>
      </w:r>
      <w:bookmarkEnd w:id="67"/>
      <w:r w:rsidRPr="003C7A83">
        <w:t>River S</w:t>
      </w:r>
      <w:r w:rsidR="00C97154" w:rsidRPr="003C7A83">
        <w:t>ystem of Bangladesh in 1776 and 2010</w:t>
      </w:r>
      <w:bookmarkEnd w:id="68"/>
      <w:bookmarkEnd w:id="71"/>
    </w:p>
    <w:p w:rsidR="00C97154" w:rsidRPr="00061492" w:rsidRDefault="00C97154" w:rsidP="003C7A83">
      <w:pPr>
        <w:spacing w:after="0"/>
        <w:jc w:val="center"/>
        <w:rPr>
          <w:rFonts w:cs="Segoe UI"/>
        </w:rPr>
      </w:pPr>
      <w:r>
        <w:rPr>
          <w:rFonts w:cs="Segoe UI"/>
          <w:noProof/>
          <w:lang w:val="en-AU" w:eastAsia="en-AU" w:bidi="bn-BD"/>
        </w:rPr>
        <w:drawing>
          <wp:inline distT="0" distB="0" distL="0" distR="0">
            <wp:extent cx="5838825" cy="3524250"/>
            <wp:effectExtent l="19050" t="19050" r="28575" b="19050"/>
            <wp:docPr id="22" name="Picture 3" descr="D:\CEGIS Projects\Detta Plan\TAG001_maps\River system 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EGIS Projects\Detta Plan\TAG001_maps\River system history.jpg"/>
                    <pic:cNvPicPr>
                      <a:picLocks noChangeAspect="1" noChangeArrowheads="1"/>
                    </pic:cNvPicPr>
                  </pic:nvPicPr>
                  <pic:blipFill>
                    <a:blip r:embed="rId40"/>
                    <a:srcRect l="1157" t="1167" r="1456" b="21729"/>
                    <a:stretch>
                      <a:fillRect/>
                    </a:stretch>
                  </pic:blipFill>
                  <pic:spPr bwMode="auto">
                    <a:xfrm>
                      <a:off x="0" y="0"/>
                      <a:ext cx="5851274" cy="3531764"/>
                    </a:xfrm>
                    <a:prstGeom prst="rect">
                      <a:avLst/>
                    </a:prstGeom>
                    <a:noFill/>
                    <a:ln w="9525" cmpd="sng">
                      <a:solidFill>
                        <a:srgbClr val="000000"/>
                      </a:solidFill>
                      <a:miter lim="800000"/>
                      <a:headEnd/>
                      <a:tailEnd/>
                    </a:ln>
                    <a:effectLst/>
                  </pic:spPr>
                </pic:pic>
              </a:graphicData>
            </a:graphic>
          </wp:inline>
        </w:drawing>
      </w:r>
    </w:p>
    <w:p w:rsidR="003E4436" w:rsidRPr="00982BB0" w:rsidRDefault="00A61E5A" w:rsidP="00A61E5A">
      <w:pPr>
        <w:spacing w:before="120" w:line="276" w:lineRule="auto"/>
        <w:rPr>
          <w:rFonts w:cs="Times New Roman"/>
          <w:b/>
          <w:i/>
          <w:sz w:val="18"/>
          <w:szCs w:val="18"/>
        </w:rPr>
      </w:pPr>
      <w:r>
        <w:rPr>
          <w:rFonts w:cs="Times New Roman"/>
          <w:b/>
          <w:i/>
          <w:sz w:val="18"/>
          <w:szCs w:val="18"/>
        </w:rPr>
        <w:t xml:space="preserve">     </w:t>
      </w:r>
      <w:r w:rsidR="00982BB0" w:rsidRPr="00982BB0">
        <w:rPr>
          <w:rFonts w:cs="Times New Roman"/>
          <w:b/>
          <w:i/>
          <w:sz w:val="18"/>
          <w:szCs w:val="18"/>
        </w:rPr>
        <w:t>Source:</w:t>
      </w:r>
      <w:r w:rsidR="003E4436" w:rsidRPr="00982BB0">
        <w:rPr>
          <w:rFonts w:cs="Times New Roman"/>
          <w:b/>
          <w:i/>
          <w:sz w:val="18"/>
          <w:szCs w:val="18"/>
        </w:rPr>
        <w:t xml:space="preserve"> CEGIS, 2010</w:t>
      </w:r>
    </w:p>
    <w:p w:rsidR="00C97154" w:rsidRDefault="00C97154" w:rsidP="003C7A83">
      <w:pPr>
        <w:pStyle w:val="BodyText"/>
        <w:spacing w:after="240" w:line="276" w:lineRule="auto"/>
        <w:jc w:val="both"/>
        <w:rPr>
          <w:rFonts w:cs="Times New Roman"/>
          <w:szCs w:val="24"/>
        </w:rPr>
      </w:pPr>
      <w:r w:rsidRPr="004B0A08">
        <w:rPr>
          <w:rFonts w:cs="Times New Roman"/>
          <w:i/>
          <w:szCs w:val="24"/>
        </w:rPr>
        <w:t>River bank erosion is a serious hazard that directly or indirectly causes the suffering of about one milli</w:t>
      </w:r>
      <w:r w:rsidR="00E37647" w:rsidRPr="004B0A08">
        <w:rPr>
          <w:rFonts w:cs="Times New Roman"/>
          <w:i/>
          <w:szCs w:val="24"/>
        </w:rPr>
        <w:t>on people annually</w:t>
      </w:r>
      <w:r w:rsidR="00CC05CF">
        <w:rPr>
          <w:rFonts w:cs="Times New Roman"/>
          <w:szCs w:val="24"/>
        </w:rPr>
        <w:t xml:space="preserve"> (Table 1.14</w:t>
      </w:r>
      <w:r w:rsidR="001D0B9A">
        <w:rPr>
          <w:rFonts w:cs="Times New Roman"/>
          <w:szCs w:val="24"/>
        </w:rPr>
        <w:t xml:space="preserve"> and Map 1.18</w:t>
      </w:r>
      <w:r w:rsidR="008E2314">
        <w:rPr>
          <w:rFonts w:cs="Times New Roman"/>
          <w:szCs w:val="24"/>
        </w:rPr>
        <w:t>)</w:t>
      </w:r>
      <w:r w:rsidRPr="00B41A39">
        <w:rPr>
          <w:rFonts w:cs="Times New Roman"/>
          <w:szCs w:val="24"/>
        </w:rPr>
        <w:t xml:space="preserve">. </w:t>
      </w:r>
      <w:r w:rsidR="008E2314">
        <w:rPr>
          <w:rFonts w:cs="Times New Roman"/>
          <w:szCs w:val="24"/>
        </w:rPr>
        <w:t xml:space="preserve">While there is some accretion, on net river bank erosion dominates. </w:t>
      </w:r>
      <w:r w:rsidRPr="00B41A39">
        <w:rPr>
          <w:rFonts w:cs="Times New Roman"/>
          <w:szCs w:val="24"/>
        </w:rPr>
        <w:t xml:space="preserve">A large number of people living in both rural and urban areas </w:t>
      </w:r>
      <w:r w:rsidRPr="00B41A39">
        <w:rPr>
          <w:rFonts w:cs="Times New Roman"/>
          <w:szCs w:val="24"/>
        </w:rPr>
        <w:lastRenderedPageBreak/>
        <w:t xml:space="preserve">become the victims of flooding annually. These two hazards – flooding and river erosion – are major contributors to loss of life and property and damage to </w:t>
      </w:r>
      <w:r w:rsidR="003446B1">
        <w:rPr>
          <w:rFonts w:cs="Times New Roman"/>
          <w:szCs w:val="24"/>
        </w:rPr>
        <w:t>public</w:t>
      </w:r>
      <w:r w:rsidRPr="00B41A39">
        <w:rPr>
          <w:rFonts w:cs="Times New Roman"/>
          <w:szCs w:val="24"/>
        </w:rPr>
        <w:t xml:space="preserve"> goods and infrastructure. </w:t>
      </w:r>
      <w:r w:rsidR="00EB7789">
        <w:rPr>
          <w:rFonts w:cs="Times New Roman"/>
          <w:szCs w:val="24"/>
        </w:rPr>
        <w:t>Sediments from r</w:t>
      </w:r>
      <w:r w:rsidR="008E2314">
        <w:rPr>
          <w:rFonts w:cs="Times New Roman"/>
          <w:szCs w:val="24"/>
        </w:rPr>
        <w:t>iver bank erosion combined with sediment deposits from the mountains create major difficulties for the navigability of the rivers.</w:t>
      </w:r>
    </w:p>
    <w:p w:rsidR="00C97154" w:rsidRPr="00982BB0" w:rsidRDefault="00C97154" w:rsidP="004402F1">
      <w:pPr>
        <w:pStyle w:val="Heading4"/>
      </w:pPr>
      <w:bookmarkStart w:id="72" w:name="_Toc474638985"/>
      <w:r w:rsidRPr="00982BB0">
        <w:t xml:space="preserve">Table </w:t>
      </w:r>
      <w:r w:rsidR="00D9144F">
        <w:t>1.</w:t>
      </w:r>
      <w:r w:rsidR="00DA3A42" w:rsidRPr="00982BB0">
        <w:t>1</w:t>
      </w:r>
      <w:r w:rsidR="00CC05CF">
        <w:t>4</w:t>
      </w:r>
      <w:r w:rsidRPr="00982BB0">
        <w:t xml:space="preserve">: </w:t>
      </w:r>
      <w:bookmarkStart w:id="73" w:name="_Toc411251991"/>
      <w:bookmarkStart w:id="74" w:name="_Toc420998585"/>
      <w:bookmarkStart w:id="75" w:name="_Toc431291403"/>
      <w:r w:rsidR="00EB7789">
        <w:t>Erosion &amp; Accretion in Three Major R</w:t>
      </w:r>
      <w:r w:rsidRPr="00982BB0">
        <w:t>ivers of Bangladesh (1973-2013)</w:t>
      </w:r>
      <w:bookmarkEnd w:id="72"/>
      <w:bookmarkEnd w:id="73"/>
      <w:bookmarkEnd w:id="74"/>
      <w:bookmarkEnd w:id="75"/>
    </w:p>
    <w:tbl>
      <w:tblPr>
        <w:tblStyle w:val="TableGrid"/>
        <w:tblW w:w="5000" w:type="pct"/>
        <w:jc w:val="center"/>
        <w:tblLook w:val="04A0"/>
      </w:tblPr>
      <w:tblGrid>
        <w:gridCol w:w="4386"/>
        <w:gridCol w:w="2469"/>
        <w:gridCol w:w="2721"/>
      </w:tblGrid>
      <w:tr w:rsidR="00C97154" w:rsidRPr="00A913A6" w:rsidTr="003C7A83">
        <w:trPr>
          <w:trHeight w:hRule="exact" w:val="288"/>
          <w:jc w:val="center"/>
        </w:trPr>
        <w:tc>
          <w:tcPr>
            <w:tcW w:w="2290" w:type="pct"/>
          </w:tcPr>
          <w:p w:rsidR="00C97154" w:rsidRPr="00FC147E" w:rsidRDefault="00C97154" w:rsidP="003E4436">
            <w:pPr>
              <w:spacing w:after="0" w:line="240" w:lineRule="auto"/>
              <w:jc w:val="both"/>
              <w:rPr>
                <w:b/>
                <w:szCs w:val="24"/>
              </w:rPr>
            </w:pPr>
            <w:r w:rsidRPr="00FC147E">
              <w:rPr>
                <w:b/>
                <w:szCs w:val="24"/>
              </w:rPr>
              <w:t>Name of River</w:t>
            </w:r>
          </w:p>
        </w:tc>
        <w:tc>
          <w:tcPr>
            <w:tcW w:w="1289" w:type="pct"/>
          </w:tcPr>
          <w:p w:rsidR="00C97154" w:rsidRPr="00FC147E" w:rsidRDefault="00C97154" w:rsidP="003E4436">
            <w:pPr>
              <w:spacing w:after="0" w:line="240" w:lineRule="auto"/>
              <w:jc w:val="both"/>
              <w:rPr>
                <w:b/>
                <w:szCs w:val="24"/>
              </w:rPr>
            </w:pPr>
            <w:r w:rsidRPr="00FC147E">
              <w:rPr>
                <w:b/>
                <w:szCs w:val="24"/>
              </w:rPr>
              <w:t>Erosion (ha)</w:t>
            </w:r>
          </w:p>
        </w:tc>
        <w:tc>
          <w:tcPr>
            <w:tcW w:w="1421" w:type="pct"/>
          </w:tcPr>
          <w:p w:rsidR="00C97154" w:rsidRPr="00FC147E" w:rsidRDefault="00C97154" w:rsidP="003E4436">
            <w:pPr>
              <w:spacing w:after="0" w:line="240" w:lineRule="auto"/>
              <w:jc w:val="both"/>
              <w:rPr>
                <w:b/>
                <w:szCs w:val="24"/>
              </w:rPr>
            </w:pPr>
            <w:r w:rsidRPr="00FC147E">
              <w:rPr>
                <w:b/>
                <w:szCs w:val="24"/>
              </w:rPr>
              <w:t>Accretion (ha)</w:t>
            </w:r>
          </w:p>
        </w:tc>
      </w:tr>
      <w:tr w:rsidR="00C97154" w:rsidRPr="00A913A6" w:rsidTr="003C7A83">
        <w:trPr>
          <w:trHeight w:hRule="exact" w:val="288"/>
          <w:jc w:val="center"/>
        </w:trPr>
        <w:tc>
          <w:tcPr>
            <w:tcW w:w="2290" w:type="pct"/>
          </w:tcPr>
          <w:p w:rsidR="00C97154" w:rsidRPr="00FC147E" w:rsidRDefault="00C97154" w:rsidP="003E4436">
            <w:pPr>
              <w:spacing w:after="0" w:line="240" w:lineRule="auto"/>
              <w:jc w:val="both"/>
              <w:rPr>
                <w:szCs w:val="24"/>
              </w:rPr>
            </w:pPr>
            <w:r w:rsidRPr="00FC147E">
              <w:rPr>
                <w:szCs w:val="24"/>
              </w:rPr>
              <w:t>Ganges</w:t>
            </w:r>
          </w:p>
        </w:tc>
        <w:tc>
          <w:tcPr>
            <w:tcW w:w="1289" w:type="pct"/>
          </w:tcPr>
          <w:p w:rsidR="00C97154" w:rsidRPr="00FC147E" w:rsidRDefault="00C97154" w:rsidP="003E4436">
            <w:pPr>
              <w:spacing w:after="0" w:line="240" w:lineRule="auto"/>
              <w:jc w:val="right"/>
              <w:rPr>
                <w:szCs w:val="24"/>
              </w:rPr>
            </w:pPr>
            <w:r w:rsidRPr="00FC147E">
              <w:rPr>
                <w:szCs w:val="24"/>
              </w:rPr>
              <w:t>29,842</w:t>
            </w:r>
          </w:p>
        </w:tc>
        <w:tc>
          <w:tcPr>
            <w:tcW w:w="1421" w:type="pct"/>
          </w:tcPr>
          <w:p w:rsidR="00C97154" w:rsidRPr="00FC147E" w:rsidRDefault="00C97154" w:rsidP="003E4436">
            <w:pPr>
              <w:spacing w:after="0" w:line="240" w:lineRule="auto"/>
              <w:jc w:val="right"/>
              <w:rPr>
                <w:szCs w:val="24"/>
              </w:rPr>
            </w:pPr>
            <w:r w:rsidRPr="00FC147E">
              <w:rPr>
                <w:szCs w:val="24"/>
              </w:rPr>
              <w:t>25,009</w:t>
            </w:r>
          </w:p>
        </w:tc>
      </w:tr>
      <w:tr w:rsidR="00C97154" w:rsidRPr="00A913A6" w:rsidTr="003C7A83">
        <w:trPr>
          <w:trHeight w:hRule="exact" w:val="288"/>
          <w:jc w:val="center"/>
        </w:trPr>
        <w:tc>
          <w:tcPr>
            <w:tcW w:w="2290" w:type="pct"/>
          </w:tcPr>
          <w:p w:rsidR="00C97154" w:rsidRPr="00FC147E" w:rsidRDefault="00C97154" w:rsidP="003E4436">
            <w:pPr>
              <w:spacing w:after="0" w:line="240" w:lineRule="auto"/>
              <w:jc w:val="both"/>
              <w:rPr>
                <w:szCs w:val="24"/>
              </w:rPr>
            </w:pPr>
            <w:r w:rsidRPr="00FC147E">
              <w:rPr>
                <w:szCs w:val="24"/>
              </w:rPr>
              <w:t>Jamuna</w:t>
            </w:r>
          </w:p>
        </w:tc>
        <w:tc>
          <w:tcPr>
            <w:tcW w:w="1289" w:type="pct"/>
          </w:tcPr>
          <w:p w:rsidR="00C97154" w:rsidRPr="00FC147E" w:rsidRDefault="00C97154" w:rsidP="003E4436">
            <w:pPr>
              <w:spacing w:after="0" w:line="240" w:lineRule="auto"/>
              <w:jc w:val="right"/>
              <w:rPr>
                <w:szCs w:val="24"/>
              </w:rPr>
            </w:pPr>
            <w:r w:rsidRPr="00FC147E">
              <w:rPr>
                <w:szCs w:val="24"/>
              </w:rPr>
              <w:t>90,367</w:t>
            </w:r>
          </w:p>
        </w:tc>
        <w:tc>
          <w:tcPr>
            <w:tcW w:w="1421" w:type="pct"/>
          </w:tcPr>
          <w:p w:rsidR="00C97154" w:rsidRPr="00FC147E" w:rsidRDefault="00C97154" w:rsidP="003E4436">
            <w:pPr>
              <w:spacing w:after="0" w:line="240" w:lineRule="auto"/>
              <w:jc w:val="right"/>
              <w:rPr>
                <w:szCs w:val="24"/>
              </w:rPr>
            </w:pPr>
            <w:r w:rsidRPr="00FC147E">
              <w:rPr>
                <w:szCs w:val="24"/>
              </w:rPr>
              <w:t>16,444</w:t>
            </w:r>
          </w:p>
        </w:tc>
      </w:tr>
      <w:tr w:rsidR="00C97154" w:rsidRPr="00A913A6" w:rsidTr="003C7A83">
        <w:trPr>
          <w:trHeight w:hRule="exact" w:val="288"/>
          <w:jc w:val="center"/>
        </w:trPr>
        <w:tc>
          <w:tcPr>
            <w:tcW w:w="2290" w:type="pct"/>
          </w:tcPr>
          <w:p w:rsidR="00C97154" w:rsidRPr="00FC147E" w:rsidRDefault="00C97154" w:rsidP="003E4436">
            <w:pPr>
              <w:spacing w:after="0" w:line="240" w:lineRule="auto"/>
              <w:jc w:val="both"/>
              <w:rPr>
                <w:szCs w:val="24"/>
              </w:rPr>
            </w:pPr>
            <w:r w:rsidRPr="00FC147E">
              <w:rPr>
                <w:szCs w:val="24"/>
              </w:rPr>
              <w:t>Padma</w:t>
            </w:r>
          </w:p>
        </w:tc>
        <w:tc>
          <w:tcPr>
            <w:tcW w:w="1289" w:type="pct"/>
          </w:tcPr>
          <w:p w:rsidR="00C97154" w:rsidRPr="00FC147E" w:rsidRDefault="00C97154" w:rsidP="003E4436">
            <w:pPr>
              <w:spacing w:after="0" w:line="240" w:lineRule="auto"/>
              <w:jc w:val="right"/>
              <w:rPr>
                <w:szCs w:val="24"/>
              </w:rPr>
            </w:pPr>
            <w:r w:rsidRPr="00FC147E">
              <w:rPr>
                <w:szCs w:val="24"/>
              </w:rPr>
              <w:t>33,229</w:t>
            </w:r>
          </w:p>
        </w:tc>
        <w:tc>
          <w:tcPr>
            <w:tcW w:w="1421" w:type="pct"/>
          </w:tcPr>
          <w:p w:rsidR="00C97154" w:rsidRPr="00FC147E" w:rsidRDefault="00C97154" w:rsidP="003E4436">
            <w:pPr>
              <w:spacing w:after="0" w:line="240" w:lineRule="auto"/>
              <w:jc w:val="right"/>
              <w:rPr>
                <w:szCs w:val="24"/>
              </w:rPr>
            </w:pPr>
            <w:r w:rsidRPr="00FC147E">
              <w:rPr>
                <w:szCs w:val="24"/>
              </w:rPr>
              <w:t>11,545</w:t>
            </w:r>
          </w:p>
        </w:tc>
      </w:tr>
      <w:tr w:rsidR="00C97154" w:rsidRPr="00A913A6" w:rsidTr="003C7A83">
        <w:trPr>
          <w:trHeight w:hRule="exact" w:val="288"/>
          <w:jc w:val="center"/>
        </w:trPr>
        <w:tc>
          <w:tcPr>
            <w:tcW w:w="2290" w:type="pct"/>
          </w:tcPr>
          <w:p w:rsidR="00C97154" w:rsidRPr="00FC147E" w:rsidRDefault="00C97154" w:rsidP="003E4436">
            <w:pPr>
              <w:spacing w:after="0" w:line="240" w:lineRule="auto"/>
              <w:jc w:val="both"/>
              <w:rPr>
                <w:szCs w:val="24"/>
              </w:rPr>
            </w:pPr>
            <w:r w:rsidRPr="00FC147E">
              <w:rPr>
                <w:szCs w:val="24"/>
              </w:rPr>
              <w:t>Total</w:t>
            </w:r>
          </w:p>
        </w:tc>
        <w:tc>
          <w:tcPr>
            <w:tcW w:w="1289" w:type="pct"/>
          </w:tcPr>
          <w:p w:rsidR="00C97154" w:rsidRPr="00FC147E" w:rsidRDefault="00C97154" w:rsidP="003E4436">
            <w:pPr>
              <w:spacing w:after="0" w:line="240" w:lineRule="auto"/>
              <w:jc w:val="right"/>
              <w:rPr>
                <w:szCs w:val="24"/>
              </w:rPr>
            </w:pPr>
            <w:r w:rsidRPr="00FC147E">
              <w:rPr>
                <w:szCs w:val="24"/>
              </w:rPr>
              <w:t>153,438</w:t>
            </w:r>
          </w:p>
        </w:tc>
        <w:tc>
          <w:tcPr>
            <w:tcW w:w="1421" w:type="pct"/>
          </w:tcPr>
          <w:p w:rsidR="00C97154" w:rsidRPr="00FC147E" w:rsidRDefault="00C97154" w:rsidP="003E4436">
            <w:pPr>
              <w:spacing w:after="0" w:line="240" w:lineRule="auto"/>
              <w:jc w:val="right"/>
              <w:rPr>
                <w:szCs w:val="24"/>
              </w:rPr>
            </w:pPr>
            <w:r w:rsidRPr="00FC147E">
              <w:rPr>
                <w:szCs w:val="24"/>
              </w:rPr>
              <w:t>52,998</w:t>
            </w:r>
          </w:p>
        </w:tc>
      </w:tr>
    </w:tbl>
    <w:p w:rsidR="00C47339" w:rsidRPr="00576EE1" w:rsidRDefault="00C97154" w:rsidP="00576EE1">
      <w:pPr>
        <w:pStyle w:val="Source"/>
        <w:jc w:val="both"/>
        <w:rPr>
          <w:rFonts w:ascii="Times New Roman" w:hAnsi="Times New Roman"/>
          <w:b/>
          <w:sz w:val="18"/>
          <w:szCs w:val="18"/>
          <w:lang w:eastAsia="en-US"/>
        </w:rPr>
      </w:pPr>
      <w:r w:rsidRPr="00982BB0">
        <w:rPr>
          <w:rFonts w:ascii="Times New Roman" w:hAnsi="Times New Roman"/>
          <w:b/>
          <w:szCs w:val="18"/>
          <w:lang w:eastAsia="en-US"/>
        </w:rPr>
        <w:t>Source: CEGIS</w:t>
      </w:r>
    </w:p>
    <w:p w:rsidR="00C97154" w:rsidRPr="00B56385" w:rsidRDefault="005444EB" w:rsidP="004402F1">
      <w:pPr>
        <w:pStyle w:val="Heading6"/>
      </w:pPr>
      <w:bookmarkStart w:id="76" w:name="_Toc474639298"/>
      <w:r>
        <w:t>Map</w:t>
      </w:r>
      <w:r w:rsidR="00D35D56">
        <w:t xml:space="preserve"> </w:t>
      </w:r>
      <w:r w:rsidR="00565A4C">
        <w:t>1.</w:t>
      </w:r>
      <w:r w:rsidR="00EA56C3">
        <w:t>18</w:t>
      </w:r>
      <w:r w:rsidR="00C97154" w:rsidRPr="00B56385">
        <w:t xml:space="preserve">: </w:t>
      </w:r>
      <w:bookmarkStart w:id="77" w:name="_Toc439230637"/>
      <w:r>
        <w:t>Erosion and Navigation C</w:t>
      </w:r>
      <w:r w:rsidR="00C97154" w:rsidRPr="00B56385">
        <w:t xml:space="preserve">haracteristics </w:t>
      </w:r>
      <w:bookmarkEnd w:id="77"/>
      <w:r w:rsidR="00822E5F">
        <w:t>of Major Rivers</w:t>
      </w:r>
      <w:bookmarkEnd w:id="76"/>
    </w:p>
    <w:p w:rsidR="00C97154" w:rsidRDefault="00C97154" w:rsidP="003C7A83">
      <w:pPr>
        <w:spacing w:after="0"/>
        <w:jc w:val="center"/>
        <w:rPr>
          <w:rFonts w:cs="Times New Roman"/>
          <w:b/>
          <w:sz w:val="20"/>
          <w:szCs w:val="20"/>
        </w:rPr>
      </w:pPr>
      <w:r w:rsidRPr="003C7A83">
        <w:rPr>
          <w:noProof/>
          <w:lang w:val="en-AU" w:eastAsia="en-AU" w:bidi="bn-BD"/>
        </w:rPr>
        <w:drawing>
          <wp:inline distT="0" distB="0" distL="0" distR="0">
            <wp:extent cx="4429125" cy="5238750"/>
            <wp:effectExtent l="0" t="0" r="9525" b="0"/>
            <wp:docPr id="23" name="Picture 2" descr="X:\FAL\TAG001_maps\01 Major river_erosion map - BD - 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FAL\TAG001_maps\01 Major river_erosion map - BD - A3.png"/>
                    <pic:cNvPicPr>
                      <a:picLocks noChangeAspect="1" noChangeArrowheads="1"/>
                    </pic:cNvPicPr>
                  </pic:nvPicPr>
                  <pic:blipFill>
                    <a:blip r:embed="rId41"/>
                    <a:srcRect l="5669" t="3793" r="4691" b="2756"/>
                    <a:stretch>
                      <a:fillRect/>
                    </a:stretch>
                  </pic:blipFill>
                  <pic:spPr bwMode="auto">
                    <a:xfrm>
                      <a:off x="0" y="0"/>
                      <a:ext cx="4432304" cy="5242510"/>
                    </a:xfrm>
                    <a:prstGeom prst="rect">
                      <a:avLst/>
                    </a:prstGeom>
                    <a:noFill/>
                    <a:ln w="9525">
                      <a:noFill/>
                      <a:miter lim="800000"/>
                      <a:headEnd/>
                      <a:tailEnd/>
                    </a:ln>
                  </pic:spPr>
                </pic:pic>
              </a:graphicData>
            </a:graphic>
          </wp:inline>
        </w:drawing>
      </w:r>
    </w:p>
    <w:p w:rsidR="003C7A83" w:rsidRDefault="001D0B9A" w:rsidP="00A61E5A">
      <w:pPr>
        <w:spacing w:after="360"/>
        <w:ind w:firstLine="720"/>
        <w:rPr>
          <w:rFonts w:cs="Times New Roman"/>
          <w:b/>
          <w:i/>
          <w:sz w:val="20"/>
        </w:rPr>
      </w:pPr>
      <w:r>
        <w:rPr>
          <w:rFonts w:cs="Times New Roman"/>
          <w:b/>
          <w:i/>
          <w:sz w:val="20"/>
        </w:rPr>
        <w:t xml:space="preserve">           </w:t>
      </w:r>
      <w:r w:rsidR="00EB7789">
        <w:rPr>
          <w:rFonts w:cs="Times New Roman"/>
          <w:b/>
          <w:i/>
          <w:sz w:val="20"/>
        </w:rPr>
        <w:t xml:space="preserve">       </w:t>
      </w:r>
      <w:r w:rsidR="00982BB0" w:rsidRPr="003C7A83">
        <w:rPr>
          <w:rFonts w:cs="Times New Roman"/>
          <w:b/>
          <w:i/>
          <w:sz w:val="20"/>
        </w:rPr>
        <w:t>Source: CEGIS</w:t>
      </w:r>
      <w:bookmarkStart w:id="78" w:name="_Ref438567301"/>
      <w:bookmarkStart w:id="79" w:name="_Toc439230691"/>
    </w:p>
    <w:p w:rsidR="00C47339" w:rsidRPr="00793D24" w:rsidRDefault="00793D24" w:rsidP="00E86415">
      <w:pPr>
        <w:spacing w:line="276" w:lineRule="auto"/>
        <w:rPr>
          <w:rFonts w:cs="Times New Roman"/>
        </w:rPr>
      </w:pPr>
      <w:r w:rsidRPr="00793D24">
        <w:rPr>
          <w:rFonts w:cs="Times New Roman"/>
          <w:b/>
        </w:rPr>
        <w:lastRenderedPageBreak/>
        <w:t xml:space="preserve">Jamuna River Erosion and Accretion:  </w:t>
      </w:r>
      <w:r>
        <w:rPr>
          <w:rFonts w:cs="Times New Roman"/>
        </w:rPr>
        <w:t>The Jamuna river is particularly prone to river erosion with most land loses concentrated in Kurigram and S</w:t>
      </w:r>
      <w:r w:rsidR="00C21C07">
        <w:rPr>
          <w:rFonts w:cs="Times New Roman"/>
        </w:rPr>
        <w:t>irajganj (Table 1.15</w:t>
      </w:r>
      <w:r w:rsidR="00EA56C3">
        <w:rPr>
          <w:rFonts w:cs="Times New Roman"/>
        </w:rPr>
        <w:t xml:space="preserve"> and Map 1.19</w:t>
      </w:r>
      <w:r>
        <w:rPr>
          <w:rFonts w:cs="Times New Roman"/>
        </w:rPr>
        <w:t xml:space="preserve">).  Some limited land accretion happens in Jamalpur, Bogra and Sirajganj.  Yet, net losses are substantial. The </w:t>
      </w:r>
      <w:r w:rsidR="00376FBF">
        <w:rPr>
          <w:rFonts w:cs="Times New Roman"/>
        </w:rPr>
        <w:t>adverse</w:t>
      </w:r>
      <w:r>
        <w:rPr>
          <w:rFonts w:cs="Times New Roman"/>
        </w:rPr>
        <w:t xml:space="preserve"> impact on the rive</w:t>
      </w:r>
      <w:r w:rsidR="00F8056C">
        <w:rPr>
          <w:rFonts w:cs="Times New Roman"/>
        </w:rPr>
        <w:t>r-erosion affected districts is</w:t>
      </w:r>
      <w:r>
        <w:rPr>
          <w:rFonts w:cs="Times New Roman"/>
        </w:rPr>
        <w:t xml:space="preserve"> enormous. </w:t>
      </w:r>
    </w:p>
    <w:p w:rsidR="00C97154" w:rsidRPr="00982BB0" w:rsidRDefault="00C97154" w:rsidP="004402F1">
      <w:pPr>
        <w:pStyle w:val="Heading4"/>
      </w:pPr>
      <w:bookmarkStart w:id="80" w:name="_Toc474638986"/>
      <w:r w:rsidRPr="00982BB0">
        <w:t>Table</w:t>
      </w:r>
      <w:r w:rsidR="00DA3A42" w:rsidRPr="00982BB0">
        <w:t xml:space="preserve"> </w:t>
      </w:r>
      <w:r w:rsidR="00D9144F">
        <w:t>1.</w:t>
      </w:r>
      <w:r w:rsidR="00DA3A42" w:rsidRPr="00982BB0">
        <w:t>1</w:t>
      </w:r>
      <w:r w:rsidR="00C21C07">
        <w:t>5</w:t>
      </w:r>
      <w:r w:rsidRPr="00982BB0">
        <w:t xml:space="preserve">: </w:t>
      </w:r>
      <w:bookmarkEnd w:id="78"/>
      <w:r w:rsidR="00982BB0">
        <w:t>Bank Erosion and A</w:t>
      </w:r>
      <w:r w:rsidRPr="00982BB0">
        <w:t>ccretion along the</w:t>
      </w:r>
      <w:r w:rsidR="00982BB0">
        <w:t xml:space="preserve"> Jamuna River </w:t>
      </w:r>
      <w:r w:rsidRPr="00982BB0">
        <w:t>1973 – 2014</w:t>
      </w:r>
      <w:bookmarkEnd w:id="80"/>
      <w:r w:rsidRPr="00982BB0">
        <w:t xml:space="preserve"> </w:t>
      </w:r>
      <w:bookmarkEnd w:id="7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115" w:type="dxa"/>
          <w:bottom w:w="29" w:type="dxa"/>
          <w:right w:w="115" w:type="dxa"/>
        </w:tblCellMar>
        <w:tblLook w:val="0000"/>
      </w:tblPr>
      <w:tblGrid>
        <w:gridCol w:w="2108"/>
        <w:gridCol w:w="3491"/>
        <w:gridCol w:w="3991"/>
      </w:tblGrid>
      <w:tr w:rsidR="00C97154" w:rsidRPr="00AA6ED0" w:rsidTr="00A61E5A">
        <w:trPr>
          <w:trHeight w:val="20"/>
          <w:jc w:val="center"/>
        </w:trPr>
        <w:tc>
          <w:tcPr>
            <w:tcW w:w="1099" w:type="pct"/>
            <w:shd w:val="clear" w:color="auto" w:fill="C0C0C0"/>
          </w:tcPr>
          <w:p w:rsidR="00C97154" w:rsidRPr="00EB7789" w:rsidRDefault="00C97154" w:rsidP="003C7A83">
            <w:pPr>
              <w:spacing w:after="0" w:line="240" w:lineRule="auto"/>
              <w:ind w:left="-30"/>
              <w:jc w:val="center"/>
              <w:rPr>
                <w:rFonts w:eastAsia="Times New Roman"/>
                <w:sz w:val="22"/>
                <w:szCs w:val="20"/>
              </w:rPr>
            </w:pPr>
            <w:bookmarkStart w:id="81" w:name="OLE_LINK6"/>
            <w:r w:rsidRPr="00EB7789">
              <w:rPr>
                <w:rFonts w:eastAsia="Times New Roman"/>
                <w:b/>
                <w:sz w:val="22"/>
                <w:szCs w:val="20"/>
              </w:rPr>
              <w:t>District</w:t>
            </w:r>
          </w:p>
        </w:tc>
        <w:tc>
          <w:tcPr>
            <w:tcW w:w="1820" w:type="pct"/>
            <w:shd w:val="clear" w:color="auto" w:fill="C0C0C0"/>
          </w:tcPr>
          <w:p w:rsidR="00C97154" w:rsidRPr="00EB7789" w:rsidRDefault="00C97154" w:rsidP="003C7A83">
            <w:pPr>
              <w:spacing w:after="0" w:line="240" w:lineRule="auto"/>
              <w:ind w:left="-34" w:right="16"/>
              <w:jc w:val="center"/>
              <w:rPr>
                <w:rFonts w:eastAsia="Times New Roman"/>
                <w:b/>
                <w:sz w:val="22"/>
                <w:szCs w:val="20"/>
              </w:rPr>
            </w:pPr>
            <w:r w:rsidRPr="00EB7789">
              <w:rPr>
                <w:rFonts w:eastAsia="Times New Roman"/>
                <w:b/>
                <w:sz w:val="22"/>
                <w:szCs w:val="20"/>
              </w:rPr>
              <w:t>Eroded area (ha)</w:t>
            </w:r>
          </w:p>
        </w:tc>
        <w:tc>
          <w:tcPr>
            <w:tcW w:w="2081" w:type="pct"/>
            <w:shd w:val="clear" w:color="auto" w:fill="C0C0C0"/>
          </w:tcPr>
          <w:p w:rsidR="00C97154" w:rsidRPr="00EB7789" w:rsidRDefault="00C97154" w:rsidP="003C7A83">
            <w:pPr>
              <w:spacing w:after="0" w:line="240" w:lineRule="auto"/>
              <w:ind w:left="-23" w:right="66"/>
              <w:jc w:val="center"/>
              <w:rPr>
                <w:rFonts w:eastAsia="Times New Roman"/>
                <w:b/>
                <w:sz w:val="22"/>
                <w:szCs w:val="20"/>
              </w:rPr>
            </w:pPr>
            <w:r w:rsidRPr="00EB7789">
              <w:rPr>
                <w:rFonts w:eastAsia="Times New Roman"/>
                <w:b/>
                <w:sz w:val="22"/>
                <w:szCs w:val="20"/>
              </w:rPr>
              <w:t>Accreted area (ha)</w:t>
            </w:r>
          </w:p>
        </w:tc>
      </w:tr>
      <w:tr w:rsidR="00C97154" w:rsidRPr="00AA6ED0" w:rsidTr="00A61E5A">
        <w:trPr>
          <w:trHeight w:val="20"/>
          <w:jc w:val="center"/>
        </w:trPr>
        <w:tc>
          <w:tcPr>
            <w:tcW w:w="1099" w:type="pct"/>
          </w:tcPr>
          <w:p w:rsidR="00C97154" w:rsidRPr="00EB7789" w:rsidRDefault="00C97154" w:rsidP="003C7A83">
            <w:pPr>
              <w:spacing w:after="0" w:line="240" w:lineRule="auto"/>
              <w:ind w:left="-30"/>
              <w:rPr>
                <w:rFonts w:eastAsia="Times New Roman"/>
                <w:sz w:val="22"/>
                <w:szCs w:val="20"/>
              </w:rPr>
            </w:pPr>
            <w:r w:rsidRPr="00EB7789">
              <w:rPr>
                <w:rFonts w:eastAsia="Times New Roman"/>
                <w:sz w:val="22"/>
                <w:szCs w:val="20"/>
              </w:rPr>
              <w:t>Kurigram</w:t>
            </w:r>
          </w:p>
        </w:tc>
        <w:tc>
          <w:tcPr>
            <w:tcW w:w="1820" w:type="pct"/>
            <w:tcMar>
              <w:right w:w="1152" w:type="dxa"/>
            </w:tcMar>
            <w:vAlign w:val="bottom"/>
          </w:tcPr>
          <w:p w:rsidR="00C97154" w:rsidRPr="00EB7789" w:rsidRDefault="00C97154" w:rsidP="003C7A83">
            <w:pPr>
              <w:spacing w:after="0" w:line="240" w:lineRule="auto"/>
              <w:ind w:left="-34" w:right="16"/>
              <w:jc w:val="right"/>
              <w:rPr>
                <w:rFonts w:eastAsia="Times New Roman"/>
                <w:sz w:val="22"/>
                <w:szCs w:val="20"/>
              </w:rPr>
            </w:pPr>
            <w:r w:rsidRPr="00EB7789">
              <w:rPr>
                <w:rFonts w:eastAsia="Times New Roman"/>
                <w:sz w:val="22"/>
                <w:szCs w:val="20"/>
              </w:rPr>
              <w:t>18,479</w:t>
            </w:r>
          </w:p>
        </w:tc>
        <w:tc>
          <w:tcPr>
            <w:tcW w:w="2081" w:type="pct"/>
            <w:tcMar>
              <w:right w:w="1296" w:type="dxa"/>
            </w:tcMar>
            <w:vAlign w:val="bottom"/>
          </w:tcPr>
          <w:p w:rsidR="00C97154" w:rsidRPr="00EB7789" w:rsidRDefault="00C97154" w:rsidP="003C7A83">
            <w:pPr>
              <w:spacing w:after="0" w:line="240" w:lineRule="auto"/>
              <w:ind w:left="-23" w:right="66"/>
              <w:jc w:val="right"/>
              <w:rPr>
                <w:rFonts w:eastAsia="Times New Roman"/>
                <w:sz w:val="22"/>
                <w:szCs w:val="20"/>
              </w:rPr>
            </w:pPr>
            <w:r w:rsidRPr="00EB7789">
              <w:rPr>
                <w:rFonts w:eastAsia="Times New Roman"/>
                <w:sz w:val="22"/>
                <w:szCs w:val="20"/>
              </w:rPr>
              <w:t>165</w:t>
            </w:r>
          </w:p>
        </w:tc>
      </w:tr>
      <w:tr w:rsidR="00C97154" w:rsidRPr="00AA6ED0" w:rsidTr="00A61E5A">
        <w:trPr>
          <w:trHeight w:val="20"/>
          <w:jc w:val="center"/>
        </w:trPr>
        <w:tc>
          <w:tcPr>
            <w:tcW w:w="1099" w:type="pct"/>
          </w:tcPr>
          <w:p w:rsidR="00C97154" w:rsidRPr="00EB7789" w:rsidRDefault="00C97154" w:rsidP="003C7A83">
            <w:pPr>
              <w:spacing w:after="0" w:line="240" w:lineRule="auto"/>
              <w:ind w:left="-30"/>
              <w:rPr>
                <w:rFonts w:eastAsia="Times New Roman"/>
                <w:sz w:val="22"/>
                <w:szCs w:val="20"/>
              </w:rPr>
            </w:pPr>
            <w:r w:rsidRPr="00EB7789">
              <w:rPr>
                <w:rFonts w:eastAsia="Times New Roman"/>
                <w:sz w:val="22"/>
                <w:szCs w:val="20"/>
              </w:rPr>
              <w:t>Gaibandha</w:t>
            </w:r>
          </w:p>
        </w:tc>
        <w:tc>
          <w:tcPr>
            <w:tcW w:w="1820" w:type="pct"/>
            <w:tcMar>
              <w:right w:w="1152" w:type="dxa"/>
            </w:tcMar>
            <w:vAlign w:val="bottom"/>
          </w:tcPr>
          <w:p w:rsidR="00C97154" w:rsidRPr="00EB7789" w:rsidRDefault="00C97154" w:rsidP="003C7A83">
            <w:pPr>
              <w:spacing w:after="0" w:line="240" w:lineRule="auto"/>
              <w:ind w:left="-34" w:right="16"/>
              <w:jc w:val="right"/>
              <w:rPr>
                <w:rFonts w:eastAsia="Times New Roman"/>
                <w:sz w:val="22"/>
                <w:szCs w:val="20"/>
              </w:rPr>
            </w:pPr>
            <w:r w:rsidRPr="00EB7789">
              <w:rPr>
                <w:rFonts w:eastAsia="Times New Roman"/>
                <w:sz w:val="22"/>
                <w:szCs w:val="20"/>
              </w:rPr>
              <w:t>9,348</w:t>
            </w:r>
          </w:p>
        </w:tc>
        <w:tc>
          <w:tcPr>
            <w:tcW w:w="2081" w:type="pct"/>
            <w:tcMar>
              <w:right w:w="1296" w:type="dxa"/>
            </w:tcMar>
            <w:vAlign w:val="bottom"/>
          </w:tcPr>
          <w:p w:rsidR="00C97154" w:rsidRPr="00EB7789" w:rsidRDefault="00C97154" w:rsidP="003C7A83">
            <w:pPr>
              <w:spacing w:after="0" w:line="240" w:lineRule="auto"/>
              <w:ind w:left="-23" w:right="66"/>
              <w:jc w:val="right"/>
              <w:rPr>
                <w:rFonts w:eastAsia="Times New Roman"/>
                <w:sz w:val="22"/>
                <w:szCs w:val="20"/>
              </w:rPr>
            </w:pPr>
            <w:r w:rsidRPr="00EB7789">
              <w:rPr>
                <w:rFonts w:eastAsia="Times New Roman"/>
                <w:sz w:val="22"/>
                <w:szCs w:val="20"/>
              </w:rPr>
              <w:t>983</w:t>
            </w:r>
          </w:p>
        </w:tc>
      </w:tr>
      <w:tr w:rsidR="00C97154" w:rsidRPr="00AA6ED0" w:rsidTr="00A61E5A">
        <w:trPr>
          <w:trHeight w:val="20"/>
          <w:jc w:val="center"/>
        </w:trPr>
        <w:tc>
          <w:tcPr>
            <w:tcW w:w="1099" w:type="pct"/>
          </w:tcPr>
          <w:p w:rsidR="00C97154" w:rsidRPr="00EB7789" w:rsidRDefault="00C97154" w:rsidP="003C7A83">
            <w:pPr>
              <w:spacing w:after="0" w:line="240" w:lineRule="auto"/>
              <w:ind w:left="-30"/>
              <w:rPr>
                <w:rFonts w:eastAsia="Times New Roman"/>
                <w:sz w:val="22"/>
                <w:szCs w:val="20"/>
              </w:rPr>
            </w:pPr>
            <w:r w:rsidRPr="00EB7789">
              <w:rPr>
                <w:rFonts w:eastAsia="Times New Roman"/>
                <w:sz w:val="22"/>
                <w:szCs w:val="20"/>
              </w:rPr>
              <w:t>Jamalpur</w:t>
            </w:r>
          </w:p>
        </w:tc>
        <w:tc>
          <w:tcPr>
            <w:tcW w:w="1820" w:type="pct"/>
            <w:tcMar>
              <w:right w:w="1152" w:type="dxa"/>
            </w:tcMar>
            <w:vAlign w:val="bottom"/>
          </w:tcPr>
          <w:p w:rsidR="00C97154" w:rsidRPr="00EB7789" w:rsidRDefault="00C97154" w:rsidP="003C7A83">
            <w:pPr>
              <w:spacing w:after="0" w:line="240" w:lineRule="auto"/>
              <w:ind w:left="-34" w:right="16"/>
              <w:jc w:val="right"/>
              <w:rPr>
                <w:rFonts w:eastAsia="Times New Roman"/>
                <w:sz w:val="22"/>
                <w:szCs w:val="20"/>
              </w:rPr>
            </w:pPr>
            <w:r w:rsidRPr="00EB7789">
              <w:rPr>
                <w:rFonts w:eastAsia="Times New Roman"/>
                <w:sz w:val="22"/>
                <w:szCs w:val="20"/>
              </w:rPr>
              <w:t>10,608</w:t>
            </w:r>
          </w:p>
        </w:tc>
        <w:tc>
          <w:tcPr>
            <w:tcW w:w="2081" w:type="pct"/>
            <w:tcMar>
              <w:right w:w="1296" w:type="dxa"/>
            </w:tcMar>
            <w:vAlign w:val="bottom"/>
          </w:tcPr>
          <w:p w:rsidR="00C97154" w:rsidRPr="00EB7789" w:rsidRDefault="00C97154" w:rsidP="003C7A83">
            <w:pPr>
              <w:spacing w:after="0" w:line="240" w:lineRule="auto"/>
              <w:ind w:left="-23" w:right="66"/>
              <w:jc w:val="right"/>
              <w:rPr>
                <w:rFonts w:eastAsia="Times New Roman"/>
                <w:sz w:val="22"/>
                <w:szCs w:val="20"/>
              </w:rPr>
            </w:pPr>
            <w:r w:rsidRPr="00EB7789">
              <w:rPr>
                <w:rFonts w:eastAsia="Times New Roman"/>
                <w:sz w:val="22"/>
                <w:szCs w:val="20"/>
              </w:rPr>
              <w:t>5,617</w:t>
            </w:r>
          </w:p>
        </w:tc>
      </w:tr>
      <w:tr w:rsidR="00C97154" w:rsidRPr="00AA6ED0" w:rsidTr="00A61E5A">
        <w:trPr>
          <w:trHeight w:val="20"/>
          <w:jc w:val="center"/>
        </w:trPr>
        <w:tc>
          <w:tcPr>
            <w:tcW w:w="1099" w:type="pct"/>
          </w:tcPr>
          <w:p w:rsidR="00C97154" w:rsidRPr="00EB7789" w:rsidRDefault="00C97154" w:rsidP="003C7A83">
            <w:pPr>
              <w:spacing w:after="0" w:line="240" w:lineRule="auto"/>
              <w:ind w:left="-30"/>
              <w:rPr>
                <w:rFonts w:eastAsia="Times New Roman"/>
                <w:sz w:val="22"/>
                <w:szCs w:val="20"/>
              </w:rPr>
            </w:pPr>
            <w:r w:rsidRPr="00EB7789">
              <w:rPr>
                <w:rFonts w:eastAsia="Times New Roman"/>
                <w:sz w:val="22"/>
                <w:szCs w:val="20"/>
              </w:rPr>
              <w:t>Bogra</w:t>
            </w:r>
          </w:p>
        </w:tc>
        <w:tc>
          <w:tcPr>
            <w:tcW w:w="1820" w:type="pct"/>
            <w:tcMar>
              <w:right w:w="1152" w:type="dxa"/>
            </w:tcMar>
            <w:vAlign w:val="bottom"/>
          </w:tcPr>
          <w:p w:rsidR="00C97154" w:rsidRPr="00EB7789" w:rsidRDefault="00C97154" w:rsidP="003C7A83">
            <w:pPr>
              <w:spacing w:after="0" w:line="240" w:lineRule="auto"/>
              <w:ind w:left="-34" w:right="16"/>
              <w:jc w:val="right"/>
              <w:rPr>
                <w:rFonts w:eastAsia="Times New Roman"/>
                <w:sz w:val="22"/>
                <w:szCs w:val="20"/>
              </w:rPr>
            </w:pPr>
            <w:r w:rsidRPr="00EB7789">
              <w:rPr>
                <w:rFonts w:eastAsia="Times New Roman"/>
                <w:sz w:val="22"/>
                <w:szCs w:val="20"/>
              </w:rPr>
              <w:t>10,938</w:t>
            </w:r>
          </w:p>
        </w:tc>
        <w:tc>
          <w:tcPr>
            <w:tcW w:w="2081" w:type="pct"/>
            <w:tcMar>
              <w:right w:w="1296" w:type="dxa"/>
            </w:tcMar>
            <w:vAlign w:val="bottom"/>
          </w:tcPr>
          <w:p w:rsidR="00C97154" w:rsidRPr="00EB7789" w:rsidRDefault="00C97154" w:rsidP="003C7A83">
            <w:pPr>
              <w:spacing w:after="0" w:line="240" w:lineRule="auto"/>
              <w:ind w:left="-23" w:right="66"/>
              <w:jc w:val="right"/>
              <w:rPr>
                <w:rFonts w:eastAsia="Times New Roman"/>
                <w:sz w:val="22"/>
                <w:szCs w:val="20"/>
              </w:rPr>
            </w:pPr>
            <w:r w:rsidRPr="00EB7789">
              <w:rPr>
                <w:rFonts w:eastAsia="Times New Roman"/>
                <w:sz w:val="22"/>
                <w:szCs w:val="20"/>
              </w:rPr>
              <w:t>5,010</w:t>
            </w:r>
          </w:p>
        </w:tc>
      </w:tr>
      <w:tr w:rsidR="00C97154" w:rsidRPr="00AA6ED0" w:rsidTr="00A61E5A">
        <w:trPr>
          <w:trHeight w:val="20"/>
          <w:jc w:val="center"/>
        </w:trPr>
        <w:tc>
          <w:tcPr>
            <w:tcW w:w="1099" w:type="pct"/>
          </w:tcPr>
          <w:p w:rsidR="00C97154" w:rsidRPr="00EB7789" w:rsidRDefault="00C97154" w:rsidP="003C7A83">
            <w:pPr>
              <w:spacing w:after="0" w:line="240" w:lineRule="auto"/>
              <w:ind w:left="-30"/>
              <w:rPr>
                <w:rFonts w:eastAsia="Times New Roman"/>
                <w:sz w:val="22"/>
                <w:szCs w:val="20"/>
              </w:rPr>
            </w:pPr>
            <w:r w:rsidRPr="00EB7789">
              <w:rPr>
                <w:rFonts w:eastAsia="Times New Roman"/>
                <w:sz w:val="22"/>
                <w:szCs w:val="20"/>
              </w:rPr>
              <w:t>Sirajganj</w:t>
            </w:r>
          </w:p>
        </w:tc>
        <w:tc>
          <w:tcPr>
            <w:tcW w:w="1820" w:type="pct"/>
            <w:tcMar>
              <w:right w:w="1152" w:type="dxa"/>
            </w:tcMar>
            <w:vAlign w:val="bottom"/>
          </w:tcPr>
          <w:p w:rsidR="00C97154" w:rsidRPr="00EB7789" w:rsidRDefault="00C97154" w:rsidP="003C7A83">
            <w:pPr>
              <w:spacing w:after="0" w:line="240" w:lineRule="auto"/>
              <w:ind w:left="-34" w:right="16"/>
              <w:jc w:val="right"/>
              <w:rPr>
                <w:rFonts w:eastAsia="Times New Roman"/>
                <w:sz w:val="22"/>
                <w:szCs w:val="20"/>
              </w:rPr>
            </w:pPr>
            <w:r w:rsidRPr="00EB7789">
              <w:rPr>
                <w:rFonts w:eastAsia="Times New Roman"/>
                <w:sz w:val="22"/>
                <w:szCs w:val="20"/>
              </w:rPr>
              <w:t>22,784</w:t>
            </w:r>
          </w:p>
        </w:tc>
        <w:tc>
          <w:tcPr>
            <w:tcW w:w="2081" w:type="pct"/>
            <w:tcMar>
              <w:right w:w="1296" w:type="dxa"/>
            </w:tcMar>
            <w:vAlign w:val="bottom"/>
          </w:tcPr>
          <w:p w:rsidR="00C97154" w:rsidRPr="00EB7789" w:rsidRDefault="00C97154" w:rsidP="003C7A83">
            <w:pPr>
              <w:spacing w:after="0" w:line="240" w:lineRule="auto"/>
              <w:ind w:left="-23" w:right="66"/>
              <w:jc w:val="right"/>
              <w:rPr>
                <w:rFonts w:eastAsia="Times New Roman"/>
                <w:sz w:val="22"/>
                <w:szCs w:val="20"/>
              </w:rPr>
            </w:pPr>
            <w:r w:rsidRPr="00EB7789">
              <w:rPr>
                <w:rFonts w:eastAsia="Times New Roman"/>
                <w:sz w:val="22"/>
                <w:szCs w:val="20"/>
              </w:rPr>
              <w:t>4,633</w:t>
            </w:r>
          </w:p>
        </w:tc>
      </w:tr>
      <w:tr w:rsidR="00C97154" w:rsidRPr="00AA6ED0" w:rsidTr="00A61E5A">
        <w:trPr>
          <w:trHeight w:val="20"/>
          <w:jc w:val="center"/>
        </w:trPr>
        <w:tc>
          <w:tcPr>
            <w:tcW w:w="1099" w:type="pct"/>
          </w:tcPr>
          <w:p w:rsidR="00C97154" w:rsidRPr="00EB7789" w:rsidRDefault="00C97154" w:rsidP="003C7A83">
            <w:pPr>
              <w:spacing w:after="0" w:line="240" w:lineRule="auto"/>
              <w:ind w:left="-30"/>
              <w:rPr>
                <w:rFonts w:eastAsia="Times New Roman"/>
                <w:sz w:val="22"/>
                <w:szCs w:val="20"/>
              </w:rPr>
            </w:pPr>
            <w:r w:rsidRPr="00EB7789">
              <w:rPr>
                <w:rFonts w:eastAsia="Times New Roman"/>
                <w:sz w:val="22"/>
                <w:szCs w:val="20"/>
              </w:rPr>
              <w:t>Tangail</w:t>
            </w:r>
          </w:p>
        </w:tc>
        <w:tc>
          <w:tcPr>
            <w:tcW w:w="1820" w:type="pct"/>
            <w:tcMar>
              <w:right w:w="1152" w:type="dxa"/>
            </w:tcMar>
            <w:vAlign w:val="bottom"/>
          </w:tcPr>
          <w:p w:rsidR="00C97154" w:rsidRPr="00EB7789" w:rsidRDefault="00C97154" w:rsidP="003C7A83">
            <w:pPr>
              <w:spacing w:after="0" w:line="240" w:lineRule="auto"/>
              <w:ind w:left="-34" w:right="16"/>
              <w:jc w:val="right"/>
              <w:rPr>
                <w:rFonts w:eastAsia="Times New Roman"/>
                <w:sz w:val="22"/>
                <w:szCs w:val="20"/>
              </w:rPr>
            </w:pPr>
            <w:r w:rsidRPr="00EB7789">
              <w:rPr>
                <w:rFonts w:eastAsia="Times New Roman"/>
                <w:sz w:val="22"/>
                <w:szCs w:val="20"/>
              </w:rPr>
              <w:t>9,150</w:t>
            </w:r>
          </w:p>
        </w:tc>
        <w:tc>
          <w:tcPr>
            <w:tcW w:w="2081" w:type="pct"/>
            <w:tcMar>
              <w:right w:w="1296" w:type="dxa"/>
            </w:tcMar>
            <w:vAlign w:val="bottom"/>
          </w:tcPr>
          <w:p w:rsidR="00C97154" w:rsidRPr="00EB7789" w:rsidRDefault="00C97154" w:rsidP="003C7A83">
            <w:pPr>
              <w:spacing w:after="0" w:line="240" w:lineRule="auto"/>
              <w:ind w:left="-23" w:right="66"/>
              <w:jc w:val="right"/>
              <w:rPr>
                <w:rFonts w:eastAsia="Times New Roman"/>
                <w:sz w:val="22"/>
                <w:szCs w:val="20"/>
              </w:rPr>
            </w:pPr>
            <w:r w:rsidRPr="00EB7789">
              <w:rPr>
                <w:rFonts w:eastAsia="Times New Roman"/>
                <w:sz w:val="22"/>
                <w:szCs w:val="20"/>
              </w:rPr>
              <w:t>30</w:t>
            </w:r>
          </w:p>
        </w:tc>
      </w:tr>
      <w:tr w:rsidR="00C97154" w:rsidRPr="00AA6ED0" w:rsidTr="00A61E5A">
        <w:trPr>
          <w:trHeight w:val="20"/>
          <w:jc w:val="center"/>
        </w:trPr>
        <w:tc>
          <w:tcPr>
            <w:tcW w:w="1099" w:type="pct"/>
          </w:tcPr>
          <w:p w:rsidR="00C97154" w:rsidRPr="00EB7789" w:rsidRDefault="00C97154" w:rsidP="003C7A83">
            <w:pPr>
              <w:spacing w:after="0" w:line="240" w:lineRule="auto"/>
              <w:ind w:left="-30"/>
              <w:rPr>
                <w:rFonts w:eastAsia="Times New Roman"/>
                <w:sz w:val="22"/>
                <w:szCs w:val="20"/>
              </w:rPr>
            </w:pPr>
            <w:r w:rsidRPr="00EB7789">
              <w:rPr>
                <w:rFonts w:eastAsia="Times New Roman"/>
                <w:sz w:val="22"/>
                <w:szCs w:val="20"/>
              </w:rPr>
              <w:t>Pabna</w:t>
            </w:r>
          </w:p>
        </w:tc>
        <w:tc>
          <w:tcPr>
            <w:tcW w:w="1820" w:type="pct"/>
            <w:tcMar>
              <w:right w:w="1152" w:type="dxa"/>
            </w:tcMar>
            <w:vAlign w:val="bottom"/>
          </w:tcPr>
          <w:p w:rsidR="00C97154" w:rsidRPr="00EB7789" w:rsidRDefault="00C97154" w:rsidP="003C7A83">
            <w:pPr>
              <w:spacing w:after="0" w:line="240" w:lineRule="auto"/>
              <w:ind w:left="-34" w:right="16"/>
              <w:jc w:val="right"/>
              <w:rPr>
                <w:rFonts w:eastAsia="Times New Roman"/>
                <w:sz w:val="22"/>
                <w:szCs w:val="20"/>
              </w:rPr>
            </w:pPr>
            <w:r w:rsidRPr="00EB7789">
              <w:rPr>
                <w:rFonts w:eastAsia="Times New Roman"/>
                <w:sz w:val="22"/>
                <w:szCs w:val="20"/>
              </w:rPr>
              <w:t>2,725</w:t>
            </w:r>
          </w:p>
        </w:tc>
        <w:tc>
          <w:tcPr>
            <w:tcW w:w="2081" w:type="pct"/>
            <w:tcMar>
              <w:right w:w="1296" w:type="dxa"/>
            </w:tcMar>
            <w:vAlign w:val="bottom"/>
          </w:tcPr>
          <w:p w:rsidR="00C97154" w:rsidRPr="00EB7789" w:rsidRDefault="00C97154" w:rsidP="003C7A83">
            <w:pPr>
              <w:spacing w:after="0" w:line="240" w:lineRule="auto"/>
              <w:ind w:left="-23" w:right="66"/>
              <w:jc w:val="right"/>
              <w:rPr>
                <w:rFonts w:eastAsia="Times New Roman"/>
                <w:sz w:val="22"/>
                <w:szCs w:val="20"/>
              </w:rPr>
            </w:pPr>
            <w:r w:rsidRPr="00EB7789">
              <w:rPr>
                <w:rFonts w:eastAsia="Times New Roman"/>
                <w:sz w:val="22"/>
                <w:szCs w:val="20"/>
              </w:rPr>
              <w:t>2</w:t>
            </w:r>
          </w:p>
        </w:tc>
      </w:tr>
      <w:tr w:rsidR="00C97154" w:rsidRPr="00AA6ED0" w:rsidTr="00A61E5A">
        <w:trPr>
          <w:trHeight w:val="20"/>
          <w:jc w:val="center"/>
        </w:trPr>
        <w:tc>
          <w:tcPr>
            <w:tcW w:w="1099" w:type="pct"/>
          </w:tcPr>
          <w:p w:rsidR="00C97154" w:rsidRPr="00EB7789" w:rsidRDefault="00C97154" w:rsidP="003C7A83">
            <w:pPr>
              <w:spacing w:after="0" w:line="240" w:lineRule="auto"/>
              <w:ind w:left="-30"/>
              <w:rPr>
                <w:rFonts w:eastAsia="Times New Roman"/>
                <w:sz w:val="22"/>
                <w:szCs w:val="20"/>
              </w:rPr>
            </w:pPr>
            <w:r w:rsidRPr="00EB7789">
              <w:rPr>
                <w:rFonts w:eastAsia="Times New Roman"/>
                <w:sz w:val="22"/>
                <w:szCs w:val="20"/>
              </w:rPr>
              <w:t>Manikganj</w:t>
            </w:r>
          </w:p>
        </w:tc>
        <w:tc>
          <w:tcPr>
            <w:tcW w:w="1820" w:type="pct"/>
            <w:tcMar>
              <w:right w:w="1152" w:type="dxa"/>
            </w:tcMar>
            <w:vAlign w:val="bottom"/>
          </w:tcPr>
          <w:p w:rsidR="00C97154" w:rsidRPr="00EB7789" w:rsidRDefault="00C97154" w:rsidP="003C7A83">
            <w:pPr>
              <w:spacing w:after="0" w:line="240" w:lineRule="auto"/>
              <w:ind w:left="-34" w:right="16"/>
              <w:jc w:val="right"/>
              <w:rPr>
                <w:rFonts w:eastAsia="Times New Roman"/>
                <w:sz w:val="22"/>
                <w:szCs w:val="20"/>
              </w:rPr>
            </w:pPr>
            <w:r w:rsidRPr="00EB7789">
              <w:rPr>
                <w:rFonts w:eastAsia="Times New Roman"/>
                <w:sz w:val="22"/>
                <w:szCs w:val="20"/>
              </w:rPr>
              <w:t>6,335</w:t>
            </w:r>
          </w:p>
        </w:tc>
        <w:tc>
          <w:tcPr>
            <w:tcW w:w="2081" w:type="pct"/>
            <w:tcMar>
              <w:right w:w="1296" w:type="dxa"/>
            </w:tcMar>
            <w:vAlign w:val="bottom"/>
          </w:tcPr>
          <w:p w:rsidR="00C97154" w:rsidRPr="00EB7789" w:rsidRDefault="00C97154" w:rsidP="003C7A83">
            <w:pPr>
              <w:spacing w:after="0" w:line="240" w:lineRule="auto"/>
              <w:ind w:left="-23" w:right="66"/>
              <w:jc w:val="right"/>
              <w:rPr>
                <w:rFonts w:eastAsia="Times New Roman"/>
                <w:sz w:val="22"/>
                <w:szCs w:val="20"/>
              </w:rPr>
            </w:pPr>
            <w:r w:rsidRPr="00EB7789">
              <w:rPr>
                <w:rFonts w:eastAsia="Times New Roman"/>
                <w:sz w:val="22"/>
                <w:szCs w:val="20"/>
              </w:rPr>
              <w:t>4</w:t>
            </w:r>
          </w:p>
        </w:tc>
      </w:tr>
      <w:tr w:rsidR="00C97154" w:rsidRPr="00AA6ED0" w:rsidTr="00A61E5A">
        <w:trPr>
          <w:trHeight w:val="20"/>
          <w:jc w:val="center"/>
        </w:trPr>
        <w:tc>
          <w:tcPr>
            <w:tcW w:w="1099" w:type="pct"/>
          </w:tcPr>
          <w:p w:rsidR="00C97154" w:rsidRPr="00EB7789" w:rsidRDefault="00C97154" w:rsidP="003C7A83">
            <w:pPr>
              <w:spacing w:after="0" w:line="240" w:lineRule="auto"/>
              <w:ind w:left="-30"/>
              <w:rPr>
                <w:rFonts w:eastAsia="Times New Roman"/>
                <w:b/>
                <w:bCs/>
                <w:sz w:val="22"/>
                <w:szCs w:val="20"/>
              </w:rPr>
            </w:pPr>
            <w:r w:rsidRPr="00EB7789">
              <w:rPr>
                <w:rFonts w:eastAsia="Times New Roman"/>
                <w:b/>
                <w:bCs/>
                <w:sz w:val="22"/>
                <w:szCs w:val="20"/>
              </w:rPr>
              <w:t>Total</w:t>
            </w:r>
          </w:p>
        </w:tc>
        <w:tc>
          <w:tcPr>
            <w:tcW w:w="1820" w:type="pct"/>
            <w:tcMar>
              <w:right w:w="1152" w:type="dxa"/>
            </w:tcMar>
            <w:vAlign w:val="bottom"/>
          </w:tcPr>
          <w:p w:rsidR="00C97154" w:rsidRPr="00EB7789" w:rsidRDefault="00C97154" w:rsidP="003C7A83">
            <w:pPr>
              <w:spacing w:after="0" w:line="240" w:lineRule="auto"/>
              <w:ind w:left="-34" w:right="16"/>
              <w:jc w:val="right"/>
              <w:rPr>
                <w:rFonts w:eastAsia="Times New Roman"/>
                <w:b/>
                <w:sz w:val="22"/>
                <w:szCs w:val="20"/>
              </w:rPr>
            </w:pPr>
            <w:r w:rsidRPr="00EB7789">
              <w:rPr>
                <w:rFonts w:eastAsia="Times New Roman"/>
                <w:b/>
                <w:sz w:val="22"/>
                <w:szCs w:val="20"/>
              </w:rPr>
              <w:t>90,367</w:t>
            </w:r>
          </w:p>
        </w:tc>
        <w:tc>
          <w:tcPr>
            <w:tcW w:w="2081" w:type="pct"/>
            <w:tcMar>
              <w:right w:w="1296" w:type="dxa"/>
            </w:tcMar>
            <w:vAlign w:val="bottom"/>
          </w:tcPr>
          <w:p w:rsidR="00C97154" w:rsidRPr="00EB7789" w:rsidRDefault="00C97154" w:rsidP="003C7A83">
            <w:pPr>
              <w:spacing w:after="0" w:line="240" w:lineRule="auto"/>
              <w:ind w:left="-23" w:right="66"/>
              <w:jc w:val="right"/>
              <w:rPr>
                <w:rFonts w:eastAsia="Times New Roman"/>
                <w:b/>
                <w:sz w:val="22"/>
                <w:szCs w:val="20"/>
              </w:rPr>
            </w:pPr>
            <w:r w:rsidRPr="00EB7789">
              <w:rPr>
                <w:rFonts w:eastAsia="Times New Roman"/>
                <w:b/>
                <w:sz w:val="22"/>
                <w:szCs w:val="20"/>
              </w:rPr>
              <w:t>16,444</w:t>
            </w:r>
          </w:p>
        </w:tc>
      </w:tr>
    </w:tbl>
    <w:bookmarkEnd w:id="81"/>
    <w:p w:rsidR="00C97154" w:rsidRPr="003C7A83" w:rsidRDefault="001A2E57" w:rsidP="003C7A83">
      <w:pPr>
        <w:ind w:left="900"/>
        <w:rPr>
          <w:b/>
          <w:i/>
          <w:sz w:val="20"/>
          <w:szCs w:val="20"/>
        </w:rPr>
      </w:pPr>
      <w:r w:rsidRPr="003C7A83">
        <w:rPr>
          <w:b/>
          <w:i/>
          <w:sz w:val="20"/>
          <w:szCs w:val="20"/>
        </w:rPr>
        <w:t>Source:</w:t>
      </w:r>
      <w:r w:rsidR="00C97154" w:rsidRPr="003C7A83">
        <w:rPr>
          <w:b/>
          <w:i/>
          <w:sz w:val="20"/>
          <w:szCs w:val="20"/>
        </w:rPr>
        <w:t xml:space="preserve"> CEGIS, 2014</w:t>
      </w:r>
    </w:p>
    <w:p w:rsidR="00C97154" w:rsidRPr="000D7E1F" w:rsidRDefault="005444EB" w:rsidP="004402F1">
      <w:pPr>
        <w:pStyle w:val="Heading6"/>
      </w:pPr>
      <w:bookmarkStart w:id="82" w:name="_Toc474639299"/>
      <w:r>
        <w:t>Map</w:t>
      </w:r>
      <w:r w:rsidR="00565A4C">
        <w:t xml:space="preserve"> 1.</w:t>
      </w:r>
      <w:r w:rsidR="00EA56C3">
        <w:t>19</w:t>
      </w:r>
      <w:r w:rsidR="00C97154" w:rsidRPr="000D7E1F">
        <w:t xml:space="preserve">: </w:t>
      </w:r>
      <w:bookmarkStart w:id="83" w:name="_Toc439230640"/>
      <w:r w:rsidR="007F63D7">
        <w:t>Erosion-A</w:t>
      </w:r>
      <w:r w:rsidR="00C97154" w:rsidRPr="000D7E1F">
        <w:t>ccretion along the Jamuna during 1973-2014</w:t>
      </w:r>
      <w:bookmarkEnd w:id="82"/>
      <w:bookmarkEnd w:id="83"/>
    </w:p>
    <w:p w:rsidR="00982BB0" w:rsidRPr="001A2E57" w:rsidRDefault="00C97154" w:rsidP="002572F4">
      <w:pPr>
        <w:pStyle w:val="TableandFigures"/>
        <w:spacing w:after="0"/>
        <w:jc w:val="center"/>
        <w:rPr>
          <w:rFonts w:ascii="Times New Roman" w:hAnsi="Times New Roman" w:cs="Times New Roman"/>
          <w:b/>
          <w:sz w:val="20"/>
          <w:szCs w:val="20"/>
        </w:rPr>
      </w:pPr>
      <w:r>
        <w:rPr>
          <w:noProof/>
          <w:lang w:val="en-AU" w:eastAsia="en-AU" w:bidi="bn-BD"/>
        </w:rPr>
        <w:drawing>
          <wp:inline distT="0" distB="0" distL="0" distR="0">
            <wp:extent cx="3705225" cy="4086225"/>
            <wp:effectExtent l="0" t="0" r="9525" b="9525"/>
            <wp:docPr id="24" name="Picture 3" descr="D:\CEGIS Projects\Detta Plan\TAG001_maps\Jamuna Eros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CEGIS Projects\Detta Plan\TAG001_maps\Jamuna Erosion.jpg"/>
                    <pic:cNvPicPr>
                      <a:picLocks noChangeAspect="1" noChangeArrowheads="1"/>
                    </pic:cNvPicPr>
                  </pic:nvPicPr>
                  <pic:blipFill>
                    <a:blip r:embed="rId42"/>
                    <a:srcRect l="11160" t="8047" r="51282" b="7832"/>
                    <a:stretch>
                      <a:fillRect/>
                    </a:stretch>
                  </pic:blipFill>
                  <pic:spPr bwMode="auto">
                    <a:xfrm>
                      <a:off x="0" y="0"/>
                      <a:ext cx="3705225" cy="4086225"/>
                    </a:xfrm>
                    <a:prstGeom prst="rect">
                      <a:avLst/>
                    </a:prstGeom>
                    <a:noFill/>
                    <a:ln w="9525">
                      <a:noFill/>
                      <a:miter lim="800000"/>
                      <a:headEnd/>
                      <a:tailEnd/>
                    </a:ln>
                  </pic:spPr>
                </pic:pic>
              </a:graphicData>
            </a:graphic>
          </wp:inline>
        </w:drawing>
      </w:r>
      <w:bookmarkStart w:id="84" w:name="_Toc405446629"/>
      <w:bookmarkStart w:id="85" w:name="_Toc405448681"/>
      <w:bookmarkStart w:id="86" w:name="_Toc439230561"/>
    </w:p>
    <w:p w:rsidR="007F63D7" w:rsidRPr="00A61E5A" w:rsidRDefault="007F63D7" w:rsidP="009B527A">
      <w:pPr>
        <w:pStyle w:val="BodyText"/>
        <w:spacing w:before="120" w:after="240" w:line="276" w:lineRule="auto"/>
        <w:ind w:left="1440" w:firstLine="720"/>
        <w:jc w:val="both"/>
        <w:rPr>
          <w:rFonts w:cs="Times New Roman"/>
          <w:b/>
          <w:i/>
          <w:szCs w:val="24"/>
        </w:rPr>
      </w:pPr>
      <w:r w:rsidRPr="00A61E5A">
        <w:rPr>
          <w:rFonts w:cs="Times New Roman"/>
          <w:b/>
          <w:i/>
          <w:sz w:val="20"/>
          <w:szCs w:val="24"/>
        </w:rPr>
        <w:t>Source: CEGIS</w:t>
      </w:r>
    </w:p>
    <w:p w:rsidR="00C97154" w:rsidRPr="009B5007" w:rsidRDefault="00C97154" w:rsidP="003C7A83">
      <w:pPr>
        <w:pStyle w:val="BodyText"/>
        <w:spacing w:after="240" w:line="276" w:lineRule="auto"/>
        <w:jc w:val="both"/>
        <w:rPr>
          <w:rFonts w:cs="Times New Roman"/>
          <w:szCs w:val="24"/>
        </w:rPr>
      </w:pPr>
      <w:r w:rsidRPr="009B5007">
        <w:rPr>
          <w:rFonts w:cs="Times New Roman"/>
          <w:b/>
          <w:szCs w:val="24"/>
        </w:rPr>
        <w:lastRenderedPageBreak/>
        <w:t>The Ganges River</w:t>
      </w:r>
      <w:bookmarkEnd w:id="84"/>
      <w:bookmarkEnd w:id="85"/>
      <w:bookmarkEnd w:id="86"/>
      <w:r w:rsidR="00982BB0">
        <w:rPr>
          <w:rFonts w:cs="Times New Roman"/>
          <w:b/>
          <w:szCs w:val="24"/>
        </w:rPr>
        <w:t>:</w:t>
      </w:r>
      <w:r w:rsidRPr="009B5007">
        <w:rPr>
          <w:rFonts w:cs="Times New Roman"/>
          <w:szCs w:val="24"/>
        </w:rPr>
        <w:t xml:space="preserve"> The total length of the Ganges is about 2,200 km but only the lower 220 km are in the territory of Bangladesh, meandering with alternating expansions and contractions. After the commencement of the Farakka Barrage in India, the drastic reduction of annual dry season flow and discharge in the </w:t>
      </w:r>
      <w:r w:rsidR="00376FBF" w:rsidRPr="009B5007">
        <w:rPr>
          <w:rFonts w:cs="Times New Roman"/>
          <w:szCs w:val="24"/>
        </w:rPr>
        <w:t>mid-1970s</w:t>
      </w:r>
      <w:r w:rsidRPr="009B5007">
        <w:rPr>
          <w:rFonts w:cs="Times New Roman"/>
          <w:szCs w:val="24"/>
        </w:rPr>
        <w:t xml:space="preserve"> have been observed mainly due to the flow diversion by the barrage. The sediment load of the river is about half a billion </w:t>
      </w:r>
      <w:r w:rsidR="00FE6385">
        <w:rPr>
          <w:rFonts w:cs="Times New Roman"/>
          <w:szCs w:val="24"/>
        </w:rPr>
        <w:t>tonne</w:t>
      </w:r>
      <w:r w:rsidRPr="009B5007">
        <w:rPr>
          <w:rFonts w:cs="Times New Roman"/>
          <w:szCs w:val="24"/>
        </w:rPr>
        <w:t xml:space="preserve">s per year. </w:t>
      </w:r>
      <w:r w:rsidR="00EA56C3">
        <w:rPr>
          <w:rFonts w:cs="Times New Roman"/>
          <w:szCs w:val="24"/>
        </w:rPr>
        <w:t xml:space="preserve">Erosion-accretion pattern and amounts are </w:t>
      </w:r>
      <w:r w:rsidR="00C21C07">
        <w:rPr>
          <w:rFonts w:cs="Times New Roman"/>
          <w:szCs w:val="24"/>
        </w:rPr>
        <w:t>shown in Map 1.20 and Table 1.16</w:t>
      </w:r>
      <w:r w:rsidR="00EA56C3">
        <w:rPr>
          <w:rFonts w:cs="Times New Roman"/>
          <w:szCs w:val="24"/>
        </w:rPr>
        <w:t xml:space="preserve">.  </w:t>
      </w:r>
      <w:r w:rsidRPr="009B5007">
        <w:rPr>
          <w:rFonts w:cs="Times New Roman"/>
          <w:szCs w:val="24"/>
        </w:rPr>
        <w:t xml:space="preserve">In the 1980s and 1990s, the annual rate of riverbank erosion was very high as the large meandering bends were in the development phase at that time. In the recent past, chute cut-off had occurred at these bends, which facilitated to intervene in the system without providing much effort. During the period of 1973-2014, the total erosion of the Ganges River was </w:t>
      </w:r>
      <w:r w:rsidR="003A29B3" w:rsidRPr="009B5007">
        <w:rPr>
          <w:rFonts w:cs="Times New Roman"/>
          <w:szCs w:val="24"/>
        </w:rPr>
        <w:t>2</w:t>
      </w:r>
      <w:r w:rsidR="003A29B3">
        <w:rPr>
          <w:rFonts w:cs="Times New Roman"/>
          <w:szCs w:val="24"/>
        </w:rPr>
        <w:t>9</w:t>
      </w:r>
      <w:r w:rsidRPr="009B5007">
        <w:rPr>
          <w:rFonts w:cs="Times New Roman"/>
          <w:szCs w:val="24"/>
        </w:rPr>
        <w:t>,842 ha and total accretion of land was 25,009 ha.</w:t>
      </w:r>
    </w:p>
    <w:p w:rsidR="00C97154" w:rsidRPr="00432C86" w:rsidRDefault="00565A4C" w:rsidP="004402F1">
      <w:pPr>
        <w:pStyle w:val="Heading6"/>
      </w:pPr>
      <w:bookmarkStart w:id="87" w:name="_Toc474639300"/>
      <w:r>
        <w:t>Map</w:t>
      </w:r>
      <w:r w:rsidR="005444EB">
        <w:t xml:space="preserve"> </w:t>
      </w:r>
      <w:r>
        <w:t>1.</w:t>
      </w:r>
      <w:r w:rsidR="00EA56C3">
        <w:t>20</w:t>
      </w:r>
      <w:r w:rsidR="00EB7789">
        <w:t xml:space="preserve">: Erosion-Accretion </w:t>
      </w:r>
      <w:r w:rsidR="00EB2DC9">
        <w:t>along</w:t>
      </w:r>
      <w:r w:rsidR="00C97154" w:rsidRPr="00432C86">
        <w:t xml:space="preserve"> the Ganges River (1973-2014)</w:t>
      </w:r>
      <w:bookmarkEnd w:id="87"/>
    </w:p>
    <w:p w:rsidR="00C97154" w:rsidRPr="005444EB" w:rsidRDefault="00C97154" w:rsidP="003910FC">
      <w:pPr>
        <w:spacing w:after="0"/>
        <w:jc w:val="center"/>
        <w:rPr>
          <w:rFonts w:cs="Segoe UI"/>
          <w:b/>
          <w:i/>
        </w:rPr>
      </w:pPr>
      <w:r>
        <w:rPr>
          <w:rFonts w:cs="Segoe UI"/>
          <w:noProof/>
          <w:lang w:val="en-AU" w:eastAsia="en-AU" w:bidi="bn-BD"/>
        </w:rPr>
        <w:drawing>
          <wp:inline distT="0" distB="0" distL="0" distR="0">
            <wp:extent cx="4791075" cy="2762250"/>
            <wp:effectExtent l="19050" t="0" r="9525" b="0"/>
            <wp:docPr id="25" name="Picture 4" descr="D:\CEGIS Projects\Detta Plan\TAG001_maps\Ganges Ero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EGIS Projects\Detta Plan\TAG001_maps\Ganges Erosion.jpg"/>
                    <pic:cNvPicPr>
                      <a:picLocks noChangeAspect="1" noChangeArrowheads="1"/>
                    </pic:cNvPicPr>
                  </pic:nvPicPr>
                  <pic:blipFill>
                    <a:blip r:embed="rId43"/>
                    <a:srcRect l="7793" t="8798" r="8855" b="28725"/>
                    <a:stretch>
                      <a:fillRect/>
                    </a:stretch>
                  </pic:blipFill>
                  <pic:spPr bwMode="auto">
                    <a:xfrm>
                      <a:off x="0" y="0"/>
                      <a:ext cx="4791075" cy="2762250"/>
                    </a:xfrm>
                    <a:prstGeom prst="rect">
                      <a:avLst/>
                    </a:prstGeom>
                    <a:noFill/>
                    <a:ln w="9525">
                      <a:noFill/>
                      <a:miter lim="800000"/>
                      <a:headEnd/>
                      <a:tailEnd/>
                    </a:ln>
                  </pic:spPr>
                </pic:pic>
              </a:graphicData>
            </a:graphic>
          </wp:inline>
        </w:drawing>
      </w:r>
    </w:p>
    <w:p w:rsidR="00C97154" w:rsidRPr="005444EB" w:rsidRDefault="004E362F" w:rsidP="003910FC">
      <w:pPr>
        <w:ind w:firstLine="720"/>
        <w:rPr>
          <w:b/>
          <w:i/>
          <w:sz w:val="20"/>
          <w:szCs w:val="18"/>
        </w:rPr>
      </w:pPr>
      <w:r>
        <w:rPr>
          <w:b/>
          <w:i/>
          <w:sz w:val="20"/>
          <w:szCs w:val="18"/>
        </w:rPr>
        <w:t xml:space="preserve">Source: </w:t>
      </w:r>
      <w:r w:rsidR="00C97154" w:rsidRPr="005444EB">
        <w:rPr>
          <w:b/>
          <w:i/>
          <w:sz w:val="20"/>
          <w:szCs w:val="18"/>
        </w:rPr>
        <w:t xml:space="preserve"> CEGIS, 2014</w:t>
      </w:r>
    </w:p>
    <w:p w:rsidR="00C97154" w:rsidRPr="00982BB0" w:rsidRDefault="00C97154" w:rsidP="004402F1">
      <w:pPr>
        <w:pStyle w:val="Heading4"/>
      </w:pPr>
      <w:bookmarkStart w:id="88" w:name="_Toc474638987"/>
      <w:r w:rsidRPr="00982BB0">
        <w:t xml:space="preserve">Table </w:t>
      </w:r>
      <w:r w:rsidR="00D9144F">
        <w:t>1.</w:t>
      </w:r>
      <w:r w:rsidR="00432C86" w:rsidRPr="00982BB0">
        <w:t>1</w:t>
      </w:r>
      <w:r w:rsidR="00C21C07">
        <w:t>6</w:t>
      </w:r>
      <w:r w:rsidR="00982BB0">
        <w:t>: Bank Erosion and A</w:t>
      </w:r>
      <w:r w:rsidRPr="00982BB0">
        <w:t>ccretion along th</w:t>
      </w:r>
      <w:r w:rsidR="00982BB0">
        <w:t>e Ganges River</w:t>
      </w:r>
      <w:r w:rsidRPr="00982BB0">
        <w:t xml:space="preserve"> 1973 – 2014</w:t>
      </w:r>
      <w:bookmarkEnd w:id="88"/>
      <w:r w:rsidRPr="00982BB0">
        <w:t xml:space="preserve"> </w:t>
      </w:r>
    </w:p>
    <w:tbl>
      <w:tblPr>
        <w:tblStyle w:val="TableGrid"/>
        <w:tblW w:w="5000" w:type="pct"/>
        <w:jc w:val="center"/>
        <w:tblLook w:val="04A0"/>
      </w:tblPr>
      <w:tblGrid>
        <w:gridCol w:w="2344"/>
        <w:gridCol w:w="3478"/>
        <w:gridCol w:w="3754"/>
      </w:tblGrid>
      <w:tr w:rsidR="00C97154" w:rsidRPr="002D13DF" w:rsidTr="00F8056C">
        <w:trPr>
          <w:trHeight w:val="161"/>
          <w:jc w:val="center"/>
        </w:trPr>
        <w:tc>
          <w:tcPr>
            <w:tcW w:w="1224" w:type="pct"/>
          </w:tcPr>
          <w:p w:rsidR="00C97154" w:rsidRPr="00F8056C" w:rsidRDefault="00C97154" w:rsidP="0042292F">
            <w:pPr>
              <w:spacing w:after="0" w:line="240" w:lineRule="auto"/>
              <w:rPr>
                <w:rFonts w:eastAsia="Times New Roman"/>
                <w:sz w:val="22"/>
                <w:szCs w:val="20"/>
              </w:rPr>
            </w:pPr>
            <w:bookmarkStart w:id="89" w:name="OLE_LINK3"/>
            <w:r w:rsidRPr="00F8056C">
              <w:rPr>
                <w:rFonts w:eastAsia="Times New Roman"/>
                <w:b/>
                <w:sz w:val="22"/>
                <w:szCs w:val="20"/>
              </w:rPr>
              <w:t>District</w:t>
            </w:r>
          </w:p>
        </w:tc>
        <w:tc>
          <w:tcPr>
            <w:tcW w:w="1816" w:type="pct"/>
          </w:tcPr>
          <w:p w:rsidR="00C97154" w:rsidRPr="00F8056C" w:rsidRDefault="00C97154" w:rsidP="0042292F">
            <w:pPr>
              <w:spacing w:after="0" w:line="240" w:lineRule="auto"/>
              <w:rPr>
                <w:rFonts w:eastAsia="Times New Roman"/>
                <w:b/>
                <w:sz w:val="22"/>
                <w:szCs w:val="20"/>
              </w:rPr>
            </w:pPr>
            <w:r w:rsidRPr="00F8056C">
              <w:rPr>
                <w:rFonts w:eastAsia="Times New Roman"/>
                <w:b/>
                <w:sz w:val="22"/>
                <w:szCs w:val="20"/>
              </w:rPr>
              <w:t>Eroded area (ha)</w:t>
            </w:r>
          </w:p>
        </w:tc>
        <w:tc>
          <w:tcPr>
            <w:tcW w:w="1960" w:type="pct"/>
          </w:tcPr>
          <w:p w:rsidR="00C97154" w:rsidRPr="00F8056C" w:rsidRDefault="00C97154" w:rsidP="0042292F">
            <w:pPr>
              <w:spacing w:after="0" w:line="240" w:lineRule="auto"/>
              <w:rPr>
                <w:rFonts w:eastAsia="Times New Roman"/>
                <w:b/>
                <w:sz w:val="22"/>
                <w:szCs w:val="20"/>
              </w:rPr>
            </w:pPr>
            <w:r w:rsidRPr="00F8056C">
              <w:rPr>
                <w:rFonts w:eastAsia="Times New Roman"/>
                <w:b/>
                <w:sz w:val="22"/>
                <w:szCs w:val="20"/>
              </w:rPr>
              <w:t>Accreted area (ha)</w:t>
            </w:r>
          </w:p>
        </w:tc>
      </w:tr>
      <w:tr w:rsidR="00C97154" w:rsidRPr="002D13DF" w:rsidTr="00F8056C">
        <w:trPr>
          <w:trHeight w:val="161"/>
          <w:jc w:val="center"/>
        </w:trPr>
        <w:tc>
          <w:tcPr>
            <w:tcW w:w="1224" w:type="pct"/>
          </w:tcPr>
          <w:p w:rsidR="00C97154" w:rsidRPr="00F8056C" w:rsidRDefault="00C97154" w:rsidP="0042292F">
            <w:pPr>
              <w:spacing w:after="0" w:line="240" w:lineRule="auto"/>
              <w:rPr>
                <w:rFonts w:eastAsia="Times New Roman"/>
                <w:sz w:val="22"/>
                <w:szCs w:val="20"/>
              </w:rPr>
            </w:pPr>
            <w:r w:rsidRPr="00F8056C">
              <w:rPr>
                <w:rFonts w:eastAsia="Times New Roman"/>
                <w:sz w:val="22"/>
                <w:szCs w:val="20"/>
              </w:rPr>
              <w:t>Nawabganj</w:t>
            </w:r>
          </w:p>
        </w:tc>
        <w:tc>
          <w:tcPr>
            <w:tcW w:w="1816"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4,693</w:t>
            </w:r>
          </w:p>
        </w:tc>
        <w:tc>
          <w:tcPr>
            <w:tcW w:w="1960"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10,785</w:t>
            </w:r>
          </w:p>
        </w:tc>
      </w:tr>
      <w:tr w:rsidR="00C97154" w:rsidRPr="002D13DF" w:rsidTr="00F8056C">
        <w:trPr>
          <w:trHeight w:val="161"/>
          <w:jc w:val="center"/>
        </w:trPr>
        <w:tc>
          <w:tcPr>
            <w:tcW w:w="1224" w:type="pct"/>
          </w:tcPr>
          <w:p w:rsidR="00C97154" w:rsidRPr="00F8056C" w:rsidRDefault="00C97154" w:rsidP="0042292F">
            <w:pPr>
              <w:spacing w:after="0" w:line="240" w:lineRule="auto"/>
              <w:rPr>
                <w:rFonts w:eastAsia="Times New Roman"/>
                <w:sz w:val="22"/>
                <w:szCs w:val="20"/>
              </w:rPr>
            </w:pPr>
            <w:r w:rsidRPr="00F8056C">
              <w:rPr>
                <w:rFonts w:eastAsia="Times New Roman"/>
                <w:sz w:val="22"/>
                <w:szCs w:val="20"/>
              </w:rPr>
              <w:t>Rajshahi</w:t>
            </w:r>
          </w:p>
        </w:tc>
        <w:tc>
          <w:tcPr>
            <w:tcW w:w="1816"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1,670</w:t>
            </w:r>
          </w:p>
        </w:tc>
        <w:tc>
          <w:tcPr>
            <w:tcW w:w="1960"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1,716</w:t>
            </w:r>
          </w:p>
        </w:tc>
      </w:tr>
      <w:tr w:rsidR="00C97154" w:rsidRPr="002D13DF" w:rsidTr="00F8056C">
        <w:trPr>
          <w:trHeight w:val="161"/>
          <w:jc w:val="center"/>
        </w:trPr>
        <w:tc>
          <w:tcPr>
            <w:tcW w:w="1224" w:type="pct"/>
          </w:tcPr>
          <w:p w:rsidR="00C97154" w:rsidRPr="00F8056C" w:rsidRDefault="00C97154" w:rsidP="0042292F">
            <w:pPr>
              <w:spacing w:after="0" w:line="240" w:lineRule="auto"/>
              <w:rPr>
                <w:rFonts w:eastAsia="Times New Roman"/>
                <w:sz w:val="22"/>
                <w:szCs w:val="20"/>
              </w:rPr>
            </w:pPr>
            <w:r w:rsidRPr="00F8056C">
              <w:rPr>
                <w:rFonts w:eastAsia="Times New Roman"/>
                <w:sz w:val="22"/>
                <w:szCs w:val="20"/>
              </w:rPr>
              <w:t>Natore</w:t>
            </w:r>
          </w:p>
        </w:tc>
        <w:tc>
          <w:tcPr>
            <w:tcW w:w="1816"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2,045</w:t>
            </w:r>
          </w:p>
        </w:tc>
        <w:tc>
          <w:tcPr>
            <w:tcW w:w="1960"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121</w:t>
            </w:r>
          </w:p>
        </w:tc>
      </w:tr>
      <w:tr w:rsidR="00C97154" w:rsidRPr="002D13DF" w:rsidTr="00F8056C">
        <w:trPr>
          <w:trHeight w:val="161"/>
          <w:jc w:val="center"/>
        </w:trPr>
        <w:tc>
          <w:tcPr>
            <w:tcW w:w="1224" w:type="pct"/>
          </w:tcPr>
          <w:p w:rsidR="00C97154" w:rsidRPr="00F8056C" w:rsidRDefault="00C97154" w:rsidP="0042292F">
            <w:pPr>
              <w:spacing w:after="0" w:line="240" w:lineRule="auto"/>
              <w:rPr>
                <w:rFonts w:eastAsia="Times New Roman"/>
                <w:sz w:val="22"/>
                <w:szCs w:val="20"/>
              </w:rPr>
            </w:pPr>
            <w:r w:rsidRPr="00F8056C">
              <w:rPr>
                <w:rFonts w:eastAsia="Times New Roman"/>
                <w:sz w:val="22"/>
                <w:szCs w:val="20"/>
              </w:rPr>
              <w:t>Kushtia</w:t>
            </w:r>
          </w:p>
        </w:tc>
        <w:tc>
          <w:tcPr>
            <w:tcW w:w="1816"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11,857</w:t>
            </w:r>
          </w:p>
        </w:tc>
        <w:tc>
          <w:tcPr>
            <w:tcW w:w="1960"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1,570</w:t>
            </w:r>
          </w:p>
        </w:tc>
      </w:tr>
      <w:tr w:rsidR="00C97154" w:rsidRPr="002D13DF" w:rsidTr="00F8056C">
        <w:trPr>
          <w:trHeight w:val="161"/>
          <w:jc w:val="center"/>
        </w:trPr>
        <w:tc>
          <w:tcPr>
            <w:tcW w:w="1224" w:type="pct"/>
          </w:tcPr>
          <w:p w:rsidR="00C97154" w:rsidRPr="00F8056C" w:rsidRDefault="00C97154" w:rsidP="0042292F">
            <w:pPr>
              <w:spacing w:after="0" w:line="240" w:lineRule="auto"/>
              <w:rPr>
                <w:rFonts w:eastAsia="Times New Roman"/>
                <w:sz w:val="22"/>
                <w:szCs w:val="20"/>
              </w:rPr>
            </w:pPr>
            <w:r w:rsidRPr="00F8056C">
              <w:rPr>
                <w:rFonts w:eastAsia="Times New Roman"/>
                <w:sz w:val="22"/>
                <w:szCs w:val="20"/>
              </w:rPr>
              <w:t>Pabna</w:t>
            </w:r>
          </w:p>
        </w:tc>
        <w:tc>
          <w:tcPr>
            <w:tcW w:w="1816"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2,203</w:t>
            </w:r>
          </w:p>
        </w:tc>
        <w:tc>
          <w:tcPr>
            <w:tcW w:w="1960"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8,295</w:t>
            </w:r>
          </w:p>
        </w:tc>
      </w:tr>
      <w:tr w:rsidR="00C97154" w:rsidRPr="002D13DF" w:rsidTr="00F8056C">
        <w:trPr>
          <w:trHeight w:val="161"/>
          <w:jc w:val="center"/>
        </w:trPr>
        <w:tc>
          <w:tcPr>
            <w:tcW w:w="1224" w:type="pct"/>
          </w:tcPr>
          <w:p w:rsidR="00C97154" w:rsidRPr="00F8056C" w:rsidRDefault="00C97154" w:rsidP="0042292F">
            <w:pPr>
              <w:spacing w:after="0" w:line="240" w:lineRule="auto"/>
              <w:rPr>
                <w:rFonts w:eastAsia="Times New Roman"/>
                <w:sz w:val="22"/>
                <w:szCs w:val="20"/>
              </w:rPr>
            </w:pPr>
            <w:r w:rsidRPr="00F8056C">
              <w:rPr>
                <w:rFonts w:eastAsia="Times New Roman"/>
                <w:sz w:val="22"/>
                <w:szCs w:val="20"/>
              </w:rPr>
              <w:t>Rajbari</w:t>
            </w:r>
          </w:p>
        </w:tc>
        <w:tc>
          <w:tcPr>
            <w:tcW w:w="1816"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7,373</w:t>
            </w:r>
          </w:p>
        </w:tc>
        <w:tc>
          <w:tcPr>
            <w:tcW w:w="1960" w:type="pct"/>
          </w:tcPr>
          <w:p w:rsidR="00C97154" w:rsidRPr="00F8056C" w:rsidRDefault="00C97154" w:rsidP="0042292F">
            <w:pPr>
              <w:spacing w:after="0" w:line="240" w:lineRule="auto"/>
              <w:jc w:val="right"/>
              <w:rPr>
                <w:rFonts w:eastAsia="Times New Roman"/>
                <w:sz w:val="22"/>
                <w:szCs w:val="20"/>
              </w:rPr>
            </w:pPr>
            <w:r w:rsidRPr="00F8056C">
              <w:rPr>
                <w:rFonts w:eastAsia="Times New Roman"/>
                <w:sz w:val="22"/>
                <w:szCs w:val="20"/>
              </w:rPr>
              <w:t>2,522</w:t>
            </w:r>
          </w:p>
        </w:tc>
      </w:tr>
      <w:tr w:rsidR="00C97154" w:rsidRPr="002D13DF" w:rsidTr="00F8056C">
        <w:trPr>
          <w:trHeight w:val="161"/>
          <w:jc w:val="center"/>
        </w:trPr>
        <w:tc>
          <w:tcPr>
            <w:tcW w:w="1224" w:type="pct"/>
          </w:tcPr>
          <w:p w:rsidR="00C97154" w:rsidRPr="00F8056C" w:rsidRDefault="00C97154" w:rsidP="0042292F">
            <w:pPr>
              <w:spacing w:after="0" w:line="240" w:lineRule="auto"/>
              <w:rPr>
                <w:rFonts w:eastAsia="Times New Roman"/>
                <w:b/>
                <w:sz w:val="22"/>
                <w:szCs w:val="20"/>
              </w:rPr>
            </w:pPr>
            <w:r w:rsidRPr="00F8056C">
              <w:rPr>
                <w:rFonts w:eastAsia="Times New Roman"/>
                <w:b/>
                <w:sz w:val="22"/>
                <w:szCs w:val="20"/>
              </w:rPr>
              <w:t>Total</w:t>
            </w:r>
          </w:p>
        </w:tc>
        <w:tc>
          <w:tcPr>
            <w:tcW w:w="1816" w:type="pct"/>
          </w:tcPr>
          <w:p w:rsidR="00C97154" w:rsidRPr="00F8056C" w:rsidRDefault="00C97154" w:rsidP="0042292F">
            <w:pPr>
              <w:spacing w:after="0" w:line="240" w:lineRule="auto"/>
              <w:jc w:val="right"/>
              <w:rPr>
                <w:rFonts w:eastAsia="Times New Roman"/>
                <w:b/>
                <w:sz w:val="22"/>
                <w:szCs w:val="20"/>
              </w:rPr>
            </w:pPr>
            <w:r w:rsidRPr="00F8056C">
              <w:rPr>
                <w:rFonts w:eastAsia="Times New Roman"/>
                <w:b/>
                <w:sz w:val="22"/>
                <w:szCs w:val="20"/>
              </w:rPr>
              <w:t>29,842</w:t>
            </w:r>
          </w:p>
        </w:tc>
        <w:tc>
          <w:tcPr>
            <w:tcW w:w="1960" w:type="pct"/>
          </w:tcPr>
          <w:p w:rsidR="00C97154" w:rsidRPr="00F8056C" w:rsidRDefault="00C97154" w:rsidP="0042292F">
            <w:pPr>
              <w:spacing w:after="0" w:line="240" w:lineRule="auto"/>
              <w:jc w:val="right"/>
              <w:rPr>
                <w:rFonts w:eastAsia="Times New Roman"/>
                <w:b/>
                <w:sz w:val="22"/>
                <w:szCs w:val="20"/>
              </w:rPr>
            </w:pPr>
            <w:r w:rsidRPr="00F8056C">
              <w:rPr>
                <w:rFonts w:eastAsia="Times New Roman"/>
                <w:b/>
                <w:sz w:val="22"/>
                <w:szCs w:val="20"/>
              </w:rPr>
              <w:t>25,009</w:t>
            </w:r>
          </w:p>
        </w:tc>
      </w:tr>
    </w:tbl>
    <w:bookmarkEnd w:id="89"/>
    <w:p w:rsidR="00C97154" w:rsidRPr="00982BB0" w:rsidRDefault="003507C6" w:rsidP="00F8056C">
      <w:pPr>
        <w:spacing w:before="120"/>
        <w:rPr>
          <w:b/>
          <w:i/>
          <w:sz w:val="20"/>
          <w:szCs w:val="18"/>
        </w:rPr>
      </w:pPr>
      <w:r>
        <w:rPr>
          <w:b/>
          <w:i/>
          <w:sz w:val="20"/>
          <w:szCs w:val="18"/>
        </w:rPr>
        <w:t>Source:</w:t>
      </w:r>
      <w:r w:rsidRPr="00982BB0">
        <w:rPr>
          <w:b/>
          <w:i/>
          <w:sz w:val="20"/>
          <w:szCs w:val="18"/>
        </w:rPr>
        <w:t xml:space="preserve"> CEGIS</w:t>
      </w:r>
      <w:r w:rsidR="00C97154" w:rsidRPr="00982BB0">
        <w:rPr>
          <w:b/>
          <w:i/>
          <w:sz w:val="20"/>
          <w:szCs w:val="18"/>
        </w:rPr>
        <w:t>, 2014</w:t>
      </w:r>
    </w:p>
    <w:p w:rsidR="00C97154" w:rsidRPr="003910FC" w:rsidRDefault="00C97154" w:rsidP="003910FC">
      <w:pPr>
        <w:pStyle w:val="BodyText"/>
        <w:spacing w:after="240" w:line="276" w:lineRule="auto"/>
        <w:jc w:val="both"/>
        <w:rPr>
          <w:rFonts w:cs="Times New Roman"/>
          <w:szCs w:val="24"/>
        </w:rPr>
      </w:pPr>
      <w:bookmarkStart w:id="90" w:name="_Toc405446630"/>
      <w:bookmarkStart w:id="91" w:name="_Toc405448682"/>
      <w:bookmarkStart w:id="92" w:name="_Toc439230562"/>
      <w:r w:rsidRPr="003910FC">
        <w:rPr>
          <w:rFonts w:cs="Times New Roman"/>
          <w:b/>
          <w:szCs w:val="24"/>
        </w:rPr>
        <w:t>The Padma River</w:t>
      </w:r>
      <w:bookmarkEnd w:id="90"/>
      <w:bookmarkEnd w:id="91"/>
      <w:bookmarkEnd w:id="92"/>
      <w:r w:rsidR="00982BB0" w:rsidRPr="003910FC">
        <w:rPr>
          <w:rFonts w:cs="Times New Roman"/>
          <w:b/>
          <w:szCs w:val="24"/>
        </w:rPr>
        <w:t>:</w:t>
      </w:r>
      <w:r w:rsidRPr="003910FC">
        <w:rPr>
          <w:rFonts w:cs="Times New Roman"/>
          <w:szCs w:val="24"/>
        </w:rPr>
        <w:t xml:space="preserve"> The Padma River is the combined flow of the Jamuna and the Ganges rivers stretching from Aricha to its confluence with the Meghna River near Chandpur. Like the</w:t>
      </w:r>
      <w:r w:rsidR="003507C6" w:rsidRPr="003910FC">
        <w:rPr>
          <w:rFonts w:cs="Times New Roman"/>
          <w:szCs w:val="24"/>
        </w:rPr>
        <w:t xml:space="preserve"> Jamuna</w:t>
      </w:r>
      <w:r w:rsidRPr="003910FC">
        <w:rPr>
          <w:rFonts w:cs="Times New Roman"/>
          <w:szCs w:val="24"/>
        </w:rPr>
        <w:t xml:space="preserve"> </w:t>
      </w:r>
      <w:r w:rsidRPr="003910FC">
        <w:rPr>
          <w:rFonts w:cs="Times New Roman"/>
          <w:szCs w:val="24"/>
        </w:rPr>
        <w:lastRenderedPageBreak/>
        <w:t xml:space="preserve">and the Ganges, the Padma is also highly dynamic. The river shows braided and straight patterns through intermediate meandering state, both spatially and temporarily. During the last few decades, the Padma River has changed its </w:t>
      </w:r>
      <w:r w:rsidR="003507C6" w:rsidRPr="003910FC">
        <w:rPr>
          <w:rFonts w:cs="Times New Roman"/>
          <w:szCs w:val="24"/>
        </w:rPr>
        <w:t>plan form causing</w:t>
      </w:r>
      <w:r w:rsidRPr="003910FC">
        <w:rPr>
          <w:rFonts w:cs="Times New Roman"/>
          <w:szCs w:val="24"/>
        </w:rPr>
        <w:t xml:space="preserve"> erosion and accretion</w:t>
      </w:r>
      <w:r w:rsidR="00C21C07">
        <w:rPr>
          <w:rFonts w:cs="Times New Roman"/>
          <w:szCs w:val="24"/>
        </w:rPr>
        <w:t xml:space="preserve"> (Table 1.17</w:t>
      </w:r>
      <w:r w:rsidR="00EA56C3">
        <w:rPr>
          <w:rFonts w:cs="Times New Roman"/>
          <w:szCs w:val="24"/>
        </w:rPr>
        <w:t xml:space="preserve"> and Map 1.21)</w:t>
      </w:r>
      <w:r w:rsidRPr="003910FC">
        <w:rPr>
          <w:rFonts w:cs="Times New Roman"/>
          <w:szCs w:val="24"/>
        </w:rPr>
        <w:t>. The annual maximum erosion rate may exceed 1,000 m/y in case of highly erodible bank materials, whereas the maximum erosion rate may be limited within a few meters per year in the case of less erodible bank materials. During the period of 1973-2014, the bank erosion and accretion was 33,229 ha and 11,545 ha respectively</w:t>
      </w:r>
      <w:r w:rsidRPr="003910FC">
        <w:rPr>
          <w:rFonts w:cs="Times New Roman"/>
          <w:kern w:val="28"/>
          <w:szCs w:val="24"/>
        </w:rPr>
        <w:t>.</w:t>
      </w:r>
    </w:p>
    <w:p w:rsidR="00C97154" w:rsidRPr="00D1644A" w:rsidRDefault="00C97154" w:rsidP="00D1644A">
      <w:pPr>
        <w:pStyle w:val="Heading4"/>
      </w:pPr>
      <w:bookmarkStart w:id="93" w:name="_Toc474638988"/>
      <w:bookmarkStart w:id="94" w:name="_Toc439230693"/>
      <w:bookmarkStart w:id="95" w:name="_Toc439230647"/>
      <w:r w:rsidRPr="00D1644A">
        <w:t xml:space="preserve">Table </w:t>
      </w:r>
      <w:r w:rsidR="00D9144F" w:rsidRPr="00D1644A">
        <w:t>1.</w:t>
      </w:r>
      <w:r w:rsidR="00E27E5F" w:rsidRPr="00D1644A">
        <w:t>1</w:t>
      </w:r>
      <w:r w:rsidR="00C21C07">
        <w:t>7</w:t>
      </w:r>
      <w:r w:rsidR="00EB7789">
        <w:t>: Bank Erosion and A</w:t>
      </w:r>
      <w:r w:rsidRPr="00D1644A">
        <w:t>ccret</w:t>
      </w:r>
      <w:r w:rsidR="00EB7789">
        <w:t>ion a</w:t>
      </w:r>
      <w:r w:rsidR="00982BB0" w:rsidRPr="00D1644A">
        <w:t xml:space="preserve">long the Padma River </w:t>
      </w:r>
      <w:r w:rsidRPr="00D1644A">
        <w:t>1973 – 2014</w:t>
      </w:r>
      <w:bookmarkEnd w:id="93"/>
      <w:r w:rsidRPr="00D1644A">
        <w:t xml:space="preserve"> </w:t>
      </w:r>
    </w:p>
    <w:tbl>
      <w:tblPr>
        <w:tblStyle w:val="TableGrid"/>
        <w:tblW w:w="5000" w:type="pct"/>
        <w:jc w:val="center"/>
        <w:tblLook w:val="04A0"/>
      </w:tblPr>
      <w:tblGrid>
        <w:gridCol w:w="2414"/>
        <w:gridCol w:w="3445"/>
        <w:gridCol w:w="3717"/>
      </w:tblGrid>
      <w:tr w:rsidR="00C97154" w:rsidRPr="003910FC" w:rsidTr="00F8056C">
        <w:trPr>
          <w:trHeight w:val="144"/>
          <w:jc w:val="center"/>
        </w:trPr>
        <w:tc>
          <w:tcPr>
            <w:tcW w:w="1260" w:type="pct"/>
          </w:tcPr>
          <w:bookmarkEnd w:id="94"/>
          <w:p w:rsidR="00C97154" w:rsidRPr="003910FC" w:rsidRDefault="00C97154" w:rsidP="00BF1A1B">
            <w:pPr>
              <w:spacing w:after="0" w:line="240" w:lineRule="auto"/>
              <w:rPr>
                <w:rFonts w:eastAsia="Times New Roman"/>
                <w:szCs w:val="20"/>
              </w:rPr>
            </w:pPr>
            <w:r w:rsidRPr="003910FC">
              <w:rPr>
                <w:rFonts w:eastAsia="Times New Roman"/>
                <w:b/>
                <w:szCs w:val="20"/>
              </w:rPr>
              <w:t>District</w:t>
            </w:r>
          </w:p>
        </w:tc>
        <w:tc>
          <w:tcPr>
            <w:tcW w:w="1799" w:type="pct"/>
          </w:tcPr>
          <w:p w:rsidR="00C97154" w:rsidRPr="003910FC" w:rsidRDefault="00C97154" w:rsidP="00BF1A1B">
            <w:pPr>
              <w:spacing w:after="0" w:line="240" w:lineRule="auto"/>
              <w:rPr>
                <w:rFonts w:eastAsia="Times New Roman"/>
                <w:b/>
                <w:szCs w:val="20"/>
              </w:rPr>
            </w:pPr>
            <w:r w:rsidRPr="003910FC">
              <w:rPr>
                <w:rFonts w:eastAsia="Times New Roman"/>
                <w:b/>
                <w:szCs w:val="20"/>
              </w:rPr>
              <w:t>Eroded area (ha)</w:t>
            </w:r>
          </w:p>
        </w:tc>
        <w:tc>
          <w:tcPr>
            <w:tcW w:w="1941" w:type="pct"/>
          </w:tcPr>
          <w:p w:rsidR="00C97154" w:rsidRPr="003910FC" w:rsidRDefault="00C97154" w:rsidP="00BF1A1B">
            <w:pPr>
              <w:spacing w:after="0" w:line="240" w:lineRule="auto"/>
              <w:rPr>
                <w:rFonts w:eastAsia="Times New Roman"/>
                <w:b/>
                <w:szCs w:val="20"/>
              </w:rPr>
            </w:pPr>
            <w:r w:rsidRPr="003910FC">
              <w:rPr>
                <w:rFonts w:eastAsia="Times New Roman"/>
                <w:b/>
                <w:szCs w:val="20"/>
              </w:rPr>
              <w:t>Accreted area (ha)</w:t>
            </w:r>
          </w:p>
        </w:tc>
      </w:tr>
      <w:tr w:rsidR="00C97154" w:rsidRPr="003910FC" w:rsidTr="00F8056C">
        <w:trPr>
          <w:trHeight w:val="144"/>
          <w:jc w:val="center"/>
        </w:trPr>
        <w:tc>
          <w:tcPr>
            <w:tcW w:w="1260" w:type="pct"/>
          </w:tcPr>
          <w:p w:rsidR="00C97154" w:rsidRPr="003910FC" w:rsidRDefault="00C97154" w:rsidP="00BF1A1B">
            <w:pPr>
              <w:spacing w:after="0" w:line="240" w:lineRule="auto"/>
              <w:rPr>
                <w:rFonts w:eastAsia="Times New Roman"/>
                <w:szCs w:val="20"/>
              </w:rPr>
            </w:pPr>
            <w:r w:rsidRPr="003910FC">
              <w:rPr>
                <w:rFonts w:eastAsia="Times New Roman"/>
                <w:szCs w:val="20"/>
              </w:rPr>
              <w:t>Manikganj</w:t>
            </w:r>
          </w:p>
        </w:tc>
        <w:tc>
          <w:tcPr>
            <w:tcW w:w="1799"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6,830</w:t>
            </w:r>
          </w:p>
        </w:tc>
        <w:tc>
          <w:tcPr>
            <w:tcW w:w="1941" w:type="pct"/>
          </w:tcPr>
          <w:p w:rsidR="00C97154" w:rsidRPr="003910FC" w:rsidRDefault="00C97154" w:rsidP="00BF1A1B">
            <w:pPr>
              <w:autoSpaceDE w:val="0"/>
              <w:autoSpaceDN w:val="0"/>
              <w:adjustRightInd w:val="0"/>
              <w:spacing w:after="0" w:line="240" w:lineRule="auto"/>
              <w:jc w:val="right"/>
              <w:rPr>
                <w:rFonts w:eastAsia="Times New Roman"/>
                <w:szCs w:val="20"/>
              </w:rPr>
            </w:pPr>
          </w:p>
        </w:tc>
      </w:tr>
      <w:tr w:rsidR="00C97154" w:rsidRPr="003910FC" w:rsidTr="00F8056C">
        <w:trPr>
          <w:trHeight w:val="144"/>
          <w:jc w:val="center"/>
        </w:trPr>
        <w:tc>
          <w:tcPr>
            <w:tcW w:w="1260" w:type="pct"/>
          </w:tcPr>
          <w:p w:rsidR="00C97154" w:rsidRPr="003910FC" w:rsidRDefault="00C97154" w:rsidP="00BF1A1B">
            <w:pPr>
              <w:spacing w:after="0" w:line="240" w:lineRule="auto"/>
              <w:rPr>
                <w:rFonts w:eastAsia="Times New Roman"/>
                <w:szCs w:val="20"/>
              </w:rPr>
            </w:pPr>
            <w:r w:rsidRPr="003910FC">
              <w:rPr>
                <w:rFonts w:eastAsia="Times New Roman"/>
                <w:szCs w:val="20"/>
              </w:rPr>
              <w:t>Rajbari</w:t>
            </w:r>
          </w:p>
        </w:tc>
        <w:tc>
          <w:tcPr>
            <w:tcW w:w="1799"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473</w:t>
            </w:r>
          </w:p>
        </w:tc>
        <w:tc>
          <w:tcPr>
            <w:tcW w:w="1941"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347</w:t>
            </w:r>
          </w:p>
        </w:tc>
      </w:tr>
      <w:tr w:rsidR="00C97154" w:rsidRPr="003910FC" w:rsidTr="00F8056C">
        <w:trPr>
          <w:trHeight w:val="144"/>
          <w:jc w:val="center"/>
        </w:trPr>
        <w:tc>
          <w:tcPr>
            <w:tcW w:w="1260" w:type="pct"/>
          </w:tcPr>
          <w:p w:rsidR="00C97154" w:rsidRPr="003910FC" w:rsidRDefault="00C97154" w:rsidP="00BF1A1B">
            <w:pPr>
              <w:spacing w:after="0" w:line="240" w:lineRule="auto"/>
              <w:rPr>
                <w:rFonts w:eastAsia="Times New Roman"/>
                <w:szCs w:val="20"/>
              </w:rPr>
            </w:pPr>
            <w:r w:rsidRPr="003910FC">
              <w:rPr>
                <w:rFonts w:eastAsia="Times New Roman"/>
                <w:szCs w:val="20"/>
              </w:rPr>
              <w:t>Faridpur</w:t>
            </w:r>
          </w:p>
        </w:tc>
        <w:tc>
          <w:tcPr>
            <w:tcW w:w="1799"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7,780</w:t>
            </w:r>
          </w:p>
        </w:tc>
        <w:tc>
          <w:tcPr>
            <w:tcW w:w="1941"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4,956</w:t>
            </w:r>
          </w:p>
        </w:tc>
      </w:tr>
      <w:tr w:rsidR="00C97154" w:rsidRPr="003910FC" w:rsidTr="00F8056C">
        <w:trPr>
          <w:trHeight w:val="144"/>
          <w:jc w:val="center"/>
        </w:trPr>
        <w:tc>
          <w:tcPr>
            <w:tcW w:w="1260" w:type="pct"/>
          </w:tcPr>
          <w:p w:rsidR="00C97154" w:rsidRPr="003910FC" w:rsidRDefault="00C97154" w:rsidP="00BF1A1B">
            <w:pPr>
              <w:spacing w:after="0" w:line="240" w:lineRule="auto"/>
              <w:rPr>
                <w:rFonts w:eastAsia="Times New Roman"/>
                <w:szCs w:val="20"/>
              </w:rPr>
            </w:pPr>
            <w:r w:rsidRPr="003910FC">
              <w:rPr>
                <w:rFonts w:eastAsia="Times New Roman"/>
                <w:szCs w:val="20"/>
              </w:rPr>
              <w:t>Dhaka</w:t>
            </w:r>
          </w:p>
        </w:tc>
        <w:tc>
          <w:tcPr>
            <w:tcW w:w="1799"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2,460</w:t>
            </w:r>
          </w:p>
        </w:tc>
        <w:tc>
          <w:tcPr>
            <w:tcW w:w="1941"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 xml:space="preserve">                    -</w:t>
            </w:r>
          </w:p>
        </w:tc>
      </w:tr>
      <w:tr w:rsidR="00C97154" w:rsidRPr="003910FC" w:rsidTr="00F8056C">
        <w:trPr>
          <w:trHeight w:val="144"/>
          <w:jc w:val="center"/>
        </w:trPr>
        <w:tc>
          <w:tcPr>
            <w:tcW w:w="1260" w:type="pct"/>
          </w:tcPr>
          <w:p w:rsidR="00C97154" w:rsidRPr="003910FC" w:rsidRDefault="00C97154" w:rsidP="00BF1A1B">
            <w:pPr>
              <w:spacing w:after="0" w:line="240" w:lineRule="auto"/>
              <w:rPr>
                <w:rFonts w:eastAsia="Times New Roman"/>
                <w:szCs w:val="20"/>
              </w:rPr>
            </w:pPr>
            <w:r w:rsidRPr="003910FC">
              <w:rPr>
                <w:rFonts w:eastAsia="Times New Roman"/>
                <w:szCs w:val="20"/>
              </w:rPr>
              <w:t>Munshiganj</w:t>
            </w:r>
          </w:p>
        </w:tc>
        <w:tc>
          <w:tcPr>
            <w:tcW w:w="1799"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5,958</w:t>
            </w:r>
          </w:p>
        </w:tc>
        <w:tc>
          <w:tcPr>
            <w:tcW w:w="1941"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57</w:t>
            </w:r>
          </w:p>
        </w:tc>
      </w:tr>
      <w:tr w:rsidR="00C97154" w:rsidRPr="003910FC" w:rsidTr="00F8056C">
        <w:trPr>
          <w:trHeight w:val="144"/>
          <w:jc w:val="center"/>
        </w:trPr>
        <w:tc>
          <w:tcPr>
            <w:tcW w:w="1260" w:type="pct"/>
          </w:tcPr>
          <w:p w:rsidR="00C97154" w:rsidRPr="003910FC" w:rsidRDefault="00C97154" w:rsidP="00BF1A1B">
            <w:pPr>
              <w:spacing w:after="0" w:line="240" w:lineRule="auto"/>
              <w:rPr>
                <w:rFonts w:eastAsia="Times New Roman"/>
                <w:szCs w:val="20"/>
              </w:rPr>
            </w:pPr>
            <w:r w:rsidRPr="003910FC">
              <w:rPr>
                <w:rFonts w:eastAsia="Times New Roman"/>
                <w:szCs w:val="20"/>
              </w:rPr>
              <w:t>Madaripur</w:t>
            </w:r>
          </w:p>
        </w:tc>
        <w:tc>
          <w:tcPr>
            <w:tcW w:w="1799"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1,308</w:t>
            </w:r>
          </w:p>
        </w:tc>
        <w:tc>
          <w:tcPr>
            <w:tcW w:w="1941"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3,460</w:t>
            </w:r>
          </w:p>
        </w:tc>
      </w:tr>
      <w:tr w:rsidR="00C97154" w:rsidRPr="003910FC" w:rsidTr="00F8056C">
        <w:trPr>
          <w:trHeight w:val="144"/>
          <w:jc w:val="center"/>
        </w:trPr>
        <w:tc>
          <w:tcPr>
            <w:tcW w:w="1260" w:type="pct"/>
          </w:tcPr>
          <w:p w:rsidR="00C97154" w:rsidRPr="003910FC" w:rsidRDefault="00C97154" w:rsidP="00BF1A1B">
            <w:pPr>
              <w:spacing w:after="0" w:line="240" w:lineRule="auto"/>
              <w:rPr>
                <w:rFonts w:eastAsia="Times New Roman"/>
                <w:szCs w:val="20"/>
              </w:rPr>
            </w:pPr>
            <w:r w:rsidRPr="003910FC">
              <w:rPr>
                <w:rFonts w:eastAsia="Times New Roman"/>
                <w:szCs w:val="20"/>
              </w:rPr>
              <w:t>Shariatpur</w:t>
            </w:r>
          </w:p>
        </w:tc>
        <w:tc>
          <w:tcPr>
            <w:tcW w:w="1799"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8,420</w:t>
            </w:r>
          </w:p>
        </w:tc>
        <w:tc>
          <w:tcPr>
            <w:tcW w:w="1941" w:type="pct"/>
          </w:tcPr>
          <w:p w:rsidR="00C97154" w:rsidRPr="003910FC" w:rsidRDefault="00C97154" w:rsidP="00BF1A1B">
            <w:pPr>
              <w:autoSpaceDE w:val="0"/>
              <w:autoSpaceDN w:val="0"/>
              <w:adjustRightInd w:val="0"/>
              <w:spacing w:after="0" w:line="240" w:lineRule="auto"/>
              <w:jc w:val="right"/>
              <w:rPr>
                <w:rFonts w:eastAsia="Times New Roman"/>
                <w:szCs w:val="20"/>
              </w:rPr>
            </w:pPr>
            <w:r w:rsidRPr="003910FC">
              <w:rPr>
                <w:rFonts w:eastAsia="Times New Roman"/>
                <w:szCs w:val="20"/>
              </w:rPr>
              <w:t>2,726</w:t>
            </w:r>
          </w:p>
        </w:tc>
      </w:tr>
      <w:tr w:rsidR="00C97154" w:rsidRPr="003910FC" w:rsidTr="00F8056C">
        <w:trPr>
          <w:trHeight w:val="144"/>
          <w:jc w:val="center"/>
        </w:trPr>
        <w:tc>
          <w:tcPr>
            <w:tcW w:w="1260" w:type="pct"/>
          </w:tcPr>
          <w:p w:rsidR="00C97154" w:rsidRPr="003910FC" w:rsidRDefault="00C97154" w:rsidP="00BF1A1B">
            <w:pPr>
              <w:spacing w:after="0" w:line="240" w:lineRule="auto"/>
              <w:rPr>
                <w:rFonts w:eastAsia="Times New Roman"/>
                <w:b/>
                <w:bCs/>
                <w:szCs w:val="20"/>
              </w:rPr>
            </w:pPr>
            <w:r w:rsidRPr="003910FC">
              <w:rPr>
                <w:rFonts w:eastAsia="Times New Roman"/>
                <w:b/>
                <w:bCs/>
                <w:szCs w:val="20"/>
              </w:rPr>
              <w:t>Total</w:t>
            </w:r>
          </w:p>
        </w:tc>
        <w:tc>
          <w:tcPr>
            <w:tcW w:w="1799" w:type="pct"/>
          </w:tcPr>
          <w:p w:rsidR="00C97154" w:rsidRPr="003910FC" w:rsidRDefault="00C97154" w:rsidP="00BF1A1B">
            <w:pPr>
              <w:autoSpaceDE w:val="0"/>
              <w:autoSpaceDN w:val="0"/>
              <w:adjustRightInd w:val="0"/>
              <w:spacing w:after="0" w:line="240" w:lineRule="auto"/>
              <w:jc w:val="right"/>
              <w:rPr>
                <w:rFonts w:eastAsia="Times New Roman"/>
                <w:b/>
                <w:bCs/>
                <w:szCs w:val="20"/>
              </w:rPr>
            </w:pPr>
            <w:r w:rsidRPr="003910FC">
              <w:rPr>
                <w:rFonts w:eastAsia="Times New Roman"/>
                <w:b/>
                <w:bCs/>
                <w:szCs w:val="20"/>
              </w:rPr>
              <w:t>33,229</w:t>
            </w:r>
          </w:p>
        </w:tc>
        <w:tc>
          <w:tcPr>
            <w:tcW w:w="1941" w:type="pct"/>
          </w:tcPr>
          <w:p w:rsidR="00C97154" w:rsidRPr="003910FC" w:rsidRDefault="00C97154" w:rsidP="00BF1A1B">
            <w:pPr>
              <w:autoSpaceDE w:val="0"/>
              <w:autoSpaceDN w:val="0"/>
              <w:adjustRightInd w:val="0"/>
              <w:spacing w:after="0" w:line="240" w:lineRule="auto"/>
              <w:jc w:val="right"/>
              <w:rPr>
                <w:rFonts w:eastAsia="Times New Roman"/>
                <w:b/>
                <w:bCs/>
                <w:szCs w:val="20"/>
              </w:rPr>
            </w:pPr>
            <w:r w:rsidRPr="003910FC">
              <w:rPr>
                <w:rFonts w:eastAsia="Times New Roman"/>
                <w:b/>
                <w:bCs/>
                <w:szCs w:val="20"/>
              </w:rPr>
              <w:t>11,545</w:t>
            </w:r>
          </w:p>
        </w:tc>
      </w:tr>
    </w:tbl>
    <w:p w:rsidR="00C97154" w:rsidRPr="00982BB0" w:rsidRDefault="003507C6" w:rsidP="00EB7789">
      <w:pPr>
        <w:pStyle w:val="Caption"/>
        <w:spacing w:after="240"/>
        <w:jc w:val="both"/>
        <w:rPr>
          <w:rFonts w:cs="Times New Roman"/>
          <w:i/>
          <w:color w:val="auto"/>
          <w:sz w:val="22"/>
          <w:szCs w:val="20"/>
        </w:rPr>
      </w:pPr>
      <w:r>
        <w:rPr>
          <w:i/>
          <w:color w:val="auto"/>
          <w:sz w:val="20"/>
        </w:rPr>
        <w:t>Source:</w:t>
      </w:r>
      <w:r w:rsidRPr="00982BB0">
        <w:rPr>
          <w:i/>
          <w:color w:val="auto"/>
          <w:sz w:val="20"/>
        </w:rPr>
        <w:t xml:space="preserve"> </w:t>
      </w:r>
      <w:r w:rsidR="00C97154" w:rsidRPr="00982BB0">
        <w:rPr>
          <w:i/>
          <w:color w:val="auto"/>
          <w:sz w:val="20"/>
        </w:rPr>
        <w:t>CEGIS, 2014</w:t>
      </w:r>
    </w:p>
    <w:p w:rsidR="00C97154" w:rsidRPr="000D7E1F" w:rsidRDefault="005444EB" w:rsidP="004402F1">
      <w:pPr>
        <w:pStyle w:val="Heading6"/>
      </w:pPr>
      <w:bookmarkStart w:id="96" w:name="_Toc474639301"/>
      <w:r>
        <w:t>Map</w:t>
      </w:r>
      <w:r w:rsidR="00C97154" w:rsidRPr="000D7E1F">
        <w:t xml:space="preserve"> </w:t>
      </w:r>
      <w:r w:rsidR="004927AE">
        <w:t>1.2</w:t>
      </w:r>
      <w:r w:rsidR="00EA56C3">
        <w:t>1</w:t>
      </w:r>
      <w:r w:rsidR="00EB7789">
        <w:t xml:space="preserve">: Erosion-Accretion </w:t>
      </w:r>
      <w:r w:rsidR="00EB2DC9">
        <w:t>along</w:t>
      </w:r>
      <w:r w:rsidR="00C97154" w:rsidRPr="000D7E1F">
        <w:t xml:space="preserve"> the </w:t>
      </w:r>
      <w:r w:rsidR="00C97154">
        <w:t>Padma River (</w:t>
      </w:r>
      <w:r w:rsidR="00C97154" w:rsidRPr="000D7E1F">
        <w:t>1973-2014</w:t>
      </w:r>
      <w:r w:rsidR="00C97154">
        <w:t>)</w:t>
      </w:r>
      <w:bookmarkEnd w:id="96"/>
      <w:r w:rsidR="00E82F59">
        <w:t xml:space="preserve"> </w:t>
      </w:r>
    </w:p>
    <w:bookmarkEnd w:id="95"/>
    <w:p w:rsidR="00C97154" w:rsidRPr="00061492" w:rsidRDefault="00C97154" w:rsidP="003910FC">
      <w:pPr>
        <w:spacing w:after="0"/>
        <w:jc w:val="center"/>
        <w:rPr>
          <w:rFonts w:cs="Segoe UI"/>
        </w:rPr>
      </w:pPr>
      <w:r>
        <w:rPr>
          <w:rFonts w:cs="Segoe UI"/>
          <w:noProof/>
          <w:lang w:val="en-AU" w:eastAsia="en-AU" w:bidi="bn-BD"/>
        </w:rPr>
        <w:drawing>
          <wp:inline distT="0" distB="0" distL="0" distR="0">
            <wp:extent cx="5503828" cy="3213100"/>
            <wp:effectExtent l="0" t="0" r="8255" b="0"/>
            <wp:docPr id="26" name="Picture 2" descr="D:\CEGIS Projects\Detta Plan\TAG001_maps\Padma Ero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EGIS Projects\Detta Plan\TAG001_maps\Padma Erosion.jpg"/>
                    <pic:cNvPicPr>
                      <a:picLocks noChangeAspect="1" noChangeArrowheads="1"/>
                    </pic:cNvPicPr>
                  </pic:nvPicPr>
                  <pic:blipFill>
                    <a:blip r:embed="rId44"/>
                    <a:srcRect l="7983" t="8618" r="9131" b="28725"/>
                    <a:stretch>
                      <a:fillRect/>
                    </a:stretch>
                  </pic:blipFill>
                  <pic:spPr bwMode="auto">
                    <a:xfrm>
                      <a:off x="0" y="0"/>
                      <a:ext cx="5503966" cy="3213181"/>
                    </a:xfrm>
                    <a:prstGeom prst="rect">
                      <a:avLst/>
                    </a:prstGeom>
                    <a:noFill/>
                    <a:ln w="9525">
                      <a:noFill/>
                      <a:miter lim="800000"/>
                      <a:headEnd/>
                      <a:tailEnd/>
                    </a:ln>
                  </pic:spPr>
                </pic:pic>
              </a:graphicData>
            </a:graphic>
          </wp:inline>
        </w:drawing>
      </w:r>
    </w:p>
    <w:p w:rsidR="00E82F59" w:rsidRPr="00E82F59" w:rsidRDefault="00E82F59" w:rsidP="00F8056C">
      <w:pPr>
        <w:pStyle w:val="BodyText"/>
        <w:spacing w:before="120" w:after="240"/>
        <w:ind w:left="446"/>
        <w:jc w:val="both"/>
        <w:rPr>
          <w:rFonts w:cs="Times New Roman"/>
          <w:b/>
          <w:i/>
          <w:sz w:val="20"/>
          <w:szCs w:val="24"/>
        </w:rPr>
      </w:pPr>
      <w:bookmarkStart w:id="97" w:name="_Toc439230563"/>
      <w:r w:rsidRPr="00E82F59">
        <w:rPr>
          <w:rFonts w:cs="Times New Roman"/>
          <w:b/>
          <w:i/>
          <w:sz w:val="20"/>
          <w:szCs w:val="24"/>
        </w:rPr>
        <w:t>Source: CEGIS</w:t>
      </w:r>
    </w:p>
    <w:p w:rsidR="00C97154" w:rsidRPr="003510F6" w:rsidRDefault="00C97154" w:rsidP="00FE6328">
      <w:pPr>
        <w:pStyle w:val="BodyText"/>
        <w:spacing w:after="240" w:line="276" w:lineRule="auto"/>
        <w:jc w:val="both"/>
        <w:rPr>
          <w:rFonts w:cs="Times New Roman"/>
          <w:szCs w:val="24"/>
        </w:rPr>
      </w:pPr>
      <w:r w:rsidRPr="003510F6">
        <w:rPr>
          <w:rFonts w:cs="Times New Roman"/>
          <w:b/>
          <w:szCs w:val="24"/>
        </w:rPr>
        <w:t>The Meghna River</w:t>
      </w:r>
      <w:bookmarkEnd w:id="97"/>
      <w:r w:rsidR="00E82F59">
        <w:rPr>
          <w:rFonts w:cs="Times New Roman"/>
          <w:b/>
          <w:szCs w:val="24"/>
        </w:rPr>
        <w:t>:</w:t>
      </w:r>
      <w:r w:rsidRPr="003510F6">
        <w:rPr>
          <w:rFonts w:cs="Times New Roman"/>
          <w:szCs w:val="24"/>
        </w:rPr>
        <w:t xml:space="preserve"> Originating from Surma-Kushiyara river system, the Meghna River flows through the eastern part of Bangladesh and discharges into the Bay of Bengal. The part of the </w:t>
      </w:r>
      <w:r w:rsidRPr="003510F6">
        <w:rPr>
          <w:rFonts w:cs="Times New Roman"/>
          <w:szCs w:val="24"/>
        </w:rPr>
        <w:lastRenderedPageBreak/>
        <w:t xml:space="preserve">river up to the confluence with the Padma River is known as Upper Meghna whereas the remaining part is known as the Lower Meghna. The Upper Meghna is an important river of Bangladesh, being a drainage outlet for the North-Central, North-East and the South-East regions. It is one of the rivers, jointly building the Bengal Delta. Upper Meghna River can be better classified as an Anastomosing (multi-threaded low energy) river and its </w:t>
      </w:r>
      <w:r w:rsidR="003507C6" w:rsidRPr="003510F6">
        <w:rPr>
          <w:rFonts w:cs="Times New Roman"/>
          <w:szCs w:val="24"/>
        </w:rPr>
        <w:t>plan</w:t>
      </w:r>
      <w:r w:rsidR="003507C6">
        <w:rPr>
          <w:rFonts w:cs="Times New Roman"/>
          <w:szCs w:val="24"/>
        </w:rPr>
        <w:t xml:space="preserve"> </w:t>
      </w:r>
      <w:r w:rsidR="003507C6" w:rsidRPr="003510F6">
        <w:rPr>
          <w:rFonts w:cs="Times New Roman"/>
          <w:szCs w:val="24"/>
        </w:rPr>
        <w:t>form</w:t>
      </w:r>
      <w:r w:rsidRPr="003510F6">
        <w:rPr>
          <w:rFonts w:cs="Times New Roman"/>
          <w:szCs w:val="24"/>
        </w:rPr>
        <w:t xml:space="preserve"> is quite stable. The Upper Meghna River is flowing on </w:t>
      </w:r>
      <w:r w:rsidR="004E362F" w:rsidRPr="003510F6">
        <w:rPr>
          <w:rFonts w:cs="Times New Roman"/>
          <w:szCs w:val="24"/>
        </w:rPr>
        <w:t>the previous</w:t>
      </w:r>
      <w:r w:rsidRPr="003510F6">
        <w:rPr>
          <w:rFonts w:cs="Times New Roman"/>
          <w:szCs w:val="24"/>
        </w:rPr>
        <w:t xml:space="preserve"> bed of the Old Brahmaputra, but with much smaller discharges</w:t>
      </w:r>
      <w:r>
        <w:rPr>
          <w:rFonts w:cs="Times New Roman"/>
          <w:szCs w:val="24"/>
        </w:rPr>
        <w:t xml:space="preserve">. </w:t>
      </w:r>
      <w:r w:rsidRPr="003510F6">
        <w:rPr>
          <w:rFonts w:cs="Times New Roman"/>
          <w:szCs w:val="24"/>
        </w:rPr>
        <w:t>Unlike other major rivers, process of erosion and accretion in this river is slow</w:t>
      </w:r>
      <w:r>
        <w:rPr>
          <w:rFonts w:cs="Times New Roman"/>
          <w:szCs w:val="24"/>
        </w:rPr>
        <w:t xml:space="preserve">. The </w:t>
      </w:r>
      <w:r w:rsidRPr="003510F6">
        <w:rPr>
          <w:rFonts w:cs="Times New Roman"/>
          <w:szCs w:val="24"/>
        </w:rPr>
        <w:t xml:space="preserve">Upper Meghna River is declining and this process will continue in future. Moreover, </w:t>
      </w:r>
      <w:r>
        <w:rPr>
          <w:rFonts w:cs="Times New Roman"/>
          <w:szCs w:val="24"/>
        </w:rPr>
        <w:t>with sea level rise due to climate change</w:t>
      </w:r>
      <w:r w:rsidRPr="003510F6">
        <w:rPr>
          <w:rFonts w:cs="Times New Roman"/>
          <w:szCs w:val="24"/>
        </w:rPr>
        <w:t xml:space="preserve">, the bed level of </w:t>
      </w:r>
      <w:r>
        <w:rPr>
          <w:rFonts w:cs="Times New Roman"/>
          <w:szCs w:val="24"/>
        </w:rPr>
        <w:t xml:space="preserve">the </w:t>
      </w:r>
      <w:r w:rsidRPr="003510F6">
        <w:rPr>
          <w:rFonts w:cs="Times New Roman"/>
          <w:szCs w:val="24"/>
        </w:rPr>
        <w:t xml:space="preserve">Meghna River will not rise due to less sediment supply from upstream. </w:t>
      </w:r>
    </w:p>
    <w:p w:rsidR="00C97154" w:rsidRPr="000D7E1F" w:rsidRDefault="005444EB" w:rsidP="004402F1">
      <w:pPr>
        <w:pStyle w:val="Heading6"/>
      </w:pPr>
      <w:bookmarkStart w:id="98" w:name="_Toc474639302"/>
      <w:bookmarkStart w:id="99" w:name="_Ref426889431"/>
      <w:bookmarkStart w:id="100" w:name="_Toc439230649"/>
      <w:r>
        <w:t xml:space="preserve">Map </w:t>
      </w:r>
      <w:r w:rsidR="00565A4C">
        <w:t>1.</w:t>
      </w:r>
      <w:r w:rsidR="004927AE">
        <w:t>2</w:t>
      </w:r>
      <w:r w:rsidR="00EA56C3">
        <w:t>2</w:t>
      </w:r>
      <w:r w:rsidR="00E82F59">
        <w:t>: Erosion-A</w:t>
      </w:r>
      <w:r w:rsidR="00EB7789">
        <w:t xml:space="preserve">ccretion </w:t>
      </w:r>
      <w:r w:rsidR="00EB2DC9">
        <w:t>along</w:t>
      </w:r>
      <w:r w:rsidR="00C97154" w:rsidRPr="000D7E1F">
        <w:t xml:space="preserve"> the </w:t>
      </w:r>
      <w:r w:rsidR="00E82F59">
        <w:t>Meghna River</w:t>
      </w:r>
      <w:bookmarkEnd w:id="98"/>
      <w:r w:rsidR="00E82F59">
        <w:t xml:space="preserve"> </w:t>
      </w:r>
    </w:p>
    <w:bookmarkEnd w:id="99"/>
    <w:bookmarkEnd w:id="100"/>
    <w:p w:rsidR="00C97154" w:rsidRDefault="00C97154" w:rsidP="00FE6328">
      <w:pPr>
        <w:spacing w:after="0"/>
        <w:jc w:val="center"/>
        <w:rPr>
          <w:rFonts w:cs="Segoe UI"/>
          <w:kern w:val="28"/>
        </w:rPr>
      </w:pPr>
      <w:r>
        <w:rPr>
          <w:rFonts w:cs="Segoe UI"/>
          <w:noProof/>
          <w:kern w:val="28"/>
          <w:lang w:val="en-AU" w:eastAsia="en-AU" w:bidi="bn-BD"/>
        </w:rPr>
        <w:drawing>
          <wp:inline distT="0" distB="0" distL="0" distR="0">
            <wp:extent cx="4391025" cy="3562350"/>
            <wp:effectExtent l="0" t="0" r="9525" b="0"/>
            <wp:docPr id="28" name="Picture 2" descr="D:\CEGIS Projects\Detta Plan\TAG001_maps\Meghna Eros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CEGIS Projects\Detta Plan\TAG001_maps\Meghna Erosion.jpg"/>
                    <pic:cNvPicPr>
                      <a:picLocks noChangeAspect="1" noChangeArrowheads="1"/>
                    </pic:cNvPicPr>
                  </pic:nvPicPr>
                  <pic:blipFill>
                    <a:blip r:embed="rId45"/>
                    <a:srcRect l="29057" t="8047" r="16515" b="31110"/>
                    <a:stretch>
                      <a:fillRect/>
                    </a:stretch>
                  </pic:blipFill>
                  <pic:spPr bwMode="auto">
                    <a:xfrm>
                      <a:off x="0" y="0"/>
                      <a:ext cx="4391025" cy="3562350"/>
                    </a:xfrm>
                    <a:prstGeom prst="rect">
                      <a:avLst/>
                    </a:prstGeom>
                    <a:noFill/>
                    <a:ln w="9525">
                      <a:noFill/>
                      <a:miter lim="800000"/>
                      <a:headEnd/>
                      <a:tailEnd/>
                    </a:ln>
                  </pic:spPr>
                </pic:pic>
              </a:graphicData>
            </a:graphic>
          </wp:inline>
        </w:drawing>
      </w:r>
    </w:p>
    <w:p w:rsidR="00E82F59" w:rsidRPr="00E82F59" w:rsidRDefault="00E82F59" w:rsidP="00FE6328">
      <w:pPr>
        <w:ind w:left="1260"/>
        <w:rPr>
          <w:rFonts w:cs="Segoe UI"/>
          <w:b/>
          <w:i/>
          <w:kern w:val="28"/>
          <w:sz w:val="20"/>
        </w:rPr>
      </w:pPr>
      <w:r w:rsidRPr="00E82F59">
        <w:rPr>
          <w:rFonts w:cs="Segoe UI"/>
          <w:b/>
          <w:i/>
          <w:kern w:val="28"/>
          <w:sz w:val="20"/>
        </w:rPr>
        <w:t>Source: CEGIS</w:t>
      </w:r>
    </w:p>
    <w:p w:rsidR="00C97154" w:rsidRPr="005444EB" w:rsidRDefault="00C97154" w:rsidP="004402F1">
      <w:pPr>
        <w:pStyle w:val="Heading4"/>
      </w:pPr>
      <w:bookmarkStart w:id="101" w:name="_Toc474638989"/>
      <w:r w:rsidRPr="005444EB">
        <w:t xml:space="preserve">Table </w:t>
      </w:r>
      <w:r w:rsidR="00D9144F">
        <w:t>1.</w:t>
      </w:r>
      <w:r w:rsidR="00C21C07">
        <w:t>18</w:t>
      </w:r>
      <w:r w:rsidR="00E82F59" w:rsidRPr="005444EB">
        <w:t>: Bank Erosion and A</w:t>
      </w:r>
      <w:r w:rsidRPr="005444EB">
        <w:t>ccretion along the Lower Meghn</w:t>
      </w:r>
      <w:r w:rsidR="005444EB">
        <w:t>a River</w:t>
      </w:r>
      <w:r w:rsidR="00E82F59" w:rsidRPr="005444EB">
        <w:t xml:space="preserve"> 1973 – 2012</w:t>
      </w:r>
      <w:bookmarkEnd w:id="101"/>
      <w:r w:rsidR="00E82F59" w:rsidRPr="005444EB">
        <w:t xml:space="preserve"> </w:t>
      </w:r>
    </w:p>
    <w:tbl>
      <w:tblPr>
        <w:tblStyle w:val="TableGrid"/>
        <w:tblW w:w="4566" w:type="pct"/>
        <w:jc w:val="center"/>
        <w:tblLook w:val="04A0"/>
      </w:tblPr>
      <w:tblGrid>
        <w:gridCol w:w="2227"/>
        <w:gridCol w:w="3134"/>
        <w:gridCol w:w="3384"/>
      </w:tblGrid>
      <w:tr w:rsidR="00C97154" w:rsidRPr="00FE6328" w:rsidTr="002572F4">
        <w:trPr>
          <w:trHeight w:val="20"/>
          <w:jc w:val="center"/>
        </w:trPr>
        <w:tc>
          <w:tcPr>
            <w:tcW w:w="1273" w:type="pct"/>
            <w:noWrap/>
            <w:hideMark/>
          </w:tcPr>
          <w:p w:rsidR="00C97154" w:rsidRPr="00FE6328" w:rsidRDefault="00C97154" w:rsidP="00BF1A1B">
            <w:pPr>
              <w:spacing w:after="0" w:line="240" w:lineRule="auto"/>
              <w:rPr>
                <w:b/>
                <w:szCs w:val="20"/>
              </w:rPr>
            </w:pPr>
            <w:r w:rsidRPr="00FE6328">
              <w:rPr>
                <w:b/>
                <w:szCs w:val="20"/>
              </w:rPr>
              <w:t>District</w:t>
            </w:r>
          </w:p>
        </w:tc>
        <w:tc>
          <w:tcPr>
            <w:tcW w:w="1792" w:type="pct"/>
            <w:noWrap/>
            <w:hideMark/>
          </w:tcPr>
          <w:p w:rsidR="00C97154" w:rsidRPr="00FE6328" w:rsidRDefault="00C97154" w:rsidP="00BF1A1B">
            <w:pPr>
              <w:spacing w:after="0" w:line="240" w:lineRule="auto"/>
              <w:rPr>
                <w:b/>
                <w:szCs w:val="20"/>
              </w:rPr>
            </w:pPr>
            <w:r w:rsidRPr="00FE6328">
              <w:rPr>
                <w:b/>
                <w:szCs w:val="20"/>
              </w:rPr>
              <w:t>Eroded area (ha)</w:t>
            </w:r>
          </w:p>
        </w:tc>
        <w:tc>
          <w:tcPr>
            <w:tcW w:w="1935" w:type="pct"/>
            <w:noWrap/>
            <w:hideMark/>
          </w:tcPr>
          <w:p w:rsidR="00C97154" w:rsidRPr="00FE6328" w:rsidRDefault="00C97154" w:rsidP="00BF1A1B">
            <w:pPr>
              <w:spacing w:after="0" w:line="240" w:lineRule="auto"/>
              <w:rPr>
                <w:b/>
                <w:szCs w:val="20"/>
              </w:rPr>
            </w:pPr>
            <w:r w:rsidRPr="00FE6328">
              <w:rPr>
                <w:b/>
                <w:szCs w:val="20"/>
              </w:rPr>
              <w:t>Accreted area (ha)</w:t>
            </w:r>
          </w:p>
        </w:tc>
      </w:tr>
      <w:tr w:rsidR="00C97154" w:rsidRPr="00FE6328" w:rsidTr="002572F4">
        <w:trPr>
          <w:trHeight w:val="20"/>
          <w:jc w:val="center"/>
        </w:trPr>
        <w:tc>
          <w:tcPr>
            <w:tcW w:w="1273" w:type="pct"/>
            <w:noWrap/>
            <w:hideMark/>
          </w:tcPr>
          <w:p w:rsidR="00C97154" w:rsidRPr="00FE6328" w:rsidRDefault="00C97154" w:rsidP="00BF1A1B">
            <w:pPr>
              <w:spacing w:after="0" w:line="240" w:lineRule="auto"/>
              <w:rPr>
                <w:szCs w:val="20"/>
              </w:rPr>
            </w:pPr>
            <w:r w:rsidRPr="00FE6328">
              <w:rPr>
                <w:szCs w:val="20"/>
              </w:rPr>
              <w:t>Barisal</w:t>
            </w:r>
          </w:p>
        </w:tc>
        <w:tc>
          <w:tcPr>
            <w:tcW w:w="1792" w:type="pct"/>
            <w:noWrap/>
            <w:hideMark/>
          </w:tcPr>
          <w:p w:rsidR="00C97154" w:rsidRPr="00FE6328" w:rsidRDefault="00C97154" w:rsidP="00BF1A1B">
            <w:pPr>
              <w:spacing w:after="0" w:line="240" w:lineRule="auto"/>
              <w:jc w:val="right"/>
              <w:rPr>
                <w:szCs w:val="20"/>
              </w:rPr>
            </w:pPr>
            <w:r w:rsidRPr="00FE6328">
              <w:rPr>
                <w:szCs w:val="20"/>
              </w:rPr>
              <w:t>8,953</w:t>
            </w:r>
          </w:p>
        </w:tc>
        <w:tc>
          <w:tcPr>
            <w:tcW w:w="1935" w:type="pct"/>
            <w:noWrap/>
            <w:hideMark/>
          </w:tcPr>
          <w:p w:rsidR="00C97154" w:rsidRPr="00FE6328" w:rsidRDefault="00C97154" w:rsidP="00BF1A1B">
            <w:pPr>
              <w:spacing w:after="0" w:line="240" w:lineRule="auto"/>
              <w:jc w:val="right"/>
              <w:rPr>
                <w:szCs w:val="20"/>
              </w:rPr>
            </w:pPr>
            <w:r w:rsidRPr="00FE6328">
              <w:rPr>
                <w:szCs w:val="20"/>
              </w:rPr>
              <w:t>10,470</w:t>
            </w:r>
          </w:p>
        </w:tc>
      </w:tr>
      <w:tr w:rsidR="00C97154" w:rsidRPr="00FE6328" w:rsidTr="002572F4">
        <w:trPr>
          <w:trHeight w:val="20"/>
          <w:jc w:val="center"/>
        </w:trPr>
        <w:tc>
          <w:tcPr>
            <w:tcW w:w="1273" w:type="pct"/>
            <w:noWrap/>
            <w:hideMark/>
          </w:tcPr>
          <w:p w:rsidR="00C97154" w:rsidRPr="00FE6328" w:rsidRDefault="00C97154" w:rsidP="00BF1A1B">
            <w:pPr>
              <w:spacing w:after="0" w:line="240" w:lineRule="auto"/>
              <w:rPr>
                <w:szCs w:val="20"/>
              </w:rPr>
            </w:pPr>
            <w:r w:rsidRPr="00FE6328">
              <w:rPr>
                <w:szCs w:val="20"/>
              </w:rPr>
              <w:t>Bhola</w:t>
            </w:r>
          </w:p>
        </w:tc>
        <w:tc>
          <w:tcPr>
            <w:tcW w:w="1792" w:type="pct"/>
            <w:noWrap/>
            <w:hideMark/>
          </w:tcPr>
          <w:p w:rsidR="00C97154" w:rsidRPr="00FE6328" w:rsidRDefault="00C97154" w:rsidP="00BF1A1B">
            <w:pPr>
              <w:spacing w:after="0" w:line="240" w:lineRule="auto"/>
              <w:jc w:val="right"/>
              <w:rPr>
                <w:szCs w:val="20"/>
              </w:rPr>
            </w:pPr>
            <w:r w:rsidRPr="00FE6328">
              <w:rPr>
                <w:szCs w:val="20"/>
              </w:rPr>
              <w:t>4,112</w:t>
            </w:r>
          </w:p>
        </w:tc>
        <w:tc>
          <w:tcPr>
            <w:tcW w:w="1935" w:type="pct"/>
            <w:noWrap/>
            <w:hideMark/>
          </w:tcPr>
          <w:p w:rsidR="00C97154" w:rsidRPr="00FE6328" w:rsidRDefault="00C97154" w:rsidP="00BF1A1B">
            <w:pPr>
              <w:spacing w:after="0" w:line="240" w:lineRule="auto"/>
              <w:jc w:val="right"/>
              <w:rPr>
                <w:szCs w:val="20"/>
              </w:rPr>
            </w:pPr>
            <w:r w:rsidRPr="00FE6328">
              <w:rPr>
                <w:szCs w:val="20"/>
              </w:rPr>
              <w:t>1,234</w:t>
            </w:r>
          </w:p>
        </w:tc>
      </w:tr>
      <w:tr w:rsidR="00C97154" w:rsidRPr="00FE6328" w:rsidTr="002572F4">
        <w:trPr>
          <w:trHeight w:val="20"/>
          <w:jc w:val="center"/>
        </w:trPr>
        <w:tc>
          <w:tcPr>
            <w:tcW w:w="1273" w:type="pct"/>
            <w:noWrap/>
            <w:hideMark/>
          </w:tcPr>
          <w:p w:rsidR="00C97154" w:rsidRPr="00FE6328" w:rsidRDefault="00C97154" w:rsidP="00BF1A1B">
            <w:pPr>
              <w:spacing w:after="0" w:line="240" w:lineRule="auto"/>
              <w:rPr>
                <w:szCs w:val="20"/>
              </w:rPr>
            </w:pPr>
            <w:r w:rsidRPr="00FE6328">
              <w:rPr>
                <w:szCs w:val="20"/>
              </w:rPr>
              <w:t>Chandpur</w:t>
            </w:r>
          </w:p>
        </w:tc>
        <w:tc>
          <w:tcPr>
            <w:tcW w:w="1792" w:type="pct"/>
            <w:noWrap/>
            <w:hideMark/>
          </w:tcPr>
          <w:p w:rsidR="00C97154" w:rsidRPr="00FE6328" w:rsidRDefault="00C97154" w:rsidP="00BF1A1B">
            <w:pPr>
              <w:spacing w:after="0" w:line="240" w:lineRule="auto"/>
              <w:jc w:val="right"/>
              <w:rPr>
                <w:szCs w:val="20"/>
              </w:rPr>
            </w:pPr>
            <w:r w:rsidRPr="00FE6328">
              <w:rPr>
                <w:szCs w:val="20"/>
              </w:rPr>
              <w:t>7,608</w:t>
            </w:r>
          </w:p>
        </w:tc>
        <w:tc>
          <w:tcPr>
            <w:tcW w:w="1935" w:type="pct"/>
            <w:noWrap/>
            <w:hideMark/>
          </w:tcPr>
          <w:p w:rsidR="00C97154" w:rsidRPr="00FE6328" w:rsidRDefault="00C97154" w:rsidP="00BF1A1B">
            <w:pPr>
              <w:spacing w:after="0" w:line="240" w:lineRule="auto"/>
              <w:jc w:val="right"/>
              <w:rPr>
                <w:szCs w:val="20"/>
              </w:rPr>
            </w:pPr>
            <w:r w:rsidRPr="00FE6328">
              <w:rPr>
                <w:szCs w:val="20"/>
              </w:rPr>
              <w:t>4,463</w:t>
            </w:r>
          </w:p>
        </w:tc>
      </w:tr>
      <w:tr w:rsidR="00C97154" w:rsidRPr="00FE6328" w:rsidTr="002572F4">
        <w:trPr>
          <w:trHeight w:val="20"/>
          <w:jc w:val="center"/>
        </w:trPr>
        <w:tc>
          <w:tcPr>
            <w:tcW w:w="1273" w:type="pct"/>
            <w:noWrap/>
            <w:hideMark/>
          </w:tcPr>
          <w:p w:rsidR="00C97154" w:rsidRPr="00FE6328" w:rsidRDefault="00C97154" w:rsidP="00BF1A1B">
            <w:pPr>
              <w:spacing w:after="0" w:line="240" w:lineRule="auto"/>
              <w:rPr>
                <w:szCs w:val="20"/>
              </w:rPr>
            </w:pPr>
            <w:r w:rsidRPr="00FE6328">
              <w:rPr>
                <w:szCs w:val="20"/>
              </w:rPr>
              <w:t>Lakshmipur</w:t>
            </w:r>
          </w:p>
        </w:tc>
        <w:tc>
          <w:tcPr>
            <w:tcW w:w="1792" w:type="pct"/>
            <w:noWrap/>
            <w:hideMark/>
          </w:tcPr>
          <w:p w:rsidR="00C97154" w:rsidRPr="00FE6328" w:rsidRDefault="00C97154" w:rsidP="00BF1A1B">
            <w:pPr>
              <w:spacing w:after="0" w:line="240" w:lineRule="auto"/>
              <w:jc w:val="right"/>
              <w:rPr>
                <w:szCs w:val="20"/>
              </w:rPr>
            </w:pPr>
            <w:r w:rsidRPr="00FE6328">
              <w:rPr>
                <w:szCs w:val="20"/>
              </w:rPr>
              <w:t>3,595</w:t>
            </w:r>
          </w:p>
        </w:tc>
        <w:tc>
          <w:tcPr>
            <w:tcW w:w="1935" w:type="pct"/>
            <w:noWrap/>
            <w:hideMark/>
          </w:tcPr>
          <w:p w:rsidR="00C97154" w:rsidRPr="00FE6328" w:rsidRDefault="00C97154" w:rsidP="00BF1A1B">
            <w:pPr>
              <w:spacing w:after="0" w:line="240" w:lineRule="auto"/>
              <w:jc w:val="right"/>
              <w:rPr>
                <w:szCs w:val="20"/>
              </w:rPr>
            </w:pPr>
            <w:r w:rsidRPr="00FE6328">
              <w:rPr>
                <w:szCs w:val="20"/>
              </w:rPr>
              <w:t>3,702</w:t>
            </w:r>
          </w:p>
        </w:tc>
      </w:tr>
      <w:tr w:rsidR="00C97154" w:rsidRPr="00FE6328" w:rsidTr="002572F4">
        <w:trPr>
          <w:trHeight w:val="20"/>
          <w:jc w:val="center"/>
        </w:trPr>
        <w:tc>
          <w:tcPr>
            <w:tcW w:w="1273" w:type="pct"/>
            <w:noWrap/>
            <w:hideMark/>
          </w:tcPr>
          <w:p w:rsidR="00C97154" w:rsidRPr="00FE6328" w:rsidRDefault="00C97154" w:rsidP="00BF1A1B">
            <w:pPr>
              <w:spacing w:after="0" w:line="240" w:lineRule="auto"/>
              <w:rPr>
                <w:szCs w:val="20"/>
              </w:rPr>
            </w:pPr>
            <w:r w:rsidRPr="00FE6328">
              <w:rPr>
                <w:szCs w:val="20"/>
              </w:rPr>
              <w:t>Shariatpur</w:t>
            </w:r>
          </w:p>
        </w:tc>
        <w:tc>
          <w:tcPr>
            <w:tcW w:w="1792" w:type="pct"/>
            <w:noWrap/>
            <w:hideMark/>
          </w:tcPr>
          <w:p w:rsidR="00C97154" w:rsidRPr="00FE6328" w:rsidRDefault="00C97154" w:rsidP="00BF1A1B">
            <w:pPr>
              <w:spacing w:after="0" w:line="240" w:lineRule="auto"/>
              <w:jc w:val="right"/>
              <w:rPr>
                <w:szCs w:val="20"/>
              </w:rPr>
            </w:pPr>
            <w:r w:rsidRPr="00FE6328">
              <w:rPr>
                <w:szCs w:val="20"/>
              </w:rPr>
              <w:t>1,553</w:t>
            </w:r>
          </w:p>
        </w:tc>
        <w:tc>
          <w:tcPr>
            <w:tcW w:w="1935" w:type="pct"/>
            <w:noWrap/>
            <w:hideMark/>
          </w:tcPr>
          <w:p w:rsidR="00C97154" w:rsidRPr="00FE6328" w:rsidRDefault="00C97154" w:rsidP="00BF1A1B">
            <w:pPr>
              <w:spacing w:after="0" w:line="240" w:lineRule="auto"/>
              <w:jc w:val="right"/>
              <w:rPr>
                <w:szCs w:val="20"/>
              </w:rPr>
            </w:pPr>
            <w:r w:rsidRPr="00FE6328">
              <w:rPr>
                <w:szCs w:val="20"/>
              </w:rPr>
              <w:t>2,396</w:t>
            </w:r>
          </w:p>
        </w:tc>
      </w:tr>
      <w:tr w:rsidR="00C97154" w:rsidRPr="00FE6328" w:rsidTr="002572F4">
        <w:trPr>
          <w:trHeight w:val="20"/>
          <w:jc w:val="center"/>
        </w:trPr>
        <w:tc>
          <w:tcPr>
            <w:tcW w:w="1273" w:type="pct"/>
            <w:noWrap/>
            <w:hideMark/>
          </w:tcPr>
          <w:p w:rsidR="00C97154" w:rsidRPr="00FE6328" w:rsidRDefault="00C97154" w:rsidP="00BF1A1B">
            <w:pPr>
              <w:spacing w:after="0" w:line="240" w:lineRule="auto"/>
              <w:rPr>
                <w:szCs w:val="20"/>
              </w:rPr>
            </w:pPr>
            <w:r w:rsidRPr="00FE6328">
              <w:rPr>
                <w:szCs w:val="20"/>
              </w:rPr>
              <w:t>Grand Total</w:t>
            </w:r>
          </w:p>
        </w:tc>
        <w:tc>
          <w:tcPr>
            <w:tcW w:w="1792" w:type="pct"/>
            <w:noWrap/>
            <w:hideMark/>
          </w:tcPr>
          <w:p w:rsidR="00C97154" w:rsidRPr="00FE6328" w:rsidRDefault="00C97154" w:rsidP="00BF1A1B">
            <w:pPr>
              <w:spacing w:after="0" w:line="240" w:lineRule="auto"/>
              <w:jc w:val="right"/>
              <w:rPr>
                <w:szCs w:val="20"/>
              </w:rPr>
            </w:pPr>
            <w:r w:rsidRPr="00FE6328">
              <w:rPr>
                <w:szCs w:val="20"/>
              </w:rPr>
              <w:t>25,820</w:t>
            </w:r>
          </w:p>
        </w:tc>
        <w:tc>
          <w:tcPr>
            <w:tcW w:w="1935" w:type="pct"/>
            <w:noWrap/>
            <w:hideMark/>
          </w:tcPr>
          <w:p w:rsidR="00C97154" w:rsidRPr="00FE6328" w:rsidRDefault="00C97154" w:rsidP="00BF1A1B">
            <w:pPr>
              <w:spacing w:after="0" w:line="240" w:lineRule="auto"/>
              <w:jc w:val="right"/>
              <w:rPr>
                <w:szCs w:val="20"/>
              </w:rPr>
            </w:pPr>
            <w:r w:rsidRPr="00FE6328">
              <w:rPr>
                <w:szCs w:val="20"/>
              </w:rPr>
              <w:t>22,265</w:t>
            </w:r>
          </w:p>
        </w:tc>
      </w:tr>
    </w:tbl>
    <w:p w:rsidR="00C97154" w:rsidRPr="00FE6328" w:rsidRDefault="00E82F59" w:rsidP="00F8056C">
      <w:pPr>
        <w:spacing w:before="120" w:line="276" w:lineRule="auto"/>
        <w:ind w:left="360"/>
        <w:rPr>
          <w:rFonts w:cs="Times New Roman"/>
          <w:b/>
          <w:i/>
        </w:rPr>
      </w:pPr>
      <w:r w:rsidRPr="00FE6328">
        <w:rPr>
          <w:rFonts w:cs="Times New Roman"/>
          <w:b/>
          <w:i/>
          <w:sz w:val="20"/>
        </w:rPr>
        <w:t>Source: CEGIS</w:t>
      </w:r>
    </w:p>
    <w:p w:rsidR="00C97154" w:rsidRPr="003510F6" w:rsidRDefault="00C97154" w:rsidP="00FE6328">
      <w:pPr>
        <w:pStyle w:val="BodyText"/>
        <w:spacing w:after="240" w:line="276" w:lineRule="auto"/>
        <w:jc w:val="both"/>
        <w:rPr>
          <w:rFonts w:cs="Times New Roman"/>
          <w:szCs w:val="24"/>
        </w:rPr>
      </w:pPr>
      <w:r w:rsidRPr="003510F6">
        <w:rPr>
          <w:rFonts w:cs="Times New Roman"/>
          <w:szCs w:val="24"/>
        </w:rPr>
        <w:lastRenderedPageBreak/>
        <w:t>On the other hand, the Lower Meghna River is very dynamic. In terms of water flow volume, the Lower Meghna River is ranked third in the world. Almost the total flow of the Ganges-</w:t>
      </w:r>
      <w:r w:rsidR="00FC5D93">
        <w:rPr>
          <w:rFonts w:cs="Times New Roman"/>
          <w:szCs w:val="24"/>
        </w:rPr>
        <w:t xml:space="preserve">The </w:t>
      </w:r>
      <w:r w:rsidRPr="003510F6">
        <w:rPr>
          <w:rFonts w:cs="Times New Roman"/>
          <w:szCs w:val="24"/>
        </w:rPr>
        <w:t>Brahmaputra-</w:t>
      </w:r>
      <w:r w:rsidR="00FC5D93">
        <w:rPr>
          <w:rFonts w:cs="Times New Roman"/>
          <w:szCs w:val="24"/>
        </w:rPr>
        <w:t xml:space="preserve">The </w:t>
      </w:r>
      <w:r w:rsidRPr="003510F6">
        <w:rPr>
          <w:rFonts w:cs="Times New Roman"/>
          <w:szCs w:val="24"/>
        </w:rPr>
        <w:t>Meghna (GBM) basin</w:t>
      </w:r>
      <w:r w:rsidR="00FC5D93">
        <w:rPr>
          <w:rFonts w:cs="Times New Roman"/>
          <w:szCs w:val="24"/>
        </w:rPr>
        <w:t>s</w:t>
      </w:r>
      <w:r w:rsidRPr="003510F6">
        <w:rPr>
          <w:rFonts w:cs="Times New Roman"/>
          <w:szCs w:val="24"/>
        </w:rPr>
        <w:t xml:space="preserve"> runs through this river and carries a huge amount of sediment. </w:t>
      </w:r>
      <w:r w:rsidR="003507C6" w:rsidRPr="003510F6">
        <w:rPr>
          <w:rFonts w:cs="Times New Roman"/>
          <w:szCs w:val="24"/>
        </w:rPr>
        <w:t>Bank erosion and frequent char development are the main problems of this river</w:t>
      </w:r>
      <w:r w:rsidR="00EA56C3">
        <w:rPr>
          <w:rFonts w:cs="Times New Roman"/>
          <w:szCs w:val="24"/>
        </w:rPr>
        <w:t xml:space="preserve"> (Map</w:t>
      </w:r>
      <w:r w:rsidR="00C21C07">
        <w:rPr>
          <w:rFonts w:cs="Times New Roman"/>
          <w:szCs w:val="24"/>
        </w:rPr>
        <w:t xml:space="preserve"> 1.22 and Table 1.18</w:t>
      </w:r>
      <w:r w:rsidR="00EA56C3">
        <w:rPr>
          <w:rFonts w:cs="Times New Roman"/>
          <w:szCs w:val="24"/>
        </w:rPr>
        <w:t>)</w:t>
      </w:r>
      <w:r w:rsidR="003507C6">
        <w:rPr>
          <w:rFonts w:cs="Times New Roman"/>
          <w:szCs w:val="24"/>
        </w:rPr>
        <w:t>.</w:t>
      </w:r>
      <w:r w:rsidR="003507C6" w:rsidRPr="003510F6">
        <w:rPr>
          <w:rFonts w:cs="Times New Roman"/>
          <w:szCs w:val="24"/>
        </w:rPr>
        <w:t xml:space="preserve"> The river erodes its bank when any char develops and creates obstruction to the flow. </w:t>
      </w:r>
      <w:r w:rsidRPr="003510F6">
        <w:rPr>
          <w:rFonts w:cs="Times New Roman"/>
          <w:szCs w:val="24"/>
        </w:rPr>
        <w:t>Thus, riverine chars dominate the morphology of this river.</w:t>
      </w:r>
    </w:p>
    <w:p w:rsidR="00C97154" w:rsidRPr="004B0A08" w:rsidRDefault="00FC5D93" w:rsidP="00E30C8B">
      <w:pPr>
        <w:pStyle w:val="BodyText"/>
        <w:spacing w:after="240" w:line="276" w:lineRule="auto"/>
        <w:jc w:val="both"/>
        <w:rPr>
          <w:rFonts w:cs="Times New Roman"/>
          <w:i/>
          <w:szCs w:val="24"/>
        </w:rPr>
      </w:pPr>
      <w:r>
        <w:rPr>
          <w:rFonts w:cs="Times New Roman"/>
          <w:b/>
          <w:szCs w:val="24"/>
        </w:rPr>
        <w:t>River Systems and the Economy</w:t>
      </w:r>
      <w:r w:rsidR="00EA56C3" w:rsidRPr="00EA56C3">
        <w:rPr>
          <w:rFonts w:cs="Times New Roman"/>
          <w:b/>
          <w:szCs w:val="24"/>
        </w:rPr>
        <w:t>:</w:t>
      </w:r>
      <w:r w:rsidR="00EA56C3">
        <w:rPr>
          <w:rFonts w:cs="Times New Roman"/>
          <w:szCs w:val="24"/>
        </w:rPr>
        <w:t xml:space="preserve">  </w:t>
      </w:r>
      <w:r w:rsidR="00C97154" w:rsidRPr="000709F6">
        <w:rPr>
          <w:rFonts w:cs="Times New Roman"/>
          <w:szCs w:val="24"/>
        </w:rPr>
        <w:t xml:space="preserve">In the rural areas, people are mainly dependent on the agricultural land resources for living and agricultural sector is dependent on river system for irrigation and drainage </w:t>
      </w:r>
      <w:r>
        <w:rPr>
          <w:rFonts w:cs="Times New Roman"/>
          <w:szCs w:val="24"/>
        </w:rPr>
        <w:t>purposes</w:t>
      </w:r>
      <w:r w:rsidR="00C97154" w:rsidRPr="000709F6">
        <w:rPr>
          <w:rFonts w:cs="Times New Roman"/>
          <w:szCs w:val="24"/>
        </w:rPr>
        <w:t xml:space="preserve">. Bangladesh comprises </w:t>
      </w:r>
      <w:r>
        <w:rPr>
          <w:rFonts w:cs="Times New Roman"/>
          <w:szCs w:val="24"/>
        </w:rPr>
        <w:t xml:space="preserve">of </w:t>
      </w:r>
      <w:r w:rsidR="00C97154" w:rsidRPr="000709F6">
        <w:rPr>
          <w:rFonts w:cs="Times New Roman"/>
          <w:szCs w:val="24"/>
        </w:rPr>
        <w:t xml:space="preserve">30 agro-ecological </w:t>
      </w:r>
      <w:r>
        <w:rPr>
          <w:rFonts w:cs="Times New Roman"/>
          <w:szCs w:val="24"/>
        </w:rPr>
        <w:t>zones</w:t>
      </w:r>
      <w:r w:rsidRPr="000709F6">
        <w:rPr>
          <w:rFonts w:cs="Times New Roman"/>
          <w:szCs w:val="24"/>
        </w:rPr>
        <w:t xml:space="preserve"> </w:t>
      </w:r>
      <w:r w:rsidR="00C97154" w:rsidRPr="000709F6">
        <w:rPr>
          <w:rFonts w:cs="Times New Roman"/>
          <w:szCs w:val="24"/>
        </w:rPr>
        <w:t>which have developed based on physiography, soil properties, soil salinity, depth and duration of flooding which are relevant for land use and for the assessment of agricultural potential. A large number of rural people are dependent on rivers for their living as fisherm</w:t>
      </w:r>
      <w:r w:rsidR="00E106A8">
        <w:rPr>
          <w:rFonts w:cs="Times New Roman"/>
          <w:szCs w:val="24"/>
        </w:rPr>
        <w:t>e</w:t>
      </w:r>
      <w:r w:rsidR="00C97154" w:rsidRPr="000709F6">
        <w:rPr>
          <w:rFonts w:cs="Times New Roman"/>
          <w:szCs w:val="24"/>
        </w:rPr>
        <w:t>n, boatm</w:t>
      </w:r>
      <w:r w:rsidR="00E106A8">
        <w:rPr>
          <w:rFonts w:cs="Times New Roman"/>
          <w:szCs w:val="24"/>
        </w:rPr>
        <w:t>e</w:t>
      </w:r>
      <w:r w:rsidR="00C97154" w:rsidRPr="000709F6">
        <w:rPr>
          <w:rFonts w:cs="Times New Roman"/>
          <w:szCs w:val="24"/>
        </w:rPr>
        <w:t xml:space="preserve">n and by other business activities. Moreover, the river system also plays an important role in the urban areas as the water supply and the industrial sector is heavily dependent on the river resources. </w:t>
      </w:r>
      <w:r w:rsidR="00C97154" w:rsidRPr="004B0A08">
        <w:rPr>
          <w:rFonts w:cs="Times New Roman"/>
          <w:i/>
          <w:szCs w:val="24"/>
        </w:rPr>
        <w:t>Navigation is a very important aspect of econ</w:t>
      </w:r>
      <w:r w:rsidR="00E30C8B" w:rsidRPr="004B0A08">
        <w:rPr>
          <w:rFonts w:cs="Times New Roman"/>
          <w:i/>
          <w:szCs w:val="24"/>
        </w:rPr>
        <w:t>omic activities of the country.</w:t>
      </w:r>
      <w:r w:rsidR="0026675B" w:rsidRPr="00421A3A">
        <w:rPr>
          <w:rFonts w:cs="Times New Roman"/>
          <w:b/>
          <w:i/>
          <w:sz w:val="18"/>
          <w:szCs w:val="18"/>
        </w:rPr>
        <w:tab/>
      </w:r>
    </w:p>
    <w:p w:rsidR="00C97154" w:rsidRPr="004B0A08" w:rsidRDefault="00C97154" w:rsidP="00FE6328">
      <w:pPr>
        <w:pStyle w:val="BodyText"/>
        <w:spacing w:after="240" w:line="276" w:lineRule="auto"/>
        <w:jc w:val="both"/>
        <w:rPr>
          <w:rFonts w:cs="Times New Roman"/>
          <w:i/>
          <w:szCs w:val="24"/>
        </w:rPr>
      </w:pPr>
      <w:r w:rsidRPr="00796A65">
        <w:rPr>
          <w:rFonts w:cs="Times New Roman"/>
          <w:szCs w:val="24"/>
        </w:rPr>
        <w:t>The process of riverine erosion in the River and Estuary Hotspot is a major challenge that calls for long term strategic planning</w:t>
      </w:r>
      <w:r>
        <w:rPr>
          <w:rFonts w:cs="Times New Roman"/>
          <w:szCs w:val="24"/>
        </w:rPr>
        <w:t xml:space="preserve"> and response. </w:t>
      </w:r>
      <w:r w:rsidRPr="00796A65">
        <w:rPr>
          <w:rFonts w:cs="Times New Roman"/>
          <w:szCs w:val="24"/>
        </w:rPr>
        <w:t xml:space="preserve">Moreover, unplanned industrialization along the banks causes deterioration of water quality and ecosystem affecting the whole environment. In most of the </w:t>
      </w:r>
      <w:r>
        <w:rPr>
          <w:rFonts w:cs="Times New Roman"/>
          <w:szCs w:val="24"/>
        </w:rPr>
        <w:t>countries,</w:t>
      </w:r>
      <w:r w:rsidRPr="00796A65">
        <w:rPr>
          <w:rFonts w:cs="Times New Roman"/>
          <w:szCs w:val="24"/>
        </w:rPr>
        <w:t xml:space="preserve"> large rivers are well trained and countries are benefiting through using river resources. </w:t>
      </w:r>
      <w:r w:rsidRPr="004B0A08">
        <w:rPr>
          <w:rFonts w:cs="Times New Roman"/>
          <w:i/>
          <w:szCs w:val="24"/>
        </w:rPr>
        <w:t xml:space="preserve">In Bangladesh this needs to be given careful thought and understanding the river systems is necessary to ensure proper river management. </w:t>
      </w:r>
    </w:p>
    <w:p w:rsidR="00C97154" w:rsidRPr="00796A65" w:rsidRDefault="00C97154" w:rsidP="00FE6328">
      <w:pPr>
        <w:pStyle w:val="BodyText"/>
        <w:spacing w:after="240" w:line="276" w:lineRule="auto"/>
        <w:jc w:val="both"/>
        <w:rPr>
          <w:rFonts w:cs="Times New Roman"/>
          <w:szCs w:val="24"/>
        </w:rPr>
      </w:pPr>
      <w:r w:rsidRPr="00796A65">
        <w:rPr>
          <w:rFonts w:cs="Times New Roman"/>
          <w:szCs w:val="24"/>
        </w:rPr>
        <w:t xml:space="preserve">In North-West Region, the Barind Tract and the Atrai basin, a part of the </w:t>
      </w:r>
      <w:r w:rsidR="003507C6" w:rsidRPr="00796A65">
        <w:rPr>
          <w:rFonts w:cs="Times New Roman"/>
          <w:szCs w:val="24"/>
        </w:rPr>
        <w:t>Chalan Beel</w:t>
      </w:r>
      <w:r w:rsidRPr="00796A65">
        <w:rPr>
          <w:rFonts w:cs="Times New Roman"/>
          <w:szCs w:val="24"/>
        </w:rPr>
        <w:t xml:space="preserve"> avulsion and westward shifting of the Brahmaputra River and construction of Teesta Barrage have caused significant changes in this region. Erosion, navigation during dry season, high extraction of groundwater, flood and water scarcity for irrigation are the major problems of this region. Controlling groundwater mining will be a challenging issue especially in the Barind Tract. Controlling the upstream intervention at international and local levels will be another challenge for this region.</w:t>
      </w:r>
    </w:p>
    <w:p w:rsidR="00C97154" w:rsidRPr="00796A65" w:rsidRDefault="00C97154" w:rsidP="00FE6328">
      <w:pPr>
        <w:pStyle w:val="BodyText"/>
        <w:spacing w:after="240" w:line="276" w:lineRule="auto"/>
        <w:jc w:val="both"/>
        <w:rPr>
          <w:rFonts w:cs="Times New Roman"/>
          <w:szCs w:val="24"/>
        </w:rPr>
      </w:pPr>
      <w:r w:rsidRPr="00796A65">
        <w:rPr>
          <w:rFonts w:cs="Times New Roman"/>
          <w:szCs w:val="24"/>
        </w:rPr>
        <w:t xml:space="preserve">In the North-Central Region, enormous sediment supply from upstream through Jamuna and its avulsion attributes to the off-take sedimentation of major rivers of this region. </w:t>
      </w:r>
      <w:r w:rsidRPr="004B0A08">
        <w:rPr>
          <w:rFonts w:cs="Times New Roman"/>
          <w:i/>
          <w:szCs w:val="24"/>
        </w:rPr>
        <w:t>Maintaining navigation facilities is a major problem for this region as many rivers have become morphologically inactive.</w:t>
      </w:r>
      <w:r w:rsidRPr="00796A65">
        <w:rPr>
          <w:rFonts w:cs="Times New Roman"/>
          <w:szCs w:val="24"/>
        </w:rPr>
        <w:t xml:space="preserve"> Discharged effluence and waste materials from industries have caused deterioration of water quality significantly. It would be challenging to maintain regulated flow, which can facilitate in improving water quality without making the banks of the rivers erosion prone.</w:t>
      </w:r>
    </w:p>
    <w:p w:rsidR="00C97154" w:rsidRPr="00796A65" w:rsidRDefault="00C97154" w:rsidP="00FE6328">
      <w:pPr>
        <w:pStyle w:val="BodyText"/>
        <w:spacing w:after="240" w:line="276" w:lineRule="auto"/>
        <w:jc w:val="both"/>
        <w:rPr>
          <w:rFonts w:cs="Times New Roman"/>
          <w:szCs w:val="24"/>
        </w:rPr>
      </w:pPr>
      <w:r w:rsidRPr="00796A65">
        <w:rPr>
          <w:rFonts w:cs="Times New Roman"/>
          <w:szCs w:val="24"/>
        </w:rPr>
        <w:t>The North-East Region is a tec</w:t>
      </w:r>
      <w:r w:rsidR="00FE6385">
        <w:rPr>
          <w:rFonts w:cs="Times New Roman"/>
          <w:szCs w:val="24"/>
        </w:rPr>
        <w:t>t</w:t>
      </w:r>
      <w:r w:rsidR="003446B1">
        <w:rPr>
          <w:rFonts w:cs="Times New Roman"/>
          <w:szCs w:val="24"/>
        </w:rPr>
        <w:t>on</w:t>
      </w:r>
      <w:r w:rsidRPr="00796A65">
        <w:rPr>
          <w:rFonts w:cs="Times New Roman"/>
          <w:szCs w:val="24"/>
        </w:rPr>
        <w:t xml:space="preserve">ically active basin the central part of which is subsiding. This increased subsidence rate is mainly caused by the sediment starvation due to the avulsion of the </w:t>
      </w:r>
      <w:r w:rsidRPr="00796A65">
        <w:rPr>
          <w:rFonts w:cs="Times New Roman"/>
          <w:szCs w:val="24"/>
        </w:rPr>
        <w:lastRenderedPageBreak/>
        <w:t xml:space="preserve">Brahmaputra River. Moreover, the northern part of the region being most depressed, the rivers showed a tendency of shifting towards the north. Proper sediment management is very significant for this region to compensate the subsidence and other effects of climate change and at the same time to maintain the ecosystem. </w:t>
      </w:r>
      <w:r w:rsidRPr="004B0A08">
        <w:rPr>
          <w:rFonts w:cs="Times New Roman"/>
          <w:i/>
          <w:szCs w:val="24"/>
        </w:rPr>
        <w:t>Maintaining proper sediment balance will be very challenging in North-East Region as different sectors are related to it.</w:t>
      </w:r>
    </w:p>
    <w:p w:rsidR="00C97154" w:rsidRPr="00796A65" w:rsidRDefault="00C97154" w:rsidP="00FE6328">
      <w:pPr>
        <w:pStyle w:val="BodyText"/>
        <w:spacing w:after="240" w:line="276" w:lineRule="auto"/>
        <w:jc w:val="both"/>
        <w:rPr>
          <w:rFonts w:cs="Times New Roman"/>
          <w:szCs w:val="24"/>
        </w:rPr>
      </w:pPr>
      <w:r w:rsidRPr="00796A65">
        <w:rPr>
          <w:rFonts w:cs="Times New Roman"/>
          <w:szCs w:val="24"/>
        </w:rPr>
        <w:t>More than half of the South-West and South-Central regions are influenced by tide and salinity intrusion</w:t>
      </w:r>
      <w:r w:rsidR="00F8056C">
        <w:rPr>
          <w:rFonts w:cs="Times New Roman"/>
          <w:szCs w:val="24"/>
        </w:rPr>
        <w:t>s</w:t>
      </w:r>
      <w:r w:rsidRPr="00796A65">
        <w:rPr>
          <w:rFonts w:cs="Times New Roman"/>
          <w:szCs w:val="24"/>
        </w:rPr>
        <w:t xml:space="preserve"> </w:t>
      </w:r>
      <w:r>
        <w:rPr>
          <w:rFonts w:cs="Times New Roman"/>
          <w:szCs w:val="24"/>
        </w:rPr>
        <w:t>which are</w:t>
      </w:r>
      <w:r w:rsidRPr="00796A65">
        <w:rPr>
          <w:rFonts w:cs="Times New Roman"/>
          <w:szCs w:val="24"/>
        </w:rPr>
        <w:t xml:space="preserve"> common feature</w:t>
      </w:r>
      <w:r>
        <w:rPr>
          <w:rFonts w:cs="Times New Roman"/>
          <w:szCs w:val="24"/>
        </w:rPr>
        <w:t>s</w:t>
      </w:r>
      <w:r w:rsidRPr="00796A65">
        <w:rPr>
          <w:rFonts w:cs="Times New Roman"/>
          <w:szCs w:val="24"/>
        </w:rPr>
        <w:t xml:space="preserve"> for several kilometers inland from the Bay of Bengal. This is a complex region of inter-linked ecosystems in the delta of the Ganges-Brahmaputra Rivers. Delta progradation or delta building process is the most eminent feature of this region which is influenced by tec</w:t>
      </w:r>
      <w:r w:rsidR="00FE6385">
        <w:rPr>
          <w:rFonts w:cs="Times New Roman"/>
          <w:szCs w:val="24"/>
        </w:rPr>
        <w:t>t</w:t>
      </w:r>
      <w:r w:rsidR="003446B1">
        <w:rPr>
          <w:rFonts w:cs="Times New Roman"/>
          <w:szCs w:val="24"/>
        </w:rPr>
        <w:t>on</w:t>
      </w:r>
      <w:r w:rsidRPr="00796A65">
        <w:rPr>
          <w:rFonts w:cs="Times New Roman"/>
          <w:szCs w:val="24"/>
        </w:rPr>
        <w:t>ic and seismic activities. This active delta building process has impact on accelerating the dynamics of rivers and Meghna Estuary of this region. This region is severely vulnerable in terms of climate change and sea level rise. Lack of fresh water, salinity, groundwater arsenic and subsidence of polders are the major problems of this region. Maintaining fresh water flow and sediment management in polder areas of the South-West have been identified to be the major challenges.</w:t>
      </w:r>
    </w:p>
    <w:p w:rsidR="00C97154" w:rsidRPr="00796A65" w:rsidRDefault="00C97154" w:rsidP="00FE6328">
      <w:pPr>
        <w:pStyle w:val="BodyText"/>
        <w:spacing w:after="240" w:line="276" w:lineRule="auto"/>
        <w:jc w:val="both"/>
        <w:rPr>
          <w:rFonts w:cs="Times New Roman"/>
          <w:szCs w:val="24"/>
        </w:rPr>
      </w:pPr>
      <w:r w:rsidRPr="00796A65">
        <w:rPr>
          <w:rFonts w:cs="Times New Roman"/>
          <w:szCs w:val="24"/>
        </w:rPr>
        <w:t>The topography of the Eastern Hill Region being different from the rest of the country, the rivers of the South-East Region are different as well. These rivers did not change the same way as did rivers of the other regions. Rivers in the hilly region mainly follow the terrain of the hills. Most of the rivers of this region are flashy in nature and bank erosion occurs along the banks. Sedimentation due to deforestation and hilly cultivation practices causes navigation problem impeding commercial activities. The main challenge will be to deal with drainage congestion in the South-East Region.</w:t>
      </w:r>
    </w:p>
    <w:p w:rsidR="00584168" w:rsidRPr="004B0A08" w:rsidRDefault="000D5BA3" w:rsidP="00EA56C3">
      <w:pPr>
        <w:pStyle w:val="BodyText"/>
        <w:spacing w:after="240" w:line="276" w:lineRule="auto"/>
        <w:jc w:val="both"/>
        <w:rPr>
          <w:rFonts w:cs="Times New Roman"/>
          <w:i/>
          <w:szCs w:val="24"/>
        </w:rPr>
      </w:pPr>
      <w:r w:rsidRPr="00D555D4">
        <w:rPr>
          <w:rFonts w:cs="Times New Roman"/>
          <w:szCs w:val="24"/>
        </w:rPr>
        <w:t>In summary</w:t>
      </w:r>
      <w:r w:rsidR="00584168">
        <w:rPr>
          <w:rFonts w:cs="Times New Roman"/>
          <w:szCs w:val="24"/>
        </w:rPr>
        <w:t>,</w:t>
      </w:r>
      <w:r w:rsidRPr="00D555D4">
        <w:rPr>
          <w:rFonts w:cs="Times New Roman"/>
          <w:szCs w:val="24"/>
        </w:rPr>
        <w:t xml:space="preserve"> the vulnerabilities affecting the Major Ri</w:t>
      </w:r>
      <w:r w:rsidR="00584168">
        <w:rPr>
          <w:rFonts w:cs="Times New Roman"/>
          <w:szCs w:val="24"/>
        </w:rPr>
        <w:t xml:space="preserve">vers and Estuaries </w:t>
      </w:r>
      <w:r w:rsidR="00C21C07">
        <w:rPr>
          <w:rFonts w:cs="Times New Roman"/>
          <w:szCs w:val="24"/>
        </w:rPr>
        <w:t>Hotspots are shown in Table 1.19</w:t>
      </w:r>
      <w:r w:rsidR="00584168">
        <w:rPr>
          <w:rFonts w:cs="Times New Roman"/>
          <w:szCs w:val="24"/>
        </w:rPr>
        <w:t xml:space="preserve"> below.</w:t>
      </w:r>
      <w:r w:rsidR="00EA56C3">
        <w:rPr>
          <w:rFonts w:cs="Times New Roman"/>
          <w:szCs w:val="24"/>
        </w:rPr>
        <w:t xml:space="preserve">  To address these concerns, policy attention needs to focus on several areas: </w:t>
      </w:r>
      <w:r w:rsidR="00584168" w:rsidRPr="00796A65">
        <w:rPr>
          <w:szCs w:val="24"/>
        </w:rPr>
        <w:t xml:space="preserve">preparing a sustainable and adaptable long term plan; optimizing resources, maintaining connectivity of the river system, climate change and upstream intervention both within country and also beyond the international border. </w:t>
      </w:r>
      <w:r w:rsidR="00584168" w:rsidRPr="004B0A08">
        <w:rPr>
          <w:i/>
          <w:color w:val="231F20"/>
          <w:szCs w:val="24"/>
        </w:rPr>
        <w:t>Integrated water management is needed to capture multiple benefits, including flood prevention and efficient use of water supply</w:t>
      </w:r>
      <w:r w:rsidR="00584168" w:rsidRPr="004B0A08">
        <w:rPr>
          <w:b/>
          <w:i/>
          <w:color w:val="231F20"/>
          <w:szCs w:val="24"/>
        </w:rPr>
        <w:t>.</w:t>
      </w:r>
      <w:r w:rsidR="00584168" w:rsidRPr="004B0A08">
        <w:rPr>
          <w:i/>
          <w:color w:val="231F20"/>
          <w:szCs w:val="24"/>
        </w:rPr>
        <w:t xml:space="preserve"> Future projects involving water harvesting and storage structure with earth embankment spillways, outlet works, and canal facilities might have to be considered. The main challenge will be to link interventions adapting to climate change impacts with the country’s strategy for higher growth with minimal impact on the environment.</w:t>
      </w:r>
    </w:p>
    <w:p w:rsidR="00584168" w:rsidRDefault="00584168" w:rsidP="00FE6328">
      <w:pPr>
        <w:pStyle w:val="BodyText"/>
        <w:spacing w:after="240" w:line="276" w:lineRule="auto"/>
        <w:jc w:val="both"/>
        <w:rPr>
          <w:rFonts w:cs="Times New Roman"/>
          <w:szCs w:val="24"/>
        </w:rPr>
      </w:pPr>
    </w:p>
    <w:p w:rsidR="00C47339" w:rsidRDefault="00C47339" w:rsidP="00FE6328">
      <w:pPr>
        <w:pStyle w:val="BodyText"/>
        <w:spacing w:after="240" w:line="276" w:lineRule="auto"/>
        <w:jc w:val="both"/>
        <w:rPr>
          <w:rFonts w:cs="Times New Roman"/>
          <w:szCs w:val="24"/>
        </w:rPr>
      </w:pPr>
    </w:p>
    <w:p w:rsidR="00584168" w:rsidRPr="00D555D4" w:rsidRDefault="00584168" w:rsidP="00FE6328">
      <w:pPr>
        <w:pStyle w:val="BodyText"/>
        <w:spacing w:after="240" w:line="276" w:lineRule="auto"/>
        <w:jc w:val="both"/>
        <w:rPr>
          <w:rFonts w:cs="Times New Roman"/>
          <w:szCs w:val="24"/>
        </w:rPr>
      </w:pPr>
    </w:p>
    <w:p w:rsidR="000D5BA3" w:rsidRPr="005444EB" w:rsidRDefault="000D5BA3" w:rsidP="004402F1">
      <w:pPr>
        <w:pStyle w:val="Heading4"/>
      </w:pPr>
      <w:bookmarkStart w:id="102" w:name="_Toc474638990"/>
      <w:r w:rsidRPr="005444EB">
        <w:lastRenderedPageBreak/>
        <w:t xml:space="preserve">Table </w:t>
      </w:r>
      <w:r w:rsidR="00D9144F">
        <w:t>1.</w:t>
      </w:r>
      <w:r w:rsidR="00506AAD" w:rsidRPr="005444EB">
        <w:t>1</w:t>
      </w:r>
      <w:r w:rsidR="00C21C07">
        <w:t>9</w:t>
      </w:r>
      <w:r w:rsidRPr="005444EB">
        <w:t xml:space="preserve">: Key vulnerabilities of the </w:t>
      </w:r>
      <w:r w:rsidR="00506AAD" w:rsidRPr="005444EB">
        <w:t xml:space="preserve">Major Rivers and Estuaries </w:t>
      </w:r>
      <w:r w:rsidRPr="005444EB">
        <w:t>Hotspot</w:t>
      </w:r>
      <w:bookmarkEnd w:id="102"/>
    </w:p>
    <w:tbl>
      <w:tblPr>
        <w:tblStyle w:val="TableGrid"/>
        <w:tblW w:w="5000" w:type="pct"/>
        <w:jc w:val="center"/>
        <w:tblLook w:val="04A0"/>
      </w:tblPr>
      <w:tblGrid>
        <w:gridCol w:w="1964"/>
        <w:gridCol w:w="2337"/>
        <w:gridCol w:w="2239"/>
        <w:gridCol w:w="3036"/>
      </w:tblGrid>
      <w:tr w:rsidR="006A6886" w:rsidRPr="00312B8D" w:rsidTr="00431F71">
        <w:trPr>
          <w:tblHeader/>
          <w:jc w:val="center"/>
        </w:trPr>
        <w:tc>
          <w:tcPr>
            <w:tcW w:w="1026" w:type="pct"/>
          </w:tcPr>
          <w:p w:rsidR="006A6886" w:rsidRPr="006E075E" w:rsidRDefault="006A6886" w:rsidP="009A672F">
            <w:pPr>
              <w:pStyle w:val="BodyText"/>
              <w:spacing w:after="0" w:line="240" w:lineRule="auto"/>
              <w:jc w:val="center"/>
              <w:rPr>
                <w:rFonts w:cs="Times New Roman"/>
                <w:b/>
                <w:sz w:val="20"/>
                <w:szCs w:val="20"/>
              </w:rPr>
            </w:pPr>
            <w:r>
              <w:rPr>
                <w:rFonts w:cs="Times New Roman"/>
                <w:b/>
                <w:sz w:val="20"/>
                <w:szCs w:val="20"/>
              </w:rPr>
              <w:t>Vulnerability from</w:t>
            </w:r>
          </w:p>
        </w:tc>
        <w:tc>
          <w:tcPr>
            <w:tcW w:w="1220" w:type="pct"/>
          </w:tcPr>
          <w:p w:rsidR="006A6886" w:rsidRPr="006E075E" w:rsidRDefault="006A6886" w:rsidP="009A672F">
            <w:pPr>
              <w:pStyle w:val="BodyText"/>
              <w:spacing w:after="0" w:line="240" w:lineRule="auto"/>
              <w:jc w:val="center"/>
              <w:rPr>
                <w:rFonts w:cs="Times New Roman"/>
                <w:b/>
                <w:sz w:val="20"/>
                <w:szCs w:val="20"/>
              </w:rPr>
            </w:pPr>
            <w:r w:rsidRPr="006E075E">
              <w:rPr>
                <w:rFonts w:cs="Times New Roman"/>
                <w:b/>
                <w:sz w:val="20"/>
                <w:szCs w:val="20"/>
              </w:rPr>
              <w:t xml:space="preserve">Current </w:t>
            </w:r>
            <w:r>
              <w:rPr>
                <w:rFonts w:cs="Times New Roman"/>
                <w:b/>
                <w:sz w:val="20"/>
                <w:szCs w:val="20"/>
              </w:rPr>
              <w:t>State</w:t>
            </w:r>
          </w:p>
        </w:tc>
        <w:tc>
          <w:tcPr>
            <w:tcW w:w="1169" w:type="pct"/>
          </w:tcPr>
          <w:p w:rsidR="006A6886" w:rsidRPr="006E075E" w:rsidRDefault="006A6886" w:rsidP="009A672F">
            <w:pPr>
              <w:pStyle w:val="BodyText"/>
              <w:spacing w:after="0" w:line="240" w:lineRule="auto"/>
              <w:jc w:val="center"/>
              <w:rPr>
                <w:rFonts w:cs="Times New Roman"/>
                <w:b/>
                <w:sz w:val="20"/>
                <w:szCs w:val="20"/>
              </w:rPr>
            </w:pPr>
            <w:r>
              <w:rPr>
                <w:rFonts w:cs="Times New Roman"/>
                <w:b/>
                <w:sz w:val="20"/>
                <w:szCs w:val="20"/>
              </w:rPr>
              <w:t xml:space="preserve">Expected </w:t>
            </w:r>
            <w:r w:rsidRPr="006E075E">
              <w:rPr>
                <w:rFonts w:cs="Times New Roman"/>
                <w:b/>
                <w:sz w:val="20"/>
                <w:szCs w:val="20"/>
              </w:rPr>
              <w:t>Change</w:t>
            </w:r>
          </w:p>
        </w:tc>
        <w:tc>
          <w:tcPr>
            <w:tcW w:w="1585" w:type="pct"/>
          </w:tcPr>
          <w:p w:rsidR="006A6886" w:rsidRPr="006E075E" w:rsidRDefault="006A6886" w:rsidP="009A672F">
            <w:pPr>
              <w:pStyle w:val="BodyText"/>
              <w:spacing w:after="0" w:line="240" w:lineRule="auto"/>
              <w:jc w:val="center"/>
              <w:rPr>
                <w:rFonts w:cs="Times New Roman"/>
                <w:b/>
                <w:sz w:val="20"/>
                <w:szCs w:val="20"/>
              </w:rPr>
            </w:pPr>
            <w:r w:rsidRPr="006E075E">
              <w:rPr>
                <w:rFonts w:cs="Times New Roman"/>
                <w:b/>
                <w:sz w:val="20"/>
                <w:szCs w:val="20"/>
              </w:rPr>
              <w:t>Consequences under a BAU scenario</w:t>
            </w:r>
          </w:p>
        </w:tc>
      </w:tr>
      <w:tr w:rsidR="006A6886" w:rsidRPr="00312B8D" w:rsidTr="00431F71">
        <w:trPr>
          <w:jc w:val="center"/>
        </w:trPr>
        <w:tc>
          <w:tcPr>
            <w:tcW w:w="1026" w:type="pct"/>
          </w:tcPr>
          <w:p w:rsidR="006A6886" w:rsidRDefault="006A6886" w:rsidP="009A672F">
            <w:pPr>
              <w:pStyle w:val="BodyText"/>
              <w:spacing w:after="0" w:line="240" w:lineRule="auto"/>
              <w:rPr>
                <w:rFonts w:cs="Times New Roman"/>
                <w:sz w:val="20"/>
                <w:szCs w:val="20"/>
              </w:rPr>
            </w:pPr>
            <w:r>
              <w:rPr>
                <w:rFonts w:cs="Times New Roman"/>
                <w:sz w:val="20"/>
                <w:szCs w:val="20"/>
              </w:rPr>
              <w:t xml:space="preserve">1. </w:t>
            </w:r>
            <w:r w:rsidR="009A672F">
              <w:rPr>
                <w:rFonts w:cs="Times New Roman"/>
                <w:sz w:val="20"/>
                <w:szCs w:val="20"/>
              </w:rPr>
              <w:t>Riverine erosion and accretion</w:t>
            </w:r>
          </w:p>
        </w:tc>
        <w:tc>
          <w:tcPr>
            <w:tcW w:w="1220" w:type="pct"/>
          </w:tcPr>
          <w:p w:rsidR="006A6886" w:rsidRDefault="008940A1" w:rsidP="009A672F">
            <w:pPr>
              <w:pStyle w:val="BodyText"/>
              <w:spacing w:after="0" w:line="240" w:lineRule="auto"/>
              <w:rPr>
                <w:rFonts w:cs="Times New Roman"/>
                <w:sz w:val="20"/>
                <w:szCs w:val="20"/>
              </w:rPr>
            </w:pPr>
            <w:r>
              <w:rPr>
                <w:rFonts w:cs="Times New Roman"/>
                <w:sz w:val="20"/>
                <w:szCs w:val="20"/>
              </w:rPr>
              <w:t>By 2013, riverine e</w:t>
            </w:r>
            <w:r w:rsidR="009A672F">
              <w:rPr>
                <w:rFonts w:cs="Times New Roman"/>
                <w:sz w:val="20"/>
                <w:szCs w:val="20"/>
              </w:rPr>
              <w:t xml:space="preserve">rosion along Ganges, Jamuna, Padma </w:t>
            </w:r>
            <w:r>
              <w:rPr>
                <w:rFonts w:cs="Times New Roman"/>
                <w:sz w:val="20"/>
                <w:szCs w:val="20"/>
              </w:rPr>
              <w:t xml:space="preserve">and Lower Meghna recorded at </w:t>
            </w:r>
            <w:r w:rsidR="009A672F">
              <w:rPr>
                <w:rFonts w:cs="Times New Roman"/>
                <w:sz w:val="20"/>
                <w:szCs w:val="20"/>
              </w:rPr>
              <w:t>1</w:t>
            </w:r>
            <w:r w:rsidR="00573431">
              <w:rPr>
                <w:rFonts w:cs="Times New Roman"/>
                <w:sz w:val="20"/>
                <w:szCs w:val="20"/>
              </w:rPr>
              <w:t>79</w:t>
            </w:r>
            <w:r w:rsidR="009A672F">
              <w:rPr>
                <w:rFonts w:cs="Times New Roman"/>
                <w:sz w:val="20"/>
                <w:szCs w:val="20"/>
              </w:rPr>
              <w:t>,</w:t>
            </w:r>
            <w:r w:rsidR="00573431">
              <w:rPr>
                <w:rFonts w:cs="Times New Roman"/>
                <w:sz w:val="20"/>
                <w:szCs w:val="20"/>
              </w:rPr>
              <w:t>258</w:t>
            </w:r>
            <w:r w:rsidR="009A672F">
              <w:rPr>
                <w:rFonts w:cs="Times New Roman"/>
                <w:sz w:val="20"/>
                <w:szCs w:val="20"/>
              </w:rPr>
              <w:t xml:space="preserve"> ha;</w:t>
            </w:r>
          </w:p>
          <w:p w:rsidR="009A672F" w:rsidRPr="00A24C4A" w:rsidRDefault="00FE77C0" w:rsidP="009A672F">
            <w:pPr>
              <w:pStyle w:val="BodyText"/>
              <w:spacing w:after="0" w:line="240" w:lineRule="auto"/>
              <w:rPr>
                <w:rFonts w:cs="Times New Roman"/>
                <w:sz w:val="20"/>
                <w:szCs w:val="20"/>
              </w:rPr>
            </w:pPr>
            <w:r>
              <w:rPr>
                <w:rFonts w:cs="Times New Roman"/>
                <w:sz w:val="20"/>
                <w:szCs w:val="20"/>
              </w:rPr>
              <w:t>a</w:t>
            </w:r>
            <w:r w:rsidR="009A672F">
              <w:rPr>
                <w:rFonts w:cs="Times New Roman"/>
                <w:sz w:val="20"/>
                <w:szCs w:val="20"/>
              </w:rPr>
              <w:t xml:space="preserve">ccretion only </w:t>
            </w:r>
            <w:r w:rsidR="00573431">
              <w:rPr>
                <w:rFonts w:cs="Times New Roman"/>
                <w:sz w:val="20"/>
                <w:szCs w:val="20"/>
              </w:rPr>
              <w:t>7</w:t>
            </w:r>
            <w:r w:rsidR="009A672F">
              <w:rPr>
                <w:rFonts w:cs="Times New Roman"/>
                <w:sz w:val="20"/>
                <w:szCs w:val="20"/>
              </w:rPr>
              <w:t>5</w:t>
            </w:r>
            <w:r w:rsidR="00573431">
              <w:rPr>
                <w:rFonts w:cs="Times New Roman"/>
                <w:sz w:val="20"/>
                <w:szCs w:val="20"/>
              </w:rPr>
              <w:t>,</w:t>
            </w:r>
            <w:r w:rsidR="009A672F">
              <w:rPr>
                <w:rFonts w:cs="Times New Roman"/>
                <w:sz w:val="20"/>
                <w:szCs w:val="20"/>
              </w:rPr>
              <w:t>2</w:t>
            </w:r>
            <w:r w:rsidR="00573431">
              <w:rPr>
                <w:rFonts w:cs="Times New Roman"/>
                <w:sz w:val="20"/>
                <w:szCs w:val="20"/>
              </w:rPr>
              <w:t>63</w:t>
            </w:r>
            <w:r w:rsidR="009A672F">
              <w:rPr>
                <w:rFonts w:cs="Times New Roman"/>
                <w:sz w:val="20"/>
                <w:szCs w:val="20"/>
              </w:rPr>
              <w:t xml:space="preserve"> ha</w:t>
            </w:r>
          </w:p>
        </w:tc>
        <w:tc>
          <w:tcPr>
            <w:tcW w:w="1169" w:type="pct"/>
          </w:tcPr>
          <w:p w:rsidR="006A6886" w:rsidRPr="00A24C4A" w:rsidRDefault="009A672F" w:rsidP="009A672F">
            <w:pPr>
              <w:pStyle w:val="BodyText"/>
              <w:spacing w:after="0" w:line="240" w:lineRule="auto"/>
              <w:rPr>
                <w:rFonts w:cs="Times New Roman"/>
                <w:sz w:val="20"/>
                <w:szCs w:val="20"/>
              </w:rPr>
            </w:pPr>
            <w:r>
              <w:rPr>
                <w:rFonts w:cs="Times New Roman"/>
                <w:sz w:val="20"/>
                <w:szCs w:val="20"/>
              </w:rPr>
              <w:t xml:space="preserve">With 13% increase in precipitation </w:t>
            </w:r>
            <w:r w:rsidR="00FE77C0">
              <w:rPr>
                <w:rFonts w:cs="Times New Roman"/>
                <w:sz w:val="20"/>
                <w:szCs w:val="20"/>
              </w:rPr>
              <w:t xml:space="preserve">projected </w:t>
            </w:r>
            <w:r>
              <w:rPr>
                <w:rFonts w:cs="Times New Roman"/>
                <w:sz w:val="20"/>
                <w:szCs w:val="20"/>
              </w:rPr>
              <w:t xml:space="preserve">and annual discharge of rivers over the GBM floodplains, riverine erosion could increase </w:t>
            </w:r>
          </w:p>
        </w:tc>
        <w:tc>
          <w:tcPr>
            <w:tcW w:w="1585" w:type="pct"/>
          </w:tcPr>
          <w:p w:rsidR="006A6886" w:rsidRPr="00A24C4A" w:rsidRDefault="009A672F" w:rsidP="00FE77C0">
            <w:pPr>
              <w:pStyle w:val="BodyText"/>
              <w:spacing w:after="0" w:line="240" w:lineRule="auto"/>
              <w:rPr>
                <w:rFonts w:cs="Times New Roman"/>
                <w:sz w:val="20"/>
                <w:szCs w:val="20"/>
              </w:rPr>
            </w:pPr>
            <w:r>
              <w:rPr>
                <w:rFonts w:cs="Times New Roman"/>
                <w:sz w:val="20"/>
                <w:szCs w:val="20"/>
              </w:rPr>
              <w:t>Loss of farmland, crops</w:t>
            </w:r>
            <w:r w:rsidR="00FE77C0">
              <w:rPr>
                <w:rFonts w:cs="Times New Roman"/>
                <w:sz w:val="20"/>
                <w:szCs w:val="20"/>
              </w:rPr>
              <w:t xml:space="preserve">, </w:t>
            </w:r>
            <w:r>
              <w:rPr>
                <w:rFonts w:cs="Times New Roman"/>
                <w:sz w:val="20"/>
                <w:szCs w:val="20"/>
              </w:rPr>
              <w:t xml:space="preserve">homesteads </w:t>
            </w:r>
            <w:r w:rsidR="00FE77C0">
              <w:rPr>
                <w:rFonts w:cs="Times New Roman"/>
                <w:sz w:val="20"/>
                <w:szCs w:val="20"/>
              </w:rPr>
              <w:t xml:space="preserve">and livelihoods affecting thousands of hectares </w:t>
            </w:r>
            <w:r>
              <w:rPr>
                <w:rFonts w:cs="Times New Roman"/>
                <w:sz w:val="20"/>
                <w:szCs w:val="20"/>
              </w:rPr>
              <w:t xml:space="preserve">along major rivers; </w:t>
            </w:r>
            <w:r w:rsidR="006A6886">
              <w:rPr>
                <w:rFonts w:cs="Times New Roman"/>
                <w:sz w:val="20"/>
                <w:szCs w:val="20"/>
              </w:rPr>
              <w:t>damage to infrastructure</w:t>
            </w:r>
          </w:p>
        </w:tc>
      </w:tr>
      <w:tr w:rsidR="006A6886" w:rsidRPr="00312B8D" w:rsidTr="00431F71">
        <w:trPr>
          <w:jc w:val="center"/>
        </w:trPr>
        <w:tc>
          <w:tcPr>
            <w:tcW w:w="1026" w:type="pct"/>
          </w:tcPr>
          <w:p w:rsidR="006A6886" w:rsidRDefault="006A6886" w:rsidP="00FE77C0">
            <w:pPr>
              <w:pStyle w:val="BodyText"/>
              <w:spacing w:after="0" w:line="240" w:lineRule="auto"/>
              <w:rPr>
                <w:rFonts w:cs="Times New Roman"/>
                <w:sz w:val="20"/>
                <w:szCs w:val="20"/>
              </w:rPr>
            </w:pPr>
            <w:r>
              <w:rPr>
                <w:rFonts w:cs="Times New Roman"/>
                <w:sz w:val="20"/>
                <w:szCs w:val="20"/>
              </w:rPr>
              <w:t xml:space="preserve">2. </w:t>
            </w:r>
            <w:r w:rsidR="00FE77C0">
              <w:rPr>
                <w:rFonts w:cs="Times New Roman"/>
                <w:sz w:val="20"/>
                <w:szCs w:val="20"/>
              </w:rPr>
              <w:t xml:space="preserve">Drought / dray periods and reduced riverine flows </w:t>
            </w:r>
          </w:p>
        </w:tc>
        <w:tc>
          <w:tcPr>
            <w:tcW w:w="1220" w:type="pct"/>
          </w:tcPr>
          <w:p w:rsidR="006A6886" w:rsidRPr="00A24C4A" w:rsidRDefault="00FE77C0" w:rsidP="00FE77C0">
            <w:pPr>
              <w:pStyle w:val="BodyText"/>
              <w:spacing w:after="0" w:line="240" w:lineRule="auto"/>
              <w:rPr>
                <w:rFonts w:cs="Times New Roman"/>
                <w:sz w:val="20"/>
                <w:szCs w:val="20"/>
              </w:rPr>
            </w:pPr>
            <w:r>
              <w:rPr>
                <w:rFonts w:cs="Times New Roman"/>
                <w:sz w:val="20"/>
                <w:szCs w:val="20"/>
              </w:rPr>
              <w:t>Upstream reduction of flows on transboundary rivers; difficulty of navigation during dry season, high abstraction of groundwater; water scarcity for irrigation</w:t>
            </w:r>
          </w:p>
        </w:tc>
        <w:tc>
          <w:tcPr>
            <w:tcW w:w="1169" w:type="pct"/>
          </w:tcPr>
          <w:p w:rsidR="006A6886" w:rsidRPr="00A24C4A" w:rsidRDefault="00FE77C0" w:rsidP="009A672F">
            <w:pPr>
              <w:pStyle w:val="BodyText"/>
              <w:spacing w:after="0" w:line="240" w:lineRule="auto"/>
              <w:rPr>
                <w:rFonts w:cs="Times New Roman"/>
                <w:sz w:val="20"/>
                <w:szCs w:val="20"/>
              </w:rPr>
            </w:pPr>
            <w:r>
              <w:rPr>
                <w:rFonts w:cs="Times New Roman"/>
                <w:sz w:val="20"/>
                <w:szCs w:val="20"/>
              </w:rPr>
              <w:t>Aggravation of current problems</w:t>
            </w:r>
          </w:p>
        </w:tc>
        <w:tc>
          <w:tcPr>
            <w:tcW w:w="1585" w:type="pct"/>
          </w:tcPr>
          <w:p w:rsidR="006A6886" w:rsidRPr="00A24C4A" w:rsidRDefault="00FE77C0" w:rsidP="00FE77C0">
            <w:pPr>
              <w:pStyle w:val="BodyText"/>
              <w:spacing w:after="0" w:line="240" w:lineRule="auto"/>
              <w:rPr>
                <w:rFonts w:cs="Times New Roman"/>
                <w:sz w:val="20"/>
                <w:szCs w:val="20"/>
              </w:rPr>
            </w:pPr>
            <w:r>
              <w:rPr>
                <w:rFonts w:cs="Times New Roman"/>
                <w:sz w:val="20"/>
                <w:szCs w:val="20"/>
              </w:rPr>
              <w:t xml:space="preserve">Loss of agricultural production, water scarcity, disturbed </w:t>
            </w:r>
            <w:r w:rsidR="006A6886">
              <w:rPr>
                <w:rFonts w:cs="Times New Roman"/>
                <w:sz w:val="20"/>
                <w:szCs w:val="20"/>
              </w:rPr>
              <w:t xml:space="preserve">navigation </w:t>
            </w:r>
            <w:r>
              <w:rPr>
                <w:rFonts w:cs="Times New Roman"/>
                <w:sz w:val="20"/>
                <w:szCs w:val="20"/>
              </w:rPr>
              <w:t>in the North-West Region</w:t>
            </w:r>
            <w:r w:rsidR="00536F00">
              <w:rPr>
                <w:rFonts w:cs="Times New Roman"/>
                <w:sz w:val="20"/>
                <w:szCs w:val="20"/>
              </w:rPr>
              <w:t>, reduced groundwater recharge</w:t>
            </w:r>
          </w:p>
        </w:tc>
      </w:tr>
      <w:tr w:rsidR="006A6886" w:rsidRPr="006F44F9" w:rsidTr="00431F71">
        <w:trPr>
          <w:jc w:val="center"/>
        </w:trPr>
        <w:tc>
          <w:tcPr>
            <w:tcW w:w="1026" w:type="pct"/>
          </w:tcPr>
          <w:p w:rsidR="006A6886" w:rsidRDefault="006A6886" w:rsidP="00FE77C0">
            <w:pPr>
              <w:pStyle w:val="BodyText"/>
              <w:spacing w:after="0" w:line="240" w:lineRule="auto"/>
              <w:rPr>
                <w:rFonts w:cs="Times New Roman"/>
                <w:sz w:val="20"/>
                <w:szCs w:val="20"/>
              </w:rPr>
            </w:pPr>
            <w:r>
              <w:rPr>
                <w:rFonts w:cs="Times New Roman"/>
                <w:sz w:val="20"/>
                <w:szCs w:val="20"/>
              </w:rPr>
              <w:t xml:space="preserve">3. </w:t>
            </w:r>
            <w:r w:rsidR="00FE77C0">
              <w:rPr>
                <w:rFonts w:cs="Times New Roman"/>
                <w:sz w:val="20"/>
                <w:szCs w:val="20"/>
              </w:rPr>
              <w:t>River avulsion, sedimentation</w:t>
            </w:r>
            <w:r w:rsidR="00536F00">
              <w:rPr>
                <w:rFonts w:cs="Times New Roman"/>
                <w:sz w:val="20"/>
                <w:szCs w:val="20"/>
              </w:rPr>
              <w:t xml:space="preserve"> off-take</w:t>
            </w:r>
            <w:r w:rsidR="00FE77C0">
              <w:rPr>
                <w:rFonts w:cs="Times New Roman"/>
                <w:sz w:val="20"/>
                <w:szCs w:val="20"/>
              </w:rPr>
              <w:t xml:space="preserve">, subsidence </w:t>
            </w:r>
          </w:p>
        </w:tc>
        <w:tc>
          <w:tcPr>
            <w:tcW w:w="1220" w:type="pct"/>
          </w:tcPr>
          <w:p w:rsidR="006A6886" w:rsidRPr="00A24C4A" w:rsidRDefault="00FE77C0" w:rsidP="009A672F">
            <w:pPr>
              <w:pStyle w:val="BodyText"/>
              <w:spacing w:after="0" w:line="240" w:lineRule="auto"/>
              <w:rPr>
                <w:rFonts w:cs="Times New Roman"/>
                <w:sz w:val="20"/>
                <w:szCs w:val="20"/>
              </w:rPr>
            </w:pPr>
            <w:r>
              <w:rPr>
                <w:rFonts w:cs="Times New Roman"/>
                <w:sz w:val="20"/>
                <w:szCs w:val="20"/>
              </w:rPr>
              <w:t xml:space="preserve">Maintaining navigation facilities, rivers becoming morphologically inactive, </w:t>
            </w:r>
            <w:r w:rsidR="00536F00">
              <w:rPr>
                <w:rFonts w:cs="Times New Roman"/>
                <w:sz w:val="20"/>
                <w:szCs w:val="20"/>
              </w:rPr>
              <w:t>banks become erosion prone in wet season</w:t>
            </w:r>
          </w:p>
        </w:tc>
        <w:tc>
          <w:tcPr>
            <w:tcW w:w="1169" w:type="pct"/>
          </w:tcPr>
          <w:p w:rsidR="006A6886" w:rsidRPr="00A24C4A" w:rsidRDefault="00536F00" w:rsidP="009A672F">
            <w:pPr>
              <w:pStyle w:val="BodyText"/>
              <w:spacing w:after="0" w:line="240" w:lineRule="auto"/>
              <w:rPr>
                <w:rFonts w:cs="Times New Roman"/>
                <w:sz w:val="20"/>
                <w:szCs w:val="20"/>
              </w:rPr>
            </w:pPr>
            <w:r>
              <w:rPr>
                <w:rFonts w:cs="Times New Roman"/>
                <w:sz w:val="20"/>
                <w:szCs w:val="20"/>
              </w:rPr>
              <w:t>Increasing detrimental effects</w:t>
            </w:r>
          </w:p>
        </w:tc>
        <w:tc>
          <w:tcPr>
            <w:tcW w:w="1585" w:type="pct"/>
          </w:tcPr>
          <w:p w:rsidR="006A6886" w:rsidRPr="00A24C4A" w:rsidRDefault="00536F00" w:rsidP="009A672F">
            <w:pPr>
              <w:pStyle w:val="BodyText"/>
              <w:spacing w:after="0" w:line="240" w:lineRule="auto"/>
              <w:rPr>
                <w:rFonts w:cs="Times New Roman"/>
                <w:sz w:val="20"/>
                <w:szCs w:val="20"/>
              </w:rPr>
            </w:pPr>
            <w:r>
              <w:rPr>
                <w:rFonts w:cs="Times New Roman"/>
                <w:sz w:val="20"/>
                <w:szCs w:val="20"/>
              </w:rPr>
              <w:t>Reduced / blocked navigation, deterioration of water quality from discharged effluence and waste materials from industries in the North-Central Region; maintaining sediment balance in the North-East Region will be difficult</w:t>
            </w:r>
          </w:p>
        </w:tc>
      </w:tr>
      <w:tr w:rsidR="00536F00" w:rsidRPr="006F44F9" w:rsidTr="00431F71">
        <w:trPr>
          <w:jc w:val="center"/>
        </w:trPr>
        <w:tc>
          <w:tcPr>
            <w:tcW w:w="1026" w:type="pct"/>
          </w:tcPr>
          <w:p w:rsidR="00536F00" w:rsidRDefault="00536F00" w:rsidP="00536F00">
            <w:pPr>
              <w:pStyle w:val="BodyText"/>
              <w:spacing w:after="0" w:line="240" w:lineRule="auto"/>
              <w:rPr>
                <w:rFonts w:cs="Times New Roman"/>
                <w:sz w:val="20"/>
                <w:szCs w:val="20"/>
              </w:rPr>
            </w:pPr>
            <w:r>
              <w:rPr>
                <w:rFonts w:cs="Times New Roman"/>
                <w:sz w:val="20"/>
                <w:szCs w:val="20"/>
              </w:rPr>
              <w:t>3. Tidal fluctuations and sea level rise (SLR)</w:t>
            </w:r>
          </w:p>
        </w:tc>
        <w:tc>
          <w:tcPr>
            <w:tcW w:w="1220" w:type="pct"/>
          </w:tcPr>
          <w:p w:rsidR="00536F00" w:rsidRPr="00536F00" w:rsidRDefault="00536F00" w:rsidP="009A672F">
            <w:pPr>
              <w:pStyle w:val="BodyText"/>
              <w:spacing w:after="0" w:line="240" w:lineRule="auto"/>
              <w:rPr>
                <w:rFonts w:cs="Times New Roman"/>
                <w:sz w:val="20"/>
                <w:szCs w:val="20"/>
              </w:rPr>
            </w:pPr>
            <w:r w:rsidRPr="00536F00">
              <w:rPr>
                <w:rFonts w:cs="Times New Roman"/>
                <w:sz w:val="20"/>
                <w:szCs w:val="20"/>
              </w:rPr>
              <w:t>Lack of fresh water, salinity, groundwater arsenic and subsidence of polders</w:t>
            </w:r>
          </w:p>
        </w:tc>
        <w:tc>
          <w:tcPr>
            <w:tcW w:w="1169" w:type="pct"/>
          </w:tcPr>
          <w:p w:rsidR="00536F00" w:rsidRDefault="00536F00" w:rsidP="009A672F">
            <w:pPr>
              <w:pStyle w:val="BodyText"/>
              <w:spacing w:after="0" w:line="240" w:lineRule="auto"/>
              <w:rPr>
                <w:rFonts w:cs="Times New Roman"/>
                <w:sz w:val="20"/>
                <w:szCs w:val="20"/>
              </w:rPr>
            </w:pPr>
            <w:r>
              <w:rPr>
                <w:rFonts w:cs="Times New Roman"/>
                <w:sz w:val="20"/>
                <w:szCs w:val="20"/>
              </w:rPr>
              <w:t>Loss of land from SLR, increase in salinity, loss of polders to storm surges, water logging, SLR</w:t>
            </w:r>
          </w:p>
        </w:tc>
        <w:tc>
          <w:tcPr>
            <w:tcW w:w="1585" w:type="pct"/>
          </w:tcPr>
          <w:p w:rsidR="00536F00" w:rsidRDefault="00536F00" w:rsidP="009A672F">
            <w:pPr>
              <w:pStyle w:val="BodyText"/>
              <w:spacing w:after="0" w:line="240" w:lineRule="auto"/>
              <w:rPr>
                <w:rFonts w:cs="Times New Roman"/>
                <w:sz w:val="20"/>
                <w:szCs w:val="20"/>
              </w:rPr>
            </w:pPr>
            <w:r>
              <w:rPr>
                <w:rFonts w:cs="Times New Roman"/>
                <w:sz w:val="20"/>
                <w:szCs w:val="20"/>
              </w:rPr>
              <w:t>In the South-West and South-Central increase in vulnerability and losses in agricultural production, possible negative health impacts from salinity, and out-migration due to loss of livelihoods</w:t>
            </w:r>
          </w:p>
        </w:tc>
      </w:tr>
      <w:tr w:rsidR="00536F00" w:rsidRPr="006F44F9" w:rsidTr="00431F71">
        <w:trPr>
          <w:jc w:val="center"/>
        </w:trPr>
        <w:tc>
          <w:tcPr>
            <w:tcW w:w="1026" w:type="pct"/>
          </w:tcPr>
          <w:p w:rsidR="00536F00" w:rsidRDefault="00536F00" w:rsidP="002C0539">
            <w:pPr>
              <w:pStyle w:val="BodyText"/>
              <w:spacing w:after="0" w:line="240" w:lineRule="auto"/>
              <w:rPr>
                <w:rFonts w:cs="Times New Roman"/>
                <w:sz w:val="20"/>
                <w:szCs w:val="20"/>
              </w:rPr>
            </w:pPr>
            <w:r>
              <w:rPr>
                <w:rFonts w:cs="Times New Roman"/>
                <w:sz w:val="20"/>
                <w:szCs w:val="20"/>
              </w:rPr>
              <w:t xml:space="preserve">3. Flash floods in hill terrain </w:t>
            </w:r>
            <w:r w:rsidR="002C0539">
              <w:rPr>
                <w:rFonts w:cs="Times New Roman"/>
                <w:sz w:val="20"/>
                <w:szCs w:val="20"/>
              </w:rPr>
              <w:t xml:space="preserve">and dry periods </w:t>
            </w:r>
          </w:p>
        </w:tc>
        <w:tc>
          <w:tcPr>
            <w:tcW w:w="1220" w:type="pct"/>
          </w:tcPr>
          <w:p w:rsidR="00536F00" w:rsidRPr="00536F00" w:rsidRDefault="002C0539" w:rsidP="009A672F">
            <w:pPr>
              <w:pStyle w:val="BodyText"/>
              <w:spacing w:after="0" w:line="240" w:lineRule="auto"/>
              <w:rPr>
                <w:rFonts w:cs="Times New Roman"/>
                <w:sz w:val="20"/>
                <w:szCs w:val="20"/>
              </w:rPr>
            </w:pPr>
            <w:r>
              <w:rPr>
                <w:rFonts w:cs="Times New Roman"/>
                <w:sz w:val="20"/>
                <w:szCs w:val="20"/>
              </w:rPr>
              <w:t>Land degradation, deforestation, land use change, drying up of springs</w:t>
            </w:r>
          </w:p>
        </w:tc>
        <w:tc>
          <w:tcPr>
            <w:tcW w:w="1169" w:type="pct"/>
          </w:tcPr>
          <w:p w:rsidR="00536F00" w:rsidRDefault="002C0539" w:rsidP="009A672F">
            <w:pPr>
              <w:pStyle w:val="BodyText"/>
              <w:spacing w:after="0" w:line="240" w:lineRule="auto"/>
              <w:rPr>
                <w:rFonts w:cs="Times New Roman"/>
                <w:sz w:val="20"/>
                <w:szCs w:val="20"/>
              </w:rPr>
            </w:pPr>
            <w:r>
              <w:rPr>
                <w:rFonts w:cs="Times New Roman"/>
                <w:sz w:val="20"/>
                <w:szCs w:val="20"/>
              </w:rPr>
              <w:t>Increasing soil erosion, sanding of rivers, bank erosion, flash floods, drainage problems</w:t>
            </w:r>
          </w:p>
        </w:tc>
        <w:tc>
          <w:tcPr>
            <w:tcW w:w="1585" w:type="pct"/>
          </w:tcPr>
          <w:p w:rsidR="00536F00" w:rsidRDefault="002C0539" w:rsidP="009A672F">
            <w:pPr>
              <w:pStyle w:val="BodyText"/>
              <w:spacing w:after="0" w:line="240" w:lineRule="auto"/>
              <w:rPr>
                <w:rFonts w:cs="Times New Roman"/>
                <w:sz w:val="20"/>
                <w:szCs w:val="20"/>
              </w:rPr>
            </w:pPr>
            <w:r>
              <w:rPr>
                <w:rFonts w:cs="Times New Roman"/>
                <w:sz w:val="20"/>
                <w:szCs w:val="20"/>
              </w:rPr>
              <w:t>Increasing water scarcity in dry periods; flash floods, loss of life and crops, increased river sedimentation; river navigation increasingly difficult in the Eastern Hill Region</w:t>
            </w:r>
          </w:p>
        </w:tc>
      </w:tr>
    </w:tbl>
    <w:p w:rsidR="00667776" w:rsidRDefault="00667776" w:rsidP="009B527A">
      <w:pPr>
        <w:pStyle w:val="BodyText"/>
        <w:spacing w:before="120" w:after="240" w:line="276" w:lineRule="auto"/>
        <w:jc w:val="both"/>
        <w:rPr>
          <w:b/>
          <w:i/>
          <w:sz w:val="20"/>
        </w:rPr>
      </w:pPr>
      <w:r w:rsidRPr="007141DE">
        <w:rPr>
          <w:rFonts w:cs="Times New Roman"/>
          <w:b/>
          <w:i/>
          <w:sz w:val="18"/>
          <w:szCs w:val="18"/>
        </w:rPr>
        <w:t>Source:</w:t>
      </w:r>
      <w:r>
        <w:rPr>
          <w:rFonts w:cs="Times New Roman"/>
          <w:sz w:val="18"/>
          <w:szCs w:val="18"/>
        </w:rPr>
        <w:t xml:space="preserve"> </w:t>
      </w:r>
      <w:r>
        <w:rPr>
          <w:b/>
          <w:i/>
          <w:sz w:val="20"/>
        </w:rPr>
        <w:t>GED Research</w:t>
      </w:r>
    </w:p>
    <w:p w:rsidR="00F64A6A" w:rsidRDefault="00FA4CB8" w:rsidP="00F64A6A">
      <w:pPr>
        <w:pStyle w:val="Heading2"/>
        <w:numPr>
          <w:ilvl w:val="0"/>
          <w:numId w:val="0"/>
        </w:numPr>
        <w:ind w:left="720"/>
      </w:pPr>
      <w:bookmarkStart w:id="103" w:name="_Toc474638843"/>
      <w:r w:rsidRPr="001C74D9">
        <w:t>Chittagong Hill Tracts Hotspot (Eastern Hills Region)</w:t>
      </w:r>
      <w:bookmarkEnd w:id="103"/>
      <w:r w:rsidRPr="001C74D9">
        <w:t xml:space="preserve"> </w:t>
      </w:r>
    </w:p>
    <w:p w:rsidR="00F15525" w:rsidRPr="00584168" w:rsidRDefault="00DE19FA" w:rsidP="00584168">
      <w:pPr>
        <w:pStyle w:val="BodyText"/>
        <w:spacing w:after="240" w:line="276" w:lineRule="auto"/>
        <w:jc w:val="both"/>
        <w:rPr>
          <w:rFonts w:cs="Times New Roman"/>
          <w:szCs w:val="24"/>
        </w:rPr>
      </w:pPr>
      <w:r w:rsidRPr="00CC4ED6">
        <w:rPr>
          <w:rFonts w:cs="Times New Roman"/>
          <w:szCs w:val="24"/>
        </w:rPr>
        <w:t xml:space="preserve">The </w:t>
      </w:r>
      <w:r>
        <w:rPr>
          <w:rFonts w:cs="Times New Roman"/>
          <w:szCs w:val="24"/>
        </w:rPr>
        <w:t>Chittagong Hill Tracts (CHT)</w:t>
      </w:r>
      <w:r w:rsidR="001B014A">
        <w:rPr>
          <w:rFonts w:cs="Times New Roman"/>
          <w:szCs w:val="24"/>
        </w:rPr>
        <w:t xml:space="preserve"> area</w:t>
      </w:r>
      <w:r>
        <w:rPr>
          <w:rFonts w:cs="Times New Roman"/>
          <w:szCs w:val="24"/>
        </w:rPr>
        <w:t xml:space="preserve">, covering three </w:t>
      </w:r>
      <w:r w:rsidRPr="00CC4ED6">
        <w:rPr>
          <w:rFonts w:cs="Times New Roman"/>
          <w:szCs w:val="24"/>
        </w:rPr>
        <w:t>districts Rangamati, Khagrachhari and Bandarban</w:t>
      </w:r>
      <w:r w:rsidR="00880AE9">
        <w:rPr>
          <w:rFonts w:cs="Times New Roman"/>
          <w:szCs w:val="24"/>
        </w:rPr>
        <w:t>,</w:t>
      </w:r>
      <w:r w:rsidR="00FA4CB8">
        <w:rPr>
          <w:rFonts w:cs="Times New Roman"/>
          <w:szCs w:val="24"/>
        </w:rPr>
        <w:t xml:space="preserve"> </w:t>
      </w:r>
      <w:r w:rsidRPr="00CC4ED6">
        <w:rPr>
          <w:rFonts w:cs="Times New Roman"/>
          <w:szCs w:val="24"/>
        </w:rPr>
        <w:t xml:space="preserve">is the only extensive hill area in Bangladesh bordering Myanmar on the southeast, the Indian state of Tripura on the north, Mizoram on the east, and </w:t>
      </w:r>
      <w:r w:rsidR="00162737">
        <w:rPr>
          <w:rFonts w:cs="Times New Roman"/>
          <w:szCs w:val="24"/>
        </w:rPr>
        <w:t>Chittagong district on the west</w:t>
      </w:r>
      <w:r>
        <w:rPr>
          <w:rFonts w:cs="Times New Roman"/>
          <w:szCs w:val="24"/>
        </w:rPr>
        <w:t xml:space="preserve">. </w:t>
      </w:r>
      <w:r w:rsidR="004E362F">
        <w:rPr>
          <w:rFonts w:cs="Times New Roman"/>
          <w:szCs w:val="24"/>
        </w:rPr>
        <w:t>The hills</w:t>
      </w:r>
      <w:r>
        <w:rPr>
          <w:rFonts w:cs="Times New Roman"/>
          <w:szCs w:val="24"/>
        </w:rPr>
        <w:t xml:space="preserve"> in the CHT </w:t>
      </w:r>
      <w:r w:rsidRPr="00CC4ED6">
        <w:rPr>
          <w:rFonts w:cs="Times New Roman"/>
          <w:szCs w:val="24"/>
        </w:rPr>
        <w:t xml:space="preserve">rise steeply, thus looking far more impressive than their height would imply. Most of the ranges have scarps in the west, with cliffs and waterfalls. </w:t>
      </w:r>
      <w:r>
        <w:rPr>
          <w:rFonts w:cs="Times New Roman"/>
          <w:szCs w:val="24"/>
        </w:rPr>
        <w:t xml:space="preserve">The CHT </w:t>
      </w:r>
      <w:r w:rsidRPr="00CC4ED6">
        <w:rPr>
          <w:rFonts w:cs="Times New Roman"/>
          <w:szCs w:val="24"/>
        </w:rPr>
        <w:t>contains a man-made lake called Kaptai Lake</w:t>
      </w:r>
      <w:r>
        <w:rPr>
          <w:rFonts w:cs="Times New Roman"/>
          <w:szCs w:val="24"/>
        </w:rPr>
        <w:t>,</w:t>
      </w:r>
      <w:r w:rsidRPr="00CC4ED6">
        <w:rPr>
          <w:rFonts w:cs="Times New Roman"/>
          <w:szCs w:val="24"/>
        </w:rPr>
        <w:t xml:space="preserve"> which has been created for </w:t>
      </w:r>
      <w:r>
        <w:rPr>
          <w:rFonts w:cs="Times New Roman"/>
          <w:szCs w:val="24"/>
        </w:rPr>
        <w:t xml:space="preserve">the </w:t>
      </w:r>
      <w:r w:rsidRPr="00CC4ED6">
        <w:rPr>
          <w:rFonts w:cs="Times New Roman"/>
          <w:szCs w:val="24"/>
        </w:rPr>
        <w:t>Karnafuli Hydro-Electric Project.</w:t>
      </w:r>
      <w:r w:rsidR="007378D2">
        <w:rPr>
          <w:rFonts w:cs="Times New Roman"/>
          <w:szCs w:val="24"/>
        </w:rPr>
        <w:t xml:space="preserve"> Loss of forest and vegetation cover and unsustainable farming practices will intensify impacts of increased water </w:t>
      </w:r>
      <w:r w:rsidR="004E362F">
        <w:rPr>
          <w:rFonts w:cs="Times New Roman"/>
          <w:szCs w:val="24"/>
        </w:rPr>
        <w:t>runoff</w:t>
      </w:r>
      <w:r w:rsidR="007378D2">
        <w:rPr>
          <w:rFonts w:cs="Times New Roman"/>
          <w:szCs w:val="24"/>
        </w:rPr>
        <w:t xml:space="preserve">, soil erosion, </w:t>
      </w:r>
      <w:r w:rsidR="004E362F">
        <w:rPr>
          <w:rFonts w:cs="Times New Roman"/>
          <w:szCs w:val="24"/>
        </w:rPr>
        <w:t>landslides</w:t>
      </w:r>
      <w:r w:rsidR="007378D2">
        <w:rPr>
          <w:rFonts w:cs="Times New Roman"/>
          <w:szCs w:val="24"/>
        </w:rPr>
        <w:t>, and drying up of water springs and stream</w:t>
      </w:r>
      <w:bookmarkStart w:id="104" w:name="_Toc439230682"/>
      <w:r w:rsidR="00FA4CB8">
        <w:rPr>
          <w:rFonts w:cs="Times New Roman"/>
          <w:szCs w:val="24"/>
        </w:rPr>
        <w:t>s as a result of climate change</w:t>
      </w:r>
      <w:r w:rsidR="001C74D9">
        <w:rPr>
          <w:rFonts w:cs="Times New Roman"/>
          <w:szCs w:val="24"/>
        </w:rPr>
        <w:t>.</w:t>
      </w:r>
    </w:p>
    <w:p w:rsidR="001C74D9" w:rsidRPr="005444EB" w:rsidRDefault="004927AE" w:rsidP="004402F1">
      <w:pPr>
        <w:pStyle w:val="Heading6"/>
      </w:pPr>
      <w:bookmarkStart w:id="105" w:name="_Toc474639303"/>
      <w:r>
        <w:lastRenderedPageBreak/>
        <w:t>Map 1.2</w:t>
      </w:r>
      <w:r w:rsidR="0079261D">
        <w:t>3</w:t>
      </w:r>
      <w:r w:rsidR="00DE19FA" w:rsidRPr="005444EB">
        <w:t>: Rivers in the Eastern Hills Region</w:t>
      </w:r>
      <w:bookmarkEnd w:id="104"/>
      <w:bookmarkEnd w:id="105"/>
    </w:p>
    <w:p w:rsidR="00DE19FA" w:rsidRDefault="00DE19FA" w:rsidP="00DE19FA">
      <w:pPr>
        <w:pStyle w:val="BodyText"/>
        <w:jc w:val="center"/>
        <w:rPr>
          <w:rFonts w:cs="Times New Roman"/>
          <w:szCs w:val="24"/>
        </w:rPr>
      </w:pPr>
      <w:r>
        <w:rPr>
          <w:rFonts w:cs="Segoe UI"/>
          <w:noProof/>
          <w:lang w:val="en-AU" w:eastAsia="en-AU" w:bidi="bn-BD"/>
        </w:rPr>
        <w:drawing>
          <wp:inline distT="0" distB="0" distL="0" distR="0">
            <wp:extent cx="5010150" cy="4810125"/>
            <wp:effectExtent l="0" t="0" r="0" b="9525"/>
            <wp:docPr id="58" name="Picture 19" descr="D:\CEGIS Projects\Detta Plan\TAG001_maps\RiverMaps\08 Regional river - EH - A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D:\CEGIS Projects\Detta Plan\TAG001_maps\RiverMaps\08 Regional river - EH - A4.png"/>
                    <pic:cNvPicPr>
                      <a:picLocks noChangeAspect="1" noChangeArrowheads="1"/>
                    </pic:cNvPicPr>
                  </pic:nvPicPr>
                  <pic:blipFill>
                    <a:blip r:embed="rId46"/>
                    <a:srcRect l="5289" t="2806" r="5289" b="3606"/>
                    <a:stretch>
                      <a:fillRect/>
                    </a:stretch>
                  </pic:blipFill>
                  <pic:spPr bwMode="auto">
                    <a:xfrm>
                      <a:off x="0" y="0"/>
                      <a:ext cx="5014882" cy="4814668"/>
                    </a:xfrm>
                    <a:prstGeom prst="rect">
                      <a:avLst/>
                    </a:prstGeom>
                    <a:noFill/>
                    <a:ln w="9525">
                      <a:noFill/>
                      <a:miter lim="800000"/>
                      <a:headEnd/>
                      <a:tailEnd/>
                    </a:ln>
                  </pic:spPr>
                </pic:pic>
              </a:graphicData>
            </a:graphic>
          </wp:inline>
        </w:drawing>
      </w:r>
    </w:p>
    <w:p w:rsidR="00F15525" w:rsidRPr="00F15525" w:rsidRDefault="00F15525" w:rsidP="00FE6328">
      <w:pPr>
        <w:pStyle w:val="BodyText"/>
        <w:spacing w:after="240" w:line="276" w:lineRule="auto"/>
        <w:jc w:val="both"/>
        <w:rPr>
          <w:rFonts w:cs="Times New Roman"/>
          <w:b/>
          <w:i/>
          <w:sz w:val="20"/>
          <w:szCs w:val="24"/>
        </w:rPr>
      </w:pPr>
      <w:r>
        <w:rPr>
          <w:rFonts w:cs="Times New Roman"/>
          <w:szCs w:val="24"/>
        </w:rPr>
        <w:tab/>
      </w:r>
      <w:r w:rsidRPr="00F15525">
        <w:rPr>
          <w:rFonts w:cs="Times New Roman"/>
          <w:b/>
          <w:i/>
          <w:sz w:val="20"/>
          <w:szCs w:val="24"/>
        </w:rPr>
        <w:t>Source: CEGIS</w:t>
      </w:r>
    </w:p>
    <w:p w:rsidR="009B527A" w:rsidRPr="00A1679C" w:rsidRDefault="00856D38" w:rsidP="00A1679C">
      <w:pPr>
        <w:pStyle w:val="BodyText"/>
        <w:spacing w:after="240" w:line="276" w:lineRule="auto"/>
        <w:jc w:val="both"/>
        <w:rPr>
          <w:rFonts w:cs="Times New Roman"/>
          <w:szCs w:val="24"/>
        </w:rPr>
      </w:pPr>
      <w:r w:rsidRPr="00862C02">
        <w:rPr>
          <w:rFonts w:cs="Times New Roman"/>
          <w:szCs w:val="24"/>
        </w:rPr>
        <w:t xml:space="preserve">The region is characterized by a huge network of trellis and dendritic drainage consisting of some major rivers draining into the Bay of Bengal. The major rivers are the Karnafuli, the Sangu, the Matamuhuri and the Feni. The Karnafuli River has several important tributaries: Chengi, Kasalong and Rainkhiang. </w:t>
      </w:r>
      <w:r w:rsidRPr="00B053D8">
        <w:rPr>
          <w:rFonts w:cs="Times New Roman"/>
          <w:szCs w:val="24"/>
        </w:rPr>
        <w:t xml:space="preserve">Presently, the region is separated from Myanmar by the Tuilanpui River. </w:t>
      </w:r>
      <w:r w:rsidRPr="00862C02">
        <w:rPr>
          <w:rFonts w:cs="Times New Roman"/>
          <w:szCs w:val="24"/>
        </w:rPr>
        <w:t xml:space="preserve">The topography of the region being different from the rest of the country, the rivers of the region </w:t>
      </w:r>
      <w:r>
        <w:rPr>
          <w:rFonts w:cs="Times New Roman"/>
          <w:szCs w:val="24"/>
        </w:rPr>
        <w:t>do not change the same way as t</w:t>
      </w:r>
      <w:r w:rsidRPr="00862C02">
        <w:rPr>
          <w:rFonts w:cs="Times New Roman"/>
          <w:szCs w:val="24"/>
        </w:rPr>
        <w:t xml:space="preserve">he rivers </w:t>
      </w:r>
      <w:r>
        <w:rPr>
          <w:rFonts w:cs="Times New Roman"/>
          <w:szCs w:val="24"/>
        </w:rPr>
        <w:t xml:space="preserve">in the flood plains. </w:t>
      </w:r>
      <w:r w:rsidR="004E362F" w:rsidRPr="00862C02">
        <w:rPr>
          <w:rFonts w:cs="Times New Roman"/>
          <w:szCs w:val="24"/>
        </w:rPr>
        <w:t>Rivers</w:t>
      </w:r>
      <w:r w:rsidR="004E362F">
        <w:rPr>
          <w:rFonts w:cs="Times New Roman"/>
          <w:szCs w:val="24"/>
        </w:rPr>
        <w:t xml:space="preserve"> </w:t>
      </w:r>
      <w:r w:rsidR="004E362F" w:rsidRPr="00862C02">
        <w:rPr>
          <w:rFonts w:cs="Times New Roman"/>
          <w:szCs w:val="24"/>
        </w:rPr>
        <w:t>in</w:t>
      </w:r>
      <w:r w:rsidRPr="00862C02">
        <w:rPr>
          <w:rFonts w:cs="Times New Roman"/>
          <w:szCs w:val="24"/>
        </w:rPr>
        <w:t xml:space="preserve"> the hilly region mainly follow the terrain of the hills. The folds of the region’s hills being north-south aligned the rivers </w:t>
      </w:r>
      <w:r>
        <w:rPr>
          <w:rFonts w:cs="Times New Roman"/>
          <w:szCs w:val="24"/>
        </w:rPr>
        <w:t xml:space="preserve">also </w:t>
      </w:r>
      <w:r w:rsidRPr="00862C02">
        <w:rPr>
          <w:rFonts w:cs="Times New Roman"/>
          <w:szCs w:val="24"/>
        </w:rPr>
        <w:t xml:space="preserve">flow in north-south direction. </w:t>
      </w:r>
      <w:r w:rsidRPr="00B053D8">
        <w:rPr>
          <w:rFonts w:cs="Times New Roman"/>
          <w:szCs w:val="24"/>
        </w:rPr>
        <w:t xml:space="preserve">The Kasalong, the Mainy and the Chengy rivers originating from the hill slopes, flow due south from the north and drain into the Kaptai Lake. The elevations of these river catchments are above 500 m. The three </w:t>
      </w:r>
      <w:r w:rsidR="004E362F" w:rsidRPr="00B053D8">
        <w:rPr>
          <w:rFonts w:cs="Times New Roman"/>
          <w:szCs w:val="24"/>
        </w:rPr>
        <w:t>borde</w:t>
      </w:r>
      <w:r w:rsidR="004E362F">
        <w:rPr>
          <w:rFonts w:cs="Times New Roman"/>
          <w:szCs w:val="24"/>
        </w:rPr>
        <w:t>r</w:t>
      </w:r>
      <w:r w:rsidR="00701A9B">
        <w:rPr>
          <w:rFonts w:cs="Times New Roman"/>
          <w:szCs w:val="24"/>
        </w:rPr>
        <w:t>-</w:t>
      </w:r>
      <w:r w:rsidR="003507C6" w:rsidRPr="00B053D8">
        <w:rPr>
          <w:rFonts w:cs="Times New Roman"/>
          <w:szCs w:val="24"/>
        </w:rPr>
        <w:t>rivers</w:t>
      </w:r>
      <w:r w:rsidRPr="00B053D8">
        <w:rPr>
          <w:rFonts w:cs="Times New Roman"/>
          <w:szCs w:val="24"/>
        </w:rPr>
        <w:t>, the Sangu, the Matamuhuri and the Naf, common with Myanmar, are situated in the southernmost extremi</w:t>
      </w:r>
      <w:r w:rsidR="00F15525">
        <w:rPr>
          <w:rFonts w:cs="Times New Roman"/>
          <w:szCs w:val="24"/>
        </w:rPr>
        <w:t>ty of the country</w:t>
      </w:r>
      <w:r w:rsidR="001C74D9">
        <w:rPr>
          <w:rFonts w:cs="Times New Roman"/>
          <w:szCs w:val="24"/>
        </w:rPr>
        <w:t>.</w:t>
      </w:r>
    </w:p>
    <w:p w:rsidR="002066E1" w:rsidRDefault="002066E1">
      <w:pPr>
        <w:rPr>
          <w:rFonts w:eastAsia="Times New Roman" w:cs="Times New Roman"/>
          <w:b/>
          <w:szCs w:val="24"/>
          <w:lang w:val="en-GB"/>
        </w:rPr>
      </w:pPr>
      <w:r>
        <w:lastRenderedPageBreak/>
        <w:br w:type="page"/>
      </w:r>
    </w:p>
    <w:p w:rsidR="00856D38" w:rsidRPr="00EB0C7F" w:rsidRDefault="008737A6" w:rsidP="004402F1">
      <w:pPr>
        <w:pStyle w:val="Heading6"/>
      </w:pPr>
      <w:bookmarkStart w:id="106" w:name="_Toc474639304"/>
      <w:r>
        <w:lastRenderedPageBreak/>
        <w:t>Map 1.2</w:t>
      </w:r>
      <w:r w:rsidR="0079261D">
        <w:t>4</w:t>
      </w:r>
      <w:r w:rsidR="00856D38" w:rsidRPr="00EB0C7F">
        <w:t xml:space="preserve">: </w:t>
      </w:r>
      <w:bookmarkStart w:id="107" w:name="_Toc439230683"/>
      <w:r w:rsidR="00EB0C7F">
        <w:t>Historical E</w:t>
      </w:r>
      <w:r w:rsidR="00856D38" w:rsidRPr="00EB0C7F">
        <w:t>voluti</w:t>
      </w:r>
      <w:r w:rsidR="00EB0C7F">
        <w:t>on of R</w:t>
      </w:r>
      <w:r w:rsidR="00856D38" w:rsidRPr="00EB0C7F">
        <w:t xml:space="preserve">ivers in </w:t>
      </w:r>
      <w:bookmarkEnd w:id="107"/>
      <w:r w:rsidR="00EB0C7F">
        <w:t>CHT</w:t>
      </w:r>
      <w:bookmarkEnd w:id="106"/>
    </w:p>
    <w:p w:rsidR="00A1273E" w:rsidRDefault="009129AA" w:rsidP="00FE6328">
      <w:pPr>
        <w:pStyle w:val="BodyText"/>
        <w:spacing w:after="0" w:line="240" w:lineRule="auto"/>
        <w:jc w:val="center"/>
        <w:rPr>
          <w:rFonts w:cs="Times New Roman"/>
          <w:szCs w:val="24"/>
        </w:rPr>
      </w:pPr>
      <w:r>
        <w:rPr>
          <w:rFonts w:cs="Segoe UI"/>
          <w:noProof/>
          <w:lang w:val="en-AU" w:eastAsia="en-AU" w:bidi="bn-BD"/>
        </w:rPr>
        <w:drawing>
          <wp:inline distT="0" distB="0" distL="0" distR="0">
            <wp:extent cx="5483225" cy="3558209"/>
            <wp:effectExtent l="19050" t="19050" r="22225" b="23495"/>
            <wp:docPr id="59" name="Picture 9" descr="D:\CEGIS Projects\Detta Plan\TAG001_maps\E-H regional 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EGIS Projects\Detta Plan\TAG001_maps\E-H regional history.jpg"/>
                    <pic:cNvPicPr>
                      <a:picLocks noChangeAspect="1" noChangeArrowheads="1"/>
                    </pic:cNvPicPr>
                  </pic:nvPicPr>
                  <pic:blipFill>
                    <a:blip r:embed="rId47"/>
                    <a:srcRect/>
                    <a:stretch>
                      <a:fillRect/>
                    </a:stretch>
                  </pic:blipFill>
                  <pic:spPr bwMode="auto">
                    <a:xfrm>
                      <a:off x="0" y="0"/>
                      <a:ext cx="5491133" cy="3563340"/>
                    </a:xfrm>
                    <a:prstGeom prst="rect">
                      <a:avLst/>
                    </a:prstGeom>
                    <a:noFill/>
                    <a:ln w="9525" cmpd="sng">
                      <a:solidFill>
                        <a:srgbClr val="000000"/>
                      </a:solidFill>
                      <a:miter lim="800000"/>
                      <a:headEnd/>
                      <a:tailEnd/>
                    </a:ln>
                    <a:effectLst/>
                  </pic:spPr>
                </pic:pic>
              </a:graphicData>
            </a:graphic>
          </wp:inline>
        </w:drawing>
      </w:r>
    </w:p>
    <w:p w:rsidR="004F65EF" w:rsidRDefault="004F65EF" w:rsidP="004F65EF">
      <w:pPr>
        <w:pStyle w:val="BodyText"/>
        <w:spacing w:after="240" w:line="276" w:lineRule="auto"/>
        <w:jc w:val="both"/>
        <w:rPr>
          <w:rFonts w:cs="Times New Roman"/>
          <w:szCs w:val="24"/>
        </w:rPr>
      </w:pPr>
      <w:r w:rsidRPr="008E2314">
        <w:rPr>
          <w:b/>
          <w:i/>
          <w:sz w:val="20"/>
        </w:rPr>
        <w:t xml:space="preserve">Source: </w:t>
      </w:r>
      <w:r w:rsidR="004F486D">
        <w:rPr>
          <w:b/>
          <w:i/>
          <w:sz w:val="20"/>
        </w:rPr>
        <w:t>Google Map</w:t>
      </w:r>
    </w:p>
    <w:p w:rsidR="00A1273E" w:rsidRDefault="008F30A2" w:rsidP="00FE6328">
      <w:pPr>
        <w:pStyle w:val="BodyText"/>
        <w:spacing w:after="240" w:line="276" w:lineRule="auto"/>
        <w:jc w:val="both"/>
        <w:rPr>
          <w:rFonts w:cs="Times New Roman"/>
          <w:szCs w:val="24"/>
        </w:rPr>
      </w:pPr>
      <w:r w:rsidRPr="000D032C">
        <w:rPr>
          <w:rFonts w:cs="Times New Roman"/>
          <w:szCs w:val="24"/>
        </w:rPr>
        <w:t>The main river of the region, the Karnafuli</w:t>
      </w:r>
      <w:r>
        <w:rPr>
          <w:rFonts w:cs="Times New Roman"/>
          <w:szCs w:val="24"/>
        </w:rPr>
        <w:t>,</w:t>
      </w:r>
      <w:r w:rsidRPr="000D032C">
        <w:rPr>
          <w:rFonts w:cs="Times New Roman"/>
          <w:szCs w:val="24"/>
        </w:rPr>
        <w:t xml:space="preserve"> originates from the Lushai hills</w:t>
      </w:r>
      <w:r>
        <w:rPr>
          <w:rFonts w:cs="Times New Roman"/>
          <w:szCs w:val="24"/>
        </w:rPr>
        <w:t xml:space="preserve"> in Mizoram (India)</w:t>
      </w:r>
      <w:r w:rsidRPr="000D032C">
        <w:rPr>
          <w:rFonts w:cs="Times New Roman"/>
          <w:szCs w:val="24"/>
        </w:rPr>
        <w:t xml:space="preserve">. The river is flashy in nature and around 131 km long. Rainkhiang, Kasalong, Thega, Ichamati and Halda are its main tributaries and Saylok and </w:t>
      </w:r>
      <w:r w:rsidR="00FC5D93">
        <w:rPr>
          <w:rFonts w:cs="Times New Roman"/>
          <w:szCs w:val="24"/>
        </w:rPr>
        <w:t>Bakkhali</w:t>
      </w:r>
      <w:r w:rsidR="00FC5D93" w:rsidRPr="000D032C">
        <w:rPr>
          <w:rFonts w:cs="Times New Roman"/>
          <w:szCs w:val="24"/>
        </w:rPr>
        <w:t xml:space="preserve"> </w:t>
      </w:r>
      <w:r w:rsidRPr="000D032C">
        <w:rPr>
          <w:rFonts w:cs="Times New Roman"/>
          <w:szCs w:val="24"/>
        </w:rPr>
        <w:t xml:space="preserve">are its major distributaries. Many streamlets are also connected with the river.  The flow of the river is dependent on the rainfall at the upper huge hilly catchment area. The river made the most significant change of its course from Kalurghat downwards. Normally, the river had a western and southwestern course. From the extreme corner of the Chittagong port it moves to </w:t>
      </w:r>
      <w:r>
        <w:rPr>
          <w:rFonts w:cs="Times New Roman"/>
          <w:szCs w:val="24"/>
        </w:rPr>
        <w:t xml:space="preserve">the </w:t>
      </w:r>
      <w:r w:rsidRPr="000D032C">
        <w:rPr>
          <w:rFonts w:cs="Times New Roman"/>
          <w:szCs w:val="24"/>
        </w:rPr>
        <w:t xml:space="preserve">southwest to fall into the Bay of Bengal. The main problem of the river is bank erosion around Rangunia in Chittagong Coastal Plains. The river is now facing increasing sedimentation due to deforestation and hill cultivation practices. The upper reaches of the river are shallow and not navigable round the year. </w:t>
      </w:r>
    </w:p>
    <w:p w:rsidR="0053415F" w:rsidRPr="00CA5BF9" w:rsidRDefault="0053415F" w:rsidP="00FE6328">
      <w:pPr>
        <w:pStyle w:val="BodyText"/>
        <w:spacing w:after="240" w:line="276" w:lineRule="auto"/>
        <w:jc w:val="both"/>
        <w:rPr>
          <w:rFonts w:cs="Times New Roman"/>
          <w:szCs w:val="24"/>
        </w:rPr>
      </w:pPr>
      <w:r w:rsidRPr="003046F9">
        <w:rPr>
          <w:rFonts w:cs="Times New Roman"/>
          <w:szCs w:val="24"/>
        </w:rPr>
        <w:t>The transboundary</w:t>
      </w:r>
      <w:r>
        <w:rPr>
          <w:rFonts w:cs="Times New Roman"/>
          <w:szCs w:val="24"/>
        </w:rPr>
        <w:t xml:space="preserve">, perennial </w:t>
      </w:r>
      <w:r w:rsidRPr="003046F9">
        <w:rPr>
          <w:rFonts w:cs="Times New Roman"/>
          <w:szCs w:val="24"/>
        </w:rPr>
        <w:t xml:space="preserve">river </w:t>
      </w:r>
      <w:r w:rsidR="004E362F" w:rsidRPr="003046F9">
        <w:rPr>
          <w:rFonts w:cs="Times New Roman"/>
          <w:szCs w:val="24"/>
        </w:rPr>
        <w:t>Sangu</w:t>
      </w:r>
      <w:r w:rsidR="004E362F">
        <w:rPr>
          <w:rFonts w:cs="Times New Roman"/>
          <w:szCs w:val="24"/>
        </w:rPr>
        <w:t xml:space="preserve"> (</w:t>
      </w:r>
      <w:r>
        <w:rPr>
          <w:rFonts w:cs="Times New Roman"/>
          <w:szCs w:val="24"/>
        </w:rPr>
        <w:t xml:space="preserve">length </w:t>
      </w:r>
      <w:r w:rsidRPr="003046F9">
        <w:rPr>
          <w:rFonts w:cs="Times New Roman"/>
          <w:szCs w:val="24"/>
        </w:rPr>
        <w:t>294 km</w:t>
      </w:r>
      <w:r>
        <w:rPr>
          <w:rFonts w:cs="Times New Roman"/>
          <w:szCs w:val="24"/>
        </w:rPr>
        <w:t xml:space="preserve">) </w:t>
      </w:r>
      <w:r w:rsidRPr="003046F9">
        <w:rPr>
          <w:rFonts w:cs="Times New Roman"/>
          <w:szCs w:val="24"/>
        </w:rPr>
        <w:t>originates from the Arakan mountain of Myanmar. The river enters Bangladesh from the Bandarban district and outfalls into the Bay of Bengal. The river has tidal effect at the downstream</w:t>
      </w:r>
      <w:r>
        <w:rPr>
          <w:rFonts w:cs="Times New Roman"/>
          <w:szCs w:val="24"/>
        </w:rPr>
        <w:t xml:space="preserve"> and </w:t>
      </w:r>
      <w:r w:rsidRPr="003046F9">
        <w:rPr>
          <w:rFonts w:cs="Times New Roman"/>
          <w:szCs w:val="24"/>
        </w:rPr>
        <w:t xml:space="preserve">its average width is 120 m at Dohazari. The upstream reaches flow through a hilly region and it has less freedom to change its </w:t>
      </w:r>
      <w:r w:rsidR="003507C6" w:rsidRPr="003046F9">
        <w:rPr>
          <w:rFonts w:cs="Times New Roman"/>
          <w:szCs w:val="24"/>
        </w:rPr>
        <w:t>plan</w:t>
      </w:r>
      <w:r w:rsidR="003507C6">
        <w:rPr>
          <w:rFonts w:cs="Times New Roman"/>
          <w:szCs w:val="24"/>
        </w:rPr>
        <w:t xml:space="preserve"> </w:t>
      </w:r>
      <w:r w:rsidR="003507C6" w:rsidRPr="003046F9">
        <w:rPr>
          <w:rFonts w:cs="Times New Roman"/>
          <w:szCs w:val="24"/>
        </w:rPr>
        <w:t>form</w:t>
      </w:r>
      <w:r w:rsidRPr="003046F9">
        <w:rPr>
          <w:rFonts w:cs="Times New Roman"/>
          <w:szCs w:val="24"/>
        </w:rPr>
        <w:t>.  It is a flashy and m</w:t>
      </w:r>
      <w:r>
        <w:rPr>
          <w:rFonts w:cs="Times New Roman"/>
          <w:szCs w:val="24"/>
        </w:rPr>
        <w:t xml:space="preserve">eandering river and some </w:t>
      </w:r>
      <w:r w:rsidRPr="003046F9">
        <w:rPr>
          <w:rFonts w:cs="Times New Roman"/>
          <w:szCs w:val="24"/>
        </w:rPr>
        <w:t xml:space="preserve">erosion-accretion occurs in this river. The </w:t>
      </w:r>
      <w:r w:rsidR="003507C6" w:rsidRPr="003046F9">
        <w:rPr>
          <w:rFonts w:cs="Times New Roman"/>
          <w:szCs w:val="24"/>
        </w:rPr>
        <w:t>Bakkhali</w:t>
      </w:r>
      <w:r w:rsidR="003507C6">
        <w:rPr>
          <w:rFonts w:cs="Times New Roman"/>
          <w:szCs w:val="24"/>
        </w:rPr>
        <w:t xml:space="preserve"> (</w:t>
      </w:r>
      <w:r>
        <w:rPr>
          <w:rFonts w:cs="Times New Roman"/>
          <w:szCs w:val="24"/>
        </w:rPr>
        <w:t xml:space="preserve">length 70 km) </w:t>
      </w:r>
      <w:r w:rsidRPr="003046F9">
        <w:rPr>
          <w:rFonts w:cs="Times New Roman"/>
          <w:szCs w:val="24"/>
        </w:rPr>
        <w:t xml:space="preserve">originates from the hilly area of the </w:t>
      </w:r>
      <w:r w:rsidR="003507C6" w:rsidRPr="003046F9">
        <w:rPr>
          <w:rFonts w:cs="Times New Roman"/>
          <w:szCs w:val="24"/>
        </w:rPr>
        <w:t>Naikhanchhari</w:t>
      </w:r>
      <w:r w:rsidR="003507C6">
        <w:rPr>
          <w:rFonts w:cs="Times New Roman"/>
          <w:szCs w:val="24"/>
        </w:rPr>
        <w:t xml:space="preserve"> </w:t>
      </w:r>
      <w:r w:rsidR="003507C6" w:rsidRPr="003046F9">
        <w:rPr>
          <w:rFonts w:cs="Times New Roman"/>
          <w:szCs w:val="24"/>
        </w:rPr>
        <w:t>upazilla</w:t>
      </w:r>
      <w:r w:rsidRPr="003046F9">
        <w:rPr>
          <w:rFonts w:cs="Times New Roman"/>
          <w:szCs w:val="24"/>
        </w:rPr>
        <w:t xml:space="preserve"> of Bandarban district</w:t>
      </w:r>
      <w:r>
        <w:rPr>
          <w:rFonts w:cs="Times New Roman"/>
          <w:szCs w:val="24"/>
        </w:rPr>
        <w:t>, f</w:t>
      </w:r>
      <w:r w:rsidRPr="003046F9">
        <w:rPr>
          <w:rFonts w:cs="Times New Roman"/>
          <w:szCs w:val="24"/>
        </w:rPr>
        <w:t xml:space="preserve">lowing through Ramu and Cox’s Bazaar </w:t>
      </w:r>
      <w:r w:rsidR="00F51D0D" w:rsidRPr="003046F9">
        <w:rPr>
          <w:rFonts w:cs="Times New Roman"/>
          <w:szCs w:val="24"/>
        </w:rPr>
        <w:t>upazillas</w:t>
      </w:r>
      <w:r>
        <w:rPr>
          <w:rFonts w:cs="Times New Roman"/>
          <w:szCs w:val="24"/>
        </w:rPr>
        <w:t xml:space="preserve"> and </w:t>
      </w:r>
      <w:r w:rsidRPr="003046F9">
        <w:rPr>
          <w:rFonts w:cs="Times New Roman"/>
          <w:szCs w:val="24"/>
        </w:rPr>
        <w:t xml:space="preserve">finally outfalls into the Moheshkhali Channel. In the downstream reach, its average width is 130 m. The Bakkhali, being a flashy river in nature, shows some common features such as flash floods and floodplain </w:t>
      </w:r>
      <w:r w:rsidRPr="003046F9">
        <w:rPr>
          <w:rFonts w:cs="Times New Roman"/>
          <w:szCs w:val="24"/>
        </w:rPr>
        <w:lastRenderedPageBreak/>
        <w:t>inundations. Erosion and accreti</w:t>
      </w:r>
      <w:r>
        <w:rPr>
          <w:rFonts w:cs="Times New Roman"/>
          <w:szCs w:val="24"/>
        </w:rPr>
        <w:t>on occurs in this river o</w:t>
      </w:r>
      <w:r w:rsidRPr="003046F9">
        <w:rPr>
          <w:rFonts w:cs="Times New Roman"/>
          <w:szCs w:val="24"/>
        </w:rPr>
        <w:t xml:space="preserve">n a very small scale. Recently, </w:t>
      </w:r>
      <w:r>
        <w:rPr>
          <w:rFonts w:cs="Times New Roman"/>
          <w:szCs w:val="24"/>
        </w:rPr>
        <w:t xml:space="preserve">the </w:t>
      </w:r>
      <w:r w:rsidRPr="003046F9">
        <w:rPr>
          <w:rFonts w:cs="Times New Roman"/>
          <w:szCs w:val="24"/>
        </w:rPr>
        <w:t xml:space="preserve">rate of erosion </w:t>
      </w:r>
      <w:r>
        <w:rPr>
          <w:rFonts w:cs="Times New Roman"/>
          <w:szCs w:val="24"/>
        </w:rPr>
        <w:t xml:space="preserve">was seen to be </w:t>
      </w:r>
      <w:r w:rsidRPr="003046F9">
        <w:rPr>
          <w:rFonts w:cs="Times New Roman"/>
          <w:szCs w:val="24"/>
        </w:rPr>
        <w:t xml:space="preserve">decreasing, which could be the effect of dams on this river. The Matamuhuri River </w:t>
      </w:r>
      <w:r>
        <w:rPr>
          <w:rFonts w:cs="Times New Roman"/>
          <w:szCs w:val="24"/>
        </w:rPr>
        <w:t xml:space="preserve">(length 146 km) </w:t>
      </w:r>
      <w:r w:rsidRPr="003046F9">
        <w:rPr>
          <w:rFonts w:cs="Times New Roman"/>
          <w:szCs w:val="24"/>
        </w:rPr>
        <w:t>is a trans-boundary river originating from the Lushai hills</w:t>
      </w:r>
      <w:r>
        <w:rPr>
          <w:rFonts w:cs="Times New Roman"/>
          <w:szCs w:val="24"/>
        </w:rPr>
        <w:t xml:space="preserve"> o</w:t>
      </w:r>
      <w:r w:rsidRPr="003046F9">
        <w:rPr>
          <w:rFonts w:cs="Times New Roman"/>
          <w:szCs w:val="24"/>
        </w:rPr>
        <w:t xml:space="preserve">n the boundary of Bangladesh and Myanmar at Alikadam upazila of the Bandarban district. The river </w:t>
      </w:r>
      <w:r>
        <w:rPr>
          <w:rFonts w:cs="Times New Roman"/>
          <w:szCs w:val="24"/>
        </w:rPr>
        <w:t xml:space="preserve">has an average width of </w:t>
      </w:r>
      <w:r w:rsidRPr="003046F9">
        <w:rPr>
          <w:rFonts w:cs="Times New Roman"/>
          <w:szCs w:val="24"/>
        </w:rPr>
        <w:t>154 m</w:t>
      </w:r>
      <w:r>
        <w:rPr>
          <w:rFonts w:cs="Times New Roman"/>
          <w:szCs w:val="24"/>
        </w:rPr>
        <w:t xml:space="preserve">, </w:t>
      </w:r>
      <w:r w:rsidRPr="003046F9">
        <w:rPr>
          <w:rFonts w:cs="Times New Roman"/>
          <w:szCs w:val="24"/>
        </w:rPr>
        <w:t>bifurcate</w:t>
      </w:r>
      <w:r>
        <w:rPr>
          <w:rFonts w:cs="Times New Roman"/>
          <w:szCs w:val="24"/>
        </w:rPr>
        <w:t xml:space="preserve">s </w:t>
      </w:r>
      <w:r w:rsidRPr="003046F9">
        <w:rPr>
          <w:rFonts w:cs="Times New Roman"/>
          <w:szCs w:val="24"/>
        </w:rPr>
        <w:t>into two channels</w:t>
      </w:r>
      <w:r>
        <w:rPr>
          <w:rFonts w:cs="Times New Roman"/>
          <w:szCs w:val="24"/>
        </w:rPr>
        <w:t>, which have tidal effects,</w:t>
      </w:r>
      <w:r w:rsidRPr="003046F9">
        <w:rPr>
          <w:rFonts w:cs="Times New Roman"/>
          <w:szCs w:val="24"/>
        </w:rPr>
        <w:t xml:space="preserve"> and fall</w:t>
      </w:r>
      <w:r>
        <w:rPr>
          <w:rFonts w:cs="Times New Roman"/>
          <w:szCs w:val="24"/>
        </w:rPr>
        <w:t>s i</w:t>
      </w:r>
      <w:r w:rsidRPr="003046F9">
        <w:rPr>
          <w:rFonts w:cs="Times New Roman"/>
          <w:szCs w:val="24"/>
        </w:rPr>
        <w:t>n</w:t>
      </w:r>
      <w:r>
        <w:rPr>
          <w:rFonts w:cs="Times New Roman"/>
          <w:szCs w:val="24"/>
        </w:rPr>
        <w:t>to</w:t>
      </w:r>
      <w:r w:rsidRPr="003046F9">
        <w:rPr>
          <w:rFonts w:cs="Times New Roman"/>
          <w:szCs w:val="24"/>
        </w:rPr>
        <w:t xml:space="preserve"> the Maheshkhali channel. </w:t>
      </w:r>
      <w:r w:rsidR="003507C6" w:rsidRPr="003046F9">
        <w:rPr>
          <w:rFonts w:cs="Times New Roman"/>
          <w:szCs w:val="24"/>
        </w:rPr>
        <w:t>Tributaries of</w:t>
      </w:r>
      <w:r w:rsidRPr="003046F9">
        <w:rPr>
          <w:rFonts w:cs="Times New Roman"/>
          <w:szCs w:val="24"/>
        </w:rPr>
        <w:t xml:space="preserve"> the Matamuhuri River are </w:t>
      </w:r>
      <w:r w:rsidR="003507C6" w:rsidRPr="003046F9">
        <w:rPr>
          <w:rFonts w:cs="Times New Roman"/>
          <w:szCs w:val="24"/>
        </w:rPr>
        <w:t>Bamu</w:t>
      </w:r>
      <w:r w:rsidR="003507C6">
        <w:rPr>
          <w:rFonts w:cs="Times New Roman"/>
          <w:szCs w:val="24"/>
        </w:rPr>
        <w:t xml:space="preserve"> </w:t>
      </w:r>
      <w:r w:rsidR="003507C6" w:rsidRPr="003046F9">
        <w:rPr>
          <w:rFonts w:cs="Times New Roman"/>
          <w:szCs w:val="24"/>
        </w:rPr>
        <w:t>Khal</w:t>
      </w:r>
      <w:r w:rsidRPr="003046F9">
        <w:rPr>
          <w:rFonts w:cs="Times New Roman"/>
          <w:szCs w:val="24"/>
        </w:rPr>
        <w:t>, Lama Chara and PopaChara. A number of rubber dams have been constructed on this river which may have affected the river morphology.</w:t>
      </w:r>
      <w:r>
        <w:rPr>
          <w:rFonts w:cs="Times New Roman"/>
          <w:szCs w:val="24"/>
        </w:rPr>
        <w:t xml:space="preserve"> The Matamuhri also has flash floods </w:t>
      </w:r>
      <w:r w:rsidRPr="00744740">
        <w:rPr>
          <w:rFonts w:cs="Times New Roman"/>
          <w:szCs w:val="24"/>
        </w:rPr>
        <w:t xml:space="preserve">and floodplain inundations, and steep slope from the hilly </w:t>
      </w:r>
      <w:r w:rsidR="004E362F" w:rsidRPr="00744740">
        <w:rPr>
          <w:rFonts w:cs="Times New Roman"/>
          <w:szCs w:val="24"/>
        </w:rPr>
        <w:t>regions.</w:t>
      </w:r>
      <w:r w:rsidR="004E362F" w:rsidRPr="00CA5BF9">
        <w:rPr>
          <w:rFonts w:cs="Times New Roman"/>
          <w:szCs w:val="24"/>
        </w:rPr>
        <w:t xml:space="preserve"> In</w:t>
      </w:r>
      <w:r w:rsidRPr="00CA5BF9">
        <w:rPr>
          <w:rFonts w:cs="Times New Roman"/>
          <w:szCs w:val="24"/>
        </w:rPr>
        <w:t xml:space="preserve"> general, most of the rivers of this region are flashy in nature, and erosion occurs along the banks. Sedimentation due to deforestation and hill cultivation practices causes navigation problem.</w:t>
      </w:r>
    </w:p>
    <w:p w:rsidR="0053415F" w:rsidRPr="00CA5BF9" w:rsidRDefault="0053415F" w:rsidP="00FE6328">
      <w:pPr>
        <w:pStyle w:val="BodyText"/>
        <w:spacing w:after="240" w:line="276" w:lineRule="auto"/>
        <w:jc w:val="both"/>
        <w:rPr>
          <w:rFonts w:cs="Times New Roman"/>
          <w:szCs w:val="24"/>
        </w:rPr>
      </w:pPr>
      <w:r w:rsidRPr="00CA5BF9">
        <w:rPr>
          <w:rFonts w:cs="Times New Roman"/>
          <w:szCs w:val="24"/>
        </w:rPr>
        <w:t xml:space="preserve">Wet evergreen and semi-evergreen forests occur in hilly areas of Bangladesh. Hilly forest extends from Teknaf peninsula, north along the Myanmar border to Chittagong hills and Chittagong Hill Tracts (CHT), and low hills in the district of Habiganj, Moulvibazar and </w:t>
      </w:r>
      <w:r w:rsidR="00F15525">
        <w:rPr>
          <w:rFonts w:cs="Times New Roman"/>
          <w:szCs w:val="24"/>
        </w:rPr>
        <w:t>Sylhet</w:t>
      </w:r>
      <w:r w:rsidRPr="00CA5BF9">
        <w:rPr>
          <w:rFonts w:cs="Times New Roman"/>
          <w:szCs w:val="24"/>
        </w:rPr>
        <w:t>. The wet evergreen forests of the CHT are magnificent dense forests that support a diversified and rich biodiversity. The trees in the top canopy attain a height of about 45-60m. A few semi-evergreen species may occur but they do not affect the evergreen nature of the forests. The floral diversity is rich with epiphytes, orchids, and woody and non-woody climbers, ferns, mosses, aroids and palms particularly in shady moist places. Herbs and grasses are abundant and the undergrowth is a tangle mass of shrubs, bamboo and rattans. About 700 species of flowering plants grow in this forest type (Pasha, Banglapedia). Bamboo is abundant throughout the hilly areas and 18 bamboo species have been reco</w:t>
      </w:r>
      <w:r w:rsidR="00F15525">
        <w:rPr>
          <w:rFonts w:cs="Times New Roman"/>
          <w:szCs w:val="24"/>
        </w:rPr>
        <w:t>rded from Bangladesh</w:t>
      </w:r>
      <w:r w:rsidRPr="00CA5BF9">
        <w:rPr>
          <w:rFonts w:cs="Times New Roman"/>
          <w:szCs w:val="24"/>
        </w:rPr>
        <w:t xml:space="preserve">. The Semi-evergreen forests in the CHT in more exposed dry areas; trees in the top canopy reach a height of about 25-55m with evergreen species predominating but having many deciduous species. In winter the semi-evergreen forests are distinguishable from evergreen forests. Over 800 species of flowering plants have been recorded in this </w:t>
      </w:r>
      <w:r w:rsidR="00F15525">
        <w:rPr>
          <w:rFonts w:cs="Times New Roman"/>
          <w:szCs w:val="24"/>
        </w:rPr>
        <w:t>forest type.</w:t>
      </w:r>
    </w:p>
    <w:p w:rsidR="0053415F" w:rsidRDefault="0053415F" w:rsidP="00FE6328">
      <w:pPr>
        <w:pStyle w:val="BodyText"/>
        <w:spacing w:after="240" w:line="276" w:lineRule="auto"/>
        <w:jc w:val="both"/>
        <w:rPr>
          <w:rFonts w:cs="Times New Roman"/>
          <w:szCs w:val="24"/>
        </w:rPr>
      </w:pPr>
      <w:r w:rsidRPr="00CA5BF9">
        <w:rPr>
          <w:rFonts w:cs="Times New Roman"/>
          <w:szCs w:val="24"/>
        </w:rPr>
        <w:t xml:space="preserve">Jhum cultivation </w:t>
      </w:r>
      <w:r>
        <w:rPr>
          <w:rFonts w:cs="Times New Roman"/>
          <w:szCs w:val="24"/>
        </w:rPr>
        <w:t xml:space="preserve">(shifting cultivation) </w:t>
      </w:r>
      <w:r w:rsidRPr="00CA5BF9">
        <w:rPr>
          <w:rFonts w:cs="Times New Roman"/>
          <w:szCs w:val="24"/>
        </w:rPr>
        <w:t>is the most common form of farming practice</w:t>
      </w:r>
      <w:r>
        <w:rPr>
          <w:rFonts w:cs="Times New Roman"/>
          <w:szCs w:val="24"/>
        </w:rPr>
        <w:t>d</w:t>
      </w:r>
      <w:r w:rsidRPr="00CA5BF9">
        <w:rPr>
          <w:rFonts w:cs="Times New Roman"/>
          <w:szCs w:val="24"/>
        </w:rPr>
        <w:t xml:space="preserve"> by the </w:t>
      </w:r>
      <w:r w:rsidR="005264B4" w:rsidRPr="005264B4">
        <w:rPr>
          <w:rFonts w:cs="Times New Roman"/>
          <w:szCs w:val="24"/>
        </w:rPr>
        <w:t>Ethnic Groups'</w:t>
      </w:r>
      <w:r>
        <w:rPr>
          <w:rFonts w:cs="Times New Roman"/>
          <w:szCs w:val="24"/>
        </w:rPr>
        <w:t xml:space="preserve"> (11 ethnic groups) </w:t>
      </w:r>
      <w:r w:rsidRPr="00CA5BF9">
        <w:rPr>
          <w:rFonts w:cs="Times New Roman"/>
          <w:szCs w:val="24"/>
        </w:rPr>
        <w:t xml:space="preserve">people </w:t>
      </w:r>
      <w:r>
        <w:rPr>
          <w:rFonts w:cs="Times New Roman"/>
          <w:szCs w:val="24"/>
        </w:rPr>
        <w:t xml:space="preserve">for </w:t>
      </w:r>
      <w:r w:rsidRPr="00CA5BF9">
        <w:rPr>
          <w:rFonts w:cs="Times New Roman"/>
          <w:szCs w:val="24"/>
        </w:rPr>
        <w:t xml:space="preserve">growing food in the hilly areas. </w:t>
      </w:r>
      <w:r>
        <w:rPr>
          <w:rFonts w:cs="Times New Roman"/>
          <w:szCs w:val="24"/>
        </w:rPr>
        <w:t>As the fallow period is getting shorter due to population pressure, Jhum is c</w:t>
      </w:r>
      <w:r w:rsidRPr="00CA5BF9">
        <w:rPr>
          <w:rFonts w:cs="Times New Roman"/>
          <w:szCs w:val="24"/>
        </w:rPr>
        <w:t>aus</w:t>
      </w:r>
      <w:r>
        <w:rPr>
          <w:rFonts w:cs="Times New Roman"/>
          <w:szCs w:val="24"/>
        </w:rPr>
        <w:t>ing</w:t>
      </w:r>
      <w:r w:rsidRPr="00CA5BF9">
        <w:rPr>
          <w:rFonts w:cs="Times New Roman"/>
          <w:szCs w:val="24"/>
        </w:rPr>
        <w:t xml:space="preserve"> denudation of vegetation, loss of top soil and </w:t>
      </w:r>
      <w:r>
        <w:rPr>
          <w:rFonts w:cs="Times New Roman"/>
          <w:szCs w:val="24"/>
        </w:rPr>
        <w:t xml:space="preserve">a </w:t>
      </w:r>
      <w:r w:rsidRPr="00CA5BF9">
        <w:rPr>
          <w:rFonts w:cs="Times New Roman"/>
          <w:szCs w:val="24"/>
        </w:rPr>
        <w:t xml:space="preserve">degraded environment as a </w:t>
      </w:r>
      <w:r w:rsidR="003507C6" w:rsidRPr="00CA5BF9">
        <w:rPr>
          <w:rFonts w:cs="Times New Roman"/>
          <w:szCs w:val="24"/>
        </w:rPr>
        <w:t>whole</w:t>
      </w:r>
      <w:r w:rsidR="003507C6">
        <w:rPr>
          <w:rFonts w:cs="Times New Roman"/>
          <w:szCs w:val="24"/>
        </w:rPr>
        <w:t xml:space="preserve"> However</w:t>
      </w:r>
      <w:r>
        <w:rPr>
          <w:rFonts w:cs="Times New Roman"/>
          <w:szCs w:val="24"/>
        </w:rPr>
        <w:t>, proponents of Jhum claim</w:t>
      </w:r>
      <w:r w:rsidRPr="00CA5BF9">
        <w:rPr>
          <w:rFonts w:cs="Times New Roman"/>
          <w:szCs w:val="24"/>
        </w:rPr>
        <w:t xml:space="preserve"> that burning of th</w:t>
      </w:r>
      <w:r>
        <w:rPr>
          <w:rFonts w:cs="Times New Roman"/>
          <w:szCs w:val="24"/>
        </w:rPr>
        <w:t>e shrubs during the process of j</w:t>
      </w:r>
      <w:r w:rsidRPr="00CA5BF9">
        <w:rPr>
          <w:rFonts w:cs="Times New Roman"/>
          <w:szCs w:val="24"/>
        </w:rPr>
        <w:t xml:space="preserve">hum cultivation increases N, P, K, Ca, Mg and Na in </w:t>
      </w:r>
      <w:r>
        <w:rPr>
          <w:rFonts w:cs="Times New Roman"/>
          <w:szCs w:val="24"/>
        </w:rPr>
        <w:t xml:space="preserve">the </w:t>
      </w:r>
      <w:r w:rsidR="00F15525">
        <w:rPr>
          <w:rFonts w:cs="Times New Roman"/>
          <w:szCs w:val="24"/>
        </w:rPr>
        <w:t>top soil. Also, the</w:t>
      </w:r>
      <w:r w:rsidRPr="00CA5BF9">
        <w:rPr>
          <w:rFonts w:cs="Times New Roman"/>
          <w:szCs w:val="24"/>
        </w:rPr>
        <w:t xml:space="preserve"> burning drives away harmful insects and makes the ground warm</w:t>
      </w:r>
      <w:r>
        <w:rPr>
          <w:rFonts w:cs="Times New Roman"/>
          <w:szCs w:val="24"/>
        </w:rPr>
        <w:t xml:space="preserve">, thus </w:t>
      </w:r>
      <w:r w:rsidRPr="00CA5BF9">
        <w:rPr>
          <w:rFonts w:cs="Times New Roman"/>
          <w:szCs w:val="24"/>
        </w:rPr>
        <w:t>accelerating the emergence of naturally fal</w:t>
      </w:r>
      <w:r>
        <w:rPr>
          <w:rFonts w:cs="Times New Roman"/>
          <w:szCs w:val="24"/>
        </w:rPr>
        <w:t>len seeds of forest plants. Not</w:t>
      </w:r>
      <w:r w:rsidRPr="00CA5BF9">
        <w:rPr>
          <w:rFonts w:cs="Times New Roman"/>
          <w:szCs w:val="24"/>
        </w:rPr>
        <w:t xml:space="preserve">withstanding the </w:t>
      </w:r>
      <w:r>
        <w:rPr>
          <w:rFonts w:cs="Times New Roman"/>
          <w:szCs w:val="24"/>
        </w:rPr>
        <w:t xml:space="preserve">pros and cons, </w:t>
      </w:r>
      <w:r w:rsidRPr="00CA5BF9">
        <w:rPr>
          <w:rFonts w:cs="Times New Roman"/>
          <w:szCs w:val="24"/>
        </w:rPr>
        <w:t>jhum cultivation will remain to</w:t>
      </w:r>
      <w:r>
        <w:rPr>
          <w:rFonts w:cs="Times New Roman"/>
          <w:szCs w:val="24"/>
        </w:rPr>
        <w:t xml:space="preserve"> meet food security of the hill</w:t>
      </w:r>
      <w:r w:rsidRPr="00CA5BF9">
        <w:rPr>
          <w:rFonts w:cs="Times New Roman"/>
          <w:szCs w:val="24"/>
        </w:rPr>
        <w:t xml:space="preserve"> people. In such a situation, modified hill farming systems </w:t>
      </w:r>
      <w:r>
        <w:rPr>
          <w:rFonts w:cs="Times New Roman"/>
          <w:szCs w:val="24"/>
        </w:rPr>
        <w:t xml:space="preserve">applying </w:t>
      </w:r>
      <w:r w:rsidR="004E362F" w:rsidRPr="00CA5BF9">
        <w:rPr>
          <w:rFonts w:cs="Times New Roman"/>
          <w:szCs w:val="24"/>
        </w:rPr>
        <w:t>agro forestry</w:t>
      </w:r>
      <w:r w:rsidRPr="00CA5BF9">
        <w:rPr>
          <w:rFonts w:cs="Times New Roman"/>
          <w:szCs w:val="24"/>
        </w:rPr>
        <w:t xml:space="preserve"> </w:t>
      </w:r>
      <w:r>
        <w:rPr>
          <w:rFonts w:cs="Times New Roman"/>
          <w:szCs w:val="24"/>
        </w:rPr>
        <w:t xml:space="preserve">are needed to minimize soil </w:t>
      </w:r>
      <w:r w:rsidRPr="00CA5BF9">
        <w:rPr>
          <w:rFonts w:cs="Times New Roman"/>
          <w:szCs w:val="24"/>
        </w:rPr>
        <w:t>disturb</w:t>
      </w:r>
      <w:r>
        <w:rPr>
          <w:rFonts w:cs="Times New Roman"/>
          <w:szCs w:val="24"/>
        </w:rPr>
        <w:t xml:space="preserve">ance. Factoring in benefits from environmental services increases returns from </w:t>
      </w:r>
      <w:r w:rsidR="004E362F">
        <w:rPr>
          <w:rFonts w:cs="Times New Roman"/>
          <w:szCs w:val="24"/>
        </w:rPr>
        <w:t>agro forestry</w:t>
      </w:r>
      <w:r>
        <w:rPr>
          <w:rFonts w:cs="Times New Roman"/>
          <w:szCs w:val="24"/>
        </w:rPr>
        <w:t xml:space="preserve"> almost twice those from annual crops farme</w:t>
      </w:r>
      <w:r w:rsidR="00F15525">
        <w:rPr>
          <w:rFonts w:cs="Times New Roman"/>
          <w:szCs w:val="24"/>
        </w:rPr>
        <w:t>d conventionally</w:t>
      </w:r>
      <w:r>
        <w:rPr>
          <w:rFonts w:cs="Times New Roman"/>
          <w:szCs w:val="24"/>
        </w:rPr>
        <w:t>.</w:t>
      </w:r>
    </w:p>
    <w:p w:rsidR="0053415F" w:rsidRPr="00F20A52" w:rsidRDefault="0053415F" w:rsidP="00CE66B7">
      <w:pPr>
        <w:pStyle w:val="BodyText"/>
        <w:spacing w:after="240" w:line="271" w:lineRule="auto"/>
        <w:jc w:val="both"/>
        <w:rPr>
          <w:rFonts w:cs="Times New Roman"/>
          <w:color w:val="1A1A1A"/>
          <w:szCs w:val="24"/>
        </w:rPr>
      </w:pPr>
      <w:r w:rsidRPr="00F20A52">
        <w:rPr>
          <w:rFonts w:cs="Times New Roman"/>
          <w:szCs w:val="24"/>
        </w:rPr>
        <w:lastRenderedPageBreak/>
        <w:t>In recent years, watersheds in hill areas of Bangladesh have become degraded due ever shrinking land base for jhum with shortened fallow period as low as 2 or 1 year contributing to a sharp decline in jhum productivity and deterioration of the forest ecosystem</w:t>
      </w:r>
      <w:r w:rsidRPr="00CA5BF9">
        <w:rPr>
          <w:rFonts w:cs="Times New Roman"/>
          <w:szCs w:val="24"/>
        </w:rPr>
        <w:t>.</w:t>
      </w:r>
      <w:r w:rsidRPr="00F20A52">
        <w:rPr>
          <w:rFonts w:cs="Times New Roman"/>
          <w:szCs w:val="24"/>
        </w:rPr>
        <w:t xml:space="preserve"> Unsustainable farming practices by settled farmers from the lowlands and deforestation has added to the degradation. Recent reports mention erratic rainfall due to climate change and deforestation</w:t>
      </w:r>
      <w:r w:rsidR="003F2F65">
        <w:rPr>
          <w:rFonts w:cs="Times New Roman"/>
          <w:szCs w:val="24"/>
        </w:rPr>
        <w:t>,</w:t>
      </w:r>
      <w:r w:rsidRPr="00F20A52">
        <w:rPr>
          <w:rFonts w:cs="Times New Roman"/>
          <w:szCs w:val="24"/>
        </w:rPr>
        <w:t xml:space="preserve"> which has made the search for water increasingly difficult for the </w:t>
      </w:r>
      <w:r w:rsidR="005264B4">
        <w:rPr>
          <w:rFonts w:cs="Times New Roman"/>
          <w:szCs w:val="24"/>
        </w:rPr>
        <w:t>Ethnic Group</w:t>
      </w:r>
      <w:r w:rsidR="005264B4" w:rsidRPr="00F20A52">
        <w:rPr>
          <w:rFonts w:cs="Times New Roman"/>
          <w:szCs w:val="24"/>
        </w:rPr>
        <w:t xml:space="preserve"> </w:t>
      </w:r>
      <w:r w:rsidRPr="00F20A52">
        <w:rPr>
          <w:rFonts w:cs="Times New Roman"/>
          <w:szCs w:val="24"/>
        </w:rPr>
        <w:t>population of the Chittagong Hill Tracts, especially for women</w:t>
      </w:r>
      <w:r w:rsidR="003F2F65">
        <w:rPr>
          <w:rFonts w:cs="Times New Roman"/>
          <w:szCs w:val="24"/>
        </w:rPr>
        <w:t>.</w:t>
      </w:r>
      <w:r w:rsidR="00F15525">
        <w:rPr>
          <w:rFonts w:cs="Times New Roman"/>
          <w:szCs w:val="24"/>
        </w:rPr>
        <w:t xml:space="preserve"> </w:t>
      </w:r>
      <w:r w:rsidR="00F15525" w:rsidRPr="00F20A52">
        <w:rPr>
          <w:rFonts w:cs="Times New Roman"/>
          <w:color w:val="1A1A1A"/>
          <w:szCs w:val="24"/>
        </w:rPr>
        <w:t xml:space="preserve"> </w:t>
      </w:r>
      <w:r w:rsidRPr="00F20A52">
        <w:rPr>
          <w:rFonts w:cs="Times New Roman"/>
          <w:color w:val="1A1A1A"/>
          <w:szCs w:val="24"/>
        </w:rPr>
        <w:t xml:space="preserve">As the water bodies diminish, the search for water takes ever longer, and as women and children are assigned the task, they suffer most. </w:t>
      </w:r>
    </w:p>
    <w:p w:rsidR="0053415F" w:rsidRPr="008E632D" w:rsidRDefault="0053415F" w:rsidP="00CE66B7">
      <w:pPr>
        <w:pStyle w:val="BodyText"/>
        <w:spacing w:after="240" w:line="271" w:lineRule="auto"/>
        <w:jc w:val="both"/>
        <w:rPr>
          <w:rFonts w:cs="Times New Roman"/>
          <w:color w:val="1A1A1A"/>
          <w:szCs w:val="24"/>
        </w:rPr>
      </w:pPr>
      <w:r w:rsidRPr="008E632D">
        <w:rPr>
          <w:rFonts w:cs="Times New Roman"/>
          <w:szCs w:val="24"/>
        </w:rPr>
        <w:t>Landslides are becoming a growing hazard, which occur following intense and protracted periods of rain, removal of top soil and vegetation; sometimes landslides are triggered by light rainfall, because people have cut away mud from steep slopes, increasing the likelihood of landslides. Though the rainfall is the main trigger, development and deforestation in the hills also contribute to the growing number of landslides. Nearly half a million people live in areas at high risk of landslides in the hilly region of Bangladesh. With a tropical monsoon climate, 90% of rain falls between June and October, often triggering landslides. A landslide early warning system in hilly areas of Bangladesh has potentially saved hundreds of lives in a region where weather stations monitor rainfall and send text messages to warn people of impending landslides hours before the disaster takes place. The text messages are sent to the mobile phones of ten officials in different government agencies, who can take immediate action and evacuate people from danger areas</w:t>
      </w:r>
      <w:r w:rsidR="00F15525">
        <w:rPr>
          <w:rFonts w:cs="Times New Roman"/>
          <w:szCs w:val="24"/>
        </w:rPr>
        <w:t xml:space="preserve">.  </w:t>
      </w:r>
      <w:r w:rsidRPr="008E632D">
        <w:rPr>
          <w:rFonts w:cs="Times New Roman"/>
          <w:color w:val="1A1A1A"/>
          <w:szCs w:val="24"/>
        </w:rPr>
        <w:t>The stations also send local rainfall data at regular intervals to an online database so patterns can be analyzed to improve the warning system and flood forecasting.</w:t>
      </w:r>
    </w:p>
    <w:p w:rsidR="00695478" w:rsidRPr="005444EB" w:rsidRDefault="003F2F65" w:rsidP="004402F1">
      <w:pPr>
        <w:pStyle w:val="Heading4"/>
      </w:pPr>
      <w:bookmarkStart w:id="108" w:name="_Toc474638991"/>
      <w:r w:rsidRPr="005444EB">
        <w:t xml:space="preserve">Table </w:t>
      </w:r>
      <w:r w:rsidR="00D9144F">
        <w:t>1.</w:t>
      </w:r>
      <w:r w:rsidR="00162737">
        <w:t>20</w:t>
      </w:r>
      <w:r w:rsidR="00F8056C">
        <w:t>: Key V</w:t>
      </w:r>
      <w:r w:rsidRPr="005444EB">
        <w:t>ulnerabilities of the Chittagong Hill Tracts Hotspot</w:t>
      </w:r>
      <w:bookmarkEnd w:id="108"/>
    </w:p>
    <w:tbl>
      <w:tblPr>
        <w:tblStyle w:val="TableGrid"/>
        <w:tblW w:w="5000" w:type="pct"/>
        <w:jc w:val="center"/>
        <w:tblLook w:val="04A0"/>
      </w:tblPr>
      <w:tblGrid>
        <w:gridCol w:w="2394"/>
        <w:gridCol w:w="2394"/>
        <w:gridCol w:w="2394"/>
        <w:gridCol w:w="2394"/>
      </w:tblGrid>
      <w:tr w:rsidR="003F2F65" w:rsidRPr="00312B8D" w:rsidTr="00B71FD2">
        <w:trPr>
          <w:tblHeader/>
          <w:jc w:val="center"/>
        </w:trPr>
        <w:tc>
          <w:tcPr>
            <w:tcW w:w="1250" w:type="pct"/>
          </w:tcPr>
          <w:p w:rsidR="003F2F65" w:rsidRPr="006E075E" w:rsidRDefault="003F2F65" w:rsidP="00CC1D0D">
            <w:pPr>
              <w:pStyle w:val="BodyText"/>
              <w:spacing w:after="0" w:line="240" w:lineRule="auto"/>
              <w:jc w:val="center"/>
              <w:rPr>
                <w:rFonts w:cs="Times New Roman"/>
                <w:b/>
                <w:sz w:val="20"/>
                <w:szCs w:val="20"/>
              </w:rPr>
            </w:pPr>
            <w:r>
              <w:rPr>
                <w:rFonts w:cs="Times New Roman"/>
                <w:b/>
                <w:sz w:val="20"/>
                <w:szCs w:val="20"/>
              </w:rPr>
              <w:t>Vulnerability from</w:t>
            </w:r>
          </w:p>
        </w:tc>
        <w:tc>
          <w:tcPr>
            <w:tcW w:w="1250" w:type="pct"/>
          </w:tcPr>
          <w:p w:rsidR="003F2F65" w:rsidRPr="006E075E" w:rsidRDefault="003F2F65" w:rsidP="00CC1D0D">
            <w:pPr>
              <w:pStyle w:val="BodyText"/>
              <w:spacing w:after="0" w:line="240" w:lineRule="auto"/>
              <w:jc w:val="center"/>
              <w:rPr>
                <w:rFonts w:cs="Times New Roman"/>
                <w:b/>
                <w:sz w:val="20"/>
                <w:szCs w:val="20"/>
              </w:rPr>
            </w:pPr>
            <w:r w:rsidRPr="006E075E">
              <w:rPr>
                <w:rFonts w:cs="Times New Roman"/>
                <w:b/>
                <w:sz w:val="20"/>
                <w:szCs w:val="20"/>
              </w:rPr>
              <w:t xml:space="preserve">Current </w:t>
            </w:r>
            <w:r>
              <w:rPr>
                <w:rFonts w:cs="Times New Roman"/>
                <w:b/>
                <w:sz w:val="20"/>
                <w:szCs w:val="20"/>
              </w:rPr>
              <w:t>State</w:t>
            </w:r>
          </w:p>
        </w:tc>
        <w:tc>
          <w:tcPr>
            <w:tcW w:w="1250" w:type="pct"/>
          </w:tcPr>
          <w:p w:rsidR="003F2F65" w:rsidRPr="006E075E" w:rsidRDefault="003F2F65" w:rsidP="00CC1D0D">
            <w:pPr>
              <w:pStyle w:val="BodyText"/>
              <w:spacing w:after="0" w:line="240" w:lineRule="auto"/>
              <w:jc w:val="center"/>
              <w:rPr>
                <w:rFonts w:cs="Times New Roman"/>
                <w:b/>
                <w:sz w:val="20"/>
                <w:szCs w:val="20"/>
              </w:rPr>
            </w:pPr>
            <w:r>
              <w:rPr>
                <w:rFonts w:cs="Times New Roman"/>
                <w:b/>
                <w:sz w:val="20"/>
                <w:szCs w:val="20"/>
              </w:rPr>
              <w:t xml:space="preserve">Expected </w:t>
            </w:r>
            <w:r w:rsidRPr="006E075E">
              <w:rPr>
                <w:rFonts w:cs="Times New Roman"/>
                <w:b/>
                <w:sz w:val="20"/>
                <w:szCs w:val="20"/>
              </w:rPr>
              <w:t>Change</w:t>
            </w:r>
          </w:p>
        </w:tc>
        <w:tc>
          <w:tcPr>
            <w:tcW w:w="1250" w:type="pct"/>
          </w:tcPr>
          <w:p w:rsidR="003F2F65" w:rsidRPr="006E075E" w:rsidRDefault="003F2F65" w:rsidP="00CC1D0D">
            <w:pPr>
              <w:pStyle w:val="BodyText"/>
              <w:spacing w:after="0" w:line="240" w:lineRule="auto"/>
              <w:jc w:val="center"/>
              <w:rPr>
                <w:rFonts w:cs="Times New Roman"/>
                <w:b/>
                <w:sz w:val="20"/>
                <w:szCs w:val="20"/>
              </w:rPr>
            </w:pPr>
            <w:r w:rsidRPr="006E075E">
              <w:rPr>
                <w:rFonts w:cs="Times New Roman"/>
                <w:b/>
                <w:sz w:val="20"/>
                <w:szCs w:val="20"/>
              </w:rPr>
              <w:t>Consequences under a BAU scenario</w:t>
            </w:r>
          </w:p>
        </w:tc>
      </w:tr>
      <w:tr w:rsidR="003F2F65" w:rsidRPr="00312B8D" w:rsidTr="00B71FD2">
        <w:trPr>
          <w:jc w:val="center"/>
        </w:trPr>
        <w:tc>
          <w:tcPr>
            <w:tcW w:w="1250" w:type="pct"/>
          </w:tcPr>
          <w:p w:rsidR="003F2F65" w:rsidRPr="00CC1D0D" w:rsidRDefault="003F2F65" w:rsidP="00CC1D0D">
            <w:pPr>
              <w:pStyle w:val="BodyText"/>
              <w:spacing w:after="0" w:line="240" w:lineRule="auto"/>
              <w:rPr>
                <w:rFonts w:cs="Times New Roman"/>
                <w:sz w:val="20"/>
                <w:szCs w:val="20"/>
              </w:rPr>
            </w:pPr>
            <w:r w:rsidRPr="00CC1D0D">
              <w:rPr>
                <w:rFonts w:cs="Times New Roman"/>
                <w:sz w:val="20"/>
                <w:szCs w:val="20"/>
              </w:rPr>
              <w:t xml:space="preserve">1. </w:t>
            </w:r>
            <w:r w:rsidR="00CC1D0D" w:rsidRPr="00CC1D0D">
              <w:rPr>
                <w:rFonts w:cs="Times New Roman"/>
                <w:sz w:val="20"/>
                <w:szCs w:val="20"/>
              </w:rPr>
              <w:t>Loss of forest and vegetation cover</w:t>
            </w:r>
          </w:p>
        </w:tc>
        <w:tc>
          <w:tcPr>
            <w:tcW w:w="1250" w:type="pct"/>
          </w:tcPr>
          <w:p w:rsidR="003F2F65" w:rsidRPr="00CC1D0D" w:rsidRDefault="00CC1D0D" w:rsidP="005264B4">
            <w:pPr>
              <w:pStyle w:val="BodyText"/>
              <w:spacing w:after="0" w:line="240" w:lineRule="auto"/>
              <w:rPr>
                <w:rFonts w:cs="Times New Roman"/>
                <w:sz w:val="20"/>
                <w:szCs w:val="20"/>
              </w:rPr>
            </w:pPr>
            <w:r w:rsidRPr="00CC1D0D">
              <w:rPr>
                <w:rFonts w:cs="Times New Roman"/>
                <w:sz w:val="20"/>
                <w:szCs w:val="20"/>
              </w:rPr>
              <w:t xml:space="preserve">increased water </w:t>
            </w:r>
            <w:r w:rsidR="004E362F" w:rsidRPr="00CC1D0D">
              <w:rPr>
                <w:rFonts w:cs="Times New Roman"/>
                <w:sz w:val="20"/>
                <w:szCs w:val="20"/>
              </w:rPr>
              <w:t>runoff</w:t>
            </w:r>
            <w:r w:rsidRPr="00CC1D0D">
              <w:rPr>
                <w:rFonts w:cs="Times New Roman"/>
                <w:sz w:val="20"/>
                <w:szCs w:val="20"/>
              </w:rPr>
              <w:t>, soil erosion, and drying up of water springs and streams as a result of climate change</w:t>
            </w:r>
          </w:p>
        </w:tc>
        <w:tc>
          <w:tcPr>
            <w:tcW w:w="1250" w:type="pct"/>
          </w:tcPr>
          <w:p w:rsidR="003F2F65" w:rsidRPr="00A24C4A" w:rsidRDefault="00813063" w:rsidP="00CC1D0D">
            <w:pPr>
              <w:pStyle w:val="BodyText"/>
              <w:spacing w:after="0" w:line="240" w:lineRule="auto"/>
              <w:rPr>
                <w:rFonts w:cs="Times New Roman"/>
                <w:sz w:val="20"/>
                <w:szCs w:val="20"/>
              </w:rPr>
            </w:pPr>
            <w:r>
              <w:rPr>
                <w:rFonts w:cs="Times New Roman"/>
                <w:sz w:val="20"/>
                <w:szCs w:val="20"/>
              </w:rPr>
              <w:t>Increasing sedimentation of Karnaphuli river</w:t>
            </w:r>
          </w:p>
        </w:tc>
        <w:tc>
          <w:tcPr>
            <w:tcW w:w="1250" w:type="pct"/>
          </w:tcPr>
          <w:p w:rsidR="003F2F65" w:rsidRPr="00A24C4A" w:rsidRDefault="003F2F65" w:rsidP="00CC1D0D">
            <w:pPr>
              <w:pStyle w:val="BodyText"/>
              <w:spacing w:after="0" w:line="240" w:lineRule="auto"/>
              <w:rPr>
                <w:rFonts w:cs="Times New Roman"/>
                <w:sz w:val="20"/>
                <w:szCs w:val="20"/>
              </w:rPr>
            </w:pPr>
            <w:r>
              <w:rPr>
                <w:rFonts w:cs="Times New Roman"/>
                <w:sz w:val="20"/>
                <w:szCs w:val="20"/>
              </w:rPr>
              <w:t xml:space="preserve">Loss of </w:t>
            </w:r>
            <w:r w:rsidR="00CC1D0D">
              <w:rPr>
                <w:rFonts w:cs="Times New Roman"/>
                <w:sz w:val="20"/>
                <w:szCs w:val="20"/>
              </w:rPr>
              <w:t xml:space="preserve">fertile soils, </w:t>
            </w:r>
            <w:r>
              <w:rPr>
                <w:rFonts w:cs="Times New Roman"/>
                <w:sz w:val="20"/>
                <w:szCs w:val="20"/>
              </w:rPr>
              <w:t>farmland, crops, homesteads and livelihoods</w:t>
            </w:r>
            <w:r w:rsidR="00CC1D0D">
              <w:rPr>
                <w:rFonts w:cs="Times New Roman"/>
                <w:sz w:val="20"/>
                <w:szCs w:val="20"/>
              </w:rPr>
              <w:t>; longer treks in search of water (especially for women and children)</w:t>
            </w:r>
          </w:p>
        </w:tc>
      </w:tr>
      <w:tr w:rsidR="003F2F65" w:rsidRPr="006F44F9" w:rsidTr="00B71FD2">
        <w:trPr>
          <w:jc w:val="center"/>
        </w:trPr>
        <w:tc>
          <w:tcPr>
            <w:tcW w:w="1250" w:type="pct"/>
          </w:tcPr>
          <w:p w:rsidR="003F2F65" w:rsidRDefault="00CC1D0D" w:rsidP="00813063">
            <w:pPr>
              <w:pStyle w:val="BodyText"/>
              <w:spacing w:after="0" w:line="240" w:lineRule="auto"/>
              <w:rPr>
                <w:rFonts w:cs="Times New Roman"/>
                <w:sz w:val="20"/>
                <w:szCs w:val="20"/>
              </w:rPr>
            </w:pPr>
            <w:r>
              <w:rPr>
                <w:rFonts w:cs="Times New Roman"/>
                <w:sz w:val="20"/>
                <w:szCs w:val="20"/>
              </w:rPr>
              <w:t>2</w:t>
            </w:r>
            <w:r w:rsidR="003F2F65">
              <w:rPr>
                <w:rFonts w:cs="Times New Roman"/>
                <w:sz w:val="20"/>
                <w:szCs w:val="20"/>
              </w:rPr>
              <w:t xml:space="preserve">. Flash floods in hill terrain </w:t>
            </w:r>
          </w:p>
        </w:tc>
        <w:tc>
          <w:tcPr>
            <w:tcW w:w="1250" w:type="pct"/>
          </w:tcPr>
          <w:p w:rsidR="003F2F65" w:rsidRPr="00536F00" w:rsidRDefault="003F2F65" w:rsidP="00813063">
            <w:pPr>
              <w:pStyle w:val="BodyText"/>
              <w:spacing w:after="0" w:line="240" w:lineRule="auto"/>
              <w:rPr>
                <w:rFonts w:cs="Times New Roman"/>
                <w:sz w:val="20"/>
                <w:szCs w:val="20"/>
              </w:rPr>
            </w:pPr>
            <w:r>
              <w:rPr>
                <w:rFonts w:cs="Times New Roman"/>
                <w:sz w:val="20"/>
                <w:szCs w:val="20"/>
              </w:rPr>
              <w:t xml:space="preserve">Land degradation, deforestation, land use change, </w:t>
            </w:r>
          </w:p>
        </w:tc>
        <w:tc>
          <w:tcPr>
            <w:tcW w:w="1250" w:type="pct"/>
          </w:tcPr>
          <w:p w:rsidR="003F2F65" w:rsidRDefault="003F2F65" w:rsidP="00CC1D0D">
            <w:pPr>
              <w:pStyle w:val="BodyText"/>
              <w:spacing w:after="0" w:line="240" w:lineRule="auto"/>
              <w:rPr>
                <w:rFonts w:cs="Times New Roman"/>
                <w:sz w:val="20"/>
                <w:szCs w:val="20"/>
              </w:rPr>
            </w:pPr>
            <w:r>
              <w:rPr>
                <w:rFonts w:cs="Times New Roman"/>
                <w:sz w:val="20"/>
                <w:szCs w:val="20"/>
              </w:rPr>
              <w:t>Increasing soil erosion, sanding of rivers, bank erosion</w:t>
            </w:r>
            <w:r w:rsidR="00813063">
              <w:rPr>
                <w:rFonts w:cs="Times New Roman"/>
                <w:sz w:val="20"/>
                <w:szCs w:val="20"/>
              </w:rPr>
              <w:t xml:space="preserve"> in coastal plains</w:t>
            </w:r>
            <w:r>
              <w:rPr>
                <w:rFonts w:cs="Times New Roman"/>
                <w:sz w:val="20"/>
                <w:szCs w:val="20"/>
              </w:rPr>
              <w:t>, flash floods, drainage problems</w:t>
            </w:r>
          </w:p>
        </w:tc>
        <w:tc>
          <w:tcPr>
            <w:tcW w:w="1250" w:type="pct"/>
          </w:tcPr>
          <w:p w:rsidR="003F2F65" w:rsidRDefault="003F2F65" w:rsidP="00CC1D0D">
            <w:pPr>
              <w:pStyle w:val="BodyText"/>
              <w:spacing w:after="0" w:line="240" w:lineRule="auto"/>
              <w:rPr>
                <w:rFonts w:cs="Times New Roman"/>
                <w:sz w:val="20"/>
                <w:szCs w:val="20"/>
              </w:rPr>
            </w:pPr>
            <w:r>
              <w:rPr>
                <w:rFonts w:cs="Times New Roman"/>
                <w:sz w:val="20"/>
                <w:szCs w:val="20"/>
              </w:rPr>
              <w:t>flash floods, loss of life and crops, increased river sedimentation; river navigation increasingly difficult in the Eastern Hill Region</w:t>
            </w:r>
          </w:p>
        </w:tc>
      </w:tr>
    </w:tbl>
    <w:p w:rsidR="00695478" w:rsidRPr="005C1C84" w:rsidRDefault="00667776" w:rsidP="005C1C84">
      <w:pPr>
        <w:pStyle w:val="BodyText"/>
        <w:spacing w:before="120" w:after="240" w:line="276" w:lineRule="auto"/>
        <w:jc w:val="both"/>
        <w:rPr>
          <w:rFonts w:cs="Times New Roman"/>
          <w:sz w:val="18"/>
          <w:szCs w:val="18"/>
        </w:rPr>
      </w:pPr>
      <w:r w:rsidRPr="007141DE">
        <w:rPr>
          <w:rFonts w:cs="Times New Roman"/>
          <w:b/>
          <w:i/>
          <w:sz w:val="18"/>
          <w:szCs w:val="18"/>
        </w:rPr>
        <w:t>Source:</w:t>
      </w:r>
      <w:r>
        <w:rPr>
          <w:rFonts w:cs="Times New Roman"/>
          <w:sz w:val="18"/>
          <w:szCs w:val="18"/>
        </w:rPr>
        <w:t xml:space="preserve"> </w:t>
      </w:r>
      <w:r>
        <w:rPr>
          <w:b/>
          <w:i/>
          <w:sz w:val="20"/>
        </w:rPr>
        <w:t>GED Research</w:t>
      </w:r>
    </w:p>
    <w:p w:rsidR="00A1273E" w:rsidRPr="004B0A08" w:rsidRDefault="00DB2A58" w:rsidP="00FE6328">
      <w:pPr>
        <w:pStyle w:val="BodyText"/>
        <w:spacing w:after="240" w:line="276" w:lineRule="auto"/>
        <w:jc w:val="both"/>
        <w:rPr>
          <w:rFonts w:cs="Times New Roman"/>
          <w:i/>
          <w:szCs w:val="24"/>
        </w:rPr>
      </w:pPr>
      <w:r w:rsidRPr="00FE6328">
        <w:rPr>
          <w:rFonts w:cs="Times New Roman"/>
          <w:b/>
          <w:szCs w:val="24"/>
        </w:rPr>
        <w:t>Long-term challenge</w:t>
      </w:r>
      <w:r w:rsidR="00EB0C7F" w:rsidRPr="00FE6328">
        <w:rPr>
          <w:rFonts w:cs="Times New Roman"/>
          <w:szCs w:val="24"/>
        </w:rPr>
        <w:t>:</w:t>
      </w:r>
      <w:r w:rsidRPr="00FE6328">
        <w:rPr>
          <w:rFonts w:cs="Times New Roman"/>
          <w:szCs w:val="24"/>
        </w:rPr>
        <w:t xml:space="preserve"> </w:t>
      </w:r>
      <w:r w:rsidR="00A3559B" w:rsidRPr="004B0A08">
        <w:rPr>
          <w:rFonts w:cs="Times New Roman"/>
          <w:i/>
          <w:szCs w:val="24"/>
        </w:rPr>
        <w:t xml:space="preserve">The major long term challenges are: maintaining forest cover to reduce run </w:t>
      </w:r>
      <w:r w:rsidR="008E632D" w:rsidRPr="004B0A08">
        <w:rPr>
          <w:rFonts w:cs="Times New Roman"/>
          <w:i/>
          <w:szCs w:val="24"/>
        </w:rPr>
        <w:t xml:space="preserve">off, </w:t>
      </w:r>
      <w:r w:rsidR="00A3559B" w:rsidRPr="004B0A08">
        <w:rPr>
          <w:rFonts w:cs="Times New Roman"/>
          <w:i/>
          <w:szCs w:val="24"/>
        </w:rPr>
        <w:t xml:space="preserve">increase water retention capacity of the soil and vegetation, </w:t>
      </w:r>
      <w:r w:rsidR="008E632D" w:rsidRPr="004B0A08">
        <w:rPr>
          <w:rFonts w:cs="Times New Roman"/>
          <w:i/>
          <w:szCs w:val="24"/>
        </w:rPr>
        <w:t xml:space="preserve">maintain water sources, springs and waterfalls in the hills, and </w:t>
      </w:r>
      <w:r w:rsidR="00A3559B" w:rsidRPr="004B0A08">
        <w:rPr>
          <w:rFonts w:cs="Times New Roman"/>
          <w:i/>
          <w:szCs w:val="24"/>
        </w:rPr>
        <w:t>increas</w:t>
      </w:r>
      <w:r w:rsidR="008E632D" w:rsidRPr="004B0A08">
        <w:rPr>
          <w:rFonts w:cs="Times New Roman"/>
          <w:i/>
          <w:szCs w:val="24"/>
        </w:rPr>
        <w:t>e</w:t>
      </w:r>
      <w:r w:rsidR="00A3559B" w:rsidRPr="004B0A08">
        <w:rPr>
          <w:rFonts w:cs="Times New Roman"/>
          <w:i/>
          <w:szCs w:val="24"/>
        </w:rPr>
        <w:t xml:space="preserve"> fallow periods in areas of jhum cultivation or </w:t>
      </w:r>
      <w:r w:rsidR="008E632D" w:rsidRPr="004B0A08">
        <w:rPr>
          <w:rFonts w:cs="Times New Roman"/>
          <w:i/>
          <w:szCs w:val="24"/>
        </w:rPr>
        <w:t xml:space="preserve">alternatively achieve high rates of </w:t>
      </w:r>
      <w:r w:rsidR="00A3559B" w:rsidRPr="004B0A08">
        <w:rPr>
          <w:rFonts w:cs="Times New Roman"/>
          <w:i/>
          <w:szCs w:val="24"/>
        </w:rPr>
        <w:t xml:space="preserve">adoption of </w:t>
      </w:r>
      <w:r w:rsidR="004E362F" w:rsidRPr="004B0A08">
        <w:rPr>
          <w:rFonts w:cs="Times New Roman"/>
          <w:i/>
          <w:szCs w:val="24"/>
        </w:rPr>
        <w:t>agro forestry</w:t>
      </w:r>
      <w:r w:rsidR="00A3559B" w:rsidRPr="004B0A08">
        <w:rPr>
          <w:rFonts w:cs="Times New Roman"/>
          <w:i/>
          <w:szCs w:val="24"/>
        </w:rPr>
        <w:t xml:space="preserve"> and environment friendly agricultural practices.</w:t>
      </w:r>
      <w:r w:rsidR="00813063" w:rsidRPr="004B0A08">
        <w:rPr>
          <w:rFonts w:cs="Times New Roman"/>
          <w:i/>
          <w:szCs w:val="24"/>
        </w:rPr>
        <w:t xml:space="preserve"> Economic development programs have to be specifically focused on the </w:t>
      </w:r>
      <w:r w:rsidR="00813063" w:rsidRPr="004B0A08">
        <w:rPr>
          <w:rFonts w:cs="Times New Roman"/>
          <w:i/>
          <w:szCs w:val="24"/>
        </w:rPr>
        <w:lastRenderedPageBreak/>
        <w:t xml:space="preserve">needs of hill peoples and </w:t>
      </w:r>
      <w:r w:rsidR="005264B4" w:rsidRPr="004B0A08">
        <w:rPr>
          <w:rFonts w:cs="Times New Roman"/>
          <w:i/>
          <w:szCs w:val="24"/>
        </w:rPr>
        <w:t xml:space="preserve"> the </w:t>
      </w:r>
      <w:r w:rsidR="00612DB4" w:rsidRPr="004B0A08">
        <w:rPr>
          <w:rFonts w:cs="Times New Roman"/>
          <w:i/>
          <w:szCs w:val="24"/>
        </w:rPr>
        <w:t>e</w:t>
      </w:r>
      <w:r w:rsidR="005264B4" w:rsidRPr="004B0A08">
        <w:rPr>
          <w:rFonts w:cs="Times New Roman"/>
          <w:i/>
          <w:szCs w:val="24"/>
        </w:rPr>
        <w:t xml:space="preserve">thnic </w:t>
      </w:r>
      <w:r w:rsidR="00612DB4" w:rsidRPr="004B0A08">
        <w:rPr>
          <w:rFonts w:cs="Times New Roman"/>
          <w:i/>
          <w:szCs w:val="24"/>
        </w:rPr>
        <w:t>g</w:t>
      </w:r>
      <w:r w:rsidR="005264B4" w:rsidRPr="004B0A08">
        <w:rPr>
          <w:rFonts w:cs="Times New Roman"/>
          <w:i/>
          <w:szCs w:val="24"/>
        </w:rPr>
        <w:t>roups</w:t>
      </w:r>
      <w:r w:rsidR="00813063" w:rsidRPr="004B0A08">
        <w:rPr>
          <w:rFonts w:cs="Times New Roman"/>
          <w:i/>
          <w:szCs w:val="24"/>
        </w:rPr>
        <w:t>; governance and administrative structures need to strictly implement land management practices conducive to forest and landscape conservation with mitigation steps (e.g. REDD) positively impacting climate change as well as benefiting local people and stewards of the forests.</w:t>
      </w:r>
    </w:p>
    <w:p w:rsidR="00F64A6A" w:rsidRDefault="00EB0C7F" w:rsidP="00F64A6A">
      <w:pPr>
        <w:pStyle w:val="Heading2"/>
        <w:numPr>
          <w:ilvl w:val="0"/>
          <w:numId w:val="0"/>
        </w:numPr>
        <w:ind w:left="720"/>
      </w:pPr>
      <w:bookmarkStart w:id="109" w:name="_Toc474638844"/>
      <w:r w:rsidRPr="00FE6328">
        <w:t>Urban Areas Hotspot</w:t>
      </w:r>
      <w:bookmarkEnd w:id="109"/>
    </w:p>
    <w:p w:rsidR="00AE4A95" w:rsidRDefault="00700CBC" w:rsidP="009B527A">
      <w:pPr>
        <w:pStyle w:val="BodyText"/>
        <w:spacing w:after="240" w:line="274" w:lineRule="auto"/>
        <w:jc w:val="both"/>
        <w:rPr>
          <w:rFonts w:cs="Times New Roman"/>
          <w:szCs w:val="24"/>
        </w:rPr>
      </w:pPr>
      <w:r w:rsidRPr="00FE6328">
        <w:rPr>
          <w:rFonts w:cs="Times New Roman"/>
          <w:szCs w:val="24"/>
        </w:rPr>
        <w:t xml:space="preserve">The urban population base has expanded rapidly from </w:t>
      </w:r>
      <w:r w:rsidR="00421A3A">
        <w:rPr>
          <w:rFonts w:cs="Times New Roman"/>
          <w:szCs w:val="24"/>
        </w:rPr>
        <w:t>9</w:t>
      </w:r>
      <w:r w:rsidRPr="00FE6328">
        <w:rPr>
          <w:rFonts w:cs="Times New Roman"/>
          <w:szCs w:val="24"/>
        </w:rPr>
        <w:t>% to nearly 2</w:t>
      </w:r>
      <w:r w:rsidR="00421A3A">
        <w:rPr>
          <w:rFonts w:cs="Times New Roman"/>
          <w:szCs w:val="24"/>
        </w:rPr>
        <w:t>8</w:t>
      </w:r>
      <w:r w:rsidRPr="00FE6328">
        <w:rPr>
          <w:rFonts w:cs="Times New Roman"/>
          <w:szCs w:val="24"/>
        </w:rPr>
        <w:t>% between 197</w:t>
      </w:r>
      <w:r w:rsidR="00421A3A">
        <w:rPr>
          <w:rFonts w:cs="Times New Roman"/>
          <w:szCs w:val="24"/>
        </w:rPr>
        <w:t>4</w:t>
      </w:r>
      <w:r w:rsidRPr="00FE6328">
        <w:rPr>
          <w:rFonts w:cs="Times New Roman"/>
          <w:szCs w:val="24"/>
        </w:rPr>
        <w:t xml:space="preserve"> and 20</w:t>
      </w:r>
      <w:r w:rsidR="00421A3A">
        <w:rPr>
          <w:rFonts w:cs="Times New Roman"/>
          <w:szCs w:val="24"/>
        </w:rPr>
        <w:t>11</w:t>
      </w:r>
      <w:r w:rsidRPr="00FE6328">
        <w:rPr>
          <w:rFonts w:cs="Times New Roman"/>
          <w:szCs w:val="24"/>
        </w:rPr>
        <w:t>, which makes Bangladesh a ‘rapidly urbanizing country’.</w:t>
      </w:r>
      <w:r w:rsidRPr="00FE6328">
        <w:rPr>
          <w:rFonts w:cs="Times New Roman"/>
          <w:szCs w:val="24"/>
          <w:vertAlign w:val="superscript"/>
        </w:rPr>
        <w:t xml:space="preserve"> </w:t>
      </w:r>
      <w:r w:rsidR="00F15525">
        <w:rPr>
          <w:rFonts w:cs="Times New Roman"/>
          <w:szCs w:val="24"/>
        </w:rPr>
        <w:t xml:space="preserve"> W</w:t>
      </w:r>
      <w:r w:rsidRPr="00FE6328">
        <w:rPr>
          <w:rFonts w:cs="Times New Roman"/>
          <w:szCs w:val="24"/>
        </w:rPr>
        <w:t xml:space="preserve">ith a population </w:t>
      </w:r>
      <w:r w:rsidR="00B16C39">
        <w:rPr>
          <w:rFonts w:cs="Times New Roman"/>
          <w:szCs w:val="24"/>
        </w:rPr>
        <w:t>of 42</w:t>
      </w:r>
      <w:r w:rsidR="00AE4A95">
        <w:rPr>
          <w:rFonts w:cs="Times New Roman"/>
          <w:szCs w:val="24"/>
        </w:rPr>
        <w:t xml:space="preserve"> million </w:t>
      </w:r>
      <w:r w:rsidR="00B16C39">
        <w:rPr>
          <w:rFonts w:cs="Times New Roman"/>
          <w:szCs w:val="24"/>
        </w:rPr>
        <w:t xml:space="preserve">in 2011 </w:t>
      </w:r>
      <w:r w:rsidR="00AE4A95">
        <w:rPr>
          <w:rFonts w:cs="Times New Roman"/>
          <w:szCs w:val="24"/>
        </w:rPr>
        <w:t xml:space="preserve">and </w:t>
      </w:r>
      <w:r w:rsidRPr="00FE6328">
        <w:rPr>
          <w:rFonts w:cs="Times New Roman"/>
          <w:szCs w:val="24"/>
        </w:rPr>
        <w:t>increasing on a daily basis due t</w:t>
      </w:r>
      <w:r w:rsidR="00AE4A95">
        <w:rPr>
          <w:rFonts w:cs="Times New Roman"/>
          <w:szCs w:val="24"/>
        </w:rPr>
        <w:t>o in-migration from</w:t>
      </w:r>
      <w:r w:rsidR="00C47339">
        <w:rPr>
          <w:rFonts w:cs="Times New Roman"/>
          <w:szCs w:val="24"/>
        </w:rPr>
        <w:t xml:space="preserve"> rural areas, the urban area </w:t>
      </w:r>
      <w:r w:rsidR="00AE4A95">
        <w:rPr>
          <w:rFonts w:cs="Times New Roman"/>
          <w:szCs w:val="24"/>
        </w:rPr>
        <w:t>is the most densely populated area in Bangladesh averaging about 1590 people</w:t>
      </w:r>
      <w:r w:rsidR="00FC5D93">
        <w:rPr>
          <w:rFonts w:cs="Times New Roman"/>
          <w:szCs w:val="24"/>
        </w:rPr>
        <w:t xml:space="preserve"> per square kilometer</w:t>
      </w:r>
      <w:r w:rsidR="00AE4A95">
        <w:rPr>
          <w:rFonts w:cs="Times New Roman"/>
          <w:szCs w:val="24"/>
        </w:rPr>
        <w:t xml:space="preserve">. </w:t>
      </w:r>
      <w:r w:rsidRPr="00FE6328">
        <w:rPr>
          <w:rFonts w:cs="Times New Roman"/>
          <w:szCs w:val="24"/>
        </w:rPr>
        <w:t xml:space="preserve"> Population concentration in urban areas together with climate change induced negative impacts such as increasing sea level rise, salinity, water logging, prolonged dry periods, intensive rainfall</w:t>
      </w:r>
      <w:r w:rsidR="003507C6" w:rsidRPr="00FE6328">
        <w:rPr>
          <w:rFonts w:cs="Times New Roman"/>
          <w:szCs w:val="24"/>
        </w:rPr>
        <w:t>, increased</w:t>
      </w:r>
      <w:r w:rsidR="00D649C2" w:rsidRPr="00FE6328">
        <w:rPr>
          <w:rFonts w:cs="Times New Roman"/>
          <w:szCs w:val="24"/>
        </w:rPr>
        <w:t xml:space="preserve"> river discharges, </w:t>
      </w:r>
      <w:r w:rsidRPr="00FE6328">
        <w:rPr>
          <w:rFonts w:cs="Times New Roman"/>
          <w:szCs w:val="24"/>
        </w:rPr>
        <w:t>receding ground water table</w:t>
      </w:r>
      <w:r w:rsidR="00D649C2" w:rsidRPr="00FE6328">
        <w:rPr>
          <w:rFonts w:cs="Times New Roman"/>
          <w:szCs w:val="24"/>
        </w:rPr>
        <w:t>,</w:t>
      </w:r>
      <w:r w:rsidRPr="00FE6328">
        <w:rPr>
          <w:rFonts w:cs="Times New Roman"/>
          <w:szCs w:val="24"/>
        </w:rPr>
        <w:t xml:space="preserve"> and contamination of surface waters will compound matters and increase strains and stress </w:t>
      </w:r>
      <w:r w:rsidR="00D649C2" w:rsidRPr="00FE6328">
        <w:rPr>
          <w:rFonts w:cs="Times New Roman"/>
          <w:szCs w:val="24"/>
        </w:rPr>
        <w:t xml:space="preserve">on service providers and disaster risk managers </w:t>
      </w:r>
      <w:r w:rsidR="00AE4A95">
        <w:rPr>
          <w:rFonts w:cs="Times New Roman"/>
          <w:szCs w:val="24"/>
        </w:rPr>
        <w:t>in urban centres.</w:t>
      </w:r>
    </w:p>
    <w:p w:rsidR="00700CBC" w:rsidRPr="00502ED7" w:rsidRDefault="00DA3A42" w:rsidP="004402F1">
      <w:pPr>
        <w:pStyle w:val="Heading4"/>
      </w:pPr>
      <w:bookmarkStart w:id="110" w:name="_Toc474638992"/>
      <w:bookmarkStart w:id="111" w:name="_Toc439244684"/>
      <w:r w:rsidRPr="00EB0C7F">
        <w:t xml:space="preserve">Table </w:t>
      </w:r>
      <w:r w:rsidR="00D9144F">
        <w:t>1.</w:t>
      </w:r>
      <w:r w:rsidR="00162737">
        <w:t>21</w:t>
      </w:r>
      <w:r w:rsidR="00700CBC" w:rsidRPr="00EB0C7F">
        <w:t>: Urbanization Overview</w:t>
      </w:r>
      <w:bookmarkEnd w:id="110"/>
      <w:r w:rsidR="00700CBC" w:rsidRPr="00EB0C7F">
        <w:t xml:space="preserve"> </w:t>
      </w:r>
    </w:p>
    <w:tbl>
      <w:tblPr>
        <w:tblStyle w:val="TableGrid"/>
        <w:tblW w:w="5000" w:type="pct"/>
        <w:tblLook w:val="04A0"/>
      </w:tblPr>
      <w:tblGrid>
        <w:gridCol w:w="987"/>
        <w:gridCol w:w="1375"/>
        <w:gridCol w:w="1375"/>
        <w:gridCol w:w="1375"/>
        <w:gridCol w:w="1637"/>
        <w:gridCol w:w="1375"/>
        <w:gridCol w:w="1452"/>
      </w:tblGrid>
      <w:tr w:rsidR="00700CBC" w:rsidRPr="002572F4" w:rsidTr="00AE4A95">
        <w:trPr>
          <w:trHeight w:val="1026"/>
          <w:tblHeader/>
        </w:trPr>
        <w:tc>
          <w:tcPr>
            <w:tcW w:w="515" w:type="pct"/>
            <w:hideMark/>
          </w:tcPr>
          <w:bookmarkEnd w:id="111"/>
          <w:p w:rsidR="00700CBC" w:rsidRPr="00AE4A95" w:rsidRDefault="00700CBC" w:rsidP="00502ED7">
            <w:pPr>
              <w:spacing w:after="0" w:line="240" w:lineRule="auto"/>
              <w:jc w:val="both"/>
              <w:rPr>
                <w:rFonts w:eastAsia="Times New Roman"/>
                <w:b/>
                <w:color w:val="000000"/>
                <w:sz w:val="20"/>
                <w:szCs w:val="20"/>
              </w:rPr>
            </w:pPr>
            <w:r w:rsidRPr="00AE4A95">
              <w:rPr>
                <w:rFonts w:eastAsia="Times New Roman"/>
                <w:b/>
                <w:color w:val="000000"/>
                <w:sz w:val="20"/>
                <w:szCs w:val="20"/>
              </w:rPr>
              <w:t xml:space="preserve">Census year </w:t>
            </w:r>
          </w:p>
        </w:tc>
        <w:tc>
          <w:tcPr>
            <w:tcW w:w="718" w:type="pct"/>
            <w:hideMark/>
          </w:tcPr>
          <w:p w:rsidR="00700CBC" w:rsidRPr="00AE4A95" w:rsidRDefault="00700CBC" w:rsidP="00502ED7">
            <w:pPr>
              <w:spacing w:after="0" w:line="240" w:lineRule="auto"/>
              <w:jc w:val="center"/>
              <w:rPr>
                <w:rFonts w:eastAsia="Times New Roman"/>
                <w:b/>
                <w:color w:val="000000"/>
                <w:sz w:val="20"/>
                <w:szCs w:val="20"/>
              </w:rPr>
            </w:pPr>
            <w:r w:rsidRPr="00AE4A95">
              <w:rPr>
                <w:rFonts w:eastAsia="Times New Roman"/>
                <w:b/>
                <w:color w:val="000000"/>
                <w:sz w:val="20"/>
                <w:szCs w:val="20"/>
              </w:rPr>
              <w:t>Total national population (million)</w:t>
            </w:r>
          </w:p>
        </w:tc>
        <w:tc>
          <w:tcPr>
            <w:tcW w:w="718" w:type="pct"/>
            <w:hideMark/>
          </w:tcPr>
          <w:p w:rsidR="00700CBC" w:rsidRPr="00AE4A95" w:rsidRDefault="00700CBC" w:rsidP="00502ED7">
            <w:pPr>
              <w:spacing w:after="0" w:line="240" w:lineRule="auto"/>
              <w:jc w:val="center"/>
              <w:rPr>
                <w:rFonts w:eastAsia="Times New Roman"/>
                <w:b/>
                <w:color w:val="000000"/>
                <w:sz w:val="20"/>
                <w:szCs w:val="20"/>
              </w:rPr>
            </w:pPr>
            <w:r w:rsidRPr="00AE4A95">
              <w:rPr>
                <w:rFonts w:eastAsia="Times New Roman"/>
                <w:b/>
                <w:color w:val="000000"/>
                <w:sz w:val="20"/>
                <w:szCs w:val="20"/>
              </w:rPr>
              <w:t>Growth rate of national population (%)</w:t>
            </w:r>
          </w:p>
        </w:tc>
        <w:tc>
          <w:tcPr>
            <w:tcW w:w="718" w:type="pct"/>
            <w:hideMark/>
          </w:tcPr>
          <w:p w:rsidR="00700CBC" w:rsidRPr="00AE4A95" w:rsidRDefault="00700CBC" w:rsidP="00502ED7">
            <w:pPr>
              <w:spacing w:after="0" w:line="240" w:lineRule="auto"/>
              <w:jc w:val="center"/>
              <w:rPr>
                <w:rFonts w:eastAsia="Times New Roman"/>
                <w:b/>
                <w:color w:val="000000"/>
                <w:sz w:val="20"/>
                <w:szCs w:val="20"/>
              </w:rPr>
            </w:pPr>
            <w:r w:rsidRPr="00AE4A95">
              <w:rPr>
                <w:rFonts w:eastAsia="Times New Roman"/>
                <w:b/>
                <w:color w:val="000000"/>
                <w:sz w:val="20"/>
                <w:szCs w:val="20"/>
              </w:rPr>
              <w:t>Total urban population (million)</w:t>
            </w:r>
          </w:p>
        </w:tc>
        <w:tc>
          <w:tcPr>
            <w:tcW w:w="855" w:type="pct"/>
            <w:hideMark/>
          </w:tcPr>
          <w:p w:rsidR="00700CBC" w:rsidRPr="00AE4A95" w:rsidRDefault="00700CBC" w:rsidP="00502ED7">
            <w:pPr>
              <w:spacing w:after="0" w:line="240" w:lineRule="auto"/>
              <w:jc w:val="center"/>
              <w:rPr>
                <w:rFonts w:eastAsia="Times New Roman"/>
                <w:b/>
                <w:color w:val="000000"/>
                <w:sz w:val="20"/>
                <w:szCs w:val="20"/>
              </w:rPr>
            </w:pPr>
            <w:r w:rsidRPr="00AE4A95">
              <w:rPr>
                <w:rFonts w:eastAsia="Times New Roman"/>
                <w:b/>
                <w:color w:val="000000"/>
                <w:sz w:val="20"/>
                <w:szCs w:val="20"/>
              </w:rPr>
              <w:t>Level of Urbanization (%)</w:t>
            </w:r>
          </w:p>
        </w:tc>
        <w:tc>
          <w:tcPr>
            <w:tcW w:w="718" w:type="pct"/>
            <w:hideMark/>
          </w:tcPr>
          <w:p w:rsidR="00700CBC" w:rsidRPr="00AE4A95" w:rsidRDefault="00700CBC" w:rsidP="00502ED7">
            <w:pPr>
              <w:spacing w:after="0" w:line="240" w:lineRule="auto"/>
              <w:jc w:val="center"/>
              <w:rPr>
                <w:rFonts w:eastAsia="Times New Roman"/>
                <w:b/>
                <w:color w:val="000000"/>
                <w:sz w:val="20"/>
                <w:szCs w:val="20"/>
              </w:rPr>
            </w:pPr>
            <w:r w:rsidRPr="00AE4A95">
              <w:rPr>
                <w:rFonts w:eastAsia="Times New Roman"/>
                <w:b/>
                <w:color w:val="000000"/>
                <w:sz w:val="20"/>
                <w:szCs w:val="20"/>
              </w:rPr>
              <w:t>Decadal increase in urban population (%)</w:t>
            </w:r>
          </w:p>
        </w:tc>
        <w:tc>
          <w:tcPr>
            <w:tcW w:w="760" w:type="pct"/>
            <w:hideMark/>
          </w:tcPr>
          <w:p w:rsidR="00700CBC" w:rsidRPr="00AE4A95" w:rsidRDefault="00700CBC" w:rsidP="00502ED7">
            <w:pPr>
              <w:spacing w:after="0" w:line="240" w:lineRule="auto"/>
              <w:jc w:val="center"/>
              <w:rPr>
                <w:rFonts w:eastAsia="Times New Roman"/>
                <w:b/>
                <w:color w:val="000000"/>
                <w:sz w:val="20"/>
                <w:szCs w:val="20"/>
              </w:rPr>
            </w:pPr>
            <w:r w:rsidRPr="00AE4A95">
              <w:rPr>
                <w:rFonts w:eastAsia="Times New Roman"/>
                <w:b/>
                <w:color w:val="000000"/>
                <w:sz w:val="20"/>
                <w:szCs w:val="20"/>
              </w:rPr>
              <w:t>Annual exponential growth rate of urban population (%)</w:t>
            </w:r>
          </w:p>
        </w:tc>
      </w:tr>
      <w:tr w:rsidR="00700CBC" w:rsidRPr="002572F4" w:rsidTr="00AE4A95">
        <w:trPr>
          <w:trHeight w:val="223"/>
        </w:trPr>
        <w:tc>
          <w:tcPr>
            <w:tcW w:w="515" w:type="pct"/>
          </w:tcPr>
          <w:p w:rsidR="00700CBC" w:rsidRPr="00584168" w:rsidRDefault="00700CBC" w:rsidP="00502ED7">
            <w:pPr>
              <w:spacing w:after="0" w:line="240" w:lineRule="auto"/>
              <w:jc w:val="both"/>
              <w:rPr>
                <w:rFonts w:eastAsia="Times New Roman"/>
                <w:b/>
                <w:color w:val="000000"/>
                <w:sz w:val="20"/>
                <w:szCs w:val="20"/>
              </w:rPr>
            </w:pPr>
            <w:r w:rsidRPr="00584168">
              <w:rPr>
                <w:rFonts w:eastAsia="Times New Roman"/>
                <w:b/>
                <w:color w:val="000000"/>
                <w:sz w:val="20"/>
                <w:szCs w:val="20"/>
              </w:rPr>
              <w:t>1951</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44.17</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0.5</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1.82</w:t>
            </w:r>
          </w:p>
        </w:tc>
        <w:tc>
          <w:tcPr>
            <w:tcW w:w="855"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4.33</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18.38</w:t>
            </w:r>
          </w:p>
        </w:tc>
        <w:tc>
          <w:tcPr>
            <w:tcW w:w="760"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1.69</w:t>
            </w:r>
          </w:p>
        </w:tc>
      </w:tr>
      <w:tr w:rsidR="00700CBC" w:rsidRPr="002572F4" w:rsidTr="00AE4A95">
        <w:trPr>
          <w:trHeight w:val="223"/>
        </w:trPr>
        <w:tc>
          <w:tcPr>
            <w:tcW w:w="515" w:type="pct"/>
          </w:tcPr>
          <w:p w:rsidR="00700CBC" w:rsidRPr="00584168" w:rsidRDefault="00700CBC" w:rsidP="00502ED7">
            <w:pPr>
              <w:spacing w:after="0" w:line="240" w:lineRule="auto"/>
              <w:jc w:val="both"/>
              <w:rPr>
                <w:rFonts w:eastAsia="Times New Roman"/>
                <w:b/>
                <w:color w:val="000000"/>
                <w:sz w:val="20"/>
                <w:szCs w:val="20"/>
              </w:rPr>
            </w:pPr>
            <w:r w:rsidRPr="00584168">
              <w:rPr>
                <w:rFonts w:eastAsia="Times New Roman"/>
                <w:b/>
                <w:color w:val="000000"/>
                <w:sz w:val="20"/>
                <w:szCs w:val="20"/>
              </w:rPr>
              <w:t>1961</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55.22</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2.26</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2.64</w:t>
            </w:r>
          </w:p>
        </w:tc>
        <w:tc>
          <w:tcPr>
            <w:tcW w:w="855"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5.19</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45.11</w:t>
            </w:r>
          </w:p>
        </w:tc>
        <w:tc>
          <w:tcPr>
            <w:tcW w:w="760"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3.72</w:t>
            </w:r>
          </w:p>
        </w:tc>
      </w:tr>
      <w:tr w:rsidR="00700CBC" w:rsidRPr="002572F4" w:rsidTr="00AE4A95">
        <w:trPr>
          <w:trHeight w:val="223"/>
        </w:trPr>
        <w:tc>
          <w:tcPr>
            <w:tcW w:w="515" w:type="pct"/>
          </w:tcPr>
          <w:p w:rsidR="00700CBC" w:rsidRPr="00584168" w:rsidRDefault="00700CBC" w:rsidP="00502ED7">
            <w:pPr>
              <w:spacing w:after="0" w:line="240" w:lineRule="auto"/>
              <w:jc w:val="both"/>
              <w:rPr>
                <w:rFonts w:eastAsia="Times New Roman"/>
                <w:b/>
                <w:color w:val="000000"/>
                <w:sz w:val="20"/>
                <w:szCs w:val="20"/>
              </w:rPr>
            </w:pPr>
            <w:r w:rsidRPr="00584168">
              <w:rPr>
                <w:rFonts w:eastAsia="Times New Roman"/>
                <w:b/>
                <w:color w:val="000000"/>
                <w:sz w:val="20"/>
                <w:szCs w:val="20"/>
              </w:rPr>
              <w:t>1974</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76.37</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2.48</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6.27</w:t>
            </w:r>
          </w:p>
        </w:tc>
        <w:tc>
          <w:tcPr>
            <w:tcW w:w="855"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8.87</w:t>
            </w:r>
          </w:p>
        </w:tc>
        <w:tc>
          <w:tcPr>
            <w:tcW w:w="718"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137.57</w:t>
            </w:r>
          </w:p>
        </w:tc>
        <w:tc>
          <w:tcPr>
            <w:tcW w:w="760"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6.66</w:t>
            </w:r>
          </w:p>
        </w:tc>
      </w:tr>
      <w:tr w:rsidR="00700CBC" w:rsidRPr="002572F4" w:rsidTr="00AE4A95">
        <w:trPr>
          <w:trHeight w:val="223"/>
        </w:trPr>
        <w:tc>
          <w:tcPr>
            <w:tcW w:w="515" w:type="pct"/>
          </w:tcPr>
          <w:p w:rsidR="00700CBC" w:rsidRPr="00584168" w:rsidRDefault="00700CBC" w:rsidP="00502ED7">
            <w:pPr>
              <w:spacing w:after="0" w:line="240" w:lineRule="auto"/>
              <w:jc w:val="both"/>
              <w:rPr>
                <w:rFonts w:eastAsia="Times New Roman"/>
                <w:b/>
                <w:color w:val="000000"/>
                <w:sz w:val="20"/>
                <w:szCs w:val="20"/>
              </w:rPr>
            </w:pPr>
            <w:r w:rsidRPr="00584168">
              <w:rPr>
                <w:rFonts w:eastAsia="Times New Roman"/>
                <w:b/>
                <w:color w:val="000000"/>
                <w:sz w:val="20"/>
                <w:szCs w:val="20"/>
              </w:rPr>
              <w:t>1981</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89.91</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2.32</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13.23</w:t>
            </w:r>
          </w:p>
        </w:tc>
        <w:tc>
          <w:tcPr>
            <w:tcW w:w="855"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15.18</w:t>
            </w:r>
          </w:p>
        </w:tc>
        <w:tc>
          <w:tcPr>
            <w:tcW w:w="718"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110.68</w:t>
            </w:r>
          </w:p>
        </w:tc>
        <w:tc>
          <w:tcPr>
            <w:tcW w:w="760"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10.66</w:t>
            </w:r>
          </w:p>
        </w:tc>
      </w:tr>
      <w:tr w:rsidR="00700CBC" w:rsidRPr="002572F4" w:rsidTr="00AE4A95">
        <w:trPr>
          <w:trHeight w:val="223"/>
        </w:trPr>
        <w:tc>
          <w:tcPr>
            <w:tcW w:w="515" w:type="pct"/>
          </w:tcPr>
          <w:p w:rsidR="00700CBC" w:rsidRPr="00584168" w:rsidRDefault="00700CBC" w:rsidP="00502ED7">
            <w:pPr>
              <w:spacing w:after="0" w:line="240" w:lineRule="auto"/>
              <w:jc w:val="both"/>
              <w:rPr>
                <w:rFonts w:eastAsia="Times New Roman"/>
                <w:b/>
                <w:color w:val="000000"/>
                <w:sz w:val="20"/>
                <w:szCs w:val="20"/>
              </w:rPr>
            </w:pPr>
            <w:r w:rsidRPr="00584168">
              <w:rPr>
                <w:rFonts w:eastAsia="Times New Roman"/>
                <w:b/>
                <w:color w:val="000000"/>
                <w:sz w:val="20"/>
                <w:szCs w:val="20"/>
              </w:rPr>
              <w:t>1991</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111.45</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2.17</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20.87</w:t>
            </w:r>
          </w:p>
        </w:tc>
        <w:tc>
          <w:tcPr>
            <w:tcW w:w="855"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19.63</w:t>
            </w:r>
          </w:p>
        </w:tc>
        <w:tc>
          <w:tcPr>
            <w:tcW w:w="718"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57.79</w:t>
            </w:r>
          </w:p>
        </w:tc>
        <w:tc>
          <w:tcPr>
            <w:tcW w:w="760"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4.56</w:t>
            </w:r>
          </w:p>
        </w:tc>
      </w:tr>
      <w:tr w:rsidR="00700CBC" w:rsidRPr="002572F4" w:rsidTr="00AE4A95">
        <w:trPr>
          <w:trHeight w:val="223"/>
        </w:trPr>
        <w:tc>
          <w:tcPr>
            <w:tcW w:w="515" w:type="pct"/>
          </w:tcPr>
          <w:p w:rsidR="00700CBC" w:rsidRPr="00584168" w:rsidRDefault="00700CBC" w:rsidP="00502ED7">
            <w:pPr>
              <w:spacing w:after="0" w:line="240" w:lineRule="auto"/>
              <w:jc w:val="both"/>
              <w:rPr>
                <w:rFonts w:eastAsia="Times New Roman"/>
                <w:b/>
                <w:color w:val="000000"/>
                <w:sz w:val="20"/>
                <w:szCs w:val="20"/>
              </w:rPr>
            </w:pPr>
            <w:r w:rsidRPr="00584168">
              <w:rPr>
                <w:rFonts w:eastAsia="Times New Roman"/>
                <w:b/>
                <w:color w:val="000000"/>
                <w:sz w:val="20"/>
                <w:szCs w:val="20"/>
              </w:rPr>
              <w:t>2001</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123.1</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1.47</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28.61</w:t>
            </w:r>
          </w:p>
        </w:tc>
        <w:tc>
          <w:tcPr>
            <w:tcW w:w="855"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23.1</w:t>
            </w:r>
          </w:p>
        </w:tc>
        <w:tc>
          <w:tcPr>
            <w:tcW w:w="718"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37.05</w:t>
            </w:r>
          </w:p>
        </w:tc>
        <w:tc>
          <w:tcPr>
            <w:tcW w:w="760"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3.15</w:t>
            </w:r>
          </w:p>
        </w:tc>
      </w:tr>
      <w:tr w:rsidR="00700CBC" w:rsidRPr="002572F4" w:rsidTr="00AE4A95">
        <w:trPr>
          <w:trHeight w:val="223"/>
        </w:trPr>
        <w:tc>
          <w:tcPr>
            <w:tcW w:w="515" w:type="pct"/>
          </w:tcPr>
          <w:p w:rsidR="00700CBC" w:rsidRPr="00584168" w:rsidRDefault="00700CBC" w:rsidP="00502ED7">
            <w:pPr>
              <w:spacing w:after="0" w:line="240" w:lineRule="auto"/>
              <w:jc w:val="both"/>
              <w:rPr>
                <w:rFonts w:eastAsia="Times New Roman"/>
                <w:b/>
                <w:color w:val="000000"/>
                <w:sz w:val="20"/>
                <w:szCs w:val="20"/>
              </w:rPr>
            </w:pPr>
            <w:r w:rsidRPr="00584168">
              <w:rPr>
                <w:rFonts w:eastAsia="Times New Roman"/>
                <w:b/>
                <w:color w:val="000000"/>
                <w:sz w:val="20"/>
                <w:szCs w:val="20"/>
              </w:rPr>
              <w:t>2011</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150.4</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1.37</w:t>
            </w:r>
          </w:p>
        </w:tc>
        <w:tc>
          <w:tcPr>
            <w:tcW w:w="718" w:type="pct"/>
          </w:tcPr>
          <w:p w:rsidR="00700CBC" w:rsidRPr="00584168" w:rsidRDefault="00700CBC" w:rsidP="00A61D2A">
            <w:pPr>
              <w:spacing w:after="0" w:line="240" w:lineRule="auto"/>
              <w:jc w:val="center"/>
              <w:rPr>
                <w:rFonts w:eastAsia="Times New Roman"/>
                <w:color w:val="000000"/>
                <w:sz w:val="20"/>
                <w:szCs w:val="20"/>
              </w:rPr>
            </w:pPr>
            <w:r w:rsidRPr="00584168">
              <w:rPr>
                <w:rFonts w:eastAsia="Times New Roman"/>
                <w:color w:val="000000"/>
                <w:sz w:val="20"/>
                <w:szCs w:val="20"/>
              </w:rPr>
              <w:t>42.11</w:t>
            </w:r>
          </w:p>
        </w:tc>
        <w:tc>
          <w:tcPr>
            <w:tcW w:w="855"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28.4</w:t>
            </w:r>
          </w:p>
        </w:tc>
        <w:tc>
          <w:tcPr>
            <w:tcW w:w="718"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47.19</w:t>
            </w:r>
          </w:p>
        </w:tc>
        <w:tc>
          <w:tcPr>
            <w:tcW w:w="760" w:type="pct"/>
          </w:tcPr>
          <w:p w:rsidR="00700CBC" w:rsidRPr="00584168" w:rsidRDefault="00700CBC" w:rsidP="00502ED7">
            <w:pPr>
              <w:spacing w:after="0" w:line="240" w:lineRule="auto"/>
              <w:jc w:val="center"/>
              <w:rPr>
                <w:rFonts w:eastAsia="Times New Roman"/>
                <w:color w:val="000000"/>
                <w:sz w:val="20"/>
                <w:szCs w:val="20"/>
              </w:rPr>
            </w:pPr>
            <w:r w:rsidRPr="00584168">
              <w:rPr>
                <w:rFonts w:eastAsia="Times New Roman"/>
                <w:color w:val="000000"/>
                <w:sz w:val="20"/>
                <w:szCs w:val="20"/>
              </w:rPr>
              <w:t>4.12</w:t>
            </w:r>
          </w:p>
        </w:tc>
      </w:tr>
    </w:tbl>
    <w:p w:rsidR="00700CBC" w:rsidRPr="00FE6328" w:rsidRDefault="00EB0C7F" w:rsidP="00AE4A95">
      <w:pPr>
        <w:pStyle w:val="BodyText"/>
        <w:spacing w:before="120" w:after="240" w:line="276" w:lineRule="auto"/>
        <w:jc w:val="both"/>
        <w:rPr>
          <w:rFonts w:cs="Times New Roman"/>
          <w:b/>
          <w:i/>
          <w:sz w:val="20"/>
          <w:szCs w:val="18"/>
        </w:rPr>
      </w:pPr>
      <w:r w:rsidRPr="00FE6328">
        <w:rPr>
          <w:rFonts w:cs="Times New Roman"/>
          <w:b/>
          <w:i/>
          <w:sz w:val="20"/>
          <w:szCs w:val="18"/>
        </w:rPr>
        <w:t>Source: Bangladesh Bureau of Statistics</w:t>
      </w:r>
    </w:p>
    <w:p w:rsidR="00936FBA" w:rsidRDefault="00936FBA" w:rsidP="00936FBA">
      <w:pPr>
        <w:pStyle w:val="BodyText"/>
        <w:spacing w:after="240" w:line="274" w:lineRule="auto"/>
        <w:jc w:val="both"/>
        <w:rPr>
          <w:rFonts w:cs="Times New Roman"/>
          <w:szCs w:val="24"/>
        </w:rPr>
      </w:pPr>
      <w:r w:rsidRPr="00FE6328">
        <w:rPr>
          <w:rFonts w:cs="Times New Roman"/>
          <w:szCs w:val="24"/>
        </w:rPr>
        <w:t>The most significant urban population growth in Bangladesh occurred during the 1961-74 inter-census period; over 6 million people were living in urban areas constituting roughly 8.0% of the total population. Thus the percentage increase of the urban population during these 13 years was striking. That accelerated growth is to a great extent the result of the very recent influx from rural villages. The growth rate of the urban population was 5.4% during the 1981-1991. By 2001 the total urban population stood at 28.6 million.</w:t>
      </w:r>
      <w:r w:rsidRPr="00FE6328">
        <w:rPr>
          <w:rFonts w:cs="Times New Roman"/>
          <w:szCs w:val="24"/>
          <w:vertAlign w:val="superscript"/>
        </w:rPr>
        <w:footnoteReference w:id="2"/>
      </w:r>
      <w:r w:rsidRPr="00FE6328">
        <w:rPr>
          <w:rFonts w:cs="Times New Roman"/>
          <w:szCs w:val="24"/>
        </w:rPr>
        <w:t xml:space="preserve"> In 1974 people living in urban areas accounted for only 8.8% of the population whereas in 2011 this urban population was 28% of total population.</w:t>
      </w:r>
    </w:p>
    <w:p w:rsidR="00700CBC" w:rsidRPr="00FE6328" w:rsidRDefault="00700CBC" w:rsidP="00FE6328">
      <w:pPr>
        <w:pStyle w:val="BodyText"/>
        <w:spacing w:after="240" w:line="276" w:lineRule="auto"/>
        <w:jc w:val="both"/>
        <w:rPr>
          <w:rFonts w:cs="Times New Roman"/>
          <w:szCs w:val="24"/>
        </w:rPr>
      </w:pPr>
      <w:r w:rsidRPr="00FE6328">
        <w:rPr>
          <w:rFonts w:cs="Times New Roman"/>
          <w:szCs w:val="24"/>
        </w:rPr>
        <w:lastRenderedPageBreak/>
        <w:t>The annual exponential growth rate of urban population is approximately</w:t>
      </w:r>
      <w:r w:rsidR="00AE4A95">
        <w:rPr>
          <w:rFonts w:cs="Times New Roman"/>
          <w:szCs w:val="24"/>
        </w:rPr>
        <w:t xml:space="preserve"> 4 per cent</w:t>
      </w:r>
      <w:r w:rsidRPr="00FE6328">
        <w:rPr>
          <w:rFonts w:cs="Times New Roman"/>
          <w:szCs w:val="24"/>
        </w:rPr>
        <w:t xml:space="preserve"> and the level of urbanization is estimated at 28% with a decadal increase in urban population at 47%. As a result of this rapid urban growth, Bangladesh’s urban areas have the fastest growing number of people living in slums. For example, the annual growth rate of slums in Dhaka is approximately 7 percent</w:t>
      </w:r>
      <w:r w:rsidR="00AE4A95">
        <w:rPr>
          <w:rFonts w:cs="Times New Roman"/>
          <w:szCs w:val="24"/>
        </w:rPr>
        <w:t>.</w:t>
      </w:r>
      <w:r w:rsidRPr="00FE6328">
        <w:rPr>
          <w:rFonts w:cs="Times New Roman"/>
          <w:szCs w:val="24"/>
        </w:rPr>
        <w:t xml:space="preserve"> </w:t>
      </w:r>
    </w:p>
    <w:p w:rsidR="00FE6328" w:rsidRPr="00242DB1" w:rsidRDefault="00700CBC" w:rsidP="004402F1">
      <w:pPr>
        <w:pStyle w:val="Heading5"/>
      </w:pPr>
      <w:bookmarkStart w:id="112" w:name="_Toc474639163"/>
      <w:r w:rsidRPr="00EB0C7F">
        <w:t xml:space="preserve">Figure </w:t>
      </w:r>
      <w:r w:rsidR="004927AE">
        <w:t>1.3</w:t>
      </w:r>
      <w:r w:rsidR="000303CE">
        <w:t>: Level of Urbanization and Rural - Urban Population T</w:t>
      </w:r>
      <w:r w:rsidRPr="00EB0C7F">
        <w:t>rends</w:t>
      </w:r>
      <w:bookmarkEnd w:id="112"/>
      <w:r w:rsidRPr="00EB0C7F">
        <w:t xml:space="preserve"> </w:t>
      </w:r>
    </w:p>
    <w:p w:rsidR="004402F1" w:rsidRPr="004402F1" w:rsidRDefault="001A12B2" w:rsidP="004402F1">
      <w:r w:rsidRPr="001A12B2">
        <w:rPr>
          <w:rFonts w:eastAsia="Calibri" w:cs="Times New Roman"/>
          <w:noProof/>
          <w:szCs w:val="24"/>
        </w:rPr>
      </w:r>
      <w:r w:rsidRPr="001A12B2">
        <w:rPr>
          <w:rFonts w:eastAsia="Calibri" w:cs="Times New Roman"/>
          <w:noProof/>
          <w:szCs w:val="24"/>
        </w:rPr>
        <w:pict>
          <v:group id="Group 29" o:spid="_x0000_s1194" style="width:452.9pt;height:170.65pt;mso-position-horizontal-relative:char;mso-position-vertical-relative:line" coordsize="57492,21640">
            <v:shape id="Chart 30" o:spid="_x0000_s1196" type="#_x0000_t75" style="position:absolute;left:29371;width:28152;height:2167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">
              <v:imagedata r:id="rId48" o:title=""/>
              <o:lock v:ext="edit" aspectratio="f"/>
            </v:shape>
            <v:shape id="Chart 31" o:spid="_x0000_s1195" type="#_x0000_t75" style="position:absolute;width:28091;height:2161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">
              <v:imagedata r:id="rId49" o:title=""/>
              <o:lock v:ext="edit" aspectratio="f"/>
            </v:shape>
            <w10:wrap type="none"/>
            <w10:anchorlock/>
          </v:group>
        </w:pict>
      </w:r>
    </w:p>
    <w:p w:rsidR="00502ED7" w:rsidRPr="0029733C" w:rsidRDefault="0029733C" w:rsidP="00F8056C">
      <w:pPr>
        <w:pStyle w:val="BodyText"/>
        <w:spacing w:before="120"/>
        <w:jc w:val="both"/>
        <w:rPr>
          <w:rFonts w:cs="Times New Roman"/>
          <w:b/>
          <w:i/>
          <w:sz w:val="20"/>
          <w:szCs w:val="18"/>
        </w:rPr>
      </w:pPr>
      <w:r w:rsidRPr="0029733C">
        <w:rPr>
          <w:rFonts w:cs="Times New Roman"/>
          <w:b/>
          <w:i/>
          <w:sz w:val="20"/>
          <w:szCs w:val="18"/>
        </w:rPr>
        <w:t>Source: BBS</w:t>
      </w:r>
    </w:p>
    <w:p w:rsidR="00700CBC" w:rsidRPr="004B0A08" w:rsidRDefault="00700CBC" w:rsidP="00FE6328">
      <w:pPr>
        <w:pStyle w:val="BodyText"/>
        <w:spacing w:after="240" w:line="276" w:lineRule="auto"/>
        <w:jc w:val="both"/>
        <w:rPr>
          <w:rFonts w:cs="Times New Roman"/>
          <w:i/>
          <w:szCs w:val="24"/>
        </w:rPr>
      </w:pPr>
      <w:r w:rsidRPr="00FE6328">
        <w:rPr>
          <w:rFonts w:cs="Times New Roman"/>
          <w:szCs w:val="24"/>
        </w:rPr>
        <w:t>The push factors driving people from rural to urban areas are the socio-economic, demographic and cultural issues, which include unemployment, poverty, cyclones, floods, sea level rise, droughts, river erosion, , social discrimination</w:t>
      </w:r>
      <w:r w:rsidR="00687669">
        <w:rPr>
          <w:rFonts w:cs="Times New Roman"/>
          <w:szCs w:val="24"/>
        </w:rPr>
        <w:t xml:space="preserve"> and</w:t>
      </w:r>
      <w:r w:rsidRPr="00FE6328">
        <w:rPr>
          <w:rFonts w:cs="Times New Roman"/>
          <w:szCs w:val="24"/>
        </w:rPr>
        <w:t xml:space="preserve"> disputes </w:t>
      </w:r>
      <w:r w:rsidR="00687669">
        <w:rPr>
          <w:rFonts w:cs="Times New Roman"/>
          <w:szCs w:val="24"/>
        </w:rPr>
        <w:t xml:space="preserve">At the </w:t>
      </w:r>
      <w:r w:rsidR="00EA4E38">
        <w:rPr>
          <w:rFonts w:cs="Times New Roman"/>
          <w:szCs w:val="24"/>
        </w:rPr>
        <w:t>district</w:t>
      </w:r>
      <w:r w:rsidR="00687669">
        <w:rPr>
          <w:rFonts w:cs="Times New Roman"/>
          <w:szCs w:val="24"/>
        </w:rPr>
        <w:t xml:space="preserve"> level, the pattern of migration also shows a net outmigration from several districts to the urban centers of several prosperous districts, especially Dhaka. Thus</w:t>
      </w:r>
      <w:r w:rsidR="002066E1">
        <w:rPr>
          <w:rFonts w:cs="Times New Roman"/>
          <w:szCs w:val="24"/>
        </w:rPr>
        <w:t>, evidence</w:t>
      </w:r>
      <w:r w:rsidR="00687669">
        <w:rPr>
          <w:rFonts w:cs="Times New Roman"/>
          <w:szCs w:val="24"/>
        </w:rPr>
        <w:t xml:space="preserve"> </w:t>
      </w:r>
      <w:r w:rsidRPr="00FE6328">
        <w:rPr>
          <w:rFonts w:cs="Times New Roman"/>
          <w:color w:val="262626"/>
          <w:szCs w:val="24"/>
        </w:rPr>
        <w:t xml:space="preserve">shows </w:t>
      </w:r>
      <w:r w:rsidR="00687669">
        <w:rPr>
          <w:rFonts w:cs="Times New Roman"/>
          <w:color w:val="262626"/>
          <w:szCs w:val="24"/>
        </w:rPr>
        <w:t xml:space="preserve">that the </w:t>
      </w:r>
      <w:r w:rsidRPr="00FE6328">
        <w:rPr>
          <w:rFonts w:cs="Times New Roman"/>
          <w:color w:val="262626"/>
          <w:szCs w:val="24"/>
        </w:rPr>
        <w:t xml:space="preserve">population of Barisal, Jhalokathi, Pirojpur, Khulna and Bagerhat districts </w:t>
      </w:r>
      <w:r w:rsidR="00687669">
        <w:rPr>
          <w:rFonts w:cs="Times New Roman"/>
          <w:color w:val="262626"/>
          <w:szCs w:val="24"/>
        </w:rPr>
        <w:t xml:space="preserve">have actually </w:t>
      </w:r>
      <w:r w:rsidRPr="00FE6328">
        <w:rPr>
          <w:rFonts w:cs="Times New Roman"/>
          <w:color w:val="262626"/>
          <w:szCs w:val="24"/>
        </w:rPr>
        <w:t>declin</w:t>
      </w:r>
      <w:r w:rsidR="00687669">
        <w:rPr>
          <w:rFonts w:cs="Times New Roman"/>
          <w:color w:val="262626"/>
          <w:szCs w:val="24"/>
        </w:rPr>
        <w:t>ed</w:t>
      </w:r>
      <w:r w:rsidRPr="00FE6328">
        <w:rPr>
          <w:rFonts w:cs="Times New Roman"/>
          <w:color w:val="262626"/>
          <w:szCs w:val="24"/>
        </w:rPr>
        <w:t xml:space="preserve"> between 2001 and 2011 due to out-migration. In an environment of a fairly robustly growing population of Bangladesh (1.3% per year between 2001 and 2011), </w:t>
      </w:r>
      <w:r w:rsidRPr="004B0A08">
        <w:rPr>
          <w:rFonts w:cs="Times New Roman"/>
          <w:i/>
          <w:color w:val="262626"/>
          <w:szCs w:val="24"/>
        </w:rPr>
        <w:t xml:space="preserve">the combined population </w:t>
      </w:r>
      <w:r w:rsidR="00F8056C" w:rsidRPr="004B0A08">
        <w:rPr>
          <w:rFonts w:cs="Times New Roman"/>
          <w:i/>
        </w:rPr>
        <w:t>of the 9 lower D</w:t>
      </w:r>
      <w:r w:rsidRPr="004B0A08">
        <w:rPr>
          <w:rFonts w:cs="Times New Roman"/>
          <w:i/>
        </w:rPr>
        <w:t>elta region dist</w:t>
      </w:r>
      <w:r w:rsidR="00AE4A95" w:rsidRPr="004B0A08">
        <w:rPr>
          <w:rFonts w:cs="Times New Roman"/>
          <w:i/>
        </w:rPr>
        <w:t>ricts has actually</w:t>
      </w:r>
      <w:r w:rsidR="00F8056C" w:rsidRPr="004B0A08">
        <w:rPr>
          <w:rFonts w:cs="Times New Roman"/>
          <w:i/>
        </w:rPr>
        <w:t xml:space="preserve"> declined</w:t>
      </w:r>
      <w:r w:rsidRPr="004B0A08">
        <w:rPr>
          <w:rFonts w:cs="Times New Roman"/>
          <w:i/>
        </w:rPr>
        <w:t>.</w:t>
      </w:r>
    </w:p>
    <w:p w:rsidR="00700CBC" w:rsidRPr="00FE6328" w:rsidRDefault="00700CBC" w:rsidP="00FE6328">
      <w:pPr>
        <w:pStyle w:val="BodyText"/>
        <w:spacing w:after="240" w:line="276" w:lineRule="auto"/>
        <w:jc w:val="both"/>
        <w:rPr>
          <w:rFonts w:cs="Times New Roman"/>
          <w:szCs w:val="24"/>
        </w:rPr>
      </w:pPr>
      <w:r w:rsidRPr="00FE6328">
        <w:rPr>
          <w:rFonts w:cs="Times New Roman"/>
          <w:szCs w:val="24"/>
        </w:rPr>
        <w:t xml:space="preserve">This may be attributed to loss of livelihoods from cyclonic damage, salinity and sea level rise pushing people into out-migration to escape the miseries and uncertainties of climate change and natural disasters. </w:t>
      </w:r>
      <w:r w:rsidRPr="004B0A08">
        <w:rPr>
          <w:rFonts w:cs="Times New Roman"/>
          <w:i/>
          <w:szCs w:val="24"/>
        </w:rPr>
        <w:t>29% of Barisal division’s arable land was classified as “salt-affected” in 2010, up from 20% in 1973</w:t>
      </w:r>
      <w:r w:rsidRPr="00FE6328">
        <w:rPr>
          <w:rFonts w:cs="Times New Roman"/>
          <w:szCs w:val="24"/>
        </w:rPr>
        <w:t>. Rising sea levels have contributed to the trend, aggravating the effects</w:t>
      </w:r>
      <w:r w:rsidR="00AE4A95">
        <w:rPr>
          <w:rFonts w:cs="Times New Roman"/>
          <w:szCs w:val="24"/>
        </w:rPr>
        <w:t xml:space="preserve"> of intensive agriculture</w:t>
      </w:r>
      <w:r w:rsidRPr="00FE6328">
        <w:rPr>
          <w:rFonts w:cs="Times New Roman"/>
          <w:szCs w:val="24"/>
        </w:rPr>
        <w:t xml:space="preserve">. Furthermore, cyclones Sidr (2007) and Aila (2009) destroyed embankments and left coastal areas submerged under saltwater for months. </w:t>
      </w:r>
    </w:p>
    <w:p w:rsidR="00700CBC" w:rsidRPr="00FE6328" w:rsidRDefault="00700CBC" w:rsidP="00FE6328">
      <w:pPr>
        <w:pStyle w:val="BodyText"/>
        <w:spacing w:after="240" w:line="276" w:lineRule="auto"/>
        <w:jc w:val="both"/>
        <w:rPr>
          <w:rFonts w:cs="Times New Roman"/>
          <w:szCs w:val="24"/>
        </w:rPr>
      </w:pPr>
      <w:r w:rsidRPr="00FE6328">
        <w:rPr>
          <w:rFonts w:cs="Times New Roman"/>
          <w:szCs w:val="24"/>
        </w:rPr>
        <w:t xml:space="preserve">The pull factors attracting people to urban areas include the concentration of resources, employment opportunities, better living and educational facilities, etc. in the urban areas. For example, according to World Bank assessment, approximately 80% of the garments industry in Bangladesh, accounting for the overwhelming majority of the country’s exports, is located in </w:t>
      </w:r>
      <w:r w:rsidRPr="00FE6328">
        <w:rPr>
          <w:rFonts w:cs="Times New Roman"/>
          <w:szCs w:val="24"/>
        </w:rPr>
        <w:lastRenderedPageBreak/>
        <w:t xml:space="preserve">Dhaka city. Between 2040 and 2050, the country’s population is projected to become predominantly </w:t>
      </w:r>
      <w:r w:rsidR="004E362F" w:rsidRPr="00FE6328">
        <w:rPr>
          <w:rFonts w:cs="Times New Roman"/>
          <w:szCs w:val="24"/>
        </w:rPr>
        <w:t>urban. The</w:t>
      </w:r>
      <w:r w:rsidRPr="00FE6328">
        <w:rPr>
          <w:rFonts w:cs="Times New Roman"/>
          <w:szCs w:val="24"/>
        </w:rPr>
        <w:t xml:space="preserve"> rural-urban migration is putting stress on urban resources; overcrowding in urban areas –particularly in city slums – and the absence of sanitation and sewerage systems cause waterborne and airborne diseases to become prevalent. High population density in urban centres </w:t>
      </w:r>
      <w:r w:rsidR="003507C6" w:rsidRPr="00FE6328">
        <w:rPr>
          <w:rFonts w:cs="Times New Roman"/>
          <w:szCs w:val="24"/>
        </w:rPr>
        <w:t>is, hence</w:t>
      </w:r>
      <w:r w:rsidRPr="00FE6328">
        <w:rPr>
          <w:rFonts w:cs="Times New Roman"/>
          <w:szCs w:val="24"/>
        </w:rPr>
        <w:t xml:space="preserve">, a key issue that requires urgent attention. Urban sprawl, settlements and development in challenging and hazardous areas is increasing such as in high flood risk areas, riverbeds, coastal flood plains, cyclone and storm surge risk areas, and eroding areas along the rivers and coasts. Informal growth causes cities and settlements to grow in a haphazard way. Its magnitude brings problems in supplying basic services, employment, transport and waste disposal, especially for slum dwellers and the urban </w:t>
      </w:r>
      <w:r w:rsidR="004E362F" w:rsidRPr="00FE6328">
        <w:rPr>
          <w:rFonts w:cs="Times New Roman"/>
          <w:szCs w:val="24"/>
        </w:rPr>
        <w:t xml:space="preserve">poor. </w:t>
      </w:r>
      <w:r w:rsidR="004E362F" w:rsidRPr="004B0A08">
        <w:rPr>
          <w:rFonts w:cs="Times New Roman"/>
          <w:i/>
          <w:szCs w:val="24"/>
        </w:rPr>
        <w:t>Especially</w:t>
      </w:r>
      <w:r w:rsidR="00F8056C" w:rsidRPr="004B0A08">
        <w:rPr>
          <w:rFonts w:cs="Times New Roman"/>
          <w:i/>
          <w:szCs w:val="24"/>
        </w:rPr>
        <w:t>,</w:t>
      </w:r>
      <w:r w:rsidRPr="004B0A08">
        <w:rPr>
          <w:rFonts w:cs="Times New Roman"/>
          <w:i/>
          <w:szCs w:val="24"/>
        </w:rPr>
        <w:t xml:space="preserve"> Dhaka has been growing at an enormous </w:t>
      </w:r>
      <w:r w:rsidR="00993D66" w:rsidRPr="004B0A08">
        <w:rPr>
          <w:rFonts w:cs="Times New Roman"/>
          <w:i/>
          <w:szCs w:val="24"/>
        </w:rPr>
        <w:t>rate</w:t>
      </w:r>
      <w:r w:rsidRPr="004B0A08">
        <w:rPr>
          <w:rFonts w:cs="Times New Roman"/>
          <w:i/>
          <w:szCs w:val="24"/>
        </w:rPr>
        <w:t>. From 1991-20</w:t>
      </w:r>
      <w:r w:rsidR="00F8056C" w:rsidRPr="004B0A08">
        <w:rPr>
          <w:rFonts w:cs="Times New Roman"/>
          <w:i/>
          <w:szCs w:val="24"/>
        </w:rPr>
        <w:t>01 the population increased by</w:t>
      </w:r>
      <w:r w:rsidRPr="004B0A08">
        <w:rPr>
          <w:rFonts w:cs="Times New Roman"/>
          <w:i/>
          <w:szCs w:val="24"/>
        </w:rPr>
        <w:t xml:space="preserve"> 2 million and </w:t>
      </w:r>
      <w:r w:rsidR="00F8056C" w:rsidRPr="004B0A08">
        <w:rPr>
          <w:rFonts w:cs="Times New Roman"/>
          <w:i/>
          <w:szCs w:val="24"/>
        </w:rPr>
        <w:t>from 2001-2011 by 9 million. These</w:t>
      </w:r>
      <w:r w:rsidRPr="004B0A08">
        <w:rPr>
          <w:rFonts w:cs="Times New Roman"/>
          <w:i/>
          <w:szCs w:val="24"/>
        </w:rPr>
        <w:t xml:space="preserve"> </w:t>
      </w:r>
      <w:r w:rsidR="00F8056C" w:rsidRPr="004B0A08">
        <w:rPr>
          <w:rFonts w:cs="Times New Roman"/>
          <w:i/>
          <w:szCs w:val="24"/>
        </w:rPr>
        <w:t>have resulted in rapid urban growth.  T</w:t>
      </w:r>
      <w:r w:rsidRPr="004B0A08">
        <w:rPr>
          <w:rFonts w:cs="Times New Roman"/>
          <w:i/>
          <w:szCs w:val="24"/>
        </w:rPr>
        <w:t xml:space="preserve">he area of the city expanded from 510 </w:t>
      </w:r>
      <w:r w:rsidR="00993D66" w:rsidRPr="004B0A08">
        <w:rPr>
          <w:rFonts w:cs="Times New Roman"/>
          <w:i/>
          <w:szCs w:val="24"/>
        </w:rPr>
        <w:t>km</w:t>
      </w:r>
      <w:r w:rsidR="00993D66" w:rsidRPr="004B0A08">
        <w:rPr>
          <w:rFonts w:cs="Times New Roman"/>
          <w:i/>
          <w:szCs w:val="24"/>
          <w:vertAlign w:val="superscript"/>
        </w:rPr>
        <w:t>2</w:t>
      </w:r>
      <w:r w:rsidRPr="004B0A08">
        <w:rPr>
          <w:rFonts w:cs="Times New Roman"/>
          <w:i/>
          <w:szCs w:val="24"/>
        </w:rPr>
        <w:t>in 1981 to 1</w:t>
      </w:r>
      <w:r w:rsidR="00993D66" w:rsidRPr="004B0A08">
        <w:rPr>
          <w:rFonts w:cs="Times New Roman"/>
          <w:i/>
          <w:szCs w:val="24"/>
        </w:rPr>
        <w:t>,</w:t>
      </w:r>
      <w:r w:rsidRPr="004B0A08">
        <w:rPr>
          <w:rFonts w:cs="Times New Roman"/>
          <w:i/>
          <w:szCs w:val="24"/>
        </w:rPr>
        <w:t xml:space="preserve">528 </w:t>
      </w:r>
      <w:r w:rsidR="00993D66" w:rsidRPr="004B0A08">
        <w:rPr>
          <w:rFonts w:cs="Times New Roman"/>
          <w:i/>
          <w:szCs w:val="24"/>
        </w:rPr>
        <w:t>km</w:t>
      </w:r>
      <w:r w:rsidR="00993D66" w:rsidRPr="004B0A08">
        <w:rPr>
          <w:rFonts w:cs="Times New Roman"/>
          <w:i/>
          <w:szCs w:val="24"/>
          <w:vertAlign w:val="superscript"/>
        </w:rPr>
        <w:t>2</w:t>
      </w:r>
      <w:r w:rsidRPr="004B0A08">
        <w:rPr>
          <w:rFonts w:cs="Times New Roman"/>
          <w:i/>
          <w:szCs w:val="24"/>
        </w:rPr>
        <w:t xml:space="preserve"> in 2011. The city </w:t>
      </w:r>
      <w:r w:rsidR="00993D66" w:rsidRPr="004B0A08">
        <w:rPr>
          <w:rFonts w:cs="Times New Roman"/>
          <w:i/>
          <w:szCs w:val="24"/>
        </w:rPr>
        <w:t xml:space="preserve">is </w:t>
      </w:r>
      <w:r w:rsidR="004E362F" w:rsidRPr="004B0A08">
        <w:rPr>
          <w:rFonts w:cs="Times New Roman"/>
          <w:i/>
          <w:szCs w:val="24"/>
        </w:rPr>
        <w:t xml:space="preserve">growing </w:t>
      </w:r>
      <w:r w:rsidR="00AE4A95" w:rsidRPr="004B0A08">
        <w:rPr>
          <w:rFonts w:cs="Times New Roman"/>
          <w:i/>
          <w:szCs w:val="24"/>
        </w:rPr>
        <w:t>denser</w:t>
      </w:r>
      <w:r w:rsidRPr="004B0A08">
        <w:rPr>
          <w:rFonts w:cs="Times New Roman"/>
          <w:i/>
          <w:szCs w:val="24"/>
        </w:rPr>
        <w:t xml:space="preserve"> at </w:t>
      </w:r>
      <w:r w:rsidR="00993D66" w:rsidRPr="004B0A08">
        <w:rPr>
          <w:rFonts w:cs="Times New Roman"/>
          <w:i/>
          <w:szCs w:val="24"/>
        </w:rPr>
        <w:t xml:space="preserve">a </w:t>
      </w:r>
      <w:r w:rsidRPr="004B0A08">
        <w:rPr>
          <w:rFonts w:cs="Times New Roman"/>
          <w:i/>
          <w:szCs w:val="24"/>
        </w:rPr>
        <w:t>rapid pace and low-lying wetlands are converted into urbanized settlement.</w:t>
      </w:r>
      <w:r w:rsidRPr="00FE6328">
        <w:rPr>
          <w:rFonts w:cs="Times New Roman"/>
          <w:szCs w:val="24"/>
        </w:rPr>
        <w:t xml:space="preserve"> Thus, agriculture, wetlands and flood zones have disappeared. Growing pace of urbanization as well as increased population is putting pressure on the already stressed water supply and sanitation </w:t>
      </w:r>
      <w:r w:rsidR="004E362F" w:rsidRPr="00FE6328">
        <w:rPr>
          <w:rFonts w:cs="Times New Roman"/>
          <w:szCs w:val="24"/>
        </w:rPr>
        <w:t>systems. Due</w:t>
      </w:r>
      <w:r w:rsidRPr="00FE6328">
        <w:rPr>
          <w:rFonts w:cs="Times New Roman"/>
          <w:szCs w:val="24"/>
        </w:rPr>
        <w:t xml:space="preserve"> to further lowering of </w:t>
      </w:r>
      <w:r w:rsidR="00993D66" w:rsidRPr="00FE6328">
        <w:rPr>
          <w:rFonts w:cs="Times New Roman"/>
          <w:szCs w:val="24"/>
        </w:rPr>
        <w:t>groundwater (</w:t>
      </w:r>
      <w:r w:rsidRPr="00FE6328">
        <w:rPr>
          <w:rFonts w:cs="Times New Roman"/>
          <w:szCs w:val="24"/>
        </w:rPr>
        <w:t>GW</w:t>
      </w:r>
      <w:r w:rsidR="00993D66" w:rsidRPr="00FE6328">
        <w:rPr>
          <w:rFonts w:cs="Times New Roman"/>
          <w:szCs w:val="24"/>
        </w:rPr>
        <w:t>)</w:t>
      </w:r>
      <w:r w:rsidRPr="00FE6328">
        <w:rPr>
          <w:rFonts w:cs="Times New Roman"/>
          <w:szCs w:val="24"/>
        </w:rPr>
        <w:t xml:space="preserve"> levels and seasonal variation, the shallow tube wells cannot yield water especially in dry season, causing a serious threat.  Adjacent rivers are heavily polluted from municipal and industrial sources, and may further deteriorate and clean up</w:t>
      </w:r>
      <w:r w:rsidR="00993D66" w:rsidRPr="00FE6328">
        <w:rPr>
          <w:rFonts w:cs="Times New Roman"/>
          <w:szCs w:val="24"/>
        </w:rPr>
        <w:t>s</w:t>
      </w:r>
      <w:r w:rsidRPr="00FE6328">
        <w:rPr>
          <w:rFonts w:cs="Times New Roman"/>
          <w:szCs w:val="24"/>
        </w:rPr>
        <w:t xml:space="preserve"> are required.</w:t>
      </w:r>
    </w:p>
    <w:p w:rsidR="00700CBC" w:rsidRPr="00FE6328" w:rsidRDefault="00700CBC" w:rsidP="00FE6328">
      <w:pPr>
        <w:pStyle w:val="BodyText"/>
        <w:spacing w:after="240" w:line="276" w:lineRule="auto"/>
        <w:jc w:val="both"/>
        <w:rPr>
          <w:rFonts w:cs="Times New Roman"/>
          <w:szCs w:val="24"/>
        </w:rPr>
      </w:pPr>
      <w:r w:rsidRPr="00FE6328">
        <w:rPr>
          <w:rFonts w:cs="Times New Roman"/>
          <w:szCs w:val="24"/>
        </w:rPr>
        <w:t xml:space="preserve">There is inadequate infrastructure and institutions for dealing with faecal sludge from households and commercial institutions. Sustainable groundwater abstraction, allocation of scarce water resources, restoration of water quality, wastewater management, treatment of effluents – all these issues present an enormous challenge to make urban areas safe and livable.  The effluent discharges from the washing, dyeing, finishing </w:t>
      </w:r>
      <w:r w:rsidR="00993D66" w:rsidRPr="00FE6328">
        <w:rPr>
          <w:rFonts w:cs="Times New Roman"/>
          <w:szCs w:val="24"/>
        </w:rPr>
        <w:t>(WDF</w:t>
      </w:r>
      <w:r w:rsidR="003507C6" w:rsidRPr="00FE6328">
        <w:rPr>
          <w:rFonts w:cs="Times New Roman"/>
          <w:szCs w:val="24"/>
        </w:rPr>
        <w:t>) factories</w:t>
      </w:r>
      <w:r w:rsidRPr="00FE6328">
        <w:rPr>
          <w:rFonts w:cs="Times New Roman"/>
          <w:szCs w:val="24"/>
        </w:rPr>
        <w:t>, in particular, are heavily polluted with high levels of dissolved solids and chemicals. Estimates o</w:t>
      </w:r>
      <w:r w:rsidR="00993D66" w:rsidRPr="00FE6328">
        <w:rPr>
          <w:rFonts w:cs="Times New Roman"/>
          <w:szCs w:val="24"/>
        </w:rPr>
        <w:t>f</w:t>
      </w:r>
      <w:r w:rsidRPr="00FE6328">
        <w:rPr>
          <w:rFonts w:cs="Times New Roman"/>
          <w:szCs w:val="24"/>
        </w:rPr>
        <w:t xml:space="preserve"> the number of factories with Effluent Treatment Plants (ETPs) vary from 40 to 80% although it is widely acknowledged that many of the installed plants are poorly designed or not operated in an appropriate and responsible manner. Water demand for most of the textile manufacturing processing and dying industries is extensive. The high demand can put pressure on domestic consumption of </w:t>
      </w:r>
      <w:r w:rsidR="00993D66" w:rsidRPr="00FE6328">
        <w:rPr>
          <w:rFonts w:cs="Times New Roman"/>
          <w:szCs w:val="24"/>
        </w:rPr>
        <w:t xml:space="preserve">water supply by </w:t>
      </w:r>
      <w:r w:rsidRPr="00FE6328">
        <w:rPr>
          <w:rFonts w:cs="Times New Roman"/>
          <w:szCs w:val="24"/>
        </w:rPr>
        <w:t xml:space="preserve">DWASA. The private </w:t>
      </w:r>
      <w:r w:rsidR="00993D66" w:rsidRPr="00FE6328">
        <w:rPr>
          <w:rFonts w:cs="Times New Roman"/>
          <w:szCs w:val="24"/>
        </w:rPr>
        <w:t xml:space="preserve">deep </w:t>
      </w:r>
      <w:r w:rsidR="00F51D0D" w:rsidRPr="00FE6328">
        <w:rPr>
          <w:rFonts w:cs="Times New Roman"/>
          <w:szCs w:val="24"/>
        </w:rPr>
        <w:t>tube wells</w:t>
      </w:r>
      <w:r w:rsidR="00993D66" w:rsidRPr="00FE6328">
        <w:rPr>
          <w:rFonts w:cs="Times New Roman"/>
          <w:szCs w:val="24"/>
        </w:rPr>
        <w:t xml:space="preserve"> (</w:t>
      </w:r>
      <w:r w:rsidRPr="00FE6328">
        <w:rPr>
          <w:rFonts w:cs="Times New Roman"/>
          <w:szCs w:val="24"/>
        </w:rPr>
        <w:t>DTW</w:t>
      </w:r>
      <w:r w:rsidR="00993D66" w:rsidRPr="00FE6328">
        <w:rPr>
          <w:rFonts w:cs="Times New Roman"/>
          <w:szCs w:val="24"/>
        </w:rPr>
        <w:t>)</w:t>
      </w:r>
      <w:r w:rsidRPr="00FE6328">
        <w:rPr>
          <w:rFonts w:cs="Times New Roman"/>
          <w:szCs w:val="24"/>
        </w:rPr>
        <w:t xml:space="preserve"> abstraction in Dhaka (both by industries, communities and households) represents a substantial percentage of the total groundwater abstraction.</w:t>
      </w:r>
    </w:p>
    <w:p w:rsidR="00700CBC" w:rsidRPr="00FE6328" w:rsidRDefault="00700CBC" w:rsidP="00FE6328">
      <w:pPr>
        <w:pStyle w:val="BodyText"/>
        <w:spacing w:after="240" w:line="276" w:lineRule="auto"/>
        <w:jc w:val="both"/>
        <w:rPr>
          <w:rFonts w:cs="Times New Roman"/>
          <w:szCs w:val="24"/>
        </w:rPr>
      </w:pPr>
      <w:r w:rsidRPr="00FE6328">
        <w:rPr>
          <w:rFonts w:cs="Times New Roman"/>
          <w:szCs w:val="24"/>
        </w:rPr>
        <w:t xml:space="preserve">Apart from textile industries, the leather industry </w:t>
      </w:r>
      <w:r w:rsidR="00993D66" w:rsidRPr="00FE6328">
        <w:rPr>
          <w:rFonts w:cs="Times New Roman"/>
          <w:szCs w:val="24"/>
        </w:rPr>
        <w:t xml:space="preserve">is of </w:t>
      </w:r>
      <w:r w:rsidRPr="00FE6328">
        <w:rPr>
          <w:rFonts w:cs="Times New Roman"/>
          <w:szCs w:val="24"/>
        </w:rPr>
        <w:t>significance to the urban water cycle</w:t>
      </w:r>
      <w:r w:rsidR="000C2203" w:rsidRPr="00FE6328">
        <w:rPr>
          <w:rFonts w:cs="Times New Roman"/>
          <w:szCs w:val="24"/>
        </w:rPr>
        <w:t>; t</w:t>
      </w:r>
      <w:r w:rsidRPr="00FE6328">
        <w:rPr>
          <w:rFonts w:cs="Times New Roman"/>
          <w:szCs w:val="24"/>
        </w:rPr>
        <w:t xml:space="preserve">here are reportedly around 155 tanneries operating in Bangladesh. Over 90% of the tanneries are located in the Hazaribagh area in Dhaka in a highly congested area of less than 30 hectares of land. </w:t>
      </w:r>
      <w:r w:rsidRPr="004B0A08">
        <w:rPr>
          <w:rFonts w:cs="Times New Roman"/>
          <w:i/>
          <w:szCs w:val="24"/>
        </w:rPr>
        <w:t>It is estimated that approximately 40 m</w:t>
      </w:r>
      <w:r w:rsidRPr="004B0A08">
        <w:rPr>
          <w:rFonts w:cs="Times New Roman"/>
          <w:i/>
          <w:szCs w:val="24"/>
          <w:vertAlign w:val="superscript"/>
        </w:rPr>
        <w:t>3</w:t>
      </w:r>
      <w:r w:rsidRPr="004B0A08">
        <w:rPr>
          <w:rFonts w:cs="Times New Roman"/>
          <w:i/>
          <w:szCs w:val="24"/>
        </w:rPr>
        <w:t xml:space="preserve"> of water are required to process a </w:t>
      </w:r>
      <w:r w:rsidR="00FE6385">
        <w:rPr>
          <w:rFonts w:cs="Times New Roman"/>
          <w:i/>
          <w:szCs w:val="24"/>
        </w:rPr>
        <w:t>tonne</w:t>
      </w:r>
      <w:r w:rsidRPr="004B0A08">
        <w:rPr>
          <w:rFonts w:cs="Times New Roman"/>
          <w:i/>
          <w:szCs w:val="24"/>
        </w:rPr>
        <w:t>ne of wet salted hides. For comparison, modern processes utili</w:t>
      </w:r>
      <w:r w:rsidR="00481504" w:rsidRPr="004B0A08">
        <w:rPr>
          <w:rFonts w:cs="Times New Roman"/>
          <w:i/>
          <w:szCs w:val="24"/>
        </w:rPr>
        <w:t>z</w:t>
      </w:r>
      <w:r w:rsidRPr="004B0A08">
        <w:rPr>
          <w:rFonts w:cs="Times New Roman"/>
          <w:i/>
          <w:szCs w:val="24"/>
        </w:rPr>
        <w:t xml:space="preserve">ed in Europe are able to reduce the water use to 20 </w:t>
      </w:r>
      <w:r w:rsidR="00E43ADC" w:rsidRPr="004B0A08">
        <w:rPr>
          <w:rFonts w:cs="Times New Roman"/>
          <w:i/>
          <w:szCs w:val="24"/>
        </w:rPr>
        <w:t>m</w:t>
      </w:r>
      <w:r w:rsidR="00E43ADC" w:rsidRPr="004B0A08">
        <w:rPr>
          <w:rFonts w:cs="Times New Roman"/>
          <w:i/>
          <w:szCs w:val="24"/>
          <w:vertAlign w:val="superscript"/>
        </w:rPr>
        <w:t>3</w:t>
      </w:r>
      <w:r w:rsidRPr="004B0A08">
        <w:rPr>
          <w:rFonts w:cs="Times New Roman"/>
          <w:i/>
          <w:szCs w:val="24"/>
        </w:rPr>
        <w:t xml:space="preserve"> or less. In addition to the water use, more than 450kg of chemicals are used in the </w:t>
      </w:r>
      <w:r w:rsidRPr="004B0A08">
        <w:rPr>
          <w:rFonts w:cs="Times New Roman"/>
          <w:i/>
          <w:szCs w:val="24"/>
        </w:rPr>
        <w:lastRenderedPageBreak/>
        <w:t xml:space="preserve">process. As only a fraction of the chemicals are retained in and on the leather, the majority is discharged to the environment in various forms including wastewater </w:t>
      </w:r>
      <w:r w:rsidR="004E362F" w:rsidRPr="004B0A08">
        <w:rPr>
          <w:rFonts w:cs="Times New Roman"/>
          <w:i/>
          <w:szCs w:val="24"/>
        </w:rPr>
        <w:t>discharges.</w:t>
      </w:r>
      <w:r w:rsidR="004E362F" w:rsidRPr="00FE6328">
        <w:rPr>
          <w:rFonts w:cs="Times New Roman"/>
          <w:szCs w:val="24"/>
        </w:rPr>
        <w:t xml:space="preserve"> The</w:t>
      </w:r>
      <w:r w:rsidRPr="00FE6328">
        <w:rPr>
          <w:rFonts w:cs="Times New Roman"/>
          <w:szCs w:val="24"/>
        </w:rPr>
        <w:t xml:space="preserve"> total volume of effluent discharged from tanneries is estimated at 20,000 </w:t>
      </w:r>
      <w:r w:rsidR="00E43ADC" w:rsidRPr="00FE6328">
        <w:rPr>
          <w:rFonts w:cs="Times New Roman"/>
          <w:szCs w:val="24"/>
        </w:rPr>
        <w:t>m</w:t>
      </w:r>
      <w:r w:rsidR="00E43ADC" w:rsidRPr="00FE6328">
        <w:rPr>
          <w:rFonts w:cs="Times New Roman"/>
          <w:szCs w:val="24"/>
          <w:vertAlign w:val="superscript"/>
        </w:rPr>
        <w:t>3</w:t>
      </w:r>
      <w:r w:rsidRPr="00FE6328">
        <w:rPr>
          <w:rFonts w:cs="Times New Roman"/>
          <w:szCs w:val="24"/>
        </w:rPr>
        <w:t>per day, which is in line with the capacity of the new centrali</w:t>
      </w:r>
      <w:r w:rsidR="00A61D2A" w:rsidRPr="00FE6328">
        <w:rPr>
          <w:rFonts w:cs="Times New Roman"/>
          <w:szCs w:val="24"/>
        </w:rPr>
        <w:t>z</w:t>
      </w:r>
      <w:r w:rsidRPr="00FE6328">
        <w:rPr>
          <w:rFonts w:cs="Times New Roman"/>
          <w:szCs w:val="24"/>
        </w:rPr>
        <w:t xml:space="preserve">ed effluent treatment plant (CETP) currently being constructed in Savar. At the moment, all effluent generated from Hazaribagh is discharged untreated to the sewer passing through the area leading to the Buriganga River, the main river through Dhaka. Therefore, the industry contributes significantly to poor river water quality and the associated environmental and health impacts. </w:t>
      </w:r>
    </w:p>
    <w:p w:rsidR="0029733C" w:rsidRPr="00FE6328" w:rsidRDefault="001A12B2" w:rsidP="00FE6328">
      <w:pPr>
        <w:pStyle w:val="BodyText"/>
        <w:spacing w:after="240" w:line="276" w:lineRule="auto"/>
        <w:jc w:val="both"/>
        <w:rPr>
          <w:rFonts w:cs="Times New Roman"/>
          <w:szCs w:val="24"/>
        </w:rPr>
      </w:pPr>
      <w:r w:rsidRPr="001A12B2">
        <w:rPr>
          <w:rFonts w:cs="Times New Roman"/>
          <w:noProof/>
          <w:szCs w:val="24"/>
        </w:rPr>
        <w:pict>
          <v:line id="Line 41" o:spid="_x0000_s1193" style="position:absolute;left:0;text-align:left;z-index:251641856;visibility:visible;mso-wrap-distance-left:3.17494mm;mso-wrap-distance-top:-6e-5mm;mso-wrap-distance-right:3.17494mm;mso-wrap-distance-bottom:-6e-5mm;mso-position-vertical-relative:page" from="0,536pt" to="0,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" strokeweight=".7pt">
            <w10:wrap anchory="page"/>
          </v:line>
        </w:pict>
      </w:r>
      <w:r w:rsidRPr="001A12B2">
        <w:rPr>
          <w:rFonts w:cs="Times New Roman"/>
          <w:noProof/>
          <w:szCs w:val="24"/>
        </w:rPr>
        <w:pict>
          <v:line id="Line 43" o:spid="_x0000_s1192" style="position:absolute;left:0;text-align:left;z-index:251643904;visibility:visible;mso-wrap-distance-left:3.17494mm;mso-wrap-distance-top:-6e-5mm;mso-wrap-distance-right:3.17494mm;mso-wrap-distance-bottom:-6e-5mm;mso-position-vertical-relative:page" from="0,518.7pt" to="0,5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" strokeweight=".7pt">
            <w10:wrap anchory="page"/>
          </v:line>
        </w:pict>
      </w:r>
      <w:r w:rsidRPr="001A12B2">
        <w:rPr>
          <w:rFonts w:cs="Times New Roman"/>
          <w:noProof/>
          <w:szCs w:val="24"/>
        </w:rPr>
        <w:pict>
          <v:line id="Line 40" o:spid="_x0000_s1191" style="position:absolute;left:0;text-align:left;z-index:251640832;visibility:visible;mso-wrap-distance-left:3.17494mm;mso-wrap-distance-top:-6e-5mm;mso-wrap-distance-right:3.17494mm;mso-wrap-distance-bottom:-6e-5mm;mso-position-vertical-relative:page" from="7.4pt,582pt" to="7.4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" strokeweight=".7pt">
            <w10:wrap anchory="page"/>
          </v:line>
        </w:pict>
      </w:r>
      <w:r w:rsidRPr="001A12B2">
        <w:rPr>
          <w:rFonts w:cs="Times New Roman"/>
          <w:noProof/>
          <w:szCs w:val="24"/>
        </w:rPr>
        <w:pict>
          <v:line id="Line 38" o:spid="_x0000_s1190" style="position:absolute;left:0;text-align:left;z-index:251639808;visibility:visible;mso-wrap-distance-left:3.17494mm;mso-wrap-distance-top:-6e-5mm;mso-wrap-distance-right:3.17494mm;mso-wrap-distance-bottom:-6e-5mm;mso-position-vertical-relative:page" from="470.6pt,618pt" to="470.6pt,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" strokeweight=".7pt">
            <w10:wrap anchory="page"/>
          </v:line>
        </w:pict>
      </w:r>
      <w:r w:rsidRPr="001A12B2">
        <w:rPr>
          <w:rFonts w:cs="Times New Roman"/>
          <w:noProof/>
          <w:szCs w:val="24"/>
        </w:rPr>
        <w:pict>
          <v:line id="Line 42" o:spid="_x0000_s1189" style="position:absolute;left:0;text-align:left;z-index:251642880;visibility:visible;mso-wrap-distance-left:3.17494mm;mso-wrap-distance-top:-6e-5mm;mso-wrap-distance-right:3.17494mm;mso-wrap-distance-bottom:-6e-5mm;mso-position-vertical-relative:page" from="-47.25pt,531pt" to="-47.2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" strokeweight=".7pt">
            <w10:wrap anchory="page"/>
          </v:line>
        </w:pict>
      </w:r>
      <w:r w:rsidR="00700CBC" w:rsidRPr="00FE6328">
        <w:rPr>
          <w:rFonts w:cs="Times New Roman"/>
          <w:szCs w:val="24"/>
        </w:rPr>
        <w:t>Domestic, industrial and agricultural pollution put surface water potential and the treatment efforts required for drinking water quality, under increasing strain. Especially in the direct vicinity of Dhaka and Chittagong rivers suffer from deteriorating qualities. Overall, surface water quality in Bangladesh’s rivers is deteriorating. Untreated sewage and sullage water often ends up in the storm water drainage system. Due to polluting industries, poor sewers and waste collection systems and the rapid (informal growth), environmental pollution is increasing.  Not only ground water and streets get polluted; there is also air and noise pollution. Due to lack of waste water treatment and poor drainage system there is water logging as black water is not always collected in a closed system but ends up directly and untreated in the surface water.</w:t>
      </w:r>
    </w:p>
    <w:p w:rsidR="00672B25" w:rsidRPr="0029733C" w:rsidRDefault="00DA3A42" w:rsidP="00E96FA7">
      <w:pPr>
        <w:pStyle w:val="Heading4"/>
        <w:spacing w:after="0"/>
        <w:rPr>
          <w:sz w:val="22"/>
        </w:rPr>
      </w:pPr>
      <w:bookmarkStart w:id="113" w:name="_Toc474638993"/>
      <w:r w:rsidRPr="0029733C">
        <w:t xml:space="preserve">Table </w:t>
      </w:r>
      <w:r w:rsidR="00D9144F">
        <w:t>1.</w:t>
      </w:r>
      <w:r w:rsidRPr="0029733C">
        <w:t>2</w:t>
      </w:r>
      <w:r w:rsidR="005A61E6">
        <w:t>2</w:t>
      </w:r>
      <w:r w:rsidR="00672B25" w:rsidRPr="0029733C">
        <w:t>: Pollution Overview in Hotspots</w:t>
      </w:r>
      <w:bookmarkEnd w:id="113"/>
      <w:r w:rsidR="00672B25" w:rsidRPr="0029733C">
        <w:t xml:space="preserve">  </w:t>
      </w:r>
    </w:p>
    <w:tbl>
      <w:tblPr>
        <w:tblStyle w:val="TableGrid"/>
        <w:tblW w:w="5000" w:type="pct"/>
        <w:tblLook w:val="04A0"/>
      </w:tblPr>
      <w:tblGrid>
        <w:gridCol w:w="2024"/>
        <w:gridCol w:w="7552"/>
      </w:tblGrid>
      <w:tr w:rsidR="00672B25" w:rsidRPr="002572F4" w:rsidTr="0051032C">
        <w:trPr>
          <w:tblHeader/>
        </w:trPr>
        <w:tc>
          <w:tcPr>
            <w:tcW w:w="1057" w:type="pct"/>
          </w:tcPr>
          <w:p w:rsidR="00672B25" w:rsidRPr="002572F4" w:rsidRDefault="00672B25" w:rsidP="00672B25">
            <w:pPr>
              <w:spacing w:after="0" w:line="240" w:lineRule="auto"/>
              <w:rPr>
                <w:b/>
                <w:szCs w:val="20"/>
              </w:rPr>
            </w:pPr>
            <w:r w:rsidRPr="002572F4">
              <w:rPr>
                <w:b/>
                <w:szCs w:val="20"/>
              </w:rPr>
              <w:t>Pollution Type</w:t>
            </w:r>
          </w:p>
        </w:tc>
        <w:tc>
          <w:tcPr>
            <w:tcW w:w="3943" w:type="pct"/>
          </w:tcPr>
          <w:p w:rsidR="00672B25" w:rsidRPr="002572F4" w:rsidRDefault="00672B25" w:rsidP="00672B25">
            <w:pPr>
              <w:spacing w:after="0" w:line="240" w:lineRule="auto"/>
              <w:rPr>
                <w:b/>
                <w:szCs w:val="20"/>
              </w:rPr>
            </w:pPr>
            <w:r w:rsidRPr="002572F4">
              <w:rPr>
                <w:b/>
                <w:szCs w:val="20"/>
              </w:rPr>
              <w:t>Hot Spot</w:t>
            </w:r>
          </w:p>
        </w:tc>
      </w:tr>
      <w:tr w:rsidR="00672B25" w:rsidRPr="002572F4" w:rsidTr="0051032C">
        <w:tc>
          <w:tcPr>
            <w:tcW w:w="1057" w:type="pct"/>
          </w:tcPr>
          <w:p w:rsidR="00672B25" w:rsidRPr="002572F4" w:rsidRDefault="00672B25" w:rsidP="00672B25">
            <w:pPr>
              <w:spacing w:after="0" w:line="240" w:lineRule="auto"/>
              <w:rPr>
                <w:szCs w:val="20"/>
              </w:rPr>
            </w:pPr>
            <w:r w:rsidRPr="002572F4">
              <w:rPr>
                <w:szCs w:val="20"/>
              </w:rPr>
              <w:t>Air Pollution</w:t>
            </w:r>
          </w:p>
        </w:tc>
        <w:tc>
          <w:tcPr>
            <w:tcW w:w="3943" w:type="pct"/>
          </w:tcPr>
          <w:p w:rsidR="00672B25" w:rsidRPr="002572F4" w:rsidRDefault="00672B25" w:rsidP="00672B25">
            <w:pPr>
              <w:spacing w:after="0" w:line="240" w:lineRule="auto"/>
              <w:rPr>
                <w:szCs w:val="20"/>
              </w:rPr>
            </w:pPr>
            <w:r w:rsidRPr="002572F4">
              <w:rPr>
                <w:szCs w:val="20"/>
              </w:rPr>
              <w:t>Major cities such as Dhaka, Chittagong, Khulna, Sylhet, Rajshahi, Barisal,  Gazipur and Narayanganj</w:t>
            </w:r>
          </w:p>
        </w:tc>
      </w:tr>
      <w:tr w:rsidR="00672B25" w:rsidRPr="002572F4" w:rsidTr="0051032C">
        <w:tc>
          <w:tcPr>
            <w:tcW w:w="1057" w:type="pct"/>
          </w:tcPr>
          <w:p w:rsidR="00672B25" w:rsidRPr="002572F4" w:rsidRDefault="00672B25" w:rsidP="00672B25">
            <w:pPr>
              <w:spacing w:after="0" w:line="240" w:lineRule="auto"/>
              <w:rPr>
                <w:szCs w:val="20"/>
              </w:rPr>
            </w:pPr>
            <w:r w:rsidRPr="002572F4">
              <w:rPr>
                <w:szCs w:val="20"/>
              </w:rPr>
              <w:t>Water Pollution</w:t>
            </w:r>
          </w:p>
        </w:tc>
        <w:tc>
          <w:tcPr>
            <w:tcW w:w="3943" w:type="pct"/>
          </w:tcPr>
          <w:p w:rsidR="00672B25" w:rsidRPr="002572F4" w:rsidRDefault="00672B25" w:rsidP="00672B25">
            <w:pPr>
              <w:spacing w:after="0" w:line="240" w:lineRule="auto"/>
              <w:rPr>
                <w:szCs w:val="20"/>
              </w:rPr>
            </w:pPr>
            <w:r w:rsidRPr="002572F4">
              <w:rPr>
                <w:szCs w:val="20"/>
              </w:rPr>
              <w:t>Major rivers such as Padma, Ganga, Jamuna and Meghna; also rivers around the major cities</w:t>
            </w:r>
          </w:p>
          <w:p w:rsidR="00672B25" w:rsidRPr="002572F4" w:rsidRDefault="00672B25" w:rsidP="00672B25">
            <w:pPr>
              <w:spacing w:after="0" w:line="240" w:lineRule="auto"/>
              <w:rPr>
                <w:szCs w:val="20"/>
              </w:rPr>
            </w:pPr>
            <w:r w:rsidRPr="002572F4">
              <w:rPr>
                <w:szCs w:val="20"/>
              </w:rPr>
              <w:t>Rivers around Dhaka and Narayanganj – Buriganga, Shitalakhya, Turag</w:t>
            </w:r>
          </w:p>
          <w:p w:rsidR="00672B25" w:rsidRPr="002572F4" w:rsidRDefault="00672B25" w:rsidP="00672B25">
            <w:pPr>
              <w:spacing w:after="0" w:line="240" w:lineRule="auto"/>
              <w:rPr>
                <w:szCs w:val="20"/>
              </w:rPr>
            </w:pPr>
            <w:r w:rsidRPr="002572F4">
              <w:rPr>
                <w:szCs w:val="20"/>
              </w:rPr>
              <w:t>Rivers near Chittagong  city – Karnafuli, Halda</w:t>
            </w:r>
          </w:p>
          <w:p w:rsidR="00672B25" w:rsidRPr="002572F4" w:rsidRDefault="00672B25" w:rsidP="00672B25">
            <w:pPr>
              <w:spacing w:after="0" w:line="240" w:lineRule="auto"/>
              <w:rPr>
                <w:szCs w:val="20"/>
              </w:rPr>
            </w:pPr>
            <w:r w:rsidRPr="002572F4">
              <w:rPr>
                <w:szCs w:val="20"/>
              </w:rPr>
              <w:t>Rivers besides Barisal  city – Kir</w:t>
            </w:r>
            <w:r w:rsidR="00FE6385">
              <w:rPr>
                <w:szCs w:val="20"/>
              </w:rPr>
              <w:t>tonne</w:t>
            </w:r>
            <w:r w:rsidRPr="002572F4">
              <w:rPr>
                <w:szCs w:val="20"/>
              </w:rPr>
              <w:t>khola</w:t>
            </w:r>
          </w:p>
          <w:p w:rsidR="00672B25" w:rsidRPr="002572F4" w:rsidRDefault="00672B25" w:rsidP="00672B25">
            <w:pPr>
              <w:spacing w:after="0" w:line="240" w:lineRule="auto"/>
              <w:rPr>
                <w:szCs w:val="20"/>
              </w:rPr>
            </w:pPr>
            <w:r w:rsidRPr="002572F4">
              <w:rPr>
                <w:szCs w:val="20"/>
              </w:rPr>
              <w:t>River besides Sylhet city – Surma</w:t>
            </w:r>
          </w:p>
          <w:p w:rsidR="00672B25" w:rsidRPr="002572F4" w:rsidRDefault="00672B25" w:rsidP="00672B25">
            <w:pPr>
              <w:spacing w:after="0" w:line="240" w:lineRule="auto"/>
              <w:rPr>
                <w:szCs w:val="20"/>
              </w:rPr>
            </w:pPr>
            <w:r w:rsidRPr="002572F4">
              <w:rPr>
                <w:szCs w:val="20"/>
              </w:rPr>
              <w:t>Rivers besides Khulna city – Moyuri ,Rupsa</w:t>
            </w:r>
          </w:p>
          <w:p w:rsidR="00672B25" w:rsidRPr="002572F4" w:rsidRDefault="00672B25" w:rsidP="00672B25">
            <w:pPr>
              <w:spacing w:after="0" w:line="240" w:lineRule="auto"/>
              <w:rPr>
                <w:szCs w:val="20"/>
              </w:rPr>
            </w:pPr>
            <w:r w:rsidRPr="002572F4">
              <w:rPr>
                <w:szCs w:val="20"/>
              </w:rPr>
              <w:t>Rivers across the Sundarbans and Mongla Port – Rupsa and Passur</w:t>
            </w:r>
          </w:p>
        </w:tc>
      </w:tr>
      <w:tr w:rsidR="00672B25" w:rsidRPr="002572F4" w:rsidTr="0051032C">
        <w:tc>
          <w:tcPr>
            <w:tcW w:w="1057" w:type="pct"/>
          </w:tcPr>
          <w:p w:rsidR="00672B25" w:rsidRPr="002572F4" w:rsidRDefault="00672B25" w:rsidP="00672B25">
            <w:pPr>
              <w:spacing w:after="0" w:line="240" w:lineRule="auto"/>
              <w:rPr>
                <w:szCs w:val="20"/>
              </w:rPr>
            </w:pPr>
            <w:r w:rsidRPr="002572F4">
              <w:rPr>
                <w:szCs w:val="20"/>
              </w:rPr>
              <w:t>Soil Pollution</w:t>
            </w:r>
          </w:p>
        </w:tc>
        <w:tc>
          <w:tcPr>
            <w:tcW w:w="3943" w:type="pct"/>
          </w:tcPr>
          <w:p w:rsidR="00672B25" w:rsidRPr="002572F4" w:rsidRDefault="00672B25" w:rsidP="00672B25">
            <w:pPr>
              <w:spacing w:after="0" w:line="240" w:lineRule="auto"/>
              <w:rPr>
                <w:szCs w:val="20"/>
              </w:rPr>
            </w:pPr>
            <w:r w:rsidRPr="002572F4">
              <w:rPr>
                <w:szCs w:val="20"/>
              </w:rPr>
              <w:t>Ship breaking waste contaminated area – Chittagong coast</w:t>
            </w:r>
          </w:p>
          <w:p w:rsidR="00672B25" w:rsidRPr="002572F4" w:rsidRDefault="00672B25" w:rsidP="00672B25">
            <w:pPr>
              <w:spacing w:after="0" w:line="240" w:lineRule="auto"/>
              <w:rPr>
                <w:szCs w:val="20"/>
              </w:rPr>
            </w:pPr>
            <w:r w:rsidRPr="002572F4">
              <w:rPr>
                <w:szCs w:val="20"/>
              </w:rPr>
              <w:t>Industrial polluted area – Dhaka, Gazipur</w:t>
            </w:r>
          </w:p>
        </w:tc>
      </w:tr>
      <w:tr w:rsidR="00672B25" w:rsidRPr="002572F4" w:rsidTr="0051032C">
        <w:tc>
          <w:tcPr>
            <w:tcW w:w="1057" w:type="pct"/>
          </w:tcPr>
          <w:p w:rsidR="00672B25" w:rsidRPr="002572F4" w:rsidRDefault="00672B25" w:rsidP="00672B25">
            <w:pPr>
              <w:spacing w:after="0" w:line="240" w:lineRule="auto"/>
              <w:rPr>
                <w:szCs w:val="20"/>
              </w:rPr>
            </w:pPr>
            <w:r w:rsidRPr="002572F4">
              <w:rPr>
                <w:szCs w:val="20"/>
              </w:rPr>
              <w:t>Waste Management</w:t>
            </w:r>
          </w:p>
        </w:tc>
        <w:tc>
          <w:tcPr>
            <w:tcW w:w="3943" w:type="pct"/>
          </w:tcPr>
          <w:p w:rsidR="00672B25" w:rsidRPr="002572F4" w:rsidRDefault="00672B25" w:rsidP="00672B25">
            <w:pPr>
              <w:spacing w:after="0" w:line="240" w:lineRule="auto"/>
              <w:rPr>
                <w:szCs w:val="20"/>
              </w:rPr>
            </w:pPr>
            <w:r w:rsidRPr="002572F4">
              <w:rPr>
                <w:szCs w:val="20"/>
              </w:rPr>
              <w:t>Major cities: Dhaka, Chittagong, Khulna, Barisal, Sylhet, Gazipur, Narayanganj</w:t>
            </w:r>
          </w:p>
        </w:tc>
      </w:tr>
      <w:tr w:rsidR="00672B25" w:rsidRPr="002572F4" w:rsidTr="0051032C">
        <w:tc>
          <w:tcPr>
            <w:tcW w:w="1057" w:type="pct"/>
          </w:tcPr>
          <w:p w:rsidR="00672B25" w:rsidRPr="002572F4" w:rsidRDefault="00672B25" w:rsidP="00672B25">
            <w:pPr>
              <w:spacing w:after="0" w:line="240" w:lineRule="auto"/>
              <w:rPr>
                <w:szCs w:val="20"/>
              </w:rPr>
            </w:pPr>
            <w:r w:rsidRPr="002572F4">
              <w:rPr>
                <w:szCs w:val="20"/>
              </w:rPr>
              <w:t>Noise</w:t>
            </w:r>
          </w:p>
        </w:tc>
        <w:tc>
          <w:tcPr>
            <w:tcW w:w="3943" w:type="pct"/>
          </w:tcPr>
          <w:p w:rsidR="00672B25" w:rsidRPr="002572F4" w:rsidRDefault="00672B25" w:rsidP="00672B25">
            <w:pPr>
              <w:spacing w:after="0" w:line="240" w:lineRule="auto"/>
              <w:rPr>
                <w:szCs w:val="20"/>
              </w:rPr>
            </w:pPr>
            <w:r w:rsidRPr="002572F4">
              <w:rPr>
                <w:szCs w:val="20"/>
              </w:rPr>
              <w:t>Major cities</w:t>
            </w:r>
          </w:p>
        </w:tc>
      </w:tr>
    </w:tbl>
    <w:p w:rsidR="00672B25" w:rsidRPr="00FE6328" w:rsidRDefault="00672B25" w:rsidP="00AE4A95">
      <w:pPr>
        <w:spacing w:before="120" w:line="276" w:lineRule="auto"/>
        <w:rPr>
          <w:rFonts w:cs="Times New Roman"/>
          <w:b/>
          <w:i/>
          <w:sz w:val="28"/>
          <w:szCs w:val="24"/>
        </w:rPr>
      </w:pPr>
      <w:r w:rsidRPr="00FE6328">
        <w:rPr>
          <w:rFonts w:cs="Times New Roman"/>
          <w:b/>
          <w:i/>
          <w:iCs/>
          <w:sz w:val="20"/>
          <w:szCs w:val="18"/>
        </w:rPr>
        <w:t>Source: CEGIS</w:t>
      </w:r>
    </w:p>
    <w:p w:rsidR="00AE4A95" w:rsidRDefault="00F51DCE" w:rsidP="00DA1E41">
      <w:pPr>
        <w:pStyle w:val="BodyText"/>
        <w:spacing w:after="240" w:line="276" w:lineRule="auto"/>
        <w:jc w:val="both"/>
        <w:rPr>
          <w:rFonts w:cs="Times New Roman"/>
          <w:szCs w:val="24"/>
        </w:rPr>
      </w:pPr>
      <w:r w:rsidRPr="00FE6328">
        <w:rPr>
          <w:rFonts w:cs="Times New Roman"/>
          <w:szCs w:val="24"/>
        </w:rPr>
        <w:t xml:space="preserve">Rapid and uncontrolled urbanization has caused the development of formal urban extensions and informal urban fringe development within naturally vulnerable locations such as floodplains, wetlands and other low-lying areas. Additionally, erosion from areas under development produces sedimentation, which obstructs (natural) drainage capacities and development in floodplains limits natural floodwater </w:t>
      </w:r>
      <w:r w:rsidR="004E362F" w:rsidRPr="00FE6328">
        <w:rPr>
          <w:rFonts w:cs="Times New Roman"/>
          <w:szCs w:val="24"/>
        </w:rPr>
        <w:t>storage. Under</w:t>
      </w:r>
      <w:r w:rsidR="00E43ADC" w:rsidRPr="00FE6328">
        <w:rPr>
          <w:rFonts w:cs="Times New Roman"/>
          <w:szCs w:val="24"/>
        </w:rPr>
        <w:t xml:space="preserve"> </w:t>
      </w:r>
      <w:r w:rsidRPr="00FE6328">
        <w:rPr>
          <w:rFonts w:cs="Times New Roman"/>
          <w:szCs w:val="24"/>
        </w:rPr>
        <w:t xml:space="preserve">a 1-meter sea level rise scenario, the </w:t>
      </w:r>
      <w:r w:rsidRPr="00FE6328">
        <w:rPr>
          <w:rFonts w:cs="Times New Roman"/>
          <w:szCs w:val="24"/>
        </w:rPr>
        <w:lastRenderedPageBreak/>
        <w:t>inundated area (808 km</w:t>
      </w:r>
      <w:r w:rsidRPr="00FE6328">
        <w:rPr>
          <w:rFonts w:cs="Times New Roman"/>
          <w:vertAlign w:val="superscript"/>
        </w:rPr>
        <w:t xml:space="preserve">2 </w:t>
      </w:r>
      <w:r w:rsidRPr="00FE6328">
        <w:rPr>
          <w:rFonts w:cs="Times New Roman"/>
          <w:szCs w:val="24"/>
        </w:rPr>
        <w:t>or 0.58%) would be greatest in Khulna while the temporarily inundated area (20,089 km</w:t>
      </w:r>
      <w:r w:rsidRPr="00FE6328">
        <w:rPr>
          <w:rFonts w:cs="Times New Roman"/>
          <w:vertAlign w:val="superscript"/>
        </w:rPr>
        <w:t>2</w:t>
      </w:r>
      <w:r w:rsidRPr="00FE6328">
        <w:rPr>
          <w:rFonts w:cs="Times New Roman"/>
          <w:szCs w:val="24"/>
        </w:rPr>
        <w:t xml:space="preserve"> or 14%) would be greatest in Dhaka. Dhaka‘s populatio</w:t>
      </w:r>
      <w:r w:rsidR="00AE4A95">
        <w:rPr>
          <w:rFonts w:cs="Times New Roman"/>
          <w:szCs w:val="24"/>
        </w:rPr>
        <w:t>n would face the highest risks.</w:t>
      </w:r>
    </w:p>
    <w:p w:rsidR="00DA1E41" w:rsidRPr="00A1679C" w:rsidRDefault="00A61D2A" w:rsidP="00A1679C">
      <w:pPr>
        <w:pStyle w:val="BodyText"/>
        <w:spacing w:after="240" w:line="276" w:lineRule="auto"/>
        <w:jc w:val="both"/>
        <w:rPr>
          <w:rFonts w:cs="Times New Roman"/>
          <w:szCs w:val="24"/>
        </w:rPr>
      </w:pPr>
      <w:r w:rsidRPr="00FE6328">
        <w:rPr>
          <w:rFonts w:cs="Times New Roman"/>
          <w:szCs w:val="24"/>
        </w:rPr>
        <w:t xml:space="preserve">In summary, the vulnerabilities affecting </w:t>
      </w:r>
      <w:r w:rsidR="00C0200D" w:rsidRPr="00FE6328">
        <w:rPr>
          <w:rFonts w:cs="Times New Roman"/>
          <w:szCs w:val="24"/>
        </w:rPr>
        <w:t>urban areas hotspots are:</w:t>
      </w:r>
    </w:p>
    <w:p w:rsidR="00A61D2A" w:rsidRPr="0029733C" w:rsidRDefault="00C0200D" w:rsidP="00944687">
      <w:pPr>
        <w:pStyle w:val="Heading4"/>
      </w:pPr>
      <w:bookmarkStart w:id="114" w:name="_Toc474638994"/>
      <w:r w:rsidRPr="0029733C">
        <w:t xml:space="preserve">Table </w:t>
      </w:r>
      <w:r w:rsidR="00D9144F">
        <w:t>1.</w:t>
      </w:r>
      <w:r w:rsidR="00162737">
        <w:t>23</w:t>
      </w:r>
      <w:r w:rsidRPr="0029733C">
        <w:t>: Key vulnerabilities of the Urban Areas Hotspot</w:t>
      </w:r>
      <w:bookmarkEnd w:id="114"/>
    </w:p>
    <w:tbl>
      <w:tblPr>
        <w:tblStyle w:val="TableGrid"/>
        <w:tblW w:w="5000" w:type="pct"/>
        <w:jc w:val="center"/>
        <w:tblLook w:val="04A0"/>
      </w:tblPr>
      <w:tblGrid>
        <w:gridCol w:w="2062"/>
        <w:gridCol w:w="2337"/>
        <w:gridCol w:w="2239"/>
        <w:gridCol w:w="2938"/>
      </w:tblGrid>
      <w:tr w:rsidR="00C0200D" w:rsidRPr="00312B8D" w:rsidTr="00667776">
        <w:trPr>
          <w:tblHeader/>
          <w:jc w:val="center"/>
        </w:trPr>
        <w:tc>
          <w:tcPr>
            <w:tcW w:w="1077" w:type="pct"/>
          </w:tcPr>
          <w:p w:rsidR="00C0200D" w:rsidRPr="006E075E" w:rsidRDefault="00C0200D" w:rsidP="0016467B">
            <w:pPr>
              <w:pStyle w:val="BodyText"/>
              <w:spacing w:after="0" w:line="240" w:lineRule="auto"/>
              <w:jc w:val="center"/>
              <w:rPr>
                <w:rFonts w:cs="Times New Roman"/>
                <w:b/>
                <w:sz w:val="20"/>
                <w:szCs w:val="20"/>
              </w:rPr>
            </w:pPr>
            <w:r>
              <w:rPr>
                <w:rFonts w:cs="Times New Roman"/>
                <w:b/>
                <w:sz w:val="20"/>
                <w:szCs w:val="20"/>
              </w:rPr>
              <w:t>Vulnerability from</w:t>
            </w:r>
          </w:p>
        </w:tc>
        <w:tc>
          <w:tcPr>
            <w:tcW w:w="1220" w:type="pct"/>
          </w:tcPr>
          <w:p w:rsidR="00C0200D" w:rsidRPr="006E075E" w:rsidRDefault="00C0200D" w:rsidP="0016467B">
            <w:pPr>
              <w:pStyle w:val="BodyText"/>
              <w:spacing w:after="0" w:line="240" w:lineRule="auto"/>
              <w:jc w:val="center"/>
              <w:rPr>
                <w:rFonts w:cs="Times New Roman"/>
                <w:b/>
                <w:sz w:val="20"/>
                <w:szCs w:val="20"/>
              </w:rPr>
            </w:pPr>
            <w:r w:rsidRPr="006E075E">
              <w:rPr>
                <w:rFonts w:cs="Times New Roman"/>
                <w:b/>
                <w:sz w:val="20"/>
                <w:szCs w:val="20"/>
              </w:rPr>
              <w:t xml:space="preserve">Current </w:t>
            </w:r>
            <w:r>
              <w:rPr>
                <w:rFonts w:cs="Times New Roman"/>
                <w:b/>
                <w:sz w:val="20"/>
                <w:szCs w:val="20"/>
              </w:rPr>
              <w:t>State</w:t>
            </w:r>
          </w:p>
        </w:tc>
        <w:tc>
          <w:tcPr>
            <w:tcW w:w="1169" w:type="pct"/>
          </w:tcPr>
          <w:p w:rsidR="00C0200D" w:rsidRPr="006E075E" w:rsidRDefault="00C0200D" w:rsidP="0016467B">
            <w:pPr>
              <w:pStyle w:val="BodyText"/>
              <w:spacing w:after="0" w:line="240" w:lineRule="auto"/>
              <w:jc w:val="center"/>
              <w:rPr>
                <w:rFonts w:cs="Times New Roman"/>
                <w:b/>
                <w:sz w:val="20"/>
                <w:szCs w:val="20"/>
              </w:rPr>
            </w:pPr>
            <w:r>
              <w:rPr>
                <w:rFonts w:cs="Times New Roman"/>
                <w:b/>
                <w:sz w:val="20"/>
                <w:szCs w:val="20"/>
              </w:rPr>
              <w:t xml:space="preserve">Expected </w:t>
            </w:r>
            <w:r w:rsidRPr="006E075E">
              <w:rPr>
                <w:rFonts w:cs="Times New Roman"/>
                <w:b/>
                <w:sz w:val="20"/>
                <w:szCs w:val="20"/>
              </w:rPr>
              <w:t>Change</w:t>
            </w:r>
          </w:p>
        </w:tc>
        <w:tc>
          <w:tcPr>
            <w:tcW w:w="1534" w:type="pct"/>
          </w:tcPr>
          <w:p w:rsidR="00C0200D" w:rsidRPr="006E075E" w:rsidRDefault="00C0200D" w:rsidP="0016467B">
            <w:pPr>
              <w:pStyle w:val="BodyText"/>
              <w:spacing w:after="0" w:line="240" w:lineRule="auto"/>
              <w:jc w:val="center"/>
              <w:rPr>
                <w:rFonts w:cs="Times New Roman"/>
                <w:b/>
                <w:sz w:val="20"/>
                <w:szCs w:val="20"/>
              </w:rPr>
            </w:pPr>
            <w:r w:rsidRPr="006E075E">
              <w:rPr>
                <w:rFonts w:cs="Times New Roman"/>
                <w:b/>
                <w:sz w:val="20"/>
                <w:szCs w:val="20"/>
              </w:rPr>
              <w:t>Consequences under a BAU scenario</w:t>
            </w:r>
          </w:p>
        </w:tc>
      </w:tr>
      <w:tr w:rsidR="00C0200D" w:rsidRPr="00312B8D" w:rsidTr="00667776">
        <w:trPr>
          <w:jc w:val="center"/>
        </w:trPr>
        <w:tc>
          <w:tcPr>
            <w:tcW w:w="1077" w:type="pct"/>
          </w:tcPr>
          <w:p w:rsidR="00C0200D" w:rsidRPr="00CC1D0D" w:rsidRDefault="00C0200D" w:rsidP="00FE24C4">
            <w:pPr>
              <w:pStyle w:val="BodyText"/>
              <w:spacing w:after="0" w:line="240" w:lineRule="auto"/>
              <w:rPr>
                <w:rFonts w:cs="Times New Roman"/>
                <w:sz w:val="20"/>
                <w:szCs w:val="20"/>
              </w:rPr>
            </w:pPr>
            <w:r w:rsidRPr="00CC1D0D">
              <w:rPr>
                <w:rFonts w:cs="Times New Roman"/>
                <w:sz w:val="20"/>
                <w:szCs w:val="20"/>
              </w:rPr>
              <w:t xml:space="preserve">1. </w:t>
            </w:r>
            <w:r w:rsidR="00FE24C4">
              <w:rPr>
                <w:rFonts w:cs="Times New Roman"/>
                <w:sz w:val="20"/>
                <w:szCs w:val="20"/>
              </w:rPr>
              <w:t>Urban sprawl, unplanned settlements and development</w:t>
            </w:r>
          </w:p>
        </w:tc>
        <w:tc>
          <w:tcPr>
            <w:tcW w:w="1220" w:type="pct"/>
          </w:tcPr>
          <w:p w:rsidR="00C0200D" w:rsidRPr="00FE24C4" w:rsidRDefault="00481504" w:rsidP="00F77883">
            <w:pPr>
              <w:pStyle w:val="BodyText"/>
              <w:spacing w:after="0" w:line="240" w:lineRule="auto"/>
              <w:jc w:val="both"/>
              <w:rPr>
                <w:rFonts w:cs="Times New Roman"/>
                <w:sz w:val="20"/>
                <w:szCs w:val="20"/>
              </w:rPr>
            </w:pPr>
            <w:r>
              <w:rPr>
                <w:rFonts w:cs="Times New Roman"/>
                <w:sz w:val="20"/>
                <w:szCs w:val="20"/>
              </w:rPr>
              <w:t xml:space="preserve">Settlements </w:t>
            </w:r>
            <w:r w:rsidR="00FE24C4" w:rsidRPr="00FE24C4">
              <w:rPr>
                <w:rFonts w:cs="Times New Roman"/>
                <w:sz w:val="20"/>
                <w:szCs w:val="20"/>
              </w:rPr>
              <w:t xml:space="preserve">in hazardous areas such </w:t>
            </w:r>
            <w:r w:rsidR="004E362F" w:rsidRPr="00FE24C4">
              <w:rPr>
                <w:rFonts w:cs="Times New Roman"/>
                <w:sz w:val="20"/>
                <w:szCs w:val="20"/>
              </w:rPr>
              <w:t>as high</w:t>
            </w:r>
            <w:r w:rsidR="00FE24C4" w:rsidRPr="00FE24C4">
              <w:rPr>
                <w:rFonts w:cs="Times New Roman"/>
                <w:sz w:val="20"/>
                <w:szCs w:val="20"/>
              </w:rPr>
              <w:t xml:space="preserve"> flood risk areas, riverbeds, coastal flood plains, cyclone and storm surge risk areas, and eroding areas along the rivers and coasts</w:t>
            </w:r>
            <w:r w:rsidR="00C73AAA">
              <w:rPr>
                <w:rFonts w:cs="Times New Roman"/>
                <w:sz w:val="20"/>
                <w:szCs w:val="20"/>
              </w:rPr>
              <w:t>; slum growth in Dhaka City at 7% per annum</w:t>
            </w:r>
          </w:p>
        </w:tc>
        <w:tc>
          <w:tcPr>
            <w:tcW w:w="1169" w:type="pct"/>
          </w:tcPr>
          <w:p w:rsidR="00C0200D" w:rsidRPr="00A24C4A" w:rsidRDefault="00FE24C4" w:rsidP="00F77883">
            <w:pPr>
              <w:pStyle w:val="BodyText"/>
              <w:spacing w:after="0" w:line="240" w:lineRule="auto"/>
              <w:jc w:val="both"/>
              <w:rPr>
                <w:rFonts w:cs="Times New Roman"/>
                <w:sz w:val="20"/>
                <w:szCs w:val="20"/>
              </w:rPr>
            </w:pPr>
            <w:r>
              <w:rPr>
                <w:rFonts w:cs="Times New Roman"/>
                <w:sz w:val="20"/>
                <w:szCs w:val="20"/>
              </w:rPr>
              <w:t>increasing risk of floods in inner city areas</w:t>
            </w:r>
            <w:r w:rsidR="002F6F6B">
              <w:rPr>
                <w:rFonts w:cs="Times New Roman"/>
                <w:sz w:val="20"/>
                <w:szCs w:val="20"/>
              </w:rPr>
              <w:t>; breakdown of basic services – water supply, sanitation, waste disposal; increase in water borne diseases</w:t>
            </w:r>
            <w:r w:rsidR="00481504">
              <w:rPr>
                <w:rFonts w:cs="Times New Roman"/>
                <w:sz w:val="20"/>
                <w:szCs w:val="20"/>
              </w:rPr>
              <w:t>; contamination of surface waters</w:t>
            </w:r>
            <w:r w:rsidR="00C73AAA">
              <w:rPr>
                <w:rFonts w:cs="Times New Roman"/>
                <w:sz w:val="20"/>
                <w:szCs w:val="20"/>
              </w:rPr>
              <w:t>; reduced re-charging of groundwater sources</w:t>
            </w:r>
          </w:p>
        </w:tc>
        <w:tc>
          <w:tcPr>
            <w:tcW w:w="1534" w:type="pct"/>
          </w:tcPr>
          <w:p w:rsidR="00C0200D" w:rsidRPr="00A24C4A" w:rsidRDefault="00C0200D" w:rsidP="00F77883">
            <w:pPr>
              <w:pStyle w:val="BodyText"/>
              <w:spacing w:after="0" w:line="240" w:lineRule="auto"/>
              <w:jc w:val="both"/>
              <w:rPr>
                <w:rFonts w:cs="Times New Roman"/>
                <w:sz w:val="20"/>
                <w:szCs w:val="20"/>
              </w:rPr>
            </w:pPr>
            <w:r>
              <w:rPr>
                <w:rFonts w:cs="Times New Roman"/>
                <w:sz w:val="20"/>
                <w:szCs w:val="20"/>
              </w:rPr>
              <w:t xml:space="preserve">Loss of </w:t>
            </w:r>
            <w:r w:rsidR="002F6F6B">
              <w:rPr>
                <w:rFonts w:cs="Times New Roman"/>
                <w:sz w:val="20"/>
                <w:szCs w:val="20"/>
              </w:rPr>
              <w:t>life and property; rescue and relief efforts increasingly hampered and difficult; vulnerable and poor in slums will suffer most</w:t>
            </w:r>
          </w:p>
        </w:tc>
      </w:tr>
      <w:tr w:rsidR="00C0200D" w:rsidRPr="006F44F9" w:rsidTr="00667776">
        <w:trPr>
          <w:jc w:val="center"/>
        </w:trPr>
        <w:tc>
          <w:tcPr>
            <w:tcW w:w="1077" w:type="pct"/>
          </w:tcPr>
          <w:p w:rsidR="00C0200D" w:rsidRDefault="00C0200D" w:rsidP="00481504">
            <w:pPr>
              <w:pStyle w:val="BodyText"/>
              <w:spacing w:after="0" w:line="240" w:lineRule="auto"/>
              <w:rPr>
                <w:rFonts w:cs="Times New Roman"/>
                <w:sz w:val="20"/>
                <w:szCs w:val="20"/>
              </w:rPr>
            </w:pPr>
            <w:r>
              <w:rPr>
                <w:rFonts w:cs="Times New Roman"/>
                <w:sz w:val="20"/>
                <w:szCs w:val="20"/>
              </w:rPr>
              <w:t xml:space="preserve">2. </w:t>
            </w:r>
            <w:r w:rsidR="00481504">
              <w:rPr>
                <w:rFonts w:cs="Times New Roman"/>
                <w:sz w:val="20"/>
                <w:szCs w:val="20"/>
              </w:rPr>
              <w:t xml:space="preserve">Lowering of groundwater levels </w:t>
            </w:r>
          </w:p>
        </w:tc>
        <w:tc>
          <w:tcPr>
            <w:tcW w:w="1220" w:type="pct"/>
          </w:tcPr>
          <w:p w:rsidR="00C0200D" w:rsidRPr="00536F00" w:rsidRDefault="00481504" w:rsidP="00F77883">
            <w:pPr>
              <w:pStyle w:val="BodyText"/>
              <w:spacing w:after="0" w:line="240" w:lineRule="auto"/>
              <w:jc w:val="both"/>
              <w:rPr>
                <w:rFonts w:cs="Times New Roman"/>
                <w:sz w:val="20"/>
                <w:szCs w:val="20"/>
              </w:rPr>
            </w:pPr>
            <w:r>
              <w:rPr>
                <w:rFonts w:cs="Times New Roman"/>
                <w:sz w:val="20"/>
                <w:szCs w:val="20"/>
              </w:rPr>
              <w:t>Less freshwater available for industrial and domestic consumption; drying up of shallow tubewells in dry season</w:t>
            </w:r>
          </w:p>
        </w:tc>
        <w:tc>
          <w:tcPr>
            <w:tcW w:w="1169" w:type="pct"/>
          </w:tcPr>
          <w:p w:rsidR="00C0200D" w:rsidRDefault="00C0200D" w:rsidP="00F77883">
            <w:pPr>
              <w:pStyle w:val="BodyText"/>
              <w:spacing w:after="0" w:line="240" w:lineRule="auto"/>
              <w:jc w:val="both"/>
              <w:rPr>
                <w:rFonts w:cs="Times New Roman"/>
                <w:sz w:val="20"/>
                <w:szCs w:val="20"/>
              </w:rPr>
            </w:pPr>
            <w:r>
              <w:rPr>
                <w:rFonts w:cs="Times New Roman"/>
                <w:sz w:val="20"/>
                <w:szCs w:val="20"/>
              </w:rPr>
              <w:t xml:space="preserve">Increasing </w:t>
            </w:r>
            <w:r w:rsidR="00481504">
              <w:rPr>
                <w:rFonts w:cs="Times New Roman"/>
                <w:sz w:val="20"/>
                <w:szCs w:val="20"/>
              </w:rPr>
              <w:t xml:space="preserve">water shortages </w:t>
            </w:r>
          </w:p>
        </w:tc>
        <w:tc>
          <w:tcPr>
            <w:tcW w:w="1534" w:type="pct"/>
          </w:tcPr>
          <w:p w:rsidR="00C0200D" w:rsidRDefault="00481504" w:rsidP="00F77883">
            <w:pPr>
              <w:pStyle w:val="BodyText"/>
              <w:spacing w:after="0" w:line="240" w:lineRule="auto"/>
              <w:jc w:val="both"/>
              <w:rPr>
                <w:rFonts w:cs="Times New Roman"/>
                <w:sz w:val="20"/>
                <w:szCs w:val="20"/>
              </w:rPr>
            </w:pPr>
            <w:r>
              <w:rPr>
                <w:rFonts w:cs="Times New Roman"/>
                <w:sz w:val="20"/>
                <w:szCs w:val="20"/>
              </w:rPr>
              <w:t>Decline of industrial output; social unrest due to water shortages; water borne diseases due to use of contaminated water for drinking</w:t>
            </w:r>
          </w:p>
        </w:tc>
      </w:tr>
      <w:tr w:rsidR="00481504" w:rsidRPr="006F44F9" w:rsidTr="00667776">
        <w:trPr>
          <w:jc w:val="center"/>
        </w:trPr>
        <w:tc>
          <w:tcPr>
            <w:tcW w:w="1077" w:type="pct"/>
          </w:tcPr>
          <w:p w:rsidR="00481504" w:rsidRDefault="00481504" w:rsidP="00481504">
            <w:pPr>
              <w:pStyle w:val="BodyText"/>
              <w:spacing w:after="0" w:line="240" w:lineRule="auto"/>
              <w:rPr>
                <w:rFonts w:cs="Times New Roman"/>
                <w:sz w:val="20"/>
                <w:szCs w:val="20"/>
              </w:rPr>
            </w:pPr>
            <w:r>
              <w:rPr>
                <w:rFonts w:cs="Times New Roman"/>
                <w:sz w:val="20"/>
                <w:szCs w:val="20"/>
              </w:rPr>
              <w:t>3. Untreated sullage / faecal sludge and industrial effluents</w:t>
            </w:r>
          </w:p>
        </w:tc>
        <w:tc>
          <w:tcPr>
            <w:tcW w:w="1220" w:type="pct"/>
          </w:tcPr>
          <w:p w:rsidR="00481504" w:rsidRDefault="00481504" w:rsidP="00F77883">
            <w:pPr>
              <w:pStyle w:val="BodyText"/>
              <w:spacing w:after="0" w:line="240" w:lineRule="auto"/>
              <w:jc w:val="both"/>
              <w:rPr>
                <w:rFonts w:cs="Times New Roman"/>
                <w:sz w:val="20"/>
                <w:szCs w:val="20"/>
              </w:rPr>
            </w:pPr>
            <w:r>
              <w:rPr>
                <w:rFonts w:cs="Times New Roman"/>
                <w:sz w:val="20"/>
                <w:szCs w:val="20"/>
              </w:rPr>
              <w:t>Surface / groundwater contamination from dissolved solids and chemicals</w:t>
            </w:r>
          </w:p>
        </w:tc>
        <w:tc>
          <w:tcPr>
            <w:tcW w:w="1169" w:type="pct"/>
          </w:tcPr>
          <w:p w:rsidR="00481504" w:rsidRDefault="00481504" w:rsidP="00F77883">
            <w:pPr>
              <w:pStyle w:val="BodyText"/>
              <w:spacing w:after="0" w:line="240" w:lineRule="auto"/>
              <w:jc w:val="both"/>
              <w:rPr>
                <w:rFonts w:cs="Times New Roman"/>
                <w:sz w:val="20"/>
                <w:szCs w:val="20"/>
              </w:rPr>
            </w:pPr>
            <w:r>
              <w:rPr>
                <w:rFonts w:cs="Times New Roman"/>
                <w:sz w:val="20"/>
                <w:szCs w:val="20"/>
              </w:rPr>
              <w:t>Increasing pollution of surface water and ground water sources</w:t>
            </w:r>
          </w:p>
        </w:tc>
        <w:tc>
          <w:tcPr>
            <w:tcW w:w="1534" w:type="pct"/>
          </w:tcPr>
          <w:p w:rsidR="00481504" w:rsidRDefault="00481504" w:rsidP="00F77883">
            <w:pPr>
              <w:pStyle w:val="BodyText"/>
              <w:spacing w:after="0" w:line="240" w:lineRule="auto"/>
              <w:jc w:val="both"/>
              <w:rPr>
                <w:rFonts w:cs="Times New Roman"/>
                <w:sz w:val="20"/>
                <w:szCs w:val="20"/>
              </w:rPr>
            </w:pPr>
            <w:r>
              <w:rPr>
                <w:rFonts w:cs="Times New Roman"/>
                <w:sz w:val="20"/>
                <w:szCs w:val="20"/>
              </w:rPr>
              <w:t>Environmental and health hazards for all sections of the urban population; agricultural output / horticultural products grown close to urban areas irrigated with contaminated surface and ground water</w:t>
            </w:r>
          </w:p>
        </w:tc>
      </w:tr>
      <w:tr w:rsidR="00C73AAA" w:rsidRPr="006F44F9" w:rsidTr="00667776">
        <w:trPr>
          <w:jc w:val="center"/>
        </w:trPr>
        <w:tc>
          <w:tcPr>
            <w:tcW w:w="1077" w:type="pct"/>
          </w:tcPr>
          <w:p w:rsidR="00C73AAA" w:rsidRDefault="00C73AAA" w:rsidP="00481504">
            <w:pPr>
              <w:pStyle w:val="BodyText"/>
              <w:spacing w:after="0" w:line="240" w:lineRule="auto"/>
              <w:rPr>
                <w:rFonts w:cs="Times New Roman"/>
                <w:sz w:val="20"/>
                <w:szCs w:val="20"/>
              </w:rPr>
            </w:pPr>
            <w:r>
              <w:rPr>
                <w:rFonts w:cs="Times New Roman"/>
                <w:sz w:val="20"/>
                <w:szCs w:val="20"/>
              </w:rPr>
              <w:t>4. Air and noise pollution</w:t>
            </w:r>
          </w:p>
        </w:tc>
        <w:tc>
          <w:tcPr>
            <w:tcW w:w="1220" w:type="pct"/>
          </w:tcPr>
          <w:p w:rsidR="00C73AAA" w:rsidRDefault="00C73AAA" w:rsidP="00F77883">
            <w:pPr>
              <w:pStyle w:val="BodyText"/>
              <w:spacing w:after="0" w:line="240" w:lineRule="auto"/>
              <w:jc w:val="both"/>
              <w:rPr>
                <w:rFonts w:cs="Times New Roman"/>
                <w:sz w:val="20"/>
                <w:szCs w:val="20"/>
              </w:rPr>
            </w:pPr>
            <w:r>
              <w:rPr>
                <w:rFonts w:cs="Times New Roman"/>
                <w:sz w:val="20"/>
                <w:szCs w:val="20"/>
              </w:rPr>
              <w:t>Increasing traffic and traffic jams; increasing emissions and noise pollution</w:t>
            </w:r>
          </w:p>
        </w:tc>
        <w:tc>
          <w:tcPr>
            <w:tcW w:w="1169" w:type="pct"/>
          </w:tcPr>
          <w:p w:rsidR="00C73AAA" w:rsidRDefault="00C73AAA" w:rsidP="00F77883">
            <w:pPr>
              <w:pStyle w:val="BodyText"/>
              <w:spacing w:after="0" w:line="240" w:lineRule="auto"/>
              <w:jc w:val="both"/>
              <w:rPr>
                <w:rFonts w:cs="Times New Roman"/>
                <w:sz w:val="20"/>
                <w:szCs w:val="20"/>
              </w:rPr>
            </w:pPr>
            <w:r>
              <w:rPr>
                <w:rFonts w:cs="Times New Roman"/>
                <w:sz w:val="20"/>
                <w:szCs w:val="20"/>
              </w:rPr>
              <w:t>Further increase in traffic, noise and emissions</w:t>
            </w:r>
          </w:p>
        </w:tc>
        <w:tc>
          <w:tcPr>
            <w:tcW w:w="1534" w:type="pct"/>
          </w:tcPr>
          <w:p w:rsidR="00C73AAA" w:rsidRDefault="00C73AAA" w:rsidP="00F77883">
            <w:pPr>
              <w:pStyle w:val="BodyText"/>
              <w:spacing w:after="0" w:line="240" w:lineRule="auto"/>
              <w:jc w:val="both"/>
              <w:rPr>
                <w:rFonts w:cs="Times New Roman"/>
                <w:sz w:val="20"/>
                <w:szCs w:val="20"/>
              </w:rPr>
            </w:pPr>
            <w:r>
              <w:rPr>
                <w:rFonts w:cs="Times New Roman"/>
                <w:sz w:val="20"/>
                <w:szCs w:val="20"/>
              </w:rPr>
              <w:t>Increase in respiratory illnesses; loss of time sitting in log jams; decline in economic productivity and increasing health costs</w:t>
            </w:r>
          </w:p>
        </w:tc>
      </w:tr>
      <w:tr w:rsidR="00C73AAA" w:rsidRPr="006F44F9" w:rsidTr="00667776">
        <w:trPr>
          <w:jc w:val="center"/>
        </w:trPr>
        <w:tc>
          <w:tcPr>
            <w:tcW w:w="1077" w:type="pct"/>
          </w:tcPr>
          <w:p w:rsidR="00C73AAA" w:rsidRDefault="00C73AAA" w:rsidP="00481504">
            <w:pPr>
              <w:pStyle w:val="BodyText"/>
              <w:spacing w:after="0" w:line="240" w:lineRule="auto"/>
              <w:rPr>
                <w:rFonts w:cs="Times New Roman"/>
                <w:sz w:val="20"/>
                <w:szCs w:val="20"/>
              </w:rPr>
            </w:pPr>
            <w:r>
              <w:rPr>
                <w:rFonts w:cs="Times New Roman"/>
                <w:sz w:val="20"/>
                <w:szCs w:val="20"/>
              </w:rPr>
              <w:t>5. Sea level rise and increasing precipitation</w:t>
            </w:r>
          </w:p>
        </w:tc>
        <w:tc>
          <w:tcPr>
            <w:tcW w:w="1220" w:type="pct"/>
          </w:tcPr>
          <w:p w:rsidR="00C73AAA" w:rsidRDefault="00C73AAA" w:rsidP="00F77883">
            <w:pPr>
              <w:pStyle w:val="BodyText"/>
              <w:spacing w:after="0" w:line="240" w:lineRule="auto"/>
              <w:jc w:val="both"/>
              <w:rPr>
                <w:rFonts w:cs="Times New Roman"/>
                <w:sz w:val="20"/>
                <w:szCs w:val="20"/>
              </w:rPr>
            </w:pPr>
            <w:r>
              <w:rPr>
                <w:rFonts w:cs="Times New Roman"/>
                <w:sz w:val="20"/>
                <w:szCs w:val="20"/>
              </w:rPr>
              <w:t>Higher tides and blocking of receding monsoonal rains (e.g. Chittagong)</w:t>
            </w:r>
          </w:p>
        </w:tc>
        <w:tc>
          <w:tcPr>
            <w:tcW w:w="1169" w:type="pct"/>
          </w:tcPr>
          <w:p w:rsidR="00C73AAA" w:rsidRDefault="00C73AAA" w:rsidP="00F77883">
            <w:pPr>
              <w:pStyle w:val="BodyText"/>
              <w:spacing w:after="0" w:line="240" w:lineRule="auto"/>
              <w:jc w:val="both"/>
              <w:rPr>
                <w:rFonts w:cs="Times New Roman"/>
                <w:sz w:val="20"/>
                <w:szCs w:val="20"/>
              </w:rPr>
            </w:pPr>
            <w:r>
              <w:rPr>
                <w:rFonts w:cs="Times New Roman"/>
                <w:sz w:val="20"/>
                <w:szCs w:val="20"/>
              </w:rPr>
              <w:t>Risk of permanent inundation; increasing flood risks; breakdown of disaster-risk management structures</w:t>
            </w:r>
          </w:p>
        </w:tc>
        <w:tc>
          <w:tcPr>
            <w:tcW w:w="1534" w:type="pct"/>
          </w:tcPr>
          <w:p w:rsidR="00C73AAA" w:rsidRDefault="00C73AAA" w:rsidP="00F77883">
            <w:pPr>
              <w:pStyle w:val="BodyText"/>
              <w:spacing w:after="0" w:line="240" w:lineRule="auto"/>
              <w:jc w:val="both"/>
              <w:rPr>
                <w:rFonts w:cs="Times New Roman"/>
                <w:sz w:val="20"/>
                <w:szCs w:val="20"/>
              </w:rPr>
            </w:pPr>
            <w:r>
              <w:rPr>
                <w:rFonts w:cs="Times New Roman"/>
                <w:sz w:val="20"/>
                <w:szCs w:val="20"/>
              </w:rPr>
              <w:t>Loss of life and property; reduction in economic output and loss of GDP</w:t>
            </w:r>
          </w:p>
        </w:tc>
      </w:tr>
    </w:tbl>
    <w:p w:rsidR="00C0200D" w:rsidRPr="005C1C84" w:rsidRDefault="00667776" w:rsidP="005C1C84">
      <w:pPr>
        <w:pStyle w:val="BodyText"/>
        <w:spacing w:before="120" w:after="240" w:line="276" w:lineRule="auto"/>
        <w:jc w:val="both"/>
        <w:rPr>
          <w:rFonts w:cs="Times New Roman"/>
          <w:sz w:val="18"/>
          <w:szCs w:val="18"/>
        </w:rPr>
      </w:pPr>
      <w:r w:rsidRPr="007141DE">
        <w:rPr>
          <w:rFonts w:cs="Times New Roman"/>
          <w:b/>
          <w:i/>
          <w:sz w:val="18"/>
          <w:szCs w:val="18"/>
        </w:rPr>
        <w:t>Source:</w:t>
      </w:r>
      <w:r>
        <w:rPr>
          <w:rFonts w:cs="Times New Roman"/>
          <w:sz w:val="18"/>
          <w:szCs w:val="18"/>
        </w:rPr>
        <w:t xml:space="preserve"> </w:t>
      </w:r>
      <w:r>
        <w:rPr>
          <w:b/>
          <w:i/>
          <w:sz w:val="20"/>
        </w:rPr>
        <w:t>GED Research</w:t>
      </w:r>
    </w:p>
    <w:p w:rsidR="00F51DCE" w:rsidRDefault="00F51DCE" w:rsidP="00242DB1">
      <w:pPr>
        <w:pStyle w:val="BodyText"/>
        <w:spacing w:after="240" w:line="276" w:lineRule="auto"/>
        <w:jc w:val="both"/>
        <w:rPr>
          <w:rFonts w:cs="Times New Roman"/>
          <w:szCs w:val="24"/>
        </w:rPr>
      </w:pPr>
      <w:r w:rsidRPr="00C75C4F">
        <w:rPr>
          <w:rFonts w:cs="Times New Roman"/>
          <w:b/>
          <w:szCs w:val="24"/>
        </w:rPr>
        <w:t>Long</w:t>
      </w:r>
      <w:r>
        <w:rPr>
          <w:rFonts w:cs="Times New Roman"/>
          <w:b/>
          <w:szCs w:val="24"/>
        </w:rPr>
        <w:t>-</w:t>
      </w:r>
      <w:r w:rsidRPr="00C75C4F">
        <w:rPr>
          <w:rFonts w:cs="Times New Roman"/>
          <w:b/>
          <w:szCs w:val="24"/>
        </w:rPr>
        <w:t>term challenges for urban area hotspot</w:t>
      </w:r>
      <w:r>
        <w:rPr>
          <w:rFonts w:cs="Times New Roman"/>
          <w:szCs w:val="24"/>
        </w:rPr>
        <w:t xml:space="preserve"> from climate change are: sea level rise causing rivers backing up and blocking receding waters from inundated areas in the dry season </w:t>
      </w:r>
      <w:r w:rsidR="00FC5D93">
        <w:rPr>
          <w:rFonts w:cs="Times New Roman"/>
          <w:szCs w:val="24"/>
        </w:rPr>
        <w:t xml:space="preserve">which creates risk of water logging </w:t>
      </w:r>
      <w:r>
        <w:rPr>
          <w:rFonts w:cs="Times New Roman"/>
          <w:szCs w:val="24"/>
        </w:rPr>
        <w:t xml:space="preserve">; land reclamation by filling up natural wetlands and water bodies thus reducing water absorption, storage and flood water holding basins in and around urban areas; sinking groundwater table because of intensive groundwater abstraction leading to insufficient supply of freshwater for growing population in urban areas in dry periods; increasing precipitation with intense and extreme rainfall / storm events and river discharge creating flash </w:t>
      </w:r>
      <w:r>
        <w:rPr>
          <w:rFonts w:cs="Times New Roman"/>
          <w:szCs w:val="24"/>
        </w:rPr>
        <w:lastRenderedPageBreak/>
        <w:t xml:space="preserve">floods in urban areas; increasing effluents and pollution of land and water bodies leading to contamination of ground and surface water and sources of urban areas; and increasing strain and stress of city services and disaster risk management institutions, which will be unable to cope with ever growing in-migration of rural population into urban areas, increasing water borne diseases, flash flood disasters, and a breakdown of infrastructure and communications. </w:t>
      </w:r>
      <w:r w:rsidR="00C73AAA" w:rsidRPr="004B0A08">
        <w:rPr>
          <w:rFonts w:cs="Times New Roman"/>
          <w:i/>
          <w:szCs w:val="24"/>
        </w:rPr>
        <w:t>Addressing these complex challenges in urban areas require concerted and well planned investments in infrastructure and administrative reforms to tackle urban planning, settlements and a long term plan to cope with in-migration into urban areas from rural villages.</w:t>
      </w:r>
      <w:r w:rsidR="00AE4A95">
        <w:rPr>
          <w:rFonts w:cs="Times New Roman"/>
          <w:szCs w:val="24"/>
        </w:rPr>
        <w:t xml:space="preserve"> The urban water supply issues are discussed in depth in Chapter 10.</w:t>
      </w:r>
    </w:p>
    <w:p w:rsidR="00F64A6A" w:rsidRDefault="0029733C" w:rsidP="00F64A6A">
      <w:pPr>
        <w:pStyle w:val="Heading2"/>
        <w:numPr>
          <w:ilvl w:val="0"/>
          <w:numId w:val="0"/>
        </w:numPr>
        <w:ind w:left="720"/>
      </w:pPr>
      <w:bookmarkStart w:id="115" w:name="_Toc474638845"/>
      <w:r w:rsidRPr="008052D3">
        <w:t>Economic Impacts of Climate Change</w:t>
      </w:r>
      <w:bookmarkEnd w:id="115"/>
    </w:p>
    <w:p w:rsidR="00000000" w:rsidRDefault="009938BA" w:rsidP="003D5A31">
      <w:pPr>
        <w:pStyle w:val="BodyText"/>
        <w:numPr>
          <w:ilvl w:val="2"/>
          <w:numId w:val="236"/>
        </w:numPr>
        <w:spacing w:after="240" w:line="276" w:lineRule="auto"/>
        <w:jc w:val="both"/>
        <w:rPr>
          <w:rFonts w:cs="Times New Roman"/>
          <w:b/>
          <w:szCs w:val="24"/>
        </w:rPr>
      </w:pPr>
      <w:r w:rsidRPr="009938BA">
        <w:rPr>
          <w:rFonts w:cs="Times New Roman"/>
          <w:b/>
          <w:szCs w:val="24"/>
        </w:rPr>
        <w:t>Aggregative Economic Costs</w:t>
      </w:r>
    </w:p>
    <w:p w:rsidR="00A36A5D" w:rsidRDefault="00A36A5D" w:rsidP="00A36A5D">
      <w:pPr>
        <w:pStyle w:val="BodyText"/>
        <w:spacing w:after="240" w:line="276" w:lineRule="auto"/>
        <w:jc w:val="both"/>
        <w:rPr>
          <w:rFonts w:cs="Times New Roman"/>
          <w:szCs w:val="24"/>
        </w:rPr>
      </w:pPr>
      <w:r>
        <w:rPr>
          <w:rFonts w:cs="Times New Roman"/>
          <w:szCs w:val="24"/>
        </w:rPr>
        <w:t xml:space="preserve">Climate change and its ramifications are central to the vision of sustained development of the Bangladesh Delta. It raises critical issues for long-term planning in addressing resource constraints and gaps across regions and across time. </w:t>
      </w:r>
      <w:r w:rsidRPr="00D43720">
        <w:rPr>
          <w:rFonts w:cs="Times New Roman"/>
          <w:szCs w:val="24"/>
        </w:rPr>
        <w:t>According to Nicholas Stern (</w:t>
      </w:r>
      <w:r>
        <w:rPr>
          <w:rFonts w:cs="Times New Roman"/>
          <w:szCs w:val="24"/>
        </w:rPr>
        <w:t xml:space="preserve">Stern Review </w:t>
      </w:r>
      <w:r w:rsidRPr="00D43720">
        <w:rPr>
          <w:rFonts w:cs="Times New Roman"/>
          <w:szCs w:val="24"/>
        </w:rPr>
        <w:t>2007), climate change presents a unique challenge for economics: it is the greatest and widest-ranging market failure ever seen</w:t>
      </w:r>
      <w:r>
        <w:rPr>
          <w:rStyle w:val="FootnoteReference"/>
          <w:rFonts w:cs="Times New Roman"/>
          <w:szCs w:val="24"/>
        </w:rPr>
        <w:footnoteReference w:id="3"/>
      </w:r>
      <w:r w:rsidRPr="00D43720">
        <w:rPr>
          <w:rFonts w:cs="Times New Roman"/>
          <w:szCs w:val="24"/>
        </w:rPr>
        <w:t>.</w:t>
      </w:r>
      <w:r w:rsidRPr="007E71CB">
        <w:rPr>
          <w:rFonts w:cs="Times New Roman"/>
          <w:szCs w:val="24"/>
        </w:rPr>
        <w:t xml:space="preserve"> The science of</w:t>
      </w:r>
      <w:r>
        <w:rPr>
          <w:rFonts w:cs="Times New Roman"/>
          <w:szCs w:val="24"/>
        </w:rPr>
        <w:t xml:space="preserve"> climate change means that it is a very different form of externality from the types commonly analyzed in economics. Climate change has special features that, together, pose particular challenges for the standard theory of externalities owing to the following: (a) climate change is an externality that is global in both its causes and consequences; (b) the impacts of climate change are persistent and develop over time; once in the atmosphere, some GHGs stay there for hundreds of years; (c) the uncertainties are considerable, about size, type, and timing of impacts; so the framework of analyses used must be able to handle risk and uncertainty; and (d) the impacts are likely to have a significant impact on the global economy if action is not taken to prevent climate change. </w:t>
      </w:r>
    </w:p>
    <w:p w:rsidR="00DA1E41" w:rsidRPr="00A1679C" w:rsidRDefault="00A36A5D" w:rsidP="00A1679C">
      <w:pPr>
        <w:pStyle w:val="BodyText"/>
        <w:spacing w:after="240" w:line="276" w:lineRule="auto"/>
        <w:jc w:val="both"/>
        <w:rPr>
          <w:rFonts w:cs="Times New Roman"/>
          <w:szCs w:val="24"/>
        </w:rPr>
      </w:pPr>
      <w:r>
        <w:rPr>
          <w:rFonts w:cs="Times New Roman"/>
          <w:szCs w:val="24"/>
        </w:rPr>
        <w:t>E</w:t>
      </w:r>
      <w:r w:rsidRPr="00747FA2">
        <w:rPr>
          <w:rFonts w:cs="Times New Roman"/>
          <w:szCs w:val="24"/>
        </w:rPr>
        <w:t xml:space="preserve">conomists </w:t>
      </w:r>
      <w:r>
        <w:rPr>
          <w:rFonts w:cs="Times New Roman"/>
          <w:szCs w:val="24"/>
        </w:rPr>
        <w:t>describe h</w:t>
      </w:r>
      <w:r w:rsidRPr="00747FA2">
        <w:rPr>
          <w:rFonts w:cs="Times New Roman"/>
          <w:szCs w:val="24"/>
        </w:rPr>
        <w:t xml:space="preserve">uman-induced </w:t>
      </w:r>
      <w:r>
        <w:rPr>
          <w:rFonts w:cs="Times New Roman"/>
          <w:szCs w:val="24"/>
        </w:rPr>
        <w:t xml:space="preserve">(anthropogenic) </w:t>
      </w:r>
      <w:r w:rsidRPr="00747FA2">
        <w:rPr>
          <w:rFonts w:cs="Times New Roman"/>
          <w:szCs w:val="24"/>
        </w:rPr>
        <w:t>climate change as an “externality</w:t>
      </w:r>
      <w:r>
        <w:rPr>
          <w:rFonts w:cs="Times New Roman"/>
          <w:szCs w:val="24"/>
        </w:rPr>
        <w:t>”</w:t>
      </w:r>
      <w:r w:rsidRPr="00747FA2">
        <w:rPr>
          <w:rFonts w:cs="Times New Roman"/>
          <w:szCs w:val="24"/>
        </w:rPr>
        <w:t xml:space="preserve">, with largely negative implications for economies and societies. </w:t>
      </w:r>
      <w:r>
        <w:rPr>
          <w:rFonts w:cs="Times New Roman"/>
          <w:szCs w:val="24"/>
        </w:rPr>
        <w:t xml:space="preserve">Economic losses from climate change have to be </w:t>
      </w:r>
      <w:r w:rsidRPr="00E01431">
        <w:rPr>
          <w:rFonts w:cs="Times New Roman"/>
          <w:szCs w:val="24"/>
        </w:rPr>
        <w:t>posit</w:t>
      </w:r>
      <w:r>
        <w:rPr>
          <w:rFonts w:cs="Times New Roman"/>
          <w:szCs w:val="24"/>
        </w:rPr>
        <w:t xml:space="preserve">ed against </w:t>
      </w:r>
      <w:r w:rsidRPr="00E01431">
        <w:rPr>
          <w:rFonts w:cs="Times New Roman"/>
          <w:szCs w:val="24"/>
        </w:rPr>
        <w:t>co</w:t>
      </w:r>
      <w:r>
        <w:rPr>
          <w:rFonts w:cs="Times New Roman"/>
          <w:szCs w:val="24"/>
        </w:rPr>
        <w:t xml:space="preserve">sts of adaptation or mitigation. The </w:t>
      </w:r>
      <w:r w:rsidRPr="00E01431">
        <w:rPr>
          <w:rFonts w:cs="Times New Roman"/>
          <w:szCs w:val="24"/>
        </w:rPr>
        <w:t xml:space="preserve">Stern </w:t>
      </w:r>
      <w:r>
        <w:rPr>
          <w:rFonts w:cs="Times New Roman"/>
          <w:szCs w:val="24"/>
        </w:rPr>
        <w:t>R</w:t>
      </w:r>
      <w:r w:rsidRPr="00E01431">
        <w:rPr>
          <w:rFonts w:cs="Times New Roman"/>
          <w:szCs w:val="24"/>
        </w:rPr>
        <w:t xml:space="preserve">eview finds convincingly that the costs </w:t>
      </w:r>
      <w:r>
        <w:rPr>
          <w:rFonts w:cs="Times New Roman"/>
          <w:szCs w:val="24"/>
        </w:rPr>
        <w:t xml:space="preserve">of adaptation and mitigation </w:t>
      </w:r>
      <w:r w:rsidRPr="00E01431">
        <w:rPr>
          <w:rFonts w:cs="Times New Roman"/>
          <w:szCs w:val="24"/>
        </w:rPr>
        <w:t xml:space="preserve">are way below the estimated GDP losses and other human costs associated with </w:t>
      </w:r>
      <w:r>
        <w:rPr>
          <w:rFonts w:cs="Times New Roman"/>
          <w:szCs w:val="24"/>
        </w:rPr>
        <w:t>climate change. A</w:t>
      </w:r>
      <w:r w:rsidRPr="00E01431">
        <w:rPr>
          <w:rFonts w:cs="Times New Roman"/>
          <w:szCs w:val="24"/>
        </w:rPr>
        <w:t xml:space="preserve">t this point </w:t>
      </w:r>
      <w:r>
        <w:rPr>
          <w:rFonts w:cs="Times New Roman"/>
          <w:szCs w:val="24"/>
        </w:rPr>
        <w:t xml:space="preserve">there may not be a clear </w:t>
      </w:r>
      <w:r w:rsidRPr="00E01431">
        <w:rPr>
          <w:rFonts w:cs="Times New Roman"/>
          <w:szCs w:val="24"/>
        </w:rPr>
        <w:t>idea of what it w</w:t>
      </w:r>
      <w:r>
        <w:rPr>
          <w:rFonts w:cs="Times New Roman"/>
          <w:szCs w:val="24"/>
        </w:rPr>
        <w:t xml:space="preserve">ould </w:t>
      </w:r>
      <w:r w:rsidRPr="00E01431">
        <w:rPr>
          <w:rFonts w:cs="Times New Roman"/>
          <w:szCs w:val="24"/>
        </w:rPr>
        <w:t>cost to do a proactive ad</w:t>
      </w:r>
      <w:r>
        <w:rPr>
          <w:rFonts w:cs="Times New Roman"/>
          <w:szCs w:val="24"/>
        </w:rPr>
        <w:t xml:space="preserve">aptation and mitigation programme.  </w:t>
      </w:r>
      <w:r w:rsidR="00296C5A">
        <w:rPr>
          <w:rFonts w:cs="Times New Roman"/>
          <w:szCs w:val="24"/>
        </w:rPr>
        <w:t xml:space="preserve">A rough estimate of the kind of costs involved in adaptation and mitigation can be gathered from a </w:t>
      </w:r>
      <w:r w:rsidR="00296C5A" w:rsidRPr="00E01431">
        <w:rPr>
          <w:rFonts w:cs="Times New Roman"/>
          <w:szCs w:val="24"/>
        </w:rPr>
        <w:t>S</w:t>
      </w:r>
      <w:r w:rsidR="00296C5A">
        <w:rPr>
          <w:rFonts w:cs="Times New Roman"/>
          <w:szCs w:val="24"/>
        </w:rPr>
        <w:t xml:space="preserve">outh </w:t>
      </w:r>
      <w:r w:rsidR="00296C5A" w:rsidRPr="00E01431">
        <w:rPr>
          <w:rFonts w:cs="Times New Roman"/>
          <w:szCs w:val="24"/>
        </w:rPr>
        <w:t>Asia</w:t>
      </w:r>
      <w:r w:rsidR="00296C5A">
        <w:rPr>
          <w:rFonts w:cs="Times New Roman"/>
          <w:szCs w:val="24"/>
        </w:rPr>
        <w:t>n study (ADB 2014).  Also</w:t>
      </w:r>
      <w:r>
        <w:rPr>
          <w:rFonts w:cs="Times New Roman"/>
          <w:szCs w:val="24"/>
        </w:rPr>
        <w:t>, the Bangladesh Climate Change Strategy and Action Plan (</w:t>
      </w:r>
      <w:r w:rsidRPr="00E01431">
        <w:rPr>
          <w:rFonts w:cs="Times New Roman"/>
          <w:szCs w:val="24"/>
        </w:rPr>
        <w:t>BCCSAP 2009</w:t>
      </w:r>
      <w:r>
        <w:rPr>
          <w:rFonts w:cs="Times New Roman"/>
          <w:szCs w:val="24"/>
        </w:rPr>
        <w:t xml:space="preserve">) provides a list of </w:t>
      </w:r>
      <w:r w:rsidRPr="00E01431">
        <w:rPr>
          <w:rFonts w:cs="Times New Roman"/>
          <w:szCs w:val="24"/>
        </w:rPr>
        <w:t>programmes</w:t>
      </w:r>
      <w:r>
        <w:rPr>
          <w:rFonts w:cs="Times New Roman"/>
          <w:szCs w:val="24"/>
        </w:rPr>
        <w:t xml:space="preserve"> that need to be undertaken</w:t>
      </w:r>
      <w:r w:rsidR="00296C5A">
        <w:rPr>
          <w:rFonts w:cs="Times New Roman"/>
          <w:szCs w:val="24"/>
        </w:rPr>
        <w:t xml:space="preserve">.  </w:t>
      </w:r>
      <w:r w:rsidR="00314A8E">
        <w:rPr>
          <w:rFonts w:cs="Times New Roman"/>
          <w:szCs w:val="24"/>
        </w:rPr>
        <w:t>Table 1.24</w:t>
      </w:r>
      <w:r>
        <w:rPr>
          <w:rFonts w:cs="Times New Roman"/>
          <w:szCs w:val="24"/>
        </w:rPr>
        <w:t xml:space="preserve"> presents annual average </w:t>
      </w:r>
      <w:r>
        <w:rPr>
          <w:rFonts w:cs="Times New Roman"/>
          <w:szCs w:val="24"/>
        </w:rPr>
        <w:lastRenderedPageBreak/>
        <w:t>cost between 2010 and 2050 and the range of estimates within the 90% confidence interval, both in terms of absolute monetary values and as a percentage of GDP.</w:t>
      </w:r>
    </w:p>
    <w:p w:rsidR="002066E1" w:rsidRDefault="002066E1">
      <w:pPr>
        <w:rPr>
          <w:rFonts w:cs="Times New Roman"/>
          <w:b/>
          <w:bCs/>
          <w:szCs w:val="24"/>
        </w:rPr>
      </w:pPr>
      <w:r>
        <w:br w:type="page"/>
      </w:r>
    </w:p>
    <w:p w:rsidR="00A36A5D" w:rsidRPr="001864C2" w:rsidRDefault="00A36A5D" w:rsidP="00944687">
      <w:pPr>
        <w:pStyle w:val="Heading4"/>
      </w:pPr>
      <w:bookmarkStart w:id="116" w:name="_Toc474638995"/>
      <w:r w:rsidRPr="001864C2">
        <w:lastRenderedPageBreak/>
        <w:t xml:space="preserve">Table </w:t>
      </w:r>
      <w:r>
        <w:t>1.</w:t>
      </w:r>
      <w:r w:rsidR="00162737">
        <w:t>24</w:t>
      </w:r>
      <w:r w:rsidRPr="001864C2">
        <w:t xml:space="preserve">: Annual Average </w:t>
      </w:r>
      <w:r w:rsidR="00FC5D93">
        <w:t xml:space="preserve">Climate Change </w:t>
      </w:r>
      <w:r w:rsidRPr="001864C2">
        <w:t xml:space="preserve">Adaptation Cost during 2010 </w:t>
      </w:r>
      <w:r w:rsidR="00FC5D93">
        <w:t>-</w:t>
      </w:r>
      <w:r w:rsidRPr="001864C2">
        <w:t xml:space="preserve"> 2050 for South Asia</w:t>
      </w:r>
      <w:bookmarkEnd w:id="116"/>
    </w:p>
    <w:p w:rsidR="00A36A5D" w:rsidRDefault="00A36A5D" w:rsidP="00A36A5D">
      <w:pPr>
        <w:pStyle w:val="BodyText"/>
        <w:spacing w:after="0" w:line="240" w:lineRule="auto"/>
        <w:jc w:val="both"/>
        <w:rPr>
          <w:rFonts w:cs="Times New Roman"/>
          <w:szCs w:val="24"/>
        </w:rPr>
      </w:pPr>
      <w:r>
        <w:rPr>
          <w:rFonts w:cs="Times New Roman"/>
          <w:noProof/>
          <w:szCs w:val="24"/>
          <w:lang w:val="en-AU" w:eastAsia="en-AU" w:bidi="bn-BD"/>
        </w:rPr>
        <w:drawing>
          <wp:inline distT="0" distB="0" distL="0" distR="0">
            <wp:extent cx="5715000" cy="3140765"/>
            <wp:effectExtent l="19050" t="19050" r="19050" b="21590"/>
            <wp:docPr id="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483" cy="3151472"/>
                    </a:xfrm>
                    <a:prstGeom prst="rect">
                      <a:avLst/>
                    </a:prstGeom>
                    <a:noFill/>
                    <a:ln w="12700">
                      <a:solidFill>
                        <a:schemeClr val="tx1"/>
                      </a:solidFill>
                    </a:ln>
                  </pic:spPr>
                </pic:pic>
              </a:graphicData>
            </a:graphic>
          </wp:inline>
        </w:drawing>
      </w:r>
    </w:p>
    <w:p w:rsidR="00A36A5D" w:rsidRPr="00EC607D" w:rsidRDefault="00A36A5D" w:rsidP="00A36A5D">
      <w:pPr>
        <w:pStyle w:val="BodyText"/>
        <w:spacing w:before="120" w:after="240" w:line="276" w:lineRule="auto"/>
        <w:jc w:val="both"/>
        <w:rPr>
          <w:rFonts w:cs="Times New Roman"/>
          <w:b/>
          <w:i/>
          <w:sz w:val="20"/>
          <w:szCs w:val="18"/>
        </w:rPr>
      </w:pPr>
      <w:r w:rsidRPr="00EC607D">
        <w:rPr>
          <w:rFonts w:cs="Times New Roman"/>
          <w:b/>
          <w:i/>
          <w:sz w:val="20"/>
          <w:szCs w:val="18"/>
        </w:rPr>
        <w:t xml:space="preserve">Source:  </w:t>
      </w:r>
      <w:r>
        <w:rPr>
          <w:rFonts w:cs="Times New Roman"/>
          <w:b/>
          <w:i/>
          <w:sz w:val="20"/>
          <w:szCs w:val="18"/>
        </w:rPr>
        <w:t xml:space="preserve">ADB:  </w:t>
      </w:r>
      <w:r w:rsidRPr="00EC607D">
        <w:rPr>
          <w:rFonts w:cs="Times New Roman"/>
          <w:b/>
          <w:i/>
          <w:sz w:val="20"/>
          <w:szCs w:val="18"/>
        </w:rPr>
        <w:t>Assessing the Costs of Climate Change and Adaptation in South Asia, 2014</w:t>
      </w:r>
    </w:p>
    <w:p w:rsidR="00A36A5D" w:rsidRPr="008D2F6B" w:rsidRDefault="00A36A5D" w:rsidP="00A36A5D">
      <w:pPr>
        <w:pStyle w:val="BodyText"/>
        <w:spacing w:after="240" w:line="276" w:lineRule="auto"/>
        <w:jc w:val="both"/>
        <w:rPr>
          <w:rFonts w:cs="Times New Roman"/>
          <w:szCs w:val="24"/>
        </w:rPr>
      </w:pPr>
      <w:r>
        <w:rPr>
          <w:rFonts w:cs="Times New Roman"/>
          <w:szCs w:val="24"/>
        </w:rPr>
        <w:t xml:space="preserve">To summarize, climate change impacts are aggravatingly increasing year-on-year; under business-as-usual (BAU-1) scenario, which refers to a 6.9°C temperature rise and a 1.1 meter sea level rise by 2100 (worst case scenario), the cost of damage from sea level rise, drought and dry periods, increasing night temperatures, and extreme events such as intensive precipitation, extremely high wind speeds during cyclones, and storm surges could rise </w:t>
      </w:r>
      <w:r w:rsidR="00FC5D93">
        <w:rPr>
          <w:rFonts w:cs="Times New Roman"/>
          <w:szCs w:val="24"/>
        </w:rPr>
        <w:t>upto 2.29%</w:t>
      </w:r>
      <w:r>
        <w:rPr>
          <w:rFonts w:cs="Times New Roman"/>
          <w:szCs w:val="24"/>
        </w:rPr>
        <w:t xml:space="preserve"> of GDP per annum taking in account clim</w:t>
      </w:r>
      <w:r w:rsidR="00845D4E">
        <w:rPr>
          <w:rFonts w:cs="Times New Roman"/>
          <w:szCs w:val="24"/>
        </w:rPr>
        <w:t>ate uncertainties. To avoid BAU, at the COP21 meeting in Paris in December 2015, the global community</w:t>
      </w:r>
      <w:r>
        <w:rPr>
          <w:rFonts w:cs="Times New Roman"/>
          <w:szCs w:val="24"/>
        </w:rPr>
        <w:t xml:space="preserve"> committed to </w:t>
      </w:r>
      <w:r w:rsidRPr="00747FA2">
        <w:rPr>
          <w:rFonts w:cs="Times New Roman"/>
          <w:szCs w:val="24"/>
        </w:rPr>
        <w:t>strong action</w:t>
      </w:r>
      <w:r>
        <w:rPr>
          <w:rFonts w:cs="Times New Roman"/>
          <w:szCs w:val="24"/>
        </w:rPr>
        <w:t>s</w:t>
      </w:r>
      <w:r w:rsidRPr="00747FA2">
        <w:rPr>
          <w:rFonts w:cs="Times New Roman"/>
          <w:szCs w:val="24"/>
        </w:rPr>
        <w:t xml:space="preserve"> to reduce greenhouse</w:t>
      </w:r>
      <w:r w:rsidR="00845D4E">
        <w:rPr>
          <w:rFonts w:cs="Times New Roman"/>
          <w:szCs w:val="24"/>
        </w:rPr>
        <w:t xml:space="preserve"> gas emissions and </w:t>
      </w:r>
      <w:r>
        <w:rPr>
          <w:rFonts w:cs="Times New Roman"/>
          <w:szCs w:val="24"/>
        </w:rPr>
        <w:t xml:space="preserve">cap global warming to 2°C. Adapting to a lower temperature under the Copenhagen-Cancun (and now Paris) scenario (C-C-2) by 2050 could bring the cost of adaptation </w:t>
      </w:r>
      <w:r w:rsidR="006F4651">
        <w:rPr>
          <w:rFonts w:cs="Times New Roman"/>
          <w:szCs w:val="24"/>
        </w:rPr>
        <w:t xml:space="preserve">down to $31 billion per annum. </w:t>
      </w:r>
    </w:p>
    <w:p w:rsidR="00D7044C" w:rsidRPr="00D7044C" w:rsidRDefault="00D63129" w:rsidP="00D7044C">
      <w:pPr>
        <w:pStyle w:val="BodyText"/>
        <w:spacing w:after="240" w:line="276" w:lineRule="auto"/>
        <w:jc w:val="both"/>
        <w:rPr>
          <w:rFonts w:cs="Times New Roman"/>
          <w:b/>
          <w:szCs w:val="24"/>
        </w:rPr>
      </w:pPr>
      <w:r>
        <w:rPr>
          <w:rFonts w:cs="Times New Roman"/>
          <w:szCs w:val="28"/>
        </w:rPr>
        <w:t xml:space="preserve">In Bangladesh </w:t>
      </w:r>
      <w:r w:rsidR="00FC5D93">
        <w:rPr>
          <w:rFonts w:cs="Times New Roman"/>
          <w:szCs w:val="28"/>
        </w:rPr>
        <w:t xml:space="preserve">case, </w:t>
      </w:r>
      <w:r>
        <w:rPr>
          <w:rFonts w:cs="Times New Roman"/>
          <w:szCs w:val="28"/>
        </w:rPr>
        <w:t xml:space="preserve">annual GDP loss could range from 1.6% for moderate climate change to over 2% of GDP for extreme climate change.  </w:t>
      </w:r>
      <w:r w:rsidR="00A36A5D">
        <w:rPr>
          <w:rFonts w:cs="Times New Roman"/>
          <w:szCs w:val="24"/>
        </w:rPr>
        <w:t>Bangladesh, a signatory to the COP21 declaration, is also committed to do its share in restraining GHG emissions and adopting strategies for spread of green energy. W</w:t>
      </w:r>
      <w:r w:rsidR="00A36A5D" w:rsidRPr="00747FA2">
        <w:rPr>
          <w:rFonts w:cs="Times New Roman"/>
          <w:szCs w:val="24"/>
        </w:rPr>
        <w:t xml:space="preserve">ith good policies the costs of action </w:t>
      </w:r>
      <w:r w:rsidR="00A36A5D">
        <w:rPr>
          <w:rFonts w:cs="Times New Roman"/>
          <w:szCs w:val="24"/>
        </w:rPr>
        <w:t xml:space="preserve">to mitigate environmental impacts of climate change </w:t>
      </w:r>
      <w:r w:rsidR="00A36A5D" w:rsidRPr="00747FA2">
        <w:rPr>
          <w:rFonts w:cs="Times New Roman"/>
          <w:szCs w:val="24"/>
        </w:rPr>
        <w:t xml:space="preserve">need not be prohibitive and would be much </w:t>
      </w:r>
      <w:r>
        <w:rPr>
          <w:rFonts w:cs="Times New Roman"/>
          <w:szCs w:val="24"/>
        </w:rPr>
        <w:t xml:space="preserve">smaller, </w:t>
      </w:r>
      <w:r w:rsidR="00A36A5D">
        <w:rPr>
          <w:rFonts w:cs="Times New Roman"/>
          <w:szCs w:val="24"/>
        </w:rPr>
        <w:t xml:space="preserve">which provides the logical inference for Bangladesh that </w:t>
      </w:r>
      <w:r w:rsidR="00A36A5D" w:rsidRPr="00B8682C">
        <w:rPr>
          <w:rFonts w:cs="Times New Roman"/>
          <w:szCs w:val="24"/>
        </w:rPr>
        <w:t>t</w:t>
      </w:r>
      <w:r w:rsidR="00A36A5D" w:rsidRPr="00983136">
        <w:rPr>
          <w:rFonts w:cs="Times New Roman"/>
          <w:szCs w:val="24"/>
        </w:rPr>
        <w:t xml:space="preserve">he benefits of strong, early action on climate change outweigh the costs. </w:t>
      </w:r>
    </w:p>
    <w:p w:rsidR="00757596" w:rsidRDefault="00757596">
      <w:pPr>
        <w:rPr>
          <w:rFonts w:cs="Times New Roman"/>
          <w:b/>
          <w:szCs w:val="24"/>
        </w:rPr>
      </w:pPr>
      <w:r>
        <w:rPr>
          <w:rFonts w:cs="Times New Roman"/>
          <w:b/>
          <w:szCs w:val="24"/>
        </w:rPr>
        <w:br w:type="page"/>
      </w:r>
    </w:p>
    <w:p w:rsidR="00000000" w:rsidRDefault="00CE4AC3" w:rsidP="003D5A31">
      <w:pPr>
        <w:pStyle w:val="BodyText"/>
        <w:numPr>
          <w:ilvl w:val="2"/>
          <w:numId w:val="236"/>
        </w:numPr>
        <w:spacing w:after="240" w:line="276" w:lineRule="auto"/>
        <w:ind w:left="0" w:firstLine="0"/>
        <w:jc w:val="both"/>
        <w:rPr>
          <w:rFonts w:cs="Times New Roman"/>
          <w:b/>
          <w:szCs w:val="24"/>
        </w:rPr>
      </w:pPr>
      <w:r>
        <w:rPr>
          <w:rFonts w:cs="Times New Roman"/>
          <w:b/>
          <w:szCs w:val="24"/>
        </w:rPr>
        <w:lastRenderedPageBreak/>
        <w:t>Sectoral Effects</w:t>
      </w:r>
    </w:p>
    <w:p w:rsidR="00CE4AC3" w:rsidRDefault="004264A4" w:rsidP="00242DB1">
      <w:pPr>
        <w:pStyle w:val="BodyText"/>
        <w:spacing w:after="240" w:line="276" w:lineRule="auto"/>
        <w:jc w:val="both"/>
        <w:rPr>
          <w:rFonts w:cs="Times New Roman"/>
          <w:szCs w:val="24"/>
        </w:rPr>
      </w:pPr>
      <w:r w:rsidRPr="00590C53">
        <w:rPr>
          <w:rFonts w:cs="Times New Roman"/>
          <w:b/>
          <w:szCs w:val="24"/>
        </w:rPr>
        <w:t>Agriculture</w:t>
      </w:r>
      <w:r w:rsidR="008052D3">
        <w:rPr>
          <w:rFonts w:cs="Times New Roman"/>
          <w:b/>
          <w:szCs w:val="24"/>
        </w:rPr>
        <w:t>:</w:t>
      </w:r>
      <w:r w:rsidRPr="00501AAD">
        <w:rPr>
          <w:rFonts w:cs="Times New Roman"/>
          <w:szCs w:val="24"/>
        </w:rPr>
        <w:t xml:space="preserve"> A rise of 1°C–2°C in combination with lower solar radiation causes sterility in the rice spikelet. High temperature reduces yields of high-yielding varieties of aus, aman, and boro rice</w:t>
      </w:r>
      <w:r>
        <w:rPr>
          <w:rFonts w:cs="Times New Roman"/>
          <w:szCs w:val="24"/>
        </w:rPr>
        <w:t xml:space="preserve">. </w:t>
      </w:r>
      <w:r w:rsidRPr="00501AAD">
        <w:rPr>
          <w:rFonts w:cs="Times New Roman"/>
          <w:szCs w:val="24"/>
        </w:rPr>
        <w:t xml:space="preserve">Climate change, especially in temperature, humidity, and radiation, increases the incidence of insect pests, diseases, and </w:t>
      </w:r>
      <w:r w:rsidR="004E362F" w:rsidRPr="00501AAD">
        <w:rPr>
          <w:rFonts w:cs="Times New Roman"/>
          <w:szCs w:val="24"/>
        </w:rPr>
        <w:t>microorganisms.</w:t>
      </w:r>
      <w:r w:rsidR="004E362F" w:rsidRPr="00AB23E3">
        <w:rPr>
          <w:rFonts w:cs="Times New Roman"/>
          <w:szCs w:val="24"/>
        </w:rPr>
        <w:t xml:space="preserve"> Simulation</w:t>
      </w:r>
      <w:r w:rsidRPr="00AB23E3">
        <w:rPr>
          <w:rFonts w:cs="Times New Roman"/>
          <w:szCs w:val="24"/>
        </w:rPr>
        <w:t xml:space="preserve"> studies predict about 17% decline in overall rice production and as high as 61% decline in wheat production compared with the baseline situation. The highest impact would be on wheat followed by rice (aus variety). </w:t>
      </w:r>
      <w:r>
        <w:rPr>
          <w:rFonts w:cs="Times New Roman"/>
          <w:szCs w:val="24"/>
        </w:rPr>
        <w:t>By 2050, t</w:t>
      </w:r>
      <w:r w:rsidRPr="00AB23E3">
        <w:rPr>
          <w:rFonts w:cs="Times New Roman"/>
          <w:szCs w:val="24"/>
        </w:rPr>
        <w:t xml:space="preserve">his </w:t>
      </w:r>
      <w:r>
        <w:rPr>
          <w:rFonts w:cs="Times New Roman"/>
          <w:szCs w:val="24"/>
        </w:rPr>
        <w:t xml:space="preserve">could lead </w:t>
      </w:r>
      <w:r w:rsidRPr="00AB23E3">
        <w:rPr>
          <w:rFonts w:cs="Times New Roman"/>
          <w:szCs w:val="24"/>
        </w:rPr>
        <w:t xml:space="preserve">to a reduction </w:t>
      </w:r>
      <w:r>
        <w:rPr>
          <w:rFonts w:cs="Times New Roman"/>
          <w:szCs w:val="24"/>
        </w:rPr>
        <w:t>in</w:t>
      </w:r>
      <w:r w:rsidRPr="00AB23E3">
        <w:rPr>
          <w:rFonts w:cs="Times New Roman"/>
          <w:szCs w:val="24"/>
        </w:rPr>
        <w:t xml:space="preserve"> 4.5 million </w:t>
      </w:r>
      <w:r w:rsidR="00FE6385">
        <w:rPr>
          <w:rFonts w:cs="Times New Roman"/>
          <w:szCs w:val="24"/>
        </w:rPr>
        <w:t>tonne</w:t>
      </w:r>
      <w:r w:rsidRPr="00AB23E3">
        <w:rPr>
          <w:rFonts w:cs="Times New Roman"/>
          <w:szCs w:val="24"/>
        </w:rPr>
        <w:t xml:space="preserve">s of rice </w:t>
      </w:r>
      <w:r>
        <w:rPr>
          <w:rFonts w:cs="Times New Roman"/>
          <w:szCs w:val="24"/>
        </w:rPr>
        <w:t xml:space="preserve">output </w:t>
      </w:r>
      <w:r w:rsidRPr="00AB23E3">
        <w:rPr>
          <w:rFonts w:cs="Times New Roman"/>
          <w:szCs w:val="24"/>
        </w:rPr>
        <w:t>at the 2002 level of production. Of the three varieties of</w:t>
      </w:r>
      <w:r>
        <w:rPr>
          <w:rFonts w:cs="Times New Roman"/>
          <w:szCs w:val="24"/>
        </w:rPr>
        <w:t xml:space="preserve"> rice grown in Bangladesh, </w:t>
      </w:r>
      <w:r w:rsidR="003507C6">
        <w:rPr>
          <w:rFonts w:cs="Times New Roman"/>
          <w:szCs w:val="24"/>
        </w:rPr>
        <w:t xml:space="preserve">aus </w:t>
      </w:r>
      <w:r w:rsidR="003507C6" w:rsidRPr="00AB23E3">
        <w:rPr>
          <w:rFonts w:cs="Times New Roman"/>
          <w:szCs w:val="24"/>
        </w:rPr>
        <w:t>rice</w:t>
      </w:r>
      <w:r w:rsidRPr="00AB23E3">
        <w:rPr>
          <w:rFonts w:cs="Times New Roman"/>
          <w:szCs w:val="24"/>
        </w:rPr>
        <w:t xml:space="preserve"> seems to be the most vulnerable.</w:t>
      </w:r>
      <w:r>
        <w:rPr>
          <w:rFonts w:cs="Times New Roman"/>
          <w:szCs w:val="24"/>
        </w:rPr>
        <w:t xml:space="preserve"> Simulations using another model</w:t>
      </w:r>
      <w:r w:rsidR="002B6F90">
        <w:rPr>
          <w:rStyle w:val="FootnoteReference"/>
          <w:rFonts w:cs="Times New Roman"/>
          <w:szCs w:val="24"/>
        </w:rPr>
        <w:footnoteReference w:id="4"/>
      </w:r>
      <w:r w:rsidRPr="00590C53">
        <w:rPr>
          <w:rFonts w:cs="Times New Roman"/>
          <w:szCs w:val="24"/>
        </w:rPr>
        <w:t>projecting existing cropping patterns into the future, a temperature increase of 4</w:t>
      </w:r>
      <w:r w:rsidRPr="00501AAD">
        <w:rPr>
          <w:rFonts w:cs="Times New Roman"/>
          <w:szCs w:val="24"/>
        </w:rPr>
        <w:t>°C</w:t>
      </w:r>
      <w:r w:rsidRPr="00590C53">
        <w:rPr>
          <w:rFonts w:cs="Times New Roman"/>
          <w:szCs w:val="24"/>
        </w:rPr>
        <w:t xml:space="preserve"> would cause significant decrease in production: some 28% for rice and 68% for wheat. An apparent fertilization effect due to doubling of atmospheric concentration of CO2 may result in an overall 20% increase in rice production; however, a 60% moisture stress on top of other effects might cause a decline in boro yield as high as 32%. It is feared that moisture stress would be more intense during the dry season, which might force farmers to reduce the area under boro cultivation. The associated shortfall in food grain production would severely threaten food security. </w:t>
      </w:r>
    </w:p>
    <w:p w:rsidR="004264A4" w:rsidRDefault="004264A4" w:rsidP="00242DB1">
      <w:pPr>
        <w:pStyle w:val="BodyText"/>
        <w:spacing w:after="240" w:line="276" w:lineRule="auto"/>
        <w:jc w:val="both"/>
        <w:rPr>
          <w:rFonts w:cs="Times New Roman"/>
          <w:szCs w:val="24"/>
        </w:rPr>
      </w:pPr>
      <w:r w:rsidRPr="00590C53">
        <w:rPr>
          <w:rFonts w:cs="Times New Roman"/>
          <w:szCs w:val="24"/>
        </w:rPr>
        <w:t>Under a moderate climate change scenario the crop loss due to salinity intrusion could be about 0.2 millio</w:t>
      </w:r>
      <w:r w:rsidR="00CF0F04">
        <w:rPr>
          <w:rFonts w:cs="Times New Roman"/>
          <w:szCs w:val="24"/>
        </w:rPr>
        <w:t xml:space="preserve">n </w:t>
      </w:r>
      <w:r w:rsidR="00FE6385">
        <w:rPr>
          <w:rFonts w:cs="Times New Roman"/>
          <w:szCs w:val="24"/>
        </w:rPr>
        <w:t>tonne</w:t>
      </w:r>
      <w:r w:rsidR="00CF0F04">
        <w:rPr>
          <w:rFonts w:cs="Times New Roman"/>
          <w:szCs w:val="24"/>
        </w:rPr>
        <w:t>s</w:t>
      </w:r>
      <w:r w:rsidRPr="00590C53">
        <w:rPr>
          <w:rFonts w:cs="Times New Roman"/>
          <w:szCs w:val="24"/>
        </w:rPr>
        <w:t xml:space="preserve">. The loss of production due to such </w:t>
      </w:r>
      <w:r w:rsidR="004E362F" w:rsidRPr="00590C53">
        <w:rPr>
          <w:rFonts w:cs="Times New Roman"/>
          <w:szCs w:val="24"/>
        </w:rPr>
        <w:t>effects may</w:t>
      </w:r>
      <w:r w:rsidRPr="00590C53">
        <w:rPr>
          <w:rFonts w:cs="Times New Roman"/>
          <w:szCs w:val="24"/>
        </w:rPr>
        <w:t xml:space="preserve"> be higher than that under </w:t>
      </w:r>
      <w:r w:rsidR="004E362F" w:rsidRPr="00590C53">
        <w:rPr>
          <w:rFonts w:cs="Times New Roman"/>
          <w:szCs w:val="24"/>
        </w:rPr>
        <w:t>floods.</w:t>
      </w:r>
      <w:r w:rsidR="004E362F" w:rsidRPr="00F34080">
        <w:rPr>
          <w:rFonts w:cs="Times New Roman"/>
          <w:szCs w:val="24"/>
        </w:rPr>
        <w:t xml:space="preserve"> Bangladesh</w:t>
      </w:r>
      <w:r>
        <w:rPr>
          <w:rFonts w:cs="Times New Roman"/>
          <w:szCs w:val="24"/>
        </w:rPr>
        <w:t xml:space="preserve"> is </w:t>
      </w:r>
      <w:r w:rsidRPr="00F34080">
        <w:rPr>
          <w:rFonts w:cs="Times New Roman"/>
          <w:szCs w:val="24"/>
        </w:rPr>
        <w:t xml:space="preserve">projected to be vulnerable to </w:t>
      </w:r>
      <w:r>
        <w:rPr>
          <w:rFonts w:cs="Times New Roman"/>
          <w:szCs w:val="24"/>
        </w:rPr>
        <w:t xml:space="preserve">increasing temperature and CO2 </w:t>
      </w:r>
      <w:r w:rsidRPr="00F34080">
        <w:rPr>
          <w:rFonts w:cs="Times New Roman"/>
          <w:szCs w:val="24"/>
        </w:rPr>
        <w:t>level,</w:t>
      </w:r>
      <w:r>
        <w:rPr>
          <w:rFonts w:cs="Times New Roman"/>
          <w:szCs w:val="24"/>
        </w:rPr>
        <w:t xml:space="preserve"> which could result in </w:t>
      </w:r>
      <w:r w:rsidRPr="00F34080">
        <w:rPr>
          <w:rFonts w:cs="Times New Roman"/>
          <w:szCs w:val="24"/>
        </w:rPr>
        <w:t>a decline in rice yield of as much as 23% by 2080.</w:t>
      </w:r>
      <w:r w:rsidR="002B6F90">
        <w:rPr>
          <w:rFonts w:cs="Times New Roman"/>
          <w:szCs w:val="24"/>
        </w:rPr>
        <w:t xml:space="preserve"> </w:t>
      </w:r>
      <w:r w:rsidRPr="00BD3CBD">
        <w:rPr>
          <w:rFonts w:cs="Times New Roman"/>
          <w:szCs w:val="24"/>
        </w:rPr>
        <w:t>Simulations show that under the BAU scenario, due to the reduction in yield, paddy production would fall by 1.60% in 2050 and 5.05% in 2100. The decline in paddy yield due to climate change will bring a negative impact on real GDP of Bangladesh by 0.67% in 2050 and 0.93% in 2100 under the BAU scenario. Given the high prevalence of poverty, food security in the country is closely linked to “rice security.” A fall in rice production would increase its price, which would then place upward pressure on the overall consumer price index (CPI) of the economy (i.e.</w:t>
      </w:r>
      <w:r>
        <w:rPr>
          <w:rFonts w:cs="Times New Roman"/>
          <w:szCs w:val="24"/>
        </w:rPr>
        <w:t xml:space="preserve"> resulting in a </w:t>
      </w:r>
      <w:r w:rsidRPr="00BD3CBD">
        <w:rPr>
          <w:rFonts w:cs="Times New Roman"/>
          <w:szCs w:val="24"/>
        </w:rPr>
        <w:t xml:space="preserve">decrease in household real consumption). This would put additional pressure on the government in </w:t>
      </w:r>
      <w:r>
        <w:rPr>
          <w:rFonts w:cs="Times New Roman"/>
          <w:szCs w:val="24"/>
        </w:rPr>
        <w:t>ensuring</w:t>
      </w:r>
      <w:r w:rsidRPr="00BD3CBD">
        <w:rPr>
          <w:rFonts w:cs="Times New Roman"/>
          <w:szCs w:val="24"/>
        </w:rPr>
        <w:t xml:space="preserve"> the country’s long-</w:t>
      </w:r>
      <w:r w:rsidR="004E362F" w:rsidRPr="00BD3CBD">
        <w:rPr>
          <w:rFonts w:cs="Times New Roman"/>
          <w:szCs w:val="24"/>
        </w:rPr>
        <w:t>term food</w:t>
      </w:r>
      <w:r w:rsidRPr="00BD3CBD">
        <w:rPr>
          <w:rFonts w:cs="Times New Roman"/>
          <w:szCs w:val="24"/>
        </w:rPr>
        <w:t xml:space="preserve"> security.</w:t>
      </w:r>
    </w:p>
    <w:p w:rsidR="004264A4" w:rsidRDefault="004264A4" w:rsidP="00242DB1">
      <w:pPr>
        <w:pStyle w:val="BodyText"/>
        <w:spacing w:after="240" w:line="276" w:lineRule="auto"/>
        <w:jc w:val="both"/>
        <w:rPr>
          <w:rFonts w:cs="Times New Roman"/>
          <w:szCs w:val="24"/>
        </w:rPr>
      </w:pPr>
      <w:r w:rsidRPr="00590C53">
        <w:rPr>
          <w:rFonts w:cs="Times New Roman"/>
          <w:b/>
          <w:szCs w:val="24"/>
        </w:rPr>
        <w:t>Health</w:t>
      </w:r>
      <w:r w:rsidR="008052D3">
        <w:rPr>
          <w:rFonts w:cs="Times New Roman"/>
          <w:b/>
          <w:szCs w:val="24"/>
        </w:rPr>
        <w:t>:</w:t>
      </w:r>
      <w:r w:rsidRPr="00590C53">
        <w:rPr>
          <w:rFonts w:cs="Times New Roman"/>
          <w:szCs w:val="24"/>
        </w:rPr>
        <w:t xml:space="preserve"> In Bangladesh, additional morbidity per year from dengue due to climate change by 2090 under the B1 scenario could reach 23,876 persons and dengue fatalities 314, and higher under the other two </w:t>
      </w:r>
      <w:r w:rsidRPr="00E6357C">
        <w:rPr>
          <w:rFonts w:cs="Times New Roman"/>
          <w:szCs w:val="24"/>
        </w:rPr>
        <w:t>scenarios.</w:t>
      </w:r>
      <w:r w:rsidRPr="00590C53">
        <w:rPr>
          <w:rFonts w:cs="Times New Roman"/>
          <w:szCs w:val="24"/>
        </w:rPr>
        <w:t xml:space="preserve"> The number of cases would be slightly higher during the monsoon months than in winter. The annual morbidity from malaria by 2090 could increase to 440,000 persons and fatalities could reach 2,525 with the A2 scenario though less under the other scenarios. Water-borne diseases, such as diarrhea and dysentery, and vector-borne diseases, such </w:t>
      </w:r>
      <w:r w:rsidRPr="00590C53">
        <w:rPr>
          <w:rFonts w:cs="Times New Roman"/>
          <w:szCs w:val="24"/>
        </w:rPr>
        <w:lastRenderedPageBreak/>
        <w:t>as malaria and dengue, are climate sensitive. Climatic factors like temperature and precipitation are considered to be the key determinants of the distribution of many disease-carrying vectors.</w:t>
      </w:r>
    </w:p>
    <w:p w:rsidR="00F479DB" w:rsidRDefault="00162737" w:rsidP="00242DB1">
      <w:pPr>
        <w:pStyle w:val="BodyText"/>
        <w:spacing w:after="240" w:line="276" w:lineRule="auto"/>
        <w:jc w:val="both"/>
        <w:rPr>
          <w:rFonts w:cs="Times New Roman"/>
          <w:szCs w:val="24"/>
        </w:rPr>
      </w:pPr>
      <w:r>
        <w:rPr>
          <w:rFonts w:cs="Times New Roman"/>
          <w:b/>
          <w:szCs w:val="24"/>
        </w:rPr>
        <w:t>Sea level rise and p</w:t>
      </w:r>
      <w:r w:rsidR="004264A4" w:rsidRPr="000C5CB6">
        <w:rPr>
          <w:rFonts w:cs="Times New Roman"/>
          <w:b/>
          <w:szCs w:val="24"/>
        </w:rPr>
        <w:t xml:space="preserve">ermanent </w:t>
      </w:r>
      <w:r w:rsidR="00EB2DC9">
        <w:rPr>
          <w:rFonts w:cs="Times New Roman"/>
          <w:b/>
          <w:szCs w:val="24"/>
        </w:rPr>
        <w:t>i</w:t>
      </w:r>
      <w:r w:rsidR="00EB2DC9" w:rsidRPr="000C5CB6">
        <w:rPr>
          <w:rFonts w:cs="Times New Roman"/>
          <w:b/>
          <w:szCs w:val="24"/>
        </w:rPr>
        <w:t>nundation</w:t>
      </w:r>
      <w:r w:rsidR="008052D3">
        <w:rPr>
          <w:rFonts w:cs="Times New Roman"/>
          <w:b/>
          <w:szCs w:val="24"/>
        </w:rPr>
        <w:t>:</w:t>
      </w:r>
      <w:r w:rsidR="004E362F" w:rsidRPr="00C56357">
        <w:rPr>
          <w:rFonts w:cs="Times New Roman"/>
          <w:szCs w:val="24"/>
        </w:rPr>
        <w:t xml:space="preserve"> </w:t>
      </w:r>
      <w:r w:rsidR="004264A4">
        <w:rPr>
          <w:rFonts w:cs="Times New Roman"/>
          <w:szCs w:val="24"/>
        </w:rPr>
        <w:t xml:space="preserve">At a 1m SLR a significant part of dryland in Bangladesh will be permanently inundated; </w:t>
      </w:r>
      <w:r w:rsidR="004264A4" w:rsidRPr="0007679D">
        <w:rPr>
          <w:rFonts w:cs="Times New Roman"/>
          <w:szCs w:val="24"/>
        </w:rPr>
        <w:t xml:space="preserve">the fall in production in all sectors in the economy due to the land quantity shock would lead to a fall in real GDP. Under the BAU scenario, real GDP would fall by 0.73% in 2030 and by up to 0.93% in 2100. </w:t>
      </w:r>
    </w:p>
    <w:p w:rsidR="004264A4" w:rsidRDefault="00162737" w:rsidP="00242DB1">
      <w:pPr>
        <w:pStyle w:val="BodyText"/>
        <w:spacing w:after="240" w:line="276" w:lineRule="auto"/>
        <w:jc w:val="both"/>
        <w:rPr>
          <w:rFonts w:cs="Times New Roman"/>
          <w:szCs w:val="24"/>
        </w:rPr>
      </w:pPr>
      <w:r>
        <w:rPr>
          <w:rFonts w:cs="Times New Roman"/>
          <w:b/>
          <w:szCs w:val="24"/>
        </w:rPr>
        <w:t>Impact on i</w:t>
      </w:r>
      <w:r w:rsidR="004264A4" w:rsidRPr="003F7484">
        <w:rPr>
          <w:rFonts w:cs="Times New Roman"/>
          <w:b/>
          <w:szCs w:val="24"/>
        </w:rPr>
        <w:t>nfrastructure</w:t>
      </w:r>
      <w:r w:rsidR="008052D3">
        <w:rPr>
          <w:rFonts w:cs="Times New Roman"/>
          <w:szCs w:val="24"/>
        </w:rPr>
        <w:t>:</w:t>
      </w:r>
      <w:r w:rsidR="004264A4" w:rsidRPr="003F7484">
        <w:rPr>
          <w:rFonts w:cs="Times New Roman"/>
          <w:szCs w:val="24"/>
        </w:rPr>
        <w:t xml:space="preserve"> Climate change and the resultant floods and cyclones will have a significant impact on infrastructure in Bangladesh. In the absence of any exact estimates of the projected loss on infrastructure, it is assumed in the BGD</w:t>
      </w:r>
      <w:r w:rsidR="003507C6">
        <w:rPr>
          <w:rFonts w:cs="Times New Roman"/>
          <w:szCs w:val="24"/>
        </w:rPr>
        <w:t xml:space="preserve"> </w:t>
      </w:r>
      <w:r w:rsidR="003507C6" w:rsidRPr="003F7484">
        <w:rPr>
          <w:rFonts w:cs="Times New Roman"/>
          <w:szCs w:val="24"/>
        </w:rPr>
        <w:t>Din</w:t>
      </w:r>
      <w:r w:rsidR="004264A4" w:rsidRPr="003F7484">
        <w:rPr>
          <w:rFonts w:cs="Times New Roman"/>
          <w:szCs w:val="24"/>
        </w:rPr>
        <w:t xml:space="preserve"> CGE model that due to the impact of climate change, the capital stock in the construction sector would be depleted by 0.05% annually until 2100. Simulation shows that the infrastructure shock would have a negative impact on all sectors in the economy. In general, larger impacts would be observed in the industrial and services sectors and the magnitude of these negative effects would intensify beyond the end of the century. A negative shock on infrastructure as a result of climate change would have serious negative impacts on the overall economy of Bangladesh. The sectors closely linked to the construction sector, such as forestry, cement, metals, and mining, </w:t>
      </w:r>
      <w:r w:rsidR="004E362F" w:rsidRPr="003F7484">
        <w:rPr>
          <w:rFonts w:cs="Times New Roman"/>
          <w:szCs w:val="24"/>
        </w:rPr>
        <w:t>would experience</w:t>
      </w:r>
      <w:r w:rsidR="004264A4" w:rsidRPr="003F7484">
        <w:rPr>
          <w:rFonts w:cs="Times New Roman"/>
          <w:szCs w:val="24"/>
        </w:rPr>
        <w:t xml:space="preserve"> large falls in production. Real GDP would continue to fall </w:t>
      </w:r>
      <w:r w:rsidR="003053D6">
        <w:rPr>
          <w:rFonts w:cs="Times New Roman"/>
          <w:szCs w:val="24"/>
        </w:rPr>
        <w:t>i</w:t>
      </w:r>
      <w:r w:rsidR="004264A4" w:rsidRPr="003F7484">
        <w:rPr>
          <w:rFonts w:cs="Times New Roman"/>
          <w:szCs w:val="24"/>
        </w:rPr>
        <w:t xml:space="preserve">n 2030 and in 2100. Currently, the poor status of infrastructural development is already a serious binding constraint to realizing growth target. </w:t>
      </w:r>
    </w:p>
    <w:p w:rsidR="004264A4" w:rsidRDefault="008052D3" w:rsidP="00242DB1">
      <w:pPr>
        <w:pStyle w:val="BodyText"/>
        <w:spacing w:after="240" w:line="276" w:lineRule="auto"/>
        <w:jc w:val="both"/>
        <w:rPr>
          <w:szCs w:val="24"/>
        </w:rPr>
      </w:pPr>
      <w:r>
        <w:rPr>
          <w:rFonts w:cs="Times New Roman"/>
          <w:b/>
          <w:szCs w:val="24"/>
        </w:rPr>
        <w:t>Energy:</w:t>
      </w:r>
      <w:r w:rsidR="004264A4" w:rsidRPr="000C5CB6">
        <w:rPr>
          <w:rFonts w:cs="Times New Roman"/>
          <w:b/>
          <w:szCs w:val="24"/>
        </w:rPr>
        <w:t xml:space="preserve"> </w:t>
      </w:r>
      <w:r w:rsidR="004264A4" w:rsidRPr="00201A40">
        <w:rPr>
          <w:rFonts w:cs="Times New Roman"/>
          <w:szCs w:val="24"/>
        </w:rPr>
        <w:t xml:space="preserve">Every 1% of GDP growth is estimated to lead to a growth of 1.4% in electricity demand in a typical developing country. For a 5%–6% typical annual economic growth rate, this would imply a need for close to 7%–8% growth in electricity supply. Per capita power generation is about 321 kilowatt hours (kWh) (as of 2013), among the lowest in the world. Close to 40% of the population do not have access </w:t>
      </w:r>
      <w:r w:rsidR="004E362F" w:rsidRPr="00201A40">
        <w:rPr>
          <w:rFonts w:cs="Times New Roman"/>
          <w:szCs w:val="24"/>
        </w:rPr>
        <w:t>to gas</w:t>
      </w:r>
      <w:r w:rsidR="004264A4" w:rsidRPr="00201A40">
        <w:rPr>
          <w:rFonts w:cs="Times New Roman"/>
          <w:szCs w:val="24"/>
        </w:rPr>
        <w:t xml:space="preserve"> and </w:t>
      </w:r>
      <w:r w:rsidR="004E362F" w:rsidRPr="00201A40">
        <w:rPr>
          <w:rFonts w:cs="Times New Roman"/>
          <w:szCs w:val="24"/>
        </w:rPr>
        <w:t>electricity.</w:t>
      </w:r>
      <w:r w:rsidR="004E362F" w:rsidRPr="004F74AC">
        <w:rPr>
          <w:rFonts w:cs="Times New Roman"/>
          <w:szCs w:val="24"/>
        </w:rPr>
        <w:t xml:space="preserve"> Projected</w:t>
      </w:r>
      <w:r w:rsidR="004264A4" w:rsidRPr="004F74AC">
        <w:rPr>
          <w:rFonts w:cs="Times New Roman"/>
          <w:szCs w:val="24"/>
        </w:rPr>
        <w:t xml:space="preserve"> climate change can affect both energy generation (especially hydropower and thermal) and energy demand during hot summer seasons (especially during peak hours). Further, regular cyclones and floods cause power supply failures and infrastructure damages. Energy demand for rural irrigation is an important component in Bangladesh. An increase in drought conditions can have severe impacts on energy demand, as pumping loa</w:t>
      </w:r>
      <w:r w:rsidR="004264A4">
        <w:rPr>
          <w:rFonts w:cs="Times New Roman"/>
          <w:szCs w:val="24"/>
        </w:rPr>
        <w:t>d</w:t>
      </w:r>
      <w:r w:rsidR="004264A4" w:rsidRPr="004F74AC">
        <w:rPr>
          <w:rFonts w:cs="Times New Roman"/>
          <w:szCs w:val="24"/>
        </w:rPr>
        <w:t xml:space="preserve"> rises with falling water tables. Currently, the energy demand–supply gap worsens during irrigation periods, when the system is already suffering from 600–1,200 M</w:t>
      </w:r>
      <w:r w:rsidR="00F479DB">
        <w:rPr>
          <w:rFonts w:cs="Times New Roman"/>
          <w:szCs w:val="24"/>
        </w:rPr>
        <w:t>W of "load shedding"</w:t>
      </w:r>
      <w:r w:rsidR="004264A4" w:rsidRPr="004F74AC">
        <w:rPr>
          <w:rFonts w:cs="Times New Roman"/>
          <w:szCs w:val="24"/>
        </w:rPr>
        <w:t>. This can produce a negative feedback loop where poor farmers, who are economically hit hard due to both the reduced harvest and energy supply shortages</w:t>
      </w:r>
      <w:r w:rsidR="004264A4">
        <w:rPr>
          <w:rFonts w:cs="Times New Roman"/>
          <w:szCs w:val="24"/>
        </w:rPr>
        <w:t xml:space="preserve">. </w:t>
      </w:r>
      <w:r w:rsidR="004264A4" w:rsidRPr="004F74AC">
        <w:rPr>
          <w:szCs w:val="24"/>
        </w:rPr>
        <w:t xml:space="preserve">Climate-induced energy demand for space heating or cooling depends mostly on already </w:t>
      </w:r>
      <w:r w:rsidR="004264A4" w:rsidRPr="004F74AC">
        <w:rPr>
          <w:rFonts w:cs="Times New Roman"/>
          <w:szCs w:val="24"/>
        </w:rPr>
        <w:t xml:space="preserve">existing air- conditioning or heating infrastructure. With 80% of the population </w:t>
      </w:r>
      <w:r w:rsidR="004E362F" w:rsidRPr="004F74AC">
        <w:rPr>
          <w:rFonts w:cs="Times New Roman"/>
          <w:szCs w:val="24"/>
        </w:rPr>
        <w:t>rurally based</w:t>
      </w:r>
      <w:r w:rsidR="004264A4" w:rsidRPr="004F74AC">
        <w:rPr>
          <w:rFonts w:cs="Times New Roman"/>
          <w:szCs w:val="24"/>
        </w:rPr>
        <w:t>, the quantifiable impact on energy demand may be less than in other countries.</w:t>
      </w:r>
      <w:r w:rsidR="00082923">
        <w:rPr>
          <w:rFonts w:cs="Times New Roman"/>
          <w:szCs w:val="24"/>
        </w:rPr>
        <w:t xml:space="preserve"> </w:t>
      </w:r>
      <w:r w:rsidR="004264A4" w:rsidRPr="004F74AC">
        <w:rPr>
          <w:rFonts w:cs="Times New Roman"/>
          <w:szCs w:val="24"/>
        </w:rPr>
        <w:t>However, this means that living conditions of poor people may worsen, as they may have</w:t>
      </w:r>
      <w:r w:rsidR="004264A4" w:rsidRPr="004F74AC">
        <w:rPr>
          <w:szCs w:val="24"/>
        </w:rPr>
        <w:t xml:space="preserve"> to tolerate excessive heat or cold due to climate change</w:t>
      </w:r>
      <w:r w:rsidR="00162331">
        <w:rPr>
          <w:szCs w:val="24"/>
        </w:rPr>
        <w:t xml:space="preserve"> as supply will lag behind</w:t>
      </w:r>
    </w:p>
    <w:p w:rsidR="004264A4" w:rsidRDefault="00162737" w:rsidP="00242DB1">
      <w:pPr>
        <w:pStyle w:val="BodyText"/>
        <w:spacing w:after="240" w:line="276" w:lineRule="auto"/>
        <w:jc w:val="both"/>
        <w:rPr>
          <w:rFonts w:cs="Times New Roman"/>
          <w:szCs w:val="24"/>
        </w:rPr>
      </w:pPr>
      <w:r>
        <w:rPr>
          <w:rFonts w:cs="Times New Roman"/>
          <w:b/>
          <w:szCs w:val="24"/>
        </w:rPr>
        <w:lastRenderedPageBreak/>
        <w:t>Forest and other e</w:t>
      </w:r>
      <w:r w:rsidR="004264A4" w:rsidRPr="000C5CB6">
        <w:rPr>
          <w:rFonts w:cs="Times New Roman"/>
          <w:b/>
          <w:szCs w:val="24"/>
        </w:rPr>
        <w:t>cosystems</w:t>
      </w:r>
      <w:r w:rsidR="005444EB">
        <w:rPr>
          <w:rFonts w:cs="Times New Roman"/>
          <w:b/>
          <w:szCs w:val="24"/>
        </w:rPr>
        <w:t>:</w:t>
      </w:r>
      <w:r w:rsidR="004264A4" w:rsidRPr="00D56376">
        <w:rPr>
          <w:rFonts w:cs="Times New Roman"/>
          <w:szCs w:val="24"/>
        </w:rPr>
        <w:t xml:space="preserve"> Forests provide materials like timber, pulp, pole, </w:t>
      </w:r>
      <w:r w:rsidR="003507C6" w:rsidRPr="00D56376">
        <w:rPr>
          <w:rFonts w:cs="Times New Roman"/>
          <w:szCs w:val="24"/>
        </w:rPr>
        <w:t>fuel wood</w:t>
      </w:r>
      <w:r w:rsidR="004264A4" w:rsidRPr="00D56376">
        <w:rPr>
          <w:rFonts w:cs="Times New Roman"/>
          <w:szCs w:val="24"/>
        </w:rPr>
        <w:t xml:space="preserve">, food, and medicine; habitat </w:t>
      </w:r>
      <w:r w:rsidR="004E362F" w:rsidRPr="00D56376">
        <w:rPr>
          <w:rFonts w:cs="Times New Roman"/>
          <w:szCs w:val="24"/>
        </w:rPr>
        <w:t>for wildlife</w:t>
      </w:r>
      <w:r w:rsidR="004264A4" w:rsidRPr="00D56376">
        <w:rPr>
          <w:rFonts w:cs="Times New Roman"/>
          <w:szCs w:val="24"/>
        </w:rPr>
        <w:t xml:space="preserve">; and a primary base for biodiversity. They also provide oxygen, control or </w:t>
      </w:r>
      <w:r w:rsidR="004E362F" w:rsidRPr="00D56376">
        <w:rPr>
          <w:rFonts w:cs="Times New Roman"/>
          <w:szCs w:val="24"/>
        </w:rPr>
        <w:t>reduce the</w:t>
      </w:r>
      <w:r w:rsidR="004264A4" w:rsidRPr="00D56376">
        <w:rPr>
          <w:rFonts w:cs="Times New Roman"/>
          <w:szCs w:val="24"/>
        </w:rPr>
        <w:t xml:space="preserve"> intensity of the cyclones and tidal surges in the coastal areas of Bangladesh, </w:t>
      </w:r>
      <w:r w:rsidR="004E362F" w:rsidRPr="00D56376">
        <w:rPr>
          <w:rFonts w:cs="Times New Roman"/>
          <w:szCs w:val="24"/>
        </w:rPr>
        <w:t>and influence</w:t>
      </w:r>
      <w:r w:rsidR="004264A4" w:rsidRPr="00D56376">
        <w:rPr>
          <w:rFonts w:cs="Times New Roman"/>
          <w:szCs w:val="24"/>
        </w:rPr>
        <w:t xml:space="preserve"> rainfall and water yield in the river systems. Of the total area of Bangladesh, agricultural land makes up 65% of its geographic surface, forest lands (2.52 million hectares) account for almost 17%</w:t>
      </w:r>
      <w:r w:rsidR="0050419E" w:rsidRPr="00D56376">
        <w:rPr>
          <w:rFonts w:cs="Times New Roman"/>
          <w:szCs w:val="24"/>
        </w:rPr>
        <w:t>, and</w:t>
      </w:r>
      <w:r w:rsidR="004264A4" w:rsidRPr="00D56376">
        <w:rPr>
          <w:rFonts w:cs="Times New Roman"/>
          <w:szCs w:val="24"/>
        </w:rPr>
        <w:t xml:space="preserve"> urban areas are 8%. Water and other land use account for the remaining 10%. Many of the anticipated adverse effects of climate change, such as sea level rise, higher temperatures, and an increase in cyclone intensity, will damage the forest resources of the country, put </w:t>
      </w:r>
      <w:r w:rsidR="004264A4" w:rsidRPr="008052D3">
        <w:rPr>
          <w:rFonts w:cs="Times New Roman"/>
          <w:szCs w:val="24"/>
        </w:rPr>
        <w:t>pressure on many climate-sensitive species, and cause increased erosion and deterioration of soil quality in many upland forested areas. The world largest mangrove forest, the Sundarbans, is extremely vulnerable to climate change. Sea level rise will increase saltwater intrusion and negatively affect the forest. Smith et al. (1998) calculated that a 25 cm sea level rise would result in a 40% mangrove loss. Loucks et al. (2010) predict a 96% decline in tiger habitat in Bangladesh’s Sundarbans mangroves with a 28 cm sea level rise if sedimentation does not increase surface elevations. Considering that the salinity regime inside the forest will significantly change as a consequence of climate change, it has been argued that increased salinity would have discernible adverse impacts on forest regeneration and succession (Khan et al. 2008).</w:t>
      </w:r>
    </w:p>
    <w:p w:rsidR="00F64A6A" w:rsidRDefault="00643447" w:rsidP="00F64A6A">
      <w:pPr>
        <w:pStyle w:val="Heading2"/>
        <w:numPr>
          <w:ilvl w:val="0"/>
          <w:numId w:val="0"/>
        </w:numPr>
        <w:ind w:left="720"/>
      </w:pPr>
      <w:bookmarkStart w:id="117" w:name="_Toc474638846"/>
      <w:r w:rsidRPr="00643447">
        <w:t>Concluding Remarks</w:t>
      </w:r>
      <w:bookmarkEnd w:id="117"/>
    </w:p>
    <w:p w:rsidR="00F77883" w:rsidRDefault="00CE4AC3" w:rsidP="00E96FA7">
      <w:pPr>
        <w:pStyle w:val="BodyText"/>
        <w:spacing w:after="240" w:line="276" w:lineRule="auto"/>
        <w:jc w:val="both"/>
        <w:rPr>
          <w:rFonts w:cs="Times New Roman"/>
          <w:szCs w:val="24"/>
        </w:rPr>
      </w:pPr>
      <w:r>
        <w:rPr>
          <w:rFonts w:cs="Times New Roman"/>
          <w:szCs w:val="24"/>
        </w:rPr>
        <w:t>A summary of the sectoral impacts is provided in Table 1</w:t>
      </w:r>
      <w:r w:rsidR="00314A8E">
        <w:rPr>
          <w:rFonts w:cs="Times New Roman"/>
          <w:szCs w:val="24"/>
        </w:rPr>
        <w:t>.25</w:t>
      </w:r>
      <w:r>
        <w:rPr>
          <w:rFonts w:cs="Times New Roman"/>
          <w:szCs w:val="24"/>
        </w:rPr>
        <w:t xml:space="preserve">. </w:t>
      </w:r>
      <w:r w:rsidR="00162737">
        <w:rPr>
          <w:rFonts w:cs="Times New Roman"/>
          <w:szCs w:val="24"/>
        </w:rPr>
        <w:t>The evidence on aggregative and sectoral losses makes clear that</w:t>
      </w:r>
      <w:r w:rsidR="00643447">
        <w:rPr>
          <w:rFonts w:cs="Times New Roman"/>
          <w:szCs w:val="24"/>
        </w:rPr>
        <w:t xml:space="preserve"> Bangladesh faces serious climate change challenges that have serious welfare implications if unaddressed.  These implications partly related to the quality of life by degrading the environment and damaging the ecological balance. But they also concern reduction of welfare from adverse consequences for loss of production, assets and livelihoods.  The nature and origins of the possible adverse consequences have been discussed in this Chapter. The quantitative effects of climate change for long-term socio-economic outcomes measured in terms of GDP growth, employment a</w:t>
      </w:r>
      <w:r w:rsidR="00F92E85">
        <w:rPr>
          <w:rFonts w:cs="Times New Roman"/>
          <w:szCs w:val="24"/>
        </w:rPr>
        <w:t>nd poverty are discussed in detail in chapter 6 in the context of the various Delta Scenarios.</w:t>
      </w:r>
      <w:r w:rsidR="00643447">
        <w:rPr>
          <w:rFonts w:cs="Times New Roman"/>
          <w:szCs w:val="24"/>
        </w:rPr>
        <w:t xml:space="preserve"> </w:t>
      </w:r>
    </w:p>
    <w:p w:rsidR="00DA1E41" w:rsidRDefault="00DA1E41">
      <w:pPr>
        <w:rPr>
          <w:rFonts w:cs="Times New Roman"/>
          <w:b/>
          <w:bCs/>
          <w:szCs w:val="24"/>
        </w:rPr>
      </w:pPr>
      <w:r>
        <w:br w:type="page"/>
      </w:r>
    </w:p>
    <w:p w:rsidR="002345BE" w:rsidRPr="0029733C" w:rsidRDefault="002345BE" w:rsidP="00845D4E">
      <w:pPr>
        <w:pStyle w:val="Heading4"/>
        <w:spacing w:after="60"/>
        <w:rPr>
          <w:sz w:val="18"/>
        </w:rPr>
      </w:pPr>
      <w:bookmarkStart w:id="118" w:name="_Toc474638996"/>
      <w:r w:rsidRPr="00082923">
        <w:lastRenderedPageBreak/>
        <w:t xml:space="preserve">Table </w:t>
      </w:r>
      <w:r w:rsidR="00D9144F">
        <w:t>1.</w:t>
      </w:r>
      <w:r w:rsidR="005A61E6">
        <w:t>25</w:t>
      </w:r>
      <w:r w:rsidRPr="00082923">
        <w:t xml:space="preserve">: </w:t>
      </w:r>
      <w:r w:rsidR="00E6357C" w:rsidRPr="00082923">
        <w:t xml:space="preserve">Possible </w:t>
      </w:r>
      <w:r w:rsidR="00A36A5D">
        <w:t>Sectoral Impacts of Climate Change</w:t>
      </w:r>
      <w:bookmarkEnd w:id="118"/>
    </w:p>
    <w:tbl>
      <w:tblPr>
        <w:tblStyle w:val="TableGrid"/>
        <w:tblW w:w="0" w:type="auto"/>
        <w:jc w:val="center"/>
        <w:tblLook w:val="04A0"/>
      </w:tblPr>
      <w:tblGrid>
        <w:gridCol w:w="1728"/>
        <w:gridCol w:w="2160"/>
        <w:gridCol w:w="2160"/>
        <w:gridCol w:w="2808"/>
      </w:tblGrid>
      <w:tr w:rsidR="002345BE" w:rsidRPr="0029733C" w:rsidTr="000A360F">
        <w:trPr>
          <w:tblHeader/>
          <w:jc w:val="center"/>
        </w:trPr>
        <w:tc>
          <w:tcPr>
            <w:tcW w:w="1728" w:type="dxa"/>
            <w:tcBorders>
              <w:bottom w:val="single" w:sz="4" w:space="0" w:color="auto"/>
            </w:tcBorders>
          </w:tcPr>
          <w:p w:rsidR="002345BE" w:rsidRPr="0029733C" w:rsidRDefault="00E6357C" w:rsidP="002345BE">
            <w:pPr>
              <w:pStyle w:val="BodyText"/>
              <w:spacing w:after="0" w:line="240" w:lineRule="auto"/>
              <w:jc w:val="center"/>
              <w:rPr>
                <w:rFonts w:cs="Times New Roman"/>
                <w:b/>
                <w:sz w:val="18"/>
                <w:szCs w:val="20"/>
              </w:rPr>
            </w:pPr>
            <w:r w:rsidRPr="0029733C">
              <w:rPr>
                <w:rFonts w:cs="Times New Roman"/>
                <w:b/>
                <w:sz w:val="18"/>
                <w:szCs w:val="20"/>
              </w:rPr>
              <w:t>Sector</w:t>
            </w:r>
            <w:r w:rsidR="004C72F8" w:rsidRPr="0029733C">
              <w:rPr>
                <w:rFonts w:cs="Times New Roman"/>
                <w:b/>
                <w:sz w:val="18"/>
                <w:szCs w:val="20"/>
              </w:rPr>
              <w:t xml:space="preserve"> / Asset</w:t>
            </w:r>
          </w:p>
        </w:tc>
        <w:tc>
          <w:tcPr>
            <w:tcW w:w="2160" w:type="dxa"/>
          </w:tcPr>
          <w:p w:rsidR="002345BE" w:rsidRPr="0029733C" w:rsidRDefault="00E6357C" w:rsidP="00245AB7">
            <w:pPr>
              <w:pStyle w:val="BodyText"/>
              <w:spacing w:after="0" w:line="240" w:lineRule="auto"/>
              <w:jc w:val="center"/>
              <w:rPr>
                <w:rFonts w:cs="Times New Roman"/>
                <w:b/>
                <w:sz w:val="18"/>
                <w:szCs w:val="20"/>
              </w:rPr>
            </w:pPr>
            <w:r w:rsidRPr="0029733C">
              <w:rPr>
                <w:rFonts w:cs="Times New Roman"/>
                <w:b/>
                <w:sz w:val="18"/>
                <w:szCs w:val="20"/>
              </w:rPr>
              <w:t>Climate Change</w:t>
            </w:r>
          </w:p>
        </w:tc>
        <w:tc>
          <w:tcPr>
            <w:tcW w:w="2160" w:type="dxa"/>
          </w:tcPr>
          <w:p w:rsidR="002345BE" w:rsidRPr="0029733C" w:rsidRDefault="007B740F" w:rsidP="002345BE">
            <w:pPr>
              <w:pStyle w:val="BodyText"/>
              <w:spacing w:after="0" w:line="240" w:lineRule="auto"/>
              <w:jc w:val="center"/>
              <w:rPr>
                <w:rFonts w:cs="Times New Roman"/>
                <w:b/>
                <w:sz w:val="18"/>
                <w:szCs w:val="20"/>
              </w:rPr>
            </w:pPr>
            <w:r w:rsidRPr="0029733C">
              <w:rPr>
                <w:rFonts w:cs="Times New Roman"/>
                <w:b/>
                <w:sz w:val="18"/>
                <w:szCs w:val="20"/>
              </w:rPr>
              <w:t>Impact</w:t>
            </w:r>
          </w:p>
        </w:tc>
        <w:tc>
          <w:tcPr>
            <w:tcW w:w="2808" w:type="dxa"/>
          </w:tcPr>
          <w:p w:rsidR="002345BE" w:rsidRPr="0029733C" w:rsidRDefault="007B740F" w:rsidP="007B740F">
            <w:pPr>
              <w:pStyle w:val="BodyText"/>
              <w:spacing w:after="0" w:line="240" w:lineRule="auto"/>
              <w:jc w:val="center"/>
              <w:rPr>
                <w:rFonts w:cs="Times New Roman"/>
                <w:b/>
                <w:sz w:val="18"/>
                <w:szCs w:val="20"/>
              </w:rPr>
            </w:pPr>
            <w:r w:rsidRPr="0029733C">
              <w:rPr>
                <w:rFonts w:cs="Times New Roman"/>
                <w:b/>
                <w:sz w:val="18"/>
                <w:szCs w:val="20"/>
              </w:rPr>
              <w:t>Possible Consequences under BAU</w:t>
            </w:r>
            <w:r w:rsidR="00722DB6" w:rsidRPr="0029733C">
              <w:rPr>
                <w:rFonts w:cs="Times New Roman"/>
                <w:b/>
                <w:sz w:val="18"/>
                <w:szCs w:val="20"/>
              </w:rPr>
              <w:t xml:space="preserve"> scenario</w:t>
            </w:r>
          </w:p>
        </w:tc>
      </w:tr>
      <w:tr w:rsidR="002345BE" w:rsidRPr="0029733C" w:rsidTr="000A360F">
        <w:trPr>
          <w:jc w:val="center"/>
        </w:trPr>
        <w:tc>
          <w:tcPr>
            <w:tcW w:w="1728" w:type="dxa"/>
            <w:tcBorders>
              <w:bottom w:val="single" w:sz="4" w:space="0" w:color="auto"/>
            </w:tcBorders>
          </w:tcPr>
          <w:p w:rsidR="002345BE" w:rsidRPr="0029733C" w:rsidRDefault="002345BE" w:rsidP="00E6357C">
            <w:pPr>
              <w:pStyle w:val="BodyText"/>
              <w:spacing w:after="0" w:line="240" w:lineRule="auto"/>
              <w:rPr>
                <w:rFonts w:cs="Times New Roman"/>
                <w:sz w:val="18"/>
                <w:szCs w:val="20"/>
              </w:rPr>
            </w:pPr>
            <w:r w:rsidRPr="0029733C">
              <w:rPr>
                <w:rFonts w:cs="Times New Roman"/>
                <w:sz w:val="18"/>
                <w:szCs w:val="20"/>
              </w:rPr>
              <w:t xml:space="preserve">1. </w:t>
            </w:r>
            <w:r w:rsidR="00E6357C" w:rsidRPr="0029733C">
              <w:rPr>
                <w:rFonts w:cs="Times New Roman"/>
                <w:sz w:val="18"/>
                <w:szCs w:val="20"/>
              </w:rPr>
              <w:t xml:space="preserve">Agriculture </w:t>
            </w:r>
          </w:p>
        </w:tc>
        <w:tc>
          <w:tcPr>
            <w:tcW w:w="2160" w:type="dxa"/>
          </w:tcPr>
          <w:p w:rsidR="002345BE" w:rsidRPr="0029733C" w:rsidRDefault="00E6357C" w:rsidP="00E6357C">
            <w:pPr>
              <w:pStyle w:val="BodyText"/>
              <w:spacing w:after="0" w:line="240" w:lineRule="auto"/>
              <w:rPr>
                <w:rFonts w:cs="Times New Roman"/>
                <w:sz w:val="18"/>
                <w:szCs w:val="20"/>
              </w:rPr>
            </w:pPr>
            <w:r w:rsidRPr="0029733C">
              <w:rPr>
                <w:rFonts w:cs="Times New Roman"/>
                <w:sz w:val="18"/>
                <w:szCs w:val="20"/>
              </w:rPr>
              <w:t>rise in temperature of 1°C–2°C in combination with lower solar radiation</w:t>
            </w:r>
          </w:p>
        </w:tc>
        <w:tc>
          <w:tcPr>
            <w:tcW w:w="2160" w:type="dxa"/>
          </w:tcPr>
          <w:p w:rsidR="002345BE" w:rsidRPr="0029733C" w:rsidRDefault="007B740F" w:rsidP="002345BE">
            <w:pPr>
              <w:pStyle w:val="BodyText"/>
              <w:spacing w:after="0" w:line="240" w:lineRule="auto"/>
              <w:rPr>
                <w:rFonts w:cs="Times New Roman"/>
                <w:sz w:val="18"/>
                <w:szCs w:val="20"/>
              </w:rPr>
            </w:pPr>
            <w:r w:rsidRPr="0029733C">
              <w:rPr>
                <w:rFonts w:cs="Times New Roman"/>
                <w:sz w:val="18"/>
                <w:szCs w:val="20"/>
              </w:rPr>
              <w:t>sterility in the rice spikelet; reduces yields of high-yielding varieties of aus, aman, and boro rice; incidence of insect pests, diseases, and microorganisms</w:t>
            </w:r>
          </w:p>
        </w:tc>
        <w:tc>
          <w:tcPr>
            <w:tcW w:w="2808" w:type="dxa"/>
          </w:tcPr>
          <w:p w:rsidR="002345BE" w:rsidRPr="0029733C" w:rsidRDefault="007B740F" w:rsidP="007B740F">
            <w:pPr>
              <w:pStyle w:val="BodyText"/>
              <w:spacing w:after="0" w:line="240" w:lineRule="auto"/>
              <w:rPr>
                <w:rFonts w:cs="Times New Roman"/>
                <w:sz w:val="18"/>
                <w:szCs w:val="20"/>
              </w:rPr>
            </w:pPr>
            <w:r w:rsidRPr="0029733C">
              <w:rPr>
                <w:rFonts w:cs="Times New Roman"/>
                <w:sz w:val="18"/>
                <w:szCs w:val="20"/>
              </w:rPr>
              <w:t xml:space="preserve">about 17% decline in overall rice production and as high as 61% decline in wheat production compared with the baseline; By 2050, a reduction in 4.5 million </w:t>
            </w:r>
            <w:r w:rsidR="00FE6385">
              <w:rPr>
                <w:rFonts w:cs="Times New Roman"/>
                <w:sz w:val="18"/>
                <w:szCs w:val="20"/>
              </w:rPr>
              <w:t>tonne</w:t>
            </w:r>
            <w:r w:rsidRPr="0029733C">
              <w:rPr>
                <w:rFonts w:cs="Times New Roman"/>
                <w:sz w:val="18"/>
                <w:szCs w:val="20"/>
              </w:rPr>
              <w:t>s of rice output at the 2002 level of production.</w:t>
            </w:r>
          </w:p>
        </w:tc>
      </w:tr>
      <w:tr w:rsidR="007B740F" w:rsidRPr="0029733C" w:rsidTr="000A360F">
        <w:trPr>
          <w:jc w:val="center"/>
        </w:trPr>
        <w:tc>
          <w:tcPr>
            <w:tcW w:w="1728" w:type="dxa"/>
            <w:tcBorders>
              <w:top w:val="single" w:sz="4" w:space="0" w:color="auto"/>
              <w:bottom w:val="nil"/>
            </w:tcBorders>
          </w:tcPr>
          <w:p w:rsidR="007B740F" w:rsidRPr="0029733C" w:rsidRDefault="007B740F" w:rsidP="002345BE">
            <w:pPr>
              <w:pStyle w:val="BodyText"/>
              <w:spacing w:after="0" w:line="240" w:lineRule="auto"/>
              <w:rPr>
                <w:rFonts w:cs="Times New Roman"/>
                <w:sz w:val="18"/>
                <w:szCs w:val="20"/>
              </w:rPr>
            </w:pPr>
          </w:p>
        </w:tc>
        <w:tc>
          <w:tcPr>
            <w:tcW w:w="2160" w:type="dxa"/>
          </w:tcPr>
          <w:p w:rsidR="007B740F" w:rsidRPr="0029733C" w:rsidRDefault="007B740F" w:rsidP="002345BE">
            <w:pPr>
              <w:pStyle w:val="BodyText"/>
              <w:spacing w:after="0" w:line="240" w:lineRule="auto"/>
              <w:rPr>
                <w:rFonts w:cs="Times New Roman"/>
                <w:sz w:val="18"/>
                <w:szCs w:val="20"/>
              </w:rPr>
            </w:pPr>
            <w:r w:rsidRPr="0029733C">
              <w:rPr>
                <w:rFonts w:cs="Times New Roman"/>
                <w:sz w:val="18"/>
                <w:szCs w:val="20"/>
              </w:rPr>
              <w:t>temperature increase of 4°C</w:t>
            </w:r>
          </w:p>
        </w:tc>
        <w:tc>
          <w:tcPr>
            <w:tcW w:w="2160" w:type="dxa"/>
          </w:tcPr>
          <w:p w:rsidR="007B740F" w:rsidRPr="0029733C" w:rsidRDefault="007B740F" w:rsidP="002345BE">
            <w:pPr>
              <w:pStyle w:val="BodyText"/>
              <w:spacing w:after="0" w:line="240" w:lineRule="auto"/>
              <w:rPr>
                <w:rFonts w:cs="Times New Roman"/>
                <w:sz w:val="18"/>
                <w:szCs w:val="20"/>
              </w:rPr>
            </w:pPr>
            <w:r w:rsidRPr="0029733C">
              <w:rPr>
                <w:rFonts w:cs="Times New Roman"/>
                <w:sz w:val="18"/>
                <w:szCs w:val="20"/>
              </w:rPr>
              <w:t>apparent fertilization effect due to doubling of atmospheric concentration of CO</w:t>
            </w:r>
            <w:r w:rsidRPr="000E0679">
              <w:rPr>
                <w:rFonts w:cs="Times New Roman"/>
                <w:sz w:val="18"/>
                <w:szCs w:val="20"/>
                <w:vertAlign w:val="subscript"/>
              </w:rPr>
              <w:t>2</w:t>
            </w:r>
            <w:r w:rsidRPr="0029733C">
              <w:rPr>
                <w:rFonts w:cs="Times New Roman"/>
                <w:sz w:val="18"/>
                <w:szCs w:val="20"/>
              </w:rPr>
              <w:t xml:space="preserve"> may result in an overall 20% increase in rice production; however, a 60% moisture stress on top of other effects might cause a decline in boro yield as high as 32%.</w:t>
            </w:r>
          </w:p>
        </w:tc>
        <w:tc>
          <w:tcPr>
            <w:tcW w:w="2808" w:type="dxa"/>
          </w:tcPr>
          <w:p w:rsidR="007B740F" w:rsidRPr="0029733C" w:rsidRDefault="007B740F" w:rsidP="007B740F">
            <w:pPr>
              <w:pStyle w:val="BodyText"/>
              <w:spacing w:after="0" w:line="240" w:lineRule="auto"/>
              <w:rPr>
                <w:rFonts w:cs="Times New Roman"/>
                <w:sz w:val="18"/>
                <w:szCs w:val="20"/>
              </w:rPr>
            </w:pPr>
            <w:r w:rsidRPr="0029733C">
              <w:rPr>
                <w:rFonts w:cs="Times New Roman"/>
                <w:sz w:val="18"/>
                <w:szCs w:val="20"/>
              </w:rPr>
              <w:t>decrease in production by some 28% for rice and 68% for wheat</w:t>
            </w:r>
            <w:r w:rsidR="00722DB6" w:rsidRPr="0029733C">
              <w:rPr>
                <w:rFonts w:cs="Times New Roman"/>
                <w:sz w:val="18"/>
                <w:szCs w:val="20"/>
              </w:rPr>
              <w:t>;</w:t>
            </w:r>
          </w:p>
          <w:p w:rsidR="00722DB6" w:rsidRPr="0029733C" w:rsidRDefault="00722DB6" w:rsidP="007B740F">
            <w:pPr>
              <w:pStyle w:val="BodyText"/>
              <w:spacing w:after="0" w:line="240" w:lineRule="auto"/>
              <w:rPr>
                <w:rFonts w:cs="Times New Roman"/>
                <w:sz w:val="18"/>
                <w:szCs w:val="20"/>
              </w:rPr>
            </w:pPr>
            <w:r w:rsidRPr="0029733C">
              <w:rPr>
                <w:rFonts w:cs="Times New Roman"/>
                <w:sz w:val="18"/>
                <w:szCs w:val="20"/>
              </w:rPr>
              <w:t>decline in paddy production by 1.60% in 2050 and 5.05% in 2100;</w:t>
            </w:r>
          </w:p>
          <w:p w:rsidR="00722DB6" w:rsidRPr="0029733C" w:rsidRDefault="00722DB6" w:rsidP="007B740F">
            <w:pPr>
              <w:pStyle w:val="BodyText"/>
              <w:spacing w:after="0" w:line="240" w:lineRule="auto"/>
              <w:rPr>
                <w:rFonts w:cs="Times New Roman"/>
                <w:sz w:val="18"/>
                <w:szCs w:val="20"/>
              </w:rPr>
            </w:pPr>
            <w:r w:rsidRPr="0029733C">
              <w:rPr>
                <w:rFonts w:cs="Times New Roman"/>
                <w:sz w:val="18"/>
                <w:szCs w:val="20"/>
              </w:rPr>
              <w:t>negative impact on real GDP by 0.67% in 2050 and 0.93% in 2100</w:t>
            </w:r>
          </w:p>
        </w:tc>
      </w:tr>
      <w:tr w:rsidR="002C050E" w:rsidRPr="006F44F9" w:rsidTr="000A360F">
        <w:trPr>
          <w:jc w:val="center"/>
        </w:trPr>
        <w:tc>
          <w:tcPr>
            <w:tcW w:w="1728" w:type="dxa"/>
            <w:tcBorders>
              <w:top w:val="nil"/>
            </w:tcBorders>
          </w:tcPr>
          <w:p w:rsidR="002C050E" w:rsidRDefault="002C050E" w:rsidP="002345BE">
            <w:pPr>
              <w:pStyle w:val="BodyText"/>
              <w:spacing w:after="0" w:line="240" w:lineRule="auto"/>
              <w:rPr>
                <w:rFonts w:cs="Times New Roman"/>
                <w:sz w:val="20"/>
                <w:szCs w:val="20"/>
              </w:rPr>
            </w:pPr>
          </w:p>
        </w:tc>
        <w:tc>
          <w:tcPr>
            <w:tcW w:w="2160" w:type="dxa"/>
          </w:tcPr>
          <w:p w:rsidR="002C050E" w:rsidRPr="002C050E" w:rsidRDefault="002C050E" w:rsidP="002345BE">
            <w:pPr>
              <w:pStyle w:val="BodyText"/>
              <w:spacing w:after="0" w:line="240" w:lineRule="auto"/>
              <w:rPr>
                <w:rFonts w:cs="Times New Roman"/>
                <w:sz w:val="20"/>
                <w:szCs w:val="20"/>
              </w:rPr>
            </w:pPr>
            <w:r w:rsidRPr="002C050E">
              <w:rPr>
                <w:rFonts w:cs="Times New Roman"/>
                <w:sz w:val="20"/>
                <w:szCs w:val="20"/>
              </w:rPr>
              <w:t>salinity intrusion under moderate SLR</w:t>
            </w:r>
          </w:p>
        </w:tc>
        <w:tc>
          <w:tcPr>
            <w:tcW w:w="2160" w:type="dxa"/>
          </w:tcPr>
          <w:p w:rsidR="002C050E" w:rsidRPr="00F14E63" w:rsidRDefault="002C050E" w:rsidP="002345BE">
            <w:pPr>
              <w:pStyle w:val="BodyText"/>
              <w:spacing w:after="0" w:line="240" w:lineRule="auto"/>
              <w:rPr>
                <w:rFonts w:cs="Times New Roman"/>
                <w:sz w:val="20"/>
                <w:szCs w:val="20"/>
              </w:rPr>
            </w:pPr>
            <w:r w:rsidRPr="002C050E">
              <w:rPr>
                <w:rFonts w:cs="Times New Roman"/>
                <w:sz w:val="20"/>
                <w:szCs w:val="20"/>
              </w:rPr>
              <w:t>C</w:t>
            </w:r>
            <w:r w:rsidRPr="00F14E63">
              <w:rPr>
                <w:rFonts w:cs="Times New Roman"/>
                <w:sz w:val="20"/>
                <w:szCs w:val="20"/>
              </w:rPr>
              <w:t>rop loss</w:t>
            </w:r>
          </w:p>
        </w:tc>
        <w:tc>
          <w:tcPr>
            <w:tcW w:w="2808" w:type="dxa"/>
          </w:tcPr>
          <w:p w:rsidR="002C050E" w:rsidRPr="002C050E" w:rsidRDefault="002C050E" w:rsidP="002345BE">
            <w:pPr>
              <w:pStyle w:val="BodyText"/>
              <w:spacing w:after="0" w:line="240" w:lineRule="auto"/>
              <w:rPr>
                <w:rFonts w:cs="Times New Roman"/>
                <w:sz w:val="20"/>
                <w:szCs w:val="20"/>
              </w:rPr>
            </w:pPr>
            <w:r w:rsidRPr="002C050E">
              <w:rPr>
                <w:rFonts w:cs="Times New Roman"/>
                <w:sz w:val="20"/>
                <w:szCs w:val="20"/>
              </w:rPr>
              <w:t xml:space="preserve">about 0.2 million </w:t>
            </w:r>
            <w:r w:rsidR="00FE6385">
              <w:rPr>
                <w:rFonts w:cs="Times New Roman"/>
                <w:sz w:val="20"/>
                <w:szCs w:val="20"/>
              </w:rPr>
              <w:t>tonne</w:t>
            </w:r>
            <w:r w:rsidRPr="002C050E">
              <w:rPr>
                <w:rFonts w:cs="Times New Roman"/>
                <w:sz w:val="20"/>
                <w:szCs w:val="20"/>
              </w:rPr>
              <w:t>s</w:t>
            </w:r>
            <w:r>
              <w:rPr>
                <w:rFonts w:cs="Times New Roman"/>
                <w:sz w:val="20"/>
                <w:szCs w:val="20"/>
              </w:rPr>
              <w:t xml:space="preserve"> or more</w:t>
            </w:r>
          </w:p>
        </w:tc>
      </w:tr>
      <w:tr w:rsidR="002345BE" w:rsidRPr="006F44F9" w:rsidTr="000A360F">
        <w:trPr>
          <w:jc w:val="center"/>
        </w:trPr>
        <w:tc>
          <w:tcPr>
            <w:tcW w:w="1728" w:type="dxa"/>
          </w:tcPr>
          <w:p w:rsidR="002345BE" w:rsidRDefault="002345BE" w:rsidP="00F14E63">
            <w:pPr>
              <w:pStyle w:val="BodyText"/>
              <w:spacing w:after="0" w:line="240" w:lineRule="auto"/>
              <w:rPr>
                <w:rFonts w:cs="Times New Roman"/>
                <w:sz w:val="20"/>
                <w:szCs w:val="20"/>
              </w:rPr>
            </w:pPr>
            <w:r>
              <w:rPr>
                <w:rFonts w:cs="Times New Roman"/>
                <w:sz w:val="20"/>
                <w:szCs w:val="20"/>
              </w:rPr>
              <w:t xml:space="preserve">2. </w:t>
            </w:r>
            <w:r w:rsidR="00F14E63">
              <w:rPr>
                <w:rFonts w:cs="Times New Roman"/>
                <w:sz w:val="20"/>
                <w:szCs w:val="20"/>
              </w:rPr>
              <w:t>Health</w:t>
            </w:r>
          </w:p>
        </w:tc>
        <w:tc>
          <w:tcPr>
            <w:tcW w:w="2160" w:type="dxa"/>
          </w:tcPr>
          <w:p w:rsidR="002345BE" w:rsidRPr="00536F00" w:rsidRDefault="00F14E63" w:rsidP="002345BE">
            <w:pPr>
              <w:pStyle w:val="BodyText"/>
              <w:spacing w:after="0" w:line="240" w:lineRule="auto"/>
              <w:rPr>
                <w:rFonts w:cs="Times New Roman"/>
                <w:sz w:val="20"/>
                <w:szCs w:val="20"/>
              </w:rPr>
            </w:pPr>
            <w:r>
              <w:rPr>
                <w:rFonts w:cs="Times New Roman"/>
                <w:sz w:val="20"/>
                <w:szCs w:val="20"/>
              </w:rPr>
              <w:t>Temperature and precipitation increase</w:t>
            </w:r>
          </w:p>
        </w:tc>
        <w:tc>
          <w:tcPr>
            <w:tcW w:w="2160" w:type="dxa"/>
          </w:tcPr>
          <w:p w:rsidR="002345BE" w:rsidRDefault="002345BE" w:rsidP="00F14E63">
            <w:pPr>
              <w:pStyle w:val="BodyText"/>
              <w:spacing w:after="0" w:line="240" w:lineRule="auto"/>
              <w:rPr>
                <w:rFonts w:cs="Times New Roman"/>
                <w:sz w:val="20"/>
                <w:szCs w:val="20"/>
              </w:rPr>
            </w:pPr>
            <w:r>
              <w:rPr>
                <w:rFonts w:cs="Times New Roman"/>
                <w:sz w:val="20"/>
                <w:szCs w:val="20"/>
              </w:rPr>
              <w:t xml:space="preserve">Increasing </w:t>
            </w:r>
            <w:r w:rsidR="00F14E63">
              <w:rPr>
                <w:rFonts w:cs="Times New Roman"/>
                <w:sz w:val="20"/>
                <w:szCs w:val="20"/>
              </w:rPr>
              <w:t>dengue and malaria risk; water-borne diseases like diarrhea and dysentery</w:t>
            </w:r>
            <w:r w:rsidR="00245AB7">
              <w:rPr>
                <w:rFonts w:cs="Times New Roman"/>
                <w:sz w:val="20"/>
                <w:szCs w:val="20"/>
              </w:rPr>
              <w:t>; congestion in urban areas; increase in emissions</w:t>
            </w:r>
          </w:p>
        </w:tc>
        <w:tc>
          <w:tcPr>
            <w:tcW w:w="2808" w:type="dxa"/>
          </w:tcPr>
          <w:p w:rsidR="002345BE" w:rsidRDefault="00F14E63" w:rsidP="00245AB7">
            <w:pPr>
              <w:pStyle w:val="BodyText"/>
              <w:spacing w:after="0" w:line="240" w:lineRule="auto"/>
              <w:rPr>
                <w:rFonts w:cs="Times New Roman"/>
                <w:sz w:val="20"/>
                <w:szCs w:val="20"/>
              </w:rPr>
            </w:pPr>
            <w:r>
              <w:rPr>
                <w:rFonts w:cs="Times New Roman"/>
                <w:sz w:val="20"/>
                <w:szCs w:val="20"/>
              </w:rPr>
              <w:t>By 2090 increase in Dengue cases by 24,000 with fatalities 314; malaria cases by 440,000 and fatalities could reach over 2,500</w:t>
            </w:r>
            <w:r w:rsidR="00245AB7">
              <w:rPr>
                <w:rFonts w:cs="Times New Roman"/>
                <w:sz w:val="20"/>
                <w:szCs w:val="20"/>
              </w:rPr>
              <w:t xml:space="preserve">; respiratory illnesses; and increasing health costs </w:t>
            </w:r>
          </w:p>
        </w:tc>
      </w:tr>
      <w:tr w:rsidR="002C050E" w:rsidRPr="006F44F9" w:rsidTr="000A360F">
        <w:trPr>
          <w:jc w:val="center"/>
        </w:trPr>
        <w:tc>
          <w:tcPr>
            <w:tcW w:w="1728" w:type="dxa"/>
          </w:tcPr>
          <w:p w:rsidR="002C050E" w:rsidRDefault="00F14E63" w:rsidP="00F14E63">
            <w:pPr>
              <w:pStyle w:val="BodyText"/>
              <w:spacing w:after="0" w:line="240" w:lineRule="auto"/>
              <w:rPr>
                <w:rFonts w:cs="Times New Roman"/>
                <w:sz w:val="20"/>
                <w:szCs w:val="20"/>
              </w:rPr>
            </w:pPr>
            <w:r>
              <w:rPr>
                <w:rFonts w:cs="Times New Roman"/>
                <w:sz w:val="20"/>
                <w:szCs w:val="20"/>
              </w:rPr>
              <w:t xml:space="preserve">3. Land </w:t>
            </w:r>
          </w:p>
        </w:tc>
        <w:tc>
          <w:tcPr>
            <w:tcW w:w="2160" w:type="dxa"/>
          </w:tcPr>
          <w:p w:rsidR="002C050E" w:rsidRDefault="00245AB7" w:rsidP="002345BE">
            <w:pPr>
              <w:pStyle w:val="BodyText"/>
              <w:spacing w:after="0" w:line="240" w:lineRule="auto"/>
              <w:rPr>
                <w:rFonts w:cs="Times New Roman"/>
                <w:sz w:val="20"/>
                <w:szCs w:val="20"/>
              </w:rPr>
            </w:pPr>
            <w:r>
              <w:rPr>
                <w:rFonts w:cs="Times New Roman"/>
                <w:sz w:val="20"/>
                <w:szCs w:val="20"/>
              </w:rPr>
              <w:t>1 m sea level rise;</w:t>
            </w:r>
          </w:p>
          <w:p w:rsidR="00F14E63" w:rsidRDefault="00F14E63" w:rsidP="002345BE">
            <w:pPr>
              <w:pStyle w:val="BodyText"/>
              <w:spacing w:after="0" w:line="240" w:lineRule="auto"/>
              <w:rPr>
                <w:rFonts w:cs="Times New Roman"/>
                <w:sz w:val="20"/>
                <w:szCs w:val="20"/>
              </w:rPr>
            </w:pPr>
            <w:r>
              <w:rPr>
                <w:rFonts w:cs="Times New Roman"/>
                <w:sz w:val="20"/>
                <w:szCs w:val="20"/>
              </w:rPr>
              <w:t>Increased precipitation</w:t>
            </w:r>
          </w:p>
        </w:tc>
        <w:tc>
          <w:tcPr>
            <w:tcW w:w="2160" w:type="dxa"/>
          </w:tcPr>
          <w:p w:rsidR="002C050E" w:rsidRDefault="00245AB7" w:rsidP="002345BE">
            <w:pPr>
              <w:pStyle w:val="BodyText"/>
              <w:spacing w:after="0" w:line="240" w:lineRule="auto"/>
              <w:rPr>
                <w:rFonts w:cs="Times New Roman"/>
                <w:sz w:val="20"/>
                <w:szCs w:val="20"/>
              </w:rPr>
            </w:pPr>
            <w:r>
              <w:rPr>
                <w:rFonts w:cs="Times New Roman"/>
                <w:sz w:val="20"/>
                <w:szCs w:val="20"/>
              </w:rPr>
              <w:t>Inundation permanent and seasonal</w:t>
            </w:r>
          </w:p>
        </w:tc>
        <w:tc>
          <w:tcPr>
            <w:tcW w:w="2808" w:type="dxa"/>
          </w:tcPr>
          <w:p w:rsidR="002C050E" w:rsidRPr="004C72F8" w:rsidRDefault="00F14E63" w:rsidP="002345BE">
            <w:pPr>
              <w:pStyle w:val="BodyText"/>
              <w:spacing w:after="0" w:line="240" w:lineRule="auto"/>
              <w:rPr>
                <w:rFonts w:cs="Times New Roman"/>
                <w:sz w:val="20"/>
                <w:szCs w:val="20"/>
              </w:rPr>
            </w:pPr>
            <w:r w:rsidRPr="004C72F8">
              <w:rPr>
                <w:rFonts w:cs="Times New Roman"/>
                <w:sz w:val="20"/>
                <w:szCs w:val="20"/>
              </w:rPr>
              <w:t xml:space="preserve">17-21% area loss (up to </w:t>
            </w:r>
            <w:r w:rsidRPr="00245AB7">
              <w:rPr>
                <w:rFonts w:cs="Times New Roman"/>
                <w:sz w:val="20"/>
                <w:szCs w:val="20"/>
              </w:rPr>
              <w:t>30,000 km</w:t>
            </w:r>
            <w:r w:rsidRPr="00245AB7">
              <w:rPr>
                <w:rFonts w:cs="Times New Roman"/>
                <w:sz w:val="20"/>
                <w:szCs w:val="20"/>
                <w:vertAlign w:val="superscript"/>
              </w:rPr>
              <w:t xml:space="preserve">2 </w:t>
            </w:r>
            <w:r w:rsidRPr="004C72F8">
              <w:rPr>
                <w:rFonts w:cs="Times New Roman"/>
                <w:sz w:val="20"/>
                <w:szCs w:val="20"/>
              </w:rPr>
              <w:t>inundated; additional 16% land inundated due to increased rainfall (</w:t>
            </w:r>
            <w:r w:rsidR="004C72F8" w:rsidRPr="004C72F8">
              <w:rPr>
                <w:rFonts w:cs="Times New Roman"/>
                <w:sz w:val="20"/>
                <w:szCs w:val="20"/>
              </w:rPr>
              <w:t>5,500 km</w:t>
            </w:r>
            <w:r w:rsidR="004C72F8" w:rsidRPr="004C72F8">
              <w:rPr>
                <w:rFonts w:cs="Times New Roman"/>
                <w:sz w:val="20"/>
                <w:szCs w:val="20"/>
                <w:vertAlign w:val="superscript"/>
              </w:rPr>
              <w:t>2</w:t>
            </w:r>
            <w:r w:rsidRPr="004C72F8">
              <w:rPr>
                <w:rFonts w:cs="Times New Roman"/>
                <w:sz w:val="20"/>
                <w:szCs w:val="20"/>
              </w:rPr>
              <w:t>)</w:t>
            </w:r>
          </w:p>
        </w:tc>
      </w:tr>
      <w:tr w:rsidR="002345BE" w:rsidRPr="006F44F9" w:rsidTr="000A360F">
        <w:trPr>
          <w:jc w:val="center"/>
        </w:trPr>
        <w:tc>
          <w:tcPr>
            <w:tcW w:w="1728" w:type="dxa"/>
          </w:tcPr>
          <w:p w:rsidR="002345BE" w:rsidRDefault="004C72F8" w:rsidP="004C72F8">
            <w:pPr>
              <w:pStyle w:val="BodyText"/>
              <w:spacing w:after="0" w:line="240" w:lineRule="auto"/>
              <w:rPr>
                <w:rFonts w:cs="Times New Roman"/>
                <w:sz w:val="20"/>
                <w:szCs w:val="20"/>
              </w:rPr>
            </w:pPr>
            <w:r>
              <w:rPr>
                <w:rFonts w:cs="Times New Roman"/>
                <w:sz w:val="20"/>
                <w:szCs w:val="20"/>
              </w:rPr>
              <w:t>4</w:t>
            </w:r>
            <w:r w:rsidR="002345BE">
              <w:rPr>
                <w:rFonts w:cs="Times New Roman"/>
                <w:sz w:val="20"/>
                <w:szCs w:val="20"/>
              </w:rPr>
              <w:t xml:space="preserve">. </w:t>
            </w:r>
            <w:r>
              <w:rPr>
                <w:rFonts w:cs="Times New Roman"/>
                <w:sz w:val="20"/>
                <w:szCs w:val="20"/>
              </w:rPr>
              <w:t xml:space="preserve">Infrastructure </w:t>
            </w:r>
          </w:p>
        </w:tc>
        <w:tc>
          <w:tcPr>
            <w:tcW w:w="2160" w:type="dxa"/>
          </w:tcPr>
          <w:p w:rsidR="002345BE" w:rsidRDefault="00245AB7" w:rsidP="002345BE">
            <w:pPr>
              <w:pStyle w:val="BodyText"/>
              <w:spacing w:after="0" w:line="240" w:lineRule="auto"/>
              <w:rPr>
                <w:rFonts w:cs="Times New Roman"/>
                <w:sz w:val="20"/>
                <w:szCs w:val="20"/>
              </w:rPr>
            </w:pPr>
            <w:r>
              <w:rPr>
                <w:rFonts w:cs="Times New Roman"/>
                <w:sz w:val="20"/>
                <w:szCs w:val="20"/>
              </w:rPr>
              <w:t>Floods; cyclones; sea level rise</w:t>
            </w:r>
          </w:p>
        </w:tc>
        <w:tc>
          <w:tcPr>
            <w:tcW w:w="2160" w:type="dxa"/>
          </w:tcPr>
          <w:p w:rsidR="002345BE" w:rsidRDefault="00245AB7" w:rsidP="002345BE">
            <w:pPr>
              <w:pStyle w:val="BodyText"/>
              <w:spacing w:after="0" w:line="240" w:lineRule="auto"/>
              <w:rPr>
                <w:rFonts w:cs="Times New Roman"/>
                <w:sz w:val="20"/>
                <w:szCs w:val="20"/>
              </w:rPr>
            </w:pPr>
            <w:r>
              <w:rPr>
                <w:rFonts w:cs="Times New Roman"/>
                <w:sz w:val="20"/>
                <w:szCs w:val="20"/>
              </w:rPr>
              <w:t>Permanent and reparable damage</w:t>
            </w:r>
          </w:p>
        </w:tc>
        <w:tc>
          <w:tcPr>
            <w:tcW w:w="2808" w:type="dxa"/>
          </w:tcPr>
          <w:p w:rsidR="002345BE" w:rsidRPr="00245AB7" w:rsidRDefault="00245AB7" w:rsidP="00245AB7">
            <w:pPr>
              <w:pStyle w:val="BodyText"/>
              <w:spacing w:after="0" w:line="240" w:lineRule="auto"/>
              <w:rPr>
                <w:rFonts w:cs="Times New Roman"/>
                <w:sz w:val="20"/>
                <w:szCs w:val="20"/>
              </w:rPr>
            </w:pPr>
            <w:r w:rsidRPr="00245AB7">
              <w:rPr>
                <w:rFonts w:cs="Times New Roman"/>
                <w:sz w:val="20"/>
                <w:szCs w:val="20"/>
              </w:rPr>
              <w:t>capital stock depletion in the construction sector by 0.05% annually until 2100</w:t>
            </w:r>
            <w:r>
              <w:rPr>
                <w:rFonts w:cs="Times New Roman"/>
                <w:sz w:val="20"/>
                <w:szCs w:val="20"/>
              </w:rPr>
              <w:t>; sectors closely related to construction would experience larger falls in real GDP</w:t>
            </w:r>
          </w:p>
        </w:tc>
      </w:tr>
      <w:tr w:rsidR="002345BE" w:rsidRPr="006F44F9" w:rsidTr="000A360F">
        <w:trPr>
          <w:jc w:val="center"/>
        </w:trPr>
        <w:tc>
          <w:tcPr>
            <w:tcW w:w="1728" w:type="dxa"/>
          </w:tcPr>
          <w:p w:rsidR="002345BE" w:rsidRDefault="00245AB7" w:rsidP="00245AB7">
            <w:pPr>
              <w:pStyle w:val="BodyText"/>
              <w:spacing w:after="0" w:line="240" w:lineRule="auto"/>
              <w:rPr>
                <w:rFonts w:cs="Times New Roman"/>
                <w:sz w:val="20"/>
                <w:szCs w:val="20"/>
              </w:rPr>
            </w:pPr>
            <w:r>
              <w:rPr>
                <w:rFonts w:cs="Times New Roman"/>
                <w:sz w:val="20"/>
                <w:szCs w:val="20"/>
              </w:rPr>
              <w:t>5</w:t>
            </w:r>
            <w:r w:rsidR="002345BE">
              <w:rPr>
                <w:rFonts w:cs="Times New Roman"/>
                <w:sz w:val="20"/>
                <w:szCs w:val="20"/>
              </w:rPr>
              <w:t xml:space="preserve">. </w:t>
            </w:r>
            <w:r>
              <w:rPr>
                <w:rFonts w:cs="Times New Roman"/>
                <w:sz w:val="20"/>
                <w:szCs w:val="20"/>
              </w:rPr>
              <w:t xml:space="preserve">Energy </w:t>
            </w:r>
          </w:p>
        </w:tc>
        <w:tc>
          <w:tcPr>
            <w:tcW w:w="2160" w:type="dxa"/>
          </w:tcPr>
          <w:p w:rsidR="002345BE" w:rsidRDefault="00245AB7" w:rsidP="002345BE">
            <w:pPr>
              <w:pStyle w:val="BodyText"/>
              <w:spacing w:after="0" w:line="240" w:lineRule="auto"/>
              <w:rPr>
                <w:rFonts w:cs="Times New Roman"/>
                <w:sz w:val="20"/>
                <w:szCs w:val="20"/>
              </w:rPr>
            </w:pPr>
            <w:r>
              <w:rPr>
                <w:rFonts w:cs="Times New Roman"/>
                <w:sz w:val="20"/>
                <w:szCs w:val="20"/>
              </w:rPr>
              <w:t>Cyclones, floods, dry periods</w:t>
            </w:r>
          </w:p>
        </w:tc>
        <w:tc>
          <w:tcPr>
            <w:tcW w:w="2160" w:type="dxa"/>
          </w:tcPr>
          <w:p w:rsidR="002345BE" w:rsidRDefault="00245AB7" w:rsidP="002345BE">
            <w:pPr>
              <w:pStyle w:val="BodyText"/>
              <w:spacing w:after="0" w:line="240" w:lineRule="auto"/>
              <w:rPr>
                <w:rFonts w:cs="Times New Roman"/>
                <w:sz w:val="20"/>
                <w:szCs w:val="20"/>
              </w:rPr>
            </w:pPr>
            <w:r>
              <w:rPr>
                <w:rFonts w:cs="Times New Roman"/>
                <w:sz w:val="20"/>
                <w:szCs w:val="20"/>
              </w:rPr>
              <w:t>Affecting hydropower and thermal generation; energy infrastructure damage; loss of energy in irrigation sub-sector</w:t>
            </w:r>
          </w:p>
        </w:tc>
        <w:tc>
          <w:tcPr>
            <w:tcW w:w="2808" w:type="dxa"/>
          </w:tcPr>
          <w:p w:rsidR="002345BE" w:rsidRDefault="002345BE" w:rsidP="00245AB7">
            <w:pPr>
              <w:pStyle w:val="BodyText"/>
              <w:spacing w:after="0" w:line="240" w:lineRule="auto"/>
              <w:rPr>
                <w:rFonts w:cs="Times New Roman"/>
                <w:sz w:val="20"/>
                <w:szCs w:val="20"/>
              </w:rPr>
            </w:pPr>
            <w:r>
              <w:rPr>
                <w:rFonts w:cs="Times New Roman"/>
                <w:sz w:val="20"/>
                <w:szCs w:val="20"/>
              </w:rPr>
              <w:t>Increase</w:t>
            </w:r>
            <w:r w:rsidR="00245AB7">
              <w:rPr>
                <w:rFonts w:cs="Times New Roman"/>
                <w:sz w:val="20"/>
                <w:szCs w:val="20"/>
              </w:rPr>
              <w:t xml:space="preserve">d load shedding; </w:t>
            </w:r>
            <w:r w:rsidR="00162331">
              <w:rPr>
                <w:rFonts w:cs="Times New Roman"/>
                <w:sz w:val="20"/>
                <w:szCs w:val="20"/>
              </w:rPr>
              <w:t>increase in energy demand-supply gap; fall of production; GDP losses in agriculture and industry</w:t>
            </w:r>
          </w:p>
        </w:tc>
      </w:tr>
      <w:tr w:rsidR="002345BE" w:rsidRPr="006F44F9" w:rsidTr="000A360F">
        <w:trPr>
          <w:jc w:val="center"/>
        </w:trPr>
        <w:tc>
          <w:tcPr>
            <w:tcW w:w="1728" w:type="dxa"/>
          </w:tcPr>
          <w:p w:rsidR="002345BE" w:rsidRDefault="002345BE" w:rsidP="00162331">
            <w:pPr>
              <w:pStyle w:val="BodyText"/>
              <w:spacing w:after="0" w:line="240" w:lineRule="auto"/>
              <w:rPr>
                <w:rFonts w:cs="Times New Roman"/>
                <w:sz w:val="20"/>
                <w:szCs w:val="20"/>
              </w:rPr>
            </w:pPr>
            <w:r>
              <w:rPr>
                <w:rFonts w:cs="Times New Roman"/>
                <w:sz w:val="20"/>
                <w:szCs w:val="20"/>
              </w:rPr>
              <w:t xml:space="preserve">5. </w:t>
            </w:r>
            <w:r w:rsidR="00162331">
              <w:rPr>
                <w:rFonts w:cs="Times New Roman"/>
                <w:sz w:val="20"/>
                <w:szCs w:val="20"/>
              </w:rPr>
              <w:t xml:space="preserve">Forest and other ecosystems </w:t>
            </w:r>
          </w:p>
        </w:tc>
        <w:tc>
          <w:tcPr>
            <w:tcW w:w="2160" w:type="dxa"/>
          </w:tcPr>
          <w:p w:rsidR="002345BE" w:rsidRDefault="00162331" w:rsidP="002345BE">
            <w:pPr>
              <w:pStyle w:val="BodyText"/>
              <w:spacing w:after="0" w:line="240" w:lineRule="auto"/>
              <w:rPr>
                <w:rFonts w:cs="Times New Roman"/>
                <w:sz w:val="20"/>
                <w:szCs w:val="20"/>
              </w:rPr>
            </w:pPr>
            <w:r>
              <w:rPr>
                <w:rFonts w:cs="Times New Roman"/>
                <w:sz w:val="20"/>
                <w:szCs w:val="20"/>
              </w:rPr>
              <w:t>Sea level rise; increase in temperatures; salt water intrusion</w:t>
            </w:r>
          </w:p>
        </w:tc>
        <w:tc>
          <w:tcPr>
            <w:tcW w:w="2160" w:type="dxa"/>
          </w:tcPr>
          <w:p w:rsidR="002345BE" w:rsidRDefault="00162331" w:rsidP="00162331">
            <w:pPr>
              <w:pStyle w:val="BodyText"/>
              <w:spacing w:after="0" w:line="240" w:lineRule="auto"/>
              <w:rPr>
                <w:rFonts w:cs="Times New Roman"/>
                <w:sz w:val="20"/>
                <w:szCs w:val="20"/>
              </w:rPr>
            </w:pPr>
            <w:r>
              <w:rPr>
                <w:rFonts w:cs="Times New Roman"/>
                <w:sz w:val="20"/>
                <w:szCs w:val="20"/>
              </w:rPr>
              <w:t xml:space="preserve">Impact on species composition and extinction; </w:t>
            </w:r>
          </w:p>
        </w:tc>
        <w:tc>
          <w:tcPr>
            <w:tcW w:w="2808" w:type="dxa"/>
          </w:tcPr>
          <w:p w:rsidR="002345BE" w:rsidRDefault="00162331" w:rsidP="002345BE">
            <w:pPr>
              <w:pStyle w:val="BodyText"/>
              <w:spacing w:after="0" w:line="240" w:lineRule="auto"/>
              <w:rPr>
                <w:rFonts w:cs="Times New Roman"/>
                <w:sz w:val="20"/>
                <w:szCs w:val="20"/>
              </w:rPr>
            </w:pPr>
            <w:r w:rsidRPr="000A360F">
              <w:rPr>
                <w:rFonts w:cs="Times New Roman"/>
                <w:sz w:val="20"/>
                <w:szCs w:val="24"/>
              </w:rPr>
              <w:t>40% mangrove loss; 96% decline in tiger habitat</w:t>
            </w:r>
          </w:p>
        </w:tc>
      </w:tr>
      <w:tr w:rsidR="00162331" w:rsidRPr="006F44F9" w:rsidTr="000A360F">
        <w:trPr>
          <w:jc w:val="center"/>
        </w:trPr>
        <w:tc>
          <w:tcPr>
            <w:tcW w:w="1728" w:type="dxa"/>
          </w:tcPr>
          <w:p w:rsidR="00162331" w:rsidRDefault="00162331" w:rsidP="00162331">
            <w:pPr>
              <w:pStyle w:val="BodyText"/>
              <w:spacing w:after="0" w:line="240" w:lineRule="auto"/>
              <w:rPr>
                <w:rFonts w:cs="Times New Roman"/>
                <w:sz w:val="20"/>
                <w:szCs w:val="20"/>
              </w:rPr>
            </w:pPr>
            <w:r>
              <w:rPr>
                <w:rFonts w:cs="Times New Roman"/>
                <w:sz w:val="20"/>
                <w:szCs w:val="20"/>
              </w:rPr>
              <w:t>6. GDP</w:t>
            </w:r>
          </w:p>
        </w:tc>
        <w:tc>
          <w:tcPr>
            <w:tcW w:w="2160" w:type="dxa"/>
          </w:tcPr>
          <w:p w:rsidR="00162331" w:rsidRDefault="00162331" w:rsidP="002345BE">
            <w:pPr>
              <w:pStyle w:val="BodyText"/>
              <w:spacing w:after="0" w:line="240" w:lineRule="auto"/>
              <w:rPr>
                <w:rFonts w:cs="Times New Roman"/>
                <w:sz w:val="20"/>
                <w:szCs w:val="20"/>
              </w:rPr>
            </w:pPr>
          </w:p>
        </w:tc>
        <w:tc>
          <w:tcPr>
            <w:tcW w:w="2160" w:type="dxa"/>
          </w:tcPr>
          <w:p w:rsidR="00162331" w:rsidRDefault="00162331" w:rsidP="00162331">
            <w:pPr>
              <w:pStyle w:val="BodyText"/>
              <w:spacing w:after="0" w:line="240" w:lineRule="auto"/>
              <w:rPr>
                <w:rFonts w:cs="Times New Roman"/>
                <w:sz w:val="20"/>
                <w:szCs w:val="20"/>
              </w:rPr>
            </w:pPr>
          </w:p>
        </w:tc>
        <w:tc>
          <w:tcPr>
            <w:tcW w:w="2808" w:type="dxa"/>
          </w:tcPr>
          <w:p w:rsidR="00162331" w:rsidRPr="00162331" w:rsidRDefault="00162331" w:rsidP="002345BE">
            <w:pPr>
              <w:pStyle w:val="BodyText"/>
              <w:spacing w:after="0" w:line="240" w:lineRule="auto"/>
              <w:rPr>
                <w:rFonts w:cs="Times New Roman"/>
                <w:sz w:val="20"/>
                <w:szCs w:val="20"/>
              </w:rPr>
            </w:pPr>
            <w:r w:rsidRPr="00162331">
              <w:rPr>
                <w:rFonts w:cs="Times New Roman"/>
                <w:sz w:val="20"/>
                <w:szCs w:val="20"/>
              </w:rPr>
              <w:t>By 2050, annual GDP losses are projected to be 2.0% per annum</w:t>
            </w:r>
          </w:p>
        </w:tc>
      </w:tr>
    </w:tbl>
    <w:p w:rsidR="009008EC" w:rsidRPr="00F76F92" w:rsidRDefault="009008EC" w:rsidP="00F76F92"/>
    <w:p w:rsidR="00A356FA" w:rsidRPr="006A60FB" w:rsidRDefault="00A356FA" w:rsidP="006A60FB">
      <w:pPr>
        <w:rPr>
          <w:rFonts w:cs="Times New Roman"/>
          <w:szCs w:val="24"/>
        </w:rPr>
        <w:sectPr w:rsidR="00A356FA" w:rsidRPr="006A60FB" w:rsidSect="00144771">
          <w:pgSz w:w="12240" w:h="15840"/>
          <w:pgMar w:top="1440" w:right="1440" w:bottom="1440" w:left="1440" w:header="720" w:footer="720" w:gutter="0"/>
          <w:pgNumType w:start="1"/>
          <w:cols w:space="720"/>
          <w:docGrid w:linePitch="360"/>
        </w:sectPr>
      </w:pPr>
    </w:p>
    <w:p w:rsidR="00A356FA" w:rsidRPr="00643AC5" w:rsidRDefault="00825347" w:rsidP="00825347">
      <w:pPr>
        <w:pStyle w:val="Title"/>
        <w:jc w:val="center"/>
        <w:rPr>
          <w:rFonts w:asciiTheme="minorHAnsi" w:hAnsiTheme="minorHAnsi"/>
          <w:b/>
        </w:rPr>
      </w:pPr>
      <w:bookmarkStart w:id="119" w:name="_Toc474638847"/>
      <w:bookmarkStart w:id="120" w:name="_Toc439492671"/>
      <w:r w:rsidRPr="00643AC5">
        <w:rPr>
          <w:rFonts w:asciiTheme="minorHAnsi" w:hAnsiTheme="minorHAnsi"/>
          <w:b/>
        </w:rPr>
        <w:lastRenderedPageBreak/>
        <w:t>CHAPTER 2</w:t>
      </w:r>
      <w:bookmarkEnd w:id="119"/>
    </w:p>
    <w:p w:rsidR="00A356FA" w:rsidRDefault="00A356FA" w:rsidP="008C0601">
      <w:pPr>
        <w:pStyle w:val="Heading1"/>
      </w:pPr>
      <w:bookmarkStart w:id="121" w:name="_Toc474638848"/>
      <w:r w:rsidRPr="00897D90">
        <w:t xml:space="preserve">Socio Economic Characteristics of the </w:t>
      </w:r>
      <w:r w:rsidR="0028610B">
        <w:t xml:space="preserve">Bangladesh </w:t>
      </w:r>
      <w:r w:rsidRPr="00897D90">
        <w:t>Delta</w:t>
      </w:r>
      <w:bookmarkEnd w:id="121"/>
      <w:r w:rsidRPr="00897D90">
        <w:t xml:space="preserve"> </w:t>
      </w:r>
      <w:bookmarkStart w:id="122" w:name="_Toc450078478"/>
      <w:bookmarkEnd w:id="120"/>
    </w:p>
    <w:p w:rsidR="00F64A6A" w:rsidRDefault="00A356FA" w:rsidP="00F64A6A">
      <w:pPr>
        <w:pStyle w:val="Heading2"/>
        <w:numPr>
          <w:ilvl w:val="0"/>
          <w:numId w:val="0"/>
        </w:numPr>
        <w:ind w:left="720"/>
      </w:pPr>
      <w:bookmarkStart w:id="123" w:name="_Toc474638849"/>
      <w:r w:rsidRPr="00C8249F">
        <w:t>Background</w:t>
      </w:r>
      <w:bookmarkEnd w:id="122"/>
      <w:bookmarkEnd w:id="123"/>
    </w:p>
    <w:p w:rsidR="00ED0CE6" w:rsidRDefault="00A356FA" w:rsidP="00776905">
      <w:pPr>
        <w:spacing w:line="276" w:lineRule="auto"/>
        <w:jc w:val="both"/>
        <w:rPr>
          <w:rFonts w:cs="Times New Roman"/>
          <w:szCs w:val="24"/>
        </w:rPr>
      </w:pPr>
      <w:r w:rsidRPr="00776905">
        <w:rPr>
          <w:rFonts w:cs="Times New Roman"/>
          <w:szCs w:val="24"/>
        </w:rPr>
        <w:t>As noted in Chapter 1, despite considerable development progress Bangladesh faces substantial risks and vulnerabilities that are intimately linked with the geography of Bangladesh.  While the Delta widely defined encompasses much of Bangladesh and the risks to natural disasters extend to most of the country, the magnitude of the risks and associated vulnerabilities vary significantly by regions. The hotspot classification also showed that the nature of these risks and vulnerabilities are multiple and affect different districts variably.  There are variations even within districts at the sub-district (</w:t>
      </w:r>
      <w:r w:rsidR="00F51D0D" w:rsidRPr="00776905">
        <w:rPr>
          <w:rFonts w:cs="Times New Roman"/>
          <w:szCs w:val="24"/>
        </w:rPr>
        <w:t>upazilla</w:t>
      </w:r>
      <w:r w:rsidRPr="00776905">
        <w:rPr>
          <w:rFonts w:cs="Times New Roman"/>
          <w:szCs w:val="24"/>
        </w:rPr>
        <w:t xml:space="preserve">) level.  In order to understand how nature and human beings interact and how livelihood and welfare are impacted by geography and climate change, it is important look at the socio-economic characteristics of the different delta areas. This analysis will provide useful background to developing the Bangladesh Delta strategy.   </w:t>
      </w:r>
    </w:p>
    <w:p w:rsidR="00A356FA" w:rsidRPr="00776905" w:rsidRDefault="00A356FA" w:rsidP="00776905">
      <w:pPr>
        <w:spacing w:line="276" w:lineRule="auto"/>
        <w:jc w:val="both"/>
        <w:rPr>
          <w:rFonts w:cs="Times New Roman"/>
          <w:szCs w:val="24"/>
        </w:rPr>
      </w:pPr>
      <w:r w:rsidRPr="00776905">
        <w:rPr>
          <w:rFonts w:cs="Times New Roman"/>
          <w:szCs w:val="24"/>
        </w:rPr>
        <w:t xml:space="preserve">The guiding principle of the strategy would be to develop a baseline of socio-economic characteristics of the Delta using the available </w:t>
      </w:r>
      <w:r w:rsidR="0031015D" w:rsidRPr="00776905">
        <w:rPr>
          <w:rFonts w:cs="Times New Roman"/>
          <w:szCs w:val="24"/>
        </w:rPr>
        <w:t>information,</w:t>
      </w:r>
      <w:r w:rsidRPr="00776905">
        <w:rPr>
          <w:rFonts w:cs="Times New Roman"/>
          <w:szCs w:val="24"/>
        </w:rPr>
        <w:t xml:space="preserve"> understand the specifics of the downside risks and vulnerabilities posed by geography and climate change in relation to the baseline, and develop strategies, policies, programmes and institutions </w:t>
      </w:r>
      <w:r w:rsidR="0031015D" w:rsidRPr="00776905">
        <w:rPr>
          <w:rFonts w:cs="Times New Roman"/>
          <w:szCs w:val="24"/>
        </w:rPr>
        <w:t>that provide</w:t>
      </w:r>
      <w:r w:rsidRPr="00776905">
        <w:rPr>
          <w:rFonts w:cs="Times New Roman"/>
          <w:szCs w:val="24"/>
        </w:rPr>
        <w:t xml:space="preserve"> most support to minimizing these risks and vulnerabilities.  With limited financial and administrative capacities, interventions that make the best contribution in terms of improving the welfare of the population and safeguarding the population from the downside risks of the Delta will need to be given priority.  So, a good understanding of the population's welfare based on observed socio-economic characteristics is an essential pre-requisite to developing a sound delta strategy. </w:t>
      </w:r>
    </w:p>
    <w:p w:rsidR="005E4867" w:rsidRDefault="00A356FA" w:rsidP="005E4867">
      <w:pPr>
        <w:spacing w:line="276" w:lineRule="auto"/>
        <w:jc w:val="both"/>
        <w:rPr>
          <w:rFonts w:cs="Times New Roman"/>
          <w:szCs w:val="24"/>
        </w:rPr>
      </w:pPr>
      <w:r w:rsidRPr="00776905">
        <w:rPr>
          <w:rFonts w:cs="Times New Roman"/>
          <w:szCs w:val="24"/>
        </w:rPr>
        <w:t xml:space="preserve">This Chapter provides in detail the major socio-economic characteristics of the Delta region.  Section 2 provides a description of the data and methodology used for the analysis. Summary features at the aggregate hotspot level are discussed in section 3. </w:t>
      </w:r>
      <w:r w:rsidRPr="004B0A08">
        <w:rPr>
          <w:rFonts w:cs="Times New Roman"/>
          <w:i/>
          <w:szCs w:val="24"/>
        </w:rPr>
        <w:t>Against the main results of this aggregative analysis, section 4 provides a deeper District-level and sub-district level analysis of specific risks and vulnerabilities and how they impact on human welfare measured in terms of poverty and income.</w:t>
      </w:r>
      <w:r w:rsidRPr="00776905">
        <w:rPr>
          <w:rFonts w:cs="Times New Roman"/>
          <w:szCs w:val="24"/>
        </w:rPr>
        <w:t xml:space="preserve">  The section develops a simple analytical framework for classifying districts by the intensity of climate change and natural hazard risks and discusses how these are correlated to poverty and income.  Section 5 deepens this analysis further by picking up specific experiences of districts that have adapted to the various natural hazards to secure better poverty and income outcomes.  </w:t>
      </w:r>
    </w:p>
    <w:p w:rsidR="005E4867" w:rsidRDefault="005E4867" w:rsidP="005E4867">
      <w:pPr>
        <w:spacing w:line="276" w:lineRule="auto"/>
        <w:jc w:val="both"/>
        <w:rPr>
          <w:rFonts w:cs="Times New Roman"/>
          <w:szCs w:val="24"/>
        </w:rPr>
      </w:pPr>
    </w:p>
    <w:p w:rsidR="00F64A6A" w:rsidRDefault="005E4867" w:rsidP="00F64A6A">
      <w:pPr>
        <w:pStyle w:val="Heading2"/>
        <w:numPr>
          <w:ilvl w:val="0"/>
          <w:numId w:val="0"/>
        </w:numPr>
        <w:ind w:left="720"/>
      </w:pPr>
      <w:bookmarkStart w:id="124" w:name="_Toc474638850"/>
      <w:r w:rsidRPr="00A802C3">
        <w:lastRenderedPageBreak/>
        <w:t>Data and Methodology</w:t>
      </w:r>
      <w:bookmarkEnd w:id="124"/>
      <w:r w:rsidR="00A356FA" w:rsidRPr="00A802C3">
        <w:t xml:space="preserve"> </w:t>
      </w:r>
    </w:p>
    <w:p w:rsidR="00A356FA" w:rsidRPr="00F959A5" w:rsidRDefault="00F959A5" w:rsidP="00776905">
      <w:pPr>
        <w:spacing w:line="276" w:lineRule="auto"/>
        <w:jc w:val="both"/>
        <w:rPr>
          <w:rFonts w:cs="Times New Roman"/>
          <w:b/>
          <w:szCs w:val="24"/>
        </w:rPr>
      </w:pPr>
      <w:r>
        <w:rPr>
          <w:rFonts w:cs="Times New Roman"/>
          <w:b/>
          <w:szCs w:val="24"/>
        </w:rPr>
        <w:t xml:space="preserve">Data:  </w:t>
      </w:r>
      <w:r w:rsidR="00A356FA" w:rsidRPr="00776905">
        <w:rPr>
          <w:rFonts w:cs="Times New Roman"/>
          <w:szCs w:val="24"/>
        </w:rPr>
        <w:t>Proper understanding of the risks and vulnerabilities requires zeroing in to as much specificity as possible based on available data.  Fortunately, the Bangladesh Bureau of Statistics (BBS) conducts detailed periodic reviews of different socio-economic aspects of Bangladesh.  These data based on special-purpose surveys provide a wealth of informa</w:t>
      </w:r>
      <w:r w:rsidR="00446863">
        <w:rPr>
          <w:rFonts w:cs="Times New Roman"/>
          <w:szCs w:val="24"/>
        </w:rPr>
        <w:t>tion about how people are</w:t>
      </w:r>
      <w:r w:rsidR="00A356FA" w:rsidRPr="00776905">
        <w:rPr>
          <w:rFonts w:cs="Times New Roman"/>
          <w:szCs w:val="24"/>
        </w:rPr>
        <w:t xml:space="preserve"> faring in terms of d</w:t>
      </w:r>
      <w:r w:rsidR="00446863">
        <w:rPr>
          <w:rFonts w:cs="Times New Roman"/>
          <w:szCs w:val="24"/>
        </w:rPr>
        <w:t xml:space="preserve">ifferent socioeconomic indicators.  These </w:t>
      </w:r>
      <w:r w:rsidR="00D57CE3" w:rsidRPr="00776905">
        <w:rPr>
          <w:rFonts w:cs="Times New Roman"/>
          <w:szCs w:val="24"/>
        </w:rPr>
        <w:t>include population</w:t>
      </w:r>
      <w:r w:rsidR="00A356FA" w:rsidRPr="00776905">
        <w:rPr>
          <w:rFonts w:cs="Times New Roman"/>
          <w:szCs w:val="24"/>
        </w:rPr>
        <w:t xml:space="preserve">, household size, literacy, education, income, employment </w:t>
      </w:r>
      <w:r w:rsidR="00D57CE3" w:rsidRPr="00776905">
        <w:rPr>
          <w:rFonts w:cs="Times New Roman"/>
          <w:szCs w:val="24"/>
        </w:rPr>
        <w:t>and poverty</w:t>
      </w:r>
      <w:r w:rsidR="00A356FA" w:rsidRPr="00776905">
        <w:rPr>
          <w:rFonts w:cs="Times New Roman"/>
          <w:szCs w:val="24"/>
        </w:rPr>
        <w:t xml:space="preserve">. The surveys are at </w:t>
      </w:r>
      <w:r w:rsidR="00446863">
        <w:rPr>
          <w:rFonts w:cs="Times New Roman"/>
          <w:szCs w:val="24"/>
        </w:rPr>
        <w:t xml:space="preserve">the </w:t>
      </w:r>
      <w:r w:rsidR="00A356FA" w:rsidRPr="00776905">
        <w:rPr>
          <w:rFonts w:cs="Times New Roman"/>
          <w:szCs w:val="24"/>
        </w:rPr>
        <w:t xml:space="preserve">household level and cover all the </w:t>
      </w:r>
      <w:r w:rsidR="00F51D0D" w:rsidRPr="00776905">
        <w:rPr>
          <w:rFonts w:cs="Times New Roman"/>
          <w:szCs w:val="24"/>
        </w:rPr>
        <w:t>upazillas</w:t>
      </w:r>
      <w:r w:rsidR="00A356FA" w:rsidRPr="00776905">
        <w:rPr>
          <w:rFonts w:cs="Times New Roman"/>
          <w:szCs w:val="24"/>
        </w:rPr>
        <w:t xml:space="preserve"> of Bangladesh. Although the definition of the administrative divisions including the number of </w:t>
      </w:r>
      <w:r w:rsidR="00F51D0D" w:rsidRPr="00776905">
        <w:rPr>
          <w:rFonts w:cs="Times New Roman"/>
          <w:szCs w:val="24"/>
        </w:rPr>
        <w:t>upazillas</w:t>
      </w:r>
      <w:r w:rsidR="00A356FA" w:rsidRPr="00776905">
        <w:rPr>
          <w:rFonts w:cs="Times New Roman"/>
          <w:szCs w:val="24"/>
        </w:rPr>
        <w:t xml:space="preserve"> have changed over time and the measurement of income is fraught with estimation problems, the da</w:t>
      </w:r>
      <w:r w:rsidR="00446863">
        <w:rPr>
          <w:rFonts w:cs="Times New Roman"/>
          <w:szCs w:val="24"/>
        </w:rPr>
        <w:t>ta nevertheless</w:t>
      </w:r>
      <w:r w:rsidR="00A356FA" w:rsidRPr="00776905">
        <w:rPr>
          <w:rFonts w:cs="Times New Roman"/>
          <w:szCs w:val="24"/>
        </w:rPr>
        <w:t xml:space="preserve"> provide major insights on the welfare of the Bangladeshi population over time and spatially. The population and poverty data are particularly telling and </w:t>
      </w:r>
      <w:r w:rsidR="00446863">
        <w:rPr>
          <w:rFonts w:cs="Times New Roman"/>
          <w:szCs w:val="24"/>
        </w:rPr>
        <w:t xml:space="preserve">constitute </w:t>
      </w:r>
      <w:r w:rsidR="00A356FA" w:rsidRPr="00776905">
        <w:rPr>
          <w:rFonts w:cs="Times New Roman"/>
          <w:szCs w:val="24"/>
        </w:rPr>
        <w:t xml:space="preserve">important indicators </w:t>
      </w:r>
      <w:r w:rsidR="00446863">
        <w:rPr>
          <w:rFonts w:cs="Times New Roman"/>
          <w:szCs w:val="24"/>
        </w:rPr>
        <w:t xml:space="preserve">about </w:t>
      </w:r>
      <w:r w:rsidR="00A356FA" w:rsidRPr="00776905">
        <w:rPr>
          <w:rFonts w:cs="Times New Roman"/>
          <w:szCs w:val="24"/>
        </w:rPr>
        <w:t>how the country is adjusting to various opportunities and risks including from geography and climate change.</w:t>
      </w:r>
    </w:p>
    <w:p w:rsidR="00A356FA" w:rsidRPr="0031015D" w:rsidRDefault="00A356FA" w:rsidP="0031015D">
      <w:pPr>
        <w:spacing w:line="276" w:lineRule="auto"/>
        <w:jc w:val="both"/>
        <w:rPr>
          <w:rFonts w:cs="Times New Roman"/>
          <w:szCs w:val="24"/>
        </w:rPr>
      </w:pPr>
      <w:r w:rsidRPr="0031015D">
        <w:rPr>
          <w:rFonts w:cs="Times New Roman"/>
          <w:szCs w:val="24"/>
        </w:rPr>
        <w:t xml:space="preserve">The </w:t>
      </w:r>
      <w:r w:rsidR="00C1125F">
        <w:rPr>
          <w:rFonts w:cs="Times New Roman"/>
          <w:szCs w:val="24"/>
        </w:rPr>
        <w:t>analysis of the C</w:t>
      </w:r>
      <w:r w:rsidRPr="0031015D">
        <w:rPr>
          <w:rFonts w:cs="Times New Roman"/>
          <w:szCs w:val="24"/>
        </w:rPr>
        <w:t xml:space="preserve">hapter is based on the unit record data of four major sample surveys conducted by the Bangladesh Bureau of Statistics (BBS). They include:  Household Income and Expenditure Survey (HIES) 2000 and 2010; and Labour Force Surveys (LFS) 2000 and 2013. The choice of years of the surveys depended on two considerations – (i) to track at least the decadal trends beginning </w:t>
      </w:r>
      <w:r w:rsidR="00446863">
        <w:rPr>
          <w:rFonts w:cs="Times New Roman"/>
          <w:szCs w:val="24"/>
        </w:rPr>
        <w:t xml:space="preserve">in </w:t>
      </w:r>
      <w:r w:rsidRPr="0031015D">
        <w:rPr>
          <w:rFonts w:cs="Times New Roman"/>
          <w:szCs w:val="24"/>
        </w:rPr>
        <w:t>2000 and (ii) use the most recent information where available. In additional to these surveys, information of Population Census 2001 and 2011 are also used. Brief descriptions of the four sample surveys are provided below.</w:t>
      </w:r>
    </w:p>
    <w:tbl>
      <w:tblPr>
        <w:tblStyle w:val="TableGrid"/>
        <w:tblW w:w="5195" w:type="pct"/>
        <w:jc w:val="center"/>
        <w:shd w:val="clear" w:color="auto" w:fill="F2F2F2" w:themeFill="background1" w:themeFillShade="F2"/>
        <w:tblLook w:val="04A0"/>
      </w:tblPr>
      <w:tblGrid>
        <w:gridCol w:w="9949"/>
      </w:tblGrid>
      <w:tr w:rsidR="00A356FA" w:rsidRPr="00776905" w:rsidTr="00FF6BC0">
        <w:trPr>
          <w:trHeight w:val="4967"/>
          <w:jc w:val="center"/>
        </w:trPr>
        <w:tc>
          <w:tcPr>
            <w:tcW w:w="5000" w:type="pct"/>
            <w:shd w:val="clear" w:color="auto" w:fill="F2F2F2" w:themeFill="background1" w:themeFillShade="F2"/>
          </w:tcPr>
          <w:p w:rsidR="00A356FA" w:rsidRPr="00944687" w:rsidRDefault="00A356FA" w:rsidP="00944687">
            <w:pPr>
              <w:pStyle w:val="Heading7"/>
              <w:outlineLvl w:val="6"/>
            </w:pPr>
            <w:bookmarkStart w:id="125" w:name="_Toc474639325"/>
            <w:r w:rsidRPr="00944687">
              <w:t>Box 2.1: Description of Sample Surveys</w:t>
            </w:r>
            <w:bookmarkEnd w:id="125"/>
          </w:p>
          <w:p w:rsidR="00A356FA" w:rsidRPr="00776905" w:rsidRDefault="00A356FA" w:rsidP="00A356FA">
            <w:pPr>
              <w:jc w:val="both"/>
              <w:rPr>
                <w:rFonts w:cs="Times New Roman"/>
                <w:sz w:val="20"/>
                <w:szCs w:val="20"/>
              </w:rPr>
            </w:pPr>
            <w:r w:rsidRPr="00776905">
              <w:rPr>
                <w:rFonts w:cs="Times New Roman"/>
                <w:b/>
                <w:sz w:val="20"/>
                <w:szCs w:val="20"/>
              </w:rPr>
              <w:t>Household Income and Expenditure Survey (HIES)</w:t>
            </w:r>
            <w:r w:rsidRPr="00776905">
              <w:rPr>
                <w:rFonts w:cs="Times New Roman"/>
                <w:sz w:val="20"/>
                <w:szCs w:val="20"/>
              </w:rPr>
              <w:t xml:space="preserve"> is one of the core activities of the BBS. It contains a broad collection of socio-economic information at the household level. The HIES is composed of 9 sections. This survey provides valuable data on household income, expenditure, consumption, savings, housing condition, education, employment, health and sanitation, water supply and electricity, etc. The survey data can also be used for compilation of national accounts of the household sectors, analysis of poverty circumstances and other information on household related characteristics. It also provides the weights for computation of Current Price Index (CPI). It has become the </w:t>
            </w:r>
            <w:r w:rsidR="00F4451D">
              <w:rPr>
                <w:rFonts w:cs="Times New Roman"/>
                <w:sz w:val="20"/>
                <w:szCs w:val="20"/>
              </w:rPr>
              <w:t>important</w:t>
            </w:r>
            <w:r w:rsidR="00F4451D" w:rsidRPr="00776905">
              <w:rPr>
                <w:rFonts w:cs="Times New Roman"/>
                <w:sz w:val="20"/>
                <w:szCs w:val="20"/>
              </w:rPr>
              <w:t xml:space="preserve"> </w:t>
            </w:r>
            <w:r w:rsidRPr="00776905">
              <w:rPr>
                <w:rFonts w:cs="Times New Roman"/>
                <w:sz w:val="20"/>
                <w:szCs w:val="20"/>
              </w:rPr>
              <w:t xml:space="preserve">data source for </w:t>
            </w:r>
            <w:r w:rsidR="00C1125F">
              <w:rPr>
                <w:rFonts w:cs="Times New Roman"/>
                <w:sz w:val="20"/>
                <w:szCs w:val="20"/>
              </w:rPr>
              <w:t xml:space="preserve">the </w:t>
            </w:r>
            <w:r w:rsidRPr="00776905">
              <w:rPr>
                <w:rFonts w:cs="Times New Roman"/>
                <w:sz w:val="20"/>
                <w:szCs w:val="20"/>
              </w:rPr>
              <w:t>preparation of Five Year Plans (FYP). It is also used for monitoring the progress of poverty reduction and the Millennium Development Goals (MDGs) indicators. HIES has been conducted at five year interval. The most recent HIES in Bangladesh are HIES 2000, HIES 2005 and HIES 2010.</w:t>
            </w:r>
          </w:p>
          <w:p w:rsidR="00A356FA" w:rsidRPr="00776905" w:rsidRDefault="00A356FA" w:rsidP="00446863">
            <w:pPr>
              <w:spacing w:after="0"/>
              <w:jc w:val="both"/>
              <w:rPr>
                <w:rFonts w:cs="Times New Roman"/>
                <w:sz w:val="20"/>
                <w:szCs w:val="20"/>
              </w:rPr>
            </w:pPr>
            <w:r w:rsidRPr="00776905">
              <w:rPr>
                <w:rFonts w:cs="Times New Roman"/>
                <w:b/>
                <w:sz w:val="20"/>
                <w:szCs w:val="20"/>
              </w:rPr>
              <w:t>Labour Force Survey (LFS)</w:t>
            </w:r>
            <w:r w:rsidRPr="00776905">
              <w:rPr>
                <w:rFonts w:cs="Times New Roman"/>
                <w:sz w:val="20"/>
                <w:szCs w:val="20"/>
              </w:rPr>
              <w:t xml:space="preserve"> is a comprehensive data base on current activity status of the population aged 15 years and over. It has been conducted to: estimate the size of the labour force (economically active population) by age, gender, education and locality; estimate the number of employed persons by occupation, industry and status of employment; assess the demographic and socio-economic characteristics of current labour force; assess the average hours worked, earnings, etc. of employed persons; assess the extent of unemployment/underemployment; and estimate the number of educated unemployed by age, gender and locality etc. LFS has been conducted on a regular basis with more or less three years interval since 1980. The most recent LFS’s in Bangladesh are LFS 2002-03, LFS </w:t>
            </w:r>
            <w:r w:rsidR="00776905" w:rsidRPr="00776905">
              <w:rPr>
                <w:rFonts w:cs="Times New Roman"/>
                <w:sz w:val="20"/>
                <w:szCs w:val="20"/>
              </w:rPr>
              <w:t>2005-06, LFS 2010 and LFS 2013.</w:t>
            </w:r>
          </w:p>
        </w:tc>
      </w:tr>
    </w:tbl>
    <w:p w:rsidR="00F959A5" w:rsidRDefault="00F959A5" w:rsidP="0031015D">
      <w:pPr>
        <w:spacing w:line="276" w:lineRule="auto"/>
        <w:jc w:val="both"/>
        <w:rPr>
          <w:rFonts w:cs="Times New Roman"/>
          <w:b/>
        </w:rPr>
      </w:pPr>
    </w:p>
    <w:p w:rsidR="00A356FA" w:rsidRPr="0031015D" w:rsidRDefault="00A356FA" w:rsidP="0031015D">
      <w:pPr>
        <w:spacing w:line="276" w:lineRule="auto"/>
        <w:jc w:val="both"/>
        <w:rPr>
          <w:rFonts w:cs="Times New Roman"/>
        </w:rPr>
      </w:pPr>
      <w:r w:rsidRPr="0031015D">
        <w:rPr>
          <w:rFonts w:cs="Times New Roman"/>
          <w:b/>
        </w:rPr>
        <w:lastRenderedPageBreak/>
        <w:t>Methodology</w:t>
      </w:r>
      <w:r w:rsidR="00F959A5">
        <w:rPr>
          <w:rFonts w:cs="Times New Roman"/>
        </w:rPr>
        <w:t xml:space="preserve">:  </w:t>
      </w:r>
      <w:r w:rsidRPr="0031015D">
        <w:rPr>
          <w:rFonts w:cs="Times New Roman"/>
        </w:rPr>
        <w:t xml:space="preserve">One </w:t>
      </w:r>
      <w:r w:rsidR="00A3763A" w:rsidRPr="0031015D">
        <w:rPr>
          <w:rFonts w:cs="Times New Roman"/>
        </w:rPr>
        <w:t>of the</w:t>
      </w:r>
      <w:r w:rsidR="00C6636B">
        <w:rPr>
          <w:rFonts w:cs="Times New Roman"/>
        </w:rPr>
        <w:t xml:space="preserve"> objectives of the C</w:t>
      </w:r>
      <w:r w:rsidRPr="0031015D">
        <w:rPr>
          <w:rFonts w:cs="Times New Roman"/>
        </w:rPr>
        <w:t>hapter is to derive the socio-economic characteristics of the 6 Delta Hotspots using the available survey information.  Data contained in the surveys are associated with the highest administra</w:t>
      </w:r>
      <w:r w:rsidR="00C6636B">
        <w:rPr>
          <w:rFonts w:cs="Times New Roman"/>
        </w:rPr>
        <w:t>tive unit (</w:t>
      </w:r>
      <w:r w:rsidRPr="0031015D">
        <w:rPr>
          <w:rFonts w:cs="Times New Roman"/>
        </w:rPr>
        <w:t>Divisions) to the l</w:t>
      </w:r>
      <w:r w:rsidR="00C6636B">
        <w:rPr>
          <w:rFonts w:cs="Times New Roman"/>
        </w:rPr>
        <w:t>owest administrative unit (Upazillas/Thanas).  Assigning data to the 6 Delta Hotspots involves</w:t>
      </w:r>
      <w:r w:rsidRPr="0031015D">
        <w:rPr>
          <w:rFonts w:cs="Times New Roman"/>
        </w:rPr>
        <w:t xml:space="preserve"> extensive map</w:t>
      </w:r>
      <w:r w:rsidR="00C6636B">
        <w:rPr>
          <w:rFonts w:cs="Times New Roman"/>
        </w:rPr>
        <w:t xml:space="preserve">ping exercises </w:t>
      </w:r>
      <w:r w:rsidRPr="0031015D">
        <w:rPr>
          <w:rFonts w:cs="Times New Roman"/>
        </w:rPr>
        <w:t xml:space="preserve">using the lowest administrative units of the surveys and definitions/maps of the 6 Delta Hotspots. </w:t>
      </w:r>
      <w:r w:rsidR="00C6636B">
        <w:rPr>
          <w:rFonts w:cs="Times New Roman"/>
        </w:rPr>
        <w:t xml:space="preserve"> Specifically, the s</w:t>
      </w:r>
      <w:r w:rsidRPr="0031015D">
        <w:rPr>
          <w:rFonts w:cs="Times New Roman"/>
        </w:rPr>
        <w:t>teps include:</w:t>
      </w:r>
    </w:p>
    <w:p w:rsidR="00A356FA" w:rsidRPr="0031015D" w:rsidRDefault="00F51D0D" w:rsidP="00D1493C">
      <w:pPr>
        <w:pStyle w:val="ListParagraph"/>
        <w:numPr>
          <w:ilvl w:val="0"/>
          <w:numId w:val="4"/>
        </w:numPr>
        <w:spacing w:line="276" w:lineRule="auto"/>
        <w:ind w:left="720"/>
        <w:jc w:val="both"/>
        <w:rPr>
          <w:rFonts w:cs="Times New Roman"/>
        </w:rPr>
      </w:pPr>
      <w:r w:rsidRPr="0031015D">
        <w:rPr>
          <w:rFonts w:cs="Times New Roman"/>
        </w:rPr>
        <w:t>Identifying</w:t>
      </w:r>
      <w:r w:rsidR="00A356FA" w:rsidRPr="0031015D">
        <w:rPr>
          <w:rFonts w:cs="Times New Roman"/>
        </w:rPr>
        <w:t xml:space="preserve"> the lowest administrative units with description and code (i.e. as defined in the respective surveys).</w:t>
      </w:r>
    </w:p>
    <w:p w:rsidR="00A356FA" w:rsidRPr="0031015D" w:rsidRDefault="00A356FA" w:rsidP="00D1493C">
      <w:pPr>
        <w:pStyle w:val="ListParagraph"/>
        <w:numPr>
          <w:ilvl w:val="0"/>
          <w:numId w:val="4"/>
        </w:numPr>
        <w:spacing w:line="276" w:lineRule="auto"/>
        <w:ind w:left="720"/>
        <w:jc w:val="both"/>
        <w:rPr>
          <w:rFonts w:cs="Times New Roman"/>
        </w:rPr>
      </w:pPr>
      <w:r w:rsidRPr="0031015D">
        <w:rPr>
          <w:rFonts w:cs="Times New Roman"/>
        </w:rPr>
        <w:t xml:space="preserve">Assigning codes to the 6 Hotspots. These are:  </w:t>
      </w:r>
    </w:p>
    <w:p w:rsidR="00A356FA" w:rsidRPr="0031015D" w:rsidRDefault="00A356FA" w:rsidP="00D1493C">
      <w:pPr>
        <w:pStyle w:val="ListParagraph"/>
        <w:numPr>
          <w:ilvl w:val="0"/>
          <w:numId w:val="3"/>
        </w:numPr>
        <w:spacing w:line="276" w:lineRule="auto"/>
        <w:ind w:left="1080"/>
        <w:jc w:val="both"/>
        <w:rPr>
          <w:rFonts w:cs="Times New Roman"/>
          <w:i/>
        </w:rPr>
      </w:pPr>
      <w:r w:rsidRPr="0031015D">
        <w:rPr>
          <w:rFonts w:cs="Times New Roman"/>
          <w:i/>
        </w:rPr>
        <w:t>The Haor Region (Code 06)</w:t>
      </w:r>
    </w:p>
    <w:p w:rsidR="00A356FA" w:rsidRPr="0031015D" w:rsidRDefault="00A356FA" w:rsidP="00D1493C">
      <w:pPr>
        <w:pStyle w:val="ListParagraph"/>
        <w:numPr>
          <w:ilvl w:val="0"/>
          <w:numId w:val="3"/>
        </w:numPr>
        <w:spacing w:line="276" w:lineRule="auto"/>
        <w:ind w:left="1080"/>
        <w:jc w:val="both"/>
        <w:rPr>
          <w:rFonts w:cs="Times New Roman"/>
          <w:i/>
        </w:rPr>
      </w:pPr>
      <w:r w:rsidRPr="0031015D">
        <w:rPr>
          <w:rFonts w:cs="Times New Roman"/>
          <w:i/>
        </w:rPr>
        <w:t>The Coastal Region (Code 03)</w:t>
      </w:r>
    </w:p>
    <w:p w:rsidR="00A356FA" w:rsidRPr="0031015D" w:rsidRDefault="00A356FA" w:rsidP="00D1493C">
      <w:pPr>
        <w:pStyle w:val="ListParagraph"/>
        <w:numPr>
          <w:ilvl w:val="0"/>
          <w:numId w:val="3"/>
        </w:numPr>
        <w:spacing w:line="276" w:lineRule="auto"/>
        <w:ind w:left="1080"/>
        <w:jc w:val="both"/>
        <w:rPr>
          <w:rFonts w:cs="Times New Roman"/>
          <w:i/>
        </w:rPr>
      </w:pPr>
      <w:r w:rsidRPr="0031015D">
        <w:rPr>
          <w:rFonts w:cs="Times New Roman"/>
          <w:i/>
        </w:rPr>
        <w:t xml:space="preserve">The Rivers and </w:t>
      </w:r>
      <w:r w:rsidR="00FC5D93" w:rsidRPr="0031015D">
        <w:rPr>
          <w:rFonts w:cs="Times New Roman"/>
          <w:i/>
        </w:rPr>
        <w:t>Estuar</w:t>
      </w:r>
      <w:r w:rsidR="00FC5D93">
        <w:rPr>
          <w:rFonts w:cs="Times New Roman"/>
          <w:i/>
        </w:rPr>
        <w:t>ies</w:t>
      </w:r>
      <w:r w:rsidR="00FC5D93" w:rsidRPr="0031015D">
        <w:rPr>
          <w:rFonts w:cs="Times New Roman"/>
          <w:i/>
        </w:rPr>
        <w:t xml:space="preserve"> </w:t>
      </w:r>
      <w:r w:rsidRPr="0031015D">
        <w:rPr>
          <w:rFonts w:cs="Times New Roman"/>
          <w:i/>
        </w:rPr>
        <w:t>Region (Code 02)</w:t>
      </w:r>
    </w:p>
    <w:p w:rsidR="00A356FA" w:rsidRPr="0031015D" w:rsidRDefault="00A356FA" w:rsidP="00D1493C">
      <w:pPr>
        <w:pStyle w:val="ListParagraph"/>
        <w:numPr>
          <w:ilvl w:val="0"/>
          <w:numId w:val="3"/>
        </w:numPr>
        <w:spacing w:line="276" w:lineRule="auto"/>
        <w:ind w:left="1080"/>
        <w:jc w:val="both"/>
        <w:rPr>
          <w:rFonts w:cs="Times New Roman"/>
          <w:i/>
        </w:rPr>
      </w:pPr>
      <w:r w:rsidRPr="0031015D">
        <w:rPr>
          <w:rFonts w:cs="Times New Roman"/>
          <w:i/>
        </w:rPr>
        <w:t xml:space="preserve">The </w:t>
      </w:r>
      <w:r w:rsidR="004F7097">
        <w:rPr>
          <w:rFonts w:cs="Times New Roman"/>
          <w:i/>
        </w:rPr>
        <w:t xml:space="preserve">Barind and </w:t>
      </w:r>
      <w:r w:rsidRPr="0031015D">
        <w:rPr>
          <w:rFonts w:cs="Times New Roman"/>
          <w:i/>
        </w:rPr>
        <w:t>Drought Prone Region (Code 04)</w:t>
      </w:r>
    </w:p>
    <w:p w:rsidR="00A356FA" w:rsidRPr="0031015D" w:rsidRDefault="00A356FA" w:rsidP="00D1493C">
      <w:pPr>
        <w:pStyle w:val="ListParagraph"/>
        <w:numPr>
          <w:ilvl w:val="0"/>
          <w:numId w:val="3"/>
        </w:numPr>
        <w:spacing w:line="276" w:lineRule="auto"/>
        <w:ind w:left="1080"/>
        <w:jc w:val="both"/>
        <w:rPr>
          <w:rFonts w:cs="Times New Roman"/>
          <w:i/>
        </w:rPr>
      </w:pPr>
      <w:r w:rsidRPr="0031015D">
        <w:rPr>
          <w:rFonts w:cs="Times New Roman"/>
          <w:i/>
        </w:rPr>
        <w:t>The Urban Areas (Code 01)</w:t>
      </w:r>
    </w:p>
    <w:p w:rsidR="00A356FA" w:rsidRPr="0031015D" w:rsidRDefault="00A356FA" w:rsidP="00D1493C">
      <w:pPr>
        <w:pStyle w:val="ListParagraph"/>
        <w:numPr>
          <w:ilvl w:val="0"/>
          <w:numId w:val="3"/>
        </w:numPr>
        <w:spacing w:line="276" w:lineRule="auto"/>
        <w:ind w:left="1080"/>
        <w:jc w:val="both"/>
        <w:rPr>
          <w:rFonts w:cs="Times New Roman"/>
          <w:i/>
        </w:rPr>
      </w:pPr>
      <w:r w:rsidRPr="0031015D">
        <w:rPr>
          <w:rFonts w:cs="Times New Roman"/>
          <w:i/>
        </w:rPr>
        <w:t>The Chittagong Hill Tracts (Code 05)</w:t>
      </w:r>
    </w:p>
    <w:p w:rsidR="00A356FA" w:rsidRPr="0031015D" w:rsidRDefault="00A356FA" w:rsidP="00D1493C">
      <w:pPr>
        <w:pStyle w:val="ListParagraph"/>
        <w:numPr>
          <w:ilvl w:val="0"/>
          <w:numId w:val="4"/>
        </w:numPr>
        <w:spacing w:line="276" w:lineRule="auto"/>
        <w:ind w:left="720"/>
        <w:jc w:val="both"/>
        <w:rPr>
          <w:rFonts w:cs="Times New Roman"/>
        </w:rPr>
      </w:pPr>
      <w:r w:rsidRPr="0031015D">
        <w:rPr>
          <w:rFonts w:cs="Times New Roman"/>
        </w:rPr>
        <w:t>Recoding all lowest survey administrative units to the 6 Delta Hotspots codes. The lowest administrative units which are not mapped to the 6 Delta Hotspots have defaul</w:t>
      </w:r>
      <w:r w:rsidR="00C6636B">
        <w:rPr>
          <w:rFonts w:cs="Times New Roman"/>
        </w:rPr>
        <w:t>t code 00 and named as “safe</w:t>
      </w:r>
      <w:r w:rsidRPr="0031015D">
        <w:rPr>
          <w:rFonts w:cs="Times New Roman"/>
        </w:rPr>
        <w:t xml:space="preserve"> region</w:t>
      </w:r>
      <w:r w:rsidR="00C6636B">
        <w:rPr>
          <w:rFonts w:cs="Times New Roman"/>
        </w:rPr>
        <w:t>”</w:t>
      </w:r>
      <w:r w:rsidRPr="0031015D">
        <w:rPr>
          <w:rFonts w:cs="Times New Roman"/>
        </w:rPr>
        <w:t xml:space="preserve">. STATA software has been used for recoding and socio-economic information generation.  </w:t>
      </w:r>
    </w:p>
    <w:p w:rsidR="00A356FA" w:rsidRDefault="00A356FA" w:rsidP="00D1493C">
      <w:pPr>
        <w:pStyle w:val="ListParagraph"/>
        <w:numPr>
          <w:ilvl w:val="0"/>
          <w:numId w:val="4"/>
        </w:numPr>
        <w:spacing w:line="276" w:lineRule="auto"/>
        <w:ind w:left="720"/>
        <w:jc w:val="both"/>
        <w:rPr>
          <w:rFonts w:cs="Times New Roman"/>
        </w:rPr>
      </w:pPr>
      <w:r w:rsidRPr="0031015D">
        <w:rPr>
          <w:rFonts w:cs="Times New Roman"/>
        </w:rPr>
        <w:t xml:space="preserve">The distribution of lowest administrative units according to the 6 Delta Hotspots for HIES 2010 is provided in Figure 2.1 as an example. </w:t>
      </w:r>
    </w:p>
    <w:p w:rsidR="004F7097" w:rsidRPr="00A3763A" w:rsidRDefault="00A3763A" w:rsidP="004F7097">
      <w:pPr>
        <w:pStyle w:val="Heading5"/>
      </w:pPr>
      <w:bookmarkStart w:id="126" w:name="_Toc474639164"/>
      <w:r w:rsidRPr="00A3763A">
        <w:t xml:space="preserve">Figure 2.1: Distribution of </w:t>
      </w:r>
      <w:r w:rsidR="00F51D0D" w:rsidRPr="00A3763A">
        <w:t>Upazillas</w:t>
      </w:r>
      <w:r w:rsidRPr="00A3763A">
        <w:t xml:space="preserve"> by Hotspots</w:t>
      </w:r>
      <w:bookmarkEnd w:id="126"/>
      <w:r w:rsidR="004F7097">
        <w:t xml:space="preserve"> (name of the Hotspots in the Graph needs correction)</w:t>
      </w:r>
    </w:p>
    <w:p w:rsidR="00A3763A" w:rsidRPr="00A3763A" w:rsidRDefault="00A3763A" w:rsidP="00944687">
      <w:pPr>
        <w:pStyle w:val="Heading5"/>
      </w:pPr>
    </w:p>
    <w:p w:rsidR="00A356FA" w:rsidRDefault="00A356FA" w:rsidP="00A3763A">
      <w:pPr>
        <w:spacing w:after="0"/>
        <w:jc w:val="center"/>
        <w:rPr>
          <w:rFonts w:cstheme="minorHAnsi"/>
        </w:rPr>
      </w:pPr>
      <w:r w:rsidRPr="003243EC">
        <w:rPr>
          <w:rFonts w:cstheme="minorHAnsi"/>
          <w:noProof/>
          <w:lang w:val="en-AU" w:eastAsia="en-AU" w:bidi="bn-BD"/>
        </w:rPr>
        <w:drawing>
          <wp:inline distT="0" distB="0" distL="0" distR="0">
            <wp:extent cx="4876800" cy="2600325"/>
            <wp:effectExtent l="0" t="0" r="19050" b="952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356FA" w:rsidRPr="0031015D" w:rsidRDefault="00A356FA" w:rsidP="00C6636B">
      <w:pPr>
        <w:spacing w:before="120" w:after="120" w:line="276" w:lineRule="auto"/>
        <w:ind w:left="1080"/>
        <w:jc w:val="both"/>
        <w:rPr>
          <w:rFonts w:cs="Times New Roman"/>
          <w:b/>
          <w:i/>
          <w:sz w:val="20"/>
        </w:rPr>
      </w:pPr>
      <w:r w:rsidRPr="0031015D">
        <w:rPr>
          <w:rFonts w:cs="Times New Roman"/>
          <w:b/>
          <w:i/>
          <w:sz w:val="20"/>
        </w:rPr>
        <w:t xml:space="preserve">Source: </w:t>
      </w:r>
      <w:r w:rsidR="00F4451D">
        <w:rPr>
          <w:rFonts w:cs="Times New Roman"/>
          <w:b/>
          <w:i/>
          <w:sz w:val="20"/>
        </w:rPr>
        <w:t>GED</w:t>
      </w:r>
      <w:r w:rsidRPr="0031015D">
        <w:rPr>
          <w:rFonts w:cs="Times New Roman"/>
          <w:b/>
          <w:i/>
          <w:sz w:val="20"/>
        </w:rPr>
        <w:t xml:space="preserve"> Estimate</w:t>
      </w:r>
      <w:r w:rsidR="00F4451D">
        <w:rPr>
          <w:rFonts w:cs="Times New Roman"/>
          <w:b/>
          <w:i/>
          <w:sz w:val="20"/>
        </w:rPr>
        <w:t>s</w:t>
      </w:r>
      <w:r w:rsidRPr="0031015D">
        <w:rPr>
          <w:rFonts w:cs="Times New Roman"/>
          <w:b/>
          <w:i/>
          <w:sz w:val="20"/>
        </w:rPr>
        <w:t>.</w:t>
      </w:r>
    </w:p>
    <w:p w:rsidR="00A356FA" w:rsidRPr="0031015D" w:rsidRDefault="00A356FA" w:rsidP="00A3763A">
      <w:pPr>
        <w:spacing w:line="276" w:lineRule="auto"/>
        <w:ind w:left="1080"/>
        <w:jc w:val="both"/>
        <w:rPr>
          <w:rFonts w:cs="Times New Roman"/>
          <w:sz w:val="20"/>
        </w:rPr>
      </w:pPr>
      <w:r w:rsidRPr="0031015D">
        <w:rPr>
          <w:rFonts w:cs="Times New Roman"/>
          <w:sz w:val="20"/>
        </w:rPr>
        <w:lastRenderedPageBreak/>
        <w:t>Note: In the case of urban region – the lowest administrative unit considered is Thana</w:t>
      </w:r>
    </w:p>
    <w:p w:rsidR="00F64A6A" w:rsidRDefault="006A60FB" w:rsidP="00F64A6A">
      <w:pPr>
        <w:pStyle w:val="Heading2"/>
      </w:pPr>
      <w:bookmarkStart w:id="127" w:name="_Toc474638851"/>
      <w:r>
        <w:t>Basic Hotspot Indicators</w:t>
      </w:r>
      <w:bookmarkEnd w:id="127"/>
    </w:p>
    <w:p w:rsidR="00A356FA" w:rsidRPr="00A3763A" w:rsidRDefault="00846FC2" w:rsidP="00A3763A">
      <w:pPr>
        <w:spacing w:line="276" w:lineRule="auto"/>
        <w:jc w:val="both"/>
        <w:rPr>
          <w:rFonts w:cs="Times New Roman"/>
          <w:szCs w:val="24"/>
        </w:rPr>
      </w:pPr>
      <w:r w:rsidRPr="00A3763A">
        <w:rPr>
          <w:rFonts w:cs="Times New Roman"/>
          <w:b/>
          <w:szCs w:val="24"/>
        </w:rPr>
        <w:t>Population distribution:</w:t>
      </w:r>
      <w:r w:rsidRPr="00A3763A">
        <w:rPr>
          <w:rFonts w:cs="Times New Roman"/>
          <w:szCs w:val="24"/>
        </w:rPr>
        <w:t xml:space="preserve"> Basic indicators related to area and population are provided in </w:t>
      </w:r>
      <w:fldSimple w:instr=" REF _Ref450042051 \h  \* MERGEFORMAT ">
        <w:r w:rsidR="00F64A6A" w:rsidRPr="00F64A6A">
          <w:rPr>
            <w:rFonts w:cs="Times New Roman"/>
            <w:color w:val="000000" w:themeColor="text1"/>
            <w:szCs w:val="24"/>
          </w:rPr>
          <w:t>Table 2.</w:t>
        </w:r>
      </w:fldSimple>
      <w:r w:rsidR="00A356FA" w:rsidRPr="00A3763A">
        <w:rPr>
          <w:rFonts w:cs="Times New Roman"/>
          <w:szCs w:val="24"/>
        </w:rPr>
        <w:t xml:space="preserve">The River and Estuaries constitute the majority share of Bangladesh’s population, followed by urban areas.  </w:t>
      </w:r>
      <w:r w:rsidR="00A356FA" w:rsidRPr="004B0A08">
        <w:rPr>
          <w:rFonts w:cs="Times New Roman"/>
          <w:i/>
          <w:szCs w:val="24"/>
        </w:rPr>
        <w:t>The urban areas have the highest population density. Drought prone region and River and Estuaries also have high population density with more than 1000 person per square kilometer.</w:t>
      </w:r>
      <w:r w:rsidR="00A356FA" w:rsidRPr="00A3763A">
        <w:rPr>
          <w:rFonts w:cs="Times New Roman"/>
          <w:szCs w:val="24"/>
        </w:rPr>
        <w:t xml:space="preserve"> The Chittagong Hill Tracts (CHT) area has a small share of the country's population and has low population density per square kilometer.  </w:t>
      </w:r>
    </w:p>
    <w:p w:rsidR="00A356FA" w:rsidRDefault="00EB2DC9" w:rsidP="00944687">
      <w:pPr>
        <w:pStyle w:val="Heading4"/>
      </w:pPr>
      <w:bookmarkStart w:id="128" w:name="_Ref450042051"/>
      <w:bookmarkStart w:id="129" w:name="_Toc450078590"/>
      <w:bookmarkStart w:id="130" w:name="_Toc474638997"/>
      <w:r>
        <w:t xml:space="preserve">Table </w:t>
      </w:r>
      <w:r w:rsidRPr="00A3763A">
        <w:t>2.</w:t>
      </w:r>
      <w:bookmarkEnd w:id="128"/>
      <w:r w:rsidR="00DA1E41">
        <w:t>1</w:t>
      </w:r>
      <w:r w:rsidR="00A356FA" w:rsidRPr="00A3763A">
        <w:t>: Basic Indicators – Population and Area</w:t>
      </w:r>
      <w:bookmarkEnd w:id="129"/>
      <w:bookmarkEnd w:id="130"/>
    </w:p>
    <w:tbl>
      <w:tblPr>
        <w:tblW w:w="9460" w:type="dxa"/>
        <w:tblInd w:w="98" w:type="dxa"/>
        <w:tblLook w:val="04A0"/>
      </w:tblPr>
      <w:tblGrid>
        <w:gridCol w:w="1024"/>
        <w:gridCol w:w="990"/>
        <w:gridCol w:w="696"/>
        <w:gridCol w:w="900"/>
        <w:gridCol w:w="720"/>
        <w:gridCol w:w="810"/>
        <w:gridCol w:w="1080"/>
        <w:gridCol w:w="810"/>
        <w:gridCol w:w="900"/>
        <w:gridCol w:w="720"/>
        <w:gridCol w:w="810"/>
      </w:tblGrid>
      <w:tr w:rsidR="001F4BBC" w:rsidRPr="001F4BBC" w:rsidTr="001F4BBC">
        <w:trPr>
          <w:cantSplit/>
          <w:trHeight w:val="1005"/>
        </w:trPr>
        <w:tc>
          <w:tcPr>
            <w:tcW w:w="1090" w:type="dxa"/>
            <w:tcBorders>
              <w:top w:val="single" w:sz="8" w:space="0" w:color="auto"/>
              <w:left w:val="single" w:sz="8" w:space="0" w:color="auto"/>
              <w:bottom w:val="single" w:sz="8" w:space="0" w:color="auto"/>
              <w:right w:val="single" w:sz="8" w:space="0" w:color="auto"/>
            </w:tcBorders>
            <w:shd w:val="clear" w:color="auto" w:fill="auto"/>
            <w:textDirection w:val="btLr"/>
            <w:vAlign w:val="center"/>
            <w:hideMark/>
          </w:tcPr>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Hotspot</w:t>
            </w:r>
          </w:p>
        </w:tc>
        <w:tc>
          <w:tcPr>
            <w:tcW w:w="990" w:type="dxa"/>
            <w:tcBorders>
              <w:top w:val="single" w:sz="8" w:space="0" w:color="auto"/>
              <w:left w:val="nil"/>
              <w:bottom w:val="single" w:sz="8" w:space="0" w:color="auto"/>
              <w:right w:val="single" w:sz="8" w:space="0" w:color="auto"/>
            </w:tcBorders>
            <w:shd w:val="clear" w:color="auto" w:fill="auto"/>
            <w:textDirection w:val="btLr"/>
            <w:vAlign w:val="center"/>
            <w:hideMark/>
          </w:tcPr>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Area (Sq. km) 2001</w:t>
            </w:r>
          </w:p>
        </w:tc>
        <w:tc>
          <w:tcPr>
            <w:tcW w:w="630" w:type="dxa"/>
            <w:tcBorders>
              <w:top w:val="single" w:sz="8" w:space="0" w:color="auto"/>
              <w:left w:val="nil"/>
              <w:bottom w:val="single" w:sz="8" w:space="0" w:color="auto"/>
              <w:right w:val="single" w:sz="8" w:space="0" w:color="auto"/>
            </w:tcBorders>
            <w:shd w:val="clear" w:color="auto" w:fill="auto"/>
            <w:textDirection w:val="btLr"/>
            <w:vAlign w:val="center"/>
            <w:hideMark/>
          </w:tcPr>
          <w:p w:rsidR="00E96FA7"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Share</w:t>
            </w:r>
          </w:p>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w:t>
            </w:r>
          </w:p>
        </w:tc>
        <w:tc>
          <w:tcPr>
            <w:tcW w:w="900" w:type="dxa"/>
            <w:tcBorders>
              <w:top w:val="single" w:sz="8" w:space="0" w:color="auto"/>
              <w:left w:val="nil"/>
              <w:bottom w:val="single" w:sz="8" w:space="0" w:color="auto"/>
              <w:right w:val="single" w:sz="8" w:space="0" w:color="auto"/>
            </w:tcBorders>
            <w:shd w:val="clear" w:color="auto" w:fill="auto"/>
            <w:textDirection w:val="btLr"/>
            <w:vAlign w:val="center"/>
            <w:hideMark/>
          </w:tcPr>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Population (Million) 2001</w:t>
            </w:r>
          </w:p>
        </w:tc>
        <w:tc>
          <w:tcPr>
            <w:tcW w:w="720" w:type="dxa"/>
            <w:tcBorders>
              <w:top w:val="single" w:sz="8" w:space="0" w:color="auto"/>
              <w:left w:val="nil"/>
              <w:bottom w:val="single" w:sz="8" w:space="0" w:color="auto"/>
              <w:right w:val="single" w:sz="8" w:space="0" w:color="auto"/>
            </w:tcBorders>
            <w:shd w:val="clear" w:color="auto" w:fill="auto"/>
            <w:textDirection w:val="btLr"/>
            <w:vAlign w:val="center"/>
            <w:hideMark/>
          </w:tcPr>
          <w:p w:rsidR="00E96FA7"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Share</w:t>
            </w:r>
          </w:p>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w:t>
            </w:r>
          </w:p>
        </w:tc>
        <w:tc>
          <w:tcPr>
            <w:tcW w:w="810" w:type="dxa"/>
            <w:tcBorders>
              <w:top w:val="single" w:sz="8" w:space="0" w:color="auto"/>
              <w:left w:val="nil"/>
              <w:bottom w:val="single" w:sz="8" w:space="0" w:color="auto"/>
              <w:right w:val="single" w:sz="8" w:space="0" w:color="auto"/>
            </w:tcBorders>
            <w:shd w:val="clear" w:color="auto" w:fill="auto"/>
            <w:textDirection w:val="btLr"/>
            <w:vAlign w:val="center"/>
            <w:hideMark/>
          </w:tcPr>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Density (Per sq. km) 2001</w:t>
            </w:r>
          </w:p>
        </w:tc>
        <w:tc>
          <w:tcPr>
            <w:tcW w:w="1080" w:type="dxa"/>
            <w:tcBorders>
              <w:top w:val="single" w:sz="8" w:space="0" w:color="auto"/>
              <w:left w:val="nil"/>
              <w:bottom w:val="single" w:sz="8" w:space="0" w:color="auto"/>
              <w:right w:val="single" w:sz="8" w:space="0" w:color="auto"/>
            </w:tcBorders>
            <w:shd w:val="clear" w:color="auto" w:fill="auto"/>
            <w:textDirection w:val="btLr"/>
            <w:vAlign w:val="center"/>
            <w:hideMark/>
          </w:tcPr>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Area (sq. km) 2011</w:t>
            </w:r>
          </w:p>
        </w:tc>
        <w:tc>
          <w:tcPr>
            <w:tcW w:w="810" w:type="dxa"/>
            <w:tcBorders>
              <w:top w:val="single" w:sz="8" w:space="0" w:color="auto"/>
              <w:left w:val="nil"/>
              <w:bottom w:val="single" w:sz="8" w:space="0" w:color="auto"/>
              <w:right w:val="single" w:sz="8" w:space="0" w:color="auto"/>
            </w:tcBorders>
            <w:shd w:val="clear" w:color="auto" w:fill="auto"/>
            <w:textDirection w:val="btLr"/>
            <w:vAlign w:val="center"/>
            <w:hideMark/>
          </w:tcPr>
          <w:p w:rsidR="00E96FA7"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Share</w:t>
            </w:r>
          </w:p>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w:t>
            </w:r>
          </w:p>
        </w:tc>
        <w:tc>
          <w:tcPr>
            <w:tcW w:w="900" w:type="dxa"/>
            <w:tcBorders>
              <w:top w:val="single" w:sz="8" w:space="0" w:color="auto"/>
              <w:left w:val="nil"/>
              <w:bottom w:val="single" w:sz="8" w:space="0" w:color="auto"/>
              <w:right w:val="single" w:sz="8" w:space="0" w:color="auto"/>
            </w:tcBorders>
            <w:shd w:val="clear" w:color="auto" w:fill="auto"/>
            <w:textDirection w:val="btLr"/>
            <w:vAlign w:val="center"/>
            <w:hideMark/>
          </w:tcPr>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Population (million) 2011</w:t>
            </w:r>
          </w:p>
        </w:tc>
        <w:tc>
          <w:tcPr>
            <w:tcW w:w="720" w:type="dxa"/>
            <w:tcBorders>
              <w:top w:val="single" w:sz="8" w:space="0" w:color="auto"/>
              <w:left w:val="nil"/>
              <w:bottom w:val="single" w:sz="8" w:space="0" w:color="auto"/>
              <w:right w:val="single" w:sz="8" w:space="0" w:color="auto"/>
            </w:tcBorders>
            <w:shd w:val="clear" w:color="auto" w:fill="auto"/>
            <w:textDirection w:val="btLr"/>
            <w:vAlign w:val="center"/>
            <w:hideMark/>
          </w:tcPr>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Share</w:t>
            </w:r>
            <w:r w:rsidRPr="001F4BBC">
              <w:rPr>
                <w:rFonts w:ascii="Arial" w:eastAsia="Times New Roman" w:hAnsi="Arial" w:cs="Arial"/>
                <w:color w:val="000000"/>
                <w:sz w:val="16"/>
                <w:szCs w:val="16"/>
              </w:rPr>
              <w:t> </w:t>
            </w:r>
            <w:r w:rsidRPr="001F4BBC">
              <w:rPr>
                <w:rFonts w:eastAsia="Times New Roman" w:cs="Times New Roman"/>
                <w:b/>
                <w:bCs/>
                <w:color w:val="000000"/>
                <w:sz w:val="20"/>
                <w:szCs w:val="20"/>
              </w:rPr>
              <w:t>(%)</w:t>
            </w:r>
          </w:p>
        </w:tc>
        <w:tc>
          <w:tcPr>
            <w:tcW w:w="810" w:type="dxa"/>
            <w:tcBorders>
              <w:top w:val="single" w:sz="8" w:space="0" w:color="auto"/>
              <w:left w:val="nil"/>
              <w:bottom w:val="single" w:sz="8" w:space="0" w:color="auto"/>
              <w:right w:val="single" w:sz="8" w:space="0" w:color="auto"/>
            </w:tcBorders>
            <w:shd w:val="clear" w:color="auto" w:fill="auto"/>
            <w:textDirection w:val="btLr"/>
            <w:vAlign w:val="center"/>
            <w:hideMark/>
          </w:tcPr>
          <w:p w:rsidR="001F4BBC" w:rsidRPr="001F4BBC" w:rsidRDefault="001F4BBC" w:rsidP="001F4BBC">
            <w:pPr>
              <w:spacing w:after="0" w:line="240" w:lineRule="auto"/>
              <w:rPr>
                <w:rFonts w:eastAsia="Times New Roman" w:cs="Times New Roman"/>
                <w:b/>
                <w:bCs/>
                <w:color w:val="000000"/>
                <w:sz w:val="20"/>
                <w:szCs w:val="20"/>
              </w:rPr>
            </w:pPr>
            <w:r w:rsidRPr="001F4BBC">
              <w:rPr>
                <w:rFonts w:eastAsia="Times New Roman" w:cs="Times New Roman"/>
                <w:b/>
                <w:bCs/>
                <w:color w:val="000000"/>
                <w:sz w:val="20"/>
                <w:szCs w:val="20"/>
              </w:rPr>
              <w:t>Density (per sq. km) 2011</w:t>
            </w:r>
          </w:p>
        </w:tc>
      </w:tr>
      <w:tr w:rsidR="001F4BBC" w:rsidRPr="001F4BBC" w:rsidTr="001F4BBC">
        <w:trPr>
          <w:trHeight w:val="315"/>
        </w:trPr>
        <w:tc>
          <w:tcPr>
            <w:tcW w:w="1090" w:type="dxa"/>
            <w:tcBorders>
              <w:top w:val="nil"/>
              <w:left w:val="single" w:sz="8" w:space="0" w:color="auto"/>
              <w:bottom w:val="single" w:sz="8" w:space="0" w:color="auto"/>
              <w:right w:val="single" w:sz="8" w:space="0" w:color="auto"/>
            </w:tcBorders>
            <w:shd w:val="clear" w:color="auto" w:fill="auto"/>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Haor</w:t>
            </w:r>
          </w:p>
        </w:tc>
        <w:tc>
          <w:tcPr>
            <w:tcW w:w="99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16574</w:t>
            </w:r>
          </w:p>
        </w:tc>
        <w:tc>
          <w:tcPr>
            <w:tcW w:w="63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11.2</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12.9</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9.9</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779</w:t>
            </w:r>
          </w:p>
        </w:tc>
        <w:tc>
          <w:tcPr>
            <w:tcW w:w="108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16574</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11.2</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15</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906</w:t>
            </w:r>
          </w:p>
        </w:tc>
      </w:tr>
      <w:tr w:rsidR="001F4BBC" w:rsidRPr="001F4BBC" w:rsidTr="001F4BBC">
        <w:trPr>
          <w:trHeight w:val="315"/>
        </w:trPr>
        <w:tc>
          <w:tcPr>
            <w:tcW w:w="1090" w:type="dxa"/>
            <w:tcBorders>
              <w:top w:val="nil"/>
              <w:left w:val="single" w:sz="8" w:space="0" w:color="auto"/>
              <w:bottom w:val="single" w:sz="8" w:space="0" w:color="auto"/>
              <w:right w:val="single" w:sz="8" w:space="0" w:color="auto"/>
            </w:tcBorders>
            <w:shd w:val="clear" w:color="auto" w:fill="auto"/>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Coastal</w:t>
            </w:r>
          </w:p>
        </w:tc>
        <w:tc>
          <w:tcPr>
            <w:tcW w:w="99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27738</w:t>
            </w:r>
          </w:p>
        </w:tc>
        <w:tc>
          <w:tcPr>
            <w:tcW w:w="63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18.8</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20.4</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15.6</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735</w:t>
            </w:r>
          </w:p>
        </w:tc>
        <w:tc>
          <w:tcPr>
            <w:tcW w:w="108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27738</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18.8</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22.4</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15</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807</w:t>
            </w:r>
          </w:p>
        </w:tc>
      </w:tr>
      <w:tr w:rsidR="001F4BBC" w:rsidRPr="001F4BBC" w:rsidTr="001F4BBC">
        <w:trPr>
          <w:trHeight w:val="315"/>
        </w:trPr>
        <w:tc>
          <w:tcPr>
            <w:tcW w:w="1090" w:type="dxa"/>
            <w:tcBorders>
              <w:top w:val="nil"/>
              <w:left w:val="single" w:sz="8" w:space="0" w:color="auto"/>
              <w:bottom w:val="single" w:sz="8" w:space="0" w:color="auto"/>
              <w:right w:val="single" w:sz="8" w:space="0" w:color="auto"/>
            </w:tcBorders>
            <w:shd w:val="clear" w:color="auto" w:fill="auto"/>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CTG Hill (CHT)</w:t>
            </w:r>
          </w:p>
        </w:tc>
        <w:tc>
          <w:tcPr>
            <w:tcW w:w="99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13295</w:t>
            </w:r>
          </w:p>
        </w:tc>
        <w:tc>
          <w:tcPr>
            <w:tcW w:w="63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9</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1.4</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1.1</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105</w:t>
            </w:r>
          </w:p>
        </w:tc>
        <w:tc>
          <w:tcPr>
            <w:tcW w:w="108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13295</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9</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1.7</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1.1</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128</w:t>
            </w:r>
          </w:p>
        </w:tc>
      </w:tr>
      <w:tr w:rsidR="001F4BBC" w:rsidRPr="001F4BBC" w:rsidTr="001F4BBC">
        <w:trPr>
          <w:trHeight w:val="315"/>
        </w:trPr>
        <w:tc>
          <w:tcPr>
            <w:tcW w:w="1090" w:type="dxa"/>
            <w:tcBorders>
              <w:top w:val="nil"/>
              <w:left w:val="single" w:sz="8" w:space="0" w:color="auto"/>
              <w:bottom w:val="single" w:sz="8" w:space="0" w:color="auto"/>
              <w:right w:val="single" w:sz="8" w:space="0" w:color="auto"/>
            </w:tcBorders>
            <w:shd w:val="clear" w:color="auto" w:fill="auto"/>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Urban</w:t>
            </w:r>
          </w:p>
        </w:tc>
        <w:tc>
          <w:tcPr>
            <w:tcW w:w="99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19823</w:t>
            </w:r>
          </w:p>
        </w:tc>
        <w:tc>
          <w:tcPr>
            <w:tcW w:w="63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13.4</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26.2</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20.1</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1320</w:t>
            </w:r>
          </w:p>
        </w:tc>
        <w:tc>
          <w:tcPr>
            <w:tcW w:w="108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19823</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13.4</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31.5</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21</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1588</w:t>
            </w:r>
          </w:p>
        </w:tc>
      </w:tr>
      <w:tr w:rsidR="001F4BBC" w:rsidRPr="001F4BBC" w:rsidTr="001F4BBC">
        <w:trPr>
          <w:trHeight w:val="315"/>
        </w:trPr>
        <w:tc>
          <w:tcPr>
            <w:tcW w:w="1090" w:type="dxa"/>
            <w:tcBorders>
              <w:top w:val="nil"/>
              <w:left w:val="single" w:sz="8" w:space="0" w:color="auto"/>
              <w:bottom w:val="single" w:sz="8" w:space="0" w:color="auto"/>
              <w:right w:val="single" w:sz="8" w:space="0" w:color="auto"/>
            </w:tcBorders>
            <w:shd w:val="clear" w:color="auto" w:fill="auto"/>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Drought Prone</w:t>
            </w:r>
          </w:p>
        </w:tc>
        <w:tc>
          <w:tcPr>
            <w:tcW w:w="99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22848</w:t>
            </w:r>
          </w:p>
        </w:tc>
        <w:tc>
          <w:tcPr>
            <w:tcW w:w="63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15.5</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20.4</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15.6</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894</w:t>
            </w:r>
          </w:p>
        </w:tc>
        <w:tc>
          <w:tcPr>
            <w:tcW w:w="108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22848</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15.5</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22.8</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15.2</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999</w:t>
            </w:r>
          </w:p>
        </w:tc>
      </w:tr>
      <w:tr w:rsidR="001F4BBC" w:rsidRPr="001F4BBC" w:rsidTr="001F4BBC">
        <w:trPr>
          <w:trHeight w:val="540"/>
        </w:trPr>
        <w:tc>
          <w:tcPr>
            <w:tcW w:w="1090" w:type="dxa"/>
            <w:tcBorders>
              <w:top w:val="nil"/>
              <w:left w:val="single" w:sz="8" w:space="0" w:color="auto"/>
              <w:bottom w:val="single" w:sz="8" w:space="0" w:color="auto"/>
              <w:right w:val="single" w:sz="8" w:space="0" w:color="auto"/>
            </w:tcBorders>
            <w:shd w:val="clear" w:color="auto" w:fill="auto"/>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Rivers &amp; Estuaries</w:t>
            </w:r>
          </w:p>
        </w:tc>
        <w:tc>
          <w:tcPr>
            <w:tcW w:w="99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35204</w:t>
            </w:r>
          </w:p>
        </w:tc>
        <w:tc>
          <w:tcPr>
            <w:tcW w:w="63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23.8</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37</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28.4</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1052</w:t>
            </w:r>
          </w:p>
        </w:tc>
        <w:tc>
          <w:tcPr>
            <w:tcW w:w="108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35204</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23.8</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41.4</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27.6</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1177</w:t>
            </w:r>
          </w:p>
        </w:tc>
      </w:tr>
      <w:tr w:rsidR="001F4BBC" w:rsidRPr="001F4BBC" w:rsidTr="001F4BBC">
        <w:trPr>
          <w:trHeight w:val="315"/>
        </w:trPr>
        <w:tc>
          <w:tcPr>
            <w:tcW w:w="1090" w:type="dxa"/>
            <w:tcBorders>
              <w:top w:val="nil"/>
              <w:left w:val="single" w:sz="8" w:space="0" w:color="auto"/>
              <w:bottom w:val="single" w:sz="8" w:space="0" w:color="auto"/>
              <w:right w:val="single" w:sz="8" w:space="0" w:color="auto"/>
            </w:tcBorders>
            <w:shd w:val="clear" w:color="auto" w:fill="auto"/>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Safe Areas</w:t>
            </w:r>
          </w:p>
        </w:tc>
        <w:tc>
          <w:tcPr>
            <w:tcW w:w="99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12089</w:t>
            </w:r>
          </w:p>
        </w:tc>
        <w:tc>
          <w:tcPr>
            <w:tcW w:w="63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8.2</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12.3</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9.4</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1016</w:t>
            </w:r>
          </w:p>
        </w:tc>
        <w:tc>
          <w:tcPr>
            <w:tcW w:w="1080" w:type="dxa"/>
            <w:tcBorders>
              <w:top w:val="nil"/>
              <w:left w:val="nil"/>
              <w:bottom w:val="single" w:sz="8" w:space="0" w:color="auto"/>
              <w:right w:val="single" w:sz="8" w:space="0" w:color="auto"/>
            </w:tcBorders>
            <w:shd w:val="clear" w:color="auto" w:fill="auto"/>
            <w:noWrap/>
            <w:vAlign w:val="bottom"/>
            <w:hideMark/>
          </w:tcPr>
          <w:p w:rsidR="001F4BBC" w:rsidRPr="001F4BBC" w:rsidRDefault="00E96FA7" w:rsidP="001F4BBC">
            <w:pPr>
              <w:spacing w:after="0" w:line="240" w:lineRule="auto"/>
              <w:jc w:val="center"/>
              <w:rPr>
                <w:rFonts w:eastAsia="Times New Roman" w:cs="Times New Roman"/>
                <w:color w:val="000000"/>
                <w:sz w:val="20"/>
                <w:szCs w:val="20"/>
              </w:rPr>
            </w:pPr>
            <w:r>
              <w:rPr>
                <w:rFonts w:eastAsia="Times New Roman" w:cs="Times New Roman"/>
                <w:color w:val="000000"/>
                <w:sz w:val="20"/>
                <w:szCs w:val="20"/>
              </w:rPr>
              <w:t>12089</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8.2</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15</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1238</w:t>
            </w:r>
          </w:p>
        </w:tc>
      </w:tr>
      <w:tr w:rsidR="001F4BBC" w:rsidRPr="001F4BBC" w:rsidTr="001F4BBC">
        <w:trPr>
          <w:trHeight w:val="315"/>
        </w:trPr>
        <w:tc>
          <w:tcPr>
            <w:tcW w:w="1090" w:type="dxa"/>
            <w:tcBorders>
              <w:top w:val="nil"/>
              <w:left w:val="single" w:sz="8" w:space="0" w:color="auto"/>
              <w:bottom w:val="single" w:sz="8" w:space="0" w:color="auto"/>
              <w:right w:val="single" w:sz="8" w:space="0" w:color="auto"/>
            </w:tcBorders>
            <w:shd w:val="clear" w:color="auto" w:fill="auto"/>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Total</w:t>
            </w:r>
          </w:p>
        </w:tc>
        <w:tc>
          <w:tcPr>
            <w:tcW w:w="99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147570</w:t>
            </w:r>
          </w:p>
        </w:tc>
        <w:tc>
          <w:tcPr>
            <w:tcW w:w="63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100</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130.5</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100</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884</w:t>
            </w:r>
          </w:p>
        </w:tc>
        <w:tc>
          <w:tcPr>
            <w:tcW w:w="108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147570</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100</w:t>
            </w:r>
          </w:p>
        </w:tc>
        <w:tc>
          <w:tcPr>
            <w:tcW w:w="90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149.8</w:t>
            </w:r>
          </w:p>
        </w:tc>
        <w:tc>
          <w:tcPr>
            <w:tcW w:w="72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100</w:t>
            </w:r>
          </w:p>
        </w:tc>
        <w:tc>
          <w:tcPr>
            <w:tcW w:w="810" w:type="dxa"/>
            <w:tcBorders>
              <w:top w:val="nil"/>
              <w:left w:val="nil"/>
              <w:bottom w:val="single" w:sz="8" w:space="0" w:color="auto"/>
              <w:right w:val="single" w:sz="8" w:space="0" w:color="auto"/>
            </w:tcBorders>
            <w:shd w:val="clear" w:color="auto" w:fill="auto"/>
            <w:noWrap/>
            <w:vAlign w:val="bottom"/>
            <w:hideMark/>
          </w:tcPr>
          <w:p w:rsidR="001F4BBC" w:rsidRPr="001F4BBC" w:rsidRDefault="001F4BBC" w:rsidP="001F4BBC">
            <w:pPr>
              <w:spacing w:after="0" w:line="240" w:lineRule="auto"/>
              <w:jc w:val="center"/>
              <w:rPr>
                <w:rFonts w:eastAsia="Times New Roman" w:cs="Times New Roman"/>
                <w:color w:val="000000"/>
                <w:sz w:val="20"/>
                <w:szCs w:val="20"/>
              </w:rPr>
            </w:pPr>
            <w:r w:rsidRPr="001F4BBC">
              <w:rPr>
                <w:rFonts w:eastAsia="Times New Roman" w:cs="Times New Roman"/>
                <w:color w:val="000000"/>
                <w:sz w:val="20"/>
                <w:szCs w:val="20"/>
              </w:rPr>
              <w:t>1015</w:t>
            </w:r>
          </w:p>
        </w:tc>
      </w:tr>
    </w:tbl>
    <w:p w:rsidR="001F4BBC" w:rsidRPr="00E96FA7" w:rsidRDefault="001F4BBC" w:rsidP="00E96FA7">
      <w:pPr>
        <w:spacing w:before="120"/>
        <w:rPr>
          <w:rFonts w:cs="Times New Roman"/>
          <w:b/>
          <w:i/>
          <w:sz w:val="20"/>
        </w:rPr>
      </w:pPr>
      <w:r w:rsidRPr="00A3763A">
        <w:rPr>
          <w:rFonts w:cs="Times New Roman"/>
          <w:b/>
          <w:i/>
          <w:sz w:val="20"/>
        </w:rPr>
        <w:t xml:space="preserve">Source: </w:t>
      </w:r>
      <w:r w:rsidR="00612DB4">
        <w:rPr>
          <w:rFonts w:cs="Times New Roman"/>
          <w:b/>
          <w:i/>
          <w:sz w:val="20"/>
        </w:rPr>
        <w:t>GED e</w:t>
      </w:r>
      <w:r w:rsidRPr="00A3763A">
        <w:rPr>
          <w:rFonts w:cs="Times New Roman"/>
          <w:b/>
          <w:i/>
          <w:sz w:val="20"/>
        </w:rPr>
        <w:t>stimates based on Bangladesh Population Census 2001 and 2011.</w:t>
      </w:r>
    </w:p>
    <w:p w:rsidR="00A356FA" w:rsidRDefault="00A356FA" w:rsidP="00B3170C">
      <w:pPr>
        <w:spacing w:line="276" w:lineRule="auto"/>
        <w:jc w:val="both"/>
        <w:rPr>
          <w:rFonts w:cs="Times New Roman"/>
        </w:rPr>
      </w:pPr>
      <w:r w:rsidRPr="00B3170C">
        <w:rPr>
          <w:rFonts w:cs="Times New Roman"/>
        </w:rPr>
        <w:t xml:space="preserve">An interesting population dynamics is the variable growth of population </w:t>
      </w:r>
      <w:r w:rsidR="0028092C">
        <w:rPr>
          <w:rFonts w:cs="Times New Roman"/>
        </w:rPr>
        <w:t xml:space="preserve">by hotspots </w:t>
      </w:r>
      <w:r w:rsidRPr="00B3170C">
        <w:rPr>
          <w:rFonts w:cs="Times New Roman"/>
        </w:rPr>
        <w:t xml:space="preserve">(Figure 2.2).  </w:t>
      </w:r>
      <w:r w:rsidRPr="004B0A08">
        <w:rPr>
          <w:rFonts w:cs="Times New Roman"/>
          <w:i/>
        </w:rPr>
        <w:t>Not surprisingly, the urban population has grown the fastest between 2001 and 2011.  It grew by 70% faster than the national population.  But most interestingly, the population growth in the coastal areas has been almost 50% lower than the national average. Similarly, population in rivers and estuary region and in the barind drought -prone region have grown slower than the national average.</w:t>
      </w:r>
      <w:r w:rsidRPr="00B3170C">
        <w:rPr>
          <w:rFonts w:cs="Times New Roman"/>
        </w:rPr>
        <w:t xml:space="preserve"> The areas not mapped to Delta hotspots because locationally they are relatively less vulnerable to natural disasters than the hot-spot regions, has also grown faster than the national average. </w:t>
      </w:r>
      <w:r w:rsidRPr="004B0A08">
        <w:rPr>
          <w:rFonts w:cs="Times New Roman"/>
          <w:i/>
        </w:rPr>
        <w:t xml:space="preserve">These population movements suggest that there has been a net out-migration </w:t>
      </w:r>
      <w:r w:rsidR="00B3170C" w:rsidRPr="004B0A08">
        <w:rPr>
          <w:rFonts w:cs="Times New Roman"/>
          <w:i/>
        </w:rPr>
        <w:t>from the</w:t>
      </w:r>
      <w:r w:rsidRPr="004B0A08">
        <w:rPr>
          <w:rFonts w:cs="Times New Roman"/>
          <w:i/>
        </w:rPr>
        <w:t xml:space="preserve"> relatively more disaster-prone region to the relatively less disaster prone region.</w:t>
      </w:r>
      <w:r w:rsidRPr="00B3170C">
        <w:rPr>
          <w:rFonts w:cs="Times New Roman"/>
        </w:rPr>
        <w:t xml:space="preserve">  </w:t>
      </w:r>
      <w:r w:rsidR="00C1125F">
        <w:rPr>
          <w:rFonts w:cs="Times New Roman"/>
        </w:rPr>
        <w:t xml:space="preserve">This has been an important coping mechanism of the disaster affected population. </w:t>
      </w:r>
      <w:r w:rsidRPr="00B3170C">
        <w:rPr>
          <w:rFonts w:cs="Times New Roman"/>
        </w:rPr>
        <w:t>This result will be explored in greater details later in the chapter.</w:t>
      </w:r>
    </w:p>
    <w:p w:rsidR="00E96FA7" w:rsidRPr="00B3170C" w:rsidRDefault="00E96FA7" w:rsidP="00B3170C">
      <w:pPr>
        <w:spacing w:line="276" w:lineRule="auto"/>
        <w:jc w:val="both"/>
        <w:rPr>
          <w:rFonts w:cs="Times New Roman"/>
        </w:rPr>
      </w:pPr>
    </w:p>
    <w:p w:rsidR="00E46AD7" w:rsidRPr="00E46AD7" w:rsidRDefault="00E46AD7">
      <w:pPr>
        <w:spacing w:after="0" w:line="240" w:lineRule="auto"/>
        <w:rPr>
          <w:rFonts w:cs="Times New Roman"/>
          <w:b/>
          <w:bCs/>
        </w:rPr>
      </w:pPr>
    </w:p>
    <w:p w:rsidR="00E46AD7" w:rsidRPr="00E46AD7" w:rsidRDefault="00F959A5" w:rsidP="00944687">
      <w:pPr>
        <w:pStyle w:val="Heading5"/>
      </w:pPr>
      <w:bookmarkStart w:id="131" w:name="_Toc474639165"/>
      <w:r>
        <w:t>Figure 2.2: Population Growth by H</w:t>
      </w:r>
      <w:r w:rsidR="00E46AD7" w:rsidRPr="00E46AD7">
        <w:t xml:space="preserve">otspot </w:t>
      </w:r>
      <w:r w:rsidR="004F7097" w:rsidRPr="00E46AD7">
        <w:t>(20</w:t>
      </w:r>
      <w:r w:rsidR="004F7097">
        <w:t>0</w:t>
      </w:r>
      <w:r w:rsidR="004F7097" w:rsidRPr="00E46AD7">
        <w:t>1-</w:t>
      </w:r>
      <w:r w:rsidR="004F7097">
        <w:t>2011</w:t>
      </w:r>
      <w:r w:rsidR="004F7097" w:rsidRPr="00E46AD7">
        <w:t>)</w:t>
      </w:r>
      <w:r w:rsidR="004F7097">
        <w:t xml:space="preserve"> (Non Delta will be changed into relative hazard free- RHF)</w:t>
      </w:r>
      <w:bookmarkEnd w:id="131"/>
    </w:p>
    <w:p w:rsidR="00A356FA" w:rsidRPr="00E46AD7" w:rsidRDefault="00A356FA" w:rsidP="002B69CE">
      <w:pPr>
        <w:spacing w:after="0"/>
        <w:jc w:val="center"/>
        <w:rPr>
          <w:rFonts w:cs="Times New Roman"/>
        </w:rPr>
      </w:pPr>
      <w:r w:rsidRPr="00E46AD7">
        <w:rPr>
          <w:rFonts w:cs="Times New Roman"/>
          <w:noProof/>
          <w:lang w:val="en-AU" w:eastAsia="en-AU" w:bidi="bn-BD"/>
        </w:rPr>
        <w:drawing>
          <wp:inline distT="0" distB="0" distL="0" distR="0">
            <wp:extent cx="4572000" cy="2743200"/>
            <wp:effectExtent l="0" t="0" r="0" b="0"/>
            <wp:docPr id="6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F6BC1" w:rsidRPr="00A3763A" w:rsidRDefault="00AF6BC1" w:rsidP="00F81FBF">
      <w:pPr>
        <w:spacing w:before="120"/>
        <w:ind w:left="1080"/>
        <w:rPr>
          <w:rFonts w:cs="Times New Roman"/>
          <w:b/>
          <w:i/>
          <w:sz w:val="20"/>
        </w:rPr>
      </w:pPr>
      <w:r w:rsidRPr="00A3763A">
        <w:rPr>
          <w:rFonts w:cs="Times New Roman"/>
          <w:b/>
          <w:i/>
          <w:sz w:val="20"/>
        </w:rPr>
        <w:t xml:space="preserve">Source: </w:t>
      </w:r>
      <w:r w:rsidR="00F4451D">
        <w:rPr>
          <w:rFonts w:cs="Times New Roman"/>
          <w:b/>
          <w:i/>
          <w:sz w:val="20"/>
        </w:rPr>
        <w:t>GED</w:t>
      </w:r>
      <w:r w:rsidR="00612DB4">
        <w:rPr>
          <w:rFonts w:cs="Times New Roman"/>
          <w:b/>
          <w:i/>
          <w:sz w:val="20"/>
        </w:rPr>
        <w:t xml:space="preserve"> e</w:t>
      </w:r>
      <w:r w:rsidRPr="00A3763A">
        <w:rPr>
          <w:rFonts w:cs="Times New Roman"/>
          <w:b/>
          <w:i/>
          <w:sz w:val="20"/>
        </w:rPr>
        <w:t>stimates based on Bangladesh Population Census 2001 and 2011.</w:t>
      </w:r>
    </w:p>
    <w:p w:rsidR="00A356FA" w:rsidRPr="00A3763A" w:rsidRDefault="00A356FA" w:rsidP="00CC472D">
      <w:pPr>
        <w:spacing w:line="276" w:lineRule="auto"/>
        <w:jc w:val="both"/>
        <w:rPr>
          <w:rFonts w:cs="Times New Roman"/>
        </w:rPr>
      </w:pPr>
      <w:r w:rsidRPr="00A3763A">
        <w:rPr>
          <w:rFonts w:cs="Times New Roman"/>
          <w:b/>
        </w:rPr>
        <w:t>Literacy:</w:t>
      </w:r>
      <w:r w:rsidRPr="00A3763A">
        <w:rPr>
          <w:rFonts w:cs="Times New Roman"/>
        </w:rPr>
        <w:t xml:space="preserve">  Significant variations are observed for literacy rate – a basic education indicator (see</w:t>
      </w:r>
      <w:r w:rsidR="00893066">
        <w:rPr>
          <w:rFonts w:cs="Times New Roman"/>
        </w:rPr>
        <w:t xml:space="preserve"> Figure 2.3</w:t>
      </w:r>
      <w:r w:rsidRPr="00A3763A">
        <w:rPr>
          <w:rFonts w:cs="Times New Roman"/>
        </w:rPr>
        <w:t xml:space="preserve">). Urban area has the highest literacy rates both in 2001 and 2011 compared to all other regions.  The coastal region also out-performs other hotspots on literacy rates.  Surprisingly, the lowest literacy rate has been found for Haor region in both periods. Even the Chittagong Hill Tracts (CHT) districts outperform the Haor districts in literacy on average.  </w:t>
      </w:r>
    </w:p>
    <w:p w:rsidR="002B69CE" w:rsidRPr="002B69CE" w:rsidRDefault="002B69CE" w:rsidP="00944687">
      <w:pPr>
        <w:pStyle w:val="Heading5"/>
      </w:pPr>
      <w:bookmarkStart w:id="132" w:name="_Toc474639166"/>
      <w:r w:rsidRPr="002B69CE">
        <w:rPr>
          <w:lang w:val="en-GB"/>
        </w:rPr>
        <w:t>Figure 2.3: Literacy Rates across Delta Regions</w:t>
      </w:r>
      <w:bookmarkEnd w:id="132"/>
    </w:p>
    <w:p w:rsidR="00A356FA" w:rsidRPr="002B69CE" w:rsidRDefault="00A356FA" w:rsidP="00591020">
      <w:pPr>
        <w:spacing w:after="0"/>
        <w:jc w:val="center"/>
      </w:pPr>
      <w:r w:rsidRPr="002B69CE">
        <w:rPr>
          <w:noProof/>
          <w:lang w:val="en-AU" w:eastAsia="en-AU" w:bidi="bn-BD"/>
        </w:rPr>
        <w:drawing>
          <wp:inline distT="0" distB="0" distL="0" distR="0">
            <wp:extent cx="5400675" cy="2809875"/>
            <wp:effectExtent l="0" t="0" r="9525" b="9525"/>
            <wp:docPr id="6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356FA" w:rsidRPr="00A3763A" w:rsidRDefault="00A356FA" w:rsidP="0028092C">
      <w:pPr>
        <w:spacing w:before="120" w:line="276" w:lineRule="auto"/>
        <w:ind w:left="806"/>
        <w:rPr>
          <w:rFonts w:cs="Times New Roman"/>
          <w:b/>
          <w:i/>
          <w:sz w:val="20"/>
        </w:rPr>
      </w:pPr>
      <w:r w:rsidRPr="00A3763A">
        <w:rPr>
          <w:rFonts w:cs="Times New Roman"/>
          <w:b/>
          <w:i/>
          <w:sz w:val="20"/>
        </w:rPr>
        <w:lastRenderedPageBreak/>
        <w:t xml:space="preserve">Source: </w:t>
      </w:r>
      <w:r w:rsidR="00F4451D">
        <w:rPr>
          <w:rFonts w:cs="Times New Roman"/>
          <w:b/>
          <w:i/>
          <w:sz w:val="20"/>
        </w:rPr>
        <w:t xml:space="preserve">GED </w:t>
      </w:r>
      <w:r w:rsidR="00612DB4">
        <w:rPr>
          <w:rFonts w:cs="Times New Roman"/>
          <w:b/>
          <w:i/>
          <w:sz w:val="20"/>
        </w:rPr>
        <w:t>e</w:t>
      </w:r>
      <w:r w:rsidRPr="00A3763A">
        <w:rPr>
          <w:rFonts w:cs="Times New Roman"/>
          <w:b/>
          <w:i/>
          <w:sz w:val="20"/>
        </w:rPr>
        <w:t>stimates based on BBS data.</w:t>
      </w:r>
    </w:p>
    <w:p w:rsidR="00A356FA" w:rsidRPr="00591020" w:rsidRDefault="00A356FA" w:rsidP="00591020">
      <w:pPr>
        <w:spacing w:line="276" w:lineRule="auto"/>
        <w:jc w:val="both"/>
        <w:rPr>
          <w:rFonts w:cs="Times New Roman"/>
        </w:rPr>
      </w:pPr>
      <w:r w:rsidRPr="00591020">
        <w:rPr>
          <w:rFonts w:cs="Times New Roman"/>
          <w:b/>
        </w:rPr>
        <w:t>Housing Condition:</w:t>
      </w:r>
      <w:r w:rsidRPr="00591020">
        <w:rPr>
          <w:rFonts w:cs="Times New Roman"/>
        </w:rPr>
        <w:t xml:space="preserve"> Housing condition is an important non-income welfare measure. Two well accepted criteria for assessing the housing condition are the roof and wall materials. Housing conditions as typified by the roof and wall materials across various regions of Bangladesh are shown in Table 2.2 </w:t>
      </w:r>
      <w:r w:rsidR="00591020" w:rsidRPr="00591020">
        <w:rPr>
          <w:rFonts w:cs="Times New Roman"/>
        </w:rPr>
        <w:t>and Table</w:t>
      </w:r>
      <w:r w:rsidRPr="00591020">
        <w:rPr>
          <w:rFonts w:cs="Times New Roman"/>
        </w:rPr>
        <w:t xml:space="preserve"> 2.3.  Roof and wall of houses built with brick/cement represents most superior quality followed by houses constructed with CIS/brick/wood materials. The lowest quality houses are made of materials such as stray/hay/bamboo/others.  </w:t>
      </w:r>
    </w:p>
    <w:p w:rsidR="00A356FA" w:rsidRPr="004B0A08" w:rsidRDefault="00A356FA" w:rsidP="00591020">
      <w:pPr>
        <w:spacing w:line="276" w:lineRule="auto"/>
        <w:jc w:val="both"/>
        <w:rPr>
          <w:rFonts w:cs="Times New Roman"/>
          <w:i/>
        </w:rPr>
      </w:pPr>
      <w:r w:rsidRPr="00591020">
        <w:rPr>
          <w:rFonts w:cs="Times New Roman"/>
        </w:rPr>
        <w:t xml:space="preserve">Housing conditions have improved substantially in Bangladesh between 2000 and 2010. In 2000, only 5.4% roofs of the houses in Bangladesh were made of brick/cement. In 2010, this percentage increased to about 10.4%. Roof of houses constructed with CIS/brick/wood materials ranged between 75% in 2000 and 84% in 2010. However, most significant improvement has been reported for the third or lowest category of roof materials. </w:t>
      </w:r>
      <w:r w:rsidRPr="004B0A08">
        <w:rPr>
          <w:rFonts w:cs="Times New Roman"/>
          <w:i/>
        </w:rPr>
        <w:t xml:space="preserve">House roofs built with stray/hay/bamboo/others materials (i.e. lowest quality) have reduced from 19.4% in 2000 to only about 5.8% in 2010. </w:t>
      </w:r>
      <w:bookmarkStart w:id="133" w:name="_Ref447320723"/>
    </w:p>
    <w:p w:rsidR="00A356FA" w:rsidRPr="00A3763A" w:rsidRDefault="00A356FA" w:rsidP="00944687">
      <w:pPr>
        <w:pStyle w:val="Heading4"/>
      </w:pPr>
      <w:bookmarkStart w:id="134" w:name="_Ref450023642"/>
      <w:bookmarkStart w:id="135" w:name="_Toc450078592"/>
      <w:bookmarkStart w:id="136" w:name="_Toc474638998"/>
      <w:r w:rsidRPr="00A3763A">
        <w:t>Table 2.</w:t>
      </w:r>
      <w:bookmarkEnd w:id="133"/>
      <w:bookmarkEnd w:id="134"/>
      <w:r w:rsidRPr="00A3763A">
        <w:t>2: Housing Structure – Roof Materials (%)</w:t>
      </w:r>
      <w:bookmarkEnd w:id="135"/>
      <w:bookmarkEnd w:id="1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tblPr>
      <w:tblGrid>
        <w:gridCol w:w="315"/>
        <w:gridCol w:w="1848"/>
        <w:gridCol w:w="1047"/>
        <w:gridCol w:w="1137"/>
        <w:gridCol w:w="1570"/>
        <w:gridCol w:w="882"/>
        <w:gridCol w:w="1137"/>
        <w:gridCol w:w="1568"/>
      </w:tblGrid>
      <w:tr w:rsidR="00A356FA" w:rsidRPr="003125E3" w:rsidTr="00E1335E">
        <w:trPr>
          <w:trHeight w:val="20"/>
        </w:trPr>
        <w:tc>
          <w:tcPr>
            <w:tcW w:w="166" w:type="pct"/>
            <w:shd w:val="clear" w:color="auto" w:fill="D9D9D9" w:themeFill="background1" w:themeFillShade="D9"/>
            <w:noWrap/>
            <w:vAlign w:val="center"/>
            <w:hideMark/>
          </w:tcPr>
          <w:p w:rsidR="00A356FA" w:rsidRPr="003125E3" w:rsidRDefault="00A356FA" w:rsidP="003125E3">
            <w:pPr>
              <w:spacing w:after="0"/>
              <w:jc w:val="center"/>
              <w:rPr>
                <w:rFonts w:eastAsia="Times New Roman" w:cs="Times New Roman"/>
                <w:b/>
                <w:color w:val="000000"/>
              </w:rPr>
            </w:pPr>
          </w:p>
        </w:tc>
        <w:tc>
          <w:tcPr>
            <w:tcW w:w="972" w:type="pct"/>
            <w:shd w:val="clear" w:color="auto" w:fill="D9D9D9" w:themeFill="background1" w:themeFillShade="D9"/>
            <w:noWrap/>
            <w:vAlign w:val="center"/>
            <w:hideMark/>
          </w:tcPr>
          <w:p w:rsidR="00A356FA" w:rsidRPr="003125E3" w:rsidRDefault="00A356FA" w:rsidP="003125E3">
            <w:pPr>
              <w:spacing w:after="0"/>
              <w:jc w:val="center"/>
              <w:rPr>
                <w:rFonts w:eastAsia="Times New Roman" w:cs="Times New Roman"/>
                <w:b/>
                <w:color w:val="000000"/>
              </w:rPr>
            </w:pPr>
          </w:p>
        </w:tc>
        <w:tc>
          <w:tcPr>
            <w:tcW w:w="1975" w:type="pct"/>
            <w:gridSpan w:val="3"/>
            <w:shd w:val="clear" w:color="auto" w:fill="D9D9D9" w:themeFill="background1" w:themeFillShade="D9"/>
            <w:noWrap/>
            <w:vAlign w:val="center"/>
            <w:hideMark/>
          </w:tcPr>
          <w:p w:rsidR="00A356FA" w:rsidRPr="003125E3" w:rsidRDefault="00A356FA" w:rsidP="003125E3">
            <w:pPr>
              <w:spacing w:after="0"/>
              <w:jc w:val="center"/>
              <w:rPr>
                <w:rFonts w:eastAsia="Times New Roman" w:cs="Times New Roman"/>
                <w:b/>
                <w:bCs/>
                <w:color w:val="000000"/>
              </w:rPr>
            </w:pPr>
            <w:r w:rsidRPr="003125E3">
              <w:rPr>
                <w:rFonts w:eastAsia="Times New Roman" w:cs="Times New Roman"/>
                <w:b/>
                <w:bCs/>
                <w:color w:val="000000"/>
              </w:rPr>
              <w:t>2000</w:t>
            </w:r>
          </w:p>
        </w:tc>
        <w:tc>
          <w:tcPr>
            <w:tcW w:w="1888" w:type="pct"/>
            <w:gridSpan w:val="3"/>
            <w:shd w:val="clear" w:color="auto" w:fill="D9D9D9" w:themeFill="background1" w:themeFillShade="D9"/>
            <w:noWrap/>
            <w:vAlign w:val="center"/>
            <w:hideMark/>
          </w:tcPr>
          <w:p w:rsidR="00A356FA" w:rsidRPr="003125E3" w:rsidRDefault="00A356FA" w:rsidP="003125E3">
            <w:pPr>
              <w:spacing w:after="0"/>
              <w:jc w:val="center"/>
              <w:rPr>
                <w:rFonts w:eastAsia="Times New Roman" w:cs="Times New Roman"/>
                <w:b/>
                <w:bCs/>
                <w:color w:val="000000"/>
              </w:rPr>
            </w:pPr>
            <w:r w:rsidRPr="003125E3">
              <w:rPr>
                <w:rFonts w:eastAsia="Times New Roman" w:cs="Times New Roman"/>
                <w:b/>
                <w:bCs/>
                <w:color w:val="000000"/>
              </w:rPr>
              <w:t>2010</w:t>
            </w:r>
          </w:p>
        </w:tc>
      </w:tr>
      <w:tr w:rsidR="00A356FA" w:rsidRPr="003125E3" w:rsidTr="00E1335E">
        <w:trPr>
          <w:trHeight w:val="20"/>
        </w:trPr>
        <w:tc>
          <w:tcPr>
            <w:tcW w:w="166" w:type="pct"/>
            <w:shd w:val="clear" w:color="auto" w:fill="D9D9D9" w:themeFill="background1" w:themeFillShade="D9"/>
            <w:noWrap/>
            <w:vAlign w:val="center"/>
            <w:hideMark/>
          </w:tcPr>
          <w:p w:rsidR="00A356FA" w:rsidRPr="003125E3" w:rsidRDefault="00A356FA" w:rsidP="003125E3">
            <w:pPr>
              <w:spacing w:after="0"/>
              <w:jc w:val="center"/>
              <w:rPr>
                <w:rFonts w:eastAsia="Times New Roman" w:cs="Times New Roman"/>
                <w:b/>
                <w:color w:val="000000"/>
              </w:rPr>
            </w:pPr>
          </w:p>
        </w:tc>
        <w:tc>
          <w:tcPr>
            <w:tcW w:w="972" w:type="pct"/>
            <w:shd w:val="clear" w:color="auto" w:fill="D9D9D9" w:themeFill="background1" w:themeFillShade="D9"/>
            <w:noWrap/>
            <w:vAlign w:val="center"/>
            <w:hideMark/>
          </w:tcPr>
          <w:p w:rsidR="00A356FA" w:rsidRPr="003125E3" w:rsidRDefault="00A356FA" w:rsidP="003125E3">
            <w:pPr>
              <w:spacing w:after="0"/>
              <w:jc w:val="center"/>
              <w:rPr>
                <w:rFonts w:eastAsia="Times New Roman" w:cs="Times New Roman"/>
                <w:b/>
                <w:color w:val="000000"/>
              </w:rPr>
            </w:pPr>
          </w:p>
        </w:tc>
        <w:tc>
          <w:tcPr>
            <w:tcW w:w="551" w:type="pct"/>
            <w:shd w:val="clear" w:color="auto" w:fill="D9D9D9" w:themeFill="background1" w:themeFillShade="D9"/>
            <w:vAlign w:val="center"/>
            <w:hideMark/>
          </w:tcPr>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Brick/</w:t>
            </w:r>
          </w:p>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Cement</w:t>
            </w:r>
          </w:p>
        </w:tc>
        <w:tc>
          <w:tcPr>
            <w:tcW w:w="598" w:type="pct"/>
            <w:shd w:val="clear" w:color="auto" w:fill="D9D9D9" w:themeFill="background1" w:themeFillShade="D9"/>
            <w:vAlign w:val="center"/>
            <w:hideMark/>
          </w:tcPr>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CIS/Brick/ Wood</w:t>
            </w:r>
          </w:p>
        </w:tc>
        <w:tc>
          <w:tcPr>
            <w:tcW w:w="826" w:type="pct"/>
            <w:shd w:val="clear" w:color="auto" w:fill="D9D9D9" w:themeFill="background1" w:themeFillShade="D9"/>
            <w:vAlign w:val="center"/>
            <w:hideMark/>
          </w:tcPr>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Stray/Hay/</w:t>
            </w:r>
          </w:p>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Bamboo/Others</w:t>
            </w:r>
          </w:p>
        </w:tc>
        <w:tc>
          <w:tcPr>
            <w:tcW w:w="464" w:type="pct"/>
            <w:shd w:val="clear" w:color="auto" w:fill="D9D9D9" w:themeFill="background1" w:themeFillShade="D9"/>
            <w:vAlign w:val="center"/>
            <w:hideMark/>
          </w:tcPr>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Brick/</w:t>
            </w:r>
          </w:p>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Cement</w:t>
            </w:r>
          </w:p>
        </w:tc>
        <w:tc>
          <w:tcPr>
            <w:tcW w:w="598" w:type="pct"/>
            <w:shd w:val="clear" w:color="auto" w:fill="D9D9D9" w:themeFill="background1" w:themeFillShade="D9"/>
            <w:vAlign w:val="center"/>
            <w:hideMark/>
          </w:tcPr>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CIS/Brick/ Wood</w:t>
            </w:r>
          </w:p>
        </w:tc>
        <w:tc>
          <w:tcPr>
            <w:tcW w:w="826" w:type="pct"/>
            <w:shd w:val="clear" w:color="auto" w:fill="D9D9D9" w:themeFill="background1" w:themeFillShade="D9"/>
            <w:vAlign w:val="center"/>
            <w:hideMark/>
          </w:tcPr>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Stray/Hay/</w:t>
            </w:r>
          </w:p>
          <w:p w:rsidR="00A356FA" w:rsidRPr="0080533C" w:rsidRDefault="00A356FA" w:rsidP="003125E3">
            <w:pPr>
              <w:spacing w:after="0"/>
              <w:jc w:val="center"/>
              <w:rPr>
                <w:rFonts w:eastAsia="Times New Roman" w:cs="Times New Roman"/>
                <w:b/>
                <w:bCs/>
                <w:color w:val="000000"/>
                <w:sz w:val="20"/>
              </w:rPr>
            </w:pPr>
            <w:r w:rsidRPr="0080533C">
              <w:rPr>
                <w:rFonts w:eastAsia="Times New Roman" w:cs="Times New Roman"/>
                <w:b/>
                <w:bCs/>
                <w:color w:val="000000"/>
                <w:sz w:val="20"/>
              </w:rPr>
              <w:t>Bamboo/Others</w:t>
            </w:r>
          </w:p>
        </w:tc>
      </w:tr>
      <w:tr w:rsidR="00A356FA" w:rsidRPr="003125E3" w:rsidTr="00E1335E">
        <w:trPr>
          <w:trHeight w:hRule="exact" w:val="360"/>
        </w:trPr>
        <w:tc>
          <w:tcPr>
            <w:tcW w:w="16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1</w:t>
            </w:r>
          </w:p>
        </w:tc>
        <w:tc>
          <w:tcPr>
            <w:tcW w:w="972" w:type="pct"/>
            <w:shd w:val="clear" w:color="auto" w:fill="auto"/>
            <w:noWrap/>
            <w:vAlign w:val="bottom"/>
            <w:hideMark/>
          </w:tcPr>
          <w:p w:rsidR="00A356FA" w:rsidRPr="003125E3" w:rsidRDefault="00A356FA" w:rsidP="003125E3">
            <w:pPr>
              <w:spacing w:after="0"/>
              <w:rPr>
                <w:rFonts w:eastAsia="Times New Roman" w:cs="Times New Roman"/>
                <w:bCs/>
                <w:color w:val="000000"/>
              </w:rPr>
            </w:pPr>
            <w:r w:rsidRPr="003125E3">
              <w:rPr>
                <w:rFonts w:eastAsia="Times New Roman" w:cs="Times New Roman"/>
                <w:bCs/>
                <w:color w:val="000000"/>
              </w:rPr>
              <w:t>Haor Region</w:t>
            </w:r>
          </w:p>
        </w:tc>
        <w:tc>
          <w:tcPr>
            <w:tcW w:w="551"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3.29</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74.21</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22.5</w:t>
            </w:r>
          </w:p>
        </w:tc>
        <w:tc>
          <w:tcPr>
            <w:tcW w:w="464"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4.13</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88.29</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7.59</w:t>
            </w:r>
          </w:p>
        </w:tc>
      </w:tr>
      <w:tr w:rsidR="00A356FA" w:rsidRPr="003125E3" w:rsidTr="00E1335E">
        <w:trPr>
          <w:trHeight w:hRule="exact" w:val="360"/>
        </w:trPr>
        <w:tc>
          <w:tcPr>
            <w:tcW w:w="16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2</w:t>
            </w:r>
          </w:p>
        </w:tc>
        <w:tc>
          <w:tcPr>
            <w:tcW w:w="972" w:type="pct"/>
            <w:shd w:val="clear" w:color="auto" w:fill="auto"/>
            <w:noWrap/>
            <w:vAlign w:val="bottom"/>
            <w:hideMark/>
          </w:tcPr>
          <w:p w:rsidR="00A356FA" w:rsidRPr="003125E3" w:rsidRDefault="00A356FA" w:rsidP="003125E3">
            <w:pPr>
              <w:spacing w:after="0"/>
              <w:rPr>
                <w:rFonts w:eastAsia="Times New Roman" w:cs="Times New Roman"/>
                <w:bCs/>
                <w:color w:val="000000"/>
              </w:rPr>
            </w:pPr>
            <w:r w:rsidRPr="003125E3">
              <w:rPr>
                <w:rFonts w:eastAsia="Times New Roman" w:cs="Times New Roman"/>
                <w:bCs/>
                <w:color w:val="000000"/>
              </w:rPr>
              <w:t>Coastal Zone</w:t>
            </w:r>
          </w:p>
        </w:tc>
        <w:tc>
          <w:tcPr>
            <w:tcW w:w="551"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4.29</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71.45</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24.26</w:t>
            </w:r>
          </w:p>
        </w:tc>
        <w:tc>
          <w:tcPr>
            <w:tcW w:w="464"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7.01</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82.02</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10.97</w:t>
            </w:r>
          </w:p>
        </w:tc>
      </w:tr>
      <w:tr w:rsidR="00A356FA" w:rsidRPr="003125E3" w:rsidTr="00E1335E">
        <w:trPr>
          <w:trHeight w:hRule="exact" w:val="360"/>
        </w:trPr>
        <w:tc>
          <w:tcPr>
            <w:tcW w:w="16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3</w:t>
            </w:r>
          </w:p>
        </w:tc>
        <w:tc>
          <w:tcPr>
            <w:tcW w:w="972" w:type="pct"/>
            <w:shd w:val="clear" w:color="auto" w:fill="auto"/>
            <w:noWrap/>
            <w:vAlign w:val="bottom"/>
            <w:hideMark/>
          </w:tcPr>
          <w:p w:rsidR="00A356FA" w:rsidRPr="003125E3" w:rsidRDefault="00A356FA" w:rsidP="003125E3">
            <w:pPr>
              <w:spacing w:after="0"/>
              <w:rPr>
                <w:rFonts w:eastAsia="Times New Roman" w:cs="Times New Roman"/>
                <w:bCs/>
                <w:color w:val="000000"/>
              </w:rPr>
            </w:pPr>
            <w:r w:rsidRPr="003125E3">
              <w:rPr>
                <w:rFonts w:eastAsia="Times New Roman" w:cs="Times New Roman"/>
                <w:bCs/>
                <w:color w:val="000000"/>
              </w:rPr>
              <w:t>Chittagong Hill Tracts</w:t>
            </w:r>
          </w:p>
        </w:tc>
        <w:tc>
          <w:tcPr>
            <w:tcW w:w="551"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5.37</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63.4</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31.23</w:t>
            </w:r>
          </w:p>
        </w:tc>
        <w:tc>
          <w:tcPr>
            <w:tcW w:w="464"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1.14</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64.45</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34.42</w:t>
            </w:r>
          </w:p>
        </w:tc>
      </w:tr>
      <w:tr w:rsidR="00A356FA" w:rsidRPr="003125E3" w:rsidTr="00E1335E">
        <w:trPr>
          <w:trHeight w:hRule="exact" w:val="360"/>
        </w:trPr>
        <w:tc>
          <w:tcPr>
            <w:tcW w:w="16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4</w:t>
            </w:r>
          </w:p>
        </w:tc>
        <w:tc>
          <w:tcPr>
            <w:tcW w:w="972" w:type="pct"/>
            <w:shd w:val="clear" w:color="auto" w:fill="auto"/>
            <w:noWrap/>
            <w:vAlign w:val="bottom"/>
            <w:hideMark/>
          </w:tcPr>
          <w:p w:rsidR="00A356FA" w:rsidRPr="003125E3" w:rsidRDefault="00A356FA" w:rsidP="003125E3">
            <w:pPr>
              <w:spacing w:after="0"/>
              <w:rPr>
                <w:rFonts w:eastAsia="Times New Roman" w:cs="Times New Roman"/>
                <w:bCs/>
                <w:color w:val="000000"/>
              </w:rPr>
            </w:pPr>
            <w:r w:rsidRPr="003125E3">
              <w:rPr>
                <w:rFonts w:eastAsia="Times New Roman" w:cs="Times New Roman"/>
                <w:bCs/>
                <w:color w:val="000000"/>
              </w:rPr>
              <w:t>Urban Areas</w:t>
            </w:r>
          </w:p>
        </w:tc>
        <w:tc>
          <w:tcPr>
            <w:tcW w:w="551"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13.23</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68.56</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18.21</w:t>
            </w:r>
          </w:p>
        </w:tc>
        <w:tc>
          <w:tcPr>
            <w:tcW w:w="464"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29.37</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67.69</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2.94</w:t>
            </w:r>
          </w:p>
        </w:tc>
      </w:tr>
      <w:tr w:rsidR="00A356FA" w:rsidRPr="003125E3" w:rsidTr="00E1335E">
        <w:trPr>
          <w:trHeight w:hRule="exact" w:val="360"/>
        </w:trPr>
        <w:tc>
          <w:tcPr>
            <w:tcW w:w="16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5</w:t>
            </w:r>
          </w:p>
        </w:tc>
        <w:tc>
          <w:tcPr>
            <w:tcW w:w="972" w:type="pct"/>
            <w:shd w:val="clear" w:color="auto" w:fill="auto"/>
            <w:noWrap/>
            <w:vAlign w:val="bottom"/>
            <w:hideMark/>
          </w:tcPr>
          <w:p w:rsidR="00A356FA" w:rsidRPr="003125E3" w:rsidRDefault="00A356FA" w:rsidP="003125E3">
            <w:pPr>
              <w:spacing w:after="0"/>
              <w:rPr>
                <w:rFonts w:eastAsia="Times New Roman" w:cs="Times New Roman"/>
                <w:bCs/>
                <w:color w:val="000000"/>
              </w:rPr>
            </w:pPr>
            <w:r w:rsidRPr="003125E3">
              <w:rPr>
                <w:rFonts w:eastAsia="Times New Roman" w:cs="Times New Roman"/>
                <w:bCs/>
                <w:color w:val="000000"/>
              </w:rPr>
              <w:t>Drought Prone</w:t>
            </w:r>
          </w:p>
        </w:tc>
        <w:tc>
          <w:tcPr>
            <w:tcW w:w="551"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3.12</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70.41</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26.47</w:t>
            </w:r>
          </w:p>
        </w:tc>
        <w:tc>
          <w:tcPr>
            <w:tcW w:w="464"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7.18</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88.82</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4.00</w:t>
            </w:r>
          </w:p>
        </w:tc>
      </w:tr>
      <w:tr w:rsidR="00A356FA" w:rsidRPr="003125E3" w:rsidTr="00E1335E">
        <w:trPr>
          <w:trHeight w:hRule="exact" w:val="360"/>
        </w:trPr>
        <w:tc>
          <w:tcPr>
            <w:tcW w:w="16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6</w:t>
            </w:r>
          </w:p>
        </w:tc>
        <w:tc>
          <w:tcPr>
            <w:tcW w:w="972" w:type="pct"/>
            <w:shd w:val="clear" w:color="auto" w:fill="auto"/>
            <w:noWrap/>
            <w:vAlign w:val="bottom"/>
            <w:hideMark/>
          </w:tcPr>
          <w:p w:rsidR="00A356FA" w:rsidRPr="003125E3" w:rsidRDefault="00A356FA" w:rsidP="003125E3">
            <w:pPr>
              <w:spacing w:after="0"/>
              <w:rPr>
                <w:rFonts w:eastAsia="Times New Roman" w:cs="Times New Roman"/>
                <w:bCs/>
                <w:color w:val="000000"/>
              </w:rPr>
            </w:pPr>
            <w:r w:rsidRPr="003125E3">
              <w:rPr>
                <w:rFonts w:eastAsia="Times New Roman" w:cs="Times New Roman"/>
                <w:bCs/>
                <w:color w:val="000000"/>
              </w:rPr>
              <w:t>Rivers and Estuary</w:t>
            </w:r>
          </w:p>
        </w:tc>
        <w:tc>
          <w:tcPr>
            <w:tcW w:w="551"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4.09</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86.63</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9.28</w:t>
            </w:r>
          </w:p>
        </w:tc>
        <w:tc>
          <w:tcPr>
            <w:tcW w:w="464"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6.64</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91.52</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1.84</w:t>
            </w:r>
          </w:p>
        </w:tc>
      </w:tr>
      <w:tr w:rsidR="00A356FA" w:rsidRPr="003125E3" w:rsidTr="00E1335E">
        <w:trPr>
          <w:trHeight w:hRule="exact" w:val="360"/>
        </w:trPr>
        <w:tc>
          <w:tcPr>
            <w:tcW w:w="16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7</w:t>
            </w:r>
          </w:p>
        </w:tc>
        <w:tc>
          <w:tcPr>
            <w:tcW w:w="972" w:type="pct"/>
            <w:shd w:val="clear" w:color="auto" w:fill="auto"/>
            <w:noWrap/>
            <w:vAlign w:val="bottom"/>
            <w:hideMark/>
          </w:tcPr>
          <w:p w:rsidR="00A356FA" w:rsidRPr="003125E3" w:rsidRDefault="004F7097" w:rsidP="003125E3">
            <w:pPr>
              <w:spacing w:after="0"/>
              <w:rPr>
                <w:rFonts w:eastAsia="Times New Roman" w:cs="Times New Roman"/>
                <w:bCs/>
                <w:color w:val="000000"/>
              </w:rPr>
            </w:pPr>
            <w:r>
              <w:rPr>
                <w:rFonts w:eastAsia="Times New Roman" w:cs="Times New Roman"/>
                <w:bCs/>
                <w:color w:val="000000"/>
              </w:rPr>
              <w:t>RHF*</w:t>
            </w:r>
          </w:p>
        </w:tc>
        <w:tc>
          <w:tcPr>
            <w:tcW w:w="551"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9.13</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63.72</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27.15</w:t>
            </w:r>
          </w:p>
        </w:tc>
        <w:tc>
          <w:tcPr>
            <w:tcW w:w="464"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8.07</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87.27</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4.66</w:t>
            </w:r>
          </w:p>
        </w:tc>
      </w:tr>
      <w:tr w:rsidR="00A356FA" w:rsidRPr="003125E3" w:rsidTr="00E1335E">
        <w:trPr>
          <w:trHeight w:hRule="exact" w:val="360"/>
        </w:trPr>
        <w:tc>
          <w:tcPr>
            <w:tcW w:w="166" w:type="pct"/>
            <w:shd w:val="clear" w:color="auto" w:fill="auto"/>
            <w:noWrap/>
            <w:vAlign w:val="bottom"/>
            <w:hideMark/>
          </w:tcPr>
          <w:p w:rsidR="00A356FA" w:rsidRPr="003125E3" w:rsidRDefault="00A356FA" w:rsidP="003125E3">
            <w:pPr>
              <w:spacing w:after="0"/>
              <w:jc w:val="right"/>
              <w:rPr>
                <w:rFonts w:eastAsia="Times New Roman" w:cs="Times New Roman"/>
                <w:bCs/>
                <w:color w:val="000000"/>
              </w:rPr>
            </w:pPr>
            <w:r w:rsidRPr="003125E3">
              <w:rPr>
                <w:rFonts w:eastAsia="Times New Roman" w:cs="Times New Roman"/>
                <w:bCs/>
                <w:color w:val="000000"/>
              </w:rPr>
              <w:t>8</w:t>
            </w:r>
          </w:p>
        </w:tc>
        <w:tc>
          <w:tcPr>
            <w:tcW w:w="972" w:type="pct"/>
            <w:shd w:val="clear" w:color="auto" w:fill="auto"/>
            <w:noWrap/>
            <w:vAlign w:val="bottom"/>
            <w:hideMark/>
          </w:tcPr>
          <w:p w:rsidR="00A356FA" w:rsidRPr="003125E3" w:rsidRDefault="00A356FA" w:rsidP="003125E3">
            <w:pPr>
              <w:spacing w:after="0"/>
              <w:rPr>
                <w:rFonts w:eastAsia="Times New Roman" w:cs="Times New Roman"/>
                <w:b/>
                <w:bCs/>
                <w:color w:val="000000"/>
              </w:rPr>
            </w:pPr>
            <w:r w:rsidRPr="003125E3">
              <w:rPr>
                <w:rFonts w:eastAsia="Times New Roman" w:cs="Times New Roman"/>
                <w:b/>
                <w:bCs/>
                <w:color w:val="000000"/>
              </w:rPr>
              <w:t>Bangladesh</w:t>
            </w:r>
          </w:p>
        </w:tc>
        <w:tc>
          <w:tcPr>
            <w:tcW w:w="551" w:type="pct"/>
            <w:shd w:val="clear" w:color="auto" w:fill="auto"/>
            <w:noWrap/>
            <w:vAlign w:val="bottom"/>
            <w:hideMark/>
          </w:tcPr>
          <w:p w:rsidR="00A356FA" w:rsidRPr="003125E3" w:rsidRDefault="00A356FA" w:rsidP="003125E3">
            <w:pPr>
              <w:spacing w:after="0"/>
              <w:jc w:val="right"/>
              <w:rPr>
                <w:rFonts w:eastAsia="Times New Roman" w:cs="Times New Roman"/>
                <w:b/>
                <w:bCs/>
                <w:color w:val="000000"/>
              </w:rPr>
            </w:pPr>
            <w:r w:rsidRPr="003125E3">
              <w:rPr>
                <w:rFonts w:eastAsia="Times New Roman" w:cs="Times New Roman"/>
                <w:b/>
                <w:bCs/>
                <w:color w:val="000000"/>
              </w:rPr>
              <w:t>5.36</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
                <w:bCs/>
                <w:color w:val="000000"/>
              </w:rPr>
            </w:pPr>
            <w:r w:rsidRPr="003125E3">
              <w:rPr>
                <w:rFonts w:eastAsia="Times New Roman" w:cs="Times New Roman"/>
                <w:b/>
                <w:bCs/>
                <w:color w:val="000000"/>
              </w:rPr>
              <w:t>75.27</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
                <w:bCs/>
                <w:color w:val="000000"/>
              </w:rPr>
            </w:pPr>
            <w:r w:rsidRPr="003125E3">
              <w:rPr>
                <w:rFonts w:eastAsia="Times New Roman" w:cs="Times New Roman"/>
                <w:b/>
                <w:bCs/>
                <w:color w:val="000000"/>
              </w:rPr>
              <w:t>19.37</w:t>
            </w:r>
          </w:p>
        </w:tc>
        <w:tc>
          <w:tcPr>
            <w:tcW w:w="464" w:type="pct"/>
            <w:shd w:val="clear" w:color="auto" w:fill="auto"/>
            <w:noWrap/>
            <w:vAlign w:val="bottom"/>
            <w:hideMark/>
          </w:tcPr>
          <w:p w:rsidR="00A356FA" w:rsidRPr="003125E3" w:rsidRDefault="00A356FA" w:rsidP="003125E3">
            <w:pPr>
              <w:spacing w:after="0"/>
              <w:jc w:val="right"/>
              <w:rPr>
                <w:rFonts w:eastAsia="Times New Roman" w:cs="Times New Roman"/>
                <w:b/>
                <w:bCs/>
                <w:color w:val="000000"/>
              </w:rPr>
            </w:pPr>
            <w:r w:rsidRPr="003125E3">
              <w:rPr>
                <w:rFonts w:eastAsia="Times New Roman" w:cs="Times New Roman"/>
                <w:b/>
                <w:bCs/>
                <w:color w:val="000000"/>
              </w:rPr>
              <w:t>10.37</w:t>
            </w:r>
          </w:p>
        </w:tc>
        <w:tc>
          <w:tcPr>
            <w:tcW w:w="598" w:type="pct"/>
            <w:shd w:val="clear" w:color="auto" w:fill="auto"/>
            <w:noWrap/>
            <w:vAlign w:val="bottom"/>
            <w:hideMark/>
          </w:tcPr>
          <w:p w:rsidR="00A356FA" w:rsidRPr="003125E3" w:rsidRDefault="00A356FA" w:rsidP="003125E3">
            <w:pPr>
              <w:spacing w:after="0"/>
              <w:jc w:val="right"/>
              <w:rPr>
                <w:rFonts w:eastAsia="Times New Roman" w:cs="Times New Roman"/>
                <w:b/>
                <w:bCs/>
                <w:color w:val="000000"/>
              </w:rPr>
            </w:pPr>
            <w:r w:rsidRPr="003125E3">
              <w:rPr>
                <w:rFonts w:eastAsia="Times New Roman" w:cs="Times New Roman"/>
                <w:b/>
                <w:bCs/>
                <w:color w:val="000000"/>
              </w:rPr>
              <w:t>83.88</w:t>
            </w:r>
          </w:p>
        </w:tc>
        <w:tc>
          <w:tcPr>
            <w:tcW w:w="826" w:type="pct"/>
            <w:shd w:val="clear" w:color="auto" w:fill="auto"/>
            <w:noWrap/>
            <w:vAlign w:val="bottom"/>
            <w:hideMark/>
          </w:tcPr>
          <w:p w:rsidR="00A356FA" w:rsidRPr="003125E3" w:rsidRDefault="00A356FA" w:rsidP="003125E3">
            <w:pPr>
              <w:spacing w:after="0"/>
              <w:jc w:val="right"/>
              <w:rPr>
                <w:rFonts w:eastAsia="Times New Roman" w:cs="Times New Roman"/>
                <w:b/>
                <w:bCs/>
                <w:color w:val="000000"/>
              </w:rPr>
            </w:pPr>
            <w:r w:rsidRPr="003125E3">
              <w:rPr>
                <w:rFonts w:eastAsia="Times New Roman" w:cs="Times New Roman"/>
                <w:b/>
                <w:bCs/>
                <w:color w:val="000000"/>
              </w:rPr>
              <w:t>5.75</w:t>
            </w:r>
          </w:p>
        </w:tc>
      </w:tr>
    </w:tbl>
    <w:p w:rsidR="00A356FA" w:rsidRDefault="00A356FA" w:rsidP="0080533C">
      <w:pPr>
        <w:spacing w:before="120" w:line="276" w:lineRule="auto"/>
        <w:rPr>
          <w:rFonts w:cs="Times New Roman"/>
          <w:b/>
          <w:i/>
          <w:sz w:val="20"/>
          <w:szCs w:val="24"/>
        </w:rPr>
      </w:pPr>
      <w:r w:rsidRPr="003125E3">
        <w:rPr>
          <w:rFonts w:cs="Times New Roman"/>
          <w:b/>
          <w:i/>
          <w:sz w:val="20"/>
          <w:szCs w:val="24"/>
        </w:rPr>
        <w:t xml:space="preserve">Source: </w:t>
      </w:r>
      <w:r w:rsidR="004F486D">
        <w:rPr>
          <w:rFonts w:cs="Times New Roman"/>
          <w:b/>
          <w:i/>
          <w:sz w:val="20"/>
          <w:szCs w:val="24"/>
        </w:rPr>
        <w:t>GED</w:t>
      </w:r>
      <w:r w:rsidR="00612DB4">
        <w:rPr>
          <w:rFonts w:cs="Times New Roman"/>
          <w:b/>
          <w:i/>
          <w:sz w:val="20"/>
          <w:szCs w:val="24"/>
        </w:rPr>
        <w:t xml:space="preserve"> e</w:t>
      </w:r>
      <w:r w:rsidRPr="003125E3">
        <w:rPr>
          <w:rFonts w:cs="Times New Roman"/>
          <w:b/>
          <w:i/>
          <w:sz w:val="20"/>
          <w:szCs w:val="24"/>
        </w:rPr>
        <w:t>stimate</w:t>
      </w:r>
      <w:r w:rsidR="00612DB4">
        <w:rPr>
          <w:rFonts w:cs="Times New Roman"/>
          <w:b/>
          <w:i/>
          <w:sz w:val="20"/>
          <w:szCs w:val="24"/>
        </w:rPr>
        <w:t>s</w:t>
      </w:r>
      <w:r w:rsidRPr="003125E3">
        <w:rPr>
          <w:rFonts w:cs="Times New Roman"/>
          <w:b/>
          <w:i/>
          <w:sz w:val="20"/>
          <w:szCs w:val="24"/>
        </w:rPr>
        <w:t xml:space="preserve"> based on HIES 2000 and 2010</w:t>
      </w:r>
    </w:p>
    <w:p w:rsidR="00F64A6A" w:rsidRPr="00F64A6A" w:rsidRDefault="004F7097" w:rsidP="00F64A6A">
      <w:pPr>
        <w:pStyle w:val="ListParagraph"/>
        <w:numPr>
          <w:ilvl w:val="0"/>
          <w:numId w:val="3"/>
        </w:numPr>
        <w:spacing w:before="120" w:line="276" w:lineRule="auto"/>
        <w:rPr>
          <w:rFonts w:cs="Times New Roman"/>
          <w:b/>
          <w:i/>
          <w:sz w:val="20"/>
          <w:szCs w:val="24"/>
        </w:rPr>
      </w:pPr>
      <w:r>
        <w:rPr>
          <w:rFonts w:cs="Times New Roman"/>
          <w:b/>
          <w:i/>
          <w:sz w:val="20"/>
          <w:szCs w:val="24"/>
        </w:rPr>
        <w:t>Relative hazard Free</w:t>
      </w:r>
    </w:p>
    <w:p w:rsidR="00A356FA" w:rsidRPr="003125E3" w:rsidRDefault="00A356FA" w:rsidP="003125E3">
      <w:pPr>
        <w:spacing w:line="276" w:lineRule="auto"/>
        <w:jc w:val="both"/>
        <w:rPr>
          <w:rFonts w:cs="Times New Roman"/>
          <w:szCs w:val="24"/>
        </w:rPr>
      </w:pPr>
      <w:r w:rsidRPr="003125E3">
        <w:rPr>
          <w:rFonts w:cs="Times New Roman"/>
          <w:szCs w:val="24"/>
        </w:rPr>
        <w:t xml:space="preserve">The changes in roofing condition, however, vary across the regions. Percent of roofs built with brick/cement reduced in 2010 compared to 2000 in only CHT. In all other regions the houses with roofs built with brick/cement have increased in 2010 compared to 2000. Except for the </w:t>
      </w:r>
      <w:r w:rsidR="00F959A5" w:rsidRPr="003125E3">
        <w:rPr>
          <w:rFonts w:cs="Times New Roman"/>
          <w:szCs w:val="24"/>
        </w:rPr>
        <w:t>urban</w:t>
      </w:r>
      <w:r w:rsidRPr="003125E3">
        <w:rPr>
          <w:rFonts w:cs="Times New Roman"/>
          <w:szCs w:val="24"/>
        </w:rPr>
        <w:t xml:space="preserve"> areas, percentage roof constructed with CIS/brick/wood materials increased between 2000 and 2010 across other regions. Percentages roof made of the lowest quality materials such as stray/hay/bamboo/others have reduced across all regions.</w:t>
      </w:r>
    </w:p>
    <w:p w:rsidR="00A356FA" w:rsidRPr="003125E3" w:rsidRDefault="00A356FA" w:rsidP="003125E3">
      <w:pPr>
        <w:spacing w:line="276" w:lineRule="auto"/>
        <w:jc w:val="both"/>
        <w:rPr>
          <w:rFonts w:cs="Times New Roman"/>
          <w:szCs w:val="24"/>
        </w:rPr>
      </w:pPr>
      <w:r w:rsidRPr="003125E3">
        <w:rPr>
          <w:rFonts w:cs="Times New Roman"/>
          <w:szCs w:val="24"/>
        </w:rPr>
        <w:lastRenderedPageBreak/>
        <w:t xml:space="preserve">In 2000, around 14.2% walls of the houses in Bangladesh were made of brick/cement. In 2010, this percentage increased to more than 25%. Percentage of house walls constructed with CIS/brick/wood materials increased from 44.3% in 2000 to about 55.2% in 2010. However, most significant improvement has been reported for the third or lowest category of wall materials. House walls built with stray/hay/bamboo/others materials (i.e. lowest quality) have reduced from 41.5% in 2000 to about 19.7% in 2010. </w:t>
      </w:r>
    </w:p>
    <w:p w:rsidR="00A356FA" w:rsidRPr="003125E3" w:rsidRDefault="00A356FA" w:rsidP="003125E3">
      <w:pPr>
        <w:spacing w:line="276" w:lineRule="auto"/>
        <w:jc w:val="both"/>
        <w:rPr>
          <w:rFonts w:cs="Times New Roman"/>
          <w:szCs w:val="24"/>
        </w:rPr>
      </w:pPr>
      <w:r w:rsidRPr="003125E3">
        <w:rPr>
          <w:rFonts w:cs="Times New Roman"/>
          <w:szCs w:val="24"/>
        </w:rPr>
        <w:t xml:space="preserve">However, similar to the roofing condition, the changes in wall condition have found to vary across the regions. Only CHT reported reduction in walls built with brick/cement in 2010 compared to 2000. In all other regions the percentages have increased in 2010 compared to 2000. Accept for the </w:t>
      </w:r>
      <w:r w:rsidR="00F959A5" w:rsidRPr="003125E3">
        <w:rPr>
          <w:rFonts w:cs="Times New Roman"/>
          <w:szCs w:val="24"/>
        </w:rPr>
        <w:t>urban</w:t>
      </w:r>
      <w:r w:rsidRPr="003125E3">
        <w:rPr>
          <w:rFonts w:cs="Times New Roman"/>
          <w:szCs w:val="24"/>
        </w:rPr>
        <w:t xml:space="preserve"> areas and Drought prone region, percentage of walls constructed with CIS/brick/wood materials increased between 2000 and 2010 in all other regions. Percentages of wall made of the lowest quality materials such as stray/hay/bamboo/others have reduced across all regions.  </w:t>
      </w:r>
    </w:p>
    <w:p w:rsidR="00A356FA" w:rsidRPr="003125E3" w:rsidRDefault="00A356FA" w:rsidP="00944687">
      <w:pPr>
        <w:pStyle w:val="Heading4"/>
      </w:pPr>
      <w:bookmarkStart w:id="137" w:name="_Ref447320735"/>
      <w:bookmarkStart w:id="138" w:name="_Toc450078593"/>
      <w:bookmarkStart w:id="139" w:name="_Toc474638999"/>
      <w:r w:rsidRPr="003125E3">
        <w:t>Table 2.</w:t>
      </w:r>
      <w:bookmarkEnd w:id="137"/>
      <w:r w:rsidRPr="003125E3">
        <w:t>3: Housing Structure – Wall Materials (%)</w:t>
      </w:r>
      <w:bookmarkEnd w:id="138"/>
      <w:bookmarkEnd w:id="1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tblPr>
      <w:tblGrid>
        <w:gridCol w:w="330"/>
        <w:gridCol w:w="1833"/>
        <w:gridCol w:w="891"/>
        <w:gridCol w:w="1159"/>
        <w:gridCol w:w="1612"/>
        <w:gridCol w:w="891"/>
        <w:gridCol w:w="1161"/>
        <w:gridCol w:w="1627"/>
      </w:tblGrid>
      <w:tr w:rsidR="00A356FA" w:rsidRPr="003125E3" w:rsidTr="00E1335E">
        <w:trPr>
          <w:trHeight w:val="20"/>
          <w:tblHeader/>
        </w:trPr>
        <w:tc>
          <w:tcPr>
            <w:tcW w:w="173" w:type="pct"/>
            <w:shd w:val="clear" w:color="auto" w:fill="D9D9D9" w:themeFill="background1" w:themeFillShade="D9"/>
            <w:noWrap/>
            <w:vAlign w:val="center"/>
            <w:hideMark/>
          </w:tcPr>
          <w:p w:rsidR="00A356FA" w:rsidRPr="003125E3" w:rsidRDefault="00A356FA" w:rsidP="003125E3">
            <w:pPr>
              <w:spacing w:after="0" w:line="276" w:lineRule="auto"/>
              <w:jc w:val="center"/>
              <w:rPr>
                <w:rFonts w:cs="Times New Roman"/>
                <w:b/>
              </w:rPr>
            </w:pPr>
          </w:p>
        </w:tc>
        <w:tc>
          <w:tcPr>
            <w:tcW w:w="964" w:type="pct"/>
            <w:shd w:val="clear" w:color="auto" w:fill="D9D9D9" w:themeFill="background1" w:themeFillShade="D9"/>
            <w:noWrap/>
            <w:vAlign w:val="center"/>
            <w:hideMark/>
          </w:tcPr>
          <w:p w:rsidR="00A356FA" w:rsidRPr="003125E3" w:rsidRDefault="00A356FA" w:rsidP="003125E3">
            <w:pPr>
              <w:spacing w:after="0" w:line="276" w:lineRule="auto"/>
              <w:jc w:val="center"/>
              <w:rPr>
                <w:rFonts w:cs="Times New Roman"/>
                <w:b/>
              </w:rPr>
            </w:pPr>
          </w:p>
        </w:tc>
        <w:tc>
          <w:tcPr>
            <w:tcW w:w="1927" w:type="pct"/>
            <w:gridSpan w:val="3"/>
            <w:shd w:val="clear" w:color="auto" w:fill="D9D9D9" w:themeFill="background1" w:themeFillShade="D9"/>
            <w:noWrap/>
            <w:vAlign w:val="center"/>
            <w:hideMark/>
          </w:tcPr>
          <w:p w:rsidR="00A356FA" w:rsidRPr="003125E3" w:rsidRDefault="00A356FA" w:rsidP="003125E3">
            <w:pPr>
              <w:spacing w:after="0" w:line="276" w:lineRule="auto"/>
              <w:jc w:val="center"/>
              <w:rPr>
                <w:rFonts w:cs="Times New Roman"/>
                <w:b/>
              </w:rPr>
            </w:pPr>
            <w:r w:rsidRPr="003125E3">
              <w:rPr>
                <w:rFonts w:cs="Times New Roman"/>
                <w:b/>
              </w:rPr>
              <w:t>2000</w:t>
            </w:r>
          </w:p>
        </w:tc>
        <w:tc>
          <w:tcPr>
            <w:tcW w:w="1936" w:type="pct"/>
            <w:gridSpan w:val="3"/>
            <w:shd w:val="clear" w:color="auto" w:fill="D9D9D9" w:themeFill="background1" w:themeFillShade="D9"/>
            <w:noWrap/>
            <w:vAlign w:val="center"/>
            <w:hideMark/>
          </w:tcPr>
          <w:p w:rsidR="00A356FA" w:rsidRPr="003125E3" w:rsidRDefault="00A356FA" w:rsidP="003125E3">
            <w:pPr>
              <w:spacing w:after="0" w:line="276" w:lineRule="auto"/>
              <w:jc w:val="center"/>
              <w:rPr>
                <w:rFonts w:cs="Times New Roman"/>
                <w:b/>
              </w:rPr>
            </w:pPr>
            <w:r w:rsidRPr="003125E3">
              <w:rPr>
                <w:rFonts w:cs="Times New Roman"/>
                <w:b/>
              </w:rPr>
              <w:t>2010</w:t>
            </w:r>
          </w:p>
        </w:tc>
      </w:tr>
      <w:tr w:rsidR="006A59BF" w:rsidRPr="003125E3" w:rsidTr="00E1335E">
        <w:trPr>
          <w:trHeight w:val="20"/>
          <w:tblHeader/>
        </w:trPr>
        <w:tc>
          <w:tcPr>
            <w:tcW w:w="173" w:type="pct"/>
            <w:shd w:val="clear" w:color="auto" w:fill="D9D9D9" w:themeFill="background1" w:themeFillShade="D9"/>
            <w:noWrap/>
            <w:vAlign w:val="center"/>
            <w:hideMark/>
          </w:tcPr>
          <w:p w:rsidR="00A356FA" w:rsidRPr="003125E3" w:rsidRDefault="00A356FA" w:rsidP="003125E3">
            <w:pPr>
              <w:spacing w:after="0" w:line="276" w:lineRule="auto"/>
              <w:jc w:val="center"/>
              <w:rPr>
                <w:rFonts w:cs="Times New Roman"/>
                <w:b/>
              </w:rPr>
            </w:pPr>
          </w:p>
        </w:tc>
        <w:tc>
          <w:tcPr>
            <w:tcW w:w="964" w:type="pct"/>
            <w:shd w:val="clear" w:color="auto" w:fill="D9D9D9" w:themeFill="background1" w:themeFillShade="D9"/>
            <w:noWrap/>
            <w:vAlign w:val="center"/>
            <w:hideMark/>
          </w:tcPr>
          <w:p w:rsidR="00A356FA" w:rsidRPr="003125E3" w:rsidRDefault="00A356FA" w:rsidP="003125E3">
            <w:pPr>
              <w:spacing w:after="0" w:line="276" w:lineRule="auto"/>
              <w:jc w:val="center"/>
              <w:rPr>
                <w:rFonts w:cs="Times New Roman"/>
                <w:b/>
              </w:rPr>
            </w:pPr>
          </w:p>
        </w:tc>
        <w:tc>
          <w:tcPr>
            <w:tcW w:w="469" w:type="pct"/>
            <w:shd w:val="clear" w:color="auto" w:fill="D9D9D9" w:themeFill="background1" w:themeFillShade="D9"/>
            <w:vAlign w:val="center"/>
            <w:hideMark/>
          </w:tcPr>
          <w:p w:rsidR="00A356FA" w:rsidRPr="006A59BF" w:rsidRDefault="00A356FA" w:rsidP="003125E3">
            <w:pPr>
              <w:spacing w:after="0" w:line="276" w:lineRule="auto"/>
              <w:jc w:val="center"/>
              <w:rPr>
                <w:rFonts w:cs="Times New Roman"/>
                <w:b/>
                <w:sz w:val="20"/>
              </w:rPr>
            </w:pPr>
            <w:r w:rsidRPr="006A59BF">
              <w:rPr>
                <w:rFonts w:cs="Times New Roman"/>
                <w:b/>
                <w:sz w:val="20"/>
              </w:rPr>
              <w:t>Brick/</w:t>
            </w:r>
          </w:p>
          <w:p w:rsidR="00A356FA" w:rsidRPr="006A59BF" w:rsidRDefault="00A356FA" w:rsidP="003125E3">
            <w:pPr>
              <w:spacing w:after="0" w:line="276" w:lineRule="auto"/>
              <w:jc w:val="center"/>
              <w:rPr>
                <w:rFonts w:cs="Times New Roman"/>
                <w:b/>
                <w:sz w:val="20"/>
              </w:rPr>
            </w:pPr>
            <w:r w:rsidRPr="006A59BF">
              <w:rPr>
                <w:rFonts w:cs="Times New Roman"/>
                <w:b/>
                <w:sz w:val="20"/>
              </w:rPr>
              <w:t>Cement</w:t>
            </w:r>
          </w:p>
        </w:tc>
        <w:tc>
          <w:tcPr>
            <w:tcW w:w="610" w:type="pct"/>
            <w:shd w:val="clear" w:color="auto" w:fill="D9D9D9" w:themeFill="background1" w:themeFillShade="D9"/>
            <w:vAlign w:val="center"/>
            <w:hideMark/>
          </w:tcPr>
          <w:p w:rsidR="00A356FA" w:rsidRPr="006A59BF" w:rsidRDefault="00A356FA" w:rsidP="003125E3">
            <w:pPr>
              <w:spacing w:after="0" w:line="276" w:lineRule="auto"/>
              <w:jc w:val="center"/>
              <w:rPr>
                <w:rFonts w:cs="Times New Roman"/>
                <w:b/>
                <w:sz w:val="20"/>
              </w:rPr>
            </w:pPr>
            <w:r w:rsidRPr="006A59BF">
              <w:rPr>
                <w:rFonts w:cs="Times New Roman"/>
                <w:b/>
                <w:sz w:val="20"/>
              </w:rPr>
              <w:t>CIS/Brick/ Wood</w:t>
            </w:r>
          </w:p>
        </w:tc>
        <w:tc>
          <w:tcPr>
            <w:tcW w:w="848" w:type="pct"/>
            <w:shd w:val="clear" w:color="auto" w:fill="D9D9D9" w:themeFill="background1" w:themeFillShade="D9"/>
            <w:vAlign w:val="center"/>
            <w:hideMark/>
          </w:tcPr>
          <w:p w:rsidR="00A356FA" w:rsidRPr="006A59BF" w:rsidRDefault="00A356FA" w:rsidP="003125E3">
            <w:pPr>
              <w:spacing w:after="0" w:line="276" w:lineRule="auto"/>
              <w:jc w:val="center"/>
              <w:rPr>
                <w:rFonts w:cs="Times New Roman"/>
                <w:b/>
                <w:sz w:val="20"/>
              </w:rPr>
            </w:pPr>
            <w:r w:rsidRPr="006A59BF">
              <w:rPr>
                <w:rFonts w:cs="Times New Roman"/>
                <w:b/>
                <w:sz w:val="20"/>
              </w:rPr>
              <w:t>Stray/Hay/</w:t>
            </w:r>
          </w:p>
          <w:p w:rsidR="00A356FA" w:rsidRPr="006A59BF" w:rsidRDefault="00A356FA" w:rsidP="003125E3">
            <w:pPr>
              <w:spacing w:after="0" w:line="276" w:lineRule="auto"/>
              <w:jc w:val="center"/>
              <w:rPr>
                <w:rFonts w:cs="Times New Roman"/>
                <w:b/>
                <w:sz w:val="20"/>
              </w:rPr>
            </w:pPr>
            <w:r w:rsidRPr="006A59BF">
              <w:rPr>
                <w:rFonts w:cs="Times New Roman"/>
                <w:b/>
                <w:sz w:val="20"/>
              </w:rPr>
              <w:t>Bamboo/Others</w:t>
            </w:r>
          </w:p>
        </w:tc>
        <w:tc>
          <w:tcPr>
            <w:tcW w:w="469" w:type="pct"/>
            <w:shd w:val="clear" w:color="auto" w:fill="D9D9D9" w:themeFill="background1" w:themeFillShade="D9"/>
            <w:vAlign w:val="center"/>
            <w:hideMark/>
          </w:tcPr>
          <w:p w:rsidR="00A356FA" w:rsidRPr="006A59BF" w:rsidRDefault="00A356FA" w:rsidP="003125E3">
            <w:pPr>
              <w:spacing w:after="0" w:line="276" w:lineRule="auto"/>
              <w:jc w:val="center"/>
              <w:rPr>
                <w:rFonts w:cs="Times New Roman"/>
                <w:b/>
                <w:sz w:val="20"/>
              </w:rPr>
            </w:pPr>
            <w:r w:rsidRPr="006A59BF">
              <w:rPr>
                <w:rFonts w:cs="Times New Roman"/>
                <w:b/>
                <w:sz w:val="20"/>
              </w:rPr>
              <w:t>Brick/</w:t>
            </w:r>
          </w:p>
          <w:p w:rsidR="00A356FA" w:rsidRPr="006A59BF" w:rsidRDefault="00A356FA" w:rsidP="003125E3">
            <w:pPr>
              <w:spacing w:after="0" w:line="276" w:lineRule="auto"/>
              <w:jc w:val="center"/>
              <w:rPr>
                <w:rFonts w:cs="Times New Roman"/>
                <w:b/>
                <w:sz w:val="20"/>
              </w:rPr>
            </w:pPr>
            <w:r w:rsidRPr="006A59BF">
              <w:rPr>
                <w:rFonts w:cs="Times New Roman"/>
                <w:b/>
                <w:sz w:val="20"/>
              </w:rPr>
              <w:t>Cement</w:t>
            </w:r>
          </w:p>
        </w:tc>
        <w:tc>
          <w:tcPr>
            <w:tcW w:w="611" w:type="pct"/>
            <w:shd w:val="clear" w:color="auto" w:fill="D9D9D9" w:themeFill="background1" w:themeFillShade="D9"/>
            <w:vAlign w:val="center"/>
            <w:hideMark/>
          </w:tcPr>
          <w:p w:rsidR="00A356FA" w:rsidRPr="006A59BF" w:rsidRDefault="00A356FA" w:rsidP="003125E3">
            <w:pPr>
              <w:spacing w:after="0" w:line="276" w:lineRule="auto"/>
              <w:jc w:val="center"/>
              <w:rPr>
                <w:rFonts w:cs="Times New Roman"/>
                <w:b/>
                <w:sz w:val="20"/>
              </w:rPr>
            </w:pPr>
            <w:r w:rsidRPr="006A59BF">
              <w:rPr>
                <w:rFonts w:cs="Times New Roman"/>
                <w:b/>
                <w:sz w:val="20"/>
              </w:rPr>
              <w:t>CIS/Brick/ Wood</w:t>
            </w:r>
          </w:p>
        </w:tc>
        <w:tc>
          <w:tcPr>
            <w:tcW w:w="855" w:type="pct"/>
            <w:shd w:val="clear" w:color="auto" w:fill="D9D9D9" w:themeFill="background1" w:themeFillShade="D9"/>
            <w:vAlign w:val="center"/>
            <w:hideMark/>
          </w:tcPr>
          <w:p w:rsidR="00A356FA" w:rsidRPr="006A59BF" w:rsidRDefault="00A356FA" w:rsidP="003125E3">
            <w:pPr>
              <w:spacing w:after="0" w:line="276" w:lineRule="auto"/>
              <w:jc w:val="center"/>
              <w:rPr>
                <w:rFonts w:cs="Times New Roman"/>
                <w:b/>
                <w:sz w:val="20"/>
              </w:rPr>
            </w:pPr>
            <w:r w:rsidRPr="006A59BF">
              <w:rPr>
                <w:rFonts w:cs="Times New Roman"/>
                <w:b/>
                <w:sz w:val="20"/>
              </w:rPr>
              <w:t>Stray/Hay/</w:t>
            </w:r>
          </w:p>
          <w:p w:rsidR="00A356FA" w:rsidRPr="006A59BF" w:rsidRDefault="00A356FA" w:rsidP="003125E3">
            <w:pPr>
              <w:spacing w:after="0" w:line="276" w:lineRule="auto"/>
              <w:jc w:val="center"/>
              <w:rPr>
                <w:rFonts w:cs="Times New Roman"/>
                <w:b/>
                <w:sz w:val="20"/>
              </w:rPr>
            </w:pPr>
            <w:r w:rsidRPr="006A59BF">
              <w:rPr>
                <w:rFonts w:cs="Times New Roman"/>
                <w:b/>
                <w:sz w:val="20"/>
              </w:rPr>
              <w:t>Bamboo/Others</w:t>
            </w:r>
          </w:p>
        </w:tc>
      </w:tr>
      <w:tr w:rsidR="006A59BF" w:rsidRPr="003125E3" w:rsidTr="00E1335E">
        <w:trPr>
          <w:trHeight w:val="20"/>
        </w:trPr>
        <w:tc>
          <w:tcPr>
            <w:tcW w:w="173"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w:t>
            </w:r>
          </w:p>
        </w:tc>
        <w:tc>
          <w:tcPr>
            <w:tcW w:w="964"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Haor Region</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9.88</w:t>
            </w:r>
          </w:p>
        </w:tc>
        <w:tc>
          <w:tcPr>
            <w:tcW w:w="610"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39.02</w:t>
            </w:r>
          </w:p>
        </w:tc>
        <w:tc>
          <w:tcPr>
            <w:tcW w:w="848"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51.1</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14.78</w:t>
            </w:r>
          </w:p>
        </w:tc>
        <w:tc>
          <w:tcPr>
            <w:tcW w:w="611"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60.51</w:t>
            </w:r>
          </w:p>
        </w:tc>
        <w:tc>
          <w:tcPr>
            <w:tcW w:w="855"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24.71</w:t>
            </w:r>
          </w:p>
        </w:tc>
      </w:tr>
      <w:tr w:rsidR="006A59BF" w:rsidRPr="003125E3" w:rsidTr="00E1335E">
        <w:trPr>
          <w:trHeight w:val="20"/>
        </w:trPr>
        <w:tc>
          <w:tcPr>
            <w:tcW w:w="173"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2</w:t>
            </w:r>
          </w:p>
        </w:tc>
        <w:tc>
          <w:tcPr>
            <w:tcW w:w="964"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Coastal Zone</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14.42</w:t>
            </w:r>
          </w:p>
        </w:tc>
        <w:tc>
          <w:tcPr>
            <w:tcW w:w="610"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48.69</w:t>
            </w:r>
          </w:p>
        </w:tc>
        <w:tc>
          <w:tcPr>
            <w:tcW w:w="848"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36.89</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20.59</w:t>
            </w:r>
          </w:p>
        </w:tc>
        <w:tc>
          <w:tcPr>
            <w:tcW w:w="611"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61.45</w:t>
            </w:r>
          </w:p>
        </w:tc>
        <w:tc>
          <w:tcPr>
            <w:tcW w:w="855"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17.96</w:t>
            </w:r>
          </w:p>
        </w:tc>
      </w:tr>
      <w:tr w:rsidR="006A59BF" w:rsidRPr="003125E3" w:rsidTr="00E1335E">
        <w:trPr>
          <w:trHeight w:val="20"/>
        </w:trPr>
        <w:tc>
          <w:tcPr>
            <w:tcW w:w="173"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3</w:t>
            </w:r>
          </w:p>
        </w:tc>
        <w:tc>
          <w:tcPr>
            <w:tcW w:w="964"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Chittagong Hill Tracts</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10.56</w:t>
            </w:r>
          </w:p>
        </w:tc>
        <w:tc>
          <w:tcPr>
            <w:tcW w:w="610"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21.23</w:t>
            </w:r>
          </w:p>
        </w:tc>
        <w:tc>
          <w:tcPr>
            <w:tcW w:w="848"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68.21</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9.47</w:t>
            </w:r>
          </w:p>
        </w:tc>
        <w:tc>
          <w:tcPr>
            <w:tcW w:w="611"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31.70</w:t>
            </w:r>
          </w:p>
        </w:tc>
        <w:tc>
          <w:tcPr>
            <w:tcW w:w="855"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58.82</w:t>
            </w:r>
          </w:p>
        </w:tc>
      </w:tr>
      <w:tr w:rsidR="006A59BF" w:rsidRPr="003125E3" w:rsidTr="00E1335E">
        <w:trPr>
          <w:trHeight w:val="20"/>
        </w:trPr>
        <w:tc>
          <w:tcPr>
            <w:tcW w:w="173"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4</w:t>
            </w:r>
          </w:p>
        </w:tc>
        <w:tc>
          <w:tcPr>
            <w:tcW w:w="964"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Urban Areas</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26.89</w:t>
            </w:r>
          </w:p>
        </w:tc>
        <w:tc>
          <w:tcPr>
            <w:tcW w:w="610"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35.01</w:t>
            </w:r>
          </w:p>
        </w:tc>
        <w:tc>
          <w:tcPr>
            <w:tcW w:w="848"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38.1</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49.98</w:t>
            </w:r>
          </w:p>
        </w:tc>
        <w:tc>
          <w:tcPr>
            <w:tcW w:w="611"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33.57</w:t>
            </w:r>
          </w:p>
        </w:tc>
        <w:tc>
          <w:tcPr>
            <w:tcW w:w="855"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16.45</w:t>
            </w:r>
          </w:p>
        </w:tc>
      </w:tr>
      <w:tr w:rsidR="006A59BF" w:rsidRPr="003125E3" w:rsidTr="00E1335E">
        <w:trPr>
          <w:trHeight w:val="20"/>
        </w:trPr>
        <w:tc>
          <w:tcPr>
            <w:tcW w:w="173"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5</w:t>
            </w:r>
          </w:p>
        </w:tc>
        <w:tc>
          <w:tcPr>
            <w:tcW w:w="964"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Drought Prone</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13.34</w:t>
            </w:r>
          </w:p>
        </w:tc>
        <w:tc>
          <w:tcPr>
            <w:tcW w:w="610"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56.86</w:t>
            </w:r>
          </w:p>
        </w:tc>
        <w:tc>
          <w:tcPr>
            <w:tcW w:w="848"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29.81</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24.34</w:t>
            </w:r>
          </w:p>
        </w:tc>
        <w:tc>
          <w:tcPr>
            <w:tcW w:w="611"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53.04</w:t>
            </w:r>
          </w:p>
        </w:tc>
        <w:tc>
          <w:tcPr>
            <w:tcW w:w="855"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22.62</w:t>
            </w:r>
          </w:p>
        </w:tc>
      </w:tr>
      <w:tr w:rsidR="006A59BF" w:rsidRPr="003125E3" w:rsidTr="00E1335E">
        <w:trPr>
          <w:trHeight w:val="20"/>
        </w:trPr>
        <w:tc>
          <w:tcPr>
            <w:tcW w:w="173"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6</w:t>
            </w:r>
          </w:p>
        </w:tc>
        <w:tc>
          <w:tcPr>
            <w:tcW w:w="964"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Rivers and Estuary</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11.42</w:t>
            </w:r>
          </w:p>
        </w:tc>
        <w:tc>
          <w:tcPr>
            <w:tcW w:w="610"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43.28</w:t>
            </w:r>
          </w:p>
        </w:tc>
        <w:tc>
          <w:tcPr>
            <w:tcW w:w="848"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45.31</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17.31</w:t>
            </w:r>
          </w:p>
        </w:tc>
        <w:tc>
          <w:tcPr>
            <w:tcW w:w="611"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66.34</w:t>
            </w:r>
          </w:p>
        </w:tc>
        <w:tc>
          <w:tcPr>
            <w:tcW w:w="855"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16.34</w:t>
            </w:r>
          </w:p>
        </w:tc>
      </w:tr>
      <w:tr w:rsidR="006A59BF" w:rsidRPr="003125E3" w:rsidTr="00E1335E">
        <w:trPr>
          <w:trHeight w:val="20"/>
        </w:trPr>
        <w:tc>
          <w:tcPr>
            <w:tcW w:w="173"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7</w:t>
            </w:r>
          </w:p>
        </w:tc>
        <w:tc>
          <w:tcPr>
            <w:tcW w:w="964" w:type="pct"/>
            <w:shd w:val="clear" w:color="auto" w:fill="auto"/>
            <w:noWrap/>
            <w:vAlign w:val="bottom"/>
            <w:hideMark/>
          </w:tcPr>
          <w:p w:rsidR="00A356FA" w:rsidRPr="003125E3" w:rsidRDefault="00C52D7C" w:rsidP="003125E3">
            <w:pPr>
              <w:spacing w:after="0" w:line="276" w:lineRule="auto"/>
              <w:rPr>
                <w:rFonts w:cs="Times New Roman"/>
              </w:rPr>
            </w:pPr>
            <w:r>
              <w:rPr>
                <w:rFonts w:cs="Times New Roman"/>
              </w:rPr>
              <w:t>Safe Region</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16.85</w:t>
            </w:r>
          </w:p>
        </w:tc>
        <w:tc>
          <w:tcPr>
            <w:tcW w:w="610"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37.63</w:t>
            </w:r>
          </w:p>
        </w:tc>
        <w:tc>
          <w:tcPr>
            <w:tcW w:w="848"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45.52</w:t>
            </w:r>
          </w:p>
        </w:tc>
        <w:tc>
          <w:tcPr>
            <w:tcW w:w="469"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25.85</w:t>
            </w:r>
          </w:p>
        </w:tc>
        <w:tc>
          <w:tcPr>
            <w:tcW w:w="611"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57.22</w:t>
            </w:r>
          </w:p>
        </w:tc>
        <w:tc>
          <w:tcPr>
            <w:tcW w:w="855" w:type="pct"/>
            <w:shd w:val="clear" w:color="auto" w:fill="auto"/>
            <w:noWrap/>
            <w:vAlign w:val="bottom"/>
            <w:hideMark/>
          </w:tcPr>
          <w:p w:rsidR="00A356FA" w:rsidRPr="003125E3" w:rsidRDefault="00A356FA" w:rsidP="003125E3">
            <w:pPr>
              <w:spacing w:after="0" w:line="276" w:lineRule="auto"/>
              <w:rPr>
                <w:rFonts w:cs="Times New Roman"/>
              </w:rPr>
            </w:pPr>
            <w:r w:rsidRPr="003125E3">
              <w:rPr>
                <w:rFonts w:cs="Times New Roman"/>
              </w:rPr>
              <w:t>16.93</w:t>
            </w:r>
          </w:p>
        </w:tc>
      </w:tr>
      <w:tr w:rsidR="006A59BF" w:rsidRPr="00600CD5" w:rsidTr="00E1335E">
        <w:trPr>
          <w:trHeight w:val="20"/>
        </w:trPr>
        <w:tc>
          <w:tcPr>
            <w:tcW w:w="173" w:type="pct"/>
            <w:shd w:val="clear" w:color="auto" w:fill="auto"/>
            <w:noWrap/>
            <w:vAlign w:val="bottom"/>
            <w:hideMark/>
          </w:tcPr>
          <w:p w:rsidR="00A356FA" w:rsidRPr="00600CD5" w:rsidRDefault="00A356FA" w:rsidP="003125E3">
            <w:pPr>
              <w:spacing w:after="0" w:line="276" w:lineRule="auto"/>
              <w:rPr>
                <w:rFonts w:cs="Times New Roman"/>
                <w:b/>
              </w:rPr>
            </w:pPr>
            <w:r w:rsidRPr="00600CD5">
              <w:rPr>
                <w:rFonts w:cs="Times New Roman"/>
                <w:b/>
              </w:rPr>
              <w:t>8</w:t>
            </w:r>
          </w:p>
        </w:tc>
        <w:tc>
          <w:tcPr>
            <w:tcW w:w="964" w:type="pct"/>
            <w:shd w:val="clear" w:color="auto" w:fill="auto"/>
            <w:noWrap/>
            <w:vAlign w:val="bottom"/>
            <w:hideMark/>
          </w:tcPr>
          <w:p w:rsidR="00A356FA" w:rsidRPr="00600CD5" w:rsidRDefault="00A356FA" w:rsidP="003125E3">
            <w:pPr>
              <w:spacing w:after="0" w:line="276" w:lineRule="auto"/>
              <w:rPr>
                <w:rFonts w:cs="Times New Roman"/>
                <w:b/>
              </w:rPr>
            </w:pPr>
            <w:r w:rsidRPr="00600CD5">
              <w:rPr>
                <w:rFonts w:cs="Times New Roman"/>
                <w:b/>
              </w:rPr>
              <w:t>Bangladesh</w:t>
            </w:r>
          </w:p>
        </w:tc>
        <w:tc>
          <w:tcPr>
            <w:tcW w:w="469" w:type="pct"/>
            <w:shd w:val="clear" w:color="auto" w:fill="auto"/>
            <w:noWrap/>
            <w:vAlign w:val="bottom"/>
            <w:hideMark/>
          </w:tcPr>
          <w:p w:rsidR="00A356FA" w:rsidRPr="00600CD5" w:rsidRDefault="00A356FA" w:rsidP="003125E3">
            <w:pPr>
              <w:spacing w:after="0" w:line="276" w:lineRule="auto"/>
              <w:rPr>
                <w:rFonts w:cs="Times New Roman"/>
                <w:b/>
              </w:rPr>
            </w:pPr>
            <w:r w:rsidRPr="00600CD5">
              <w:rPr>
                <w:rFonts w:cs="Times New Roman"/>
                <w:b/>
              </w:rPr>
              <w:t>14.23</w:t>
            </w:r>
          </w:p>
        </w:tc>
        <w:tc>
          <w:tcPr>
            <w:tcW w:w="610" w:type="pct"/>
            <w:shd w:val="clear" w:color="auto" w:fill="auto"/>
            <w:noWrap/>
            <w:vAlign w:val="bottom"/>
            <w:hideMark/>
          </w:tcPr>
          <w:p w:rsidR="00A356FA" w:rsidRPr="00600CD5" w:rsidRDefault="00A356FA" w:rsidP="003125E3">
            <w:pPr>
              <w:spacing w:after="0" w:line="276" w:lineRule="auto"/>
              <w:rPr>
                <w:rFonts w:cs="Times New Roman"/>
                <w:b/>
              </w:rPr>
            </w:pPr>
            <w:r w:rsidRPr="00600CD5">
              <w:rPr>
                <w:rFonts w:cs="Times New Roman"/>
                <w:b/>
              </w:rPr>
              <w:t>44.33</w:t>
            </w:r>
          </w:p>
        </w:tc>
        <w:tc>
          <w:tcPr>
            <w:tcW w:w="848" w:type="pct"/>
            <w:shd w:val="clear" w:color="auto" w:fill="auto"/>
            <w:noWrap/>
            <w:vAlign w:val="bottom"/>
            <w:hideMark/>
          </w:tcPr>
          <w:p w:rsidR="00A356FA" w:rsidRPr="00600CD5" w:rsidRDefault="00A356FA" w:rsidP="003125E3">
            <w:pPr>
              <w:spacing w:after="0" w:line="276" w:lineRule="auto"/>
              <w:rPr>
                <w:rFonts w:cs="Times New Roman"/>
                <w:b/>
              </w:rPr>
            </w:pPr>
            <w:r w:rsidRPr="00600CD5">
              <w:rPr>
                <w:rFonts w:cs="Times New Roman"/>
                <w:b/>
              </w:rPr>
              <w:t>41.45</w:t>
            </w:r>
          </w:p>
        </w:tc>
        <w:tc>
          <w:tcPr>
            <w:tcW w:w="469" w:type="pct"/>
            <w:shd w:val="clear" w:color="auto" w:fill="auto"/>
            <w:noWrap/>
            <w:vAlign w:val="bottom"/>
            <w:hideMark/>
          </w:tcPr>
          <w:p w:rsidR="00A356FA" w:rsidRPr="00600CD5" w:rsidRDefault="00A356FA" w:rsidP="003125E3">
            <w:pPr>
              <w:spacing w:after="0" w:line="276" w:lineRule="auto"/>
              <w:rPr>
                <w:rFonts w:cs="Times New Roman"/>
                <w:b/>
              </w:rPr>
            </w:pPr>
            <w:r w:rsidRPr="00600CD5">
              <w:rPr>
                <w:rFonts w:cs="Times New Roman"/>
                <w:b/>
              </w:rPr>
              <w:t>25.12</w:t>
            </w:r>
          </w:p>
        </w:tc>
        <w:tc>
          <w:tcPr>
            <w:tcW w:w="611" w:type="pct"/>
            <w:shd w:val="clear" w:color="auto" w:fill="auto"/>
            <w:noWrap/>
            <w:vAlign w:val="bottom"/>
            <w:hideMark/>
          </w:tcPr>
          <w:p w:rsidR="00A356FA" w:rsidRPr="00600CD5" w:rsidRDefault="00A356FA" w:rsidP="003125E3">
            <w:pPr>
              <w:spacing w:after="0" w:line="276" w:lineRule="auto"/>
              <w:rPr>
                <w:rFonts w:cs="Times New Roman"/>
                <w:b/>
              </w:rPr>
            </w:pPr>
            <w:r w:rsidRPr="00600CD5">
              <w:rPr>
                <w:rFonts w:cs="Times New Roman"/>
                <w:b/>
              </w:rPr>
              <w:t>55.18</w:t>
            </w:r>
          </w:p>
        </w:tc>
        <w:tc>
          <w:tcPr>
            <w:tcW w:w="855" w:type="pct"/>
            <w:shd w:val="clear" w:color="auto" w:fill="auto"/>
            <w:noWrap/>
            <w:vAlign w:val="bottom"/>
            <w:hideMark/>
          </w:tcPr>
          <w:p w:rsidR="00A356FA" w:rsidRPr="00600CD5" w:rsidRDefault="00A356FA" w:rsidP="003125E3">
            <w:pPr>
              <w:spacing w:after="0" w:line="276" w:lineRule="auto"/>
              <w:rPr>
                <w:rFonts w:cs="Times New Roman"/>
                <w:b/>
              </w:rPr>
            </w:pPr>
            <w:r w:rsidRPr="00600CD5">
              <w:rPr>
                <w:rFonts w:cs="Times New Roman"/>
                <w:b/>
              </w:rPr>
              <w:t>19.70</w:t>
            </w:r>
          </w:p>
        </w:tc>
      </w:tr>
    </w:tbl>
    <w:p w:rsidR="00A356FA" w:rsidRPr="00600CD5" w:rsidRDefault="00A356FA" w:rsidP="006A59BF">
      <w:pPr>
        <w:spacing w:before="120" w:line="271" w:lineRule="auto"/>
        <w:rPr>
          <w:rFonts w:cs="Times New Roman"/>
          <w:b/>
          <w:i/>
          <w:sz w:val="20"/>
          <w:szCs w:val="24"/>
        </w:rPr>
      </w:pPr>
      <w:r w:rsidRPr="00600CD5">
        <w:rPr>
          <w:rFonts w:cs="Times New Roman"/>
          <w:b/>
          <w:i/>
          <w:sz w:val="20"/>
          <w:szCs w:val="24"/>
        </w:rPr>
        <w:t xml:space="preserve">Source: </w:t>
      </w:r>
      <w:r w:rsidR="004F486D">
        <w:rPr>
          <w:rFonts w:cs="Times New Roman"/>
          <w:b/>
          <w:i/>
          <w:sz w:val="20"/>
          <w:szCs w:val="24"/>
        </w:rPr>
        <w:t xml:space="preserve">GED </w:t>
      </w:r>
      <w:r w:rsidR="00612DB4">
        <w:rPr>
          <w:rFonts w:cs="Times New Roman"/>
          <w:b/>
          <w:i/>
          <w:sz w:val="20"/>
          <w:szCs w:val="24"/>
        </w:rPr>
        <w:t>e</w:t>
      </w:r>
      <w:r w:rsidRPr="00600CD5">
        <w:rPr>
          <w:rFonts w:cs="Times New Roman"/>
          <w:b/>
          <w:i/>
          <w:sz w:val="20"/>
          <w:szCs w:val="24"/>
        </w:rPr>
        <w:t>stimate</w:t>
      </w:r>
      <w:r w:rsidR="00612DB4">
        <w:rPr>
          <w:rFonts w:cs="Times New Roman"/>
          <w:b/>
          <w:i/>
          <w:sz w:val="20"/>
          <w:szCs w:val="24"/>
        </w:rPr>
        <w:t>s</w:t>
      </w:r>
      <w:r w:rsidRPr="00600CD5">
        <w:rPr>
          <w:rFonts w:cs="Times New Roman"/>
          <w:b/>
          <w:i/>
          <w:sz w:val="20"/>
          <w:szCs w:val="24"/>
        </w:rPr>
        <w:t xml:space="preserve"> based on HIES 2000 and 2010</w:t>
      </w:r>
    </w:p>
    <w:p w:rsidR="00A356FA" w:rsidRPr="00600CD5" w:rsidRDefault="00A356FA" w:rsidP="009D1C3B">
      <w:pPr>
        <w:spacing w:line="271" w:lineRule="auto"/>
        <w:jc w:val="both"/>
        <w:rPr>
          <w:rFonts w:cs="Times New Roman"/>
          <w:szCs w:val="24"/>
        </w:rPr>
      </w:pPr>
      <w:r w:rsidRPr="00600CD5">
        <w:rPr>
          <w:rFonts w:cs="Times New Roman"/>
          <w:szCs w:val="24"/>
        </w:rPr>
        <w:t xml:space="preserve">Trends in housing conditions as typified by materials used for roofs and walls during the decade of 2000 suggest improvements for most regions in Bangladesh. This finding is in line with the perception that rising income levels in Bangladesh led to the improved housing condition. However, the reductions in the percentage of superior quality houses in regions such as CHT are cause of concern and perhaps suggest lack of willingness to investment in quality houses under deteriorating environment. </w:t>
      </w:r>
    </w:p>
    <w:p w:rsidR="00A356FA" w:rsidRPr="00600CD5" w:rsidRDefault="00A356FA" w:rsidP="009D1C3B">
      <w:pPr>
        <w:spacing w:line="271" w:lineRule="auto"/>
        <w:jc w:val="both"/>
        <w:rPr>
          <w:rFonts w:cs="Times New Roman"/>
          <w:szCs w:val="24"/>
        </w:rPr>
      </w:pPr>
      <w:r w:rsidRPr="00600CD5">
        <w:rPr>
          <w:rFonts w:cs="Times New Roman"/>
          <w:b/>
          <w:szCs w:val="24"/>
        </w:rPr>
        <w:t>Water and Sanitation</w:t>
      </w:r>
      <w:r w:rsidRPr="00600CD5">
        <w:rPr>
          <w:rFonts w:cs="Times New Roman"/>
          <w:szCs w:val="24"/>
        </w:rPr>
        <w:t xml:space="preserve">: Access to clean drinking water and sanitation facilities are also important non-income measures of </w:t>
      </w:r>
      <w:r w:rsidR="00702ED9">
        <w:rPr>
          <w:rFonts w:cs="Times New Roman"/>
          <w:szCs w:val="24"/>
        </w:rPr>
        <w:t xml:space="preserve">a </w:t>
      </w:r>
      <w:r w:rsidRPr="00600CD5">
        <w:rPr>
          <w:rFonts w:cs="Times New Roman"/>
          <w:szCs w:val="24"/>
        </w:rPr>
        <w:t xml:space="preserve">household’s </w:t>
      </w:r>
      <w:r w:rsidR="00F51D0D" w:rsidRPr="00600CD5">
        <w:rPr>
          <w:rFonts w:cs="Times New Roman"/>
          <w:szCs w:val="24"/>
        </w:rPr>
        <w:t>wellbeing</w:t>
      </w:r>
      <w:r w:rsidRPr="00600CD5">
        <w:rPr>
          <w:rFonts w:cs="Times New Roman"/>
          <w:szCs w:val="24"/>
        </w:rPr>
        <w:t xml:space="preserve">. Three types of drinking water sources are reported in the HIES: piped water; tube well and others. Quality of sanitation is also </w:t>
      </w:r>
      <w:r w:rsidRPr="00600CD5">
        <w:rPr>
          <w:rFonts w:cs="Times New Roman"/>
          <w:szCs w:val="24"/>
        </w:rPr>
        <w:lastRenderedPageBreak/>
        <w:t>categorized by three types: sanitary/pucca; kutcha and open/others. Household’s access to sources of drinking water across various regions of Bangladesh is shown in Table 2.4, while Table 2.5 reports sanitation conditions across regions.</w:t>
      </w:r>
    </w:p>
    <w:p w:rsidR="00A356FA" w:rsidRPr="00600CD5" w:rsidRDefault="00A356FA" w:rsidP="009D1C3B">
      <w:pPr>
        <w:spacing w:line="271" w:lineRule="auto"/>
        <w:jc w:val="both"/>
        <w:rPr>
          <w:rFonts w:cs="Times New Roman"/>
          <w:szCs w:val="24"/>
        </w:rPr>
      </w:pPr>
      <w:r w:rsidRPr="00600CD5">
        <w:rPr>
          <w:rFonts w:cs="Times New Roman"/>
          <w:szCs w:val="24"/>
        </w:rPr>
        <w:t xml:space="preserve">Dominant source of drinking water in Bangladesh in 2000 was tube well with more than 92% of the households had access to tube well. Only 4.3% households had access to </w:t>
      </w:r>
      <w:r w:rsidR="00702ED9">
        <w:rPr>
          <w:rFonts w:cs="Times New Roman"/>
          <w:szCs w:val="24"/>
        </w:rPr>
        <w:t xml:space="preserve">piped water and </w:t>
      </w:r>
      <w:r w:rsidRPr="00600CD5">
        <w:rPr>
          <w:rFonts w:cs="Times New Roman"/>
          <w:szCs w:val="24"/>
        </w:rPr>
        <w:t>3.4% households had to use other source</w:t>
      </w:r>
      <w:r w:rsidR="00702ED9">
        <w:rPr>
          <w:rFonts w:cs="Times New Roman"/>
          <w:szCs w:val="24"/>
        </w:rPr>
        <w:t>s</w:t>
      </w:r>
      <w:r w:rsidRPr="00600CD5">
        <w:rPr>
          <w:rFonts w:cs="Times New Roman"/>
          <w:szCs w:val="24"/>
        </w:rPr>
        <w:t xml:space="preserve">. For the Urban areas, despite the access to the pipe water, tube well was their main source of drinking water with more than 75% of the household having tube well. Some 17% had access to pipe water.   </w:t>
      </w:r>
    </w:p>
    <w:p w:rsidR="00A356FA" w:rsidRPr="00600CD5" w:rsidRDefault="00A356FA" w:rsidP="00944687">
      <w:pPr>
        <w:pStyle w:val="Heading4"/>
      </w:pPr>
      <w:bookmarkStart w:id="140" w:name="_Ref447324745"/>
      <w:bookmarkStart w:id="141" w:name="_Toc450078594"/>
      <w:bookmarkStart w:id="142" w:name="_Toc474639000"/>
      <w:r w:rsidRPr="00600CD5">
        <w:t>Table 2.</w:t>
      </w:r>
      <w:bookmarkEnd w:id="140"/>
      <w:r w:rsidRPr="00600CD5">
        <w:t>4: Sources of Drinking Water (%)</w:t>
      </w:r>
      <w:bookmarkEnd w:id="141"/>
      <w:bookmarkEnd w:id="1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
        <w:gridCol w:w="2376"/>
        <w:gridCol w:w="1224"/>
        <w:gridCol w:w="1130"/>
        <w:gridCol w:w="1228"/>
        <w:gridCol w:w="996"/>
        <w:gridCol w:w="977"/>
        <w:gridCol w:w="1219"/>
      </w:tblGrid>
      <w:tr w:rsidR="00A356FA" w:rsidRPr="00600CD5" w:rsidTr="00E1335E">
        <w:trPr>
          <w:trHeight w:hRule="exact" w:val="288"/>
          <w:tblHeader/>
        </w:trPr>
        <w:tc>
          <w:tcPr>
            <w:tcW w:w="241" w:type="pct"/>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color w:val="000000"/>
              </w:rPr>
            </w:pPr>
          </w:p>
        </w:tc>
        <w:tc>
          <w:tcPr>
            <w:tcW w:w="1109" w:type="pct"/>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color w:val="000000"/>
              </w:rPr>
            </w:pPr>
          </w:p>
        </w:tc>
        <w:tc>
          <w:tcPr>
            <w:tcW w:w="1927" w:type="pct"/>
            <w:gridSpan w:val="3"/>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bCs/>
                <w:color w:val="000000"/>
              </w:rPr>
            </w:pPr>
            <w:r w:rsidRPr="00600CD5">
              <w:rPr>
                <w:rFonts w:eastAsia="Times New Roman" w:cs="Times New Roman"/>
                <w:b/>
                <w:bCs/>
                <w:color w:val="000000"/>
              </w:rPr>
              <w:t>2000</w:t>
            </w:r>
          </w:p>
        </w:tc>
        <w:tc>
          <w:tcPr>
            <w:tcW w:w="1723" w:type="pct"/>
            <w:gridSpan w:val="3"/>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bCs/>
                <w:color w:val="000000"/>
              </w:rPr>
            </w:pPr>
            <w:r w:rsidRPr="00600CD5">
              <w:rPr>
                <w:rFonts w:eastAsia="Times New Roman" w:cs="Times New Roman"/>
                <w:b/>
                <w:bCs/>
                <w:color w:val="000000"/>
              </w:rPr>
              <w:t>2010</w:t>
            </w:r>
          </w:p>
        </w:tc>
      </w:tr>
      <w:tr w:rsidR="00A356FA" w:rsidRPr="00600CD5" w:rsidTr="00E1335E">
        <w:trPr>
          <w:trHeight w:hRule="exact" w:val="640"/>
          <w:tblHeader/>
        </w:trPr>
        <w:tc>
          <w:tcPr>
            <w:tcW w:w="241" w:type="pct"/>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color w:val="000000"/>
              </w:rPr>
            </w:pPr>
          </w:p>
        </w:tc>
        <w:tc>
          <w:tcPr>
            <w:tcW w:w="1109" w:type="pct"/>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color w:val="000000"/>
              </w:rPr>
            </w:pPr>
            <w:r w:rsidRPr="00600CD5">
              <w:rPr>
                <w:rFonts w:eastAsia="Times New Roman" w:cs="Times New Roman"/>
                <w:b/>
                <w:color w:val="000000"/>
              </w:rPr>
              <w:t>Delta Region</w:t>
            </w:r>
          </w:p>
        </w:tc>
        <w:tc>
          <w:tcPr>
            <w:tcW w:w="658" w:type="pct"/>
            <w:shd w:val="clear" w:color="auto" w:fill="D9D9D9" w:themeFill="background1" w:themeFillShade="D9"/>
            <w:vAlign w:val="center"/>
            <w:hideMark/>
          </w:tcPr>
          <w:p w:rsidR="00A356FA" w:rsidRPr="00702ED9" w:rsidRDefault="00702ED9" w:rsidP="00E1335E">
            <w:pPr>
              <w:spacing w:after="0"/>
              <w:jc w:val="center"/>
              <w:rPr>
                <w:rFonts w:eastAsia="Times New Roman" w:cs="Times New Roman"/>
                <w:b/>
                <w:bCs/>
                <w:color w:val="000000"/>
                <w:sz w:val="20"/>
              </w:rPr>
            </w:pPr>
            <w:r w:rsidRPr="00702ED9">
              <w:rPr>
                <w:rFonts w:eastAsia="Times New Roman" w:cs="Times New Roman"/>
                <w:b/>
                <w:bCs/>
                <w:color w:val="000000"/>
                <w:sz w:val="20"/>
              </w:rPr>
              <w:t xml:space="preserve">Piped </w:t>
            </w:r>
            <w:r w:rsidR="00A356FA" w:rsidRPr="00702ED9">
              <w:rPr>
                <w:rFonts w:eastAsia="Times New Roman" w:cs="Times New Roman"/>
                <w:b/>
                <w:bCs/>
                <w:color w:val="000000"/>
                <w:sz w:val="20"/>
              </w:rPr>
              <w:t>Supply</w:t>
            </w:r>
          </w:p>
        </w:tc>
        <w:tc>
          <w:tcPr>
            <w:tcW w:w="609" w:type="pct"/>
            <w:shd w:val="clear" w:color="auto" w:fill="D9D9D9" w:themeFill="background1" w:themeFillShade="D9"/>
            <w:vAlign w:val="center"/>
            <w:hideMark/>
          </w:tcPr>
          <w:p w:rsidR="00A356FA" w:rsidRPr="00702ED9" w:rsidRDefault="00F51D0D" w:rsidP="00E1335E">
            <w:pPr>
              <w:spacing w:after="0"/>
              <w:jc w:val="center"/>
              <w:rPr>
                <w:rFonts w:eastAsia="Times New Roman" w:cs="Times New Roman"/>
                <w:b/>
                <w:bCs/>
                <w:color w:val="000000"/>
                <w:sz w:val="20"/>
              </w:rPr>
            </w:pPr>
            <w:r w:rsidRPr="00702ED9">
              <w:rPr>
                <w:rFonts w:eastAsia="Times New Roman" w:cs="Times New Roman"/>
                <w:b/>
                <w:bCs/>
                <w:color w:val="000000"/>
                <w:sz w:val="20"/>
              </w:rPr>
              <w:t>Tubewells</w:t>
            </w:r>
          </w:p>
        </w:tc>
        <w:tc>
          <w:tcPr>
            <w:tcW w:w="660" w:type="pct"/>
            <w:shd w:val="clear" w:color="auto" w:fill="D9D9D9" w:themeFill="background1" w:themeFillShade="D9"/>
            <w:vAlign w:val="center"/>
            <w:hideMark/>
          </w:tcPr>
          <w:p w:rsidR="00A356FA" w:rsidRPr="00702ED9" w:rsidRDefault="00A356FA" w:rsidP="00E1335E">
            <w:pPr>
              <w:spacing w:after="0"/>
              <w:jc w:val="center"/>
              <w:rPr>
                <w:rFonts w:eastAsia="Times New Roman" w:cs="Times New Roman"/>
                <w:b/>
                <w:bCs/>
                <w:color w:val="000000"/>
                <w:sz w:val="20"/>
              </w:rPr>
            </w:pPr>
            <w:r w:rsidRPr="00702ED9">
              <w:rPr>
                <w:rFonts w:eastAsia="Times New Roman" w:cs="Times New Roman"/>
                <w:b/>
                <w:bCs/>
                <w:color w:val="000000"/>
                <w:sz w:val="20"/>
              </w:rPr>
              <w:t>Others</w:t>
            </w:r>
          </w:p>
        </w:tc>
        <w:tc>
          <w:tcPr>
            <w:tcW w:w="539" w:type="pct"/>
            <w:shd w:val="clear" w:color="auto" w:fill="D9D9D9" w:themeFill="background1" w:themeFillShade="D9"/>
            <w:vAlign w:val="center"/>
            <w:hideMark/>
          </w:tcPr>
          <w:p w:rsidR="00A356FA" w:rsidRPr="00702ED9" w:rsidRDefault="00702ED9" w:rsidP="00E1335E">
            <w:pPr>
              <w:spacing w:after="0"/>
              <w:jc w:val="center"/>
              <w:rPr>
                <w:rFonts w:eastAsia="Times New Roman" w:cs="Times New Roman"/>
                <w:b/>
                <w:bCs/>
                <w:color w:val="000000"/>
                <w:sz w:val="20"/>
              </w:rPr>
            </w:pPr>
            <w:r>
              <w:rPr>
                <w:rFonts w:eastAsia="Times New Roman" w:cs="Times New Roman"/>
                <w:b/>
                <w:bCs/>
                <w:color w:val="000000"/>
                <w:sz w:val="20"/>
              </w:rPr>
              <w:t xml:space="preserve">Piped </w:t>
            </w:r>
            <w:r w:rsidR="00A356FA" w:rsidRPr="00702ED9">
              <w:rPr>
                <w:rFonts w:eastAsia="Times New Roman" w:cs="Times New Roman"/>
                <w:b/>
                <w:bCs/>
                <w:color w:val="000000"/>
                <w:sz w:val="20"/>
              </w:rPr>
              <w:t>Supply</w:t>
            </w:r>
          </w:p>
        </w:tc>
        <w:tc>
          <w:tcPr>
            <w:tcW w:w="529" w:type="pct"/>
            <w:shd w:val="clear" w:color="auto" w:fill="D9D9D9" w:themeFill="background1" w:themeFillShade="D9"/>
            <w:vAlign w:val="center"/>
            <w:hideMark/>
          </w:tcPr>
          <w:p w:rsidR="00A356FA" w:rsidRPr="00702ED9" w:rsidRDefault="00A356FA" w:rsidP="00E1335E">
            <w:pPr>
              <w:spacing w:after="0"/>
              <w:jc w:val="center"/>
              <w:rPr>
                <w:rFonts w:eastAsia="Times New Roman" w:cs="Times New Roman"/>
                <w:b/>
                <w:bCs/>
                <w:color w:val="000000"/>
                <w:sz w:val="20"/>
              </w:rPr>
            </w:pPr>
            <w:r w:rsidRPr="00702ED9">
              <w:rPr>
                <w:rFonts w:eastAsia="Times New Roman" w:cs="Times New Roman"/>
                <w:b/>
                <w:bCs/>
                <w:color w:val="000000"/>
                <w:sz w:val="20"/>
              </w:rPr>
              <w:t>Tube well</w:t>
            </w:r>
          </w:p>
        </w:tc>
        <w:tc>
          <w:tcPr>
            <w:tcW w:w="655" w:type="pct"/>
            <w:shd w:val="clear" w:color="auto" w:fill="D9D9D9" w:themeFill="background1" w:themeFillShade="D9"/>
            <w:vAlign w:val="center"/>
            <w:hideMark/>
          </w:tcPr>
          <w:p w:rsidR="00A356FA" w:rsidRPr="00702ED9" w:rsidRDefault="00A356FA" w:rsidP="00E1335E">
            <w:pPr>
              <w:spacing w:after="0"/>
              <w:jc w:val="center"/>
              <w:rPr>
                <w:rFonts w:eastAsia="Times New Roman" w:cs="Times New Roman"/>
                <w:b/>
                <w:bCs/>
                <w:color w:val="000000"/>
                <w:sz w:val="20"/>
              </w:rPr>
            </w:pPr>
            <w:r w:rsidRPr="00702ED9">
              <w:rPr>
                <w:rFonts w:eastAsia="Times New Roman" w:cs="Times New Roman"/>
                <w:b/>
                <w:bCs/>
                <w:color w:val="000000"/>
                <w:sz w:val="20"/>
              </w:rPr>
              <w:t>Others</w:t>
            </w:r>
          </w:p>
        </w:tc>
      </w:tr>
      <w:tr w:rsidR="00A356FA" w:rsidRPr="00600CD5" w:rsidTr="00600CD5">
        <w:trPr>
          <w:trHeight w:hRule="exact" w:val="288"/>
        </w:trPr>
        <w:tc>
          <w:tcPr>
            <w:tcW w:w="2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1</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Haor Region</w:t>
            </w:r>
          </w:p>
        </w:tc>
        <w:tc>
          <w:tcPr>
            <w:tcW w:w="65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2.29</w:t>
            </w:r>
          </w:p>
        </w:tc>
        <w:tc>
          <w:tcPr>
            <w:tcW w:w="60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93.65</w:t>
            </w:r>
          </w:p>
        </w:tc>
        <w:tc>
          <w:tcPr>
            <w:tcW w:w="66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4.06</w:t>
            </w:r>
          </w:p>
        </w:tc>
        <w:tc>
          <w:tcPr>
            <w:tcW w:w="53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3.09</w:t>
            </w:r>
          </w:p>
        </w:tc>
        <w:tc>
          <w:tcPr>
            <w:tcW w:w="52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94.36</w:t>
            </w:r>
          </w:p>
        </w:tc>
        <w:tc>
          <w:tcPr>
            <w:tcW w:w="655"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2.55</w:t>
            </w:r>
          </w:p>
        </w:tc>
      </w:tr>
      <w:tr w:rsidR="00A356FA" w:rsidRPr="00600CD5" w:rsidTr="00600CD5">
        <w:trPr>
          <w:trHeight w:hRule="exact" w:val="288"/>
        </w:trPr>
        <w:tc>
          <w:tcPr>
            <w:tcW w:w="2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2</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Coastal Zone</w:t>
            </w:r>
          </w:p>
        </w:tc>
        <w:tc>
          <w:tcPr>
            <w:tcW w:w="65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2.53</w:t>
            </w:r>
          </w:p>
        </w:tc>
        <w:tc>
          <w:tcPr>
            <w:tcW w:w="60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92.35</w:t>
            </w:r>
          </w:p>
        </w:tc>
        <w:tc>
          <w:tcPr>
            <w:tcW w:w="66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5.12</w:t>
            </w:r>
          </w:p>
        </w:tc>
        <w:tc>
          <w:tcPr>
            <w:tcW w:w="53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3.68</w:t>
            </w:r>
          </w:p>
        </w:tc>
        <w:tc>
          <w:tcPr>
            <w:tcW w:w="52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88.93</w:t>
            </w:r>
          </w:p>
        </w:tc>
        <w:tc>
          <w:tcPr>
            <w:tcW w:w="655"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7.40</w:t>
            </w:r>
          </w:p>
        </w:tc>
      </w:tr>
      <w:tr w:rsidR="00A356FA" w:rsidRPr="00600CD5" w:rsidTr="00600CD5">
        <w:trPr>
          <w:trHeight w:hRule="exact" w:val="288"/>
        </w:trPr>
        <w:tc>
          <w:tcPr>
            <w:tcW w:w="2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3</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Chittagong Hill Tracts</w:t>
            </w:r>
          </w:p>
        </w:tc>
        <w:tc>
          <w:tcPr>
            <w:tcW w:w="65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10.74</w:t>
            </w:r>
          </w:p>
        </w:tc>
        <w:tc>
          <w:tcPr>
            <w:tcW w:w="60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84.44</w:t>
            </w:r>
          </w:p>
        </w:tc>
        <w:tc>
          <w:tcPr>
            <w:tcW w:w="66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4.81</w:t>
            </w:r>
          </w:p>
        </w:tc>
        <w:tc>
          <w:tcPr>
            <w:tcW w:w="53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9.96</w:t>
            </w:r>
          </w:p>
        </w:tc>
        <w:tc>
          <w:tcPr>
            <w:tcW w:w="52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55.80</w:t>
            </w:r>
          </w:p>
        </w:tc>
        <w:tc>
          <w:tcPr>
            <w:tcW w:w="655"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34.24</w:t>
            </w:r>
          </w:p>
        </w:tc>
      </w:tr>
      <w:tr w:rsidR="00A356FA" w:rsidRPr="00600CD5" w:rsidTr="00600CD5">
        <w:trPr>
          <w:trHeight w:hRule="exact" w:val="288"/>
        </w:trPr>
        <w:tc>
          <w:tcPr>
            <w:tcW w:w="2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4</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Urban Areas</w:t>
            </w:r>
          </w:p>
        </w:tc>
        <w:tc>
          <w:tcPr>
            <w:tcW w:w="65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17.42</w:t>
            </w:r>
          </w:p>
        </w:tc>
        <w:tc>
          <w:tcPr>
            <w:tcW w:w="60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75.68</w:t>
            </w:r>
          </w:p>
        </w:tc>
        <w:tc>
          <w:tcPr>
            <w:tcW w:w="66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6.9</w:t>
            </w:r>
          </w:p>
        </w:tc>
        <w:tc>
          <w:tcPr>
            <w:tcW w:w="53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38.12</w:t>
            </w:r>
          </w:p>
        </w:tc>
        <w:tc>
          <w:tcPr>
            <w:tcW w:w="52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61.27</w:t>
            </w:r>
          </w:p>
        </w:tc>
        <w:tc>
          <w:tcPr>
            <w:tcW w:w="655"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0.61</w:t>
            </w:r>
          </w:p>
        </w:tc>
      </w:tr>
      <w:tr w:rsidR="00A356FA" w:rsidRPr="00600CD5" w:rsidTr="00600CD5">
        <w:trPr>
          <w:trHeight w:hRule="exact" w:val="288"/>
        </w:trPr>
        <w:tc>
          <w:tcPr>
            <w:tcW w:w="2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5</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Drought Prone</w:t>
            </w:r>
          </w:p>
        </w:tc>
        <w:tc>
          <w:tcPr>
            <w:tcW w:w="65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0.41</w:t>
            </w:r>
          </w:p>
        </w:tc>
        <w:tc>
          <w:tcPr>
            <w:tcW w:w="60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97.47</w:t>
            </w:r>
          </w:p>
        </w:tc>
        <w:tc>
          <w:tcPr>
            <w:tcW w:w="66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2.12</w:t>
            </w:r>
          </w:p>
        </w:tc>
        <w:tc>
          <w:tcPr>
            <w:tcW w:w="53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3.06</w:t>
            </w:r>
          </w:p>
        </w:tc>
        <w:tc>
          <w:tcPr>
            <w:tcW w:w="52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96.24</w:t>
            </w:r>
          </w:p>
        </w:tc>
        <w:tc>
          <w:tcPr>
            <w:tcW w:w="655"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0.71</w:t>
            </w:r>
          </w:p>
        </w:tc>
      </w:tr>
      <w:tr w:rsidR="00A356FA" w:rsidRPr="00600CD5" w:rsidTr="00600CD5">
        <w:trPr>
          <w:trHeight w:hRule="exact" w:val="288"/>
        </w:trPr>
        <w:tc>
          <w:tcPr>
            <w:tcW w:w="2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6</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Rivers and Estuary</w:t>
            </w:r>
          </w:p>
        </w:tc>
        <w:tc>
          <w:tcPr>
            <w:tcW w:w="65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2.48</w:t>
            </w:r>
          </w:p>
        </w:tc>
        <w:tc>
          <w:tcPr>
            <w:tcW w:w="60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96.29</w:t>
            </w:r>
          </w:p>
        </w:tc>
        <w:tc>
          <w:tcPr>
            <w:tcW w:w="66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1.23</w:t>
            </w:r>
          </w:p>
        </w:tc>
        <w:tc>
          <w:tcPr>
            <w:tcW w:w="53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4.13</w:t>
            </w:r>
          </w:p>
        </w:tc>
        <w:tc>
          <w:tcPr>
            <w:tcW w:w="52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90.95</w:t>
            </w:r>
          </w:p>
        </w:tc>
        <w:tc>
          <w:tcPr>
            <w:tcW w:w="655"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4.92</w:t>
            </w:r>
          </w:p>
        </w:tc>
      </w:tr>
      <w:tr w:rsidR="00A356FA" w:rsidRPr="00600CD5" w:rsidTr="00600CD5">
        <w:trPr>
          <w:trHeight w:hRule="exact" w:val="288"/>
        </w:trPr>
        <w:tc>
          <w:tcPr>
            <w:tcW w:w="2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7</w:t>
            </w:r>
          </w:p>
        </w:tc>
        <w:tc>
          <w:tcPr>
            <w:tcW w:w="1109" w:type="pct"/>
            <w:shd w:val="clear" w:color="auto" w:fill="auto"/>
            <w:noWrap/>
            <w:vAlign w:val="bottom"/>
            <w:hideMark/>
          </w:tcPr>
          <w:p w:rsidR="00A356FA" w:rsidRPr="00600CD5" w:rsidRDefault="00FC6160" w:rsidP="00A356FA">
            <w:pPr>
              <w:rPr>
                <w:rFonts w:eastAsia="Times New Roman" w:cs="Times New Roman"/>
                <w:bCs/>
                <w:color w:val="000000"/>
              </w:rPr>
            </w:pPr>
            <w:r>
              <w:rPr>
                <w:rFonts w:eastAsia="Times New Roman" w:cs="Times New Roman"/>
                <w:bCs/>
                <w:color w:val="000000"/>
              </w:rPr>
              <w:t>Safe Region</w:t>
            </w:r>
          </w:p>
        </w:tc>
        <w:tc>
          <w:tcPr>
            <w:tcW w:w="65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7.61</w:t>
            </w:r>
          </w:p>
        </w:tc>
        <w:tc>
          <w:tcPr>
            <w:tcW w:w="60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88.1</w:t>
            </w:r>
          </w:p>
        </w:tc>
        <w:tc>
          <w:tcPr>
            <w:tcW w:w="66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4.29</w:t>
            </w:r>
          </w:p>
        </w:tc>
        <w:tc>
          <w:tcPr>
            <w:tcW w:w="53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12.24</w:t>
            </w:r>
          </w:p>
        </w:tc>
        <w:tc>
          <w:tcPr>
            <w:tcW w:w="52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87.58</w:t>
            </w:r>
          </w:p>
        </w:tc>
        <w:tc>
          <w:tcPr>
            <w:tcW w:w="655"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0.18</w:t>
            </w:r>
          </w:p>
        </w:tc>
      </w:tr>
      <w:tr w:rsidR="00A356FA" w:rsidRPr="00600CD5" w:rsidTr="00600CD5">
        <w:trPr>
          <w:trHeight w:hRule="exact" w:val="288"/>
        </w:trPr>
        <w:tc>
          <w:tcPr>
            <w:tcW w:w="2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8</w:t>
            </w:r>
          </w:p>
        </w:tc>
        <w:tc>
          <w:tcPr>
            <w:tcW w:w="1109" w:type="pct"/>
            <w:shd w:val="clear" w:color="auto" w:fill="auto"/>
            <w:noWrap/>
            <w:vAlign w:val="bottom"/>
            <w:hideMark/>
          </w:tcPr>
          <w:p w:rsidR="00A356FA" w:rsidRPr="00600CD5" w:rsidRDefault="00A356FA" w:rsidP="00A356FA">
            <w:pPr>
              <w:rPr>
                <w:rFonts w:eastAsia="Times New Roman" w:cs="Times New Roman"/>
                <w:b/>
                <w:bCs/>
                <w:color w:val="000000"/>
              </w:rPr>
            </w:pPr>
            <w:r w:rsidRPr="00600CD5">
              <w:rPr>
                <w:rFonts w:eastAsia="Times New Roman" w:cs="Times New Roman"/>
                <w:b/>
                <w:bCs/>
                <w:color w:val="000000"/>
              </w:rPr>
              <w:t>Bangladesh</w:t>
            </w:r>
          </w:p>
        </w:tc>
        <w:tc>
          <w:tcPr>
            <w:tcW w:w="658"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4.26</w:t>
            </w:r>
          </w:p>
        </w:tc>
        <w:tc>
          <w:tcPr>
            <w:tcW w:w="609"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92.4</w:t>
            </w:r>
          </w:p>
        </w:tc>
        <w:tc>
          <w:tcPr>
            <w:tcW w:w="660"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3.34</w:t>
            </w:r>
          </w:p>
        </w:tc>
        <w:tc>
          <w:tcPr>
            <w:tcW w:w="539"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10.62</w:t>
            </w:r>
          </w:p>
        </w:tc>
        <w:tc>
          <w:tcPr>
            <w:tcW w:w="529"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85.37</w:t>
            </w:r>
          </w:p>
        </w:tc>
        <w:tc>
          <w:tcPr>
            <w:tcW w:w="655"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4.01</w:t>
            </w:r>
          </w:p>
        </w:tc>
      </w:tr>
    </w:tbl>
    <w:p w:rsidR="00A356FA" w:rsidRPr="00600CD5" w:rsidRDefault="00A356FA" w:rsidP="00FC6160">
      <w:pPr>
        <w:spacing w:before="120" w:line="276" w:lineRule="auto"/>
        <w:rPr>
          <w:rFonts w:cs="Times New Roman"/>
          <w:b/>
          <w:i/>
          <w:sz w:val="20"/>
          <w:szCs w:val="24"/>
        </w:rPr>
      </w:pPr>
      <w:r w:rsidRPr="00600CD5">
        <w:rPr>
          <w:rFonts w:cs="Times New Roman"/>
          <w:b/>
          <w:i/>
          <w:sz w:val="20"/>
          <w:szCs w:val="24"/>
        </w:rPr>
        <w:t xml:space="preserve">Source: </w:t>
      </w:r>
      <w:r w:rsidR="00FA2FD3">
        <w:rPr>
          <w:rFonts w:cs="Times New Roman"/>
          <w:b/>
          <w:i/>
          <w:sz w:val="20"/>
          <w:szCs w:val="24"/>
        </w:rPr>
        <w:t>GED</w:t>
      </w:r>
      <w:r w:rsidR="00612DB4">
        <w:rPr>
          <w:rFonts w:cs="Times New Roman"/>
          <w:b/>
          <w:i/>
          <w:sz w:val="20"/>
          <w:szCs w:val="24"/>
        </w:rPr>
        <w:t xml:space="preserve"> e</w:t>
      </w:r>
      <w:r w:rsidRPr="00600CD5">
        <w:rPr>
          <w:rFonts w:cs="Times New Roman"/>
          <w:b/>
          <w:i/>
          <w:sz w:val="20"/>
          <w:szCs w:val="24"/>
        </w:rPr>
        <w:t>stimate</w:t>
      </w:r>
      <w:r w:rsidR="00612DB4">
        <w:rPr>
          <w:rFonts w:cs="Times New Roman"/>
          <w:b/>
          <w:i/>
          <w:sz w:val="20"/>
          <w:szCs w:val="24"/>
        </w:rPr>
        <w:t>s</w:t>
      </w:r>
      <w:r w:rsidRPr="00600CD5">
        <w:rPr>
          <w:rFonts w:cs="Times New Roman"/>
          <w:b/>
          <w:i/>
          <w:sz w:val="20"/>
          <w:szCs w:val="24"/>
        </w:rPr>
        <w:t xml:space="preserve"> based on HIES 2000 and 2010</w:t>
      </w:r>
    </w:p>
    <w:p w:rsidR="00A356FA" w:rsidRPr="00600CD5" w:rsidRDefault="00A356FA" w:rsidP="00600CD5">
      <w:pPr>
        <w:spacing w:line="276" w:lineRule="auto"/>
        <w:jc w:val="both"/>
        <w:rPr>
          <w:rFonts w:cs="Times New Roman"/>
          <w:szCs w:val="24"/>
        </w:rPr>
      </w:pPr>
      <w:r w:rsidRPr="00600CD5">
        <w:rPr>
          <w:rFonts w:cs="Times New Roman"/>
          <w:szCs w:val="24"/>
        </w:rPr>
        <w:t>Although tube well has remained the main source of the drinking water in Bangladesh in 2010, the percentage of household with tube well dropped to 85.4%. Percentage of households with piped water increased to 10.6% in 2010. The others category shows</w:t>
      </w:r>
      <w:r w:rsidR="00722379">
        <w:rPr>
          <w:rFonts w:cs="Times New Roman"/>
          <w:szCs w:val="24"/>
        </w:rPr>
        <w:t xml:space="preserve"> slight increase to 4%. </w:t>
      </w:r>
      <w:r w:rsidRPr="00600CD5">
        <w:rPr>
          <w:rFonts w:cs="Times New Roman"/>
          <w:szCs w:val="24"/>
        </w:rPr>
        <w:t>The other categories emerged as importa</w:t>
      </w:r>
      <w:r w:rsidR="00722379">
        <w:rPr>
          <w:rFonts w:cs="Times New Roman"/>
          <w:szCs w:val="24"/>
        </w:rPr>
        <w:t xml:space="preserve">nt sources for </w:t>
      </w:r>
      <w:r w:rsidRPr="00600CD5">
        <w:rPr>
          <w:rFonts w:cs="Times New Roman"/>
          <w:szCs w:val="24"/>
        </w:rPr>
        <w:t>CHT as cove</w:t>
      </w:r>
      <w:r w:rsidR="00722379">
        <w:rPr>
          <w:rFonts w:cs="Times New Roman"/>
          <w:szCs w:val="24"/>
        </w:rPr>
        <w:t>rage of tube well reduced. The other category also increased for coastal zone. This</w:t>
      </w:r>
      <w:r w:rsidRPr="00600CD5">
        <w:rPr>
          <w:rFonts w:cs="Times New Roman"/>
          <w:szCs w:val="24"/>
        </w:rPr>
        <w:t xml:space="preserve"> may be due to increased salinity in the case of Coastal Zone and lowering of surface water level in the case of CHT.</w:t>
      </w:r>
    </w:p>
    <w:p w:rsidR="00A356FA" w:rsidRPr="00600CD5" w:rsidRDefault="00A356FA" w:rsidP="00600CD5">
      <w:pPr>
        <w:spacing w:line="276" w:lineRule="auto"/>
        <w:jc w:val="both"/>
        <w:rPr>
          <w:rFonts w:cs="Times New Roman"/>
          <w:szCs w:val="24"/>
        </w:rPr>
      </w:pPr>
      <w:r w:rsidRPr="00600CD5">
        <w:rPr>
          <w:rFonts w:cs="Times New Roman"/>
          <w:szCs w:val="24"/>
        </w:rPr>
        <w:t>Significant improvement</w:t>
      </w:r>
      <w:r w:rsidR="00E169A7">
        <w:rPr>
          <w:rFonts w:cs="Times New Roman"/>
          <w:szCs w:val="24"/>
        </w:rPr>
        <w:t>s</w:t>
      </w:r>
      <w:r w:rsidRPr="00600CD5">
        <w:rPr>
          <w:rFonts w:cs="Times New Roman"/>
          <w:szCs w:val="24"/>
        </w:rPr>
        <w:t xml:space="preserve"> happened with respect to sanitation facilities in Bangladesh between 2000 and 2010. Percent of households with sanitary or pucca facilities almost doubled between 2000 and 2010. In 2000, percent of Bangladeshi households with sanitary, kutcha and open toilets respectively were 29.3%, 51.3% and 19.4%. The corresponding percentages for 2010 respectively were 51.1%, 44.5% and 4.4% suggesting significant improvement over 2000.</w:t>
      </w:r>
      <w:bookmarkStart w:id="143" w:name="_Ref447324775"/>
      <w:bookmarkStart w:id="144" w:name="_Toc450078595"/>
    </w:p>
    <w:p w:rsidR="00E169A7" w:rsidRPr="00600CD5" w:rsidRDefault="00E169A7" w:rsidP="00E169A7">
      <w:pPr>
        <w:spacing w:line="271" w:lineRule="auto"/>
        <w:jc w:val="both"/>
        <w:rPr>
          <w:rFonts w:cs="Times New Roman"/>
          <w:szCs w:val="24"/>
        </w:rPr>
      </w:pPr>
      <w:r w:rsidRPr="00600CD5">
        <w:rPr>
          <w:rFonts w:cs="Times New Roman"/>
          <w:szCs w:val="24"/>
        </w:rPr>
        <w:t xml:space="preserve">There are important differences in sanitation facilities by hotspots and some of the differences widened between 2000 and 2010. Thus, for example, the sanitation facility deteriorated for Haor region with households with sanitary/pucca toilets dropped to 27.1% in 2010 from 38.3% in 2000. </w:t>
      </w:r>
      <w:r w:rsidRPr="004B0A08">
        <w:rPr>
          <w:rFonts w:cs="Times New Roman"/>
          <w:i/>
          <w:szCs w:val="24"/>
        </w:rPr>
        <w:t xml:space="preserve">At the same time Haor households with kutcha toilets increased from 48.7% in 2000 to over 64% in 2010. Increase in the percent of households with open toilets in CHT (i.e. from 0% </w:t>
      </w:r>
      <w:r w:rsidRPr="004B0A08">
        <w:rPr>
          <w:rFonts w:cs="Times New Roman"/>
          <w:i/>
          <w:szCs w:val="24"/>
        </w:rPr>
        <w:lastRenderedPageBreak/>
        <w:t xml:space="preserve">in 2000 to 8.4% in 2010) is a cause of concern. </w:t>
      </w:r>
      <w:r w:rsidRPr="00600CD5">
        <w:rPr>
          <w:rFonts w:cs="Times New Roman"/>
          <w:szCs w:val="24"/>
        </w:rPr>
        <w:t>Sanitation facilities in all other regions experienced marked improvement in 2010 compared to 2000.</w:t>
      </w:r>
    </w:p>
    <w:p w:rsidR="00710639" w:rsidRDefault="00710639">
      <w:pPr>
        <w:spacing w:after="0" w:line="240" w:lineRule="auto"/>
        <w:rPr>
          <w:rFonts w:cs="Times New Roman"/>
          <w:b/>
          <w:bCs/>
          <w:color w:val="000000" w:themeColor="text1"/>
          <w:szCs w:val="24"/>
        </w:rPr>
      </w:pPr>
      <w:r>
        <w:rPr>
          <w:rFonts w:cs="Times New Roman"/>
          <w:color w:val="000000" w:themeColor="text1"/>
          <w:szCs w:val="24"/>
        </w:rPr>
        <w:br w:type="page"/>
      </w:r>
    </w:p>
    <w:p w:rsidR="00A356FA" w:rsidRPr="00600CD5" w:rsidRDefault="00A356FA" w:rsidP="00944687">
      <w:pPr>
        <w:pStyle w:val="Heading4"/>
      </w:pPr>
      <w:bookmarkStart w:id="145" w:name="_Toc474639001"/>
      <w:r w:rsidRPr="00600CD5">
        <w:lastRenderedPageBreak/>
        <w:t>Table 2.</w:t>
      </w:r>
      <w:bookmarkEnd w:id="143"/>
      <w:r w:rsidRPr="00600CD5">
        <w:t>5: Sanitation (%)</w:t>
      </w:r>
      <w:bookmarkEnd w:id="144"/>
      <w:bookmarkEnd w:id="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tblPr>
      <w:tblGrid>
        <w:gridCol w:w="268"/>
        <w:gridCol w:w="2010"/>
        <w:gridCol w:w="1457"/>
        <w:gridCol w:w="821"/>
        <w:gridCol w:w="1277"/>
        <w:gridCol w:w="1459"/>
        <w:gridCol w:w="823"/>
        <w:gridCol w:w="1361"/>
      </w:tblGrid>
      <w:tr w:rsidR="00A356FA" w:rsidRPr="00600CD5" w:rsidTr="00E1335E">
        <w:trPr>
          <w:trHeight w:hRule="exact" w:val="288"/>
        </w:trPr>
        <w:tc>
          <w:tcPr>
            <w:tcW w:w="141" w:type="pct"/>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color w:val="000000"/>
              </w:rPr>
            </w:pPr>
          </w:p>
        </w:tc>
        <w:tc>
          <w:tcPr>
            <w:tcW w:w="1060" w:type="pct"/>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color w:val="000000"/>
              </w:rPr>
            </w:pPr>
          </w:p>
        </w:tc>
        <w:tc>
          <w:tcPr>
            <w:tcW w:w="1876" w:type="pct"/>
            <w:gridSpan w:val="3"/>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bCs/>
                <w:color w:val="000000"/>
              </w:rPr>
            </w:pPr>
            <w:r w:rsidRPr="00600CD5">
              <w:rPr>
                <w:rFonts w:eastAsia="Times New Roman" w:cs="Times New Roman"/>
                <w:b/>
                <w:bCs/>
                <w:color w:val="000000"/>
              </w:rPr>
              <w:t>2000</w:t>
            </w:r>
          </w:p>
        </w:tc>
        <w:tc>
          <w:tcPr>
            <w:tcW w:w="1922" w:type="pct"/>
            <w:gridSpan w:val="3"/>
            <w:shd w:val="clear" w:color="auto" w:fill="D9D9D9" w:themeFill="background1" w:themeFillShade="D9"/>
            <w:noWrap/>
            <w:vAlign w:val="center"/>
            <w:hideMark/>
          </w:tcPr>
          <w:p w:rsidR="00A356FA" w:rsidRPr="00600CD5" w:rsidRDefault="00A356FA" w:rsidP="00E1335E">
            <w:pPr>
              <w:spacing w:after="0"/>
              <w:jc w:val="center"/>
              <w:rPr>
                <w:rFonts w:eastAsia="Times New Roman" w:cs="Times New Roman"/>
                <w:b/>
                <w:bCs/>
                <w:color w:val="000000"/>
              </w:rPr>
            </w:pPr>
            <w:r w:rsidRPr="00600CD5">
              <w:rPr>
                <w:rFonts w:eastAsia="Times New Roman" w:cs="Times New Roman"/>
                <w:b/>
                <w:bCs/>
                <w:color w:val="000000"/>
              </w:rPr>
              <w:t>2010</w:t>
            </w:r>
          </w:p>
        </w:tc>
      </w:tr>
      <w:tr w:rsidR="00E1335E" w:rsidRPr="00E1335E" w:rsidTr="00E1335E">
        <w:trPr>
          <w:trHeight w:hRule="exact" w:val="432"/>
        </w:trPr>
        <w:tc>
          <w:tcPr>
            <w:tcW w:w="141" w:type="pct"/>
            <w:shd w:val="clear" w:color="auto" w:fill="D9D9D9" w:themeFill="background1" w:themeFillShade="D9"/>
            <w:noWrap/>
            <w:vAlign w:val="center"/>
            <w:hideMark/>
          </w:tcPr>
          <w:p w:rsidR="00A356FA" w:rsidRPr="00E1335E" w:rsidRDefault="00A356FA" w:rsidP="00E1335E">
            <w:pPr>
              <w:spacing w:after="0"/>
              <w:jc w:val="center"/>
              <w:rPr>
                <w:rFonts w:eastAsia="Times New Roman" w:cs="Times New Roman"/>
                <w:b/>
                <w:color w:val="000000"/>
                <w:sz w:val="20"/>
              </w:rPr>
            </w:pPr>
          </w:p>
        </w:tc>
        <w:tc>
          <w:tcPr>
            <w:tcW w:w="1060" w:type="pct"/>
            <w:shd w:val="clear" w:color="auto" w:fill="D9D9D9" w:themeFill="background1" w:themeFillShade="D9"/>
            <w:noWrap/>
            <w:vAlign w:val="center"/>
            <w:hideMark/>
          </w:tcPr>
          <w:p w:rsidR="00A356FA" w:rsidRPr="00E1335E" w:rsidRDefault="00A356FA" w:rsidP="00E1335E">
            <w:pPr>
              <w:spacing w:after="0"/>
              <w:jc w:val="center"/>
              <w:rPr>
                <w:rFonts w:eastAsia="Times New Roman" w:cs="Times New Roman"/>
                <w:b/>
                <w:color w:val="000000"/>
                <w:sz w:val="20"/>
              </w:rPr>
            </w:pPr>
          </w:p>
        </w:tc>
        <w:tc>
          <w:tcPr>
            <w:tcW w:w="769" w:type="pct"/>
            <w:shd w:val="clear" w:color="auto" w:fill="D9D9D9" w:themeFill="background1" w:themeFillShade="D9"/>
            <w:vAlign w:val="center"/>
            <w:hideMark/>
          </w:tcPr>
          <w:p w:rsidR="00A356FA" w:rsidRPr="00E1335E" w:rsidRDefault="00A356FA" w:rsidP="00E1335E">
            <w:pPr>
              <w:spacing w:after="0"/>
              <w:jc w:val="center"/>
              <w:rPr>
                <w:rFonts w:eastAsia="Times New Roman" w:cs="Times New Roman"/>
                <w:b/>
                <w:bCs/>
                <w:color w:val="000000"/>
                <w:sz w:val="20"/>
              </w:rPr>
            </w:pPr>
            <w:r w:rsidRPr="00E1335E">
              <w:rPr>
                <w:rFonts w:eastAsia="Times New Roman" w:cs="Times New Roman"/>
                <w:b/>
                <w:bCs/>
                <w:color w:val="000000"/>
                <w:sz w:val="20"/>
              </w:rPr>
              <w:t>Sanitary/Pucca</w:t>
            </w:r>
          </w:p>
        </w:tc>
        <w:tc>
          <w:tcPr>
            <w:tcW w:w="433" w:type="pct"/>
            <w:shd w:val="clear" w:color="auto" w:fill="D9D9D9" w:themeFill="background1" w:themeFillShade="D9"/>
            <w:vAlign w:val="center"/>
            <w:hideMark/>
          </w:tcPr>
          <w:p w:rsidR="00A356FA" w:rsidRPr="00E1335E" w:rsidRDefault="00A356FA" w:rsidP="00E1335E">
            <w:pPr>
              <w:spacing w:after="0"/>
              <w:jc w:val="center"/>
              <w:rPr>
                <w:rFonts w:eastAsia="Times New Roman" w:cs="Times New Roman"/>
                <w:b/>
                <w:bCs/>
                <w:color w:val="000000"/>
                <w:sz w:val="20"/>
              </w:rPr>
            </w:pPr>
            <w:r w:rsidRPr="00E1335E">
              <w:rPr>
                <w:rFonts w:eastAsia="Times New Roman" w:cs="Times New Roman"/>
                <w:b/>
                <w:bCs/>
                <w:color w:val="000000"/>
                <w:sz w:val="20"/>
              </w:rPr>
              <w:t>Kutcha</w:t>
            </w:r>
          </w:p>
        </w:tc>
        <w:tc>
          <w:tcPr>
            <w:tcW w:w="674" w:type="pct"/>
            <w:shd w:val="clear" w:color="auto" w:fill="D9D9D9" w:themeFill="background1" w:themeFillShade="D9"/>
            <w:vAlign w:val="center"/>
            <w:hideMark/>
          </w:tcPr>
          <w:p w:rsidR="00A356FA" w:rsidRPr="00E1335E" w:rsidRDefault="00A356FA" w:rsidP="00E1335E">
            <w:pPr>
              <w:spacing w:after="0"/>
              <w:jc w:val="center"/>
              <w:rPr>
                <w:rFonts w:eastAsia="Times New Roman" w:cs="Times New Roman"/>
                <w:b/>
                <w:bCs/>
                <w:color w:val="000000"/>
                <w:sz w:val="20"/>
              </w:rPr>
            </w:pPr>
            <w:r w:rsidRPr="00E1335E">
              <w:rPr>
                <w:rFonts w:eastAsia="Times New Roman" w:cs="Times New Roman"/>
                <w:b/>
                <w:bCs/>
                <w:color w:val="000000"/>
                <w:sz w:val="20"/>
              </w:rPr>
              <w:t>Open/Others</w:t>
            </w:r>
          </w:p>
        </w:tc>
        <w:tc>
          <w:tcPr>
            <w:tcW w:w="770" w:type="pct"/>
            <w:shd w:val="clear" w:color="auto" w:fill="D9D9D9" w:themeFill="background1" w:themeFillShade="D9"/>
            <w:vAlign w:val="center"/>
            <w:hideMark/>
          </w:tcPr>
          <w:p w:rsidR="00A356FA" w:rsidRPr="00E1335E" w:rsidRDefault="00A356FA" w:rsidP="00E1335E">
            <w:pPr>
              <w:spacing w:after="0"/>
              <w:jc w:val="center"/>
              <w:rPr>
                <w:rFonts w:eastAsia="Times New Roman" w:cs="Times New Roman"/>
                <w:b/>
                <w:bCs/>
                <w:color w:val="000000"/>
                <w:sz w:val="20"/>
              </w:rPr>
            </w:pPr>
            <w:r w:rsidRPr="00E1335E">
              <w:rPr>
                <w:rFonts w:eastAsia="Times New Roman" w:cs="Times New Roman"/>
                <w:b/>
                <w:bCs/>
                <w:color w:val="000000"/>
                <w:sz w:val="20"/>
              </w:rPr>
              <w:t>Sanitary/Pucca</w:t>
            </w:r>
          </w:p>
        </w:tc>
        <w:tc>
          <w:tcPr>
            <w:tcW w:w="434" w:type="pct"/>
            <w:shd w:val="clear" w:color="auto" w:fill="D9D9D9" w:themeFill="background1" w:themeFillShade="D9"/>
            <w:vAlign w:val="center"/>
            <w:hideMark/>
          </w:tcPr>
          <w:p w:rsidR="00A356FA" w:rsidRPr="00E1335E" w:rsidRDefault="00A356FA" w:rsidP="00E1335E">
            <w:pPr>
              <w:spacing w:after="0"/>
              <w:jc w:val="center"/>
              <w:rPr>
                <w:rFonts w:eastAsia="Times New Roman" w:cs="Times New Roman"/>
                <w:b/>
                <w:bCs/>
                <w:color w:val="000000"/>
                <w:sz w:val="20"/>
              </w:rPr>
            </w:pPr>
            <w:r w:rsidRPr="00E1335E">
              <w:rPr>
                <w:rFonts w:eastAsia="Times New Roman" w:cs="Times New Roman"/>
                <w:b/>
                <w:bCs/>
                <w:color w:val="000000"/>
                <w:sz w:val="20"/>
              </w:rPr>
              <w:t>Kutcha</w:t>
            </w:r>
          </w:p>
        </w:tc>
        <w:tc>
          <w:tcPr>
            <w:tcW w:w="718" w:type="pct"/>
            <w:shd w:val="clear" w:color="auto" w:fill="D9D9D9" w:themeFill="background1" w:themeFillShade="D9"/>
            <w:vAlign w:val="center"/>
            <w:hideMark/>
          </w:tcPr>
          <w:p w:rsidR="00A356FA" w:rsidRPr="00E1335E" w:rsidRDefault="00A356FA" w:rsidP="00E1335E">
            <w:pPr>
              <w:spacing w:after="0"/>
              <w:jc w:val="center"/>
              <w:rPr>
                <w:rFonts w:eastAsia="Times New Roman" w:cs="Times New Roman"/>
                <w:b/>
                <w:bCs/>
                <w:color w:val="000000"/>
                <w:sz w:val="20"/>
              </w:rPr>
            </w:pPr>
            <w:r w:rsidRPr="00E1335E">
              <w:rPr>
                <w:rFonts w:eastAsia="Times New Roman" w:cs="Times New Roman"/>
                <w:b/>
                <w:bCs/>
                <w:color w:val="000000"/>
                <w:sz w:val="20"/>
              </w:rPr>
              <w:t>Open/Others</w:t>
            </w:r>
          </w:p>
        </w:tc>
      </w:tr>
      <w:tr w:rsidR="00E1335E" w:rsidRPr="00600CD5" w:rsidTr="00E1335E">
        <w:trPr>
          <w:trHeight w:hRule="exact" w:val="288"/>
        </w:trPr>
        <w:tc>
          <w:tcPr>
            <w:tcW w:w="1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1</w:t>
            </w:r>
          </w:p>
        </w:tc>
        <w:tc>
          <w:tcPr>
            <w:tcW w:w="1060"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Haor Region</w:t>
            </w:r>
          </w:p>
        </w:tc>
        <w:tc>
          <w:tcPr>
            <w:tcW w:w="76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38.27</w:t>
            </w:r>
          </w:p>
        </w:tc>
        <w:tc>
          <w:tcPr>
            <w:tcW w:w="433"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48.66</w:t>
            </w:r>
          </w:p>
        </w:tc>
        <w:tc>
          <w:tcPr>
            <w:tcW w:w="67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13.07</w:t>
            </w:r>
          </w:p>
        </w:tc>
        <w:tc>
          <w:tcPr>
            <w:tcW w:w="77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27.09</w:t>
            </w:r>
          </w:p>
        </w:tc>
        <w:tc>
          <w:tcPr>
            <w:tcW w:w="43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64.28</w:t>
            </w:r>
          </w:p>
        </w:tc>
        <w:tc>
          <w:tcPr>
            <w:tcW w:w="71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8.63</w:t>
            </w:r>
          </w:p>
        </w:tc>
      </w:tr>
      <w:tr w:rsidR="00E1335E" w:rsidRPr="00600CD5" w:rsidTr="00E1335E">
        <w:trPr>
          <w:trHeight w:hRule="exact" w:val="288"/>
        </w:trPr>
        <w:tc>
          <w:tcPr>
            <w:tcW w:w="1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2</w:t>
            </w:r>
          </w:p>
        </w:tc>
        <w:tc>
          <w:tcPr>
            <w:tcW w:w="1060"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Coastal Zone</w:t>
            </w:r>
          </w:p>
        </w:tc>
        <w:tc>
          <w:tcPr>
            <w:tcW w:w="76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33.43</w:t>
            </w:r>
          </w:p>
        </w:tc>
        <w:tc>
          <w:tcPr>
            <w:tcW w:w="433"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61.66</w:t>
            </w:r>
          </w:p>
        </w:tc>
        <w:tc>
          <w:tcPr>
            <w:tcW w:w="67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4.91</w:t>
            </w:r>
          </w:p>
        </w:tc>
        <w:tc>
          <w:tcPr>
            <w:tcW w:w="77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66.02</w:t>
            </w:r>
          </w:p>
        </w:tc>
        <w:tc>
          <w:tcPr>
            <w:tcW w:w="43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32.53</w:t>
            </w:r>
          </w:p>
        </w:tc>
        <w:tc>
          <w:tcPr>
            <w:tcW w:w="71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1.45</w:t>
            </w:r>
          </w:p>
        </w:tc>
      </w:tr>
      <w:tr w:rsidR="00E1335E" w:rsidRPr="00600CD5" w:rsidTr="00E1335E">
        <w:trPr>
          <w:trHeight w:hRule="exact" w:val="288"/>
        </w:trPr>
        <w:tc>
          <w:tcPr>
            <w:tcW w:w="1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3</w:t>
            </w:r>
          </w:p>
        </w:tc>
        <w:tc>
          <w:tcPr>
            <w:tcW w:w="1060"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Chittagong Hill Tracts</w:t>
            </w:r>
          </w:p>
        </w:tc>
        <w:tc>
          <w:tcPr>
            <w:tcW w:w="76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22.35</w:t>
            </w:r>
          </w:p>
        </w:tc>
        <w:tc>
          <w:tcPr>
            <w:tcW w:w="433"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77.65</w:t>
            </w:r>
          </w:p>
        </w:tc>
        <w:tc>
          <w:tcPr>
            <w:tcW w:w="67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0</w:t>
            </w:r>
          </w:p>
        </w:tc>
        <w:tc>
          <w:tcPr>
            <w:tcW w:w="77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22.36</w:t>
            </w:r>
          </w:p>
        </w:tc>
        <w:tc>
          <w:tcPr>
            <w:tcW w:w="43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69.25</w:t>
            </w:r>
          </w:p>
        </w:tc>
        <w:tc>
          <w:tcPr>
            <w:tcW w:w="71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8.38</w:t>
            </w:r>
          </w:p>
        </w:tc>
      </w:tr>
      <w:tr w:rsidR="00E1335E" w:rsidRPr="00600CD5" w:rsidTr="00E1335E">
        <w:trPr>
          <w:trHeight w:hRule="exact" w:val="288"/>
        </w:trPr>
        <w:tc>
          <w:tcPr>
            <w:tcW w:w="1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4</w:t>
            </w:r>
          </w:p>
        </w:tc>
        <w:tc>
          <w:tcPr>
            <w:tcW w:w="1060"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Urban Areas</w:t>
            </w:r>
          </w:p>
        </w:tc>
        <w:tc>
          <w:tcPr>
            <w:tcW w:w="76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37.28</w:t>
            </w:r>
          </w:p>
        </w:tc>
        <w:tc>
          <w:tcPr>
            <w:tcW w:w="433"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50.74</w:t>
            </w:r>
          </w:p>
        </w:tc>
        <w:tc>
          <w:tcPr>
            <w:tcW w:w="67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11.98</w:t>
            </w:r>
          </w:p>
        </w:tc>
        <w:tc>
          <w:tcPr>
            <w:tcW w:w="77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63.80</w:t>
            </w:r>
          </w:p>
        </w:tc>
        <w:tc>
          <w:tcPr>
            <w:tcW w:w="43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34.46</w:t>
            </w:r>
          </w:p>
        </w:tc>
        <w:tc>
          <w:tcPr>
            <w:tcW w:w="71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1.74</w:t>
            </w:r>
          </w:p>
        </w:tc>
      </w:tr>
      <w:tr w:rsidR="00E1335E" w:rsidRPr="00600CD5" w:rsidTr="00E1335E">
        <w:trPr>
          <w:trHeight w:hRule="exact" w:val="288"/>
        </w:trPr>
        <w:tc>
          <w:tcPr>
            <w:tcW w:w="1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5</w:t>
            </w:r>
          </w:p>
        </w:tc>
        <w:tc>
          <w:tcPr>
            <w:tcW w:w="1060"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Drought Prone</w:t>
            </w:r>
          </w:p>
        </w:tc>
        <w:tc>
          <w:tcPr>
            <w:tcW w:w="76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13.42</w:t>
            </w:r>
          </w:p>
        </w:tc>
        <w:tc>
          <w:tcPr>
            <w:tcW w:w="433"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41.39</w:t>
            </w:r>
          </w:p>
        </w:tc>
        <w:tc>
          <w:tcPr>
            <w:tcW w:w="67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45.19</w:t>
            </w:r>
          </w:p>
        </w:tc>
        <w:tc>
          <w:tcPr>
            <w:tcW w:w="77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35.73</w:t>
            </w:r>
          </w:p>
        </w:tc>
        <w:tc>
          <w:tcPr>
            <w:tcW w:w="43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56.52</w:t>
            </w:r>
          </w:p>
        </w:tc>
        <w:tc>
          <w:tcPr>
            <w:tcW w:w="71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7.76</w:t>
            </w:r>
          </w:p>
        </w:tc>
      </w:tr>
      <w:tr w:rsidR="00E1335E" w:rsidRPr="00600CD5" w:rsidTr="00E1335E">
        <w:trPr>
          <w:trHeight w:hRule="exact" w:val="288"/>
        </w:trPr>
        <w:tc>
          <w:tcPr>
            <w:tcW w:w="1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6</w:t>
            </w:r>
          </w:p>
        </w:tc>
        <w:tc>
          <w:tcPr>
            <w:tcW w:w="1060"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Rivers and Estuary</w:t>
            </w:r>
          </w:p>
        </w:tc>
        <w:tc>
          <w:tcPr>
            <w:tcW w:w="76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30.76</w:t>
            </w:r>
          </w:p>
        </w:tc>
        <w:tc>
          <w:tcPr>
            <w:tcW w:w="433"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52.71</w:t>
            </w:r>
          </w:p>
        </w:tc>
        <w:tc>
          <w:tcPr>
            <w:tcW w:w="67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16.53</w:t>
            </w:r>
          </w:p>
        </w:tc>
        <w:tc>
          <w:tcPr>
            <w:tcW w:w="77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56.87</w:t>
            </w:r>
          </w:p>
        </w:tc>
        <w:tc>
          <w:tcPr>
            <w:tcW w:w="43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38.24</w:t>
            </w:r>
          </w:p>
        </w:tc>
        <w:tc>
          <w:tcPr>
            <w:tcW w:w="71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4.89</w:t>
            </w:r>
          </w:p>
        </w:tc>
      </w:tr>
      <w:tr w:rsidR="00E1335E" w:rsidRPr="00600CD5" w:rsidTr="00E1335E">
        <w:trPr>
          <w:trHeight w:hRule="exact" w:val="288"/>
        </w:trPr>
        <w:tc>
          <w:tcPr>
            <w:tcW w:w="1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7</w:t>
            </w:r>
          </w:p>
        </w:tc>
        <w:tc>
          <w:tcPr>
            <w:tcW w:w="1060"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Non Delta</w:t>
            </w:r>
          </w:p>
        </w:tc>
        <w:tc>
          <w:tcPr>
            <w:tcW w:w="769"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25.53</w:t>
            </w:r>
          </w:p>
        </w:tc>
        <w:tc>
          <w:tcPr>
            <w:tcW w:w="433"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45.7</w:t>
            </w:r>
          </w:p>
        </w:tc>
        <w:tc>
          <w:tcPr>
            <w:tcW w:w="67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28.77</w:t>
            </w:r>
          </w:p>
        </w:tc>
        <w:tc>
          <w:tcPr>
            <w:tcW w:w="770"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44.27</w:t>
            </w:r>
          </w:p>
        </w:tc>
        <w:tc>
          <w:tcPr>
            <w:tcW w:w="434"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52.78</w:t>
            </w:r>
          </w:p>
        </w:tc>
        <w:tc>
          <w:tcPr>
            <w:tcW w:w="718" w:type="pct"/>
            <w:shd w:val="clear" w:color="auto" w:fill="auto"/>
            <w:noWrap/>
            <w:vAlign w:val="bottom"/>
            <w:hideMark/>
          </w:tcPr>
          <w:p w:rsidR="00A356FA" w:rsidRPr="00600CD5" w:rsidRDefault="00A356FA" w:rsidP="00A356FA">
            <w:pPr>
              <w:jc w:val="right"/>
              <w:rPr>
                <w:rFonts w:cs="Times New Roman"/>
                <w:color w:val="000000"/>
              </w:rPr>
            </w:pPr>
            <w:r w:rsidRPr="00600CD5">
              <w:rPr>
                <w:rFonts w:cs="Times New Roman"/>
                <w:color w:val="000000"/>
              </w:rPr>
              <w:t>2.94</w:t>
            </w:r>
          </w:p>
        </w:tc>
      </w:tr>
      <w:tr w:rsidR="00E1335E" w:rsidRPr="00600CD5" w:rsidTr="00E1335E">
        <w:trPr>
          <w:trHeight w:hRule="exact" w:val="288"/>
        </w:trPr>
        <w:tc>
          <w:tcPr>
            <w:tcW w:w="141"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8</w:t>
            </w:r>
          </w:p>
        </w:tc>
        <w:tc>
          <w:tcPr>
            <w:tcW w:w="1060" w:type="pct"/>
            <w:shd w:val="clear" w:color="auto" w:fill="auto"/>
            <w:noWrap/>
            <w:vAlign w:val="bottom"/>
            <w:hideMark/>
          </w:tcPr>
          <w:p w:rsidR="00A356FA" w:rsidRPr="00600CD5" w:rsidRDefault="00A356FA" w:rsidP="00A356FA">
            <w:pPr>
              <w:rPr>
                <w:rFonts w:eastAsia="Times New Roman" w:cs="Times New Roman"/>
                <w:b/>
                <w:bCs/>
                <w:color w:val="000000"/>
              </w:rPr>
            </w:pPr>
            <w:r w:rsidRPr="00600CD5">
              <w:rPr>
                <w:rFonts w:eastAsia="Times New Roman" w:cs="Times New Roman"/>
                <w:b/>
                <w:bCs/>
                <w:color w:val="000000"/>
              </w:rPr>
              <w:t>Bangladesh</w:t>
            </w:r>
          </w:p>
        </w:tc>
        <w:tc>
          <w:tcPr>
            <w:tcW w:w="769"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29.27</w:t>
            </w:r>
          </w:p>
        </w:tc>
        <w:tc>
          <w:tcPr>
            <w:tcW w:w="433"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51.34</w:t>
            </w:r>
          </w:p>
        </w:tc>
        <w:tc>
          <w:tcPr>
            <w:tcW w:w="674"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19.39</w:t>
            </w:r>
          </w:p>
        </w:tc>
        <w:tc>
          <w:tcPr>
            <w:tcW w:w="770"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51.06</w:t>
            </w:r>
          </w:p>
        </w:tc>
        <w:tc>
          <w:tcPr>
            <w:tcW w:w="434"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44.54</w:t>
            </w:r>
          </w:p>
        </w:tc>
        <w:tc>
          <w:tcPr>
            <w:tcW w:w="718" w:type="pct"/>
            <w:shd w:val="clear" w:color="auto" w:fill="auto"/>
            <w:noWrap/>
            <w:vAlign w:val="bottom"/>
            <w:hideMark/>
          </w:tcPr>
          <w:p w:rsidR="00A356FA" w:rsidRPr="00600CD5" w:rsidRDefault="00A356FA" w:rsidP="00A356FA">
            <w:pPr>
              <w:jc w:val="right"/>
              <w:rPr>
                <w:rFonts w:cs="Times New Roman"/>
                <w:b/>
                <w:bCs/>
                <w:color w:val="000000"/>
              </w:rPr>
            </w:pPr>
            <w:r w:rsidRPr="00600CD5">
              <w:rPr>
                <w:rFonts w:cs="Times New Roman"/>
                <w:b/>
                <w:bCs/>
                <w:color w:val="000000"/>
              </w:rPr>
              <w:t>4.40</w:t>
            </w:r>
          </w:p>
        </w:tc>
      </w:tr>
    </w:tbl>
    <w:p w:rsidR="00A356FA" w:rsidRPr="00600CD5" w:rsidRDefault="00A356FA" w:rsidP="00FC6160">
      <w:pPr>
        <w:spacing w:before="120" w:line="276" w:lineRule="auto"/>
        <w:rPr>
          <w:rFonts w:cs="Times New Roman"/>
          <w:b/>
          <w:i/>
          <w:sz w:val="20"/>
          <w:szCs w:val="24"/>
        </w:rPr>
      </w:pPr>
      <w:r w:rsidRPr="00600CD5">
        <w:rPr>
          <w:rFonts w:cs="Times New Roman"/>
          <w:b/>
          <w:i/>
          <w:sz w:val="20"/>
          <w:szCs w:val="24"/>
        </w:rPr>
        <w:t xml:space="preserve">Source: </w:t>
      </w:r>
      <w:r w:rsidR="00FA2FD3">
        <w:rPr>
          <w:rFonts w:cs="Times New Roman"/>
          <w:b/>
          <w:i/>
          <w:sz w:val="20"/>
          <w:szCs w:val="24"/>
        </w:rPr>
        <w:t>GED</w:t>
      </w:r>
      <w:r w:rsidR="00612DB4">
        <w:rPr>
          <w:rFonts w:cs="Times New Roman"/>
          <w:b/>
          <w:i/>
          <w:sz w:val="20"/>
          <w:szCs w:val="24"/>
        </w:rPr>
        <w:t xml:space="preserve"> e</w:t>
      </w:r>
      <w:r w:rsidRPr="00600CD5">
        <w:rPr>
          <w:rFonts w:cs="Times New Roman"/>
          <w:b/>
          <w:i/>
          <w:sz w:val="20"/>
          <w:szCs w:val="24"/>
        </w:rPr>
        <w:t>stimate</w:t>
      </w:r>
      <w:r w:rsidR="00612DB4">
        <w:rPr>
          <w:rFonts w:cs="Times New Roman"/>
          <w:b/>
          <w:i/>
          <w:sz w:val="20"/>
          <w:szCs w:val="24"/>
        </w:rPr>
        <w:t>s</w:t>
      </w:r>
      <w:r w:rsidRPr="00600CD5">
        <w:rPr>
          <w:rFonts w:cs="Times New Roman"/>
          <w:b/>
          <w:i/>
          <w:sz w:val="20"/>
          <w:szCs w:val="24"/>
        </w:rPr>
        <w:t xml:space="preserve"> based on HIES 2000 and 2010</w:t>
      </w:r>
    </w:p>
    <w:p w:rsidR="00A356FA" w:rsidRPr="004B0A08" w:rsidRDefault="00A356FA" w:rsidP="009D1C3B">
      <w:pPr>
        <w:spacing w:line="271" w:lineRule="auto"/>
        <w:jc w:val="both"/>
        <w:rPr>
          <w:rFonts w:cs="Times New Roman"/>
          <w:i/>
          <w:szCs w:val="24"/>
        </w:rPr>
      </w:pPr>
      <w:r w:rsidRPr="00600CD5">
        <w:rPr>
          <w:rFonts w:cs="Times New Roman"/>
          <w:b/>
          <w:szCs w:val="24"/>
        </w:rPr>
        <w:t>Power and Communication:</w:t>
      </w:r>
      <w:r w:rsidRPr="00600CD5">
        <w:rPr>
          <w:rFonts w:cs="Times New Roman"/>
          <w:szCs w:val="24"/>
        </w:rPr>
        <w:t xml:space="preserve"> Electricity situation has improved significantly between 2000 and 2010 (Table 2.6). </w:t>
      </w:r>
      <w:r w:rsidRPr="004B0A08">
        <w:rPr>
          <w:rFonts w:cs="Times New Roman"/>
          <w:i/>
          <w:szCs w:val="24"/>
        </w:rPr>
        <w:t>Percent of household with electricity connections, which was 30.1% in 2000, increased t</w:t>
      </w:r>
      <w:r w:rsidR="003B14DF" w:rsidRPr="004B0A08">
        <w:rPr>
          <w:rFonts w:cs="Times New Roman"/>
          <w:i/>
          <w:szCs w:val="24"/>
        </w:rPr>
        <w:t>o over 55% in 2010</w:t>
      </w:r>
      <w:r w:rsidR="004C758B" w:rsidRPr="004B0A08">
        <w:rPr>
          <w:rFonts w:cs="Times New Roman"/>
          <w:i/>
          <w:szCs w:val="24"/>
        </w:rPr>
        <w:t>. More than 80% of u</w:t>
      </w:r>
      <w:r w:rsidRPr="004B0A08">
        <w:rPr>
          <w:rFonts w:cs="Times New Roman"/>
          <w:i/>
          <w:szCs w:val="24"/>
        </w:rPr>
        <w:t>rban households had electricity connections in 2010. However, electricity connection is still low for CHT region with 37% coverage</w:t>
      </w:r>
      <w:r w:rsidR="003B14DF" w:rsidRPr="004B0A08">
        <w:rPr>
          <w:rFonts w:cs="Times New Roman"/>
          <w:i/>
          <w:szCs w:val="24"/>
        </w:rPr>
        <w:t>,</w:t>
      </w:r>
      <w:r w:rsidRPr="004B0A08">
        <w:rPr>
          <w:rFonts w:cs="Times New Roman"/>
          <w:i/>
          <w:szCs w:val="24"/>
        </w:rPr>
        <w:t xml:space="preserve"> followed by </w:t>
      </w:r>
      <w:r w:rsidR="003B14DF" w:rsidRPr="004B0A08">
        <w:rPr>
          <w:rFonts w:cs="Times New Roman"/>
          <w:i/>
          <w:szCs w:val="24"/>
        </w:rPr>
        <w:t xml:space="preserve">the </w:t>
      </w:r>
      <w:r w:rsidRPr="004B0A08">
        <w:rPr>
          <w:rFonts w:cs="Times New Roman"/>
          <w:i/>
          <w:szCs w:val="24"/>
        </w:rPr>
        <w:t xml:space="preserve">Haor region with 45% coverage. </w:t>
      </w:r>
    </w:p>
    <w:p w:rsidR="00A356FA" w:rsidRPr="00600CD5" w:rsidRDefault="00A356FA" w:rsidP="009D1C3B">
      <w:pPr>
        <w:spacing w:line="271" w:lineRule="auto"/>
        <w:jc w:val="both"/>
        <w:rPr>
          <w:rFonts w:cs="Times New Roman"/>
          <w:szCs w:val="24"/>
        </w:rPr>
      </w:pPr>
      <w:r w:rsidRPr="00600CD5">
        <w:rPr>
          <w:rFonts w:cs="Times New Roman"/>
          <w:szCs w:val="24"/>
        </w:rPr>
        <w:t>Bangladesh has experienced a tremendous expansion in mobile phone coverage between 2000 and 2010. Nationwide, households with cell phone, which was only 1.3% in 2000, jumped to 63.7% in 2010. As expected, the increase i</w:t>
      </w:r>
      <w:r w:rsidR="004C758B">
        <w:rPr>
          <w:rFonts w:cs="Times New Roman"/>
          <w:szCs w:val="24"/>
        </w:rPr>
        <w:t>n coverage was highest for the u</w:t>
      </w:r>
      <w:r w:rsidRPr="00600CD5">
        <w:rPr>
          <w:rFonts w:cs="Times New Roman"/>
          <w:szCs w:val="24"/>
        </w:rPr>
        <w:t xml:space="preserve">rban households (i.e. from 3% in 2000 to 81% in 2010). Households with mobile phone in all other regions are also impressive with more than 50% of household coverage.  </w:t>
      </w:r>
      <w:bookmarkStart w:id="146" w:name="_Toc450078596"/>
    </w:p>
    <w:p w:rsidR="00A356FA" w:rsidRPr="00600CD5" w:rsidRDefault="00A356FA" w:rsidP="00944687">
      <w:pPr>
        <w:pStyle w:val="Heading4"/>
      </w:pPr>
      <w:bookmarkStart w:id="147" w:name="_Toc474639002"/>
      <w:r w:rsidRPr="00600CD5">
        <w:t xml:space="preserve">Table 2.6: Households with Electricity, Internet and </w:t>
      </w:r>
      <w:r w:rsidR="004F7097">
        <w:t xml:space="preserve">Mobile </w:t>
      </w:r>
      <w:r w:rsidRPr="00600CD5">
        <w:t>Phone Connections (%)</w:t>
      </w:r>
      <w:bookmarkEnd w:id="146"/>
      <w:bookmarkEnd w:id="1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4"/>
        <w:gridCol w:w="2376"/>
        <w:gridCol w:w="1199"/>
        <w:gridCol w:w="1104"/>
        <w:gridCol w:w="1203"/>
        <w:gridCol w:w="1150"/>
        <w:gridCol w:w="968"/>
        <w:gridCol w:w="1182"/>
      </w:tblGrid>
      <w:tr w:rsidR="00A356FA" w:rsidRPr="00600CD5" w:rsidTr="00600CD5">
        <w:trPr>
          <w:trHeight w:hRule="exact" w:val="288"/>
          <w:tblHeader/>
        </w:trPr>
        <w:tc>
          <w:tcPr>
            <w:tcW w:w="225" w:type="pct"/>
            <w:shd w:val="clear" w:color="auto" w:fill="D9D9D9" w:themeFill="background1" w:themeFillShade="D9"/>
            <w:noWrap/>
            <w:vAlign w:val="bottom"/>
            <w:hideMark/>
          </w:tcPr>
          <w:p w:rsidR="00A356FA" w:rsidRPr="00600CD5" w:rsidRDefault="00A356FA" w:rsidP="00A356FA">
            <w:pPr>
              <w:rPr>
                <w:rFonts w:eastAsia="Times New Roman" w:cs="Times New Roman"/>
                <w:b/>
                <w:color w:val="000000"/>
              </w:rPr>
            </w:pPr>
          </w:p>
        </w:tc>
        <w:tc>
          <w:tcPr>
            <w:tcW w:w="1109" w:type="pct"/>
            <w:shd w:val="clear" w:color="auto" w:fill="D9D9D9" w:themeFill="background1" w:themeFillShade="D9"/>
            <w:noWrap/>
            <w:vAlign w:val="bottom"/>
            <w:hideMark/>
          </w:tcPr>
          <w:p w:rsidR="00A356FA" w:rsidRPr="00600CD5" w:rsidRDefault="00A356FA" w:rsidP="00A356FA">
            <w:pPr>
              <w:rPr>
                <w:rFonts w:eastAsia="Times New Roman" w:cs="Times New Roman"/>
                <w:b/>
                <w:color w:val="000000"/>
              </w:rPr>
            </w:pPr>
          </w:p>
        </w:tc>
        <w:tc>
          <w:tcPr>
            <w:tcW w:w="1887" w:type="pct"/>
            <w:gridSpan w:val="3"/>
            <w:shd w:val="clear" w:color="auto" w:fill="D9D9D9" w:themeFill="background1" w:themeFillShade="D9"/>
            <w:noWrap/>
            <w:vAlign w:val="bottom"/>
            <w:hideMark/>
          </w:tcPr>
          <w:p w:rsidR="00A356FA" w:rsidRPr="00600CD5" w:rsidRDefault="00A356FA" w:rsidP="00A356FA">
            <w:pPr>
              <w:jc w:val="center"/>
              <w:rPr>
                <w:rFonts w:eastAsia="Times New Roman" w:cs="Times New Roman"/>
                <w:b/>
                <w:bCs/>
                <w:color w:val="000000"/>
              </w:rPr>
            </w:pPr>
            <w:r w:rsidRPr="00600CD5">
              <w:rPr>
                <w:rFonts w:eastAsia="Times New Roman" w:cs="Times New Roman"/>
                <w:b/>
                <w:bCs/>
                <w:color w:val="000000"/>
              </w:rPr>
              <w:t>2000</w:t>
            </w:r>
          </w:p>
        </w:tc>
        <w:tc>
          <w:tcPr>
            <w:tcW w:w="1779" w:type="pct"/>
            <w:gridSpan w:val="3"/>
            <w:shd w:val="clear" w:color="auto" w:fill="D9D9D9" w:themeFill="background1" w:themeFillShade="D9"/>
            <w:noWrap/>
            <w:vAlign w:val="bottom"/>
            <w:hideMark/>
          </w:tcPr>
          <w:p w:rsidR="00A356FA" w:rsidRPr="00600CD5" w:rsidRDefault="00A356FA" w:rsidP="00A356FA">
            <w:pPr>
              <w:jc w:val="center"/>
              <w:rPr>
                <w:rFonts w:eastAsia="Times New Roman" w:cs="Times New Roman"/>
                <w:b/>
                <w:bCs/>
                <w:color w:val="000000"/>
              </w:rPr>
            </w:pPr>
            <w:r w:rsidRPr="00600CD5">
              <w:rPr>
                <w:rFonts w:eastAsia="Times New Roman" w:cs="Times New Roman"/>
                <w:b/>
                <w:bCs/>
                <w:color w:val="000000"/>
              </w:rPr>
              <w:t>2010</w:t>
            </w:r>
          </w:p>
        </w:tc>
      </w:tr>
      <w:tr w:rsidR="00A356FA" w:rsidRPr="00600CD5" w:rsidTr="004F7097">
        <w:trPr>
          <w:trHeight w:hRule="exact" w:val="550"/>
          <w:tblHeader/>
        </w:trPr>
        <w:tc>
          <w:tcPr>
            <w:tcW w:w="225" w:type="pct"/>
            <w:shd w:val="clear" w:color="auto" w:fill="D9D9D9" w:themeFill="background1" w:themeFillShade="D9"/>
            <w:noWrap/>
            <w:vAlign w:val="bottom"/>
            <w:hideMark/>
          </w:tcPr>
          <w:p w:rsidR="00A356FA" w:rsidRPr="00600CD5" w:rsidRDefault="00A356FA" w:rsidP="00A356FA">
            <w:pPr>
              <w:rPr>
                <w:rFonts w:eastAsia="Times New Roman" w:cs="Times New Roman"/>
                <w:b/>
                <w:color w:val="000000"/>
              </w:rPr>
            </w:pPr>
          </w:p>
        </w:tc>
        <w:tc>
          <w:tcPr>
            <w:tcW w:w="1109" w:type="pct"/>
            <w:shd w:val="clear" w:color="auto" w:fill="D9D9D9" w:themeFill="background1" w:themeFillShade="D9"/>
            <w:noWrap/>
            <w:vAlign w:val="bottom"/>
            <w:hideMark/>
          </w:tcPr>
          <w:p w:rsidR="00A356FA" w:rsidRPr="004F7097" w:rsidRDefault="00F64A6A" w:rsidP="00A356FA">
            <w:pPr>
              <w:shd w:val="clear" w:color="000000" w:fill="CCC0DA"/>
              <w:spacing w:before="100" w:beforeAutospacing="1" w:after="100" w:afterAutospacing="1" w:line="240" w:lineRule="auto"/>
              <w:rPr>
                <w:rFonts w:eastAsia="Times New Roman" w:cs="Times New Roman"/>
                <w:b/>
                <w:color w:val="000000"/>
                <w:sz w:val="20"/>
                <w:szCs w:val="20"/>
              </w:rPr>
            </w:pPr>
            <w:r w:rsidRPr="00F64A6A">
              <w:rPr>
                <w:rFonts w:eastAsia="Times New Roman" w:cs="Times New Roman"/>
                <w:b/>
                <w:color w:val="000000"/>
                <w:sz w:val="20"/>
                <w:szCs w:val="20"/>
              </w:rPr>
              <w:t>Delta Region</w:t>
            </w:r>
          </w:p>
        </w:tc>
        <w:tc>
          <w:tcPr>
            <w:tcW w:w="645" w:type="pct"/>
            <w:shd w:val="clear" w:color="auto" w:fill="D9D9D9" w:themeFill="background1" w:themeFillShade="D9"/>
            <w:hideMark/>
          </w:tcPr>
          <w:p w:rsidR="00F64A6A" w:rsidRPr="00F64A6A" w:rsidRDefault="00F64A6A" w:rsidP="00F64A6A">
            <w:pPr>
              <w:jc w:val="center"/>
              <w:rPr>
                <w:rFonts w:eastAsia="Times New Roman" w:cs="Times New Roman"/>
                <w:b/>
                <w:bCs/>
                <w:color w:val="000000"/>
                <w:sz w:val="20"/>
                <w:szCs w:val="20"/>
              </w:rPr>
            </w:pPr>
            <w:r w:rsidRPr="00F64A6A">
              <w:rPr>
                <w:rFonts w:eastAsia="Times New Roman" w:cs="Times New Roman"/>
                <w:b/>
                <w:bCs/>
                <w:color w:val="000000"/>
                <w:sz w:val="20"/>
                <w:szCs w:val="20"/>
              </w:rPr>
              <w:t>Electricity</w:t>
            </w:r>
          </w:p>
        </w:tc>
        <w:tc>
          <w:tcPr>
            <w:tcW w:w="595" w:type="pct"/>
            <w:shd w:val="clear" w:color="auto" w:fill="D9D9D9" w:themeFill="background1" w:themeFillShade="D9"/>
            <w:hideMark/>
          </w:tcPr>
          <w:p w:rsidR="00F64A6A" w:rsidRPr="00F64A6A" w:rsidRDefault="00F64A6A" w:rsidP="00F64A6A">
            <w:pPr>
              <w:jc w:val="center"/>
              <w:rPr>
                <w:rFonts w:eastAsia="Times New Roman" w:cs="Times New Roman"/>
                <w:b/>
                <w:bCs/>
                <w:color w:val="000000"/>
                <w:sz w:val="20"/>
                <w:szCs w:val="20"/>
              </w:rPr>
            </w:pPr>
            <w:r w:rsidRPr="00F64A6A">
              <w:rPr>
                <w:rFonts w:eastAsia="Times New Roman" w:cs="Times New Roman"/>
                <w:b/>
                <w:bCs/>
                <w:color w:val="000000"/>
                <w:sz w:val="20"/>
                <w:szCs w:val="20"/>
              </w:rPr>
              <w:t>Internet</w:t>
            </w:r>
          </w:p>
        </w:tc>
        <w:tc>
          <w:tcPr>
            <w:tcW w:w="647" w:type="pct"/>
            <w:shd w:val="clear" w:color="auto" w:fill="D9D9D9" w:themeFill="background1" w:themeFillShade="D9"/>
            <w:hideMark/>
          </w:tcPr>
          <w:p w:rsidR="00F64A6A" w:rsidRPr="00F64A6A" w:rsidRDefault="00F64A6A" w:rsidP="00F64A6A">
            <w:pPr>
              <w:jc w:val="center"/>
              <w:rPr>
                <w:rFonts w:eastAsia="Times New Roman" w:cs="Times New Roman"/>
                <w:b/>
                <w:bCs/>
                <w:color w:val="000000"/>
                <w:sz w:val="20"/>
                <w:szCs w:val="20"/>
              </w:rPr>
            </w:pPr>
            <w:r w:rsidRPr="00F64A6A">
              <w:rPr>
                <w:rFonts w:eastAsia="Times New Roman" w:cs="Times New Roman"/>
                <w:b/>
                <w:bCs/>
                <w:color w:val="000000"/>
                <w:sz w:val="20"/>
                <w:szCs w:val="20"/>
              </w:rPr>
              <w:t xml:space="preserve">Mobile </w:t>
            </w:r>
            <w:r w:rsidR="004F7097">
              <w:rPr>
                <w:rFonts w:eastAsia="Times New Roman" w:cs="Times New Roman"/>
                <w:b/>
                <w:bCs/>
                <w:color w:val="000000"/>
                <w:sz w:val="20"/>
                <w:szCs w:val="20"/>
              </w:rPr>
              <w:t xml:space="preserve"> Phon</w:t>
            </w:r>
            <w:r w:rsidRPr="00F64A6A">
              <w:rPr>
                <w:rFonts w:eastAsia="Times New Roman" w:cs="Times New Roman"/>
                <w:b/>
                <w:bCs/>
                <w:color w:val="000000"/>
                <w:sz w:val="20"/>
                <w:szCs w:val="20"/>
              </w:rPr>
              <w:t>Phone</w:t>
            </w:r>
          </w:p>
        </w:tc>
        <w:tc>
          <w:tcPr>
            <w:tcW w:w="619" w:type="pct"/>
            <w:shd w:val="clear" w:color="auto" w:fill="D9D9D9" w:themeFill="background1" w:themeFillShade="D9"/>
            <w:hideMark/>
          </w:tcPr>
          <w:p w:rsidR="00F64A6A" w:rsidRPr="00F64A6A" w:rsidRDefault="00F64A6A" w:rsidP="00F64A6A">
            <w:pPr>
              <w:jc w:val="center"/>
              <w:rPr>
                <w:rFonts w:eastAsia="Times New Roman" w:cs="Times New Roman"/>
                <w:b/>
                <w:bCs/>
                <w:color w:val="000000"/>
                <w:sz w:val="20"/>
                <w:szCs w:val="20"/>
              </w:rPr>
            </w:pPr>
            <w:r w:rsidRPr="00F64A6A">
              <w:rPr>
                <w:rFonts w:eastAsia="Times New Roman" w:cs="Times New Roman"/>
                <w:b/>
                <w:bCs/>
                <w:color w:val="000000"/>
                <w:sz w:val="20"/>
                <w:szCs w:val="20"/>
              </w:rPr>
              <w:t>Electricity</w:t>
            </w:r>
          </w:p>
        </w:tc>
        <w:tc>
          <w:tcPr>
            <w:tcW w:w="524" w:type="pct"/>
            <w:shd w:val="clear" w:color="auto" w:fill="D9D9D9" w:themeFill="background1" w:themeFillShade="D9"/>
            <w:hideMark/>
          </w:tcPr>
          <w:p w:rsidR="00F64A6A" w:rsidRPr="00F64A6A" w:rsidRDefault="00F64A6A" w:rsidP="00F64A6A">
            <w:pPr>
              <w:jc w:val="center"/>
              <w:rPr>
                <w:rFonts w:eastAsia="Times New Roman" w:cs="Times New Roman"/>
                <w:b/>
                <w:bCs/>
                <w:color w:val="000000"/>
                <w:sz w:val="20"/>
                <w:szCs w:val="20"/>
              </w:rPr>
            </w:pPr>
            <w:r w:rsidRPr="00F64A6A">
              <w:rPr>
                <w:rFonts w:eastAsia="Times New Roman" w:cs="Times New Roman"/>
                <w:b/>
                <w:bCs/>
                <w:color w:val="000000"/>
                <w:sz w:val="20"/>
                <w:szCs w:val="20"/>
              </w:rPr>
              <w:t>Internet</w:t>
            </w:r>
          </w:p>
        </w:tc>
        <w:tc>
          <w:tcPr>
            <w:tcW w:w="636" w:type="pct"/>
            <w:shd w:val="clear" w:color="auto" w:fill="D9D9D9" w:themeFill="background1" w:themeFillShade="D9"/>
            <w:hideMark/>
          </w:tcPr>
          <w:p w:rsidR="00F64A6A" w:rsidRPr="00F64A6A" w:rsidRDefault="004F7097" w:rsidP="00F64A6A">
            <w:pPr>
              <w:jc w:val="center"/>
              <w:rPr>
                <w:rFonts w:eastAsia="Times New Roman" w:cs="Times New Roman"/>
                <w:b/>
                <w:bCs/>
                <w:color w:val="000000"/>
                <w:sz w:val="20"/>
                <w:szCs w:val="20"/>
              </w:rPr>
            </w:pPr>
            <w:r>
              <w:rPr>
                <w:rFonts w:eastAsia="Times New Roman" w:cs="Times New Roman"/>
                <w:b/>
                <w:bCs/>
                <w:color w:val="000000"/>
                <w:sz w:val="20"/>
                <w:szCs w:val="20"/>
              </w:rPr>
              <w:t xml:space="preserve">Mobile </w:t>
            </w:r>
            <w:r w:rsidR="00F64A6A" w:rsidRPr="00F64A6A">
              <w:rPr>
                <w:rFonts w:eastAsia="Times New Roman" w:cs="Times New Roman"/>
                <w:b/>
                <w:bCs/>
                <w:color w:val="000000"/>
                <w:sz w:val="20"/>
                <w:szCs w:val="20"/>
              </w:rPr>
              <w:t>Phone</w:t>
            </w:r>
          </w:p>
        </w:tc>
      </w:tr>
      <w:tr w:rsidR="00A356FA" w:rsidRPr="00600CD5" w:rsidTr="00600CD5">
        <w:trPr>
          <w:trHeight w:hRule="exact" w:val="288"/>
        </w:trPr>
        <w:tc>
          <w:tcPr>
            <w:tcW w:w="225"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1</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Haor Region</w:t>
            </w:r>
          </w:p>
        </w:tc>
        <w:tc>
          <w:tcPr>
            <w:tcW w:w="64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31.11</w:t>
            </w:r>
          </w:p>
        </w:tc>
        <w:tc>
          <w:tcPr>
            <w:tcW w:w="59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eastAsia="Times New Roman" w:cs="Times New Roman"/>
                <w:color w:val="000000"/>
              </w:rPr>
              <w:t>NA</w:t>
            </w:r>
          </w:p>
        </w:tc>
        <w:tc>
          <w:tcPr>
            <w:tcW w:w="647"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0.79</w:t>
            </w:r>
          </w:p>
        </w:tc>
        <w:tc>
          <w:tcPr>
            <w:tcW w:w="619"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45.44</w:t>
            </w:r>
          </w:p>
        </w:tc>
        <w:tc>
          <w:tcPr>
            <w:tcW w:w="524"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0.42</w:t>
            </w:r>
          </w:p>
        </w:tc>
        <w:tc>
          <w:tcPr>
            <w:tcW w:w="636"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55.36</w:t>
            </w:r>
          </w:p>
        </w:tc>
      </w:tr>
      <w:tr w:rsidR="00A356FA" w:rsidRPr="00600CD5" w:rsidTr="00600CD5">
        <w:trPr>
          <w:trHeight w:hRule="exact" w:val="288"/>
        </w:trPr>
        <w:tc>
          <w:tcPr>
            <w:tcW w:w="225"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2</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Coastal Zone</w:t>
            </w:r>
          </w:p>
        </w:tc>
        <w:tc>
          <w:tcPr>
            <w:tcW w:w="64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24.46</w:t>
            </w:r>
          </w:p>
        </w:tc>
        <w:tc>
          <w:tcPr>
            <w:tcW w:w="59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eastAsia="Times New Roman" w:cs="Times New Roman"/>
                <w:color w:val="000000"/>
              </w:rPr>
              <w:t>NA</w:t>
            </w:r>
          </w:p>
        </w:tc>
        <w:tc>
          <w:tcPr>
            <w:tcW w:w="647"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1.26</w:t>
            </w:r>
          </w:p>
        </w:tc>
        <w:tc>
          <w:tcPr>
            <w:tcW w:w="619"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49.38</w:t>
            </w:r>
          </w:p>
        </w:tc>
        <w:tc>
          <w:tcPr>
            <w:tcW w:w="524"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1.02</w:t>
            </w:r>
          </w:p>
        </w:tc>
        <w:tc>
          <w:tcPr>
            <w:tcW w:w="636"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63.91</w:t>
            </w:r>
          </w:p>
        </w:tc>
      </w:tr>
      <w:tr w:rsidR="00A356FA" w:rsidRPr="00600CD5" w:rsidTr="00600CD5">
        <w:trPr>
          <w:trHeight w:hRule="exact" w:val="288"/>
        </w:trPr>
        <w:tc>
          <w:tcPr>
            <w:tcW w:w="225"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3</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Chittagong Hill Tracts</w:t>
            </w:r>
          </w:p>
        </w:tc>
        <w:tc>
          <w:tcPr>
            <w:tcW w:w="64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49.88</w:t>
            </w:r>
          </w:p>
        </w:tc>
        <w:tc>
          <w:tcPr>
            <w:tcW w:w="59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eastAsia="Times New Roman" w:cs="Times New Roman"/>
                <w:color w:val="000000"/>
              </w:rPr>
              <w:t>NA</w:t>
            </w:r>
          </w:p>
        </w:tc>
        <w:tc>
          <w:tcPr>
            <w:tcW w:w="647"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1.79</w:t>
            </w:r>
          </w:p>
        </w:tc>
        <w:tc>
          <w:tcPr>
            <w:tcW w:w="619"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37.04</w:t>
            </w:r>
          </w:p>
        </w:tc>
        <w:tc>
          <w:tcPr>
            <w:tcW w:w="524"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0.48</w:t>
            </w:r>
          </w:p>
        </w:tc>
        <w:tc>
          <w:tcPr>
            <w:tcW w:w="636"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49.42</w:t>
            </w:r>
          </w:p>
        </w:tc>
      </w:tr>
      <w:tr w:rsidR="00A356FA" w:rsidRPr="00600CD5" w:rsidTr="00600CD5">
        <w:trPr>
          <w:trHeight w:hRule="exact" w:val="288"/>
        </w:trPr>
        <w:tc>
          <w:tcPr>
            <w:tcW w:w="225"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4</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Urban Areas</w:t>
            </w:r>
          </w:p>
        </w:tc>
        <w:tc>
          <w:tcPr>
            <w:tcW w:w="64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49.69</w:t>
            </w:r>
          </w:p>
        </w:tc>
        <w:tc>
          <w:tcPr>
            <w:tcW w:w="59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eastAsia="Times New Roman" w:cs="Times New Roman"/>
                <w:color w:val="000000"/>
              </w:rPr>
              <w:t>NA</w:t>
            </w:r>
          </w:p>
        </w:tc>
        <w:tc>
          <w:tcPr>
            <w:tcW w:w="647"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2.98</w:t>
            </w:r>
          </w:p>
        </w:tc>
        <w:tc>
          <w:tcPr>
            <w:tcW w:w="619"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81.36</w:t>
            </w:r>
          </w:p>
        </w:tc>
        <w:tc>
          <w:tcPr>
            <w:tcW w:w="524"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5.82</w:t>
            </w:r>
          </w:p>
        </w:tc>
        <w:tc>
          <w:tcPr>
            <w:tcW w:w="636"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81.02</w:t>
            </w:r>
          </w:p>
        </w:tc>
      </w:tr>
      <w:tr w:rsidR="00A356FA" w:rsidRPr="00600CD5" w:rsidTr="00600CD5">
        <w:trPr>
          <w:trHeight w:hRule="exact" w:val="288"/>
        </w:trPr>
        <w:tc>
          <w:tcPr>
            <w:tcW w:w="225"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5</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Drought Prone</w:t>
            </w:r>
          </w:p>
        </w:tc>
        <w:tc>
          <w:tcPr>
            <w:tcW w:w="64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19.71</w:t>
            </w:r>
          </w:p>
        </w:tc>
        <w:tc>
          <w:tcPr>
            <w:tcW w:w="59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eastAsia="Times New Roman" w:cs="Times New Roman"/>
                <w:color w:val="000000"/>
              </w:rPr>
              <w:t>NA</w:t>
            </w:r>
          </w:p>
        </w:tc>
        <w:tc>
          <w:tcPr>
            <w:tcW w:w="647"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0.49</w:t>
            </w:r>
          </w:p>
        </w:tc>
        <w:tc>
          <w:tcPr>
            <w:tcW w:w="619"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47.22</w:t>
            </w:r>
          </w:p>
        </w:tc>
        <w:tc>
          <w:tcPr>
            <w:tcW w:w="524"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0.43</w:t>
            </w:r>
          </w:p>
        </w:tc>
        <w:tc>
          <w:tcPr>
            <w:tcW w:w="636"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55.27</w:t>
            </w:r>
          </w:p>
        </w:tc>
      </w:tr>
      <w:tr w:rsidR="00A356FA" w:rsidRPr="00600CD5" w:rsidTr="00600CD5">
        <w:trPr>
          <w:trHeight w:hRule="exact" w:val="288"/>
        </w:trPr>
        <w:tc>
          <w:tcPr>
            <w:tcW w:w="225"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6</w:t>
            </w:r>
          </w:p>
        </w:tc>
        <w:tc>
          <w:tcPr>
            <w:tcW w:w="1109" w:type="pct"/>
            <w:shd w:val="clear" w:color="auto" w:fill="auto"/>
            <w:noWrap/>
            <w:vAlign w:val="bottom"/>
            <w:hideMark/>
          </w:tcPr>
          <w:p w:rsidR="00A356FA" w:rsidRPr="00600CD5" w:rsidRDefault="00A356FA" w:rsidP="00A356FA">
            <w:pPr>
              <w:rPr>
                <w:rFonts w:eastAsia="Times New Roman" w:cs="Times New Roman"/>
                <w:bCs/>
                <w:color w:val="000000"/>
              </w:rPr>
            </w:pPr>
            <w:r w:rsidRPr="00600CD5">
              <w:rPr>
                <w:rFonts w:eastAsia="Times New Roman" w:cs="Times New Roman"/>
                <w:bCs/>
                <w:color w:val="000000"/>
              </w:rPr>
              <w:t>Rivers and Estuary</w:t>
            </w:r>
          </w:p>
        </w:tc>
        <w:tc>
          <w:tcPr>
            <w:tcW w:w="64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32.10</w:t>
            </w:r>
          </w:p>
        </w:tc>
        <w:tc>
          <w:tcPr>
            <w:tcW w:w="59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eastAsia="Times New Roman" w:cs="Times New Roman"/>
                <w:color w:val="000000"/>
              </w:rPr>
              <w:t>NA</w:t>
            </w:r>
          </w:p>
        </w:tc>
        <w:tc>
          <w:tcPr>
            <w:tcW w:w="647"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1.24</w:t>
            </w:r>
          </w:p>
        </w:tc>
        <w:tc>
          <w:tcPr>
            <w:tcW w:w="619"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54.97</w:t>
            </w:r>
          </w:p>
        </w:tc>
        <w:tc>
          <w:tcPr>
            <w:tcW w:w="524"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0.34</w:t>
            </w:r>
          </w:p>
        </w:tc>
        <w:tc>
          <w:tcPr>
            <w:tcW w:w="636"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64.60</w:t>
            </w:r>
          </w:p>
        </w:tc>
      </w:tr>
      <w:tr w:rsidR="00A356FA" w:rsidRPr="00600CD5" w:rsidTr="00600CD5">
        <w:trPr>
          <w:trHeight w:hRule="exact" w:val="288"/>
        </w:trPr>
        <w:tc>
          <w:tcPr>
            <w:tcW w:w="225"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7</w:t>
            </w:r>
          </w:p>
        </w:tc>
        <w:tc>
          <w:tcPr>
            <w:tcW w:w="1109" w:type="pct"/>
            <w:shd w:val="clear" w:color="auto" w:fill="auto"/>
            <w:noWrap/>
            <w:vAlign w:val="bottom"/>
            <w:hideMark/>
          </w:tcPr>
          <w:p w:rsidR="00A356FA" w:rsidRPr="00600CD5" w:rsidRDefault="004F7097" w:rsidP="00A356FA">
            <w:pPr>
              <w:rPr>
                <w:rFonts w:eastAsia="Times New Roman" w:cs="Times New Roman"/>
                <w:bCs/>
                <w:color w:val="000000"/>
              </w:rPr>
            </w:pPr>
            <w:r>
              <w:rPr>
                <w:rFonts w:eastAsia="Times New Roman" w:cs="Times New Roman"/>
                <w:bCs/>
                <w:color w:val="000000"/>
              </w:rPr>
              <w:t>RHF</w:t>
            </w:r>
          </w:p>
        </w:tc>
        <w:tc>
          <w:tcPr>
            <w:tcW w:w="64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28.57</w:t>
            </w:r>
          </w:p>
        </w:tc>
        <w:tc>
          <w:tcPr>
            <w:tcW w:w="59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eastAsia="Times New Roman" w:cs="Times New Roman"/>
                <w:color w:val="000000"/>
              </w:rPr>
              <w:t>NA</w:t>
            </w:r>
          </w:p>
        </w:tc>
        <w:tc>
          <w:tcPr>
            <w:tcW w:w="647"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1.95</w:t>
            </w:r>
          </w:p>
        </w:tc>
        <w:tc>
          <w:tcPr>
            <w:tcW w:w="619"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50.94</w:t>
            </w:r>
          </w:p>
        </w:tc>
        <w:tc>
          <w:tcPr>
            <w:tcW w:w="524"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0.29</w:t>
            </w:r>
          </w:p>
        </w:tc>
        <w:tc>
          <w:tcPr>
            <w:tcW w:w="636"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color w:val="000000"/>
              </w:rPr>
              <w:t>59.10</w:t>
            </w:r>
          </w:p>
        </w:tc>
      </w:tr>
      <w:tr w:rsidR="00A356FA" w:rsidRPr="00600CD5" w:rsidTr="00600CD5">
        <w:trPr>
          <w:trHeight w:hRule="exact" w:val="288"/>
        </w:trPr>
        <w:tc>
          <w:tcPr>
            <w:tcW w:w="225" w:type="pct"/>
            <w:shd w:val="clear" w:color="auto" w:fill="auto"/>
            <w:noWrap/>
            <w:vAlign w:val="bottom"/>
            <w:hideMark/>
          </w:tcPr>
          <w:p w:rsidR="00A356FA" w:rsidRPr="00600CD5" w:rsidRDefault="00A356FA" w:rsidP="00A356FA">
            <w:pPr>
              <w:jc w:val="right"/>
              <w:rPr>
                <w:rFonts w:eastAsia="Times New Roman" w:cs="Times New Roman"/>
                <w:bCs/>
                <w:color w:val="000000"/>
              </w:rPr>
            </w:pPr>
            <w:r w:rsidRPr="00600CD5">
              <w:rPr>
                <w:rFonts w:eastAsia="Times New Roman" w:cs="Times New Roman"/>
                <w:bCs/>
                <w:color w:val="000000"/>
              </w:rPr>
              <w:t>8</w:t>
            </w:r>
          </w:p>
        </w:tc>
        <w:tc>
          <w:tcPr>
            <w:tcW w:w="1109" w:type="pct"/>
            <w:shd w:val="clear" w:color="auto" w:fill="auto"/>
            <w:noWrap/>
            <w:vAlign w:val="bottom"/>
            <w:hideMark/>
          </w:tcPr>
          <w:p w:rsidR="00A356FA" w:rsidRPr="00600CD5" w:rsidRDefault="00A356FA" w:rsidP="00A356FA">
            <w:pPr>
              <w:rPr>
                <w:rFonts w:eastAsia="Times New Roman" w:cs="Times New Roman"/>
                <w:b/>
                <w:bCs/>
                <w:color w:val="000000"/>
              </w:rPr>
            </w:pPr>
            <w:r w:rsidRPr="00600CD5">
              <w:rPr>
                <w:rFonts w:eastAsia="Times New Roman" w:cs="Times New Roman"/>
                <w:b/>
                <w:bCs/>
                <w:color w:val="000000"/>
              </w:rPr>
              <w:t>Bangladesh</w:t>
            </w:r>
          </w:p>
        </w:tc>
        <w:tc>
          <w:tcPr>
            <w:tcW w:w="64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b/>
                <w:bCs/>
                <w:color w:val="000000"/>
              </w:rPr>
              <w:t>30.10</w:t>
            </w:r>
          </w:p>
        </w:tc>
        <w:tc>
          <w:tcPr>
            <w:tcW w:w="595"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eastAsia="Times New Roman" w:cs="Times New Roman"/>
                <w:color w:val="000000"/>
              </w:rPr>
              <w:t>NA</w:t>
            </w:r>
          </w:p>
        </w:tc>
        <w:tc>
          <w:tcPr>
            <w:tcW w:w="647"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b/>
                <w:bCs/>
                <w:color w:val="000000"/>
              </w:rPr>
              <w:t>1.33</w:t>
            </w:r>
          </w:p>
        </w:tc>
        <w:tc>
          <w:tcPr>
            <w:tcW w:w="619"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b/>
                <w:bCs/>
                <w:color w:val="000000"/>
              </w:rPr>
              <w:t>55.25</w:t>
            </w:r>
          </w:p>
        </w:tc>
        <w:tc>
          <w:tcPr>
            <w:tcW w:w="524"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b/>
                <w:bCs/>
                <w:color w:val="000000"/>
              </w:rPr>
              <w:t>1.38</w:t>
            </w:r>
          </w:p>
        </w:tc>
        <w:tc>
          <w:tcPr>
            <w:tcW w:w="636" w:type="pct"/>
            <w:shd w:val="clear" w:color="auto" w:fill="auto"/>
            <w:noWrap/>
            <w:vAlign w:val="bottom"/>
            <w:hideMark/>
          </w:tcPr>
          <w:p w:rsidR="00F64A6A" w:rsidRDefault="00A356FA" w:rsidP="00F64A6A">
            <w:pPr>
              <w:jc w:val="center"/>
              <w:rPr>
                <w:rFonts w:ascii="Calibri" w:eastAsia="Times New Roman" w:hAnsi="Calibri" w:cs="Times New Roman"/>
                <w:b/>
                <w:bCs/>
                <w:color w:val="000000"/>
                <w:sz w:val="16"/>
                <w:szCs w:val="16"/>
              </w:rPr>
            </w:pPr>
            <w:r w:rsidRPr="00600CD5">
              <w:rPr>
                <w:rFonts w:cs="Times New Roman"/>
                <w:b/>
                <w:bCs/>
                <w:color w:val="000000"/>
              </w:rPr>
              <w:t>63.73</w:t>
            </w:r>
          </w:p>
        </w:tc>
      </w:tr>
    </w:tbl>
    <w:p w:rsidR="00A356FA" w:rsidRPr="00600CD5" w:rsidRDefault="00A356FA" w:rsidP="006267ED">
      <w:pPr>
        <w:spacing w:before="120" w:line="271" w:lineRule="auto"/>
        <w:rPr>
          <w:rFonts w:cs="Times New Roman"/>
          <w:b/>
          <w:i/>
          <w:sz w:val="20"/>
        </w:rPr>
      </w:pPr>
      <w:r w:rsidRPr="00600CD5">
        <w:rPr>
          <w:rFonts w:cs="Times New Roman"/>
          <w:b/>
          <w:i/>
          <w:sz w:val="20"/>
        </w:rPr>
        <w:t xml:space="preserve">Source: </w:t>
      </w:r>
      <w:r w:rsidR="00FA2FD3">
        <w:rPr>
          <w:rFonts w:cs="Times New Roman"/>
          <w:b/>
          <w:i/>
          <w:sz w:val="20"/>
        </w:rPr>
        <w:t xml:space="preserve">GED </w:t>
      </w:r>
      <w:r w:rsidR="00612DB4">
        <w:rPr>
          <w:rFonts w:cs="Times New Roman"/>
          <w:b/>
          <w:i/>
          <w:sz w:val="20"/>
        </w:rPr>
        <w:t>e</w:t>
      </w:r>
      <w:r w:rsidRPr="00600CD5">
        <w:rPr>
          <w:rFonts w:cs="Times New Roman"/>
          <w:b/>
          <w:i/>
          <w:sz w:val="20"/>
        </w:rPr>
        <w:t>stimate</w:t>
      </w:r>
      <w:r w:rsidR="00612DB4">
        <w:rPr>
          <w:rFonts w:cs="Times New Roman"/>
          <w:b/>
          <w:i/>
          <w:sz w:val="20"/>
        </w:rPr>
        <w:t>s</w:t>
      </w:r>
      <w:r w:rsidRPr="00600CD5">
        <w:rPr>
          <w:rFonts w:cs="Times New Roman"/>
          <w:b/>
          <w:i/>
          <w:sz w:val="20"/>
        </w:rPr>
        <w:t xml:space="preserve"> based on HIES 2000 and 2010</w:t>
      </w:r>
    </w:p>
    <w:p w:rsidR="00A356FA" w:rsidRPr="00600CD5" w:rsidRDefault="00A356FA" w:rsidP="009D1C3B">
      <w:pPr>
        <w:spacing w:line="271" w:lineRule="auto"/>
        <w:jc w:val="both"/>
        <w:rPr>
          <w:rFonts w:cs="Times New Roman"/>
        </w:rPr>
      </w:pPr>
      <w:r w:rsidRPr="00600CD5">
        <w:rPr>
          <w:rFonts w:cs="Times New Roman"/>
          <w:b/>
        </w:rPr>
        <w:t>Occupation:</w:t>
      </w:r>
      <w:r w:rsidRPr="00600CD5">
        <w:rPr>
          <w:rFonts w:cs="Times New Roman"/>
        </w:rPr>
        <w:t xml:space="preserve"> in order to assess the pattern of occupation structure, two types of activities have been considered – agriculture and non-agriculture. Although wider classifications are desirable, </w:t>
      </w:r>
      <w:r w:rsidRPr="00600CD5">
        <w:rPr>
          <w:rFonts w:cs="Times New Roman"/>
        </w:rPr>
        <w:lastRenderedPageBreak/>
        <w:t xml:space="preserve">it could not be implemented due to problems in definition and coverage between the surveys. Table 2.7 below captures the changing patterns in occupation across regions in Bangladesh. </w:t>
      </w:r>
    </w:p>
    <w:p w:rsidR="00A356FA" w:rsidRPr="00600CD5" w:rsidRDefault="00A356FA" w:rsidP="009D1C3B">
      <w:pPr>
        <w:spacing w:line="271" w:lineRule="auto"/>
        <w:jc w:val="both"/>
        <w:rPr>
          <w:rFonts w:cs="Times New Roman"/>
        </w:rPr>
      </w:pPr>
      <w:r w:rsidRPr="00600CD5">
        <w:rPr>
          <w:rFonts w:cs="Times New Roman"/>
        </w:rPr>
        <w:t>In 2000, more than 43% of households reported agriculture as their main occupation while 57% were engaged in non-agricultural activities. In 2010, 63.8 % household reported non-agriculture as their main occupation and only 36.2% household were engaged in agricultural activity. This trend suggests 16% drop in agriculture as main occupation and 12.4% increase in non-agricultural occupation.  The greater diversification of sources of income has been a major contributor to poverty reduction in Bangladesh.</w:t>
      </w:r>
      <w:bookmarkStart w:id="148" w:name="_Toc450078597"/>
    </w:p>
    <w:p w:rsidR="00A356FA" w:rsidRPr="00600CD5" w:rsidRDefault="00A356FA" w:rsidP="00944687">
      <w:pPr>
        <w:pStyle w:val="Heading4"/>
      </w:pPr>
      <w:bookmarkStart w:id="149" w:name="_Toc474639003"/>
      <w:r w:rsidRPr="00600CD5">
        <w:t>Table 2.7: Structure of Main Occupation (%)</w:t>
      </w:r>
      <w:bookmarkEnd w:id="148"/>
      <w:bookmarkEnd w:id="1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4A0"/>
      </w:tblPr>
      <w:tblGrid>
        <w:gridCol w:w="325"/>
        <w:gridCol w:w="1747"/>
        <w:gridCol w:w="1253"/>
        <w:gridCol w:w="1403"/>
        <w:gridCol w:w="1199"/>
        <w:gridCol w:w="1201"/>
        <w:gridCol w:w="1199"/>
        <w:gridCol w:w="1177"/>
      </w:tblGrid>
      <w:tr w:rsidR="00A356FA" w:rsidRPr="00C151CD" w:rsidTr="00457820">
        <w:trPr>
          <w:trHeight w:val="20"/>
        </w:trPr>
        <w:tc>
          <w:tcPr>
            <w:tcW w:w="171" w:type="pct"/>
            <w:shd w:val="clear" w:color="auto" w:fill="D9D9D9" w:themeFill="background1" w:themeFillShade="D9"/>
            <w:noWrap/>
            <w:vAlign w:val="center"/>
            <w:hideMark/>
          </w:tcPr>
          <w:p w:rsidR="00A356FA" w:rsidRPr="00C151CD" w:rsidRDefault="00A356FA" w:rsidP="00C151CD">
            <w:pPr>
              <w:spacing w:after="0"/>
              <w:jc w:val="center"/>
              <w:rPr>
                <w:rFonts w:cs="Times New Roman"/>
                <w:b/>
                <w:sz w:val="20"/>
                <w:szCs w:val="20"/>
              </w:rPr>
            </w:pPr>
          </w:p>
        </w:tc>
        <w:tc>
          <w:tcPr>
            <w:tcW w:w="919" w:type="pct"/>
            <w:shd w:val="clear" w:color="auto" w:fill="D9D9D9" w:themeFill="background1" w:themeFillShade="D9"/>
            <w:noWrap/>
            <w:vAlign w:val="center"/>
            <w:hideMark/>
          </w:tcPr>
          <w:p w:rsidR="00A356FA" w:rsidRPr="00C151CD" w:rsidRDefault="00A356FA" w:rsidP="00C151CD">
            <w:pPr>
              <w:spacing w:after="0"/>
              <w:jc w:val="center"/>
              <w:rPr>
                <w:rFonts w:cs="Times New Roman"/>
                <w:b/>
                <w:sz w:val="20"/>
                <w:szCs w:val="20"/>
              </w:rPr>
            </w:pPr>
          </w:p>
        </w:tc>
        <w:tc>
          <w:tcPr>
            <w:tcW w:w="1397" w:type="pct"/>
            <w:gridSpan w:val="2"/>
            <w:shd w:val="clear" w:color="auto" w:fill="D9D9D9" w:themeFill="background1" w:themeFillShade="D9"/>
            <w:vAlign w:val="center"/>
            <w:hideMark/>
          </w:tcPr>
          <w:p w:rsidR="00A356FA" w:rsidRPr="00C151CD" w:rsidRDefault="00A356FA" w:rsidP="00C151CD">
            <w:pPr>
              <w:spacing w:after="0"/>
              <w:jc w:val="center"/>
              <w:rPr>
                <w:rFonts w:cs="Times New Roman"/>
                <w:b/>
                <w:sz w:val="20"/>
                <w:szCs w:val="20"/>
              </w:rPr>
            </w:pPr>
            <w:r w:rsidRPr="00C151CD">
              <w:rPr>
                <w:rFonts w:cs="Times New Roman"/>
                <w:b/>
                <w:sz w:val="20"/>
                <w:szCs w:val="20"/>
              </w:rPr>
              <w:t>2000</w:t>
            </w:r>
          </w:p>
        </w:tc>
        <w:tc>
          <w:tcPr>
            <w:tcW w:w="1263" w:type="pct"/>
            <w:gridSpan w:val="2"/>
            <w:shd w:val="clear" w:color="auto" w:fill="D9D9D9" w:themeFill="background1" w:themeFillShade="D9"/>
            <w:vAlign w:val="center"/>
          </w:tcPr>
          <w:p w:rsidR="00A356FA" w:rsidRPr="00C151CD" w:rsidRDefault="00A356FA" w:rsidP="00C151CD">
            <w:pPr>
              <w:spacing w:after="0"/>
              <w:jc w:val="center"/>
              <w:rPr>
                <w:rFonts w:cs="Times New Roman"/>
                <w:b/>
                <w:sz w:val="20"/>
                <w:szCs w:val="20"/>
              </w:rPr>
            </w:pPr>
            <w:r w:rsidRPr="00C151CD">
              <w:rPr>
                <w:rFonts w:cs="Times New Roman"/>
                <w:b/>
                <w:sz w:val="20"/>
                <w:szCs w:val="20"/>
              </w:rPr>
              <w:t>2010</w:t>
            </w:r>
          </w:p>
        </w:tc>
        <w:tc>
          <w:tcPr>
            <w:tcW w:w="1250" w:type="pct"/>
            <w:gridSpan w:val="2"/>
            <w:shd w:val="clear" w:color="auto" w:fill="D9D9D9" w:themeFill="background1" w:themeFillShade="D9"/>
            <w:vAlign w:val="center"/>
          </w:tcPr>
          <w:p w:rsidR="00A356FA" w:rsidRPr="00C151CD" w:rsidRDefault="00A356FA" w:rsidP="00C151CD">
            <w:pPr>
              <w:spacing w:after="0"/>
              <w:jc w:val="center"/>
              <w:rPr>
                <w:rFonts w:cs="Times New Roman"/>
                <w:b/>
                <w:sz w:val="20"/>
                <w:szCs w:val="20"/>
              </w:rPr>
            </w:pPr>
            <w:r w:rsidRPr="00C151CD">
              <w:rPr>
                <w:rFonts w:cs="Times New Roman"/>
                <w:b/>
                <w:sz w:val="20"/>
                <w:szCs w:val="20"/>
              </w:rPr>
              <w:t>Period Growth Rate (%)</w:t>
            </w:r>
          </w:p>
        </w:tc>
      </w:tr>
      <w:tr w:rsidR="00A356FA" w:rsidRPr="00C151CD" w:rsidTr="00457820">
        <w:trPr>
          <w:trHeight w:val="20"/>
        </w:trPr>
        <w:tc>
          <w:tcPr>
            <w:tcW w:w="171" w:type="pct"/>
            <w:shd w:val="clear" w:color="auto" w:fill="D9D9D9" w:themeFill="background1" w:themeFillShade="D9"/>
            <w:noWrap/>
            <w:vAlign w:val="center"/>
            <w:hideMark/>
          </w:tcPr>
          <w:p w:rsidR="00A356FA" w:rsidRPr="00C151CD" w:rsidRDefault="00A356FA" w:rsidP="00C151CD">
            <w:pPr>
              <w:spacing w:after="0"/>
              <w:jc w:val="center"/>
              <w:rPr>
                <w:rFonts w:cs="Times New Roman"/>
                <w:b/>
                <w:sz w:val="20"/>
                <w:szCs w:val="20"/>
              </w:rPr>
            </w:pPr>
          </w:p>
        </w:tc>
        <w:tc>
          <w:tcPr>
            <w:tcW w:w="919" w:type="pct"/>
            <w:shd w:val="clear" w:color="auto" w:fill="D9D9D9" w:themeFill="background1" w:themeFillShade="D9"/>
            <w:noWrap/>
            <w:vAlign w:val="center"/>
            <w:hideMark/>
          </w:tcPr>
          <w:p w:rsidR="00A356FA" w:rsidRPr="00C151CD" w:rsidRDefault="00A356FA" w:rsidP="00C151CD">
            <w:pPr>
              <w:spacing w:after="0"/>
              <w:jc w:val="center"/>
              <w:rPr>
                <w:rFonts w:cs="Times New Roman"/>
                <w:b/>
                <w:sz w:val="20"/>
                <w:szCs w:val="20"/>
              </w:rPr>
            </w:pPr>
            <w:r w:rsidRPr="00C151CD">
              <w:rPr>
                <w:rFonts w:cs="Times New Roman"/>
                <w:b/>
                <w:sz w:val="20"/>
                <w:szCs w:val="20"/>
              </w:rPr>
              <w:t>Delta Regions</w:t>
            </w:r>
          </w:p>
        </w:tc>
        <w:tc>
          <w:tcPr>
            <w:tcW w:w="659" w:type="pct"/>
            <w:shd w:val="clear" w:color="auto" w:fill="D9D9D9" w:themeFill="background1" w:themeFillShade="D9"/>
            <w:vAlign w:val="center"/>
            <w:hideMark/>
          </w:tcPr>
          <w:p w:rsidR="00A356FA" w:rsidRPr="00C151CD" w:rsidRDefault="00A356FA" w:rsidP="00C151CD">
            <w:pPr>
              <w:spacing w:after="0"/>
              <w:jc w:val="center"/>
              <w:rPr>
                <w:rFonts w:cs="Times New Roman"/>
                <w:b/>
                <w:sz w:val="20"/>
                <w:szCs w:val="20"/>
              </w:rPr>
            </w:pPr>
            <w:r w:rsidRPr="00C151CD">
              <w:rPr>
                <w:rFonts w:cs="Times New Roman"/>
                <w:b/>
                <w:sz w:val="20"/>
                <w:szCs w:val="20"/>
              </w:rPr>
              <w:t>Agriculture</w:t>
            </w:r>
          </w:p>
        </w:tc>
        <w:tc>
          <w:tcPr>
            <w:tcW w:w="738" w:type="pct"/>
            <w:shd w:val="clear" w:color="auto" w:fill="D9D9D9" w:themeFill="background1" w:themeFillShade="D9"/>
            <w:vAlign w:val="center"/>
            <w:hideMark/>
          </w:tcPr>
          <w:p w:rsidR="00A356FA" w:rsidRPr="00C151CD" w:rsidRDefault="00A356FA" w:rsidP="00C151CD">
            <w:pPr>
              <w:spacing w:after="0"/>
              <w:jc w:val="center"/>
              <w:rPr>
                <w:rFonts w:cs="Times New Roman"/>
                <w:b/>
                <w:sz w:val="20"/>
                <w:szCs w:val="20"/>
              </w:rPr>
            </w:pPr>
            <w:r w:rsidRPr="00C151CD">
              <w:rPr>
                <w:rFonts w:cs="Times New Roman"/>
                <w:b/>
                <w:sz w:val="20"/>
                <w:szCs w:val="20"/>
              </w:rPr>
              <w:t>Non-Agriculture</w:t>
            </w:r>
          </w:p>
        </w:tc>
        <w:tc>
          <w:tcPr>
            <w:tcW w:w="631" w:type="pct"/>
            <w:shd w:val="clear" w:color="auto" w:fill="D9D9D9" w:themeFill="background1" w:themeFillShade="D9"/>
            <w:vAlign w:val="center"/>
          </w:tcPr>
          <w:p w:rsidR="00A356FA" w:rsidRPr="00C151CD" w:rsidRDefault="00A356FA" w:rsidP="00C151CD">
            <w:pPr>
              <w:spacing w:after="0"/>
              <w:jc w:val="center"/>
              <w:rPr>
                <w:rFonts w:cs="Times New Roman"/>
                <w:b/>
                <w:sz w:val="20"/>
                <w:szCs w:val="20"/>
              </w:rPr>
            </w:pPr>
            <w:r w:rsidRPr="00C151CD">
              <w:rPr>
                <w:rFonts w:cs="Times New Roman"/>
                <w:b/>
                <w:sz w:val="20"/>
                <w:szCs w:val="20"/>
              </w:rPr>
              <w:t>Agriculture</w:t>
            </w:r>
          </w:p>
        </w:tc>
        <w:tc>
          <w:tcPr>
            <w:tcW w:w="632" w:type="pct"/>
            <w:shd w:val="clear" w:color="auto" w:fill="D9D9D9" w:themeFill="background1" w:themeFillShade="D9"/>
            <w:vAlign w:val="center"/>
          </w:tcPr>
          <w:p w:rsidR="00A356FA" w:rsidRPr="00C151CD" w:rsidRDefault="00A356FA" w:rsidP="00C151CD">
            <w:pPr>
              <w:spacing w:after="0"/>
              <w:jc w:val="center"/>
              <w:rPr>
                <w:rFonts w:cs="Times New Roman"/>
                <w:b/>
                <w:sz w:val="20"/>
                <w:szCs w:val="20"/>
              </w:rPr>
            </w:pPr>
            <w:r w:rsidRPr="00C151CD">
              <w:rPr>
                <w:rFonts w:cs="Times New Roman"/>
                <w:b/>
                <w:sz w:val="20"/>
                <w:szCs w:val="20"/>
              </w:rPr>
              <w:t>Non-Agriculture</w:t>
            </w:r>
          </w:p>
        </w:tc>
        <w:tc>
          <w:tcPr>
            <w:tcW w:w="631" w:type="pct"/>
            <w:shd w:val="clear" w:color="auto" w:fill="D9D9D9" w:themeFill="background1" w:themeFillShade="D9"/>
            <w:vAlign w:val="center"/>
          </w:tcPr>
          <w:p w:rsidR="00A356FA" w:rsidRPr="00C151CD" w:rsidRDefault="00A356FA" w:rsidP="00C151CD">
            <w:pPr>
              <w:spacing w:after="0"/>
              <w:jc w:val="center"/>
              <w:rPr>
                <w:rFonts w:cs="Times New Roman"/>
                <w:b/>
                <w:sz w:val="20"/>
                <w:szCs w:val="20"/>
              </w:rPr>
            </w:pPr>
            <w:r w:rsidRPr="00C151CD">
              <w:rPr>
                <w:rFonts w:cs="Times New Roman"/>
                <w:b/>
                <w:sz w:val="20"/>
                <w:szCs w:val="20"/>
              </w:rPr>
              <w:t>Agriculture</w:t>
            </w:r>
          </w:p>
        </w:tc>
        <w:tc>
          <w:tcPr>
            <w:tcW w:w="619" w:type="pct"/>
            <w:shd w:val="clear" w:color="auto" w:fill="D9D9D9" w:themeFill="background1" w:themeFillShade="D9"/>
            <w:vAlign w:val="center"/>
          </w:tcPr>
          <w:p w:rsidR="00A356FA" w:rsidRPr="00C151CD" w:rsidRDefault="00A356FA" w:rsidP="00C151CD">
            <w:pPr>
              <w:spacing w:after="0"/>
              <w:jc w:val="center"/>
              <w:rPr>
                <w:rFonts w:cs="Times New Roman"/>
                <w:b/>
                <w:sz w:val="20"/>
                <w:szCs w:val="20"/>
              </w:rPr>
            </w:pPr>
            <w:r w:rsidRPr="00C151CD">
              <w:rPr>
                <w:rFonts w:cs="Times New Roman"/>
                <w:b/>
                <w:sz w:val="20"/>
                <w:szCs w:val="20"/>
              </w:rPr>
              <w:t>Non-Agriculture</w:t>
            </w:r>
          </w:p>
        </w:tc>
      </w:tr>
      <w:tr w:rsidR="00A356FA" w:rsidRPr="00C151CD" w:rsidTr="00457820">
        <w:trPr>
          <w:trHeight w:val="20"/>
        </w:trPr>
        <w:tc>
          <w:tcPr>
            <w:tcW w:w="171"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1</w:t>
            </w:r>
          </w:p>
        </w:tc>
        <w:tc>
          <w:tcPr>
            <w:tcW w:w="91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Haor Region</w:t>
            </w:r>
          </w:p>
        </w:tc>
        <w:tc>
          <w:tcPr>
            <w:tcW w:w="65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43.5</w:t>
            </w:r>
          </w:p>
        </w:tc>
        <w:tc>
          <w:tcPr>
            <w:tcW w:w="738"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56.5</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40.7</w:t>
            </w:r>
          </w:p>
        </w:tc>
        <w:tc>
          <w:tcPr>
            <w:tcW w:w="632" w:type="pct"/>
            <w:vAlign w:val="bottom"/>
          </w:tcPr>
          <w:p w:rsidR="00A356FA" w:rsidRPr="00C151CD" w:rsidRDefault="00A356FA" w:rsidP="00C151CD">
            <w:pPr>
              <w:spacing w:after="0"/>
              <w:rPr>
                <w:rFonts w:cs="Times New Roman"/>
                <w:sz w:val="20"/>
                <w:szCs w:val="20"/>
              </w:rPr>
            </w:pPr>
            <w:r w:rsidRPr="00C151CD">
              <w:rPr>
                <w:rFonts w:cs="Times New Roman"/>
                <w:sz w:val="20"/>
                <w:szCs w:val="20"/>
              </w:rPr>
              <w:t>59.3</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-0.63</w:t>
            </w:r>
          </w:p>
        </w:tc>
        <w:tc>
          <w:tcPr>
            <w:tcW w:w="619" w:type="pct"/>
            <w:vAlign w:val="bottom"/>
          </w:tcPr>
          <w:p w:rsidR="00A356FA" w:rsidRPr="00C151CD" w:rsidRDefault="00A356FA" w:rsidP="00C151CD">
            <w:pPr>
              <w:spacing w:after="0"/>
              <w:rPr>
                <w:rFonts w:cs="Times New Roman"/>
                <w:sz w:val="20"/>
                <w:szCs w:val="20"/>
              </w:rPr>
            </w:pPr>
            <w:r w:rsidRPr="00C151CD">
              <w:rPr>
                <w:rFonts w:cs="Times New Roman"/>
                <w:sz w:val="20"/>
                <w:szCs w:val="20"/>
              </w:rPr>
              <w:t>0.49</w:t>
            </w:r>
          </w:p>
        </w:tc>
      </w:tr>
      <w:tr w:rsidR="00A356FA" w:rsidRPr="00C151CD" w:rsidTr="00457820">
        <w:trPr>
          <w:trHeight w:val="20"/>
        </w:trPr>
        <w:tc>
          <w:tcPr>
            <w:tcW w:w="171"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2</w:t>
            </w:r>
          </w:p>
        </w:tc>
        <w:tc>
          <w:tcPr>
            <w:tcW w:w="91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Coastal Zone</w:t>
            </w:r>
          </w:p>
        </w:tc>
        <w:tc>
          <w:tcPr>
            <w:tcW w:w="65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41.1</w:t>
            </w:r>
          </w:p>
        </w:tc>
        <w:tc>
          <w:tcPr>
            <w:tcW w:w="738"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58.9</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32.7</w:t>
            </w:r>
          </w:p>
        </w:tc>
        <w:tc>
          <w:tcPr>
            <w:tcW w:w="632" w:type="pct"/>
            <w:vAlign w:val="bottom"/>
          </w:tcPr>
          <w:p w:rsidR="00A356FA" w:rsidRPr="00C151CD" w:rsidRDefault="00A356FA" w:rsidP="00C151CD">
            <w:pPr>
              <w:spacing w:after="0"/>
              <w:rPr>
                <w:rFonts w:cs="Times New Roman"/>
                <w:sz w:val="20"/>
                <w:szCs w:val="20"/>
              </w:rPr>
            </w:pPr>
            <w:r w:rsidRPr="00C151CD">
              <w:rPr>
                <w:rFonts w:cs="Times New Roman"/>
                <w:sz w:val="20"/>
                <w:szCs w:val="20"/>
              </w:rPr>
              <w:t>67.3</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-2.04</w:t>
            </w:r>
          </w:p>
        </w:tc>
        <w:tc>
          <w:tcPr>
            <w:tcW w:w="619" w:type="pct"/>
            <w:vAlign w:val="bottom"/>
          </w:tcPr>
          <w:p w:rsidR="00A356FA" w:rsidRPr="00C151CD" w:rsidRDefault="00A356FA" w:rsidP="00C151CD">
            <w:pPr>
              <w:spacing w:after="0"/>
              <w:rPr>
                <w:rFonts w:cs="Times New Roman"/>
                <w:sz w:val="20"/>
                <w:szCs w:val="20"/>
              </w:rPr>
            </w:pPr>
            <w:r w:rsidRPr="00C151CD">
              <w:rPr>
                <w:rFonts w:cs="Times New Roman"/>
                <w:sz w:val="20"/>
                <w:szCs w:val="20"/>
              </w:rPr>
              <w:t>1.43</w:t>
            </w:r>
          </w:p>
        </w:tc>
      </w:tr>
      <w:tr w:rsidR="00A356FA" w:rsidRPr="00C151CD" w:rsidTr="00457820">
        <w:trPr>
          <w:trHeight w:val="20"/>
        </w:trPr>
        <w:tc>
          <w:tcPr>
            <w:tcW w:w="171"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3</w:t>
            </w:r>
          </w:p>
        </w:tc>
        <w:tc>
          <w:tcPr>
            <w:tcW w:w="91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Chittagong Hill Tracts</w:t>
            </w:r>
          </w:p>
        </w:tc>
        <w:tc>
          <w:tcPr>
            <w:tcW w:w="65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14.9</w:t>
            </w:r>
          </w:p>
        </w:tc>
        <w:tc>
          <w:tcPr>
            <w:tcW w:w="738"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85.1</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47.9</w:t>
            </w:r>
          </w:p>
        </w:tc>
        <w:tc>
          <w:tcPr>
            <w:tcW w:w="632" w:type="pct"/>
            <w:vAlign w:val="bottom"/>
          </w:tcPr>
          <w:p w:rsidR="00A356FA" w:rsidRPr="00C151CD" w:rsidRDefault="00A356FA" w:rsidP="00C151CD">
            <w:pPr>
              <w:spacing w:after="0"/>
              <w:rPr>
                <w:rFonts w:cs="Times New Roman"/>
                <w:sz w:val="20"/>
                <w:szCs w:val="20"/>
              </w:rPr>
            </w:pPr>
            <w:r w:rsidRPr="00C151CD">
              <w:rPr>
                <w:rFonts w:cs="Times New Roman"/>
                <w:sz w:val="20"/>
                <w:szCs w:val="20"/>
              </w:rPr>
              <w:t>52.1</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22.20</w:t>
            </w:r>
          </w:p>
        </w:tc>
        <w:tc>
          <w:tcPr>
            <w:tcW w:w="619" w:type="pct"/>
            <w:vAlign w:val="bottom"/>
          </w:tcPr>
          <w:p w:rsidR="00A356FA" w:rsidRPr="00C151CD" w:rsidRDefault="00A356FA" w:rsidP="00C151CD">
            <w:pPr>
              <w:spacing w:after="0"/>
              <w:rPr>
                <w:rFonts w:cs="Times New Roman"/>
                <w:sz w:val="20"/>
                <w:szCs w:val="20"/>
              </w:rPr>
            </w:pPr>
            <w:r w:rsidRPr="00C151CD">
              <w:rPr>
                <w:rFonts w:cs="Times New Roman"/>
                <w:sz w:val="20"/>
                <w:szCs w:val="20"/>
              </w:rPr>
              <w:t>-3.88</w:t>
            </w:r>
          </w:p>
        </w:tc>
      </w:tr>
      <w:tr w:rsidR="00A356FA" w:rsidRPr="00C151CD" w:rsidTr="00457820">
        <w:trPr>
          <w:trHeight w:val="20"/>
        </w:trPr>
        <w:tc>
          <w:tcPr>
            <w:tcW w:w="171"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4</w:t>
            </w:r>
          </w:p>
        </w:tc>
        <w:tc>
          <w:tcPr>
            <w:tcW w:w="91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Urban Areas</w:t>
            </w:r>
          </w:p>
        </w:tc>
        <w:tc>
          <w:tcPr>
            <w:tcW w:w="65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28.4</w:t>
            </w:r>
          </w:p>
        </w:tc>
        <w:tc>
          <w:tcPr>
            <w:tcW w:w="738"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71.6</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25.7</w:t>
            </w:r>
          </w:p>
        </w:tc>
        <w:tc>
          <w:tcPr>
            <w:tcW w:w="632" w:type="pct"/>
            <w:vAlign w:val="bottom"/>
          </w:tcPr>
          <w:p w:rsidR="00A356FA" w:rsidRPr="00C151CD" w:rsidRDefault="00A356FA" w:rsidP="00C151CD">
            <w:pPr>
              <w:spacing w:after="0"/>
              <w:rPr>
                <w:rFonts w:cs="Times New Roman"/>
                <w:sz w:val="20"/>
                <w:szCs w:val="20"/>
              </w:rPr>
            </w:pPr>
            <w:r w:rsidRPr="00C151CD">
              <w:rPr>
                <w:rFonts w:cs="Times New Roman"/>
                <w:sz w:val="20"/>
                <w:szCs w:val="20"/>
              </w:rPr>
              <w:t>74.3</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-0.94</w:t>
            </w:r>
          </w:p>
        </w:tc>
        <w:tc>
          <w:tcPr>
            <w:tcW w:w="619" w:type="pct"/>
            <w:vAlign w:val="bottom"/>
          </w:tcPr>
          <w:p w:rsidR="00A356FA" w:rsidRPr="00C151CD" w:rsidRDefault="00A356FA" w:rsidP="00C151CD">
            <w:pPr>
              <w:spacing w:after="0"/>
              <w:rPr>
                <w:rFonts w:cs="Times New Roman"/>
                <w:sz w:val="20"/>
                <w:szCs w:val="20"/>
              </w:rPr>
            </w:pPr>
            <w:r w:rsidRPr="00C151CD">
              <w:rPr>
                <w:rFonts w:cs="Times New Roman"/>
                <w:sz w:val="20"/>
                <w:szCs w:val="20"/>
              </w:rPr>
              <w:t>0.37</w:t>
            </w:r>
          </w:p>
        </w:tc>
      </w:tr>
      <w:tr w:rsidR="00A356FA" w:rsidRPr="00C151CD" w:rsidTr="00457820">
        <w:trPr>
          <w:trHeight w:val="20"/>
        </w:trPr>
        <w:tc>
          <w:tcPr>
            <w:tcW w:w="171"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5</w:t>
            </w:r>
          </w:p>
        </w:tc>
        <w:tc>
          <w:tcPr>
            <w:tcW w:w="91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Drought Prone</w:t>
            </w:r>
          </w:p>
        </w:tc>
        <w:tc>
          <w:tcPr>
            <w:tcW w:w="65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54.0</w:t>
            </w:r>
          </w:p>
        </w:tc>
        <w:tc>
          <w:tcPr>
            <w:tcW w:w="738"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46.0</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44.6</w:t>
            </w:r>
          </w:p>
        </w:tc>
        <w:tc>
          <w:tcPr>
            <w:tcW w:w="632" w:type="pct"/>
            <w:vAlign w:val="bottom"/>
          </w:tcPr>
          <w:p w:rsidR="00A356FA" w:rsidRPr="00C151CD" w:rsidRDefault="00A356FA" w:rsidP="00C151CD">
            <w:pPr>
              <w:spacing w:after="0"/>
              <w:rPr>
                <w:rFonts w:cs="Times New Roman"/>
                <w:sz w:val="20"/>
                <w:szCs w:val="20"/>
              </w:rPr>
            </w:pPr>
            <w:r w:rsidRPr="00C151CD">
              <w:rPr>
                <w:rFonts w:cs="Times New Roman"/>
                <w:sz w:val="20"/>
                <w:szCs w:val="20"/>
              </w:rPr>
              <w:t>55.4</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-1.74</w:t>
            </w:r>
          </w:p>
        </w:tc>
        <w:tc>
          <w:tcPr>
            <w:tcW w:w="619" w:type="pct"/>
            <w:vAlign w:val="bottom"/>
          </w:tcPr>
          <w:p w:rsidR="00A356FA" w:rsidRPr="00C151CD" w:rsidRDefault="00A356FA" w:rsidP="00C151CD">
            <w:pPr>
              <w:spacing w:after="0"/>
              <w:rPr>
                <w:rFonts w:cs="Times New Roman"/>
                <w:sz w:val="20"/>
                <w:szCs w:val="20"/>
              </w:rPr>
            </w:pPr>
            <w:r w:rsidRPr="00C151CD">
              <w:rPr>
                <w:rFonts w:cs="Times New Roman"/>
                <w:sz w:val="20"/>
                <w:szCs w:val="20"/>
              </w:rPr>
              <w:t>2.04</w:t>
            </w:r>
          </w:p>
        </w:tc>
      </w:tr>
      <w:tr w:rsidR="00A356FA" w:rsidRPr="00C151CD" w:rsidTr="00457820">
        <w:trPr>
          <w:trHeight w:val="20"/>
        </w:trPr>
        <w:tc>
          <w:tcPr>
            <w:tcW w:w="171"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6</w:t>
            </w:r>
          </w:p>
        </w:tc>
        <w:tc>
          <w:tcPr>
            <w:tcW w:w="91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Rivers and Estuary</w:t>
            </w:r>
          </w:p>
        </w:tc>
        <w:tc>
          <w:tcPr>
            <w:tcW w:w="65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43.7</w:t>
            </w:r>
          </w:p>
        </w:tc>
        <w:tc>
          <w:tcPr>
            <w:tcW w:w="738"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56.3</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36.6</w:t>
            </w:r>
          </w:p>
        </w:tc>
        <w:tc>
          <w:tcPr>
            <w:tcW w:w="632" w:type="pct"/>
            <w:vAlign w:val="bottom"/>
          </w:tcPr>
          <w:p w:rsidR="00A356FA" w:rsidRPr="00C151CD" w:rsidRDefault="00A356FA" w:rsidP="00C151CD">
            <w:pPr>
              <w:spacing w:after="0"/>
              <w:rPr>
                <w:rFonts w:cs="Times New Roman"/>
                <w:sz w:val="20"/>
                <w:szCs w:val="20"/>
              </w:rPr>
            </w:pPr>
            <w:r w:rsidRPr="00C151CD">
              <w:rPr>
                <w:rFonts w:cs="Times New Roman"/>
                <w:sz w:val="20"/>
                <w:szCs w:val="20"/>
              </w:rPr>
              <w:t>63.4</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-1.61</w:t>
            </w:r>
          </w:p>
        </w:tc>
        <w:tc>
          <w:tcPr>
            <w:tcW w:w="619" w:type="pct"/>
            <w:vAlign w:val="bottom"/>
          </w:tcPr>
          <w:p w:rsidR="00A356FA" w:rsidRPr="00C151CD" w:rsidRDefault="00A356FA" w:rsidP="00C151CD">
            <w:pPr>
              <w:spacing w:after="0"/>
              <w:rPr>
                <w:rFonts w:cs="Times New Roman"/>
                <w:sz w:val="20"/>
                <w:szCs w:val="20"/>
              </w:rPr>
            </w:pPr>
            <w:r w:rsidRPr="00C151CD">
              <w:rPr>
                <w:rFonts w:cs="Times New Roman"/>
                <w:sz w:val="20"/>
                <w:szCs w:val="20"/>
              </w:rPr>
              <w:t>1.25</w:t>
            </w:r>
          </w:p>
        </w:tc>
      </w:tr>
      <w:tr w:rsidR="00A356FA" w:rsidRPr="00C151CD" w:rsidTr="00457820">
        <w:trPr>
          <w:trHeight w:val="20"/>
        </w:trPr>
        <w:tc>
          <w:tcPr>
            <w:tcW w:w="171"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7</w:t>
            </w:r>
          </w:p>
        </w:tc>
        <w:tc>
          <w:tcPr>
            <w:tcW w:w="919" w:type="pct"/>
            <w:shd w:val="clear" w:color="auto" w:fill="auto"/>
            <w:noWrap/>
            <w:vAlign w:val="bottom"/>
            <w:hideMark/>
          </w:tcPr>
          <w:p w:rsidR="00A356FA" w:rsidRPr="00C151CD" w:rsidRDefault="006267ED" w:rsidP="00C151CD">
            <w:pPr>
              <w:spacing w:after="0"/>
              <w:rPr>
                <w:rFonts w:cs="Times New Roman"/>
                <w:sz w:val="20"/>
                <w:szCs w:val="20"/>
              </w:rPr>
            </w:pPr>
            <w:r>
              <w:rPr>
                <w:rFonts w:cs="Times New Roman"/>
                <w:sz w:val="20"/>
                <w:szCs w:val="20"/>
              </w:rPr>
              <w:t>Safe Region</w:t>
            </w:r>
          </w:p>
        </w:tc>
        <w:tc>
          <w:tcPr>
            <w:tcW w:w="659"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49.4</w:t>
            </w:r>
          </w:p>
        </w:tc>
        <w:tc>
          <w:tcPr>
            <w:tcW w:w="738" w:type="pct"/>
            <w:shd w:val="clear" w:color="auto" w:fill="auto"/>
            <w:noWrap/>
            <w:vAlign w:val="bottom"/>
            <w:hideMark/>
          </w:tcPr>
          <w:p w:rsidR="00A356FA" w:rsidRPr="00C151CD" w:rsidRDefault="00A356FA" w:rsidP="00C151CD">
            <w:pPr>
              <w:spacing w:after="0"/>
              <w:rPr>
                <w:rFonts w:cs="Times New Roman"/>
                <w:sz w:val="20"/>
                <w:szCs w:val="20"/>
              </w:rPr>
            </w:pPr>
            <w:r w:rsidRPr="00C151CD">
              <w:rPr>
                <w:rFonts w:cs="Times New Roman"/>
                <w:sz w:val="20"/>
                <w:szCs w:val="20"/>
              </w:rPr>
              <w:t>50.6</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36.5</w:t>
            </w:r>
          </w:p>
        </w:tc>
        <w:tc>
          <w:tcPr>
            <w:tcW w:w="632" w:type="pct"/>
            <w:vAlign w:val="bottom"/>
          </w:tcPr>
          <w:p w:rsidR="00A356FA" w:rsidRPr="00C151CD" w:rsidRDefault="00A356FA" w:rsidP="00C151CD">
            <w:pPr>
              <w:spacing w:after="0"/>
              <w:rPr>
                <w:rFonts w:cs="Times New Roman"/>
                <w:sz w:val="20"/>
                <w:szCs w:val="20"/>
              </w:rPr>
            </w:pPr>
            <w:r w:rsidRPr="00C151CD">
              <w:rPr>
                <w:rFonts w:cs="Times New Roman"/>
                <w:sz w:val="20"/>
                <w:szCs w:val="20"/>
              </w:rPr>
              <w:t>63.5</w:t>
            </w:r>
          </w:p>
        </w:tc>
        <w:tc>
          <w:tcPr>
            <w:tcW w:w="631" w:type="pct"/>
            <w:vAlign w:val="bottom"/>
          </w:tcPr>
          <w:p w:rsidR="00A356FA" w:rsidRPr="00C151CD" w:rsidRDefault="00A356FA" w:rsidP="00C151CD">
            <w:pPr>
              <w:spacing w:after="0"/>
              <w:rPr>
                <w:rFonts w:cs="Times New Roman"/>
                <w:sz w:val="20"/>
                <w:szCs w:val="20"/>
              </w:rPr>
            </w:pPr>
            <w:r w:rsidRPr="00C151CD">
              <w:rPr>
                <w:rFonts w:cs="Times New Roman"/>
                <w:sz w:val="20"/>
                <w:szCs w:val="20"/>
              </w:rPr>
              <w:t>-2.61</w:t>
            </w:r>
          </w:p>
        </w:tc>
        <w:tc>
          <w:tcPr>
            <w:tcW w:w="619" w:type="pct"/>
            <w:vAlign w:val="bottom"/>
          </w:tcPr>
          <w:p w:rsidR="00A356FA" w:rsidRPr="00C151CD" w:rsidRDefault="00A356FA" w:rsidP="00C151CD">
            <w:pPr>
              <w:spacing w:after="0"/>
              <w:rPr>
                <w:rFonts w:cs="Times New Roman"/>
                <w:sz w:val="20"/>
                <w:szCs w:val="20"/>
              </w:rPr>
            </w:pPr>
            <w:r w:rsidRPr="00C151CD">
              <w:rPr>
                <w:rFonts w:cs="Times New Roman"/>
                <w:sz w:val="20"/>
                <w:szCs w:val="20"/>
              </w:rPr>
              <w:t>2.54</w:t>
            </w:r>
          </w:p>
        </w:tc>
      </w:tr>
      <w:tr w:rsidR="00A356FA" w:rsidRPr="00C151CD" w:rsidTr="00457820">
        <w:trPr>
          <w:trHeight w:val="20"/>
        </w:trPr>
        <w:tc>
          <w:tcPr>
            <w:tcW w:w="171" w:type="pct"/>
            <w:shd w:val="clear" w:color="auto" w:fill="auto"/>
            <w:noWrap/>
            <w:vAlign w:val="bottom"/>
            <w:hideMark/>
          </w:tcPr>
          <w:p w:rsidR="00A356FA" w:rsidRPr="00C151CD" w:rsidRDefault="00A356FA" w:rsidP="00C151CD">
            <w:pPr>
              <w:spacing w:after="0"/>
              <w:rPr>
                <w:rFonts w:cs="Times New Roman"/>
                <w:b/>
                <w:sz w:val="20"/>
                <w:szCs w:val="20"/>
              </w:rPr>
            </w:pPr>
            <w:r w:rsidRPr="00C151CD">
              <w:rPr>
                <w:rFonts w:cs="Times New Roman"/>
                <w:b/>
                <w:sz w:val="20"/>
                <w:szCs w:val="20"/>
              </w:rPr>
              <w:t>8</w:t>
            </w:r>
          </w:p>
        </w:tc>
        <w:tc>
          <w:tcPr>
            <w:tcW w:w="919" w:type="pct"/>
            <w:shd w:val="clear" w:color="auto" w:fill="auto"/>
            <w:noWrap/>
            <w:vAlign w:val="bottom"/>
            <w:hideMark/>
          </w:tcPr>
          <w:p w:rsidR="00A356FA" w:rsidRPr="00C151CD" w:rsidRDefault="00A356FA" w:rsidP="00C151CD">
            <w:pPr>
              <w:spacing w:after="0"/>
              <w:rPr>
                <w:rFonts w:cs="Times New Roman"/>
                <w:b/>
                <w:sz w:val="20"/>
                <w:szCs w:val="20"/>
              </w:rPr>
            </w:pPr>
            <w:r w:rsidRPr="00C151CD">
              <w:rPr>
                <w:rFonts w:cs="Times New Roman"/>
                <w:b/>
                <w:sz w:val="20"/>
                <w:szCs w:val="20"/>
              </w:rPr>
              <w:t>Bangladesh</w:t>
            </w:r>
          </w:p>
        </w:tc>
        <w:tc>
          <w:tcPr>
            <w:tcW w:w="659" w:type="pct"/>
            <w:shd w:val="clear" w:color="auto" w:fill="auto"/>
            <w:noWrap/>
            <w:vAlign w:val="bottom"/>
            <w:hideMark/>
          </w:tcPr>
          <w:p w:rsidR="00A356FA" w:rsidRPr="00C151CD" w:rsidRDefault="00A356FA" w:rsidP="00C151CD">
            <w:pPr>
              <w:spacing w:after="0"/>
              <w:rPr>
                <w:rFonts w:cs="Times New Roman"/>
                <w:b/>
                <w:sz w:val="20"/>
                <w:szCs w:val="20"/>
              </w:rPr>
            </w:pPr>
            <w:r w:rsidRPr="00C151CD">
              <w:rPr>
                <w:rFonts w:cs="Times New Roman"/>
                <w:b/>
                <w:sz w:val="20"/>
                <w:szCs w:val="20"/>
              </w:rPr>
              <w:t>43.5</w:t>
            </w:r>
          </w:p>
        </w:tc>
        <w:tc>
          <w:tcPr>
            <w:tcW w:w="738" w:type="pct"/>
            <w:shd w:val="clear" w:color="auto" w:fill="auto"/>
            <w:noWrap/>
            <w:vAlign w:val="bottom"/>
            <w:hideMark/>
          </w:tcPr>
          <w:p w:rsidR="00A356FA" w:rsidRPr="00C151CD" w:rsidRDefault="00A356FA" w:rsidP="00C151CD">
            <w:pPr>
              <w:spacing w:after="0"/>
              <w:rPr>
                <w:rFonts w:cs="Times New Roman"/>
                <w:b/>
                <w:sz w:val="20"/>
                <w:szCs w:val="20"/>
              </w:rPr>
            </w:pPr>
            <w:r w:rsidRPr="00C151CD">
              <w:rPr>
                <w:rFonts w:cs="Times New Roman"/>
                <w:b/>
                <w:sz w:val="20"/>
                <w:szCs w:val="20"/>
              </w:rPr>
              <w:t>56.5</w:t>
            </w:r>
          </w:p>
        </w:tc>
        <w:tc>
          <w:tcPr>
            <w:tcW w:w="631" w:type="pct"/>
            <w:vAlign w:val="bottom"/>
          </w:tcPr>
          <w:p w:rsidR="00A356FA" w:rsidRPr="00C151CD" w:rsidRDefault="00A356FA" w:rsidP="00C151CD">
            <w:pPr>
              <w:spacing w:after="0"/>
              <w:rPr>
                <w:rFonts w:cs="Times New Roman"/>
                <w:b/>
                <w:sz w:val="20"/>
                <w:szCs w:val="20"/>
              </w:rPr>
            </w:pPr>
            <w:r w:rsidRPr="00C151CD">
              <w:rPr>
                <w:rFonts w:cs="Times New Roman"/>
                <w:b/>
                <w:sz w:val="20"/>
                <w:szCs w:val="20"/>
              </w:rPr>
              <w:t>36.2</w:t>
            </w:r>
          </w:p>
        </w:tc>
        <w:tc>
          <w:tcPr>
            <w:tcW w:w="632" w:type="pct"/>
            <w:vAlign w:val="bottom"/>
          </w:tcPr>
          <w:p w:rsidR="00A356FA" w:rsidRPr="00C151CD" w:rsidRDefault="00A356FA" w:rsidP="00C151CD">
            <w:pPr>
              <w:spacing w:after="0"/>
              <w:rPr>
                <w:rFonts w:cs="Times New Roman"/>
                <w:b/>
                <w:sz w:val="20"/>
                <w:szCs w:val="20"/>
              </w:rPr>
            </w:pPr>
            <w:r w:rsidRPr="00C151CD">
              <w:rPr>
                <w:rFonts w:cs="Times New Roman"/>
                <w:b/>
                <w:sz w:val="20"/>
                <w:szCs w:val="20"/>
              </w:rPr>
              <w:t>63.8</w:t>
            </w:r>
          </w:p>
        </w:tc>
        <w:tc>
          <w:tcPr>
            <w:tcW w:w="631" w:type="pct"/>
            <w:vAlign w:val="bottom"/>
          </w:tcPr>
          <w:p w:rsidR="00A356FA" w:rsidRPr="00C151CD" w:rsidRDefault="00A356FA" w:rsidP="00C151CD">
            <w:pPr>
              <w:spacing w:after="0"/>
              <w:rPr>
                <w:rFonts w:cs="Times New Roman"/>
                <w:b/>
                <w:sz w:val="20"/>
                <w:szCs w:val="20"/>
              </w:rPr>
            </w:pPr>
            <w:r w:rsidRPr="00C151CD">
              <w:rPr>
                <w:rFonts w:cs="Times New Roman"/>
                <w:b/>
                <w:sz w:val="20"/>
                <w:szCs w:val="20"/>
              </w:rPr>
              <w:t>-1.67</w:t>
            </w:r>
          </w:p>
        </w:tc>
        <w:tc>
          <w:tcPr>
            <w:tcW w:w="619" w:type="pct"/>
            <w:vAlign w:val="bottom"/>
          </w:tcPr>
          <w:p w:rsidR="00A356FA" w:rsidRPr="00C151CD" w:rsidRDefault="00A356FA" w:rsidP="00C151CD">
            <w:pPr>
              <w:spacing w:after="0"/>
              <w:rPr>
                <w:rFonts w:cs="Times New Roman"/>
                <w:b/>
                <w:sz w:val="20"/>
                <w:szCs w:val="20"/>
              </w:rPr>
            </w:pPr>
            <w:r w:rsidRPr="00C151CD">
              <w:rPr>
                <w:rFonts w:cs="Times New Roman"/>
                <w:b/>
                <w:sz w:val="20"/>
                <w:szCs w:val="20"/>
              </w:rPr>
              <w:t>1.28</w:t>
            </w:r>
          </w:p>
        </w:tc>
      </w:tr>
    </w:tbl>
    <w:p w:rsidR="00A356FA" w:rsidRPr="00C151CD" w:rsidRDefault="00A356FA" w:rsidP="00FD298B">
      <w:pPr>
        <w:spacing w:before="120" w:line="276" w:lineRule="auto"/>
        <w:rPr>
          <w:rFonts w:cs="Times New Roman"/>
          <w:b/>
          <w:i/>
          <w:sz w:val="20"/>
          <w:szCs w:val="24"/>
        </w:rPr>
      </w:pPr>
      <w:r w:rsidRPr="00C151CD">
        <w:rPr>
          <w:rFonts w:cs="Times New Roman"/>
          <w:b/>
          <w:i/>
          <w:sz w:val="20"/>
          <w:szCs w:val="24"/>
        </w:rPr>
        <w:t xml:space="preserve">Source: </w:t>
      </w:r>
      <w:r w:rsidR="00FA2FD3">
        <w:rPr>
          <w:rFonts w:cs="Times New Roman"/>
          <w:b/>
          <w:i/>
          <w:sz w:val="20"/>
          <w:szCs w:val="24"/>
        </w:rPr>
        <w:t>GED</w:t>
      </w:r>
      <w:r w:rsidR="00612DB4">
        <w:rPr>
          <w:rFonts w:cs="Times New Roman"/>
          <w:b/>
          <w:i/>
          <w:sz w:val="20"/>
          <w:szCs w:val="24"/>
        </w:rPr>
        <w:t xml:space="preserve"> e</w:t>
      </w:r>
      <w:r w:rsidRPr="00C151CD">
        <w:rPr>
          <w:rFonts w:cs="Times New Roman"/>
          <w:b/>
          <w:i/>
          <w:sz w:val="20"/>
          <w:szCs w:val="24"/>
        </w:rPr>
        <w:t>stimate</w:t>
      </w:r>
      <w:r w:rsidR="00612DB4">
        <w:rPr>
          <w:rFonts w:cs="Times New Roman"/>
          <w:b/>
          <w:i/>
          <w:sz w:val="20"/>
          <w:szCs w:val="24"/>
        </w:rPr>
        <w:t>s</w:t>
      </w:r>
      <w:r w:rsidRPr="00C151CD">
        <w:rPr>
          <w:rFonts w:cs="Times New Roman"/>
          <w:b/>
          <w:i/>
          <w:sz w:val="20"/>
          <w:szCs w:val="24"/>
        </w:rPr>
        <w:t xml:space="preserve"> based on HIES 2000 and 2010</w:t>
      </w:r>
    </w:p>
    <w:p w:rsidR="00A356FA" w:rsidRPr="00C151CD" w:rsidRDefault="00A356FA" w:rsidP="00C151CD">
      <w:pPr>
        <w:spacing w:line="276" w:lineRule="auto"/>
        <w:jc w:val="both"/>
        <w:rPr>
          <w:rFonts w:cs="Times New Roman"/>
          <w:szCs w:val="24"/>
        </w:rPr>
      </w:pPr>
      <w:r w:rsidRPr="00C151CD">
        <w:rPr>
          <w:rFonts w:cs="Times New Roman"/>
          <w:szCs w:val="24"/>
        </w:rPr>
        <w:t xml:space="preserve">There are some important differences in occupation sources by hotspots.  The urban areas have the most diversified occupation sources with low reliance on agriculture. This is also true of CHT.  But there are two major differences. First, urban areas have substantial manufacturing activities, especially the dynamic ready-made garments (RMG) sector.  In contrast, the CHT hardly has any organized manufacturing.  So, the bulk of non-agricultural activities in CHT are informal services.  Secondly, while the dependence of urban areas on agriculture has fallen, it has increased in CHT.    </w:t>
      </w:r>
      <w:r w:rsidRPr="004B0A08">
        <w:rPr>
          <w:rFonts w:cs="Times New Roman"/>
          <w:i/>
          <w:szCs w:val="24"/>
        </w:rPr>
        <w:t xml:space="preserve">Unlike in other parts of Bangladesh, in CHT there has been a reversal in the pattern of </w:t>
      </w:r>
      <w:r w:rsidR="00C151CD" w:rsidRPr="004B0A08">
        <w:rPr>
          <w:rFonts w:cs="Times New Roman"/>
          <w:i/>
          <w:szCs w:val="24"/>
        </w:rPr>
        <w:t>occupation with</w:t>
      </w:r>
      <w:r w:rsidRPr="004B0A08">
        <w:rPr>
          <w:rFonts w:cs="Times New Roman"/>
          <w:i/>
          <w:szCs w:val="24"/>
        </w:rPr>
        <w:t xml:space="preserve"> people moving away from informal services to agriculture.</w:t>
      </w:r>
      <w:r w:rsidRPr="00C151CD">
        <w:rPr>
          <w:rFonts w:cs="Times New Roman"/>
          <w:szCs w:val="24"/>
        </w:rPr>
        <w:t xml:space="preserve"> </w:t>
      </w:r>
    </w:p>
    <w:p w:rsidR="00A356FA" w:rsidRPr="00C151CD" w:rsidRDefault="00A356FA" w:rsidP="00C151CD">
      <w:pPr>
        <w:spacing w:line="276" w:lineRule="auto"/>
        <w:jc w:val="both"/>
        <w:rPr>
          <w:rFonts w:cs="Times New Roman"/>
          <w:szCs w:val="24"/>
        </w:rPr>
      </w:pPr>
      <w:r w:rsidRPr="00C151CD">
        <w:rPr>
          <w:rFonts w:cs="Times New Roman"/>
          <w:szCs w:val="24"/>
        </w:rPr>
        <w:t xml:space="preserve">Regarding other hotspot areas, similarly to urban areas, the occupational reliance on agriculture has fallen in other hotspots as well. The progress has been stronger in the coastal belt compared to other hotspot areas.  However, much of the large scale manufacturing and organized services that offer the best paid jobs and self-employment prospects are concentrated in urban areas,    </w:t>
      </w:r>
    </w:p>
    <w:p w:rsidR="00A356FA" w:rsidRPr="004B0A08" w:rsidRDefault="00C151CD" w:rsidP="00C151CD">
      <w:pPr>
        <w:spacing w:line="276" w:lineRule="auto"/>
        <w:jc w:val="both"/>
        <w:rPr>
          <w:rFonts w:cs="Times New Roman"/>
          <w:i/>
          <w:szCs w:val="24"/>
        </w:rPr>
      </w:pPr>
      <w:r>
        <w:rPr>
          <w:rFonts w:cs="Times New Roman"/>
          <w:b/>
          <w:szCs w:val="24"/>
        </w:rPr>
        <w:t>Income</w:t>
      </w:r>
      <w:r w:rsidR="00A356FA" w:rsidRPr="00C151CD">
        <w:rPr>
          <w:rFonts w:cs="Times New Roman"/>
          <w:b/>
          <w:szCs w:val="24"/>
        </w:rPr>
        <w:t>:</w:t>
      </w:r>
      <w:r w:rsidR="00A356FA" w:rsidRPr="00C151CD">
        <w:rPr>
          <w:rFonts w:cs="Times New Roman"/>
          <w:szCs w:val="24"/>
        </w:rPr>
        <w:t xml:space="preserve"> Trends in per capita </w:t>
      </w:r>
      <w:r w:rsidRPr="00C151CD">
        <w:rPr>
          <w:rFonts w:cs="Times New Roman"/>
          <w:szCs w:val="24"/>
        </w:rPr>
        <w:t>income are</w:t>
      </w:r>
      <w:r w:rsidR="00A356FA" w:rsidRPr="00C151CD">
        <w:rPr>
          <w:rFonts w:cs="Times New Roman"/>
          <w:szCs w:val="24"/>
        </w:rPr>
        <w:t xml:space="preserve"> shown in </w:t>
      </w:r>
      <w:r w:rsidR="004F7097">
        <w:rPr>
          <w:rFonts w:cs="Times New Roman"/>
          <w:szCs w:val="24"/>
        </w:rPr>
        <w:t xml:space="preserve">Table </w:t>
      </w:r>
      <w:r w:rsidR="00A356FA" w:rsidRPr="00C151CD">
        <w:rPr>
          <w:rFonts w:cs="Times New Roman"/>
          <w:szCs w:val="24"/>
        </w:rPr>
        <w:t xml:space="preserve">2.8. </w:t>
      </w:r>
      <w:r w:rsidR="00A356FA" w:rsidRPr="004B0A08">
        <w:rPr>
          <w:rFonts w:cs="Times New Roman"/>
          <w:i/>
          <w:szCs w:val="24"/>
        </w:rPr>
        <w:t>According to HIES data, per capita income has increased by 2.7 times between 2000 and 2010 due to expansion of economic activities and reduced population growth, which amounts to an annual average growth of 10.5% in nominal terms.</w:t>
      </w:r>
      <w:r w:rsidR="00A356FA" w:rsidRPr="00C151CD">
        <w:rPr>
          <w:rFonts w:cs="Times New Roman"/>
          <w:szCs w:val="24"/>
        </w:rPr>
        <w:t xml:space="preserve"> Allowing for the annual </w:t>
      </w:r>
      <w:r w:rsidRPr="00C151CD">
        <w:rPr>
          <w:rFonts w:cs="Times New Roman"/>
          <w:szCs w:val="24"/>
        </w:rPr>
        <w:t>inflation rate</w:t>
      </w:r>
      <w:r w:rsidR="00A356FA" w:rsidRPr="00C151CD">
        <w:rPr>
          <w:rFonts w:cs="Times New Roman"/>
          <w:szCs w:val="24"/>
        </w:rPr>
        <w:t xml:space="preserve"> of 7.5</w:t>
      </w:r>
      <w:r w:rsidRPr="00C151CD">
        <w:rPr>
          <w:rFonts w:cs="Times New Roman"/>
          <w:szCs w:val="24"/>
        </w:rPr>
        <w:t>% per</w:t>
      </w:r>
      <w:r w:rsidR="00A356FA" w:rsidRPr="00C151CD">
        <w:rPr>
          <w:rFonts w:cs="Times New Roman"/>
          <w:szCs w:val="24"/>
        </w:rPr>
        <w:t xml:space="preserve"> year, average per capita real incomes grew by 3% per year in Bangladesh. </w:t>
      </w:r>
      <w:r w:rsidR="00A356FA" w:rsidRPr="004B0A08">
        <w:rPr>
          <w:rFonts w:cs="Times New Roman"/>
          <w:i/>
          <w:szCs w:val="24"/>
        </w:rPr>
        <w:t xml:space="preserve">This is a major factor for the reduction in poverty </w:t>
      </w:r>
      <w:r w:rsidR="00A356FA" w:rsidRPr="004B0A08">
        <w:rPr>
          <w:rFonts w:cs="Times New Roman"/>
          <w:i/>
          <w:szCs w:val="24"/>
        </w:rPr>
        <w:lastRenderedPageBreak/>
        <w:t>levels over this period.</w:t>
      </w:r>
      <w:r w:rsidR="00A356FA" w:rsidRPr="00C151CD">
        <w:rPr>
          <w:rFonts w:cs="Times New Roman"/>
          <w:szCs w:val="24"/>
        </w:rPr>
        <w:t xml:space="preserve"> </w:t>
      </w:r>
      <w:r w:rsidR="00A356FA" w:rsidRPr="004B0A08">
        <w:rPr>
          <w:rFonts w:cs="Times New Roman"/>
          <w:i/>
          <w:szCs w:val="24"/>
        </w:rPr>
        <w:t xml:space="preserve">Except for the CHT and the </w:t>
      </w:r>
      <w:r w:rsidRPr="004B0A08">
        <w:rPr>
          <w:rFonts w:cs="Times New Roman"/>
          <w:i/>
          <w:szCs w:val="24"/>
        </w:rPr>
        <w:t>haor region</w:t>
      </w:r>
      <w:r w:rsidR="00A356FA" w:rsidRPr="004B0A08">
        <w:rPr>
          <w:rFonts w:cs="Times New Roman"/>
          <w:i/>
          <w:szCs w:val="24"/>
        </w:rPr>
        <w:t xml:space="preserve">, average real income grew substantially in all delta </w:t>
      </w:r>
      <w:r w:rsidR="004327D4" w:rsidRPr="004B0A08">
        <w:rPr>
          <w:rFonts w:cs="Times New Roman"/>
          <w:i/>
          <w:szCs w:val="24"/>
        </w:rPr>
        <w:t xml:space="preserve">hotspots and also in the safe </w:t>
      </w:r>
      <w:r w:rsidR="00A356FA" w:rsidRPr="004B0A08">
        <w:rPr>
          <w:rFonts w:cs="Times New Roman"/>
          <w:i/>
          <w:szCs w:val="24"/>
        </w:rPr>
        <w:t>areas.</w:t>
      </w:r>
      <w:r w:rsidR="00A356FA" w:rsidRPr="00C151CD">
        <w:rPr>
          <w:rFonts w:cs="Times New Roman"/>
          <w:szCs w:val="24"/>
        </w:rPr>
        <w:t xml:space="preserve">  </w:t>
      </w:r>
      <w:r w:rsidR="00A356FA" w:rsidRPr="004B0A08">
        <w:rPr>
          <w:rFonts w:cs="Times New Roman"/>
          <w:i/>
          <w:szCs w:val="24"/>
        </w:rPr>
        <w:t>Importantly, the drought-prone region experienced the fastest growth in average real per capita incomes, which explains the fastest r</w:t>
      </w:r>
      <w:r w:rsidR="004327D4" w:rsidRPr="004B0A08">
        <w:rPr>
          <w:rFonts w:cs="Times New Roman"/>
          <w:i/>
          <w:szCs w:val="24"/>
        </w:rPr>
        <w:t>eduction in poverty in this region</w:t>
      </w:r>
      <w:r w:rsidR="00A356FA" w:rsidRPr="004B0A08">
        <w:rPr>
          <w:rFonts w:cs="Times New Roman"/>
          <w:i/>
          <w:szCs w:val="24"/>
        </w:rPr>
        <w:t xml:space="preserve">. </w:t>
      </w:r>
    </w:p>
    <w:p w:rsidR="00A356FA" w:rsidRPr="00EC079B" w:rsidRDefault="00A356FA" w:rsidP="00944687">
      <w:pPr>
        <w:pStyle w:val="Heading4"/>
      </w:pPr>
      <w:bookmarkStart w:id="150" w:name="_Ref449903411"/>
      <w:bookmarkStart w:id="151" w:name="_Toc450078598"/>
      <w:bookmarkStart w:id="152" w:name="_Toc474639004"/>
      <w:r w:rsidRPr="00EC079B">
        <w:t>Table 2</w:t>
      </w:r>
      <w:bookmarkEnd w:id="150"/>
      <w:r w:rsidRPr="00EC079B">
        <w:t>.8: Per Capita Income Pattern</w:t>
      </w:r>
      <w:bookmarkEnd w:id="151"/>
      <w:r w:rsidRPr="00EC079B">
        <w:t xml:space="preserve"> (Taka current prices)</w:t>
      </w:r>
      <w:bookmarkEnd w:id="1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6"/>
        <w:gridCol w:w="2536"/>
        <w:gridCol w:w="1600"/>
        <w:gridCol w:w="1530"/>
        <w:gridCol w:w="1664"/>
        <w:gridCol w:w="1940"/>
      </w:tblGrid>
      <w:tr w:rsidR="00A356FA" w:rsidRPr="00EC079B" w:rsidTr="004154EB">
        <w:trPr>
          <w:trHeight w:hRule="exact" w:val="576"/>
          <w:tblHeader/>
        </w:trPr>
        <w:tc>
          <w:tcPr>
            <w:tcW w:w="164" w:type="pct"/>
            <w:shd w:val="clear" w:color="auto" w:fill="D9D9D9" w:themeFill="background1" w:themeFillShade="D9"/>
            <w:vAlign w:val="center"/>
          </w:tcPr>
          <w:p w:rsidR="00A356FA" w:rsidRPr="00EC079B" w:rsidRDefault="00A356FA" w:rsidP="004154EB">
            <w:pPr>
              <w:spacing w:after="0"/>
              <w:jc w:val="center"/>
              <w:rPr>
                <w:rFonts w:eastAsia="Times New Roman" w:cs="Times New Roman"/>
                <w:color w:val="000000"/>
                <w:sz w:val="16"/>
                <w:szCs w:val="16"/>
              </w:rPr>
            </w:pPr>
          </w:p>
        </w:tc>
        <w:tc>
          <w:tcPr>
            <w:tcW w:w="1253" w:type="pct"/>
            <w:shd w:val="clear" w:color="auto" w:fill="D9D9D9" w:themeFill="background1" w:themeFillShade="D9"/>
            <w:noWrap/>
            <w:vAlign w:val="center"/>
            <w:hideMark/>
          </w:tcPr>
          <w:p w:rsidR="00A356FA" w:rsidRPr="004327D4" w:rsidRDefault="00A356FA" w:rsidP="004154EB">
            <w:pPr>
              <w:spacing w:after="0"/>
              <w:jc w:val="center"/>
              <w:rPr>
                <w:rFonts w:eastAsia="Times New Roman" w:cs="Times New Roman"/>
                <w:color w:val="000000"/>
                <w:sz w:val="22"/>
              </w:rPr>
            </w:pPr>
            <w:r w:rsidRPr="004327D4">
              <w:rPr>
                <w:rFonts w:eastAsia="Times New Roman" w:cs="Times New Roman"/>
                <w:b/>
                <w:bCs/>
                <w:color w:val="000000"/>
                <w:sz w:val="22"/>
              </w:rPr>
              <w:t>Regions/Areas</w:t>
            </w:r>
          </w:p>
        </w:tc>
        <w:tc>
          <w:tcPr>
            <w:tcW w:w="860" w:type="pct"/>
            <w:shd w:val="clear" w:color="auto" w:fill="D9D9D9" w:themeFill="background1" w:themeFillShade="D9"/>
            <w:noWrap/>
            <w:vAlign w:val="center"/>
            <w:hideMark/>
          </w:tcPr>
          <w:p w:rsidR="00A356FA" w:rsidRPr="004327D4" w:rsidRDefault="00A356FA" w:rsidP="004154EB">
            <w:pPr>
              <w:spacing w:after="0"/>
              <w:jc w:val="center"/>
              <w:rPr>
                <w:rFonts w:eastAsia="Times New Roman" w:cs="Times New Roman"/>
                <w:b/>
                <w:bCs/>
                <w:color w:val="000000"/>
                <w:sz w:val="22"/>
              </w:rPr>
            </w:pPr>
            <w:r w:rsidRPr="004327D4">
              <w:rPr>
                <w:rFonts w:eastAsia="Times New Roman" w:cs="Times New Roman"/>
                <w:b/>
                <w:bCs/>
                <w:color w:val="000000"/>
                <w:sz w:val="22"/>
              </w:rPr>
              <w:t>2000 (HIES)</w:t>
            </w:r>
          </w:p>
        </w:tc>
        <w:tc>
          <w:tcPr>
            <w:tcW w:w="813" w:type="pct"/>
            <w:shd w:val="clear" w:color="auto" w:fill="D9D9D9" w:themeFill="background1" w:themeFillShade="D9"/>
            <w:noWrap/>
            <w:vAlign w:val="center"/>
            <w:hideMark/>
          </w:tcPr>
          <w:p w:rsidR="00A356FA" w:rsidRPr="004327D4" w:rsidRDefault="00A356FA" w:rsidP="004154EB">
            <w:pPr>
              <w:spacing w:after="0"/>
              <w:jc w:val="center"/>
              <w:rPr>
                <w:rFonts w:eastAsia="Times New Roman" w:cs="Times New Roman"/>
                <w:b/>
                <w:bCs/>
                <w:color w:val="000000"/>
                <w:sz w:val="22"/>
              </w:rPr>
            </w:pPr>
            <w:r w:rsidRPr="004327D4">
              <w:rPr>
                <w:rFonts w:eastAsia="Times New Roman" w:cs="Times New Roman"/>
                <w:b/>
                <w:bCs/>
                <w:color w:val="000000"/>
                <w:sz w:val="22"/>
              </w:rPr>
              <w:t>2010 (HIES)</w:t>
            </w:r>
          </w:p>
        </w:tc>
        <w:tc>
          <w:tcPr>
            <w:tcW w:w="883" w:type="pct"/>
            <w:shd w:val="clear" w:color="auto" w:fill="D9D9D9" w:themeFill="background1" w:themeFillShade="D9"/>
            <w:vAlign w:val="center"/>
          </w:tcPr>
          <w:p w:rsidR="00A356FA" w:rsidRPr="004327D4" w:rsidRDefault="00A356FA" w:rsidP="004154EB">
            <w:pPr>
              <w:spacing w:after="0"/>
              <w:jc w:val="center"/>
              <w:rPr>
                <w:rFonts w:eastAsia="Times New Roman" w:cs="Times New Roman"/>
                <w:b/>
                <w:bCs/>
                <w:color w:val="000000"/>
                <w:sz w:val="22"/>
              </w:rPr>
            </w:pPr>
            <w:r w:rsidRPr="004327D4">
              <w:rPr>
                <w:rFonts w:eastAsia="Times New Roman" w:cs="Times New Roman"/>
                <w:b/>
                <w:bCs/>
                <w:color w:val="000000"/>
                <w:sz w:val="22"/>
              </w:rPr>
              <w:t>Average Income growth (HIES) (%)</w:t>
            </w:r>
          </w:p>
        </w:tc>
        <w:tc>
          <w:tcPr>
            <w:tcW w:w="1027" w:type="pct"/>
            <w:shd w:val="clear" w:color="auto" w:fill="D9D9D9" w:themeFill="background1" w:themeFillShade="D9"/>
            <w:vAlign w:val="center"/>
          </w:tcPr>
          <w:p w:rsidR="00A356FA" w:rsidRPr="004327D4" w:rsidRDefault="00612DB4" w:rsidP="004154EB">
            <w:pPr>
              <w:spacing w:after="0"/>
              <w:jc w:val="center"/>
              <w:rPr>
                <w:rFonts w:eastAsia="Times New Roman" w:cs="Times New Roman"/>
                <w:b/>
                <w:bCs/>
                <w:color w:val="000000"/>
                <w:sz w:val="22"/>
              </w:rPr>
            </w:pPr>
            <w:r>
              <w:rPr>
                <w:rFonts w:eastAsia="Times New Roman" w:cs="Times New Roman"/>
                <w:b/>
                <w:bCs/>
                <w:color w:val="000000"/>
                <w:sz w:val="22"/>
              </w:rPr>
              <w:t>FY2011</w:t>
            </w:r>
            <w:r w:rsidR="00A356FA" w:rsidRPr="004327D4">
              <w:rPr>
                <w:rFonts w:eastAsia="Times New Roman" w:cs="Times New Roman"/>
                <w:b/>
                <w:bCs/>
                <w:color w:val="000000"/>
                <w:sz w:val="22"/>
              </w:rPr>
              <w:t>(National</w:t>
            </w:r>
            <w:r w:rsidR="00F4451D">
              <w:rPr>
                <w:rFonts w:eastAsia="Times New Roman" w:cs="Times New Roman"/>
                <w:b/>
                <w:bCs/>
                <w:color w:val="000000"/>
                <w:sz w:val="22"/>
              </w:rPr>
              <w:t>)</w:t>
            </w:r>
            <w:r w:rsidR="00A356FA" w:rsidRPr="004327D4">
              <w:rPr>
                <w:rFonts w:eastAsia="Times New Roman" w:cs="Times New Roman"/>
                <w:b/>
                <w:bCs/>
                <w:color w:val="000000"/>
                <w:sz w:val="22"/>
              </w:rPr>
              <w:t xml:space="preserve"> Accounts)</w:t>
            </w:r>
          </w:p>
        </w:tc>
      </w:tr>
      <w:tr w:rsidR="00A356FA" w:rsidRPr="00EC079B" w:rsidTr="00C151CD">
        <w:trPr>
          <w:trHeight w:val="20"/>
        </w:trPr>
        <w:tc>
          <w:tcPr>
            <w:tcW w:w="164" w:type="pct"/>
            <w:vAlign w:val="bottom"/>
          </w:tcPr>
          <w:p w:rsidR="00A356FA" w:rsidRPr="00EC079B" w:rsidRDefault="00A356FA" w:rsidP="004154EB">
            <w:pPr>
              <w:spacing w:after="0"/>
              <w:jc w:val="right"/>
              <w:rPr>
                <w:rFonts w:eastAsia="Times New Roman" w:cs="Times New Roman"/>
                <w:bCs/>
                <w:color w:val="000000"/>
                <w:sz w:val="18"/>
                <w:szCs w:val="18"/>
              </w:rPr>
            </w:pPr>
            <w:r w:rsidRPr="00EC079B">
              <w:rPr>
                <w:rFonts w:eastAsia="Times New Roman" w:cs="Times New Roman"/>
                <w:bCs/>
                <w:color w:val="000000"/>
                <w:sz w:val="18"/>
                <w:szCs w:val="18"/>
              </w:rPr>
              <w:t>1</w:t>
            </w:r>
          </w:p>
        </w:tc>
        <w:tc>
          <w:tcPr>
            <w:tcW w:w="1253" w:type="pct"/>
            <w:shd w:val="clear" w:color="auto" w:fill="auto"/>
            <w:noWrap/>
            <w:vAlign w:val="bottom"/>
            <w:hideMark/>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Haor Region</w:t>
            </w:r>
          </w:p>
        </w:tc>
        <w:tc>
          <w:tcPr>
            <w:tcW w:w="860"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12,971.5</w:t>
            </w:r>
          </w:p>
        </w:tc>
        <w:tc>
          <w:tcPr>
            <w:tcW w:w="813"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22,946.0</w:t>
            </w:r>
          </w:p>
        </w:tc>
        <w:tc>
          <w:tcPr>
            <w:tcW w:w="883"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5.9</w:t>
            </w:r>
          </w:p>
        </w:tc>
        <w:tc>
          <w:tcPr>
            <w:tcW w:w="1027"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23,148</w:t>
            </w:r>
          </w:p>
        </w:tc>
      </w:tr>
      <w:tr w:rsidR="00A356FA" w:rsidRPr="00EC079B" w:rsidTr="00C151CD">
        <w:trPr>
          <w:trHeight w:val="20"/>
        </w:trPr>
        <w:tc>
          <w:tcPr>
            <w:tcW w:w="164" w:type="pct"/>
            <w:vAlign w:val="bottom"/>
          </w:tcPr>
          <w:p w:rsidR="00A356FA" w:rsidRPr="00EC079B" w:rsidRDefault="00A356FA" w:rsidP="004154EB">
            <w:pPr>
              <w:spacing w:after="0"/>
              <w:jc w:val="right"/>
              <w:rPr>
                <w:rFonts w:eastAsia="Times New Roman" w:cs="Times New Roman"/>
                <w:bCs/>
                <w:color w:val="000000"/>
                <w:sz w:val="18"/>
                <w:szCs w:val="18"/>
              </w:rPr>
            </w:pPr>
            <w:r w:rsidRPr="00EC079B">
              <w:rPr>
                <w:rFonts w:eastAsia="Times New Roman" w:cs="Times New Roman"/>
                <w:bCs/>
                <w:color w:val="000000"/>
                <w:sz w:val="18"/>
                <w:szCs w:val="18"/>
              </w:rPr>
              <w:t>2</w:t>
            </w:r>
          </w:p>
        </w:tc>
        <w:tc>
          <w:tcPr>
            <w:tcW w:w="1253" w:type="pct"/>
            <w:shd w:val="clear" w:color="auto" w:fill="auto"/>
            <w:noWrap/>
            <w:vAlign w:val="bottom"/>
            <w:hideMark/>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Coastal Zone</w:t>
            </w:r>
          </w:p>
        </w:tc>
        <w:tc>
          <w:tcPr>
            <w:tcW w:w="860"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11,601.6</w:t>
            </w:r>
          </w:p>
        </w:tc>
        <w:tc>
          <w:tcPr>
            <w:tcW w:w="813"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30,186.2</w:t>
            </w:r>
          </w:p>
        </w:tc>
        <w:tc>
          <w:tcPr>
            <w:tcW w:w="883"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11.0</w:t>
            </w:r>
          </w:p>
        </w:tc>
        <w:tc>
          <w:tcPr>
            <w:tcW w:w="1027"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27,238</w:t>
            </w:r>
          </w:p>
        </w:tc>
      </w:tr>
      <w:tr w:rsidR="00A356FA" w:rsidRPr="00EC079B" w:rsidTr="00C151CD">
        <w:trPr>
          <w:trHeight w:val="20"/>
        </w:trPr>
        <w:tc>
          <w:tcPr>
            <w:tcW w:w="164" w:type="pct"/>
            <w:vAlign w:val="bottom"/>
          </w:tcPr>
          <w:p w:rsidR="00A356FA" w:rsidRPr="00EC079B" w:rsidRDefault="00A356FA" w:rsidP="004154EB">
            <w:pPr>
              <w:spacing w:after="0"/>
              <w:jc w:val="right"/>
              <w:rPr>
                <w:rFonts w:eastAsia="Times New Roman" w:cs="Times New Roman"/>
                <w:bCs/>
                <w:color w:val="000000"/>
                <w:sz w:val="18"/>
                <w:szCs w:val="18"/>
              </w:rPr>
            </w:pPr>
            <w:r w:rsidRPr="00EC079B">
              <w:rPr>
                <w:rFonts w:eastAsia="Times New Roman" w:cs="Times New Roman"/>
                <w:bCs/>
                <w:color w:val="000000"/>
                <w:sz w:val="18"/>
                <w:szCs w:val="18"/>
              </w:rPr>
              <w:t>3</w:t>
            </w:r>
          </w:p>
        </w:tc>
        <w:tc>
          <w:tcPr>
            <w:tcW w:w="1253" w:type="pct"/>
            <w:shd w:val="clear" w:color="auto" w:fill="auto"/>
            <w:noWrap/>
            <w:vAlign w:val="bottom"/>
            <w:hideMark/>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Chittagong Hill Tracts</w:t>
            </w:r>
          </w:p>
        </w:tc>
        <w:tc>
          <w:tcPr>
            <w:tcW w:w="860"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20,801.9</w:t>
            </w:r>
          </w:p>
        </w:tc>
        <w:tc>
          <w:tcPr>
            <w:tcW w:w="813"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28,754.3</w:t>
            </w:r>
          </w:p>
        </w:tc>
        <w:tc>
          <w:tcPr>
            <w:tcW w:w="883"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3.3</w:t>
            </w:r>
          </w:p>
        </w:tc>
        <w:tc>
          <w:tcPr>
            <w:tcW w:w="1027"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30,305</w:t>
            </w:r>
          </w:p>
        </w:tc>
      </w:tr>
      <w:tr w:rsidR="00A356FA" w:rsidRPr="00EC079B" w:rsidTr="00C151CD">
        <w:trPr>
          <w:trHeight w:val="20"/>
        </w:trPr>
        <w:tc>
          <w:tcPr>
            <w:tcW w:w="164" w:type="pct"/>
            <w:vAlign w:val="bottom"/>
          </w:tcPr>
          <w:p w:rsidR="00A356FA" w:rsidRPr="00EC079B" w:rsidRDefault="00A356FA" w:rsidP="004154EB">
            <w:pPr>
              <w:spacing w:after="0"/>
              <w:jc w:val="right"/>
              <w:rPr>
                <w:rFonts w:eastAsia="Times New Roman" w:cs="Times New Roman"/>
                <w:bCs/>
                <w:color w:val="000000"/>
                <w:sz w:val="18"/>
                <w:szCs w:val="18"/>
              </w:rPr>
            </w:pPr>
            <w:r w:rsidRPr="00EC079B">
              <w:rPr>
                <w:rFonts w:eastAsia="Times New Roman" w:cs="Times New Roman"/>
                <w:bCs/>
                <w:color w:val="000000"/>
                <w:sz w:val="18"/>
                <w:szCs w:val="18"/>
              </w:rPr>
              <w:t>4</w:t>
            </w:r>
          </w:p>
        </w:tc>
        <w:tc>
          <w:tcPr>
            <w:tcW w:w="1253" w:type="pct"/>
            <w:shd w:val="clear" w:color="auto" w:fill="auto"/>
            <w:noWrap/>
            <w:vAlign w:val="bottom"/>
            <w:hideMark/>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Urban Areas</w:t>
            </w:r>
          </w:p>
        </w:tc>
        <w:tc>
          <w:tcPr>
            <w:tcW w:w="860"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16,579.9</w:t>
            </w:r>
          </w:p>
        </w:tc>
        <w:tc>
          <w:tcPr>
            <w:tcW w:w="813"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53,822.3</w:t>
            </w:r>
          </w:p>
        </w:tc>
        <w:tc>
          <w:tcPr>
            <w:tcW w:w="883"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11.3</w:t>
            </w:r>
          </w:p>
        </w:tc>
        <w:tc>
          <w:tcPr>
            <w:tcW w:w="1027"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54,714</w:t>
            </w:r>
          </w:p>
        </w:tc>
      </w:tr>
      <w:tr w:rsidR="00A356FA" w:rsidRPr="00EC079B" w:rsidTr="00C151CD">
        <w:trPr>
          <w:trHeight w:val="20"/>
        </w:trPr>
        <w:tc>
          <w:tcPr>
            <w:tcW w:w="164" w:type="pct"/>
            <w:vAlign w:val="bottom"/>
          </w:tcPr>
          <w:p w:rsidR="00A356FA" w:rsidRPr="00EC079B" w:rsidRDefault="00A356FA" w:rsidP="004154EB">
            <w:pPr>
              <w:spacing w:after="0"/>
              <w:jc w:val="right"/>
              <w:rPr>
                <w:rFonts w:eastAsia="Times New Roman" w:cs="Times New Roman"/>
                <w:bCs/>
                <w:color w:val="000000"/>
                <w:sz w:val="18"/>
                <w:szCs w:val="18"/>
              </w:rPr>
            </w:pPr>
            <w:r w:rsidRPr="00EC079B">
              <w:rPr>
                <w:rFonts w:eastAsia="Times New Roman" w:cs="Times New Roman"/>
                <w:bCs/>
                <w:color w:val="000000"/>
                <w:sz w:val="18"/>
                <w:szCs w:val="18"/>
              </w:rPr>
              <w:t>5</w:t>
            </w:r>
          </w:p>
        </w:tc>
        <w:tc>
          <w:tcPr>
            <w:tcW w:w="1253" w:type="pct"/>
            <w:shd w:val="clear" w:color="auto" w:fill="auto"/>
            <w:noWrap/>
            <w:vAlign w:val="bottom"/>
            <w:hideMark/>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Drought Prone Area</w:t>
            </w:r>
          </w:p>
        </w:tc>
        <w:tc>
          <w:tcPr>
            <w:tcW w:w="860"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8,026.4</w:t>
            </w:r>
          </w:p>
        </w:tc>
        <w:tc>
          <w:tcPr>
            <w:tcW w:w="813"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31,305.1</w:t>
            </w:r>
          </w:p>
        </w:tc>
        <w:tc>
          <w:tcPr>
            <w:tcW w:w="883"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14.6</w:t>
            </w:r>
          </w:p>
        </w:tc>
        <w:tc>
          <w:tcPr>
            <w:tcW w:w="1027"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20,453</w:t>
            </w:r>
          </w:p>
        </w:tc>
      </w:tr>
      <w:tr w:rsidR="00A356FA" w:rsidRPr="00EC079B" w:rsidTr="00C151CD">
        <w:trPr>
          <w:trHeight w:val="20"/>
        </w:trPr>
        <w:tc>
          <w:tcPr>
            <w:tcW w:w="164" w:type="pct"/>
            <w:vAlign w:val="bottom"/>
          </w:tcPr>
          <w:p w:rsidR="00A356FA" w:rsidRPr="00EC079B" w:rsidRDefault="00A356FA" w:rsidP="004154EB">
            <w:pPr>
              <w:spacing w:after="0"/>
              <w:jc w:val="right"/>
              <w:rPr>
                <w:rFonts w:eastAsia="Times New Roman" w:cs="Times New Roman"/>
                <w:bCs/>
                <w:color w:val="000000"/>
                <w:sz w:val="18"/>
                <w:szCs w:val="18"/>
              </w:rPr>
            </w:pPr>
            <w:r w:rsidRPr="00EC079B">
              <w:rPr>
                <w:rFonts w:eastAsia="Times New Roman" w:cs="Times New Roman"/>
                <w:bCs/>
                <w:color w:val="000000"/>
                <w:sz w:val="18"/>
                <w:szCs w:val="18"/>
              </w:rPr>
              <w:t>6</w:t>
            </w:r>
          </w:p>
        </w:tc>
        <w:tc>
          <w:tcPr>
            <w:tcW w:w="1253" w:type="pct"/>
            <w:shd w:val="clear" w:color="auto" w:fill="auto"/>
            <w:noWrap/>
            <w:vAlign w:val="bottom"/>
            <w:hideMark/>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Rivers and Estuary</w:t>
            </w:r>
          </w:p>
        </w:tc>
        <w:tc>
          <w:tcPr>
            <w:tcW w:w="860"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12,400.4</w:t>
            </w:r>
          </w:p>
        </w:tc>
        <w:tc>
          <w:tcPr>
            <w:tcW w:w="813"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38,383.8</w:t>
            </w:r>
          </w:p>
        </w:tc>
        <w:tc>
          <w:tcPr>
            <w:tcW w:w="883"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12.0</w:t>
            </w:r>
          </w:p>
        </w:tc>
        <w:tc>
          <w:tcPr>
            <w:tcW w:w="1027"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22,582</w:t>
            </w:r>
          </w:p>
        </w:tc>
      </w:tr>
      <w:tr w:rsidR="00A356FA" w:rsidRPr="00EC079B" w:rsidTr="00C151CD">
        <w:trPr>
          <w:trHeight w:val="20"/>
        </w:trPr>
        <w:tc>
          <w:tcPr>
            <w:tcW w:w="164" w:type="pct"/>
            <w:vAlign w:val="bottom"/>
          </w:tcPr>
          <w:p w:rsidR="00A356FA" w:rsidRPr="00EC079B" w:rsidRDefault="00A356FA" w:rsidP="004154EB">
            <w:pPr>
              <w:spacing w:after="0"/>
              <w:jc w:val="right"/>
              <w:rPr>
                <w:rFonts w:eastAsia="Times New Roman" w:cs="Times New Roman"/>
                <w:bCs/>
                <w:color w:val="000000"/>
                <w:sz w:val="18"/>
                <w:szCs w:val="18"/>
              </w:rPr>
            </w:pPr>
            <w:r w:rsidRPr="00EC079B">
              <w:rPr>
                <w:rFonts w:eastAsia="Times New Roman" w:cs="Times New Roman"/>
                <w:bCs/>
                <w:color w:val="000000"/>
                <w:sz w:val="18"/>
                <w:szCs w:val="18"/>
              </w:rPr>
              <w:t>7</w:t>
            </w:r>
          </w:p>
        </w:tc>
        <w:tc>
          <w:tcPr>
            <w:tcW w:w="1253" w:type="pct"/>
            <w:shd w:val="clear" w:color="auto" w:fill="auto"/>
            <w:noWrap/>
            <w:vAlign w:val="bottom"/>
            <w:hideMark/>
          </w:tcPr>
          <w:p w:rsidR="00A356FA" w:rsidRPr="00EC079B" w:rsidRDefault="004327D4" w:rsidP="004154EB">
            <w:pPr>
              <w:spacing w:after="0"/>
              <w:rPr>
                <w:rFonts w:eastAsia="Times New Roman" w:cs="Times New Roman"/>
                <w:b/>
                <w:bCs/>
                <w:color w:val="000000"/>
              </w:rPr>
            </w:pPr>
            <w:r>
              <w:rPr>
                <w:rFonts w:eastAsia="Times New Roman" w:cs="Times New Roman"/>
                <w:b/>
                <w:bCs/>
                <w:color w:val="000000"/>
              </w:rPr>
              <w:t>Safe Area</w:t>
            </w:r>
          </w:p>
        </w:tc>
        <w:tc>
          <w:tcPr>
            <w:tcW w:w="860"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9,297.8</w:t>
            </w:r>
          </w:p>
        </w:tc>
        <w:tc>
          <w:tcPr>
            <w:tcW w:w="813" w:type="pct"/>
            <w:shd w:val="clear" w:color="auto" w:fill="auto"/>
            <w:noWrap/>
            <w:hideMark/>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42,481.6</w:t>
            </w:r>
          </w:p>
        </w:tc>
        <w:tc>
          <w:tcPr>
            <w:tcW w:w="883"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16.4</w:t>
            </w:r>
          </w:p>
        </w:tc>
        <w:tc>
          <w:tcPr>
            <w:tcW w:w="1027" w:type="pct"/>
          </w:tcPr>
          <w:p w:rsidR="00A356FA" w:rsidRPr="00EC079B" w:rsidRDefault="00A356FA" w:rsidP="004154EB">
            <w:pPr>
              <w:spacing w:after="0"/>
              <w:rPr>
                <w:rFonts w:eastAsia="Times New Roman" w:cs="Times New Roman"/>
                <w:color w:val="000000"/>
              </w:rPr>
            </w:pPr>
            <w:r w:rsidRPr="00EC079B">
              <w:rPr>
                <w:rFonts w:eastAsia="Times New Roman" w:cs="Times New Roman"/>
                <w:color w:val="000000"/>
              </w:rPr>
              <w:t>31,787</w:t>
            </w:r>
          </w:p>
        </w:tc>
      </w:tr>
      <w:tr w:rsidR="00A356FA" w:rsidRPr="00EC079B" w:rsidTr="00C151CD">
        <w:trPr>
          <w:trHeight w:val="20"/>
        </w:trPr>
        <w:tc>
          <w:tcPr>
            <w:tcW w:w="164" w:type="pct"/>
            <w:vAlign w:val="bottom"/>
          </w:tcPr>
          <w:p w:rsidR="00A356FA" w:rsidRPr="00EC079B" w:rsidRDefault="00A356FA" w:rsidP="004154EB">
            <w:pPr>
              <w:spacing w:after="0"/>
              <w:jc w:val="right"/>
              <w:rPr>
                <w:rFonts w:eastAsia="Times New Roman" w:cs="Times New Roman"/>
                <w:bCs/>
                <w:color w:val="000000"/>
                <w:sz w:val="18"/>
                <w:szCs w:val="18"/>
              </w:rPr>
            </w:pPr>
            <w:r w:rsidRPr="00EC079B">
              <w:rPr>
                <w:rFonts w:eastAsia="Times New Roman" w:cs="Times New Roman"/>
                <w:bCs/>
                <w:color w:val="000000"/>
                <w:sz w:val="18"/>
                <w:szCs w:val="18"/>
              </w:rPr>
              <w:t>8</w:t>
            </w:r>
          </w:p>
        </w:tc>
        <w:tc>
          <w:tcPr>
            <w:tcW w:w="1253" w:type="pct"/>
            <w:shd w:val="clear" w:color="auto" w:fill="auto"/>
            <w:noWrap/>
            <w:vAlign w:val="bottom"/>
            <w:hideMark/>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Bangladesh</w:t>
            </w:r>
          </w:p>
        </w:tc>
        <w:tc>
          <w:tcPr>
            <w:tcW w:w="860" w:type="pct"/>
            <w:shd w:val="clear" w:color="auto" w:fill="auto"/>
            <w:noWrap/>
            <w:hideMark/>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13,097.1</w:t>
            </w:r>
          </w:p>
        </w:tc>
        <w:tc>
          <w:tcPr>
            <w:tcW w:w="813" w:type="pct"/>
            <w:shd w:val="clear" w:color="auto" w:fill="auto"/>
            <w:noWrap/>
            <w:hideMark/>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35,411.3</w:t>
            </w:r>
          </w:p>
        </w:tc>
        <w:tc>
          <w:tcPr>
            <w:tcW w:w="883" w:type="pct"/>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10.5</w:t>
            </w:r>
          </w:p>
        </w:tc>
        <w:tc>
          <w:tcPr>
            <w:tcW w:w="1027" w:type="pct"/>
          </w:tcPr>
          <w:p w:rsidR="00A356FA" w:rsidRPr="00EC079B" w:rsidRDefault="00A356FA" w:rsidP="004154EB">
            <w:pPr>
              <w:spacing w:after="0"/>
              <w:rPr>
                <w:rFonts w:eastAsia="Times New Roman" w:cs="Times New Roman"/>
                <w:b/>
                <w:bCs/>
                <w:color w:val="000000"/>
              </w:rPr>
            </w:pPr>
            <w:r w:rsidRPr="00EC079B">
              <w:rPr>
                <w:rFonts w:eastAsia="Times New Roman" w:cs="Times New Roman"/>
                <w:b/>
                <w:bCs/>
                <w:color w:val="000000"/>
              </w:rPr>
              <w:t>37,859</w:t>
            </w:r>
          </w:p>
        </w:tc>
      </w:tr>
    </w:tbl>
    <w:p w:rsidR="00A356FA" w:rsidRPr="004154EB" w:rsidRDefault="00A356FA" w:rsidP="00FD298B">
      <w:pPr>
        <w:spacing w:before="120" w:line="22" w:lineRule="atLeast"/>
        <w:rPr>
          <w:rFonts w:cs="Times New Roman"/>
          <w:b/>
          <w:i/>
          <w:sz w:val="20"/>
          <w:szCs w:val="24"/>
        </w:rPr>
      </w:pPr>
      <w:r w:rsidRPr="004154EB">
        <w:rPr>
          <w:rFonts w:cs="Times New Roman"/>
          <w:b/>
          <w:i/>
          <w:sz w:val="20"/>
          <w:szCs w:val="24"/>
        </w:rPr>
        <w:t xml:space="preserve">Source: </w:t>
      </w:r>
      <w:r w:rsidR="00FA2FD3">
        <w:rPr>
          <w:rFonts w:cs="Times New Roman"/>
          <w:b/>
          <w:i/>
          <w:sz w:val="20"/>
          <w:szCs w:val="24"/>
        </w:rPr>
        <w:t>GED</w:t>
      </w:r>
      <w:r w:rsidR="00612DB4">
        <w:rPr>
          <w:rFonts w:cs="Times New Roman"/>
          <w:b/>
          <w:i/>
          <w:sz w:val="20"/>
          <w:szCs w:val="24"/>
        </w:rPr>
        <w:t xml:space="preserve"> e</w:t>
      </w:r>
      <w:r w:rsidRPr="004154EB">
        <w:rPr>
          <w:rFonts w:cs="Times New Roman"/>
          <w:b/>
          <w:i/>
          <w:sz w:val="20"/>
          <w:szCs w:val="24"/>
        </w:rPr>
        <w:t>stimate</w:t>
      </w:r>
      <w:r w:rsidR="00612DB4">
        <w:rPr>
          <w:rFonts w:cs="Times New Roman"/>
          <w:b/>
          <w:i/>
          <w:sz w:val="20"/>
          <w:szCs w:val="24"/>
        </w:rPr>
        <w:t>s</w:t>
      </w:r>
      <w:r w:rsidRPr="004154EB">
        <w:rPr>
          <w:rFonts w:cs="Times New Roman"/>
          <w:b/>
          <w:i/>
          <w:sz w:val="20"/>
          <w:szCs w:val="24"/>
        </w:rPr>
        <w:t xml:space="preserve"> based </w:t>
      </w:r>
      <w:r w:rsidR="00612DB4">
        <w:rPr>
          <w:rFonts w:cs="Times New Roman"/>
          <w:b/>
          <w:i/>
          <w:sz w:val="20"/>
          <w:szCs w:val="24"/>
        </w:rPr>
        <w:t>on HIES 2000 and 2010; FY2011</w:t>
      </w:r>
      <w:r w:rsidRPr="004154EB">
        <w:rPr>
          <w:rFonts w:cs="Times New Roman"/>
          <w:b/>
          <w:i/>
          <w:sz w:val="20"/>
          <w:szCs w:val="24"/>
        </w:rPr>
        <w:t xml:space="preserve"> District Level GDP obtained from  </w:t>
      </w:r>
    </w:p>
    <w:p w:rsidR="00A356FA" w:rsidRPr="004154EB" w:rsidRDefault="00A356FA" w:rsidP="00FD298B">
      <w:pPr>
        <w:spacing w:line="276" w:lineRule="auto"/>
        <w:jc w:val="both"/>
        <w:rPr>
          <w:rFonts w:cs="Times New Roman"/>
          <w:color w:val="000000" w:themeColor="text1"/>
          <w:szCs w:val="24"/>
        </w:rPr>
      </w:pPr>
      <w:bookmarkStart w:id="153" w:name="_Toc450078484"/>
      <w:r w:rsidRPr="004154EB">
        <w:rPr>
          <w:rFonts w:cs="Times New Roman"/>
          <w:color w:val="000000" w:themeColor="text1"/>
          <w:szCs w:val="24"/>
        </w:rPr>
        <w:t>Under-reporting of income by the upper income group is well known. There are other problems of coverage as well. An indication of this mis-reporting problem is provided by the district-level per capita GDP estimates derived from national accounts for FY2010/11. The HIES income includes transfer payments from foreign remittances that are about 7-8% of GDP. Even so</w:t>
      </w:r>
      <w:r w:rsidR="004154EB" w:rsidRPr="004154EB">
        <w:rPr>
          <w:rFonts w:cs="Times New Roman"/>
          <w:color w:val="000000" w:themeColor="text1"/>
          <w:szCs w:val="24"/>
        </w:rPr>
        <w:t>, HIES</w:t>
      </w:r>
      <w:r w:rsidRPr="004154EB">
        <w:rPr>
          <w:rFonts w:cs="Times New Roman"/>
          <w:color w:val="000000" w:themeColor="text1"/>
          <w:szCs w:val="24"/>
        </w:rPr>
        <w:t xml:space="preserve"> per capita income inclusive of remittances falls short of per capita income measured in terms of GDP.  The distribution by hotspots is also quite different.</w:t>
      </w:r>
    </w:p>
    <w:p w:rsidR="00A356FA" w:rsidRPr="004154EB" w:rsidRDefault="00A356FA" w:rsidP="00FD298B">
      <w:pPr>
        <w:spacing w:line="276" w:lineRule="auto"/>
        <w:jc w:val="both"/>
        <w:rPr>
          <w:rFonts w:cs="Times New Roman"/>
          <w:szCs w:val="24"/>
        </w:rPr>
      </w:pPr>
      <w:r w:rsidRPr="004154EB">
        <w:rPr>
          <w:rFonts w:cs="Times New Roman"/>
          <w:b/>
          <w:color w:val="000000" w:themeColor="text1"/>
          <w:szCs w:val="24"/>
        </w:rPr>
        <w:t>Labour Force Participation and Employmen</w:t>
      </w:r>
      <w:bookmarkEnd w:id="153"/>
      <w:r w:rsidRPr="004154EB">
        <w:rPr>
          <w:rFonts w:cs="Times New Roman"/>
          <w:b/>
          <w:color w:val="000000" w:themeColor="text1"/>
          <w:szCs w:val="24"/>
        </w:rPr>
        <w:t>t:</w:t>
      </w:r>
      <w:r w:rsidRPr="004154EB">
        <w:rPr>
          <w:rFonts w:cs="Times New Roman"/>
          <w:color w:val="000000" w:themeColor="text1"/>
          <w:szCs w:val="24"/>
        </w:rPr>
        <w:t xml:space="preserve"> </w:t>
      </w:r>
      <w:r w:rsidRPr="004154EB">
        <w:rPr>
          <w:rFonts w:cs="Times New Roman"/>
          <w:szCs w:val="24"/>
        </w:rPr>
        <w:t>Creating decent employment opportunities for the new entrants into the labour market is a major challenge in Bangladesh. S</w:t>
      </w:r>
      <w:r w:rsidR="006C1D4C">
        <w:rPr>
          <w:rFonts w:cs="Times New Roman"/>
          <w:szCs w:val="24"/>
        </w:rPr>
        <w:t>ixth and Seventh Five Year Plan</w:t>
      </w:r>
      <w:r w:rsidRPr="004154EB">
        <w:rPr>
          <w:rFonts w:cs="Times New Roman"/>
          <w:szCs w:val="24"/>
        </w:rPr>
        <w:t xml:space="preserve"> have further elaborated this challenge by categorizing them into their quantitative and qualitative dimensions. </w:t>
      </w:r>
      <w:r w:rsidRPr="004154EB">
        <w:rPr>
          <w:rFonts w:cs="Times New Roman"/>
          <w:i/>
          <w:szCs w:val="24"/>
        </w:rPr>
        <w:t>First</w:t>
      </w:r>
      <w:r w:rsidRPr="004154EB">
        <w:rPr>
          <w:rFonts w:cs="Times New Roman"/>
          <w:szCs w:val="24"/>
        </w:rPr>
        <w:t xml:space="preserve"> </w:t>
      </w:r>
      <w:r w:rsidRPr="004B0A08">
        <w:rPr>
          <w:rFonts w:cs="Times New Roman"/>
          <w:i/>
          <w:szCs w:val="24"/>
        </w:rPr>
        <w:t>challenge is to create sufficient employment opportunities for rapidly increasing growing labour force (3% per annum or 1.8 million new jobs per year).</w:t>
      </w:r>
      <w:r w:rsidRPr="004154EB">
        <w:rPr>
          <w:rFonts w:cs="Times New Roman"/>
          <w:szCs w:val="24"/>
        </w:rPr>
        <w:t xml:space="preserve"> </w:t>
      </w:r>
      <w:r w:rsidRPr="004154EB">
        <w:rPr>
          <w:rFonts w:cs="Times New Roman"/>
          <w:i/>
          <w:szCs w:val="24"/>
        </w:rPr>
        <w:t xml:space="preserve">Second </w:t>
      </w:r>
      <w:r w:rsidRPr="004154EB">
        <w:rPr>
          <w:rFonts w:cs="Times New Roman"/>
          <w:szCs w:val="24"/>
        </w:rPr>
        <w:t xml:space="preserve">challenge is to create more jobs in the manufacturing and organized service sectors relative to agriculture and informal economy since research shows that labor productivity and real wages are higher in manufacturing and organized services sectors. This section discusses labour market livelihood and employment trends across all regions using the information of two rounds of Labour Force Surveys (i.e. 2000 and 2013). </w:t>
      </w:r>
    </w:p>
    <w:p w:rsidR="00A356FA" w:rsidRPr="004154EB" w:rsidRDefault="00A356FA" w:rsidP="006F1498">
      <w:pPr>
        <w:spacing w:line="276" w:lineRule="auto"/>
        <w:jc w:val="both"/>
        <w:rPr>
          <w:rFonts w:cs="Times New Roman"/>
          <w:szCs w:val="24"/>
        </w:rPr>
      </w:pPr>
      <w:r w:rsidRPr="004154EB">
        <w:rPr>
          <w:rFonts w:cs="Times New Roman"/>
          <w:szCs w:val="24"/>
        </w:rPr>
        <w:t xml:space="preserve">Labour force participation rate has been increasing in Bangladesh – primarily due to two factors – (i) rising share of the working population in total population; (ii) growing participation of female in the labour market. Trends in labour force participation rates as presented in Table 2.9. reflect this pattern. Total participation has increased from 54.9% in 2000 to over 57% in 2013. </w:t>
      </w:r>
      <w:r w:rsidR="004327D4">
        <w:rPr>
          <w:rFonts w:cs="Times New Roman"/>
          <w:szCs w:val="24"/>
        </w:rPr>
        <w:t>The picture</w:t>
      </w:r>
      <w:r w:rsidRPr="004154EB">
        <w:rPr>
          <w:rFonts w:cs="Times New Roman"/>
          <w:szCs w:val="24"/>
        </w:rPr>
        <w:t xml:space="preserve"> is however mixed across the regions. More specifically, </w:t>
      </w:r>
      <w:r w:rsidR="00CA10DF">
        <w:rPr>
          <w:rFonts w:cs="Times New Roman"/>
          <w:szCs w:val="24"/>
        </w:rPr>
        <w:t xml:space="preserve">participation rate has </w:t>
      </w:r>
      <w:r w:rsidR="00CA10DF">
        <w:rPr>
          <w:rFonts w:cs="Times New Roman"/>
          <w:szCs w:val="24"/>
        </w:rPr>
        <w:lastRenderedPageBreak/>
        <w:t xml:space="preserve">increased for </w:t>
      </w:r>
      <w:r w:rsidRPr="004154EB">
        <w:rPr>
          <w:rFonts w:cs="Times New Roman"/>
          <w:szCs w:val="24"/>
        </w:rPr>
        <w:t>Urban areas, Haor, Drought</w:t>
      </w:r>
      <w:r w:rsidR="00CA10DF">
        <w:rPr>
          <w:rFonts w:cs="Times New Roman"/>
          <w:szCs w:val="24"/>
        </w:rPr>
        <w:t xml:space="preserve"> Prone and the safe areas. But participation rate has fallen in</w:t>
      </w:r>
      <w:r w:rsidRPr="004154EB">
        <w:rPr>
          <w:rFonts w:cs="Times New Roman"/>
          <w:szCs w:val="24"/>
        </w:rPr>
        <w:t xml:space="preserve"> Coastal Zone, River and Estuary and CHT. The above trend</w:t>
      </w:r>
      <w:r w:rsidR="00CA10DF">
        <w:rPr>
          <w:rFonts w:cs="Times New Roman"/>
          <w:szCs w:val="24"/>
        </w:rPr>
        <w:t xml:space="preserve"> perhaps captures the migration</w:t>
      </w:r>
      <w:r w:rsidRPr="004154EB">
        <w:rPr>
          <w:rFonts w:cs="Times New Roman"/>
          <w:szCs w:val="24"/>
        </w:rPr>
        <w:t xml:space="preserve"> of working age population due to both push and pull factors. </w:t>
      </w:r>
    </w:p>
    <w:p w:rsidR="00A356FA" w:rsidRPr="004154EB" w:rsidRDefault="00A356FA" w:rsidP="006F1498">
      <w:pPr>
        <w:spacing w:line="276" w:lineRule="auto"/>
        <w:jc w:val="both"/>
        <w:rPr>
          <w:rFonts w:cs="Times New Roman"/>
          <w:szCs w:val="24"/>
        </w:rPr>
      </w:pPr>
      <w:r w:rsidRPr="004154EB">
        <w:rPr>
          <w:rFonts w:cs="Times New Roman"/>
          <w:szCs w:val="24"/>
        </w:rPr>
        <w:t>Female labour force participation experienced an increase of around 10 percentage points over the 13 year period. During the same period, male participation rate experienced slight decline of about 2.4 percentage points. Female labour force participation increased for all regions although the participation r</w:t>
      </w:r>
      <w:r w:rsidR="000303CE">
        <w:rPr>
          <w:rFonts w:cs="Times New Roman"/>
          <w:szCs w:val="24"/>
        </w:rPr>
        <w:t>ate is more pronounced for the u</w:t>
      </w:r>
      <w:r w:rsidRPr="004154EB">
        <w:rPr>
          <w:rFonts w:cs="Times New Roman"/>
          <w:szCs w:val="24"/>
        </w:rPr>
        <w:t>rban areas compared to other regions.</w:t>
      </w:r>
    </w:p>
    <w:p w:rsidR="00A356FA" w:rsidRPr="004154EB" w:rsidRDefault="00A356FA" w:rsidP="00944687">
      <w:pPr>
        <w:pStyle w:val="Heading4"/>
      </w:pPr>
      <w:bookmarkStart w:id="154" w:name="_Ref449942057"/>
      <w:bookmarkStart w:id="155" w:name="_Toc450078599"/>
      <w:bookmarkStart w:id="156" w:name="_Toc474639005"/>
      <w:r w:rsidRPr="004154EB">
        <w:t>Table 2.</w:t>
      </w:r>
      <w:bookmarkEnd w:id="154"/>
      <w:r w:rsidRPr="004154EB">
        <w:t>9: Labour Force Participation Rate (%)</w:t>
      </w:r>
      <w:bookmarkEnd w:id="155"/>
      <w:bookmarkEnd w:id="1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27"/>
        <w:gridCol w:w="1001"/>
        <w:gridCol w:w="1272"/>
        <w:gridCol w:w="1002"/>
        <w:gridCol w:w="1002"/>
        <w:gridCol w:w="1272"/>
        <w:gridCol w:w="1000"/>
      </w:tblGrid>
      <w:tr w:rsidR="00A356FA" w:rsidRPr="004154EB" w:rsidTr="00427B63">
        <w:trPr>
          <w:trHeight w:val="20"/>
        </w:trPr>
        <w:tc>
          <w:tcPr>
            <w:tcW w:w="1581" w:type="pct"/>
            <w:vMerge w:val="restart"/>
            <w:shd w:val="clear" w:color="auto" w:fill="F2F2F2" w:themeFill="background1" w:themeFillShade="F2"/>
            <w:noWrap/>
            <w:vAlign w:val="center"/>
            <w:hideMark/>
          </w:tcPr>
          <w:p w:rsidR="00A356FA" w:rsidRPr="004C758B" w:rsidRDefault="00A356FA" w:rsidP="00427B63">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Regions/Areas</w:t>
            </w:r>
          </w:p>
        </w:tc>
        <w:tc>
          <w:tcPr>
            <w:tcW w:w="1710" w:type="pct"/>
            <w:gridSpan w:val="3"/>
            <w:shd w:val="clear" w:color="auto" w:fill="F2F2F2" w:themeFill="background1" w:themeFillShade="F2"/>
            <w:noWrap/>
            <w:vAlign w:val="center"/>
            <w:hideMark/>
          </w:tcPr>
          <w:p w:rsidR="00A356FA" w:rsidRPr="004C758B" w:rsidRDefault="00A356FA" w:rsidP="00427B63">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2000</w:t>
            </w:r>
          </w:p>
        </w:tc>
        <w:tc>
          <w:tcPr>
            <w:tcW w:w="1709" w:type="pct"/>
            <w:gridSpan w:val="3"/>
            <w:shd w:val="clear" w:color="auto" w:fill="F2F2F2" w:themeFill="background1" w:themeFillShade="F2"/>
            <w:noWrap/>
            <w:vAlign w:val="center"/>
            <w:hideMark/>
          </w:tcPr>
          <w:p w:rsidR="00A356FA" w:rsidRPr="004C758B" w:rsidRDefault="00A356FA" w:rsidP="00427B63">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2013</w:t>
            </w:r>
          </w:p>
        </w:tc>
      </w:tr>
      <w:tr w:rsidR="00A356FA" w:rsidRPr="004154EB" w:rsidTr="00427B63">
        <w:trPr>
          <w:trHeight w:val="20"/>
        </w:trPr>
        <w:tc>
          <w:tcPr>
            <w:tcW w:w="1581" w:type="pct"/>
            <w:vMerge/>
            <w:shd w:val="clear" w:color="auto" w:fill="F2F2F2" w:themeFill="background1" w:themeFillShade="F2"/>
            <w:noWrap/>
            <w:vAlign w:val="center"/>
            <w:hideMark/>
          </w:tcPr>
          <w:p w:rsidR="00A356FA" w:rsidRPr="004C758B" w:rsidRDefault="00A356FA" w:rsidP="00427B63">
            <w:pPr>
              <w:spacing w:after="0" w:line="240" w:lineRule="auto"/>
              <w:jc w:val="center"/>
              <w:rPr>
                <w:rFonts w:eastAsia="Times New Roman" w:cs="Times New Roman"/>
                <w:color w:val="000000"/>
                <w:sz w:val="20"/>
              </w:rPr>
            </w:pPr>
          </w:p>
        </w:tc>
        <w:tc>
          <w:tcPr>
            <w:tcW w:w="523" w:type="pct"/>
            <w:shd w:val="clear" w:color="auto" w:fill="F2F2F2" w:themeFill="background1" w:themeFillShade="F2"/>
            <w:noWrap/>
            <w:vAlign w:val="center"/>
            <w:hideMark/>
          </w:tcPr>
          <w:p w:rsidR="00A356FA" w:rsidRPr="004C758B" w:rsidRDefault="00A356FA" w:rsidP="00427B63">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Male</w:t>
            </w:r>
          </w:p>
        </w:tc>
        <w:tc>
          <w:tcPr>
            <w:tcW w:w="664" w:type="pct"/>
            <w:shd w:val="clear" w:color="auto" w:fill="F2F2F2" w:themeFill="background1" w:themeFillShade="F2"/>
            <w:noWrap/>
            <w:vAlign w:val="center"/>
            <w:hideMark/>
          </w:tcPr>
          <w:p w:rsidR="00A356FA" w:rsidRPr="004C758B" w:rsidRDefault="00A356FA" w:rsidP="00427B63">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Female</w:t>
            </w:r>
          </w:p>
        </w:tc>
        <w:tc>
          <w:tcPr>
            <w:tcW w:w="523" w:type="pct"/>
            <w:shd w:val="clear" w:color="auto" w:fill="F2F2F2" w:themeFill="background1" w:themeFillShade="F2"/>
            <w:noWrap/>
            <w:vAlign w:val="center"/>
            <w:hideMark/>
          </w:tcPr>
          <w:p w:rsidR="00A356FA" w:rsidRPr="004C758B" w:rsidRDefault="00A356FA" w:rsidP="00427B63">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Total</w:t>
            </w:r>
          </w:p>
        </w:tc>
        <w:tc>
          <w:tcPr>
            <w:tcW w:w="523" w:type="pct"/>
            <w:shd w:val="clear" w:color="auto" w:fill="F2F2F2" w:themeFill="background1" w:themeFillShade="F2"/>
            <w:vAlign w:val="center"/>
            <w:hideMark/>
          </w:tcPr>
          <w:p w:rsidR="00A356FA" w:rsidRPr="004C758B" w:rsidRDefault="00A356FA" w:rsidP="00427B63">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Male</w:t>
            </w:r>
          </w:p>
        </w:tc>
        <w:tc>
          <w:tcPr>
            <w:tcW w:w="664" w:type="pct"/>
            <w:shd w:val="clear" w:color="auto" w:fill="F2F2F2" w:themeFill="background1" w:themeFillShade="F2"/>
            <w:vAlign w:val="center"/>
            <w:hideMark/>
          </w:tcPr>
          <w:p w:rsidR="00A356FA" w:rsidRPr="004C758B" w:rsidRDefault="00A356FA" w:rsidP="00427B63">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Female</w:t>
            </w:r>
          </w:p>
        </w:tc>
        <w:tc>
          <w:tcPr>
            <w:tcW w:w="522" w:type="pct"/>
            <w:shd w:val="clear" w:color="auto" w:fill="F2F2F2" w:themeFill="background1" w:themeFillShade="F2"/>
            <w:vAlign w:val="center"/>
            <w:hideMark/>
          </w:tcPr>
          <w:p w:rsidR="00A356FA" w:rsidRPr="004C758B" w:rsidRDefault="00A356FA" w:rsidP="00427B63">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Total</w:t>
            </w:r>
          </w:p>
        </w:tc>
      </w:tr>
      <w:tr w:rsidR="00A356FA" w:rsidRPr="004154EB" w:rsidTr="004154EB">
        <w:trPr>
          <w:trHeight w:val="20"/>
        </w:trPr>
        <w:tc>
          <w:tcPr>
            <w:tcW w:w="1581" w:type="pct"/>
            <w:shd w:val="clear" w:color="auto" w:fill="auto"/>
            <w:noWrap/>
            <w:vAlign w:val="bottom"/>
            <w:hideMark/>
          </w:tcPr>
          <w:p w:rsidR="00A356FA" w:rsidRPr="004C758B" w:rsidRDefault="00A356FA" w:rsidP="0050419E">
            <w:pPr>
              <w:spacing w:after="0" w:line="240" w:lineRule="auto"/>
              <w:rPr>
                <w:rFonts w:eastAsia="Times New Roman" w:cs="Times New Roman"/>
                <w:b/>
                <w:bCs/>
                <w:color w:val="000000"/>
                <w:sz w:val="20"/>
              </w:rPr>
            </w:pPr>
            <w:r w:rsidRPr="004C758B">
              <w:rPr>
                <w:rFonts w:eastAsia="Times New Roman" w:cs="Times New Roman"/>
                <w:b/>
                <w:bCs/>
                <w:color w:val="000000"/>
                <w:sz w:val="20"/>
              </w:rPr>
              <w:t>Haor Region</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77.5</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19.2</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48.4</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82.7</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31.4</w:t>
            </w:r>
          </w:p>
        </w:tc>
        <w:tc>
          <w:tcPr>
            <w:tcW w:w="522"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56.5</w:t>
            </w:r>
          </w:p>
        </w:tc>
      </w:tr>
      <w:tr w:rsidR="00A356FA" w:rsidRPr="004154EB" w:rsidTr="004154EB">
        <w:trPr>
          <w:trHeight w:val="20"/>
        </w:trPr>
        <w:tc>
          <w:tcPr>
            <w:tcW w:w="1581" w:type="pct"/>
            <w:shd w:val="clear" w:color="auto" w:fill="auto"/>
            <w:noWrap/>
            <w:vAlign w:val="bottom"/>
            <w:hideMark/>
          </w:tcPr>
          <w:p w:rsidR="00A356FA" w:rsidRPr="004C758B" w:rsidRDefault="00A356FA" w:rsidP="0050419E">
            <w:pPr>
              <w:spacing w:after="0" w:line="240" w:lineRule="auto"/>
              <w:rPr>
                <w:rFonts w:eastAsia="Times New Roman" w:cs="Times New Roman"/>
                <w:b/>
                <w:bCs/>
                <w:color w:val="000000"/>
                <w:sz w:val="20"/>
              </w:rPr>
            </w:pPr>
            <w:r w:rsidRPr="004C758B">
              <w:rPr>
                <w:rFonts w:eastAsia="Times New Roman" w:cs="Times New Roman"/>
                <w:b/>
                <w:bCs/>
                <w:color w:val="000000"/>
                <w:sz w:val="20"/>
              </w:rPr>
              <w:t>Coastal Zone</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85.1</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27.1</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56.1</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79.7</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30.3</w:t>
            </w:r>
          </w:p>
        </w:tc>
        <w:tc>
          <w:tcPr>
            <w:tcW w:w="522"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54.1</w:t>
            </w:r>
          </w:p>
        </w:tc>
      </w:tr>
      <w:tr w:rsidR="00A356FA" w:rsidRPr="004154EB" w:rsidTr="004154EB">
        <w:trPr>
          <w:trHeight w:val="20"/>
        </w:trPr>
        <w:tc>
          <w:tcPr>
            <w:tcW w:w="1581" w:type="pct"/>
            <w:shd w:val="clear" w:color="auto" w:fill="auto"/>
            <w:noWrap/>
            <w:vAlign w:val="bottom"/>
            <w:hideMark/>
          </w:tcPr>
          <w:p w:rsidR="00A356FA" w:rsidRPr="004C758B" w:rsidRDefault="00A356FA" w:rsidP="0050419E">
            <w:pPr>
              <w:spacing w:after="0" w:line="240" w:lineRule="auto"/>
              <w:rPr>
                <w:rFonts w:eastAsia="Times New Roman" w:cs="Times New Roman"/>
                <w:b/>
                <w:bCs/>
                <w:color w:val="000000"/>
                <w:sz w:val="20"/>
              </w:rPr>
            </w:pPr>
            <w:r w:rsidRPr="004C758B">
              <w:rPr>
                <w:rFonts w:eastAsia="Times New Roman" w:cs="Times New Roman"/>
                <w:b/>
                <w:bCs/>
                <w:color w:val="000000"/>
                <w:sz w:val="20"/>
              </w:rPr>
              <w:t>Chittagong Hill Tracts</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85.2</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52.3</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68.8</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83.9</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53.2</w:t>
            </w:r>
          </w:p>
        </w:tc>
        <w:tc>
          <w:tcPr>
            <w:tcW w:w="522"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68.5</w:t>
            </w:r>
          </w:p>
        </w:tc>
      </w:tr>
      <w:tr w:rsidR="00A356FA" w:rsidRPr="004154EB" w:rsidTr="004154EB">
        <w:trPr>
          <w:trHeight w:val="20"/>
        </w:trPr>
        <w:tc>
          <w:tcPr>
            <w:tcW w:w="1581" w:type="pct"/>
            <w:shd w:val="clear" w:color="auto" w:fill="auto"/>
            <w:noWrap/>
            <w:vAlign w:val="bottom"/>
            <w:hideMark/>
          </w:tcPr>
          <w:p w:rsidR="00A356FA" w:rsidRPr="004C758B" w:rsidRDefault="00A356FA" w:rsidP="0050419E">
            <w:pPr>
              <w:spacing w:after="0" w:line="240" w:lineRule="auto"/>
              <w:rPr>
                <w:rFonts w:eastAsia="Times New Roman" w:cs="Times New Roman"/>
                <w:b/>
                <w:bCs/>
                <w:color w:val="000000"/>
                <w:sz w:val="20"/>
              </w:rPr>
            </w:pPr>
            <w:r w:rsidRPr="004C758B">
              <w:rPr>
                <w:rFonts w:eastAsia="Times New Roman" w:cs="Times New Roman"/>
                <w:b/>
                <w:bCs/>
                <w:color w:val="000000"/>
                <w:sz w:val="20"/>
              </w:rPr>
              <w:t>Urban Areas</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85.0</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16.1</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50.5</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82.3</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42.7</w:t>
            </w:r>
          </w:p>
        </w:tc>
        <w:tc>
          <w:tcPr>
            <w:tcW w:w="522"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62.3</w:t>
            </w:r>
          </w:p>
        </w:tc>
      </w:tr>
      <w:tr w:rsidR="00A356FA" w:rsidRPr="004154EB" w:rsidTr="004154EB">
        <w:trPr>
          <w:trHeight w:val="20"/>
        </w:trPr>
        <w:tc>
          <w:tcPr>
            <w:tcW w:w="1581" w:type="pct"/>
            <w:shd w:val="clear" w:color="auto" w:fill="auto"/>
            <w:noWrap/>
            <w:vAlign w:val="bottom"/>
            <w:hideMark/>
          </w:tcPr>
          <w:p w:rsidR="00A356FA" w:rsidRPr="004C758B" w:rsidRDefault="00A356FA" w:rsidP="0050419E">
            <w:pPr>
              <w:spacing w:after="0" w:line="240" w:lineRule="auto"/>
              <w:rPr>
                <w:rFonts w:eastAsia="Times New Roman" w:cs="Times New Roman"/>
                <w:b/>
                <w:bCs/>
                <w:color w:val="000000"/>
                <w:sz w:val="20"/>
              </w:rPr>
            </w:pPr>
            <w:r w:rsidRPr="004C758B">
              <w:rPr>
                <w:rFonts w:eastAsia="Times New Roman" w:cs="Times New Roman"/>
                <w:b/>
                <w:bCs/>
                <w:color w:val="000000"/>
                <w:sz w:val="20"/>
              </w:rPr>
              <w:t>Drought Prone Area</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83.7</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30.6</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57.1</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81.8</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32.9</w:t>
            </w:r>
          </w:p>
        </w:tc>
        <w:tc>
          <w:tcPr>
            <w:tcW w:w="522"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57.3</w:t>
            </w:r>
          </w:p>
        </w:tc>
      </w:tr>
      <w:tr w:rsidR="00A356FA" w:rsidRPr="004154EB" w:rsidTr="004154EB">
        <w:trPr>
          <w:trHeight w:val="20"/>
        </w:trPr>
        <w:tc>
          <w:tcPr>
            <w:tcW w:w="1581" w:type="pct"/>
            <w:shd w:val="clear" w:color="auto" w:fill="auto"/>
            <w:noWrap/>
            <w:vAlign w:val="bottom"/>
            <w:hideMark/>
          </w:tcPr>
          <w:p w:rsidR="00A356FA" w:rsidRPr="004C758B" w:rsidRDefault="00A356FA" w:rsidP="0050419E">
            <w:pPr>
              <w:spacing w:after="0" w:line="240" w:lineRule="auto"/>
              <w:rPr>
                <w:rFonts w:eastAsia="Times New Roman" w:cs="Times New Roman"/>
                <w:b/>
                <w:bCs/>
                <w:color w:val="000000"/>
                <w:sz w:val="20"/>
              </w:rPr>
            </w:pPr>
            <w:r w:rsidRPr="004C758B">
              <w:rPr>
                <w:rFonts w:eastAsia="Times New Roman" w:cs="Times New Roman"/>
                <w:b/>
                <w:bCs/>
                <w:color w:val="000000"/>
                <w:sz w:val="20"/>
              </w:rPr>
              <w:t>Rivers and Estuary</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85.8</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26.8</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56.3</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80.9</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29.6</w:t>
            </w:r>
          </w:p>
        </w:tc>
        <w:tc>
          <w:tcPr>
            <w:tcW w:w="522"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54.5</w:t>
            </w:r>
          </w:p>
        </w:tc>
      </w:tr>
      <w:tr w:rsidR="00A356FA" w:rsidRPr="004154EB" w:rsidTr="004154EB">
        <w:trPr>
          <w:trHeight w:val="20"/>
        </w:trPr>
        <w:tc>
          <w:tcPr>
            <w:tcW w:w="1581" w:type="pct"/>
            <w:shd w:val="clear" w:color="auto" w:fill="auto"/>
            <w:noWrap/>
            <w:vAlign w:val="bottom"/>
            <w:hideMark/>
          </w:tcPr>
          <w:p w:rsidR="00A356FA" w:rsidRPr="004C758B" w:rsidRDefault="006F1498" w:rsidP="0050419E">
            <w:pPr>
              <w:spacing w:after="0" w:line="240" w:lineRule="auto"/>
              <w:rPr>
                <w:rFonts w:eastAsia="Times New Roman" w:cs="Times New Roman"/>
                <w:b/>
                <w:bCs/>
                <w:color w:val="000000"/>
                <w:sz w:val="20"/>
              </w:rPr>
            </w:pPr>
            <w:r w:rsidRPr="004C758B">
              <w:rPr>
                <w:rFonts w:eastAsia="Times New Roman" w:cs="Times New Roman"/>
                <w:b/>
                <w:bCs/>
                <w:color w:val="000000"/>
                <w:sz w:val="20"/>
              </w:rPr>
              <w:t>Safe Region</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86.7</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25.3</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56.0</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84.2</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34.7</w:t>
            </w:r>
          </w:p>
        </w:tc>
        <w:tc>
          <w:tcPr>
            <w:tcW w:w="522" w:type="pct"/>
            <w:shd w:val="clear" w:color="auto" w:fill="auto"/>
            <w:noWrap/>
            <w:vAlign w:val="bottom"/>
            <w:hideMark/>
          </w:tcPr>
          <w:p w:rsidR="00A356FA" w:rsidRPr="004C758B" w:rsidRDefault="00A356FA" w:rsidP="0050419E">
            <w:pPr>
              <w:spacing w:after="0" w:line="240" w:lineRule="auto"/>
              <w:jc w:val="center"/>
              <w:rPr>
                <w:rFonts w:eastAsia="Times New Roman" w:cs="Times New Roman"/>
                <w:color w:val="000000"/>
                <w:sz w:val="20"/>
              </w:rPr>
            </w:pPr>
            <w:r w:rsidRPr="004C758B">
              <w:rPr>
                <w:rFonts w:eastAsia="Times New Roman" w:cs="Times New Roman"/>
                <w:color w:val="000000"/>
                <w:sz w:val="20"/>
              </w:rPr>
              <w:t>58.9</w:t>
            </w:r>
          </w:p>
        </w:tc>
      </w:tr>
      <w:tr w:rsidR="00A356FA" w:rsidRPr="004154EB" w:rsidTr="004154EB">
        <w:trPr>
          <w:trHeight w:val="20"/>
        </w:trPr>
        <w:tc>
          <w:tcPr>
            <w:tcW w:w="1581" w:type="pct"/>
            <w:shd w:val="clear" w:color="auto" w:fill="auto"/>
            <w:noWrap/>
            <w:vAlign w:val="bottom"/>
            <w:hideMark/>
          </w:tcPr>
          <w:p w:rsidR="00A356FA" w:rsidRPr="004C758B" w:rsidRDefault="00A356FA" w:rsidP="0050419E">
            <w:pPr>
              <w:spacing w:after="0" w:line="240" w:lineRule="auto"/>
              <w:rPr>
                <w:rFonts w:eastAsia="Times New Roman" w:cs="Times New Roman"/>
                <w:b/>
                <w:bCs/>
                <w:color w:val="000000"/>
                <w:sz w:val="20"/>
              </w:rPr>
            </w:pPr>
            <w:r w:rsidRPr="004C758B">
              <w:rPr>
                <w:rFonts w:eastAsia="Times New Roman" w:cs="Times New Roman"/>
                <w:b/>
                <w:bCs/>
                <w:color w:val="000000"/>
                <w:sz w:val="20"/>
              </w:rPr>
              <w:t>Bangladesh</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84.1</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23.9</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54.9</w:t>
            </w:r>
          </w:p>
        </w:tc>
        <w:tc>
          <w:tcPr>
            <w:tcW w:w="523" w:type="pct"/>
            <w:shd w:val="clear" w:color="auto" w:fill="auto"/>
            <w:noWrap/>
            <w:vAlign w:val="bottom"/>
            <w:hideMark/>
          </w:tcPr>
          <w:p w:rsidR="00A356FA" w:rsidRPr="004C758B" w:rsidRDefault="00A356FA" w:rsidP="0050419E">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81.7</w:t>
            </w:r>
          </w:p>
        </w:tc>
        <w:tc>
          <w:tcPr>
            <w:tcW w:w="664" w:type="pct"/>
            <w:shd w:val="clear" w:color="auto" w:fill="auto"/>
            <w:noWrap/>
            <w:vAlign w:val="bottom"/>
            <w:hideMark/>
          </w:tcPr>
          <w:p w:rsidR="00A356FA" w:rsidRPr="004C758B" w:rsidRDefault="00A356FA" w:rsidP="0050419E">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33.7</w:t>
            </w:r>
          </w:p>
        </w:tc>
        <w:tc>
          <w:tcPr>
            <w:tcW w:w="522" w:type="pct"/>
            <w:shd w:val="clear" w:color="auto" w:fill="auto"/>
            <w:noWrap/>
            <w:vAlign w:val="bottom"/>
            <w:hideMark/>
          </w:tcPr>
          <w:p w:rsidR="00A356FA" w:rsidRPr="004C758B" w:rsidRDefault="00A356FA" w:rsidP="0050419E">
            <w:pPr>
              <w:spacing w:after="0" w:line="240" w:lineRule="auto"/>
              <w:jc w:val="center"/>
              <w:rPr>
                <w:rFonts w:eastAsia="Times New Roman" w:cs="Times New Roman"/>
                <w:b/>
                <w:bCs/>
                <w:color w:val="000000"/>
                <w:sz w:val="20"/>
              </w:rPr>
            </w:pPr>
            <w:r w:rsidRPr="004C758B">
              <w:rPr>
                <w:rFonts w:eastAsia="Times New Roman" w:cs="Times New Roman"/>
                <w:b/>
                <w:bCs/>
                <w:color w:val="000000"/>
                <w:sz w:val="20"/>
              </w:rPr>
              <w:t>57.2</w:t>
            </w:r>
          </w:p>
        </w:tc>
      </w:tr>
    </w:tbl>
    <w:p w:rsidR="00A356FA" w:rsidRPr="004154EB" w:rsidRDefault="004C758B" w:rsidP="004C758B">
      <w:pPr>
        <w:spacing w:before="120" w:line="276" w:lineRule="auto"/>
        <w:rPr>
          <w:rFonts w:cs="Times New Roman"/>
          <w:b/>
          <w:i/>
          <w:sz w:val="20"/>
          <w:szCs w:val="24"/>
        </w:rPr>
      </w:pPr>
      <w:r>
        <w:rPr>
          <w:rFonts w:cs="Times New Roman"/>
          <w:b/>
          <w:i/>
          <w:sz w:val="20"/>
          <w:szCs w:val="24"/>
        </w:rPr>
        <w:t xml:space="preserve">Source: </w:t>
      </w:r>
      <w:r w:rsidR="00612DB4">
        <w:rPr>
          <w:rFonts w:cs="Times New Roman"/>
          <w:b/>
          <w:i/>
          <w:sz w:val="20"/>
          <w:szCs w:val="24"/>
        </w:rPr>
        <w:t xml:space="preserve"> GED e</w:t>
      </w:r>
      <w:r w:rsidR="00A356FA" w:rsidRPr="004154EB">
        <w:rPr>
          <w:rFonts w:cs="Times New Roman"/>
          <w:b/>
          <w:i/>
          <w:sz w:val="20"/>
          <w:szCs w:val="24"/>
        </w:rPr>
        <w:t>stimate</w:t>
      </w:r>
      <w:r>
        <w:rPr>
          <w:rFonts w:cs="Times New Roman"/>
          <w:b/>
          <w:i/>
          <w:sz w:val="20"/>
          <w:szCs w:val="24"/>
        </w:rPr>
        <w:t>s</w:t>
      </w:r>
      <w:r w:rsidR="00A356FA" w:rsidRPr="004154EB">
        <w:rPr>
          <w:rFonts w:cs="Times New Roman"/>
          <w:b/>
          <w:i/>
          <w:sz w:val="20"/>
          <w:szCs w:val="24"/>
        </w:rPr>
        <w:t xml:space="preserve"> based on LFS 2000 and 2013</w:t>
      </w:r>
    </w:p>
    <w:p w:rsidR="00710639" w:rsidRPr="00870D5D" w:rsidRDefault="00A356FA" w:rsidP="00870D5D">
      <w:pPr>
        <w:spacing w:line="271" w:lineRule="auto"/>
        <w:jc w:val="both"/>
        <w:rPr>
          <w:rFonts w:cs="Times New Roman"/>
          <w:szCs w:val="24"/>
        </w:rPr>
      </w:pPr>
      <w:r w:rsidRPr="004154EB">
        <w:rPr>
          <w:rFonts w:cs="Times New Roman"/>
          <w:szCs w:val="24"/>
        </w:rPr>
        <w:t xml:space="preserve">Trends in employment, unemployment and underemployment have been captured in Table 2.10.  On the whole employment has increased substantially economy wide. </w:t>
      </w:r>
      <w:r w:rsidRPr="004B0A08">
        <w:rPr>
          <w:rFonts w:cs="Times New Roman"/>
          <w:i/>
          <w:szCs w:val="24"/>
        </w:rPr>
        <w:t>Open unemployment is low and steady. Importantly, underemployment (less than 35 hours of work per week) has fallen substantially economy wide and across all hotspot areas.</w:t>
      </w:r>
      <w:r w:rsidRPr="004154EB">
        <w:rPr>
          <w:rFonts w:cs="Times New Roman"/>
          <w:szCs w:val="24"/>
        </w:rPr>
        <w:t xml:space="preserve"> Consistent with the observed pattern of population growth rate, the employment rate has fallen in the coastal area, drought prone area and the river and estuary area but increased in urban and other three areas. As expected, the employment rate has</w:t>
      </w:r>
      <w:bookmarkStart w:id="157" w:name="_Ref449946840"/>
      <w:bookmarkStart w:id="158" w:name="_Ref449946811"/>
      <w:bookmarkStart w:id="159" w:name="_Toc450078600"/>
      <w:r w:rsidR="00870D5D">
        <w:rPr>
          <w:rFonts w:cs="Times New Roman"/>
          <w:szCs w:val="24"/>
        </w:rPr>
        <w:t xml:space="preserve"> expanded most in urban areas. </w:t>
      </w:r>
    </w:p>
    <w:p w:rsidR="00A356FA" w:rsidRPr="004154EB" w:rsidRDefault="00A356FA" w:rsidP="00944687">
      <w:pPr>
        <w:pStyle w:val="Heading4"/>
      </w:pPr>
      <w:bookmarkStart w:id="160" w:name="_Toc474639006"/>
      <w:r w:rsidRPr="004154EB">
        <w:t>Table 2.</w:t>
      </w:r>
      <w:bookmarkEnd w:id="157"/>
      <w:r w:rsidRPr="004154EB">
        <w:t>10: Employment and Unemployment Rate (%)</w:t>
      </w:r>
      <w:bookmarkEnd w:id="158"/>
      <w:bookmarkEnd w:id="159"/>
      <w:bookmarkEnd w:id="1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tblPr>
      <w:tblGrid>
        <w:gridCol w:w="1905"/>
        <w:gridCol w:w="999"/>
        <w:gridCol w:w="1339"/>
        <w:gridCol w:w="1485"/>
        <w:gridCol w:w="1020"/>
        <w:gridCol w:w="1215"/>
        <w:gridCol w:w="1483"/>
      </w:tblGrid>
      <w:tr w:rsidR="00427B63" w:rsidRPr="004154EB" w:rsidTr="00427B63">
        <w:trPr>
          <w:trHeight w:val="20"/>
        </w:trPr>
        <w:tc>
          <w:tcPr>
            <w:tcW w:w="1008" w:type="pct"/>
            <w:vMerge w:val="restart"/>
            <w:shd w:val="clear" w:color="auto" w:fill="D9D9D9" w:themeFill="background1" w:themeFillShade="D9"/>
            <w:noWrap/>
            <w:vAlign w:val="center"/>
            <w:hideMark/>
          </w:tcPr>
          <w:p w:rsidR="00427B63" w:rsidRPr="004154EB" w:rsidRDefault="00427B63"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Regions/Areas</w:t>
            </w:r>
          </w:p>
        </w:tc>
        <w:tc>
          <w:tcPr>
            <w:tcW w:w="2024" w:type="pct"/>
            <w:gridSpan w:val="3"/>
            <w:shd w:val="clear" w:color="auto" w:fill="D9D9D9" w:themeFill="background1" w:themeFillShade="D9"/>
            <w:vAlign w:val="center"/>
            <w:hideMark/>
          </w:tcPr>
          <w:p w:rsidR="00427B63" w:rsidRPr="004154EB" w:rsidRDefault="00427B63"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2000</w:t>
            </w:r>
          </w:p>
        </w:tc>
        <w:tc>
          <w:tcPr>
            <w:tcW w:w="1968" w:type="pct"/>
            <w:gridSpan w:val="3"/>
            <w:shd w:val="clear" w:color="auto" w:fill="D9D9D9" w:themeFill="background1" w:themeFillShade="D9"/>
            <w:vAlign w:val="center"/>
            <w:hideMark/>
          </w:tcPr>
          <w:p w:rsidR="00427B63" w:rsidRPr="004154EB" w:rsidRDefault="00427B63"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2013</w:t>
            </w:r>
          </w:p>
        </w:tc>
      </w:tr>
      <w:tr w:rsidR="00427B63" w:rsidRPr="004154EB" w:rsidTr="00427B63">
        <w:trPr>
          <w:trHeight w:val="20"/>
        </w:trPr>
        <w:tc>
          <w:tcPr>
            <w:tcW w:w="1008" w:type="pct"/>
            <w:vMerge/>
            <w:shd w:val="clear" w:color="auto" w:fill="D9D9D9" w:themeFill="background1" w:themeFillShade="D9"/>
            <w:noWrap/>
            <w:vAlign w:val="center"/>
            <w:hideMark/>
          </w:tcPr>
          <w:p w:rsidR="00427B63" w:rsidRPr="004154EB" w:rsidRDefault="00427B63" w:rsidP="00710639">
            <w:pPr>
              <w:spacing w:after="0" w:line="240" w:lineRule="auto"/>
              <w:jc w:val="center"/>
              <w:rPr>
                <w:rFonts w:eastAsia="Times New Roman" w:cs="Times New Roman"/>
                <w:b/>
                <w:bCs/>
                <w:color w:val="000000"/>
                <w:sz w:val="20"/>
              </w:rPr>
            </w:pPr>
          </w:p>
        </w:tc>
        <w:tc>
          <w:tcPr>
            <w:tcW w:w="529" w:type="pct"/>
            <w:shd w:val="clear" w:color="auto" w:fill="D9D9D9" w:themeFill="background1" w:themeFillShade="D9"/>
            <w:vAlign w:val="center"/>
            <w:hideMark/>
          </w:tcPr>
          <w:p w:rsidR="00427B63" w:rsidRPr="004154EB" w:rsidRDefault="00427B63"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Employed</w:t>
            </w:r>
          </w:p>
        </w:tc>
        <w:tc>
          <w:tcPr>
            <w:tcW w:w="709" w:type="pct"/>
            <w:shd w:val="clear" w:color="auto" w:fill="D9D9D9" w:themeFill="background1" w:themeFillShade="D9"/>
            <w:vAlign w:val="center"/>
            <w:hideMark/>
          </w:tcPr>
          <w:p w:rsidR="00427B63" w:rsidRPr="004154EB" w:rsidRDefault="00427B63"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Unemployed</w:t>
            </w:r>
          </w:p>
        </w:tc>
        <w:tc>
          <w:tcPr>
            <w:tcW w:w="786" w:type="pct"/>
            <w:shd w:val="clear" w:color="auto" w:fill="D9D9D9" w:themeFill="background1" w:themeFillShade="D9"/>
            <w:vAlign w:val="center"/>
            <w:hideMark/>
          </w:tcPr>
          <w:p w:rsidR="00427B63" w:rsidRPr="004154EB" w:rsidRDefault="00427B63"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Underemployed</w:t>
            </w:r>
          </w:p>
        </w:tc>
        <w:tc>
          <w:tcPr>
            <w:tcW w:w="540" w:type="pct"/>
            <w:shd w:val="clear" w:color="auto" w:fill="D9D9D9" w:themeFill="background1" w:themeFillShade="D9"/>
            <w:vAlign w:val="center"/>
            <w:hideMark/>
          </w:tcPr>
          <w:p w:rsidR="00427B63" w:rsidRPr="004154EB" w:rsidRDefault="00427B63"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Employed</w:t>
            </w:r>
          </w:p>
        </w:tc>
        <w:tc>
          <w:tcPr>
            <w:tcW w:w="643" w:type="pct"/>
            <w:shd w:val="clear" w:color="auto" w:fill="D9D9D9" w:themeFill="background1" w:themeFillShade="D9"/>
            <w:vAlign w:val="center"/>
            <w:hideMark/>
          </w:tcPr>
          <w:p w:rsidR="00427B63" w:rsidRPr="004154EB" w:rsidRDefault="00427B63"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Unemployed</w:t>
            </w:r>
          </w:p>
        </w:tc>
        <w:tc>
          <w:tcPr>
            <w:tcW w:w="785" w:type="pct"/>
            <w:shd w:val="clear" w:color="auto" w:fill="D9D9D9" w:themeFill="background1" w:themeFillShade="D9"/>
            <w:vAlign w:val="center"/>
            <w:hideMark/>
          </w:tcPr>
          <w:p w:rsidR="00427B63" w:rsidRPr="004154EB" w:rsidRDefault="00427B63"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Underemployed</w:t>
            </w:r>
          </w:p>
        </w:tc>
      </w:tr>
      <w:tr w:rsidR="00A356FA" w:rsidRPr="004154EB" w:rsidTr="00427B63">
        <w:trPr>
          <w:trHeight w:val="20"/>
        </w:trPr>
        <w:tc>
          <w:tcPr>
            <w:tcW w:w="1008" w:type="pct"/>
            <w:shd w:val="clear" w:color="auto" w:fill="auto"/>
            <w:noWrap/>
            <w:vAlign w:val="bottom"/>
            <w:hideMark/>
          </w:tcPr>
          <w:p w:rsidR="00A356FA" w:rsidRPr="004154EB" w:rsidRDefault="00A356FA" w:rsidP="00710639">
            <w:pPr>
              <w:spacing w:after="0" w:line="240" w:lineRule="auto"/>
              <w:rPr>
                <w:rFonts w:eastAsia="Times New Roman" w:cs="Times New Roman"/>
                <w:b/>
                <w:bCs/>
                <w:color w:val="000000"/>
                <w:sz w:val="20"/>
              </w:rPr>
            </w:pPr>
            <w:r w:rsidRPr="004154EB">
              <w:rPr>
                <w:rFonts w:eastAsia="Times New Roman" w:cs="Times New Roman"/>
                <w:b/>
                <w:bCs/>
                <w:color w:val="000000"/>
                <w:sz w:val="20"/>
              </w:rPr>
              <w:t>Haor Region</w:t>
            </w:r>
          </w:p>
        </w:tc>
        <w:tc>
          <w:tcPr>
            <w:tcW w:w="52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47.3</w:t>
            </w:r>
          </w:p>
        </w:tc>
        <w:tc>
          <w:tcPr>
            <w:tcW w:w="70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1.5</w:t>
            </w:r>
          </w:p>
        </w:tc>
        <w:tc>
          <w:tcPr>
            <w:tcW w:w="786"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19.2</w:t>
            </w:r>
          </w:p>
        </w:tc>
        <w:tc>
          <w:tcPr>
            <w:tcW w:w="540"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53.9</w:t>
            </w:r>
          </w:p>
        </w:tc>
        <w:tc>
          <w:tcPr>
            <w:tcW w:w="643"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2.5</w:t>
            </w:r>
          </w:p>
        </w:tc>
        <w:tc>
          <w:tcPr>
            <w:tcW w:w="785"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5.1</w:t>
            </w:r>
          </w:p>
        </w:tc>
      </w:tr>
      <w:tr w:rsidR="00A356FA" w:rsidRPr="004154EB" w:rsidTr="00427B63">
        <w:trPr>
          <w:trHeight w:val="20"/>
        </w:trPr>
        <w:tc>
          <w:tcPr>
            <w:tcW w:w="1008" w:type="pct"/>
            <w:shd w:val="clear" w:color="auto" w:fill="auto"/>
            <w:noWrap/>
            <w:vAlign w:val="bottom"/>
            <w:hideMark/>
          </w:tcPr>
          <w:p w:rsidR="00A356FA" w:rsidRPr="004154EB" w:rsidRDefault="00A356FA" w:rsidP="00710639">
            <w:pPr>
              <w:spacing w:after="0" w:line="240" w:lineRule="auto"/>
              <w:rPr>
                <w:rFonts w:eastAsia="Times New Roman" w:cs="Times New Roman"/>
                <w:b/>
                <w:bCs/>
                <w:color w:val="000000"/>
                <w:sz w:val="20"/>
              </w:rPr>
            </w:pPr>
            <w:r w:rsidRPr="004154EB">
              <w:rPr>
                <w:rFonts w:eastAsia="Times New Roman" w:cs="Times New Roman"/>
                <w:b/>
                <w:bCs/>
                <w:color w:val="000000"/>
                <w:sz w:val="20"/>
              </w:rPr>
              <w:t>Coastal Zone</w:t>
            </w:r>
          </w:p>
        </w:tc>
        <w:tc>
          <w:tcPr>
            <w:tcW w:w="52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58.8</w:t>
            </w:r>
          </w:p>
        </w:tc>
        <w:tc>
          <w:tcPr>
            <w:tcW w:w="70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1.3</w:t>
            </w:r>
          </w:p>
        </w:tc>
        <w:tc>
          <w:tcPr>
            <w:tcW w:w="786"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20.4</w:t>
            </w:r>
          </w:p>
        </w:tc>
        <w:tc>
          <w:tcPr>
            <w:tcW w:w="540"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51.4</w:t>
            </w:r>
          </w:p>
        </w:tc>
        <w:tc>
          <w:tcPr>
            <w:tcW w:w="643"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2.8</w:t>
            </w:r>
          </w:p>
        </w:tc>
        <w:tc>
          <w:tcPr>
            <w:tcW w:w="785"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4.4</w:t>
            </w:r>
          </w:p>
        </w:tc>
      </w:tr>
      <w:tr w:rsidR="00A356FA" w:rsidRPr="004154EB" w:rsidTr="00427B63">
        <w:trPr>
          <w:trHeight w:val="20"/>
        </w:trPr>
        <w:tc>
          <w:tcPr>
            <w:tcW w:w="1008" w:type="pct"/>
            <w:shd w:val="clear" w:color="auto" w:fill="auto"/>
            <w:noWrap/>
            <w:vAlign w:val="bottom"/>
            <w:hideMark/>
          </w:tcPr>
          <w:p w:rsidR="00A356FA" w:rsidRPr="004154EB" w:rsidRDefault="00A356FA" w:rsidP="00710639">
            <w:pPr>
              <w:spacing w:after="0" w:line="240" w:lineRule="auto"/>
              <w:rPr>
                <w:rFonts w:eastAsia="Times New Roman" w:cs="Times New Roman"/>
                <w:b/>
                <w:bCs/>
                <w:color w:val="000000"/>
                <w:sz w:val="20"/>
              </w:rPr>
            </w:pPr>
            <w:r w:rsidRPr="004154EB">
              <w:rPr>
                <w:rFonts w:eastAsia="Times New Roman" w:cs="Times New Roman"/>
                <w:b/>
                <w:bCs/>
                <w:color w:val="000000"/>
                <w:sz w:val="20"/>
              </w:rPr>
              <w:t>Chittagong Hill Tracts</w:t>
            </w:r>
          </w:p>
        </w:tc>
        <w:tc>
          <w:tcPr>
            <w:tcW w:w="52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50.4</w:t>
            </w:r>
          </w:p>
        </w:tc>
        <w:tc>
          <w:tcPr>
            <w:tcW w:w="70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0.9</w:t>
            </w:r>
          </w:p>
        </w:tc>
        <w:tc>
          <w:tcPr>
            <w:tcW w:w="786"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23.1</w:t>
            </w:r>
          </w:p>
        </w:tc>
        <w:tc>
          <w:tcPr>
            <w:tcW w:w="540"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65.8</w:t>
            </w:r>
          </w:p>
        </w:tc>
        <w:tc>
          <w:tcPr>
            <w:tcW w:w="643"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2.6</w:t>
            </w:r>
          </w:p>
        </w:tc>
        <w:tc>
          <w:tcPr>
            <w:tcW w:w="785"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10.7</w:t>
            </w:r>
          </w:p>
        </w:tc>
      </w:tr>
      <w:tr w:rsidR="00A356FA" w:rsidRPr="004154EB" w:rsidTr="00427B63">
        <w:trPr>
          <w:trHeight w:val="20"/>
        </w:trPr>
        <w:tc>
          <w:tcPr>
            <w:tcW w:w="1008" w:type="pct"/>
            <w:shd w:val="clear" w:color="auto" w:fill="auto"/>
            <w:noWrap/>
            <w:vAlign w:val="bottom"/>
            <w:hideMark/>
          </w:tcPr>
          <w:p w:rsidR="00A356FA" w:rsidRPr="004154EB" w:rsidRDefault="00A356FA" w:rsidP="00710639">
            <w:pPr>
              <w:spacing w:after="0" w:line="240" w:lineRule="auto"/>
              <w:rPr>
                <w:rFonts w:eastAsia="Times New Roman" w:cs="Times New Roman"/>
                <w:b/>
                <w:bCs/>
                <w:color w:val="000000"/>
                <w:sz w:val="20"/>
              </w:rPr>
            </w:pPr>
            <w:r w:rsidRPr="004154EB">
              <w:rPr>
                <w:rFonts w:eastAsia="Times New Roman" w:cs="Times New Roman"/>
                <w:b/>
                <w:bCs/>
                <w:color w:val="000000"/>
                <w:sz w:val="20"/>
              </w:rPr>
              <w:t>Urban Areas</w:t>
            </w:r>
          </w:p>
        </w:tc>
        <w:tc>
          <w:tcPr>
            <w:tcW w:w="52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45.8</w:t>
            </w:r>
          </w:p>
        </w:tc>
        <w:tc>
          <w:tcPr>
            <w:tcW w:w="70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2.3</w:t>
            </w:r>
          </w:p>
        </w:tc>
        <w:tc>
          <w:tcPr>
            <w:tcW w:w="786"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11.9</w:t>
            </w:r>
          </w:p>
        </w:tc>
        <w:tc>
          <w:tcPr>
            <w:tcW w:w="540"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59.2</w:t>
            </w:r>
          </w:p>
        </w:tc>
        <w:tc>
          <w:tcPr>
            <w:tcW w:w="643"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3.0</w:t>
            </w:r>
          </w:p>
        </w:tc>
        <w:tc>
          <w:tcPr>
            <w:tcW w:w="785"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2.4</w:t>
            </w:r>
          </w:p>
        </w:tc>
      </w:tr>
      <w:tr w:rsidR="00A356FA" w:rsidRPr="004154EB" w:rsidTr="00427B63">
        <w:trPr>
          <w:trHeight w:val="20"/>
        </w:trPr>
        <w:tc>
          <w:tcPr>
            <w:tcW w:w="1008" w:type="pct"/>
            <w:shd w:val="clear" w:color="auto" w:fill="auto"/>
            <w:noWrap/>
            <w:vAlign w:val="bottom"/>
            <w:hideMark/>
          </w:tcPr>
          <w:p w:rsidR="00A356FA" w:rsidRPr="004154EB" w:rsidRDefault="00A356FA" w:rsidP="00710639">
            <w:pPr>
              <w:spacing w:after="0" w:line="240" w:lineRule="auto"/>
              <w:rPr>
                <w:rFonts w:eastAsia="Times New Roman" w:cs="Times New Roman"/>
                <w:b/>
                <w:bCs/>
                <w:color w:val="000000"/>
                <w:sz w:val="20"/>
              </w:rPr>
            </w:pPr>
            <w:r w:rsidRPr="004154EB">
              <w:rPr>
                <w:rFonts w:eastAsia="Times New Roman" w:cs="Times New Roman"/>
                <w:b/>
                <w:bCs/>
                <w:color w:val="000000"/>
                <w:sz w:val="20"/>
              </w:rPr>
              <w:t>Drought Prone Area</w:t>
            </w:r>
          </w:p>
        </w:tc>
        <w:tc>
          <w:tcPr>
            <w:tcW w:w="52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63.2</w:t>
            </w:r>
          </w:p>
        </w:tc>
        <w:tc>
          <w:tcPr>
            <w:tcW w:w="70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1.2</w:t>
            </w:r>
          </w:p>
        </w:tc>
        <w:tc>
          <w:tcPr>
            <w:tcW w:w="786"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16.4</w:t>
            </w:r>
          </w:p>
        </w:tc>
        <w:tc>
          <w:tcPr>
            <w:tcW w:w="540"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55.6</w:t>
            </w:r>
          </w:p>
        </w:tc>
        <w:tc>
          <w:tcPr>
            <w:tcW w:w="643"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1.6</w:t>
            </w:r>
          </w:p>
        </w:tc>
        <w:tc>
          <w:tcPr>
            <w:tcW w:w="785"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1.9</w:t>
            </w:r>
          </w:p>
        </w:tc>
      </w:tr>
      <w:tr w:rsidR="00A356FA" w:rsidRPr="004154EB" w:rsidTr="00427B63">
        <w:trPr>
          <w:trHeight w:val="20"/>
        </w:trPr>
        <w:tc>
          <w:tcPr>
            <w:tcW w:w="1008" w:type="pct"/>
            <w:shd w:val="clear" w:color="auto" w:fill="auto"/>
            <w:noWrap/>
            <w:vAlign w:val="bottom"/>
            <w:hideMark/>
          </w:tcPr>
          <w:p w:rsidR="00A356FA" w:rsidRPr="004154EB" w:rsidRDefault="00A356FA" w:rsidP="00710639">
            <w:pPr>
              <w:spacing w:after="0" w:line="240" w:lineRule="auto"/>
              <w:rPr>
                <w:rFonts w:eastAsia="Times New Roman" w:cs="Times New Roman"/>
                <w:b/>
                <w:bCs/>
                <w:color w:val="000000"/>
                <w:sz w:val="20"/>
              </w:rPr>
            </w:pPr>
            <w:r w:rsidRPr="004154EB">
              <w:rPr>
                <w:rFonts w:eastAsia="Times New Roman" w:cs="Times New Roman"/>
                <w:b/>
                <w:bCs/>
                <w:color w:val="000000"/>
                <w:sz w:val="20"/>
              </w:rPr>
              <w:t>Rivers and Estuary</w:t>
            </w:r>
          </w:p>
        </w:tc>
        <w:tc>
          <w:tcPr>
            <w:tcW w:w="52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55.5</w:t>
            </w:r>
          </w:p>
        </w:tc>
        <w:tc>
          <w:tcPr>
            <w:tcW w:w="70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1.7</w:t>
            </w:r>
          </w:p>
        </w:tc>
        <w:tc>
          <w:tcPr>
            <w:tcW w:w="786"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17.5</w:t>
            </w:r>
          </w:p>
        </w:tc>
        <w:tc>
          <w:tcPr>
            <w:tcW w:w="540"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52.2</w:t>
            </w:r>
          </w:p>
        </w:tc>
        <w:tc>
          <w:tcPr>
            <w:tcW w:w="643"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2.2</w:t>
            </w:r>
          </w:p>
        </w:tc>
        <w:tc>
          <w:tcPr>
            <w:tcW w:w="785"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3.7</w:t>
            </w:r>
          </w:p>
        </w:tc>
      </w:tr>
      <w:tr w:rsidR="00A356FA" w:rsidRPr="004154EB" w:rsidTr="00427B63">
        <w:trPr>
          <w:trHeight w:val="20"/>
        </w:trPr>
        <w:tc>
          <w:tcPr>
            <w:tcW w:w="1008" w:type="pct"/>
            <w:shd w:val="clear" w:color="auto" w:fill="auto"/>
            <w:noWrap/>
            <w:vAlign w:val="bottom"/>
            <w:hideMark/>
          </w:tcPr>
          <w:p w:rsidR="00A356FA" w:rsidRPr="004154EB" w:rsidRDefault="00BC7591" w:rsidP="00710639">
            <w:pPr>
              <w:spacing w:after="0" w:line="240" w:lineRule="auto"/>
              <w:rPr>
                <w:rFonts w:eastAsia="Times New Roman" w:cs="Times New Roman"/>
                <w:b/>
                <w:bCs/>
                <w:color w:val="000000"/>
                <w:sz w:val="20"/>
              </w:rPr>
            </w:pPr>
            <w:r>
              <w:rPr>
                <w:rFonts w:eastAsia="Times New Roman" w:cs="Times New Roman"/>
                <w:b/>
                <w:bCs/>
                <w:color w:val="000000"/>
                <w:sz w:val="20"/>
              </w:rPr>
              <w:t>Safe Region</w:t>
            </w:r>
          </w:p>
        </w:tc>
        <w:tc>
          <w:tcPr>
            <w:tcW w:w="52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53.9</w:t>
            </w:r>
          </w:p>
        </w:tc>
        <w:tc>
          <w:tcPr>
            <w:tcW w:w="709"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2.9</w:t>
            </w:r>
          </w:p>
        </w:tc>
        <w:tc>
          <w:tcPr>
            <w:tcW w:w="786" w:type="pct"/>
            <w:shd w:val="clear" w:color="auto" w:fill="auto"/>
            <w:noWrap/>
            <w:vAlign w:val="bottom"/>
            <w:hideMark/>
          </w:tcPr>
          <w:p w:rsidR="00A356FA" w:rsidRPr="004154EB" w:rsidRDefault="00A356FA" w:rsidP="00710639">
            <w:pPr>
              <w:spacing w:after="0" w:line="240" w:lineRule="auto"/>
              <w:jc w:val="center"/>
              <w:rPr>
                <w:rFonts w:cs="Times New Roman"/>
                <w:color w:val="000000"/>
                <w:sz w:val="20"/>
              </w:rPr>
            </w:pPr>
            <w:r w:rsidRPr="004154EB">
              <w:rPr>
                <w:rFonts w:cs="Times New Roman"/>
                <w:color w:val="000000"/>
                <w:sz w:val="20"/>
              </w:rPr>
              <w:t>17.9</w:t>
            </w:r>
          </w:p>
        </w:tc>
        <w:tc>
          <w:tcPr>
            <w:tcW w:w="540"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55.7</w:t>
            </w:r>
          </w:p>
        </w:tc>
        <w:tc>
          <w:tcPr>
            <w:tcW w:w="643"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3.1</w:t>
            </w:r>
          </w:p>
        </w:tc>
        <w:tc>
          <w:tcPr>
            <w:tcW w:w="785" w:type="pct"/>
            <w:shd w:val="clear" w:color="auto" w:fill="auto"/>
            <w:noWrap/>
            <w:vAlign w:val="bottom"/>
            <w:hideMark/>
          </w:tcPr>
          <w:p w:rsidR="00A356FA" w:rsidRPr="004154EB" w:rsidRDefault="00A356FA" w:rsidP="00710639">
            <w:pPr>
              <w:spacing w:after="0" w:line="240" w:lineRule="auto"/>
              <w:jc w:val="center"/>
              <w:rPr>
                <w:rFonts w:eastAsia="Times New Roman" w:cs="Times New Roman"/>
                <w:color w:val="000000"/>
                <w:sz w:val="20"/>
              </w:rPr>
            </w:pPr>
            <w:r w:rsidRPr="004154EB">
              <w:rPr>
                <w:rFonts w:eastAsia="Times New Roman" w:cs="Times New Roman"/>
                <w:color w:val="000000"/>
                <w:sz w:val="20"/>
              </w:rPr>
              <w:t>4.3</w:t>
            </w:r>
          </w:p>
        </w:tc>
      </w:tr>
      <w:tr w:rsidR="00A356FA" w:rsidRPr="004154EB" w:rsidTr="00427B63">
        <w:trPr>
          <w:trHeight w:val="20"/>
        </w:trPr>
        <w:tc>
          <w:tcPr>
            <w:tcW w:w="1008" w:type="pct"/>
            <w:shd w:val="clear" w:color="auto" w:fill="auto"/>
            <w:noWrap/>
            <w:vAlign w:val="bottom"/>
            <w:hideMark/>
          </w:tcPr>
          <w:p w:rsidR="00A356FA" w:rsidRPr="004154EB" w:rsidRDefault="00A356FA" w:rsidP="00710639">
            <w:pPr>
              <w:spacing w:after="0" w:line="240" w:lineRule="auto"/>
              <w:rPr>
                <w:rFonts w:eastAsia="Times New Roman" w:cs="Times New Roman"/>
                <w:b/>
                <w:bCs/>
                <w:color w:val="000000"/>
                <w:sz w:val="20"/>
              </w:rPr>
            </w:pPr>
            <w:r w:rsidRPr="004154EB">
              <w:rPr>
                <w:rFonts w:eastAsia="Times New Roman" w:cs="Times New Roman"/>
                <w:b/>
                <w:bCs/>
                <w:color w:val="000000"/>
                <w:sz w:val="20"/>
              </w:rPr>
              <w:t>Bangladesh</w:t>
            </w:r>
          </w:p>
        </w:tc>
        <w:tc>
          <w:tcPr>
            <w:tcW w:w="529" w:type="pct"/>
            <w:shd w:val="clear" w:color="auto" w:fill="auto"/>
            <w:noWrap/>
            <w:vAlign w:val="bottom"/>
            <w:hideMark/>
          </w:tcPr>
          <w:p w:rsidR="00A356FA" w:rsidRPr="004154EB" w:rsidRDefault="00A356FA"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51.1</w:t>
            </w:r>
          </w:p>
        </w:tc>
        <w:tc>
          <w:tcPr>
            <w:tcW w:w="709" w:type="pct"/>
            <w:shd w:val="clear" w:color="auto" w:fill="auto"/>
            <w:noWrap/>
            <w:vAlign w:val="bottom"/>
            <w:hideMark/>
          </w:tcPr>
          <w:p w:rsidR="00A356FA" w:rsidRPr="004154EB" w:rsidRDefault="00A356FA"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2.3</w:t>
            </w:r>
          </w:p>
        </w:tc>
        <w:tc>
          <w:tcPr>
            <w:tcW w:w="786" w:type="pct"/>
            <w:shd w:val="clear" w:color="auto" w:fill="auto"/>
            <w:noWrap/>
            <w:vAlign w:val="bottom"/>
            <w:hideMark/>
          </w:tcPr>
          <w:p w:rsidR="00A356FA" w:rsidRPr="004154EB" w:rsidRDefault="00A356FA"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16.7</w:t>
            </w:r>
          </w:p>
        </w:tc>
        <w:tc>
          <w:tcPr>
            <w:tcW w:w="540" w:type="pct"/>
            <w:shd w:val="clear" w:color="auto" w:fill="auto"/>
            <w:noWrap/>
            <w:vAlign w:val="bottom"/>
            <w:hideMark/>
          </w:tcPr>
          <w:p w:rsidR="00A356FA" w:rsidRPr="004154EB" w:rsidRDefault="00A356FA"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54.6</w:t>
            </w:r>
          </w:p>
        </w:tc>
        <w:tc>
          <w:tcPr>
            <w:tcW w:w="643" w:type="pct"/>
            <w:shd w:val="clear" w:color="auto" w:fill="auto"/>
            <w:noWrap/>
            <w:vAlign w:val="bottom"/>
            <w:hideMark/>
          </w:tcPr>
          <w:p w:rsidR="00A356FA" w:rsidRPr="004154EB" w:rsidRDefault="00A356FA"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2.5</w:t>
            </w:r>
          </w:p>
        </w:tc>
        <w:tc>
          <w:tcPr>
            <w:tcW w:w="785" w:type="pct"/>
            <w:shd w:val="clear" w:color="auto" w:fill="auto"/>
            <w:noWrap/>
            <w:vAlign w:val="bottom"/>
            <w:hideMark/>
          </w:tcPr>
          <w:p w:rsidR="00A356FA" w:rsidRPr="004154EB" w:rsidRDefault="00A356FA" w:rsidP="00710639">
            <w:pPr>
              <w:spacing w:after="0" w:line="240" w:lineRule="auto"/>
              <w:jc w:val="center"/>
              <w:rPr>
                <w:rFonts w:eastAsia="Times New Roman" w:cs="Times New Roman"/>
                <w:b/>
                <w:bCs/>
                <w:color w:val="000000"/>
                <w:sz w:val="20"/>
              </w:rPr>
            </w:pPr>
            <w:r w:rsidRPr="004154EB">
              <w:rPr>
                <w:rFonts w:eastAsia="Times New Roman" w:cs="Times New Roman"/>
                <w:b/>
                <w:bCs/>
                <w:color w:val="000000"/>
                <w:sz w:val="20"/>
              </w:rPr>
              <w:t>4.2</w:t>
            </w:r>
          </w:p>
        </w:tc>
      </w:tr>
    </w:tbl>
    <w:p w:rsidR="00A356FA" w:rsidRPr="004154EB" w:rsidRDefault="004C758B" w:rsidP="004C758B">
      <w:pPr>
        <w:spacing w:before="120" w:line="271" w:lineRule="auto"/>
        <w:rPr>
          <w:rFonts w:cs="Times New Roman"/>
          <w:b/>
          <w:i/>
          <w:sz w:val="20"/>
          <w:szCs w:val="24"/>
        </w:rPr>
      </w:pPr>
      <w:r>
        <w:rPr>
          <w:rFonts w:cs="Times New Roman"/>
          <w:b/>
          <w:i/>
          <w:sz w:val="20"/>
          <w:szCs w:val="24"/>
        </w:rPr>
        <w:t xml:space="preserve">Source: </w:t>
      </w:r>
      <w:r w:rsidR="00612DB4">
        <w:rPr>
          <w:rFonts w:cs="Times New Roman"/>
          <w:b/>
          <w:i/>
          <w:sz w:val="20"/>
          <w:szCs w:val="24"/>
        </w:rPr>
        <w:t>GED e</w:t>
      </w:r>
      <w:r w:rsidR="00A356FA" w:rsidRPr="004154EB">
        <w:rPr>
          <w:rFonts w:cs="Times New Roman"/>
          <w:b/>
          <w:i/>
          <w:sz w:val="20"/>
          <w:szCs w:val="24"/>
        </w:rPr>
        <w:t>stimate</w:t>
      </w:r>
      <w:r>
        <w:rPr>
          <w:rFonts w:cs="Times New Roman"/>
          <w:b/>
          <w:i/>
          <w:sz w:val="20"/>
          <w:szCs w:val="24"/>
        </w:rPr>
        <w:t>s</w:t>
      </w:r>
      <w:r w:rsidR="00A356FA" w:rsidRPr="004154EB">
        <w:rPr>
          <w:rFonts w:cs="Times New Roman"/>
          <w:b/>
          <w:i/>
          <w:sz w:val="20"/>
          <w:szCs w:val="24"/>
        </w:rPr>
        <w:t xml:space="preserve"> based on LFS 2000 and 2013</w:t>
      </w:r>
    </w:p>
    <w:p w:rsidR="00A356FA" w:rsidRPr="004154EB" w:rsidRDefault="00A356FA" w:rsidP="009D1C3B">
      <w:pPr>
        <w:spacing w:line="271" w:lineRule="auto"/>
        <w:jc w:val="both"/>
        <w:rPr>
          <w:rFonts w:cs="Times New Roman"/>
          <w:szCs w:val="24"/>
        </w:rPr>
      </w:pPr>
      <w:r w:rsidRPr="004154EB">
        <w:rPr>
          <w:rFonts w:cs="Times New Roman"/>
          <w:szCs w:val="24"/>
        </w:rPr>
        <w:t>Distribution of employed populati</w:t>
      </w:r>
      <w:r w:rsidR="00870D5D">
        <w:rPr>
          <w:rFonts w:cs="Times New Roman"/>
          <w:szCs w:val="24"/>
        </w:rPr>
        <w:t>on by broad activities such as agriculture, i</w:t>
      </w:r>
      <w:r w:rsidRPr="004154EB">
        <w:rPr>
          <w:rFonts w:cs="Times New Roman"/>
          <w:szCs w:val="24"/>
        </w:rPr>
        <w:t xml:space="preserve">ndustry and services is shown in Table 2.11.  The results suggest a clear pattern of falling agricultural employment in </w:t>
      </w:r>
      <w:r w:rsidRPr="004154EB">
        <w:rPr>
          <w:rFonts w:cs="Times New Roman"/>
          <w:szCs w:val="24"/>
        </w:rPr>
        <w:lastRenderedPageBreak/>
        <w:t>favour of industry. For the entire Bangladesh, employment in agricultural activity reduced by about 6 percentage points between 2000 (i.e. 51.3%) and 2010 (i.e. 45.7%). During the same period, employment in services activity also experienced a reduction of 1.5 percentage points. The trends across the regions are however mixed</w:t>
      </w:r>
      <w:r w:rsidR="00870D5D">
        <w:rPr>
          <w:rFonts w:cs="Times New Roman"/>
          <w:szCs w:val="24"/>
        </w:rPr>
        <w:t>,</w:t>
      </w:r>
      <w:r w:rsidRPr="004154EB">
        <w:rPr>
          <w:rFonts w:cs="Times New Roman"/>
          <w:szCs w:val="24"/>
        </w:rPr>
        <w:t xml:space="preserve"> with four regions </w:t>
      </w:r>
      <w:r w:rsidR="00870D5D">
        <w:rPr>
          <w:rFonts w:cs="Times New Roman"/>
          <w:szCs w:val="24"/>
        </w:rPr>
        <w:t xml:space="preserve">that </w:t>
      </w:r>
      <w:r w:rsidRPr="004154EB">
        <w:rPr>
          <w:rFonts w:cs="Times New Roman"/>
          <w:szCs w:val="24"/>
        </w:rPr>
        <w:t xml:space="preserve">experienced </w:t>
      </w:r>
      <w:r w:rsidR="00870D5D">
        <w:rPr>
          <w:rFonts w:cs="Times New Roman"/>
          <w:szCs w:val="24"/>
        </w:rPr>
        <w:t>a reduction i</w:t>
      </w:r>
      <w:r w:rsidRPr="004154EB">
        <w:rPr>
          <w:rFonts w:cs="Times New Roman"/>
          <w:szCs w:val="24"/>
        </w:rPr>
        <w:t xml:space="preserve">n services employment while </w:t>
      </w:r>
      <w:r w:rsidR="00870D5D">
        <w:rPr>
          <w:rFonts w:cs="Times New Roman"/>
          <w:szCs w:val="24"/>
        </w:rPr>
        <w:t xml:space="preserve">the </w:t>
      </w:r>
      <w:r w:rsidRPr="004154EB">
        <w:rPr>
          <w:rFonts w:cs="Times New Roman"/>
          <w:szCs w:val="24"/>
        </w:rPr>
        <w:t>remaining three reported increase in services employment. The above trend of rising industry employment at the expense of agriculture clearly suggest</w:t>
      </w:r>
      <w:r w:rsidR="0092347D">
        <w:rPr>
          <w:rFonts w:cs="Times New Roman"/>
          <w:szCs w:val="24"/>
        </w:rPr>
        <w:t xml:space="preserve">s the </w:t>
      </w:r>
      <w:r w:rsidRPr="004154EB">
        <w:rPr>
          <w:rFonts w:cs="Times New Roman"/>
          <w:szCs w:val="24"/>
        </w:rPr>
        <w:t xml:space="preserve">growth of higher income employment. </w:t>
      </w:r>
    </w:p>
    <w:p w:rsidR="006F1498" w:rsidRPr="0092347D" w:rsidRDefault="00A356FA" w:rsidP="009D1C3B">
      <w:pPr>
        <w:spacing w:line="271" w:lineRule="auto"/>
        <w:jc w:val="both"/>
        <w:rPr>
          <w:rFonts w:cs="Times New Roman"/>
          <w:color w:val="000000" w:themeColor="text1"/>
          <w:szCs w:val="24"/>
        </w:rPr>
      </w:pPr>
      <w:r w:rsidRPr="004154EB">
        <w:rPr>
          <w:rFonts w:cs="Times New Roman"/>
          <w:color w:val="000000" w:themeColor="text1"/>
          <w:szCs w:val="24"/>
        </w:rPr>
        <w:t xml:space="preserve">The distribution of employment by major sectors throws important light </w:t>
      </w:r>
      <w:r w:rsidR="0092347D">
        <w:rPr>
          <w:rFonts w:cs="Times New Roman"/>
          <w:color w:val="000000" w:themeColor="text1"/>
          <w:szCs w:val="24"/>
        </w:rPr>
        <w:t xml:space="preserve">on </w:t>
      </w:r>
      <w:r w:rsidRPr="004154EB">
        <w:rPr>
          <w:rFonts w:cs="Times New Roman"/>
          <w:color w:val="000000" w:themeColor="text1"/>
          <w:szCs w:val="24"/>
        </w:rPr>
        <w:t xml:space="preserve">the diversification of economic opportunities by hotspots. The urban areas are most diversified in terms of a growing industrial sector employment.  </w:t>
      </w:r>
      <w:r w:rsidRPr="004B0A08">
        <w:rPr>
          <w:rFonts w:cs="Times New Roman"/>
          <w:i/>
          <w:color w:val="000000" w:themeColor="text1"/>
          <w:szCs w:val="24"/>
        </w:rPr>
        <w:t>The share of industrial employment grew substantially from 21% in 2000 to 32% in 2013</w:t>
      </w:r>
      <w:r w:rsidRPr="004154EB">
        <w:rPr>
          <w:rFonts w:cs="Times New Roman"/>
          <w:color w:val="000000" w:themeColor="text1"/>
          <w:szCs w:val="24"/>
        </w:rPr>
        <w:t>.  Except for CHT, the economies of other hotspots have also changed significantly.  Yet</w:t>
      </w:r>
      <w:r w:rsidR="004154EB" w:rsidRPr="004154EB">
        <w:rPr>
          <w:rFonts w:cs="Times New Roman"/>
          <w:color w:val="000000" w:themeColor="text1"/>
          <w:szCs w:val="24"/>
        </w:rPr>
        <w:t>, compared</w:t>
      </w:r>
      <w:r w:rsidRPr="004154EB">
        <w:rPr>
          <w:rFonts w:cs="Times New Roman"/>
          <w:color w:val="000000" w:themeColor="text1"/>
          <w:szCs w:val="24"/>
        </w:rPr>
        <w:t xml:space="preserve"> with the urban areas, the employment share of manufacturing is between 8-19%.   In particular all other delta hotspots continue to rely between 47-65% of employment in agriculture.  This </w:t>
      </w:r>
      <w:r w:rsidR="0092347D">
        <w:rPr>
          <w:rFonts w:cs="Times New Roman"/>
          <w:color w:val="000000" w:themeColor="text1"/>
          <w:szCs w:val="24"/>
        </w:rPr>
        <w:t xml:space="preserve">continued </w:t>
      </w:r>
      <w:r w:rsidRPr="004154EB">
        <w:rPr>
          <w:rFonts w:cs="Times New Roman"/>
          <w:color w:val="000000" w:themeColor="text1"/>
          <w:szCs w:val="24"/>
        </w:rPr>
        <w:t>heavy reliance on agriculture for livelihood makes the work force so much more vulnerable to climate change and natural hazards.</w:t>
      </w:r>
    </w:p>
    <w:p w:rsidR="00A356FA" w:rsidRPr="004154EB" w:rsidRDefault="00A356FA" w:rsidP="00944687">
      <w:pPr>
        <w:pStyle w:val="Heading4"/>
      </w:pPr>
      <w:bookmarkStart w:id="161" w:name="_Ref449943553"/>
      <w:bookmarkStart w:id="162" w:name="_Toc450078601"/>
      <w:bookmarkStart w:id="163" w:name="_Toc474639007"/>
      <w:r w:rsidRPr="004154EB">
        <w:rPr>
          <w:color w:val="000000" w:themeColor="text1"/>
        </w:rPr>
        <w:t>Table 2.</w:t>
      </w:r>
      <w:bookmarkEnd w:id="161"/>
      <w:r w:rsidRPr="004154EB">
        <w:rPr>
          <w:color w:val="000000" w:themeColor="text1"/>
        </w:rPr>
        <w:t xml:space="preserve">11: </w:t>
      </w:r>
      <w:r w:rsidRPr="004154EB">
        <w:t>Distribution of Employed Persons (%)</w:t>
      </w:r>
      <w:bookmarkEnd w:id="162"/>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8"/>
        <w:gridCol w:w="1389"/>
        <w:gridCol w:w="1105"/>
        <w:gridCol w:w="1086"/>
        <w:gridCol w:w="1389"/>
        <w:gridCol w:w="1105"/>
        <w:gridCol w:w="1084"/>
      </w:tblGrid>
      <w:tr w:rsidR="00A356FA" w:rsidRPr="00EC079B" w:rsidTr="00427B63">
        <w:trPr>
          <w:trHeight w:hRule="exact" w:val="288"/>
          <w:tblHeader/>
        </w:trPr>
        <w:tc>
          <w:tcPr>
            <w:tcW w:w="1263" w:type="pct"/>
            <w:vMerge w:val="restart"/>
            <w:shd w:val="clear" w:color="auto" w:fill="F2F2F2" w:themeFill="background1" w:themeFillShade="F2"/>
            <w:noWrap/>
            <w:vAlign w:val="center"/>
            <w:hideMark/>
          </w:tcPr>
          <w:p w:rsidR="00A356FA" w:rsidRPr="00EC079B" w:rsidRDefault="00A356FA" w:rsidP="00427B63">
            <w:pPr>
              <w:spacing w:after="0"/>
              <w:jc w:val="center"/>
              <w:rPr>
                <w:rFonts w:eastAsia="Times New Roman" w:cs="Times New Roman"/>
                <w:b/>
                <w:bCs/>
                <w:color w:val="000000"/>
                <w:sz w:val="20"/>
                <w:szCs w:val="20"/>
              </w:rPr>
            </w:pPr>
            <w:r w:rsidRPr="00EC079B">
              <w:rPr>
                <w:rFonts w:eastAsia="Times New Roman" w:cs="Times New Roman"/>
                <w:b/>
                <w:bCs/>
                <w:color w:val="000000"/>
                <w:sz w:val="20"/>
                <w:szCs w:val="20"/>
              </w:rPr>
              <w:t>Regions/Areas</w:t>
            </w:r>
          </w:p>
        </w:tc>
        <w:tc>
          <w:tcPr>
            <w:tcW w:w="1869" w:type="pct"/>
            <w:gridSpan w:val="3"/>
            <w:shd w:val="clear" w:color="auto" w:fill="F2F2F2" w:themeFill="background1" w:themeFillShade="F2"/>
            <w:noWrap/>
            <w:vAlign w:val="center"/>
            <w:hideMark/>
          </w:tcPr>
          <w:p w:rsidR="00A356FA" w:rsidRPr="00EC079B" w:rsidRDefault="00A356FA" w:rsidP="00427B63">
            <w:pPr>
              <w:spacing w:after="0"/>
              <w:jc w:val="center"/>
              <w:rPr>
                <w:rFonts w:eastAsia="Times New Roman" w:cs="Times New Roman"/>
                <w:b/>
                <w:bCs/>
                <w:color w:val="000000"/>
                <w:sz w:val="20"/>
                <w:szCs w:val="20"/>
              </w:rPr>
            </w:pPr>
            <w:r w:rsidRPr="00EC079B">
              <w:rPr>
                <w:rFonts w:eastAsia="Times New Roman" w:cs="Times New Roman"/>
                <w:b/>
                <w:bCs/>
                <w:color w:val="000000"/>
                <w:sz w:val="20"/>
                <w:szCs w:val="20"/>
              </w:rPr>
              <w:t>2000</w:t>
            </w:r>
          </w:p>
        </w:tc>
        <w:tc>
          <w:tcPr>
            <w:tcW w:w="1868" w:type="pct"/>
            <w:gridSpan w:val="3"/>
            <w:shd w:val="clear" w:color="auto" w:fill="F2F2F2" w:themeFill="background1" w:themeFillShade="F2"/>
            <w:noWrap/>
            <w:vAlign w:val="center"/>
            <w:hideMark/>
          </w:tcPr>
          <w:p w:rsidR="00A356FA" w:rsidRPr="00EC079B" w:rsidRDefault="00A356FA" w:rsidP="00427B63">
            <w:pPr>
              <w:spacing w:after="0"/>
              <w:jc w:val="center"/>
              <w:rPr>
                <w:rFonts w:eastAsia="Times New Roman" w:cs="Times New Roman"/>
                <w:b/>
                <w:bCs/>
                <w:color w:val="000000"/>
                <w:sz w:val="20"/>
                <w:szCs w:val="20"/>
              </w:rPr>
            </w:pPr>
            <w:r w:rsidRPr="00EC079B">
              <w:rPr>
                <w:rFonts w:eastAsia="Times New Roman" w:cs="Times New Roman"/>
                <w:b/>
                <w:bCs/>
                <w:color w:val="000000"/>
                <w:sz w:val="20"/>
                <w:szCs w:val="20"/>
              </w:rPr>
              <w:t>2013</w:t>
            </w:r>
          </w:p>
        </w:tc>
      </w:tr>
      <w:tr w:rsidR="00A356FA" w:rsidRPr="00EC079B" w:rsidTr="00427B63">
        <w:trPr>
          <w:trHeight w:hRule="exact" w:val="288"/>
          <w:tblHeader/>
        </w:trPr>
        <w:tc>
          <w:tcPr>
            <w:tcW w:w="1263" w:type="pct"/>
            <w:vMerge/>
            <w:shd w:val="clear" w:color="auto" w:fill="F2F2F2" w:themeFill="background1" w:themeFillShade="F2"/>
            <w:noWrap/>
            <w:vAlign w:val="center"/>
            <w:hideMark/>
          </w:tcPr>
          <w:p w:rsidR="00A356FA" w:rsidRPr="00EC079B" w:rsidRDefault="00A356FA" w:rsidP="00427B63">
            <w:pPr>
              <w:spacing w:after="0"/>
              <w:jc w:val="center"/>
              <w:rPr>
                <w:rFonts w:eastAsia="Times New Roman" w:cs="Times New Roman"/>
                <w:color w:val="000000"/>
                <w:sz w:val="20"/>
                <w:szCs w:val="20"/>
              </w:rPr>
            </w:pPr>
          </w:p>
        </w:tc>
        <w:tc>
          <w:tcPr>
            <w:tcW w:w="725" w:type="pct"/>
            <w:shd w:val="clear" w:color="auto" w:fill="F2F2F2" w:themeFill="background1" w:themeFillShade="F2"/>
            <w:vAlign w:val="center"/>
            <w:hideMark/>
          </w:tcPr>
          <w:p w:rsidR="00A356FA" w:rsidRPr="00EC079B" w:rsidRDefault="00A356FA" w:rsidP="00427B63">
            <w:pPr>
              <w:spacing w:after="0"/>
              <w:jc w:val="center"/>
              <w:rPr>
                <w:rFonts w:eastAsia="Times New Roman" w:cs="Times New Roman"/>
                <w:b/>
                <w:bCs/>
                <w:color w:val="000000"/>
                <w:sz w:val="20"/>
                <w:szCs w:val="20"/>
              </w:rPr>
            </w:pPr>
            <w:r w:rsidRPr="00EC079B">
              <w:rPr>
                <w:rFonts w:eastAsia="Times New Roman" w:cs="Times New Roman"/>
                <w:b/>
                <w:bCs/>
                <w:color w:val="000000"/>
                <w:sz w:val="20"/>
                <w:szCs w:val="20"/>
              </w:rPr>
              <w:t>Agriculture</w:t>
            </w:r>
          </w:p>
        </w:tc>
        <w:tc>
          <w:tcPr>
            <w:tcW w:w="577" w:type="pct"/>
            <w:shd w:val="clear" w:color="auto" w:fill="F2F2F2" w:themeFill="background1" w:themeFillShade="F2"/>
            <w:vAlign w:val="center"/>
            <w:hideMark/>
          </w:tcPr>
          <w:p w:rsidR="00A356FA" w:rsidRPr="00EC079B" w:rsidRDefault="00A356FA" w:rsidP="00427B63">
            <w:pPr>
              <w:spacing w:after="0"/>
              <w:jc w:val="center"/>
              <w:rPr>
                <w:rFonts w:eastAsia="Times New Roman" w:cs="Times New Roman"/>
                <w:b/>
                <w:bCs/>
                <w:color w:val="000000"/>
                <w:sz w:val="20"/>
                <w:szCs w:val="20"/>
              </w:rPr>
            </w:pPr>
            <w:r w:rsidRPr="00EC079B">
              <w:rPr>
                <w:rFonts w:eastAsia="Times New Roman" w:cs="Times New Roman"/>
                <w:b/>
                <w:bCs/>
                <w:color w:val="000000"/>
                <w:sz w:val="20"/>
                <w:szCs w:val="20"/>
              </w:rPr>
              <w:t>Industry</w:t>
            </w:r>
          </w:p>
        </w:tc>
        <w:tc>
          <w:tcPr>
            <w:tcW w:w="567" w:type="pct"/>
            <w:shd w:val="clear" w:color="auto" w:fill="F2F2F2" w:themeFill="background1" w:themeFillShade="F2"/>
            <w:vAlign w:val="center"/>
            <w:hideMark/>
          </w:tcPr>
          <w:p w:rsidR="00A356FA" w:rsidRPr="00EC079B" w:rsidRDefault="00A356FA" w:rsidP="00427B63">
            <w:pPr>
              <w:spacing w:after="0"/>
              <w:jc w:val="center"/>
              <w:rPr>
                <w:rFonts w:eastAsia="Times New Roman" w:cs="Times New Roman"/>
                <w:b/>
                <w:bCs/>
                <w:color w:val="000000"/>
                <w:sz w:val="20"/>
                <w:szCs w:val="20"/>
              </w:rPr>
            </w:pPr>
            <w:r w:rsidRPr="00EC079B">
              <w:rPr>
                <w:rFonts w:eastAsia="Times New Roman" w:cs="Times New Roman"/>
                <w:b/>
                <w:bCs/>
                <w:color w:val="000000"/>
                <w:sz w:val="20"/>
                <w:szCs w:val="20"/>
              </w:rPr>
              <w:t>Services</w:t>
            </w:r>
          </w:p>
        </w:tc>
        <w:tc>
          <w:tcPr>
            <w:tcW w:w="725" w:type="pct"/>
            <w:shd w:val="clear" w:color="auto" w:fill="F2F2F2" w:themeFill="background1" w:themeFillShade="F2"/>
            <w:vAlign w:val="center"/>
            <w:hideMark/>
          </w:tcPr>
          <w:p w:rsidR="00A356FA" w:rsidRPr="00EC079B" w:rsidRDefault="00A356FA" w:rsidP="00427B63">
            <w:pPr>
              <w:spacing w:after="0"/>
              <w:jc w:val="center"/>
              <w:rPr>
                <w:rFonts w:eastAsia="Times New Roman" w:cs="Times New Roman"/>
                <w:b/>
                <w:bCs/>
                <w:color w:val="000000"/>
                <w:sz w:val="20"/>
                <w:szCs w:val="20"/>
              </w:rPr>
            </w:pPr>
            <w:r w:rsidRPr="00EC079B">
              <w:rPr>
                <w:rFonts w:eastAsia="Times New Roman" w:cs="Times New Roman"/>
                <w:b/>
                <w:bCs/>
                <w:color w:val="000000"/>
                <w:sz w:val="20"/>
                <w:szCs w:val="20"/>
              </w:rPr>
              <w:t>Agriculture</w:t>
            </w:r>
          </w:p>
        </w:tc>
        <w:tc>
          <w:tcPr>
            <w:tcW w:w="577" w:type="pct"/>
            <w:shd w:val="clear" w:color="auto" w:fill="F2F2F2" w:themeFill="background1" w:themeFillShade="F2"/>
            <w:vAlign w:val="center"/>
            <w:hideMark/>
          </w:tcPr>
          <w:p w:rsidR="00A356FA" w:rsidRPr="00EC079B" w:rsidRDefault="00A356FA" w:rsidP="00427B63">
            <w:pPr>
              <w:spacing w:after="0"/>
              <w:jc w:val="center"/>
              <w:rPr>
                <w:rFonts w:eastAsia="Times New Roman" w:cs="Times New Roman"/>
                <w:b/>
                <w:bCs/>
                <w:color w:val="000000"/>
                <w:sz w:val="20"/>
                <w:szCs w:val="20"/>
              </w:rPr>
            </w:pPr>
            <w:r w:rsidRPr="00EC079B">
              <w:rPr>
                <w:rFonts w:eastAsia="Times New Roman" w:cs="Times New Roman"/>
                <w:b/>
                <w:bCs/>
                <w:color w:val="000000"/>
                <w:sz w:val="20"/>
                <w:szCs w:val="20"/>
              </w:rPr>
              <w:t>Industry</w:t>
            </w:r>
          </w:p>
        </w:tc>
        <w:tc>
          <w:tcPr>
            <w:tcW w:w="566" w:type="pct"/>
            <w:shd w:val="clear" w:color="auto" w:fill="F2F2F2" w:themeFill="background1" w:themeFillShade="F2"/>
            <w:vAlign w:val="center"/>
            <w:hideMark/>
          </w:tcPr>
          <w:p w:rsidR="00A356FA" w:rsidRPr="00EC079B" w:rsidRDefault="00A356FA" w:rsidP="00427B63">
            <w:pPr>
              <w:spacing w:after="0"/>
              <w:jc w:val="center"/>
              <w:rPr>
                <w:rFonts w:eastAsia="Times New Roman" w:cs="Times New Roman"/>
                <w:b/>
                <w:bCs/>
                <w:color w:val="000000"/>
                <w:sz w:val="20"/>
                <w:szCs w:val="20"/>
              </w:rPr>
            </w:pPr>
            <w:r w:rsidRPr="00EC079B">
              <w:rPr>
                <w:rFonts w:eastAsia="Times New Roman" w:cs="Times New Roman"/>
                <w:b/>
                <w:bCs/>
                <w:color w:val="000000"/>
                <w:sz w:val="20"/>
                <w:szCs w:val="20"/>
              </w:rPr>
              <w:t>Services</w:t>
            </w:r>
          </w:p>
        </w:tc>
      </w:tr>
      <w:tr w:rsidR="00A356FA" w:rsidRPr="00EC079B" w:rsidTr="004154EB">
        <w:trPr>
          <w:trHeight w:hRule="exact" w:val="288"/>
        </w:trPr>
        <w:tc>
          <w:tcPr>
            <w:tcW w:w="1263" w:type="pct"/>
            <w:shd w:val="clear" w:color="auto" w:fill="auto"/>
            <w:noWrap/>
            <w:vAlign w:val="bottom"/>
            <w:hideMark/>
          </w:tcPr>
          <w:p w:rsidR="00A356FA" w:rsidRPr="00EC079B" w:rsidRDefault="00A356FA" w:rsidP="00C151CD">
            <w:pPr>
              <w:spacing w:after="0"/>
              <w:rPr>
                <w:rFonts w:eastAsia="Times New Roman" w:cs="Times New Roman"/>
                <w:b/>
                <w:bCs/>
                <w:color w:val="000000"/>
                <w:sz w:val="20"/>
                <w:szCs w:val="20"/>
              </w:rPr>
            </w:pPr>
            <w:r w:rsidRPr="00EC079B">
              <w:rPr>
                <w:rFonts w:eastAsia="Times New Roman" w:cs="Times New Roman"/>
                <w:b/>
                <w:bCs/>
                <w:color w:val="000000"/>
                <w:sz w:val="20"/>
                <w:szCs w:val="20"/>
              </w:rPr>
              <w:t>Haor Region</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70.1</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5.2</w:t>
            </w:r>
          </w:p>
        </w:tc>
        <w:tc>
          <w:tcPr>
            <w:tcW w:w="56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24.7</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52.3</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15.2</w:t>
            </w:r>
          </w:p>
        </w:tc>
        <w:tc>
          <w:tcPr>
            <w:tcW w:w="566"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32.5</w:t>
            </w:r>
          </w:p>
        </w:tc>
      </w:tr>
      <w:tr w:rsidR="00A356FA" w:rsidRPr="00EC079B" w:rsidTr="004154EB">
        <w:trPr>
          <w:trHeight w:hRule="exact" w:val="288"/>
        </w:trPr>
        <w:tc>
          <w:tcPr>
            <w:tcW w:w="1263" w:type="pct"/>
            <w:shd w:val="clear" w:color="auto" w:fill="auto"/>
            <w:noWrap/>
            <w:vAlign w:val="bottom"/>
            <w:hideMark/>
          </w:tcPr>
          <w:p w:rsidR="00A356FA" w:rsidRPr="00EC079B" w:rsidRDefault="00A356FA" w:rsidP="00C151CD">
            <w:pPr>
              <w:spacing w:after="0"/>
              <w:rPr>
                <w:rFonts w:eastAsia="Times New Roman" w:cs="Times New Roman"/>
                <w:b/>
                <w:bCs/>
                <w:color w:val="000000"/>
                <w:sz w:val="20"/>
                <w:szCs w:val="20"/>
              </w:rPr>
            </w:pPr>
            <w:r w:rsidRPr="00EC079B">
              <w:rPr>
                <w:rFonts w:eastAsia="Times New Roman" w:cs="Times New Roman"/>
                <w:b/>
                <w:bCs/>
                <w:color w:val="000000"/>
                <w:sz w:val="20"/>
                <w:szCs w:val="20"/>
              </w:rPr>
              <w:t>Coastal Zone</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58.2</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8.3</w:t>
            </w:r>
          </w:p>
        </w:tc>
        <w:tc>
          <w:tcPr>
            <w:tcW w:w="56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33.5</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49.7</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17.6</w:t>
            </w:r>
          </w:p>
        </w:tc>
        <w:tc>
          <w:tcPr>
            <w:tcW w:w="566"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32.8</w:t>
            </w:r>
          </w:p>
        </w:tc>
      </w:tr>
      <w:tr w:rsidR="00A356FA" w:rsidRPr="00EC079B" w:rsidTr="004154EB">
        <w:trPr>
          <w:trHeight w:hRule="exact" w:val="288"/>
        </w:trPr>
        <w:tc>
          <w:tcPr>
            <w:tcW w:w="1263" w:type="pct"/>
            <w:shd w:val="clear" w:color="auto" w:fill="auto"/>
            <w:noWrap/>
            <w:vAlign w:val="bottom"/>
            <w:hideMark/>
          </w:tcPr>
          <w:p w:rsidR="00A356FA" w:rsidRPr="00EC079B" w:rsidRDefault="00A356FA" w:rsidP="00C151CD">
            <w:pPr>
              <w:spacing w:after="0"/>
              <w:rPr>
                <w:rFonts w:eastAsia="Times New Roman" w:cs="Times New Roman"/>
                <w:b/>
                <w:bCs/>
                <w:color w:val="000000"/>
                <w:sz w:val="20"/>
                <w:szCs w:val="20"/>
              </w:rPr>
            </w:pPr>
            <w:r w:rsidRPr="00EC079B">
              <w:rPr>
                <w:rFonts w:eastAsia="Times New Roman" w:cs="Times New Roman"/>
                <w:b/>
                <w:bCs/>
                <w:color w:val="000000"/>
                <w:sz w:val="20"/>
                <w:szCs w:val="20"/>
              </w:rPr>
              <w:t>Chittagong Hill Tracts</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60.3</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3.7</w:t>
            </w:r>
          </w:p>
        </w:tc>
        <w:tc>
          <w:tcPr>
            <w:tcW w:w="56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36.0</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65.2</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7.7</w:t>
            </w:r>
          </w:p>
        </w:tc>
        <w:tc>
          <w:tcPr>
            <w:tcW w:w="566"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27.1</w:t>
            </w:r>
          </w:p>
        </w:tc>
      </w:tr>
      <w:tr w:rsidR="00A356FA" w:rsidRPr="00EC079B" w:rsidTr="004154EB">
        <w:trPr>
          <w:trHeight w:hRule="exact" w:val="288"/>
        </w:trPr>
        <w:tc>
          <w:tcPr>
            <w:tcW w:w="1263" w:type="pct"/>
            <w:shd w:val="clear" w:color="auto" w:fill="auto"/>
            <w:noWrap/>
            <w:vAlign w:val="bottom"/>
            <w:hideMark/>
          </w:tcPr>
          <w:p w:rsidR="00A356FA" w:rsidRPr="00EC079B" w:rsidRDefault="00A356FA" w:rsidP="00C151CD">
            <w:pPr>
              <w:spacing w:after="0"/>
              <w:rPr>
                <w:rFonts w:eastAsia="Times New Roman" w:cs="Times New Roman"/>
                <w:b/>
                <w:bCs/>
                <w:color w:val="000000"/>
                <w:sz w:val="20"/>
                <w:szCs w:val="20"/>
              </w:rPr>
            </w:pPr>
            <w:r w:rsidRPr="00EC079B">
              <w:rPr>
                <w:rFonts w:eastAsia="Times New Roman" w:cs="Times New Roman"/>
                <w:b/>
                <w:bCs/>
                <w:color w:val="000000"/>
                <w:sz w:val="20"/>
                <w:szCs w:val="20"/>
              </w:rPr>
              <w:t>Urban Areas</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30.9</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20.5</w:t>
            </w:r>
          </w:p>
        </w:tc>
        <w:tc>
          <w:tcPr>
            <w:tcW w:w="56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48.6</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22.0</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31.8</w:t>
            </w:r>
          </w:p>
        </w:tc>
        <w:tc>
          <w:tcPr>
            <w:tcW w:w="566"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46.1</w:t>
            </w:r>
          </w:p>
        </w:tc>
      </w:tr>
      <w:tr w:rsidR="00A356FA" w:rsidRPr="00EC079B" w:rsidTr="004154EB">
        <w:trPr>
          <w:trHeight w:hRule="exact" w:val="288"/>
        </w:trPr>
        <w:tc>
          <w:tcPr>
            <w:tcW w:w="1263" w:type="pct"/>
            <w:shd w:val="clear" w:color="auto" w:fill="auto"/>
            <w:noWrap/>
            <w:vAlign w:val="bottom"/>
            <w:hideMark/>
          </w:tcPr>
          <w:p w:rsidR="00A356FA" w:rsidRPr="00EC079B" w:rsidRDefault="00A356FA" w:rsidP="00C151CD">
            <w:pPr>
              <w:spacing w:after="0"/>
              <w:rPr>
                <w:rFonts w:eastAsia="Times New Roman" w:cs="Times New Roman"/>
                <w:b/>
                <w:bCs/>
                <w:color w:val="000000"/>
                <w:sz w:val="20"/>
                <w:szCs w:val="20"/>
              </w:rPr>
            </w:pPr>
            <w:r w:rsidRPr="00EC079B">
              <w:rPr>
                <w:rFonts w:eastAsia="Times New Roman" w:cs="Times New Roman"/>
                <w:b/>
                <w:bCs/>
                <w:color w:val="000000"/>
                <w:sz w:val="20"/>
                <w:szCs w:val="20"/>
              </w:rPr>
              <w:t>Drought Prone Area</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65.1</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14.0</w:t>
            </w:r>
          </w:p>
        </w:tc>
        <w:tc>
          <w:tcPr>
            <w:tcW w:w="56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20.9</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58.5</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15.2</w:t>
            </w:r>
          </w:p>
        </w:tc>
        <w:tc>
          <w:tcPr>
            <w:tcW w:w="566"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26.2</w:t>
            </w:r>
          </w:p>
        </w:tc>
      </w:tr>
      <w:tr w:rsidR="00A356FA" w:rsidRPr="00EC079B" w:rsidTr="004154EB">
        <w:trPr>
          <w:trHeight w:hRule="exact" w:val="288"/>
        </w:trPr>
        <w:tc>
          <w:tcPr>
            <w:tcW w:w="1263" w:type="pct"/>
            <w:shd w:val="clear" w:color="auto" w:fill="auto"/>
            <w:noWrap/>
            <w:vAlign w:val="bottom"/>
            <w:hideMark/>
          </w:tcPr>
          <w:p w:rsidR="00A356FA" w:rsidRPr="00EC079B" w:rsidRDefault="00A356FA" w:rsidP="00C151CD">
            <w:pPr>
              <w:spacing w:after="0"/>
              <w:rPr>
                <w:rFonts w:eastAsia="Times New Roman" w:cs="Times New Roman"/>
                <w:b/>
                <w:bCs/>
                <w:color w:val="000000"/>
                <w:sz w:val="20"/>
                <w:szCs w:val="20"/>
              </w:rPr>
            </w:pPr>
            <w:r w:rsidRPr="00EC079B">
              <w:rPr>
                <w:rFonts w:eastAsia="Times New Roman" w:cs="Times New Roman"/>
                <w:b/>
                <w:bCs/>
                <w:color w:val="000000"/>
                <w:sz w:val="20"/>
                <w:szCs w:val="20"/>
              </w:rPr>
              <w:t>Rivers and Estuary</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56.2</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12.0</w:t>
            </w:r>
          </w:p>
        </w:tc>
        <w:tc>
          <w:tcPr>
            <w:tcW w:w="56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31.8</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46.7</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18.8</w:t>
            </w:r>
          </w:p>
        </w:tc>
        <w:tc>
          <w:tcPr>
            <w:tcW w:w="566"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34.5</w:t>
            </w:r>
          </w:p>
        </w:tc>
      </w:tr>
      <w:tr w:rsidR="00A356FA" w:rsidRPr="00EC079B" w:rsidTr="004154EB">
        <w:trPr>
          <w:trHeight w:hRule="exact" w:val="288"/>
        </w:trPr>
        <w:tc>
          <w:tcPr>
            <w:tcW w:w="1263" w:type="pct"/>
            <w:shd w:val="clear" w:color="auto" w:fill="auto"/>
            <w:noWrap/>
            <w:vAlign w:val="bottom"/>
            <w:hideMark/>
          </w:tcPr>
          <w:p w:rsidR="00A356FA" w:rsidRPr="00EC079B" w:rsidRDefault="00BC7591" w:rsidP="00C151CD">
            <w:pPr>
              <w:spacing w:after="0"/>
              <w:rPr>
                <w:rFonts w:eastAsia="Times New Roman" w:cs="Times New Roman"/>
                <w:b/>
                <w:bCs/>
                <w:color w:val="000000"/>
                <w:sz w:val="20"/>
                <w:szCs w:val="20"/>
              </w:rPr>
            </w:pPr>
            <w:r>
              <w:rPr>
                <w:rFonts w:eastAsia="Times New Roman" w:cs="Times New Roman"/>
                <w:b/>
                <w:bCs/>
                <w:color w:val="000000"/>
                <w:sz w:val="20"/>
                <w:szCs w:val="20"/>
              </w:rPr>
              <w:t>Safe Region</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60.0</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7.6</w:t>
            </w:r>
          </w:p>
        </w:tc>
        <w:tc>
          <w:tcPr>
            <w:tcW w:w="56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32.3</w:t>
            </w:r>
          </w:p>
        </w:tc>
        <w:tc>
          <w:tcPr>
            <w:tcW w:w="725"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44.6</w:t>
            </w:r>
          </w:p>
        </w:tc>
        <w:tc>
          <w:tcPr>
            <w:tcW w:w="577"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26.6</w:t>
            </w:r>
          </w:p>
        </w:tc>
        <w:tc>
          <w:tcPr>
            <w:tcW w:w="566" w:type="pct"/>
            <w:shd w:val="clear" w:color="auto" w:fill="auto"/>
            <w:noWrap/>
            <w:vAlign w:val="bottom"/>
            <w:hideMark/>
          </w:tcPr>
          <w:p w:rsidR="00A356FA" w:rsidRPr="00EC079B" w:rsidRDefault="00A356FA" w:rsidP="00C151CD">
            <w:pPr>
              <w:spacing w:after="0"/>
              <w:jc w:val="center"/>
              <w:rPr>
                <w:rFonts w:cs="Times New Roman"/>
                <w:color w:val="000000"/>
                <w:sz w:val="20"/>
                <w:szCs w:val="20"/>
              </w:rPr>
            </w:pPr>
            <w:r w:rsidRPr="00EC079B">
              <w:rPr>
                <w:rFonts w:cs="Times New Roman"/>
                <w:color w:val="000000"/>
                <w:sz w:val="20"/>
                <w:szCs w:val="20"/>
              </w:rPr>
              <w:t>28.8</w:t>
            </w:r>
          </w:p>
        </w:tc>
      </w:tr>
      <w:tr w:rsidR="00A356FA" w:rsidRPr="00EC079B" w:rsidTr="004154EB">
        <w:trPr>
          <w:trHeight w:hRule="exact" w:val="288"/>
        </w:trPr>
        <w:tc>
          <w:tcPr>
            <w:tcW w:w="1263" w:type="pct"/>
            <w:shd w:val="clear" w:color="auto" w:fill="auto"/>
            <w:noWrap/>
            <w:vAlign w:val="bottom"/>
            <w:hideMark/>
          </w:tcPr>
          <w:p w:rsidR="00A356FA" w:rsidRPr="00EC079B" w:rsidRDefault="00A356FA" w:rsidP="00C151CD">
            <w:pPr>
              <w:spacing w:after="0"/>
              <w:rPr>
                <w:rFonts w:eastAsia="Times New Roman" w:cs="Times New Roman"/>
                <w:b/>
                <w:bCs/>
                <w:color w:val="000000"/>
                <w:sz w:val="20"/>
                <w:szCs w:val="20"/>
              </w:rPr>
            </w:pPr>
            <w:r w:rsidRPr="00EC079B">
              <w:rPr>
                <w:rFonts w:eastAsia="Times New Roman" w:cs="Times New Roman"/>
                <w:b/>
                <w:bCs/>
                <w:color w:val="000000"/>
                <w:sz w:val="20"/>
                <w:szCs w:val="20"/>
              </w:rPr>
              <w:t>Bangladesh</w:t>
            </w:r>
          </w:p>
        </w:tc>
        <w:tc>
          <w:tcPr>
            <w:tcW w:w="725" w:type="pct"/>
            <w:shd w:val="clear" w:color="auto" w:fill="auto"/>
            <w:noWrap/>
            <w:vAlign w:val="bottom"/>
            <w:hideMark/>
          </w:tcPr>
          <w:p w:rsidR="00A356FA" w:rsidRPr="00EC079B" w:rsidRDefault="00A356FA" w:rsidP="00C151CD">
            <w:pPr>
              <w:spacing w:after="0"/>
              <w:jc w:val="center"/>
              <w:rPr>
                <w:rFonts w:cs="Times New Roman"/>
                <w:b/>
                <w:bCs/>
                <w:color w:val="000000"/>
                <w:sz w:val="20"/>
                <w:szCs w:val="20"/>
              </w:rPr>
            </w:pPr>
            <w:r w:rsidRPr="00EC079B">
              <w:rPr>
                <w:rFonts w:cs="Times New Roman"/>
                <w:b/>
                <w:bCs/>
                <w:color w:val="000000"/>
                <w:sz w:val="20"/>
                <w:szCs w:val="20"/>
              </w:rPr>
              <w:t>51.3</w:t>
            </w:r>
          </w:p>
        </w:tc>
        <w:tc>
          <w:tcPr>
            <w:tcW w:w="577" w:type="pct"/>
            <w:shd w:val="clear" w:color="auto" w:fill="auto"/>
            <w:noWrap/>
            <w:vAlign w:val="bottom"/>
            <w:hideMark/>
          </w:tcPr>
          <w:p w:rsidR="00A356FA" w:rsidRPr="00EC079B" w:rsidRDefault="00A356FA" w:rsidP="00C151CD">
            <w:pPr>
              <w:spacing w:after="0"/>
              <w:jc w:val="center"/>
              <w:rPr>
                <w:rFonts w:cs="Times New Roman"/>
                <w:b/>
                <w:bCs/>
                <w:color w:val="000000"/>
                <w:sz w:val="20"/>
                <w:szCs w:val="20"/>
              </w:rPr>
            </w:pPr>
            <w:r w:rsidRPr="00EC079B">
              <w:rPr>
                <w:rFonts w:cs="Times New Roman"/>
                <w:b/>
                <w:bCs/>
                <w:color w:val="000000"/>
                <w:sz w:val="20"/>
                <w:szCs w:val="20"/>
              </w:rPr>
              <w:t>13.1</w:t>
            </w:r>
          </w:p>
        </w:tc>
        <w:tc>
          <w:tcPr>
            <w:tcW w:w="567" w:type="pct"/>
            <w:shd w:val="clear" w:color="auto" w:fill="auto"/>
            <w:noWrap/>
            <w:vAlign w:val="bottom"/>
            <w:hideMark/>
          </w:tcPr>
          <w:p w:rsidR="00A356FA" w:rsidRPr="00EC079B" w:rsidRDefault="00A356FA" w:rsidP="00C151CD">
            <w:pPr>
              <w:spacing w:after="0"/>
              <w:jc w:val="center"/>
              <w:rPr>
                <w:rFonts w:cs="Times New Roman"/>
                <w:b/>
                <w:bCs/>
                <w:color w:val="000000"/>
                <w:sz w:val="20"/>
                <w:szCs w:val="20"/>
              </w:rPr>
            </w:pPr>
            <w:r w:rsidRPr="00EC079B">
              <w:rPr>
                <w:rFonts w:cs="Times New Roman"/>
                <w:b/>
                <w:bCs/>
                <w:color w:val="000000"/>
                <w:sz w:val="20"/>
                <w:szCs w:val="20"/>
              </w:rPr>
              <w:t>35.6</w:t>
            </w:r>
          </w:p>
        </w:tc>
        <w:tc>
          <w:tcPr>
            <w:tcW w:w="725" w:type="pct"/>
            <w:shd w:val="clear" w:color="auto" w:fill="auto"/>
            <w:noWrap/>
            <w:vAlign w:val="bottom"/>
            <w:hideMark/>
          </w:tcPr>
          <w:p w:rsidR="00A356FA" w:rsidRPr="00EC079B" w:rsidRDefault="00A356FA" w:rsidP="00C151CD">
            <w:pPr>
              <w:spacing w:after="0"/>
              <w:jc w:val="center"/>
              <w:rPr>
                <w:rFonts w:cs="Times New Roman"/>
                <w:b/>
                <w:bCs/>
                <w:color w:val="000000"/>
                <w:sz w:val="20"/>
                <w:szCs w:val="20"/>
              </w:rPr>
            </w:pPr>
            <w:r w:rsidRPr="00EC079B">
              <w:rPr>
                <w:rFonts w:cs="Times New Roman"/>
                <w:b/>
                <w:bCs/>
                <w:color w:val="000000"/>
                <w:sz w:val="20"/>
                <w:szCs w:val="20"/>
              </w:rPr>
              <w:t>45.1</w:t>
            </w:r>
          </w:p>
        </w:tc>
        <w:tc>
          <w:tcPr>
            <w:tcW w:w="577" w:type="pct"/>
            <w:shd w:val="clear" w:color="auto" w:fill="auto"/>
            <w:noWrap/>
            <w:vAlign w:val="bottom"/>
            <w:hideMark/>
          </w:tcPr>
          <w:p w:rsidR="00A356FA" w:rsidRPr="00EC079B" w:rsidRDefault="00A356FA" w:rsidP="00C151CD">
            <w:pPr>
              <w:spacing w:after="0"/>
              <w:jc w:val="center"/>
              <w:rPr>
                <w:rFonts w:cs="Times New Roman"/>
                <w:b/>
                <w:bCs/>
                <w:color w:val="000000"/>
                <w:sz w:val="20"/>
                <w:szCs w:val="20"/>
              </w:rPr>
            </w:pPr>
            <w:r w:rsidRPr="00EC079B">
              <w:rPr>
                <w:rFonts w:cs="Times New Roman"/>
                <w:b/>
                <w:bCs/>
                <w:color w:val="000000"/>
                <w:sz w:val="20"/>
                <w:szCs w:val="20"/>
              </w:rPr>
              <w:t>20.8</w:t>
            </w:r>
          </w:p>
        </w:tc>
        <w:tc>
          <w:tcPr>
            <w:tcW w:w="566" w:type="pct"/>
            <w:shd w:val="clear" w:color="auto" w:fill="auto"/>
            <w:noWrap/>
            <w:vAlign w:val="bottom"/>
            <w:hideMark/>
          </w:tcPr>
          <w:p w:rsidR="00A356FA" w:rsidRPr="00EC079B" w:rsidRDefault="00A356FA" w:rsidP="00C151CD">
            <w:pPr>
              <w:spacing w:after="0"/>
              <w:jc w:val="center"/>
              <w:rPr>
                <w:rFonts w:cs="Times New Roman"/>
                <w:b/>
                <w:bCs/>
                <w:color w:val="000000"/>
                <w:sz w:val="20"/>
                <w:szCs w:val="20"/>
              </w:rPr>
            </w:pPr>
            <w:r w:rsidRPr="00EC079B">
              <w:rPr>
                <w:rFonts w:cs="Times New Roman"/>
                <w:b/>
                <w:bCs/>
                <w:color w:val="000000"/>
                <w:sz w:val="20"/>
                <w:szCs w:val="20"/>
              </w:rPr>
              <w:t>34.1</w:t>
            </w:r>
          </w:p>
        </w:tc>
      </w:tr>
    </w:tbl>
    <w:p w:rsidR="00A356FA" w:rsidRPr="004154EB" w:rsidRDefault="004C758B" w:rsidP="00055278">
      <w:pPr>
        <w:spacing w:line="276" w:lineRule="auto"/>
        <w:rPr>
          <w:rFonts w:cs="Times New Roman"/>
          <w:b/>
          <w:i/>
          <w:sz w:val="20"/>
          <w:szCs w:val="24"/>
        </w:rPr>
      </w:pPr>
      <w:r>
        <w:rPr>
          <w:rFonts w:cs="Times New Roman"/>
          <w:b/>
          <w:i/>
          <w:sz w:val="20"/>
          <w:szCs w:val="24"/>
        </w:rPr>
        <w:t xml:space="preserve">Source: </w:t>
      </w:r>
      <w:r w:rsidR="00612DB4">
        <w:rPr>
          <w:rFonts w:cs="Times New Roman"/>
          <w:b/>
          <w:i/>
          <w:sz w:val="20"/>
          <w:szCs w:val="24"/>
        </w:rPr>
        <w:t>GED e</w:t>
      </w:r>
      <w:r w:rsidR="00A356FA" w:rsidRPr="004154EB">
        <w:rPr>
          <w:rFonts w:cs="Times New Roman"/>
          <w:b/>
          <w:i/>
          <w:sz w:val="20"/>
          <w:szCs w:val="24"/>
        </w:rPr>
        <w:t>stimate</w:t>
      </w:r>
      <w:r>
        <w:rPr>
          <w:rFonts w:cs="Times New Roman"/>
          <w:b/>
          <w:i/>
          <w:sz w:val="20"/>
          <w:szCs w:val="24"/>
        </w:rPr>
        <w:t>s</w:t>
      </w:r>
      <w:r w:rsidR="00A356FA" w:rsidRPr="004154EB">
        <w:rPr>
          <w:rFonts w:cs="Times New Roman"/>
          <w:b/>
          <w:i/>
          <w:sz w:val="20"/>
          <w:szCs w:val="24"/>
        </w:rPr>
        <w:t xml:space="preserve"> based on LFS 2000 and 2013</w:t>
      </w:r>
    </w:p>
    <w:p w:rsidR="00000000" w:rsidRDefault="00A356FA" w:rsidP="003D5A31">
      <w:pPr>
        <w:pStyle w:val="BodyText"/>
        <w:numPr>
          <w:ilvl w:val="2"/>
          <w:numId w:val="135"/>
        </w:numPr>
        <w:spacing w:after="240" w:line="276" w:lineRule="auto"/>
        <w:jc w:val="both"/>
        <w:rPr>
          <w:rFonts w:cs="Times New Roman"/>
          <w:b/>
          <w:szCs w:val="24"/>
        </w:rPr>
      </w:pPr>
      <w:bookmarkStart w:id="164" w:name="_Toc450078485"/>
      <w:r w:rsidRPr="007B27E1">
        <w:rPr>
          <w:rFonts w:cs="Times New Roman"/>
          <w:b/>
          <w:szCs w:val="24"/>
        </w:rPr>
        <w:t>Poverty and Inequality</w:t>
      </w:r>
      <w:bookmarkEnd w:id="164"/>
    </w:p>
    <w:p w:rsidR="00A356FA" w:rsidRPr="004154EB" w:rsidRDefault="00A356FA" w:rsidP="003C27AB">
      <w:pPr>
        <w:spacing w:line="269" w:lineRule="auto"/>
        <w:jc w:val="both"/>
        <w:rPr>
          <w:rFonts w:cs="Times New Roman"/>
          <w:szCs w:val="24"/>
        </w:rPr>
      </w:pPr>
      <w:r w:rsidRPr="004154EB">
        <w:rPr>
          <w:rFonts w:cs="Times New Roman"/>
          <w:szCs w:val="24"/>
        </w:rPr>
        <w:t xml:space="preserve">Bangladesh has made impressive progress in reducing poverty. </w:t>
      </w:r>
      <w:r w:rsidR="00FA7216">
        <w:rPr>
          <w:rFonts w:cs="Times New Roman"/>
          <w:szCs w:val="24"/>
        </w:rPr>
        <w:t xml:space="preserve">Nevertheless, further poverty alleviation remains a major policy challenge. </w:t>
      </w:r>
      <w:r w:rsidR="0092347D">
        <w:rPr>
          <w:rFonts w:cs="Times New Roman"/>
          <w:szCs w:val="24"/>
        </w:rPr>
        <w:t>For example</w:t>
      </w:r>
      <w:r w:rsidRPr="004154EB">
        <w:rPr>
          <w:rFonts w:cs="Times New Roman"/>
          <w:szCs w:val="24"/>
        </w:rPr>
        <w:t xml:space="preserve"> according to the projection</w:t>
      </w:r>
      <w:r w:rsidR="0092347D">
        <w:rPr>
          <w:rFonts w:cs="Times New Roman"/>
          <w:szCs w:val="24"/>
        </w:rPr>
        <w:t>s</w:t>
      </w:r>
      <w:r w:rsidRPr="004154EB">
        <w:rPr>
          <w:rFonts w:cs="Times New Roman"/>
          <w:szCs w:val="24"/>
        </w:rPr>
        <w:t xml:space="preserve"> of </w:t>
      </w:r>
      <w:r w:rsidR="004F7097">
        <w:rPr>
          <w:rFonts w:cs="Times New Roman"/>
          <w:szCs w:val="24"/>
        </w:rPr>
        <w:t>7FYP</w:t>
      </w:r>
      <w:r w:rsidRPr="004154EB">
        <w:rPr>
          <w:rFonts w:cs="Times New Roman"/>
          <w:szCs w:val="24"/>
        </w:rPr>
        <w:t xml:space="preserve">, almost </w:t>
      </w:r>
      <w:r w:rsidR="0092347D">
        <w:rPr>
          <w:rFonts w:cs="Times New Roman"/>
          <w:szCs w:val="24"/>
        </w:rPr>
        <w:t xml:space="preserve">a </w:t>
      </w:r>
      <w:r w:rsidRPr="004154EB">
        <w:rPr>
          <w:rFonts w:cs="Times New Roman"/>
          <w:szCs w:val="24"/>
        </w:rPr>
        <w:t xml:space="preserve">quarter of </w:t>
      </w:r>
      <w:r w:rsidR="0092347D">
        <w:rPr>
          <w:rFonts w:cs="Times New Roman"/>
          <w:szCs w:val="24"/>
        </w:rPr>
        <w:t>the population was</w:t>
      </w:r>
      <w:r w:rsidRPr="004154EB">
        <w:rPr>
          <w:rFonts w:cs="Times New Roman"/>
          <w:szCs w:val="24"/>
        </w:rPr>
        <w:t xml:space="preserve"> poor </w:t>
      </w:r>
      <w:r w:rsidR="0092347D">
        <w:rPr>
          <w:rFonts w:cs="Times New Roman"/>
          <w:szCs w:val="24"/>
        </w:rPr>
        <w:t xml:space="preserve">as </w:t>
      </w:r>
      <w:r w:rsidRPr="004154EB">
        <w:rPr>
          <w:rFonts w:cs="Times New Roman"/>
          <w:szCs w:val="24"/>
        </w:rPr>
        <w:t xml:space="preserve">measured by the upper poverty line. Given the </w:t>
      </w:r>
      <w:r w:rsidR="00202486">
        <w:rPr>
          <w:rFonts w:cs="Times New Roman"/>
          <w:szCs w:val="24"/>
        </w:rPr>
        <w:t>pervasive nature of the poverty</w:t>
      </w:r>
      <w:r w:rsidRPr="004154EB">
        <w:rPr>
          <w:rFonts w:cs="Times New Roman"/>
          <w:szCs w:val="24"/>
        </w:rPr>
        <w:t xml:space="preserve"> in Bangladesh</w:t>
      </w:r>
      <w:r w:rsidR="00202486">
        <w:rPr>
          <w:rFonts w:cs="Times New Roman"/>
          <w:szCs w:val="24"/>
        </w:rPr>
        <w:t>,</w:t>
      </w:r>
      <w:r w:rsidRPr="004154EB">
        <w:rPr>
          <w:rFonts w:cs="Times New Roman"/>
          <w:szCs w:val="24"/>
        </w:rPr>
        <w:t xml:space="preserve"> </w:t>
      </w:r>
      <w:r w:rsidR="00202486">
        <w:rPr>
          <w:rFonts w:cs="Times New Roman"/>
          <w:szCs w:val="24"/>
        </w:rPr>
        <w:t xml:space="preserve">the </w:t>
      </w:r>
      <w:r w:rsidRPr="004154EB">
        <w:rPr>
          <w:rFonts w:cs="Times New Roman"/>
          <w:szCs w:val="24"/>
        </w:rPr>
        <w:t xml:space="preserve">reduction of poverty and extreme poverty is considered </w:t>
      </w:r>
      <w:r w:rsidR="00202486">
        <w:rPr>
          <w:rFonts w:cs="Times New Roman"/>
          <w:szCs w:val="24"/>
        </w:rPr>
        <w:t xml:space="preserve">as </w:t>
      </w:r>
      <w:r w:rsidRPr="004154EB">
        <w:rPr>
          <w:rFonts w:cs="Times New Roman"/>
          <w:szCs w:val="24"/>
        </w:rPr>
        <w:t xml:space="preserve">the most </w:t>
      </w:r>
      <w:r w:rsidR="00F51D0D" w:rsidRPr="004154EB">
        <w:rPr>
          <w:rFonts w:cs="Times New Roman"/>
          <w:szCs w:val="24"/>
        </w:rPr>
        <w:t xml:space="preserve">important </w:t>
      </w:r>
      <w:r w:rsidR="00F51D0D">
        <w:rPr>
          <w:rFonts w:cs="Times New Roman"/>
          <w:szCs w:val="24"/>
        </w:rPr>
        <w:t>indicator</w:t>
      </w:r>
      <w:r w:rsidR="00202486">
        <w:rPr>
          <w:rFonts w:cs="Times New Roman"/>
          <w:szCs w:val="24"/>
        </w:rPr>
        <w:t xml:space="preserve"> of progress with development</w:t>
      </w:r>
      <w:r w:rsidRPr="004154EB">
        <w:rPr>
          <w:rFonts w:cs="Times New Roman"/>
          <w:szCs w:val="24"/>
        </w:rPr>
        <w:t xml:space="preserve">. In this section, </w:t>
      </w:r>
      <w:r w:rsidR="00202486">
        <w:rPr>
          <w:rFonts w:cs="Times New Roman"/>
          <w:szCs w:val="24"/>
        </w:rPr>
        <w:t xml:space="preserve">an </w:t>
      </w:r>
      <w:r w:rsidRPr="004154EB">
        <w:rPr>
          <w:rFonts w:cs="Times New Roman"/>
          <w:szCs w:val="24"/>
        </w:rPr>
        <w:lastRenderedPageBreak/>
        <w:t>assessment of poverty, ineq</w:t>
      </w:r>
      <w:r w:rsidR="00202486">
        <w:rPr>
          <w:rFonts w:cs="Times New Roman"/>
          <w:szCs w:val="24"/>
        </w:rPr>
        <w:t>uality and vulnerability is provided using</w:t>
      </w:r>
      <w:r w:rsidRPr="004154EB">
        <w:rPr>
          <w:rFonts w:cs="Times New Roman"/>
          <w:szCs w:val="24"/>
        </w:rPr>
        <w:t xml:space="preserve"> well accepted measures such as FGT</w:t>
      </w:r>
      <w:r w:rsidRPr="004154EB">
        <w:rPr>
          <w:rStyle w:val="FootnoteReference"/>
          <w:rFonts w:cs="Times New Roman"/>
          <w:szCs w:val="24"/>
        </w:rPr>
        <w:footnoteReference w:id="5"/>
      </w:r>
      <w:r w:rsidRPr="004154EB">
        <w:rPr>
          <w:rFonts w:cs="Times New Roman"/>
          <w:szCs w:val="24"/>
        </w:rPr>
        <w:t xml:space="preserve"> and Gini</w:t>
      </w:r>
      <w:r w:rsidR="00202486">
        <w:rPr>
          <w:rFonts w:cs="Times New Roman"/>
          <w:szCs w:val="24"/>
        </w:rPr>
        <w:t xml:space="preserve"> coefficients</w:t>
      </w:r>
      <w:r w:rsidRPr="004154EB">
        <w:rPr>
          <w:rStyle w:val="FootnoteReference"/>
          <w:rFonts w:cs="Times New Roman"/>
          <w:szCs w:val="24"/>
        </w:rPr>
        <w:footnoteReference w:id="6"/>
      </w:r>
      <w:r w:rsidRPr="004154EB">
        <w:rPr>
          <w:rFonts w:cs="Times New Roman"/>
          <w:szCs w:val="24"/>
        </w:rPr>
        <w:t>.</w:t>
      </w:r>
    </w:p>
    <w:p w:rsidR="00202486" w:rsidRDefault="00A356FA" w:rsidP="003C27AB">
      <w:pPr>
        <w:spacing w:line="269" w:lineRule="auto"/>
        <w:jc w:val="both"/>
        <w:rPr>
          <w:rFonts w:cs="Times New Roman"/>
          <w:szCs w:val="24"/>
        </w:rPr>
      </w:pPr>
      <w:r w:rsidRPr="004154EB">
        <w:rPr>
          <w:rFonts w:cs="Times New Roman"/>
          <w:szCs w:val="24"/>
        </w:rPr>
        <w:t xml:space="preserve">Table 2.12 below shows the trends in head count poverty along with poverty gap, poverty severity and inequality across all regions. </w:t>
      </w:r>
      <w:r w:rsidR="00202486" w:rsidRPr="004154EB">
        <w:rPr>
          <w:rFonts w:cs="Times New Roman"/>
          <w:szCs w:val="24"/>
        </w:rPr>
        <w:t>Between 2000 and 2010, annualized percentage point reduction in head count poverty as measured by the upper poverty line</w:t>
      </w:r>
      <w:r w:rsidR="00202486" w:rsidRPr="004154EB">
        <w:rPr>
          <w:rStyle w:val="FootnoteReference"/>
          <w:rFonts w:cs="Times New Roman"/>
          <w:szCs w:val="24"/>
        </w:rPr>
        <w:footnoteReference w:id="7"/>
      </w:r>
      <w:r w:rsidR="00202486" w:rsidRPr="004154EB">
        <w:rPr>
          <w:rFonts w:cs="Times New Roman"/>
          <w:szCs w:val="24"/>
        </w:rPr>
        <w:t xml:space="preserve"> has been 1.7 for Bangladesh as a whole.</w:t>
      </w:r>
      <w:r w:rsidR="00202486">
        <w:rPr>
          <w:rFonts w:cs="Times New Roman"/>
          <w:szCs w:val="24"/>
        </w:rPr>
        <w:t xml:space="preserve"> </w:t>
      </w:r>
      <w:r w:rsidRPr="004154EB">
        <w:rPr>
          <w:rFonts w:cs="Times New Roman"/>
          <w:szCs w:val="24"/>
        </w:rPr>
        <w:t xml:space="preserve">There is substantial </w:t>
      </w:r>
      <w:r w:rsidR="00202486">
        <w:rPr>
          <w:rFonts w:cs="Times New Roman"/>
          <w:szCs w:val="24"/>
        </w:rPr>
        <w:t xml:space="preserve">variation in poverty rate </w:t>
      </w:r>
      <w:r w:rsidRPr="004154EB">
        <w:rPr>
          <w:rFonts w:cs="Times New Roman"/>
          <w:szCs w:val="24"/>
        </w:rPr>
        <w:t xml:space="preserve">among the hotspots.  In 2010, the lowest poverty rate happened in the urban hotspot (20.7 %).  </w:t>
      </w:r>
      <w:r w:rsidRPr="004B0A08">
        <w:rPr>
          <w:rFonts w:cs="Times New Roman"/>
          <w:i/>
          <w:szCs w:val="24"/>
        </w:rPr>
        <w:t>On the other han</w:t>
      </w:r>
      <w:r w:rsidR="00202486" w:rsidRPr="004B0A08">
        <w:rPr>
          <w:rFonts w:cs="Times New Roman"/>
          <w:i/>
          <w:szCs w:val="24"/>
        </w:rPr>
        <w:t>d the rivers and estuary region</w:t>
      </w:r>
      <w:r w:rsidRPr="004B0A08">
        <w:rPr>
          <w:rFonts w:cs="Times New Roman"/>
          <w:i/>
          <w:szCs w:val="24"/>
        </w:rPr>
        <w:t xml:space="preserve"> show</w:t>
      </w:r>
      <w:r w:rsidR="00202486" w:rsidRPr="004B0A08">
        <w:rPr>
          <w:rFonts w:cs="Times New Roman"/>
          <w:i/>
          <w:szCs w:val="24"/>
        </w:rPr>
        <w:t>s</w:t>
      </w:r>
      <w:r w:rsidRPr="004B0A08">
        <w:rPr>
          <w:rFonts w:cs="Times New Roman"/>
          <w:i/>
          <w:szCs w:val="24"/>
        </w:rPr>
        <w:t xml:space="preserve"> the highest poverty incidence of 38.3%, which is 22% higher than the national average </w:t>
      </w:r>
      <w:r w:rsidR="00B7110D" w:rsidRPr="004B0A08">
        <w:rPr>
          <w:rFonts w:cs="Times New Roman"/>
          <w:i/>
          <w:szCs w:val="24"/>
        </w:rPr>
        <w:t>and a</w:t>
      </w:r>
      <w:r w:rsidRPr="004B0A08">
        <w:rPr>
          <w:rFonts w:cs="Times New Roman"/>
          <w:i/>
          <w:szCs w:val="24"/>
        </w:rPr>
        <w:t xml:space="preserve"> whopping 85% higher than the average poverty rate for the urban areas.  The coastal belt also exhibits higher than nation</w:t>
      </w:r>
      <w:r w:rsidR="00202486" w:rsidRPr="004B0A08">
        <w:rPr>
          <w:rFonts w:cs="Times New Roman"/>
          <w:i/>
          <w:szCs w:val="24"/>
        </w:rPr>
        <w:t>al</w:t>
      </w:r>
      <w:r w:rsidRPr="004B0A08">
        <w:rPr>
          <w:rFonts w:cs="Times New Roman"/>
          <w:i/>
          <w:szCs w:val="24"/>
        </w:rPr>
        <w:t xml:space="preserve"> average pov</w:t>
      </w:r>
      <w:r w:rsidR="00202486" w:rsidRPr="004B0A08">
        <w:rPr>
          <w:rFonts w:cs="Times New Roman"/>
          <w:i/>
          <w:szCs w:val="24"/>
        </w:rPr>
        <w:t>erty rate.</w:t>
      </w:r>
      <w:r w:rsidR="00202486">
        <w:rPr>
          <w:rFonts w:cs="Times New Roman"/>
          <w:szCs w:val="24"/>
        </w:rPr>
        <w:t xml:space="preserve">  </w:t>
      </w:r>
    </w:p>
    <w:p w:rsidR="00202486" w:rsidRPr="004B0A08" w:rsidRDefault="00202486" w:rsidP="003C27AB">
      <w:pPr>
        <w:spacing w:line="269" w:lineRule="auto"/>
        <w:jc w:val="both"/>
        <w:rPr>
          <w:rFonts w:cs="Times New Roman"/>
          <w:i/>
          <w:szCs w:val="24"/>
        </w:rPr>
      </w:pPr>
      <w:r>
        <w:rPr>
          <w:rFonts w:cs="Times New Roman"/>
          <w:szCs w:val="24"/>
        </w:rPr>
        <w:t>T</w:t>
      </w:r>
      <w:r w:rsidR="00A356FA" w:rsidRPr="004154EB">
        <w:rPr>
          <w:rFonts w:cs="Times New Roman"/>
          <w:szCs w:val="24"/>
        </w:rPr>
        <w:t xml:space="preserve">wo </w:t>
      </w:r>
      <w:r>
        <w:rPr>
          <w:rFonts w:cs="Times New Roman"/>
          <w:szCs w:val="24"/>
        </w:rPr>
        <w:t xml:space="preserve">hotspot </w:t>
      </w:r>
      <w:r w:rsidR="00A356FA" w:rsidRPr="004154EB">
        <w:rPr>
          <w:rFonts w:cs="Times New Roman"/>
          <w:szCs w:val="24"/>
        </w:rPr>
        <w:t xml:space="preserve">regions reported higher </w:t>
      </w:r>
      <w:r>
        <w:rPr>
          <w:rFonts w:cs="Times New Roman"/>
          <w:szCs w:val="24"/>
        </w:rPr>
        <w:t>rates of poverty reduction than the national average</w:t>
      </w:r>
      <w:r w:rsidR="00A356FA" w:rsidRPr="004154EB">
        <w:rPr>
          <w:rFonts w:cs="Times New Roman"/>
          <w:szCs w:val="24"/>
        </w:rPr>
        <w:t xml:space="preserve">. These are Drought Prone (2.6 percentage points); and Haor region (2.0 percentage points). Poverty reduction rate </w:t>
      </w:r>
      <w:r>
        <w:rPr>
          <w:rFonts w:cs="Times New Roman"/>
          <w:szCs w:val="24"/>
        </w:rPr>
        <w:t>of the safe</w:t>
      </w:r>
      <w:r w:rsidR="00B7110D" w:rsidRPr="004154EB">
        <w:rPr>
          <w:rFonts w:cs="Times New Roman"/>
          <w:szCs w:val="24"/>
        </w:rPr>
        <w:t xml:space="preserve"> region</w:t>
      </w:r>
      <w:r w:rsidR="00A356FA" w:rsidRPr="004154EB">
        <w:rPr>
          <w:rFonts w:cs="Times New Roman"/>
          <w:szCs w:val="24"/>
        </w:rPr>
        <w:t xml:space="preserve"> has been found similar to the national average of 1.7 percentage point. </w:t>
      </w:r>
      <w:r w:rsidR="00A356FA" w:rsidRPr="004B0A08">
        <w:rPr>
          <w:rFonts w:cs="Times New Roman"/>
          <w:i/>
          <w:szCs w:val="24"/>
        </w:rPr>
        <w:t xml:space="preserve">Lowest reduction rate happened for CHT (1.37 percentage points) followed surprisingly by Urban areas (1.42 percentage points) and River and Estuary (1.54 percentage points). </w:t>
      </w:r>
    </w:p>
    <w:p w:rsidR="00202486" w:rsidRPr="004B0A08" w:rsidRDefault="00A356FA" w:rsidP="006A60FB">
      <w:pPr>
        <w:spacing w:line="269" w:lineRule="auto"/>
        <w:jc w:val="both"/>
        <w:rPr>
          <w:rFonts w:cs="Times New Roman"/>
          <w:i/>
          <w:szCs w:val="24"/>
        </w:rPr>
      </w:pPr>
      <w:r w:rsidRPr="004154EB">
        <w:rPr>
          <w:rFonts w:cs="Times New Roman"/>
          <w:szCs w:val="24"/>
        </w:rPr>
        <w:t xml:space="preserve">Above variations in poverty reduction rates requires one qualification. </w:t>
      </w:r>
      <w:r w:rsidR="004154EB" w:rsidRPr="004154EB">
        <w:rPr>
          <w:rFonts w:cs="Times New Roman"/>
          <w:szCs w:val="24"/>
        </w:rPr>
        <w:t>The lower</w:t>
      </w:r>
      <w:r w:rsidRPr="004154EB">
        <w:rPr>
          <w:rFonts w:cs="Times New Roman"/>
          <w:szCs w:val="24"/>
        </w:rPr>
        <w:t xml:space="preserve"> poverty </w:t>
      </w:r>
      <w:r w:rsidR="004154EB" w:rsidRPr="004154EB">
        <w:rPr>
          <w:rFonts w:cs="Times New Roman"/>
          <w:szCs w:val="24"/>
        </w:rPr>
        <w:t>reduction rate</w:t>
      </w:r>
      <w:r w:rsidRPr="004154EB">
        <w:rPr>
          <w:rFonts w:cs="Times New Roman"/>
          <w:szCs w:val="24"/>
        </w:rPr>
        <w:t xml:space="preserve"> for Urban areas is to a large extent due to </w:t>
      </w:r>
      <w:r w:rsidR="00202486">
        <w:rPr>
          <w:rFonts w:cs="Times New Roman"/>
          <w:szCs w:val="24"/>
        </w:rPr>
        <w:t xml:space="preserve">the </w:t>
      </w:r>
      <w:r w:rsidRPr="004154EB">
        <w:rPr>
          <w:rFonts w:cs="Times New Roman"/>
          <w:szCs w:val="24"/>
        </w:rPr>
        <w:t>migration of people (especially poor people) from the environmentally vulnerable regions of coastal belt and river and estuary re</w:t>
      </w:r>
      <w:r w:rsidR="006F1498">
        <w:rPr>
          <w:rFonts w:cs="Times New Roman"/>
          <w:szCs w:val="24"/>
        </w:rPr>
        <w:t>gions. Regarding the safe</w:t>
      </w:r>
      <w:r w:rsidRPr="004154EB">
        <w:rPr>
          <w:rFonts w:cs="Times New Roman"/>
          <w:szCs w:val="24"/>
        </w:rPr>
        <w:t xml:space="preserve"> region, the continued high average poverty rate despite being relatively safe fr</w:t>
      </w:r>
      <w:r w:rsidR="006F1498">
        <w:rPr>
          <w:rFonts w:cs="Times New Roman"/>
          <w:szCs w:val="24"/>
        </w:rPr>
        <w:t>om natural hazards</w:t>
      </w:r>
      <w:r w:rsidRPr="004154EB">
        <w:rPr>
          <w:rFonts w:cs="Times New Roman"/>
          <w:szCs w:val="24"/>
        </w:rPr>
        <w:t xml:space="preserve"> is </w:t>
      </w:r>
      <w:r w:rsidR="00202486">
        <w:rPr>
          <w:rFonts w:cs="Times New Roman"/>
          <w:szCs w:val="24"/>
        </w:rPr>
        <w:t>ow</w:t>
      </w:r>
      <w:r w:rsidR="006F1498">
        <w:rPr>
          <w:rFonts w:cs="Times New Roman"/>
          <w:szCs w:val="24"/>
        </w:rPr>
        <w:t xml:space="preserve">ing to </w:t>
      </w:r>
      <w:r w:rsidRPr="004154EB">
        <w:rPr>
          <w:rFonts w:cs="Times New Roman"/>
          <w:szCs w:val="24"/>
        </w:rPr>
        <w:t>the dominance of Mymensingh district in this group. Mymensingh and also Sherpur, although relatively less prone to natur</w:t>
      </w:r>
      <w:r w:rsidR="00202486">
        <w:rPr>
          <w:rFonts w:cs="Times New Roman"/>
          <w:szCs w:val="24"/>
        </w:rPr>
        <w:t>al hazards, have large share</w:t>
      </w:r>
      <w:r w:rsidRPr="004154EB">
        <w:rPr>
          <w:rFonts w:cs="Times New Roman"/>
          <w:szCs w:val="24"/>
        </w:rPr>
        <w:t xml:space="preserve"> of </w:t>
      </w:r>
      <w:r w:rsidR="00202486">
        <w:rPr>
          <w:rFonts w:cs="Times New Roman"/>
          <w:szCs w:val="24"/>
        </w:rPr>
        <w:t xml:space="preserve">low-income </w:t>
      </w:r>
      <w:r w:rsidRPr="004154EB">
        <w:rPr>
          <w:rFonts w:cs="Times New Roman"/>
          <w:szCs w:val="24"/>
        </w:rPr>
        <w:t xml:space="preserve">agriculture, substantial landless labor and low rates of literacy.  </w:t>
      </w:r>
      <w:r w:rsidRPr="004B0A08">
        <w:rPr>
          <w:rFonts w:cs="Times New Roman"/>
          <w:i/>
          <w:szCs w:val="24"/>
        </w:rPr>
        <w:t xml:space="preserve">These suggest that </w:t>
      </w:r>
      <w:r w:rsidR="00202486" w:rsidRPr="004B0A08">
        <w:rPr>
          <w:rFonts w:cs="Times New Roman"/>
          <w:i/>
          <w:szCs w:val="24"/>
        </w:rPr>
        <w:t xml:space="preserve">the </w:t>
      </w:r>
      <w:r w:rsidRPr="004B0A08">
        <w:rPr>
          <w:rFonts w:cs="Times New Roman"/>
          <w:i/>
          <w:szCs w:val="24"/>
        </w:rPr>
        <w:t>exposure to natural hazards is an important risk for poverty</w:t>
      </w:r>
      <w:r w:rsidR="00202486" w:rsidRPr="004B0A08">
        <w:rPr>
          <w:rFonts w:cs="Times New Roman"/>
          <w:i/>
          <w:szCs w:val="24"/>
        </w:rPr>
        <w:t>,</w:t>
      </w:r>
      <w:r w:rsidRPr="004B0A08">
        <w:rPr>
          <w:rFonts w:cs="Times New Roman"/>
          <w:i/>
          <w:szCs w:val="24"/>
        </w:rPr>
        <w:t xml:space="preserve"> but there are other socio-economic facto</w:t>
      </w:r>
      <w:r w:rsidR="00BC7591" w:rsidRPr="004B0A08">
        <w:rPr>
          <w:rFonts w:cs="Times New Roman"/>
          <w:i/>
          <w:szCs w:val="24"/>
        </w:rPr>
        <w:t xml:space="preserve">rs that </w:t>
      </w:r>
      <w:r w:rsidR="00746617" w:rsidRPr="004B0A08">
        <w:rPr>
          <w:rFonts w:cs="Times New Roman"/>
          <w:i/>
          <w:szCs w:val="24"/>
        </w:rPr>
        <w:t xml:space="preserve">also </w:t>
      </w:r>
      <w:r w:rsidR="00BC7591" w:rsidRPr="004B0A08">
        <w:rPr>
          <w:rFonts w:cs="Times New Roman"/>
          <w:i/>
          <w:szCs w:val="24"/>
        </w:rPr>
        <w:t>affect poverty</w:t>
      </w:r>
      <w:r w:rsidRPr="004B0A08">
        <w:rPr>
          <w:rFonts w:cs="Times New Roman"/>
          <w:i/>
          <w:szCs w:val="24"/>
        </w:rPr>
        <w:t>.</w:t>
      </w:r>
      <w:bookmarkStart w:id="165" w:name="_Toc450078603"/>
    </w:p>
    <w:p w:rsidR="00A356FA" w:rsidRPr="004154EB" w:rsidRDefault="00A356FA" w:rsidP="00944687">
      <w:pPr>
        <w:pStyle w:val="Heading4"/>
      </w:pPr>
      <w:bookmarkStart w:id="166" w:name="_Toc474639008"/>
      <w:r w:rsidRPr="004154EB">
        <w:rPr>
          <w:color w:val="000000" w:themeColor="text1"/>
        </w:rPr>
        <w:lastRenderedPageBreak/>
        <w:t xml:space="preserve">Table 2.12: </w:t>
      </w:r>
      <w:r w:rsidRPr="004154EB">
        <w:t>Poverty and Inequality (%)</w:t>
      </w:r>
      <w:bookmarkEnd w:id="165"/>
      <w:bookmarkEnd w:id="16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tblPr>
      <w:tblGrid>
        <w:gridCol w:w="211"/>
        <w:gridCol w:w="1608"/>
        <w:gridCol w:w="730"/>
        <w:gridCol w:w="639"/>
        <w:gridCol w:w="910"/>
        <w:gridCol w:w="639"/>
        <w:gridCol w:w="730"/>
        <w:gridCol w:w="641"/>
        <w:gridCol w:w="913"/>
        <w:gridCol w:w="552"/>
        <w:gridCol w:w="730"/>
        <w:gridCol w:w="1173"/>
      </w:tblGrid>
      <w:tr w:rsidR="004154EB" w:rsidRPr="004154EB" w:rsidTr="003C27AB">
        <w:trPr>
          <w:trHeight w:val="288"/>
          <w:tblHeader/>
          <w:jc w:val="center"/>
        </w:trPr>
        <w:tc>
          <w:tcPr>
            <w:tcW w:w="112" w:type="pct"/>
            <w:shd w:val="clear" w:color="auto" w:fill="D9D9D9" w:themeFill="background1" w:themeFillShade="D9"/>
            <w:vAlign w:val="center"/>
          </w:tcPr>
          <w:p w:rsidR="00A356FA" w:rsidRPr="004154EB" w:rsidRDefault="00A356FA" w:rsidP="003C27AB">
            <w:pPr>
              <w:spacing w:after="0" w:line="240" w:lineRule="auto"/>
              <w:jc w:val="center"/>
              <w:rPr>
                <w:rFonts w:cs="Times New Roman"/>
                <w:b/>
                <w:sz w:val="20"/>
                <w:szCs w:val="20"/>
              </w:rPr>
            </w:pPr>
          </w:p>
        </w:tc>
        <w:tc>
          <w:tcPr>
            <w:tcW w:w="849" w:type="pct"/>
            <w:vMerge w:val="restart"/>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Regions/Areas</w:t>
            </w:r>
          </w:p>
        </w:tc>
        <w:tc>
          <w:tcPr>
            <w:tcW w:w="1539" w:type="pct"/>
            <w:gridSpan w:val="4"/>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2000</w:t>
            </w:r>
          </w:p>
        </w:tc>
        <w:tc>
          <w:tcPr>
            <w:tcW w:w="1496" w:type="pct"/>
            <w:gridSpan w:val="4"/>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2010</w:t>
            </w:r>
          </w:p>
        </w:tc>
        <w:tc>
          <w:tcPr>
            <w:tcW w:w="1004" w:type="pct"/>
            <w:gridSpan w:val="2"/>
            <w:shd w:val="clear" w:color="auto" w:fill="D9D9D9" w:themeFill="background1" w:themeFillShade="D9"/>
            <w:vAlign w:val="center"/>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Percentage Change (Head count poverty)</w:t>
            </w:r>
          </w:p>
        </w:tc>
      </w:tr>
      <w:tr w:rsidR="00457820" w:rsidRPr="004154EB" w:rsidTr="003C27AB">
        <w:trPr>
          <w:trHeight w:val="288"/>
          <w:tblHeader/>
          <w:jc w:val="center"/>
        </w:trPr>
        <w:tc>
          <w:tcPr>
            <w:tcW w:w="112" w:type="pct"/>
            <w:shd w:val="clear" w:color="auto" w:fill="D9D9D9" w:themeFill="background1" w:themeFillShade="D9"/>
            <w:vAlign w:val="center"/>
          </w:tcPr>
          <w:p w:rsidR="00A356FA" w:rsidRPr="004154EB" w:rsidRDefault="00A356FA" w:rsidP="003C27AB">
            <w:pPr>
              <w:spacing w:after="0" w:line="240" w:lineRule="auto"/>
              <w:jc w:val="center"/>
              <w:rPr>
                <w:rFonts w:cs="Times New Roman"/>
                <w:b/>
                <w:sz w:val="20"/>
                <w:szCs w:val="20"/>
              </w:rPr>
            </w:pPr>
          </w:p>
        </w:tc>
        <w:tc>
          <w:tcPr>
            <w:tcW w:w="849" w:type="pct"/>
            <w:vMerge/>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p>
        </w:tc>
        <w:tc>
          <w:tcPr>
            <w:tcW w:w="385" w:type="pct"/>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Head count</w:t>
            </w:r>
          </w:p>
        </w:tc>
        <w:tc>
          <w:tcPr>
            <w:tcW w:w="337" w:type="pct"/>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Gap</w:t>
            </w:r>
          </w:p>
        </w:tc>
        <w:tc>
          <w:tcPr>
            <w:tcW w:w="480" w:type="pct"/>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Severity</w:t>
            </w:r>
          </w:p>
        </w:tc>
        <w:tc>
          <w:tcPr>
            <w:tcW w:w="337" w:type="pct"/>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Gini</w:t>
            </w:r>
          </w:p>
        </w:tc>
        <w:tc>
          <w:tcPr>
            <w:tcW w:w="385" w:type="pct"/>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Head count</w:t>
            </w:r>
          </w:p>
        </w:tc>
        <w:tc>
          <w:tcPr>
            <w:tcW w:w="338" w:type="pct"/>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Gap</w:t>
            </w:r>
          </w:p>
        </w:tc>
        <w:tc>
          <w:tcPr>
            <w:tcW w:w="482" w:type="pct"/>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Severity</w:t>
            </w:r>
          </w:p>
        </w:tc>
        <w:tc>
          <w:tcPr>
            <w:tcW w:w="291" w:type="pct"/>
            <w:shd w:val="clear" w:color="auto" w:fill="D9D9D9" w:themeFill="background1" w:themeFillShade="D9"/>
            <w:noWrap/>
            <w:vAlign w:val="center"/>
            <w:hideMark/>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Gini</w:t>
            </w:r>
          </w:p>
        </w:tc>
        <w:tc>
          <w:tcPr>
            <w:tcW w:w="385" w:type="pct"/>
            <w:shd w:val="clear" w:color="auto" w:fill="D9D9D9" w:themeFill="background1" w:themeFillShade="D9"/>
            <w:vAlign w:val="center"/>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Period</w:t>
            </w:r>
          </w:p>
        </w:tc>
        <w:tc>
          <w:tcPr>
            <w:tcW w:w="619" w:type="pct"/>
            <w:shd w:val="clear" w:color="auto" w:fill="D9D9D9" w:themeFill="background1" w:themeFillShade="D9"/>
            <w:vAlign w:val="center"/>
          </w:tcPr>
          <w:p w:rsidR="00A356FA" w:rsidRPr="004154EB" w:rsidRDefault="00A356FA" w:rsidP="003C27AB">
            <w:pPr>
              <w:spacing w:after="0" w:line="240" w:lineRule="auto"/>
              <w:jc w:val="center"/>
              <w:rPr>
                <w:rFonts w:cs="Times New Roman"/>
                <w:b/>
                <w:sz w:val="20"/>
                <w:szCs w:val="20"/>
              </w:rPr>
            </w:pPr>
            <w:r w:rsidRPr="004154EB">
              <w:rPr>
                <w:rFonts w:cs="Times New Roman"/>
                <w:b/>
                <w:sz w:val="20"/>
                <w:szCs w:val="20"/>
              </w:rPr>
              <w:t>Annualized</w:t>
            </w:r>
          </w:p>
        </w:tc>
      </w:tr>
      <w:tr w:rsidR="00457820" w:rsidRPr="004154EB" w:rsidTr="00457820">
        <w:trPr>
          <w:trHeight w:val="288"/>
          <w:jc w:val="center"/>
        </w:trPr>
        <w:tc>
          <w:tcPr>
            <w:tcW w:w="112"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1</w:t>
            </w:r>
          </w:p>
        </w:tc>
        <w:tc>
          <w:tcPr>
            <w:tcW w:w="849" w:type="pct"/>
            <w:shd w:val="clear" w:color="auto" w:fill="auto"/>
            <w:noWrap/>
            <w:vAlign w:val="center"/>
            <w:hideMark/>
          </w:tcPr>
          <w:p w:rsidR="00A356FA" w:rsidRPr="004154EB" w:rsidRDefault="00A356FA" w:rsidP="004154EB">
            <w:pPr>
              <w:spacing w:after="0" w:line="240" w:lineRule="auto"/>
              <w:rPr>
                <w:rFonts w:cs="Times New Roman"/>
                <w:b/>
                <w:sz w:val="20"/>
                <w:szCs w:val="20"/>
              </w:rPr>
            </w:pPr>
            <w:r w:rsidRPr="004154EB">
              <w:rPr>
                <w:rFonts w:cs="Times New Roman"/>
                <w:b/>
                <w:sz w:val="20"/>
                <w:szCs w:val="20"/>
              </w:rPr>
              <w:t>Haor Region</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48.45</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13.7</w:t>
            </w:r>
          </w:p>
        </w:tc>
        <w:tc>
          <w:tcPr>
            <w:tcW w:w="480"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4.9</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0.30</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28.8</w:t>
            </w:r>
          </w:p>
        </w:tc>
        <w:tc>
          <w:tcPr>
            <w:tcW w:w="338"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6.4</w:t>
            </w:r>
          </w:p>
        </w:tc>
        <w:tc>
          <w:tcPr>
            <w:tcW w:w="482"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1.9</w:t>
            </w:r>
          </w:p>
        </w:tc>
        <w:tc>
          <w:tcPr>
            <w:tcW w:w="291"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0.30</w:t>
            </w:r>
          </w:p>
        </w:tc>
        <w:tc>
          <w:tcPr>
            <w:tcW w:w="385"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19.7</w:t>
            </w:r>
          </w:p>
        </w:tc>
        <w:tc>
          <w:tcPr>
            <w:tcW w:w="619"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2.0</w:t>
            </w:r>
          </w:p>
        </w:tc>
      </w:tr>
      <w:tr w:rsidR="00457820" w:rsidRPr="004154EB" w:rsidTr="00457820">
        <w:trPr>
          <w:trHeight w:val="288"/>
          <w:jc w:val="center"/>
        </w:trPr>
        <w:tc>
          <w:tcPr>
            <w:tcW w:w="112"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2</w:t>
            </w:r>
          </w:p>
        </w:tc>
        <w:tc>
          <w:tcPr>
            <w:tcW w:w="849" w:type="pct"/>
            <w:shd w:val="clear" w:color="auto" w:fill="auto"/>
            <w:noWrap/>
            <w:vAlign w:val="center"/>
            <w:hideMark/>
          </w:tcPr>
          <w:p w:rsidR="00A356FA" w:rsidRPr="004154EB" w:rsidRDefault="00A356FA" w:rsidP="004154EB">
            <w:pPr>
              <w:spacing w:after="0" w:line="240" w:lineRule="auto"/>
              <w:rPr>
                <w:rFonts w:cs="Times New Roman"/>
                <w:b/>
                <w:sz w:val="20"/>
                <w:szCs w:val="20"/>
              </w:rPr>
            </w:pPr>
            <w:r w:rsidRPr="004154EB">
              <w:rPr>
                <w:rFonts w:cs="Times New Roman"/>
                <w:b/>
                <w:sz w:val="20"/>
                <w:szCs w:val="20"/>
              </w:rPr>
              <w:t>Coastal Zone</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48.51</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14.6</w:t>
            </w:r>
          </w:p>
        </w:tc>
        <w:tc>
          <w:tcPr>
            <w:tcW w:w="480"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5.4</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0.32</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32.1</w:t>
            </w:r>
          </w:p>
        </w:tc>
        <w:tc>
          <w:tcPr>
            <w:tcW w:w="338"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6.9</w:t>
            </w:r>
          </w:p>
        </w:tc>
        <w:tc>
          <w:tcPr>
            <w:tcW w:w="482"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2.3</w:t>
            </w:r>
          </w:p>
        </w:tc>
        <w:tc>
          <w:tcPr>
            <w:tcW w:w="291"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0.33</w:t>
            </w:r>
          </w:p>
        </w:tc>
        <w:tc>
          <w:tcPr>
            <w:tcW w:w="385"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16.4</w:t>
            </w:r>
          </w:p>
        </w:tc>
        <w:tc>
          <w:tcPr>
            <w:tcW w:w="619"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1.6</w:t>
            </w:r>
          </w:p>
        </w:tc>
      </w:tr>
      <w:tr w:rsidR="00457820" w:rsidRPr="004154EB" w:rsidTr="00457820">
        <w:trPr>
          <w:trHeight w:val="288"/>
          <w:jc w:val="center"/>
        </w:trPr>
        <w:tc>
          <w:tcPr>
            <w:tcW w:w="112"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3</w:t>
            </w:r>
          </w:p>
        </w:tc>
        <w:tc>
          <w:tcPr>
            <w:tcW w:w="849" w:type="pct"/>
            <w:shd w:val="clear" w:color="auto" w:fill="auto"/>
            <w:noWrap/>
            <w:vAlign w:val="center"/>
            <w:hideMark/>
          </w:tcPr>
          <w:p w:rsidR="00A356FA" w:rsidRPr="004154EB" w:rsidRDefault="00A356FA" w:rsidP="004154EB">
            <w:pPr>
              <w:spacing w:after="0" w:line="240" w:lineRule="auto"/>
              <w:rPr>
                <w:rFonts w:cs="Times New Roman"/>
                <w:b/>
                <w:sz w:val="20"/>
                <w:szCs w:val="20"/>
              </w:rPr>
            </w:pPr>
            <w:r w:rsidRPr="004154EB">
              <w:rPr>
                <w:rFonts w:cs="Times New Roman"/>
                <w:b/>
                <w:sz w:val="20"/>
                <w:szCs w:val="20"/>
              </w:rPr>
              <w:t>Chittagong Hill Tracts</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42.31</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3.2</w:t>
            </w:r>
          </w:p>
        </w:tc>
        <w:tc>
          <w:tcPr>
            <w:tcW w:w="480"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0.8</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0.36</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28.6</w:t>
            </w:r>
          </w:p>
        </w:tc>
        <w:tc>
          <w:tcPr>
            <w:tcW w:w="338"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3.9</w:t>
            </w:r>
          </w:p>
        </w:tc>
        <w:tc>
          <w:tcPr>
            <w:tcW w:w="482"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1.1</w:t>
            </w:r>
          </w:p>
        </w:tc>
        <w:tc>
          <w:tcPr>
            <w:tcW w:w="291"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0.24</w:t>
            </w:r>
          </w:p>
        </w:tc>
        <w:tc>
          <w:tcPr>
            <w:tcW w:w="385"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13.7</w:t>
            </w:r>
          </w:p>
        </w:tc>
        <w:tc>
          <w:tcPr>
            <w:tcW w:w="619"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1.4</w:t>
            </w:r>
          </w:p>
        </w:tc>
      </w:tr>
      <w:tr w:rsidR="00457820" w:rsidRPr="004154EB" w:rsidTr="00457820">
        <w:trPr>
          <w:trHeight w:val="288"/>
          <w:jc w:val="center"/>
        </w:trPr>
        <w:tc>
          <w:tcPr>
            <w:tcW w:w="112"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4</w:t>
            </w:r>
          </w:p>
        </w:tc>
        <w:tc>
          <w:tcPr>
            <w:tcW w:w="849" w:type="pct"/>
            <w:shd w:val="clear" w:color="auto" w:fill="auto"/>
            <w:noWrap/>
            <w:vAlign w:val="center"/>
            <w:hideMark/>
          </w:tcPr>
          <w:p w:rsidR="00A356FA" w:rsidRPr="004154EB" w:rsidRDefault="00A356FA" w:rsidP="004154EB">
            <w:pPr>
              <w:spacing w:after="0" w:line="240" w:lineRule="auto"/>
              <w:rPr>
                <w:rFonts w:cs="Times New Roman"/>
                <w:b/>
                <w:sz w:val="20"/>
                <w:szCs w:val="20"/>
              </w:rPr>
            </w:pPr>
            <w:r w:rsidRPr="004154EB">
              <w:rPr>
                <w:rFonts w:cs="Times New Roman"/>
                <w:b/>
                <w:sz w:val="20"/>
                <w:szCs w:val="20"/>
              </w:rPr>
              <w:t>Urban Areas</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34.85</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9.4</w:t>
            </w:r>
          </w:p>
        </w:tc>
        <w:tc>
          <w:tcPr>
            <w:tcW w:w="480"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3.2</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0.38</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20.67</w:t>
            </w:r>
          </w:p>
        </w:tc>
        <w:tc>
          <w:tcPr>
            <w:tcW w:w="338"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2.7</w:t>
            </w:r>
          </w:p>
        </w:tc>
        <w:tc>
          <w:tcPr>
            <w:tcW w:w="482"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0.7</w:t>
            </w:r>
          </w:p>
        </w:tc>
        <w:tc>
          <w:tcPr>
            <w:tcW w:w="291"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0.35</w:t>
            </w:r>
          </w:p>
        </w:tc>
        <w:tc>
          <w:tcPr>
            <w:tcW w:w="385"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14.2</w:t>
            </w:r>
          </w:p>
        </w:tc>
        <w:tc>
          <w:tcPr>
            <w:tcW w:w="619"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1.4</w:t>
            </w:r>
          </w:p>
        </w:tc>
      </w:tr>
      <w:tr w:rsidR="00457820" w:rsidRPr="004154EB" w:rsidTr="00457820">
        <w:trPr>
          <w:trHeight w:val="288"/>
          <w:jc w:val="center"/>
        </w:trPr>
        <w:tc>
          <w:tcPr>
            <w:tcW w:w="112"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5</w:t>
            </w:r>
          </w:p>
        </w:tc>
        <w:tc>
          <w:tcPr>
            <w:tcW w:w="849" w:type="pct"/>
            <w:shd w:val="clear" w:color="auto" w:fill="auto"/>
            <w:noWrap/>
            <w:vAlign w:val="center"/>
            <w:hideMark/>
          </w:tcPr>
          <w:p w:rsidR="00A356FA" w:rsidRPr="004154EB" w:rsidRDefault="00A356FA" w:rsidP="004154EB">
            <w:pPr>
              <w:spacing w:after="0" w:line="240" w:lineRule="auto"/>
              <w:rPr>
                <w:rFonts w:cs="Times New Roman"/>
                <w:b/>
                <w:sz w:val="20"/>
                <w:szCs w:val="20"/>
              </w:rPr>
            </w:pPr>
            <w:r w:rsidRPr="004154EB">
              <w:rPr>
                <w:rFonts w:cs="Times New Roman"/>
                <w:b/>
                <w:sz w:val="20"/>
                <w:szCs w:val="20"/>
              </w:rPr>
              <w:t>Drought Prone Area</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52.80</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23.0</w:t>
            </w:r>
          </w:p>
        </w:tc>
        <w:tc>
          <w:tcPr>
            <w:tcW w:w="480"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9.8</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0.29</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27.25</w:t>
            </w:r>
          </w:p>
        </w:tc>
        <w:tc>
          <w:tcPr>
            <w:tcW w:w="338"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6.6</w:t>
            </w:r>
          </w:p>
        </w:tc>
        <w:tc>
          <w:tcPr>
            <w:tcW w:w="482"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2.1</w:t>
            </w:r>
          </w:p>
        </w:tc>
        <w:tc>
          <w:tcPr>
            <w:tcW w:w="291"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0.33</w:t>
            </w:r>
          </w:p>
        </w:tc>
        <w:tc>
          <w:tcPr>
            <w:tcW w:w="385"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25.6</w:t>
            </w:r>
          </w:p>
        </w:tc>
        <w:tc>
          <w:tcPr>
            <w:tcW w:w="619"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2.6</w:t>
            </w:r>
          </w:p>
        </w:tc>
      </w:tr>
      <w:tr w:rsidR="00457820" w:rsidRPr="004154EB" w:rsidTr="00457820">
        <w:trPr>
          <w:trHeight w:val="288"/>
          <w:jc w:val="center"/>
        </w:trPr>
        <w:tc>
          <w:tcPr>
            <w:tcW w:w="112"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6</w:t>
            </w:r>
          </w:p>
        </w:tc>
        <w:tc>
          <w:tcPr>
            <w:tcW w:w="849" w:type="pct"/>
            <w:shd w:val="clear" w:color="auto" w:fill="auto"/>
            <w:noWrap/>
            <w:vAlign w:val="center"/>
            <w:hideMark/>
          </w:tcPr>
          <w:p w:rsidR="00A356FA" w:rsidRPr="004154EB" w:rsidRDefault="00A356FA" w:rsidP="004154EB">
            <w:pPr>
              <w:spacing w:after="0" w:line="240" w:lineRule="auto"/>
              <w:rPr>
                <w:rFonts w:cs="Times New Roman"/>
                <w:b/>
                <w:sz w:val="20"/>
                <w:szCs w:val="20"/>
              </w:rPr>
            </w:pPr>
            <w:r w:rsidRPr="004154EB">
              <w:rPr>
                <w:rFonts w:cs="Times New Roman"/>
                <w:b/>
                <w:sz w:val="20"/>
                <w:szCs w:val="20"/>
              </w:rPr>
              <w:t>Rivers and Estuary</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53.72</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16.1</w:t>
            </w:r>
          </w:p>
        </w:tc>
        <w:tc>
          <w:tcPr>
            <w:tcW w:w="480"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6.4</w:t>
            </w:r>
          </w:p>
        </w:tc>
        <w:tc>
          <w:tcPr>
            <w:tcW w:w="337"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0.33</w:t>
            </w:r>
          </w:p>
        </w:tc>
        <w:tc>
          <w:tcPr>
            <w:tcW w:w="385"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38.32</w:t>
            </w:r>
          </w:p>
        </w:tc>
        <w:tc>
          <w:tcPr>
            <w:tcW w:w="338"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8.4</w:t>
            </w:r>
          </w:p>
        </w:tc>
        <w:tc>
          <w:tcPr>
            <w:tcW w:w="482"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2.6</w:t>
            </w:r>
          </w:p>
        </w:tc>
        <w:tc>
          <w:tcPr>
            <w:tcW w:w="291" w:type="pct"/>
            <w:shd w:val="clear" w:color="auto" w:fill="auto"/>
            <w:noWrap/>
            <w:vAlign w:val="center"/>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0.31</w:t>
            </w:r>
          </w:p>
        </w:tc>
        <w:tc>
          <w:tcPr>
            <w:tcW w:w="385"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15.4</w:t>
            </w:r>
          </w:p>
        </w:tc>
        <w:tc>
          <w:tcPr>
            <w:tcW w:w="619" w:type="pct"/>
            <w:vAlign w:val="center"/>
          </w:tcPr>
          <w:p w:rsidR="00A356FA" w:rsidRPr="004154EB" w:rsidRDefault="00A356FA" w:rsidP="004154EB">
            <w:pPr>
              <w:spacing w:after="0" w:line="240" w:lineRule="auto"/>
              <w:rPr>
                <w:rFonts w:cs="Times New Roman"/>
                <w:sz w:val="20"/>
                <w:szCs w:val="20"/>
              </w:rPr>
            </w:pPr>
            <w:r w:rsidRPr="004154EB">
              <w:rPr>
                <w:rFonts w:cs="Times New Roman"/>
                <w:sz w:val="20"/>
                <w:szCs w:val="20"/>
              </w:rPr>
              <w:t>1.5</w:t>
            </w:r>
          </w:p>
        </w:tc>
      </w:tr>
      <w:tr w:rsidR="00457820" w:rsidRPr="004154EB" w:rsidTr="00457820">
        <w:trPr>
          <w:trHeight w:val="288"/>
          <w:jc w:val="center"/>
        </w:trPr>
        <w:tc>
          <w:tcPr>
            <w:tcW w:w="112"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7</w:t>
            </w:r>
          </w:p>
        </w:tc>
        <w:tc>
          <w:tcPr>
            <w:tcW w:w="849" w:type="pct"/>
            <w:shd w:val="clear" w:color="auto" w:fill="auto"/>
            <w:noWrap/>
            <w:vAlign w:val="bottom"/>
            <w:hideMark/>
          </w:tcPr>
          <w:p w:rsidR="00A356FA" w:rsidRPr="004154EB" w:rsidRDefault="00BC7591" w:rsidP="004154EB">
            <w:pPr>
              <w:spacing w:after="0" w:line="240" w:lineRule="auto"/>
              <w:rPr>
                <w:rFonts w:cs="Times New Roman"/>
                <w:b/>
                <w:sz w:val="20"/>
                <w:szCs w:val="20"/>
              </w:rPr>
            </w:pPr>
            <w:r>
              <w:rPr>
                <w:rFonts w:cs="Times New Roman"/>
                <w:b/>
                <w:sz w:val="20"/>
                <w:szCs w:val="20"/>
              </w:rPr>
              <w:t>Safe Region</w:t>
            </w:r>
          </w:p>
        </w:tc>
        <w:tc>
          <w:tcPr>
            <w:tcW w:w="385"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54.08</w:t>
            </w:r>
          </w:p>
        </w:tc>
        <w:tc>
          <w:tcPr>
            <w:tcW w:w="337"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19.6</w:t>
            </w:r>
          </w:p>
        </w:tc>
        <w:tc>
          <w:tcPr>
            <w:tcW w:w="480"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8.0</w:t>
            </w:r>
          </w:p>
        </w:tc>
        <w:tc>
          <w:tcPr>
            <w:tcW w:w="337"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0.33</w:t>
            </w:r>
          </w:p>
        </w:tc>
        <w:tc>
          <w:tcPr>
            <w:tcW w:w="385"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36.82</w:t>
            </w:r>
          </w:p>
        </w:tc>
        <w:tc>
          <w:tcPr>
            <w:tcW w:w="338"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7.2</w:t>
            </w:r>
          </w:p>
        </w:tc>
        <w:tc>
          <w:tcPr>
            <w:tcW w:w="482"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2.1</w:t>
            </w:r>
          </w:p>
        </w:tc>
        <w:tc>
          <w:tcPr>
            <w:tcW w:w="291"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0.38</w:t>
            </w:r>
          </w:p>
        </w:tc>
        <w:tc>
          <w:tcPr>
            <w:tcW w:w="385"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17.3</w:t>
            </w:r>
          </w:p>
        </w:tc>
        <w:tc>
          <w:tcPr>
            <w:tcW w:w="619"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1.7</w:t>
            </w:r>
          </w:p>
        </w:tc>
      </w:tr>
      <w:tr w:rsidR="00457820" w:rsidRPr="004154EB" w:rsidTr="00457820">
        <w:trPr>
          <w:trHeight w:val="288"/>
          <w:jc w:val="center"/>
        </w:trPr>
        <w:tc>
          <w:tcPr>
            <w:tcW w:w="112"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8</w:t>
            </w:r>
          </w:p>
        </w:tc>
        <w:tc>
          <w:tcPr>
            <w:tcW w:w="849" w:type="pct"/>
            <w:shd w:val="clear" w:color="auto" w:fill="auto"/>
            <w:noWrap/>
            <w:vAlign w:val="bottom"/>
            <w:hideMark/>
          </w:tcPr>
          <w:p w:rsidR="00A356FA" w:rsidRPr="004154EB" w:rsidRDefault="00A356FA" w:rsidP="004154EB">
            <w:pPr>
              <w:spacing w:after="0" w:line="240" w:lineRule="auto"/>
              <w:rPr>
                <w:rFonts w:cs="Times New Roman"/>
                <w:b/>
                <w:sz w:val="20"/>
                <w:szCs w:val="20"/>
              </w:rPr>
            </w:pPr>
            <w:r w:rsidRPr="004154EB">
              <w:rPr>
                <w:rFonts w:cs="Times New Roman"/>
                <w:b/>
                <w:sz w:val="20"/>
                <w:szCs w:val="20"/>
              </w:rPr>
              <w:t>Bangladesh</w:t>
            </w:r>
          </w:p>
        </w:tc>
        <w:tc>
          <w:tcPr>
            <w:tcW w:w="385"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48.9</w:t>
            </w:r>
          </w:p>
        </w:tc>
        <w:tc>
          <w:tcPr>
            <w:tcW w:w="337"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12.9</w:t>
            </w:r>
          </w:p>
        </w:tc>
        <w:tc>
          <w:tcPr>
            <w:tcW w:w="480"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4.5</w:t>
            </w:r>
          </w:p>
        </w:tc>
        <w:tc>
          <w:tcPr>
            <w:tcW w:w="337"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0.33</w:t>
            </w:r>
          </w:p>
        </w:tc>
        <w:tc>
          <w:tcPr>
            <w:tcW w:w="385"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31.5</w:t>
            </w:r>
          </w:p>
        </w:tc>
        <w:tc>
          <w:tcPr>
            <w:tcW w:w="338"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6.5</w:t>
            </w:r>
          </w:p>
        </w:tc>
        <w:tc>
          <w:tcPr>
            <w:tcW w:w="482"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1.8</w:t>
            </w:r>
          </w:p>
        </w:tc>
        <w:tc>
          <w:tcPr>
            <w:tcW w:w="291" w:type="pct"/>
            <w:shd w:val="clear" w:color="auto" w:fill="auto"/>
            <w:noWrap/>
            <w:vAlign w:val="bottom"/>
            <w:hideMark/>
          </w:tcPr>
          <w:p w:rsidR="00A356FA" w:rsidRPr="004154EB" w:rsidRDefault="00A356FA" w:rsidP="004154EB">
            <w:pPr>
              <w:spacing w:after="0" w:line="240" w:lineRule="auto"/>
              <w:rPr>
                <w:rFonts w:cs="Times New Roman"/>
                <w:sz w:val="20"/>
                <w:szCs w:val="20"/>
              </w:rPr>
            </w:pPr>
            <w:r w:rsidRPr="004154EB">
              <w:rPr>
                <w:rFonts w:cs="Times New Roman"/>
                <w:sz w:val="20"/>
                <w:szCs w:val="20"/>
              </w:rPr>
              <w:t>0.32</w:t>
            </w:r>
          </w:p>
        </w:tc>
        <w:tc>
          <w:tcPr>
            <w:tcW w:w="385"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17.4</w:t>
            </w:r>
          </w:p>
        </w:tc>
        <w:tc>
          <w:tcPr>
            <w:tcW w:w="619" w:type="pct"/>
            <w:vAlign w:val="bottom"/>
          </w:tcPr>
          <w:p w:rsidR="00A356FA" w:rsidRPr="004154EB" w:rsidRDefault="00A356FA" w:rsidP="004154EB">
            <w:pPr>
              <w:spacing w:after="0" w:line="240" w:lineRule="auto"/>
              <w:rPr>
                <w:rFonts w:cs="Times New Roman"/>
                <w:sz w:val="20"/>
                <w:szCs w:val="20"/>
              </w:rPr>
            </w:pPr>
            <w:r w:rsidRPr="004154EB">
              <w:rPr>
                <w:rFonts w:cs="Times New Roman"/>
                <w:sz w:val="20"/>
                <w:szCs w:val="20"/>
              </w:rPr>
              <w:t>1.8</w:t>
            </w:r>
          </w:p>
        </w:tc>
      </w:tr>
    </w:tbl>
    <w:p w:rsidR="00A356FA" w:rsidRPr="00EC079B" w:rsidRDefault="001A7EB2" w:rsidP="00BC7591">
      <w:pPr>
        <w:spacing w:before="120" w:line="276" w:lineRule="auto"/>
        <w:rPr>
          <w:rFonts w:cs="Times New Roman"/>
          <w:b/>
          <w:i/>
          <w:sz w:val="20"/>
        </w:rPr>
      </w:pPr>
      <w:r>
        <w:rPr>
          <w:rFonts w:cs="Times New Roman"/>
          <w:b/>
          <w:i/>
          <w:sz w:val="20"/>
        </w:rPr>
        <w:t xml:space="preserve">Source: </w:t>
      </w:r>
      <w:r w:rsidR="00612DB4">
        <w:rPr>
          <w:rFonts w:cs="Times New Roman"/>
          <w:b/>
          <w:i/>
          <w:sz w:val="20"/>
        </w:rPr>
        <w:t>GED e</w:t>
      </w:r>
      <w:r w:rsidR="00A356FA" w:rsidRPr="00EC079B">
        <w:rPr>
          <w:rFonts w:cs="Times New Roman"/>
          <w:b/>
          <w:i/>
          <w:sz w:val="20"/>
        </w:rPr>
        <w:t>stimate</w:t>
      </w:r>
      <w:r>
        <w:rPr>
          <w:rFonts w:cs="Times New Roman"/>
          <w:b/>
          <w:i/>
          <w:sz w:val="20"/>
        </w:rPr>
        <w:t>s</w:t>
      </w:r>
      <w:r w:rsidR="00A356FA" w:rsidRPr="00EC079B">
        <w:rPr>
          <w:rFonts w:cs="Times New Roman"/>
          <w:b/>
          <w:i/>
          <w:sz w:val="20"/>
        </w:rPr>
        <w:t xml:space="preserve"> based on HIES 2000 and 2010</w:t>
      </w:r>
    </w:p>
    <w:p w:rsidR="00F33926" w:rsidRDefault="00A356FA" w:rsidP="002E4EFE">
      <w:pPr>
        <w:spacing w:line="276" w:lineRule="auto"/>
        <w:jc w:val="both"/>
        <w:rPr>
          <w:rFonts w:cs="Times New Roman"/>
        </w:rPr>
      </w:pPr>
      <w:r w:rsidRPr="002E4EFE">
        <w:rPr>
          <w:rFonts w:cs="Times New Roman"/>
        </w:rPr>
        <w:t xml:space="preserve">Regarding consumption inequality, estimated Gini coefficient has remained more or less stable at around 0.3. No significant variations in Gini values have been found across the regions between 2000 and 2010.  A part of the reason for stable consumption inequality is the growing role </w:t>
      </w:r>
      <w:r w:rsidR="002E4EFE" w:rsidRPr="002E4EFE">
        <w:rPr>
          <w:rFonts w:cs="Times New Roman"/>
        </w:rPr>
        <w:t>of remittances</w:t>
      </w:r>
      <w:r w:rsidRPr="002E4EFE">
        <w:rPr>
          <w:rFonts w:cs="Times New Roman"/>
        </w:rPr>
        <w:t xml:space="preserve"> that have helped smooth consumption for the poor.  Similarly, </w:t>
      </w:r>
      <w:r w:rsidR="00BC7591">
        <w:rPr>
          <w:rFonts w:cs="Times New Roman"/>
        </w:rPr>
        <w:t xml:space="preserve">the availability of micro-credit and </w:t>
      </w:r>
      <w:r w:rsidRPr="002E4EFE">
        <w:rPr>
          <w:rFonts w:cs="Times New Roman"/>
        </w:rPr>
        <w:t xml:space="preserve">safety net spending of the government has helped protect consumption.  </w:t>
      </w:r>
    </w:p>
    <w:p w:rsidR="00A356FA" w:rsidRDefault="00A356FA" w:rsidP="002E4EFE">
      <w:pPr>
        <w:spacing w:line="276" w:lineRule="auto"/>
        <w:jc w:val="both"/>
        <w:rPr>
          <w:rFonts w:cs="Times New Roman"/>
        </w:rPr>
      </w:pPr>
      <w:r w:rsidRPr="002E4EFE">
        <w:rPr>
          <w:rFonts w:cs="Times New Roman"/>
        </w:rPr>
        <w:t>In order to get further insight</w:t>
      </w:r>
      <w:r w:rsidR="005D2D6F">
        <w:rPr>
          <w:rFonts w:cs="Times New Roman"/>
        </w:rPr>
        <w:t>s</w:t>
      </w:r>
      <w:r w:rsidRPr="002E4EFE">
        <w:rPr>
          <w:rFonts w:cs="Times New Roman"/>
        </w:rPr>
        <w:t xml:space="preserve"> into the distribution patterns, income distribution by quintile has also been estimated for all regions for 2000 and 2010. The results are summarised in Figure 2.4 below. The results suggest mixed trend in income distribution between 2000 and 2010. For instance, for Bangladesh the income shares of bottom quintile and top quintile were 8.7% and 42.2% respectively in 2000</w:t>
      </w:r>
      <w:r w:rsidR="005D2D6F">
        <w:rPr>
          <w:rFonts w:cs="Times New Roman"/>
        </w:rPr>
        <w:t>,</w:t>
      </w:r>
      <w:r w:rsidRPr="002E4EFE">
        <w:rPr>
          <w:rFonts w:cs="Times New Roman"/>
        </w:rPr>
        <w:t xml:space="preserve"> while the corresponding shares for 2</w:t>
      </w:r>
      <w:r w:rsidR="005D2D6F">
        <w:rPr>
          <w:rFonts w:cs="Times New Roman"/>
        </w:rPr>
        <w:t xml:space="preserve">010 were 9.1% and 41.6% </w:t>
      </w:r>
      <w:r w:rsidRPr="002E4EFE">
        <w:rPr>
          <w:rFonts w:cs="Times New Roman"/>
        </w:rPr>
        <w:t>suggesting an improvement at the national level. Similarly improvements in income distribution have been found for CHT (</w:t>
      </w:r>
      <w:r w:rsidR="005D2D6F">
        <w:rPr>
          <w:rFonts w:cs="Times New Roman"/>
        </w:rPr>
        <w:t>share of bottom and top quintiles</w:t>
      </w:r>
      <w:r w:rsidRPr="002E4EFE">
        <w:rPr>
          <w:rFonts w:cs="Times New Roman"/>
        </w:rPr>
        <w:t xml:space="preserve"> - 8.1% and 44.4% </w:t>
      </w:r>
      <w:r w:rsidR="00F51D0D">
        <w:rPr>
          <w:rFonts w:cs="Times New Roman"/>
        </w:rPr>
        <w:t>respectively</w:t>
      </w:r>
      <w:r w:rsidR="005D2D6F">
        <w:rPr>
          <w:rFonts w:cs="Times New Roman"/>
        </w:rPr>
        <w:t xml:space="preserve"> </w:t>
      </w:r>
      <w:r w:rsidRPr="002E4EFE">
        <w:rPr>
          <w:rFonts w:cs="Times New Roman"/>
        </w:rPr>
        <w:t>in 2000; the corresponding shares for 2010 were 11.1% and 35.7%); Urban areas (</w:t>
      </w:r>
      <w:r w:rsidR="005D2D6F">
        <w:rPr>
          <w:rFonts w:cs="Times New Roman"/>
        </w:rPr>
        <w:t>shares of bottom and</w:t>
      </w:r>
      <w:r w:rsidRPr="002E4EFE">
        <w:rPr>
          <w:rFonts w:cs="Times New Roman"/>
        </w:rPr>
        <w:t xml:space="preserve"> top quintile</w:t>
      </w:r>
      <w:r w:rsidR="005D2D6F">
        <w:rPr>
          <w:rFonts w:cs="Times New Roman"/>
        </w:rPr>
        <w:t>s</w:t>
      </w:r>
      <w:r w:rsidRPr="002E4EFE">
        <w:rPr>
          <w:rFonts w:cs="Times New Roman"/>
        </w:rPr>
        <w:t xml:space="preserve"> - 7.5% and 46.2% in 2000; the corresponding shares for 2010 were 8.2% and 43.2%) and River and Estuary (</w:t>
      </w:r>
      <w:r w:rsidR="005D2D6F">
        <w:rPr>
          <w:rFonts w:cs="Times New Roman"/>
        </w:rPr>
        <w:t xml:space="preserve">share of bottom </w:t>
      </w:r>
      <w:r w:rsidRPr="002E4EFE">
        <w:rPr>
          <w:rFonts w:cs="Times New Roman"/>
        </w:rPr>
        <w:t>and top quintile</w:t>
      </w:r>
      <w:r w:rsidR="005D2D6F">
        <w:rPr>
          <w:rFonts w:cs="Times New Roman"/>
        </w:rPr>
        <w:t>s</w:t>
      </w:r>
      <w:r w:rsidRPr="002E4EFE">
        <w:rPr>
          <w:rFonts w:cs="Times New Roman"/>
        </w:rPr>
        <w:t xml:space="preserve"> - 8.6% and 42.1% in 2000; the corresponding shares for 2010 were 9.2% and 40.5</w:t>
      </w:r>
      <w:r w:rsidR="005D2D6F">
        <w:rPr>
          <w:rFonts w:cs="Times New Roman"/>
        </w:rPr>
        <w:t>%). On the other hand, income distribution</w:t>
      </w:r>
      <w:r w:rsidRPr="002E4EFE">
        <w:rPr>
          <w:rFonts w:cs="Times New Roman"/>
        </w:rPr>
        <w:t xml:space="preserve"> deteriorated for the other four regions.</w:t>
      </w:r>
      <w:bookmarkStart w:id="167" w:name="_Ref449936721"/>
      <w:bookmarkStart w:id="168" w:name="_Toc450078555"/>
    </w:p>
    <w:p w:rsidR="00F33926" w:rsidRDefault="00F33926" w:rsidP="002E4EFE">
      <w:pPr>
        <w:spacing w:line="276" w:lineRule="auto"/>
        <w:jc w:val="both"/>
        <w:rPr>
          <w:rFonts w:cs="Times New Roman"/>
        </w:rPr>
      </w:pPr>
    </w:p>
    <w:p w:rsidR="00F33926" w:rsidRDefault="00F33926" w:rsidP="002E4EFE">
      <w:pPr>
        <w:spacing w:line="276" w:lineRule="auto"/>
        <w:jc w:val="both"/>
        <w:rPr>
          <w:rFonts w:cs="Times New Roman"/>
        </w:rPr>
      </w:pPr>
    </w:p>
    <w:p w:rsidR="00F33926" w:rsidRPr="002E4EFE" w:rsidRDefault="00F33926" w:rsidP="002E4EFE">
      <w:pPr>
        <w:spacing w:line="276" w:lineRule="auto"/>
        <w:jc w:val="both"/>
        <w:rPr>
          <w:rFonts w:cs="Times New Roman"/>
        </w:rPr>
      </w:pPr>
    </w:p>
    <w:p w:rsidR="00710639" w:rsidRPr="00BC7591" w:rsidRDefault="00710639">
      <w:pPr>
        <w:spacing w:after="0" w:line="240" w:lineRule="auto"/>
        <w:rPr>
          <w:rFonts w:cs="Times New Roman"/>
          <w:b/>
          <w:bCs/>
          <w:color w:val="000000" w:themeColor="text1"/>
          <w:sz w:val="2"/>
          <w:szCs w:val="24"/>
        </w:rPr>
      </w:pPr>
    </w:p>
    <w:p w:rsidR="00A356FA" w:rsidRPr="00EC079B" w:rsidRDefault="00A356FA" w:rsidP="00944687">
      <w:pPr>
        <w:pStyle w:val="Heading5"/>
      </w:pPr>
      <w:bookmarkStart w:id="169" w:name="_Toc474639167"/>
      <w:r w:rsidRPr="00EC079B">
        <w:lastRenderedPageBreak/>
        <w:t>Figure 2.</w:t>
      </w:r>
      <w:bookmarkEnd w:id="167"/>
      <w:r w:rsidRPr="00EC079B">
        <w:t>4: Income Distribution Pattern</w:t>
      </w:r>
      <w:bookmarkEnd w:id="168"/>
      <w:bookmarkEnd w:id="169"/>
    </w:p>
    <w:tbl>
      <w:tblPr>
        <w:tblStyle w:val="TableGrid"/>
        <w:tblW w:w="0" w:type="auto"/>
        <w:jc w:val="center"/>
        <w:tblLook w:val="04A0"/>
      </w:tblPr>
      <w:tblGrid>
        <w:gridCol w:w="8969"/>
      </w:tblGrid>
      <w:tr w:rsidR="00A356FA" w:rsidRPr="00EC079B" w:rsidTr="00C151CD">
        <w:trPr>
          <w:jc w:val="center"/>
        </w:trPr>
        <w:tc>
          <w:tcPr>
            <w:tcW w:w="6996" w:type="dxa"/>
          </w:tcPr>
          <w:p w:rsidR="00A356FA" w:rsidRPr="00EC079B" w:rsidRDefault="00A356FA" w:rsidP="001A7EB2">
            <w:pPr>
              <w:spacing w:after="0"/>
              <w:rPr>
                <w:rFonts w:cs="Times New Roman"/>
                <w:b/>
                <w:sz w:val="20"/>
              </w:rPr>
            </w:pPr>
            <w:r w:rsidRPr="00EC079B">
              <w:rPr>
                <w:rFonts w:cs="Times New Roman"/>
                <w:b/>
                <w:sz w:val="20"/>
              </w:rPr>
              <w:t xml:space="preserve">  </w:t>
            </w:r>
            <w:r w:rsidR="001A7EB2">
              <w:rPr>
                <w:rFonts w:cs="Times New Roman"/>
                <w:b/>
                <w:sz w:val="20"/>
              </w:rPr>
              <w:t>Panel A. Distribution of Income 2000</w:t>
            </w:r>
          </w:p>
        </w:tc>
      </w:tr>
      <w:tr w:rsidR="00A356FA" w:rsidRPr="00EC079B" w:rsidTr="00C151CD">
        <w:trPr>
          <w:trHeight w:val="3851"/>
          <w:jc w:val="center"/>
        </w:trPr>
        <w:tc>
          <w:tcPr>
            <w:tcW w:w="6996" w:type="dxa"/>
          </w:tcPr>
          <w:p w:rsidR="00A356FA" w:rsidRPr="00EC079B" w:rsidRDefault="00A356FA" w:rsidP="00A356FA">
            <w:pPr>
              <w:rPr>
                <w:rFonts w:cs="Times New Roman"/>
              </w:rPr>
            </w:pPr>
            <w:r w:rsidRPr="00EC079B">
              <w:rPr>
                <w:rFonts w:cs="Times New Roman"/>
                <w:noProof/>
                <w:lang w:val="en-AU" w:eastAsia="en-AU" w:bidi="bn-BD"/>
              </w:rPr>
              <w:drawing>
                <wp:inline distT="0" distB="0" distL="0" distR="0">
                  <wp:extent cx="5553075" cy="2667000"/>
                  <wp:effectExtent l="0" t="0" r="0" b="0"/>
                  <wp:docPr id="6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r w:rsidR="00A356FA" w:rsidRPr="00EC079B" w:rsidTr="00C151CD">
        <w:trPr>
          <w:jc w:val="center"/>
        </w:trPr>
        <w:tc>
          <w:tcPr>
            <w:tcW w:w="6996" w:type="dxa"/>
          </w:tcPr>
          <w:p w:rsidR="00A356FA" w:rsidRPr="00EC079B" w:rsidRDefault="00A356FA" w:rsidP="001A7EB2">
            <w:pPr>
              <w:spacing w:after="0"/>
              <w:rPr>
                <w:rFonts w:cs="Times New Roman"/>
                <w:b/>
                <w:sz w:val="20"/>
              </w:rPr>
            </w:pPr>
            <w:r w:rsidRPr="00EC079B">
              <w:rPr>
                <w:rFonts w:cs="Times New Roman"/>
                <w:b/>
                <w:sz w:val="20"/>
              </w:rPr>
              <w:t>Panel B: Distribution of Income 2010</w:t>
            </w:r>
          </w:p>
        </w:tc>
      </w:tr>
      <w:tr w:rsidR="00A356FA" w:rsidRPr="00EC079B" w:rsidTr="00710639">
        <w:trPr>
          <w:jc w:val="center"/>
        </w:trPr>
        <w:tc>
          <w:tcPr>
            <w:tcW w:w="6996" w:type="dxa"/>
            <w:tcBorders>
              <w:bottom w:val="single" w:sz="4" w:space="0" w:color="auto"/>
            </w:tcBorders>
          </w:tcPr>
          <w:p w:rsidR="00A356FA" w:rsidRPr="00EC079B" w:rsidRDefault="00A356FA" w:rsidP="00A356FA">
            <w:pPr>
              <w:rPr>
                <w:rFonts w:cs="Times New Roman"/>
              </w:rPr>
            </w:pPr>
            <w:r w:rsidRPr="00EC079B">
              <w:rPr>
                <w:rFonts w:cs="Times New Roman"/>
                <w:noProof/>
                <w:lang w:val="en-AU" w:eastAsia="en-AU" w:bidi="bn-BD"/>
              </w:rPr>
              <w:drawing>
                <wp:inline distT="0" distB="0" distL="0" distR="0">
                  <wp:extent cx="5557652" cy="2327564"/>
                  <wp:effectExtent l="0" t="0" r="0" b="0"/>
                  <wp:docPr id="6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A356FA" w:rsidRPr="00EC079B" w:rsidTr="00710639">
        <w:trPr>
          <w:trHeight w:val="85"/>
          <w:jc w:val="center"/>
        </w:trPr>
        <w:tc>
          <w:tcPr>
            <w:tcW w:w="6996" w:type="dxa"/>
            <w:tcBorders>
              <w:left w:val="nil"/>
              <w:bottom w:val="nil"/>
              <w:right w:val="nil"/>
            </w:tcBorders>
          </w:tcPr>
          <w:p w:rsidR="00A356FA" w:rsidRPr="00EC079B" w:rsidRDefault="001A7EB2" w:rsidP="002D5D2A">
            <w:pPr>
              <w:spacing w:before="120"/>
              <w:rPr>
                <w:rFonts w:cs="Times New Roman"/>
                <w:b/>
                <w:i/>
              </w:rPr>
            </w:pPr>
            <w:r>
              <w:rPr>
                <w:rFonts w:cs="Times New Roman"/>
                <w:b/>
                <w:i/>
                <w:sz w:val="20"/>
              </w:rPr>
              <w:t xml:space="preserve">Source: </w:t>
            </w:r>
            <w:r w:rsidR="00612DB4">
              <w:rPr>
                <w:rFonts w:cs="Times New Roman"/>
                <w:b/>
                <w:i/>
                <w:sz w:val="20"/>
              </w:rPr>
              <w:t>GED e</w:t>
            </w:r>
            <w:r w:rsidR="00A356FA" w:rsidRPr="00EC079B">
              <w:rPr>
                <w:rFonts w:cs="Times New Roman"/>
                <w:b/>
                <w:i/>
                <w:sz w:val="20"/>
              </w:rPr>
              <w:t>stimate</w:t>
            </w:r>
            <w:r w:rsidR="00612DB4">
              <w:rPr>
                <w:rFonts w:cs="Times New Roman"/>
                <w:b/>
                <w:i/>
                <w:sz w:val="20"/>
              </w:rPr>
              <w:t xml:space="preserve">s </w:t>
            </w:r>
            <w:r w:rsidR="00A356FA" w:rsidRPr="00EC079B">
              <w:rPr>
                <w:rFonts w:cs="Times New Roman"/>
                <w:b/>
                <w:i/>
                <w:sz w:val="20"/>
              </w:rPr>
              <w:t xml:space="preserve"> based on HIES 2000 and 2010</w:t>
            </w:r>
          </w:p>
        </w:tc>
      </w:tr>
    </w:tbl>
    <w:p w:rsidR="00A356FA" w:rsidRPr="002E4EFE" w:rsidRDefault="00A356FA" w:rsidP="002E4EFE">
      <w:pPr>
        <w:spacing w:line="276" w:lineRule="auto"/>
        <w:jc w:val="both"/>
        <w:rPr>
          <w:rFonts w:cs="Times New Roman"/>
        </w:rPr>
      </w:pPr>
      <w:r w:rsidRPr="002E4EFE">
        <w:rPr>
          <w:rFonts w:cs="Times New Roman"/>
        </w:rPr>
        <w:t xml:space="preserve">To test for </w:t>
      </w:r>
      <w:r w:rsidR="005D2D6F">
        <w:rPr>
          <w:rFonts w:cs="Times New Roman"/>
        </w:rPr>
        <w:t xml:space="preserve">the </w:t>
      </w:r>
      <w:r w:rsidRPr="002E4EFE">
        <w:rPr>
          <w:rFonts w:cs="Times New Roman"/>
        </w:rPr>
        <w:t xml:space="preserve">vulnerability of the poor to shocks, the Upper poverty line (UPL) was </w:t>
      </w:r>
      <w:r w:rsidR="002E4EFE" w:rsidRPr="002E4EFE">
        <w:rPr>
          <w:rFonts w:cs="Times New Roman"/>
        </w:rPr>
        <w:t>increased by</w:t>
      </w:r>
      <w:r w:rsidRPr="002E4EFE">
        <w:rPr>
          <w:rFonts w:cs="Times New Roman"/>
        </w:rPr>
        <w:t xml:space="preserve"> 25 percent (i.e. UPL x 1.25). Although there is no accepted threshold for </w:t>
      </w:r>
      <w:r w:rsidR="005D2D6F">
        <w:rPr>
          <w:rFonts w:cs="Times New Roman"/>
        </w:rPr>
        <w:t xml:space="preserve">the </w:t>
      </w:r>
      <w:r w:rsidRPr="002E4EFE">
        <w:rPr>
          <w:rFonts w:cs="Times New Roman"/>
        </w:rPr>
        <w:t xml:space="preserve">near poor or </w:t>
      </w:r>
      <w:r w:rsidR="005D2D6F">
        <w:rPr>
          <w:rFonts w:cs="Times New Roman"/>
        </w:rPr>
        <w:t xml:space="preserve">the </w:t>
      </w:r>
      <w:r w:rsidRPr="002E4EFE">
        <w:rPr>
          <w:rFonts w:cs="Times New Roman"/>
        </w:rPr>
        <w:t xml:space="preserve">vulnerable population, </w:t>
      </w:r>
      <w:r w:rsidR="005D2D6F">
        <w:rPr>
          <w:rFonts w:cs="Times New Roman"/>
        </w:rPr>
        <w:t xml:space="preserve">an </w:t>
      </w:r>
      <w:r w:rsidRPr="002E4EFE">
        <w:rPr>
          <w:rFonts w:cs="Times New Roman"/>
        </w:rPr>
        <w:t>individual whose per capita consumption is less than the UPL x 1.25 is considered vulnerable. The results are shown in Table 2.13.  Accordingly, in 2000 almost</w:t>
      </w:r>
      <w:r w:rsidR="00A32130">
        <w:rPr>
          <w:rFonts w:cs="Times New Roman"/>
        </w:rPr>
        <w:t xml:space="preserve"> 60 </w:t>
      </w:r>
      <w:r w:rsidRPr="002E4EFE">
        <w:rPr>
          <w:rFonts w:cs="Times New Roman"/>
        </w:rPr>
        <w:t>percent of the population may be considered vulnerable to various shocks (i.e. environment and covariates etc.). This proportions dropped by about 22 percentage points in 2010</w:t>
      </w:r>
      <w:r w:rsidR="005D2D6F">
        <w:rPr>
          <w:rFonts w:cs="Times New Roman"/>
        </w:rPr>
        <w:t>; some 38% of the population was vulnerable in 2010</w:t>
      </w:r>
      <w:r w:rsidR="00A32130">
        <w:rPr>
          <w:rFonts w:cs="Times New Roman"/>
        </w:rPr>
        <w:t xml:space="preserve"> under the UPL x 1.25 criteria</w:t>
      </w:r>
      <w:r w:rsidRPr="002E4EFE">
        <w:rPr>
          <w:rFonts w:cs="Times New Roman"/>
        </w:rPr>
        <w:t xml:space="preserve">. Between 2000 and 2010, annualized percentage point reduction in head count vulnerability as measured by the near poor poverty line (UPL x 1.25) has been 2.2. However, similar to trends observed for the moderate </w:t>
      </w:r>
      <w:r w:rsidRPr="002E4EFE">
        <w:rPr>
          <w:rFonts w:cs="Times New Roman"/>
        </w:rPr>
        <w:lastRenderedPageBreak/>
        <w:t>poverty, noticeable variations in poverty reduction rate across regions have been found in the case of vulnerability. In particular, the coastal zone and the rivers and estuary zone are most vulnerable to natural hazard shocks.  Not surprisingly, the urban regions are much more resilient.</w:t>
      </w:r>
    </w:p>
    <w:p w:rsidR="00A356FA" w:rsidRPr="00EC079B" w:rsidRDefault="00A356FA" w:rsidP="00944687">
      <w:pPr>
        <w:pStyle w:val="Heading4"/>
        <w:rPr>
          <w:rFonts w:eastAsia="Times New Roman"/>
          <w:color w:val="000000"/>
        </w:rPr>
      </w:pPr>
      <w:bookmarkStart w:id="170" w:name="_Toc450078605"/>
      <w:bookmarkStart w:id="171" w:name="_Toc474639009"/>
      <w:r w:rsidRPr="00EC079B">
        <w:t>Table 2.13: Poverty Vulnerability</w:t>
      </w:r>
      <w:r w:rsidRPr="00EC079B">
        <w:rPr>
          <w:rFonts w:eastAsia="Times New Roman"/>
          <w:color w:val="000000"/>
        </w:rPr>
        <w:t xml:space="preserve"> (%)</w:t>
      </w:r>
      <w:bookmarkEnd w:id="170"/>
      <w:bookmarkEnd w:id="1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4"/>
        <w:gridCol w:w="2003"/>
        <w:gridCol w:w="1128"/>
        <w:gridCol w:w="561"/>
        <w:gridCol w:w="866"/>
        <w:gridCol w:w="1128"/>
        <w:gridCol w:w="561"/>
        <w:gridCol w:w="866"/>
        <w:gridCol w:w="833"/>
        <w:gridCol w:w="1316"/>
      </w:tblGrid>
      <w:tr w:rsidR="00A356FA" w:rsidRPr="00C151CD" w:rsidTr="002E4EFE">
        <w:trPr>
          <w:trHeight w:val="20"/>
          <w:tblHeader/>
        </w:trPr>
        <w:tc>
          <w:tcPr>
            <w:tcW w:w="164" w:type="pct"/>
            <w:shd w:val="clear" w:color="auto" w:fill="D9D9D9" w:themeFill="background1" w:themeFillShade="D9"/>
            <w:vAlign w:val="center"/>
          </w:tcPr>
          <w:p w:rsidR="00A356FA" w:rsidRPr="00C151CD" w:rsidRDefault="00A356FA" w:rsidP="002E4EFE">
            <w:pPr>
              <w:spacing w:after="0"/>
              <w:jc w:val="center"/>
              <w:rPr>
                <w:rFonts w:eastAsia="Times New Roman" w:cs="Times New Roman"/>
                <w:bCs/>
                <w:color w:val="000000"/>
                <w:sz w:val="18"/>
              </w:rPr>
            </w:pPr>
          </w:p>
        </w:tc>
        <w:tc>
          <w:tcPr>
            <w:tcW w:w="1046" w:type="pct"/>
            <w:vMerge w:val="restart"/>
            <w:shd w:val="clear" w:color="auto" w:fill="D9D9D9" w:themeFill="background1" w:themeFillShade="D9"/>
            <w:noWrap/>
            <w:vAlign w:val="center"/>
            <w:hideMark/>
          </w:tcPr>
          <w:p w:rsidR="00A356FA" w:rsidRPr="00C151CD" w:rsidRDefault="00A356FA" w:rsidP="002E4EFE">
            <w:pPr>
              <w:spacing w:after="0"/>
              <w:jc w:val="center"/>
              <w:rPr>
                <w:rFonts w:eastAsia="Times New Roman" w:cs="Times New Roman"/>
                <w:color w:val="000000"/>
                <w:sz w:val="18"/>
              </w:rPr>
            </w:pPr>
            <w:r w:rsidRPr="00C151CD">
              <w:rPr>
                <w:rFonts w:eastAsia="Times New Roman" w:cs="Times New Roman"/>
                <w:b/>
                <w:bCs/>
                <w:color w:val="000000"/>
                <w:sz w:val="18"/>
              </w:rPr>
              <w:t>Regions/Areas</w:t>
            </w:r>
          </w:p>
        </w:tc>
        <w:tc>
          <w:tcPr>
            <w:tcW w:w="1334" w:type="pct"/>
            <w:gridSpan w:val="3"/>
            <w:shd w:val="clear" w:color="auto" w:fill="D9D9D9" w:themeFill="background1" w:themeFillShade="D9"/>
            <w:noWrap/>
            <w:vAlign w:val="center"/>
            <w:hideMark/>
          </w:tcPr>
          <w:p w:rsidR="00A356FA" w:rsidRPr="00C151CD" w:rsidRDefault="00A356FA" w:rsidP="002E4EFE">
            <w:pPr>
              <w:spacing w:after="0"/>
              <w:jc w:val="center"/>
              <w:rPr>
                <w:rFonts w:cs="Times New Roman"/>
                <w:b/>
                <w:color w:val="000000"/>
                <w:sz w:val="18"/>
              </w:rPr>
            </w:pPr>
            <w:r w:rsidRPr="00C151CD">
              <w:rPr>
                <w:rFonts w:cs="Times New Roman"/>
                <w:b/>
                <w:color w:val="000000"/>
                <w:sz w:val="18"/>
              </w:rPr>
              <w:t>2000</w:t>
            </w:r>
          </w:p>
        </w:tc>
        <w:tc>
          <w:tcPr>
            <w:tcW w:w="1334" w:type="pct"/>
            <w:gridSpan w:val="3"/>
            <w:shd w:val="clear" w:color="auto" w:fill="D9D9D9" w:themeFill="background1" w:themeFillShade="D9"/>
            <w:noWrap/>
            <w:vAlign w:val="center"/>
            <w:hideMark/>
          </w:tcPr>
          <w:p w:rsidR="00A356FA" w:rsidRPr="00C151CD" w:rsidRDefault="00A356FA" w:rsidP="002E4EFE">
            <w:pPr>
              <w:spacing w:after="0"/>
              <w:jc w:val="center"/>
              <w:rPr>
                <w:rFonts w:cs="Times New Roman"/>
                <w:b/>
                <w:color w:val="000000"/>
                <w:sz w:val="18"/>
              </w:rPr>
            </w:pPr>
            <w:r w:rsidRPr="00C151CD">
              <w:rPr>
                <w:rFonts w:cs="Times New Roman"/>
                <w:b/>
                <w:color w:val="000000"/>
                <w:sz w:val="18"/>
              </w:rPr>
              <w:t>2010</w:t>
            </w:r>
          </w:p>
        </w:tc>
        <w:tc>
          <w:tcPr>
            <w:tcW w:w="1122" w:type="pct"/>
            <w:gridSpan w:val="2"/>
            <w:shd w:val="clear" w:color="auto" w:fill="D9D9D9" w:themeFill="background1" w:themeFillShade="D9"/>
            <w:vAlign w:val="center"/>
          </w:tcPr>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Percentage Point Change</w:t>
            </w:r>
          </w:p>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(Head count poverty)</w:t>
            </w:r>
          </w:p>
        </w:tc>
      </w:tr>
      <w:tr w:rsidR="00A356FA" w:rsidRPr="00C151CD" w:rsidTr="002E4EFE">
        <w:trPr>
          <w:trHeight w:val="20"/>
          <w:tblHeader/>
        </w:trPr>
        <w:tc>
          <w:tcPr>
            <w:tcW w:w="164" w:type="pct"/>
            <w:shd w:val="clear" w:color="auto" w:fill="D9D9D9" w:themeFill="background1" w:themeFillShade="D9"/>
            <w:vAlign w:val="center"/>
          </w:tcPr>
          <w:p w:rsidR="00A356FA" w:rsidRPr="00C151CD" w:rsidRDefault="00A356FA" w:rsidP="002E4EFE">
            <w:pPr>
              <w:spacing w:after="0"/>
              <w:jc w:val="center"/>
              <w:rPr>
                <w:rFonts w:eastAsia="Times New Roman" w:cs="Times New Roman"/>
                <w:bCs/>
                <w:color w:val="000000"/>
                <w:sz w:val="18"/>
              </w:rPr>
            </w:pPr>
          </w:p>
        </w:tc>
        <w:tc>
          <w:tcPr>
            <w:tcW w:w="1046" w:type="pct"/>
            <w:vMerge/>
            <w:shd w:val="clear" w:color="auto" w:fill="D9D9D9" w:themeFill="background1" w:themeFillShade="D9"/>
            <w:noWrap/>
            <w:vAlign w:val="center"/>
            <w:hideMark/>
          </w:tcPr>
          <w:p w:rsidR="00A356FA" w:rsidRPr="00C151CD" w:rsidRDefault="00A356FA" w:rsidP="002E4EFE">
            <w:pPr>
              <w:spacing w:after="0"/>
              <w:jc w:val="center"/>
              <w:rPr>
                <w:rFonts w:eastAsia="Times New Roman" w:cs="Times New Roman"/>
                <w:b/>
                <w:bCs/>
                <w:color w:val="000000"/>
                <w:sz w:val="18"/>
              </w:rPr>
            </w:pPr>
          </w:p>
        </w:tc>
        <w:tc>
          <w:tcPr>
            <w:tcW w:w="589" w:type="pct"/>
            <w:shd w:val="clear" w:color="auto" w:fill="D9D9D9" w:themeFill="background1" w:themeFillShade="D9"/>
            <w:noWrap/>
            <w:vAlign w:val="center"/>
            <w:hideMark/>
          </w:tcPr>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Head count</w:t>
            </w:r>
          </w:p>
        </w:tc>
        <w:tc>
          <w:tcPr>
            <w:tcW w:w="293" w:type="pct"/>
            <w:shd w:val="clear" w:color="auto" w:fill="D9D9D9" w:themeFill="background1" w:themeFillShade="D9"/>
            <w:noWrap/>
            <w:vAlign w:val="center"/>
            <w:hideMark/>
          </w:tcPr>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Gap</w:t>
            </w:r>
          </w:p>
        </w:tc>
        <w:tc>
          <w:tcPr>
            <w:tcW w:w="452" w:type="pct"/>
            <w:shd w:val="clear" w:color="auto" w:fill="D9D9D9" w:themeFill="background1" w:themeFillShade="D9"/>
            <w:noWrap/>
            <w:vAlign w:val="center"/>
            <w:hideMark/>
          </w:tcPr>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Severity</w:t>
            </w:r>
          </w:p>
        </w:tc>
        <w:tc>
          <w:tcPr>
            <w:tcW w:w="589" w:type="pct"/>
            <w:shd w:val="clear" w:color="auto" w:fill="D9D9D9" w:themeFill="background1" w:themeFillShade="D9"/>
            <w:noWrap/>
            <w:vAlign w:val="center"/>
            <w:hideMark/>
          </w:tcPr>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Head count</w:t>
            </w:r>
          </w:p>
        </w:tc>
        <w:tc>
          <w:tcPr>
            <w:tcW w:w="293" w:type="pct"/>
            <w:shd w:val="clear" w:color="auto" w:fill="D9D9D9" w:themeFill="background1" w:themeFillShade="D9"/>
            <w:noWrap/>
            <w:vAlign w:val="center"/>
            <w:hideMark/>
          </w:tcPr>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Gap</w:t>
            </w:r>
          </w:p>
        </w:tc>
        <w:tc>
          <w:tcPr>
            <w:tcW w:w="452" w:type="pct"/>
            <w:shd w:val="clear" w:color="auto" w:fill="D9D9D9" w:themeFill="background1" w:themeFillShade="D9"/>
            <w:noWrap/>
            <w:vAlign w:val="center"/>
            <w:hideMark/>
          </w:tcPr>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Severity</w:t>
            </w:r>
          </w:p>
        </w:tc>
        <w:tc>
          <w:tcPr>
            <w:tcW w:w="435" w:type="pct"/>
            <w:shd w:val="clear" w:color="auto" w:fill="D9D9D9" w:themeFill="background1" w:themeFillShade="D9"/>
            <w:vAlign w:val="center"/>
          </w:tcPr>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Period</w:t>
            </w:r>
          </w:p>
        </w:tc>
        <w:tc>
          <w:tcPr>
            <w:tcW w:w="687" w:type="pct"/>
            <w:shd w:val="clear" w:color="auto" w:fill="D9D9D9" w:themeFill="background1" w:themeFillShade="D9"/>
            <w:vAlign w:val="center"/>
          </w:tcPr>
          <w:p w:rsidR="00A356FA" w:rsidRPr="00C151CD" w:rsidRDefault="00A356FA" w:rsidP="002E4EFE">
            <w:pPr>
              <w:spacing w:after="0"/>
              <w:jc w:val="center"/>
              <w:rPr>
                <w:rFonts w:eastAsia="Times New Roman" w:cs="Times New Roman"/>
                <w:b/>
                <w:bCs/>
                <w:color w:val="000000"/>
                <w:sz w:val="18"/>
              </w:rPr>
            </w:pPr>
            <w:r w:rsidRPr="00C151CD">
              <w:rPr>
                <w:rFonts w:eastAsia="Times New Roman" w:cs="Times New Roman"/>
                <w:b/>
                <w:bCs/>
                <w:color w:val="000000"/>
                <w:sz w:val="18"/>
              </w:rPr>
              <w:t>Annualized</w:t>
            </w:r>
          </w:p>
        </w:tc>
      </w:tr>
      <w:tr w:rsidR="00A356FA" w:rsidRPr="00C151CD" w:rsidTr="002E4EFE">
        <w:trPr>
          <w:trHeight w:val="20"/>
        </w:trPr>
        <w:tc>
          <w:tcPr>
            <w:tcW w:w="164" w:type="pct"/>
            <w:vAlign w:val="bottom"/>
          </w:tcPr>
          <w:p w:rsidR="00A356FA" w:rsidRPr="00C151CD" w:rsidRDefault="00A356FA" w:rsidP="00C151CD">
            <w:pPr>
              <w:spacing w:after="0"/>
              <w:jc w:val="right"/>
              <w:rPr>
                <w:rFonts w:eastAsia="Times New Roman" w:cs="Times New Roman"/>
                <w:bCs/>
                <w:color w:val="000000"/>
                <w:sz w:val="18"/>
              </w:rPr>
            </w:pPr>
            <w:r w:rsidRPr="00C151CD">
              <w:rPr>
                <w:rFonts w:eastAsia="Times New Roman" w:cs="Times New Roman"/>
                <w:bCs/>
                <w:color w:val="000000"/>
                <w:sz w:val="18"/>
              </w:rPr>
              <w:t>1</w:t>
            </w:r>
          </w:p>
        </w:tc>
        <w:tc>
          <w:tcPr>
            <w:tcW w:w="1046" w:type="pct"/>
            <w:shd w:val="clear" w:color="auto" w:fill="auto"/>
            <w:noWrap/>
            <w:vAlign w:val="bottom"/>
            <w:hideMark/>
          </w:tcPr>
          <w:p w:rsidR="00A356FA" w:rsidRPr="00C151CD" w:rsidRDefault="00A356FA" w:rsidP="00C151CD">
            <w:pPr>
              <w:spacing w:after="0"/>
              <w:rPr>
                <w:rFonts w:eastAsia="Times New Roman" w:cs="Times New Roman"/>
                <w:b/>
                <w:bCs/>
                <w:color w:val="000000"/>
                <w:sz w:val="18"/>
              </w:rPr>
            </w:pPr>
            <w:r w:rsidRPr="00C151CD">
              <w:rPr>
                <w:rFonts w:eastAsia="Times New Roman" w:cs="Times New Roman"/>
                <w:b/>
                <w:bCs/>
                <w:color w:val="000000"/>
                <w:sz w:val="18"/>
              </w:rPr>
              <w:t>Haor Region</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60.6</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23.1</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9.9</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36.0</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13.6</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4.9</w:t>
            </w:r>
          </w:p>
        </w:tc>
        <w:tc>
          <w:tcPr>
            <w:tcW w:w="435"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24.6</w:t>
            </w:r>
          </w:p>
        </w:tc>
        <w:tc>
          <w:tcPr>
            <w:tcW w:w="687"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2.5</w:t>
            </w:r>
          </w:p>
        </w:tc>
      </w:tr>
      <w:tr w:rsidR="00A356FA" w:rsidRPr="00C151CD" w:rsidTr="002E4EFE">
        <w:trPr>
          <w:trHeight w:val="20"/>
        </w:trPr>
        <w:tc>
          <w:tcPr>
            <w:tcW w:w="164" w:type="pct"/>
            <w:vAlign w:val="bottom"/>
          </w:tcPr>
          <w:p w:rsidR="00A356FA" w:rsidRPr="00C151CD" w:rsidRDefault="00A356FA" w:rsidP="00C151CD">
            <w:pPr>
              <w:spacing w:after="0"/>
              <w:jc w:val="right"/>
              <w:rPr>
                <w:rFonts w:eastAsia="Times New Roman" w:cs="Times New Roman"/>
                <w:bCs/>
                <w:color w:val="000000"/>
                <w:sz w:val="18"/>
              </w:rPr>
            </w:pPr>
            <w:r w:rsidRPr="00C151CD">
              <w:rPr>
                <w:rFonts w:eastAsia="Times New Roman" w:cs="Times New Roman"/>
                <w:bCs/>
                <w:color w:val="000000"/>
                <w:sz w:val="18"/>
              </w:rPr>
              <w:t>2</w:t>
            </w:r>
          </w:p>
        </w:tc>
        <w:tc>
          <w:tcPr>
            <w:tcW w:w="1046" w:type="pct"/>
            <w:shd w:val="clear" w:color="auto" w:fill="auto"/>
            <w:noWrap/>
            <w:vAlign w:val="bottom"/>
            <w:hideMark/>
          </w:tcPr>
          <w:p w:rsidR="00A356FA" w:rsidRPr="00C151CD" w:rsidRDefault="00A356FA" w:rsidP="00C151CD">
            <w:pPr>
              <w:spacing w:after="0"/>
              <w:rPr>
                <w:rFonts w:eastAsia="Times New Roman" w:cs="Times New Roman"/>
                <w:b/>
                <w:bCs/>
                <w:color w:val="000000"/>
                <w:sz w:val="18"/>
              </w:rPr>
            </w:pPr>
            <w:r w:rsidRPr="00C151CD">
              <w:rPr>
                <w:rFonts w:eastAsia="Times New Roman" w:cs="Times New Roman"/>
                <w:b/>
                <w:bCs/>
                <w:color w:val="000000"/>
                <w:sz w:val="18"/>
              </w:rPr>
              <w:t>Coastal Zone</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60.6</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24.0</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10.5</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40.1</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14.0</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5.3</w:t>
            </w:r>
          </w:p>
        </w:tc>
        <w:tc>
          <w:tcPr>
            <w:tcW w:w="435"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20.5</w:t>
            </w:r>
          </w:p>
        </w:tc>
        <w:tc>
          <w:tcPr>
            <w:tcW w:w="687"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2.1</w:t>
            </w:r>
          </w:p>
        </w:tc>
      </w:tr>
      <w:tr w:rsidR="00A356FA" w:rsidRPr="00C151CD" w:rsidTr="002E4EFE">
        <w:trPr>
          <w:trHeight w:val="20"/>
        </w:trPr>
        <w:tc>
          <w:tcPr>
            <w:tcW w:w="164" w:type="pct"/>
            <w:vAlign w:val="bottom"/>
          </w:tcPr>
          <w:p w:rsidR="00A356FA" w:rsidRPr="00C151CD" w:rsidRDefault="00A356FA" w:rsidP="00C151CD">
            <w:pPr>
              <w:spacing w:after="0"/>
              <w:jc w:val="right"/>
              <w:rPr>
                <w:rFonts w:eastAsia="Times New Roman" w:cs="Times New Roman"/>
                <w:bCs/>
                <w:color w:val="000000"/>
                <w:sz w:val="18"/>
              </w:rPr>
            </w:pPr>
            <w:r w:rsidRPr="00C151CD">
              <w:rPr>
                <w:rFonts w:eastAsia="Times New Roman" w:cs="Times New Roman"/>
                <w:bCs/>
                <w:color w:val="000000"/>
                <w:sz w:val="18"/>
              </w:rPr>
              <w:t>3</w:t>
            </w:r>
          </w:p>
        </w:tc>
        <w:tc>
          <w:tcPr>
            <w:tcW w:w="1046" w:type="pct"/>
            <w:shd w:val="clear" w:color="auto" w:fill="auto"/>
            <w:noWrap/>
            <w:vAlign w:val="bottom"/>
            <w:hideMark/>
          </w:tcPr>
          <w:p w:rsidR="00A356FA" w:rsidRPr="00C151CD" w:rsidRDefault="00A356FA" w:rsidP="00C151CD">
            <w:pPr>
              <w:spacing w:after="0"/>
              <w:rPr>
                <w:rFonts w:eastAsia="Times New Roman" w:cs="Times New Roman"/>
                <w:b/>
                <w:bCs/>
                <w:color w:val="000000"/>
                <w:sz w:val="18"/>
              </w:rPr>
            </w:pPr>
            <w:r w:rsidRPr="00C151CD">
              <w:rPr>
                <w:rFonts w:eastAsia="Times New Roman" w:cs="Times New Roman"/>
                <w:b/>
                <w:bCs/>
                <w:color w:val="000000"/>
                <w:sz w:val="18"/>
              </w:rPr>
              <w:t>Chittagong Hill Tracts</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52.9</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9.3</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2.8</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35.6</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10.2</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3.2</w:t>
            </w:r>
          </w:p>
        </w:tc>
        <w:tc>
          <w:tcPr>
            <w:tcW w:w="435"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17.1</w:t>
            </w:r>
          </w:p>
        </w:tc>
        <w:tc>
          <w:tcPr>
            <w:tcW w:w="687"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1.7</w:t>
            </w:r>
          </w:p>
        </w:tc>
      </w:tr>
      <w:tr w:rsidR="00A356FA" w:rsidRPr="00C151CD" w:rsidTr="002E4EFE">
        <w:trPr>
          <w:trHeight w:val="20"/>
        </w:trPr>
        <w:tc>
          <w:tcPr>
            <w:tcW w:w="164" w:type="pct"/>
            <w:vAlign w:val="bottom"/>
          </w:tcPr>
          <w:p w:rsidR="00A356FA" w:rsidRPr="00C151CD" w:rsidRDefault="00A356FA" w:rsidP="00C151CD">
            <w:pPr>
              <w:spacing w:after="0"/>
              <w:jc w:val="right"/>
              <w:rPr>
                <w:rFonts w:eastAsia="Times New Roman" w:cs="Times New Roman"/>
                <w:bCs/>
                <w:color w:val="000000"/>
                <w:sz w:val="18"/>
              </w:rPr>
            </w:pPr>
            <w:r w:rsidRPr="00C151CD">
              <w:rPr>
                <w:rFonts w:eastAsia="Times New Roman" w:cs="Times New Roman"/>
                <w:bCs/>
                <w:color w:val="000000"/>
                <w:sz w:val="18"/>
              </w:rPr>
              <w:t>4</w:t>
            </w:r>
          </w:p>
        </w:tc>
        <w:tc>
          <w:tcPr>
            <w:tcW w:w="1046" w:type="pct"/>
            <w:shd w:val="clear" w:color="auto" w:fill="auto"/>
            <w:noWrap/>
            <w:vAlign w:val="bottom"/>
            <w:hideMark/>
          </w:tcPr>
          <w:p w:rsidR="00A356FA" w:rsidRPr="00C151CD" w:rsidRDefault="00A356FA" w:rsidP="00C151CD">
            <w:pPr>
              <w:spacing w:after="0"/>
              <w:rPr>
                <w:rFonts w:eastAsia="Times New Roman" w:cs="Times New Roman"/>
                <w:b/>
                <w:bCs/>
                <w:color w:val="000000"/>
                <w:sz w:val="18"/>
              </w:rPr>
            </w:pPr>
            <w:r w:rsidRPr="00C151CD">
              <w:rPr>
                <w:rFonts w:eastAsia="Times New Roman" w:cs="Times New Roman"/>
                <w:b/>
                <w:bCs/>
                <w:color w:val="000000"/>
                <w:sz w:val="18"/>
              </w:rPr>
              <w:t>Urban Areas</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43.6</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17.3</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6.9</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25.8</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7.2</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2.2</w:t>
            </w:r>
          </w:p>
        </w:tc>
        <w:tc>
          <w:tcPr>
            <w:tcW w:w="435"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17.7</w:t>
            </w:r>
          </w:p>
        </w:tc>
        <w:tc>
          <w:tcPr>
            <w:tcW w:w="687"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1.8</w:t>
            </w:r>
          </w:p>
        </w:tc>
      </w:tr>
      <w:tr w:rsidR="00A356FA" w:rsidRPr="00C151CD" w:rsidTr="002E4EFE">
        <w:trPr>
          <w:trHeight w:val="20"/>
        </w:trPr>
        <w:tc>
          <w:tcPr>
            <w:tcW w:w="164" w:type="pct"/>
            <w:vAlign w:val="bottom"/>
          </w:tcPr>
          <w:p w:rsidR="00A356FA" w:rsidRPr="00C151CD" w:rsidRDefault="00A356FA" w:rsidP="00C151CD">
            <w:pPr>
              <w:spacing w:after="0"/>
              <w:jc w:val="right"/>
              <w:rPr>
                <w:rFonts w:eastAsia="Times New Roman" w:cs="Times New Roman"/>
                <w:bCs/>
                <w:color w:val="000000"/>
                <w:sz w:val="18"/>
              </w:rPr>
            </w:pPr>
            <w:r w:rsidRPr="00C151CD">
              <w:rPr>
                <w:rFonts w:eastAsia="Times New Roman" w:cs="Times New Roman"/>
                <w:bCs/>
                <w:color w:val="000000"/>
                <w:sz w:val="18"/>
              </w:rPr>
              <w:t>5</w:t>
            </w:r>
          </w:p>
        </w:tc>
        <w:tc>
          <w:tcPr>
            <w:tcW w:w="1046" w:type="pct"/>
            <w:shd w:val="clear" w:color="auto" w:fill="auto"/>
            <w:noWrap/>
            <w:vAlign w:val="bottom"/>
            <w:hideMark/>
          </w:tcPr>
          <w:p w:rsidR="00A356FA" w:rsidRPr="00C151CD" w:rsidRDefault="00A356FA" w:rsidP="00C151CD">
            <w:pPr>
              <w:spacing w:after="0"/>
              <w:rPr>
                <w:rFonts w:eastAsia="Times New Roman" w:cs="Times New Roman"/>
                <w:b/>
                <w:bCs/>
                <w:color w:val="000000"/>
                <w:sz w:val="18"/>
              </w:rPr>
            </w:pPr>
            <w:r w:rsidRPr="00C151CD">
              <w:rPr>
                <w:rFonts w:eastAsia="Times New Roman" w:cs="Times New Roman"/>
                <w:b/>
                <w:bCs/>
                <w:color w:val="000000"/>
                <w:sz w:val="18"/>
              </w:rPr>
              <w:t>Drought Prone Area</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66.0</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33.6</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16.6</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34.1</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13.2</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4.9</w:t>
            </w:r>
          </w:p>
        </w:tc>
        <w:tc>
          <w:tcPr>
            <w:tcW w:w="435"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31.9</w:t>
            </w:r>
          </w:p>
        </w:tc>
        <w:tc>
          <w:tcPr>
            <w:tcW w:w="687"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3.2</w:t>
            </w:r>
          </w:p>
        </w:tc>
      </w:tr>
      <w:tr w:rsidR="00A356FA" w:rsidRPr="00C151CD" w:rsidTr="002E4EFE">
        <w:trPr>
          <w:trHeight w:val="20"/>
        </w:trPr>
        <w:tc>
          <w:tcPr>
            <w:tcW w:w="164" w:type="pct"/>
            <w:vAlign w:val="bottom"/>
          </w:tcPr>
          <w:p w:rsidR="00A356FA" w:rsidRPr="00C151CD" w:rsidRDefault="00A356FA" w:rsidP="00C151CD">
            <w:pPr>
              <w:spacing w:after="0"/>
              <w:jc w:val="right"/>
              <w:rPr>
                <w:rFonts w:eastAsia="Times New Roman" w:cs="Times New Roman"/>
                <w:bCs/>
                <w:color w:val="000000"/>
                <w:sz w:val="18"/>
              </w:rPr>
            </w:pPr>
            <w:r w:rsidRPr="00C151CD">
              <w:rPr>
                <w:rFonts w:eastAsia="Times New Roman" w:cs="Times New Roman"/>
                <w:bCs/>
                <w:color w:val="000000"/>
                <w:sz w:val="18"/>
              </w:rPr>
              <w:t>6</w:t>
            </w:r>
          </w:p>
        </w:tc>
        <w:tc>
          <w:tcPr>
            <w:tcW w:w="1046" w:type="pct"/>
            <w:shd w:val="clear" w:color="auto" w:fill="auto"/>
            <w:noWrap/>
            <w:vAlign w:val="bottom"/>
            <w:hideMark/>
          </w:tcPr>
          <w:p w:rsidR="00A356FA" w:rsidRPr="00C151CD" w:rsidRDefault="00A356FA" w:rsidP="00C151CD">
            <w:pPr>
              <w:spacing w:after="0"/>
              <w:rPr>
                <w:rFonts w:eastAsia="Times New Roman" w:cs="Times New Roman"/>
                <w:b/>
                <w:bCs/>
                <w:color w:val="000000"/>
                <w:sz w:val="18"/>
              </w:rPr>
            </w:pPr>
            <w:r w:rsidRPr="00C151CD">
              <w:rPr>
                <w:rFonts w:eastAsia="Times New Roman" w:cs="Times New Roman"/>
                <w:b/>
                <w:bCs/>
                <w:color w:val="000000"/>
                <w:sz w:val="18"/>
              </w:rPr>
              <w:t>Rivers and Estuary</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67.2</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25.3</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11.6</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47.9</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16.6</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6.2</w:t>
            </w:r>
          </w:p>
        </w:tc>
        <w:tc>
          <w:tcPr>
            <w:tcW w:w="435"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19.2</w:t>
            </w:r>
          </w:p>
        </w:tc>
        <w:tc>
          <w:tcPr>
            <w:tcW w:w="687"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1.9</w:t>
            </w:r>
          </w:p>
        </w:tc>
      </w:tr>
      <w:tr w:rsidR="00A356FA" w:rsidRPr="00C151CD" w:rsidTr="002E4EFE">
        <w:trPr>
          <w:trHeight w:val="20"/>
        </w:trPr>
        <w:tc>
          <w:tcPr>
            <w:tcW w:w="164" w:type="pct"/>
            <w:vAlign w:val="bottom"/>
          </w:tcPr>
          <w:p w:rsidR="00A356FA" w:rsidRPr="00C151CD" w:rsidRDefault="00A356FA" w:rsidP="00C151CD">
            <w:pPr>
              <w:spacing w:after="0"/>
              <w:jc w:val="right"/>
              <w:rPr>
                <w:rFonts w:eastAsia="Times New Roman" w:cs="Times New Roman"/>
                <w:bCs/>
                <w:color w:val="000000"/>
                <w:sz w:val="18"/>
              </w:rPr>
            </w:pPr>
            <w:r w:rsidRPr="00C151CD">
              <w:rPr>
                <w:rFonts w:eastAsia="Times New Roman" w:cs="Times New Roman"/>
                <w:bCs/>
                <w:color w:val="000000"/>
                <w:sz w:val="18"/>
              </w:rPr>
              <w:t>7</w:t>
            </w:r>
          </w:p>
        </w:tc>
        <w:tc>
          <w:tcPr>
            <w:tcW w:w="1046" w:type="pct"/>
            <w:shd w:val="clear" w:color="auto" w:fill="auto"/>
            <w:noWrap/>
            <w:vAlign w:val="bottom"/>
            <w:hideMark/>
          </w:tcPr>
          <w:p w:rsidR="00A356FA" w:rsidRPr="00C151CD" w:rsidRDefault="00BC7591" w:rsidP="00C151CD">
            <w:pPr>
              <w:spacing w:after="0"/>
              <w:rPr>
                <w:rFonts w:eastAsia="Times New Roman" w:cs="Times New Roman"/>
                <w:b/>
                <w:bCs/>
                <w:color w:val="000000"/>
                <w:sz w:val="18"/>
              </w:rPr>
            </w:pPr>
            <w:r>
              <w:rPr>
                <w:rFonts w:eastAsia="Times New Roman" w:cs="Times New Roman"/>
                <w:b/>
                <w:bCs/>
                <w:color w:val="000000"/>
                <w:sz w:val="18"/>
              </w:rPr>
              <w:t>Safe Region</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67.6</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29.1</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14.0</w:t>
            </w:r>
          </w:p>
        </w:tc>
        <w:tc>
          <w:tcPr>
            <w:tcW w:w="589"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46.0</w:t>
            </w:r>
          </w:p>
        </w:tc>
        <w:tc>
          <w:tcPr>
            <w:tcW w:w="293"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14.9</w:t>
            </w:r>
          </w:p>
        </w:tc>
        <w:tc>
          <w:tcPr>
            <w:tcW w:w="452" w:type="pct"/>
            <w:shd w:val="clear" w:color="auto" w:fill="auto"/>
            <w:noWrap/>
            <w:vAlign w:val="bottom"/>
            <w:hideMark/>
          </w:tcPr>
          <w:p w:rsidR="00A356FA" w:rsidRPr="00C151CD" w:rsidRDefault="00A356FA" w:rsidP="00C151CD">
            <w:pPr>
              <w:spacing w:after="0"/>
              <w:jc w:val="right"/>
              <w:rPr>
                <w:rFonts w:cs="Times New Roman"/>
                <w:color w:val="000000"/>
                <w:sz w:val="18"/>
              </w:rPr>
            </w:pPr>
            <w:r w:rsidRPr="00C151CD">
              <w:rPr>
                <w:rFonts w:cs="Times New Roman"/>
                <w:color w:val="000000"/>
                <w:sz w:val="18"/>
              </w:rPr>
              <w:t>5.3</w:t>
            </w:r>
          </w:p>
        </w:tc>
        <w:tc>
          <w:tcPr>
            <w:tcW w:w="435"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21.6</w:t>
            </w:r>
          </w:p>
        </w:tc>
        <w:tc>
          <w:tcPr>
            <w:tcW w:w="687" w:type="pct"/>
            <w:vAlign w:val="bottom"/>
          </w:tcPr>
          <w:p w:rsidR="00A356FA" w:rsidRPr="00C151CD" w:rsidRDefault="00A356FA" w:rsidP="00C151CD">
            <w:pPr>
              <w:spacing w:after="0"/>
              <w:jc w:val="right"/>
              <w:rPr>
                <w:rFonts w:cs="Times New Roman"/>
                <w:color w:val="000000"/>
                <w:sz w:val="18"/>
              </w:rPr>
            </w:pPr>
            <w:r w:rsidRPr="00C151CD">
              <w:rPr>
                <w:rFonts w:cs="Times New Roman"/>
                <w:color w:val="000000"/>
                <w:sz w:val="18"/>
              </w:rPr>
              <w:t>2.7</w:t>
            </w:r>
          </w:p>
        </w:tc>
      </w:tr>
      <w:tr w:rsidR="00A356FA" w:rsidRPr="00C151CD" w:rsidTr="002E4EFE">
        <w:trPr>
          <w:trHeight w:val="20"/>
        </w:trPr>
        <w:tc>
          <w:tcPr>
            <w:tcW w:w="164" w:type="pct"/>
            <w:vAlign w:val="bottom"/>
          </w:tcPr>
          <w:p w:rsidR="00A356FA" w:rsidRPr="00C151CD" w:rsidRDefault="00A356FA" w:rsidP="00C151CD">
            <w:pPr>
              <w:spacing w:after="0"/>
              <w:jc w:val="right"/>
              <w:rPr>
                <w:rFonts w:eastAsia="Times New Roman" w:cs="Times New Roman"/>
                <w:bCs/>
                <w:color w:val="000000"/>
                <w:sz w:val="18"/>
              </w:rPr>
            </w:pPr>
            <w:r w:rsidRPr="00C151CD">
              <w:rPr>
                <w:rFonts w:eastAsia="Times New Roman" w:cs="Times New Roman"/>
                <w:bCs/>
                <w:color w:val="000000"/>
                <w:sz w:val="18"/>
              </w:rPr>
              <w:t>8</w:t>
            </w:r>
          </w:p>
        </w:tc>
        <w:tc>
          <w:tcPr>
            <w:tcW w:w="1046" w:type="pct"/>
            <w:shd w:val="clear" w:color="auto" w:fill="auto"/>
            <w:noWrap/>
            <w:vAlign w:val="bottom"/>
            <w:hideMark/>
          </w:tcPr>
          <w:p w:rsidR="00A356FA" w:rsidRPr="00C151CD" w:rsidRDefault="00A356FA" w:rsidP="00C151CD">
            <w:pPr>
              <w:spacing w:after="0"/>
              <w:rPr>
                <w:rFonts w:eastAsia="Times New Roman" w:cs="Times New Roman"/>
                <w:b/>
                <w:bCs/>
                <w:color w:val="000000"/>
                <w:sz w:val="18"/>
              </w:rPr>
            </w:pPr>
            <w:r w:rsidRPr="00C151CD">
              <w:rPr>
                <w:rFonts w:eastAsia="Times New Roman" w:cs="Times New Roman"/>
                <w:b/>
                <w:bCs/>
                <w:color w:val="000000"/>
                <w:sz w:val="18"/>
              </w:rPr>
              <w:t>Bangladesh</w:t>
            </w:r>
          </w:p>
        </w:tc>
        <w:tc>
          <w:tcPr>
            <w:tcW w:w="589" w:type="pct"/>
            <w:shd w:val="clear" w:color="auto" w:fill="auto"/>
            <w:noWrap/>
            <w:vAlign w:val="bottom"/>
            <w:hideMark/>
          </w:tcPr>
          <w:p w:rsidR="00A356FA" w:rsidRPr="00C151CD" w:rsidRDefault="00A356FA" w:rsidP="00C151CD">
            <w:pPr>
              <w:spacing w:after="0"/>
              <w:jc w:val="right"/>
              <w:rPr>
                <w:rFonts w:cs="Times New Roman"/>
                <w:b/>
                <w:bCs/>
                <w:color w:val="000000"/>
                <w:sz w:val="18"/>
              </w:rPr>
            </w:pPr>
            <w:r w:rsidRPr="00C151CD">
              <w:rPr>
                <w:rFonts w:cs="Times New Roman"/>
                <w:b/>
                <w:bCs/>
                <w:color w:val="000000"/>
                <w:sz w:val="18"/>
              </w:rPr>
              <w:t>59.8</w:t>
            </w:r>
          </w:p>
        </w:tc>
        <w:tc>
          <w:tcPr>
            <w:tcW w:w="293" w:type="pct"/>
            <w:shd w:val="clear" w:color="auto" w:fill="auto"/>
            <w:noWrap/>
            <w:vAlign w:val="bottom"/>
            <w:hideMark/>
          </w:tcPr>
          <w:p w:rsidR="00A356FA" w:rsidRPr="00C151CD" w:rsidRDefault="00A356FA" w:rsidP="00C151CD">
            <w:pPr>
              <w:spacing w:after="0"/>
              <w:jc w:val="right"/>
              <w:rPr>
                <w:rFonts w:cs="Times New Roman"/>
                <w:b/>
                <w:bCs/>
                <w:color w:val="000000"/>
                <w:sz w:val="18"/>
              </w:rPr>
            </w:pPr>
            <w:r w:rsidRPr="00C151CD">
              <w:rPr>
                <w:rFonts w:cs="Times New Roman"/>
                <w:b/>
                <w:bCs/>
                <w:color w:val="000000"/>
                <w:sz w:val="18"/>
              </w:rPr>
              <w:t>23.1</w:t>
            </w:r>
          </w:p>
        </w:tc>
        <w:tc>
          <w:tcPr>
            <w:tcW w:w="452" w:type="pct"/>
            <w:shd w:val="clear" w:color="auto" w:fill="auto"/>
            <w:noWrap/>
            <w:vAlign w:val="bottom"/>
            <w:hideMark/>
          </w:tcPr>
          <w:p w:rsidR="00A356FA" w:rsidRPr="00C151CD" w:rsidRDefault="00A356FA" w:rsidP="00C151CD">
            <w:pPr>
              <w:spacing w:after="0"/>
              <w:jc w:val="right"/>
              <w:rPr>
                <w:rFonts w:cs="Times New Roman"/>
                <w:b/>
                <w:bCs/>
                <w:color w:val="000000"/>
                <w:sz w:val="18"/>
              </w:rPr>
            </w:pPr>
            <w:r w:rsidRPr="00C151CD">
              <w:rPr>
                <w:rFonts w:cs="Times New Roman"/>
                <w:b/>
                <w:bCs/>
                <w:color w:val="000000"/>
                <w:sz w:val="18"/>
              </w:rPr>
              <w:t>10.3</w:t>
            </w:r>
          </w:p>
        </w:tc>
        <w:tc>
          <w:tcPr>
            <w:tcW w:w="589" w:type="pct"/>
            <w:shd w:val="clear" w:color="auto" w:fill="auto"/>
            <w:noWrap/>
            <w:vAlign w:val="bottom"/>
            <w:hideMark/>
          </w:tcPr>
          <w:p w:rsidR="00A356FA" w:rsidRPr="00C151CD" w:rsidRDefault="00A356FA" w:rsidP="00C151CD">
            <w:pPr>
              <w:spacing w:after="0"/>
              <w:jc w:val="right"/>
              <w:rPr>
                <w:rFonts w:cs="Times New Roman"/>
                <w:b/>
                <w:bCs/>
                <w:color w:val="000000"/>
                <w:sz w:val="18"/>
              </w:rPr>
            </w:pPr>
            <w:r w:rsidRPr="00C151CD">
              <w:rPr>
                <w:rFonts w:cs="Times New Roman"/>
                <w:b/>
                <w:bCs/>
                <w:color w:val="000000"/>
                <w:sz w:val="18"/>
              </w:rPr>
              <w:t>38.0</w:t>
            </w:r>
          </w:p>
        </w:tc>
        <w:tc>
          <w:tcPr>
            <w:tcW w:w="293" w:type="pct"/>
            <w:shd w:val="clear" w:color="auto" w:fill="auto"/>
            <w:noWrap/>
            <w:vAlign w:val="bottom"/>
            <w:hideMark/>
          </w:tcPr>
          <w:p w:rsidR="00A356FA" w:rsidRPr="00C151CD" w:rsidRDefault="00A356FA" w:rsidP="00C151CD">
            <w:pPr>
              <w:spacing w:after="0"/>
              <w:jc w:val="right"/>
              <w:rPr>
                <w:rFonts w:cs="Times New Roman"/>
                <w:b/>
                <w:bCs/>
                <w:color w:val="000000"/>
                <w:sz w:val="18"/>
              </w:rPr>
            </w:pPr>
            <w:r w:rsidRPr="00C151CD">
              <w:rPr>
                <w:rFonts w:cs="Times New Roman"/>
                <w:b/>
                <w:bCs/>
                <w:color w:val="000000"/>
                <w:sz w:val="18"/>
              </w:rPr>
              <w:t>12.8</w:t>
            </w:r>
          </w:p>
        </w:tc>
        <w:tc>
          <w:tcPr>
            <w:tcW w:w="452" w:type="pct"/>
            <w:shd w:val="clear" w:color="auto" w:fill="auto"/>
            <w:noWrap/>
            <w:vAlign w:val="bottom"/>
            <w:hideMark/>
          </w:tcPr>
          <w:p w:rsidR="00A356FA" w:rsidRPr="00C151CD" w:rsidRDefault="00A356FA" w:rsidP="00C151CD">
            <w:pPr>
              <w:spacing w:after="0"/>
              <w:jc w:val="right"/>
              <w:rPr>
                <w:rFonts w:cs="Times New Roman"/>
                <w:b/>
                <w:bCs/>
                <w:color w:val="000000"/>
                <w:sz w:val="18"/>
              </w:rPr>
            </w:pPr>
            <w:r w:rsidRPr="00C151CD">
              <w:rPr>
                <w:rFonts w:cs="Times New Roman"/>
                <w:b/>
                <w:bCs/>
                <w:color w:val="000000"/>
                <w:sz w:val="18"/>
              </w:rPr>
              <w:t>4.6</w:t>
            </w:r>
          </w:p>
        </w:tc>
        <w:tc>
          <w:tcPr>
            <w:tcW w:w="435" w:type="pct"/>
            <w:vAlign w:val="bottom"/>
          </w:tcPr>
          <w:p w:rsidR="00A356FA" w:rsidRPr="00C151CD" w:rsidRDefault="00A356FA" w:rsidP="00C151CD">
            <w:pPr>
              <w:spacing w:after="0"/>
              <w:jc w:val="right"/>
              <w:rPr>
                <w:rFonts w:cs="Times New Roman"/>
                <w:b/>
                <w:color w:val="000000"/>
                <w:sz w:val="18"/>
              </w:rPr>
            </w:pPr>
            <w:r w:rsidRPr="00C151CD">
              <w:rPr>
                <w:rFonts w:cs="Times New Roman"/>
                <w:b/>
                <w:color w:val="000000"/>
                <w:sz w:val="18"/>
              </w:rPr>
              <w:t>21.8</w:t>
            </w:r>
          </w:p>
        </w:tc>
        <w:tc>
          <w:tcPr>
            <w:tcW w:w="687" w:type="pct"/>
            <w:vAlign w:val="bottom"/>
          </w:tcPr>
          <w:p w:rsidR="00A356FA" w:rsidRPr="00C151CD" w:rsidRDefault="00A356FA" w:rsidP="00C151CD">
            <w:pPr>
              <w:spacing w:after="0"/>
              <w:jc w:val="right"/>
              <w:rPr>
                <w:rFonts w:cs="Times New Roman"/>
                <w:b/>
                <w:color w:val="000000"/>
                <w:sz w:val="18"/>
              </w:rPr>
            </w:pPr>
            <w:r w:rsidRPr="00C151CD">
              <w:rPr>
                <w:rFonts w:cs="Times New Roman"/>
                <w:b/>
                <w:color w:val="000000"/>
                <w:sz w:val="18"/>
              </w:rPr>
              <w:t>2.2</w:t>
            </w:r>
          </w:p>
        </w:tc>
      </w:tr>
    </w:tbl>
    <w:p w:rsidR="00A356FA" w:rsidRPr="00EC079B" w:rsidRDefault="001A7EB2" w:rsidP="00BC7591">
      <w:pPr>
        <w:spacing w:before="120" w:line="276" w:lineRule="auto"/>
        <w:rPr>
          <w:rFonts w:cs="Times New Roman"/>
        </w:rPr>
      </w:pPr>
      <w:r>
        <w:rPr>
          <w:rFonts w:cs="Times New Roman"/>
          <w:b/>
          <w:i/>
          <w:sz w:val="20"/>
          <w:szCs w:val="20"/>
        </w:rPr>
        <w:t xml:space="preserve">Source: </w:t>
      </w:r>
      <w:r w:rsidR="00612DB4">
        <w:rPr>
          <w:rFonts w:cs="Times New Roman"/>
          <w:b/>
          <w:i/>
          <w:sz w:val="20"/>
          <w:szCs w:val="20"/>
        </w:rPr>
        <w:t>GED e</w:t>
      </w:r>
      <w:r w:rsidR="00A356FA" w:rsidRPr="00EC079B">
        <w:rPr>
          <w:rFonts w:cs="Times New Roman"/>
          <w:b/>
          <w:i/>
          <w:sz w:val="20"/>
          <w:szCs w:val="20"/>
        </w:rPr>
        <w:t>stimate</w:t>
      </w:r>
      <w:r w:rsidR="00612DB4">
        <w:rPr>
          <w:rFonts w:cs="Times New Roman"/>
          <w:b/>
          <w:i/>
          <w:sz w:val="20"/>
          <w:szCs w:val="20"/>
        </w:rPr>
        <w:t>s</w:t>
      </w:r>
      <w:r w:rsidR="00A356FA" w:rsidRPr="00EC079B">
        <w:rPr>
          <w:rFonts w:cs="Times New Roman"/>
          <w:b/>
          <w:i/>
          <w:sz w:val="20"/>
          <w:szCs w:val="20"/>
        </w:rPr>
        <w:t xml:space="preserve"> based on HIES 2000 and 2010</w:t>
      </w:r>
      <w:bookmarkStart w:id="172" w:name="_Toc450078486"/>
    </w:p>
    <w:p w:rsidR="00000000" w:rsidRDefault="00A356FA" w:rsidP="003D5A31">
      <w:pPr>
        <w:pStyle w:val="BodyText"/>
        <w:numPr>
          <w:ilvl w:val="2"/>
          <w:numId w:val="135"/>
        </w:numPr>
        <w:spacing w:after="240" w:line="276" w:lineRule="auto"/>
        <w:jc w:val="both"/>
        <w:rPr>
          <w:rFonts w:cs="Times New Roman"/>
          <w:b/>
          <w:szCs w:val="24"/>
        </w:rPr>
      </w:pPr>
      <w:r w:rsidRPr="007B27E1">
        <w:rPr>
          <w:rFonts w:cs="Times New Roman"/>
          <w:b/>
          <w:szCs w:val="24"/>
        </w:rPr>
        <w:t xml:space="preserve">Socio-economic Analysis </w:t>
      </w:r>
      <w:r w:rsidR="004F7097">
        <w:rPr>
          <w:rFonts w:cs="Times New Roman"/>
          <w:b/>
          <w:szCs w:val="24"/>
        </w:rPr>
        <w:t>of Hotspots</w:t>
      </w:r>
    </w:p>
    <w:p w:rsidR="00A356FA" w:rsidRPr="002E4EFE" w:rsidRDefault="00A356FA" w:rsidP="002E4EFE">
      <w:pPr>
        <w:spacing w:line="276" w:lineRule="auto"/>
        <w:jc w:val="both"/>
        <w:rPr>
          <w:rFonts w:cs="Times New Roman"/>
        </w:rPr>
      </w:pPr>
      <w:r w:rsidRPr="002E4EFE">
        <w:rPr>
          <w:rFonts w:cs="Times New Roman"/>
        </w:rPr>
        <w:t>The socio-economic analysis at the hotspot level provide</w:t>
      </w:r>
      <w:r w:rsidR="004903FB">
        <w:rPr>
          <w:rFonts w:cs="Times New Roman"/>
        </w:rPr>
        <w:t>s</w:t>
      </w:r>
      <w:r w:rsidRPr="002E4EFE">
        <w:rPr>
          <w:rFonts w:cs="Times New Roman"/>
        </w:rPr>
        <w:t xml:space="preserve"> some important messages. They also provide indications </w:t>
      </w:r>
      <w:r w:rsidR="00106A30">
        <w:rPr>
          <w:rFonts w:cs="Times New Roman"/>
        </w:rPr>
        <w:t xml:space="preserve">about </w:t>
      </w:r>
      <w:r w:rsidRPr="002E4EFE">
        <w:rPr>
          <w:rFonts w:cs="Times New Roman"/>
        </w:rPr>
        <w:t>where deeper probing is needed to</w:t>
      </w:r>
      <w:r w:rsidR="00106A30">
        <w:rPr>
          <w:rFonts w:cs="Times New Roman"/>
        </w:rPr>
        <w:t xml:space="preserve"> paint an adequate picture of</w:t>
      </w:r>
      <w:r w:rsidRPr="002E4EFE">
        <w:rPr>
          <w:rFonts w:cs="Times New Roman"/>
        </w:rPr>
        <w:t xml:space="preserve"> the socio-economic vulnerability of the population to geography and climate change of the Bangladesh Delta.  This analysis is needed to develop an appropriate response mechanism. The deeper analysis will also provide useful insights about the effectiveness of past and ongoing policies, programmes and institutions in the context of fighting the natural vulnerabilities and improving the welfare of the citizens.</w:t>
      </w:r>
    </w:p>
    <w:p w:rsidR="00A356FA" w:rsidRPr="002E4EFE" w:rsidRDefault="00A356FA" w:rsidP="006A60FB">
      <w:pPr>
        <w:pStyle w:val="ListParagraph"/>
        <w:numPr>
          <w:ilvl w:val="0"/>
          <w:numId w:val="5"/>
        </w:numPr>
        <w:spacing w:line="276" w:lineRule="auto"/>
        <w:ind w:left="360"/>
        <w:jc w:val="both"/>
        <w:rPr>
          <w:rFonts w:cs="Times New Roman"/>
        </w:rPr>
      </w:pPr>
      <w:r w:rsidRPr="002E4EFE">
        <w:rPr>
          <w:rFonts w:cs="Times New Roman"/>
        </w:rPr>
        <w:t xml:space="preserve">Over the decades since independence Bangladesh has made substantial progress in increasing incomes, creating jobs, diversifying the economic activity base of the population, reducing poverty, increasing education and literacy and improving the quality of life as reflected in various non-income measures of welfare such as housing, safe water supply, sanitation and access to electricity and mobile phones.  This progress has been particularly impressive after 2000.  </w:t>
      </w:r>
    </w:p>
    <w:p w:rsidR="00A356FA" w:rsidRPr="002E4EFE" w:rsidRDefault="00A356FA" w:rsidP="006A60FB">
      <w:pPr>
        <w:pStyle w:val="ListParagraph"/>
        <w:numPr>
          <w:ilvl w:val="0"/>
          <w:numId w:val="5"/>
        </w:numPr>
        <w:spacing w:line="276" w:lineRule="auto"/>
        <w:ind w:left="360"/>
        <w:jc w:val="both"/>
        <w:rPr>
          <w:rFonts w:cs="Times New Roman"/>
        </w:rPr>
      </w:pPr>
      <w:r w:rsidRPr="002E4EFE">
        <w:rPr>
          <w:rFonts w:cs="Times New Roman"/>
        </w:rPr>
        <w:t>The progress with citizen welfare has been fairly broad-based when measured against the various delta hotspot zones.  All areas have benefited.</w:t>
      </w:r>
    </w:p>
    <w:p w:rsidR="00A356FA" w:rsidRPr="002E4EFE" w:rsidRDefault="00A356FA" w:rsidP="006A60FB">
      <w:pPr>
        <w:pStyle w:val="ListParagraph"/>
        <w:numPr>
          <w:ilvl w:val="0"/>
          <w:numId w:val="5"/>
        </w:numPr>
        <w:spacing w:line="276" w:lineRule="auto"/>
        <w:ind w:left="360"/>
        <w:jc w:val="both"/>
        <w:rPr>
          <w:rFonts w:cs="Times New Roman"/>
        </w:rPr>
      </w:pPr>
      <w:r w:rsidRPr="002E4EFE">
        <w:rPr>
          <w:rFonts w:cs="Times New Roman"/>
        </w:rPr>
        <w:t xml:space="preserve">Nevertheless, some hotspot areas have done better than others.  In general, the urban areas have out-performed other delta hotspots.  Among these other hotspots, the rivers and estuary and the coastal zones have made relatively lower </w:t>
      </w:r>
      <w:r w:rsidR="00106A30">
        <w:rPr>
          <w:rFonts w:cs="Times New Roman"/>
        </w:rPr>
        <w:t xml:space="preserve">progress in terms of </w:t>
      </w:r>
      <w:r w:rsidRPr="002E4EFE">
        <w:rPr>
          <w:rFonts w:cs="Times New Roman"/>
        </w:rPr>
        <w:t>poverty</w:t>
      </w:r>
      <w:r w:rsidR="00106A30">
        <w:rPr>
          <w:rFonts w:cs="Times New Roman"/>
        </w:rPr>
        <w:t xml:space="preserve"> reduction</w:t>
      </w:r>
      <w:r w:rsidRPr="002E4EFE">
        <w:rPr>
          <w:rFonts w:cs="Times New Roman"/>
        </w:rPr>
        <w:t>.</w:t>
      </w:r>
      <w:r w:rsidR="00106A30">
        <w:rPr>
          <w:rFonts w:cs="Times New Roman"/>
        </w:rPr>
        <w:t xml:space="preserve"> The Haor area and the Chittagong Hill Tracts are lagging behind in terms of non-income welfare indicators.</w:t>
      </w:r>
    </w:p>
    <w:p w:rsidR="00A356FA" w:rsidRPr="004B0A08" w:rsidRDefault="00106A30" w:rsidP="006A60FB">
      <w:pPr>
        <w:pStyle w:val="ListParagraph"/>
        <w:numPr>
          <w:ilvl w:val="0"/>
          <w:numId w:val="5"/>
        </w:numPr>
        <w:spacing w:line="276" w:lineRule="auto"/>
        <w:ind w:left="360"/>
        <w:jc w:val="both"/>
        <w:rPr>
          <w:rFonts w:cs="Times New Roman"/>
          <w:i/>
        </w:rPr>
      </w:pPr>
      <w:r w:rsidRPr="004B0A08">
        <w:rPr>
          <w:rFonts w:cs="Times New Roman"/>
          <w:i/>
        </w:rPr>
        <w:t>Population dynamics show that t</w:t>
      </w:r>
      <w:r w:rsidR="00A356FA" w:rsidRPr="004B0A08">
        <w:rPr>
          <w:rFonts w:cs="Times New Roman"/>
          <w:i/>
        </w:rPr>
        <w:t xml:space="preserve">here has been net out-migration from the coastal region and from the rivers and estuary region primarily to the urban areas. </w:t>
      </w:r>
    </w:p>
    <w:p w:rsidR="00A356FA" w:rsidRPr="002E4EFE" w:rsidRDefault="00A356FA" w:rsidP="006A60FB">
      <w:pPr>
        <w:pStyle w:val="ListParagraph"/>
        <w:numPr>
          <w:ilvl w:val="0"/>
          <w:numId w:val="5"/>
        </w:numPr>
        <w:spacing w:line="276" w:lineRule="auto"/>
        <w:ind w:left="360"/>
        <w:jc w:val="both"/>
        <w:rPr>
          <w:rFonts w:cs="Times New Roman"/>
        </w:rPr>
      </w:pPr>
      <w:r w:rsidRPr="002E4EFE">
        <w:rPr>
          <w:rFonts w:cs="Times New Roman"/>
        </w:rPr>
        <w:lastRenderedPageBreak/>
        <w:t>An important policy question is what explains the differential socio-economic performance across the delta regions?  In particular, to what extent higher poverty incidence and its severity in the coastal belt, rivers and estuary and haor regions are linked to natural vulnerabilities?</w:t>
      </w:r>
    </w:p>
    <w:p w:rsidR="00A356FA" w:rsidRPr="004B0A08" w:rsidRDefault="00A356FA" w:rsidP="006A60FB">
      <w:pPr>
        <w:pStyle w:val="ListParagraph"/>
        <w:numPr>
          <w:ilvl w:val="0"/>
          <w:numId w:val="5"/>
        </w:numPr>
        <w:spacing w:line="276" w:lineRule="auto"/>
        <w:ind w:left="360"/>
        <w:jc w:val="both"/>
        <w:rPr>
          <w:rFonts w:cs="Times New Roman"/>
          <w:i/>
        </w:rPr>
      </w:pPr>
      <w:r w:rsidRPr="004B0A08">
        <w:rPr>
          <w:rFonts w:cs="Times New Roman"/>
          <w:i/>
        </w:rPr>
        <w:t>The drought-prone region has made the most impressive progress in reducing the incidence of poverty between 2000 and 2010. What explains this progress, especially in light of the risks presented by vulnerability to droughts?</w:t>
      </w:r>
    </w:p>
    <w:p w:rsidR="00406B03" w:rsidRDefault="00A356FA" w:rsidP="00406B03">
      <w:pPr>
        <w:pStyle w:val="ListParagraph"/>
        <w:numPr>
          <w:ilvl w:val="0"/>
          <w:numId w:val="5"/>
        </w:numPr>
        <w:spacing w:line="276" w:lineRule="auto"/>
        <w:ind w:left="360"/>
        <w:jc w:val="both"/>
        <w:rPr>
          <w:rFonts w:cs="Times New Roman"/>
        </w:rPr>
      </w:pPr>
      <w:r w:rsidRPr="002E4EFE">
        <w:rPr>
          <w:rFonts w:cs="Times New Roman"/>
        </w:rPr>
        <w:t xml:space="preserve">What explains the observed pattern of outmigration from the coastal belt and rivers and estuary regions to the urban areas?  Is this pattern linked to the incidence of natural vulnerabilities?  </w:t>
      </w:r>
    </w:p>
    <w:p w:rsidR="00A356FA" w:rsidRPr="004B0A08" w:rsidRDefault="00A356FA" w:rsidP="00406B03">
      <w:pPr>
        <w:spacing w:line="276" w:lineRule="auto"/>
        <w:jc w:val="both"/>
        <w:rPr>
          <w:rFonts w:cs="Times New Roman"/>
          <w:i/>
        </w:rPr>
      </w:pPr>
      <w:r w:rsidRPr="00406B03">
        <w:rPr>
          <w:rFonts w:cs="Times New Roman"/>
        </w:rPr>
        <w:t xml:space="preserve">The CHT area has low poverty incidence.  But it has experienced relatively low progress with non-income indicators of welfare. Also, it has the lowest income per capita and it has experienced an increase in the dependence on agriculture for livelihood.  </w:t>
      </w:r>
      <w:r w:rsidR="00F4451D" w:rsidRPr="00406B03">
        <w:rPr>
          <w:rFonts w:cs="Times New Roman"/>
        </w:rPr>
        <w:t xml:space="preserve">How does geography and climate change impact on the income prospects and welfare of CHT? </w:t>
      </w:r>
      <w:r w:rsidRPr="00406B03">
        <w:rPr>
          <w:rFonts w:cs="Times New Roman"/>
          <w:color w:val="000000" w:themeColor="text1"/>
        </w:rPr>
        <w:t xml:space="preserve">These are important policy questions.  </w:t>
      </w:r>
      <w:r w:rsidRPr="004B0A08">
        <w:rPr>
          <w:rFonts w:cs="Times New Roman"/>
          <w:i/>
          <w:color w:val="000000" w:themeColor="text1"/>
        </w:rPr>
        <w:t xml:space="preserve">Aggregation at the hotspot level does not allow a fuller analysis of these issues because poverty and income vary considerably within each hotspot.  Also, natural disasters affect areas differently within each hotspot.  A more disaggregated analysis of poverty and natural disasters at the district and </w:t>
      </w:r>
      <w:r w:rsidR="00D7044C" w:rsidRPr="004B0A08">
        <w:rPr>
          <w:rFonts w:cs="Times New Roman"/>
          <w:i/>
          <w:color w:val="000000" w:themeColor="text1"/>
        </w:rPr>
        <w:t>sub-district (upazilla) levels are</w:t>
      </w:r>
      <w:r w:rsidRPr="004B0A08">
        <w:rPr>
          <w:rFonts w:cs="Times New Roman"/>
          <w:i/>
          <w:color w:val="000000" w:themeColor="text1"/>
        </w:rPr>
        <w:t xml:space="preserve"> necessary to address these questions more convincingly.</w:t>
      </w:r>
      <w:r w:rsidRPr="004B0A08">
        <w:rPr>
          <w:rFonts w:cs="Times New Roman"/>
          <w:i/>
        </w:rPr>
        <w:t xml:space="preserve"> </w:t>
      </w:r>
      <w:bookmarkStart w:id="173" w:name="_Toc450078487"/>
      <w:bookmarkEnd w:id="172"/>
    </w:p>
    <w:p w:rsidR="00F64A6A" w:rsidRDefault="00A356FA" w:rsidP="00F64A6A">
      <w:pPr>
        <w:pStyle w:val="Heading2"/>
        <w:numPr>
          <w:ilvl w:val="0"/>
          <w:numId w:val="0"/>
        </w:numPr>
        <w:ind w:left="720"/>
      </w:pPr>
      <w:bookmarkStart w:id="174" w:name="_Toc474638852"/>
      <w:r w:rsidRPr="00EC079B">
        <w:t>District Level Vulnerability to Natural Disasters</w:t>
      </w:r>
      <w:bookmarkEnd w:id="174"/>
    </w:p>
    <w:p w:rsidR="00A356FA" w:rsidRPr="002E4EFE" w:rsidRDefault="00A356FA" w:rsidP="002E4EFE">
      <w:pPr>
        <w:spacing w:line="276" w:lineRule="auto"/>
        <w:jc w:val="both"/>
        <w:rPr>
          <w:rFonts w:cs="Times New Roman"/>
          <w:szCs w:val="24"/>
        </w:rPr>
      </w:pPr>
      <w:r w:rsidRPr="002E4EFE">
        <w:rPr>
          <w:rFonts w:cs="Times New Roman"/>
          <w:szCs w:val="24"/>
        </w:rPr>
        <w:t xml:space="preserve">Although almost all districts of Bangladesh Delta are vulnerable to some kind of natural disasters, the nature and magnitude of these vulnerabilities vary substantially by districts. In some instances, the vulnerabilities also vary by sub-divisions. One useful way of visualizing these vulnerabilities is to look at the hazard map of Bangladesh (Map 2.1).   </w:t>
      </w:r>
      <w:r w:rsidRPr="004B0A08">
        <w:rPr>
          <w:rFonts w:cs="Times New Roman"/>
          <w:i/>
          <w:szCs w:val="24"/>
        </w:rPr>
        <w:t>As is clear, most of the coastal belt and parts of river and estuary districts fall under the highest disaster risk.</w:t>
      </w:r>
      <w:r w:rsidRPr="002E4EFE">
        <w:rPr>
          <w:rFonts w:cs="Times New Roman"/>
          <w:szCs w:val="24"/>
        </w:rPr>
        <w:t xml:space="preserve">  </w:t>
      </w:r>
      <w:r w:rsidRPr="004B0A08">
        <w:rPr>
          <w:rFonts w:cs="Times New Roman"/>
          <w:i/>
          <w:szCs w:val="24"/>
        </w:rPr>
        <w:t>Both regions face multiple risks, although arguably the coastal belt faces more risks on average than any other hotspots. For example, coastal belt districts face as many as 5 types of natural disasters including flooding, salinity, cyclone, river erosion and water-logging.</w:t>
      </w:r>
      <w:r w:rsidRPr="002E4EFE">
        <w:rPr>
          <w:rFonts w:cs="Times New Roman"/>
          <w:szCs w:val="24"/>
        </w:rPr>
        <w:t xml:space="preserve">  Additional risk is posed by land loss to sea owing to sea level rise. The risk is long term but could be devastating.  In the rivers and estuary regions, the main risks are those of flooding and river erosion.</w:t>
      </w:r>
      <w:r w:rsidR="00106A30">
        <w:rPr>
          <w:rFonts w:cs="Times New Roman"/>
          <w:szCs w:val="24"/>
        </w:rPr>
        <w:t xml:space="preserve"> In some districts, flooding ma</w:t>
      </w:r>
      <w:r w:rsidRPr="002E4EFE">
        <w:rPr>
          <w:rFonts w:cs="Times New Roman"/>
          <w:szCs w:val="24"/>
        </w:rPr>
        <w:t>y be overwhelming causing serious economic damages on a regular cycle.</w:t>
      </w:r>
    </w:p>
    <w:p w:rsidR="00055278" w:rsidRDefault="00055278">
      <w:pPr>
        <w:rPr>
          <w:rFonts w:cs="Times New Roman"/>
          <w:b/>
          <w:szCs w:val="24"/>
        </w:rPr>
      </w:pPr>
      <w:r>
        <w:rPr>
          <w:rFonts w:cs="Times New Roman"/>
          <w:b/>
          <w:szCs w:val="24"/>
        </w:rPr>
        <w:br w:type="page"/>
      </w:r>
    </w:p>
    <w:p w:rsidR="00A356FA" w:rsidRPr="00106A30" w:rsidRDefault="00A356FA" w:rsidP="00944687">
      <w:pPr>
        <w:pStyle w:val="Heading6"/>
      </w:pPr>
      <w:bookmarkStart w:id="175" w:name="_Toc474639305"/>
      <w:r w:rsidRPr="00106A30">
        <w:lastRenderedPageBreak/>
        <w:t>Map 2.1: Hazard Map of Bangladesh by Intensity</w:t>
      </w:r>
      <w:bookmarkEnd w:id="175"/>
    </w:p>
    <w:p w:rsidR="00C151CD" w:rsidRDefault="00C151CD" w:rsidP="002E4EFE">
      <w:pPr>
        <w:spacing w:after="0" w:line="276" w:lineRule="auto"/>
        <w:jc w:val="center"/>
        <w:rPr>
          <w:rFonts w:cs="Times New Roman"/>
        </w:rPr>
      </w:pPr>
      <w:r w:rsidRPr="00EC079B">
        <w:rPr>
          <w:rFonts w:cs="Times New Roman"/>
          <w:noProof/>
          <w:lang w:val="en-AU" w:eastAsia="en-AU" w:bidi="bn-BD"/>
        </w:rPr>
        <w:drawing>
          <wp:inline distT="0" distB="0" distL="0" distR="0">
            <wp:extent cx="5800725" cy="4267200"/>
            <wp:effectExtent l="19050" t="19050" r="28575" b="19050"/>
            <wp:docPr id="68" name="Picture 111" descr="http://image.slidesharecdn.com/bangladeshdeltaplan-141114233625-conversion-gate02/95/bangladesh-delta-plan-6-638.jpg?cb=1416008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descr="http://image.slidesharecdn.com/bangladeshdeltaplan-141114233625-conversion-gate02/95/bangladesh-delta-plan-6-638.jpg?cb=1416008260"/>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3374" cy="4269149"/>
                    </a:xfrm>
                    <a:prstGeom prst="rect">
                      <a:avLst/>
                    </a:prstGeom>
                    <a:noFill/>
                    <a:ln w="12700">
                      <a:solidFill>
                        <a:schemeClr val="tx1"/>
                      </a:solidFill>
                      <a:miter lim="800000"/>
                      <a:headEnd/>
                      <a:tailEnd/>
                    </a:ln>
                  </pic:spPr>
                </pic:pic>
              </a:graphicData>
            </a:graphic>
          </wp:inline>
        </w:drawing>
      </w:r>
    </w:p>
    <w:p w:rsidR="00A356FA" w:rsidRDefault="00A356FA" w:rsidP="00C151CD">
      <w:pPr>
        <w:spacing w:line="276" w:lineRule="auto"/>
        <w:rPr>
          <w:rFonts w:cs="Times New Roman"/>
          <w:b/>
          <w:i/>
          <w:sz w:val="20"/>
        </w:rPr>
      </w:pPr>
      <w:r w:rsidRPr="002E4EFE">
        <w:rPr>
          <w:rFonts w:cs="Times New Roman"/>
          <w:b/>
          <w:i/>
          <w:sz w:val="20"/>
        </w:rPr>
        <w:t xml:space="preserve">Source: Google Maps    </w:t>
      </w:r>
    </w:p>
    <w:p w:rsidR="00055278" w:rsidRPr="00055278" w:rsidRDefault="00106A30" w:rsidP="00055278">
      <w:pPr>
        <w:spacing w:line="276" w:lineRule="auto"/>
        <w:jc w:val="both"/>
        <w:rPr>
          <w:rFonts w:cs="Times New Roman"/>
          <w:szCs w:val="24"/>
        </w:rPr>
      </w:pPr>
      <w:r>
        <w:rPr>
          <w:rFonts w:cs="Times New Roman"/>
          <w:szCs w:val="24"/>
        </w:rPr>
        <w:t>Table 2.14</w:t>
      </w:r>
      <w:r w:rsidR="00BC7591" w:rsidRPr="002E4EFE">
        <w:rPr>
          <w:rFonts w:cs="Times New Roman"/>
          <w:szCs w:val="24"/>
        </w:rPr>
        <w:t xml:space="preserve"> provides a summary of districts that face serious natural hazard risks.  Within these hazard-prone districts the intensity and spread of hazard cover varies. To identify the intensity of hazards, a risk ranking of the districts is also provided in Table 2.14. The ranking is based on a simple methodology whereby districts facing the most number of hazard risks are ranked as most hazard-prone.  More specifically, districts that face 4 or more types of hazards are rated as the most hazard-prone districts and are given a rating of 1. Districts that face 3 types of hazards are rated as next most hazard-prone and given a rating of 2. Some districts that face 2 types of hazard but the intensity and potential economic damage is large</w:t>
      </w:r>
      <w:r w:rsidR="00BC7591" w:rsidRPr="002E4EFE">
        <w:rPr>
          <w:rStyle w:val="FootnoteReference"/>
          <w:rFonts w:cs="Times New Roman"/>
          <w:szCs w:val="24"/>
        </w:rPr>
        <w:footnoteReference w:id="8"/>
      </w:r>
      <w:r w:rsidR="00BC7591" w:rsidRPr="002E4EFE">
        <w:rPr>
          <w:rFonts w:cs="Times New Roman"/>
          <w:szCs w:val="24"/>
        </w:rPr>
        <w:t xml:space="preserve"> are also rated as 2.  Finally, districts that face 2 hazards but the intensity is relatively lower than those included under </w:t>
      </w:r>
      <w:r w:rsidR="008706D6">
        <w:rPr>
          <w:rFonts w:cs="Times New Roman"/>
          <w:szCs w:val="24"/>
        </w:rPr>
        <w:t xml:space="preserve">category </w:t>
      </w:r>
      <w:r w:rsidR="00BC7591" w:rsidRPr="002E4EFE">
        <w:rPr>
          <w:rFonts w:cs="Times New Roman"/>
          <w:szCs w:val="24"/>
        </w:rPr>
        <w:t xml:space="preserve">2 are rated as 3.  The methodology does not seek precision but is intended as indicative to enable an assessment of the relationship with welfare indicators, especially poverty and income.    </w:t>
      </w:r>
      <w:r w:rsidR="00055278">
        <w:rPr>
          <w:rFonts w:cs="Times New Roman"/>
          <w:b/>
        </w:rPr>
        <w:br w:type="page"/>
      </w:r>
    </w:p>
    <w:p w:rsidR="00A356FA" w:rsidRPr="00C151CD" w:rsidRDefault="00A356FA" w:rsidP="00944687">
      <w:pPr>
        <w:pStyle w:val="Heading4"/>
      </w:pPr>
      <w:bookmarkStart w:id="176" w:name="_Toc474639010"/>
      <w:r w:rsidRPr="00C151CD">
        <w:lastRenderedPageBreak/>
        <w:t>Table 2.14 District Level Natural Hazard Ranking</w:t>
      </w:r>
      <w:bookmarkEnd w:id="176"/>
      <w:r w:rsidR="004F7097">
        <w:t xml:space="preserve"> (The table needs Double Check)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85"/>
        <w:gridCol w:w="1019"/>
        <w:gridCol w:w="981"/>
        <w:gridCol w:w="984"/>
        <w:gridCol w:w="1063"/>
        <w:gridCol w:w="1061"/>
        <w:gridCol w:w="1063"/>
        <w:gridCol w:w="1061"/>
        <w:gridCol w:w="1059"/>
      </w:tblGrid>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jc w:val="center"/>
              <w:rPr>
                <w:rFonts w:eastAsia="Times New Roman" w:cs="Times New Roman"/>
                <w:b/>
                <w:bCs/>
                <w:color w:val="000000"/>
                <w:sz w:val="20"/>
              </w:rPr>
            </w:pPr>
            <w:r w:rsidRPr="002E4EFE">
              <w:rPr>
                <w:rFonts w:eastAsia="Times New Roman" w:cs="Times New Roman"/>
                <w:b/>
                <w:bCs/>
                <w:color w:val="000000"/>
                <w:sz w:val="20"/>
              </w:rPr>
              <w:t>District</w:t>
            </w:r>
          </w:p>
        </w:tc>
        <w:tc>
          <w:tcPr>
            <w:tcW w:w="532" w:type="pct"/>
            <w:vAlign w:val="center"/>
          </w:tcPr>
          <w:p w:rsidR="00A356FA" w:rsidRPr="002E4EFE" w:rsidRDefault="00A356FA" w:rsidP="002E4EFE">
            <w:pPr>
              <w:spacing w:after="0" w:line="240" w:lineRule="auto"/>
              <w:jc w:val="center"/>
              <w:rPr>
                <w:rFonts w:eastAsia="Times New Roman" w:cs="Times New Roman"/>
                <w:b/>
                <w:bCs/>
                <w:color w:val="000000"/>
                <w:sz w:val="20"/>
              </w:rPr>
            </w:pPr>
            <w:r w:rsidRPr="002E4EFE">
              <w:rPr>
                <w:rFonts w:eastAsia="Times New Roman" w:cs="Times New Roman"/>
                <w:b/>
                <w:bCs/>
                <w:color w:val="000000"/>
                <w:sz w:val="20"/>
              </w:rPr>
              <w:t>Hazard Ranking</w:t>
            </w:r>
          </w:p>
        </w:tc>
        <w:tc>
          <w:tcPr>
            <w:tcW w:w="512" w:type="pct"/>
            <w:vAlign w:val="center"/>
          </w:tcPr>
          <w:p w:rsidR="00A356FA" w:rsidRPr="002E4EFE" w:rsidRDefault="00A356FA" w:rsidP="002E4EFE">
            <w:pPr>
              <w:spacing w:after="0" w:line="240" w:lineRule="auto"/>
              <w:jc w:val="center"/>
              <w:rPr>
                <w:rFonts w:eastAsia="Times New Roman" w:cs="Times New Roman"/>
                <w:b/>
                <w:bCs/>
                <w:color w:val="000000"/>
                <w:sz w:val="20"/>
              </w:rPr>
            </w:pPr>
            <w:r w:rsidRPr="002E4EFE">
              <w:rPr>
                <w:rFonts w:eastAsia="Times New Roman" w:cs="Times New Roman"/>
                <w:b/>
                <w:bCs/>
                <w:color w:val="000000"/>
                <w:sz w:val="20"/>
              </w:rPr>
              <w:t>Sea Level Rise</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b/>
                <w:bCs/>
                <w:color w:val="000000"/>
                <w:sz w:val="20"/>
              </w:rPr>
            </w:pPr>
            <w:r w:rsidRPr="002E4EFE">
              <w:rPr>
                <w:rFonts w:eastAsia="Times New Roman" w:cs="Times New Roman"/>
                <w:b/>
                <w:bCs/>
                <w:color w:val="000000"/>
                <w:sz w:val="20"/>
              </w:rPr>
              <w:t>Flood</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b/>
                <w:bCs/>
                <w:color w:val="000000"/>
                <w:sz w:val="20"/>
              </w:rPr>
            </w:pPr>
            <w:r w:rsidRPr="002E4EFE">
              <w:rPr>
                <w:rFonts w:eastAsia="Times New Roman" w:cs="Times New Roman"/>
                <w:b/>
                <w:bCs/>
                <w:color w:val="000000"/>
                <w:sz w:val="20"/>
              </w:rPr>
              <w:t>Cyclone</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b/>
                <w:bCs/>
                <w:color w:val="000000"/>
                <w:sz w:val="20"/>
              </w:rPr>
            </w:pPr>
            <w:r w:rsidRPr="002E4EFE">
              <w:rPr>
                <w:rFonts w:eastAsia="Times New Roman" w:cs="Times New Roman"/>
                <w:b/>
                <w:bCs/>
                <w:color w:val="000000"/>
                <w:sz w:val="20"/>
              </w:rPr>
              <w:t>Salinity</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b/>
                <w:bCs/>
                <w:color w:val="000000"/>
                <w:sz w:val="20"/>
              </w:rPr>
            </w:pPr>
            <w:r w:rsidRPr="002E4EFE">
              <w:rPr>
                <w:rFonts w:eastAsia="Times New Roman" w:cs="Times New Roman"/>
                <w:b/>
                <w:bCs/>
                <w:color w:val="000000"/>
                <w:sz w:val="20"/>
              </w:rPr>
              <w:t>Drought</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b/>
                <w:bCs/>
                <w:color w:val="000000"/>
                <w:sz w:val="20"/>
              </w:rPr>
            </w:pPr>
            <w:r w:rsidRPr="002E4EFE">
              <w:rPr>
                <w:rFonts w:eastAsia="Times New Roman" w:cs="Times New Roman"/>
                <w:b/>
                <w:bCs/>
                <w:color w:val="000000"/>
                <w:sz w:val="20"/>
              </w:rPr>
              <w:t>River Erosion</w:t>
            </w:r>
          </w:p>
        </w:tc>
        <w:tc>
          <w:tcPr>
            <w:tcW w:w="553" w:type="pct"/>
            <w:vAlign w:val="center"/>
          </w:tcPr>
          <w:p w:rsidR="00A356FA" w:rsidRPr="002E4EFE" w:rsidRDefault="00A356FA" w:rsidP="002E4EFE">
            <w:pPr>
              <w:spacing w:after="0" w:line="240" w:lineRule="auto"/>
              <w:jc w:val="center"/>
              <w:rPr>
                <w:rFonts w:eastAsia="Times New Roman" w:cs="Times New Roman"/>
                <w:bCs/>
                <w:color w:val="000000"/>
                <w:sz w:val="20"/>
              </w:rPr>
            </w:pPr>
            <w:r w:rsidRPr="002E4EFE">
              <w:rPr>
                <w:rFonts w:eastAsia="Times New Roman" w:cs="Times New Roman"/>
                <w:b/>
                <w:bCs/>
                <w:color w:val="000000"/>
                <w:sz w:val="20"/>
              </w:rPr>
              <w:t>Water Logging</w:t>
            </w: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Bagerhat</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D7044C"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3" w:type="pct"/>
          </w:tcPr>
          <w:p w:rsidR="00A356FA" w:rsidRPr="002E4EFE" w:rsidRDefault="00BB11A4"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Barisal</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Barguna</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D7044C"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Bhola</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D7044C"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Chandpur</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Bogra</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Cox's Bazar</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D7044C"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Faridpur</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Feni</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D7044C"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Gaibandha</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Jamalpur</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BB11A4"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Jessore</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3" w:type="pct"/>
          </w:tcPr>
          <w:p w:rsidR="00A356FA" w:rsidRPr="002E4EFE" w:rsidRDefault="00BB11A4"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r>
      <w:tr w:rsidR="00A356FA" w:rsidRPr="002E4EFE" w:rsidTr="002E4EFE">
        <w:trPr>
          <w:trHeight w:val="20"/>
        </w:trPr>
        <w:tc>
          <w:tcPr>
            <w:tcW w:w="671" w:type="pct"/>
            <w:shd w:val="clear" w:color="auto" w:fill="auto"/>
            <w:noWrap/>
            <w:vAlign w:val="center"/>
            <w:hideMark/>
          </w:tcPr>
          <w:p w:rsidR="00A356FA" w:rsidRPr="002E4EFE" w:rsidRDefault="00F51D0D" w:rsidP="002E4EFE">
            <w:pPr>
              <w:spacing w:after="0" w:line="240" w:lineRule="auto"/>
              <w:rPr>
                <w:rFonts w:eastAsia="Times New Roman" w:cs="Times New Roman"/>
                <w:color w:val="000000"/>
                <w:sz w:val="20"/>
              </w:rPr>
            </w:pPr>
            <w:r w:rsidRPr="002E4EFE">
              <w:rPr>
                <w:rFonts w:eastAsia="Times New Roman" w:cs="Times New Roman"/>
                <w:color w:val="000000"/>
                <w:sz w:val="20"/>
              </w:rPr>
              <w:t>Jhalokati</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Lalmonirhat</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Khulna</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3" w:type="pct"/>
          </w:tcPr>
          <w:p w:rsidR="00A356FA" w:rsidRPr="002E4EFE" w:rsidRDefault="00BB11A4"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Kurigram</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F51D0D" w:rsidP="002E4EFE">
            <w:pPr>
              <w:spacing w:after="0" w:line="240" w:lineRule="auto"/>
              <w:rPr>
                <w:rFonts w:eastAsia="Times New Roman" w:cs="Times New Roman"/>
                <w:color w:val="000000"/>
                <w:sz w:val="20"/>
              </w:rPr>
            </w:pPr>
            <w:r w:rsidRPr="002E4EFE">
              <w:rPr>
                <w:rFonts w:eastAsia="Times New Roman" w:cs="Times New Roman"/>
                <w:color w:val="000000"/>
                <w:sz w:val="20"/>
              </w:rPr>
              <w:t>Lakshmipur</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D7044C"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BB11A4"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Magura</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3</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Manikganj</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3</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Munshiganj</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BB11A4"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Natore</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Nilphamari</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3</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Noakhali</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183B06"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BB11A4"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Pabna</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Patuakhali</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183B06"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Pirojpur</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Rajshahi</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Rangpur</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Satkhira</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183B06"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3" w:type="pct"/>
          </w:tcPr>
          <w:p w:rsidR="00A356FA" w:rsidRPr="002E4EFE" w:rsidRDefault="00BB11A4"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Shariatpur</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7C16EE"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Sirajganj</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1</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7C16EE"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Sylhet</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3</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7C16EE"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Sunamganj</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3</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7C16EE"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r w:rsidR="00A356FA" w:rsidRPr="002E4EFE" w:rsidTr="002E4EFE">
        <w:trPr>
          <w:trHeight w:val="20"/>
        </w:trPr>
        <w:tc>
          <w:tcPr>
            <w:tcW w:w="671" w:type="pct"/>
            <w:shd w:val="clear" w:color="auto" w:fill="auto"/>
            <w:noWrap/>
            <w:vAlign w:val="center"/>
            <w:hideMark/>
          </w:tcPr>
          <w:p w:rsidR="00A356FA" w:rsidRPr="002E4EFE" w:rsidRDefault="00A356FA" w:rsidP="002E4EFE">
            <w:pPr>
              <w:spacing w:after="0" w:line="240" w:lineRule="auto"/>
              <w:rPr>
                <w:rFonts w:eastAsia="Times New Roman" w:cs="Times New Roman"/>
                <w:color w:val="000000"/>
                <w:sz w:val="20"/>
              </w:rPr>
            </w:pPr>
            <w:r w:rsidRPr="002E4EFE">
              <w:rPr>
                <w:rFonts w:eastAsia="Times New Roman" w:cs="Times New Roman"/>
                <w:color w:val="000000"/>
                <w:sz w:val="20"/>
              </w:rPr>
              <w:t>Tangail</w:t>
            </w:r>
          </w:p>
        </w:tc>
        <w:tc>
          <w:tcPr>
            <w:tcW w:w="532" w:type="pct"/>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2</w:t>
            </w:r>
          </w:p>
        </w:tc>
        <w:tc>
          <w:tcPr>
            <w:tcW w:w="512" w:type="pct"/>
          </w:tcPr>
          <w:p w:rsidR="00A356FA" w:rsidRPr="002E4EFE" w:rsidRDefault="00A356FA" w:rsidP="002E4EFE">
            <w:pPr>
              <w:spacing w:after="0" w:line="240" w:lineRule="auto"/>
              <w:jc w:val="center"/>
              <w:rPr>
                <w:rFonts w:eastAsia="Times New Roman" w:cs="Times New Roman"/>
                <w:color w:val="000000"/>
                <w:sz w:val="20"/>
              </w:rPr>
            </w:pPr>
          </w:p>
        </w:tc>
        <w:tc>
          <w:tcPr>
            <w:tcW w:w="51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r w:rsidRPr="002E4EFE">
              <w:rPr>
                <w:rFonts w:eastAsia="Times New Roman" w:cs="Times New Roman"/>
                <w:color w:val="000000"/>
                <w:sz w:val="20"/>
              </w:rPr>
              <w:t>x</w:t>
            </w: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5" w:type="pct"/>
            <w:shd w:val="clear" w:color="auto" w:fill="auto"/>
            <w:noWrap/>
            <w:vAlign w:val="center"/>
            <w:hideMark/>
          </w:tcPr>
          <w:p w:rsidR="00A356FA" w:rsidRPr="002E4EFE" w:rsidRDefault="00A356FA" w:rsidP="002E4EFE">
            <w:pPr>
              <w:spacing w:after="0" w:line="240" w:lineRule="auto"/>
              <w:jc w:val="center"/>
              <w:rPr>
                <w:rFonts w:eastAsia="Times New Roman" w:cs="Times New Roman"/>
                <w:color w:val="000000"/>
                <w:sz w:val="20"/>
              </w:rPr>
            </w:pPr>
          </w:p>
        </w:tc>
        <w:tc>
          <w:tcPr>
            <w:tcW w:w="554" w:type="pct"/>
            <w:shd w:val="clear" w:color="auto" w:fill="auto"/>
            <w:noWrap/>
            <w:vAlign w:val="center"/>
            <w:hideMark/>
          </w:tcPr>
          <w:p w:rsidR="00A356FA" w:rsidRPr="002E4EFE" w:rsidRDefault="007C16EE" w:rsidP="002E4EFE">
            <w:pPr>
              <w:spacing w:after="0" w:line="240" w:lineRule="auto"/>
              <w:jc w:val="center"/>
              <w:rPr>
                <w:rFonts w:eastAsia="Times New Roman" w:cs="Times New Roman"/>
                <w:color w:val="000000"/>
                <w:sz w:val="20"/>
              </w:rPr>
            </w:pPr>
            <w:r>
              <w:rPr>
                <w:rFonts w:eastAsia="Times New Roman" w:cs="Times New Roman"/>
                <w:color w:val="000000"/>
                <w:sz w:val="20"/>
              </w:rPr>
              <w:t>x</w:t>
            </w:r>
          </w:p>
        </w:tc>
        <w:tc>
          <w:tcPr>
            <w:tcW w:w="553" w:type="pct"/>
          </w:tcPr>
          <w:p w:rsidR="00A356FA" w:rsidRPr="002E4EFE" w:rsidRDefault="00A356FA" w:rsidP="002E4EFE">
            <w:pPr>
              <w:spacing w:after="0" w:line="240" w:lineRule="auto"/>
              <w:jc w:val="center"/>
              <w:rPr>
                <w:rFonts w:eastAsia="Times New Roman" w:cs="Times New Roman"/>
                <w:color w:val="000000"/>
                <w:sz w:val="20"/>
              </w:rPr>
            </w:pPr>
          </w:p>
        </w:tc>
      </w:tr>
    </w:tbl>
    <w:p w:rsidR="00542079" w:rsidRDefault="00612DB4" w:rsidP="00542079">
      <w:pPr>
        <w:spacing w:before="120" w:line="276" w:lineRule="auto"/>
        <w:jc w:val="both"/>
        <w:rPr>
          <w:rFonts w:cs="Times New Roman"/>
          <w:szCs w:val="24"/>
        </w:rPr>
      </w:pPr>
      <w:r>
        <w:rPr>
          <w:rFonts w:cs="Times New Roman"/>
          <w:b/>
          <w:i/>
          <w:sz w:val="20"/>
        </w:rPr>
        <w:t>Source: GED analysis</w:t>
      </w:r>
    </w:p>
    <w:p w:rsidR="00BC7591" w:rsidRPr="004B0A08" w:rsidRDefault="00BC7591" w:rsidP="00BC7591">
      <w:pPr>
        <w:spacing w:line="276" w:lineRule="auto"/>
        <w:jc w:val="both"/>
        <w:rPr>
          <w:rFonts w:cs="Times New Roman"/>
          <w:i/>
          <w:szCs w:val="24"/>
        </w:rPr>
      </w:pPr>
      <w:r w:rsidRPr="004B0A08">
        <w:rPr>
          <w:rFonts w:cs="Times New Roman"/>
          <w:i/>
          <w:szCs w:val="24"/>
        </w:rPr>
        <w:t xml:space="preserve">The hazard ratings show that 16 districts are most </w:t>
      </w:r>
      <w:r w:rsidR="00F51D0D" w:rsidRPr="004B0A08">
        <w:rPr>
          <w:rFonts w:cs="Times New Roman"/>
          <w:i/>
          <w:szCs w:val="24"/>
        </w:rPr>
        <w:t>hazards</w:t>
      </w:r>
      <w:r w:rsidRPr="004B0A08">
        <w:rPr>
          <w:rFonts w:cs="Times New Roman"/>
          <w:i/>
          <w:szCs w:val="24"/>
        </w:rPr>
        <w:t xml:space="preserve"> prone in the Bangladesh Delta.  These are:  Bagerhat, Barguna, Bhola, Chandpur, Cox's Bazar, Feni, Gaibandha, Jamalpur, Khulna, Kurigram, </w:t>
      </w:r>
      <w:r w:rsidR="00F51D0D" w:rsidRPr="004B0A08">
        <w:rPr>
          <w:rFonts w:cs="Times New Roman"/>
          <w:i/>
          <w:szCs w:val="24"/>
        </w:rPr>
        <w:t>Lakshmipur</w:t>
      </w:r>
      <w:r w:rsidRPr="004B0A08">
        <w:rPr>
          <w:rFonts w:cs="Times New Roman"/>
          <w:i/>
          <w:szCs w:val="24"/>
        </w:rPr>
        <w:t>, Noakhali, Patuakhali, Pirojpur, Sirajganj and Satkhira.  Most are a part of the Bangladesh coastal belt.</w:t>
      </w:r>
      <w:r w:rsidRPr="002E4EFE">
        <w:rPr>
          <w:rFonts w:cs="Times New Roman"/>
          <w:szCs w:val="24"/>
        </w:rPr>
        <w:t xml:space="preserve">  </w:t>
      </w:r>
      <w:r w:rsidRPr="004B0A08">
        <w:rPr>
          <w:rFonts w:cs="Times New Roman"/>
          <w:i/>
          <w:szCs w:val="24"/>
        </w:rPr>
        <w:t>The common challenges they face include seal-level rise, coastal flooding, cyclones and salinity.  Some also face problems from river erosion and water-logging.</w:t>
      </w:r>
      <w:r w:rsidRPr="002E4EFE">
        <w:rPr>
          <w:rFonts w:cs="Times New Roman"/>
          <w:szCs w:val="24"/>
        </w:rPr>
        <w:t xml:space="preserve">  </w:t>
      </w:r>
      <w:r w:rsidRPr="004B0A08">
        <w:rPr>
          <w:rFonts w:cs="Times New Roman"/>
          <w:i/>
          <w:szCs w:val="24"/>
        </w:rPr>
        <w:t>Additionally, this highest vulnerability group includes five districts belonging to the rivers and estuary category (Chandpur, Gaibandha, Jamalpur, Kurigram and Sirajganj).  These districts face severe river flooding and river erosion challenges on a fairly recurring cycle causing considerable economic losses and hardships to the population.</w:t>
      </w:r>
    </w:p>
    <w:p w:rsidR="00A356FA" w:rsidRPr="002E4EFE" w:rsidRDefault="00A356FA" w:rsidP="002E4EFE">
      <w:pPr>
        <w:spacing w:line="276" w:lineRule="auto"/>
        <w:jc w:val="both"/>
        <w:rPr>
          <w:rFonts w:cs="Times New Roman"/>
        </w:rPr>
      </w:pPr>
      <w:r w:rsidRPr="002E4EFE">
        <w:rPr>
          <w:rFonts w:cs="Times New Roman"/>
        </w:rPr>
        <w:lastRenderedPageBreak/>
        <w:t xml:space="preserve">Next in hazard vulnerability ranking are some 15 districts comprising of:  Barisal, Bogra, Faridpur, Jessore, </w:t>
      </w:r>
      <w:r w:rsidR="00F51D0D" w:rsidRPr="002E4EFE">
        <w:rPr>
          <w:rFonts w:cs="Times New Roman"/>
        </w:rPr>
        <w:t>Jhalokati</w:t>
      </w:r>
      <w:r w:rsidRPr="002E4EFE">
        <w:rPr>
          <w:rFonts w:cs="Times New Roman"/>
        </w:rPr>
        <w:t>, Lalmonirhat, Munshiganj, Nawabganj, Natore, Pabna, Rajbari, Rajshahi, Rangpur, Shariatpur and Tangail.  These mostly belong to Rivers and Estuary group or the inner loop of the coastal belt.  Some are also a part of the drought-prone region. Flood risk and river erosion are the main types of hazards, although districts in the drought-prone region face drought problems in addition to river flooding and river erosion.</w:t>
      </w:r>
    </w:p>
    <w:p w:rsidR="00A356FA" w:rsidRPr="002E4EFE" w:rsidRDefault="00A356FA" w:rsidP="002E4EFE">
      <w:pPr>
        <w:spacing w:line="276" w:lineRule="auto"/>
        <w:jc w:val="both"/>
        <w:rPr>
          <w:rFonts w:cs="Times New Roman"/>
        </w:rPr>
      </w:pPr>
      <w:r w:rsidRPr="002E4EFE">
        <w:rPr>
          <w:rFonts w:cs="Times New Roman"/>
        </w:rPr>
        <w:t>Finally, in the category 3 there are some 5 districts: Magura, Manikganj, Nilphamari, Sylhet and Sunamganj.  They face a mixture of flooding and drought related hazards. The intensity of flooding is relatively lower than found in districts under category 2.</w:t>
      </w:r>
    </w:p>
    <w:p w:rsidR="002E4EFE" w:rsidRDefault="002E4EFE" w:rsidP="00944687">
      <w:pPr>
        <w:pStyle w:val="Heading4"/>
      </w:pPr>
      <w:bookmarkStart w:id="177" w:name="_Toc474639011"/>
      <w:r w:rsidRPr="00C151CD">
        <w:t xml:space="preserve">Table 2.15: Correlation </w:t>
      </w:r>
      <w:r w:rsidR="004F7097">
        <w:t>b</w:t>
      </w:r>
      <w:r w:rsidR="004F7097" w:rsidRPr="00C151CD">
        <w:t xml:space="preserve">etween </w:t>
      </w:r>
      <w:r w:rsidRPr="00C151CD">
        <w:t>Natural Hazards and Welfare</w:t>
      </w:r>
      <w:bookmarkEnd w:id="177"/>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1791"/>
        <w:gridCol w:w="1502"/>
        <w:gridCol w:w="1961"/>
        <w:gridCol w:w="1440"/>
        <w:gridCol w:w="1440"/>
        <w:gridCol w:w="1442"/>
      </w:tblGrid>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District</w:t>
            </w:r>
          </w:p>
        </w:tc>
        <w:tc>
          <w:tcPr>
            <w:tcW w:w="648" w:type="pct"/>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Hazard Ranking</w:t>
            </w:r>
          </w:p>
        </w:tc>
        <w:tc>
          <w:tcPr>
            <w:tcW w:w="1085" w:type="pct"/>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Per capita income 2010/11 (Taka)</w:t>
            </w:r>
          </w:p>
        </w:tc>
        <w:tc>
          <w:tcPr>
            <w:tcW w:w="813" w:type="pct"/>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UPL2010 (%)</w:t>
            </w:r>
          </w:p>
        </w:tc>
        <w:tc>
          <w:tcPr>
            <w:tcW w:w="813" w:type="pct"/>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LPL2010 (%)</w:t>
            </w:r>
          </w:p>
        </w:tc>
        <w:tc>
          <w:tcPr>
            <w:tcW w:w="814" w:type="pct"/>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UPL2000 (%)</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Bagerhat</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48,696</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42.2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24.0</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32.8</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Satkhira</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37,083</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46.3</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29.7</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59.7</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Noakhali</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29,565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9.6</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3.4</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49.5</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Bhola</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37,023</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33.2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20.4</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68.5</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Cox's Bazar</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35,225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32.7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16.2</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40.6</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Patuakhali</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38,582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25.8</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14.7</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39.9</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Pirojpur</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33,453</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44.1</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30.9</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51.1</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Chandpur</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31,998</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51.0</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30.3</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52.2</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Barguna</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40,225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19.0</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9.8</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54.2</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Feni</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26,225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25.9</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14.6</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44.8</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Khulna</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58,346</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38.8</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21.2</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37.9</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Lakshmipur</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30,862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31.2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18.1</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57.8</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Jamalpur</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32,922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51.1</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34.2</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56.5</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Gaibandha</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29090</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48.0</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30.3</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70.5</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Sirajganj</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29,088</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38.7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22.7</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59.7</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Kurigram</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35,107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63.7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44.3</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57.8</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Munshiganj</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29,713</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28.7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15.6</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49.4</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Pabna</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38,938</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31.5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16.7</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49.5</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Jessore</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39,242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39.0</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18.0</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32.4</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Rangpur</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32,232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46.2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30.1</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69.0</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Tangail</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30,957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49.7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18.0</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65.6</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Faridpur</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30,405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36.3</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19.8</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65.5</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Shariatpur</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30,277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52.6</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34.4</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73.3</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Rajbari</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32,615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43.4</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25.7</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63.4</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Barisal</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37,934</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54.8</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39.9</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55.1</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Natore</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37,940</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35.1</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21.3</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42.8</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Rajshahi</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40,008</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31.4</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16.5</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49.6</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Bogra</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34,396</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16.6</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6.7</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45.7</w:t>
            </w:r>
          </w:p>
        </w:tc>
      </w:tr>
      <w:tr w:rsidR="002E4EFE" w:rsidRPr="002E4EFE" w:rsidTr="00E568FD">
        <w:trPr>
          <w:trHeight w:hRule="exact" w:val="216"/>
        </w:trPr>
        <w:tc>
          <w:tcPr>
            <w:tcW w:w="827" w:type="pct"/>
            <w:shd w:val="clear" w:color="auto" w:fill="auto"/>
            <w:noWrap/>
            <w:vAlign w:val="center"/>
            <w:hideMark/>
          </w:tcPr>
          <w:p w:rsidR="002E4EFE" w:rsidRPr="002E4EFE" w:rsidRDefault="00F51D0D" w:rsidP="00E568FD">
            <w:pPr>
              <w:jc w:val="center"/>
              <w:rPr>
                <w:rFonts w:eastAsia="Times New Roman" w:cs="Times New Roman"/>
                <w:color w:val="000000"/>
                <w:sz w:val="18"/>
                <w:szCs w:val="16"/>
              </w:rPr>
            </w:pPr>
            <w:r w:rsidRPr="002E4EFE">
              <w:rPr>
                <w:rFonts w:eastAsia="Times New Roman" w:cs="Times New Roman"/>
                <w:color w:val="000000"/>
                <w:sz w:val="18"/>
                <w:szCs w:val="16"/>
              </w:rPr>
              <w:t>Jhalokati</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30,407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40.5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26.7</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33.8</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Lalmonirhat</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32,528</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34.5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16.7</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55.3</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Nawabganj</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28,442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25.3</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12.1</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47.4</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Magura</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35,171</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45.4</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25.9</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60.2</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Manikganj</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35,347</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18.5</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8.0</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57.0</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Nilphamari</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27870</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34.8</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18.8</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65.5</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Sunamganj</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25872</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26.0</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20.6</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57.7</w:t>
            </w:r>
          </w:p>
        </w:tc>
      </w:tr>
      <w:tr w:rsidR="002E4EFE" w:rsidRPr="002E4EFE" w:rsidTr="00E568FD">
        <w:trPr>
          <w:trHeight w:hRule="exact" w:val="216"/>
        </w:trPr>
        <w:tc>
          <w:tcPr>
            <w:tcW w:w="827"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Sylhet</w:t>
            </w:r>
          </w:p>
        </w:tc>
        <w:tc>
          <w:tcPr>
            <w:tcW w:w="648"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w:t>
            </w:r>
          </w:p>
        </w:tc>
        <w:tc>
          <w:tcPr>
            <w:tcW w:w="1085" w:type="pct"/>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31,966</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24.1</w:t>
            </w:r>
          </w:p>
        </w:tc>
        <w:tc>
          <w:tcPr>
            <w:tcW w:w="813"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19.5</w:t>
            </w:r>
          </w:p>
        </w:tc>
        <w:tc>
          <w:tcPr>
            <w:tcW w:w="814" w:type="pct"/>
            <w:shd w:val="clear" w:color="auto" w:fill="auto"/>
            <w:noWrap/>
            <w:vAlign w:val="center"/>
            <w:hideMark/>
          </w:tcPr>
          <w:p w:rsidR="002E4EFE" w:rsidRPr="002E4EFE" w:rsidRDefault="002E4EFE" w:rsidP="00E568FD">
            <w:pPr>
              <w:jc w:val="center"/>
              <w:rPr>
                <w:rFonts w:eastAsia="Times New Roman" w:cs="Times New Roman"/>
                <w:color w:val="000000"/>
                <w:sz w:val="18"/>
                <w:szCs w:val="16"/>
              </w:rPr>
            </w:pPr>
            <w:r w:rsidRPr="002E4EFE">
              <w:rPr>
                <w:rFonts w:eastAsia="Times New Roman" w:cs="Times New Roman"/>
                <w:color w:val="000000"/>
                <w:sz w:val="18"/>
                <w:szCs w:val="16"/>
              </w:rPr>
              <w:t>38.2</w:t>
            </w:r>
          </w:p>
        </w:tc>
      </w:tr>
      <w:tr w:rsidR="002E4EFE" w:rsidRPr="002E4EFE" w:rsidTr="00DA1E41">
        <w:trPr>
          <w:trHeight w:hRule="exact" w:val="216"/>
        </w:trPr>
        <w:tc>
          <w:tcPr>
            <w:tcW w:w="827" w:type="pct"/>
            <w:tcBorders>
              <w:bottom w:val="single" w:sz="6" w:space="0" w:color="auto"/>
            </w:tcBorders>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Bangladesh Average</w:t>
            </w:r>
          </w:p>
        </w:tc>
        <w:tc>
          <w:tcPr>
            <w:tcW w:w="648" w:type="pct"/>
            <w:tcBorders>
              <w:bottom w:val="single" w:sz="6" w:space="0" w:color="auto"/>
            </w:tcBorders>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p>
        </w:tc>
        <w:tc>
          <w:tcPr>
            <w:tcW w:w="1085" w:type="pct"/>
            <w:tcBorders>
              <w:bottom w:val="single" w:sz="6" w:space="0" w:color="auto"/>
            </w:tcBorders>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37,859</w:t>
            </w:r>
          </w:p>
        </w:tc>
        <w:tc>
          <w:tcPr>
            <w:tcW w:w="813" w:type="pct"/>
            <w:tcBorders>
              <w:bottom w:val="single" w:sz="6" w:space="0" w:color="auto"/>
            </w:tcBorders>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31.5</w:t>
            </w:r>
          </w:p>
        </w:tc>
        <w:tc>
          <w:tcPr>
            <w:tcW w:w="813" w:type="pct"/>
            <w:tcBorders>
              <w:bottom w:val="single" w:sz="6" w:space="0" w:color="auto"/>
            </w:tcBorders>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17.6</w:t>
            </w:r>
          </w:p>
        </w:tc>
        <w:tc>
          <w:tcPr>
            <w:tcW w:w="814" w:type="pct"/>
            <w:tcBorders>
              <w:bottom w:val="single" w:sz="6" w:space="0" w:color="auto"/>
            </w:tcBorders>
            <w:shd w:val="clear" w:color="auto" w:fill="auto"/>
            <w:noWrap/>
            <w:vAlign w:val="center"/>
            <w:hideMark/>
          </w:tcPr>
          <w:p w:rsidR="002E4EFE" w:rsidRPr="002E4EFE" w:rsidRDefault="002E4EFE" w:rsidP="00E568FD">
            <w:pPr>
              <w:jc w:val="center"/>
              <w:rPr>
                <w:rFonts w:eastAsia="Times New Roman" w:cs="Times New Roman"/>
                <w:b/>
                <w:color w:val="000000"/>
                <w:sz w:val="18"/>
                <w:szCs w:val="16"/>
              </w:rPr>
            </w:pPr>
            <w:r w:rsidRPr="002E4EFE">
              <w:rPr>
                <w:rFonts w:eastAsia="Times New Roman" w:cs="Times New Roman"/>
                <w:b/>
                <w:color w:val="000000"/>
                <w:sz w:val="18"/>
                <w:szCs w:val="16"/>
              </w:rPr>
              <w:t>49.8</w:t>
            </w:r>
          </w:p>
        </w:tc>
      </w:tr>
      <w:tr w:rsidR="002E4EFE" w:rsidRPr="002E4EFE" w:rsidTr="00DA1E41">
        <w:trPr>
          <w:trHeight w:hRule="exact" w:val="357"/>
        </w:trPr>
        <w:tc>
          <w:tcPr>
            <w:tcW w:w="5000" w:type="pct"/>
            <w:gridSpan w:val="6"/>
            <w:tcBorders>
              <w:top w:val="single" w:sz="6" w:space="0" w:color="auto"/>
              <w:left w:val="nil"/>
              <w:bottom w:val="nil"/>
              <w:right w:val="nil"/>
            </w:tcBorders>
            <w:shd w:val="clear" w:color="auto" w:fill="auto"/>
            <w:noWrap/>
            <w:vAlign w:val="center"/>
            <w:hideMark/>
          </w:tcPr>
          <w:p w:rsidR="002E4EFE" w:rsidRPr="002E4EFE" w:rsidRDefault="002E4EFE" w:rsidP="00DA1E41">
            <w:pPr>
              <w:spacing w:before="120"/>
              <w:rPr>
                <w:rFonts w:eastAsia="Times New Roman" w:cs="Times New Roman"/>
                <w:b/>
                <w:i/>
                <w:color w:val="000000"/>
                <w:sz w:val="18"/>
                <w:szCs w:val="16"/>
              </w:rPr>
            </w:pPr>
            <w:r w:rsidRPr="002E4EFE">
              <w:rPr>
                <w:rFonts w:eastAsia="Times New Roman" w:cs="Times New Roman"/>
                <w:b/>
                <w:i/>
                <w:color w:val="000000"/>
                <w:sz w:val="18"/>
                <w:szCs w:val="16"/>
              </w:rPr>
              <w:t>Source: Poverty data from HIES 2010 and 2000; Per capita income from BBS</w:t>
            </w:r>
          </w:p>
        </w:tc>
      </w:tr>
    </w:tbl>
    <w:p w:rsidR="002E4EFE" w:rsidRPr="002E4EFE" w:rsidRDefault="002E4EFE" w:rsidP="002E4EFE">
      <w:pPr>
        <w:spacing w:line="276" w:lineRule="auto"/>
        <w:rPr>
          <w:rFonts w:cs="Times New Roman"/>
        </w:rPr>
      </w:pPr>
    </w:p>
    <w:p w:rsidR="00542079" w:rsidRPr="002E4EFE" w:rsidRDefault="00542079" w:rsidP="00542079">
      <w:pPr>
        <w:spacing w:line="276" w:lineRule="auto"/>
        <w:jc w:val="both"/>
        <w:rPr>
          <w:rFonts w:cs="Times New Roman"/>
        </w:rPr>
      </w:pPr>
      <w:r w:rsidRPr="002E4EFE">
        <w:rPr>
          <w:rFonts w:cs="Times New Roman"/>
        </w:rPr>
        <w:lastRenderedPageBreak/>
        <w:t xml:space="preserve">An important analytical question is how the hazard profile of districts </w:t>
      </w:r>
      <w:r w:rsidR="002C2502">
        <w:rPr>
          <w:rFonts w:cs="Times New Roman"/>
        </w:rPr>
        <w:t xml:space="preserve">is </w:t>
      </w:r>
      <w:r w:rsidRPr="002E4EFE">
        <w:rPr>
          <w:rFonts w:cs="Times New Roman"/>
        </w:rPr>
        <w:t xml:space="preserve">correlated with economic outcomes.  It should be noted that districts that are not included in Table 2.14 also face a variety of natural disaster risks but relative to the districts </w:t>
      </w:r>
      <w:r w:rsidR="00870B62">
        <w:rPr>
          <w:rFonts w:cs="Times New Roman"/>
        </w:rPr>
        <w:t xml:space="preserve">listed </w:t>
      </w:r>
      <w:r w:rsidRPr="002E4EFE">
        <w:rPr>
          <w:rFonts w:cs="Times New Roman"/>
        </w:rPr>
        <w:t>in Table 2.17, the magnitude and scale of impact is lower.</w:t>
      </w:r>
    </w:p>
    <w:p w:rsidR="002E4EFE" w:rsidRPr="00542079" w:rsidRDefault="00542079" w:rsidP="00542079">
      <w:pPr>
        <w:spacing w:line="276" w:lineRule="auto"/>
        <w:jc w:val="both"/>
        <w:rPr>
          <w:rFonts w:cs="Times New Roman"/>
          <w:color w:val="000000" w:themeColor="text1"/>
        </w:rPr>
      </w:pPr>
      <w:r w:rsidRPr="002E4EFE">
        <w:rPr>
          <w:rFonts w:cs="Times New Roman"/>
        </w:rPr>
        <w:t xml:space="preserve">Table 2.15 shows the results in terms of per capita income and poverty profile. </w:t>
      </w:r>
      <w:r w:rsidRPr="002E4EFE">
        <w:rPr>
          <w:rFonts w:cs="Times New Roman"/>
          <w:color w:val="000000" w:themeColor="text1"/>
        </w:rPr>
        <w:t>Table 2.15 is a powerful summary of some very</w:t>
      </w:r>
      <w:r w:rsidR="003D5863">
        <w:rPr>
          <w:rFonts w:cs="Times New Roman"/>
          <w:color w:val="000000" w:themeColor="text1"/>
        </w:rPr>
        <w:t xml:space="preserve"> interesting economic results. </w:t>
      </w:r>
      <w:r w:rsidRPr="002E4EFE">
        <w:rPr>
          <w:rFonts w:cs="Times New Roman"/>
          <w:color w:val="000000" w:themeColor="text1"/>
        </w:rPr>
        <w:t>Th</w:t>
      </w:r>
      <w:r w:rsidR="00870B62">
        <w:rPr>
          <w:rFonts w:cs="Times New Roman"/>
          <w:color w:val="000000" w:themeColor="text1"/>
        </w:rPr>
        <w:t>ese results are:</w:t>
      </w:r>
    </w:p>
    <w:p w:rsidR="00A356FA" w:rsidRPr="004B0A08" w:rsidRDefault="00A356FA" w:rsidP="00CE4AC3">
      <w:pPr>
        <w:pStyle w:val="ListParagraph"/>
        <w:numPr>
          <w:ilvl w:val="0"/>
          <w:numId w:val="6"/>
        </w:numPr>
        <w:spacing w:line="276" w:lineRule="auto"/>
        <w:ind w:left="360"/>
        <w:jc w:val="both"/>
        <w:rPr>
          <w:rFonts w:cs="Times New Roman"/>
          <w:i/>
        </w:rPr>
      </w:pPr>
      <w:r w:rsidRPr="004B0A08">
        <w:rPr>
          <w:rFonts w:cs="Times New Roman"/>
          <w:i/>
        </w:rPr>
        <w:t xml:space="preserve">Consistent with the </w:t>
      </w:r>
      <w:r w:rsidR="00B7110D" w:rsidRPr="004B0A08">
        <w:rPr>
          <w:rFonts w:cs="Times New Roman"/>
          <w:i/>
        </w:rPr>
        <w:t>expected impact</w:t>
      </w:r>
      <w:r w:rsidRPr="004B0A08">
        <w:rPr>
          <w:rFonts w:cs="Times New Roman"/>
          <w:i/>
        </w:rPr>
        <w:t xml:space="preserve"> of natural hazards on welfare, there is a strong positive correlation between incidence of poverty and the intensity of natural hazards.</w:t>
      </w:r>
      <w:r w:rsidRPr="002E4EFE">
        <w:rPr>
          <w:rFonts w:cs="Times New Roman"/>
        </w:rPr>
        <w:t xml:space="preserve">  Some 70% of the 16 districts ranked as most exposed to natural disasters (intense risk category with ranking of 1) also show poverty rates that are higher than the national average using the upper poverty line for 2010.  </w:t>
      </w:r>
      <w:r w:rsidRPr="004B0A08">
        <w:rPr>
          <w:rFonts w:cs="Times New Roman"/>
          <w:i/>
        </w:rPr>
        <w:t>The important exceptions are Noakhali, Barguna, Bogra, Feni and Patuakhali.  Interestingly, except Bogra, these are all coastal belt districts.</w:t>
      </w:r>
      <w:r w:rsidRPr="002E4EFE">
        <w:rPr>
          <w:rFonts w:cs="Times New Roman"/>
        </w:rPr>
        <w:t xml:space="preserve">  </w:t>
      </w:r>
      <w:r w:rsidRPr="004B0A08">
        <w:rPr>
          <w:rFonts w:cs="Times New Roman"/>
          <w:i/>
        </w:rPr>
        <w:t xml:space="preserve">A deeper analysis of how these 5 districts have succeeded in securing better welfare outcomes for the residents despite facing intense natural hazard pressure will have important insights for developing the Delta strategy. </w:t>
      </w:r>
    </w:p>
    <w:p w:rsidR="00A356FA" w:rsidRPr="002E4EFE" w:rsidRDefault="00A356FA" w:rsidP="00CE4AC3">
      <w:pPr>
        <w:pStyle w:val="ListParagraph"/>
        <w:numPr>
          <w:ilvl w:val="0"/>
          <w:numId w:val="6"/>
        </w:numPr>
        <w:spacing w:line="276" w:lineRule="auto"/>
        <w:ind w:left="360"/>
        <w:jc w:val="both"/>
        <w:rPr>
          <w:rFonts w:cs="Times New Roman"/>
        </w:rPr>
      </w:pPr>
      <w:r w:rsidRPr="002E4EFE">
        <w:rPr>
          <w:rFonts w:cs="Times New Roman"/>
        </w:rPr>
        <w:t xml:space="preserve">There is a similar highly positive correlation between high-risk districts (risk ranking of 2) and poverty.  Some 67% of these districts have poverty rates that are higher than the national average and 13% have poverty rates same as the national average.  </w:t>
      </w:r>
    </w:p>
    <w:p w:rsidR="00A356FA" w:rsidRPr="002E4EFE" w:rsidRDefault="00A356FA" w:rsidP="00CE4AC3">
      <w:pPr>
        <w:pStyle w:val="ListParagraph"/>
        <w:numPr>
          <w:ilvl w:val="0"/>
          <w:numId w:val="6"/>
        </w:numPr>
        <w:spacing w:line="276" w:lineRule="auto"/>
        <w:ind w:left="360"/>
        <w:jc w:val="both"/>
        <w:rPr>
          <w:rFonts w:cs="Times New Roman"/>
        </w:rPr>
      </w:pPr>
      <w:r w:rsidRPr="002E4EFE">
        <w:rPr>
          <w:rFonts w:cs="Times New Roman"/>
        </w:rPr>
        <w:t>At the national level, of the 15 most poverty-stricken districts, almost 90% of the districts belong to natural hazard risk categories 1 or 2 (Figure 2.5).  The 2 exceptions are Mymensingh and Sherpur that are relatively less hazard prone.</w:t>
      </w:r>
    </w:p>
    <w:p w:rsidR="00A356FA" w:rsidRPr="004B0A08" w:rsidRDefault="00A356FA" w:rsidP="00CE4AC3">
      <w:pPr>
        <w:pStyle w:val="ListParagraph"/>
        <w:numPr>
          <w:ilvl w:val="0"/>
          <w:numId w:val="6"/>
        </w:numPr>
        <w:spacing w:line="276" w:lineRule="auto"/>
        <w:ind w:left="360"/>
        <w:jc w:val="both"/>
        <w:rPr>
          <w:rFonts w:cs="Times New Roman"/>
          <w:i/>
        </w:rPr>
      </w:pPr>
      <w:r w:rsidRPr="002E4EFE">
        <w:rPr>
          <w:rFonts w:cs="Times New Roman"/>
        </w:rPr>
        <w:t xml:space="preserve">When it comes to per capita income, some 80% of the most-intense hazard-prone districts (risk ratings of 1) had per capita income below the national average. The corresponding percentages were:  67% for districts in risk category 2 and 100% for risk category 3.  In risk category 1, the exceptions are Khulna, Bagerhat, Barguna and Patuakhali.  Khulna and Bagerhat in particular have done very well in securing substantially better than average per capita income (54% higher than the national average for Khulna and 29% higher in Bagerhat).  However, Patuakhali is close to the national average while Barguna is 6.2% higher.  In the case of risk category 2, although there are 5 districts that have average per capita income higher than the national average, only one district (Rajshahi) has significantly higher than national average per capita income (5.7% higher).  Others are bordering around the national average.  </w:t>
      </w:r>
      <w:r w:rsidRPr="004B0A08">
        <w:rPr>
          <w:rFonts w:cs="Times New Roman"/>
          <w:i/>
        </w:rPr>
        <w:t>The positive experiences of Khulna, Bagerhat and Barguna to secure significantly larger-than-national average per capita income despite the large risks posed by the intense natural disasters in these districts deserves closer look to understand how these districts have countered the adverse effects of natural disasters.</w:t>
      </w:r>
    </w:p>
    <w:p w:rsidR="00A356FA" w:rsidRPr="002E4EFE" w:rsidRDefault="00A356FA" w:rsidP="00CE4AC3">
      <w:pPr>
        <w:pStyle w:val="ListParagraph"/>
        <w:numPr>
          <w:ilvl w:val="0"/>
          <w:numId w:val="6"/>
        </w:numPr>
        <w:spacing w:line="276" w:lineRule="auto"/>
        <w:ind w:left="360"/>
        <w:jc w:val="both"/>
        <w:rPr>
          <w:rFonts w:cs="Times New Roman"/>
          <w:color w:val="000000" w:themeColor="text1"/>
        </w:rPr>
      </w:pPr>
      <w:r w:rsidRPr="002E4EFE">
        <w:rPr>
          <w:rFonts w:cs="Times New Roman"/>
        </w:rPr>
        <w:t xml:space="preserve"> The link between exposure to natural hazards and per capita income is complicated by the fact that the two industrial-commercial urbanized districts of Dhaka and </w:t>
      </w:r>
      <w:r w:rsidR="004F7097">
        <w:rPr>
          <w:rFonts w:cs="Times New Roman"/>
        </w:rPr>
        <w:t>Chittagong</w:t>
      </w:r>
      <w:r w:rsidR="004F7097" w:rsidRPr="002E4EFE">
        <w:rPr>
          <w:rFonts w:cs="Times New Roman"/>
        </w:rPr>
        <w:t xml:space="preserve"> </w:t>
      </w:r>
      <w:r w:rsidRPr="002E4EFE">
        <w:rPr>
          <w:rFonts w:cs="Times New Roman"/>
        </w:rPr>
        <w:t xml:space="preserve">alone account for almost a quarter </w:t>
      </w:r>
      <w:r w:rsidR="004F7097">
        <w:rPr>
          <w:rFonts w:cs="Times New Roman"/>
        </w:rPr>
        <w:t xml:space="preserve">(?) </w:t>
      </w:r>
      <w:r w:rsidRPr="002E4EFE">
        <w:rPr>
          <w:rFonts w:cs="Times New Roman"/>
        </w:rPr>
        <w:t xml:space="preserve">of total national GDP.  The income share of agriculture, which is the most vulnerable economic activity in terms of exposure to natural hazards, is </w:t>
      </w:r>
      <w:r w:rsidRPr="002E4EFE">
        <w:rPr>
          <w:rFonts w:cs="Times New Roman"/>
        </w:rPr>
        <w:lastRenderedPageBreak/>
        <w:t xml:space="preserve">small in these two districts.  A more meaningful link between natural disaster and income requires district level data on income share of agriculture, which unfortunately is </w:t>
      </w:r>
      <w:r w:rsidR="00B7110D" w:rsidRPr="002E4EFE">
        <w:rPr>
          <w:rFonts w:cs="Times New Roman"/>
        </w:rPr>
        <w:t>not available</w:t>
      </w:r>
      <w:r w:rsidRPr="002E4EFE">
        <w:rPr>
          <w:rFonts w:cs="Times New Roman"/>
        </w:rPr>
        <w:t xml:space="preserve">.  Yet, as noted, the experiences of Khulna, Bagerhat and Barguna will throw useful insights about how they have succeeded in fighting against the exposure of their per capita income to natural disasters.  </w:t>
      </w:r>
    </w:p>
    <w:p w:rsidR="00A356FA" w:rsidRPr="00D250AB" w:rsidRDefault="00A356FA" w:rsidP="002E4EFE">
      <w:pPr>
        <w:pStyle w:val="ListParagraph"/>
        <w:spacing w:line="276" w:lineRule="auto"/>
        <w:jc w:val="both"/>
        <w:rPr>
          <w:rFonts w:cs="Times New Roman"/>
          <w:sz w:val="2"/>
        </w:rPr>
      </w:pPr>
    </w:p>
    <w:p w:rsidR="00E76513" w:rsidRPr="00E76513" w:rsidRDefault="00E76513" w:rsidP="00944687">
      <w:pPr>
        <w:pStyle w:val="Heading5"/>
      </w:pPr>
      <w:bookmarkStart w:id="178" w:name="_Toc474639168"/>
      <w:r w:rsidRPr="00E76513">
        <w:t>Figure 2.5: 15-Most Poverty Stricken Districts, UPL 2010 (%)</w:t>
      </w:r>
      <w:bookmarkEnd w:id="178"/>
    </w:p>
    <w:p w:rsidR="00A356FA" w:rsidRPr="00EC079B" w:rsidRDefault="00A356FA" w:rsidP="00E76513">
      <w:pPr>
        <w:spacing w:after="0" w:line="240" w:lineRule="auto"/>
        <w:jc w:val="center"/>
        <w:rPr>
          <w:rFonts w:cs="Times New Roman"/>
          <w:color w:val="000000" w:themeColor="text1"/>
        </w:rPr>
      </w:pPr>
      <w:r w:rsidRPr="00EC079B">
        <w:rPr>
          <w:rFonts w:cs="Times New Roman"/>
          <w:noProof/>
          <w:color w:val="000000" w:themeColor="text1"/>
          <w:lang w:val="en-AU" w:eastAsia="en-AU" w:bidi="bn-BD"/>
        </w:rPr>
        <w:drawing>
          <wp:inline distT="0" distB="0" distL="0" distR="0">
            <wp:extent cx="5410200" cy="2838450"/>
            <wp:effectExtent l="0" t="0" r="19050" b="19050"/>
            <wp:docPr id="6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356FA" w:rsidRPr="00AC4BF3" w:rsidRDefault="00A356FA" w:rsidP="00542079">
      <w:pPr>
        <w:spacing w:before="120" w:line="276" w:lineRule="auto"/>
        <w:jc w:val="both"/>
        <w:rPr>
          <w:rFonts w:cs="Times New Roman"/>
          <w:b/>
          <w:i/>
          <w:sz w:val="20"/>
          <w:szCs w:val="24"/>
        </w:rPr>
      </w:pPr>
      <w:r w:rsidRPr="00AC4BF3">
        <w:rPr>
          <w:rFonts w:cs="Times New Roman"/>
          <w:sz w:val="20"/>
          <w:szCs w:val="24"/>
        </w:rPr>
        <w:t xml:space="preserve">         </w:t>
      </w:r>
      <w:r w:rsidRPr="00AC4BF3">
        <w:rPr>
          <w:rFonts w:cs="Times New Roman"/>
          <w:b/>
          <w:i/>
          <w:sz w:val="20"/>
          <w:szCs w:val="24"/>
        </w:rPr>
        <w:t>Source: HIES 2010</w:t>
      </w:r>
      <w:r w:rsidRPr="00AC4BF3">
        <w:rPr>
          <w:rFonts w:cs="Times New Roman"/>
          <w:b/>
          <w:i/>
          <w:sz w:val="20"/>
          <w:szCs w:val="24"/>
        </w:rPr>
        <w:tab/>
      </w:r>
    </w:p>
    <w:p w:rsidR="00000000" w:rsidRDefault="00A356FA" w:rsidP="003D5A31">
      <w:pPr>
        <w:pStyle w:val="BodyText"/>
        <w:numPr>
          <w:ilvl w:val="2"/>
          <w:numId w:val="136"/>
        </w:numPr>
        <w:spacing w:after="240" w:line="276" w:lineRule="auto"/>
        <w:jc w:val="both"/>
        <w:rPr>
          <w:rFonts w:cs="Times New Roman"/>
          <w:b/>
          <w:szCs w:val="24"/>
        </w:rPr>
      </w:pPr>
      <w:r w:rsidRPr="00AC4BF3">
        <w:rPr>
          <w:rFonts w:cs="Times New Roman"/>
          <w:b/>
          <w:szCs w:val="24"/>
        </w:rPr>
        <w:t>Insights from Sub-district Poverty Profile</w:t>
      </w:r>
    </w:p>
    <w:p w:rsidR="00A356FA" w:rsidRPr="00AC4BF3" w:rsidRDefault="00A356FA" w:rsidP="00AC4BF3">
      <w:pPr>
        <w:spacing w:line="276" w:lineRule="auto"/>
        <w:jc w:val="both"/>
        <w:rPr>
          <w:rFonts w:cs="Times New Roman"/>
          <w:szCs w:val="24"/>
        </w:rPr>
      </w:pPr>
      <w:r w:rsidRPr="00AC4BF3">
        <w:rPr>
          <w:rFonts w:cs="Times New Roman"/>
          <w:szCs w:val="24"/>
        </w:rPr>
        <w:t xml:space="preserve">Further insights on the relationship between poverty and vulnerability to natural hazards can be gauged by looking at the poverty level at the sub-district level.  </w:t>
      </w:r>
      <w:r w:rsidRPr="004B0A08">
        <w:rPr>
          <w:rFonts w:cs="Times New Roman"/>
          <w:i/>
          <w:szCs w:val="24"/>
        </w:rPr>
        <w:t>Detai</w:t>
      </w:r>
      <w:r w:rsidR="00870B62" w:rsidRPr="004B0A08">
        <w:rPr>
          <w:rFonts w:cs="Times New Roman"/>
          <w:i/>
          <w:szCs w:val="24"/>
        </w:rPr>
        <w:t>led analysis of poverty profile</w:t>
      </w:r>
      <w:r w:rsidRPr="004B0A08">
        <w:rPr>
          <w:rFonts w:cs="Times New Roman"/>
          <w:i/>
          <w:szCs w:val="24"/>
        </w:rPr>
        <w:t xml:space="preserve"> show</w:t>
      </w:r>
      <w:r w:rsidR="00870B62" w:rsidRPr="004B0A08">
        <w:rPr>
          <w:rFonts w:cs="Times New Roman"/>
          <w:i/>
          <w:szCs w:val="24"/>
        </w:rPr>
        <w:t>s</w:t>
      </w:r>
      <w:r w:rsidRPr="004B0A08">
        <w:rPr>
          <w:rFonts w:cs="Times New Roman"/>
          <w:i/>
          <w:szCs w:val="24"/>
        </w:rPr>
        <w:t xml:space="preserve"> that the incidence of extreme poverty is much higher in the rural areas</w:t>
      </w:r>
      <w:r w:rsidR="00870B62" w:rsidRPr="004B0A08">
        <w:rPr>
          <w:rFonts w:cs="Times New Roman"/>
          <w:i/>
          <w:szCs w:val="24"/>
        </w:rPr>
        <w:t>, which</w:t>
      </w:r>
      <w:r w:rsidRPr="004B0A08">
        <w:rPr>
          <w:rFonts w:cs="Times New Roman"/>
          <w:i/>
          <w:szCs w:val="24"/>
        </w:rPr>
        <w:t xml:space="preserve"> are heavily dominated by traditional agriculture as the main means of livelihood.</w:t>
      </w:r>
      <w:r w:rsidRPr="00AC4BF3">
        <w:rPr>
          <w:rFonts w:cs="Times New Roman"/>
          <w:szCs w:val="24"/>
        </w:rPr>
        <w:t xml:space="preserve"> </w:t>
      </w:r>
      <w:r w:rsidR="00CF1871">
        <w:rPr>
          <w:rFonts w:cs="Times New Roman"/>
          <w:szCs w:val="24"/>
        </w:rPr>
        <w:t>Figure 2.6</w:t>
      </w:r>
      <w:r w:rsidRPr="00AC4BF3">
        <w:rPr>
          <w:rFonts w:cs="Times New Roman"/>
          <w:szCs w:val="24"/>
        </w:rPr>
        <w:t xml:space="preserve"> shows the poverty incidence for the extreme poor (lower poverty line) for the 15-poorest of the poor sub-districts (</w:t>
      </w:r>
      <w:r w:rsidR="00F51D0D" w:rsidRPr="00AC4BF3">
        <w:rPr>
          <w:rFonts w:cs="Times New Roman"/>
          <w:szCs w:val="24"/>
        </w:rPr>
        <w:t>upazilla</w:t>
      </w:r>
      <w:r w:rsidRPr="00AC4BF3">
        <w:rPr>
          <w:rFonts w:cs="Times New Roman"/>
          <w:szCs w:val="24"/>
        </w:rPr>
        <w:t xml:space="preserve">). The results are very striking.  Some 90% of these </w:t>
      </w:r>
      <w:r w:rsidR="00F51D0D" w:rsidRPr="00AC4BF3">
        <w:rPr>
          <w:rFonts w:cs="Times New Roman"/>
          <w:szCs w:val="24"/>
        </w:rPr>
        <w:t>upazillas</w:t>
      </w:r>
      <w:r w:rsidRPr="00AC4BF3">
        <w:rPr>
          <w:rFonts w:cs="Times New Roman"/>
          <w:szCs w:val="24"/>
        </w:rPr>
        <w:t xml:space="preserve"> belong to risk-category 1.  More specifically, these are:  Bhurangumari, Char Rajibpur, Chilmari, Nageshwari, Phulbari, Rajarhat, and Ulipur (Kurigram District with risk rating of 1); Bakerganj, Hizla, Mehndiganj and Muladi (Barisal District with a risk rating of 1); Haim Char (Chandpur District with a risk rating of 1); Dewanganj (Jamalpur District with a risk rating of 1).  One poorest of the poor </w:t>
      </w:r>
      <w:r w:rsidR="00F51D0D" w:rsidRPr="00AC4BF3">
        <w:rPr>
          <w:rFonts w:cs="Times New Roman"/>
          <w:szCs w:val="24"/>
        </w:rPr>
        <w:t>upazilla</w:t>
      </w:r>
      <w:r w:rsidRPr="00AC4BF3">
        <w:rPr>
          <w:rFonts w:cs="Times New Roman"/>
          <w:szCs w:val="24"/>
        </w:rPr>
        <w:t xml:space="preserve"> (Gowainghat) belongs to the district of Sylhet (risk rating of 3).  Only 1 </w:t>
      </w:r>
      <w:r w:rsidR="00F51D0D" w:rsidRPr="00AC4BF3">
        <w:rPr>
          <w:rFonts w:cs="Times New Roman"/>
          <w:szCs w:val="24"/>
        </w:rPr>
        <w:t>upazilla</w:t>
      </w:r>
      <w:r w:rsidRPr="00AC4BF3">
        <w:rPr>
          <w:rFonts w:cs="Times New Roman"/>
          <w:szCs w:val="24"/>
        </w:rPr>
        <w:t xml:space="preserve"> (Nandial) is in the low-risk district of Mymensingh. </w:t>
      </w:r>
    </w:p>
    <w:p w:rsidR="00A356FA" w:rsidRPr="00AC4BF3" w:rsidRDefault="00A356FA" w:rsidP="00AC4BF3">
      <w:pPr>
        <w:spacing w:line="276" w:lineRule="auto"/>
        <w:jc w:val="both"/>
        <w:rPr>
          <w:rFonts w:cs="Times New Roman"/>
          <w:szCs w:val="24"/>
        </w:rPr>
      </w:pPr>
      <w:r w:rsidRPr="00AC4BF3">
        <w:rPr>
          <w:rFonts w:cs="Times New Roman"/>
          <w:szCs w:val="24"/>
        </w:rPr>
        <w:t xml:space="preserve">The situation in Kurigram is most telling.  Located on the mouth of the mighty river Brahmaputra's entrance in Bangladesh, all </w:t>
      </w:r>
      <w:r w:rsidR="00F51D0D" w:rsidRPr="00AC4BF3">
        <w:rPr>
          <w:rFonts w:cs="Times New Roman"/>
          <w:szCs w:val="24"/>
        </w:rPr>
        <w:t>upazillas</w:t>
      </w:r>
      <w:r w:rsidRPr="00AC4BF3">
        <w:rPr>
          <w:rFonts w:cs="Times New Roman"/>
          <w:szCs w:val="24"/>
        </w:rPr>
        <w:t xml:space="preserve"> of this district are very poor, to a large part due to heavy exposure to natural disasters caused by a combination of substantial flooding and </w:t>
      </w:r>
      <w:r w:rsidRPr="00AC4BF3">
        <w:rPr>
          <w:rFonts w:cs="Times New Roman"/>
          <w:szCs w:val="24"/>
        </w:rPr>
        <w:lastRenderedPageBreak/>
        <w:t xml:space="preserve">river erosion.  The population is heavily dependent on traditional agriculture for livelihood.  A large part of the population lives on the char areas that frequently get inundated due to river flooding causing immense hardship to the population. Even the urban area, Kurigram sadar upzilla, suffers from high incidence of poverty (extreme poverty rate of 40.5% in 2010).  There is very little manufacturing base and private sector activities are primarily informal in nature concentrated in trading and transport.  Significant economic diversification is yet to happen.  The access to international migration is also very limited. </w:t>
      </w:r>
    </w:p>
    <w:p w:rsidR="00AC4BF3" w:rsidRPr="00AC4BF3" w:rsidRDefault="00AC4BF3" w:rsidP="00944687">
      <w:pPr>
        <w:pStyle w:val="Heading5"/>
      </w:pPr>
      <w:bookmarkStart w:id="179" w:name="_Toc474639169"/>
      <w:r w:rsidRPr="00AC4BF3">
        <w:t>Figure 2.6 Poorest of the Poor Upzillas</w:t>
      </w:r>
      <w:bookmarkEnd w:id="179"/>
    </w:p>
    <w:p w:rsidR="00A356FA" w:rsidRPr="00EC079B" w:rsidRDefault="00A356FA" w:rsidP="00AC4BF3">
      <w:pPr>
        <w:spacing w:after="0"/>
        <w:jc w:val="center"/>
        <w:rPr>
          <w:rFonts w:cs="Times New Roman"/>
        </w:rPr>
      </w:pPr>
      <w:r w:rsidRPr="00EC079B">
        <w:rPr>
          <w:rFonts w:cs="Times New Roman"/>
          <w:noProof/>
          <w:lang w:val="en-AU" w:eastAsia="en-AU" w:bidi="bn-BD"/>
        </w:rPr>
        <w:drawing>
          <wp:inline distT="0" distB="0" distL="0" distR="0">
            <wp:extent cx="4867275" cy="2790825"/>
            <wp:effectExtent l="0" t="0" r="9525" b="9525"/>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353476" w:rsidRPr="00353476" w:rsidRDefault="00A356FA" w:rsidP="00DA1E41">
      <w:pPr>
        <w:spacing w:before="120" w:line="276" w:lineRule="auto"/>
        <w:ind w:left="72" w:firstLine="720"/>
        <w:rPr>
          <w:rFonts w:cs="Times New Roman"/>
          <w:b/>
          <w:i/>
          <w:sz w:val="20"/>
          <w:szCs w:val="20"/>
        </w:rPr>
      </w:pPr>
      <w:r w:rsidRPr="00EC079B">
        <w:rPr>
          <w:rFonts w:cs="Times New Roman"/>
          <w:b/>
          <w:i/>
          <w:sz w:val="20"/>
          <w:szCs w:val="20"/>
        </w:rPr>
        <w:t xml:space="preserve">Source: </w:t>
      </w:r>
      <w:r w:rsidR="00353476">
        <w:rPr>
          <w:rFonts w:cs="Times New Roman"/>
          <w:b/>
          <w:i/>
          <w:sz w:val="20"/>
          <w:szCs w:val="20"/>
        </w:rPr>
        <w:t>HIES 2010</w:t>
      </w:r>
    </w:p>
    <w:p w:rsidR="00F64A6A" w:rsidRDefault="00A356FA" w:rsidP="00F64A6A">
      <w:pPr>
        <w:pStyle w:val="Heading2"/>
        <w:numPr>
          <w:ilvl w:val="0"/>
          <w:numId w:val="0"/>
        </w:numPr>
        <w:ind w:left="720"/>
      </w:pPr>
      <w:bookmarkStart w:id="180" w:name="_Toc474638853"/>
      <w:r w:rsidRPr="007A0843">
        <w:t>Understanding the Positive Adaptive Experiences</w:t>
      </w:r>
      <w:bookmarkEnd w:id="180"/>
    </w:p>
    <w:p w:rsidR="00A356FA" w:rsidRPr="00AC4BF3" w:rsidRDefault="00A356FA" w:rsidP="00AC4BF3">
      <w:pPr>
        <w:spacing w:line="276" w:lineRule="auto"/>
        <w:jc w:val="both"/>
        <w:rPr>
          <w:rFonts w:cs="Times New Roman"/>
          <w:color w:val="000000" w:themeColor="text1"/>
        </w:rPr>
      </w:pPr>
      <w:r w:rsidRPr="00AC4BF3">
        <w:rPr>
          <w:rFonts w:cs="Times New Roman"/>
          <w:color w:val="000000" w:themeColor="text1"/>
        </w:rPr>
        <w:t>As noted, there are several positive experiences where districts facing severe natural hazards have nevertheless succeeded in securing either better poverty or higher income outcomes.  These examples are: Barguna, Bagerhat, Bogra, Feni, Khulna, Noakhali and Patuakhali. Except Bogra, these are all coastal districts with huge exposure to all kinds of natural disasters. Bogra</w:t>
      </w:r>
      <w:r w:rsidR="00870B62">
        <w:rPr>
          <w:rFonts w:cs="Times New Roman"/>
          <w:color w:val="000000" w:themeColor="text1"/>
        </w:rPr>
        <w:t>,</w:t>
      </w:r>
      <w:r w:rsidRPr="00AC4BF3">
        <w:rPr>
          <w:rFonts w:cs="Times New Roman"/>
          <w:color w:val="000000" w:themeColor="text1"/>
        </w:rPr>
        <w:t xml:space="preserve"> although not a coastal district</w:t>
      </w:r>
      <w:r w:rsidR="00870B62">
        <w:rPr>
          <w:rFonts w:cs="Times New Roman"/>
          <w:color w:val="000000" w:themeColor="text1"/>
        </w:rPr>
        <w:t>,</w:t>
      </w:r>
      <w:r w:rsidRPr="00AC4BF3">
        <w:rPr>
          <w:rFonts w:cs="Times New Roman"/>
          <w:color w:val="000000" w:themeColor="text1"/>
        </w:rPr>
        <w:t xml:space="preserve"> nevertheless faces several sources of natural hazards including flooding, river erosion and droughts.  Although detailed district level data on income and employment sources are not available, a reasonable storyline can be developed by piecing together the available information.  T</w:t>
      </w:r>
      <w:r w:rsidR="00356AB8">
        <w:rPr>
          <w:rFonts w:cs="Times New Roman"/>
          <w:color w:val="000000" w:themeColor="text1"/>
        </w:rPr>
        <w:t>o</w:t>
      </w:r>
      <w:r w:rsidRPr="00AC4BF3">
        <w:rPr>
          <w:rFonts w:cs="Times New Roman"/>
          <w:color w:val="000000" w:themeColor="text1"/>
        </w:rPr>
        <w:t xml:space="preserve"> assist this analysis, the available information is put together in Table 2.16.</w:t>
      </w:r>
    </w:p>
    <w:p w:rsidR="00425397" w:rsidRDefault="00A356FA" w:rsidP="00425397">
      <w:pPr>
        <w:spacing w:line="276" w:lineRule="auto"/>
        <w:jc w:val="both"/>
        <w:rPr>
          <w:rFonts w:cs="Times New Roman"/>
          <w:color w:val="000000" w:themeColor="text1"/>
        </w:rPr>
      </w:pPr>
      <w:r w:rsidRPr="00AC4BF3">
        <w:rPr>
          <w:rFonts w:cs="Times New Roman"/>
          <w:color w:val="000000" w:themeColor="text1"/>
        </w:rPr>
        <w:t xml:space="preserve">Within the group there are three types of experiences: Barguna, Bogra and Patuakhali that have experienced both good growth in income and lower poverty;  Noakhali and Feni that have experienced substantial reduction in poverty but average per capita income is considerably below the national average;  and the third group comprising of Khulna and Bagerhat that have </w:t>
      </w:r>
      <w:r w:rsidRPr="00AC4BF3">
        <w:rPr>
          <w:rFonts w:cs="Times New Roman"/>
          <w:color w:val="000000" w:themeColor="text1"/>
        </w:rPr>
        <w:lastRenderedPageBreak/>
        <w:t>experienced very good progress with expansion of income but have not done well with poverty reduction in comparison with the national averages.</w:t>
      </w:r>
      <w:r w:rsidR="00781A67">
        <w:rPr>
          <w:rFonts w:cs="Times New Roman"/>
          <w:color w:val="000000" w:themeColor="text1"/>
        </w:rPr>
        <w:t xml:space="preserve">  Each of these experiences has</w:t>
      </w:r>
      <w:r w:rsidRPr="00AC4BF3">
        <w:rPr>
          <w:rFonts w:cs="Times New Roman"/>
          <w:color w:val="000000" w:themeColor="text1"/>
        </w:rPr>
        <w:t xml:space="preserve"> important policy implications.</w:t>
      </w:r>
    </w:p>
    <w:p w:rsidR="00A356FA" w:rsidRPr="00AC4BF3" w:rsidRDefault="00A356FA" w:rsidP="007427EA">
      <w:pPr>
        <w:pStyle w:val="Heading4"/>
      </w:pPr>
      <w:bookmarkStart w:id="181" w:name="_Toc474639012"/>
      <w:r w:rsidRPr="00AC4BF3">
        <w:t>Table 2.16: Profile of Districts with Positive Adaptation</w:t>
      </w:r>
      <w:bookmarkEnd w:id="181"/>
    </w:p>
    <w:tbl>
      <w:tblPr>
        <w:tblStyle w:val="TableGrid"/>
        <w:tblW w:w="5000" w:type="pct"/>
        <w:tblLayout w:type="fixed"/>
        <w:tblLook w:val="04A0"/>
      </w:tblPr>
      <w:tblGrid>
        <w:gridCol w:w="1368"/>
        <w:gridCol w:w="1080"/>
        <w:gridCol w:w="992"/>
        <w:gridCol w:w="1023"/>
        <w:gridCol w:w="896"/>
        <w:gridCol w:w="896"/>
        <w:gridCol w:w="1057"/>
        <w:gridCol w:w="1080"/>
        <w:gridCol w:w="1184"/>
      </w:tblGrid>
      <w:tr w:rsidR="00A356FA" w:rsidRPr="00AC4BF3" w:rsidTr="00D250AB">
        <w:trPr>
          <w:trHeight w:hRule="exact" w:val="892"/>
        </w:trPr>
        <w:tc>
          <w:tcPr>
            <w:tcW w:w="714" w:type="pct"/>
          </w:tcPr>
          <w:p w:rsidR="00A356FA" w:rsidRPr="00D250AB" w:rsidRDefault="00A356FA" w:rsidP="00AC4BF3">
            <w:pPr>
              <w:jc w:val="center"/>
              <w:rPr>
                <w:rFonts w:cs="Times New Roman"/>
                <w:b/>
                <w:sz w:val="16"/>
              </w:rPr>
            </w:pPr>
            <w:r w:rsidRPr="00D250AB">
              <w:rPr>
                <w:rFonts w:cs="Times New Roman"/>
                <w:b/>
                <w:sz w:val="16"/>
              </w:rPr>
              <w:t>District</w:t>
            </w:r>
          </w:p>
        </w:tc>
        <w:tc>
          <w:tcPr>
            <w:tcW w:w="564" w:type="pct"/>
          </w:tcPr>
          <w:p w:rsidR="00A356FA" w:rsidRPr="00D250AB" w:rsidRDefault="00A356FA" w:rsidP="00AC4BF3">
            <w:pPr>
              <w:jc w:val="center"/>
              <w:rPr>
                <w:rFonts w:cs="Times New Roman"/>
                <w:b/>
                <w:sz w:val="16"/>
              </w:rPr>
            </w:pPr>
            <w:r w:rsidRPr="00D250AB">
              <w:rPr>
                <w:rFonts w:cs="Times New Roman"/>
                <w:b/>
                <w:sz w:val="16"/>
              </w:rPr>
              <w:t>Density (population/</w:t>
            </w:r>
            <w:r w:rsidR="00F51D0D" w:rsidRPr="00D250AB">
              <w:rPr>
                <w:rFonts w:cs="Times New Roman"/>
                <w:b/>
                <w:sz w:val="16"/>
              </w:rPr>
              <w:t>sq.</w:t>
            </w:r>
            <w:r w:rsidRPr="00D250AB">
              <w:rPr>
                <w:rFonts w:cs="Times New Roman"/>
                <w:b/>
                <w:sz w:val="16"/>
              </w:rPr>
              <w:t xml:space="preserve"> kl)</w:t>
            </w:r>
          </w:p>
        </w:tc>
        <w:tc>
          <w:tcPr>
            <w:tcW w:w="518" w:type="pct"/>
          </w:tcPr>
          <w:p w:rsidR="00A356FA" w:rsidRPr="00D250AB" w:rsidRDefault="00A356FA" w:rsidP="00AC4BF3">
            <w:pPr>
              <w:jc w:val="center"/>
              <w:rPr>
                <w:rFonts w:cs="Times New Roman"/>
                <w:b/>
                <w:sz w:val="16"/>
              </w:rPr>
            </w:pPr>
            <w:r w:rsidRPr="00D250AB">
              <w:rPr>
                <w:rFonts w:cs="Times New Roman"/>
                <w:b/>
                <w:sz w:val="16"/>
              </w:rPr>
              <w:t>Population growth (%) (2001-2011)</w:t>
            </w:r>
          </w:p>
        </w:tc>
        <w:tc>
          <w:tcPr>
            <w:tcW w:w="534" w:type="pct"/>
          </w:tcPr>
          <w:p w:rsidR="00A356FA" w:rsidRPr="00D250AB" w:rsidRDefault="00A356FA" w:rsidP="00AC4BF3">
            <w:pPr>
              <w:jc w:val="center"/>
              <w:rPr>
                <w:rFonts w:cs="Times New Roman"/>
                <w:b/>
                <w:sz w:val="16"/>
              </w:rPr>
            </w:pPr>
            <w:r w:rsidRPr="00D250AB">
              <w:rPr>
                <w:rFonts w:cs="Times New Roman"/>
                <w:b/>
                <w:sz w:val="16"/>
              </w:rPr>
              <w:t>Per capita GDP (2011) taka)</w:t>
            </w:r>
          </w:p>
        </w:tc>
        <w:tc>
          <w:tcPr>
            <w:tcW w:w="468" w:type="pct"/>
          </w:tcPr>
          <w:p w:rsidR="00A356FA" w:rsidRPr="00D250AB" w:rsidRDefault="00A356FA" w:rsidP="00AC4BF3">
            <w:pPr>
              <w:jc w:val="center"/>
              <w:rPr>
                <w:rFonts w:cs="Times New Roman"/>
                <w:b/>
                <w:sz w:val="16"/>
              </w:rPr>
            </w:pPr>
            <w:r w:rsidRPr="00D250AB">
              <w:rPr>
                <w:rFonts w:cs="Times New Roman"/>
                <w:b/>
                <w:sz w:val="16"/>
              </w:rPr>
              <w:t>Poverty (UPL 2010)</w:t>
            </w:r>
          </w:p>
        </w:tc>
        <w:tc>
          <w:tcPr>
            <w:tcW w:w="468" w:type="pct"/>
          </w:tcPr>
          <w:p w:rsidR="00A356FA" w:rsidRPr="00D250AB" w:rsidRDefault="00A356FA" w:rsidP="00AC4BF3">
            <w:pPr>
              <w:jc w:val="center"/>
              <w:rPr>
                <w:rFonts w:cs="Times New Roman"/>
                <w:b/>
                <w:sz w:val="16"/>
              </w:rPr>
            </w:pPr>
            <w:r w:rsidRPr="00D250AB">
              <w:rPr>
                <w:rFonts w:cs="Times New Roman"/>
                <w:b/>
                <w:sz w:val="16"/>
              </w:rPr>
              <w:t>Poverty (LPL 2010)</w:t>
            </w:r>
          </w:p>
        </w:tc>
        <w:tc>
          <w:tcPr>
            <w:tcW w:w="552" w:type="pct"/>
          </w:tcPr>
          <w:p w:rsidR="00A356FA" w:rsidRPr="00D250AB" w:rsidRDefault="00A356FA" w:rsidP="00AC4BF3">
            <w:pPr>
              <w:jc w:val="center"/>
              <w:rPr>
                <w:rFonts w:cs="Times New Roman"/>
                <w:b/>
                <w:sz w:val="16"/>
              </w:rPr>
            </w:pPr>
            <w:r w:rsidRPr="00D250AB">
              <w:rPr>
                <w:rFonts w:cs="Times New Roman"/>
                <w:b/>
                <w:sz w:val="16"/>
              </w:rPr>
              <w:t>Agriculture (% of HH income)</w:t>
            </w:r>
          </w:p>
        </w:tc>
        <w:tc>
          <w:tcPr>
            <w:tcW w:w="564" w:type="pct"/>
          </w:tcPr>
          <w:p w:rsidR="00A356FA" w:rsidRPr="00D250AB" w:rsidRDefault="00A356FA" w:rsidP="00AC4BF3">
            <w:pPr>
              <w:jc w:val="center"/>
              <w:rPr>
                <w:rFonts w:cs="Times New Roman"/>
                <w:b/>
                <w:sz w:val="16"/>
              </w:rPr>
            </w:pPr>
            <w:r w:rsidRPr="00D250AB">
              <w:rPr>
                <w:rFonts w:cs="Times New Roman"/>
                <w:b/>
                <w:sz w:val="16"/>
              </w:rPr>
              <w:t>Remittance (% of HH income)</w:t>
            </w:r>
          </w:p>
        </w:tc>
        <w:tc>
          <w:tcPr>
            <w:tcW w:w="618" w:type="pct"/>
          </w:tcPr>
          <w:p w:rsidR="00A356FA" w:rsidRPr="00D250AB" w:rsidRDefault="00A356FA" w:rsidP="00AC4BF3">
            <w:pPr>
              <w:jc w:val="center"/>
              <w:rPr>
                <w:rFonts w:cs="Times New Roman"/>
                <w:b/>
                <w:sz w:val="16"/>
              </w:rPr>
            </w:pPr>
            <w:r w:rsidRPr="00D250AB">
              <w:rPr>
                <w:rFonts w:cs="Times New Roman"/>
                <w:b/>
                <w:sz w:val="16"/>
              </w:rPr>
              <w:t>Foreign remittance (% of HH income)</w:t>
            </w:r>
          </w:p>
        </w:tc>
      </w:tr>
      <w:tr w:rsidR="00A356FA" w:rsidRPr="00EC079B" w:rsidTr="00D250AB">
        <w:trPr>
          <w:trHeight w:hRule="exact" w:val="288"/>
        </w:trPr>
        <w:tc>
          <w:tcPr>
            <w:tcW w:w="714" w:type="pct"/>
          </w:tcPr>
          <w:p w:rsidR="00A356FA" w:rsidRPr="0069316F" w:rsidRDefault="00A356FA" w:rsidP="00CC472D">
            <w:pPr>
              <w:rPr>
                <w:rFonts w:cs="Times New Roman"/>
                <w:sz w:val="20"/>
              </w:rPr>
            </w:pPr>
            <w:r w:rsidRPr="0069316F">
              <w:rPr>
                <w:rFonts w:cs="Times New Roman"/>
                <w:sz w:val="20"/>
              </w:rPr>
              <w:t>Bagerhat</w:t>
            </w:r>
          </w:p>
        </w:tc>
        <w:tc>
          <w:tcPr>
            <w:tcW w:w="564" w:type="pct"/>
          </w:tcPr>
          <w:p w:rsidR="00A356FA" w:rsidRPr="0069316F" w:rsidRDefault="00A356FA" w:rsidP="00CC472D">
            <w:pPr>
              <w:rPr>
                <w:rFonts w:cs="Times New Roman"/>
                <w:sz w:val="20"/>
              </w:rPr>
            </w:pPr>
            <w:r w:rsidRPr="0069316F">
              <w:rPr>
                <w:rFonts w:cs="Times New Roman"/>
                <w:sz w:val="20"/>
              </w:rPr>
              <w:t>387</w:t>
            </w:r>
          </w:p>
        </w:tc>
        <w:tc>
          <w:tcPr>
            <w:tcW w:w="518" w:type="pct"/>
          </w:tcPr>
          <w:p w:rsidR="00A356FA" w:rsidRPr="0069316F" w:rsidRDefault="00A356FA" w:rsidP="00CC472D">
            <w:pPr>
              <w:rPr>
                <w:rFonts w:cs="Times New Roman"/>
                <w:sz w:val="20"/>
              </w:rPr>
            </w:pPr>
            <w:r w:rsidRPr="0069316F">
              <w:rPr>
                <w:rFonts w:cs="Times New Roman"/>
                <w:sz w:val="20"/>
              </w:rPr>
              <w:t>-0.97</w:t>
            </w:r>
          </w:p>
        </w:tc>
        <w:tc>
          <w:tcPr>
            <w:tcW w:w="534" w:type="pct"/>
          </w:tcPr>
          <w:p w:rsidR="00A356FA" w:rsidRPr="0069316F" w:rsidRDefault="00A356FA" w:rsidP="00CC472D">
            <w:pPr>
              <w:rPr>
                <w:rFonts w:cs="Times New Roman"/>
                <w:sz w:val="20"/>
              </w:rPr>
            </w:pPr>
            <w:r w:rsidRPr="0069316F">
              <w:rPr>
                <w:rFonts w:cs="Times New Roman"/>
                <w:sz w:val="20"/>
              </w:rPr>
              <w:t>48,696</w:t>
            </w:r>
          </w:p>
        </w:tc>
        <w:tc>
          <w:tcPr>
            <w:tcW w:w="468" w:type="pct"/>
          </w:tcPr>
          <w:p w:rsidR="00A356FA" w:rsidRPr="0069316F" w:rsidRDefault="00A356FA" w:rsidP="00CC472D">
            <w:pPr>
              <w:rPr>
                <w:rFonts w:cs="Times New Roman"/>
                <w:sz w:val="20"/>
              </w:rPr>
            </w:pPr>
            <w:r w:rsidRPr="0069316F">
              <w:rPr>
                <w:rFonts w:cs="Times New Roman"/>
                <w:sz w:val="20"/>
              </w:rPr>
              <w:t>42.2</w:t>
            </w:r>
          </w:p>
        </w:tc>
        <w:tc>
          <w:tcPr>
            <w:tcW w:w="468" w:type="pct"/>
          </w:tcPr>
          <w:p w:rsidR="00A356FA" w:rsidRPr="0069316F" w:rsidRDefault="00A356FA" w:rsidP="00CC472D">
            <w:pPr>
              <w:rPr>
                <w:rFonts w:cs="Times New Roman"/>
                <w:sz w:val="20"/>
              </w:rPr>
            </w:pPr>
            <w:r w:rsidRPr="0069316F">
              <w:rPr>
                <w:rFonts w:cs="Times New Roman"/>
                <w:sz w:val="20"/>
              </w:rPr>
              <w:t>24.0</w:t>
            </w:r>
          </w:p>
        </w:tc>
        <w:tc>
          <w:tcPr>
            <w:tcW w:w="552" w:type="pct"/>
          </w:tcPr>
          <w:p w:rsidR="00A356FA" w:rsidRPr="0069316F" w:rsidRDefault="00A356FA" w:rsidP="00CC472D">
            <w:pPr>
              <w:rPr>
                <w:rFonts w:cs="Times New Roman"/>
                <w:sz w:val="20"/>
              </w:rPr>
            </w:pPr>
            <w:r w:rsidRPr="0069316F">
              <w:rPr>
                <w:rFonts w:cs="Times New Roman"/>
                <w:sz w:val="20"/>
              </w:rPr>
              <w:t>42.8</w:t>
            </w:r>
          </w:p>
        </w:tc>
        <w:tc>
          <w:tcPr>
            <w:tcW w:w="564" w:type="pct"/>
          </w:tcPr>
          <w:p w:rsidR="00A356FA" w:rsidRPr="0069316F" w:rsidRDefault="00A356FA" w:rsidP="00CC472D">
            <w:pPr>
              <w:rPr>
                <w:rFonts w:cs="Times New Roman"/>
                <w:sz w:val="20"/>
              </w:rPr>
            </w:pPr>
            <w:r w:rsidRPr="0069316F">
              <w:rPr>
                <w:rFonts w:cs="Times New Roman"/>
                <w:sz w:val="20"/>
              </w:rPr>
              <w:t>7.4</w:t>
            </w:r>
          </w:p>
        </w:tc>
        <w:tc>
          <w:tcPr>
            <w:tcW w:w="618" w:type="pct"/>
          </w:tcPr>
          <w:p w:rsidR="00A356FA" w:rsidRPr="0069316F" w:rsidRDefault="00A356FA" w:rsidP="00CC472D">
            <w:pPr>
              <w:rPr>
                <w:rFonts w:cs="Times New Roman"/>
                <w:sz w:val="20"/>
              </w:rPr>
            </w:pPr>
            <w:r w:rsidRPr="0069316F">
              <w:rPr>
                <w:rFonts w:cs="Times New Roman"/>
                <w:sz w:val="20"/>
              </w:rPr>
              <w:t>1.3</w:t>
            </w:r>
          </w:p>
        </w:tc>
      </w:tr>
      <w:tr w:rsidR="00A356FA" w:rsidRPr="00EC079B" w:rsidTr="00D250AB">
        <w:trPr>
          <w:trHeight w:hRule="exact" w:val="288"/>
        </w:trPr>
        <w:tc>
          <w:tcPr>
            <w:tcW w:w="714" w:type="pct"/>
          </w:tcPr>
          <w:p w:rsidR="00A356FA" w:rsidRPr="0069316F" w:rsidRDefault="00A356FA" w:rsidP="00CC472D">
            <w:pPr>
              <w:rPr>
                <w:rFonts w:cs="Times New Roman"/>
                <w:sz w:val="20"/>
              </w:rPr>
            </w:pPr>
            <w:r w:rsidRPr="0069316F">
              <w:rPr>
                <w:rFonts w:cs="Times New Roman"/>
                <w:sz w:val="20"/>
              </w:rPr>
              <w:t>Barguna</w:t>
            </w:r>
          </w:p>
        </w:tc>
        <w:tc>
          <w:tcPr>
            <w:tcW w:w="564" w:type="pct"/>
          </w:tcPr>
          <w:p w:rsidR="00A356FA" w:rsidRPr="0069316F" w:rsidRDefault="00A356FA" w:rsidP="00CC472D">
            <w:pPr>
              <w:rPr>
                <w:rFonts w:cs="Times New Roman"/>
                <w:sz w:val="20"/>
              </w:rPr>
            </w:pPr>
            <w:r w:rsidRPr="0069316F">
              <w:rPr>
                <w:rFonts w:cs="Times New Roman"/>
                <w:sz w:val="20"/>
              </w:rPr>
              <w:t>507</w:t>
            </w:r>
          </w:p>
        </w:tc>
        <w:tc>
          <w:tcPr>
            <w:tcW w:w="518" w:type="pct"/>
          </w:tcPr>
          <w:p w:rsidR="00A356FA" w:rsidRPr="0069316F" w:rsidRDefault="00A356FA" w:rsidP="00CC472D">
            <w:pPr>
              <w:rPr>
                <w:rFonts w:cs="Times New Roman"/>
                <w:sz w:val="20"/>
              </w:rPr>
            </w:pPr>
            <w:r w:rsidRPr="0069316F">
              <w:rPr>
                <w:rFonts w:cs="Times New Roman"/>
                <w:sz w:val="20"/>
              </w:rPr>
              <w:t>0.90</w:t>
            </w:r>
          </w:p>
        </w:tc>
        <w:tc>
          <w:tcPr>
            <w:tcW w:w="534" w:type="pct"/>
          </w:tcPr>
          <w:p w:rsidR="00A356FA" w:rsidRPr="0069316F" w:rsidRDefault="00A356FA" w:rsidP="00CC472D">
            <w:pPr>
              <w:rPr>
                <w:rFonts w:cs="Times New Roman"/>
                <w:sz w:val="20"/>
              </w:rPr>
            </w:pPr>
            <w:r w:rsidRPr="0069316F">
              <w:rPr>
                <w:rFonts w:cs="Times New Roman"/>
                <w:sz w:val="20"/>
              </w:rPr>
              <w:t>40, 225</w:t>
            </w:r>
          </w:p>
        </w:tc>
        <w:tc>
          <w:tcPr>
            <w:tcW w:w="468" w:type="pct"/>
          </w:tcPr>
          <w:p w:rsidR="00A356FA" w:rsidRPr="0069316F" w:rsidRDefault="00A356FA" w:rsidP="00CC472D">
            <w:pPr>
              <w:rPr>
                <w:rFonts w:cs="Times New Roman"/>
                <w:sz w:val="20"/>
              </w:rPr>
            </w:pPr>
            <w:r w:rsidRPr="0069316F">
              <w:rPr>
                <w:rFonts w:cs="Times New Roman"/>
                <w:sz w:val="20"/>
              </w:rPr>
              <w:t>19.0</w:t>
            </w:r>
          </w:p>
        </w:tc>
        <w:tc>
          <w:tcPr>
            <w:tcW w:w="468" w:type="pct"/>
          </w:tcPr>
          <w:p w:rsidR="00A356FA" w:rsidRPr="0069316F" w:rsidRDefault="00A356FA" w:rsidP="00CC472D">
            <w:pPr>
              <w:rPr>
                <w:rFonts w:cs="Times New Roman"/>
                <w:sz w:val="20"/>
              </w:rPr>
            </w:pPr>
            <w:r w:rsidRPr="0069316F">
              <w:rPr>
                <w:rFonts w:cs="Times New Roman"/>
                <w:sz w:val="20"/>
              </w:rPr>
              <w:t>9.8</w:t>
            </w:r>
          </w:p>
        </w:tc>
        <w:tc>
          <w:tcPr>
            <w:tcW w:w="552" w:type="pct"/>
          </w:tcPr>
          <w:p w:rsidR="00A356FA" w:rsidRPr="0069316F" w:rsidRDefault="00A356FA" w:rsidP="00CC472D">
            <w:pPr>
              <w:rPr>
                <w:rFonts w:cs="Times New Roman"/>
                <w:sz w:val="20"/>
              </w:rPr>
            </w:pPr>
            <w:r w:rsidRPr="0069316F">
              <w:rPr>
                <w:rFonts w:cs="Times New Roman"/>
                <w:sz w:val="20"/>
              </w:rPr>
              <w:t>25.0</w:t>
            </w:r>
          </w:p>
        </w:tc>
        <w:tc>
          <w:tcPr>
            <w:tcW w:w="564" w:type="pct"/>
          </w:tcPr>
          <w:p w:rsidR="00A356FA" w:rsidRPr="0069316F" w:rsidRDefault="00A356FA" w:rsidP="00CC472D">
            <w:pPr>
              <w:rPr>
                <w:rFonts w:cs="Times New Roman"/>
                <w:sz w:val="20"/>
              </w:rPr>
            </w:pPr>
            <w:r w:rsidRPr="0069316F">
              <w:rPr>
                <w:rFonts w:cs="Times New Roman"/>
                <w:sz w:val="20"/>
              </w:rPr>
              <w:t>4.9</w:t>
            </w:r>
          </w:p>
        </w:tc>
        <w:tc>
          <w:tcPr>
            <w:tcW w:w="618" w:type="pct"/>
          </w:tcPr>
          <w:p w:rsidR="00A356FA" w:rsidRPr="0069316F" w:rsidRDefault="00A356FA" w:rsidP="00CC472D">
            <w:pPr>
              <w:rPr>
                <w:rFonts w:cs="Times New Roman"/>
                <w:sz w:val="20"/>
              </w:rPr>
            </w:pPr>
            <w:r w:rsidRPr="0069316F">
              <w:rPr>
                <w:rFonts w:cs="Times New Roman"/>
                <w:sz w:val="20"/>
              </w:rPr>
              <w:t>2.5</w:t>
            </w:r>
          </w:p>
        </w:tc>
      </w:tr>
      <w:tr w:rsidR="00A356FA" w:rsidRPr="00EC079B" w:rsidTr="00D250AB">
        <w:trPr>
          <w:trHeight w:hRule="exact" w:val="288"/>
        </w:trPr>
        <w:tc>
          <w:tcPr>
            <w:tcW w:w="714" w:type="pct"/>
          </w:tcPr>
          <w:p w:rsidR="00A356FA" w:rsidRPr="0069316F" w:rsidRDefault="00A356FA" w:rsidP="00CC472D">
            <w:pPr>
              <w:rPr>
                <w:rFonts w:cs="Times New Roman"/>
                <w:sz w:val="20"/>
              </w:rPr>
            </w:pPr>
            <w:r w:rsidRPr="0069316F">
              <w:rPr>
                <w:rFonts w:cs="Times New Roman"/>
                <w:sz w:val="20"/>
              </w:rPr>
              <w:t>Bogra</w:t>
            </w:r>
          </w:p>
        </w:tc>
        <w:tc>
          <w:tcPr>
            <w:tcW w:w="564" w:type="pct"/>
          </w:tcPr>
          <w:p w:rsidR="00A356FA" w:rsidRPr="0069316F" w:rsidRDefault="00A356FA" w:rsidP="00CC472D">
            <w:pPr>
              <w:rPr>
                <w:rFonts w:cs="Times New Roman"/>
                <w:sz w:val="20"/>
              </w:rPr>
            </w:pPr>
            <w:r w:rsidRPr="0069316F">
              <w:rPr>
                <w:rFonts w:cs="Times New Roman"/>
                <w:sz w:val="20"/>
              </w:rPr>
              <w:t>1212</w:t>
            </w:r>
          </w:p>
        </w:tc>
        <w:tc>
          <w:tcPr>
            <w:tcW w:w="518" w:type="pct"/>
          </w:tcPr>
          <w:p w:rsidR="00A356FA" w:rsidRPr="0069316F" w:rsidRDefault="00A356FA" w:rsidP="00CC472D">
            <w:pPr>
              <w:rPr>
                <w:rFonts w:cs="Times New Roman"/>
                <w:sz w:val="20"/>
              </w:rPr>
            </w:pPr>
            <w:r w:rsidRPr="0069316F">
              <w:rPr>
                <w:rFonts w:cs="Times New Roman"/>
                <w:sz w:val="20"/>
              </w:rPr>
              <w:t>1.62</w:t>
            </w:r>
          </w:p>
        </w:tc>
        <w:tc>
          <w:tcPr>
            <w:tcW w:w="534" w:type="pct"/>
          </w:tcPr>
          <w:p w:rsidR="00A356FA" w:rsidRPr="0069316F" w:rsidRDefault="00A356FA" w:rsidP="00CC472D">
            <w:pPr>
              <w:rPr>
                <w:rFonts w:cs="Times New Roman"/>
                <w:sz w:val="20"/>
              </w:rPr>
            </w:pPr>
            <w:r w:rsidRPr="0069316F">
              <w:rPr>
                <w:rFonts w:cs="Times New Roman"/>
                <w:sz w:val="20"/>
              </w:rPr>
              <w:t>34,396</w:t>
            </w:r>
          </w:p>
        </w:tc>
        <w:tc>
          <w:tcPr>
            <w:tcW w:w="468" w:type="pct"/>
          </w:tcPr>
          <w:p w:rsidR="00A356FA" w:rsidRPr="0069316F" w:rsidRDefault="00A356FA" w:rsidP="00CC472D">
            <w:pPr>
              <w:rPr>
                <w:rFonts w:cs="Times New Roman"/>
                <w:sz w:val="20"/>
              </w:rPr>
            </w:pPr>
            <w:r w:rsidRPr="0069316F">
              <w:rPr>
                <w:rFonts w:cs="Times New Roman"/>
                <w:sz w:val="20"/>
              </w:rPr>
              <w:t>16.6</w:t>
            </w:r>
          </w:p>
        </w:tc>
        <w:tc>
          <w:tcPr>
            <w:tcW w:w="468" w:type="pct"/>
          </w:tcPr>
          <w:p w:rsidR="00A356FA" w:rsidRPr="0069316F" w:rsidRDefault="00A356FA" w:rsidP="00CC472D">
            <w:pPr>
              <w:rPr>
                <w:rFonts w:cs="Times New Roman"/>
                <w:sz w:val="20"/>
              </w:rPr>
            </w:pPr>
            <w:r w:rsidRPr="0069316F">
              <w:rPr>
                <w:rFonts w:cs="Times New Roman"/>
                <w:sz w:val="20"/>
              </w:rPr>
              <w:t>6.7</w:t>
            </w:r>
          </w:p>
        </w:tc>
        <w:tc>
          <w:tcPr>
            <w:tcW w:w="552" w:type="pct"/>
          </w:tcPr>
          <w:p w:rsidR="00A356FA" w:rsidRPr="0069316F" w:rsidRDefault="00A356FA" w:rsidP="00CC472D">
            <w:pPr>
              <w:rPr>
                <w:rFonts w:cs="Times New Roman"/>
                <w:sz w:val="20"/>
              </w:rPr>
            </w:pPr>
            <w:r w:rsidRPr="0069316F">
              <w:rPr>
                <w:rFonts w:cs="Times New Roman"/>
                <w:sz w:val="20"/>
              </w:rPr>
              <w:t>23.5</w:t>
            </w:r>
          </w:p>
        </w:tc>
        <w:tc>
          <w:tcPr>
            <w:tcW w:w="564" w:type="pct"/>
          </w:tcPr>
          <w:p w:rsidR="00A356FA" w:rsidRPr="0069316F" w:rsidRDefault="00A356FA" w:rsidP="00CC472D">
            <w:pPr>
              <w:rPr>
                <w:rFonts w:cs="Times New Roman"/>
                <w:sz w:val="20"/>
              </w:rPr>
            </w:pPr>
            <w:r w:rsidRPr="0069316F">
              <w:rPr>
                <w:rFonts w:cs="Times New Roman"/>
                <w:sz w:val="20"/>
              </w:rPr>
              <w:t>9.1</w:t>
            </w:r>
          </w:p>
        </w:tc>
        <w:tc>
          <w:tcPr>
            <w:tcW w:w="618" w:type="pct"/>
          </w:tcPr>
          <w:p w:rsidR="00A356FA" w:rsidRPr="0069316F" w:rsidRDefault="00A356FA" w:rsidP="00CC472D">
            <w:pPr>
              <w:rPr>
                <w:rFonts w:cs="Times New Roman"/>
                <w:sz w:val="20"/>
              </w:rPr>
            </w:pPr>
            <w:r w:rsidRPr="0069316F">
              <w:rPr>
                <w:rFonts w:cs="Times New Roman"/>
                <w:sz w:val="20"/>
              </w:rPr>
              <w:t>5.5</w:t>
            </w:r>
          </w:p>
        </w:tc>
      </w:tr>
      <w:tr w:rsidR="00A356FA" w:rsidRPr="00EC079B" w:rsidTr="00D250AB">
        <w:trPr>
          <w:trHeight w:hRule="exact" w:val="288"/>
        </w:trPr>
        <w:tc>
          <w:tcPr>
            <w:tcW w:w="714" w:type="pct"/>
          </w:tcPr>
          <w:p w:rsidR="00A356FA" w:rsidRPr="0069316F" w:rsidRDefault="00A356FA" w:rsidP="00CC472D">
            <w:pPr>
              <w:rPr>
                <w:rFonts w:cs="Times New Roman"/>
                <w:sz w:val="20"/>
              </w:rPr>
            </w:pPr>
            <w:r w:rsidRPr="0069316F">
              <w:rPr>
                <w:rFonts w:cs="Times New Roman"/>
                <w:sz w:val="20"/>
              </w:rPr>
              <w:t>Feni</w:t>
            </w:r>
          </w:p>
        </w:tc>
        <w:tc>
          <w:tcPr>
            <w:tcW w:w="564" w:type="pct"/>
          </w:tcPr>
          <w:p w:rsidR="00A356FA" w:rsidRPr="0069316F" w:rsidRDefault="00A356FA" w:rsidP="00CC472D">
            <w:pPr>
              <w:rPr>
                <w:rFonts w:cs="Times New Roman"/>
                <w:sz w:val="20"/>
              </w:rPr>
            </w:pPr>
            <w:r w:rsidRPr="0069316F">
              <w:rPr>
                <w:rFonts w:cs="Times New Roman"/>
                <w:sz w:val="20"/>
              </w:rPr>
              <w:t>1612</w:t>
            </w:r>
          </w:p>
        </w:tc>
        <w:tc>
          <w:tcPr>
            <w:tcW w:w="518" w:type="pct"/>
          </w:tcPr>
          <w:p w:rsidR="00A356FA" w:rsidRPr="0069316F" w:rsidRDefault="00A356FA" w:rsidP="00CC472D">
            <w:pPr>
              <w:rPr>
                <w:rFonts w:cs="Times New Roman"/>
                <w:sz w:val="20"/>
              </w:rPr>
            </w:pPr>
            <w:r w:rsidRPr="0069316F">
              <w:rPr>
                <w:rFonts w:cs="Times New Roman"/>
                <w:sz w:val="20"/>
              </w:rPr>
              <w:t>1.89</w:t>
            </w:r>
          </w:p>
        </w:tc>
        <w:tc>
          <w:tcPr>
            <w:tcW w:w="534" w:type="pct"/>
          </w:tcPr>
          <w:p w:rsidR="00A356FA" w:rsidRPr="0069316F" w:rsidRDefault="00A356FA" w:rsidP="00CC472D">
            <w:pPr>
              <w:rPr>
                <w:rFonts w:cs="Times New Roman"/>
                <w:sz w:val="20"/>
              </w:rPr>
            </w:pPr>
            <w:r w:rsidRPr="0069316F">
              <w:rPr>
                <w:rFonts w:cs="Times New Roman"/>
                <w:sz w:val="20"/>
              </w:rPr>
              <w:t>26,225</w:t>
            </w:r>
          </w:p>
        </w:tc>
        <w:tc>
          <w:tcPr>
            <w:tcW w:w="468" w:type="pct"/>
          </w:tcPr>
          <w:p w:rsidR="00A356FA" w:rsidRPr="0069316F" w:rsidRDefault="00A356FA" w:rsidP="00CC472D">
            <w:pPr>
              <w:rPr>
                <w:rFonts w:cs="Times New Roman"/>
                <w:sz w:val="20"/>
              </w:rPr>
            </w:pPr>
            <w:r w:rsidRPr="0069316F">
              <w:rPr>
                <w:rFonts w:cs="Times New Roman"/>
                <w:sz w:val="20"/>
              </w:rPr>
              <w:t>25.9</w:t>
            </w:r>
          </w:p>
        </w:tc>
        <w:tc>
          <w:tcPr>
            <w:tcW w:w="468" w:type="pct"/>
          </w:tcPr>
          <w:p w:rsidR="00A356FA" w:rsidRPr="0069316F" w:rsidRDefault="00A356FA" w:rsidP="00CC472D">
            <w:pPr>
              <w:rPr>
                <w:rFonts w:cs="Times New Roman"/>
                <w:sz w:val="20"/>
              </w:rPr>
            </w:pPr>
            <w:r w:rsidRPr="0069316F">
              <w:rPr>
                <w:rFonts w:cs="Times New Roman"/>
                <w:sz w:val="20"/>
              </w:rPr>
              <w:t>14.6</w:t>
            </w:r>
          </w:p>
        </w:tc>
        <w:tc>
          <w:tcPr>
            <w:tcW w:w="552" w:type="pct"/>
          </w:tcPr>
          <w:p w:rsidR="00A356FA" w:rsidRPr="0069316F" w:rsidRDefault="00A356FA" w:rsidP="00CC472D">
            <w:pPr>
              <w:rPr>
                <w:rFonts w:cs="Times New Roman"/>
                <w:sz w:val="20"/>
              </w:rPr>
            </w:pPr>
            <w:r w:rsidRPr="0069316F">
              <w:rPr>
                <w:rFonts w:cs="Times New Roman"/>
                <w:sz w:val="20"/>
              </w:rPr>
              <w:t>7.4</w:t>
            </w:r>
          </w:p>
        </w:tc>
        <w:tc>
          <w:tcPr>
            <w:tcW w:w="564" w:type="pct"/>
          </w:tcPr>
          <w:p w:rsidR="00A356FA" w:rsidRPr="0069316F" w:rsidRDefault="00A356FA" w:rsidP="00CC472D">
            <w:pPr>
              <w:rPr>
                <w:rFonts w:cs="Times New Roman"/>
                <w:sz w:val="20"/>
              </w:rPr>
            </w:pPr>
            <w:r w:rsidRPr="0069316F">
              <w:rPr>
                <w:rFonts w:cs="Times New Roman"/>
                <w:sz w:val="20"/>
              </w:rPr>
              <w:t>44.5</w:t>
            </w:r>
          </w:p>
        </w:tc>
        <w:tc>
          <w:tcPr>
            <w:tcW w:w="618" w:type="pct"/>
          </w:tcPr>
          <w:p w:rsidR="00A356FA" w:rsidRPr="0069316F" w:rsidRDefault="00A356FA" w:rsidP="00CC472D">
            <w:pPr>
              <w:rPr>
                <w:rFonts w:cs="Times New Roman"/>
                <w:sz w:val="20"/>
              </w:rPr>
            </w:pPr>
            <w:r w:rsidRPr="0069316F">
              <w:rPr>
                <w:rFonts w:cs="Times New Roman"/>
                <w:sz w:val="20"/>
              </w:rPr>
              <w:t>40.1</w:t>
            </w:r>
          </w:p>
        </w:tc>
      </w:tr>
      <w:tr w:rsidR="00A356FA" w:rsidRPr="00EC079B" w:rsidTr="00D250AB">
        <w:trPr>
          <w:trHeight w:hRule="exact" w:val="288"/>
        </w:trPr>
        <w:tc>
          <w:tcPr>
            <w:tcW w:w="714" w:type="pct"/>
          </w:tcPr>
          <w:p w:rsidR="00A356FA" w:rsidRPr="0069316F" w:rsidRDefault="00A356FA" w:rsidP="00CC472D">
            <w:pPr>
              <w:rPr>
                <w:rFonts w:cs="Times New Roman"/>
                <w:sz w:val="20"/>
              </w:rPr>
            </w:pPr>
            <w:r w:rsidRPr="0069316F">
              <w:rPr>
                <w:rFonts w:cs="Times New Roman"/>
                <w:sz w:val="20"/>
              </w:rPr>
              <w:t>Khulna</w:t>
            </w:r>
          </w:p>
        </w:tc>
        <w:tc>
          <w:tcPr>
            <w:tcW w:w="564" w:type="pct"/>
          </w:tcPr>
          <w:p w:rsidR="00A356FA" w:rsidRPr="0069316F" w:rsidRDefault="00A356FA" w:rsidP="00CC472D">
            <w:pPr>
              <w:rPr>
                <w:rFonts w:cs="Times New Roman"/>
                <w:sz w:val="20"/>
              </w:rPr>
            </w:pPr>
            <w:r w:rsidRPr="0069316F">
              <w:rPr>
                <w:rFonts w:cs="Times New Roman"/>
                <w:sz w:val="20"/>
              </w:rPr>
              <w:t>548</w:t>
            </w:r>
          </w:p>
        </w:tc>
        <w:tc>
          <w:tcPr>
            <w:tcW w:w="518" w:type="pct"/>
          </w:tcPr>
          <w:p w:rsidR="00A356FA" w:rsidRPr="0069316F" w:rsidRDefault="00A356FA" w:rsidP="00CC472D">
            <w:pPr>
              <w:rPr>
                <w:rFonts w:cs="Times New Roman"/>
                <w:sz w:val="20"/>
              </w:rPr>
            </w:pPr>
            <w:r w:rsidRPr="0069316F">
              <w:rPr>
                <w:rFonts w:cs="Times New Roman"/>
                <w:sz w:val="20"/>
              </w:rPr>
              <w:t>1.21</w:t>
            </w:r>
          </w:p>
        </w:tc>
        <w:tc>
          <w:tcPr>
            <w:tcW w:w="534" w:type="pct"/>
          </w:tcPr>
          <w:p w:rsidR="00A356FA" w:rsidRPr="0069316F" w:rsidRDefault="00A356FA" w:rsidP="00CC472D">
            <w:pPr>
              <w:rPr>
                <w:rFonts w:cs="Times New Roman"/>
                <w:sz w:val="20"/>
              </w:rPr>
            </w:pPr>
            <w:r w:rsidRPr="0069316F">
              <w:rPr>
                <w:rFonts w:cs="Times New Roman"/>
                <w:sz w:val="20"/>
              </w:rPr>
              <w:t>58,346</w:t>
            </w:r>
          </w:p>
        </w:tc>
        <w:tc>
          <w:tcPr>
            <w:tcW w:w="468" w:type="pct"/>
          </w:tcPr>
          <w:p w:rsidR="00A356FA" w:rsidRPr="0069316F" w:rsidRDefault="00A356FA" w:rsidP="00CC472D">
            <w:pPr>
              <w:rPr>
                <w:rFonts w:cs="Times New Roman"/>
                <w:sz w:val="20"/>
              </w:rPr>
            </w:pPr>
            <w:r w:rsidRPr="0069316F">
              <w:rPr>
                <w:rFonts w:cs="Times New Roman"/>
                <w:sz w:val="20"/>
              </w:rPr>
              <w:t>38.8</w:t>
            </w:r>
          </w:p>
        </w:tc>
        <w:tc>
          <w:tcPr>
            <w:tcW w:w="468" w:type="pct"/>
          </w:tcPr>
          <w:p w:rsidR="00A356FA" w:rsidRPr="0069316F" w:rsidRDefault="00A356FA" w:rsidP="00CC472D">
            <w:pPr>
              <w:rPr>
                <w:rFonts w:cs="Times New Roman"/>
                <w:sz w:val="20"/>
              </w:rPr>
            </w:pPr>
            <w:r w:rsidRPr="0069316F">
              <w:rPr>
                <w:rFonts w:cs="Times New Roman"/>
                <w:sz w:val="20"/>
              </w:rPr>
              <w:t>21.2</w:t>
            </w:r>
          </w:p>
        </w:tc>
        <w:tc>
          <w:tcPr>
            <w:tcW w:w="552" w:type="pct"/>
          </w:tcPr>
          <w:p w:rsidR="00A356FA" w:rsidRPr="0069316F" w:rsidRDefault="00A356FA" w:rsidP="00CC472D">
            <w:pPr>
              <w:rPr>
                <w:rFonts w:cs="Times New Roman"/>
                <w:sz w:val="20"/>
              </w:rPr>
            </w:pPr>
            <w:r w:rsidRPr="0069316F">
              <w:rPr>
                <w:rFonts w:cs="Times New Roman"/>
                <w:sz w:val="20"/>
              </w:rPr>
              <w:t>30.1</w:t>
            </w:r>
          </w:p>
        </w:tc>
        <w:tc>
          <w:tcPr>
            <w:tcW w:w="564" w:type="pct"/>
          </w:tcPr>
          <w:p w:rsidR="00A356FA" w:rsidRPr="0069316F" w:rsidRDefault="00A356FA" w:rsidP="00CC472D">
            <w:pPr>
              <w:rPr>
                <w:rFonts w:cs="Times New Roman"/>
                <w:sz w:val="20"/>
              </w:rPr>
            </w:pPr>
            <w:r w:rsidRPr="0069316F">
              <w:rPr>
                <w:rFonts w:cs="Times New Roman"/>
                <w:sz w:val="20"/>
              </w:rPr>
              <w:t>3.4</w:t>
            </w:r>
          </w:p>
        </w:tc>
        <w:tc>
          <w:tcPr>
            <w:tcW w:w="618" w:type="pct"/>
          </w:tcPr>
          <w:p w:rsidR="00A356FA" w:rsidRPr="0069316F" w:rsidRDefault="00A356FA" w:rsidP="00CC472D">
            <w:pPr>
              <w:rPr>
                <w:rFonts w:cs="Times New Roman"/>
                <w:sz w:val="20"/>
              </w:rPr>
            </w:pPr>
            <w:r w:rsidRPr="0069316F">
              <w:rPr>
                <w:rFonts w:cs="Times New Roman"/>
                <w:sz w:val="20"/>
              </w:rPr>
              <w:t>1.6</w:t>
            </w:r>
          </w:p>
        </w:tc>
      </w:tr>
      <w:tr w:rsidR="00A356FA" w:rsidRPr="00EC079B" w:rsidTr="00D250AB">
        <w:trPr>
          <w:trHeight w:hRule="exact" w:val="288"/>
        </w:trPr>
        <w:tc>
          <w:tcPr>
            <w:tcW w:w="714" w:type="pct"/>
          </w:tcPr>
          <w:p w:rsidR="00A356FA" w:rsidRPr="0069316F" w:rsidRDefault="00A356FA" w:rsidP="00CC472D">
            <w:pPr>
              <w:rPr>
                <w:rFonts w:cs="Times New Roman"/>
                <w:sz w:val="20"/>
              </w:rPr>
            </w:pPr>
            <w:r w:rsidRPr="0069316F">
              <w:rPr>
                <w:rFonts w:cs="Times New Roman"/>
                <w:sz w:val="20"/>
              </w:rPr>
              <w:t>Noakhali</w:t>
            </w:r>
          </w:p>
        </w:tc>
        <w:tc>
          <w:tcPr>
            <w:tcW w:w="564" w:type="pct"/>
          </w:tcPr>
          <w:p w:rsidR="00A356FA" w:rsidRPr="0069316F" w:rsidRDefault="00A356FA" w:rsidP="00CC472D">
            <w:pPr>
              <w:rPr>
                <w:rFonts w:cs="Times New Roman"/>
                <w:sz w:val="20"/>
              </w:rPr>
            </w:pPr>
            <w:r w:rsidRPr="0069316F">
              <w:rPr>
                <w:rFonts w:cs="Times New Roman"/>
                <w:sz w:val="20"/>
              </w:rPr>
              <w:t>897</w:t>
            </w:r>
          </w:p>
        </w:tc>
        <w:tc>
          <w:tcPr>
            <w:tcW w:w="518" w:type="pct"/>
          </w:tcPr>
          <w:p w:rsidR="00A356FA" w:rsidRPr="0069316F" w:rsidRDefault="00A356FA" w:rsidP="00CC472D">
            <w:pPr>
              <w:rPr>
                <w:rFonts w:cs="Times New Roman"/>
                <w:sz w:val="20"/>
              </w:rPr>
            </w:pPr>
            <w:r w:rsidRPr="0069316F">
              <w:rPr>
                <w:rFonts w:cs="Times New Roman"/>
                <w:sz w:val="20"/>
              </w:rPr>
              <w:t>2.29</w:t>
            </w:r>
          </w:p>
        </w:tc>
        <w:tc>
          <w:tcPr>
            <w:tcW w:w="534" w:type="pct"/>
          </w:tcPr>
          <w:p w:rsidR="00A356FA" w:rsidRPr="0069316F" w:rsidRDefault="00A356FA" w:rsidP="00CC472D">
            <w:pPr>
              <w:rPr>
                <w:rFonts w:cs="Times New Roman"/>
                <w:sz w:val="20"/>
              </w:rPr>
            </w:pPr>
            <w:r w:rsidRPr="0069316F">
              <w:rPr>
                <w:rFonts w:cs="Times New Roman"/>
                <w:sz w:val="20"/>
              </w:rPr>
              <w:t>29,565</w:t>
            </w:r>
          </w:p>
        </w:tc>
        <w:tc>
          <w:tcPr>
            <w:tcW w:w="468" w:type="pct"/>
          </w:tcPr>
          <w:p w:rsidR="00A356FA" w:rsidRPr="0069316F" w:rsidRDefault="00A356FA" w:rsidP="00CC472D">
            <w:pPr>
              <w:rPr>
                <w:rFonts w:cs="Times New Roman"/>
                <w:sz w:val="20"/>
              </w:rPr>
            </w:pPr>
            <w:r w:rsidRPr="0069316F">
              <w:rPr>
                <w:rFonts w:cs="Times New Roman"/>
                <w:sz w:val="20"/>
              </w:rPr>
              <w:t>9.6</w:t>
            </w:r>
          </w:p>
        </w:tc>
        <w:tc>
          <w:tcPr>
            <w:tcW w:w="468" w:type="pct"/>
          </w:tcPr>
          <w:p w:rsidR="00A356FA" w:rsidRPr="0069316F" w:rsidRDefault="00A356FA" w:rsidP="00CC472D">
            <w:pPr>
              <w:rPr>
                <w:rFonts w:cs="Times New Roman"/>
                <w:sz w:val="20"/>
              </w:rPr>
            </w:pPr>
            <w:r w:rsidRPr="0069316F">
              <w:rPr>
                <w:rFonts w:cs="Times New Roman"/>
                <w:sz w:val="20"/>
              </w:rPr>
              <w:t>3.4</w:t>
            </w:r>
          </w:p>
        </w:tc>
        <w:tc>
          <w:tcPr>
            <w:tcW w:w="552" w:type="pct"/>
          </w:tcPr>
          <w:p w:rsidR="00A356FA" w:rsidRPr="0069316F" w:rsidRDefault="00A356FA" w:rsidP="00CC472D">
            <w:pPr>
              <w:rPr>
                <w:rFonts w:cs="Times New Roman"/>
                <w:sz w:val="20"/>
              </w:rPr>
            </w:pPr>
            <w:r w:rsidRPr="0069316F">
              <w:rPr>
                <w:rFonts w:cs="Times New Roman"/>
                <w:sz w:val="20"/>
              </w:rPr>
              <w:t>24.0</w:t>
            </w:r>
          </w:p>
        </w:tc>
        <w:tc>
          <w:tcPr>
            <w:tcW w:w="564" w:type="pct"/>
          </w:tcPr>
          <w:p w:rsidR="00A356FA" w:rsidRPr="0069316F" w:rsidRDefault="00A356FA" w:rsidP="00CC472D">
            <w:pPr>
              <w:rPr>
                <w:rFonts w:cs="Times New Roman"/>
                <w:sz w:val="20"/>
              </w:rPr>
            </w:pPr>
            <w:r w:rsidRPr="0069316F">
              <w:rPr>
                <w:rFonts w:cs="Times New Roman"/>
                <w:sz w:val="20"/>
              </w:rPr>
              <w:t>17.7</w:t>
            </w:r>
          </w:p>
        </w:tc>
        <w:tc>
          <w:tcPr>
            <w:tcW w:w="618" w:type="pct"/>
          </w:tcPr>
          <w:p w:rsidR="00A356FA" w:rsidRPr="0069316F" w:rsidRDefault="00A356FA" w:rsidP="00CC472D">
            <w:pPr>
              <w:rPr>
                <w:rFonts w:cs="Times New Roman"/>
                <w:sz w:val="20"/>
              </w:rPr>
            </w:pPr>
            <w:r w:rsidRPr="0069316F">
              <w:rPr>
                <w:rFonts w:cs="Times New Roman"/>
                <w:sz w:val="20"/>
              </w:rPr>
              <w:t>14.0</w:t>
            </w:r>
          </w:p>
        </w:tc>
      </w:tr>
      <w:tr w:rsidR="00A356FA" w:rsidRPr="00EC079B" w:rsidTr="00D250AB">
        <w:trPr>
          <w:trHeight w:hRule="exact" w:val="288"/>
        </w:trPr>
        <w:tc>
          <w:tcPr>
            <w:tcW w:w="714" w:type="pct"/>
          </w:tcPr>
          <w:p w:rsidR="00A356FA" w:rsidRPr="0069316F" w:rsidRDefault="00A356FA" w:rsidP="00CC472D">
            <w:pPr>
              <w:rPr>
                <w:rFonts w:cs="Times New Roman"/>
                <w:sz w:val="20"/>
              </w:rPr>
            </w:pPr>
            <w:r w:rsidRPr="0069316F">
              <w:rPr>
                <w:rFonts w:cs="Times New Roman"/>
                <w:sz w:val="20"/>
              </w:rPr>
              <w:t>Patuakhali</w:t>
            </w:r>
          </w:p>
        </w:tc>
        <w:tc>
          <w:tcPr>
            <w:tcW w:w="564" w:type="pct"/>
          </w:tcPr>
          <w:p w:rsidR="00A356FA" w:rsidRPr="0069316F" w:rsidRDefault="00A356FA" w:rsidP="00CC472D">
            <w:pPr>
              <w:rPr>
                <w:rFonts w:cs="Times New Roman"/>
                <w:sz w:val="20"/>
              </w:rPr>
            </w:pPr>
            <w:r w:rsidRPr="0069316F">
              <w:rPr>
                <w:rFonts w:cs="Times New Roman"/>
                <w:sz w:val="20"/>
              </w:rPr>
              <w:t>496</w:t>
            </w:r>
          </w:p>
        </w:tc>
        <w:tc>
          <w:tcPr>
            <w:tcW w:w="518" w:type="pct"/>
          </w:tcPr>
          <w:p w:rsidR="00A356FA" w:rsidRPr="0069316F" w:rsidRDefault="00A356FA" w:rsidP="00CC472D">
            <w:pPr>
              <w:rPr>
                <w:rFonts w:cs="Times New Roman"/>
                <w:sz w:val="20"/>
              </w:rPr>
            </w:pPr>
            <w:r w:rsidRPr="0069316F">
              <w:rPr>
                <w:rFonts w:cs="Times New Roman"/>
                <w:sz w:val="20"/>
              </w:rPr>
              <w:t>0.89</w:t>
            </w:r>
          </w:p>
        </w:tc>
        <w:tc>
          <w:tcPr>
            <w:tcW w:w="534" w:type="pct"/>
          </w:tcPr>
          <w:p w:rsidR="00A356FA" w:rsidRPr="0069316F" w:rsidRDefault="00A356FA" w:rsidP="00CC472D">
            <w:pPr>
              <w:rPr>
                <w:rFonts w:cs="Times New Roman"/>
                <w:sz w:val="20"/>
              </w:rPr>
            </w:pPr>
            <w:r w:rsidRPr="0069316F">
              <w:rPr>
                <w:rFonts w:cs="Times New Roman"/>
                <w:sz w:val="20"/>
              </w:rPr>
              <w:t>38,582</w:t>
            </w:r>
          </w:p>
        </w:tc>
        <w:tc>
          <w:tcPr>
            <w:tcW w:w="468" w:type="pct"/>
          </w:tcPr>
          <w:p w:rsidR="00A356FA" w:rsidRPr="0069316F" w:rsidRDefault="00A356FA" w:rsidP="00CC472D">
            <w:pPr>
              <w:rPr>
                <w:rFonts w:cs="Times New Roman"/>
                <w:sz w:val="20"/>
              </w:rPr>
            </w:pPr>
            <w:r w:rsidRPr="0069316F">
              <w:rPr>
                <w:rFonts w:cs="Times New Roman"/>
                <w:sz w:val="20"/>
              </w:rPr>
              <w:t>25.8</w:t>
            </w:r>
          </w:p>
        </w:tc>
        <w:tc>
          <w:tcPr>
            <w:tcW w:w="468" w:type="pct"/>
          </w:tcPr>
          <w:p w:rsidR="00A356FA" w:rsidRPr="0069316F" w:rsidRDefault="00A356FA" w:rsidP="00CC472D">
            <w:pPr>
              <w:rPr>
                <w:rFonts w:cs="Times New Roman"/>
                <w:sz w:val="20"/>
              </w:rPr>
            </w:pPr>
            <w:r w:rsidRPr="0069316F">
              <w:rPr>
                <w:rFonts w:cs="Times New Roman"/>
                <w:sz w:val="20"/>
              </w:rPr>
              <w:t>14.7</w:t>
            </w:r>
          </w:p>
        </w:tc>
        <w:tc>
          <w:tcPr>
            <w:tcW w:w="552" w:type="pct"/>
          </w:tcPr>
          <w:p w:rsidR="00A356FA" w:rsidRPr="0069316F" w:rsidRDefault="00A356FA" w:rsidP="00CC472D">
            <w:pPr>
              <w:rPr>
                <w:rFonts w:cs="Times New Roman"/>
                <w:sz w:val="20"/>
              </w:rPr>
            </w:pPr>
            <w:r w:rsidRPr="0069316F">
              <w:rPr>
                <w:rFonts w:cs="Times New Roman"/>
                <w:sz w:val="20"/>
              </w:rPr>
              <w:t>12.3</w:t>
            </w:r>
          </w:p>
        </w:tc>
        <w:tc>
          <w:tcPr>
            <w:tcW w:w="564" w:type="pct"/>
          </w:tcPr>
          <w:p w:rsidR="00A356FA" w:rsidRPr="0069316F" w:rsidRDefault="00A356FA" w:rsidP="00CC472D">
            <w:pPr>
              <w:rPr>
                <w:rFonts w:cs="Times New Roman"/>
                <w:sz w:val="20"/>
              </w:rPr>
            </w:pPr>
            <w:r w:rsidRPr="0069316F">
              <w:rPr>
                <w:rFonts w:cs="Times New Roman"/>
                <w:sz w:val="20"/>
              </w:rPr>
              <w:t>4.3</w:t>
            </w:r>
          </w:p>
        </w:tc>
        <w:tc>
          <w:tcPr>
            <w:tcW w:w="618" w:type="pct"/>
          </w:tcPr>
          <w:p w:rsidR="00A356FA" w:rsidRPr="0069316F" w:rsidRDefault="00A356FA" w:rsidP="00CC472D">
            <w:pPr>
              <w:rPr>
                <w:rFonts w:cs="Times New Roman"/>
                <w:sz w:val="20"/>
              </w:rPr>
            </w:pPr>
            <w:r w:rsidRPr="0069316F">
              <w:rPr>
                <w:rFonts w:cs="Times New Roman"/>
                <w:sz w:val="20"/>
              </w:rPr>
              <w:t>0.2</w:t>
            </w:r>
          </w:p>
        </w:tc>
      </w:tr>
      <w:tr w:rsidR="00A356FA" w:rsidRPr="00EC079B" w:rsidTr="00D250AB">
        <w:trPr>
          <w:trHeight w:hRule="exact" w:val="288"/>
        </w:trPr>
        <w:tc>
          <w:tcPr>
            <w:tcW w:w="714" w:type="pct"/>
          </w:tcPr>
          <w:p w:rsidR="00A356FA" w:rsidRPr="0069316F" w:rsidRDefault="00A356FA" w:rsidP="00CC472D">
            <w:pPr>
              <w:rPr>
                <w:rFonts w:cs="Times New Roman"/>
                <w:sz w:val="20"/>
              </w:rPr>
            </w:pPr>
            <w:r w:rsidRPr="0069316F">
              <w:rPr>
                <w:rFonts w:cs="Times New Roman"/>
                <w:sz w:val="20"/>
              </w:rPr>
              <w:t>National average</w:t>
            </w:r>
          </w:p>
        </w:tc>
        <w:tc>
          <w:tcPr>
            <w:tcW w:w="564" w:type="pct"/>
          </w:tcPr>
          <w:p w:rsidR="00A356FA" w:rsidRPr="0069316F" w:rsidRDefault="00A356FA" w:rsidP="00CC472D">
            <w:pPr>
              <w:rPr>
                <w:rFonts w:cs="Times New Roman"/>
                <w:sz w:val="20"/>
              </w:rPr>
            </w:pPr>
            <w:r w:rsidRPr="0069316F">
              <w:rPr>
                <w:rFonts w:cs="Times New Roman"/>
                <w:sz w:val="20"/>
              </w:rPr>
              <w:t>1016</w:t>
            </w:r>
          </w:p>
        </w:tc>
        <w:tc>
          <w:tcPr>
            <w:tcW w:w="518" w:type="pct"/>
          </w:tcPr>
          <w:p w:rsidR="00A356FA" w:rsidRPr="0069316F" w:rsidRDefault="00A356FA" w:rsidP="00CC472D">
            <w:pPr>
              <w:rPr>
                <w:rFonts w:cs="Times New Roman"/>
                <w:sz w:val="20"/>
              </w:rPr>
            </w:pPr>
            <w:r w:rsidRPr="0069316F">
              <w:rPr>
                <w:rFonts w:cs="Times New Roman"/>
                <w:sz w:val="20"/>
              </w:rPr>
              <w:t>1.88</w:t>
            </w:r>
          </w:p>
        </w:tc>
        <w:tc>
          <w:tcPr>
            <w:tcW w:w="534" w:type="pct"/>
          </w:tcPr>
          <w:p w:rsidR="00A356FA" w:rsidRPr="0069316F" w:rsidRDefault="00A356FA" w:rsidP="00CC472D">
            <w:pPr>
              <w:rPr>
                <w:rFonts w:cs="Times New Roman"/>
                <w:sz w:val="20"/>
              </w:rPr>
            </w:pPr>
            <w:r w:rsidRPr="0069316F">
              <w:rPr>
                <w:rFonts w:cs="Times New Roman"/>
                <w:sz w:val="20"/>
              </w:rPr>
              <w:t>37, 859</w:t>
            </w:r>
          </w:p>
        </w:tc>
        <w:tc>
          <w:tcPr>
            <w:tcW w:w="468" w:type="pct"/>
          </w:tcPr>
          <w:p w:rsidR="00A356FA" w:rsidRPr="0069316F" w:rsidRDefault="00A356FA" w:rsidP="00CC472D">
            <w:pPr>
              <w:rPr>
                <w:rFonts w:cs="Times New Roman"/>
                <w:sz w:val="20"/>
              </w:rPr>
            </w:pPr>
            <w:r w:rsidRPr="0069316F">
              <w:rPr>
                <w:rFonts w:cs="Times New Roman"/>
                <w:sz w:val="20"/>
              </w:rPr>
              <w:t>31.5</w:t>
            </w:r>
          </w:p>
        </w:tc>
        <w:tc>
          <w:tcPr>
            <w:tcW w:w="468" w:type="pct"/>
          </w:tcPr>
          <w:p w:rsidR="00A356FA" w:rsidRPr="0069316F" w:rsidRDefault="00A356FA" w:rsidP="00CC472D">
            <w:pPr>
              <w:rPr>
                <w:rFonts w:cs="Times New Roman"/>
                <w:sz w:val="20"/>
              </w:rPr>
            </w:pPr>
            <w:r w:rsidRPr="0069316F">
              <w:rPr>
                <w:rFonts w:cs="Times New Roman"/>
                <w:sz w:val="20"/>
              </w:rPr>
              <w:t>17.6</w:t>
            </w:r>
          </w:p>
        </w:tc>
        <w:tc>
          <w:tcPr>
            <w:tcW w:w="552" w:type="pct"/>
          </w:tcPr>
          <w:p w:rsidR="00A356FA" w:rsidRPr="0069316F" w:rsidRDefault="00A356FA" w:rsidP="00CC472D">
            <w:pPr>
              <w:rPr>
                <w:rFonts w:cs="Times New Roman"/>
                <w:sz w:val="20"/>
              </w:rPr>
            </w:pPr>
            <w:r w:rsidRPr="0069316F">
              <w:rPr>
                <w:rFonts w:cs="Times New Roman"/>
                <w:sz w:val="20"/>
              </w:rPr>
              <w:t>20.0</w:t>
            </w:r>
          </w:p>
        </w:tc>
        <w:tc>
          <w:tcPr>
            <w:tcW w:w="564" w:type="pct"/>
          </w:tcPr>
          <w:p w:rsidR="00A356FA" w:rsidRPr="0069316F" w:rsidRDefault="00A356FA" w:rsidP="00CC472D">
            <w:pPr>
              <w:rPr>
                <w:rFonts w:cs="Times New Roman"/>
                <w:sz w:val="20"/>
              </w:rPr>
            </w:pPr>
            <w:r w:rsidRPr="0069316F">
              <w:rPr>
                <w:rFonts w:cs="Times New Roman"/>
                <w:sz w:val="20"/>
              </w:rPr>
              <w:t>9.3</w:t>
            </w:r>
          </w:p>
        </w:tc>
        <w:tc>
          <w:tcPr>
            <w:tcW w:w="618" w:type="pct"/>
          </w:tcPr>
          <w:p w:rsidR="00A356FA" w:rsidRPr="0069316F" w:rsidRDefault="00A356FA" w:rsidP="00CC472D">
            <w:pPr>
              <w:rPr>
                <w:rFonts w:cs="Times New Roman"/>
                <w:sz w:val="20"/>
              </w:rPr>
            </w:pPr>
            <w:r w:rsidRPr="0069316F">
              <w:rPr>
                <w:rFonts w:cs="Times New Roman"/>
                <w:sz w:val="20"/>
              </w:rPr>
              <w:t>7.5</w:t>
            </w:r>
          </w:p>
        </w:tc>
      </w:tr>
    </w:tbl>
    <w:p w:rsidR="00A356FA" w:rsidRPr="00AC4BF3" w:rsidRDefault="00781A67" w:rsidP="00781A67">
      <w:pPr>
        <w:spacing w:before="120"/>
        <w:rPr>
          <w:rFonts w:cs="Times New Roman"/>
          <w:b/>
          <w:i/>
          <w:sz w:val="20"/>
        </w:rPr>
      </w:pPr>
      <w:r>
        <w:rPr>
          <w:rFonts w:cs="Times New Roman"/>
          <w:b/>
          <w:i/>
          <w:sz w:val="20"/>
        </w:rPr>
        <w:t xml:space="preserve"> Source: HIES 2010, BBS National Accounts</w:t>
      </w:r>
    </w:p>
    <w:p w:rsidR="00A356FA" w:rsidRDefault="00A356FA" w:rsidP="00AC4BF3">
      <w:pPr>
        <w:spacing w:line="276" w:lineRule="auto"/>
        <w:jc w:val="both"/>
        <w:rPr>
          <w:rFonts w:cs="Times New Roman"/>
        </w:rPr>
      </w:pPr>
      <w:r w:rsidRPr="00A717D6">
        <w:rPr>
          <w:rFonts w:cs="Times New Roman"/>
          <w:b/>
        </w:rPr>
        <w:t>Barguna Experience:</w:t>
      </w:r>
      <w:r w:rsidR="003D5863">
        <w:rPr>
          <w:rFonts w:cs="Times New Roman"/>
        </w:rPr>
        <w:t xml:space="preserve"> </w:t>
      </w:r>
      <w:r w:rsidRPr="00AC4BF3">
        <w:rPr>
          <w:rFonts w:cs="Times New Roman"/>
        </w:rPr>
        <w:t>Barguna is located on the southern coastal belt, right on the ed</w:t>
      </w:r>
      <w:r w:rsidR="00B7110D">
        <w:rPr>
          <w:rFonts w:cs="Times New Roman"/>
        </w:rPr>
        <w:t>ge of the Bay of Bengal (Map 2.2</w:t>
      </w:r>
      <w:r w:rsidRPr="00AC4BF3">
        <w:rPr>
          <w:rFonts w:cs="Times New Roman"/>
        </w:rPr>
        <w:t>). Geographically, it is exposed to all the hazards of coastal belt location. Yet it has achieved considerable progress with poverty reduction unlike many other coastal belt district</w:t>
      </w:r>
      <w:r w:rsidR="00781A67">
        <w:rPr>
          <w:rFonts w:cs="Times New Roman"/>
        </w:rPr>
        <w:t>s</w:t>
      </w:r>
      <w:r w:rsidRPr="00AC4BF3">
        <w:rPr>
          <w:rFonts w:cs="Times New Roman"/>
        </w:rPr>
        <w:t xml:space="preserve">.  It also enjoys per capita income that’s higher than the national average.  Looking at the sub-district profile, all the </w:t>
      </w:r>
      <w:r w:rsidR="00F51D0D" w:rsidRPr="00AC4BF3">
        <w:rPr>
          <w:rFonts w:cs="Times New Roman"/>
        </w:rPr>
        <w:t>upazillas</w:t>
      </w:r>
      <w:r w:rsidRPr="00AC4BF3">
        <w:rPr>
          <w:rFonts w:cs="Times New Roman"/>
        </w:rPr>
        <w:t xml:space="preserve"> have performed well in terms of both upper and lower poverty levels (Table 2.</w:t>
      </w:r>
      <w:r w:rsidR="003D5863">
        <w:rPr>
          <w:rFonts w:cs="Times New Roman"/>
        </w:rPr>
        <w:t>17</w:t>
      </w:r>
      <w:r w:rsidRPr="00AC4BF3">
        <w:rPr>
          <w:rFonts w:cs="Times New Roman"/>
        </w:rPr>
        <w:t xml:space="preserve">). </w:t>
      </w:r>
    </w:p>
    <w:p w:rsidR="00DA1E41" w:rsidRDefault="00DA1E41">
      <w:pPr>
        <w:rPr>
          <w:rFonts w:eastAsia="Times New Roman" w:cs="Times New Roman"/>
          <w:b/>
          <w:szCs w:val="24"/>
          <w:lang w:val="en-GB"/>
        </w:rPr>
      </w:pPr>
      <w:r>
        <w:br w:type="page"/>
      </w:r>
    </w:p>
    <w:p w:rsidR="002B028D" w:rsidRPr="002B028D" w:rsidRDefault="002B028D" w:rsidP="002B028D">
      <w:pPr>
        <w:pStyle w:val="Heading6"/>
        <w:spacing w:after="0"/>
      </w:pPr>
      <w:bookmarkStart w:id="182" w:name="_Toc474639306"/>
      <w:r w:rsidRPr="00EC079B">
        <w:lastRenderedPageBreak/>
        <w:t>Map 2.2: Barguna District Map</w:t>
      </w:r>
      <w:bookmarkEnd w:id="182"/>
    </w:p>
    <w:p w:rsidR="00406B03" w:rsidRPr="00AC4BF3" w:rsidRDefault="00406B03" w:rsidP="005C1C84">
      <w:pPr>
        <w:spacing w:after="0" w:line="276" w:lineRule="auto"/>
        <w:jc w:val="center"/>
        <w:rPr>
          <w:rFonts w:cs="Times New Roman"/>
        </w:rPr>
      </w:pPr>
      <w:r w:rsidRPr="005C1C84">
        <w:rPr>
          <w:noProof/>
          <w:sz w:val="36"/>
          <w:lang w:val="en-AU" w:eastAsia="en-AU" w:bidi="bn-BD"/>
        </w:rPr>
        <w:drawing>
          <wp:inline distT="0" distB="0" distL="0" distR="0">
            <wp:extent cx="5610225" cy="7523576"/>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4355" t="1819" r="3852" b="2746"/>
                    <a:stretch/>
                  </pic:blipFill>
                  <pic:spPr bwMode="auto">
                    <a:xfrm>
                      <a:off x="0" y="0"/>
                      <a:ext cx="5611021" cy="75246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06B03" w:rsidRPr="00225E39" w:rsidRDefault="00406B03" w:rsidP="00225E39">
      <w:pPr>
        <w:rPr>
          <w:b/>
          <w:i/>
          <w:sz w:val="20"/>
        </w:rPr>
      </w:pPr>
      <w:r w:rsidRPr="00225E39">
        <w:rPr>
          <w:b/>
          <w:i/>
          <w:sz w:val="20"/>
        </w:rPr>
        <w:t>Source: LGED, Local Government Division, Ministry of Local Government, Rural Development &amp; Cooperatives</w:t>
      </w:r>
    </w:p>
    <w:p w:rsidR="00A356FA" w:rsidRPr="00AC4BF3" w:rsidRDefault="00A356FA" w:rsidP="007427EA">
      <w:pPr>
        <w:pStyle w:val="Heading4"/>
      </w:pPr>
      <w:bookmarkStart w:id="183" w:name="_Toc474639013"/>
      <w:r w:rsidRPr="00AC4BF3">
        <w:lastRenderedPageBreak/>
        <w:t>Table 2.17: Barguna Poverty Level by Up</w:t>
      </w:r>
      <w:r w:rsidR="000303CE">
        <w:t>a</w:t>
      </w:r>
      <w:r w:rsidRPr="00AC4BF3">
        <w:t>zilla</w:t>
      </w:r>
      <w:bookmarkEnd w:id="183"/>
      <w:r w:rsidRPr="00AC4BF3">
        <w:t xml:space="preserve"> </w:t>
      </w:r>
    </w:p>
    <w:tbl>
      <w:tblPr>
        <w:tblStyle w:val="TableGrid"/>
        <w:tblW w:w="5000" w:type="pct"/>
        <w:tblLook w:val="04A0"/>
      </w:tblPr>
      <w:tblGrid>
        <w:gridCol w:w="3192"/>
        <w:gridCol w:w="3191"/>
        <w:gridCol w:w="3193"/>
      </w:tblGrid>
      <w:tr w:rsidR="00A356FA" w:rsidRPr="00F77883" w:rsidTr="00A356FA">
        <w:tc>
          <w:tcPr>
            <w:tcW w:w="1666" w:type="pct"/>
          </w:tcPr>
          <w:p w:rsidR="00A356FA" w:rsidRPr="00F77883" w:rsidRDefault="00A356FA" w:rsidP="00F77883">
            <w:pPr>
              <w:spacing w:after="0" w:line="276" w:lineRule="auto"/>
              <w:jc w:val="center"/>
              <w:rPr>
                <w:rFonts w:cs="Times New Roman"/>
                <w:b/>
                <w:color w:val="000000" w:themeColor="text1"/>
                <w:sz w:val="22"/>
              </w:rPr>
            </w:pPr>
            <w:r w:rsidRPr="00F77883">
              <w:rPr>
                <w:rFonts w:cs="Times New Roman"/>
                <w:b/>
                <w:color w:val="000000" w:themeColor="text1"/>
                <w:sz w:val="22"/>
              </w:rPr>
              <w:t>Upzilla</w:t>
            </w:r>
          </w:p>
        </w:tc>
        <w:tc>
          <w:tcPr>
            <w:tcW w:w="1666" w:type="pct"/>
          </w:tcPr>
          <w:p w:rsidR="00A356FA" w:rsidRPr="00F77883" w:rsidRDefault="00A356FA" w:rsidP="00F77883">
            <w:pPr>
              <w:spacing w:after="0" w:line="276" w:lineRule="auto"/>
              <w:jc w:val="center"/>
              <w:rPr>
                <w:rFonts w:cs="Times New Roman"/>
                <w:b/>
                <w:color w:val="000000" w:themeColor="text1"/>
                <w:sz w:val="22"/>
              </w:rPr>
            </w:pPr>
            <w:r w:rsidRPr="00F77883">
              <w:rPr>
                <w:rFonts w:cs="Times New Roman"/>
                <w:b/>
                <w:color w:val="000000" w:themeColor="text1"/>
                <w:sz w:val="22"/>
              </w:rPr>
              <w:t>UPL 2010</w:t>
            </w:r>
          </w:p>
        </w:tc>
        <w:tc>
          <w:tcPr>
            <w:tcW w:w="1667" w:type="pct"/>
          </w:tcPr>
          <w:p w:rsidR="00A356FA" w:rsidRPr="00F77883" w:rsidRDefault="00A356FA" w:rsidP="00F77883">
            <w:pPr>
              <w:spacing w:after="0" w:line="276" w:lineRule="auto"/>
              <w:jc w:val="center"/>
              <w:rPr>
                <w:rFonts w:cs="Times New Roman"/>
                <w:b/>
                <w:color w:val="000000" w:themeColor="text1"/>
                <w:sz w:val="22"/>
              </w:rPr>
            </w:pPr>
            <w:r w:rsidRPr="00F77883">
              <w:rPr>
                <w:rFonts w:cs="Times New Roman"/>
                <w:b/>
                <w:color w:val="000000" w:themeColor="text1"/>
                <w:sz w:val="22"/>
              </w:rPr>
              <w:t>LPL 2010</w:t>
            </w:r>
          </w:p>
        </w:tc>
      </w:tr>
      <w:tr w:rsidR="00A356FA" w:rsidRPr="00F77883" w:rsidTr="00A356FA">
        <w:tc>
          <w:tcPr>
            <w:tcW w:w="1666" w:type="pct"/>
            <w:vAlign w:val="bottom"/>
          </w:tcPr>
          <w:p w:rsidR="00A356FA" w:rsidRPr="00F77883" w:rsidRDefault="00344633" w:rsidP="00C151CD">
            <w:pPr>
              <w:spacing w:after="0"/>
              <w:rPr>
                <w:rFonts w:cs="Times New Roman"/>
                <w:color w:val="000000"/>
                <w:sz w:val="22"/>
              </w:rPr>
            </w:pPr>
            <w:r w:rsidRPr="00F77883">
              <w:rPr>
                <w:rFonts w:cs="Times New Roman"/>
                <w:color w:val="000000"/>
                <w:sz w:val="22"/>
              </w:rPr>
              <w:t>Amtali</w:t>
            </w:r>
          </w:p>
        </w:tc>
        <w:tc>
          <w:tcPr>
            <w:tcW w:w="1666"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22.8</w:t>
            </w:r>
          </w:p>
        </w:tc>
        <w:tc>
          <w:tcPr>
            <w:tcW w:w="1667"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12.0</w:t>
            </w:r>
          </w:p>
        </w:tc>
      </w:tr>
      <w:tr w:rsidR="00A356FA" w:rsidRPr="00F77883" w:rsidTr="00A356FA">
        <w:tc>
          <w:tcPr>
            <w:tcW w:w="1666" w:type="pct"/>
            <w:vAlign w:val="bottom"/>
          </w:tcPr>
          <w:p w:rsidR="00A356FA" w:rsidRPr="00F77883" w:rsidRDefault="00344633" w:rsidP="00C151CD">
            <w:pPr>
              <w:spacing w:after="0"/>
              <w:rPr>
                <w:rFonts w:cs="Times New Roman"/>
                <w:color w:val="000000"/>
                <w:sz w:val="22"/>
              </w:rPr>
            </w:pPr>
            <w:r w:rsidRPr="00F77883">
              <w:rPr>
                <w:rFonts w:cs="Times New Roman"/>
                <w:color w:val="000000"/>
                <w:sz w:val="22"/>
              </w:rPr>
              <w:t>Bamna</w:t>
            </w:r>
          </w:p>
        </w:tc>
        <w:tc>
          <w:tcPr>
            <w:tcW w:w="1666"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17.1</w:t>
            </w:r>
          </w:p>
        </w:tc>
        <w:tc>
          <w:tcPr>
            <w:tcW w:w="1667"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8.9</w:t>
            </w:r>
          </w:p>
        </w:tc>
      </w:tr>
      <w:tr w:rsidR="00A356FA" w:rsidRPr="00F77883" w:rsidTr="00A356FA">
        <w:tc>
          <w:tcPr>
            <w:tcW w:w="1666" w:type="pct"/>
            <w:vAlign w:val="bottom"/>
          </w:tcPr>
          <w:p w:rsidR="00A356FA" w:rsidRPr="00F77883" w:rsidRDefault="00344633" w:rsidP="00C151CD">
            <w:pPr>
              <w:spacing w:after="0"/>
              <w:rPr>
                <w:rFonts w:cs="Times New Roman"/>
                <w:color w:val="000000"/>
                <w:sz w:val="22"/>
              </w:rPr>
            </w:pPr>
            <w:r w:rsidRPr="00F77883">
              <w:rPr>
                <w:rFonts w:cs="Times New Roman"/>
                <w:color w:val="000000"/>
                <w:sz w:val="22"/>
              </w:rPr>
              <w:t>Barguna sadar</w:t>
            </w:r>
          </w:p>
        </w:tc>
        <w:tc>
          <w:tcPr>
            <w:tcW w:w="1666"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19.2</w:t>
            </w:r>
          </w:p>
        </w:tc>
        <w:tc>
          <w:tcPr>
            <w:tcW w:w="1667"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9.9</w:t>
            </w:r>
          </w:p>
        </w:tc>
      </w:tr>
      <w:tr w:rsidR="00A356FA" w:rsidRPr="00F77883" w:rsidTr="00A356FA">
        <w:tc>
          <w:tcPr>
            <w:tcW w:w="1666" w:type="pct"/>
            <w:vAlign w:val="bottom"/>
          </w:tcPr>
          <w:p w:rsidR="00A356FA" w:rsidRPr="00F77883" w:rsidRDefault="00344633" w:rsidP="00C151CD">
            <w:pPr>
              <w:spacing w:after="0"/>
              <w:rPr>
                <w:rFonts w:cs="Times New Roman"/>
                <w:color w:val="000000"/>
                <w:sz w:val="22"/>
              </w:rPr>
            </w:pPr>
            <w:r w:rsidRPr="00F77883">
              <w:rPr>
                <w:rFonts w:cs="Times New Roman"/>
                <w:color w:val="000000"/>
                <w:sz w:val="22"/>
              </w:rPr>
              <w:t>Betagi</w:t>
            </w:r>
          </w:p>
        </w:tc>
        <w:tc>
          <w:tcPr>
            <w:tcW w:w="1666"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19.6</w:t>
            </w:r>
          </w:p>
        </w:tc>
        <w:tc>
          <w:tcPr>
            <w:tcW w:w="1667"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10.3</w:t>
            </w:r>
          </w:p>
        </w:tc>
      </w:tr>
      <w:tr w:rsidR="00A356FA" w:rsidRPr="00F77883" w:rsidTr="00A356FA">
        <w:tc>
          <w:tcPr>
            <w:tcW w:w="1666" w:type="pct"/>
            <w:vAlign w:val="bottom"/>
          </w:tcPr>
          <w:p w:rsidR="00A356FA" w:rsidRPr="00F77883" w:rsidRDefault="00344633" w:rsidP="00C151CD">
            <w:pPr>
              <w:spacing w:after="0"/>
              <w:rPr>
                <w:rFonts w:cs="Times New Roman"/>
                <w:color w:val="000000"/>
                <w:sz w:val="22"/>
              </w:rPr>
            </w:pPr>
            <w:r w:rsidRPr="00F77883">
              <w:rPr>
                <w:rFonts w:cs="Times New Roman"/>
                <w:color w:val="000000"/>
                <w:sz w:val="22"/>
              </w:rPr>
              <w:t>Patharghata</w:t>
            </w:r>
          </w:p>
        </w:tc>
        <w:tc>
          <w:tcPr>
            <w:tcW w:w="1666"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12.9</w:t>
            </w:r>
          </w:p>
        </w:tc>
        <w:tc>
          <w:tcPr>
            <w:tcW w:w="1667" w:type="pct"/>
            <w:vAlign w:val="bottom"/>
          </w:tcPr>
          <w:p w:rsidR="00F64A6A" w:rsidRDefault="00A356FA" w:rsidP="00F64A6A">
            <w:pPr>
              <w:spacing w:after="0"/>
              <w:jc w:val="center"/>
              <w:rPr>
                <w:rFonts w:ascii="Arial" w:eastAsia="MS ??" w:hAnsi="Arial" w:cs="Times New Roman"/>
                <w:b/>
                <w:bCs/>
                <w:color w:val="000000"/>
                <w:sz w:val="22"/>
                <w:szCs w:val="20"/>
              </w:rPr>
            </w:pPr>
            <w:r w:rsidRPr="00F77883">
              <w:rPr>
                <w:rFonts w:cs="Times New Roman"/>
                <w:color w:val="000000"/>
                <w:sz w:val="22"/>
              </w:rPr>
              <w:t>6.1</w:t>
            </w:r>
          </w:p>
        </w:tc>
      </w:tr>
    </w:tbl>
    <w:p w:rsidR="00A356FA" w:rsidRPr="00AC4BF3" w:rsidRDefault="00A356FA" w:rsidP="00781A67">
      <w:pPr>
        <w:spacing w:before="120" w:line="276" w:lineRule="auto"/>
        <w:jc w:val="both"/>
        <w:rPr>
          <w:rFonts w:cs="Times New Roman"/>
          <w:b/>
          <w:i/>
          <w:color w:val="000000" w:themeColor="text1"/>
          <w:sz w:val="20"/>
          <w:szCs w:val="24"/>
        </w:rPr>
      </w:pPr>
      <w:r w:rsidRPr="00AC4BF3">
        <w:rPr>
          <w:rFonts w:cs="Times New Roman"/>
          <w:b/>
          <w:i/>
          <w:color w:val="000000" w:themeColor="text1"/>
          <w:sz w:val="20"/>
          <w:szCs w:val="24"/>
        </w:rPr>
        <w:t>Source: HIES 2010 and 2000</w:t>
      </w:r>
    </w:p>
    <w:p w:rsidR="00A356FA" w:rsidRPr="00AC4BF3" w:rsidRDefault="00A356FA" w:rsidP="00AC4BF3">
      <w:pPr>
        <w:spacing w:line="276" w:lineRule="auto"/>
        <w:jc w:val="both"/>
        <w:rPr>
          <w:rFonts w:cs="Times New Roman"/>
          <w:color w:val="000000" w:themeColor="text1"/>
          <w:szCs w:val="24"/>
        </w:rPr>
      </w:pPr>
      <w:r w:rsidRPr="004B0A08">
        <w:rPr>
          <w:rFonts w:cs="Times New Roman"/>
          <w:i/>
          <w:color w:val="000000" w:themeColor="text1"/>
          <w:szCs w:val="24"/>
        </w:rPr>
        <w:t>Both Amtali and Patharghata are openly exposed to the sea.  While Amtali has the highest poverty rate within Barguna, Patharghata has the lowest poverty rate in the district.  Barguna is a fairly diversified economy with agriculture accounting for about a third of its income. It has also succeeded in diversifying agriculture with an export-oriented fishing component that has contributed to its income growth.  A major favorable factor for Barguna is its population density.</w:t>
      </w:r>
      <w:r w:rsidRPr="00AC4BF3">
        <w:rPr>
          <w:rFonts w:cs="Times New Roman"/>
          <w:color w:val="000000" w:themeColor="text1"/>
          <w:szCs w:val="24"/>
        </w:rPr>
        <w:t xml:space="preserve"> At 507 per square kilometer, its density is 50% lower than the national average. Population growth is also nearly half the rate of national population growth owing to net out-migration.  This has reduced the population pressure. Rice productivity is very low owing to salinity and other hazards. But agricultural diversification and low population pressure have all helped real agricultural wages grow, which has been an important contributor to reducing poverty. The Patharghata upzilla has benefitted particularly from higher incomes from the thriving fishing industry.  In contrast, the Amtali </w:t>
      </w:r>
      <w:r w:rsidR="00F51D0D" w:rsidRPr="00AC4BF3">
        <w:rPr>
          <w:rFonts w:cs="Times New Roman"/>
          <w:color w:val="000000" w:themeColor="text1"/>
          <w:szCs w:val="24"/>
        </w:rPr>
        <w:t>Upzillas</w:t>
      </w:r>
      <w:r w:rsidRPr="00AC4BF3">
        <w:rPr>
          <w:rFonts w:cs="Times New Roman"/>
          <w:color w:val="000000" w:themeColor="text1"/>
          <w:szCs w:val="24"/>
        </w:rPr>
        <w:t xml:space="preserve"> </w:t>
      </w:r>
      <w:r w:rsidR="007A0843" w:rsidRPr="00AC4BF3">
        <w:rPr>
          <w:rFonts w:cs="Times New Roman"/>
          <w:color w:val="000000" w:themeColor="text1"/>
          <w:szCs w:val="24"/>
        </w:rPr>
        <w:t>agriculture is</w:t>
      </w:r>
      <w:r w:rsidRPr="00AC4BF3">
        <w:rPr>
          <w:rFonts w:cs="Times New Roman"/>
          <w:color w:val="000000" w:themeColor="text1"/>
          <w:szCs w:val="24"/>
        </w:rPr>
        <w:t xml:space="preserve"> primarily crop dependent.  This major differential in income sources explain</w:t>
      </w:r>
      <w:r w:rsidR="00781A67">
        <w:rPr>
          <w:rFonts w:cs="Times New Roman"/>
          <w:color w:val="000000" w:themeColor="text1"/>
          <w:szCs w:val="24"/>
        </w:rPr>
        <w:t>s</w:t>
      </w:r>
      <w:r w:rsidRPr="00AC4BF3">
        <w:rPr>
          <w:rFonts w:cs="Times New Roman"/>
          <w:color w:val="000000" w:themeColor="text1"/>
          <w:szCs w:val="24"/>
        </w:rPr>
        <w:t xml:space="preserve"> the weaker poverty performance of Amtali relative to Patharghata. </w:t>
      </w:r>
    </w:p>
    <w:p w:rsidR="00A356FA" w:rsidRPr="004B0A08" w:rsidRDefault="00A356FA" w:rsidP="00AC4BF3">
      <w:pPr>
        <w:spacing w:line="276" w:lineRule="auto"/>
        <w:jc w:val="both"/>
        <w:rPr>
          <w:rFonts w:cs="Times New Roman"/>
          <w:i/>
          <w:color w:val="000000" w:themeColor="text1"/>
          <w:szCs w:val="24"/>
        </w:rPr>
      </w:pPr>
      <w:r w:rsidRPr="004B0A08">
        <w:rPr>
          <w:rFonts w:cs="Times New Roman"/>
          <w:i/>
          <w:color w:val="000000" w:themeColor="text1"/>
          <w:szCs w:val="24"/>
        </w:rPr>
        <w:t xml:space="preserve">Barguna made substantial progress in reducing poverty between 2000 and 2010, cutting the poverty rate by more than 50%. </w:t>
      </w:r>
      <w:r w:rsidR="00781A67" w:rsidRPr="004B0A08">
        <w:rPr>
          <w:rFonts w:cs="Times New Roman"/>
          <w:i/>
          <w:color w:val="000000" w:themeColor="text1"/>
          <w:szCs w:val="24"/>
        </w:rPr>
        <w:t xml:space="preserve"> </w:t>
      </w:r>
      <w:r w:rsidRPr="004B0A08">
        <w:rPr>
          <w:rFonts w:cs="Times New Roman"/>
          <w:i/>
          <w:color w:val="000000" w:themeColor="text1"/>
          <w:szCs w:val="24"/>
        </w:rPr>
        <w:t xml:space="preserve">The headcount poverty rate fell from 47% in 2000 to below 20% in 2010.  This progress has been broad-based with all </w:t>
      </w:r>
      <w:r w:rsidR="00F51D0D" w:rsidRPr="004B0A08">
        <w:rPr>
          <w:rFonts w:cs="Times New Roman"/>
          <w:i/>
          <w:color w:val="000000" w:themeColor="text1"/>
          <w:szCs w:val="24"/>
        </w:rPr>
        <w:t>upazillas</w:t>
      </w:r>
      <w:r w:rsidRPr="004B0A08">
        <w:rPr>
          <w:rFonts w:cs="Times New Roman"/>
          <w:i/>
          <w:color w:val="000000" w:themeColor="text1"/>
          <w:szCs w:val="24"/>
        </w:rPr>
        <w:t xml:space="preserve"> benefitting. Income growth based on agricultural diversification and a range of non-agricultural services has contributed to this progress with poverty reduction. A part of the adjustment has happened through the out-migration of population to other parts of Bangladesh. Barguna did not benefit much from international migration. </w:t>
      </w:r>
    </w:p>
    <w:p w:rsidR="00A356FA" w:rsidRPr="00AC4BF3" w:rsidRDefault="00A356FA" w:rsidP="00AC4BF3">
      <w:pPr>
        <w:spacing w:line="276" w:lineRule="auto"/>
        <w:jc w:val="both"/>
        <w:rPr>
          <w:rFonts w:cs="Times New Roman"/>
          <w:color w:val="000000" w:themeColor="text1"/>
          <w:szCs w:val="24"/>
        </w:rPr>
      </w:pPr>
      <w:r w:rsidRPr="00AC4BF3">
        <w:rPr>
          <w:rFonts w:cs="Times New Roman"/>
          <w:b/>
          <w:color w:val="000000" w:themeColor="text1"/>
          <w:szCs w:val="24"/>
        </w:rPr>
        <w:t>Patuakhali Experience</w:t>
      </w:r>
      <w:r w:rsidRPr="00AC4BF3">
        <w:rPr>
          <w:rFonts w:cs="Times New Roman"/>
          <w:b/>
          <w:i/>
          <w:color w:val="000000" w:themeColor="text1"/>
          <w:szCs w:val="24"/>
        </w:rPr>
        <w:t xml:space="preserve">: </w:t>
      </w:r>
      <w:r w:rsidRPr="00AC4BF3">
        <w:rPr>
          <w:rFonts w:cs="Times New Roman"/>
          <w:b/>
          <w:color w:val="000000" w:themeColor="text1"/>
          <w:szCs w:val="24"/>
        </w:rPr>
        <w:t xml:space="preserve"> </w:t>
      </w:r>
      <w:r w:rsidRPr="00AC4BF3">
        <w:rPr>
          <w:rFonts w:cs="Times New Roman"/>
          <w:color w:val="000000" w:themeColor="text1"/>
          <w:szCs w:val="24"/>
        </w:rPr>
        <w:t>Like Barguna, Patuakhali is a coastal district with open access to the Bay of Bengal. It is exposed to all the hazards of a coastal belt.  Additionally, it faces severe river flooding and erosion problems. Notwithstanding these risks, Patuakhali has achieved p</w:t>
      </w:r>
      <w:r w:rsidR="00781A67">
        <w:rPr>
          <w:rFonts w:cs="Times New Roman"/>
          <w:color w:val="000000" w:themeColor="text1"/>
          <w:szCs w:val="24"/>
        </w:rPr>
        <w:t>er capita income that exceeds the</w:t>
      </w:r>
      <w:r w:rsidRPr="00AC4BF3">
        <w:rPr>
          <w:rFonts w:cs="Times New Roman"/>
          <w:color w:val="000000" w:themeColor="text1"/>
          <w:szCs w:val="24"/>
        </w:rPr>
        <w:t xml:space="preserve"> national average and poverty levels </w:t>
      </w:r>
      <w:r w:rsidR="00781A67">
        <w:rPr>
          <w:rFonts w:cs="Times New Roman"/>
          <w:color w:val="000000" w:themeColor="text1"/>
          <w:szCs w:val="24"/>
        </w:rPr>
        <w:t xml:space="preserve">are </w:t>
      </w:r>
      <w:r w:rsidRPr="00AC4BF3">
        <w:rPr>
          <w:rFonts w:cs="Times New Roman"/>
          <w:color w:val="000000" w:themeColor="text1"/>
          <w:szCs w:val="24"/>
        </w:rPr>
        <w:t>below the national average. Poverty level has also fallen substantially between 2000 and 2010, from 39.9% to 25.8</w:t>
      </w:r>
      <w:r w:rsidR="00AC4BF3" w:rsidRPr="00AC4BF3">
        <w:rPr>
          <w:rFonts w:cs="Times New Roman"/>
          <w:color w:val="000000" w:themeColor="text1"/>
          <w:szCs w:val="24"/>
        </w:rPr>
        <w:t>%.</w:t>
      </w:r>
      <w:r w:rsidRPr="00AC4BF3">
        <w:rPr>
          <w:rFonts w:cs="Times New Roman"/>
          <w:color w:val="000000" w:themeColor="text1"/>
          <w:szCs w:val="24"/>
        </w:rPr>
        <w:t xml:space="preserve">   Poverty performance by upzilla level shows that the performance is fairly broad-based except for the urban area of Patuakhali sadar (Table 2.18). An interesting result is that the up</w:t>
      </w:r>
      <w:r w:rsidR="00781A67">
        <w:rPr>
          <w:rFonts w:cs="Times New Roman"/>
          <w:color w:val="000000" w:themeColor="text1"/>
          <w:szCs w:val="24"/>
        </w:rPr>
        <w:t>a</w:t>
      </w:r>
      <w:r w:rsidRPr="00AC4BF3">
        <w:rPr>
          <w:rFonts w:cs="Times New Roman"/>
          <w:color w:val="000000" w:themeColor="text1"/>
          <w:szCs w:val="24"/>
        </w:rPr>
        <w:t xml:space="preserve">zilla of </w:t>
      </w:r>
      <w:r w:rsidR="00F51D0D" w:rsidRPr="00AC4BF3">
        <w:rPr>
          <w:rFonts w:cs="Times New Roman"/>
          <w:color w:val="000000" w:themeColor="text1"/>
          <w:szCs w:val="24"/>
        </w:rPr>
        <w:t>Kalahari</w:t>
      </w:r>
      <w:r w:rsidRPr="00AC4BF3">
        <w:rPr>
          <w:rFonts w:cs="Times New Roman"/>
          <w:color w:val="000000" w:themeColor="text1"/>
          <w:szCs w:val="24"/>
        </w:rPr>
        <w:t>, which is exposed to the open sea</w:t>
      </w:r>
      <w:r w:rsidR="00781A67">
        <w:rPr>
          <w:rFonts w:cs="Times New Roman"/>
          <w:color w:val="000000" w:themeColor="text1"/>
          <w:szCs w:val="24"/>
        </w:rPr>
        <w:t>,</w:t>
      </w:r>
      <w:r w:rsidRPr="00AC4BF3">
        <w:rPr>
          <w:rFonts w:cs="Times New Roman"/>
          <w:color w:val="000000" w:themeColor="text1"/>
          <w:szCs w:val="24"/>
        </w:rPr>
        <w:t xml:space="preserve"> has relatively lower rate of poverty than the district average and substantially lower than </w:t>
      </w:r>
      <w:r w:rsidR="00AC4BF3" w:rsidRPr="00AC4BF3">
        <w:rPr>
          <w:rFonts w:cs="Times New Roman"/>
          <w:color w:val="000000" w:themeColor="text1"/>
          <w:szCs w:val="24"/>
        </w:rPr>
        <w:t>the district</w:t>
      </w:r>
      <w:r w:rsidRPr="00AC4BF3">
        <w:rPr>
          <w:rFonts w:cs="Times New Roman"/>
          <w:color w:val="000000" w:themeColor="text1"/>
          <w:szCs w:val="24"/>
        </w:rPr>
        <w:t xml:space="preserve"> town. </w:t>
      </w:r>
    </w:p>
    <w:p w:rsidR="002B028D" w:rsidRPr="00674691" w:rsidRDefault="002B028D" w:rsidP="002B028D">
      <w:pPr>
        <w:pStyle w:val="Heading6"/>
      </w:pPr>
      <w:bookmarkStart w:id="184" w:name="_Toc474639307"/>
      <w:r w:rsidRPr="00AC4BF3">
        <w:lastRenderedPageBreak/>
        <w:t>Map 2.3: Map of Patuakhali</w:t>
      </w:r>
      <w:bookmarkEnd w:id="184"/>
    </w:p>
    <w:p w:rsidR="002B028D" w:rsidRPr="00425397" w:rsidRDefault="002B028D" w:rsidP="00425397">
      <w:pPr>
        <w:spacing w:line="276" w:lineRule="auto"/>
        <w:jc w:val="center"/>
        <w:rPr>
          <w:rFonts w:cs="Times New Roman"/>
          <w:color w:val="000000" w:themeColor="text1"/>
          <w:szCs w:val="24"/>
        </w:rPr>
      </w:pPr>
      <w:r w:rsidRPr="005C1C84">
        <w:rPr>
          <w:rFonts w:cs="Times New Roman"/>
          <w:noProof/>
          <w:color w:val="000000" w:themeColor="text1"/>
          <w:szCs w:val="24"/>
          <w:lang w:val="en-AU" w:eastAsia="en-AU" w:bidi="bn-BD"/>
        </w:rPr>
        <w:drawing>
          <wp:inline distT="0" distB="0" distL="0" distR="0">
            <wp:extent cx="5943600" cy="6867525"/>
            <wp:effectExtent l="0" t="0" r="0" b="9525"/>
            <wp:docPr id="12" name="Picture 12" descr="I:\delta\patuakh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delta\patuakhali.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6867525"/>
                    </a:xfrm>
                    <a:prstGeom prst="rect">
                      <a:avLst/>
                    </a:prstGeom>
                    <a:noFill/>
                    <a:ln>
                      <a:noFill/>
                    </a:ln>
                  </pic:spPr>
                </pic:pic>
              </a:graphicData>
            </a:graphic>
          </wp:inline>
        </w:drawing>
      </w:r>
      <w:r w:rsidR="00425397">
        <w:rPr>
          <w:rFonts w:cs="Times New Roman"/>
          <w:color w:val="000000" w:themeColor="text1"/>
          <w:szCs w:val="24"/>
        </w:rPr>
        <w:t xml:space="preserve">    </w:t>
      </w:r>
      <w:r w:rsidRPr="00425397">
        <w:rPr>
          <w:b/>
          <w:i/>
          <w:sz w:val="20"/>
        </w:rPr>
        <w:t>Source: LGED, Local Government Division, Ministry of Local Government, Rural Development &amp; Cooperatives</w:t>
      </w:r>
    </w:p>
    <w:p w:rsidR="00425397" w:rsidRPr="00425397" w:rsidRDefault="00425397" w:rsidP="00425397">
      <w:pPr>
        <w:spacing w:line="276" w:lineRule="auto"/>
        <w:jc w:val="both"/>
        <w:rPr>
          <w:rFonts w:cs="Times New Roman"/>
          <w:color w:val="000000" w:themeColor="text1"/>
          <w:szCs w:val="24"/>
        </w:rPr>
      </w:pPr>
      <w:r w:rsidRPr="00AC4BF3">
        <w:rPr>
          <w:rFonts w:cs="Times New Roman"/>
          <w:color w:val="000000" w:themeColor="text1"/>
          <w:szCs w:val="24"/>
        </w:rPr>
        <w:t>In terms of income source, Patuakhali has substantially diversified the economy with ag</w:t>
      </w:r>
      <w:r>
        <w:rPr>
          <w:rFonts w:cs="Times New Roman"/>
          <w:color w:val="000000" w:themeColor="text1"/>
          <w:szCs w:val="24"/>
        </w:rPr>
        <w:t>riculture accounting for only 13</w:t>
      </w:r>
      <w:r w:rsidRPr="00AC4BF3">
        <w:rPr>
          <w:rFonts w:cs="Times New Roman"/>
          <w:color w:val="000000" w:themeColor="text1"/>
          <w:szCs w:val="24"/>
        </w:rPr>
        <w:t xml:space="preserve">% of income.  There is a thriving sea-based fishing industry that has helped diversify incomes.  Tourism is growing based on the famous Kuakata beach area. </w:t>
      </w:r>
      <w:r w:rsidRPr="00AC4BF3">
        <w:rPr>
          <w:rFonts w:cs="Times New Roman"/>
          <w:color w:val="000000" w:themeColor="text1"/>
          <w:szCs w:val="24"/>
        </w:rPr>
        <w:lastRenderedPageBreak/>
        <w:t>Patuakhali city is also diversifying into a center of trade and commerce.  The development of the Pyra port will further help diversify the Patuakhali economy.  On the natural front, low population density and net out-migration has reduced the population pressure on agriculture and employment.  Patuakhali is also opening up to converting its coastal location to its advantage through the Pyra port and the Kuakata beach resort developments.</w:t>
      </w:r>
    </w:p>
    <w:p w:rsidR="00A356FA" w:rsidRPr="00AC4BF3" w:rsidRDefault="00A356FA" w:rsidP="007427EA">
      <w:pPr>
        <w:pStyle w:val="Heading4"/>
      </w:pPr>
      <w:bookmarkStart w:id="185" w:name="_Toc474639014"/>
      <w:r w:rsidRPr="00AC4BF3">
        <w:t>Table 2.18: Patuakhali Poverty Distribution by Upzilla</w:t>
      </w:r>
      <w:bookmarkEnd w:id="185"/>
    </w:p>
    <w:tbl>
      <w:tblPr>
        <w:tblStyle w:val="TableGrid"/>
        <w:tblW w:w="5000" w:type="pct"/>
        <w:tblLook w:val="04A0"/>
      </w:tblPr>
      <w:tblGrid>
        <w:gridCol w:w="3192"/>
        <w:gridCol w:w="3193"/>
        <w:gridCol w:w="3191"/>
      </w:tblGrid>
      <w:tr w:rsidR="00A356FA" w:rsidRPr="00EC079B" w:rsidTr="00C151CD">
        <w:trPr>
          <w:trHeight w:val="20"/>
        </w:trPr>
        <w:tc>
          <w:tcPr>
            <w:tcW w:w="1667" w:type="pct"/>
          </w:tcPr>
          <w:p w:rsidR="00A356FA" w:rsidRPr="00EC079B" w:rsidRDefault="00A356FA" w:rsidP="00C151CD">
            <w:pPr>
              <w:spacing w:after="0" w:line="276" w:lineRule="auto"/>
              <w:rPr>
                <w:rFonts w:cs="Times New Roman"/>
                <w:b/>
                <w:color w:val="000000" w:themeColor="text1"/>
                <w:sz w:val="20"/>
                <w:szCs w:val="20"/>
              </w:rPr>
            </w:pPr>
            <w:r w:rsidRPr="00EC079B">
              <w:rPr>
                <w:rFonts w:cs="Times New Roman"/>
                <w:b/>
                <w:color w:val="000000" w:themeColor="text1"/>
                <w:sz w:val="20"/>
                <w:szCs w:val="20"/>
              </w:rPr>
              <w:t>Upzilla</w:t>
            </w:r>
          </w:p>
        </w:tc>
        <w:tc>
          <w:tcPr>
            <w:tcW w:w="1667" w:type="pct"/>
          </w:tcPr>
          <w:p w:rsidR="00A356FA" w:rsidRPr="00EC079B" w:rsidRDefault="00A356FA" w:rsidP="00C151CD">
            <w:pPr>
              <w:spacing w:after="0" w:line="276" w:lineRule="auto"/>
              <w:rPr>
                <w:rFonts w:cs="Times New Roman"/>
                <w:b/>
                <w:color w:val="000000" w:themeColor="text1"/>
                <w:sz w:val="20"/>
                <w:szCs w:val="20"/>
              </w:rPr>
            </w:pPr>
            <w:r w:rsidRPr="00EC079B">
              <w:rPr>
                <w:rFonts w:cs="Times New Roman"/>
                <w:b/>
                <w:color w:val="000000" w:themeColor="text1"/>
                <w:sz w:val="20"/>
                <w:szCs w:val="20"/>
              </w:rPr>
              <w:t>UPL (%) 2010</w:t>
            </w:r>
          </w:p>
        </w:tc>
        <w:tc>
          <w:tcPr>
            <w:tcW w:w="1666" w:type="pct"/>
          </w:tcPr>
          <w:p w:rsidR="00A356FA" w:rsidRPr="00EC079B" w:rsidRDefault="00A356FA" w:rsidP="00C151CD">
            <w:pPr>
              <w:spacing w:after="0" w:line="276" w:lineRule="auto"/>
              <w:rPr>
                <w:rFonts w:cs="Times New Roman"/>
                <w:b/>
                <w:color w:val="000000" w:themeColor="text1"/>
                <w:sz w:val="20"/>
                <w:szCs w:val="20"/>
              </w:rPr>
            </w:pPr>
            <w:r w:rsidRPr="00EC079B">
              <w:rPr>
                <w:rFonts w:cs="Times New Roman"/>
                <w:b/>
                <w:color w:val="000000" w:themeColor="text1"/>
                <w:sz w:val="20"/>
                <w:szCs w:val="20"/>
              </w:rPr>
              <w:t>LPL (%) 2010</w:t>
            </w:r>
          </w:p>
        </w:tc>
      </w:tr>
      <w:tr w:rsidR="00A356FA" w:rsidRPr="00EC079B" w:rsidTr="00C151CD">
        <w:trPr>
          <w:trHeight w:val="20"/>
        </w:trPr>
        <w:tc>
          <w:tcPr>
            <w:tcW w:w="1667" w:type="pct"/>
            <w:vAlign w:val="bottom"/>
          </w:tcPr>
          <w:p w:rsidR="00A356FA" w:rsidRPr="00EC079B" w:rsidRDefault="00344633" w:rsidP="00C151CD">
            <w:pPr>
              <w:spacing w:after="0"/>
              <w:rPr>
                <w:rFonts w:cs="Times New Roman"/>
                <w:color w:val="000000"/>
                <w:sz w:val="20"/>
                <w:szCs w:val="20"/>
              </w:rPr>
            </w:pPr>
            <w:r w:rsidRPr="00EC079B">
              <w:rPr>
                <w:rFonts w:cs="Times New Roman"/>
                <w:color w:val="000000"/>
                <w:sz w:val="20"/>
                <w:szCs w:val="20"/>
              </w:rPr>
              <w:t>Bauphal</w:t>
            </w:r>
          </w:p>
        </w:tc>
        <w:tc>
          <w:tcPr>
            <w:tcW w:w="1667"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24.0</w:t>
            </w:r>
          </w:p>
        </w:tc>
        <w:tc>
          <w:tcPr>
            <w:tcW w:w="1666"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13.9</w:t>
            </w:r>
          </w:p>
        </w:tc>
      </w:tr>
      <w:tr w:rsidR="00A356FA" w:rsidRPr="00EC079B" w:rsidTr="00C151CD">
        <w:trPr>
          <w:trHeight w:val="20"/>
        </w:trPr>
        <w:tc>
          <w:tcPr>
            <w:tcW w:w="1667" w:type="pct"/>
            <w:vAlign w:val="bottom"/>
          </w:tcPr>
          <w:p w:rsidR="00A356FA" w:rsidRPr="00EC079B" w:rsidRDefault="00344633" w:rsidP="00C151CD">
            <w:pPr>
              <w:spacing w:after="0"/>
              <w:rPr>
                <w:rFonts w:cs="Times New Roman"/>
                <w:color w:val="000000"/>
                <w:sz w:val="20"/>
                <w:szCs w:val="20"/>
              </w:rPr>
            </w:pPr>
            <w:r w:rsidRPr="00EC079B">
              <w:rPr>
                <w:rFonts w:cs="Times New Roman"/>
                <w:color w:val="000000"/>
                <w:sz w:val="20"/>
                <w:szCs w:val="20"/>
              </w:rPr>
              <w:t>Dashmina</w:t>
            </w:r>
          </w:p>
        </w:tc>
        <w:tc>
          <w:tcPr>
            <w:tcW w:w="1667"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21.8</w:t>
            </w:r>
          </w:p>
        </w:tc>
        <w:tc>
          <w:tcPr>
            <w:tcW w:w="1666"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11.3</w:t>
            </w:r>
          </w:p>
        </w:tc>
      </w:tr>
      <w:tr w:rsidR="00A356FA" w:rsidRPr="00EC079B" w:rsidTr="00C151CD">
        <w:trPr>
          <w:trHeight w:val="20"/>
        </w:trPr>
        <w:tc>
          <w:tcPr>
            <w:tcW w:w="1667" w:type="pct"/>
            <w:vAlign w:val="bottom"/>
          </w:tcPr>
          <w:p w:rsidR="00A356FA" w:rsidRPr="00EC079B" w:rsidRDefault="00344633" w:rsidP="00C151CD">
            <w:pPr>
              <w:spacing w:after="0"/>
              <w:rPr>
                <w:rFonts w:cs="Times New Roman"/>
                <w:color w:val="000000"/>
                <w:sz w:val="20"/>
                <w:szCs w:val="20"/>
              </w:rPr>
            </w:pPr>
            <w:r w:rsidRPr="00EC079B">
              <w:rPr>
                <w:rFonts w:cs="Times New Roman"/>
                <w:color w:val="000000"/>
                <w:sz w:val="20"/>
                <w:szCs w:val="20"/>
              </w:rPr>
              <w:t>Dumki</w:t>
            </w:r>
          </w:p>
        </w:tc>
        <w:tc>
          <w:tcPr>
            <w:tcW w:w="1667"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22.0</w:t>
            </w:r>
          </w:p>
        </w:tc>
        <w:tc>
          <w:tcPr>
            <w:tcW w:w="1666"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13.1</w:t>
            </w:r>
          </w:p>
        </w:tc>
      </w:tr>
      <w:tr w:rsidR="00A356FA" w:rsidRPr="00EC079B" w:rsidTr="00C151CD">
        <w:trPr>
          <w:trHeight w:val="20"/>
        </w:trPr>
        <w:tc>
          <w:tcPr>
            <w:tcW w:w="1667" w:type="pct"/>
            <w:vAlign w:val="bottom"/>
          </w:tcPr>
          <w:p w:rsidR="00A356FA" w:rsidRPr="00EC079B" w:rsidRDefault="00344633" w:rsidP="00C151CD">
            <w:pPr>
              <w:spacing w:after="0"/>
              <w:rPr>
                <w:rFonts w:cs="Times New Roman"/>
                <w:color w:val="000000"/>
                <w:sz w:val="20"/>
                <w:szCs w:val="20"/>
              </w:rPr>
            </w:pPr>
            <w:r w:rsidRPr="00EC079B">
              <w:rPr>
                <w:rFonts w:cs="Times New Roman"/>
                <w:color w:val="000000"/>
                <w:sz w:val="20"/>
                <w:szCs w:val="20"/>
              </w:rPr>
              <w:t>Galachipa</w:t>
            </w:r>
          </w:p>
        </w:tc>
        <w:tc>
          <w:tcPr>
            <w:tcW w:w="1667"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26.0</w:t>
            </w:r>
          </w:p>
        </w:tc>
        <w:tc>
          <w:tcPr>
            <w:tcW w:w="1666"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14.4</w:t>
            </w:r>
          </w:p>
        </w:tc>
      </w:tr>
      <w:tr w:rsidR="00A356FA" w:rsidRPr="00EC079B" w:rsidTr="00C151CD">
        <w:trPr>
          <w:trHeight w:val="20"/>
        </w:trPr>
        <w:tc>
          <w:tcPr>
            <w:tcW w:w="1667" w:type="pct"/>
            <w:vAlign w:val="bottom"/>
          </w:tcPr>
          <w:p w:rsidR="00A356FA" w:rsidRPr="00EC079B" w:rsidRDefault="00344633" w:rsidP="00C151CD">
            <w:pPr>
              <w:spacing w:after="0"/>
              <w:rPr>
                <w:rFonts w:cs="Times New Roman"/>
                <w:color w:val="000000"/>
                <w:sz w:val="20"/>
                <w:szCs w:val="20"/>
              </w:rPr>
            </w:pPr>
            <w:r w:rsidRPr="00EC079B">
              <w:rPr>
                <w:rFonts w:cs="Times New Roman"/>
                <w:color w:val="000000"/>
                <w:sz w:val="20"/>
                <w:szCs w:val="20"/>
              </w:rPr>
              <w:t>Kala para</w:t>
            </w:r>
          </w:p>
        </w:tc>
        <w:tc>
          <w:tcPr>
            <w:tcW w:w="1667"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20.3</w:t>
            </w:r>
          </w:p>
        </w:tc>
        <w:tc>
          <w:tcPr>
            <w:tcW w:w="1666"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9.7</w:t>
            </w:r>
          </w:p>
        </w:tc>
      </w:tr>
      <w:tr w:rsidR="00A356FA" w:rsidRPr="00EC079B" w:rsidTr="00C151CD">
        <w:trPr>
          <w:trHeight w:val="20"/>
        </w:trPr>
        <w:tc>
          <w:tcPr>
            <w:tcW w:w="1667" w:type="pct"/>
            <w:vAlign w:val="bottom"/>
          </w:tcPr>
          <w:p w:rsidR="00A356FA" w:rsidRPr="00EC079B" w:rsidRDefault="00344633" w:rsidP="00C151CD">
            <w:pPr>
              <w:spacing w:after="0"/>
              <w:rPr>
                <w:rFonts w:cs="Times New Roman"/>
                <w:color w:val="000000"/>
                <w:sz w:val="20"/>
                <w:szCs w:val="20"/>
              </w:rPr>
            </w:pPr>
            <w:r w:rsidRPr="00EC079B">
              <w:rPr>
                <w:rFonts w:cs="Times New Roman"/>
                <w:color w:val="000000"/>
                <w:sz w:val="20"/>
                <w:szCs w:val="20"/>
              </w:rPr>
              <w:t>Mirzaganj</w:t>
            </w:r>
          </w:p>
        </w:tc>
        <w:tc>
          <w:tcPr>
            <w:tcW w:w="1667"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17.8</w:t>
            </w:r>
          </w:p>
        </w:tc>
        <w:tc>
          <w:tcPr>
            <w:tcW w:w="1666"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9.6</w:t>
            </w:r>
          </w:p>
        </w:tc>
      </w:tr>
      <w:tr w:rsidR="00A356FA" w:rsidRPr="00EC079B" w:rsidTr="00C151CD">
        <w:trPr>
          <w:trHeight w:val="20"/>
        </w:trPr>
        <w:tc>
          <w:tcPr>
            <w:tcW w:w="1667" w:type="pct"/>
            <w:vAlign w:val="bottom"/>
          </w:tcPr>
          <w:p w:rsidR="00A356FA" w:rsidRPr="00EC079B" w:rsidRDefault="00344633" w:rsidP="00C151CD">
            <w:pPr>
              <w:spacing w:after="0"/>
              <w:rPr>
                <w:rFonts w:cs="Times New Roman"/>
                <w:color w:val="000000"/>
                <w:sz w:val="20"/>
                <w:szCs w:val="20"/>
              </w:rPr>
            </w:pPr>
            <w:r w:rsidRPr="00EC079B">
              <w:rPr>
                <w:rFonts w:cs="Times New Roman"/>
                <w:color w:val="000000"/>
                <w:sz w:val="20"/>
                <w:szCs w:val="20"/>
              </w:rPr>
              <w:t>Patuakhali sadar</w:t>
            </w:r>
          </w:p>
        </w:tc>
        <w:tc>
          <w:tcPr>
            <w:tcW w:w="1667"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36.9</w:t>
            </w:r>
          </w:p>
        </w:tc>
        <w:tc>
          <w:tcPr>
            <w:tcW w:w="1666" w:type="pct"/>
            <w:vAlign w:val="bottom"/>
          </w:tcPr>
          <w:p w:rsidR="00F64A6A" w:rsidRDefault="00A356FA" w:rsidP="00F64A6A">
            <w:pPr>
              <w:spacing w:after="0"/>
              <w:jc w:val="center"/>
              <w:rPr>
                <w:rFonts w:ascii="Calibri" w:eastAsia="MS ??" w:hAnsi="Calibri" w:cs="Times New Roman"/>
                <w:b/>
                <w:bCs/>
                <w:color w:val="000000"/>
                <w:sz w:val="20"/>
                <w:szCs w:val="20"/>
              </w:rPr>
            </w:pPr>
            <w:r w:rsidRPr="00EC079B">
              <w:rPr>
                <w:rFonts w:cs="Times New Roman"/>
                <w:color w:val="000000"/>
                <w:sz w:val="20"/>
                <w:szCs w:val="20"/>
              </w:rPr>
              <w:t>23.3</w:t>
            </w:r>
          </w:p>
        </w:tc>
      </w:tr>
    </w:tbl>
    <w:p w:rsidR="00A356FA" w:rsidRPr="00AC4BF3" w:rsidRDefault="00A356FA" w:rsidP="00C75973">
      <w:pPr>
        <w:spacing w:before="120" w:line="276" w:lineRule="auto"/>
        <w:jc w:val="both"/>
        <w:rPr>
          <w:rFonts w:cs="Times New Roman"/>
          <w:b/>
          <w:i/>
          <w:color w:val="000000" w:themeColor="text1"/>
          <w:sz w:val="20"/>
          <w:szCs w:val="24"/>
        </w:rPr>
      </w:pPr>
      <w:r w:rsidRPr="00AC4BF3">
        <w:rPr>
          <w:rFonts w:cs="Times New Roman"/>
          <w:b/>
          <w:i/>
          <w:color w:val="000000" w:themeColor="text1"/>
          <w:sz w:val="20"/>
          <w:szCs w:val="24"/>
        </w:rPr>
        <w:t>Source: HIES 2010 and 2000.</w:t>
      </w:r>
    </w:p>
    <w:p w:rsidR="00781A67" w:rsidRDefault="00A356FA" w:rsidP="00AC4BF3">
      <w:pPr>
        <w:spacing w:line="276" w:lineRule="auto"/>
        <w:jc w:val="both"/>
        <w:rPr>
          <w:rFonts w:cs="Times New Roman"/>
          <w:color w:val="000000" w:themeColor="text1"/>
          <w:szCs w:val="24"/>
        </w:rPr>
      </w:pPr>
      <w:r w:rsidRPr="00AC4BF3">
        <w:rPr>
          <w:rFonts w:cs="Times New Roman"/>
          <w:color w:val="000000" w:themeColor="text1"/>
          <w:szCs w:val="24"/>
        </w:rPr>
        <w:t xml:space="preserve">While these positive factors have contributed to Patuakhali's efforts to adapting to the high incidence of natural disasters, its ability to improve crop productivity is still lagging behind owing to the continued adverse effects of the high incidence of flooding and salinity.  At only 0.72 </w:t>
      </w:r>
      <w:r w:rsidR="00FE6385">
        <w:rPr>
          <w:rFonts w:cs="Times New Roman"/>
          <w:color w:val="000000" w:themeColor="text1"/>
          <w:szCs w:val="24"/>
        </w:rPr>
        <w:t>tonne</w:t>
      </w:r>
      <w:r w:rsidRPr="00AC4BF3">
        <w:rPr>
          <w:rFonts w:cs="Times New Roman"/>
          <w:color w:val="000000" w:themeColor="text1"/>
          <w:szCs w:val="24"/>
        </w:rPr>
        <w:t xml:space="preserve">s per acre, average rice productivity is the lowest in Bangladesh (41% lower than the national average and 55% lower than the best performer Naogaon). Importantly, the incidence of poverty is highest in the Patuakhali urban area of Patuakhali sadar.  This is very telling.  The three </w:t>
      </w:r>
      <w:r w:rsidR="00F51D0D" w:rsidRPr="00AC4BF3">
        <w:rPr>
          <w:rFonts w:cs="Times New Roman"/>
          <w:color w:val="000000" w:themeColor="text1"/>
          <w:szCs w:val="24"/>
        </w:rPr>
        <w:t>Upzillas</w:t>
      </w:r>
      <w:r w:rsidRPr="00AC4BF3">
        <w:rPr>
          <w:rFonts w:cs="Times New Roman"/>
          <w:color w:val="000000" w:themeColor="text1"/>
          <w:szCs w:val="24"/>
        </w:rPr>
        <w:t xml:space="preserve"> that are most exposed to natural disasters are Kalapara, Galachipa and Dashmina.  Kalapara is exposed to the sea while Galachipa and Dashmina suffer from river erosion and flooding.  Galachipa also has several large char areas that frequently get inundated.  Yet, the poverty rates in these three </w:t>
      </w:r>
      <w:r w:rsidR="00F51D0D" w:rsidRPr="00AC4BF3">
        <w:rPr>
          <w:rFonts w:cs="Times New Roman"/>
          <w:color w:val="000000" w:themeColor="text1"/>
          <w:szCs w:val="24"/>
        </w:rPr>
        <w:t>upazillas</w:t>
      </w:r>
      <w:r w:rsidRPr="00AC4BF3">
        <w:rPr>
          <w:rFonts w:cs="Times New Roman"/>
          <w:color w:val="000000" w:themeColor="text1"/>
          <w:szCs w:val="24"/>
        </w:rPr>
        <w:t xml:space="preserve"> are lower than the relative upland upzilla Patuakhali sadar, the city center. </w:t>
      </w:r>
    </w:p>
    <w:p w:rsidR="00A356FA" w:rsidRPr="00AC4BF3" w:rsidRDefault="00A356FA" w:rsidP="00AC4BF3">
      <w:pPr>
        <w:spacing w:line="276" w:lineRule="auto"/>
        <w:jc w:val="both"/>
        <w:rPr>
          <w:rFonts w:cs="Times New Roman"/>
          <w:color w:val="000000" w:themeColor="text1"/>
          <w:szCs w:val="24"/>
        </w:rPr>
      </w:pPr>
      <w:r w:rsidRPr="00AC4BF3">
        <w:rPr>
          <w:rFonts w:cs="Times New Roman"/>
          <w:color w:val="000000" w:themeColor="text1"/>
          <w:szCs w:val="24"/>
        </w:rPr>
        <w:t>Kalapara has converted its sea exposure into a resource base through the Kuakata tourism resort, through commercial deep sea fishing and now through the establishment of the ongoing Pyra port.  Both Galachipa and Dashmina are dominated by agricultural activities.  But they are relatively sparsely populated and have diversified into fisheries and trading that has helped fight the heavy exposure to natural disasters. Net out-migration has also helped lower the pressure in the labor market. Agricultural productivity is low but inco</w:t>
      </w:r>
      <w:r w:rsidR="00781A67">
        <w:rPr>
          <w:rFonts w:cs="Times New Roman"/>
          <w:color w:val="000000" w:themeColor="text1"/>
          <w:szCs w:val="24"/>
        </w:rPr>
        <w:t>me from fishing and trading has</w:t>
      </w:r>
      <w:r w:rsidRPr="00AC4BF3">
        <w:rPr>
          <w:rFonts w:cs="Times New Roman"/>
          <w:color w:val="000000" w:themeColor="text1"/>
          <w:szCs w:val="24"/>
        </w:rPr>
        <w:t xml:space="preserve"> helped p</w:t>
      </w:r>
      <w:r w:rsidR="00781A67">
        <w:rPr>
          <w:rFonts w:cs="Times New Roman"/>
          <w:color w:val="000000" w:themeColor="text1"/>
          <w:szCs w:val="24"/>
        </w:rPr>
        <w:t xml:space="preserve">rotect rural incomes. </w:t>
      </w:r>
      <w:r w:rsidRPr="00AC4BF3">
        <w:rPr>
          <w:rFonts w:cs="Times New Roman"/>
          <w:color w:val="000000" w:themeColor="text1"/>
          <w:szCs w:val="24"/>
        </w:rPr>
        <w:t>In contrast, the up</w:t>
      </w:r>
      <w:r w:rsidR="007C7ABD">
        <w:rPr>
          <w:rFonts w:cs="Times New Roman"/>
          <w:color w:val="000000" w:themeColor="text1"/>
          <w:szCs w:val="24"/>
        </w:rPr>
        <w:t>a</w:t>
      </w:r>
      <w:r w:rsidRPr="00AC4BF3">
        <w:rPr>
          <w:rFonts w:cs="Times New Roman"/>
          <w:color w:val="000000" w:themeColor="text1"/>
          <w:szCs w:val="24"/>
        </w:rPr>
        <w:t xml:space="preserve">zilla Patuakhali sadar has a substantially higher population </w:t>
      </w:r>
      <w:r w:rsidR="00B7110D" w:rsidRPr="00AC4BF3">
        <w:rPr>
          <w:rFonts w:cs="Times New Roman"/>
          <w:color w:val="000000" w:themeColor="text1"/>
          <w:szCs w:val="24"/>
        </w:rPr>
        <w:t>density and</w:t>
      </w:r>
      <w:r w:rsidRPr="00AC4BF3">
        <w:rPr>
          <w:rFonts w:cs="Times New Roman"/>
          <w:color w:val="000000" w:themeColor="text1"/>
          <w:szCs w:val="24"/>
        </w:rPr>
        <w:t xml:space="preserve"> growing population pressure from in-migration from the disaster prone areas. The growing labor force has not found adequate employment because of a weakly dive</w:t>
      </w:r>
      <w:r w:rsidR="007C7ABD">
        <w:rPr>
          <w:rFonts w:cs="Times New Roman"/>
          <w:color w:val="000000" w:themeColor="text1"/>
          <w:szCs w:val="24"/>
        </w:rPr>
        <w:t xml:space="preserve">rsifying urban economy. Trading and informal services dominate </w:t>
      </w:r>
      <w:r w:rsidR="00F51D0D">
        <w:rPr>
          <w:rFonts w:cs="Times New Roman"/>
          <w:color w:val="000000" w:themeColor="text1"/>
          <w:szCs w:val="24"/>
        </w:rPr>
        <w:t>urban economic</w:t>
      </w:r>
      <w:r w:rsidR="007C7ABD">
        <w:rPr>
          <w:rFonts w:cs="Times New Roman"/>
          <w:color w:val="000000" w:themeColor="text1"/>
          <w:szCs w:val="24"/>
        </w:rPr>
        <w:t xml:space="preserve"> activity. </w:t>
      </w:r>
      <w:r w:rsidR="00F51D0D">
        <w:rPr>
          <w:rFonts w:cs="Times New Roman"/>
          <w:color w:val="000000" w:themeColor="text1"/>
          <w:szCs w:val="24"/>
        </w:rPr>
        <w:t>Employment in manufacturing and formal services is small.</w:t>
      </w:r>
    </w:p>
    <w:p w:rsidR="002B028D" w:rsidRDefault="00A356FA" w:rsidP="00AC4BF3">
      <w:pPr>
        <w:spacing w:line="276" w:lineRule="auto"/>
        <w:jc w:val="both"/>
        <w:rPr>
          <w:rFonts w:cs="Times New Roman"/>
          <w:color w:val="000000" w:themeColor="text1"/>
          <w:szCs w:val="24"/>
        </w:rPr>
      </w:pPr>
      <w:r w:rsidRPr="00AC4BF3">
        <w:rPr>
          <w:rFonts w:cs="Times New Roman"/>
          <w:b/>
          <w:color w:val="000000" w:themeColor="text1"/>
          <w:szCs w:val="24"/>
        </w:rPr>
        <w:lastRenderedPageBreak/>
        <w:t xml:space="preserve">Bogra Experience: </w:t>
      </w:r>
      <w:r w:rsidRPr="00AC4BF3">
        <w:rPr>
          <w:rFonts w:cs="Times New Roman"/>
          <w:color w:val="000000" w:themeColor="text1"/>
          <w:szCs w:val="24"/>
        </w:rPr>
        <w:t>The Bogra district is an upland district relative to the sea level but parts of the district are heavily exposed to river flooding and erosion from the Jamuna river (Map 2.4).  Parts of Bogra also are drought prone.  Notwithstanding these risks, in recent years Bogra is slowly transforming into a dynamic economy. Its per capita income in 2010 was 6% lower than the national average but substantially higher than other Northern area rice belt. In addition to the significant role of a strong agriculture that contributes to 24% to household income, Bogra has a sizeable manufacturing sector.  Organized trade and commerce is also gaining significance owing to the Jamuna Bridge that has facilitated trade and commerce with the capital city of Dhaka.  This growing and transforming district economy has contributed substantially to the rapid reduction in poverty, with the incidence of extreme poverty falling to single digits.  Despite per capita GDP that is nearly half that of the capita</w:t>
      </w:r>
      <w:r w:rsidR="000D7F1C">
        <w:rPr>
          <w:rFonts w:cs="Times New Roman"/>
          <w:color w:val="000000" w:themeColor="text1"/>
          <w:szCs w:val="24"/>
        </w:rPr>
        <w:t>l city Dhaka, Bogra boasts of</w:t>
      </w:r>
      <w:r w:rsidRPr="00AC4BF3">
        <w:rPr>
          <w:rFonts w:cs="Times New Roman"/>
          <w:color w:val="000000" w:themeColor="text1"/>
          <w:szCs w:val="24"/>
        </w:rPr>
        <w:t xml:space="preserve"> a substantially lower poverty incidence than Dhaka notwithstanding much higher incidence of natural disasters. Its economic strength has allowed it to retain its population. </w:t>
      </w:r>
    </w:p>
    <w:p w:rsidR="002B028D" w:rsidRPr="00093C1E" w:rsidRDefault="002B028D" w:rsidP="002B028D">
      <w:pPr>
        <w:pStyle w:val="Heading6"/>
      </w:pPr>
      <w:bookmarkStart w:id="186" w:name="_Toc474639308"/>
      <w:r w:rsidRPr="00AC4BF3">
        <w:t>Map 2.4: Map of Bogra District</w:t>
      </w:r>
      <w:bookmarkEnd w:id="186"/>
    </w:p>
    <w:p w:rsidR="002B028D" w:rsidRDefault="002B028D" w:rsidP="002B028D">
      <w:pPr>
        <w:spacing w:after="0" w:line="240" w:lineRule="auto"/>
        <w:rPr>
          <w:rFonts w:cs="Times New Roman"/>
          <w:b/>
          <w:color w:val="000000" w:themeColor="text1"/>
        </w:rPr>
      </w:pPr>
      <w:r w:rsidRPr="005C1C84">
        <w:rPr>
          <w:rFonts w:cs="Times New Roman"/>
          <w:noProof/>
          <w:color w:val="000000" w:themeColor="text1"/>
          <w:szCs w:val="24"/>
          <w:lang w:val="en-AU" w:eastAsia="en-AU" w:bidi="bn-BD"/>
        </w:rPr>
        <w:drawing>
          <wp:inline distT="0" distB="0" distL="0" distR="0">
            <wp:extent cx="5800725" cy="3924300"/>
            <wp:effectExtent l="0" t="0" r="0" b="0"/>
            <wp:docPr id="379" name="Picture 379" descr="I:\delta\bo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delta\bogra.jpg"/>
                    <pic:cNvPicPr>
                      <a:picLocks noChangeAspect="1" noChangeArrowheads="1"/>
                    </pic:cNvPicPr>
                  </pic:nvPicPr>
                  <pic:blipFill rotWithShape="1">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43" t="3419" r="961" b="2689"/>
                    <a:stretch/>
                  </pic:blipFill>
                  <pic:spPr bwMode="auto">
                    <a:xfrm>
                      <a:off x="0" y="0"/>
                      <a:ext cx="5800725" cy="3924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028D" w:rsidRPr="00EF6C44" w:rsidRDefault="002B028D" w:rsidP="00EF6C44">
      <w:pPr>
        <w:spacing w:before="120"/>
        <w:rPr>
          <w:b/>
          <w:i/>
          <w:sz w:val="20"/>
        </w:rPr>
      </w:pPr>
      <w:r w:rsidRPr="00EF6C44">
        <w:rPr>
          <w:b/>
          <w:i/>
          <w:sz w:val="20"/>
        </w:rPr>
        <w:t>Source: LGED, Local Government Division, Ministry of Local Government, Rural Development &amp; Cooperatives</w:t>
      </w:r>
    </w:p>
    <w:p w:rsidR="00225E39" w:rsidRPr="00A1679C" w:rsidRDefault="00A356FA" w:rsidP="00A1679C">
      <w:pPr>
        <w:spacing w:line="276" w:lineRule="auto"/>
        <w:jc w:val="both"/>
        <w:rPr>
          <w:rFonts w:cs="Times New Roman"/>
          <w:color w:val="000000" w:themeColor="text1"/>
          <w:szCs w:val="24"/>
        </w:rPr>
      </w:pPr>
      <w:r w:rsidRPr="00AC4BF3">
        <w:rPr>
          <w:rFonts w:cs="Times New Roman"/>
          <w:color w:val="000000" w:themeColor="text1"/>
          <w:szCs w:val="24"/>
        </w:rPr>
        <w:t>The poverty progress is broad-based and share</w:t>
      </w:r>
      <w:r w:rsidR="000D7F1C">
        <w:rPr>
          <w:rFonts w:cs="Times New Roman"/>
          <w:color w:val="000000" w:themeColor="text1"/>
          <w:szCs w:val="24"/>
        </w:rPr>
        <w:t>d by</w:t>
      </w:r>
      <w:r w:rsidRPr="00AC4BF3">
        <w:rPr>
          <w:rFonts w:cs="Times New Roman"/>
          <w:color w:val="000000" w:themeColor="text1"/>
          <w:szCs w:val="24"/>
        </w:rPr>
        <w:t xml:space="preserve"> all up</w:t>
      </w:r>
      <w:r w:rsidR="000D7F1C">
        <w:rPr>
          <w:rFonts w:cs="Times New Roman"/>
          <w:color w:val="000000" w:themeColor="text1"/>
          <w:szCs w:val="24"/>
        </w:rPr>
        <w:t>a</w:t>
      </w:r>
      <w:r w:rsidRPr="00AC4BF3">
        <w:rPr>
          <w:rFonts w:cs="Times New Roman"/>
          <w:color w:val="000000" w:themeColor="text1"/>
          <w:szCs w:val="24"/>
        </w:rPr>
        <w:t>zillas (Table 2.19).  Nevertheless, there are some important variations.  The Upzillas of Saraikandi and Sonatola that are most exposed to river flooding and erosion also have relatively higher poverty levels.</w:t>
      </w:r>
      <w:r w:rsidR="00225E39">
        <w:br w:type="page"/>
      </w:r>
    </w:p>
    <w:p w:rsidR="00A356FA" w:rsidRPr="0085471E" w:rsidRDefault="00A356FA" w:rsidP="007427EA">
      <w:pPr>
        <w:pStyle w:val="Heading4"/>
      </w:pPr>
      <w:bookmarkStart w:id="187" w:name="_Toc474639015"/>
      <w:r w:rsidRPr="0085471E">
        <w:lastRenderedPageBreak/>
        <w:t>Table 2.19: Bogra Upzilla Level Poverty</w:t>
      </w:r>
      <w:bookmarkEnd w:id="187"/>
    </w:p>
    <w:tbl>
      <w:tblPr>
        <w:tblStyle w:val="TableGrid"/>
        <w:tblW w:w="5000" w:type="pct"/>
        <w:tblLook w:val="04A0"/>
      </w:tblPr>
      <w:tblGrid>
        <w:gridCol w:w="3536"/>
        <w:gridCol w:w="3154"/>
        <w:gridCol w:w="2886"/>
      </w:tblGrid>
      <w:tr w:rsidR="00A356FA" w:rsidRPr="00EC079B" w:rsidTr="00A356FA">
        <w:trPr>
          <w:trHeight w:hRule="exact" w:val="288"/>
        </w:trPr>
        <w:tc>
          <w:tcPr>
            <w:tcW w:w="1846" w:type="pct"/>
          </w:tcPr>
          <w:p w:rsidR="00A356FA" w:rsidRPr="00EC079B" w:rsidRDefault="00A356FA" w:rsidP="00A356FA">
            <w:pPr>
              <w:spacing w:after="200" w:line="276" w:lineRule="auto"/>
              <w:jc w:val="both"/>
              <w:rPr>
                <w:rFonts w:cs="Times New Roman"/>
                <w:b/>
                <w:color w:val="000000" w:themeColor="text1"/>
              </w:rPr>
            </w:pPr>
            <w:r w:rsidRPr="00EC079B">
              <w:rPr>
                <w:rFonts w:cs="Times New Roman"/>
                <w:b/>
                <w:color w:val="000000" w:themeColor="text1"/>
              </w:rPr>
              <w:t>Subdivisions (Upzillas)</w:t>
            </w:r>
          </w:p>
        </w:tc>
        <w:tc>
          <w:tcPr>
            <w:tcW w:w="1647" w:type="pct"/>
          </w:tcPr>
          <w:p w:rsidR="00A356FA" w:rsidRPr="00EC079B" w:rsidRDefault="00A356FA" w:rsidP="00A356FA">
            <w:pPr>
              <w:spacing w:after="200" w:line="276" w:lineRule="auto"/>
              <w:jc w:val="both"/>
              <w:rPr>
                <w:rFonts w:cs="Times New Roman"/>
                <w:b/>
                <w:color w:val="000000" w:themeColor="text1"/>
              </w:rPr>
            </w:pPr>
            <w:r w:rsidRPr="00EC079B">
              <w:rPr>
                <w:rFonts w:cs="Times New Roman"/>
                <w:b/>
                <w:color w:val="000000" w:themeColor="text1"/>
              </w:rPr>
              <w:t>UPL 2010 (%)</w:t>
            </w:r>
          </w:p>
        </w:tc>
        <w:tc>
          <w:tcPr>
            <w:tcW w:w="1507" w:type="pct"/>
          </w:tcPr>
          <w:p w:rsidR="00A356FA" w:rsidRPr="00EC079B" w:rsidRDefault="00A356FA" w:rsidP="00A356FA">
            <w:pPr>
              <w:spacing w:after="200" w:line="276" w:lineRule="auto"/>
              <w:jc w:val="both"/>
              <w:rPr>
                <w:rFonts w:cs="Times New Roman"/>
                <w:b/>
                <w:color w:val="000000" w:themeColor="text1"/>
              </w:rPr>
            </w:pPr>
            <w:r w:rsidRPr="00EC079B">
              <w:rPr>
                <w:rFonts w:cs="Times New Roman"/>
                <w:b/>
                <w:color w:val="000000" w:themeColor="text1"/>
              </w:rPr>
              <w:t>LPL 2010 (%)</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Adamdighi</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13.1</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5.1</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Bogra sadar</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17.6</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9.1</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Dhunat</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19.8</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7.3</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Dhupchanchia</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13.2</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5.1</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Gabtali</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15.6</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5.7</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Kahaloo</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11.7</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4.0</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Nandigram</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16.1</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6.3</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Sariakandi</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21.6</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8.7</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Shajahanpur</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12.5</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5.0</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Sherpur</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15.7</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5.6</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Shibganj</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16.9</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6.3</w:t>
            </w:r>
          </w:p>
        </w:tc>
      </w:tr>
      <w:tr w:rsidR="00A356FA" w:rsidRPr="00EC079B" w:rsidTr="00A356FA">
        <w:trPr>
          <w:trHeight w:hRule="exact" w:val="288"/>
        </w:trPr>
        <w:tc>
          <w:tcPr>
            <w:tcW w:w="1846" w:type="pct"/>
            <w:vAlign w:val="bottom"/>
          </w:tcPr>
          <w:p w:rsidR="00A356FA" w:rsidRPr="00EC079B" w:rsidRDefault="00344633">
            <w:pPr>
              <w:rPr>
                <w:rFonts w:cs="Times New Roman"/>
                <w:color w:val="000000"/>
              </w:rPr>
            </w:pPr>
            <w:r w:rsidRPr="00EC079B">
              <w:rPr>
                <w:rFonts w:cs="Times New Roman"/>
                <w:color w:val="000000"/>
              </w:rPr>
              <w:t>Sonatola</w:t>
            </w:r>
          </w:p>
        </w:tc>
        <w:tc>
          <w:tcPr>
            <w:tcW w:w="164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23.7</w:t>
            </w:r>
          </w:p>
        </w:tc>
        <w:tc>
          <w:tcPr>
            <w:tcW w:w="1507" w:type="pct"/>
            <w:vAlign w:val="bottom"/>
          </w:tcPr>
          <w:p w:rsidR="00F64A6A" w:rsidRDefault="00A356FA" w:rsidP="00F64A6A">
            <w:pPr>
              <w:jc w:val="center"/>
              <w:rPr>
                <w:rFonts w:ascii="Calibri" w:eastAsia="MS ??" w:hAnsi="Calibri" w:cs="Times New Roman"/>
                <w:b/>
                <w:bCs/>
                <w:color w:val="000000"/>
                <w:sz w:val="16"/>
                <w:szCs w:val="24"/>
              </w:rPr>
            </w:pPr>
            <w:r w:rsidRPr="00EC079B">
              <w:rPr>
                <w:rFonts w:cs="Times New Roman"/>
                <w:color w:val="000000"/>
              </w:rPr>
              <w:t>10.3</w:t>
            </w:r>
          </w:p>
        </w:tc>
      </w:tr>
    </w:tbl>
    <w:p w:rsidR="00A356FA" w:rsidRPr="0085471E" w:rsidRDefault="00A356FA" w:rsidP="00C75973">
      <w:pPr>
        <w:spacing w:before="120" w:line="276" w:lineRule="auto"/>
        <w:jc w:val="both"/>
        <w:rPr>
          <w:rFonts w:cs="Times New Roman"/>
          <w:b/>
          <w:i/>
          <w:color w:val="000000" w:themeColor="text1"/>
          <w:sz w:val="20"/>
          <w:szCs w:val="24"/>
        </w:rPr>
      </w:pPr>
      <w:r w:rsidRPr="0085471E">
        <w:rPr>
          <w:rFonts w:cs="Times New Roman"/>
          <w:b/>
          <w:i/>
          <w:color w:val="000000" w:themeColor="text1"/>
          <w:sz w:val="20"/>
          <w:szCs w:val="24"/>
        </w:rPr>
        <w:t>Source: HIES 2010</w:t>
      </w:r>
    </w:p>
    <w:p w:rsidR="00A356FA" w:rsidRPr="004B0A08" w:rsidRDefault="00A356FA" w:rsidP="00612DB4">
      <w:pPr>
        <w:spacing w:line="269" w:lineRule="auto"/>
        <w:jc w:val="both"/>
        <w:rPr>
          <w:rFonts w:cs="Times New Roman"/>
          <w:i/>
          <w:color w:val="000000" w:themeColor="text1"/>
          <w:szCs w:val="24"/>
        </w:rPr>
      </w:pPr>
      <w:r w:rsidRPr="00AC4BF3">
        <w:rPr>
          <w:rFonts w:cs="Times New Roman"/>
          <w:b/>
          <w:color w:val="000000" w:themeColor="text1"/>
          <w:szCs w:val="24"/>
        </w:rPr>
        <w:t xml:space="preserve">Feni Experience: </w:t>
      </w:r>
      <w:r w:rsidRPr="004B0A08">
        <w:rPr>
          <w:rFonts w:cs="Times New Roman"/>
          <w:i/>
          <w:color w:val="000000" w:themeColor="text1"/>
          <w:szCs w:val="24"/>
        </w:rPr>
        <w:t>Owing to geography the district of Feni faces all the hazards of a coastal district (Map 2.</w:t>
      </w:r>
      <w:r w:rsidR="00B7110D" w:rsidRPr="004B0A08">
        <w:rPr>
          <w:rFonts w:cs="Times New Roman"/>
          <w:i/>
          <w:color w:val="000000" w:themeColor="text1"/>
          <w:szCs w:val="24"/>
        </w:rPr>
        <w:t>5</w:t>
      </w:r>
      <w:r w:rsidRPr="004B0A08">
        <w:rPr>
          <w:rFonts w:cs="Times New Roman"/>
          <w:i/>
          <w:color w:val="000000" w:themeColor="text1"/>
          <w:szCs w:val="24"/>
        </w:rPr>
        <w:t xml:space="preserve">). It is densely populated, with the population density that is 40% higher than the national average.  Population growth rate is also high unlike other coastal districts. Its per capita income is low, almost 40% lower than the national average in 2010.  Yet, remarkably, its poverty level in 2010 was below the national poverty level. </w:t>
      </w:r>
    </w:p>
    <w:p w:rsidR="00225E39" w:rsidRDefault="00225E39">
      <w:pPr>
        <w:rPr>
          <w:rFonts w:eastAsia="Times New Roman" w:cs="Times New Roman"/>
          <w:b/>
          <w:szCs w:val="24"/>
          <w:lang w:val="en-GB"/>
        </w:rPr>
      </w:pPr>
      <w:r>
        <w:br w:type="page"/>
      </w:r>
    </w:p>
    <w:p w:rsidR="002B028D" w:rsidRPr="005E07A1" w:rsidRDefault="002B028D" w:rsidP="002B028D">
      <w:pPr>
        <w:pStyle w:val="Heading6"/>
      </w:pPr>
      <w:bookmarkStart w:id="188" w:name="_Toc474639309"/>
      <w:r w:rsidRPr="005E07A1">
        <w:lastRenderedPageBreak/>
        <w:t>Map 2.5: District of Feni</w:t>
      </w:r>
      <w:bookmarkEnd w:id="188"/>
    </w:p>
    <w:p w:rsidR="002B028D" w:rsidRPr="005D4D56" w:rsidRDefault="002B028D" w:rsidP="002B028D">
      <w:pPr>
        <w:spacing w:line="276" w:lineRule="auto"/>
        <w:jc w:val="both"/>
        <w:rPr>
          <w:rFonts w:cs="Times New Roman"/>
          <w:b/>
          <w:color w:val="000000" w:themeColor="text1"/>
          <w:sz w:val="20"/>
          <w:szCs w:val="20"/>
        </w:rPr>
      </w:pPr>
      <w:r w:rsidRPr="005C1C84">
        <w:rPr>
          <w:rFonts w:cs="Times New Roman"/>
          <w:noProof/>
          <w:color w:val="000000" w:themeColor="text1"/>
          <w:szCs w:val="24"/>
          <w:lang w:val="en-AU" w:eastAsia="en-AU" w:bidi="bn-BD"/>
        </w:rPr>
        <w:drawing>
          <wp:inline distT="0" distB="0" distL="0" distR="0">
            <wp:extent cx="5589591" cy="7686675"/>
            <wp:effectExtent l="0" t="0" r="0" b="0"/>
            <wp:docPr id="380" name="Picture 380" descr="I:\delta\fe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delta\feni (1).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9591" cy="7686675"/>
                    </a:xfrm>
                    <a:prstGeom prst="rect">
                      <a:avLst/>
                    </a:prstGeom>
                    <a:noFill/>
                    <a:ln>
                      <a:noFill/>
                    </a:ln>
                  </pic:spPr>
                </pic:pic>
              </a:graphicData>
            </a:graphic>
          </wp:inline>
        </w:drawing>
      </w:r>
      <w:r w:rsidRPr="005C1C84">
        <w:rPr>
          <w:rFonts w:cs="Times New Roman"/>
          <w:b/>
          <w:i/>
          <w:color w:val="000000" w:themeColor="text1"/>
          <w:sz w:val="20"/>
          <w:szCs w:val="20"/>
        </w:rPr>
        <w:t>Source:</w:t>
      </w:r>
      <w:r w:rsidRPr="005C1C84">
        <w:rPr>
          <w:rFonts w:cs="Times New Roman"/>
          <w:b/>
          <w:color w:val="000000" w:themeColor="text1"/>
          <w:sz w:val="20"/>
          <w:szCs w:val="20"/>
        </w:rPr>
        <w:t xml:space="preserve"> </w:t>
      </w:r>
      <w:r w:rsidRPr="005C1C84">
        <w:rPr>
          <w:rFonts w:cs="Times New Roman"/>
          <w:b/>
          <w:i/>
          <w:sz w:val="20"/>
          <w:szCs w:val="20"/>
        </w:rPr>
        <w:t>LGED, Local Government Division, Ministry of Local Government, Rural Development &amp; Cooperatives</w:t>
      </w:r>
    </w:p>
    <w:p w:rsidR="00A356FA" w:rsidRPr="00AC4BF3" w:rsidRDefault="00A356FA" w:rsidP="00AC4BF3">
      <w:pPr>
        <w:spacing w:line="276" w:lineRule="auto"/>
        <w:jc w:val="both"/>
        <w:rPr>
          <w:rFonts w:cs="Times New Roman"/>
          <w:color w:val="000000" w:themeColor="text1"/>
          <w:szCs w:val="24"/>
        </w:rPr>
      </w:pPr>
      <w:r w:rsidRPr="00AC4BF3">
        <w:rPr>
          <w:rFonts w:cs="Times New Roman"/>
          <w:color w:val="000000" w:themeColor="text1"/>
          <w:szCs w:val="24"/>
        </w:rPr>
        <w:lastRenderedPageBreak/>
        <w:t xml:space="preserve">What explains this good poverty performance despite low per capita income and large vulnerability to natural disasters?  </w:t>
      </w:r>
      <w:r w:rsidRPr="004B0A08">
        <w:rPr>
          <w:rFonts w:cs="Times New Roman"/>
          <w:i/>
          <w:color w:val="000000" w:themeColor="text1"/>
          <w:szCs w:val="24"/>
        </w:rPr>
        <w:t xml:space="preserve">The most important factor is the heavy inflow of foreign remittances.  Feni is a large contributor to the Bangladeshi migrant work force that sends in huge amount of money to the family. According to HIES 2010 data, as much as 44% of household income in the Feni district came from remittances and 90% of which came from foreign remittances. </w:t>
      </w:r>
      <w:r w:rsidRPr="00AC4BF3">
        <w:rPr>
          <w:rFonts w:cs="Times New Roman"/>
          <w:color w:val="000000" w:themeColor="text1"/>
          <w:szCs w:val="24"/>
        </w:rPr>
        <w:t xml:space="preserve"> </w:t>
      </w:r>
      <w:r w:rsidR="000D7F1C">
        <w:rPr>
          <w:rFonts w:cs="Times New Roman"/>
          <w:color w:val="000000" w:themeColor="text1"/>
          <w:szCs w:val="24"/>
        </w:rPr>
        <w:t>The remittances in turn finance</w:t>
      </w:r>
      <w:r w:rsidRPr="00AC4BF3">
        <w:rPr>
          <w:rFonts w:cs="Times New Roman"/>
          <w:color w:val="000000" w:themeColor="text1"/>
          <w:szCs w:val="24"/>
        </w:rPr>
        <w:t xml:space="preserve"> a considerable amount of non-agricultural activities, primarily services including construction, trade, education and transport. Accordingly, much of the Feni </w:t>
      </w:r>
      <w:r w:rsidR="005E07A1" w:rsidRPr="00AC4BF3">
        <w:rPr>
          <w:rFonts w:cs="Times New Roman"/>
          <w:color w:val="000000" w:themeColor="text1"/>
          <w:szCs w:val="24"/>
        </w:rPr>
        <w:t>population’s</w:t>
      </w:r>
      <w:r w:rsidRPr="00AC4BF3">
        <w:rPr>
          <w:rFonts w:cs="Times New Roman"/>
          <w:color w:val="000000" w:themeColor="text1"/>
          <w:szCs w:val="24"/>
        </w:rPr>
        <w:t xml:space="preserve"> household income and </w:t>
      </w:r>
      <w:r w:rsidR="005E07A1" w:rsidRPr="00AC4BF3">
        <w:rPr>
          <w:rFonts w:cs="Times New Roman"/>
          <w:color w:val="000000" w:themeColor="text1"/>
          <w:szCs w:val="24"/>
        </w:rPr>
        <w:t>consumption is</w:t>
      </w:r>
      <w:r w:rsidRPr="00AC4BF3">
        <w:rPr>
          <w:rFonts w:cs="Times New Roman"/>
          <w:color w:val="000000" w:themeColor="text1"/>
          <w:szCs w:val="24"/>
        </w:rPr>
        <w:t xml:space="preserve"> protected from the adverse effects of natural disasters.  Feni also has an important locational advantage; it is close to the vibrant economy of the port city of Chittagong, which is the main trade and commerce hub for Bangladesh.</w:t>
      </w:r>
    </w:p>
    <w:p w:rsidR="00A356FA" w:rsidRPr="00AC4BF3" w:rsidRDefault="00A356FA" w:rsidP="00AC4BF3">
      <w:pPr>
        <w:spacing w:line="276" w:lineRule="auto"/>
        <w:jc w:val="both"/>
        <w:rPr>
          <w:rFonts w:cs="Times New Roman"/>
          <w:color w:val="000000" w:themeColor="text1"/>
          <w:szCs w:val="24"/>
        </w:rPr>
      </w:pPr>
      <w:r w:rsidRPr="00AC4BF3">
        <w:rPr>
          <w:rFonts w:cs="Times New Roman"/>
          <w:color w:val="000000" w:themeColor="text1"/>
          <w:szCs w:val="24"/>
        </w:rPr>
        <w:t xml:space="preserve">Nevertheless, there are important differences in terms of welfare among the 4 </w:t>
      </w:r>
      <w:r w:rsidR="00F51D0D" w:rsidRPr="00AC4BF3">
        <w:rPr>
          <w:rFonts w:cs="Times New Roman"/>
          <w:color w:val="000000" w:themeColor="text1"/>
          <w:szCs w:val="24"/>
        </w:rPr>
        <w:t>upazillas</w:t>
      </w:r>
      <w:r w:rsidRPr="00AC4BF3">
        <w:rPr>
          <w:rFonts w:cs="Times New Roman"/>
          <w:color w:val="000000" w:themeColor="text1"/>
          <w:szCs w:val="24"/>
        </w:rPr>
        <w:t xml:space="preserve"> of Feni (Table 2.20).  The most populous upzilla, Sonagazi, located on the sea front and most exposed to the risks of natural disasters, especially sea-level rise, salinity and inundation</w:t>
      </w:r>
      <w:r w:rsidR="005E07A1" w:rsidRPr="00AC4BF3">
        <w:rPr>
          <w:rFonts w:cs="Times New Roman"/>
          <w:color w:val="000000" w:themeColor="text1"/>
          <w:szCs w:val="24"/>
        </w:rPr>
        <w:t>, has</w:t>
      </w:r>
      <w:r w:rsidRPr="00AC4BF3">
        <w:rPr>
          <w:rFonts w:cs="Times New Roman"/>
          <w:color w:val="000000" w:themeColor="text1"/>
          <w:szCs w:val="24"/>
        </w:rPr>
        <w:t xml:space="preserve"> substantially higher poverty than the other th</w:t>
      </w:r>
      <w:r w:rsidR="000D7F1C">
        <w:rPr>
          <w:rFonts w:cs="Times New Roman"/>
          <w:color w:val="000000" w:themeColor="text1"/>
          <w:szCs w:val="24"/>
        </w:rPr>
        <w:t xml:space="preserve">ree </w:t>
      </w:r>
      <w:r w:rsidR="00F51D0D">
        <w:rPr>
          <w:rFonts w:cs="Times New Roman"/>
          <w:color w:val="000000" w:themeColor="text1"/>
          <w:szCs w:val="24"/>
        </w:rPr>
        <w:t>upazillas</w:t>
      </w:r>
      <w:r w:rsidR="000D7F1C">
        <w:rPr>
          <w:rFonts w:cs="Times New Roman"/>
          <w:color w:val="000000" w:themeColor="text1"/>
          <w:szCs w:val="24"/>
        </w:rPr>
        <w:t>.  The poverty rate</w:t>
      </w:r>
      <w:r w:rsidRPr="00AC4BF3">
        <w:rPr>
          <w:rFonts w:cs="Times New Roman"/>
          <w:color w:val="000000" w:themeColor="text1"/>
          <w:szCs w:val="24"/>
        </w:rPr>
        <w:t xml:space="preserve"> in Sonagazi (bother upper and lower poverty rates) much exceeds the national average.</w:t>
      </w:r>
    </w:p>
    <w:p w:rsidR="00A356FA" w:rsidRPr="005E07A1" w:rsidRDefault="00A356FA" w:rsidP="007427EA">
      <w:pPr>
        <w:pStyle w:val="Heading4"/>
      </w:pPr>
      <w:bookmarkStart w:id="189" w:name="_Toc474639016"/>
      <w:r w:rsidRPr="005E07A1">
        <w:t>Table 2.20: Feni Upzilla Level Poverty</w:t>
      </w:r>
      <w:bookmarkEnd w:id="189"/>
    </w:p>
    <w:tbl>
      <w:tblPr>
        <w:tblStyle w:val="TableGrid"/>
        <w:tblW w:w="5000" w:type="pct"/>
        <w:tblLook w:val="04A0"/>
      </w:tblPr>
      <w:tblGrid>
        <w:gridCol w:w="3192"/>
        <w:gridCol w:w="3193"/>
        <w:gridCol w:w="3191"/>
      </w:tblGrid>
      <w:tr w:rsidR="00A356FA" w:rsidRPr="00EC079B" w:rsidTr="00A356FA">
        <w:trPr>
          <w:trHeight w:hRule="exact" w:val="288"/>
        </w:trPr>
        <w:tc>
          <w:tcPr>
            <w:tcW w:w="1667" w:type="pct"/>
          </w:tcPr>
          <w:p w:rsidR="00A356FA" w:rsidRPr="00EC079B" w:rsidRDefault="00A356FA" w:rsidP="00A356FA">
            <w:pPr>
              <w:spacing w:after="200" w:line="276" w:lineRule="auto"/>
              <w:jc w:val="both"/>
              <w:rPr>
                <w:rFonts w:cs="Times New Roman"/>
                <w:b/>
                <w:color w:val="000000" w:themeColor="text1"/>
              </w:rPr>
            </w:pPr>
            <w:r w:rsidRPr="00EC079B">
              <w:rPr>
                <w:rFonts w:cs="Times New Roman"/>
                <w:b/>
                <w:color w:val="000000" w:themeColor="text1"/>
              </w:rPr>
              <w:t>Upzilla</w:t>
            </w:r>
          </w:p>
        </w:tc>
        <w:tc>
          <w:tcPr>
            <w:tcW w:w="1667" w:type="pct"/>
          </w:tcPr>
          <w:p w:rsidR="00A356FA" w:rsidRPr="00EC079B" w:rsidRDefault="00A356FA" w:rsidP="00A356FA">
            <w:pPr>
              <w:spacing w:after="200" w:line="276" w:lineRule="auto"/>
              <w:jc w:val="both"/>
              <w:rPr>
                <w:rFonts w:cs="Times New Roman"/>
                <w:b/>
                <w:color w:val="000000" w:themeColor="text1"/>
              </w:rPr>
            </w:pPr>
            <w:r w:rsidRPr="00EC079B">
              <w:rPr>
                <w:rFonts w:cs="Times New Roman"/>
                <w:b/>
                <w:color w:val="000000" w:themeColor="text1"/>
              </w:rPr>
              <w:t>UPL 2010</w:t>
            </w:r>
          </w:p>
        </w:tc>
        <w:tc>
          <w:tcPr>
            <w:tcW w:w="1667" w:type="pct"/>
          </w:tcPr>
          <w:p w:rsidR="00A356FA" w:rsidRPr="00EC079B" w:rsidRDefault="00A356FA" w:rsidP="00A356FA">
            <w:pPr>
              <w:spacing w:after="200" w:line="276" w:lineRule="auto"/>
              <w:jc w:val="both"/>
              <w:rPr>
                <w:rFonts w:cs="Times New Roman"/>
                <w:b/>
                <w:color w:val="000000" w:themeColor="text1"/>
              </w:rPr>
            </w:pPr>
            <w:r w:rsidRPr="00EC079B">
              <w:rPr>
                <w:rFonts w:cs="Times New Roman"/>
                <w:b/>
                <w:color w:val="000000" w:themeColor="text1"/>
              </w:rPr>
              <w:t>LPL 2010</w:t>
            </w:r>
          </w:p>
        </w:tc>
      </w:tr>
      <w:tr w:rsidR="00A356FA" w:rsidRPr="00EC079B" w:rsidTr="00A356FA">
        <w:trPr>
          <w:trHeight w:hRule="exact" w:val="288"/>
        </w:trPr>
        <w:tc>
          <w:tcPr>
            <w:tcW w:w="1667" w:type="pct"/>
            <w:vAlign w:val="bottom"/>
          </w:tcPr>
          <w:p w:rsidR="00A356FA" w:rsidRPr="00EC079B" w:rsidRDefault="00344633">
            <w:pPr>
              <w:rPr>
                <w:rFonts w:cs="Times New Roman"/>
                <w:color w:val="000000"/>
              </w:rPr>
            </w:pPr>
            <w:r w:rsidRPr="00EC079B">
              <w:rPr>
                <w:rFonts w:cs="Times New Roman"/>
                <w:color w:val="000000"/>
              </w:rPr>
              <w:t>Chhagalnaiya</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25.9</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14.4</w:t>
            </w:r>
          </w:p>
        </w:tc>
      </w:tr>
      <w:tr w:rsidR="00A356FA" w:rsidRPr="00EC079B" w:rsidTr="00A356FA">
        <w:trPr>
          <w:trHeight w:hRule="exact" w:val="288"/>
        </w:trPr>
        <w:tc>
          <w:tcPr>
            <w:tcW w:w="1667" w:type="pct"/>
            <w:vAlign w:val="bottom"/>
          </w:tcPr>
          <w:p w:rsidR="00A356FA" w:rsidRPr="00EC079B" w:rsidRDefault="00344633">
            <w:pPr>
              <w:rPr>
                <w:rFonts w:cs="Times New Roman"/>
                <w:color w:val="000000"/>
              </w:rPr>
            </w:pPr>
            <w:r w:rsidRPr="00EC079B">
              <w:rPr>
                <w:rFonts w:cs="Times New Roman"/>
                <w:color w:val="000000"/>
              </w:rPr>
              <w:t>Daganbhuiyan</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16.3</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7.5</w:t>
            </w:r>
          </w:p>
        </w:tc>
      </w:tr>
      <w:tr w:rsidR="00A356FA" w:rsidRPr="00EC079B" w:rsidTr="00A356FA">
        <w:trPr>
          <w:trHeight w:hRule="exact" w:val="288"/>
        </w:trPr>
        <w:tc>
          <w:tcPr>
            <w:tcW w:w="1667" w:type="pct"/>
            <w:vAlign w:val="bottom"/>
          </w:tcPr>
          <w:p w:rsidR="00A356FA" w:rsidRPr="00EC079B" w:rsidRDefault="00344633">
            <w:pPr>
              <w:rPr>
                <w:rFonts w:cs="Times New Roman"/>
                <w:color w:val="000000"/>
              </w:rPr>
            </w:pPr>
            <w:r w:rsidRPr="00EC079B">
              <w:rPr>
                <w:rFonts w:cs="Times New Roman"/>
                <w:color w:val="000000"/>
              </w:rPr>
              <w:t>Feni sadar</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18.6</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9.4</w:t>
            </w:r>
          </w:p>
        </w:tc>
      </w:tr>
      <w:tr w:rsidR="00A356FA" w:rsidRPr="00EC079B" w:rsidTr="00A356FA">
        <w:trPr>
          <w:trHeight w:hRule="exact" w:val="288"/>
        </w:trPr>
        <w:tc>
          <w:tcPr>
            <w:tcW w:w="1667" w:type="pct"/>
            <w:vAlign w:val="bottom"/>
          </w:tcPr>
          <w:p w:rsidR="00A356FA" w:rsidRPr="00EC079B" w:rsidRDefault="00344633">
            <w:pPr>
              <w:rPr>
                <w:rFonts w:cs="Times New Roman"/>
                <w:color w:val="000000"/>
              </w:rPr>
            </w:pPr>
            <w:r w:rsidRPr="00EC079B">
              <w:rPr>
                <w:rFonts w:cs="Times New Roman"/>
                <w:color w:val="000000"/>
              </w:rPr>
              <w:t>Fulgazi</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31.8</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17.8</w:t>
            </w:r>
          </w:p>
        </w:tc>
      </w:tr>
      <w:tr w:rsidR="00A356FA" w:rsidRPr="00EC079B" w:rsidTr="00A356FA">
        <w:trPr>
          <w:trHeight w:hRule="exact" w:val="288"/>
        </w:trPr>
        <w:tc>
          <w:tcPr>
            <w:tcW w:w="1667" w:type="pct"/>
            <w:vAlign w:val="bottom"/>
          </w:tcPr>
          <w:p w:rsidR="00A356FA" w:rsidRPr="00EC079B" w:rsidRDefault="00344633">
            <w:pPr>
              <w:rPr>
                <w:rFonts w:cs="Times New Roman"/>
                <w:color w:val="000000"/>
              </w:rPr>
            </w:pPr>
            <w:r w:rsidRPr="00EC079B">
              <w:rPr>
                <w:rFonts w:cs="Times New Roman"/>
                <w:color w:val="000000"/>
              </w:rPr>
              <w:t>Parshuram</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30.6</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18.6</w:t>
            </w:r>
          </w:p>
        </w:tc>
      </w:tr>
      <w:tr w:rsidR="00A356FA" w:rsidRPr="00EC079B" w:rsidTr="00A356FA">
        <w:trPr>
          <w:trHeight w:hRule="exact" w:val="288"/>
        </w:trPr>
        <w:tc>
          <w:tcPr>
            <w:tcW w:w="1667" w:type="pct"/>
            <w:vAlign w:val="bottom"/>
          </w:tcPr>
          <w:p w:rsidR="00A356FA" w:rsidRPr="00EC079B" w:rsidRDefault="00344633">
            <w:pPr>
              <w:rPr>
                <w:rFonts w:cs="Times New Roman"/>
                <w:color w:val="000000"/>
              </w:rPr>
            </w:pPr>
            <w:r w:rsidRPr="00EC079B">
              <w:rPr>
                <w:rFonts w:cs="Times New Roman"/>
                <w:color w:val="000000"/>
              </w:rPr>
              <w:t>Sonagazi</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44.5</w:t>
            </w:r>
          </w:p>
        </w:tc>
        <w:tc>
          <w:tcPr>
            <w:tcW w:w="1667" w:type="pct"/>
            <w:vAlign w:val="bottom"/>
          </w:tcPr>
          <w:p w:rsidR="00F64A6A" w:rsidRDefault="00A356FA" w:rsidP="00F64A6A">
            <w:pPr>
              <w:jc w:val="center"/>
              <w:rPr>
                <w:rFonts w:ascii="Calibri" w:eastAsia="MS ??" w:hAnsi="Calibri" w:cs="Times New Roman"/>
                <w:b/>
                <w:bCs/>
                <w:color w:val="000000"/>
                <w:sz w:val="16"/>
                <w:szCs w:val="16"/>
              </w:rPr>
            </w:pPr>
            <w:r w:rsidRPr="00EC079B">
              <w:rPr>
                <w:rFonts w:cs="Times New Roman"/>
                <w:color w:val="000000"/>
              </w:rPr>
              <w:t>28.5</w:t>
            </w:r>
          </w:p>
        </w:tc>
      </w:tr>
    </w:tbl>
    <w:p w:rsidR="00A356FA" w:rsidRPr="005E07A1" w:rsidRDefault="00A356FA" w:rsidP="000D7F1C">
      <w:pPr>
        <w:spacing w:before="120" w:line="276" w:lineRule="auto"/>
        <w:jc w:val="both"/>
        <w:rPr>
          <w:rFonts w:cs="Times New Roman"/>
          <w:b/>
          <w:i/>
          <w:color w:val="000000" w:themeColor="text1"/>
          <w:sz w:val="20"/>
          <w:szCs w:val="24"/>
        </w:rPr>
      </w:pPr>
      <w:r w:rsidRPr="005E07A1">
        <w:rPr>
          <w:rFonts w:cs="Times New Roman"/>
          <w:b/>
          <w:i/>
          <w:color w:val="000000" w:themeColor="text1"/>
          <w:sz w:val="20"/>
          <w:szCs w:val="24"/>
        </w:rPr>
        <w:t>Source: HIES 2010</w:t>
      </w:r>
    </w:p>
    <w:p w:rsidR="00A356FA" w:rsidRPr="00AC4BF3" w:rsidRDefault="00A356FA" w:rsidP="00AC4BF3">
      <w:pPr>
        <w:spacing w:line="276" w:lineRule="auto"/>
        <w:jc w:val="both"/>
        <w:rPr>
          <w:rFonts w:cs="Times New Roman"/>
          <w:color w:val="000000" w:themeColor="text1"/>
          <w:szCs w:val="24"/>
        </w:rPr>
      </w:pPr>
      <w:r w:rsidRPr="00AC4BF3">
        <w:rPr>
          <w:rFonts w:cs="Times New Roman"/>
          <w:b/>
          <w:color w:val="000000" w:themeColor="text1"/>
          <w:szCs w:val="24"/>
        </w:rPr>
        <w:t xml:space="preserve">Experience of Khulna: </w:t>
      </w:r>
      <w:r w:rsidRPr="00AC4BF3">
        <w:rPr>
          <w:rFonts w:cs="Times New Roman"/>
          <w:color w:val="000000" w:themeColor="text1"/>
          <w:szCs w:val="24"/>
        </w:rPr>
        <w:t xml:space="preserve">The District of Khulna is the Divisional headquarters of the Khulna Division. It is an important industrial belt and is also in close proximity to the second port of Bangladesh, Mongla Port.  Located on the extreme south-west of the Bangladesh coast, Khulna shares a large part of the Bangladesh’s largest mangrove forest cover the Sundarbans (Map 2.6).  The Sundarbans provide a substantial natural protection to the district against the inroads of sea level rise and ravages of cyclone, but salinity has emerged as a serious problem and constraint on crop agriculture owing to sea water encroachment through the river systems.  The problem is exacerbated by the drying up of fresh water flows upstream in the rivers. </w:t>
      </w:r>
    </w:p>
    <w:p w:rsidR="00225E39" w:rsidRDefault="00225E39">
      <w:pPr>
        <w:rPr>
          <w:rFonts w:eastAsia="Times New Roman" w:cs="Times New Roman"/>
          <w:b/>
          <w:szCs w:val="24"/>
          <w:lang w:val="en-GB"/>
        </w:rPr>
      </w:pPr>
      <w:r>
        <w:br w:type="page"/>
      </w:r>
    </w:p>
    <w:p w:rsidR="002B028D" w:rsidRPr="005E07A1" w:rsidRDefault="002B028D" w:rsidP="002B028D">
      <w:pPr>
        <w:pStyle w:val="Heading6"/>
      </w:pPr>
      <w:bookmarkStart w:id="190" w:name="_Toc474639310"/>
      <w:r w:rsidRPr="005E07A1">
        <w:lastRenderedPageBreak/>
        <w:t>Map 2.6: Khulna District Map</w:t>
      </w:r>
      <w:bookmarkEnd w:id="190"/>
    </w:p>
    <w:p w:rsidR="002B028D" w:rsidRDefault="002B028D" w:rsidP="002B028D">
      <w:pPr>
        <w:spacing w:line="276" w:lineRule="auto"/>
        <w:jc w:val="center"/>
        <w:rPr>
          <w:rFonts w:cs="Times New Roman"/>
          <w:b/>
          <w:i/>
          <w:color w:val="000000" w:themeColor="text1"/>
          <w:sz w:val="20"/>
          <w:szCs w:val="20"/>
        </w:rPr>
      </w:pPr>
      <w:r w:rsidRPr="005C1C84">
        <w:rPr>
          <w:rFonts w:cs="Times New Roman"/>
          <w:noProof/>
          <w:color w:val="000000" w:themeColor="text1"/>
          <w:szCs w:val="24"/>
          <w:lang w:val="en-AU" w:eastAsia="en-AU" w:bidi="bn-BD"/>
        </w:rPr>
        <w:drawing>
          <wp:inline distT="0" distB="0" distL="0" distR="0">
            <wp:extent cx="4834757" cy="7496175"/>
            <wp:effectExtent l="0" t="0" r="4445" b="0"/>
            <wp:docPr id="381" name="Picture 381" descr="I:\delta\khu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delta\khulna.jpg"/>
                    <pic:cNvPicPr>
                      <a:picLocks noChangeAspect="1" noChangeArrowheads="1"/>
                    </pic:cNvPicPr>
                  </pic:nvPicPr>
                  <pic:blipFill rotWithShape="1">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696" b="1091"/>
                    <a:stretch/>
                  </pic:blipFill>
                  <pic:spPr bwMode="auto">
                    <a:xfrm>
                      <a:off x="0" y="0"/>
                      <a:ext cx="4835482" cy="74972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356FA" w:rsidRPr="00425397" w:rsidRDefault="002B028D" w:rsidP="00425397">
      <w:pPr>
        <w:spacing w:line="276" w:lineRule="auto"/>
        <w:jc w:val="center"/>
        <w:rPr>
          <w:rFonts w:cs="Times New Roman"/>
          <w:b/>
          <w:i/>
          <w:color w:val="000000" w:themeColor="text1"/>
          <w:sz w:val="20"/>
          <w:szCs w:val="20"/>
        </w:rPr>
      </w:pPr>
      <w:r w:rsidRPr="00093C1E">
        <w:rPr>
          <w:rFonts w:cs="Times New Roman"/>
          <w:b/>
          <w:i/>
          <w:color w:val="000000" w:themeColor="text1"/>
          <w:sz w:val="20"/>
          <w:szCs w:val="20"/>
        </w:rPr>
        <w:t>Source:</w:t>
      </w:r>
      <w:r>
        <w:rPr>
          <w:rFonts w:cs="Times New Roman"/>
          <w:color w:val="000000" w:themeColor="text1"/>
          <w:szCs w:val="24"/>
        </w:rPr>
        <w:t xml:space="preserve"> </w:t>
      </w:r>
      <w:r w:rsidRPr="005C1C84">
        <w:rPr>
          <w:rFonts w:cs="Times New Roman"/>
          <w:b/>
          <w:i/>
          <w:sz w:val="20"/>
          <w:szCs w:val="20"/>
        </w:rPr>
        <w:t>LGED, Local Government Division, Ministry of Local Government, Rural Development &amp; Cooperatives</w:t>
      </w:r>
      <w:r w:rsidR="00FF0F14">
        <w:br w:type="page"/>
      </w:r>
    </w:p>
    <w:p w:rsidR="002B028D" w:rsidRDefault="00A356FA" w:rsidP="00AC4BF3">
      <w:pPr>
        <w:spacing w:line="276" w:lineRule="auto"/>
        <w:jc w:val="both"/>
        <w:rPr>
          <w:rFonts w:cs="Times New Roman"/>
          <w:color w:val="000000" w:themeColor="text1"/>
          <w:szCs w:val="24"/>
        </w:rPr>
      </w:pPr>
      <w:r w:rsidRPr="00AC4BF3">
        <w:rPr>
          <w:rFonts w:cs="Times New Roman"/>
          <w:color w:val="000000" w:themeColor="text1"/>
          <w:szCs w:val="24"/>
        </w:rPr>
        <w:lastRenderedPageBreak/>
        <w:t>Despite being a divisional head quarter and a hub for many in</w:t>
      </w:r>
      <w:r w:rsidR="000D7F1C">
        <w:rPr>
          <w:rFonts w:cs="Times New Roman"/>
          <w:color w:val="000000" w:themeColor="text1"/>
          <w:szCs w:val="24"/>
        </w:rPr>
        <w:t>dustrial and commercial activities</w:t>
      </w:r>
      <w:r w:rsidRPr="00AC4BF3">
        <w:rPr>
          <w:rFonts w:cs="Times New Roman"/>
          <w:color w:val="000000" w:themeColor="text1"/>
          <w:szCs w:val="24"/>
        </w:rPr>
        <w:t xml:space="preserve"> owing to its strategic location close to the second sea port of Bangladesh, Khulna district exhibits high levels of poverty.  This poverty problem is pervasive including </w:t>
      </w:r>
      <w:r w:rsidR="001B33A5">
        <w:rPr>
          <w:rFonts w:cs="Times New Roman"/>
          <w:color w:val="000000" w:themeColor="text1"/>
          <w:szCs w:val="24"/>
        </w:rPr>
        <w:t xml:space="preserve">in the </w:t>
      </w:r>
      <w:r w:rsidRPr="00AC4BF3">
        <w:rPr>
          <w:rFonts w:cs="Times New Roman"/>
          <w:color w:val="000000" w:themeColor="text1"/>
          <w:szCs w:val="24"/>
        </w:rPr>
        <w:t>4 of the 5 thanas under the Khulna city metropolitan areas.  The only exception is Sonadanga metropolitan thana (Table 2.21).  Like other districts Khulna also experienced a significant reduction in poverty between 2005 and 2010 (by nearly 35%). Yet, the poverty rate remains substantially higher than the national average</w:t>
      </w:r>
      <w:r w:rsidRPr="00AC4BF3">
        <w:rPr>
          <w:rStyle w:val="FootnoteReference"/>
          <w:rFonts w:cs="Times New Roman"/>
          <w:color w:val="000000" w:themeColor="text1"/>
          <w:szCs w:val="24"/>
        </w:rPr>
        <w:footnoteReference w:id="9"/>
      </w:r>
      <w:r w:rsidRPr="00AC4BF3">
        <w:rPr>
          <w:rFonts w:cs="Times New Roman"/>
          <w:color w:val="000000" w:themeColor="text1"/>
          <w:szCs w:val="24"/>
        </w:rPr>
        <w:t xml:space="preserve"> suggesting that there are serious income distribution problems. Indeed the lopsided poverty differential between the affluent Sonadanga metropolitan town and the rest of the district is indicative of this income inequality.  One important qualifier is that while by income poverty measure the Khulna district shows high rates of poverty, non-income measures of welfare show much better welfare outcomes. </w:t>
      </w:r>
    </w:p>
    <w:p w:rsidR="001076BA" w:rsidRPr="001076BA" w:rsidRDefault="001076BA" w:rsidP="001076BA">
      <w:pPr>
        <w:pStyle w:val="Heading4"/>
      </w:pPr>
      <w:bookmarkStart w:id="191" w:name="_Toc474639017"/>
      <w:r w:rsidRPr="001076BA">
        <w:t>Table 2.21: Khulna Upzilla level poverty Distribution</w:t>
      </w:r>
      <w:bookmarkEnd w:id="191"/>
    </w:p>
    <w:tbl>
      <w:tblPr>
        <w:tblStyle w:val="TableGrid"/>
        <w:tblpPr w:leftFromText="180" w:rightFromText="180" w:vertAnchor="text" w:horzAnchor="margin" w:tblpY="226"/>
        <w:tblW w:w="5000" w:type="pct"/>
        <w:tblLook w:val="04A0"/>
      </w:tblPr>
      <w:tblGrid>
        <w:gridCol w:w="3888"/>
        <w:gridCol w:w="2970"/>
        <w:gridCol w:w="2718"/>
      </w:tblGrid>
      <w:tr w:rsidR="00A356FA" w:rsidRPr="00F05D10" w:rsidTr="00A356FA">
        <w:trPr>
          <w:trHeight w:hRule="exact" w:val="288"/>
        </w:trPr>
        <w:tc>
          <w:tcPr>
            <w:tcW w:w="2030" w:type="pct"/>
          </w:tcPr>
          <w:p w:rsidR="00A356FA" w:rsidRPr="00F05D10" w:rsidRDefault="00A356FA" w:rsidP="00F05D10">
            <w:pPr>
              <w:spacing w:after="200" w:line="276" w:lineRule="auto"/>
              <w:jc w:val="center"/>
              <w:rPr>
                <w:rFonts w:eastAsiaTheme="majorEastAsia" w:cs="Times New Roman"/>
                <w:b/>
                <w:bCs/>
                <w:color w:val="000000" w:themeColor="text1"/>
                <w:sz w:val="22"/>
              </w:rPr>
            </w:pPr>
            <w:r w:rsidRPr="00F05D10">
              <w:rPr>
                <w:rFonts w:eastAsiaTheme="majorEastAsia" w:cs="Times New Roman"/>
                <w:b/>
                <w:bCs/>
                <w:color w:val="000000" w:themeColor="text1"/>
                <w:sz w:val="22"/>
              </w:rPr>
              <w:t>Upzillas/ Metropolitan thana (MT) )((MT)</w:t>
            </w:r>
          </w:p>
        </w:tc>
        <w:tc>
          <w:tcPr>
            <w:tcW w:w="1551" w:type="pct"/>
          </w:tcPr>
          <w:p w:rsidR="00A356FA" w:rsidRPr="00F05D10" w:rsidRDefault="00A356FA" w:rsidP="00F05D10">
            <w:pPr>
              <w:spacing w:after="200" w:line="276" w:lineRule="auto"/>
              <w:jc w:val="center"/>
              <w:rPr>
                <w:rFonts w:eastAsiaTheme="majorEastAsia" w:cs="Times New Roman"/>
                <w:b/>
                <w:bCs/>
                <w:color w:val="000000" w:themeColor="text1"/>
                <w:sz w:val="22"/>
              </w:rPr>
            </w:pPr>
            <w:r w:rsidRPr="00F05D10">
              <w:rPr>
                <w:rFonts w:eastAsiaTheme="majorEastAsia" w:cs="Times New Roman"/>
                <w:b/>
                <w:bCs/>
                <w:color w:val="000000" w:themeColor="text1"/>
                <w:sz w:val="22"/>
              </w:rPr>
              <w:t>UPL 2010 (%)</w:t>
            </w:r>
          </w:p>
        </w:tc>
        <w:tc>
          <w:tcPr>
            <w:tcW w:w="1419" w:type="pct"/>
          </w:tcPr>
          <w:p w:rsidR="00A356FA" w:rsidRPr="00F05D10" w:rsidRDefault="00A356FA" w:rsidP="00F05D10">
            <w:pPr>
              <w:spacing w:after="200" w:line="276" w:lineRule="auto"/>
              <w:jc w:val="center"/>
              <w:rPr>
                <w:rFonts w:eastAsiaTheme="majorEastAsia" w:cs="Times New Roman"/>
                <w:b/>
                <w:bCs/>
                <w:color w:val="000000" w:themeColor="text1"/>
                <w:sz w:val="22"/>
              </w:rPr>
            </w:pPr>
            <w:r w:rsidRPr="00F05D10">
              <w:rPr>
                <w:rFonts w:eastAsiaTheme="majorEastAsia" w:cs="Times New Roman"/>
                <w:b/>
                <w:bCs/>
                <w:color w:val="000000" w:themeColor="text1"/>
                <w:sz w:val="22"/>
              </w:rPr>
              <w:t>LPL 2010 (%)</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Batiaghata</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40.5</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22.7</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Dacope</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44.5</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24.9</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Daulatpur (mt)</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34.5</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17.4</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Dumuria</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37.2</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19.6</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Dighalia</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39.3</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21.9</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Khalishpur  (mt)</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41.1</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23.5</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Khan jahan ali  (mt)</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31.9</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16.8</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Khulna sadar (mt)</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35.5</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18.8</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Koyra</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49.1</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29.1</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Paikgachha</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42.4</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23.3</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Phultala</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33.7</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17.0</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Rupsa</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36.9</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20.2</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Sonadanga (mt)</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19.3</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7.3</w:t>
            </w:r>
          </w:p>
        </w:tc>
      </w:tr>
      <w:tr w:rsidR="00A356FA" w:rsidRPr="00F05D10" w:rsidTr="00A356FA">
        <w:trPr>
          <w:trHeight w:hRule="exact" w:val="288"/>
        </w:trPr>
        <w:tc>
          <w:tcPr>
            <w:tcW w:w="2030" w:type="pct"/>
            <w:vAlign w:val="bottom"/>
          </w:tcPr>
          <w:p w:rsidR="00A356FA" w:rsidRPr="00F05D10" w:rsidRDefault="00344633" w:rsidP="00A356FA">
            <w:pPr>
              <w:rPr>
                <w:rFonts w:cs="Times New Roman"/>
                <w:color w:val="000000"/>
                <w:sz w:val="22"/>
              </w:rPr>
            </w:pPr>
            <w:r w:rsidRPr="00F05D10">
              <w:rPr>
                <w:rFonts w:cs="Times New Roman"/>
                <w:color w:val="000000"/>
                <w:sz w:val="22"/>
              </w:rPr>
              <w:t>Terokhada</w:t>
            </w:r>
          </w:p>
        </w:tc>
        <w:tc>
          <w:tcPr>
            <w:tcW w:w="1551"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49.6</w:t>
            </w:r>
          </w:p>
        </w:tc>
        <w:tc>
          <w:tcPr>
            <w:tcW w:w="1419" w:type="pct"/>
            <w:vAlign w:val="bottom"/>
          </w:tcPr>
          <w:p w:rsidR="00F64A6A" w:rsidRDefault="00A356FA" w:rsidP="00F64A6A">
            <w:pPr>
              <w:jc w:val="center"/>
              <w:rPr>
                <w:rFonts w:eastAsia="MS ??" w:cs="Times New Roman"/>
                <w:color w:val="000000"/>
                <w:sz w:val="22"/>
              </w:rPr>
            </w:pPr>
            <w:r w:rsidRPr="00F05D10">
              <w:rPr>
                <w:rFonts w:cs="Times New Roman"/>
                <w:color w:val="000000"/>
                <w:sz w:val="22"/>
              </w:rPr>
              <w:t>30.0</w:t>
            </w:r>
          </w:p>
        </w:tc>
      </w:tr>
    </w:tbl>
    <w:p w:rsidR="00A356FA" w:rsidRPr="005E07A1" w:rsidRDefault="00A356FA" w:rsidP="00C75973">
      <w:pPr>
        <w:spacing w:before="120" w:line="276" w:lineRule="auto"/>
        <w:jc w:val="both"/>
        <w:rPr>
          <w:rFonts w:cs="Times New Roman"/>
          <w:b/>
          <w:i/>
          <w:color w:val="000000" w:themeColor="text1"/>
          <w:sz w:val="20"/>
          <w:szCs w:val="24"/>
        </w:rPr>
      </w:pPr>
      <w:r w:rsidRPr="005E07A1">
        <w:rPr>
          <w:rFonts w:cs="Times New Roman"/>
          <w:b/>
          <w:i/>
          <w:color w:val="000000" w:themeColor="text1"/>
          <w:sz w:val="20"/>
          <w:szCs w:val="24"/>
        </w:rPr>
        <w:t>Source: HIES 2010</w:t>
      </w:r>
    </w:p>
    <w:p w:rsidR="00A356FA" w:rsidRPr="004B0A08" w:rsidRDefault="00A356FA" w:rsidP="00AC4BF3">
      <w:pPr>
        <w:spacing w:line="276" w:lineRule="auto"/>
        <w:jc w:val="both"/>
        <w:rPr>
          <w:rFonts w:cs="Times New Roman"/>
          <w:i/>
          <w:color w:val="000000" w:themeColor="text1"/>
          <w:szCs w:val="24"/>
        </w:rPr>
      </w:pPr>
      <w:r w:rsidRPr="00AC4BF3">
        <w:rPr>
          <w:rFonts w:cs="Times New Roman"/>
          <w:color w:val="000000" w:themeColor="text1"/>
          <w:szCs w:val="24"/>
        </w:rPr>
        <w:t>While income poverty progress has not been as positive as in the neighboring Barguna district, Khulna has done remarkably well in increasing</w:t>
      </w:r>
      <w:r w:rsidR="00F93FD2">
        <w:rPr>
          <w:rFonts w:cs="Times New Roman"/>
          <w:color w:val="000000" w:themeColor="text1"/>
          <w:szCs w:val="24"/>
        </w:rPr>
        <w:t xml:space="preserve"> per capita income. </w:t>
      </w:r>
      <w:r w:rsidR="00F93FD2" w:rsidRPr="004B0A08">
        <w:rPr>
          <w:rFonts w:cs="Times New Roman"/>
          <w:i/>
          <w:color w:val="000000" w:themeColor="text1"/>
          <w:szCs w:val="24"/>
        </w:rPr>
        <w:t>In FY2011</w:t>
      </w:r>
      <w:r w:rsidRPr="004B0A08">
        <w:rPr>
          <w:rFonts w:cs="Times New Roman"/>
          <w:i/>
          <w:color w:val="000000" w:themeColor="text1"/>
          <w:szCs w:val="24"/>
        </w:rPr>
        <w:t xml:space="preserve">, the per capita district income of Khulna was estimated as the second largest (Taka 58, 396) after the capital city of Dhaka and some 54% higher than the national average.  This is remarkable given the serious nature of natural disasters facing the district. </w:t>
      </w:r>
      <w:r w:rsidRPr="00AC4BF3">
        <w:rPr>
          <w:rFonts w:cs="Times New Roman"/>
          <w:color w:val="000000" w:themeColor="text1"/>
          <w:szCs w:val="24"/>
        </w:rPr>
        <w:t xml:space="preserve"> This also indicates the potential for better welfare results in terms of income poverty reduction based on a resolution of the distribution challenges.  Several factors explain the strong GDP performance.  First, Khulna has substantial manufacturing and organized commercial activities. The Mongla port is in close proximity </w:t>
      </w:r>
      <w:r w:rsidRPr="00AC4BF3">
        <w:rPr>
          <w:rFonts w:cs="Times New Roman"/>
          <w:color w:val="000000" w:themeColor="text1"/>
          <w:szCs w:val="24"/>
        </w:rPr>
        <w:lastRenderedPageBreak/>
        <w:t xml:space="preserve">making it an important trading destination from nearby cities.  Average income from these sources tend to be much higher than informal trading, small scale manufacturing and crop agriculture that characterizes most other high-risk coastal districts. Second, Khulna has converted the salinity problem facing crop agriculture to an opportunity by investing heavily in commercial shrimp cultivation for exports.  It is the third largest producer of shrimp in Bangladesh accounting for 19% of total shrimp production in FY2013-14.  </w:t>
      </w:r>
      <w:r w:rsidRPr="004B0A08">
        <w:rPr>
          <w:rFonts w:cs="Times New Roman"/>
          <w:i/>
          <w:color w:val="000000" w:themeColor="text1"/>
          <w:szCs w:val="24"/>
        </w:rPr>
        <w:t>Third, it has been able to protect rice productivity relatively better than the coastal districts of the Barisal division owing to the natural protection against sea level flooding provided by the Sunderbans as well as from investments in polderization.</w:t>
      </w:r>
    </w:p>
    <w:p w:rsidR="00A356FA" w:rsidRPr="00AC4BF3" w:rsidRDefault="00A356FA" w:rsidP="00AC4BF3">
      <w:pPr>
        <w:spacing w:line="276" w:lineRule="auto"/>
        <w:jc w:val="both"/>
        <w:rPr>
          <w:rFonts w:cs="Times New Roman"/>
          <w:color w:val="000000" w:themeColor="text1"/>
          <w:szCs w:val="24"/>
        </w:rPr>
      </w:pPr>
      <w:r w:rsidRPr="00AC4BF3">
        <w:rPr>
          <w:rFonts w:cs="Times New Roman"/>
          <w:color w:val="000000" w:themeColor="text1"/>
          <w:szCs w:val="24"/>
        </w:rPr>
        <w:t xml:space="preserve">An important policy question is why poverty incidence is so high, despite having the second highest per capita income?  This is related to large income inequality.  Upzillas like Payra and Dacope are the most poor because they are located around the Sundarban forest with very limited economic options and are engaged in very low income activities. Other primarily rural </w:t>
      </w:r>
      <w:r w:rsidR="00F51D0D" w:rsidRPr="00AC4BF3">
        <w:rPr>
          <w:rFonts w:cs="Times New Roman"/>
          <w:color w:val="000000" w:themeColor="text1"/>
          <w:szCs w:val="24"/>
        </w:rPr>
        <w:t>upazillas</w:t>
      </w:r>
      <w:r w:rsidRPr="00AC4BF3">
        <w:rPr>
          <w:rFonts w:cs="Times New Roman"/>
          <w:color w:val="000000" w:themeColor="text1"/>
          <w:szCs w:val="24"/>
        </w:rPr>
        <w:t xml:space="preserve"> are heavily dependent upon crop agriculture. Shrimp farming is done though large scale commercial operations and have not percolated to the farmers except through wage employment.  Income in the urban areas generally tend</w:t>
      </w:r>
      <w:r w:rsidR="001B33A5">
        <w:rPr>
          <w:rFonts w:cs="Times New Roman"/>
          <w:color w:val="000000" w:themeColor="text1"/>
          <w:szCs w:val="24"/>
        </w:rPr>
        <w:t>s</w:t>
      </w:r>
      <w:r w:rsidRPr="00AC4BF3">
        <w:rPr>
          <w:rFonts w:cs="Times New Roman"/>
          <w:color w:val="000000" w:themeColor="text1"/>
          <w:szCs w:val="24"/>
        </w:rPr>
        <w:t xml:space="preserve"> to be unequally divided. Much of the income in concentrated in the top 5-10% of the population. The urban areas are densely populated. The slump in the jute industry hurt Khulna employment prospects. There is considerable informal low income employment in the metropolitan areas. Limited good income opportunities for the working class and high population density explain much of the high concentration of urban poverty in Khulna.  </w:t>
      </w:r>
    </w:p>
    <w:p w:rsidR="00A356FA" w:rsidRDefault="00A356FA" w:rsidP="00AC4BF3">
      <w:pPr>
        <w:spacing w:line="276" w:lineRule="auto"/>
        <w:jc w:val="both"/>
        <w:rPr>
          <w:rFonts w:cs="Times New Roman"/>
          <w:color w:val="000000" w:themeColor="text1"/>
          <w:szCs w:val="24"/>
        </w:rPr>
      </w:pPr>
      <w:r w:rsidRPr="00AC4BF3">
        <w:rPr>
          <w:rFonts w:cs="Times New Roman"/>
          <w:b/>
          <w:color w:val="000000" w:themeColor="text1"/>
          <w:szCs w:val="24"/>
        </w:rPr>
        <w:t xml:space="preserve">Experience of Bagerhat: </w:t>
      </w:r>
      <w:r w:rsidRPr="00AC4BF3">
        <w:rPr>
          <w:rFonts w:cs="Times New Roman"/>
          <w:color w:val="000000" w:themeColor="text1"/>
          <w:szCs w:val="24"/>
        </w:rPr>
        <w:t xml:space="preserve">The district of Bagerhat is a coastal district located in the Khulna division. Parts of the Sundarban forest are located in Bagerhat. The second largest sea port of Bangladesh, the Mongla Port, is located in Bagerhat. It is also the largest commercial producer of shrimps in Bangladesh destined mostly for the export markets.    </w:t>
      </w:r>
    </w:p>
    <w:p w:rsidR="001B33A5" w:rsidRDefault="001B33A5" w:rsidP="001B33A5">
      <w:pPr>
        <w:spacing w:line="276" w:lineRule="auto"/>
        <w:jc w:val="both"/>
        <w:rPr>
          <w:rFonts w:cs="Times New Roman"/>
          <w:color w:val="000000" w:themeColor="text1"/>
        </w:rPr>
      </w:pPr>
      <w:r w:rsidRPr="005E07A1">
        <w:rPr>
          <w:rFonts w:cs="Times New Roman"/>
          <w:color w:val="000000" w:themeColor="text1"/>
        </w:rPr>
        <w:t>Bagerhat has converted its access to sea to its advantage with the location of the Mongla Port and the establishment of the largest export oriented shrimp industry. As a resulted, average per cap</w:t>
      </w:r>
      <w:r>
        <w:rPr>
          <w:rFonts w:cs="Times New Roman"/>
          <w:color w:val="000000" w:themeColor="text1"/>
        </w:rPr>
        <w:t>ita income in FY2010-11 was</w:t>
      </w:r>
      <w:r w:rsidRPr="005E07A1">
        <w:rPr>
          <w:rFonts w:cs="Times New Roman"/>
          <w:color w:val="000000" w:themeColor="text1"/>
        </w:rPr>
        <w:t xml:space="preserve"> Taka 48,696, which was 29% higher than the national average and 6</w:t>
      </w:r>
      <w:r w:rsidRPr="005E07A1">
        <w:rPr>
          <w:rFonts w:cs="Times New Roman"/>
          <w:color w:val="000000" w:themeColor="text1"/>
          <w:vertAlign w:val="superscript"/>
        </w:rPr>
        <w:t>th</w:t>
      </w:r>
      <w:r w:rsidRPr="005E07A1">
        <w:rPr>
          <w:rFonts w:cs="Times New Roman"/>
          <w:color w:val="000000" w:themeColor="text1"/>
        </w:rPr>
        <w:t xml:space="preserve"> highest among the 64 districts.  However, despite high per capita income, Bagerhat has a large incidence of poverty.  At 43%, the level of poverty in 2010 was 33% higher than the national average.  The distribution of poverty shows that while there is substantial variance, poverty rate</w:t>
      </w:r>
      <w:r>
        <w:rPr>
          <w:rFonts w:cs="Times New Roman"/>
          <w:color w:val="000000" w:themeColor="text1"/>
        </w:rPr>
        <w:t>s</w:t>
      </w:r>
      <w:r w:rsidRPr="005E07A1">
        <w:rPr>
          <w:rFonts w:cs="Times New Roman"/>
          <w:color w:val="000000" w:themeColor="text1"/>
        </w:rPr>
        <w:t xml:space="preserve"> in all up</w:t>
      </w:r>
      <w:r>
        <w:rPr>
          <w:rFonts w:cs="Times New Roman"/>
          <w:color w:val="000000" w:themeColor="text1"/>
        </w:rPr>
        <w:t>a</w:t>
      </w:r>
      <w:r w:rsidRPr="005E07A1">
        <w:rPr>
          <w:rFonts w:cs="Times New Roman"/>
          <w:color w:val="000000" w:themeColor="text1"/>
        </w:rPr>
        <w:t xml:space="preserve">zillas exceed the national average.  The poverty rate is particularly high in Chitalmari, Sarankhola, Morrelganj and Mollahat.  Although the poverty rate is somewhat lower in the shrimp production centers of Fakirhat and Rampal, the rates are still very high. </w:t>
      </w:r>
    </w:p>
    <w:p w:rsidR="00225E39" w:rsidRDefault="00225E39">
      <w:pPr>
        <w:rPr>
          <w:rFonts w:eastAsia="Times New Roman" w:cs="Times New Roman"/>
          <w:b/>
          <w:szCs w:val="24"/>
          <w:lang w:val="en-GB"/>
        </w:rPr>
      </w:pPr>
      <w:r>
        <w:br w:type="page"/>
      </w:r>
    </w:p>
    <w:p w:rsidR="003209CD" w:rsidRDefault="003209CD" w:rsidP="003209CD">
      <w:pPr>
        <w:pStyle w:val="Heading6"/>
        <w:spacing w:after="0"/>
      </w:pPr>
      <w:bookmarkStart w:id="192" w:name="_Toc474639311"/>
      <w:r w:rsidRPr="005E07A1">
        <w:lastRenderedPageBreak/>
        <w:t>Map 2.7: Bagerhat District</w:t>
      </w:r>
      <w:bookmarkEnd w:id="192"/>
    </w:p>
    <w:p w:rsidR="003209CD" w:rsidRPr="00425397" w:rsidRDefault="003209CD" w:rsidP="00425397">
      <w:pPr>
        <w:spacing w:line="276" w:lineRule="auto"/>
        <w:ind w:right="576"/>
        <w:jc w:val="both"/>
        <w:rPr>
          <w:rFonts w:cs="Times New Roman"/>
          <w:b/>
          <w:i/>
          <w:color w:val="000000" w:themeColor="text1"/>
          <w:sz w:val="20"/>
          <w:szCs w:val="20"/>
        </w:rPr>
      </w:pPr>
      <w:r w:rsidRPr="005C1C84">
        <w:rPr>
          <w:rFonts w:cs="Times New Roman"/>
          <w:noProof/>
          <w:color w:val="000000" w:themeColor="text1"/>
          <w:lang w:val="en-AU" w:eastAsia="en-AU" w:bidi="bn-BD"/>
        </w:rPr>
        <w:drawing>
          <wp:inline distT="0" distB="0" distL="0" distR="0">
            <wp:extent cx="5578879" cy="7439025"/>
            <wp:effectExtent l="0" t="0" r="3175" b="0"/>
            <wp:docPr id="382" name="Picture 382" descr="I:\delta\bager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delta\bagerhat.jpg"/>
                    <pic:cNvPicPr>
                      <a:picLocks noChangeAspect="1" noChangeArrowheads="1"/>
                    </pic:cNvPicPr>
                  </pic:nvPicPr>
                  <pic:blipFill rotWithShape="1">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33" t="1266" r="3676" b="3237"/>
                    <a:stretch/>
                  </pic:blipFill>
                  <pic:spPr bwMode="auto">
                    <a:xfrm>
                      <a:off x="0" y="0"/>
                      <a:ext cx="5578879" cy="7439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093C1E">
        <w:rPr>
          <w:rFonts w:cs="Times New Roman"/>
          <w:b/>
          <w:i/>
          <w:color w:val="000000" w:themeColor="text1"/>
          <w:sz w:val="20"/>
          <w:szCs w:val="20"/>
        </w:rPr>
        <w:t xml:space="preserve"> Source:</w:t>
      </w:r>
      <w:r>
        <w:rPr>
          <w:rFonts w:cs="Times New Roman"/>
          <w:color w:val="000000" w:themeColor="text1"/>
          <w:szCs w:val="24"/>
        </w:rPr>
        <w:t xml:space="preserve"> </w:t>
      </w:r>
      <w:r w:rsidRPr="005C1C84">
        <w:rPr>
          <w:rFonts w:cs="Times New Roman"/>
          <w:b/>
          <w:i/>
          <w:sz w:val="20"/>
          <w:szCs w:val="20"/>
        </w:rPr>
        <w:t>LGED, Local Government Division, Ministry of Local Government, Rural Development &amp; Cooperatives</w:t>
      </w:r>
    </w:p>
    <w:p w:rsidR="00A356FA" w:rsidRPr="005E07A1" w:rsidRDefault="00A356FA" w:rsidP="007427EA">
      <w:pPr>
        <w:pStyle w:val="Heading4"/>
      </w:pPr>
      <w:bookmarkStart w:id="193" w:name="_Toc474639018"/>
      <w:r w:rsidRPr="005E07A1">
        <w:lastRenderedPageBreak/>
        <w:t>Table 2.22: Distribution of Poverty in Bagerhat by Upzilla, 2010</w:t>
      </w:r>
      <w:bookmarkEnd w:id="193"/>
    </w:p>
    <w:tbl>
      <w:tblPr>
        <w:tblStyle w:val="TableGrid"/>
        <w:tblW w:w="5000" w:type="pct"/>
        <w:tblLook w:val="04A0"/>
      </w:tblPr>
      <w:tblGrid>
        <w:gridCol w:w="3192"/>
        <w:gridCol w:w="3193"/>
        <w:gridCol w:w="3191"/>
      </w:tblGrid>
      <w:tr w:rsidR="00A356FA" w:rsidRPr="00FB6BFE" w:rsidTr="00A356FA">
        <w:trPr>
          <w:trHeight w:hRule="exact" w:val="288"/>
        </w:trPr>
        <w:tc>
          <w:tcPr>
            <w:tcW w:w="1667" w:type="pct"/>
          </w:tcPr>
          <w:p w:rsidR="00A356FA" w:rsidRPr="00FB6BFE" w:rsidRDefault="00A356FA" w:rsidP="00C151CD">
            <w:pPr>
              <w:spacing w:after="0" w:line="276" w:lineRule="auto"/>
              <w:rPr>
                <w:rFonts w:cs="Times New Roman"/>
                <w:b/>
                <w:color w:val="000000" w:themeColor="text1"/>
                <w:sz w:val="22"/>
              </w:rPr>
            </w:pPr>
            <w:r w:rsidRPr="00FB6BFE">
              <w:rPr>
                <w:rFonts w:cs="Times New Roman"/>
                <w:b/>
                <w:color w:val="000000" w:themeColor="text1"/>
                <w:sz w:val="22"/>
              </w:rPr>
              <w:t>Upzilla</w:t>
            </w:r>
          </w:p>
        </w:tc>
        <w:tc>
          <w:tcPr>
            <w:tcW w:w="1667" w:type="pct"/>
          </w:tcPr>
          <w:p w:rsidR="00A356FA" w:rsidRPr="00FB6BFE" w:rsidRDefault="00A356FA" w:rsidP="00C151CD">
            <w:pPr>
              <w:spacing w:after="0" w:line="276" w:lineRule="auto"/>
              <w:rPr>
                <w:rFonts w:cs="Times New Roman"/>
                <w:b/>
                <w:color w:val="000000" w:themeColor="text1"/>
                <w:sz w:val="22"/>
              </w:rPr>
            </w:pPr>
            <w:r w:rsidRPr="00FB6BFE">
              <w:rPr>
                <w:rFonts w:cs="Times New Roman"/>
                <w:b/>
                <w:color w:val="000000" w:themeColor="text1"/>
                <w:sz w:val="22"/>
              </w:rPr>
              <w:t>UPL 2010 (%)</w:t>
            </w:r>
          </w:p>
        </w:tc>
        <w:tc>
          <w:tcPr>
            <w:tcW w:w="1667" w:type="pct"/>
          </w:tcPr>
          <w:p w:rsidR="00A356FA" w:rsidRPr="00FB6BFE" w:rsidRDefault="00A356FA" w:rsidP="00C151CD">
            <w:pPr>
              <w:spacing w:after="0" w:line="276" w:lineRule="auto"/>
              <w:rPr>
                <w:rFonts w:cs="Times New Roman"/>
                <w:b/>
                <w:color w:val="000000" w:themeColor="text1"/>
                <w:sz w:val="22"/>
              </w:rPr>
            </w:pPr>
            <w:r w:rsidRPr="00FB6BFE">
              <w:rPr>
                <w:rFonts w:cs="Times New Roman"/>
                <w:b/>
                <w:color w:val="000000" w:themeColor="text1"/>
                <w:sz w:val="22"/>
              </w:rPr>
              <w:t>LPL 2010 (%)</w:t>
            </w:r>
          </w:p>
        </w:tc>
      </w:tr>
      <w:tr w:rsidR="00A356FA" w:rsidRPr="00FB6BFE" w:rsidTr="00A356FA">
        <w:trPr>
          <w:trHeight w:hRule="exact" w:val="288"/>
        </w:trPr>
        <w:tc>
          <w:tcPr>
            <w:tcW w:w="1667" w:type="pct"/>
            <w:vAlign w:val="bottom"/>
          </w:tcPr>
          <w:p w:rsidR="00A356FA" w:rsidRPr="00FB6BFE" w:rsidRDefault="00344633" w:rsidP="00C151CD">
            <w:pPr>
              <w:spacing w:after="0"/>
              <w:rPr>
                <w:rFonts w:cs="Times New Roman"/>
                <w:color w:val="000000"/>
                <w:sz w:val="22"/>
              </w:rPr>
            </w:pPr>
            <w:r w:rsidRPr="00FB6BFE">
              <w:rPr>
                <w:rFonts w:cs="Times New Roman"/>
                <w:color w:val="000000"/>
                <w:sz w:val="22"/>
              </w:rPr>
              <w:t>Bagerhat sadar</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35.9</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18.6</w:t>
            </w:r>
          </w:p>
        </w:tc>
      </w:tr>
      <w:tr w:rsidR="00A356FA" w:rsidRPr="00FB6BFE" w:rsidTr="00A356FA">
        <w:trPr>
          <w:trHeight w:hRule="exact" w:val="288"/>
        </w:trPr>
        <w:tc>
          <w:tcPr>
            <w:tcW w:w="1667" w:type="pct"/>
            <w:vAlign w:val="bottom"/>
          </w:tcPr>
          <w:p w:rsidR="00A356FA" w:rsidRPr="00FB6BFE" w:rsidRDefault="00344633" w:rsidP="00C151CD">
            <w:pPr>
              <w:spacing w:after="0"/>
              <w:rPr>
                <w:rFonts w:cs="Times New Roman"/>
                <w:color w:val="000000"/>
                <w:sz w:val="22"/>
              </w:rPr>
            </w:pPr>
            <w:r w:rsidRPr="00FB6BFE">
              <w:rPr>
                <w:rFonts w:cs="Times New Roman"/>
                <w:color w:val="000000"/>
                <w:sz w:val="22"/>
              </w:rPr>
              <w:t>Chitalmari</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50.0</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30.0</w:t>
            </w:r>
          </w:p>
        </w:tc>
      </w:tr>
      <w:tr w:rsidR="00A356FA" w:rsidRPr="00FB6BFE" w:rsidTr="00A356FA">
        <w:trPr>
          <w:trHeight w:hRule="exact" w:val="288"/>
        </w:trPr>
        <w:tc>
          <w:tcPr>
            <w:tcW w:w="1667" w:type="pct"/>
            <w:vAlign w:val="bottom"/>
          </w:tcPr>
          <w:p w:rsidR="00A356FA" w:rsidRPr="00FB6BFE" w:rsidRDefault="00344633" w:rsidP="00C151CD">
            <w:pPr>
              <w:spacing w:after="0"/>
              <w:rPr>
                <w:rFonts w:cs="Times New Roman"/>
                <w:color w:val="000000"/>
                <w:sz w:val="22"/>
              </w:rPr>
            </w:pPr>
            <w:r w:rsidRPr="00FB6BFE">
              <w:rPr>
                <w:rFonts w:cs="Times New Roman"/>
                <w:color w:val="000000"/>
                <w:sz w:val="22"/>
              </w:rPr>
              <w:t>Fakirhat</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36.4</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19.2</w:t>
            </w:r>
          </w:p>
        </w:tc>
      </w:tr>
      <w:tr w:rsidR="00A356FA" w:rsidRPr="00FB6BFE" w:rsidTr="00A356FA">
        <w:trPr>
          <w:trHeight w:hRule="exact" w:val="288"/>
        </w:trPr>
        <w:tc>
          <w:tcPr>
            <w:tcW w:w="1667" w:type="pct"/>
            <w:vAlign w:val="bottom"/>
          </w:tcPr>
          <w:p w:rsidR="00A356FA" w:rsidRPr="00FB6BFE" w:rsidRDefault="00344633" w:rsidP="00C151CD">
            <w:pPr>
              <w:spacing w:after="0"/>
              <w:rPr>
                <w:rFonts w:cs="Times New Roman"/>
                <w:color w:val="000000"/>
                <w:sz w:val="22"/>
              </w:rPr>
            </w:pPr>
            <w:r w:rsidRPr="00FB6BFE">
              <w:rPr>
                <w:rFonts w:cs="Times New Roman"/>
                <w:color w:val="000000"/>
                <w:sz w:val="22"/>
              </w:rPr>
              <w:t>Kachua</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42.5</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23.6</w:t>
            </w:r>
          </w:p>
        </w:tc>
      </w:tr>
      <w:tr w:rsidR="00A356FA" w:rsidRPr="00FB6BFE" w:rsidTr="00A356FA">
        <w:trPr>
          <w:trHeight w:hRule="exact" w:val="288"/>
        </w:trPr>
        <w:tc>
          <w:tcPr>
            <w:tcW w:w="1667" w:type="pct"/>
            <w:vAlign w:val="bottom"/>
          </w:tcPr>
          <w:p w:rsidR="00A356FA" w:rsidRPr="00FB6BFE" w:rsidRDefault="00344633" w:rsidP="00C151CD">
            <w:pPr>
              <w:spacing w:after="0"/>
              <w:rPr>
                <w:rFonts w:cs="Times New Roman"/>
                <w:color w:val="000000"/>
                <w:sz w:val="22"/>
              </w:rPr>
            </w:pPr>
            <w:r w:rsidRPr="00FB6BFE">
              <w:rPr>
                <w:rFonts w:cs="Times New Roman"/>
                <w:color w:val="000000"/>
                <w:sz w:val="22"/>
              </w:rPr>
              <w:t>Mollahat</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46.1</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26.7</w:t>
            </w:r>
          </w:p>
        </w:tc>
      </w:tr>
      <w:tr w:rsidR="00A356FA" w:rsidRPr="00FB6BFE" w:rsidTr="00A356FA">
        <w:trPr>
          <w:trHeight w:hRule="exact" w:val="288"/>
        </w:trPr>
        <w:tc>
          <w:tcPr>
            <w:tcW w:w="1667" w:type="pct"/>
            <w:vAlign w:val="bottom"/>
          </w:tcPr>
          <w:p w:rsidR="00A356FA" w:rsidRPr="00FB6BFE" w:rsidRDefault="00344633" w:rsidP="00C151CD">
            <w:pPr>
              <w:spacing w:after="0"/>
              <w:rPr>
                <w:rFonts w:cs="Times New Roman"/>
                <w:color w:val="000000"/>
                <w:sz w:val="22"/>
              </w:rPr>
            </w:pPr>
            <w:r w:rsidRPr="00FB6BFE">
              <w:rPr>
                <w:rFonts w:cs="Times New Roman"/>
                <w:color w:val="000000"/>
                <w:sz w:val="22"/>
              </w:rPr>
              <w:t>Mongla</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41.9</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22.7</w:t>
            </w:r>
          </w:p>
        </w:tc>
      </w:tr>
      <w:tr w:rsidR="00A356FA" w:rsidRPr="00FB6BFE" w:rsidTr="00A356FA">
        <w:trPr>
          <w:trHeight w:hRule="exact" w:val="288"/>
        </w:trPr>
        <w:tc>
          <w:tcPr>
            <w:tcW w:w="1667" w:type="pct"/>
            <w:vAlign w:val="bottom"/>
          </w:tcPr>
          <w:p w:rsidR="00A356FA" w:rsidRPr="00FB6BFE" w:rsidRDefault="00344633" w:rsidP="00C151CD">
            <w:pPr>
              <w:spacing w:after="0"/>
              <w:rPr>
                <w:rFonts w:cs="Times New Roman"/>
                <w:color w:val="000000"/>
                <w:sz w:val="22"/>
              </w:rPr>
            </w:pPr>
            <w:r w:rsidRPr="00FB6BFE">
              <w:rPr>
                <w:rFonts w:cs="Times New Roman"/>
                <w:color w:val="000000"/>
                <w:sz w:val="22"/>
              </w:rPr>
              <w:t>Morrelganj</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46.5</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27.0</w:t>
            </w:r>
          </w:p>
        </w:tc>
      </w:tr>
      <w:tr w:rsidR="00A356FA" w:rsidRPr="00FB6BFE" w:rsidTr="00A356FA">
        <w:trPr>
          <w:trHeight w:hRule="exact" w:val="288"/>
        </w:trPr>
        <w:tc>
          <w:tcPr>
            <w:tcW w:w="1667" w:type="pct"/>
            <w:vAlign w:val="bottom"/>
          </w:tcPr>
          <w:p w:rsidR="00A356FA" w:rsidRPr="00FB6BFE" w:rsidRDefault="00344633" w:rsidP="00C151CD">
            <w:pPr>
              <w:spacing w:after="0"/>
              <w:rPr>
                <w:rFonts w:cs="Times New Roman"/>
                <w:color w:val="000000"/>
                <w:sz w:val="22"/>
              </w:rPr>
            </w:pPr>
            <w:r w:rsidRPr="00FB6BFE">
              <w:rPr>
                <w:rFonts w:cs="Times New Roman"/>
                <w:color w:val="000000"/>
                <w:sz w:val="22"/>
              </w:rPr>
              <w:t>Rampal</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41.1</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22.5</w:t>
            </w:r>
          </w:p>
        </w:tc>
      </w:tr>
      <w:tr w:rsidR="00A356FA" w:rsidRPr="00FB6BFE" w:rsidTr="00A356FA">
        <w:trPr>
          <w:trHeight w:hRule="exact" w:val="288"/>
        </w:trPr>
        <w:tc>
          <w:tcPr>
            <w:tcW w:w="1667" w:type="pct"/>
            <w:vAlign w:val="bottom"/>
          </w:tcPr>
          <w:p w:rsidR="00A356FA" w:rsidRPr="00FB6BFE" w:rsidRDefault="00344633" w:rsidP="00C151CD">
            <w:pPr>
              <w:spacing w:after="0"/>
              <w:rPr>
                <w:rFonts w:cs="Times New Roman"/>
                <w:color w:val="000000"/>
                <w:sz w:val="22"/>
              </w:rPr>
            </w:pPr>
            <w:r w:rsidRPr="00FB6BFE">
              <w:rPr>
                <w:rFonts w:cs="Times New Roman"/>
                <w:color w:val="000000"/>
                <w:sz w:val="22"/>
              </w:rPr>
              <w:t>Sarankhola</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48.0</w:t>
            </w:r>
          </w:p>
        </w:tc>
        <w:tc>
          <w:tcPr>
            <w:tcW w:w="1667" w:type="pct"/>
            <w:vAlign w:val="bottom"/>
          </w:tcPr>
          <w:p w:rsidR="00F64A6A" w:rsidRDefault="00A356FA" w:rsidP="00F64A6A">
            <w:pPr>
              <w:spacing w:after="0"/>
              <w:jc w:val="center"/>
              <w:rPr>
                <w:rFonts w:ascii="Calibri" w:eastAsia="Times New Roman" w:hAnsi="Calibri" w:cs="Times New Roman"/>
                <w:b/>
                <w:bCs/>
                <w:color w:val="000000"/>
                <w:sz w:val="22"/>
                <w:szCs w:val="16"/>
              </w:rPr>
            </w:pPr>
            <w:r w:rsidRPr="00FB6BFE">
              <w:rPr>
                <w:rFonts w:cs="Times New Roman"/>
                <w:color w:val="000000"/>
                <w:sz w:val="22"/>
              </w:rPr>
              <w:t>28.2</w:t>
            </w:r>
          </w:p>
        </w:tc>
      </w:tr>
    </w:tbl>
    <w:p w:rsidR="00A356FA" w:rsidRPr="00EC079B" w:rsidRDefault="00A356FA" w:rsidP="001A7EB2">
      <w:pPr>
        <w:spacing w:before="120" w:after="200" w:line="276" w:lineRule="auto"/>
        <w:rPr>
          <w:rFonts w:cs="Times New Roman"/>
          <w:b/>
          <w:i/>
          <w:color w:val="000000" w:themeColor="text1"/>
          <w:sz w:val="20"/>
        </w:rPr>
      </w:pPr>
      <w:r w:rsidRPr="00EC079B">
        <w:rPr>
          <w:rFonts w:cs="Times New Roman"/>
          <w:b/>
          <w:i/>
          <w:color w:val="000000" w:themeColor="text1"/>
          <w:sz w:val="20"/>
        </w:rPr>
        <w:t>Source: HIES 2010</w:t>
      </w:r>
    </w:p>
    <w:p w:rsidR="00A356FA" w:rsidRDefault="00A356FA" w:rsidP="00353476">
      <w:pPr>
        <w:spacing w:line="276" w:lineRule="auto"/>
        <w:jc w:val="both"/>
        <w:rPr>
          <w:rFonts w:cs="Times New Roman"/>
          <w:color w:val="000000" w:themeColor="text1"/>
          <w:szCs w:val="24"/>
        </w:rPr>
      </w:pPr>
      <w:r w:rsidRPr="005E07A1">
        <w:rPr>
          <w:rFonts w:cs="Times New Roman"/>
          <w:color w:val="000000" w:themeColor="text1"/>
          <w:szCs w:val="24"/>
        </w:rPr>
        <w:t>A part of the reason for high poverty is the continued strong reliance of many parts of Bagerhat to traditional agriculture.  Sarankhola located near the Sundarbans has very limited economic opportunities.  Overall, at the district level, average rice productivity is very low owing to the high incidence of salinity and water logging. The expansion of shrimp production as an adaptation to salinity has given Bagerhat considerable income but the distribution of the benefits has been very lop-sided.  Both Khulna and Bagerhat have responded to salinity problem by adopting large scale commercially oriented shrimp farming.  But the distribution of benefits to the poor has not happened.  This is an important lesson for future adaptation strategy.  Owing to high incidence of poverty and low income opportunities, Bagerhat has lost population to other districts.  But remittance inflows as</w:t>
      </w:r>
      <w:r w:rsidR="001B33A5">
        <w:rPr>
          <w:rFonts w:cs="Times New Roman"/>
          <w:color w:val="000000" w:themeColor="text1"/>
          <w:szCs w:val="24"/>
        </w:rPr>
        <w:t xml:space="preserve"> a source of household income are</w:t>
      </w:r>
      <w:r w:rsidRPr="005E07A1">
        <w:rPr>
          <w:rFonts w:cs="Times New Roman"/>
          <w:color w:val="000000" w:themeColor="text1"/>
          <w:szCs w:val="24"/>
        </w:rPr>
        <w:t xml:space="preserve"> modest partly because most of the outmigration has happened to other districts within Bangladesh.  The share of for</w:t>
      </w:r>
      <w:r w:rsidR="00353476">
        <w:rPr>
          <w:rFonts w:cs="Times New Roman"/>
          <w:color w:val="000000" w:themeColor="text1"/>
          <w:szCs w:val="24"/>
        </w:rPr>
        <w:t>eign remittances is very small.</w:t>
      </w:r>
    </w:p>
    <w:p w:rsidR="00F64A6A" w:rsidRDefault="00353476" w:rsidP="00F64A6A">
      <w:pPr>
        <w:pStyle w:val="Heading2"/>
        <w:numPr>
          <w:ilvl w:val="0"/>
          <w:numId w:val="0"/>
        </w:numPr>
        <w:ind w:left="720"/>
      </w:pPr>
      <w:bookmarkStart w:id="194" w:name="_Toc474638854"/>
      <w:r w:rsidRPr="007B27E1">
        <w:t>Concluding Remarks</w:t>
      </w:r>
      <w:bookmarkEnd w:id="194"/>
    </w:p>
    <w:p w:rsidR="004C3293" w:rsidRDefault="00A356FA" w:rsidP="00AE3FE6">
      <w:pPr>
        <w:spacing w:line="271" w:lineRule="auto"/>
        <w:jc w:val="both"/>
        <w:rPr>
          <w:rFonts w:cs="Times New Roman"/>
          <w:color w:val="000000" w:themeColor="text1"/>
          <w:szCs w:val="24"/>
        </w:rPr>
      </w:pPr>
      <w:r w:rsidRPr="005E07A1">
        <w:rPr>
          <w:rFonts w:cs="Times New Roman"/>
          <w:color w:val="000000" w:themeColor="text1"/>
          <w:szCs w:val="24"/>
        </w:rPr>
        <w:t xml:space="preserve">This chapter sets the stage for developing delta scenarios, macroeconomic projections and investment priorities by providing lessons of past experience with the Bangladesh delta in terms of socio-economic </w:t>
      </w:r>
      <w:r w:rsidR="005E07A1" w:rsidRPr="005E07A1">
        <w:rPr>
          <w:rFonts w:cs="Times New Roman"/>
          <w:color w:val="000000" w:themeColor="text1"/>
          <w:szCs w:val="24"/>
        </w:rPr>
        <w:t>outcomes.</w:t>
      </w:r>
      <w:r w:rsidRPr="005E07A1">
        <w:rPr>
          <w:rFonts w:cs="Times New Roman"/>
          <w:color w:val="000000" w:themeColor="text1"/>
          <w:szCs w:val="24"/>
        </w:rPr>
        <w:t xml:space="preserve">  The chapter provides strong evidence about the adverse effects of natural disasters and climate change </w:t>
      </w:r>
      <w:r w:rsidR="005E07A1" w:rsidRPr="005E07A1">
        <w:rPr>
          <w:rFonts w:cs="Times New Roman"/>
          <w:color w:val="000000" w:themeColor="text1"/>
          <w:szCs w:val="24"/>
        </w:rPr>
        <w:t>on welfare</w:t>
      </w:r>
      <w:r w:rsidRPr="005E07A1">
        <w:rPr>
          <w:rFonts w:cs="Times New Roman"/>
          <w:color w:val="000000" w:themeColor="text1"/>
          <w:szCs w:val="24"/>
        </w:rPr>
        <w:t xml:space="preserve">.  It identifies the most vulnerable hotspots and districts where policy and investment interventions are most needed.  It shows that progress has been made in adjusting to the vulnerabilities of the delta.  Most progress has been made in addressing the drought prone hazard risks based on heavy </w:t>
      </w:r>
      <w:r w:rsidR="002424F1">
        <w:rPr>
          <w:rFonts w:cs="Times New Roman"/>
          <w:color w:val="000000" w:themeColor="text1"/>
          <w:szCs w:val="24"/>
        </w:rPr>
        <w:t xml:space="preserve">public </w:t>
      </w:r>
      <w:r w:rsidRPr="005E07A1">
        <w:rPr>
          <w:rFonts w:cs="Times New Roman"/>
          <w:color w:val="000000" w:themeColor="text1"/>
          <w:szCs w:val="24"/>
        </w:rPr>
        <w:t>and private investment in mechanized irrigation.  Indeed, the large gap in average rice productivity between</w:t>
      </w:r>
      <w:r w:rsidR="001B33A5">
        <w:rPr>
          <w:rFonts w:cs="Times New Roman"/>
          <w:color w:val="000000" w:themeColor="text1"/>
          <w:szCs w:val="24"/>
        </w:rPr>
        <w:t xml:space="preserve"> drought prone district (Naogaon</w:t>
      </w:r>
      <w:r w:rsidRPr="005E07A1">
        <w:rPr>
          <w:rFonts w:cs="Times New Roman"/>
          <w:color w:val="000000" w:themeColor="text1"/>
          <w:szCs w:val="24"/>
        </w:rPr>
        <w:t>) and the saline plus flood -prone district of Patuakhali strikingly illustrate the adaptation success (drought prone) as well as the adaptation challe</w:t>
      </w:r>
      <w:r w:rsidR="004C3293">
        <w:rPr>
          <w:rFonts w:cs="Times New Roman"/>
          <w:color w:val="000000" w:themeColor="text1"/>
          <w:szCs w:val="24"/>
        </w:rPr>
        <w:t>nges (coastal belt)</w:t>
      </w:r>
      <w:r w:rsidRPr="005E07A1">
        <w:rPr>
          <w:rFonts w:cs="Times New Roman"/>
          <w:color w:val="000000" w:themeColor="text1"/>
          <w:szCs w:val="24"/>
        </w:rPr>
        <w:t xml:space="preserve">.  Thus, while </w:t>
      </w:r>
      <w:r w:rsidR="005E07A1" w:rsidRPr="005E07A1">
        <w:rPr>
          <w:rFonts w:cs="Times New Roman"/>
          <w:color w:val="000000" w:themeColor="text1"/>
          <w:szCs w:val="24"/>
        </w:rPr>
        <w:t>Naogaon gets</w:t>
      </w:r>
      <w:r w:rsidRPr="005E07A1">
        <w:rPr>
          <w:rFonts w:cs="Times New Roman"/>
          <w:color w:val="000000" w:themeColor="text1"/>
          <w:szCs w:val="24"/>
        </w:rPr>
        <w:t xml:space="preserve"> on average about 1.59 </w:t>
      </w:r>
      <w:r w:rsidR="00FE6385">
        <w:rPr>
          <w:rFonts w:cs="Times New Roman"/>
          <w:color w:val="000000" w:themeColor="text1"/>
          <w:szCs w:val="24"/>
        </w:rPr>
        <w:t>tonne</w:t>
      </w:r>
      <w:r w:rsidRPr="005E07A1">
        <w:rPr>
          <w:rFonts w:cs="Times New Roman"/>
          <w:color w:val="000000" w:themeColor="text1"/>
          <w:szCs w:val="24"/>
        </w:rPr>
        <w:t xml:space="preserve">s of rice per acre, Patuakhali gets a mere 0.72 </w:t>
      </w:r>
      <w:r w:rsidR="00FE6385">
        <w:rPr>
          <w:rFonts w:cs="Times New Roman"/>
          <w:color w:val="000000" w:themeColor="text1"/>
          <w:szCs w:val="24"/>
        </w:rPr>
        <w:t>tonne</w:t>
      </w:r>
      <w:r w:rsidRPr="005E07A1">
        <w:rPr>
          <w:rFonts w:cs="Times New Roman"/>
          <w:color w:val="000000" w:themeColor="text1"/>
          <w:szCs w:val="24"/>
        </w:rPr>
        <w:t xml:space="preserve">, which is 55% lower.  </w:t>
      </w:r>
    </w:p>
    <w:p w:rsidR="00A356FA" w:rsidRPr="005E07A1" w:rsidRDefault="004C3293" w:rsidP="00AE3FE6">
      <w:pPr>
        <w:spacing w:line="271" w:lineRule="auto"/>
        <w:jc w:val="both"/>
        <w:rPr>
          <w:rFonts w:cs="Times New Roman"/>
          <w:color w:val="000000" w:themeColor="text1"/>
          <w:szCs w:val="24"/>
        </w:rPr>
      </w:pPr>
      <w:r>
        <w:rPr>
          <w:rFonts w:cs="Times New Roman"/>
          <w:color w:val="000000" w:themeColor="text1"/>
          <w:szCs w:val="24"/>
        </w:rPr>
        <w:lastRenderedPageBreak/>
        <w:t>The Chapter</w:t>
      </w:r>
      <w:r w:rsidR="00A356FA" w:rsidRPr="005E07A1">
        <w:rPr>
          <w:rFonts w:cs="Times New Roman"/>
          <w:color w:val="000000" w:themeColor="text1"/>
          <w:szCs w:val="24"/>
        </w:rPr>
        <w:t xml:space="preserve"> also illustrates some other highly positive adaptation experiences that have important implications for strategy formulation and policy design. The importance of economic diversification for employment and income is indicated from the experiences of Barguna, Bage</w:t>
      </w:r>
      <w:r w:rsidR="00F43AEB">
        <w:rPr>
          <w:rFonts w:cs="Times New Roman"/>
          <w:color w:val="000000" w:themeColor="text1"/>
          <w:szCs w:val="24"/>
        </w:rPr>
        <w:t>rhat, Bogra, Patuakhali</w:t>
      </w:r>
      <w:r w:rsidR="001B33A5">
        <w:rPr>
          <w:rFonts w:cs="Times New Roman"/>
          <w:color w:val="000000" w:themeColor="text1"/>
          <w:szCs w:val="24"/>
        </w:rPr>
        <w:t xml:space="preserve"> and all </w:t>
      </w:r>
      <w:r w:rsidR="00A356FA" w:rsidRPr="005E07A1">
        <w:rPr>
          <w:rFonts w:cs="Times New Roman"/>
          <w:color w:val="000000" w:themeColor="text1"/>
          <w:szCs w:val="24"/>
        </w:rPr>
        <w:t>the urban hotspot district</w:t>
      </w:r>
      <w:r w:rsidR="001B33A5">
        <w:rPr>
          <w:rFonts w:cs="Times New Roman"/>
          <w:color w:val="000000" w:themeColor="text1"/>
          <w:szCs w:val="24"/>
        </w:rPr>
        <w:t>s</w:t>
      </w:r>
      <w:r w:rsidR="00A356FA" w:rsidRPr="005E07A1">
        <w:rPr>
          <w:rFonts w:cs="Times New Roman"/>
          <w:color w:val="000000" w:themeColor="text1"/>
          <w:szCs w:val="24"/>
        </w:rPr>
        <w:t xml:space="preserve">. Of particular mention is the experience of </w:t>
      </w:r>
      <w:r w:rsidR="001B33A5">
        <w:rPr>
          <w:rFonts w:cs="Times New Roman"/>
          <w:color w:val="000000" w:themeColor="text1"/>
          <w:szCs w:val="24"/>
        </w:rPr>
        <w:t xml:space="preserve">the </w:t>
      </w:r>
      <w:r w:rsidR="00A356FA" w:rsidRPr="005E07A1">
        <w:rPr>
          <w:rFonts w:cs="Times New Roman"/>
          <w:color w:val="000000" w:themeColor="text1"/>
          <w:szCs w:val="24"/>
        </w:rPr>
        <w:t xml:space="preserve">Chittagong district that </w:t>
      </w:r>
      <w:r w:rsidR="001B33A5">
        <w:rPr>
          <w:rFonts w:cs="Times New Roman"/>
          <w:color w:val="000000" w:themeColor="text1"/>
          <w:szCs w:val="24"/>
        </w:rPr>
        <w:t>faces many of the risks as in</w:t>
      </w:r>
      <w:r w:rsidR="00A356FA" w:rsidRPr="005E07A1">
        <w:rPr>
          <w:rFonts w:cs="Times New Roman"/>
          <w:color w:val="000000" w:themeColor="text1"/>
          <w:szCs w:val="24"/>
        </w:rPr>
        <w:t xml:space="preserve"> other </w:t>
      </w:r>
      <w:r w:rsidR="005E07A1" w:rsidRPr="005E07A1">
        <w:rPr>
          <w:rFonts w:cs="Times New Roman"/>
          <w:color w:val="000000" w:themeColor="text1"/>
          <w:szCs w:val="24"/>
        </w:rPr>
        <w:t>coastal districts</w:t>
      </w:r>
      <w:r w:rsidR="001B33A5">
        <w:rPr>
          <w:rFonts w:cs="Times New Roman"/>
          <w:color w:val="000000" w:themeColor="text1"/>
          <w:szCs w:val="24"/>
        </w:rPr>
        <w:t>,</w:t>
      </w:r>
      <w:r w:rsidR="00A356FA" w:rsidRPr="005E07A1">
        <w:rPr>
          <w:rFonts w:cs="Times New Roman"/>
          <w:color w:val="000000" w:themeColor="text1"/>
          <w:szCs w:val="24"/>
        </w:rPr>
        <w:t xml:space="preserve"> but has achieved both high per capita income and low poverty by adapting </w:t>
      </w:r>
      <w:r w:rsidR="00401ED2" w:rsidRPr="005E07A1">
        <w:rPr>
          <w:rFonts w:cs="Times New Roman"/>
          <w:color w:val="000000" w:themeColor="text1"/>
          <w:szCs w:val="24"/>
        </w:rPr>
        <w:t>too</w:t>
      </w:r>
      <w:r w:rsidR="00A356FA" w:rsidRPr="005E07A1">
        <w:rPr>
          <w:rFonts w:cs="Times New Roman"/>
          <w:color w:val="000000" w:themeColor="text1"/>
          <w:szCs w:val="24"/>
        </w:rPr>
        <w:t xml:space="preserve"> many of these risks through industrialization, port development, commercial activities and investments in health, education, power and transport.  The importance of adaptation within agriculture from primarily crops-based to crops plus fisheries and other higher value-added activities is indicated by the positive experiences in Barguna, Patuakhali, Khulna and Bagerhat.  The positive role of foreign remittances is indicated by the experiences of Noakhali and Feni.</w:t>
      </w:r>
    </w:p>
    <w:p w:rsidR="00353476" w:rsidRPr="00AE3FE6" w:rsidRDefault="00A356FA" w:rsidP="00AE3FE6">
      <w:pPr>
        <w:spacing w:line="271" w:lineRule="auto"/>
        <w:jc w:val="both"/>
        <w:rPr>
          <w:rFonts w:cs="Times New Roman"/>
          <w:color w:val="000000" w:themeColor="text1"/>
          <w:szCs w:val="24"/>
        </w:rPr>
      </w:pPr>
      <w:r w:rsidRPr="005E07A1">
        <w:rPr>
          <w:rFonts w:cs="Times New Roman"/>
          <w:color w:val="000000" w:themeColor="text1"/>
          <w:szCs w:val="24"/>
        </w:rPr>
        <w:t>The experience of districts in the south-west coastal belt an</w:t>
      </w:r>
      <w:r w:rsidR="00A24C42">
        <w:rPr>
          <w:rFonts w:cs="Times New Roman"/>
          <w:color w:val="000000" w:themeColor="text1"/>
          <w:szCs w:val="24"/>
        </w:rPr>
        <w:t xml:space="preserve">d the </w:t>
      </w:r>
      <w:r w:rsidRPr="005E07A1">
        <w:rPr>
          <w:rFonts w:cs="Times New Roman"/>
          <w:color w:val="000000" w:themeColor="text1"/>
          <w:szCs w:val="24"/>
        </w:rPr>
        <w:t>river and estuary region show the role of out-migration to other districts as a natural adaptation option facing the affected population.  This provides some relief to the out-migration district but creates challenges in the urban cities of Dhaka and Chittagong who receive this population.  The urbanization challenge is already acute in these two metropolitan areas.  Other urban cities including in Khulna</w:t>
      </w:r>
      <w:r w:rsidR="005E07A1" w:rsidRPr="005E07A1">
        <w:rPr>
          <w:rFonts w:cs="Times New Roman"/>
          <w:color w:val="000000" w:themeColor="text1"/>
          <w:szCs w:val="24"/>
        </w:rPr>
        <w:t>, Barisal</w:t>
      </w:r>
      <w:r w:rsidRPr="005E07A1">
        <w:rPr>
          <w:rFonts w:cs="Times New Roman"/>
          <w:color w:val="000000" w:themeColor="text1"/>
          <w:szCs w:val="24"/>
        </w:rPr>
        <w:t xml:space="preserve">, </w:t>
      </w:r>
      <w:r w:rsidR="00401ED2" w:rsidRPr="005E07A1">
        <w:rPr>
          <w:rFonts w:cs="Times New Roman"/>
          <w:color w:val="000000" w:themeColor="text1"/>
          <w:szCs w:val="24"/>
        </w:rPr>
        <w:t>and Patuakhali</w:t>
      </w:r>
      <w:r w:rsidRPr="005E07A1">
        <w:rPr>
          <w:rFonts w:cs="Times New Roman"/>
          <w:color w:val="000000" w:themeColor="text1"/>
          <w:szCs w:val="24"/>
        </w:rPr>
        <w:t xml:space="preserve"> are facing similar urbanization pressures with high incidence of urban poverty.  While this is partly the result of spatial inequality in the distribution of economic development and over time urban concentration and urbanization will continue to increase, the out-migration owing to natural disasters can be slowed substantially through proper policies and investments aimed at lowering the adverse effects of natural disasters and climate change.   </w:t>
      </w:r>
      <w:r w:rsidR="00353476">
        <w:br w:type="page"/>
      </w:r>
    </w:p>
    <w:bookmarkEnd w:id="173"/>
    <w:p w:rsidR="00A356FA" w:rsidRPr="00C26839" w:rsidRDefault="00A356FA" w:rsidP="00A356FA">
      <w:pPr>
        <w:spacing w:line="276" w:lineRule="auto"/>
        <w:rPr>
          <w:rFonts w:cs="Times New Roman"/>
          <w:sz w:val="28"/>
        </w:rPr>
        <w:sectPr w:rsidR="00A356FA" w:rsidRPr="00C26839" w:rsidSect="00144771">
          <w:headerReference w:type="even" r:id="rId65"/>
          <w:headerReference w:type="default" r:id="rId66"/>
          <w:footerReference w:type="default" r:id="rId67"/>
          <w:headerReference w:type="first" r:id="rId68"/>
          <w:footerReference w:type="first" r:id="rId69"/>
          <w:pgSz w:w="12240" w:h="15840"/>
          <w:pgMar w:top="1440" w:right="1440" w:bottom="1440" w:left="1440" w:header="720" w:footer="720" w:gutter="0"/>
          <w:cols w:space="720"/>
          <w:docGrid w:linePitch="360"/>
        </w:sectPr>
      </w:pPr>
    </w:p>
    <w:p w:rsidR="00A356FA" w:rsidRPr="00E568FD" w:rsidRDefault="00A356FA" w:rsidP="00E568FD">
      <w:pPr>
        <w:pStyle w:val="Title"/>
        <w:jc w:val="center"/>
        <w:rPr>
          <w:rFonts w:asciiTheme="minorHAnsi" w:hAnsiTheme="minorHAnsi"/>
          <w:b/>
        </w:rPr>
      </w:pPr>
      <w:bookmarkStart w:id="195" w:name="_Toc474638855"/>
      <w:r w:rsidRPr="00E568FD">
        <w:rPr>
          <w:rFonts w:asciiTheme="minorHAnsi" w:hAnsiTheme="minorHAnsi"/>
          <w:b/>
        </w:rPr>
        <w:lastRenderedPageBreak/>
        <w:t>CHAPTER 3</w:t>
      </w:r>
      <w:bookmarkEnd w:id="195"/>
    </w:p>
    <w:p w:rsidR="00A356FA" w:rsidRPr="0052496C" w:rsidRDefault="00A356FA" w:rsidP="008C0601">
      <w:pPr>
        <w:pStyle w:val="Heading1"/>
      </w:pPr>
      <w:bookmarkStart w:id="196" w:name="_Toc474638856"/>
      <w:r w:rsidRPr="0052496C">
        <w:t>Climate Change, Environment and Ecological Issues</w:t>
      </w:r>
      <w:bookmarkEnd w:id="196"/>
    </w:p>
    <w:p w:rsidR="00F64A6A" w:rsidRDefault="00A356FA" w:rsidP="00F64A6A">
      <w:pPr>
        <w:pStyle w:val="Heading2"/>
        <w:numPr>
          <w:ilvl w:val="0"/>
          <w:numId w:val="0"/>
        </w:numPr>
        <w:ind w:left="720"/>
      </w:pPr>
      <w:bookmarkStart w:id="197" w:name="_Toc474638857"/>
      <w:r w:rsidRPr="00155628">
        <w:t>Overview</w:t>
      </w:r>
      <w:bookmarkEnd w:id="197"/>
    </w:p>
    <w:p w:rsidR="00E83428" w:rsidRDefault="00A356FA" w:rsidP="002F2EF8">
      <w:pPr>
        <w:spacing w:line="276" w:lineRule="auto"/>
        <w:jc w:val="both"/>
      </w:pPr>
      <w:r w:rsidRPr="005B0E21">
        <w:t>Bangladesh is a tropical country and its climate, environment and ecology is enriched with much diversified flor</w:t>
      </w:r>
      <w:r w:rsidR="00C33D06">
        <w:t>a and fauna. Due to its</w:t>
      </w:r>
      <w:r w:rsidRPr="005B0E21">
        <w:t xml:space="preserve"> geographic setting, mostly low lying deltaic landforms and close proximity to the Bay of Bengal, the country is one </w:t>
      </w:r>
      <w:r w:rsidR="00C33D06">
        <w:t>of most vulnerable countries</w:t>
      </w:r>
      <w:r w:rsidRPr="005B0E21">
        <w:t xml:space="preserve"> to climate change impacts. </w:t>
      </w:r>
      <w:r w:rsidR="00C33D06">
        <w:t>As noted in Chapter 1, d</w:t>
      </w:r>
      <w:r w:rsidRPr="005B0E21">
        <w:t>ue to the climate change impacts, Bangladesh is already experiencing increased temperature, changes in rainfall pattern and distribution, sea level rise and salinity intrusion at an accelerated rate and increased disaster intensity etc.</w:t>
      </w:r>
      <w:r w:rsidR="00C33D06">
        <w:t>,</w:t>
      </w:r>
      <w:r w:rsidRPr="005B0E21">
        <w:t xml:space="preserve"> which will become greater issues in </w:t>
      </w:r>
      <w:r w:rsidR="00C33D06">
        <w:t>the future. Additionally</w:t>
      </w:r>
      <w:r w:rsidRPr="005B0E21">
        <w:t xml:space="preserve">, the environment and </w:t>
      </w:r>
      <w:r w:rsidR="00C33D06">
        <w:t xml:space="preserve">ecological setting is facing additional pressure </w:t>
      </w:r>
      <w:r w:rsidRPr="005B0E21">
        <w:t>from rapid, unplanned urban and industrial development without proper environmental protective measures. With the growing economy, these issues will become more intense in the future, if adequate measures are n</w:t>
      </w:r>
      <w:r w:rsidR="00C33D06">
        <w:t xml:space="preserve">ot taken. </w:t>
      </w:r>
    </w:p>
    <w:p w:rsidR="001E4783" w:rsidRDefault="00E83428" w:rsidP="002F2EF8">
      <w:pPr>
        <w:spacing w:line="276" w:lineRule="auto"/>
        <w:jc w:val="both"/>
      </w:pPr>
      <w:r>
        <w:t xml:space="preserve">While long-term goals of </w:t>
      </w:r>
      <w:r w:rsidR="00C471E5">
        <w:t xml:space="preserve">achieving </w:t>
      </w:r>
      <w:r>
        <w:t xml:space="preserve">upper middle income status, elimination of extreme poverty and job creation are a part of long-term development strategy of the Bangladesh delta, the protection of the environment and ecological balance are important elements of sustainable development and better quality of life.  These objectives will have to go hand-in-hand.  They are also correlated. Long-term income growth and </w:t>
      </w:r>
      <w:r w:rsidR="00F51D0D">
        <w:t>extreme</w:t>
      </w:r>
      <w:r>
        <w:t xml:space="preserve"> poverty elimination are an important component of a long-</w:t>
      </w:r>
      <w:r w:rsidR="00F51D0D">
        <w:t>term</w:t>
      </w:r>
      <w:r>
        <w:t xml:space="preserve"> strategy to preserve the environment and the ecological balance.  Unsustainable use of land and forest resources and destruction of the bio-diversity are partly caused by poverty as the search for livelihood often creates tensions and conflicts between these two sets of objectives. </w:t>
      </w:r>
      <w:r w:rsidR="00C471E5">
        <w:t xml:space="preserve">Unsustainable use of natural resources and non-protection of the environment, ecological balance and bio-diversity will reduce agricultural productivity and intensify the impact of natural disasters, thereby reducing the productivity of capital and GDP growth. </w:t>
      </w:r>
    </w:p>
    <w:p w:rsidR="00A356FA" w:rsidRPr="005B0E21" w:rsidRDefault="001E4783" w:rsidP="002F2EF8">
      <w:pPr>
        <w:spacing w:line="276" w:lineRule="auto"/>
        <w:jc w:val="both"/>
      </w:pPr>
      <w:r>
        <w:t xml:space="preserve">Chapter 1 identified some of the critical environmental, ecological and bio-diversity issues.  </w:t>
      </w:r>
      <w:r w:rsidR="002E04F3">
        <w:t>This</w:t>
      </w:r>
      <w:r>
        <w:t xml:space="preserve"> Chapter builds on that discussion and provides in greater detail the nature of these m</w:t>
      </w:r>
      <w:r w:rsidR="00E83428">
        <w:t xml:space="preserve">ajor environmental concerns and ecological </w:t>
      </w:r>
      <w:r>
        <w:t>issues</w:t>
      </w:r>
      <w:r w:rsidR="00A356FA" w:rsidRPr="005B0E21">
        <w:t xml:space="preserve">.  </w:t>
      </w:r>
      <w:r w:rsidR="000172A3">
        <w:t>Chapter 1 provided in detail the nature of climate change risks.  So, this chapter does not repeat that discussion and instead focuses on what are the implications of those climate change factors for environme</w:t>
      </w:r>
      <w:r w:rsidR="000D4192">
        <w:t xml:space="preserve">nt, </w:t>
      </w:r>
      <w:r w:rsidR="002E04F3">
        <w:t>bio</w:t>
      </w:r>
      <w:r w:rsidR="000D4192">
        <w:t>-diversity and ecology.</w:t>
      </w:r>
    </w:p>
    <w:p w:rsidR="000D4192" w:rsidRDefault="000D4192">
      <w:pPr>
        <w:rPr>
          <w:rFonts w:cs="Times New Roman"/>
          <w:b/>
          <w:color w:val="1F497D" w:themeColor="text2"/>
          <w:sz w:val="28"/>
        </w:rPr>
      </w:pPr>
      <w:r>
        <w:br w:type="page"/>
      </w:r>
    </w:p>
    <w:p w:rsidR="00F64A6A" w:rsidRDefault="00A356FA" w:rsidP="00F64A6A">
      <w:pPr>
        <w:pStyle w:val="Heading2"/>
        <w:numPr>
          <w:ilvl w:val="0"/>
          <w:numId w:val="0"/>
        </w:numPr>
        <w:ind w:left="720" w:hanging="720"/>
      </w:pPr>
      <w:bookmarkStart w:id="198" w:name="_Toc474638858"/>
      <w:r w:rsidRPr="00A802C3">
        <w:lastRenderedPageBreak/>
        <w:t>Environment</w:t>
      </w:r>
      <w:r w:rsidR="001F750A" w:rsidRPr="00A802C3">
        <w:t>al Challenges</w:t>
      </w:r>
      <w:r w:rsidR="00EF0A64" w:rsidRPr="00A802C3">
        <w:t xml:space="preserve"> Facing Bangladesh</w:t>
      </w:r>
      <w:bookmarkEnd w:id="198"/>
    </w:p>
    <w:p w:rsidR="001E4783" w:rsidRDefault="00EF0A64" w:rsidP="001E4783">
      <w:pPr>
        <w:spacing w:line="276" w:lineRule="auto"/>
        <w:jc w:val="both"/>
        <w:rPr>
          <w:szCs w:val="24"/>
        </w:rPr>
      </w:pPr>
      <w:r>
        <w:rPr>
          <w:szCs w:val="24"/>
        </w:rPr>
        <w:t xml:space="preserve">There are many environmental challenges facing Bangladesh including water shortages, land degradation, deforestation, air </w:t>
      </w:r>
      <w:r w:rsidR="00F51D0D">
        <w:rPr>
          <w:szCs w:val="24"/>
        </w:rPr>
        <w:t>pollution</w:t>
      </w:r>
      <w:r>
        <w:rPr>
          <w:szCs w:val="24"/>
        </w:rPr>
        <w:t xml:space="preserve">, water pollution, and ground water quality.  Water shortages and land issues are discussed in chapters 4, 6 and 7. The issues of </w:t>
      </w:r>
      <w:r w:rsidR="00465D53">
        <w:rPr>
          <w:szCs w:val="24"/>
        </w:rPr>
        <w:t xml:space="preserve">water quality, </w:t>
      </w:r>
      <w:r w:rsidR="00207384">
        <w:rPr>
          <w:szCs w:val="24"/>
        </w:rPr>
        <w:t xml:space="preserve">ground water </w:t>
      </w:r>
      <w:r w:rsidR="00465D53">
        <w:rPr>
          <w:szCs w:val="24"/>
        </w:rPr>
        <w:t xml:space="preserve">quantity and </w:t>
      </w:r>
      <w:r w:rsidR="00207384">
        <w:rPr>
          <w:szCs w:val="24"/>
        </w:rPr>
        <w:t>quality, water pollution and</w:t>
      </w:r>
      <w:r>
        <w:rPr>
          <w:szCs w:val="24"/>
        </w:rPr>
        <w:t xml:space="preserve"> air po</w:t>
      </w:r>
      <w:r w:rsidR="00207384">
        <w:rPr>
          <w:szCs w:val="24"/>
        </w:rPr>
        <w:t xml:space="preserve">llution </w:t>
      </w:r>
      <w:r>
        <w:rPr>
          <w:szCs w:val="24"/>
        </w:rPr>
        <w:t>are discussed in this section</w:t>
      </w:r>
      <w:r w:rsidR="00A356FA" w:rsidRPr="006A0504">
        <w:rPr>
          <w:szCs w:val="24"/>
        </w:rPr>
        <w:t xml:space="preserve">. </w:t>
      </w:r>
      <w:r>
        <w:rPr>
          <w:szCs w:val="24"/>
        </w:rPr>
        <w:t xml:space="preserve">Forest issues are reviewed along with other ecological factors in the next section. </w:t>
      </w:r>
    </w:p>
    <w:p w:rsidR="00000000" w:rsidRDefault="00CB62D5" w:rsidP="003D5A31">
      <w:pPr>
        <w:pStyle w:val="BodyText"/>
        <w:numPr>
          <w:ilvl w:val="2"/>
          <w:numId w:val="137"/>
        </w:numPr>
        <w:spacing w:after="240" w:line="276" w:lineRule="auto"/>
        <w:jc w:val="both"/>
        <w:rPr>
          <w:rFonts w:cs="Times New Roman"/>
          <w:b/>
          <w:szCs w:val="24"/>
        </w:rPr>
      </w:pPr>
      <w:r>
        <w:rPr>
          <w:rFonts w:cs="Times New Roman"/>
          <w:b/>
          <w:szCs w:val="24"/>
        </w:rPr>
        <w:t>Surface Water Pollution</w:t>
      </w:r>
    </w:p>
    <w:p w:rsidR="00A356FA" w:rsidRPr="006A0504" w:rsidRDefault="00A356FA" w:rsidP="002F2EF8">
      <w:pPr>
        <w:spacing w:line="276" w:lineRule="auto"/>
        <w:jc w:val="both"/>
        <w:rPr>
          <w:szCs w:val="24"/>
        </w:rPr>
      </w:pPr>
      <w:r w:rsidRPr="006A0504">
        <w:rPr>
          <w:szCs w:val="24"/>
        </w:rPr>
        <w:t xml:space="preserve">Different parts of Bangladesh have distinct environmental features and are susceptible to different levels of environmental pollutions. Those are mostly due to the establishment of different patterns of industries in different areas. The major causes of </w:t>
      </w:r>
      <w:r w:rsidR="00CB62D5">
        <w:rPr>
          <w:szCs w:val="24"/>
        </w:rPr>
        <w:t xml:space="preserve">surface </w:t>
      </w:r>
      <w:r w:rsidRPr="006A0504">
        <w:rPr>
          <w:szCs w:val="24"/>
        </w:rPr>
        <w:t>water pollution are related to land based activities, including industrial effluents, agrochemical, faecal pollution, and oil and lube spillage. Since the rivers are frequently used as dumps, overall inland surface water quality drops below the permissible limit of Department of Environment (DoE) standards in the dry season whereas it improves in the wet/mons</w:t>
      </w:r>
      <w:r w:rsidR="006A46FE">
        <w:rPr>
          <w:szCs w:val="24"/>
        </w:rPr>
        <w:t>oon season</w:t>
      </w:r>
      <w:r w:rsidRPr="006A0504">
        <w:rPr>
          <w:szCs w:val="24"/>
        </w:rPr>
        <w:t xml:space="preserve">.  </w:t>
      </w:r>
    </w:p>
    <w:p w:rsidR="00A356FA" w:rsidRPr="006A0504" w:rsidRDefault="00A356FA" w:rsidP="002F2EF8">
      <w:pPr>
        <w:spacing w:line="276" w:lineRule="auto"/>
        <w:jc w:val="both"/>
        <w:rPr>
          <w:szCs w:val="24"/>
        </w:rPr>
      </w:pPr>
      <w:r w:rsidRPr="006A0504">
        <w:rPr>
          <w:szCs w:val="24"/>
        </w:rPr>
        <w:t>Industrialization has de</w:t>
      </w:r>
      <w:r w:rsidR="00DB148C">
        <w:rPr>
          <w:szCs w:val="24"/>
        </w:rPr>
        <w:t>veloped in the vicinity of the m</w:t>
      </w:r>
      <w:r w:rsidRPr="006A0504">
        <w:rPr>
          <w:szCs w:val="24"/>
        </w:rPr>
        <w:t xml:space="preserve">ajor rivers due to the facility of availability of water and easy dumping of effluent. Industrialization got a boom in the early 1980s with the beginning of investment in garments sector. However, most of the industries were unaware of the danger created by dumping effluent into rivers without any treatment. This has led to a serious degradation of river water quality over the years and it still continues to do so. Besides, water pollution, arsenic and air pollution are two main components of environmental pollution in Bangladesh. </w:t>
      </w:r>
    </w:p>
    <w:p w:rsidR="00CB62D5" w:rsidRDefault="00DB148C" w:rsidP="002F2EF8">
      <w:pPr>
        <w:spacing w:line="276" w:lineRule="auto"/>
        <w:jc w:val="both"/>
        <w:rPr>
          <w:szCs w:val="24"/>
        </w:rPr>
      </w:pPr>
      <w:r>
        <w:rPr>
          <w:szCs w:val="24"/>
        </w:rPr>
        <w:t>The parameters that</w:t>
      </w:r>
      <w:r w:rsidR="00CB62D5" w:rsidRPr="00CB62D5">
        <w:rPr>
          <w:szCs w:val="24"/>
        </w:rPr>
        <w:t xml:space="preserve"> are considered are </w:t>
      </w:r>
      <w:r w:rsidR="00E7660E">
        <w:rPr>
          <w:szCs w:val="24"/>
        </w:rPr>
        <w:t>the acidic level of water (</w:t>
      </w:r>
      <w:r w:rsidR="00CB62D5" w:rsidRPr="00CB62D5">
        <w:rPr>
          <w:szCs w:val="24"/>
        </w:rPr>
        <w:t>pH</w:t>
      </w:r>
      <w:r w:rsidR="00E7660E">
        <w:rPr>
          <w:szCs w:val="24"/>
        </w:rPr>
        <w:t>)</w:t>
      </w:r>
      <w:r w:rsidR="00CB62D5" w:rsidRPr="00CB62D5">
        <w:rPr>
          <w:szCs w:val="24"/>
        </w:rPr>
        <w:t>, Dissolved Oxygen (DO),</w:t>
      </w:r>
      <w:r w:rsidR="00A42031">
        <w:rPr>
          <w:szCs w:val="24"/>
        </w:rPr>
        <w:t xml:space="preserve"> Biochemical Oxygen </w:t>
      </w:r>
      <w:r w:rsidR="000172A3">
        <w:rPr>
          <w:szCs w:val="24"/>
        </w:rPr>
        <w:t>Demand (BOD</w:t>
      </w:r>
      <w:r w:rsidR="00A42031" w:rsidRPr="00A42031">
        <w:rPr>
          <w:szCs w:val="24"/>
        </w:rPr>
        <w:t xml:space="preserve">), </w:t>
      </w:r>
      <w:r w:rsidR="00CB62D5" w:rsidRPr="00A42031">
        <w:rPr>
          <w:szCs w:val="24"/>
        </w:rPr>
        <w:t>and Chemical</w:t>
      </w:r>
      <w:r w:rsidR="00CB62D5" w:rsidRPr="00CB62D5">
        <w:rPr>
          <w:szCs w:val="24"/>
        </w:rPr>
        <w:t xml:space="preserve"> Oxygen Demand (COD).</w:t>
      </w:r>
      <w:r>
        <w:rPr>
          <w:szCs w:val="24"/>
        </w:rPr>
        <w:t xml:space="preserve">  </w:t>
      </w:r>
      <w:r w:rsidR="00CB62D5" w:rsidRPr="00CB62D5">
        <w:rPr>
          <w:szCs w:val="24"/>
        </w:rPr>
        <w:t>The analysis is based on river water quality data of 2012 and 2011 published by Department on Environment (DoE, 2012 and 2013). The pollution level of the major rivers located besides the major citie</w:t>
      </w:r>
      <w:r w:rsidR="00CB62D5">
        <w:rPr>
          <w:szCs w:val="24"/>
        </w:rPr>
        <w:t>s of Bangladesh is shown in Table 3.2.</w:t>
      </w:r>
      <w:r w:rsidR="00DC2302">
        <w:rPr>
          <w:szCs w:val="24"/>
        </w:rPr>
        <w:t xml:space="preserve"> </w:t>
      </w:r>
      <w:r w:rsidR="000172A3">
        <w:rPr>
          <w:szCs w:val="24"/>
        </w:rPr>
        <w:t xml:space="preserve"> </w:t>
      </w:r>
      <w:r w:rsidR="009A24E2">
        <w:rPr>
          <w:szCs w:val="24"/>
        </w:rPr>
        <w:t>B</w:t>
      </w:r>
      <w:r w:rsidR="000172A3">
        <w:rPr>
          <w:szCs w:val="24"/>
        </w:rPr>
        <w:t>y and large, t</w:t>
      </w:r>
      <w:r w:rsidR="00DC2302">
        <w:rPr>
          <w:szCs w:val="24"/>
        </w:rPr>
        <w:t>he pollution level of rivers</w:t>
      </w:r>
      <w:r w:rsidR="000172A3">
        <w:rPr>
          <w:szCs w:val="24"/>
        </w:rPr>
        <w:t xml:space="preserve"> exceed</w:t>
      </w:r>
      <w:r w:rsidR="00E7660E">
        <w:rPr>
          <w:szCs w:val="24"/>
        </w:rPr>
        <w:t>s</w:t>
      </w:r>
      <w:r w:rsidR="000172A3">
        <w:rPr>
          <w:szCs w:val="24"/>
        </w:rPr>
        <w:t xml:space="preserve"> the safe levels for </w:t>
      </w:r>
      <w:r w:rsidR="00E7660E">
        <w:rPr>
          <w:szCs w:val="24"/>
        </w:rPr>
        <w:t>many of the</w:t>
      </w:r>
      <w:r w:rsidR="00DC2302">
        <w:rPr>
          <w:szCs w:val="24"/>
        </w:rPr>
        <w:t xml:space="preserve"> indicators.</w:t>
      </w:r>
    </w:p>
    <w:p w:rsidR="00DC2302" w:rsidRDefault="00DC2302" w:rsidP="002F2EF8">
      <w:pPr>
        <w:spacing w:line="276" w:lineRule="auto"/>
        <w:jc w:val="both"/>
        <w:rPr>
          <w:szCs w:val="24"/>
        </w:rPr>
      </w:pPr>
      <w:r w:rsidRPr="006A0504">
        <w:rPr>
          <w:szCs w:val="24"/>
        </w:rPr>
        <w:t>Bogra is one of the districts of Barind area where industries are rapidly growing due to government initiative to establish an economic zone. Besides, there are many medium size agro-equipment industry and brick kilns. The brick kilns are major point source of air pollution in the area. Bogra is situated beside Karatoa River and this river is heavily polluted by industrial and municipal effluents from the city. The pH of this river is over 7</w:t>
      </w:r>
      <w:r w:rsidR="003C1D21">
        <w:rPr>
          <w:szCs w:val="24"/>
        </w:rPr>
        <w:t xml:space="preserve"> </w:t>
      </w:r>
      <w:r w:rsidR="003C1D21" w:rsidRPr="003C1D21">
        <w:rPr>
          <w:szCs w:val="24"/>
        </w:rPr>
        <w:t>(Zakir et al., 2013)</w:t>
      </w:r>
      <w:r w:rsidRPr="003C1D21">
        <w:rPr>
          <w:szCs w:val="24"/>
        </w:rPr>
        <w:t xml:space="preserve">. </w:t>
      </w:r>
      <w:r w:rsidRPr="006A0504">
        <w:rPr>
          <w:szCs w:val="24"/>
        </w:rPr>
        <w:t>The DO of Karatoa River is around 0.4 mg/</w:t>
      </w:r>
      <w:r>
        <w:rPr>
          <w:szCs w:val="24"/>
        </w:rPr>
        <w:t>l</w:t>
      </w:r>
      <w:r w:rsidR="003C1D21">
        <w:rPr>
          <w:szCs w:val="24"/>
        </w:rPr>
        <w:t xml:space="preserve"> </w:t>
      </w:r>
      <w:r w:rsidR="003C1D21" w:rsidRPr="003C1D21">
        <w:rPr>
          <w:szCs w:val="24"/>
        </w:rPr>
        <w:t>(Zakir et al., 2013)</w:t>
      </w:r>
      <w:r w:rsidRPr="003C1D21">
        <w:rPr>
          <w:szCs w:val="24"/>
        </w:rPr>
        <w:t xml:space="preserve">. </w:t>
      </w:r>
      <w:r w:rsidRPr="006A0504">
        <w:rPr>
          <w:szCs w:val="24"/>
        </w:rPr>
        <w:lastRenderedPageBreak/>
        <w:t xml:space="preserve">Jamuna is one of the major rivers of Barind region. In wet season it has pH of </w:t>
      </w:r>
      <w:r>
        <w:rPr>
          <w:szCs w:val="24"/>
        </w:rPr>
        <w:t>around 8.5</w:t>
      </w:r>
      <w:r w:rsidR="003C1D21">
        <w:rPr>
          <w:szCs w:val="24"/>
        </w:rPr>
        <w:t xml:space="preserve"> </w:t>
      </w:r>
      <w:r w:rsidR="003C1D21" w:rsidRPr="003C1D21">
        <w:rPr>
          <w:szCs w:val="24"/>
        </w:rPr>
        <w:t>(Uddin et al., 2014)</w:t>
      </w:r>
      <w:r>
        <w:rPr>
          <w:szCs w:val="24"/>
        </w:rPr>
        <w:t xml:space="preserve">, </w:t>
      </w:r>
      <w:r w:rsidRPr="006A0504">
        <w:rPr>
          <w:szCs w:val="24"/>
        </w:rPr>
        <w:t>which is well ab</w:t>
      </w:r>
      <w:r w:rsidR="008442F3">
        <w:rPr>
          <w:szCs w:val="24"/>
        </w:rPr>
        <w:t>ove the standard value of 7.</w:t>
      </w:r>
    </w:p>
    <w:p w:rsidR="00CB62D5" w:rsidRPr="00063B34" w:rsidRDefault="00E029A9" w:rsidP="00063B34">
      <w:pPr>
        <w:pStyle w:val="Heading4"/>
      </w:pPr>
      <w:bookmarkStart w:id="199" w:name="_Toc474639019"/>
      <w:r w:rsidRPr="00063B34">
        <w:t>Table 3.1</w:t>
      </w:r>
      <w:r w:rsidR="00CB62D5" w:rsidRPr="00063B34">
        <w:t xml:space="preserve">: Water Quality </w:t>
      </w:r>
      <w:r w:rsidR="002E04F3" w:rsidRPr="00063B34">
        <w:t>Indicators</w:t>
      </w:r>
      <w:r w:rsidR="00CB62D5" w:rsidRPr="00063B34">
        <w:t xml:space="preserve"> of Selected Rivers</w:t>
      </w:r>
      <w:bookmarkEnd w:id="199"/>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917"/>
        <w:gridCol w:w="1872"/>
        <w:gridCol w:w="1456"/>
        <w:gridCol w:w="1444"/>
        <w:gridCol w:w="1745"/>
        <w:gridCol w:w="1422"/>
      </w:tblGrid>
      <w:tr w:rsidR="009E6BE3" w:rsidRPr="00CB62D5" w:rsidTr="009E6BE3">
        <w:trPr>
          <w:trHeight w:val="287"/>
        </w:trPr>
        <w:tc>
          <w:tcPr>
            <w:tcW w:w="5000" w:type="pct"/>
            <w:gridSpan w:val="6"/>
          </w:tcPr>
          <w:p w:rsidR="009E6BE3" w:rsidRPr="00CB62D5" w:rsidRDefault="009E6BE3" w:rsidP="009E6BE3">
            <w:pPr>
              <w:autoSpaceDE w:val="0"/>
              <w:autoSpaceDN w:val="0"/>
              <w:adjustRightInd w:val="0"/>
              <w:spacing w:after="0" w:line="240" w:lineRule="auto"/>
              <w:jc w:val="center"/>
              <w:rPr>
                <w:rFonts w:cs="Times New Roman"/>
                <w:color w:val="000000"/>
                <w:sz w:val="22"/>
                <w:szCs w:val="18"/>
              </w:rPr>
            </w:pPr>
            <w:r w:rsidRPr="00CB62D5">
              <w:rPr>
                <w:rFonts w:cs="Times New Roman"/>
                <w:b/>
                <w:bCs/>
                <w:color w:val="000000"/>
                <w:sz w:val="22"/>
                <w:szCs w:val="18"/>
              </w:rPr>
              <w:t>Parameters</w:t>
            </w:r>
          </w:p>
        </w:tc>
      </w:tr>
      <w:tr w:rsidR="009E6BE3" w:rsidRPr="00CB62D5" w:rsidTr="00A42031">
        <w:trPr>
          <w:trHeight w:val="175"/>
        </w:trPr>
        <w:tc>
          <w:tcPr>
            <w:tcW w:w="518" w:type="pct"/>
          </w:tcPr>
          <w:p w:rsidR="009E6BE3" w:rsidRPr="00CB62D5" w:rsidRDefault="009E6BE3" w:rsidP="00CB62D5">
            <w:pPr>
              <w:autoSpaceDE w:val="0"/>
              <w:autoSpaceDN w:val="0"/>
              <w:adjustRightInd w:val="0"/>
              <w:spacing w:after="0" w:line="240" w:lineRule="auto"/>
              <w:rPr>
                <w:rFonts w:cs="Times New Roman"/>
                <w:color w:val="000000"/>
                <w:sz w:val="22"/>
                <w:szCs w:val="18"/>
              </w:rPr>
            </w:pPr>
            <w:r>
              <w:rPr>
                <w:rFonts w:cs="Times New Roman"/>
                <w:b/>
                <w:bCs/>
                <w:color w:val="000000"/>
                <w:sz w:val="22"/>
                <w:szCs w:val="18"/>
              </w:rPr>
              <w:t>Sl. No.</w:t>
            </w:r>
          </w:p>
        </w:tc>
        <w:tc>
          <w:tcPr>
            <w:tcW w:w="1057" w:type="pct"/>
          </w:tcPr>
          <w:p w:rsidR="009E6BE3" w:rsidRPr="00CB62D5" w:rsidRDefault="009E6BE3" w:rsidP="00CB62D5">
            <w:pPr>
              <w:autoSpaceDE w:val="0"/>
              <w:autoSpaceDN w:val="0"/>
              <w:adjustRightInd w:val="0"/>
              <w:spacing w:after="0" w:line="240" w:lineRule="auto"/>
              <w:rPr>
                <w:rFonts w:cs="Times New Roman"/>
                <w:b/>
                <w:color w:val="000000"/>
                <w:sz w:val="22"/>
                <w:szCs w:val="18"/>
              </w:rPr>
            </w:pPr>
            <w:r w:rsidRPr="009E6BE3">
              <w:rPr>
                <w:rFonts w:cs="Times New Roman"/>
                <w:b/>
                <w:color w:val="000000"/>
                <w:sz w:val="22"/>
                <w:szCs w:val="18"/>
              </w:rPr>
              <w:t>Rivers</w:t>
            </w:r>
          </w:p>
        </w:tc>
        <w:tc>
          <w:tcPr>
            <w:tcW w:w="822" w:type="pct"/>
          </w:tcPr>
          <w:p w:rsidR="009E6BE3" w:rsidRPr="00CB62D5" w:rsidRDefault="009E6BE3" w:rsidP="00CB62D5">
            <w:pPr>
              <w:autoSpaceDE w:val="0"/>
              <w:autoSpaceDN w:val="0"/>
              <w:adjustRightInd w:val="0"/>
              <w:spacing w:after="0" w:line="240" w:lineRule="auto"/>
              <w:rPr>
                <w:rFonts w:cs="Times New Roman"/>
                <w:color w:val="000000"/>
                <w:sz w:val="22"/>
                <w:szCs w:val="18"/>
              </w:rPr>
            </w:pPr>
            <w:r w:rsidRPr="00CB62D5">
              <w:rPr>
                <w:rFonts w:cs="Times New Roman"/>
                <w:b/>
                <w:bCs/>
                <w:color w:val="000000"/>
                <w:sz w:val="22"/>
                <w:szCs w:val="18"/>
              </w:rPr>
              <w:t>pH</w:t>
            </w:r>
          </w:p>
        </w:tc>
        <w:tc>
          <w:tcPr>
            <w:tcW w:w="815" w:type="pct"/>
          </w:tcPr>
          <w:p w:rsidR="009E6BE3" w:rsidRPr="00CB62D5" w:rsidRDefault="009E6BE3" w:rsidP="009E6BE3">
            <w:pPr>
              <w:autoSpaceDE w:val="0"/>
              <w:autoSpaceDN w:val="0"/>
              <w:adjustRightInd w:val="0"/>
              <w:spacing w:after="0" w:line="240" w:lineRule="auto"/>
              <w:jc w:val="center"/>
              <w:rPr>
                <w:rFonts w:cs="Times New Roman"/>
                <w:color w:val="000000"/>
                <w:sz w:val="22"/>
                <w:szCs w:val="18"/>
              </w:rPr>
            </w:pPr>
            <w:r w:rsidRPr="00CB62D5">
              <w:rPr>
                <w:rFonts w:cs="Times New Roman"/>
                <w:b/>
                <w:bCs/>
                <w:color w:val="000000"/>
                <w:sz w:val="22"/>
                <w:szCs w:val="18"/>
              </w:rPr>
              <w:t xml:space="preserve">DO (mg/L) </w:t>
            </w:r>
            <w:r>
              <w:rPr>
                <w:rFonts w:cs="Times New Roman"/>
                <w:b/>
                <w:bCs/>
                <w:color w:val="000000"/>
                <w:sz w:val="22"/>
                <w:szCs w:val="18"/>
              </w:rPr>
              <w:t xml:space="preserve">                      </w:t>
            </w:r>
          </w:p>
        </w:tc>
        <w:tc>
          <w:tcPr>
            <w:tcW w:w="985" w:type="pct"/>
          </w:tcPr>
          <w:p w:rsidR="009E6BE3" w:rsidRPr="00CB62D5" w:rsidRDefault="009E6BE3" w:rsidP="009E6BE3">
            <w:pPr>
              <w:autoSpaceDE w:val="0"/>
              <w:autoSpaceDN w:val="0"/>
              <w:adjustRightInd w:val="0"/>
              <w:spacing w:after="0" w:line="240" w:lineRule="auto"/>
              <w:jc w:val="center"/>
              <w:rPr>
                <w:rFonts w:cs="Times New Roman"/>
                <w:color w:val="000000"/>
                <w:sz w:val="22"/>
                <w:szCs w:val="18"/>
              </w:rPr>
            </w:pPr>
            <w:r>
              <w:rPr>
                <w:rFonts w:cs="Times New Roman"/>
                <w:b/>
                <w:bCs/>
                <w:color w:val="000000"/>
                <w:sz w:val="22"/>
                <w:szCs w:val="18"/>
              </w:rPr>
              <w:t>BOD5</w:t>
            </w:r>
            <w:r w:rsidRPr="00CB62D5">
              <w:rPr>
                <w:rFonts w:cs="Times New Roman"/>
                <w:b/>
                <w:bCs/>
                <w:color w:val="000000"/>
                <w:sz w:val="22"/>
                <w:szCs w:val="18"/>
              </w:rPr>
              <w:t xml:space="preserve"> (mg/L)</w:t>
            </w:r>
          </w:p>
        </w:tc>
        <w:tc>
          <w:tcPr>
            <w:tcW w:w="804" w:type="pct"/>
          </w:tcPr>
          <w:p w:rsidR="009E6BE3" w:rsidRPr="00CB62D5" w:rsidRDefault="009E6BE3" w:rsidP="00CB62D5">
            <w:pPr>
              <w:autoSpaceDE w:val="0"/>
              <w:autoSpaceDN w:val="0"/>
              <w:adjustRightInd w:val="0"/>
              <w:spacing w:after="0" w:line="240" w:lineRule="auto"/>
              <w:rPr>
                <w:rFonts w:cs="Times New Roman"/>
                <w:color w:val="000000"/>
                <w:sz w:val="22"/>
                <w:szCs w:val="18"/>
              </w:rPr>
            </w:pPr>
            <w:r w:rsidRPr="00CB62D5">
              <w:rPr>
                <w:rFonts w:cs="Times New Roman"/>
                <w:b/>
                <w:bCs/>
                <w:color w:val="000000"/>
                <w:sz w:val="22"/>
                <w:szCs w:val="18"/>
              </w:rPr>
              <w:t xml:space="preserve">COD (mg/L)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Buriganga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6.4-7.9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&lt;1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1-48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5-283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2 </w:t>
            </w:r>
          </w:p>
        </w:tc>
        <w:tc>
          <w:tcPr>
            <w:tcW w:w="1057" w:type="pct"/>
          </w:tcPr>
          <w:p w:rsidR="00CB62D5" w:rsidRPr="00CB62D5" w:rsidRDefault="002E04F3"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Shitalakhya</w:t>
            </w:r>
            <w:r w:rsidR="00CB62D5" w:rsidRPr="00CB62D5">
              <w:rPr>
                <w:rFonts w:cs="Times New Roman"/>
                <w:color w:val="000000"/>
                <w:sz w:val="22"/>
                <w:szCs w:val="18"/>
              </w:rPr>
              <w:t xml:space="preserve">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6.31-8.8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0-6.2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2-16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&lt;200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3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Turag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7.10-8.03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0-&lt;1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5-38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9-290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4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Meghna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6.24-7.6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&gt;6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2-3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5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Jamuna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7.2-8.46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5.9-8.5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2.8-11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NDA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Padma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6-7.8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5.4-8.26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1.15-2.8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NDA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7 </w:t>
            </w:r>
          </w:p>
        </w:tc>
        <w:tc>
          <w:tcPr>
            <w:tcW w:w="1057" w:type="pct"/>
          </w:tcPr>
          <w:p w:rsidR="00CB62D5" w:rsidRPr="00CB62D5" w:rsidRDefault="00CB62D5" w:rsidP="002424F1">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Kir</w:t>
            </w:r>
            <w:r w:rsidR="00FE6385">
              <w:rPr>
                <w:rFonts w:cs="Times New Roman"/>
                <w:color w:val="000000"/>
                <w:sz w:val="22"/>
                <w:szCs w:val="18"/>
              </w:rPr>
              <w:t>t</w:t>
            </w:r>
            <w:r w:rsidR="002424F1">
              <w:rPr>
                <w:rFonts w:cs="Times New Roman"/>
                <w:color w:val="000000"/>
                <w:sz w:val="22"/>
                <w:szCs w:val="18"/>
              </w:rPr>
              <w:t>on</w:t>
            </w:r>
            <w:r w:rsidRPr="00CB62D5">
              <w:rPr>
                <w:rFonts w:cs="Times New Roman"/>
                <w:color w:val="000000"/>
                <w:sz w:val="22"/>
                <w:szCs w:val="18"/>
              </w:rPr>
              <w:t xml:space="preserve">khola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6-8.2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5.7-7.3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1.1-2.5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36-52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8 </w:t>
            </w:r>
          </w:p>
        </w:tc>
        <w:tc>
          <w:tcPr>
            <w:tcW w:w="1057" w:type="pct"/>
          </w:tcPr>
          <w:p w:rsidR="00CB62D5" w:rsidRPr="00CB62D5" w:rsidRDefault="002E04F3"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Passur</w:t>
            </w:r>
            <w:r w:rsidR="00CB62D5" w:rsidRPr="00CB62D5">
              <w:rPr>
                <w:rFonts w:cs="Times New Roman"/>
                <w:color w:val="000000"/>
                <w:sz w:val="22"/>
                <w:szCs w:val="18"/>
              </w:rPr>
              <w:t xml:space="preserve">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7.71-7.88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4.8-6.8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0.5-1.2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&lt;200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9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Rupsha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7.13-7.88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4.5-6.8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0.4-8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20-22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10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Moyuri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0-2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6-20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46-672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11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Karnaphuli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4.4-5.5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0.8-2.6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4-923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12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Halda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6.8-7.6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1-5.6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0.3-1.8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1-4 </w:t>
            </w:r>
          </w:p>
        </w:tc>
      </w:tr>
      <w:tr w:rsidR="009E6BE3" w:rsidRPr="00CB62D5" w:rsidTr="00A42031">
        <w:trPr>
          <w:trHeight w:val="168"/>
        </w:trPr>
        <w:tc>
          <w:tcPr>
            <w:tcW w:w="518"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13 </w:t>
            </w:r>
          </w:p>
        </w:tc>
        <w:tc>
          <w:tcPr>
            <w:tcW w:w="1057"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Surma </w:t>
            </w:r>
          </w:p>
        </w:tc>
        <w:tc>
          <w:tcPr>
            <w:tcW w:w="822"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6.5-7.9 </w:t>
            </w:r>
          </w:p>
        </w:tc>
        <w:tc>
          <w:tcPr>
            <w:tcW w:w="81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≥5 </w:t>
            </w:r>
          </w:p>
        </w:tc>
        <w:tc>
          <w:tcPr>
            <w:tcW w:w="985"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1-1.3 </w:t>
            </w:r>
          </w:p>
        </w:tc>
        <w:tc>
          <w:tcPr>
            <w:tcW w:w="804" w:type="pct"/>
          </w:tcPr>
          <w:p w:rsidR="00CB62D5" w:rsidRPr="00CB62D5" w:rsidRDefault="00CB62D5" w:rsidP="00CB62D5">
            <w:pPr>
              <w:autoSpaceDE w:val="0"/>
              <w:autoSpaceDN w:val="0"/>
              <w:adjustRightInd w:val="0"/>
              <w:spacing w:after="0" w:line="240" w:lineRule="auto"/>
              <w:rPr>
                <w:rFonts w:cs="Times New Roman"/>
                <w:color w:val="000000"/>
                <w:sz w:val="22"/>
                <w:szCs w:val="18"/>
              </w:rPr>
            </w:pPr>
            <w:r w:rsidRPr="00CB62D5">
              <w:rPr>
                <w:rFonts w:cs="Times New Roman"/>
                <w:color w:val="000000"/>
                <w:sz w:val="22"/>
                <w:szCs w:val="18"/>
              </w:rPr>
              <w:t xml:space="preserve">-0 </w:t>
            </w:r>
          </w:p>
        </w:tc>
      </w:tr>
    </w:tbl>
    <w:p w:rsidR="000172A3" w:rsidRPr="004106CE" w:rsidRDefault="009A24E2" w:rsidP="000D4192">
      <w:pPr>
        <w:spacing w:before="120" w:after="120" w:line="276" w:lineRule="auto"/>
        <w:jc w:val="both"/>
        <w:rPr>
          <w:b/>
          <w:i/>
          <w:sz w:val="20"/>
          <w:szCs w:val="20"/>
        </w:rPr>
      </w:pPr>
      <w:r w:rsidRPr="004106CE">
        <w:rPr>
          <w:b/>
          <w:i/>
          <w:sz w:val="20"/>
          <w:szCs w:val="20"/>
        </w:rPr>
        <w:t xml:space="preserve">Typical reference values: pH: 7; DO: &gt;3.5; BOD5: </w:t>
      </w:r>
      <w:r w:rsidRPr="004106CE">
        <w:rPr>
          <w:rFonts w:cs="Times New Roman"/>
          <w:color w:val="000000"/>
          <w:sz w:val="20"/>
          <w:szCs w:val="20"/>
        </w:rPr>
        <w:t xml:space="preserve">&lt;1; </w:t>
      </w:r>
      <w:r w:rsidRPr="004106CE">
        <w:rPr>
          <w:rFonts w:cs="Times New Roman"/>
          <w:b/>
          <w:i/>
          <w:color w:val="000000"/>
          <w:sz w:val="20"/>
          <w:szCs w:val="20"/>
        </w:rPr>
        <w:t xml:space="preserve">COD: </w:t>
      </w:r>
      <w:r w:rsidR="004106CE" w:rsidRPr="004106CE">
        <w:rPr>
          <w:rFonts w:cs="Times New Roman"/>
          <w:b/>
          <w:i/>
          <w:color w:val="000000"/>
          <w:sz w:val="20"/>
          <w:szCs w:val="20"/>
        </w:rPr>
        <w:t>&gt;200</w:t>
      </w:r>
    </w:p>
    <w:p w:rsidR="00CB62D5" w:rsidRPr="009E6BE3" w:rsidRDefault="009E6BE3" w:rsidP="009E6BE3">
      <w:pPr>
        <w:spacing w:before="120" w:line="276" w:lineRule="auto"/>
        <w:jc w:val="both"/>
        <w:rPr>
          <w:b/>
          <w:i/>
          <w:sz w:val="20"/>
          <w:szCs w:val="24"/>
        </w:rPr>
      </w:pPr>
      <w:r w:rsidRPr="009E6BE3">
        <w:rPr>
          <w:b/>
          <w:i/>
          <w:sz w:val="20"/>
          <w:szCs w:val="24"/>
        </w:rPr>
        <w:t>Source: Department of Environment (DOE)</w:t>
      </w:r>
    </w:p>
    <w:p w:rsidR="00A356FA" w:rsidRPr="006A0504" w:rsidRDefault="00A356FA" w:rsidP="002F2EF8">
      <w:pPr>
        <w:spacing w:line="276" w:lineRule="auto"/>
        <w:jc w:val="both"/>
        <w:rPr>
          <w:szCs w:val="24"/>
        </w:rPr>
      </w:pPr>
      <w:r w:rsidRPr="006A0504">
        <w:rPr>
          <w:szCs w:val="24"/>
        </w:rPr>
        <w:t>As a result of continuou</w:t>
      </w:r>
      <w:r w:rsidR="00DC2302">
        <w:rPr>
          <w:szCs w:val="24"/>
        </w:rPr>
        <w:t xml:space="preserve">s </w:t>
      </w:r>
      <w:r w:rsidR="004106CE">
        <w:rPr>
          <w:szCs w:val="24"/>
        </w:rPr>
        <w:t>pollution, environment of the Ba</w:t>
      </w:r>
      <w:r w:rsidR="00DC2302">
        <w:rPr>
          <w:szCs w:val="24"/>
        </w:rPr>
        <w:t>rind</w:t>
      </w:r>
      <w:r w:rsidRPr="006A0504">
        <w:rPr>
          <w:szCs w:val="24"/>
        </w:rPr>
        <w:t xml:space="preserve"> region is under stress. The water of this region is seriously affected by contamination of heavy metals (Cd, Cr, Cu, Fe, Pb, Ni, Zn etc). If the pollution continues at this rate, in the future it will cause a great harm to the people and </w:t>
      </w:r>
      <w:r w:rsidR="00344633">
        <w:rPr>
          <w:szCs w:val="24"/>
        </w:rPr>
        <w:t>aquatic</w:t>
      </w:r>
      <w:r w:rsidR="00344633" w:rsidRPr="006A0504">
        <w:rPr>
          <w:szCs w:val="24"/>
        </w:rPr>
        <w:t xml:space="preserve"> </w:t>
      </w:r>
      <w:r w:rsidRPr="006A0504">
        <w:rPr>
          <w:szCs w:val="24"/>
        </w:rPr>
        <w:t>life dependent on these rivers. This pollution is concentrated around the industrially developed and urban areas. In the rural areas, the rivers have much better water quality. But, with the increasing industries and urban population, such polluting trends will result in severe disastrous situations.</w:t>
      </w:r>
    </w:p>
    <w:p w:rsidR="00A356FA" w:rsidRPr="006A0504" w:rsidRDefault="00A356FA" w:rsidP="002F2EF8">
      <w:pPr>
        <w:spacing w:line="276" w:lineRule="auto"/>
        <w:jc w:val="both"/>
        <w:rPr>
          <w:szCs w:val="24"/>
        </w:rPr>
      </w:pPr>
      <w:r w:rsidRPr="006A0504">
        <w:rPr>
          <w:szCs w:val="24"/>
        </w:rPr>
        <w:t>Urban area is heavily industrialized with most of the industries located in Dhaka, Narayanganj, Narsingdi and Mymensingh. Buriganga and Turag River are the two major rivers of Dhaka. They are most susceptible to water pollution as tannery (24 nos.), fabric dying and chemical processing (34 nos.), fabric washing (68 nos.), garments (1621 nos.), plastic products (50 nos.) etc industries are located on the banks</w:t>
      </w:r>
      <w:r w:rsidR="006A46FE">
        <w:rPr>
          <w:szCs w:val="24"/>
        </w:rPr>
        <w:t xml:space="preserve"> of this two river</w:t>
      </w:r>
      <w:r w:rsidR="003C1D21">
        <w:rPr>
          <w:szCs w:val="24"/>
        </w:rPr>
        <w:t xml:space="preserve"> </w:t>
      </w:r>
      <w:r w:rsidR="003C1D21" w:rsidRPr="003C1D21">
        <w:rPr>
          <w:szCs w:val="24"/>
        </w:rPr>
        <w:t>(CEGIS, 2015)</w:t>
      </w:r>
      <w:r w:rsidRPr="006A0504">
        <w:rPr>
          <w:szCs w:val="24"/>
        </w:rPr>
        <w:t>. Dumping of untreated effluent has caused major degradation of water quality of these rivers. In many places sewerage lines are end up in this river carrying sewage and municipal solid waste. The pH of Buriganga river is ar</w:t>
      </w:r>
      <w:r w:rsidR="00246BE1">
        <w:rPr>
          <w:szCs w:val="24"/>
        </w:rPr>
        <w:t xml:space="preserve">ound </w:t>
      </w:r>
      <w:r w:rsidR="00246BE1" w:rsidRPr="003C1D21">
        <w:rPr>
          <w:szCs w:val="24"/>
        </w:rPr>
        <w:t>7</w:t>
      </w:r>
      <w:r w:rsidR="003C1D21" w:rsidRPr="003C1D21">
        <w:rPr>
          <w:szCs w:val="24"/>
        </w:rPr>
        <w:t xml:space="preserve"> (Saifullah et al, 2011)</w:t>
      </w:r>
      <w:r w:rsidR="00246BE1" w:rsidRPr="003C1D21">
        <w:rPr>
          <w:szCs w:val="24"/>
        </w:rPr>
        <w:t xml:space="preserve"> </w:t>
      </w:r>
      <w:r w:rsidRPr="006A0504">
        <w:rPr>
          <w:szCs w:val="24"/>
        </w:rPr>
        <w:t>and Turag rive</w:t>
      </w:r>
      <w:r w:rsidR="00246BE1">
        <w:rPr>
          <w:szCs w:val="24"/>
        </w:rPr>
        <w:t>r is b</w:t>
      </w:r>
      <w:r w:rsidR="003C1D21">
        <w:rPr>
          <w:szCs w:val="24"/>
        </w:rPr>
        <w:t>etween 6.18 and</w:t>
      </w:r>
      <w:r w:rsidR="00246BE1">
        <w:rPr>
          <w:szCs w:val="24"/>
        </w:rPr>
        <w:t xml:space="preserve"> 7.</w:t>
      </w:r>
      <w:r w:rsidR="00246BE1" w:rsidRPr="003C1D21">
        <w:rPr>
          <w:szCs w:val="24"/>
        </w:rPr>
        <w:t>46</w:t>
      </w:r>
      <w:r w:rsidR="003C1D21" w:rsidRPr="003C1D21">
        <w:rPr>
          <w:szCs w:val="24"/>
        </w:rPr>
        <w:t xml:space="preserve"> </w:t>
      </w:r>
      <w:r w:rsidR="003C1D21">
        <w:rPr>
          <w:szCs w:val="24"/>
        </w:rPr>
        <w:t xml:space="preserve">(Mobin et al., </w:t>
      </w:r>
      <w:r w:rsidR="003C1D21" w:rsidRPr="003C1D21">
        <w:rPr>
          <w:szCs w:val="24"/>
        </w:rPr>
        <w:t>2013)</w:t>
      </w:r>
      <w:r w:rsidR="003C1D21">
        <w:rPr>
          <w:szCs w:val="24"/>
        </w:rPr>
        <w:t xml:space="preserve">. </w:t>
      </w:r>
      <w:r w:rsidRPr="006A0504">
        <w:rPr>
          <w:szCs w:val="24"/>
        </w:rPr>
        <w:t xml:space="preserve">The DO varies along the stream of Buriganga. In wet season DO is around 4.9 mg/L and in dry season around 3.7 mg/L. </w:t>
      </w:r>
      <w:r w:rsidR="008442F3">
        <w:rPr>
          <w:szCs w:val="24"/>
        </w:rPr>
        <w:t>But t</w:t>
      </w:r>
      <w:r w:rsidRPr="006A0504">
        <w:rPr>
          <w:szCs w:val="24"/>
        </w:rPr>
        <w:t xml:space="preserve">he BOD of Buriganga River is over 25mg/l in most places and it can go </w:t>
      </w:r>
      <w:r w:rsidR="00F51D0D" w:rsidRPr="006A0504">
        <w:rPr>
          <w:szCs w:val="24"/>
        </w:rPr>
        <w:t>up to</w:t>
      </w:r>
      <w:r w:rsidRPr="006A0504">
        <w:rPr>
          <w:szCs w:val="24"/>
        </w:rPr>
        <w:t xml:space="preserve"> </w:t>
      </w:r>
      <w:r w:rsidR="00246BE1">
        <w:rPr>
          <w:szCs w:val="24"/>
        </w:rPr>
        <w:t>38mg/l</w:t>
      </w:r>
      <w:r w:rsidR="00F92184">
        <w:rPr>
          <w:szCs w:val="24"/>
        </w:rPr>
        <w:t xml:space="preserve"> </w:t>
      </w:r>
      <w:r w:rsidR="00F92184" w:rsidRPr="00F92184">
        <w:rPr>
          <w:szCs w:val="24"/>
        </w:rPr>
        <w:t>(Saifullah et al., 2011)</w:t>
      </w:r>
      <w:r w:rsidRPr="006A0504">
        <w:rPr>
          <w:szCs w:val="24"/>
        </w:rPr>
        <w:t xml:space="preserve">. </w:t>
      </w:r>
      <w:r w:rsidR="008442F3">
        <w:rPr>
          <w:szCs w:val="24"/>
        </w:rPr>
        <w:t xml:space="preserve"> Also, the COD level is very low suggesting severely contaminated water.</w:t>
      </w:r>
    </w:p>
    <w:p w:rsidR="00A356FA" w:rsidRPr="006A0504" w:rsidRDefault="00A356FA" w:rsidP="002F2EF8">
      <w:pPr>
        <w:spacing w:line="276" w:lineRule="auto"/>
        <w:jc w:val="both"/>
        <w:rPr>
          <w:szCs w:val="24"/>
        </w:rPr>
      </w:pPr>
      <w:r w:rsidRPr="006A0504">
        <w:rPr>
          <w:szCs w:val="24"/>
        </w:rPr>
        <w:lastRenderedPageBreak/>
        <w:t>Mymensingh and Netrokona districts are beside the Old Brahmaputra River. There are 712 indust</w:t>
      </w:r>
      <w:r w:rsidR="00246BE1">
        <w:rPr>
          <w:szCs w:val="24"/>
        </w:rPr>
        <w:t>ries in Mymensingh</w:t>
      </w:r>
      <w:r w:rsidRPr="006A0504">
        <w:rPr>
          <w:szCs w:val="24"/>
        </w:rPr>
        <w:t xml:space="preserve">. The pH of surface water of Mymensingh is over 6 in most of the locations and DO is around </w:t>
      </w:r>
      <w:r w:rsidR="00246BE1">
        <w:rPr>
          <w:szCs w:val="24"/>
        </w:rPr>
        <w:t>4.5 mg/</w:t>
      </w:r>
      <w:r w:rsidR="00246BE1" w:rsidRPr="00F92184">
        <w:rPr>
          <w:szCs w:val="24"/>
        </w:rPr>
        <w:t>l</w:t>
      </w:r>
      <w:r w:rsidR="00F92184" w:rsidRPr="00F92184">
        <w:rPr>
          <w:szCs w:val="24"/>
        </w:rPr>
        <w:t xml:space="preserve"> (Ferdous et al., 2015). </w:t>
      </w:r>
    </w:p>
    <w:p w:rsidR="008442F3" w:rsidRDefault="00A356FA" w:rsidP="002F2EF8">
      <w:pPr>
        <w:spacing w:line="276" w:lineRule="auto"/>
        <w:jc w:val="both"/>
        <w:rPr>
          <w:szCs w:val="24"/>
        </w:rPr>
      </w:pPr>
      <w:r w:rsidRPr="006A0504">
        <w:rPr>
          <w:szCs w:val="24"/>
        </w:rPr>
        <w:t xml:space="preserve">Haor area of Bangladesh has the highest annual average rainfall. Of this region Sylhet is one of the rapidly developing urban areas and is in the hilly portion of the country. Gas based industries have boomed in Sylhet region. Surma and Khushiara are the </w:t>
      </w:r>
      <w:r w:rsidR="00DC2302">
        <w:rPr>
          <w:szCs w:val="24"/>
        </w:rPr>
        <w:t xml:space="preserve">two main rivers of this region. </w:t>
      </w:r>
      <w:r w:rsidRPr="006A0504">
        <w:rPr>
          <w:szCs w:val="24"/>
        </w:rPr>
        <w:t>The urbanization of Sylhet city is a threat for the environmental quality and economic gains of the city dwellers.  The pH of river water in</w:t>
      </w:r>
      <w:r w:rsidR="00FB6BFE">
        <w:rPr>
          <w:szCs w:val="24"/>
        </w:rPr>
        <w:t xml:space="preserve"> this region varies between 6.5 and </w:t>
      </w:r>
      <w:r w:rsidRPr="006A0504">
        <w:rPr>
          <w:szCs w:val="24"/>
        </w:rPr>
        <w:t>8.5, DO value varies between 5.28 mg/L to 6.88 mg/L and BOD ranges from 27.33 mg/L to 4</w:t>
      </w:r>
      <w:r w:rsidR="00246BE1">
        <w:rPr>
          <w:szCs w:val="24"/>
        </w:rPr>
        <w:t>4.33 mg/L</w:t>
      </w:r>
      <w:r w:rsidR="00F92184">
        <w:rPr>
          <w:szCs w:val="24"/>
        </w:rPr>
        <w:t xml:space="preserve"> </w:t>
      </w:r>
      <w:r w:rsidR="00F92184" w:rsidRPr="00F92184">
        <w:rPr>
          <w:szCs w:val="24"/>
        </w:rPr>
        <w:t>(Rahman et al., 2013).</w:t>
      </w:r>
      <w:r w:rsidRPr="00F92184">
        <w:rPr>
          <w:szCs w:val="24"/>
        </w:rPr>
        <w:t xml:space="preserve"> </w:t>
      </w:r>
      <w:r w:rsidRPr="006A0504">
        <w:rPr>
          <w:szCs w:val="24"/>
        </w:rPr>
        <w:t xml:space="preserve">The water of Surma River is not suitable for drinking purpose. </w:t>
      </w:r>
    </w:p>
    <w:p w:rsidR="00A356FA" w:rsidRPr="006A0504" w:rsidRDefault="00A356FA" w:rsidP="002F2EF8">
      <w:pPr>
        <w:spacing w:line="276" w:lineRule="auto"/>
        <w:jc w:val="both"/>
        <w:rPr>
          <w:szCs w:val="24"/>
        </w:rPr>
      </w:pPr>
      <w:r w:rsidRPr="006A0504">
        <w:rPr>
          <w:szCs w:val="24"/>
        </w:rPr>
        <w:t>The main cities of west part of Coastal areas are Kushtia, Jessore, and Khulna. Khulna is a port city and it has a direct navigation route to Bay of Bengal. This region has various natural resources including marine fisheries and shrimp, forest, salt, minerals and potential onshore and offshore natural gas. Shrimp industries have boomed in this region due to the abundance of shrimp fry in the Bay of Bengal and creeks and rivers nearby</w:t>
      </w:r>
      <w:r w:rsidR="00246BE1">
        <w:rPr>
          <w:szCs w:val="24"/>
        </w:rPr>
        <w:t xml:space="preserve"> the coast</w:t>
      </w:r>
      <w:r w:rsidR="00F92184">
        <w:rPr>
          <w:szCs w:val="24"/>
        </w:rPr>
        <w:t xml:space="preserve"> </w:t>
      </w:r>
      <w:r w:rsidR="00F92184" w:rsidRPr="00F92184">
        <w:rPr>
          <w:szCs w:val="24"/>
        </w:rPr>
        <w:t>(Haque et al., 2010).</w:t>
      </w:r>
      <w:r w:rsidRPr="00F92184">
        <w:rPr>
          <w:szCs w:val="24"/>
        </w:rPr>
        <w:t xml:space="preserve"> </w:t>
      </w:r>
      <w:r w:rsidRPr="006A0504">
        <w:rPr>
          <w:szCs w:val="24"/>
        </w:rPr>
        <w:t>The major rivers of this region are Padma, Madhumati, Chitra, Rupsha, Kaliganga etc. Shrimp culture is the common practice in this area. Usually the water has higher salinity in the areas where shrimp farms are located. The pH of surface water varies from 7.29-7.46 in summer season which is higher than the ground water pH (6.46-6.71). However, pH of both surface and ground water was found to be slightly lower during the rainy season. The salinity of the ground water was higher than the surface water both in the summer and in the rainy seasons. The average ground water quality of the area i</w:t>
      </w:r>
      <w:r w:rsidR="00246BE1">
        <w:rPr>
          <w:szCs w:val="24"/>
        </w:rPr>
        <w:t>s not good</w:t>
      </w:r>
      <w:r w:rsidR="00F92184">
        <w:rPr>
          <w:szCs w:val="24"/>
        </w:rPr>
        <w:t xml:space="preserve"> </w:t>
      </w:r>
      <w:r w:rsidR="00F92184" w:rsidRPr="00F92184">
        <w:rPr>
          <w:szCs w:val="24"/>
        </w:rPr>
        <w:t>(Haque et al., 2010)</w:t>
      </w:r>
      <w:r w:rsidRPr="00F92184">
        <w:rPr>
          <w:szCs w:val="24"/>
        </w:rPr>
        <w:t xml:space="preserve">. </w:t>
      </w:r>
      <w:r w:rsidRPr="006A0504">
        <w:rPr>
          <w:szCs w:val="24"/>
        </w:rPr>
        <w:t xml:space="preserve">Most of the shallow aquifers in this region are found to be saline. People can get fresh water where deep </w:t>
      </w:r>
      <w:r w:rsidR="00F51D0D" w:rsidRPr="006A0504">
        <w:rPr>
          <w:szCs w:val="24"/>
        </w:rPr>
        <w:t>tube well</w:t>
      </w:r>
      <w:r w:rsidRPr="006A0504">
        <w:rPr>
          <w:szCs w:val="24"/>
        </w:rPr>
        <w:t xml:space="preserve"> is available. </w:t>
      </w:r>
    </w:p>
    <w:p w:rsidR="00344633" w:rsidRPr="006A0504" w:rsidRDefault="00A356FA" w:rsidP="00344633">
      <w:pPr>
        <w:spacing w:line="276" w:lineRule="auto"/>
        <w:jc w:val="both"/>
        <w:rPr>
          <w:szCs w:val="24"/>
        </w:rPr>
      </w:pPr>
      <w:r w:rsidRPr="006A0504">
        <w:rPr>
          <w:szCs w:val="24"/>
        </w:rPr>
        <w:t xml:space="preserve">The eastern part of Coastal area is comprised of some of the biggest industrial cities of the country. The major industrialized cities in this region are Chittagong and Comilla. Meghna is one of the major rivers of this region. The other rivers of this region are Gumti, Titas, Haora, Dakatia etc. In this part of country, especially Chittagong is industrially developed due to having the sea port. Ship breaking industry plays a significant role in this regions environmental quality. Ship dismantling is a reason of concern due to its economic values and environmental hazards. Up to 2.2-2.5 M </w:t>
      </w:r>
      <w:r w:rsidR="00FE6385">
        <w:rPr>
          <w:szCs w:val="24"/>
        </w:rPr>
        <w:t>tonne</w:t>
      </w:r>
      <w:r w:rsidRPr="006A0504">
        <w:rPr>
          <w:szCs w:val="24"/>
        </w:rPr>
        <w:t>s of national steel production comes from the ship breaking i</w:t>
      </w:r>
      <w:r w:rsidR="00246BE1">
        <w:rPr>
          <w:szCs w:val="24"/>
        </w:rPr>
        <w:t>ndustry</w:t>
      </w:r>
      <w:r w:rsidR="00F92184">
        <w:rPr>
          <w:szCs w:val="24"/>
        </w:rPr>
        <w:t xml:space="preserve"> </w:t>
      </w:r>
      <w:r w:rsidR="00F92184" w:rsidRPr="00F92184">
        <w:rPr>
          <w:szCs w:val="24"/>
        </w:rPr>
        <w:t>(Talukder et al., 2015)</w:t>
      </w:r>
      <w:r w:rsidRPr="00F92184">
        <w:rPr>
          <w:szCs w:val="24"/>
        </w:rPr>
        <w:t xml:space="preserve">. </w:t>
      </w:r>
      <w:r w:rsidRPr="006A0504">
        <w:rPr>
          <w:szCs w:val="24"/>
        </w:rPr>
        <w:t xml:space="preserve">The DO of the rivers in this region is between 4-6 mg/l and </w:t>
      </w:r>
      <w:r w:rsidR="00EB2DC9" w:rsidRPr="006A0504">
        <w:rPr>
          <w:szCs w:val="24"/>
        </w:rPr>
        <w:t>ph.</w:t>
      </w:r>
      <w:r w:rsidRPr="006A0504">
        <w:rPr>
          <w:szCs w:val="24"/>
        </w:rPr>
        <w:t xml:space="preserve"> i</w:t>
      </w:r>
      <w:r w:rsidR="00246BE1">
        <w:rPr>
          <w:szCs w:val="24"/>
        </w:rPr>
        <w:t>s around 7</w:t>
      </w:r>
      <w:r w:rsidR="00F92184">
        <w:rPr>
          <w:szCs w:val="24"/>
        </w:rPr>
        <w:t xml:space="preserve"> </w:t>
      </w:r>
      <w:r w:rsidR="00F92184" w:rsidRPr="00F92184">
        <w:rPr>
          <w:szCs w:val="24"/>
        </w:rPr>
        <w:t>(Ahmed et al., 2010)</w:t>
      </w:r>
      <w:r w:rsidRPr="00F92184">
        <w:rPr>
          <w:szCs w:val="24"/>
        </w:rPr>
        <w:t xml:space="preserve">. </w:t>
      </w:r>
      <w:r w:rsidRPr="006A0504">
        <w:rPr>
          <w:szCs w:val="24"/>
        </w:rPr>
        <w:t>The ship breaking yard has profound effect in its vicinity area. In the perimeter of the ship brea</w:t>
      </w:r>
      <w:r w:rsidR="008442F3">
        <w:rPr>
          <w:szCs w:val="24"/>
        </w:rPr>
        <w:t>king yard area, DO</w:t>
      </w:r>
      <w:r w:rsidRPr="006A0504">
        <w:rPr>
          <w:szCs w:val="24"/>
        </w:rPr>
        <w:t xml:space="preserve"> level is low (1-5 mg/l) at some points. The pH is around 7. As ship breaking industry has a significant impact on our economy it is important to </w:t>
      </w:r>
      <w:r w:rsidRPr="006A0504">
        <w:rPr>
          <w:szCs w:val="24"/>
        </w:rPr>
        <w:lastRenderedPageBreak/>
        <w:t xml:space="preserve">mitigate the adverse environmental effect of this industry by taking sustainable measures. </w:t>
      </w:r>
      <w:r w:rsidR="00344633" w:rsidRPr="006A0504">
        <w:rPr>
          <w:szCs w:val="24"/>
        </w:rPr>
        <w:t xml:space="preserve">Salinity is also a problem of central part of Coastal area as like the South West region. Shrimp culture has intensified at some of the southern districts. </w:t>
      </w:r>
    </w:p>
    <w:p w:rsidR="00000000" w:rsidRDefault="00A356FA" w:rsidP="003D5A31">
      <w:pPr>
        <w:pStyle w:val="BodyText"/>
        <w:numPr>
          <w:ilvl w:val="2"/>
          <w:numId w:val="137"/>
        </w:numPr>
        <w:spacing w:after="240" w:line="276" w:lineRule="auto"/>
        <w:jc w:val="both"/>
        <w:rPr>
          <w:rFonts w:cs="Times New Roman"/>
          <w:b/>
          <w:szCs w:val="24"/>
        </w:rPr>
      </w:pPr>
      <w:r w:rsidRPr="00E50596">
        <w:rPr>
          <w:rFonts w:cs="Times New Roman"/>
          <w:b/>
          <w:szCs w:val="24"/>
        </w:rPr>
        <w:t>Ground Water</w:t>
      </w:r>
      <w:r w:rsidR="000521A5" w:rsidRPr="00E50596">
        <w:rPr>
          <w:rFonts w:cs="Times New Roman"/>
          <w:b/>
          <w:szCs w:val="24"/>
        </w:rPr>
        <w:t xml:space="preserve"> Quantity and Quality Issues</w:t>
      </w:r>
      <w:r w:rsidRPr="00E50596">
        <w:rPr>
          <w:rFonts w:cs="Times New Roman"/>
          <w:b/>
          <w:szCs w:val="24"/>
        </w:rPr>
        <w:t xml:space="preserve"> </w:t>
      </w:r>
    </w:p>
    <w:p w:rsidR="004D0413" w:rsidRDefault="004D0413" w:rsidP="000D4192">
      <w:pPr>
        <w:spacing w:line="276" w:lineRule="auto"/>
        <w:jc w:val="both"/>
        <w:rPr>
          <w:szCs w:val="24"/>
        </w:rPr>
      </w:pPr>
      <w:r>
        <w:rPr>
          <w:szCs w:val="24"/>
        </w:rPr>
        <w:t>The groundwater zoning map is shown in Map 3.1.</w:t>
      </w:r>
      <w:r w:rsidR="002E113D">
        <w:rPr>
          <w:szCs w:val="24"/>
        </w:rPr>
        <w:t xml:space="preserve"> </w:t>
      </w:r>
    </w:p>
    <w:p w:rsidR="00A356FA" w:rsidRPr="0090656F" w:rsidRDefault="00EB2DC9" w:rsidP="00D13FC2">
      <w:pPr>
        <w:pStyle w:val="Heading6"/>
        <w:rPr>
          <w:sz w:val="28"/>
          <w:szCs w:val="28"/>
        </w:rPr>
      </w:pPr>
      <w:bookmarkStart w:id="200" w:name="_Toc474639312"/>
      <w:r>
        <w:t xml:space="preserve">Map </w:t>
      </w:r>
      <w:r w:rsidRPr="0090656F">
        <w:t>3.</w:t>
      </w:r>
      <w:r>
        <w:t>1:</w:t>
      </w:r>
      <w:r w:rsidR="00A356FA" w:rsidRPr="0090656F">
        <w:t xml:space="preserve"> Ground Water Zoning Maps in Bangladesh, 2004 and 2010</w:t>
      </w:r>
      <w:bookmarkEnd w:id="200"/>
    </w:p>
    <w:p w:rsidR="002F2EF8" w:rsidRDefault="00A356FA" w:rsidP="002F2EF8">
      <w:pPr>
        <w:ind w:left="-288"/>
        <w:rPr>
          <w:szCs w:val="24"/>
        </w:rPr>
      </w:pPr>
      <w:r w:rsidRPr="0038282F">
        <w:rPr>
          <w:noProof/>
          <w:szCs w:val="24"/>
          <w:lang w:val="en-AU" w:eastAsia="en-AU" w:bidi="bn-BD"/>
        </w:rPr>
        <w:drawing>
          <wp:inline distT="0" distB="0" distL="0" distR="0">
            <wp:extent cx="6191250" cy="5486400"/>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0" cy="5486400"/>
                    </a:xfrm>
                    <a:prstGeom prst="rect">
                      <a:avLst/>
                    </a:prstGeom>
                    <a:noFill/>
                    <a:ln>
                      <a:noFill/>
                    </a:ln>
                  </pic:spPr>
                </pic:pic>
              </a:graphicData>
            </a:graphic>
          </wp:inline>
        </w:drawing>
      </w:r>
    </w:p>
    <w:p w:rsidR="00A356FA" w:rsidRPr="002F2EF8" w:rsidRDefault="002F2EF8" w:rsidP="002F2EF8">
      <w:pPr>
        <w:ind w:left="-288"/>
        <w:rPr>
          <w:szCs w:val="24"/>
        </w:rPr>
      </w:pPr>
      <w:r>
        <w:rPr>
          <w:szCs w:val="24"/>
        </w:rPr>
        <w:t xml:space="preserve"> </w:t>
      </w:r>
      <w:r w:rsidR="00A356FA" w:rsidRPr="005B0E21">
        <w:rPr>
          <w:b/>
          <w:i/>
          <w:sz w:val="20"/>
        </w:rPr>
        <w:t>Source:  BADC, 2011</w:t>
      </w:r>
    </w:p>
    <w:p w:rsidR="008442F3" w:rsidRDefault="008442F3" w:rsidP="000D4192">
      <w:pPr>
        <w:spacing w:line="276" w:lineRule="auto"/>
        <w:jc w:val="both"/>
        <w:rPr>
          <w:szCs w:val="24"/>
        </w:rPr>
      </w:pPr>
      <w:r w:rsidRPr="006A0504">
        <w:rPr>
          <w:szCs w:val="24"/>
        </w:rPr>
        <w:t>Groundwater is the major source of water suppl</w:t>
      </w:r>
      <w:r>
        <w:rPr>
          <w:szCs w:val="24"/>
        </w:rPr>
        <w:t>y and irrigation in Bangladesh; it</w:t>
      </w:r>
      <w:r w:rsidRPr="006A0504">
        <w:rPr>
          <w:szCs w:val="24"/>
        </w:rPr>
        <w:t xml:space="preserve"> is </w:t>
      </w:r>
      <w:r>
        <w:rPr>
          <w:szCs w:val="24"/>
        </w:rPr>
        <w:t xml:space="preserve">also </w:t>
      </w:r>
      <w:r w:rsidRPr="006A0504">
        <w:rPr>
          <w:szCs w:val="24"/>
        </w:rPr>
        <w:t>an important source of drinking</w:t>
      </w:r>
      <w:r>
        <w:rPr>
          <w:szCs w:val="24"/>
        </w:rPr>
        <w:t xml:space="preserve">. </w:t>
      </w:r>
      <w:r w:rsidRPr="006A0504">
        <w:rPr>
          <w:szCs w:val="24"/>
        </w:rPr>
        <w:t>Some 80 % of irrigation originates from groundwater</w:t>
      </w:r>
      <w:r w:rsidR="00F92184">
        <w:rPr>
          <w:szCs w:val="24"/>
        </w:rPr>
        <w:t xml:space="preserve"> </w:t>
      </w:r>
      <w:r w:rsidR="00F92184" w:rsidRPr="00F92184">
        <w:rPr>
          <w:szCs w:val="24"/>
        </w:rPr>
        <w:lastRenderedPageBreak/>
        <w:t>(FAO Aquastat, 2011)</w:t>
      </w:r>
      <w:r w:rsidRPr="00F92184">
        <w:rPr>
          <w:szCs w:val="24"/>
        </w:rPr>
        <w:t xml:space="preserve">, </w:t>
      </w:r>
      <w:r w:rsidRPr="006A0504">
        <w:rPr>
          <w:szCs w:val="24"/>
        </w:rPr>
        <w:t>particularly for the cultivation of Boro ri</w:t>
      </w:r>
      <w:r>
        <w:rPr>
          <w:szCs w:val="24"/>
        </w:rPr>
        <w:t>ce.</w:t>
      </w:r>
      <w:r w:rsidRPr="006A0504">
        <w:rPr>
          <w:szCs w:val="24"/>
        </w:rPr>
        <w:t xml:space="preserve"> Groundwater quality exhibits both seasonal and spatial patterns. Generally water quality degrades from wet to dry season and spatially from the North to South and South Western parts of Bangladesh. Bangladesh is underlain by a deep aquifer system with both deep and shallow groundwater</w:t>
      </w:r>
      <w:r>
        <w:rPr>
          <w:szCs w:val="24"/>
        </w:rPr>
        <w:t xml:space="preserve"> </w:t>
      </w:r>
      <w:r w:rsidRPr="00F92184">
        <w:rPr>
          <w:szCs w:val="24"/>
        </w:rPr>
        <w:t>resources</w:t>
      </w:r>
      <w:r w:rsidR="00F92184" w:rsidRPr="00F92184">
        <w:rPr>
          <w:szCs w:val="24"/>
        </w:rPr>
        <w:t xml:space="preserve"> (CSIRO, 2014).</w:t>
      </w:r>
      <w:r w:rsidRPr="00F92184">
        <w:rPr>
          <w:szCs w:val="24"/>
        </w:rPr>
        <w:t xml:space="preserve"> </w:t>
      </w:r>
      <w:r w:rsidRPr="006A0504">
        <w:rPr>
          <w:szCs w:val="24"/>
        </w:rPr>
        <w:t>Groundwater levels are at or near ground level during the period August-October and lowest in April-May. Groundwater rises as a result of recharge during May and usually reaches its highest in late July in each year. Between July and October groundwater levels are constant and maintain a balance between surface water levels and the fully recharged aquifers. Groundwater levels fall from October in response to rapid drainage of surface water and changes in base levels. The rate of fall is highest in October-November but equally large changes may take place after January when withdrawal of groundwater for irrigation starts. During the dry season most of the minor rivers are sustained by gr</w:t>
      </w:r>
      <w:r>
        <w:rPr>
          <w:szCs w:val="24"/>
        </w:rPr>
        <w:t>oundwater outflows</w:t>
      </w:r>
      <w:r w:rsidRPr="006A0504">
        <w:rPr>
          <w:szCs w:val="24"/>
        </w:rPr>
        <w:t>.</w:t>
      </w:r>
    </w:p>
    <w:p w:rsidR="00465D53" w:rsidRPr="009F2130" w:rsidRDefault="00A356FA" w:rsidP="000D4192">
      <w:pPr>
        <w:spacing w:line="276" w:lineRule="auto"/>
        <w:jc w:val="both"/>
        <w:rPr>
          <w:szCs w:val="24"/>
        </w:rPr>
      </w:pPr>
      <w:r w:rsidRPr="006A0504">
        <w:rPr>
          <w:szCs w:val="24"/>
        </w:rPr>
        <w:t>Dhaka city extracts larger amount of groundwater for urban water supply. Therefore urban city Dhaka has lowest groundwater levels both in the pre and post monsoon season than other regions. The groundwater table in Barind is also lower than in oth</w:t>
      </w:r>
      <w:r w:rsidR="002F2EF8">
        <w:rPr>
          <w:szCs w:val="24"/>
        </w:rPr>
        <w:t>er regions</w:t>
      </w:r>
      <w:r w:rsidR="009F2130">
        <w:rPr>
          <w:szCs w:val="24"/>
        </w:rPr>
        <w:t xml:space="preserve">. </w:t>
      </w:r>
      <w:r w:rsidR="00465D53" w:rsidRPr="00465D53">
        <w:rPr>
          <w:rFonts w:cs="Times New Roman"/>
          <w:color w:val="000000"/>
          <w:szCs w:val="19"/>
        </w:rPr>
        <w:t>Nation-wide comparison of the water tables from the 2004 and 2010 groundwater zoning, carried out by BADC, shows an increase of deep groundwater levels, as illustrated in the table and figures below. A good indication can also be derived from the analysis carried out as part of the recent Integrated Water Resource Assessment (CSIRO, 2014), showing that both pre-and post-monsoon</w:t>
      </w:r>
      <w:r w:rsidR="009F2130">
        <w:rPr>
          <w:rFonts w:cs="Times New Roman"/>
          <w:color w:val="000000"/>
          <w:szCs w:val="19"/>
        </w:rPr>
        <w:t xml:space="preserve"> levels shows a declining trend.  </w:t>
      </w:r>
      <w:r w:rsidR="00465D53" w:rsidRPr="00465D53">
        <w:rPr>
          <w:rFonts w:cs="Times New Roman"/>
          <w:color w:val="000000"/>
          <w:szCs w:val="19"/>
        </w:rPr>
        <w:t>Although further research is ne</w:t>
      </w:r>
      <w:r w:rsidR="009F2130">
        <w:rPr>
          <w:rFonts w:cs="Times New Roman"/>
          <w:color w:val="000000"/>
          <w:szCs w:val="19"/>
        </w:rPr>
        <w:t xml:space="preserve">eded, </w:t>
      </w:r>
      <w:r w:rsidR="00465D53" w:rsidRPr="00465D53">
        <w:rPr>
          <w:rFonts w:cs="Times New Roman"/>
          <w:color w:val="000000"/>
          <w:szCs w:val="19"/>
        </w:rPr>
        <w:t xml:space="preserve">at the present rate of abstraction and recharge, groundwater use in many areas is not sustainable. </w:t>
      </w:r>
    </w:p>
    <w:p w:rsidR="00465D53" w:rsidRPr="00465D53" w:rsidRDefault="00465D53" w:rsidP="00465D53">
      <w:pPr>
        <w:autoSpaceDE w:val="0"/>
        <w:autoSpaceDN w:val="0"/>
        <w:adjustRightInd w:val="0"/>
        <w:spacing w:after="0" w:line="276" w:lineRule="auto"/>
        <w:rPr>
          <w:rFonts w:cs="Times New Roman"/>
          <w:color w:val="000000"/>
          <w:sz w:val="2"/>
          <w:szCs w:val="19"/>
        </w:rPr>
      </w:pPr>
    </w:p>
    <w:p w:rsidR="00465D53" w:rsidRPr="00063B34" w:rsidRDefault="00E029A9" w:rsidP="00063B34">
      <w:pPr>
        <w:pStyle w:val="Heading4"/>
      </w:pPr>
      <w:bookmarkStart w:id="201" w:name="_Toc474639020"/>
      <w:r w:rsidRPr="00063B34">
        <w:t>Table 3.2</w:t>
      </w:r>
      <w:r w:rsidR="000D4192" w:rsidRPr="00063B34">
        <w:t xml:space="preserve">: </w:t>
      </w:r>
      <w:r w:rsidR="00465D53" w:rsidRPr="00063B34">
        <w:t>Area</w:t>
      </w:r>
      <w:r w:rsidR="00344633">
        <w:t xml:space="preserve">wise </w:t>
      </w:r>
      <w:r w:rsidR="00465D53" w:rsidRPr="00063B34">
        <w:t xml:space="preserve">Comparison </w:t>
      </w:r>
      <w:r w:rsidR="00344633">
        <w:t xml:space="preserve">of </w:t>
      </w:r>
      <w:r w:rsidR="00465D53" w:rsidRPr="00063B34">
        <w:t>Groundwater Tables 2004 - 10</w:t>
      </w:r>
      <w:bookmarkEnd w:id="201"/>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1772"/>
        <w:gridCol w:w="1771"/>
        <w:gridCol w:w="1771"/>
        <w:gridCol w:w="1771"/>
        <w:gridCol w:w="1771"/>
      </w:tblGrid>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color w:val="000000"/>
                <w:sz w:val="20"/>
                <w:szCs w:val="18"/>
              </w:rPr>
            </w:pPr>
            <w:r w:rsidRPr="00314A8E">
              <w:rPr>
                <w:rFonts w:cs="Times New Roman"/>
                <w:b/>
                <w:bCs/>
                <w:iCs/>
                <w:color w:val="000000"/>
                <w:sz w:val="20"/>
                <w:szCs w:val="18"/>
              </w:rPr>
              <w:t xml:space="preserve">GW Level (m) </w:t>
            </w:r>
          </w:p>
        </w:tc>
        <w:tc>
          <w:tcPr>
            <w:tcW w:w="1000" w:type="pct"/>
          </w:tcPr>
          <w:p w:rsidR="00465D53" w:rsidRPr="00314A8E" w:rsidRDefault="00465D53" w:rsidP="00465D53">
            <w:pPr>
              <w:autoSpaceDE w:val="0"/>
              <w:autoSpaceDN w:val="0"/>
              <w:adjustRightInd w:val="0"/>
              <w:spacing w:after="0" w:line="240" w:lineRule="auto"/>
              <w:rPr>
                <w:rFonts w:cs="Times New Roman"/>
                <w:color w:val="000000"/>
                <w:sz w:val="20"/>
                <w:szCs w:val="18"/>
              </w:rPr>
            </w:pPr>
            <w:r w:rsidRPr="00314A8E">
              <w:rPr>
                <w:rFonts w:cs="Times New Roman"/>
                <w:b/>
                <w:bCs/>
                <w:iCs/>
                <w:color w:val="000000"/>
                <w:sz w:val="20"/>
                <w:szCs w:val="18"/>
              </w:rPr>
              <w:t xml:space="preserve">Area in 2004 </w:t>
            </w:r>
            <w:r w:rsidR="00536E0D">
              <w:rPr>
                <w:rFonts w:cs="Times New Roman"/>
                <w:b/>
                <w:bCs/>
                <w:iCs/>
                <w:color w:val="000000"/>
                <w:sz w:val="20"/>
                <w:szCs w:val="18"/>
              </w:rPr>
              <w:t>(Unit?)</w:t>
            </w:r>
          </w:p>
        </w:tc>
        <w:tc>
          <w:tcPr>
            <w:tcW w:w="1000" w:type="pct"/>
          </w:tcPr>
          <w:p w:rsidR="00465D53" w:rsidRPr="00314A8E" w:rsidRDefault="00465D53" w:rsidP="00465D53">
            <w:pPr>
              <w:autoSpaceDE w:val="0"/>
              <w:autoSpaceDN w:val="0"/>
              <w:adjustRightInd w:val="0"/>
              <w:spacing w:after="0" w:line="240" w:lineRule="auto"/>
              <w:rPr>
                <w:rFonts w:cs="Times New Roman"/>
                <w:color w:val="000000"/>
                <w:sz w:val="20"/>
                <w:szCs w:val="18"/>
              </w:rPr>
            </w:pPr>
            <w:r w:rsidRPr="00314A8E">
              <w:rPr>
                <w:rFonts w:cs="Times New Roman"/>
                <w:b/>
                <w:bCs/>
                <w:iCs/>
                <w:color w:val="000000"/>
                <w:sz w:val="20"/>
                <w:szCs w:val="18"/>
              </w:rPr>
              <w:t xml:space="preserve">Area in 2010 </w:t>
            </w:r>
          </w:p>
        </w:tc>
        <w:tc>
          <w:tcPr>
            <w:tcW w:w="1000" w:type="pct"/>
          </w:tcPr>
          <w:p w:rsidR="00465D53" w:rsidRPr="00314A8E" w:rsidRDefault="00465D53" w:rsidP="00465D53">
            <w:pPr>
              <w:autoSpaceDE w:val="0"/>
              <w:autoSpaceDN w:val="0"/>
              <w:adjustRightInd w:val="0"/>
              <w:spacing w:after="0" w:line="240" w:lineRule="auto"/>
              <w:rPr>
                <w:rFonts w:cs="Times New Roman"/>
                <w:color w:val="000000"/>
                <w:sz w:val="20"/>
                <w:szCs w:val="18"/>
              </w:rPr>
            </w:pPr>
            <w:r w:rsidRPr="00314A8E">
              <w:rPr>
                <w:rFonts w:cs="Times New Roman"/>
                <w:b/>
                <w:bCs/>
                <w:iCs/>
                <w:color w:val="000000"/>
                <w:sz w:val="20"/>
                <w:szCs w:val="18"/>
              </w:rPr>
              <w:t xml:space="preserve">Difference </w:t>
            </w:r>
          </w:p>
        </w:tc>
        <w:tc>
          <w:tcPr>
            <w:tcW w:w="1000" w:type="pct"/>
          </w:tcPr>
          <w:p w:rsidR="00465D53" w:rsidRPr="00314A8E" w:rsidRDefault="00465D53" w:rsidP="00465D53">
            <w:pPr>
              <w:autoSpaceDE w:val="0"/>
              <w:autoSpaceDN w:val="0"/>
              <w:adjustRightInd w:val="0"/>
              <w:spacing w:after="0" w:line="240" w:lineRule="auto"/>
              <w:rPr>
                <w:rFonts w:cs="Times New Roman"/>
                <w:color w:val="000000"/>
                <w:sz w:val="20"/>
                <w:szCs w:val="18"/>
              </w:rPr>
            </w:pPr>
            <w:r w:rsidRPr="00314A8E">
              <w:rPr>
                <w:rFonts w:cs="Times New Roman"/>
                <w:b/>
                <w:bCs/>
                <w:iCs/>
                <w:color w:val="000000"/>
                <w:sz w:val="20"/>
                <w:szCs w:val="18"/>
              </w:rPr>
              <w:t xml:space="preserve">Percentage %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0.1-5.3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41958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35769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6189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14.75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5.3-7.6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31778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34671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2893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9.10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7.6-9.8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14441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13691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750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-5.19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9.8-11.3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5503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6849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1345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24.44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11.3-15.0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4812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5099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287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5.96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15.0-20.5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1464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3787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2323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158.73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20.5-26.0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200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452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251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125.47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26.0-35.5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112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209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96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85.77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35.5-60+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76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91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15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19.80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River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10856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10856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0 </w:t>
            </w:r>
          </w:p>
        </w:tc>
      </w:tr>
      <w:tr w:rsidR="00465D53" w:rsidRPr="00314A8E" w:rsidTr="00465D53">
        <w:trPr>
          <w:trHeight w:val="168"/>
        </w:trPr>
        <w:tc>
          <w:tcPr>
            <w:tcW w:w="1000" w:type="pct"/>
          </w:tcPr>
          <w:p w:rsidR="00465D53" w:rsidRPr="00314A8E" w:rsidRDefault="00344633" w:rsidP="00465D53">
            <w:pPr>
              <w:autoSpaceDE w:val="0"/>
              <w:autoSpaceDN w:val="0"/>
              <w:adjustRightInd w:val="0"/>
              <w:spacing w:after="0" w:line="240" w:lineRule="auto"/>
              <w:rPr>
                <w:rFonts w:cs="Times New Roman"/>
                <w:sz w:val="22"/>
                <w:szCs w:val="18"/>
              </w:rPr>
            </w:pPr>
            <w:r>
              <w:rPr>
                <w:rFonts w:cs="Times New Roman"/>
                <w:sz w:val="22"/>
                <w:szCs w:val="18"/>
              </w:rPr>
              <w:t>RHF</w:t>
            </w:r>
            <w:r w:rsidR="00465D53" w:rsidRPr="00314A8E">
              <w:rPr>
                <w:rFonts w:cs="Times New Roman"/>
                <w:sz w:val="22"/>
                <w:szCs w:val="18"/>
              </w:rPr>
              <w:t xml:space="preserve">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31836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31836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0 </w:t>
            </w:r>
          </w:p>
        </w:tc>
      </w:tr>
      <w:tr w:rsidR="00465D53" w:rsidRPr="00314A8E" w:rsidTr="00465D53">
        <w:trPr>
          <w:trHeight w:val="168"/>
        </w:trPr>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Char Land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4260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4260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0 </w:t>
            </w:r>
          </w:p>
        </w:tc>
        <w:tc>
          <w:tcPr>
            <w:tcW w:w="1000" w:type="pct"/>
          </w:tcPr>
          <w:p w:rsidR="00465D53" w:rsidRPr="00314A8E" w:rsidRDefault="00465D53" w:rsidP="00465D53">
            <w:pPr>
              <w:autoSpaceDE w:val="0"/>
              <w:autoSpaceDN w:val="0"/>
              <w:adjustRightInd w:val="0"/>
              <w:spacing w:after="0" w:line="240" w:lineRule="auto"/>
              <w:rPr>
                <w:rFonts w:cs="Times New Roman"/>
                <w:sz w:val="22"/>
                <w:szCs w:val="18"/>
              </w:rPr>
            </w:pPr>
            <w:r w:rsidRPr="00314A8E">
              <w:rPr>
                <w:rFonts w:cs="Times New Roman"/>
                <w:sz w:val="22"/>
                <w:szCs w:val="18"/>
              </w:rPr>
              <w:t xml:space="preserve">0 </w:t>
            </w:r>
          </w:p>
        </w:tc>
      </w:tr>
    </w:tbl>
    <w:p w:rsidR="00465D53" w:rsidRPr="008C4086" w:rsidRDefault="009F2130" w:rsidP="002F2EF8">
      <w:pPr>
        <w:spacing w:line="276" w:lineRule="auto"/>
        <w:jc w:val="both"/>
        <w:rPr>
          <w:b/>
          <w:i/>
          <w:sz w:val="20"/>
          <w:szCs w:val="24"/>
        </w:rPr>
      </w:pPr>
      <w:r w:rsidRPr="009F2130">
        <w:rPr>
          <w:b/>
          <w:i/>
          <w:sz w:val="20"/>
          <w:szCs w:val="24"/>
        </w:rPr>
        <w:t>Source: BADC 2011</w:t>
      </w:r>
    </w:p>
    <w:p w:rsidR="00A356FA" w:rsidRPr="006A0504" w:rsidRDefault="00A356FA" w:rsidP="002F2EF8">
      <w:pPr>
        <w:spacing w:line="276" w:lineRule="auto"/>
        <w:jc w:val="both"/>
        <w:rPr>
          <w:szCs w:val="24"/>
        </w:rPr>
      </w:pPr>
      <w:r w:rsidRPr="006A0504">
        <w:rPr>
          <w:szCs w:val="24"/>
        </w:rPr>
        <w:lastRenderedPageBreak/>
        <w:t xml:space="preserve">The quality of groundwater resources is a serious concern in Bangladesh. In absence of required quantities of surface water, farmers overexploited groundwater for irrigation and other uses, resulting in exposure of arsenic in groundwater. Use of arsenic contaminated groundwater is a massive </w:t>
      </w:r>
      <w:r w:rsidR="002424F1">
        <w:rPr>
          <w:szCs w:val="24"/>
        </w:rPr>
        <w:t>public</w:t>
      </w:r>
      <w:r w:rsidRPr="006A0504">
        <w:rPr>
          <w:szCs w:val="24"/>
        </w:rPr>
        <w:t xml:space="preserve"> health issue in some areas. Due to high spatial and temporal variability in surface water availability and quality, groundwater is increasingly used to meet domestic, industrial and irrigation purposes. The most important quality</w:t>
      </w:r>
      <w:r w:rsidR="002F2EF8">
        <w:rPr>
          <w:szCs w:val="24"/>
        </w:rPr>
        <w:t xml:space="preserve"> concern is arsenic</w:t>
      </w:r>
      <w:r w:rsidR="00F92184">
        <w:rPr>
          <w:szCs w:val="24"/>
        </w:rPr>
        <w:t xml:space="preserve"> </w:t>
      </w:r>
      <w:r w:rsidR="00F92184" w:rsidRPr="00F92184">
        <w:rPr>
          <w:szCs w:val="24"/>
        </w:rPr>
        <w:t>(Khan and Siddique 2000; BGS and DPHE, 2001),</w:t>
      </w:r>
      <w:r w:rsidRPr="00F92184">
        <w:rPr>
          <w:szCs w:val="24"/>
        </w:rPr>
        <w:t xml:space="preserve"> </w:t>
      </w:r>
      <w:r w:rsidRPr="006A0504">
        <w:rPr>
          <w:szCs w:val="24"/>
        </w:rPr>
        <w:t>but iron, manganese, boron, barium, uranium, bacterial contamination and nitrate and other trace metals also poses serious challenges in different parts of Bangladesh.</w:t>
      </w:r>
    </w:p>
    <w:p w:rsidR="00550415" w:rsidRDefault="00A356FA" w:rsidP="00D96A3E">
      <w:pPr>
        <w:pStyle w:val="Default"/>
        <w:spacing w:line="276" w:lineRule="auto"/>
        <w:jc w:val="both"/>
        <w:rPr>
          <w:rFonts w:ascii="Times New Roman" w:hAnsi="Times New Roman" w:cs="Times New Roman"/>
          <w:szCs w:val="19"/>
        </w:rPr>
      </w:pPr>
      <w:r w:rsidRPr="00D96A3E">
        <w:rPr>
          <w:rFonts w:ascii="Times New Roman" w:hAnsi="Times New Roman" w:cs="Times New Roman"/>
          <w:szCs w:val="24"/>
        </w:rPr>
        <w:t xml:space="preserve">The ground water of Bangladesh is heavily contaminated with Arsenic. </w:t>
      </w:r>
      <w:r w:rsidR="00D96A3E" w:rsidRPr="00D96A3E">
        <w:rPr>
          <w:rFonts w:ascii="Times New Roman" w:hAnsi="Times New Roman" w:cs="Times New Roman"/>
          <w:szCs w:val="24"/>
        </w:rPr>
        <w:t xml:space="preserve"> Some </w:t>
      </w:r>
      <w:r w:rsidRPr="00D96A3E">
        <w:rPr>
          <w:rFonts w:ascii="Times New Roman" w:hAnsi="Times New Roman" w:cs="Times New Roman"/>
          <w:szCs w:val="24"/>
        </w:rPr>
        <w:t>61 of 64 districts in Bangladesh have arsenic level above 0.05 mg/L</w:t>
      </w:r>
      <w:r w:rsidR="008C4086" w:rsidRPr="00D96A3E">
        <w:rPr>
          <w:rFonts w:ascii="Times New Roman" w:hAnsi="Times New Roman" w:cs="Times New Roman"/>
          <w:szCs w:val="24"/>
        </w:rPr>
        <w:t xml:space="preserve"> (NWMP 2004)</w:t>
      </w:r>
      <w:r w:rsidRPr="00D96A3E">
        <w:rPr>
          <w:rFonts w:ascii="Times New Roman" w:hAnsi="Times New Roman" w:cs="Times New Roman"/>
          <w:szCs w:val="24"/>
        </w:rPr>
        <w:t>. The people in 59 out of 64 districts comprising 126,134 km</w:t>
      </w:r>
      <w:r w:rsidRPr="00D96A3E">
        <w:rPr>
          <w:rFonts w:ascii="Times New Roman" w:hAnsi="Times New Roman" w:cs="Times New Roman"/>
          <w:szCs w:val="24"/>
          <w:vertAlign w:val="superscript"/>
        </w:rPr>
        <w:t>2</w:t>
      </w:r>
      <w:r w:rsidRPr="00D96A3E">
        <w:rPr>
          <w:rFonts w:ascii="Times New Roman" w:hAnsi="Times New Roman" w:cs="Times New Roman"/>
          <w:szCs w:val="24"/>
        </w:rPr>
        <w:t xml:space="preserve"> of Bangladesh are suffering due to the arsenic contamination in </w:t>
      </w:r>
      <w:r w:rsidR="00246BE1" w:rsidRPr="00D96A3E">
        <w:rPr>
          <w:rFonts w:ascii="Times New Roman" w:hAnsi="Times New Roman" w:cs="Times New Roman"/>
          <w:szCs w:val="24"/>
        </w:rPr>
        <w:t>drinking water</w:t>
      </w:r>
      <w:r w:rsidRPr="00D96A3E">
        <w:rPr>
          <w:rFonts w:ascii="Times New Roman" w:hAnsi="Times New Roman" w:cs="Times New Roman"/>
          <w:szCs w:val="24"/>
        </w:rPr>
        <w:t xml:space="preserve">. </w:t>
      </w:r>
      <w:r w:rsidR="00550415" w:rsidRPr="00D96A3E">
        <w:rPr>
          <w:rFonts w:ascii="Times New Roman" w:hAnsi="Times New Roman" w:cs="Times New Roman"/>
          <w:szCs w:val="19"/>
        </w:rPr>
        <w:t xml:space="preserve">An overview of arsenic contamination in the groundwater of Bangladesh (Hossain, 2006) is represented in the </w:t>
      </w:r>
      <w:r w:rsidR="00550415" w:rsidRPr="00D96A3E">
        <w:rPr>
          <w:rFonts w:ascii="Times New Roman" w:hAnsi="Times New Roman" w:cs="Times New Roman"/>
          <w:bCs/>
          <w:szCs w:val="19"/>
        </w:rPr>
        <w:t xml:space="preserve">Figure 3.1 </w:t>
      </w:r>
      <w:r w:rsidR="00550415" w:rsidRPr="00D96A3E">
        <w:rPr>
          <w:rFonts w:ascii="Times New Roman" w:hAnsi="Times New Roman" w:cs="Times New Roman"/>
          <w:szCs w:val="19"/>
        </w:rPr>
        <w:t xml:space="preserve">below: </w:t>
      </w:r>
    </w:p>
    <w:p w:rsidR="000D4192" w:rsidRPr="000D4192" w:rsidRDefault="000D4192" w:rsidP="000D4192">
      <w:pPr>
        <w:pStyle w:val="Heading5"/>
      </w:pPr>
      <w:bookmarkStart w:id="202" w:name="_Toc474639170"/>
      <w:r w:rsidRPr="000D4192">
        <w:t xml:space="preserve">Figure 3.1: </w:t>
      </w:r>
      <w:r w:rsidR="002E04F3" w:rsidRPr="000D4192">
        <w:t>District wise</w:t>
      </w:r>
      <w:r w:rsidRPr="000D4192">
        <w:t xml:space="preserve"> Incidence of Arsenic Poisoning</w:t>
      </w:r>
      <w:bookmarkEnd w:id="202"/>
      <w:r w:rsidRPr="000D4192">
        <w:t xml:space="preserve"> </w:t>
      </w:r>
    </w:p>
    <w:p w:rsidR="00ED1843" w:rsidRPr="00ED1843" w:rsidRDefault="00ED1843" w:rsidP="000D4192">
      <w:pPr>
        <w:spacing w:after="120" w:line="276" w:lineRule="auto"/>
        <w:jc w:val="center"/>
        <w:rPr>
          <w:rFonts w:cs="Times New Roman"/>
          <w:szCs w:val="24"/>
        </w:rPr>
      </w:pPr>
      <w:r>
        <w:rPr>
          <w:noProof/>
          <w:lang w:val="en-AU" w:eastAsia="en-AU" w:bidi="bn-BD"/>
        </w:rPr>
        <w:drawing>
          <wp:inline distT="0" distB="0" distL="0" distR="0">
            <wp:extent cx="47625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50415" w:rsidRPr="00ED1843" w:rsidRDefault="00ED1843" w:rsidP="000D4192">
      <w:pPr>
        <w:spacing w:before="120" w:line="276" w:lineRule="auto"/>
        <w:jc w:val="both"/>
        <w:rPr>
          <w:b/>
          <w:i/>
          <w:sz w:val="20"/>
          <w:szCs w:val="24"/>
        </w:rPr>
      </w:pPr>
      <w:r>
        <w:rPr>
          <w:szCs w:val="24"/>
        </w:rPr>
        <w:t xml:space="preserve">         </w:t>
      </w:r>
      <w:r w:rsidRPr="00ED1843">
        <w:rPr>
          <w:b/>
          <w:i/>
          <w:sz w:val="20"/>
          <w:szCs w:val="24"/>
        </w:rPr>
        <w:t>Source: Hossain, 2006</w:t>
      </w:r>
    </w:p>
    <w:p w:rsidR="00A356FA" w:rsidRDefault="00A356FA" w:rsidP="006A46FE">
      <w:pPr>
        <w:spacing w:line="276" w:lineRule="auto"/>
        <w:jc w:val="both"/>
        <w:rPr>
          <w:szCs w:val="24"/>
        </w:rPr>
      </w:pPr>
      <w:r w:rsidRPr="006A0504">
        <w:rPr>
          <w:szCs w:val="24"/>
        </w:rPr>
        <w:t>Among the hydrologic regions, the south east (SE) and south central (SC) regions are worst affected by arsenic. The ground water of Comilla (1.7 mg/L), Chandpur (1.3 mg/L), Feni (1 mg/L) are well above the standard for Bangladesh which is 0.05 mg/L. Among the districts of central part of Coastal area Faridpur (0.16 mg/L), Madaripur (0.12 mg/L), Barisal (0.18 mg/L) are heavily contaminated with arsenic. Though the south west region is i</w:t>
      </w:r>
      <w:r w:rsidR="00601B83">
        <w:rPr>
          <w:szCs w:val="24"/>
        </w:rPr>
        <w:t>n a relatively better state than</w:t>
      </w:r>
      <w:r w:rsidRPr="006A0504">
        <w:rPr>
          <w:szCs w:val="24"/>
        </w:rPr>
        <w:t xml:space="preserve"> the other two regions, Khulna has the arsenic contamination of 0.31 mg/L which is the highest in the country. The arsenic contamination in Haor area is in the range between 0.022 mg/L to 0.09 mg/L. Dhaka’s </w:t>
      </w:r>
      <w:r w:rsidRPr="006A0504">
        <w:rPr>
          <w:szCs w:val="24"/>
        </w:rPr>
        <w:lastRenderedPageBreak/>
        <w:t>ground water has arsenic contamination of around 0.035 mg/L where as Narayanganj has an overwhelming amount to 1.76 mg/L of arsenic in water. The eastern portion of Coastal area has overall good quality of ground water in terms of arsenic within ranges b</w:t>
      </w:r>
      <w:r w:rsidR="00246BE1">
        <w:rPr>
          <w:szCs w:val="24"/>
        </w:rPr>
        <w:t>etween 0.013 mg/L to 0.02 mg/L.</w:t>
      </w:r>
    </w:p>
    <w:p w:rsidR="008C4086" w:rsidRDefault="00F91D34" w:rsidP="000D4192">
      <w:pPr>
        <w:autoSpaceDE w:val="0"/>
        <w:autoSpaceDN w:val="0"/>
        <w:adjustRightInd w:val="0"/>
        <w:spacing w:line="276" w:lineRule="auto"/>
        <w:jc w:val="both"/>
        <w:rPr>
          <w:rFonts w:cs="Times New Roman"/>
          <w:color w:val="000000"/>
          <w:szCs w:val="19"/>
        </w:rPr>
      </w:pPr>
      <w:r>
        <w:rPr>
          <w:rFonts w:cs="Times New Roman"/>
          <w:color w:val="000000"/>
          <w:szCs w:val="19"/>
        </w:rPr>
        <w:t>As evident, a</w:t>
      </w:r>
      <w:r w:rsidR="008C4086">
        <w:rPr>
          <w:rFonts w:cs="Times New Roman"/>
          <w:color w:val="000000"/>
          <w:szCs w:val="19"/>
        </w:rPr>
        <w:t xml:space="preserve">rsenic poisoning presents a serious threat to health for a large segment of the population.  A </w:t>
      </w:r>
      <w:r w:rsidR="008C4086" w:rsidRPr="008C4086">
        <w:rPr>
          <w:rFonts w:cs="Times New Roman"/>
          <w:color w:val="000000"/>
          <w:szCs w:val="19"/>
        </w:rPr>
        <w:t>recent study (Flanagan et al. 2012) reports that over the next 20 yea</w:t>
      </w:r>
      <w:r w:rsidR="008C4086">
        <w:rPr>
          <w:rFonts w:cs="Times New Roman"/>
          <w:color w:val="000000"/>
          <w:szCs w:val="19"/>
        </w:rPr>
        <w:t>rs a</w:t>
      </w:r>
      <w:r w:rsidR="008C4086" w:rsidRPr="008C4086">
        <w:rPr>
          <w:rFonts w:cs="Times New Roman"/>
          <w:color w:val="000000"/>
          <w:szCs w:val="19"/>
        </w:rPr>
        <w:t xml:space="preserve">rsenic-related mortality in Bangladesh (1 of every 18 deaths) could lead to a loss of US $12.5 billion assuming a steady economic growth and an unchanged population exposure to arsenic contamination. </w:t>
      </w:r>
    </w:p>
    <w:p w:rsidR="00000000" w:rsidRDefault="00F5133A" w:rsidP="003D5A31">
      <w:pPr>
        <w:pStyle w:val="BodyText"/>
        <w:numPr>
          <w:ilvl w:val="2"/>
          <w:numId w:val="137"/>
        </w:numPr>
        <w:spacing w:after="240" w:line="276" w:lineRule="auto"/>
        <w:jc w:val="both"/>
        <w:rPr>
          <w:rFonts w:cs="Times New Roman"/>
          <w:b/>
          <w:szCs w:val="24"/>
        </w:rPr>
      </w:pPr>
      <w:r w:rsidRPr="00E50596">
        <w:rPr>
          <w:rFonts w:cs="Times New Roman"/>
          <w:b/>
          <w:szCs w:val="24"/>
        </w:rPr>
        <w:t>Air Quality</w:t>
      </w:r>
    </w:p>
    <w:p w:rsidR="00F5133A" w:rsidRPr="006A0504" w:rsidRDefault="00F5133A" w:rsidP="00F5133A">
      <w:pPr>
        <w:spacing w:line="276" w:lineRule="auto"/>
        <w:jc w:val="both"/>
        <w:rPr>
          <w:szCs w:val="24"/>
        </w:rPr>
      </w:pPr>
      <w:r w:rsidRPr="006A0504">
        <w:rPr>
          <w:szCs w:val="24"/>
        </w:rPr>
        <w:t>Air quality is an important parameter for overall environmental quality of a place. Air pollution in Bangladesh is mainly happening due to emission of black carbon from vehicular emission, brick kilns and industries. The two major air quality parameters are PM</w:t>
      </w:r>
      <w:r w:rsidR="00344633">
        <w:rPr>
          <w:szCs w:val="24"/>
        </w:rPr>
        <w:t xml:space="preserve"> (particulate matter)</w:t>
      </w:r>
      <w:r w:rsidRPr="006A0504">
        <w:rPr>
          <w:szCs w:val="24"/>
        </w:rPr>
        <w:t>2.5 and PM10. The national ambient air quality standard for this two is 65 and 150 µg/m</w:t>
      </w:r>
      <w:r w:rsidRPr="006A0504">
        <w:rPr>
          <w:szCs w:val="24"/>
          <w:vertAlign w:val="superscript"/>
        </w:rPr>
        <w:t>3</w:t>
      </w:r>
      <w:r w:rsidRPr="006A0504">
        <w:rPr>
          <w:szCs w:val="24"/>
        </w:rPr>
        <w:t xml:space="preserve"> respectively. There are 11 air quality measuring stations in 8 cities in Bangladesh. All of them show that the PM2.5 concentration is higher than the standard value which is very dangerous for the environment. The same is true for PM10. Only Haor area is comparatively safer than the other regions. However Chittagong, Sylhet and Khulna have higher value for 8hr</w:t>
      </w:r>
      <w:r w:rsidR="00536E0D">
        <w:rPr>
          <w:szCs w:val="24"/>
        </w:rPr>
        <w:t>O</w:t>
      </w:r>
      <w:r w:rsidR="00F64A6A" w:rsidRPr="00F64A6A">
        <w:rPr>
          <w:szCs w:val="24"/>
          <w:vertAlign w:val="subscript"/>
        </w:rPr>
        <w:t>3</w:t>
      </w:r>
      <w:r w:rsidRPr="006A0504">
        <w:rPr>
          <w:szCs w:val="24"/>
        </w:rPr>
        <w:t xml:space="preserve"> than </w:t>
      </w:r>
      <w:r>
        <w:rPr>
          <w:szCs w:val="24"/>
        </w:rPr>
        <w:t>the other districts</w:t>
      </w:r>
      <w:r w:rsidRPr="006A0504">
        <w:rPr>
          <w:szCs w:val="24"/>
        </w:rPr>
        <w:t xml:space="preserve">. </w:t>
      </w:r>
    </w:p>
    <w:p w:rsidR="00F5133A" w:rsidRPr="006A0504" w:rsidRDefault="00F5133A" w:rsidP="00F5133A">
      <w:pPr>
        <w:spacing w:line="276" w:lineRule="auto"/>
        <w:jc w:val="both"/>
        <w:rPr>
          <w:szCs w:val="24"/>
        </w:rPr>
      </w:pPr>
      <w:r w:rsidRPr="006A0504">
        <w:rPr>
          <w:szCs w:val="24"/>
        </w:rPr>
        <w:t>Urban cities are mostly affected by air pollution. Air quality of Dhaka is deteriorating because of high concentration of CO and particulate matter. Dhaka has been densely populated over the years with unplanned urbanization and industrialization. Most of the industries don’t follow any guideline while emitting smokes into the environment that has led to a degradation of the air quality. Chittagong has highest amount of steel industries. Steel industries emit a huge percentage of black carbon. There are 76 brick kilns in Dhaka and most of them are located in the western side adjoining the Turag River. Brick kilns are a major point source of air pollution in the region.</w:t>
      </w:r>
    </w:p>
    <w:p w:rsidR="00F5133A" w:rsidRDefault="00F5133A" w:rsidP="006A46FE">
      <w:pPr>
        <w:spacing w:line="276" w:lineRule="auto"/>
        <w:jc w:val="both"/>
        <w:rPr>
          <w:szCs w:val="24"/>
        </w:rPr>
      </w:pPr>
      <w:r w:rsidRPr="006A0504">
        <w:rPr>
          <w:szCs w:val="24"/>
        </w:rPr>
        <w:t>Haor region has overall better quality of air. It may be because of lack of industries and also for having greater number of trees than other reg</w:t>
      </w:r>
      <w:r>
        <w:rPr>
          <w:szCs w:val="24"/>
        </w:rPr>
        <w:t>ions. Chittagong hill tracts have</w:t>
      </w:r>
      <w:r w:rsidRPr="006A0504">
        <w:rPr>
          <w:szCs w:val="24"/>
        </w:rPr>
        <w:t xml:space="preserve"> also better qual</w:t>
      </w:r>
      <w:r w:rsidR="00F93FD2">
        <w:rPr>
          <w:szCs w:val="24"/>
        </w:rPr>
        <w:t xml:space="preserve">ity of air than urban cities. </w:t>
      </w:r>
    </w:p>
    <w:p w:rsidR="00F64A6A" w:rsidRDefault="00A356FA" w:rsidP="00F64A6A">
      <w:pPr>
        <w:pStyle w:val="Heading2"/>
        <w:numPr>
          <w:ilvl w:val="0"/>
          <w:numId w:val="0"/>
        </w:numPr>
        <w:ind w:left="720"/>
      </w:pPr>
      <w:bookmarkStart w:id="203" w:name="_Toc474638859"/>
      <w:r w:rsidRPr="00A802C3">
        <w:t>Ecology</w:t>
      </w:r>
      <w:bookmarkEnd w:id="203"/>
    </w:p>
    <w:p w:rsidR="00123E41" w:rsidRPr="00A1679C" w:rsidRDefault="00A356FA" w:rsidP="00A1679C">
      <w:pPr>
        <w:spacing w:line="276" w:lineRule="auto"/>
        <w:jc w:val="both"/>
        <w:rPr>
          <w:szCs w:val="24"/>
        </w:rPr>
      </w:pPr>
      <w:r w:rsidRPr="006A0504">
        <w:rPr>
          <w:szCs w:val="24"/>
        </w:rPr>
        <w:t xml:space="preserve">Bangladesh is located in the complex interface of the Himalayan and the South-East Asian Bio-Geographical region. This country is a land of different type of ecosystem which supports rich biodiversity. It has also international biodiversity hot spot like Sundarbans, Tanguar Haor, </w:t>
      </w:r>
      <w:r w:rsidR="00EB2DC9" w:rsidRPr="006A0504">
        <w:rPr>
          <w:szCs w:val="24"/>
        </w:rPr>
        <w:t>and Sonadia</w:t>
      </w:r>
      <w:r w:rsidRPr="006A0504">
        <w:rPr>
          <w:szCs w:val="24"/>
        </w:rPr>
        <w:t xml:space="preserve"> Island etc. Torrential rains, regular flow from </w:t>
      </w:r>
      <w:r w:rsidRPr="006A0504">
        <w:rPr>
          <w:szCs w:val="24"/>
        </w:rPr>
        <w:lastRenderedPageBreak/>
        <w:t xml:space="preserve">upper Himalayan, Meghalaya hills terrain and regular tidal flow from the Bay of Bengal created an exceptional diversified ecosystem. The major rivers and its surrounding areas comprise different landforms like floodplain, </w:t>
      </w:r>
      <w:r w:rsidR="00F51D0D" w:rsidRPr="006A0504">
        <w:rPr>
          <w:szCs w:val="24"/>
        </w:rPr>
        <w:t>char land</w:t>
      </w:r>
      <w:r w:rsidRPr="006A0504">
        <w:rPr>
          <w:szCs w:val="24"/>
        </w:rPr>
        <w:t xml:space="preserve">, swamp forest, homestead, canal, baor, haor, beels etc. The landforms have varied vegetation patterns which create diverse habitats for different wildlife. </w:t>
      </w:r>
      <w:r w:rsidR="00123E41">
        <w:rPr>
          <w:rFonts w:cs="Times New Roman"/>
          <w:szCs w:val="24"/>
        </w:rPr>
        <w:t>The Bio-ecological zones of Bangladesh are shown in Map 3.2.</w:t>
      </w:r>
    </w:p>
    <w:p w:rsidR="002E533E" w:rsidRPr="00E46790" w:rsidRDefault="002E533E" w:rsidP="00D13FC2">
      <w:pPr>
        <w:pStyle w:val="Heading6"/>
      </w:pPr>
      <w:bookmarkStart w:id="204" w:name="_Toc474639313"/>
      <w:r>
        <w:t>Map 3.2</w:t>
      </w:r>
      <w:r w:rsidRPr="00E46790">
        <w:t>: Bio-ecological Zones of Bangladesh</w:t>
      </w:r>
      <w:bookmarkEnd w:id="204"/>
      <w:r w:rsidRPr="00E46790">
        <w:t xml:space="preserve"> </w:t>
      </w:r>
    </w:p>
    <w:p w:rsidR="002E533E" w:rsidRDefault="002E533E" w:rsidP="00F72498">
      <w:pPr>
        <w:spacing w:after="120" w:line="276" w:lineRule="auto"/>
        <w:jc w:val="both"/>
        <w:rPr>
          <w:szCs w:val="24"/>
        </w:rPr>
      </w:pPr>
      <w:r w:rsidRPr="003473B9">
        <w:rPr>
          <w:rFonts w:cs="Segoe UI"/>
          <w:noProof/>
          <w:sz w:val="20"/>
          <w:szCs w:val="20"/>
          <w:lang w:val="en-AU" w:eastAsia="en-AU" w:bidi="bn-BD"/>
        </w:rPr>
        <w:drawing>
          <wp:inline distT="0" distB="0" distL="0" distR="0">
            <wp:extent cx="5483747" cy="6305550"/>
            <wp:effectExtent l="0" t="0" r="3175" b="0"/>
            <wp:docPr id="81" name="Picture 1" descr="Bio-ecological Zo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Bio-ecological Zone"/>
                    <pic:cNvPicPr>
                      <a:picLocks noChangeAspect="1" noChangeArrowheads="1"/>
                    </pic:cNvPicPr>
                  </pic:nvPicPr>
                  <pic:blipFill>
                    <a:blip r:embed="rId72" cstate="print"/>
                    <a:srcRect/>
                    <a:stretch>
                      <a:fillRect/>
                    </a:stretch>
                  </pic:blipFill>
                  <pic:spPr bwMode="auto">
                    <a:xfrm>
                      <a:off x="0" y="0"/>
                      <a:ext cx="5486400" cy="6308601"/>
                    </a:xfrm>
                    <a:prstGeom prst="rect">
                      <a:avLst/>
                    </a:prstGeom>
                    <a:noFill/>
                    <a:ln w="9525">
                      <a:noFill/>
                      <a:miter lim="800000"/>
                      <a:headEnd/>
                      <a:tailEnd/>
                    </a:ln>
                  </pic:spPr>
                </pic:pic>
              </a:graphicData>
            </a:graphic>
          </wp:inline>
        </w:drawing>
      </w:r>
    </w:p>
    <w:p w:rsidR="00F72498" w:rsidRPr="00F72498" w:rsidRDefault="00F72498" w:rsidP="002E533E">
      <w:pPr>
        <w:spacing w:line="276" w:lineRule="auto"/>
        <w:jc w:val="both"/>
        <w:rPr>
          <w:b/>
          <w:i/>
          <w:sz w:val="20"/>
          <w:szCs w:val="24"/>
        </w:rPr>
      </w:pPr>
      <w:r w:rsidRPr="00F72498">
        <w:rPr>
          <w:b/>
          <w:i/>
          <w:sz w:val="20"/>
          <w:szCs w:val="24"/>
        </w:rPr>
        <w:t>Source: CEGIS</w:t>
      </w:r>
    </w:p>
    <w:p w:rsidR="00123E41" w:rsidRPr="00123E41" w:rsidRDefault="00123E41" w:rsidP="00123E41">
      <w:pPr>
        <w:pStyle w:val="BodyText"/>
        <w:spacing w:after="240" w:line="276" w:lineRule="auto"/>
        <w:jc w:val="both"/>
        <w:rPr>
          <w:rFonts w:cs="Times New Roman"/>
          <w:szCs w:val="24"/>
        </w:rPr>
      </w:pPr>
      <w:r w:rsidRPr="00727CA5">
        <w:rPr>
          <w:rFonts w:cs="Times New Roman"/>
          <w:szCs w:val="24"/>
        </w:rPr>
        <w:lastRenderedPageBreak/>
        <w:t>O</w:t>
      </w:r>
      <w:r w:rsidRPr="00D27124">
        <w:rPr>
          <w:rFonts w:cs="Times New Roman"/>
          <w:szCs w:val="24"/>
        </w:rPr>
        <w:t>n the basis of physiographical, hydrological, meteorological, and ecological features, the IUCN has del</w:t>
      </w:r>
      <w:r>
        <w:rPr>
          <w:rFonts w:cs="Times New Roman"/>
          <w:szCs w:val="24"/>
        </w:rPr>
        <w:t>ineated 25 bio-ecological zones</w:t>
      </w:r>
      <w:r w:rsidRPr="00FE4719">
        <w:rPr>
          <w:rFonts w:cs="Times New Roman"/>
          <w:szCs w:val="24"/>
        </w:rPr>
        <w:t>:</w:t>
      </w:r>
      <w:r>
        <w:rPr>
          <w:rFonts w:cs="Times New Roman"/>
          <w:szCs w:val="24"/>
        </w:rPr>
        <w:t xml:space="preserve"> </w:t>
      </w:r>
      <w:r w:rsidRPr="00FE4719">
        <w:rPr>
          <w:rFonts w:cs="Times New Roman"/>
          <w:szCs w:val="24"/>
        </w:rPr>
        <w:t>i) Himalayan Piedmont Plain;</w:t>
      </w:r>
      <w:r>
        <w:rPr>
          <w:rFonts w:cs="Times New Roman"/>
          <w:szCs w:val="24"/>
        </w:rPr>
        <w:t xml:space="preserve"> </w:t>
      </w:r>
      <w:r w:rsidRPr="00FE4719">
        <w:rPr>
          <w:rFonts w:cs="Times New Roman"/>
          <w:szCs w:val="24"/>
        </w:rPr>
        <w:t>ii) Barind Tract; iii) Madhupur Sal Tract; iv) Teesta Floodplain;</w:t>
      </w:r>
      <w:r>
        <w:rPr>
          <w:rFonts w:cs="Times New Roman"/>
          <w:szCs w:val="24"/>
        </w:rPr>
        <w:t xml:space="preserve"> </w:t>
      </w:r>
      <w:r w:rsidRPr="00FE4719">
        <w:rPr>
          <w:rFonts w:cs="Times New Roman"/>
          <w:szCs w:val="24"/>
        </w:rPr>
        <w:t>v) Ganges Floodplain; vi) Brahmaputra-Jamuna Floodplain; vii) Surma-Kushiara Floodplain; viii) Meghna Floodplain; ix) The Haor Basin;</w:t>
      </w:r>
      <w:r>
        <w:rPr>
          <w:rFonts w:cs="Times New Roman"/>
          <w:szCs w:val="24"/>
        </w:rPr>
        <w:t xml:space="preserve"> </w:t>
      </w:r>
      <w:r w:rsidRPr="00FE4719">
        <w:rPr>
          <w:rFonts w:cs="Times New Roman"/>
          <w:szCs w:val="24"/>
        </w:rPr>
        <w:t>x) Chalan</w:t>
      </w:r>
      <w:r>
        <w:rPr>
          <w:rFonts w:cs="Times New Roman"/>
          <w:szCs w:val="24"/>
        </w:rPr>
        <w:t xml:space="preserve"> </w:t>
      </w:r>
      <w:r w:rsidRPr="00FE4719">
        <w:rPr>
          <w:rFonts w:cs="Times New Roman"/>
          <w:szCs w:val="24"/>
        </w:rPr>
        <w:t>Beel;</w:t>
      </w:r>
      <w:r>
        <w:rPr>
          <w:rFonts w:cs="Times New Roman"/>
          <w:szCs w:val="24"/>
        </w:rPr>
        <w:t xml:space="preserve"> </w:t>
      </w:r>
      <w:r w:rsidRPr="00FE4719">
        <w:rPr>
          <w:rFonts w:cs="Times New Roman"/>
          <w:szCs w:val="24"/>
        </w:rPr>
        <w:t>xi) Kaptai Lake; xii) Gopalganj-Khulna Peatland; xiii) The Sundarbans; xiv) Chakaria</w:t>
      </w:r>
      <w:r>
        <w:rPr>
          <w:rFonts w:cs="Times New Roman"/>
          <w:szCs w:val="24"/>
        </w:rPr>
        <w:t xml:space="preserve"> </w:t>
      </w:r>
      <w:r w:rsidRPr="00FE4719">
        <w:rPr>
          <w:rFonts w:cs="Times New Roman"/>
          <w:szCs w:val="24"/>
        </w:rPr>
        <w:t>Sundarbans; xv) The Coastal Plains; xvi) Offshore Islands; xvii) Narike</w:t>
      </w:r>
      <w:r w:rsidR="00536E0D">
        <w:rPr>
          <w:rFonts w:cs="Times New Roman"/>
          <w:szCs w:val="24"/>
        </w:rPr>
        <w:t>l</w:t>
      </w:r>
      <w:r>
        <w:rPr>
          <w:rFonts w:cs="Times New Roman"/>
          <w:szCs w:val="24"/>
        </w:rPr>
        <w:t xml:space="preserve"> </w:t>
      </w:r>
      <w:r w:rsidRPr="00FE4719">
        <w:rPr>
          <w:rFonts w:cs="Times New Roman"/>
          <w:szCs w:val="24"/>
        </w:rPr>
        <w:t>Jinjira Coral Island; xviii) Sandy Beach/Sand Dunes; xix) Chittagong and the CHT; xx) Sylhet</w:t>
      </w:r>
      <w:r>
        <w:rPr>
          <w:rFonts w:cs="Times New Roman"/>
          <w:szCs w:val="24"/>
        </w:rPr>
        <w:t xml:space="preserve"> </w:t>
      </w:r>
      <w:r w:rsidRPr="00FE4719">
        <w:rPr>
          <w:rFonts w:cs="Times New Roman"/>
          <w:szCs w:val="24"/>
        </w:rPr>
        <w:t xml:space="preserve">Hills; xxi) The Lalmai-Tipperah Hills; xxii) The Saline Tidal Floodplain; xxiii) Major Rivers; xxiv) Coastal Marine, and xxv) Meghna Estuarine Floodplains. </w:t>
      </w:r>
    </w:p>
    <w:p w:rsidR="00F93FD2" w:rsidRPr="006A0504" w:rsidRDefault="00123E41" w:rsidP="00F93FD2">
      <w:pPr>
        <w:spacing w:line="276" w:lineRule="auto"/>
        <w:jc w:val="both"/>
        <w:rPr>
          <w:szCs w:val="24"/>
        </w:rPr>
      </w:pPr>
      <w:r>
        <w:rPr>
          <w:szCs w:val="24"/>
        </w:rPr>
        <w:t>For analytical purposes, t</w:t>
      </w:r>
      <w:r w:rsidR="00F93FD2" w:rsidRPr="006A0504">
        <w:rPr>
          <w:szCs w:val="24"/>
        </w:rPr>
        <w:t>he ecosystem of the c</w:t>
      </w:r>
      <w:r>
        <w:rPr>
          <w:szCs w:val="24"/>
        </w:rPr>
        <w:t>ountry can broadly be divided into 2 categories;</w:t>
      </w:r>
      <w:r w:rsidR="00F93FD2" w:rsidRPr="006A0504">
        <w:rPr>
          <w:szCs w:val="24"/>
        </w:rPr>
        <w:t xml:space="preserve"> aquatic ecosystem (coastal and marine water, river, haor, baor, beels, floodplain, canal, mangrove and freshwater swamp, estuary, marine etc.) and terrestrial ecosystem (homestead, forest, roadside, crop field etc.).</w:t>
      </w:r>
    </w:p>
    <w:p w:rsidR="00000000" w:rsidRDefault="00EB2DC9" w:rsidP="003D5A31">
      <w:pPr>
        <w:pStyle w:val="BodyText"/>
        <w:numPr>
          <w:ilvl w:val="2"/>
          <w:numId w:val="161"/>
        </w:numPr>
        <w:spacing w:after="240" w:line="276" w:lineRule="auto"/>
        <w:jc w:val="both"/>
        <w:rPr>
          <w:rFonts w:cs="Times New Roman"/>
          <w:b/>
          <w:szCs w:val="24"/>
        </w:rPr>
      </w:pPr>
      <w:r w:rsidRPr="00E50596">
        <w:rPr>
          <w:rFonts w:cs="Times New Roman"/>
          <w:b/>
          <w:szCs w:val="24"/>
        </w:rPr>
        <w:t>Aquatic</w:t>
      </w:r>
      <w:r w:rsidR="00F93FD2" w:rsidRPr="00E50596">
        <w:rPr>
          <w:rFonts w:cs="Times New Roman"/>
          <w:b/>
          <w:szCs w:val="24"/>
        </w:rPr>
        <w:t xml:space="preserve"> Eco System</w:t>
      </w:r>
    </w:p>
    <w:p w:rsidR="00F93FD2" w:rsidRPr="00F93FD2" w:rsidRDefault="00F93FD2" w:rsidP="00623C5D">
      <w:pPr>
        <w:spacing w:line="276" w:lineRule="auto"/>
        <w:jc w:val="both"/>
        <w:rPr>
          <w:szCs w:val="24"/>
        </w:rPr>
      </w:pPr>
      <w:r w:rsidRPr="006A0504">
        <w:rPr>
          <w:szCs w:val="24"/>
        </w:rPr>
        <w:t>As a part of deltaic region, aquatic ecosystem is the prime feature of holistic ecological settings. Aquatic ecosystem of the country is derived with river hydrology and water characteristics (freshwater and saline water). Hence, considering this issue, aquatic ecosystem can be divided as fresh wat</w:t>
      </w:r>
      <w:r w:rsidR="00123E41">
        <w:rPr>
          <w:szCs w:val="24"/>
        </w:rPr>
        <w:t xml:space="preserve">er and saline water ecosystems.  </w:t>
      </w:r>
      <w:r w:rsidRPr="006A0504">
        <w:rPr>
          <w:szCs w:val="24"/>
        </w:rPr>
        <w:t>Except coastal area, Bangladesh have a vast freshwater riverine area including perennial channels, floodplains, char lands, backwater swamps (Haor) etc.</w:t>
      </w:r>
    </w:p>
    <w:p w:rsidR="00771453" w:rsidRDefault="004C1BB4" w:rsidP="00623C5D">
      <w:pPr>
        <w:spacing w:line="276" w:lineRule="auto"/>
        <w:jc w:val="both"/>
        <w:rPr>
          <w:szCs w:val="24"/>
        </w:rPr>
      </w:pPr>
      <w:r w:rsidRPr="002E533E">
        <w:rPr>
          <w:b/>
          <w:szCs w:val="24"/>
        </w:rPr>
        <w:t>Fresh water riverine system:</w:t>
      </w:r>
      <w:r>
        <w:rPr>
          <w:szCs w:val="24"/>
        </w:rPr>
        <w:t xml:space="preserve">  </w:t>
      </w:r>
      <w:r w:rsidR="00A356FA" w:rsidRPr="006A0504">
        <w:rPr>
          <w:szCs w:val="24"/>
        </w:rPr>
        <w:t>Bangladesh is a land of wetlands. More than two thirds of the country may be classified as wetlands according to the definition enunciated in the Ramsar Convention. On the basis of salinity, the wetlands of Bangladesh can be broadly classified into the inland freshwater and tidal brackish water wetlands (</w:t>
      </w:r>
      <w:r w:rsidR="00123E41">
        <w:rPr>
          <w:szCs w:val="24"/>
        </w:rPr>
        <w:t>Table 3.3</w:t>
      </w:r>
      <w:r w:rsidR="00A356FA" w:rsidRPr="006A0504">
        <w:rPr>
          <w:szCs w:val="24"/>
        </w:rPr>
        <w:t xml:space="preserve">). Floodplains, </w:t>
      </w:r>
      <w:r w:rsidR="00A356FA" w:rsidRPr="006A0504">
        <w:rPr>
          <w:i/>
          <w:szCs w:val="24"/>
        </w:rPr>
        <w:t>beels</w:t>
      </w:r>
      <w:r w:rsidR="00A356FA" w:rsidRPr="006A0504">
        <w:rPr>
          <w:szCs w:val="24"/>
        </w:rPr>
        <w:t xml:space="preserve">, </w:t>
      </w:r>
      <w:r w:rsidR="00A356FA" w:rsidRPr="006A0504">
        <w:rPr>
          <w:i/>
          <w:szCs w:val="24"/>
        </w:rPr>
        <w:t>haors</w:t>
      </w:r>
      <w:r w:rsidR="00A356FA" w:rsidRPr="006A0504">
        <w:rPr>
          <w:szCs w:val="24"/>
        </w:rPr>
        <w:t xml:space="preserve"> and </w:t>
      </w:r>
      <w:r w:rsidR="00A356FA" w:rsidRPr="006A0504">
        <w:rPr>
          <w:i/>
          <w:szCs w:val="24"/>
        </w:rPr>
        <w:t>baors</w:t>
      </w:r>
      <w:r w:rsidR="00A356FA" w:rsidRPr="006A0504">
        <w:rPr>
          <w:szCs w:val="24"/>
        </w:rPr>
        <w:t xml:space="preserve"> are the parts of the inland freshwater wetlands category. These wetlands support a diverse category of flora and fauna and millions of peoples depend upon them for their subsistence and income.  However, these aquatic resources have been subjected to rapid degradation due to the increasing population pressure, habitat destruction and other anthropogenic as</w:t>
      </w:r>
      <w:r w:rsidR="00246BE1">
        <w:rPr>
          <w:szCs w:val="24"/>
        </w:rPr>
        <w:t xml:space="preserve"> well as natural causes. The Government</w:t>
      </w:r>
      <w:r w:rsidR="00A356FA" w:rsidRPr="006A0504">
        <w:rPr>
          <w:szCs w:val="24"/>
        </w:rPr>
        <w:t xml:space="preserve"> formulated the National Environment Management Action Plan (NEMAP) to reverse this degrading trend. It was a cost effective process and tries to ensure people’s participation in national planni</w:t>
      </w:r>
      <w:r w:rsidR="00246BE1">
        <w:rPr>
          <w:szCs w:val="24"/>
        </w:rPr>
        <w:t>ng</w:t>
      </w:r>
      <w:r w:rsidR="00A356FA" w:rsidRPr="006A0504">
        <w:rPr>
          <w:szCs w:val="24"/>
        </w:rPr>
        <w:t>.</w:t>
      </w:r>
    </w:p>
    <w:p w:rsidR="00F92184" w:rsidRPr="00623C5D" w:rsidRDefault="00123E41" w:rsidP="00623C5D">
      <w:pPr>
        <w:spacing w:line="276" w:lineRule="auto"/>
        <w:jc w:val="both"/>
        <w:rPr>
          <w:szCs w:val="24"/>
        </w:rPr>
      </w:pPr>
      <w:r w:rsidRPr="002E533E">
        <w:rPr>
          <w:b/>
          <w:i/>
          <w:szCs w:val="24"/>
        </w:rPr>
        <w:t>Rivers</w:t>
      </w:r>
      <w:r w:rsidRPr="004C1BB4">
        <w:rPr>
          <w:i/>
          <w:szCs w:val="24"/>
        </w:rPr>
        <w:t xml:space="preserve"> </w:t>
      </w:r>
      <w:r w:rsidRPr="006A0504">
        <w:rPr>
          <w:szCs w:val="24"/>
        </w:rPr>
        <w:t xml:space="preserve">are the major type of natural wetlands in Bangladesh. Intricate networks of rivers that contributes drainage facilities as well as inundate to its surrounding areas and performs ecosystem sustainability. Many species of fish, invertebrate, algae and bird depends on riverine ecosystem. Our riverine ecosystem supports to complete the life </w:t>
      </w:r>
      <w:r w:rsidRPr="006A0504">
        <w:rPr>
          <w:szCs w:val="24"/>
        </w:rPr>
        <w:lastRenderedPageBreak/>
        <w:t xml:space="preserve">cycle of different species of tern, skimmer, ducks, otter and Ganges River Dolphin. Rivers are the major breeding habitat of inland fisheries. The Halda River is the nly natural source and </w:t>
      </w:r>
      <w:r w:rsidR="00536E0D">
        <w:rPr>
          <w:szCs w:val="24"/>
        </w:rPr>
        <w:t>C</w:t>
      </w:r>
      <w:r w:rsidRPr="006A0504">
        <w:rPr>
          <w:szCs w:val="24"/>
        </w:rPr>
        <w:t>arp breeding in Bangladesh.</w:t>
      </w:r>
    </w:p>
    <w:p w:rsidR="00536E0D" w:rsidRPr="006A0504" w:rsidRDefault="00A356FA" w:rsidP="00536E0D">
      <w:pPr>
        <w:pStyle w:val="Heading4"/>
      </w:pPr>
      <w:bookmarkStart w:id="205" w:name="_Toc474639021"/>
      <w:r w:rsidRPr="006A0504">
        <w:t xml:space="preserve">Table </w:t>
      </w:r>
      <w:r>
        <w:t>3.</w:t>
      </w:r>
      <w:r w:rsidR="00005184">
        <w:t>3</w:t>
      </w:r>
      <w:r w:rsidRPr="006A0504">
        <w:t xml:space="preserve">: </w:t>
      </w:r>
      <w:r>
        <w:t>Types of W</w:t>
      </w:r>
      <w:r w:rsidRPr="006A0504">
        <w:t>etlands an</w:t>
      </w:r>
      <w:r>
        <w:t>d their Estimated Area during the Wet S</w:t>
      </w:r>
      <w:r w:rsidRPr="006A0504">
        <w:t>eason</w:t>
      </w:r>
      <w:bookmarkEnd w:id="205"/>
      <w:r w:rsidR="00536E0D">
        <w:t xml:space="preserve"> (To be consulated with DoF)</w:t>
      </w:r>
    </w:p>
    <w:p w:rsidR="00A356FA" w:rsidRPr="006A0504" w:rsidRDefault="00A356FA" w:rsidP="00D13FC2">
      <w:pPr>
        <w:pStyle w:val="Heading4"/>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590"/>
        <w:gridCol w:w="4060"/>
      </w:tblGrid>
      <w:tr w:rsidR="00A356FA" w:rsidRPr="00E568FD" w:rsidTr="00A356FA">
        <w:trPr>
          <w:trHeight w:hRule="exact" w:val="288"/>
        </w:trPr>
        <w:tc>
          <w:tcPr>
            <w:tcW w:w="2653" w:type="pct"/>
            <w:shd w:val="clear" w:color="auto" w:fill="D9D9D9"/>
          </w:tcPr>
          <w:p w:rsidR="00A356FA" w:rsidRPr="00E568FD" w:rsidRDefault="00A356FA" w:rsidP="00A356FA">
            <w:pPr>
              <w:pStyle w:val="TableParagraph"/>
              <w:kinsoku w:val="0"/>
              <w:overflowPunct w:val="0"/>
              <w:spacing w:line="276" w:lineRule="auto"/>
              <w:ind w:left="108"/>
              <w:jc w:val="both"/>
              <w:rPr>
                <w:rFonts w:cs="Times New Roman"/>
              </w:rPr>
            </w:pPr>
            <w:r w:rsidRPr="00E568FD">
              <w:rPr>
                <w:rFonts w:cs="Times New Roman"/>
              </w:rPr>
              <w:t>Wetland types</w:t>
            </w:r>
          </w:p>
        </w:tc>
        <w:tc>
          <w:tcPr>
            <w:tcW w:w="2347" w:type="pct"/>
            <w:shd w:val="clear" w:color="auto" w:fill="D9D9D9"/>
          </w:tcPr>
          <w:p w:rsidR="00A356FA" w:rsidRPr="00E568FD" w:rsidRDefault="00A356FA" w:rsidP="00A356FA">
            <w:pPr>
              <w:pStyle w:val="TableParagraph"/>
              <w:kinsoku w:val="0"/>
              <w:overflowPunct w:val="0"/>
              <w:spacing w:line="276" w:lineRule="auto"/>
              <w:ind w:left="1777"/>
              <w:jc w:val="both"/>
              <w:rPr>
                <w:rFonts w:cs="Times New Roman"/>
              </w:rPr>
            </w:pPr>
            <w:r w:rsidRPr="00E568FD">
              <w:rPr>
                <w:rFonts w:cs="Times New Roman"/>
              </w:rPr>
              <w:t>Area (,000 ha)</w:t>
            </w:r>
          </w:p>
        </w:tc>
      </w:tr>
      <w:tr w:rsidR="00A356FA" w:rsidRPr="00E568FD" w:rsidTr="00A356FA">
        <w:trPr>
          <w:trHeight w:hRule="exact" w:val="288"/>
        </w:trPr>
        <w:tc>
          <w:tcPr>
            <w:tcW w:w="2653" w:type="pct"/>
          </w:tcPr>
          <w:p w:rsidR="00A356FA" w:rsidRPr="00E568FD" w:rsidRDefault="00A356FA" w:rsidP="00A356FA">
            <w:pPr>
              <w:pStyle w:val="TableParagraph"/>
              <w:kinsoku w:val="0"/>
              <w:overflowPunct w:val="0"/>
              <w:spacing w:line="276" w:lineRule="auto"/>
              <w:ind w:left="108"/>
              <w:jc w:val="both"/>
              <w:rPr>
                <w:rFonts w:cs="Times New Roman"/>
              </w:rPr>
            </w:pPr>
            <w:r w:rsidRPr="00E568FD">
              <w:rPr>
                <w:rFonts w:cs="Times New Roman"/>
              </w:rPr>
              <w:t>Permanent rivers and streams</w:t>
            </w:r>
          </w:p>
        </w:tc>
        <w:tc>
          <w:tcPr>
            <w:tcW w:w="2347" w:type="pct"/>
          </w:tcPr>
          <w:p w:rsidR="00A356FA" w:rsidRPr="00E568FD" w:rsidRDefault="00A356FA" w:rsidP="00A356FA">
            <w:pPr>
              <w:pStyle w:val="TableParagraph"/>
              <w:kinsoku w:val="0"/>
              <w:overflowPunct w:val="0"/>
              <w:spacing w:line="276" w:lineRule="auto"/>
              <w:ind w:left="2319"/>
              <w:jc w:val="both"/>
              <w:rPr>
                <w:rFonts w:cs="Times New Roman"/>
              </w:rPr>
            </w:pPr>
            <w:r w:rsidRPr="00E568FD">
              <w:rPr>
                <w:rFonts w:cs="Times New Roman"/>
              </w:rPr>
              <w:t>480</w:t>
            </w:r>
          </w:p>
        </w:tc>
      </w:tr>
      <w:tr w:rsidR="00A356FA" w:rsidRPr="00E568FD" w:rsidTr="00A356FA">
        <w:trPr>
          <w:trHeight w:hRule="exact" w:val="288"/>
        </w:trPr>
        <w:tc>
          <w:tcPr>
            <w:tcW w:w="2653" w:type="pct"/>
          </w:tcPr>
          <w:p w:rsidR="00A356FA" w:rsidRPr="00E568FD" w:rsidRDefault="00A356FA" w:rsidP="00A356FA">
            <w:pPr>
              <w:pStyle w:val="TableParagraph"/>
              <w:kinsoku w:val="0"/>
              <w:overflowPunct w:val="0"/>
              <w:spacing w:line="276" w:lineRule="auto"/>
              <w:ind w:left="108"/>
              <w:jc w:val="both"/>
              <w:rPr>
                <w:rFonts w:cs="Times New Roman"/>
              </w:rPr>
            </w:pPr>
            <w:r w:rsidRPr="00E568FD">
              <w:rPr>
                <w:rFonts w:cs="Times New Roman"/>
              </w:rPr>
              <w:t>Estuarine and mangrove swamps</w:t>
            </w:r>
          </w:p>
        </w:tc>
        <w:tc>
          <w:tcPr>
            <w:tcW w:w="2347" w:type="pct"/>
          </w:tcPr>
          <w:p w:rsidR="00A356FA" w:rsidRPr="00E568FD" w:rsidRDefault="00A356FA" w:rsidP="00A356FA">
            <w:pPr>
              <w:pStyle w:val="TableParagraph"/>
              <w:kinsoku w:val="0"/>
              <w:overflowPunct w:val="0"/>
              <w:spacing w:line="276" w:lineRule="auto"/>
              <w:ind w:left="2319"/>
              <w:jc w:val="both"/>
              <w:rPr>
                <w:rFonts w:cs="Times New Roman"/>
              </w:rPr>
            </w:pPr>
            <w:r w:rsidRPr="00E568FD">
              <w:rPr>
                <w:rFonts w:cs="Times New Roman"/>
              </w:rPr>
              <w:t>610</w:t>
            </w:r>
          </w:p>
        </w:tc>
      </w:tr>
      <w:tr w:rsidR="00A356FA" w:rsidRPr="00E568FD" w:rsidTr="00A356FA">
        <w:trPr>
          <w:trHeight w:hRule="exact" w:val="288"/>
        </w:trPr>
        <w:tc>
          <w:tcPr>
            <w:tcW w:w="2653" w:type="pct"/>
          </w:tcPr>
          <w:p w:rsidR="00A356FA" w:rsidRPr="00E568FD" w:rsidRDefault="00A356FA" w:rsidP="00A356FA">
            <w:pPr>
              <w:pStyle w:val="TableParagraph"/>
              <w:kinsoku w:val="0"/>
              <w:overflowPunct w:val="0"/>
              <w:spacing w:line="276" w:lineRule="auto"/>
              <w:ind w:left="108"/>
              <w:jc w:val="both"/>
              <w:rPr>
                <w:rFonts w:cs="Times New Roman"/>
              </w:rPr>
            </w:pPr>
            <w:r w:rsidRPr="00E568FD">
              <w:rPr>
                <w:rFonts w:cs="Times New Roman"/>
              </w:rPr>
              <w:t>Shallow lakes and marshes</w:t>
            </w:r>
          </w:p>
        </w:tc>
        <w:tc>
          <w:tcPr>
            <w:tcW w:w="2347" w:type="pct"/>
          </w:tcPr>
          <w:p w:rsidR="00A356FA" w:rsidRPr="00E568FD" w:rsidRDefault="00A356FA" w:rsidP="00A356FA">
            <w:pPr>
              <w:pStyle w:val="TableParagraph"/>
              <w:kinsoku w:val="0"/>
              <w:overflowPunct w:val="0"/>
              <w:spacing w:line="276" w:lineRule="auto"/>
              <w:ind w:left="2084"/>
              <w:jc w:val="both"/>
              <w:rPr>
                <w:rFonts w:cs="Times New Roman"/>
              </w:rPr>
            </w:pPr>
            <w:r w:rsidRPr="00E568FD">
              <w:rPr>
                <w:rFonts w:cs="Times New Roman"/>
              </w:rPr>
              <w:t>120-290</w:t>
            </w:r>
          </w:p>
        </w:tc>
      </w:tr>
      <w:tr w:rsidR="00A356FA" w:rsidRPr="00E568FD" w:rsidTr="00A356FA">
        <w:trPr>
          <w:trHeight w:hRule="exact" w:val="288"/>
        </w:trPr>
        <w:tc>
          <w:tcPr>
            <w:tcW w:w="2653" w:type="pct"/>
          </w:tcPr>
          <w:p w:rsidR="00A356FA" w:rsidRPr="00E568FD" w:rsidRDefault="00A356FA" w:rsidP="00A356FA">
            <w:pPr>
              <w:pStyle w:val="TableParagraph"/>
              <w:kinsoku w:val="0"/>
              <w:overflowPunct w:val="0"/>
              <w:spacing w:line="276" w:lineRule="auto"/>
              <w:ind w:left="108"/>
              <w:jc w:val="both"/>
              <w:rPr>
                <w:rFonts w:cs="Times New Roman"/>
              </w:rPr>
            </w:pPr>
            <w:r w:rsidRPr="00E568FD">
              <w:rPr>
                <w:rFonts w:cs="Times New Roman"/>
              </w:rPr>
              <w:t>Large water storage reservoirs</w:t>
            </w:r>
          </w:p>
        </w:tc>
        <w:tc>
          <w:tcPr>
            <w:tcW w:w="2347" w:type="pct"/>
          </w:tcPr>
          <w:p w:rsidR="00A356FA" w:rsidRPr="00E568FD" w:rsidRDefault="00A356FA" w:rsidP="00A356FA">
            <w:pPr>
              <w:pStyle w:val="TableParagraph"/>
              <w:kinsoku w:val="0"/>
              <w:overflowPunct w:val="0"/>
              <w:spacing w:line="276" w:lineRule="auto"/>
              <w:ind w:left="2384"/>
              <w:jc w:val="both"/>
              <w:rPr>
                <w:rFonts w:cs="Times New Roman"/>
              </w:rPr>
            </w:pPr>
            <w:r w:rsidRPr="00E568FD">
              <w:rPr>
                <w:rFonts w:cs="Times New Roman"/>
              </w:rPr>
              <w:t>90</w:t>
            </w:r>
          </w:p>
        </w:tc>
      </w:tr>
      <w:tr w:rsidR="00A356FA" w:rsidRPr="00E568FD" w:rsidTr="00A356FA">
        <w:trPr>
          <w:trHeight w:hRule="exact" w:val="288"/>
        </w:trPr>
        <w:tc>
          <w:tcPr>
            <w:tcW w:w="2653" w:type="pct"/>
          </w:tcPr>
          <w:p w:rsidR="00A356FA" w:rsidRPr="00E568FD" w:rsidRDefault="00A356FA" w:rsidP="00A356FA">
            <w:pPr>
              <w:pStyle w:val="TableParagraph"/>
              <w:kinsoku w:val="0"/>
              <w:overflowPunct w:val="0"/>
              <w:spacing w:line="276" w:lineRule="auto"/>
              <w:ind w:left="108"/>
              <w:jc w:val="both"/>
              <w:rPr>
                <w:rFonts w:cs="Times New Roman"/>
              </w:rPr>
            </w:pPr>
            <w:r w:rsidRPr="00E568FD">
              <w:rPr>
                <w:rFonts w:cs="Times New Roman"/>
              </w:rPr>
              <w:t>Small tanks and fish ponds</w:t>
            </w:r>
          </w:p>
        </w:tc>
        <w:tc>
          <w:tcPr>
            <w:tcW w:w="2347" w:type="pct"/>
          </w:tcPr>
          <w:p w:rsidR="00A356FA" w:rsidRPr="00E568FD" w:rsidRDefault="00A356FA" w:rsidP="00A356FA">
            <w:pPr>
              <w:pStyle w:val="TableParagraph"/>
              <w:kinsoku w:val="0"/>
              <w:overflowPunct w:val="0"/>
              <w:spacing w:line="276" w:lineRule="auto"/>
              <w:ind w:left="2084"/>
              <w:jc w:val="both"/>
              <w:rPr>
                <w:rFonts w:cs="Times New Roman"/>
              </w:rPr>
            </w:pPr>
            <w:r w:rsidRPr="00E568FD">
              <w:rPr>
                <w:rFonts w:cs="Times New Roman"/>
              </w:rPr>
              <w:t>150-180</w:t>
            </w:r>
          </w:p>
        </w:tc>
      </w:tr>
      <w:tr w:rsidR="00A356FA" w:rsidRPr="00E568FD" w:rsidTr="00A356FA">
        <w:trPr>
          <w:trHeight w:hRule="exact" w:val="288"/>
        </w:trPr>
        <w:tc>
          <w:tcPr>
            <w:tcW w:w="2653" w:type="pct"/>
          </w:tcPr>
          <w:p w:rsidR="00A356FA" w:rsidRPr="00E568FD" w:rsidRDefault="00A356FA" w:rsidP="00A356FA">
            <w:pPr>
              <w:pStyle w:val="TableParagraph"/>
              <w:kinsoku w:val="0"/>
              <w:overflowPunct w:val="0"/>
              <w:spacing w:line="276" w:lineRule="auto"/>
              <w:ind w:left="108"/>
              <w:jc w:val="both"/>
              <w:rPr>
                <w:rFonts w:cs="Times New Roman"/>
              </w:rPr>
            </w:pPr>
            <w:r w:rsidRPr="00E568FD">
              <w:rPr>
                <w:rFonts w:cs="Times New Roman"/>
              </w:rPr>
              <w:t>Shrimp ponds</w:t>
            </w:r>
          </w:p>
        </w:tc>
        <w:tc>
          <w:tcPr>
            <w:tcW w:w="2347" w:type="pct"/>
          </w:tcPr>
          <w:p w:rsidR="00A356FA" w:rsidRPr="00E568FD" w:rsidRDefault="00A356FA" w:rsidP="00A356FA">
            <w:pPr>
              <w:pStyle w:val="TableParagraph"/>
              <w:kinsoku w:val="0"/>
              <w:overflowPunct w:val="0"/>
              <w:spacing w:line="276" w:lineRule="auto"/>
              <w:ind w:left="2146"/>
              <w:jc w:val="both"/>
              <w:rPr>
                <w:rFonts w:cs="Times New Roman"/>
              </w:rPr>
            </w:pPr>
            <w:r w:rsidRPr="00E568FD">
              <w:rPr>
                <w:rFonts w:cs="Times New Roman"/>
              </w:rPr>
              <w:t>90-115</w:t>
            </w:r>
          </w:p>
        </w:tc>
      </w:tr>
      <w:tr w:rsidR="00A356FA" w:rsidRPr="00E568FD" w:rsidTr="00A356FA">
        <w:trPr>
          <w:trHeight w:hRule="exact" w:val="288"/>
        </w:trPr>
        <w:tc>
          <w:tcPr>
            <w:tcW w:w="2653" w:type="pct"/>
          </w:tcPr>
          <w:p w:rsidR="00A356FA" w:rsidRPr="00E568FD" w:rsidRDefault="00A356FA" w:rsidP="00A356FA">
            <w:pPr>
              <w:pStyle w:val="TableParagraph"/>
              <w:kinsoku w:val="0"/>
              <w:overflowPunct w:val="0"/>
              <w:spacing w:line="276" w:lineRule="auto"/>
              <w:ind w:left="108"/>
              <w:jc w:val="both"/>
              <w:rPr>
                <w:rFonts w:cs="Times New Roman"/>
              </w:rPr>
            </w:pPr>
            <w:r w:rsidRPr="00E568FD">
              <w:rPr>
                <w:rFonts w:cs="Times New Roman"/>
              </w:rPr>
              <w:t>Seasonally-flooded flood plains</w:t>
            </w:r>
          </w:p>
        </w:tc>
        <w:tc>
          <w:tcPr>
            <w:tcW w:w="2347" w:type="pct"/>
          </w:tcPr>
          <w:p w:rsidR="00A356FA" w:rsidRPr="00E568FD" w:rsidRDefault="00A356FA" w:rsidP="00A356FA">
            <w:pPr>
              <w:pStyle w:val="TableParagraph"/>
              <w:kinsoku w:val="0"/>
              <w:overflowPunct w:val="0"/>
              <w:spacing w:line="276" w:lineRule="auto"/>
              <w:ind w:left="2221"/>
              <w:jc w:val="both"/>
              <w:rPr>
                <w:rFonts w:cs="Times New Roman"/>
              </w:rPr>
            </w:pPr>
            <w:r w:rsidRPr="00E568FD">
              <w:rPr>
                <w:rFonts w:cs="Times New Roman"/>
              </w:rPr>
              <w:t>5,770</w:t>
            </w:r>
          </w:p>
        </w:tc>
      </w:tr>
    </w:tbl>
    <w:p w:rsidR="00A356FA" w:rsidRPr="006A0504" w:rsidRDefault="00246BE1" w:rsidP="00246BE1">
      <w:pPr>
        <w:pStyle w:val="style67"/>
        <w:spacing w:before="120" w:beforeAutospacing="0" w:after="240" w:afterAutospacing="0"/>
        <w:jc w:val="both"/>
        <w:rPr>
          <w:b/>
          <w:bCs/>
          <w:i/>
          <w:sz w:val="20"/>
          <w:szCs w:val="20"/>
        </w:rPr>
      </w:pPr>
      <w:r w:rsidRPr="00F93FD2">
        <w:rPr>
          <w:b/>
          <w:bCs/>
          <w:i/>
          <w:sz w:val="20"/>
          <w:szCs w:val="20"/>
        </w:rPr>
        <w:t>Source: A</w:t>
      </w:r>
      <w:r w:rsidR="00474864" w:rsidRPr="00F93FD2">
        <w:rPr>
          <w:b/>
          <w:bCs/>
          <w:i/>
          <w:sz w:val="20"/>
          <w:szCs w:val="20"/>
        </w:rPr>
        <w:t xml:space="preserve"> d</w:t>
      </w:r>
      <w:r w:rsidR="00A356FA" w:rsidRPr="00F93FD2">
        <w:rPr>
          <w:b/>
          <w:bCs/>
          <w:i/>
          <w:sz w:val="20"/>
          <w:szCs w:val="20"/>
        </w:rPr>
        <w:t>irectory of Asian wet</w:t>
      </w:r>
      <w:r w:rsidRPr="00F93FD2">
        <w:rPr>
          <w:b/>
          <w:bCs/>
          <w:i/>
          <w:sz w:val="20"/>
          <w:szCs w:val="20"/>
        </w:rPr>
        <w:t>lands (1989).</w:t>
      </w:r>
    </w:p>
    <w:p w:rsidR="00A356FA" w:rsidRPr="006A0504" w:rsidRDefault="00A356FA" w:rsidP="006A46FE">
      <w:pPr>
        <w:spacing w:line="276" w:lineRule="auto"/>
        <w:jc w:val="both"/>
        <w:rPr>
          <w:szCs w:val="24"/>
        </w:rPr>
      </w:pPr>
      <w:r w:rsidRPr="002E533E">
        <w:rPr>
          <w:b/>
          <w:i/>
          <w:szCs w:val="24"/>
        </w:rPr>
        <w:t>Floodplains</w:t>
      </w:r>
      <w:r w:rsidRPr="006A0504">
        <w:rPr>
          <w:szCs w:val="24"/>
        </w:rPr>
        <w:t xml:space="preserve"> are the landforms which are inundated in each monsoon and extend all over the country. Vegetation of the floodplains is changing its forms with fluctuation of water level and </w:t>
      </w:r>
      <w:r w:rsidR="00EB2DC9" w:rsidRPr="006A0504">
        <w:rPr>
          <w:szCs w:val="24"/>
        </w:rPr>
        <w:t>supports</w:t>
      </w:r>
      <w:r w:rsidRPr="006A0504">
        <w:rPr>
          <w:szCs w:val="24"/>
        </w:rPr>
        <w:t xml:space="preserve"> numerous species of fishes, molluscks and birds. This type of seasonal wetland is dominated by grasses an</w:t>
      </w:r>
      <w:r w:rsidR="00123E41">
        <w:rPr>
          <w:szCs w:val="24"/>
        </w:rPr>
        <w:t>d rooted floating plants. Flood</w:t>
      </w:r>
      <w:r w:rsidRPr="006A0504">
        <w:rPr>
          <w:szCs w:val="24"/>
        </w:rPr>
        <w:t xml:space="preserve">plains are the main location for agriculture in Bangladesh and are highly variable in nature and depth of flooding. Floodplains contain some depressions as well as </w:t>
      </w:r>
      <w:r w:rsidRPr="006A0504">
        <w:rPr>
          <w:i/>
          <w:szCs w:val="24"/>
        </w:rPr>
        <w:t>beel</w:t>
      </w:r>
      <w:r w:rsidRPr="006A0504">
        <w:rPr>
          <w:szCs w:val="24"/>
        </w:rPr>
        <w:t xml:space="preserve"> area those hold water for whole of the year. In Bangladesh, </w:t>
      </w:r>
      <w:r w:rsidRPr="006A0504">
        <w:rPr>
          <w:i/>
          <w:szCs w:val="24"/>
        </w:rPr>
        <w:t>beels</w:t>
      </w:r>
      <w:r w:rsidRPr="006A0504">
        <w:rPr>
          <w:szCs w:val="24"/>
        </w:rPr>
        <w:t xml:space="preserve"> are the common forms of wetlands over the country. </w:t>
      </w:r>
      <w:r w:rsidRPr="006A0504">
        <w:rPr>
          <w:i/>
          <w:szCs w:val="24"/>
        </w:rPr>
        <w:t>Chalan Beel</w:t>
      </w:r>
      <w:r w:rsidRPr="006A0504">
        <w:rPr>
          <w:szCs w:val="24"/>
        </w:rPr>
        <w:t xml:space="preserve"> is one of the largest of the country and comprises a series of depressions interconnected by various channels to form more or less one continuous sheet of water in the rainy season when it covers an area of about 368 </w:t>
      </w:r>
      <w:r w:rsidR="00F51D0D" w:rsidRPr="006A0504">
        <w:rPr>
          <w:szCs w:val="24"/>
        </w:rPr>
        <w:t>sq.</w:t>
      </w:r>
      <w:r w:rsidRPr="006A0504">
        <w:rPr>
          <w:szCs w:val="24"/>
        </w:rPr>
        <w:t xml:space="preserve"> km. The </w:t>
      </w:r>
      <w:r w:rsidRPr="006A0504">
        <w:rPr>
          <w:i/>
          <w:szCs w:val="24"/>
        </w:rPr>
        <w:t xml:space="preserve">Chalan beel </w:t>
      </w:r>
      <w:r w:rsidRPr="006A0504">
        <w:rPr>
          <w:szCs w:val="24"/>
        </w:rPr>
        <w:t xml:space="preserve">is rapidly silting up. During the last century and a half, it has shrunk at least 19.32 km from the southern side due to annual deposits of silt from the Ganges. Its other feeder rivers like the Gur and the Baral are also major contributory factors in reducing the size of the beel. </w:t>
      </w:r>
    </w:p>
    <w:p w:rsidR="00A356FA" w:rsidRDefault="00A356FA" w:rsidP="006A46FE">
      <w:pPr>
        <w:spacing w:line="276" w:lineRule="auto"/>
        <w:jc w:val="both"/>
        <w:rPr>
          <w:szCs w:val="24"/>
        </w:rPr>
      </w:pPr>
      <w:r w:rsidRPr="002E533E">
        <w:rPr>
          <w:b/>
          <w:i/>
          <w:szCs w:val="24"/>
        </w:rPr>
        <w:t>Haor</w:t>
      </w:r>
      <w:r w:rsidRPr="002E533E">
        <w:rPr>
          <w:b/>
          <w:szCs w:val="24"/>
        </w:rPr>
        <w:t xml:space="preserve"> </w:t>
      </w:r>
      <w:r w:rsidRPr="006A0504">
        <w:rPr>
          <w:szCs w:val="24"/>
        </w:rPr>
        <w:t xml:space="preserve">is another type of ecosystem that depends on seasonal inundation and variation of land elevation. This is an important reservoir of natural resources in the northeast region of Bangladesh. </w:t>
      </w:r>
      <w:r w:rsidRPr="006A0504">
        <w:rPr>
          <w:i/>
          <w:szCs w:val="24"/>
        </w:rPr>
        <w:t>Haor</w:t>
      </w:r>
      <w:r w:rsidRPr="006A0504">
        <w:rPr>
          <w:szCs w:val="24"/>
        </w:rPr>
        <w:t xml:space="preserve"> region is located in between two major ecosystems/biomes like foothills and plain lands.  </w:t>
      </w:r>
      <w:r w:rsidRPr="006A0504">
        <w:rPr>
          <w:i/>
          <w:szCs w:val="24"/>
        </w:rPr>
        <w:t>Haor</w:t>
      </w:r>
      <w:r w:rsidRPr="006A0504">
        <w:rPr>
          <w:szCs w:val="24"/>
        </w:rPr>
        <w:t xml:space="preserve"> is the habitat of fresh water swamp forest with flood-tolerant evergreen trees. The total area of haor-type wetland ecosystem in Bangladesh is 80,000 km</w:t>
      </w:r>
      <w:r w:rsidRPr="006A0504">
        <w:rPr>
          <w:szCs w:val="24"/>
          <w:vertAlign w:val="superscript"/>
        </w:rPr>
        <w:t>2</w:t>
      </w:r>
      <w:r w:rsidR="00F92184">
        <w:rPr>
          <w:szCs w:val="24"/>
          <w:vertAlign w:val="superscript"/>
        </w:rPr>
        <w:t xml:space="preserve"> </w:t>
      </w:r>
      <w:r w:rsidR="00F92184" w:rsidRPr="00F92184">
        <w:rPr>
          <w:szCs w:val="24"/>
        </w:rPr>
        <w:t>(IUCN Bangladesh, 2007).</w:t>
      </w:r>
      <w:r w:rsidRPr="00F92184">
        <w:rPr>
          <w:szCs w:val="24"/>
        </w:rPr>
        <w:t xml:space="preserve"> </w:t>
      </w:r>
      <w:r w:rsidRPr="006A0504">
        <w:rPr>
          <w:szCs w:val="24"/>
        </w:rPr>
        <w:t xml:space="preserve">Tanguar haor and Hakaluki haor are the two important and major wetland systems in the country and have declared as Ecologically Critical Area (ECA) by the government since 1999. These two haors are located in the greater Sylhet region. </w:t>
      </w:r>
    </w:p>
    <w:p w:rsidR="001C6BB1" w:rsidRPr="00217ED0" w:rsidRDefault="001C6BB1" w:rsidP="001C6BB1">
      <w:pPr>
        <w:pStyle w:val="BodyText"/>
        <w:spacing w:after="240" w:line="276" w:lineRule="auto"/>
        <w:jc w:val="both"/>
        <w:rPr>
          <w:rFonts w:cs="Times New Roman"/>
          <w:szCs w:val="24"/>
        </w:rPr>
      </w:pPr>
      <w:r w:rsidRPr="001C6BB1">
        <w:rPr>
          <w:rFonts w:cs="Times New Roman"/>
          <w:b/>
          <w:i/>
          <w:szCs w:val="24"/>
        </w:rPr>
        <w:lastRenderedPageBreak/>
        <w:t>Kaptai Lake:</w:t>
      </w:r>
      <w:r>
        <w:rPr>
          <w:rFonts w:cs="Times New Roman"/>
          <w:b/>
          <w:szCs w:val="24"/>
        </w:rPr>
        <w:t xml:space="preserve"> </w:t>
      </w:r>
      <w:r w:rsidRPr="00217ED0">
        <w:rPr>
          <w:rFonts w:cs="Times New Roman"/>
          <w:szCs w:val="24"/>
        </w:rPr>
        <w:t>is an artificial lake created by a dam, which was constructed in 1962 and has since flooded over 68,800 ha of forest valleys and arable land in Chittagong and the Chittagong Hill Tracts (CHT) districts. This wetland is surrounded by evergreen forests. However</w:t>
      </w:r>
      <w:r>
        <w:rPr>
          <w:rFonts w:cs="Times New Roman"/>
          <w:szCs w:val="24"/>
        </w:rPr>
        <w:t>,</w:t>
      </w:r>
      <w:r w:rsidRPr="00217ED0">
        <w:rPr>
          <w:rFonts w:cs="Times New Roman"/>
          <w:szCs w:val="24"/>
        </w:rPr>
        <w:t xml:space="preserve"> the aquatic diversity of this lake is not well known. Aside from the immediate ecological damages such as inundating croplands, villages and forest, the lake has had far reaching ecological consequences since its creation.</w:t>
      </w:r>
    </w:p>
    <w:p w:rsidR="001C6BB1" w:rsidRPr="001C6BB1" w:rsidRDefault="00F51D0D" w:rsidP="001C6BB1">
      <w:pPr>
        <w:pStyle w:val="BodyText"/>
        <w:spacing w:after="240" w:line="276" w:lineRule="auto"/>
        <w:jc w:val="both"/>
        <w:rPr>
          <w:rFonts w:cs="Times New Roman"/>
          <w:szCs w:val="24"/>
        </w:rPr>
      </w:pPr>
      <w:r w:rsidRPr="001C6BB1">
        <w:rPr>
          <w:rFonts w:cs="Times New Roman"/>
          <w:b/>
          <w:i/>
          <w:szCs w:val="24"/>
        </w:rPr>
        <w:t>Char lands</w:t>
      </w:r>
      <w:r w:rsidR="001C6BB1" w:rsidRPr="001C6BB1">
        <w:rPr>
          <w:rFonts w:cs="Times New Roman"/>
          <w:b/>
          <w:i/>
          <w:szCs w:val="24"/>
        </w:rPr>
        <w:t>:</w:t>
      </w:r>
      <w:r w:rsidR="001C6BB1" w:rsidRPr="00217ED0">
        <w:rPr>
          <w:rFonts w:cs="Times New Roman"/>
          <w:szCs w:val="24"/>
        </w:rPr>
        <w:t xml:space="preserve"> The river channel is continuously shifting within its active floodplains, eroding and depositing large areas of new </w:t>
      </w:r>
      <w:r w:rsidRPr="00217ED0">
        <w:rPr>
          <w:rFonts w:cs="Times New Roman"/>
          <w:szCs w:val="24"/>
        </w:rPr>
        <w:t>char lands</w:t>
      </w:r>
      <w:r w:rsidR="001C6BB1" w:rsidRPr="00217ED0">
        <w:rPr>
          <w:rFonts w:cs="Times New Roman"/>
          <w:szCs w:val="24"/>
        </w:rPr>
        <w:t xml:space="preserve"> in each flooding season. A good succession of plants and animals in new </w:t>
      </w:r>
      <w:r w:rsidRPr="00217ED0">
        <w:rPr>
          <w:rFonts w:cs="Times New Roman"/>
          <w:szCs w:val="24"/>
        </w:rPr>
        <w:t>char lands</w:t>
      </w:r>
      <w:r w:rsidR="001C6BB1" w:rsidRPr="00217ED0">
        <w:rPr>
          <w:rFonts w:cs="Times New Roman"/>
          <w:szCs w:val="24"/>
        </w:rPr>
        <w:t xml:space="preserve"> has been observed. Chars are good habitats for some of the avian fauna and amphibians because of noise and disturbance-free condition. </w:t>
      </w:r>
      <w:r w:rsidRPr="00217ED0">
        <w:rPr>
          <w:rFonts w:cs="Times New Roman"/>
          <w:szCs w:val="24"/>
        </w:rPr>
        <w:t>Char lan</w:t>
      </w:r>
      <w:r>
        <w:rPr>
          <w:rFonts w:cs="Times New Roman"/>
          <w:szCs w:val="24"/>
        </w:rPr>
        <w:t>ds</w:t>
      </w:r>
      <w:r w:rsidR="001C6BB1" w:rsidRPr="00217ED0">
        <w:rPr>
          <w:rFonts w:cs="Times New Roman"/>
          <w:szCs w:val="24"/>
        </w:rPr>
        <w:t xml:space="preserve"> support </w:t>
      </w:r>
      <w:r w:rsidR="001C6BB1">
        <w:rPr>
          <w:rFonts w:cs="Times New Roman"/>
          <w:szCs w:val="24"/>
        </w:rPr>
        <w:t xml:space="preserve">a </w:t>
      </w:r>
      <w:r w:rsidR="001C6BB1" w:rsidRPr="00217ED0">
        <w:rPr>
          <w:rFonts w:cs="Times New Roman"/>
          <w:szCs w:val="24"/>
        </w:rPr>
        <w:t>good number of avifauna like cisticola, prinia, wa</w:t>
      </w:r>
      <w:r w:rsidR="001C6BB1">
        <w:rPr>
          <w:rFonts w:cs="Times New Roman"/>
          <w:szCs w:val="24"/>
        </w:rPr>
        <w:t>r</w:t>
      </w:r>
      <w:r w:rsidR="001C6BB1" w:rsidRPr="00217ED0">
        <w:rPr>
          <w:rFonts w:cs="Times New Roman"/>
          <w:szCs w:val="24"/>
        </w:rPr>
        <w:t xml:space="preserve">blers, grassbirds, larks, pipits and munias. </w:t>
      </w:r>
      <w:r w:rsidRPr="00217ED0">
        <w:rPr>
          <w:rFonts w:cs="Times New Roman"/>
          <w:szCs w:val="24"/>
        </w:rPr>
        <w:t>Char lands</w:t>
      </w:r>
      <w:r w:rsidR="001C6BB1" w:rsidRPr="00217ED0">
        <w:rPr>
          <w:rFonts w:cs="Times New Roman"/>
          <w:szCs w:val="24"/>
        </w:rPr>
        <w:t xml:space="preserve"> also support numerous mollusks</w:t>
      </w:r>
      <w:r w:rsidR="001C6BB1">
        <w:rPr>
          <w:rFonts w:cs="Times New Roman"/>
          <w:szCs w:val="24"/>
        </w:rPr>
        <w:t>,</w:t>
      </w:r>
      <w:r w:rsidR="001C6BB1" w:rsidRPr="00217ED0">
        <w:rPr>
          <w:rFonts w:cs="Times New Roman"/>
          <w:szCs w:val="24"/>
        </w:rPr>
        <w:t xml:space="preserve"> which are the feed for water birds, fishes and other aquatic faunal species. The pattern of succession depends on how long the </w:t>
      </w:r>
      <w:r w:rsidRPr="00217ED0">
        <w:rPr>
          <w:rFonts w:cs="Times New Roman"/>
          <w:szCs w:val="24"/>
        </w:rPr>
        <w:t>char land</w:t>
      </w:r>
      <w:r w:rsidR="001C6BB1" w:rsidRPr="00217ED0">
        <w:rPr>
          <w:rFonts w:cs="Times New Roman"/>
          <w:szCs w:val="24"/>
        </w:rPr>
        <w:t xml:space="preserve"> has been permanent. A major part of these </w:t>
      </w:r>
      <w:r w:rsidRPr="00217ED0">
        <w:rPr>
          <w:rFonts w:cs="Times New Roman"/>
          <w:szCs w:val="24"/>
        </w:rPr>
        <w:t>char lands</w:t>
      </w:r>
      <w:r w:rsidR="001C6BB1" w:rsidRPr="00217ED0">
        <w:rPr>
          <w:rFonts w:cs="Times New Roman"/>
          <w:szCs w:val="24"/>
        </w:rPr>
        <w:t xml:space="preserve"> are seasonally inundated in monsoon and deposit more sand on land surface. During dry season, large portions of the land are used for paddy, maize, sugarcane and groundn</w:t>
      </w:r>
      <w:r w:rsidR="001C6BB1">
        <w:rPr>
          <w:rFonts w:cs="Times New Roman"/>
          <w:szCs w:val="24"/>
        </w:rPr>
        <w:t xml:space="preserve">ut cultivation. </w:t>
      </w:r>
    </w:p>
    <w:p w:rsidR="00A356FA" w:rsidRPr="006A0504" w:rsidRDefault="002E533E" w:rsidP="006A46FE">
      <w:pPr>
        <w:spacing w:line="276" w:lineRule="auto"/>
        <w:jc w:val="both"/>
        <w:rPr>
          <w:szCs w:val="24"/>
        </w:rPr>
      </w:pPr>
      <w:r>
        <w:rPr>
          <w:b/>
          <w:szCs w:val="24"/>
        </w:rPr>
        <w:t>Saline water e</w:t>
      </w:r>
      <w:r w:rsidRPr="002E533E">
        <w:rPr>
          <w:b/>
          <w:szCs w:val="24"/>
        </w:rPr>
        <w:t>cosystem:</w:t>
      </w:r>
      <w:r>
        <w:rPr>
          <w:szCs w:val="24"/>
        </w:rPr>
        <w:t xml:space="preserve"> </w:t>
      </w:r>
      <w:r w:rsidR="00A356FA" w:rsidRPr="006A0504">
        <w:rPr>
          <w:szCs w:val="24"/>
        </w:rPr>
        <w:t xml:space="preserve">Among the saline water area, mangroves, tidal rivers and marine estuaries are the major phenomena of aquatic ecosystems. </w:t>
      </w:r>
    </w:p>
    <w:p w:rsidR="00A356FA" w:rsidRPr="006A0504" w:rsidRDefault="004C1BB4" w:rsidP="006A46FE">
      <w:pPr>
        <w:spacing w:line="276" w:lineRule="auto"/>
        <w:jc w:val="both"/>
        <w:rPr>
          <w:szCs w:val="24"/>
        </w:rPr>
      </w:pPr>
      <w:r w:rsidRPr="004C1BB4">
        <w:rPr>
          <w:b/>
          <w:i/>
          <w:szCs w:val="24"/>
        </w:rPr>
        <w:t xml:space="preserve">Mangroves: </w:t>
      </w:r>
      <w:r w:rsidR="00A356FA" w:rsidRPr="006A0504">
        <w:rPr>
          <w:szCs w:val="24"/>
        </w:rPr>
        <w:t>Mangrove ecosystems are existed along intertidal area of south-west and south-central parts of the country. Sundarbans Reserve forest is the largest mangrove forest of the world that extends over an area of about 6,017 Km</w:t>
      </w:r>
      <w:r w:rsidR="00A356FA" w:rsidRPr="006A0504">
        <w:rPr>
          <w:szCs w:val="24"/>
          <w:vertAlign w:val="superscript"/>
        </w:rPr>
        <w:t>2</w:t>
      </w:r>
      <w:r w:rsidR="00A356FA" w:rsidRPr="006A0504">
        <w:rPr>
          <w:szCs w:val="24"/>
        </w:rPr>
        <w:t>. A part of the Bangladesh Sundarbans, an area of about 1,39,700 ha under three wildlife sanctuaries, was designated as the 798th World Heritag</w:t>
      </w:r>
      <w:r w:rsidR="00246BE1">
        <w:rPr>
          <w:szCs w:val="24"/>
        </w:rPr>
        <w:t xml:space="preserve">e Site (WHS) by UNESCO in 1997 </w:t>
      </w:r>
      <w:r w:rsidR="00A356FA" w:rsidRPr="006A0504">
        <w:rPr>
          <w:szCs w:val="24"/>
        </w:rPr>
        <w:t xml:space="preserve">and classified as natural heritage.  </w:t>
      </w:r>
    </w:p>
    <w:p w:rsidR="00A356FA" w:rsidRPr="006A0504" w:rsidRDefault="00A356FA" w:rsidP="006A46FE">
      <w:pPr>
        <w:spacing w:line="276" w:lineRule="auto"/>
        <w:jc w:val="both"/>
        <w:rPr>
          <w:szCs w:val="24"/>
        </w:rPr>
      </w:pPr>
      <w:r w:rsidRPr="006A0504">
        <w:rPr>
          <w:szCs w:val="24"/>
        </w:rPr>
        <w:t xml:space="preserve">The floristic composition of the Sundarbans is rich compared to many other mangrove </w:t>
      </w:r>
      <w:r w:rsidR="00E83BF6">
        <w:rPr>
          <w:szCs w:val="24"/>
        </w:rPr>
        <w:t xml:space="preserve">areas of the world. Historically, </w:t>
      </w:r>
      <w:r w:rsidRPr="006A0504">
        <w:rPr>
          <w:szCs w:val="24"/>
        </w:rPr>
        <w:t>the existence of 334 plant species belonging to 245 genera of 37 families from the then Sundarbans and its surroundings</w:t>
      </w:r>
      <w:r w:rsidR="00E83BF6">
        <w:rPr>
          <w:szCs w:val="24"/>
        </w:rPr>
        <w:t xml:space="preserve"> has been reported</w:t>
      </w:r>
      <w:r w:rsidRPr="006A0504">
        <w:rPr>
          <w:szCs w:val="24"/>
        </w:rPr>
        <w:t>. Of these, not fewer than 123 are available in the present reserved forest of the Ban</w:t>
      </w:r>
      <w:r w:rsidR="00246BE1">
        <w:rPr>
          <w:szCs w:val="24"/>
        </w:rPr>
        <w:t>gladesh Sundarbans</w:t>
      </w:r>
      <w:r w:rsidRPr="006A0504">
        <w:rPr>
          <w:szCs w:val="24"/>
        </w:rPr>
        <w:t>. Among the plants found in the mangroves of the Sundarbans, 28 out of 70 are true mangrov</w:t>
      </w:r>
      <w:r w:rsidR="00E83BF6">
        <w:rPr>
          <w:szCs w:val="24"/>
        </w:rPr>
        <w:t>es</w:t>
      </w:r>
      <w:r w:rsidRPr="006A0504">
        <w:rPr>
          <w:szCs w:val="24"/>
        </w:rPr>
        <w:t>. The Sundarbans mangroves of Bangladesh are dominated by the Sterculiaceae</w:t>
      </w:r>
      <w:r w:rsidR="00E83BF6">
        <w:rPr>
          <w:szCs w:val="24"/>
        </w:rPr>
        <w:t xml:space="preserve"> and Euphorbiaceae</w:t>
      </w:r>
      <w:r w:rsidRPr="006A0504">
        <w:rPr>
          <w:szCs w:val="24"/>
        </w:rPr>
        <w:t>. Sundari (</w:t>
      </w:r>
      <w:r w:rsidRPr="006A0504">
        <w:rPr>
          <w:i/>
          <w:szCs w:val="24"/>
        </w:rPr>
        <w:t>Heritiera fomes</w:t>
      </w:r>
      <w:r w:rsidRPr="006A0504">
        <w:rPr>
          <w:szCs w:val="24"/>
        </w:rPr>
        <w:t>), Gewa (</w:t>
      </w:r>
      <w:r w:rsidRPr="006A0504">
        <w:rPr>
          <w:i/>
          <w:szCs w:val="24"/>
        </w:rPr>
        <w:t>Excoecari aagollocha</w:t>
      </w:r>
      <w:r w:rsidRPr="006A0504">
        <w:rPr>
          <w:szCs w:val="24"/>
        </w:rPr>
        <w:t>) and Goran (</w:t>
      </w:r>
      <w:r w:rsidRPr="006A0504">
        <w:rPr>
          <w:i/>
          <w:szCs w:val="24"/>
        </w:rPr>
        <w:t>Ceriops decendra</w:t>
      </w:r>
      <w:r w:rsidRPr="006A0504">
        <w:rPr>
          <w:szCs w:val="24"/>
        </w:rPr>
        <w:t>) are the three most important commercial species in the Sundarbans. Sundari constitutes about 65% of the total merchantabl</w:t>
      </w:r>
      <w:r w:rsidR="00E83BF6">
        <w:rPr>
          <w:szCs w:val="24"/>
        </w:rPr>
        <w:t xml:space="preserve">e timber. </w:t>
      </w:r>
      <w:r w:rsidR="001E2F16">
        <w:rPr>
          <w:szCs w:val="24"/>
        </w:rPr>
        <w:t>A major problem is the top dying disease;</w:t>
      </w:r>
      <w:r w:rsidR="00611709">
        <w:rPr>
          <w:szCs w:val="24"/>
        </w:rPr>
        <w:t xml:space="preserve"> </w:t>
      </w:r>
      <w:r w:rsidR="001E2F16">
        <w:rPr>
          <w:szCs w:val="24"/>
        </w:rPr>
        <w:t>t</w:t>
      </w:r>
      <w:r w:rsidRPr="006A0504">
        <w:rPr>
          <w:szCs w:val="24"/>
        </w:rPr>
        <w:t>he</w:t>
      </w:r>
      <w:r w:rsidR="001E2F16">
        <w:rPr>
          <w:szCs w:val="24"/>
        </w:rPr>
        <w:t xml:space="preserve"> underlying causes </w:t>
      </w:r>
      <w:r w:rsidRPr="006A0504">
        <w:rPr>
          <w:szCs w:val="24"/>
        </w:rPr>
        <w:t xml:space="preserve">include enhanced salinity, entomological infestation, gall cankers, nutrients imbalance and physiological stress due to sedimentation, extended water logging and sediment laden tidal surges. </w:t>
      </w:r>
      <w:r w:rsidRPr="006A0504">
        <w:rPr>
          <w:szCs w:val="24"/>
        </w:rPr>
        <w:lastRenderedPageBreak/>
        <w:t>Similarly, the loss and degradation of faunal di</w:t>
      </w:r>
      <w:r w:rsidR="001E2F16">
        <w:rPr>
          <w:szCs w:val="24"/>
        </w:rPr>
        <w:t xml:space="preserve">versity are also </w:t>
      </w:r>
      <w:r w:rsidRPr="006A0504">
        <w:rPr>
          <w:szCs w:val="24"/>
        </w:rPr>
        <w:t xml:space="preserve">serious. Sundarbans is the habitat for </w:t>
      </w:r>
      <w:r w:rsidRPr="006A0504">
        <w:rPr>
          <w:i/>
          <w:szCs w:val="24"/>
        </w:rPr>
        <w:t xml:space="preserve">Royal Bengal </w:t>
      </w:r>
      <w:r w:rsidR="000E74E6">
        <w:rPr>
          <w:i/>
          <w:szCs w:val="24"/>
        </w:rPr>
        <w:t>T</w:t>
      </w:r>
      <w:r w:rsidRPr="006A0504">
        <w:rPr>
          <w:i/>
          <w:szCs w:val="24"/>
        </w:rPr>
        <w:t>iger</w:t>
      </w:r>
      <w:r w:rsidR="00C15105">
        <w:rPr>
          <w:szCs w:val="24"/>
        </w:rPr>
        <w:t xml:space="preserve"> and according to Tiger C</w:t>
      </w:r>
      <w:r w:rsidRPr="006A0504">
        <w:rPr>
          <w:szCs w:val="24"/>
        </w:rPr>
        <w:t>ensus 2005, there are 116 tigers residing in Sundarban of Bangladesh.</w:t>
      </w:r>
      <w:r w:rsidR="001E2F16">
        <w:rPr>
          <w:szCs w:val="24"/>
        </w:rPr>
        <w:t xml:space="preserve"> Tiger preservation is a major challenge. </w:t>
      </w:r>
    </w:p>
    <w:p w:rsidR="00F93FD2" w:rsidRPr="00123E41" w:rsidRDefault="004C1BB4" w:rsidP="000D4192">
      <w:pPr>
        <w:pStyle w:val="TablesandFigures"/>
        <w:spacing w:after="240" w:line="276" w:lineRule="auto"/>
        <w:rPr>
          <w:rFonts w:ascii="Times New Roman" w:hAnsi="Times New Roman"/>
          <w:b/>
        </w:rPr>
      </w:pPr>
      <w:r w:rsidRPr="004C1BB4">
        <w:rPr>
          <w:rFonts w:ascii="Times New Roman" w:hAnsi="Times New Roman"/>
          <w:szCs w:val="24"/>
        </w:rPr>
        <w:t xml:space="preserve">Bangladesh declared its first Marine Protected Area, </w:t>
      </w:r>
      <w:r w:rsidRPr="004C1BB4">
        <w:rPr>
          <w:rFonts w:ascii="Times New Roman" w:hAnsi="Times New Roman"/>
          <w:b/>
          <w:szCs w:val="24"/>
        </w:rPr>
        <w:t>Swatch of No Ground</w:t>
      </w:r>
      <w:r w:rsidRPr="004C1BB4">
        <w:rPr>
          <w:rFonts w:ascii="Times New Roman" w:hAnsi="Times New Roman"/>
          <w:szCs w:val="24"/>
        </w:rPr>
        <w:t>, located in the Bay of Bengal at the head of a submarine canyon. It spans approximately 672 square miles (1,738 km</w:t>
      </w:r>
      <w:r w:rsidRPr="004C1BB4">
        <w:rPr>
          <w:rFonts w:ascii="Times New Roman" w:hAnsi="Times New Roman"/>
          <w:vertAlign w:val="superscript"/>
        </w:rPr>
        <w:t>2</w:t>
      </w:r>
      <w:r w:rsidRPr="004C1BB4">
        <w:rPr>
          <w:rFonts w:ascii="Times New Roman" w:hAnsi="Times New Roman"/>
          <w:szCs w:val="24"/>
        </w:rPr>
        <w:t>) and depth to the seafloor topography varies from 900 to 1459 m with 100-150 m thick levee sediments deposited on both the edges of the canyon as seafloor swells spreading over a distance of 10-20 km.</w:t>
      </w:r>
    </w:p>
    <w:p w:rsidR="004C1BB4" w:rsidRPr="003449F5" w:rsidRDefault="004C1BB4" w:rsidP="00D13FC2">
      <w:pPr>
        <w:pStyle w:val="Heading6"/>
      </w:pPr>
      <w:bookmarkStart w:id="206" w:name="_Toc474639314"/>
      <w:r>
        <w:t>Map</w:t>
      </w:r>
      <w:r w:rsidRPr="003449F5">
        <w:t xml:space="preserve"> </w:t>
      </w:r>
      <w:r w:rsidR="00814553">
        <w:t>3.3</w:t>
      </w:r>
      <w:r w:rsidR="001E2F16">
        <w:t xml:space="preserve">: </w:t>
      </w:r>
      <w:r w:rsidRPr="003449F5">
        <w:t>Swat</w:t>
      </w:r>
      <w:r>
        <w:t>ch of No Ground - Bangladesh's First Marine Protected A</w:t>
      </w:r>
      <w:r w:rsidRPr="003449F5">
        <w:t>rea</w:t>
      </w:r>
      <w:bookmarkEnd w:id="206"/>
    </w:p>
    <w:p w:rsidR="004C1BB4" w:rsidRDefault="004C1BB4" w:rsidP="004C1BB4">
      <w:pPr>
        <w:pStyle w:val="BodyText"/>
        <w:jc w:val="center"/>
        <w:rPr>
          <w:rFonts w:cs="Times New Roman"/>
          <w:szCs w:val="24"/>
        </w:rPr>
      </w:pPr>
      <w:r>
        <w:rPr>
          <w:rFonts w:cs="Segoe UI"/>
          <w:noProof/>
          <w:sz w:val="20"/>
          <w:szCs w:val="20"/>
        </w:rPr>
        <w:t xml:space="preserve"> </w:t>
      </w:r>
      <w:r>
        <w:rPr>
          <w:rFonts w:cs="Segoe UI"/>
          <w:noProof/>
          <w:sz w:val="20"/>
          <w:szCs w:val="20"/>
          <w:lang w:val="en-AU" w:eastAsia="en-AU" w:bidi="bn-BD"/>
        </w:rPr>
        <w:drawing>
          <wp:inline distT="0" distB="0" distL="0" distR="0">
            <wp:extent cx="5302250" cy="3896139"/>
            <wp:effectExtent l="0" t="0" r="0" b="9525"/>
            <wp:docPr id="34" name="Picture 19" descr="15-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5-Map.jpg"/>
                    <pic:cNvPicPr/>
                  </pic:nvPicPr>
                  <pic:blipFill>
                    <a:blip r:embed="rId73" cstate="print"/>
                    <a:stretch>
                      <a:fillRect/>
                    </a:stretch>
                  </pic:blipFill>
                  <pic:spPr>
                    <a:xfrm>
                      <a:off x="0" y="0"/>
                      <a:ext cx="5306070" cy="3898946"/>
                    </a:xfrm>
                    <a:prstGeom prst="rect">
                      <a:avLst/>
                    </a:prstGeom>
                  </pic:spPr>
                </pic:pic>
              </a:graphicData>
            </a:graphic>
          </wp:inline>
        </w:drawing>
      </w:r>
    </w:p>
    <w:p w:rsidR="004C1BB4" w:rsidRPr="00270308" w:rsidRDefault="001E2F16" w:rsidP="004C1BB4">
      <w:pPr>
        <w:pStyle w:val="BodyText"/>
        <w:tabs>
          <w:tab w:val="left" w:pos="5110"/>
        </w:tabs>
        <w:spacing w:after="240" w:line="276" w:lineRule="auto"/>
        <w:jc w:val="both"/>
        <w:rPr>
          <w:b/>
          <w:i/>
        </w:rPr>
      </w:pPr>
      <w:r>
        <w:rPr>
          <w:rFonts w:cs="Times New Roman"/>
          <w:sz w:val="18"/>
          <w:szCs w:val="18"/>
        </w:rPr>
        <w:t xml:space="preserve">      </w:t>
      </w:r>
      <w:r w:rsidR="004C1BB4" w:rsidRPr="00270308">
        <w:rPr>
          <w:rFonts w:cs="Times New Roman"/>
          <w:b/>
          <w:i/>
          <w:sz w:val="20"/>
          <w:szCs w:val="18"/>
        </w:rPr>
        <w:t>Source: Google Map</w:t>
      </w:r>
    </w:p>
    <w:p w:rsidR="004C1BB4" w:rsidRPr="004C1BB4" w:rsidRDefault="004C1BB4" w:rsidP="004C1BB4">
      <w:pPr>
        <w:pStyle w:val="BodyText"/>
        <w:spacing w:after="240" w:line="276" w:lineRule="auto"/>
        <w:jc w:val="both"/>
        <w:rPr>
          <w:rFonts w:cs="Times New Roman"/>
          <w:szCs w:val="24"/>
        </w:rPr>
      </w:pPr>
      <w:r w:rsidRPr="00CE590F">
        <w:rPr>
          <w:rFonts w:cs="Times New Roman"/>
          <w:szCs w:val="24"/>
        </w:rPr>
        <w:t>The Swatch-of-No-Ground is a highly biologically productive area created by upwelling currents and supports large groups of Indo-Pacific bottlenose dolphins (</w:t>
      </w:r>
      <w:r w:rsidRPr="000A4A4E">
        <w:rPr>
          <w:rFonts w:cs="Times New Roman"/>
          <w:i/>
          <w:szCs w:val="24"/>
        </w:rPr>
        <w:t>Tursiops</w:t>
      </w:r>
      <w:r w:rsidR="00536E0D">
        <w:rPr>
          <w:rFonts w:cs="Times New Roman"/>
          <w:i/>
          <w:szCs w:val="24"/>
        </w:rPr>
        <w:t xml:space="preserve"> </w:t>
      </w:r>
      <w:r w:rsidRPr="000A4A4E">
        <w:rPr>
          <w:rFonts w:cs="Times New Roman"/>
          <w:i/>
          <w:szCs w:val="24"/>
        </w:rPr>
        <w:t>aduncus</w:t>
      </w:r>
      <w:r w:rsidRPr="00CE590F">
        <w:rPr>
          <w:rFonts w:cs="Times New Roman"/>
          <w:szCs w:val="24"/>
        </w:rPr>
        <w:t>), pantropical spotted dolphins (</w:t>
      </w:r>
      <w:r w:rsidRPr="000A4A4E">
        <w:rPr>
          <w:rFonts w:cs="Times New Roman"/>
          <w:i/>
          <w:szCs w:val="24"/>
        </w:rPr>
        <w:t>Stenellaattenuata</w:t>
      </w:r>
      <w:r w:rsidRPr="00CE590F">
        <w:rPr>
          <w:rFonts w:cs="Times New Roman"/>
          <w:szCs w:val="24"/>
        </w:rPr>
        <w:t>) and spinner dolphins (</w:t>
      </w:r>
      <w:r w:rsidRPr="000A4A4E">
        <w:rPr>
          <w:rFonts w:cs="Times New Roman"/>
          <w:i/>
          <w:szCs w:val="24"/>
        </w:rPr>
        <w:t>Stenell</w:t>
      </w:r>
      <w:r w:rsidR="00536E0D">
        <w:rPr>
          <w:rFonts w:cs="Times New Roman"/>
          <w:i/>
          <w:szCs w:val="24"/>
        </w:rPr>
        <w:t xml:space="preserve"> </w:t>
      </w:r>
      <w:r w:rsidRPr="000A4A4E">
        <w:rPr>
          <w:rFonts w:cs="Times New Roman"/>
          <w:i/>
          <w:szCs w:val="24"/>
        </w:rPr>
        <w:t>alongirostris</w:t>
      </w:r>
      <w:r w:rsidRPr="00CE590F">
        <w:rPr>
          <w:rFonts w:cs="Times New Roman"/>
          <w:szCs w:val="24"/>
        </w:rPr>
        <w:t>), as well as a possible resident population of Brydes whales (</w:t>
      </w:r>
      <w:r w:rsidRPr="000A4A4E">
        <w:rPr>
          <w:rFonts w:cs="Times New Roman"/>
          <w:i/>
          <w:szCs w:val="24"/>
        </w:rPr>
        <w:t>Balaenopter</w:t>
      </w:r>
      <w:r w:rsidR="00536E0D">
        <w:rPr>
          <w:rFonts w:cs="Times New Roman"/>
          <w:i/>
          <w:szCs w:val="24"/>
        </w:rPr>
        <w:t xml:space="preserve"> </w:t>
      </w:r>
      <w:r w:rsidRPr="000A4A4E">
        <w:rPr>
          <w:rFonts w:cs="Times New Roman"/>
          <w:i/>
          <w:szCs w:val="24"/>
        </w:rPr>
        <w:t>aedeni</w:t>
      </w:r>
      <w:r w:rsidRPr="00CE590F">
        <w:rPr>
          <w:rFonts w:cs="Times New Roman"/>
          <w:szCs w:val="24"/>
        </w:rPr>
        <w:t>). It is a key breeding and spawning</w:t>
      </w:r>
      <w:r w:rsidRPr="00CF04AD">
        <w:rPr>
          <w:rFonts w:cs="Times New Roman"/>
          <w:szCs w:val="24"/>
        </w:rPr>
        <w:t xml:space="preserve"> ground for dolphins, whales, sharks and turtles. The marine protected area was established for the long-term protection of cetaceans that inhabi</w:t>
      </w:r>
      <w:r>
        <w:rPr>
          <w:rFonts w:cs="Times New Roman"/>
          <w:szCs w:val="24"/>
        </w:rPr>
        <w:t>t waters offshore of Bangladesh</w:t>
      </w:r>
    </w:p>
    <w:p w:rsidR="00A356FA" w:rsidRPr="006A0504" w:rsidRDefault="00A356FA" w:rsidP="006A46FE">
      <w:pPr>
        <w:spacing w:line="276" w:lineRule="auto"/>
        <w:jc w:val="both"/>
        <w:rPr>
          <w:szCs w:val="24"/>
        </w:rPr>
      </w:pPr>
      <w:r w:rsidRPr="006A0504">
        <w:rPr>
          <w:szCs w:val="24"/>
        </w:rPr>
        <w:lastRenderedPageBreak/>
        <w:t>The Sundarbans and its southern face up to the Swatch of No Ground in the Bay of Bengal is Bangladesh’s dol</w:t>
      </w:r>
      <w:r w:rsidR="00611709">
        <w:rPr>
          <w:szCs w:val="24"/>
        </w:rPr>
        <w:t>phin-whale gold mine</w:t>
      </w:r>
      <w:r w:rsidRPr="006A0504">
        <w:rPr>
          <w:szCs w:val="24"/>
        </w:rPr>
        <w:t>. Ganges River Dolphin (</w:t>
      </w:r>
      <w:r w:rsidRPr="006A0504">
        <w:rPr>
          <w:i/>
          <w:szCs w:val="24"/>
        </w:rPr>
        <w:t>Platanista gangetica</w:t>
      </w:r>
      <w:r w:rsidRPr="006A0504">
        <w:rPr>
          <w:szCs w:val="24"/>
        </w:rPr>
        <w:t>), Indo-Pacific hump-backed Dolphin (</w:t>
      </w:r>
      <w:r w:rsidRPr="006A0504">
        <w:rPr>
          <w:i/>
          <w:szCs w:val="24"/>
        </w:rPr>
        <w:t>Sousa chinensis</w:t>
      </w:r>
      <w:r w:rsidRPr="006A0504">
        <w:rPr>
          <w:szCs w:val="24"/>
        </w:rPr>
        <w:t>), Irrawaddy Dolphin (</w:t>
      </w:r>
      <w:r w:rsidRPr="006A0504">
        <w:rPr>
          <w:i/>
          <w:szCs w:val="24"/>
        </w:rPr>
        <w:t>Orcaella brevirostris</w:t>
      </w:r>
      <w:r w:rsidRPr="006A0504">
        <w:rPr>
          <w:szCs w:val="24"/>
        </w:rPr>
        <w:t>) and Finless porpoise (</w:t>
      </w:r>
      <w:r w:rsidRPr="006A0504">
        <w:rPr>
          <w:i/>
          <w:szCs w:val="24"/>
        </w:rPr>
        <w:t>Neophocaena phocaenoides</w:t>
      </w:r>
      <w:r w:rsidRPr="006A0504">
        <w:rPr>
          <w:szCs w:val="24"/>
        </w:rPr>
        <w:t>) have made Sundarbans as their home. The Bangladesh Sundarbans is the only place in the world where both Ganges River Dolphin and Irrawaddy Dolphins species live together. In Bangladesh, possibly the largest population of Ganges River Dolphin lives in the Sundarbans and the world’s largest population (about 6000) of Irrawaddy Dolphins lives in the Sundarbans and adj</w:t>
      </w:r>
      <w:r w:rsidR="00611709">
        <w:rPr>
          <w:szCs w:val="24"/>
        </w:rPr>
        <w:t>acent coastal waters</w:t>
      </w:r>
      <w:r w:rsidRPr="006A0504">
        <w:rPr>
          <w:szCs w:val="24"/>
        </w:rPr>
        <w:t xml:space="preserve">.  </w:t>
      </w:r>
    </w:p>
    <w:p w:rsidR="00A356FA" w:rsidRPr="006A0504" w:rsidRDefault="006F27E7" w:rsidP="006A46FE">
      <w:pPr>
        <w:spacing w:line="276" w:lineRule="auto"/>
        <w:jc w:val="both"/>
        <w:rPr>
          <w:szCs w:val="24"/>
        </w:rPr>
      </w:pPr>
      <w:r w:rsidRPr="006F27E7">
        <w:rPr>
          <w:b/>
          <w:i/>
          <w:szCs w:val="24"/>
        </w:rPr>
        <w:t>Coastal and marine ecosystems:</w:t>
      </w:r>
      <w:r>
        <w:rPr>
          <w:szCs w:val="24"/>
        </w:rPr>
        <w:t xml:space="preserve"> </w:t>
      </w:r>
      <w:r w:rsidR="00A356FA" w:rsidRPr="006A0504">
        <w:rPr>
          <w:szCs w:val="24"/>
        </w:rPr>
        <w:t>Bangladesh is best known for its extensive coastal and marine ecosystems. A huge number of offshore islands are scattered in the Bay of Bengal. Saint Martin’s Island is the only coral bearing island of the country, and therefore it is of significance in the context of coastal and marine ecosystems. Estuarine flood plains, sand dunes and beaches characterize the coastal ecosystems of Bangladesh. The Meghna flood plains of Noakhali and Lakshmipur districts are inundated by saltwater, seasonally, which attracts a wide variety of birds, including migratory ones. Rare species of birds including the Globally Critically Endangered Spoon-bill Sandpiper and Indian skimmer (</w:t>
      </w:r>
      <w:r w:rsidR="00A356FA" w:rsidRPr="006A0504">
        <w:rPr>
          <w:i/>
          <w:szCs w:val="24"/>
        </w:rPr>
        <w:t>Rhynchops albicollis</w:t>
      </w:r>
      <w:r w:rsidR="00A356FA" w:rsidRPr="006A0504">
        <w:rPr>
          <w:szCs w:val="24"/>
        </w:rPr>
        <w:t xml:space="preserve">) visit this ecosystem. The beaches and sand dunes also attract sea turtles. This extensive open water ecosystem extends southwards into the Bay of Bengal. The coastline of Bangladesh is 714 km long and can be broadly divided into three regions: the eastern region (Pacific type), the active delta of the central region, and the stable deltaic western region (Atlantic type). The Bay of Bengal occupies an area of about 2.2 million sq. km and the average depth is 2,600m with a maximum depth of 5,258m. </w:t>
      </w:r>
    </w:p>
    <w:p w:rsidR="00A356FA" w:rsidRPr="006A0504" w:rsidRDefault="00A356FA" w:rsidP="006A46FE">
      <w:pPr>
        <w:spacing w:line="276" w:lineRule="auto"/>
        <w:jc w:val="both"/>
        <w:rPr>
          <w:szCs w:val="24"/>
        </w:rPr>
      </w:pPr>
      <w:r w:rsidRPr="006A0504">
        <w:rPr>
          <w:szCs w:val="24"/>
        </w:rPr>
        <w:t xml:space="preserve">Sonadia is a small crescent shaped </w:t>
      </w:r>
      <w:r w:rsidR="00536E0D">
        <w:rPr>
          <w:szCs w:val="24"/>
        </w:rPr>
        <w:t>i</w:t>
      </w:r>
      <w:r w:rsidRPr="006A0504">
        <w:rPr>
          <w:szCs w:val="24"/>
        </w:rPr>
        <w:t>sland located in the far south-eastern corner of Bangladesh at 21</w:t>
      </w:r>
      <w:r w:rsidRPr="006A0504">
        <w:rPr>
          <w:szCs w:val="24"/>
          <w:vertAlign w:val="superscript"/>
        </w:rPr>
        <w:t>0</w:t>
      </w:r>
      <w:r w:rsidRPr="006A0504">
        <w:rPr>
          <w:szCs w:val="24"/>
        </w:rPr>
        <w:t>N and 91</w:t>
      </w:r>
      <w:r w:rsidRPr="006A0504">
        <w:rPr>
          <w:szCs w:val="24"/>
          <w:vertAlign w:val="superscript"/>
        </w:rPr>
        <w:t>0</w:t>
      </w:r>
      <w:r w:rsidRPr="006A0504">
        <w:rPr>
          <w:szCs w:val="24"/>
        </w:rPr>
        <w:t xml:space="preserve">E and the area is 9 sq. km. This island lies a few km north of Teknaf Peninsula, 7 km north-west of Cox’s Bazar town. The island is a wildlife paradise, with beauty waiting around every corner, proving that sometimes there is more to a destination than meets the eye. The western part of this Island is sandy and different types of shells including window pane oysters are found on the beach. Sonadia Island and the majority of the adjacent Ghotivanga mouza </w:t>
      </w:r>
      <w:r w:rsidR="00EB2DC9" w:rsidRPr="006A0504">
        <w:rPr>
          <w:szCs w:val="24"/>
        </w:rPr>
        <w:t>were</w:t>
      </w:r>
      <w:r w:rsidRPr="006A0504">
        <w:rPr>
          <w:szCs w:val="24"/>
        </w:rPr>
        <w:t xml:space="preserve"> declared an ECA under the Bangladesh Environment </w:t>
      </w:r>
      <w:r w:rsidR="00611709">
        <w:rPr>
          <w:szCs w:val="24"/>
        </w:rPr>
        <w:t>Conservation Act (BECA) (1995)</w:t>
      </w:r>
      <w:r w:rsidRPr="006A0504">
        <w:rPr>
          <w:szCs w:val="24"/>
        </w:rPr>
        <w:t>. Bird</w:t>
      </w:r>
      <w:r w:rsidR="00536E0D">
        <w:rPr>
          <w:szCs w:val="24"/>
        </w:rPr>
        <w:t xml:space="preserve"> </w:t>
      </w:r>
      <w:r w:rsidRPr="006A0504">
        <w:rPr>
          <w:szCs w:val="24"/>
        </w:rPr>
        <w:t xml:space="preserve">Life International has declared </w:t>
      </w:r>
      <w:r w:rsidR="00536E0D">
        <w:rPr>
          <w:szCs w:val="24"/>
        </w:rPr>
        <w:t xml:space="preserve">the island the </w:t>
      </w:r>
      <w:r w:rsidRPr="006A0504">
        <w:rPr>
          <w:szCs w:val="24"/>
        </w:rPr>
        <w:t xml:space="preserve">20th Important Bird Area (IBA) of Bangladesh. </w:t>
      </w:r>
      <w:r w:rsidR="00EB2DC9" w:rsidRPr="006A0504">
        <w:rPr>
          <w:szCs w:val="24"/>
        </w:rPr>
        <w:t>This island is important wintering ground for Critically Endangered Spoon-billed Sandpiper</w:t>
      </w:r>
      <w:r w:rsidR="00EB2DC9">
        <w:rPr>
          <w:szCs w:val="24"/>
        </w:rPr>
        <w:t>s</w:t>
      </w:r>
      <w:r w:rsidR="00EB2DC9" w:rsidRPr="006A0504">
        <w:rPr>
          <w:szCs w:val="24"/>
        </w:rPr>
        <w:t xml:space="preserve"> that fly over 8,000 km from their breeding ground in Eastern Russia. </w:t>
      </w:r>
      <w:r w:rsidRPr="006A0504">
        <w:rPr>
          <w:szCs w:val="24"/>
        </w:rPr>
        <w:t>Experts think there are fewer than 400 mature Spoon-billed Sandpipers left in the wild, and nearly 10% of them can be found at Sonadia Island in the wi</w:t>
      </w:r>
      <w:r w:rsidR="00611709">
        <w:rPr>
          <w:szCs w:val="24"/>
        </w:rPr>
        <w:t>nter</w:t>
      </w:r>
      <w:r w:rsidRPr="006A0504">
        <w:rPr>
          <w:szCs w:val="24"/>
        </w:rPr>
        <w:t xml:space="preserve">. Beside this, globally Endangered Nordmann’s Greenshank, as well as other threatened birds such as Great Knot, Asian </w:t>
      </w:r>
      <w:r w:rsidRPr="006A0504">
        <w:rPr>
          <w:szCs w:val="24"/>
        </w:rPr>
        <w:lastRenderedPageBreak/>
        <w:t>Dowitcher, Eurasian Curlew and Black-tailed Godwit, several marine turtles and dolphins have habitat in this island.</w:t>
      </w:r>
    </w:p>
    <w:p w:rsidR="00000000" w:rsidRDefault="00123E41" w:rsidP="003D5A31">
      <w:pPr>
        <w:pStyle w:val="BodyText"/>
        <w:numPr>
          <w:ilvl w:val="2"/>
          <w:numId w:val="161"/>
        </w:numPr>
        <w:spacing w:after="240" w:line="276" w:lineRule="auto"/>
        <w:jc w:val="both"/>
        <w:rPr>
          <w:rFonts w:cs="Times New Roman"/>
          <w:b/>
          <w:szCs w:val="24"/>
        </w:rPr>
      </w:pPr>
      <w:r>
        <w:rPr>
          <w:rFonts w:cs="Times New Roman"/>
          <w:b/>
          <w:szCs w:val="24"/>
        </w:rPr>
        <w:t>Terrestrial Ecos</w:t>
      </w:r>
      <w:r w:rsidR="00814553" w:rsidRPr="00E50596">
        <w:rPr>
          <w:rFonts w:cs="Times New Roman"/>
          <w:b/>
          <w:szCs w:val="24"/>
        </w:rPr>
        <w:t>ystems</w:t>
      </w:r>
    </w:p>
    <w:p w:rsidR="00A356FA" w:rsidRDefault="00A356FA" w:rsidP="006A46FE">
      <w:pPr>
        <w:spacing w:line="276" w:lineRule="auto"/>
        <w:jc w:val="both"/>
        <w:rPr>
          <w:szCs w:val="24"/>
        </w:rPr>
      </w:pPr>
      <w:r w:rsidRPr="006A0504">
        <w:rPr>
          <w:szCs w:val="24"/>
        </w:rPr>
        <w:t>Except above aquatic ecosystems, a large area of the country occupied with settlements, forests and agricultural lands those represent as terrestrial ecosystems. Ecologically, Bangladesh delta is represented by five broad natural forest types: (1) tropical wet evergreen on eastern and northeastern hills (2) tropical semi-evergreen on eastern hills, (3) tropical moist deciduous/ sal forests on central and north western terraces, (4) mangrove forests facing the sea and (5) freshwater swamp forests in low lying areas of Sylhet. In addition, there are planted homestead forests, rubber plantation, and embankment/ roads</w:t>
      </w:r>
      <w:r w:rsidR="00611709">
        <w:rPr>
          <w:szCs w:val="24"/>
        </w:rPr>
        <w:t>ide plantations</w:t>
      </w:r>
      <w:r w:rsidRPr="006A0504">
        <w:rPr>
          <w:szCs w:val="24"/>
        </w:rPr>
        <w:t>. In Bangladesh, the forests are distributed on the eastern hills, central and north western terraces and the mangroves facing the Bay of Bengal</w:t>
      </w:r>
      <w:r w:rsidR="00814553">
        <w:rPr>
          <w:szCs w:val="24"/>
        </w:rPr>
        <w:t xml:space="preserve"> (Map 3.4)</w:t>
      </w:r>
      <w:r w:rsidR="000521A5">
        <w:rPr>
          <w:szCs w:val="24"/>
        </w:rPr>
        <w:t>.</w:t>
      </w:r>
    </w:p>
    <w:p w:rsidR="000521A5" w:rsidRDefault="000521A5" w:rsidP="000521A5">
      <w:pPr>
        <w:pStyle w:val="BodyText"/>
        <w:spacing w:after="240" w:line="276" w:lineRule="auto"/>
        <w:jc w:val="both"/>
        <w:rPr>
          <w:rFonts w:cs="Times New Roman"/>
          <w:szCs w:val="24"/>
        </w:rPr>
      </w:pPr>
      <w:r w:rsidRPr="006F110C">
        <w:rPr>
          <w:rFonts w:cs="Times New Roman"/>
          <w:szCs w:val="24"/>
        </w:rPr>
        <w:t xml:space="preserve">In Bangladesh, </w:t>
      </w:r>
      <w:r w:rsidRPr="0051021A">
        <w:rPr>
          <w:rFonts w:cs="Times New Roman"/>
          <w:szCs w:val="24"/>
        </w:rPr>
        <w:t>homesteads</w:t>
      </w:r>
      <w:r w:rsidRPr="006F110C">
        <w:rPr>
          <w:rFonts w:cs="Times New Roman"/>
          <w:szCs w:val="24"/>
        </w:rPr>
        <w:t xml:space="preserve"> cover about </w:t>
      </w:r>
      <w:r w:rsidRPr="003449F5">
        <w:rPr>
          <w:rFonts w:cs="Times New Roman"/>
          <w:szCs w:val="24"/>
        </w:rPr>
        <w:t>20% (2.767 mill ha)</w:t>
      </w:r>
      <w:r w:rsidRPr="006F110C">
        <w:rPr>
          <w:rFonts w:cs="Times New Roman"/>
          <w:szCs w:val="24"/>
        </w:rPr>
        <w:t xml:space="preserve"> of the total land, of which 10% is covered with trees (National Forest and Tree Resources Assessment 2005-07) and the rest is covered with homestead vegetation, which is important for its wild shrubs and herbs as well as locally cultivated plants and as wildlife refuge. The </w:t>
      </w:r>
      <w:r w:rsidRPr="0051021A">
        <w:rPr>
          <w:rFonts w:cs="Times New Roman"/>
          <w:szCs w:val="24"/>
        </w:rPr>
        <w:t>site lower than homesteads but a little higher than the a</w:t>
      </w:r>
      <w:r>
        <w:rPr>
          <w:rFonts w:cs="Times New Roman"/>
          <w:szCs w:val="24"/>
        </w:rPr>
        <w:t>djoining agricultural fields is locally called ‘kanda’. Long ago,</w:t>
      </w:r>
      <w:r w:rsidRPr="0051021A">
        <w:rPr>
          <w:rFonts w:cs="Times New Roman"/>
          <w:szCs w:val="24"/>
        </w:rPr>
        <w:t xml:space="preserve"> the kandas were occupied by swamp forest, reed swamps and grass. The village roads, highways and embankments provide a good habitat for woody and fruits yielding plants. Coastal embankment plantation has long been in practice in southern Bangladesh. </w:t>
      </w:r>
    </w:p>
    <w:p w:rsidR="00475331" w:rsidRPr="0008597A" w:rsidRDefault="000521A5" w:rsidP="0008597A">
      <w:pPr>
        <w:spacing w:line="276" w:lineRule="auto"/>
        <w:jc w:val="both"/>
        <w:rPr>
          <w:szCs w:val="24"/>
        </w:rPr>
      </w:pPr>
      <w:r w:rsidRPr="00B40081">
        <w:rPr>
          <w:rFonts w:cs="Times New Roman"/>
          <w:b/>
          <w:szCs w:val="24"/>
        </w:rPr>
        <w:t>Forests</w:t>
      </w:r>
      <w:r>
        <w:rPr>
          <w:rFonts w:cs="Times New Roman"/>
          <w:b/>
          <w:szCs w:val="24"/>
        </w:rPr>
        <w:t xml:space="preserve">: </w:t>
      </w:r>
      <w:r w:rsidRPr="00DC6E4E">
        <w:rPr>
          <w:rFonts w:cs="Times New Roman"/>
          <w:szCs w:val="24"/>
        </w:rPr>
        <w:t xml:space="preserve">In Bangladesh, </w:t>
      </w:r>
      <w:r w:rsidRPr="0050662E">
        <w:rPr>
          <w:rFonts w:cs="Times New Roman"/>
          <w:szCs w:val="24"/>
        </w:rPr>
        <w:t xml:space="preserve">forests </w:t>
      </w:r>
      <w:r w:rsidRPr="00DC6E4E">
        <w:rPr>
          <w:rFonts w:cs="Times New Roman"/>
          <w:szCs w:val="24"/>
        </w:rPr>
        <w:t>are distributed on the e</w:t>
      </w:r>
      <w:r>
        <w:rPr>
          <w:rFonts w:cs="Times New Roman"/>
          <w:szCs w:val="24"/>
        </w:rPr>
        <w:t>astern hills, central and north-</w:t>
      </w:r>
      <w:r w:rsidRPr="00DC6E4E">
        <w:rPr>
          <w:rFonts w:cs="Times New Roman"/>
          <w:szCs w:val="24"/>
        </w:rPr>
        <w:t>western terraces and the mangroves facing the Bay of Bengal,</w:t>
      </w:r>
      <w:r>
        <w:rPr>
          <w:rFonts w:cs="Times New Roman"/>
          <w:szCs w:val="24"/>
        </w:rPr>
        <w:t xml:space="preserve"> Map</w:t>
      </w:r>
      <w:r w:rsidRPr="00565A4C">
        <w:rPr>
          <w:rFonts w:cs="Times New Roman"/>
          <w:szCs w:val="24"/>
        </w:rPr>
        <w:t xml:space="preserve"> </w:t>
      </w:r>
      <w:r w:rsidR="00060351">
        <w:rPr>
          <w:rFonts w:cs="Times New Roman"/>
          <w:szCs w:val="24"/>
        </w:rPr>
        <w:t>3.4</w:t>
      </w:r>
      <w:r>
        <w:rPr>
          <w:rFonts w:cs="Times New Roman"/>
          <w:szCs w:val="24"/>
        </w:rPr>
        <w:t xml:space="preserve">. </w:t>
      </w:r>
      <w:r w:rsidRPr="00DC6E4E">
        <w:rPr>
          <w:rFonts w:cs="Times New Roman"/>
          <w:szCs w:val="24"/>
        </w:rPr>
        <w:t>In addition</w:t>
      </w:r>
      <w:r>
        <w:rPr>
          <w:rFonts w:cs="Times New Roman"/>
          <w:szCs w:val="24"/>
        </w:rPr>
        <w:t xml:space="preserve"> to </w:t>
      </w:r>
      <w:r w:rsidRPr="00DC6E4E">
        <w:rPr>
          <w:rFonts w:cs="Times New Roman"/>
          <w:szCs w:val="24"/>
        </w:rPr>
        <w:t>embankment/roadside plantations, there are rubber plantation</w:t>
      </w:r>
      <w:r>
        <w:rPr>
          <w:rFonts w:cs="Times New Roman"/>
          <w:szCs w:val="24"/>
        </w:rPr>
        <w:t>s</w:t>
      </w:r>
      <w:r w:rsidRPr="00DC6E4E">
        <w:rPr>
          <w:rFonts w:cs="Times New Roman"/>
          <w:szCs w:val="24"/>
        </w:rPr>
        <w:t>.</w:t>
      </w:r>
      <w:r w:rsidR="00940A76">
        <w:rPr>
          <w:rFonts w:cs="Times New Roman"/>
          <w:szCs w:val="24"/>
        </w:rPr>
        <w:t xml:space="preserve"> </w:t>
      </w:r>
      <w:r w:rsidRPr="00B40081">
        <w:rPr>
          <w:rFonts w:cs="Times New Roman"/>
          <w:szCs w:val="24"/>
        </w:rPr>
        <w:t>The Madhupur Sal Tract extends across the districts of Gazipur, Tangail and Mymensingh contains important timber species; however, 70 per cent of the sal forest area is either already degraded or encroached. Records show that the Bengal tiger (</w:t>
      </w:r>
      <w:r w:rsidR="00D621F6">
        <w:rPr>
          <w:rFonts w:cs="Times New Roman"/>
          <w:i/>
          <w:szCs w:val="24"/>
        </w:rPr>
        <w:t>Panthera t</w:t>
      </w:r>
      <w:r w:rsidRPr="006F44F9">
        <w:rPr>
          <w:rFonts w:cs="Times New Roman"/>
          <w:i/>
          <w:szCs w:val="24"/>
        </w:rPr>
        <w:t>igris</w:t>
      </w:r>
      <w:r w:rsidRPr="00B40081">
        <w:rPr>
          <w:rFonts w:cs="Times New Roman"/>
          <w:szCs w:val="24"/>
        </w:rPr>
        <w:t>) and One-horned rhinoceros (</w:t>
      </w:r>
      <w:r w:rsidRPr="006F44F9">
        <w:rPr>
          <w:rFonts w:cs="Times New Roman"/>
          <w:i/>
          <w:szCs w:val="24"/>
        </w:rPr>
        <w:t>Rhinoceros unicornis</w:t>
      </w:r>
      <w:r w:rsidRPr="00B40081">
        <w:rPr>
          <w:rFonts w:cs="Times New Roman"/>
          <w:szCs w:val="24"/>
        </w:rPr>
        <w:t>), both of which have become extinct from this zone now, had healthy populations in the past. The Bengal monitor (</w:t>
      </w:r>
      <w:r w:rsidR="00173714" w:rsidRPr="00173714">
        <w:rPr>
          <w:rFonts w:cs="Times New Roman"/>
          <w:i/>
          <w:szCs w:val="24"/>
        </w:rPr>
        <w:t>Varanus bengalensis</w:t>
      </w:r>
      <w:r w:rsidRPr="00B40081">
        <w:rPr>
          <w:rFonts w:cs="Times New Roman"/>
          <w:szCs w:val="24"/>
        </w:rPr>
        <w:t>) and other common lizards inhabit in scattered patches of jungle throughout this zone. Among snakes, Madhupur Sal tract is a suitable habitat for cobras. In terms of diversity of bird species, this zone is still relatively rich.</w:t>
      </w:r>
    </w:p>
    <w:p w:rsidR="00CE66B7" w:rsidRDefault="00CE66B7">
      <w:pPr>
        <w:rPr>
          <w:rFonts w:eastAsia="Times New Roman" w:cs="Times New Roman"/>
          <w:b/>
          <w:szCs w:val="24"/>
          <w:lang w:val="en-GB"/>
        </w:rPr>
      </w:pPr>
      <w:r>
        <w:br w:type="page"/>
      </w:r>
    </w:p>
    <w:p w:rsidR="002E533E" w:rsidRPr="002B1BCB" w:rsidRDefault="00814553" w:rsidP="00D13FC2">
      <w:pPr>
        <w:pStyle w:val="Heading6"/>
      </w:pPr>
      <w:bookmarkStart w:id="207" w:name="_Toc474639315"/>
      <w:r>
        <w:lastRenderedPageBreak/>
        <w:t>Map 3.4</w:t>
      </w:r>
      <w:r w:rsidR="002E533E">
        <w:t>: Map of Bangladesh Showing the Distribution of F</w:t>
      </w:r>
      <w:r w:rsidR="002E533E" w:rsidRPr="002B1BCB">
        <w:t>orests</w:t>
      </w:r>
      <w:bookmarkEnd w:id="207"/>
    </w:p>
    <w:p w:rsidR="002E533E" w:rsidRDefault="002E533E" w:rsidP="002E533E">
      <w:pPr>
        <w:pStyle w:val="BodyText"/>
        <w:jc w:val="center"/>
        <w:rPr>
          <w:rFonts w:cs="Times New Roman"/>
          <w:szCs w:val="24"/>
        </w:rPr>
      </w:pPr>
      <w:r w:rsidRPr="00AD6F5A">
        <w:rPr>
          <w:rFonts w:cs="Segoe UI"/>
          <w:noProof/>
          <w:sz w:val="20"/>
          <w:szCs w:val="20"/>
          <w:lang w:val="en-AU" w:eastAsia="en-AU" w:bidi="bn-BD"/>
        </w:rPr>
        <w:drawing>
          <wp:inline distT="0" distB="0" distL="0" distR="0">
            <wp:extent cx="4979504" cy="5541023"/>
            <wp:effectExtent l="0" t="0" r="0" b="2540"/>
            <wp:docPr id="82" name="Picture 15" descr="Description: http://www.banglapedia.org/Maps/ForestandForestr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escription: http://www.banglapedia.org/Maps/ForestandForestry.jpg"/>
                    <pic:cNvPicPr>
                      <a:picLocks noChangeAspect="1" noChangeArrowheads="1"/>
                    </pic:cNvPicPr>
                  </pic:nvPicPr>
                  <pic:blipFill>
                    <a:blip r:embed="rId74" cstate="print"/>
                    <a:srcRect/>
                    <a:stretch>
                      <a:fillRect/>
                    </a:stretch>
                  </pic:blipFill>
                  <pic:spPr bwMode="auto">
                    <a:xfrm>
                      <a:off x="0" y="0"/>
                      <a:ext cx="4987132" cy="5549511"/>
                    </a:xfrm>
                    <a:prstGeom prst="rect">
                      <a:avLst/>
                    </a:prstGeom>
                    <a:noFill/>
                    <a:ln w="9525">
                      <a:noFill/>
                      <a:miter lim="800000"/>
                      <a:headEnd/>
                      <a:tailEnd/>
                    </a:ln>
                  </pic:spPr>
                </pic:pic>
              </a:graphicData>
            </a:graphic>
          </wp:inline>
        </w:drawing>
      </w:r>
    </w:p>
    <w:p w:rsidR="002E533E" w:rsidRPr="00270308" w:rsidRDefault="00F93FD2" w:rsidP="00F93FD2">
      <w:pPr>
        <w:pStyle w:val="BodyText"/>
        <w:spacing w:after="240" w:line="276" w:lineRule="auto"/>
        <w:jc w:val="both"/>
        <w:rPr>
          <w:rFonts w:cs="Times New Roman"/>
          <w:b/>
          <w:i/>
          <w:sz w:val="18"/>
          <w:szCs w:val="18"/>
        </w:rPr>
      </w:pPr>
      <w:r>
        <w:rPr>
          <w:rFonts w:cs="Times New Roman"/>
          <w:b/>
          <w:i/>
          <w:sz w:val="20"/>
          <w:szCs w:val="18"/>
        </w:rPr>
        <w:t xml:space="preserve">         </w:t>
      </w:r>
      <w:r w:rsidR="002E533E">
        <w:rPr>
          <w:rFonts w:cs="Times New Roman"/>
          <w:b/>
          <w:i/>
          <w:sz w:val="20"/>
          <w:szCs w:val="18"/>
        </w:rPr>
        <w:t>Source:</w:t>
      </w:r>
      <w:r w:rsidR="002E533E" w:rsidRPr="00270308">
        <w:rPr>
          <w:rFonts w:cs="Times New Roman"/>
          <w:b/>
          <w:i/>
          <w:sz w:val="20"/>
          <w:szCs w:val="18"/>
        </w:rPr>
        <w:t xml:space="preserve"> Google Maps</w:t>
      </w:r>
    </w:p>
    <w:p w:rsidR="002E533E" w:rsidRPr="00814553" w:rsidRDefault="002E533E" w:rsidP="00814553">
      <w:pPr>
        <w:pStyle w:val="BodyText"/>
        <w:spacing w:after="240" w:line="276" w:lineRule="auto"/>
        <w:jc w:val="both"/>
        <w:rPr>
          <w:rFonts w:cs="Times New Roman"/>
          <w:szCs w:val="24"/>
        </w:rPr>
      </w:pPr>
      <w:r w:rsidRPr="0050662E">
        <w:rPr>
          <w:rFonts w:cs="Times New Roman"/>
          <w:szCs w:val="24"/>
        </w:rPr>
        <w:t>The south-eastern hill range in the Chittagong Hills and the Chittagong Tracts is composed of tropical evergreen and semi-evergreen forests. The majority of the species in the lower canopy are evergreen, and the upper canopy of the forest is deciduous type. Tropical evergreen forest is found in the valleys of this zone. Knowledge on the diversity of reptiles and amphibians of this zone is rather rudimentary, as few surveys of these animals have been do</w:t>
      </w:r>
      <w:r>
        <w:rPr>
          <w:rFonts w:cs="Times New Roman"/>
          <w:szCs w:val="24"/>
        </w:rPr>
        <w:t>n</w:t>
      </w:r>
      <w:r w:rsidRPr="0050662E">
        <w:rPr>
          <w:rFonts w:cs="Times New Roman"/>
          <w:szCs w:val="24"/>
        </w:rPr>
        <w:t xml:space="preserve">e. This zone possesses the richest avifauna population of the country.  While the hills are not </w:t>
      </w:r>
      <w:r>
        <w:rPr>
          <w:rFonts w:cs="Times New Roman"/>
          <w:szCs w:val="24"/>
        </w:rPr>
        <w:t>very high, generally about 600m,</w:t>
      </w:r>
      <w:r w:rsidRPr="0050662E">
        <w:rPr>
          <w:rFonts w:cs="Times New Roman"/>
          <w:szCs w:val="24"/>
        </w:rPr>
        <w:t xml:space="preserve"> they are ragged and often steep</w:t>
      </w:r>
      <w:r>
        <w:rPr>
          <w:rFonts w:cs="Times New Roman"/>
          <w:szCs w:val="24"/>
        </w:rPr>
        <w:t>;</w:t>
      </w:r>
      <w:r w:rsidRPr="0050662E">
        <w:rPr>
          <w:rFonts w:cs="Times New Roman"/>
          <w:szCs w:val="24"/>
        </w:rPr>
        <w:t xml:space="preserve"> these hill forests are the most important watershed areas of the country. The tropical evergreen and semi-evergreen forests are not very distinct, and are often intermingled and merged into one another in this zone. The undergrowth is usually a </w:t>
      </w:r>
      <w:r w:rsidRPr="0050662E">
        <w:rPr>
          <w:rFonts w:cs="Times New Roman"/>
          <w:szCs w:val="24"/>
        </w:rPr>
        <w:lastRenderedPageBreak/>
        <w:t>tangle of shrubs, in which cane, bamboo and wild banana are the prominent species. Out of 66 families of birds existing in the country, as many as 55 are represented in this zone.  Mammalian species is represented by Asian elephant (</w:t>
      </w:r>
      <w:r w:rsidR="00C2018E" w:rsidRPr="00C2018E">
        <w:rPr>
          <w:rFonts w:cs="Times New Roman"/>
          <w:i/>
          <w:szCs w:val="24"/>
        </w:rPr>
        <w:t>Elephas maximus</w:t>
      </w:r>
      <w:r w:rsidRPr="0050662E">
        <w:rPr>
          <w:rFonts w:cs="Times New Roman"/>
          <w:szCs w:val="24"/>
        </w:rPr>
        <w:t>), Smabar (</w:t>
      </w:r>
      <w:r w:rsidRPr="006F44F9">
        <w:rPr>
          <w:rFonts w:cs="Times New Roman"/>
          <w:i/>
          <w:szCs w:val="24"/>
        </w:rPr>
        <w:t>Cervus unicolor</w:t>
      </w:r>
      <w:r w:rsidRPr="0050662E">
        <w:rPr>
          <w:rFonts w:cs="Times New Roman"/>
          <w:szCs w:val="24"/>
        </w:rPr>
        <w:t>), Slow loris (</w:t>
      </w:r>
      <w:r w:rsidR="00C2018E" w:rsidRPr="00C2018E">
        <w:rPr>
          <w:rFonts w:cs="Times New Roman"/>
          <w:i/>
          <w:szCs w:val="24"/>
        </w:rPr>
        <w:t>Nycticebus coucang</w:t>
      </w:r>
      <w:r w:rsidRPr="0050662E">
        <w:rPr>
          <w:rFonts w:cs="Times New Roman"/>
          <w:szCs w:val="24"/>
        </w:rPr>
        <w:t>), Leopard (</w:t>
      </w:r>
      <w:r w:rsidR="00E36E06" w:rsidRPr="00E36E06">
        <w:rPr>
          <w:rFonts w:cs="Times New Roman"/>
          <w:i/>
          <w:szCs w:val="24"/>
        </w:rPr>
        <w:t>Panthera pardus</w:t>
      </w:r>
      <w:r w:rsidRPr="0050662E">
        <w:rPr>
          <w:rFonts w:cs="Times New Roman"/>
          <w:szCs w:val="24"/>
        </w:rPr>
        <w:t>)</w:t>
      </w:r>
      <w:r>
        <w:rPr>
          <w:rFonts w:cs="Times New Roman"/>
          <w:szCs w:val="24"/>
        </w:rPr>
        <w:t xml:space="preserve"> and</w:t>
      </w:r>
      <w:r w:rsidRPr="0050662E">
        <w:rPr>
          <w:rFonts w:cs="Times New Roman"/>
          <w:szCs w:val="24"/>
        </w:rPr>
        <w:t xml:space="preserve"> Asiatic wild dog (</w:t>
      </w:r>
      <w:r w:rsidR="00E36E06" w:rsidRPr="00E36E06">
        <w:rPr>
          <w:rFonts w:cs="Times New Roman"/>
          <w:i/>
          <w:szCs w:val="24"/>
        </w:rPr>
        <w:t>Cuon alpinus</w:t>
      </w:r>
      <w:r w:rsidRPr="0050662E">
        <w:rPr>
          <w:rFonts w:cs="Times New Roman"/>
          <w:szCs w:val="24"/>
        </w:rPr>
        <w:t xml:space="preserve">). </w:t>
      </w:r>
      <w:r w:rsidR="00F51D0D">
        <w:rPr>
          <w:rFonts w:cs="Times New Roman"/>
          <w:szCs w:val="24"/>
        </w:rPr>
        <w:t xml:space="preserve">In comparison, the </w:t>
      </w:r>
      <w:r w:rsidR="00F51D0D" w:rsidRPr="0050662E">
        <w:rPr>
          <w:rFonts w:cs="Times New Roman"/>
          <w:szCs w:val="24"/>
        </w:rPr>
        <w:t>Sylhet hillocks average round 40-60 m</w:t>
      </w:r>
      <w:r w:rsidR="00F51D0D">
        <w:rPr>
          <w:rFonts w:cs="Times New Roman"/>
          <w:szCs w:val="24"/>
        </w:rPr>
        <w:t xml:space="preserve">. </w:t>
      </w:r>
      <w:r w:rsidR="00F51D0D" w:rsidRPr="0050662E">
        <w:rPr>
          <w:rFonts w:cs="Times New Roman"/>
          <w:szCs w:val="24"/>
        </w:rPr>
        <w:t xml:space="preserve">with the highest peak around 170 m. Tropical semi evergreen forest is found in this zone, particularly in the valleys. </w:t>
      </w:r>
      <w:r w:rsidRPr="0050662E">
        <w:rPr>
          <w:rFonts w:cs="Times New Roman"/>
          <w:szCs w:val="24"/>
        </w:rPr>
        <w:t>The Lalmai-Tipperah hills</w:t>
      </w:r>
      <w:r>
        <w:rPr>
          <w:rFonts w:cs="Times New Roman"/>
          <w:szCs w:val="24"/>
        </w:rPr>
        <w:t xml:space="preserve"> enjoy</w:t>
      </w:r>
      <w:r w:rsidRPr="0050662E">
        <w:rPr>
          <w:rFonts w:cs="Times New Roman"/>
          <w:szCs w:val="24"/>
        </w:rPr>
        <w:t xml:space="preserve"> tropical semi-evergreen forests. </w:t>
      </w:r>
      <w:r>
        <w:rPr>
          <w:rFonts w:cs="Times New Roman"/>
          <w:szCs w:val="24"/>
        </w:rPr>
        <w:t>T</w:t>
      </w:r>
      <w:r w:rsidRPr="0050662E">
        <w:rPr>
          <w:rFonts w:cs="Times New Roman"/>
          <w:szCs w:val="24"/>
        </w:rPr>
        <w:t xml:space="preserve">his expanse remains largely evergreen with various species. The diversity of bird and mammal species is still considerably high but these species are increasingly under threat of extinction due to unhindered loss of habitats. </w:t>
      </w:r>
    </w:p>
    <w:p w:rsidR="00000000" w:rsidRDefault="00A356FA" w:rsidP="003D5A31">
      <w:pPr>
        <w:pStyle w:val="BodyText"/>
        <w:numPr>
          <w:ilvl w:val="2"/>
          <w:numId w:val="161"/>
        </w:numPr>
        <w:spacing w:after="240" w:line="276" w:lineRule="auto"/>
        <w:jc w:val="both"/>
        <w:rPr>
          <w:rFonts w:cs="Times New Roman"/>
          <w:b/>
          <w:szCs w:val="24"/>
        </w:rPr>
      </w:pPr>
      <w:r w:rsidRPr="00E50596">
        <w:rPr>
          <w:rFonts w:cs="Times New Roman"/>
          <w:b/>
          <w:szCs w:val="24"/>
        </w:rPr>
        <w:t xml:space="preserve">Present Status </w:t>
      </w:r>
      <w:r w:rsidR="00814553" w:rsidRPr="00E50596">
        <w:rPr>
          <w:rFonts w:cs="Times New Roman"/>
          <w:b/>
          <w:szCs w:val="24"/>
        </w:rPr>
        <w:t>of Ecosystem Balance</w:t>
      </w:r>
    </w:p>
    <w:p w:rsidR="00A356FA" w:rsidRPr="006A0504" w:rsidRDefault="00A356FA" w:rsidP="006A46FE">
      <w:pPr>
        <w:spacing w:line="276" w:lineRule="auto"/>
        <w:jc w:val="both"/>
        <w:rPr>
          <w:szCs w:val="24"/>
        </w:rPr>
      </w:pPr>
      <w:r w:rsidRPr="006A0504">
        <w:rPr>
          <w:szCs w:val="24"/>
        </w:rPr>
        <w:t xml:space="preserve">Bangladesh possesses rich species diversity particularly for angiosperms and avifauna. There are total of 3,611 species of angiosperm available in Bangladesh (Table 3.2). Out of which, 2,623 species under 158 families belong to dicotyledons and 988 species under 41 families belong to monocotyledons. As no systematic and complete survey has been recently conducted, it is very likely that the total number of angiosperm species might have reached up to 5,000. A total of 653 fish species are recorded, of which 251 are freshwater fishes belonging to 61 families and 402 are estuarine and marine finishes including sharks and rays (Table 3.3). A total of 650 bird species have been reliably recorded in the country. The country is also inhabited by 34 amphibian and 154 reptile species. The mammalian species diversity in Bangladesh is represented by 121 species of mammals, however many of which are now endangered. </w:t>
      </w:r>
    </w:p>
    <w:p w:rsidR="00A356FA" w:rsidRPr="006A0504" w:rsidRDefault="00623C5D" w:rsidP="00D13FC2">
      <w:pPr>
        <w:pStyle w:val="Heading4"/>
      </w:pPr>
      <w:bookmarkStart w:id="208" w:name="_Toc448235119"/>
      <w:bookmarkStart w:id="209" w:name="_Toc474639022"/>
      <w:r>
        <w:t>Table 3.</w:t>
      </w:r>
      <w:r w:rsidR="00005184">
        <w:t>4</w:t>
      </w:r>
      <w:r>
        <w:t>: Number of Species Identified in various Groups of P</w:t>
      </w:r>
      <w:r w:rsidR="00A356FA" w:rsidRPr="006A0504">
        <w:t>lants in numbers</w:t>
      </w:r>
      <w:bookmarkEnd w:id="208"/>
      <w:bookmarkEnd w:id="20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14"/>
        <w:gridCol w:w="2214"/>
        <w:gridCol w:w="2214"/>
        <w:gridCol w:w="2214"/>
      </w:tblGrid>
      <w:tr w:rsidR="00A356FA" w:rsidRPr="005B0E21" w:rsidTr="00313CEB">
        <w:trPr>
          <w:trHeight w:hRule="exact" w:val="360"/>
          <w:tblHeader/>
        </w:trPr>
        <w:tc>
          <w:tcPr>
            <w:tcW w:w="1250" w:type="pct"/>
            <w:shd w:val="clear" w:color="auto" w:fill="D9D9D9"/>
          </w:tcPr>
          <w:p w:rsidR="00A356FA" w:rsidRPr="005B0E21" w:rsidRDefault="00A356FA" w:rsidP="00E568FD">
            <w:pPr>
              <w:spacing w:after="0" w:line="240" w:lineRule="auto"/>
              <w:jc w:val="both"/>
              <w:rPr>
                <w:b/>
              </w:rPr>
            </w:pPr>
            <w:r w:rsidRPr="005B0E21">
              <w:rPr>
                <w:b/>
              </w:rPr>
              <w:t xml:space="preserve">Plants group </w:t>
            </w:r>
          </w:p>
        </w:tc>
        <w:tc>
          <w:tcPr>
            <w:tcW w:w="1250" w:type="pct"/>
            <w:shd w:val="clear" w:color="auto" w:fill="D9D9D9"/>
          </w:tcPr>
          <w:p w:rsidR="00A356FA" w:rsidRPr="005B0E21" w:rsidRDefault="00A356FA" w:rsidP="00E568FD">
            <w:pPr>
              <w:spacing w:after="0" w:line="240" w:lineRule="auto"/>
              <w:jc w:val="both"/>
              <w:rPr>
                <w:b/>
              </w:rPr>
            </w:pPr>
            <w:r w:rsidRPr="005B0E21">
              <w:rPr>
                <w:b/>
              </w:rPr>
              <w:t>World</w:t>
            </w:r>
          </w:p>
        </w:tc>
        <w:tc>
          <w:tcPr>
            <w:tcW w:w="1250" w:type="pct"/>
            <w:shd w:val="clear" w:color="auto" w:fill="D9D9D9"/>
          </w:tcPr>
          <w:p w:rsidR="00A356FA" w:rsidRPr="005B0E21" w:rsidRDefault="00A356FA" w:rsidP="00E568FD">
            <w:pPr>
              <w:spacing w:after="0" w:line="240" w:lineRule="auto"/>
              <w:jc w:val="both"/>
              <w:rPr>
                <w:b/>
              </w:rPr>
            </w:pPr>
            <w:r w:rsidRPr="005B0E21">
              <w:rPr>
                <w:b/>
              </w:rPr>
              <w:t xml:space="preserve">Sub-continent </w:t>
            </w:r>
          </w:p>
        </w:tc>
        <w:tc>
          <w:tcPr>
            <w:tcW w:w="1250" w:type="pct"/>
            <w:shd w:val="clear" w:color="auto" w:fill="D9D9D9"/>
          </w:tcPr>
          <w:p w:rsidR="00A356FA" w:rsidRPr="005B0E21" w:rsidRDefault="00A356FA" w:rsidP="00E568FD">
            <w:pPr>
              <w:spacing w:after="0" w:line="240" w:lineRule="auto"/>
              <w:jc w:val="both"/>
              <w:rPr>
                <w:b/>
              </w:rPr>
            </w:pPr>
            <w:r w:rsidRPr="005B0E21">
              <w:rPr>
                <w:b/>
              </w:rPr>
              <w:t xml:space="preserve">Bangladesh </w:t>
            </w:r>
          </w:p>
        </w:tc>
      </w:tr>
      <w:tr w:rsidR="00A356FA" w:rsidRPr="005B0E21" w:rsidTr="00313CEB">
        <w:trPr>
          <w:trHeight w:hRule="exact" w:val="360"/>
        </w:trPr>
        <w:tc>
          <w:tcPr>
            <w:tcW w:w="1250" w:type="pct"/>
          </w:tcPr>
          <w:p w:rsidR="00A356FA" w:rsidRPr="005B0E21" w:rsidRDefault="00A356FA" w:rsidP="00E568FD">
            <w:pPr>
              <w:spacing w:after="0" w:line="240" w:lineRule="auto"/>
              <w:jc w:val="both"/>
            </w:pPr>
            <w:r w:rsidRPr="005B0E21">
              <w:t>Virus/Bacteria</w:t>
            </w:r>
          </w:p>
        </w:tc>
        <w:tc>
          <w:tcPr>
            <w:tcW w:w="1250" w:type="pct"/>
          </w:tcPr>
          <w:p w:rsidR="00A356FA" w:rsidRPr="005B0E21" w:rsidRDefault="00A356FA" w:rsidP="00E568FD">
            <w:pPr>
              <w:spacing w:after="0" w:line="240" w:lineRule="auto"/>
              <w:jc w:val="both"/>
            </w:pPr>
            <w:r w:rsidRPr="005B0E21">
              <w:t>8,050</w:t>
            </w:r>
          </w:p>
        </w:tc>
        <w:tc>
          <w:tcPr>
            <w:tcW w:w="1250" w:type="pct"/>
          </w:tcPr>
          <w:p w:rsidR="00A356FA" w:rsidRPr="005B0E21" w:rsidRDefault="00A356FA" w:rsidP="00E568FD">
            <w:pPr>
              <w:spacing w:after="0" w:line="240" w:lineRule="auto"/>
              <w:jc w:val="both"/>
            </w:pPr>
            <w:r w:rsidRPr="005B0E21">
              <w:t>850</w:t>
            </w:r>
          </w:p>
        </w:tc>
        <w:tc>
          <w:tcPr>
            <w:tcW w:w="1250" w:type="pct"/>
          </w:tcPr>
          <w:p w:rsidR="00A356FA" w:rsidRPr="005B0E21" w:rsidRDefault="00A356FA" w:rsidP="00E568FD">
            <w:pPr>
              <w:spacing w:after="0" w:line="240" w:lineRule="auto"/>
              <w:jc w:val="both"/>
            </w:pPr>
            <w:r w:rsidRPr="005B0E21">
              <w:t>470</w:t>
            </w:r>
          </w:p>
        </w:tc>
      </w:tr>
      <w:tr w:rsidR="00A356FA" w:rsidRPr="005B0E21" w:rsidTr="00313CEB">
        <w:trPr>
          <w:trHeight w:hRule="exact" w:val="360"/>
        </w:trPr>
        <w:tc>
          <w:tcPr>
            <w:tcW w:w="1250" w:type="pct"/>
          </w:tcPr>
          <w:p w:rsidR="00A356FA" w:rsidRPr="005B0E21" w:rsidRDefault="00A356FA" w:rsidP="00E568FD">
            <w:pPr>
              <w:spacing w:after="0" w:line="240" w:lineRule="auto"/>
              <w:jc w:val="both"/>
            </w:pPr>
            <w:r w:rsidRPr="005B0E21">
              <w:t xml:space="preserve">Algae </w:t>
            </w:r>
          </w:p>
        </w:tc>
        <w:tc>
          <w:tcPr>
            <w:tcW w:w="1250" w:type="pct"/>
          </w:tcPr>
          <w:p w:rsidR="00A356FA" w:rsidRPr="005B0E21" w:rsidRDefault="00A356FA" w:rsidP="00E568FD">
            <w:pPr>
              <w:spacing w:after="0" w:line="240" w:lineRule="auto"/>
              <w:jc w:val="both"/>
            </w:pPr>
            <w:r w:rsidRPr="005B0E21">
              <w:t>40,000</w:t>
            </w:r>
          </w:p>
        </w:tc>
        <w:tc>
          <w:tcPr>
            <w:tcW w:w="1250" w:type="pct"/>
          </w:tcPr>
          <w:p w:rsidR="00A356FA" w:rsidRPr="005B0E21" w:rsidRDefault="00A356FA" w:rsidP="00E568FD">
            <w:pPr>
              <w:spacing w:after="0" w:line="240" w:lineRule="auto"/>
              <w:jc w:val="both"/>
            </w:pPr>
            <w:r w:rsidRPr="005B0E21">
              <w:t>7,175</w:t>
            </w:r>
          </w:p>
        </w:tc>
        <w:tc>
          <w:tcPr>
            <w:tcW w:w="1250" w:type="pct"/>
          </w:tcPr>
          <w:p w:rsidR="00A356FA" w:rsidRPr="005B0E21" w:rsidRDefault="00A356FA" w:rsidP="00E568FD">
            <w:pPr>
              <w:spacing w:after="0" w:line="240" w:lineRule="auto"/>
              <w:jc w:val="both"/>
            </w:pPr>
            <w:r w:rsidRPr="005B0E21">
              <w:t>1988+</w:t>
            </w:r>
          </w:p>
        </w:tc>
      </w:tr>
      <w:tr w:rsidR="00A356FA" w:rsidRPr="005B0E21" w:rsidTr="00313CEB">
        <w:trPr>
          <w:trHeight w:hRule="exact" w:val="360"/>
        </w:trPr>
        <w:tc>
          <w:tcPr>
            <w:tcW w:w="1250" w:type="pct"/>
          </w:tcPr>
          <w:p w:rsidR="00A356FA" w:rsidRPr="005B0E21" w:rsidRDefault="00A356FA" w:rsidP="00E568FD">
            <w:pPr>
              <w:spacing w:after="0" w:line="240" w:lineRule="auto"/>
              <w:jc w:val="both"/>
            </w:pPr>
            <w:r w:rsidRPr="005B0E21">
              <w:t xml:space="preserve">Fungi </w:t>
            </w:r>
          </w:p>
        </w:tc>
        <w:tc>
          <w:tcPr>
            <w:tcW w:w="1250" w:type="pct"/>
          </w:tcPr>
          <w:p w:rsidR="00A356FA" w:rsidRPr="005B0E21" w:rsidRDefault="00A356FA" w:rsidP="00E568FD">
            <w:pPr>
              <w:spacing w:after="0" w:line="240" w:lineRule="auto"/>
              <w:jc w:val="both"/>
            </w:pPr>
            <w:r w:rsidRPr="005B0E21">
              <w:t>72,00</w:t>
            </w:r>
          </w:p>
        </w:tc>
        <w:tc>
          <w:tcPr>
            <w:tcW w:w="1250" w:type="pct"/>
          </w:tcPr>
          <w:p w:rsidR="00A356FA" w:rsidRPr="005B0E21" w:rsidRDefault="00A356FA" w:rsidP="00E568FD">
            <w:pPr>
              <w:spacing w:after="0" w:line="240" w:lineRule="auto"/>
              <w:jc w:val="both"/>
            </w:pPr>
            <w:r w:rsidRPr="005B0E21">
              <w:t>14,500</w:t>
            </w:r>
          </w:p>
        </w:tc>
        <w:tc>
          <w:tcPr>
            <w:tcW w:w="1250" w:type="pct"/>
          </w:tcPr>
          <w:p w:rsidR="00A356FA" w:rsidRPr="005B0E21" w:rsidRDefault="00A356FA" w:rsidP="00E568FD">
            <w:pPr>
              <w:spacing w:after="0" w:line="240" w:lineRule="auto"/>
              <w:jc w:val="both"/>
            </w:pPr>
            <w:r w:rsidRPr="005B0E21">
              <w:t>275</w:t>
            </w:r>
          </w:p>
        </w:tc>
      </w:tr>
      <w:tr w:rsidR="00A356FA" w:rsidRPr="005B0E21" w:rsidTr="00313CEB">
        <w:trPr>
          <w:trHeight w:hRule="exact" w:val="360"/>
        </w:trPr>
        <w:tc>
          <w:tcPr>
            <w:tcW w:w="1250" w:type="pct"/>
          </w:tcPr>
          <w:p w:rsidR="00A356FA" w:rsidRPr="005B0E21" w:rsidRDefault="00A356FA" w:rsidP="00E568FD">
            <w:pPr>
              <w:spacing w:after="0" w:line="240" w:lineRule="auto"/>
              <w:jc w:val="both"/>
            </w:pPr>
            <w:r w:rsidRPr="005B0E21">
              <w:t xml:space="preserve">Lichen </w:t>
            </w:r>
          </w:p>
        </w:tc>
        <w:tc>
          <w:tcPr>
            <w:tcW w:w="1250" w:type="pct"/>
          </w:tcPr>
          <w:p w:rsidR="00A356FA" w:rsidRPr="005B0E21" w:rsidRDefault="00A356FA" w:rsidP="00E568FD">
            <w:pPr>
              <w:spacing w:after="0" w:line="240" w:lineRule="auto"/>
              <w:jc w:val="both"/>
            </w:pPr>
            <w:r w:rsidRPr="005B0E21">
              <w:t>13,500</w:t>
            </w:r>
          </w:p>
        </w:tc>
        <w:tc>
          <w:tcPr>
            <w:tcW w:w="1250" w:type="pct"/>
          </w:tcPr>
          <w:p w:rsidR="00A356FA" w:rsidRPr="005B0E21" w:rsidRDefault="00A356FA" w:rsidP="00E568FD">
            <w:pPr>
              <w:spacing w:after="0" w:line="240" w:lineRule="auto"/>
              <w:jc w:val="both"/>
            </w:pPr>
            <w:r w:rsidRPr="005B0E21">
              <w:t>2,223</w:t>
            </w:r>
          </w:p>
        </w:tc>
        <w:tc>
          <w:tcPr>
            <w:tcW w:w="1250" w:type="pct"/>
          </w:tcPr>
          <w:p w:rsidR="00A356FA" w:rsidRPr="005B0E21" w:rsidRDefault="00A356FA" w:rsidP="00E568FD">
            <w:pPr>
              <w:spacing w:after="0" w:line="240" w:lineRule="auto"/>
              <w:jc w:val="both"/>
            </w:pPr>
            <w:r w:rsidRPr="005B0E21">
              <w:t xml:space="preserve">data not available </w:t>
            </w:r>
          </w:p>
        </w:tc>
      </w:tr>
      <w:tr w:rsidR="00A356FA" w:rsidRPr="005B0E21" w:rsidTr="00313CEB">
        <w:trPr>
          <w:trHeight w:hRule="exact" w:val="360"/>
        </w:trPr>
        <w:tc>
          <w:tcPr>
            <w:tcW w:w="1250" w:type="pct"/>
          </w:tcPr>
          <w:p w:rsidR="00A356FA" w:rsidRPr="005B0E21" w:rsidRDefault="00A356FA" w:rsidP="00E568FD">
            <w:pPr>
              <w:spacing w:after="0" w:line="240" w:lineRule="auto"/>
              <w:jc w:val="both"/>
            </w:pPr>
            <w:r w:rsidRPr="005B0E21">
              <w:t xml:space="preserve">Bryophytes </w:t>
            </w:r>
          </w:p>
        </w:tc>
        <w:tc>
          <w:tcPr>
            <w:tcW w:w="1250" w:type="pct"/>
          </w:tcPr>
          <w:p w:rsidR="00A356FA" w:rsidRPr="005B0E21" w:rsidRDefault="00A356FA" w:rsidP="00E568FD">
            <w:pPr>
              <w:spacing w:after="0" w:line="240" w:lineRule="auto"/>
              <w:jc w:val="both"/>
            </w:pPr>
            <w:r w:rsidRPr="005B0E21">
              <w:t>14,500</w:t>
            </w:r>
          </w:p>
        </w:tc>
        <w:tc>
          <w:tcPr>
            <w:tcW w:w="1250" w:type="pct"/>
          </w:tcPr>
          <w:p w:rsidR="00A356FA" w:rsidRPr="005B0E21" w:rsidRDefault="00A356FA" w:rsidP="00E568FD">
            <w:pPr>
              <w:spacing w:after="0" w:line="240" w:lineRule="auto"/>
              <w:jc w:val="both"/>
            </w:pPr>
            <w:r w:rsidRPr="005B0E21">
              <w:t>25,00</w:t>
            </w:r>
          </w:p>
        </w:tc>
        <w:tc>
          <w:tcPr>
            <w:tcW w:w="1250" w:type="pct"/>
          </w:tcPr>
          <w:p w:rsidR="00A356FA" w:rsidRPr="005B0E21" w:rsidRDefault="00A356FA" w:rsidP="00E568FD">
            <w:pPr>
              <w:spacing w:after="0" w:line="240" w:lineRule="auto"/>
              <w:jc w:val="both"/>
            </w:pPr>
            <w:r w:rsidRPr="005B0E21">
              <w:t>248</w:t>
            </w:r>
          </w:p>
        </w:tc>
      </w:tr>
      <w:tr w:rsidR="00A356FA" w:rsidRPr="005B0E21" w:rsidTr="00313CEB">
        <w:trPr>
          <w:trHeight w:hRule="exact" w:val="360"/>
        </w:trPr>
        <w:tc>
          <w:tcPr>
            <w:tcW w:w="1250" w:type="pct"/>
          </w:tcPr>
          <w:p w:rsidR="00A356FA" w:rsidRPr="005B0E21" w:rsidRDefault="00A356FA" w:rsidP="00E568FD">
            <w:pPr>
              <w:spacing w:after="0" w:line="240" w:lineRule="auto"/>
              <w:jc w:val="both"/>
            </w:pPr>
            <w:r w:rsidRPr="005B0E21">
              <w:t xml:space="preserve">Pteridophytes </w:t>
            </w:r>
          </w:p>
        </w:tc>
        <w:tc>
          <w:tcPr>
            <w:tcW w:w="1250" w:type="pct"/>
          </w:tcPr>
          <w:p w:rsidR="00A356FA" w:rsidRPr="005B0E21" w:rsidRDefault="00A356FA" w:rsidP="00E568FD">
            <w:pPr>
              <w:spacing w:after="0" w:line="240" w:lineRule="auto"/>
              <w:jc w:val="both"/>
            </w:pPr>
            <w:r w:rsidRPr="005B0E21">
              <w:t>10,000</w:t>
            </w:r>
          </w:p>
        </w:tc>
        <w:tc>
          <w:tcPr>
            <w:tcW w:w="1250" w:type="pct"/>
          </w:tcPr>
          <w:p w:rsidR="00A356FA" w:rsidRPr="005B0E21" w:rsidRDefault="00A356FA" w:rsidP="00E568FD">
            <w:pPr>
              <w:spacing w:after="0" w:line="240" w:lineRule="auto"/>
              <w:jc w:val="both"/>
            </w:pPr>
            <w:r w:rsidRPr="005B0E21">
              <w:t>12,00</w:t>
            </w:r>
          </w:p>
        </w:tc>
        <w:tc>
          <w:tcPr>
            <w:tcW w:w="1250" w:type="pct"/>
          </w:tcPr>
          <w:p w:rsidR="00A356FA" w:rsidRPr="005B0E21" w:rsidRDefault="00A356FA" w:rsidP="00E568FD">
            <w:pPr>
              <w:spacing w:after="0" w:line="240" w:lineRule="auto"/>
              <w:jc w:val="both"/>
            </w:pPr>
            <w:r w:rsidRPr="005B0E21">
              <w:t>195</w:t>
            </w:r>
          </w:p>
        </w:tc>
      </w:tr>
      <w:tr w:rsidR="00A356FA" w:rsidRPr="005B0E21" w:rsidTr="00313CEB">
        <w:trPr>
          <w:trHeight w:hRule="exact" w:val="360"/>
        </w:trPr>
        <w:tc>
          <w:tcPr>
            <w:tcW w:w="1250" w:type="pct"/>
          </w:tcPr>
          <w:p w:rsidR="00A356FA" w:rsidRPr="005B0E21" w:rsidRDefault="00A356FA" w:rsidP="00E568FD">
            <w:pPr>
              <w:spacing w:after="0" w:line="240" w:lineRule="auto"/>
              <w:jc w:val="both"/>
            </w:pPr>
            <w:r w:rsidRPr="005B0E21">
              <w:t xml:space="preserve">Gymnosperms </w:t>
            </w:r>
          </w:p>
        </w:tc>
        <w:tc>
          <w:tcPr>
            <w:tcW w:w="1250" w:type="pct"/>
          </w:tcPr>
          <w:p w:rsidR="00A356FA" w:rsidRPr="005B0E21" w:rsidRDefault="00A356FA" w:rsidP="00E568FD">
            <w:pPr>
              <w:spacing w:after="0" w:line="240" w:lineRule="auto"/>
              <w:jc w:val="both"/>
            </w:pPr>
            <w:r w:rsidRPr="005B0E21">
              <w:t>650</w:t>
            </w:r>
          </w:p>
        </w:tc>
        <w:tc>
          <w:tcPr>
            <w:tcW w:w="1250" w:type="pct"/>
          </w:tcPr>
          <w:p w:rsidR="00A356FA" w:rsidRPr="005B0E21" w:rsidRDefault="00A356FA" w:rsidP="00E568FD">
            <w:pPr>
              <w:spacing w:after="0" w:line="240" w:lineRule="auto"/>
              <w:jc w:val="both"/>
            </w:pPr>
            <w:r w:rsidRPr="005B0E21">
              <w:t>67</w:t>
            </w:r>
          </w:p>
        </w:tc>
        <w:tc>
          <w:tcPr>
            <w:tcW w:w="1250" w:type="pct"/>
          </w:tcPr>
          <w:p w:rsidR="00A356FA" w:rsidRPr="005B0E21" w:rsidRDefault="00A356FA" w:rsidP="00E568FD">
            <w:pPr>
              <w:spacing w:after="0" w:line="240" w:lineRule="auto"/>
              <w:jc w:val="both"/>
            </w:pPr>
            <w:r w:rsidRPr="005B0E21">
              <w:t>7</w:t>
            </w:r>
          </w:p>
        </w:tc>
      </w:tr>
      <w:tr w:rsidR="00A356FA" w:rsidRPr="005B0E21" w:rsidTr="00313CEB">
        <w:trPr>
          <w:trHeight w:hRule="exact" w:val="360"/>
        </w:trPr>
        <w:tc>
          <w:tcPr>
            <w:tcW w:w="1250" w:type="pct"/>
          </w:tcPr>
          <w:p w:rsidR="00A356FA" w:rsidRPr="005B0E21" w:rsidRDefault="00A356FA" w:rsidP="00E568FD">
            <w:pPr>
              <w:spacing w:after="0" w:line="240" w:lineRule="auto"/>
              <w:jc w:val="both"/>
            </w:pPr>
            <w:r w:rsidRPr="005B0E21">
              <w:t xml:space="preserve">Angiosperms </w:t>
            </w:r>
          </w:p>
        </w:tc>
        <w:tc>
          <w:tcPr>
            <w:tcW w:w="1250" w:type="pct"/>
          </w:tcPr>
          <w:p w:rsidR="00A356FA" w:rsidRPr="005B0E21" w:rsidRDefault="00A356FA" w:rsidP="00E568FD">
            <w:pPr>
              <w:spacing w:after="0" w:line="240" w:lineRule="auto"/>
              <w:jc w:val="both"/>
            </w:pPr>
            <w:r w:rsidRPr="005B0E21">
              <w:t>2,50,000</w:t>
            </w:r>
          </w:p>
        </w:tc>
        <w:tc>
          <w:tcPr>
            <w:tcW w:w="1250" w:type="pct"/>
          </w:tcPr>
          <w:p w:rsidR="00A356FA" w:rsidRPr="005B0E21" w:rsidRDefault="00A356FA" w:rsidP="00E568FD">
            <w:pPr>
              <w:spacing w:after="0" w:line="240" w:lineRule="auto"/>
              <w:jc w:val="both"/>
            </w:pPr>
            <w:r w:rsidRPr="005B0E21">
              <w:t>17,527</w:t>
            </w:r>
          </w:p>
        </w:tc>
        <w:tc>
          <w:tcPr>
            <w:tcW w:w="1250" w:type="pct"/>
          </w:tcPr>
          <w:p w:rsidR="00A356FA" w:rsidRPr="005B0E21" w:rsidRDefault="00A356FA" w:rsidP="00E568FD">
            <w:pPr>
              <w:spacing w:after="0" w:line="240" w:lineRule="auto"/>
              <w:jc w:val="both"/>
            </w:pPr>
            <w:r w:rsidRPr="005B0E21">
              <w:t>3,611</w:t>
            </w:r>
          </w:p>
        </w:tc>
      </w:tr>
    </w:tbl>
    <w:p w:rsidR="00814553" w:rsidRDefault="00A356FA" w:rsidP="00611709">
      <w:pPr>
        <w:spacing w:before="120"/>
        <w:jc w:val="both"/>
        <w:rPr>
          <w:b/>
          <w:bCs/>
          <w:i/>
          <w:sz w:val="20"/>
          <w:szCs w:val="20"/>
        </w:rPr>
      </w:pPr>
      <w:r w:rsidRPr="006A0504">
        <w:rPr>
          <w:b/>
          <w:bCs/>
          <w:i/>
          <w:sz w:val="20"/>
          <w:szCs w:val="20"/>
        </w:rPr>
        <w:t xml:space="preserve">Source: Encyclopedia of Flora and Fauna of Bangladesh (2007) </w:t>
      </w:r>
    </w:p>
    <w:p w:rsidR="00F77883" w:rsidRDefault="00F77883">
      <w:pPr>
        <w:rPr>
          <w:rFonts w:cs="Times New Roman"/>
          <w:b/>
          <w:bCs/>
          <w:szCs w:val="24"/>
        </w:rPr>
      </w:pPr>
      <w:bookmarkStart w:id="210" w:name="_Toc448235120"/>
      <w:r>
        <w:br w:type="page"/>
      </w:r>
    </w:p>
    <w:p w:rsidR="00A356FA" w:rsidRPr="006A0504" w:rsidRDefault="00623C5D" w:rsidP="00D13FC2">
      <w:pPr>
        <w:pStyle w:val="Heading4"/>
      </w:pPr>
      <w:bookmarkStart w:id="211" w:name="_Toc474639023"/>
      <w:r>
        <w:lastRenderedPageBreak/>
        <w:t>Table 3.</w:t>
      </w:r>
      <w:r w:rsidR="00005184">
        <w:t>5</w:t>
      </w:r>
      <w:r>
        <w:t>: Diversity of F</w:t>
      </w:r>
      <w:r w:rsidR="00A356FA" w:rsidRPr="006A0504">
        <w:t>aunal Species in Bangladesh compare</w:t>
      </w:r>
      <w:r>
        <w:t>d to World and Subcontinent in N</w:t>
      </w:r>
      <w:r w:rsidR="00A356FA" w:rsidRPr="006A0504">
        <w:t>umbers</w:t>
      </w:r>
      <w:bookmarkEnd w:id="210"/>
      <w:bookmarkEnd w:id="21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62"/>
        <w:gridCol w:w="1449"/>
        <w:gridCol w:w="1539"/>
        <w:gridCol w:w="1706"/>
      </w:tblGrid>
      <w:tr w:rsidR="00A356FA" w:rsidRPr="00E568FD" w:rsidTr="00A356FA">
        <w:trPr>
          <w:trHeight w:val="144"/>
          <w:tblHeader/>
        </w:trPr>
        <w:tc>
          <w:tcPr>
            <w:tcW w:w="2349" w:type="pct"/>
            <w:shd w:val="clear" w:color="auto" w:fill="D9D9D9"/>
            <w:vAlign w:val="center"/>
          </w:tcPr>
          <w:p w:rsidR="00A356FA" w:rsidRPr="00611709" w:rsidRDefault="00A356FA" w:rsidP="00E568FD">
            <w:pPr>
              <w:spacing w:after="0" w:line="240" w:lineRule="auto"/>
              <w:jc w:val="center"/>
              <w:rPr>
                <w:b/>
                <w:sz w:val="22"/>
              </w:rPr>
            </w:pPr>
            <w:r w:rsidRPr="00611709">
              <w:rPr>
                <w:b/>
                <w:sz w:val="22"/>
              </w:rPr>
              <w:t>Taxonomic group</w:t>
            </w:r>
          </w:p>
        </w:tc>
        <w:tc>
          <w:tcPr>
            <w:tcW w:w="818" w:type="pct"/>
            <w:shd w:val="clear" w:color="auto" w:fill="D9D9D9"/>
            <w:vAlign w:val="center"/>
          </w:tcPr>
          <w:p w:rsidR="00A356FA" w:rsidRPr="00611709" w:rsidRDefault="00A356FA" w:rsidP="00E568FD">
            <w:pPr>
              <w:spacing w:after="0" w:line="240" w:lineRule="auto"/>
              <w:ind w:left="83"/>
              <w:jc w:val="center"/>
              <w:rPr>
                <w:b/>
                <w:sz w:val="22"/>
              </w:rPr>
            </w:pPr>
            <w:r w:rsidRPr="00611709">
              <w:rPr>
                <w:b/>
                <w:sz w:val="22"/>
              </w:rPr>
              <w:t>World</w:t>
            </w:r>
          </w:p>
        </w:tc>
        <w:tc>
          <w:tcPr>
            <w:tcW w:w="869" w:type="pct"/>
            <w:shd w:val="clear" w:color="auto" w:fill="D9D9D9"/>
            <w:vAlign w:val="center"/>
          </w:tcPr>
          <w:p w:rsidR="00A356FA" w:rsidRPr="00611709" w:rsidRDefault="00A356FA" w:rsidP="00E568FD">
            <w:pPr>
              <w:spacing w:after="0" w:line="240" w:lineRule="auto"/>
              <w:ind w:left="83"/>
              <w:jc w:val="center"/>
              <w:rPr>
                <w:b/>
                <w:sz w:val="22"/>
              </w:rPr>
            </w:pPr>
            <w:r w:rsidRPr="00611709">
              <w:rPr>
                <w:b/>
                <w:sz w:val="22"/>
              </w:rPr>
              <w:t>Sub-continent</w:t>
            </w:r>
          </w:p>
        </w:tc>
        <w:tc>
          <w:tcPr>
            <w:tcW w:w="963" w:type="pct"/>
            <w:shd w:val="clear" w:color="auto" w:fill="D9D9D9"/>
            <w:vAlign w:val="center"/>
          </w:tcPr>
          <w:p w:rsidR="00A356FA" w:rsidRPr="00611709" w:rsidRDefault="00A356FA" w:rsidP="00E568FD">
            <w:pPr>
              <w:spacing w:after="0" w:line="240" w:lineRule="auto"/>
              <w:ind w:left="83"/>
              <w:jc w:val="center"/>
              <w:rPr>
                <w:b/>
                <w:sz w:val="22"/>
              </w:rPr>
            </w:pPr>
            <w:r w:rsidRPr="00611709">
              <w:rPr>
                <w:b/>
                <w:sz w:val="22"/>
              </w:rPr>
              <w:t>Bangladesh</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Protozoa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31,250</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2,577</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175</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Porifera (Sponge)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4,562</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500</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29</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Cnidaria (Coral, Jely Fish)</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9,916</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842</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102</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Ctenophora (</w:t>
            </w:r>
            <w:r w:rsidR="00F64A6A" w:rsidRPr="00F64A6A">
              <w:rPr>
                <w:color w:val="FF0000"/>
                <w:sz w:val="22"/>
              </w:rPr>
              <w:t>Plankic</w:t>
            </w:r>
            <w:r w:rsidR="002424F1">
              <w:rPr>
                <w:sz w:val="22"/>
              </w:rPr>
              <w:t>?</w:t>
            </w:r>
            <w:r w:rsidRPr="00611709">
              <w:rPr>
                <w:sz w:val="22"/>
              </w:rPr>
              <w:t xml:space="preserve"> marine animals)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100</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12</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10</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Rotifera</w:t>
            </w:r>
            <w:r w:rsidR="00484FB5">
              <w:rPr>
                <w:sz w:val="22"/>
              </w:rPr>
              <w:t xml:space="preserve"> </w:t>
            </w:r>
            <w:r w:rsidRPr="00611709">
              <w:rPr>
                <w:sz w:val="22"/>
              </w:rPr>
              <w:t>(microscopic aquatic animals)</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2,500</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330</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76</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Gastrotricha  (Nematodes)</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3,000</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100</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4</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Platyhelminthes</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17,500</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1,622</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126</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Nematoda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30,000</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2,850</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176</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Mollusca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66,535</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5,072</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479</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Echinodermata</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6,000</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765</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46+</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Arthopoda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987,949</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68,389</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5000+</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Fish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21,723</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2,546</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653</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Amphibians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5,150</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248</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34</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Reptiles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5,817</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460</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154</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Birds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9,026</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1,232</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650</w:t>
            </w:r>
          </w:p>
        </w:tc>
      </w:tr>
      <w:tr w:rsidR="00A356FA" w:rsidRPr="00E568FD" w:rsidTr="00A356FA">
        <w:trPr>
          <w:trHeight w:val="144"/>
        </w:trPr>
        <w:tc>
          <w:tcPr>
            <w:tcW w:w="2349" w:type="pct"/>
          </w:tcPr>
          <w:p w:rsidR="00A356FA" w:rsidRPr="00611709" w:rsidRDefault="00A356FA" w:rsidP="00E568FD">
            <w:pPr>
              <w:spacing w:after="0" w:line="240" w:lineRule="auto"/>
              <w:jc w:val="both"/>
              <w:rPr>
                <w:sz w:val="22"/>
              </w:rPr>
            </w:pPr>
            <w:r w:rsidRPr="00611709">
              <w:rPr>
                <w:sz w:val="22"/>
              </w:rPr>
              <w:t xml:space="preserve">Mammals </w:t>
            </w:r>
          </w:p>
        </w:tc>
        <w:tc>
          <w:tcPr>
            <w:tcW w:w="818" w:type="pct"/>
            <w:vAlign w:val="center"/>
          </w:tcPr>
          <w:p w:rsidR="00A356FA" w:rsidRPr="00611709" w:rsidRDefault="00A356FA" w:rsidP="00E568FD">
            <w:pPr>
              <w:spacing w:after="0" w:line="240" w:lineRule="auto"/>
              <w:ind w:left="83"/>
              <w:jc w:val="center"/>
              <w:rPr>
                <w:sz w:val="22"/>
              </w:rPr>
            </w:pPr>
            <w:r w:rsidRPr="00611709">
              <w:rPr>
                <w:sz w:val="22"/>
              </w:rPr>
              <w:t>4,629</w:t>
            </w:r>
          </w:p>
        </w:tc>
        <w:tc>
          <w:tcPr>
            <w:tcW w:w="869" w:type="pct"/>
            <w:vAlign w:val="center"/>
          </w:tcPr>
          <w:p w:rsidR="00A356FA" w:rsidRPr="00611709" w:rsidRDefault="00A356FA" w:rsidP="00E568FD">
            <w:pPr>
              <w:spacing w:after="0" w:line="240" w:lineRule="auto"/>
              <w:ind w:left="83"/>
              <w:jc w:val="center"/>
              <w:rPr>
                <w:sz w:val="22"/>
              </w:rPr>
            </w:pPr>
            <w:r w:rsidRPr="00611709">
              <w:rPr>
                <w:sz w:val="22"/>
              </w:rPr>
              <w:t>397</w:t>
            </w:r>
          </w:p>
        </w:tc>
        <w:tc>
          <w:tcPr>
            <w:tcW w:w="963" w:type="pct"/>
            <w:vAlign w:val="center"/>
          </w:tcPr>
          <w:p w:rsidR="00A356FA" w:rsidRPr="00611709" w:rsidRDefault="00A356FA" w:rsidP="00E568FD">
            <w:pPr>
              <w:spacing w:after="0" w:line="240" w:lineRule="auto"/>
              <w:ind w:left="83"/>
              <w:jc w:val="center"/>
              <w:rPr>
                <w:sz w:val="22"/>
              </w:rPr>
            </w:pPr>
            <w:r w:rsidRPr="00611709">
              <w:rPr>
                <w:sz w:val="22"/>
              </w:rPr>
              <w:t>121</w:t>
            </w:r>
          </w:p>
        </w:tc>
      </w:tr>
    </w:tbl>
    <w:p w:rsidR="00A356FA" w:rsidRDefault="00A356FA" w:rsidP="00611709">
      <w:pPr>
        <w:spacing w:before="120" w:line="240" w:lineRule="auto"/>
        <w:jc w:val="both"/>
        <w:rPr>
          <w:b/>
          <w:bCs/>
          <w:i/>
          <w:sz w:val="20"/>
          <w:szCs w:val="20"/>
        </w:rPr>
      </w:pPr>
      <w:r w:rsidRPr="006A0504">
        <w:rPr>
          <w:b/>
          <w:bCs/>
          <w:i/>
          <w:sz w:val="20"/>
          <w:szCs w:val="20"/>
        </w:rPr>
        <w:t xml:space="preserve">Source: Encyclopedia of Flora and Fauna of Bangladesh (2007) </w:t>
      </w:r>
    </w:p>
    <w:p w:rsidR="00D04B51" w:rsidRDefault="00814553" w:rsidP="001C6BB1">
      <w:pPr>
        <w:spacing w:line="276" w:lineRule="auto"/>
        <w:jc w:val="both"/>
        <w:rPr>
          <w:szCs w:val="24"/>
        </w:rPr>
      </w:pPr>
      <w:r w:rsidRPr="006A0504">
        <w:rPr>
          <w:szCs w:val="24"/>
        </w:rPr>
        <w:t>There are two RAMSAR sites, 12 Ecological Critically Area</w:t>
      </w:r>
      <w:r w:rsidR="00536E0D">
        <w:rPr>
          <w:szCs w:val="24"/>
        </w:rPr>
        <w:t>s</w:t>
      </w:r>
      <w:r w:rsidRPr="006A0504">
        <w:rPr>
          <w:szCs w:val="24"/>
        </w:rPr>
        <w:t xml:space="preserve">, 17 National Parks, 20 Wildlife </w:t>
      </w:r>
      <w:r w:rsidR="00536E0D" w:rsidRPr="006A0504">
        <w:rPr>
          <w:szCs w:val="24"/>
        </w:rPr>
        <w:t>Sanctuar</w:t>
      </w:r>
      <w:r w:rsidR="00536E0D">
        <w:rPr>
          <w:szCs w:val="24"/>
        </w:rPr>
        <w:t>ies</w:t>
      </w:r>
      <w:r w:rsidRPr="006A0504">
        <w:rPr>
          <w:szCs w:val="24"/>
        </w:rPr>
        <w:t>, 8 Eco-parks and 2 Botanical Garden</w:t>
      </w:r>
      <w:r w:rsidR="00536E0D">
        <w:rPr>
          <w:szCs w:val="24"/>
        </w:rPr>
        <w:t>s</w:t>
      </w:r>
      <w:r w:rsidRPr="006A0504">
        <w:rPr>
          <w:szCs w:val="24"/>
        </w:rPr>
        <w:t xml:space="preserve"> </w:t>
      </w:r>
      <w:r w:rsidR="00536E0D">
        <w:rPr>
          <w:szCs w:val="24"/>
        </w:rPr>
        <w:t>are</w:t>
      </w:r>
      <w:r w:rsidR="00536E0D" w:rsidRPr="006A0504">
        <w:rPr>
          <w:szCs w:val="24"/>
        </w:rPr>
        <w:t xml:space="preserve"> </w:t>
      </w:r>
      <w:r w:rsidRPr="006A0504">
        <w:rPr>
          <w:szCs w:val="24"/>
        </w:rPr>
        <w:t xml:space="preserve">protecting for ecosystem and its sustainable resources management in Bangladesh (shown in </w:t>
      </w:r>
      <w:r>
        <w:rPr>
          <w:szCs w:val="24"/>
        </w:rPr>
        <w:t>Map</w:t>
      </w:r>
      <w:r w:rsidR="00060351">
        <w:rPr>
          <w:szCs w:val="24"/>
        </w:rPr>
        <w:t xml:space="preserve"> 3.5</w:t>
      </w:r>
      <w:r w:rsidRPr="006A0504">
        <w:rPr>
          <w:szCs w:val="24"/>
        </w:rPr>
        <w:t xml:space="preserve">). International ornithological organization Birdlife International spotted 20 Important Bird Area (IBA) in Bangladesh. Very recently Bangladesh declared first Marine Protected Area - Swatch of No Ground. </w:t>
      </w:r>
    </w:p>
    <w:p w:rsidR="000521A5" w:rsidRDefault="000521A5" w:rsidP="001C6BB1">
      <w:pPr>
        <w:spacing w:line="276" w:lineRule="auto"/>
        <w:jc w:val="both"/>
        <w:rPr>
          <w:b/>
          <w:szCs w:val="24"/>
        </w:rPr>
      </w:pPr>
      <w:r w:rsidRPr="006A0504">
        <w:t>Human interference in the rivers and other wetlands has been damaging the fragile ecosystem and destroy the long-term sustainability of the aquatic ecosystems. Rivers in the urban and sub-urban areas are severely polluted by different industrial effluents, human sewage and household garbage. Illegal encroachment is another issue for deterioration of river area and unviable its ecosystem. Consequential siltation of major rivers and their tributaries due to loss of upstream flow caused degradation of habitat suitability for fishes, dolphins and numerous aquatic creatures. For instance, in the southwest brackish water coastal plains of Bangladesh, the farmers used to have a single paddy crop during monsoon when surface water salinity depletes due to heavy rainfall and during rest of the months the fields are left for grazing. The practice evolved and was enriched by local knowledge for centuries. However, in the last two decades, this practice has been abandoned to provide space for more profitable shrimp farming. As a result, local ecosystems have been changed for such change of water exchange system, rapid siltation of the channels and continuous inundation of land with saline water.</w:t>
      </w:r>
    </w:p>
    <w:p w:rsidR="00814553" w:rsidRPr="006A0504" w:rsidRDefault="00814553" w:rsidP="00D13FC2">
      <w:pPr>
        <w:pStyle w:val="Heading6"/>
      </w:pPr>
      <w:bookmarkStart w:id="212" w:name="_Toc474639316"/>
      <w:r>
        <w:lastRenderedPageBreak/>
        <w:t>Map</w:t>
      </w:r>
      <w:r w:rsidR="00D04B51">
        <w:t xml:space="preserve"> 3.5</w:t>
      </w:r>
      <w:r w:rsidRPr="006A0504">
        <w:t>: Protected Areas of Bangladesh</w:t>
      </w:r>
      <w:bookmarkEnd w:id="212"/>
    </w:p>
    <w:p w:rsidR="00814553" w:rsidRPr="00E91ECB" w:rsidRDefault="00814553" w:rsidP="00FF0F14">
      <w:pPr>
        <w:spacing w:after="120"/>
        <w:jc w:val="center"/>
        <w:rPr>
          <w:rFonts w:cs="Calibri"/>
          <w:highlight w:val="yellow"/>
        </w:rPr>
      </w:pPr>
      <w:r w:rsidRPr="00D60389">
        <w:rPr>
          <w:rFonts w:cs="Calibri"/>
          <w:noProof/>
          <w:lang w:val="en-AU" w:eastAsia="en-AU" w:bidi="bn-BD"/>
        </w:rPr>
        <w:drawing>
          <wp:inline distT="0" distB="0" distL="0" distR="0">
            <wp:extent cx="5506278" cy="6867525"/>
            <wp:effectExtent l="0" t="0" r="0" b="0"/>
            <wp:docPr id="84" name="Picture 0" descr="Protected area of Banglades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0" descr="Protected area of Bangladesh.jpg"/>
                    <pic:cNvPicPr>
                      <a:picLocks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9568" cy="6871628"/>
                    </a:xfrm>
                    <a:prstGeom prst="rect">
                      <a:avLst/>
                    </a:prstGeom>
                    <a:noFill/>
                    <a:ln>
                      <a:noFill/>
                    </a:ln>
                  </pic:spPr>
                </pic:pic>
              </a:graphicData>
            </a:graphic>
          </wp:inline>
        </w:drawing>
      </w:r>
    </w:p>
    <w:p w:rsidR="000D4192" w:rsidRDefault="00814553" w:rsidP="00D04B51">
      <w:pPr>
        <w:pStyle w:val="BodyText"/>
        <w:spacing w:after="240" w:line="276" w:lineRule="auto"/>
        <w:jc w:val="both"/>
        <w:rPr>
          <w:b/>
          <w:i/>
          <w:sz w:val="20"/>
        </w:rPr>
      </w:pPr>
      <w:r w:rsidRPr="002F2EF8">
        <w:rPr>
          <w:b/>
          <w:i/>
          <w:sz w:val="20"/>
        </w:rPr>
        <w:t>Source: Forest Department, Government of Bangladesh</w:t>
      </w:r>
    </w:p>
    <w:p w:rsidR="00536E0D" w:rsidRPr="006A0504" w:rsidRDefault="00A356FA" w:rsidP="00536E0D">
      <w:pPr>
        <w:jc w:val="both"/>
      </w:pPr>
      <w:r w:rsidRPr="006A0504">
        <w:t xml:space="preserve">In Haor areas, large scale settlement was initiated in the mid-20th century from surrounding densely populated regions and since then the resources of the Haor basins are being exploited. Continuous exploitation of aquatic vegetation and plants like </w:t>
      </w:r>
      <w:r w:rsidRPr="006A0504">
        <w:lastRenderedPageBreak/>
        <w:t>Makhna, Singara, Lotus, Waterlily, Hogla has been seen which are required for the habitat for fish and migratory birds in Haor areas. Similarly, embankment constructed for FCDI projects reduced floodplains and made obstacles to fish movement and migration from rivers and beels to the remaining floodplains for feeding and breeding. As a result, many fishers have lost their livelihood.</w:t>
      </w:r>
      <w:r w:rsidR="00536E0D" w:rsidRPr="00536E0D">
        <w:t xml:space="preserve"> </w:t>
      </w:r>
      <w:r w:rsidR="00536E0D">
        <w:t>Table 3.6</w:t>
      </w:r>
      <w:r w:rsidR="00536E0D" w:rsidRPr="006A0504">
        <w:t xml:space="preserve"> shows the threat status of various vertebrates of Bangladesh. </w:t>
      </w:r>
    </w:p>
    <w:p w:rsidR="00A356FA" w:rsidRPr="00D04B51" w:rsidRDefault="00A356FA" w:rsidP="00D04B51">
      <w:pPr>
        <w:spacing w:line="276" w:lineRule="auto"/>
        <w:jc w:val="both"/>
        <w:rPr>
          <w:b/>
          <w:szCs w:val="24"/>
        </w:rPr>
      </w:pPr>
    </w:p>
    <w:p w:rsidR="00A356FA" w:rsidRPr="006A0504" w:rsidRDefault="00623C5D" w:rsidP="00D13FC2">
      <w:pPr>
        <w:pStyle w:val="Heading4"/>
      </w:pPr>
      <w:bookmarkStart w:id="213" w:name="_Toc448235121"/>
      <w:bookmarkStart w:id="214" w:name="_Toc474639024"/>
      <w:r>
        <w:t>Table 3.</w:t>
      </w:r>
      <w:r w:rsidR="00005184">
        <w:t>6</w:t>
      </w:r>
      <w:r>
        <w:t>: National Status of Inland and Resident V</w:t>
      </w:r>
      <w:r w:rsidR="00A356FA" w:rsidRPr="006A0504">
        <w:t>ertebrates of Bangladesh</w:t>
      </w:r>
      <w:bookmarkEnd w:id="213"/>
      <w:bookmarkEnd w:id="21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8" w:type="dxa"/>
          <w:right w:w="58" w:type="dxa"/>
        </w:tblCellMar>
        <w:tblLook w:val="04A0"/>
      </w:tblPr>
      <w:tblGrid>
        <w:gridCol w:w="1219"/>
        <w:gridCol w:w="853"/>
        <w:gridCol w:w="1231"/>
        <w:gridCol w:w="1287"/>
        <w:gridCol w:w="1287"/>
        <w:gridCol w:w="1196"/>
        <w:gridCol w:w="683"/>
        <w:gridCol w:w="1000"/>
      </w:tblGrid>
      <w:tr w:rsidR="00A356FA" w:rsidRPr="00E568FD" w:rsidTr="00F77883">
        <w:trPr>
          <w:trHeight w:val="144"/>
          <w:tblHeader/>
        </w:trPr>
        <w:tc>
          <w:tcPr>
            <w:tcW w:w="696" w:type="pct"/>
            <w:vMerge w:val="restart"/>
            <w:shd w:val="clear" w:color="auto" w:fill="auto"/>
            <w:vAlign w:val="center"/>
          </w:tcPr>
          <w:p w:rsidR="00A356FA" w:rsidRPr="002F2EF8" w:rsidRDefault="00A356FA" w:rsidP="00E568FD">
            <w:pPr>
              <w:spacing w:after="0" w:line="240" w:lineRule="auto"/>
              <w:jc w:val="center"/>
              <w:rPr>
                <w:rFonts w:cs="Times New Roman"/>
                <w:b/>
                <w:sz w:val="20"/>
              </w:rPr>
            </w:pPr>
            <w:r w:rsidRPr="002F2EF8">
              <w:rPr>
                <w:rFonts w:cs="Times New Roman"/>
                <w:b/>
                <w:sz w:val="20"/>
              </w:rPr>
              <w:t>Group</w:t>
            </w:r>
          </w:p>
        </w:tc>
        <w:tc>
          <w:tcPr>
            <w:tcW w:w="487" w:type="pct"/>
            <w:vMerge w:val="restart"/>
            <w:shd w:val="clear" w:color="auto" w:fill="auto"/>
            <w:vAlign w:val="center"/>
          </w:tcPr>
          <w:p w:rsidR="00A356FA" w:rsidRPr="002F2EF8" w:rsidRDefault="00A356FA" w:rsidP="00E568FD">
            <w:pPr>
              <w:spacing w:after="0" w:line="240" w:lineRule="auto"/>
              <w:jc w:val="center"/>
              <w:rPr>
                <w:rFonts w:cs="Times New Roman"/>
                <w:b/>
                <w:sz w:val="20"/>
              </w:rPr>
            </w:pPr>
            <w:r w:rsidRPr="002F2EF8">
              <w:rPr>
                <w:rFonts w:cs="Times New Roman"/>
                <w:b/>
                <w:sz w:val="20"/>
              </w:rPr>
              <w:t>Species</w:t>
            </w:r>
          </w:p>
        </w:tc>
        <w:tc>
          <w:tcPr>
            <w:tcW w:w="703" w:type="pct"/>
            <w:vMerge w:val="restart"/>
            <w:shd w:val="clear" w:color="auto" w:fill="auto"/>
            <w:vAlign w:val="center"/>
          </w:tcPr>
          <w:p w:rsidR="00A356FA" w:rsidRPr="002F2EF8" w:rsidRDefault="00A356FA" w:rsidP="00E568FD">
            <w:pPr>
              <w:spacing w:after="0" w:line="240" w:lineRule="auto"/>
              <w:jc w:val="center"/>
              <w:rPr>
                <w:rFonts w:cs="Times New Roman"/>
                <w:b/>
                <w:sz w:val="20"/>
              </w:rPr>
            </w:pPr>
            <w:r w:rsidRPr="002F2EF8">
              <w:rPr>
                <w:rFonts w:cs="Times New Roman"/>
                <w:b/>
                <w:sz w:val="20"/>
              </w:rPr>
              <w:t>Extinct in</w:t>
            </w:r>
          </w:p>
          <w:p w:rsidR="00A356FA" w:rsidRPr="002F2EF8" w:rsidRDefault="00A356FA" w:rsidP="00E568FD">
            <w:pPr>
              <w:spacing w:after="0" w:line="240" w:lineRule="auto"/>
              <w:jc w:val="center"/>
              <w:rPr>
                <w:rFonts w:cs="Times New Roman"/>
                <w:b/>
                <w:sz w:val="20"/>
              </w:rPr>
            </w:pPr>
            <w:r w:rsidRPr="002F2EF8">
              <w:rPr>
                <w:rFonts w:cs="Times New Roman"/>
                <w:b/>
                <w:sz w:val="20"/>
              </w:rPr>
              <w:t>Bangladesh</w:t>
            </w:r>
          </w:p>
        </w:tc>
        <w:tc>
          <w:tcPr>
            <w:tcW w:w="2543" w:type="pct"/>
            <w:gridSpan w:val="4"/>
            <w:tcBorders>
              <w:bottom w:val="single" w:sz="4" w:space="0" w:color="000000"/>
            </w:tcBorders>
            <w:shd w:val="clear" w:color="auto" w:fill="auto"/>
            <w:vAlign w:val="center"/>
          </w:tcPr>
          <w:p w:rsidR="00A356FA" w:rsidRPr="002F2EF8" w:rsidRDefault="00A356FA" w:rsidP="00E568FD">
            <w:pPr>
              <w:spacing w:after="0" w:line="240" w:lineRule="auto"/>
              <w:jc w:val="center"/>
              <w:rPr>
                <w:rFonts w:cs="Times New Roman"/>
                <w:b/>
                <w:sz w:val="20"/>
              </w:rPr>
            </w:pPr>
            <w:r w:rsidRPr="002F2EF8">
              <w:rPr>
                <w:rFonts w:cs="Times New Roman"/>
                <w:b/>
                <w:sz w:val="20"/>
              </w:rPr>
              <w:t>Threat category (national)</w:t>
            </w:r>
          </w:p>
        </w:tc>
        <w:tc>
          <w:tcPr>
            <w:tcW w:w="571" w:type="pct"/>
            <w:vMerge w:val="restart"/>
            <w:shd w:val="clear" w:color="auto" w:fill="auto"/>
            <w:vAlign w:val="center"/>
          </w:tcPr>
          <w:p w:rsidR="00A356FA" w:rsidRPr="002F2EF8" w:rsidRDefault="00A356FA" w:rsidP="00E568FD">
            <w:pPr>
              <w:spacing w:after="0" w:line="240" w:lineRule="auto"/>
              <w:jc w:val="center"/>
              <w:rPr>
                <w:rFonts w:cs="Times New Roman"/>
                <w:b/>
                <w:sz w:val="20"/>
              </w:rPr>
            </w:pPr>
            <w:r w:rsidRPr="002F2EF8">
              <w:rPr>
                <w:rFonts w:cs="Times New Roman"/>
                <w:b/>
                <w:sz w:val="20"/>
              </w:rPr>
              <w:t>Data</w:t>
            </w:r>
          </w:p>
          <w:p w:rsidR="00A356FA" w:rsidRPr="002F2EF8" w:rsidRDefault="00A356FA" w:rsidP="00E568FD">
            <w:pPr>
              <w:spacing w:after="0" w:line="240" w:lineRule="auto"/>
              <w:jc w:val="center"/>
              <w:rPr>
                <w:rFonts w:cs="Times New Roman"/>
                <w:b/>
                <w:sz w:val="20"/>
              </w:rPr>
            </w:pPr>
            <w:r w:rsidRPr="002F2EF8">
              <w:rPr>
                <w:rFonts w:cs="Times New Roman"/>
                <w:b/>
                <w:sz w:val="20"/>
              </w:rPr>
              <w:t>Deficient</w:t>
            </w:r>
          </w:p>
          <w:p w:rsidR="00A356FA" w:rsidRPr="002F2EF8" w:rsidRDefault="00A356FA" w:rsidP="00E568FD">
            <w:pPr>
              <w:spacing w:after="0" w:line="240" w:lineRule="auto"/>
              <w:jc w:val="center"/>
              <w:rPr>
                <w:rFonts w:cs="Times New Roman"/>
                <w:b/>
                <w:sz w:val="20"/>
              </w:rPr>
            </w:pPr>
            <w:r w:rsidRPr="002F2EF8">
              <w:rPr>
                <w:rFonts w:cs="Times New Roman"/>
                <w:b/>
                <w:sz w:val="20"/>
              </w:rPr>
              <w:t>(DD)</w:t>
            </w:r>
          </w:p>
        </w:tc>
      </w:tr>
      <w:tr w:rsidR="00A356FA" w:rsidRPr="00E568FD" w:rsidTr="00F77883">
        <w:trPr>
          <w:trHeight w:val="737"/>
          <w:tblHeader/>
        </w:trPr>
        <w:tc>
          <w:tcPr>
            <w:tcW w:w="696" w:type="pct"/>
            <w:vMerge/>
          </w:tcPr>
          <w:p w:rsidR="00A356FA" w:rsidRPr="00611709" w:rsidRDefault="00A356FA" w:rsidP="00E568FD">
            <w:pPr>
              <w:spacing w:after="0" w:line="240" w:lineRule="auto"/>
              <w:jc w:val="both"/>
              <w:rPr>
                <w:rFonts w:cs="Times New Roman"/>
                <w:sz w:val="22"/>
              </w:rPr>
            </w:pPr>
          </w:p>
        </w:tc>
        <w:tc>
          <w:tcPr>
            <w:tcW w:w="487" w:type="pct"/>
            <w:vMerge/>
          </w:tcPr>
          <w:p w:rsidR="00A356FA" w:rsidRPr="00611709" w:rsidRDefault="00A356FA" w:rsidP="00E568FD">
            <w:pPr>
              <w:spacing w:after="0" w:line="240" w:lineRule="auto"/>
              <w:jc w:val="both"/>
              <w:rPr>
                <w:rFonts w:cs="Times New Roman"/>
                <w:sz w:val="22"/>
              </w:rPr>
            </w:pPr>
          </w:p>
        </w:tc>
        <w:tc>
          <w:tcPr>
            <w:tcW w:w="703" w:type="pct"/>
            <w:vMerge/>
          </w:tcPr>
          <w:p w:rsidR="00A356FA" w:rsidRPr="00611709" w:rsidRDefault="00A356FA" w:rsidP="00E568FD">
            <w:pPr>
              <w:spacing w:after="0" w:line="240" w:lineRule="auto"/>
              <w:jc w:val="both"/>
              <w:rPr>
                <w:rFonts w:cs="Times New Roman"/>
                <w:sz w:val="22"/>
              </w:rPr>
            </w:pPr>
          </w:p>
        </w:tc>
        <w:tc>
          <w:tcPr>
            <w:tcW w:w="735" w:type="pct"/>
            <w:shd w:val="clear" w:color="auto" w:fill="auto"/>
          </w:tcPr>
          <w:p w:rsidR="00A356FA" w:rsidRPr="002F2EF8" w:rsidRDefault="00A356FA" w:rsidP="00E568FD">
            <w:pPr>
              <w:spacing w:after="0" w:line="240" w:lineRule="auto"/>
              <w:jc w:val="both"/>
              <w:rPr>
                <w:rFonts w:cs="Times New Roman"/>
                <w:b/>
                <w:sz w:val="20"/>
              </w:rPr>
            </w:pPr>
            <w:r w:rsidRPr="002F2EF8">
              <w:rPr>
                <w:rFonts w:cs="Times New Roman"/>
                <w:b/>
                <w:sz w:val="20"/>
              </w:rPr>
              <w:t>Critically</w:t>
            </w:r>
          </w:p>
          <w:p w:rsidR="00A356FA" w:rsidRPr="002F2EF8" w:rsidRDefault="00A356FA" w:rsidP="00E568FD">
            <w:pPr>
              <w:spacing w:after="0" w:line="240" w:lineRule="auto"/>
              <w:jc w:val="both"/>
              <w:rPr>
                <w:rFonts w:cs="Times New Roman"/>
                <w:b/>
                <w:sz w:val="20"/>
              </w:rPr>
            </w:pPr>
            <w:r w:rsidRPr="002F2EF8">
              <w:rPr>
                <w:rFonts w:cs="Times New Roman"/>
                <w:b/>
                <w:sz w:val="20"/>
              </w:rPr>
              <w:t>Endangered</w:t>
            </w:r>
          </w:p>
          <w:p w:rsidR="00A356FA" w:rsidRPr="002F2EF8" w:rsidRDefault="00A356FA" w:rsidP="00E568FD">
            <w:pPr>
              <w:spacing w:after="0" w:line="240" w:lineRule="auto"/>
              <w:jc w:val="both"/>
              <w:rPr>
                <w:rFonts w:cs="Times New Roman"/>
                <w:b/>
                <w:sz w:val="20"/>
              </w:rPr>
            </w:pPr>
            <w:r w:rsidRPr="002F2EF8">
              <w:rPr>
                <w:rFonts w:cs="Times New Roman"/>
                <w:b/>
                <w:sz w:val="20"/>
              </w:rPr>
              <w:t>(CR)</w:t>
            </w:r>
          </w:p>
        </w:tc>
        <w:tc>
          <w:tcPr>
            <w:tcW w:w="735" w:type="pct"/>
            <w:shd w:val="clear" w:color="auto" w:fill="auto"/>
          </w:tcPr>
          <w:p w:rsidR="00A356FA" w:rsidRPr="002F2EF8" w:rsidRDefault="00A356FA" w:rsidP="00E568FD">
            <w:pPr>
              <w:spacing w:after="0" w:line="240" w:lineRule="auto"/>
              <w:jc w:val="both"/>
              <w:rPr>
                <w:rFonts w:cs="Times New Roman"/>
                <w:b/>
                <w:sz w:val="20"/>
              </w:rPr>
            </w:pPr>
            <w:r w:rsidRPr="002F2EF8">
              <w:rPr>
                <w:rFonts w:cs="Times New Roman"/>
                <w:b/>
                <w:sz w:val="20"/>
              </w:rPr>
              <w:t>Endangered</w:t>
            </w:r>
          </w:p>
          <w:p w:rsidR="00A356FA" w:rsidRPr="002F2EF8" w:rsidRDefault="00A356FA" w:rsidP="00E568FD">
            <w:pPr>
              <w:spacing w:after="0" w:line="240" w:lineRule="auto"/>
              <w:jc w:val="both"/>
              <w:rPr>
                <w:rFonts w:cs="Times New Roman"/>
                <w:b/>
                <w:sz w:val="20"/>
              </w:rPr>
            </w:pPr>
            <w:r w:rsidRPr="002F2EF8">
              <w:rPr>
                <w:rFonts w:cs="Times New Roman"/>
                <w:b/>
                <w:sz w:val="20"/>
              </w:rPr>
              <w:t>(EN)</w:t>
            </w:r>
          </w:p>
        </w:tc>
        <w:tc>
          <w:tcPr>
            <w:tcW w:w="683" w:type="pct"/>
            <w:shd w:val="clear" w:color="auto" w:fill="auto"/>
          </w:tcPr>
          <w:p w:rsidR="00A356FA" w:rsidRPr="002F2EF8" w:rsidRDefault="00A356FA" w:rsidP="00E568FD">
            <w:pPr>
              <w:spacing w:after="0" w:line="240" w:lineRule="auto"/>
              <w:jc w:val="both"/>
              <w:rPr>
                <w:rFonts w:cs="Times New Roman"/>
                <w:b/>
                <w:sz w:val="20"/>
              </w:rPr>
            </w:pPr>
            <w:r w:rsidRPr="002F2EF8">
              <w:rPr>
                <w:rFonts w:cs="Times New Roman"/>
                <w:b/>
                <w:sz w:val="20"/>
              </w:rPr>
              <w:t>Vulnerable</w:t>
            </w:r>
          </w:p>
          <w:p w:rsidR="00A356FA" w:rsidRPr="002F2EF8" w:rsidRDefault="00A356FA" w:rsidP="00E568FD">
            <w:pPr>
              <w:spacing w:after="0" w:line="240" w:lineRule="auto"/>
              <w:jc w:val="both"/>
              <w:rPr>
                <w:rFonts w:cs="Times New Roman"/>
                <w:b/>
                <w:sz w:val="20"/>
              </w:rPr>
            </w:pPr>
            <w:r w:rsidRPr="002F2EF8">
              <w:rPr>
                <w:rFonts w:cs="Times New Roman"/>
                <w:b/>
                <w:sz w:val="20"/>
              </w:rPr>
              <w:t>(VU)</w:t>
            </w:r>
          </w:p>
        </w:tc>
        <w:tc>
          <w:tcPr>
            <w:tcW w:w="390" w:type="pct"/>
            <w:shd w:val="clear" w:color="auto" w:fill="auto"/>
          </w:tcPr>
          <w:p w:rsidR="00A356FA" w:rsidRPr="002F2EF8" w:rsidRDefault="00A356FA" w:rsidP="00E568FD">
            <w:pPr>
              <w:spacing w:after="0" w:line="240" w:lineRule="auto"/>
              <w:jc w:val="both"/>
              <w:rPr>
                <w:rFonts w:cs="Times New Roman"/>
                <w:b/>
                <w:sz w:val="20"/>
              </w:rPr>
            </w:pPr>
            <w:r w:rsidRPr="002F2EF8">
              <w:rPr>
                <w:rFonts w:cs="Times New Roman"/>
                <w:b/>
                <w:sz w:val="20"/>
              </w:rPr>
              <w:t>Total</w:t>
            </w:r>
          </w:p>
        </w:tc>
        <w:tc>
          <w:tcPr>
            <w:tcW w:w="571" w:type="pct"/>
            <w:vMerge/>
          </w:tcPr>
          <w:p w:rsidR="00A356FA" w:rsidRPr="00611709" w:rsidRDefault="00A356FA" w:rsidP="00E568FD">
            <w:pPr>
              <w:spacing w:after="0" w:line="240" w:lineRule="auto"/>
              <w:jc w:val="both"/>
              <w:rPr>
                <w:rFonts w:cs="Times New Roman"/>
                <w:sz w:val="22"/>
              </w:rPr>
            </w:pPr>
          </w:p>
        </w:tc>
      </w:tr>
      <w:tr w:rsidR="00A356FA" w:rsidRPr="00E568FD" w:rsidTr="00F77883">
        <w:trPr>
          <w:trHeight w:val="144"/>
        </w:trPr>
        <w:tc>
          <w:tcPr>
            <w:tcW w:w="696" w:type="pct"/>
          </w:tcPr>
          <w:p w:rsidR="00A356FA" w:rsidRPr="00611709" w:rsidRDefault="00A356FA" w:rsidP="00E568FD">
            <w:pPr>
              <w:spacing w:after="0" w:line="240" w:lineRule="auto"/>
              <w:jc w:val="both"/>
              <w:rPr>
                <w:rFonts w:cs="Times New Roman"/>
                <w:sz w:val="22"/>
              </w:rPr>
            </w:pPr>
            <w:r w:rsidRPr="00611709">
              <w:rPr>
                <w:rFonts w:cs="Times New Roman"/>
                <w:sz w:val="22"/>
              </w:rPr>
              <w:t xml:space="preserve">Fishes </w:t>
            </w:r>
          </w:p>
        </w:tc>
        <w:tc>
          <w:tcPr>
            <w:tcW w:w="487" w:type="pct"/>
          </w:tcPr>
          <w:p w:rsidR="00A356FA" w:rsidRPr="00611709" w:rsidRDefault="00A356FA" w:rsidP="00E568FD">
            <w:pPr>
              <w:spacing w:after="0" w:line="240" w:lineRule="auto"/>
              <w:jc w:val="both"/>
              <w:rPr>
                <w:rFonts w:cs="Times New Roman"/>
                <w:sz w:val="22"/>
              </w:rPr>
            </w:pPr>
            <w:r w:rsidRPr="00611709">
              <w:rPr>
                <w:rFonts w:cs="Times New Roman"/>
                <w:sz w:val="22"/>
              </w:rPr>
              <w:t>653</w:t>
            </w:r>
          </w:p>
        </w:tc>
        <w:tc>
          <w:tcPr>
            <w:tcW w:w="703" w:type="pct"/>
          </w:tcPr>
          <w:p w:rsidR="00A356FA" w:rsidRPr="00611709" w:rsidRDefault="00A356FA" w:rsidP="00E568FD">
            <w:pPr>
              <w:spacing w:after="0" w:line="240" w:lineRule="auto"/>
              <w:jc w:val="both"/>
              <w:rPr>
                <w:rFonts w:cs="Times New Roman"/>
                <w:sz w:val="22"/>
              </w:rPr>
            </w:pPr>
            <w:r w:rsidRPr="00611709">
              <w:rPr>
                <w:rFonts w:cs="Times New Roman"/>
                <w:sz w:val="22"/>
              </w:rPr>
              <w:t>0</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12</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28</w:t>
            </w:r>
          </w:p>
        </w:tc>
        <w:tc>
          <w:tcPr>
            <w:tcW w:w="683" w:type="pct"/>
          </w:tcPr>
          <w:p w:rsidR="00A356FA" w:rsidRPr="00611709" w:rsidRDefault="00A356FA" w:rsidP="00E568FD">
            <w:pPr>
              <w:spacing w:after="0" w:line="240" w:lineRule="auto"/>
              <w:jc w:val="both"/>
              <w:rPr>
                <w:rFonts w:cs="Times New Roman"/>
                <w:sz w:val="22"/>
              </w:rPr>
            </w:pPr>
            <w:r w:rsidRPr="00611709">
              <w:rPr>
                <w:rFonts w:cs="Times New Roman"/>
                <w:sz w:val="22"/>
              </w:rPr>
              <w:t>14</w:t>
            </w:r>
          </w:p>
        </w:tc>
        <w:tc>
          <w:tcPr>
            <w:tcW w:w="390" w:type="pct"/>
          </w:tcPr>
          <w:p w:rsidR="00A356FA" w:rsidRPr="00611709" w:rsidRDefault="00A356FA" w:rsidP="00E568FD">
            <w:pPr>
              <w:spacing w:after="0" w:line="240" w:lineRule="auto"/>
              <w:jc w:val="both"/>
              <w:rPr>
                <w:rFonts w:cs="Times New Roman"/>
                <w:sz w:val="22"/>
              </w:rPr>
            </w:pPr>
            <w:r w:rsidRPr="00611709">
              <w:rPr>
                <w:rFonts w:cs="Times New Roman"/>
                <w:sz w:val="22"/>
              </w:rPr>
              <w:t>54</w:t>
            </w:r>
          </w:p>
        </w:tc>
        <w:tc>
          <w:tcPr>
            <w:tcW w:w="571" w:type="pct"/>
          </w:tcPr>
          <w:p w:rsidR="00A356FA" w:rsidRPr="00611709" w:rsidRDefault="00A356FA" w:rsidP="00E568FD">
            <w:pPr>
              <w:spacing w:after="0" w:line="240" w:lineRule="auto"/>
              <w:jc w:val="both"/>
              <w:rPr>
                <w:rFonts w:cs="Times New Roman"/>
                <w:sz w:val="22"/>
              </w:rPr>
            </w:pPr>
            <w:r w:rsidRPr="00611709">
              <w:rPr>
                <w:rFonts w:cs="Times New Roman"/>
                <w:sz w:val="22"/>
              </w:rPr>
              <w:t>66</w:t>
            </w:r>
          </w:p>
        </w:tc>
      </w:tr>
      <w:tr w:rsidR="00A356FA" w:rsidRPr="00E568FD" w:rsidTr="00F77883">
        <w:trPr>
          <w:trHeight w:val="144"/>
        </w:trPr>
        <w:tc>
          <w:tcPr>
            <w:tcW w:w="696" w:type="pct"/>
          </w:tcPr>
          <w:p w:rsidR="00A356FA" w:rsidRPr="00611709" w:rsidRDefault="00A356FA" w:rsidP="00E568FD">
            <w:pPr>
              <w:spacing w:after="0" w:line="240" w:lineRule="auto"/>
              <w:jc w:val="both"/>
              <w:rPr>
                <w:rFonts w:cs="Times New Roman"/>
                <w:sz w:val="22"/>
              </w:rPr>
            </w:pPr>
            <w:r w:rsidRPr="00611709">
              <w:rPr>
                <w:rFonts w:cs="Times New Roman"/>
                <w:sz w:val="22"/>
              </w:rPr>
              <w:t xml:space="preserve">Amphibians </w:t>
            </w:r>
          </w:p>
        </w:tc>
        <w:tc>
          <w:tcPr>
            <w:tcW w:w="487" w:type="pct"/>
          </w:tcPr>
          <w:p w:rsidR="00A356FA" w:rsidRPr="00611709" w:rsidRDefault="00A356FA" w:rsidP="00E568FD">
            <w:pPr>
              <w:spacing w:after="0" w:line="240" w:lineRule="auto"/>
              <w:jc w:val="both"/>
              <w:rPr>
                <w:rFonts w:cs="Times New Roman"/>
                <w:sz w:val="22"/>
              </w:rPr>
            </w:pPr>
            <w:r w:rsidRPr="00611709">
              <w:rPr>
                <w:rFonts w:cs="Times New Roman"/>
                <w:sz w:val="22"/>
              </w:rPr>
              <w:t>34</w:t>
            </w:r>
          </w:p>
        </w:tc>
        <w:tc>
          <w:tcPr>
            <w:tcW w:w="703" w:type="pct"/>
          </w:tcPr>
          <w:p w:rsidR="00A356FA" w:rsidRPr="00611709" w:rsidRDefault="00A356FA" w:rsidP="00E568FD">
            <w:pPr>
              <w:spacing w:after="0" w:line="240" w:lineRule="auto"/>
              <w:jc w:val="both"/>
              <w:rPr>
                <w:rFonts w:cs="Times New Roman"/>
                <w:sz w:val="22"/>
              </w:rPr>
            </w:pPr>
            <w:r w:rsidRPr="00611709">
              <w:rPr>
                <w:rFonts w:cs="Times New Roman"/>
                <w:sz w:val="22"/>
              </w:rPr>
              <w:t>0</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0</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3</w:t>
            </w:r>
          </w:p>
        </w:tc>
        <w:tc>
          <w:tcPr>
            <w:tcW w:w="683" w:type="pct"/>
          </w:tcPr>
          <w:p w:rsidR="00A356FA" w:rsidRPr="00611709" w:rsidRDefault="00A356FA" w:rsidP="00E568FD">
            <w:pPr>
              <w:spacing w:after="0" w:line="240" w:lineRule="auto"/>
              <w:jc w:val="both"/>
              <w:rPr>
                <w:rFonts w:cs="Times New Roman"/>
                <w:sz w:val="22"/>
              </w:rPr>
            </w:pPr>
            <w:r w:rsidRPr="00611709">
              <w:rPr>
                <w:rFonts w:cs="Times New Roman"/>
                <w:sz w:val="22"/>
              </w:rPr>
              <w:t>5</w:t>
            </w:r>
          </w:p>
        </w:tc>
        <w:tc>
          <w:tcPr>
            <w:tcW w:w="390" w:type="pct"/>
          </w:tcPr>
          <w:p w:rsidR="00A356FA" w:rsidRPr="00611709" w:rsidRDefault="00A356FA" w:rsidP="00E568FD">
            <w:pPr>
              <w:spacing w:after="0" w:line="240" w:lineRule="auto"/>
              <w:jc w:val="both"/>
              <w:rPr>
                <w:rFonts w:cs="Times New Roman"/>
                <w:sz w:val="22"/>
              </w:rPr>
            </w:pPr>
            <w:r w:rsidRPr="00611709">
              <w:rPr>
                <w:rFonts w:cs="Times New Roman"/>
                <w:sz w:val="22"/>
              </w:rPr>
              <w:t>8</w:t>
            </w:r>
          </w:p>
        </w:tc>
        <w:tc>
          <w:tcPr>
            <w:tcW w:w="571" w:type="pct"/>
          </w:tcPr>
          <w:p w:rsidR="00A356FA" w:rsidRPr="00611709" w:rsidRDefault="00A356FA" w:rsidP="00E568FD">
            <w:pPr>
              <w:spacing w:after="0" w:line="240" w:lineRule="auto"/>
              <w:jc w:val="both"/>
              <w:rPr>
                <w:rFonts w:cs="Times New Roman"/>
                <w:sz w:val="22"/>
              </w:rPr>
            </w:pPr>
            <w:r w:rsidRPr="00611709">
              <w:rPr>
                <w:rFonts w:cs="Times New Roman"/>
                <w:sz w:val="22"/>
              </w:rPr>
              <w:t>7</w:t>
            </w:r>
          </w:p>
        </w:tc>
      </w:tr>
      <w:tr w:rsidR="00A356FA" w:rsidRPr="00E568FD" w:rsidTr="00F77883">
        <w:trPr>
          <w:trHeight w:val="144"/>
        </w:trPr>
        <w:tc>
          <w:tcPr>
            <w:tcW w:w="696" w:type="pct"/>
          </w:tcPr>
          <w:p w:rsidR="00A356FA" w:rsidRPr="00611709" w:rsidRDefault="00A356FA" w:rsidP="00E568FD">
            <w:pPr>
              <w:spacing w:after="0" w:line="240" w:lineRule="auto"/>
              <w:jc w:val="both"/>
              <w:rPr>
                <w:rFonts w:cs="Times New Roman"/>
                <w:sz w:val="22"/>
              </w:rPr>
            </w:pPr>
            <w:r w:rsidRPr="00611709">
              <w:rPr>
                <w:rFonts w:cs="Times New Roman"/>
                <w:sz w:val="22"/>
              </w:rPr>
              <w:t xml:space="preserve">Reptiles </w:t>
            </w:r>
          </w:p>
        </w:tc>
        <w:tc>
          <w:tcPr>
            <w:tcW w:w="487" w:type="pct"/>
          </w:tcPr>
          <w:p w:rsidR="00A356FA" w:rsidRPr="00611709" w:rsidRDefault="00A356FA" w:rsidP="00E568FD">
            <w:pPr>
              <w:spacing w:after="0" w:line="240" w:lineRule="auto"/>
              <w:jc w:val="both"/>
              <w:rPr>
                <w:rFonts w:cs="Times New Roman"/>
                <w:sz w:val="22"/>
              </w:rPr>
            </w:pPr>
            <w:r w:rsidRPr="00611709">
              <w:rPr>
                <w:rFonts w:cs="Times New Roman"/>
                <w:sz w:val="22"/>
              </w:rPr>
              <w:t>154</w:t>
            </w:r>
          </w:p>
        </w:tc>
        <w:tc>
          <w:tcPr>
            <w:tcW w:w="703" w:type="pct"/>
          </w:tcPr>
          <w:p w:rsidR="00A356FA" w:rsidRPr="00611709" w:rsidRDefault="00A356FA" w:rsidP="00E568FD">
            <w:pPr>
              <w:spacing w:after="0" w:line="240" w:lineRule="auto"/>
              <w:jc w:val="both"/>
              <w:rPr>
                <w:rFonts w:cs="Times New Roman"/>
                <w:sz w:val="22"/>
              </w:rPr>
            </w:pPr>
            <w:r w:rsidRPr="00611709">
              <w:rPr>
                <w:rFonts w:cs="Times New Roman"/>
                <w:sz w:val="22"/>
              </w:rPr>
              <w:t>1</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12</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24</w:t>
            </w:r>
          </w:p>
        </w:tc>
        <w:tc>
          <w:tcPr>
            <w:tcW w:w="683" w:type="pct"/>
          </w:tcPr>
          <w:p w:rsidR="00A356FA" w:rsidRPr="00611709" w:rsidRDefault="00A356FA" w:rsidP="00E568FD">
            <w:pPr>
              <w:spacing w:after="0" w:line="240" w:lineRule="auto"/>
              <w:jc w:val="both"/>
              <w:rPr>
                <w:rFonts w:cs="Times New Roman"/>
                <w:sz w:val="22"/>
              </w:rPr>
            </w:pPr>
            <w:r w:rsidRPr="00611709">
              <w:rPr>
                <w:rFonts w:cs="Times New Roman"/>
                <w:sz w:val="22"/>
              </w:rPr>
              <w:t>22</w:t>
            </w:r>
          </w:p>
        </w:tc>
        <w:tc>
          <w:tcPr>
            <w:tcW w:w="390" w:type="pct"/>
          </w:tcPr>
          <w:p w:rsidR="00A356FA" w:rsidRPr="00611709" w:rsidRDefault="00A356FA" w:rsidP="00E568FD">
            <w:pPr>
              <w:spacing w:after="0" w:line="240" w:lineRule="auto"/>
              <w:jc w:val="both"/>
              <w:rPr>
                <w:rFonts w:cs="Times New Roman"/>
                <w:sz w:val="22"/>
              </w:rPr>
            </w:pPr>
            <w:r w:rsidRPr="00611709">
              <w:rPr>
                <w:rFonts w:cs="Times New Roman"/>
                <w:sz w:val="22"/>
              </w:rPr>
              <w:t>58</w:t>
            </w:r>
          </w:p>
        </w:tc>
        <w:tc>
          <w:tcPr>
            <w:tcW w:w="571" w:type="pct"/>
          </w:tcPr>
          <w:p w:rsidR="00A356FA" w:rsidRPr="00611709" w:rsidRDefault="00A356FA" w:rsidP="00E568FD">
            <w:pPr>
              <w:spacing w:after="0" w:line="240" w:lineRule="auto"/>
              <w:jc w:val="both"/>
              <w:rPr>
                <w:rFonts w:cs="Times New Roman"/>
                <w:sz w:val="22"/>
              </w:rPr>
            </w:pPr>
            <w:r w:rsidRPr="00611709">
              <w:rPr>
                <w:rFonts w:cs="Times New Roman"/>
                <w:sz w:val="22"/>
              </w:rPr>
              <w:t>39</w:t>
            </w:r>
          </w:p>
        </w:tc>
      </w:tr>
      <w:tr w:rsidR="00A356FA" w:rsidRPr="00E568FD" w:rsidTr="00F77883">
        <w:trPr>
          <w:trHeight w:val="144"/>
        </w:trPr>
        <w:tc>
          <w:tcPr>
            <w:tcW w:w="696" w:type="pct"/>
          </w:tcPr>
          <w:p w:rsidR="00A356FA" w:rsidRPr="00611709" w:rsidRDefault="00A356FA" w:rsidP="00E568FD">
            <w:pPr>
              <w:spacing w:after="0" w:line="240" w:lineRule="auto"/>
              <w:jc w:val="both"/>
              <w:rPr>
                <w:rFonts w:cs="Times New Roman"/>
                <w:sz w:val="22"/>
              </w:rPr>
            </w:pPr>
            <w:r w:rsidRPr="00611709">
              <w:rPr>
                <w:rFonts w:cs="Times New Roman"/>
                <w:sz w:val="22"/>
              </w:rPr>
              <w:t>Birds</w:t>
            </w:r>
          </w:p>
        </w:tc>
        <w:tc>
          <w:tcPr>
            <w:tcW w:w="487" w:type="pct"/>
          </w:tcPr>
          <w:p w:rsidR="00A356FA" w:rsidRPr="00611709" w:rsidRDefault="00A356FA" w:rsidP="00E568FD">
            <w:pPr>
              <w:spacing w:after="0" w:line="240" w:lineRule="auto"/>
              <w:jc w:val="both"/>
              <w:rPr>
                <w:rFonts w:cs="Times New Roman"/>
                <w:sz w:val="22"/>
              </w:rPr>
            </w:pPr>
            <w:r w:rsidRPr="00611709">
              <w:rPr>
                <w:rFonts w:cs="Times New Roman"/>
                <w:sz w:val="22"/>
              </w:rPr>
              <w:t>650</w:t>
            </w:r>
          </w:p>
        </w:tc>
        <w:tc>
          <w:tcPr>
            <w:tcW w:w="703" w:type="pct"/>
          </w:tcPr>
          <w:p w:rsidR="00A356FA" w:rsidRPr="00611709" w:rsidRDefault="00A356FA" w:rsidP="00E568FD">
            <w:pPr>
              <w:spacing w:after="0" w:line="240" w:lineRule="auto"/>
              <w:jc w:val="both"/>
              <w:rPr>
                <w:rFonts w:cs="Times New Roman"/>
                <w:sz w:val="22"/>
              </w:rPr>
            </w:pPr>
            <w:r w:rsidRPr="00611709">
              <w:rPr>
                <w:rFonts w:cs="Times New Roman"/>
                <w:sz w:val="22"/>
              </w:rPr>
              <w:t>30</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19</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18</w:t>
            </w:r>
          </w:p>
        </w:tc>
        <w:tc>
          <w:tcPr>
            <w:tcW w:w="683" w:type="pct"/>
          </w:tcPr>
          <w:p w:rsidR="00A356FA" w:rsidRPr="00611709" w:rsidRDefault="00A356FA" w:rsidP="00E568FD">
            <w:pPr>
              <w:spacing w:after="0" w:line="240" w:lineRule="auto"/>
              <w:jc w:val="both"/>
              <w:rPr>
                <w:rFonts w:cs="Times New Roman"/>
                <w:sz w:val="22"/>
              </w:rPr>
            </w:pPr>
            <w:r w:rsidRPr="00611709">
              <w:rPr>
                <w:rFonts w:cs="Times New Roman"/>
                <w:sz w:val="22"/>
              </w:rPr>
              <w:t>4</w:t>
            </w:r>
          </w:p>
        </w:tc>
        <w:tc>
          <w:tcPr>
            <w:tcW w:w="390" w:type="pct"/>
          </w:tcPr>
          <w:p w:rsidR="00A356FA" w:rsidRPr="00611709" w:rsidRDefault="00A356FA" w:rsidP="00E568FD">
            <w:pPr>
              <w:spacing w:after="0" w:line="240" w:lineRule="auto"/>
              <w:jc w:val="both"/>
              <w:rPr>
                <w:rFonts w:cs="Times New Roman"/>
                <w:sz w:val="22"/>
              </w:rPr>
            </w:pPr>
            <w:r w:rsidRPr="00611709">
              <w:rPr>
                <w:rFonts w:cs="Times New Roman"/>
                <w:sz w:val="22"/>
              </w:rPr>
              <w:t>41</w:t>
            </w:r>
          </w:p>
        </w:tc>
        <w:tc>
          <w:tcPr>
            <w:tcW w:w="571" w:type="pct"/>
          </w:tcPr>
          <w:p w:rsidR="00A356FA" w:rsidRPr="00611709" w:rsidRDefault="00A356FA" w:rsidP="00E568FD">
            <w:pPr>
              <w:spacing w:after="0" w:line="240" w:lineRule="auto"/>
              <w:jc w:val="both"/>
              <w:rPr>
                <w:rFonts w:cs="Times New Roman"/>
                <w:sz w:val="22"/>
              </w:rPr>
            </w:pPr>
            <w:r w:rsidRPr="00611709">
              <w:rPr>
                <w:rFonts w:cs="Times New Roman"/>
                <w:sz w:val="22"/>
              </w:rPr>
              <w:t>158</w:t>
            </w:r>
          </w:p>
        </w:tc>
      </w:tr>
      <w:tr w:rsidR="00A356FA" w:rsidRPr="00E568FD" w:rsidTr="00F77883">
        <w:trPr>
          <w:trHeight w:val="144"/>
        </w:trPr>
        <w:tc>
          <w:tcPr>
            <w:tcW w:w="696" w:type="pct"/>
          </w:tcPr>
          <w:p w:rsidR="00A356FA" w:rsidRPr="00611709" w:rsidRDefault="00A356FA" w:rsidP="00E568FD">
            <w:pPr>
              <w:spacing w:after="0" w:line="240" w:lineRule="auto"/>
              <w:jc w:val="both"/>
              <w:rPr>
                <w:rFonts w:cs="Times New Roman"/>
                <w:sz w:val="22"/>
              </w:rPr>
            </w:pPr>
            <w:r w:rsidRPr="00611709">
              <w:rPr>
                <w:rFonts w:cs="Times New Roman"/>
                <w:sz w:val="22"/>
              </w:rPr>
              <w:t>Mammals</w:t>
            </w:r>
          </w:p>
        </w:tc>
        <w:tc>
          <w:tcPr>
            <w:tcW w:w="487" w:type="pct"/>
          </w:tcPr>
          <w:p w:rsidR="00A356FA" w:rsidRPr="00611709" w:rsidRDefault="00A356FA" w:rsidP="00E568FD">
            <w:pPr>
              <w:spacing w:after="0" w:line="240" w:lineRule="auto"/>
              <w:jc w:val="both"/>
              <w:rPr>
                <w:rFonts w:cs="Times New Roman"/>
                <w:sz w:val="22"/>
              </w:rPr>
            </w:pPr>
            <w:r w:rsidRPr="00611709">
              <w:rPr>
                <w:rFonts w:cs="Times New Roman"/>
                <w:sz w:val="22"/>
              </w:rPr>
              <w:t>120</w:t>
            </w:r>
          </w:p>
        </w:tc>
        <w:tc>
          <w:tcPr>
            <w:tcW w:w="703" w:type="pct"/>
          </w:tcPr>
          <w:p w:rsidR="00A356FA" w:rsidRPr="00611709" w:rsidRDefault="00A356FA" w:rsidP="00E568FD">
            <w:pPr>
              <w:spacing w:after="0" w:line="240" w:lineRule="auto"/>
              <w:jc w:val="both"/>
              <w:rPr>
                <w:rFonts w:cs="Times New Roman"/>
                <w:sz w:val="22"/>
              </w:rPr>
            </w:pPr>
            <w:r w:rsidRPr="00611709">
              <w:rPr>
                <w:rFonts w:cs="Times New Roman"/>
                <w:sz w:val="22"/>
              </w:rPr>
              <w:t>10</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21</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13</w:t>
            </w:r>
          </w:p>
        </w:tc>
        <w:tc>
          <w:tcPr>
            <w:tcW w:w="683" w:type="pct"/>
          </w:tcPr>
          <w:p w:rsidR="00A356FA" w:rsidRPr="00611709" w:rsidRDefault="00A356FA" w:rsidP="00E568FD">
            <w:pPr>
              <w:spacing w:after="0" w:line="240" w:lineRule="auto"/>
              <w:jc w:val="both"/>
              <w:rPr>
                <w:rFonts w:cs="Times New Roman"/>
                <w:sz w:val="22"/>
              </w:rPr>
            </w:pPr>
            <w:r w:rsidRPr="00611709">
              <w:rPr>
                <w:rFonts w:cs="Times New Roman"/>
                <w:sz w:val="22"/>
              </w:rPr>
              <w:t>6</w:t>
            </w:r>
          </w:p>
        </w:tc>
        <w:tc>
          <w:tcPr>
            <w:tcW w:w="390" w:type="pct"/>
          </w:tcPr>
          <w:p w:rsidR="00A356FA" w:rsidRPr="00611709" w:rsidRDefault="00A356FA" w:rsidP="00E568FD">
            <w:pPr>
              <w:spacing w:after="0" w:line="240" w:lineRule="auto"/>
              <w:jc w:val="both"/>
              <w:rPr>
                <w:rFonts w:cs="Times New Roman"/>
                <w:sz w:val="22"/>
              </w:rPr>
            </w:pPr>
            <w:r w:rsidRPr="00611709">
              <w:rPr>
                <w:rFonts w:cs="Times New Roman"/>
                <w:sz w:val="22"/>
              </w:rPr>
              <w:t>40</w:t>
            </w:r>
          </w:p>
        </w:tc>
        <w:tc>
          <w:tcPr>
            <w:tcW w:w="571" w:type="pct"/>
          </w:tcPr>
          <w:p w:rsidR="00A356FA" w:rsidRPr="00611709" w:rsidRDefault="00A356FA" w:rsidP="00E568FD">
            <w:pPr>
              <w:spacing w:after="0" w:line="240" w:lineRule="auto"/>
              <w:jc w:val="both"/>
              <w:rPr>
                <w:rFonts w:cs="Times New Roman"/>
                <w:sz w:val="22"/>
              </w:rPr>
            </w:pPr>
            <w:r w:rsidRPr="00611709">
              <w:rPr>
                <w:rFonts w:cs="Times New Roman"/>
                <w:sz w:val="22"/>
              </w:rPr>
              <w:t>53</w:t>
            </w:r>
          </w:p>
        </w:tc>
      </w:tr>
      <w:tr w:rsidR="00A356FA" w:rsidRPr="00E568FD" w:rsidTr="00F77883">
        <w:trPr>
          <w:trHeight w:val="144"/>
        </w:trPr>
        <w:tc>
          <w:tcPr>
            <w:tcW w:w="696" w:type="pct"/>
          </w:tcPr>
          <w:p w:rsidR="00A356FA" w:rsidRPr="00611709" w:rsidRDefault="00A356FA" w:rsidP="00E568FD">
            <w:pPr>
              <w:spacing w:after="0" w:line="240" w:lineRule="auto"/>
              <w:jc w:val="both"/>
              <w:rPr>
                <w:rFonts w:cs="Times New Roman"/>
                <w:sz w:val="22"/>
              </w:rPr>
            </w:pPr>
            <w:r w:rsidRPr="00611709">
              <w:rPr>
                <w:rFonts w:cs="Times New Roman"/>
                <w:sz w:val="22"/>
              </w:rPr>
              <w:t>Total</w:t>
            </w:r>
            <w:r w:rsidR="009C6AF4">
              <w:rPr>
                <w:rFonts w:cs="Times New Roman"/>
                <w:sz w:val="22"/>
              </w:rPr>
              <w:t xml:space="preserve"> (2000)</w:t>
            </w:r>
          </w:p>
        </w:tc>
        <w:tc>
          <w:tcPr>
            <w:tcW w:w="487" w:type="pct"/>
          </w:tcPr>
          <w:p w:rsidR="00A356FA" w:rsidRPr="00611709" w:rsidRDefault="00A356FA" w:rsidP="00E568FD">
            <w:pPr>
              <w:spacing w:after="0" w:line="240" w:lineRule="auto"/>
              <w:jc w:val="both"/>
              <w:rPr>
                <w:rFonts w:cs="Times New Roman"/>
                <w:sz w:val="22"/>
              </w:rPr>
            </w:pPr>
            <w:r w:rsidRPr="00611709">
              <w:rPr>
                <w:rFonts w:cs="Times New Roman"/>
                <w:sz w:val="22"/>
              </w:rPr>
              <w:t>1611</w:t>
            </w:r>
          </w:p>
        </w:tc>
        <w:tc>
          <w:tcPr>
            <w:tcW w:w="703" w:type="pct"/>
          </w:tcPr>
          <w:p w:rsidR="00A356FA" w:rsidRPr="00611709" w:rsidRDefault="00A356FA" w:rsidP="00E568FD">
            <w:pPr>
              <w:spacing w:after="0" w:line="240" w:lineRule="auto"/>
              <w:jc w:val="both"/>
              <w:rPr>
                <w:rFonts w:cs="Times New Roman"/>
                <w:sz w:val="22"/>
              </w:rPr>
            </w:pPr>
            <w:r w:rsidRPr="00611709">
              <w:rPr>
                <w:rFonts w:cs="Times New Roman"/>
                <w:sz w:val="22"/>
              </w:rPr>
              <w:t>41</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64</w:t>
            </w:r>
          </w:p>
        </w:tc>
        <w:tc>
          <w:tcPr>
            <w:tcW w:w="735" w:type="pct"/>
          </w:tcPr>
          <w:p w:rsidR="00A356FA" w:rsidRPr="00611709" w:rsidRDefault="00A356FA" w:rsidP="00E568FD">
            <w:pPr>
              <w:spacing w:after="0" w:line="240" w:lineRule="auto"/>
              <w:jc w:val="both"/>
              <w:rPr>
                <w:rFonts w:cs="Times New Roman"/>
                <w:sz w:val="22"/>
              </w:rPr>
            </w:pPr>
            <w:r w:rsidRPr="00611709">
              <w:rPr>
                <w:rFonts w:cs="Times New Roman"/>
                <w:sz w:val="22"/>
              </w:rPr>
              <w:t>86</w:t>
            </w:r>
          </w:p>
        </w:tc>
        <w:tc>
          <w:tcPr>
            <w:tcW w:w="683" w:type="pct"/>
          </w:tcPr>
          <w:p w:rsidR="00A356FA" w:rsidRPr="00611709" w:rsidRDefault="00A356FA" w:rsidP="00E568FD">
            <w:pPr>
              <w:spacing w:after="0" w:line="240" w:lineRule="auto"/>
              <w:jc w:val="both"/>
              <w:rPr>
                <w:rFonts w:cs="Times New Roman"/>
                <w:sz w:val="22"/>
              </w:rPr>
            </w:pPr>
            <w:r w:rsidRPr="00611709">
              <w:rPr>
                <w:rFonts w:cs="Times New Roman"/>
                <w:sz w:val="22"/>
              </w:rPr>
              <w:t>51</w:t>
            </w:r>
          </w:p>
        </w:tc>
        <w:tc>
          <w:tcPr>
            <w:tcW w:w="390" w:type="pct"/>
          </w:tcPr>
          <w:p w:rsidR="00A356FA" w:rsidRPr="00611709" w:rsidRDefault="00A356FA" w:rsidP="00E568FD">
            <w:pPr>
              <w:spacing w:after="0" w:line="240" w:lineRule="auto"/>
              <w:jc w:val="both"/>
              <w:rPr>
                <w:rFonts w:cs="Times New Roman"/>
                <w:sz w:val="22"/>
              </w:rPr>
            </w:pPr>
            <w:r w:rsidRPr="00611709">
              <w:rPr>
                <w:rFonts w:cs="Times New Roman"/>
                <w:sz w:val="22"/>
              </w:rPr>
              <w:t>201</w:t>
            </w:r>
          </w:p>
        </w:tc>
        <w:tc>
          <w:tcPr>
            <w:tcW w:w="571" w:type="pct"/>
          </w:tcPr>
          <w:p w:rsidR="00A356FA" w:rsidRPr="00611709" w:rsidRDefault="00A356FA" w:rsidP="00E568FD">
            <w:pPr>
              <w:spacing w:after="0" w:line="240" w:lineRule="auto"/>
              <w:jc w:val="both"/>
              <w:rPr>
                <w:rFonts w:cs="Times New Roman"/>
                <w:sz w:val="22"/>
              </w:rPr>
            </w:pPr>
            <w:r w:rsidRPr="00611709">
              <w:rPr>
                <w:rFonts w:cs="Times New Roman"/>
                <w:sz w:val="22"/>
              </w:rPr>
              <w:t>323</w:t>
            </w:r>
          </w:p>
        </w:tc>
      </w:tr>
      <w:tr w:rsidR="009C6AF4" w:rsidRPr="00E568FD" w:rsidTr="00F77883">
        <w:trPr>
          <w:trHeight w:val="144"/>
        </w:trPr>
        <w:tc>
          <w:tcPr>
            <w:tcW w:w="696" w:type="pct"/>
          </w:tcPr>
          <w:p w:rsidR="009C6AF4" w:rsidRPr="00611709" w:rsidRDefault="009C6AF4" w:rsidP="00E568FD">
            <w:pPr>
              <w:spacing w:after="0" w:line="240" w:lineRule="auto"/>
              <w:jc w:val="both"/>
              <w:rPr>
                <w:rFonts w:cs="Times New Roman"/>
                <w:sz w:val="22"/>
              </w:rPr>
            </w:pPr>
            <w:r>
              <w:rPr>
                <w:rFonts w:cs="Times New Roman"/>
                <w:sz w:val="22"/>
              </w:rPr>
              <w:t>Total (2015)</w:t>
            </w:r>
          </w:p>
        </w:tc>
        <w:tc>
          <w:tcPr>
            <w:tcW w:w="487" w:type="pct"/>
          </w:tcPr>
          <w:p w:rsidR="009C6AF4" w:rsidRPr="00611709" w:rsidRDefault="009C6AF4" w:rsidP="00E568FD">
            <w:pPr>
              <w:spacing w:after="0" w:line="240" w:lineRule="auto"/>
              <w:jc w:val="both"/>
              <w:rPr>
                <w:rFonts w:cs="Times New Roman"/>
                <w:sz w:val="22"/>
              </w:rPr>
            </w:pPr>
            <w:r>
              <w:rPr>
                <w:rFonts w:cs="Times New Roman"/>
                <w:sz w:val="22"/>
              </w:rPr>
              <w:t>1619</w:t>
            </w:r>
          </w:p>
        </w:tc>
        <w:tc>
          <w:tcPr>
            <w:tcW w:w="703" w:type="pct"/>
          </w:tcPr>
          <w:p w:rsidR="009C6AF4" w:rsidRPr="00611709" w:rsidRDefault="009C6AF4" w:rsidP="00E568FD">
            <w:pPr>
              <w:spacing w:after="0" w:line="240" w:lineRule="auto"/>
              <w:jc w:val="both"/>
              <w:rPr>
                <w:rFonts w:cs="Times New Roman"/>
                <w:sz w:val="22"/>
              </w:rPr>
            </w:pPr>
            <w:r>
              <w:rPr>
                <w:rFonts w:cs="Times New Roman"/>
                <w:sz w:val="22"/>
              </w:rPr>
              <w:t>31</w:t>
            </w:r>
          </w:p>
        </w:tc>
        <w:tc>
          <w:tcPr>
            <w:tcW w:w="735" w:type="pct"/>
          </w:tcPr>
          <w:p w:rsidR="009C6AF4" w:rsidRPr="00611709" w:rsidRDefault="009C6AF4" w:rsidP="00E568FD">
            <w:pPr>
              <w:spacing w:after="0" w:line="240" w:lineRule="auto"/>
              <w:jc w:val="both"/>
              <w:rPr>
                <w:rFonts w:cs="Times New Roman"/>
                <w:sz w:val="22"/>
              </w:rPr>
            </w:pPr>
            <w:r>
              <w:rPr>
                <w:rFonts w:cs="Times New Roman"/>
                <w:sz w:val="22"/>
              </w:rPr>
              <w:t>56</w:t>
            </w:r>
          </w:p>
        </w:tc>
        <w:tc>
          <w:tcPr>
            <w:tcW w:w="735" w:type="pct"/>
          </w:tcPr>
          <w:p w:rsidR="009C6AF4" w:rsidRPr="00611709" w:rsidRDefault="009C6AF4" w:rsidP="00E568FD">
            <w:pPr>
              <w:spacing w:after="0" w:line="240" w:lineRule="auto"/>
              <w:jc w:val="both"/>
              <w:rPr>
                <w:rFonts w:cs="Times New Roman"/>
                <w:sz w:val="22"/>
              </w:rPr>
            </w:pPr>
            <w:r>
              <w:rPr>
                <w:rFonts w:cs="Times New Roman"/>
                <w:sz w:val="22"/>
              </w:rPr>
              <w:t>181</w:t>
            </w:r>
          </w:p>
        </w:tc>
        <w:tc>
          <w:tcPr>
            <w:tcW w:w="683" w:type="pct"/>
          </w:tcPr>
          <w:p w:rsidR="009C6AF4" w:rsidRPr="00611709" w:rsidRDefault="009C6AF4" w:rsidP="00E568FD">
            <w:pPr>
              <w:spacing w:after="0" w:line="240" w:lineRule="auto"/>
              <w:jc w:val="both"/>
              <w:rPr>
                <w:rFonts w:cs="Times New Roman"/>
                <w:sz w:val="22"/>
              </w:rPr>
            </w:pPr>
            <w:r>
              <w:rPr>
                <w:rFonts w:cs="Times New Roman"/>
                <w:sz w:val="22"/>
              </w:rPr>
              <w:t>153</w:t>
            </w:r>
          </w:p>
        </w:tc>
        <w:tc>
          <w:tcPr>
            <w:tcW w:w="390" w:type="pct"/>
          </w:tcPr>
          <w:p w:rsidR="009C6AF4" w:rsidRPr="00611709" w:rsidRDefault="009C6AF4" w:rsidP="00E568FD">
            <w:pPr>
              <w:spacing w:after="0" w:line="240" w:lineRule="auto"/>
              <w:jc w:val="both"/>
              <w:rPr>
                <w:rFonts w:cs="Times New Roman"/>
                <w:sz w:val="22"/>
              </w:rPr>
            </w:pPr>
          </w:p>
        </w:tc>
        <w:tc>
          <w:tcPr>
            <w:tcW w:w="571" w:type="pct"/>
          </w:tcPr>
          <w:p w:rsidR="009C6AF4" w:rsidRPr="00611709" w:rsidRDefault="009C6AF4" w:rsidP="00E568FD">
            <w:pPr>
              <w:spacing w:after="0" w:line="240" w:lineRule="auto"/>
              <w:jc w:val="both"/>
              <w:rPr>
                <w:rFonts w:cs="Times New Roman"/>
                <w:sz w:val="22"/>
              </w:rPr>
            </w:pPr>
            <w:r>
              <w:rPr>
                <w:rFonts w:cs="Times New Roman"/>
                <w:sz w:val="22"/>
              </w:rPr>
              <w:t>278</w:t>
            </w:r>
          </w:p>
        </w:tc>
      </w:tr>
    </w:tbl>
    <w:p w:rsidR="00A356FA" w:rsidRPr="006A0504" w:rsidRDefault="00A356FA" w:rsidP="00611709">
      <w:pPr>
        <w:spacing w:before="120"/>
        <w:jc w:val="both"/>
        <w:rPr>
          <w:b/>
          <w:bCs/>
          <w:i/>
          <w:iCs/>
          <w:sz w:val="20"/>
          <w:szCs w:val="20"/>
        </w:rPr>
      </w:pPr>
      <w:r w:rsidRPr="006A0504">
        <w:rPr>
          <w:b/>
          <w:bCs/>
          <w:i/>
          <w:iCs/>
          <w:sz w:val="20"/>
          <w:szCs w:val="20"/>
        </w:rPr>
        <w:t>Source: IUCN, Bangladesh, 2000</w:t>
      </w:r>
      <w:r w:rsidR="009C708C">
        <w:rPr>
          <w:b/>
          <w:bCs/>
          <w:i/>
          <w:iCs/>
          <w:sz w:val="20"/>
          <w:szCs w:val="20"/>
        </w:rPr>
        <w:t>&amp; 2015</w:t>
      </w:r>
    </w:p>
    <w:p w:rsidR="00A356FA" w:rsidRPr="006A0504" w:rsidRDefault="00A356FA" w:rsidP="00623C5D">
      <w:pPr>
        <w:spacing w:line="276" w:lineRule="auto"/>
        <w:jc w:val="both"/>
        <w:rPr>
          <w:szCs w:val="24"/>
        </w:rPr>
      </w:pPr>
      <w:r w:rsidRPr="006A0504">
        <w:rPr>
          <w:szCs w:val="24"/>
        </w:rPr>
        <w:t xml:space="preserve">The area of settlement and consequently homestead vegetation is growing gradually for the last few decades with population growth, resulting in loss of other ecosystems. However, the quality of the homestead ecosystem has declined rapidly, because of the commercialization of the land. Species diversity reduces drastically with rapid increase of commercially valuable species. Loss of plant species diversity also reduces the quality of wildlife habitat by reducing food sources and other microhabitats essential for supporting the integrity of the food chain. </w:t>
      </w:r>
    </w:p>
    <w:p w:rsidR="00000000" w:rsidRDefault="004C1BB4" w:rsidP="003D5A31">
      <w:pPr>
        <w:pStyle w:val="BodyText"/>
        <w:numPr>
          <w:ilvl w:val="2"/>
          <w:numId w:val="161"/>
        </w:numPr>
        <w:spacing w:after="240" w:line="276" w:lineRule="auto"/>
        <w:jc w:val="both"/>
        <w:rPr>
          <w:rFonts w:cs="Times New Roman"/>
          <w:b/>
          <w:szCs w:val="24"/>
        </w:rPr>
      </w:pPr>
      <w:r w:rsidRPr="00E50596">
        <w:rPr>
          <w:rFonts w:cs="Times New Roman"/>
          <w:b/>
          <w:szCs w:val="24"/>
        </w:rPr>
        <w:t xml:space="preserve">Knowledge </w:t>
      </w:r>
      <w:r w:rsidR="00A356FA" w:rsidRPr="00E50596">
        <w:rPr>
          <w:rFonts w:cs="Times New Roman"/>
          <w:b/>
          <w:szCs w:val="24"/>
        </w:rPr>
        <w:t>Gaps</w:t>
      </w:r>
    </w:p>
    <w:p w:rsidR="00A356FA" w:rsidRPr="00E568FD" w:rsidRDefault="001E7925" w:rsidP="00E568FD">
      <w:pPr>
        <w:spacing w:line="276" w:lineRule="auto"/>
        <w:jc w:val="both"/>
        <w:rPr>
          <w:rFonts w:cs="Times New Roman"/>
          <w:szCs w:val="24"/>
        </w:rPr>
      </w:pPr>
      <w:r>
        <w:rPr>
          <w:rFonts w:cs="Times New Roman"/>
          <w:szCs w:val="24"/>
        </w:rPr>
        <w:t xml:space="preserve">There is substantial knowledge gap </w:t>
      </w:r>
      <w:r w:rsidR="00536E0D">
        <w:rPr>
          <w:rFonts w:cs="Times New Roman"/>
          <w:szCs w:val="24"/>
        </w:rPr>
        <w:t xml:space="preserve">in </w:t>
      </w:r>
      <w:r>
        <w:rPr>
          <w:rFonts w:cs="Times New Roman"/>
          <w:szCs w:val="24"/>
        </w:rPr>
        <w:t xml:space="preserve">the area of bio-diversity.  </w:t>
      </w:r>
      <w:r w:rsidR="00A356FA" w:rsidRPr="00E568FD">
        <w:rPr>
          <w:rFonts w:cs="Times New Roman"/>
          <w:szCs w:val="24"/>
        </w:rPr>
        <w:t>Regarding biological resources and its conservation, following gaps have been identified in Bangladesh:</w:t>
      </w:r>
    </w:p>
    <w:p w:rsidR="00A356FA" w:rsidRPr="00E568FD" w:rsidRDefault="00A356FA" w:rsidP="001E7925">
      <w:pPr>
        <w:pStyle w:val="ListParagraph"/>
        <w:numPr>
          <w:ilvl w:val="0"/>
          <w:numId w:val="9"/>
        </w:numPr>
        <w:spacing w:line="276" w:lineRule="auto"/>
        <w:ind w:left="360"/>
        <w:jc w:val="both"/>
        <w:rPr>
          <w:rFonts w:cs="Times New Roman"/>
          <w:szCs w:val="24"/>
        </w:rPr>
      </w:pPr>
      <w:r w:rsidRPr="00E568FD">
        <w:rPr>
          <w:rFonts w:cs="Times New Roman"/>
          <w:szCs w:val="24"/>
        </w:rPr>
        <w:t xml:space="preserve">Lack of </w:t>
      </w:r>
      <w:r w:rsidR="001E7925">
        <w:rPr>
          <w:rFonts w:cs="Times New Roman"/>
          <w:szCs w:val="24"/>
        </w:rPr>
        <w:t>a complete inventory of species.</w:t>
      </w:r>
    </w:p>
    <w:p w:rsidR="00A356FA" w:rsidRPr="00E568FD" w:rsidRDefault="00A356FA" w:rsidP="00F1445B">
      <w:pPr>
        <w:pStyle w:val="ListParagraph"/>
        <w:numPr>
          <w:ilvl w:val="0"/>
          <w:numId w:val="9"/>
        </w:numPr>
        <w:spacing w:line="276" w:lineRule="auto"/>
        <w:ind w:left="360"/>
        <w:jc w:val="both"/>
        <w:rPr>
          <w:rFonts w:cs="Times New Roman"/>
          <w:szCs w:val="24"/>
        </w:rPr>
      </w:pPr>
      <w:r w:rsidRPr="00E568FD">
        <w:rPr>
          <w:rFonts w:cs="Times New Roman"/>
          <w:szCs w:val="24"/>
        </w:rPr>
        <w:t>Lack of institutional arrangement for r</w:t>
      </w:r>
      <w:r w:rsidR="001E7925">
        <w:rPr>
          <w:rFonts w:cs="Times New Roman"/>
          <w:szCs w:val="24"/>
        </w:rPr>
        <w:t>egular environmental monitoring</w:t>
      </w:r>
    </w:p>
    <w:p w:rsidR="001E7925" w:rsidRDefault="00A356FA" w:rsidP="001E7925">
      <w:pPr>
        <w:pStyle w:val="ListParagraph"/>
        <w:numPr>
          <w:ilvl w:val="0"/>
          <w:numId w:val="9"/>
        </w:numPr>
        <w:spacing w:line="276" w:lineRule="auto"/>
        <w:ind w:left="360"/>
        <w:jc w:val="both"/>
        <w:rPr>
          <w:rFonts w:cs="Times New Roman"/>
          <w:szCs w:val="24"/>
        </w:rPr>
      </w:pPr>
      <w:r w:rsidRPr="00E568FD">
        <w:rPr>
          <w:rFonts w:cs="Times New Roman"/>
          <w:szCs w:val="24"/>
        </w:rPr>
        <w:t>Little knowledge for cause</w:t>
      </w:r>
      <w:r w:rsidR="001E7925">
        <w:rPr>
          <w:rFonts w:cs="Times New Roman"/>
          <w:szCs w:val="24"/>
        </w:rPr>
        <w:t>s of extinction of wild species</w:t>
      </w:r>
    </w:p>
    <w:p w:rsidR="0050419E" w:rsidRDefault="001E7925" w:rsidP="001E7925">
      <w:pPr>
        <w:pStyle w:val="ListParagraph"/>
        <w:numPr>
          <w:ilvl w:val="0"/>
          <w:numId w:val="9"/>
        </w:numPr>
        <w:spacing w:line="276" w:lineRule="auto"/>
        <w:ind w:left="360"/>
        <w:jc w:val="both"/>
        <w:rPr>
          <w:rFonts w:cs="Times New Roman"/>
          <w:szCs w:val="24"/>
        </w:rPr>
      </w:pPr>
      <w:r>
        <w:rPr>
          <w:rFonts w:cs="Times New Roman"/>
          <w:szCs w:val="24"/>
        </w:rPr>
        <w:t>There is</w:t>
      </w:r>
      <w:r w:rsidR="009C708C" w:rsidRPr="001E7925">
        <w:rPr>
          <w:rFonts w:cs="Times New Roman"/>
          <w:szCs w:val="24"/>
        </w:rPr>
        <w:t xml:space="preserve"> no data available for the harvest quantity of mollusks and turtles</w:t>
      </w:r>
      <w:r>
        <w:rPr>
          <w:rFonts w:cs="Times New Roman"/>
          <w:szCs w:val="24"/>
        </w:rPr>
        <w:t>.</w:t>
      </w:r>
    </w:p>
    <w:p w:rsidR="001E7925" w:rsidRDefault="001E7925" w:rsidP="001E7925">
      <w:pPr>
        <w:pStyle w:val="ListParagraph"/>
        <w:spacing w:line="276" w:lineRule="auto"/>
        <w:ind w:left="0"/>
        <w:jc w:val="both"/>
        <w:rPr>
          <w:rFonts w:cs="Times New Roman"/>
          <w:szCs w:val="24"/>
        </w:rPr>
      </w:pPr>
    </w:p>
    <w:p w:rsidR="001E7925" w:rsidRPr="001E7925" w:rsidRDefault="001E7925" w:rsidP="001E7925">
      <w:pPr>
        <w:pStyle w:val="ListParagraph"/>
        <w:spacing w:line="276" w:lineRule="auto"/>
        <w:ind w:left="0"/>
        <w:jc w:val="both"/>
        <w:rPr>
          <w:rFonts w:cs="Times New Roman"/>
          <w:szCs w:val="24"/>
        </w:rPr>
      </w:pPr>
      <w:r>
        <w:rPr>
          <w:rFonts w:cs="Times New Roman"/>
          <w:szCs w:val="24"/>
        </w:rPr>
        <w:lastRenderedPageBreak/>
        <w:t>Addressing these knowledge gaps and establishing a proper monitoring and evaluation system for biodiv</w:t>
      </w:r>
      <w:r w:rsidR="00B70459">
        <w:rPr>
          <w:rFonts w:cs="Times New Roman"/>
          <w:szCs w:val="24"/>
        </w:rPr>
        <w:t>ersity and the environment are</w:t>
      </w:r>
      <w:r>
        <w:rPr>
          <w:rFonts w:cs="Times New Roman"/>
          <w:szCs w:val="24"/>
        </w:rPr>
        <w:t xml:space="preserve"> important agenda</w:t>
      </w:r>
      <w:r w:rsidR="00B70459">
        <w:rPr>
          <w:rFonts w:cs="Times New Roman"/>
          <w:szCs w:val="24"/>
        </w:rPr>
        <w:t>s</w:t>
      </w:r>
      <w:r>
        <w:rPr>
          <w:rFonts w:cs="Times New Roman"/>
          <w:szCs w:val="24"/>
        </w:rPr>
        <w:t xml:space="preserve"> for Delta Plan.</w:t>
      </w:r>
    </w:p>
    <w:p w:rsidR="00F64A6A" w:rsidRDefault="00623C5D" w:rsidP="00F64A6A">
      <w:pPr>
        <w:pStyle w:val="Heading2"/>
        <w:numPr>
          <w:ilvl w:val="0"/>
          <w:numId w:val="0"/>
        </w:numPr>
        <w:ind w:left="720"/>
      </w:pPr>
      <w:bookmarkStart w:id="215" w:name="_Toc474638860"/>
      <w:r>
        <w:t xml:space="preserve">Impact of Climate Change on Environment and </w:t>
      </w:r>
      <w:r w:rsidR="007B1887">
        <w:t>Ecology</w:t>
      </w:r>
      <w:bookmarkEnd w:id="215"/>
    </w:p>
    <w:p w:rsidR="00A356FA" w:rsidRPr="00771453" w:rsidRDefault="00A356FA" w:rsidP="00771453">
      <w:pPr>
        <w:spacing w:line="276" w:lineRule="auto"/>
        <w:jc w:val="both"/>
        <w:rPr>
          <w:rFonts w:cs="Times New Roman"/>
          <w:szCs w:val="24"/>
        </w:rPr>
      </w:pPr>
      <w:r w:rsidRPr="00771453">
        <w:rPr>
          <w:rFonts w:cs="Times New Roman"/>
          <w:szCs w:val="24"/>
        </w:rPr>
        <w:t>The social and economic implications of climate change, enviro</w:t>
      </w:r>
      <w:r w:rsidR="00B71D5B">
        <w:rPr>
          <w:rFonts w:cs="Times New Roman"/>
          <w:szCs w:val="24"/>
        </w:rPr>
        <w:t>nment and ecological issues are</w:t>
      </w:r>
      <w:r w:rsidRPr="00771453">
        <w:rPr>
          <w:rFonts w:cs="Times New Roman"/>
          <w:szCs w:val="24"/>
        </w:rPr>
        <w:t xml:space="preserve"> widespread for Bangladesh. The society and economy are closely connected to the climate, environment and ecology. Due to climate change, disasters are going to pose serious threats to the people and economy. The changes in seasonal pattern and erratic </w:t>
      </w:r>
      <w:r w:rsidR="00B71D5B">
        <w:rPr>
          <w:rFonts w:cs="Times New Roman"/>
          <w:szCs w:val="24"/>
        </w:rPr>
        <w:t xml:space="preserve">climate </w:t>
      </w:r>
      <w:r w:rsidRPr="00771453">
        <w:rPr>
          <w:rFonts w:cs="Times New Roman"/>
          <w:szCs w:val="24"/>
        </w:rPr>
        <w:t xml:space="preserve">behavior can heavily damage agriculture and livelihoods of people. The economically less developed areas in Bangladesh are mostly the disaster prone areas where people could not fight back with the recurrent natural disasters like, erosion, salinity, cyclones and floods. So, migration from these areas is a common trend. This might further increase in </w:t>
      </w:r>
      <w:r w:rsidR="00B71D5B">
        <w:rPr>
          <w:rFonts w:cs="Times New Roman"/>
          <w:szCs w:val="24"/>
        </w:rPr>
        <w:t xml:space="preserve">the </w:t>
      </w:r>
      <w:r w:rsidRPr="00771453">
        <w:rPr>
          <w:rFonts w:cs="Times New Roman"/>
          <w:szCs w:val="24"/>
        </w:rPr>
        <w:t xml:space="preserve">future under climate change induced more frequent disasters.  </w:t>
      </w:r>
    </w:p>
    <w:p w:rsidR="00A356FA" w:rsidRPr="00771453" w:rsidRDefault="00B71D5B" w:rsidP="00771453">
      <w:pPr>
        <w:spacing w:line="276" w:lineRule="auto"/>
        <w:jc w:val="both"/>
        <w:rPr>
          <w:rFonts w:cs="Times New Roman"/>
          <w:szCs w:val="24"/>
        </w:rPr>
      </w:pPr>
      <w:r>
        <w:rPr>
          <w:rFonts w:cs="Times New Roman"/>
          <w:szCs w:val="24"/>
        </w:rPr>
        <w:t>As many poor people of Bangladesh depend</w:t>
      </w:r>
      <w:r w:rsidR="00A356FA" w:rsidRPr="00771453">
        <w:rPr>
          <w:rFonts w:cs="Times New Roman"/>
          <w:szCs w:val="24"/>
        </w:rPr>
        <w:t xml:space="preserve"> chiefly on various natural resources for centuries</w:t>
      </w:r>
      <w:r>
        <w:rPr>
          <w:rFonts w:cs="Times New Roman"/>
          <w:szCs w:val="24"/>
        </w:rPr>
        <w:t xml:space="preserve"> for livelihood</w:t>
      </w:r>
      <w:r w:rsidR="00A356FA" w:rsidRPr="00771453">
        <w:rPr>
          <w:rFonts w:cs="Times New Roman"/>
          <w:szCs w:val="24"/>
        </w:rPr>
        <w:t>, so there is a strong linkage betw</w:t>
      </w:r>
      <w:r>
        <w:rPr>
          <w:rFonts w:cs="Times New Roman"/>
          <w:szCs w:val="24"/>
        </w:rPr>
        <w:t xml:space="preserve">een ecosystem services, </w:t>
      </w:r>
      <w:r w:rsidR="00A356FA" w:rsidRPr="00771453">
        <w:rPr>
          <w:rFonts w:cs="Times New Roman"/>
          <w:szCs w:val="24"/>
        </w:rPr>
        <w:t xml:space="preserve">livelihoods and </w:t>
      </w:r>
      <w:r>
        <w:rPr>
          <w:rFonts w:cs="Times New Roman"/>
          <w:szCs w:val="24"/>
        </w:rPr>
        <w:t xml:space="preserve">the </w:t>
      </w:r>
      <w:r w:rsidR="00A356FA" w:rsidRPr="00771453">
        <w:rPr>
          <w:rFonts w:cs="Times New Roman"/>
          <w:szCs w:val="24"/>
        </w:rPr>
        <w:t xml:space="preserve">socio-economic structure. Actually, biological resources and biological diversity form the basis of both the ecology and economy of Bangladesh. The country’s agriculture, fisheries and livelihood, along with a number of other sectors are heavily dependent directly or indirectly on its biological </w:t>
      </w:r>
      <w:r>
        <w:rPr>
          <w:rFonts w:cs="Times New Roman"/>
          <w:szCs w:val="24"/>
        </w:rPr>
        <w:t>resources. So, even</w:t>
      </w:r>
      <w:r w:rsidR="00A356FA" w:rsidRPr="00771453">
        <w:rPr>
          <w:rFonts w:cs="Times New Roman"/>
          <w:szCs w:val="24"/>
        </w:rPr>
        <w:t xml:space="preserve"> small alternation in its natural settings would have great impacts on socio-economic condition of the country.</w:t>
      </w:r>
    </w:p>
    <w:p w:rsidR="00B71D5B" w:rsidRDefault="00B71D5B" w:rsidP="00771453">
      <w:pPr>
        <w:spacing w:line="276" w:lineRule="auto"/>
        <w:jc w:val="both"/>
        <w:rPr>
          <w:rFonts w:cs="Times New Roman"/>
          <w:szCs w:val="24"/>
        </w:rPr>
      </w:pPr>
      <w:r>
        <w:rPr>
          <w:rFonts w:cs="Times New Roman"/>
          <w:szCs w:val="24"/>
        </w:rPr>
        <w:t>B</w:t>
      </w:r>
      <w:r w:rsidR="00A356FA" w:rsidRPr="00771453">
        <w:rPr>
          <w:rFonts w:cs="Times New Roman"/>
          <w:szCs w:val="24"/>
        </w:rPr>
        <w:t>eing an over populated country, conservation of biological</w:t>
      </w:r>
      <w:r>
        <w:rPr>
          <w:rFonts w:cs="Times New Roman"/>
          <w:szCs w:val="24"/>
        </w:rPr>
        <w:t xml:space="preserve"> environment and economic </w:t>
      </w:r>
      <w:r w:rsidR="00A356FA" w:rsidRPr="00771453">
        <w:rPr>
          <w:rFonts w:cs="Times New Roman"/>
          <w:szCs w:val="24"/>
        </w:rPr>
        <w:t>developme</w:t>
      </w:r>
      <w:r>
        <w:rPr>
          <w:rFonts w:cs="Times New Roman"/>
          <w:szCs w:val="24"/>
        </w:rPr>
        <w:t>nt tend to be in conflict in Bangladesh</w:t>
      </w:r>
      <w:r w:rsidR="00A356FA" w:rsidRPr="00771453">
        <w:rPr>
          <w:rFonts w:cs="Times New Roman"/>
          <w:szCs w:val="24"/>
        </w:rPr>
        <w:t xml:space="preserve">.  For conserving wildlife, sufficient vegetation coverage is needed. On the other hand, more land is needed for food production, settlement establishment and other development </w:t>
      </w:r>
      <w:r>
        <w:rPr>
          <w:rFonts w:cs="Times New Roman"/>
          <w:szCs w:val="24"/>
        </w:rPr>
        <w:t xml:space="preserve">needs </w:t>
      </w:r>
      <w:r w:rsidR="00A356FA" w:rsidRPr="00771453">
        <w:rPr>
          <w:rFonts w:cs="Times New Roman"/>
          <w:szCs w:val="24"/>
        </w:rPr>
        <w:t xml:space="preserve">for </w:t>
      </w:r>
      <w:r>
        <w:rPr>
          <w:rFonts w:cs="Times New Roman"/>
          <w:szCs w:val="24"/>
        </w:rPr>
        <w:t xml:space="preserve">a </w:t>
      </w:r>
      <w:r w:rsidR="00A356FA" w:rsidRPr="00771453">
        <w:rPr>
          <w:rFonts w:cs="Times New Roman"/>
          <w:szCs w:val="24"/>
        </w:rPr>
        <w:t>rapidly growing population. As a result, existing vegetation coverage as well as ha</w:t>
      </w:r>
      <w:r>
        <w:rPr>
          <w:rFonts w:cs="Times New Roman"/>
          <w:szCs w:val="24"/>
        </w:rPr>
        <w:t>bitat for wildlife are being encroached regularly. Over-</w:t>
      </w:r>
      <w:r w:rsidR="00536E0D">
        <w:rPr>
          <w:rFonts w:cs="Times New Roman"/>
          <w:szCs w:val="24"/>
        </w:rPr>
        <w:t>exploitation</w:t>
      </w:r>
      <w:r w:rsidR="00536E0D" w:rsidRPr="00771453">
        <w:rPr>
          <w:rFonts w:cs="Times New Roman"/>
          <w:szCs w:val="24"/>
        </w:rPr>
        <w:t xml:space="preserve"> </w:t>
      </w:r>
      <w:r w:rsidR="00A356FA" w:rsidRPr="00771453">
        <w:rPr>
          <w:rFonts w:cs="Times New Roman"/>
          <w:szCs w:val="24"/>
        </w:rPr>
        <w:t xml:space="preserve">of natural resources </w:t>
      </w:r>
      <w:r>
        <w:rPr>
          <w:rFonts w:cs="Times New Roman"/>
          <w:szCs w:val="24"/>
        </w:rPr>
        <w:t xml:space="preserve">has </w:t>
      </w:r>
      <w:r w:rsidR="00A356FA" w:rsidRPr="00771453">
        <w:rPr>
          <w:rFonts w:cs="Times New Roman"/>
          <w:szCs w:val="24"/>
        </w:rPr>
        <w:t>caused habitat fragmentatio</w:t>
      </w:r>
      <w:r>
        <w:rPr>
          <w:rFonts w:cs="Times New Roman"/>
          <w:szCs w:val="24"/>
        </w:rPr>
        <w:t>n and</w:t>
      </w:r>
      <w:r w:rsidR="00A356FA" w:rsidRPr="00771453">
        <w:rPr>
          <w:rFonts w:cs="Times New Roman"/>
          <w:szCs w:val="24"/>
        </w:rPr>
        <w:t xml:space="preserve"> reduce</w:t>
      </w:r>
      <w:r>
        <w:rPr>
          <w:rFonts w:cs="Times New Roman"/>
          <w:szCs w:val="24"/>
        </w:rPr>
        <w:t>d</w:t>
      </w:r>
      <w:r w:rsidR="00A356FA" w:rsidRPr="00771453">
        <w:rPr>
          <w:rFonts w:cs="Times New Roman"/>
          <w:szCs w:val="24"/>
        </w:rPr>
        <w:t xml:space="preserve"> floral and</w:t>
      </w:r>
      <w:r>
        <w:rPr>
          <w:rFonts w:cs="Times New Roman"/>
          <w:szCs w:val="24"/>
        </w:rPr>
        <w:t xml:space="preserve"> faunal diversity that have adversely </w:t>
      </w:r>
      <w:r w:rsidR="000D4192">
        <w:rPr>
          <w:rFonts w:cs="Times New Roman"/>
          <w:szCs w:val="24"/>
        </w:rPr>
        <w:t xml:space="preserve">impacted </w:t>
      </w:r>
      <w:r w:rsidR="000D4192" w:rsidRPr="00771453">
        <w:rPr>
          <w:rFonts w:cs="Times New Roman"/>
          <w:szCs w:val="24"/>
        </w:rPr>
        <w:t>the</w:t>
      </w:r>
      <w:r>
        <w:rPr>
          <w:rFonts w:cs="Times New Roman"/>
          <w:szCs w:val="24"/>
        </w:rPr>
        <w:t xml:space="preserve"> </w:t>
      </w:r>
      <w:r w:rsidR="00A356FA" w:rsidRPr="00771453">
        <w:rPr>
          <w:rFonts w:cs="Times New Roman"/>
          <w:szCs w:val="24"/>
        </w:rPr>
        <w:t xml:space="preserve">ecosystem services. Monoculture of plants and fishes for achieving high productivity and economic value </w:t>
      </w:r>
      <w:r w:rsidR="0008597A">
        <w:rPr>
          <w:rFonts w:cs="Times New Roman"/>
          <w:szCs w:val="24"/>
        </w:rPr>
        <w:t xml:space="preserve">is also a major cause of </w:t>
      </w:r>
      <w:r w:rsidR="00A356FA" w:rsidRPr="00771453">
        <w:rPr>
          <w:rFonts w:cs="Times New Roman"/>
          <w:szCs w:val="24"/>
        </w:rPr>
        <w:t>biological diversity</w:t>
      </w:r>
      <w:r w:rsidR="0008597A">
        <w:rPr>
          <w:rFonts w:cs="Times New Roman"/>
          <w:szCs w:val="24"/>
        </w:rPr>
        <w:t xml:space="preserve"> loss</w:t>
      </w:r>
      <w:r w:rsidR="00A356FA" w:rsidRPr="00771453">
        <w:rPr>
          <w:rFonts w:cs="Times New Roman"/>
          <w:szCs w:val="24"/>
        </w:rPr>
        <w:t xml:space="preserve">. Infrastructural development like land filling, construction of civil structures, industrialization caused biological Habitat conversion. In this way the country losses its wetland area and gross production of indigenous fishes have been reduced. </w:t>
      </w:r>
    </w:p>
    <w:p w:rsidR="00A356FA" w:rsidRDefault="00A356FA" w:rsidP="00771453">
      <w:pPr>
        <w:spacing w:line="276" w:lineRule="auto"/>
        <w:jc w:val="both"/>
        <w:rPr>
          <w:rFonts w:cs="Times New Roman"/>
          <w:szCs w:val="24"/>
        </w:rPr>
      </w:pPr>
      <w:r w:rsidRPr="00771453">
        <w:rPr>
          <w:rFonts w:cs="Times New Roman"/>
          <w:szCs w:val="24"/>
        </w:rPr>
        <w:t>Services from different ecosystems are not</w:t>
      </w:r>
      <w:r w:rsidR="00B71D5B">
        <w:rPr>
          <w:rFonts w:cs="Times New Roman"/>
          <w:szCs w:val="24"/>
        </w:rPr>
        <w:t xml:space="preserve"> clearly assessed in Bangladesh</w:t>
      </w:r>
      <w:r w:rsidRPr="00771453">
        <w:rPr>
          <w:rFonts w:cs="Times New Roman"/>
          <w:szCs w:val="24"/>
        </w:rPr>
        <w:t xml:space="preserve">. However, habitat degradation and conversion have an influence to perform services of different ecosystems. As a result local livelihood would be impacted. Proper guidance for accumulation of ecological services can do the optimum use of natural resources and </w:t>
      </w:r>
      <w:r w:rsidRPr="00771453">
        <w:rPr>
          <w:rFonts w:cs="Times New Roman"/>
          <w:szCs w:val="24"/>
        </w:rPr>
        <w:lastRenderedPageBreak/>
        <w:t>keep sust</w:t>
      </w:r>
      <w:r w:rsidR="00B71D5B">
        <w:rPr>
          <w:rFonts w:cs="Times New Roman"/>
          <w:szCs w:val="24"/>
        </w:rPr>
        <w:t xml:space="preserve">ainability of those ecosystems. </w:t>
      </w:r>
      <w:r w:rsidRPr="00771453">
        <w:rPr>
          <w:rFonts w:cs="Times New Roman"/>
          <w:szCs w:val="24"/>
        </w:rPr>
        <w:t>Legal instruments for conservat</w:t>
      </w:r>
      <w:r w:rsidR="0008597A">
        <w:rPr>
          <w:rFonts w:cs="Times New Roman"/>
          <w:szCs w:val="24"/>
        </w:rPr>
        <w:t>ion of biological environment are</w:t>
      </w:r>
      <w:r w:rsidRPr="00771453">
        <w:rPr>
          <w:rFonts w:cs="Times New Roman"/>
          <w:szCs w:val="24"/>
        </w:rPr>
        <w:t xml:space="preserve"> essential for wise utilization of natural resources. Regarding conservation, legal bindings may conflict with livelihood that impact on socio-economy of an area. </w:t>
      </w:r>
    </w:p>
    <w:p w:rsidR="00000000" w:rsidRDefault="00C6447B" w:rsidP="003D5A31">
      <w:pPr>
        <w:pStyle w:val="BodyText"/>
        <w:numPr>
          <w:ilvl w:val="2"/>
          <w:numId w:val="138"/>
        </w:numPr>
        <w:spacing w:after="240" w:line="276" w:lineRule="auto"/>
        <w:jc w:val="both"/>
        <w:rPr>
          <w:rFonts w:cs="Times New Roman"/>
          <w:b/>
          <w:szCs w:val="24"/>
        </w:rPr>
      </w:pPr>
      <w:r w:rsidRPr="00E50596">
        <w:rPr>
          <w:rFonts w:cs="Times New Roman"/>
          <w:b/>
          <w:szCs w:val="24"/>
        </w:rPr>
        <w:t>Major Issues</w:t>
      </w:r>
    </w:p>
    <w:p w:rsidR="00C6447B" w:rsidRPr="00E568FD" w:rsidRDefault="00C6447B" w:rsidP="00C6447B">
      <w:pPr>
        <w:spacing w:line="276" w:lineRule="auto"/>
        <w:jc w:val="both"/>
        <w:rPr>
          <w:rFonts w:cs="Times New Roman"/>
          <w:szCs w:val="24"/>
        </w:rPr>
      </w:pPr>
      <w:r w:rsidRPr="00E568FD">
        <w:rPr>
          <w:rFonts w:cs="Times New Roman"/>
          <w:szCs w:val="24"/>
        </w:rPr>
        <w:t>Major issues regarding biological environment are as follows:</w:t>
      </w:r>
    </w:p>
    <w:p w:rsidR="00C6447B" w:rsidRPr="00E568FD" w:rsidRDefault="00C6447B" w:rsidP="00F1445B">
      <w:pPr>
        <w:pStyle w:val="ListParagraph"/>
        <w:numPr>
          <w:ilvl w:val="0"/>
          <w:numId w:val="10"/>
        </w:numPr>
        <w:spacing w:line="276" w:lineRule="auto"/>
        <w:ind w:left="360"/>
        <w:jc w:val="both"/>
        <w:rPr>
          <w:rFonts w:cs="Times New Roman"/>
          <w:szCs w:val="24"/>
        </w:rPr>
      </w:pPr>
      <w:r w:rsidRPr="00E568FD">
        <w:rPr>
          <w:rFonts w:cs="Times New Roman"/>
          <w:i/>
          <w:szCs w:val="24"/>
        </w:rPr>
        <w:t>Biological diversity and population of different species:</w:t>
      </w:r>
      <w:r w:rsidRPr="00E568FD">
        <w:rPr>
          <w:rFonts w:cs="Times New Roman"/>
          <w:szCs w:val="24"/>
        </w:rPr>
        <w:t xml:space="preserve"> Biological diversity and population size of different flora and faunal communities/species is changing in Bangladesh delta due to change of landuse and land type (erosion and accretions), over harvesting, illegal poaching and lack of knowledge regarding biodiversity conservation. </w:t>
      </w:r>
    </w:p>
    <w:p w:rsidR="00C6447B" w:rsidRPr="00E568FD" w:rsidRDefault="00C6447B" w:rsidP="00F1445B">
      <w:pPr>
        <w:pStyle w:val="ListParagraph"/>
        <w:numPr>
          <w:ilvl w:val="0"/>
          <w:numId w:val="10"/>
        </w:numPr>
        <w:spacing w:line="276" w:lineRule="auto"/>
        <w:ind w:left="360"/>
        <w:jc w:val="both"/>
        <w:rPr>
          <w:rFonts w:cs="Times New Roman"/>
          <w:szCs w:val="24"/>
        </w:rPr>
      </w:pPr>
      <w:r w:rsidRPr="00E568FD">
        <w:rPr>
          <w:rFonts w:cs="Times New Roman"/>
          <w:i/>
          <w:szCs w:val="24"/>
        </w:rPr>
        <w:t>Habitat suitability and their sustainability:</w:t>
      </w:r>
      <w:r w:rsidRPr="00E568FD">
        <w:rPr>
          <w:rFonts w:cs="Times New Roman"/>
          <w:szCs w:val="24"/>
        </w:rPr>
        <w:t xml:space="preserve"> Suitability of wildlife and plant habitats is changing with landuse, environmental pollutions, change of river hydrology, climate change, deforestation, urbanization etc.</w:t>
      </w:r>
      <w:r w:rsidR="005A24A0">
        <w:rPr>
          <w:rFonts w:cs="Times New Roman"/>
          <w:szCs w:val="24"/>
        </w:rPr>
        <w:t xml:space="preserve"> This issue is gaining greater importance in the context of Bangladesh</w:t>
      </w:r>
      <w:r w:rsidRPr="00E568FD">
        <w:rPr>
          <w:rFonts w:cs="Times New Roman"/>
          <w:szCs w:val="24"/>
        </w:rPr>
        <w:t xml:space="preserve"> as a highly populated and consequential growth of land demand for agricultural extension, settlement expansion and other infrastructural developments. </w:t>
      </w:r>
    </w:p>
    <w:p w:rsidR="00C6447B" w:rsidRPr="00E568FD" w:rsidRDefault="00C6447B" w:rsidP="00F1445B">
      <w:pPr>
        <w:pStyle w:val="ListParagraph"/>
        <w:numPr>
          <w:ilvl w:val="0"/>
          <w:numId w:val="10"/>
        </w:numPr>
        <w:spacing w:line="276" w:lineRule="auto"/>
        <w:ind w:left="360"/>
        <w:jc w:val="both"/>
        <w:rPr>
          <w:rFonts w:cs="Times New Roman"/>
          <w:szCs w:val="24"/>
        </w:rPr>
      </w:pPr>
      <w:r w:rsidRPr="00E568FD">
        <w:rPr>
          <w:rFonts w:cs="Times New Roman"/>
          <w:i/>
          <w:szCs w:val="24"/>
        </w:rPr>
        <w:t>Habitat conversion</w:t>
      </w:r>
      <w:r w:rsidRPr="00E568FD">
        <w:rPr>
          <w:rFonts w:cs="Times New Roman"/>
          <w:szCs w:val="24"/>
        </w:rPr>
        <w:t xml:space="preserve">: Biological habitats are frequently conversing for agricultural extension, human habitation and industrialization. Cumulative pressure on land and waterbodies </w:t>
      </w:r>
      <w:r w:rsidR="005A24A0">
        <w:rPr>
          <w:rFonts w:cs="Times New Roman"/>
          <w:szCs w:val="24"/>
        </w:rPr>
        <w:t>are causing</w:t>
      </w:r>
      <w:r w:rsidRPr="00E568FD">
        <w:rPr>
          <w:rFonts w:cs="Times New Roman"/>
          <w:szCs w:val="24"/>
        </w:rPr>
        <w:t xml:space="preserve"> habitat conversion day by day.   </w:t>
      </w:r>
    </w:p>
    <w:p w:rsidR="00C6447B" w:rsidRPr="00E568FD" w:rsidRDefault="00C6447B" w:rsidP="00F1445B">
      <w:pPr>
        <w:pStyle w:val="ListParagraph"/>
        <w:numPr>
          <w:ilvl w:val="0"/>
          <w:numId w:val="10"/>
        </w:numPr>
        <w:spacing w:line="276" w:lineRule="auto"/>
        <w:ind w:left="360"/>
        <w:jc w:val="both"/>
        <w:rPr>
          <w:rFonts w:cs="Times New Roman"/>
          <w:szCs w:val="24"/>
        </w:rPr>
      </w:pPr>
      <w:r w:rsidRPr="00E568FD">
        <w:rPr>
          <w:rFonts w:cs="Times New Roman"/>
          <w:i/>
          <w:szCs w:val="24"/>
        </w:rPr>
        <w:t>Utilization of ecosystem services</w:t>
      </w:r>
      <w:r w:rsidRPr="00E568FD">
        <w:rPr>
          <w:rFonts w:cs="Times New Roman"/>
          <w:szCs w:val="24"/>
        </w:rPr>
        <w:t>: Proper utilization of ecosystem services is not ensured for monoculture, lack of knowledge, over exploration etc. Proper plan should be prepared for sustainable utilization of ecosystem services. This issue should be noted as prime to fulfill the goal of a plan.</w:t>
      </w:r>
    </w:p>
    <w:p w:rsidR="000521A5" w:rsidRPr="005A24A0" w:rsidRDefault="00C6447B" w:rsidP="000521A5">
      <w:pPr>
        <w:pStyle w:val="ListParagraph"/>
        <w:numPr>
          <w:ilvl w:val="0"/>
          <w:numId w:val="10"/>
        </w:numPr>
        <w:spacing w:line="276" w:lineRule="auto"/>
        <w:ind w:left="360"/>
        <w:jc w:val="both"/>
        <w:rPr>
          <w:rFonts w:cs="Times New Roman"/>
          <w:i/>
          <w:szCs w:val="24"/>
        </w:rPr>
      </w:pPr>
      <w:r w:rsidRPr="00E568FD">
        <w:rPr>
          <w:rFonts w:cs="Times New Roman"/>
          <w:i/>
          <w:szCs w:val="24"/>
        </w:rPr>
        <w:t xml:space="preserve">Existing policies, law and institutional arrangements for conserving biological resources:  </w:t>
      </w:r>
      <w:r w:rsidRPr="00E568FD">
        <w:rPr>
          <w:rFonts w:cs="Times New Roman"/>
          <w:szCs w:val="24"/>
        </w:rPr>
        <w:t>To protect biological resources against different negative effects, appropriate policy and law need to be adopted. Government of Bangladesh has promulgated several important laws/policies, strategies for the protection and conservation of renewable natural resources and ecosystems. A</w:t>
      </w:r>
      <w:r w:rsidR="005A24A0">
        <w:rPr>
          <w:rFonts w:cs="Times New Roman"/>
          <w:szCs w:val="24"/>
        </w:rPr>
        <w:t>ll the policies should place</w:t>
      </w:r>
      <w:r w:rsidRPr="00E568FD">
        <w:rPr>
          <w:rFonts w:cs="Times New Roman"/>
          <w:szCs w:val="24"/>
        </w:rPr>
        <w:t xml:space="preserve"> special attention towards conservation and wise use of wetlands and its vast biological resources. Government has also prepared National Biodiversity Strategy and Action Plans where the wetlands conservation is given a priority sector for sustainable development. In addition, existing environmental institutions like </w:t>
      </w:r>
      <w:r w:rsidR="005A24A0">
        <w:rPr>
          <w:rFonts w:cs="Times New Roman"/>
          <w:szCs w:val="24"/>
        </w:rPr>
        <w:t>Forestry Department (</w:t>
      </w:r>
      <w:r w:rsidRPr="00E568FD">
        <w:rPr>
          <w:rFonts w:cs="Times New Roman"/>
          <w:szCs w:val="24"/>
        </w:rPr>
        <w:t>FD</w:t>
      </w:r>
      <w:r w:rsidR="005A24A0">
        <w:rPr>
          <w:rFonts w:cs="Times New Roman"/>
          <w:szCs w:val="24"/>
        </w:rPr>
        <w:t>)</w:t>
      </w:r>
      <w:r w:rsidRPr="00E568FD">
        <w:rPr>
          <w:rFonts w:cs="Times New Roman"/>
          <w:szCs w:val="24"/>
        </w:rPr>
        <w:t xml:space="preserve">, </w:t>
      </w:r>
      <w:r w:rsidR="005A24A0">
        <w:rPr>
          <w:rFonts w:cs="Times New Roman"/>
          <w:szCs w:val="24"/>
        </w:rPr>
        <w:t>Department of Environment (</w:t>
      </w:r>
      <w:r w:rsidRPr="00E568FD">
        <w:rPr>
          <w:rFonts w:cs="Times New Roman"/>
          <w:szCs w:val="24"/>
        </w:rPr>
        <w:t>DoE</w:t>
      </w:r>
      <w:r w:rsidR="005A24A0">
        <w:rPr>
          <w:rFonts w:cs="Times New Roman"/>
          <w:szCs w:val="24"/>
        </w:rPr>
        <w:t>)</w:t>
      </w:r>
      <w:r w:rsidRPr="00E568FD">
        <w:rPr>
          <w:rFonts w:cs="Times New Roman"/>
          <w:szCs w:val="24"/>
        </w:rPr>
        <w:t xml:space="preserve">, </w:t>
      </w:r>
      <w:r w:rsidR="005A24A0">
        <w:rPr>
          <w:rFonts w:cs="Times New Roman"/>
          <w:szCs w:val="24"/>
        </w:rPr>
        <w:t xml:space="preserve">Bangladesh Water </w:t>
      </w:r>
      <w:r w:rsidR="002E04F3">
        <w:rPr>
          <w:rFonts w:cs="Times New Roman"/>
          <w:szCs w:val="24"/>
        </w:rPr>
        <w:t>Development</w:t>
      </w:r>
      <w:r w:rsidR="005A24A0">
        <w:rPr>
          <w:rFonts w:cs="Times New Roman"/>
          <w:szCs w:val="24"/>
        </w:rPr>
        <w:t xml:space="preserve"> Board (</w:t>
      </w:r>
      <w:r w:rsidRPr="00E568FD">
        <w:rPr>
          <w:rFonts w:cs="Times New Roman"/>
          <w:szCs w:val="24"/>
        </w:rPr>
        <w:t>BWDB</w:t>
      </w:r>
      <w:r w:rsidR="005A24A0">
        <w:rPr>
          <w:rFonts w:cs="Times New Roman"/>
          <w:szCs w:val="24"/>
        </w:rPr>
        <w:t>)</w:t>
      </w:r>
      <w:r w:rsidRPr="00E568FD">
        <w:rPr>
          <w:rFonts w:cs="Times New Roman"/>
          <w:szCs w:val="24"/>
        </w:rPr>
        <w:t xml:space="preserve"> a</w:t>
      </w:r>
      <w:r w:rsidR="005A24A0">
        <w:rPr>
          <w:rFonts w:cs="Times New Roman"/>
          <w:szCs w:val="24"/>
        </w:rPr>
        <w:t xml:space="preserve">nd related NGOs need to enhance their capacities and </w:t>
      </w:r>
      <w:r w:rsidRPr="00E568FD">
        <w:rPr>
          <w:rFonts w:cs="Times New Roman"/>
          <w:szCs w:val="24"/>
        </w:rPr>
        <w:t xml:space="preserve">cooperation. </w:t>
      </w:r>
    </w:p>
    <w:p w:rsidR="000D4192" w:rsidRDefault="000D4192">
      <w:pPr>
        <w:rPr>
          <w:rFonts w:cs="Times New Roman"/>
          <w:b/>
          <w:color w:val="1F497D" w:themeColor="text2"/>
          <w:sz w:val="28"/>
        </w:rPr>
      </w:pPr>
      <w:r>
        <w:br w:type="page"/>
      </w:r>
    </w:p>
    <w:p w:rsidR="00F64A6A" w:rsidRDefault="007B1887" w:rsidP="00F64A6A">
      <w:pPr>
        <w:pStyle w:val="Heading2"/>
        <w:numPr>
          <w:ilvl w:val="0"/>
          <w:numId w:val="0"/>
        </w:numPr>
        <w:ind w:left="720"/>
      </w:pPr>
      <w:bookmarkStart w:id="216" w:name="_Toc474638861"/>
      <w:r w:rsidRPr="007B1887">
        <w:lastRenderedPageBreak/>
        <w:t>Revi</w:t>
      </w:r>
      <w:r>
        <w:t>ew of Strategies</w:t>
      </w:r>
      <w:r w:rsidR="00A356FA" w:rsidRPr="00426244">
        <w:t>, Policies and Institutions</w:t>
      </w:r>
      <w:bookmarkEnd w:id="216"/>
    </w:p>
    <w:p w:rsidR="00000000" w:rsidRDefault="00A356FA" w:rsidP="003D5A31">
      <w:pPr>
        <w:pStyle w:val="BodyText"/>
        <w:numPr>
          <w:ilvl w:val="2"/>
          <w:numId w:val="139"/>
        </w:numPr>
        <w:spacing w:after="240" w:line="276" w:lineRule="auto"/>
        <w:jc w:val="both"/>
        <w:rPr>
          <w:rFonts w:cs="Times New Roman"/>
          <w:b/>
          <w:szCs w:val="24"/>
        </w:rPr>
      </w:pPr>
      <w:r w:rsidRPr="00E50596">
        <w:rPr>
          <w:rFonts w:cs="Times New Roman"/>
          <w:b/>
          <w:szCs w:val="24"/>
        </w:rPr>
        <w:t>Strategies and Policies</w:t>
      </w:r>
    </w:p>
    <w:p w:rsidR="00A356FA" w:rsidRPr="00426244" w:rsidRDefault="00A356FA" w:rsidP="006C3C5E">
      <w:pPr>
        <w:spacing w:line="276" w:lineRule="auto"/>
        <w:jc w:val="both"/>
        <w:rPr>
          <w:szCs w:val="24"/>
        </w:rPr>
      </w:pPr>
      <w:r w:rsidRPr="00426244">
        <w:rPr>
          <w:szCs w:val="24"/>
        </w:rPr>
        <w:t>Over the past few decades biodiversity has b</w:t>
      </w:r>
      <w:r w:rsidR="009F5075">
        <w:rPr>
          <w:szCs w:val="24"/>
        </w:rPr>
        <w:t xml:space="preserve">ecome a </w:t>
      </w:r>
      <w:r w:rsidRPr="00426244">
        <w:rPr>
          <w:szCs w:val="24"/>
        </w:rPr>
        <w:t>global concern for its rapid redu</w:t>
      </w:r>
      <w:r w:rsidR="009F5075">
        <w:rPr>
          <w:szCs w:val="24"/>
        </w:rPr>
        <w:t>ction worldwide and Bangladesh</w:t>
      </w:r>
      <w:r w:rsidRPr="00426244">
        <w:rPr>
          <w:szCs w:val="24"/>
        </w:rPr>
        <w:t xml:space="preserve"> is no exception. Due to country’s tremendous popu</w:t>
      </w:r>
      <w:r w:rsidR="009F5075">
        <w:rPr>
          <w:szCs w:val="24"/>
        </w:rPr>
        <w:t xml:space="preserve">lation pressure, rural poverty and </w:t>
      </w:r>
      <w:r w:rsidRPr="00426244">
        <w:rPr>
          <w:szCs w:val="24"/>
        </w:rPr>
        <w:t>unemployment problem</w:t>
      </w:r>
      <w:r w:rsidR="009F5075">
        <w:rPr>
          <w:szCs w:val="24"/>
        </w:rPr>
        <w:t xml:space="preserve">, </w:t>
      </w:r>
      <w:r w:rsidRPr="00426244">
        <w:rPr>
          <w:szCs w:val="24"/>
        </w:rPr>
        <w:t xml:space="preserve">the natural resources </w:t>
      </w:r>
      <w:r w:rsidR="009F5075">
        <w:rPr>
          <w:szCs w:val="24"/>
        </w:rPr>
        <w:t xml:space="preserve">base </w:t>
      </w:r>
      <w:r w:rsidRPr="00426244">
        <w:rPr>
          <w:szCs w:val="24"/>
        </w:rPr>
        <w:t>has been decreasing alarmingly. To alter this situation and to preserve ecosystem and bio</w:t>
      </w:r>
      <w:r w:rsidR="009F5075">
        <w:rPr>
          <w:szCs w:val="24"/>
        </w:rPr>
        <w:t>logical diversity</w:t>
      </w:r>
      <w:r w:rsidRPr="00426244">
        <w:rPr>
          <w:szCs w:val="24"/>
        </w:rPr>
        <w:t>, various strategies, policies and institutional initiative</w:t>
      </w:r>
      <w:r w:rsidR="009F5075">
        <w:rPr>
          <w:szCs w:val="24"/>
        </w:rPr>
        <w:t>s have been taken by different government and non-g</w:t>
      </w:r>
      <w:r w:rsidRPr="00426244">
        <w:rPr>
          <w:szCs w:val="24"/>
        </w:rPr>
        <w:t>overnment agencies. Bangl</w:t>
      </w:r>
      <w:r w:rsidR="009F5075">
        <w:rPr>
          <w:szCs w:val="24"/>
        </w:rPr>
        <w:t xml:space="preserve">adesh is a signatory to </w:t>
      </w:r>
      <w:r w:rsidRPr="00426244">
        <w:rPr>
          <w:szCs w:val="24"/>
        </w:rPr>
        <w:t>many international treaties, laws, legislations and policies related to conserving its biological diversity. Bangladesh has signed the five major conventions and agreements related to biodiversity conservation (i.e. CBD, CITES, CMS, RAMSA</w:t>
      </w:r>
      <w:r w:rsidR="009F5075">
        <w:rPr>
          <w:szCs w:val="24"/>
        </w:rPr>
        <w:t>R, WHC). As a signatory to</w:t>
      </w:r>
      <w:r w:rsidRPr="00426244">
        <w:rPr>
          <w:szCs w:val="24"/>
        </w:rPr>
        <w:t xml:space="preserve"> these conventions</w:t>
      </w:r>
      <w:r w:rsidR="009F5075">
        <w:rPr>
          <w:szCs w:val="24"/>
        </w:rPr>
        <w:t>,</w:t>
      </w:r>
      <w:r w:rsidRPr="00426244">
        <w:rPr>
          <w:szCs w:val="24"/>
        </w:rPr>
        <w:t xml:space="preserve"> the government has undertaken various initiatives to conserve the biodiversity in both </w:t>
      </w:r>
      <w:r w:rsidR="00375DC2">
        <w:rPr>
          <w:szCs w:val="24"/>
        </w:rPr>
        <w:t xml:space="preserve">the </w:t>
      </w:r>
      <w:r w:rsidRPr="00426244">
        <w:rPr>
          <w:szCs w:val="24"/>
        </w:rPr>
        <w:t xml:space="preserve">ecosystem and </w:t>
      </w:r>
      <w:r w:rsidR="00375DC2">
        <w:rPr>
          <w:szCs w:val="24"/>
        </w:rPr>
        <w:t xml:space="preserve">at the </w:t>
      </w:r>
      <w:r w:rsidRPr="00426244">
        <w:rPr>
          <w:szCs w:val="24"/>
        </w:rPr>
        <w:t xml:space="preserve">species level. </w:t>
      </w:r>
    </w:p>
    <w:p w:rsidR="00A356FA" w:rsidRPr="00426244" w:rsidRDefault="00A356FA" w:rsidP="006C3C5E">
      <w:pPr>
        <w:spacing w:line="276" w:lineRule="auto"/>
        <w:jc w:val="both"/>
        <w:rPr>
          <w:szCs w:val="24"/>
        </w:rPr>
      </w:pPr>
      <w:r w:rsidRPr="00426244">
        <w:rPr>
          <w:szCs w:val="24"/>
        </w:rPr>
        <w:t>Till now, various initia</w:t>
      </w:r>
      <w:r w:rsidR="00375DC2">
        <w:rPr>
          <w:szCs w:val="24"/>
        </w:rPr>
        <w:t>tives have been taken by the government</w:t>
      </w:r>
      <w:r w:rsidRPr="00426244">
        <w:rPr>
          <w:szCs w:val="24"/>
        </w:rPr>
        <w:t xml:space="preserve"> to conserve biodiversity</w:t>
      </w:r>
      <w:r w:rsidR="00375DC2">
        <w:rPr>
          <w:szCs w:val="24"/>
        </w:rPr>
        <w:t>.  These can be broadly regarded</w:t>
      </w:r>
      <w:r w:rsidRPr="00426244">
        <w:rPr>
          <w:szCs w:val="24"/>
        </w:rPr>
        <w:t xml:space="preserve"> in two major ways namely </w:t>
      </w:r>
      <w:r w:rsidRPr="00426244">
        <w:rPr>
          <w:i/>
          <w:szCs w:val="24"/>
        </w:rPr>
        <w:t xml:space="preserve">ex-situ </w:t>
      </w:r>
      <w:r w:rsidRPr="00426244">
        <w:rPr>
          <w:szCs w:val="24"/>
        </w:rPr>
        <w:t xml:space="preserve">conservation and </w:t>
      </w:r>
      <w:r w:rsidRPr="00426244">
        <w:rPr>
          <w:i/>
          <w:szCs w:val="24"/>
        </w:rPr>
        <w:t>in-situ</w:t>
      </w:r>
      <w:r w:rsidRPr="00426244">
        <w:rPr>
          <w:szCs w:val="24"/>
        </w:rPr>
        <w:t xml:space="preserve"> conservation. </w:t>
      </w:r>
      <w:r w:rsidRPr="00426244">
        <w:rPr>
          <w:i/>
          <w:szCs w:val="24"/>
        </w:rPr>
        <w:t>In-situ</w:t>
      </w:r>
      <w:r w:rsidRPr="00426244">
        <w:rPr>
          <w:szCs w:val="24"/>
        </w:rPr>
        <w:t xml:space="preserve"> conservation has been carried out in few protected areas like National Parks, Wildlife Sanctuaries, and Game Reserve Area etc. as well as in World Heritage Site (The Sundarbans) and in RAMSAR site (Sundarbans and Tanguar haor). There are some </w:t>
      </w:r>
      <w:r w:rsidR="00375DC2">
        <w:rPr>
          <w:szCs w:val="24"/>
        </w:rPr>
        <w:t>eco parks and safari parks that</w:t>
      </w:r>
      <w:r w:rsidRPr="00426244">
        <w:rPr>
          <w:szCs w:val="24"/>
        </w:rPr>
        <w:t xml:space="preserve"> are managed and conserved by both </w:t>
      </w:r>
      <w:r w:rsidRPr="00426244">
        <w:rPr>
          <w:i/>
          <w:szCs w:val="24"/>
        </w:rPr>
        <w:t xml:space="preserve">ex-situ </w:t>
      </w:r>
      <w:r w:rsidRPr="00426244">
        <w:rPr>
          <w:szCs w:val="24"/>
        </w:rPr>
        <w:t xml:space="preserve">conservation and </w:t>
      </w:r>
      <w:r w:rsidRPr="00426244">
        <w:rPr>
          <w:i/>
          <w:szCs w:val="24"/>
        </w:rPr>
        <w:t>in-situ</w:t>
      </w:r>
      <w:r w:rsidRPr="00426244">
        <w:rPr>
          <w:szCs w:val="24"/>
        </w:rPr>
        <w:t xml:space="preserve"> conservation practices. Government has established and declared these eco parks and safari parks to conserve biodiversity and genetic materials mainly for research and other purpose. The government has also declared some Ecologically Critical Areas (ECA) affected adversely by the changes brought through human activities. In this country, ex-situ conservation efforts are mainly limited to BFRI and some areas like Botanical gardens (Mirpur, </w:t>
      </w:r>
      <w:r w:rsidR="00536E0D">
        <w:rPr>
          <w:szCs w:val="24"/>
        </w:rPr>
        <w:t xml:space="preserve">Baldha </w:t>
      </w:r>
      <w:r w:rsidRPr="00426244">
        <w:rPr>
          <w:szCs w:val="24"/>
        </w:rPr>
        <w:t xml:space="preserve">etc). </w:t>
      </w:r>
    </w:p>
    <w:p w:rsidR="00511738" w:rsidRPr="00511738" w:rsidRDefault="00A356FA" w:rsidP="006C3C5E">
      <w:pPr>
        <w:spacing w:line="276" w:lineRule="auto"/>
        <w:jc w:val="both"/>
        <w:rPr>
          <w:szCs w:val="24"/>
        </w:rPr>
      </w:pPr>
      <w:r w:rsidRPr="00426244">
        <w:rPr>
          <w:szCs w:val="24"/>
        </w:rPr>
        <w:t>There are several legislative policies and initiatives that provide provisions for regulating, harvesting and protecting plan</w:t>
      </w:r>
      <w:r w:rsidR="00E51AFD">
        <w:rPr>
          <w:szCs w:val="24"/>
        </w:rPr>
        <w:t>ts and wildlife in Bangladesh</w:t>
      </w:r>
      <w:r w:rsidR="0089012F">
        <w:rPr>
          <w:szCs w:val="24"/>
        </w:rPr>
        <w:t>.</w:t>
      </w:r>
    </w:p>
    <w:p w:rsidR="00A356FA" w:rsidRPr="009B04B7" w:rsidRDefault="00A356FA" w:rsidP="00375DC2">
      <w:pPr>
        <w:spacing w:line="276" w:lineRule="auto"/>
        <w:jc w:val="both"/>
        <w:rPr>
          <w:rFonts w:cs="Times New Roman"/>
          <w:b/>
          <w:i/>
          <w:szCs w:val="24"/>
        </w:rPr>
      </w:pPr>
      <w:r w:rsidRPr="009B04B7">
        <w:rPr>
          <w:rFonts w:cs="Times New Roman"/>
          <w:b/>
          <w:i/>
          <w:szCs w:val="24"/>
        </w:rPr>
        <w:t>Bangladesh Wildlife (Preservation) (Amendment) Act, 1974</w:t>
      </w:r>
      <w:r w:rsidR="00536E0D">
        <w:rPr>
          <w:rFonts w:cs="Times New Roman"/>
          <w:b/>
          <w:i/>
          <w:szCs w:val="24"/>
        </w:rPr>
        <w:t xml:space="preserve"> (Updated in 2000, needs correct information)</w:t>
      </w:r>
    </w:p>
    <w:p w:rsidR="00A356FA" w:rsidRPr="00771453" w:rsidRDefault="00A356FA" w:rsidP="006C3C5E">
      <w:pPr>
        <w:pStyle w:val="BodyText"/>
        <w:kinsoku w:val="0"/>
        <w:overflowPunct w:val="0"/>
        <w:spacing w:after="240" w:line="276" w:lineRule="auto"/>
        <w:jc w:val="both"/>
        <w:rPr>
          <w:rFonts w:cs="Times New Roman"/>
        </w:rPr>
      </w:pPr>
      <w:r w:rsidRPr="00771453">
        <w:rPr>
          <w:rFonts w:cs="Times New Roman"/>
        </w:rPr>
        <w:t xml:space="preserve">Bangladesh Wildlife (Preservation) Order, 1973 was promulgated under Presidential Order No. 23 in 1973 and was subsequently enacted and amended as the Bangladesh Wildlife (Preservation) (Amendment) Act, 1974. The law provides for the preservation, conservation and management of wildlife in Bangladesh. According to the Act the term wildlife or ‘wild animals’ means ‘any vertebrate creature, other than humans beings and animals of usually domesticated species or fish, and include the eggs of birds and reptiles’ only. The law itself is not sufficient to provide legal protections to the significant </w:t>
      </w:r>
      <w:r w:rsidRPr="00771453">
        <w:rPr>
          <w:rFonts w:cs="Times New Roman"/>
        </w:rPr>
        <w:lastRenderedPageBreak/>
        <w:t xml:space="preserve">aquatic biodiversity component of the ecosystem. For example, by this definition, the important components of the coral species in the St. Martin’s Island, and also fishes and mollusks, remain outside the legal protection of this Act. </w:t>
      </w:r>
    </w:p>
    <w:p w:rsidR="00A356FA" w:rsidRPr="00C8336F" w:rsidRDefault="00A356FA" w:rsidP="00375DC2">
      <w:pPr>
        <w:spacing w:line="276" w:lineRule="auto"/>
        <w:jc w:val="both"/>
        <w:rPr>
          <w:rFonts w:cs="Times New Roman"/>
          <w:b/>
          <w:i/>
          <w:szCs w:val="24"/>
        </w:rPr>
      </w:pPr>
      <w:r w:rsidRPr="00C8336F">
        <w:rPr>
          <w:rFonts w:cs="Times New Roman"/>
          <w:b/>
          <w:i/>
          <w:szCs w:val="24"/>
        </w:rPr>
        <w:t xml:space="preserve">Bangladesh Forest Act, </w:t>
      </w:r>
      <w:r w:rsidR="00536E0D">
        <w:rPr>
          <w:rFonts w:cs="Times New Roman"/>
          <w:b/>
          <w:i/>
          <w:szCs w:val="24"/>
        </w:rPr>
        <w:t>1927</w:t>
      </w:r>
      <w:r w:rsidR="00536E0D" w:rsidRPr="00C8336F">
        <w:rPr>
          <w:rFonts w:cs="Times New Roman"/>
          <w:b/>
          <w:i/>
          <w:szCs w:val="24"/>
        </w:rPr>
        <w:t xml:space="preserve"> </w:t>
      </w:r>
      <w:r w:rsidRPr="00C8336F">
        <w:rPr>
          <w:rFonts w:cs="Times New Roman"/>
          <w:b/>
          <w:i/>
          <w:szCs w:val="24"/>
        </w:rPr>
        <w:t>and Subsequent Amendments</w:t>
      </w:r>
    </w:p>
    <w:p w:rsidR="00A356FA" w:rsidRPr="00771453" w:rsidRDefault="00A356FA" w:rsidP="006C3C5E">
      <w:pPr>
        <w:pStyle w:val="BodyText"/>
        <w:kinsoku w:val="0"/>
        <w:overflowPunct w:val="0"/>
        <w:spacing w:after="240" w:line="276" w:lineRule="auto"/>
        <w:jc w:val="both"/>
        <w:rPr>
          <w:rFonts w:cs="Times New Roman"/>
        </w:rPr>
      </w:pPr>
      <w:r w:rsidRPr="00771453">
        <w:rPr>
          <w:rFonts w:cs="Times New Roman"/>
        </w:rPr>
        <w:t xml:space="preserve">The law provides protection of and development of forests. The government may assign a reserved forest to any forestland or wasteland, or any land suitable for afforestation, which is the property of the government, over which the government is entitles. Subsequently, the Forest Law has been amended and updated foe a number of times in response to changing needs. The Forest Act, </w:t>
      </w:r>
      <w:r w:rsidR="00536E0D">
        <w:rPr>
          <w:rFonts w:cs="Times New Roman"/>
        </w:rPr>
        <w:t>1927</w:t>
      </w:r>
      <w:r w:rsidRPr="00771453">
        <w:rPr>
          <w:rFonts w:cs="Times New Roman"/>
        </w:rPr>
        <w:t>, the Forest (Amendment) Act 1990 and the amendment in 2000 may be mentioned in this regard. These are contributing quite a lot to the conservation of biodiversity, although not enough, and much more remains to be done.</w:t>
      </w:r>
    </w:p>
    <w:p w:rsidR="00A356FA" w:rsidRPr="00C8336F" w:rsidRDefault="00A356FA" w:rsidP="00375DC2">
      <w:pPr>
        <w:spacing w:line="276" w:lineRule="auto"/>
        <w:jc w:val="both"/>
        <w:rPr>
          <w:rFonts w:cs="Times New Roman"/>
          <w:b/>
          <w:i/>
          <w:szCs w:val="24"/>
        </w:rPr>
      </w:pPr>
      <w:r w:rsidRPr="00C8336F">
        <w:rPr>
          <w:rFonts w:cs="Times New Roman"/>
          <w:b/>
          <w:i/>
          <w:szCs w:val="24"/>
        </w:rPr>
        <w:t>Forest Policy and Forestry Sector Master Plan</w:t>
      </w:r>
    </w:p>
    <w:p w:rsidR="00E51AFD" w:rsidRPr="00E51AFD" w:rsidRDefault="00375DC2" w:rsidP="00E51AFD">
      <w:pPr>
        <w:pStyle w:val="BodyText"/>
        <w:kinsoku w:val="0"/>
        <w:overflowPunct w:val="0"/>
        <w:spacing w:after="240" w:line="276" w:lineRule="auto"/>
        <w:jc w:val="both"/>
        <w:rPr>
          <w:rFonts w:cs="Times New Roman"/>
        </w:rPr>
      </w:pPr>
      <w:r>
        <w:rPr>
          <w:rFonts w:cs="Times New Roman"/>
        </w:rPr>
        <w:t>The government</w:t>
      </w:r>
      <w:r w:rsidR="00A356FA" w:rsidRPr="00771453">
        <w:rPr>
          <w:rFonts w:cs="Times New Roman"/>
        </w:rPr>
        <w:t xml:space="preserve"> first formulated the National Forest Policy in 1979. But as the situation began to change with demand for forestry products and consequent depletion of forest resources and degradation of the overall environment</w:t>
      </w:r>
      <w:r>
        <w:rPr>
          <w:rFonts w:cs="Times New Roman"/>
        </w:rPr>
        <w:t>, the G</w:t>
      </w:r>
      <w:r w:rsidR="00A356FA" w:rsidRPr="00771453">
        <w:rPr>
          <w:rFonts w:cs="Times New Roman"/>
        </w:rPr>
        <w:t xml:space="preserve">overnment had to update it and formulate a revised policy which is known as the Forest Policy 1994. The biodiversity issue has been given increased importance in the latest policy. The policy stated that attempts will be made to bring about 20% of the country’s land under the afforestation programs of the government and the private sector by 2015. In order to achieve self-reliance in forest products and maintenance of ecological balance, the government will work hand in hand with the NGO’s and people’s participation will be encouraged. The policy further stated that the priority protection areas are the habitats that encompass representative samples of flora and fauna in the core areas of National Parks, Wildlife Sanctuaries and Game Reserves. Attempts will also be made to increase the extent of these protected areas by 10% of the reserved forest area by 2015. To achieve the objectives and targets as stated in the policy, the government has also formulated the Forestry Sector Master Plan (1995-2015). The financial requirements to implement the plan have been estimated </w:t>
      </w:r>
      <w:r w:rsidR="00E51AFD">
        <w:rPr>
          <w:rFonts w:cs="Times New Roman"/>
        </w:rPr>
        <w:t>to be about Tk. 80,000 million.</w:t>
      </w:r>
    </w:p>
    <w:p w:rsidR="00A356FA" w:rsidRPr="007C2871" w:rsidRDefault="00A356FA" w:rsidP="00375DC2">
      <w:pPr>
        <w:spacing w:line="276" w:lineRule="auto"/>
        <w:jc w:val="both"/>
        <w:rPr>
          <w:rFonts w:cs="Times New Roman"/>
          <w:b/>
          <w:i/>
          <w:szCs w:val="24"/>
          <w:lang w:val="fr-BE"/>
        </w:rPr>
      </w:pPr>
      <w:r w:rsidRPr="007C2871">
        <w:rPr>
          <w:rFonts w:cs="Times New Roman"/>
          <w:b/>
          <w:i/>
          <w:szCs w:val="24"/>
          <w:lang w:val="fr-BE"/>
        </w:rPr>
        <w:t>National Environment Management Action Plan (NEMAP), 1995</w:t>
      </w:r>
    </w:p>
    <w:p w:rsidR="00A356FA" w:rsidRPr="00771453" w:rsidRDefault="00A356FA" w:rsidP="006C3C5E">
      <w:pPr>
        <w:spacing w:line="276" w:lineRule="auto"/>
        <w:jc w:val="both"/>
        <w:rPr>
          <w:rFonts w:cs="Times New Roman"/>
          <w:szCs w:val="24"/>
        </w:rPr>
      </w:pPr>
      <w:r w:rsidRPr="00771453">
        <w:rPr>
          <w:rFonts w:cs="Times New Roman"/>
          <w:szCs w:val="24"/>
        </w:rPr>
        <w:t xml:space="preserve">The MoEF prepared the NEMAP, which is based on a comprehensive participatory planning process ranging from grassroots up to national level. Inputs were provided from local communities, government agencies, NGOs, professional groups, academics, parliamentarians, lawyers and journalists. Together, this cross section of concerned stakeholders identified key institutional, sectoral, location-specific and long-term issues and actions. The NEMAP thus constitutes a synthesis of perceptions of the government, </w:t>
      </w:r>
      <w:r w:rsidRPr="00771453">
        <w:rPr>
          <w:rFonts w:cs="Times New Roman"/>
          <w:szCs w:val="24"/>
        </w:rPr>
        <w:lastRenderedPageBreak/>
        <w:t xml:space="preserve">NGO’s and the people of environmental problems and the actions required to address them. The NEMAP provides the policy framework and action plan for </w:t>
      </w:r>
      <w:r w:rsidR="00536E0D">
        <w:rPr>
          <w:rFonts w:cs="Times New Roman"/>
          <w:szCs w:val="24"/>
        </w:rPr>
        <w:t>Department of Environment</w:t>
      </w:r>
      <w:r w:rsidRPr="00771453">
        <w:rPr>
          <w:rFonts w:cs="Times New Roman"/>
          <w:szCs w:val="24"/>
        </w:rPr>
        <w:t xml:space="preserve"> in combinations with a set of broad sectoral guidelines that emphasis, inter alia, the following: </w:t>
      </w:r>
    </w:p>
    <w:p w:rsidR="00A356FA" w:rsidRPr="00BE5A61" w:rsidRDefault="00A356FA" w:rsidP="00F1445B">
      <w:pPr>
        <w:pStyle w:val="ListParagraph"/>
        <w:numPr>
          <w:ilvl w:val="0"/>
          <w:numId w:val="11"/>
        </w:numPr>
        <w:spacing w:line="276" w:lineRule="auto"/>
        <w:ind w:left="360"/>
        <w:jc w:val="both"/>
        <w:rPr>
          <w:rFonts w:cs="Times New Roman"/>
          <w:szCs w:val="24"/>
        </w:rPr>
      </w:pPr>
      <w:r w:rsidRPr="00BE5A61">
        <w:rPr>
          <w:rFonts w:cs="Times New Roman"/>
          <w:szCs w:val="24"/>
        </w:rPr>
        <w:t>Maintenance of the ecological balance and overall progress and development of the country through protection and improvement of the environment</w:t>
      </w:r>
    </w:p>
    <w:p w:rsidR="00A356FA" w:rsidRPr="00BE5A61" w:rsidRDefault="00A356FA" w:rsidP="00F1445B">
      <w:pPr>
        <w:pStyle w:val="ListParagraph"/>
        <w:numPr>
          <w:ilvl w:val="0"/>
          <w:numId w:val="11"/>
        </w:numPr>
        <w:spacing w:line="276" w:lineRule="auto"/>
        <w:ind w:left="360"/>
        <w:jc w:val="both"/>
        <w:rPr>
          <w:rFonts w:cs="Times New Roman"/>
          <w:szCs w:val="24"/>
        </w:rPr>
      </w:pPr>
      <w:r w:rsidRPr="00BE5A61">
        <w:rPr>
          <w:rFonts w:cs="Times New Roman"/>
          <w:szCs w:val="24"/>
        </w:rPr>
        <w:t xml:space="preserve">Protection of the country against natural disasters </w:t>
      </w:r>
    </w:p>
    <w:p w:rsidR="00A356FA" w:rsidRPr="00BE5A61" w:rsidRDefault="00A356FA" w:rsidP="00F1445B">
      <w:pPr>
        <w:pStyle w:val="ListParagraph"/>
        <w:numPr>
          <w:ilvl w:val="0"/>
          <w:numId w:val="11"/>
        </w:numPr>
        <w:spacing w:line="276" w:lineRule="auto"/>
        <w:ind w:left="360"/>
        <w:jc w:val="both"/>
        <w:rPr>
          <w:rFonts w:cs="Times New Roman"/>
          <w:szCs w:val="24"/>
        </w:rPr>
      </w:pPr>
      <w:r w:rsidRPr="00BE5A61">
        <w:rPr>
          <w:rFonts w:cs="Times New Roman"/>
          <w:szCs w:val="24"/>
        </w:rPr>
        <w:t xml:space="preserve">Identification and control of all types of activities related to the pollution and degradation to the environment </w:t>
      </w:r>
    </w:p>
    <w:p w:rsidR="00A356FA" w:rsidRPr="00BE5A61" w:rsidRDefault="00A356FA" w:rsidP="00F1445B">
      <w:pPr>
        <w:pStyle w:val="ListParagraph"/>
        <w:numPr>
          <w:ilvl w:val="0"/>
          <w:numId w:val="11"/>
        </w:numPr>
        <w:spacing w:line="276" w:lineRule="auto"/>
        <w:ind w:left="360"/>
        <w:jc w:val="both"/>
        <w:rPr>
          <w:rFonts w:cs="Times New Roman"/>
          <w:szCs w:val="24"/>
        </w:rPr>
      </w:pPr>
      <w:r w:rsidRPr="00BE5A61">
        <w:rPr>
          <w:rFonts w:cs="Times New Roman"/>
          <w:szCs w:val="24"/>
        </w:rPr>
        <w:t xml:space="preserve">Undertaking environmentally sound development program in all sectors </w:t>
      </w:r>
    </w:p>
    <w:p w:rsidR="00A356FA" w:rsidRPr="00BE5A61" w:rsidRDefault="00A356FA" w:rsidP="00F1445B">
      <w:pPr>
        <w:pStyle w:val="ListParagraph"/>
        <w:numPr>
          <w:ilvl w:val="0"/>
          <w:numId w:val="11"/>
        </w:numPr>
        <w:spacing w:line="276" w:lineRule="auto"/>
        <w:ind w:left="360"/>
        <w:jc w:val="both"/>
        <w:rPr>
          <w:rFonts w:cs="Times New Roman"/>
          <w:szCs w:val="24"/>
        </w:rPr>
      </w:pPr>
      <w:r w:rsidRPr="00BE5A61">
        <w:rPr>
          <w:rFonts w:cs="Times New Roman"/>
          <w:szCs w:val="24"/>
        </w:rPr>
        <w:t>Sustainable and environmentally congenial utilization of all natural resources</w:t>
      </w:r>
    </w:p>
    <w:p w:rsidR="00A356FA" w:rsidRPr="00BE5A61" w:rsidRDefault="00A356FA" w:rsidP="00F1445B">
      <w:pPr>
        <w:pStyle w:val="ListParagraph"/>
        <w:numPr>
          <w:ilvl w:val="0"/>
          <w:numId w:val="11"/>
        </w:numPr>
        <w:spacing w:line="276" w:lineRule="auto"/>
        <w:ind w:left="360"/>
        <w:jc w:val="both"/>
        <w:rPr>
          <w:rFonts w:cs="Times New Roman"/>
          <w:szCs w:val="24"/>
        </w:rPr>
      </w:pPr>
      <w:r w:rsidRPr="00BE5A61">
        <w:rPr>
          <w:rFonts w:cs="Times New Roman"/>
          <w:szCs w:val="24"/>
        </w:rPr>
        <w:t xml:space="preserve">Activities in association with all environmental-related national and environmental initiatives </w:t>
      </w:r>
    </w:p>
    <w:p w:rsidR="00A356FA" w:rsidRPr="00C8336F" w:rsidRDefault="00A356FA" w:rsidP="00375DC2">
      <w:pPr>
        <w:spacing w:line="276" w:lineRule="auto"/>
        <w:jc w:val="both"/>
        <w:rPr>
          <w:b/>
          <w:i/>
          <w:szCs w:val="24"/>
        </w:rPr>
      </w:pPr>
      <w:r w:rsidRPr="00C8336F">
        <w:rPr>
          <w:b/>
          <w:i/>
          <w:szCs w:val="24"/>
        </w:rPr>
        <w:t>National Conservation Strategy (NCS)</w:t>
      </w:r>
    </w:p>
    <w:p w:rsidR="00A356FA" w:rsidRPr="00426244" w:rsidRDefault="00A356FA" w:rsidP="006C3C5E">
      <w:pPr>
        <w:spacing w:line="276" w:lineRule="auto"/>
        <w:jc w:val="both"/>
        <w:rPr>
          <w:szCs w:val="24"/>
        </w:rPr>
      </w:pPr>
      <w:r w:rsidRPr="00426244">
        <w:rPr>
          <w:szCs w:val="24"/>
        </w:rPr>
        <w:t>The need for a National Conservation Strategy was first emerged in September 1986. Its primary goal was to provide a national strategy for conservation of all concerned sectors. It provides specific strategies for sustainable use of natural resources as well as sustainable development in 18 different sectors. The National Conservation Strategy Implementation Project Phase-I (1994–1999) was a five-year project implemented by the Ministry of Environment and Forest (MoEF), with financial and technical support from NORAD and IUCN. Through this NCS Phase 1, one major program was implemented in four distinct ecosystems—tropical and mangrove forest areas, St. Martin’s Island, Tanguar Haor and Barind Tract. The main objective of all these activities is conservation of biodiversity.</w:t>
      </w:r>
    </w:p>
    <w:p w:rsidR="00A356FA" w:rsidRPr="00C8336F" w:rsidRDefault="00A356FA" w:rsidP="00375DC2">
      <w:pPr>
        <w:spacing w:line="276" w:lineRule="auto"/>
        <w:jc w:val="both"/>
        <w:rPr>
          <w:b/>
          <w:i/>
          <w:szCs w:val="24"/>
        </w:rPr>
      </w:pPr>
      <w:r w:rsidRPr="00C8336F">
        <w:rPr>
          <w:b/>
          <w:i/>
          <w:szCs w:val="24"/>
        </w:rPr>
        <w:t>The Bangladesh Environment Conservation Act, 1995 and Environment Conservation Rules 1997</w:t>
      </w:r>
    </w:p>
    <w:p w:rsidR="000D4192" w:rsidRPr="00A1679C" w:rsidRDefault="00A356FA" w:rsidP="00A1679C">
      <w:pPr>
        <w:spacing w:line="276" w:lineRule="auto"/>
        <w:jc w:val="both"/>
        <w:rPr>
          <w:szCs w:val="24"/>
        </w:rPr>
      </w:pPr>
      <w:r w:rsidRPr="00426244">
        <w:rPr>
          <w:szCs w:val="24"/>
        </w:rPr>
        <w:t>The Bangladesh Environment Conservation Act of 1995 was enacted for environmental conservation, environmental standard development and environmental pollution control and mitigation. ECA 1995 is currently the main legislative framework relating to environmental protection in Bangladesh. The Environment Conservation Rules, 1997 (ECR 1997), are the first set of rules which have been promulgated under the ECA 1995. The major aspects covered by ECR 1997 are the National Environmental Quality Standard; requirements and procedures to get environmental clearance; requirement of Initial Environmental Examination and Environmental Impact Assessment for any project. However, the major application of ECA 1995 was the declaration of Ecologically Critical Areas (ECA).</w:t>
      </w:r>
      <w:r w:rsidR="000D4192">
        <w:rPr>
          <w:rFonts w:cs="Times New Roman"/>
          <w:b/>
          <w:i/>
          <w:szCs w:val="24"/>
        </w:rPr>
        <w:br w:type="page"/>
      </w:r>
    </w:p>
    <w:p w:rsidR="00A356FA" w:rsidRPr="00C8336F" w:rsidRDefault="00A356FA" w:rsidP="00375DC2">
      <w:pPr>
        <w:spacing w:line="276" w:lineRule="auto"/>
        <w:jc w:val="both"/>
        <w:rPr>
          <w:rFonts w:cs="Times New Roman"/>
          <w:b/>
          <w:i/>
          <w:szCs w:val="24"/>
        </w:rPr>
      </w:pPr>
      <w:r w:rsidRPr="00C8336F">
        <w:rPr>
          <w:rFonts w:cs="Times New Roman"/>
          <w:b/>
          <w:i/>
          <w:szCs w:val="24"/>
        </w:rPr>
        <w:lastRenderedPageBreak/>
        <w:t>Sustainable Environment Management Program (SEMP)</w:t>
      </w:r>
    </w:p>
    <w:p w:rsidR="00A356FA" w:rsidRPr="00771453" w:rsidRDefault="00A356FA" w:rsidP="006C3C5E">
      <w:pPr>
        <w:spacing w:line="276" w:lineRule="auto"/>
        <w:jc w:val="both"/>
        <w:rPr>
          <w:rFonts w:cs="Times New Roman"/>
          <w:szCs w:val="24"/>
        </w:rPr>
      </w:pPr>
      <w:r w:rsidRPr="00771453">
        <w:rPr>
          <w:rFonts w:cs="Times New Roman"/>
          <w:szCs w:val="24"/>
        </w:rPr>
        <w:t>Sustainable Environment Management Program</w:t>
      </w:r>
      <w:r w:rsidR="00375DC2">
        <w:rPr>
          <w:rFonts w:cs="Times New Roman"/>
          <w:szCs w:val="24"/>
        </w:rPr>
        <w:t>,</w:t>
      </w:r>
      <w:r w:rsidRPr="00771453">
        <w:rPr>
          <w:rFonts w:cs="Times New Roman"/>
          <w:szCs w:val="24"/>
        </w:rPr>
        <w:t xml:space="preserve"> supported by the UNDP and implemented by MoEF for a five year periods (1998-2002)</w:t>
      </w:r>
      <w:r w:rsidR="00375DC2">
        <w:rPr>
          <w:rFonts w:cs="Times New Roman"/>
          <w:szCs w:val="24"/>
        </w:rPr>
        <w:t>,</w:t>
      </w:r>
      <w:r w:rsidRPr="00771453">
        <w:rPr>
          <w:rFonts w:cs="Times New Roman"/>
          <w:szCs w:val="24"/>
        </w:rPr>
        <w:t xml:space="preserve"> was the response </w:t>
      </w:r>
      <w:r w:rsidR="00375DC2">
        <w:rPr>
          <w:rFonts w:cs="Times New Roman"/>
          <w:szCs w:val="24"/>
        </w:rPr>
        <w:t xml:space="preserve">that </w:t>
      </w:r>
      <w:r w:rsidRPr="00771453">
        <w:rPr>
          <w:rFonts w:cs="Times New Roman"/>
          <w:szCs w:val="24"/>
        </w:rPr>
        <w:t>evolved from the concerns, needs and actions identified through the National Environment Management Action Plan (NEMAP) process. It focuses on community-based resource management in wetlands. In the NEMAP several major priority areas of environmental concern were identified and the SEMP has been designed to address these priorities. The program consist</w:t>
      </w:r>
      <w:r w:rsidR="00375DC2">
        <w:rPr>
          <w:rFonts w:cs="Times New Roman"/>
          <w:szCs w:val="24"/>
        </w:rPr>
        <w:t xml:space="preserve">s of 26 components on five </w:t>
      </w:r>
      <w:r w:rsidRPr="00771453">
        <w:rPr>
          <w:rFonts w:cs="Times New Roman"/>
          <w:szCs w:val="24"/>
        </w:rPr>
        <w:t xml:space="preserve">major themes and is implemented by 22 organizations from the government, NGO’s and private sector. The community-based “Haor and Floodplain Resource management Project” is being implemented by the IUCN with the Ministry of Environment and Forests, in two well-defined degraded areas of haor and floodplain ecosystems. The major focus of the program is to involve community people in the planning and implementation of activities for the management of natural resources that maintain biodiversity and human well-being. </w:t>
      </w:r>
    </w:p>
    <w:p w:rsidR="00A356FA" w:rsidRPr="00C8336F" w:rsidRDefault="00A356FA" w:rsidP="00375DC2">
      <w:pPr>
        <w:spacing w:line="276" w:lineRule="auto"/>
        <w:jc w:val="both"/>
        <w:rPr>
          <w:rFonts w:cs="Times New Roman"/>
          <w:b/>
          <w:i/>
          <w:szCs w:val="24"/>
        </w:rPr>
      </w:pPr>
      <w:r w:rsidRPr="00C8336F">
        <w:rPr>
          <w:rFonts w:cs="Times New Roman"/>
          <w:b/>
          <w:i/>
          <w:szCs w:val="24"/>
        </w:rPr>
        <w:t>National Biodiversity Strategy and Action Plan (NBSAP), 2004</w:t>
      </w:r>
    </w:p>
    <w:p w:rsidR="00A356FA" w:rsidRPr="00771453" w:rsidRDefault="00A356FA" w:rsidP="006C3C5E">
      <w:pPr>
        <w:pStyle w:val="BodyText"/>
        <w:kinsoku w:val="0"/>
        <w:overflowPunct w:val="0"/>
        <w:spacing w:after="240" w:line="276" w:lineRule="auto"/>
        <w:jc w:val="both"/>
        <w:rPr>
          <w:rFonts w:cs="Times New Roman"/>
        </w:rPr>
      </w:pPr>
      <w:r w:rsidRPr="00771453">
        <w:rPr>
          <w:rFonts w:cs="Times New Roman"/>
        </w:rPr>
        <w:t xml:space="preserve">Bangladesh has prepared a NBSAP with 24 different conservation components which has been implemented and executed by different government and non-government conservation organizations. Ministry of Environment and Forests (MoEF) is the planning and implementing agency of NBSAP. The main objective of NBSAP includes: </w:t>
      </w:r>
    </w:p>
    <w:p w:rsidR="00A356FA" w:rsidRPr="00BE5A61" w:rsidRDefault="00A356FA" w:rsidP="00F1445B">
      <w:pPr>
        <w:pStyle w:val="ListParagraph"/>
        <w:widowControl w:val="0"/>
        <w:numPr>
          <w:ilvl w:val="0"/>
          <w:numId w:val="12"/>
        </w:numPr>
        <w:tabs>
          <w:tab w:val="left" w:pos="720"/>
        </w:tabs>
        <w:kinsoku w:val="0"/>
        <w:overflowPunct w:val="0"/>
        <w:autoSpaceDE w:val="0"/>
        <w:autoSpaceDN w:val="0"/>
        <w:adjustRightInd w:val="0"/>
        <w:spacing w:line="276" w:lineRule="auto"/>
        <w:ind w:left="360"/>
        <w:jc w:val="both"/>
        <w:rPr>
          <w:rFonts w:cs="Times New Roman"/>
          <w:szCs w:val="24"/>
        </w:rPr>
      </w:pPr>
      <w:r w:rsidRPr="00BE5A61">
        <w:rPr>
          <w:rFonts w:cs="Times New Roman"/>
          <w:szCs w:val="24"/>
        </w:rPr>
        <w:t>Formulate strategies and action plans for conservation and sustainable use of country’s biological diversity.</w:t>
      </w:r>
    </w:p>
    <w:p w:rsidR="00A356FA" w:rsidRPr="00BE5A61" w:rsidRDefault="00A356FA" w:rsidP="00F1445B">
      <w:pPr>
        <w:pStyle w:val="ListParagraph"/>
        <w:widowControl w:val="0"/>
        <w:numPr>
          <w:ilvl w:val="0"/>
          <w:numId w:val="12"/>
        </w:numPr>
        <w:tabs>
          <w:tab w:val="left" w:pos="720"/>
        </w:tabs>
        <w:kinsoku w:val="0"/>
        <w:overflowPunct w:val="0"/>
        <w:autoSpaceDE w:val="0"/>
        <w:autoSpaceDN w:val="0"/>
        <w:adjustRightInd w:val="0"/>
        <w:spacing w:line="276" w:lineRule="auto"/>
        <w:ind w:left="360"/>
        <w:jc w:val="both"/>
        <w:rPr>
          <w:rFonts w:cs="Times New Roman"/>
          <w:szCs w:val="24"/>
        </w:rPr>
      </w:pPr>
      <w:r w:rsidRPr="00BE5A61">
        <w:rPr>
          <w:rFonts w:cs="Times New Roman"/>
          <w:szCs w:val="24"/>
        </w:rPr>
        <w:t>Identify the current pressure on the biological resources, and options and priority actions for the conservation and sustainable use of national biodiversity by the stakeholders.</w:t>
      </w:r>
    </w:p>
    <w:p w:rsidR="00A356FA" w:rsidRPr="00BE5A61" w:rsidRDefault="00A356FA" w:rsidP="00F1445B">
      <w:pPr>
        <w:pStyle w:val="ListParagraph"/>
        <w:widowControl w:val="0"/>
        <w:numPr>
          <w:ilvl w:val="0"/>
          <w:numId w:val="12"/>
        </w:numPr>
        <w:tabs>
          <w:tab w:val="left" w:pos="720"/>
        </w:tabs>
        <w:kinsoku w:val="0"/>
        <w:overflowPunct w:val="0"/>
        <w:autoSpaceDE w:val="0"/>
        <w:autoSpaceDN w:val="0"/>
        <w:adjustRightInd w:val="0"/>
        <w:spacing w:line="276" w:lineRule="auto"/>
        <w:ind w:left="360"/>
        <w:jc w:val="both"/>
        <w:rPr>
          <w:rFonts w:cs="Times New Roman"/>
          <w:szCs w:val="24"/>
        </w:rPr>
      </w:pPr>
      <w:r w:rsidRPr="00BE5A61">
        <w:rPr>
          <w:rFonts w:cs="Times New Roman"/>
          <w:szCs w:val="24"/>
        </w:rPr>
        <w:t>Complement and build on the NCS (National Conservation Strategy) as well as the NEMAP (National Environmental Management Action Plan) and other sectoral plans, through participatory processes involving representativeness from different sectors of the society.</w:t>
      </w:r>
    </w:p>
    <w:p w:rsidR="00A356FA" w:rsidRPr="00BE5A61" w:rsidRDefault="00A356FA" w:rsidP="00F1445B">
      <w:pPr>
        <w:pStyle w:val="ListParagraph"/>
        <w:numPr>
          <w:ilvl w:val="0"/>
          <w:numId w:val="12"/>
        </w:numPr>
        <w:tabs>
          <w:tab w:val="left" w:pos="720"/>
        </w:tabs>
        <w:kinsoku w:val="0"/>
        <w:overflowPunct w:val="0"/>
        <w:spacing w:line="276" w:lineRule="auto"/>
        <w:ind w:left="360"/>
        <w:jc w:val="both"/>
        <w:rPr>
          <w:rFonts w:cs="Times New Roman"/>
          <w:szCs w:val="24"/>
        </w:rPr>
      </w:pPr>
      <w:r w:rsidRPr="00BE5A61">
        <w:rPr>
          <w:rFonts w:cs="Times New Roman"/>
          <w:szCs w:val="24"/>
        </w:rPr>
        <w:t>Raise community awareness of the sustainable use of biodiversity</w:t>
      </w:r>
    </w:p>
    <w:p w:rsidR="00A356FA" w:rsidRPr="00BE5A61" w:rsidRDefault="00A356FA" w:rsidP="00F1445B">
      <w:pPr>
        <w:pStyle w:val="ListParagraph"/>
        <w:numPr>
          <w:ilvl w:val="0"/>
          <w:numId w:val="12"/>
        </w:numPr>
        <w:tabs>
          <w:tab w:val="left" w:pos="720"/>
        </w:tabs>
        <w:kinsoku w:val="0"/>
        <w:overflowPunct w:val="0"/>
        <w:spacing w:line="276" w:lineRule="auto"/>
        <w:ind w:left="360"/>
        <w:jc w:val="both"/>
        <w:rPr>
          <w:rFonts w:cs="Times New Roman"/>
          <w:szCs w:val="24"/>
        </w:rPr>
      </w:pPr>
      <w:r w:rsidRPr="00BE5A61">
        <w:rPr>
          <w:rFonts w:cs="Times New Roman"/>
          <w:szCs w:val="24"/>
        </w:rPr>
        <w:t>Sixteen strategies have been developed to shape and direct the actions towards achieving the goals and objectives of the NBSAP. Out of these strategies, the Strategy-10 emphasize on the wise use of wetland resources.</w:t>
      </w:r>
    </w:p>
    <w:p w:rsidR="00375DC2" w:rsidRPr="00375DC2" w:rsidRDefault="00A356FA" w:rsidP="006C3C5E">
      <w:pPr>
        <w:autoSpaceDE w:val="0"/>
        <w:autoSpaceDN w:val="0"/>
        <w:adjustRightInd w:val="0"/>
        <w:spacing w:line="276" w:lineRule="auto"/>
        <w:jc w:val="both"/>
        <w:rPr>
          <w:rFonts w:cs="Times New Roman"/>
          <w:b/>
          <w:i/>
          <w:szCs w:val="24"/>
        </w:rPr>
      </w:pPr>
      <w:r w:rsidRPr="00375DC2">
        <w:rPr>
          <w:rFonts w:cs="Times New Roman"/>
          <w:b/>
          <w:i/>
          <w:szCs w:val="24"/>
        </w:rPr>
        <w:t>Integrated</w:t>
      </w:r>
      <w:r w:rsidR="00375DC2" w:rsidRPr="00375DC2">
        <w:rPr>
          <w:rFonts w:cs="Times New Roman"/>
          <w:b/>
          <w:i/>
          <w:szCs w:val="24"/>
        </w:rPr>
        <w:t xml:space="preserve"> Coastal Zone Management (ICZM)</w:t>
      </w:r>
    </w:p>
    <w:p w:rsidR="00A356FA" w:rsidRPr="00375DC2" w:rsidRDefault="00A356FA" w:rsidP="006C3C5E">
      <w:pPr>
        <w:autoSpaceDE w:val="0"/>
        <w:autoSpaceDN w:val="0"/>
        <w:adjustRightInd w:val="0"/>
        <w:spacing w:line="276" w:lineRule="auto"/>
        <w:jc w:val="both"/>
        <w:rPr>
          <w:rFonts w:cs="Times New Roman"/>
          <w:i/>
          <w:szCs w:val="24"/>
        </w:rPr>
      </w:pPr>
      <w:r w:rsidRPr="00771453">
        <w:rPr>
          <w:rFonts w:cs="Times New Roman"/>
          <w:szCs w:val="24"/>
        </w:rPr>
        <w:t xml:space="preserve">In December 2000 the Minister of Water Resources announced the Government’s intention to develop an ICZM policy. Among other objectives, the ICZM policy will </w:t>
      </w:r>
      <w:r w:rsidRPr="00771453">
        <w:rPr>
          <w:rFonts w:cs="Times New Roman"/>
          <w:szCs w:val="24"/>
        </w:rPr>
        <w:lastRenderedPageBreak/>
        <w:t>attempt to rationalize and coordinate more effectively a number of environment and development initiatives taking place in the coastal zone. A number of donors, including the World Bank and th</w:t>
      </w:r>
      <w:r w:rsidR="00375DC2">
        <w:rPr>
          <w:rFonts w:cs="Times New Roman"/>
          <w:szCs w:val="24"/>
        </w:rPr>
        <w:t xml:space="preserve">e Netherlands Government, have expressed interest in </w:t>
      </w:r>
      <w:r w:rsidRPr="00771453">
        <w:rPr>
          <w:rFonts w:cs="Times New Roman"/>
          <w:szCs w:val="24"/>
        </w:rPr>
        <w:t xml:space="preserve">supporting the development of the policy over the coming years. </w:t>
      </w:r>
      <w:r w:rsidR="00375DC2">
        <w:rPr>
          <w:rFonts w:cs="Times New Roman"/>
          <w:szCs w:val="24"/>
        </w:rPr>
        <w:t xml:space="preserve">However, </w:t>
      </w:r>
      <w:r w:rsidR="002E04F3">
        <w:rPr>
          <w:rFonts w:cs="Times New Roman"/>
          <w:szCs w:val="24"/>
        </w:rPr>
        <w:t>progress</w:t>
      </w:r>
      <w:r w:rsidR="00375DC2">
        <w:rPr>
          <w:rFonts w:cs="Times New Roman"/>
          <w:szCs w:val="24"/>
        </w:rPr>
        <w:t xml:space="preserve"> has not been very encouraging</w:t>
      </w:r>
    </w:p>
    <w:p w:rsidR="00000000" w:rsidRDefault="002C1ADB" w:rsidP="003D5A31">
      <w:pPr>
        <w:pStyle w:val="BodyText"/>
        <w:numPr>
          <w:ilvl w:val="2"/>
          <w:numId w:val="139"/>
        </w:numPr>
        <w:spacing w:after="240" w:line="276" w:lineRule="auto"/>
        <w:jc w:val="both"/>
        <w:rPr>
          <w:rFonts w:cs="Times New Roman"/>
          <w:b/>
          <w:szCs w:val="24"/>
        </w:rPr>
      </w:pPr>
      <w:r>
        <w:rPr>
          <w:rFonts w:cs="Times New Roman"/>
          <w:b/>
          <w:szCs w:val="24"/>
        </w:rPr>
        <w:t xml:space="preserve">programme/Projects for </w:t>
      </w:r>
      <w:r w:rsidR="00A356FA" w:rsidRPr="00E50596">
        <w:rPr>
          <w:rFonts w:cs="Times New Roman"/>
          <w:b/>
          <w:szCs w:val="24"/>
        </w:rPr>
        <w:t xml:space="preserve"> Biodiversity Conservation: </w:t>
      </w:r>
    </w:p>
    <w:p w:rsidR="00A356FA" w:rsidRPr="00771453" w:rsidRDefault="00A356FA" w:rsidP="006C3C5E">
      <w:pPr>
        <w:pStyle w:val="BodyText"/>
        <w:kinsoku w:val="0"/>
        <w:overflowPunct w:val="0"/>
        <w:spacing w:after="240" w:line="276" w:lineRule="auto"/>
        <w:jc w:val="both"/>
        <w:rPr>
          <w:rFonts w:cs="Times New Roman"/>
        </w:rPr>
      </w:pPr>
      <w:r w:rsidRPr="00771453">
        <w:rPr>
          <w:rFonts w:cs="Times New Roman"/>
        </w:rPr>
        <w:t xml:space="preserve">The Government of Bangladesh has undertaken and implemented several biodiversity related program and projects aided by various international donor countries and organizations. Some of the noteworthy ones are described below: </w:t>
      </w:r>
    </w:p>
    <w:p w:rsidR="00A356FA" w:rsidRPr="00C8336F" w:rsidRDefault="00A356FA" w:rsidP="00375DC2">
      <w:pPr>
        <w:spacing w:line="276" w:lineRule="auto"/>
        <w:jc w:val="both"/>
        <w:rPr>
          <w:rFonts w:cs="Times New Roman"/>
          <w:b/>
          <w:i/>
          <w:szCs w:val="24"/>
        </w:rPr>
      </w:pPr>
      <w:r w:rsidRPr="00C8336F">
        <w:rPr>
          <w:rFonts w:cs="Times New Roman"/>
          <w:b/>
          <w:i/>
          <w:szCs w:val="24"/>
        </w:rPr>
        <w:t>Nishorgo Support Project (NSP)</w:t>
      </w:r>
    </w:p>
    <w:p w:rsidR="00A356FA" w:rsidRPr="00771453" w:rsidRDefault="00A356FA" w:rsidP="006C3C5E">
      <w:pPr>
        <w:widowControl w:val="0"/>
        <w:tabs>
          <w:tab w:val="left" w:pos="943"/>
        </w:tabs>
        <w:kinsoku w:val="0"/>
        <w:overflowPunct w:val="0"/>
        <w:autoSpaceDE w:val="0"/>
        <w:autoSpaceDN w:val="0"/>
        <w:adjustRightInd w:val="0"/>
        <w:spacing w:line="276" w:lineRule="auto"/>
        <w:jc w:val="both"/>
        <w:rPr>
          <w:rFonts w:cs="Times New Roman"/>
          <w:szCs w:val="24"/>
        </w:rPr>
      </w:pPr>
      <w:r w:rsidRPr="00771453">
        <w:rPr>
          <w:rFonts w:cs="Times New Roman"/>
          <w:szCs w:val="24"/>
        </w:rPr>
        <w:t xml:space="preserve">This pilot protected area management program is a Forest Department’s Project and has been financed by USAID under a Strategic Objective Grant Agreement. This is a five year project (2005-2010) and has been primarily implemented in five </w:t>
      </w:r>
      <w:r w:rsidR="00375DC2">
        <w:rPr>
          <w:rFonts w:cs="Times New Roman"/>
          <w:szCs w:val="24"/>
        </w:rPr>
        <w:t>Park areas (</w:t>
      </w:r>
      <w:r w:rsidRPr="00771453">
        <w:rPr>
          <w:rFonts w:cs="Times New Roman"/>
          <w:szCs w:val="24"/>
        </w:rPr>
        <w:t>P</w:t>
      </w:r>
      <w:r w:rsidR="00375DC2" w:rsidRPr="00771453">
        <w:rPr>
          <w:rFonts w:cs="Times New Roman"/>
          <w:szCs w:val="24"/>
        </w:rPr>
        <w:t>a</w:t>
      </w:r>
      <w:r w:rsidRPr="00771453">
        <w:rPr>
          <w:rFonts w:cs="Times New Roman"/>
          <w:szCs w:val="24"/>
        </w:rPr>
        <w:t>s</w:t>
      </w:r>
      <w:r w:rsidR="00375DC2">
        <w:rPr>
          <w:rFonts w:cs="Times New Roman"/>
          <w:szCs w:val="24"/>
        </w:rPr>
        <w:t>)</w:t>
      </w:r>
      <w:r w:rsidRPr="00771453">
        <w:rPr>
          <w:rFonts w:cs="Times New Roman"/>
          <w:szCs w:val="24"/>
        </w:rPr>
        <w:t xml:space="preserve"> of the country (i.e., Lawachara National Park, Rema-Kalenga Wildlife Sanctuary, Satchari National Park, Chunati Wildlife Sanctuary and Teknaf Game Reserve). The overall objective of this project is conservation of biodiversity within the PAs. The project has worked to achieve six separate but closely related objectives in support of this overall objective, as stated below:</w:t>
      </w:r>
    </w:p>
    <w:p w:rsidR="00A356FA" w:rsidRPr="00BE5A61" w:rsidRDefault="00A356FA" w:rsidP="00F1445B">
      <w:pPr>
        <w:pStyle w:val="ListParagraph"/>
        <w:widowControl w:val="0"/>
        <w:numPr>
          <w:ilvl w:val="0"/>
          <w:numId w:val="13"/>
        </w:numPr>
        <w:tabs>
          <w:tab w:val="left" w:pos="720"/>
        </w:tabs>
        <w:kinsoku w:val="0"/>
        <w:overflowPunct w:val="0"/>
        <w:autoSpaceDE w:val="0"/>
        <w:autoSpaceDN w:val="0"/>
        <w:adjustRightInd w:val="0"/>
        <w:spacing w:line="276" w:lineRule="auto"/>
        <w:ind w:left="360"/>
        <w:jc w:val="both"/>
        <w:rPr>
          <w:rFonts w:cs="Times New Roman"/>
          <w:szCs w:val="24"/>
        </w:rPr>
      </w:pPr>
      <w:r w:rsidRPr="00BE5A61">
        <w:rPr>
          <w:rFonts w:cs="Times New Roman"/>
          <w:szCs w:val="24"/>
        </w:rPr>
        <w:t>Develop  a  functional  model  for  formalized  collaboration  in  the  management  of Protected Areas.</w:t>
      </w:r>
    </w:p>
    <w:p w:rsidR="00A356FA" w:rsidRPr="00BE5A61" w:rsidRDefault="00A356FA" w:rsidP="00F1445B">
      <w:pPr>
        <w:pStyle w:val="ListParagraph"/>
        <w:widowControl w:val="0"/>
        <w:numPr>
          <w:ilvl w:val="0"/>
          <w:numId w:val="13"/>
        </w:numPr>
        <w:tabs>
          <w:tab w:val="left" w:pos="720"/>
        </w:tabs>
        <w:kinsoku w:val="0"/>
        <w:overflowPunct w:val="0"/>
        <w:autoSpaceDE w:val="0"/>
        <w:autoSpaceDN w:val="0"/>
        <w:adjustRightInd w:val="0"/>
        <w:spacing w:line="276" w:lineRule="auto"/>
        <w:ind w:left="360"/>
        <w:jc w:val="both"/>
        <w:rPr>
          <w:rFonts w:cs="Times New Roman"/>
          <w:szCs w:val="24"/>
        </w:rPr>
      </w:pPr>
      <w:r w:rsidRPr="00BE5A61">
        <w:rPr>
          <w:rFonts w:cs="Times New Roman"/>
          <w:szCs w:val="24"/>
        </w:rPr>
        <w:t>Create alternative income generation opportunities for key local stakeholders in and around PAs.</w:t>
      </w:r>
    </w:p>
    <w:p w:rsidR="00A356FA" w:rsidRPr="00BE5A61" w:rsidRDefault="00A356FA" w:rsidP="00F1445B">
      <w:pPr>
        <w:pStyle w:val="ListParagraph"/>
        <w:widowControl w:val="0"/>
        <w:numPr>
          <w:ilvl w:val="0"/>
          <w:numId w:val="13"/>
        </w:numPr>
        <w:tabs>
          <w:tab w:val="left" w:pos="720"/>
        </w:tabs>
        <w:kinsoku w:val="0"/>
        <w:overflowPunct w:val="0"/>
        <w:autoSpaceDE w:val="0"/>
        <w:autoSpaceDN w:val="0"/>
        <w:adjustRightInd w:val="0"/>
        <w:spacing w:line="276" w:lineRule="auto"/>
        <w:ind w:left="360"/>
        <w:jc w:val="both"/>
        <w:rPr>
          <w:rFonts w:cs="Times New Roman"/>
          <w:szCs w:val="24"/>
        </w:rPr>
      </w:pPr>
      <w:r w:rsidRPr="00BE5A61">
        <w:rPr>
          <w:rFonts w:cs="Times New Roman"/>
          <w:szCs w:val="24"/>
        </w:rPr>
        <w:t>Develop policies conductive to improved PA management and build constituencies to further these policy goals.</w:t>
      </w:r>
    </w:p>
    <w:p w:rsidR="00A356FA" w:rsidRPr="00BE5A61" w:rsidRDefault="00A356FA" w:rsidP="00F1445B">
      <w:pPr>
        <w:pStyle w:val="ListParagraph"/>
        <w:widowControl w:val="0"/>
        <w:numPr>
          <w:ilvl w:val="0"/>
          <w:numId w:val="13"/>
        </w:numPr>
        <w:tabs>
          <w:tab w:val="left" w:pos="720"/>
        </w:tabs>
        <w:kinsoku w:val="0"/>
        <w:overflowPunct w:val="0"/>
        <w:autoSpaceDE w:val="0"/>
        <w:autoSpaceDN w:val="0"/>
        <w:adjustRightInd w:val="0"/>
        <w:spacing w:line="276" w:lineRule="auto"/>
        <w:ind w:left="360"/>
        <w:jc w:val="both"/>
        <w:rPr>
          <w:rFonts w:cs="Times New Roman"/>
          <w:szCs w:val="24"/>
        </w:rPr>
      </w:pPr>
      <w:r w:rsidRPr="00BE5A61">
        <w:rPr>
          <w:rFonts w:cs="Times New Roman"/>
          <w:szCs w:val="24"/>
        </w:rPr>
        <w:t>Strengthen the institutional system and capacity of the FD and key stakeholders so that improvements under the project can be made permanent.</w:t>
      </w:r>
    </w:p>
    <w:p w:rsidR="00A356FA" w:rsidRPr="00BE5A61" w:rsidRDefault="00A356FA" w:rsidP="00F1445B">
      <w:pPr>
        <w:pStyle w:val="ListParagraph"/>
        <w:widowControl w:val="0"/>
        <w:numPr>
          <w:ilvl w:val="0"/>
          <w:numId w:val="13"/>
        </w:numPr>
        <w:tabs>
          <w:tab w:val="left" w:pos="720"/>
        </w:tabs>
        <w:kinsoku w:val="0"/>
        <w:overflowPunct w:val="0"/>
        <w:autoSpaceDE w:val="0"/>
        <w:autoSpaceDN w:val="0"/>
        <w:adjustRightInd w:val="0"/>
        <w:spacing w:line="276" w:lineRule="auto"/>
        <w:ind w:left="360"/>
        <w:jc w:val="both"/>
        <w:rPr>
          <w:rFonts w:cs="Times New Roman"/>
          <w:szCs w:val="24"/>
        </w:rPr>
      </w:pPr>
      <w:r w:rsidRPr="00BE5A61">
        <w:rPr>
          <w:rFonts w:cs="Times New Roman"/>
          <w:szCs w:val="24"/>
        </w:rPr>
        <w:t>Build or reinforce the infrastructure within PAs that will enable better management, and provide limited visitor services.</w:t>
      </w:r>
    </w:p>
    <w:p w:rsidR="00E51AFD" w:rsidRPr="00183BF4" w:rsidRDefault="00A356FA" w:rsidP="00F1445B">
      <w:pPr>
        <w:pStyle w:val="ListParagraph"/>
        <w:widowControl w:val="0"/>
        <w:numPr>
          <w:ilvl w:val="0"/>
          <w:numId w:val="13"/>
        </w:numPr>
        <w:tabs>
          <w:tab w:val="left" w:pos="720"/>
        </w:tabs>
        <w:kinsoku w:val="0"/>
        <w:overflowPunct w:val="0"/>
        <w:autoSpaceDE w:val="0"/>
        <w:autoSpaceDN w:val="0"/>
        <w:adjustRightInd w:val="0"/>
        <w:spacing w:line="276" w:lineRule="auto"/>
        <w:ind w:left="360"/>
        <w:jc w:val="both"/>
        <w:rPr>
          <w:rFonts w:cs="Times New Roman"/>
          <w:szCs w:val="24"/>
        </w:rPr>
      </w:pPr>
      <w:r w:rsidRPr="00BE5A61">
        <w:rPr>
          <w:rFonts w:cs="Times New Roman"/>
          <w:szCs w:val="24"/>
        </w:rPr>
        <w:t>Design and implement a program of habitat management and restoration for P</w:t>
      </w:r>
      <w:r w:rsidR="00375DC2">
        <w:rPr>
          <w:rFonts w:cs="Times New Roman"/>
          <w:szCs w:val="24"/>
        </w:rPr>
        <w:t>As.</w:t>
      </w:r>
    </w:p>
    <w:p w:rsidR="00A356FA" w:rsidRPr="00C8336F" w:rsidRDefault="00A356FA" w:rsidP="00375DC2">
      <w:pPr>
        <w:pStyle w:val="BodyText"/>
        <w:kinsoku w:val="0"/>
        <w:overflowPunct w:val="0"/>
        <w:spacing w:after="240" w:line="276" w:lineRule="auto"/>
        <w:jc w:val="both"/>
        <w:rPr>
          <w:rFonts w:cs="Times New Roman"/>
          <w:b/>
          <w:i/>
        </w:rPr>
      </w:pPr>
      <w:r w:rsidRPr="00C8336F">
        <w:rPr>
          <w:rFonts w:cs="Times New Roman"/>
          <w:b/>
          <w:i/>
        </w:rPr>
        <w:t xml:space="preserve">Coastal and Wetland Biodiversity Management Project: </w:t>
      </w:r>
    </w:p>
    <w:p w:rsidR="00A356FA" w:rsidRPr="00771453" w:rsidRDefault="00A356FA" w:rsidP="002D27A7">
      <w:pPr>
        <w:pStyle w:val="BodyText"/>
        <w:kinsoku w:val="0"/>
        <w:overflowPunct w:val="0"/>
        <w:spacing w:after="240" w:line="276" w:lineRule="auto"/>
        <w:jc w:val="both"/>
        <w:rPr>
          <w:rFonts w:cs="Times New Roman"/>
          <w:i/>
        </w:rPr>
      </w:pPr>
      <w:r w:rsidRPr="00771453">
        <w:rPr>
          <w:rFonts w:cs="Times New Roman"/>
        </w:rPr>
        <w:t>Bangladesh  has  completed  a  Pre-Investment  Feasibility  (PRIF)  study  funded by the Global Environmental Facility (GEF). It was a preparatory initiative to develop a project proposal to implement a reserve, and a multiple-use management program for the protection, sustainable management, and integration of at least three-priority biodiversity sites in Bangladesh. The primary focus was to integra</w:t>
      </w:r>
      <w:r w:rsidR="006051C3">
        <w:rPr>
          <w:rFonts w:cs="Times New Roman"/>
        </w:rPr>
        <w:t>te conservation and development</w:t>
      </w:r>
      <w:r w:rsidRPr="00771453">
        <w:rPr>
          <w:rFonts w:cs="Times New Roman"/>
        </w:rPr>
        <w:t xml:space="preserve"> in </w:t>
      </w:r>
      <w:r w:rsidRPr="00771453">
        <w:rPr>
          <w:rFonts w:cs="Times New Roman"/>
        </w:rPr>
        <w:lastRenderedPageBreak/>
        <w:t xml:space="preserve">order to protect and manage the priority areas in a sustainable way. The Project Brief and the outcome of the said PRIF study project have already been approved by the Project Steering Committee, and subsequently accepted by the GEF. The product of the follow- up project entitled “Coastal and Wetland Biodiversity Management in Cox’s Bazaar and Hakaluki Haor (BGD1991G31)” has also been prepared, and approved by the GEF council for funding. This project is under process of execution by the Government of Bangladesh. </w:t>
      </w:r>
    </w:p>
    <w:p w:rsidR="00A356FA" w:rsidRPr="00771453" w:rsidRDefault="00A356FA" w:rsidP="002D27A7">
      <w:pPr>
        <w:autoSpaceDE w:val="0"/>
        <w:autoSpaceDN w:val="0"/>
        <w:adjustRightInd w:val="0"/>
        <w:spacing w:line="276" w:lineRule="auto"/>
        <w:jc w:val="both"/>
        <w:rPr>
          <w:rFonts w:cs="Times New Roman"/>
          <w:b/>
          <w:bCs/>
          <w:szCs w:val="24"/>
        </w:rPr>
      </w:pPr>
      <w:r w:rsidRPr="00771453">
        <w:rPr>
          <w:rFonts w:cs="Times New Roman"/>
          <w:i/>
          <w:szCs w:val="24"/>
        </w:rPr>
        <w:t>Management of Aquatic Ecosystem through Community Husbandry (MACH</w:t>
      </w:r>
      <w:r w:rsidRPr="00771453">
        <w:rPr>
          <w:rFonts w:cs="Times New Roman"/>
          <w:bCs/>
          <w:i/>
          <w:szCs w:val="24"/>
        </w:rPr>
        <w:t>):</w:t>
      </w:r>
      <w:r w:rsidRPr="00771453">
        <w:rPr>
          <w:rFonts w:cs="Times New Roman"/>
          <w:b/>
          <w:bCs/>
          <w:szCs w:val="24"/>
        </w:rPr>
        <w:t xml:space="preserve"> </w:t>
      </w:r>
      <w:r w:rsidRPr="00771453">
        <w:rPr>
          <w:rFonts w:cs="Times New Roman"/>
          <w:szCs w:val="24"/>
        </w:rPr>
        <w:t xml:space="preserve">The natural resources in the floodplains and wetlands throughout Bangladesh are in decline. Thus, to conserve these resources the Government of Bangladesh and the United States of America have jointly developed a program called MACH. An agreement to implement this program was signed in May 1998. Its goal is to ensure the sustainable productivity of all wetland resources such as water, fish, plant and wildlife over an entire wetland ecosystem. </w:t>
      </w:r>
    </w:p>
    <w:p w:rsidR="00A356FA" w:rsidRPr="00771453" w:rsidRDefault="00A356FA" w:rsidP="002D27A7">
      <w:pPr>
        <w:autoSpaceDE w:val="0"/>
        <w:autoSpaceDN w:val="0"/>
        <w:adjustRightInd w:val="0"/>
        <w:spacing w:line="276" w:lineRule="auto"/>
        <w:jc w:val="both"/>
        <w:rPr>
          <w:rFonts w:cs="Times New Roman"/>
          <w:b/>
          <w:szCs w:val="24"/>
        </w:rPr>
      </w:pPr>
      <w:r w:rsidRPr="00771453">
        <w:rPr>
          <w:rFonts w:cs="Times New Roman"/>
          <w:i/>
          <w:szCs w:val="24"/>
        </w:rPr>
        <w:t>Sundarbans Biodiversity Conservation Program:</w:t>
      </w:r>
      <w:r w:rsidRPr="00771453">
        <w:rPr>
          <w:rFonts w:cs="Times New Roman"/>
          <w:b/>
          <w:szCs w:val="24"/>
        </w:rPr>
        <w:t xml:space="preserve"> </w:t>
      </w:r>
      <w:r w:rsidRPr="00771453">
        <w:rPr>
          <w:rFonts w:cs="Times New Roman"/>
          <w:szCs w:val="24"/>
        </w:rPr>
        <w:t xml:space="preserve">The Asian Development Bank funded the project “Sundarbans Biodiversity Conservation Project” in 1998. The objective of the project was to establish an effective system for the participatory and sustainable management of the ecosystem of the Sundarbans Reserved Forest. The scope of the project included biodiversity conservation, sustainable resource management, community development, participatory resources management program, development of ecotourism infrastructure, and establishing a new multi-sectoral management agency that will work for an integrated conservation and development approach. </w:t>
      </w:r>
    </w:p>
    <w:p w:rsidR="00A356FA" w:rsidRPr="00771453" w:rsidRDefault="00A356FA" w:rsidP="002D27A7">
      <w:pPr>
        <w:autoSpaceDE w:val="0"/>
        <w:autoSpaceDN w:val="0"/>
        <w:adjustRightInd w:val="0"/>
        <w:spacing w:line="276" w:lineRule="auto"/>
        <w:jc w:val="both"/>
        <w:rPr>
          <w:rFonts w:cs="Times New Roman"/>
          <w:b/>
          <w:szCs w:val="24"/>
        </w:rPr>
      </w:pPr>
      <w:r w:rsidRPr="00771453">
        <w:rPr>
          <w:rFonts w:cs="Times New Roman"/>
          <w:i/>
          <w:szCs w:val="24"/>
        </w:rPr>
        <w:t>Biodiversity survey in different protected areas:</w:t>
      </w:r>
      <w:r w:rsidRPr="00771453">
        <w:rPr>
          <w:rFonts w:cs="Times New Roman"/>
          <w:b/>
          <w:szCs w:val="24"/>
        </w:rPr>
        <w:t xml:space="preserve"> </w:t>
      </w:r>
      <w:r w:rsidRPr="00771453">
        <w:rPr>
          <w:rFonts w:cs="Times New Roman"/>
          <w:szCs w:val="24"/>
        </w:rPr>
        <w:t xml:space="preserve">A biological survey study was conducted in 13 protected areas by the Bangladesh Centre for Advanced Studies, in collaboration with the Forest Department. The survey was conducted to assess the biological resources available in the designated areas. The potential value of each protected area was evaluated through determination of the species present, the relative abundance of the species and the species diversity. The critical habitats in each of the protected areas were identified for protecting the threatened species, and also for developing protective area management plans. </w:t>
      </w:r>
    </w:p>
    <w:p w:rsidR="00A356FA" w:rsidRPr="00771453" w:rsidRDefault="00A356FA" w:rsidP="006C3C5E">
      <w:pPr>
        <w:autoSpaceDE w:val="0"/>
        <w:autoSpaceDN w:val="0"/>
        <w:adjustRightInd w:val="0"/>
        <w:spacing w:line="276" w:lineRule="auto"/>
        <w:jc w:val="both"/>
        <w:rPr>
          <w:rFonts w:cs="Times New Roman"/>
          <w:b/>
          <w:szCs w:val="24"/>
        </w:rPr>
      </w:pPr>
      <w:r w:rsidRPr="00771453">
        <w:rPr>
          <w:rFonts w:cs="Times New Roman"/>
          <w:i/>
          <w:szCs w:val="24"/>
        </w:rPr>
        <w:t>Conservation and management of medicinal plants:</w:t>
      </w:r>
      <w:r w:rsidRPr="00771453">
        <w:rPr>
          <w:rFonts w:cs="Times New Roman"/>
          <w:b/>
          <w:szCs w:val="24"/>
        </w:rPr>
        <w:t xml:space="preserve"> </w:t>
      </w:r>
      <w:r w:rsidRPr="00771453">
        <w:rPr>
          <w:rFonts w:cs="Times New Roman"/>
          <w:szCs w:val="24"/>
        </w:rPr>
        <w:t>A project on the conservation and management of biodiversity of medicinal plants for their sustainable utilization will be executed in Rangamati Hill district. This project is in the process of final approval by the GEF. The specific objectives of the project are:</w:t>
      </w:r>
    </w:p>
    <w:p w:rsidR="00A356FA" w:rsidRPr="00BE5A61" w:rsidRDefault="00A356FA" w:rsidP="003D5A31">
      <w:pPr>
        <w:pStyle w:val="ListParagraph"/>
        <w:numPr>
          <w:ilvl w:val="0"/>
          <w:numId w:val="108"/>
        </w:numPr>
        <w:spacing w:line="276" w:lineRule="auto"/>
        <w:ind w:left="360"/>
        <w:jc w:val="both"/>
      </w:pPr>
      <w:r w:rsidRPr="00BE5A61">
        <w:t>Development of an inventory of medicinal plants in the project area;</w:t>
      </w:r>
    </w:p>
    <w:p w:rsidR="00A356FA" w:rsidRPr="00BE5A61" w:rsidRDefault="00A356FA" w:rsidP="003D5A31">
      <w:pPr>
        <w:pStyle w:val="ListParagraph"/>
        <w:numPr>
          <w:ilvl w:val="0"/>
          <w:numId w:val="108"/>
        </w:numPr>
        <w:spacing w:line="276" w:lineRule="auto"/>
        <w:ind w:left="360"/>
        <w:jc w:val="both"/>
      </w:pPr>
      <w:r w:rsidRPr="00BE5A61">
        <w:t>Documentation of traditional uses by the local people;</w:t>
      </w:r>
    </w:p>
    <w:p w:rsidR="00A356FA" w:rsidRPr="00BE5A61" w:rsidRDefault="00A356FA" w:rsidP="003D5A31">
      <w:pPr>
        <w:pStyle w:val="ListParagraph"/>
        <w:numPr>
          <w:ilvl w:val="0"/>
          <w:numId w:val="108"/>
        </w:numPr>
        <w:spacing w:line="276" w:lineRule="auto"/>
        <w:ind w:left="360"/>
        <w:jc w:val="both"/>
      </w:pPr>
      <w:r w:rsidRPr="00BE5A61">
        <w:t>Conservation of medicinal plants and their ecosystem;</w:t>
      </w:r>
    </w:p>
    <w:p w:rsidR="002C1ADB" w:rsidRDefault="00A356FA" w:rsidP="003D5A31">
      <w:pPr>
        <w:pStyle w:val="ListParagraph"/>
        <w:numPr>
          <w:ilvl w:val="0"/>
          <w:numId w:val="108"/>
        </w:numPr>
        <w:spacing w:line="276" w:lineRule="auto"/>
        <w:ind w:left="360"/>
        <w:jc w:val="both"/>
      </w:pPr>
      <w:r w:rsidRPr="00BE5A61">
        <w:lastRenderedPageBreak/>
        <w:t xml:space="preserve">Capacity building of concerned agencies in the sustainable use of the medicinal plants. </w:t>
      </w:r>
    </w:p>
    <w:p w:rsidR="002C1ADB" w:rsidRPr="002C1ADB" w:rsidRDefault="002C1ADB" w:rsidP="003D5A31">
      <w:pPr>
        <w:pStyle w:val="ListParagraph"/>
        <w:numPr>
          <w:ilvl w:val="0"/>
          <w:numId w:val="108"/>
        </w:numPr>
        <w:spacing w:line="276" w:lineRule="auto"/>
        <w:jc w:val="both"/>
        <w:rPr>
          <w:rFonts w:cs="Times New Roman"/>
          <w:b/>
          <w:i/>
          <w:szCs w:val="24"/>
        </w:rPr>
      </w:pPr>
      <w:r w:rsidRPr="002C1ADB">
        <w:rPr>
          <w:rFonts w:cs="Times New Roman"/>
          <w:b/>
          <w:i/>
          <w:szCs w:val="24"/>
        </w:rPr>
        <w:t>Sustainable Environment Management Program (SEMP)</w:t>
      </w:r>
    </w:p>
    <w:p w:rsidR="002C1ADB" w:rsidRPr="002C1ADB" w:rsidRDefault="002C1ADB" w:rsidP="003D5A31">
      <w:pPr>
        <w:pStyle w:val="ListParagraph"/>
        <w:numPr>
          <w:ilvl w:val="0"/>
          <w:numId w:val="108"/>
        </w:numPr>
        <w:spacing w:line="276" w:lineRule="auto"/>
        <w:jc w:val="both"/>
        <w:rPr>
          <w:rFonts w:cs="Times New Roman"/>
          <w:szCs w:val="24"/>
        </w:rPr>
      </w:pPr>
      <w:r w:rsidRPr="002C1ADB">
        <w:rPr>
          <w:rFonts w:cs="Times New Roman"/>
          <w:szCs w:val="24"/>
        </w:rPr>
        <w:t xml:space="preserve">Sustainable Environment Management Program, supported by the UNDP and implemented by MoEF for a five year periods (1998-2002), was the response that evolved from the concerns, needs and actions identified through the National Environment Management Action Plan (NEMAP) process. It focuses on community-based resource management in wetlands. In the NEMAP several major priority areas of environmental concern were identified and the SEMP has been designed to address these priorities. The program consists of 26 components on five major themes and is implemented by 22 organizations from the government, NGO’s and private sector. The community-based “Haor and Floodplain Resource management Project” is being implemented by the IUCN with the Ministry of Environment and Forests, in two well-defined degraded areas of haor and floodplain ecosystems. The major focus of the program is to involve community people in the planning and implementation of activities for the management of natural resources that maintain biodiversity and human well-being. </w:t>
      </w:r>
    </w:p>
    <w:p w:rsidR="00F64A6A" w:rsidRDefault="00F64A6A" w:rsidP="00F64A6A">
      <w:pPr>
        <w:spacing w:line="276" w:lineRule="auto"/>
        <w:jc w:val="both"/>
      </w:pPr>
    </w:p>
    <w:p w:rsidR="00A356FA" w:rsidRPr="00C8336F" w:rsidRDefault="00A356FA" w:rsidP="006051C3">
      <w:pPr>
        <w:autoSpaceDE w:val="0"/>
        <w:autoSpaceDN w:val="0"/>
        <w:adjustRightInd w:val="0"/>
        <w:spacing w:line="276" w:lineRule="auto"/>
        <w:jc w:val="both"/>
        <w:rPr>
          <w:rFonts w:cs="Times New Roman"/>
          <w:b/>
          <w:i/>
          <w:szCs w:val="24"/>
        </w:rPr>
      </w:pPr>
      <w:r w:rsidRPr="00C8336F">
        <w:rPr>
          <w:rFonts w:cs="Times New Roman"/>
          <w:b/>
          <w:i/>
          <w:szCs w:val="24"/>
        </w:rPr>
        <w:t>Multilateral Environmental Agreements</w:t>
      </w:r>
    </w:p>
    <w:p w:rsidR="00A356FA" w:rsidRPr="00771453" w:rsidRDefault="00A356FA" w:rsidP="006C3C5E">
      <w:pPr>
        <w:autoSpaceDE w:val="0"/>
        <w:autoSpaceDN w:val="0"/>
        <w:adjustRightInd w:val="0"/>
        <w:spacing w:line="276" w:lineRule="auto"/>
        <w:jc w:val="both"/>
        <w:rPr>
          <w:rFonts w:cs="Times New Roman"/>
          <w:szCs w:val="24"/>
        </w:rPr>
      </w:pPr>
      <w:r w:rsidRPr="00771453">
        <w:rPr>
          <w:rFonts w:cs="Times New Roman"/>
          <w:szCs w:val="24"/>
        </w:rPr>
        <w:t>Bangladesh has signed different environmental agreement</w:t>
      </w:r>
      <w:r w:rsidR="006051C3">
        <w:rPr>
          <w:rFonts w:cs="Times New Roman"/>
          <w:szCs w:val="24"/>
        </w:rPr>
        <w:t>s</w:t>
      </w:r>
      <w:r w:rsidRPr="00771453">
        <w:rPr>
          <w:rFonts w:cs="Times New Roman"/>
          <w:szCs w:val="24"/>
        </w:rPr>
        <w:t xml:space="preserve"> to protect the country’s biodiversity. Some of the important agreements are:</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Convention on Biological Diversity, 1992</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RAMSAR Convention on Wetlands came into force for Bangladesh on 21 September 1992</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Convention Concerning the Protection of the World Cultural and Natural Heritage, 1992</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United Nations Conventions to Combat Desertification, 1994</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Convention on International Trade in Endangered Species, 1981</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East Asian Australasian Flyway Partnership, 2010</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Asia Pacific Network for Sustainable Forest Management, 2010</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Nagoya Protocol, 2010</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Mangrove for Future, 2010</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South Asia Wildlife Enforcement Network, 2013</w:t>
      </w:r>
    </w:p>
    <w:p w:rsidR="00A356FA" w:rsidRPr="00771453" w:rsidRDefault="00A356FA" w:rsidP="00F1445B">
      <w:pPr>
        <w:pStyle w:val="ListParagraph"/>
        <w:numPr>
          <w:ilvl w:val="0"/>
          <w:numId w:val="14"/>
        </w:numPr>
        <w:spacing w:line="276" w:lineRule="auto"/>
        <w:ind w:left="360"/>
        <w:jc w:val="both"/>
        <w:rPr>
          <w:rFonts w:cs="Times New Roman"/>
          <w:szCs w:val="24"/>
        </w:rPr>
      </w:pPr>
      <w:r w:rsidRPr="00771453">
        <w:rPr>
          <w:rFonts w:cs="Times New Roman"/>
          <w:szCs w:val="24"/>
        </w:rPr>
        <w:t>Asia Protected Area Partnership, 2014</w:t>
      </w:r>
    </w:p>
    <w:p w:rsidR="00A356FA" w:rsidRPr="00771453" w:rsidRDefault="00A356FA" w:rsidP="006C3C5E">
      <w:pPr>
        <w:pStyle w:val="ListParagraph"/>
        <w:autoSpaceDE w:val="0"/>
        <w:autoSpaceDN w:val="0"/>
        <w:adjustRightInd w:val="0"/>
        <w:spacing w:line="276" w:lineRule="auto"/>
        <w:ind w:left="0"/>
        <w:jc w:val="both"/>
        <w:rPr>
          <w:rFonts w:cs="Times New Roman"/>
          <w:sz w:val="10"/>
          <w:szCs w:val="10"/>
        </w:rPr>
      </w:pPr>
    </w:p>
    <w:p w:rsidR="00F64A6A" w:rsidRDefault="002D27A7" w:rsidP="00F64A6A">
      <w:pPr>
        <w:pStyle w:val="Heading2"/>
        <w:numPr>
          <w:ilvl w:val="0"/>
          <w:numId w:val="0"/>
        </w:numPr>
        <w:ind w:left="720"/>
      </w:pPr>
      <w:bookmarkStart w:id="217" w:name="_Toc474638862"/>
      <w:r>
        <w:t>Strategies and Policies</w:t>
      </w:r>
      <w:r w:rsidR="00A356FA" w:rsidRPr="00426244">
        <w:t xml:space="preserve"> for Moving Forward</w:t>
      </w:r>
      <w:bookmarkEnd w:id="217"/>
    </w:p>
    <w:p w:rsidR="000521A5" w:rsidRDefault="000521A5" w:rsidP="00E51AFD">
      <w:pPr>
        <w:spacing w:line="276" w:lineRule="auto"/>
        <w:jc w:val="both"/>
        <w:rPr>
          <w:szCs w:val="24"/>
        </w:rPr>
      </w:pPr>
      <w:r>
        <w:rPr>
          <w:szCs w:val="24"/>
        </w:rPr>
        <w:lastRenderedPageBreak/>
        <w:t xml:space="preserve">The review of past policies suggests that there is a growing awareness of the environmental and bio-diversity concerns related to development. This sensitivity is being increasingly translated into policies and programmes to </w:t>
      </w:r>
      <w:r w:rsidR="00F51D0D">
        <w:rPr>
          <w:szCs w:val="24"/>
        </w:rPr>
        <w:t>address</w:t>
      </w:r>
      <w:r w:rsidR="00C949A7">
        <w:rPr>
          <w:szCs w:val="24"/>
        </w:rPr>
        <w:t xml:space="preserve"> these concerns. </w:t>
      </w:r>
      <w:r>
        <w:rPr>
          <w:szCs w:val="24"/>
        </w:rPr>
        <w:t xml:space="preserve">Yet, the record of merging issues and challenges relating to protection of the environment and biodiversity suggests that implementation of past and ongoing policies will need to be strengthened with stronger monitoring and research. Additionally, new </w:t>
      </w:r>
      <w:r w:rsidR="00F51D0D">
        <w:rPr>
          <w:szCs w:val="24"/>
        </w:rPr>
        <w:t>initiatives</w:t>
      </w:r>
      <w:r>
        <w:rPr>
          <w:szCs w:val="24"/>
        </w:rPr>
        <w:t xml:space="preserve"> will be necessary as a part of the Delta Plan implementation.</w:t>
      </w:r>
    </w:p>
    <w:p w:rsidR="00A356FA" w:rsidRDefault="00A356FA" w:rsidP="00C949A7">
      <w:pPr>
        <w:jc w:val="both"/>
      </w:pPr>
      <w:r w:rsidRPr="00C949A7">
        <w:t>In order to ensure environmental sustainability, disaster and climate change resilience, protection of the ecosystem, biodi</w:t>
      </w:r>
      <w:r w:rsidR="00F87857" w:rsidRPr="00C949A7">
        <w:t>versity and wise use of wetland,</w:t>
      </w:r>
      <w:r w:rsidRPr="00C949A7">
        <w:t xml:space="preserve"> initiation of strategic options on ecosystem, biodiversity conservation and sustainable environmental management is needed. To ensure these, the following strategies could be applied. </w:t>
      </w:r>
    </w:p>
    <w:p w:rsidR="00000000" w:rsidRDefault="00F87857" w:rsidP="003D5A31">
      <w:pPr>
        <w:pStyle w:val="BodyText"/>
        <w:numPr>
          <w:ilvl w:val="2"/>
          <w:numId w:val="140"/>
        </w:numPr>
        <w:spacing w:after="240" w:line="276" w:lineRule="auto"/>
        <w:jc w:val="both"/>
        <w:rPr>
          <w:rFonts w:cs="Times New Roman"/>
          <w:b/>
          <w:szCs w:val="24"/>
        </w:rPr>
      </w:pPr>
      <w:r w:rsidRPr="00E50596">
        <w:rPr>
          <w:rFonts w:cs="Times New Roman"/>
          <w:b/>
          <w:szCs w:val="24"/>
        </w:rPr>
        <w:t>Strategies</w:t>
      </w:r>
    </w:p>
    <w:p w:rsidR="00A356FA" w:rsidRPr="00426244" w:rsidRDefault="000463D1" w:rsidP="00F1445B">
      <w:pPr>
        <w:pStyle w:val="BodyText1"/>
        <w:numPr>
          <w:ilvl w:val="0"/>
          <w:numId w:val="15"/>
        </w:numPr>
        <w:spacing w:before="0" w:after="240" w:line="276" w:lineRule="auto"/>
        <w:ind w:left="360"/>
        <w:rPr>
          <w:rFonts w:cs="Times New Roman"/>
        </w:rPr>
      </w:pPr>
      <w:r w:rsidRPr="000463D1">
        <w:rPr>
          <w:rFonts w:cs="Times New Roman"/>
        </w:rPr>
        <w:t>Establishment of z</w:t>
      </w:r>
      <w:r w:rsidR="00A356FA" w:rsidRPr="000463D1">
        <w:rPr>
          <w:rFonts w:cs="Times New Roman"/>
        </w:rPr>
        <w:t>oning</w:t>
      </w:r>
      <w:r w:rsidRPr="000463D1">
        <w:rPr>
          <w:rFonts w:cs="Times New Roman"/>
        </w:rPr>
        <w:t xml:space="preserve"> of the region on the basis of e</w:t>
      </w:r>
      <w:r w:rsidR="00A356FA" w:rsidRPr="000463D1">
        <w:rPr>
          <w:rFonts w:cs="Times New Roman"/>
        </w:rPr>
        <w:t>cological attribu</w:t>
      </w:r>
      <w:r w:rsidRPr="000463D1">
        <w:rPr>
          <w:rFonts w:cs="Times New Roman"/>
        </w:rPr>
        <w:t>tes distribution of biological r</w:t>
      </w:r>
      <w:r w:rsidR="00A356FA" w:rsidRPr="000463D1">
        <w:rPr>
          <w:rFonts w:cs="Times New Roman"/>
        </w:rPr>
        <w:t>eso</w:t>
      </w:r>
      <w:r w:rsidRPr="000463D1">
        <w:rPr>
          <w:rFonts w:cs="Times New Roman"/>
        </w:rPr>
        <w:t>urces and the land use patterns.</w:t>
      </w:r>
      <w:r>
        <w:rPr>
          <w:rFonts w:cs="Times New Roman"/>
        </w:rPr>
        <w:t xml:space="preserve"> These</w:t>
      </w:r>
      <w:r w:rsidR="00A356FA" w:rsidRPr="00426244">
        <w:rPr>
          <w:rFonts w:cs="Times New Roman"/>
        </w:rPr>
        <w:t xml:space="preserve"> new land use zone </w:t>
      </w:r>
      <w:r>
        <w:rPr>
          <w:rFonts w:cs="Times New Roman"/>
        </w:rPr>
        <w:t xml:space="preserve">may be established by </w:t>
      </w:r>
      <w:r w:rsidR="00A356FA" w:rsidRPr="00426244">
        <w:rPr>
          <w:rFonts w:cs="Times New Roman"/>
        </w:rPr>
        <w:t>considering the historical biophysical changes and present scenari</w:t>
      </w:r>
      <w:r>
        <w:rPr>
          <w:rFonts w:cs="Times New Roman"/>
        </w:rPr>
        <w:t>o. Special attention is necessary</w:t>
      </w:r>
      <w:r w:rsidR="00A356FA" w:rsidRPr="00426244">
        <w:rPr>
          <w:rFonts w:cs="Times New Roman"/>
        </w:rPr>
        <w:t xml:space="preserve"> for wise use of wetlands resources and conservation of aquatic resources genomes. Swamp and reeds natural regeneration and protection are significant issue. Against this backdrop, firstly we have to halt the ongoing over exploitation trends of the swamps by any means. Secondly to determine the sustainable resource harve</w:t>
      </w:r>
      <w:r w:rsidR="00484FB5">
        <w:rPr>
          <w:rFonts w:cs="Times New Roman"/>
        </w:rPr>
        <w:t xml:space="preserve">sting quota. </w:t>
      </w:r>
      <w:r w:rsidR="00A356FA" w:rsidRPr="00426244">
        <w:rPr>
          <w:rFonts w:cs="Times New Roman"/>
        </w:rPr>
        <w:t>And finally, plantation of indigenous species of aquatic and wetlands plants.</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t>Development of Management Plan and implementation of that plan at identified ecosystem regarding global significance.</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t xml:space="preserve">Immediate protection of important mother fisheries and their migration route between rivers and </w:t>
      </w:r>
      <w:r w:rsidRPr="00426244">
        <w:rPr>
          <w:rFonts w:cs="Times New Roman"/>
          <w:i/>
        </w:rPr>
        <w:t>beels</w:t>
      </w:r>
      <w:r w:rsidRPr="00426244">
        <w:rPr>
          <w:rFonts w:cs="Times New Roman"/>
        </w:rPr>
        <w:t>.</w:t>
      </w:r>
    </w:p>
    <w:p w:rsidR="00A356FA" w:rsidRPr="00426244" w:rsidRDefault="00F87857" w:rsidP="00F1445B">
      <w:pPr>
        <w:pStyle w:val="BodyText1"/>
        <w:numPr>
          <w:ilvl w:val="0"/>
          <w:numId w:val="15"/>
        </w:numPr>
        <w:spacing w:before="0" w:after="240" w:line="276" w:lineRule="auto"/>
        <w:ind w:left="360"/>
        <w:contextualSpacing/>
        <w:rPr>
          <w:rFonts w:cs="Times New Roman"/>
        </w:rPr>
      </w:pPr>
      <w:r>
        <w:rPr>
          <w:rFonts w:cs="Times New Roman"/>
        </w:rPr>
        <w:t>Implementation of t</w:t>
      </w:r>
      <w:r w:rsidR="00A356FA" w:rsidRPr="00426244">
        <w:rPr>
          <w:rFonts w:cs="Times New Roman"/>
        </w:rPr>
        <w:t>hreatened species wild flora and fauna recovery programme.</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t>Establish</w:t>
      </w:r>
      <w:r w:rsidR="000463D1">
        <w:rPr>
          <w:rFonts w:cs="Times New Roman"/>
        </w:rPr>
        <w:t>ment of</w:t>
      </w:r>
      <w:r w:rsidRPr="00426244">
        <w:rPr>
          <w:rFonts w:cs="Times New Roman"/>
        </w:rPr>
        <w:t xml:space="preserve"> wetland protected areas and network nationally and globally.</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t>Assessment of degradation of wetlands ecological values and functions at regional level.</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t>Establish</w:t>
      </w:r>
      <w:r w:rsidR="000463D1">
        <w:rPr>
          <w:rFonts w:cs="Times New Roman"/>
        </w:rPr>
        <w:t>ment of</w:t>
      </w:r>
      <w:r w:rsidRPr="00426244">
        <w:rPr>
          <w:rFonts w:cs="Times New Roman"/>
        </w:rPr>
        <w:t xml:space="preserve"> Sundarbans Research Center for research, education, conservation, awareness, networking, recreation, monitoring and evaluation.</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t>Strengthen</w:t>
      </w:r>
      <w:r w:rsidR="000463D1">
        <w:rPr>
          <w:rFonts w:cs="Times New Roman"/>
        </w:rPr>
        <w:t>ing</w:t>
      </w:r>
      <w:r w:rsidRPr="00426244">
        <w:rPr>
          <w:rFonts w:cs="Times New Roman"/>
        </w:rPr>
        <w:t xml:space="preserve"> Local Institutions for </w:t>
      </w:r>
      <w:r w:rsidR="00AC63BA" w:rsidRPr="00426244">
        <w:rPr>
          <w:rFonts w:cs="Times New Roman"/>
        </w:rPr>
        <w:t>wetland and</w:t>
      </w:r>
      <w:r w:rsidRPr="00426244">
        <w:rPr>
          <w:rFonts w:cs="Times New Roman"/>
        </w:rPr>
        <w:t xml:space="preserve"> biodiversity management</w:t>
      </w:r>
      <w:r w:rsidR="000463D1">
        <w:rPr>
          <w:rFonts w:cs="Times New Roman"/>
        </w:rPr>
        <w:t>.</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t>Implementation of Biodiversity enhancement and sustainable Management programme</w:t>
      </w:r>
      <w:r w:rsidR="000463D1">
        <w:rPr>
          <w:rFonts w:cs="Times New Roman"/>
        </w:rPr>
        <w:t>.</w:t>
      </w:r>
    </w:p>
    <w:p w:rsidR="00A356FA" w:rsidRPr="00426244" w:rsidRDefault="000463D1" w:rsidP="00F1445B">
      <w:pPr>
        <w:pStyle w:val="BodyText1"/>
        <w:numPr>
          <w:ilvl w:val="0"/>
          <w:numId w:val="15"/>
        </w:numPr>
        <w:spacing w:before="0" w:after="240" w:line="276" w:lineRule="auto"/>
        <w:ind w:left="360"/>
        <w:contextualSpacing/>
        <w:rPr>
          <w:rFonts w:cs="Times New Roman"/>
        </w:rPr>
      </w:pPr>
      <w:r>
        <w:rPr>
          <w:rFonts w:cs="Times New Roman"/>
        </w:rPr>
        <w:t>Identification of</w:t>
      </w:r>
      <w:r w:rsidR="00A356FA" w:rsidRPr="00426244">
        <w:rPr>
          <w:rFonts w:cs="Times New Roman"/>
        </w:rPr>
        <w:t xml:space="preserve"> ecologically important area within the region to protect the biodiversity and mitigate conflicts over resource exploitation and providing legal arrangement.</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lastRenderedPageBreak/>
        <w:t>Establish</w:t>
      </w:r>
      <w:r w:rsidR="000463D1">
        <w:rPr>
          <w:rFonts w:cs="Times New Roman"/>
        </w:rPr>
        <w:t>ment of</w:t>
      </w:r>
      <w:r w:rsidRPr="00426244">
        <w:rPr>
          <w:rFonts w:cs="Times New Roman"/>
        </w:rPr>
        <w:t xml:space="preserve"> a national monitoring programme to recognize wetlands’ changing ecology, i.e. changes of flora and fauna, hydrology or chemistry, in response to climate change, pollution and other long-term impacts. Habitat/land use studies on a national or regional scale should be initiated for evaluation of the success of direct conservation initiatives and allow to identify wetland loss still occurring or not and the reason behind it.</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t>Develop</w:t>
      </w:r>
      <w:r w:rsidR="000463D1">
        <w:rPr>
          <w:rFonts w:cs="Times New Roman"/>
        </w:rPr>
        <w:t>ment of</w:t>
      </w:r>
      <w:r w:rsidRPr="00426244">
        <w:rPr>
          <w:rFonts w:cs="Times New Roman"/>
        </w:rPr>
        <w:t xml:space="preserve"> a structured approach to implementing coordinated national wetland programmes that will foster effective wetland projects to ensure proper maintenance and management of protected wetlands after designation, acquisition and/or retention.</w:t>
      </w:r>
    </w:p>
    <w:p w:rsidR="00A356FA" w:rsidRPr="00426244" w:rsidRDefault="00A356FA" w:rsidP="00F1445B">
      <w:pPr>
        <w:pStyle w:val="BodyText1"/>
        <w:numPr>
          <w:ilvl w:val="0"/>
          <w:numId w:val="15"/>
        </w:numPr>
        <w:spacing w:before="0" w:after="240" w:line="276" w:lineRule="auto"/>
        <w:ind w:left="360"/>
        <w:contextualSpacing/>
        <w:rPr>
          <w:rFonts w:cs="Times New Roman"/>
        </w:rPr>
      </w:pPr>
      <w:r w:rsidRPr="00426244">
        <w:rPr>
          <w:rFonts w:cs="Times New Roman"/>
        </w:rPr>
        <w:t>Promo</w:t>
      </w:r>
      <w:r w:rsidR="000463D1">
        <w:rPr>
          <w:rFonts w:cs="Times New Roman"/>
        </w:rPr>
        <w:t>tion of</w:t>
      </w:r>
      <w:r w:rsidRPr="00426244">
        <w:rPr>
          <w:rFonts w:cs="Times New Roman"/>
        </w:rPr>
        <w:t xml:space="preserve"> Effective Wetland Science; establishment of national priorities for scientific research on wetland with regular review of comprehensive national inventory. </w:t>
      </w:r>
    </w:p>
    <w:p w:rsidR="00A356FA" w:rsidRPr="00426244" w:rsidRDefault="000463D1" w:rsidP="00F1445B">
      <w:pPr>
        <w:pStyle w:val="BodyText1"/>
        <w:numPr>
          <w:ilvl w:val="0"/>
          <w:numId w:val="15"/>
        </w:numPr>
        <w:spacing w:before="0" w:after="240" w:line="276" w:lineRule="auto"/>
        <w:ind w:left="360"/>
        <w:contextualSpacing/>
        <w:rPr>
          <w:rFonts w:cs="Times New Roman"/>
        </w:rPr>
      </w:pPr>
      <w:r>
        <w:rPr>
          <w:rFonts w:cs="Times New Roman"/>
        </w:rPr>
        <w:t>Creation of</w:t>
      </w:r>
      <w:r w:rsidR="00A356FA" w:rsidRPr="00426244">
        <w:rPr>
          <w:rFonts w:cs="Times New Roman"/>
        </w:rPr>
        <w:t xml:space="preserve"> Wetland Data Management system for comprehensive national inventory to achieving the wise use of wetlands, documentation of wetland losses, and identification of wetlands with potential for restoration.</w:t>
      </w:r>
    </w:p>
    <w:p w:rsidR="00A356FA" w:rsidRPr="00426244" w:rsidRDefault="000463D1" w:rsidP="00F1445B">
      <w:pPr>
        <w:pStyle w:val="BodyText1"/>
        <w:numPr>
          <w:ilvl w:val="0"/>
          <w:numId w:val="15"/>
        </w:numPr>
        <w:spacing w:before="0" w:after="240" w:line="276" w:lineRule="auto"/>
        <w:ind w:left="360"/>
        <w:contextualSpacing/>
        <w:rPr>
          <w:rFonts w:cs="Times New Roman"/>
        </w:rPr>
      </w:pPr>
      <w:r>
        <w:rPr>
          <w:rFonts w:cs="Times New Roman"/>
        </w:rPr>
        <w:t>Coordination and rationalization of</w:t>
      </w:r>
      <w:r w:rsidR="00A356FA" w:rsidRPr="00426244">
        <w:rPr>
          <w:rFonts w:cs="Times New Roman"/>
        </w:rPr>
        <w:t xml:space="preserve"> government development programmes to minimize their adverse effects on wetlands and to encourage watershed conservation. Create incentives programme that will encourage the landowner and conservation agencies to maintain wetlands.</w:t>
      </w:r>
    </w:p>
    <w:p w:rsidR="00A356FA" w:rsidRPr="00426244" w:rsidRDefault="000463D1" w:rsidP="00F1445B">
      <w:pPr>
        <w:pStyle w:val="BodyText1"/>
        <w:numPr>
          <w:ilvl w:val="0"/>
          <w:numId w:val="15"/>
        </w:numPr>
        <w:spacing w:before="0" w:after="240" w:line="276" w:lineRule="auto"/>
        <w:ind w:left="360"/>
        <w:contextualSpacing/>
        <w:rPr>
          <w:rFonts w:cs="Times New Roman"/>
        </w:rPr>
      </w:pPr>
      <w:r>
        <w:rPr>
          <w:rFonts w:cs="Times New Roman"/>
        </w:rPr>
        <w:t>Adoption of f</w:t>
      </w:r>
      <w:r w:rsidR="00A356FA" w:rsidRPr="00426244">
        <w:rPr>
          <w:rFonts w:cs="Times New Roman"/>
        </w:rPr>
        <w:t>lood and erosion pr</w:t>
      </w:r>
      <w:r w:rsidR="00C949A7">
        <w:rPr>
          <w:rFonts w:cs="Times New Roman"/>
        </w:rPr>
        <w:t>otection along the Brahmaputra/</w:t>
      </w:r>
      <w:r w:rsidR="00A356FA" w:rsidRPr="00426244">
        <w:rPr>
          <w:rFonts w:cs="Times New Roman"/>
        </w:rPr>
        <w:t xml:space="preserve">Jamuna river reach to protect communities and their livelihoods. This is an important task under increasing disaster events due to climate change effects. </w:t>
      </w:r>
    </w:p>
    <w:p w:rsidR="00A356FA" w:rsidRPr="00426244" w:rsidRDefault="000463D1" w:rsidP="00F1445B">
      <w:pPr>
        <w:pStyle w:val="BodyText1"/>
        <w:numPr>
          <w:ilvl w:val="0"/>
          <w:numId w:val="15"/>
        </w:numPr>
        <w:spacing w:before="0" w:after="240" w:line="276" w:lineRule="auto"/>
        <w:ind w:left="360"/>
        <w:contextualSpacing/>
        <w:rPr>
          <w:rFonts w:cs="Times New Roman"/>
        </w:rPr>
      </w:pPr>
      <w:r>
        <w:rPr>
          <w:rFonts w:cs="Times New Roman"/>
        </w:rPr>
        <w:t>Protection of c</w:t>
      </w:r>
      <w:r w:rsidR="00A356FA" w:rsidRPr="00426244">
        <w:rPr>
          <w:rFonts w:cs="Times New Roman"/>
        </w:rPr>
        <w:t xml:space="preserve">oastal population and their livelihoods </w:t>
      </w:r>
      <w:r>
        <w:rPr>
          <w:rFonts w:cs="Times New Roman"/>
        </w:rPr>
        <w:t xml:space="preserve">that </w:t>
      </w:r>
      <w:r w:rsidR="00A356FA" w:rsidRPr="00426244">
        <w:rPr>
          <w:rFonts w:cs="Times New Roman"/>
        </w:rPr>
        <w:t xml:space="preserve">are under threat due to sea level rise and salinity intrusion due to climate </w:t>
      </w:r>
      <w:r>
        <w:rPr>
          <w:rFonts w:cs="Times New Roman"/>
        </w:rPr>
        <w:t xml:space="preserve">change. So, programmes like </w:t>
      </w:r>
      <w:r w:rsidR="00A356FA" w:rsidRPr="00426244">
        <w:rPr>
          <w:rFonts w:cs="Times New Roman"/>
        </w:rPr>
        <w:t>polders/ embankments</w:t>
      </w:r>
      <w:r>
        <w:rPr>
          <w:rFonts w:cs="Times New Roman"/>
        </w:rPr>
        <w:t xml:space="preserve"> with proper design and O&amp;M</w:t>
      </w:r>
      <w:r w:rsidR="00A356FA" w:rsidRPr="00426244">
        <w:rPr>
          <w:rFonts w:cs="Times New Roman"/>
        </w:rPr>
        <w:t>, salinity control through increasing upstream river flow by implementing the Ganges</w:t>
      </w:r>
      <w:r>
        <w:rPr>
          <w:rFonts w:cs="Times New Roman"/>
        </w:rPr>
        <w:t xml:space="preserve"> Barrage etc. could be considered</w:t>
      </w:r>
      <w:r w:rsidR="00A356FA" w:rsidRPr="00426244">
        <w:rPr>
          <w:rFonts w:cs="Times New Roman"/>
        </w:rPr>
        <w:t xml:space="preserve">. </w:t>
      </w:r>
    </w:p>
    <w:p w:rsidR="00A356FA" w:rsidRPr="00426244" w:rsidRDefault="000463D1" w:rsidP="00F1445B">
      <w:pPr>
        <w:pStyle w:val="BodyText1"/>
        <w:numPr>
          <w:ilvl w:val="0"/>
          <w:numId w:val="15"/>
        </w:numPr>
        <w:spacing w:before="0" w:after="240" w:line="276" w:lineRule="auto"/>
        <w:ind w:left="360"/>
        <w:contextualSpacing/>
        <w:rPr>
          <w:rFonts w:cs="Times New Roman"/>
        </w:rPr>
      </w:pPr>
      <w:r>
        <w:rPr>
          <w:rFonts w:cs="Times New Roman"/>
        </w:rPr>
        <w:t>Undertaking steps to augment w</w:t>
      </w:r>
      <w:r w:rsidR="00A356FA" w:rsidRPr="00426244">
        <w:rPr>
          <w:rFonts w:cs="Times New Roman"/>
        </w:rPr>
        <w:t xml:space="preserve">ater availability for agriculture, domestic and industrial </w:t>
      </w:r>
      <w:r>
        <w:rPr>
          <w:rFonts w:cs="Times New Roman"/>
        </w:rPr>
        <w:t>activities during dry season</w:t>
      </w:r>
      <w:r w:rsidR="00A356FA" w:rsidRPr="00426244">
        <w:rPr>
          <w:rFonts w:cs="Times New Roman"/>
        </w:rPr>
        <w:t xml:space="preserve">. In this regard, better management of available water would be required in future.  </w:t>
      </w:r>
    </w:p>
    <w:p w:rsidR="00000000" w:rsidRDefault="00F87857" w:rsidP="003D5A31">
      <w:pPr>
        <w:pStyle w:val="BodyText"/>
        <w:numPr>
          <w:ilvl w:val="2"/>
          <w:numId w:val="140"/>
        </w:numPr>
        <w:spacing w:after="240" w:line="276" w:lineRule="auto"/>
        <w:jc w:val="both"/>
        <w:rPr>
          <w:rFonts w:cs="Times New Roman"/>
          <w:b/>
          <w:szCs w:val="24"/>
        </w:rPr>
      </w:pPr>
      <w:r w:rsidRPr="00E50596">
        <w:rPr>
          <w:rFonts w:cs="Times New Roman"/>
          <w:b/>
          <w:szCs w:val="24"/>
        </w:rPr>
        <w:t>Policies and Programmes</w:t>
      </w:r>
    </w:p>
    <w:p w:rsidR="00A356FA" w:rsidRPr="00426244" w:rsidRDefault="00A356FA" w:rsidP="006C3C5E">
      <w:pPr>
        <w:spacing w:line="276" w:lineRule="auto"/>
        <w:contextualSpacing/>
        <w:jc w:val="both"/>
        <w:rPr>
          <w:szCs w:val="24"/>
        </w:rPr>
      </w:pPr>
      <w:r w:rsidRPr="00426244">
        <w:rPr>
          <w:szCs w:val="24"/>
        </w:rPr>
        <w:t>These strategies can be implemented through the following activities:</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Strengthening l</w:t>
      </w:r>
      <w:r w:rsidR="001D4A9B">
        <w:rPr>
          <w:rFonts w:cs="Times New Roman"/>
        </w:rPr>
        <w:t xml:space="preserve">egal and policy provisions for </w:t>
      </w:r>
      <w:r w:rsidRPr="00426244">
        <w:rPr>
          <w:rFonts w:cs="Times New Roman"/>
        </w:rPr>
        <w:t xml:space="preserve">ecosystem and biodiversity management through Revising policies and </w:t>
      </w:r>
      <w:r w:rsidR="001D4A9B">
        <w:rPr>
          <w:rFonts w:cs="Times New Roman"/>
        </w:rPr>
        <w:t xml:space="preserve">rules related to ecosystem and </w:t>
      </w:r>
      <w:r w:rsidRPr="00426244">
        <w:rPr>
          <w:rFonts w:cs="Times New Roman"/>
        </w:rPr>
        <w:t>biodiversity conservation, especially for protection of endangered and threatened species</w:t>
      </w:r>
      <w:r w:rsidR="001D4A9B">
        <w:rPr>
          <w:rFonts w:cs="Times New Roman"/>
        </w:rPr>
        <w:t>.</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Setting up standard</w:t>
      </w:r>
      <w:r w:rsidR="001D4A9B">
        <w:rPr>
          <w:rFonts w:cs="Times New Roman"/>
        </w:rPr>
        <w:t>s</w:t>
      </w:r>
      <w:r w:rsidRPr="00426244">
        <w:rPr>
          <w:rFonts w:cs="Times New Roman"/>
        </w:rPr>
        <w:t xml:space="preserve"> for soil and water quality</w:t>
      </w:r>
      <w:r w:rsidR="001D4A9B">
        <w:rPr>
          <w:rFonts w:cs="Times New Roman"/>
        </w:rPr>
        <w:t>.</w:t>
      </w:r>
    </w:p>
    <w:p w:rsidR="00A356FA" w:rsidRPr="00426244" w:rsidRDefault="001D4A9B" w:rsidP="00F1445B">
      <w:pPr>
        <w:pStyle w:val="BodyText1"/>
        <w:numPr>
          <w:ilvl w:val="0"/>
          <w:numId w:val="16"/>
        </w:numPr>
        <w:spacing w:before="0" w:after="240" w:line="276" w:lineRule="auto"/>
        <w:ind w:left="360"/>
        <w:contextualSpacing/>
        <w:rPr>
          <w:rFonts w:cs="Times New Roman"/>
        </w:rPr>
      </w:pPr>
      <w:r>
        <w:rPr>
          <w:rFonts w:cs="Times New Roman"/>
        </w:rPr>
        <w:t>Adopting h</w:t>
      </w:r>
      <w:r w:rsidR="00A356FA" w:rsidRPr="00426244">
        <w:rPr>
          <w:rFonts w:cs="Times New Roman"/>
        </w:rPr>
        <w:t>abitat preservation program</w:t>
      </w:r>
      <w:r>
        <w:rPr>
          <w:rFonts w:cs="Times New Roman"/>
        </w:rPr>
        <w:t>mes</w:t>
      </w:r>
      <w:r w:rsidR="00A356FA" w:rsidRPr="00426244">
        <w:rPr>
          <w:rFonts w:cs="Times New Roman"/>
        </w:rPr>
        <w:t xml:space="preserve"> for wildlife, fisheries and migratory birds through maintaining existing protected areas and establishing new protected area for </w:t>
      </w:r>
      <w:r w:rsidR="00A356FA" w:rsidRPr="00426244">
        <w:rPr>
          <w:rFonts w:cs="Times New Roman"/>
        </w:rPr>
        <w:lastRenderedPageBreak/>
        <w:t>preserving habitat of wild plants and animals including migratory species on the basis of life cycle analysis of the species</w:t>
      </w:r>
      <w:r>
        <w:rPr>
          <w:rFonts w:cs="Times New Roman"/>
        </w:rPr>
        <w:t>.</w:t>
      </w:r>
    </w:p>
    <w:p w:rsidR="00A356FA" w:rsidRPr="00426244" w:rsidRDefault="002E04F3" w:rsidP="00F1445B">
      <w:pPr>
        <w:pStyle w:val="BodyText1"/>
        <w:numPr>
          <w:ilvl w:val="0"/>
          <w:numId w:val="16"/>
        </w:numPr>
        <w:spacing w:before="0" w:after="240" w:line="276" w:lineRule="auto"/>
        <w:ind w:left="360"/>
        <w:contextualSpacing/>
        <w:rPr>
          <w:rFonts w:cs="Times New Roman"/>
        </w:rPr>
      </w:pPr>
      <w:r w:rsidRPr="00426244">
        <w:rPr>
          <w:rFonts w:cs="Times New Roman"/>
        </w:rPr>
        <w:t>Control</w:t>
      </w:r>
      <w:r>
        <w:rPr>
          <w:rFonts w:cs="Times New Roman"/>
        </w:rPr>
        <w:t>ling</w:t>
      </w:r>
      <w:r w:rsidR="00A356FA" w:rsidRPr="00426244">
        <w:rPr>
          <w:rFonts w:cs="Times New Roman"/>
        </w:rPr>
        <w:t xml:space="preserve"> and monitoring plant and animal population for food chain management within protected habitat</w:t>
      </w:r>
      <w:r w:rsidR="001D4A9B">
        <w:rPr>
          <w:rFonts w:cs="Times New Roman"/>
        </w:rPr>
        <w:t>.</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Monitoring and maintenance of water and soil quantity through water flow regulation in the protected areas</w:t>
      </w:r>
      <w:r w:rsidR="001D4A9B">
        <w:rPr>
          <w:rFonts w:cs="Times New Roman"/>
        </w:rPr>
        <w:t>.</w:t>
      </w:r>
    </w:p>
    <w:p w:rsidR="00A356FA" w:rsidRPr="00426244" w:rsidRDefault="001D4A9B" w:rsidP="00F1445B">
      <w:pPr>
        <w:pStyle w:val="BodyText1"/>
        <w:numPr>
          <w:ilvl w:val="0"/>
          <w:numId w:val="16"/>
        </w:numPr>
        <w:spacing w:before="0" w:after="240" w:line="276" w:lineRule="auto"/>
        <w:ind w:left="360"/>
        <w:contextualSpacing/>
        <w:rPr>
          <w:rFonts w:cs="Times New Roman"/>
        </w:rPr>
      </w:pPr>
      <w:r>
        <w:rPr>
          <w:rFonts w:cs="Times New Roman"/>
        </w:rPr>
        <w:t>Undertaking r</w:t>
      </w:r>
      <w:r w:rsidR="00A356FA" w:rsidRPr="00426244">
        <w:rPr>
          <w:rFonts w:cs="Times New Roman"/>
        </w:rPr>
        <w:t>esearch and education program</w:t>
      </w:r>
      <w:r>
        <w:rPr>
          <w:rFonts w:cs="Times New Roman"/>
        </w:rPr>
        <w:t>mes</w:t>
      </w:r>
      <w:r w:rsidR="00A356FA" w:rsidRPr="00426244">
        <w:rPr>
          <w:rFonts w:cs="Times New Roman"/>
        </w:rPr>
        <w:t xml:space="preserve"> on ecosystem</w:t>
      </w:r>
      <w:r>
        <w:rPr>
          <w:rFonts w:cs="Times New Roman"/>
        </w:rPr>
        <w:t xml:space="preserve">, </w:t>
      </w:r>
      <w:r w:rsidR="00A356FA" w:rsidRPr="00426244">
        <w:rPr>
          <w:rFonts w:cs="Times New Roman"/>
        </w:rPr>
        <w:t xml:space="preserve">biodiversity </w:t>
      </w:r>
      <w:r>
        <w:rPr>
          <w:rFonts w:cs="Times New Roman"/>
        </w:rPr>
        <w:t>conservation and management by doing b</w:t>
      </w:r>
      <w:r w:rsidR="00A356FA" w:rsidRPr="00426244">
        <w:rPr>
          <w:rFonts w:cs="Times New Roman"/>
        </w:rPr>
        <w:t>aseline stu</w:t>
      </w:r>
      <w:r>
        <w:rPr>
          <w:rFonts w:cs="Times New Roman"/>
        </w:rPr>
        <w:t xml:space="preserve">dy on biodiversity status by specific </w:t>
      </w:r>
      <w:r w:rsidR="00A356FA" w:rsidRPr="00426244">
        <w:rPr>
          <w:rFonts w:cs="Times New Roman"/>
        </w:rPr>
        <w:t>region</w:t>
      </w:r>
      <w:r>
        <w:rPr>
          <w:rFonts w:cs="Times New Roman"/>
        </w:rPr>
        <w:t>s and r</w:t>
      </w:r>
      <w:r w:rsidR="00A356FA" w:rsidRPr="00426244">
        <w:rPr>
          <w:rFonts w:cs="Times New Roman"/>
        </w:rPr>
        <w:t>esearch on valuation of ecosystem services of every ecosystem</w:t>
      </w:r>
      <w:r w:rsidR="001F692F">
        <w:rPr>
          <w:rFonts w:cs="Times New Roman"/>
        </w:rPr>
        <w:t>.</w:t>
      </w:r>
      <w:r w:rsidR="00A356FA" w:rsidRPr="00426244">
        <w:rPr>
          <w:rFonts w:cs="Times New Roman"/>
        </w:rPr>
        <w:t xml:space="preserve"> </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Characterization of “Eco-hydraulics”/ “Eco-hydrograph” for ecosystem</w:t>
      </w:r>
      <w:r w:rsidR="001F692F">
        <w:rPr>
          <w:rFonts w:cs="Times New Roman"/>
        </w:rPr>
        <w:t>s.</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Developing ecosystem health/ quality monitoring methods (e.g. bio-indicator for water/ soil quality)</w:t>
      </w:r>
      <w:r w:rsidR="001F692F">
        <w:rPr>
          <w:rFonts w:cs="Times New Roman"/>
        </w:rPr>
        <w:t>.</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Developing course/ research curriculum on ecosystem and biodiversity management in university level education</w:t>
      </w:r>
      <w:r w:rsidR="001F692F">
        <w:rPr>
          <w:rFonts w:cs="Times New Roman"/>
        </w:rPr>
        <w:t>.</w:t>
      </w:r>
    </w:p>
    <w:p w:rsidR="00A356FA" w:rsidRPr="001F692F" w:rsidRDefault="001F692F" w:rsidP="001F692F">
      <w:pPr>
        <w:pStyle w:val="BodyText1"/>
        <w:numPr>
          <w:ilvl w:val="0"/>
          <w:numId w:val="16"/>
        </w:numPr>
        <w:spacing w:before="0" w:after="240" w:line="276" w:lineRule="auto"/>
        <w:ind w:left="360"/>
        <w:contextualSpacing/>
        <w:rPr>
          <w:rFonts w:cs="Times New Roman"/>
        </w:rPr>
      </w:pPr>
      <w:r>
        <w:rPr>
          <w:rFonts w:cs="Times New Roman"/>
        </w:rPr>
        <w:t>Undertaking r</w:t>
      </w:r>
      <w:r w:rsidR="00A356FA" w:rsidRPr="00426244">
        <w:rPr>
          <w:rFonts w:cs="Times New Roman"/>
        </w:rPr>
        <w:t>esearch on evolution and life cycle of key species as well as endangered and threatened species</w:t>
      </w:r>
      <w:r>
        <w:rPr>
          <w:rFonts w:cs="Times New Roman"/>
        </w:rPr>
        <w:t>;</w:t>
      </w:r>
      <w:r w:rsidR="00A356FA" w:rsidRPr="00426244">
        <w:rPr>
          <w:rFonts w:cs="Times New Roman"/>
        </w:rPr>
        <w:t xml:space="preserve"> </w:t>
      </w:r>
      <w:r w:rsidR="00A356FA" w:rsidRPr="001F692F">
        <w:rPr>
          <w:rFonts w:cs="Times New Roman"/>
        </w:rPr>
        <w:t>sustainable production of goods and services of ecosystem</w:t>
      </w:r>
      <w:r>
        <w:rPr>
          <w:rFonts w:cs="Times New Roman"/>
        </w:rPr>
        <w:t xml:space="preserve">; </w:t>
      </w:r>
      <w:r w:rsidR="00A356FA" w:rsidRPr="001F692F">
        <w:rPr>
          <w:rFonts w:cs="Times New Roman"/>
        </w:rPr>
        <w:t>impact of climate change on ecosystem, wetland and biodiversity</w:t>
      </w:r>
      <w:r>
        <w:rPr>
          <w:rFonts w:cs="Times New Roman"/>
        </w:rPr>
        <w:t>; and</w:t>
      </w:r>
      <w:r w:rsidR="00A356FA" w:rsidRPr="001F692F">
        <w:rPr>
          <w:rFonts w:cs="Times New Roman"/>
        </w:rPr>
        <w:t xml:space="preserve"> on the impact of pollution on wetland habitat and biodiversity</w:t>
      </w:r>
      <w:r w:rsidRPr="001F692F">
        <w:rPr>
          <w:rFonts w:cs="Times New Roman"/>
        </w:rPr>
        <w:t>.</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Establishment of gene bank of all plant and animal species</w:t>
      </w:r>
      <w:r w:rsidR="001F692F">
        <w:rPr>
          <w:rFonts w:cs="Times New Roman"/>
        </w:rPr>
        <w:t>.</w:t>
      </w:r>
      <w:r w:rsidRPr="00426244">
        <w:rPr>
          <w:rFonts w:cs="Times New Roman"/>
        </w:rPr>
        <w:t xml:space="preserve"> </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Sustainable management of commercially important biodiversity and ecosystem</w:t>
      </w:r>
      <w:r w:rsidR="001F692F">
        <w:rPr>
          <w:rFonts w:cs="Times New Roman"/>
        </w:rPr>
        <w:t>.</w:t>
      </w:r>
      <w:r w:rsidRPr="00426244">
        <w:rPr>
          <w:rFonts w:cs="Times New Roman"/>
        </w:rPr>
        <w:t xml:space="preserve"> </w:t>
      </w:r>
    </w:p>
    <w:p w:rsidR="00A356FA" w:rsidRPr="00426244" w:rsidRDefault="001F692F" w:rsidP="00F1445B">
      <w:pPr>
        <w:pStyle w:val="BodyText1"/>
        <w:numPr>
          <w:ilvl w:val="0"/>
          <w:numId w:val="16"/>
        </w:numPr>
        <w:spacing w:before="0" w:after="240" w:line="276" w:lineRule="auto"/>
        <w:ind w:left="360"/>
        <w:contextualSpacing/>
        <w:rPr>
          <w:rFonts w:cs="Times New Roman"/>
        </w:rPr>
      </w:pPr>
      <w:r>
        <w:rPr>
          <w:rFonts w:cs="Times New Roman"/>
        </w:rPr>
        <w:t>Promoting</w:t>
      </w:r>
      <w:r w:rsidR="00A356FA" w:rsidRPr="00426244">
        <w:rPr>
          <w:rFonts w:cs="Times New Roman"/>
        </w:rPr>
        <w:t xml:space="preserve"> eco-tourism as alternative income from ecosystem</w:t>
      </w:r>
      <w:r>
        <w:rPr>
          <w:rFonts w:cs="Times New Roman"/>
        </w:rPr>
        <w:t>.</w:t>
      </w:r>
    </w:p>
    <w:p w:rsidR="00A356FA" w:rsidRPr="00426244" w:rsidRDefault="001F692F" w:rsidP="00F1445B">
      <w:pPr>
        <w:pStyle w:val="BodyText1"/>
        <w:numPr>
          <w:ilvl w:val="0"/>
          <w:numId w:val="16"/>
        </w:numPr>
        <w:spacing w:before="0" w:after="240" w:line="276" w:lineRule="auto"/>
        <w:ind w:left="360"/>
        <w:contextualSpacing/>
        <w:rPr>
          <w:rFonts w:cs="Times New Roman"/>
        </w:rPr>
      </w:pPr>
      <w:r>
        <w:rPr>
          <w:rFonts w:cs="Times New Roman"/>
        </w:rPr>
        <w:t>Promoting</w:t>
      </w:r>
      <w:r w:rsidR="00A356FA" w:rsidRPr="00426244">
        <w:rPr>
          <w:rFonts w:cs="Times New Roman"/>
        </w:rPr>
        <w:t xml:space="preserve"> plantation program</w:t>
      </w:r>
      <w:r>
        <w:rPr>
          <w:rFonts w:cs="Times New Roman"/>
        </w:rPr>
        <w:t>mes.</w:t>
      </w:r>
    </w:p>
    <w:p w:rsidR="00A356FA" w:rsidRPr="00426244" w:rsidRDefault="001F692F" w:rsidP="00F1445B">
      <w:pPr>
        <w:pStyle w:val="BodyText1"/>
        <w:numPr>
          <w:ilvl w:val="0"/>
          <w:numId w:val="16"/>
        </w:numPr>
        <w:spacing w:before="0" w:after="240" w:line="276" w:lineRule="auto"/>
        <w:ind w:left="360"/>
        <w:contextualSpacing/>
        <w:rPr>
          <w:rFonts w:cs="Times New Roman"/>
        </w:rPr>
      </w:pPr>
      <w:r>
        <w:rPr>
          <w:rFonts w:cs="Times New Roman"/>
        </w:rPr>
        <w:t>Promoting</w:t>
      </w:r>
      <w:r w:rsidR="00A356FA" w:rsidRPr="00426244">
        <w:rPr>
          <w:rFonts w:cs="Times New Roman"/>
        </w:rPr>
        <w:t xml:space="preserve"> sustainable pearl farming</w:t>
      </w:r>
      <w:r>
        <w:rPr>
          <w:rFonts w:cs="Times New Roman"/>
        </w:rPr>
        <w:t>.</w:t>
      </w:r>
    </w:p>
    <w:p w:rsidR="00A356FA" w:rsidRPr="00426244" w:rsidRDefault="001F692F" w:rsidP="00F1445B">
      <w:pPr>
        <w:pStyle w:val="BodyText1"/>
        <w:numPr>
          <w:ilvl w:val="0"/>
          <w:numId w:val="16"/>
        </w:numPr>
        <w:spacing w:before="0" w:after="240" w:line="276" w:lineRule="auto"/>
        <w:ind w:left="360"/>
        <w:contextualSpacing/>
        <w:rPr>
          <w:rFonts w:cs="Times New Roman"/>
        </w:rPr>
      </w:pPr>
      <w:r>
        <w:rPr>
          <w:rFonts w:cs="Times New Roman"/>
        </w:rPr>
        <w:t>Promoting</w:t>
      </w:r>
      <w:r w:rsidR="00A356FA" w:rsidRPr="00426244">
        <w:rPr>
          <w:rFonts w:cs="Times New Roman"/>
        </w:rPr>
        <w:t xml:space="preserve"> farming of medicinal plants</w:t>
      </w:r>
      <w:r>
        <w:rPr>
          <w:rFonts w:cs="Times New Roman"/>
        </w:rPr>
        <w:t>.</w:t>
      </w:r>
      <w:r w:rsidR="00A356FA" w:rsidRPr="00426244">
        <w:rPr>
          <w:rFonts w:cs="Times New Roman"/>
        </w:rPr>
        <w:t xml:space="preserve"> </w:t>
      </w:r>
    </w:p>
    <w:p w:rsidR="00A356FA" w:rsidRPr="00426244" w:rsidRDefault="001F692F" w:rsidP="00F1445B">
      <w:pPr>
        <w:pStyle w:val="BodyText1"/>
        <w:numPr>
          <w:ilvl w:val="0"/>
          <w:numId w:val="16"/>
        </w:numPr>
        <w:spacing w:before="0" w:after="240" w:line="276" w:lineRule="auto"/>
        <w:ind w:left="360"/>
        <w:contextualSpacing/>
        <w:rPr>
          <w:rFonts w:cs="Times New Roman"/>
        </w:rPr>
      </w:pPr>
      <w:r>
        <w:rPr>
          <w:rFonts w:cs="Times New Roman"/>
        </w:rPr>
        <w:t>Undertaking p</w:t>
      </w:r>
      <w:r w:rsidR="00A356FA" w:rsidRPr="00426244">
        <w:rPr>
          <w:rFonts w:cs="Times New Roman"/>
        </w:rPr>
        <w:t xml:space="preserve">ollution control and prevention from agriculture, industry, infrastructure </w:t>
      </w:r>
      <w:r w:rsidR="00A356FA" w:rsidRPr="00426244">
        <w:t>development</w:t>
      </w:r>
      <w:r w:rsidR="00A356FA" w:rsidRPr="00426244">
        <w:rPr>
          <w:rFonts w:cs="Times New Roman"/>
        </w:rPr>
        <w:t xml:space="preserve"> and urban settlement</w:t>
      </w:r>
      <w:r>
        <w:rPr>
          <w:rFonts w:cs="Times New Roman"/>
        </w:rPr>
        <w:t>.</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Controlling use of chemical fertilizer and pesticides in agriculture</w:t>
      </w:r>
    </w:p>
    <w:p w:rsidR="00A356FA" w:rsidRPr="00426244" w:rsidRDefault="001F692F" w:rsidP="00F1445B">
      <w:pPr>
        <w:pStyle w:val="BodyText1"/>
        <w:numPr>
          <w:ilvl w:val="0"/>
          <w:numId w:val="16"/>
        </w:numPr>
        <w:spacing w:before="0" w:after="240" w:line="276" w:lineRule="auto"/>
        <w:ind w:left="360"/>
        <w:contextualSpacing/>
        <w:rPr>
          <w:rFonts w:cs="Times New Roman"/>
        </w:rPr>
      </w:pPr>
      <w:r>
        <w:rPr>
          <w:rFonts w:cs="Times New Roman"/>
        </w:rPr>
        <w:t>Implementing r</w:t>
      </w:r>
      <w:r w:rsidR="00A356FA" w:rsidRPr="00426244">
        <w:rPr>
          <w:rFonts w:cs="Times New Roman"/>
        </w:rPr>
        <w:t>estrictions over solid waste and wastewater disposal from industries, mechanized boats and urban settlement to wetland area</w:t>
      </w:r>
      <w:r>
        <w:rPr>
          <w:rFonts w:cs="Times New Roman"/>
        </w:rPr>
        <w:t>.</w:t>
      </w:r>
    </w:p>
    <w:p w:rsidR="00A356FA" w:rsidRPr="00426244"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Implementation of flood and erosion protection programme along the Brahmaputra/ Jamuna</w:t>
      </w:r>
      <w:r w:rsidR="001F692F">
        <w:rPr>
          <w:rFonts w:cs="Times New Roman"/>
        </w:rPr>
        <w:t>.</w:t>
      </w:r>
    </w:p>
    <w:p w:rsidR="00A356FA" w:rsidRPr="00426244" w:rsidRDefault="001F692F" w:rsidP="00F1445B">
      <w:pPr>
        <w:pStyle w:val="BodyText1"/>
        <w:numPr>
          <w:ilvl w:val="0"/>
          <w:numId w:val="16"/>
        </w:numPr>
        <w:spacing w:before="0" w:after="240" w:line="276" w:lineRule="auto"/>
        <w:ind w:left="360"/>
        <w:contextualSpacing/>
        <w:rPr>
          <w:rFonts w:cs="Times New Roman"/>
        </w:rPr>
      </w:pPr>
      <w:r>
        <w:rPr>
          <w:rFonts w:cs="Times New Roman"/>
        </w:rPr>
        <w:t>Promoting</w:t>
      </w:r>
      <w:r w:rsidR="00A356FA" w:rsidRPr="00426244">
        <w:rPr>
          <w:rFonts w:cs="Times New Roman"/>
        </w:rPr>
        <w:t xml:space="preserve"> integrated approach towards disaster and climate change resilience in national and sectoral planning</w:t>
      </w:r>
      <w:r>
        <w:rPr>
          <w:rFonts w:cs="Times New Roman"/>
        </w:rPr>
        <w:t>.</w:t>
      </w:r>
      <w:r w:rsidR="00A356FA" w:rsidRPr="00426244">
        <w:rPr>
          <w:rFonts w:cs="Times New Roman"/>
        </w:rPr>
        <w:t xml:space="preserve"> </w:t>
      </w:r>
    </w:p>
    <w:p w:rsidR="009440E7" w:rsidRDefault="00A356FA" w:rsidP="00F1445B">
      <w:pPr>
        <w:pStyle w:val="BodyText1"/>
        <w:numPr>
          <w:ilvl w:val="0"/>
          <w:numId w:val="16"/>
        </w:numPr>
        <w:spacing w:before="0" w:after="240" w:line="276" w:lineRule="auto"/>
        <w:ind w:left="360"/>
        <w:contextualSpacing/>
        <w:rPr>
          <w:rFonts w:cs="Times New Roman"/>
        </w:rPr>
      </w:pPr>
      <w:r w:rsidRPr="00426244">
        <w:rPr>
          <w:rFonts w:cs="Times New Roman"/>
        </w:rPr>
        <w:t>Strengthening and ensuring proper management and functioning of the coastal polders/ embankments</w:t>
      </w:r>
      <w:r w:rsidR="001F692F">
        <w:rPr>
          <w:rFonts w:cs="Times New Roman"/>
        </w:rPr>
        <w:t>.</w:t>
      </w:r>
      <w:r w:rsidRPr="00426244">
        <w:rPr>
          <w:rFonts w:cs="Times New Roman"/>
        </w:rPr>
        <w:t xml:space="preserve">  </w:t>
      </w:r>
    </w:p>
    <w:p w:rsidR="00A356FA" w:rsidRPr="009440E7" w:rsidRDefault="009440E7" w:rsidP="009440E7">
      <w:pPr>
        <w:rPr>
          <w:rFonts w:eastAsia="Times New Roman" w:cs="Times New Roman"/>
          <w:color w:val="000000"/>
          <w:szCs w:val="24"/>
          <w:lang w:bidi="bn-BD"/>
        </w:rPr>
      </w:pPr>
      <w:r>
        <w:rPr>
          <w:rFonts w:cs="Times New Roman"/>
        </w:rPr>
        <w:br w:type="page"/>
      </w:r>
    </w:p>
    <w:p w:rsidR="003E42A9" w:rsidRPr="00E83465" w:rsidRDefault="003E42A9" w:rsidP="003E42A9">
      <w:pPr>
        <w:pStyle w:val="Title"/>
        <w:jc w:val="center"/>
        <w:rPr>
          <w:rFonts w:asciiTheme="minorHAnsi" w:hAnsiTheme="minorHAnsi"/>
          <w:b/>
        </w:rPr>
      </w:pPr>
      <w:bookmarkStart w:id="218" w:name="_Toc463603892"/>
      <w:bookmarkStart w:id="219" w:name="_Toc474638863"/>
      <w:r w:rsidRPr="00E83465">
        <w:rPr>
          <w:rFonts w:asciiTheme="minorHAnsi" w:hAnsiTheme="minorHAnsi"/>
          <w:b/>
        </w:rPr>
        <w:lastRenderedPageBreak/>
        <w:t>CHAPTER 4</w:t>
      </w:r>
      <w:bookmarkEnd w:id="218"/>
      <w:bookmarkEnd w:id="219"/>
    </w:p>
    <w:p w:rsidR="003E42A9" w:rsidRPr="00A357BC" w:rsidRDefault="003E42A9" w:rsidP="008C0601">
      <w:pPr>
        <w:pStyle w:val="Heading1"/>
      </w:pPr>
      <w:bookmarkStart w:id="220" w:name="_Toc463603893"/>
      <w:bookmarkStart w:id="221" w:name="_Toc474638864"/>
      <w:r>
        <w:t xml:space="preserve">National </w:t>
      </w:r>
      <w:r w:rsidRPr="00017A17">
        <w:t xml:space="preserve">and Transboundary Water Management </w:t>
      </w:r>
      <w:bookmarkEnd w:id="220"/>
      <w:bookmarkEnd w:id="221"/>
    </w:p>
    <w:p w:rsidR="00F64A6A" w:rsidRDefault="003E42A9" w:rsidP="00F64A6A">
      <w:pPr>
        <w:pStyle w:val="Heading2"/>
        <w:numPr>
          <w:ilvl w:val="0"/>
          <w:numId w:val="0"/>
        </w:numPr>
        <w:ind w:left="720"/>
      </w:pPr>
      <w:bookmarkStart w:id="222" w:name="_Toc463603894"/>
      <w:bookmarkStart w:id="223" w:name="_Toc474638865"/>
      <w:r w:rsidRPr="0032604C">
        <w:t>Water Resources Setting and Water Availability</w:t>
      </w:r>
      <w:bookmarkEnd w:id="222"/>
      <w:bookmarkEnd w:id="223"/>
    </w:p>
    <w:p w:rsidR="003E42A9" w:rsidRDefault="003E42A9" w:rsidP="003E42A9">
      <w:pPr>
        <w:spacing w:line="276" w:lineRule="auto"/>
        <w:jc w:val="both"/>
        <w:rPr>
          <w:rFonts w:cs="Times New Roman"/>
          <w:szCs w:val="24"/>
        </w:rPr>
      </w:pPr>
      <w:r w:rsidRPr="0032604C">
        <w:rPr>
          <w:rFonts w:cs="Times New Roman"/>
          <w:bCs/>
          <w:szCs w:val="24"/>
        </w:rPr>
        <w:t xml:space="preserve">The sources of water in Bangladesh can be classified as </w:t>
      </w:r>
      <w:r w:rsidR="00704A22">
        <w:rPr>
          <w:rFonts w:cs="Times New Roman"/>
          <w:bCs/>
          <w:szCs w:val="24"/>
        </w:rPr>
        <w:t>s</w:t>
      </w:r>
      <w:r w:rsidR="00704A22" w:rsidRPr="0032604C">
        <w:rPr>
          <w:rFonts w:cs="Times New Roman"/>
          <w:bCs/>
          <w:szCs w:val="24"/>
        </w:rPr>
        <w:t xml:space="preserve">urface </w:t>
      </w:r>
      <w:r w:rsidR="00704A22">
        <w:rPr>
          <w:rFonts w:cs="Times New Roman"/>
          <w:bCs/>
          <w:szCs w:val="24"/>
        </w:rPr>
        <w:t>w</w:t>
      </w:r>
      <w:r w:rsidR="00704A22" w:rsidRPr="0032604C">
        <w:rPr>
          <w:rFonts w:cs="Times New Roman"/>
          <w:bCs/>
          <w:szCs w:val="24"/>
        </w:rPr>
        <w:t>ater</w:t>
      </w:r>
      <w:r w:rsidRPr="0032604C">
        <w:rPr>
          <w:rFonts w:cs="Times New Roman"/>
          <w:bCs/>
          <w:szCs w:val="24"/>
        </w:rPr>
        <w:t xml:space="preserve">, </w:t>
      </w:r>
      <w:r w:rsidR="00704A22">
        <w:rPr>
          <w:rFonts w:cs="Times New Roman"/>
          <w:bCs/>
          <w:szCs w:val="24"/>
        </w:rPr>
        <w:t>r</w:t>
      </w:r>
      <w:r w:rsidR="00704A22" w:rsidRPr="0032604C">
        <w:rPr>
          <w:rFonts w:cs="Times New Roman"/>
          <w:bCs/>
          <w:szCs w:val="24"/>
        </w:rPr>
        <w:t xml:space="preserve">ainfall </w:t>
      </w:r>
      <w:r w:rsidRPr="0032604C">
        <w:rPr>
          <w:rFonts w:cs="Times New Roman"/>
          <w:bCs/>
          <w:szCs w:val="24"/>
        </w:rPr>
        <w:t xml:space="preserve">and </w:t>
      </w:r>
      <w:r w:rsidR="00704A22">
        <w:rPr>
          <w:rFonts w:cs="Times New Roman"/>
          <w:bCs/>
          <w:szCs w:val="24"/>
        </w:rPr>
        <w:t>g</w:t>
      </w:r>
      <w:r w:rsidR="00704A22" w:rsidRPr="0032604C">
        <w:rPr>
          <w:rFonts w:cs="Times New Roman"/>
          <w:bCs/>
          <w:szCs w:val="24"/>
        </w:rPr>
        <w:t xml:space="preserve">round </w:t>
      </w:r>
      <w:r w:rsidR="00704A22">
        <w:rPr>
          <w:rFonts w:cs="Times New Roman"/>
          <w:bCs/>
          <w:szCs w:val="24"/>
        </w:rPr>
        <w:t>w</w:t>
      </w:r>
      <w:r w:rsidR="00704A22" w:rsidRPr="0032604C">
        <w:rPr>
          <w:rFonts w:cs="Times New Roman"/>
          <w:bCs/>
          <w:szCs w:val="24"/>
        </w:rPr>
        <w:t>ater</w:t>
      </w:r>
      <w:r w:rsidRPr="0032604C">
        <w:rPr>
          <w:rFonts w:cs="Times New Roman"/>
          <w:bCs/>
          <w:szCs w:val="24"/>
        </w:rPr>
        <w:t xml:space="preserve">. </w:t>
      </w:r>
      <w:r w:rsidRPr="0032604C">
        <w:rPr>
          <w:rFonts w:cs="Times New Roman"/>
          <w:szCs w:val="24"/>
        </w:rPr>
        <w:t>B</w:t>
      </w:r>
      <w:r w:rsidRPr="0032604C">
        <w:rPr>
          <w:rFonts w:cs="Times New Roman"/>
          <w:bCs/>
          <w:szCs w:val="24"/>
        </w:rPr>
        <w:t xml:space="preserve">angladesh, being the lower most riparian country in the </w:t>
      </w:r>
      <w:r w:rsidR="00704A22">
        <w:rPr>
          <w:rFonts w:cs="Times New Roman"/>
          <w:bCs/>
          <w:szCs w:val="24"/>
        </w:rPr>
        <w:t xml:space="preserve">the Ganges-the Bhramaputra-the Meghna </w:t>
      </w:r>
      <w:r w:rsidRPr="0032604C">
        <w:rPr>
          <w:rFonts w:cs="Times New Roman"/>
          <w:bCs/>
          <w:szCs w:val="24"/>
        </w:rPr>
        <w:t xml:space="preserve"> basin</w:t>
      </w:r>
      <w:r w:rsidR="00704A22">
        <w:rPr>
          <w:rFonts w:cs="Times New Roman"/>
          <w:bCs/>
          <w:szCs w:val="24"/>
        </w:rPr>
        <w:t>s</w:t>
      </w:r>
      <w:r w:rsidRPr="0032604C">
        <w:rPr>
          <w:rFonts w:cs="Times New Roman"/>
          <w:bCs/>
          <w:szCs w:val="24"/>
        </w:rPr>
        <w:t xml:space="preserve"> and crisscrossed by around </w:t>
      </w:r>
      <w:r w:rsidR="00704A22">
        <w:rPr>
          <w:rFonts w:cs="Times New Roman"/>
          <w:bCs/>
          <w:szCs w:val="24"/>
        </w:rPr>
        <w:t>700</w:t>
      </w:r>
      <w:r w:rsidR="00704A22" w:rsidRPr="0032604C">
        <w:rPr>
          <w:rFonts w:cs="Times New Roman"/>
          <w:bCs/>
          <w:szCs w:val="24"/>
        </w:rPr>
        <w:t xml:space="preserve"> </w:t>
      </w:r>
      <w:r w:rsidRPr="0032604C">
        <w:rPr>
          <w:rFonts w:cs="Times New Roman"/>
          <w:bCs/>
          <w:szCs w:val="24"/>
        </w:rPr>
        <w:t xml:space="preserve">rivers including 57 transboundary rivers, shares its trans-boundary water resources with the upper riparian countries like Bhutan, China, India and Nepal. Out of </w:t>
      </w:r>
      <w:r w:rsidRPr="0032604C">
        <w:rPr>
          <w:rFonts w:cs="Times New Roman"/>
          <w:szCs w:val="24"/>
        </w:rPr>
        <w:t xml:space="preserve">a total catchment area of 1.72 million sq. km of the </w:t>
      </w:r>
      <w:r w:rsidR="00704A22">
        <w:rPr>
          <w:rFonts w:cs="Times New Roman"/>
          <w:bCs/>
          <w:szCs w:val="24"/>
        </w:rPr>
        <w:t xml:space="preserve">the Ganges-the Bhramaputra-the Meghna </w:t>
      </w:r>
      <w:r w:rsidR="00704A22" w:rsidRPr="0032604C">
        <w:rPr>
          <w:rFonts w:cs="Times New Roman"/>
          <w:bCs/>
          <w:szCs w:val="24"/>
        </w:rPr>
        <w:t>basin</w:t>
      </w:r>
      <w:r w:rsidR="00704A22">
        <w:rPr>
          <w:rFonts w:cs="Times New Roman"/>
          <w:bCs/>
          <w:szCs w:val="24"/>
        </w:rPr>
        <w:t>s</w:t>
      </w:r>
      <w:r w:rsidR="00704A22" w:rsidRPr="0032604C">
        <w:rPr>
          <w:rFonts w:cs="Times New Roman"/>
          <w:bCs/>
          <w:szCs w:val="24"/>
        </w:rPr>
        <w:t xml:space="preserve"> </w:t>
      </w:r>
      <w:r w:rsidRPr="0032604C">
        <w:rPr>
          <w:rFonts w:cs="Times New Roman"/>
          <w:szCs w:val="24"/>
        </w:rPr>
        <w:t>only a</w:t>
      </w:r>
      <w:r w:rsidRPr="0032604C">
        <w:rPr>
          <w:rFonts w:cs="Times New Roman"/>
          <w:bCs/>
          <w:szCs w:val="24"/>
        </w:rPr>
        <w:t xml:space="preserve">round 7% basin area falls within the Bangladesh territory </w:t>
      </w:r>
      <w:r w:rsidRPr="0032604C">
        <w:rPr>
          <w:rFonts w:cs="Times New Roman"/>
          <w:szCs w:val="24"/>
        </w:rPr>
        <w:t>(Amarsinghe and Sharma, 2010). Out of the 57 Transboundary rivers of Bangladesh, 1</w:t>
      </w:r>
      <w:r>
        <w:rPr>
          <w:rFonts w:cs="Times New Roman"/>
          <w:szCs w:val="24"/>
        </w:rPr>
        <w:t>3</w:t>
      </w:r>
      <w:r w:rsidRPr="0032604C">
        <w:rPr>
          <w:rFonts w:cs="Times New Roman"/>
          <w:szCs w:val="24"/>
        </w:rPr>
        <w:t xml:space="preserve"> rivers fall under the Ganges basin fully or partially in the four Hydrological Regions; 1</w:t>
      </w:r>
      <w:r>
        <w:rPr>
          <w:rFonts w:cs="Times New Roman"/>
          <w:szCs w:val="24"/>
        </w:rPr>
        <w:t>1</w:t>
      </w:r>
      <w:r w:rsidRPr="0032604C">
        <w:rPr>
          <w:rFonts w:cs="Times New Roman"/>
          <w:szCs w:val="24"/>
        </w:rPr>
        <w:t xml:space="preserve"> rivers fall under the Brahmaputra basin lying fully or partially over the seven hydrological regions and </w:t>
      </w:r>
      <w:r>
        <w:rPr>
          <w:rFonts w:cs="Times New Roman"/>
          <w:szCs w:val="24"/>
        </w:rPr>
        <w:t>25</w:t>
      </w:r>
      <w:r w:rsidRPr="0032604C">
        <w:rPr>
          <w:rFonts w:cs="Times New Roman"/>
          <w:szCs w:val="24"/>
        </w:rPr>
        <w:t xml:space="preserve"> rivers fall under six Hydrological Regions lying fully or partially in the Meghna Basin</w:t>
      </w:r>
      <w:r>
        <w:rPr>
          <w:rFonts w:cs="Times New Roman"/>
          <w:szCs w:val="24"/>
        </w:rPr>
        <w:t xml:space="preserve"> </w:t>
      </w:r>
      <w:r>
        <w:rPr>
          <w:rFonts w:eastAsia="Times New Roman"/>
        </w:rPr>
        <w:t>(JRC, 1990; CEGIS analysis)</w:t>
      </w:r>
      <w:r w:rsidRPr="0032604C">
        <w:rPr>
          <w:rFonts w:cs="Times New Roman"/>
          <w:szCs w:val="24"/>
        </w:rPr>
        <w:t xml:space="preserve">. The annual cross border river flows entering the river systems are estimated to be 1260 BCM, of which the three main rivers contribute some 981 km³ (i.e. almost 78% of the total cross border flow), 85% of which enters the country between June and October </w:t>
      </w:r>
      <w:r w:rsidRPr="0032604C">
        <w:rPr>
          <w:rFonts w:cs="Times New Roman"/>
          <w:bCs/>
          <w:szCs w:val="24"/>
        </w:rPr>
        <w:t>(</w:t>
      </w:r>
      <w:r w:rsidRPr="0032604C">
        <w:rPr>
          <w:rFonts w:cs="Times New Roman"/>
          <w:szCs w:val="24"/>
        </w:rPr>
        <w:t>Mac Kirby et al, 2014</w:t>
      </w:r>
      <w:r w:rsidRPr="0032604C">
        <w:rPr>
          <w:rFonts w:cs="Times New Roman"/>
          <w:bCs/>
          <w:szCs w:val="24"/>
        </w:rPr>
        <w:t>)</w:t>
      </w:r>
      <w:r w:rsidRPr="0032604C">
        <w:rPr>
          <w:rFonts w:cs="Times New Roman"/>
          <w:szCs w:val="24"/>
        </w:rPr>
        <w:t xml:space="preserve">. Out of 981 BCM, some 54% is contributed by the Brahmaputra, 31% by the Ganges, nearly 14% by the tributaries of the (upper) Meghna and 1% is contributed by other minor rivers of the Eastern Hills. Only 15% of the total transboundary flow i.e. 148 BCM is </w:t>
      </w:r>
      <w:r>
        <w:rPr>
          <w:rFonts w:cs="Times New Roman"/>
          <w:szCs w:val="24"/>
        </w:rPr>
        <w:t>available during the dry season</w:t>
      </w:r>
      <w:r w:rsidRPr="0032604C">
        <w:rPr>
          <w:rFonts w:cs="Times New Roman"/>
          <w:szCs w:val="24"/>
        </w:rPr>
        <w:t xml:space="preserve"> </w:t>
      </w:r>
      <w:r w:rsidRPr="00624CEC">
        <w:rPr>
          <w:rFonts w:eastAsia="Times New Roman"/>
        </w:rPr>
        <w:t>(Mac Kirby, 2014)</w:t>
      </w:r>
      <w:r>
        <w:rPr>
          <w:rFonts w:eastAsia="Times New Roman"/>
        </w:rPr>
        <w:t xml:space="preserve"> </w:t>
      </w:r>
      <w:r w:rsidRPr="0032604C">
        <w:rPr>
          <w:rFonts w:cs="Times New Roman"/>
          <w:szCs w:val="24"/>
        </w:rPr>
        <w:t xml:space="preserve">where only 1% (11 BCM) of the total flow </w:t>
      </w:r>
      <w:r w:rsidRPr="00624CEC">
        <w:rPr>
          <w:rFonts w:eastAsia="Times New Roman"/>
        </w:rPr>
        <w:t>(Ahmed &amp; Roy, after 2004)</w:t>
      </w:r>
      <w:r>
        <w:rPr>
          <w:rFonts w:eastAsia="Times New Roman"/>
        </w:rPr>
        <w:t xml:space="preserve"> </w:t>
      </w:r>
      <w:r w:rsidRPr="0032604C">
        <w:rPr>
          <w:rFonts w:cs="Times New Roman"/>
          <w:szCs w:val="24"/>
        </w:rPr>
        <w:t xml:space="preserve">is received in the critical month of </w:t>
      </w:r>
      <w:r w:rsidR="002E04F3" w:rsidRPr="0032604C">
        <w:rPr>
          <w:rFonts w:cs="Times New Roman"/>
          <w:szCs w:val="24"/>
        </w:rPr>
        <w:t>February</w:t>
      </w:r>
      <w:r w:rsidR="002E04F3">
        <w:rPr>
          <w:rFonts w:cs="Times New Roman"/>
          <w:szCs w:val="24"/>
        </w:rPr>
        <w:t>, thus</w:t>
      </w:r>
      <w:r>
        <w:rPr>
          <w:rFonts w:cs="Times New Roman"/>
          <w:szCs w:val="24"/>
        </w:rPr>
        <w:t xml:space="preserve"> </w:t>
      </w:r>
      <w:r w:rsidRPr="0032604C">
        <w:rPr>
          <w:rFonts w:cs="Times New Roman"/>
          <w:szCs w:val="24"/>
        </w:rPr>
        <w:t xml:space="preserve">showing the vulnerability of the transboundary flow to meet the water demand during dry season. </w:t>
      </w:r>
    </w:p>
    <w:p w:rsidR="003E42A9" w:rsidRPr="0032604C" w:rsidRDefault="003E42A9" w:rsidP="003E42A9">
      <w:pPr>
        <w:spacing w:line="276" w:lineRule="auto"/>
        <w:jc w:val="both"/>
        <w:rPr>
          <w:rFonts w:cs="Times New Roman"/>
          <w:szCs w:val="24"/>
        </w:rPr>
      </w:pPr>
      <w:r w:rsidRPr="0032604C">
        <w:rPr>
          <w:rFonts w:cs="Times New Roman"/>
          <w:szCs w:val="24"/>
        </w:rPr>
        <w:t>On the othe</w:t>
      </w:r>
      <w:r>
        <w:rPr>
          <w:rFonts w:cs="Times New Roman"/>
          <w:szCs w:val="24"/>
        </w:rPr>
        <w:t>r hand,</w:t>
      </w:r>
      <w:r w:rsidRPr="0032604C">
        <w:rPr>
          <w:rFonts w:cs="Times New Roman"/>
          <w:szCs w:val="24"/>
        </w:rPr>
        <w:t xml:space="preserve"> the total renewable water resources on an annual basis amount to approximately 1211 BCM. Of these, 1190 BCM are surface water and 21 BCM are groundwater resources. Internal renewable water resources (those generated inside the country) are estimated at 105 BCM, of which 84 BCM originate from surface- and 21 BCM from groundwater. Externally renewable water resources </w:t>
      </w:r>
      <w:r w:rsidR="00704A22">
        <w:rPr>
          <w:rFonts w:cs="Times New Roman"/>
          <w:szCs w:val="24"/>
        </w:rPr>
        <w:t xml:space="preserve">accounts for a </w:t>
      </w:r>
      <w:r w:rsidRPr="0032604C">
        <w:rPr>
          <w:rFonts w:cs="Times New Roman"/>
          <w:szCs w:val="24"/>
        </w:rPr>
        <w:t xml:space="preserve">total </w:t>
      </w:r>
      <w:r w:rsidR="00704A22">
        <w:rPr>
          <w:rFonts w:cs="Times New Roman"/>
          <w:szCs w:val="24"/>
        </w:rPr>
        <w:t xml:space="preserve">of </w:t>
      </w:r>
      <w:r w:rsidRPr="0032604C">
        <w:rPr>
          <w:rFonts w:cs="Times New Roman"/>
          <w:szCs w:val="24"/>
        </w:rPr>
        <w:t>1106 BCM, of which 0.03 BCM</w:t>
      </w:r>
      <w:r w:rsidR="00704A22">
        <w:rPr>
          <w:rFonts w:cs="Times New Roman"/>
          <w:szCs w:val="24"/>
        </w:rPr>
        <w:t xml:space="preserve"> (?)</w:t>
      </w:r>
      <w:r w:rsidRPr="0032604C">
        <w:rPr>
          <w:rFonts w:cs="Times New Roman"/>
          <w:szCs w:val="24"/>
        </w:rPr>
        <w:t xml:space="preserve"> from groundwater and the remainder from trans-boundary river flows. Being the lower most riparian country of </w:t>
      </w:r>
      <w:r w:rsidR="00704A22">
        <w:rPr>
          <w:rFonts w:cs="Times New Roman"/>
          <w:bCs/>
          <w:szCs w:val="24"/>
        </w:rPr>
        <w:t xml:space="preserve">the Ganges-the Bhramaputra-the Meghna </w:t>
      </w:r>
      <w:r w:rsidRPr="0032604C">
        <w:rPr>
          <w:rFonts w:cs="Times New Roman"/>
          <w:szCs w:val="24"/>
        </w:rPr>
        <w:t>basin</w:t>
      </w:r>
      <w:r w:rsidR="00704A22">
        <w:rPr>
          <w:rFonts w:cs="Times New Roman"/>
          <w:szCs w:val="24"/>
        </w:rPr>
        <w:t>s</w:t>
      </w:r>
      <w:r w:rsidRPr="0032604C">
        <w:rPr>
          <w:rFonts w:cs="Times New Roman"/>
          <w:szCs w:val="24"/>
        </w:rPr>
        <w:t>, Bangladesh is highly dependent on the cross border water flow which varies greatly in wet and dry season of the country</w:t>
      </w:r>
      <w:r w:rsidR="00704A22">
        <w:rPr>
          <w:rFonts w:cs="Times New Roman"/>
          <w:szCs w:val="24"/>
        </w:rPr>
        <w:t>.</w:t>
      </w:r>
      <w:r w:rsidRPr="0032604C">
        <w:rPr>
          <w:rFonts w:cs="Times New Roman"/>
          <w:szCs w:val="24"/>
        </w:rPr>
        <w:t xml:space="preserve"> tTherefore, WARPO is conducting a scientific study to find out the water availability in the country from different sources </w:t>
      </w:r>
      <w:r w:rsidR="00623DD1">
        <w:rPr>
          <w:rFonts w:cs="Times New Roman"/>
          <w:szCs w:val="24"/>
        </w:rPr>
        <w:t xml:space="preserve">as well as the </w:t>
      </w:r>
      <w:r w:rsidRPr="0032604C">
        <w:rPr>
          <w:rFonts w:cs="Times New Roman"/>
          <w:szCs w:val="24"/>
        </w:rPr>
        <w:t xml:space="preserve">demand </w:t>
      </w:r>
      <w:r w:rsidR="00623DD1">
        <w:rPr>
          <w:rFonts w:cs="Times New Roman"/>
          <w:szCs w:val="24"/>
        </w:rPr>
        <w:t>of</w:t>
      </w:r>
      <w:r w:rsidR="00623DD1" w:rsidRPr="0032604C">
        <w:rPr>
          <w:rFonts w:cs="Times New Roman"/>
          <w:szCs w:val="24"/>
        </w:rPr>
        <w:t xml:space="preserve"> </w:t>
      </w:r>
      <w:r w:rsidRPr="0032604C">
        <w:rPr>
          <w:rFonts w:cs="Times New Roman"/>
          <w:szCs w:val="24"/>
        </w:rPr>
        <w:t>different sectors</w:t>
      </w:r>
      <w:r w:rsidR="00623DD1">
        <w:rPr>
          <w:rFonts w:cs="Times New Roman"/>
          <w:szCs w:val="24"/>
        </w:rPr>
        <w:t>.</w:t>
      </w:r>
      <w:r w:rsidRPr="0032604C">
        <w:rPr>
          <w:rFonts w:cs="Times New Roman"/>
          <w:szCs w:val="24"/>
        </w:rPr>
        <w:t xml:space="preserve">However, reduction of dry season flows in Bangladesh due to increasing upstream withdrawal is causing severe </w:t>
      </w:r>
      <w:r w:rsidRPr="0032604C">
        <w:rPr>
          <w:rFonts w:cs="Times New Roman"/>
          <w:szCs w:val="24"/>
        </w:rPr>
        <w:lastRenderedPageBreak/>
        <w:t>water shortage across the country. The reduced stream flow is also accelerating salinity intrusion and environmental degradation, particularly in the South West region, while about 25% of the country is flooded to varying degrees each year during May through September.</w:t>
      </w:r>
    </w:p>
    <w:p w:rsidR="003E42A9" w:rsidRPr="0032604C" w:rsidRDefault="003E42A9" w:rsidP="003E42A9">
      <w:pPr>
        <w:spacing w:line="276" w:lineRule="auto"/>
        <w:jc w:val="both"/>
        <w:rPr>
          <w:rFonts w:cs="Times New Roman"/>
          <w:szCs w:val="24"/>
        </w:rPr>
      </w:pPr>
      <w:r w:rsidRPr="0032604C">
        <w:rPr>
          <w:rFonts w:cs="Times New Roman"/>
          <w:szCs w:val="24"/>
        </w:rPr>
        <w:t xml:space="preserve">The water availability of the country is also dependent on the </w:t>
      </w:r>
      <w:r w:rsidR="00623DD1" w:rsidRPr="0032604C">
        <w:rPr>
          <w:rFonts w:cs="Times New Roman"/>
          <w:szCs w:val="24"/>
        </w:rPr>
        <w:t>rainfall which also varies</w:t>
      </w:r>
      <w:r w:rsidRPr="0032604C">
        <w:rPr>
          <w:rFonts w:cs="Times New Roman"/>
          <w:szCs w:val="24"/>
        </w:rPr>
        <w:t xml:space="preserve"> in wet and dry season. In Bangladesh, the period from June to October is termed as the wet or monsoon season while the period from November to May is termed as the dry season on the basis of wate</w:t>
      </w:r>
      <w:r>
        <w:rPr>
          <w:rFonts w:cs="Times New Roman"/>
          <w:szCs w:val="24"/>
        </w:rPr>
        <w:t>r availability and demand (NWMP, 2001)</w:t>
      </w:r>
      <w:r w:rsidRPr="0032604C">
        <w:rPr>
          <w:rFonts w:cs="Times New Roman"/>
          <w:szCs w:val="24"/>
        </w:rPr>
        <w:t xml:space="preserve">. </w:t>
      </w:r>
      <w:r>
        <w:rPr>
          <w:rFonts w:cs="Times New Roman"/>
          <w:szCs w:val="24"/>
        </w:rPr>
        <w:t>During the June-October monsoon</w:t>
      </w:r>
      <w:r w:rsidRPr="007C57E5">
        <w:rPr>
          <w:rFonts w:eastAsia="Times New Roman"/>
        </w:rPr>
        <w:t>(Ahmed &amp; Roy</w:t>
      </w:r>
      <w:r w:rsidR="00623DD1">
        <w:rPr>
          <w:rFonts w:eastAsia="Times New Roman"/>
        </w:rPr>
        <w:t>,</w:t>
      </w:r>
      <w:r w:rsidRPr="007C57E5">
        <w:rPr>
          <w:rFonts w:eastAsia="Times New Roman"/>
        </w:rPr>
        <w:t xml:space="preserve"> 2004)</w:t>
      </w:r>
      <w:r w:rsidRPr="0032604C">
        <w:rPr>
          <w:rFonts w:cs="Times New Roman"/>
          <w:szCs w:val="24"/>
        </w:rPr>
        <w:t xml:space="preserve">, Bangladesh receives about 80% of annual precipitation, averaging 2300mm, but varying from as little as 1200mm in </w:t>
      </w:r>
      <w:r>
        <w:rPr>
          <w:rFonts w:cs="Times New Roman"/>
          <w:szCs w:val="24"/>
        </w:rPr>
        <w:t xml:space="preserve">the west to 5800 mm in the east </w:t>
      </w:r>
      <w:r w:rsidRPr="007C57E5">
        <w:rPr>
          <w:rFonts w:eastAsia="Times New Roman"/>
        </w:rPr>
        <w:t>(Ahmed &amp; Roy</w:t>
      </w:r>
      <w:r w:rsidR="00623DD1">
        <w:rPr>
          <w:rFonts w:eastAsia="Times New Roman"/>
        </w:rPr>
        <w:t>,</w:t>
      </w:r>
      <w:r w:rsidRPr="007C57E5">
        <w:rPr>
          <w:rFonts w:eastAsia="Times New Roman"/>
        </w:rPr>
        <w:t xml:space="preserve"> 2004); (Ali, 2006))</w:t>
      </w:r>
      <w:r w:rsidRPr="0032604C">
        <w:rPr>
          <w:rFonts w:cs="Times New Roman"/>
          <w:szCs w:val="24"/>
        </w:rPr>
        <w:t>. About 20% of the average annual rainfall occurs in dry season (November-May) in northwest region with a highly uneven monthly distribution of rainfall</w:t>
      </w:r>
      <w:r w:rsidR="00183B06">
        <w:rPr>
          <w:rFonts w:cs="Times New Roman"/>
          <w:szCs w:val="24"/>
        </w:rPr>
        <w:t xml:space="preserve"> </w:t>
      </w:r>
      <w:r w:rsidRPr="007C57E5">
        <w:rPr>
          <w:rFonts w:eastAsia="Times New Roman"/>
        </w:rPr>
        <w:t>(Ahmed &amp; Roy (after 2004)</w:t>
      </w:r>
      <w:r w:rsidRPr="0032604C">
        <w:rPr>
          <w:rFonts w:cs="Times New Roman"/>
          <w:szCs w:val="24"/>
        </w:rPr>
        <w:t xml:space="preserve">. However, the annual average rainfall varies </w:t>
      </w:r>
      <w:r w:rsidR="00623DD1">
        <w:rPr>
          <w:rFonts w:cs="Times New Roman"/>
          <w:szCs w:val="24"/>
        </w:rPr>
        <w:t>as</w:t>
      </w:r>
      <w:r w:rsidR="00623DD1" w:rsidRPr="0032604C">
        <w:rPr>
          <w:rFonts w:cs="Times New Roman"/>
          <w:szCs w:val="24"/>
        </w:rPr>
        <w:t xml:space="preserve"> </w:t>
      </w:r>
      <w:r w:rsidRPr="0032604C">
        <w:rPr>
          <w:rFonts w:cs="Times New Roman"/>
          <w:szCs w:val="24"/>
        </w:rPr>
        <w:t>1927 mm in the north west (NW) region, 1950</w:t>
      </w:r>
      <w:r w:rsidR="00623DD1">
        <w:rPr>
          <w:rFonts w:cs="Times New Roman"/>
          <w:szCs w:val="24"/>
        </w:rPr>
        <w:t xml:space="preserve"> mm</w:t>
      </w:r>
      <w:r w:rsidRPr="0032604C">
        <w:rPr>
          <w:rFonts w:cs="Times New Roman"/>
          <w:szCs w:val="24"/>
        </w:rPr>
        <w:t xml:space="preserve"> in the south west-south central (SW-SC), 2133 in the north central (NC), 2447</w:t>
      </w:r>
      <w:r w:rsidR="00623DD1">
        <w:rPr>
          <w:rFonts w:cs="Times New Roman"/>
          <w:szCs w:val="24"/>
        </w:rPr>
        <w:t>mm</w:t>
      </w:r>
      <w:r w:rsidRPr="0032604C">
        <w:rPr>
          <w:rFonts w:cs="Times New Roman"/>
          <w:szCs w:val="24"/>
        </w:rPr>
        <w:t xml:space="preserve"> in the south-east (SE) and 3091mm</w:t>
      </w:r>
      <w:r>
        <w:rPr>
          <w:rFonts w:cs="Times New Roman"/>
          <w:szCs w:val="24"/>
        </w:rPr>
        <w:t xml:space="preserve"> in the north-east (NE) region</w:t>
      </w:r>
      <w:r w:rsidRPr="007C57E5">
        <w:rPr>
          <w:rFonts w:eastAsia="Times New Roman"/>
        </w:rPr>
        <w:t>(CSIRO</w:t>
      </w:r>
      <w:r w:rsidR="00623DD1">
        <w:rPr>
          <w:rFonts w:eastAsia="Times New Roman"/>
        </w:rPr>
        <w:t xml:space="preserve">, </w:t>
      </w:r>
      <w:r w:rsidRPr="007C57E5">
        <w:rPr>
          <w:rFonts w:eastAsia="Times New Roman"/>
        </w:rPr>
        <w:t>2014)</w:t>
      </w:r>
      <w:r w:rsidRPr="0032604C">
        <w:rPr>
          <w:rFonts w:cs="Times New Roman"/>
          <w:noProof/>
          <w:szCs w:val="24"/>
        </w:rPr>
        <w:t xml:space="preserve">. </w:t>
      </w:r>
    </w:p>
    <w:p w:rsidR="003E42A9" w:rsidRPr="0032604C" w:rsidRDefault="003E42A9" w:rsidP="003E42A9">
      <w:pPr>
        <w:spacing w:line="276" w:lineRule="auto"/>
        <w:jc w:val="both"/>
        <w:rPr>
          <w:rFonts w:cs="Times New Roman"/>
          <w:bCs/>
          <w:szCs w:val="24"/>
        </w:rPr>
      </w:pPr>
      <w:r w:rsidRPr="0032604C">
        <w:rPr>
          <w:rFonts w:cs="Times New Roman"/>
          <w:szCs w:val="24"/>
        </w:rPr>
        <w:t>Groundwater is an important source of drinking and irrigation water in Bangladesh. The major source of ground water is the recharge from surface water in the unconfined aquifer that has been formed in most of the area of the country from the sedimentary alluvial and deltaic deposits of three major rivers.  According to the Master Planning Organiza</w:t>
      </w:r>
      <w:r>
        <w:rPr>
          <w:rFonts w:cs="Times New Roman"/>
          <w:szCs w:val="24"/>
        </w:rPr>
        <w:t>tion (MPO, 1997)</w:t>
      </w:r>
      <w:r w:rsidRPr="0032604C">
        <w:rPr>
          <w:rFonts w:cs="Times New Roman"/>
          <w:szCs w:val="24"/>
        </w:rPr>
        <w:t xml:space="preserve"> an estimated 21 BCM of groundwater resources is produced within the country. </w:t>
      </w:r>
      <w:r w:rsidR="00623DD1">
        <w:rPr>
          <w:rFonts w:cs="Times New Roman"/>
          <w:szCs w:val="24"/>
        </w:rPr>
        <w:t xml:space="preserve">FAO </w:t>
      </w:r>
      <w:r w:rsidRPr="0032604C">
        <w:rPr>
          <w:rFonts w:cs="Times New Roman"/>
          <w:szCs w:val="24"/>
        </w:rPr>
        <w:t>estimated that in 2008 the total water withdrawal in Bangladesh was about 36 BCM, of which 31.5 BCM was for irrigation and 3.6 BCM for domestic water use and 0.8 BCM for industry; 79 % was sourced from groundwater and 21</w:t>
      </w:r>
      <w:r>
        <w:rPr>
          <w:rFonts w:cs="Times New Roman"/>
          <w:szCs w:val="24"/>
        </w:rPr>
        <w:t xml:space="preserve"> % from surface water</w:t>
      </w:r>
      <w:r w:rsidRPr="0032604C">
        <w:rPr>
          <w:rFonts w:cs="Times New Roman"/>
          <w:szCs w:val="24"/>
        </w:rPr>
        <w:t xml:space="preserve">. </w:t>
      </w:r>
      <w:r w:rsidRPr="0032604C">
        <w:rPr>
          <w:rFonts w:cs="Times New Roman"/>
          <w:bCs/>
          <w:szCs w:val="24"/>
        </w:rPr>
        <w:t>In future, water demand in the country is likely to be on the rise due to rapid urbanization, high demographic growth, adverse impacts of climate change etc. Due to climate change, irrigation water demand is projected to increase from less than 1% for 2030 in average condition, to maximum 3% for 2050 in dry con</w:t>
      </w:r>
      <w:r>
        <w:rPr>
          <w:rFonts w:cs="Times New Roman"/>
          <w:bCs/>
          <w:szCs w:val="24"/>
        </w:rPr>
        <w:t>dition</w:t>
      </w:r>
      <w:r w:rsidR="00183B06">
        <w:rPr>
          <w:rFonts w:cs="Times New Roman"/>
          <w:bCs/>
          <w:szCs w:val="24"/>
        </w:rPr>
        <w:t xml:space="preserve"> </w:t>
      </w:r>
      <w:r w:rsidRPr="00492417">
        <w:rPr>
          <w:rFonts w:eastAsia="Times New Roman"/>
        </w:rPr>
        <w:t>(Mainuddin M</w:t>
      </w:r>
      <w:r w:rsidR="00183B06">
        <w:rPr>
          <w:rFonts w:eastAsia="Times New Roman"/>
        </w:rPr>
        <w:t>.</w:t>
      </w:r>
      <w:r w:rsidRPr="00492417">
        <w:rPr>
          <w:rFonts w:eastAsia="Times New Roman"/>
        </w:rPr>
        <w:t xml:space="preserve"> et</w:t>
      </w:r>
      <w:r w:rsidR="00183B06">
        <w:rPr>
          <w:rFonts w:eastAsia="Times New Roman"/>
        </w:rPr>
        <w:t>. al.</w:t>
      </w:r>
      <w:r w:rsidRPr="00492417">
        <w:rPr>
          <w:rFonts w:eastAsia="Times New Roman"/>
        </w:rPr>
        <w:t xml:space="preserve"> 2013)</w:t>
      </w:r>
      <w:r w:rsidRPr="0032604C">
        <w:rPr>
          <w:rFonts w:cs="Times New Roman"/>
          <w:bCs/>
          <w:szCs w:val="24"/>
        </w:rPr>
        <w:t>. Although agriculture sector is and will remain the major water consumer, domestic and industrial uses are on the rise and are likely to grow by 100% and 440% re</w:t>
      </w:r>
      <w:r>
        <w:rPr>
          <w:rFonts w:cs="Times New Roman"/>
          <w:bCs/>
          <w:szCs w:val="24"/>
        </w:rPr>
        <w:t>spectively by 2050</w:t>
      </w:r>
      <w:r w:rsidRPr="0032604C">
        <w:rPr>
          <w:rFonts w:cs="Times New Roman"/>
          <w:bCs/>
          <w:szCs w:val="24"/>
        </w:rPr>
        <w:t xml:space="preserve">. </w:t>
      </w:r>
    </w:p>
    <w:p w:rsidR="003E42A9" w:rsidRDefault="003E42A9" w:rsidP="003E42A9">
      <w:pPr>
        <w:rPr>
          <w:rFonts w:cs="Times New Roman"/>
          <w:b/>
          <w:color w:val="1F497D" w:themeColor="text2"/>
          <w:sz w:val="28"/>
        </w:rPr>
      </w:pPr>
      <w:r>
        <w:rPr>
          <w:rFonts w:cs="Times New Roman"/>
          <w:bCs/>
          <w:color w:val="1F497D" w:themeColor="text2"/>
          <w:sz w:val="28"/>
        </w:rPr>
        <w:br w:type="page"/>
      </w:r>
    </w:p>
    <w:p w:rsidR="00F64A6A" w:rsidRDefault="003E42A9" w:rsidP="00F64A6A">
      <w:pPr>
        <w:pStyle w:val="Heading2"/>
        <w:numPr>
          <w:ilvl w:val="0"/>
          <w:numId w:val="0"/>
        </w:numPr>
        <w:ind w:left="720"/>
        <w:rPr>
          <w:bCs/>
        </w:rPr>
      </w:pPr>
      <w:bookmarkStart w:id="224" w:name="_Toc463603895"/>
      <w:bookmarkStart w:id="225" w:name="_Toc474638866"/>
      <w:r w:rsidRPr="00615C57">
        <w:rPr>
          <w:noProof/>
          <w:lang w:val="en-AU" w:eastAsia="en-AU" w:bidi="bn-BD"/>
        </w:rPr>
        <w:lastRenderedPageBreak/>
        <w:drawing>
          <wp:anchor distT="0" distB="0" distL="114300" distR="114300" simplePos="0" relativeHeight="251777024" behindDoc="1" locked="0" layoutInCell="1" allowOverlap="1">
            <wp:simplePos x="0" y="0"/>
            <wp:positionH relativeFrom="column">
              <wp:posOffset>2838450</wp:posOffset>
            </wp:positionH>
            <wp:positionV relativeFrom="paragraph">
              <wp:posOffset>76200</wp:posOffset>
            </wp:positionV>
            <wp:extent cx="2867025" cy="3057525"/>
            <wp:effectExtent l="0" t="0" r="257175" b="0"/>
            <wp:wrapSquare wrapText="bothSides"/>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anchor>
        </w:drawing>
      </w:r>
      <w:r w:rsidRPr="0032604C">
        <w:t>Problem and Challenges</w:t>
      </w:r>
      <w:bookmarkEnd w:id="224"/>
      <w:bookmarkEnd w:id="225"/>
    </w:p>
    <w:p w:rsidR="003E42A9" w:rsidRPr="0032604C" w:rsidRDefault="003E42A9" w:rsidP="003E42A9">
      <w:pPr>
        <w:spacing w:line="276" w:lineRule="auto"/>
        <w:jc w:val="both"/>
        <w:rPr>
          <w:rFonts w:cs="Times New Roman"/>
          <w:szCs w:val="24"/>
        </w:rPr>
      </w:pPr>
      <w:r w:rsidRPr="0032604C">
        <w:rPr>
          <w:rFonts w:cs="Times New Roman"/>
          <w:szCs w:val="24"/>
        </w:rPr>
        <w:t xml:space="preserve">Effective and efficient management of water resources in Bangladesh requires thorough identification of problems and challenges. The problems and challenges of </w:t>
      </w:r>
      <w:r w:rsidR="00623DD1">
        <w:rPr>
          <w:rFonts w:cs="Times New Roman"/>
          <w:szCs w:val="24"/>
        </w:rPr>
        <w:t>w</w:t>
      </w:r>
      <w:r w:rsidR="00623DD1" w:rsidRPr="0032604C">
        <w:rPr>
          <w:rFonts w:cs="Times New Roman"/>
          <w:szCs w:val="24"/>
        </w:rPr>
        <w:t xml:space="preserve">ater </w:t>
      </w:r>
      <w:r w:rsidR="00623DD1">
        <w:rPr>
          <w:rFonts w:cs="Times New Roman"/>
          <w:szCs w:val="24"/>
        </w:rPr>
        <w:t>r</w:t>
      </w:r>
      <w:r w:rsidR="00623DD1" w:rsidRPr="0032604C">
        <w:rPr>
          <w:rFonts w:cs="Times New Roman"/>
          <w:szCs w:val="24"/>
        </w:rPr>
        <w:t xml:space="preserve">esources </w:t>
      </w:r>
      <w:r w:rsidRPr="0032604C">
        <w:rPr>
          <w:rFonts w:cs="Times New Roman"/>
          <w:szCs w:val="24"/>
        </w:rPr>
        <w:t xml:space="preserve">in Bangladesh can be classified under three broad categories: </w:t>
      </w:r>
      <w:r w:rsidR="00C10B04">
        <w:rPr>
          <w:rFonts w:cs="Times New Roman"/>
          <w:szCs w:val="24"/>
        </w:rPr>
        <w:t xml:space="preserve">problems specifically related to water </w:t>
      </w:r>
      <w:r w:rsidRPr="0032604C">
        <w:rPr>
          <w:rFonts w:cs="Times New Roman"/>
          <w:szCs w:val="24"/>
        </w:rPr>
        <w:t xml:space="preserve">(e.g. water related disaster, water availability etc.); </w:t>
      </w:r>
      <w:r w:rsidR="00623DD1">
        <w:rPr>
          <w:rFonts w:cs="Times New Roman"/>
          <w:szCs w:val="24"/>
        </w:rPr>
        <w:t>i</w:t>
      </w:r>
      <w:r w:rsidR="00623DD1" w:rsidRPr="0032604C">
        <w:rPr>
          <w:rFonts w:cs="Times New Roman"/>
          <w:szCs w:val="24"/>
        </w:rPr>
        <w:t xml:space="preserve">nstitutional </w:t>
      </w:r>
      <w:r w:rsidR="00623DD1">
        <w:rPr>
          <w:rFonts w:cs="Times New Roman"/>
          <w:szCs w:val="24"/>
        </w:rPr>
        <w:t>c</w:t>
      </w:r>
      <w:r w:rsidR="00623DD1" w:rsidRPr="0032604C">
        <w:rPr>
          <w:rFonts w:cs="Times New Roman"/>
          <w:szCs w:val="24"/>
        </w:rPr>
        <w:t>apacity</w:t>
      </w:r>
      <w:r w:rsidRPr="0032604C">
        <w:rPr>
          <w:rFonts w:cs="Times New Roman"/>
          <w:szCs w:val="24"/>
        </w:rPr>
        <w:t xml:space="preserve">, </w:t>
      </w:r>
      <w:r w:rsidR="00623DD1">
        <w:rPr>
          <w:rFonts w:cs="Times New Roman"/>
          <w:szCs w:val="24"/>
        </w:rPr>
        <w:t>m</w:t>
      </w:r>
      <w:r w:rsidR="00623DD1" w:rsidRPr="0032604C">
        <w:rPr>
          <w:rFonts w:cs="Times New Roman"/>
          <w:szCs w:val="24"/>
        </w:rPr>
        <w:t xml:space="preserve">anagement </w:t>
      </w:r>
      <w:r w:rsidRPr="0032604C">
        <w:rPr>
          <w:rFonts w:cs="Times New Roman"/>
          <w:szCs w:val="24"/>
        </w:rPr>
        <w:t xml:space="preserve">and </w:t>
      </w:r>
      <w:r w:rsidR="00623DD1">
        <w:rPr>
          <w:rFonts w:cs="Times New Roman"/>
          <w:szCs w:val="24"/>
        </w:rPr>
        <w:t>c</w:t>
      </w:r>
      <w:r w:rsidR="00623DD1" w:rsidRPr="0032604C">
        <w:rPr>
          <w:rFonts w:cs="Times New Roman"/>
          <w:szCs w:val="24"/>
        </w:rPr>
        <w:t xml:space="preserve">oordination </w:t>
      </w:r>
      <w:r w:rsidRPr="0032604C">
        <w:rPr>
          <w:rFonts w:cs="Times New Roman"/>
          <w:szCs w:val="24"/>
        </w:rPr>
        <w:t xml:space="preserve">and </w:t>
      </w:r>
      <w:r w:rsidR="00623DD1">
        <w:rPr>
          <w:rFonts w:cs="Times New Roman"/>
          <w:szCs w:val="24"/>
        </w:rPr>
        <w:t>k</w:t>
      </w:r>
      <w:r w:rsidR="00623DD1" w:rsidRPr="0032604C">
        <w:rPr>
          <w:rFonts w:cs="Times New Roman"/>
          <w:szCs w:val="24"/>
        </w:rPr>
        <w:t xml:space="preserve">nowledge </w:t>
      </w:r>
      <w:r w:rsidR="00623DD1">
        <w:rPr>
          <w:rFonts w:cs="Times New Roman"/>
          <w:szCs w:val="24"/>
        </w:rPr>
        <w:t>g</w:t>
      </w:r>
      <w:r w:rsidR="00623DD1" w:rsidRPr="0032604C">
        <w:rPr>
          <w:rFonts w:cs="Times New Roman"/>
          <w:szCs w:val="24"/>
        </w:rPr>
        <w:t>ap</w:t>
      </w:r>
      <w:r w:rsidRPr="0032604C">
        <w:rPr>
          <w:rFonts w:cs="Times New Roman"/>
          <w:szCs w:val="24"/>
        </w:rPr>
        <w:t xml:space="preserve">. In this section, the problems and challenges under </w:t>
      </w:r>
      <w:r>
        <w:rPr>
          <w:rFonts w:cs="Times New Roman"/>
          <w:szCs w:val="24"/>
        </w:rPr>
        <w:t>these three categories are briefly discussed</w:t>
      </w:r>
      <w:r w:rsidRPr="0032604C">
        <w:rPr>
          <w:rFonts w:cs="Times New Roman"/>
          <w:szCs w:val="24"/>
        </w:rPr>
        <w:t>.</w:t>
      </w:r>
    </w:p>
    <w:p w:rsidR="00000000" w:rsidRDefault="003E42A9" w:rsidP="003D5A31">
      <w:pPr>
        <w:pStyle w:val="BodyText"/>
        <w:numPr>
          <w:ilvl w:val="2"/>
          <w:numId w:val="141"/>
        </w:numPr>
        <w:spacing w:after="240" w:line="276" w:lineRule="auto"/>
        <w:jc w:val="both"/>
        <w:rPr>
          <w:rFonts w:cs="Times New Roman"/>
          <w:b/>
          <w:szCs w:val="24"/>
        </w:rPr>
      </w:pPr>
      <w:r w:rsidRPr="00E50596">
        <w:rPr>
          <w:rFonts w:cs="Times New Roman"/>
          <w:b/>
          <w:szCs w:val="24"/>
        </w:rPr>
        <w:t>Problems</w:t>
      </w:r>
    </w:p>
    <w:p w:rsidR="003E42A9" w:rsidRPr="009B04B7" w:rsidRDefault="003E42A9" w:rsidP="003E42A9">
      <w:pPr>
        <w:rPr>
          <w:rFonts w:cs="Times New Roman"/>
          <w:b/>
          <w:i/>
        </w:rPr>
      </w:pPr>
      <w:r w:rsidRPr="009B04B7">
        <w:rPr>
          <w:rFonts w:cs="Times New Roman"/>
          <w:b/>
          <w:i/>
        </w:rPr>
        <w:t xml:space="preserve">Water </w:t>
      </w:r>
      <w:r w:rsidR="00C10B04">
        <w:rPr>
          <w:rFonts w:cs="Times New Roman"/>
          <w:b/>
          <w:i/>
        </w:rPr>
        <w:t xml:space="preserve">Related Problem </w:t>
      </w:r>
    </w:p>
    <w:p w:rsidR="003E42A9" w:rsidRDefault="003E42A9" w:rsidP="003E42A9">
      <w:pPr>
        <w:spacing w:line="276" w:lineRule="auto"/>
        <w:jc w:val="both"/>
        <w:rPr>
          <w:rFonts w:cs="Times New Roman"/>
          <w:iCs/>
          <w:color w:val="000000" w:themeColor="text1"/>
          <w:szCs w:val="24"/>
        </w:rPr>
      </w:pPr>
      <w:r w:rsidRPr="0032604C">
        <w:rPr>
          <w:rFonts w:cs="Times New Roman"/>
          <w:szCs w:val="24"/>
        </w:rPr>
        <w:t xml:space="preserve">One of the basic considerations for strategy formulation is the issues and challenges related to the water system of the country. While some issues and challenges are prevalent and dominant in the specific hotspots of the country namely: </w:t>
      </w:r>
      <w:r w:rsidRPr="0032604C">
        <w:rPr>
          <w:rFonts w:cs="Times New Roman"/>
          <w:i/>
          <w:szCs w:val="24"/>
        </w:rPr>
        <w:t xml:space="preserve">Coastal Zone, Barind and Drought Prone Areas, Major Rivers and </w:t>
      </w:r>
      <w:r>
        <w:rPr>
          <w:rFonts w:cs="Times New Roman"/>
          <w:i/>
          <w:szCs w:val="24"/>
        </w:rPr>
        <w:t>Adjoining Areas</w:t>
      </w:r>
      <w:r w:rsidRPr="0032604C">
        <w:rPr>
          <w:rFonts w:cs="Times New Roman"/>
          <w:i/>
          <w:szCs w:val="24"/>
        </w:rPr>
        <w:t xml:space="preserve">, Haor </w:t>
      </w:r>
      <w:r>
        <w:rPr>
          <w:rFonts w:cs="Times New Roman"/>
          <w:i/>
          <w:szCs w:val="24"/>
        </w:rPr>
        <w:t>and Flash Flood Areas</w:t>
      </w:r>
      <w:r w:rsidRPr="0032604C">
        <w:rPr>
          <w:rFonts w:cs="Times New Roman"/>
          <w:i/>
          <w:szCs w:val="24"/>
        </w:rPr>
        <w:t>, Urban Areas</w:t>
      </w:r>
      <w:r>
        <w:rPr>
          <w:rFonts w:cs="Times New Roman"/>
          <w:i/>
          <w:szCs w:val="24"/>
        </w:rPr>
        <w:t xml:space="preserve">, </w:t>
      </w:r>
      <w:r w:rsidRPr="0032604C">
        <w:rPr>
          <w:rFonts w:cs="Times New Roman"/>
          <w:i/>
          <w:szCs w:val="24"/>
        </w:rPr>
        <w:t>Chittagong Hill Tracts</w:t>
      </w:r>
      <w:r>
        <w:rPr>
          <w:rFonts w:cs="Times New Roman"/>
          <w:i/>
          <w:szCs w:val="24"/>
        </w:rPr>
        <w:t xml:space="preserve"> and Coast and Cross-cutting Area</w:t>
      </w:r>
      <w:r w:rsidRPr="0032604C">
        <w:rPr>
          <w:rFonts w:cs="Times New Roman"/>
          <w:szCs w:val="24"/>
        </w:rPr>
        <w:t xml:space="preserve">; some issues and challenges are required to be addressed at </w:t>
      </w:r>
      <w:r>
        <w:rPr>
          <w:rFonts w:cs="Times New Roman"/>
          <w:szCs w:val="24"/>
        </w:rPr>
        <w:t xml:space="preserve">the </w:t>
      </w:r>
      <w:r w:rsidRPr="0032604C">
        <w:rPr>
          <w:rFonts w:cs="Times New Roman"/>
          <w:szCs w:val="24"/>
        </w:rPr>
        <w:t xml:space="preserve">national level. Moreover, spatial location of the these hotspots over </w:t>
      </w:r>
      <w:r w:rsidRPr="0032604C">
        <w:rPr>
          <w:rFonts w:cs="Times New Roman"/>
          <w:bCs/>
          <w:color w:val="000000" w:themeColor="text1"/>
          <w:szCs w:val="24"/>
        </w:rPr>
        <w:t>eight hydrological regions of Bangladesh</w:t>
      </w:r>
      <w:r w:rsidR="000D7389">
        <w:rPr>
          <w:rFonts w:cs="Times New Roman"/>
          <w:bCs/>
          <w:color w:val="000000" w:themeColor="text1"/>
          <w:szCs w:val="24"/>
        </w:rPr>
        <w:t xml:space="preserve"> </w:t>
      </w:r>
      <w:r>
        <w:rPr>
          <w:rFonts w:cs="Times New Roman"/>
          <w:bCs/>
          <w:color w:val="000000" w:themeColor="text1"/>
          <w:szCs w:val="24"/>
        </w:rPr>
        <w:t>are</w:t>
      </w:r>
      <w:r w:rsidRPr="0032604C">
        <w:rPr>
          <w:rFonts w:cs="Times New Roman"/>
          <w:bCs/>
          <w:color w:val="000000" w:themeColor="text1"/>
          <w:szCs w:val="24"/>
        </w:rPr>
        <w:t xml:space="preserve"> also analyzed to facilitate the strategy formulation process</w:t>
      </w:r>
      <w:r w:rsidRPr="0032604C">
        <w:rPr>
          <w:rFonts w:cs="Times New Roman"/>
          <w:iCs/>
          <w:color w:val="000000" w:themeColor="text1"/>
          <w:szCs w:val="24"/>
        </w:rPr>
        <w:t xml:space="preserve">. </w:t>
      </w:r>
    </w:p>
    <w:p w:rsidR="003E42A9" w:rsidRPr="0032604C" w:rsidRDefault="003E42A9" w:rsidP="003E42A9">
      <w:pPr>
        <w:spacing w:line="276" w:lineRule="auto"/>
        <w:jc w:val="both"/>
        <w:rPr>
          <w:rFonts w:cs="Times New Roman"/>
          <w:iCs/>
          <w:color w:val="000000" w:themeColor="text1"/>
          <w:szCs w:val="24"/>
        </w:rPr>
      </w:pPr>
      <w:r w:rsidRPr="0032604C">
        <w:rPr>
          <w:rFonts w:cs="Times New Roman"/>
          <w:iCs/>
          <w:color w:val="000000" w:themeColor="text1"/>
          <w:szCs w:val="24"/>
        </w:rPr>
        <w:t xml:space="preserve">Water availability, problems, issues and </w:t>
      </w:r>
      <w:r w:rsidR="000D7389">
        <w:rPr>
          <w:rFonts w:cs="Times New Roman"/>
          <w:iCs/>
          <w:color w:val="000000" w:themeColor="text1"/>
          <w:szCs w:val="24"/>
        </w:rPr>
        <w:t>demand</w:t>
      </w:r>
      <w:r w:rsidR="000D7389" w:rsidRPr="0032604C">
        <w:rPr>
          <w:rFonts w:cs="Times New Roman"/>
          <w:iCs/>
          <w:color w:val="000000" w:themeColor="text1"/>
          <w:szCs w:val="24"/>
        </w:rPr>
        <w:t xml:space="preserve"> </w:t>
      </w:r>
      <w:r w:rsidRPr="0032604C">
        <w:rPr>
          <w:rFonts w:cs="Times New Roman"/>
          <w:iCs/>
          <w:color w:val="000000" w:themeColor="text1"/>
          <w:szCs w:val="24"/>
        </w:rPr>
        <w:t>for each of the hotspots varies from one another which have been p</w:t>
      </w:r>
      <w:r>
        <w:rPr>
          <w:rFonts w:cs="Times New Roman"/>
          <w:iCs/>
          <w:color w:val="000000" w:themeColor="text1"/>
          <w:szCs w:val="24"/>
        </w:rPr>
        <w:t>resented in Table 4.1. The location of these hotspots in regards to the hydrological regions is also shown. In the last column the priority areas are indicated.  These priorities and related water strategies are discussed in detail in chapter 6.</w:t>
      </w:r>
    </w:p>
    <w:p w:rsidR="003E42A9" w:rsidRDefault="003E42A9" w:rsidP="003E42A9">
      <w:pPr>
        <w:rPr>
          <w:rFonts w:cs="Times New Roman"/>
          <w:b/>
          <w:szCs w:val="24"/>
        </w:rPr>
      </w:pPr>
      <w:r>
        <w:rPr>
          <w:rFonts w:cs="Times New Roman"/>
          <w:b/>
          <w:szCs w:val="24"/>
        </w:rPr>
        <w:br w:type="page"/>
      </w:r>
    </w:p>
    <w:p w:rsidR="003E42A9" w:rsidRPr="003E42A9" w:rsidRDefault="003E42A9" w:rsidP="003E42A9">
      <w:pPr>
        <w:pStyle w:val="Heading4"/>
      </w:pPr>
      <w:bookmarkStart w:id="226" w:name="_Toc474639025"/>
      <w:r w:rsidRPr="003E42A9">
        <w:lastRenderedPageBreak/>
        <w:t xml:space="preserve">Table 4.1: </w:t>
      </w:r>
      <w:bookmarkStart w:id="227" w:name="page205"/>
      <w:bookmarkEnd w:id="226"/>
      <w:bookmarkEnd w:id="227"/>
      <w:r w:rsidR="000D7389">
        <w:t xml:space="preserve">Hotspots wise </w:t>
      </w:r>
      <w:r w:rsidR="000D7389" w:rsidRPr="003E42A9">
        <w:t>Problems and Challenges</w:t>
      </w:r>
    </w:p>
    <w:tbl>
      <w:tblPr>
        <w:tblStyle w:val="LightShading-Accent11"/>
        <w:tblW w:w="0" w:type="auto"/>
        <w:tblBorders>
          <w:left w:val="single" w:sz="8" w:space="0" w:color="4F81BD" w:themeColor="accent1"/>
          <w:right w:val="single" w:sz="8" w:space="0" w:color="4F81BD" w:themeColor="accent1"/>
          <w:insideH w:val="single" w:sz="6" w:space="0" w:color="4F81BD" w:themeColor="accent1"/>
          <w:insideV w:val="single" w:sz="6" w:space="0" w:color="4F81BD" w:themeColor="accent1"/>
        </w:tblBorders>
        <w:tblLook w:val="04A0"/>
      </w:tblPr>
      <w:tblGrid>
        <w:gridCol w:w="1228"/>
        <w:gridCol w:w="2286"/>
        <w:gridCol w:w="2027"/>
        <w:gridCol w:w="1706"/>
        <w:gridCol w:w="1609"/>
      </w:tblGrid>
      <w:tr w:rsidR="003E42A9" w:rsidRPr="00481704" w:rsidTr="003E42A9">
        <w:trPr>
          <w:cnfStyle w:val="100000000000"/>
          <w:trHeight w:val="530"/>
        </w:trPr>
        <w:tc>
          <w:tcPr>
            <w:cnfStyle w:val="001000000000"/>
            <w:tcW w:w="1302" w:type="dxa"/>
            <w:tcBorders>
              <w:top w:val="none" w:sz="0" w:space="0" w:color="auto"/>
              <w:left w:val="none" w:sz="0" w:space="0" w:color="auto"/>
              <w:bottom w:val="none" w:sz="0" w:space="0" w:color="auto"/>
              <w:right w:val="none" w:sz="0" w:space="0" w:color="auto"/>
            </w:tcBorders>
          </w:tcPr>
          <w:p w:rsidR="003E42A9" w:rsidRPr="005034A8" w:rsidRDefault="003E42A9" w:rsidP="003E42A9">
            <w:pPr>
              <w:jc w:val="center"/>
              <w:rPr>
                <w:rFonts w:cstheme="minorHAnsi"/>
                <w:b w:val="0"/>
                <w:color w:val="auto"/>
                <w:sz w:val="16"/>
                <w:szCs w:val="16"/>
              </w:rPr>
            </w:pPr>
            <w:r w:rsidRPr="005034A8">
              <w:rPr>
                <w:rFonts w:cstheme="minorHAnsi"/>
                <w:color w:val="auto"/>
                <w:sz w:val="16"/>
                <w:szCs w:val="16"/>
              </w:rPr>
              <w:t>Hotspot as per BDP2100</w:t>
            </w:r>
          </w:p>
        </w:tc>
        <w:tc>
          <w:tcPr>
            <w:tcW w:w="2619" w:type="dxa"/>
            <w:tcBorders>
              <w:top w:val="none" w:sz="0" w:space="0" w:color="auto"/>
              <w:left w:val="none" w:sz="0" w:space="0" w:color="auto"/>
              <w:bottom w:val="none" w:sz="0" w:space="0" w:color="auto"/>
              <w:right w:val="none" w:sz="0" w:space="0" w:color="auto"/>
            </w:tcBorders>
          </w:tcPr>
          <w:p w:rsidR="003E42A9" w:rsidRPr="005034A8" w:rsidRDefault="003E42A9" w:rsidP="003E42A9">
            <w:pPr>
              <w:jc w:val="center"/>
              <w:cnfStyle w:val="100000000000"/>
              <w:rPr>
                <w:rFonts w:cstheme="minorHAnsi"/>
                <w:b w:val="0"/>
                <w:color w:val="auto"/>
                <w:sz w:val="16"/>
                <w:szCs w:val="16"/>
              </w:rPr>
            </w:pPr>
            <w:r w:rsidRPr="005034A8">
              <w:rPr>
                <w:rFonts w:cstheme="minorHAnsi"/>
                <w:color w:val="auto"/>
                <w:sz w:val="16"/>
                <w:szCs w:val="16"/>
              </w:rPr>
              <w:t>Description</w:t>
            </w:r>
          </w:p>
        </w:tc>
        <w:tc>
          <w:tcPr>
            <w:tcW w:w="2176" w:type="dxa"/>
            <w:tcBorders>
              <w:top w:val="none" w:sz="0" w:space="0" w:color="auto"/>
              <w:left w:val="none" w:sz="0" w:space="0" w:color="auto"/>
              <w:bottom w:val="none" w:sz="0" w:space="0" w:color="auto"/>
              <w:right w:val="none" w:sz="0" w:space="0" w:color="auto"/>
            </w:tcBorders>
          </w:tcPr>
          <w:p w:rsidR="003E42A9" w:rsidRPr="005034A8" w:rsidRDefault="003E42A9" w:rsidP="003E42A9">
            <w:pPr>
              <w:jc w:val="center"/>
              <w:cnfStyle w:val="100000000000"/>
              <w:rPr>
                <w:rFonts w:cstheme="minorHAnsi"/>
                <w:b w:val="0"/>
                <w:color w:val="auto"/>
                <w:sz w:val="16"/>
                <w:szCs w:val="16"/>
              </w:rPr>
            </w:pPr>
            <w:r w:rsidRPr="005034A8">
              <w:rPr>
                <w:rFonts w:cstheme="minorHAnsi"/>
                <w:color w:val="auto"/>
                <w:sz w:val="16"/>
                <w:szCs w:val="16"/>
              </w:rPr>
              <w:t>Problem</w:t>
            </w:r>
          </w:p>
        </w:tc>
        <w:tc>
          <w:tcPr>
            <w:tcW w:w="1768" w:type="dxa"/>
            <w:tcBorders>
              <w:top w:val="none" w:sz="0" w:space="0" w:color="auto"/>
              <w:left w:val="none" w:sz="0" w:space="0" w:color="auto"/>
              <w:bottom w:val="none" w:sz="0" w:space="0" w:color="auto"/>
              <w:right w:val="none" w:sz="0" w:space="0" w:color="auto"/>
            </w:tcBorders>
          </w:tcPr>
          <w:p w:rsidR="003E42A9" w:rsidRPr="005034A8" w:rsidRDefault="003E42A9" w:rsidP="003E42A9">
            <w:pPr>
              <w:jc w:val="center"/>
              <w:cnfStyle w:val="100000000000"/>
              <w:rPr>
                <w:rFonts w:cstheme="minorHAnsi"/>
                <w:b w:val="0"/>
                <w:color w:val="auto"/>
                <w:sz w:val="16"/>
                <w:szCs w:val="16"/>
              </w:rPr>
            </w:pPr>
            <w:r w:rsidRPr="005034A8">
              <w:rPr>
                <w:rFonts w:cstheme="minorHAnsi"/>
                <w:color w:val="auto"/>
                <w:sz w:val="16"/>
                <w:szCs w:val="16"/>
              </w:rPr>
              <w:t>Challenges</w:t>
            </w:r>
          </w:p>
        </w:tc>
        <w:tc>
          <w:tcPr>
            <w:tcW w:w="1711" w:type="dxa"/>
            <w:tcBorders>
              <w:top w:val="none" w:sz="0" w:space="0" w:color="auto"/>
              <w:left w:val="none" w:sz="0" w:space="0" w:color="auto"/>
              <w:bottom w:val="none" w:sz="0" w:space="0" w:color="auto"/>
              <w:right w:val="none" w:sz="0" w:space="0" w:color="auto"/>
            </w:tcBorders>
          </w:tcPr>
          <w:p w:rsidR="003E42A9" w:rsidRPr="005034A8" w:rsidRDefault="003E42A9" w:rsidP="000D7389">
            <w:pPr>
              <w:jc w:val="center"/>
              <w:cnfStyle w:val="100000000000"/>
              <w:rPr>
                <w:rFonts w:cstheme="minorHAnsi"/>
                <w:b w:val="0"/>
                <w:color w:val="auto"/>
                <w:sz w:val="16"/>
                <w:szCs w:val="16"/>
              </w:rPr>
            </w:pPr>
            <w:r w:rsidRPr="005034A8">
              <w:rPr>
                <w:rFonts w:cstheme="minorHAnsi"/>
                <w:color w:val="auto"/>
                <w:sz w:val="16"/>
                <w:szCs w:val="16"/>
              </w:rPr>
              <w:t xml:space="preserve">Priority Area in </w:t>
            </w:r>
            <w:r w:rsidR="000D7389">
              <w:rPr>
                <w:rFonts w:cstheme="minorHAnsi"/>
                <w:color w:val="auto"/>
                <w:sz w:val="16"/>
                <w:szCs w:val="16"/>
              </w:rPr>
              <w:t>Hotspots</w:t>
            </w:r>
          </w:p>
        </w:tc>
      </w:tr>
      <w:tr w:rsidR="003E42A9" w:rsidRPr="00481704" w:rsidTr="003E42A9">
        <w:trPr>
          <w:cnfStyle w:val="000000100000"/>
          <w:trHeight w:val="1340"/>
        </w:trPr>
        <w:tc>
          <w:tcPr>
            <w:cnfStyle w:val="001000000000"/>
            <w:tcW w:w="1302" w:type="dxa"/>
            <w:tcBorders>
              <w:left w:val="none" w:sz="0" w:space="0" w:color="auto"/>
              <w:right w:val="none" w:sz="0" w:space="0" w:color="auto"/>
            </w:tcBorders>
          </w:tcPr>
          <w:p w:rsidR="003E42A9" w:rsidRPr="005034A8" w:rsidRDefault="003E42A9" w:rsidP="003E42A9">
            <w:pPr>
              <w:rPr>
                <w:rFonts w:cstheme="minorHAnsi"/>
                <w:b w:val="0"/>
                <w:color w:val="auto"/>
                <w:sz w:val="16"/>
                <w:szCs w:val="16"/>
              </w:rPr>
            </w:pPr>
            <w:r w:rsidRPr="005034A8">
              <w:rPr>
                <w:rFonts w:cstheme="minorHAnsi"/>
                <w:color w:val="auto"/>
                <w:sz w:val="16"/>
                <w:szCs w:val="16"/>
              </w:rPr>
              <w:t>Coastal zone</w:t>
            </w:r>
          </w:p>
        </w:tc>
        <w:tc>
          <w:tcPr>
            <w:tcW w:w="2619" w:type="dxa"/>
            <w:tcBorders>
              <w:left w:val="none" w:sz="0" w:space="0" w:color="auto"/>
              <w:right w:val="none" w:sz="0" w:space="0" w:color="auto"/>
            </w:tcBorders>
          </w:tcPr>
          <w:p w:rsidR="003E42A9" w:rsidRPr="005034A8" w:rsidRDefault="003E42A9" w:rsidP="003E42A9">
            <w:pPr>
              <w:cnfStyle w:val="000000100000"/>
              <w:rPr>
                <w:rFonts w:cstheme="minorHAnsi"/>
                <w:b/>
                <w:color w:val="auto"/>
                <w:sz w:val="16"/>
                <w:szCs w:val="16"/>
              </w:rPr>
            </w:pPr>
            <w:r w:rsidRPr="005034A8">
              <w:rPr>
                <w:rFonts w:cstheme="minorHAnsi"/>
                <w:b/>
                <w:color w:val="auto"/>
                <w:sz w:val="16"/>
                <w:szCs w:val="16"/>
              </w:rPr>
              <w:t>Area:</w:t>
            </w:r>
            <w:r w:rsidRPr="005034A8">
              <w:rPr>
                <w:color w:val="auto"/>
              </w:rPr>
              <w:t xml:space="preserve"> </w:t>
            </w:r>
            <w:r w:rsidRPr="005034A8">
              <w:rPr>
                <w:rFonts w:cstheme="minorHAnsi"/>
                <w:color w:val="auto"/>
                <w:sz w:val="16"/>
                <w:szCs w:val="16"/>
              </w:rPr>
              <w:t>31279.25 sq. km</w:t>
            </w:r>
          </w:p>
          <w:p w:rsidR="003E42A9" w:rsidRPr="005034A8" w:rsidRDefault="003E42A9" w:rsidP="003E42A9">
            <w:pPr>
              <w:cnfStyle w:val="000000100000"/>
              <w:rPr>
                <w:rFonts w:cstheme="minorHAnsi"/>
                <w:color w:val="auto"/>
                <w:sz w:val="16"/>
                <w:szCs w:val="16"/>
              </w:rPr>
            </w:pPr>
            <w:r w:rsidRPr="005034A8">
              <w:rPr>
                <w:rFonts w:cstheme="minorHAnsi"/>
                <w:b/>
                <w:color w:val="auto"/>
                <w:sz w:val="16"/>
                <w:szCs w:val="16"/>
              </w:rPr>
              <w:t xml:space="preserve">Administrative Boundary: </w:t>
            </w:r>
            <w:r w:rsidRPr="005034A8">
              <w:rPr>
                <w:rFonts w:cstheme="minorHAnsi"/>
                <w:color w:val="auto"/>
                <w:sz w:val="16"/>
                <w:szCs w:val="16"/>
              </w:rPr>
              <w:t>Covers partially or fully around 20 districts including Bagerhat</w:t>
            </w:r>
            <w:r w:rsidRPr="005034A8">
              <w:rPr>
                <w:rFonts w:cstheme="minorHAnsi"/>
                <w:b/>
                <w:color w:val="auto"/>
                <w:sz w:val="16"/>
                <w:szCs w:val="16"/>
              </w:rPr>
              <w:t xml:space="preserve">, </w:t>
            </w:r>
            <w:r w:rsidRPr="005034A8">
              <w:rPr>
                <w:rFonts w:cstheme="minorHAnsi"/>
                <w:color w:val="auto"/>
                <w:sz w:val="16"/>
                <w:szCs w:val="16"/>
              </w:rPr>
              <w:t>Bhola, Gopalganj, Barguna, Barisal, Feni</w:t>
            </w:r>
            <w:r w:rsidRPr="005034A8">
              <w:rPr>
                <w:rFonts w:cstheme="minorHAnsi"/>
                <w:b/>
                <w:color w:val="auto"/>
                <w:sz w:val="16"/>
                <w:szCs w:val="16"/>
              </w:rPr>
              <w:t xml:space="preserve">, </w:t>
            </w:r>
            <w:r w:rsidRPr="005034A8">
              <w:rPr>
                <w:rFonts w:cstheme="minorHAnsi"/>
                <w:color w:val="auto"/>
                <w:sz w:val="16"/>
                <w:szCs w:val="16"/>
              </w:rPr>
              <w:t>Chandpur, Chittagong, Jessore, Jamalpur, Khulna, Jhalokati, Laksmipur, Narail, Noakhali, Patuakhali, Satkhira, Pirojpur, Shariatpur, Tangail.</w:t>
            </w:r>
            <w:r w:rsidRPr="005034A8">
              <w:rPr>
                <w:rFonts w:cstheme="minorHAnsi"/>
                <w:b/>
                <w:color w:val="auto"/>
                <w:sz w:val="16"/>
                <w:szCs w:val="16"/>
              </w:rPr>
              <w:br/>
              <w:t>Hydraulic Region:</w:t>
            </w:r>
            <w:r w:rsidRPr="005034A8">
              <w:rPr>
                <w:rFonts w:cstheme="minorHAnsi"/>
                <w:b/>
                <w:color w:val="auto"/>
                <w:sz w:val="16"/>
                <w:szCs w:val="16"/>
              </w:rPr>
              <w:br/>
            </w:r>
            <w:r w:rsidRPr="005034A8">
              <w:rPr>
                <w:rFonts w:cstheme="minorHAnsi"/>
                <w:color w:val="auto"/>
                <w:sz w:val="16"/>
                <w:szCs w:val="16"/>
              </w:rPr>
              <w:t>South Central, North Central, South East, South West, River and Estuary, Eastern Hill.</w:t>
            </w:r>
            <w:r w:rsidRPr="005034A8">
              <w:rPr>
                <w:rFonts w:cstheme="minorHAnsi"/>
                <w:b/>
                <w:color w:val="auto"/>
                <w:sz w:val="16"/>
                <w:szCs w:val="16"/>
              </w:rPr>
              <w:br/>
              <w:t>No of Rivers:</w:t>
            </w:r>
            <w:r w:rsidRPr="005034A8">
              <w:rPr>
                <w:rFonts w:cstheme="minorHAnsi"/>
                <w:b/>
                <w:color w:val="auto"/>
                <w:sz w:val="16"/>
                <w:szCs w:val="16"/>
              </w:rPr>
              <w:br/>
            </w:r>
            <w:r w:rsidRPr="005034A8">
              <w:rPr>
                <w:rFonts w:cstheme="minorHAnsi"/>
                <w:color w:val="auto"/>
                <w:sz w:val="16"/>
                <w:szCs w:val="16"/>
              </w:rPr>
              <w:t>99</w:t>
            </w:r>
            <w:r w:rsidRPr="005034A8">
              <w:rPr>
                <w:rFonts w:cstheme="minorHAnsi"/>
                <w:b/>
                <w:color w:val="auto"/>
                <w:sz w:val="16"/>
                <w:szCs w:val="16"/>
              </w:rPr>
              <w:br/>
              <w:t>Major Rivers:</w:t>
            </w:r>
            <w:r w:rsidRPr="005034A8">
              <w:rPr>
                <w:rFonts w:cstheme="minorHAnsi"/>
                <w:b/>
                <w:color w:val="auto"/>
                <w:sz w:val="16"/>
                <w:szCs w:val="16"/>
              </w:rPr>
              <w:br/>
            </w:r>
            <w:r w:rsidRPr="005034A8">
              <w:rPr>
                <w:rFonts w:cstheme="minorHAnsi"/>
                <w:color w:val="auto"/>
                <w:sz w:val="16"/>
                <w:szCs w:val="16"/>
              </w:rPr>
              <w:t>Arial Khan,</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t xml:space="preserve"> Brahmaputra-Jamuna,</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t>Madhumati, Mahuri,</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t xml:space="preserve">Meghna (Lower), Meghna (Upper), </w:t>
            </w:r>
          </w:p>
          <w:p w:rsidR="003E42A9" w:rsidRPr="001869D0" w:rsidRDefault="003E42A9" w:rsidP="003E42A9">
            <w:pPr>
              <w:cnfStyle w:val="000000100000"/>
              <w:rPr>
                <w:rFonts w:cstheme="minorHAnsi"/>
                <w:color w:val="auto"/>
                <w:sz w:val="16"/>
                <w:szCs w:val="16"/>
                <w:lang w:val="fr-BE"/>
              </w:rPr>
            </w:pPr>
            <w:r w:rsidRPr="001869D0">
              <w:rPr>
                <w:rFonts w:eastAsia="Times New Roman"/>
                <w:color w:val="auto"/>
                <w:sz w:val="16"/>
                <w:lang w:val="fr-BE"/>
              </w:rPr>
              <w:t>etc.</w:t>
            </w:r>
            <w:r w:rsidRPr="001869D0">
              <w:rPr>
                <w:rFonts w:cstheme="minorHAnsi"/>
                <w:color w:val="auto"/>
                <w:sz w:val="16"/>
                <w:szCs w:val="16"/>
                <w:lang w:val="fr-BE"/>
              </w:rPr>
              <w:t>.</w:t>
            </w:r>
          </w:p>
          <w:p w:rsidR="003E42A9" w:rsidRPr="001869D0" w:rsidRDefault="003E42A9" w:rsidP="003E42A9">
            <w:pPr>
              <w:cnfStyle w:val="000000100000"/>
              <w:rPr>
                <w:rFonts w:cstheme="minorHAnsi"/>
                <w:color w:val="auto"/>
                <w:sz w:val="16"/>
                <w:szCs w:val="16"/>
                <w:lang w:val="fr-BE"/>
              </w:rPr>
            </w:pPr>
            <w:r w:rsidRPr="001869D0">
              <w:rPr>
                <w:rFonts w:cstheme="minorHAnsi"/>
                <w:b/>
                <w:color w:val="auto"/>
                <w:sz w:val="16"/>
                <w:szCs w:val="16"/>
                <w:lang w:val="fr-BE"/>
              </w:rPr>
              <w:t>Basin:</w:t>
            </w:r>
            <w:r w:rsidRPr="001869D0">
              <w:rPr>
                <w:rFonts w:cstheme="minorHAnsi"/>
                <w:b/>
                <w:color w:val="auto"/>
                <w:sz w:val="16"/>
                <w:szCs w:val="16"/>
                <w:lang w:val="fr-BE"/>
              </w:rPr>
              <w:br/>
            </w:r>
            <w:r w:rsidRPr="001869D0">
              <w:rPr>
                <w:rFonts w:cstheme="minorHAnsi"/>
                <w:color w:val="auto"/>
                <w:sz w:val="16"/>
                <w:szCs w:val="16"/>
                <w:lang w:val="fr-BE"/>
              </w:rPr>
              <w:t xml:space="preserve">Ganges, Meghna &amp; </w:t>
            </w:r>
            <w:r w:rsidRPr="001869D0">
              <w:rPr>
                <w:rFonts w:eastAsia="Times New Roman"/>
                <w:color w:val="auto"/>
                <w:sz w:val="16"/>
                <w:szCs w:val="20"/>
                <w:lang w:val="fr-BE"/>
              </w:rPr>
              <w:t>Brahmaputra Basin.</w:t>
            </w:r>
          </w:p>
        </w:tc>
        <w:tc>
          <w:tcPr>
            <w:tcW w:w="2176" w:type="dxa"/>
            <w:tcBorders>
              <w:left w:val="none" w:sz="0" w:space="0" w:color="auto"/>
              <w:right w:val="none" w:sz="0" w:space="0" w:color="auto"/>
            </w:tcBorders>
          </w:tcPr>
          <w:p w:rsidR="003E42A9" w:rsidRPr="005034A8" w:rsidRDefault="003E42A9" w:rsidP="00A631E1">
            <w:pPr>
              <w:pStyle w:val="ListParagraph"/>
              <w:numPr>
                <w:ilvl w:val="0"/>
                <w:numId w:val="37"/>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Sea level rising</w:t>
            </w:r>
          </w:p>
          <w:p w:rsidR="003E42A9" w:rsidRPr="005034A8" w:rsidRDefault="003E42A9" w:rsidP="00A631E1">
            <w:pPr>
              <w:pStyle w:val="ListParagraph"/>
              <w:numPr>
                <w:ilvl w:val="0"/>
                <w:numId w:val="36"/>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 xml:space="preserve">Flooding due to tides, cyclonic storm, tidal surges, overspill of lower Meghna river </w:t>
            </w:r>
          </w:p>
          <w:p w:rsidR="003E42A9" w:rsidRPr="005034A8" w:rsidRDefault="003E42A9" w:rsidP="00A631E1">
            <w:pPr>
              <w:pStyle w:val="ListParagraph"/>
              <w:numPr>
                <w:ilvl w:val="0"/>
                <w:numId w:val="36"/>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 xml:space="preserve">Salinity intrusion in Khulna, Bagerhat, </w:t>
            </w:r>
            <w:r w:rsidRPr="005034A8">
              <w:rPr>
                <w:rFonts w:eastAsia="Times New Roman"/>
                <w:color w:val="auto"/>
                <w:sz w:val="16"/>
              </w:rPr>
              <w:t>Satkhira districts.</w:t>
            </w:r>
            <w:r w:rsidRPr="005034A8">
              <w:rPr>
                <w:rFonts w:cstheme="minorHAnsi"/>
                <w:color w:val="auto"/>
                <w:sz w:val="16"/>
                <w:szCs w:val="16"/>
              </w:rPr>
              <w:t>.</w:t>
            </w:r>
          </w:p>
          <w:p w:rsidR="003E42A9" w:rsidRPr="005034A8" w:rsidRDefault="003E42A9" w:rsidP="00A631E1">
            <w:pPr>
              <w:pStyle w:val="ListParagraph"/>
              <w:numPr>
                <w:ilvl w:val="0"/>
                <w:numId w:val="38"/>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Drainage congestion in polders and in Greater Noakhali</w:t>
            </w:r>
          </w:p>
          <w:p w:rsidR="003E42A9" w:rsidRPr="005034A8" w:rsidRDefault="003E42A9" w:rsidP="00A631E1">
            <w:pPr>
              <w:pStyle w:val="ListParagraph"/>
              <w:numPr>
                <w:ilvl w:val="0"/>
                <w:numId w:val="38"/>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Water logging in Satkhira, Jessore, Khulna, Bagerhat, Noakhali districts.</w:t>
            </w:r>
          </w:p>
          <w:p w:rsidR="003E42A9" w:rsidRPr="005034A8" w:rsidRDefault="003E42A9" w:rsidP="00A631E1">
            <w:pPr>
              <w:pStyle w:val="ListParagraph"/>
              <w:numPr>
                <w:ilvl w:val="0"/>
                <w:numId w:val="36"/>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Lack of fresh water supply</w:t>
            </w:r>
          </w:p>
          <w:p w:rsidR="003E42A9" w:rsidRPr="005034A8" w:rsidRDefault="003E42A9" w:rsidP="00A631E1">
            <w:pPr>
              <w:pStyle w:val="ListParagraph"/>
              <w:numPr>
                <w:ilvl w:val="0"/>
                <w:numId w:val="36"/>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 xml:space="preserve"> Arsenic contamination.</w:t>
            </w:r>
          </w:p>
          <w:p w:rsidR="003E42A9" w:rsidRPr="005034A8" w:rsidRDefault="003E42A9" w:rsidP="00A631E1">
            <w:pPr>
              <w:pStyle w:val="ListParagraph"/>
              <w:numPr>
                <w:ilvl w:val="0"/>
                <w:numId w:val="37"/>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Safe water supply and sanitation.</w:t>
            </w:r>
          </w:p>
          <w:p w:rsidR="003E42A9" w:rsidRPr="005034A8" w:rsidRDefault="003E42A9" w:rsidP="00A631E1">
            <w:pPr>
              <w:pStyle w:val="ListParagraph"/>
              <w:numPr>
                <w:ilvl w:val="0"/>
                <w:numId w:val="38"/>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Water deficit in the dry season</w:t>
            </w:r>
          </w:p>
          <w:p w:rsidR="003E42A9" w:rsidRPr="005034A8" w:rsidRDefault="003E42A9" w:rsidP="00A631E1">
            <w:pPr>
              <w:pStyle w:val="ListParagraph"/>
              <w:numPr>
                <w:ilvl w:val="0"/>
                <w:numId w:val="38"/>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Loss of Biodiversity and ecosystem in Sundarbans.</w:t>
            </w:r>
          </w:p>
          <w:p w:rsidR="003E42A9" w:rsidRPr="005034A8" w:rsidRDefault="003E42A9" w:rsidP="00A631E1">
            <w:pPr>
              <w:pStyle w:val="ListParagraph"/>
              <w:numPr>
                <w:ilvl w:val="0"/>
                <w:numId w:val="38"/>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Environmental degradation particularly in Sundarbans.</w:t>
            </w:r>
          </w:p>
          <w:p w:rsidR="003E42A9" w:rsidRPr="005034A8" w:rsidRDefault="003E42A9" w:rsidP="00A631E1">
            <w:pPr>
              <w:pStyle w:val="ListParagraph"/>
              <w:numPr>
                <w:ilvl w:val="0"/>
                <w:numId w:val="37"/>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Coastal erosion in Central Meghna Estuary.</w:t>
            </w:r>
          </w:p>
        </w:tc>
        <w:tc>
          <w:tcPr>
            <w:tcW w:w="1768" w:type="dxa"/>
            <w:tcBorders>
              <w:left w:val="none" w:sz="0" w:space="0" w:color="auto"/>
              <w:right w:val="none" w:sz="0" w:space="0" w:color="auto"/>
            </w:tcBorders>
          </w:tcPr>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Maintaining fresh water flow,</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Polder management</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 xml:space="preserve"> Sediment management in polder areas</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 xml:space="preserve"> Safe drinking water supply.</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Providing enough fresh water for irrigation.</w:t>
            </w:r>
          </w:p>
          <w:p w:rsidR="003E42A9" w:rsidRPr="005034A8" w:rsidRDefault="003E42A9" w:rsidP="00A631E1">
            <w:pPr>
              <w:pStyle w:val="ListParagraph"/>
              <w:numPr>
                <w:ilvl w:val="0"/>
                <w:numId w:val="38"/>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Flood management</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Drainage management.</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 xml:space="preserve">Restoration and modernization of old polders, </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Involvement of local stakeholder for operation and maintenance,</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Re-excavation of canal (inside polders) and river outside polders</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Strengthening (internally and externally) sea dykes against the  increased tidal prism and sea level rise respectively</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Increasing employment</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Land reclamation</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Establishment of economic zones</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Land use planning</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Improved communications</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Increasing average life length</w:t>
            </w:r>
          </w:p>
          <w:p w:rsidR="003E42A9" w:rsidRPr="005034A8" w:rsidRDefault="003E42A9" w:rsidP="00A631E1">
            <w:pPr>
              <w:pStyle w:val="ListParagraph"/>
              <w:numPr>
                <w:ilvl w:val="0"/>
                <w:numId w:val="36"/>
              </w:numPr>
              <w:spacing w:after="0" w:line="240" w:lineRule="auto"/>
              <w:ind w:left="301" w:hanging="270"/>
              <w:cnfStyle w:val="000000100000"/>
              <w:rPr>
                <w:rFonts w:cstheme="minorHAnsi"/>
                <w:color w:val="auto"/>
                <w:sz w:val="16"/>
                <w:szCs w:val="16"/>
              </w:rPr>
            </w:pPr>
            <w:r w:rsidRPr="005034A8">
              <w:rPr>
                <w:rFonts w:cstheme="minorHAnsi"/>
                <w:color w:val="auto"/>
                <w:sz w:val="16"/>
                <w:szCs w:val="16"/>
              </w:rPr>
              <w:t>Increasing dairy firm in the sea shore areas etc</w:t>
            </w:r>
          </w:p>
        </w:tc>
        <w:tc>
          <w:tcPr>
            <w:tcW w:w="1711" w:type="dxa"/>
            <w:tcBorders>
              <w:left w:val="none" w:sz="0" w:space="0" w:color="auto"/>
              <w:right w:val="none" w:sz="0" w:space="0" w:color="auto"/>
            </w:tcBorders>
          </w:tcPr>
          <w:p w:rsidR="003E42A9" w:rsidRPr="00A1679C" w:rsidRDefault="003E42A9" w:rsidP="00A631E1">
            <w:pPr>
              <w:pStyle w:val="ListParagraph"/>
              <w:numPr>
                <w:ilvl w:val="0"/>
                <w:numId w:val="36"/>
              </w:numPr>
              <w:spacing w:after="0" w:line="240" w:lineRule="auto"/>
              <w:ind w:left="199" w:hanging="270"/>
              <w:cnfStyle w:val="000000100000"/>
              <w:rPr>
                <w:rFonts w:cstheme="minorHAnsi"/>
                <w:color w:val="auto"/>
                <w:sz w:val="16"/>
                <w:szCs w:val="16"/>
              </w:rPr>
            </w:pPr>
            <w:r w:rsidRPr="00A1679C">
              <w:rPr>
                <w:rFonts w:cstheme="minorHAnsi"/>
                <w:color w:val="auto"/>
                <w:sz w:val="16"/>
                <w:szCs w:val="16"/>
              </w:rPr>
              <w:t>Sundarban</w:t>
            </w:r>
          </w:p>
          <w:p w:rsidR="003E42A9" w:rsidRPr="00A1679C" w:rsidRDefault="003E42A9" w:rsidP="00A631E1">
            <w:pPr>
              <w:pStyle w:val="ListParagraph"/>
              <w:numPr>
                <w:ilvl w:val="0"/>
                <w:numId w:val="36"/>
              </w:numPr>
              <w:spacing w:after="0" w:line="240" w:lineRule="auto"/>
              <w:ind w:left="199" w:hanging="270"/>
              <w:cnfStyle w:val="000000100000"/>
              <w:rPr>
                <w:rFonts w:cstheme="minorHAnsi"/>
                <w:color w:val="auto"/>
                <w:sz w:val="16"/>
                <w:szCs w:val="16"/>
              </w:rPr>
            </w:pPr>
            <w:r w:rsidRPr="00A1679C">
              <w:rPr>
                <w:rFonts w:cstheme="minorHAnsi"/>
                <w:color w:val="auto"/>
                <w:sz w:val="16"/>
                <w:szCs w:val="16"/>
              </w:rPr>
              <w:t>Greater Noakhali</w:t>
            </w:r>
          </w:p>
          <w:p w:rsidR="003E42A9" w:rsidRPr="00A1679C" w:rsidRDefault="003E42A9" w:rsidP="003E42A9">
            <w:pPr>
              <w:pStyle w:val="ListParagraph"/>
              <w:ind w:left="199"/>
              <w:cnfStyle w:val="000000100000"/>
              <w:rPr>
                <w:rFonts w:cstheme="minorHAnsi"/>
                <w:color w:val="auto"/>
                <w:sz w:val="16"/>
                <w:szCs w:val="16"/>
              </w:rPr>
            </w:pPr>
          </w:p>
        </w:tc>
      </w:tr>
      <w:tr w:rsidR="003E42A9" w:rsidRPr="00481704" w:rsidTr="003E42A9">
        <w:trPr>
          <w:trHeight w:val="1790"/>
        </w:trPr>
        <w:tc>
          <w:tcPr>
            <w:cnfStyle w:val="001000000000"/>
            <w:tcW w:w="1302" w:type="dxa"/>
          </w:tcPr>
          <w:p w:rsidR="003E42A9" w:rsidRPr="005034A8" w:rsidRDefault="003E42A9" w:rsidP="003E42A9">
            <w:pPr>
              <w:rPr>
                <w:rFonts w:cstheme="minorHAnsi"/>
                <w:b w:val="0"/>
                <w:color w:val="auto"/>
                <w:sz w:val="16"/>
                <w:szCs w:val="16"/>
              </w:rPr>
            </w:pPr>
            <w:r w:rsidRPr="005034A8">
              <w:rPr>
                <w:rFonts w:cstheme="minorHAnsi"/>
                <w:color w:val="auto"/>
                <w:sz w:val="16"/>
                <w:szCs w:val="16"/>
              </w:rPr>
              <w:lastRenderedPageBreak/>
              <w:t>Barind and Drought Prone Area</w:t>
            </w:r>
          </w:p>
        </w:tc>
        <w:tc>
          <w:tcPr>
            <w:tcW w:w="2619" w:type="dxa"/>
          </w:tcPr>
          <w:p w:rsidR="003E42A9" w:rsidRPr="005034A8" w:rsidRDefault="003E42A9" w:rsidP="003E42A9">
            <w:pPr>
              <w:cnfStyle w:val="000000000000"/>
              <w:rPr>
                <w:rFonts w:cstheme="minorHAnsi"/>
                <w:b/>
                <w:color w:val="auto"/>
                <w:sz w:val="16"/>
                <w:szCs w:val="16"/>
              </w:rPr>
            </w:pPr>
            <w:r w:rsidRPr="005034A8">
              <w:rPr>
                <w:rFonts w:cstheme="minorHAnsi"/>
                <w:b/>
                <w:color w:val="auto"/>
                <w:sz w:val="16"/>
                <w:szCs w:val="16"/>
              </w:rPr>
              <w:t xml:space="preserve">Area: </w:t>
            </w:r>
            <w:r w:rsidRPr="005034A8">
              <w:rPr>
                <w:rFonts w:cstheme="minorHAnsi"/>
                <w:color w:val="auto"/>
                <w:sz w:val="16"/>
                <w:szCs w:val="16"/>
              </w:rPr>
              <w:t>36506.20 sq. km</w:t>
            </w:r>
          </w:p>
          <w:p w:rsidR="003E42A9" w:rsidRPr="005034A8" w:rsidRDefault="003E42A9" w:rsidP="003E42A9">
            <w:pPr>
              <w:cnfStyle w:val="000000000000"/>
              <w:rPr>
                <w:rFonts w:cstheme="minorHAnsi"/>
                <w:color w:val="auto"/>
                <w:sz w:val="16"/>
                <w:szCs w:val="16"/>
              </w:rPr>
            </w:pPr>
            <w:r w:rsidRPr="005034A8">
              <w:rPr>
                <w:rFonts w:cstheme="minorHAnsi"/>
                <w:b/>
                <w:color w:val="auto"/>
                <w:sz w:val="16"/>
                <w:szCs w:val="16"/>
              </w:rPr>
              <w:t xml:space="preserve">Administrative Boundary: </w:t>
            </w:r>
            <w:r w:rsidRPr="005034A8">
              <w:rPr>
                <w:rFonts w:cstheme="minorHAnsi"/>
                <w:color w:val="auto"/>
                <w:sz w:val="16"/>
                <w:szCs w:val="16"/>
              </w:rPr>
              <w:t>Covers partially or fully around 21 districts including</w:t>
            </w:r>
            <w:r w:rsidRPr="005034A8">
              <w:rPr>
                <w:rFonts w:cstheme="minorHAnsi"/>
                <w:b/>
                <w:color w:val="auto"/>
                <w:sz w:val="16"/>
                <w:szCs w:val="16"/>
              </w:rPr>
              <w:br/>
            </w:r>
            <w:r w:rsidRPr="005034A8">
              <w:rPr>
                <w:rFonts w:cstheme="minorHAnsi"/>
                <w:color w:val="auto"/>
                <w:sz w:val="16"/>
                <w:szCs w:val="16"/>
              </w:rPr>
              <w:t xml:space="preserve">Bogra, Chuadanga, Dinajpur, Gaibandha, Jhenaidah, Joypurhat, Kurigram, </w:t>
            </w:r>
            <w:r w:rsidR="002E04F3" w:rsidRPr="005034A8">
              <w:rPr>
                <w:rFonts w:cstheme="minorHAnsi"/>
                <w:color w:val="auto"/>
                <w:sz w:val="16"/>
                <w:szCs w:val="16"/>
              </w:rPr>
              <w:t>Kushtia</w:t>
            </w:r>
            <w:r w:rsidRPr="005034A8">
              <w:rPr>
                <w:rFonts w:cstheme="minorHAnsi"/>
                <w:color w:val="auto"/>
                <w:sz w:val="16"/>
                <w:szCs w:val="16"/>
              </w:rPr>
              <w:t xml:space="preserve">, Lalmonirhat, Meherpur, Naogaon, Natore, Nawabganj, Nilphamari, </w:t>
            </w:r>
            <w:r w:rsidRPr="005034A8">
              <w:rPr>
                <w:rFonts w:eastAsia="Times New Roman"/>
                <w:color w:val="auto"/>
                <w:sz w:val="16"/>
                <w:szCs w:val="20"/>
              </w:rPr>
              <w:t>Pabna</w:t>
            </w:r>
            <w:r w:rsidRPr="005034A8">
              <w:rPr>
                <w:rFonts w:cstheme="minorHAnsi"/>
                <w:color w:val="auto"/>
                <w:sz w:val="16"/>
                <w:szCs w:val="16"/>
              </w:rPr>
              <w:t>, Panchagarh, Rajbari, Rajshahi, Rangpur, Sirajgonj, Thakurgaon.</w:t>
            </w:r>
            <w:r w:rsidRPr="005034A8">
              <w:rPr>
                <w:rFonts w:cstheme="minorHAnsi"/>
                <w:b/>
                <w:color w:val="auto"/>
                <w:sz w:val="16"/>
                <w:szCs w:val="16"/>
              </w:rPr>
              <w:br/>
              <w:t>Hydraulic Region:</w:t>
            </w:r>
            <w:r w:rsidRPr="005034A8">
              <w:rPr>
                <w:rFonts w:cstheme="minorHAnsi"/>
                <w:b/>
                <w:color w:val="auto"/>
                <w:sz w:val="16"/>
                <w:szCs w:val="16"/>
              </w:rPr>
              <w:br/>
            </w:r>
            <w:r w:rsidRPr="005034A8">
              <w:rPr>
                <w:rFonts w:cstheme="minorHAnsi"/>
                <w:color w:val="auto"/>
                <w:sz w:val="16"/>
                <w:szCs w:val="16"/>
              </w:rPr>
              <w:t>South West, North West, River and Estuary.</w:t>
            </w:r>
            <w:r w:rsidRPr="005034A8">
              <w:rPr>
                <w:rFonts w:cstheme="minorHAnsi"/>
                <w:b/>
                <w:color w:val="auto"/>
                <w:sz w:val="16"/>
                <w:szCs w:val="16"/>
              </w:rPr>
              <w:br/>
              <w:t>No of Rivers:</w:t>
            </w:r>
            <w:r w:rsidRPr="005034A8">
              <w:rPr>
                <w:rFonts w:cstheme="minorHAnsi"/>
                <w:b/>
                <w:color w:val="auto"/>
                <w:sz w:val="16"/>
                <w:szCs w:val="16"/>
              </w:rPr>
              <w:br/>
            </w:r>
            <w:r w:rsidRPr="005034A8">
              <w:rPr>
                <w:rFonts w:cstheme="minorHAnsi"/>
                <w:color w:val="auto"/>
                <w:sz w:val="16"/>
                <w:szCs w:val="16"/>
              </w:rPr>
              <w:t>128</w:t>
            </w:r>
            <w:r w:rsidRPr="005034A8">
              <w:rPr>
                <w:rFonts w:cstheme="minorHAnsi"/>
                <w:b/>
                <w:color w:val="auto"/>
                <w:sz w:val="16"/>
                <w:szCs w:val="16"/>
              </w:rPr>
              <w:br/>
              <w:t>Major Rivers:</w:t>
            </w:r>
            <w:r w:rsidRPr="005034A8">
              <w:rPr>
                <w:rFonts w:cstheme="minorHAnsi"/>
                <w:b/>
                <w:color w:val="auto"/>
                <w:sz w:val="16"/>
                <w:szCs w:val="16"/>
              </w:rPr>
              <w:br/>
            </w:r>
            <w:r w:rsidRPr="005034A8">
              <w:rPr>
                <w:rFonts w:cstheme="minorHAnsi"/>
                <w:color w:val="auto"/>
                <w:sz w:val="16"/>
                <w:szCs w:val="16"/>
              </w:rPr>
              <w:t xml:space="preserve">Atrai, Brahmaputra-Jamuna, Teesta, Dharla, Dudhkumar, </w:t>
            </w:r>
          </w:p>
          <w:p w:rsidR="003E42A9" w:rsidRPr="007C2871" w:rsidRDefault="003E42A9" w:rsidP="003E42A9">
            <w:pPr>
              <w:cnfStyle w:val="000000000000"/>
              <w:rPr>
                <w:rFonts w:cstheme="minorHAnsi"/>
                <w:color w:val="auto"/>
                <w:sz w:val="16"/>
                <w:szCs w:val="16"/>
                <w:lang w:val="fr-BE"/>
              </w:rPr>
            </w:pPr>
            <w:r w:rsidRPr="007C2871">
              <w:rPr>
                <w:rFonts w:cstheme="minorHAnsi"/>
                <w:color w:val="auto"/>
                <w:sz w:val="16"/>
                <w:szCs w:val="16"/>
                <w:lang w:val="fr-BE"/>
              </w:rPr>
              <w:t xml:space="preserve">Ganges, Garai, Ichamati </w:t>
            </w:r>
          </w:p>
          <w:p w:rsidR="003E42A9" w:rsidRPr="007C2871" w:rsidRDefault="003E42A9" w:rsidP="003E42A9">
            <w:pPr>
              <w:cnfStyle w:val="000000000000"/>
              <w:rPr>
                <w:rFonts w:cstheme="minorHAnsi"/>
                <w:color w:val="auto"/>
                <w:sz w:val="16"/>
                <w:szCs w:val="16"/>
                <w:lang w:val="fr-BE"/>
              </w:rPr>
            </w:pPr>
            <w:r w:rsidRPr="007C2871">
              <w:rPr>
                <w:rFonts w:cstheme="minorHAnsi"/>
                <w:color w:val="auto"/>
                <w:sz w:val="16"/>
                <w:szCs w:val="16"/>
                <w:lang w:val="fr-BE"/>
              </w:rPr>
              <w:t xml:space="preserve">Matabhanga, Mohananda </w:t>
            </w:r>
          </w:p>
          <w:p w:rsidR="003E42A9" w:rsidRPr="007C2871" w:rsidRDefault="003E42A9" w:rsidP="003E42A9">
            <w:pPr>
              <w:cnfStyle w:val="000000000000"/>
              <w:rPr>
                <w:rFonts w:cstheme="minorHAnsi"/>
                <w:color w:val="auto"/>
                <w:sz w:val="16"/>
                <w:szCs w:val="16"/>
                <w:lang w:val="fr-BE"/>
              </w:rPr>
            </w:pPr>
            <w:r w:rsidRPr="007C2871">
              <w:rPr>
                <w:rFonts w:cstheme="minorHAnsi"/>
                <w:b/>
                <w:color w:val="auto"/>
                <w:sz w:val="16"/>
                <w:szCs w:val="16"/>
                <w:lang w:val="fr-BE"/>
              </w:rPr>
              <w:t>Basin:</w:t>
            </w:r>
            <w:r w:rsidRPr="007C2871">
              <w:rPr>
                <w:rFonts w:cstheme="minorHAnsi"/>
                <w:b/>
                <w:color w:val="auto"/>
                <w:sz w:val="16"/>
                <w:szCs w:val="16"/>
                <w:lang w:val="fr-BE"/>
              </w:rPr>
              <w:br/>
            </w:r>
            <w:r w:rsidRPr="007C2871">
              <w:rPr>
                <w:rFonts w:eastAsia="Times New Roman"/>
                <w:color w:val="auto"/>
                <w:sz w:val="16"/>
                <w:szCs w:val="20"/>
                <w:lang w:val="fr-BE"/>
              </w:rPr>
              <w:t>Ganges &amp; Brahmaputra Basin</w:t>
            </w:r>
            <w:r w:rsidRPr="007C2871">
              <w:rPr>
                <w:rFonts w:cstheme="minorHAnsi"/>
                <w:color w:val="auto"/>
                <w:sz w:val="16"/>
                <w:szCs w:val="16"/>
                <w:lang w:val="fr-BE"/>
              </w:rPr>
              <w:t>.</w:t>
            </w:r>
          </w:p>
        </w:tc>
        <w:tc>
          <w:tcPr>
            <w:tcW w:w="2176" w:type="dxa"/>
          </w:tcPr>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Droughts &amp; Water scarcity in Kurigram, Nilphamari, Lalmonirhat, Gaibandha, Bogra, Rangpur, Naogaon districts.</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 xml:space="preserve">Flooding in wet season in Sirajganj, Pabna, </w:t>
            </w:r>
            <w:r w:rsidR="002E04F3" w:rsidRPr="005034A8">
              <w:rPr>
                <w:rFonts w:cstheme="minorHAnsi"/>
                <w:color w:val="auto"/>
                <w:sz w:val="16"/>
                <w:szCs w:val="16"/>
              </w:rPr>
              <w:t>Naogaon</w:t>
            </w:r>
            <w:r w:rsidRPr="005034A8">
              <w:rPr>
                <w:rFonts w:cstheme="minorHAnsi"/>
                <w:color w:val="auto"/>
                <w:sz w:val="16"/>
                <w:szCs w:val="16"/>
              </w:rPr>
              <w:t>, Bogra districts.</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Ground water Depletion</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 xml:space="preserve">Breaches in the Teesta and Brahmaputra right embankment. </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Breaches in the embankment of Jamuna River in Sirajganj.</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Domestic water supply shortage</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Water and environment pollution.</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Diminishing freshwater flow from Gorai river.</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No legislative act or framework for guiding the groundwater extraction</w:t>
            </w:r>
          </w:p>
        </w:tc>
        <w:tc>
          <w:tcPr>
            <w:tcW w:w="1768" w:type="dxa"/>
          </w:tcPr>
          <w:p w:rsidR="003E42A9" w:rsidRPr="005034A8" w:rsidRDefault="003E42A9" w:rsidP="00A631E1">
            <w:pPr>
              <w:pStyle w:val="ListParagraph"/>
              <w:numPr>
                <w:ilvl w:val="0"/>
                <w:numId w:val="33"/>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 xml:space="preserve">Controlling ground water mining. </w:t>
            </w:r>
          </w:p>
          <w:p w:rsidR="003E42A9" w:rsidRPr="005034A8" w:rsidRDefault="003E42A9" w:rsidP="00A631E1">
            <w:pPr>
              <w:pStyle w:val="ListParagraph"/>
              <w:numPr>
                <w:ilvl w:val="0"/>
                <w:numId w:val="33"/>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Groundwater recharge</w:t>
            </w:r>
          </w:p>
          <w:p w:rsidR="003E42A9" w:rsidRPr="005034A8" w:rsidRDefault="003E42A9" w:rsidP="00A631E1">
            <w:pPr>
              <w:pStyle w:val="ListParagraph"/>
              <w:numPr>
                <w:ilvl w:val="0"/>
                <w:numId w:val="33"/>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Maintaining connectivity of river system and flood plains.</w:t>
            </w:r>
          </w:p>
        </w:tc>
        <w:tc>
          <w:tcPr>
            <w:tcW w:w="1711" w:type="dxa"/>
          </w:tcPr>
          <w:p w:rsidR="003E42A9" w:rsidRDefault="000D7389" w:rsidP="00A631E1">
            <w:pPr>
              <w:pStyle w:val="ListParagraph"/>
              <w:numPr>
                <w:ilvl w:val="0"/>
                <w:numId w:val="33"/>
              </w:numPr>
              <w:spacing w:after="0" w:line="240" w:lineRule="auto"/>
              <w:ind w:left="199" w:hanging="270"/>
              <w:cnfStyle w:val="000000000000"/>
              <w:rPr>
                <w:rFonts w:cstheme="minorHAnsi"/>
                <w:color w:val="auto"/>
                <w:sz w:val="16"/>
                <w:szCs w:val="16"/>
              </w:rPr>
            </w:pPr>
            <w:r>
              <w:rPr>
                <w:rFonts w:cstheme="minorHAnsi"/>
                <w:color w:val="auto"/>
                <w:sz w:val="16"/>
                <w:szCs w:val="16"/>
              </w:rPr>
              <w:t>Drought prone areas</w:t>
            </w:r>
          </w:p>
          <w:p w:rsidR="000D7389" w:rsidRPr="00A1679C" w:rsidRDefault="000D7389" w:rsidP="00A631E1">
            <w:pPr>
              <w:pStyle w:val="ListParagraph"/>
              <w:numPr>
                <w:ilvl w:val="0"/>
                <w:numId w:val="33"/>
              </w:numPr>
              <w:spacing w:after="0" w:line="240" w:lineRule="auto"/>
              <w:ind w:left="199" w:hanging="270"/>
              <w:cnfStyle w:val="000000000000"/>
              <w:rPr>
                <w:rFonts w:cstheme="minorHAnsi"/>
                <w:color w:val="auto"/>
                <w:sz w:val="16"/>
                <w:szCs w:val="16"/>
              </w:rPr>
            </w:pPr>
            <w:r>
              <w:rPr>
                <w:rFonts w:cstheme="minorHAnsi"/>
                <w:color w:val="auto"/>
                <w:sz w:val="16"/>
                <w:szCs w:val="16"/>
              </w:rPr>
              <w:t>Barind Area</w:t>
            </w:r>
          </w:p>
          <w:p w:rsidR="003E42A9" w:rsidRPr="00A1679C" w:rsidRDefault="003E42A9" w:rsidP="00A631E1">
            <w:pPr>
              <w:pStyle w:val="ListParagraph"/>
              <w:numPr>
                <w:ilvl w:val="0"/>
                <w:numId w:val="33"/>
              </w:numPr>
              <w:spacing w:after="0" w:line="240" w:lineRule="auto"/>
              <w:ind w:left="199" w:hanging="270"/>
              <w:cnfStyle w:val="000000000000"/>
              <w:rPr>
                <w:rFonts w:cstheme="minorHAnsi"/>
                <w:color w:val="auto"/>
                <w:sz w:val="16"/>
                <w:szCs w:val="16"/>
              </w:rPr>
            </w:pPr>
            <w:r w:rsidRPr="00A1679C">
              <w:rPr>
                <w:rFonts w:cstheme="minorHAnsi"/>
                <w:color w:val="auto"/>
                <w:sz w:val="16"/>
                <w:szCs w:val="16"/>
              </w:rPr>
              <w:t>Chalan Beel</w:t>
            </w:r>
            <w:r w:rsidRPr="00A1679C">
              <w:rPr>
                <w:rFonts w:cstheme="minorHAnsi"/>
                <w:color w:val="auto"/>
                <w:sz w:val="16"/>
                <w:szCs w:val="16"/>
              </w:rPr>
              <w:br/>
            </w:r>
          </w:p>
        </w:tc>
      </w:tr>
      <w:tr w:rsidR="003E42A9" w:rsidRPr="00481704" w:rsidTr="003E42A9">
        <w:trPr>
          <w:cnfStyle w:val="000000100000"/>
          <w:trHeight w:val="1250"/>
        </w:trPr>
        <w:tc>
          <w:tcPr>
            <w:cnfStyle w:val="001000000000"/>
            <w:tcW w:w="1302" w:type="dxa"/>
            <w:tcBorders>
              <w:left w:val="none" w:sz="0" w:space="0" w:color="auto"/>
              <w:right w:val="none" w:sz="0" w:space="0" w:color="auto"/>
            </w:tcBorders>
          </w:tcPr>
          <w:p w:rsidR="003E42A9" w:rsidRPr="005034A8" w:rsidRDefault="003E42A9" w:rsidP="003E42A9">
            <w:pPr>
              <w:rPr>
                <w:rFonts w:cstheme="minorHAnsi"/>
                <w:color w:val="auto"/>
                <w:sz w:val="16"/>
                <w:szCs w:val="16"/>
              </w:rPr>
            </w:pPr>
            <w:r w:rsidRPr="005034A8">
              <w:rPr>
                <w:rFonts w:cstheme="minorHAnsi"/>
                <w:color w:val="auto"/>
                <w:sz w:val="16"/>
                <w:szCs w:val="16"/>
              </w:rPr>
              <w:t>River</w:t>
            </w:r>
            <w:r w:rsidR="000D7389">
              <w:rPr>
                <w:rFonts w:cstheme="minorHAnsi"/>
                <w:color w:val="auto"/>
                <w:sz w:val="16"/>
                <w:szCs w:val="16"/>
              </w:rPr>
              <w:t xml:space="preserve"> systems and estuaries </w:t>
            </w:r>
          </w:p>
          <w:p w:rsidR="003E42A9" w:rsidRPr="005034A8" w:rsidRDefault="003E42A9" w:rsidP="003E42A9">
            <w:pPr>
              <w:rPr>
                <w:rFonts w:cstheme="minorHAnsi"/>
                <w:b w:val="0"/>
                <w:color w:val="auto"/>
                <w:sz w:val="16"/>
                <w:szCs w:val="16"/>
              </w:rPr>
            </w:pPr>
          </w:p>
        </w:tc>
        <w:tc>
          <w:tcPr>
            <w:tcW w:w="2619" w:type="dxa"/>
            <w:tcBorders>
              <w:left w:val="none" w:sz="0" w:space="0" w:color="auto"/>
              <w:right w:val="none" w:sz="0" w:space="0" w:color="auto"/>
            </w:tcBorders>
          </w:tcPr>
          <w:p w:rsidR="003E42A9" w:rsidRPr="005034A8" w:rsidRDefault="003E42A9" w:rsidP="003E42A9">
            <w:pPr>
              <w:cnfStyle w:val="000000100000"/>
              <w:rPr>
                <w:rFonts w:cstheme="minorHAnsi"/>
                <w:b/>
                <w:color w:val="auto"/>
                <w:sz w:val="16"/>
                <w:szCs w:val="16"/>
              </w:rPr>
            </w:pPr>
            <w:r w:rsidRPr="005034A8">
              <w:rPr>
                <w:rFonts w:cstheme="minorHAnsi"/>
                <w:b/>
                <w:color w:val="auto"/>
                <w:sz w:val="16"/>
                <w:szCs w:val="16"/>
              </w:rPr>
              <w:t xml:space="preserve">Area: </w:t>
            </w:r>
            <w:r w:rsidRPr="005034A8">
              <w:rPr>
                <w:rFonts w:cstheme="minorHAnsi"/>
                <w:color w:val="auto"/>
                <w:sz w:val="16"/>
                <w:szCs w:val="16"/>
              </w:rPr>
              <w:t>12081.46 sq. km</w:t>
            </w:r>
          </w:p>
          <w:p w:rsidR="003E42A9" w:rsidRPr="005034A8" w:rsidRDefault="002E04F3" w:rsidP="003E42A9">
            <w:pPr>
              <w:cnfStyle w:val="000000100000"/>
              <w:rPr>
                <w:rFonts w:cstheme="minorHAnsi"/>
                <w:color w:val="auto"/>
                <w:sz w:val="16"/>
                <w:szCs w:val="16"/>
              </w:rPr>
            </w:pPr>
            <w:r w:rsidRPr="005034A8">
              <w:rPr>
                <w:rFonts w:cstheme="minorHAnsi"/>
                <w:b/>
                <w:color w:val="auto"/>
                <w:sz w:val="16"/>
                <w:szCs w:val="16"/>
              </w:rPr>
              <w:t xml:space="preserve">Administrative Boundary: </w:t>
            </w:r>
            <w:r w:rsidRPr="005034A8">
              <w:rPr>
                <w:rFonts w:cstheme="minorHAnsi"/>
                <w:color w:val="auto"/>
                <w:sz w:val="16"/>
                <w:szCs w:val="16"/>
              </w:rPr>
              <w:t>Covers partially or fully around 30 districts including</w:t>
            </w:r>
            <w:r w:rsidRPr="005034A8">
              <w:rPr>
                <w:rFonts w:cstheme="minorHAnsi"/>
                <w:b/>
                <w:color w:val="auto"/>
                <w:sz w:val="16"/>
                <w:szCs w:val="16"/>
              </w:rPr>
              <w:br/>
            </w:r>
            <w:r w:rsidRPr="005034A8">
              <w:rPr>
                <w:rFonts w:cstheme="minorHAnsi"/>
                <w:color w:val="auto"/>
                <w:sz w:val="16"/>
                <w:szCs w:val="16"/>
              </w:rPr>
              <w:t>Bhola, Barisal, Brahmanbaria, Barguna, Bogra, Chandpur, Chittagong, Comilla, Dhaka, Faridpur, Feni, Gaibandha, Jamalpur, Kurigram,</w:t>
            </w:r>
            <w:r>
              <w:rPr>
                <w:rFonts w:cstheme="minorHAnsi"/>
                <w:sz w:val="16"/>
                <w:szCs w:val="16"/>
              </w:rPr>
              <w:t xml:space="preserve"> </w:t>
            </w:r>
            <w:r w:rsidRPr="005034A8">
              <w:rPr>
                <w:rFonts w:cstheme="minorHAnsi"/>
                <w:color w:val="auto"/>
                <w:sz w:val="16"/>
                <w:szCs w:val="16"/>
              </w:rPr>
              <w:t xml:space="preserve">Kushtia, Madaripur, Lakshmipur, Manikganj, Munshiganj, Natore, Narayanganj, Narsingdi, Noakhali, Pabna, Nawabganj, Patuakhali, Rajbari, Tangail, Sirajganj, </w:t>
            </w:r>
            <w:r w:rsidRPr="005034A8">
              <w:rPr>
                <w:rFonts w:eastAsia="Times New Roman"/>
                <w:color w:val="auto"/>
                <w:sz w:val="16"/>
              </w:rPr>
              <w:t>Shariatpur</w:t>
            </w:r>
            <w:r w:rsidRPr="005034A8">
              <w:rPr>
                <w:rFonts w:cstheme="minorHAnsi"/>
                <w:color w:val="auto"/>
                <w:sz w:val="16"/>
                <w:szCs w:val="16"/>
              </w:rPr>
              <w:t>.</w:t>
            </w:r>
            <w:r w:rsidRPr="005034A8">
              <w:rPr>
                <w:rFonts w:cstheme="minorHAnsi"/>
                <w:b/>
                <w:color w:val="auto"/>
                <w:sz w:val="16"/>
                <w:szCs w:val="16"/>
              </w:rPr>
              <w:br/>
            </w:r>
            <w:r w:rsidR="003E42A9" w:rsidRPr="005034A8">
              <w:rPr>
                <w:rFonts w:cstheme="minorHAnsi"/>
                <w:b/>
                <w:color w:val="auto"/>
                <w:sz w:val="16"/>
                <w:szCs w:val="16"/>
              </w:rPr>
              <w:t>Hydraulic Region:</w:t>
            </w:r>
            <w:r w:rsidR="003E42A9" w:rsidRPr="005034A8">
              <w:rPr>
                <w:rFonts w:cstheme="minorHAnsi"/>
                <w:color w:val="auto"/>
                <w:sz w:val="16"/>
                <w:szCs w:val="16"/>
              </w:rPr>
              <w:br/>
              <w:t xml:space="preserve">North Central, North West, South Central, South East, South West, Eastern </w:t>
            </w:r>
            <w:r w:rsidR="003E42A9" w:rsidRPr="005034A8">
              <w:rPr>
                <w:rFonts w:eastAsia="Times New Roman"/>
                <w:color w:val="auto"/>
                <w:sz w:val="16"/>
              </w:rPr>
              <w:t>Hill.</w:t>
            </w:r>
            <w:r w:rsidR="003E42A9" w:rsidRPr="005034A8">
              <w:rPr>
                <w:rFonts w:cstheme="minorHAnsi"/>
                <w:b/>
                <w:color w:val="auto"/>
                <w:sz w:val="16"/>
                <w:szCs w:val="16"/>
              </w:rPr>
              <w:br/>
              <w:t>No of Rivers:</w:t>
            </w:r>
            <w:r w:rsidR="003E42A9" w:rsidRPr="005034A8">
              <w:rPr>
                <w:rFonts w:cstheme="minorHAnsi"/>
                <w:b/>
                <w:color w:val="auto"/>
                <w:sz w:val="16"/>
                <w:szCs w:val="16"/>
              </w:rPr>
              <w:br/>
            </w:r>
            <w:r w:rsidR="003E42A9" w:rsidRPr="005034A8">
              <w:rPr>
                <w:rFonts w:cstheme="minorHAnsi"/>
                <w:color w:val="auto"/>
                <w:sz w:val="16"/>
                <w:szCs w:val="16"/>
              </w:rPr>
              <w:t>49</w:t>
            </w:r>
            <w:r w:rsidR="003E42A9" w:rsidRPr="005034A8">
              <w:rPr>
                <w:rFonts w:cstheme="minorHAnsi"/>
                <w:b/>
                <w:color w:val="auto"/>
                <w:sz w:val="16"/>
                <w:szCs w:val="16"/>
              </w:rPr>
              <w:br/>
              <w:t>Major Rivers:</w:t>
            </w:r>
            <w:r w:rsidR="003E42A9" w:rsidRPr="005034A8">
              <w:rPr>
                <w:rFonts w:cstheme="minorHAnsi"/>
                <w:b/>
                <w:color w:val="auto"/>
                <w:sz w:val="16"/>
                <w:szCs w:val="16"/>
              </w:rPr>
              <w:br/>
            </w:r>
            <w:r w:rsidR="003E42A9" w:rsidRPr="005034A8">
              <w:rPr>
                <w:rFonts w:cstheme="minorHAnsi"/>
                <w:color w:val="auto"/>
                <w:sz w:val="16"/>
                <w:szCs w:val="16"/>
              </w:rPr>
              <w:t>Brahmaputra-Jamuna,</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t>Meghna (Lower), Arial Khan, Dhaleswari, Dharla, Dudhkumar, Ganges,</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lastRenderedPageBreak/>
              <w:t>Garai, Matabhanga,</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t>Meghna (Upper), Old Brahmaputra, Teesta</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t xml:space="preserve">Old Dhaleswari, Padma, </w:t>
            </w:r>
          </w:p>
          <w:p w:rsidR="003E42A9" w:rsidRPr="005034A8" w:rsidRDefault="003E42A9" w:rsidP="003E42A9">
            <w:pPr>
              <w:cnfStyle w:val="000000100000"/>
              <w:rPr>
                <w:rFonts w:cstheme="minorHAnsi"/>
                <w:color w:val="auto"/>
                <w:sz w:val="16"/>
                <w:szCs w:val="16"/>
              </w:rPr>
            </w:pPr>
            <w:r w:rsidRPr="005034A8">
              <w:rPr>
                <w:rFonts w:cstheme="minorHAnsi"/>
                <w:b/>
                <w:color w:val="auto"/>
                <w:sz w:val="16"/>
                <w:szCs w:val="16"/>
              </w:rPr>
              <w:t>Basin:</w:t>
            </w:r>
            <w:r w:rsidRPr="005034A8">
              <w:rPr>
                <w:rFonts w:cstheme="minorHAnsi"/>
                <w:b/>
                <w:color w:val="auto"/>
                <w:sz w:val="16"/>
                <w:szCs w:val="16"/>
              </w:rPr>
              <w:br/>
            </w:r>
            <w:r w:rsidRPr="005034A8">
              <w:rPr>
                <w:rFonts w:cstheme="minorHAnsi"/>
                <w:color w:val="auto"/>
                <w:sz w:val="16"/>
                <w:szCs w:val="16"/>
              </w:rPr>
              <w:t xml:space="preserve">Ganges, Meghna &amp; </w:t>
            </w:r>
            <w:r w:rsidRPr="005034A8">
              <w:rPr>
                <w:rFonts w:eastAsia="Times New Roman"/>
                <w:color w:val="auto"/>
                <w:sz w:val="16"/>
              </w:rPr>
              <w:t>Brahmaputra</w:t>
            </w:r>
            <w:r w:rsidRPr="005034A8">
              <w:rPr>
                <w:rFonts w:cstheme="minorHAnsi"/>
                <w:color w:val="auto"/>
                <w:sz w:val="16"/>
                <w:szCs w:val="16"/>
              </w:rPr>
              <w:t>.</w:t>
            </w:r>
          </w:p>
        </w:tc>
        <w:tc>
          <w:tcPr>
            <w:tcW w:w="2176" w:type="dxa"/>
            <w:tcBorders>
              <w:left w:val="none" w:sz="0" w:space="0" w:color="auto"/>
              <w:right w:val="none" w:sz="0" w:space="0" w:color="auto"/>
            </w:tcBorders>
          </w:tcPr>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lastRenderedPageBreak/>
              <w:t>Embankment breach.</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Illegal encroachment of lands.</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Erosion along the major river.</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River bank flooding.</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 xml:space="preserve">Sedimentation and </w:t>
            </w:r>
            <w:r w:rsidRPr="005034A8">
              <w:rPr>
                <w:rFonts w:cstheme="minorHAnsi"/>
                <w:color w:val="auto"/>
                <w:sz w:val="16"/>
                <w:szCs w:val="16"/>
              </w:rPr>
              <w:br/>
              <w:t xml:space="preserve">loss of Navigability </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Loss of Connectivity of rivers.</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Water pollution.</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Decreasing Fresh water flow in Gorai and Meghna.</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Operation and maintenance of the embankments.</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Loss of fish habitat.</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p>
        </w:tc>
        <w:tc>
          <w:tcPr>
            <w:tcW w:w="1768" w:type="dxa"/>
            <w:tcBorders>
              <w:left w:val="none" w:sz="0" w:space="0" w:color="auto"/>
              <w:right w:val="none" w:sz="0" w:space="0" w:color="auto"/>
            </w:tcBorders>
          </w:tcPr>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Operation and maintenance of the embankments</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Stabilization of rivers</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Ensuring equitable transboundary flow</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 xml:space="preserve">Sediment </w:t>
            </w:r>
            <w:r w:rsidRPr="005034A8">
              <w:rPr>
                <w:rFonts w:eastAsia="Times New Roman"/>
                <w:color w:val="auto"/>
                <w:sz w:val="16"/>
              </w:rPr>
              <w:t>management</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Restoration of Connectivity of Rivers, particularly Old Brahmaputra River</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Effluent Treatment</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 xml:space="preserve">Ensuring flow diversion during high discharge </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 xml:space="preserve">Retention of water during dry period for environmental, irrigation and navigation purpose   </w:t>
            </w:r>
          </w:p>
          <w:p w:rsidR="003E42A9" w:rsidRPr="005034A8" w:rsidRDefault="003E42A9" w:rsidP="003E42A9">
            <w:pPr>
              <w:cnfStyle w:val="000000100000"/>
              <w:rPr>
                <w:rFonts w:cstheme="minorHAnsi"/>
                <w:b/>
                <w:color w:val="auto"/>
                <w:sz w:val="16"/>
                <w:szCs w:val="16"/>
              </w:rPr>
            </w:pPr>
          </w:p>
        </w:tc>
        <w:tc>
          <w:tcPr>
            <w:tcW w:w="1711" w:type="dxa"/>
            <w:tcBorders>
              <w:left w:val="none" w:sz="0" w:space="0" w:color="auto"/>
              <w:right w:val="none" w:sz="0" w:space="0" w:color="auto"/>
            </w:tcBorders>
          </w:tcPr>
          <w:p w:rsidR="003E42A9" w:rsidRPr="00A1679C" w:rsidRDefault="003E42A9" w:rsidP="00A631E1">
            <w:pPr>
              <w:pStyle w:val="ListParagraph"/>
              <w:numPr>
                <w:ilvl w:val="0"/>
                <w:numId w:val="34"/>
              </w:numPr>
              <w:spacing w:after="0" w:line="240" w:lineRule="auto"/>
              <w:ind w:left="235" w:hanging="235"/>
              <w:cnfStyle w:val="000000100000"/>
              <w:rPr>
                <w:rFonts w:cstheme="minorHAnsi"/>
                <w:color w:val="auto"/>
                <w:sz w:val="16"/>
                <w:szCs w:val="16"/>
              </w:rPr>
            </w:pPr>
            <w:r w:rsidRPr="00A1679C">
              <w:rPr>
                <w:rFonts w:cstheme="minorHAnsi"/>
                <w:color w:val="auto"/>
                <w:sz w:val="16"/>
                <w:szCs w:val="16"/>
              </w:rPr>
              <w:t>Bangali river</w:t>
            </w:r>
          </w:p>
          <w:p w:rsidR="003E42A9" w:rsidRPr="00A1679C" w:rsidRDefault="003E42A9" w:rsidP="00A631E1">
            <w:pPr>
              <w:pStyle w:val="ListParagraph"/>
              <w:numPr>
                <w:ilvl w:val="0"/>
                <w:numId w:val="34"/>
              </w:numPr>
              <w:spacing w:after="0" w:line="240" w:lineRule="auto"/>
              <w:ind w:left="235" w:hanging="235"/>
              <w:cnfStyle w:val="000000100000"/>
              <w:rPr>
                <w:rFonts w:cstheme="minorHAnsi"/>
                <w:color w:val="auto"/>
                <w:sz w:val="16"/>
                <w:szCs w:val="16"/>
              </w:rPr>
            </w:pPr>
            <w:r w:rsidRPr="00A1679C">
              <w:rPr>
                <w:rFonts w:cstheme="minorHAnsi"/>
                <w:color w:val="auto"/>
                <w:sz w:val="16"/>
                <w:szCs w:val="16"/>
              </w:rPr>
              <w:t>Gorai</w:t>
            </w:r>
          </w:p>
          <w:p w:rsidR="003E42A9" w:rsidRPr="00A1679C" w:rsidRDefault="003E42A9" w:rsidP="00A631E1">
            <w:pPr>
              <w:pStyle w:val="ListParagraph"/>
              <w:numPr>
                <w:ilvl w:val="0"/>
                <w:numId w:val="34"/>
              </w:numPr>
              <w:spacing w:after="0" w:line="240" w:lineRule="auto"/>
              <w:ind w:left="235" w:hanging="235"/>
              <w:cnfStyle w:val="000000100000"/>
              <w:rPr>
                <w:rFonts w:cstheme="minorHAnsi"/>
                <w:color w:val="auto"/>
                <w:sz w:val="16"/>
                <w:szCs w:val="16"/>
              </w:rPr>
            </w:pPr>
          </w:p>
          <w:p w:rsidR="003E42A9" w:rsidRPr="00A1679C" w:rsidRDefault="003E42A9" w:rsidP="003E42A9">
            <w:pPr>
              <w:pStyle w:val="ListParagraph"/>
              <w:ind w:left="235"/>
              <w:cnfStyle w:val="000000100000"/>
              <w:rPr>
                <w:rFonts w:cstheme="minorHAnsi"/>
                <w:color w:val="auto"/>
                <w:sz w:val="16"/>
                <w:szCs w:val="16"/>
              </w:rPr>
            </w:pPr>
          </w:p>
        </w:tc>
      </w:tr>
      <w:tr w:rsidR="003E42A9" w:rsidRPr="00481704" w:rsidTr="003E42A9">
        <w:trPr>
          <w:trHeight w:val="540"/>
        </w:trPr>
        <w:tc>
          <w:tcPr>
            <w:cnfStyle w:val="001000000000"/>
            <w:tcW w:w="1302" w:type="dxa"/>
          </w:tcPr>
          <w:p w:rsidR="003E42A9" w:rsidRPr="005034A8" w:rsidRDefault="003E42A9" w:rsidP="003E42A9">
            <w:pPr>
              <w:rPr>
                <w:rFonts w:cstheme="minorHAnsi"/>
                <w:color w:val="auto"/>
                <w:sz w:val="16"/>
                <w:szCs w:val="16"/>
              </w:rPr>
            </w:pPr>
            <w:r w:rsidRPr="005034A8">
              <w:rPr>
                <w:rFonts w:cstheme="minorHAnsi"/>
                <w:color w:val="auto"/>
                <w:sz w:val="16"/>
                <w:szCs w:val="16"/>
              </w:rPr>
              <w:lastRenderedPageBreak/>
              <w:t>Haor and Flash Flood Areas</w:t>
            </w:r>
          </w:p>
          <w:p w:rsidR="003E42A9" w:rsidRPr="005034A8" w:rsidRDefault="003E42A9" w:rsidP="003E42A9">
            <w:pPr>
              <w:rPr>
                <w:rFonts w:cstheme="minorHAnsi"/>
                <w:b w:val="0"/>
                <w:color w:val="auto"/>
                <w:sz w:val="16"/>
                <w:szCs w:val="16"/>
              </w:rPr>
            </w:pPr>
          </w:p>
        </w:tc>
        <w:tc>
          <w:tcPr>
            <w:tcW w:w="2619" w:type="dxa"/>
          </w:tcPr>
          <w:p w:rsidR="003E42A9" w:rsidRPr="005034A8" w:rsidRDefault="003E42A9" w:rsidP="003E42A9">
            <w:pPr>
              <w:cnfStyle w:val="000000000000"/>
              <w:rPr>
                <w:rFonts w:cstheme="minorHAnsi"/>
                <w:b/>
                <w:color w:val="auto"/>
                <w:sz w:val="16"/>
                <w:szCs w:val="16"/>
              </w:rPr>
            </w:pPr>
            <w:r w:rsidRPr="005034A8">
              <w:rPr>
                <w:rFonts w:cstheme="minorHAnsi"/>
                <w:b/>
                <w:color w:val="auto"/>
                <w:sz w:val="16"/>
                <w:szCs w:val="16"/>
              </w:rPr>
              <w:t xml:space="preserve">Area: </w:t>
            </w:r>
            <w:r w:rsidRPr="005034A8">
              <w:rPr>
                <w:rFonts w:cstheme="minorHAnsi"/>
                <w:color w:val="auto"/>
                <w:sz w:val="16"/>
                <w:szCs w:val="16"/>
              </w:rPr>
              <w:t>19638.26 sq. km</w:t>
            </w:r>
          </w:p>
          <w:p w:rsidR="003E42A9" w:rsidRPr="005034A8" w:rsidRDefault="003E42A9" w:rsidP="003E42A9">
            <w:pPr>
              <w:cnfStyle w:val="000000000000"/>
              <w:rPr>
                <w:rFonts w:cstheme="minorHAnsi"/>
                <w:color w:val="auto"/>
                <w:sz w:val="16"/>
                <w:szCs w:val="16"/>
              </w:rPr>
            </w:pPr>
            <w:r w:rsidRPr="005034A8">
              <w:rPr>
                <w:rFonts w:cstheme="minorHAnsi"/>
                <w:b/>
                <w:color w:val="auto"/>
                <w:sz w:val="16"/>
                <w:szCs w:val="16"/>
              </w:rPr>
              <w:t xml:space="preserve">Administrative Boundary: </w:t>
            </w:r>
            <w:r w:rsidRPr="005034A8">
              <w:rPr>
                <w:rFonts w:cstheme="minorHAnsi"/>
                <w:color w:val="auto"/>
                <w:sz w:val="16"/>
                <w:szCs w:val="16"/>
              </w:rPr>
              <w:t>Covers partially or fully around 7 districts including</w:t>
            </w:r>
            <w:r w:rsidRPr="005034A8">
              <w:rPr>
                <w:rFonts w:cstheme="minorHAnsi"/>
                <w:color w:val="auto"/>
                <w:sz w:val="16"/>
                <w:szCs w:val="16"/>
              </w:rPr>
              <w:br/>
              <w:t xml:space="preserve">Brahmanbaria, Kishoreganj, Netrakona, Sunamganj, Sylhet, Habiganj, </w:t>
            </w:r>
            <w:r w:rsidRPr="005034A8">
              <w:rPr>
                <w:rFonts w:eastAsia="Times New Roman"/>
                <w:color w:val="auto"/>
                <w:sz w:val="16"/>
              </w:rPr>
              <w:t>Maulvibazar.</w:t>
            </w:r>
            <w:r w:rsidRPr="005034A8">
              <w:rPr>
                <w:rFonts w:cstheme="minorHAnsi"/>
                <w:b/>
                <w:color w:val="auto"/>
                <w:sz w:val="16"/>
                <w:szCs w:val="16"/>
              </w:rPr>
              <w:br/>
              <w:t>Hydraulic Region:</w:t>
            </w:r>
            <w:r w:rsidRPr="005034A8">
              <w:rPr>
                <w:rFonts w:cstheme="minorHAnsi"/>
                <w:b/>
                <w:color w:val="auto"/>
                <w:sz w:val="16"/>
                <w:szCs w:val="16"/>
              </w:rPr>
              <w:br/>
            </w:r>
            <w:r w:rsidRPr="005034A8">
              <w:rPr>
                <w:rFonts w:cstheme="minorHAnsi"/>
                <w:color w:val="auto"/>
                <w:sz w:val="16"/>
                <w:szCs w:val="16"/>
              </w:rPr>
              <w:t xml:space="preserve">North Central, North </w:t>
            </w:r>
            <w:r w:rsidRPr="005034A8">
              <w:rPr>
                <w:rFonts w:eastAsia="Times New Roman"/>
                <w:color w:val="auto"/>
                <w:sz w:val="16"/>
              </w:rPr>
              <w:t>East</w:t>
            </w:r>
            <w:r w:rsidRPr="005034A8">
              <w:rPr>
                <w:rFonts w:cstheme="minorHAnsi"/>
                <w:b/>
                <w:color w:val="auto"/>
                <w:sz w:val="16"/>
                <w:szCs w:val="16"/>
              </w:rPr>
              <w:br/>
              <w:t>No of Rivers:</w:t>
            </w:r>
            <w:r w:rsidRPr="005034A8">
              <w:rPr>
                <w:rFonts w:cstheme="minorHAnsi"/>
                <w:b/>
                <w:color w:val="auto"/>
                <w:sz w:val="16"/>
                <w:szCs w:val="16"/>
              </w:rPr>
              <w:br/>
            </w:r>
            <w:r w:rsidRPr="005034A8">
              <w:rPr>
                <w:rFonts w:cstheme="minorHAnsi"/>
                <w:color w:val="auto"/>
                <w:sz w:val="16"/>
                <w:szCs w:val="16"/>
              </w:rPr>
              <w:t>93</w:t>
            </w:r>
            <w:r w:rsidRPr="005034A8">
              <w:rPr>
                <w:rFonts w:cstheme="minorHAnsi"/>
                <w:b/>
                <w:color w:val="auto"/>
                <w:sz w:val="16"/>
                <w:szCs w:val="16"/>
              </w:rPr>
              <w:br/>
              <w:t>Major Rivers:</w:t>
            </w:r>
            <w:r w:rsidRPr="005034A8">
              <w:rPr>
                <w:rFonts w:cstheme="minorHAnsi"/>
                <w:b/>
                <w:color w:val="auto"/>
                <w:sz w:val="16"/>
                <w:szCs w:val="16"/>
              </w:rPr>
              <w:br/>
            </w:r>
            <w:r w:rsidRPr="005034A8">
              <w:rPr>
                <w:rFonts w:cstheme="minorHAnsi"/>
                <w:color w:val="auto"/>
                <w:sz w:val="16"/>
                <w:szCs w:val="16"/>
              </w:rPr>
              <w:t>Arial Khan, Meghna (Upper),</w:t>
            </w:r>
          </w:p>
          <w:p w:rsidR="003E42A9" w:rsidRPr="005034A8" w:rsidRDefault="003E42A9" w:rsidP="003E42A9">
            <w:pPr>
              <w:cnfStyle w:val="000000000000"/>
              <w:rPr>
                <w:rFonts w:cstheme="minorHAnsi"/>
                <w:color w:val="auto"/>
                <w:sz w:val="16"/>
                <w:szCs w:val="16"/>
              </w:rPr>
            </w:pPr>
            <w:r w:rsidRPr="005034A8">
              <w:rPr>
                <w:rFonts w:cstheme="minorHAnsi"/>
                <w:color w:val="auto"/>
                <w:sz w:val="16"/>
                <w:szCs w:val="16"/>
              </w:rPr>
              <w:t>Surma, Old Brahmaputra,</w:t>
            </w:r>
          </w:p>
          <w:p w:rsidR="003E42A9" w:rsidRPr="005034A8" w:rsidRDefault="003E42A9" w:rsidP="003E42A9">
            <w:pPr>
              <w:cnfStyle w:val="000000000000"/>
              <w:rPr>
                <w:rFonts w:eastAsia="Times New Roman"/>
                <w:color w:val="auto"/>
                <w:sz w:val="16"/>
              </w:rPr>
            </w:pPr>
            <w:r w:rsidRPr="005034A8">
              <w:rPr>
                <w:rFonts w:eastAsia="Times New Roman"/>
                <w:color w:val="auto"/>
                <w:sz w:val="16"/>
              </w:rPr>
              <w:t>Someswari,</w:t>
            </w:r>
          </w:p>
          <w:p w:rsidR="003E42A9" w:rsidRPr="005034A8" w:rsidRDefault="003E42A9" w:rsidP="003E42A9">
            <w:pPr>
              <w:cnfStyle w:val="000000000000"/>
              <w:rPr>
                <w:rFonts w:cstheme="minorHAnsi"/>
                <w:color w:val="auto"/>
                <w:sz w:val="16"/>
                <w:szCs w:val="16"/>
              </w:rPr>
            </w:pPr>
            <w:r w:rsidRPr="005034A8">
              <w:rPr>
                <w:rFonts w:cstheme="minorHAnsi"/>
                <w:b/>
                <w:color w:val="auto"/>
                <w:sz w:val="16"/>
                <w:szCs w:val="16"/>
              </w:rPr>
              <w:t>Basin:</w:t>
            </w:r>
            <w:r w:rsidRPr="005034A8">
              <w:rPr>
                <w:rFonts w:cstheme="minorHAnsi"/>
                <w:b/>
                <w:color w:val="auto"/>
                <w:sz w:val="16"/>
                <w:szCs w:val="16"/>
              </w:rPr>
              <w:br/>
            </w:r>
            <w:r w:rsidRPr="005034A8">
              <w:rPr>
                <w:rFonts w:cstheme="minorHAnsi"/>
                <w:color w:val="auto"/>
                <w:sz w:val="16"/>
                <w:szCs w:val="16"/>
              </w:rPr>
              <w:t>Meghna &amp; Brahmaputra .</w:t>
            </w:r>
          </w:p>
        </w:tc>
        <w:tc>
          <w:tcPr>
            <w:tcW w:w="2176" w:type="dxa"/>
          </w:tcPr>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Flash flood.</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 xml:space="preserve">Monsoon flooding </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Drainage Congestion</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Pre-monsoon water shortage</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Encroachment of haor areas</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Avulsion of rivers in Sunamganj, Sylhet, Habiganj districts</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Safe water supply and subsidence</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River siltation</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Loss of bio-diversity and eco-system.</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 xml:space="preserve">Social Conflicts, </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 xml:space="preserve">Fish Reduction, </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 xml:space="preserve">Water Pollution, </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 xml:space="preserve">Soil Erosion, </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 xml:space="preserve">Unplanned inhabitation (households, villages, business Centre etc in the wetlands) </w:t>
            </w:r>
          </w:p>
        </w:tc>
        <w:tc>
          <w:tcPr>
            <w:tcW w:w="1768" w:type="dxa"/>
          </w:tcPr>
          <w:p w:rsidR="003E42A9" w:rsidRPr="005034A8" w:rsidRDefault="003E42A9" w:rsidP="00A631E1">
            <w:pPr>
              <w:pStyle w:val="ListParagraph"/>
              <w:numPr>
                <w:ilvl w:val="0"/>
                <w:numId w:val="35"/>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 xml:space="preserve">Proper sediment management in the Sylhet basin. </w:t>
            </w:r>
          </w:p>
          <w:p w:rsidR="003E42A9" w:rsidRPr="005034A8" w:rsidRDefault="003E42A9" w:rsidP="00A631E1">
            <w:pPr>
              <w:pStyle w:val="ListParagraph"/>
              <w:numPr>
                <w:ilvl w:val="0"/>
                <w:numId w:val="35"/>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 xml:space="preserve">Maintaining fresh water flow in the major rivers. </w:t>
            </w:r>
          </w:p>
          <w:p w:rsidR="003E42A9" w:rsidRPr="005034A8" w:rsidRDefault="003E42A9" w:rsidP="00A631E1">
            <w:pPr>
              <w:pStyle w:val="ListParagraph"/>
              <w:numPr>
                <w:ilvl w:val="0"/>
                <w:numId w:val="35"/>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Erosion control</w:t>
            </w:r>
          </w:p>
          <w:p w:rsidR="003E42A9" w:rsidRPr="005034A8" w:rsidRDefault="003E42A9" w:rsidP="00A631E1">
            <w:pPr>
              <w:pStyle w:val="ListParagraph"/>
              <w:numPr>
                <w:ilvl w:val="0"/>
                <w:numId w:val="35"/>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Ecosystem management and</w:t>
            </w:r>
          </w:p>
          <w:p w:rsidR="003E42A9" w:rsidRPr="005034A8" w:rsidRDefault="003E42A9" w:rsidP="00A631E1">
            <w:pPr>
              <w:pStyle w:val="ListParagraph"/>
              <w:numPr>
                <w:ilvl w:val="0"/>
                <w:numId w:val="35"/>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Coordination to mitigate the conflicts</w:t>
            </w:r>
          </w:p>
          <w:p w:rsidR="003E42A9" w:rsidRPr="005034A8" w:rsidRDefault="003E42A9" w:rsidP="00A631E1">
            <w:pPr>
              <w:pStyle w:val="ListParagraph"/>
              <w:numPr>
                <w:ilvl w:val="0"/>
                <w:numId w:val="35"/>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 xml:space="preserve">Spatial planning and </w:t>
            </w:r>
          </w:p>
          <w:p w:rsidR="003E42A9" w:rsidRPr="005034A8" w:rsidRDefault="003E42A9" w:rsidP="00A631E1">
            <w:pPr>
              <w:pStyle w:val="ListParagraph"/>
              <w:numPr>
                <w:ilvl w:val="0"/>
                <w:numId w:val="35"/>
              </w:numPr>
              <w:spacing w:after="0" w:line="240" w:lineRule="auto"/>
              <w:ind w:left="301" w:hanging="270"/>
              <w:cnfStyle w:val="000000000000"/>
              <w:rPr>
                <w:rFonts w:cstheme="minorHAnsi"/>
                <w:color w:val="auto"/>
                <w:sz w:val="16"/>
                <w:szCs w:val="16"/>
              </w:rPr>
            </w:pPr>
            <w:r w:rsidRPr="005034A8">
              <w:rPr>
                <w:rFonts w:cstheme="minorHAnsi"/>
                <w:color w:val="auto"/>
                <w:sz w:val="16"/>
                <w:szCs w:val="16"/>
              </w:rPr>
              <w:t>Framework for land use management</w:t>
            </w:r>
          </w:p>
        </w:tc>
        <w:tc>
          <w:tcPr>
            <w:tcW w:w="1711" w:type="dxa"/>
          </w:tcPr>
          <w:p w:rsidR="003E42A9" w:rsidRPr="00A1679C" w:rsidRDefault="003E42A9" w:rsidP="00A631E1">
            <w:pPr>
              <w:pStyle w:val="ListParagraph"/>
              <w:numPr>
                <w:ilvl w:val="0"/>
                <w:numId w:val="35"/>
              </w:numPr>
              <w:spacing w:after="0" w:line="240" w:lineRule="auto"/>
              <w:ind w:left="199" w:hanging="270"/>
              <w:cnfStyle w:val="000000000000"/>
              <w:rPr>
                <w:rFonts w:cstheme="minorHAnsi"/>
                <w:color w:val="auto"/>
                <w:sz w:val="16"/>
                <w:szCs w:val="16"/>
              </w:rPr>
            </w:pPr>
            <w:r w:rsidRPr="00A1679C">
              <w:rPr>
                <w:rFonts w:cstheme="minorHAnsi"/>
                <w:color w:val="auto"/>
                <w:sz w:val="16"/>
                <w:szCs w:val="16"/>
              </w:rPr>
              <w:t>Haors of the Haor region</w:t>
            </w:r>
          </w:p>
        </w:tc>
      </w:tr>
      <w:tr w:rsidR="003E42A9" w:rsidRPr="00481704" w:rsidTr="003E42A9">
        <w:trPr>
          <w:cnfStyle w:val="000000100000"/>
          <w:trHeight w:val="1322"/>
        </w:trPr>
        <w:tc>
          <w:tcPr>
            <w:cnfStyle w:val="001000000000"/>
            <w:tcW w:w="1302" w:type="dxa"/>
            <w:tcBorders>
              <w:left w:val="none" w:sz="0" w:space="0" w:color="auto"/>
              <w:right w:val="none" w:sz="0" w:space="0" w:color="auto"/>
            </w:tcBorders>
          </w:tcPr>
          <w:p w:rsidR="003E42A9" w:rsidRPr="005034A8" w:rsidRDefault="003E42A9" w:rsidP="003E42A9">
            <w:pPr>
              <w:rPr>
                <w:rFonts w:cstheme="minorHAnsi"/>
                <w:b w:val="0"/>
                <w:color w:val="auto"/>
                <w:sz w:val="16"/>
                <w:szCs w:val="16"/>
              </w:rPr>
            </w:pPr>
            <w:r w:rsidRPr="005034A8">
              <w:rPr>
                <w:rFonts w:cstheme="minorHAnsi"/>
                <w:color w:val="auto"/>
                <w:sz w:val="16"/>
                <w:szCs w:val="16"/>
              </w:rPr>
              <w:t>Urban Area</w:t>
            </w:r>
            <w:r w:rsidR="000D7389">
              <w:rPr>
                <w:rFonts w:cstheme="minorHAnsi"/>
                <w:color w:val="auto"/>
                <w:sz w:val="16"/>
                <w:szCs w:val="16"/>
              </w:rPr>
              <w:t>s</w:t>
            </w:r>
          </w:p>
        </w:tc>
        <w:tc>
          <w:tcPr>
            <w:tcW w:w="2619" w:type="dxa"/>
            <w:tcBorders>
              <w:left w:val="none" w:sz="0" w:space="0" w:color="auto"/>
              <w:right w:val="none" w:sz="0" w:space="0" w:color="auto"/>
            </w:tcBorders>
          </w:tcPr>
          <w:p w:rsidR="003E42A9" w:rsidRPr="005034A8" w:rsidRDefault="003E42A9" w:rsidP="003E42A9">
            <w:pPr>
              <w:cnfStyle w:val="000000100000"/>
              <w:rPr>
                <w:rFonts w:cstheme="minorHAnsi"/>
                <w:b/>
                <w:color w:val="auto"/>
                <w:sz w:val="16"/>
                <w:szCs w:val="16"/>
              </w:rPr>
            </w:pPr>
            <w:r w:rsidRPr="005034A8">
              <w:rPr>
                <w:rFonts w:cstheme="minorHAnsi"/>
                <w:b/>
                <w:color w:val="auto"/>
                <w:sz w:val="16"/>
                <w:szCs w:val="16"/>
              </w:rPr>
              <w:t xml:space="preserve">Area: </w:t>
            </w:r>
            <w:r w:rsidRPr="005034A8">
              <w:rPr>
                <w:rFonts w:cstheme="minorHAnsi"/>
                <w:color w:val="auto"/>
                <w:sz w:val="16"/>
                <w:szCs w:val="16"/>
              </w:rPr>
              <w:t>503.62 sq. km</w:t>
            </w:r>
          </w:p>
          <w:p w:rsidR="003E42A9" w:rsidRPr="005034A8" w:rsidRDefault="003E42A9" w:rsidP="003E42A9">
            <w:pPr>
              <w:cnfStyle w:val="000000100000"/>
              <w:rPr>
                <w:rFonts w:cstheme="minorHAnsi"/>
                <w:color w:val="auto"/>
                <w:sz w:val="16"/>
                <w:szCs w:val="16"/>
              </w:rPr>
            </w:pPr>
            <w:r w:rsidRPr="005034A8">
              <w:rPr>
                <w:rFonts w:cstheme="minorHAnsi"/>
                <w:b/>
                <w:color w:val="auto"/>
                <w:sz w:val="16"/>
                <w:szCs w:val="16"/>
              </w:rPr>
              <w:t xml:space="preserve">Administrative Boundary: urban area/ city of </w:t>
            </w:r>
            <w:r w:rsidRPr="005034A8">
              <w:rPr>
                <w:rFonts w:cstheme="minorHAnsi"/>
                <w:b/>
                <w:color w:val="auto"/>
                <w:sz w:val="16"/>
                <w:szCs w:val="16"/>
              </w:rPr>
              <w:br/>
            </w:r>
            <w:r w:rsidRPr="005034A8">
              <w:rPr>
                <w:rFonts w:cstheme="minorHAnsi"/>
                <w:color w:val="auto"/>
                <w:sz w:val="16"/>
                <w:szCs w:val="16"/>
              </w:rPr>
              <w:t xml:space="preserve">Dhaka, Rajshahi, Chittagong, Khulna, Sylhet, Barisal, Jhalokati. </w:t>
            </w:r>
            <w:r w:rsidRPr="005034A8">
              <w:rPr>
                <w:rFonts w:cstheme="minorHAnsi"/>
                <w:b/>
                <w:color w:val="auto"/>
                <w:sz w:val="16"/>
                <w:szCs w:val="16"/>
              </w:rPr>
              <w:br/>
              <w:t>Hydraulic Region:</w:t>
            </w:r>
            <w:r w:rsidRPr="005034A8">
              <w:rPr>
                <w:rFonts w:cstheme="minorHAnsi"/>
                <w:color w:val="auto"/>
                <w:sz w:val="16"/>
                <w:szCs w:val="16"/>
              </w:rPr>
              <w:br/>
              <w:t>South Central, South West, North Central, North West, North East, River and Estuary, Eastern</w:t>
            </w:r>
            <w:r w:rsidRPr="005034A8">
              <w:rPr>
                <w:rFonts w:eastAsia="Times New Roman"/>
                <w:color w:val="auto"/>
                <w:sz w:val="16"/>
              </w:rPr>
              <w:t xml:space="preserve"> Hill.</w:t>
            </w:r>
            <w:r w:rsidRPr="005034A8">
              <w:rPr>
                <w:rFonts w:cstheme="minorHAnsi"/>
                <w:b/>
                <w:color w:val="auto"/>
                <w:sz w:val="16"/>
                <w:szCs w:val="16"/>
              </w:rPr>
              <w:br/>
              <w:t>No of Rivers:</w:t>
            </w:r>
            <w:r w:rsidRPr="005034A8">
              <w:rPr>
                <w:rFonts w:cstheme="minorHAnsi"/>
                <w:b/>
                <w:color w:val="auto"/>
                <w:sz w:val="16"/>
                <w:szCs w:val="16"/>
              </w:rPr>
              <w:br/>
            </w:r>
            <w:r w:rsidRPr="005034A8">
              <w:rPr>
                <w:rFonts w:cstheme="minorHAnsi"/>
                <w:color w:val="auto"/>
                <w:sz w:val="16"/>
                <w:szCs w:val="16"/>
              </w:rPr>
              <w:t>11</w:t>
            </w:r>
            <w:r w:rsidRPr="005034A8">
              <w:rPr>
                <w:rFonts w:cstheme="minorHAnsi"/>
                <w:b/>
                <w:color w:val="auto"/>
                <w:sz w:val="16"/>
                <w:szCs w:val="16"/>
              </w:rPr>
              <w:br/>
              <w:t>Major Rivers:</w:t>
            </w:r>
            <w:r w:rsidRPr="005034A8">
              <w:rPr>
                <w:rFonts w:cstheme="minorHAnsi"/>
                <w:b/>
                <w:color w:val="auto"/>
                <w:sz w:val="16"/>
                <w:szCs w:val="16"/>
              </w:rPr>
              <w:br/>
            </w:r>
            <w:r w:rsidRPr="005034A8">
              <w:rPr>
                <w:rFonts w:cstheme="minorHAnsi"/>
                <w:color w:val="auto"/>
                <w:sz w:val="16"/>
                <w:szCs w:val="16"/>
              </w:rPr>
              <w:t>Atharbanki, Bhairab,</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t>Ganges, Halda, Karnafuli, Old Passur, Pabijuri-Kusi Gang-Kusiya, Rupsa (Khulna), Buriganga, Balu, Sitalkhaya, Sugandha, Surma, Tungi Khal.</w:t>
            </w:r>
          </w:p>
          <w:p w:rsidR="003E42A9" w:rsidRPr="005034A8" w:rsidRDefault="003E42A9" w:rsidP="003E42A9">
            <w:pPr>
              <w:cnfStyle w:val="000000100000"/>
              <w:rPr>
                <w:rFonts w:cstheme="minorHAnsi"/>
                <w:color w:val="auto"/>
                <w:sz w:val="16"/>
                <w:szCs w:val="16"/>
              </w:rPr>
            </w:pPr>
            <w:r w:rsidRPr="005034A8">
              <w:rPr>
                <w:rFonts w:cstheme="minorHAnsi"/>
                <w:b/>
                <w:color w:val="auto"/>
                <w:sz w:val="16"/>
                <w:szCs w:val="16"/>
              </w:rPr>
              <w:t>Basin:</w:t>
            </w:r>
            <w:r w:rsidRPr="005034A8">
              <w:rPr>
                <w:rFonts w:cstheme="minorHAnsi"/>
                <w:b/>
                <w:color w:val="auto"/>
                <w:sz w:val="16"/>
                <w:szCs w:val="16"/>
              </w:rPr>
              <w:br/>
            </w:r>
            <w:r w:rsidRPr="005034A8">
              <w:rPr>
                <w:rFonts w:cstheme="minorHAnsi"/>
                <w:color w:val="auto"/>
                <w:sz w:val="16"/>
                <w:szCs w:val="16"/>
              </w:rPr>
              <w:t xml:space="preserve">Ganges, Meghna &amp; </w:t>
            </w:r>
            <w:r w:rsidRPr="005034A8">
              <w:rPr>
                <w:rFonts w:eastAsia="Times New Roman"/>
                <w:color w:val="auto"/>
                <w:sz w:val="16"/>
              </w:rPr>
              <w:t>Brahmaputra.</w:t>
            </w:r>
          </w:p>
        </w:tc>
        <w:tc>
          <w:tcPr>
            <w:tcW w:w="2176" w:type="dxa"/>
            <w:tcBorders>
              <w:left w:val="none" w:sz="0" w:space="0" w:color="auto"/>
              <w:right w:val="none" w:sz="0" w:space="0" w:color="auto"/>
            </w:tcBorders>
          </w:tcPr>
          <w:p w:rsidR="003E42A9" w:rsidRPr="005034A8" w:rsidRDefault="00E05A0F" w:rsidP="00A631E1">
            <w:pPr>
              <w:pStyle w:val="ListParagraph"/>
              <w:numPr>
                <w:ilvl w:val="0"/>
                <w:numId w:val="34"/>
              </w:numPr>
              <w:spacing w:after="0" w:line="240" w:lineRule="auto"/>
              <w:ind w:left="314" w:hanging="270"/>
              <w:cnfStyle w:val="000000100000"/>
              <w:rPr>
                <w:rFonts w:cstheme="minorHAnsi"/>
                <w:color w:val="auto"/>
                <w:sz w:val="16"/>
                <w:szCs w:val="16"/>
              </w:rPr>
            </w:pPr>
            <w:r>
              <w:rPr>
                <w:rFonts w:cstheme="minorHAnsi"/>
                <w:color w:val="auto"/>
                <w:sz w:val="16"/>
                <w:szCs w:val="16"/>
              </w:rPr>
              <w:t>Flood, w</w:t>
            </w:r>
            <w:r w:rsidR="003E42A9" w:rsidRPr="005034A8">
              <w:rPr>
                <w:rFonts w:cstheme="minorHAnsi"/>
                <w:color w:val="auto"/>
                <w:sz w:val="16"/>
                <w:szCs w:val="16"/>
              </w:rPr>
              <w:t xml:space="preserve">ater </w:t>
            </w:r>
            <w:r>
              <w:rPr>
                <w:rFonts w:cstheme="minorHAnsi"/>
                <w:color w:val="auto"/>
                <w:sz w:val="16"/>
                <w:szCs w:val="16"/>
              </w:rPr>
              <w:t>l</w:t>
            </w:r>
            <w:r w:rsidR="003E42A9" w:rsidRPr="005034A8">
              <w:rPr>
                <w:rFonts w:cstheme="minorHAnsi"/>
                <w:color w:val="auto"/>
                <w:sz w:val="16"/>
                <w:szCs w:val="16"/>
              </w:rPr>
              <w:t>ogging and drainage congestion</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Ground water depletion and water supply shortage</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Environmental Degradation</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Waste management</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Loss of biodiversity and ecosystem</w:t>
            </w:r>
          </w:p>
        </w:tc>
        <w:tc>
          <w:tcPr>
            <w:tcW w:w="1768" w:type="dxa"/>
            <w:tcBorders>
              <w:left w:val="none" w:sz="0" w:space="0" w:color="auto"/>
              <w:right w:val="none" w:sz="0" w:space="0" w:color="auto"/>
            </w:tcBorders>
          </w:tcPr>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 xml:space="preserve">Ground water Recharge </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Pollution control</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Water Supply and Sanitation</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Wetland Protection</w:t>
            </w:r>
          </w:p>
        </w:tc>
        <w:tc>
          <w:tcPr>
            <w:tcW w:w="1711" w:type="dxa"/>
            <w:tcBorders>
              <w:left w:val="none" w:sz="0" w:space="0" w:color="auto"/>
              <w:right w:val="none" w:sz="0" w:space="0" w:color="auto"/>
            </w:tcBorders>
          </w:tcPr>
          <w:p w:rsidR="003E42A9" w:rsidRPr="00A1679C"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A1679C">
              <w:rPr>
                <w:rFonts w:cstheme="minorHAnsi"/>
                <w:color w:val="auto"/>
                <w:sz w:val="16"/>
                <w:szCs w:val="16"/>
              </w:rPr>
              <w:t xml:space="preserve">Dhaka city and the rivers surrounding it. </w:t>
            </w:r>
          </w:p>
          <w:p w:rsidR="003E42A9"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A1679C">
              <w:rPr>
                <w:rFonts w:cstheme="minorHAnsi"/>
                <w:color w:val="auto"/>
                <w:sz w:val="16"/>
                <w:szCs w:val="16"/>
              </w:rPr>
              <w:t>DND area</w:t>
            </w:r>
          </w:p>
          <w:p w:rsidR="00E05A0F" w:rsidRDefault="00E05A0F" w:rsidP="00A631E1">
            <w:pPr>
              <w:pStyle w:val="ListParagraph"/>
              <w:numPr>
                <w:ilvl w:val="0"/>
                <w:numId w:val="34"/>
              </w:numPr>
              <w:spacing w:after="0" w:line="240" w:lineRule="auto"/>
              <w:ind w:left="314" w:hanging="270"/>
              <w:cnfStyle w:val="000000100000"/>
              <w:rPr>
                <w:rFonts w:cstheme="minorHAnsi"/>
                <w:color w:val="auto"/>
                <w:sz w:val="16"/>
                <w:szCs w:val="16"/>
              </w:rPr>
            </w:pPr>
            <w:r>
              <w:rPr>
                <w:rFonts w:cstheme="minorHAnsi"/>
                <w:color w:val="auto"/>
                <w:sz w:val="16"/>
                <w:szCs w:val="16"/>
              </w:rPr>
              <w:t>Chittagong</w:t>
            </w:r>
          </w:p>
          <w:p w:rsidR="00E05A0F" w:rsidRPr="00A1679C" w:rsidRDefault="00E05A0F" w:rsidP="00A631E1">
            <w:pPr>
              <w:pStyle w:val="ListParagraph"/>
              <w:numPr>
                <w:ilvl w:val="0"/>
                <w:numId w:val="34"/>
              </w:numPr>
              <w:spacing w:after="0" w:line="240" w:lineRule="auto"/>
              <w:ind w:left="314" w:hanging="270"/>
              <w:cnfStyle w:val="000000100000"/>
              <w:rPr>
                <w:rFonts w:cstheme="minorHAnsi"/>
                <w:color w:val="auto"/>
                <w:sz w:val="16"/>
                <w:szCs w:val="16"/>
              </w:rPr>
            </w:pPr>
            <w:r>
              <w:rPr>
                <w:rFonts w:cstheme="minorHAnsi"/>
                <w:color w:val="auto"/>
                <w:sz w:val="16"/>
                <w:szCs w:val="16"/>
              </w:rPr>
              <w:t>Barishal</w:t>
            </w:r>
          </w:p>
          <w:p w:rsidR="003E42A9" w:rsidRPr="00A1679C" w:rsidRDefault="003E42A9" w:rsidP="003E42A9">
            <w:pPr>
              <w:pStyle w:val="ListParagraph"/>
              <w:ind w:left="314"/>
              <w:cnfStyle w:val="000000100000"/>
              <w:rPr>
                <w:rFonts w:cstheme="minorHAnsi"/>
                <w:color w:val="auto"/>
                <w:sz w:val="16"/>
                <w:szCs w:val="16"/>
              </w:rPr>
            </w:pPr>
          </w:p>
        </w:tc>
      </w:tr>
      <w:tr w:rsidR="003E42A9" w:rsidRPr="00481704" w:rsidTr="003E42A9">
        <w:trPr>
          <w:trHeight w:val="1583"/>
        </w:trPr>
        <w:tc>
          <w:tcPr>
            <w:cnfStyle w:val="001000000000"/>
            <w:tcW w:w="1302" w:type="dxa"/>
          </w:tcPr>
          <w:p w:rsidR="003E42A9" w:rsidRPr="005034A8" w:rsidRDefault="003E42A9" w:rsidP="003E42A9">
            <w:pPr>
              <w:rPr>
                <w:rFonts w:cstheme="minorHAnsi"/>
                <w:color w:val="auto"/>
                <w:sz w:val="16"/>
                <w:szCs w:val="16"/>
              </w:rPr>
            </w:pPr>
            <w:r w:rsidRPr="005034A8">
              <w:rPr>
                <w:rFonts w:cstheme="minorHAnsi"/>
                <w:color w:val="auto"/>
                <w:sz w:val="16"/>
                <w:szCs w:val="16"/>
              </w:rPr>
              <w:lastRenderedPageBreak/>
              <w:t xml:space="preserve">Chittagong Hill Tracts </w:t>
            </w:r>
          </w:p>
          <w:p w:rsidR="003E42A9" w:rsidRPr="005034A8" w:rsidRDefault="003E42A9" w:rsidP="003E42A9">
            <w:pPr>
              <w:rPr>
                <w:rFonts w:cstheme="minorHAnsi"/>
                <w:b w:val="0"/>
                <w:color w:val="auto"/>
                <w:sz w:val="16"/>
                <w:szCs w:val="16"/>
              </w:rPr>
            </w:pPr>
          </w:p>
        </w:tc>
        <w:tc>
          <w:tcPr>
            <w:tcW w:w="2619" w:type="dxa"/>
          </w:tcPr>
          <w:p w:rsidR="003E42A9" w:rsidRPr="005034A8" w:rsidRDefault="003E42A9" w:rsidP="003E42A9">
            <w:pPr>
              <w:cnfStyle w:val="000000000000"/>
              <w:rPr>
                <w:rFonts w:cstheme="minorHAnsi"/>
                <w:b/>
                <w:color w:val="auto"/>
                <w:sz w:val="16"/>
                <w:szCs w:val="16"/>
              </w:rPr>
            </w:pPr>
            <w:r w:rsidRPr="005034A8">
              <w:rPr>
                <w:rFonts w:cstheme="minorHAnsi"/>
                <w:b/>
                <w:color w:val="auto"/>
                <w:sz w:val="16"/>
                <w:szCs w:val="16"/>
              </w:rPr>
              <w:t xml:space="preserve">Area: </w:t>
            </w:r>
            <w:r w:rsidRPr="005034A8">
              <w:rPr>
                <w:rFonts w:cstheme="minorHAnsi"/>
                <w:color w:val="auto"/>
                <w:sz w:val="16"/>
                <w:szCs w:val="16"/>
              </w:rPr>
              <w:t>503.62 sq. km</w:t>
            </w:r>
            <w:r w:rsidRPr="005034A8">
              <w:rPr>
                <w:rFonts w:cstheme="minorHAnsi"/>
                <w:b/>
                <w:color w:val="auto"/>
                <w:sz w:val="16"/>
                <w:szCs w:val="16"/>
              </w:rPr>
              <w:t xml:space="preserve"> </w:t>
            </w:r>
          </w:p>
          <w:p w:rsidR="003E42A9" w:rsidRPr="005034A8" w:rsidRDefault="003E42A9" w:rsidP="003E42A9">
            <w:pPr>
              <w:cnfStyle w:val="000000000000"/>
              <w:rPr>
                <w:rFonts w:cstheme="minorHAnsi"/>
                <w:color w:val="auto"/>
                <w:sz w:val="16"/>
                <w:szCs w:val="16"/>
              </w:rPr>
            </w:pPr>
            <w:r w:rsidRPr="005034A8">
              <w:rPr>
                <w:rFonts w:cstheme="minorHAnsi"/>
                <w:b/>
                <w:color w:val="auto"/>
                <w:sz w:val="16"/>
                <w:szCs w:val="16"/>
              </w:rPr>
              <w:t xml:space="preserve">Administrative Boundary: </w:t>
            </w:r>
            <w:r w:rsidRPr="005034A8">
              <w:rPr>
                <w:rFonts w:cstheme="minorHAnsi"/>
                <w:color w:val="auto"/>
                <w:sz w:val="16"/>
                <w:szCs w:val="16"/>
              </w:rPr>
              <w:t xml:space="preserve">Covers partially or fully  5 districts including </w:t>
            </w:r>
            <w:r w:rsidRPr="005034A8">
              <w:rPr>
                <w:rFonts w:cstheme="minorHAnsi"/>
                <w:b/>
                <w:color w:val="auto"/>
                <w:sz w:val="16"/>
                <w:szCs w:val="16"/>
              </w:rPr>
              <w:br/>
            </w:r>
            <w:r w:rsidRPr="005034A8">
              <w:rPr>
                <w:rFonts w:cstheme="minorHAnsi"/>
                <w:color w:val="auto"/>
                <w:sz w:val="16"/>
                <w:szCs w:val="16"/>
              </w:rPr>
              <w:t xml:space="preserve">Chittagong, </w:t>
            </w:r>
            <w:r w:rsidR="002E04F3">
              <w:rPr>
                <w:rFonts w:cstheme="minorHAnsi"/>
                <w:sz w:val="16"/>
                <w:szCs w:val="16"/>
              </w:rPr>
              <w:t>Cox’s</w:t>
            </w:r>
            <w:r w:rsidRPr="005034A8">
              <w:rPr>
                <w:rFonts w:cstheme="minorHAnsi"/>
                <w:color w:val="auto"/>
                <w:sz w:val="16"/>
                <w:szCs w:val="16"/>
              </w:rPr>
              <w:t xml:space="preserve"> Bazar, Rangamati, Khagrachhari, Bandarban.</w:t>
            </w:r>
            <w:r w:rsidRPr="005034A8">
              <w:rPr>
                <w:rFonts w:cstheme="minorHAnsi"/>
                <w:b/>
                <w:color w:val="auto"/>
                <w:sz w:val="16"/>
                <w:szCs w:val="16"/>
              </w:rPr>
              <w:br/>
              <w:t>Hydraulic Region:</w:t>
            </w:r>
            <w:r w:rsidRPr="005034A8">
              <w:rPr>
                <w:rFonts w:cstheme="minorHAnsi"/>
                <w:color w:val="auto"/>
                <w:sz w:val="16"/>
                <w:szCs w:val="16"/>
              </w:rPr>
              <w:br/>
              <w:t>South East, Eastern Hill.</w:t>
            </w:r>
            <w:r w:rsidRPr="005034A8">
              <w:rPr>
                <w:rFonts w:cstheme="minorHAnsi"/>
                <w:b/>
                <w:color w:val="auto"/>
                <w:sz w:val="16"/>
                <w:szCs w:val="16"/>
              </w:rPr>
              <w:br/>
              <w:t>No of Rivers:</w:t>
            </w:r>
            <w:r w:rsidRPr="005034A8">
              <w:rPr>
                <w:rFonts w:cstheme="minorHAnsi"/>
                <w:b/>
                <w:color w:val="auto"/>
                <w:sz w:val="16"/>
                <w:szCs w:val="16"/>
              </w:rPr>
              <w:br/>
            </w:r>
            <w:r w:rsidRPr="005034A8">
              <w:rPr>
                <w:rFonts w:cstheme="minorHAnsi"/>
                <w:color w:val="auto"/>
                <w:sz w:val="16"/>
                <w:szCs w:val="16"/>
              </w:rPr>
              <w:t>17</w:t>
            </w:r>
            <w:r w:rsidRPr="005034A8">
              <w:rPr>
                <w:rFonts w:cstheme="minorHAnsi"/>
                <w:b/>
                <w:color w:val="auto"/>
                <w:sz w:val="16"/>
                <w:szCs w:val="16"/>
              </w:rPr>
              <w:br/>
              <w:t>Major Rivers:</w:t>
            </w:r>
            <w:r w:rsidRPr="005034A8">
              <w:rPr>
                <w:rFonts w:cstheme="minorHAnsi"/>
                <w:b/>
                <w:color w:val="auto"/>
                <w:sz w:val="16"/>
                <w:szCs w:val="16"/>
              </w:rPr>
              <w:br/>
            </w:r>
            <w:r w:rsidRPr="005034A8">
              <w:rPr>
                <w:rFonts w:cstheme="minorHAnsi"/>
                <w:color w:val="auto"/>
                <w:sz w:val="16"/>
                <w:szCs w:val="16"/>
              </w:rPr>
              <w:t>Bakkhali, Matamuhuri,</w:t>
            </w:r>
          </w:p>
          <w:p w:rsidR="003E42A9" w:rsidRPr="007C2871" w:rsidRDefault="003E42A9" w:rsidP="003E42A9">
            <w:pPr>
              <w:cnfStyle w:val="000000000000"/>
              <w:rPr>
                <w:rFonts w:cstheme="minorHAnsi"/>
                <w:color w:val="auto"/>
                <w:sz w:val="16"/>
                <w:szCs w:val="16"/>
                <w:lang w:val="fr-BE"/>
              </w:rPr>
            </w:pPr>
            <w:r w:rsidRPr="007C2871">
              <w:rPr>
                <w:rFonts w:cstheme="minorHAnsi"/>
                <w:color w:val="auto"/>
                <w:sz w:val="16"/>
                <w:szCs w:val="16"/>
                <w:lang w:val="fr-BE"/>
              </w:rPr>
              <w:t>Sangu,</w:t>
            </w:r>
          </w:p>
          <w:p w:rsidR="003E42A9" w:rsidRPr="005034A8" w:rsidRDefault="003E42A9" w:rsidP="003E42A9">
            <w:pPr>
              <w:cnfStyle w:val="000000000000"/>
              <w:rPr>
                <w:rFonts w:cstheme="minorHAnsi"/>
                <w:color w:val="auto"/>
                <w:sz w:val="16"/>
                <w:szCs w:val="16"/>
              </w:rPr>
            </w:pPr>
            <w:r w:rsidRPr="007C2871">
              <w:rPr>
                <w:rFonts w:cstheme="minorHAnsi"/>
                <w:color w:val="auto"/>
                <w:sz w:val="16"/>
                <w:szCs w:val="16"/>
                <w:lang w:val="fr-BE"/>
              </w:rPr>
              <w:t xml:space="preserve">Halda, Ichamati (Rangamati), Karnafuli etc. </w:t>
            </w:r>
            <w:r w:rsidRPr="007C2871">
              <w:rPr>
                <w:rFonts w:cstheme="minorHAnsi"/>
                <w:b/>
                <w:color w:val="auto"/>
                <w:sz w:val="16"/>
                <w:szCs w:val="16"/>
                <w:lang w:val="fr-BE"/>
              </w:rPr>
              <w:br/>
            </w:r>
            <w:r w:rsidRPr="005034A8">
              <w:rPr>
                <w:rFonts w:cstheme="minorHAnsi"/>
                <w:b/>
                <w:color w:val="auto"/>
                <w:sz w:val="16"/>
                <w:szCs w:val="16"/>
              </w:rPr>
              <w:t>Basin:</w:t>
            </w:r>
            <w:r w:rsidRPr="005034A8">
              <w:rPr>
                <w:rFonts w:cstheme="minorHAnsi"/>
                <w:b/>
                <w:color w:val="auto"/>
                <w:sz w:val="16"/>
                <w:szCs w:val="16"/>
              </w:rPr>
              <w:br/>
            </w:r>
            <w:r w:rsidRPr="005034A8">
              <w:rPr>
                <w:rFonts w:cstheme="minorHAnsi"/>
                <w:color w:val="auto"/>
                <w:sz w:val="16"/>
                <w:szCs w:val="16"/>
              </w:rPr>
              <w:t>Meghna Basin.</w:t>
            </w:r>
          </w:p>
        </w:tc>
        <w:tc>
          <w:tcPr>
            <w:tcW w:w="2176" w:type="dxa"/>
          </w:tcPr>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Flood and flash flood in Chittagong</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Water supply shortage</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Damages due to cyclone</w:t>
            </w:r>
            <w:r w:rsidRPr="005034A8">
              <w:rPr>
                <w:rFonts w:cstheme="minorHAnsi"/>
                <w:color w:val="auto"/>
                <w:sz w:val="16"/>
                <w:szCs w:val="16"/>
              </w:rPr>
              <w:br/>
              <w:t xml:space="preserve">Landslides in CHT </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 xml:space="preserve">Sedimentation </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Water shortage for domestic and agricultural purposes in Chittagong, Rangamati and Khagrachori districts.</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Environmental pollution and loss of bio-diversity and eco-system</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Riverbank erosion in Chittagong floodplain along Karnafuli river.</w:t>
            </w:r>
          </w:p>
        </w:tc>
        <w:tc>
          <w:tcPr>
            <w:tcW w:w="1768" w:type="dxa"/>
          </w:tcPr>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Water supply, fresh water shortage and sanitation</w:t>
            </w:r>
          </w:p>
          <w:p w:rsidR="003E42A9" w:rsidRPr="005034A8"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5034A8">
              <w:rPr>
                <w:rFonts w:cstheme="minorHAnsi"/>
                <w:color w:val="auto"/>
                <w:sz w:val="16"/>
                <w:szCs w:val="16"/>
              </w:rPr>
              <w:t>Flooding, drainage congestion, cyclones</w:t>
            </w:r>
          </w:p>
        </w:tc>
        <w:tc>
          <w:tcPr>
            <w:tcW w:w="1711" w:type="dxa"/>
          </w:tcPr>
          <w:p w:rsidR="003E42A9" w:rsidRPr="00A1679C"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A1679C">
              <w:rPr>
                <w:rFonts w:cstheme="minorHAnsi"/>
                <w:color w:val="auto"/>
                <w:sz w:val="16"/>
                <w:szCs w:val="16"/>
              </w:rPr>
              <w:t>Halda</w:t>
            </w:r>
          </w:p>
          <w:p w:rsidR="003E42A9" w:rsidRPr="00A1679C"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A1679C">
              <w:rPr>
                <w:rFonts w:cstheme="minorHAnsi"/>
                <w:color w:val="auto"/>
                <w:sz w:val="16"/>
                <w:szCs w:val="16"/>
              </w:rPr>
              <w:t>Kaptai Lake</w:t>
            </w:r>
          </w:p>
          <w:p w:rsidR="003E42A9" w:rsidRPr="00A1679C"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A1679C">
              <w:rPr>
                <w:rFonts w:cstheme="minorHAnsi"/>
                <w:color w:val="auto"/>
                <w:sz w:val="16"/>
                <w:szCs w:val="16"/>
              </w:rPr>
              <w:t>Rangamati and Khagrachori</w:t>
            </w:r>
          </w:p>
          <w:p w:rsidR="003E42A9" w:rsidRPr="00A1679C" w:rsidRDefault="003E42A9" w:rsidP="00A631E1">
            <w:pPr>
              <w:pStyle w:val="ListParagraph"/>
              <w:numPr>
                <w:ilvl w:val="0"/>
                <w:numId w:val="34"/>
              </w:numPr>
              <w:spacing w:after="0" w:line="240" w:lineRule="auto"/>
              <w:ind w:left="314" w:hanging="270"/>
              <w:cnfStyle w:val="000000000000"/>
              <w:rPr>
                <w:rFonts w:cstheme="minorHAnsi"/>
                <w:color w:val="auto"/>
                <w:sz w:val="16"/>
                <w:szCs w:val="16"/>
              </w:rPr>
            </w:pPr>
            <w:r w:rsidRPr="00A1679C">
              <w:rPr>
                <w:rFonts w:cstheme="minorHAnsi"/>
                <w:color w:val="auto"/>
                <w:sz w:val="16"/>
                <w:szCs w:val="16"/>
              </w:rPr>
              <w:t>Cox’s bazar</w:t>
            </w:r>
          </w:p>
          <w:p w:rsidR="003E42A9" w:rsidRPr="00481704" w:rsidRDefault="003E42A9" w:rsidP="003E42A9">
            <w:pPr>
              <w:pStyle w:val="ListParagraph"/>
              <w:ind w:left="314"/>
              <w:cnfStyle w:val="000000000000"/>
              <w:rPr>
                <w:rFonts w:cstheme="minorHAnsi"/>
                <w:sz w:val="16"/>
                <w:szCs w:val="16"/>
              </w:rPr>
            </w:pPr>
          </w:p>
        </w:tc>
      </w:tr>
      <w:tr w:rsidR="003E42A9" w:rsidRPr="001A598B" w:rsidTr="003E42A9">
        <w:trPr>
          <w:cnfStyle w:val="000000100000"/>
          <w:trHeight w:val="1080"/>
        </w:trPr>
        <w:tc>
          <w:tcPr>
            <w:cnfStyle w:val="001000000000"/>
            <w:tcW w:w="1302" w:type="dxa"/>
            <w:tcBorders>
              <w:left w:val="none" w:sz="0" w:space="0" w:color="auto"/>
              <w:right w:val="none" w:sz="0" w:space="0" w:color="auto"/>
            </w:tcBorders>
          </w:tcPr>
          <w:p w:rsidR="003E42A9" w:rsidRPr="005034A8" w:rsidRDefault="003E42A9" w:rsidP="000D7389">
            <w:pPr>
              <w:rPr>
                <w:rFonts w:cstheme="minorHAnsi"/>
                <w:b w:val="0"/>
                <w:color w:val="auto"/>
                <w:sz w:val="16"/>
                <w:szCs w:val="16"/>
              </w:rPr>
            </w:pPr>
            <w:r w:rsidRPr="005034A8">
              <w:rPr>
                <w:rFonts w:cstheme="minorHAnsi"/>
                <w:color w:val="auto"/>
                <w:sz w:val="16"/>
                <w:szCs w:val="16"/>
              </w:rPr>
              <w:t xml:space="preserve">Cross Cutting </w:t>
            </w:r>
            <w:r w:rsidR="000D7389">
              <w:rPr>
                <w:rFonts w:cstheme="minorHAnsi"/>
                <w:color w:val="auto"/>
                <w:sz w:val="16"/>
                <w:szCs w:val="16"/>
              </w:rPr>
              <w:t>Areas</w:t>
            </w:r>
          </w:p>
        </w:tc>
        <w:tc>
          <w:tcPr>
            <w:tcW w:w="2619" w:type="dxa"/>
            <w:tcBorders>
              <w:left w:val="none" w:sz="0" w:space="0" w:color="auto"/>
              <w:right w:val="none" w:sz="0" w:space="0" w:color="auto"/>
            </w:tcBorders>
          </w:tcPr>
          <w:p w:rsidR="003E42A9" w:rsidRPr="005034A8" w:rsidRDefault="003E42A9" w:rsidP="003E42A9">
            <w:pPr>
              <w:cnfStyle w:val="000000100000"/>
              <w:rPr>
                <w:rFonts w:cstheme="minorHAnsi"/>
                <w:b/>
                <w:color w:val="auto"/>
                <w:sz w:val="16"/>
                <w:szCs w:val="16"/>
              </w:rPr>
            </w:pPr>
            <w:r w:rsidRPr="005034A8">
              <w:rPr>
                <w:rFonts w:cstheme="minorHAnsi"/>
                <w:b/>
                <w:color w:val="auto"/>
                <w:sz w:val="16"/>
                <w:szCs w:val="16"/>
              </w:rPr>
              <w:t xml:space="preserve">Area: </w:t>
            </w:r>
            <w:r w:rsidRPr="005034A8">
              <w:rPr>
                <w:rFonts w:cstheme="minorHAnsi"/>
                <w:color w:val="auto"/>
                <w:sz w:val="16"/>
                <w:szCs w:val="16"/>
              </w:rPr>
              <w:t>19355.67 sq. km</w:t>
            </w:r>
            <w:r w:rsidRPr="005034A8">
              <w:rPr>
                <w:color w:val="auto"/>
                <w:sz w:val="20"/>
                <w:szCs w:val="20"/>
              </w:rPr>
              <w:t xml:space="preserve"> </w:t>
            </w:r>
            <w:r w:rsidRPr="005034A8">
              <w:rPr>
                <w:rFonts w:cstheme="minorHAnsi"/>
                <w:b/>
                <w:color w:val="auto"/>
                <w:sz w:val="16"/>
                <w:szCs w:val="16"/>
              </w:rPr>
              <w:t>Administrative Boundary:</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t>Covers partially or fully around 20 districts including</w:t>
            </w:r>
            <w:r w:rsidRPr="005034A8">
              <w:rPr>
                <w:rFonts w:cstheme="minorHAnsi"/>
                <w:b/>
                <w:color w:val="auto"/>
                <w:sz w:val="16"/>
                <w:szCs w:val="16"/>
              </w:rPr>
              <w:br/>
            </w:r>
            <w:r w:rsidRPr="005034A8">
              <w:rPr>
                <w:rFonts w:cstheme="minorHAnsi"/>
                <w:color w:val="auto"/>
                <w:sz w:val="16"/>
                <w:szCs w:val="16"/>
              </w:rPr>
              <w:t xml:space="preserve">Bogra, Chandpur, Comilla, Dhaka, Faridpur, Gaibandha, Gazipur, Jamalpur, Kurigram, </w:t>
            </w:r>
            <w:r w:rsidR="002E04F3" w:rsidRPr="005034A8">
              <w:rPr>
                <w:rFonts w:cstheme="minorHAnsi"/>
                <w:color w:val="auto"/>
                <w:sz w:val="16"/>
                <w:szCs w:val="16"/>
              </w:rPr>
              <w:t>Madaripur, Magura</w:t>
            </w:r>
            <w:r w:rsidRPr="005034A8">
              <w:rPr>
                <w:rFonts w:cstheme="minorHAnsi"/>
                <w:color w:val="auto"/>
                <w:sz w:val="16"/>
                <w:szCs w:val="16"/>
              </w:rPr>
              <w:t>, Manikganj, Munshiganj, Narayanganj, Mymensingh, Narsingdi, Sirajgonj, Sherpur, Rajbari, Tangail.</w:t>
            </w:r>
            <w:r w:rsidRPr="005034A8">
              <w:rPr>
                <w:rFonts w:cstheme="minorHAnsi"/>
                <w:b/>
                <w:color w:val="auto"/>
                <w:sz w:val="16"/>
                <w:szCs w:val="16"/>
              </w:rPr>
              <w:br/>
              <w:t xml:space="preserve">Hydraulic Region: </w:t>
            </w:r>
            <w:r w:rsidRPr="005034A8">
              <w:rPr>
                <w:rFonts w:cstheme="minorHAnsi"/>
                <w:b/>
                <w:color w:val="auto"/>
                <w:sz w:val="16"/>
                <w:szCs w:val="16"/>
              </w:rPr>
              <w:br/>
            </w:r>
            <w:r w:rsidRPr="005034A8">
              <w:rPr>
                <w:rFonts w:cstheme="minorHAnsi"/>
                <w:color w:val="auto"/>
                <w:sz w:val="16"/>
                <w:szCs w:val="16"/>
              </w:rPr>
              <w:t>North Central, North East, South Central, South East, South West, River and Estuary.</w:t>
            </w:r>
            <w:r w:rsidRPr="005034A8">
              <w:rPr>
                <w:rFonts w:cstheme="minorHAnsi"/>
                <w:b/>
                <w:color w:val="auto"/>
                <w:sz w:val="16"/>
                <w:szCs w:val="16"/>
              </w:rPr>
              <w:br/>
              <w:t>No of Rivers:</w:t>
            </w:r>
            <w:r w:rsidRPr="005034A8">
              <w:rPr>
                <w:rFonts w:cstheme="minorHAnsi"/>
                <w:b/>
                <w:color w:val="auto"/>
                <w:sz w:val="16"/>
                <w:szCs w:val="16"/>
              </w:rPr>
              <w:br/>
            </w:r>
            <w:r w:rsidRPr="005034A8">
              <w:rPr>
                <w:rFonts w:cstheme="minorHAnsi"/>
                <w:color w:val="auto"/>
                <w:sz w:val="16"/>
                <w:szCs w:val="16"/>
              </w:rPr>
              <w:t>105</w:t>
            </w:r>
            <w:r w:rsidRPr="005034A8">
              <w:rPr>
                <w:rFonts w:cstheme="minorHAnsi"/>
                <w:b/>
                <w:color w:val="auto"/>
                <w:sz w:val="16"/>
                <w:szCs w:val="16"/>
              </w:rPr>
              <w:br/>
              <w:t>Major Rivers:</w:t>
            </w:r>
            <w:r w:rsidRPr="005034A8">
              <w:rPr>
                <w:rFonts w:cstheme="minorHAnsi"/>
                <w:b/>
                <w:color w:val="auto"/>
                <w:sz w:val="16"/>
                <w:szCs w:val="16"/>
              </w:rPr>
              <w:br/>
            </w:r>
            <w:r w:rsidRPr="005034A8">
              <w:rPr>
                <w:rFonts w:cstheme="minorHAnsi"/>
                <w:color w:val="auto"/>
                <w:sz w:val="16"/>
                <w:szCs w:val="16"/>
              </w:rPr>
              <w:t xml:space="preserve">Arial Khan, Brahmaputra-Jamuna, Buriganga, </w:t>
            </w:r>
          </w:p>
          <w:p w:rsidR="003E42A9" w:rsidRPr="005034A8" w:rsidRDefault="003E42A9" w:rsidP="003E42A9">
            <w:pPr>
              <w:cnfStyle w:val="000000100000"/>
              <w:rPr>
                <w:rFonts w:cstheme="minorHAnsi"/>
                <w:color w:val="auto"/>
                <w:sz w:val="16"/>
                <w:szCs w:val="16"/>
              </w:rPr>
            </w:pPr>
            <w:r w:rsidRPr="005034A8">
              <w:rPr>
                <w:rFonts w:cstheme="minorHAnsi"/>
                <w:color w:val="auto"/>
                <w:sz w:val="16"/>
                <w:szCs w:val="16"/>
              </w:rPr>
              <w:t>Dhaleswari, Ichamati, Madhumati, Meghna (Upper), Old Brahmaputra,</w:t>
            </w:r>
          </w:p>
          <w:p w:rsidR="003E42A9" w:rsidRPr="007C2871" w:rsidRDefault="003E42A9" w:rsidP="003E42A9">
            <w:pPr>
              <w:cnfStyle w:val="000000100000"/>
              <w:rPr>
                <w:rFonts w:cstheme="minorHAnsi"/>
                <w:color w:val="auto"/>
                <w:sz w:val="16"/>
                <w:szCs w:val="16"/>
                <w:lang w:val="fr-BE"/>
              </w:rPr>
            </w:pPr>
            <w:r w:rsidRPr="007C2871">
              <w:rPr>
                <w:rFonts w:cstheme="minorHAnsi"/>
                <w:color w:val="auto"/>
                <w:sz w:val="16"/>
                <w:szCs w:val="16"/>
                <w:lang w:val="fr-BE"/>
              </w:rPr>
              <w:t xml:space="preserve">Old Dhaleswari, Padma, </w:t>
            </w:r>
            <w:r w:rsidRPr="007C2871">
              <w:rPr>
                <w:rFonts w:cstheme="minorHAnsi"/>
                <w:b/>
                <w:color w:val="auto"/>
                <w:sz w:val="16"/>
                <w:szCs w:val="16"/>
                <w:lang w:val="fr-BE"/>
              </w:rPr>
              <w:br/>
            </w:r>
            <w:r w:rsidRPr="007C2871">
              <w:rPr>
                <w:rFonts w:cstheme="minorHAnsi"/>
                <w:color w:val="auto"/>
                <w:sz w:val="16"/>
                <w:szCs w:val="16"/>
                <w:lang w:val="fr-BE"/>
              </w:rPr>
              <w:t>Ganges, Meghna etc.</w:t>
            </w:r>
          </w:p>
        </w:tc>
        <w:tc>
          <w:tcPr>
            <w:tcW w:w="2176" w:type="dxa"/>
            <w:tcBorders>
              <w:left w:val="none" w:sz="0" w:space="0" w:color="auto"/>
              <w:right w:val="none" w:sz="0" w:space="0" w:color="auto"/>
            </w:tcBorders>
          </w:tcPr>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River encroachment groundwater mining.</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Maintaining regulated flow and connectivity of river system and flood plains.</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Sedimentation in the off take of major river.</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Flood management and drainage congestion.</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Inadequate navigability of major rivers.</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Degradation of natural resources.</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River water pollution</w:t>
            </w:r>
          </w:p>
          <w:p w:rsidR="003E42A9" w:rsidRPr="005034A8" w:rsidRDefault="003E42A9" w:rsidP="003E42A9">
            <w:pPr>
              <w:ind w:left="44"/>
              <w:cnfStyle w:val="000000100000"/>
              <w:rPr>
                <w:rFonts w:cstheme="minorHAnsi"/>
                <w:color w:val="auto"/>
                <w:sz w:val="16"/>
                <w:szCs w:val="16"/>
              </w:rPr>
            </w:pPr>
          </w:p>
        </w:tc>
        <w:tc>
          <w:tcPr>
            <w:tcW w:w="1768" w:type="dxa"/>
            <w:tcBorders>
              <w:left w:val="none" w:sz="0" w:space="0" w:color="auto"/>
              <w:right w:val="none" w:sz="0" w:space="0" w:color="auto"/>
            </w:tcBorders>
          </w:tcPr>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Industrial development management</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Increased water demand for growing people.</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Appropriate inter action of land and water use.</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Fresh water flow decreases in Gorai and Meghna.</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Development of efficient multimodal transportation system.</w:t>
            </w:r>
          </w:p>
          <w:p w:rsidR="003E42A9" w:rsidRPr="005034A8" w:rsidRDefault="003E42A9" w:rsidP="00A631E1">
            <w:pPr>
              <w:pStyle w:val="ListParagraph"/>
              <w:numPr>
                <w:ilvl w:val="0"/>
                <w:numId w:val="34"/>
              </w:numPr>
              <w:spacing w:after="0" w:line="240" w:lineRule="auto"/>
              <w:ind w:left="314" w:hanging="270"/>
              <w:cnfStyle w:val="000000100000"/>
              <w:rPr>
                <w:rFonts w:cstheme="minorHAnsi"/>
                <w:color w:val="auto"/>
                <w:sz w:val="16"/>
                <w:szCs w:val="16"/>
              </w:rPr>
            </w:pPr>
            <w:r w:rsidRPr="005034A8">
              <w:rPr>
                <w:rFonts w:cstheme="minorHAnsi"/>
                <w:color w:val="auto"/>
                <w:sz w:val="16"/>
                <w:szCs w:val="16"/>
              </w:rPr>
              <w:t>Industrial and other point source effluent treatment</w:t>
            </w:r>
          </w:p>
          <w:p w:rsidR="003E42A9" w:rsidRPr="005034A8" w:rsidRDefault="003E42A9" w:rsidP="003E42A9">
            <w:pPr>
              <w:pStyle w:val="ListParagraph"/>
              <w:ind w:left="314"/>
              <w:cnfStyle w:val="000000100000"/>
              <w:rPr>
                <w:rFonts w:cstheme="minorHAnsi"/>
                <w:color w:val="auto"/>
                <w:sz w:val="16"/>
                <w:szCs w:val="16"/>
              </w:rPr>
            </w:pPr>
          </w:p>
          <w:p w:rsidR="003E42A9" w:rsidRPr="005034A8" w:rsidRDefault="003E42A9" w:rsidP="003E42A9">
            <w:pPr>
              <w:cnfStyle w:val="000000100000"/>
              <w:rPr>
                <w:rFonts w:cstheme="minorHAnsi"/>
                <w:color w:val="auto"/>
                <w:sz w:val="16"/>
                <w:szCs w:val="16"/>
              </w:rPr>
            </w:pPr>
          </w:p>
        </w:tc>
        <w:tc>
          <w:tcPr>
            <w:tcW w:w="1711" w:type="dxa"/>
            <w:tcBorders>
              <w:left w:val="none" w:sz="0" w:space="0" w:color="auto"/>
              <w:right w:val="none" w:sz="0" w:space="0" w:color="auto"/>
            </w:tcBorders>
          </w:tcPr>
          <w:p w:rsidR="003E42A9" w:rsidRPr="001A598B" w:rsidRDefault="003E42A9" w:rsidP="003E42A9">
            <w:pPr>
              <w:cnfStyle w:val="000000100000"/>
              <w:rPr>
                <w:rFonts w:cstheme="minorHAnsi"/>
                <w:sz w:val="16"/>
                <w:szCs w:val="16"/>
              </w:rPr>
            </w:pPr>
          </w:p>
        </w:tc>
      </w:tr>
    </w:tbl>
    <w:p w:rsidR="003E42A9" w:rsidRDefault="003E42A9" w:rsidP="003E42A9">
      <w:pPr>
        <w:spacing w:line="0" w:lineRule="atLeast"/>
        <w:ind w:left="4140"/>
        <w:rPr>
          <w:rFonts w:eastAsia="Times New Roman"/>
        </w:rPr>
      </w:pPr>
    </w:p>
    <w:p w:rsidR="003E42A9" w:rsidRDefault="003E42A9" w:rsidP="003E42A9">
      <w:pPr>
        <w:jc w:val="both"/>
        <w:rPr>
          <w:rFonts w:cs="Times New Roman"/>
          <w:szCs w:val="24"/>
        </w:rPr>
      </w:pPr>
      <w:bookmarkStart w:id="228" w:name="page206"/>
      <w:bookmarkEnd w:id="228"/>
      <w:r w:rsidRPr="000A3FB2">
        <w:rPr>
          <w:rFonts w:cs="Times New Roman"/>
          <w:szCs w:val="24"/>
        </w:rPr>
        <w:t xml:space="preserve">Analysis of the problems and challenges of the six BDP hotspots and cross-cutting areas reveals that river flooding is most common in all the regions because of Bangladesh’s geographical location with variable degree and extent. </w:t>
      </w:r>
      <w:r>
        <w:rPr>
          <w:rFonts w:cs="Times New Roman"/>
          <w:szCs w:val="24"/>
        </w:rPr>
        <w:t>Similarly, d</w:t>
      </w:r>
      <w:r w:rsidRPr="000A3FB2">
        <w:rPr>
          <w:rFonts w:cs="Times New Roman"/>
          <w:szCs w:val="24"/>
        </w:rPr>
        <w:t xml:space="preserve">ry season water scarcity is becoming prevalent almost in all the hotspots. Ground water level is depleting </w:t>
      </w:r>
      <w:r w:rsidRPr="000A3FB2">
        <w:rPr>
          <w:rFonts w:cs="Times New Roman"/>
          <w:szCs w:val="24"/>
        </w:rPr>
        <w:lastRenderedPageBreak/>
        <w:t>at an alarming rate</w:t>
      </w:r>
      <w:r>
        <w:rPr>
          <w:rFonts w:cs="Times New Roman"/>
          <w:szCs w:val="24"/>
        </w:rPr>
        <w:t>, generating concern for irrigation and s</w:t>
      </w:r>
      <w:r w:rsidRPr="000A3FB2">
        <w:rPr>
          <w:rFonts w:cs="Times New Roman"/>
          <w:szCs w:val="24"/>
        </w:rPr>
        <w:t>afe drinking water supply. Moreover, both surface and ground w</w:t>
      </w:r>
      <w:r>
        <w:rPr>
          <w:rFonts w:cs="Times New Roman"/>
          <w:szCs w:val="24"/>
        </w:rPr>
        <w:t>ater quality is deteriorating throughout</w:t>
      </w:r>
      <w:r w:rsidRPr="000A3FB2">
        <w:rPr>
          <w:rFonts w:cs="Times New Roman"/>
          <w:szCs w:val="24"/>
        </w:rPr>
        <w:t xml:space="preserve"> the country. Based on the investigation of the problems and issues of the BDP hotspots following </w:t>
      </w:r>
      <w:r>
        <w:rPr>
          <w:rFonts w:cs="Times New Roman"/>
          <w:szCs w:val="24"/>
        </w:rPr>
        <w:t>seven</w:t>
      </w:r>
      <w:r w:rsidRPr="000A3FB2">
        <w:rPr>
          <w:rFonts w:cs="Times New Roman"/>
          <w:szCs w:val="24"/>
        </w:rPr>
        <w:t xml:space="preserve"> crucial water related issues have been identified to be addressed </w:t>
      </w:r>
      <w:r>
        <w:rPr>
          <w:rFonts w:cs="Times New Roman"/>
          <w:szCs w:val="24"/>
        </w:rPr>
        <w:t xml:space="preserve">at National Level due to </w:t>
      </w:r>
      <w:r w:rsidRPr="000A3FB2">
        <w:rPr>
          <w:rFonts w:cs="Times New Roman"/>
          <w:szCs w:val="24"/>
        </w:rPr>
        <w:t xml:space="preserve">cross-cutting nature of the problems, challenges and possible measures. </w:t>
      </w:r>
    </w:p>
    <w:p w:rsidR="003E42A9" w:rsidRPr="000A3FB2" w:rsidRDefault="003E42A9" w:rsidP="00A631E1">
      <w:pPr>
        <w:pStyle w:val="ListParagraph"/>
        <w:numPr>
          <w:ilvl w:val="0"/>
          <w:numId w:val="39"/>
        </w:numPr>
        <w:spacing w:line="276" w:lineRule="auto"/>
        <w:jc w:val="both"/>
        <w:rPr>
          <w:rFonts w:cs="Times New Roman"/>
          <w:szCs w:val="24"/>
        </w:rPr>
      </w:pPr>
      <w:r w:rsidRPr="000A3FB2">
        <w:rPr>
          <w:rFonts w:cs="Times New Roman"/>
          <w:szCs w:val="24"/>
        </w:rPr>
        <w:t>Flood Risk Management</w:t>
      </w:r>
    </w:p>
    <w:p w:rsidR="003E42A9" w:rsidRPr="000A3FB2" w:rsidRDefault="003E42A9" w:rsidP="00A631E1">
      <w:pPr>
        <w:pStyle w:val="ListParagraph"/>
        <w:numPr>
          <w:ilvl w:val="0"/>
          <w:numId w:val="39"/>
        </w:numPr>
        <w:spacing w:line="276" w:lineRule="auto"/>
        <w:jc w:val="both"/>
        <w:rPr>
          <w:rFonts w:cs="Times New Roman"/>
          <w:szCs w:val="24"/>
        </w:rPr>
      </w:pPr>
      <w:r w:rsidRPr="000A3FB2">
        <w:rPr>
          <w:rFonts w:cs="Times New Roman"/>
          <w:szCs w:val="24"/>
        </w:rPr>
        <w:t>Dry Season Water Availability and Irrigation Management</w:t>
      </w:r>
    </w:p>
    <w:p w:rsidR="003E42A9" w:rsidRPr="000A3FB2" w:rsidRDefault="003E42A9" w:rsidP="00A631E1">
      <w:pPr>
        <w:pStyle w:val="ListParagraph"/>
        <w:numPr>
          <w:ilvl w:val="0"/>
          <w:numId w:val="39"/>
        </w:numPr>
        <w:spacing w:line="276" w:lineRule="auto"/>
        <w:jc w:val="both"/>
        <w:rPr>
          <w:rFonts w:cs="Times New Roman"/>
          <w:szCs w:val="24"/>
        </w:rPr>
      </w:pPr>
      <w:r w:rsidRPr="000A3FB2">
        <w:rPr>
          <w:rFonts w:cs="Times New Roman"/>
          <w:szCs w:val="24"/>
        </w:rPr>
        <w:t>River Management</w:t>
      </w:r>
    </w:p>
    <w:p w:rsidR="003E42A9" w:rsidRPr="000A3FB2" w:rsidRDefault="003E42A9" w:rsidP="00A631E1">
      <w:pPr>
        <w:pStyle w:val="ListParagraph"/>
        <w:numPr>
          <w:ilvl w:val="0"/>
          <w:numId w:val="39"/>
        </w:numPr>
        <w:spacing w:line="276" w:lineRule="auto"/>
        <w:jc w:val="both"/>
        <w:rPr>
          <w:rFonts w:cs="Times New Roman"/>
          <w:szCs w:val="24"/>
        </w:rPr>
      </w:pPr>
      <w:r w:rsidRPr="000A3FB2">
        <w:rPr>
          <w:rFonts w:cs="Times New Roman"/>
          <w:szCs w:val="24"/>
        </w:rPr>
        <w:t xml:space="preserve">Coastal Zone Protection and Management </w:t>
      </w:r>
    </w:p>
    <w:p w:rsidR="003E42A9" w:rsidRPr="000A3FB2" w:rsidRDefault="003E42A9" w:rsidP="00A631E1">
      <w:pPr>
        <w:pStyle w:val="ListParagraph"/>
        <w:numPr>
          <w:ilvl w:val="0"/>
          <w:numId w:val="39"/>
        </w:numPr>
        <w:spacing w:line="276" w:lineRule="auto"/>
        <w:jc w:val="both"/>
        <w:rPr>
          <w:rFonts w:cs="Times New Roman"/>
          <w:szCs w:val="24"/>
        </w:rPr>
      </w:pPr>
      <w:r>
        <w:rPr>
          <w:rFonts w:cs="Times New Roman"/>
          <w:szCs w:val="24"/>
        </w:rPr>
        <w:t>Fresh W</w:t>
      </w:r>
      <w:r w:rsidRPr="000A3FB2">
        <w:rPr>
          <w:rFonts w:cs="Times New Roman"/>
          <w:szCs w:val="24"/>
        </w:rPr>
        <w:t>ater Supply</w:t>
      </w:r>
    </w:p>
    <w:p w:rsidR="003E42A9" w:rsidRPr="0008597A" w:rsidRDefault="003E42A9" w:rsidP="00A631E1">
      <w:pPr>
        <w:pStyle w:val="ListParagraph"/>
        <w:numPr>
          <w:ilvl w:val="0"/>
          <w:numId w:val="39"/>
        </w:numPr>
        <w:spacing w:line="276" w:lineRule="auto"/>
        <w:jc w:val="both"/>
        <w:rPr>
          <w:rFonts w:cs="Times New Roman"/>
          <w:szCs w:val="24"/>
        </w:rPr>
      </w:pPr>
      <w:r w:rsidRPr="000A3FB2">
        <w:rPr>
          <w:rFonts w:cs="Times New Roman"/>
          <w:szCs w:val="24"/>
        </w:rPr>
        <w:t>Wetland Protection</w:t>
      </w:r>
    </w:p>
    <w:p w:rsidR="003E42A9" w:rsidRPr="009B04B7" w:rsidRDefault="003E42A9" w:rsidP="003E42A9">
      <w:pPr>
        <w:spacing w:line="276" w:lineRule="auto"/>
        <w:rPr>
          <w:rFonts w:cs="Times New Roman"/>
          <w:b/>
          <w:i/>
        </w:rPr>
      </w:pPr>
      <w:r w:rsidRPr="009B04B7">
        <w:rPr>
          <w:rFonts w:cs="Times New Roman"/>
          <w:b/>
          <w:i/>
        </w:rPr>
        <w:t>Flood Risk Management</w:t>
      </w:r>
    </w:p>
    <w:p w:rsidR="003E42A9" w:rsidRDefault="003E42A9" w:rsidP="003E42A9">
      <w:pPr>
        <w:spacing w:line="276" w:lineRule="auto"/>
        <w:jc w:val="both"/>
        <w:rPr>
          <w:rFonts w:cs="Times New Roman"/>
        </w:rPr>
      </w:pPr>
      <w:r w:rsidRPr="00780E0A">
        <w:rPr>
          <w:rFonts w:cs="Times New Roman"/>
        </w:rPr>
        <w:t>Bangladesh is one of the most flood prone countries in the world. Bangladesh experiences 4 different types of floods which are categorized based on spatiality, timing, intensity and duration into four groups such as flash floods, river floods, rainfed floods and storm surge inundation. Moreover, the floods of Bangladesh can be further classified into two categories based on the frequency and level of  impacts: High frequency floods with local impact (i.e. Flash floods (pre-monsoon); Annual monsoon floods and water logging; Urban flooding (local drainage congestion)) and Low frequency floods with national impact (i.e. River floods (simultaneous rise of rivers &amp; high tide)</w:t>
      </w:r>
      <w:r>
        <w:rPr>
          <w:rFonts w:cs="Times New Roman"/>
        </w:rPr>
        <w:t>)</w:t>
      </w:r>
      <w:r w:rsidRPr="00780E0A">
        <w:rPr>
          <w:rFonts w:cs="Times New Roman"/>
        </w:rPr>
        <w:t xml:space="preserve">; Cyclone-induced tidal floods (pre- and post-monsoon) and Heavy rainfall in combination with high water levels at the </w:t>
      </w:r>
      <w:r>
        <w:rPr>
          <w:rFonts w:cs="Times New Roman"/>
        </w:rPr>
        <w:t>rivers, which prevents drainage</w:t>
      </w:r>
      <w:r w:rsidRPr="00780E0A">
        <w:rPr>
          <w:rFonts w:cs="Times New Roman"/>
        </w:rPr>
        <w:t xml:space="preserve">. </w:t>
      </w:r>
    </w:p>
    <w:p w:rsidR="003E42A9" w:rsidRPr="00703953" w:rsidRDefault="003E42A9" w:rsidP="003E42A9">
      <w:pPr>
        <w:spacing w:line="276" w:lineRule="auto"/>
        <w:jc w:val="both"/>
        <w:rPr>
          <w:rFonts w:cs="Times New Roman"/>
        </w:rPr>
      </w:pPr>
      <w:r w:rsidRPr="00780E0A">
        <w:rPr>
          <w:rFonts w:cs="Times New Roman"/>
        </w:rPr>
        <w:t>Different hotspots and hydrological regions of the country face different types of floods at different period of the year. North West, North Central and South West region is more susceptible to river flooding whereas North East and Eastern Hilly region</w:t>
      </w:r>
      <w:r>
        <w:rPr>
          <w:rFonts w:cs="Times New Roman"/>
        </w:rPr>
        <w:t xml:space="preserve"> as well as </w:t>
      </w:r>
      <w:r w:rsidRPr="00C517CB">
        <w:rPr>
          <w:rFonts w:cs="Times New Roman"/>
        </w:rPr>
        <w:t>North West and North Central</w:t>
      </w:r>
      <w:r>
        <w:rPr>
          <w:rFonts w:cs="Times New Roman"/>
        </w:rPr>
        <w:t xml:space="preserve"> region </w:t>
      </w:r>
      <w:r w:rsidRPr="00780E0A">
        <w:rPr>
          <w:rFonts w:cs="Times New Roman"/>
        </w:rPr>
        <w:t xml:space="preserve">is vulnerable to flash floods </w:t>
      </w:r>
      <w:r w:rsidRPr="00780E0A">
        <w:rPr>
          <w:rFonts w:cs="Times New Roman"/>
          <w:color w:val="000000"/>
        </w:rPr>
        <w:t>(in April-May and September-November)</w:t>
      </w:r>
      <w:r w:rsidRPr="00780E0A">
        <w:rPr>
          <w:rFonts w:cs="Times New Roman"/>
        </w:rPr>
        <w:t>.  Rain fed flooding generally occurs in many parts of the country but is mainly prevalent in the South Western part of the country.  Coastal flood mostly occurs along the coastal areas of Bangladesh. Floods are annual events and generally have different return periods. More devastating flood reoccurs with more return periods. Approximately 20%, 30%, 37%, 43%, 52% and 68% of the country is inundated with floods of return periods of 2, 5,  10, 20, 50 and 10</w:t>
      </w:r>
      <w:r>
        <w:rPr>
          <w:rFonts w:cs="Times New Roman"/>
        </w:rPr>
        <w:t>0 years respectively (MPO, 1986)</w:t>
      </w:r>
      <w:r w:rsidRPr="00780E0A">
        <w:rPr>
          <w:rFonts w:cs="Times New Roman"/>
        </w:rPr>
        <w:t xml:space="preserve">. The </w:t>
      </w:r>
      <w:r w:rsidRPr="00277607">
        <w:rPr>
          <w:rFonts w:cs="Times New Roman"/>
        </w:rPr>
        <w:t>temporal and spatial extent</w:t>
      </w:r>
      <w:r w:rsidR="00A1679C">
        <w:rPr>
          <w:rFonts w:cs="Times New Roman"/>
        </w:rPr>
        <w:t>s</w:t>
      </w:r>
      <w:r w:rsidRPr="00277607">
        <w:rPr>
          <w:rFonts w:cs="Times New Roman"/>
        </w:rPr>
        <w:t xml:space="preserve"> of floods are</w:t>
      </w:r>
      <w:r>
        <w:rPr>
          <w:rFonts w:cs="Times New Roman"/>
        </w:rPr>
        <w:t xml:space="preserve"> shown in Table 4.2 and Map 4.1.</w:t>
      </w:r>
    </w:p>
    <w:p w:rsidR="003E42A9" w:rsidRDefault="003E42A9">
      <w:bookmarkStart w:id="229" w:name="_Toc463603648"/>
      <w:r>
        <w:br w:type="page"/>
      </w:r>
    </w:p>
    <w:p w:rsidR="003E42A9" w:rsidRDefault="003E42A9" w:rsidP="003E42A9">
      <w:pPr>
        <w:pStyle w:val="Heading4"/>
      </w:pPr>
      <w:bookmarkStart w:id="230" w:name="_Toc474639026"/>
      <w:r>
        <w:lastRenderedPageBreak/>
        <w:t>Table 4.2: Flood C</w:t>
      </w:r>
      <w:r w:rsidRPr="00780E0A">
        <w:t>alendar of Bangladesh</w:t>
      </w:r>
      <w:bookmarkEnd w:id="229"/>
      <w:bookmarkEnd w:id="230"/>
    </w:p>
    <w:p w:rsidR="003E42A9" w:rsidRDefault="003E42A9" w:rsidP="003E42A9">
      <w:pPr>
        <w:spacing w:line="0" w:lineRule="atLeast"/>
        <w:rPr>
          <w:rFonts w:eastAsia="Times New Roman"/>
          <w:b/>
        </w:rPr>
      </w:pPr>
      <w:r>
        <w:rPr>
          <w:noProof/>
          <w:lang w:val="en-AU" w:eastAsia="en-AU" w:bidi="bn-BD"/>
        </w:rPr>
        <w:drawing>
          <wp:inline distT="0" distB="0" distL="0" distR="0">
            <wp:extent cx="5410200" cy="3716020"/>
            <wp:effectExtent l="0" t="0" r="0" b="0"/>
            <wp:docPr id="15"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814" b="13023"/>
                    <a:stretch>
                      <a:fillRect/>
                    </a:stretch>
                  </pic:blipFill>
                  <pic:spPr bwMode="auto">
                    <a:xfrm>
                      <a:off x="0" y="0"/>
                      <a:ext cx="5423350" cy="3725052"/>
                    </a:xfrm>
                    <a:prstGeom prst="rect">
                      <a:avLst/>
                    </a:prstGeom>
                    <a:noFill/>
                  </pic:spPr>
                </pic:pic>
              </a:graphicData>
            </a:graphic>
          </wp:inline>
        </w:drawing>
      </w:r>
    </w:p>
    <w:p w:rsidR="003E42A9" w:rsidRPr="00B4665A" w:rsidRDefault="003E42A9" w:rsidP="003E42A9">
      <w:pPr>
        <w:rPr>
          <w:b/>
          <w:i/>
          <w:sz w:val="20"/>
        </w:rPr>
      </w:pPr>
      <w:r w:rsidRPr="00B4665A">
        <w:rPr>
          <w:b/>
          <w:i/>
          <w:sz w:val="20"/>
        </w:rPr>
        <w:t xml:space="preserve">Source: </w:t>
      </w:r>
      <w:r>
        <w:rPr>
          <w:b/>
          <w:i/>
          <w:sz w:val="20"/>
        </w:rPr>
        <w:t xml:space="preserve">Based on </w:t>
      </w:r>
      <w:r w:rsidRPr="00B4665A">
        <w:rPr>
          <w:b/>
          <w:i/>
          <w:sz w:val="20"/>
        </w:rPr>
        <w:t>Flood Response Plan, 2014</w:t>
      </w:r>
      <w:r>
        <w:rPr>
          <w:b/>
          <w:i/>
          <w:sz w:val="20"/>
        </w:rPr>
        <w:t>and expert judgement</w:t>
      </w:r>
    </w:p>
    <w:p w:rsidR="003E42A9" w:rsidRDefault="003E42A9" w:rsidP="003E42A9">
      <w:pPr>
        <w:rPr>
          <w:rFonts w:cs="Times New Roman"/>
          <w:b/>
          <w:noProof/>
        </w:rPr>
      </w:pPr>
      <w:r>
        <w:rPr>
          <w:rFonts w:cs="Times New Roman"/>
          <w:b/>
          <w:noProof/>
        </w:rPr>
        <w:br w:type="page"/>
      </w:r>
    </w:p>
    <w:p w:rsidR="003E42A9" w:rsidRPr="00147A70" w:rsidRDefault="003E42A9" w:rsidP="003E42A9">
      <w:pPr>
        <w:pStyle w:val="Heading6"/>
      </w:pPr>
      <w:bookmarkStart w:id="231" w:name="_Toc463529053"/>
      <w:bookmarkStart w:id="232" w:name="_Toc474639317"/>
      <w:r>
        <w:rPr>
          <w:noProof/>
        </w:rPr>
        <w:lastRenderedPageBreak/>
        <w:t>Map</w:t>
      </w:r>
      <w:r w:rsidR="00C12815">
        <w:rPr>
          <w:noProof/>
        </w:rPr>
        <w:t xml:space="preserve"> </w:t>
      </w:r>
      <w:r>
        <w:rPr>
          <w:noProof/>
        </w:rPr>
        <w:t>4.1</w:t>
      </w:r>
      <w:r w:rsidRPr="00147A70">
        <w:rPr>
          <w:noProof/>
        </w:rPr>
        <w:t>: Spatial Extent of different types of floods in Bangladesh</w:t>
      </w:r>
      <w:bookmarkEnd w:id="231"/>
      <w:bookmarkEnd w:id="232"/>
    </w:p>
    <w:p w:rsidR="003E42A9" w:rsidRPr="00F76971" w:rsidRDefault="003E42A9" w:rsidP="003E42A9">
      <w:pPr>
        <w:spacing w:after="120"/>
        <w:jc w:val="center"/>
      </w:pPr>
      <w:r>
        <w:rPr>
          <w:noProof/>
          <w:lang w:val="en-AU" w:eastAsia="en-AU" w:bidi="bn-BD"/>
        </w:rPr>
        <w:drawing>
          <wp:inline distT="0" distB="0" distL="0" distR="0">
            <wp:extent cx="4590415" cy="6296660"/>
            <wp:effectExtent l="38100" t="19050" r="19685" b="279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Untitled-1.jpg"/>
                    <pic:cNvPicPr/>
                  </pic:nvPicPr>
                  <pic:blipFill>
                    <a:blip r:embed="rId82"/>
                    <a:srcRect t="2937"/>
                    <a:stretch>
                      <a:fillRect/>
                    </a:stretch>
                  </pic:blipFill>
                  <pic:spPr>
                    <a:xfrm>
                      <a:off x="0" y="0"/>
                      <a:ext cx="4590415" cy="6296660"/>
                    </a:xfrm>
                    <a:prstGeom prst="rect">
                      <a:avLst/>
                    </a:prstGeom>
                    <a:ln w="12700">
                      <a:solidFill>
                        <a:schemeClr val="tx1"/>
                      </a:solidFill>
                    </a:ln>
                  </pic:spPr>
                </pic:pic>
              </a:graphicData>
            </a:graphic>
          </wp:inline>
        </w:drawing>
      </w:r>
    </w:p>
    <w:p w:rsidR="003E42A9" w:rsidRDefault="003E42A9" w:rsidP="003E42A9">
      <w:pPr>
        <w:rPr>
          <w:rFonts w:cs="Times New Roman"/>
          <w:i/>
          <w:sz w:val="20"/>
        </w:rPr>
      </w:pPr>
      <w:r w:rsidRPr="00E826FF">
        <w:rPr>
          <w:rFonts w:cs="Times New Roman"/>
          <w:b/>
          <w:i/>
          <w:noProof/>
          <w:sz w:val="20"/>
        </w:rPr>
        <w:t>S</w:t>
      </w:r>
      <w:r>
        <w:rPr>
          <w:rFonts w:cs="Times New Roman"/>
          <w:b/>
          <w:i/>
          <w:noProof/>
          <w:sz w:val="20"/>
        </w:rPr>
        <w:t xml:space="preserve">ource: </w:t>
      </w:r>
      <w:r w:rsidRPr="001731BC">
        <w:rPr>
          <w:rFonts w:cs="Times New Roman"/>
          <w:b/>
          <w:i/>
          <w:noProof/>
          <w:sz w:val="20"/>
        </w:rPr>
        <w:t>BDP 2100  Background studies</w:t>
      </w:r>
    </w:p>
    <w:p w:rsidR="003E42A9" w:rsidRPr="009B04B7" w:rsidRDefault="003E42A9" w:rsidP="003E42A9">
      <w:pPr>
        <w:spacing w:line="276" w:lineRule="auto"/>
        <w:rPr>
          <w:rFonts w:cs="Times New Roman"/>
          <w:b/>
          <w:i/>
        </w:rPr>
      </w:pPr>
      <w:r w:rsidRPr="009B04B7">
        <w:rPr>
          <w:rFonts w:cs="Times New Roman"/>
          <w:b/>
          <w:i/>
        </w:rPr>
        <w:t>Dry Season Water Availability and Irrigation Management</w:t>
      </w:r>
    </w:p>
    <w:p w:rsidR="003E42A9" w:rsidRPr="005D4BA7" w:rsidRDefault="003E42A9" w:rsidP="003E42A9">
      <w:pPr>
        <w:spacing w:before="120" w:line="276" w:lineRule="auto"/>
        <w:jc w:val="both"/>
        <w:rPr>
          <w:rFonts w:cs="Times New Roman"/>
          <w:szCs w:val="24"/>
        </w:rPr>
      </w:pPr>
      <w:r w:rsidRPr="005D4BA7">
        <w:rPr>
          <w:rFonts w:cs="Times New Roman"/>
          <w:szCs w:val="24"/>
        </w:rPr>
        <w:t xml:space="preserve">At the National level, agriculture provides employment to approximately </w:t>
      </w:r>
      <w:r w:rsidR="00585FD9" w:rsidRPr="005D4BA7">
        <w:rPr>
          <w:rFonts w:cs="Times New Roman"/>
          <w:szCs w:val="24"/>
        </w:rPr>
        <w:t>4</w:t>
      </w:r>
      <w:r w:rsidR="00585FD9">
        <w:rPr>
          <w:rFonts w:cs="Times New Roman"/>
          <w:szCs w:val="24"/>
        </w:rPr>
        <w:t>4</w:t>
      </w:r>
      <w:r w:rsidRPr="005D4BA7">
        <w:rPr>
          <w:rFonts w:cs="Times New Roman"/>
          <w:szCs w:val="24"/>
        </w:rPr>
        <w:t xml:space="preserve">%of the population and contributes some </w:t>
      </w:r>
      <w:r w:rsidR="00585FD9" w:rsidRPr="005D4BA7">
        <w:rPr>
          <w:rFonts w:cs="Times New Roman"/>
          <w:szCs w:val="24"/>
        </w:rPr>
        <w:t>1</w:t>
      </w:r>
      <w:r w:rsidR="00585FD9">
        <w:rPr>
          <w:rFonts w:cs="Times New Roman"/>
          <w:szCs w:val="24"/>
        </w:rPr>
        <w:t>5.33</w:t>
      </w:r>
      <w:r w:rsidRPr="005D4BA7">
        <w:rPr>
          <w:rFonts w:cs="Times New Roman"/>
          <w:szCs w:val="24"/>
        </w:rPr>
        <w:t>% to the GDP. Water availability and habitat quality, especially in the dry season, and water quality, notably sa</w:t>
      </w:r>
      <w:r>
        <w:rPr>
          <w:rFonts w:cs="Times New Roman"/>
          <w:szCs w:val="24"/>
        </w:rPr>
        <w:t>linity, are key issues for the a</w:t>
      </w:r>
      <w:r w:rsidRPr="005D4BA7">
        <w:rPr>
          <w:rFonts w:cs="Times New Roman"/>
          <w:szCs w:val="24"/>
        </w:rPr>
        <w:t xml:space="preserve">griculture sector. Agriculture sector is already under pressure both from huge and </w:t>
      </w:r>
      <w:r w:rsidRPr="005D4BA7">
        <w:rPr>
          <w:rFonts w:cs="Times New Roman"/>
          <w:szCs w:val="24"/>
        </w:rPr>
        <w:lastRenderedPageBreak/>
        <w:t xml:space="preserve">increasing demands for food, and from problems of agricultural land and water resources depletion. In addition to this, the impacts of climate change on food production are national as well as global concerns. Bangladesh needs to increase the rice yield in order to meet the growing demand for food emanating from population growth. Most of these droughts primarily occurred in pre-monsoon and post-monsoon seasons, but in some extreme cases the pre-monsoon droughts have extended in monsoon season due to delayed onset of the monsoon rains. The southwest and northwest regions of the country are </w:t>
      </w:r>
      <w:r>
        <w:rPr>
          <w:rFonts w:cs="Times New Roman"/>
          <w:szCs w:val="24"/>
        </w:rPr>
        <w:t>most vulnerable to drought</w:t>
      </w:r>
      <w:r w:rsidRPr="005D4BA7">
        <w:rPr>
          <w:rFonts w:cs="Times New Roman"/>
          <w:szCs w:val="24"/>
        </w:rPr>
        <w:t xml:space="preserve">. </w:t>
      </w:r>
    </w:p>
    <w:p w:rsidR="003E42A9" w:rsidRDefault="003E42A9" w:rsidP="003E42A9">
      <w:pPr>
        <w:spacing w:line="276" w:lineRule="auto"/>
        <w:jc w:val="both"/>
        <w:rPr>
          <w:rFonts w:cs="Times New Roman"/>
          <w:szCs w:val="24"/>
        </w:rPr>
      </w:pPr>
      <w:r w:rsidRPr="005D4BA7">
        <w:rPr>
          <w:rFonts w:eastAsiaTheme="minorEastAsia" w:cs="Times New Roman"/>
          <w:szCs w:val="24"/>
        </w:rPr>
        <w:t>In Bangladesh, drought is normally defined in terms of drought and severe drought, expressed as number of days without rainfall (10, 20 days</w:t>
      </w:r>
      <w:r w:rsidR="00585FD9">
        <w:rPr>
          <w:rFonts w:eastAsiaTheme="minorEastAsia" w:cs="Times New Roman"/>
          <w:szCs w:val="24"/>
        </w:rPr>
        <w:t>, respectively</w:t>
      </w:r>
      <w:r w:rsidRPr="005D4BA7">
        <w:rPr>
          <w:rFonts w:eastAsiaTheme="minorEastAsia" w:cs="Times New Roman"/>
          <w:szCs w:val="24"/>
        </w:rPr>
        <w:t>). Moreover, it is important to further distinguish seasonal drought, even in the monsoon season, when overall rainfall is abundant and exceeds crop water requirements. Three types of droughts occur during the monsoon season: early-season, mid-season, and end of -season. Early-season droughts are due to delayed onset or early breaks in monsoon rainfall. This is particularly relevan</w:t>
      </w:r>
      <w:r>
        <w:rPr>
          <w:rFonts w:eastAsiaTheme="minorEastAsia" w:cs="Times New Roman"/>
          <w:szCs w:val="24"/>
        </w:rPr>
        <w:t>t in the Barind. T</w:t>
      </w:r>
      <w:r w:rsidRPr="005D4BA7">
        <w:rPr>
          <w:rFonts w:eastAsiaTheme="minorEastAsia" w:cs="Times New Roman"/>
          <w:szCs w:val="24"/>
        </w:rPr>
        <w:t>he o</w:t>
      </w:r>
      <w:r w:rsidRPr="005D4BA7">
        <w:rPr>
          <w:rFonts w:cs="Times New Roman"/>
          <w:szCs w:val="24"/>
        </w:rPr>
        <w:t xml:space="preserve">nset of the pre-monsoon season, upon which farmers decide to start ‘Aus’ rice </w:t>
      </w:r>
      <w:r w:rsidR="00585FD9" w:rsidRPr="005D4BA7">
        <w:rPr>
          <w:rFonts w:cs="Times New Roman"/>
          <w:szCs w:val="24"/>
        </w:rPr>
        <w:t>cultivation</w:t>
      </w:r>
      <w:r w:rsidRPr="005D4BA7">
        <w:rPr>
          <w:rFonts w:cs="Times New Roman"/>
          <w:szCs w:val="24"/>
        </w:rPr>
        <w:t xml:space="preserve"> varies widely from year to year. A break in the pre-monsoon season may therefore lead to crop loss or complete crop failure. Mid-season droughts are caused by intermittent, short or extended dry spells. End of season droughts are caused by early withdrawal of monsoon rainfall, affecting the ‘Aman’ rice crop. High Yielding Varieties are particular</w:t>
      </w:r>
      <w:r>
        <w:rPr>
          <w:rFonts w:cs="Times New Roman"/>
          <w:szCs w:val="24"/>
        </w:rPr>
        <w:t>ly sensitive to these droughts.</w:t>
      </w:r>
    </w:p>
    <w:p w:rsidR="003E42A9" w:rsidRDefault="003E42A9" w:rsidP="003E42A9">
      <w:pPr>
        <w:spacing w:line="276" w:lineRule="auto"/>
        <w:jc w:val="both"/>
        <w:rPr>
          <w:rFonts w:cs="Times New Roman"/>
          <w:szCs w:val="24"/>
        </w:rPr>
      </w:pPr>
      <w:r>
        <w:rPr>
          <w:rFonts w:cs="Times New Roman"/>
          <w:szCs w:val="24"/>
        </w:rPr>
        <w:t xml:space="preserve">In recent years, the rapid adoption of mechanized tube well technology in the Barind region based on the government’s Barind Area Development Programme along with other many mega projects in last six decades (e.g. </w:t>
      </w:r>
      <w:r w:rsidRPr="00342B94">
        <w:rPr>
          <w:rFonts w:cs="Times New Roman"/>
          <w:szCs w:val="24"/>
        </w:rPr>
        <w:t>Thakurgaon Deep Tube Well Pilot Project</w:t>
      </w:r>
      <w:r>
        <w:rPr>
          <w:rFonts w:cs="Times New Roman"/>
          <w:szCs w:val="24"/>
        </w:rPr>
        <w:t xml:space="preserve">) has changed the rural landscape of the region with a diversified crop of different varieties of rice, fruits and vegetables.  Yet, the issue of the sustainability of this strategy has come to the fore owing to rapid depletion of groundwater with little sources of water recharge. This water recharge issue of the Barind and drought-prone hotspot is a critical development challenge for the Delta Plan.  </w:t>
      </w:r>
    </w:p>
    <w:p w:rsidR="003E42A9" w:rsidRPr="009B04B7" w:rsidRDefault="003E42A9" w:rsidP="003E42A9">
      <w:pPr>
        <w:spacing w:line="276" w:lineRule="auto"/>
        <w:jc w:val="both"/>
        <w:rPr>
          <w:rFonts w:cs="Times New Roman"/>
          <w:b/>
          <w:i/>
          <w:szCs w:val="24"/>
        </w:rPr>
      </w:pPr>
      <w:r w:rsidRPr="009B04B7">
        <w:rPr>
          <w:rFonts w:cs="Times New Roman"/>
          <w:b/>
          <w:i/>
          <w:szCs w:val="24"/>
        </w:rPr>
        <w:t>River Management</w:t>
      </w:r>
    </w:p>
    <w:p w:rsidR="003E42A9" w:rsidRDefault="003E42A9" w:rsidP="003E42A9">
      <w:pPr>
        <w:spacing w:line="276" w:lineRule="auto"/>
        <w:jc w:val="both"/>
        <w:rPr>
          <w:rFonts w:cstheme="minorHAnsi"/>
          <w:color w:val="000000" w:themeColor="text1"/>
        </w:rPr>
      </w:pPr>
      <w:r w:rsidRPr="00F15838">
        <w:rPr>
          <w:rFonts w:cstheme="minorHAnsi"/>
        </w:rPr>
        <w:t>Most of the water-related challenges in Bangladesh are someho</w:t>
      </w:r>
      <w:r>
        <w:rPr>
          <w:rFonts w:cstheme="minorHAnsi"/>
        </w:rPr>
        <w:t xml:space="preserve">w related to the mighty rivers </w:t>
      </w:r>
      <w:r w:rsidRPr="00F15838">
        <w:rPr>
          <w:rFonts w:cstheme="minorHAnsi"/>
        </w:rPr>
        <w:t xml:space="preserve">that are both a blessing and a threat to its society and </w:t>
      </w:r>
      <w:r w:rsidR="002E04F3" w:rsidRPr="00F15838">
        <w:rPr>
          <w:rFonts w:cstheme="minorHAnsi"/>
        </w:rPr>
        <w:t>economy. Reduction</w:t>
      </w:r>
      <w:r w:rsidRPr="00F15838">
        <w:rPr>
          <w:rFonts w:cstheme="minorHAnsi"/>
        </w:rPr>
        <w:t xml:space="preserve"> of dry season flows in Bangladesh due to increasing upstream withdrawal is causing severe water shortage across the country and in the South West region in particular. Only 15% of the total transboundary flow i.e. 148 BCM is available during the </w:t>
      </w:r>
      <w:r>
        <w:rPr>
          <w:rFonts w:cstheme="minorHAnsi"/>
        </w:rPr>
        <w:t>dry season</w:t>
      </w:r>
      <w:r w:rsidRPr="00F15838">
        <w:rPr>
          <w:rFonts w:cstheme="minorHAnsi"/>
        </w:rPr>
        <w:t xml:space="preserve"> </w:t>
      </w:r>
      <w:r>
        <w:rPr>
          <w:rFonts w:cstheme="minorHAnsi"/>
        </w:rPr>
        <w:t xml:space="preserve">(Mac Kirby, 2014) </w:t>
      </w:r>
      <w:r w:rsidRPr="00F15838">
        <w:rPr>
          <w:rFonts w:cstheme="minorHAnsi"/>
        </w:rPr>
        <w:t>where only 1% (11 BCM) of the total flow is received in the critical month of February</w:t>
      </w:r>
      <w:r>
        <w:rPr>
          <w:rFonts w:cstheme="minorHAnsi"/>
        </w:rPr>
        <w:t xml:space="preserve"> (Ahmed &amp; Roy, 2004)</w:t>
      </w:r>
      <w:r w:rsidRPr="00F15838">
        <w:rPr>
          <w:rFonts w:cstheme="minorHAnsi"/>
        </w:rPr>
        <w:t>. Reduced stream flow is also accelerating salinity intrusion</w:t>
      </w:r>
      <w:r w:rsidRPr="00F15838">
        <w:rPr>
          <w:rFonts w:cstheme="minorHAnsi"/>
          <w:color w:val="000000" w:themeColor="text1"/>
        </w:rPr>
        <w:t xml:space="preserve"> and environmental degradation. Restoration of major rivers and their offtakes as </w:t>
      </w:r>
      <w:r w:rsidRPr="00F15838">
        <w:rPr>
          <w:rFonts w:cstheme="minorHAnsi"/>
          <w:color w:val="000000" w:themeColor="text1"/>
        </w:rPr>
        <w:lastRenderedPageBreak/>
        <w:t xml:space="preserve">well as enhanced regional cooperation in the </w:t>
      </w:r>
      <w:r w:rsidR="00585FD9">
        <w:rPr>
          <w:rFonts w:cstheme="minorHAnsi"/>
          <w:color w:val="000000" w:themeColor="text1"/>
        </w:rPr>
        <w:t>the Ganges-the Brahmaputra-the Meghna</w:t>
      </w:r>
      <w:r w:rsidR="00585FD9" w:rsidRPr="00F15838">
        <w:rPr>
          <w:rFonts w:cstheme="minorHAnsi"/>
          <w:color w:val="000000" w:themeColor="text1"/>
        </w:rPr>
        <w:t xml:space="preserve"> </w:t>
      </w:r>
      <w:r w:rsidRPr="00F15838">
        <w:rPr>
          <w:rFonts w:cstheme="minorHAnsi"/>
          <w:color w:val="000000" w:themeColor="text1"/>
        </w:rPr>
        <w:t>basin</w:t>
      </w:r>
      <w:r w:rsidR="00585FD9">
        <w:rPr>
          <w:rFonts w:cstheme="minorHAnsi"/>
          <w:color w:val="000000" w:themeColor="text1"/>
        </w:rPr>
        <w:t>s</w:t>
      </w:r>
      <w:r w:rsidRPr="00F15838">
        <w:rPr>
          <w:rFonts w:cstheme="minorHAnsi"/>
          <w:color w:val="000000" w:themeColor="text1"/>
        </w:rPr>
        <w:t xml:space="preserve"> will ensure availability of more flow in dry season. Increased dry season flow will positively affect the entire country. However, these strategy will in particular help to mitigate the negative impacts such as droughts and water scarcity affecting the dry season irrigation initiatives, excessive extraction of ground water and ground water depletion in North-Central Hydrological Region; salinity intrusion of South Central and South West Region and will enhance domestic water supply sources of the North-West Hydrological Region.</w:t>
      </w:r>
    </w:p>
    <w:p w:rsidR="003E42A9" w:rsidRDefault="003E42A9" w:rsidP="003E42A9">
      <w:pPr>
        <w:spacing w:line="276" w:lineRule="auto"/>
        <w:jc w:val="both"/>
        <w:rPr>
          <w:rFonts w:cstheme="minorHAnsi"/>
        </w:rPr>
      </w:pPr>
      <w:r w:rsidRPr="00F15838">
        <w:rPr>
          <w:rFonts w:cstheme="minorHAnsi"/>
        </w:rPr>
        <w:t>With the Main Rivers being the backbone of the country’s hydraulic system, the formulation of a long term strategy for the Main Rivers is of national importance.</w:t>
      </w:r>
    </w:p>
    <w:p w:rsidR="003E42A9" w:rsidRDefault="003E42A9" w:rsidP="003E42A9">
      <w:pPr>
        <w:spacing w:line="276" w:lineRule="auto"/>
        <w:jc w:val="both"/>
        <w:rPr>
          <w:rFonts w:cstheme="minorHAnsi"/>
        </w:rPr>
      </w:pPr>
      <w:r>
        <w:rPr>
          <w:rFonts w:cs="Times New Roman"/>
          <w:b/>
          <w:i/>
          <w:color w:val="000000"/>
          <w:szCs w:val="24"/>
        </w:rPr>
        <w:t>Coastal Zone Protection and Management</w:t>
      </w:r>
      <w:r w:rsidR="00183B06">
        <w:rPr>
          <w:rFonts w:cs="Times New Roman"/>
          <w:b/>
          <w:i/>
          <w:color w:val="000000"/>
          <w:szCs w:val="24"/>
        </w:rPr>
        <w:t>:</w:t>
      </w:r>
      <w:r>
        <w:rPr>
          <w:rFonts w:cs="Times New Roman"/>
          <w:b/>
          <w:i/>
          <w:color w:val="000000"/>
          <w:szCs w:val="24"/>
        </w:rPr>
        <w:t xml:space="preserve"> </w:t>
      </w:r>
      <w:r w:rsidRPr="000D4F3E">
        <w:rPr>
          <w:rFonts w:cstheme="minorHAnsi"/>
        </w:rPr>
        <w:t>The coastal zone covers the south-west, south-central and south-east areas of Bangladesh, which, in its natural state, is often subjected to inundation by high tides, saltwater intrusion, cyclonic storms and associated tidal surges. Most of the coastal areas are protected by coastal polders, however, their long term vulnerability towards climate change induced hazards make them a prime development domain within the delta plan. Water supply for domestic and other purposes is severely restrained, and the coastal zone’s sanitation coverage is below national average. Poor communication, lack of education and health care facilities, prolonged absence of safe drinking water and insufficient cyclone shelters contribute and multiply the dimension of vulnerability. Furthermore, increasing population pressure increases the competition for limited resources. On the other hand</w:t>
      </w:r>
      <w:r w:rsidR="00585FD9">
        <w:rPr>
          <w:rFonts w:cstheme="minorHAnsi"/>
        </w:rPr>
        <w:t>,</w:t>
      </w:r>
      <w:r w:rsidRPr="000D4F3E">
        <w:rPr>
          <w:rFonts w:cstheme="minorHAnsi"/>
        </w:rPr>
        <w:t xml:space="preserve"> the coastal zone of Bangladesh has a tremendous potential to create opportunities of national importance through intensification of agriculture, aqua culture and marine fishery, exploration of gas and oil resources, development of the ship building industry, eco-tourism, renewable energy and deep sea port development.</w:t>
      </w:r>
    </w:p>
    <w:p w:rsidR="003E42A9" w:rsidRPr="008663DA" w:rsidRDefault="003E42A9" w:rsidP="003E42A9">
      <w:pPr>
        <w:spacing w:line="276" w:lineRule="auto"/>
        <w:jc w:val="both"/>
        <w:rPr>
          <w:rFonts w:cstheme="minorHAnsi"/>
        </w:rPr>
      </w:pPr>
      <w:r w:rsidRPr="000D4F3E">
        <w:rPr>
          <w:rFonts w:cstheme="minorHAnsi"/>
        </w:rPr>
        <w:t>In order to control flood and resist salinity intrusion towards agricultural activities, polderisation got started in the 1960s. So far 139 polders</w:t>
      </w:r>
      <w:r w:rsidRPr="000D4F3E">
        <w:rPr>
          <w:rStyle w:val="FootnoteReference"/>
          <w:rFonts w:cstheme="minorHAnsi"/>
        </w:rPr>
        <w:footnoteReference w:id="10"/>
      </w:r>
      <w:r w:rsidRPr="000D4F3E">
        <w:rPr>
          <w:rFonts w:cstheme="minorHAnsi"/>
        </w:rPr>
        <w:t xml:space="preserve"> have been built in the coastal region. In the beginning, polders played significant role as strategic instruments in the management of this Delta through prevention of salinity intrusion in the agricultural lands. But with time, the polders have been dilapidated due to erosion and lack of proper maintenance and it began to affect the coastal rivers’ drainage capacity and siltation in the delta region.  At the polder level, land subsidence and water logging also occurred with time. </w:t>
      </w:r>
      <w:r>
        <w:rPr>
          <w:rFonts w:cstheme="minorHAnsi"/>
        </w:rPr>
        <w:t>T</w:t>
      </w:r>
      <w:r w:rsidRPr="000D4F3E">
        <w:rPr>
          <w:rFonts w:cstheme="minorHAnsi"/>
        </w:rPr>
        <w:t>his impact is further exacerbated by population g</w:t>
      </w:r>
      <w:r>
        <w:rPr>
          <w:rFonts w:cstheme="minorHAnsi"/>
        </w:rPr>
        <w:t>rowth and urbanization</w:t>
      </w:r>
      <w:r w:rsidRPr="000D4F3E">
        <w:rPr>
          <w:rFonts w:cstheme="minorHAnsi"/>
        </w:rPr>
        <w:t>.</w:t>
      </w:r>
    </w:p>
    <w:p w:rsidR="003E42A9" w:rsidRDefault="003E42A9" w:rsidP="003E42A9">
      <w:pPr>
        <w:spacing w:line="276" w:lineRule="auto"/>
        <w:jc w:val="both"/>
        <w:rPr>
          <w:rFonts w:cstheme="minorHAnsi"/>
        </w:rPr>
      </w:pPr>
      <w:r w:rsidRPr="000D4F3E">
        <w:rPr>
          <w:rFonts w:cstheme="minorHAnsi"/>
        </w:rPr>
        <w:lastRenderedPageBreak/>
        <w:t>Moreover, the coastal region, especially the flat and un-protected areas wi</w:t>
      </w:r>
      <w:r>
        <w:rPr>
          <w:rFonts w:cstheme="minorHAnsi"/>
        </w:rPr>
        <w:t xml:space="preserve">ll severely be impacted due to </w:t>
      </w:r>
      <w:r w:rsidRPr="000D4F3E">
        <w:rPr>
          <w:rFonts w:cstheme="minorHAnsi"/>
        </w:rPr>
        <w:t>cyclones and storm surge events and further climate change induced problems like sea level rise, heavy monsoon downpour, availability of fresh water and saltwater ingression. Due to the sea level rise, the salinity frontier of the country will move upstream gradually over the yea</w:t>
      </w:r>
      <w:r>
        <w:rPr>
          <w:rFonts w:cstheme="minorHAnsi"/>
        </w:rPr>
        <w:t>rs</w:t>
      </w:r>
      <w:r w:rsidRPr="000D4F3E">
        <w:rPr>
          <w:rFonts w:cstheme="minorHAnsi"/>
        </w:rPr>
        <w:t xml:space="preserve">. Polders are particularly sensitive to two factors that may be affected by future climate change and sea level rise: changes in the landward boundary and seasonal distribution of saline water and changes to tide levels.  Both of these factors may result from the combined effect of sea-level rise and climate change on intra-polder channel configuration and future water management schemes including possible river flow </w:t>
      </w:r>
      <w:r w:rsidR="002E04F3" w:rsidRPr="000D4F3E">
        <w:rPr>
          <w:rFonts w:cstheme="minorHAnsi"/>
        </w:rPr>
        <w:t>augm</w:t>
      </w:r>
      <w:r w:rsidR="002E04F3">
        <w:rPr>
          <w:rFonts w:cstheme="minorHAnsi"/>
        </w:rPr>
        <w:t>entation</w:t>
      </w:r>
      <w:r w:rsidR="002E04F3" w:rsidRPr="000D4F3E">
        <w:rPr>
          <w:rFonts w:cstheme="minorHAnsi"/>
        </w:rPr>
        <w:t>. Therefore</w:t>
      </w:r>
      <w:r w:rsidRPr="000D4F3E">
        <w:rPr>
          <w:rFonts w:cstheme="minorHAnsi"/>
        </w:rPr>
        <w:t>, the management of all such issues depends greatly on the proper management of the polders concerning storm surge, sea level rise and salinity intrusion.</w:t>
      </w:r>
    </w:p>
    <w:p w:rsidR="003E42A9" w:rsidRDefault="003E42A9" w:rsidP="003E42A9">
      <w:pPr>
        <w:spacing w:line="276" w:lineRule="auto"/>
        <w:jc w:val="both"/>
        <w:rPr>
          <w:rFonts w:cstheme="minorHAnsi"/>
        </w:rPr>
      </w:pPr>
      <w:r w:rsidRPr="009A7B75">
        <w:rPr>
          <w:rFonts w:cstheme="minorHAnsi"/>
        </w:rPr>
        <w:t>Several areas in the coastal zone, especially Western part and Noakhali mainland suffer from extensive and permanent water-logging. The problem of water-logging is severe in the coastal polders, particularly in the Satkhira, Jessore, Khulna, Bagerhat and Noakhali districts. Reasons behind water-logging are complex and differ between regions. Drainage capa</w:t>
      </w:r>
      <w:r>
        <w:rPr>
          <w:rFonts w:cstheme="minorHAnsi"/>
        </w:rPr>
        <w:t>city of the area and peripheral-</w:t>
      </w:r>
      <w:r w:rsidRPr="009A7B75">
        <w:rPr>
          <w:rFonts w:cstheme="minorHAnsi"/>
        </w:rPr>
        <w:t xml:space="preserve">rivers is a main concern and is expected to be heavily impacted in future conditions. Water-logging within the polders, </w:t>
      </w:r>
      <w:r w:rsidR="00585FD9" w:rsidRPr="009A7B75">
        <w:rPr>
          <w:rFonts w:cstheme="minorHAnsi"/>
        </w:rPr>
        <w:t>F</w:t>
      </w:r>
      <w:r w:rsidR="00585FD9">
        <w:rPr>
          <w:rFonts w:cstheme="minorHAnsi"/>
        </w:rPr>
        <w:t>MD</w:t>
      </w:r>
      <w:r w:rsidRPr="009A7B75">
        <w:rPr>
          <w:rFonts w:cstheme="minorHAnsi"/>
        </w:rPr>
        <w:t>I project areas or backswamps lead to unproductive land, large nuisances, health issues and livelihood insecurity for the inhabitants.</w:t>
      </w:r>
    </w:p>
    <w:p w:rsidR="003E42A9" w:rsidRPr="009B04B7" w:rsidRDefault="003E42A9" w:rsidP="003E42A9">
      <w:pPr>
        <w:spacing w:line="276" w:lineRule="auto"/>
        <w:jc w:val="both"/>
        <w:rPr>
          <w:rFonts w:cstheme="minorHAnsi"/>
          <w:b/>
          <w:i/>
        </w:rPr>
      </w:pPr>
      <w:r w:rsidRPr="009B04B7">
        <w:rPr>
          <w:rFonts w:cstheme="minorHAnsi"/>
          <w:b/>
          <w:i/>
        </w:rPr>
        <w:t>Fresh Water Supply</w:t>
      </w:r>
    </w:p>
    <w:p w:rsidR="003E42A9" w:rsidRDefault="003E42A9" w:rsidP="003E42A9">
      <w:pPr>
        <w:spacing w:line="276" w:lineRule="auto"/>
        <w:jc w:val="both"/>
        <w:rPr>
          <w:rFonts w:cstheme="minorHAnsi"/>
          <w:color w:val="000000" w:themeColor="text1"/>
        </w:rPr>
      </w:pPr>
      <w:r w:rsidRPr="00F15838">
        <w:rPr>
          <w:rFonts w:cstheme="minorHAnsi"/>
          <w:color w:val="000000" w:themeColor="text1"/>
        </w:rPr>
        <w:t xml:space="preserve">Access to water is a basic human right and it is a crosscutting issue for sustainable development. </w:t>
      </w:r>
      <w:r w:rsidRPr="00D37201">
        <w:rPr>
          <w:rFonts w:cstheme="minorHAnsi"/>
          <w:color w:val="000000" w:themeColor="text1"/>
        </w:rPr>
        <w:t>Bangladesh is on the road to development, driven by an upcoming industrial sector and the resilience of its population and labour force in the country and abroad. Economic sectors such as agriculture, industries, fisheries and transport depend on the availability of sufficient, clean and reliable fresh water supplies if they want to continue to grow. However, Bangladesh’s</w:t>
      </w:r>
      <w:r w:rsidRPr="00F15838">
        <w:rPr>
          <w:rFonts w:cstheme="minorHAnsi"/>
          <w:color w:val="000000" w:themeColor="text1"/>
        </w:rPr>
        <w:t xml:space="preserve"> water supply system is vulnerable both in terms of quality and quantity. </w:t>
      </w:r>
    </w:p>
    <w:p w:rsidR="003E42A9" w:rsidRPr="00B61FD5" w:rsidRDefault="003E42A9" w:rsidP="003E42A9">
      <w:pPr>
        <w:spacing w:line="276" w:lineRule="auto"/>
        <w:jc w:val="both"/>
      </w:pPr>
      <w:r w:rsidRPr="0008758E">
        <w:t>Salinity</w:t>
      </w:r>
      <w:r w:rsidRPr="002C5329">
        <w:t xml:space="preserve"> in the coastal areas is a normal hazard, but in the South West it has been accentuated by the reduction in dry-season flows entering the Gorai distributary. A reduction in freshwater inflows from the Ganges River, siltation of the tributaries of the Ganges, and siltation of other rivers following the construction of the coastal polder system has resulted in a significant increase in river salinity during the dry season. Salinity in the coastal region increases steadily from December to February, reaching a maximum in late M</w:t>
      </w:r>
      <w:r>
        <w:t>arch and early April</w:t>
      </w:r>
      <w:r w:rsidRPr="002C5329">
        <w:t xml:space="preserve">. Surface water salinity in coastal Bangladesh is </w:t>
      </w:r>
      <w:r w:rsidRPr="002C5329">
        <w:lastRenderedPageBreak/>
        <w:t>also related to salinity of the Bay of Bengal and the circulation pattern of the coastal waters induced by the ocean currents and the tidal currents in the coastal waters</w:t>
      </w:r>
      <w:r w:rsidRPr="002C5329">
        <w:rPr>
          <w:vertAlign w:val="superscript"/>
        </w:rPr>
        <w:footnoteReference w:id="11"/>
      </w:r>
      <w:r w:rsidRPr="002C5329">
        <w:t>.Salinity now reaches as far as Khulna, and affects the supply of both potable water and fresh water for industrial use, particularly for cooling water use. Salinity is also a problem for Chittagong when there are no releases from Kaptai Lake, as the saline front approaches the abstraction point for th</w:t>
      </w:r>
      <w:r>
        <w:t>e city water supply</w:t>
      </w:r>
      <w:r w:rsidRPr="002C5329">
        <w:t>.</w:t>
      </w:r>
    </w:p>
    <w:p w:rsidR="003E42A9" w:rsidRDefault="003E42A9" w:rsidP="003E42A9">
      <w:pPr>
        <w:spacing w:line="276" w:lineRule="auto"/>
        <w:jc w:val="both"/>
        <w:rPr>
          <w:rFonts w:cstheme="minorHAnsi"/>
        </w:rPr>
      </w:pPr>
      <w:r w:rsidRPr="000D4F3E">
        <w:rPr>
          <w:rFonts w:cstheme="minorHAnsi"/>
        </w:rPr>
        <w:t xml:space="preserve">Large areas (mostly western) in the coastal zone suffer from a deficit of freshwater availability, mostly in the dry season. Fresh water supply is severe problem for </w:t>
      </w:r>
      <w:r>
        <w:rPr>
          <w:rFonts w:cstheme="minorHAnsi"/>
        </w:rPr>
        <w:t xml:space="preserve">southwestern regions creating </w:t>
      </w:r>
      <w:r w:rsidRPr="000D4F3E">
        <w:rPr>
          <w:rFonts w:cstheme="minorHAnsi"/>
        </w:rPr>
        <w:t>shortages of fresh water for agricultural production (</w:t>
      </w:r>
      <w:r w:rsidR="00585FD9">
        <w:rPr>
          <w:rFonts w:cstheme="minorHAnsi"/>
        </w:rPr>
        <w:t>autonomously</w:t>
      </w:r>
      <w:r w:rsidRPr="000D4F3E">
        <w:rPr>
          <w:rFonts w:cstheme="minorHAnsi"/>
        </w:rPr>
        <w:t xml:space="preserve"> leading to more aquaculture production) as well as for domestic purpose. Projected decreases of transboundary freshwater inflows, sea level rise, as well as possible unprecedented increases in specific demands make freshwater availability an important key issue for the coastal zone. </w:t>
      </w:r>
    </w:p>
    <w:p w:rsidR="003E42A9" w:rsidRDefault="003E42A9" w:rsidP="003E42A9">
      <w:pPr>
        <w:spacing w:line="276" w:lineRule="auto"/>
        <w:jc w:val="both"/>
        <w:rPr>
          <w:rFonts w:cstheme="minorHAnsi"/>
        </w:rPr>
      </w:pPr>
      <w:r w:rsidRPr="000D4F3E">
        <w:rPr>
          <w:rFonts w:cstheme="minorHAnsi"/>
        </w:rPr>
        <w:t>The salinization front in the coastal zone may further move north and eastwards in the Ganges tidal flood</w:t>
      </w:r>
      <w:r w:rsidR="00585FD9">
        <w:rPr>
          <w:rFonts w:cstheme="minorHAnsi"/>
        </w:rPr>
        <w:t>-</w:t>
      </w:r>
      <w:r w:rsidRPr="000D4F3E">
        <w:rPr>
          <w:rFonts w:cstheme="minorHAnsi"/>
        </w:rPr>
        <w:t xml:space="preserve">plain, with unreliable and decreasing Ganges and Brahmaputra (transboundary) dry-season flows. Sea level rise will further aggravate the situation, making the southwest region particular difficult to live in, as well the biodiversity within the Sunderbans being at threat. Increased or more specific (in time and location of) water demands (domestic, industrial, agricultural) will make the situation in the future more difficult. A sustainable coastal freshwater strategy is required for the nation and the coastal zone in specific, in order to improve living conditions, sustain agricultural and aquacultural production, as well maintain environmental sustainability. </w:t>
      </w:r>
    </w:p>
    <w:p w:rsidR="003E42A9" w:rsidRDefault="003E42A9" w:rsidP="003E42A9">
      <w:pPr>
        <w:spacing w:line="276" w:lineRule="auto"/>
        <w:jc w:val="both"/>
        <w:rPr>
          <w:rFonts w:cstheme="minorHAnsi"/>
          <w:color w:val="000000" w:themeColor="text1"/>
        </w:rPr>
      </w:pPr>
      <w:r w:rsidRPr="00F15838">
        <w:rPr>
          <w:rFonts w:cstheme="minorHAnsi"/>
          <w:color w:val="000000" w:themeColor="text1"/>
        </w:rPr>
        <w:t xml:space="preserve">Access to safe drinking water in Bangladesh is limited due to wide spread contamination of arsenic in </w:t>
      </w:r>
      <w:r w:rsidR="002E04F3" w:rsidRPr="00F15838">
        <w:rPr>
          <w:rFonts w:cstheme="minorHAnsi"/>
          <w:color w:val="000000" w:themeColor="text1"/>
        </w:rPr>
        <w:t>groundwater and</w:t>
      </w:r>
      <w:r w:rsidRPr="00F15838">
        <w:rPr>
          <w:rFonts w:cstheme="minorHAnsi"/>
          <w:color w:val="000000" w:themeColor="text1"/>
        </w:rPr>
        <w:t xml:space="preserve"> pollution of surface water. </w:t>
      </w:r>
      <w:r w:rsidRPr="005C7950">
        <w:rPr>
          <w:rFonts w:cstheme="minorHAnsi"/>
          <w:color w:val="000000" w:themeColor="text1"/>
        </w:rPr>
        <w:t>Most of the people in rural areas of Bangladesh depend on groundwater for drinking and in major cities like Dhaka, Khulna, Rajshahi, Barisal, Chittagong and Sylhet; people have piped water supply system.</w:t>
      </w:r>
      <w:r w:rsidRPr="00F15838">
        <w:rPr>
          <w:rFonts w:cstheme="minorHAnsi"/>
          <w:color w:val="000000" w:themeColor="text1"/>
        </w:rPr>
        <w:t xml:space="preserve"> In villages and urban slums people also suffers from lack of water for sanitation that leads to hygiene problems. Besides, there is a huge demand for industrial water uses that are mostly met through surface water sources.  In this scenario a sustainable water supply system for domestic and industrial purpose is necessary throughout the country. Pressure on ground water and natural water sources need to be lessened by incorporating reuse of water in domestic</w:t>
      </w:r>
      <w:r w:rsidR="00585FD9">
        <w:rPr>
          <w:rFonts w:cstheme="minorHAnsi"/>
          <w:color w:val="000000" w:themeColor="text1"/>
        </w:rPr>
        <w:t>,</w:t>
      </w:r>
      <w:r w:rsidRPr="00F15838">
        <w:rPr>
          <w:rFonts w:cstheme="minorHAnsi"/>
          <w:color w:val="000000" w:themeColor="text1"/>
        </w:rPr>
        <w:t xml:space="preserve"> commercial and industrial </w:t>
      </w:r>
      <w:r w:rsidR="00585FD9">
        <w:rPr>
          <w:rFonts w:cstheme="minorHAnsi"/>
          <w:color w:val="000000" w:themeColor="text1"/>
        </w:rPr>
        <w:t>purposes</w:t>
      </w:r>
      <w:r w:rsidRPr="00F15838">
        <w:rPr>
          <w:rFonts w:cstheme="minorHAnsi"/>
          <w:color w:val="000000" w:themeColor="text1"/>
        </w:rPr>
        <w:t>.</w:t>
      </w:r>
      <w:r>
        <w:rPr>
          <w:rFonts w:cstheme="minorHAnsi"/>
          <w:color w:val="000000" w:themeColor="text1"/>
        </w:rPr>
        <w:t xml:space="preserve"> Moreover, </w:t>
      </w:r>
      <w:r w:rsidRPr="005C7950">
        <w:rPr>
          <w:rFonts w:cstheme="minorHAnsi"/>
          <w:color w:val="000000" w:themeColor="text1"/>
        </w:rPr>
        <w:t>the combination of salinity, arsenic, and relative poverty, makes the coastal zone particularly vulnerable.</w:t>
      </w:r>
    </w:p>
    <w:p w:rsidR="003E42A9" w:rsidRDefault="003E42A9" w:rsidP="003E42A9">
      <w:pPr>
        <w:spacing w:line="276" w:lineRule="auto"/>
        <w:jc w:val="both"/>
        <w:rPr>
          <w:rFonts w:cstheme="minorHAnsi"/>
          <w:color w:val="000000" w:themeColor="text1"/>
        </w:rPr>
      </w:pPr>
      <w:r>
        <w:rPr>
          <w:rFonts w:cstheme="minorHAnsi"/>
          <w:color w:val="000000" w:themeColor="text1"/>
        </w:rPr>
        <w:lastRenderedPageBreak/>
        <w:t xml:space="preserve">On the other hand, </w:t>
      </w:r>
      <w:r w:rsidR="00585FD9">
        <w:rPr>
          <w:rFonts w:cstheme="minorHAnsi"/>
          <w:color w:val="000000" w:themeColor="text1"/>
        </w:rPr>
        <w:t xml:space="preserve">both ground and surface water in </w:t>
      </w:r>
      <w:r w:rsidRPr="00F15838">
        <w:rPr>
          <w:rFonts w:cstheme="minorHAnsi"/>
          <w:color w:val="000000" w:themeColor="text1"/>
        </w:rPr>
        <w:t xml:space="preserve">Bangladesh has </w:t>
      </w:r>
      <w:r w:rsidR="00585FD9">
        <w:rPr>
          <w:rFonts w:cstheme="minorHAnsi"/>
          <w:color w:val="000000" w:themeColor="text1"/>
        </w:rPr>
        <w:t xml:space="preserve">become </w:t>
      </w:r>
      <w:r w:rsidRPr="00F15838">
        <w:rPr>
          <w:rFonts w:cstheme="minorHAnsi"/>
          <w:color w:val="000000" w:themeColor="text1"/>
        </w:rPr>
        <w:t xml:space="preserve">susceptible to pollution in various degrees. Ground water of Bangladesh is largely contaminated by arsenic that makes it unsuitable for drinking and the surface water sources like river, canals, and estuaries are being heavily polluted by industrial sources. The major causes of water pollution are related to land based activities, including industrial effluents, agrochemical, faecal pollution and oil and lube spillage. Since the rivers are frequently used as dumps, overall inland surface water quality drops below the permissible limit of Department of Environment (DoE) standards in the dry season whereas it improves in the </w:t>
      </w:r>
      <w:r>
        <w:rPr>
          <w:rFonts w:cstheme="minorHAnsi"/>
          <w:color w:val="000000" w:themeColor="text1"/>
        </w:rPr>
        <w:t>wet/monsoon season</w:t>
      </w:r>
      <w:r w:rsidRPr="00F15838">
        <w:rPr>
          <w:rFonts w:cstheme="minorHAnsi"/>
          <w:color w:val="000000" w:themeColor="text1"/>
        </w:rPr>
        <w:t>.  Most of the major rivers around the big cities like Dhaka, Khulna, Chittagong, Rajshahi, Sylhet; are under severe pollution. Buriganga, Shitlakhya, Rupsha, Karnafuli, Karotoa, Surma</w:t>
      </w:r>
      <w:r>
        <w:rPr>
          <w:rFonts w:cstheme="minorHAnsi"/>
          <w:color w:val="000000" w:themeColor="text1"/>
        </w:rPr>
        <w:t xml:space="preserve"> </w:t>
      </w:r>
      <w:r w:rsidRPr="00F15838">
        <w:rPr>
          <w:rFonts w:cstheme="minorHAnsi"/>
          <w:color w:val="000000" w:themeColor="text1"/>
        </w:rPr>
        <w:t>etc.</w:t>
      </w:r>
      <w:r>
        <w:rPr>
          <w:rFonts w:cstheme="minorHAnsi"/>
          <w:color w:val="000000" w:themeColor="text1"/>
        </w:rPr>
        <w:t xml:space="preserve"> </w:t>
      </w:r>
      <w:r w:rsidRPr="00F15838">
        <w:rPr>
          <w:rFonts w:cstheme="minorHAnsi"/>
          <w:color w:val="000000" w:themeColor="text1"/>
        </w:rPr>
        <w:t xml:space="preserve">rivers water quality has severely degraded and most of them have Dissolved Oxygen below standard level. </w:t>
      </w:r>
      <w:r w:rsidRPr="005C7950">
        <w:rPr>
          <w:rFonts w:cstheme="minorHAnsi"/>
          <w:color w:val="000000" w:themeColor="text1"/>
        </w:rPr>
        <w:t xml:space="preserve">Many of the wetlands at serious environmental risk due to pollution, encroachment, and disconnection between wetlands and the river system, particularly relevant for the North West hydrological region. </w:t>
      </w:r>
    </w:p>
    <w:p w:rsidR="003E42A9" w:rsidRPr="009B04B7" w:rsidRDefault="003E42A9" w:rsidP="00B6696C">
      <w:pPr>
        <w:spacing w:line="276" w:lineRule="auto"/>
        <w:jc w:val="both"/>
        <w:rPr>
          <w:rFonts w:cstheme="minorHAnsi"/>
          <w:b/>
          <w:i/>
          <w:color w:val="000000" w:themeColor="text1"/>
        </w:rPr>
      </w:pPr>
      <w:r w:rsidRPr="009B04B7">
        <w:rPr>
          <w:rFonts w:cstheme="minorHAnsi"/>
          <w:b/>
          <w:i/>
          <w:color w:val="000000" w:themeColor="text1"/>
        </w:rPr>
        <w:t xml:space="preserve">Wetland </w:t>
      </w:r>
      <w:r>
        <w:rPr>
          <w:rFonts w:cstheme="minorHAnsi"/>
          <w:b/>
          <w:i/>
          <w:color w:val="000000" w:themeColor="text1"/>
        </w:rPr>
        <w:t>Conservation</w:t>
      </w:r>
    </w:p>
    <w:p w:rsidR="003E42A9" w:rsidRPr="0008758E" w:rsidRDefault="003E42A9" w:rsidP="003E42A9">
      <w:pPr>
        <w:spacing w:line="276" w:lineRule="auto"/>
        <w:jc w:val="both"/>
        <w:rPr>
          <w:rFonts w:cstheme="minorHAnsi"/>
          <w:color w:val="000000" w:themeColor="text1"/>
        </w:rPr>
      </w:pPr>
      <w:r w:rsidRPr="00F15838">
        <w:rPr>
          <w:rFonts w:eastAsiaTheme="majorEastAsia"/>
        </w:rPr>
        <w:t xml:space="preserve">Wetlands play a crucial role in maintaining the ecological balance of ecosystems, flood management and work as retention basins in the wet season. Wetlands contain very rich components of biodiversity of local, national, and regional significance and it also supports millions of people’s livelihood. </w:t>
      </w:r>
      <w:r w:rsidR="002E04F3" w:rsidRPr="00F15838">
        <w:rPr>
          <w:rFonts w:eastAsiaTheme="majorEastAsia"/>
        </w:rPr>
        <w:t>Wetlands, which are locally called haors, baors</w:t>
      </w:r>
      <w:r w:rsidR="00585FD9">
        <w:rPr>
          <w:rFonts w:eastAsiaTheme="majorEastAsia"/>
        </w:rPr>
        <w:t xml:space="preserve"> (oxbow lake)</w:t>
      </w:r>
      <w:r w:rsidR="002E04F3" w:rsidRPr="00F15838">
        <w:rPr>
          <w:rFonts w:eastAsiaTheme="majorEastAsia"/>
        </w:rPr>
        <w:t>, and beels</w:t>
      </w:r>
      <w:r w:rsidR="00585FD9">
        <w:rPr>
          <w:rFonts w:eastAsiaTheme="majorEastAsia"/>
        </w:rPr>
        <w:t xml:space="preserve"> (depressions)</w:t>
      </w:r>
      <w:r w:rsidR="002E04F3" w:rsidRPr="00F15838">
        <w:rPr>
          <w:rFonts w:eastAsiaTheme="majorEastAsia"/>
        </w:rPr>
        <w:t xml:space="preserve">, are </w:t>
      </w:r>
      <w:r w:rsidR="00947B96">
        <w:rPr>
          <w:rFonts w:eastAsiaTheme="majorEastAsia"/>
        </w:rPr>
        <w:t xml:space="preserve">disappearing </w:t>
      </w:r>
      <w:r w:rsidR="002E04F3" w:rsidRPr="00F15838">
        <w:rPr>
          <w:rFonts w:eastAsiaTheme="majorEastAsia"/>
        </w:rPr>
        <w:t xml:space="preserve">due to population pressure, ill planned infrastructures that prevent wetlands from maintaining their ecological and hydrological functions, etc.  </w:t>
      </w:r>
      <w:r w:rsidRPr="00F15838">
        <w:rPr>
          <w:rFonts w:eastAsiaTheme="majorEastAsia"/>
        </w:rPr>
        <w:t>The total area of wetlands in Bangladesh is estimated to be 7–8 million hectares, or about 50% of i</w:t>
      </w:r>
      <w:r>
        <w:rPr>
          <w:rFonts w:eastAsiaTheme="majorEastAsia"/>
        </w:rPr>
        <w:t>ts total land surface</w:t>
      </w:r>
      <w:r w:rsidRPr="00F15838">
        <w:rPr>
          <w:rFonts w:eastAsiaTheme="majorEastAsia"/>
        </w:rPr>
        <w:t xml:space="preserve">. However wetlands are reducing at an alarming rate and it is important to conserve these wetlands from further </w:t>
      </w:r>
      <w:r w:rsidR="00947B96">
        <w:rPr>
          <w:rFonts w:eastAsiaTheme="majorEastAsia"/>
        </w:rPr>
        <w:t xml:space="preserve">deteriorating. </w:t>
      </w:r>
    </w:p>
    <w:p w:rsidR="00000000" w:rsidRDefault="003E42A9" w:rsidP="003D5A31">
      <w:pPr>
        <w:pStyle w:val="BodyText"/>
        <w:numPr>
          <w:ilvl w:val="2"/>
          <w:numId w:val="141"/>
        </w:numPr>
        <w:spacing w:after="240" w:line="276" w:lineRule="auto"/>
        <w:jc w:val="both"/>
        <w:rPr>
          <w:rFonts w:cs="Times New Roman"/>
          <w:b/>
          <w:szCs w:val="24"/>
        </w:rPr>
      </w:pPr>
      <w:r w:rsidRPr="00B46F8C">
        <w:rPr>
          <w:rFonts w:cs="Times New Roman"/>
          <w:b/>
          <w:szCs w:val="24"/>
        </w:rPr>
        <w:t>Institutional Capacity and Coordination</w:t>
      </w:r>
      <w:r w:rsidR="00A1679C">
        <w:rPr>
          <w:rStyle w:val="FootnoteReference"/>
          <w:rFonts w:cs="Times New Roman"/>
          <w:b/>
          <w:szCs w:val="24"/>
        </w:rPr>
        <w:footnoteReference w:id="12"/>
      </w:r>
    </w:p>
    <w:p w:rsidR="003E42A9" w:rsidRPr="000A3FB2" w:rsidRDefault="003E42A9" w:rsidP="003E42A9">
      <w:pPr>
        <w:spacing w:line="276" w:lineRule="auto"/>
        <w:jc w:val="both"/>
        <w:rPr>
          <w:rFonts w:cs="Times New Roman"/>
          <w:szCs w:val="24"/>
        </w:rPr>
      </w:pPr>
      <w:r w:rsidRPr="000A3FB2">
        <w:rPr>
          <w:rFonts w:cs="Times New Roman"/>
          <w:szCs w:val="24"/>
        </w:rPr>
        <w:t xml:space="preserve">MoWR is the apex body of the Government for the development and management of water resources of the country. WARPO is responsible for national water resources planning and centrally coordinating and monitoring the implementation of the </w:t>
      </w:r>
      <w:r w:rsidR="00947B96">
        <w:rPr>
          <w:rFonts w:cs="Times New Roman"/>
          <w:szCs w:val="24"/>
        </w:rPr>
        <w:t>NWMP</w:t>
      </w:r>
      <w:r w:rsidRPr="000A3FB2">
        <w:rPr>
          <w:rFonts w:cs="Times New Roman"/>
          <w:szCs w:val="24"/>
        </w:rPr>
        <w:t xml:space="preserve"> while BWDBis the national organization mandated for sustainable management and development of the country’s water resources</w:t>
      </w:r>
      <w:r w:rsidR="00947B96">
        <w:rPr>
          <w:rFonts w:cs="Times New Roman"/>
          <w:szCs w:val="24"/>
        </w:rPr>
        <w:t>.</w:t>
      </w:r>
      <w:r w:rsidRPr="000A3FB2">
        <w:rPr>
          <w:rFonts w:cs="Times New Roman"/>
          <w:szCs w:val="24"/>
        </w:rPr>
        <w:t xml:space="preserve"> However, the country has more than 35 central government organizations, affiliated with about 13 </w:t>
      </w:r>
      <w:r w:rsidR="00947B96">
        <w:rPr>
          <w:rFonts w:cs="Times New Roman"/>
          <w:szCs w:val="24"/>
        </w:rPr>
        <w:t>M</w:t>
      </w:r>
      <w:r w:rsidR="00947B96" w:rsidRPr="000A3FB2">
        <w:rPr>
          <w:rFonts w:cs="Times New Roman"/>
          <w:szCs w:val="24"/>
        </w:rPr>
        <w:t>inistries</w:t>
      </w:r>
      <w:r w:rsidR="00947B96">
        <w:rPr>
          <w:rFonts w:cs="Times New Roman"/>
          <w:szCs w:val="24"/>
        </w:rPr>
        <w:t>/Divisions</w:t>
      </w:r>
      <w:r w:rsidRPr="000A3FB2">
        <w:rPr>
          <w:rFonts w:cs="Times New Roman"/>
          <w:szCs w:val="24"/>
        </w:rPr>
        <w:t xml:space="preserve">, which are functioning for water sector planning, development and management, with several large, medium and small water management projects to offer </w:t>
      </w:r>
      <w:r w:rsidR="00947B96">
        <w:rPr>
          <w:rFonts w:cs="Times New Roman"/>
          <w:szCs w:val="24"/>
        </w:rPr>
        <w:t>i</w:t>
      </w:r>
      <w:r w:rsidR="00947B96" w:rsidRPr="000A3FB2">
        <w:rPr>
          <w:rFonts w:cs="Times New Roman"/>
          <w:szCs w:val="24"/>
        </w:rPr>
        <w:t>rrigation</w:t>
      </w:r>
      <w:r w:rsidRPr="000A3FB2">
        <w:rPr>
          <w:rFonts w:cs="Times New Roman"/>
          <w:szCs w:val="24"/>
        </w:rPr>
        <w:t xml:space="preserve">, </w:t>
      </w:r>
      <w:r w:rsidR="00947B96">
        <w:rPr>
          <w:rFonts w:cs="Times New Roman"/>
          <w:szCs w:val="24"/>
        </w:rPr>
        <w:t>f</w:t>
      </w:r>
      <w:r w:rsidR="00947B96" w:rsidRPr="000A3FB2">
        <w:rPr>
          <w:rFonts w:cs="Times New Roman"/>
          <w:szCs w:val="24"/>
        </w:rPr>
        <w:t xml:space="preserve">lood </w:t>
      </w:r>
      <w:r w:rsidR="00947B96">
        <w:rPr>
          <w:rFonts w:cs="Times New Roman"/>
          <w:szCs w:val="24"/>
        </w:rPr>
        <w:lastRenderedPageBreak/>
        <w:t>management</w:t>
      </w:r>
      <w:r w:rsidR="00947B96" w:rsidRPr="000A3FB2">
        <w:rPr>
          <w:rFonts w:cs="Times New Roman"/>
          <w:szCs w:val="24"/>
        </w:rPr>
        <w:t xml:space="preserve"> </w:t>
      </w:r>
      <w:r w:rsidRPr="000A3FB2">
        <w:rPr>
          <w:rFonts w:cs="Times New Roman"/>
          <w:szCs w:val="24"/>
        </w:rPr>
        <w:t xml:space="preserve">and </w:t>
      </w:r>
      <w:r w:rsidR="00947B96">
        <w:rPr>
          <w:rFonts w:cs="Times New Roman"/>
          <w:szCs w:val="24"/>
        </w:rPr>
        <w:t>d</w:t>
      </w:r>
      <w:r w:rsidR="00947B96" w:rsidRPr="000A3FB2">
        <w:rPr>
          <w:rFonts w:cs="Times New Roman"/>
          <w:szCs w:val="24"/>
        </w:rPr>
        <w:t>rainage</w:t>
      </w:r>
      <w:r w:rsidRPr="000A3FB2">
        <w:rPr>
          <w:rFonts w:cs="Times New Roman"/>
          <w:szCs w:val="24"/>
        </w:rPr>
        <w:t>. The capacities of most of these organizations in terms of manpower, technical knowledge, budget etc. are not sufficient to undertake their mandated tasks as well as increased scope of work considering the existing problems and future challenges.</w:t>
      </w:r>
      <w:r w:rsidR="00947B96">
        <w:rPr>
          <w:rFonts w:cs="Times New Roman"/>
          <w:szCs w:val="24"/>
        </w:rPr>
        <w:t xml:space="preserve"> </w:t>
      </w:r>
      <w:r w:rsidRPr="000A3FB2">
        <w:rPr>
          <w:rFonts w:cs="Times New Roman"/>
          <w:szCs w:val="24"/>
        </w:rPr>
        <w:t>Operation and maintenance work of most of the existing structural interventions are not duly performed because of shortage in human and financial resources. Moreover, inter</w:t>
      </w:r>
      <w:r w:rsidR="00947B96">
        <w:rPr>
          <w:rFonts w:cs="Times New Roman"/>
          <w:szCs w:val="24"/>
        </w:rPr>
        <w:t>-</w:t>
      </w:r>
      <w:r w:rsidRPr="000A3FB2">
        <w:rPr>
          <w:rFonts w:cs="Times New Roman"/>
          <w:szCs w:val="24"/>
        </w:rPr>
        <w:t xml:space="preserve">agency coordination and </w:t>
      </w:r>
      <w:r w:rsidR="00947B96">
        <w:rPr>
          <w:rFonts w:cs="Times New Roman"/>
          <w:szCs w:val="24"/>
        </w:rPr>
        <w:t>partnership</w:t>
      </w:r>
      <w:r w:rsidR="00947B96" w:rsidRPr="000A3FB2">
        <w:rPr>
          <w:rFonts w:cs="Times New Roman"/>
          <w:szCs w:val="24"/>
        </w:rPr>
        <w:t xml:space="preserve"> </w:t>
      </w:r>
      <w:r w:rsidR="00947B96">
        <w:rPr>
          <w:rFonts w:cs="Times New Roman"/>
          <w:szCs w:val="24"/>
        </w:rPr>
        <w:t>are</w:t>
      </w:r>
      <w:r w:rsidR="00947B96" w:rsidRPr="000A3FB2">
        <w:rPr>
          <w:rFonts w:cs="Times New Roman"/>
          <w:szCs w:val="24"/>
        </w:rPr>
        <w:t xml:space="preserve"> </w:t>
      </w:r>
      <w:r w:rsidRPr="000A3FB2">
        <w:rPr>
          <w:rFonts w:cs="Times New Roman"/>
          <w:szCs w:val="24"/>
        </w:rPr>
        <w:t>limited during the planning, implementation and post implementation (e.g. monitoring and updating) phases for most of the water related projects which are basically multi-sectoral and multi-disciplinary in nature and require integrated approach of the relevant organizations.</w:t>
      </w:r>
    </w:p>
    <w:p w:rsidR="009806DF" w:rsidRPr="000A3FB2" w:rsidRDefault="003E42A9" w:rsidP="009806DF">
      <w:pPr>
        <w:spacing w:line="276" w:lineRule="auto"/>
        <w:jc w:val="both"/>
        <w:rPr>
          <w:rFonts w:cs="Times New Roman"/>
          <w:szCs w:val="24"/>
        </w:rPr>
      </w:pPr>
      <w:r w:rsidRPr="000A3FB2">
        <w:rPr>
          <w:rFonts w:cs="Times New Roman"/>
          <w:szCs w:val="24"/>
        </w:rPr>
        <w:t>Prevailing institutional arrangements are however, providing inadequate</w:t>
      </w:r>
      <w:r>
        <w:rPr>
          <w:rFonts w:cs="Times New Roman"/>
          <w:szCs w:val="24"/>
        </w:rPr>
        <w:t xml:space="preserve"> support</w:t>
      </w:r>
      <w:r w:rsidRPr="000A3FB2">
        <w:rPr>
          <w:rFonts w:cs="Times New Roman"/>
          <w:szCs w:val="24"/>
        </w:rPr>
        <w:t xml:space="preserve"> to respond to the need of IWRM implementation for desired outcome as there limited consensus on the formulation and implementation of IWRM schemes in Bangladesh. Institutional and organizational versatility is an absolute prerequisite for integration across different sectors and spatial boundaries in considering interdependency of natural systems and social response to increasing demand. Stakeholder involvement and participatory approach </w:t>
      </w:r>
      <w:r w:rsidR="00947B96">
        <w:rPr>
          <w:rFonts w:cs="Times New Roman"/>
          <w:szCs w:val="24"/>
        </w:rPr>
        <w:t>is</w:t>
      </w:r>
      <w:r w:rsidR="00947B96" w:rsidRPr="000A3FB2">
        <w:rPr>
          <w:rFonts w:cs="Times New Roman"/>
          <w:szCs w:val="24"/>
        </w:rPr>
        <w:t xml:space="preserve"> </w:t>
      </w:r>
      <w:r>
        <w:rPr>
          <w:rFonts w:cs="Times New Roman"/>
          <w:szCs w:val="24"/>
        </w:rPr>
        <w:t>inadequate in</w:t>
      </w:r>
      <w:r w:rsidRPr="000A3FB2">
        <w:rPr>
          <w:rFonts w:cs="Times New Roman"/>
          <w:szCs w:val="24"/>
        </w:rPr>
        <w:t xml:space="preserve"> water resources management scenario of Bangladesh. Necessary decentralization has to be done to facilitate institutional change and organizational adaptability to swap the more conventional supply-driven approach in current water management with more demand</w:t>
      </w:r>
      <w:r w:rsidR="009806DF">
        <w:rPr>
          <w:rFonts w:cs="Times New Roman"/>
          <w:szCs w:val="24"/>
        </w:rPr>
        <w:t>-driven</w:t>
      </w:r>
      <w:r w:rsidRPr="000A3FB2">
        <w:rPr>
          <w:rFonts w:cs="Times New Roman"/>
          <w:szCs w:val="24"/>
        </w:rPr>
        <w:t xml:space="preserve"> management keeping in mind that water is a scarce commodity.</w:t>
      </w:r>
      <w:r w:rsidR="00947B96">
        <w:rPr>
          <w:rFonts w:cs="Times New Roman"/>
          <w:szCs w:val="24"/>
        </w:rPr>
        <w:t xml:space="preserve"> </w:t>
      </w:r>
    </w:p>
    <w:p w:rsidR="003E42A9" w:rsidRDefault="003E42A9" w:rsidP="003E42A9">
      <w:pPr>
        <w:spacing w:line="276" w:lineRule="auto"/>
        <w:jc w:val="both"/>
        <w:rPr>
          <w:rFonts w:cs="Times New Roman"/>
          <w:szCs w:val="24"/>
        </w:rPr>
      </w:pPr>
    </w:p>
    <w:p w:rsidR="00000000" w:rsidRDefault="003E42A9" w:rsidP="003D5A31">
      <w:pPr>
        <w:pStyle w:val="BodyText"/>
        <w:numPr>
          <w:ilvl w:val="2"/>
          <w:numId w:val="141"/>
        </w:numPr>
        <w:spacing w:after="240" w:line="276" w:lineRule="auto"/>
        <w:jc w:val="both"/>
        <w:rPr>
          <w:rFonts w:cs="Times New Roman"/>
          <w:b/>
          <w:szCs w:val="24"/>
        </w:rPr>
      </w:pPr>
      <w:r w:rsidRPr="00B46F8C">
        <w:rPr>
          <w:rFonts w:cs="Times New Roman"/>
          <w:b/>
          <w:szCs w:val="24"/>
        </w:rPr>
        <w:t>Knowledge Gap</w:t>
      </w:r>
    </w:p>
    <w:p w:rsidR="003E42A9" w:rsidRDefault="003E42A9" w:rsidP="003E42A9">
      <w:pPr>
        <w:spacing w:line="276" w:lineRule="auto"/>
        <w:jc w:val="both"/>
        <w:rPr>
          <w:rFonts w:cs="Times New Roman"/>
          <w:szCs w:val="24"/>
        </w:rPr>
      </w:pPr>
      <w:r w:rsidRPr="000A3FB2">
        <w:rPr>
          <w:rFonts w:cs="Times New Roman"/>
          <w:szCs w:val="24"/>
        </w:rPr>
        <w:t xml:space="preserve">Water </w:t>
      </w:r>
      <w:r w:rsidR="009806DF">
        <w:rPr>
          <w:rFonts w:cs="Times New Roman"/>
          <w:szCs w:val="24"/>
        </w:rPr>
        <w:t>r</w:t>
      </w:r>
      <w:r w:rsidR="009806DF" w:rsidRPr="000A3FB2">
        <w:rPr>
          <w:rFonts w:cs="Times New Roman"/>
          <w:szCs w:val="24"/>
        </w:rPr>
        <w:t xml:space="preserve">esources </w:t>
      </w:r>
      <w:r w:rsidRPr="000A3FB2">
        <w:rPr>
          <w:rFonts w:cs="Times New Roman"/>
          <w:szCs w:val="24"/>
        </w:rPr>
        <w:t xml:space="preserve">of the country is </w:t>
      </w:r>
      <w:r w:rsidR="009806DF">
        <w:rPr>
          <w:rFonts w:cs="Times New Roman"/>
          <w:szCs w:val="24"/>
        </w:rPr>
        <w:t xml:space="preserve">mostly </w:t>
      </w:r>
      <w:r w:rsidRPr="000A3FB2">
        <w:rPr>
          <w:rFonts w:cs="Times New Roman"/>
          <w:szCs w:val="24"/>
        </w:rPr>
        <w:t xml:space="preserve">dependent on the external sources. So, management of the </w:t>
      </w:r>
      <w:r w:rsidR="009806DF">
        <w:rPr>
          <w:rFonts w:cs="Times New Roman"/>
          <w:szCs w:val="24"/>
        </w:rPr>
        <w:t>w</w:t>
      </w:r>
      <w:r w:rsidR="009806DF" w:rsidRPr="000A3FB2">
        <w:rPr>
          <w:rFonts w:cs="Times New Roman"/>
          <w:szCs w:val="24"/>
        </w:rPr>
        <w:t xml:space="preserve">ater </w:t>
      </w:r>
      <w:r w:rsidR="009806DF">
        <w:rPr>
          <w:rFonts w:cs="Times New Roman"/>
          <w:szCs w:val="24"/>
        </w:rPr>
        <w:t>r</w:t>
      </w:r>
      <w:r w:rsidR="009806DF" w:rsidRPr="000A3FB2">
        <w:rPr>
          <w:rFonts w:cs="Times New Roman"/>
          <w:szCs w:val="24"/>
        </w:rPr>
        <w:t xml:space="preserve">esources </w:t>
      </w:r>
      <w:r w:rsidR="009806DF">
        <w:rPr>
          <w:rFonts w:cs="Times New Roman"/>
          <w:szCs w:val="24"/>
        </w:rPr>
        <w:t xml:space="preserve">largely relies on </w:t>
      </w:r>
      <w:r w:rsidRPr="000A3FB2">
        <w:rPr>
          <w:rFonts w:cs="Times New Roman"/>
          <w:szCs w:val="24"/>
        </w:rPr>
        <w:t xml:space="preserve"> upstream developments by the upper riparian countries</w:t>
      </w:r>
      <w:r w:rsidR="009806DF">
        <w:rPr>
          <w:rFonts w:cs="Times New Roman"/>
          <w:szCs w:val="24"/>
        </w:rPr>
        <w:t>.</w:t>
      </w:r>
      <w:r w:rsidRPr="000A3FB2">
        <w:rPr>
          <w:rFonts w:cs="Times New Roman"/>
          <w:szCs w:val="24"/>
        </w:rPr>
        <w:t xml:space="preserve"> </w:t>
      </w:r>
      <w:r w:rsidR="009806DF">
        <w:rPr>
          <w:rFonts w:cs="Times New Roman"/>
          <w:szCs w:val="24"/>
        </w:rPr>
        <w:t>T</w:t>
      </w:r>
      <w:r w:rsidRPr="000A3FB2">
        <w:rPr>
          <w:rFonts w:cs="Times New Roman"/>
          <w:szCs w:val="24"/>
        </w:rPr>
        <w:t xml:space="preserve">he country does not have </w:t>
      </w:r>
      <w:r w:rsidR="009806DF">
        <w:rPr>
          <w:rFonts w:cs="Times New Roman"/>
          <w:szCs w:val="24"/>
        </w:rPr>
        <w:t>adequate</w:t>
      </w:r>
      <w:r w:rsidR="009806DF" w:rsidRPr="000A3FB2">
        <w:rPr>
          <w:rFonts w:cs="Times New Roman"/>
          <w:szCs w:val="24"/>
        </w:rPr>
        <w:t xml:space="preserve"> </w:t>
      </w:r>
      <w:r w:rsidRPr="000A3FB2">
        <w:rPr>
          <w:rFonts w:cs="Times New Roman"/>
          <w:szCs w:val="24"/>
        </w:rPr>
        <w:t>information</w:t>
      </w:r>
      <w:r w:rsidR="009806DF">
        <w:rPr>
          <w:rFonts w:cs="Times New Roman"/>
          <w:szCs w:val="24"/>
        </w:rPr>
        <w:t xml:space="preserve"> on the upstream development of the Riparian countries </w:t>
      </w:r>
      <w:r w:rsidR="009806DF" w:rsidRPr="000A3FB2">
        <w:rPr>
          <w:rFonts w:cs="Times New Roman"/>
          <w:szCs w:val="24"/>
        </w:rPr>
        <w:t>(e.g. construction of hydro-power plants, dams, irrigation and river linking projects etc)</w:t>
      </w:r>
      <w:r w:rsidR="009806DF">
        <w:rPr>
          <w:rFonts w:cs="Times New Roman"/>
          <w:szCs w:val="24"/>
        </w:rPr>
        <w:t>.</w:t>
      </w:r>
      <w:r w:rsidRPr="000A3FB2">
        <w:rPr>
          <w:rFonts w:cs="Times New Roman"/>
          <w:szCs w:val="24"/>
        </w:rPr>
        <w:t xml:space="preserve"> Water resources within the country (e.g. waterbodies) are continuously being encroached and such resources are not being protected and preserved due to lack of timely acknowledging these issues by the relevant agencies. Moreover, researches on existing issues such as flood management, erosion prediction, channelization of rivers, sediment balancing, impact of climate change and identification of adaptation techniques etc. are being conducted in limited scale. However, in-depth and detailed researches on these issues should be conducted in an integrated manne</w:t>
      </w:r>
      <w:r>
        <w:rPr>
          <w:rFonts w:cs="Times New Roman"/>
          <w:szCs w:val="24"/>
        </w:rPr>
        <w:t>r for real application. Additionally</w:t>
      </w:r>
      <w:r w:rsidRPr="000A3FB2">
        <w:rPr>
          <w:rFonts w:cs="Times New Roman"/>
          <w:szCs w:val="24"/>
        </w:rPr>
        <w:t>, research on effective institutional arrangement and functioning is also needed.</w:t>
      </w:r>
    </w:p>
    <w:p w:rsidR="00F64A6A" w:rsidRDefault="003E42A9" w:rsidP="00F64A6A">
      <w:pPr>
        <w:pStyle w:val="Heading2"/>
        <w:numPr>
          <w:ilvl w:val="0"/>
          <w:numId w:val="0"/>
        </w:numPr>
        <w:ind w:left="720"/>
      </w:pPr>
      <w:bookmarkStart w:id="233" w:name="_Toc463603896"/>
      <w:bookmarkStart w:id="234" w:name="_Toc474638867"/>
      <w:r w:rsidRPr="00A802C3">
        <w:t>Future Water Challenges</w:t>
      </w:r>
      <w:bookmarkEnd w:id="233"/>
      <w:bookmarkEnd w:id="234"/>
    </w:p>
    <w:p w:rsidR="003E42A9" w:rsidRPr="000A3FB2" w:rsidRDefault="003E42A9" w:rsidP="003E42A9">
      <w:pPr>
        <w:spacing w:line="276" w:lineRule="auto"/>
        <w:jc w:val="both"/>
        <w:rPr>
          <w:rFonts w:cs="Times New Roman"/>
          <w:szCs w:val="24"/>
        </w:rPr>
      </w:pPr>
      <w:r w:rsidRPr="000A3FB2">
        <w:rPr>
          <w:rFonts w:cs="Times New Roman"/>
          <w:szCs w:val="24"/>
        </w:rPr>
        <w:lastRenderedPageBreak/>
        <w:t>Management of water resources has become a preeminent necessity in Bangladesh with the ever-growing demand for water and the escalating conflict over its alternative uses over the decades. Thus, for efficient utilization through better management, identification of the various multidimensional challenges that might occur in the future is of utmost importance.</w:t>
      </w:r>
    </w:p>
    <w:p w:rsidR="00000000" w:rsidRDefault="003E42A9" w:rsidP="003D5A31">
      <w:pPr>
        <w:pStyle w:val="BodyText"/>
        <w:numPr>
          <w:ilvl w:val="2"/>
          <w:numId w:val="142"/>
        </w:numPr>
        <w:spacing w:after="240" w:line="276" w:lineRule="auto"/>
        <w:jc w:val="both"/>
        <w:rPr>
          <w:rFonts w:cs="Times New Roman"/>
          <w:b/>
          <w:szCs w:val="24"/>
        </w:rPr>
      </w:pPr>
      <w:r w:rsidRPr="00B46F8C">
        <w:rPr>
          <w:rFonts w:cs="Times New Roman"/>
          <w:b/>
          <w:szCs w:val="24"/>
        </w:rPr>
        <w:t>Challenges due to Climate Change</w:t>
      </w:r>
    </w:p>
    <w:p w:rsidR="003E42A9" w:rsidRPr="000A3FB2" w:rsidRDefault="003E42A9" w:rsidP="003E42A9">
      <w:pPr>
        <w:spacing w:line="276" w:lineRule="auto"/>
        <w:jc w:val="both"/>
        <w:rPr>
          <w:rFonts w:cs="Times New Roman"/>
          <w:szCs w:val="24"/>
        </w:rPr>
      </w:pPr>
      <w:r w:rsidRPr="000A3FB2">
        <w:rPr>
          <w:rFonts w:cs="Times New Roman"/>
          <w:szCs w:val="24"/>
        </w:rPr>
        <w:t xml:space="preserve">It is estimated from IPCC that due to climate change, temperature of the country may rise within a range of 1.4 to 1.9°C under better conditions and for worst conditions it might rise up to 2°C by the year 2050. As temperature rises higher, more erratic behavior of rainfall along with changes in rainfall amounts is predicted in the future. Impacts of such climate change on the country’s water resources are assumed to affect the most in the coastal areas. Water availability will be reduced and natural hazards like cyclone, storm surges and coastal flooding will increase. The salinity level of ground water along with the surface water will rise rapidly due to the sea level rise as a direct impact </w:t>
      </w:r>
      <w:r>
        <w:rPr>
          <w:rFonts w:cs="Times New Roman"/>
          <w:szCs w:val="24"/>
        </w:rPr>
        <w:t>of climate change</w:t>
      </w:r>
      <w:r w:rsidRPr="000A3FB2">
        <w:rPr>
          <w:rFonts w:cs="Times New Roman"/>
          <w:szCs w:val="24"/>
        </w:rPr>
        <w:t xml:space="preserve">. The local communities and their livelihood would be greatly vulnerable to these impacts of climate change. </w:t>
      </w:r>
    </w:p>
    <w:p w:rsidR="00000000" w:rsidRDefault="003E42A9" w:rsidP="003D5A31">
      <w:pPr>
        <w:pStyle w:val="BodyText"/>
        <w:numPr>
          <w:ilvl w:val="2"/>
          <w:numId w:val="142"/>
        </w:numPr>
        <w:spacing w:after="240" w:line="276" w:lineRule="auto"/>
        <w:jc w:val="both"/>
        <w:rPr>
          <w:rFonts w:cs="Times New Roman"/>
          <w:b/>
          <w:szCs w:val="24"/>
        </w:rPr>
      </w:pPr>
      <w:r w:rsidRPr="001D7625">
        <w:rPr>
          <w:rFonts w:cs="Times New Roman"/>
          <w:b/>
          <w:szCs w:val="24"/>
        </w:rPr>
        <w:t>Physical Challenges</w:t>
      </w:r>
    </w:p>
    <w:p w:rsidR="003E42A9" w:rsidRPr="000A3FB2" w:rsidRDefault="003E42A9" w:rsidP="003E42A9">
      <w:pPr>
        <w:spacing w:line="276" w:lineRule="auto"/>
        <w:jc w:val="both"/>
        <w:rPr>
          <w:rFonts w:cs="Times New Roman"/>
          <w:szCs w:val="24"/>
        </w:rPr>
      </w:pPr>
      <w:r w:rsidRPr="000A3FB2">
        <w:rPr>
          <w:rFonts w:cs="Times New Roman"/>
          <w:szCs w:val="24"/>
        </w:rPr>
        <w:t xml:space="preserve">Physical challenges of water resource management will be greatly exacerbated by deterioration of infrastructures which mostly perform flood control, drainage and irrigation functions. From CEGIS analysis, it is obtained that over 50% of flood area increase is anticipated by the year 2050 in the Coastal area (South-west region) of Bangladesh. Such extreme change will definitely cause severe deterioration to the FCDI structures. Deterioration of such structures may result in the inefficient and non-pertinent planning of water uses. Unless an integrated approach is instigated, efficient water management and its sustainability </w:t>
      </w:r>
      <w:r>
        <w:rPr>
          <w:rFonts w:cs="Times New Roman"/>
          <w:szCs w:val="24"/>
        </w:rPr>
        <w:t>will not be achieved.</w:t>
      </w:r>
    </w:p>
    <w:p w:rsidR="00000000" w:rsidRDefault="003E42A9" w:rsidP="003D5A31">
      <w:pPr>
        <w:pStyle w:val="BodyText"/>
        <w:numPr>
          <w:ilvl w:val="2"/>
          <w:numId w:val="142"/>
        </w:numPr>
        <w:spacing w:after="240" w:line="276" w:lineRule="auto"/>
        <w:jc w:val="both"/>
        <w:rPr>
          <w:rFonts w:cs="Times New Roman"/>
          <w:b/>
          <w:szCs w:val="24"/>
        </w:rPr>
      </w:pPr>
      <w:r w:rsidRPr="001D7625">
        <w:rPr>
          <w:rFonts w:cs="Times New Roman"/>
          <w:b/>
          <w:szCs w:val="24"/>
        </w:rPr>
        <w:t>Institutional Challenges</w:t>
      </w:r>
    </w:p>
    <w:p w:rsidR="003E42A9" w:rsidRPr="00F93FD2" w:rsidRDefault="003E42A9" w:rsidP="003E42A9">
      <w:pPr>
        <w:spacing w:line="276" w:lineRule="auto"/>
        <w:jc w:val="both"/>
        <w:rPr>
          <w:rFonts w:cs="Times New Roman"/>
          <w:szCs w:val="24"/>
        </w:rPr>
      </w:pPr>
      <w:r w:rsidRPr="000A3FB2">
        <w:rPr>
          <w:rFonts w:cs="Times New Roman"/>
          <w:szCs w:val="24"/>
        </w:rPr>
        <w:t>Sustainability of the water institutions will be a real challenge in water resources management. The two crucial factors are the resources mobilization for operation and maintenance activities a</w:t>
      </w:r>
      <w:r>
        <w:rPr>
          <w:rFonts w:cs="Times New Roman"/>
          <w:szCs w:val="24"/>
        </w:rPr>
        <w:t>nd its execution</w:t>
      </w:r>
      <w:r w:rsidRPr="000A3FB2">
        <w:rPr>
          <w:rFonts w:cs="Times New Roman"/>
          <w:szCs w:val="24"/>
        </w:rPr>
        <w:t xml:space="preserve">. </w:t>
      </w:r>
      <w:r w:rsidR="00F86E45">
        <w:rPr>
          <w:rFonts w:cs="Times New Roman"/>
          <w:szCs w:val="24"/>
        </w:rPr>
        <w:t>These</w:t>
      </w:r>
      <w:r w:rsidR="00F86E45" w:rsidRPr="000A3FB2">
        <w:rPr>
          <w:rFonts w:cs="Times New Roman"/>
          <w:szCs w:val="24"/>
        </w:rPr>
        <w:t xml:space="preserve"> </w:t>
      </w:r>
      <w:r w:rsidRPr="000A3FB2">
        <w:rPr>
          <w:rFonts w:cs="Times New Roman"/>
          <w:szCs w:val="24"/>
        </w:rPr>
        <w:t>crucial factors greatly depend on the multidisciplinary participation</w:t>
      </w:r>
      <w:r w:rsidR="00F86E45">
        <w:rPr>
          <w:rFonts w:cs="Times New Roman"/>
          <w:szCs w:val="24"/>
        </w:rPr>
        <w:t xml:space="preserve">, </w:t>
      </w:r>
      <w:r w:rsidRPr="000A3FB2">
        <w:rPr>
          <w:rFonts w:cs="Times New Roman"/>
          <w:szCs w:val="24"/>
        </w:rPr>
        <w:t xml:space="preserve"> cooperati</w:t>
      </w:r>
      <w:r>
        <w:rPr>
          <w:rFonts w:cs="Times New Roman"/>
          <w:szCs w:val="24"/>
        </w:rPr>
        <w:t xml:space="preserve">on </w:t>
      </w:r>
      <w:r w:rsidR="00F86E45" w:rsidRPr="000A3FB2">
        <w:rPr>
          <w:rFonts w:cs="Times New Roman"/>
          <w:szCs w:val="24"/>
        </w:rPr>
        <w:t xml:space="preserve">and </w:t>
      </w:r>
      <w:r w:rsidR="00F86E45">
        <w:rPr>
          <w:rFonts w:cs="Times New Roman"/>
          <w:szCs w:val="24"/>
        </w:rPr>
        <w:t xml:space="preserve">partnership </w:t>
      </w:r>
      <w:r>
        <w:rPr>
          <w:rFonts w:cs="Times New Roman"/>
          <w:szCs w:val="24"/>
        </w:rPr>
        <w:t>of the water</w:t>
      </w:r>
      <w:r w:rsidR="00F86E45">
        <w:rPr>
          <w:rFonts w:cs="Times New Roman"/>
          <w:szCs w:val="24"/>
        </w:rPr>
        <w:t xml:space="preserve"> related</w:t>
      </w:r>
      <w:r>
        <w:rPr>
          <w:rFonts w:cs="Times New Roman"/>
          <w:szCs w:val="24"/>
        </w:rPr>
        <w:t xml:space="preserve"> institutions.</w:t>
      </w:r>
    </w:p>
    <w:p w:rsidR="00000000" w:rsidRDefault="003E42A9" w:rsidP="003D5A31">
      <w:pPr>
        <w:pStyle w:val="BodyText"/>
        <w:numPr>
          <w:ilvl w:val="2"/>
          <w:numId w:val="142"/>
        </w:numPr>
        <w:spacing w:after="240" w:line="276" w:lineRule="auto"/>
        <w:jc w:val="both"/>
        <w:rPr>
          <w:rFonts w:cs="Times New Roman"/>
          <w:b/>
          <w:szCs w:val="24"/>
        </w:rPr>
      </w:pPr>
      <w:r w:rsidRPr="001D7625">
        <w:rPr>
          <w:rFonts w:cs="Times New Roman"/>
          <w:b/>
          <w:szCs w:val="24"/>
        </w:rPr>
        <w:t>Challenges due to Population Growth</w:t>
      </w:r>
    </w:p>
    <w:p w:rsidR="003E42A9" w:rsidRPr="00703953" w:rsidRDefault="003E42A9" w:rsidP="003E42A9">
      <w:pPr>
        <w:spacing w:line="276" w:lineRule="auto"/>
        <w:jc w:val="both"/>
        <w:rPr>
          <w:rFonts w:cs="Times New Roman"/>
          <w:i/>
        </w:rPr>
      </w:pPr>
      <w:r>
        <w:rPr>
          <w:rFonts w:cs="Times New Roman"/>
          <w:szCs w:val="24"/>
        </w:rPr>
        <w:t>D</w:t>
      </w:r>
      <w:r w:rsidRPr="000A3FB2">
        <w:rPr>
          <w:rFonts w:cs="Times New Roman"/>
          <w:szCs w:val="24"/>
        </w:rPr>
        <w:t xml:space="preserve">omestic water demand is estimated to increase up to 50% by 2030 and 100% by 2050 considering the population growth. The population growth of Bangladesh will </w:t>
      </w:r>
      <w:r w:rsidRPr="000A3FB2">
        <w:rPr>
          <w:rFonts w:cs="Times New Roman"/>
          <w:szCs w:val="24"/>
        </w:rPr>
        <w:lastRenderedPageBreak/>
        <w:t>increasingly stress the water resources management of the country. Thus</w:t>
      </w:r>
      <w:r>
        <w:rPr>
          <w:rFonts w:cs="Times New Roman"/>
          <w:szCs w:val="24"/>
        </w:rPr>
        <w:t>,</w:t>
      </w:r>
      <w:r w:rsidRPr="000A3FB2">
        <w:rPr>
          <w:rFonts w:cs="Times New Roman"/>
          <w:szCs w:val="24"/>
        </w:rPr>
        <w:t xml:space="preserve"> it has the potential to be the dominant environmental and possibly the most important development challenges in the coming half century. Significant investments in infrastructure will be required to provide potable water to the expanding urban centers. Urban and industrial pollution around these urban centers will affect th</w:t>
      </w:r>
      <w:r>
        <w:rPr>
          <w:rFonts w:cs="Times New Roman"/>
          <w:szCs w:val="24"/>
        </w:rPr>
        <w:t>e fresh water quality</w:t>
      </w:r>
      <w:r w:rsidRPr="000A3FB2">
        <w:rPr>
          <w:rFonts w:cs="Times New Roman"/>
          <w:szCs w:val="24"/>
        </w:rPr>
        <w:t>. With the growing population sanitation will become a major issue both in the urban and rural areas.</w:t>
      </w:r>
    </w:p>
    <w:p w:rsidR="00000000" w:rsidRDefault="003E42A9" w:rsidP="003D5A31">
      <w:pPr>
        <w:pStyle w:val="BodyText"/>
        <w:numPr>
          <w:ilvl w:val="2"/>
          <w:numId w:val="142"/>
        </w:numPr>
        <w:spacing w:after="240" w:line="276" w:lineRule="auto"/>
        <w:jc w:val="both"/>
        <w:rPr>
          <w:rFonts w:cs="Times New Roman"/>
          <w:b/>
          <w:szCs w:val="24"/>
        </w:rPr>
      </w:pPr>
      <w:r w:rsidRPr="001D7625">
        <w:rPr>
          <w:rFonts w:cs="Times New Roman"/>
          <w:b/>
          <w:szCs w:val="24"/>
        </w:rPr>
        <w:t>Challenges due to Upstream Development</w:t>
      </w:r>
    </w:p>
    <w:p w:rsidR="003E42A9" w:rsidRPr="000127EE" w:rsidRDefault="003E42A9" w:rsidP="003E42A9">
      <w:pPr>
        <w:spacing w:line="276" w:lineRule="auto"/>
        <w:jc w:val="both"/>
        <w:rPr>
          <w:rFonts w:cs="Times New Roman"/>
          <w:szCs w:val="24"/>
        </w:rPr>
      </w:pPr>
      <w:r w:rsidRPr="000A3FB2">
        <w:rPr>
          <w:rFonts w:cs="Times New Roman"/>
          <w:szCs w:val="24"/>
        </w:rPr>
        <w:t xml:space="preserve">The country’s water resources management will increasingly face challenges due to upstream river basin developments. Infrastructural developments in upstream countries particularly in India have significantly reduced the dry season flow of the trans-boundary Rivers. The reduction of the Ganges flows has severely affected the fresh water supply to the communities, agriculture, navigation, hydro-morphological dynamics etc. in the south-western region of Bangladesh and especially on the ecology of the Sundarbans. Further effects are also assumed to escalate in the future due to ongoing and proposed hydropower development </w:t>
      </w:r>
      <w:r>
        <w:rPr>
          <w:rFonts w:cs="Times New Roman"/>
          <w:szCs w:val="24"/>
        </w:rPr>
        <w:t xml:space="preserve">in the upper riparian countries </w:t>
      </w:r>
      <w:r>
        <w:rPr>
          <w:szCs w:val="24"/>
        </w:rPr>
        <w:t>regional basin scale as well as on the national scale are discussed in this chapter.</w:t>
      </w:r>
    </w:p>
    <w:p w:rsidR="00F64A6A" w:rsidRDefault="003E42A9" w:rsidP="00F64A6A">
      <w:pPr>
        <w:pStyle w:val="Heading2"/>
        <w:numPr>
          <w:ilvl w:val="0"/>
          <w:numId w:val="0"/>
        </w:numPr>
        <w:ind w:left="720"/>
      </w:pPr>
      <w:bookmarkStart w:id="235" w:name="_Toc463603897"/>
      <w:bookmarkStart w:id="236" w:name="_Toc474638868"/>
      <w:r>
        <w:t>Transboundary</w:t>
      </w:r>
      <w:r w:rsidRPr="00017A17">
        <w:t xml:space="preserve"> Water Management Issues</w:t>
      </w:r>
      <w:bookmarkEnd w:id="235"/>
      <w:bookmarkEnd w:id="236"/>
    </w:p>
    <w:p w:rsidR="003E42A9" w:rsidRPr="00A357BC" w:rsidRDefault="003E42A9" w:rsidP="003E42A9">
      <w:pPr>
        <w:spacing w:line="276" w:lineRule="auto"/>
        <w:jc w:val="both"/>
        <w:rPr>
          <w:szCs w:val="24"/>
        </w:rPr>
      </w:pPr>
      <w:r w:rsidRPr="00A357BC">
        <w:rPr>
          <w:szCs w:val="24"/>
        </w:rPr>
        <w:t xml:space="preserve">Bangladesh has been formed as one of the greatest deltaic plains of the world at the confluence of the Ganges, the Brahmaputra and the Meghna rivers and their tributaries and is characterized by highly variable climate and hydrology over its 147,570 sq. km. terrain. Although the three rivers of this system have distinct characteristics and flow through very different regions for most of their lengths, they share social, economic and political connections, joining only just a few hundred kilometres upstream of the mouth of the Bay of Bengal. These mighty rivers dictate terms when it comes to water resources planning and development in Bangladesh. </w:t>
      </w:r>
    </w:p>
    <w:p w:rsidR="00B6696C" w:rsidRPr="00A1679C" w:rsidRDefault="003E42A9" w:rsidP="00A1679C">
      <w:pPr>
        <w:spacing w:line="276" w:lineRule="auto"/>
        <w:jc w:val="both"/>
        <w:rPr>
          <w:szCs w:val="24"/>
        </w:rPr>
      </w:pPr>
      <w:r w:rsidRPr="00A357BC">
        <w:rPr>
          <w:szCs w:val="24"/>
        </w:rPr>
        <w:t>Among the 57 trans-bounda</w:t>
      </w:r>
      <w:r>
        <w:rPr>
          <w:szCs w:val="24"/>
        </w:rPr>
        <w:t>ry rivers</w:t>
      </w:r>
      <w:r w:rsidRPr="00A357BC">
        <w:rPr>
          <w:szCs w:val="24"/>
        </w:rPr>
        <w:t>, 54 are shared with India. The annual cross-border river flows in Bangladesh are estimated to be 1260 BCM, of which the three main rivers contribute around 981 BCM. Of the latter amount, some 54 percent is contributed by the Brahmaputra, 31 percent by the Ganges and nearly 14 percent by the tributaries of the Meghna. As Bangladesh is located in the low-lying delta of the Ganges-Brahmaputra-Meghna basins, water resources management is complex and highly sensitive to upstream developments. The various issues that arise, both on the regional basin scale as well as on the national scale</w:t>
      </w:r>
      <w:r w:rsidR="00A1679C">
        <w:rPr>
          <w:szCs w:val="24"/>
        </w:rPr>
        <w:t xml:space="preserve"> are discussed in this chapter.</w:t>
      </w:r>
    </w:p>
    <w:p w:rsidR="00000000" w:rsidRDefault="003E42A9" w:rsidP="003D5A31">
      <w:pPr>
        <w:pStyle w:val="BodyText"/>
        <w:numPr>
          <w:ilvl w:val="2"/>
          <w:numId w:val="143"/>
        </w:numPr>
        <w:spacing w:after="240" w:line="276" w:lineRule="auto"/>
        <w:jc w:val="both"/>
        <w:rPr>
          <w:rFonts w:cs="Times New Roman"/>
          <w:b/>
          <w:szCs w:val="24"/>
        </w:rPr>
      </w:pPr>
      <w:r w:rsidRPr="001D7625">
        <w:rPr>
          <w:rFonts w:cs="Times New Roman"/>
          <w:b/>
          <w:szCs w:val="24"/>
        </w:rPr>
        <w:t xml:space="preserve">The </w:t>
      </w:r>
      <w:r w:rsidR="00F86E45">
        <w:rPr>
          <w:rFonts w:cs="Times New Roman"/>
          <w:b/>
          <w:szCs w:val="24"/>
        </w:rPr>
        <w:t>Ganges-the Brahmaputra-the Meghna</w:t>
      </w:r>
      <w:r w:rsidR="00F86E45" w:rsidRPr="001D7625">
        <w:rPr>
          <w:rFonts w:cs="Times New Roman"/>
          <w:b/>
          <w:szCs w:val="24"/>
        </w:rPr>
        <w:t xml:space="preserve"> </w:t>
      </w:r>
      <w:r w:rsidRPr="001D7625">
        <w:rPr>
          <w:rFonts w:cs="Times New Roman"/>
          <w:b/>
          <w:szCs w:val="24"/>
        </w:rPr>
        <w:t>River System</w:t>
      </w:r>
    </w:p>
    <w:p w:rsidR="003E42A9" w:rsidRDefault="003E42A9" w:rsidP="003E42A9">
      <w:pPr>
        <w:spacing w:line="276" w:lineRule="auto"/>
        <w:jc w:val="both"/>
        <w:rPr>
          <w:rFonts w:cs="Calibri"/>
        </w:rPr>
      </w:pPr>
      <w:r w:rsidRPr="009C153C">
        <w:rPr>
          <w:szCs w:val="24"/>
        </w:rPr>
        <w:lastRenderedPageBreak/>
        <w:t>The Ganges</w:t>
      </w:r>
      <w:r>
        <w:rPr>
          <w:szCs w:val="24"/>
        </w:rPr>
        <w:t xml:space="preserve">, the Brahmaputra and the </w:t>
      </w:r>
      <w:r w:rsidRPr="009C153C">
        <w:rPr>
          <w:szCs w:val="24"/>
        </w:rPr>
        <w:t>Meghna (river</w:t>
      </w:r>
      <w:r>
        <w:rPr>
          <w:szCs w:val="24"/>
        </w:rPr>
        <w:t xml:space="preserve">s emanate from the Himalayas, are international rivers having a total basin area of about 1.72 million </w:t>
      </w:r>
      <w:r w:rsidRPr="009C153C">
        <w:rPr>
          <w:szCs w:val="24"/>
        </w:rPr>
        <w:t>km</w:t>
      </w:r>
      <w:r w:rsidRPr="009C153C">
        <w:rPr>
          <w:szCs w:val="24"/>
          <w:vertAlign w:val="superscript"/>
        </w:rPr>
        <w:t>2</w:t>
      </w:r>
      <w:r w:rsidRPr="00512165">
        <w:rPr>
          <w:szCs w:val="24"/>
        </w:rPr>
        <w:t xml:space="preserve">, of which only 7 percent is located within Bangladesh. The Ganges, the Brahmaputra and the Meghna are independent river basins. They originate from three different sources and their geographical, hydro-​meteorological, hydrological and morphological characteristics are different as well. The high and low water flows of the Ganges and the Brahmaputra occur at different times of the year. The Brahmaputra is a braided river where as the Ganges is a meandering river. More than 2000 years ago the Ganges, the Brahmaputra and the Meghna emptied in the Bay of Bengal separately. As a consequence of </w:t>
      </w:r>
      <w:r w:rsidR="00F86E45">
        <w:rPr>
          <w:szCs w:val="24"/>
        </w:rPr>
        <w:t>tectonic</w:t>
      </w:r>
      <w:r w:rsidRPr="00512165">
        <w:rPr>
          <w:szCs w:val="24"/>
        </w:rPr>
        <w:t xml:space="preserve"> forces in conjunction with fluvial forces, the courses slowly </w:t>
      </w:r>
      <w:r>
        <w:rPr>
          <w:szCs w:val="24"/>
        </w:rPr>
        <w:t>shifted and took up its present form through the three major systems</w:t>
      </w:r>
      <w:r>
        <w:rPr>
          <w:rFonts w:cs="Calibri"/>
        </w:rPr>
        <w:t xml:space="preserve">. </w:t>
      </w:r>
    </w:p>
    <w:p w:rsidR="003E42A9" w:rsidRDefault="00F86E45" w:rsidP="003E42A9">
      <w:pPr>
        <w:spacing w:line="276" w:lineRule="auto"/>
        <w:jc w:val="both"/>
        <w:rPr>
          <w:rFonts w:eastAsia="Times New Roman"/>
          <w:bCs/>
          <w:szCs w:val="24"/>
        </w:rPr>
      </w:pPr>
      <w:r>
        <w:rPr>
          <w:rFonts w:eastAsia="Times New Roman"/>
          <w:bCs/>
          <w:szCs w:val="24"/>
        </w:rPr>
        <w:t xml:space="preserve">The </w:t>
      </w:r>
      <w:r w:rsidR="003E42A9" w:rsidRPr="009058B3">
        <w:rPr>
          <w:rFonts w:eastAsia="Times New Roman"/>
          <w:bCs/>
          <w:szCs w:val="24"/>
        </w:rPr>
        <w:t>Ganges is the combined flow of the rivers Alaknanda and the Bhagirathi. Originating from the Gangotri Glacier in the Uttaranchal Himalayas, which then flows across the broad plains of north India and enters Bangladesh about 50 km downstream of Farakka, joining the Brahmaputra further downstream, near Goalanda Ghat in Bangladesh as the Padma and further down, j</w:t>
      </w:r>
      <w:r w:rsidR="003E42A9">
        <w:rPr>
          <w:rFonts w:eastAsia="Times New Roman"/>
          <w:bCs/>
          <w:szCs w:val="24"/>
        </w:rPr>
        <w:t>oins with the Meghna at Chandpur</w:t>
      </w:r>
      <w:r w:rsidR="003E42A9" w:rsidRPr="009058B3">
        <w:rPr>
          <w:rFonts w:eastAsia="Times New Roman"/>
          <w:bCs/>
          <w:szCs w:val="24"/>
        </w:rPr>
        <w:t>; ultimately falling into the Bay of Bengal with a combined length of approximately 2,500 km. The Brahmaputra originates in the Jima Yangzong glacier near Mount Kailash with ma</w:t>
      </w:r>
      <w:r w:rsidR="003E42A9">
        <w:rPr>
          <w:rFonts w:eastAsia="Times New Roman"/>
          <w:bCs/>
          <w:szCs w:val="24"/>
        </w:rPr>
        <w:t xml:space="preserve">jor portion of its discharge </w:t>
      </w:r>
      <w:r w:rsidR="003E42A9" w:rsidRPr="009058B3">
        <w:rPr>
          <w:rFonts w:eastAsia="Times New Roman"/>
          <w:bCs/>
          <w:szCs w:val="24"/>
        </w:rPr>
        <w:t>fed from the snowmelt of the Himalayas. It flows eastwards into India through Arunachal Pradesh, Assam and Meghalaya and then enters Bangladesh; flowing south as the Jamuna into the Padma. It eventually meets up with Meghna near Chandpur and flow into the Bay of Bengal as Meghna. The source of Meghna originates from the Barak River in northeastern India and flows through the Surma-Meghna Kushiyara system in Bangladesh. The Surma joins with the Meghna near Kuliar Char and then the Kushiyara joins in near Ajmiriganj; ultimately flowing into the Bay of Bengal near Bhola District.</w:t>
      </w:r>
    </w:p>
    <w:p w:rsidR="00000000" w:rsidRDefault="003E42A9" w:rsidP="003D5A31">
      <w:pPr>
        <w:pStyle w:val="BodyText"/>
        <w:numPr>
          <w:ilvl w:val="2"/>
          <w:numId w:val="143"/>
        </w:numPr>
        <w:spacing w:after="240" w:line="276" w:lineRule="auto"/>
        <w:jc w:val="both"/>
        <w:rPr>
          <w:rFonts w:cs="Times New Roman"/>
          <w:b/>
          <w:szCs w:val="24"/>
        </w:rPr>
      </w:pPr>
      <w:r w:rsidRPr="001D7625">
        <w:rPr>
          <w:rFonts w:cs="Times New Roman"/>
          <w:b/>
          <w:szCs w:val="24"/>
        </w:rPr>
        <w:t>Historical Overview of Trans-boundary Issues</w:t>
      </w:r>
    </w:p>
    <w:p w:rsidR="003E42A9" w:rsidRPr="009B04B7" w:rsidRDefault="003E42A9" w:rsidP="00B6696C">
      <w:pPr>
        <w:spacing w:line="276" w:lineRule="auto"/>
        <w:jc w:val="both"/>
        <w:rPr>
          <w:b/>
          <w:i/>
          <w:szCs w:val="24"/>
        </w:rPr>
      </w:pPr>
      <w:r>
        <w:rPr>
          <w:b/>
          <w:i/>
          <w:szCs w:val="24"/>
        </w:rPr>
        <w:t xml:space="preserve">British </w:t>
      </w:r>
      <w:r w:rsidRPr="009B04B7">
        <w:rPr>
          <w:b/>
          <w:i/>
          <w:szCs w:val="24"/>
        </w:rPr>
        <w:t>India &amp; Pakistan Period</w:t>
      </w:r>
    </w:p>
    <w:p w:rsidR="003E42A9" w:rsidRDefault="003E42A9" w:rsidP="003E42A9">
      <w:pPr>
        <w:spacing w:line="276" w:lineRule="auto"/>
        <w:jc w:val="both"/>
        <w:rPr>
          <w:szCs w:val="24"/>
        </w:rPr>
      </w:pPr>
      <w:r w:rsidRPr="00095540">
        <w:rPr>
          <w:szCs w:val="24"/>
        </w:rPr>
        <w:t>The Ganges-</w:t>
      </w:r>
      <w:r w:rsidR="00F86E45">
        <w:rPr>
          <w:szCs w:val="24"/>
        </w:rPr>
        <w:t xml:space="preserve">the </w:t>
      </w:r>
      <w:r w:rsidRPr="00095540">
        <w:rPr>
          <w:szCs w:val="24"/>
        </w:rPr>
        <w:t>Brahmaputra-</w:t>
      </w:r>
      <w:r w:rsidR="00F86E45">
        <w:rPr>
          <w:szCs w:val="24"/>
        </w:rPr>
        <w:t xml:space="preserve">the </w:t>
      </w:r>
      <w:r w:rsidRPr="00095540">
        <w:rPr>
          <w:szCs w:val="24"/>
        </w:rPr>
        <w:t>Meghna combined, comprises the second largest riverine drainage basin</w:t>
      </w:r>
      <w:r w:rsidR="00F86E45">
        <w:rPr>
          <w:szCs w:val="24"/>
        </w:rPr>
        <w:t>s</w:t>
      </w:r>
      <w:r w:rsidRPr="00095540">
        <w:rPr>
          <w:szCs w:val="24"/>
        </w:rPr>
        <w:t xml:space="preserve"> in the world. </w:t>
      </w:r>
      <w:r>
        <w:rPr>
          <w:szCs w:val="24"/>
        </w:rPr>
        <w:t xml:space="preserve">These </w:t>
      </w:r>
      <w:r w:rsidRPr="00095540">
        <w:rPr>
          <w:szCs w:val="24"/>
        </w:rPr>
        <w:t xml:space="preserve">basins are </w:t>
      </w:r>
      <w:r>
        <w:rPr>
          <w:szCs w:val="24"/>
        </w:rPr>
        <w:t xml:space="preserve">jointly </w:t>
      </w:r>
      <w:r w:rsidRPr="00095540">
        <w:rPr>
          <w:szCs w:val="24"/>
        </w:rPr>
        <w:t>shared by Bangladesh, Nepal, China, India, Bhutan and Myanmar</w:t>
      </w:r>
      <w:r>
        <w:rPr>
          <w:szCs w:val="24"/>
        </w:rPr>
        <w:t>. T</w:t>
      </w:r>
      <w:r w:rsidRPr="00095540">
        <w:rPr>
          <w:szCs w:val="24"/>
        </w:rPr>
        <w:t>he two neighboring countries, Bangladesh and India share some of the most intricate and complex river system</w:t>
      </w:r>
      <w:r>
        <w:rPr>
          <w:szCs w:val="24"/>
        </w:rPr>
        <w:t>s</w:t>
      </w:r>
      <w:r w:rsidRPr="00095540">
        <w:rPr>
          <w:szCs w:val="24"/>
        </w:rPr>
        <w:t>. Bangladesh</w:t>
      </w:r>
      <w:r>
        <w:rPr>
          <w:szCs w:val="24"/>
        </w:rPr>
        <w:t>,</w:t>
      </w:r>
      <w:r w:rsidRPr="00095540">
        <w:rPr>
          <w:szCs w:val="24"/>
        </w:rPr>
        <w:t xml:space="preserve"> being the lower riparian countries, has faced a multitude of water management </w:t>
      </w:r>
      <w:r>
        <w:rPr>
          <w:szCs w:val="24"/>
        </w:rPr>
        <w:t xml:space="preserve">related </w:t>
      </w:r>
      <w:r w:rsidRPr="00095540">
        <w:rPr>
          <w:szCs w:val="24"/>
        </w:rPr>
        <w:t xml:space="preserve">issues over the </w:t>
      </w:r>
      <w:r>
        <w:rPr>
          <w:szCs w:val="24"/>
        </w:rPr>
        <w:t xml:space="preserve">past </w:t>
      </w:r>
      <w:r w:rsidRPr="00095540">
        <w:rPr>
          <w:szCs w:val="24"/>
        </w:rPr>
        <w:t xml:space="preserve">decades, primarily due to various upstream interventions. </w:t>
      </w:r>
    </w:p>
    <w:p w:rsidR="003E42A9" w:rsidRDefault="00F86E45" w:rsidP="003E42A9">
      <w:pPr>
        <w:spacing w:line="276" w:lineRule="auto"/>
        <w:jc w:val="both"/>
        <w:rPr>
          <w:szCs w:val="24"/>
        </w:rPr>
      </w:pPr>
      <w:r w:rsidRPr="00095540">
        <w:rPr>
          <w:szCs w:val="24"/>
        </w:rPr>
        <w:t>In</w:t>
      </w:r>
      <w:r>
        <w:rPr>
          <w:szCs w:val="24"/>
        </w:rPr>
        <w:t>itially</w:t>
      </w:r>
      <w:r w:rsidRPr="00095540">
        <w:rPr>
          <w:szCs w:val="24"/>
        </w:rPr>
        <w:t xml:space="preserve"> </w:t>
      </w:r>
      <w:r w:rsidR="003E42A9" w:rsidRPr="00095540">
        <w:rPr>
          <w:szCs w:val="24"/>
        </w:rPr>
        <w:t xml:space="preserve">river management schemes in the undivided sub-continent were addressed by the British rule. The primary focus then was on the Ganges as it was extensively used by both the British for navigational purposes as well as for irrigation and other forms of livelihood. The earliest major intervention on the Ganges was the Bhimgoda Barrage </w:t>
      </w:r>
      <w:r w:rsidR="003E42A9" w:rsidRPr="00095540">
        <w:rPr>
          <w:szCs w:val="24"/>
        </w:rPr>
        <w:lastRenderedPageBreak/>
        <w:t xml:space="preserve">built initially in </w:t>
      </w:r>
      <w:r w:rsidR="003E42A9">
        <w:rPr>
          <w:szCs w:val="24"/>
        </w:rPr>
        <w:t>1854 at</w:t>
      </w:r>
      <w:r w:rsidR="003E42A9" w:rsidRPr="00095540">
        <w:rPr>
          <w:szCs w:val="24"/>
        </w:rPr>
        <w:t xml:space="preserve"> the headworks of the Upper Ganges Canal. Although its primary purpose was irrigation, the barrage also contributed in hydroelectric power </w:t>
      </w:r>
      <w:r>
        <w:rPr>
          <w:szCs w:val="24"/>
        </w:rPr>
        <w:t>generation</w:t>
      </w:r>
      <w:r w:rsidRPr="00095540">
        <w:rPr>
          <w:szCs w:val="24"/>
        </w:rPr>
        <w:t xml:space="preserve"> </w:t>
      </w:r>
      <w:r w:rsidR="003E42A9" w:rsidRPr="00095540">
        <w:rPr>
          <w:szCs w:val="24"/>
        </w:rPr>
        <w:t xml:space="preserve">and flood control. Since then, India has constructed barrages and dams on tributaries of the Ganges and </w:t>
      </w:r>
      <w:r>
        <w:rPr>
          <w:szCs w:val="24"/>
        </w:rPr>
        <w:t xml:space="preserve">the </w:t>
      </w:r>
      <w:r w:rsidR="003E42A9" w:rsidRPr="00095540">
        <w:rPr>
          <w:szCs w:val="24"/>
        </w:rPr>
        <w:t xml:space="preserve">Brahmaputra, while also diverting water from these structures for irrigation purposes. </w:t>
      </w:r>
    </w:p>
    <w:p w:rsidR="003E42A9" w:rsidRPr="00095540" w:rsidRDefault="005B5C1D" w:rsidP="003E42A9">
      <w:pPr>
        <w:spacing w:line="276" w:lineRule="auto"/>
        <w:jc w:val="both"/>
        <w:rPr>
          <w:szCs w:val="24"/>
        </w:rPr>
      </w:pPr>
      <w:r>
        <w:rPr>
          <w:szCs w:val="24"/>
        </w:rPr>
        <w:t xml:space="preserve">Immediately after </w:t>
      </w:r>
      <w:r w:rsidR="003E42A9" w:rsidRPr="00095540">
        <w:rPr>
          <w:szCs w:val="24"/>
        </w:rPr>
        <w:t xml:space="preserve">1947 </w:t>
      </w:r>
      <w:r>
        <w:rPr>
          <w:szCs w:val="24"/>
        </w:rPr>
        <w:t>partition</w:t>
      </w:r>
      <w:r w:rsidR="003E42A9" w:rsidRPr="00095540">
        <w:rPr>
          <w:szCs w:val="24"/>
        </w:rPr>
        <w:t xml:space="preserve">, these upstream developments posed serious problems as probable consequences were mostly unforeseen by the </w:t>
      </w:r>
      <w:r w:rsidR="003E42A9">
        <w:rPr>
          <w:szCs w:val="24"/>
        </w:rPr>
        <w:t xml:space="preserve">then </w:t>
      </w:r>
      <w:r w:rsidR="003E42A9" w:rsidRPr="00095540">
        <w:rPr>
          <w:szCs w:val="24"/>
        </w:rPr>
        <w:t>downstream government</w:t>
      </w:r>
      <w:r w:rsidR="003E42A9">
        <w:rPr>
          <w:szCs w:val="24"/>
        </w:rPr>
        <w:t>s</w:t>
      </w:r>
      <w:r w:rsidR="003E42A9" w:rsidRPr="00095540">
        <w:rPr>
          <w:szCs w:val="24"/>
        </w:rPr>
        <w:t>. These sparked the initial India-Pa</w:t>
      </w:r>
      <w:r w:rsidR="003E42A9">
        <w:rPr>
          <w:szCs w:val="24"/>
        </w:rPr>
        <w:t>kistan talks in 1951 on past and probable future</w:t>
      </w:r>
      <w:r w:rsidR="003E42A9" w:rsidRPr="00095540">
        <w:rPr>
          <w:szCs w:val="24"/>
        </w:rPr>
        <w:t xml:space="preserve"> interventions in the Ganges; which was subsequently followed by talks for interventions on the </w:t>
      </w:r>
      <w:r w:rsidR="003E42A9">
        <w:rPr>
          <w:szCs w:val="24"/>
        </w:rPr>
        <w:t>Tee</w:t>
      </w:r>
      <w:r w:rsidR="003E42A9" w:rsidRPr="00095540">
        <w:rPr>
          <w:szCs w:val="24"/>
        </w:rPr>
        <w:t>sta in 1955 and also on the Mahananda</w:t>
      </w:r>
      <w:r w:rsidR="003E42A9">
        <w:rPr>
          <w:szCs w:val="24"/>
        </w:rPr>
        <w:t xml:space="preserve">, </w:t>
      </w:r>
      <w:r w:rsidR="003E42A9" w:rsidRPr="00095540">
        <w:rPr>
          <w:szCs w:val="24"/>
        </w:rPr>
        <w:t>Gumti</w:t>
      </w:r>
      <w:r w:rsidR="003E42A9">
        <w:rPr>
          <w:szCs w:val="24"/>
        </w:rPr>
        <w:t xml:space="preserve"> etc</w:t>
      </w:r>
      <w:r w:rsidR="003E42A9" w:rsidRPr="00095540">
        <w:rPr>
          <w:szCs w:val="24"/>
        </w:rPr>
        <w:t>. The governments of India and the then Pakistan held several round</w:t>
      </w:r>
      <w:r w:rsidR="003E42A9">
        <w:rPr>
          <w:szCs w:val="24"/>
        </w:rPr>
        <w:t xml:space="preserve"> of</w:t>
      </w:r>
      <w:r w:rsidR="003E42A9" w:rsidRPr="00095540">
        <w:rPr>
          <w:szCs w:val="24"/>
        </w:rPr>
        <w:t xml:space="preserve"> talks between 1950-70s in resolving the disputes at different administrative levels ranging from </w:t>
      </w:r>
      <w:r>
        <w:rPr>
          <w:szCs w:val="24"/>
        </w:rPr>
        <w:t>ministerial</w:t>
      </w:r>
      <w:r w:rsidRPr="00095540">
        <w:rPr>
          <w:szCs w:val="24"/>
        </w:rPr>
        <w:t xml:space="preserve"> </w:t>
      </w:r>
      <w:r w:rsidR="003E42A9" w:rsidRPr="00095540">
        <w:rPr>
          <w:szCs w:val="24"/>
        </w:rPr>
        <w:t xml:space="preserve">to </w:t>
      </w:r>
      <w:r>
        <w:rPr>
          <w:szCs w:val="24"/>
        </w:rPr>
        <w:t>t</w:t>
      </w:r>
      <w:r w:rsidRPr="00095540">
        <w:rPr>
          <w:szCs w:val="24"/>
        </w:rPr>
        <w:t xml:space="preserve">echnical </w:t>
      </w:r>
      <w:r w:rsidR="003E42A9" w:rsidRPr="00095540">
        <w:rPr>
          <w:szCs w:val="24"/>
        </w:rPr>
        <w:t>level</w:t>
      </w:r>
      <w:r w:rsidR="003E42A9">
        <w:rPr>
          <w:szCs w:val="24"/>
        </w:rPr>
        <w:t>s</w:t>
      </w:r>
      <w:r w:rsidR="003E42A9" w:rsidRPr="00095540">
        <w:rPr>
          <w:szCs w:val="24"/>
        </w:rPr>
        <w:t>. Discussions</w:t>
      </w:r>
      <w:r w:rsidR="003E42A9">
        <w:rPr>
          <w:szCs w:val="24"/>
        </w:rPr>
        <w:t xml:space="preserve"> and correspondence also</w:t>
      </w:r>
      <w:r w:rsidR="003E42A9" w:rsidRPr="00095540">
        <w:rPr>
          <w:szCs w:val="24"/>
        </w:rPr>
        <w:t xml:space="preserve"> took place at the highest </w:t>
      </w:r>
      <w:r w:rsidR="003E42A9">
        <w:rPr>
          <w:szCs w:val="24"/>
        </w:rPr>
        <w:t>echelon of the Government</w:t>
      </w:r>
      <w:r w:rsidR="003E42A9" w:rsidRPr="00095540">
        <w:rPr>
          <w:szCs w:val="24"/>
        </w:rPr>
        <w:t xml:space="preserve">. The Farakka barrage over the Ganges in 1975 was </w:t>
      </w:r>
      <w:r w:rsidR="003E42A9">
        <w:rPr>
          <w:szCs w:val="24"/>
        </w:rPr>
        <w:t xml:space="preserve">among </w:t>
      </w:r>
      <w:r w:rsidR="003E42A9" w:rsidRPr="00095540">
        <w:rPr>
          <w:szCs w:val="24"/>
        </w:rPr>
        <w:t xml:space="preserve">the first of the </w:t>
      </w:r>
      <w:r>
        <w:rPr>
          <w:szCs w:val="24"/>
        </w:rPr>
        <w:t xml:space="preserve">upstream </w:t>
      </w:r>
      <w:r w:rsidR="003E42A9" w:rsidRPr="00095540">
        <w:rPr>
          <w:szCs w:val="24"/>
        </w:rPr>
        <w:t xml:space="preserve">interventions that came </w:t>
      </w:r>
      <w:r>
        <w:rPr>
          <w:szCs w:val="24"/>
        </w:rPr>
        <w:t>at that period.</w:t>
      </w:r>
    </w:p>
    <w:p w:rsidR="003E42A9" w:rsidRPr="009B04B7" w:rsidRDefault="003E42A9" w:rsidP="00B6696C">
      <w:pPr>
        <w:spacing w:line="276" w:lineRule="auto"/>
        <w:jc w:val="both"/>
        <w:rPr>
          <w:b/>
          <w:i/>
          <w:szCs w:val="24"/>
        </w:rPr>
      </w:pPr>
      <w:r w:rsidRPr="009B04B7">
        <w:rPr>
          <w:b/>
          <w:i/>
          <w:szCs w:val="24"/>
        </w:rPr>
        <w:t>Post-Independence Period</w:t>
      </w:r>
    </w:p>
    <w:p w:rsidR="00F64A6A" w:rsidRDefault="003E42A9" w:rsidP="00F64A6A">
      <w:pPr>
        <w:spacing w:line="276" w:lineRule="auto"/>
        <w:jc w:val="both"/>
        <w:rPr>
          <w:rFonts w:cs="Times New Roman"/>
          <w:b/>
          <w:szCs w:val="24"/>
        </w:rPr>
      </w:pPr>
      <w:r w:rsidRPr="00095540">
        <w:rPr>
          <w:szCs w:val="24"/>
        </w:rPr>
        <w:t>To ensure the continuation of this bilateral dialogue process, the Joint Rivers Commission (JRC) was established</w:t>
      </w:r>
      <w:r>
        <w:rPr>
          <w:szCs w:val="24"/>
        </w:rPr>
        <w:t xml:space="preserve"> on a permanent basis pursuant to the joint declaration of the Prime Ministers of Bangladesh and India </w:t>
      </w:r>
      <w:r w:rsidRPr="00095540">
        <w:rPr>
          <w:szCs w:val="24"/>
        </w:rPr>
        <w:t>in March, 1972</w:t>
      </w:r>
      <w:r>
        <w:rPr>
          <w:szCs w:val="24"/>
        </w:rPr>
        <w:t>.</w:t>
      </w:r>
      <w:r w:rsidRPr="00095540">
        <w:rPr>
          <w:szCs w:val="24"/>
        </w:rPr>
        <w:t xml:space="preserve"> </w:t>
      </w:r>
      <w:r w:rsidR="005B5C1D">
        <w:rPr>
          <w:szCs w:val="24"/>
        </w:rPr>
        <w:t>The</w:t>
      </w:r>
      <w:r w:rsidRPr="00095540">
        <w:rPr>
          <w:szCs w:val="24"/>
        </w:rPr>
        <w:t xml:space="preserve"> JRC has held 37 meetings at the </w:t>
      </w:r>
      <w:r w:rsidR="005B5C1D">
        <w:rPr>
          <w:szCs w:val="24"/>
        </w:rPr>
        <w:t>ministe</w:t>
      </w:r>
      <w:r w:rsidR="005B5C1D" w:rsidRPr="00095540">
        <w:rPr>
          <w:szCs w:val="24"/>
        </w:rPr>
        <w:t>r</w:t>
      </w:r>
      <w:r w:rsidR="005B5C1D">
        <w:rPr>
          <w:szCs w:val="24"/>
        </w:rPr>
        <w:t>ial</w:t>
      </w:r>
      <w:r w:rsidR="005B5C1D" w:rsidRPr="00095540">
        <w:rPr>
          <w:szCs w:val="24"/>
        </w:rPr>
        <w:t xml:space="preserve"> </w:t>
      </w:r>
      <w:r w:rsidRPr="00095540">
        <w:rPr>
          <w:szCs w:val="24"/>
        </w:rPr>
        <w:t>level</w:t>
      </w:r>
      <w:r>
        <w:rPr>
          <w:szCs w:val="24"/>
        </w:rPr>
        <w:t xml:space="preserve"> and discussed various issues such as </w:t>
      </w:r>
      <w:r w:rsidRPr="00095540">
        <w:rPr>
          <w:szCs w:val="24"/>
        </w:rPr>
        <w:t xml:space="preserve">sharing of </w:t>
      </w:r>
      <w:r>
        <w:rPr>
          <w:szCs w:val="24"/>
        </w:rPr>
        <w:t xml:space="preserve">trans-boundary </w:t>
      </w:r>
      <w:r w:rsidRPr="00095540">
        <w:rPr>
          <w:szCs w:val="24"/>
        </w:rPr>
        <w:t xml:space="preserve">waters, joint </w:t>
      </w:r>
      <w:r>
        <w:rPr>
          <w:szCs w:val="24"/>
        </w:rPr>
        <w:t xml:space="preserve">river basin </w:t>
      </w:r>
      <w:r w:rsidRPr="00095540">
        <w:rPr>
          <w:szCs w:val="24"/>
        </w:rPr>
        <w:t xml:space="preserve">management, </w:t>
      </w:r>
      <w:r w:rsidR="005B5C1D">
        <w:rPr>
          <w:szCs w:val="24"/>
        </w:rPr>
        <w:t xml:space="preserve">sharing </w:t>
      </w:r>
      <w:r w:rsidRPr="00095540">
        <w:rPr>
          <w:szCs w:val="24"/>
        </w:rPr>
        <w:t>of data, control interventions, embankment &amp; river bank protection</w:t>
      </w:r>
      <w:r w:rsidR="005B5C1D">
        <w:rPr>
          <w:szCs w:val="24"/>
        </w:rPr>
        <w:t>,</w:t>
      </w:r>
      <w:r w:rsidRPr="00095540">
        <w:rPr>
          <w:szCs w:val="24"/>
        </w:rPr>
        <w:t xml:space="preserve"> works adjacent to international border and other pertinent issues of the trans</w:t>
      </w:r>
      <w:r>
        <w:rPr>
          <w:szCs w:val="24"/>
        </w:rPr>
        <w:t>-</w:t>
      </w:r>
      <w:r w:rsidRPr="00095540">
        <w:rPr>
          <w:szCs w:val="24"/>
        </w:rPr>
        <w:t>boundary rivers</w:t>
      </w:r>
      <w:r w:rsidR="005B5C1D">
        <w:rPr>
          <w:szCs w:val="24"/>
        </w:rPr>
        <w:t xml:space="preserve"> for</w:t>
      </w:r>
      <w:r w:rsidRPr="00095540">
        <w:rPr>
          <w:szCs w:val="24"/>
        </w:rPr>
        <w:t xml:space="preserve"> </w:t>
      </w:r>
      <w:r w:rsidR="005B5C1D" w:rsidRPr="00095540">
        <w:rPr>
          <w:szCs w:val="24"/>
        </w:rPr>
        <w:t>undertak</w:t>
      </w:r>
      <w:r w:rsidR="005B5C1D">
        <w:rPr>
          <w:szCs w:val="24"/>
        </w:rPr>
        <w:t>ing</w:t>
      </w:r>
      <w:r w:rsidR="005B5C1D" w:rsidRPr="00095540">
        <w:rPr>
          <w:szCs w:val="24"/>
        </w:rPr>
        <w:t xml:space="preserve"> </w:t>
      </w:r>
      <w:r w:rsidRPr="00095540">
        <w:rPr>
          <w:szCs w:val="24"/>
        </w:rPr>
        <w:t xml:space="preserve">appropriate actions. </w:t>
      </w:r>
      <w:r w:rsidR="000264FD">
        <w:rPr>
          <w:szCs w:val="24"/>
        </w:rPr>
        <w:t>JRC</w:t>
      </w:r>
      <w:r w:rsidRPr="00095540">
        <w:rPr>
          <w:szCs w:val="24"/>
        </w:rPr>
        <w:t xml:space="preserve"> is </w:t>
      </w:r>
      <w:r w:rsidR="000264FD">
        <w:rPr>
          <w:szCs w:val="24"/>
        </w:rPr>
        <w:t xml:space="preserve"> authorized to </w:t>
      </w:r>
      <w:r w:rsidRPr="00095540">
        <w:rPr>
          <w:szCs w:val="24"/>
        </w:rPr>
        <w:t xml:space="preserve"> address technical issues of common rivers, resolve minor issues and facilitate communication between both countries. On the operational level, the </w:t>
      </w:r>
      <w:r w:rsidR="000264FD">
        <w:rPr>
          <w:szCs w:val="24"/>
        </w:rPr>
        <w:t xml:space="preserve">JRC </w:t>
      </w:r>
      <w:r w:rsidRPr="00095540">
        <w:rPr>
          <w:szCs w:val="24"/>
        </w:rPr>
        <w:t xml:space="preserve">monitors the </w:t>
      </w:r>
      <w:r w:rsidR="000264FD">
        <w:rPr>
          <w:szCs w:val="24"/>
        </w:rPr>
        <w:t xml:space="preserve">implementation of the </w:t>
      </w:r>
      <w:r w:rsidRPr="00095540">
        <w:rPr>
          <w:szCs w:val="24"/>
        </w:rPr>
        <w:t xml:space="preserve">Ganges Treaty at the Farakka </w:t>
      </w:r>
      <w:r w:rsidR="000264FD">
        <w:rPr>
          <w:szCs w:val="24"/>
        </w:rPr>
        <w:t xml:space="preserve">Point </w:t>
      </w:r>
      <w:r w:rsidRPr="00095540">
        <w:rPr>
          <w:szCs w:val="24"/>
        </w:rPr>
        <w:t xml:space="preserve">. </w:t>
      </w:r>
      <w:r w:rsidR="000264FD">
        <w:rPr>
          <w:rFonts w:cs="Times New Roman"/>
          <w:b/>
          <w:szCs w:val="24"/>
        </w:rPr>
        <w:t xml:space="preserve">Present </w:t>
      </w:r>
      <w:r w:rsidRPr="001D7625">
        <w:rPr>
          <w:rFonts w:cs="Times New Roman"/>
          <w:b/>
          <w:szCs w:val="24"/>
        </w:rPr>
        <w:t>Trans-boundary Issues</w:t>
      </w:r>
    </w:p>
    <w:p w:rsidR="003E42A9" w:rsidRDefault="003E42A9" w:rsidP="003E42A9">
      <w:pPr>
        <w:spacing w:line="276" w:lineRule="auto"/>
        <w:jc w:val="both"/>
        <w:rPr>
          <w:szCs w:val="24"/>
        </w:rPr>
      </w:pPr>
      <w:r w:rsidRPr="00095540">
        <w:rPr>
          <w:szCs w:val="24"/>
        </w:rPr>
        <w:t>Being highly dependent upon upstream</w:t>
      </w:r>
      <w:r>
        <w:rPr>
          <w:szCs w:val="24"/>
        </w:rPr>
        <w:t xml:space="preserve"> flows</w:t>
      </w:r>
      <w:r w:rsidRPr="00095540">
        <w:rPr>
          <w:szCs w:val="24"/>
        </w:rPr>
        <w:t xml:space="preserve">, diversion, use or storage of flows from the trans-boundary </w:t>
      </w:r>
      <w:r>
        <w:rPr>
          <w:szCs w:val="24"/>
        </w:rPr>
        <w:t>r</w:t>
      </w:r>
      <w:r w:rsidRPr="00095540">
        <w:rPr>
          <w:szCs w:val="24"/>
        </w:rPr>
        <w:t xml:space="preserve">ivers </w:t>
      </w:r>
      <w:r w:rsidR="000264FD">
        <w:rPr>
          <w:szCs w:val="24"/>
        </w:rPr>
        <w:t>are</w:t>
      </w:r>
      <w:r w:rsidR="000264FD" w:rsidRPr="00095540">
        <w:rPr>
          <w:szCs w:val="24"/>
        </w:rPr>
        <w:t xml:space="preserve"> </w:t>
      </w:r>
      <w:r w:rsidRPr="00095540">
        <w:rPr>
          <w:szCs w:val="24"/>
        </w:rPr>
        <w:t xml:space="preserve">of major </w:t>
      </w:r>
      <w:r>
        <w:rPr>
          <w:szCs w:val="24"/>
        </w:rPr>
        <w:t>concern</w:t>
      </w:r>
      <w:r w:rsidRPr="00095540">
        <w:rPr>
          <w:szCs w:val="24"/>
        </w:rPr>
        <w:t xml:space="preserve"> to Bangladesh. Impacts on dry and monsoon flows, salinization, siltation of rivers and sediment deposition in the Meghna estuary are the most </w:t>
      </w:r>
      <w:r w:rsidR="000264FD">
        <w:rPr>
          <w:szCs w:val="24"/>
        </w:rPr>
        <w:t>critical</w:t>
      </w:r>
      <w:r w:rsidR="000264FD" w:rsidRPr="00095540">
        <w:rPr>
          <w:szCs w:val="24"/>
        </w:rPr>
        <w:t xml:space="preserve"> </w:t>
      </w:r>
      <w:r w:rsidR="002E04F3">
        <w:rPr>
          <w:szCs w:val="24"/>
        </w:rPr>
        <w:t>issues</w:t>
      </w:r>
      <w:r w:rsidR="002E04F3" w:rsidRPr="00095540">
        <w:rPr>
          <w:szCs w:val="24"/>
        </w:rPr>
        <w:t>. Moreover</w:t>
      </w:r>
      <w:r w:rsidRPr="00095540">
        <w:rPr>
          <w:szCs w:val="24"/>
        </w:rPr>
        <w:t xml:space="preserve">, the frequency and intensity of flooding is increasing owing to the changing climate. </w:t>
      </w:r>
    </w:p>
    <w:p w:rsidR="003E42A9" w:rsidRDefault="003E42A9" w:rsidP="003E42A9">
      <w:pPr>
        <w:spacing w:line="276" w:lineRule="auto"/>
        <w:jc w:val="both"/>
        <w:rPr>
          <w:szCs w:val="24"/>
        </w:rPr>
      </w:pPr>
      <w:r w:rsidRPr="00095540">
        <w:rPr>
          <w:szCs w:val="24"/>
        </w:rPr>
        <w:t>For Bangladesh, about 87 percent of the total annual water availability c</w:t>
      </w:r>
      <w:r>
        <w:rPr>
          <w:szCs w:val="24"/>
        </w:rPr>
        <w:t xml:space="preserve">omes from the three main rivers, where </w:t>
      </w:r>
      <w:r w:rsidR="002E04F3">
        <w:rPr>
          <w:szCs w:val="24"/>
        </w:rPr>
        <w:t xml:space="preserve">the </w:t>
      </w:r>
      <w:r w:rsidR="002E04F3" w:rsidRPr="00095540">
        <w:rPr>
          <w:szCs w:val="24"/>
        </w:rPr>
        <w:t>primary</w:t>
      </w:r>
      <w:r w:rsidRPr="00095540">
        <w:rPr>
          <w:szCs w:val="24"/>
        </w:rPr>
        <w:t xml:space="preserve"> contribution among the major three rivers comes from the </w:t>
      </w:r>
      <w:r w:rsidR="002E04F3" w:rsidRPr="00095540">
        <w:rPr>
          <w:szCs w:val="24"/>
        </w:rPr>
        <w:t>Brahmaputra. But</w:t>
      </w:r>
      <w:r w:rsidRPr="00095540">
        <w:rPr>
          <w:szCs w:val="24"/>
        </w:rPr>
        <w:t xml:space="preserve"> </w:t>
      </w:r>
      <w:r>
        <w:rPr>
          <w:szCs w:val="24"/>
        </w:rPr>
        <w:t xml:space="preserve">as </w:t>
      </w:r>
      <w:r w:rsidRPr="00095540">
        <w:rPr>
          <w:szCs w:val="24"/>
        </w:rPr>
        <w:t>this amount gets severely reduced down to about 7 percent during the dry season</w:t>
      </w:r>
      <w:r>
        <w:rPr>
          <w:szCs w:val="24"/>
        </w:rPr>
        <w:t xml:space="preserve">, </w:t>
      </w:r>
      <w:r w:rsidRPr="00095540">
        <w:rPr>
          <w:szCs w:val="24"/>
        </w:rPr>
        <w:t>arrangements for equitable sharing of water become one of the most crucial aspects</w:t>
      </w:r>
      <w:r>
        <w:rPr>
          <w:szCs w:val="24"/>
        </w:rPr>
        <w:t>.</w:t>
      </w:r>
      <w:r w:rsidRPr="00095540">
        <w:rPr>
          <w:szCs w:val="24"/>
        </w:rPr>
        <w:t xml:space="preserve"> Also, as </w:t>
      </w:r>
      <w:r>
        <w:rPr>
          <w:szCs w:val="24"/>
        </w:rPr>
        <w:t>the</w:t>
      </w:r>
      <w:r w:rsidRPr="00095540">
        <w:rPr>
          <w:szCs w:val="24"/>
        </w:rPr>
        <w:t xml:space="preserve"> downstream country, Bangladesh is prone to river </w:t>
      </w:r>
      <w:r w:rsidRPr="00095540">
        <w:rPr>
          <w:szCs w:val="24"/>
        </w:rPr>
        <w:lastRenderedPageBreak/>
        <w:t>flooding due to increased upstream flow during monsoon. Deterioration of quality of water due to upstream interventions is further restricting access to safe drinking water. Initiatives and discussions need to be</w:t>
      </w:r>
      <w:r w:rsidR="000264FD">
        <w:rPr>
          <w:szCs w:val="24"/>
        </w:rPr>
        <w:t xml:space="preserve"> undertaken both at </w:t>
      </w:r>
      <w:r w:rsidRPr="00095540">
        <w:rPr>
          <w:szCs w:val="24"/>
        </w:rPr>
        <w:t xml:space="preserve"> bilateral </w:t>
      </w:r>
      <w:r w:rsidR="000264FD">
        <w:rPr>
          <w:szCs w:val="24"/>
        </w:rPr>
        <w:t>and</w:t>
      </w:r>
      <w:r w:rsidRPr="00095540">
        <w:rPr>
          <w:szCs w:val="24"/>
        </w:rPr>
        <w:t xml:space="preserve"> multilateral</w:t>
      </w:r>
      <w:r w:rsidR="000264FD">
        <w:rPr>
          <w:szCs w:val="24"/>
        </w:rPr>
        <w:t xml:space="preserve"> including all the upper riparian countries.</w:t>
      </w:r>
      <w:r w:rsidRPr="00095540">
        <w:rPr>
          <w:szCs w:val="24"/>
        </w:rPr>
        <w:t xml:space="preserve"> </w:t>
      </w:r>
    </w:p>
    <w:p w:rsidR="003E42A9" w:rsidRPr="005A7261" w:rsidRDefault="003E42A9" w:rsidP="003E42A9">
      <w:pPr>
        <w:spacing w:line="276" w:lineRule="auto"/>
        <w:jc w:val="both"/>
        <w:rPr>
          <w:szCs w:val="24"/>
        </w:rPr>
      </w:pPr>
      <w:r w:rsidRPr="00095540">
        <w:rPr>
          <w:szCs w:val="24"/>
        </w:rPr>
        <w:t xml:space="preserve">Although, </w:t>
      </w:r>
      <w:r w:rsidRPr="00095540">
        <w:rPr>
          <w:szCs w:val="24"/>
          <w:lang w:val="en-GB"/>
        </w:rPr>
        <w:t>India and China</w:t>
      </w:r>
      <w:r>
        <w:rPr>
          <w:szCs w:val="24"/>
          <w:lang w:val="en-GB"/>
        </w:rPr>
        <w:t xml:space="preserve">’s policy </w:t>
      </w:r>
      <w:r w:rsidR="000264FD">
        <w:rPr>
          <w:szCs w:val="24"/>
          <w:lang w:val="en-GB"/>
        </w:rPr>
        <w:t xml:space="preserve">was driven </w:t>
      </w:r>
      <w:r>
        <w:rPr>
          <w:szCs w:val="24"/>
          <w:lang w:val="en-GB"/>
        </w:rPr>
        <w:t xml:space="preserve">towards </w:t>
      </w:r>
      <w:r w:rsidRPr="00095540">
        <w:rPr>
          <w:szCs w:val="24"/>
          <w:lang w:val="en-GB"/>
        </w:rPr>
        <w:t>bilateral</w:t>
      </w:r>
      <w:r>
        <w:rPr>
          <w:szCs w:val="24"/>
          <w:lang w:val="en-GB"/>
        </w:rPr>
        <w:t xml:space="preserve"> negotiations</w:t>
      </w:r>
      <w:r w:rsidRPr="00095540">
        <w:rPr>
          <w:szCs w:val="24"/>
          <w:lang w:val="en-GB"/>
        </w:rPr>
        <w:t xml:space="preserve"> with other riparian countries</w:t>
      </w:r>
      <w:r>
        <w:rPr>
          <w:szCs w:val="24"/>
          <w:lang w:val="en-GB"/>
        </w:rPr>
        <w:t>,</w:t>
      </w:r>
      <w:r w:rsidRPr="00095540">
        <w:rPr>
          <w:szCs w:val="24"/>
          <w:lang w:val="en-GB"/>
        </w:rPr>
        <w:t xml:space="preserve"> this</w:t>
      </w:r>
      <w:r>
        <w:rPr>
          <w:szCs w:val="24"/>
          <w:lang w:val="en-GB"/>
        </w:rPr>
        <w:t xml:space="preserve"> </w:t>
      </w:r>
      <w:r w:rsidR="002E04F3">
        <w:rPr>
          <w:szCs w:val="24"/>
          <w:lang w:val="en-GB"/>
        </w:rPr>
        <w:t>generic viewpoint</w:t>
      </w:r>
      <w:r w:rsidRPr="00095540">
        <w:rPr>
          <w:szCs w:val="24"/>
          <w:lang w:val="en-GB"/>
        </w:rPr>
        <w:t xml:space="preserve"> however, is witnessing a shift in India’s attitude towards a more multilateral approach with regard to the country’s trans</w:t>
      </w:r>
      <w:r>
        <w:rPr>
          <w:szCs w:val="24"/>
          <w:lang w:val="en-GB"/>
        </w:rPr>
        <w:t>-</w:t>
      </w:r>
      <w:r w:rsidRPr="00095540">
        <w:rPr>
          <w:szCs w:val="24"/>
          <w:lang w:val="en-GB"/>
        </w:rPr>
        <w:t xml:space="preserve">boundary rivers. The state </w:t>
      </w:r>
      <w:r w:rsidR="002A3588">
        <w:rPr>
          <w:szCs w:val="24"/>
          <w:lang w:val="en-GB"/>
        </w:rPr>
        <w:t xml:space="preserve">level </w:t>
      </w:r>
      <w:r w:rsidRPr="00095540">
        <w:rPr>
          <w:szCs w:val="24"/>
          <w:lang w:val="en-GB"/>
        </w:rPr>
        <w:t>visits between India and Bangladesh in 2010, 2011 and 2015 paved the way for initiative</w:t>
      </w:r>
      <w:r>
        <w:rPr>
          <w:szCs w:val="24"/>
          <w:lang w:val="en-GB"/>
        </w:rPr>
        <w:t>s</w:t>
      </w:r>
      <w:r w:rsidRPr="00095540">
        <w:rPr>
          <w:szCs w:val="24"/>
          <w:lang w:val="en-GB"/>
        </w:rPr>
        <w:t xml:space="preserve"> involving Nepal, Bhutan, India and Bangladesh to jointly manage the Ganges and the Brahmaputra rivers. So far, th</w:t>
      </w:r>
      <w:r>
        <w:rPr>
          <w:szCs w:val="24"/>
          <w:lang w:val="en-GB"/>
        </w:rPr>
        <w:t>ese</w:t>
      </w:r>
      <w:r w:rsidRPr="00095540">
        <w:rPr>
          <w:szCs w:val="24"/>
          <w:lang w:val="en-GB"/>
        </w:rPr>
        <w:t xml:space="preserve"> initiatives </w:t>
      </w:r>
      <w:r>
        <w:rPr>
          <w:szCs w:val="24"/>
          <w:lang w:val="en-GB"/>
        </w:rPr>
        <w:t>are in an initial</w:t>
      </w:r>
      <w:r w:rsidRPr="00095540">
        <w:rPr>
          <w:szCs w:val="24"/>
          <w:lang w:val="en-GB"/>
        </w:rPr>
        <w:t xml:space="preserve"> stage but seem as a promising development </w:t>
      </w:r>
      <w:r>
        <w:rPr>
          <w:szCs w:val="24"/>
          <w:lang w:val="en-GB"/>
        </w:rPr>
        <w:t>in</w:t>
      </w:r>
      <w:r w:rsidRPr="00095540">
        <w:rPr>
          <w:szCs w:val="24"/>
          <w:lang w:val="en-GB"/>
        </w:rPr>
        <w:t xml:space="preserve"> regard to water diplomacy practices in the Ganges-</w:t>
      </w:r>
      <w:r w:rsidR="002A3588">
        <w:rPr>
          <w:szCs w:val="24"/>
          <w:lang w:val="en-GB"/>
        </w:rPr>
        <w:t xml:space="preserve">the </w:t>
      </w:r>
      <w:r w:rsidRPr="00095540">
        <w:rPr>
          <w:szCs w:val="24"/>
          <w:lang w:val="en-GB"/>
        </w:rPr>
        <w:t>Brahmaputra-</w:t>
      </w:r>
      <w:r w:rsidR="002A3588">
        <w:rPr>
          <w:szCs w:val="24"/>
          <w:lang w:val="en-GB"/>
        </w:rPr>
        <w:t xml:space="preserve">the </w:t>
      </w:r>
      <w:r w:rsidRPr="00095540">
        <w:rPr>
          <w:szCs w:val="24"/>
          <w:lang w:val="en-GB"/>
        </w:rPr>
        <w:t>Meghna basins.</w:t>
      </w:r>
    </w:p>
    <w:p w:rsidR="00F64A6A" w:rsidRDefault="003E42A9" w:rsidP="00F64A6A">
      <w:pPr>
        <w:pStyle w:val="Heading2"/>
        <w:numPr>
          <w:ilvl w:val="0"/>
          <w:numId w:val="0"/>
        </w:numPr>
        <w:ind w:left="720"/>
      </w:pPr>
      <w:bookmarkStart w:id="237" w:name="_Toc463603898"/>
      <w:bookmarkStart w:id="238" w:name="_Toc474638869"/>
      <w:r w:rsidRPr="00017A17">
        <w:t>Regional Co-operation Framework and River Basin Organization</w:t>
      </w:r>
      <w:bookmarkEnd w:id="237"/>
      <w:bookmarkEnd w:id="238"/>
    </w:p>
    <w:p w:rsidR="003E42A9" w:rsidRPr="00853F5A" w:rsidRDefault="003E42A9" w:rsidP="003E42A9">
      <w:pPr>
        <w:spacing w:line="276" w:lineRule="auto"/>
        <w:jc w:val="both"/>
        <w:rPr>
          <w:szCs w:val="24"/>
        </w:rPr>
      </w:pPr>
      <w:r w:rsidRPr="00853F5A">
        <w:rPr>
          <w:szCs w:val="24"/>
        </w:rPr>
        <w:t xml:space="preserve">Water is the most important natural resource for the survival of </w:t>
      </w:r>
      <w:r w:rsidR="002A3588">
        <w:rPr>
          <w:szCs w:val="24"/>
        </w:rPr>
        <w:t>the mankind</w:t>
      </w:r>
      <w:r w:rsidRPr="00853F5A">
        <w:rPr>
          <w:szCs w:val="24"/>
        </w:rPr>
        <w:t xml:space="preserve">. </w:t>
      </w:r>
      <w:r>
        <w:rPr>
          <w:szCs w:val="24"/>
        </w:rPr>
        <w:t>Globally, about 97.50 percent of the water is saline and only 2.50 percent is fresh water. Out of this 2.50 percent,</w:t>
      </w:r>
      <w:r w:rsidRPr="00853F5A">
        <w:rPr>
          <w:szCs w:val="24"/>
        </w:rPr>
        <w:t xml:space="preserve"> only 0.30 percent is avai</w:t>
      </w:r>
      <w:r>
        <w:rPr>
          <w:szCs w:val="24"/>
        </w:rPr>
        <w:t>lable as surface water in river systems</w:t>
      </w:r>
      <w:r w:rsidRPr="00853F5A">
        <w:rPr>
          <w:szCs w:val="24"/>
        </w:rPr>
        <w:t>, lakes and reservoirs. Even this freshwater system is undergoing continuous natu</w:t>
      </w:r>
      <w:r>
        <w:rPr>
          <w:szCs w:val="24"/>
        </w:rPr>
        <w:t>ral changes in terms of quality and</w:t>
      </w:r>
      <w:r w:rsidRPr="00853F5A">
        <w:rPr>
          <w:szCs w:val="24"/>
        </w:rPr>
        <w:t xml:space="preserve"> quantity as the bodies bearing this water is under constant change both morphologically and hydro-dynamically. Thus</w:t>
      </w:r>
      <w:r>
        <w:rPr>
          <w:szCs w:val="24"/>
        </w:rPr>
        <w:t>,</w:t>
      </w:r>
      <w:r w:rsidRPr="00853F5A">
        <w:rPr>
          <w:szCs w:val="24"/>
        </w:rPr>
        <w:t xml:space="preserve"> managing the sustainable development of such precious a resource can exert i</w:t>
      </w:r>
      <w:r>
        <w:rPr>
          <w:szCs w:val="24"/>
        </w:rPr>
        <w:t>mm</w:t>
      </w:r>
      <w:r w:rsidRPr="00853F5A">
        <w:rPr>
          <w:szCs w:val="24"/>
        </w:rPr>
        <w:t xml:space="preserve">ense pressure both within as well as among </w:t>
      </w:r>
      <w:r>
        <w:rPr>
          <w:szCs w:val="24"/>
        </w:rPr>
        <w:t>inter</w:t>
      </w:r>
      <w:r w:rsidRPr="00853F5A">
        <w:rPr>
          <w:szCs w:val="24"/>
        </w:rPr>
        <w:t xml:space="preserve">national borders of the respective two or more nations sharing the same river basins. </w:t>
      </w:r>
      <w:r>
        <w:rPr>
          <w:szCs w:val="24"/>
        </w:rPr>
        <w:t xml:space="preserve">Although there are some good practice examples of regional water cooperation in different parts of the world, they remain a minority.  </w:t>
      </w:r>
      <w:r w:rsidRPr="00853F5A">
        <w:rPr>
          <w:szCs w:val="24"/>
        </w:rPr>
        <w:t>Still to date, 60 percent of the shared river basins have no cooperative management framework based on the principles of equitable and reasonable distribution and utilization. This lack of regional and trans</w:t>
      </w:r>
      <w:r>
        <w:rPr>
          <w:szCs w:val="24"/>
        </w:rPr>
        <w:t>-</w:t>
      </w:r>
      <w:r w:rsidRPr="00853F5A">
        <w:rPr>
          <w:szCs w:val="24"/>
        </w:rPr>
        <w:t>boundary cooperation is giving rise to conflicts among the riparian countries.</w:t>
      </w:r>
    </w:p>
    <w:p w:rsidR="003E42A9" w:rsidRDefault="003E42A9" w:rsidP="003E42A9">
      <w:pPr>
        <w:spacing w:line="276" w:lineRule="auto"/>
        <w:jc w:val="both"/>
        <w:rPr>
          <w:szCs w:val="24"/>
        </w:rPr>
      </w:pPr>
      <w:r w:rsidRPr="00853F5A">
        <w:rPr>
          <w:szCs w:val="24"/>
        </w:rPr>
        <w:t xml:space="preserve">As the lowermost riparian recipient of water from the Ganges, Brahmaputra and Meghna, which also flows through India, China, Bhutan and Nepal, any intervening development upon the river dynamics and/ or morphology; either individually or bilaterally can further aggravate the already vulnerable scenarios Bangladesh is </w:t>
      </w:r>
      <w:r>
        <w:rPr>
          <w:szCs w:val="24"/>
        </w:rPr>
        <w:t xml:space="preserve">currently </w:t>
      </w:r>
      <w:r w:rsidRPr="00853F5A">
        <w:rPr>
          <w:szCs w:val="24"/>
        </w:rPr>
        <w:t xml:space="preserve">facing in terms of water availability. Spatial and temporal variation of the otherwise bountiful annual water resource is a major hindrance to the socio-economic development of Bangladesh. Proper utilization and management of river basin can only be ensured through </w:t>
      </w:r>
      <w:r>
        <w:rPr>
          <w:szCs w:val="24"/>
        </w:rPr>
        <w:t xml:space="preserve">the </w:t>
      </w:r>
      <w:r w:rsidRPr="00853F5A">
        <w:rPr>
          <w:szCs w:val="24"/>
        </w:rPr>
        <w:t xml:space="preserve">sharing of knowledge and resources equitably and planning holistic and integrated approach at river basin scale. To that end, the Governments of Bangladesh and India </w:t>
      </w:r>
      <w:r w:rsidRPr="0093435A">
        <w:rPr>
          <w:szCs w:val="24"/>
        </w:rPr>
        <w:t>signed a "Framework Agreement on Cooperation for Development" in September</w:t>
      </w:r>
      <w:r>
        <w:rPr>
          <w:szCs w:val="24"/>
        </w:rPr>
        <w:t>, 2011.</w:t>
      </w:r>
    </w:p>
    <w:p w:rsidR="003E42A9" w:rsidRPr="009C734B" w:rsidRDefault="003E42A9" w:rsidP="003E42A9">
      <w:pPr>
        <w:spacing w:line="276" w:lineRule="auto"/>
        <w:jc w:val="both"/>
        <w:rPr>
          <w:szCs w:val="24"/>
        </w:rPr>
      </w:pPr>
      <w:r w:rsidRPr="009C734B">
        <w:rPr>
          <w:szCs w:val="24"/>
          <w:lang w:val="en-GB"/>
        </w:rPr>
        <w:lastRenderedPageBreak/>
        <w:t>This historical document encompasses number of areas of mutual interest, the highlights of which are as follows.</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promote trade investment and economic cooperation;</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enhance cooperation in sharing of waters of common rivers and exploring the; possibilities of common basin management of common rivers for mutual benefit;</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cooperate in flood forecasting and control;</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 xml:space="preserve">To cooperate and provide necessary assistance to each other to enhance navigability and accessibility of river routes and ports; </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develop mechanisms for technical cooperation and exchange of advance information with respect to natural disasters;</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establish arrangements for cooperation in generation, transmission and distribution of electricity, including electricity from renewable or other sources;</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promote scientific, educational, cultural and people to people exchanges and cooperation between the two countries, which will be implemented through programmes and joint initiatives in the areas of agriculture, education and culture, health, tourism, sports, science and technology;</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develop and implement programmes for environmental protection and responding to the challenges of climate change through adaptation;</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harness the advantage of sub-regional cooperation in the power sector, water resources management, physical connectivity, environment and sustainable development for mutual advantage, including jointly developing and financing projects;</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cooperate closely on issues relating to their national interests; and</w:t>
      </w:r>
    </w:p>
    <w:p w:rsidR="003E42A9" w:rsidRPr="0070611C" w:rsidRDefault="003E42A9" w:rsidP="003D5A31">
      <w:pPr>
        <w:pStyle w:val="ListParagraph"/>
        <w:numPr>
          <w:ilvl w:val="0"/>
          <w:numId w:val="109"/>
        </w:numPr>
        <w:spacing w:line="276" w:lineRule="auto"/>
        <w:jc w:val="both"/>
        <w:rPr>
          <w:szCs w:val="24"/>
          <w:lang w:val="en-GB"/>
        </w:rPr>
      </w:pPr>
      <w:r w:rsidRPr="0070611C">
        <w:rPr>
          <w:szCs w:val="24"/>
          <w:lang w:val="en-GB"/>
        </w:rPr>
        <w:t>To cooperate on security issues of concern to each other while fully respecting each other’s sovereignty.</w:t>
      </w:r>
    </w:p>
    <w:p w:rsidR="003E42A9" w:rsidRPr="0008597A" w:rsidRDefault="002E04F3" w:rsidP="003E42A9">
      <w:pPr>
        <w:spacing w:line="276" w:lineRule="auto"/>
        <w:jc w:val="both"/>
        <w:rPr>
          <w:szCs w:val="24"/>
        </w:rPr>
      </w:pPr>
      <w:r>
        <w:rPr>
          <w:szCs w:val="24"/>
        </w:rPr>
        <w:t xml:space="preserve">Both governments </w:t>
      </w:r>
      <w:r w:rsidRPr="00853F5A">
        <w:rPr>
          <w:szCs w:val="24"/>
        </w:rPr>
        <w:t>agree</w:t>
      </w:r>
      <w:r>
        <w:rPr>
          <w:szCs w:val="24"/>
        </w:rPr>
        <w:t xml:space="preserve">d </w:t>
      </w:r>
      <w:r w:rsidRPr="00853F5A">
        <w:rPr>
          <w:szCs w:val="24"/>
        </w:rPr>
        <w:t>on enhancing cooperation in sharing of water resource o</w:t>
      </w:r>
      <w:r>
        <w:rPr>
          <w:szCs w:val="24"/>
        </w:rPr>
        <w:t>f common rivers and</w:t>
      </w:r>
      <w:r w:rsidRPr="00853F5A">
        <w:rPr>
          <w:szCs w:val="24"/>
        </w:rPr>
        <w:t xml:space="preserve"> integrated river basin management</w:t>
      </w:r>
      <w:r>
        <w:rPr>
          <w:szCs w:val="24"/>
        </w:rPr>
        <w:t xml:space="preserve"> in light of this framework</w:t>
      </w:r>
      <w:r>
        <w:rPr>
          <w:szCs w:val="24"/>
          <w:lang w:val="en-GB"/>
        </w:rPr>
        <w:t>which</w:t>
      </w:r>
      <w:r w:rsidRPr="00853F5A">
        <w:rPr>
          <w:szCs w:val="24"/>
        </w:rPr>
        <w:t xml:space="preserve"> has opened the opportunity towards establishment of joint body </w:t>
      </w:r>
      <w:r>
        <w:rPr>
          <w:szCs w:val="24"/>
        </w:rPr>
        <w:t>R</w:t>
      </w:r>
      <w:r w:rsidRPr="00853F5A">
        <w:rPr>
          <w:szCs w:val="24"/>
        </w:rPr>
        <w:t xml:space="preserve">iver </w:t>
      </w:r>
      <w:r>
        <w:rPr>
          <w:szCs w:val="24"/>
        </w:rPr>
        <w:t>B</w:t>
      </w:r>
      <w:r w:rsidRPr="00853F5A">
        <w:rPr>
          <w:szCs w:val="24"/>
        </w:rPr>
        <w:t xml:space="preserve">asin </w:t>
      </w:r>
      <w:r>
        <w:rPr>
          <w:szCs w:val="24"/>
        </w:rPr>
        <w:t>O</w:t>
      </w:r>
      <w:r w:rsidRPr="00853F5A">
        <w:rPr>
          <w:szCs w:val="24"/>
        </w:rPr>
        <w:t>rganizations</w:t>
      </w:r>
      <w:r>
        <w:rPr>
          <w:szCs w:val="24"/>
        </w:rPr>
        <w:t xml:space="preserve"> (RBOs) to address the issue of common river basin management through implementation of Integrated Water Resources Management (IWRM) at river basin level and</w:t>
      </w:r>
      <w:r w:rsidRPr="00853F5A">
        <w:rPr>
          <w:szCs w:val="24"/>
        </w:rPr>
        <w:t xml:space="preserve"> comprising re</w:t>
      </w:r>
      <w:r>
        <w:rPr>
          <w:szCs w:val="24"/>
        </w:rPr>
        <w:t xml:space="preserve">presentatives from the respective member riparian </w:t>
      </w:r>
      <w:r w:rsidRPr="00853F5A">
        <w:rPr>
          <w:szCs w:val="24"/>
        </w:rPr>
        <w:t>countries</w:t>
      </w:r>
      <w:r>
        <w:rPr>
          <w:szCs w:val="24"/>
        </w:rPr>
        <w:t xml:space="preserve">. </w:t>
      </w:r>
      <w:r w:rsidR="003E42A9">
        <w:rPr>
          <w:szCs w:val="24"/>
        </w:rPr>
        <w:t>Some examples of similar basin wide organizations are the Mekong River Commission, Nile Basin Initiative, and International Commission for the Protection of the Rhine, Lake Chad River Commission etc. Although presently, there are no such organizations in existence for the South Asia region, the following can be established in light of the above framework:</w:t>
      </w:r>
    </w:p>
    <w:p w:rsidR="003E42A9" w:rsidRPr="00BA64EB" w:rsidRDefault="003E42A9" w:rsidP="003D5A31">
      <w:pPr>
        <w:pStyle w:val="ListParagraph"/>
        <w:numPr>
          <w:ilvl w:val="0"/>
          <w:numId w:val="109"/>
        </w:numPr>
        <w:spacing w:line="276" w:lineRule="auto"/>
        <w:jc w:val="both"/>
        <w:rPr>
          <w:szCs w:val="24"/>
          <w:lang w:val="en-GB"/>
        </w:rPr>
      </w:pPr>
      <w:r w:rsidRPr="00BA64EB">
        <w:rPr>
          <w:szCs w:val="24"/>
          <w:lang w:val="en-GB"/>
        </w:rPr>
        <w:t>Ganges River Basin Organization - comprising Bangladesh, India and Nepal;</w:t>
      </w:r>
    </w:p>
    <w:p w:rsidR="003E42A9" w:rsidRPr="00BA64EB" w:rsidRDefault="003E42A9" w:rsidP="003D5A31">
      <w:pPr>
        <w:pStyle w:val="ListParagraph"/>
        <w:numPr>
          <w:ilvl w:val="0"/>
          <w:numId w:val="109"/>
        </w:numPr>
        <w:spacing w:line="276" w:lineRule="auto"/>
        <w:jc w:val="both"/>
        <w:rPr>
          <w:szCs w:val="24"/>
          <w:lang w:val="en-GB"/>
        </w:rPr>
      </w:pPr>
      <w:r w:rsidRPr="00BA64EB">
        <w:rPr>
          <w:szCs w:val="24"/>
          <w:lang w:val="en-GB"/>
        </w:rPr>
        <w:lastRenderedPageBreak/>
        <w:t>Brahmaputra River Basin Organization - comprising Bangladesh, India, Bhutan and China; and</w:t>
      </w:r>
    </w:p>
    <w:p w:rsidR="003E42A9" w:rsidRPr="00017A17" w:rsidRDefault="003E42A9" w:rsidP="003D5A31">
      <w:pPr>
        <w:pStyle w:val="ListParagraph"/>
        <w:numPr>
          <w:ilvl w:val="0"/>
          <w:numId w:val="109"/>
        </w:numPr>
        <w:spacing w:line="276" w:lineRule="auto"/>
        <w:jc w:val="both"/>
        <w:rPr>
          <w:szCs w:val="24"/>
          <w:lang w:val="en-GB"/>
        </w:rPr>
      </w:pPr>
      <w:r w:rsidRPr="00BA64EB">
        <w:rPr>
          <w:szCs w:val="24"/>
          <w:lang w:val="en-GB"/>
        </w:rPr>
        <w:t>Meghna/ Barak River Basin Organization - between Bangladesh and India</w:t>
      </w:r>
    </w:p>
    <w:p w:rsidR="00000000" w:rsidRDefault="003E42A9" w:rsidP="003D5A31">
      <w:pPr>
        <w:pStyle w:val="BodyText"/>
        <w:numPr>
          <w:ilvl w:val="2"/>
          <w:numId w:val="144"/>
        </w:numPr>
        <w:spacing w:after="240" w:line="276" w:lineRule="auto"/>
        <w:jc w:val="both"/>
        <w:rPr>
          <w:rFonts w:cs="Times New Roman"/>
          <w:b/>
          <w:szCs w:val="24"/>
        </w:rPr>
      </w:pPr>
      <w:r w:rsidRPr="001D7625">
        <w:rPr>
          <w:rFonts w:cs="Times New Roman"/>
          <w:b/>
          <w:szCs w:val="24"/>
        </w:rPr>
        <w:t>Joint Initiatives for Trans-boundary Issues</w:t>
      </w:r>
    </w:p>
    <w:p w:rsidR="003E42A9" w:rsidRPr="00C44583" w:rsidRDefault="003E42A9" w:rsidP="003E42A9">
      <w:pPr>
        <w:spacing w:line="276" w:lineRule="auto"/>
        <w:jc w:val="both"/>
        <w:rPr>
          <w:szCs w:val="24"/>
        </w:rPr>
      </w:pPr>
      <w:r w:rsidRPr="008C1F6D">
        <w:rPr>
          <w:szCs w:val="24"/>
        </w:rPr>
        <w:t xml:space="preserve">Bringing countries on board </w:t>
      </w:r>
      <w:r>
        <w:rPr>
          <w:szCs w:val="24"/>
        </w:rPr>
        <w:t>the</w:t>
      </w:r>
      <w:r w:rsidRPr="008C1F6D">
        <w:rPr>
          <w:szCs w:val="24"/>
        </w:rPr>
        <w:t xml:space="preserve"> river sharing negotiations is challenging in the Ganges-Brahmaputra-Meghna basins. Especially upper riparian </w:t>
      </w:r>
      <w:r w:rsidR="002A3588">
        <w:rPr>
          <w:szCs w:val="24"/>
        </w:rPr>
        <w:t>countries</w:t>
      </w:r>
      <w:r w:rsidR="002A3588" w:rsidRPr="008C1F6D">
        <w:rPr>
          <w:szCs w:val="24"/>
        </w:rPr>
        <w:t xml:space="preserve"> </w:t>
      </w:r>
      <w:r w:rsidRPr="008C1F6D">
        <w:rPr>
          <w:szCs w:val="24"/>
        </w:rPr>
        <w:t xml:space="preserve">do not always see the benefit of active involvement in river dialogues. So far, the strategy to invite upper riparian states </w:t>
      </w:r>
      <w:r>
        <w:rPr>
          <w:szCs w:val="24"/>
        </w:rPr>
        <w:t>ha</w:t>
      </w:r>
      <w:r w:rsidRPr="008C1F6D">
        <w:rPr>
          <w:szCs w:val="24"/>
        </w:rPr>
        <w:t>s therefore</w:t>
      </w:r>
      <w:r>
        <w:rPr>
          <w:szCs w:val="24"/>
        </w:rPr>
        <w:t>,</w:t>
      </w:r>
      <w:r w:rsidRPr="008C1F6D">
        <w:rPr>
          <w:szCs w:val="24"/>
        </w:rPr>
        <w:t xml:space="preserve"> not </w:t>
      </w:r>
      <w:r>
        <w:rPr>
          <w:szCs w:val="24"/>
        </w:rPr>
        <w:t xml:space="preserve">been </w:t>
      </w:r>
      <w:r w:rsidRPr="008C1F6D">
        <w:rPr>
          <w:szCs w:val="24"/>
        </w:rPr>
        <w:t xml:space="preserve">very effective. Furthermore, India and China are very explicit in their official documents and statements about their will to exclusively negotiate bilaterally on water issues; pointing at their size and upstream position for their lack of interest </w:t>
      </w:r>
      <w:r w:rsidR="002E04F3">
        <w:rPr>
          <w:szCs w:val="24"/>
        </w:rPr>
        <w:t>in being</w:t>
      </w:r>
      <w:r>
        <w:rPr>
          <w:szCs w:val="24"/>
        </w:rPr>
        <w:t xml:space="preserve"> </w:t>
      </w:r>
      <w:r w:rsidRPr="008C1F6D">
        <w:rPr>
          <w:szCs w:val="24"/>
        </w:rPr>
        <w:t xml:space="preserve">actively </w:t>
      </w:r>
      <w:r>
        <w:rPr>
          <w:szCs w:val="24"/>
        </w:rPr>
        <w:t xml:space="preserve">involved </w:t>
      </w:r>
      <w:r w:rsidRPr="008C1F6D">
        <w:rPr>
          <w:szCs w:val="24"/>
        </w:rPr>
        <w:t xml:space="preserve">in water negotiations. Both countries are not openly interested in setting up multilateral agreements, and even though this approach has been prevalent for decades, a recent shift can be noticed in India’s attitude towards a more multilateral approach with regard to the country’s </w:t>
      </w:r>
      <w:r>
        <w:rPr>
          <w:szCs w:val="24"/>
        </w:rPr>
        <w:t>trans-boundary</w:t>
      </w:r>
      <w:r w:rsidRPr="008C1F6D">
        <w:rPr>
          <w:szCs w:val="24"/>
        </w:rPr>
        <w:t xml:space="preserve"> rivers. In line with the improving relati</w:t>
      </w:r>
      <w:r>
        <w:rPr>
          <w:szCs w:val="24"/>
        </w:rPr>
        <w:t>onship between the Bangladesh and India</w:t>
      </w:r>
      <w:r w:rsidRPr="008C1F6D">
        <w:rPr>
          <w:szCs w:val="24"/>
        </w:rPr>
        <w:t xml:space="preserve">, cooperation on water resources management and hydro-power </w:t>
      </w:r>
      <w:r>
        <w:rPr>
          <w:szCs w:val="24"/>
        </w:rPr>
        <w:t>has</w:t>
      </w:r>
      <w:r w:rsidRPr="008C1F6D">
        <w:rPr>
          <w:szCs w:val="24"/>
        </w:rPr>
        <w:t xml:space="preserve"> also </w:t>
      </w:r>
      <w:r>
        <w:rPr>
          <w:szCs w:val="24"/>
        </w:rPr>
        <w:t xml:space="preserve">been </w:t>
      </w:r>
      <w:r w:rsidRPr="008C1F6D">
        <w:rPr>
          <w:szCs w:val="24"/>
        </w:rPr>
        <w:t xml:space="preserve">emerging </w:t>
      </w:r>
      <w:r>
        <w:rPr>
          <w:szCs w:val="24"/>
        </w:rPr>
        <w:t xml:space="preserve">recently </w:t>
      </w:r>
      <w:r w:rsidRPr="008C1F6D">
        <w:rPr>
          <w:szCs w:val="24"/>
        </w:rPr>
        <w:t xml:space="preserve">on a more sub-regional level. </w:t>
      </w:r>
    </w:p>
    <w:p w:rsidR="003E42A9" w:rsidRPr="00CA5C0B" w:rsidRDefault="003E42A9" w:rsidP="00B6696C">
      <w:pPr>
        <w:spacing w:line="276" w:lineRule="auto"/>
        <w:jc w:val="both"/>
        <w:rPr>
          <w:i/>
          <w:szCs w:val="24"/>
        </w:rPr>
      </w:pPr>
      <w:r w:rsidRPr="00CA5C0B">
        <w:rPr>
          <w:b/>
          <w:i/>
          <w:szCs w:val="24"/>
        </w:rPr>
        <w:t xml:space="preserve">The Joint Working Group (JWG) </w:t>
      </w:r>
    </w:p>
    <w:p w:rsidR="003E42A9" w:rsidRPr="008C1F6D" w:rsidRDefault="003E42A9" w:rsidP="003E42A9">
      <w:pPr>
        <w:spacing w:line="276" w:lineRule="auto"/>
        <w:jc w:val="both"/>
        <w:rPr>
          <w:szCs w:val="24"/>
        </w:rPr>
      </w:pPr>
      <w:r w:rsidRPr="008C1F6D">
        <w:rPr>
          <w:szCs w:val="24"/>
        </w:rPr>
        <w:t xml:space="preserve">The year 2010 can be regarded as a tipping point for the relationship between India and Bangladesh. In September 2011, a framework agreement on cooperation for development was signed by the Prime Ministers of Bangladesh and India; which paved the way for inter-alia basin wide management of international rivers, joint development of hydro power etc. State visits between India and Bangladesh in 2010, 2011 and 2015 paved the way for the </w:t>
      </w:r>
      <w:r>
        <w:rPr>
          <w:szCs w:val="24"/>
        </w:rPr>
        <w:t>"</w:t>
      </w:r>
      <w:r w:rsidRPr="008C1F6D">
        <w:rPr>
          <w:szCs w:val="24"/>
        </w:rPr>
        <w:t>Joint Working Group</w:t>
      </w:r>
      <w:r>
        <w:rPr>
          <w:szCs w:val="24"/>
        </w:rPr>
        <w:t>"</w:t>
      </w:r>
      <w:r w:rsidRPr="008C1F6D">
        <w:rPr>
          <w:szCs w:val="24"/>
        </w:rPr>
        <w:t xml:space="preserve">, an initiative involving Nepal, Bhutan, India and Bangladesh to jointly manage the Ganges and the Brahmaputra rivers. The Joint Working Group (JWG) is the most tangible outcome of these successful state visits between India and Bangladesh; in which, Bangladesh, India, Nepal and Bhutan are currently actively participating. The willingness of India to take part in this </w:t>
      </w:r>
      <w:r>
        <w:rPr>
          <w:szCs w:val="24"/>
        </w:rPr>
        <w:t xml:space="preserve">multilateral </w:t>
      </w:r>
      <w:r w:rsidRPr="008C1F6D">
        <w:rPr>
          <w:szCs w:val="24"/>
        </w:rPr>
        <w:t xml:space="preserve">initiative acted as the driving force for other countries to also </w:t>
      </w:r>
      <w:r>
        <w:rPr>
          <w:szCs w:val="24"/>
        </w:rPr>
        <w:t>par</w:t>
      </w:r>
      <w:r w:rsidRPr="008C1F6D">
        <w:rPr>
          <w:szCs w:val="24"/>
        </w:rPr>
        <w:t xml:space="preserve">take </w:t>
      </w:r>
      <w:r>
        <w:rPr>
          <w:szCs w:val="24"/>
        </w:rPr>
        <w:t xml:space="preserve">actively </w:t>
      </w:r>
      <w:r w:rsidRPr="008C1F6D">
        <w:rPr>
          <w:szCs w:val="24"/>
        </w:rPr>
        <w:t>in this sub-regional cooperation initiative.</w:t>
      </w:r>
    </w:p>
    <w:p w:rsidR="003E42A9" w:rsidRPr="00A357BC" w:rsidRDefault="003E42A9" w:rsidP="003E42A9">
      <w:pPr>
        <w:spacing w:line="276" w:lineRule="auto"/>
        <w:jc w:val="both"/>
        <w:rPr>
          <w:szCs w:val="24"/>
        </w:rPr>
      </w:pPr>
      <w:r w:rsidRPr="008C1F6D">
        <w:rPr>
          <w:szCs w:val="24"/>
        </w:rPr>
        <w:t>Although, this jo</w:t>
      </w:r>
      <w:r>
        <w:rPr>
          <w:szCs w:val="24"/>
        </w:rPr>
        <w:t>int-initiative is at an early stage</w:t>
      </w:r>
      <w:r w:rsidRPr="008C1F6D">
        <w:rPr>
          <w:szCs w:val="24"/>
        </w:rPr>
        <w:t xml:space="preserve">, </w:t>
      </w:r>
      <w:r>
        <w:rPr>
          <w:szCs w:val="24"/>
        </w:rPr>
        <w:t>it</w:t>
      </w:r>
      <w:r w:rsidRPr="008C1F6D">
        <w:rPr>
          <w:szCs w:val="24"/>
        </w:rPr>
        <w:t xml:space="preserve"> do</w:t>
      </w:r>
      <w:r>
        <w:rPr>
          <w:szCs w:val="24"/>
        </w:rPr>
        <w:t>es</w:t>
      </w:r>
      <w:r w:rsidRPr="008C1F6D">
        <w:rPr>
          <w:szCs w:val="24"/>
        </w:rPr>
        <w:t xml:space="preserve"> provide a promise of future developments with regard to water diplomacy practices in the Ganges-Brahmaputra-Meghna basins through enhancing cooperation in sharing of the waters of common rivers and exploring the possibilities of basin management of common ri</w:t>
      </w:r>
      <w:r>
        <w:rPr>
          <w:szCs w:val="24"/>
        </w:rPr>
        <w:t>vers for mutual benefit. It</w:t>
      </w:r>
      <w:r w:rsidRPr="008C1F6D">
        <w:rPr>
          <w:szCs w:val="24"/>
        </w:rPr>
        <w:t xml:space="preserve"> ensures cooperation regarding flood forecasting and control and providing necessary assistance in enhancing navigability and accessibility of river routes and ports. It also aims at harnessing the advantages of sub-regional cooperation in the power sector, water </w:t>
      </w:r>
      <w:r w:rsidRPr="008C1F6D">
        <w:rPr>
          <w:szCs w:val="24"/>
        </w:rPr>
        <w:lastRenderedPageBreak/>
        <w:t>resources management, physical connectivity, environment and sustainable development for mutual advantage, including jointly developing and financing projects.</w:t>
      </w:r>
    </w:p>
    <w:p w:rsidR="003E42A9" w:rsidRPr="00CA5C0B" w:rsidRDefault="003E42A9" w:rsidP="00B6696C">
      <w:pPr>
        <w:spacing w:line="276" w:lineRule="auto"/>
        <w:jc w:val="both"/>
        <w:rPr>
          <w:i/>
          <w:szCs w:val="24"/>
        </w:rPr>
      </w:pPr>
      <w:r w:rsidRPr="00CA5C0B">
        <w:rPr>
          <w:b/>
          <w:i/>
          <w:szCs w:val="24"/>
        </w:rPr>
        <w:t xml:space="preserve">JWG Meetings </w:t>
      </w:r>
    </w:p>
    <w:p w:rsidR="003E42A9" w:rsidRDefault="003E42A9" w:rsidP="003E42A9">
      <w:pPr>
        <w:spacing w:line="276" w:lineRule="auto"/>
        <w:jc w:val="both"/>
        <w:rPr>
          <w:szCs w:val="24"/>
        </w:rPr>
      </w:pPr>
      <w:r w:rsidRPr="008C1F6D">
        <w:rPr>
          <w:szCs w:val="24"/>
        </w:rPr>
        <w:t xml:space="preserve">The Joint Working Groups on sub-regional cooperation are headed by the Ministry of Foreign Affairs and supported by representatives from relevant Ministries and Organizations. The Joint Rivers Commission’s Member is one of the members of the Joint Working group on water resources management and hydro-power. Meetings are organized around water resources and hydropower track and a connectivity track. So far three meetings have taken place for JWG alternatively in Dhaka and Delhi. The first meeting of the Joint Working Group took place in April 2013, where a sub-regional initiative on water cooperation was launched. The countries Bangladesh, Bhutan and India were present. The meeting attached highest importance on the directives of the Prime Ministers of Bangladesh and India for harnessing advantages of sub regional cooperation. </w:t>
      </w:r>
    </w:p>
    <w:p w:rsidR="003E42A9" w:rsidRDefault="003E42A9" w:rsidP="003E42A9">
      <w:pPr>
        <w:spacing w:line="276" w:lineRule="auto"/>
        <w:jc w:val="both"/>
        <w:rPr>
          <w:szCs w:val="24"/>
        </w:rPr>
      </w:pPr>
      <w:r w:rsidRPr="008C1F6D">
        <w:rPr>
          <w:szCs w:val="24"/>
        </w:rPr>
        <w:t xml:space="preserve">The second meeting of the JWGs on sub-regional cooperation between Bangladesh, Bhutan, India and Nepal (BBIN) on water resources management, hydropower and connectivity and transit was held in New Delhi </w:t>
      </w:r>
      <w:r w:rsidR="00706AB4">
        <w:rPr>
          <w:szCs w:val="24"/>
        </w:rPr>
        <w:t>in</w:t>
      </w:r>
      <w:r w:rsidR="00706AB4" w:rsidRPr="008C1F6D">
        <w:rPr>
          <w:szCs w:val="24"/>
        </w:rPr>
        <w:t xml:space="preserve"> </w:t>
      </w:r>
      <w:r w:rsidRPr="008C1F6D">
        <w:rPr>
          <w:szCs w:val="24"/>
        </w:rPr>
        <w:t xml:space="preserve">January, 2015. It reviewed the existing cooperation in these sectors and discussed the scope for power trade and inter-grid connectivity between the four countries as well as potential for closer cooperation in future power projects. It also took stock of existing bilateral arrangements between the four countries on data sharing for flood forecasting and ways of improving the same. The third meeting of the JWG for sub-regional cooperation between the BBIN was held in Dhaka </w:t>
      </w:r>
      <w:r w:rsidR="00706AB4">
        <w:rPr>
          <w:szCs w:val="24"/>
        </w:rPr>
        <w:t>in</w:t>
      </w:r>
      <w:r w:rsidR="00706AB4" w:rsidRPr="008C1F6D">
        <w:rPr>
          <w:szCs w:val="24"/>
        </w:rPr>
        <w:t xml:space="preserve"> </w:t>
      </w:r>
      <w:r w:rsidRPr="008C1F6D">
        <w:rPr>
          <w:szCs w:val="24"/>
        </w:rPr>
        <w:t>January, 2016. It was agreed to form a Joint Experts Group on sharing best practices of basin wide water resources management during this session. The Group will provide suggestions on potential project development and work on the specifics of identified projects. It will also work on power trade and inter-grid connectivity, flood forecasting, and areas of further possible cooperation.</w:t>
      </w:r>
    </w:p>
    <w:p w:rsidR="003E42A9" w:rsidRPr="00186F59" w:rsidRDefault="003E42A9" w:rsidP="00B6696C">
      <w:pPr>
        <w:spacing w:line="276" w:lineRule="auto"/>
        <w:jc w:val="both"/>
        <w:rPr>
          <w:b/>
          <w:i/>
          <w:szCs w:val="24"/>
        </w:rPr>
      </w:pPr>
      <w:r w:rsidRPr="00186F59">
        <w:rPr>
          <w:b/>
          <w:i/>
          <w:szCs w:val="24"/>
        </w:rPr>
        <w:t xml:space="preserve">Other Regional Organizations </w:t>
      </w:r>
    </w:p>
    <w:p w:rsidR="003E42A9" w:rsidRPr="001F3E8F" w:rsidRDefault="003E42A9" w:rsidP="003E42A9">
      <w:pPr>
        <w:spacing w:line="276" w:lineRule="auto"/>
        <w:jc w:val="both"/>
        <w:rPr>
          <w:szCs w:val="24"/>
          <w:lang w:val="en-GB"/>
        </w:rPr>
      </w:pPr>
      <w:r w:rsidRPr="00031210">
        <w:rPr>
          <w:szCs w:val="24"/>
          <w:lang w:val="en-GB"/>
        </w:rPr>
        <w:t>The Bay of Bengal Initiative for Multi-Sectoral Technical and Economic Cooperation (BIMSTEC) is a regional organization comprising seven Member States lying in the littoral and adjacent areas of the Bay of Bengal constituting a contiguous regional unity. This sub-regional organization came into being on 6 June 1997 through the Bangkok Declaration. It constitutes seven Member States: five deriving from South Asia, including Bangladesh, Bhutan, India, Nepal, Sri Lanka, and two from Southeast Asia, including Myanmar and Thailand</w:t>
      </w:r>
      <w:r>
        <w:rPr>
          <w:szCs w:val="24"/>
          <w:lang w:val="en-GB"/>
        </w:rPr>
        <w:t>. In its 3</w:t>
      </w:r>
      <w:r w:rsidRPr="009C153C">
        <w:rPr>
          <w:szCs w:val="24"/>
          <w:vertAlign w:val="superscript"/>
          <w:lang w:val="en-GB"/>
        </w:rPr>
        <w:t>rd</w:t>
      </w:r>
      <w:r>
        <w:rPr>
          <w:szCs w:val="24"/>
          <w:lang w:val="en-GB"/>
        </w:rPr>
        <w:t xml:space="preserve"> Summit in Myanmar in 2014 BIMSTEC declared to continue cooperation in the area of fisheries, including inland fishers, and conservation and management and sustainable use of marine resources in the Bay of Bengal region. It </w:t>
      </w:r>
      <w:r>
        <w:rPr>
          <w:szCs w:val="24"/>
          <w:lang w:val="en-GB"/>
        </w:rPr>
        <w:lastRenderedPageBreak/>
        <w:t>also declared to continue and enhance cooperation in the field of agriculture, including crops, livestock and horticulture; and decide to intensify cooperative efforts by materializing short and long term joint research programmes towards increased productivity and yields of agricultural produce in the region. BIMSTEC members also signed a memorandum to establish a centre for weather and climate.</w:t>
      </w:r>
    </w:p>
    <w:p w:rsidR="00F64A6A" w:rsidRDefault="003E42A9" w:rsidP="00F64A6A">
      <w:pPr>
        <w:pStyle w:val="Heading2"/>
        <w:numPr>
          <w:ilvl w:val="0"/>
          <w:numId w:val="0"/>
        </w:numPr>
        <w:ind w:left="720"/>
      </w:pPr>
      <w:bookmarkStart w:id="239" w:name="_Toc463603899"/>
      <w:bookmarkStart w:id="240" w:name="_Toc474638870"/>
      <w:r w:rsidRPr="00017A17">
        <w:t>Review of Progress with Regional Water Cooperation</w:t>
      </w:r>
      <w:bookmarkEnd w:id="239"/>
      <w:bookmarkEnd w:id="240"/>
    </w:p>
    <w:p w:rsidR="00000000" w:rsidRDefault="003E42A9" w:rsidP="003D5A31">
      <w:pPr>
        <w:pStyle w:val="BodyText"/>
        <w:numPr>
          <w:ilvl w:val="2"/>
          <w:numId w:val="145"/>
        </w:numPr>
        <w:spacing w:after="240" w:line="276" w:lineRule="auto"/>
        <w:jc w:val="both"/>
        <w:rPr>
          <w:rFonts w:cs="Times New Roman"/>
          <w:b/>
          <w:szCs w:val="24"/>
        </w:rPr>
      </w:pPr>
      <w:r w:rsidRPr="007809F2">
        <w:rPr>
          <w:rFonts w:cs="Times New Roman"/>
          <w:b/>
          <w:szCs w:val="24"/>
        </w:rPr>
        <w:t>Cooperation between India and Bangladesh</w:t>
      </w:r>
    </w:p>
    <w:p w:rsidR="003E42A9" w:rsidRPr="008C1F6D" w:rsidRDefault="003E42A9" w:rsidP="00B6696C">
      <w:pPr>
        <w:spacing w:line="276" w:lineRule="auto"/>
        <w:jc w:val="both"/>
        <w:rPr>
          <w:b/>
          <w:bCs/>
          <w:szCs w:val="24"/>
        </w:rPr>
      </w:pPr>
      <w:r w:rsidRPr="00CA5C0B">
        <w:rPr>
          <w:b/>
          <w:bCs/>
          <w:i/>
          <w:szCs w:val="24"/>
        </w:rPr>
        <w:t>Sharing of the Ganges Waters at Farakka</w:t>
      </w:r>
    </w:p>
    <w:p w:rsidR="003E42A9" w:rsidRDefault="003E42A9" w:rsidP="00B6696C">
      <w:pPr>
        <w:spacing w:line="276" w:lineRule="auto"/>
        <w:jc w:val="both"/>
        <w:rPr>
          <w:szCs w:val="24"/>
        </w:rPr>
      </w:pPr>
      <w:r w:rsidRPr="008C1F6D">
        <w:rPr>
          <w:szCs w:val="24"/>
        </w:rPr>
        <w:t>The Government of Bangladesh and India signed</w:t>
      </w:r>
      <w:r>
        <w:rPr>
          <w:szCs w:val="24"/>
        </w:rPr>
        <w:t xml:space="preserve"> a Treaty for sharing the </w:t>
      </w:r>
      <w:r w:rsidRPr="008C1F6D">
        <w:rPr>
          <w:szCs w:val="24"/>
        </w:rPr>
        <w:t>Ganges waters at Farakka on 12 December, 1996 for a period of 30 years and the two countr</w:t>
      </w:r>
      <w:r>
        <w:rPr>
          <w:szCs w:val="24"/>
        </w:rPr>
        <w:t xml:space="preserve">ies have been sharing the </w:t>
      </w:r>
      <w:r w:rsidRPr="008C1F6D">
        <w:rPr>
          <w:szCs w:val="24"/>
        </w:rPr>
        <w:t>Ganges waters since 1997. Bangladesh has been r</w:t>
      </w:r>
      <w:r>
        <w:rPr>
          <w:szCs w:val="24"/>
        </w:rPr>
        <w:t xml:space="preserve">eceiving its share of the </w:t>
      </w:r>
      <w:r w:rsidRPr="008C1F6D">
        <w:rPr>
          <w:szCs w:val="24"/>
        </w:rPr>
        <w:t xml:space="preserve">Ganges water at Farakka in three alternate 10-day periods during the critical period. </w:t>
      </w:r>
      <w:r w:rsidR="002E04F3" w:rsidRPr="008C1F6D">
        <w:rPr>
          <w:szCs w:val="24"/>
        </w:rPr>
        <w:t>Discussion</w:t>
      </w:r>
      <w:r w:rsidR="002E04F3">
        <w:rPr>
          <w:szCs w:val="24"/>
        </w:rPr>
        <w:t>s are</w:t>
      </w:r>
      <w:r>
        <w:rPr>
          <w:szCs w:val="24"/>
        </w:rPr>
        <w:t xml:space="preserve"> also being held</w:t>
      </w:r>
      <w:r w:rsidRPr="008C1F6D">
        <w:rPr>
          <w:szCs w:val="24"/>
        </w:rPr>
        <w:t xml:space="preserve"> with India for augmentation of the dry season flows of the Ganges at Farakka in accordance with the provision of the Treaty. The issue of </w:t>
      </w:r>
      <w:r>
        <w:rPr>
          <w:szCs w:val="24"/>
        </w:rPr>
        <w:t>augmentation of the Ganges flow</w:t>
      </w:r>
      <w:r w:rsidRPr="008C1F6D">
        <w:rPr>
          <w:szCs w:val="24"/>
        </w:rPr>
        <w:t xml:space="preserve"> at Farakka by constructing reservoir in Nepal was also discussed in the 37</w:t>
      </w:r>
      <w:r w:rsidRPr="008C1F6D">
        <w:rPr>
          <w:szCs w:val="24"/>
          <w:vertAlign w:val="superscript"/>
        </w:rPr>
        <w:t>th</w:t>
      </w:r>
      <w:r>
        <w:rPr>
          <w:szCs w:val="24"/>
        </w:rPr>
        <w:t xml:space="preserve">meeting of JRC in March, 2010. </w:t>
      </w:r>
    </w:p>
    <w:p w:rsidR="003E42A9" w:rsidRPr="00CA5C0B" w:rsidRDefault="003E42A9" w:rsidP="00B6696C">
      <w:pPr>
        <w:spacing w:line="276" w:lineRule="auto"/>
        <w:jc w:val="both"/>
        <w:rPr>
          <w:b/>
          <w:bCs/>
          <w:i/>
          <w:szCs w:val="24"/>
        </w:rPr>
      </w:pPr>
      <w:r w:rsidRPr="00CA5C0B">
        <w:rPr>
          <w:b/>
          <w:i/>
          <w:szCs w:val="24"/>
        </w:rPr>
        <w:t>Sharing of the Teesta waters</w:t>
      </w:r>
    </w:p>
    <w:p w:rsidR="003E42A9" w:rsidRDefault="003E42A9" w:rsidP="003E42A9">
      <w:pPr>
        <w:spacing w:line="276" w:lineRule="auto"/>
        <w:jc w:val="both"/>
        <w:rPr>
          <w:szCs w:val="24"/>
        </w:rPr>
      </w:pPr>
      <w:r w:rsidRPr="008C1F6D">
        <w:rPr>
          <w:szCs w:val="24"/>
        </w:rPr>
        <w:t>Bangladesh and In</w:t>
      </w:r>
      <w:r>
        <w:rPr>
          <w:szCs w:val="24"/>
        </w:rPr>
        <w:t>dia have been jointly implementing the</w:t>
      </w:r>
      <w:r w:rsidRPr="008C1F6D">
        <w:rPr>
          <w:szCs w:val="24"/>
        </w:rPr>
        <w:t xml:space="preserve"> Teesta Project for irrigation and other uses. The two countries have already constructed two barrages in their respective territory on the Teesta </w:t>
      </w:r>
      <w:r w:rsidR="00706AB4" w:rsidRPr="008C1F6D">
        <w:rPr>
          <w:szCs w:val="24"/>
        </w:rPr>
        <w:t>River</w:t>
      </w:r>
      <w:r w:rsidRPr="008C1F6D">
        <w:rPr>
          <w:szCs w:val="24"/>
        </w:rPr>
        <w:t xml:space="preserve"> for diversion of water.  The Joint Rivers Commission (JRC) at its 32</w:t>
      </w:r>
      <w:r w:rsidRPr="008C1F6D">
        <w:rPr>
          <w:szCs w:val="24"/>
          <w:vertAlign w:val="superscript"/>
        </w:rPr>
        <w:t>nd</w:t>
      </w:r>
      <w:r w:rsidRPr="008C1F6D">
        <w:rPr>
          <w:szCs w:val="24"/>
        </w:rPr>
        <w:t xml:space="preserve"> meeting held in Dhaka in July, 1997 set up a Joint Committee of Experts (JCE) headed by Water Resources Secretaries of both the countries for working out a formula for long-term/permanent water sharing agreement of the common rivers with priority to the Teesta. </w:t>
      </w:r>
    </w:p>
    <w:p w:rsidR="003E42A9" w:rsidRPr="0008597A" w:rsidRDefault="003E42A9" w:rsidP="003E42A9">
      <w:pPr>
        <w:spacing w:line="276" w:lineRule="auto"/>
        <w:jc w:val="both"/>
        <w:rPr>
          <w:szCs w:val="24"/>
        </w:rPr>
      </w:pPr>
      <w:r w:rsidRPr="008C1F6D">
        <w:rPr>
          <w:szCs w:val="24"/>
        </w:rPr>
        <w:t>The Secretaries</w:t>
      </w:r>
      <w:r>
        <w:rPr>
          <w:szCs w:val="24"/>
        </w:rPr>
        <w:t xml:space="preserve"> of Bangladesh and India</w:t>
      </w:r>
      <w:r w:rsidRPr="008C1F6D">
        <w:rPr>
          <w:szCs w:val="24"/>
        </w:rPr>
        <w:t xml:space="preserve"> have agreed to </w:t>
      </w:r>
      <w:r>
        <w:rPr>
          <w:szCs w:val="24"/>
        </w:rPr>
        <w:t xml:space="preserve">a </w:t>
      </w:r>
      <w:r w:rsidRPr="008C1F6D">
        <w:rPr>
          <w:szCs w:val="24"/>
        </w:rPr>
        <w:t>framework</w:t>
      </w:r>
      <w:r>
        <w:rPr>
          <w:szCs w:val="24"/>
        </w:rPr>
        <w:t xml:space="preserve"> in January 2011</w:t>
      </w:r>
      <w:r w:rsidRPr="008C1F6D">
        <w:rPr>
          <w:szCs w:val="24"/>
        </w:rPr>
        <w:t xml:space="preserve"> for concluding interim agreements for sharing of the dry season flows of the Teesta River. </w:t>
      </w:r>
      <w:r>
        <w:rPr>
          <w:szCs w:val="24"/>
        </w:rPr>
        <w:t xml:space="preserve">During the visit of the </w:t>
      </w:r>
      <w:r w:rsidRPr="008C1F6D">
        <w:rPr>
          <w:szCs w:val="24"/>
        </w:rPr>
        <w:t xml:space="preserve">Prime Minister of India to Bangladesh in September, 2011, the two Prime Ministers in their Joint Statement welcomed the progress on the principles and modalities of interim agreements on sharing of waters of the Teesta River on fair and equitable basis. </w:t>
      </w:r>
      <w:r>
        <w:rPr>
          <w:szCs w:val="24"/>
        </w:rPr>
        <w:t>The Indian Prime Minister during his visit to Bangladesh in</w:t>
      </w:r>
      <w:r w:rsidRPr="008C1F6D">
        <w:rPr>
          <w:szCs w:val="24"/>
        </w:rPr>
        <w:t xml:space="preserve"> June, 2015</w:t>
      </w:r>
      <w:r w:rsidR="00183B06">
        <w:rPr>
          <w:szCs w:val="24"/>
        </w:rPr>
        <w:t xml:space="preserve"> </w:t>
      </w:r>
      <w:r w:rsidRPr="008C1F6D">
        <w:rPr>
          <w:szCs w:val="24"/>
        </w:rPr>
        <w:t>assured that deliberations are underway involving all stakeholders with regard to conclusion of the Interim Agreements on sharing of waters of Teesta as soon as possible.</w:t>
      </w:r>
    </w:p>
    <w:p w:rsidR="003E42A9" w:rsidRPr="00CA5C0B" w:rsidRDefault="003E42A9" w:rsidP="00B6696C">
      <w:pPr>
        <w:spacing w:line="276" w:lineRule="auto"/>
        <w:jc w:val="both"/>
        <w:rPr>
          <w:i/>
          <w:szCs w:val="24"/>
        </w:rPr>
      </w:pPr>
      <w:r w:rsidRPr="00CA5C0B">
        <w:rPr>
          <w:b/>
          <w:bCs/>
          <w:i/>
          <w:szCs w:val="24"/>
        </w:rPr>
        <w:t xml:space="preserve">Sharing of waters of the other </w:t>
      </w:r>
      <w:r>
        <w:rPr>
          <w:b/>
          <w:bCs/>
          <w:i/>
          <w:szCs w:val="24"/>
        </w:rPr>
        <w:t>trans-boundary</w:t>
      </w:r>
      <w:r w:rsidRPr="00CA5C0B">
        <w:rPr>
          <w:b/>
          <w:bCs/>
          <w:i/>
          <w:szCs w:val="24"/>
        </w:rPr>
        <w:t xml:space="preserve"> rivers namely Dharla, Dudhkumar, Manu, Khowai, Gumti, and Muhuri </w:t>
      </w:r>
    </w:p>
    <w:p w:rsidR="003E42A9" w:rsidRPr="00632083" w:rsidRDefault="003E42A9" w:rsidP="003E42A9">
      <w:pPr>
        <w:spacing w:line="276" w:lineRule="auto"/>
        <w:jc w:val="both"/>
        <w:rPr>
          <w:szCs w:val="24"/>
        </w:rPr>
      </w:pPr>
      <w:r>
        <w:rPr>
          <w:szCs w:val="24"/>
        </w:rPr>
        <w:lastRenderedPageBreak/>
        <w:t>Bangladesh and India</w:t>
      </w:r>
      <w:r w:rsidRPr="008C1F6D">
        <w:rPr>
          <w:szCs w:val="24"/>
        </w:rPr>
        <w:t xml:space="preserve"> exchanged </w:t>
      </w:r>
      <w:r w:rsidR="00706AB4" w:rsidRPr="008C1F6D">
        <w:rPr>
          <w:szCs w:val="24"/>
        </w:rPr>
        <w:t>availab</w:t>
      </w:r>
      <w:r w:rsidR="00706AB4">
        <w:rPr>
          <w:szCs w:val="24"/>
        </w:rPr>
        <w:t>le</w:t>
      </w:r>
      <w:r w:rsidR="00706AB4" w:rsidRPr="008C1F6D">
        <w:rPr>
          <w:szCs w:val="24"/>
        </w:rPr>
        <w:t xml:space="preserve"> </w:t>
      </w:r>
      <w:r w:rsidRPr="008C1F6D">
        <w:rPr>
          <w:szCs w:val="24"/>
        </w:rPr>
        <w:t xml:space="preserve">data of </w:t>
      </w:r>
      <w:r w:rsidR="00706AB4">
        <w:rPr>
          <w:szCs w:val="24"/>
        </w:rPr>
        <w:t xml:space="preserve">the </w:t>
      </w:r>
      <w:r w:rsidRPr="008C1F6D">
        <w:rPr>
          <w:szCs w:val="24"/>
        </w:rPr>
        <w:t xml:space="preserve">Manu, </w:t>
      </w:r>
      <w:r w:rsidR="00706AB4">
        <w:rPr>
          <w:szCs w:val="24"/>
        </w:rPr>
        <w:t xml:space="preserve">the </w:t>
      </w:r>
      <w:r w:rsidRPr="008C1F6D">
        <w:rPr>
          <w:szCs w:val="24"/>
        </w:rPr>
        <w:t xml:space="preserve">Muhuri, </w:t>
      </w:r>
      <w:r w:rsidR="00706AB4">
        <w:rPr>
          <w:szCs w:val="24"/>
        </w:rPr>
        <w:t xml:space="preserve">the </w:t>
      </w:r>
      <w:r w:rsidRPr="008C1F6D">
        <w:rPr>
          <w:szCs w:val="24"/>
        </w:rPr>
        <w:t xml:space="preserve">Khowai and </w:t>
      </w:r>
      <w:r w:rsidR="00706AB4">
        <w:rPr>
          <w:szCs w:val="24"/>
        </w:rPr>
        <w:t xml:space="preserve">the </w:t>
      </w:r>
      <w:r w:rsidRPr="008C1F6D">
        <w:rPr>
          <w:szCs w:val="24"/>
        </w:rPr>
        <w:t xml:space="preserve">Gumti in 1999 and that of </w:t>
      </w:r>
      <w:r w:rsidR="00706AB4">
        <w:rPr>
          <w:szCs w:val="24"/>
        </w:rPr>
        <w:t xml:space="preserve">the </w:t>
      </w:r>
      <w:r w:rsidRPr="008C1F6D">
        <w:rPr>
          <w:szCs w:val="24"/>
        </w:rPr>
        <w:t xml:space="preserve">Dharla and </w:t>
      </w:r>
      <w:r w:rsidR="00706AB4">
        <w:rPr>
          <w:szCs w:val="24"/>
        </w:rPr>
        <w:t xml:space="preserve">the </w:t>
      </w:r>
      <w:r w:rsidRPr="008C1F6D">
        <w:rPr>
          <w:szCs w:val="24"/>
        </w:rPr>
        <w:t xml:space="preserve">Dudhkumar in 2000 and also relevant technical parameters in the subsequent </w:t>
      </w:r>
      <w:r w:rsidR="00706AB4">
        <w:rPr>
          <w:szCs w:val="24"/>
        </w:rPr>
        <w:t>t</w:t>
      </w:r>
      <w:r w:rsidR="00706AB4" w:rsidRPr="008C1F6D">
        <w:rPr>
          <w:szCs w:val="24"/>
        </w:rPr>
        <w:t xml:space="preserve">echnical </w:t>
      </w:r>
      <w:r w:rsidR="00706AB4">
        <w:rPr>
          <w:szCs w:val="24"/>
        </w:rPr>
        <w:t>l</w:t>
      </w:r>
      <w:r w:rsidR="00706AB4" w:rsidRPr="008C1F6D">
        <w:rPr>
          <w:szCs w:val="24"/>
        </w:rPr>
        <w:t xml:space="preserve">evel </w:t>
      </w:r>
      <w:r w:rsidRPr="008C1F6D">
        <w:rPr>
          <w:szCs w:val="24"/>
        </w:rPr>
        <w:t>meetings</w:t>
      </w:r>
      <w:r w:rsidRPr="009C153C">
        <w:rPr>
          <w:color w:val="FF0000"/>
          <w:szCs w:val="24"/>
        </w:rPr>
        <w:t xml:space="preserve">. </w:t>
      </w:r>
      <w:r w:rsidRPr="005C4A9C">
        <w:rPr>
          <w:szCs w:val="24"/>
        </w:rPr>
        <w:t>The sharing o</w:t>
      </w:r>
      <w:r w:rsidRPr="009C153C">
        <w:rPr>
          <w:szCs w:val="24"/>
        </w:rPr>
        <w:t xml:space="preserve">f </w:t>
      </w:r>
      <w:r w:rsidR="00706AB4">
        <w:rPr>
          <w:szCs w:val="24"/>
        </w:rPr>
        <w:t xml:space="preserve">data of </w:t>
      </w:r>
      <w:r w:rsidRPr="009C153C">
        <w:rPr>
          <w:szCs w:val="24"/>
        </w:rPr>
        <w:t>these six river</w:t>
      </w:r>
      <w:r>
        <w:rPr>
          <w:szCs w:val="24"/>
        </w:rPr>
        <w:t>s</w:t>
      </w:r>
      <w:r w:rsidRPr="009C153C">
        <w:rPr>
          <w:szCs w:val="24"/>
        </w:rPr>
        <w:t xml:space="preserve"> </w:t>
      </w:r>
      <w:r w:rsidR="00706AB4">
        <w:rPr>
          <w:szCs w:val="24"/>
        </w:rPr>
        <w:t>are</w:t>
      </w:r>
      <w:r w:rsidR="00706AB4" w:rsidRPr="009C153C">
        <w:rPr>
          <w:szCs w:val="24"/>
        </w:rPr>
        <w:t xml:space="preserve"> </w:t>
      </w:r>
      <w:r w:rsidRPr="009C153C">
        <w:rPr>
          <w:szCs w:val="24"/>
        </w:rPr>
        <w:t>being discussed</w:t>
      </w:r>
      <w:r w:rsidRPr="005C4A9C">
        <w:rPr>
          <w:szCs w:val="24"/>
        </w:rPr>
        <w:t xml:space="preserve"> at the technical level</w:t>
      </w:r>
      <w:r w:rsidRPr="009C153C">
        <w:rPr>
          <w:szCs w:val="24"/>
        </w:rPr>
        <w:t>.</w:t>
      </w:r>
    </w:p>
    <w:p w:rsidR="00000000" w:rsidRDefault="003E42A9" w:rsidP="003D5A31">
      <w:pPr>
        <w:pStyle w:val="BodyText"/>
        <w:numPr>
          <w:ilvl w:val="2"/>
          <w:numId w:val="145"/>
        </w:numPr>
        <w:spacing w:after="240" w:line="276" w:lineRule="auto"/>
        <w:jc w:val="both"/>
        <w:rPr>
          <w:rFonts w:cs="Times New Roman"/>
          <w:b/>
          <w:szCs w:val="24"/>
        </w:rPr>
      </w:pPr>
      <w:r w:rsidRPr="007809F2">
        <w:rPr>
          <w:rFonts w:cs="Times New Roman"/>
          <w:b/>
          <w:szCs w:val="24"/>
        </w:rPr>
        <w:t>Cooperation between Nepal and Bangladesh</w:t>
      </w:r>
    </w:p>
    <w:p w:rsidR="003E42A9" w:rsidRPr="008C1F6D" w:rsidRDefault="003E42A9" w:rsidP="003E42A9">
      <w:pPr>
        <w:spacing w:line="276" w:lineRule="auto"/>
        <w:jc w:val="both"/>
        <w:rPr>
          <w:szCs w:val="24"/>
        </w:rPr>
      </w:pPr>
      <w:r w:rsidRPr="008C1F6D">
        <w:rPr>
          <w:szCs w:val="24"/>
        </w:rPr>
        <w:t xml:space="preserve">After the two consecutive devastating floods in 1987 and 1988 a </w:t>
      </w:r>
      <w:r w:rsidR="00706AB4">
        <w:rPr>
          <w:szCs w:val="24"/>
        </w:rPr>
        <w:t>s</w:t>
      </w:r>
      <w:r w:rsidR="00706AB4" w:rsidRPr="008C1F6D">
        <w:rPr>
          <w:szCs w:val="24"/>
        </w:rPr>
        <w:t xml:space="preserve">ummit </w:t>
      </w:r>
      <w:r w:rsidR="00706AB4">
        <w:rPr>
          <w:szCs w:val="24"/>
        </w:rPr>
        <w:t>l</w:t>
      </w:r>
      <w:r w:rsidR="00706AB4" w:rsidRPr="008C1F6D">
        <w:rPr>
          <w:szCs w:val="24"/>
        </w:rPr>
        <w:t xml:space="preserve">evel </w:t>
      </w:r>
      <w:r w:rsidRPr="008C1F6D">
        <w:rPr>
          <w:szCs w:val="24"/>
        </w:rPr>
        <w:t xml:space="preserve">meeting was held between Bangladesh and Nepal. In accordance with the decision taken at the </w:t>
      </w:r>
      <w:r w:rsidR="00706AB4">
        <w:rPr>
          <w:szCs w:val="24"/>
        </w:rPr>
        <w:t>s</w:t>
      </w:r>
      <w:r w:rsidR="00706AB4" w:rsidRPr="008C1F6D">
        <w:rPr>
          <w:szCs w:val="24"/>
        </w:rPr>
        <w:t xml:space="preserve">ummit </w:t>
      </w:r>
      <w:r w:rsidR="00706AB4">
        <w:rPr>
          <w:szCs w:val="24"/>
        </w:rPr>
        <w:t>l</w:t>
      </w:r>
      <w:r w:rsidR="00706AB4" w:rsidRPr="008C1F6D">
        <w:rPr>
          <w:szCs w:val="24"/>
        </w:rPr>
        <w:t xml:space="preserve">evel </w:t>
      </w:r>
      <w:r w:rsidRPr="008C1F6D">
        <w:rPr>
          <w:szCs w:val="24"/>
        </w:rPr>
        <w:t xml:space="preserve">meeting a Bangladesh-Nepal Joint Study Team was set up. The </w:t>
      </w:r>
      <w:r w:rsidR="00706AB4">
        <w:rPr>
          <w:szCs w:val="24"/>
        </w:rPr>
        <w:t>j</w:t>
      </w:r>
      <w:r w:rsidR="00706AB4" w:rsidRPr="008C1F6D">
        <w:rPr>
          <w:szCs w:val="24"/>
        </w:rPr>
        <w:t xml:space="preserve">oint </w:t>
      </w:r>
      <w:r w:rsidR="00706AB4">
        <w:rPr>
          <w:szCs w:val="24"/>
        </w:rPr>
        <w:t>s</w:t>
      </w:r>
      <w:r w:rsidR="00706AB4" w:rsidRPr="008C1F6D">
        <w:rPr>
          <w:szCs w:val="24"/>
        </w:rPr>
        <w:t xml:space="preserve">tudy </w:t>
      </w:r>
      <w:r w:rsidR="00706AB4">
        <w:rPr>
          <w:szCs w:val="24"/>
        </w:rPr>
        <w:t>t</w:t>
      </w:r>
      <w:r w:rsidR="00706AB4" w:rsidRPr="008C1F6D">
        <w:rPr>
          <w:szCs w:val="24"/>
        </w:rPr>
        <w:t xml:space="preserve">eam </w:t>
      </w:r>
      <w:r w:rsidRPr="008C1F6D">
        <w:rPr>
          <w:szCs w:val="24"/>
        </w:rPr>
        <w:t xml:space="preserve">prepared a report on “Flood Mitigation Measures and Multipurpose Use of Water Resources”, which has already been endorsed by the two Governments. As per the recommendation of the Joint report, a Nepal-Bangladesh Joint Expert </w:t>
      </w:r>
      <w:r>
        <w:rPr>
          <w:szCs w:val="24"/>
        </w:rPr>
        <w:t>Committee</w:t>
      </w:r>
      <w:r w:rsidRPr="008C1F6D">
        <w:rPr>
          <w:szCs w:val="24"/>
        </w:rPr>
        <w:t xml:space="preserve"> was formed in 1998, to work jointly relating to mitigation of </w:t>
      </w:r>
      <w:r w:rsidR="00706AB4">
        <w:rPr>
          <w:szCs w:val="24"/>
        </w:rPr>
        <w:t>f</w:t>
      </w:r>
      <w:r w:rsidR="00706AB4" w:rsidRPr="008C1F6D">
        <w:rPr>
          <w:szCs w:val="24"/>
        </w:rPr>
        <w:t>loods</w:t>
      </w:r>
      <w:r w:rsidR="00706AB4">
        <w:rPr>
          <w:szCs w:val="24"/>
        </w:rPr>
        <w:t>,f</w:t>
      </w:r>
      <w:r w:rsidR="00706AB4" w:rsidRPr="008C1F6D">
        <w:rPr>
          <w:szCs w:val="24"/>
        </w:rPr>
        <w:t xml:space="preserve">lood </w:t>
      </w:r>
      <w:r w:rsidRPr="008C1F6D">
        <w:rPr>
          <w:szCs w:val="24"/>
        </w:rPr>
        <w:t>damages</w:t>
      </w:r>
      <w:r w:rsidR="00706AB4">
        <w:rPr>
          <w:szCs w:val="24"/>
        </w:rPr>
        <w:t>,</w:t>
      </w:r>
      <w:r w:rsidRPr="008C1F6D">
        <w:rPr>
          <w:szCs w:val="24"/>
        </w:rPr>
        <w:t xml:space="preserve"> harnessing </w:t>
      </w:r>
      <w:r w:rsidR="00706AB4">
        <w:rPr>
          <w:szCs w:val="24"/>
        </w:rPr>
        <w:t xml:space="preserve">and </w:t>
      </w:r>
      <w:r w:rsidRPr="008C1F6D">
        <w:rPr>
          <w:szCs w:val="24"/>
        </w:rPr>
        <w:t>development of water resources. The Joint Expert Committee has so far held five meetings. According to the decision taken at the 2</w:t>
      </w:r>
      <w:r w:rsidRPr="008C1F6D">
        <w:rPr>
          <w:szCs w:val="24"/>
          <w:vertAlign w:val="superscript"/>
        </w:rPr>
        <w:t>nd</w:t>
      </w:r>
      <w:r w:rsidRPr="008C1F6D">
        <w:rPr>
          <w:szCs w:val="24"/>
        </w:rPr>
        <w:t xml:space="preserve"> meeting, the Nepalese side is providing flood season water level and rainfall data of </w:t>
      </w:r>
      <w:r w:rsidR="00706AB4">
        <w:rPr>
          <w:szCs w:val="24"/>
        </w:rPr>
        <w:t xml:space="preserve">the </w:t>
      </w:r>
      <w:r w:rsidRPr="008C1F6D">
        <w:rPr>
          <w:szCs w:val="24"/>
        </w:rPr>
        <w:t xml:space="preserve">Kosi, </w:t>
      </w:r>
      <w:r w:rsidR="00706AB4">
        <w:rPr>
          <w:szCs w:val="24"/>
        </w:rPr>
        <w:t xml:space="preserve">the </w:t>
      </w:r>
      <w:r w:rsidRPr="008C1F6D">
        <w:rPr>
          <w:szCs w:val="24"/>
        </w:rPr>
        <w:t xml:space="preserve">Narayani and </w:t>
      </w:r>
      <w:r w:rsidR="00706AB4">
        <w:rPr>
          <w:szCs w:val="24"/>
        </w:rPr>
        <w:t xml:space="preserve">the </w:t>
      </w:r>
      <w:r w:rsidRPr="008C1F6D">
        <w:rPr>
          <w:szCs w:val="24"/>
        </w:rPr>
        <w:t xml:space="preserve">Kankai rivers to the Flood Forecasting and Warning Centre of Bangladesh Water Development Board since 2002. </w:t>
      </w:r>
    </w:p>
    <w:p w:rsidR="003E42A9" w:rsidRPr="008C1F6D" w:rsidRDefault="003E42A9" w:rsidP="003E42A9">
      <w:pPr>
        <w:spacing w:line="276" w:lineRule="auto"/>
        <w:jc w:val="both"/>
        <w:rPr>
          <w:szCs w:val="24"/>
        </w:rPr>
      </w:pPr>
      <w:r w:rsidRPr="008C1F6D">
        <w:rPr>
          <w:szCs w:val="24"/>
        </w:rPr>
        <w:t>The Joint Expert Committee in its 4</w:t>
      </w:r>
      <w:r w:rsidRPr="008C1F6D">
        <w:rPr>
          <w:szCs w:val="24"/>
          <w:vertAlign w:val="superscript"/>
        </w:rPr>
        <w:t>th</w:t>
      </w:r>
      <w:r w:rsidRPr="008C1F6D">
        <w:rPr>
          <w:szCs w:val="24"/>
        </w:rPr>
        <w:t xml:space="preserve"> meeting held in June, 2006 decided to form a Nepal-Bangladesh Joint Technical Study Team (JTST) comprising expert representative of the relevant subject of various departments to carryout joint studies, research and investigations on harnessing of water resources</w:t>
      </w:r>
      <w:r>
        <w:rPr>
          <w:szCs w:val="24"/>
        </w:rPr>
        <w:t xml:space="preserve"> and mitigating</w:t>
      </w:r>
      <w:r w:rsidRPr="008C1F6D">
        <w:rPr>
          <w:szCs w:val="24"/>
        </w:rPr>
        <w:t xml:space="preserve"> flood damages of both the countries. The Terms of Reference (ToR) of the JTST was formulated in this meeting and decided to complete the study within a period of three years. Pursuant to the decision the Joint Technical Study Team of both the countries has already been formed.</w:t>
      </w:r>
    </w:p>
    <w:p w:rsidR="003E42A9" w:rsidRPr="008C1F6D" w:rsidRDefault="003E42A9" w:rsidP="003E42A9">
      <w:pPr>
        <w:spacing w:line="276" w:lineRule="auto"/>
        <w:jc w:val="both"/>
        <w:rPr>
          <w:szCs w:val="24"/>
        </w:rPr>
      </w:pPr>
      <w:r w:rsidRPr="008C1F6D">
        <w:rPr>
          <w:szCs w:val="24"/>
        </w:rPr>
        <w:t>The 5</w:t>
      </w:r>
      <w:r w:rsidRPr="008C1F6D">
        <w:rPr>
          <w:szCs w:val="24"/>
          <w:vertAlign w:val="superscript"/>
        </w:rPr>
        <w:t>th</w:t>
      </w:r>
      <w:r w:rsidRPr="008C1F6D">
        <w:rPr>
          <w:szCs w:val="24"/>
        </w:rPr>
        <w:t xml:space="preserve"> meeting of JEC was held in Dhaka in February, 2008. The Committee finalized the work plan of the Joint Technical Study Team (JTST). The Committee noted that there exists huge potential in Nepal for harnessing of water resources by constructing reservoirs at suitable locations in Nepal. These would achieve flood peak attenuation at lower reaches, augment dry season flows and also generate huge hydro-power. The Nepalese side informed that they are currently conducting studies to harness its water resources with reservoirs options on some of the major tributaries of the Ganges in Nepal. The Bangladesh side, therefore, expressed its desire to participate in the joint initiative for harnessing the water resources of the Karnali, Gandaki and Kosi river basins and other Nepalese tributaries of the Ganges for common benefit of all. </w:t>
      </w:r>
    </w:p>
    <w:p w:rsidR="00F64A6A" w:rsidRDefault="003E42A9" w:rsidP="00F64A6A">
      <w:pPr>
        <w:spacing w:line="276" w:lineRule="auto"/>
        <w:jc w:val="both"/>
        <w:rPr>
          <w:rFonts w:cs="Times New Roman"/>
          <w:b/>
          <w:szCs w:val="24"/>
        </w:rPr>
      </w:pPr>
      <w:r w:rsidRPr="008C1F6D">
        <w:rPr>
          <w:szCs w:val="24"/>
        </w:rPr>
        <w:t>The</w:t>
      </w:r>
      <w:r>
        <w:rPr>
          <w:szCs w:val="24"/>
        </w:rPr>
        <w:t xml:space="preserve"> </w:t>
      </w:r>
      <w:r w:rsidR="00706AB4">
        <w:rPr>
          <w:szCs w:val="24"/>
        </w:rPr>
        <w:t xml:space="preserve">Governments of Bangladesh and Nepal </w:t>
      </w:r>
      <w:r w:rsidRPr="008C1F6D">
        <w:rPr>
          <w:szCs w:val="24"/>
        </w:rPr>
        <w:t xml:space="preserve">discussed sub-regional co-operation including  development of hydropower and </w:t>
      </w:r>
      <w:r w:rsidR="00706AB4">
        <w:rPr>
          <w:szCs w:val="24"/>
        </w:rPr>
        <w:t>w</w:t>
      </w:r>
      <w:r w:rsidR="00706AB4" w:rsidRPr="008C1F6D">
        <w:rPr>
          <w:szCs w:val="24"/>
        </w:rPr>
        <w:t xml:space="preserve">ater </w:t>
      </w:r>
      <w:r w:rsidR="00706AB4">
        <w:rPr>
          <w:szCs w:val="24"/>
        </w:rPr>
        <w:t>r</w:t>
      </w:r>
      <w:r w:rsidR="00706AB4" w:rsidRPr="008C1F6D">
        <w:rPr>
          <w:szCs w:val="24"/>
        </w:rPr>
        <w:t xml:space="preserve">esources </w:t>
      </w:r>
      <w:r w:rsidR="00706AB4">
        <w:rPr>
          <w:szCs w:val="24"/>
        </w:rPr>
        <w:t>m</w:t>
      </w:r>
      <w:r w:rsidR="00706AB4" w:rsidRPr="008C1F6D">
        <w:rPr>
          <w:szCs w:val="24"/>
        </w:rPr>
        <w:t>anagement</w:t>
      </w:r>
      <w:r w:rsidRPr="008C1F6D">
        <w:rPr>
          <w:szCs w:val="24"/>
        </w:rPr>
        <w:t xml:space="preserve">. The two sides discussed to re-activate the Nepal-Bangladesh Joint Expert Committee on harnessing </w:t>
      </w:r>
      <w:r w:rsidRPr="008C1F6D">
        <w:rPr>
          <w:szCs w:val="24"/>
        </w:rPr>
        <w:lastRenderedPageBreak/>
        <w:t xml:space="preserve">water resources and mitigating floods and flood damages. </w:t>
      </w:r>
      <w:r w:rsidRPr="007809F2">
        <w:rPr>
          <w:rFonts w:cs="Times New Roman"/>
          <w:b/>
          <w:szCs w:val="24"/>
        </w:rPr>
        <w:t>Cooperation between China and Bangladesh</w:t>
      </w:r>
    </w:p>
    <w:p w:rsidR="003E42A9" w:rsidRPr="008C1F6D" w:rsidRDefault="003E42A9" w:rsidP="003E42A9">
      <w:pPr>
        <w:spacing w:line="276" w:lineRule="auto"/>
        <w:jc w:val="both"/>
        <w:rPr>
          <w:szCs w:val="24"/>
        </w:rPr>
      </w:pPr>
      <w:r w:rsidRPr="008C1F6D">
        <w:rPr>
          <w:szCs w:val="24"/>
        </w:rPr>
        <w:t>After the two flood catastrophes of 1987 and 1988 in Bangladesh, a summit level meeting was held between China and Bangladesh in November 1988. In the Summit level meeting, it was decided that both countries would cooperate with each other for exploring the possibilities for flood prevention and harnessing water resources in Bangladesh. As a follow up of this decision, a China-Bangladesh Joint Expert Team was set up</w:t>
      </w:r>
      <w:r w:rsidR="00706AB4">
        <w:rPr>
          <w:szCs w:val="24"/>
        </w:rPr>
        <w:t xml:space="preserve">. This team </w:t>
      </w:r>
      <w:r w:rsidRPr="008C1F6D">
        <w:rPr>
          <w:szCs w:val="24"/>
        </w:rPr>
        <w:t>prepared a study report on “Flood Control and River Training Project on the Brahmaputra River in Bangladesh” in March 1991which has been endorsed by the two Governments.</w:t>
      </w:r>
    </w:p>
    <w:p w:rsidR="003E42A9" w:rsidRDefault="003E42A9" w:rsidP="003E42A9">
      <w:pPr>
        <w:spacing w:line="276" w:lineRule="auto"/>
        <w:jc w:val="both"/>
        <w:rPr>
          <w:szCs w:val="24"/>
        </w:rPr>
      </w:pPr>
      <w:r>
        <w:rPr>
          <w:szCs w:val="24"/>
        </w:rPr>
        <w:t>In August, 2005 a</w:t>
      </w:r>
      <w:r w:rsidR="00706AB4">
        <w:rPr>
          <w:szCs w:val="24"/>
        </w:rPr>
        <w:t>n</w:t>
      </w:r>
      <w:r w:rsidRPr="008C1F6D">
        <w:rPr>
          <w:szCs w:val="24"/>
        </w:rPr>
        <w:t xml:space="preserve"> MoU was signed on cooperation in the field of </w:t>
      </w:r>
      <w:r w:rsidR="00706AB4">
        <w:rPr>
          <w:szCs w:val="24"/>
        </w:rPr>
        <w:t>w</w:t>
      </w:r>
      <w:r w:rsidR="00706AB4" w:rsidRPr="008C1F6D">
        <w:rPr>
          <w:szCs w:val="24"/>
        </w:rPr>
        <w:t xml:space="preserve">ater </w:t>
      </w:r>
      <w:r w:rsidR="00706AB4">
        <w:rPr>
          <w:szCs w:val="24"/>
        </w:rPr>
        <w:t>r</w:t>
      </w:r>
      <w:r w:rsidR="00706AB4" w:rsidRPr="008C1F6D">
        <w:rPr>
          <w:szCs w:val="24"/>
        </w:rPr>
        <w:t xml:space="preserve">esources </w:t>
      </w:r>
      <w:r w:rsidR="00706AB4">
        <w:rPr>
          <w:szCs w:val="24"/>
        </w:rPr>
        <w:t xml:space="preserve">management </w:t>
      </w:r>
      <w:r w:rsidRPr="008C1F6D">
        <w:rPr>
          <w:szCs w:val="24"/>
        </w:rPr>
        <w:t>between the Ministry of Water Resources of the People’s Re</w:t>
      </w:r>
      <w:r w:rsidR="002424F1">
        <w:rPr>
          <w:szCs w:val="24"/>
        </w:rPr>
        <w:t xml:space="preserve">public </w:t>
      </w:r>
      <w:r w:rsidRPr="008C1F6D">
        <w:rPr>
          <w:szCs w:val="24"/>
        </w:rPr>
        <w:t>of Bangladesh and the Ministry of Water Resources of the People’s Re</w:t>
      </w:r>
      <w:r w:rsidR="002424F1">
        <w:rPr>
          <w:szCs w:val="24"/>
        </w:rPr>
        <w:t>public</w:t>
      </w:r>
      <w:r w:rsidRPr="008C1F6D">
        <w:rPr>
          <w:szCs w:val="24"/>
        </w:rPr>
        <w:t xml:space="preserve"> of China. As per the MoU the two sides agreed to cooperate in water resources management including relevant policies and regulations, research and development, trade and commerce, institutional capacity building and personnel training etc. Concrete cooperation would invo</w:t>
      </w:r>
      <w:r>
        <w:rPr>
          <w:szCs w:val="24"/>
        </w:rPr>
        <w:t>lve the following main aspects:</w:t>
      </w:r>
    </w:p>
    <w:p w:rsidR="003E42A9" w:rsidRPr="008C1F6D" w:rsidRDefault="003E42A9" w:rsidP="003E42A9">
      <w:pPr>
        <w:pStyle w:val="ListParagraph"/>
        <w:numPr>
          <w:ilvl w:val="2"/>
          <w:numId w:val="17"/>
        </w:numPr>
        <w:spacing w:line="276" w:lineRule="auto"/>
        <w:ind w:left="360"/>
        <w:jc w:val="both"/>
        <w:rPr>
          <w:szCs w:val="24"/>
        </w:rPr>
      </w:pPr>
      <w:r w:rsidRPr="008C1F6D">
        <w:rPr>
          <w:szCs w:val="24"/>
        </w:rPr>
        <w:t>Cooperation and coordination in international water forum;</w:t>
      </w:r>
    </w:p>
    <w:p w:rsidR="003E42A9" w:rsidRPr="008C1F6D" w:rsidRDefault="003E42A9" w:rsidP="003E42A9">
      <w:pPr>
        <w:pStyle w:val="ListParagraph"/>
        <w:numPr>
          <w:ilvl w:val="2"/>
          <w:numId w:val="17"/>
        </w:numPr>
        <w:spacing w:line="276" w:lineRule="auto"/>
        <w:ind w:left="360"/>
        <w:jc w:val="both"/>
        <w:rPr>
          <w:szCs w:val="24"/>
        </w:rPr>
      </w:pPr>
      <w:r w:rsidRPr="008C1F6D">
        <w:rPr>
          <w:szCs w:val="24"/>
        </w:rPr>
        <w:t>Cooperation in areas of flood control, water induced disaster reduction, river training, water resources utilization and development;</w:t>
      </w:r>
    </w:p>
    <w:p w:rsidR="003E42A9" w:rsidRPr="008C1F6D" w:rsidRDefault="003E42A9" w:rsidP="003E42A9">
      <w:pPr>
        <w:pStyle w:val="ListParagraph"/>
        <w:numPr>
          <w:ilvl w:val="2"/>
          <w:numId w:val="17"/>
        </w:numPr>
        <w:spacing w:line="276" w:lineRule="auto"/>
        <w:ind w:left="360"/>
        <w:jc w:val="both"/>
        <w:rPr>
          <w:szCs w:val="24"/>
        </w:rPr>
      </w:pPr>
      <w:r w:rsidRPr="008C1F6D">
        <w:rPr>
          <w:szCs w:val="24"/>
        </w:rPr>
        <w:t xml:space="preserve">Enhancing the flood forecasting capability through exchange of flood related data and information of the </w:t>
      </w:r>
      <w:r w:rsidRPr="008C1F6D">
        <w:rPr>
          <w:bCs/>
          <w:szCs w:val="24"/>
        </w:rPr>
        <w:t>Yaluzangbu/Brahmaputra</w:t>
      </w:r>
      <w:r w:rsidRPr="008C1F6D">
        <w:rPr>
          <w:szCs w:val="24"/>
        </w:rPr>
        <w:t xml:space="preserve"> river;  and</w:t>
      </w:r>
    </w:p>
    <w:p w:rsidR="003E42A9" w:rsidRPr="008C1F6D" w:rsidRDefault="003E42A9" w:rsidP="003E42A9">
      <w:pPr>
        <w:pStyle w:val="ListParagraph"/>
        <w:numPr>
          <w:ilvl w:val="2"/>
          <w:numId w:val="17"/>
        </w:numPr>
        <w:spacing w:line="276" w:lineRule="auto"/>
        <w:ind w:left="360"/>
        <w:jc w:val="both"/>
        <w:rPr>
          <w:szCs w:val="24"/>
        </w:rPr>
      </w:pPr>
      <w:r w:rsidRPr="008C1F6D">
        <w:rPr>
          <w:szCs w:val="24"/>
        </w:rPr>
        <w:t>Utilize and protect the water resources of transnational rivers in the region keeping in mind the principles of equality and fairness.</w:t>
      </w:r>
    </w:p>
    <w:p w:rsidR="003E42A9" w:rsidRPr="008C1F6D" w:rsidRDefault="003E42A9" w:rsidP="003E42A9">
      <w:pPr>
        <w:spacing w:line="276" w:lineRule="auto"/>
        <w:jc w:val="both"/>
        <w:rPr>
          <w:szCs w:val="24"/>
        </w:rPr>
      </w:pPr>
      <w:r w:rsidRPr="008C1F6D">
        <w:rPr>
          <w:szCs w:val="24"/>
        </w:rPr>
        <w:t xml:space="preserve">Thereafter a meeting was held between the Water Resources Ministers of China and Bangladesh in February, 2006. In the meeting the two Ministers recognized the importance of integrated basin wise management of </w:t>
      </w:r>
      <w:r>
        <w:rPr>
          <w:szCs w:val="24"/>
        </w:rPr>
        <w:t>trans-boundary</w:t>
      </w:r>
      <w:r w:rsidRPr="008C1F6D">
        <w:rPr>
          <w:szCs w:val="24"/>
        </w:rPr>
        <w:t xml:space="preserve"> rivers. As per decision of the meeting China is providing data of floods of three stations - Nugesha, YangCun &amp; Nuxia of the river </w:t>
      </w:r>
      <w:r w:rsidRPr="00BE6820">
        <w:rPr>
          <w:bCs/>
          <w:szCs w:val="24"/>
        </w:rPr>
        <w:t>Yaluzangbu/Brahmaputra</w:t>
      </w:r>
      <w:r w:rsidRPr="008C1F6D">
        <w:rPr>
          <w:szCs w:val="24"/>
        </w:rPr>
        <w:t xml:space="preserve"> for the improvement of the flood forecasting and warning arrangement in Bangladesh from June, 2006. The two countries subsequently signed another MoU in September, 2008 titled “Provision of hydrological information of the Yaluzangbu/Brahmaputra </w:t>
      </w:r>
      <w:r w:rsidR="005331DD">
        <w:rPr>
          <w:szCs w:val="24"/>
        </w:rPr>
        <w:t>R</w:t>
      </w:r>
      <w:r w:rsidR="005331DD" w:rsidRPr="008C1F6D">
        <w:rPr>
          <w:szCs w:val="24"/>
        </w:rPr>
        <w:t xml:space="preserve">iver </w:t>
      </w:r>
      <w:r w:rsidRPr="008C1F6D">
        <w:rPr>
          <w:szCs w:val="24"/>
        </w:rPr>
        <w:t>in flood season by China to Bangladesh</w:t>
      </w:r>
      <w:r>
        <w:rPr>
          <w:szCs w:val="24"/>
        </w:rPr>
        <w:t>” and renewed in June 2014.</w:t>
      </w:r>
    </w:p>
    <w:p w:rsidR="003E42A9" w:rsidRDefault="003E42A9" w:rsidP="003E42A9">
      <w:pPr>
        <w:spacing w:line="276" w:lineRule="auto"/>
        <w:jc w:val="both"/>
        <w:rPr>
          <w:szCs w:val="24"/>
        </w:rPr>
      </w:pPr>
      <w:r w:rsidRPr="008C1F6D">
        <w:rPr>
          <w:szCs w:val="24"/>
        </w:rPr>
        <w:t xml:space="preserve">Subsequently the implementation plan on the same has also been signed between the two countries </w:t>
      </w:r>
      <w:r>
        <w:rPr>
          <w:szCs w:val="24"/>
        </w:rPr>
        <w:t>in March,</w:t>
      </w:r>
      <w:r w:rsidRPr="008C1F6D">
        <w:rPr>
          <w:szCs w:val="24"/>
        </w:rPr>
        <w:t xml:space="preserve"> 2015 at Beijing. The signing of the above documents has further institutionalized the transmission of flood related data of the Yaluzangbu/Brahmaputra river from China to Bangladesh.</w:t>
      </w:r>
    </w:p>
    <w:p w:rsidR="00000000" w:rsidRDefault="003E42A9" w:rsidP="003D5A31">
      <w:pPr>
        <w:pStyle w:val="BodyText"/>
        <w:numPr>
          <w:ilvl w:val="2"/>
          <w:numId w:val="145"/>
        </w:numPr>
        <w:spacing w:after="240" w:line="276" w:lineRule="auto"/>
        <w:jc w:val="both"/>
        <w:rPr>
          <w:rFonts w:cs="Times New Roman"/>
          <w:b/>
          <w:szCs w:val="24"/>
        </w:rPr>
      </w:pPr>
      <w:r w:rsidRPr="007809F2">
        <w:rPr>
          <w:rFonts w:cs="Times New Roman"/>
          <w:b/>
          <w:szCs w:val="24"/>
        </w:rPr>
        <w:lastRenderedPageBreak/>
        <w:t>Cooperation between Bhutan and Bangladesh</w:t>
      </w:r>
    </w:p>
    <w:p w:rsidR="005331DD" w:rsidRPr="00C44583" w:rsidRDefault="003E42A9" w:rsidP="005331DD">
      <w:pPr>
        <w:spacing w:line="276" w:lineRule="auto"/>
        <w:jc w:val="both"/>
        <w:rPr>
          <w:bCs/>
          <w:szCs w:val="24"/>
        </w:rPr>
      </w:pPr>
      <w:r w:rsidRPr="008C1F6D">
        <w:rPr>
          <w:szCs w:val="24"/>
        </w:rPr>
        <w:t>Bangladesh and Bhutan</w:t>
      </w:r>
      <w:r>
        <w:rPr>
          <w:szCs w:val="24"/>
        </w:rPr>
        <w:t xml:space="preserve"> jointly conducted a study following</w:t>
      </w:r>
      <w:r w:rsidRPr="008C1F6D">
        <w:rPr>
          <w:szCs w:val="24"/>
        </w:rPr>
        <w:t xml:space="preserve"> the devastating floods of 1987 &amp; 1988.</w:t>
      </w:r>
      <w:r>
        <w:rPr>
          <w:szCs w:val="24"/>
        </w:rPr>
        <w:t xml:space="preserve"> The study recommended establishing a technical committee to pursue the recommendations of the report and to ensure proper implementation, which is yet to be </w:t>
      </w:r>
      <w:r w:rsidR="002E04F3">
        <w:rPr>
          <w:szCs w:val="24"/>
        </w:rPr>
        <w:t>established.</w:t>
      </w:r>
      <w:r w:rsidR="002E04F3" w:rsidRPr="008C1F6D">
        <w:rPr>
          <w:szCs w:val="24"/>
        </w:rPr>
        <w:t xml:space="preserve"> During</w:t>
      </w:r>
      <w:r w:rsidRPr="008C1F6D">
        <w:rPr>
          <w:szCs w:val="24"/>
        </w:rPr>
        <w:t xml:space="preserve"> the visit of the Prime Minister of Bhutan to Bangladesh in December, 2014, the two Prime Ministers agreed inter-alia to enhance collaboration in Water Resources Management and Power/Hydro-power and Connectivity in the sub-regional context. Both sides also agreed to enhance cooperation in tourism sector, agriculture, education, health and human resources development.</w:t>
      </w:r>
      <w:r w:rsidR="005331DD" w:rsidRPr="005331DD">
        <w:rPr>
          <w:bCs/>
          <w:szCs w:val="24"/>
        </w:rPr>
        <w:t xml:space="preserve"> </w:t>
      </w:r>
      <w:r w:rsidR="005331DD">
        <w:rPr>
          <w:bCs/>
          <w:szCs w:val="24"/>
        </w:rPr>
        <w:t>Though Bangladesh and Myanmar shares 3 international rivers, there is no specific institutional mechanism to address the issue of management of these rivers.</w:t>
      </w:r>
    </w:p>
    <w:p w:rsidR="003E42A9" w:rsidRDefault="003E42A9" w:rsidP="003E42A9">
      <w:pPr>
        <w:spacing w:line="276" w:lineRule="auto"/>
        <w:jc w:val="both"/>
        <w:rPr>
          <w:szCs w:val="24"/>
        </w:rPr>
      </w:pPr>
    </w:p>
    <w:p w:rsidR="00BB11A4" w:rsidRDefault="00BB11A4" w:rsidP="003E42A9">
      <w:pPr>
        <w:spacing w:line="276" w:lineRule="auto"/>
        <w:jc w:val="both"/>
        <w:rPr>
          <w:szCs w:val="24"/>
        </w:rPr>
      </w:pPr>
    </w:p>
    <w:p w:rsidR="00F64A6A" w:rsidRDefault="003E42A9" w:rsidP="00F64A6A">
      <w:pPr>
        <w:pStyle w:val="Heading2"/>
        <w:numPr>
          <w:ilvl w:val="0"/>
          <w:numId w:val="0"/>
        </w:numPr>
        <w:ind w:left="720"/>
      </w:pPr>
      <w:bookmarkStart w:id="241" w:name="_Toc463603900"/>
      <w:bookmarkStart w:id="242" w:name="_Toc474638871"/>
      <w:r w:rsidRPr="00105126">
        <w:t>Strategy for Better Regional Cooperation</w:t>
      </w:r>
      <w:bookmarkEnd w:id="241"/>
      <w:bookmarkEnd w:id="242"/>
    </w:p>
    <w:p w:rsidR="003E42A9" w:rsidRPr="005034A8" w:rsidRDefault="005331DD" w:rsidP="003E42A9">
      <w:pPr>
        <w:spacing w:line="276" w:lineRule="auto"/>
        <w:jc w:val="both"/>
        <w:rPr>
          <w:rFonts w:eastAsia="Times New Roman"/>
          <w:szCs w:val="20"/>
        </w:rPr>
      </w:pPr>
      <w:r>
        <w:rPr>
          <w:rFonts w:eastAsia="Times New Roman"/>
          <w:szCs w:val="20"/>
        </w:rPr>
        <w:t xml:space="preserve">Being within the </w:t>
      </w:r>
      <w:r w:rsidR="003E42A9" w:rsidRPr="005034A8">
        <w:rPr>
          <w:rFonts w:eastAsia="Times New Roman"/>
          <w:szCs w:val="20"/>
        </w:rPr>
        <w:t xml:space="preserve">central position </w:t>
      </w:r>
      <w:r>
        <w:rPr>
          <w:rFonts w:eastAsia="Times New Roman"/>
          <w:szCs w:val="20"/>
        </w:rPr>
        <w:t>of</w:t>
      </w:r>
      <w:r w:rsidRPr="005034A8">
        <w:rPr>
          <w:rFonts w:eastAsia="Times New Roman"/>
          <w:szCs w:val="20"/>
        </w:rPr>
        <w:t xml:space="preserve"> </w:t>
      </w:r>
      <w:r w:rsidR="003E42A9" w:rsidRPr="005034A8">
        <w:rPr>
          <w:rFonts w:eastAsia="Times New Roman"/>
          <w:szCs w:val="20"/>
        </w:rPr>
        <w:t>the G</w:t>
      </w:r>
      <w:r>
        <w:rPr>
          <w:rFonts w:eastAsia="Times New Roman"/>
          <w:szCs w:val="20"/>
        </w:rPr>
        <w:t xml:space="preserve">anges-the Brahmaputra-the Meghna </w:t>
      </w:r>
      <w:r w:rsidR="003E42A9" w:rsidRPr="005034A8">
        <w:rPr>
          <w:rFonts w:eastAsia="Times New Roman"/>
          <w:szCs w:val="20"/>
        </w:rPr>
        <w:t>basin</w:t>
      </w:r>
      <w:r>
        <w:rPr>
          <w:rFonts w:eastAsia="Times New Roman"/>
          <w:szCs w:val="20"/>
        </w:rPr>
        <w:t>s</w:t>
      </w:r>
      <w:r w:rsidR="003E42A9" w:rsidRPr="005034A8">
        <w:rPr>
          <w:rFonts w:eastAsia="Times New Roman"/>
          <w:szCs w:val="20"/>
        </w:rPr>
        <w:t xml:space="preserve"> and the recipient of substantial amount of trans-boundary flows from several neighboring countries</w:t>
      </w:r>
      <w:r>
        <w:rPr>
          <w:rFonts w:eastAsia="Times New Roman"/>
          <w:szCs w:val="20"/>
        </w:rPr>
        <w:t>,</w:t>
      </w:r>
      <w:r w:rsidRPr="005034A8">
        <w:rPr>
          <w:rFonts w:eastAsia="Times New Roman"/>
          <w:szCs w:val="20"/>
        </w:rPr>
        <w:t xml:space="preserve"> </w:t>
      </w:r>
      <w:r>
        <w:rPr>
          <w:rFonts w:eastAsia="Times New Roman"/>
          <w:szCs w:val="20"/>
        </w:rPr>
        <w:t>c</w:t>
      </w:r>
      <w:r w:rsidRPr="005034A8">
        <w:rPr>
          <w:rFonts w:eastAsia="Times New Roman"/>
          <w:szCs w:val="20"/>
        </w:rPr>
        <w:t xml:space="preserve">ooperation </w:t>
      </w:r>
      <w:r w:rsidR="003E42A9" w:rsidRPr="005034A8">
        <w:rPr>
          <w:rFonts w:eastAsia="Times New Roman"/>
          <w:szCs w:val="20"/>
        </w:rPr>
        <w:t xml:space="preserve">regarding water resources management with India, Nepal, Bhutan, Myanmar and China is essential for Bangladesh to foster further development. Closer cooperation has to be ensured </w:t>
      </w:r>
      <w:r>
        <w:rPr>
          <w:rFonts w:eastAsia="Times New Roman"/>
          <w:szCs w:val="20"/>
        </w:rPr>
        <w:t xml:space="preserve">with </w:t>
      </w:r>
      <w:r w:rsidR="003E42A9" w:rsidRPr="005034A8">
        <w:rPr>
          <w:rFonts w:eastAsia="Times New Roman"/>
          <w:szCs w:val="20"/>
        </w:rPr>
        <w:t xml:space="preserve">neighboring countries in view of the general understanding that joint cooperation outweighs individual development. Joint management of water resources has to be ensured at basin level through continued bi/ multilateral dialogues. </w:t>
      </w:r>
      <w:r w:rsidR="0070197D">
        <w:rPr>
          <w:rFonts w:eastAsia="Times New Roman"/>
          <w:szCs w:val="20"/>
        </w:rPr>
        <w:t>In particular, a</w:t>
      </w:r>
      <w:r w:rsidR="003E42A9" w:rsidRPr="005034A8">
        <w:rPr>
          <w:rFonts w:eastAsia="Times New Roman"/>
          <w:szCs w:val="20"/>
        </w:rPr>
        <w:t xml:space="preserve">llocation of </w:t>
      </w:r>
      <w:r w:rsidR="0070197D">
        <w:rPr>
          <w:rFonts w:eastAsia="Times New Roman"/>
          <w:szCs w:val="20"/>
        </w:rPr>
        <w:t xml:space="preserve">substantial amounts of water </w:t>
      </w:r>
      <w:r w:rsidR="002E04F3">
        <w:rPr>
          <w:rFonts w:eastAsia="Times New Roman"/>
          <w:szCs w:val="20"/>
        </w:rPr>
        <w:t>should</w:t>
      </w:r>
      <w:r w:rsidR="0070197D">
        <w:rPr>
          <w:rFonts w:eastAsia="Times New Roman"/>
          <w:szCs w:val="20"/>
        </w:rPr>
        <w:t xml:space="preserve"> be ensured</w:t>
      </w:r>
      <w:r w:rsidR="003E42A9" w:rsidRPr="005034A8">
        <w:rPr>
          <w:rFonts w:eastAsia="Times New Roman"/>
          <w:szCs w:val="20"/>
        </w:rPr>
        <w:t xml:space="preserve"> for ecological maintenance of rivers, especially during dry season.</w:t>
      </w:r>
    </w:p>
    <w:p w:rsidR="003E42A9" w:rsidRPr="005034A8" w:rsidRDefault="003E42A9" w:rsidP="0070197D">
      <w:pPr>
        <w:spacing w:line="276" w:lineRule="auto"/>
        <w:jc w:val="both"/>
        <w:rPr>
          <w:rFonts w:eastAsia="Times New Roman"/>
          <w:szCs w:val="20"/>
        </w:rPr>
      </w:pPr>
      <w:r w:rsidRPr="005034A8">
        <w:rPr>
          <w:rFonts w:eastAsia="Times New Roman"/>
          <w:szCs w:val="20"/>
        </w:rPr>
        <w:t>The historic Framework Agreement signed between Bangladesh and India advances the opportunity for equitable sharing and utilization of the common water resources through effective use of IWRM on a river basin scale. This is done by enhancing cooperation in sharing common river resources and integrated river basin management in light of the agreed framework in establishing water diplomacy. The following options can be considered to ensure proper management of river basin and utilizat</w:t>
      </w:r>
      <w:r w:rsidR="0070197D">
        <w:rPr>
          <w:rFonts w:eastAsia="Times New Roman"/>
          <w:szCs w:val="20"/>
        </w:rPr>
        <w:t>ion of available resources.</w:t>
      </w: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 xml:space="preserve">Incorporation of multi-layered dialogues that will enable participating countries to initiate negotiations from new entry points and also link water related negotiations with other river interests and regional cooperation issues. They will be characterized by an open environment to enable participants to understand the viewpoints of other parties, where the contributors are not hampered by political or other power oriented </w:t>
      </w:r>
      <w:r w:rsidRPr="005034A8">
        <w:rPr>
          <w:rFonts w:eastAsia="Times New Roman"/>
          <w:szCs w:val="20"/>
        </w:rPr>
        <w:lastRenderedPageBreak/>
        <w:t>position holders. Issues such as climate change and its consequences can be discussed in parallel in conjunction with other river basin management issues as it has a profound effect upon many aspects of water availability and management.</w:t>
      </w: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Besides, multi-track water diplomacy has to be applied to prevent or peacefully resolve conflicts related to water availability, it's allocation or use between and within states for better understanding of trans-boundary issues and to ensure effective formulation and implementation of common river basin management schemes related to joint usage and equitable allocation of water resources that are centered on the concept of benefit sharing.</w:t>
      </w: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It is imperative that environmental flow is maintained in the rivers and as such, necessary initiatives have to be taken both on a bi- and multi-lateral basis and enacted accordingly. Discharge and quality measuring stations need to be established and regularly monitored at different locations on the river.</w:t>
      </w: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Simultaneous negotiation of multiple treaties have to be done to ensure that the benefits given up on one treaty could be used as leverage for another – more significant – treaty. Instead of attempting to agree on one treaty at a time, negotiation of multiple treaties would be a better approach to gain optimal outcomes for Bangladesh. By applying the negotiation of multiple treaties approach, both countries have more options to come to mutually agreeable and beneficial terms.</w:t>
      </w:r>
    </w:p>
    <w:p w:rsidR="00F64A6A" w:rsidRDefault="00F64A6A" w:rsidP="00F64A6A">
      <w:pPr>
        <w:tabs>
          <w:tab w:val="left" w:pos="360"/>
        </w:tabs>
        <w:spacing w:after="0" w:line="276" w:lineRule="auto"/>
        <w:ind w:left="360"/>
        <w:jc w:val="both"/>
        <w:rPr>
          <w:rFonts w:eastAsia="Times New Roman"/>
          <w:szCs w:val="20"/>
        </w:rPr>
      </w:pP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Prioritization of rivers has to be done in implementing devised schemes regarding water sharing. Bangladesh and India have been sharing the Ganges water at Farakka since signing of the treaty in 1997</w:t>
      </w:r>
      <w:r w:rsidR="005331DD">
        <w:rPr>
          <w:rFonts w:eastAsia="Times New Roman"/>
          <w:szCs w:val="20"/>
        </w:rPr>
        <w:t>.</w:t>
      </w:r>
      <w:r w:rsidRPr="005034A8">
        <w:rPr>
          <w:rFonts w:eastAsia="Times New Roman"/>
          <w:szCs w:val="20"/>
        </w:rPr>
        <w:t xml:space="preserve"> </w:t>
      </w:r>
      <w:r w:rsidR="005331DD">
        <w:rPr>
          <w:rFonts w:eastAsia="Times New Roman"/>
          <w:szCs w:val="20"/>
        </w:rPr>
        <w:t>D</w:t>
      </w:r>
      <w:r w:rsidRPr="005034A8">
        <w:rPr>
          <w:rFonts w:eastAsia="Times New Roman"/>
          <w:szCs w:val="20"/>
        </w:rPr>
        <w:t xml:space="preserve">iscussions </w:t>
      </w:r>
      <w:r w:rsidR="005331DD">
        <w:rPr>
          <w:rFonts w:eastAsia="Times New Roman"/>
          <w:szCs w:val="20"/>
        </w:rPr>
        <w:t xml:space="preserve">are </w:t>
      </w:r>
      <w:r w:rsidRPr="005034A8">
        <w:rPr>
          <w:rFonts w:eastAsia="Times New Roman"/>
          <w:szCs w:val="20"/>
        </w:rPr>
        <w:t xml:space="preserve">also being held for augmentation of the dry season flows. Framework of agreement for sharing of Teesta needs to be developed as a treaty. Similarly, water sharing policy for the six other prioritized trans-boundary rivers namely </w:t>
      </w:r>
      <w:r w:rsidR="005331DD">
        <w:rPr>
          <w:rFonts w:eastAsia="Times New Roman"/>
          <w:szCs w:val="20"/>
        </w:rPr>
        <w:t xml:space="preserve">the the </w:t>
      </w:r>
      <w:r w:rsidRPr="005034A8">
        <w:rPr>
          <w:rFonts w:eastAsia="Times New Roman"/>
          <w:szCs w:val="20"/>
        </w:rPr>
        <w:t xml:space="preserve">Dharla, </w:t>
      </w:r>
      <w:r w:rsidR="005331DD">
        <w:rPr>
          <w:rFonts w:eastAsia="Times New Roman"/>
          <w:szCs w:val="20"/>
        </w:rPr>
        <w:t xml:space="preserve">the </w:t>
      </w:r>
      <w:r w:rsidRPr="005034A8">
        <w:rPr>
          <w:rFonts w:eastAsia="Times New Roman"/>
          <w:szCs w:val="20"/>
        </w:rPr>
        <w:t xml:space="preserve">Dudhkumar, </w:t>
      </w:r>
      <w:r w:rsidR="005331DD">
        <w:rPr>
          <w:rFonts w:eastAsia="Times New Roman"/>
          <w:szCs w:val="20"/>
        </w:rPr>
        <w:t xml:space="preserve">the </w:t>
      </w:r>
      <w:r w:rsidRPr="005034A8">
        <w:rPr>
          <w:rFonts w:eastAsia="Times New Roman"/>
          <w:szCs w:val="20"/>
        </w:rPr>
        <w:t xml:space="preserve">Manu, </w:t>
      </w:r>
      <w:r w:rsidR="005331DD">
        <w:rPr>
          <w:rFonts w:eastAsia="Times New Roman"/>
          <w:szCs w:val="20"/>
        </w:rPr>
        <w:t xml:space="preserve">the </w:t>
      </w:r>
      <w:r w:rsidRPr="005034A8">
        <w:rPr>
          <w:rFonts w:eastAsia="Times New Roman"/>
          <w:szCs w:val="20"/>
        </w:rPr>
        <w:t xml:space="preserve">Khowai, </w:t>
      </w:r>
      <w:r w:rsidR="005331DD">
        <w:rPr>
          <w:rFonts w:eastAsia="Times New Roman"/>
          <w:szCs w:val="20"/>
        </w:rPr>
        <w:t xml:space="preserve">the </w:t>
      </w:r>
      <w:r w:rsidRPr="005034A8">
        <w:rPr>
          <w:rFonts w:eastAsia="Times New Roman"/>
          <w:szCs w:val="20"/>
        </w:rPr>
        <w:t xml:space="preserve">Gumti, and </w:t>
      </w:r>
      <w:r w:rsidR="005331DD">
        <w:rPr>
          <w:rFonts w:eastAsia="Times New Roman"/>
          <w:szCs w:val="20"/>
        </w:rPr>
        <w:t xml:space="preserve">the </w:t>
      </w:r>
      <w:r w:rsidRPr="005034A8">
        <w:rPr>
          <w:rFonts w:eastAsia="Times New Roman"/>
          <w:szCs w:val="20"/>
        </w:rPr>
        <w:t>Muhuri need to be implemented at technical level.</w:t>
      </w: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Demand based common river basin management schemes has to be initiated where the involved countries will weigh in their views regarding mutually beneficial river management and solve common issues both bi- and multi-laterally through construction of necessary infrastructure on optimal hydrological and ecological locations within the river basins.</w:t>
      </w: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 xml:space="preserve">International involvement approach can be implemented that will involve active participation of a third party, either an international organisation or a country. In order to ensure the effectiveness and acceptance of international involvement, both countries need to agree first to do so to ensure the legitimacy of the mediator to all concerned parties. An example can be the case for the Indus Treaty where the World Bank acted as the honest broker in maintaining negotiations between India and Pakistan (1960) towards the conclusion of the treaty. The World Bank also supported subsequent infrastructural development works. In much the same way, the GBM </w:t>
      </w:r>
      <w:r w:rsidRPr="005034A8">
        <w:rPr>
          <w:rFonts w:eastAsia="Times New Roman"/>
          <w:szCs w:val="20"/>
        </w:rPr>
        <w:lastRenderedPageBreak/>
        <w:t>countries like Bangladesh, India, Nepal with the support of similar donor agencies may be able to harness the true water resources potential of the Ganges Basin and gain benefits across multiple platforms on or beyond water. Similar strategies may be adopted for other international river basins.</w:t>
      </w: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Benefit-sharing “mutual gains” model has to be implemented that discourages unilateral actions and further encourages coordination between riparian countries. The concept behind mutual gains is to incorporate non-water issues into the negotiation process to augment the basket of benefits. The framework agreement has opened the opportunity for conducting negotiations through establishment of joint body river basin organizations in pursuing common river basin management. Involving various sub-regional cooperation issues such as in power sector or navigability and physical connectivity can greatly enhance the mutual gain basket.</w:t>
      </w: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Legal and political-economy analysis has to be performed, focused on specific challenges to be encountered. Identification of key zones of possible effective cooperation can be done to develop concrete recommendations on how to foster effective cooperation.</w:t>
      </w:r>
    </w:p>
    <w:p w:rsidR="00000000" w:rsidRDefault="003E42A9" w:rsidP="003D5A31">
      <w:pPr>
        <w:numPr>
          <w:ilvl w:val="0"/>
          <w:numId w:val="165"/>
        </w:numPr>
        <w:tabs>
          <w:tab w:val="left" w:pos="360"/>
        </w:tabs>
        <w:spacing w:after="0" w:line="276" w:lineRule="auto"/>
        <w:ind w:left="360" w:hanging="360"/>
        <w:jc w:val="both"/>
        <w:rPr>
          <w:rFonts w:eastAsia="Times New Roman"/>
          <w:szCs w:val="20"/>
        </w:rPr>
      </w:pPr>
      <w:r w:rsidRPr="005034A8">
        <w:rPr>
          <w:rFonts w:eastAsia="Times New Roman"/>
          <w:szCs w:val="20"/>
        </w:rPr>
        <w:t>Strategies have to be devised to combat the implications of the adverse effects of climate change upon the river basins. Should there be a shortage on the availability of upstream flow, initiatives such as implementation of reservoir system to retain water to fulfill dry seasonal water demands has to be done</w:t>
      </w:r>
      <w:r w:rsidRPr="005034A8">
        <w:rPr>
          <w:rFonts w:eastAsia="Times New Roman"/>
          <w:szCs w:val="24"/>
        </w:rPr>
        <w:t>.</w:t>
      </w:r>
    </w:p>
    <w:p w:rsidR="003E42A9" w:rsidRPr="00B6696C" w:rsidRDefault="003E42A9" w:rsidP="00B6696C"/>
    <w:p w:rsidR="003E42A9" w:rsidRDefault="003E42A9" w:rsidP="003E42A9"/>
    <w:p w:rsidR="00DF4C79" w:rsidRDefault="00DF4C79">
      <w:pPr>
        <w:rPr>
          <w:szCs w:val="24"/>
        </w:rPr>
      </w:pPr>
    </w:p>
    <w:p w:rsidR="00A356FA" w:rsidRDefault="00A356FA" w:rsidP="00A356FA">
      <w:pPr>
        <w:jc w:val="both"/>
        <w:rPr>
          <w:szCs w:val="24"/>
        </w:rPr>
        <w:sectPr w:rsidR="00A356FA" w:rsidSect="00144771">
          <w:headerReference w:type="even" r:id="rId83"/>
          <w:headerReference w:type="default" r:id="rId84"/>
          <w:footerReference w:type="default" r:id="rId85"/>
          <w:headerReference w:type="first" r:id="rId86"/>
          <w:pgSz w:w="12240" w:h="15840"/>
          <w:pgMar w:top="1440" w:right="1800" w:bottom="1440" w:left="1800" w:header="720" w:footer="720" w:gutter="0"/>
          <w:cols w:space="720"/>
          <w:docGrid w:linePitch="360"/>
        </w:sectPr>
      </w:pPr>
    </w:p>
    <w:p w:rsidR="008B4CE7" w:rsidRDefault="008B4CE7">
      <w:pPr>
        <w:rPr>
          <w:rFonts w:asciiTheme="majorHAnsi" w:eastAsiaTheme="majorEastAsia" w:hAnsiTheme="majorHAnsi" w:cs="Times New Roman"/>
          <w:b/>
          <w:color w:val="1F497D" w:themeColor="text2"/>
          <w:spacing w:val="5"/>
          <w:kern w:val="28"/>
          <w:sz w:val="52"/>
          <w:szCs w:val="36"/>
        </w:rPr>
      </w:pPr>
      <w:bookmarkStart w:id="243" w:name="_Toc463603914"/>
      <w:bookmarkStart w:id="244" w:name="_Toc474638881"/>
      <w:bookmarkStart w:id="245" w:name="_Toc448669465"/>
      <w:r>
        <w:rPr>
          <w:rFonts w:cs="Times New Roman"/>
          <w:b/>
          <w:color w:val="1F497D" w:themeColor="text2"/>
          <w:szCs w:val="36"/>
        </w:rPr>
        <w:lastRenderedPageBreak/>
        <w:br w:type="page"/>
      </w:r>
    </w:p>
    <w:p w:rsidR="008B4CE7" w:rsidRPr="00B935F1" w:rsidRDefault="008B4CE7" w:rsidP="008B4CE7">
      <w:pPr>
        <w:rPr>
          <w:szCs w:val="24"/>
        </w:rPr>
      </w:pPr>
      <w:bookmarkStart w:id="246" w:name="_GoBack"/>
      <w:bookmarkStart w:id="247" w:name="_Toc464328759"/>
      <w:bookmarkEnd w:id="246"/>
    </w:p>
    <w:p w:rsidR="008B4CE7" w:rsidRPr="00B935F1" w:rsidRDefault="008B4CE7" w:rsidP="008B4CE7">
      <w:pPr>
        <w:pStyle w:val="Heading1"/>
      </w:pPr>
      <w:r w:rsidRPr="00B935F1">
        <w:t>Chapter 5</w:t>
      </w:r>
    </w:p>
    <w:p w:rsidR="008B4CE7" w:rsidRPr="0081487C" w:rsidRDefault="008B4CE7" w:rsidP="008B4CE7">
      <w:pPr>
        <w:pStyle w:val="Heading1"/>
      </w:pPr>
      <w:r w:rsidRPr="0081487C">
        <w:t xml:space="preserve">Delta Vision, Goals and Policy Options: Adaptive Delta Management and </w:t>
      </w:r>
      <w:bookmarkEnd w:id="247"/>
      <w:r w:rsidRPr="0081487C">
        <w:t>Scenarios</w:t>
      </w:r>
    </w:p>
    <w:p w:rsidR="008B4CE7" w:rsidRPr="00B935F1" w:rsidRDefault="008B4CE7" w:rsidP="008B4CE7">
      <w:pPr>
        <w:pStyle w:val="Heading2"/>
        <w:tabs>
          <w:tab w:val="num" w:pos="576"/>
        </w:tabs>
        <w:spacing w:before="160" w:after="160"/>
        <w:ind w:left="0" w:firstLine="0"/>
        <w:jc w:val="left"/>
      </w:pPr>
      <w:bookmarkStart w:id="248" w:name="_Toc452121432"/>
      <w:bookmarkStart w:id="249" w:name="_Toc460496848"/>
      <w:bookmarkStart w:id="250" w:name="_Toc464328760"/>
      <w:r w:rsidRPr="00B935F1">
        <w:t>Background</w:t>
      </w:r>
      <w:bookmarkEnd w:id="248"/>
      <w:bookmarkEnd w:id="249"/>
      <w:bookmarkEnd w:id="250"/>
    </w:p>
    <w:p w:rsidR="008B4CE7" w:rsidRDefault="008B4CE7" w:rsidP="008B4CE7">
      <w:pPr>
        <w:rPr>
          <w:rFonts w:cs="Times New Roman"/>
          <w:szCs w:val="24"/>
        </w:rPr>
      </w:pPr>
      <w:r w:rsidRPr="00B935F1">
        <w:rPr>
          <w:rFonts w:cs="Times New Roman"/>
          <w:szCs w:val="24"/>
        </w:rPr>
        <w:t xml:space="preserve">Having climbed the stairs to low middle income country, Bangladesh now aspires to move up to the upper middle income status. The past development record and outlook for the future are both positive indicators that this journey is possible. Yet, Bangladesh faces many development challenges. As noted in Chapter 2, in addition to the many policy and institutional challenges, Bangladesh faces many risks and vulnerabilities that are intimately linked with the geography of Bangladesh and discussed in detail in the earlier chapters. The combination of climate change and sea level rise, the trans-boundary river flows, their paths to the sea, the ecological patterns emerging from these flows, the interaction with development involving use of  land, water, forestry, fisheries and water transport for livelihood all create opportunities and challenges for sustainable resource use as well as security of life and livelihoods. The frequency of natural disasters including cyclones and tidal waves combined with flooding, river siltation, water-logging, salinity, land erosion, drought, irrigation needs and drinking water shortages together present major policy, financing and institutional challenges. They also pose substantial downside risks to Bangladesh development progress. </w:t>
      </w:r>
    </w:p>
    <w:p w:rsidR="008B4CE7" w:rsidRPr="00D0059E" w:rsidRDefault="008B4CE7" w:rsidP="008B4CE7">
      <w:pPr>
        <w:rPr>
          <w:rFonts w:cs="Times New Roman"/>
          <w:bCs/>
          <w:i/>
          <w:iCs/>
          <w:szCs w:val="24"/>
        </w:rPr>
      </w:pPr>
      <w:r w:rsidRPr="00D0059E">
        <w:rPr>
          <w:rFonts w:cs="Times New Roman"/>
          <w:szCs w:val="24"/>
        </w:rPr>
        <w:t xml:space="preserve">It is not entirely clear at this stage the extent of these delta-related uncertainties and their adverse effects on the economy and society. Yet, the development strategy has to anticipate these risks, analyze the likely adverse effects on development outcomes, and identify possible policy responses to counter these risks. </w:t>
      </w:r>
      <w:r w:rsidRPr="00D0059E">
        <w:rPr>
          <w:rFonts w:cs="Times New Roman"/>
          <w:bCs/>
          <w:i/>
          <w:iCs/>
          <w:szCs w:val="24"/>
        </w:rPr>
        <w:t xml:space="preserve">Adaptive Delta Management underlying BDP2100 involves essentially making policy choices to facilitate development under these uncertainties. </w:t>
      </w:r>
    </w:p>
    <w:p w:rsidR="008B4CE7" w:rsidRPr="00B935F1" w:rsidRDefault="008B4CE7" w:rsidP="008B4CE7">
      <w:pPr>
        <w:rPr>
          <w:rFonts w:cs="Times New Roman"/>
          <w:szCs w:val="24"/>
        </w:rPr>
      </w:pPr>
      <w:r w:rsidRPr="00B935F1">
        <w:rPr>
          <w:rFonts w:cs="Times New Roman"/>
          <w:szCs w:val="24"/>
        </w:rPr>
        <w:t>The risks and uncertainties related to weather pattern, natural hazards and climate change are mostly exogenous in nature.  While global action on low-carbon development can influence climate change, from Bangladesh development planning perspective, climate change, weather pattern and natural hazards are all exogenous variables.  The development planners will need to make assumptions about the likely behavior of these variables and study their likely development consequences. The policy responses to these exogenous developments to offset the adverse effects are another important set of variables. Thus, an e</w:t>
      </w:r>
      <w:r>
        <w:rPr>
          <w:rFonts w:cs="Times New Roman"/>
          <w:szCs w:val="24"/>
        </w:rPr>
        <w:t>ssential element of the BDP 2100</w:t>
      </w:r>
      <w:r w:rsidRPr="00B935F1">
        <w:rPr>
          <w:rFonts w:cs="Times New Roman"/>
          <w:szCs w:val="24"/>
        </w:rPr>
        <w:t xml:space="preserve"> is to develop various policy options that involve different combinations of exogenous variables (e.g. weather, natural hazard, climate change behavior, etc.), policy variables (investments, sectoral and macro-policies including policies for managing the delta-related variables, regulations and institutions) and development outcomes (GDP growth, employment, poverty, water adequacy, food security, ecological balance etc.). This interactive relationship between exogenous, policy </w:t>
      </w:r>
      <w:r w:rsidRPr="00B935F1">
        <w:rPr>
          <w:rFonts w:cs="Times New Roman"/>
          <w:szCs w:val="24"/>
        </w:rPr>
        <w:lastRenderedPageBreak/>
        <w:t xml:space="preserve">and endogenous variables is ameaningful way of projecting development outcomes under uncertainty. </w:t>
      </w:r>
    </w:p>
    <w:p w:rsidR="008B4CE7" w:rsidRPr="00B935F1" w:rsidRDefault="008B4CE7" w:rsidP="008B4CE7">
      <w:pPr>
        <w:rPr>
          <w:rFonts w:cs="Times New Roman"/>
          <w:szCs w:val="24"/>
        </w:rPr>
      </w:pPr>
      <w:r w:rsidRPr="00B935F1">
        <w:rPr>
          <w:rFonts w:cs="Times New Roman"/>
          <w:szCs w:val="24"/>
        </w:rPr>
        <w:t>Another important interaction that should be noted is the inter-relationship between endogenous variables and policy variables, especially investments.  As the experience of the Dutch Delta management shows, considerable investments are needed to manage the various water-related risks.  These investments will partly be financed by public sector from tax resources and partly by the private sector through the application of various forms of beneficiary pays principle.  The ability to make these investments will critically depend upon economic prosperity of the country. Not only that tax revenues tend to increase with growth, with wealth increase the citizen’s demand for better protection against natural hazards rises that is reflected in willingness to pay for better protection services. Private investment capacity similarly increases.  Low growth prospects reduce ability to do adequate investments resulting in lower protection against natural hazards.</w:t>
      </w:r>
    </w:p>
    <w:p w:rsidR="008B4CE7" w:rsidRPr="00B935F1" w:rsidRDefault="008B4CE7" w:rsidP="008B4CE7">
      <w:pPr>
        <w:rPr>
          <w:rFonts w:cs="Times New Roman"/>
          <w:szCs w:val="24"/>
        </w:rPr>
      </w:pPr>
      <w:r w:rsidRPr="00B935F1">
        <w:rPr>
          <w:rFonts w:cs="Times New Roman"/>
          <w:szCs w:val="24"/>
        </w:rPr>
        <w:t xml:space="preserve">Against the backdrop of the above, this chapter looks at BDP2100 vision, goals and targets and develops policy options that allow an interaction between exogenous, policy and endogenous variables.  It identifies the key exogenous assumptions, the many policy variables and long-term development outcomes in terms of GDP growth, employment and poverty reduction.  Details of investment programming and financing issues are provided in Chapter 11. </w:t>
      </w:r>
    </w:p>
    <w:p w:rsidR="008B4CE7" w:rsidRPr="00D0059E" w:rsidRDefault="008B4CE7" w:rsidP="008B4CE7">
      <w:pPr>
        <w:pStyle w:val="Heading2"/>
        <w:tabs>
          <w:tab w:val="num" w:pos="576"/>
        </w:tabs>
        <w:spacing w:before="160" w:after="160"/>
        <w:ind w:left="0" w:firstLine="0"/>
        <w:jc w:val="left"/>
      </w:pPr>
      <w:bookmarkStart w:id="251" w:name="_Toc452121433"/>
      <w:bookmarkStart w:id="252" w:name="_Toc460496849"/>
      <w:bookmarkStart w:id="253" w:name="_Toc464328761"/>
      <w:r w:rsidRPr="00D0059E">
        <w:t xml:space="preserve">Adaptive Delta Management </w:t>
      </w:r>
      <w:bookmarkEnd w:id="251"/>
      <w:bookmarkEnd w:id="252"/>
      <w:bookmarkEnd w:id="253"/>
    </w:p>
    <w:p w:rsidR="008B4CE7" w:rsidRPr="00B935F1" w:rsidRDefault="008B4CE7" w:rsidP="008B4CE7">
      <w:pPr>
        <w:rPr>
          <w:szCs w:val="24"/>
        </w:rPr>
      </w:pPr>
      <w:r w:rsidRPr="00B935F1">
        <w:rPr>
          <w:szCs w:val="24"/>
        </w:rPr>
        <w:t xml:space="preserve">Adaptive Delta Management (ADM) is being introduced to clarify the strategic character and aims of BDP 2100 as long term, holistic techno-economic water centric plan. ADM aims to support the development of an adaptive and integrated plan to enable robust and flexible decisions in deltas under uncertain changing conditions. This adaptive planning approach is directed towards the targets, and at the same time flexible in how and when to implement management interventions (Dutch Delta Programme, 2010, 2012a; Van Rhee, 2012). ADM as applied in the BDP 2100 aims to support holistic water governance, planning and implementation in the delta under uncertainty, by anticipating short-term and long-term challenges and opportunities resulting e.g. from climatological and socio-economical changes. To do so, planners consider adaptation and development pathways instead of end-point solutions and time frames wherein actions are needed. In doing this, they seek from holistic and long term points of view connection with other investment agendas. ADM thus explicitly considers that decisions are taken over time concerning if, when and how to adapt and accepts the existence of deep (severe) uncertainty especially about external drivers and their future development. </w:t>
      </w:r>
    </w:p>
    <w:p w:rsidR="008B4CE7" w:rsidRPr="00B935F1" w:rsidRDefault="008B4CE7" w:rsidP="008B4CE7">
      <w:pPr>
        <w:rPr>
          <w:szCs w:val="24"/>
        </w:rPr>
      </w:pPr>
      <w:r w:rsidRPr="00B935F1">
        <w:rPr>
          <w:szCs w:val="24"/>
        </w:rPr>
        <w:t xml:space="preserve">Within ADM a plan is conceptualized as a series of actions over time (pathways). The essence is the proactive planning for flexible adaptation over time, in response to how the future actually unfolds. The approach starts from the premise that policies/decisions have a design life and might fail as the operating conditions change. Once actions fail, additional or other actions are needed to achieve objectives, and a series of pathways emerge; at predetermined trigger points the course can change while still achieving the objectives. By exploring different pathways and </w:t>
      </w:r>
      <w:r w:rsidRPr="00B935F1">
        <w:rPr>
          <w:szCs w:val="24"/>
        </w:rPr>
        <w:lastRenderedPageBreak/>
        <w:t>considering path-dependency of actions, an adaptive plan can be designed, that includes short term actions and long term options. The plan is monitored for signals that indicate when the next step of a pathway should be implemented or whether reassessment of the plan is needed.</w:t>
      </w:r>
    </w:p>
    <w:p w:rsidR="008B4CE7" w:rsidRPr="00B935F1" w:rsidRDefault="008B4CE7" w:rsidP="008B4CE7">
      <w:pPr>
        <w:rPr>
          <w:szCs w:val="24"/>
        </w:rPr>
      </w:pPr>
      <w:r w:rsidRPr="00B935F1">
        <w:rPr>
          <w:szCs w:val="24"/>
        </w:rPr>
        <w:t xml:space="preserve">To deal with uncertainties and to some extend to reduce it, ADM uses scenarios that describe narratives of plausible and possible (and not ‘desired’ or ‘preferred’) futures, upon which the performance, robustness and adaptivity of alternative strategies and pathways are evaluated. As such, they describe the external context (developments that cannot be influenced by the policy maker or planner) both in socio-economic and physical terms. The scenarios are used to evaluate the robustness and flexibility of strategies and pathways, and to design preferred pathways that include no- or low-regret measures and a number of alternative routes pathways that can deal with medium and long term changes. These are typical top-down vulnerability assessment as is done in scenarios analysis. Within ADM, not only top-down assessments but also bottom-up vulnerability and opportunity analysis can be used to identify adaptation tipping points. In a bottom-up analysis threshold conditions are defined that result in unacceptable performance. Scenarios are then used to assess a range of the timing of ATP’s. For example, an adaptation tipping point may occur after 1 m of sea level rise. In a high-end scenario this may occur in 2080, while in a low-end scenario this may occur in 2100. The benefit of this approach is that the plan is much less dependent on the scenarios used. In case of new scenarios only the timing of the measures will change (and not the whole plan). </w:t>
      </w:r>
    </w:p>
    <w:p w:rsidR="008B4CE7" w:rsidRPr="00B935F1" w:rsidRDefault="008B4CE7" w:rsidP="008B4CE7">
      <w:pPr>
        <w:rPr>
          <w:szCs w:val="24"/>
        </w:rPr>
      </w:pPr>
      <w:r w:rsidRPr="00B935F1">
        <w:rPr>
          <w:szCs w:val="24"/>
        </w:rPr>
        <w:t>Although the approach is inspired by development in the Netherlands, Bangladesh has added specific features to the approach. While in the Netherlands the application of ADM focusses on the question: “</w:t>
      </w:r>
      <w:r w:rsidRPr="00B935F1">
        <w:rPr>
          <w:i/>
          <w:szCs w:val="24"/>
        </w:rPr>
        <w:t>How can we protect our country/city from adverse impacts resulting from uncertain changing conditions?”</w:t>
      </w:r>
      <w:r w:rsidRPr="00B935F1">
        <w:rPr>
          <w:szCs w:val="24"/>
        </w:rPr>
        <w:t xml:space="preserve"> in Bangladesh the application of ADM focusses on development goals and thus aims to answer the following question “</w:t>
      </w:r>
      <w:r w:rsidRPr="00B935F1">
        <w:rPr>
          <w:i/>
          <w:szCs w:val="24"/>
        </w:rPr>
        <w:t>How can we enable socio-economic development under uncertain changing conditions especially regarding climate change and (trans-boundary) water resources?</w:t>
      </w:r>
    </w:p>
    <w:p w:rsidR="008B4CE7" w:rsidRPr="00B935F1" w:rsidRDefault="008B4CE7" w:rsidP="008B4CE7">
      <w:pPr>
        <w:rPr>
          <w:szCs w:val="24"/>
        </w:rPr>
      </w:pPr>
      <w:r w:rsidRPr="00B935F1">
        <w:rPr>
          <w:szCs w:val="24"/>
        </w:rPr>
        <w:t xml:space="preserve">Bangladesh thus focuses on investments for achieving development goals that should be robust or adaptive under uncertain changing conditions. In addition adaptation actions are explored. Another way to describe this difference is that in the Netherlands the focus is on the vulnerability (and not on the opportunities as the opportunities are not so much needed and the vulnerabilities are more urgent), while in Bangladesh both the opportunities and vulnerabilities are important. Moreover, the country’s important needs are to invest in socio-economic development and enhance water security. Such investments need to be stress-tested against possible futures to ensure that they are robust and/or flexible to perform well or adapt if needed. Ideally, they should match within preferred development and adaptation pathways, meaning that they are a step in the good direction. </w:t>
      </w:r>
    </w:p>
    <w:p w:rsidR="008B4CE7" w:rsidRPr="00B935F1" w:rsidRDefault="008B4CE7" w:rsidP="008B4CE7">
      <w:pPr>
        <w:rPr>
          <w:szCs w:val="24"/>
        </w:rPr>
      </w:pPr>
      <w:r w:rsidRPr="00B935F1">
        <w:rPr>
          <w:szCs w:val="24"/>
        </w:rPr>
        <w:t>The vision, goals, scenarios and strategies are the elements of ADM. The vision, goals and scenarios are described in this section and sub-sections. A brief of strategy formulation and related investment options are also discussed. The water related strategies has been described in chapter 6.</w:t>
      </w:r>
    </w:p>
    <w:p w:rsidR="008B4CE7" w:rsidRDefault="008B4CE7" w:rsidP="008B4CE7">
      <w:pPr>
        <w:pStyle w:val="ListParagraph"/>
        <w:ind w:left="0"/>
        <w:contextualSpacing w:val="0"/>
        <w:rPr>
          <w:rFonts w:cs="Times New Roman"/>
          <w:b/>
          <w:i/>
          <w:szCs w:val="24"/>
        </w:rPr>
      </w:pPr>
      <w:bookmarkStart w:id="254" w:name="_Toc452121434"/>
      <w:r>
        <w:rPr>
          <w:rFonts w:cs="Times New Roman"/>
          <w:b/>
          <w:i/>
          <w:szCs w:val="24"/>
        </w:rPr>
        <w:lastRenderedPageBreak/>
        <w:t>Delta Vision and Goals</w:t>
      </w:r>
    </w:p>
    <w:p w:rsidR="008B4CE7" w:rsidRPr="00B935F1" w:rsidRDefault="008B4CE7" w:rsidP="008B4CE7">
      <w:pPr>
        <w:pStyle w:val="ListParagraph"/>
        <w:ind w:left="0"/>
        <w:contextualSpacing w:val="0"/>
        <w:rPr>
          <w:rFonts w:cs="Times New Roman"/>
          <w:szCs w:val="24"/>
        </w:rPr>
      </w:pPr>
      <w:r>
        <w:rPr>
          <w:rFonts w:cs="Times New Roman"/>
          <w:b/>
          <w:i/>
          <w:szCs w:val="24"/>
        </w:rPr>
        <w:t xml:space="preserve"> </w:t>
      </w:r>
      <w:r w:rsidRPr="00B935F1">
        <w:rPr>
          <w:rFonts w:cs="Times New Roman"/>
          <w:b/>
          <w:i/>
          <w:szCs w:val="24"/>
        </w:rPr>
        <w:t>Setting long-term goals in an uncertain environment:</w:t>
      </w:r>
      <w:r w:rsidRPr="00B935F1">
        <w:rPr>
          <w:rFonts w:cs="Times New Roman"/>
          <w:szCs w:val="24"/>
        </w:rPr>
        <w:t xml:space="preserve"> BDP</w:t>
      </w:r>
      <w:r>
        <w:rPr>
          <w:rFonts w:cs="Times New Roman"/>
          <w:szCs w:val="24"/>
        </w:rPr>
        <w:t xml:space="preserve"> </w:t>
      </w:r>
      <w:r w:rsidRPr="00B935F1">
        <w:rPr>
          <w:rFonts w:cs="Times New Roman"/>
          <w:szCs w:val="24"/>
        </w:rPr>
        <w:t xml:space="preserve">2100 is envisioned as a long-term integrated strategy that takes a long-term view on how water management, climate change and environmental challenges affect long-term development of Bangladesh. The opportunities, risks and vulnerabilities emerging from the interface of water, climate change and environmental issues are long-term in nature. The strategies, policies and programs to counter the risks and build on the opportunities must also be formulated with a long-term perspective. Yet there are immediate and medium-term challenges that must be addressed now or in the near future. The associated short-to medium-term strategies, policies and programmes will have implications for long-term developments. As against this, </w:t>
      </w:r>
      <w:r w:rsidRPr="00B935F1">
        <w:rPr>
          <w:rFonts w:cs="Times New Roman"/>
          <w:bCs/>
          <w:i/>
          <w:iCs/>
          <w:szCs w:val="24"/>
        </w:rPr>
        <w:t>long-term planning is complicated by considerable uncertainties.  Water, climate change and environment are heavily influenced by the behavior of nature that is not often predictable.</w:t>
      </w:r>
      <w:r w:rsidRPr="00B935F1">
        <w:rPr>
          <w:rFonts w:cs="Times New Roman"/>
          <w:szCs w:val="24"/>
        </w:rPr>
        <w:t xml:space="preserve">  How should strategies, measures  and investments be formulated in the near-to-medium term to be consistent with the long term outcomes that are inherently uncertain?  This is a major strategy challenge for the BDP2100 which also will be addressed in Chapter 6 on formulation of strategies which have been considered against different future scenarios.</w:t>
      </w:r>
    </w:p>
    <w:p w:rsidR="008B4CE7" w:rsidRPr="00B935F1" w:rsidRDefault="008B4CE7" w:rsidP="008B4CE7">
      <w:pPr>
        <w:rPr>
          <w:rFonts w:cs="Times New Roman"/>
          <w:szCs w:val="24"/>
        </w:rPr>
      </w:pPr>
      <w:r w:rsidRPr="00B935F1">
        <w:rPr>
          <w:rFonts w:cs="Times New Roman"/>
          <w:b/>
          <w:i/>
          <w:szCs w:val="24"/>
        </w:rPr>
        <w:t xml:space="preserve">The BDP approach to long-term Vision: </w:t>
      </w:r>
      <w:r w:rsidRPr="00B935F1">
        <w:rPr>
          <w:rFonts w:cs="Times New Roman"/>
          <w:szCs w:val="24"/>
        </w:rPr>
        <w:t>The BDP approach is to first develop a broad-based long-term vision about the evolution of the Bangladesh Delta by the end of the 21</w:t>
      </w:r>
      <w:r w:rsidRPr="00B935F1">
        <w:rPr>
          <w:rFonts w:cs="Times New Roman"/>
          <w:szCs w:val="24"/>
          <w:vertAlign w:val="superscript"/>
        </w:rPr>
        <w:t>st</w:t>
      </w:r>
      <w:r w:rsidRPr="00B935F1">
        <w:rPr>
          <w:rFonts w:cs="Times New Roman"/>
          <w:szCs w:val="24"/>
        </w:rPr>
        <w:t xml:space="preserve"> Century. This long-term Vision emerges from the interface of the long-term development goals of Bangladesh related to per capita income, poverty reduction and human development with the goal of reducing the vulnerability of the citizens from the interface of water, climate change and environment. Thus, an integrated, comprehensive and long term delta vision as formulated in Chapter 1 is:</w:t>
      </w:r>
    </w:p>
    <w:p w:rsidR="008B4CE7" w:rsidRPr="00B935F1" w:rsidRDefault="008B4CE7" w:rsidP="008B4CE7">
      <w:pPr>
        <w:rPr>
          <w:rFonts w:cs="Times New Roman"/>
          <w:b/>
          <w:i/>
          <w:szCs w:val="24"/>
        </w:rPr>
      </w:pPr>
      <w:r w:rsidRPr="00B935F1">
        <w:rPr>
          <w:rFonts w:cs="Times New Roman"/>
          <w:b/>
          <w:i/>
          <w:szCs w:val="24"/>
        </w:rPr>
        <w:t>“Ensure long term water and food security, economic growth and environmental sustainability while effectively coping with natural disasters, climate change and other delta issues through robust, adaptive and integrated strategies, and equitable water governance.”</w:t>
      </w:r>
    </w:p>
    <w:p w:rsidR="008B4CE7" w:rsidRPr="00B935F1" w:rsidRDefault="008B4CE7" w:rsidP="008B4CE7">
      <w:pPr>
        <w:pStyle w:val="ListParagraph"/>
        <w:ind w:left="0"/>
        <w:contextualSpacing w:val="0"/>
        <w:rPr>
          <w:rFonts w:cs="Times New Roman"/>
          <w:szCs w:val="24"/>
        </w:rPr>
      </w:pPr>
      <w:r w:rsidRPr="00B935F1">
        <w:rPr>
          <w:rFonts w:cs="Times New Roman"/>
          <w:bCs/>
          <w:i/>
          <w:iCs/>
          <w:szCs w:val="24"/>
        </w:rPr>
        <w:t>This long-term Vision would need to be translated into specific goals and for attaining the Delta Vision.</w:t>
      </w:r>
      <w:r w:rsidRPr="00B935F1">
        <w:rPr>
          <w:rFonts w:cs="Times New Roman"/>
          <w:szCs w:val="24"/>
        </w:rPr>
        <w:t xml:space="preserve"> The BDP2100 proposes </w:t>
      </w:r>
      <w:r>
        <w:rPr>
          <w:rFonts w:cs="Times New Roman"/>
          <w:szCs w:val="24"/>
        </w:rPr>
        <w:t>3</w:t>
      </w:r>
      <w:r w:rsidRPr="00B935F1">
        <w:rPr>
          <w:rFonts w:cs="Times New Roman"/>
          <w:szCs w:val="24"/>
        </w:rPr>
        <w:t xml:space="preserve"> National  level policy goals set by National Plans and 6 Delta goals of the Delta Plan that contribute to these National  level goals.  The t</w:t>
      </w:r>
      <w:r>
        <w:rPr>
          <w:rFonts w:cs="Times New Roman"/>
          <w:szCs w:val="24"/>
        </w:rPr>
        <w:t>hree</w:t>
      </w:r>
      <w:r w:rsidRPr="00B935F1">
        <w:rPr>
          <w:rFonts w:cs="Times New Roman"/>
          <w:szCs w:val="24"/>
        </w:rPr>
        <w:t xml:space="preserve"> National level goals and the six Delta goals to translate the Delta Vision into reality are as follows:  </w:t>
      </w:r>
    </w:p>
    <w:p w:rsidR="008B4CE7" w:rsidRPr="00B935F1" w:rsidRDefault="008B4CE7" w:rsidP="008B4CE7">
      <w:pPr>
        <w:pStyle w:val="Heading3"/>
        <w:tabs>
          <w:tab w:val="num" w:pos="720"/>
        </w:tabs>
        <w:spacing w:before="120" w:after="120"/>
        <w:ind w:left="0" w:firstLine="0"/>
      </w:pPr>
      <w:bookmarkStart w:id="255" w:name="_Toc430704910"/>
      <w:r w:rsidRPr="00B935F1">
        <w:t>National Level Policy Goals</w:t>
      </w:r>
    </w:p>
    <w:p w:rsidR="008B4CE7" w:rsidRPr="00B935F1" w:rsidRDefault="008B4CE7" w:rsidP="008B4CE7">
      <w:pPr>
        <w:ind w:left="720"/>
        <w:rPr>
          <w:rFonts w:cs="Times New Roman"/>
          <w:b/>
          <w:i/>
          <w:szCs w:val="24"/>
        </w:rPr>
      </w:pPr>
      <w:r w:rsidRPr="00B935F1">
        <w:rPr>
          <w:rFonts w:cs="Times New Roman"/>
          <w:b/>
          <w:i/>
          <w:szCs w:val="24"/>
        </w:rPr>
        <w:t>G</w:t>
      </w:r>
      <w:r>
        <w:rPr>
          <w:rFonts w:cs="Times New Roman"/>
          <w:b/>
          <w:i/>
          <w:szCs w:val="24"/>
        </w:rPr>
        <w:t>oal 1: Eliminate E</w:t>
      </w:r>
      <w:r w:rsidRPr="00B935F1">
        <w:rPr>
          <w:rFonts w:cs="Times New Roman"/>
          <w:b/>
          <w:i/>
          <w:szCs w:val="24"/>
        </w:rPr>
        <w:t xml:space="preserve">xtreme </w:t>
      </w:r>
      <w:r>
        <w:rPr>
          <w:rFonts w:cs="Times New Roman"/>
          <w:b/>
          <w:i/>
          <w:szCs w:val="24"/>
        </w:rPr>
        <w:t>P</w:t>
      </w:r>
      <w:r w:rsidRPr="00B935F1">
        <w:rPr>
          <w:rFonts w:cs="Times New Roman"/>
          <w:b/>
          <w:i/>
          <w:szCs w:val="24"/>
        </w:rPr>
        <w:t>overty by 203</w:t>
      </w:r>
      <w:r>
        <w:rPr>
          <w:rFonts w:cs="Times New Roman"/>
          <w:b/>
          <w:i/>
          <w:szCs w:val="24"/>
        </w:rPr>
        <w:t>0</w:t>
      </w:r>
    </w:p>
    <w:p w:rsidR="008B4CE7" w:rsidRPr="00B935F1" w:rsidRDefault="008B4CE7" w:rsidP="008B4CE7">
      <w:pPr>
        <w:rPr>
          <w:rFonts w:cs="Times New Roman"/>
          <w:szCs w:val="24"/>
        </w:rPr>
      </w:pPr>
      <w:r w:rsidRPr="00B935F1">
        <w:rPr>
          <w:rFonts w:cs="Times New Roman"/>
          <w:szCs w:val="24"/>
        </w:rPr>
        <w:t>Bangladesh has secured considerable progress in reducing the incidence of poverty, especially since 2000.  Both poverty and extreme poverty rates have come down sharply.  The incidence of extreme poverty has fallen from 34.3% in 2000 to 12.6% in 2015. The target for the Seventh Five Year Plan is to reduce this further to 8% by 2020.  The extreme poor rely considerably on agriculture, fishery and forestry for their livelihood.  As such, they are highly vulnerable to the water, climate change and environmental hazards.  Progress on the BDP</w:t>
      </w:r>
      <w:r>
        <w:rPr>
          <w:rFonts w:cs="Times New Roman"/>
          <w:szCs w:val="24"/>
        </w:rPr>
        <w:t xml:space="preserve"> </w:t>
      </w:r>
      <w:r w:rsidRPr="00B935F1">
        <w:rPr>
          <w:rFonts w:cs="Times New Roman"/>
          <w:szCs w:val="24"/>
        </w:rPr>
        <w:t xml:space="preserve">2100 agenda will have a </w:t>
      </w:r>
      <w:r w:rsidRPr="00B935F1">
        <w:rPr>
          <w:rFonts w:cs="Times New Roman"/>
          <w:szCs w:val="24"/>
        </w:rPr>
        <w:lastRenderedPageBreak/>
        <w:t>substantial impact on reducing extreme poverty and eliminating extreme poverty by 20</w:t>
      </w:r>
      <w:r>
        <w:rPr>
          <w:rFonts w:cs="Times New Roman"/>
          <w:szCs w:val="24"/>
        </w:rPr>
        <w:t>30</w:t>
      </w:r>
      <w:r w:rsidRPr="00B935F1">
        <w:rPr>
          <w:rFonts w:cs="Times New Roman"/>
          <w:szCs w:val="24"/>
        </w:rPr>
        <w:t>,</w:t>
      </w:r>
      <w:r>
        <w:rPr>
          <w:rFonts w:cs="Times New Roman"/>
          <w:szCs w:val="24"/>
        </w:rPr>
        <w:t xml:space="preserve"> as stated also in the Sustainable</w:t>
      </w:r>
      <w:r w:rsidRPr="00B935F1">
        <w:rPr>
          <w:rFonts w:cs="Times New Roman"/>
          <w:szCs w:val="24"/>
        </w:rPr>
        <w:t xml:space="preserve"> Development Goals</w:t>
      </w:r>
      <w:r>
        <w:rPr>
          <w:rFonts w:cs="Times New Roman"/>
          <w:szCs w:val="24"/>
        </w:rPr>
        <w:t xml:space="preserve"> (SDGs).</w:t>
      </w:r>
    </w:p>
    <w:p w:rsidR="008B4CE7" w:rsidRPr="00B935F1" w:rsidRDefault="008B4CE7" w:rsidP="008B4CE7">
      <w:pPr>
        <w:ind w:left="720"/>
        <w:rPr>
          <w:rFonts w:cs="Times New Roman"/>
          <w:b/>
          <w:i/>
          <w:szCs w:val="24"/>
        </w:rPr>
      </w:pPr>
      <w:r w:rsidRPr="00B935F1">
        <w:rPr>
          <w:rFonts w:cs="Times New Roman"/>
          <w:b/>
          <w:i/>
          <w:szCs w:val="24"/>
        </w:rPr>
        <w:t xml:space="preserve">Goal 2: Achieve </w:t>
      </w:r>
      <w:r>
        <w:rPr>
          <w:rFonts w:cs="Times New Roman"/>
          <w:b/>
          <w:i/>
          <w:szCs w:val="24"/>
        </w:rPr>
        <w:t>U</w:t>
      </w:r>
      <w:r w:rsidRPr="00B935F1">
        <w:rPr>
          <w:rFonts w:cs="Times New Roman"/>
          <w:b/>
          <w:i/>
          <w:szCs w:val="24"/>
        </w:rPr>
        <w:t>pper</w:t>
      </w:r>
      <w:r>
        <w:rPr>
          <w:rFonts w:cs="Times New Roman"/>
          <w:b/>
          <w:i/>
          <w:szCs w:val="24"/>
        </w:rPr>
        <w:t xml:space="preserve"> M</w:t>
      </w:r>
      <w:r w:rsidRPr="00B935F1">
        <w:rPr>
          <w:rFonts w:cs="Times New Roman"/>
          <w:b/>
          <w:i/>
          <w:szCs w:val="24"/>
        </w:rPr>
        <w:t>iddle</w:t>
      </w:r>
      <w:r>
        <w:rPr>
          <w:rFonts w:cs="Times New Roman"/>
          <w:b/>
          <w:i/>
          <w:szCs w:val="24"/>
        </w:rPr>
        <w:t xml:space="preserve"> I</w:t>
      </w:r>
      <w:r w:rsidRPr="00B935F1">
        <w:rPr>
          <w:rFonts w:cs="Times New Roman"/>
          <w:b/>
          <w:i/>
          <w:szCs w:val="24"/>
        </w:rPr>
        <w:t xml:space="preserve">ncome </w:t>
      </w:r>
      <w:r>
        <w:rPr>
          <w:rFonts w:cs="Times New Roman"/>
          <w:b/>
          <w:i/>
          <w:szCs w:val="24"/>
        </w:rPr>
        <w:t>Country S</w:t>
      </w:r>
      <w:r w:rsidRPr="00B935F1">
        <w:rPr>
          <w:rFonts w:cs="Times New Roman"/>
          <w:b/>
          <w:i/>
          <w:szCs w:val="24"/>
        </w:rPr>
        <w:t xml:space="preserve">tatus by 2030 </w:t>
      </w:r>
    </w:p>
    <w:p w:rsidR="008B4CE7" w:rsidRDefault="008B4CE7" w:rsidP="008B4CE7">
      <w:pPr>
        <w:rPr>
          <w:rFonts w:cs="Times New Roman"/>
          <w:szCs w:val="24"/>
        </w:rPr>
      </w:pPr>
      <w:r w:rsidRPr="00B935F1">
        <w:rPr>
          <w:rFonts w:cs="Times New Roman"/>
          <w:szCs w:val="24"/>
        </w:rPr>
        <w:t>Adopted in 2009, one major goal of Vision 2021 of the government was to reach low middle income status by 2021. Rapid growth since the 2000s, especially during 2010-2015, has enabled Bangladesh to reach the lower of the middle income threshold as defined by the World Bank in 2015. This is a remarkable achievement. The Seventh Five Year Plan aims to build on this progress and move forward with a faster GDP growth rate to consolidate the progress with the middle income goal. Higher GDP growth is essential to reduce poverty and mobilize the resources needed to finance investments in infrastructure, human development, water resource management, and climate change and environmental management. In turn, the reduction of the various vulnerabilities and hazards associated with the Delta geography will be very important to support higher growth rates. The Government’s target is to attain upper middle income country (UMIC) status by 2030.  Accordingly, the BDP2100's support to helping Bangladesh reach UMIC status by 2030 would be a major long-term goal.</w:t>
      </w:r>
    </w:p>
    <w:p w:rsidR="008B4CE7" w:rsidRPr="00B935F1" w:rsidRDefault="008B4CE7" w:rsidP="008B4CE7">
      <w:pPr>
        <w:rPr>
          <w:rFonts w:cs="Times New Roman"/>
          <w:b/>
          <w:bCs/>
          <w:i/>
          <w:iCs/>
          <w:szCs w:val="24"/>
        </w:rPr>
      </w:pPr>
      <w:r w:rsidRPr="00B935F1">
        <w:rPr>
          <w:rFonts w:cs="Times New Roman"/>
          <w:b/>
          <w:bCs/>
          <w:i/>
          <w:iCs/>
          <w:szCs w:val="24"/>
        </w:rPr>
        <w:t xml:space="preserve">Goal 3: Being a prosperous country beyond 2041  </w:t>
      </w:r>
    </w:p>
    <w:p w:rsidR="008B4CE7" w:rsidRPr="00B935F1" w:rsidRDefault="008B4CE7" w:rsidP="008B4CE7">
      <w:pPr>
        <w:rPr>
          <w:rFonts w:cs="Times New Roman"/>
          <w:szCs w:val="24"/>
        </w:rPr>
      </w:pPr>
      <w:r w:rsidRPr="00B935F1">
        <w:rPr>
          <w:rFonts w:cs="Times New Roman"/>
          <w:szCs w:val="24"/>
        </w:rPr>
        <w:t>Bangladesh aspires to be a prosporeous country beyond 2041as of Bangladesh’s ‘Vision 2041’.</w:t>
      </w:r>
    </w:p>
    <w:p w:rsidR="008B4CE7" w:rsidRPr="00B935F1" w:rsidRDefault="008B4CE7" w:rsidP="008B4CE7">
      <w:pPr>
        <w:rPr>
          <w:rFonts w:cs="Times New Roman"/>
          <w:szCs w:val="24"/>
        </w:rPr>
      </w:pPr>
    </w:p>
    <w:p w:rsidR="008B4CE7" w:rsidRPr="00B935F1" w:rsidRDefault="001A12B2" w:rsidP="008B4CE7">
      <w:pPr>
        <w:rPr>
          <w:rFonts w:cs="Times New Roman"/>
          <w:szCs w:val="24"/>
        </w:rPr>
      </w:pPr>
      <w:r w:rsidRPr="001A12B2">
        <w:rPr>
          <w:noProof/>
          <w:szCs w:val="24"/>
        </w:rPr>
        <w:pict>
          <v:shape id="Text Box 35" o:spid="_x0000_s1210" type="#_x0000_t202" style="position:absolute;margin-left:0;margin-top:0;width:2in;height:2in;z-index:2517841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" fillcolor="#f2f2f2 [3052]" strokeweight=".5pt">
            <v:textbox style="mso-fit-shape-to-text:t">
              <w:txbxContent>
                <w:p w:rsidR="008B4CE7" w:rsidRPr="001D3980" w:rsidRDefault="008B4CE7" w:rsidP="008B4CE7">
                  <w:pPr>
                    <w:pStyle w:val="Heading7"/>
                    <w:rPr>
                      <w:sz w:val="18"/>
                      <w:szCs w:val="18"/>
                    </w:rPr>
                  </w:pPr>
                  <w:bookmarkStart w:id="256" w:name="_Toc464329151"/>
                  <w:r w:rsidRPr="001D3980">
                    <w:rPr>
                      <w:sz w:val="18"/>
                      <w:szCs w:val="18"/>
                    </w:rPr>
                    <w:t>Box 5.1: Assumptions on the Threshold of Upper Middle Income Country</w:t>
                  </w:r>
                  <w:bookmarkEnd w:id="256"/>
                </w:p>
                <w:p w:rsidR="008B4CE7" w:rsidRPr="001D3980" w:rsidRDefault="008B4CE7" w:rsidP="008B4CE7">
                  <w:pPr>
                    <w:rPr>
                      <w:sz w:val="18"/>
                      <w:szCs w:val="18"/>
                    </w:rPr>
                  </w:pPr>
                  <w:r w:rsidRPr="001D3980">
                    <w:rPr>
                      <w:sz w:val="18"/>
                      <w:szCs w:val="18"/>
                    </w:rPr>
                    <w:t xml:space="preserve">According to World Bank estimates, per capita GNI </w:t>
                  </w:r>
                  <w:r w:rsidRPr="00B935F1">
                    <w:rPr>
                      <w:rFonts w:cs="Times New Roman"/>
                      <w:bCs/>
                      <w:i/>
                      <w:iCs/>
                      <w:szCs w:val="28"/>
                    </w:rPr>
                    <w:t>thresholds for FY2015 were USD 4,036 and USD 12,475 to be considered</w:t>
                  </w:r>
                  <w:r w:rsidRPr="001D3980">
                    <w:rPr>
                      <w:sz w:val="18"/>
                      <w:szCs w:val="18"/>
                    </w:rPr>
                    <w:t xml:space="preserve"> as upper middle income country and high income country respectively. From the threshold values of upper middle income and lower middle income from 1993 to 2015, </w:t>
                  </w:r>
                  <w:r w:rsidRPr="00B935F1">
                    <w:rPr>
                      <w:rFonts w:cs="Times New Roman"/>
                      <w:bCs/>
                      <w:i/>
                      <w:iCs/>
                      <w:szCs w:val="28"/>
                    </w:rPr>
                    <w:t>it can be seen that the upper middle income threshold value had an average growth rate of 1.80 per year whereas the higher income threshold experienced an average growth rate of 1.79 per annum. Assuming these growth rates as fixed, in FY2041 the threshold value to be an upper middle country and high income country would be USD 6,423 and USD 19,793, respectively.</w:t>
                  </w:r>
                  <w:r w:rsidRPr="00B935F1">
                    <w:rPr>
                      <w:bCs/>
                      <w:i/>
                      <w:iCs/>
                      <w:sz w:val="18"/>
                      <w:szCs w:val="18"/>
                    </w:rPr>
                    <w:t xml:space="preserve"> </w:t>
                  </w:r>
                  <w:r w:rsidRPr="001D3980">
                    <w:rPr>
                      <w:sz w:val="18"/>
                      <w:szCs w:val="18"/>
                    </w:rPr>
                    <w:t>The BDP2100 projection sets the goal to be an upper middle income country by 203</w:t>
                  </w:r>
                  <w:r>
                    <w:rPr>
                      <w:sz w:val="18"/>
                      <w:szCs w:val="18"/>
                    </w:rPr>
                    <w:t>0</w:t>
                  </w:r>
                  <w:r w:rsidRPr="001D3980">
                    <w:rPr>
                      <w:sz w:val="18"/>
                      <w:szCs w:val="18"/>
                    </w:rPr>
                    <w:t xml:space="preserve"> with a per capita GNI of approximately USD 5372. </w:t>
                  </w:r>
                </w:p>
                <w:p w:rsidR="008B4CE7" w:rsidRPr="001D3980" w:rsidRDefault="008B4CE7" w:rsidP="008B4CE7">
                  <w:pPr>
                    <w:rPr>
                      <w:b/>
                      <w:i/>
                      <w:sz w:val="18"/>
                      <w:szCs w:val="18"/>
                    </w:rPr>
                  </w:pPr>
                  <w:r w:rsidRPr="001D3980">
                    <w:rPr>
                      <w:b/>
                      <w:i/>
                      <w:sz w:val="18"/>
                      <w:szCs w:val="18"/>
                    </w:rPr>
                    <w:t>Source: Chapter 5</w:t>
                  </w:r>
                  <w:r>
                    <w:rPr>
                      <w:b/>
                      <w:i/>
                      <w:sz w:val="18"/>
                      <w:szCs w:val="18"/>
                    </w:rPr>
                    <w:t xml:space="preserve"> </w:t>
                  </w:r>
                  <w:r w:rsidRPr="001D3980">
                    <w:rPr>
                      <w:b/>
                      <w:i/>
                      <w:sz w:val="18"/>
                      <w:szCs w:val="18"/>
                    </w:rPr>
                    <w:t xml:space="preserve">Technical Annex </w:t>
                  </w:r>
                </w:p>
              </w:txbxContent>
            </v:textbox>
            <w10:wrap type="square"/>
          </v:shape>
        </w:pict>
      </w:r>
    </w:p>
    <w:p w:rsidR="008B4CE7" w:rsidRPr="00A4705E" w:rsidRDefault="008B4CE7" w:rsidP="008B4CE7">
      <w:pPr>
        <w:pStyle w:val="Heading3"/>
        <w:tabs>
          <w:tab w:val="num" w:pos="720"/>
        </w:tabs>
        <w:spacing w:before="120" w:after="120"/>
        <w:ind w:left="0" w:firstLine="0"/>
      </w:pPr>
      <w:r w:rsidRPr="00A4705E">
        <w:t xml:space="preserve">Delta </w:t>
      </w:r>
      <w:r>
        <w:t xml:space="preserve">Plan Speccific </w:t>
      </w:r>
      <w:r w:rsidRPr="00A4705E">
        <w:t>Goals</w:t>
      </w:r>
    </w:p>
    <w:p w:rsidR="008B4CE7" w:rsidRPr="00B935F1" w:rsidRDefault="008B4CE7" w:rsidP="008B4CE7">
      <w:pPr>
        <w:rPr>
          <w:rFonts w:cs="Times New Roman"/>
          <w:b/>
          <w:i/>
          <w:szCs w:val="24"/>
        </w:rPr>
      </w:pPr>
      <w:r w:rsidRPr="00B935F1">
        <w:rPr>
          <w:rFonts w:cs="Times New Roman"/>
          <w:b/>
          <w:i/>
          <w:szCs w:val="24"/>
        </w:rPr>
        <w:t>Goal 1: Ensure safety from floods and climate change related disasters</w:t>
      </w:r>
      <w:bookmarkEnd w:id="255"/>
    </w:p>
    <w:p w:rsidR="008B4CE7" w:rsidRPr="00B935F1" w:rsidRDefault="008B4CE7" w:rsidP="008B4CE7">
      <w:pPr>
        <w:rPr>
          <w:rFonts w:eastAsia="Calibri" w:cs="Times New Roman"/>
          <w:szCs w:val="24"/>
        </w:rPr>
      </w:pPr>
      <w:r w:rsidRPr="00B935F1">
        <w:rPr>
          <w:rFonts w:eastAsia="Calibri" w:cs="Times New Roman"/>
          <w:szCs w:val="24"/>
        </w:rPr>
        <w:t xml:space="preserve">This goal focuses on managing the risks of floods in the wet season and other climate change related disasters in the Delta including the coastal regions at a well-defined and acceptable level. </w:t>
      </w:r>
      <w:r w:rsidRPr="00B935F1">
        <w:rPr>
          <w:rFonts w:eastAsia="Calibri" w:cs="Times New Roman"/>
          <w:szCs w:val="24"/>
        </w:rPr>
        <w:lastRenderedPageBreak/>
        <w:t xml:space="preserve">This level is set to facilitate i) a safe living environment for all, in urban and rural environments; ii) reliable water system conditions for long term economic development; and iii) the performance of key societal and economic functions. The risks of floods and climate change induced disasters are managed according to knowledge base and spatially differentiated safety levels and include the combined approach of climate proofing, early warning and prediction, prevention, evacuation and disaster relief. The goal considers ensuring safety of lives and livelihood against flood, flash flood, drought, salinity intrusion, river bank erosion, cyclones, storm surge etc. through introducing improved adaptation and mitigation options. </w:t>
      </w:r>
    </w:p>
    <w:p w:rsidR="008B4CE7" w:rsidRDefault="008B4CE7" w:rsidP="008B4CE7">
      <w:pPr>
        <w:rPr>
          <w:rFonts w:cs="Times New Roman"/>
          <w:b/>
          <w:i/>
          <w:szCs w:val="24"/>
        </w:rPr>
      </w:pPr>
      <w:r w:rsidRPr="00B935F1">
        <w:rPr>
          <w:rFonts w:cs="Times New Roman"/>
          <w:b/>
          <w:i/>
          <w:szCs w:val="24"/>
        </w:rPr>
        <w:t>Goal 2: Enhance water security and efficiency of water usages</w:t>
      </w:r>
    </w:p>
    <w:p w:rsidR="008B4CE7" w:rsidRPr="00B935F1" w:rsidRDefault="008B4CE7" w:rsidP="008B4CE7">
      <w:pPr>
        <w:rPr>
          <w:rFonts w:eastAsia="Calibri" w:cs="Times New Roman"/>
          <w:szCs w:val="24"/>
        </w:rPr>
      </w:pPr>
      <w:r w:rsidRPr="00B935F1">
        <w:rPr>
          <w:rFonts w:eastAsia="Calibri" w:cs="Times New Roman"/>
          <w:szCs w:val="24"/>
        </w:rPr>
        <w:t>This goal relates to water resources management especially during the dry season as well as water shortage during dry spells. Maintaining a balance between the economic developments, expanding population and the need to secure water for multifaceted uses is a core challenge of the Delta plan. The goal aims to ensure reliable and adequate provision of freshwater to support equitable and sustainable economic development, environmental sustainability and livelihood security. This includes: i) sufficient and timely provision of safe surface and groundwater for drinking, agriculture, fisheries, environment, navigation, industry etc.; and ii) controlling pollution, ensuring water quality and providing sanitation at acceptable levels in relation to defined standards as well as environmental, health, agricultural and industrial needs.</w:t>
      </w:r>
    </w:p>
    <w:p w:rsidR="008B4CE7" w:rsidRPr="00B935F1" w:rsidRDefault="008B4CE7" w:rsidP="008B4CE7">
      <w:pPr>
        <w:rPr>
          <w:rFonts w:cs="Times New Roman"/>
          <w:b/>
          <w:i/>
          <w:szCs w:val="24"/>
        </w:rPr>
      </w:pPr>
      <w:r w:rsidRPr="00B935F1">
        <w:rPr>
          <w:rFonts w:cs="Times New Roman"/>
          <w:b/>
          <w:i/>
          <w:szCs w:val="24"/>
        </w:rPr>
        <w:t>Goal 3: Ensure sustainable and integrated river systems and estuaries management</w:t>
      </w:r>
    </w:p>
    <w:p w:rsidR="008B4CE7" w:rsidRPr="00B935F1" w:rsidRDefault="008B4CE7" w:rsidP="008B4CE7">
      <w:pPr>
        <w:rPr>
          <w:rFonts w:eastAsia="Calibri" w:cs="Times New Roman"/>
          <w:szCs w:val="24"/>
        </w:rPr>
      </w:pPr>
      <w:r w:rsidRPr="00B935F1">
        <w:rPr>
          <w:rFonts w:eastAsia="Calibri" w:cs="Times New Roman"/>
          <w:szCs w:val="24"/>
        </w:rPr>
        <w:t>This goal considers sustainable management of river systems and estuaries, considered as one of the cornerstones of the Bangladesh Delta. The river systems of the country offer key development ingredients for the economy, society and the environment. Sustainable river and estuaries management as a whole, contributes to i) long term solutions for navigation; ii) sufficient sediment supply to floodplains; iii) land reclamation in support of community development and economic growth; and iv) an inter-connected major and minor river system for environmental and economic development. This goal seeks to foster sustainable river system management by coping with its morphological dynamics and results in cost-effective, environment friendly and socially viable options for reclamation and developments of lands.</w:t>
      </w:r>
    </w:p>
    <w:p w:rsidR="008B4CE7" w:rsidRPr="00B935F1" w:rsidRDefault="008B4CE7" w:rsidP="008B4CE7">
      <w:pPr>
        <w:rPr>
          <w:rFonts w:cs="Times New Roman"/>
          <w:b/>
          <w:i/>
          <w:szCs w:val="24"/>
        </w:rPr>
      </w:pPr>
      <w:r w:rsidRPr="00B935F1">
        <w:rPr>
          <w:rFonts w:cs="Times New Roman"/>
          <w:b/>
          <w:i/>
          <w:szCs w:val="24"/>
        </w:rPr>
        <w:t>Goal 4: Conserve and preserve wetlands and ecosystems and promote their wise use</w:t>
      </w:r>
    </w:p>
    <w:p w:rsidR="008B4CE7" w:rsidRPr="00B935F1" w:rsidRDefault="008B4CE7" w:rsidP="008B4CE7">
      <w:pPr>
        <w:rPr>
          <w:rFonts w:eastAsia="Calibri" w:cs="Times New Roman"/>
          <w:szCs w:val="24"/>
        </w:rPr>
      </w:pPr>
      <w:r w:rsidRPr="00B935F1">
        <w:rPr>
          <w:rFonts w:eastAsia="Calibri" w:cs="Times New Roman"/>
          <w:szCs w:val="24"/>
        </w:rPr>
        <w:t xml:space="preserve">The goal uses the term ‘conservation’ as a more generic target to safeguard and maintain the wetlands, whereas ‘preservation’ is a more converging approach, to protect some sensitive ecosystem areas. Some of the components to be safeguarded under the goal are mangrove forest, water and riverine ecosystem, coastal greenbelt, seasonal and perennial wetlands, tidal freshwater frontier etc. </w:t>
      </w:r>
    </w:p>
    <w:p w:rsidR="008B4CE7" w:rsidRPr="00B935F1" w:rsidRDefault="008B4CE7" w:rsidP="008B4CE7">
      <w:pPr>
        <w:rPr>
          <w:rFonts w:cs="Times New Roman"/>
          <w:b/>
          <w:i/>
          <w:szCs w:val="24"/>
        </w:rPr>
      </w:pPr>
      <w:r w:rsidRPr="00B935F1">
        <w:rPr>
          <w:rFonts w:cs="Times New Roman"/>
          <w:b/>
          <w:i/>
          <w:szCs w:val="24"/>
        </w:rPr>
        <w:t>Goal 5: Develop effective institutions and equitable governance for in-country and trans-boundary water resources management</w:t>
      </w:r>
    </w:p>
    <w:p w:rsidR="008B4CE7" w:rsidRPr="00B935F1" w:rsidRDefault="008B4CE7" w:rsidP="008B4CE7">
      <w:pPr>
        <w:rPr>
          <w:rFonts w:eastAsia="Calibri" w:cs="Times New Roman"/>
          <w:szCs w:val="24"/>
        </w:rPr>
      </w:pPr>
      <w:r w:rsidRPr="00B935F1">
        <w:rPr>
          <w:rFonts w:eastAsia="Calibri" w:cs="Times New Roman"/>
          <w:szCs w:val="24"/>
        </w:rPr>
        <w:lastRenderedPageBreak/>
        <w:t>The goal aims to improve the existing water governance for tackling both the endogenous and exogenous challenges of water resources management. At the same time, the community level functioning of local institutions would also be rejuvenated. Key elements include: i) ensuring adequate financing for investment, operation and maintenance; ii) capacity building and institutional strengthening; iii) stakeholder and private sector participation at all levels; iv) minimizing the gaps between planning and implementation; v) supporting integrated water resource management at regional and local levels, taking into account the interests of all prominent water users; vi) knowledge development for integrated decision-making though modelling, data and information sharing and management; and vii) trans-boundary negotiations on water resource management and building joint cross-border platforms for cooperation initiatives.</w:t>
      </w:r>
    </w:p>
    <w:p w:rsidR="008B4CE7" w:rsidRPr="00B935F1" w:rsidRDefault="008B4CE7" w:rsidP="008B4CE7">
      <w:pPr>
        <w:rPr>
          <w:rFonts w:cs="Times New Roman"/>
          <w:b/>
          <w:i/>
          <w:szCs w:val="24"/>
        </w:rPr>
      </w:pPr>
      <w:r w:rsidRPr="00B935F1">
        <w:rPr>
          <w:rFonts w:cs="Times New Roman"/>
          <w:b/>
          <w:i/>
          <w:szCs w:val="24"/>
        </w:rPr>
        <w:t>Goal 6: Achieve optimal and integrated use of land and water resources</w:t>
      </w:r>
    </w:p>
    <w:p w:rsidR="008B4CE7" w:rsidRPr="00A4705E" w:rsidRDefault="008B4CE7" w:rsidP="008B4CE7">
      <w:pPr>
        <w:rPr>
          <w:rFonts w:eastAsia="Calibri" w:cs="Times New Roman"/>
          <w:bCs/>
          <w:i/>
          <w:iCs/>
          <w:szCs w:val="24"/>
        </w:rPr>
      </w:pPr>
      <w:r w:rsidRPr="00B935F1">
        <w:rPr>
          <w:rFonts w:eastAsia="Calibri" w:cs="Times New Roman"/>
          <w:szCs w:val="24"/>
        </w:rPr>
        <w:t xml:space="preserve">The primary quest of this goal is to ensure efficient integration and proper interaction between land and water use aspects. The goal would mainstream the inter-connected resources functions (drainage, navigation etc.) as well. The key topics covered by the goal are land use, water use, and river transport network. </w:t>
      </w:r>
      <w:r w:rsidRPr="00A4705E">
        <w:rPr>
          <w:rFonts w:eastAsia="Calibri" w:cs="Times New Roman"/>
          <w:bCs/>
          <w:i/>
          <w:iCs/>
          <w:szCs w:val="24"/>
        </w:rPr>
        <w:t>Establishment of connectivity of water courses and inducing integration between different modes of resources interactions are emphasized under this goal.</w:t>
      </w:r>
    </w:p>
    <w:p w:rsidR="008B4CE7" w:rsidRPr="00B935F1" w:rsidRDefault="008B4CE7" w:rsidP="008B4CE7">
      <w:pPr>
        <w:pStyle w:val="ListParagraph"/>
        <w:ind w:left="0"/>
        <w:contextualSpacing w:val="0"/>
        <w:rPr>
          <w:rFonts w:cs="Times New Roman"/>
          <w:szCs w:val="24"/>
        </w:rPr>
      </w:pPr>
      <w:r w:rsidRPr="00B935F1">
        <w:rPr>
          <w:rFonts w:cs="Times New Roman"/>
          <w:b/>
          <w:i/>
          <w:szCs w:val="24"/>
        </w:rPr>
        <w:t>BDP2100 adaptive planning approach to managing uncertainties:</w:t>
      </w:r>
      <w:r w:rsidRPr="00B935F1">
        <w:rPr>
          <w:rFonts w:cs="Times New Roman"/>
          <w:szCs w:val="24"/>
        </w:rPr>
        <w:t xml:space="preserve"> </w:t>
      </w:r>
      <w:r w:rsidRPr="00A4705E">
        <w:rPr>
          <w:rFonts w:cs="Times New Roman"/>
          <w:bCs/>
          <w:i/>
          <w:iCs/>
          <w:szCs w:val="24"/>
        </w:rPr>
        <w:t>Given the inherent uncertainties of the long-term behavior of the natural forces that influence water, climate change and environmental outturns, it is essential to adopt a flexible and adaptive approach to converting the long-term Delta Vision to short and medium-term strategies for moving towards this Delta Vision 2100.</w:t>
      </w:r>
      <w:r w:rsidRPr="00B935F1">
        <w:rPr>
          <w:rFonts w:cs="Times New Roman"/>
          <w:szCs w:val="24"/>
        </w:rPr>
        <w:t xml:space="preserve">   The BDP2100 uses the best available information and develops strategies and policy options under different assumptions about the external outcomes. </w:t>
      </w:r>
      <w:r w:rsidRPr="00A4705E">
        <w:rPr>
          <w:rFonts w:cs="Times New Roman"/>
          <w:bCs/>
          <w:i/>
          <w:iCs/>
          <w:szCs w:val="24"/>
        </w:rPr>
        <w:t>These scenarios will change over time as new information is available.  So, the scenarios and underlying strategies, policies and investments will need to be updated as new information is available on a 5-year cycle.</w:t>
      </w:r>
      <w:bookmarkEnd w:id="254"/>
      <w:r w:rsidRPr="00B935F1">
        <w:rPr>
          <w:rFonts w:cs="Times New Roman"/>
          <w:szCs w:val="24"/>
        </w:rPr>
        <w:t xml:space="preserve"> These short-term delta strategies and policies will provide the link to medium and long-term strategies and policies in an adaptive manner.</w:t>
      </w:r>
    </w:p>
    <w:p w:rsidR="008B4CE7" w:rsidRPr="00A4705E" w:rsidRDefault="008B4CE7" w:rsidP="008B4CE7">
      <w:pPr>
        <w:rPr>
          <w:rFonts w:cs="Times New Roman"/>
          <w:bCs/>
          <w:i/>
          <w:iCs/>
          <w:szCs w:val="24"/>
        </w:rPr>
      </w:pPr>
      <w:r w:rsidRPr="00B935F1">
        <w:rPr>
          <w:rFonts w:cs="Times New Roman"/>
          <w:szCs w:val="24"/>
        </w:rPr>
        <w:t xml:space="preserve">As defined above, the BDP2100 goals are </w:t>
      </w:r>
      <w:r w:rsidRPr="00A4705E">
        <w:rPr>
          <w:rFonts w:cs="Times New Roman"/>
          <w:bCs/>
          <w:i/>
          <w:iCs/>
          <w:szCs w:val="24"/>
        </w:rPr>
        <w:t>multi-sectoral in nature and relate to the following:</w:t>
      </w:r>
    </w:p>
    <w:p w:rsidR="00000000" w:rsidRDefault="008B4CE7" w:rsidP="003D5A31">
      <w:pPr>
        <w:pStyle w:val="ListParagraph"/>
        <w:numPr>
          <w:ilvl w:val="0"/>
          <w:numId w:val="118"/>
        </w:numPr>
        <w:spacing w:before="120" w:after="120" w:line="276" w:lineRule="auto"/>
        <w:ind w:left="360"/>
        <w:jc w:val="both"/>
        <w:rPr>
          <w:rFonts w:cs="Times New Roman"/>
          <w:szCs w:val="24"/>
        </w:rPr>
      </w:pPr>
      <w:r w:rsidRPr="00B935F1">
        <w:rPr>
          <w:rFonts w:cs="Times New Roman"/>
          <w:szCs w:val="24"/>
        </w:rPr>
        <w:t xml:space="preserve">Goals related to socio-economic outcomes for the population.  These concern the higher level goals.  In the end, these are the ultimate goals that matter for all development efforts including the implementation of the Delta Plan.  </w:t>
      </w:r>
    </w:p>
    <w:p w:rsidR="00000000" w:rsidRDefault="008B4CE7" w:rsidP="003D5A31">
      <w:pPr>
        <w:pStyle w:val="ListParagraph"/>
        <w:numPr>
          <w:ilvl w:val="0"/>
          <w:numId w:val="118"/>
        </w:numPr>
        <w:spacing w:before="120" w:after="120" w:line="276" w:lineRule="auto"/>
        <w:ind w:left="360"/>
        <w:jc w:val="both"/>
        <w:rPr>
          <w:rFonts w:cs="Times New Roman"/>
          <w:bCs/>
          <w:i/>
          <w:iCs/>
          <w:szCs w:val="24"/>
        </w:rPr>
      </w:pPr>
      <w:r w:rsidRPr="00B935F1">
        <w:rPr>
          <w:rFonts w:cs="Times New Roman"/>
          <w:szCs w:val="24"/>
        </w:rPr>
        <w:t xml:space="preserve">Goals related to sustainability of long-term development.  It is essential to ensure that the socio-economic goals are achieved in a sustainable manner over the longer term.  </w:t>
      </w:r>
      <w:r w:rsidRPr="00A4705E">
        <w:rPr>
          <w:rFonts w:cs="Times New Roman"/>
          <w:bCs/>
          <w:i/>
          <w:iCs/>
          <w:szCs w:val="24"/>
        </w:rPr>
        <w:t>The sustainability issues relate to climate change, bio-diversity, environment, water management and land management. The BDP2100 is primarily concerned with these sustainability questions. The Delta Plan specific goals 1-6 above relate to these sustainability challenges.</w:t>
      </w:r>
    </w:p>
    <w:p w:rsidR="008B4CE7" w:rsidRPr="00B935F1" w:rsidRDefault="008B4CE7" w:rsidP="008B4CE7">
      <w:pPr>
        <w:rPr>
          <w:rFonts w:cs="Times New Roman"/>
          <w:szCs w:val="24"/>
        </w:rPr>
      </w:pPr>
      <w:r w:rsidRPr="00B935F1">
        <w:rPr>
          <w:rFonts w:cs="Times New Roman"/>
          <w:szCs w:val="24"/>
        </w:rPr>
        <w:t xml:space="preserve">The set of policy goals under one and two are inter-related. However, the methodologies to analyze and address these goals and related issues are different.  While, it is relatively easy to </w:t>
      </w:r>
      <w:r w:rsidRPr="00B935F1">
        <w:rPr>
          <w:rFonts w:cs="Times New Roman"/>
          <w:szCs w:val="24"/>
        </w:rPr>
        <w:lastRenderedPageBreak/>
        <w:t>project long-term outcomes relating to the major socio-economic variables such as GDP growth, employment, poverty, using alternative assumptions about exogenous variables such as climate and policy variables such as investment, making quantitative projections of the sustainable use of water, land, bio-diversity and environment is far more complex. Accordingly, this Chapter focuses on long-term socio-economic outcomes for Bangladesh (</w:t>
      </w:r>
      <w:r>
        <w:rPr>
          <w:rFonts w:cs="Times New Roman"/>
          <w:szCs w:val="24"/>
        </w:rPr>
        <w:t>national l</w:t>
      </w:r>
      <w:r w:rsidRPr="00B935F1">
        <w:rPr>
          <w:rFonts w:cs="Times New Roman"/>
          <w:szCs w:val="24"/>
        </w:rPr>
        <w:t xml:space="preserve">evel </w:t>
      </w:r>
      <w:r>
        <w:rPr>
          <w:rFonts w:cs="Times New Roman"/>
          <w:szCs w:val="24"/>
        </w:rPr>
        <w:t xml:space="preserve">policy </w:t>
      </w:r>
      <w:r w:rsidRPr="00B935F1">
        <w:rPr>
          <w:rFonts w:cs="Times New Roman"/>
          <w:szCs w:val="24"/>
        </w:rPr>
        <w:t>goals 1-</w:t>
      </w:r>
      <w:r>
        <w:rPr>
          <w:rFonts w:cs="Times New Roman"/>
          <w:szCs w:val="24"/>
        </w:rPr>
        <w:t>3</w:t>
      </w:r>
      <w:r w:rsidRPr="00B935F1">
        <w:rPr>
          <w:rFonts w:cs="Times New Roman"/>
          <w:szCs w:val="24"/>
        </w:rPr>
        <w:t>).  The Policy options developed in this Chapter concern the interactive relationship between the Delta-related exogenous variables, policy responses and implications for development outcomes (endogenous variables). More specifically, water and flood related goals and targets have been incorporated into the economic model as exogenous variables to assess the impact of these goals and targets on key macro-economic variables such as income generation (GDP), employment creation and poverty reduction.</w:t>
      </w:r>
    </w:p>
    <w:p w:rsidR="008B4CE7" w:rsidRPr="00B935F1" w:rsidRDefault="008B4CE7" w:rsidP="008B4CE7">
      <w:pPr>
        <w:rPr>
          <w:rFonts w:cs="Times New Roman"/>
          <w:szCs w:val="24"/>
        </w:rPr>
      </w:pPr>
      <w:r w:rsidRPr="00B935F1">
        <w:rPr>
          <w:rFonts w:cs="Times New Roman"/>
          <w:szCs w:val="24"/>
        </w:rPr>
        <w:t xml:space="preserve">The sustainability issues relating to water, land, environment and ecology (Delta specific goals 1-6) are discussed in chapters 3 (ecology, bio-diversity and environment), 4 (cross-boundary water management), 6 (wet and dry water season problems including the water challenges in the coastal area), 7 (sustainable land use), 8 (sustainable agriculture), 9 (inland water transport), 10 (urban water issues) and 12 (governance and institutions). The related investment programmes and the criteria for selecting these investment interventions in relation to their relevance to these long-term Delta goals are discussed in Chapter 11.  </w:t>
      </w:r>
    </w:p>
    <w:p w:rsidR="008B4CE7" w:rsidRPr="00B935F1" w:rsidRDefault="008B4CE7" w:rsidP="008B4CE7">
      <w:pPr>
        <w:pStyle w:val="Heading3"/>
        <w:tabs>
          <w:tab w:val="num" w:pos="720"/>
        </w:tabs>
        <w:spacing w:before="120" w:after="120"/>
        <w:ind w:left="0" w:firstLine="0"/>
      </w:pPr>
      <w:bookmarkStart w:id="257" w:name="_Toc417671075"/>
      <w:bookmarkStart w:id="258" w:name="_Toc417671076"/>
      <w:bookmarkStart w:id="259" w:name="_Toc417671080"/>
      <w:bookmarkStart w:id="260" w:name="_Toc417671082"/>
      <w:bookmarkStart w:id="261" w:name="_Toc417671083"/>
      <w:bookmarkStart w:id="262" w:name="_Toc417671085"/>
      <w:bookmarkStart w:id="263" w:name="_Toc417671086"/>
      <w:bookmarkStart w:id="264" w:name="_Toc417671087"/>
      <w:bookmarkStart w:id="265" w:name="_Toc417671088"/>
      <w:bookmarkStart w:id="266" w:name="_Toc417671091"/>
      <w:bookmarkStart w:id="267" w:name="_Toc417671092"/>
      <w:bookmarkStart w:id="268" w:name="_Toc417671093"/>
      <w:bookmarkStart w:id="269" w:name="_Toc417671095"/>
      <w:bookmarkStart w:id="270" w:name="_Toc417671097"/>
      <w:bookmarkStart w:id="271" w:name="_Toc417671098"/>
      <w:bookmarkStart w:id="272" w:name="_Toc417671102"/>
      <w:bookmarkStart w:id="273" w:name="_Toc417671103"/>
      <w:bookmarkStart w:id="274" w:name="_Toc417671107"/>
      <w:bookmarkStart w:id="275" w:name="_Toc417671108"/>
      <w:bookmarkStart w:id="276" w:name="_Toc417671112"/>
      <w:bookmarkStart w:id="277" w:name="_Toc417671113"/>
      <w:bookmarkStart w:id="278" w:name="_Toc417671116"/>
      <w:bookmarkStart w:id="279" w:name="_Toc417671117"/>
      <w:bookmarkStart w:id="280" w:name="_Toc417671118"/>
      <w:bookmarkStart w:id="281" w:name="_Toc417671123"/>
      <w:bookmarkStart w:id="282" w:name="_Toc417671124"/>
      <w:bookmarkStart w:id="283" w:name="_Toc417671125"/>
      <w:bookmarkStart w:id="284" w:name="_Toc417671127"/>
      <w:bookmarkStart w:id="285" w:name="_Toc417671129"/>
      <w:bookmarkStart w:id="286" w:name="_Toc417671130"/>
      <w:bookmarkStart w:id="287" w:name="_Toc417671132"/>
      <w:bookmarkStart w:id="288" w:name="_Toc417671134"/>
      <w:bookmarkStart w:id="289" w:name="_Toc417671135"/>
      <w:bookmarkStart w:id="290" w:name="_Toc417671137"/>
      <w:bookmarkStart w:id="291" w:name="_Toc417671139"/>
      <w:bookmarkStart w:id="292" w:name="_Toc417671140"/>
      <w:bookmarkStart w:id="293" w:name="_Toc417671144"/>
      <w:bookmarkStart w:id="294" w:name="_Toc417671145"/>
      <w:bookmarkStart w:id="295" w:name="_Toc417671148"/>
      <w:bookmarkStart w:id="296" w:name="_Toc417671149"/>
      <w:bookmarkStart w:id="297" w:name="_Toc417671150"/>
      <w:bookmarkStart w:id="298" w:name="_Toc417671152"/>
      <w:bookmarkStart w:id="299" w:name="_Toc417671153"/>
      <w:bookmarkStart w:id="300" w:name="_Toc417671154"/>
      <w:bookmarkStart w:id="301" w:name="_Toc417671155"/>
      <w:bookmarkStart w:id="302" w:name="_Toc417671157"/>
      <w:bookmarkStart w:id="303" w:name="_Toc417671161"/>
      <w:bookmarkStart w:id="304" w:name="_Toc417671163"/>
      <w:bookmarkStart w:id="305" w:name="_Toc417671164"/>
      <w:bookmarkStart w:id="306" w:name="_Toc417671165"/>
      <w:bookmarkStart w:id="307" w:name="_Toc417671166"/>
      <w:bookmarkStart w:id="308" w:name="_Toc417671167"/>
      <w:bookmarkStart w:id="309" w:name="_Toc417671168"/>
      <w:bookmarkStart w:id="310" w:name="_Toc417671169"/>
      <w:bookmarkStart w:id="311" w:name="_Toc417671170"/>
      <w:bookmarkStart w:id="312" w:name="_Toc417671171"/>
      <w:bookmarkStart w:id="313" w:name="_Toc417671172"/>
      <w:bookmarkStart w:id="314" w:name="_Toc417671173"/>
      <w:bookmarkStart w:id="315" w:name="_Toc417671174"/>
      <w:bookmarkStart w:id="316" w:name="_Toc417671175"/>
      <w:bookmarkStart w:id="317" w:name="_Toc417671176"/>
      <w:bookmarkStart w:id="318" w:name="_Toc417671177"/>
      <w:bookmarkStart w:id="319" w:name="_Toc417671179"/>
      <w:bookmarkStart w:id="320" w:name="_Toc417671183"/>
      <w:bookmarkStart w:id="321" w:name="_Toc417671184"/>
      <w:bookmarkStart w:id="322" w:name="_Toc417671185"/>
      <w:bookmarkStart w:id="323" w:name="_Toc417671186"/>
      <w:bookmarkStart w:id="324" w:name="_Toc417671189"/>
      <w:bookmarkStart w:id="325" w:name="_Toc417671191"/>
      <w:bookmarkStart w:id="326" w:name="_Toc417671192"/>
      <w:bookmarkStart w:id="327" w:name="_Toc417671193"/>
      <w:bookmarkStart w:id="328" w:name="_Toc417671194"/>
      <w:bookmarkStart w:id="329" w:name="_Toc417671196"/>
      <w:bookmarkStart w:id="330" w:name="_Toc417671197"/>
      <w:bookmarkStart w:id="331" w:name="_Toc417671198"/>
      <w:bookmarkStart w:id="332" w:name="_Toc417671199"/>
      <w:bookmarkStart w:id="333" w:name="_Toc417671200"/>
      <w:bookmarkStart w:id="334" w:name="_Toc417671201"/>
      <w:bookmarkStart w:id="335" w:name="_Toc417671202"/>
      <w:bookmarkStart w:id="336" w:name="_Toc417671203"/>
      <w:bookmarkStart w:id="337" w:name="_Toc417671204"/>
      <w:bookmarkStart w:id="338" w:name="_Toc417671206"/>
      <w:bookmarkStart w:id="339" w:name="_Toc417671236"/>
      <w:bookmarkStart w:id="340" w:name="_Toc417671237"/>
      <w:bookmarkStart w:id="341" w:name="_Toc417671238"/>
      <w:bookmarkStart w:id="342" w:name="_Toc417671239"/>
      <w:bookmarkStart w:id="343" w:name="_Toc417671242"/>
      <w:bookmarkStart w:id="344" w:name="_Toc417671243"/>
      <w:bookmarkStart w:id="345" w:name="_Toc417671245"/>
      <w:bookmarkStart w:id="346" w:name="_Toc417671246"/>
      <w:bookmarkStart w:id="347" w:name="_Toc417671247"/>
      <w:bookmarkStart w:id="348" w:name="_Toc417671250"/>
      <w:bookmarkStart w:id="349" w:name="_Toc417671253"/>
      <w:bookmarkStart w:id="350" w:name="_Toc417671255"/>
      <w:bookmarkStart w:id="351" w:name="_Toc417671259"/>
      <w:bookmarkStart w:id="352" w:name="_Toc417671260"/>
      <w:bookmarkStart w:id="353" w:name="_Toc417671263"/>
      <w:bookmarkStart w:id="354" w:name="_Toc417671264"/>
      <w:bookmarkStart w:id="355" w:name="_Toc417671271"/>
      <w:bookmarkStart w:id="356" w:name="_Toc417671272"/>
      <w:bookmarkStart w:id="357" w:name="_Toc417671273"/>
      <w:bookmarkStart w:id="358" w:name="_Toc417671274"/>
      <w:bookmarkStart w:id="359" w:name="_Toc417671277"/>
      <w:bookmarkStart w:id="360" w:name="_Toc417671280"/>
      <w:bookmarkStart w:id="361" w:name="_Toc417671281"/>
      <w:bookmarkStart w:id="362" w:name="_Toc417671282"/>
      <w:bookmarkStart w:id="363" w:name="_Toc417671283"/>
      <w:bookmarkStart w:id="364" w:name="_Toc417671285"/>
      <w:bookmarkStart w:id="365" w:name="_Toc417671286"/>
      <w:bookmarkStart w:id="366" w:name="_Toc417671287"/>
      <w:bookmarkStart w:id="367" w:name="_Toc417671291"/>
      <w:bookmarkStart w:id="368" w:name="_Toc417671292"/>
      <w:bookmarkStart w:id="369" w:name="_Toc417671294"/>
      <w:bookmarkStart w:id="370" w:name="_Toc417671295"/>
      <w:bookmarkStart w:id="371" w:name="_Toc417671296"/>
      <w:bookmarkStart w:id="372" w:name="_Toc417671297"/>
      <w:bookmarkStart w:id="373" w:name="_Toc417671298"/>
      <w:bookmarkStart w:id="374" w:name="_Toc417671299"/>
      <w:bookmarkStart w:id="375" w:name="_Toc417671301"/>
      <w:bookmarkStart w:id="376" w:name="_Toc417671303"/>
      <w:bookmarkStart w:id="377" w:name="_Toc417671306"/>
      <w:bookmarkStart w:id="378" w:name="_Toc465174926"/>
      <w:bookmarkStart w:id="379" w:name="_Toc463361067"/>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r w:rsidRPr="00B935F1">
        <w:t>BDP Scenarios</w:t>
      </w:r>
      <w:bookmarkEnd w:id="378"/>
      <w:r w:rsidRPr="00B935F1">
        <w:t xml:space="preserve"> </w:t>
      </w:r>
      <w:bookmarkEnd w:id="379"/>
    </w:p>
    <w:p w:rsidR="008B4CE7" w:rsidRPr="00A4705E" w:rsidRDefault="008B4CE7" w:rsidP="008B4CE7">
      <w:pPr>
        <w:rPr>
          <w:szCs w:val="24"/>
        </w:rPr>
      </w:pPr>
      <w:r w:rsidRPr="00A4705E">
        <w:rPr>
          <w:szCs w:val="24"/>
        </w:rPr>
        <w:t xml:space="preserve">The BDP scenario narratives are concentrated around two key drivers: 1) future water conditions based on trans-boundary developments and climate change and 2) economic development and related land use changes. This approach follows the IPCC climate scenario approach and is both simple and effective and allows other key drives to be included using a consistent approach. Main drivers have been quantified for each scenario. </w:t>
      </w:r>
      <w:r w:rsidRPr="00A4705E">
        <w:rPr>
          <w:rFonts w:cs="Segoe UI"/>
          <w:szCs w:val="24"/>
        </w:rPr>
        <w:t>The following figures summarize the key characteristics of the different scenarios.</w:t>
      </w:r>
    </w:p>
    <w:p w:rsidR="008B4CE7" w:rsidRPr="00A4705E" w:rsidRDefault="008B4CE7" w:rsidP="008B4CE7">
      <w:pPr>
        <w:rPr>
          <w:szCs w:val="24"/>
        </w:rPr>
      </w:pPr>
    </w:p>
    <w:p w:rsidR="008B4CE7" w:rsidRPr="00B935F1" w:rsidRDefault="008B4CE7" w:rsidP="008B4CE7">
      <w:pPr>
        <w:jc w:val="center"/>
        <w:rPr>
          <w:color w:val="FF0000"/>
          <w:szCs w:val="24"/>
        </w:rPr>
      </w:pPr>
      <w:r w:rsidRPr="00B935F1">
        <w:rPr>
          <w:noProof/>
          <w:color w:val="FF0000"/>
          <w:szCs w:val="24"/>
          <w:lang w:val="en-AU" w:eastAsia="en-AU" w:bidi="bn-BD"/>
        </w:rPr>
        <w:lastRenderedPageBreak/>
        <w:drawing>
          <wp:inline distT="0" distB="0" distL="0" distR="0">
            <wp:extent cx="5676900" cy="4267200"/>
            <wp:effectExtent l="19050" t="0" r="0" b="0"/>
            <wp:docPr id="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7" cstate="print"/>
                    <a:srcRect/>
                    <a:stretch>
                      <a:fillRect/>
                    </a:stretch>
                  </pic:blipFill>
                  <pic:spPr bwMode="auto">
                    <a:xfrm>
                      <a:off x="0" y="0"/>
                      <a:ext cx="5676900" cy="4267200"/>
                    </a:xfrm>
                    <a:prstGeom prst="rect">
                      <a:avLst/>
                    </a:prstGeom>
                    <a:noFill/>
                    <a:ln w="9525">
                      <a:noFill/>
                      <a:miter lim="800000"/>
                      <a:headEnd/>
                      <a:tailEnd/>
                    </a:ln>
                  </pic:spPr>
                </pic:pic>
              </a:graphicData>
            </a:graphic>
          </wp:inline>
        </w:drawing>
      </w:r>
    </w:p>
    <w:p w:rsidR="008B4CE7" w:rsidRPr="009612DD" w:rsidRDefault="008B4CE7" w:rsidP="008B4CE7">
      <w:pPr>
        <w:pStyle w:val="Caption"/>
        <w:rPr>
          <w:color w:val="auto"/>
          <w:sz w:val="24"/>
          <w:szCs w:val="24"/>
        </w:rPr>
      </w:pPr>
      <w:bookmarkStart w:id="380" w:name="_Ref463189510"/>
      <w:bookmarkStart w:id="381" w:name="_Toc463355121"/>
      <w:bookmarkStart w:id="382" w:name="_Toc463514984"/>
      <w:bookmarkStart w:id="383" w:name="_Toc464642724"/>
      <w:bookmarkStart w:id="384" w:name="_Toc465174790"/>
      <w:r w:rsidRPr="009612DD">
        <w:rPr>
          <w:color w:val="auto"/>
          <w:sz w:val="24"/>
          <w:szCs w:val="24"/>
        </w:rPr>
        <w:t xml:space="preserve">Figure </w:t>
      </w:r>
      <w:r w:rsidR="001A12B2" w:rsidRPr="009612DD">
        <w:rPr>
          <w:color w:val="auto"/>
          <w:sz w:val="24"/>
          <w:szCs w:val="24"/>
        </w:rPr>
        <w:fldChar w:fldCharType="begin"/>
      </w:r>
      <w:r w:rsidRPr="009612DD">
        <w:rPr>
          <w:color w:val="auto"/>
          <w:sz w:val="24"/>
          <w:szCs w:val="24"/>
        </w:rPr>
        <w:instrText xml:space="preserve"> STYLEREF 1 \s </w:instrText>
      </w:r>
      <w:r w:rsidR="001A12B2" w:rsidRPr="009612DD">
        <w:rPr>
          <w:color w:val="auto"/>
          <w:sz w:val="24"/>
          <w:szCs w:val="24"/>
        </w:rPr>
        <w:fldChar w:fldCharType="separate"/>
      </w:r>
      <w:r w:rsidRPr="009612DD">
        <w:rPr>
          <w:noProof/>
          <w:color w:val="auto"/>
          <w:sz w:val="24"/>
          <w:szCs w:val="24"/>
        </w:rPr>
        <w:t>5</w:t>
      </w:r>
      <w:r w:rsidR="001A12B2" w:rsidRPr="009612DD">
        <w:rPr>
          <w:color w:val="auto"/>
          <w:sz w:val="24"/>
          <w:szCs w:val="24"/>
        </w:rPr>
        <w:fldChar w:fldCharType="end"/>
      </w:r>
      <w:r w:rsidRPr="009612DD">
        <w:rPr>
          <w:color w:val="auto"/>
          <w:sz w:val="24"/>
          <w:szCs w:val="24"/>
        </w:rPr>
        <w:t>.</w:t>
      </w:r>
      <w:r w:rsidR="001A12B2" w:rsidRPr="009612DD">
        <w:rPr>
          <w:color w:val="auto"/>
          <w:sz w:val="24"/>
          <w:szCs w:val="24"/>
        </w:rPr>
        <w:fldChar w:fldCharType="begin"/>
      </w:r>
      <w:r w:rsidRPr="009612DD">
        <w:rPr>
          <w:color w:val="auto"/>
          <w:sz w:val="24"/>
          <w:szCs w:val="24"/>
        </w:rPr>
        <w:instrText xml:space="preserve"> SEQ Figure \* ARABIC \s 1 </w:instrText>
      </w:r>
      <w:r w:rsidR="001A12B2" w:rsidRPr="009612DD">
        <w:rPr>
          <w:color w:val="auto"/>
          <w:sz w:val="24"/>
          <w:szCs w:val="24"/>
        </w:rPr>
        <w:fldChar w:fldCharType="separate"/>
      </w:r>
      <w:r w:rsidRPr="009612DD">
        <w:rPr>
          <w:noProof/>
          <w:color w:val="auto"/>
          <w:sz w:val="24"/>
          <w:szCs w:val="24"/>
        </w:rPr>
        <w:t>1</w:t>
      </w:r>
      <w:r w:rsidR="001A12B2" w:rsidRPr="009612DD">
        <w:rPr>
          <w:color w:val="auto"/>
          <w:sz w:val="24"/>
          <w:szCs w:val="24"/>
        </w:rPr>
        <w:fldChar w:fldCharType="end"/>
      </w:r>
      <w:bookmarkEnd w:id="380"/>
      <w:r w:rsidRPr="009612DD">
        <w:rPr>
          <w:color w:val="auto"/>
          <w:sz w:val="24"/>
          <w:szCs w:val="24"/>
        </w:rPr>
        <w:t>: Summary narratives of Delta Scenario</w:t>
      </w:r>
      <w:bookmarkEnd w:id="381"/>
      <w:bookmarkEnd w:id="382"/>
      <w:bookmarkEnd w:id="383"/>
      <w:bookmarkEnd w:id="384"/>
    </w:p>
    <w:p w:rsidR="00000000" w:rsidRDefault="008B4CE7" w:rsidP="003D5A31">
      <w:pPr>
        <w:pStyle w:val="Heading5"/>
        <w:keepNext/>
        <w:keepLines/>
        <w:numPr>
          <w:ilvl w:val="3"/>
          <w:numId w:val="256"/>
        </w:numPr>
        <w:spacing w:before="200" w:after="0" w:line="276" w:lineRule="auto"/>
        <w:jc w:val="both"/>
        <w:rPr>
          <w:rStyle w:val="IntenseEmphasis"/>
          <w:bCs/>
          <w:i w:val="0"/>
          <w:color w:val="auto"/>
          <w:sz w:val="18"/>
          <w:szCs w:val="18"/>
        </w:rPr>
      </w:pPr>
      <w:r w:rsidRPr="009612DD">
        <w:rPr>
          <w:rStyle w:val="IntenseEmphasis"/>
          <w:i w:val="0"/>
          <w:color w:val="auto"/>
        </w:rPr>
        <w:t>Productive, “Market Driven Delta”:</w:t>
      </w:r>
    </w:p>
    <w:p w:rsidR="008B4CE7" w:rsidRPr="009612DD" w:rsidRDefault="008B4CE7" w:rsidP="008B4CE7">
      <w:pPr>
        <w:rPr>
          <w:szCs w:val="24"/>
        </w:rPr>
      </w:pPr>
      <w:r w:rsidRPr="009612DD">
        <w:rPr>
          <w:szCs w:val="24"/>
        </w:rPr>
        <w:t xml:space="preserve">The Productive scenario is characterized by moderate water conditions, growing population and an increase of per capita GDP growth as a result of fast global economic growth and a transition of Bangladesh towards an industrialized and moderately diversified economy. Driven by strong global trade liberalization and a high international demand for manufacturing products, large foreign and domestic firms invest in the manufacturing and agro-processing industries, leading to higher labor and land productivity. The positive effects on the economy instigate further (private) investments in technology, human capital and infrastructure, leading to many more high-skilled job opportunities. As the middle-income population increases, food security objectives slowly shift to food variety, with an emphasis on a nutritious and varied offer. By 2050, Bangladesh has developed into a diversified market-driven economy in which the industry and service sector dominate, little regulation and in which large internationally operating firms dominate. Towards 2100, Bangladesh has become a high-income and highly urban country, dominated by services and technology, driven by private investors and well connected to international markets. </w:t>
      </w:r>
    </w:p>
    <w:p w:rsidR="008B4CE7" w:rsidRPr="009612DD" w:rsidRDefault="008B4CE7" w:rsidP="008B4CE7">
      <w:pPr>
        <w:rPr>
          <w:szCs w:val="24"/>
        </w:rPr>
      </w:pPr>
      <w:r w:rsidRPr="009612DD">
        <w:rPr>
          <w:szCs w:val="24"/>
        </w:rPr>
        <w:t xml:space="preserve">Water demand for irrigated rice will reduce due to changes to less water demanding crops, varieties and agricultural practices. A secure water supply will be become more important. Urban (domestic and industrial) water demand and water network requirements will increase due to </w:t>
      </w:r>
      <w:r w:rsidRPr="009612DD">
        <w:rPr>
          <w:szCs w:val="24"/>
        </w:rPr>
        <w:lastRenderedPageBreak/>
        <w:t>rapid economic development and population increase. Water quality standards will increase significantly as a result of a growing and wealthier population with higher consumption standards. Competition between the agriculture, domestic and urban water supply needs will increase, with the share of agriculture becoming less important, especially up to 2030 and 2050. Water and environmental quality will be under severe pressure in this period. The decrease of the population after 2050, accompanied by a higher standard of living and global environmental awareness will enable investment in clean technologies, a much more efficient use of water and an increased allocation to meet environmental needs. Ecosystem services will become more valued as economic goods. Increased living standards, assets and globalization will lead to a proportionate increase in flood risks, for which the Government will want to ensure an adequate level of protection.</w:t>
      </w:r>
    </w:p>
    <w:p w:rsidR="00000000" w:rsidRDefault="008B4CE7" w:rsidP="003D5A31">
      <w:pPr>
        <w:pStyle w:val="Heading5"/>
        <w:keepNext/>
        <w:keepLines/>
        <w:numPr>
          <w:ilvl w:val="3"/>
          <w:numId w:val="256"/>
        </w:numPr>
        <w:spacing w:before="200" w:after="0" w:line="276" w:lineRule="auto"/>
        <w:jc w:val="both"/>
        <w:rPr>
          <w:rStyle w:val="IntenseEmphasis"/>
          <w:b w:val="0"/>
          <w:bCs/>
          <w:i w:val="0"/>
          <w:color w:val="auto"/>
          <w:sz w:val="18"/>
          <w:szCs w:val="18"/>
        </w:rPr>
      </w:pPr>
      <w:r w:rsidRPr="009612DD">
        <w:rPr>
          <w:rStyle w:val="IntenseEmphasis"/>
          <w:i w:val="0"/>
          <w:color w:val="auto"/>
        </w:rPr>
        <w:t xml:space="preserve">Resilient, “Dynamic Delta”: </w:t>
      </w:r>
    </w:p>
    <w:p w:rsidR="008B4CE7" w:rsidRPr="009612DD" w:rsidRDefault="008B4CE7" w:rsidP="008B4CE7">
      <w:pPr>
        <w:rPr>
          <w:szCs w:val="24"/>
        </w:rPr>
      </w:pPr>
      <w:r w:rsidRPr="009612DD">
        <w:rPr>
          <w:szCs w:val="24"/>
        </w:rPr>
        <w:t xml:space="preserve">The Resilient scenario describes a future with a stable increase of GDP per capita, driven by favorable global economic conditions leading to a transformation to a fully diversified economy, but hampered by more extreme water conditions, due to rapid climate change and increased upstream flow abstraction. Aware of its vulnerability to natural events, and enabled by favorable global growth conditions and technological changes, Bangladesh puts priority on an equal, stable and sustainable growth and avails of a strong public sector equipped to deal with rapidly changing circumstances. Due to increased water scarcity, the urgency to increase water productivity is high and agricultural research and technology advances are considerable, as well as investments in human capital and services. By 2050, the country has developed in a resilient country with a stable economic growth per capita that is more equally distributed and well equipped to adapt to natural hazards and climatic conditions. Towards 2100, Bangladesh develops into a high-income country, which has mastered in technological adaptation and sustainability to cope with the harsh climatic conditions. Agro-technology and services drive the economy, as well as high international mobility of people, which has decreased the population significantly. </w:t>
      </w:r>
    </w:p>
    <w:p w:rsidR="008B4CE7" w:rsidRPr="009612DD" w:rsidRDefault="008B4CE7" w:rsidP="008B4CE7">
      <w:pPr>
        <w:rPr>
          <w:szCs w:val="24"/>
        </w:rPr>
      </w:pPr>
      <w:r w:rsidRPr="009612DD">
        <w:rPr>
          <w:szCs w:val="24"/>
        </w:rPr>
        <w:t xml:space="preserve">Water shortages for the agricultural sector due to climate and upstream abstraction for irrigation will be severe. This is (partly) mitigated by water saving technologies, the cultivation of high-value and low water demanding crops in the dry season and the application of sound zoning policies for agriculture, housing, industry, critical infrastructure and environment. There will be a large increase in flood risks due to the increase of extreme events and continuing increase in asset value of industries and other valuable assets. Sea level rise and increased cyclone intensity will further increase the flood risk in the coastal zone. Water quality will initially deteriorate due to water shortages, pressures from urban areas and industry as well as salinity intrusion in relation to (relative) sea level rise. A growing economy and income level, especially of the middle class, in combination with a stronger enforcement of environmental standards will lead to improvements from the middle half of the century onwards. </w:t>
      </w:r>
    </w:p>
    <w:p w:rsidR="00000000" w:rsidRDefault="008B4CE7" w:rsidP="003D5A31">
      <w:pPr>
        <w:pStyle w:val="Heading5"/>
        <w:keepNext/>
        <w:keepLines/>
        <w:numPr>
          <w:ilvl w:val="3"/>
          <w:numId w:val="256"/>
        </w:numPr>
        <w:spacing w:before="200" w:after="0" w:line="276" w:lineRule="auto"/>
        <w:jc w:val="both"/>
        <w:rPr>
          <w:rStyle w:val="IntenseEmphasis"/>
          <w:b w:val="0"/>
          <w:bCs/>
          <w:i w:val="0"/>
          <w:color w:val="auto"/>
          <w:sz w:val="18"/>
          <w:szCs w:val="18"/>
        </w:rPr>
      </w:pPr>
      <w:r w:rsidRPr="009612DD">
        <w:rPr>
          <w:rStyle w:val="IntenseEmphasis"/>
          <w:i w:val="0"/>
          <w:color w:val="auto"/>
        </w:rPr>
        <w:t xml:space="preserve">Moderate, “Delta under Pressure”: </w:t>
      </w:r>
    </w:p>
    <w:p w:rsidR="008B4CE7" w:rsidRPr="009612DD" w:rsidRDefault="008B4CE7" w:rsidP="008B4CE7">
      <w:pPr>
        <w:rPr>
          <w:szCs w:val="24"/>
        </w:rPr>
      </w:pPr>
      <w:r w:rsidRPr="009612DD">
        <w:rPr>
          <w:szCs w:val="24"/>
        </w:rPr>
        <w:t xml:space="preserve">The Moderate scenario is characterized by a slower GDP per capita growth, due to moderate global economic growth with competition over labor-intensive production, and a fast growing </w:t>
      </w:r>
      <w:r w:rsidRPr="009612DD">
        <w:rPr>
          <w:szCs w:val="24"/>
        </w:rPr>
        <w:lastRenderedPageBreak/>
        <w:t>population in combination with low climate change and limited upstream developments. Due to slow economic growth, competition between Bangladesh and other developing economies over low value production is high and protectionism grows. GDP per capita growth slows down, due to an increasing supply of low-skilled laborers and a slow pace of technological enhancements and inherent stagnating productivity increases. Due to moderate climate change and limited upstream developments, there is sufficient opportunity to develop and exploit traditional economic growth and industrialization. As output is not reinvested in much needed infrastructure, R&amp;D, agriculture, education and human capital, inequality is rising. The large cities, Dhaka and Chittagong, grow rapidly and in an unplanned manner, due to a lack of spatial planning and enforcement, connectivity between urban and rural areas and urban facilities. Other urban and rural centers remain isolated. In this scenario, environmental degradation due to overexploitation of natural resources, agricultural and industrial pollution is severe.</w:t>
      </w:r>
    </w:p>
    <w:p w:rsidR="008B4CE7" w:rsidRPr="009612DD" w:rsidRDefault="008B4CE7" w:rsidP="008B4CE7">
      <w:pPr>
        <w:rPr>
          <w:szCs w:val="24"/>
        </w:rPr>
      </w:pPr>
      <w:r w:rsidRPr="009612DD">
        <w:rPr>
          <w:szCs w:val="24"/>
        </w:rPr>
        <w:t>Towards 2100, as a result of slow global economic growth in decades, the rise of the middle income class has not sufficiently taken off and inequality has grown substantially, both within the large urban areas and between urban and rural areas.</w:t>
      </w:r>
    </w:p>
    <w:p w:rsidR="008B4CE7" w:rsidRPr="009612DD" w:rsidRDefault="008B4CE7" w:rsidP="008B4CE7">
      <w:pPr>
        <w:rPr>
          <w:szCs w:val="24"/>
        </w:rPr>
      </w:pPr>
      <w:r w:rsidRPr="009612DD">
        <w:rPr>
          <w:szCs w:val="24"/>
        </w:rPr>
        <w:t>Urban water demand will increase due to a higher population up to 2050, slowly declining up to the end of the century. A substantial part of the population will however not avail of improved water supply and sanitation, resulting in many diffuse and uncontrolled pollution sources and low water quality This will lead to increased (peri-)urban health problems and deteriorating soil and agricultural/livestock productivity. As climate change is relatively mild and upstream abstractions increase only gradually, trans-boundary low flows decrease slowly. Water demand however still increases, due to a higher rural population and water use, but less than in the Sokrio and Sohonio scenarios. The urban population is at high risk of floods and drainage congestion.</w:t>
      </w:r>
    </w:p>
    <w:p w:rsidR="00000000" w:rsidRDefault="008B4CE7" w:rsidP="003D5A31">
      <w:pPr>
        <w:pStyle w:val="Heading5"/>
        <w:keepNext/>
        <w:keepLines/>
        <w:numPr>
          <w:ilvl w:val="3"/>
          <w:numId w:val="256"/>
        </w:numPr>
        <w:spacing w:before="200" w:after="0" w:line="276" w:lineRule="auto"/>
        <w:jc w:val="both"/>
        <w:rPr>
          <w:rStyle w:val="IntenseEmphasis"/>
          <w:b w:val="0"/>
          <w:bCs/>
          <w:i w:val="0"/>
          <w:color w:val="auto"/>
          <w:sz w:val="18"/>
          <w:szCs w:val="18"/>
        </w:rPr>
      </w:pPr>
      <w:r w:rsidRPr="009612DD">
        <w:rPr>
          <w:rStyle w:val="IntenseEmphasis"/>
          <w:i w:val="0"/>
          <w:color w:val="auto"/>
        </w:rPr>
        <w:t xml:space="preserve">Active, “Basic Needs First”: </w:t>
      </w:r>
    </w:p>
    <w:p w:rsidR="008B4CE7" w:rsidRPr="009612DD" w:rsidRDefault="008B4CE7" w:rsidP="008B4CE7">
      <w:pPr>
        <w:rPr>
          <w:szCs w:val="24"/>
        </w:rPr>
      </w:pPr>
      <w:r w:rsidRPr="009612DD">
        <w:rPr>
          <w:szCs w:val="24"/>
        </w:rPr>
        <w:t xml:space="preserve">The Active scenario is characterized by a stagnating per capita GDP growth due to unfavorable global economic growth and an exponentially growing population, in combination with extreme water variability due to climate change and uncoordinated and growing upstream water abstraction. Stagnation of the global economy leads to a decrease of global demand in low-value manufacturing products, and a fierce competition between countries in the region. Due to limited international and education opportunities, migration is limited. As fertility rates decrease at a slow pace, the population continues to grow. There is a large number of climate refugees that flee Bangladesh in response to longer droughts, increased cyclones and (relative) sea level rise. The population, as a result of natural and man-induced disasters, continues to move to Dhaka and Chittagong, albeit at a slowly increasing pace. Migration to the cities is not attractive die to the low level of urban facilities and Congestion. A sizeable part of the population remains in rural areas, dependent on subsistence rice farming. The increasing salinity and more extreme events due to climate change put a strain on agricultural productivity, leading to further increase of rural poverty and reduced food security. By 2100, population of Bangladesh continues to grow uncontrollably. In combination with harsh climatic and economic conditions, the struggle for food and natural resources is tremendous and Bangladesh is known for the largest number of climatic refugees worldwide. </w:t>
      </w:r>
    </w:p>
    <w:p w:rsidR="008B4CE7" w:rsidRPr="009612DD" w:rsidRDefault="008B4CE7" w:rsidP="008B4CE7">
      <w:pPr>
        <w:rPr>
          <w:szCs w:val="24"/>
        </w:rPr>
      </w:pPr>
      <w:r w:rsidRPr="009612DD">
        <w:rPr>
          <w:szCs w:val="24"/>
        </w:rPr>
        <w:lastRenderedPageBreak/>
        <w:t>Due to severe climatic conditions and high rural vulnerability, the increasing flood events have dramatic impacts on livelihoods. Flood frequency and intensity will increase due to more severe cyclones, higher peak river flows and sea level rise. This will affect both the rural and urban population. The low economic growth will limit the investment in large scale adaptation and there is a focus on low cost community based adaptation and people struggle to survive. Adaptation will depend highly on foreign assistance. Water stress will be severe due to a large population that is dependent on rice cultivation, while water supply in the dry season will be seriously constrained due to high upstream abstractions and climate change.</w:t>
      </w:r>
    </w:p>
    <w:p w:rsidR="008B4CE7" w:rsidRPr="009612DD" w:rsidRDefault="008B4CE7" w:rsidP="008B4CE7">
      <w:pPr>
        <w:rPr>
          <w:szCs w:val="24"/>
        </w:rPr>
      </w:pPr>
      <w:r w:rsidRPr="009612DD">
        <w:rPr>
          <w:szCs w:val="24"/>
        </w:rPr>
        <w:t>Environmental degradation will be high and water quality will be severely stressed, both due to rural and urban pollution and salinity intrusion.</w:t>
      </w:r>
    </w:p>
    <w:p w:rsidR="00000000" w:rsidRDefault="008B4CE7" w:rsidP="003D5A31">
      <w:pPr>
        <w:pStyle w:val="Heading4"/>
        <w:numPr>
          <w:ilvl w:val="2"/>
          <w:numId w:val="256"/>
        </w:numPr>
        <w:spacing w:before="120"/>
        <w:jc w:val="left"/>
        <w:rPr>
          <w:rStyle w:val="IntenseEmphasis"/>
          <w:rFonts w:cstheme="minorBidi"/>
          <w:b w:val="0"/>
          <w:bCs w:val="0"/>
          <w:color w:val="auto"/>
          <w:sz w:val="18"/>
          <w:szCs w:val="18"/>
        </w:rPr>
      </w:pPr>
      <w:bookmarkStart w:id="385" w:name="_Toc463361069"/>
      <w:r w:rsidRPr="003A20A4">
        <w:rPr>
          <w:rStyle w:val="IntenseEmphasis"/>
          <w:color w:val="auto"/>
        </w:rPr>
        <w:t>Use of Bangladesh Delta Scenarios</w:t>
      </w:r>
      <w:bookmarkEnd w:id="385"/>
    </w:p>
    <w:p w:rsidR="008B4CE7" w:rsidRPr="003A20A4" w:rsidRDefault="008B4CE7" w:rsidP="008B4CE7">
      <w:pPr>
        <w:rPr>
          <w:szCs w:val="24"/>
        </w:rPr>
      </w:pPr>
      <w:r w:rsidRPr="003A20A4">
        <w:rPr>
          <w:szCs w:val="24"/>
        </w:rPr>
        <w:t xml:space="preserve">The aim of the Bangladesh Delta Plan scenarios is to identify key bottlenecks and appropriate measures per scenario. For each (set of) measures, the performance in the next decades is set against several key decision support indicators, both qualitative and quantitative. The outcomes of the decision support indicators will be different per strategy and per scenario. Within the overall framework of the BDP, the scenarios are inherently connected with the strategy identification, and form an integral part of the (strategy) assessment framework. </w:t>
      </w:r>
    </w:p>
    <w:p w:rsidR="008B4CE7" w:rsidRPr="003A20A4" w:rsidRDefault="008B4CE7" w:rsidP="008B4CE7">
      <w:pPr>
        <w:rPr>
          <w:szCs w:val="24"/>
        </w:rPr>
      </w:pPr>
      <w:r w:rsidRPr="003A20A4">
        <w:rPr>
          <w:szCs w:val="24"/>
        </w:rPr>
        <w:t xml:space="preserve">The main aim of scenario analysis is to identify key impacts and to address uncertainty. For this reason, a bandwidth of possible future developments is developed rather than a single or most probable future projection. This bandwidth of possible outcomes is used to evaluate the (cost-) effectiveness of potential measures of adaptation to climate change. The scenarios enable uncertainty to be taken into account when selecting and evaluating strategies for adaptation in the future. In this way, a careful assessment can be made to decide which strategies should be prioritized. To properly carry out strategy, assessment, the scenarios were therefore not designed as projections. Instead, they depict the ‘extreme edges’ of possible outcomes to identify those strategies that are well equipped and effective in all scenarios, and can thus be considered ‘robust’ or ‘no regret’ for today and tomorrow. In addition, it helps in identifying which measures are flexible versus measures that could create a certain ‘one direction only’ or ‘lock-in’ situation. This will create a well-informed basis for decision-makers to prioritize which strategies and measures should be implemented immediately (are ‘no regret’) and which measures could be postponed until it becomes clearer how the future of Bangladesh will evolve. </w:t>
      </w:r>
    </w:p>
    <w:p w:rsidR="008B4CE7" w:rsidRPr="003A20A4" w:rsidRDefault="008B4CE7" w:rsidP="008B4CE7">
      <w:pPr>
        <w:rPr>
          <w:szCs w:val="24"/>
        </w:rPr>
      </w:pPr>
      <w:r w:rsidRPr="003A20A4">
        <w:rPr>
          <w:rFonts w:cs="Segoe UI"/>
          <w:noProof/>
          <w:szCs w:val="24"/>
          <w:lang w:val="en-AU" w:eastAsia="en-AU" w:bidi="bn-BD"/>
        </w:rPr>
        <w:lastRenderedPageBreak/>
        <w:drawing>
          <wp:anchor distT="0" distB="0" distL="114300" distR="114300" simplePos="0" relativeHeight="251786240" behindDoc="0" locked="0" layoutInCell="1" allowOverlap="1">
            <wp:simplePos x="0" y="0"/>
            <wp:positionH relativeFrom="column">
              <wp:posOffset>2767330</wp:posOffset>
            </wp:positionH>
            <wp:positionV relativeFrom="paragraph">
              <wp:posOffset>368300</wp:posOffset>
            </wp:positionV>
            <wp:extent cx="3002280" cy="2412365"/>
            <wp:effectExtent l="0" t="0" r="0" b="0"/>
            <wp:wrapTopAndBottom/>
            <wp:docPr id="6149" name="Picture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02280" cy="2412365"/>
                    </a:xfrm>
                    <a:prstGeom prst="rect">
                      <a:avLst/>
                    </a:prstGeom>
                  </pic:spPr>
                </pic:pic>
              </a:graphicData>
            </a:graphic>
          </wp:anchor>
        </w:drawing>
      </w:r>
      <w:r w:rsidRPr="003A20A4">
        <w:rPr>
          <w:rFonts w:cs="Segoe UI"/>
          <w:noProof/>
          <w:szCs w:val="24"/>
          <w:lang w:val="en-AU" w:eastAsia="en-AU" w:bidi="bn-BD"/>
        </w:rPr>
        <w:drawing>
          <wp:anchor distT="0" distB="0" distL="114300" distR="114300" simplePos="0" relativeHeight="251785216" behindDoc="0" locked="0" layoutInCell="1" allowOverlap="1">
            <wp:simplePos x="0" y="0"/>
            <wp:positionH relativeFrom="column">
              <wp:posOffset>-161290</wp:posOffset>
            </wp:positionH>
            <wp:positionV relativeFrom="paragraph">
              <wp:posOffset>370840</wp:posOffset>
            </wp:positionV>
            <wp:extent cx="3043555" cy="2400300"/>
            <wp:effectExtent l="19050" t="0" r="4445" b="0"/>
            <wp:wrapTopAndBottom/>
            <wp:docPr id="6148" name="Picture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43555" cy="2400300"/>
                    </a:xfrm>
                    <a:prstGeom prst="rect">
                      <a:avLst/>
                    </a:prstGeom>
                  </pic:spPr>
                </pic:pic>
              </a:graphicData>
            </a:graphic>
          </wp:anchor>
        </w:drawing>
      </w:r>
      <w:r w:rsidRPr="003A20A4">
        <w:rPr>
          <w:szCs w:val="24"/>
        </w:rPr>
        <w:t>The following figures summarize the key characteristics of the different scenarios.</w:t>
      </w:r>
    </w:p>
    <w:p w:rsidR="008B4CE7" w:rsidRPr="003A20A4" w:rsidRDefault="008B4CE7" w:rsidP="008B4CE7">
      <w:pPr>
        <w:pStyle w:val="Caption"/>
        <w:rPr>
          <w:color w:val="auto"/>
          <w:sz w:val="24"/>
          <w:szCs w:val="24"/>
          <w:lang w:eastAsia="zh-CN"/>
        </w:rPr>
      </w:pPr>
      <w:bookmarkStart w:id="386" w:name="_Toc463355122"/>
      <w:bookmarkStart w:id="387" w:name="_Toc463514985"/>
      <w:bookmarkStart w:id="388" w:name="_Toc464642725"/>
      <w:bookmarkStart w:id="389" w:name="_Toc465174791"/>
      <w:r w:rsidRPr="003A20A4">
        <w:rPr>
          <w:color w:val="auto"/>
          <w:sz w:val="24"/>
          <w:szCs w:val="24"/>
        </w:rPr>
        <w:t xml:space="preserve">Figure </w:t>
      </w:r>
      <w:r w:rsidR="001A12B2" w:rsidRPr="003A20A4">
        <w:rPr>
          <w:color w:val="auto"/>
          <w:sz w:val="24"/>
          <w:szCs w:val="24"/>
        </w:rPr>
        <w:fldChar w:fldCharType="begin"/>
      </w:r>
      <w:r w:rsidRPr="003A20A4">
        <w:rPr>
          <w:color w:val="auto"/>
          <w:sz w:val="24"/>
          <w:szCs w:val="24"/>
        </w:rPr>
        <w:instrText xml:space="preserve"> STYLEREF 1 \s </w:instrText>
      </w:r>
      <w:r w:rsidR="001A12B2" w:rsidRPr="003A20A4">
        <w:rPr>
          <w:color w:val="auto"/>
          <w:sz w:val="24"/>
          <w:szCs w:val="24"/>
        </w:rPr>
        <w:fldChar w:fldCharType="separate"/>
      </w:r>
      <w:r w:rsidRPr="003A20A4">
        <w:rPr>
          <w:noProof/>
          <w:color w:val="auto"/>
          <w:sz w:val="24"/>
          <w:szCs w:val="24"/>
        </w:rPr>
        <w:t>5</w:t>
      </w:r>
      <w:r w:rsidR="001A12B2" w:rsidRPr="003A20A4">
        <w:rPr>
          <w:color w:val="auto"/>
          <w:sz w:val="24"/>
          <w:szCs w:val="24"/>
        </w:rPr>
        <w:fldChar w:fldCharType="end"/>
      </w:r>
      <w:r w:rsidRPr="003A20A4">
        <w:rPr>
          <w:color w:val="auto"/>
          <w:sz w:val="24"/>
          <w:szCs w:val="24"/>
        </w:rPr>
        <w:t>.</w:t>
      </w:r>
      <w:r w:rsidR="001A12B2" w:rsidRPr="003A20A4">
        <w:rPr>
          <w:color w:val="auto"/>
          <w:sz w:val="24"/>
          <w:szCs w:val="24"/>
        </w:rPr>
        <w:fldChar w:fldCharType="begin"/>
      </w:r>
      <w:r w:rsidRPr="003A20A4">
        <w:rPr>
          <w:color w:val="auto"/>
          <w:sz w:val="24"/>
          <w:szCs w:val="24"/>
        </w:rPr>
        <w:instrText xml:space="preserve"> SEQ Figure \* ARABIC \s 1 </w:instrText>
      </w:r>
      <w:r w:rsidR="001A12B2" w:rsidRPr="003A20A4">
        <w:rPr>
          <w:color w:val="auto"/>
          <w:sz w:val="24"/>
          <w:szCs w:val="24"/>
        </w:rPr>
        <w:fldChar w:fldCharType="separate"/>
      </w:r>
      <w:r w:rsidRPr="003A20A4">
        <w:rPr>
          <w:noProof/>
          <w:color w:val="auto"/>
          <w:sz w:val="24"/>
          <w:szCs w:val="24"/>
        </w:rPr>
        <w:t>2</w:t>
      </w:r>
      <w:r w:rsidR="001A12B2" w:rsidRPr="003A20A4">
        <w:rPr>
          <w:color w:val="auto"/>
          <w:sz w:val="24"/>
          <w:szCs w:val="24"/>
        </w:rPr>
        <w:fldChar w:fldCharType="end"/>
      </w:r>
      <w:r w:rsidRPr="003A20A4">
        <w:rPr>
          <w:color w:val="auto"/>
          <w:sz w:val="24"/>
          <w:szCs w:val="24"/>
        </w:rPr>
        <w:t>:</w:t>
      </w:r>
      <w:r w:rsidRPr="003A20A4">
        <w:rPr>
          <w:color w:val="auto"/>
          <w:sz w:val="24"/>
          <w:szCs w:val="24"/>
          <w:lang w:eastAsia="zh-CN"/>
        </w:rPr>
        <w:t xml:space="preserve"> The scenarios positioned around the key drivers</w:t>
      </w:r>
      <w:bookmarkEnd w:id="386"/>
      <w:bookmarkEnd w:id="387"/>
      <w:bookmarkEnd w:id="388"/>
      <w:bookmarkEnd w:id="389"/>
    </w:p>
    <w:p w:rsidR="008B4CE7" w:rsidRPr="003A20A4" w:rsidRDefault="008B4CE7" w:rsidP="008B4CE7">
      <w:pPr>
        <w:rPr>
          <w:szCs w:val="24"/>
        </w:rPr>
      </w:pPr>
      <w:r w:rsidRPr="003A20A4">
        <w:rPr>
          <w:szCs w:val="24"/>
        </w:rPr>
        <w:t>The scenarios should be treated as a ‘living document’ and should be reviewed and updated regularly In this context, combining the results of the Delta Plan and ESPA Deltas will be particularly valuable, albeit only for the Coastal areas covered under ESPA Deltas (the Ganges Floodplain). As the future unfolds it becomes clearer in which direction the economy and climate of Bangladesh is developing, and the scenarios can be adjusted accordingly. This should ideally be done in 5-year periods, connected to the 5-year master plans, and the different strategies and measures should be evaluated simultaneously. In this sense, scenario analysis can be considered as an integrated part of the process of creating a prosperous and sustainable delta.</w:t>
      </w:r>
    </w:p>
    <w:p w:rsidR="008B4CE7" w:rsidRPr="003A20A4" w:rsidRDefault="008B4CE7" w:rsidP="008B4CE7">
      <w:pPr>
        <w:pStyle w:val="Heading3"/>
        <w:tabs>
          <w:tab w:val="num" w:pos="720"/>
        </w:tabs>
        <w:spacing w:before="120" w:after="120"/>
        <w:ind w:left="0" w:firstLine="0"/>
      </w:pPr>
      <w:bookmarkStart w:id="390" w:name="_Toc460626762"/>
      <w:bookmarkStart w:id="391" w:name="_Toc463361072"/>
      <w:bookmarkStart w:id="392" w:name="_Toc465174927"/>
      <w:r w:rsidRPr="003A20A4">
        <w:t>Strategy</w:t>
      </w:r>
      <w:bookmarkEnd w:id="390"/>
      <w:bookmarkEnd w:id="391"/>
      <w:bookmarkEnd w:id="392"/>
    </w:p>
    <w:p w:rsidR="008B4CE7" w:rsidRPr="003A20A4" w:rsidRDefault="008B4CE7" w:rsidP="008B4CE7">
      <w:pPr>
        <w:rPr>
          <w:szCs w:val="24"/>
        </w:rPr>
      </w:pPr>
      <w:r w:rsidRPr="003A20A4">
        <w:rPr>
          <w:szCs w:val="24"/>
        </w:rPr>
        <w:t>To reach the Delta Vision and realize the Delta Goals throughout Bangladesh, requires both national planning and regional tailoring, because different parts of the country (the hotspots) have their own characteristics. Therefore preferred strategies have been developed for two national issues (Freshwater and Floods) and for six hotspots (Major Rivers and Adjoining Areas, Coastal Zone, Urban Areas, Barind and Drought Prone Areas, Chittagong Hill Tracts and Coast and Haor and Flash Flood Areas). The preferred strategy acts as a guide for implementing projects to warrant long-term safety and prosperity in Bangladesh. Key principles are: adaptive, added value, robust, no-regret and integrated.</w:t>
      </w:r>
    </w:p>
    <w:p w:rsidR="008B4CE7" w:rsidRPr="003A20A4" w:rsidRDefault="008B4CE7" w:rsidP="008B4CE7">
      <w:pPr>
        <w:pStyle w:val="Heading4"/>
      </w:pPr>
      <w:bookmarkStart w:id="393" w:name="_Ref453263314"/>
      <w:bookmarkStart w:id="394" w:name="_Toc460626766"/>
      <w:bookmarkStart w:id="395" w:name="_Toc463361076"/>
      <w:r w:rsidRPr="003A20A4">
        <w:t>Basic Principles for the Preferred Strategy</w:t>
      </w:r>
      <w:bookmarkEnd w:id="393"/>
      <w:bookmarkEnd w:id="394"/>
      <w:bookmarkEnd w:id="395"/>
    </w:p>
    <w:p w:rsidR="008B4CE7" w:rsidRPr="003A20A4" w:rsidRDefault="008B4CE7" w:rsidP="008B4CE7">
      <w:pPr>
        <w:rPr>
          <w:szCs w:val="24"/>
        </w:rPr>
      </w:pPr>
      <w:r w:rsidRPr="003A20A4">
        <w:rPr>
          <w:szCs w:val="24"/>
        </w:rPr>
        <w:t>In order to achieve the formulated goals under the Delta Plan, principles were identified that the preferred strategy should meet. The principles are:</w:t>
      </w:r>
    </w:p>
    <w:p w:rsidR="00000000" w:rsidRDefault="008B4CE7" w:rsidP="003D5A31">
      <w:pPr>
        <w:pStyle w:val="ListParagraph"/>
        <w:numPr>
          <w:ilvl w:val="0"/>
          <w:numId w:val="258"/>
        </w:numPr>
        <w:spacing w:before="120" w:after="120" w:line="276" w:lineRule="auto"/>
        <w:jc w:val="both"/>
        <w:rPr>
          <w:szCs w:val="24"/>
        </w:rPr>
      </w:pPr>
      <w:r w:rsidRPr="003A20A4">
        <w:rPr>
          <w:szCs w:val="24"/>
        </w:rPr>
        <w:t xml:space="preserve">The strategies should be </w:t>
      </w:r>
      <w:r w:rsidRPr="003A20A4">
        <w:rPr>
          <w:i/>
          <w:szCs w:val="24"/>
        </w:rPr>
        <w:t>flexible</w:t>
      </w:r>
      <w:r w:rsidRPr="003A20A4">
        <w:rPr>
          <w:szCs w:val="24"/>
        </w:rPr>
        <w:t xml:space="preserve"> in their implementation to cope with unforeseen events and new information becoming available.</w:t>
      </w:r>
    </w:p>
    <w:p w:rsidR="00000000" w:rsidRDefault="008B4CE7" w:rsidP="003D5A31">
      <w:pPr>
        <w:pStyle w:val="ListParagraph"/>
        <w:numPr>
          <w:ilvl w:val="0"/>
          <w:numId w:val="258"/>
        </w:numPr>
        <w:spacing w:before="120" w:after="120" w:line="276" w:lineRule="auto"/>
        <w:jc w:val="both"/>
        <w:rPr>
          <w:szCs w:val="24"/>
        </w:rPr>
      </w:pPr>
      <w:r w:rsidRPr="003A20A4">
        <w:rPr>
          <w:szCs w:val="24"/>
        </w:rPr>
        <w:lastRenderedPageBreak/>
        <w:t xml:space="preserve">The strategies should be </w:t>
      </w:r>
      <w:r w:rsidRPr="003A20A4">
        <w:rPr>
          <w:i/>
          <w:szCs w:val="24"/>
        </w:rPr>
        <w:t>adaptive</w:t>
      </w:r>
      <w:r w:rsidRPr="003A20A4">
        <w:rPr>
          <w:szCs w:val="24"/>
        </w:rPr>
        <w:t xml:space="preserve"> in the sense that they can be reviewed and updated in the Five Year Plans, based on the situation and development need.</w:t>
      </w:r>
    </w:p>
    <w:p w:rsidR="00000000" w:rsidRDefault="008B4CE7" w:rsidP="003D5A31">
      <w:pPr>
        <w:pStyle w:val="ListParagraph"/>
        <w:numPr>
          <w:ilvl w:val="0"/>
          <w:numId w:val="258"/>
        </w:numPr>
        <w:spacing w:before="120" w:after="120" w:line="276" w:lineRule="auto"/>
        <w:jc w:val="both"/>
        <w:rPr>
          <w:szCs w:val="24"/>
        </w:rPr>
      </w:pPr>
      <w:r w:rsidRPr="003A20A4">
        <w:rPr>
          <w:szCs w:val="24"/>
        </w:rPr>
        <w:t xml:space="preserve">Projects that are part of the strategies should aim to be </w:t>
      </w:r>
      <w:r w:rsidRPr="003A20A4">
        <w:rPr>
          <w:i/>
          <w:szCs w:val="24"/>
        </w:rPr>
        <w:t>'no regret'</w:t>
      </w:r>
      <w:r w:rsidRPr="003A20A4">
        <w:rPr>
          <w:szCs w:val="24"/>
        </w:rPr>
        <w:t xml:space="preserve"> projects in a sense of cost effectiveness, overall benefit and flexibility.</w:t>
      </w:r>
    </w:p>
    <w:p w:rsidR="00000000" w:rsidRDefault="008B4CE7" w:rsidP="003D5A31">
      <w:pPr>
        <w:pStyle w:val="ListParagraph"/>
        <w:numPr>
          <w:ilvl w:val="0"/>
          <w:numId w:val="258"/>
        </w:numPr>
        <w:spacing w:before="120" w:after="120" w:line="276" w:lineRule="auto"/>
        <w:jc w:val="both"/>
        <w:rPr>
          <w:szCs w:val="24"/>
        </w:rPr>
      </w:pPr>
      <w:r w:rsidRPr="003A20A4">
        <w:rPr>
          <w:szCs w:val="24"/>
        </w:rPr>
        <w:t xml:space="preserve">Implementation of strategies should be </w:t>
      </w:r>
      <w:r w:rsidRPr="003A20A4">
        <w:rPr>
          <w:i/>
          <w:szCs w:val="24"/>
        </w:rPr>
        <w:t>integrated</w:t>
      </w:r>
      <w:r w:rsidRPr="003A20A4">
        <w:rPr>
          <w:szCs w:val="24"/>
        </w:rPr>
        <w:t xml:space="preserve"> in a sense that, all relevant stakeholders will be involved in the implementation process and that the implementation builds on advanced information technology, strengthening institutional capacity and innovative solutions.</w:t>
      </w:r>
    </w:p>
    <w:p w:rsidR="00000000" w:rsidRDefault="008B4CE7" w:rsidP="003D5A31">
      <w:pPr>
        <w:pStyle w:val="ListParagraph"/>
        <w:numPr>
          <w:ilvl w:val="0"/>
          <w:numId w:val="258"/>
        </w:numPr>
        <w:spacing w:before="120" w:after="120" w:line="276" w:lineRule="auto"/>
        <w:jc w:val="both"/>
        <w:rPr>
          <w:szCs w:val="24"/>
        </w:rPr>
      </w:pPr>
      <w:r w:rsidRPr="003A20A4">
        <w:rPr>
          <w:szCs w:val="24"/>
        </w:rPr>
        <w:t xml:space="preserve">Prioritization to </w:t>
      </w:r>
      <w:r w:rsidRPr="003A20A4">
        <w:rPr>
          <w:i/>
          <w:szCs w:val="24"/>
        </w:rPr>
        <w:t>security</w:t>
      </w:r>
      <w:r w:rsidRPr="003A20A4">
        <w:rPr>
          <w:szCs w:val="24"/>
        </w:rPr>
        <w:t xml:space="preserve"> over economic growth, which means those projects will be implemented first that ensure attaining the food and water securities as well as safety against climate change and natural disaster. These short term projects are specifically nominated for the Investment Plan (See Chapter 15: Investment Planning and Implementation Strategy). Depending on the developments needs as per the scenarios and the availability of resources, projects for economic growth will be postponed and implemented </w:t>
      </w:r>
      <w:r w:rsidRPr="003A20A4">
        <w:rPr>
          <w:i/>
          <w:szCs w:val="24"/>
        </w:rPr>
        <w:t>after</w:t>
      </w:r>
      <w:r w:rsidRPr="003A20A4">
        <w:rPr>
          <w:szCs w:val="24"/>
        </w:rPr>
        <w:t xml:space="preserve"> assuring water and food security and safety against climate change.</w:t>
      </w:r>
    </w:p>
    <w:p w:rsidR="008B4CE7" w:rsidRPr="003A20A4" w:rsidRDefault="008B4CE7" w:rsidP="008B4CE7">
      <w:pPr>
        <w:rPr>
          <w:szCs w:val="24"/>
        </w:rPr>
      </w:pPr>
      <w:r w:rsidRPr="003A20A4">
        <w:rPr>
          <w:szCs w:val="24"/>
        </w:rPr>
        <w:t>To warrant flexibility and adaptivity of the strategies, the time frame of the preferred strategy for the Delta plan is divided into three periods: short, medium and long term:</w:t>
      </w:r>
    </w:p>
    <w:p w:rsidR="00000000" w:rsidRDefault="008B4CE7" w:rsidP="003D5A31">
      <w:pPr>
        <w:pStyle w:val="ListParagraph"/>
        <w:numPr>
          <w:ilvl w:val="0"/>
          <w:numId w:val="259"/>
        </w:numPr>
        <w:spacing w:before="120" w:after="120" w:line="276" w:lineRule="auto"/>
        <w:jc w:val="both"/>
        <w:rPr>
          <w:szCs w:val="24"/>
        </w:rPr>
      </w:pPr>
      <w:r w:rsidRPr="003A20A4">
        <w:rPr>
          <w:szCs w:val="24"/>
        </w:rPr>
        <w:t xml:space="preserve">Short term (up to 2030): The projects for the time period of up to 2030 are called “short term” as these projects are based on the assessment of the present and near future needs and development targets. The aim of these projects is to ensure food and water security and fortify the foundation of becoming a middle income country by 2021. </w:t>
      </w:r>
    </w:p>
    <w:p w:rsidR="00000000" w:rsidRDefault="008B4CE7" w:rsidP="003D5A31">
      <w:pPr>
        <w:pStyle w:val="ListParagraph"/>
        <w:numPr>
          <w:ilvl w:val="0"/>
          <w:numId w:val="259"/>
        </w:numPr>
        <w:spacing w:before="120" w:after="120" w:line="276" w:lineRule="auto"/>
        <w:jc w:val="both"/>
        <w:rPr>
          <w:szCs w:val="24"/>
        </w:rPr>
      </w:pPr>
      <w:r w:rsidRPr="003A20A4">
        <w:rPr>
          <w:szCs w:val="24"/>
        </w:rPr>
        <w:t>Medium term (2030-2050): The sub-strategies for this timeframe are “indicative strategies” based on the country’s growth target and plausible scenarios. The sub-strategies with an in-built milestone of 2041 will be implemented through four consecutive Five Year Plans starting from 2031 and would be adaptive and more flexible in the sense that they will be reviewed and updated in every Five Year Plan based on the situation and development need. Connections need to be made with the SDGs and the upcoming Perspective Plan 2041. It is expected that the implementation of these strategies will help the country in achieving the target of becoming a developed country by 2041.</w:t>
      </w:r>
    </w:p>
    <w:p w:rsidR="00000000" w:rsidRDefault="008B4CE7" w:rsidP="003D5A31">
      <w:pPr>
        <w:pStyle w:val="ListParagraph"/>
        <w:numPr>
          <w:ilvl w:val="0"/>
          <w:numId w:val="259"/>
        </w:numPr>
        <w:spacing w:before="120" w:after="120" w:line="276" w:lineRule="auto"/>
        <w:jc w:val="both"/>
        <w:rPr>
          <w:szCs w:val="24"/>
        </w:rPr>
      </w:pPr>
      <w:r w:rsidRPr="003A20A4">
        <w:rPr>
          <w:szCs w:val="24"/>
        </w:rPr>
        <w:t>Long term (2050-2100): For the timeframe 2050 to 2100 long-term projections of what is already ongoing and foreseen as well as “visionary” ideas are proposed which give direction to future strategy making. Given the uncertainty in environment and development, implementation will depend on the unfolding future scenario(s).</w:t>
      </w:r>
    </w:p>
    <w:p w:rsidR="008B4CE7" w:rsidRPr="003A20A4" w:rsidRDefault="008B4CE7" w:rsidP="008B4CE7">
      <w:pPr>
        <w:rPr>
          <w:szCs w:val="24"/>
        </w:rPr>
      </w:pPr>
      <w:r w:rsidRPr="003A20A4">
        <w:rPr>
          <w:szCs w:val="24"/>
        </w:rPr>
        <w:t xml:space="preserve">Two noteworthy sub-milestones will be 2021 and 2041, in support of the country’s vision of becoming middle income country and developed country. This will ensure coherence with the vision 2021 and vision 2041 of GoB. </w:t>
      </w:r>
      <w:fldSimple w:instr=" REF _Ref443480502  \* MERGEFORMAT ">
        <w:r w:rsidRPr="003A20A4">
          <w:rPr>
            <w:b/>
            <w:szCs w:val="24"/>
          </w:rPr>
          <w:t xml:space="preserve">Figure </w:t>
        </w:r>
        <w:r w:rsidRPr="003A20A4">
          <w:rPr>
            <w:b/>
            <w:noProof/>
            <w:szCs w:val="24"/>
          </w:rPr>
          <w:t>5.3</w:t>
        </w:r>
      </w:fldSimple>
      <w:r w:rsidRPr="003A20A4">
        <w:rPr>
          <w:szCs w:val="24"/>
        </w:rPr>
        <w:t xml:space="preserve"> shows the BDP 2100 strategies with respect to its temporal dimension.</w:t>
      </w:r>
    </w:p>
    <w:p w:rsidR="008B4CE7" w:rsidRPr="003A20A4" w:rsidRDefault="008B4CE7" w:rsidP="008B4CE7">
      <w:pPr>
        <w:jc w:val="center"/>
        <w:rPr>
          <w:szCs w:val="24"/>
        </w:rPr>
      </w:pPr>
      <w:r w:rsidRPr="003A20A4">
        <w:rPr>
          <w:noProof/>
          <w:szCs w:val="24"/>
          <w:lang w:val="en-AU" w:eastAsia="en-AU" w:bidi="bn-BD"/>
        </w:rPr>
        <w:lastRenderedPageBreak/>
        <w:drawing>
          <wp:inline distT="0" distB="0" distL="0" distR="0">
            <wp:extent cx="5199797" cy="2306471"/>
            <wp:effectExtent l="0" t="0" r="0" b="0"/>
            <wp:docPr id="172"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5"/>
                    <pic:cNvPicPr>
                      <a:picLocks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76" t="-2597" r="-1695" b="935"/>
                    <a:stretch>
                      <a:fillRect/>
                    </a:stretch>
                  </pic:blipFill>
                  <pic:spPr bwMode="auto">
                    <a:xfrm>
                      <a:off x="0" y="0"/>
                      <a:ext cx="5215128" cy="2313271"/>
                    </a:xfrm>
                    <a:prstGeom prst="rect">
                      <a:avLst/>
                    </a:prstGeom>
                    <a:noFill/>
                    <a:ln>
                      <a:noFill/>
                    </a:ln>
                  </pic:spPr>
                </pic:pic>
              </a:graphicData>
            </a:graphic>
          </wp:inline>
        </w:drawing>
      </w:r>
    </w:p>
    <w:p w:rsidR="008B4CE7" w:rsidRPr="003A20A4" w:rsidRDefault="008B4CE7" w:rsidP="008B4CE7">
      <w:pPr>
        <w:pStyle w:val="Caption"/>
        <w:rPr>
          <w:color w:val="auto"/>
          <w:sz w:val="24"/>
          <w:szCs w:val="24"/>
        </w:rPr>
      </w:pPr>
      <w:bookmarkStart w:id="396" w:name="_Ref443480502"/>
      <w:bookmarkStart w:id="397" w:name="_Toc463355125"/>
      <w:bookmarkStart w:id="398" w:name="_Toc463514988"/>
      <w:bookmarkStart w:id="399" w:name="_Toc464642728"/>
      <w:bookmarkStart w:id="400" w:name="_Toc465174793"/>
      <w:r w:rsidRPr="003A20A4">
        <w:rPr>
          <w:color w:val="auto"/>
          <w:sz w:val="24"/>
          <w:szCs w:val="24"/>
        </w:rPr>
        <w:t xml:space="preserve">Figure </w:t>
      </w:r>
      <w:r w:rsidR="001A12B2" w:rsidRPr="003A20A4">
        <w:rPr>
          <w:color w:val="auto"/>
          <w:sz w:val="24"/>
          <w:szCs w:val="24"/>
        </w:rPr>
        <w:fldChar w:fldCharType="begin"/>
      </w:r>
      <w:r w:rsidRPr="003A20A4">
        <w:rPr>
          <w:color w:val="auto"/>
          <w:sz w:val="24"/>
          <w:szCs w:val="24"/>
        </w:rPr>
        <w:instrText xml:space="preserve"> STYLEREF 1 \s </w:instrText>
      </w:r>
      <w:r w:rsidR="001A12B2" w:rsidRPr="003A20A4">
        <w:rPr>
          <w:color w:val="auto"/>
          <w:sz w:val="24"/>
          <w:szCs w:val="24"/>
        </w:rPr>
        <w:fldChar w:fldCharType="separate"/>
      </w:r>
      <w:r w:rsidRPr="003A20A4">
        <w:rPr>
          <w:noProof/>
          <w:color w:val="auto"/>
          <w:sz w:val="24"/>
          <w:szCs w:val="24"/>
        </w:rPr>
        <w:t>5</w:t>
      </w:r>
      <w:r w:rsidR="001A12B2" w:rsidRPr="003A20A4">
        <w:rPr>
          <w:color w:val="auto"/>
          <w:sz w:val="24"/>
          <w:szCs w:val="24"/>
        </w:rPr>
        <w:fldChar w:fldCharType="end"/>
      </w:r>
      <w:r w:rsidRPr="003A20A4">
        <w:rPr>
          <w:color w:val="auto"/>
          <w:sz w:val="24"/>
          <w:szCs w:val="24"/>
        </w:rPr>
        <w:t>.</w:t>
      </w:r>
      <w:r w:rsidR="001A12B2" w:rsidRPr="003A20A4">
        <w:rPr>
          <w:color w:val="auto"/>
          <w:sz w:val="24"/>
          <w:szCs w:val="24"/>
        </w:rPr>
        <w:fldChar w:fldCharType="begin"/>
      </w:r>
      <w:r w:rsidRPr="003A20A4">
        <w:rPr>
          <w:color w:val="auto"/>
          <w:sz w:val="24"/>
          <w:szCs w:val="24"/>
        </w:rPr>
        <w:instrText xml:space="preserve"> SEQ Figure \* ARABIC \s 1 </w:instrText>
      </w:r>
      <w:r w:rsidR="001A12B2" w:rsidRPr="003A20A4">
        <w:rPr>
          <w:color w:val="auto"/>
          <w:sz w:val="24"/>
          <w:szCs w:val="24"/>
        </w:rPr>
        <w:fldChar w:fldCharType="separate"/>
      </w:r>
      <w:r w:rsidRPr="003A20A4">
        <w:rPr>
          <w:noProof/>
          <w:color w:val="auto"/>
          <w:sz w:val="24"/>
          <w:szCs w:val="24"/>
        </w:rPr>
        <w:t>3</w:t>
      </w:r>
      <w:r w:rsidR="001A12B2" w:rsidRPr="003A20A4">
        <w:rPr>
          <w:color w:val="auto"/>
          <w:sz w:val="24"/>
          <w:szCs w:val="24"/>
        </w:rPr>
        <w:fldChar w:fldCharType="end"/>
      </w:r>
      <w:bookmarkEnd w:id="396"/>
      <w:r w:rsidRPr="003A20A4">
        <w:rPr>
          <w:color w:val="auto"/>
          <w:sz w:val="24"/>
          <w:szCs w:val="24"/>
        </w:rPr>
        <w:t>: Temporal domain of BDP 2100 strategies</w:t>
      </w:r>
      <w:bookmarkEnd w:id="397"/>
      <w:bookmarkEnd w:id="398"/>
      <w:bookmarkEnd w:id="399"/>
      <w:bookmarkEnd w:id="400"/>
    </w:p>
    <w:p w:rsidR="008B4CE7" w:rsidRPr="003A20A4" w:rsidRDefault="008B4CE7" w:rsidP="008B4CE7">
      <w:pPr>
        <w:rPr>
          <w:szCs w:val="24"/>
        </w:rPr>
      </w:pPr>
      <w:r w:rsidRPr="003A20A4">
        <w:rPr>
          <w:szCs w:val="24"/>
        </w:rPr>
        <w:t xml:space="preserve">Finally, the preferred strategy has three levels of detail: Preferred strategy, sub-strategy and projects. A preferred strategy consists of sub-strategies, which in turn consist of projects necessary to realise and implement the sub-strategy. Based on the strategies and sub-strategies Investment Plan has been formulated. </w:t>
      </w:r>
    </w:p>
    <w:p w:rsidR="008B4CE7" w:rsidRPr="003A20A4" w:rsidRDefault="008B4CE7" w:rsidP="008B4CE7">
      <w:pPr>
        <w:pStyle w:val="Heading4"/>
      </w:pPr>
      <w:bookmarkStart w:id="401" w:name="_MON_1527874556"/>
      <w:bookmarkStart w:id="402" w:name="_MON_1528581749"/>
      <w:bookmarkStart w:id="403" w:name="_MON_1528751937"/>
      <w:bookmarkStart w:id="404" w:name="_MON_1534368626"/>
      <w:bookmarkStart w:id="405" w:name="_MON_1527874071"/>
      <w:bookmarkStart w:id="406" w:name="_MON_1527874427"/>
      <w:bookmarkStart w:id="407" w:name="_MON_1527874450"/>
      <w:bookmarkStart w:id="408" w:name="_MON_1527874454"/>
      <w:bookmarkStart w:id="409" w:name="_MON_1527874552"/>
      <w:bookmarkStart w:id="410" w:name="_Toc460428898"/>
      <w:bookmarkStart w:id="411" w:name="_Toc460430367"/>
      <w:bookmarkStart w:id="412" w:name="_Toc460428899"/>
      <w:bookmarkStart w:id="413" w:name="_Toc460430368"/>
      <w:bookmarkStart w:id="414" w:name="_Toc460428900"/>
      <w:bookmarkStart w:id="415" w:name="_Toc460430369"/>
      <w:bookmarkStart w:id="416" w:name="_Toc460428903"/>
      <w:bookmarkStart w:id="417" w:name="_Toc460430372"/>
      <w:bookmarkStart w:id="418" w:name="_Ref453263359"/>
      <w:bookmarkStart w:id="419" w:name="_Toc460626767"/>
      <w:bookmarkStart w:id="420" w:name="_Toc463361077"/>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r w:rsidRPr="003A20A4">
        <w:t>Preferred Strategy</w:t>
      </w:r>
      <w:bookmarkEnd w:id="418"/>
      <w:bookmarkEnd w:id="419"/>
      <w:bookmarkEnd w:id="420"/>
    </w:p>
    <w:p w:rsidR="008B4CE7" w:rsidRPr="003A20A4" w:rsidRDefault="008B4CE7" w:rsidP="008B4CE7">
      <w:pPr>
        <w:rPr>
          <w:szCs w:val="24"/>
        </w:rPr>
      </w:pPr>
      <w:r w:rsidRPr="003A20A4">
        <w:rPr>
          <w:szCs w:val="24"/>
        </w:rPr>
        <w:t xml:space="preserve">In the approach of the Delta Plan, strategy development not only focuses on </w:t>
      </w:r>
      <w:r w:rsidRPr="003A20A4">
        <w:rPr>
          <w:i/>
          <w:szCs w:val="24"/>
        </w:rPr>
        <w:t>solving the issues of today, projected into the future</w:t>
      </w:r>
      <w:r w:rsidRPr="003A20A4">
        <w:rPr>
          <w:szCs w:val="24"/>
        </w:rPr>
        <w:t xml:space="preserve">, but also with an </w:t>
      </w:r>
      <w:r w:rsidRPr="003A20A4">
        <w:rPr>
          <w:i/>
          <w:szCs w:val="24"/>
        </w:rPr>
        <w:t>end vision in mind and back casting towards the present</w:t>
      </w:r>
      <w:r w:rsidRPr="003A20A4">
        <w:rPr>
          <w:szCs w:val="24"/>
        </w:rPr>
        <w:t xml:space="preserve">. This is then matched with the issues faced today, amalgamating the two into a </w:t>
      </w:r>
      <w:r w:rsidRPr="003A20A4">
        <w:rPr>
          <w:i/>
          <w:szCs w:val="24"/>
        </w:rPr>
        <w:t>preferred strategy</w:t>
      </w:r>
      <w:r w:rsidRPr="003A20A4">
        <w:rPr>
          <w:szCs w:val="24"/>
        </w:rPr>
        <w:t>. This section offers the essence of the preferred strategy. As the Delta Plan is a spatial plan, differentiated for hotspot regions in Bangladesh, the preferred strategy is summarized in text and in a series of maps, which cover respectively:</w:t>
      </w:r>
    </w:p>
    <w:p w:rsidR="00000000" w:rsidRDefault="008B4CE7" w:rsidP="003D5A31">
      <w:pPr>
        <w:pStyle w:val="ListParagraph"/>
        <w:numPr>
          <w:ilvl w:val="0"/>
          <w:numId w:val="257"/>
        </w:numPr>
        <w:spacing w:after="40" w:line="276" w:lineRule="auto"/>
        <w:jc w:val="both"/>
        <w:rPr>
          <w:szCs w:val="24"/>
        </w:rPr>
      </w:pPr>
      <w:r w:rsidRPr="003A20A4">
        <w:rPr>
          <w:szCs w:val="24"/>
        </w:rPr>
        <w:t>The Starting point for the preferred strategy: the current situation + the short term secured projects</w:t>
      </w:r>
    </w:p>
    <w:p w:rsidR="00000000" w:rsidRDefault="008B4CE7" w:rsidP="003D5A31">
      <w:pPr>
        <w:pStyle w:val="ListParagraph"/>
        <w:numPr>
          <w:ilvl w:val="0"/>
          <w:numId w:val="257"/>
        </w:numPr>
        <w:spacing w:after="40" w:line="276" w:lineRule="auto"/>
        <w:jc w:val="both"/>
        <w:rPr>
          <w:szCs w:val="24"/>
        </w:rPr>
      </w:pPr>
      <w:r w:rsidRPr="003A20A4">
        <w:rPr>
          <w:szCs w:val="24"/>
        </w:rPr>
        <w:t>The short term strategy (2030), in which the preferred strategy is illustrated by projects selected to reach the Delta Goals</w:t>
      </w:r>
    </w:p>
    <w:p w:rsidR="00000000" w:rsidRDefault="008B4CE7" w:rsidP="003D5A31">
      <w:pPr>
        <w:pStyle w:val="ListParagraph"/>
        <w:numPr>
          <w:ilvl w:val="0"/>
          <w:numId w:val="257"/>
        </w:numPr>
        <w:spacing w:after="40" w:line="276" w:lineRule="auto"/>
        <w:jc w:val="both"/>
        <w:rPr>
          <w:szCs w:val="24"/>
        </w:rPr>
      </w:pPr>
      <w:r w:rsidRPr="003A20A4">
        <w:rPr>
          <w:szCs w:val="24"/>
        </w:rPr>
        <w:t xml:space="preserve">The long-term strategy (2100), visualized by two iconic endpoints of adaptation pathways: optimized water control, and adaptation by design. </w:t>
      </w:r>
    </w:p>
    <w:p w:rsidR="008B4CE7" w:rsidRPr="003A20A4" w:rsidRDefault="008B4CE7" w:rsidP="008B4CE7">
      <w:pPr>
        <w:pStyle w:val="Heading3"/>
        <w:tabs>
          <w:tab w:val="num" w:pos="720"/>
        </w:tabs>
        <w:spacing w:before="120" w:after="120"/>
        <w:ind w:left="0" w:firstLine="0"/>
      </w:pPr>
      <w:r w:rsidRPr="003A20A4">
        <w:t>Adaptive Pathways</w:t>
      </w:r>
    </w:p>
    <w:p w:rsidR="008B4CE7" w:rsidRPr="003A20A4" w:rsidRDefault="008B4CE7" w:rsidP="008B4CE7">
      <w:pPr>
        <w:rPr>
          <w:szCs w:val="24"/>
        </w:rPr>
      </w:pPr>
      <w:r w:rsidRPr="003A20A4">
        <w:rPr>
          <w:rFonts w:cs="Segoe UI"/>
          <w:szCs w:val="24"/>
        </w:rPr>
        <w:t xml:space="preserve">Where uncertainty is important, adaptation or strategic pathways help for understanding, scheduling measures and developing optimal combinations of measures to meet the policy goals. The Delta scenarios do not predict one single future; rather they describe different plausible stories of possible future developments. The scenarios have been developed to identify bottlenecks arising out of uncertain future developments and represent ‘extreme edges’ of possible outcomes. Measures that are affected strongly in terms of their effectiveness by external conditions (climate, economic development, technology – innovation) may require further </w:t>
      </w:r>
      <w:r w:rsidRPr="003A20A4">
        <w:rPr>
          <w:rFonts w:cs="Segoe UI"/>
          <w:szCs w:val="24"/>
        </w:rPr>
        <w:lastRenderedPageBreak/>
        <w:t>studies or can be delayed until actual conditions become apparent. Other measures, such as e.g.,</w:t>
      </w:r>
      <w:r w:rsidRPr="003A20A4">
        <w:rPr>
          <w:szCs w:val="24"/>
        </w:rPr>
        <w:t xml:space="preserve"> improved provision of safe drinking water and wastewater treatment for large urban centers</w:t>
      </w:r>
      <w:r w:rsidRPr="003A20A4">
        <w:rPr>
          <w:rFonts w:cs="Segoe UI"/>
          <w:szCs w:val="24"/>
        </w:rPr>
        <w:t xml:space="preserve"> increasing conveyance capacity of small, medium and large rivers and rationalization of embankment along the rivers are considered basic measures which can and should be taken dependent of each scenario. Logically, the degree of uncertainty is very high for the timeframe beyond, moderate to high between 2030 and 2050 and moderate up to 2030. As can be observed from the scenario development, climate change is but one of the uncertainties, with socio-economic and upstream developments playing a significant role as well. </w:t>
      </w:r>
      <w:r w:rsidRPr="003A20A4">
        <w:rPr>
          <w:szCs w:val="24"/>
        </w:rPr>
        <w:t>The pathways are used to operationalize adaptive delta management (ADM) (Delta Program, 2012a): ‘</w:t>
      </w:r>
      <w:r w:rsidRPr="003A20A4">
        <w:rPr>
          <w:i/>
          <w:szCs w:val="24"/>
        </w:rPr>
        <w:t>Development pathways or adaptation pathways offer a strong approach to show which options are needed, when they should be implemented and how long-term objectives influence short-term decisions</w:t>
      </w:r>
      <w:r w:rsidRPr="003A20A4">
        <w:rPr>
          <w:szCs w:val="24"/>
        </w:rPr>
        <w:t xml:space="preserve">’. </w:t>
      </w:r>
      <w:r w:rsidRPr="003A20A4">
        <w:rPr>
          <w:rFonts w:cs="Segoe UI"/>
          <w:szCs w:val="24"/>
        </w:rPr>
        <w:t>A</w:t>
      </w:r>
      <w:r w:rsidRPr="003A20A4">
        <w:rPr>
          <w:szCs w:val="24"/>
        </w:rPr>
        <w:t xml:space="preserve">daptation pathways are formulated in Chapter 6 showing tipping points, dead ends and ‘transfer stations’. Which pathway to follow depends on several factors, such as the cost of a strategy or action, but also the cost of shifting to another strategy once a tipping point has been reached. </w:t>
      </w:r>
    </w:p>
    <w:p w:rsidR="008B4CE7" w:rsidRPr="003A20A4" w:rsidRDefault="008B4CE7" w:rsidP="008B4CE7">
      <w:pPr>
        <w:pStyle w:val="Heading3"/>
        <w:tabs>
          <w:tab w:val="num" w:pos="720"/>
        </w:tabs>
        <w:spacing w:before="120" w:after="120"/>
        <w:ind w:left="0" w:firstLine="0"/>
      </w:pPr>
      <w:r w:rsidRPr="003A20A4">
        <w:t>Intervention for long-term</w:t>
      </w:r>
    </w:p>
    <w:p w:rsidR="008B4CE7" w:rsidRPr="003A20A4" w:rsidRDefault="008B4CE7" w:rsidP="008B4CE7">
      <w:pPr>
        <w:rPr>
          <w:rFonts w:cs="Segoe UI"/>
          <w:szCs w:val="24"/>
        </w:rPr>
      </w:pPr>
      <w:r w:rsidRPr="003A20A4">
        <w:rPr>
          <w:rFonts w:cs="Segoe UI"/>
          <w:szCs w:val="24"/>
        </w:rPr>
        <w:t xml:space="preserve">The long term perspective is shaped by elaborating two </w:t>
      </w:r>
      <w:r w:rsidRPr="003A20A4">
        <w:rPr>
          <w:rFonts w:cs="Segoe UI"/>
          <w:i/>
          <w:szCs w:val="24"/>
        </w:rPr>
        <w:t>potential long term strategies</w:t>
      </w:r>
      <w:r w:rsidRPr="003A20A4">
        <w:rPr>
          <w:rFonts w:cs="Segoe UI"/>
          <w:szCs w:val="24"/>
        </w:rPr>
        <w:t xml:space="preserve"> or </w:t>
      </w:r>
      <w:r w:rsidRPr="003A20A4">
        <w:rPr>
          <w:rFonts w:cs="Segoe UI"/>
          <w:i/>
          <w:szCs w:val="24"/>
        </w:rPr>
        <w:t xml:space="preserve">development philosophies. </w:t>
      </w:r>
      <w:r w:rsidRPr="003A20A4">
        <w:rPr>
          <w:rFonts w:cs="Segoe UI"/>
          <w:szCs w:val="24"/>
        </w:rPr>
        <w:t>The two long term potential strategies are called Engineered</w:t>
      </w:r>
      <w:r w:rsidRPr="003A20A4">
        <w:rPr>
          <w:rFonts w:cs="Segoe UI"/>
          <w:i/>
          <w:szCs w:val="24"/>
        </w:rPr>
        <w:t xml:space="preserve"> Water Control</w:t>
      </w:r>
      <w:r w:rsidRPr="003A20A4">
        <w:rPr>
          <w:rFonts w:cs="Segoe UI"/>
          <w:szCs w:val="24"/>
        </w:rPr>
        <w:t xml:space="preserve"> or </w:t>
      </w:r>
      <w:r w:rsidRPr="003A20A4">
        <w:rPr>
          <w:rFonts w:cs="Segoe UI"/>
          <w:i/>
          <w:szCs w:val="24"/>
        </w:rPr>
        <w:t>Banyan</w:t>
      </w:r>
      <w:r w:rsidRPr="003A20A4">
        <w:rPr>
          <w:rFonts w:cs="Segoe UI"/>
          <w:szCs w:val="24"/>
        </w:rPr>
        <w:t xml:space="preserve"> </w:t>
      </w:r>
      <w:r w:rsidRPr="003A20A4">
        <w:rPr>
          <w:rFonts w:cs="Segoe UI"/>
          <w:i/>
          <w:szCs w:val="24"/>
        </w:rPr>
        <w:t>and Adaptation by Design</w:t>
      </w:r>
      <w:r w:rsidRPr="003A20A4">
        <w:rPr>
          <w:rFonts w:cs="Segoe UI"/>
          <w:szCs w:val="24"/>
        </w:rPr>
        <w:t xml:space="preserve"> or </w:t>
      </w:r>
      <w:r w:rsidRPr="003A20A4">
        <w:rPr>
          <w:rFonts w:cs="Segoe UI"/>
          <w:i/>
          <w:szCs w:val="24"/>
        </w:rPr>
        <w:t>Shapla</w:t>
      </w:r>
      <w:r w:rsidRPr="003A20A4">
        <w:rPr>
          <w:rFonts w:cs="Segoe UI"/>
          <w:szCs w:val="24"/>
        </w:rPr>
        <w:t xml:space="preserve">. Both visions and associated strategies will never be implemented in their entirety. Each region will have a different mix and over time, when the water system has been developed to a sufficient extent, the vision will change, along with societal values and economic development. The two philosophies should therefore be seen as cornerstones. </w:t>
      </w:r>
    </w:p>
    <w:p w:rsidR="008B4CE7" w:rsidRPr="003A20A4" w:rsidRDefault="008B4CE7" w:rsidP="008B4CE7">
      <w:pPr>
        <w:keepNext/>
        <w:spacing w:line="240" w:lineRule="auto"/>
        <w:rPr>
          <w:szCs w:val="24"/>
        </w:rPr>
      </w:pPr>
      <w:r w:rsidRPr="003A20A4">
        <w:rPr>
          <w:szCs w:val="24"/>
        </w:rPr>
        <w:object w:dxaOrig="12372" w:dyaOrig="1091">
          <v:shape id="_x0000_i1029" type="#_x0000_t75" style="width:468.5pt;height:43.6pt" o:ole="">
            <v:imagedata r:id="rId91" o:title=""/>
          </v:shape>
          <o:OLEObject Type="Embed" ProgID="Visio.Drawing.11" ShapeID="_x0000_i1029" DrawAspect="Content" ObjectID="_1554219123" r:id="rId92"/>
        </w:object>
      </w:r>
    </w:p>
    <w:p w:rsidR="008B4CE7" w:rsidRPr="003A20A4" w:rsidRDefault="008B4CE7" w:rsidP="008B4CE7">
      <w:pPr>
        <w:pStyle w:val="Caption"/>
        <w:rPr>
          <w:color w:val="auto"/>
          <w:sz w:val="24"/>
          <w:szCs w:val="24"/>
        </w:rPr>
      </w:pPr>
      <w:bookmarkStart w:id="421" w:name="_Toc465593964"/>
      <w:r w:rsidRPr="003A20A4">
        <w:rPr>
          <w:color w:val="auto"/>
          <w:sz w:val="24"/>
          <w:szCs w:val="24"/>
        </w:rPr>
        <w:t xml:space="preserve">Figure </w:t>
      </w:r>
      <w:r w:rsidR="001A12B2" w:rsidRPr="003A20A4">
        <w:rPr>
          <w:color w:val="auto"/>
          <w:sz w:val="24"/>
          <w:szCs w:val="24"/>
        </w:rPr>
        <w:fldChar w:fldCharType="begin"/>
      </w:r>
      <w:r w:rsidRPr="003A20A4">
        <w:rPr>
          <w:color w:val="auto"/>
          <w:sz w:val="24"/>
          <w:szCs w:val="24"/>
        </w:rPr>
        <w:instrText xml:space="preserve"> STYLEREF 1 \s </w:instrText>
      </w:r>
      <w:r w:rsidR="001A12B2" w:rsidRPr="003A20A4">
        <w:rPr>
          <w:color w:val="auto"/>
          <w:sz w:val="24"/>
          <w:szCs w:val="24"/>
        </w:rPr>
        <w:fldChar w:fldCharType="separate"/>
      </w:r>
      <w:r w:rsidRPr="003A20A4">
        <w:rPr>
          <w:noProof/>
          <w:color w:val="auto"/>
          <w:sz w:val="24"/>
          <w:szCs w:val="24"/>
        </w:rPr>
        <w:t>5</w:t>
      </w:r>
      <w:r w:rsidR="001A12B2" w:rsidRPr="003A20A4">
        <w:rPr>
          <w:color w:val="auto"/>
          <w:sz w:val="24"/>
          <w:szCs w:val="24"/>
        </w:rPr>
        <w:fldChar w:fldCharType="end"/>
      </w:r>
      <w:r w:rsidRPr="003A20A4">
        <w:rPr>
          <w:color w:val="auto"/>
          <w:sz w:val="24"/>
          <w:szCs w:val="24"/>
        </w:rPr>
        <w:t>.</w:t>
      </w:r>
      <w:r w:rsidR="001A12B2" w:rsidRPr="003A20A4">
        <w:rPr>
          <w:color w:val="auto"/>
          <w:sz w:val="24"/>
          <w:szCs w:val="24"/>
        </w:rPr>
        <w:fldChar w:fldCharType="begin"/>
      </w:r>
      <w:r w:rsidRPr="003A20A4">
        <w:rPr>
          <w:color w:val="auto"/>
          <w:sz w:val="24"/>
          <w:szCs w:val="24"/>
        </w:rPr>
        <w:instrText xml:space="preserve"> SEQ Figure \* ARABIC \s 1 </w:instrText>
      </w:r>
      <w:r w:rsidR="001A12B2" w:rsidRPr="003A20A4">
        <w:rPr>
          <w:color w:val="auto"/>
          <w:sz w:val="24"/>
          <w:szCs w:val="24"/>
        </w:rPr>
        <w:fldChar w:fldCharType="separate"/>
      </w:r>
      <w:r w:rsidRPr="003A20A4">
        <w:rPr>
          <w:noProof/>
          <w:color w:val="auto"/>
          <w:sz w:val="24"/>
          <w:szCs w:val="24"/>
        </w:rPr>
        <w:t>4</w:t>
      </w:r>
      <w:r w:rsidR="001A12B2" w:rsidRPr="003A20A4">
        <w:rPr>
          <w:color w:val="auto"/>
          <w:sz w:val="24"/>
          <w:szCs w:val="24"/>
        </w:rPr>
        <w:fldChar w:fldCharType="end"/>
      </w:r>
      <w:r w:rsidRPr="003A20A4">
        <w:rPr>
          <w:color w:val="auto"/>
          <w:sz w:val="24"/>
          <w:szCs w:val="24"/>
        </w:rPr>
        <w:t>: Cornerstones for the future</w:t>
      </w:r>
      <w:bookmarkEnd w:id="421"/>
    </w:p>
    <w:p w:rsidR="008B4CE7" w:rsidRPr="003A20A4" w:rsidRDefault="008B4CE7" w:rsidP="008B4CE7">
      <w:pPr>
        <w:rPr>
          <w:rFonts w:cs="Segoe UI"/>
          <w:szCs w:val="24"/>
        </w:rPr>
      </w:pPr>
      <w:r w:rsidRPr="003A20A4">
        <w:rPr>
          <w:rFonts w:cs="Segoe UI"/>
          <w:szCs w:val="24"/>
        </w:rPr>
        <w:t xml:space="preserve">Both </w:t>
      </w:r>
      <w:r w:rsidRPr="003A20A4">
        <w:rPr>
          <w:szCs w:val="24"/>
        </w:rPr>
        <w:t>end</w:t>
      </w:r>
      <w:r w:rsidRPr="003A20A4">
        <w:rPr>
          <w:rFonts w:cs="Segoe UI"/>
          <w:szCs w:val="24"/>
        </w:rPr>
        <w:t xml:space="preserve"> visions have the variable hydrology and climate in mind, and are based on an understanding of the multiple uses and functions of the water system. </w:t>
      </w:r>
      <w:r w:rsidRPr="003A20A4">
        <w:rPr>
          <w:rFonts w:cs="Segoe UI"/>
          <w:i/>
          <w:szCs w:val="24"/>
        </w:rPr>
        <w:t>To gain control, the country needs to ensure the right amount of water at the right time, and of the right quality</w:t>
      </w:r>
      <w:r w:rsidRPr="003A20A4">
        <w:rPr>
          <w:rFonts w:cs="Segoe UI"/>
          <w:szCs w:val="24"/>
        </w:rPr>
        <w:t>.</w:t>
      </w:r>
    </w:p>
    <w:p w:rsidR="008B4CE7" w:rsidRPr="003A20A4" w:rsidRDefault="008B4CE7" w:rsidP="008B4CE7">
      <w:pPr>
        <w:rPr>
          <w:szCs w:val="24"/>
        </w:rPr>
      </w:pPr>
      <w:r w:rsidRPr="003A20A4">
        <w:rPr>
          <w:szCs w:val="24"/>
        </w:rPr>
        <w:t xml:space="preserve">The difference between Shapla and Banyan is that a policy according to Shapla: </w:t>
      </w:r>
    </w:p>
    <w:p w:rsidR="00000000" w:rsidRDefault="008B4CE7" w:rsidP="003D5A31">
      <w:pPr>
        <w:pStyle w:val="ListParagraph"/>
        <w:numPr>
          <w:ilvl w:val="0"/>
          <w:numId w:val="260"/>
        </w:numPr>
        <w:spacing w:before="120" w:after="120" w:line="276" w:lineRule="auto"/>
        <w:ind w:left="720" w:hanging="360"/>
        <w:jc w:val="both"/>
        <w:rPr>
          <w:szCs w:val="24"/>
        </w:rPr>
      </w:pPr>
      <w:r w:rsidRPr="003A20A4">
        <w:rPr>
          <w:szCs w:val="24"/>
        </w:rPr>
        <w:t>tries to avoid interventions where possible by looking for alternatives, but does not exclude interventions;</w:t>
      </w:r>
    </w:p>
    <w:p w:rsidR="00000000" w:rsidRDefault="008B4CE7" w:rsidP="003D5A31">
      <w:pPr>
        <w:pStyle w:val="ListParagraph"/>
        <w:numPr>
          <w:ilvl w:val="0"/>
          <w:numId w:val="260"/>
        </w:numPr>
        <w:spacing w:before="120" w:after="120" w:line="276" w:lineRule="auto"/>
        <w:ind w:left="720" w:hanging="360"/>
        <w:jc w:val="both"/>
        <w:rPr>
          <w:szCs w:val="24"/>
        </w:rPr>
      </w:pPr>
      <w:r w:rsidRPr="003A20A4">
        <w:rPr>
          <w:szCs w:val="24"/>
        </w:rPr>
        <w:t xml:space="preserve">focuses on local solutions and strengthening of local communities and governance; </w:t>
      </w:r>
    </w:p>
    <w:p w:rsidR="00000000" w:rsidRDefault="008B4CE7" w:rsidP="003D5A31">
      <w:pPr>
        <w:pStyle w:val="ListParagraph"/>
        <w:numPr>
          <w:ilvl w:val="0"/>
          <w:numId w:val="260"/>
        </w:numPr>
        <w:tabs>
          <w:tab w:val="left" w:pos="540"/>
        </w:tabs>
        <w:spacing w:before="120" w:after="120" w:line="276" w:lineRule="auto"/>
        <w:ind w:left="540" w:hanging="180"/>
        <w:jc w:val="both"/>
        <w:rPr>
          <w:szCs w:val="24"/>
        </w:rPr>
      </w:pPr>
      <w:r w:rsidRPr="003A20A4">
        <w:rPr>
          <w:szCs w:val="24"/>
        </w:rPr>
        <w:t>puts great efforts in cooperation and transboundary negotiations;</w:t>
      </w:r>
    </w:p>
    <w:p w:rsidR="00000000" w:rsidRDefault="008B4CE7" w:rsidP="003D5A31">
      <w:pPr>
        <w:pStyle w:val="ListParagraph"/>
        <w:numPr>
          <w:ilvl w:val="0"/>
          <w:numId w:val="260"/>
        </w:numPr>
        <w:spacing w:before="120" w:after="120" w:line="276" w:lineRule="auto"/>
        <w:ind w:left="540" w:hanging="180"/>
        <w:jc w:val="both"/>
        <w:rPr>
          <w:szCs w:val="24"/>
        </w:rPr>
      </w:pPr>
      <w:r w:rsidRPr="003A20A4">
        <w:rPr>
          <w:szCs w:val="24"/>
        </w:rPr>
        <w:t xml:space="preserve">uses natural processes where possible (Building with Nature); and </w:t>
      </w:r>
    </w:p>
    <w:p w:rsidR="00000000" w:rsidRDefault="008B4CE7" w:rsidP="003D5A31">
      <w:pPr>
        <w:pStyle w:val="ListParagraph"/>
        <w:numPr>
          <w:ilvl w:val="0"/>
          <w:numId w:val="260"/>
        </w:numPr>
        <w:spacing w:before="120" w:after="120" w:line="276" w:lineRule="auto"/>
        <w:ind w:left="720" w:hanging="360"/>
        <w:jc w:val="both"/>
        <w:rPr>
          <w:szCs w:val="24"/>
        </w:rPr>
      </w:pPr>
      <w:r w:rsidRPr="003A20A4">
        <w:rPr>
          <w:szCs w:val="24"/>
        </w:rPr>
        <w:t>based on differentiated flood zoning, rather than full embankment of the major rivers.</w:t>
      </w:r>
    </w:p>
    <w:p w:rsidR="008B4CE7" w:rsidRPr="003A20A4" w:rsidRDefault="008B4CE7" w:rsidP="008B4CE7">
      <w:pPr>
        <w:rPr>
          <w:szCs w:val="24"/>
        </w:rPr>
      </w:pPr>
      <w:r w:rsidRPr="003A20A4">
        <w:rPr>
          <w:szCs w:val="24"/>
        </w:rPr>
        <w:lastRenderedPageBreak/>
        <w:t>Whereas, a policy according to Banyan:</w:t>
      </w:r>
    </w:p>
    <w:p w:rsidR="00000000" w:rsidRDefault="008B4CE7" w:rsidP="003D5A31">
      <w:pPr>
        <w:pStyle w:val="ListParagraph"/>
        <w:numPr>
          <w:ilvl w:val="0"/>
          <w:numId w:val="261"/>
        </w:numPr>
        <w:spacing w:before="120" w:after="120" w:line="276" w:lineRule="auto"/>
        <w:ind w:left="720" w:hanging="360"/>
        <w:jc w:val="both"/>
        <w:rPr>
          <w:szCs w:val="24"/>
        </w:rPr>
      </w:pPr>
      <w:r w:rsidRPr="003A20A4">
        <w:rPr>
          <w:szCs w:val="24"/>
        </w:rPr>
        <w:t>focuses on interventions as soon as knowledge, institutional capacity and finance permits;</w:t>
      </w:r>
    </w:p>
    <w:p w:rsidR="00000000" w:rsidRDefault="008B4CE7" w:rsidP="003D5A31">
      <w:pPr>
        <w:pStyle w:val="ListParagraph"/>
        <w:numPr>
          <w:ilvl w:val="0"/>
          <w:numId w:val="261"/>
        </w:numPr>
        <w:spacing w:before="120" w:after="120" w:line="276" w:lineRule="auto"/>
        <w:ind w:left="720" w:hanging="360"/>
        <w:jc w:val="both"/>
        <w:rPr>
          <w:szCs w:val="24"/>
        </w:rPr>
      </w:pPr>
      <w:r w:rsidRPr="003A20A4">
        <w:rPr>
          <w:szCs w:val="24"/>
        </w:rPr>
        <w:t xml:space="preserve">provides a basic safety against floods for all, allowing regular floods to enter by controlled gates; and </w:t>
      </w:r>
    </w:p>
    <w:p w:rsidR="00000000" w:rsidRDefault="008B4CE7" w:rsidP="003D5A31">
      <w:pPr>
        <w:pStyle w:val="ListParagraph"/>
        <w:numPr>
          <w:ilvl w:val="0"/>
          <w:numId w:val="261"/>
        </w:numPr>
        <w:spacing w:before="120" w:after="120" w:line="276" w:lineRule="auto"/>
        <w:ind w:left="720" w:hanging="360"/>
        <w:jc w:val="both"/>
        <w:rPr>
          <w:szCs w:val="24"/>
        </w:rPr>
      </w:pPr>
      <w:r w:rsidRPr="003A20A4">
        <w:rPr>
          <w:szCs w:val="24"/>
        </w:rPr>
        <w:t>aims for being independent from India by means of its own barrages and flow diversion projects.</w:t>
      </w:r>
    </w:p>
    <w:p w:rsidR="008B4CE7" w:rsidRPr="003A20A4" w:rsidRDefault="008B4CE7" w:rsidP="008B4CE7">
      <w:pPr>
        <w:rPr>
          <w:szCs w:val="24"/>
        </w:rPr>
      </w:pPr>
      <w:r w:rsidRPr="003A20A4">
        <w:rPr>
          <w:szCs w:val="24"/>
        </w:rPr>
        <w:t>Pathways close to a Shapla policy are more adaptive than policies that adopt the Bayan policy. An illustrative example is river bank stabilization and development of flood protection embankment, a measures in line with the Banyan policy. Once this set of measures has been implemented and an area is protected against floods, it becomes difficult to remove the protection in favor of resilience or ecological values. People will have invested in economic activity that is not vulnerable to flooding because society relies on the protection or stabilization provided.</w:t>
      </w:r>
    </w:p>
    <w:p w:rsidR="008B4CE7" w:rsidRPr="003A20A4" w:rsidRDefault="008B4CE7" w:rsidP="008B4CE7">
      <w:pPr>
        <w:pStyle w:val="Heading3"/>
        <w:tabs>
          <w:tab w:val="num" w:pos="720"/>
        </w:tabs>
        <w:spacing w:before="120" w:after="120"/>
        <w:ind w:left="0" w:firstLine="0"/>
      </w:pPr>
      <w:r w:rsidRPr="003A20A4">
        <w:t>Investment options for the short and medium term</w:t>
      </w:r>
    </w:p>
    <w:p w:rsidR="008B4CE7" w:rsidRPr="003A20A4" w:rsidRDefault="008B4CE7" w:rsidP="008B4CE7">
      <w:pPr>
        <w:rPr>
          <w:rFonts w:cs="Times New Roman"/>
          <w:szCs w:val="24"/>
        </w:rPr>
      </w:pPr>
      <w:r w:rsidRPr="003A20A4">
        <w:rPr>
          <w:szCs w:val="24"/>
        </w:rPr>
        <w:t xml:space="preserve">Investment options for the short and medium term are being selected with the idea to keep the long term vision in mind while following two potential long term strategies and development philosophies. Secured projects up to 2021 are characterized by: i) on-going or already in the pipeline; and ii) included in the 7FYP Only those projects are included that have an impact beyond the boundaries of the individual Hydrological Regions. Building on the short term measures (up to 2030) and the medium term measures (up to 2050) focused on three major aspects: </w:t>
      </w:r>
      <w:r w:rsidRPr="003A20A4">
        <w:rPr>
          <w:i/>
          <w:szCs w:val="24"/>
        </w:rPr>
        <w:t>Infrastructure, Institutions</w:t>
      </w:r>
      <w:r w:rsidRPr="003A20A4">
        <w:rPr>
          <w:szCs w:val="24"/>
        </w:rPr>
        <w:t xml:space="preserve"> and </w:t>
      </w:r>
      <w:r w:rsidRPr="003A20A4">
        <w:rPr>
          <w:i/>
          <w:szCs w:val="24"/>
        </w:rPr>
        <w:t>Innovation</w:t>
      </w:r>
      <w:r w:rsidRPr="003A20A4">
        <w:rPr>
          <w:szCs w:val="24"/>
        </w:rPr>
        <w:t xml:space="preserve">. </w:t>
      </w:r>
      <w:r w:rsidRPr="003A20A4">
        <w:rPr>
          <w:i/>
          <w:szCs w:val="24"/>
        </w:rPr>
        <w:t>Infrastructure</w:t>
      </w:r>
      <w:r w:rsidRPr="003A20A4">
        <w:rPr>
          <w:szCs w:val="24"/>
        </w:rPr>
        <w:t xml:space="preserve"> measures focus mostly on hard, physical interventions; </w:t>
      </w:r>
      <w:r w:rsidRPr="003A20A4">
        <w:rPr>
          <w:i/>
          <w:szCs w:val="24"/>
        </w:rPr>
        <w:t>Institutional</w:t>
      </w:r>
      <w:r w:rsidRPr="003A20A4">
        <w:rPr>
          <w:szCs w:val="24"/>
        </w:rPr>
        <w:t xml:space="preserve"> measures consist of mostly soft measures related to water management organization, legislation, finance and capacity building. </w:t>
      </w:r>
      <w:r w:rsidRPr="003A20A4">
        <w:rPr>
          <w:i/>
          <w:szCs w:val="24"/>
        </w:rPr>
        <w:t>Innovation</w:t>
      </w:r>
      <w:r w:rsidRPr="003A20A4">
        <w:rPr>
          <w:szCs w:val="24"/>
        </w:rPr>
        <w:t xml:space="preserve"> measures focus on addressing the knowledge gap and stimulating technological development. The Chapter-6 describes the short and medium term investment options where over- and under-investments are being avoided. Under-investment occurs if the solutions are not adequate to protect society against damages in an extreme event. Over-investment happens when measures are over dimensioned, which proves to be unnecessary and therefore too expensive.</w:t>
      </w:r>
    </w:p>
    <w:p w:rsidR="008B4CE7" w:rsidRPr="003A20A4" w:rsidRDefault="008B4CE7" w:rsidP="008B4CE7">
      <w:pPr>
        <w:rPr>
          <w:rFonts w:cs="Times New Roman"/>
          <w:b/>
          <w:szCs w:val="24"/>
          <w:highlight w:val="yellow"/>
        </w:rPr>
      </w:pPr>
      <w:bookmarkStart w:id="422" w:name="_Toc452121437"/>
      <w:bookmarkStart w:id="423" w:name="_Toc460496850"/>
      <w:bookmarkStart w:id="424" w:name="_Toc464328762"/>
      <w:r w:rsidRPr="003A20A4">
        <w:rPr>
          <w:szCs w:val="24"/>
          <w:highlight w:val="yellow"/>
        </w:rPr>
        <w:br w:type="page"/>
      </w:r>
    </w:p>
    <w:bookmarkEnd w:id="422"/>
    <w:bookmarkEnd w:id="423"/>
    <w:bookmarkEnd w:id="424"/>
    <w:p w:rsidR="008B4CE7" w:rsidRPr="003A20A4" w:rsidRDefault="008B4CE7" w:rsidP="008B4CE7">
      <w:pPr>
        <w:pStyle w:val="Heading2"/>
        <w:tabs>
          <w:tab w:val="num" w:pos="576"/>
        </w:tabs>
        <w:spacing w:before="160" w:after="160"/>
        <w:ind w:left="0" w:firstLine="0"/>
        <w:jc w:val="left"/>
      </w:pPr>
      <w:r w:rsidRPr="003A20A4">
        <w:lastRenderedPageBreak/>
        <w:t>Delta Policy Options</w:t>
      </w:r>
    </w:p>
    <w:p w:rsidR="008B4CE7" w:rsidRPr="003A20A4" w:rsidRDefault="008B4CE7" w:rsidP="008B4CE7">
      <w:pPr>
        <w:pStyle w:val="Heading3"/>
        <w:tabs>
          <w:tab w:val="num" w:pos="720"/>
        </w:tabs>
        <w:spacing w:before="120" w:after="120"/>
        <w:ind w:left="0" w:firstLine="0"/>
      </w:pPr>
      <w:bookmarkStart w:id="425" w:name="_Toc452121438"/>
      <w:r w:rsidRPr="003A20A4">
        <w:t>Methodology, Data and the Proposed Analytical Framework</w:t>
      </w:r>
      <w:bookmarkEnd w:id="425"/>
    </w:p>
    <w:p w:rsidR="008B4CE7" w:rsidRPr="003A20A4" w:rsidRDefault="008B4CE7" w:rsidP="008B4CE7">
      <w:pPr>
        <w:rPr>
          <w:rFonts w:cs="Times New Roman"/>
          <w:szCs w:val="24"/>
        </w:rPr>
      </w:pPr>
      <w:r w:rsidRPr="003A20A4">
        <w:rPr>
          <w:rFonts w:cs="Times New Roman"/>
          <w:szCs w:val="24"/>
        </w:rPr>
        <w:t xml:space="preserve">The proposed analytical framework for BDP2100 is the first attempt to quantify economic </w:t>
      </w:r>
      <w:r w:rsidRPr="003A20A4">
        <w:rPr>
          <w:rFonts w:cs="Times New Roman"/>
          <w:bCs/>
          <w:i/>
          <w:iCs/>
          <w:szCs w:val="24"/>
        </w:rPr>
        <w:t>impacts of climate change by linking the real side (i.e. economic variables) to the environment or climate change parameters and estimate their implications for GDP</w:t>
      </w:r>
      <w:r w:rsidRPr="003A20A4">
        <w:rPr>
          <w:rFonts w:cs="Times New Roman"/>
          <w:b/>
          <w:szCs w:val="24"/>
          <w:u w:val="single"/>
        </w:rPr>
        <w:t xml:space="preserve"> </w:t>
      </w:r>
      <w:r w:rsidRPr="003A20A4">
        <w:rPr>
          <w:rFonts w:cs="Times New Roman"/>
          <w:bCs/>
          <w:i/>
          <w:iCs/>
          <w:szCs w:val="24"/>
        </w:rPr>
        <w:t>growth, employment and poverty reduction</w:t>
      </w:r>
      <w:r w:rsidRPr="003A20A4">
        <w:rPr>
          <w:bCs/>
          <w:i/>
          <w:iCs/>
          <w:szCs w:val="24"/>
        </w:rPr>
        <w:footnoteReference w:id="13"/>
      </w:r>
      <w:r w:rsidRPr="003A20A4">
        <w:rPr>
          <w:rFonts w:cs="Times New Roman"/>
          <w:bCs/>
          <w:i/>
          <w:iCs/>
          <w:szCs w:val="24"/>
        </w:rPr>
        <w:t>.</w:t>
      </w:r>
      <w:r w:rsidRPr="003A20A4">
        <w:rPr>
          <w:rFonts w:cs="Times New Roman"/>
          <w:bCs/>
          <w:szCs w:val="24"/>
        </w:rPr>
        <w:t xml:space="preserve"> A</w:t>
      </w:r>
      <w:r w:rsidRPr="003A20A4">
        <w:rPr>
          <w:rFonts w:cs="Times New Roman"/>
          <w:szCs w:val="24"/>
        </w:rPr>
        <w:t xml:space="preserve"> consistent macroeconomic framework has been used to generate the delta policy options. The framework consists of four linked models: (i) a macroeconomic model; (ii) an employment satellite module; (iii) a poverty module; and (iv) an environment module. For the purpose of this exercise, the models (or modules) have been separated into 6 delta specific regions with varying region specific parameters (especially the environmental parameters).  Data sets for the framework have been obtained from several sources such as:</w:t>
      </w:r>
    </w:p>
    <w:p w:rsidR="008B4CE7" w:rsidRPr="00B935F1" w:rsidRDefault="008B4CE7" w:rsidP="008B4CE7">
      <w:pPr>
        <w:pStyle w:val="ListParagraph"/>
        <w:numPr>
          <w:ilvl w:val="0"/>
          <w:numId w:val="20"/>
        </w:numPr>
        <w:spacing w:before="120" w:after="120" w:line="276" w:lineRule="auto"/>
        <w:jc w:val="both"/>
        <w:rPr>
          <w:rFonts w:cs="Times New Roman"/>
          <w:szCs w:val="24"/>
        </w:rPr>
      </w:pPr>
      <w:r w:rsidRPr="00B935F1">
        <w:rPr>
          <w:rFonts w:cs="Times New Roman"/>
          <w:szCs w:val="24"/>
        </w:rPr>
        <w:t>Bangladesh Bureau of Statistics (BBS)</w:t>
      </w:r>
    </w:p>
    <w:p w:rsidR="008B4CE7" w:rsidRPr="00B935F1" w:rsidRDefault="008B4CE7" w:rsidP="008B4CE7">
      <w:pPr>
        <w:pStyle w:val="ListParagraph"/>
        <w:numPr>
          <w:ilvl w:val="0"/>
          <w:numId w:val="20"/>
        </w:numPr>
        <w:spacing w:before="120" w:after="120" w:line="276" w:lineRule="auto"/>
        <w:jc w:val="both"/>
        <w:rPr>
          <w:rFonts w:cs="Times New Roman"/>
          <w:szCs w:val="24"/>
        </w:rPr>
      </w:pPr>
      <w:r w:rsidRPr="00B935F1">
        <w:rPr>
          <w:rFonts w:cs="Times New Roman"/>
          <w:szCs w:val="24"/>
        </w:rPr>
        <w:t>Ministry of Finance</w:t>
      </w:r>
    </w:p>
    <w:p w:rsidR="008B4CE7" w:rsidRPr="00B935F1" w:rsidRDefault="008B4CE7" w:rsidP="008B4CE7">
      <w:pPr>
        <w:pStyle w:val="ListParagraph"/>
        <w:numPr>
          <w:ilvl w:val="0"/>
          <w:numId w:val="20"/>
        </w:numPr>
        <w:spacing w:before="120" w:after="120" w:line="276" w:lineRule="auto"/>
        <w:jc w:val="both"/>
        <w:rPr>
          <w:rFonts w:cs="Times New Roman"/>
          <w:szCs w:val="24"/>
        </w:rPr>
      </w:pPr>
      <w:r w:rsidRPr="00B935F1">
        <w:rPr>
          <w:rFonts w:cs="Times New Roman"/>
          <w:szCs w:val="24"/>
        </w:rPr>
        <w:t>Ministry of Planning</w:t>
      </w:r>
    </w:p>
    <w:p w:rsidR="008B4CE7" w:rsidRPr="00B935F1" w:rsidRDefault="008B4CE7" w:rsidP="008B4CE7">
      <w:pPr>
        <w:pStyle w:val="ListParagraph"/>
        <w:numPr>
          <w:ilvl w:val="0"/>
          <w:numId w:val="20"/>
        </w:numPr>
        <w:spacing w:before="120" w:after="120" w:line="276" w:lineRule="auto"/>
        <w:jc w:val="both"/>
        <w:rPr>
          <w:rFonts w:cs="Times New Roman"/>
          <w:szCs w:val="24"/>
        </w:rPr>
      </w:pPr>
      <w:r w:rsidRPr="00B935F1">
        <w:rPr>
          <w:rFonts w:cs="Times New Roman"/>
          <w:szCs w:val="24"/>
        </w:rPr>
        <w:t>Ministry of Water Resources</w:t>
      </w:r>
    </w:p>
    <w:p w:rsidR="008B4CE7" w:rsidRPr="00B935F1" w:rsidRDefault="008B4CE7" w:rsidP="008B4CE7">
      <w:pPr>
        <w:pStyle w:val="ListParagraph"/>
        <w:numPr>
          <w:ilvl w:val="0"/>
          <w:numId w:val="20"/>
        </w:numPr>
        <w:spacing w:before="120" w:after="120" w:line="276" w:lineRule="auto"/>
        <w:jc w:val="both"/>
        <w:rPr>
          <w:rFonts w:cs="Times New Roman"/>
          <w:szCs w:val="24"/>
        </w:rPr>
      </w:pPr>
      <w:r>
        <w:rPr>
          <w:rFonts w:cs="Times New Roman"/>
          <w:szCs w:val="24"/>
        </w:rPr>
        <w:t>BDP 2100 Formulation Project</w:t>
      </w:r>
    </w:p>
    <w:p w:rsidR="008B4CE7" w:rsidRPr="00B935F1" w:rsidRDefault="008B4CE7" w:rsidP="008B4CE7">
      <w:pPr>
        <w:pStyle w:val="ListParagraph"/>
        <w:numPr>
          <w:ilvl w:val="0"/>
          <w:numId w:val="20"/>
        </w:numPr>
        <w:spacing w:before="120" w:after="120" w:line="276" w:lineRule="auto"/>
        <w:jc w:val="both"/>
        <w:rPr>
          <w:rFonts w:cs="Times New Roman"/>
          <w:szCs w:val="24"/>
        </w:rPr>
      </w:pPr>
      <w:r w:rsidRPr="00B935F1">
        <w:rPr>
          <w:rFonts w:cs="Times New Roman"/>
          <w:szCs w:val="24"/>
        </w:rPr>
        <w:t>Bangladesh University of Engineering and Technology (BUET)</w:t>
      </w:r>
    </w:p>
    <w:p w:rsidR="008B4CE7" w:rsidRPr="00B935F1" w:rsidRDefault="008B4CE7" w:rsidP="008B4CE7">
      <w:pPr>
        <w:rPr>
          <w:rFonts w:cs="Times New Roman"/>
          <w:szCs w:val="24"/>
        </w:rPr>
      </w:pPr>
      <w:r w:rsidRPr="00B935F1">
        <w:rPr>
          <w:rFonts w:cs="Times New Roman"/>
          <w:szCs w:val="24"/>
        </w:rPr>
        <w:t xml:space="preserve">Key features of the </w:t>
      </w:r>
      <w:r w:rsidRPr="009612DD">
        <w:rPr>
          <w:rFonts w:cs="Times New Roman"/>
          <w:szCs w:val="24"/>
        </w:rPr>
        <w:t>framework</w:t>
      </w:r>
      <w:r w:rsidRPr="00B935F1">
        <w:rPr>
          <w:rFonts w:cs="Times New Roman"/>
          <w:szCs w:val="24"/>
        </w:rPr>
        <w:t xml:space="preserve"> are discussed below.</w:t>
      </w:r>
    </w:p>
    <w:p w:rsidR="008B4CE7" w:rsidRPr="00B935F1" w:rsidRDefault="008B4CE7" w:rsidP="008B4CE7">
      <w:pPr>
        <w:rPr>
          <w:rFonts w:cs="Times New Roman"/>
          <w:b/>
          <w:szCs w:val="24"/>
        </w:rPr>
      </w:pPr>
      <w:r w:rsidRPr="00B935F1">
        <w:rPr>
          <w:rFonts w:cs="Times New Roman"/>
          <w:b/>
          <w:szCs w:val="24"/>
        </w:rPr>
        <w:t>Key Endogenous Variables and Targets:</w:t>
      </w:r>
    </w:p>
    <w:p w:rsidR="008B4CE7" w:rsidRPr="00B935F1" w:rsidRDefault="008B4CE7" w:rsidP="008B4CE7">
      <w:pPr>
        <w:pStyle w:val="ListParagraph"/>
        <w:numPr>
          <w:ilvl w:val="1"/>
          <w:numId w:val="19"/>
        </w:numPr>
        <w:spacing w:before="120" w:after="120" w:line="276" w:lineRule="auto"/>
        <w:jc w:val="both"/>
        <w:rPr>
          <w:rFonts w:cs="Times New Roman"/>
          <w:szCs w:val="24"/>
        </w:rPr>
      </w:pPr>
      <w:r w:rsidRPr="00B935F1">
        <w:rPr>
          <w:rFonts w:cs="Times New Roman"/>
          <w:szCs w:val="24"/>
        </w:rPr>
        <w:t>Economic Growth</w:t>
      </w:r>
    </w:p>
    <w:p w:rsidR="008B4CE7" w:rsidRPr="00B935F1" w:rsidRDefault="008B4CE7" w:rsidP="008B4CE7">
      <w:pPr>
        <w:pStyle w:val="ListParagraph"/>
        <w:numPr>
          <w:ilvl w:val="2"/>
          <w:numId w:val="19"/>
        </w:numPr>
        <w:spacing w:before="120" w:after="120" w:line="276" w:lineRule="auto"/>
        <w:ind w:left="1440"/>
        <w:jc w:val="both"/>
        <w:rPr>
          <w:rFonts w:cs="Times New Roman"/>
          <w:szCs w:val="24"/>
        </w:rPr>
      </w:pPr>
      <w:r w:rsidRPr="00B935F1">
        <w:rPr>
          <w:rFonts w:cs="Times New Roman"/>
          <w:szCs w:val="24"/>
        </w:rPr>
        <w:t>Upper middle income by FY</w:t>
      </w:r>
      <w:r>
        <w:rPr>
          <w:rFonts w:cs="Times New Roman"/>
          <w:szCs w:val="24"/>
        </w:rPr>
        <w:t>20</w:t>
      </w:r>
      <w:r w:rsidRPr="00B935F1">
        <w:rPr>
          <w:rFonts w:cs="Times New Roman"/>
          <w:szCs w:val="24"/>
        </w:rPr>
        <w:t>30-31</w:t>
      </w:r>
    </w:p>
    <w:p w:rsidR="008B4CE7" w:rsidRPr="00B935F1" w:rsidRDefault="008B4CE7" w:rsidP="008B4CE7">
      <w:pPr>
        <w:pStyle w:val="ListParagraph"/>
        <w:numPr>
          <w:ilvl w:val="1"/>
          <w:numId w:val="19"/>
        </w:numPr>
        <w:spacing w:before="120" w:after="120" w:line="276" w:lineRule="auto"/>
        <w:jc w:val="both"/>
        <w:rPr>
          <w:rFonts w:cs="Times New Roman"/>
          <w:szCs w:val="24"/>
        </w:rPr>
      </w:pPr>
      <w:r w:rsidRPr="00B935F1">
        <w:rPr>
          <w:rFonts w:cs="Times New Roman"/>
          <w:szCs w:val="24"/>
        </w:rPr>
        <w:t>Employment</w:t>
      </w:r>
    </w:p>
    <w:p w:rsidR="008B4CE7" w:rsidRPr="00B935F1" w:rsidRDefault="008B4CE7" w:rsidP="008B4CE7">
      <w:pPr>
        <w:pStyle w:val="ListParagraph"/>
        <w:numPr>
          <w:ilvl w:val="0"/>
          <w:numId w:val="21"/>
        </w:numPr>
        <w:spacing w:before="120" w:after="120" w:line="276" w:lineRule="auto"/>
        <w:jc w:val="both"/>
        <w:rPr>
          <w:rFonts w:cs="Times New Roman"/>
          <w:szCs w:val="24"/>
        </w:rPr>
      </w:pPr>
      <w:r w:rsidRPr="00B935F1">
        <w:rPr>
          <w:rFonts w:cs="Times New Roman"/>
          <w:szCs w:val="24"/>
        </w:rPr>
        <w:t xml:space="preserve">Create new employment in the formal manufacturing and services sectors and away from agriculture and informal services.  </w:t>
      </w:r>
    </w:p>
    <w:p w:rsidR="008B4CE7" w:rsidRPr="00B935F1" w:rsidRDefault="008B4CE7" w:rsidP="008B4CE7">
      <w:pPr>
        <w:pStyle w:val="ListParagraph"/>
        <w:numPr>
          <w:ilvl w:val="1"/>
          <w:numId w:val="19"/>
        </w:numPr>
        <w:spacing w:before="120" w:after="120" w:line="276" w:lineRule="auto"/>
        <w:jc w:val="both"/>
        <w:rPr>
          <w:rFonts w:cs="Times New Roman"/>
          <w:szCs w:val="24"/>
        </w:rPr>
      </w:pPr>
      <w:r w:rsidRPr="00B935F1">
        <w:rPr>
          <w:rFonts w:cs="Times New Roman"/>
          <w:szCs w:val="24"/>
        </w:rPr>
        <w:t>Poverty rate</w:t>
      </w:r>
    </w:p>
    <w:p w:rsidR="008B4CE7" w:rsidRPr="00B935F1" w:rsidRDefault="008B4CE7" w:rsidP="008B4CE7">
      <w:pPr>
        <w:pStyle w:val="ListParagraph"/>
        <w:numPr>
          <w:ilvl w:val="2"/>
          <w:numId w:val="19"/>
        </w:numPr>
        <w:spacing w:before="120" w:after="120" w:line="276" w:lineRule="auto"/>
        <w:ind w:left="1440"/>
        <w:jc w:val="both"/>
        <w:rPr>
          <w:rFonts w:cs="Times New Roman"/>
          <w:szCs w:val="24"/>
        </w:rPr>
      </w:pPr>
      <w:r w:rsidRPr="00B935F1">
        <w:rPr>
          <w:rFonts w:cs="Times New Roman"/>
          <w:szCs w:val="24"/>
        </w:rPr>
        <w:t>Eliminate extreme poverty by FY</w:t>
      </w:r>
      <w:r>
        <w:rPr>
          <w:rFonts w:cs="Times New Roman"/>
          <w:szCs w:val="24"/>
        </w:rPr>
        <w:t>20</w:t>
      </w:r>
      <w:r w:rsidRPr="00B935F1">
        <w:rPr>
          <w:rFonts w:cs="Times New Roman"/>
          <w:szCs w:val="24"/>
        </w:rPr>
        <w:t>30-31</w:t>
      </w:r>
    </w:p>
    <w:p w:rsidR="008B4CE7" w:rsidRPr="00B935F1" w:rsidRDefault="008B4CE7" w:rsidP="008B4CE7">
      <w:pPr>
        <w:rPr>
          <w:rFonts w:cs="Times New Roman"/>
          <w:b/>
          <w:szCs w:val="24"/>
        </w:rPr>
      </w:pPr>
      <w:r w:rsidRPr="00B935F1">
        <w:rPr>
          <w:rFonts w:cs="Times New Roman"/>
          <w:b/>
          <w:szCs w:val="24"/>
        </w:rPr>
        <w:t>key Exogenous Variables:</w:t>
      </w:r>
    </w:p>
    <w:p w:rsidR="008B4CE7" w:rsidRPr="00B935F1" w:rsidRDefault="008B4CE7" w:rsidP="008B4CE7">
      <w:pPr>
        <w:pStyle w:val="ListParagraph"/>
        <w:ind w:left="360"/>
        <w:rPr>
          <w:rFonts w:cs="Times New Roman"/>
          <w:szCs w:val="24"/>
        </w:rPr>
      </w:pPr>
    </w:p>
    <w:p w:rsidR="008B4CE7" w:rsidRPr="00B935F1" w:rsidRDefault="008B4CE7" w:rsidP="008B4CE7">
      <w:pPr>
        <w:pStyle w:val="ListParagraph"/>
        <w:numPr>
          <w:ilvl w:val="1"/>
          <w:numId w:val="19"/>
        </w:numPr>
        <w:spacing w:before="120" w:after="120" w:line="276" w:lineRule="auto"/>
        <w:jc w:val="both"/>
        <w:rPr>
          <w:rFonts w:cs="Times New Roman"/>
          <w:szCs w:val="24"/>
        </w:rPr>
      </w:pPr>
      <w:r w:rsidRPr="00B935F1">
        <w:rPr>
          <w:rFonts w:cs="Times New Roman"/>
          <w:szCs w:val="24"/>
        </w:rPr>
        <w:t>Climate change</w:t>
      </w:r>
    </w:p>
    <w:p w:rsidR="008B4CE7" w:rsidRPr="00B935F1" w:rsidRDefault="008B4CE7" w:rsidP="008B4CE7">
      <w:pPr>
        <w:pStyle w:val="ListParagraph"/>
        <w:numPr>
          <w:ilvl w:val="1"/>
          <w:numId w:val="19"/>
        </w:numPr>
        <w:spacing w:before="120" w:after="120" w:line="276" w:lineRule="auto"/>
        <w:jc w:val="both"/>
        <w:rPr>
          <w:rFonts w:cs="Times New Roman"/>
          <w:szCs w:val="24"/>
        </w:rPr>
      </w:pPr>
      <w:r w:rsidRPr="00B935F1">
        <w:rPr>
          <w:rFonts w:cs="Times New Roman"/>
          <w:szCs w:val="24"/>
        </w:rPr>
        <w:t>Trans-boundary water resources</w:t>
      </w:r>
    </w:p>
    <w:p w:rsidR="008B4CE7" w:rsidRPr="00B935F1" w:rsidRDefault="008B4CE7" w:rsidP="008B4CE7">
      <w:pPr>
        <w:pStyle w:val="ListParagraph"/>
        <w:ind w:left="0"/>
        <w:rPr>
          <w:rFonts w:cs="Times New Roman"/>
          <w:b/>
          <w:szCs w:val="24"/>
        </w:rPr>
      </w:pPr>
      <w:r w:rsidRPr="00B935F1">
        <w:rPr>
          <w:rFonts w:cs="Times New Roman"/>
          <w:b/>
          <w:szCs w:val="24"/>
        </w:rPr>
        <w:t xml:space="preserve">Policy Variables </w:t>
      </w:r>
    </w:p>
    <w:p w:rsidR="008B4CE7" w:rsidRPr="00B935F1" w:rsidRDefault="008B4CE7" w:rsidP="008B4CE7">
      <w:pPr>
        <w:pStyle w:val="ListParagraph"/>
        <w:ind w:left="0"/>
        <w:rPr>
          <w:rFonts w:cs="Times New Roman"/>
          <w:b/>
          <w:szCs w:val="24"/>
        </w:rPr>
      </w:pPr>
    </w:p>
    <w:p w:rsidR="008B4CE7" w:rsidRPr="00B935F1" w:rsidRDefault="008B4CE7" w:rsidP="008B4CE7">
      <w:pPr>
        <w:pStyle w:val="ListParagraph"/>
        <w:numPr>
          <w:ilvl w:val="1"/>
          <w:numId w:val="19"/>
        </w:numPr>
        <w:spacing w:before="120" w:after="120" w:line="276" w:lineRule="auto"/>
        <w:jc w:val="both"/>
        <w:rPr>
          <w:rFonts w:cs="Times New Roman"/>
          <w:szCs w:val="24"/>
        </w:rPr>
      </w:pPr>
      <w:r w:rsidRPr="00B935F1">
        <w:rPr>
          <w:rFonts w:cs="Times New Roman"/>
          <w:szCs w:val="24"/>
        </w:rPr>
        <w:lastRenderedPageBreak/>
        <w:t>Population and labour supply</w:t>
      </w:r>
    </w:p>
    <w:p w:rsidR="008B4CE7" w:rsidRPr="00B935F1" w:rsidRDefault="008B4CE7" w:rsidP="008B4CE7">
      <w:pPr>
        <w:pStyle w:val="ListParagraph"/>
        <w:numPr>
          <w:ilvl w:val="1"/>
          <w:numId w:val="19"/>
        </w:numPr>
        <w:spacing w:before="120" w:after="120" w:line="276" w:lineRule="auto"/>
        <w:jc w:val="both"/>
        <w:rPr>
          <w:rFonts w:cs="Times New Roman"/>
          <w:szCs w:val="24"/>
        </w:rPr>
      </w:pPr>
      <w:r w:rsidRPr="00B935F1">
        <w:rPr>
          <w:rFonts w:cs="Times New Roman"/>
          <w:szCs w:val="24"/>
        </w:rPr>
        <w:t>Overall investment (Public; Private; and FDI)</w:t>
      </w:r>
    </w:p>
    <w:p w:rsidR="008B4CE7" w:rsidRPr="00B935F1" w:rsidRDefault="008B4CE7" w:rsidP="008B4CE7">
      <w:pPr>
        <w:pStyle w:val="ListParagraph"/>
        <w:ind w:left="1080"/>
        <w:rPr>
          <w:rFonts w:cs="Times New Roman"/>
          <w:szCs w:val="24"/>
        </w:rPr>
      </w:pPr>
      <w:r w:rsidRPr="00B935F1">
        <w:rPr>
          <w:rFonts w:cs="Times New Roman"/>
          <w:szCs w:val="24"/>
        </w:rPr>
        <w:t xml:space="preserve">Specific investment for mitigating climate change and arresting (improving) deteriorating water and other natural resources. Specific investment in the following areas will be needed to ensure </w:t>
      </w:r>
      <w:r>
        <w:rPr>
          <w:rFonts w:cs="Times New Roman"/>
          <w:szCs w:val="24"/>
        </w:rPr>
        <w:t xml:space="preserve">effective </w:t>
      </w:r>
      <w:r w:rsidRPr="00B935F1">
        <w:rPr>
          <w:rFonts w:cs="Times New Roman"/>
          <w:szCs w:val="24"/>
        </w:rPr>
        <w:t>water resource</w:t>
      </w:r>
      <w:r>
        <w:rPr>
          <w:rFonts w:cs="Times New Roman"/>
          <w:szCs w:val="24"/>
        </w:rPr>
        <w:t xml:space="preserve"> management</w:t>
      </w:r>
      <w:r w:rsidRPr="00B935F1">
        <w:rPr>
          <w:rFonts w:cs="Times New Roman"/>
          <w:szCs w:val="24"/>
        </w:rPr>
        <w:t xml:space="preserve">:   </w:t>
      </w:r>
    </w:p>
    <w:p w:rsidR="008B4CE7" w:rsidRPr="00B935F1" w:rsidRDefault="008B4CE7" w:rsidP="008B4CE7">
      <w:pPr>
        <w:pStyle w:val="ListParagraph"/>
        <w:numPr>
          <w:ilvl w:val="2"/>
          <w:numId w:val="19"/>
        </w:numPr>
        <w:spacing w:before="120" w:after="120" w:line="276" w:lineRule="auto"/>
        <w:jc w:val="both"/>
        <w:rPr>
          <w:rFonts w:cs="Times New Roman"/>
          <w:szCs w:val="24"/>
        </w:rPr>
      </w:pPr>
      <w:r w:rsidRPr="00B935F1">
        <w:rPr>
          <w:rFonts w:cs="Times New Roman"/>
          <w:szCs w:val="24"/>
        </w:rPr>
        <w:t>Floods and climate change related disaster mitigation</w:t>
      </w:r>
    </w:p>
    <w:p w:rsidR="008B4CE7" w:rsidRPr="00B935F1" w:rsidRDefault="008B4CE7" w:rsidP="008B4CE7">
      <w:pPr>
        <w:pStyle w:val="ListParagraph"/>
        <w:numPr>
          <w:ilvl w:val="2"/>
          <w:numId w:val="19"/>
        </w:numPr>
        <w:spacing w:before="120" w:after="120" w:line="276" w:lineRule="auto"/>
        <w:jc w:val="both"/>
        <w:rPr>
          <w:rFonts w:cs="Times New Roman"/>
          <w:szCs w:val="24"/>
        </w:rPr>
      </w:pPr>
      <w:r w:rsidRPr="00B935F1">
        <w:rPr>
          <w:rFonts w:cs="Times New Roman"/>
          <w:szCs w:val="24"/>
        </w:rPr>
        <w:t>Water security and efficiency of water usages</w:t>
      </w:r>
    </w:p>
    <w:p w:rsidR="008B4CE7" w:rsidRPr="00B935F1" w:rsidRDefault="008B4CE7" w:rsidP="008B4CE7">
      <w:pPr>
        <w:pStyle w:val="ListParagraph"/>
        <w:numPr>
          <w:ilvl w:val="2"/>
          <w:numId w:val="19"/>
        </w:numPr>
        <w:spacing w:before="120" w:after="120" w:line="276" w:lineRule="auto"/>
        <w:jc w:val="both"/>
        <w:rPr>
          <w:rFonts w:cs="Times New Roman"/>
          <w:szCs w:val="24"/>
        </w:rPr>
      </w:pPr>
      <w:r w:rsidRPr="00B935F1">
        <w:rPr>
          <w:rFonts w:cs="Times New Roman"/>
          <w:szCs w:val="24"/>
        </w:rPr>
        <w:t>Sustainable and integrated river systems and estuaries management</w:t>
      </w:r>
    </w:p>
    <w:p w:rsidR="008B4CE7" w:rsidRPr="00B935F1" w:rsidRDefault="008B4CE7" w:rsidP="008B4CE7">
      <w:pPr>
        <w:pStyle w:val="ListParagraph"/>
        <w:numPr>
          <w:ilvl w:val="2"/>
          <w:numId w:val="19"/>
        </w:numPr>
        <w:spacing w:before="120" w:after="120" w:line="276" w:lineRule="auto"/>
        <w:jc w:val="both"/>
        <w:rPr>
          <w:rFonts w:cs="Times New Roman"/>
          <w:szCs w:val="24"/>
        </w:rPr>
      </w:pPr>
      <w:r w:rsidRPr="00B935F1">
        <w:rPr>
          <w:rFonts w:cs="Times New Roman"/>
          <w:szCs w:val="24"/>
        </w:rPr>
        <w:t>Wetlands and ecosystems and promote their wise use</w:t>
      </w:r>
    </w:p>
    <w:p w:rsidR="008B4CE7" w:rsidRPr="00B935F1" w:rsidRDefault="008B4CE7" w:rsidP="008B4CE7">
      <w:pPr>
        <w:pStyle w:val="ListParagraph"/>
        <w:numPr>
          <w:ilvl w:val="2"/>
          <w:numId w:val="19"/>
        </w:numPr>
        <w:spacing w:before="120" w:after="120" w:line="276" w:lineRule="auto"/>
        <w:jc w:val="both"/>
        <w:rPr>
          <w:rFonts w:cs="Times New Roman"/>
          <w:szCs w:val="24"/>
        </w:rPr>
      </w:pPr>
      <w:r w:rsidRPr="00B935F1">
        <w:rPr>
          <w:rFonts w:cs="Times New Roman"/>
          <w:szCs w:val="24"/>
        </w:rPr>
        <w:t>Optimal and integrated use of land and water resources</w:t>
      </w:r>
    </w:p>
    <w:p w:rsidR="008B4CE7" w:rsidRPr="00B935F1" w:rsidRDefault="008B4CE7" w:rsidP="008B4CE7">
      <w:pPr>
        <w:pStyle w:val="ListParagraph"/>
        <w:numPr>
          <w:ilvl w:val="2"/>
          <w:numId w:val="19"/>
        </w:numPr>
        <w:spacing w:before="120" w:after="120" w:line="276" w:lineRule="auto"/>
        <w:jc w:val="both"/>
        <w:rPr>
          <w:rFonts w:cs="Times New Roman"/>
          <w:szCs w:val="24"/>
        </w:rPr>
      </w:pPr>
      <w:r w:rsidRPr="00B935F1">
        <w:rPr>
          <w:rFonts w:cs="Times New Roman"/>
          <w:szCs w:val="24"/>
        </w:rPr>
        <w:t>Effective institutions and equitable governance for in-country and trans-boundary water resources management</w:t>
      </w:r>
    </w:p>
    <w:p w:rsidR="008B4CE7" w:rsidRPr="009612DD" w:rsidRDefault="008B4CE7" w:rsidP="008B4CE7">
      <w:pPr>
        <w:rPr>
          <w:rFonts w:cs="Times New Roman"/>
          <w:b/>
          <w:i/>
          <w:szCs w:val="24"/>
        </w:rPr>
      </w:pPr>
      <w:r>
        <w:rPr>
          <w:rFonts w:cs="Times New Roman"/>
          <w:b/>
          <w:i/>
          <w:szCs w:val="24"/>
        </w:rPr>
        <w:t>Figure 5.1</w:t>
      </w:r>
      <w:r w:rsidRPr="009612DD">
        <w:rPr>
          <w:rFonts w:cs="Times New Roman"/>
          <w:b/>
          <w:i/>
          <w:szCs w:val="24"/>
        </w:rPr>
        <w:t xml:space="preserve"> Schematic Presentation of the Analytical  Framework:</w:t>
      </w:r>
    </w:p>
    <w:p w:rsidR="008B4CE7" w:rsidRPr="00B935F1" w:rsidRDefault="008B4CE7" w:rsidP="008B4CE7">
      <w:pPr>
        <w:pStyle w:val="ListParagraph"/>
        <w:ind w:left="0"/>
        <w:rPr>
          <w:rFonts w:cstheme="minorHAnsi"/>
          <w:szCs w:val="24"/>
        </w:rPr>
      </w:pPr>
      <w:r w:rsidRPr="00B935F1">
        <w:rPr>
          <w:rFonts w:cstheme="minorHAnsi"/>
          <w:noProof/>
          <w:szCs w:val="24"/>
          <w:lang w:val="en-AU" w:eastAsia="en-AU" w:bidi="bn-BD"/>
        </w:rPr>
        <w:drawing>
          <wp:inline distT="0" distB="0" distL="0" distR="0">
            <wp:extent cx="5760720" cy="3434477"/>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434477"/>
                    </a:xfrm>
                    <a:prstGeom prst="rect">
                      <a:avLst/>
                    </a:prstGeom>
                    <a:noFill/>
                  </pic:spPr>
                </pic:pic>
              </a:graphicData>
            </a:graphic>
          </wp:inline>
        </w:drawing>
      </w:r>
    </w:p>
    <w:p w:rsidR="008B4CE7" w:rsidRPr="00B935F1" w:rsidRDefault="008B4CE7" w:rsidP="008B4CE7">
      <w:pPr>
        <w:pStyle w:val="ListParagraph"/>
        <w:ind w:left="0"/>
        <w:rPr>
          <w:rFonts w:cstheme="minorHAnsi"/>
          <w:szCs w:val="24"/>
        </w:rPr>
      </w:pPr>
    </w:p>
    <w:p w:rsidR="008B4CE7" w:rsidRPr="00B935F1" w:rsidRDefault="008B4CE7" w:rsidP="008B4CE7">
      <w:pPr>
        <w:pStyle w:val="ListParagraph"/>
        <w:ind w:left="1080"/>
        <w:rPr>
          <w:rFonts w:cstheme="minorHAnsi"/>
          <w:i/>
          <w:szCs w:val="24"/>
        </w:rPr>
      </w:pPr>
      <w:r w:rsidRPr="00B935F1">
        <w:rPr>
          <w:rFonts w:cstheme="minorHAnsi"/>
          <w:i/>
          <w:szCs w:val="24"/>
        </w:rPr>
        <w:t>Legend: L: Labour; N: land; K: Capital Stock; C: Climate; W: Water</w:t>
      </w:r>
      <w:bookmarkStart w:id="426" w:name="_Toc452121439"/>
    </w:p>
    <w:p w:rsidR="008B4CE7" w:rsidRPr="00B935F1" w:rsidRDefault="008B4CE7" w:rsidP="008B4CE7">
      <w:pPr>
        <w:rPr>
          <w:b/>
          <w:szCs w:val="24"/>
        </w:rPr>
      </w:pPr>
    </w:p>
    <w:p w:rsidR="008B4CE7" w:rsidRPr="00B935F1" w:rsidRDefault="008B4CE7" w:rsidP="008B4CE7">
      <w:pPr>
        <w:pStyle w:val="Heading3"/>
        <w:tabs>
          <w:tab w:val="num" w:pos="720"/>
        </w:tabs>
        <w:spacing w:before="120" w:after="120"/>
        <w:ind w:left="0" w:firstLine="0"/>
      </w:pPr>
      <w:r w:rsidRPr="00B935F1">
        <w:t>Key Features of the Policy options</w:t>
      </w:r>
      <w:bookmarkEnd w:id="426"/>
    </w:p>
    <w:p w:rsidR="008B4CE7" w:rsidRPr="00B935F1" w:rsidRDefault="008B4CE7" w:rsidP="008B4CE7">
      <w:pPr>
        <w:rPr>
          <w:rFonts w:cs="Times New Roman"/>
          <w:szCs w:val="24"/>
        </w:rPr>
      </w:pPr>
      <w:r w:rsidRPr="00B935F1">
        <w:rPr>
          <w:rFonts w:cs="Times New Roman"/>
          <w:szCs w:val="24"/>
        </w:rPr>
        <w:t xml:space="preserve">In order to illustrate the role of BDP2100 and its contribution to the long-term development of Bangladesh, two policy options are considered. </w:t>
      </w:r>
    </w:p>
    <w:p w:rsidR="00000000" w:rsidRDefault="008B4CE7" w:rsidP="003D5A31">
      <w:pPr>
        <w:pStyle w:val="ListParagraph"/>
        <w:numPr>
          <w:ilvl w:val="0"/>
          <w:numId w:val="163"/>
        </w:numPr>
        <w:spacing w:before="120" w:after="120" w:line="276" w:lineRule="auto"/>
        <w:ind w:left="360"/>
        <w:jc w:val="both"/>
        <w:rPr>
          <w:rFonts w:cs="Times New Roman"/>
          <w:szCs w:val="24"/>
        </w:rPr>
      </w:pPr>
      <w:r w:rsidRPr="00B935F1">
        <w:rPr>
          <w:rFonts w:cs="Times New Roman"/>
          <w:i/>
          <w:szCs w:val="24"/>
        </w:rPr>
        <w:lastRenderedPageBreak/>
        <w:t>First</w:t>
      </w:r>
      <w:r w:rsidRPr="00B935F1">
        <w:rPr>
          <w:rFonts w:cs="Times New Roman"/>
          <w:szCs w:val="24"/>
        </w:rPr>
        <w:t xml:space="preserve"> policy option refers to the </w:t>
      </w:r>
      <w:r w:rsidRPr="00B935F1">
        <w:rPr>
          <w:rFonts w:cs="Times New Roman"/>
          <w:b/>
          <w:i/>
          <w:szCs w:val="24"/>
        </w:rPr>
        <w:t>Business As Usual (BAU) Policy option</w:t>
      </w:r>
      <w:r w:rsidRPr="00B935F1">
        <w:rPr>
          <w:rFonts w:cs="Times New Roman"/>
          <w:szCs w:val="24"/>
        </w:rPr>
        <w:t xml:space="preserve">.  This policy option introduces the adverse effects of the climate change and natural hazards to the economic and social trends derived from the Perspective Plan and the Seventh Five year Plan to show how these effects change the base case outcomes with respect to growth, employment and poverty. All policies envisaged under the Seventh Plan are in place except the implementation of the Delta Plan.  </w:t>
      </w:r>
      <w:r w:rsidRPr="009612DD">
        <w:rPr>
          <w:rFonts w:cs="Times New Roman"/>
          <w:bCs/>
          <w:i/>
          <w:iCs/>
          <w:szCs w:val="24"/>
        </w:rPr>
        <w:t>This is in some sense the business as usual policy option of the present times where a coordinated effort to manage the delta risks and hazards does not exist.</w:t>
      </w:r>
      <w:r w:rsidRPr="00B935F1">
        <w:rPr>
          <w:rFonts w:cs="Times New Roman"/>
          <w:szCs w:val="24"/>
        </w:rPr>
        <w:t xml:space="preserve"> This BAU Risk Prone Policy option provides a description of long-term socio-economic outcomes for Bangladesh in the event the projected natural hazards and climate change risks materializes and a concerted effort to counter these risks through the adoption of the Delta Plan does not happen.</w:t>
      </w:r>
    </w:p>
    <w:p w:rsidR="008B4CE7" w:rsidRPr="009612DD" w:rsidRDefault="008B4CE7" w:rsidP="008B4CE7">
      <w:pPr>
        <w:pStyle w:val="ListParagraph"/>
        <w:numPr>
          <w:ilvl w:val="0"/>
          <w:numId w:val="24"/>
        </w:numPr>
        <w:spacing w:before="120" w:after="120" w:line="276" w:lineRule="auto"/>
        <w:ind w:left="360"/>
        <w:contextualSpacing w:val="0"/>
        <w:jc w:val="both"/>
        <w:rPr>
          <w:rFonts w:cs="Times New Roman"/>
          <w:bCs/>
          <w:i/>
          <w:iCs/>
          <w:szCs w:val="24"/>
        </w:rPr>
      </w:pPr>
      <w:r w:rsidRPr="00B935F1">
        <w:rPr>
          <w:rFonts w:cs="Times New Roman"/>
          <w:i/>
          <w:szCs w:val="24"/>
        </w:rPr>
        <w:t xml:space="preserve">Second </w:t>
      </w:r>
      <w:r w:rsidRPr="00B935F1">
        <w:rPr>
          <w:rFonts w:cs="Times New Roman"/>
          <w:szCs w:val="24"/>
        </w:rPr>
        <w:t xml:space="preserve">policy option is the </w:t>
      </w:r>
      <w:r w:rsidRPr="00B935F1">
        <w:rPr>
          <w:rFonts w:cs="Times New Roman"/>
          <w:b/>
          <w:i/>
          <w:szCs w:val="24"/>
        </w:rPr>
        <w:t>Delta Plan Policy option</w:t>
      </w:r>
      <w:r w:rsidRPr="00B935F1">
        <w:rPr>
          <w:rFonts w:cs="Times New Roman"/>
          <w:szCs w:val="24"/>
        </w:rPr>
        <w:t xml:space="preserve">, requiring </w:t>
      </w:r>
      <w:r w:rsidRPr="009612DD">
        <w:rPr>
          <w:rFonts w:cs="Times New Roman"/>
          <w:bCs/>
          <w:i/>
          <w:iCs/>
          <w:szCs w:val="24"/>
        </w:rPr>
        <w:t>strong climate change and other delta related adaptation measures to achieve higher and sustainable growth trajectories in the face of the various weather-related natural hazards and risks, thereby ensuring that the government’s long-term objective o</w:t>
      </w:r>
      <w:r>
        <w:rPr>
          <w:rFonts w:cs="Times New Roman"/>
          <w:bCs/>
          <w:i/>
          <w:iCs/>
          <w:szCs w:val="24"/>
        </w:rPr>
        <w:t xml:space="preserve">f </w:t>
      </w:r>
      <w:r w:rsidRPr="009612DD">
        <w:rPr>
          <w:rFonts w:cs="Times New Roman"/>
          <w:bCs/>
          <w:i/>
          <w:iCs/>
          <w:szCs w:val="24"/>
        </w:rPr>
        <w:t>eliminating extreme poverty and the objective of achieving high middle income status by FY20</w:t>
      </w:r>
      <w:r>
        <w:rPr>
          <w:rFonts w:cs="Times New Roman"/>
          <w:bCs/>
          <w:i/>
          <w:iCs/>
          <w:szCs w:val="24"/>
        </w:rPr>
        <w:t>30-</w:t>
      </w:r>
      <w:r w:rsidRPr="009612DD">
        <w:rPr>
          <w:rFonts w:cs="Times New Roman"/>
          <w:bCs/>
          <w:i/>
          <w:iCs/>
          <w:szCs w:val="24"/>
        </w:rPr>
        <w:t>31</w:t>
      </w:r>
      <w:r>
        <w:rPr>
          <w:rFonts w:cs="Times New Roman"/>
          <w:bCs/>
          <w:i/>
          <w:iCs/>
          <w:szCs w:val="24"/>
        </w:rPr>
        <w:t xml:space="preserve"> and being a prosperous country beyond 2041 are</w:t>
      </w:r>
      <w:r w:rsidRPr="009612DD">
        <w:rPr>
          <w:rFonts w:cs="Times New Roman"/>
          <w:bCs/>
          <w:i/>
          <w:iCs/>
          <w:szCs w:val="24"/>
        </w:rPr>
        <w:t xml:space="preserve"> secured. </w:t>
      </w:r>
    </w:p>
    <w:p w:rsidR="008B4CE7" w:rsidRPr="00B935F1" w:rsidRDefault="008B4CE7" w:rsidP="008B4CE7">
      <w:pPr>
        <w:pStyle w:val="Heading2"/>
        <w:tabs>
          <w:tab w:val="num" w:pos="576"/>
        </w:tabs>
        <w:spacing w:before="160" w:after="160"/>
        <w:ind w:left="0" w:firstLine="0"/>
        <w:jc w:val="left"/>
      </w:pPr>
      <w:bookmarkStart w:id="427" w:name="_Toc452121441"/>
      <w:bookmarkStart w:id="428" w:name="_Toc460496852"/>
      <w:bookmarkStart w:id="429" w:name="_Toc464328763"/>
      <w:r w:rsidRPr="00B935F1">
        <w:t xml:space="preserve">Business as Usual (BAU) </w:t>
      </w:r>
      <w:bookmarkEnd w:id="427"/>
      <w:bookmarkEnd w:id="428"/>
      <w:bookmarkEnd w:id="429"/>
      <w:r w:rsidRPr="00B935F1">
        <w:t>Policy option</w:t>
      </w:r>
    </w:p>
    <w:p w:rsidR="008B4CE7" w:rsidRPr="00B935F1" w:rsidRDefault="008B4CE7" w:rsidP="008B4CE7">
      <w:pPr>
        <w:rPr>
          <w:rFonts w:cs="Times New Roman"/>
          <w:szCs w:val="24"/>
        </w:rPr>
      </w:pPr>
      <w:r w:rsidRPr="00B935F1">
        <w:rPr>
          <w:rFonts w:cs="Times New Roman"/>
          <w:szCs w:val="24"/>
        </w:rPr>
        <w:t xml:space="preserve">Ignoring the risks posed by natural disasters and climate change would have serious adverse consequences for development outcomes in Bangladesh.  As noted in Chapter 1, Bangladesh is one of the most vulnerable countries in the world considering the implications of global warming and the sea level rise.  Bangladesh would face huge risks because of increase in soil salinity, drought, cyclone, river erosion and flood which would affect not only agriculture production but also impact all other sectors. </w:t>
      </w:r>
    </w:p>
    <w:p w:rsidR="008B4CE7" w:rsidRPr="00B935F1" w:rsidRDefault="008B4CE7" w:rsidP="008B4CE7">
      <w:pPr>
        <w:pStyle w:val="Heading3"/>
        <w:tabs>
          <w:tab w:val="num" w:pos="720"/>
        </w:tabs>
        <w:spacing w:before="120" w:after="120"/>
        <w:ind w:left="0" w:firstLine="0"/>
      </w:pPr>
      <w:r w:rsidRPr="00B935F1">
        <w:t>Simulation Outcomes of BAU Policy option</w:t>
      </w:r>
    </w:p>
    <w:p w:rsidR="008B4CE7" w:rsidRPr="00FC2801" w:rsidRDefault="008B4CE7" w:rsidP="008B4CE7">
      <w:pPr>
        <w:pStyle w:val="Heading4"/>
      </w:pPr>
      <w:r w:rsidRPr="00FC2801">
        <w:t>Possible Environment Risks in Bangladesh</w:t>
      </w:r>
      <w:r w:rsidRPr="00FC2801">
        <w:rPr>
          <w:vertAlign w:val="superscript"/>
        </w:rPr>
        <w:footnoteReference w:id="14"/>
      </w:r>
    </w:p>
    <w:p w:rsidR="008B4CE7" w:rsidRPr="00B935F1" w:rsidRDefault="008B4CE7" w:rsidP="008B4CE7">
      <w:pPr>
        <w:rPr>
          <w:rFonts w:cs="Times New Roman"/>
          <w:bCs/>
          <w:szCs w:val="24"/>
        </w:rPr>
      </w:pPr>
      <w:r w:rsidRPr="00B935F1">
        <w:rPr>
          <w:rFonts w:cs="Times New Roman"/>
          <w:bCs/>
          <w:szCs w:val="24"/>
        </w:rPr>
        <w:t xml:space="preserve">The specific risks faced by the various hotspots were discussed in detail in Chapters 1 and 2. On average, the districts of the </w:t>
      </w:r>
      <w:r w:rsidRPr="00C52086">
        <w:rPr>
          <w:rFonts w:cs="Times New Roman"/>
          <w:bCs/>
          <w:i/>
          <w:iCs/>
          <w:szCs w:val="24"/>
        </w:rPr>
        <w:t>Rivers and Estuaries Hotspot and the Coastal Hotspot face the most intense risk.</w:t>
      </w:r>
      <w:r w:rsidRPr="00B935F1">
        <w:rPr>
          <w:rFonts w:cs="Times New Roman"/>
          <w:bCs/>
          <w:szCs w:val="24"/>
        </w:rPr>
        <w:t xml:space="preserve">  The possible risks and likely impact are shown in Box 5.2.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350"/>
      </w:tblGrid>
      <w:tr w:rsidR="008B4CE7" w:rsidRPr="00B935F1" w:rsidTr="00F0207D">
        <w:trPr>
          <w:trHeight w:val="144"/>
        </w:trPr>
        <w:tc>
          <w:tcPr>
            <w:tcW w:w="9350" w:type="dxa"/>
          </w:tcPr>
          <w:tbl>
            <w:tblPr>
              <w:tblW w:w="0" w:type="auto"/>
              <w:shd w:val="clear" w:color="auto" w:fill="DAEEF3"/>
              <w:tblLook w:val="04A0"/>
            </w:tblPr>
            <w:tblGrid>
              <w:gridCol w:w="1350"/>
              <w:gridCol w:w="950"/>
              <w:gridCol w:w="886"/>
              <w:gridCol w:w="1643"/>
              <w:gridCol w:w="918"/>
              <w:gridCol w:w="1109"/>
              <w:gridCol w:w="1139"/>
              <w:gridCol w:w="1139"/>
            </w:tblGrid>
            <w:tr w:rsidR="008B4CE7" w:rsidRPr="00C52086" w:rsidTr="00F0207D">
              <w:trPr>
                <w:trHeight w:val="20"/>
              </w:trPr>
              <w:tc>
                <w:tcPr>
                  <w:tcW w:w="9134" w:type="dxa"/>
                  <w:gridSpan w:val="8"/>
                  <w:tcBorders>
                    <w:top w:val="single" w:sz="4" w:space="0" w:color="auto"/>
                    <w:bottom w:val="single" w:sz="4" w:space="0" w:color="auto"/>
                  </w:tcBorders>
                  <w:shd w:val="clear" w:color="auto" w:fill="DAEEF3"/>
                  <w:vAlign w:val="center"/>
                </w:tcPr>
                <w:p w:rsidR="008B4CE7" w:rsidRPr="00C52086" w:rsidRDefault="008B4CE7" w:rsidP="00F0207D">
                  <w:pPr>
                    <w:pStyle w:val="Heading7"/>
                    <w:rPr>
                      <w:sz w:val="16"/>
                      <w:szCs w:val="16"/>
                    </w:rPr>
                  </w:pPr>
                  <w:bookmarkStart w:id="430" w:name="_Toc460497253"/>
                  <w:bookmarkStart w:id="431" w:name="_Toc464329152"/>
                  <w:r w:rsidRPr="00C52086">
                    <w:rPr>
                      <w:sz w:val="16"/>
                      <w:szCs w:val="16"/>
                    </w:rPr>
                    <w:t>Box 5.2: Assumptions: Environmental Risk Parameters</w:t>
                  </w:r>
                  <w:bookmarkEnd w:id="430"/>
                  <w:bookmarkEnd w:id="431"/>
                </w:p>
              </w:tc>
            </w:tr>
            <w:tr w:rsidR="008B4CE7" w:rsidRPr="00C52086" w:rsidTr="00F0207D">
              <w:trPr>
                <w:trHeight w:val="20"/>
              </w:trPr>
              <w:tc>
                <w:tcPr>
                  <w:tcW w:w="1350"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rPr>
                  </w:pPr>
                </w:p>
              </w:tc>
              <w:tc>
                <w:tcPr>
                  <w:tcW w:w="950"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vertAlign w:val="superscript"/>
                    </w:rPr>
                  </w:pPr>
                  <w:r w:rsidRPr="00C52086">
                    <w:rPr>
                      <w:rFonts w:cs="Times New Roman"/>
                      <w:sz w:val="16"/>
                      <w:szCs w:val="16"/>
                    </w:rPr>
                    <w:t>Cyclone</w:t>
                  </w:r>
                  <w:r w:rsidRPr="00C52086">
                    <w:rPr>
                      <w:rFonts w:cs="Times New Roman"/>
                      <w:sz w:val="16"/>
                      <w:szCs w:val="16"/>
                      <w:vertAlign w:val="superscript"/>
                    </w:rPr>
                    <w:t>1</w:t>
                  </w:r>
                </w:p>
              </w:tc>
              <w:tc>
                <w:tcPr>
                  <w:tcW w:w="886"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vertAlign w:val="superscript"/>
                    </w:rPr>
                  </w:pPr>
                  <w:r w:rsidRPr="00C52086">
                    <w:rPr>
                      <w:rFonts w:cs="Times New Roman"/>
                      <w:sz w:val="16"/>
                      <w:szCs w:val="16"/>
                    </w:rPr>
                    <w:t>Flood</w:t>
                  </w:r>
                  <w:r w:rsidRPr="00C52086">
                    <w:rPr>
                      <w:rFonts w:cs="Times New Roman"/>
                      <w:sz w:val="16"/>
                      <w:szCs w:val="16"/>
                      <w:vertAlign w:val="superscript"/>
                    </w:rPr>
                    <w:t>2</w:t>
                  </w:r>
                </w:p>
              </w:tc>
              <w:tc>
                <w:tcPr>
                  <w:tcW w:w="1643"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vertAlign w:val="superscript"/>
                    </w:rPr>
                  </w:pPr>
                  <w:r w:rsidRPr="00C52086">
                    <w:rPr>
                      <w:rFonts w:cs="Times New Roman"/>
                      <w:sz w:val="16"/>
                      <w:szCs w:val="16"/>
                    </w:rPr>
                    <w:t>River Erosion and Sea level Rise</w:t>
                  </w:r>
                  <w:r w:rsidRPr="00C52086">
                    <w:rPr>
                      <w:rFonts w:cs="Times New Roman"/>
                      <w:sz w:val="16"/>
                      <w:szCs w:val="16"/>
                      <w:vertAlign w:val="superscript"/>
                    </w:rPr>
                    <w:t>*3</w:t>
                  </w:r>
                </w:p>
              </w:tc>
              <w:tc>
                <w:tcPr>
                  <w:tcW w:w="918"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vertAlign w:val="superscript"/>
                    </w:rPr>
                  </w:pPr>
                  <w:r w:rsidRPr="00C52086">
                    <w:rPr>
                      <w:rFonts w:cs="Times New Roman"/>
                      <w:sz w:val="16"/>
                      <w:szCs w:val="16"/>
                    </w:rPr>
                    <w:t>Salinity</w:t>
                  </w:r>
                  <w:r w:rsidRPr="00C52086">
                    <w:rPr>
                      <w:rFonts w:cs="Times New Roman"/>
                      <w:sz w:val="16"/>
                      <w:szCs w:val="16"/>
                      <w:vertAlign w:val="superscript"/>
                    </w:rPr>
                    <w:t>4</w:t>
                  </w:r>
                </w:p>
              </w:tc>
              <w:tc>
                <w:tcPr>
                  <w:tcW w:w="1109"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vertAlign w:val="superscript"/>
                    </w:rPr>
                  </w:pPr>
                  <w:r w:rsidRPr="00C52086">
                    <w:rPr>
                      <w:rFonts w:cs="Times New Roman"/>
                      <w:sz w:val="16"/>
                      <w:szCs w:val="16"/>
                    </w:rPr>
                    <w:t>Drought</w:t>
                  </w:r>
                  <w:r w:rsidRPr="00C52086">
                    <w:rPr>
                      <w:rFonts w:cs="Times New Roman"/>
                      <w:sz w:val="16"/>
                      <w:szCs w:val="16"/>
                      <w:vertAlign w:val="superscript"/>
                    </w:rPr>
                    <w:t>5</w:t>
                  </w:r>
                </w:p>
              </w:tc>
              <w:tc>
                <w:tcPr>
                  <w:tcW w:w="1139"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vertAlign w:val="superscript"/>
                    </w:rPr>
                  </w:pPr>
                  <w:r w:rsidRPr="00C52086">
                    <w:rPr>
                      <w:rFonts w:cs="Times New Roman"/>
                      <w:sz w:val="16"/>
                      <w:szCs w:val="16"/>
                    </w:rPr>
                    <w:t>Siltation in water-ways</w:t>
                  </w:r>
                  <w:r w:rsidRPr="00C52086">
                    <w:rPr>
                      <w:rFonts w:cs="Times New Roman"/>
                      <w:sz w:val="16"/>
                      <w:szCs w:val="16"/>
                      <w:vertAlign w:val="superscript"/>
                    </w:rPr>
                    <w:t>6</w:t>
                  </w:r>
                </w:p>
              </w:tc>
              <w:tc>
                <w:tcPr>
                  <w:tcW w:w="1139"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vertAlign w:val="superscript"/>
                    </w:rPr>
                  </w:pPr>
                  <w:r w:rsidRPr="00C52086">
                    <w:rPr>
                      <w:rFonts w:cs="Times New Roman"/>
                      <w:sz w:val="16"/>
                      <w:szCs w:val="16"/>
                    </w:rPr>
                    <w:t>Water shortage</w:t>
                  </w:r>
                  <w:r w:rsidRPr="00C52086">
                    <w:rPr>
                      <w:rFonts w:cs="Times New Roman"/>
                      <w:sz w:val="16"/>
                      <w:szCs w:val="16"/>
                      <w:vertAlign w:val="superscript"/>
                    </w:rPr>
                    <w:t>7</w:t>
                  </w:r>
                </w:p>
              </w:tc>
            </w:tr>
            <w:tr w:rsidR="008B4CE7" w:rsidRPr="00C52086" w:rsidTr="00F0207D">
              <w:trPr>
                <w:trHeight w:val="20"/>
              </w:trPr>
              <w:tc>
                <w:tcPr>
                  <w:tcW w:w="1350"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rPr>
                  </w:pPr>
                </w:p>
              </w:tc>
              <w:tc>
                <w:tcPr>
                  <w:tcW w:w="950"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rPr>
                  </w:pPr>
                  <w:r w:rsidRPr="00C52086">
                    <w:rPr>
                      <w:rFonts w:cs="Times New Roman"/>
                      <w:sz w:val="16"/>
                      <w:szCs w:val="16"/>
                    </w:rPr>
                    <w:t>% of income loss</w:t>
                  </w:r>
                </w:p>
              </w:tc>
              <w:tc>
                <w:tcPr>
                  <w:tcW w:w="886"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rPr>
                  </w:pPr>
                  <w:r w:rsidRPr="00C52086">
                    <w:rPr>
                      <w:rFonts w:cs="Times New Roman"/>
                      <w:sz w:val="16"/>
                      <w:szCs w:val="16"/>
                    </w:rPr>
                    <w:t>% of income loss</w:t>
                  </w:r>
                </w:p>
              </w:tc>
              <w:tc>
                <w:tcPr>
                  <w:tcW w:w="1643"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rPr>
                  </w:pPr>
                  <w:r w:rsidRPr="00C52086">
                    <w:rPr>
                      <w:rFonts w:cs="Times New Roman"/>
                      <w:sz w:val="16"/>
                      <w:szCs w:val="16"/>
                    </w:rPr>
                    <w:t>% decrease in  net cultivable area</w:t>
                  </w:r>
                </w:p>
              </w:tc>
              <w:tc>
                <w:tcPr>
                  <w:tcW w:w="918"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rPr>
                  </w:pPr>
                  <w:r w:rsidRPr="00C52086">
                    <w:rPr>
                      <w:rFonts w:cs="Times New Roman"/>
                      <w:sz w:val="16"/>
                      <w:szCs w:val="16"/>
                    </w:rPr>
                    <w:t xml:space="preserve">% of income loss  </w:t>
                  </w:r>
                </w:p>
              </w:tc>
              <w:tc>
                <w:tcPr>
                  <w:tcW w:w="1109"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rPr>
                  </w:pPr>
                  <w:r w:rsidRPr="00C52086">
                    <w:rPr>
                      <w:rFonts w:cs="Times New Roman"/>
                      <w:sz w:val="16"/>
                      <w:szCs w:val="16"/>
                    </w:rPr>
                    <w:t>% decrease in  net cultivable area</w:t>
                  </w:r>
                </w:p>
              </w:tc>
              <w:tc>
                <w:tcPr>
                  <w:tcW w:w="1139"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rPr>
                  </w:pPr>
                  <w:r w:rsidRPr="00C52086">
                    <w:rPr>
                      <w:rFonts w:cs="Times New Roman"/>
                      <w:sz w:val="16"/>
                      <w:szCs w:val="16"/>
                    </w:rPr>
                    <w:t>Distribution of loss  in total loss of .20% of GDP</w:t>
                  </w:r>
                </w:p>
              </w:tc>
              <w:tc>
                <w:tcPr>
                  <w:tcW w:w="1139" w:type="dxa"/>
                  <w:tcBorders>
                    <w:top w:val="single" w:sz="4" w:space="0" w:color="auto"/>
                    <w:bottom w:val="single" w:sz="4" w:space="0" w:color="auto"/>
                  </w:tcBorders>
                  <w:shd w:val="clear" w:color="auto" w:fill="DAEEF3"/>
                  <w:vAlign w:val="center"/>
                </w:tcPr>
                <w:p w:rsidR="008B4CE7" w:rsidRPr="00C52086" w:rsidRDefault="008B4CE7" w:rsidP="00F0207D">
                  <w:pPr>
                    <w:spacing w:after="0"/>
                    <w:jc w:val="center"/>
                    <w:rPr>
                      <w:rFonts w:cs="Times New Roman"/>
                      <w:sz w:val="16"/>
                      <w:szCs w:val="16"/>
                    </w:rPr>
                  </w:pPr>
                  <w:r w:rsidRPr="00C52086">
                    <w:rPr>
                      <w:rFonts w:cs="Times New Roman"/>
                      <w:sz w:val="16"/>
                      <w:szCs w:val="16"/>
                    </w:rPr>
                    <w:t>Distribution of loss in total loss of .05% of GDP</w:t>
                  </w:r>
                </w:p>
              </w:tc>
            </w:tr>
            <w:tr w:rsidR="008B4CE7" w:rsidRPr="00C52086" w:rsidTr="00F0207D">
              <w:trPr>
                <w:trHeight w:val="20"/>
              </w:trPr>
              <w:tc>
                <w:tcPr>
                  <w:tcW w:w="1350" w:type="dxa"/>
                  <w:tcBorders>
                    <w:top w:val="single" w:sz="4" w:space="0" w:color="auto"/>
                  </w:tcBorders>
                  <w:shd w:val="clear" w:color="auto" w:fill="DAEEF3"/>
                </w:tcPr>
                <w:p w:rsidR="008B4CE7" w:rsidRPr="00C52086" w:rsidRDefault="008B4CE7" w:rsidP="00F0207D">
                  <w:pPr>
                    <w:spacing w:after="0"/>
                    <w:rPr>
                      <w:rFonts w:cs="Times New Roman"/>
                      <w:sz w:val="16"/>
                      <w:szCs w:val="16"/>
                    </w:rPr>
                  </w:pPr>
                  <w:r w:rsidRPr="00C52086">
                    <w:rPr>
                      <w:rFonts w:cs="Times New Roman"/>
                      <w:sz w:val="16"/>
                      <w:szCs w:val="16"/>
                    </w:rPr>
                    <w:lastRenderedPageBreak/>
                    <w:t>Haor Region</w:t>
                  </w:r>
                </w:p>
              </w:tc>
              <w:tc>
                <w:tcPr>
                  <w:tcW w:w="950" w:type="dxa"/>
                  <w:tcBorders>
                    <w:top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5</w:t>
                  </w:r>
                </w:p>
              </w:tc>
              <w:tc>
                <w:tcPr>
                  <w:tcW w:w="886" w:type="dxa"/>
                  <w:tcBorders>
                    <w:top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10</w:t>
                  </w:r>
                </w:p>
              </w:tc>
              <w:tc>
                <w:tcPr>
                  <w:tcW w:w="1643" w:type="dxa"/>
                  <w:tcBorders>
                    <w:top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0.30</w:t>
                  </w:r>
                </w:p>
              </w:tc>
              <w:tc>
                <w:tcPr>
                  <w:tcW w:w="918" w:type="dxa"/>
                  <w:tcBorders>
                    <w:top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09" w:type="dxa"/>
                  <w:tcBorders>
                    <w:top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39" w:type="dxa"/>
                  <w:tcBorders>
                    <w:top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10</w:t>
                  </w:r>
                </w:p>
              </w:tc>
              <w:tc>
                <w:tcPr>
                  <w:tcW w:w="1139" w:type="dxa"/>
                  <w:tcBorders>
                    <w:top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w:t>
                  </w:r>
                </w:p>
              </w:tc>
            </w:tr>
            <w:tr w:rsidR="008B4CE7" w:rsidRPr="00C52086" w:rsidTr="00F0207D">
              <w:trPr>
                <w:trHeight w:val="20"/>
              </w:trPr>
              <w:tc>
                <w:tcPr>
                  <w:tcW w:w="1350" w:type="dxa"/>
                  <w:shd w:val="clear" w:color="auto" w:fill="DAEEF3"/>
                </w:tcPr>
                <w:p w:rsidR="008B4CE7" w:rsidRPr="00C52086" w:rsidRDefault="008B4CE7" w:rsidP="00F0207D">
                  <w:pPr>
                    <w:spacing w:after="0"/>
                    <w:rPr>
                      <w:rFonts w:cs="Times New Roman"/>
                      <w:sz w:val="16"/>
                      <w:szCs w:val="16"/>
                    </w:rPr>
                  </w:pPr>
                  <w:r w:rsidRPr="00C52086">
                    <w:rPr>
                      <w:rFonts w:cs="Times New Roman"/>
                      <w:sz w:val="16"/>
                      <w:szCs w:val="16"/>
                    </w:rPr>
                    <w:t>Coastal Region</w:t>
                  </w:r>
                </w:p>
              </w:tc>
              <w:tc>
                <w:tcPr>
                  <w:tcW w:w="950"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45</w:t>
                  </w:r>
                </w:p>
              </w:tc>
              <w:tc>
                <w:tcPr>
                  <w:tcW w:w="886"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20</w:t>
                  </w:r>
                </w:p>
              </w:tc>
              <w:tc>
                <w:tcPr>
                  <w:tcW w:w="1643"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0.50</w:t>
                  </w:r>
                </w:p>
              </w:tc>
              <w:tc>
                <w:tcPr>
                  <w:tcW w:w="918"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0.30</w:t>
                  </w:r>
                </w:p>
              </w:tc>
              <w:tc>
                <w:tcPr>
                  <w:tcW w:w="110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20</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w:t>
                  </w:r>
                </w:p>
              </w:tc>
            </w:tr>
            <w:tr w:rsidR="008B4CE7" w:rsidRPr="00C52086" w:rsidTr="00F0207D">
              <w:trPr>
                <w:trHeight w:val="20"/>
              </w:trPr>
              <w:tc>
                <w:tcPr>
                  <w:tcW w:w="1350" w:type="dxa"/>
                  <w:shd w:val="clear" w:color="auto" w:fill="DAEEF3"/>
                </w:tcPr>
                <w:p w:rsidR="008B4CE7" w:rsidRPr="00C52086" w:rsidRDefault="008B4CE7" w:rsidP="00F0207D">
                  <w:pPr>
                    <w:spacing w:after="0"/>
                    <w:rPr>
                      <w:rFonts w:cs="Times New Roman"/>
                      <w:sz w:val="16"/>
                      <w:szCs w:val="16"/>
                    </w:rPr>
                  </w:pPr>
                  <w:r w:rsidRPr="00C52086">
                    <w:rPr>
                      <w:rFonts w:cs="Times New Roman"/>
                      <w:sz w:val="16"/>
                      <w:szCs w:val="16"/>
                    </w:rPr>
                    <w:t>River Estuary Region</w:t>
                  </w:r>
                </w:p>
              </w:tc>
              <w:tc>
                <w:tcPr>
                  <w:tcW w:w="950"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25</w:t>
                  </w:r>
                </w:p>
              </w:tc>
              <w:tc>
                <w:tcPr>
                  <w:tcW w:w="886"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40</w:t>
                  </w:r>
                </w:p>
              </w:tc>
              <w:tc>
                <w:tcPr>
                  <w:tcW w:w="1643"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0.60</w:t>
                  </w:r>
                </w:p>
              </w:tc>
              <w:tc>
                <w:tcPr>
                  <w:tcW w:w="918"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0.20</w:t>
                  </w:r>
                </w:p>
              </w:tc>
              <w:tc>
                <w:tcPr>
                  <w:tcW w:w="110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34</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w:t>
                  </w:r>
                </w:p>
              </w:tc>
            </w:tr>
            <w:tr w:rsidR="008B4CE7" w:rsidRPr="00C52086" w:rsidTr="00F0207D">
              <w:trPr>
                <w:trHeight w:val="20"/>
              </w:trPr>
              <w:tc>
                <w:tcPr>
                  <w:tcW w:w="1350" w:type="dxa"/>
                  <w:shd w:val="clear" w:color="auto" w:fill="DAEEF3"/>
                </w:tcPr>
                <w:p w:rsidR="008B4CE7" w:rsidRPr="00C52086" w:rsidRDefault="008B4CE7" w:rsidP="00F0207D">
                  <w:pPr>
                    <w:spacing w:after="0"/>
                    <w:rPr>
                      <w:rFonts w:cs="Times New Roman"/>
                      <w:sz w:val="16"/>
                      <w:szCs w:val="16"/>
                    </w:rPr>
                  </w:pPr>
                  <w:r w:rsidRPr="00C52086">
                    <w:rPr>
                      <w:rFonts w:cs="Times New Roman"/>
                      <w:sz w:val="16"/>
                      <w:szCs w:val="16"/>
                    </w:rPr>
                    <w:t>Drought Prone Region</w:t>
                  </w:r>
                </w:p>
              </w:tc>
              <w:tc>
                <w:tcPr>
                  <w:tcW w:w="950"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5</w:t>
                  </w:r>
                </w:p>
              </w:tc>
              <w:tc>
                <w:tcPr>
                  <w:tcW w:w="886"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10</w:t>
                  </w:r>
                </w:p>
              </w:tc>
              <w:tc>
                <w:tcPr>
                  <w:tcW w:w="1643"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918"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0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0.25</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15</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w:t>
                  </w:r>
                </w:p>
              </w:tc>
            </w:tr>
            <w:tr w:rsidR="008B4CE7" w:rsidRPr="00C52086" w:rsidTr="00F0207D">
              <w:trPr>
                <w:trHeight w:val="20"/>
              </w:trPr>
              <w:tc>
                <w:tcPr>
                  <w:tcW w:w="1350" w:type="dxa"/>
                  <w:shd w:val="clear" w:color="auto" w:fill="DAEEF3"/>
                </w:tcPr>
                <w:p w:rsidR="008B4CE7" w:rsidRPr="00C52086" w:rsidRDefault="008B4CE7" w:rsidP="00F0207D">
                  <w:pPr>
                    <w:spacing w:after="0"/>
                    <w:rPr>
                      <w:rFonts w:cs="Times New Roman"/>
                      <w:sz w:val="16"/>
                      <w:szCs w:val="16"/>
                    </w:rPr>
                  </w:pPr>
                  <w:r w:rsidRPr="00C52086">
                    <w:rPr>
                      <w:rFonts w:cs="Times New Roman"/>
                      <w:sz w:val="16"/>
                      <w:szCs w:val="16"/>
                    </w:rPr>
                    <w:t>Chittagong Hill Tract</w:t>
                  </w:r>
                </w:p>
              </w:tc>
              <w:tc>
                <w:tcPr>
                  <w:tcW w:w="950"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3</w:t>
                  </w:r>
                </w:p>
              </w:tc>
              <w:tc>
                <w:tcPr>
                  <w:tcW w:w="886"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2.5</w:t>
                  </w:r>
                </w:p>
              </w:tc>
              <w:tc>
                <w:tcPr>
                  <w:tcW w:w="1643"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0.01</w:t>
                  </w:r>
                </w:p>
              </w:tc>
              <w:tc>
                <w:tcPr>
                  <w:tcW w:w="918"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0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w:t>
                  </w:r>
                </w:p>
              </w:tc>
            </w:tr>
            <w:tr w:rsidR="008B4CE7" w:rsidRPr="00C52086" w:rsidTr="00F0207D">
              <w:trPr>
                <w:trHeight w:val="20"/>
              </w:trPr>
              <w:tc>
                <w:tcPr>
                  <w:tcW w:w="1350" w:type="dxa"/>
                  <w:shd w:val="clear" w:color="auto" w:fill="DAEEF3"/>
                </w:tcPr>
                <w:p w:rsidR="008B4CE7" w:rsidRPr="00C52086" w:rsidRDefault="008B4CE7" w:rsidP="00F0207D">
                  <w:pPr>
                    <w:spacing w:after="0"/>
                    <w:rPr>
                      <w:rFonts w:cs="Times New Roman"/>
                      <w:sz w:val="16"/>
                      <w:szCs w:val="16"/>
                    </w:rPr>
                  </w:pPr>
                  <w:r w:rsidRPr="00C52086">
                    <w:rPr>
                      <w:rFonts w:cs="Times New Roman"/>
                      <w:sz w:val="16"/>
                      <w:szCs w:val="16"/>
                    </w:rPr>
                    <w:t>Urban Region</w:t>
                  </w:r>
                </w:p>
              </w:tc>
              <w:tc>
                <w:tcPr>
                  <w:tcW w:w="950"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12</w:t>
                  </w:r>
                </w:p>
              </w:tc>
              <w:tc>
                <w:tcPr>
                  <w:tcW w:w="886"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10</w:t>
                  </w:r>
                </w:p>
              </w:tc>
              <w:tc>
                <w:tcPr>
                  <w:tcW w:w="1643"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0.10</w:t>
                  </w:r>
                </w:p>
              </w:tc>
              <w:tc>
                <w:tcPr>
                  <w:tcW w:w="918"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0.05</w:t>
                  </w:r>
                </w:p>
              </w:tc>
              <w:tc>
                <w:tcPr>
                  <w:tcW w:w="110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10</w:t>
                  </w:r>
                </w:p>
              </w:tc>
              <w:tc>
                <w:tcPr>
                  <w:tcW w:w="1139" w:type="dxa"/>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90</w:t>
                  </w:r>
                </w:p>
              </w:tc>
            </w:tr>
            <w:tr w:rsidR="008B4CE7" w:rsidRPr="00C52086" w:rsidTr="00F0207D">
              <w:trPr>
                <w:trHeight w:val="20"/>
              </w:trPr>
              <w:tc>
                <w:tcPr>
                  <w:tcW w:w="1350" w:type="dxa"/>
                  <w:tcBorders>
                    <w:bottom w:val="single" w:sz="4" w:space="0" w:color="auto"/>
                  </w:tcBorders>
                  <w:shd w:val="clear" w:color="auto" w:fill="DAEEF3"/>
                </w:tcPr>
                <w:p w:rsidR="008B4CE7" w:rsidRPr="00C52086" w:rsidRDefault="008B4CE7" w:rsidP="00F0207D">
                  <w:pPr>
                    <w:spacing w:after="0"/>
                    <w:rPr>
                      <w:rFonts w:cs="Times New Roman"/>
                      <w:sz w:val="16"/>
                      <w:szCs w:val="16"/>
                    </w:rPr>
                  </w:pPr>
                  <w:r w:rsidRPr="00C52086">
                    <w:rPr>
                      <w:rFonts w:cs="Times New Roman"/>
                      <w:sz w:val="16"/>
                      <w:szCs w:val="16"/>
                    </w:rPr>
                    <w:t>Less Disaster Prone Region</w:t>
                  </w:r>
                </w:p>
              </w:tc>
              <w:tc>
                <w:tcPr>
                  <w:tcW w:w="950" w:type="dxa"/>
                  <w:tcBorders>
                    <w:bottom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5</w:t>
                  </w:r>
                </w:p>
              </w:tc>
              <w:tc>
                <w:tcPr>
                  <w:tcW w:w="886" w:type="dxa"/>
                  <w:tcBorders>
                    <w:bottom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7.5</w:t>
                  </w:r>
                </w:p>
              </w:tc>
              <w:tc>
                <w:tcPr>
                  <w:tcW w:w="1643" w:type="dxa"/>
                  <w:tcBorders>
                    <w:bottom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0.30</w:t>
                  </w:r>
                </w:p>
              </w:tc>
              <w:tc>
                <w:tcPr>
                  <w:tcW w:w="918" w:type="dxa"/>
                  <w:tcBorders>
                    <w:bottom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09" w:type="dxa"/>
                  <w:tcBorders>
                    <w:bottom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0.0</w:t>
                  </w:r>
                </w:p>
              </w:tc>
              <w:tc>
                <w:tcPr>
                  <w:tcW w:w="1139" w:type="dxa"/>
                  <w:tcBorders>
                    <w:bottom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10</w:t>
                  </w:r>
                </w:p>
              </w:tc>
              <w:tc>
                <w:tcPr>
                  <w:tcW w:w="1139" w:type="dxa"/>
                  <w:tcBorders>
                    <w:bottom w:val="single" w:sz="4" w:space="0" w:color="auto"/>
                  </w:tcBorders>
                  <w:shd w:val="clear" w:color="auto" w:fill="DAEEF3"/>
                </w:tcPr>
                <w:p w:rsidR="008B4CE7" w:rsidRPr="00C52086" w:rsidRDefault="008B4CE7" w:rsidP="00F0207D">
                  <w:pPr>
                    <w:spacing w:after="0"/>
                    <w:jc w:val="center"/>
                    <w:rPr>
                      <w:rFonts w:cs="Times New Roman"/>
                      <w:sz w:val="16"/>
                      <w:szCs w:val="16"/>
                    </w:rPr>
                  </w:pPr>
                  <w:r w:rsidRPr="00C52086">
                    <w:rPr>
                      <w:rFonts w:cs="Times New Roman"/>
                      <w:sz w:val="16"/>
                      <w:szCs w:val="16"/>
                    </w:rPr>
                    <w:t>10</w:t>
                  </w:r>
                </w:p>
              </w:tc>
            </w:tr>
          </w:tbl>
          <w:p w:rsidR="008B4CE7" w:rsidRPr="00C52086" w:rsidRDefault="008B4CE7" w:rsidP="008B4CE7">
            <w:pPr>
              <w:pStyle w:val="ListParagraph"/>
              <w:numPr>
                <w:ilvl w:val="0"/>
                <w:numId w:val="18"/>
              </w:numPr>
              <w:spacing w:before="120" w:after="120" w:line="276" w:lineRule="auto"/>
              <w:ind w:left="360"/>
              <w:contextualSpacing w:val="0"/>
              <w:jc w:val="both"/>
              <w:rPr>
                <w:rFonts w:cs="Times New Roman"/>
                <w:bCs/>
                <w:i/>
                <w:iCs/>
                <w:szCs w:val="24"/>
              </w:rPr>
            </w:pPr>
            <w:r w:rsidRPr="00B935F1">
              <w:rPr>
                <w:rFonts w:cs="Times New Roman"/>
                <w:szCs w:val="24"/>
              </w:rPr>
              <w:t xml:space="preserve">This </w:t>
            </w:r>
            <w:r w:rsidRPr="00C52086">
              <w:rPr>
                <w:rFonts w:cs="Times New Roman"/>
                <w:szCs w:val="24"/>
              </w:rPr>
              <w:t>framework</w:t>
            </w:r>
            <w:r w:rsidRPr="00B935F1">
              <w:rPr>
                <w:rFonts w:cs="Times New Roman"/>
                <w:szCs w:val="24"/>
              </w:rPr>
              <w:t xml:space="preserve"> takes the estimates of ‘Cyclones in a Changing Climate: The Case of Bangladesh’ (Dasgupta et al, 2011) to forecast the losses incurred due to Cyclone from 2016 to 2041. From their estimation of losses and damages where, damages refer to the potential complete or partial destruction inflicted on assets and losses refer to the potential flow of goods and services not provided and increased costs of continuing essential services, amount of losses (after adjusting them for 2005 prices) are taken into account as it is assumed that real GDP would be decreased by the amount of loss. </w:t>
            </w:r>
            <w:r w:rsidRPr="00C52086">
              <w:rPr>
                <w:rFonts w:cs="Times New Roman"/>
                <w:bCs/>
                <w:i/>
                <w:iCs/>
                <w:szCs w:val="24"/>
              </w:rPr>
              <w:t xml:space="preserve">Now to forecast the loss, it is assumed that loss increases at a rate of ten percent each year without any adaptive/mitigating measures. </w:t>
            </w:r>
          </w:p>
          <w:p w:rsidR="008B4CE7" w:rsidRPr="00B935F1" w:rsidRDefault="008B4CE7" w:rsidP="008B4CE7">
            <w:pPr>
              <w:pStyle w:val="ListParagraph"/>
              <w:numPr>
                <w:ilvl w:val="0"/>
                <w:numId w:val="18"/>
              </w:numPr>
              <w:spacing w:before="120" w:after="120" w:line="276" w:lineRule="auto"/>
              <w:ind w:left="360"/>
              <w:contextualSpacing w:val="0"/>
              <w:jc w:val="both"/>
              <w:rPr>
                <w:rFonts w:cs="Times New Roman"/>
                <w:szCs w:val="24"/>
              </w:rPr>
            </w:pPr>
            <w:r w:rsidRPr="00B935F1">
              <w:rPr>
                <w:rFonts w:cs="Times New Roman"/>
                <w:szCs w:val="24"/>
              </w:rPr>
              <w:t xml:space="preserve">To forecast the losses of flood till 2041, this </w:t>
            </w:r>
            <w:r w:rsidRPr="00C52086">
              <w:rPr>
                <w:rFonts w:cs="Times New Roman"/>
                <w:szCs w:val="24"/>
              </w:rPr>
              <w:t>framework</w:t>
            </w:r>
            <w:r w:rsidRPr="00B935F1">
              <w:rPr>
                <w:rFonts w:cs="Times New Roman"/>
                <w:szCs w:val="24"/>
              </w:rPr>
              <w:t xml:space="preserve"> takes into account the loss incurred in the past, modified from Choudhury et al (2003). </w:t>
            </w:r>
            <w:r w:rsidRPr="00C52086">
              <w:rPr>
                <w:rFonts w:cs="Times New Roman"/>
                <w:bCs/>
                <w:i/>
                <w:iCs/>
                <w:szCs w:val="24"/>
              </w:rPr>
              <w:t xml:space="preserve">In a fifty-year period the total reported loss from flooding was estimated to be Tk. 492 billion.   To forecast for the period from 2016 to 2041, it is assumed that a total of Tk. 680.3 billion at constant prices loss would be incurred and it is assumed that it would increase at the rate of ten percent each year to accommodate increase in the intensity of lose as income increases. </w:t>
            </w:r>
            <w:r w:rsidRPr="00B935F1">
              <w:rPr>
                <w:rFonts w:cs="Times New Roman"/>
                <w:szCs w:val="24"/>
              </w:rPr>
              <w:t>And this loss also include the loss due to increase in rainfall, a consequence of global warming, and</w:t>
            </w:r>
            <w:r>
              <w:rPr>
                <w:rFonts w:cs="Times New Roman"/>
                <w:szCs w:val="24"/>
              </w:rPr>
              <w:t xml:space="preserve"> decrease</w:t>
            </w:r>
            <w:r w:rsidRPr="00B935F1">
              <w:rPr>
                <w:rFonts w:cs="Times New Roman"/>
                <w:szCs w:val="24"/>
              </w:rPr>
              <w:t xml:space="preserve"> in trans-boundary water flow.</w:t>
            </w:r>
          </w:p>
          <w:p w:rsidR="008B4CE7" w:rsidRPr="00B935F1" w:rsidRDefault="008B4CE7" w:rsidP="008B4CE7">
            <w:pPr>
              <w:pStyle w:val="ListParagraph"/>
              <w:numPr>
                <w:ilvl w:val="0"/>
                <w:numId w:val="18"/>
              </w:numPr>
              <w:spacing w:before="120" w:after="120" w:line="276" w:lineRule="auto"/>
              <w:ind w:left="360"/>
              <w:contextualSpacing w:val="0"/>
              <w:jc w:val="both"/>
              <w:rPr>
                <w:rFonts w:cs="Times New Roman"/>
                <w:szCs w:val="24"/>
              </w:rPr>
            </w:pPr>
            <w:r w:rsidRPr="00B935F1">
              <w:rPr>
                <w:rFonts w:cs="Times New Roman"/>
                <w:szCs w:val="24"/>
              </w:rPr>
              <w:t>To forecast the effect, this model assumes different percent of land loss across the region, according to their degrees of vulnerability, because of river erosion and sea level rise (only in coastal area).</w:t>
            </w:r>
          </w:p>
          <w:p w:rsidR="008B4CE7" w:rsidRPr="00B935F1" w:rsidRDefault="008B4CE7" w:rsidP="008B4CE7">
            <w:pPr>
              <w:pStyle w:val="ListParagraph"/>
              <w:numPr>
                <w:ilvl w:val="0"/>
                <w:numId w:val="18"/>
              </w:numPr>
              <w:spacing w:before="120" w:after="120" w:line="276" w:lineRule="auto"/>
              <w:ind w:left="360"/>
              <w:contextualSpacing w:val="0"/>
              <w:jc w:val="both"/>
              <w:rPr>
                <w:rFonts w:cs="Times New Roman"/>
                <w:szCs w:val="24"/>
              </w:rPr>
            </w:pPr>
            <w:r w:rsidRPr="00B935F1">
              <w:rPr>
                <w:rFonts w:cs="Times New Roman"/>
                <w:szCs w:val="24"/>
              </w:rPr>
              <w:t>To forecast the intrusion of salinity, this model takes the forecast of Dasgupta et al (2014). They estimated that the income of Barisal division would be decreased by a total of 10.5 percent in the period 2012-2050, which is the highest. Using their estimate, in this model it is assumed that in the coastal region the loss would be 0.3% of income annually. It is also assumed the annual loss in river estuaries and urban region would be 0.2% and 0.05% of income, respectively.</w:t>
            </w:r>
          </w:p>
          <w:p w:rsidR="008B4CE7" w:rsidRPr="00B935F1" w:rsidRDefault="008B4CE7" w:rsidP="008B4CE7">
            <w:pPr>
              <w:pStyle w:val="ListParagraph"/>
              <w:numPr>
                <w:ilvl w:val="0"/>
                <w:numId w:val="18"/>
              </w:numPr>
              <w:spacing w:before="120" w:after="120" w:line="276" w:lineRule="auto"/>
              <w:ind w:left="360"/>
              <w:contextualSpacing w:val="0"/>
              <w:jc w:val="both"/>
              <w:rPr>
                <w:rFonts w:cs="Times New Roman"/>
                <w:szCs w:val="24"/>
              </w:rPr>
            </w:pPr>
            <w:r w:rsidRPr="00B935F1">
              <w:rPr>
                <w:rFonts w:cs="Times New Roman"/>
                <w:szCs w:val="24"/>
              </w:rPr>
              <w:t xml:space="preserve">Because of unavailability of the impact of drought in Bangladesh, this model takes the assumption of .25% of cultivable land is lost due to drought in drought prone areas. </w:t>
            </w:r>
          </w:p>
          <w:p w:rsidR="008B4CE7" w:rsidRPr="00B935F1" w:rsidRDefault="008B4CE7" w:rsidP="008B4CE7">
            <w:pPr>
              <w:pStyle w:val="ListParagraph"/>
              <w:numPr>
                <w:ilvl w:val="0"/>
                <w:numId w:val="18"/>
              </w:numPr>
              <w:spacing w:before="120" w:after="120" w:line="276" w:lineRule="auto"/>
              <w:ind w:left="360"/>
              <w:contextualSpacing w:val="0"/>
              <w:jc w:val="both"/>
              <w:rPr>
                <w:rFonts w:cs="Times New Roman"/>
                <w:b/>
                <w:szCs w:val="24"/>
              </w:rPr>
            </w:pPr>
            <w:r w:rsidRPr="00B935F1">
              <w:rPr>
                <w:rFonts w:cs="Times New Roman"/>
                <w:szCs w:val="24"/>
              </w:rPr>
              <w:t>It is assumed that siltation in water-ways would account for a total of 0.20% decrease in GDP.</w:t>
            </w:r>
          </w:p>
          <w:p w:rsidR="008B4CE7" w:rsidRPr="00B935F1" w:rsidRDefault="008B4CE7" w:rsidP="008B4CE7">
            <w:pPr>
              <w:pStyle w:val="ListParagraph"/>
              <w:numPr>
                <w:ilvl w:val="0"/>
                <w:numId w:val="18"/>
              </w:numPr>
              <w:spacing w:before="120" w:after="120" w:line="276" w:lineRule="auto"/>
              <w:ind w:left="360"/>
              <w:jc w:val="both"/>
              <w:rPr>
                <w:rFonts w:cs="Times New Roman"/>
                <w:b/>
                <w:szCs w:val="24"/>
              </w:rPr>
            </w:pPr>
            <w:r w:rsidRPr="00B935F1">
              <w:rPr>
                <w:rFonts w:cs="Times New Roman"/>
                <w:szCs w:val="24"/>
              </w:rPr>
              <w:lastRenderedPageBreak/>
              <w:t>It is assumed that water shortage would account for a total of 0.05% decrease in GDP.</w:t>
            </w:r>
          </w:p>
        </w:tc>
      </w:tr>
    </w:tbl>
    <w:p w:rsidR="008B4CE7" w:rsidRPr="00B935F1" w:rsidRDefault="008B4CE7" w:rsidP="008B4CE7">
      <w:pPr>
        <w:rPr>
          <w:rFonts w:cs="Times New Roman"/>
          <w:szCs w:val="24"/>
        </w:rPr>
      </w:pPr>
      <w:r w:rsidRPr="00B935F1">
        <w:rPr>
          <w:rFonts w:cs="Times New Roman"/>
          <w:szCs w:val="24"/>
        </w:rPr>
        <w:lastRenderedPageBreak/>
        <w:t>*Sea level rise is only for coastal region</w:t>
      </w:r>
    </w:p>
    <w:p w:rsidR="008B4CE7" w:rsidRPr="00B935F1" w:rsidRDefault="008B4CE7" w:rsidP="008B4CE7">
      <w:pPr>
        <w:rPr>
          <w:rFonts w:cs="Times New Roman"/>
          <w:szCs w:val="24"/>
        </w:rPr>
      </w:pPr>
      <w:r w:rsidRPr="00B935F1">
        <w:rPr>
          <w:rFonts w:cs="Times New Roman"/>
          <w:szCs w:val="24"/>
        </w:rPr>
        <w:t xml:space="preserve">In the BAU policy option, an attempt has been made to capture all possible significant environmental risks that Bangladesh might be facing and their impacts on all major economic indicators are estimated for FY2016-41 period. It is envisaged that the impact of environmental risks would be more severe in the following important economic indicators: (i) per capita income; (ii) employment; (iii) infrastructure development; (iv) internal migration; and (v) poverty. </w:t>
      </w:r>
    </w:p>
    <w:p w:rsidR="008B4CE7" w:rsidRPr="00B935F1" w:rsidRDefault="008B4CE7" w:rsidP="008B4CE7">
      <w:pPr>
        <w:pStyle w:val="Heading3"/>
        <w:tabs>
          <w:tab w:val="num" w:pos="720"/>
        </w:tabs>
        <w:spacing w:before="120" w:after="120"/>
        <w:ind w:left="0" w:firstLine="0"/>
      </w:pPr>
      <w:r w:rsidRPr="00B935F1">
        <w:t>Per Capita GDP</w:t>
      </w:r>
    </w:p>
    <w:p w:rsidR="008B4CE7" w:rsidRPr="00B935F1" w:rsidRDefault="008B4CE7" w:rsidP="008B4CE7">
      <w:pPr>
        <w:rPr>
          <w:rFonts w:cs="Times New Roman"/>
          <w:szCs w:val="24"/>
        </w:rPr>
      </w:pPr>
      <w:r w:rsidRPr="00B935F1">
        <w:rPr>
          <w:rFonts w:cs="Times New Roman"/>
          <w:szCs w:val="24"/>
        </w:rPr>
        <w:t xml:space="preserve">Incorporating climate change and natural disaster risks and subsequent loss in income due to these hazards provides a worrisome policy option. Real GDP growth slows down considerably from 7.2% in FY2017 to 6.8% per annum in FY2031 and further to 5.6% by FY2041, as </w:t>
      </w:r>
      <w:r>
        <w:rPr>
          <w:rFonts w:cs="Times New Roman"/>
          <w:szCs w:val="24"/>
        </w:rPr>
        <w:t>loss</w:t>
      </w:r>
      <w:r w:rsidRPr="00B935F1">
        <w:rPr>
          <w:rFonts w:cs="Times New Roman"/>
          <w:szCs w:val="24"/>
        </w:rPr>
        <w:t xml:space="preserve">es from natural hazards and climate change reduce output and capital stock.    As a result, per capita nominal income would reach only USD 4,858 in FY2031, which would be USD 514 lower than the per capita nominal income of USD 5,372 required to achieve the upper middle income country (UMIC) status by that year (Figure 5.1).  More importantly, there is an average loss of real GDP of 1.3% per year in this policy option compared with the government’s target of maintaining </w:t>
      </w:r>
      <w:r>
        <w:rPr>
          <w:rFonts w:cs="Times New Roman"/>
          <w:szCs w:val="24"/>
        </w:rPr>
        <w:t xml:space="preserve">around </w:t>
      </w:r>
      <w:r w:rsidRPr="00B935F1">
        <w:rPr>
          <w:rFonts w:cs="Times New Roman"/>
          <w:szCs w:val="24"/>
        </w:rPr>
        <w:t>8% GDP growth until FY2041.  This would add up</w:t>
      </w:r>
      <w:r>
        <w:rPr>
          <w:rFonts w:cs="Times New Roman"/>
          <w:szCs w:val="24"/>
        </w:rPr>
        <w:t xml:space="preserve"> to an approximate loss USD 743</w:t>
      </w:r>
      <w:r w:rsidRPr="00B935F1">
        <w:rPr>
          <w:rFonts w:cs="Times New Roman"/>
          <w:szCs w:val="24"/>
        </w:rPr>
        <w:t xml:space="preserve"> billion by FY 2041, estimated as the cumulative loss of income by FY2041 between BAU Policy option and the government’s 8% growth environment (Figure 5.2).  This lower GDP growth not only will fail to achieve the target of UMIC by FY2030-31, it has significant welfare loses in terms of employment and poverty outcomes. </w:t>
      </w:r>
    </w:p>
    <w:p w:rsidR="008B4CE7" w:rsidRPr="00B935F1" w:rsidRDefault="008B4CE7" w:rsidP="008B4CE7">
      <w:pPr>
        <w:rPr>
          <w:b/>
          <w:szCs w:val="24"/>
        </w:rPr>
      </w:pPr>
      <w:bookmarkStart w:id="432" w:name="_Toc460497151"/>
      <w:bookmarkStart w:id="433" w:name="_Toc464329049"/>
      <w:r w:rsidRPr="00B935F1">
        <w:rPr>
          <w:szCs w:val="24"/>
        </w:rPr>
        <w:br w:type="page"/>
      </w:r>
    </w:p>
    <w:p w:rsidR="008B4CE7" w:rsidRPr="00B935F1" w:rsidRDefault="008B4CE7" w:rsidP="008B4CE7">
      <w:pPr>
        <w:pStyle w:val="Heading5"/>
      </w:pPr>
      <w:r w:rsidRPr="00B935F1">
        <w:lastRenderedPageBreak/>
        <w:t>Figure 5.1: Per Capita GNI Comparison (USD)</w:t>
      </w:r>
      <w:bookmarkEnd w:id="432"/>
      <w:bookmarkEnd w:id="433"/>
    </w:p>
    <w:p w:rsidR="008B4CE7" w:rsidRPr="00B935F1" w:rsidRDefault="008B4CE7" w:rsidP="008B4CE7">
      <w:pPr>
        <w:jc w:val="center"/>
        <w:rPr>
          <w:rFonts w:cs="Times New Roman"/>
          <w:szCs w:val="24"/>
        </w:rPr>
      </w:pPr>
      <w:r w:rsidRPr="00B935F1">
        <w:rPr>
          <w:noProof/>
          <w:szCs w:val="24"/>
          <w:lang w:val="en-AU" w:eastAsia="en-AU" w:bidi="bn-BD"/>
        </w:rPr>
        <w:drawing>
          <wp:inline distT="0" distB="0" distL="0" distR="0">
            <wp:extent cx="3895725" cy="2606231"/>
            <wp:effectExtent l="0" t="0" r="9525" b="3810"/>
            <wp:docPr id="17" name="Chart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8B4CE7" w:rsidRPr="00B935F1" w:rsidRDefault="008B4CE7" w:rsidP="008B4CE7">
      <w:pPr>
        <w:spacing w:line="271" w:lineRule="auto"/>
        <w:ind w:left="720" w:firstLine="720"/>
        <w:rPr>
          <w:rFonts w:cs="Times New Roman"/>
          <w:b/>
          <w:bCs/>
          <w:i/>
          <w:iCs/>
          <w:szCs w:val="24"/>
        </w:rPr>
      </w:pPr>
      <w:r w:rsidRPr="00B935F1">
        <w:rPr>
          <w:rFonts w:cs="Times New Roman"/>
          <w:b/>
          <w:bCs/>
          <w:i/>
          <w:iCs/>
          <w:szCs w:val="24"/>
        </w:rPr>
        <w:t>Source: GED Projections</w:t>
      </w:r>
    </w:p>
    <w:p w:rsidR="008B4CE7" w:rsidRPr="00B935F1" w:rsidRDefault="008B4CE7" w:rsidP="008B4CE7">
      <w:pPr>
        <w:pStyle w:val="Heading5"/>
      </w:pPr>
      <w:bookmarkStart w:id="434" w:name="_Toc460497152"/>
    </w:p>
    <w:p w:rsidR="008B4CE7" w:rsidRPr="00B935F1" w:rsidRDefault="008B4CE7" w:rsidP="008B4CE7">
      <w:pPr>
        <w:pStyle w:val="Heading5"/>
      </w:pPr>
    </w:p>
    <w:p w:rsidR="008B4CE7" w:rsidRPr="00B935F1" w:rsidRDefault="008B4CE7" w:rsidP="008B4CE7">
      <w:pPr>
        <w:pStyle w:val="Heading5"/>
      </w:pPr>
      <w:bookmarkStart w:id="435" w:name="_Toc464329050"/>
      <w:r w:rsidRPr="00B935F1">
        <w:t xml:space="preserve">Figure 5.2: </w:t>
      </w:r>
      <w:bookmarkEnd w:id="434"/>
      <w:r w:rsidRPr="00B935F1">
        <w:t xml:space="preserve">Income Gap between BAU Policy option and Government’s Planned </w:t>
      </w:r>
      <w:r w:rsidRPr="00B935F1">
        <w:br/>
        <w:t>Policy option with 8% growth</w:t>
      </w:r>
      <w:bookmarkEnd w:id="435"/>
    </w:p>
    <w:p w:rsidR="008B4CE7" w:rsidRPr="00B935F1" w:rsidRDefault="008B4CE7" w:rsidP="008B4CE7">
      <w:pPr>
        <w:spacing w:line="271" w:lineRule="auto"/>
        <w:jc w:val="center"/>
        <w:rPr>
          <w:rFonts w:cs="Times New Roman"/>
          <w:szCs w:val="24"/>
        </w:rPr>
      </w:pPr>
      <w:r w:rsidRPr="00B935F1">
        <w:rPr>
          <w:noProof/>
          <w:szCs w:val="24"/>
          <w:lang w:val="en-AU" w:eastAsia="en-AU" w:bidi="bn-BD"/>
        </w:rPr>
        <w:drawing>
          <wp:inline distT="0" distB="0" distL="0" distR="0">
            <wp:extent cx="4576445" cy="3105150"/>
            <wp:effectExtent l="0" t="0" r="14605" b="0"/>
            <wp:docPr id="898" name="Chart 89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8B4CE7" w:rsidRPr="00B935F1" w:rsidRDefault="008B4CE7" w:rsidP="008B4CE7">
      <w:pPr>
        <w:spacing w:line="271" w:lineRule="auto"/>
        <w:ind w:left="720" w:firstLine="720"/>
        <w:rPr>
          <w:rFonts w:cs="Times New Roman"/>
          <w:b/>
          <w:bCs/>
          <w:i/>
          <w:iCs/>
          <w:szCs w:val="24"/>
        </w:rPr>
      </w:pPr>
      <w:r>
        <w:rPr>
          <w:rFonts w:cs="Times New Roman"/>
          <w:b/>
          <w:bCs/>
          <w:i/>
          <w:iCs/>
          <w:szCs w:val="24"/>
        </w:rPr>
        <w:t>Source: BDP 2100</w:t>
      </w:r>
      <w:r w:rsidRPr="00B935F1">
        <w:rPr>
          <w:rFonts w:cs="Times New Roman"/>
          <w:b/>
          <w:bCs/>
          <w:i/>
          <w:iCs/>
          <w:szCs w:val="24"/>
        </w:rPr>
        <w:t xml:space="preserve"> Projections</w:t>
      </w:r>
    </w:p>
    <w:p w:rsidR="008B4CE7" w:rsidRPr="00B935F1" w:rsidRDefault="008B4CE7" w:rsidP="008B4CE7">
      <w:pPr>
        <w:pStyle w:val="Heading3"/>
        <w:tabs>
          <w:tab w:val="num" w:pos="720"/>
        </w:tabs>
        <w:spacing w:before="120" w:after="120"/>
        <w:ind w:left="0" w:firstLine="0"/>
      </w:pPr>
      <w:r w:rsidRPr="00B935F1">
        <w:t>Employment</w:t>
      </w:r>
    </w:p>
    <w:p w:rsidR="008B4CE7" w:rsidRPr="00B935F1" w:rsidRDefault="008B4CE7" w:rsidP="008B4CE7">
      <w:pPr>
        <w:rPr>
          <w:rFonts w:cs="Times New Roman"/>
          <w:szCs w:val="24"/>
        </w:rPr>
      </w:pPr>
      <w:r w:rsidRPr="00B935F1">
        <w:rPr>
          <w:rFonts w:cs="Times New Roman"/>
          <w:szCs w:val="24"/>
        </w:rPr>
        <w:lastRenderedPageBreak/>
        <w:t xml:space="preserve">New job creation depends on economic expansion. In the BAU policy option, because of sliding GDP growth, job creation will slow down.  As a result, the level of unemployment would rise at a faster rate (Figure 5.3 and Figure 5.4). </w:t>
      </w:r>
    </w:p>
    <w:p w:rsidR="008B4CE7" w:rsidRPr="00B935F1" w:rsidRDefault="008B4CE7" w:rsidP="008B4CE7">
      <w:pPr>
        <w:rPr>
          <w:b/>
          <w:szCs w:val="24"/>
        </w:rPr>
      </w:pPr>
      <w:bookmarkStart w:id="436" w:name="_Toc464329051"/>
      <w:r w:rsidRPr="00B935F1">
        <w:rPr>
          <w:szCs w:val="24"/>
        </w:rPr>
        <w:br w:type="page"/>
      </w:r>
    </w:p>
    <w:p w:rsidR="008B4CE7" w:rsidRPr="00B935F1" w:rsidRDefault="008B4CE7" w:rsidP="008B4CE7">
      <w:pPr>
        <w:pStyle w:val="Heading5"/>
      </w:pPr>
      <w:r w:rsidRPr="00B935F1">
        <w:lastRenderedPageBreak/>
        <w:t xml:space="preserve">Figure 5.3: Increased Unemployment due to Environmental Degradation in BAU </w:t>
      </w:r>
      <w:bookmarkEnd w:id="436"/>
      <w:r w:rsidRPr="00B935F1">
        <w:t>Policy option</w:t>
      </w:r>
    </w:p>
    <w:p w:rsidR="008B4CE7" w:rsidRPr="00B935F1" w:rsidRDefault="008B4CE7" w:rsidP="008B4CE7">
      <w:pPr>
        <w:jc w:val="center"/>
        <w:rPr>
          <w:szCs w:val="24"/>
        </w:rPr>
      </w:pPr>
      <w:r w:rsidRPr="00B935F1">
        <w:rPr>
          <w:rFonts w:cs="Times New Roman"/>
          <w:noProof/>
          <w:szCs w:val="24"/>
          <w:lang w:val="en-AU" w:eastAsia="en-AU" w:bidi="bn-BD"/>
        </w:rPr>
        <w:drawing>
          <wp:inline distT="0" distB="0" distL="0" distR="0">
            <wp:extent cx="4206240" cy="2669658"/>
            <wp:effectExtent l="0" t="0" r="3810" b="16510"/>
            <wp:docPr id="899" name="Chart 89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8B4CE7" w:rsidRPr="00B935F1" w:rsidRDefault="008B4CE7" w:rsidP="008B4CE7">
      <w:pPr>
        <w:pStyle w:val="Heading5"/>
      </w:pPr>
      <w:bookmarkStart w:id="437" w:name="_Toc464329052"/>
      <w:r>
        <w:t>Figure 5.4: Hotspot wise i</w:t>
      </w:r>
      <w:r w:rsidRPr="00B935F1">
        <w:t>ncrease in Unemployment in BAU Policy option (in million)</w:t>
      </w:r>
      <w:bookmarkEnd w:id="437"/>
    </w:p>
    <w:p w:rsidR="008B4CE7" w:rsidRPr="00B935F1" w:rsidRDefault="008B4CE7" w:rsidP="008B4CE7">
      <w:pPr>
        <w:jc w:val="center"/>
        <w:rPr>
          <w:szCs w:val="24"/>
        </w:rPr>
      </w:pPr>
      <w:r w:rsidRPr="00B935F1">
        <w:rPr>
          <w:rFonts w:cs="Times New Roman"/>
          <w:noProof/>
          <w:szCs w:val="24"/>
          <w:lang w:val="en-AU" w:eastAsia="en-AU" w:bidi="bn-BD"/>
        </w:rPr>
        <w:drawing>
          <wp:inline distT="0" distB="0" distL="0" distR="0">
            <wp:extent cx="4297680" cy="3017520"/>
            <wp:effectExtent l="0" t="0" r="7620" b="11430"/>
            <wp:docPr id="900"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8B4CE7" w:rsidRPr="00B935F1" w:rsidRDefault="008B4CE7" w:rsidP="008B4CE7">
      <w:pPr>
        <w:spacing w:line="271" w:lineRule="auto"/>
        <w:ind w:left="720" w:firstLine="720"/>
        <w:rPr>
          <w:rFonts w:cs="Times New Roman"/>
          <w:szCs w:val="24"/>
        </w:rPr>
      </w:pPr>
      <w:r>
        <w:rPr>
          <w:rFonts w:cs="Times New Roman"/>
          <w:b/>
          <w:bCs/>
          <w:i/>
          <w:iCs/>
          <w:szCs w:val="24"/>
        </w:rPr>
        <w:t>Source: BDP 2100</w:t>
      </w:r>
      <w:r w:rsidRPr="00B935F1">
        <w:rPr>
          <w:rFonts w:cs="Times New Roman"/>
          <w:b/>
          <w:bCs/>
          <w:i/>
          <w:iCs/>
          <w:szCs w:val="24"/>
        </w:rPr>
        <w:t xml:space="preserve"> Projections</w:t>
      </w:r>
    </w:p>
    <w:p w:rsidR="008B4CE7" w:rsidRPr="00B935F1" w:rsidRDefault="008B4CE7" w:rsidP="008B4CE7">
      <w:pPr>
        <w:spacing w:after="220" w:line="271" w:lineRule="auto"/>
        <w:rPr>
          <w:rFonts w:cs="Times New Roman"/>
          <w:b/>
          <w:color w:val="00B050"/>
          <w:szCs w:val="24"/>
          <w:u w:val="single"/>
        </w:rPr>
      </w:pPr>
      <w:r w:rsidRPr="00B935F1">
        <w:rPr>
          <w:rFonts w:cs="Times New Roman"/>
          <w:szCs w:val="24"/>
        </w:rPr>
        <w:t xml:space="preserve">In the BAU policy option, with the intensification of climate change and other delta related environmental risks, total loss would be the highest in river estuary, but in terms of magnitude of loss, coastal area would be affected more relative to its economic size due to the climate change </w:t>
      </w:r>
      <w:r w:rsidRPr="00B935F1">
        <w:rPr>
          <w:rFonts w:cs="Times New Roman"/>
          <w:szCs w:val="24"/>
        </w:rPr>
        <w:lastRenderedPageBreak/>
        <w:t>impact.  Population and economic size of river estuary is approximately more than double compared to the coastal region while the estimated loss for  river estuary is one and half</w:t>
      </w:r>
      <w:r w:rsidRPr="00B935F1">
        <w:rPr>
          <w:rStyle w:val="FootnoteReference"/>
          <w:rFonts w:cs="Times New Roman"/>
          <w:szCs w:val="24"/>
        </w:rPr>
        <w:footnoteReference w:id="15"/>
      </w:r>
      <w:r w:rsidRPr="00B935F1">
        <w:rPr>
          <w:rFonts w:cs="Times New Roman"/>
          <w:szCs w:val="24"/>
        </w:rPr>
        <w:t xml:space="preserve"> times bigger than coastal region. This outlook points to the fact that coastal region is more vulnerable to climate change. Since unemployment is directly proportional to income loss, the number of additional unemployment would be higher in coastal and river estuary areas. </w:t>
      </w:r>
      <w:r>
        <w:rPr>
          <w:rFonts w:cs="Times New Roman"/>
          <w:bCs/>
          <w:i/>
          <w:iCs/>
          <w:szCs w:val="24"/>
        </w:rPr>
        <w:t>Additional unemployment</w:t>
      </w:r>
      <w:r w:rsidRPr="00FC2801">
        <w:rPr>
          <w:rFonts w:cs="Times New Roman"/>
          <w:bCs/>
          <w:i/>
          <w:iCs/>
          <w:szCs w:val="24"/>
        </w:rPr>
        <w:t xml:space="preserve"> in the country would increase to 3.2 million by FY2031 and further to 8.4 million in FY2041.  Almost one third of this additional unemployment would happen in the coastal area.</w:t>
      </w:r>
    </w:p>
    <w:p w:rsidR="008B4CE7" w:rsidRPr="00B935F1" w:rsidRDefault="008B4CE7" w:rsidP="008B4CE7">
      <w:pPr>
        <w:pStyle w:val="Heading3"/>
        <w:tabs>
          <w:tab w:val="num" w:pos="720"/>
        </w:tabs>
        <w:spacing w:before="120" w:after="120"/>
        <w:ind w:left="0" w:firstLine="0"/>
      </w:pPr>
      <w:r w:rsidRPr="00B935F1">
        <w:t>Poverty</w:t>
      </w:r>
    </w:p>
    <w:p w:rsidR="008B4CE7" w:rsidRPr="00B935F1" w:rsidRDefault="008B4CE7" w:rsidP="008B4CE7">
      <w:pPr>
        <w:spacing w:after="220" w:line="271" w:lineRule="auto"/>
        <w:rPr>
          <w:rFonts w:cs="Times New Roman"/>
          <w:szCs w:val="24"/>
        </w:rPr>
      </w:pPr>
      <w:r w:rsidRPr="00B935F1">
        <w:rPr>
          <w:rFonts w:cs="Times New Roman"/>
          <w:szCs w:val="24"/>
        </w:rPr>
        <w:t>In the BAU policy option, despite some reduction, the head count poverty ratio would remain high at about 12 percent. Bangladesh will also miss out on its target to eliminate extreme poverty by FY2031. The key reason behind the higher poverty incidence in the BAU policy option is lower per capita income growth.  The slower decrease in the head count poverty implies a corresponding higher number of people above the poverty line. In the BAU policy option the number of poor people would accordingly remain high at 22.7 million. Urban migration would increase more under this policy option, as additional people would become unemployed in disaster prone areas.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878"/>
        <w:gridCol w:w="4271"/>
      </w:tblGrid>
      <w:tr w:rsidR="008B4CE7" w:rsidRPr="00B935F1" w:rsidTr="00F0207D">
        <w:trPr>
          <w:trHeight w:val="20"/>
          <w:jc w:val="center"/>
        </w:trPr>
        <w:tc>
          <w:tcPr>
            <w:tcW w:w="4878" w:type="dxa"/>
          </w:tcPr>
          <w:p w:rsidR="008B4CE7" w:rsidRPr="00B935F1" w:rsidRDefault="008B4CE7" w:rsidP="00F0207D">
            <w:pPr>
              <w:pStyle w:val="Heading5"/>
              <w:outlineLvl w:val="4"/>
              <w:rPr>
                <w:noProof/>
              </w:rPr>
            </w:pPr>
            <w:bookmarkStart w:id="438" w:name="_Toc457731930"/>
            <w:bookmarkStart w:id="439" w:name="_Toc464329053"/>
            <w:r w:rsidRPr="00B935F1">
              <w:t xml:space="preserve">Figure 5.5: </w:t>
            </w:r>
            <w:bookmarkEnd w:id="438"/>
            <w:r w:rsidRPr="00B935F1">
              <w:t xml:space="preserve">Moderate Poverty in BAU </w:t>
            </w:r>
            <w:bookmarkEnd w:id="439"/>
            <w:r w:rsidRPr="00B935F1">
              <w:t>Policy option</w:t>
            </w:r>
          </w:p>
        </w:tc>
        <w:tc>
          <w:tcPr>
            <w:tcW w:w="4271" w:type="dxa"/>
          </w:tcPr>
          <w:p w:rsidR="008B4CE7" w:rsidRPr="00B935F1" w:rsidRDefault="008B4CE7" w:rsidP="00F0207D">
            <w:pPr>
              <w:pStyle w:val="Heading5"/>
              <w:outlineLvl w:val="4"/>
              <w:rPr>
                <w:noProof/>
              </w:rPr>
            </w:pPr>
            <w:bookmarkStart w:id="440" w:name="_Toc457731931"/>
            <w:bookmarkStart w:id="441" w:name="_Toc464329054"/>
            <w:r w:rsidRPr="00B935F1">
              <w:t xml:space="preserve">Figure 5.6: </w:t>
            </w:r>
            <w:bookmarkEnd w:id="440"/>
            <w:r w:rsidRPr="00B935F1">
              <w:t xml:space="preserve">Extreme Poverty in BAU </w:t>
            </w:r>
            <w:bookmarkEnd w:id="441"/>
            <w:r w:rsidRPr="00B935F1">
              <w:t>Policy option</w:t>
            </w:r>
          </w:p>
        </w:tc>
      </w:tr>
      <w:tr w:rsidR="008B4CE7" w:rsidRPr="00B935F1" w:rsidTr="00F0207D">
        <w:trPr>
          <w:trHeight w:val="3563"/>
          <w:jc w:val="center"/>
        </w:trPr>
        <w:tc>
          <w:tcPr>
            <w:tcW w:w="4878" w:type="dxa"/>
          </w:tcPr>
          <w:p w:rsidR="008B4CE7" w:rsidRPr="00B935F1" w:rsidRDefault="008B4CE7" w:rsidP="00F0207D">
            <w:pPr>
              <w:spacing w:before="60"/>
              <w:rPr>
                <w:rFonts w:cs="Times New Roman"/>
                <w:b/>
                <w:bCs/>
                <w:iCs/>
                <w:szCs w:val="24"/>
              </w:rPr>
            </w:pPr>
            <w:r w:rsidRPr="00B935F1">
              <w:rPr>
                <w:rFonts w:cs="Times New Roman"/>
                <w:b/>
                <w:bCs/>
                <w:iCs/>
                <w:noProof/>
                <w:szCs w:val="24"/>
                <w:lang w:val="en-AU" w:eastAsia="en-AU" w:bidi="bn-BD"/>
              </w:rPr>
              <w:drawing>
                <wp:inline distT="0" distB="0" distL="0" distR="0">
                  <wp:extent cx="2857500" cy="2038350"/>
                  <wp:effectExtent l="19050" t="0" r="1905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4271" w:type="dxa"/>
          </w:tcPr>
          <w:p w:rsidR="008B4CE7" w:rsidRPr="00B935F1" w:rsidRDefault="008B4CE7" w:rsidP="00F0207D">
            <w:pPr>
              <w:spacing w:after="0"/>
              <w:rPr>
                <w:rFonts w:cs="Times New Roman"/>
                <w:szCs w:val="24"/>
              </w:rPr>
            </w:pPr>
            <w:r w:rsidRPr="00B935F1">
              <w:rPr>
                <w:rFonts w:cs="Times New Roman"/>
                <w:noProof/>
                <w:szCs w:val="24"/>
                <w:lang w:val="en-AU" w:eastAsia="en-AU" w:bidi="bn-BD"/>
              </w:rPr>
              <w:drawing>
                <wp:inline distT="0" distB="0" distL="0" distR="0">
                  <wp:extent cx="2562225" cy="2076450"/>
                  <wp:effectExtent l="19050" t="0" r="9525"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r w:rsidR="008B4CE7" w:rsidRPr="00B935F1" w:rsidTr="00F0207D">
        <w:trPr>
          <w:trHeight w:val="20"/>
          <w:jc w:val="center"/>
        </w:trPr>
        <w:tc>
          <w:tcPr>
            <w:tcW w:w="4878" w:type="dxa"/>
          </w:tcPr>
          <w:p w:rsidR="008B4CE7" w:rsidRPr="00B935F1" w:rsidRDefault="008B4CE7" w:rsidP="00F0207D">
            <w:pPr>
              <w:pStyle w:val="Heading5"/>
              <w:outlineLvl w:val="4"/>
              <w:rPr>
                <w:rFonts w:cs="Times New Roman"/>
              </w:rPr>
            </w:pPr>
            <w:bookmarkStart w:id="442" w:name="_Toc464329055"/>
            <w:r>
              <w:t>Figure 5.7: Hotspot</w:t>
            </w:r>
            <w:r w:rsidRPr="00B935F1">
              <w:t xml:space="preserve"> wise Moderate Poverty in BAU </w:t>
            </w:r>
            <w:bookmarkEnd w:id="442"/>
            <w:r w:rsidRPr="00B935F1">
              <w:t>Policy option</w:t>
            </w:r>
          </w:p>
        </w:tc>
        <w:tc>
          <w:tcPr>
            <w:tcW w:w="4271" w:type="dxa"/>
          </w:tcPr>
          <w:p w:rsidR="008B4CE7" w:rsidRPr="00B935F1" w:rsidRDefault="008B4CE7" w:rsidP="00F0207D">
            <w:pPr>
              <w:pStyle w:val="Heading5"/>
              <w:outlineLvl w:val="4"/>
              <w:rPr>
                <w:rFonts w:cs="Times New Roman"/>
              </w:rPr>
            </w:pPr>
            <w:bookmarkStart w:id="443" w:name="_Toc464329056"/>
            <w:r>
              <w:t>Figure 5.8: Hotspot</w:t>
            </w:r>
            <w:r w:rsidRPr="00B935F1">
              <w:t xml:space="preserve"> wise Extreme Poverty in BAU </w:t>
            </w:r>
            <w:bookmarkEnd w:id="443"/>
            <w:r w:rsidRPr="00B935F1">
              <w:t xml:space="preserve">Policy option </w:t>
            </w:r>
          </w:p>
        </w:tc>
      </w:tr>
      <w:tr w:rsidR="008B4CE7" w:rsidRPr="00B935F1" w:rsidTr="00F0207D">
        <w:trPr>
          <w:trHeight w:val="20"/>
          <w:jc w:val="center"/>
        </w:trPr>
        <w:tc>
          <w:tcPr>
            <w:tcW w:w="4878" w:type="dxa"/>
          </w:tcPr>
          <w:p w:rsidR="008B4CE7" w:rsidRPr="00B935F1" w:rsidRDefault="008B4CE7" w:rsidP="00F0207D">
            <w:pPr>
              <w:spacing w:before="60"/>
              <w:rPr>
                <w:rFonts w:cs="Times New Roman"/>
                <w:b/>
                <w:bCs/>
                <w:iCs/>
                <w:szCs w:val="24"/>
              </w:rPr>
            </w:pPr>
            <w:r w:rsidRPr="00B935F1">
              <w:rPr>
                <w:rFonts w:cs="Times New Roman"/>
                <w:b/>
                <w:bCs/>
                <w:iCs/>
                <w:noProof/>
                <w:szCs w:val="24"/>
                <w:lang w:val="en-AU" w:eastAsia="en-AU" w:bidi="bn-BD"/>
              </w:rPr>
              <w:lastRenderedPageBreak/>
              <w:drawing>
                <wp:inline distT="0" distB="0" distL="0" distR="0">
                  <wp:extent cx="2933700" cy="2581275"/>
                  <wp:effectExtent l="19050" t="0" r="19050" b="0"/>
                  <wp:docPr id="51"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c>
          <w:tcPr>
            <w:tcW w:w="4271" w:type="dxa"/>
          </w:tcPr>
          <w:p w:rsidR="008B4CE7" w:rsidRPr="00B935F1" w:rsidRDefault="008B4CE7" w:rsidP="00F0207D">
            <w:pPr>
              <w:spacing w:after="0"/>
              <w:rPr>
                <w:rFonts w:cs="Times New Roman"/>
                <w:szCs w:val="24"/>
              </w:rPr>
            </w:pPr>
            <w:r w:rsidRPr="00B935F1">
              <w:rPr>
                <w:rFonts w:cs="Times New Roman"/>
                <w:noProof/>
                <w:szCs w:val="24"/>
                <w:lang w:val="en-AU" w:eastAsia="en-AU" w:bidi="bn-BD"/>
              </w:rPr>
              <w:drawing>
                <wp:inline distT="0" distB="0" distL="0" distR="0">
                  <wp:extent cx="2562225" cy="2619375"/>
                  <wp:effectExtent l="19050" t="0" r="9525" b="0"/>
                  <wp:docPr id="52"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bl>
    <w:p w:rsidR="008B4CE7" w:rsidRPr="00B935F1" w:rsidRDefault="008B4CE7" w:rsidP="008B4CE7">
      <w:pPr>
        <w:spacing w:line="271" w:lineRule="auto"/>
        <w:rPr>
          <w:rFonts w:cs="Times New Roman"/>
          <w:b/>
          <w:bCs/>
          <w:i/>
          <w:iCs/>
          <w:szCs w:val="24"/>
        </w:rPr>
      </w:pPr>
      <w:r>
        <w:rPr>
          <w:rFonts w:cs="Times New Roman"/>
          <w:b/>
          <w:bCs/>
          <w:i/>
          <w:iCs/>
          <w:szCs w:val="24"/>
        </w:rPr>
        <w:t>Source: BDP 2100</w:t>
      </w:r>
      <w:r w:rsidRPr="00B935F1">
        <w:rPr>
          <w:rFonts w:cs="Times New Roman"/>
          <w:b/>
          <w:bCs/>
          <w:i/>
          <w:iCs/>
          <w:szCs w:val="24"/>
        </w:rPr>
        <w:t xml:space="preserve"> Projections</w:t>
      </w:r>
    </w:p>
    <w:p w:rsidR="008B4CE7" w:rsidRPr="00B935F1" w:rsidRDefault="008B4CE7" w:rsidP="008B4CE7">
      <w:pPr>
        <w:pStyle w:val="Heading3"/>
        <w:tabs>
          <w:tab w:val="num" w:pos="720"/>
        </w:tabs>
        <w:spacing w:before="120" w:after="120"/>
        <w:ind w:left="0" w:firstLine="0"/>
      </w:pPr>
      <w:r w:rsidRPr="00B935F1">
        <w:t>Migration and Urbanization</w:t>
      </w:r>
    </w:p>
    <w:p w:rsidR="008B4CE7" w:rsidRPr="00B935F1" w:rsidRDefault="008B4CE7" w:rsidP="008B4CE7">
      <w:pPr>
        <w:spacing w:after="220" w:line="271" w:lineRule="auto"/>
        <w:rPr>
          <w:rFonts w:cs="Times New Roman"/>
          <w:szCs w:val="24"/>
        </w:rPr>
      </w:pPr>
      <w:r w:rsidRPr="00B935F1">
        <w:rPr>
          <w:rFonts w:cs="Times New Roman"/>
          <w:szCs w:val="24"/>
        </w:rPr>
        <w:t xml:space="preserve">Increase in migration and resulting urbanization over time with economic growth is a natural phenomenon due to underlying economic pull and push factors. But in BAU policy option because of intensified degradation of environment; the magnitude of migration would further intensify. As in the past, migration would mostly occur from rural and high environmental degradation prone areas to urban areas, thus further increasing the extent of urbanization. </w:t>
      </w:r>
    </w:p>
    <w:p w:rsidR="008B4CE7" w:rsidRPr="00FC2801" w:rsidRDefault="008B4CE7" w:rsidP="008B4CE7">
      <w:pPr>
        <w:pStyle w:val="Heading4"/>
      </w:pPr>
      <w:bookmarkStart w:id="444" w:name="_Toc464328909"/>
      <w:r w:rsidRPr="00FC2801">
        <w:t>Table 5.1</w:t>
      </w:r>
      <w:r>
        <w:t>: Hotspot</w:t>
      </w:r>
      <w:r w:rsidRPr="00FC2801">
        <w:t xml:space="preserve"> wise Migration</w:t>
      </w:r>
      <w:r w:rsidRPr="00FC2801">
        <w:rPr>
          <w:rStyle w:val="FootnoteReference"/>
        </w:rPr>
        <w:footnoteReference w:id="16"/>
      </w:r>
      <w:r w:rsidRPr="00FC2801">
        <w:t xml:space="preserve"> in BAU Policy option (in million)</w:t>
      </w:r>
      <w:bookmarkEnd w:id="444"/>
    </w:p>
    <w:tbl>
      <w:tblPr>
        <w:tblStyle w:val="TableGridAppendixlist1"/>
        <w:tblW w:w="5000" w:type="pct"/>
        <w:jc w:val="center"/>
        <w:tblLook w:val="04A0"/>
      </w:tblPr>
      <w:tblGrid>
        <w:gridCol w:w="3466"/>
        <w:gridCol w:w="1544"/>
        <w:gridCol w:w="1511"/>
        <w:gridCol w:w="1511"/>
        <w:gridCol w:w="1544"/>
      </w:tblGrid>
      <w:tr w:rsidR="008B4CE7" w:rsidRPr="00B935F1" w:rsidTr="00F0207D">
        <w:trPr>
          <w:trHeight w:val="300"/>
          <w:jc w:val="center"/>
        </w:trPr>
        <w:tc>
          <w:tcPr>
            <w:tcW w:w="180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Pr>
                <w:rFonts w:ascii="Times New Roman" w:eastAsia="Times New Roman" w:hAnsi="Times New Roman" w:cs="Calibri"/>
                <w:b/>
                <w:bCs/>
                <w:color w:val="000000"/>
                <w:sz w:val="24"/>
                <w:szCs w:val="24"/>
              </w:rPr>
              <w:t>Hotspot</w:t>
            </w:r>
          </w:p>
        </w:tc>
        <w:tc>
          <w:tcPr>
            <w:tcW w:w="806"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sidRPr="00B935F1">
              <w:rPr>
                <w:rFonts w:ascii="Times New Roman" w:eastAsia="Times New Roman" w:hAnsi="Times New Roman" w:cs="Calibri"/>
                <w:b/>
                <w:bCs/>
                <w:color w:val="000000"/>
                <w:sz w:val="24"/>
                <w:szCs w:val="24"/>
              </w:rPr>
              <w:t>FY</w:t>
            </w:r>
            <w:r>
              <w:rPr>
                <w:rFonts w:ascii="Times New Roman" w:eastAsia="Times New Roman" w:hAnsi="Times New Roman" w:cs="Calibri"/>
                <w:b/>
                <w:bCs/>
                <w:color w:val="000000"/>
                <w:sz w:val="24"/>
                <w:szCs w:val="24"/>
              </w:rPr>
              <w:t>20</w:t>
            </w:r>
            <w:r w:rsidRPr="00B935F1">
              <w:rPr>
                <w:rFonts w:ascii="Times New Roman" w:eastAsia="Times New Roman" w:hAnsi="Times New Roman" w:cs="Calibri"/>
                <w:b/>
                <w:bCs/>
                <w:color w:val="000000"/>
                <w:sz w:val="24"/>
                <w:szCs w:val="24"/>
              </w:rPr>
              <w:t>16</w:t>
            </w:r>
            <w:r w:rsidRPr="00B935F1">
              <w:rPr>
                <w:rStyle w:val="FootnoteReference"/>
                <w:rFonts w:ascii="Times New Roman" w:eastAsia="Times New Roman" w:hAnsi="Times New Roman" w:cs="Calibri"/>
                <w:b/>
                <w:bCs/>
                <w:color w:val="000000"/>
                <w:sz w:val="24"/>
                <w:szCs w:val="24"/>
              </w:rPr>
              <w:footnoteReference w:id="17"/>
            </w:r>
          </w:p>
        </w:tc>
        <w:tc>
          <w:tcPr>
            <w:tcW w:w="78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sidRPr="00B935F1">
              <w:rPr>
                <w:rFonts w:ascii="Times New Roman" w:eastAsia="Times New Roman" w:hAnsi="Times New Roman" w:cs="Calibri"/>
                <w:b/>
                <w:bCs/>
                <w:color w:val="000000"/>
                <w:sz w:val="24"/>
                <w:szCs w:val="24"/>
              </w:rPr>
              <w:t>FY</w:t>
            </w:r>
            <w:r>
              <w:rPr>
                <w:rFonts w:ascii="Times New Roman" w:eastAsia="Times New Roman" w:hAnsi="Times New Roman" w:cs="Calibri"/>
                <w:b/>
                <w:bCs/>
                <w:color w:val="000000"/>
                <w:sz w:val="24"/>
                <w:szCs w:val="24"/>
              </w:rPr>
              <w:t>20</w:t>
            </w:r>
            <w:r w:rsidRPr="00B935F1">
              <w:rPr>
                <w:rFonts w:ascii="Times New Roman" w:eastAsia="Times New Roman" w:hAnsi="Times New Roman" w:cs="Calibri"/>
                <w:b/>
                <w:bCs/>
                <w:color w:val="000000"/>
                <w:sz w:val="24"/>
                <w:szCs w:val="24"/>
              </w:rPr>
              <w:t>21</w:t>
            </w:r>
          </w:p>
        </w:tc>
        <w:tc>
          <w:tcPr>
            <w:tcW w:w="78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sidRPr="00B935F1">
              <w:rPr>
                <w:rFonts w:ascii="Times New Roman" w:eastAsia="Times New Roman" w:hAnsi="Times New Roman" w:cs="Calibri"/>
                <w:b/>
                <w:bCs/>
                <w:color w:val="000000"/>
                <w:sz w:val="24"/>
                <w:szCs w:val="24"/>
              </w:rPr>
              <w:t>FY</w:t>
            </w:r>
            <w:r>
              <w:rPr>
                <w:rFonts w:ascii="Times New Roman" w:eastAsia="Times New Roman" w:hAnsi="Times New Roman" w:cs="Calibri"/>
                <w:b/>
                <w:bCs/>
                <w:color w:val="000000"/>
                <w:sz w:val="24"/>
                <w:szCs w:val="24"/>
              </w:rPr>
              <w:t>20</w:t>
            </w:r>
            <w:r w:rsidRPr="00B935F1">
              <w:rPr>
                <w:rFonts w:ascii="Times New Roman" w:eastAsia="Times New Roman" w:hAnsi="Times New Roman" w:cs="Calibri"/>
                <w:b/>
                <w:bCs/>
                <w:color w:val="000000"/>
                <w:sz w:val="24"/>
                <w:szCs w:val="24"/>
              </w:rPr>
              <w:t>31</w:t>
            </w:r>
          </w:p>
        </w:tc>
        <w:tc>
          <w:tcPr>
            <w:tcW w:w="806"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sidRPr="00B935F1">
              <w:rPr>
                <w:rFonts w:ascii="Times New Roman" w:eastAsia="Times New Roman" w:hAnsi="Times New Roman" w:cs="Calibri"/>
                <w:b/>
                <w:bCs/>
                <w:color w:val="000000"/>
                <w:sz w:val="24"/>
                <w:szCs w:val="24"/>
              </w:rPr>
              <w:t>FY</w:t>
            </w:r>
            <w:r>
              <w:rPr>
                <w:rFonts w:ascii="Times New Roman" w:eastAsia="Times New Roman" w:hAnsi="Times New Roman" w:cs="Calibri"/>
                <w:b/>
                <w:bCs/>
                <w:color w:val="000000"/>
                <w:sz w:val="24"/>
                <w:szCs w:val="24"/>
              </w:rPr>
              <w:t>20</w:t>
            </w:r>
            <w:r w:rsidRPr="00B935F1">
              <w:rPr>
                <w:rFonts w:ascii="Times New Roman" w:eastAsia="Times New Roman" w:hAnsi="Times New Roman" w:cs="Calibri"/>
                <w:b/>
                <w:bCs/>
                <w:color w:val="000000"/>
                <w:sz w:val="24"/>
                <w:szCs w:val="24"/>
              </w:rPr>
              <w:t>41</w:t>
            </w:r>
          </w:p>
        </w:tc>
      </w:tr>
      <w:tr w:rsidR="008B4CE7" w:rsidRPr="00B935F1" w:rsidTr="00F0207D">
        <w:trPr>
          <w:trHeight w:val="300"/>
          <w:jc w:val="center"/>
        </w:trPr>
        <w:tc>
          <w:tcPr>
            <w:tcW w:w="180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sidRPr="00B935F1">
              <w:rPr>
                <w:rFonts w:ascii="Times New Roman" w:eastAsia="Times New Roman" w:hAnsi="Times New Roman" w:cs="Calibri"/>
                <w:b/>
                <w:bCs/>
                <w:color w:val="000000"/>
                <w:sz w:val="24"/>
                <w:szCs w:val="24"/>
              </w:rPr>
              <w:t>Haor</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0.05</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0.11</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0.22</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0.34</w:t>
            </w:r>
          </w:p>
        </w:tc>
      </w:tr>
      <w:tr w:rsidR="008B4CE7" w:rsidRPr="00B935F1" w:rsidTr="00F0207D">
        <w:trPr>
          <w:trHeight w:val="300"/>
          <w:jc w:val="center"/>
        </w:trPr>
        <w:tc>
          <w:tcPr>
            <w:tcW w:w="180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sidRPr="00B935F1">
              <w:rPr>
                <w:rFonts w:ascii="Times New Roman" w:eastAsia="Times New Roman" w:hAnsi="Times New Roman" w:cs="Calibri"/>
                <w:b/>
                <w:bCs/>
                <w:color w:val="000000"/>
                <w:sz w:val="24"/>
                <w:szCs w:val="24"/>
              </w:rPr>
              <w:t>Coastal</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-0.50</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-2.29</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-6.33</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-10.72</w:t>
            </w:r>
          </w:p>
        </w:tc>
      </w:tr>
      <w:tr w:rsidR="008B4CE7" w:rsidRPr="00B935F1" w:rsidTr="00F0207D">
        <w:trPr>
          <w:trHeight w:val="300"/>
          <w:jc w:val="center"/>
        </w:trPr>
        <w:tc>
          <w:tcPr>
            <w:tcW w:w="180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sidRPr="00B935F1">
              <w:rPr>
                <w:rFonts w:ascii="Times New Roman" w:eastAsia="Times New Roman" w:hAnsi="Times New Roman" w:cs="Calibri"/>
                <w:b/>
                <w:bCs/>
                <w:color w:val="000000"/>
                <w:sz w:val="24"/>
                <w:szCs w:val="24"/>
              </w:rPr>
              <w:t>CTG Hill</w:t>
            </w:r>
            <w:r>
              <w:rPr>
                <w:rFonts w:ascii="Times New Roman" w:eastAsia="Times New Roman" w:hAnsi="Times New Roman" w:cs="Calibri"/>
                <w:b/>
                <w:bCs/>
                <w:color w:val="000000"/>
                <w:sz w:val="24"/>
                <w:szCs w:val="24"/>
              </w:rPr>
              <w:t xml:space="preserve"> Tracts</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0.02</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0.04</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0.08</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0.12</w:t>
            </w:r>
          </w:p>
        </w:tc>
      </w:tr>
      <w:tr w:rsidR="008B4CE7" w:rsidRPr="00B935F1" w:rsidTr="00F0207D">
        <w:trPr>
          <w:trHeight w:val="300"/>
          <w:jc w:val="center"/>
        </w:trPr>
        <w:tc>
          <w:tcPr>
            <w:tcW w:w="180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sidRPr="00B935F1">
              <w:rPr>
                <w:rFonts w:ascii="Times New Roman" w:eastAsia="Times New Roman" w:hAnsi="Times New Roman" w:cs="Calibri"/>
                <w:b/>
                <w:bCs/>
                <w:color w:val="000000"/>
                <w:sz w:val="24"/>
                <w:szCs w:val="24"/>
              </w:rPr>
              <w:t xml:space="preserve">Urban </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0.69</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3.97</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11.38</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19.43</w:t>
            </w:r>
          </w:p>
        </w:tc>
      </w:tr>
      <w:tr w:rsidR="008B4CE7" w:rsidRPr="00B935F1" w:rsidTr="00F0207D">
        <w:trPr>
          <w:trHeight w:val="300"/>
          <w:jc w:val="center"/>
        </w:trPr>
        <w:tc>
          <w:tcPr>
            <w:tcW w:w="180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Pr>
                <w:rFonts w:ascii="Times New Roman" w:eastAsia="Times New Roman" w:hAnsi="Times New Roman" w:cs="Calibri"/>
                <w:b/>
                <w:bCs/>
                <w:color w:val="000000"/>
                <w:sz w:val="24"/>
                <w:szCs w:val="24"/>
              </w:rPr>
              <w:t xml:space="preserve">Barind and </w:t>
            </w:r>
            <w:r w:rsidRPr="00B935F1">
              <w:rPr>
                <w:rFonts w:ascii="Times New Roman" w:eastAsia="Times New Roman" w:hAnsi="Times New Roman" w:cs="Calibri"/>
                <w:b/>
                <w:bCs/>
                <w:color w:val="000000"/>
                <w:sz w:val="24"/>
                <w:szCs w:val="24"/>
              </w:rPr>
              <w:t>Drought Prone</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-0.16</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-0.73</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-2.02</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-3.42</w:t>
            </w:r>
          </w:p>
        </w:tc>
      </w:tr>
      <w:tr w:rsidR="008B4CE7" w:rsidRPr="00B935F1" w:rsidTr="00F0207D">
        <w:trPr>
          <w:trHeight w:val="300"/>
          <w:jc w:val="center"/>
        </w:trPr>
        <w:tc>
          <w:tcPr>
            <w:tcW w:w="180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sidRPr="00B935F1">
              <w:rPr>
                <w:rFonts w:ascii="Times New Roman" w:eastAsia="Times New Roman" w:hAnsi="Times New Roman" w:cs="Calibri"/>
                <w:b/>
                <w:bCs/>
                <w:color w:val="000000"/>
                <w:sz w:val="24"/>
                <w:szCs w:val="24"/>
              </w:rPr>
              <w:t>Rivers &amp; Estuaries</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-0.34</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-1.55</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-4.30</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-7.29</w:t>
            </w:r>
          </w:p>
        </w:tc>
      </w:tr>
      <w:tr w:rsidR="008B4CE7" w:rsidRPr="00B935F1" w:rsidTr="00F0207D">
        <w:trPr>
          <w:trHeight w:val="300"/>
          <w:jc w:val="center"/>
        </w:trPr>
        <w:tc>
          <w:tcPr>
            <w:tcW w:w="1809" w:type="pct"/>
            <w:noWrap/>
            <w:hideMark/>
          </w:tcPr>
          <w:p w:rsidR="008B4CE7" w:rsidRPr="00B935F1" w:rsidRDefault="008B4CE7" w:rsidP="00F0207D">
            <w:pPr>
              <w:spacing w:after="0" w:line="240" w:lineRule="auto"/>
              <w:rPr>
                <w:rFonts w:ascii="Times New Roman" w:eastAsia="Times New Roman" w:hAnsi="Times New Roman" w:cs="Calibri"/>
                <w:b/>
                <w:bCs/>
                <w:color w:val="000000"/>
                <w:sz w:val="24"/>
                <w:szCs w:val="24"/>
              </w:rPr>
            </w:pPr>
            <w:r>
              <w:rPr>
                <w:rFonts w:ascii="Times New Roman" w:eastAsia="Times New Roman" w:hAnsi="Times New Roman" w:cs="Calibri"/>
                <w:b/>
                <w:bCs/>
                <w:color w:val="000000"/>
                <w:sz w:val="24"/>
                <w:szCs w:val="24"/>
              </w:rPr>
              <w:t>RHF</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0.24</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0.46</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0.95</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Calibri"/>
                <w:color w:val="000000"/>
                <w:sz w:val="24"/>
                <w:szCs w:val="24"/>
              </w:rPr>
            </w:pPr>
            <w:r w:rsidRPr="00B935F1">
              <w:rPr>
                <w:rFonts w:ascii="Times New Roman" w:eastAsia="Times New Roman" w:hAnsi="Times New Roman" w:cs="Calibri"/>
                <w:color w:val="000000"/>
                <w:sz w:val="24"/>
                <w:szCs w:val="24"/>
              </w:rPr>
              <w:t>1.47</w:t>
            </w:r>
          </w:p>
        </w:tc>
      </w:tr>
    </w:tbl>
    <w:p w:rsidR="008B4CE7" w:rsidRPr="00B935F1" w:rsidRDefault="008B4CE7" w:rsidP="008B4CE7">
      <w:pPr>
        <w:spacing w:after="220" w:line="271" w:lineRule="auto"/>
        <w:rPr>
          <w:rFonts w:cs="Times New Roman"/>
          <w:szCs w:val="24"/>
        </w:rPr>
      </w:pPr>
      <w:r>
        <w:rPr>
          <w:rFonts w:cs="Times New Roman"/>
          <w:szCs w:val="24"/>
        </w:rPr>
        <w:t xml:space="preserve">                  </w:t>
      </w:r>
      <w:r w:rsidRPr="00B935F1">
        <w:rPr>
          <w:rFonts w:cs="Times New Roman"/>
          <w:szCs w:val="24"/>
        </w:rPr>
        <w:t xml:space="preserve">* Negative values denote the </w:t>
      </w:r>
      <w:r>
        <w:rPr>
          <w:rFonts w:cs="Times New Roman"/>
          <w:szCs w:val="24"/>
        </w:rPr>
        <w:t>number of emigrants. Source: BDP 2100</w:t>
      </w:r>
      <w:r w:rsidRPr="00B935F1">
        <w:rPr>
          <w:rFonts w:cs="Times New Roman"/>
          <w:szCs w:val="24"/>
        </w:rPr>
        <w:t xml:space="preserve"> Projections</w:t>
      </w:r>
    </w:p>
    <w:p w:rsidR="008B4CE7" w:rsidRPr="00B935F1" w:rsidRDefault="008B4CE7" w:rsidP="008B4CE7">
      <w:pPr>
        <w:spacing w:after="220" w:line="271" w:lineRule="auto"/>
        <w:rPr>
          <w:rFonts w:cs="Times New Roman"/>
          <w:szCs w:val="24"/>
        </w:rPr>
      </w:pPr>
      <w:r w:rsidRPr="00B935F1">
        <w:rPr>
          <w:rFonts w:cs="Times New Roman"/>
          <w:szCs w:val="24"/>
        </w:rPr>
        <w:lastRenderedPageBreak/>
        <w:t xml:space="preserve">As indicated in Table 5.1, </w:t>
      </w:r>
      <w:r w:rsidRPr="00FC2801">
        <w:rPr>
          <w:rFonts w:cs="Times New Roman"/>
          <w:bCs/>
          <w:i/>
          <w:iCs/>
          <w:szCs w:val="24"/>
        </w:rPr>
        <w:t>the number of emigrants from coastal and river estuaries will be relatively higher than all other regions.</w:t>
      </w:r>
      <w:r w:rsidRPr="00B935F1">
        <w:rPr>
          <w:rFonts w:cs="Times New Roman"/>
          <w:b/>
          <w:color w:val="00B050"/>
          <w:szCs w:val="24"/>
          <w:u w:val="single"/>
        </w:rPr>
        <w:t xml:space="preserve"> </w:t>
      </w:r>
      <w:r w:rsidRPr="00B935F1">
        <w:rPr>
          <w:rFonts w:cs="Times New Roman"/>
          <w:szCs w:val="24"/>
        </w:rPr>
        <w:t>And from these emigrants, most would immigrate to the urban regions of the country. This would intensify the increase of population in urban regions; leading to concentration in the slums with further unemployment/underemployment and serious health issues. These adverse effects might deteriorate the law and order condition in urban areas.</w:t>
      </w:r>
    </w:p>
    <w:p w:rsidR="008B4CE7" w:rsidRPr="00B935F1" w:rsidRDefault="008B4CE7" w:rsidP="008B4CE7">
      <w:pPr>
        <w:pStyle w:val="Heading2"/>
        <w:tabs>
          <w:tab w:val="num" w:pos="576"/>
        </w:tabs>
        <w:spacing w:before="160" w:after="160"/>
        <w:ind w:left="0" w:firstLine="0"/>
        <w:jc w:val="left"/>
      </w:pPr>
      <w:bookmarkStart w:id="445" w:name="_Toc452121442"/>
      <w:bookmarkStart w:id="446" w:name="_Toc460496853"/>
      <w:bookmarkStart w:id="447" w:name="_Toc464328764"/>
      <w:r w:rsidRPr="00B935F1">
        <w:t xml:space="preserve">The </w:t>
      </w:r>
      <w:r>
        <w:t>Delta Plan</w:t>
      </w:r>
      <w:r w:rsidRPr="00B935F1">
        <w:t xml:space="preserve"> </w:t>
      </w:r>
      <w:bookmarkEnd w:id="445"/>
      <w:bookmarkEnd w:id="446"/>
      <w:bookmarkEnd w:id="447"/>
      <w:r>
        <w:t>Policy O</w:t>
      </w:r>
      <w:r w:rsidRPr="00B935F1">
        <w:t>ption</w:t>
      </w:r>
    </w:p>
    <w:p w:rsidR="008B4CE7" w:rsidRPr="00B935F1" w:rsidRDefault="008B4CE7" w:rsidP="008B4CE7">
      <w:pPr>
        <w:rPr>
          <w:rFonts w:cs="Times New Roman"/>
          <w:szCs w:val="24"/>
        </w:rPr>
      </w:pPr>
      <w:r w:rsidRPr="00B935F1">
        <w:rPr>
          <w:rFonts w:cs="Times New Roman"/>
          <w:szCs w:val="24"/>
        </w:rPr>
        <w:t>A key consideration in this policy option is the implementation of focused climate adaptation related public investment and strategies.  This would in turn crowd in private sector investment (both domestic and foreign). Along with higher investment, productivity would also increase as adverse effects of climate change and natural disasters are averted owing to the implementation of delta plan investments and policies, leading to higher growth under the DP policy option.</w:t>
      </w:r>
    </w:p>
    <w:p w:rsidR="008B4CE7" w:rsidRPr="00B935F1" w:rsidRDefault="008B4CE7" w:rsidP="008B4CE7">
      <w:pPr>
        <w:rPr>
          <w:rFonts w:cs="Times New Roman"/>
          <w:szCs w:val="24"/>
        </w:rPr>
      </w:pPr>
      <w:r w:rsidRPr="00B935F1">
        <w:rPr>
          <w:rFonts w:cs="Times New Roman"/>
          <w:szCs w:val="24"/>
        </w:rPr>
        <w:t>Under the DP policy option, Bangladesh is able achieve its GDP growth target of 8% by FY2020 and maintain an average growth rate of 8% or more until FY2041.  As a result, a key outcome of the DP policy option is that Bangladesh would become an UMIC by FY2030-31 and solidify this position in FY2041, notwithstanding the climate change and other environmental shocks. This policy option envisages that Bangladesh’s per capita income would be around USD 5,480 in FY</w:t>
      </w:r>
      <w:r>
        <w:rPr>
          <w:rFonts w:cs="Times New Roman"/>
          <w:szCs w:val="24"/>
        </w:rPr>
        <w:t>20</w:t>
      </w:r>
      <w:r w:rsidRPr="00B935F1">
        <w:rPr>
          <w:rFonts w:cs="Times New Roman"/>
          <w:szCs w:val="24"/>
        </w:rPr>
        <w:t>31 and climb to USD 14,302 in FY</w:t>
      </w:r>
      <w:r>
        <w:rPr>
          <w:rFonts w:cs="Times New Roman"/>
          <w:szCs w:val="24"/>
        </w:rPr>
        <w:t>20</w:t>
      </w:r>
      <w:r w:rsidRPr="00B935F1">
        <w:rPr>
          <w:rFonts w:cs="Times New Roman"/>
          <w:szCs w:val="24"/>
        </w:rPr>
        <w:t xml:space="preserve">41, while maintaining </w:t>
      </w:r>
      <w:r w:rsidRPr="00B935F1">
        <w:rPr>
          <w:rFonts w:cs="Times New Roman"/>
          <w:color w:val="000000" w:themeColor="text1"/>
          <w:szCs w:val="24"/>
        </w:rPr>
        <w:t>8.1</w:t>
      </w:r>
      <w:r w:rsidRPr="00B935F1">
        <w:rPr>
          <w:rFonts w:cs="Times New Roman"/>
          <w:szCs w:val="24"/>
        </w:rPr>
        <w:t xml:space="preserve"> percent growth rate on an average from FY2016 to FY2041. These per capita income figures exceed the corresponding thresholds for UMIC as defined under the WB guidelines.  Indeed, projections show that Bangladesh will cross the UMIC threshold by the target year FY</w:t>
      </w:r>
      <w:r>
        <w:rPr>
          <w:rFonts w:cs="Times New Roman"/>
          <w:szCs w:val="24"/>
        </w:rPr>
        <w:t>20</w:t>
      </w:r>
      <w:r w:rsidRPr="00B935F1">
        <w:rPr>
          <w:rFonts w:cs="Times New Roman"/>
          <w:szCs w:val="24"/>
        </w:rPr>
        <w:t>31.  For this sustained economic growth to materialize, Bangladesh will need to pursue an  export oriented, manufacturing led growth strategy coupled with increased workers’ participation rate and much higher average productivity of labor. Moreover, public investment would primarily concentrate on infrastructure development and mitigating environmental impacts, and thereby crowd in private domestic and foreign direct investment to accelerate and sustain growth over the entire time span.</w:t>
      </w:r>
    </w:p>
    <w:p w:rsidR="008B4CE7" w:rsidRPr="00FC2801" w:rsidRDefault="008B4CE7" w:rsidP="008B4CE7">
      <w:pPr>
        <w:pStyle w:val="Heading4"/>
      </w:pPr>
      <w:bookmarkStart w:id="448" w:name="_Toc460496999"/>
      <w:bookmarkStart w:id="449" w:name="_Toc464328910"/>
      <w:r w:rsidRPr="00FC2801">
        <w:t>Table 5.2</w:t>
      </w:r>
      <w:r>
        <w:t>: Years r</w:t>
      </w:r>
      <w:r w:rsidRPr="00FC2801">
        <w:t>equired by countries to transform from lower middle income to upper middle income country</w:t>
      </w:r>
      <w:bookmarkEnd w:id="448"/>
      <w:bookmarkEnd w:id="449"/>
    </w:p>
    <w:tbl>
      <w:tblPr>
        <w:tblStyle w:val="TableGrid"/>
        <w:tblW w:w="9648" w:type="dxa"/>
        <w:tblLook w:val="04A0"/>
      </w:tblPr>
      <w:tblGrid>
        <w:gridCol w:w="1841"/>
        <w:gridCol w:w="1842"/>
        <w:gridCol w:w="1842"/>
        <w:gridCol w:w="1842"/>
        <w:gridCol w:w="2281"/>
      </w:tblGrid>
      <w:tr w:rsidR="008B4CE7" w:rsidRPr="00B935F1" w:rsidTr="00F0207D">
        <w:trPr>
          <w:trHeight w:val="144"/>
        </w:trPr>
        <w:tc>
          <w:tcPr>
            <w:tcW w:w="1841" w:type="dxa"/>
            <w:shd w:val="clear" w:color="auto" w:fill="F2F2F2" w:themeFill="background1" w:themeFillShade="F2"/>
            <w:vAlign w:val="center"/>
          </w:tcPr>
          <w:p w:rsidR="008B4CE7" w:rsidRPr="00B935F1" w:rsidRDefault="008B4CE7" w:rsidP="00F0207D">
            <w:pPr>
              <w:spacing w:after="0"/>
              <w:rPr>
                <w:rFonts w:cs="Segoe UI"/>
                <w:b/>
                <w:szCs w:val="24"/>
              </w:rPr>
            </w:pPr>
            <w:r w:rsidRPr="00B935F1">
              <w:rPr>
                <w:rFonts w:cs="Segoe UI"/>
                <w:b/>
                <w:szCs w:val="24"/>
              </w:rPr>
              <w:t>Economy</w:t>
            </w:r>
          </w:p>
        </w:tc>
        <w:tc>
          <w:tcPr>
            <w:tcW w:w="1842" w:type="dxa"/>
            <w:shd w:val="clear" w:color="auto" w:fill="F2F2F2" w:themeFill="background1" w:themeFillShade="F2"/>
            <w:vAlign w:val="center"/>
          </w:tcPr>
          <w:p w:rsidR="008B4CE7" w:rsidRDefault="008B4CE7" w:rsidP="00F0207D">
            <w:pPr>
              <w:spacing w:after="0"/>
              <w:jc w:val="center"/>
              <w:rPr>
                <w:rFonts w:cs="Segoe UI"/>
                <w:b/>
                <w:szCs w:val="24"/>
              </w:rPr>
            </w:pPr>
            <w:r>
              <w:rPr>
                <w:rFonts w:cs="Segoe UI"/>
                <w:b/>
                <w:szCs w:val="24"/>
              </w:rPr>
              <w:t>Economy t</w:t>
            </w:r>
            <w:r w:rsidRPr="00B935F1">
              <w:rPr>
                <w:rFonts w:cs="Segoe UI"/>
                <w:b/>
                <w:szCs w:val="24"/>
              </w:rPr>
              <w:t xml:space="preserve">urned </w:t>
            </w:r>
            <w:r>
              <w:rPr>
                <w:rFonts w:cs="Segoe UI"/>
                <w:b/>
                <w:szCs w:val="24"/>
              </w:rPr>
              <w:t>into LMI</w:t>
            </w:r>
          </w:p>
          <w:p w:rsidR="008B4CE7" w:rsidRPr="00B935F1" w:rsidRDefault="008B4CE7" w:rsidP="00F0207D">
            <w:pPr>
              <w:spacing w:after="0"/>
              <w:jc w:val="center"/>
              <w:rPr>
                <w:rFonts w:cs="Segoe UI"/>
                <w:b/>
                <w:szCs w:val="24"/>
              </w:rPr>
            </w:pPr>
            <w:r>
              <w:rPr>
                <w:rFonts w:cs="Segoe UI"/>
                <w:b/>
                <w:szCs w:val="24"/>
              </w:rPr>
              <w:t>(year)</w:t>
            </w:r>
          </w:p>
        </w:tc>
        <w:tc>
          <w:tcPr>
            <w:tcW w:w="1842" w:type="dxa"/>
            <w:shd w:val="clear" w:color="auto" w:fill="F2F2F2" w:themeFill="background1" w:themeFillShade="F2"/>
            <w:vAlign w:val="center"/>
          </w:tcPr>
          <w:p w:rsidR="008B4CE7" w:rsidRDefault="008B4CE7" w:rsidP="00F0207D">
            <w:pPr>
              <w:spacing w:after="0"/>
              <w:jc w:val="center"/>
              <w:rPr>
                <w:rFonts w:cs="Segoe UI"/>
                <w:b/>
                <w:szCs w:val="24"/>
              </w:rPr>
            </w:pPr>
            <w:r>
              <w:rPr>
                <w:rFonts w:cs="Segoe UI"/>
                <w:b/>
                <w:szCs w:val="24"/>
              </w:rPr>
              <w:t>Economy t</w:t>
            </w:r>
            <w:r w:rsidRPr="00B935F1">
              <w:rPr>
                <w:rFonts w:cs="Segoe UI"/>
                <w:b/>
                <w:szCs w:val="24"/>
              </w:rPr>
              <w:t xml:space="preserve">urned </w:t>
            </w:r>
            <w:r>
              <w:rPr>
                <w:rFonts w:cs="Segoe UI"/>
                <w:b/>
                <w:szCs w:val="24"/>
              </w:rPr>
              <w:t>into UMI</w:t>
            </w:r>
          </w:p>
          <w:p w:rsidR="008B4CE7" w:rsidRPr="00B935F1" w:rsidRDefault="008B4CE7" w:rsidP="00F0207D">
            <w:pPr>
              <w:spacing w:after="0"/>
              <w:jc w:val="center"/>
              <w:rPr>
                <w:rFonts w:cs="Segoe UI"/>
                <w:b/>
                <w:szCs w:val="24"/>
              </w:rPr>
            </w:pPr>
            <w:r>
              <w:rPr>
                <w:rFonts w:cs="Segoe UI"/>
                <w:b/>
                <w:szCs w:val="24"/>
              </w:rPr>
              <w:t>(year)</w:t>
            </w:r>
          </w:p>
        </w:tc>
        <w:tc>
          <w:tcPr>
            <w:tcW w:w="1842" w:type="dxa"/>
            <w:shd w:val="clear" w:color="auto" w:fill="F2F2F2" w:themeFill="background1" w:themeFillShade="F2"/>
            <w:vAlign w:val="center"/>
          </w:tcPr>
          <w:p w:rsidR="008B4CE7" w:rsidRDefault="008B4CE7" w:rsidP="00F0207D">
            <w:pPr>
              <w:spacing w:after="0"/>
              <w:jc w:val="center"/>
              <w:rPr>
                <w:rFonts w:cs="Segoe UI"/>
                <w:b/>
                <w:szCs w:val="24"/>
              </w:rPr>
            </w:pPr>
            <w:r>
              <w:rPr>
                <w:rFonts w:cs="Segoe UI"/>
                <w:b/>
                <w:szCs w:val="24"/>
              </w:rPr>
              <w:t>Period as</w:t>
            </w:r>
            <w:r w:rsidRPr="00B935F1">
              <w:rPr>
                <w:rFonts w:cs="Segoe UI"/>
                <w:b/>
                <w:szCs w:val="24"/>
              </w:rPr>
              <w:t xml:space="preserve"> LMI Country</w:t>
            </w:r>
          </w:p>
          <w:p w:rsidR="008B4CE7" w:rsidRPr="00B935F1" w:rsidRDefault="008B4CE7" w:rsidP="00F0207D">
            <w:pPr>
              <w:spacing w:after="0"/>
              <w:jc w:val="center"/>
              <w:rPr>
                <w:rFonts w:cs="Segoe UI"/>
                <w:b/>
                <w:szCs w:val="24"/>
              </w:rPr>
            </w:pPr>
            <w:r>
              <w:rPr>
                <w:rFonts w:cs="Segoe UI"/>
                <w:b/>
                <w:szCs w:val="24"/>
              </w:rPr>
              <w:t>(year)</w:t>
            </w:r>
          </w:p>
        </w:tc>
        <w:tc>
          <w:tcPr>
            <w:tcW w:w="2281" w:type="dxa"/>
            <w:shd w:val="clear" w:color="auto" w:fill="F2F2F2" w:themeFill="background1" w:themeFillShade="F2"/>
            <w:vAlign w:val="center"/>
          </w:tcPr>
          <w:p w:rsidR="008B4CE7" w:rsidRDefault="008B4CE7" w:rsidP="00F0207D">
            <w:pPr>
              <w:spacing w:after="0"/>
              <w:jc w:val="center"/>
              <w:rPr>
                <w:rFonts w:cs="Segoe UI"/>
                <w:b/>
                <w:szCs w:val="24"/>
              </w:rPr>
            </w:pPr>
            <w:r w:rsidRPr="00B935F1">
              <w:rPr>
                <w:rFonts w:cs="Segoe UI"/>
                <w:b/>
                <w:szCs w:val="24"/>
              </w:rPr>
              <w:t xml:space="preserve">Average  per capita GDP Growth </w:t>
            </w:r>
          </w:p>
          <w:p w:rsidR="008B4CE7" w:rsidRPr="00B935F1" w:rsidRDefault="008B4CE7" w:rsidP="00F0207D">
            <w:pPr>
              <w:spacing w:after="0"/>
              <w:jc w:val="center"/>
              <w:rPr>
                <w:rFonts w:cs="Segoe UI"/>
                <w:b/>
                <w:szCs w:val="24"/>
              </w:rPr>
            </w:pPr>
            <w:r w:rsidRPr="00B935F1">
              <w:rPr>
                <w:rFonts w:cs="Segoe UI"/>
                <w:b/>
                <w:szCs w:val="24"/>
              </w:rPr>
              <w:t>(</w:t>
            </w:r>
            <w:r>
              <w:rPr>
                <w:rFonts w:cs="Segoe UI"/>
                <w:b/>
                <w:szCs w:val="24"/>
              </w:rPr>
              <w:t xml:space="preserve">from </w:t>
            </w:r>
            <w:r w:rsidRPr="00B935F1">
              <w:rPr>
                <w:rFonts w:cs="Segoe UI"/>
                <w:b/>
                <w:szCs w:val="24"/>
              </w:rPr>
              <w:t>LMI to UMI)</w:t>
            </w:r>
          </w:p>
        </w:tc>
      </w:tr>
      <w:tr w:rsidR="008B4CE7" w:rsidRPr="00B935F1" w:rsidTr="00F0207D">
        <w:trPr>
          <w:trHeight w:val="144"/>
        </w:trPr>
        <w:tc>
          <w:tcPr>
            <w:tcW w:w="1841" w:type="dxa"/>
          </w:tcPr>
          <w:p w:rsidR="008B4CE7" w:rsidRPr="00B935F1" w:rsidRDefault="008B4CE7" w:rsidP="00F0207D">
            <w:pPr>
              <w:spacing w:after="0"/>
              <w:rPr>
                <w:rFonts w:cs="Segoe UI"/>
                <w:szCs w:val="24"/>
              </w:rPr>
            </w:pPr>
            <w:r w:rsidRPr="00B935F1">
              <w:rPr>
                <w:rFonts w:cs="Segoe UI"/>
                <w:szCs w:val="24"/>
              </w:rPr>
              <w:t>China</w:t>
            </w:r>
          </w:p>
        </w:tc>
        <w:tc>
          <w:tcPr>
            <w:tcW w:w="1842" w:type="dxa"/>
          </w:tcPr>
          <w:p w:rsidR="008B4CE7" w:rsidRPr="00B935F1" w:rsidRDefault="008B4CE7" w:rsidP="00F0207D">
            <w:pPr>
              <w:spacing w:after="0"/>
              <w:jc w:val="center"/>
              <w:rPr>
                <w:rFonts w:cs="Segoe UI"/>
                <w:szCs w:val="24"/>
              </w:rPr>
            </w:pPr>
            <w:r w:rsidRPr="00B935F1">
              <w:rPr>
                <w:rFonts w:cs="Segoe UI"/>
                <w:szCs w:val="24"/>
              </w:rPr>
              <w:t>1992</w:t>
            </w:r>
          </w:p>
        </w:tc>
        <w:tc>
          <w:tcPr>
            <w:tcW w:w="1842" w:type="dxa"/>
          </w:tcPr>
          <w:p w:rsidR="008B4CE7" w:rsidRPr="00B935F1" w:rsidRDefault="008B4CE7" w:rsidP="00F0207D">
            <w:pPr>
              <w:spacing w:after="0"/>
              <w:jc w:val="center"/>
              <w:rPr>
                <w:rFonts w:cs="Segoe UI"/>
                <w:szCs w:val="24"/>
              </w:rPr>
            </w:pPr>
            <w:r w:rsidRPr="00B935F1">
              <w:rPr>
                <w:rFonts w:cs="Segoe UI"/>
                <w:szCs w:val="24"/>
              </w:rPr>
              <w:t>2009</w:t>
            </w:r>
          </w:p>
        </w:tc>
        <w:tc>
          <w:tcPr>
            <w:tcW w:w="1842" w:type="dxa"/>
          </w:tcPr>
          <w:p w:rsidR="008B4CE7" w:rsidRPr="00B935F1" w:rsidRDefault="008B4CE7" w:rsidP="00F0207D">
            <w:pPr>
              <w:spacing w:after="0"/>
              <w:jc w:val="center"/>
              <w:rPr>
                <w:rFonts w:cs="Segoe UI"/>
                <w:szCs w:val="24"/>
              </w:rPr>
            </w:pPr>
            <w:r w:rsidRPr="00B935F1">
              <w:rPr>
                <w:rFonts w:cs="Segoe UI"/>
                <w:szCs w:val="24"/>
              </w:rPr>
              <w:t>17</w:t>
            </w:r>
          </w:p>
        </w:tc>
        <w:tc>
          <w:tcPr>
            <w:tcW w:w="2281" w:type="dxa"/>
          </w:tcPr>
          <w:p w:rsidR="008B4CE7" w:rsidRPr="00B935F1" w:rsidRDefault="008B4CE7" w:rsidP="00F0207D">
            <w:pPr>
              <w:spacing w:after="0"/>
              <w:jc w:val="center"/>
              <w:rPr>
                <w:rFonts w:cs="Segoe UI"/>
                <w:szCs w:val="24"/>
              </w:rPr>
            </w:pPr>
            <w:r w:rsidRPr="00B935F1">
              <w:rPr>
                <w:rFonts w:cs="Segoe UI"/>
                <w:szCs w:val="24"/>
              </w:rPr>
              <w:t>7.5</w:t>
            </w:r>
          </w:p>
        </w:tc>
      </w:tr>
      <w:tr w:rsidR="008B4CE7" w:rsidRPr="00B935F1" w:rsidTr="00F0207D">
        <w:trPr>
          <w:trHeight w:val="144"/>
        </w:trPr>
        <w:tc>
          <w:tcPr>
            <w:tcW w:w="1841" w:type="dxa"/>
          </w:tcPr>
          <w:p w:rsidR="008B4CE7" w:rsidRPr="00B935F1" w:rsidRDefault="008B4CE7" w:rsidP="00F0207D">
            <w:pPr>
              <w:spacing w:after="0"/>
              <w:rPr>
                <w:rFonts w:cs="Segoe UI"/>
                <w:szCs w:val="24"/>
              </w:rPr>
            </w:pPr>
            <w:r w:rsidRPr="00B935F1">
              <w:rPr>
                <w:rFonts w:cs="Segoe UI"/>
                <w:szCs w:val="24"/>
              </w:rPr>
              <w:t>Malaysia</w:t>
            </w:r>
          </w:p>
        </w:tc>
        <w:tc>
          <w:tcPr>
            <w:tcW w:w="1842" w:type="dxa"/>
          </w:tcPr>
          <w:p w:rsidR="008B4CE7" w:rsidRPr="00B935F1" w:rsidRDefault="008B4CE7" w:rsidP="00F0207D">
            <w:pPr>
              <w:spacing w:after="0"/>
              <w:jc w:val="center"/>
              <w:rPr>
                <w:rFonts w:cs="Segoe UI"/>
                <w:szCs w:val="24"/>
              </w:rPr>
            </w:pPr>
            <w:r w:rsidRPr="00B935F1">
              <w:rPr>
                <w:rFonts w:cs="Segoe UI"/>
                <w:szCs w:val="24"/>
              </w:rPr>
              <w:t>1969</w:t>
            </w:r>
          </w:p>
        </w:tc>
        <w:tc>
          <w:tcPr>
            <w:tcW w:w="1842" w:type="dxa"/>
          </w:tcPr>
          <w:p w:rsidR="008B4CE7" w:rsidRPr="00B935F1" w:rsidRDefault="008B4CE7" w:rsidP="00F0207D">
            <w:pPr>
              <w:spacing w:after="0"/>
              <w:jc w:val="center"/>
              <w:rPr>
                <w:rFonts w:cs="Segoe UI"/>
                <w:szCs w:val="24"/>
              </w:rPr>
            </w:pPr>
            <w:r w:rsidRPr="00B935F1">
              <w:rPr>
                <w:rFonts w:cs="Segoe UI"/>
                <w:szCs w:val="24"/>
              </w:rPr>
              <w:t>1996</w:t>
            </w:r>
          </w:p>
        </w:tc>
        <w:tc>
          <w:tcPr>
            <w:tcW w:w="1842" w:type="dxa"/>
          </w:tcPr>
          <w:p w:rsidR="008B4CE7" w:rsidRPr="00B935F1" w:rsidRDefault="008B4CE7" w:rsidP="00F0207D">
            <w:pPr>
              <w:spacing w:after="0"/>
              <w:jc w:val="center"/>
              <w:rPr>
                <w:rFonts w:cs="Segoe UI"/>
                <w:szCs w:val="24"/>
              </w:rPr>
            </w:pPr>
            <w:r w:rsidRPr="00B935F1">
              <w:rPr>
                <w:rFonts w:cs="Segoe UI"/>
                <w:szCs w:val="24"/>
              </w:rPr>
              <w:t>27</w:t>
            </w:r>
          </w:p>
        </w:tc>
        <w:tc>
          <w:tcPr>
            <w:tcW w:w="2281" w:type="dxa"/>
          </w:tcPr>
          <w:p w:rsidR="008B4CE7" w:rsidRPr="00B935F1" w:rsidRDefault="008B4CE7" w:rsidP="00F0207D">
            <w:pPr>
              <w:spacing w:after="0"/>
              <w:jc w:val="center"/>
              <w:rPr>
                <w:rFonts w:cs="Segoe UI"/>
                <w:szCs w:val="24"/>
              </w:rPr>
            </w:pPr>
            <w:r w:rsidRPr="00B935F1">
              <w:rPr>
                <w:rFonts w:cs="Segoe UI"/>
                <w:szCs w:val="24"/>
              </w:rPr>
              <w:t>5.1</w:t>
            </w:r>
          </w:p>
        </w:tc>
      </w:tr>
      <w:tr w:rsidR="008B4CE7" w:rsidRPr="00B935F1" w:rsidTr="00F0207D">
        <w:trPr>
          <w:trHeight w:val="144"/>
        </w:trPr>
        <w:tc>
          <w:tcPr>
            <w:tcW w:w="1841" w:type="dxa"/>
          </w:tcPr>
          <w:p w:rsidR="008B4CE7" w:rsidRPr="00B935F1" w:rsidRDefault="008B4CE7" w:rsidP="00F0207D">
            <w:pPr>
              <w:spacing w:after="0"/>
              <w:rPr>
                <w:rFonts w:cs="Segoe UI"/>
                <w:szCs w:val="24"/>
              </w:rPr>
            </w:pPr>
            <w:r w:rsidRPr="00B935F1">
              <w:rPr>
                <w:rFonts w:cs="Segoe UI"/>
                <w:szCs w:val="24"/>
              </w:rPr>
              <w:t>South Korea</w:t>
            </w:r>
          </w:p>
        </w:tc>
        <w:tc>
          <w:tcPr>
            <w:tcW w:w="1842" w:type="dxa"/>
          </w:tcPr>
          <w:p w:rsidR="008B4CE7" w:rsidRPr="00B935F1" w:rsidRDefault="008B4CE7" w:rsidP="00F0207D">
            <w:pPr>
              <w:spacing w:after="0"/>
              <w:jc w:val="center"/>
              <w:rPr>
                <w:rFonts w:cs="Segoe UI"/>
                <w:szCs w:val="24"/>
              </w:rPr>
            </w:pPr>
            <w:r w:rsidRPr="00B935F1">
              <w:rPr>
                <w:rFonts w:cs="Segoe UI"/>
                <w:szCs w:val="24"/>
              </w:rPr>
              <w:t>1969</w:t>
            </w:r>
          </w:p>
        </w:tc>
        <w:tc>
          <w:tcPr>
            <w:tcW w:w="1842" w:type="dxa"/>
          </w:tcPr>
          <w:p w:rsidR="008B4CE7" w:rsidRPr="00B935F1" w:rsidRDefault="008B4CE7" w:rsidP="00F0207D">
            <w:pPr>
              <w:spacing w:after="0"/>
              <w:jc w:val="center"/>
              <w:rPr>
                <w:rFonts w:cs="Segoe UI"/>
                <w:szCs w:val="24"/>
              </w:rPr>
            </w:pPr>
            <w:r w:rsidRPr="00B935F1">
              <w:rPr>
                <w:rFonts w:cs="Segoe UI"/>
                <w:szCs w:val="24"/>
              </w:rPr>
              <w:t>1988</w:t>
            </w:r>
          </w:p>
        </w:tc>
        <w:tc>
          <w:tcPr>
            <w:tcW w:w="1842" w:type="dxa"/>
          </w:tcPr>
          <w:p w:rsidR="008B4CE7" w:rsidRPr="00B935F1" w:rsidRDefault="008B4CE7" w:rsidP="00F0207D">
            <w:pPr>
              <w:spacing w:after="0"/>
              <w:jc w:val="center"/>
              <w:rPr>
                <w:rFonts w:cs="Segoe UI"/>
                <w:szCs w:val="24"/>
              </w:rPr>
            </w:pPr>
            <w:r w:rsidRPr="00B935F1">
              <w:rPr>
                <w:rFonts w:cs="Segoe UI"/>
                <w:szCs w:val="24"/>
              </w:rPr>
              <w:t>19</w:t>
            </w:r>
          </w:p>
        </w:tc>
        <w:tc>
          <w:tcPr>
            <w:tcW w:w="2281" w:type="dxa"/>
          </w:tcPr>
          <w:p w:rsidR="008B4CE7" w:rsidRPr="00B935F1" w:rsidRDefault="008B4CE7" w:rsidP="00F0207D">
            <w:pPr>
              <w:spacing w:after="0"/>
              <w:jc w:val="center"/>
              <w:rPr>
                <w:rFonts w:cs="Segoe UI"/>
                <w:szCs w:val="24"/>
              </w:rPr>
            </w:pPr>
            <w:r w:rsidRPr="00B935F1">
              <w:rPr>
                <w:rFonts w:cs="Segoe UI"/>
                <w:szCs w:val="24"/>
              </w:rPr>
              <w:t>7.2</w:t>
            </w:r>
          </w:p>
        </w:tc>
      </w:tr>
      <w:tr w:rsidR="008B4CE7" w:rsidRPr="00B935F1" w:rsidTr="00F0207D">
        <w:trPr>
          <w:trHeight w:val="144"/>
        </w:trPr>
        <w:tc>
          <w:tcPr>
            <w:tcW w:w="1841" w:type="dxa"/>
          </w:tcPr>
          <w:p w:rsidR="008B4CE7" w:rsidRPr="00B935F1" w:rsidRDefault="008B4CE7" w:rsidP="00F0207D">
            <w:pPr>
              <w:spacing w:after="0"/>
              <w:rPr>
                <w:rFonts w:cs="Segoe UI"/>
                <w:szCs w:val="24"/>
              </w:rPr>
            </w:pPr>
            <w:r w:rsidRPr="00B935F1">
              <w:rPr>
                <w:rFonts w:cs="Segoe UI"/>
                <w:szCs w:val="24"/>
              </w:rPr>
              <w:t>Taipei, China</w:t>
            </w:r>
          </w:p>
        </w:tc>
        <w:tc>
          <w:tcPr>
            <w:tcW w:w="1842" w:type="dxa"/>
          </w:tcPr>
          <w:p w:rsidR="008B4CE7" w:rsidRPr="00B935F1" w:rsidRDefault="008B4CE7" w:rsidP="00F0207D">
            <w:pPr>
              <w:spacing w:after="0"/>
              <w:jc w:val="center"/>
              <w:rPr>
                <w:rFonts w:cs="Segoe UI"/>
                <w:szCs w:val="24"/>
              </w:rPr>
            </w:pPr>
            <w:r w:rsidRPr="00B935F1">
              <w:rPr>
                <w:rFonts w:cs="Segoe UI"/>
                <w:szCs w:val="24"/>
              </w:rPr>
              <w:t>1967</w:t>
            </w:r>
          </w:p>
        </w:tc>
        <w:tc>
          <w:tcPr>
            <w:tcW w:w="1842" w:type="dxa"/>
          </w:tcPr>
          <w:p w:rsidR="008B4CE7" w:rsidRPr="00B935F1" w:rsidRDefault="008B4CE7" w:rsidP="00F0207D">
            <w:pPr>
              <w:spacing w:after="0"/>
              <w:jc w:val="center"/>
              <w:rPr>
                <w:rFonts w:cs="Segoe UI"/>
                <w:szCs w:val="24"/>
              </w:rPr>
            </w:pPr>
            <w:r w:rsidRPr="00B935F1">
              <w:rPr>
                <w:rFonts w:cs="Segoe UI"/>
                <w:szCs w:val="24"/>
              </w:rPr>
              <w:t>1986</w:t>
            </w:r>
          </w:p>
        </w:tc>
        <w:tc>
          <w:tcPr>
            <w:tcW w:w="1842" w:type="dxa"/>
          </w:tcPr>
          <w:p w:rsidR="008B4CE7" w:rsidRPr="00B935F1" w:rsidRDefault="008B4CE7" w:rsidP="00F0207D">
            <w:pPr>
              <w:spacing w:after="0"/>
              <w:jc w:val="center"/>
              <w:rPr>
                <w:rFonts w:cs="Segoe UI"/>
                <w:szCs w:val="24"/>
              </w:rPr>
            </w:pPr>
            <w:r w:rsidRPr="00B935F1">
              <w:rPr>
                <w:rFonts w:cs="Segoe UI"/>
                <w:szCs w:val="24"/>
              </w:rPr>
              <w:t>19</w:t>
            </w:r>
          </w:p>
        </w:tc>
        <w:tc>
          <w:tcPr>
            <w:tcW w:w="2281" w:type="dxa"/>
          </w:tcPr>
          <w:p w:rsidR="008B4CE7" w:rsidRPr="00B935F1" w:rsidRDefault="008B4CE7" w:rsidP="00F0207D">
            <w:pPr>
              <w:spacing w:after="0"/>
              <w:jc w:val="center"/>
              <w:rPr>
                <w:rFonts w:cs="Segoe UI"/>
                <w:szCs w:val="24"/>
              </w:rPr>
            </w:pPr>
            <w:r w:rsidRPr="00B935F1">
              <w:rPr>
                <w:rFonts w:cs="Segoe UI"/>
                <w:szCs w:val="24"/>
              </w:rPr>
              <w:t>7.0</w:t>
            </w:r>
          </w:p>
        </w:tc>
      </w:tr>
      <w:tr w:rsidR="008B4CE7" w:rsidRPr="00B935F1" w:rsidTr="00F0207D">
        <w:trPr>
          <w:trHeight w:val="144"/>
        </w:trPr>
        <w:tc>
          <w:tcPr>
            <w:tcW w:w="1841" w:type="dxa"/>
          </w:tcPr>
          <w:p w:rsidR="008B4CE7" w:rsidRPr="00B935F1" w:rsidRDefault="008B4CE7" w:rsidP="00F0207D">
            <w:pPr>
              <w:spacing w:after="0"/>
              <w:rPr>
                <w:rFonts w:cs="Segoe UI"/>
                <w:szCs w:val="24"/>
              </w:rPr>
            </w:pPr>
            <w:r w:rsidRPr="00B935F1">
              <w:rPr>
                <w:rFonts w:cs="Segoe UI"/>
                <w:szCs w:val="24"/>
              </w:rPr>
              <w:t>Thailand</w:t>
            </w:r>
          </w:p>
        </w:tc>
        <w:tc>
          <w:tcPr>
            <w:tcW w:w="1842" w:type="dxa"/>
          </w:tcPr>
          <w:p w:rsidR="008B4CE7" w:rsidRPr="00B935F1" w:rsidRDefault="008B4CE7" w:rsidP="00F0207D">
            <w:pPr>
              <w:spacing w:after="0"/>
              <w:jc w:val="center"/>
              <w:rPr>
                <w:rFonts w:cs="Segoe UI"/>
                <w:szCs w:val="24"/>
              </w:rPr>
            </w:pPr>
            <w:r w:rsidRPr="00B935F1">
              <w:rPr>
                <w:rFonts w:cs="Segoe UI"/>
                <w:szCs w:val="24"/>
              </w:rPr>
              <w:t>1976</w:t>
            </w:r>
          </w:p>
        </w:tc>
        <w:tc>
          <w:tcPr>
            <w:tcW w:w="1842" w:type="dxa"/>
          </w:tcPr>
          <w:p w:rsidR="008B4CE7" w:rsidRPr="00B935F1" w:rsidRDefault="008B4CE7" w:rsidP="00F0207D">
            <w:pPr>
              <w:spacing w:after="0"/>
              <w:jc w:val="center"/>
              <w:rPr>
                <w:rFonts w:cs="Segoe UI"/>
                <w:szCs w:val="24"/>
              </w:rPr>
            </w:pPr>
            <w:r w:rsidRPr="00B935F1">
              <w:rPr>
                <w:rFonts w:cs="Segoe UI"/>
                <w:szCs w:val="24"/>
              </w:rPr>
              <w:t>2004</w:t>
            </w:r>
          </w:p>
        </w:tc>
        <w:tc>
          <w:tcPr>
            <w:tcW w:w="1842" w:type="dxa"/>
          </w:tcPr>
          <w:p w:rsidR="008B4CE7" w:rsidRPr="00B935F1" w:rsidRDefault="008B4CE7" w:rsidP="00F0207D">
            <w:pPr>
              <w:spacing w:after="0"/>
              <w:jc w:val="center"/>
              <w:rPr>
                <w:rFonts w:cs="Segoe UI"/>
                <w:szCs w:val="24"/>
              </w:rPr>
            </w:pPr>
            <w:r w:rsidRPr="00B935F1">
              <w:rPr>
                <w:rFonts w:cs="Segoe UI"/>
                <w:szCs w:val="24"/>
              </w:rPr>
              <w:t>28</w:t>
            </w:r>
          </w:p>
        </w:tc>
        <w:tc>
          <w:tcPr>
            <w:tcW w:w="2281" w:type="dxa"/>
          </w:tcPr>
          <w:p w:rsidR="008B4CE7" w:rsidRPr="00B935F1" w:rsidRDefault="008B4CE7" w:rsidP="00F0207D">
            <w:pPr>
              <w:spacing w:after="0"/>
              <w:jc w:val="center"/>
              <w:rPr>
                <w:rFonts w:cs="Segoe UI"/>
                <w:szCs w:val="24"/>
              </w:rPr>
            </w:pPr>
            <w:r w:rsidRPr="00B935F1">
              <w:rPr>
                <w:rFonts w:cs="Segoe UI"/>
                <w:szCs w:val="24"/>
              </w:rPr>
              <w:t>4.7</w:t>
            </w:r>
          </w:p>
        </w:tc>
      </w:tr>
      <w:tr w:rsidR="008B4CE7" w:rsidRPr="00B935F1" w:rsidTr="00F0207D">
        <w:trPr>
          <w:trHeight w:val="144"/>
        </w:trPr>
        <w:tc>
          <w:tcPr>
            <w:tcW w:w="1841" w:type="dxa"/>
          </w:tcPr>
          <w:p w:rsidR="008B4CE7" w:rsidRPr="00B935F1" w:rsidRDefault="008B4CE7" w:rsidP="00F0207D">
            <w:pPr>
              <w:spacing w:after="0"/>
              <w:rPr>
                <w:rFonts w:cs="Segoe UI"/>
                <w:szCs w:val="24"/>
              </w:rPr>
            </w:pPr>
            <w:r w:rsidRPr="00B935F1">
              <w:rPr>
                <w:rFonts w:cs="Segoe UI"/>
                <w:szCs w:val="24"/>
              </w:rPr>
              <w:t>Bulgaria</w:t>
            </w:r>
          </w:p>
        </w:tc>
        <w:tc>
          <w:tcPr>
            <w:tcW w:w="1842" w:type="dxa"/>
          </w:tcPr>
          <w:p w:rsidR="008B4CE7" w:rsidRPr="00B935F1" w:rsidRDefault="008B4CE7" w:rsidP="00F0207D">
            <w:pPr>
              <w:spacing w:after="0"/>
              <w:jc w:val="center"/>
              <w:rPr>
                <w:rFonts w:cs="Segoe UI"/>
                <w:szCs w:val="24"/>
              </w:rPr>
            </w:pPr>
            <w:r w:rsidRPr="00B935F1">
              <w:rPr>
                <w:rFonts w:cs="Segoe UI"/>
                <w:szCs w:val="24"/>
              </w:rPr>
              <w:t>1953</w:t>
            </w:r>
          </w:p>
        </w:tc>
        <w:tc>
          <w:tcPr>
            <w:tcW w:w="1842" w:type="dxa"/>
          </w:tcPr>
          <w:p w:rsidR="008B4CE7" w:rsidRPr="00B935F1" w:rsidRDefault="008B4CE7" w:rsidP="00F0207D">
            <w:pPr>
              <w:spacing w:after="0"/>
              <w:jc w:val="center"/>
              <w:rPr>
                <w:rFonts w:cs="Segoe UI"/>
                <w:szCs w:val="24"/>
              </w:rPr>
            </w:pPr>
            <w:r w:rsidRPr="00B935F1">
              <w:rPr>
                <w:rFonts w:cs="Segoe UI"/>
                <w:szCs w:val="24"/>
              </w:rPr>
              <w:t>2006</w:t>
            </w:r>
          </w:p>
        </w:tc>
        <w:tc>
          <w:tcPr>
            <w:tcW w:w="1842" w:type="dxa"/>
          </w:tcPr>
          <w:p w:rsidR="008B4CE7" w:rsidRPr="00B935F1" w:rsidRDefault="008B4CE7" w:rsidP="00F0207D">
            <w:pPr>
              <w:spacing w:after="0"/>
              <w:jc w:val="center"/>
              <w:rPr>
                <w:rFonts w:cs="Segoe UI"/>
                <w:szCs w:val="24"/>
              </w:rPr>
            </w:pPr>
            <w:r w:rsidRPr="00B935F1">
              <w:rPr>
                <w:rFonts w:cs="Segoe UI"/>
                <w:szCs w:val="24"/>
              </w:rPr>
              <w:t>53</w:t>
            </w:r>
          </w:p>
        </w:tc>
        <w:tc>
          <w:tcPr>
            <w:tcW w:w="2281" w:type="dxa"/>
          </w:tcPr>
          <w:p w:rsidR="008B4CE7" w:rsidRPr="00B935F1" w:rsidRDefault="008B4CE7" w:rsidP="00F0207D">
            <w:pPr>
              <w:spacing w:after="0"/>
              <w:jc w:val="center"/>
              <w:rPr>
                <w:rFonts w:cs="Segoe UI"/>
                <w:szCs w:val="24"/>
              </w:rPr>
            </w:pPr>
            <w:r w:rsidRPr="00B935F1">
              <w:rPr>
                <w:rFonts w:cs="Segoe UI"/>
                <w:szCs w:val="24"/>
              </w:rPr>
              <w:t>2.5</w:t>
            </w:r>
          </w:p>
        </w:tc>
      </w:tr>
      <w:tr w:rsidR="008B4CE7" w:rsidRPr="00B935F1" w:rsidTr="00F0207D">
        <w:trPr>
          <w:trHeight w:val="144"/>
        </w:trPr>
        <w:tc>
          <w:tcPr>
            <w:tcW w:w="1841" w:type="dxa"/>
          </w:tcPr>
          <w:p w:rsidR="008B4CE7" w:rsidRPr="00B935F1" w:rsidRDefault="008B4CE7" w:rsidP="00F0207D">
            <w:pPr>
              <w:spacing w:after="0"/>
              <w:rPr>
                <w:rFonts w:cs="Segoe UI"/>
                <w:szCs w:val="24"/>
              </w:rPr>
            </w:pPr>
            <w:r w:rsidRPr="00B935F1">
              <w:rPr>
                <w:rFonts w:cs="Segoe UI"/>
                <w:szCs w:val="24"/>
              </w:rPr>
              <w:t>Turkey</w:t>
            </w:r>
          </w:p>
        </w:tc>
        <w:tc>
          <w:tcPr>
            <w:tcW w:w="1842" w:type="dxa"/>
          </w:tcPr>
          <w:p w:rsidR="008B4CE7" w:rsidRPr="00B935F1" w:rsidRDefault="008B4CE7" w:rsidP="00F0207D">
            <w:pPr>
              <w:spacing w:after="0"/>
              <w:jc w:val="center"/>
              <w:rPr>
                <w:rFonts w:cs="Segoe UI"/>
                <w:szCs w:val="24"/>
              </w:rPr>
            </w:pPr>
            <w:r w:rsidRPr="00B935F1">
              <w:rPr>
                <w:rFonts w:cs="Segoe UI"/>
                <w:szCs w:val="24"/>
              </w:rPr>
              <w:t>1955</w:t>
            </w:r>
          </w:p>
        </w:tc>
        <w:tc>
          <w:tcPr>
            <w:tcW w:w="1842" w:type="dxa"/>
          </w:tcPr>
          <w:p w:rsidR="008B4CE7" w:rsidRPr="00B935F1" w:rsidRDefault="008B4CE7" w:rsidP="00F0207D">
            <w:pPr>
              <w:spacing w:after="0"/>
              <w:jc w:val="center"/>
              <w:rPr>
                <w:rFonts w:cs="Segoe UI"/>
                <w:szCs w:val="24"/>
              </w:rPr>
            </w:pPr>
            <w:r w:rsidRPr="00B935F1">
              <w:rPr>
                <w:rFonts w:cs="Segoe UI"/>
                <w:szCs w:val="24"/>
              </w:rPr>
              <w:t>2005</w:t>
            </w:r>
          </w:p>
        </w:tc>
        <w:tc>
          <w:tcPr>
            <w:tcW w:w="1842" w:type="dxa"/>
          </w:tcPr>
          <w:p w:rsidR="008B4CE7" w:rsidRPr="00B935F1" w:rsidRDefault="008B4CE7" w:rsidP="00F0207D">
            <w:pPr>
              <w:spacing w:after="0"/>
              <w:jc w:val="center"/>
              <w:rPr>
                <w:rFonts w:cs="Segoe UI"/>
                <w:szCs w:val="24"/>
              </w:rPr>
            </w:pPr>
            <w:r w:rsidRPr="00B935F1">
              <w:rPr>
                <w:rFonts w:cs="Segoe UI"/>
                <w:szCs w:val="24"/>
              </w:rPr>
              <w:t>50</w:t>
            </w:r>
          </w:p>
        </w:tc>
        <w:tc>
          <w:tcPr>
            <w:tcW w:w="2281" w:type="dxa"/>
          </w:tcPr>
          <w:p w:rsidR="008B4CE7" w:rsidRPr="00B935F1" w:rsidRDefault="008B4CE7" w:rsidP="00F0207D">
            <w:pPr>
              <w:spacing w:after="0"/>
              <w:jc w:val="center"/>
              <w:rPr>
                <w:rFonts w:cs="Segoe UI"/>
                <w:szCs w:val="24"/>
              </w:rPr>
            </w:pPr>
            <w:r w:rsidRPr="00B935F1">
              <w:rPr>
                <w:rFonts w:cs="Segoe UI"/>
                <w:szCs w:val="24"/>
              </w:rPr>
              <w:t>2.6</w:t>
            </w:r>
          </w:p>
        </w:tc>
      </w:tr>
      <w:tr w:rsidR="008B4CE7" w:rsidRPr="00B935F1" w:rsidTr="00F0207D">
        <w:trPr>
          <w:trHeight w:val="144"/>
        </w:trPr>
        <w:tc>
          <w:tcPr>
            <w:tcW w:w="1841" w:type="dxa"/>
          </w:tcPr>
          <w:p w:rsidR="008B4CE7" w:rsidRPr="00B935F1" w:rsidRDefault="008B4CE7" w:rsidP="00F0207D">
            <w:pPr>
              <w:spacing w:after="0"/>
              <w:rPr>
                <w:rFonts w:cs="Segoe UI"/>
                <w:szCs w:val="24"/>
              </w:rPr>
            </w:pPr>
            <w:r w:rsidRPr="00B935F1">
              <w:rPr>
                <w:rFonts w:cs="Segoe UI"/>
                <w:szCs w:val="24"/>
              </w:rPr>
              <w:lastRenderedPageBreak/>
              <w:t>Costa Rica</w:t>
            </w:r>
          </w:p>
        </w:tc>
        <w:tc>
          <w:tcPr>
            <w:tcW w:w="1842" w:type="dxa"/>
          </w:tcPr>
          <w:p w:rsidR="008B4CE7" w:rsidRPr="00B935F1" w:rsidRDefault="008B4CE7" w:rsidP="00F0207D">
            <w:pPr>
              <w:spacing w:after="0"/>
              <w:jc w:val="center"/>
              <w:rPr>
                <w:rFonts w:cs="Segoe UI"/>
                <w:szCs w:val="24"/>
              </w:rPr>
            </w:pPr>
            <w:r w:rsidRPr="00B935F1">
              <w:rPr>
                <w:rFonts w:cs="Segoe UI"/>
                <w:szCs w:val="24"/>
              </w:rPr>
              <w:t>1952</w:t>
            </w:r>
          </w:p>
        </w:tc>
        <w:tc>
          <w:tcPr>
            <w:tcW w:w="1842" w:type="dxa"/>
          </w:tcPr>
          <w:p w:rsidR="008B4CE7" w:rsidRPr="00B935F1" w:rsidRDefault="008B4CE7" w:rsidP="00F0207D">
            <w:pPr>
              <w:spacing w:after="0"/>
              <w:jc w:val="center"/>
              <w:rPr>
                <w:rFonts w:cs="Segoe UI"/>
                <w:szCs w:val="24"/>
              </w:rPr>
            </w:pPr>
            <w:r w:rsidRPr="00B935F1">
              <w:rPr>
                <w:rFonts w:cs="Segoe UI"/>
                <w:szCs w:val="24"/>
              </w:rPr>
              <w:t>2006</w:t>
            </w:r>
          </w:p>
        </w:tc>
        <w:tc>
          <w:tcPr>
            <w:tcW w:w="1842" w:type="dxa"/>
          </w:tcPr>
          <w:p w:rsidR="008B4CE7" w:rsidRPr="00B935F1" w:rsidRDefault="008B4CE7" w:rsidP="00F0207D">
            <w:pPr>
              <w:spacing w:after="0"/>
              <w:jc w:val="center"/>
              <w:rPr>
                <w:rFonts w:cs="Segoe UI"/>
                <w:szCs w:val="24"/>
              </w:rPr>
            </w:pPr>
            <w:r w:rsidRPr="00B935F1">
              <w:rPr>
                <w:rFonts w:cs="Segoe UI"/>
                <w:szCs w:val="24"/>
              </w:rPr>
              <w:t>54</w:t>
            </w:r>
          </w:p>
        </w:tc>
        <w:tc>
          <w:tcPr>
            <w:tcW w:w="2281" w:type="dxa"/>
          </w:tcPr>
          <w:p w:rsidR="008B4CE7" w:rsidRPr="00B935F1" w:rsidRDefault="008B4CE7" w:rsidP="00F0207D">
            <w:pPr>
              <w:spacing w:after="0"/>
              <w:jc w:val="center"/>
              <w:rPr>
                <w:rFonts w:cs="Segoe UI"/>
                <w:szCs w:val="24"/>
              </w:rPr>
            </w:pPr>
            <w:r w:rsidRPr="00B935F1">
              <w:rPr>
                <w:rFonts w:cs="Segoe UI"/>
                <w:szCs w:val="24"/>
              </w:rPr>
              <w:t>2.4</w:t>
            </w:r>
          </w:p>
        </w:tc>
      </w:tr>
      <w:tr w:rsidR="008B4CE7" w:rsidRPr="00B935F1" w:rsidTr="00F0207D">
        <w:trPr>
          <w:trHeight w:val="144"/>
        </w:trPr>
        <w:tc>
          <w:tcPr>
            <w:tcW w:w="1841" w:type="dxa"/>
          </w:tcPr>
          <w:p w:rsidR="008B4CE7" w:rsidRPr="00B935F1" w:rsidRDefault="008B4CE7" w:rsidP="00F0207D">
            <w:pPr>
              <w:spacing w:after="0"/>
              <w:rPr>
                <w:rFonts w:cs="Segoe UI"/>
                <w:szCs w:val="24"/>
              </w:rPr>
            </w:pPr>
            <w:r w:rsidRPr="00B935F1">
              <w:rPr>
                <w:rFonts w:cs="Segoe UI"/>
                <w:szCs w:val="24"/>
              </w:rPr>
              <w:t>Oman</w:t>
            </w:r>
          </w:p>
        </w:tc>
        <w:tc>
          <w:tcPr>
            <w:tcW w:w="1842" w:type="dxa"/>
          </w:tcPr>
          <w:p w:rsidR="008B4CE7" w:rsidRPr="00B935F1" w:rsidRDefault="008B4CE7" w:rsidP="00F0207D">
            <w:pPr>
              <w:spacing w:after="0"/>
              <w:jc w:val="center"/>
              <w:rPr>
                <w:rFonts w:cs="Segoe UI"/>
                <w:szCs w:val="24"/>
              </w:rPr>
            </w:pPr>
            <w:r w:rsidRPr="00B935F1">
              <w:rPr>
                <w:rFonts w:cs="Segoe UI"/>
                <w:szCs w:val="24"/>
              </w:rPr>
              <w:t>1968</w:t>
            </w:r>
          </w:p>
        </w:tc>
        <w:tc>
          <w:tcPr>
            <w:tcW w:w="1842" w:type="dxa"/>
          </w:tcPr>
          <w:p w:rsidR="008B4CE7" w:rsidRPr="00B935F1" w:rsidRDefault="008B4CE7" w:rsidP="00F0207D">
            <w:pPr>
              <w:spacing w:after="0"/>
              <w:jc w:val="center"/>
              <w:rPr>
                <w:rFonts w:cs="Segoe UI"/>
                <w:szCs w:val="24"/>
              </w:rPr>
            </w:pPr>
            <w:r w:rsidRPr="00B935F1">
              <w:rPr>
                <w:rFonts w:cs="Segoe UI"/>
                <w:szCs w:val="24"/>
              </w:rPr>
              <w:t>2001</w:t>
            </w:r>
          </w:p>
        </w:tc>
        <w:tc>
          <w:tcPr>
            <w:tcW w:w="1842" w:type="dxa"/>
          </w:tcPr>
          <w:p w:rsidR="008B4CE7" w:rsidRPr="00B935F1" w:rsidRDefault="008B4CE7" w:rsidP="00F0207D">
            <w:pPr>
              <w:spacing w:after="0"/>
              <w:jc w:val="center"/>
              <w:rPr>
                <w:rFonts w:cs="Segoe UI"/>
                <w:szCs w:val="24"/>
              </w:rPr>
            </w:pPr>
            <w:r w:rsidRPr="00B935F1">
              <w:rPr>
                <w:rFonts w:cs="Segoe UI"/>
                <w:szCs w:val="24"/>
              </w:rPr>
              <w:t>33</w:t>
            </w:r>
          </w:p>
        </w:tc>
        <w:tc>
          <w:tcPr>
            <w:tcW w:w="2281" w:type="dxa"/>
          </w:tcPr>
          <w:p w:rsidR="008B4CE7" w:rsidRPr="00B935F1" w:rsidRDefault="008B4CE7" w:rsidP="00F0207D">
            <w:pPr>
              <w:spacing w:after="0"/>
              <w:jc w:val="center"/>
              <w:rPr>
                <w:rFonts w:cs="Segoe UI"/>
                <w:szCs w:val="24"/>
              </w:rPr>
            </w:pPr>
            <w:r w:rsidRPr="00B935F1">
              <w:rPr>
                <w:rFonts w:cs="Segoe UI"/>
                <w:szCs w:val="24"/>
              </w:rPr>
              <w:t>2.7</w:t>
            </w:r>
          </w:p>
        </w:tc>
      </w:tr>
    </w:tbl>
    <w:p w:rsidR="008B4CE7" w:rsidRPr="00C148E4" w:rsidRDefault="008B4CE7" w:rsidP="008B4CE7">
      <w:pPr>
        <w:rPr>
          <w:rFonts w:cs="Times New Roman"/>
          <w:i/>
          <w:iCs/>
          <w:szCs w:val="24"/>
        </w:rPr>
      </w:pPr>
      <w:r w:rsidRPr="00C148E4">
        <w:rPr>
          <w:rFonts w:cs="Times New Roman"/>
          <w:i/>
          <w:iCs/>
          <w:szCs w:val="24"/>
        </w:rPr>
        <w:t>Source: Jesus Felipe, ADB Working Paper, WP: 306, March, 2012</w:t>
      </w:r>
    </w:p>
    <w:p w:rsidR="008B4CE7" w:rsidRPr="00B935F1" w:rsidRDefault="008B4CE7" w:rsidP="008B4CE7">
      <w:pPr>
        <w:spacing w:after="360"/>
        <w:rPr>
          <w:rFonts w:cs="Times New Roman"/>
          <w:szCs w:val="24"/>
        </w:rPr>
      </w:pPr>
      <w:r w:rsidRPr="00B935F1">
        <w:rPr>
          <w:rFonts w:cs="Times New Roman"/>
          <w:szCs w:val="24"/>
        </w:rPr>
        <w:t>LMY and UMY denote the lower middle income and upper middle income country, respectively.</w:t>
      </w:r>
    </w:p>
    <w:p w:rsidR="008B4CE7" w:rsidRPr="00B935F1" w:rsidRDefault="008B4CE7" w:rsidP="008B4CE7">
      <w:pPr>
        <w:spacing w:before="240"/>
        <w:rPr>
          <w:rFonts w:cs="Times New Roman"/>
          <w:b/>
          <w:color w:val="00B050"/>
          <w:szCs w:val="24"/>
          <w:u w:val="single"/>
        </w:rPr>
      </w:pPr>
      <w:r w:rsidRPr="00B935F1">
        <w:rPr>
          <w:rFonts w:cs="Times New Roman"/>
          <w:szCs w:val="24"/>
        </w:rPr>
        <w:t>Table 5.2 highlights the years required by selected countries to become an UMIC from a LMIC status.  China was the fastest among all countries to achieve the status of an UMIC by taking only 17 years. Over these 17 years, China had maintained an annual average economic growth rate of 7.5 percent.  South Korea and Taipei were little bit slower; they spent 19 years as LMICs. In their path towards becoming UMIC, China and some other East Asian countries emphasized more on boosting savings, private and public investment and export oriented growth</w:t>
      </w:r>
      <w:r w:rsidRPr="00B935F1">
        <w:rPr>
          <w:rStyle w:val="FootnoteReference"/>
          <w:rFonts w:cs="Times New Roman"/>
          <w:szCs w:val="24"/>
        </w:rPr>
        <w:footnoteReference w:id="18"/>
      </w:r>
      <w:r w:rsidRPr="00B935F1">
        <w:rPr>
          <w:rFonts w:cs="Times New Roman"/>
          <w:szCs w:val="24"/>
        </w:rPr>
        <w:t xml:space="preserve">. </w:t>
      </w:r>
      <w:r w:rsidRPr="00FC2801">
        <w:rPr>
          <w:rFonts w:cs="Times New Roman"/>
          <w:bCs/>
          <w:i/>
          <w:iCs/>
          <w:szCs w:val="24"/>
        </w:rPr>
        <w:t>From 1992 to 2009 China maintained an  investment to GDP ratio of 36.3 percent on  average, while Malaysia kept the ratio at around 29.1 percent from 1969 to 1996 (WEO, IMF) but required much longer time period to become an UMIC. Thus, acceleration in investment was considered to be a key driver to fostering sustained long-run economic growth in the East Asian economies.</w:t>
      </w:r>
      <w:r w:rsidRPr="00B935F1">
        <w:rPr>
          <w:rFonts w:cs="Times New Roman"/>
          <w:b/>
          <w:color w:val="00B050"/>
          <w:szCs w:val="24"/>
          <w:u w:val="single"/>
        </w:rPr>
        <w:t xml:space="preserve">  </w:t>
      </w:r>
    </w:p>
    <w:p w:rsidR="008B4CE7" w:rsidRPr="00B935F1" w:rsidRDefault="008B4CE7" w:rsidP="008B4CE7">
      <w:pPr>
        <w:rPr>
          <w:rFonts w:cs="Times New Roman"/>
          <w:b/>
          <w:szCs w:val="24"/>
        </w:rPr>
      </w:pPr>
      <w:r w:rsidRPr="00B935F1">
        <w:rPr>
          <w:rFonts w:cs="Times New Roman"/>
          <w:b/>
          <w:szCs w:val="24"/>
        </w:rPr>
        <w:t xml:space="preserve">Major Features of the Delta Plan Policy </w:t>
      </w:r>
      <w:r>
        <w:rPr>
          <w:rFonts w:cs="Times New Roman"/>
          <w:b/>
          <w:szCs w:val="24"/>
        </w:rPr>
        <w:t>O</w:t>
      </w:r>
      <w:r w:rsidRPr="00B935F1">
        <w:rPr>
          <w:rFonts w:cs="Times New Roman"/>
          <w:b/>
          <w:szCs w:val="24"/>
        </w:rPr>
        <w:t>ption</w:t>
      </w:r>
    </w:p>
    <w:p w:rsidR="008B4CE7" w:rsidRPr="00B935F1" w:rsidRDefault="008B4CE7" w:rsidP="008B4CE7">
      <w:pPr>
        <w:rPr>
          <w:rFonts w:cs="Times New Roman"/>
          <w:szCs w:val="24"/>
        </w:rPr>
      </w:pPr>
      <w:r w:rsidRPr="00B935F1">
        <w:rPr>
          <w:rFonts w:cs="Times New Roman"/>
          <w:szCs w:val="24"/>
        </w:rPr>
        <w:t xml:space="preserve">The main highlights of the </w:t>
      </w:r>
      <w:r>
        <w:rPr>
          <w:rFonts w:cs="Times New Roman"/>
          <w:szCs w:val="24"/>
        </w:rPr>
        <w:t>Delta Plan p</w:t>
      </w:r>
      <w:r w:rsidRPr="00B935F1">
        <w:rPr>
          <w:rFonts w:cs="Times New Roman"/>
          <w:szCs w:val="24"/>
        </w:rPr>
        <w:t>olicy option are as follows.</w:t>
      </w:r>
    </w:p>
    <w:p w:rsidR="008B4CE7" w:rsidRPr="00B935F1" w:rsidRDefault="008B4CE7" w:rsidP="003D5A31">
      <w:pPr>
        <w:pStyle w:val="ListParagraph"/>
        <w:numPr>
          <w:ilvl w:val="0"/>
          <w:numId w:val="110"/>
        </w:numPr>
        <w:spacing w:before="120" w:after="120" w:line="276" w:lineRule="auto"/>
        <w:ind w:left="360"/>
        <w:jc w:val="both"/>
        <w:rPr>
          <w:rFonts w:cs="Times New Roman"/>
          <w:szCs w:val="24"/>
        </w:rPr>
      </w:pPr>
      <w:r w:rsidRPr="00B935F1">
        <w:rPr>
          <w:rFonts w:cs="Times New Roman"/>
          <w:szCs w:val="24"/>
        </w:rPr>
        <w:t xml:space="preserve">In this policy option, average economic growth is projected to be </w:t>
      </w:r>
      <w:r w:rsidRPr="00B935F1">
        <w:rPr>
          <w:rFonts w:cs="Times New Roman"/>
          <w:color w:val="000000" w:themeColor="text1"/>
          <w:szCs w:val="24"/>
        </w:rPr>
        <w:t>8.1</w:t>
      </w:r>
      <w:r w:rsidRPr="00B935F1">
        <w:rPr>
          <w:rFonts w:cs="Times New Roman"/>
          <w:color w:val="FF0000"/>
          <w:szCs w:val="24"/>
        </w:rPr>
        <w:t xml:space="preserve"> </w:t>
      </w:r>
      <w:r w:rsidRPr="00B935F1">
        <w:rPr>
          <w:rFonts w:cs="Times New Roman"/>
          <w:szCs w:val="24"/>
        </w:rPr>
        <w:t xml:space="preserve">percent during FY2016-41. The sectoral share in GDP would undergo major changes with a rapid decline in the share of agriculture and a corresponding increase in the share of industrial sector; whereas the share of the service sector would remain almost same, although the composition will change with a growing share of formal services as against informal services. </w:t>
      </w:r>
      <w:r w:rsidRPr="00FC2801">
        <w:rPr>
          <w:rFonts w:cs="Times New Roman"/>
          <w:bCs/>
          <w:i/>
          <w:iCs/>
          <w:szCs w:val="24"/>
        </w:rPr>
        <w:t>It is envisaged that the share of agriculture would decline to less than 7 percent while that of industry (including manufacturing, energy and construction) would rise to more than 40 percent</w:t>
      </w:r>
      <w:r w:rsidRPr="00FC2801">
        <w:rPr>
          <w:rFonts w:cs="Times New Roman"/>
          <w:b/>
          <w:szCs w:val="24"/>
          <w:u w:val="single"/>
        </w:rPr>
        <w:t>.</w:t>
      </w:r>
      <w:r w:rsidRPr="00FC2801">
        <w:rPr>
          <w:rFonts w:cs="Times New Roman"/>
          <w:szCs w:val="24"/>
        </w:rPr>
        <w:t xml:space="preserve"> </w:t>
      </w:r>
      <w:r w:rsidRPr="00B935F1">
        <w:rPr>
          <w:rFonts w:cs="Times New Roman"/>
          <w:szCs w:val="24"/>
        </w:rPr>
        <w:t>In recent years, the industrial sector of Bangladesh is highly dominated by lower capital intensive industry (especially readymade garment), but it is expected to change over this period by being more capital intensive. The capital intensity increase happens from the adoption of better technology and skilled labor in both manufacturing and construction.</w:t>
      </w:r>
    </w:p>
    <w:p w:rsidR="008B4CE7" w:rsidRPr="00B935F1" w:rsidRDefault="008B4CE7" w:rsidP="003D5A31">
      <w:pPr>
        <w:pStyle w:val="ListParagraph"/>
        <w:numPr>
          <w:ilvl w:val="0"/>
          <w:numId w:val="110"/>
        </w:numPr>
        <w:spacing w:before="120" w:after="120" w:line="276" w:lineRule="auto"/>
        <w:ind w:left="360"/>
        <w:jc w:val="both"/>
        <w:rPr>
          <w:rFonts w:cs="Times New Roman"/>
          <w:szCs w:val="24"/>
        </w:rPr>
      </w:pPr>
      <w:r w:rsidRPr="00B935F1">
        <w:rPr>
          <w:rFonts w:cs="Times New Roman"/>
          <w:szCs w:val="24"/>
        </w:rPr>
        <w:t xml:space="preserve">Though the share of agriculture is expected to continue to decline, productivity (both of labour and land/capital) in this sector is expected to rise through invoking appropriate technology and higher value-added production for both domestic market and for exports. Employment in the sector will also go down, thereby releasing labour for the modern industrial sector and services sector. </w:t>
      </w:r>
    </w:p>
    <w:p w:rsidR="008B4CE7" w:rsidRPr="00B935F1" w:rsidRDefault="008B4CE7" w:rsidP="003D5A31">
      <w:pPr>
        <w:pStyle w:val="ListParagraph"/>
        <w:numPr>
          <w:ilvl w:val="0"/>
          <w:numId w:val="110"/>
        </w:numPr>
        <w:spacing w:before="120" w:after="120" w:line="276" w:lineRule="auto"/>
        <w:ind w:left="360"/>
        <w:jc w:val="both"/>
        <w:rPr>
          <w:rFonts w:cs="Times New Roman"/>
          <w:szCs w:val="24"/>
        </w:rPr>
      </w:pPr>
      <w:r w:rsidRPr="00B935F1">
        <w:rPr>
          <w:rFonts w:cs="Times New Roman"/>
          <w:szCs w:val="24"/>
        </w:rPr>
        <w:lastRenderedPageBreak/>
        <w:t xml:space="preserve">Population growth is expected to follow a declining trend during FY2016 to FY2041. On the basis of the UN population projection, </w:t>
      </w:r>
      <w:r w:rsidRPr="00B32AF6">
        <w:rPr>
          <w:rFonts w:cs="Times New Roman"/>
          <w:bCs/>
          <w:i/>
          <w:iCs/>
          <w:szCs w:val="24"/>
        </w:rPr>
        <w:t xml:space="preserve">population growth is assumed to fall to 0.39 percent in </w:t>
      </w:r>
      <w:r w:rsidRPr="00B43512">
        <w:rPr>
          <w:rFonts w:cs="Times New Roman"/>
          <w:bCs/>
          <w:szCs w:val="24"/>
        </w:rPr>
        <w:t>FY2041 from around 1.37 percent at present</w:t>
      </w:r>
      <w:r w:rsidRPr="008F526A">
        <w:rPr>
          <w:rFonts w:cs="Times New Roman"/>
          <w:b/>
          <w:i/>
          <w:iCs/>
          <w:color w:val="FF0000"/>
          <w:szCs w:val="24"/>
        </w:rPr>
        <w:t>.</w:t>
      </w:r>
      <w:r w:rsidRPr="00B935F1">
        <w:rPr>
          <w:rFonts w:cs="Times New Roman"/>
          <w:szCs w:val="24"/>
        </w:rPr>
        <w:t xml:space="preserve">  Lower population growth will contribute to higher per capita GDP growth. </w:t>
      </w:r>
    </w:p>
    <w:p w:rsidR="008B4CE7" w:rsidRPr="00B935F1" w:rsidRDefault="008B4CE7" w:rsidP="003D5A31">
      <w:pPr>
        <w:pStyle w:val="ListParagraph"/>
        <w:numPr>
          <w:ilvl w:val="0"/>
          <w:numId w:val="110"/>
        </w:numPr>
        <w:spacing w:before="120" w:after="120" w:line="276" w:lineRule="auto"/>
        <w:ind w:left="360"/>
        <w:jc w:val="both"/>
        <w:rPr>
          <w:rFonts w:cs="Times New Roman"/>
          <w:szCs w:val="24"/>
        </w:rPr>
      </w:pPr>
      <w:r w:rsidRPr="00B32AF6">
        <w:rPr>
          <w:rFonts w:cs="Times New Roman"/>
          <w:bCs/>
          <w:i/>
          <w:iCs/>
          <w:szCs w:val="24"/>
        </w:rPr>
        <w:t>Investment-GDP ratio (I/Y ratio) would increase to 37.7 percent (including additional delta investment) in FY2041 from 30.1 percent in FY</w:t>
      </w:r>
      <w:r>
        <w:rPr>
          <w:rFonts w:cs="Times New Roman"/>
          <w:bCs/>
          <w:i/>
          <w:iCs/>
          <w:szCs w:val="24"/>
        </w:rPr>
        <w:t>20</w:t>
      </w:r>
      <w:r w:rsidRPr="00B32AF6">
        <w:rPr>
          <w:rFonts w:cs="Times New Roman"/>
          <w:bCs/>
          <w:i/>
          <w:iCs/>
          <w:szCs w:val="24"/>
        </w:rPr>
        <w:t xml:space="preserve">16. </w:t>
      </w:r>
      <w:r w:rsidRPr="00B935F1">
        <w:rPr>
          <w:rFonts w:cs="Times New Roman"/>
          <w:szCs w:val="24"/>
        </w:rPr>
        <w:t xml:space="preserve">Therefore, over the period, I/Y ratio is required to increase by more than 7.6 percentage points. It is important to note that, Bangladesh has just achieved </w:t>
      </w:r>
      <w:r w:rsidRPr="00A07E16">
        <w:rPr>
          <w:rFonts w:cs="Times New Roman"/>
          <w:szCs w:val="24"/>
        </w:rPr>
        <w:t>7.11 percent GDP growth in FY2016</w:t>
      </w:r>
      <w:r w:rsidRPr="00B935F1">
        <w:rPr>
          <w:rFonts w:cs="Times New Roman"/>
          <w:szCs w:val="24"/>
        </w:rPr>
        <w:t xml:space="preserve"> for the first time and investment in the economy has remained below 31 percent of GDP. Even though the GDP growth and investment target might be viewed as ambitious, realization of these targets will be a key prerequisite for Bangladesh to become an upper middle income country by FY2031.  </w:t>
      </w:r>
    </w:p>
    <w:p w:rsidR="008B4CE7" w:rsidRPr="00B935F1" w:rsidRDefault="008B4CE7" w:rsidP="003D5A31">
      <w:pPr>
        <w:pStyle w:val="ListParagraph"/>
        <w:numPr>
          <w:ilvl w:val="0"/>
          <w:numId w:val="110"/>
        </w:numPr>
        <w:spacing w:before="120" w:after="120" w:line="276" w:lineRule="auto"/>
        <w:ind w:left="360"/>
        <w:jc w:val="both"/>
        <w:rPr>
          <w:rFonts w:cs="Times New Roman"/>
          <w:szCs w:val="24"/>
        </w:rPr>
      </w:pPr>
      <w:r w:rsidRPr="00B935F1">
        <w:rPr>
          <w:rFonts w:cs="Times New Roman"/>
          <w:szCs w:val="24"/>
        </w:rPr>
        <w:t xml:space="preserve">Investments in both public and private sector would need to grow at a faster rate to provide adequate infrastructure support and second to enhance and sustain output growth based on better technology and more skilled labor. Public sector would play a pivotal role in creating conducive environment for investment through bringing visible improvements particularly in transport, primary energy and power sectors. Thus, it is assumed that Bangladesh would focus more on increasing domestic resource mobilization, strengthening </w:t>
      </w:r>
      <w:r>
        <w:rPr>
          <w:rFonts w:cs="Times New Roman"/>
          <w:szCs w:val="24"/>
        </w:rPr>
        <w:t xml:space="preserve">Public Private </w:t>
      </w:r>
      <w:r w:rsidRPr="00B935F1">
        <w:rPr>
          <w:rFonts w:cs="Times New Roman"/>
          <w:szCs w:val="24"/>
        </w:rPr>
        <w:t xml:space="preserve">Partnership (PPP) framework especially to implement mega projects in order to reduce infrastructure gap. </w:t>
      </w:r>
    </w:p>
    <w:p w:rsidR="008B4CE7" w:rsidRPr="00C148E4" w:rsidRDefault="008B4CE7" w:rsidP="003D5A31">
      <w:pPr>
        <w:pStyle w:val="ListParagraph"/>
        <w:numPr>
          <w:ilvl w:val="0"/>
          <w:numId w:val="110"/>
        </w:numPr>
        <w:spacing w:before="120" w:after="120" w:line="276" w:lineRule="auto"/>
        <w:ind w:left="360"/>
        <w:jc w:val="both"/>
        <w:rPr>
          <w:rFonts w:cs="Times New Roman"/>
          <w:bCs/>
          <w:i/>
          <w:iCs/>
          <w:szCs w:val="24"/>
        </w:rPr>
      </w:pPr>
      <w:r w:rsidRPr="00B935F1">
        <w:rPr>
          <w:rFonts w:cs="Times New Roman"/>
          <w:szCs w:val="24"/>
        </w:rPr>
        <w:t xml:space="preserve">Past experience in Bangladesh reveals that private sector would play prime role in mobilizing investment resources. It is assumed that investment climate as well as the confidence of investors (both local and external) would be enhanced through appropriate policies that reduce the cost of doing business and improve incentives for investment in manufacturing. </w:t>
      </w:r>
      <w:r w:rsidRPr="00C148E4">
        <w:rPr>
          <w:rFonts w:cs="Times New Roman"/>
          <w:bCs/>
          <w:i/>
          <w:iCs/>
          <w:szCs w:val="24"/>
        </w:rPr>
        <w:t>Therefore, domestic private investment is expected to increases by more than 4.6 percentage points of GDP during FY20</w:t>
      </w:r>
      <w:r>
        <w:rPr>
          <w:rFonts w:cs="Times New Roman"/>
          <w:bCs/>
          <w:i/>
          <w:iCs/>
          <w:szCs w:val="24"/>
        </w:rPr>
        <w:t>16-</w:t>
      </w:r>
      <w:r w:rsidRPr="00C148E4">
        <w:rPr>
          <w:rFonts w:cs="Times New Roman"/>
          <w:bCs/>
          <w:i/>
          <w:iCs/>
          <w:szCs w:val="24"/>
        </w:rPr>
        <w:t>41. In addition, inflow FDI is assumed to rise to be more than 2.9 percent in 2041 from the current level of about 1.2 percent of GDP.</w:t>
      </w:r>
    </w:p>
    <w:p w:rsidR="008B4CE7" w:rsidRPr="00B935F1" w:rsidRDefault="008B4CE7" w:rsidP="003D5A31">
      <w:pPr>
        <w:pStyle w:val="ListParagraph"/>
        <w:numPr>
          <w:ilvl w:val="0"/>
          <w:numId w:val="110"/>
        </w:numPr>
        <w:spacing w:before="120" w:after="120" w:line="276" w:lineRule="auto"/>
        <w:ind w:left="360"/>
        <w:jc w:val="both"/>
        <w:rPr>
          <w:rFonts w:cs="Times New Roman"/>
          <w:szCs w:val="24"/>
        </w:rPr>
      </w:pPr>
      <w:r w:rsidRPr="00C148E4">
        <w:rPr>
          <w:rFonts w:cs="Times New Roman"/>
          <w:bCs/>
          <w:i/>
          <w:iCs/>
          <w:szCs w:val="24"/>
        </w:rPr>
        <w:t xml:space="preserve">Growth in the general price level (inflation) is expected to be stable at around 4.3 to 4.5 percent, supported by prudent monetary policy and continued sound macroeconomic management.  </w:t>
      </w:r>
      <w:r w:rsidRPr="00B935F1">
        <w:rPr>
          <w:rFonts w:cs="Times New Roman"/>
          <w:szCs w:val="24"/>
        </w:rPr>
        <w:t>Growth of broad money (M2) would be around 17 percent during FY20</w:t>
      </w:r>
      <w:r>
        <w:rPr>
          <w:rFonts w:cs="Times New Roman"/>
          <w:szCs w:val="24"/>
        </w:rPr>
        <w:t>16-</w:t>
      </w:r>
      <w:r w:rsidRPr="00B935F1">
        <w:rPr>
          <w:rFonts w:cs="Times New Roman"/>
          <w:szCs w:val="24"/>
        </w:rPr>
        <w:t xml:space="preserve">41. </w:t>
      </w:r>
    </w:p>
    <w:p w:rsidR="008B4CE7" w:rsidRPr="00B935F1" w:rsidRDefault="008B4CE7" w:rsidP="003D5A31">
      <w:pPr>
        <w:pStyle w:val="ListParagraph"/>
        <w:numPr>
          <w:ilvl w:val="0"/>
          <w:numId w:val="110"/>
        </w:numPr>
        <w:spacing w:before="120" w:after="120" w:line="276" w:lineRule="auto"/>
        <w:ind w:left="360"/>
        <w:jc w:val="both"/>
        <w:rPr>
          <w:rFonts w:cs="Times New Roman"/>
          <w:color w:val="000000" w:themeColor="text1"/>
          <w:szCs w:val="24"/>
        </w:rPr>
      </w:pPr>
      <w:r w:rsidRPr="00C148E4">
        <w:rPr>
          <w:rFonts w:cs="Times New Roman"/>
          <w:bCs/>
          <w:i/>
          <w:iCs/>
          <w:szCs w:val="24"/>
        </w:rPr>
        <w:t>Tax revenue effort would need to increase from 9.0 percent in FY2016 to 20.1 percent in FY</w:t>
      </w:r>
      <w:r>
        <w:rPr>
          <w:rFonts w:cs="Times New Roman"/>
          <w:bCs/>
          <w:i/>
          <w:iCs/>
          <w:szCs w:val="24"/>
        </w:rPr>
        <w:t>20</w:t>
      </w:r>
      <w:r w:rsidRPr="00C148E4">
        <w:rPr>
          <w:rFonts w:cs="Times New Roman"/>
          <w:bCs/>
          <w:i/>
          <w:iCs/>
          <w:szCs w:val="24"/>
        </w:rPr>
        <w:t xml:space="preserve">41. </w:t>
      </w:r>
      <w:r>
        <w:rPr>
          <w:rFonts w:cs="Times New Roman"/>
          <w:color w:val="000000" w:themeColor="text1"/>
          <w:szCs w:val="24"/>
        </w:rPr>
        <w:t xml:space="preserve">ADP </w:t>
      </w:r>
      <w:r w:rsidRPr="00B935F1">
        <w:rPr>
          <w:rFonts w:cs="Times New Roman"/>
          <w:color w:val="000000" w:themeColor="text1"/>
          <w:szCs w:val="24"/>
        </w:rPr>
        <w:t>is expected to grow steadily and then stabilize at around 10 percent of GDP, while revenue expenditure is assumed to increase to 17.6 percent in FY2041 from 9.4 percent in FY2016.  Total expenditure is set to almost double to 27.6 percent of GDP in FY2041 from 15.3 percent of GDP in FY2016.</w:t>
      </w:r>
    </w:p>
    <w:p w:rsidR="008B4CE7" w:rsidRPr="00C148E4" w:rsidRDefault="008B4CE7" w:rsidP="003D5A31">
      <w:pPr>
        <w:pStyle w:val="ListParagraph"/>
        <w:numPr>
          <w:ilvl w:val="0"/>
          <w:numId w:val="110"/>
        </w:numPr>
        <w:spacing w:before="120" w:after="120" w:line="276" w:lineRule="auto"/>
        <w:ind w:left="360"/>
        <w:jc w:val="both"/>
        <w:rPr>
          <w:rFonts w:cs="Times New Roman"/>
          <w:bCs/>
          <w:i/>
          <w:iCs/>
          <w:szCs w:val="24"/>
        </w:rPr>
      </w:pPr>
      <w:r w:rsidRPr="00B935F1">
        <w:rPr>
          <w:rFonts w:cs="Times New Roman"/>
          <w:szCs w:val="24"/>
        </w:rPr>
        <w:t xml:space="preserve">Fiscal deficit including grant is expected to remain stable at a sustainable level of around 5 to 5.3 percent of GDP.  Financing of the deficit is assumed to be dominated by domestic sources, but external financing is expected to increase in absolute terms primarily through non-concessional borrowing from multilateral and official bilateral sources and </w:t>
      </w:r>
      <w:r w:rsidRPr="00C148E4">
        <w:rPr>
          <w:rFonts w:cs="Times New Roman"/>
          <w:bCs/>
          <w:i/>
          <w:iCs/>
          <w:szCs w:val="24"/>
        </w:rPr>
        <w:t>market borrowing through issuance of sovereign bonds</w:t>
      </w:r>
    </w:p>
    <w:p w:rsidR="008B4CE7" w:rsidRPr="00B935F1" w:rsidRDefault="008B4CE7" w:rsidP="008B4CE7">
      <w:pPr>
        <w:pStyle w:val="Heading3"/>
        <w:tabs>
          <w:tab w:val="num" w:pos="720"/>
        </w:tabs>
        <w:spacing w:before="120" w:after="120"/>
        <w:ind w:left="0" w:firstLine="0"/>
      </w:pPr>
      <w:r w:rsidRPr="00B935F1">
        <w:t>Per Capita GDP</w:t>
      </w:r>
    </w:p>
    <w:p w:rsidR="008B4CE7" w:rsidRPr="00B935F1" w:rsidRDefault="008B4CE7" w:rsidP="008B4CE7">
      <w:pPr>
        <w:rPr>
          <w:rFonts w:cs="Times New Roman"/>
          <w:szCs w:val="24"/>
        </w:rPr>
      </w:pPr>
      <w:r w:rsidRPr="00B935F1">
        <w:rPr>
          <w:rFonts w:cs="Times New Roman"/>
          <w:szCs w:val="24"/>
        </w:rPr>
        <w:lastRenderedPageBreak/>
        <w:t xml:space="preserve">Figure 5.9 shows the path of per capita GDP in the BAU and </w:t>
      </w:r>
      <w:r>
        <w:rPr>
          <w:rFonts w:cs="Times New Roman"/>
          <w:szCs w:val="24"/>
        </w:rPr>
        <w:t xml:space="preserve">BDP 2100 </w:t>
      </w:r>
      <w:r w:rsidRPr="00B935F1">
        <w:rPr>
          <w:rFonts w:cs="Times New Roman"/>
          <w:szCs w:val="24"/>
        </w:rPr>
        <w:t xml:space="preserve">policy options. The per capita GDP in dollar terms widens progressively between the two policy options as the GDP growth gap widens between them.  As a result, while Bangladesh comfortably reaches UMIC by FY2031 under the </w:t>
      </w:r>
      <w:r>
        <w:rPr>
          <w:rFonts w:cs="Times New Roman"/>
          <w:szCs w:val="24"/>
        </w:rPr>
        <w:t>BDP 2100</w:t>
      </w:r>
      <w:r w:rsidRPr="00B935F1">
        <w:rPr>
          <w:rFonts w:cs="Times New Roman"/>
          <w:szCs w:val="24"/>
        </w:rPr>
        <w:t xml:space="preserve">, it significantly under-performs in the BAU.  As the gap between the two growth paths widens, per capita income outcomes also widen.  Under the </w:t>
      </w:r>
      <w:r>
        <w:rPr>
          <w:rFonts w:cs="Times New Roman"/>
          <w:szCs w:val="24"/>
        </w:rPr>
        <w:t>BDP 2100</w:t>
      </w:r>
      <w:r w:rsidRPr="00B935F1">
        <w:rPr>
          <w:rFonts w:cs="Times New Roman"/>
          <w:szCs w:val="24"/>
        </w:rPr>
        <w:t>, Bangladesh reaches a per capita GDP of USD 13628</w:t>
      </w:r>
      <w:r>
        <w:rPr>
          <w:rFonts w:cs="Times New Roman"/>
          <w:szCs w:val="24"/>
        </w:rPr>
        <w:t xml:space="preserve"> in FY 2041</w:t>
      </w:r>
      <w:r w:rsidRPr="00B935F1">
        <w:rPr>
          <w:rFonts w:cs="Times New Roman"/>
          <w:szCs w:val="24"/>
        </w:rPr>
        <w:t>; whereas under the BAU the GDP per capita climbs only to USD 9875</w:t>
      </w:r>
      <w:r>
        <w:rPr>
          <w:rFonts w:cs="Times New Roman"/>
          <w:szCs w:val="24"/>
        </w:rPr>
        <w:t xml:space="preserve"> at the same year</w:t>
      </w:r>
      <w:r w:rsidRPr="00B935F1">
        <w:rPr>
          <w:rFonts w:cs="Times New Roman"/>
          <w:szCs w:val="24"/>
        </w:rPr>
        <w:t>.  This cumulative loss of USD</w:t>
      </w:r>
      <w:r>
        <w:rPr>
          <w:rFonts w:cs="Times New Roman"/>
          <w:szCs w:val="24"/>
        </w:rPr>
        <w:t xml:space="preserve"> </w:t>
      </w:r>
      <w:r w:rsidRPr="00B935F1">
        <w:rPr>
          <w:rFonts w:cs="Times New Roman"/>
          <w:szCs w:val="24"/>
        </w:rPr>
        <w:t>3753 in FY2041 is entirely due to the losses from climate change</w:t>
      </w:r>
      <w:r>
        <w:rPr>
          <w:rFonts w:cs="Times New Roman"/>
          <w:szCs w:val="24"/>
        </w:rPr>
        <w:t>, natural disasters and inefficient water resources management</w:t>
      </w:r>
      <w:r w:rsidRPr="00B935F1">
        <w:rPr>
          <w:rFonts w:cs="Times New Roman"/>
          <w:szCs w:val="24"/>
        </w:rPr>
        <w:t>.  Clearly, the neglect of climate change and natural disasters will cost Bangladesh quite severely over time.</w:t>
      </w:r>
    </w:p>
    <w:p w:rsidR="008B4CE7" w:rsidRPr="00B935F1" w:rsidRDefault="008B4CE7" w:rsidP="008B4CE7">
      <w:pPr>
        <w:pStyle w:val="Heading5"/>
      </w:pPr>
      <w:bookmarkStart w:id="450" w:name="_Toc460497159"/>
      <w:bookmarkStart w:id="451" w:name="_Toc464329057"/>
      <w:r w:rsidRPr="00B935F1">
        <w:t>Figure 5.9: Per Capita Nominal GDP (USD)</w:t>
      </w:r>
      <w:bookmarkEnd w:id="450"/>
      <w:bookmarkEnd w:id="451"/>
    </w:p>
    <w:p w:rsidR="008B4CE7" w:rsidRPr="00B935F1" w:rsidRDefault="001A12B2" w:rsidP="008B4CE7">
      <w:pPr>
        <w:spacing w:after="0"/>
        <w:jc w:val="center"/>
        <w:rPr>
          <w:rFonts w:cs="Times New Roman"/>
          <w:szCs w:val="24"/>
        </w:rPr>
      </w:pPr>
      <w:r w:rsidRPr="001A12B2">
        <w:rPr>
          <w:rFonts w:cs="Times New Roman"/>
          <w:noProof/>
          <w:szCs w:val="24"/>
        </w:rPr>
        <w:pict>
          <v:shape id="Straight Arrow Connector 918" o:spid="_x0000_s1211" type="#_x0000_t32" style="position:absolute;left:0;text-align:left;margin-left:282.75pt;margin-top:24.75pt;width:.05pt;height:117.75pt;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"/>
        </w:pict>
      </w:r>
      <w:r w:rsidR="008B4CE7" w:rsidRPr="00B935F1">
        <w:rPr>
          <w:rFonts w:cs="Times New Roman"/>
          <w:noProof/>
          <w:szCs w:val="24"/>
          <w:lang w:val="en-AU" w:eastAsia="en-AU" w:bidi="bn-BD"/>
        </w:rPr>
        <w:drawing>
          <wp:inline distT="0" distB="0" distL="0" distR="0">
            <wp:extent cx="5006433" cy="2741342"/>
            <wp:effectExtent l="19050" t="0" r="22767" b="1858"/>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8B4CE7" w:rsidRPr="00B935F1" w:rsidRDefault="008B4CE7" w:rsidP="008B4CE7">
      <w:pPr>
        <w:ind w:firstLine="720"/>
        <w:rPr>
          <w:rFonts w:cs="Times New Roman"/>
          <w:b/>
          <w:bCs/>
          <w:i/>
          <w:iCs/>
          <w:szCs w:val="24"/>
        </w:rPr>
      </w:pPr>
      <w:r w:rsidRPr="00B935F1">
        <w:rPr>
          <w:rFonts w:cs="Times New Roman"/>
          <w:b/>
          <w:bCs/>
          <w:i/>
          <w:iCs/>
          <w:szCs w:val="24"/>
        </w:rPr>
        <w:t xml:space="preserve">Source: </w:t>
      </w:r>
      <w:r w:rsidRPr="008F526A">
        <w:rPr>
          <w:rFonts w:cs="Times New Roman"/>
          <w:b/>
          <w:bCs/>
          <w:i/>
          <w:iCs/>
          <w:szCs w:val="24"/>
        </w:rPr>
        <w:t xml:space="preserve">BDP 2100 </w:t>
      </w:r>
      <w:r w:rsidRPr="00B935F1">
        <w:rPr>
          <w:rFonts w:cs="Times New Roman"/>
          <w:b/>
          <w:bCs/>
          <w:i/>
          <w:iCs/>
          <w:szCs w:val="24"/>
        </w:rPr>
        <w:t>Projections</w:t>
      </w:r>
    </w:p>
    <w:p w:rsidR="008B4CE7" w:rsidRPr="00B935F1" w:rsidRDefault="008B4CE7" w:rsidP="008B4CE7">
      <w:pPr>
        <w:rPr>
          <w:rFonts w:cs="Times New Roman"/>
          <w:szCs w:val="24"/>
        </w:rPr>
      </w:pPr>
      <w:r w:rsidRPr="00B935F1">
        <w:rPr>
          <w:rFonts w:cs="Times New Roman"/>
          <w:szCs w:val="24"/>
        </w:rPr>
        <w:t xml:space="preserve">Figure 5.9 also indicates that Bangladesh may fall into the middle income trap in the absence of higher levels of investment on adaptation, requiring much longer time to become a higher middle income country if environmental risks become more severe. It is also conceivable that without the Delta Plan implementation and in the event of the worst case climate change scenario, Bangladesh may not attain UMIC status for a long period of time.  </w:t>
      </w:r>
    </w:p>
    <w:p w:rsidR="008B4CE7" w:rsidRPr="00B935F1" w:rsidRDefault="008B4CE7" w:rsidP="008B4CE7">
      <w:pPr>
        <w:pStyle w:val="Heading3"/>
        <w:tabs>
          <w:tab w:val="num" w:pos="720"/>
        </w:tabs>
        <w:spacing w:before="120" w:after="120"/>
        <w:ind w:left="0" w:firstLine="0"/>
      </w:pPr>
      <w:r w:rsidRPr="00B935F1">
        <w:t>Employment</w:t>
      </w:r>
    </w:p>
    <w:p w:rsidR="008B4CE7" w:rsidRPr="00B935F1" w:rsidRDefault="008B4CE7" w:rsidP="008B4CE7">
      <w:pPr>
        <w:rPr>
          <w:rFonts w:cs="Times New Roman"/>
          <w:szCs w:val="24"/>
        </w:rPr>
      </w:pPr>
      <w:r w:rsidRPr="00B935F1">
        <w:rPr>
          <w:rFonts w:cs="Times New Roman"/>
          <w:szCs w:val="24"/>
        </w:rPr>
        <w:t xml:space="preserve">The </w:t>
      </w:r>
      <w:r>
        <w:rPr>
          <w:rFonts w:cs="Times New Roman"/>
          <w:szCs w:val="24"/>
        </w:rPr>
        <w:t xml:space="preserve">BDP 2100 </w:t>
      </w:r>
      <w:r w:rsidRPr="00B935F1">
        <w:rPr>
          <w:rFonts w:cs="Times New Roman"/>
          <w:szCs w:val="24"/>
        </w:rPr>
        <w:t xml:space="preserve">policy option projects a better employment situation with the unemployment rate decreasing to 4.4 percent in </w:t>
      </w:r>
      <w:r>
        <w:rPr>
          <w:rFonts w:cs="Times New Roman"/>
          <w:szCs w:val="24"/>
        </w:rPr>
        <w:t>FY</w:t>
      </w:r>
      <w:r w:rsidRPr="00B935F1">
        <w:rPr>
          <w:rFonts w:cs="Times New Roman"/>
          <w:szCs w:val="24"/>
        </w:rPr>
        <w:t>2041. This outcome is contingent upon higher investment and a faster expansion of the manufacturing sector creating additional job opportunities. For comparison, in the BAU policy option, the unemployment rate would be above 12 percent in FY</w:t>
      </w:r>
      <w:r>
        <w:rPr>
          <w:rFonts w:cs="Times New Roman"/>
          <w:szCs w:val="24"/>
        </w:rPr>
        <w:t>20</w:t>
      </w:r>
      <w:r w:rsidRPr="00B935F1">
        <w:rPr>
          <w:rFonts w:cs="Times New Roman"/>
          <w:szCs w:val="24"/>
        </w:rPr>
        <w:t xml:space="preserve">41 because of slower economic expansion with accelerated depreciation of capital due to environmental hazards.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86"/>
        <w:gridCol w:w="4866"/>
      </w:tblGrid>
      <w:tr w:rsidR="008B4CE7" w:rsidRPr="00B935F1" w:rsidTr="00F0207D">
        <w:trPr>
          <w:trHeight w:val="20"/>
        </w:trPr>
        <w:tc>
          <w:tcPr>
            <w:tcW w:w="4592" w:type="dxa"/>
          </w:tcPr>
          <w:p w:rsidR="008B4CE7" w:rsidRPr="00B935F1" w:rsidRDefault="008B4CE7" w:rsidP="00F0207D">
            <w:pPr>
              <w:pStyle w:val="Heading5"/>
              <w:outlineLvl w:val="4"/>
              <w:rPr>
                <w:noProof/>
              </w:rPr>
            </w:pPr>
            <w:bookmarkStart w:id="452" w:name="_Toc457731921"/>
            <w:bookmarkStart w:id="453" w:name="_Toc464329058"/>
            <w:r w:rsidRPr="00B935F1">
              <w:rPr>
                <w:noProof/>
              </w:rPr>
              <w:lastRenderedPageBreak/>
              <w:t xml:space="preserve">Figure 5.10:  Labour Force Participation in Delta Plan </w:t>
            </w:r>
            <w:bookmarkEnd w:id="452"/>
            <w:bookmarkEnd w:id="453"/>
            <w:r w:rsidRPr="00B935F1">
              <w:rPr>
                <w:noProof/>
              </w:rPr>
              <w:t>Policy option</w:t>
            </w:r>
          </w:p>
        </w:tc>
        <w:tc>
          <w:tcPr>
            <w:tcW w:w="4768" w:type="dxa"/>
          </w:tcPr>
          <w:p w:rsidR="008B4CE7" w:rsidRPr="00B935F1" w:rsidRDefault="008B4CE7" w:rsidP="00F0207D">
            <w:pPr>
              <w:pStyle w:val="Heading5"/>
              <w:outlineLvl w:val="4"/>
              <w:rPr>
                <w:noProof/>
              </w:rPr>
            </w:pPr>
            <w:bookmarkStart w:id="454" w:name="_Toc457731922"/>
            <w:bookmarkStart w:id="455" w:name="_Toc464329059"/>
            <w:r w:rsidRPr="00B935F1">
              <w:rPr>
                <w:noProof/>
              </w:rPr>
              <w:t xml:space="preserve">Figure 5.11: Employment in Delta Plan  </w:t>
            </w:r>
            <w:bookmarkEnd w:id="454"/>
            <w:bookmarkEnd w:id="455"/>
            <w:r w:rsidRPr="00B935F1">
              <w:rPr>
                <w:noProof/>
              </w:rPr>
              <w:t>Policy option</w:t>
            </w:r>
          </w:p>
        </w:tc>
      </w:tr>
      <w:tr w:rsidR="008B4CE7" w:rsidRPr="00B935F1" w:rsidTr="00F0207D">
        <w:trPr>
          <w:trHeight w:val="20"/>
        </w:trPr>
        <w:tc>
          <w:tcPr>
            <w:tcW w:w="4592" w:type="dxa"/>
          </w:tcPr>
          <w:p w:rsidR="008B4CE7" w:rsidRPr="00B935F1" w:rsidRDefault="008B4CE7" w:rsidP="00F0207D">
            <w:pPr>
              <w:spacing w:after="0"/>
              <w:rPr>
                <w:rFonts w:cs="Times New Roman"/>
                <w:b/>
                <w:szCs w:val="24"/>
              </w:rPr>
            </w:pPr>
            <w:r w:rsidRPr="00B935F1">
              <w:rPr>
                <w:rFonts w:cs="Times New Roman"/>
                <w:b/>
                <w:noProof/>
                <w:szCs w:val="24"/>
                <w:lang w:val="en-AU" w:eastAsia="en-AU" w:bidi="bn-BD"/>
              </w:rPr>
              <w:drawing>
                <wp:inline distT="0" distB="0" distL="0" distR="0">
                  <wp:extent cx="2828925" cy="2743200"/>
                  <wp:effectExtent l="0" t="0" r="9525" b="1905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c>
          <w:tcPr>
            <w:tcW w:w="4768" w:type="dxa"/>
          </w:tcPr>
          <w:p w:rsidR="008B4CE7" w:rsidRPr="00B935F1" w:rsidRDefault="008B4CE7" w:rsidP="00F0207D">
            <w:pPr>
              <w:spacing w:after="0"/>
              <w:rPr>
                <w:rFonts w:cs="Times New Roman"/>
                <w:b/>
                <w:szCs w:val="24"/>
              </w:rPr>
            </w:pPr>
            <w:r w:rsidRPr="00B935F1">
              <w:rPr>
                <w:rFonts w:cs="Times New Roman"/>
                <w:b/>
                <w:noProof/>
                <w:szCs w:val="24"/>
                <w:lang w:val="en-AU" w:eastAsia="en-AU" w:bidi="bn-BD"/>
              </w:rPr>
              <w:drawing>
                <wp:inline distT="0" distB="0" distL="0" distR="0">
                  <wp:extent cx="2943225" cy="2743200"/>
                  <wp:effectExtent l="0" t="0" r="9525" b="19050"/>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bl>
    <w:p w:rsidR="008B4CE7" w:rsidRPr="00B935F1" w:rsidRDefault="008B4CE7" w:rsidP="008B4CE7">
      <w:pPr>
        <w:rPr>
          <w:rFonts w:cs="Times New Roman"/>
          <w:b/>
          <w:szCs w:val="24"/>
        </w:rPr>
      </w:pPr>
      <w:r w:rsidRPr="00B935F1">
        <w:rPr>
          <w:b/>
          <w:i/>
          <w:szCs w:val="24"/>
        </w:rPr>
        <w:t>Source: GED Projections</w:t>
      </w:r>
    </w:p>
    <w:p w:rsidR="008B4CE7" w:rsidRPr="008F526A" w:rsidRDefault="008B4CE7" w:rsidP="008B4CE7">
      <w:pPr>
        <w:rPr>
          <w:rFonts w:cs="Times New Roman"/>
          <w:bCs/>
          <w:i/>
          <w:iCs/>
          <w:szCs w:val="24"/>
        </w:rPr>
      </w:pPr>
      <w:r w:rsidRPr="00B935F1">
        <w:rPr>
          <w:rFonts w:cs="Times New Roman"/>
          <w:szCs w:val="24"/>
        </w:rPr>
        <w:t>As shown in Figure 5.10, total labour force participation rate would increase to 68 percent at the end of FY2041 from 58.9 in FY2016. Although male labour force participation is projected to increase slightly to 82.2 percent in FY2041, a dramatic change is expected to happen in the female labour force participation rate. Over the period</w:t>
      </w:r>
      <w:r w:rsidRPr="00B935F1">
        <w:rPr>
          <w:rFonts w:cs="Times New Roman"/>
          <w:b/>
          <w:color w:val="00B050"/>
          <w:szCs w:val="24"/>
          <w:u w:val="single"/>
        </w:rPr>
        <w:t xml:space="preserve">, </w:t>
      </w:r>
      <w:r w:rsidRPr="008F526A">
        <w:rPr>
          <w:rFonts w:cs="Times New Roman"/>
          <w:bCs/>
          <w:i/>
          <w:iCs/>
          <w:szCs w:val="24"/>
        </w:rPr>
        <w:t>it is expected to be 18.2 percentage points higher compared to the starting period of FY2016.</w:t>
      </w:r>
    </w:p>
    <w:p w:rsidR="008B4CE7" w:rsidRPr="00B43512" w:rsidRDefault="008B4CE7" w:rsidP="008B4CE7">
      <w:pPr>
        <w:rPr>
          <w:rFonts w:cs="Times New Roman"/>
          <w:szCs w:val="24"/>
        </w:rPr>
      </w:pPr>
      <w:r w:rsidRPr="00B43512">
        <w:rPr>
          <w:rFonts w:cs="Times New Roman"/>
          <w:szCs w:val="24"/>
        </w:rPr>
        <w:t>The BDP 2100 policy option also projects Hotspot wise employment over the period (Figure 5.11). Employment in the urban areas would grow faster while employment in coastal region is estimated to follow a declining trend as both push and pull factors which would intensify migration from environmentally hazardous coastal region to the urban or relatively safe areas. In the Haor area, the baseline estimates show that employment would significantly increase over time because of higher female participation rate and increase in the intensity of agricultural production due to better land management particularly during dry season.</w:t>
      </w:r>
    </w:p>
    <w:p w:rsidR="008B4CE7" w:rsidRPr="00B935F1" w:rsidRDefault="008B4CE7" w:rsidP="008B4CE7">
      <w:pPr>
        <w:pStyle w:val="Heading3"/>
        <w:tabs>
          <w:tab w:val="num" w:pos="720"/>
        </w:tabs>
        <w:spacing w:before="120" w:after="120"/>
        <w:ind w:left="0" w:firstLine="0"/>
      </w:pPr>
      <w:r w:rsidRPr="00B935F1">
        <w:t>Capital Accumulation</w:t>
      </w:r>
    </w:p>
    <w:p w:rsidR="008B4CE7" w:rsidRPr="00B935F1" w:rsidRDefault="008B4CE7" w:rsidP="008B4CE7">
      <w:pPr>
        <w:tabs>
          <w:tab w:val="left" w:pos="1518"/>
        </w:tabs>
        <w:rPr>
          <w:rFonts w:cs="Times New Roman"/>
          <w:szCs w:val="24"/>
        </w:rPr>
      </w:pPr>
      <w:r w:rsidRPr="00B935F1">
        <w:rPr>
          <w:rFonts w:cs="Times New Roman"/>
          <w:szCs w:val="24"/>
        </w:rPr>
        <w:t xml:space="preserve">Historically, the rate of growth is highly dependent on capital accumulation, particularly in lower and middle income countries. In the case of Bangladesh, growth has also been capital intensive with the Incremental Capital Output Ratio (ICOR) rising over time, which indicates that an increase in the investment ratio over time would be required for long-term sustainable growth (estimates of capital stock are provided in Annex Table B5.1). </w:t>
      </w:r>
    </w:p>
    <w:p w:rsidR="008B4CE7" w:rsidRPr="00B935F1" w:rsidRDefault="008B4CE7" w:rsidP="008B4CE7">
      <w:pPr>
        <w:pStyle w:val="Heading5"/>
      </w:pPr>
      <w:bookmarkStart w:id="456" w:name="_Toc457731923"/>
      <w:bookmarkStart w:id="457" w:name="_Toc464329060"/>
      <w:r w:rsidRPr="00B935F1">
        <w:t>Figure 5.12: Investment and Capital Stock</w:t>
      </w:r>
      <w:bookmarkEnd w:id="456"/>
      <w:bookmarkEnd w:id="457"/>
    </w:p>
    <w:p w:rsidR="008B4CE7" w:rsidRPr="00B935F1" w:rsidRDefault="008B4CE7" w:rsidP="008B4CE7">
      <w:pPr>
        <w:spacing w:after="0"/>
        <w:jc w:val="center"/>
        <w:rPr>
          <w:rFonts w:cs="Times New Roman"/>
          <w:szCs w:val="24"/>
        </w:rPr>
      </w:pPr>
      <w:r w:rsidRPr="00B935F1">
        <w:rPr>
          <w:rFonts w:cs="Times New Roman"/>
          <w:noProof/>
          <w:szCs w:val="24"/>
          <w:lang w:val="en-AU" w:eastAsia="en-AU" w:bidi="bn-BD"/>
        </w:rPr>
        <w:lastRenderedPageBreak/>
        <w:drawing>
          <wp:inline distT="0" distB="0" distL="0" distR="0">
            <wp:extent cx="5324475" cy="2952750"/>
            <wp:effectExtent l="0" t="0" r="9525" b="0"/>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8B4CE7" w:rsidRPr="00B935F1" w:rsidRDefault="008B4CE7" w:rsidP="008B4CE7">
      <w:pPr>
        <w:ind w:firstLine="720"/>
        <w:rPr>
          <w:rFonts w:cs="Times New Roman"/>
          <w:b/>
          <w:bCs/>
          <w:i/>
          <w:iCs/>
          <w:szCs w:val="24"/>
        </w:rPr>
      </w:pPr>
      <w:r w:rsidRPr="00B935F1">
        <w:rPr>
          <w:rFonts w:cs="Times New Roman"/>
          <w:b/>
          <w:bCs/>
          <w:i/>
          <w:iCs/>
          <w:szCs w:val="24"/>
        </w:rPr>
        <w:t xml:space="preserve">Source: </w:t>
      </w:r>
      <w:r w:rsidRPr="00A07E16">
        <w:rPr>
          <w:rFonts w:cs="Times New Roman"/>
          <w:b/>
          <w:bCs/>
          <w:i/>
          <w:iCs/>
          <w:szCs w:val="24"/>
        </w:rPr>
        <w:t>BDP 2100</w:t>
      </w:r>
      <w:r w:rsidRPr="00B935F1">
        <w:rPr>
          <w:rFonts w:cs="Times New Roman"/>
          <w:b/>
          <w:bCs/>
          <w:i/>
          <w:iCs/>
          <w:szCs w:val="24"/>
        </w:rPr>
        <w:t xml:space="preserve"> Projections</w:t>
      </w:r>
    </w:p>
    <w:p w:rsidR="008B4CE7" w:rsidRPr="00B935F1" w:rsidRDefault="008B4CE7" w:rsidP="008B4CE7">
      <w:pPr>
        <w:rPr>
          <w:rFonts w:cs="Times New Roman"/>
          <w:b/>
          <w:bCs/>
          <w:i/>
          <w:iCs/>
          <w:szCs w:val="24"/>
        </w:rPr>
      </w:pPr>
      <w:r w:rsidRPr="00B935F1">
        <w:rPr>
          <w:rFonts w:cs="Times New Roman"/>
          <w:szCs w:val="24"/>
        </w:rPr>
        <w:t xml:space="preserve">In the 7FYP period it is envisaged  that the investment to GDP ratio would need  to increase by 5.6 percentage points in the 5-year  period to achieve 7.4 percent average growth rate . Net capital accumulation over the period (FY2016-FY2041) would follow an increasing pattern which indicates output share of capital would contribute more to the growth of real per capita income. </w:t>
      </w:r>
    </w:p>
    <w:p w:rsidR="008B4CE7" w:rsidRPr="00B935F1" w:rsidRDefault="008B4CE7" w:rsidP="008B4CE7">
      <w:pPr>
        <w:pStyle w:val="Heading3"/>
        <w:tabs>
          <w:tab w:val="num" w:pos="720"/>
        </w:tabs>
        <w:spacing w:before="120" w:after="120"/>
        <w:ind w:left="0" w:firstLine="0"/>
      </w:pPr>
      <w:r w:rsidRPr="00B935F1">
        <w:t>Poverty</w:t>
      </w:r>
    </w:p>
    <w:p w:rsidR="008B4CE7" w:rsidRPr="00B935F1" w:rsidRDefault="008B4CE7" w:rsidP="008B4CE7">
      <w:pPr>
        <w:rPr>
          <w:rFonts w:cs="Times New Roman"/>
          <w:szCs w:val="24"/>
        </w:rPr>
      </w:pPr>
      <w:r w:rsidRPr="00B935F1">
        <w:rPr>
          <w:rFonts w:cs="Times New Roman"/>
          <w:szCs w:val="24"/>
        </w:rPr>
        <w:t>Employment generation and increase in real per capita income are key fundamentals to reduce poverty. Moreover, real wage is determined by the average labour productivity. Historically, labour productivity in agriculture is lower than the labour productivity in manufacturing and service sectors in Bangladesh</w:t>
      </w:r>
      <w:r w:rsidRPr="00B935F1">
        <w:rPr>
          <w:rStyle w:val="FootnoteReference"/>
          <w:rFonts w:cs="Times New Roman"/>
          <w:szCs w:val="24"/>
        </w:rPr>
        <w:footnoteReference w:id="19"/>
      </w:r>
      <w:r w:rsidRPr="00B935F1">
        <w:rPr>
          <w:rFonts w:cs="Times New Roman"/>
          <w:szCs w:val="24"/>
        </w:rPr>
        <w:t xml:space="preserve">. Thus to scale up real income growth, increasing employment generation in the industrial and service sectors will be most important.  The 7FYP accordingly emphasizes the structural transformation of the economy so that the GDP share of industry increases rapidly and the relative share of agriculture falls correspondingly.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8"/>
        <w:gridCol w:w="4788"/>
      </w:tblGrid>
      <w:tr w:rsidR="008B4CE7" w:rsidRPr="00B935F1" w:rsidTr="00F0207D">
        <w:tc>
          <w:tcPr>
            <w:tcW w:w="4788" w:type="dxa"/>
          </w:tcPr>
          <w:p w:rsidR="008B4CE7" w:rsidRPr="00B935F1" w:rsidRDefault="008B4CE7" w:rsidP="00F0207D">
            <w:pPr>
              <w:pStyle w:val="Heading5"/>
              <w:outlineLvl w:val="4"/>
              <w:rPr>
                <w:rFonts w:cs="Times New Roman"/>
              </w:rPr>
            </w:pPr>
            <w:bookmarkStart w:id="458" w:name="_Toc464329061"/>
            <w:bookmarkStart w:id="459" w:name="_Toc457731924"/>
            <w:r w:rsidRPr="00B935F1">
              <w:t xml:space="preserve">Figure 5.13: Moderate Poverty in Delta Plan </w:t>
            </w:r>
            <w:bookmarkEnd w:id="458"/>
            <w:r w:rsidRPr="00B935F1">
              <w:lastRenderedPageBreak/>
              <w:t xml:space="preserve">Policy option </w:t>
            </w:r>
            <w:bookmarkEnd w:id="459"/>
          </w:p>
        </w:tc>
        <w:tc>
          <w:tcPr>
            <w:tcW w:w="4788" w:type="dxa"/>
          </w:tcPr>
          <w:p w:rsidR="008B4CE7" w:rsidRPr="00B935F1" w:rsidRDefault="008B4CE7" w:rsidP="00F0207D">
            <w:pPr>
              <w:pStyle w:val="Heading5"/>
              <w:outlineLvl w:val="4"/>
              <w:rPr>
                <w:rFonts w:cs="Times New Roman"/>
              </w:rPr>
            </w:pPr>
            <w:bookmarkStart w:id="460" w:name="_Toc464329062"/>
            <w:r w:rsidRPr="00B935F1">
              <w:lastRenderedPageBreak/>
              <w:t xml:space="preserve">Figure 5.14: Extreme Poverty in Delta Plan </w:t>
            </w:r>
            <w:bookmarkEnd w:id="460"/>
            <w:r w:rsidRPr="00B935F1">
              <w:lastRenderedPageBreak/>
              <w:t xml:space="preserve">Policy option </w:t>
            </w:r>
          </w:p>
        </w:tc>
      </w:tr>
      <w:tr w:rsidR="008B4CE7" w:rsidRPr="00B935F1" w:rsidTr="00F0207D">
        <w:trPr>
          <w:trHeight w:val="3708"/>
        </w:trPr>
        <w:tc>
          <w:tcPr>
            <w:tcW w:w="4788" w:type="dxa"/>
          </w:tcPr>
          <w:p w:rsidR="008B4CE7" w:rsidRPr="00B935F1" w:rsidRDefault="008B4CE7" w:rsidP="00F0207D">
            <w:pPr>
              <w:spacing w:after="0"/>
              <w:jc w:val="center"/>
              <w:rPr>
                <w:rFonts w:cs="Times New Roman"/>
                <w:szCs w:val="24"/>
              </w:rPr>
            </w:pPr>
            <w:r w:rsidRPr="00B935F1">
              <w:rPr>
                <w:rFonts w:cs="Times New Roman"/>
                <w:noProof/>
                <w:szCs w:val="24"/>
                <w:lang w:val="en-AU" w:eastAsia="en-AU" w:bidi="bn-BD"/>
              </w:rPr>
              <w:lastRenderedPageBreak/>
              <w:drawing>
                <wp:inline distT="0" distB="0" distL="0" distR="0">
                  <wp:extent cx="2828925" cy="2286000"/>
                  <wp:effectExtent l="0" t="0" r="9525"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c>
          <w:tcPr>
            <w:tcW w:w="4788" w:type="dxa"/>
          </w:tcPr>
          <w:p w:rsidR="008B4CE7" w:rsidRPr="00B935F1" w:rsidRDefault="008B4CE7" w:rsidP="00F0207D">
            <w:pPr>
              <w:spacing w:after="0"/>
              <w:jc w:val="center"/>
              <w:rPr>
                <w:rFonts w:cs="Times New Roman"/>
                <w:szCs w:val="24"/>
              </w:rPr>
            </w:pPr>
            <w:r w:rsidRPr="00B935F1">
              <w:rPr>
                <w:rFonts w:cs="Times New Roman"/>
                <w:noProof/>
                <w:szCs w:val="24"/>
                <w:lang w:val="en-AU" w:eastAsia="en-AU" w:bidi="bn-BD"/>
              </w:rPr>
              <w:drawing>
                <wp:inline distT="0" distB="0" distL="0" distR="0">
                  <wp:extent cx="2695575" cy="2286000"/>
                  <wp:effectExtent l="0" t="0" r="9525" b="0"/>
                  <wp:docPr id="75"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8B4CE7" w:rsidRPr="00B935F1" w:rsidRDefault="008B4CE7" w:rsidP="00F0207D">
            <w:pPr>
              <w:spacing w:after="0"/>
              <w:jc w:val="center"/>
              <w:rPr>
                <w:rFonts w:cs="Times New Roman"/>
                <w:szCs w:val="24"/>
              </w:rPr>
            </w:pPr>
          </w:p>
        </w:tc>
      </w:tr>
      <w:tr w:rsidR="008B4CE7" w:rsidRPr="00B935F1" w:rsidTr="00F0207D">
        <w:trPr>
          <w:trHeight w:val="548"/>
        </w:trPr>
        <w:tc>
          <w:tcPr>
            <w:tcW w:w="4788" w:type="dxa"/>
          </w:tcPr>
          <w:p w:rsidR="008B4CE7" w:rsidRPr="00B935F1" w:rsidRDefault="008B4CE7" w:rsidP="00F0207D">
            <w:pPr>
              <w:pStyle w:val="Heading5"/>
              <w:outlineLvl w:val="4"/>
              <w:rPr>
                <w:rFonts w:cs="Times New Roman"/>
              </w:rPr>
            </w:pPr>
            <w:bookmarkStart w:id="461" w:name="_Toc464329063"/>
            <w:r w:rsidRPr="00B935F1">
              <w:t xml:space="preserve">Figure 5.15: Region wise Moderate Poverty in Delta Plan </w:t>
            </w:r>
            <w:bookmarkEnd w:id="461"/>
            <w:r w:rsidRPr="00B935F1">
              <w:t>Policy option</w:t>
            </w:r>
          </w:p>
        </w:tc>
        <w:tc>
          <w:tcPr>
            <w:tcW w:w="4788" w:type="dxa"/>
          </w:tcPr>
          <w:p w:rsidR="008B4CE7" w:rsidRPr="00B935F1" w:rsidRDefault="008B4CE7" w:rsidP="00F0207D">
            <w:pPr>
              <w:pStyle w:val="Heading5"/>
              <w:outlineLvl w:val="4"/>
              <w:rPr>
                <w:rFonts w:cs="Times New Roman"/>
              </w:rPr>
            </w:pPr>
            <w:bookmarkStart w:id="462" w:name="_Toc464329064"/>
            <w:r w:rsidRPr="00B935F1">
              <w:t xml:space="preserve">Figure 5.16: Region wise Extreme Poverty in Delta Plan </w:t>
            </w:r>
            <w:bookmarkEnd w:id="462"/>
            <w:r w:rsidRPr="00B935F1">
              <w:t xml:space="preserve">Policy option </w:t>
            </w:r>
          </w:p>
        </w:tc>
      </w:tr>
      <w:tr w:rsidR="008B4CE7" w:rsidRPr="00B935F1" w:rsidTr="00F0207D">
        <w:tc>
          <w:tcPr>
            <w:tcW w:w="4788" w:type="dxa"/>
          </w:tcPr>
          <w:p w:rsidR="008B4CE7" w:rsidRPr="00B935F1" w:rsidRDefault="008B4CE7" w:rsidP="00F0207D">
            <w:pPr>
              <w:spacing w:after="0"/>
              <w:jc w:val="center"/>
              <w:rPr>
                <w:rFonts w:cs="Times New Roman"/>
                <w:szCs w:val="24"/>
              </w:rPr>
            </w:pPr>
            <w:r w:rsidRPr="00B935F1">
              <w:rPr>
                <w:rFonts w:cs="Times New Roman"/>
                <w:noProof/>
                <w:szCs w:val="24"/>
                <w:lang w:val="en-AU" w:eastAsia="en-AU" w:bidi="bn-BD"/>
              </w:rPr>
              <w:drawing>
                <wp:inline distT="0" distB="0" distL="0" distR="0">
                  <wp:extent cx="2638425" cy="2543175"/>
                  <wp:effectExtent l="0" t="0" r="9525" b="952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c>
          <w:tcPr>
            <w:tcW w:w="4788" w:type="dxa"/>
          </w:tcPr>
          <w:p w:rsidR="008B4CE7" w:rsidRPr="00B935F1" w:rsidRDefault="008B4CE7" w:rsidP="00F0207D">
            <w:pPr>
              <w:spacing w:after="0"/>
              <w:jc w:val="center"/>
              <w:rPr>
                <w:rFonts w:cs="Times New Roman"/>
                <w:szCs w:val="24"/>
              </w:rPr>
            </w:pPr>
            <w:r w:rsidRPr="00B935F1">
              <w:rPr>
                <w:rFonts w:cs="Times New Roman"/>
                <w:noProof/>
                <w:szCs w:val="24"/>
                <w:lang w:val="en-AU" w:eastAsia="en-AU" w:bidi="bn-BD"/>
              </w:rPr>
              <w:drawing>
                <wp:inline distT="0" distB="0" distL="0" distR="0">
                  <wp:extent cx="2790825" cy="2543175"/>
                  <wp:effectExtent l="0" t="0" r="9525" b="9525"/>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tbl>
    <w:p w:rsidR="008B4CE7" w:rsidRPr="00B935F1" w:rsidRDefault="008B4CE7" w:rsidP="008B4CE7">
      <w:pPr>
        <w:tabs>
          <w:tab w:val="left" w:pos="930"/>
        </w:tabs>
        <w:rPr>
          <w:rFonts w:cs="Times New Roman"/>
          <w:b/>
          <w:bCs/>
          <w:i/>
          <w:iCs/>
          <w:szCs w:val="24"/>
        </w:rPr>
      </w:pPr>
      <w:r w:rsidRPr="00B935F1">
        <w:rPr>
          <w:rFonts w:cs="Times New Roman"/>
          <w:szCs w:val="24"/>
        </w:rPr>
        <w:t xml:space="preserve">    </w:t>
      </w:r>
      <w:r w:rsidRPr="00B935F1">
        <w:rPr>
          <w:b/>
          <w:i/>
          <w:szCs w:val="24"/>
        </w:rPr>
        <w:t xml:space="preserve">Source: </w:t>
      </w:r>
      <w:r>
        <w:rPr>
          <w:rFonts w:cs="Times New Roman"/>
          <w:szCs w:val="24"/>
        </w:rPr>
        <w:t xml:space="preserve">BDP 2100 </w:t>
      </w:r>
      <w:r w:rsidRPr="00B935F1">
        <w:rPr>
          <w:b/>
          <w:i/>
          <w:szCs w:val="24"/>
        </w:rPr>
        <w:t>Projections</w:t>
      </w:r>
    </w:p>
    <w:p w:rsidR="008B4CE7" w:rsidRPr="00A07E16" w:rsidRDefault="008B4CE7" w:rsidP="008B4CE7">
      <w:pPr>
        <w:rPr>
          <w:rFonts w:cs="Times New Roman"/>
          <w:bCs/>
          <w:i/>
          <w:iCs/>
          <w:szCs w:val="24"/>
        </w:rPr>
      </w:pPr>
      <w:r w:rsidRPr="00B935F1">
        <w:rPr>
          <w:rFonts w:cs="Times New Roman"/>
          <w:szCs w:val="24"/>
        </w:rPr>
        <w:t xml:space="preserve">Over the last decade, the rate of poverty reduction has been impressive in Bangladesh.  </w:t>
      </w:r>
      <w:r w:rsidRPr="00A07E16">
        <w:rPr>
          <w:rFonts w:cs="Times New Roman"/>
          <w:bCs/>
          <w:i/>
          <w:iCs/>
          <w:szCs w:val="24"/>
        </w:rPr>
        <w:t>Growth in real per capita income has been the main driver of poverty reduction.</w:t>
      </w:r>
      <w:r w:rsidRPr="00B935F1">
        <w:rPr>
          <w:rFonts w:cs="Times New Roman"/>
          <w:szCs w:val="24"/>
        </w:rPr>
        <w:t xml:space="preserve">  In 2015, the head count poverty ratio is estimated to have declined to 20.6 percent, entailing an 8.7 percentage point reduction in poverty from 31.5 percent in 2010. </w:t>
      </w:r>
      <w:r w:rsidRPr="00A07E16">
        <w:rPr>
          <w:rFonts w:cs="Times New Roman"/>
          <w:bCs/>
          <w:i/>
          <w:iCs/>
          <w:szCs w:val="24"/>
        </w:rPr>
        <w:t xml:space="preserve">Increased industrial sector share and higher agricultural productivity, would significantly reduce Bangladesh’s moderate head count poverty ratio to 5.5 percent by 2041 (Figure 5.13 and Figure 5.14). </w:t>
      </w:r>
    </w:p>
    <w:p w:rsidR="008B4CE7" w:rsidRPr="00B935F1" w:rsidRDefault="008B4CE7" w:rsidP="008B4CE7">
      <w:pPr>
        <w:rPr>
          <w:rFonts w:cs="Times New Roman"/>
          <w:szCs w:val="24"/>
        </w:rPr>
      </w:pPr>
      <w:r w:rsidRPr="00B935F1">
        <w:rPr>
          <w:rFonts w:cs="Times New Roman"/>
          <w:szCs w:val="24"/>
        </w:rPr>
        <w:t xml:space="preserve">As experienced in the last five years, extreme poverty has decreased from 17.6 percent in 2010 to 12.9 percent in 2015 and in the 7FYP it is projected that extreme poverty would fall below 9 percent by FY 2020. The DP policy option projections show that Bangladesh would be able to completely eradicate extreme poverty by FY2031. Faster growth and increase in labor </w:t>
      </w:r>
      <w:r w:rsidRPr="00B935F1">
        <w:rPr>
          <w:rFonts w:cs="Times New Roman"/>
          <w:szCs w:val="24"/>
        </w:rPr>
        <w:lastRenderedPageBreak/>
        <w:t xml:space="preserve">productivity creates job and increases real wages economy wide, but especially in the rural economy and informal services where the bulk of the extreme poor are engaged for livelihood. The observed high elasticity of extreme poverty reduction to growth (1.16 for 2000-2010) illustrates this growth extreme poverty linkage.  </w:t>
      </w:r>
    </w:p>
    <w:p w:rsidR="008B4CE7" w:rsidRPr="00B935F1" w:rsidRDefault="008B4CE7" w:rsidP="008B4CE7">
      <w:pPr>
        <w:tabs>
          <w:tab w:val="left" w:pos="906"/>
        </w:tabs>
        <w:rPr>
          <w:rFonts w:cs="Times New Roman"/>
          <w:szCs w:val="24"/>
        </w:rPr>
      </w:pPr>
      <w:r w:rsidRPr="00B935F1">
        <w:rPr>
          <w:rFonts w:cs="Times New Roman"/>
          <w:szCs w:val="24"/>
        </w:rPr>
        <w:t xml:space="preserve">Although, the head count poverty ratio declines nation-wide, the pattern of decline in poverty reduction varies across the regions (Figure 5.15 and Figure 5.16). </w:t>
      </w:r>
      <w:r w:rsidRPr="00A07E16">
        <w:rPr>
          <w:rFonts w:cs="Times New Roman"/>
          <w:bCs/>
          <w:i/>
          <w:iCs/>
          <w:szCs w:val="24"/>
        </w:rPr>
        <w:t xml:space="preserve">According to HIES data, river estuary region has recorded the highest rank in terms of head count poverty ratio and urban region the lowest. </w:t>
      </w:r>
      <w:r w:rsidRPr="00B935F1">
        <w:rPr>
          <w:rFonts w:cs="Times New Roman"/>
          <w:szCs w:val="24"/>
        </w:rPr>
        <w:t xml:space="preserve">However, in recent years urban poverty reduction has suffered due to excessive migration of the ultra-poor from other vulnerable regions. An interesting phenomenon is seen here: the head count poverty ratio is second highest in less disaster prone region relative to more disaster prone areas - coastal, drought, etc. This might happen because of </w:t>
      </w:r>
      <w:r w:rsidRPr="00A07E16">
        <w:rPr>
          <w:rFonts w:cs="Times New Roman"/>
          <w:bCs/>
          <w:i/>
          <w:iCs/>
          <w:szCs w:val="24"/>
        </w:rPr>
        <w:t>large poverty concentration in Mymensingh and Sherpur that have a large population dependent upon low-productivity agriculture and low inflow of foreign remittances, limiting the growth of non-farm rural economy.</w:t>
      </w:r>
      <w:r w:rsidRPr="00B935F1">
        <w:rPr>
          <w:rFonts w:cs="Times New Roman"/>
          <w:szCs w:val="24"/>
        </w:rPr>
        <w:t xml:space="preserve"> The projected figures suggest that the overall poverty would follow a declining trend across all regions, but compared to other regions, the head count poverty ratio would decrease at a slower pace in less disaster prone region owing to the weak initial conditions in Mymensingh and Sherpur.</w:t>
      </w:r>
    </w:p>
    <w:p w:rsidR="008B4CE7" w:rsidRPr="00B935F1" w:rsidRDefault="008B4CE7" w:rsidP="008B4CE7">
      <w:pPr>
        <w:pStyle w:val="Heading3"/>
        <w:tabs>
          <w:tab w:val="num" w:pos="720"/>
        </w:tabs>
        <w:spacing w:before="120" w:after="120"/>
        <w:ind w:left="0" w:firstLine="0"/>
      </w:pPr>
      <w:r w:rsidRPr="00B935F1">
        <w:t>Migration and Urbanization</w:t>
      </w:r>
    </w:p>
    <w:p w:rsidR="008B4CE7" w:rsidRPr="00A07E16" w:rsidRDefault="008B4CE7" w:rsidP="008B4CE7">
      <w:pPr>
        <w:pStyle w:val="BodyText"/>
        <w:spacing w:after="240"/>
        <w:rPr>
          <w:rFonts w:cs="Times New Roman"/>
          <w:bCs/>
          <w:i/>
          <w:iCs/>
          <w:szCs w:val="24"/>
        </w:rPr>
      </w:pPr>
      <w:r w:rsidRPr="00A07E16">
        <w:rPr>
          <w:rFonts w:cs="Times New Roman"/>
          <w:bCs/>
          <w:i/>
          <w:iCs/>
          <w:szCs w:val="24"/>
        </w:rPr>
        <w:t xml:space="preserve">In </w:t>
      </w:r>
      <w:r w:rsidRPr="00A07E16">
        <w:rPr>
          <w:rFonts w:cs="Times New Roman"/>
          <w:i/>
          <w:iCs/>
          <w:szCs w:val="24"/>
        </w:rPr>
        <w:t>BDP 2100</w:t>
      </w:r>
      <w:r>
        <w:rPr>
          <w:rFonts w:cs="Times New Roman"/>
          <w:szCs w:val="24"/>
        </w:rPr>
        <w:t xml:space="preserve"> </w:t>
      </w:r>
      <w:r w:rsidRPr="00A07E16">
        <w:rPr>
          <w:rFonts w:cs="Times New Roman"/>
          <w:bCs/>
          <w:i/>
          <w:iCs/>
          <w:szCs w:val="24"/>
        </w:rPr>
        <w:t xml:space="preserve"> policy option, compared to BAU policy option, less number of people migrates to urban regions of the country, which is a common experience seen with economic growth and development. Though the number of migrants is higher from coastal and river estuary region to urban regions.</w:t>
      </w:r>
    </w:p>
    <w:p w:rsidR="008B4CE7" w:rsidRPr="00B935F1" w:rsidRDefault="008B4CE7" w:rsidP="008B4CE7">
      <w:pPr>
        <w:pStyle w:val="Heading4"/>
      </w:pPr>
      <w:bookmarkStart w:id="463" w:name="_Toc464328911"/>
      <w:r w:rsidRPr="00B935F1">
        <w:t xml:space="preserve">Table 5.3: </w:t>
      </w:r>
      <w:r>
        <w:t>Hotspot</w:t>
      </w:r>
      <w:r w:rsidRPr="00B935F1">
        <w:t xml:space="preserve"> wise Migration</w:t>
      </w:r>
      <w:r w:rsidRPr="00B935F1">
        <w:rPr>
          <w:rStyle w:val="FootnoteReference"/>
        </w:rPr>
        <w:footnoteReference w:id="20"/>
      </w:r>
      <w:r w:rsidRPr="00B935F1">
        <w:t xml:space="preserve"> in BAU Policy option (in million)</w:t>
      </w:r>
      <w:bookmarkEnd w:id="463"/>
    </w:p>
    <w:tbl>
      <w:tblPr>
        <w:tblStyle w:val="TableGridAppendixlist1"/>
        <w:tblW w:w="5000" w:type="pct"/>
        <w:jc w:val="center"/>
        <w:tblLook w:val="04A0"/>
      </w:tblPr>
      <w:tblGrid>
        <w:gridCol w:w="3466"/>
        <w:gridCol w:w="1544"/>
        <w:gridCol w:w="1511"/>
        <w:gridCol w:w="1511"/>
        <w:gridCol w:w="1544"/>
      </w:tblGrid>
      <w:tr w:rsidR="008B4CE7" w:rsidRPr="00B935F1" w:rsidTr="00F0207D">
        <w:trPr>
          <w:trHeight w:val="144"/>
          <w:jc w:val="center"/>
        </w:trPr>
        <w:tc>
          <w:tcPr>
            <w:tcW w:w="1809" w:type="pct"/>
            <w:noWrap/>
            <w:hideMark/>
          </w:tcPr>
          <w:p w:rsidR="008B4CE7" w:rsidRPr="00B935F1" w:rsidRDefault="008B4CE7" w:rsidP="00F0207D">
            <w:pPr>
              <w:spacing w:after="0" w:line="240" w:lineRule="auto"/>
              <w:rPr>
                <w:rFonts w:ascii="Times New Roman" w:eastAsia="Times New Roman" w:hAnsi="Times New Roman" w:cs="Times New Roman"/>
                <w:b/>
                <w:color w:val="000000"/>
                <w:sz w:val="24"/>
                <w:szCs w:val="24"/>
              </w:rPr>
            </w:pPr>
            <w:r>
              <w:rPr>
                <w:rFonts w:ascii="Times New Roman" w:hAnsi="Times New Roman" w:cs="Times New Roman"/>
                <w:b/>
                <w:sz w:val="24"/>
                <w:szCs w:val="24"/>
              </w:rPr>
              <w:t>Hotspot</w:t>
            </w:r>
          </w:p>
        </w:tc>
        <w:tc>
          <w:tcPr>
            <w:tcW w:w="806" w:type="pct"/>
            <w:noWrap/>
            <w:hideMark/>
          </w:tcPr>
          <w:p w:rsidR="008B4CE7" w:rsidRPr="00B935F1" w:rsidRDefault="008B4CE7" w:rsidP="00F0207D">
            <w:pPr>
              <w:spacing w:after="0" w:line="240" w:lineRule="auto"/>
              <w:rPr>
                <w:rFonts w:ascii="Times New Roman" w:eastAsia="Times New Roman" w:hAnsi="Times New Roman" w:cs="Times New Roman"/>
                <w:b/>
                <w:bCs/>
                <w:color w:val="000000"/>
                <w:sz w:val="24"/>
                <w:szCs w:val="24"/>
              </w:rPr>
            </w:pPr>
            <w:r w:rsidRPr="00B935F1">
              <w:rPr>
                <w:rFonts w:ascii="Times New Roman" w:eastAsia="Times New Roman" w:hAnsi="Times New Roman" w:cs="Times New Roman"/>
                <w:b/>
                <w:bCs/>
                <w:color w:val="000000"/>
                <w:sz w:val="24"/>
                <w:szCs w:val="24"/>
              </w:rPr>
              <w:t>FY</w:t>
            </w:r>
            <w:r>
              <w:rPr>
                <w:rFonts w:ascii="Times New Roman" w:eastAsia="Times New Roman" w:hAnsi="Times New Roman" w:cs="Times New Roman"/>
                <w:b/>
                <w:bCs/>
                <w:color w:val="000000"/>
                <w:sz w:val="24"/>
                <w:szCs w:val="24"/>
              </w:rPr>
              <w:t>20</w:t>
            </w:r>
            <w:r w:rsidRPr="00B935F1">
              <w:rPr>
                <w:rFonts w:ascii="Times New Roman" w:eastAsia="Times New Roman" w:hAnsi="Times New Roman" w:cs="Times New Roman"/>
                <w:b/>
                <w:bCs/>
                <w:color w:val="000000"/>
                <w:sz w:val="24"/>
                <w:szCs w:val="24"/>
              </w:rPr>
              <w:t>16</w:t>
            </w:r>
          </w:p>
        </w:tc>
        <w:tc>
          <w:tcPr>
            <w:tcW w:w="789" w:type="pct"/>
            <w:noWrap/>
            <w:hideMark/>
          </w:tcPr>
          <w:p w:rsidR="008B4CE7" w:rsidRPr="00B935F1" w:rsidRDefault="008B4CE7" w:rsidP="00F0207D">
            <w:pPr>
              <w:spacing w:after="0" w:line="240" w:lineRule="auto"/>
              <w:rPr>
                <w:rFonts w:ascii="Times New Roman" w:eastAsia="Times New Roman" w:hAnsi="Times New Roman" w:cs="Times New Roman"/>
                <w:b/>
                <w:bCs/>
                <w:color w:val="000000"/>
                <w:sz w:val="24"/>
                <w:szCs w:val="24"/>
              </w:rPr>
            </w:pPr>
            <w:r w:rsidRPr="00B935F1">
              <w:rPr>
                <w:rFonts w:ascii="Times New Roman" w:eastAsia="Times New Roman" w:hAnsi="Times New Roman" w:cs="Times New Roman"/>
                <w:b/>
                <w:bCs/>
                <w:color w:val="000000"/>
                <w:sz w:val="24"/>
                <w:szCs w:val="24"/>
              </w:rPr>
              <w:t>FY</w:t>
            </w:r>
            <w:r>
              <w:rPr>
                <w:rFonts w:ascii="Times New Roman" w:eastAsia="Times New Roman" w:hAnsi="Times New Roman" w:cs="Times New Roman"/>
                <w:b/>
                <w:bCs/>
                <w:color w:val="000000"/>
                <w:sz w:val="24"/>
                <w:szCs w:val="24"/>
              </w:rPr>
              <w:t>20</w:t>
            </w:r>
            <w:r w:rsidRPr="00B935F1">
              <w:rPr>
                <w:rFonts w:ascii="Times New Roman" w:eastAsia="Times New Roman" w:hAnsi="Times New Roman" w:cs="Times New Roman"/>
                <w:b/>
                <w:bCs/>
                <w:color w:val="000000"/>
                <w:sz w:val="24"/>
                <w:szCs w:val="24"/>
              </w:rPr>
              <w:t>21</w:t>
            </w:r>
          </w:p>
        </w:tc>
        <w:tc>
          <w:tcPr>
            <w:tcW w:w="789" w:type="pct"/>
            <w:noWrap/>
            <w:hideMark/>
          </w:tcPr>
          <w:p w:rsidR="008B4CE7" w:rsidRPr="00B935F1" w:rsidRDefault="008B4CE7" w:rsidP="00F0207D">
            <w:pPr>
              <w:spacing w:after="0" w:line="240" w:lineRule="auto"/>
              <w:rPr>
                <w:rFonts w:ascii="Times New Roman" w:eastAsia="Times New Roman" w:hAnsi="Times New Roman" w:cs="Times New Roman"/>
                <w:b/>
                <w:bCs/>
                <w:color w:val="000000"/>
                <w:sz w:val="24"/>
                <w:szCs w:val="24"/>
              </w:rPr>
            </w:pPr>
            <w:r w:rsidRPr="00B935F1">
              <w:rPr>
                <w:rFonts w:ascii="Times New Roman" w:eastAsia="Times New Roman" w:hAnsi="Times New Roman" w:cs="Times New Roman"/>
                <w:b/>
                <w:bCs/>
                <w:color w:val="000000"/>
                <w:sz w:val="24"/>
                <w:szCs w:val="24"/>
              </w:rPr>
              <w:t>FY</w:t>
            </w:r>
            <w:r>
              <w:rPr>
                <w:rFonts w:ascii="Times New Roman" w:eastAsia="Times New Roman" w:hAnsi="Times New Roman" w:cs="Times New Roman"/>
                <w:b/>
                <w:bCs/>
                <w:color w:val="000000"/>
                <w:sz w:val="24"/>
                <w:szCs w:val="24"/>
              </w:rPr>
              <w:t>20</w:t>
            </w:r>
            <w:r w:rsidRPr="00B935F1">
              <w:rPr>
                <w:rFonts w:ascii="Times New Roman" w:eastAsia="Times New Roman" w:hAnsi="Times New Roman" w:cs="Times New Roman"/>
                <w:b/>
                <w:bCs/>
                <w:color w:val="000000"/>
                <w:sz w:val="24"/>
                <w:szCs w:val="24"/>
              </w:rPr>
              <w:t>31</w:t>
            </w:r>
          </w:p>
        </w:tc>
        <w:tc>
          <w:tcPr>
            <w:tcW w:w="806" w:type="pct"/>
            <w:noWrap/>
            <w:hideMark/>
          </w:tcPr>
          <w:p w:rsidR="008B4CE7" w:rsidRPr="00B935F1" w:rsidRDefault="008B4CE7" w:rsidP="00F0207D">
            <w:pPr>
              <w:spacing w:after="0" w:line="240" w:lineRule="auto"/>
              <w:rPr>
                <w:rFonts w:ascii="Times New Roman" w:eastAsia="Times New Roman" w:hAnsi="Times New Roman" w:cs="Times New Roman"/>
                <w:b/>
                <w:bCs/>
                <w:color w:val="000000"/>
                <w:sz w:val="24"/>
                <w:szCs w:val="24"/>
              </w:rPr>
            </w:pPr>
            <w:r w:rsidRPr="00B935F1">
              <w:rPr>
                <w:rFonts w:ascii="Times New Roman" w:eastAsia="Times New Roman" w:hAnsi="Times New Roman" w:cs="Times New Roman"/>
                <w:b/>
                <w:bCs/>
                <w:color w:val="000000"/>
                <w:sz w:val="24"/>
                <w:szCs w:val="24"/>
              </w:rPr>
              <w:t>FY</w:t>
            </w:r>
            <w:r>
              <w:rPr>
                <w:rFonts w:ascii="Times New Roman" w:eastAsia="Times New Roman" w:hAnsi="Times New Roman" w:cs="Times New Roman"/>
                <w:b/>
                <w:bCs/>
                <w:color w:val="000000"/>
                <w:sz w:val="24"/>
                <w:szCs w:val="24"/>
              </w:rPr>
              <w:t>20</w:t>
            </w:r>
            <w:r w:rsidRPr="00B935F1">
              <w:rPr>
                <w:rFonts w:ascii="Times New Roman" w:eastAsia="Times New Roman" w:hAnsi="Times New Roman" w:cs="Times New Roman"/>
                <w:b/>
                <w:bCs/>
                <w:color w:val="000000"/>
                <w:sz w:val="24"/>
                <w:szCs w:val="24"/>
              </w:rPr>
              <w:t>41</w:t>
            </w:r>
          </w:p>
        </w:tc>
      </w:tr>
      <w:tr w:rsidR="008B4CE7" w:rsidRPr="00B935F1" w:rsidTr="00F0207D">
        <w:trPr>
          <w:trHeight w:val="144"/>
          <w:jc w:val="center"/>
        </w:trPr>
        <w:tc>
          <w:tcPr>
            <w:tcW w:w="1809" w:type="pct"/>
            <w:noWrap/>
            <w:hideMark/>
          </w:tcPr>
          <w:p w:rsidR="008B4CE7" w:rsidRPr="00B935F1" w:rsidRDefault="008B4CE7" w:rsidP="00F0207D">
            <w:pPr>
              <w:spacing w:after="0" w:line="240" w:lineRule="auto"/>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Haor</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0.05</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0.15</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0.38</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0.62</w:t>
            </w:r>
          </w:p>
        </w:tc>
      </w:tr>
      <w:tr w:rsidR="008B4CE7" w:rsidRPr="00B935F1" w:rsidTr="00F0207D">
        <w:trPr>
          <w:trHeight w:val="144"/>
          <w:jc w:val="center"/>
        </w:trPr>
        <w:tc>
          <w:tcPr>
            <w:tcW w:w="1809" w:type="pct"/>
            <w:noWrap/>
            <w:hideMark/>
          </w:tcPr>
          <w:p w:rsidR="008B4CE7" w:rsidRPr="00B935F1" w:rsidRDefault="008B4CE7" w:rsidP="00F0207D">
            <w:pPr>
              <w:spacing w:after="0" w:line="240" w:lineRule="auto"/>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Coastal</w:t>
            </w:r>
            <w:r>
              <w:rPr>
                <w:rFonts w:ascii="Times New Roman" w:eastAsia="Times New Roman" w:hAnsi="Times New Roman" w:cs="Times New Roman"/>
                <w:color w:val="000000"/>
                <w:sz w:val="24"/>
                <w:szCs w:val="24"/>
              </w:rPr>
              <w:t xml:space="preserve"> region</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-0.50</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-1.41</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-3.45</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-5.67</w:t>
            </w:r>
          </w:p>
        </w:tc>
      </w:tr>
      <w:tr w:rsidR="008B4CE7" w:rsidRPr="00B935F1" w:rsidTr="00F0207D">
        <w:trPr>
          <w:trHeight w:val="144"/>
          <w:jc w:val="center"/>
        </w:trPr>
        <w:tc>
          <w:tcPr>
            <w:tcW w:w="1809" w:type="pct"/>
            <w:noWrap/>
            <w:hideMark/>
          </w:tcPr>
          <w:p w:rsidR="008B4CE7" w:rsidRPr="00B935F1" w:rsidRDefault="008B4CE7" w:rsidP="00F0207D">
            <w:pPr>
              <w:spacing w:after="0" w:line="240" w:lineRule="auto"/>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CTG Hill</w:t>
            </w:r>
            <w:r>
              <w:rPr>
                <w:rFonts w:ascii="Times New Roman" w:eastAsia="Times New Roman" w:hAnsi="Times New Roman" w:cs="Times New Roman"/>
                <w:color w:val="000000"/>
                <w:sz w:val="24"/>
                <w:szCs w:val="24"/>
              </w:rPr>
              <w:t xml:space="preserve"> Tracts</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0.02</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0.05</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0.13</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0.22</w:t>
            </w:r>
          </w:p>
        </w:tc>
      </w:tr>
      <w:tr w:rsidR="008B4CE7" w:rsidRPr="00B935F1" w:rsidTr="00F0207D">
        <w:trPr>
          <w:trHeight w:val="144"/>
          <w:jc w:val="center"/>
        </w:trPr>
        <w:tc>
          <w:tcPr>
            <w:tcW w:w="1809" w:type="pct"/>
            <w:noWrap/>
            <w:hideMark/>
          </w:tcPr>
          <w:p w:rsidR="008B4CE7" w:rsidRPr="00B935F1" w:rsidRDefault="008B4CE7" w:rsidP="00F0207D">
            <w:pPr>
              <w:spacing w:after="0" w:line="240" w:lineRule="auto"/>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 xml:space="preserve">Urban </w:t>
            </w:r>
            <w:r>
              <w:rPr>
                <w:rFonts w:ascii="Times New Roman" w:eastAsia="Times New Roman" w:hAnsi="Times New Roman" w:cs="Times New Roman"/>
                <w:color w:val="000000"/>
                <w:sz w:val="24"/>
                <w:szCs w:val="24"/>
              </w:rPr>
              <w:t>areas</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0.69</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1.94</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4.76</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7.78</w:t>
            </w:r>
          </w:p>
        </w:tc>
      </w:tr>
      <w:tr w:rsidR="008B4CE7" w:rsidRPr="00B935F1" w:rsidTr="00F0207D">
        <w:trPr>
          <w:trHeight w:val="144"/>
          <w:jc w:val="center"/>
        </w:trPr>
        <w:tc>
          <w:tcPr>
            <w:tcW w:w="1809" w:type="pct"/>
            <w:noWrap/>
            <w:hideMark/>
          </w:tcPr>
          <w:p w:rsidR="008B4CE7" w:rsidRPr="00B935F1" w:rsidRDefault="008B4CE7" w:rsidP="00F0207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Barind &amp; </w:t>
            </w:r>
            <w:r w:rsidRPr="00B935F1">
              <w:rPr>
                <w:rFonts w:ascii="Times New Roman" w:eastAsia="Times New Roman" w:hAnsi="Times New Roman" w:cs="Times New Roman"/>
                <w:color w:val="000000"/>
                <w:sz w:val="24"/>
                <w:szCs w:val="24"/>
              </w:rPr>
              <w:t>Drought Prone</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-0.16</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-0.45</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-1.10</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-1.81</w:t>
            </w:r>
          </w:p>
        </w:tc>
      </w:tr>
      <w:tr w:rsidR="008B4CE7" w:rsidRPr="00B935F1" w:rsidTr="00F0207D">
        <w:trPr>
          <w:trHeight w:val="144"/>
          <w:jc w:val="center"/>
        </w:trPr>
        <w:tc>
          <w:tcPr>
            <w:tcW w:w="1809" w:type="pct"/>
            <w:noWrap/>
            <w:hideMark/>
          </w:tcPr>
          <w:p w:rsidR="008B4CE7" w:rsidRPr="00B935F1" w:rsidRDefault="008B4CE7" w:rsidP="00F0207D">
            <w:pPr>
              <w:spacing w:after="0" w:line="240" w:lineRule="auto"/>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Rivers &amp; Estuaries</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-0.34</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-0.96</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-2.34</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-3.86</w:t>
            </w:r>
          </w:p>
        </w:tc>
      </w:tr>
      <w:tr w:rsidR="008B4CE7" w:rsidRPr="00B935F1" w:rsidTr="00F0207D">
        <w:trPr>
          <w:trHeight w:val="144"/>
          <w:jc w:val="center"/>
        </w:trPr>
        <w:tc>
          <w:tcPr>
            <w:tcW w:w="1809" w:type="pct"/>
            <w:noWrap/>
            <w:hideMark/>
          </w:tcPr>
          <w:p w:rsidR="008B4CE7" w:rsidRPr="00B935F1" w:rsidRDefault="008B4CE7" w:rsidP="00F0207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RHF</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0.24</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0.66</w:t>
            </w:r>
          </w:p>
        </w:tc>
        <w:tc>
          <w:tcPr>
            <w:tcW w:w="789"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1.63</w:t>
            </w:r>
          </w:p>
        </w:tc>
        <w:tc>
          <w:tcPr>
            <w:tcW w:w="806" w:type="pct"/>
            <w:noWrap/>
            <w:hideMark/>
          </w:tcPr>
          <w:p w:rsidR="008B4CE7" w:rsidRPr="00B935F1" w:rsidRDefault="008B4CE7" w:rsidP="00F0207D">
            <w:pPr>
              <w:spacing w:after="0" w:line="240" w:lineRule="auto"/>
              <w:jc w:val="right"/>
              <w:rPr>
                <w:rFonts w:ascii="Times New Roman" w:eastAsia="Times New Roman" w:hAnsi="Times New Roman" w:cs="Times New Roman"/>
                <w:color w:val="000000"/>
                <w:sz w:val="24"/>
                <w:szCs w:val="24"/>
              </w:rPr>
            </w:pPr>
            <w:r w:rsidRPr="00B935F1">
              <w:rPr>
                <w:rFonts w:ascii="Times New Roman" w:eastAsia="Times New Roman" w:hAnsi="Times New Roman" w:cs="Times New Roman"/>
                <w:color w:val="000000"/>
                <w:sz w:val="24"/>
                <w:szCs w:val="24"/>
              </w:rPr>
              <w:t>2.66</w:t>
            </w:r>
          </w:p>
        </w:tc>
      </w:tr>
    </w:tbl>
    <w:p w:rsidR="008B4CE7" w:rsidRPr="00B935F1" w:rsidRDefault="008B4CE7" w:rsidP="008B4CE7">
      <w:pPr>
        <w:rPr>
          <w:rFonts w:cs="Times New Roman"/>
          <w:szCs w:val="24"/>
        </w:rPr>
      </w:pPr>
      <w:r w:rsidRPr="00B935F1">
        <w:rPr>
          <w:rFonts w:cs="Times New Roman"/>
          <w:szCs w:val="24"/>
        </w:rPr>
        <w:t xml:space="preserve">Negative values denote the number of emigrants.   </w:t>
      </w:r>
      <w:r w:rsidRPr="00B935F1">
        <w:rPr>
          <w:rFonts w:cs="Times New Roman"/>
          <w:b/>
          <w:i/>
          <w:szCs w:val="24"/>
        </w:rPr>
        <w:t xml:space="preserve">Source: </w:t>
      </w:r>
      <w:r w:rsidRPr="00A07E16">
        <w:rPr>
          <w:rFonts w:cs="Times New Roman"/>
          <w:b/>
          <w:bCs/>
          <w:i/>
          <w:iCs/>
          <w:szCs w:val="24"/>
        </w:rPr>
        <w:t>BDP 2100</w:t>
      </w:r>
      <w:r w:rsidRPr="00B935F1">
        <w:rPr>
          <w:rFonts w:cs="Times New Roman"/>
          <w:b/>
          <w:i/>
          <w:szCs w:val="24"/>
        </w:rPr>
        <w:t xml:space="preserve"> Projections</w:t>
      </w:r>
    </w:p>
    <w:p w:rsidR="00000000" w:rsidRDefault="008B4CE7" w:rsidP="003D5A31">
      <w:pPr>
        <w:pStyle w:val="BodyText"/>
        <w:numPr>
          <w:ilvl w:val="2"/>
          <w:numId w:val="164"/>
        </w:numPr>
        <w:spacing w:before="120" w:after="240" w:line="276" w:lineRule="auto"/>
        <w:jc w:val="both"/>
        <w:rPr>
          <w:rFonts w:cs="Times New Roman"/>
          <w:b/>
          <w:szCs w:val="24"/>
        </w:rPr>
      </w:pPr>
      <w:r w:rsidRPr="00B935F1">
        <w:rPr>
          <w:rFonts w:cs="Times New Roman"/>
          <w:b/>
          <w:szCs w:val="24"/>
        </w:rPr>
        <w:t>Additional Resource Requirements</w:t>
      </w:r>
    </w:p>
    <w:tbl>
      <w:tblPr>
        <w:tblStyle w:val="TableGrid"/>
        <w:tblpPr w:leftFromText="180" w:rightFromText="180" w:vertAnchor="text" w:horzAnchor="margin" w:tblpY="19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68"/>
        <w:gridCol w:w="4908"/>
      </w:tblGrid>
      <w:tr w:rsidR="008B4CE7" w:rsidRPr="00B935F1" w:rsidTr="00F0207D">
        <w:trPr>
          <w:trHeight w:val="288"/>
        </w:trPr>
        <w:tc>
          <w:tcPr>
            <w:tcW w:w="4669" w:type="dxa"/>
          </w:tcPr>
          <w:p w:rsidR="008B4CE7" w:rsidRPr="00B935F1" w:rsidRDefault="008B4CE7" w:rsidP="00F0207D">
            <w:pPr>
              <w:pStyle w:val="Heading5"/>
              <w:outlineLvl w:val="4"/>
              <w:rPr>
                <w:noProof/>
              </w:rPr>
            </w:pPr>
            <w:bookmarkStart w:id="464" w:name="_Toc464329065"/>
            <w:r w:rsidRPr="00B935F1">
              <w:rPr>
                <w:noProof/>
              </w:rPr>
              <w:lastRenderedPageBreak/>
              <w:t>Figure 5.17: Requirements for Mitigation and Adaptation (</w:t>
            </w:r>
            <w:r>
              <w:rPr>
                <w:noProof/>
              </w:rPr>
              <w:t>FY</w:t>
            </w:r>
            <w:r w:rsidRPr="00B935F1">
              <w:rPr>
                <w:noProof/>
              </w:rPr>
              <w:t>2016-41)</w:t>
            </w:r>
            <w:bookmarkEnd w:id="464"/>
          </w:p>
        </w:tc>
        <w:tc>
          <w:tcPr>
            <w:tcW w:w="4907" w:type="dxa"/>
          </w:tcPr>
          <w:p w:rsidR="008B4CE7" w:rsidRPr="00B935F1" w:rsidRDefault="008B4CE7" w:rsidP="00F0207D">
            <w:pPr>
              <w:pStyle w:val="Heading5"/>
              <w:outlineLvl w:val="4"/>
              <w:rPr>
                <w:noProof/>
              </w:rPr>
            </w:pPr>
            <w:bookmarkStart w:id="465" w:name="_Toc457731933"/>
            <w:bookmarkStart w:id="466" w:name="_Toc464329066"/>
            <w:r w:rsidRPr="00B935F1">
              <w:rPr>
                <w:noProof/>
              </w:rPr>
              <w:t xml:space="preserve">Figure 5.18: </w:t>
            </w:r>
            <w:r>
              <w:rPr>
                <w:noProof/>
              </w:rPr>
              <w:t>Hotspot</w:t>
            </w:r>
            <w:r w:rsidRPr="00B935F1">
              <w:rPr>
                <w:noProof/>
              </w:rPr>
              <w:t xml:space="preserve"> wise Additional Resource Requirement ( </w:t>
            </w:r>
            <w:r>
              <w:rPr>
                <w:noProof/>
              </w:rPr>
              <w:t>FY</w:t>
            </w:r>
            <w:r w:rsidRPr="00B935F1">
              <w:rPr>
                <w:noProof/>
              </w:rPr>
              <w:t>2016-41)</w:t>
            </w:r>
            <w:bookmarkEnd w:id="465"/>
            <w:bookmarkEnd w:id="466"/>
          </w:p>
        </w:tc>
      </w:tr>
      <w:tr w:rsidR="008B4CE7" w:rsidRPr="00B935F1" w:rsidTr="00F0207D">
        <w:trPr>
          <w:trHeight w:val="20"/>
        </w:trPr>
        <w:tc>
          <w:tcPr>
            <w:tcW w:w="4669" w:type="dxa"/>
          </w:tcPr>
          <w:p w:rsidR="008B4CE7" w:rsidRPr="00B935F1" w:rsidRDefault="008B4CE7" w:rsidP="00F0207D">
            <w:pPr>
              <w:spacing w:after="0"/>
              <w:rPr>
                <w:rFonts w:cs="Times New Roman"/>
                <w:b/>
                <w:bCs/>
                <w:iCs/>
                <w:szCs w:val="24"/>
              </w:rPr>
            </w:pPr>
            <w:r w:rsidRPr="00B935F1">
              <w:rPr>
                <w:rFonts w:cs="Times New Roman"/>
                <w:b/>
                <w:bCs/>
                <w:iCs/>
                <w:noProof/>
                <w:szCs w:val="24"/>
                <w:lang w:val="en-AU" w:eastAsia="en-AU" w:bidi="bn-BD"/>
              </w:rPr>
              <w:drawing>
                <wp:inline distT="0" distB="0" distL="0" distR="0">
                  <wp:extent cx="2828925" cy="2314575"/>
                  <wp:effectExtent l="0" t="0" r="9525" b="9525"/>
                  <wp:docPr id="10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c>
          <w:tcPr>
            <w:tcW w:w="4907" w:type="dxa"/>
          </w:tcPr>
          <w:p w:rsidR="008B4CE7" w:rsidRPr="00B935F1" w:rsidRDefault="008B4CE7" w:rsidP="00F0207D">
            <w:pPr>
              <w:spacing w:after="0"/>
              <w:rPr>
                <w:rFonts w:cs="Times New Roman"/>
                <w:szCs w:val="24"/>
              </w:rPr>
            </w:pPr>
            <w:r w:rsidRPr="00B935F1">
              <w:rPr>
                <w:rFonts w:cs="Times New Roman"/>
                <w:noProof/>
                <w:szCs w:val="24"/>
                <w:lang w:val="en-AU" w:eastAsia="en-AU" w:bidi="bn-BD"/>
              </w:rPr>
              <w:drawing>
                <wp:inline distT="0" distB="0" distL="0" distR="0">
                  <wp:extent cx="2971800" cy="2390775"/>
                  <wp:effectExtent l="0" t="0" r="19050" b="9525"/>
                  <wp:docPr id="10"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r>
    </w:tbl>
    <w:p w:rsidR="008B4CE7" w:rsidRPr="00B935F1" w:rsidRDefault="008B4CE7" w:rsidP="008B4CE7">
      <w:pPr>
        <w:rPr>
          <w:rFonts w:cs="Times New Roman"/>
          <w:b/>
          <w:color w:val="00B050"/>
          <w:szCs w:val="24"/>
          <w:u w:val="single"/>
        </w:rPr>
      </w:pPr>
      <w:r w:rsidRPr="00A07E16">
        <w:rPr>
          <w:rFonts w:cs="Times New Roman"/>
          <w:bCs/>
          <w:i/>
          <w:iCs/>
          <w:szCs w:val="24"/>
        </w:rPr>
        <w:t xml:space="preserve">Aggressive investment policy is required to counter the negative impact of environmental hazards. </w:t>
      </w:r>
      <w:r>
        <w:rPr>
          <w:rFonts w:cs="Times New Roman"/>
          <w:bCs/>
          <w:szCs w:val="24"/>
        </w:rPr>
        <w:t>To combat</w:t>
      </w:r>
      <w:r w:rsidRPr="00B935F1">
        <w:rPr>
          <w:rFonts w:cs="Times New Roman"/>
          <w:szCs w:val="24"/>
        </w:rPr>
        <w:t xml:space="preserve"> natural disasters</w:t>
      </w:r>
      <w:r>
        <w:rPr>
          <w:rFonts w:cs="Times New Roman"/>
          <w:szCs w:val="24"/>
        </w:rPr>
        <w:t>,</w:t>
      </w:r>
      <w:r w:rsidRPr="00B935F1">
        <w:rPr>
          <w:rFonts w:cs="Times New Roman"/>
          <w:szCs w:val="24"/>
        </w:rPr>
        <w:t xml:space="preserve"> Bangladesh needs to prepare a bolstered and unified investment plan with additional investment in various sectors across all the regions. It is estimated that on average, </w:t>
      </w:r>
      <w:r>
        <w:rPr>
          <w:rFonts w:cs="Times New Roman"/>
          <w:szCs w:val="24"/>
        </w:rPr>
        <w:t xml:space="preserve">an additional </w:t>
      </w:r>
      <w:r w:rsidRPr="00A07E16">
        <w:rPr>
          <w:rFonts w:cs="Times New Roman"/>
          <w:bCs/>
          <w:i/>
          <w:iCs/>
          <w:szCs w:val="24"/>
        </w:rPr>
        <w:t xml:space="preserve">investment of </w:t>
      </w:r>
      <w:r>
        <w:rPr>
          <w:rFonts w:cs="Times New Roman"/>
          <w:bCs/>
          <w:i/>
          <w:iCs/>
          <w:szCs w:val="24"/>
        </w:rPr>
        <w:t>2.0-2.5</w:t>
      </w:r>
      <w:r w:rsidRPr="00A07E16">
        <w:rPr>
          <w:rFonts w:cs="Times New Roman"/>
          <w:bCs/>
          <w:i/>
          <w:iCs/>
          <w:szCs w:val="24"/>
        </w:rPr>
        <w:t xml:space="preserve"> percent of GDP each year will be required for the purpose of mitigation and adaptatio</w:t>
      </w:r>
      <w:bookmarkStart w:id="467" w:name="_Toc457731932"/>
      <w:r w:rsidRPr="00A07E16">
        <w:rPr>
          <w:rFonts w:cs="Times New Roman"/>
          <w:bCs/>
          <w:i/>
          <w:iCs/>
          <w:szCs w:val="24"/>
        </w:rPr>
        <w:t>n of environmental</w:t>
      </w:r>
      <w:r w:rsidRPr="00B935F1">
        <w:rPr>
          <w:rFonts w:cs="Times New Roman"/>
          <w:b/>
          <w:color w:val="00B050"/>
          <w:szCs w:val="24"/>
          <w:u w:val="single"/>
        </w:rPr>
        <w:t xml:space="preserve"> </w:t>
      </w:r>
      <w:r w:rsidRPr="00A07E16">
        <w:rPr>
          <w:rFonts w:cs="Times New Roman"/>
          <w:bCs/>
          <w:i/>
          <w:iCs/>
          <w:szCs w:val="24"/>
        </w:rPr>
        <w:t>degradation.</w:t>
      </w:r>
    </w:p>
    <w:bookmarkEnd w:id="467"/>
    <w:p w:rsidR="008B4CE7" w:rsidRPr="00B935F1" w:rsidRDefault="008B4CE7" w:rsidP="008B4CE7">
      <w:pPr>
        <w:spacing w:after="200"/>
        <w:rPr>
          <w:rFonts w:cs="Times New Roman"/>
          <w:b/>
          <w:i/>
          <w:szCs w:val="24"/>
        </w:rPr>
      </w:pPr>
      <w:r w:rsidRPr="00B935F1">
        <w:rPr>
          <w:rFonts w:cs="Times New Roman"/>
          <w:b/>
          <w:i/>
          <w:szCs w:val="24"/>
        </w:rPr>
        <w:t xml:space="preserve">Source: </w:t>
      </w:r>
      <w:r>
        <w:rPr>
          <w:rFonts w:cs="Times New Roman"/>
          <w:szCs w:val="24"/>
        </w:rPr>
        <w:t xml:space="preserve">BDP 2100 </w:t>
      </w:r>
      <w:r w:rsidRPr="00B935F1">
        <w:rPr>
          <w:rFonts w:cs="Times New Roman"/>
          <w:b/>
          <w:i/>
          <w:szCs w:val="24"/>
        </w:rPr>
        <w:t>Projections</w:t>
      </w:r>
    </w:p>
    <w:p w:rsidR="008B4CE7" w:rsidRPr="00A07E16" w:rsidRDefault="008B4CE7" w:rsidP="008B4CE7">
      <w:pPr>
        <w:spacing w:after="200"/>
        <w:rPr>
          <w:rFonts w:cs="Times New Roman"/>
          <w:bCs/>
          <w:i/>
          <w:iCs/>
          <w:szCs w:val="24"/>
        </w:rPr>
      </w:pPr>
      <w:r w:rsidRPr="00A07E16">
        <w:rPr>
          <w:rFonts w:cs="Times New Roman"/>
          <w:bCs/>
          <w:i/>
          <w:iCs/>
          <w:szCs w:val="24"/>
        </w:rPr>
        <w:t xml:space="preserve">More investment is required in river estuary region as in terms of magnitude it is the most severely affected region. A total of USD 52.4 billion in constant prices in additional investment will be required for adaptation purpose. Coastal and urban regions rank second and third with approximately USD 34.6 billion and USD 24.9 billion of additional investment requirements, </w:t>
      </w:r>
    </w:p>
    <w:p w:rsidR="008B4CE7" w:rsidRPr="00B935F1" w:rsidRDefault="008B4CE7" w:rsidP="008B4CE7">
      <w:pPr>
        <w:rPr>
          <w:rFonts w:cs="Times New Roman"/>
          <w:szCs w:val="24"/>
        </w:rPr>
      </w:pPr>
      <w:r w:rsidRPr="00A07E16">
        <w:rPr>
          <w:rFonts w:cs="Times New Roman"/>
          <w:bCs/>
          <w:i/>
          <w:iCs/>
          <w:szCs w:val="24"/>
        </w:rPr>
        <w:t xml:space="preserve">To mitigate and adapt adverse impacts of natural hazards, Bangladesh would require 2.4 percentage of GDP on average as delta specific investment. </w:t>
      </w:r>
      <w:r w:rsidRPr="00B935F1">
        <w:rPr>
          <w:rFonts w:cs="Times New Roman"/>
          <w:szCs w:val="24"/>
        </w:rPr>
        <w:t>Some portion of this investment would however be generated from FDI and private investment. Initially the share of public investment would be higher, but it would decline over time as higher public investment would catalyze additional private investment.</w:t>
      </w:r>
    </w:p>
    <w:p w:rsidR="008B4CE7" w:rsidRPr="00B935F1" w:rsidRDefault="008B4CE7" w:rsidP="008B4CE7">
      <w:pPr>
        <w:pStyle w:val="Heading2"/>
        <w:tabs>
          <w:tab w:val="num" w:pos="576"/>
        </w:tabs>
        <w:spacing w:before="160" w:after="160"/>
        <w:ind w:left="0" w:firstLine="0"/>
        <w:jc w:val="left"/>
      </w:pPr>
      <w:bookmarkStart w:id="468" w:name="_Toc460496854"/>
      <w:bookmarkStart w:id="469" w:name="_Toc464328765"/>
      <w:r w:rsidRPr="00B935F1">
        <w:t>Sectoral Results</w:t>
      </w:r>
      <w:bookmarkEnd w:id="468"/>
      <w:bookmarkEnd w:id="469"/>
    </w:p>
    <w:p w:rsidR="008B4CE7" w:rsidRPr="00B935F1" w:rsidRDefault="008B4CE7" w:rsidP="008B4CE7">
      <w:pPr>
        <w:rPr>
          <w:rFonts w:cs="Times New Roman"/>
          <w:szCs w:val="24"/>
        </w:rPr>
      </w:pPr>
      <w:r w:rsidRPr="00B935F1">
        <w:rPr>
          <w:rFonts w:cs="Times New Roman"/>
          <w:szCs w:val="24"/>
        </w:rPr>
        <w:t xml:space="preserve">Growth rates generated under the two policy options by major sectors are discussed here. Growth rates, underlying structure and investment requirements are provided here. More specifically, sectoral results are provided for: real GDP growth; sectoral GDP share; employment and sectoral employment share. </w:t>
      </w:r>
    </w:p>
    <w:p w:rsidR="008B4CE7" w:rsidRPr="00B935F1" w:rsidRDefault="008B4CE7" w:rsidP="008B4CE7">
      <w:pPr>
        <w:pStyle w:val="Heading3"/>
        <w:tabs>
          <w:tab w:val="num" w:pos="720"/>
        </w:tabs>
        <w:spacing w:before="120" w:after="120"/>
        <w:ind w:left="0" w:firstLine="0"/>
      </w:pPr>
      <w:bookmarkStart w:id="470" w:name="_Toc416301334"/>
      <w:r w:rsidRPr="00B935F1">
        <w:t>Sectoral Growth Rates</w:t>
      </w:r>
      <w:bookmarkEnd w:id="470"/>
    </w:p>
    <w:p w:rsidR="008B4CE7" w:rsidRPr="00B935F1" w:rsidRDefault="008B4CE7" w:rsidP="008B4CE7">
      <w:pPr>
        <w:rPr>
          <w:rFonts w:cs="Times New Roman"/>
          <w:szCs w:val="24"/>
        </w:rPr>
      </w:pPr>
      <w:r w:rsidRPr="00B935F1">
        <w:rPr>
          <w:rFonts w:cs="Times New Roman"/>
          <w:szCs w:val="24"/>
        </w:rPr>
        <w:lastRenderedPageBreak/>
        <w:t xml:space="preserve">GDP growth rates by selected sectors are shown in Tables 5.4 to 5.5. As envisaged in the growth strategies of Sixth and Seventh Five Year Plans, in order to boost employment the manufacturing sector along with construction and organized services would be the engines of high growth. Among the manufacturing activities, sectors such as ‘food processing’; ‘leather and footwear,’ ‘textile and clothing’, ‘pharmaceutical’, ‘ship building’ are envisaged as the main growth generators. These activities / sub-sectors are projected to experience double digit growth rates toward the end of the Seventh Plan period. ‘Machinery’ and ‘other-industries’ sectors are also projected to become more buoyant due to the expansion of the economy and gradual diversification of exports. Removal of critical infrastructure bottlenecks in the power and transport sectors through massive new investments is critical for the planned acceleration of the manufacturing sector expansion. Along with manufacturing, in the Seventh Plan the construction sector is projected to continue to be a strong driver of growth due to demographic developments and strong demand for housing and infrastructure. </w:t>
      </w:r>
    </w:p>
    <w:p w:rsidR="008B4CE7" w:rsidRPr="00B935F1" w:rsidRDefault="008B4CE7" w:rsidP="008B4CE7">
      <w:pPr>
        <w:rPr>
          <w:rFonts w:cs="Times New Roman"/>
          <w:szCs w:val="24"/>
        </w:rPr>
      </w:pPr>
      <w:r w:rsidRPr="00B935F1">
        <w:rPr>
          <w:rFonts w:cs="Times New Roman"/>
          <w:szCs w:val="24"/>
        </w:rPr>
        <w:t>The service sector has grown at a respectable pace of 6 percent per year in the preceding 5-year period. Experience with other economies suggests that growth in service sector usually follow the growth patterns of the manufacturing and primary activities. Accordingly, the Seventh Plan targeted a further improvement in the performance of this sector, with emphasis on the expansion of modern services.</w:t>
      </w:r>
    </w:p>
    <w:p w:rsidR="008B4CE7" w:rsidRPr="00DD3252" w:rsidRDefault="008B4CE7" w:rsidP="008B4CE7">
      <w:pPr>
        <w:rPr>
          <w:rFonts w:cs="Times New Roman"/>
          <w:bCs/>
          <w:i/>
          <w:iCs/>
          <w:szCs w:val="24"/>
        </w:rPr>
      </w:pPr>
      <w:r w:rsidRPr="00B935F1">
        <w:rPr>
          <w:rFonts w:cs="Times New Roman"/>
          <w:szCs w:val="24"/>
        </w:rPr>
        <w:t xml:space="preserve">Both policy options of BDP2100 assume a continuation of the growth strategy of the Seventh Plan.  The growth outcomes are different because of the impact of natural disasters and climate change that is not tackled in the BAU. </w:t>
      </w:r>
      <w:r w:rsidRPr="00B43512">
        <w:rPr>
          <w:rFonts w:cs="Times New Roman"/>
          <w:bCs/>
          <w:i/>
          <w:iCs/>
          <w:szCs w:val="24"/>
        </w:rPr>
        <w:t>Thus, in the BAU policy option, growth performances of almost all sectors will suffer, with agriculture experiencing the major loss.</w:t>
      </w:r>
      <w:r w:rsidRPr="00B935F1">
        <w:rPr>
          <w:rFonts w:cs="Times New Roman"/>
          <w:szCs w:val="24"/>
        </w:rPr>
        <w:t xml:space="preserve"> Growth rate of agriculture will fall to 1.5% in FY41 compared to rates of around 2.8% under the Delta Plan policy option. In the BAU policy option, </w:t>
      </w:r>
      <w:r w:rsidRPr="00B43512">
        <w:rPr>
          <w:rFonts w:cs="Times New Roman"/>
          <w:bCs/>
          <w:i/>
          <w:iCs/>
          <w:szCs w:val="24"/>
        </w:rPr>
        <w:t xml:space="preserve">the adverse effects of natural disasters and climate change on capital stock, construction and infrastructure especially in urban areas along with the output losses in agriculture will also slow down the growth of manufacturing sector (Table 5.4). </w:t>
      </w:r>
      <w:r w:rsidRPr="00B935F1">
        <w:rPr>
          <w:rFonts w:cs="Times New Roman"/>
          <w:szCs w:val="24"/>
        </w:rPr>
        <w:t xml:space="preserve">The growth of new investments in industrial activities will slow down that will have cumulative effects on slowing down the expansion of industrial activities.  The slowdown in both agriculture and industry will reduce the growth of the demand-driven services sector, In contrast, </w:t>
      </w:r>
      <w:r w:rsidRPr="00DD3252">
        <w:rPr>
          <w:rFonts w:cs="Times New Roman"/>
          <w:bCs/>
          <w:i/>
          <w:iCs/>
          <w:szCs w:val="24"/>
        </w:rPr>
        <w:t xml:space="preserve">in the </w:t>
      </w:r>
      <w:r w:rsidRPr="00DD3252">
        <w:rPr>
          <w:rFonts w:cs="Times New Roman"/>
          <w:i/>
          <w:iCs/>
          <w:szCs w:val="24"/>
        </w:rPr>
        <w:t>BDP 2100 p</w:t>
      </w:r>
      <w:r w:rsidRPr="00DD3252">
        <w:rPr>
          <w:rFonts w:cs="Times New Roman"/>
          <w:bCs/>
          <w:i/>
          <w:iCs/>
          <w:szCs w:val="24"/>
        </w:rPr>
        <w:t>olicy</w:t>
      </w:r>
      <w:r w:rsidRPr="00B43512">
        <w:rPr>
          <w:rFonts w:cs="Times New Roman"/>
          <w:bCs/>
          <w:i/>
          <w:iCs/>
          <w:szCs w:val="24"/>
        </w:rPr>
        <w:t xml:space="preserve"> option the implementation of the Delta Plan will offset the negative effects of climate change and natural disasters on output and capital stock and allow the successful implementation of the government’s growth strategy.  Accordingly, all sectoral growth performances will be better under the </w:t>
      </w:r>
      <w:r w:rsidRPr="00DD3252">
        <w:rPr>
          <w:rFonts w:cs="Times New Roman"/>
          <w:i/>
          <w:iCs/>
          <w:szCs w:val="24"/>
        </w:rPr>
        <w:t xml:space="preserve">BDP 2100 </w:t>
      </w:r>
      <w:r w:rsidRPr="00DD3252">
        <w:rPr>
          <w:rFonts w:cs="Times New Roman"/>
          <w:bCs/>
          <w:i/>
          <w:iCs/>
          <w:szCs w:val="24"/>
        </w:rPr>
        <w:t xml:space="preserve"> policy option (Table 5.5)</w:t>
      </w:r>
    </w:p>
    <w:p w:rsidR="008B4CE7" w:rsidRPr="00DD3252" w:rsidRDefault="008B4CE7" w:rsidP="008B4CE7">
      <w:pPr>
        <w:rPr>
          <w:rFonts w:cs="Times New Roman"/>
          <w:i/>
          <w:iCs/>
          <w:szCs w:val="24"/>
        </w:rPr>
      </w:pPr>
    </w:p>
    <w:p w:rsidR="008B4CE7" w:rsidRPr="00B935F1" w:rsidRDefault="008B4CE7" w:rsidP="008B4CE7">
      <w:pPr>
        <w:rPr>
          <w:rFonts w:cs="Times New Roman"/>
          <w:b/>
          <w:bCs/>
          <w:szCs w:val="24"/>
        </w:rPr>
      </w:pPr>
      <w:bookmarkStart w:id="471" w:name="_Toc460497001"/>
      <w:bookmarkStart w:id="472" w:name="_Toc416301335"/>
      <w:r w:rsidRPr="00B935F1">
        <w:rPr>
          <w:szCs w:val="24"/>
        </w:rPr>
        <w:br w:type="page"/>
      </w:r>
    </w:p>
    <w:p w:rsidR="008B4CE7" w:rsidRPr="00DD3252" w:rsidRDefault="008B4CE7" w:rsidP="008B4CE7">
      <w:pPr>
        <w:pStyle w:val="Heading4"/>
      </w:pPr>
      <w:bookmarkStart w:id="473" w:name="_Toc464328912"/>
      <w:r w:rsidRPr="00DD3252">
        <w:lastRenderedPageBreak/>
        <w:t xml:space="preserve">Table 5.4: Sectoral Growth Rates (BAU </w:t>
      </w:r>
      <w:r>
        <w:t>p</w:t>
      </w:r>
      <w:r w:rsidRPr="00DD3252">
        <w:t>olicy option)</w:t>
      </w:r>
      <w:bookmarkEnd w:id="471"/>
      <w:bookmarkEnd w:id="473"/>
    </w:p>
    <w:tbl>
      <w:tblPr>
        <w:tblW w:w="5000" w:type="pct"/>
        <w:tblLook w:val="04A0"/>
      </w:tblPr>
      <w:tblGrid>
        <w:gridCol w:w="646"/>
        <w:gridCol w:w="3528"/>
        <w:gridCol w:w="981"/>
        <w:gridCol w:w="1061"/>
        <w:gridCol w:w="1063"/>
        <w:gridCol w:w="1092"/>
        <w:gridCol w:w="1205"/>
      </w:tblGrid>
      <w:tr w:rsidR="008B4CE7" w:rsidRPr="00DD3252" w:rsidTr="00F0207D">
        <w:trPr>
          <w:trHeight w:val="144"/>
          <w:tblHeader/>
        </w:trPr>
        <w:tc>
          <w:tcPr>
            <w:tcW w:w="338"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DD3252" w:rsidRDefault="008B4CE7" w:rsidP="00F0207D">
            <w:pPr>
              <w:spacing w:after="0"/>
              <w:rPr>
                <w:rFonts w:cs="Segoe UI"/>
                <w:sz w:val="22"/>
              </w:rPr>
            </w:pPr>
          </w:p>
        </w:tc>
        <w:tc>
          <w:tcPr>
            <w:tcW w:w="1842"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DD3252" w:rsidRDefault="008B4CE7" w:rsidP="00F0207D">
            <w:pPr>
              <w:spacing w:after="0"/>
              <w:rPr>
                <w:rFonts w:cs="Segoe UI"/>
                <w:b/>
                <w:bCs/>
                <w:sz w:val="22"/>
              </w:rPr>
            </w:pPr>
          </w:p>
        </w:tc>
        <w:tc>
          <w:tcPr>
            <w:tcW w:w="2820" w:type="pct"/>
            <w:gridSpan w:val="5"/>
            <w:tcBorders>
              <w:top w:val="single" w:sz="4" w:space="0" w:color="auto"/>
              <w:left w:val="nil"/>
              <w:bottom w:val="single" w:sz="4" w:space="0" w:color="auto"/>
              <w:right w:val="single" w:sz="4" w:space="0" w:color="auto"/>
            </w:tcBorders>
            <w:shd w:val="clear" w:color="000000" w:fill="D8D8D8"/>
          </w:tcPr>
          <w:p w:rsidR="008B4CE7" w:rsidRPr="00DD3252" w:rsidRDefault="008B4CE7" w:rsidP="00F0207D">
            <w:pPr>
              <w:spacing w:after="0"/>
              <w:jc w:val="center"/>
              <w:rPr>
                <w:rFonts w:cs="Segoe UI"/>
                <w:b/>
                <w:bCs/>
                <w:sz w:val="22"/>
              </w:rPr>
            </w:pPr>
            <w:r w:rsidRPr="00DD3252">
              <w:rPr>
                <w:rFonts w:cs="Segoe UI"/>
                <w:b/>
                <w:bCs/>
                <w:sz w:val="22"/>
              </w:rPr>
              <w:t>Growth rates (%)</w:t>
            </w:r>
          </w:p>
        </w:tc>
      </w:tr>
      <w:tr w:rsidR="008B4CE7" w:rsidRPr="00DD3252" w:rsidTr="00F0207D">
        <w:trPr>
          <w:trHeight w:val="144"/>
          <w:tblHeader/>
        </w:trPr>
        <w:tc>
          <w:tcPr>
            <w:tcW w:w="338"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DD3252" w:rsidRDefault="008B4CE7" w:rsidP="00F0207D">
            <w:pPr>
              <w:spacing w:after="0"/>
              <w:rPr>
                <w:rFonts w:cs="Segoe UI"/>
                <w:sz w:val="22"/>
              </w:rPr>
            </w:pPr>
            <w:r w:rsidRPr="00DD3252">
              <w:rPr>
                <w:rFonts w:cs="Segoe UI"/>
                <w:sz w:val="22"/>
              </w:rPr>
              <w:t> </w:t>
            </w:r>
          </w:p>
        </w:tc>
        <w:tc>
          <w:tcPr>
            <w:tcW w:w="1842"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DD3252" w:rsidRDefault="008B4CE7" w:rsidP="00F0207D">
            <w:pPr>
              <w:spacing w:after="0"/>
              <w:rPr>
                <w:rFonts w:cs="Segoe UI"/>
                <w:b/>
                <w:bCs/>
                <w:sz w:val="22"/>
              </w:rPr>
            </w:pPr>
            <w:r w:rsidRPr="00DD3252">
              <w:rPr>
                <w:rFonts w:cs="Segoe UI"/>
                <w:b/>
                <w:bCs/>
                <w:sz w:val="22"/>
              </w:rPr>
              <w:t>Sectors</w:t>
            </w:r>
          </w:p>
        </w:tc>
        <w:tc>
          <w:tcPr>
            <w:tcW w:w="512" w:type="pct"/>
            <w:tcBorders>
              <w:top w:val="single" w:sz="4" w:space="0" w:color="auto"/>
              <w:left w:val="nil"/>
              <w:bottom w:val="single" w:sz="4" w:space="0" w:color="auto"/>
              <w:right w:val="single" w:sz="4" w:space="0" w:color="auto"/>
            </w:tcBorders>
            <w:shd w:val="clear" w:color="000000" w:fill="D8D8D8"/>
          </w:tcPr>
          <w:p w:rsidR="008B4CE7" w:rsidRPr="00DD3252" w:rsidRDefault="008B4CE7" w:rsidP="00F0207D">
            <w:pPr>
              <w:spacing w:after="0"/>
              <w:jc w:val="right"/>
              <w:rPr>
                <w:rFonts w:cs="Segoe UI"/>
                <w:b/>
                <w:bCs/>
                <w:sz w:val="22"/>
              </w:rPr>
            </w:pPr>
            <w:r w:rsidRPr="00DD3252">
              <w:rPr>
                <w:rFonts w:cs="Segoe UI"/>
                <w:b/>
                <w:bCs/>
                <w:sz w:val="22"/>
              </w:rPr>
              <w:t>FY2016</w:t>
            </w:r>
          </w:p>
        </w:tc>
        <w:tc>
          <w:tcPr>
            <w:tcW w:w="554" w:type="pct"/>
            <w:tcBorders>
              <w:top w:val="single" w:sz="4" w:space="0" w:color="auto"/>
              <w:left w:val="nil"/>
              <w:bottom w:val="single" w:sz="4" w:space="0" w:color="auto"/>
              <w:right w:val="single" w:sz="4" w:space="0" w:color="auto"/>
            </w:tcBorders>
            <w:shd w:val="clear" w:color="000000" w:fill="D8D8D8"/>
          </w:tcPr>
          <w:p w:rsidR="008B4CE7" w:rsidRPr="00A16AFD" w:rsidRDefault="008B4CE7" w:rsidP="00F0207D">
            <w:pPr>
              <w:spacing w:after="0"/>
              <w:jc w:val="right"/>
              <w:rPr>
                <w:rFonts w:cs="Segoe UI"/>
                <w:b/>
                <w:bCs/>
                <w:color w:val="FF0000"/>
                <w:sz w:val="22"/>
              </w:rPr>
            </w:pPr>
            <w:r w:rsidRPr="00A16AFD">
              <w:rPr>
                <w:rFonts w:cs="Segoe UI"/>
                <w:b/>
                <w:bCs/>
                <w:color w:val="FF0000"/>
                <w:sz w:val="22"/>
              </w:rPr>
              <w:t>FY2020</w:t>
            </w:r>
          </w:p>
        </w:tc>
        <w:tc>
          <w:tcPr>
            <w:tcW w:w="555" w:type="pct"/>
            <w:tcBorders>
              <w:top w:val="single" w:sz="4" w:space="0" w:color="auto"/>
              <w:left w:val="nil"/>
              <w:bottom w:val="single" w:sz="4" w:space="0" w:color="auto"/>
              <w:right w:val="single" w:sz="4" w:space="0" w:color="auto"/>
            </w:tcBorders>
            <w:shd w:val="clear" w:color="000000" w:fill="D8D8D8"/>
          </w:tcPr>
          <w:p w:rsidR="008B4CE7" w:rsidRPr="00A16AFD" w:rsidRDefault="008B4CE7" w:rsidP="00F0207D">
            <w:pPr>
              <w:spacing w:after="0"/>
              <w:jc w:val="right"/>
              <w:rPr>
                <w:rFonts w:cs="Segoe UI"/>
                <w:b/>
                <w:bCs/>
                <w:color w:val="FF0000"/>
                <w:sz w:val="22"/>
              </w:rPr>
            </w:pPr>
            <w:r w:rsidRPr="00A16AFD">
              <w:rPr>
                <w:rFonts w:cs="Segoe UI"/>
                <w:b/>
                <w:bCs/>
                <w:color w:val="FF0000"/>
                <w:sz w:val="22"/>
              </w:rPr>
              <w:t>FY2021</w:t>
            </w:r>
          </w:p>
        </w:tc>
        <w:tc>
          <w:tcPr>
            <w:tcW w:w="570" w:type="pct"/>
            <w:tcBorders>
              <w:top w:val="single" w:sz="4" w:space="0" w:color="auto"/>
              <w:left w:val="nil"/>
              <w:bottom w:val="single" w:sz="4" w:space="0" w:color="auto"/>
              <w:right w:val="single" w:sz="4" w:space="0" w:color="auto"/>
            </w:tcBorders>
            <w:shd w:val="clear" w:color="000000" w:fill="D8D8D8"/>
          </w:tcPr>
          <w:p w:rsidR="008B4CE7" w:rsidRPr="00DD3252" w:rsidRDefault="008B4CE7" w:rsidP="00F0207D">
            <w:pPr>
              <w:spacing w:after="0"/>
              <w:jc w:val="right"/>
              <w:rPr>
                <w:rFonts w:cs="Segoe UI"/>
                <w:b/>
                <w:bCs/>
                <w:sz w:val="22"/>
              </w:rPr>
            </w:pPr>
            <w:r w:rsidRPr="00DD3252">
              <w:rPr>
                <w:rFonts w:cs="Segoe UI"/>
                <w:b/>
                <w:bCs/>
                <w:sz w:val="22"/>
              </w:rPr>
              <w:t>FY2031</w:t>
            </w:r>
          </w:p>
        </w:tc>
        <w:tc>
          <w:tcPr>
            <w:tcW w:w="629" w:type="pct"/>
            <w:tcBorders>
              <w:top w:val="single" w:sz="4" w:space="0" w:color="auto"/>
              <w:left w:val="nil"/>
              <w:bottom w:val="single" w:sz="4" w:space="0" w:color="auto"/>
              <w:right w:val="single" w:sz="4" w:space="0" w:color="auto"/>
            </w:tcBorders>
            <w:shd w:val="clear" w:color="000000" w:fill="D8D8D8"/>
          </w:tcPr>
          <w:p w:rsidR="008B4CE7" w:rsidRPr="00DD3252" w:rsidRDefault="008B4CE7" w:rsidP="00F0207D">
            <w:pPr>
              <w:spacing w:after="0"/>
              <w:jc w:val="right"/>
              <w:rPr>
                <w:rFonts w:cs="Segoe UI"/>
                <w:b/>
                <w:bCs/>
                <w:sz w:val="22"/>
              </w:rPr>
            </w:pPr>
            <w:r w:rsidRPr="00DD3252">
              <w:rPr>
                <w:rFonts w:cs="Segoe UI"/>
                <w:b/>
                <w:bCs/>
                <w:sz w:val="22"/>
              </w:rPr>
              <w:t>FY2041</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sz w:val="22"/>
              </w:rPr>
            </w:pPr>
            <w:r w:rsidRPr="00DD3252">
              <w:rPr>
                <w:rFonts w:cs="Segoe UI"/>
                <w:b/>
                <w:sz w:val="22"/>
              </w:rPr>
              <w:t>Agriculture</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2.37</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2.52</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2.52</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2.32</w:t>
            </w:r>
          </w:p>
        </w:tc>
        <w:tc>
          <w:tcPr>
            <w:tcW w:w="629"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1.87</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Cereal Crop</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0.50</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0.50</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0.50</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0.46</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0.37</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2</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Commercial crop</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0.50</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0.47</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0.47</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0.43</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0.35</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3</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Livestock-poultry-fisheries</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5.24</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5.72</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5.72</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5.28</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4.26</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4</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Forestry</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5.13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5.38</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5.38</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4.96</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4.00</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5</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Other Agriculture</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0.50</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0.53</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0.53</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0.48</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0.39</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sz w:val="22"/>
              </w:rPr>
            </w:pPr>
            <w:r w:rsidRPr="00DD3252">
              <w:rPr>
                <w:rFonts w:cs="Segoe UI"/>
                <w:b/>
                <w:sz w:val="22"/>
              </w:rPr>
              <w:t>Manufacturing</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10.65</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10.65</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10.04</w:t>
            </w:r>
          </w:p>
        </w:tc>
        <w:tc>
          <w:tcPr>
            <w:tcW w:w="629"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8.27</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6</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Other Food</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10.82</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10.82</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10.19</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8.31</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7</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Leather</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10.70</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10.70</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10.13</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8.35</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8</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Textile-clothing</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10.93</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10.93</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10.30</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8.49</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9</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Chemical Fertilizer</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10.34</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10.34</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9.75</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8.03</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10</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Machinery</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10.75</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10.75</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10.12</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8.34</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11</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Petroleum</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10.40</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10.40</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9.79</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8.07</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12</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Other industry</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10.63</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10.63</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10.02</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8.26</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13</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bCs/>
                <w:sz w:val="22"/>
              </w:rPr>
            </w:pPr>
            <w:r w:rsidRPr="00DD3252">
              <w:rPr>
                <w:rFonts w:cs="Segoe UI"/>
                <w:b/>
                <w:bCs/>
                <w:sz w:val="22"/>
              </w:rPr>
              <w:t>Construction</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8.87</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7.60</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7.60</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7.15</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5.89</w:t>
            </w:r>
          </w:p>
        </w:tc>
      </w:tr>
      <w:tr w:rsidR="008B4CE7" w:rsidRPr="00DD3252"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14</w:t>
            </w:r>
          </w:p>
        </w:tc>
        <w:tc>
          <w:tcPr>
            <w:tcW w:w="1842" w:type="pct"/>
            <w:tcBorders>
              <w:top w:val="single" w:sz="4" w:space="0" w:color="auto"/>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bCs/>
                <w:sz w:val="22"/>
              </w:rPr>
            </w:pPr>
            <w:r w:rsidRPr="00DD3252">
              <w:rPr>
                <w:rFonts w:cs="Segoe UI"/>
                <w:b/>
                <w:bCs/>
                <w:sz w:val="22"/>
              </w:rPr>
              <w:t>Services</w:t>
            </w:r>
          </w:p>
        </w:tc>
        <w:tc>
          <w:tcPr>
            <w:tcW w:w="512" w:type="pct"/>
            <w:tcBorders>
              <w:top w:val="single" w:sz="4" w:space="0" w:color="auto"/>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6.82</w:t>
            </w:r>
          </w:p>
        </w:tc>
        <w:tc>
          <w:tcPr>
            <w:tcW w:w="554" w:type="pct"/>
            <w:tcBorders>
              <w:top w:val="single" w:sz="4" w:space="0" w:color="auto"/>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6.75</w:t>
            </w:r>
          </w:p>
        </w:tc>
        <w:tc>
          <w:tcPr>
            <w:tcW w:w="555" w:type="pct"/>
            <w:tcBorders>
              <w:top w:val="single" w:sz="4" w:space="0" w:color="auto"/>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6.75</w:t>
            </w:r>
          </w:p>
        </w:tc>
        <w:tc>
          <w:tcPr>
            <w:tcW w:w="570" w:type="pct"/>
            <w:tcBorders>
              <w:top w:val="single" w:sz="4" w:space="0" w:color="auto"/>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6.30</w:t>
            </w:r>
          </w:p>
        </w:tc>
        <w:tc>
          <w:tcPr>
            <w:tcW w:w="629" w:type="pct"/>
            <w:tcBorders>
              <w:top w:val="single" w:sz="4" w:space="0" w:color="auto"/>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5.14</w:t>
            </w:r>
          </w:p>
        </w:tc>
      </w:tr>
      <w:tr w:rsidR="008B4CE7" w:rsidRPr="00DD3252"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p>
        </w:tc>
        <w:tc>
          <w:tcPr>
            <w:tcW w:w="1842" w:type="pct"/>
            <w:tcBorders>
              <w:top w:val="single" w:sz="4" w:space="0" w:color="auto"/>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bCs/>
                <w:sz w:val="22"/>
              </w:rPr>
            </w:pPr>
            <w:r w:rsidRPr="00DD3252">
              <w:rPr>
                <w:rFonts w:cs="Segoe UI"/>
                <w:b/>
                <w:bCs/>
                <w:sz w:val="22"/>
              </w:rPr>
              <w:t xml:space="preserve">Overall GDP Growth </w:t>
            </w:r>
          </w:p>
        </w:tc>
        <w:tc>
          <w:tcPr>
            <w:tcW w:w="512" w:type="pct"/>
            <w:tcBorders>
              <w:top w:val="single" w:sz="4" w:space="0" w:color="auto"/>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7.1</w:t>
            </w:r>
          </w:p>
        </w:tc>
        <w:tc>
          <w:tcPr>
            <w:tcW w:w="554" w:type="pct"/>
            <w:tcBorders>
              <w:top w:val="single" w:sz="4" w:space="0" w:color="auto"/>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7.3</w:t>
            </w:r>
          </w:p>
        </w:tc>
        <w:tc>
          <w:tcPr>
            <w:tcW w:w="555" w:type="pct"/>
            <w:tcBorders>
              <w:top w:val="single" w:sz="4" w:space="0" w:color="auto"/>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7.3</w:t>
            </w:r>
          </w:p>
        </w:tc>
        <w:tc>
          <w:tcPr>
            <w:tcW w:w="570" w:type="pct"/>
            <w:tcBorders>
              <w:top w:val="single" w:sz="4" w:space="0" w:color="auto"/>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6.8</w:t>
            </w:r>
          </w:p>
        </w:tc>
        <w:tc>
          <w:tcPr>
            <w:tcW w:w="629" w:type="pct"/>
            <w:tcBorders>
              <w:top w:val="single" w:sz="4" w:space="0" w:color="auto"/>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5.6</w:t>
            </w:r>
          </w:p>
        </w:tc>
      </w:tr>
    </w:tbl>
    <w:p w:rsidR="008B4CE7" w:rsidRPr="00B935F1" w:rsidRDefault="008B4CE7" w:rsidP="008B4CE7">
      <w:pPr>
        <w:rPr>
          <w:rFonts w:cs="Times New Roman"/>
          <w:b/>
          <w:i/>
          <w:szCs w:val="24"/>
        </w:rPr>
      </w:pPr>
      <w:r w:rsidRPr="00B935F1">
        <w:rPr>
          <w:rFonts w:cs="Times New Roman"/>
          <w:b/>
          <w:i/>
          <w:szCs w:val="24"/>
        </w:rPr>
        <w:t xml:space="preserve">Source: </w:t>
      </w:r>
      <w:r w:rsidRPr="00DD3252">
        <w:rPr>
          <w:rFonts w:cs="Times New Roman"/>
          <w:b/>
          <w:bCs/>
          <w:i/>
          <w:iCs/>
          <w:szCs w:val="24"/>
        </w:rPr>
        <w:t xml:space="preserve">BDP 2100 </w:t>
      </w:r>
      <w:r w:rsidRPr="00B935F1">
        <w:rPr>
          <w:rFonts w:cs="Times New Roman"/>
          <w:b/>
          <w:i/>
          <w:szCs w:val="24"/>
        </w:rPr>
        <w:t>Projections</w:t>
      </w:r>
    </w:p>
    <w:p w:rsidR="008B4CE7" w:rsidRPr="00DD3252" w:rsidRDefault="008B4CE7" w:rsidP="008B4CE7">
      <w:pPr>
        <w:pStyle w:val="Heading4"/>
      </w:pPr>
      <w:bookmarkStart w:id="474" w:name="_Toc460497002"/>
      <w:bookmarkStart w:id="475" w:name="_Toc464328913"/>
      <w:r w:rsidRPr="00DD3252">
        <w:t>Table 5.5: Sectoral Growth Rates (Delta Plan Policy option)</w:t>
      </w:r>
      <w:bookmarkEnd w:id="474"/>
      <w:bookmarkEnd w:id="475"/>
    </w:p>
    <w:tbl>
      <w:tblPr>
        <w:tblW w:w="5000" w:type="pct"/>
        <w:tblLook w:val="04A0"/>
      </w:tblPr>
      <w:tblGrid>
        <w:gridCol w:w="646"/>
        <w:gridCol w:w="3528"/>
        <w:gridCol w:w="981"/>
        <w:gridCol w:w="1061"/>
        <w:gridCol w:w="1063"/>
        <w:gridCol w:w="1092"/>
        <w:gridCol w:w="1205"/>
      </w:tblGrid>
      <w:tr w:rsidR="008B4CE7" w:rsidRPr="00DD3252" w:rsidTr="00F0207D">
        <w:trPr>
          <w:trHeight w:val="144"/>
          <w:tblHeader/>
        </w:trPr>
        <w:tc>
          <w:tcPr>
            <w:tcW w:w="338"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DD3252" w:rsidRDefault="008B4CE7" w:rsidP="00F0207D">
            <w:pPr>
              <w:spacing w:after="0"/>
              <w:rPr>
                <w:rFonts w:cs="Segoe UI"/>
                <w:sz w:val="22"/>
              </w:rPr>
            </w:pPr>
          </w:p>
        </w:tc>
        <w:tc>
          <w:tcPr>
            <w:tcW w:w="1842"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DD3252" w:rsidRDefault="008B4CE7" w:rsidP="00F0207D">
            <w:pPr>
              <w:spacing w:after="0"/>
              <w:rPr>
                <w:rFonts w:cs="Segoe UI"/>
                <w:b/>
                <w:bCs/>
                <w:sz w:val="22"/>
              </w:rPr>
            </w:pPr>
          </w:p>
        </w:tc>
        <w:tc>
          <w:tcPr>
            <w:tcW w:w="2820" w:type="pct"/>
            <w:gridSpan w:val="5"/>
            <w:tcBorders>
              <w:top w:val="single" w:sz="4" w:space="0" w:color="auto"/>
              <w:left w:val="nil"/>
              <w:bottom w:val="single" w:sz="4" w:space="0" w:color="auto"/>
              <w:right w:val="single" w:sz="4" w:space="0" w:color="auto"/>
            </w:tcBorders>
            <w:shd w:val="clear" w:color="000000" w:fill="D8D8D8"/>
          </w:tcPr>
          <w:p w:rsidR="008B4CE7" w:rsidRPr="00DD3252" w:rsidRDefault="008B4CE7" w:rsidP="00F0207D">
            <w:pPr>
              <w:spacing w:after="0"/>
              <w:jc w:val="center"/>
              <w:rPr>
                <w:rFonts w:cs="Segoe UI"/>
                <w:b/>
                <w:bCs/>
                <w:sz w:val="22"/>
              </w:rPr>
            </w:pPr>
            <w:r w:rsidRPr="00DD3252">
              <w:rPr>
                <w:rFonts w:cs="Segoe UI"/>
                <w:b/>
                <w:bCs/>
                <w:sz w:val="22"/>
              </w:rPr>
              <w:t>Growth rates (%)</w:t>
            </w:r>
          </w:p>
        </w:tc>
      </w:tr>
      <w:tr w:rsidR="008B4CE7" w:rsidRPr="00DD3252" w:rsidTr="00F0207D">
        <w:trPr>
          <w:trHeight w:val="144"/>
          <w:tblHeader/>
        </w:trPr>
        <w:tc>
          <w:tcPr>
            <w:tcW w:w="338"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DD3252" w:rsidRDefault="008B4CE7" w:rsidP="00F0207D">
            <w:pPr>
              <w:spacing w:after="0"/>
              <w:rPr>
                <w:rFonts w:cs="Segoe UI"/>
                <w:sz w:val="22"/>
              </w:rPr>
            </w:pPr>
            <w:r w:rsidRPr="00DD3252">
              <w:rPr>
                <w:rFonts w:cs="Segoe UI"/>
                <w:sz w:val="22"/>
              </w:rPr>
              <w:t> </w:t>
            </w:r>
          </w:p>
        </w:tc>
        <w:tc>
          <w:tcPr>
            <w:tcW w:w="1842"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DD3252" w:rsidRDefault="008B4CE7" w:rsidP="00F0207D">
            <w:pPr>
              <w:spacing w:after="0"/>
              <w:rPr>
                <w:rFonts w:cs="Segoe UI"/>
                <w:b/>
                <w:bCs/>
                <w:sz w:val="22"/>
              </w:rPr>
            </w:pPr>
            <w:r w:rsidRPr="00DD3252">
              <w:rPr>
                <w:rFonts w:cs="Segoe UI"/>
                <w:b/>
                <w:bCs/>
                <w:sz w:val="22"/>
              </w:rPr>
              <w:t>Sectors</w:t>
            </w:r>
          </w:p>
        </w:tc>
        <w:tc>
          <w:tcPr>
            <w:tcW w:w="512" w:type="pct"/>
            <w:tcBorders>
              <w:top w:val="single" w:sz="4" w:space="0" w:color="auto"/>
              <w:left w:val="nil"/>
              <w:bottom w:val="single" w:sz="4" w:space="0" w:color="auto"/>
              <w:right w:val="single" w:sz="4" w:space="0" w:color="auto"/>
            </w:tcBorders>
            <w:shd w:val="clear" w:color="000000" w:fill="D8D8D8"/>
          </w:tcPr>
          <w:p w:rsidR="008B4CE7" w:rsidRPr="00DD3252" w:rsidRDefault="008B4CE7" w:rsidP="00F0207D">
            <w:pPr>
              <w:spacing w:after="0"/>
              <w:jc w:val="right"/>
              <w:rPr>
                <w:rFonts w:cs="Segoe UI"/>
                <w:b/>
                <w:bCs/>
                <w:sz w:val="22"/>
              </w:rPr>
            </w:pPr>
            <w:r w:rsidRPr="00DD3252">
              <w:rPr>
                <w:rFonts w:cs="Segoe UI"/>
                <w:b/>
                <w:bCs/>
                <w:sz w:val="22"/>
              </w:rPr>
              <w:t>FY2016</w:t>
            </w:r>
          </w:p>
        </w:tc>
        <w:tc>
          <w:tcPr>
            <w:tcW w:w="554" w:type="pct"/>
            <w:tcBorders>
              <w:top w:val="single" w:sz="4" w:space="0" w:color="auto"/>
              <w:left w:val="nil"/>
              <w:bottom w:val="single" w:sz="4" w:space="0" w:color="auto"/>
              <w:right w:val="single" w:sz="4" w:space="0" w:color="auto"/>
            </w:tcBorders>
            <w:shd w:val="clear" w:color="000000" w:fill="D8D8D8"/>
          </w:tcPr>
          <w:p w:rsidR="008B4CE7" w:rsidRPr="00A16AFD" w:rsidRDefault="008B4CE7" w:rsidP="00F0207D">
            <w:pPr>
              <w:spacing w:after="0"/>
              <w:jc w:val="right"/>
              <w:rPr>
                <w:rFonts w:cs="Segoe UI"/>
                <w:b/>
                <w:bCs/>
                <w:color w:val="FF0000"/>
                <w:sz w:val="22"/>
              </w:rPr>
            </w:pPr>
            <w:r w:rsidRPr="00A16AFD">
              <w:rPr>
                <w:rFonts w:cs="Segoe UI"/>
                <w:b/>
                <w:bCs/>
                <w:color w:val="FF0000"/>
                <w:sz w:val="22"/>
              </w:rPr>
              <w:t>FY2020</w:t>
            </w:r>
          </w:p>
        </w:tc>
        <w:tc>
          <w:tcPr>
            <w:tcW w:w="555" w:type="pct"/>
            <w:tcBorders>
              <w:top w:val="single" w:sz="4" w:space="0" w:color="auto"/>
              <w:left w:val="nil"/>
              <w:bottom w:val="single" w:sz="4" w:space="0" w:color="auto"/>
              <w:right w:val="single" w:sz="4" w:space="0" w:color="auto"/>
            </w:tcBorders>
            <w:shd w:val="clear" w:color="000000" w:fill="D8D8D8"/>
          </w:tcPr>
          <w:p w:rsidR="008B4CE7" w:rsidRPr="00A16AFD" w:rsidRDefault="008B4CE7" w:rsidP="00F0207D">
            <w:pPr>
              <w:spacing w:after="0"/>
              <w:jc w:val="right"/>
              <w:rPr>
                <w:rFonts w:cs="Segoe UI"/>
                <w:b/>
                <w:bCs/>
                <w:color w:val="FF0000"/>
                <w:sz w:val="22"/>
              </w:rPr>
            </w:pPr>
            <w:r w:rsidRPr="00A16AFD">
              <w:rPr>
                <w:rFonts w:cs="Segoe UI"/>
                <w:b/>
                <w:bCs/>
                <w:color w:val="FF0000"/>
                <w:sz w:val="22"/>
              </w:rPr>
              <w:t>FY2021</w:t>
            </w:r>
          </w:p>
        </w:tc>
        <w:tc>
          <w:tcPr>
            <w:tcW w:w="570" w:type="pct"/>
            <w:tcBorders>
              <w:top w:val="single" w:sz="4" w:space="0" w:color="auto"/>
              <w:left w:val="nil"/>
              <w:bottom w:val="single" w:sz="4" w:space="0" w:color="auto"/>
              <w:right w:val="single" w:sz="4" w:space="0" w:color="auto"/>
            </w:tcBorders>
            <w:shd w:val="clear" w:color="000000" w:fill="D8D8D8"/>
          </w:tcPr>
          <w:p w:rsidR="008B4CE7" w:rsidRPr="00DD3252" w:rsidRDefault="008B4CE7" w:rsidP="00F0207D">
            <w:pPr>
              <w:spacing w:after="0"/>
              <w:jc w:val="right"/>
              <w:rPr>
                <w:rFonts w:cs="Segoe UI"/>
                <w:b/>
                <w:bCs/>
                <w:sz w:val="22"/>
              </w:rPr>
            </w:pPr>
            <w:r w:rsidRPr="00DD3252">
              <w:rPr>
                <w:rFonts w:cs="Segoe UI"/>
                <w:b/>
                <w:bCs/>
                <w:sz w:val="22"/>
              </w:rPr>
              <w:t>FY2031</w:t>
            </w:r>
          </w:p>
        </w:tc>
        <w:tc>
          <w:tcPr>
            <w:tcW w:w="629" w:type="pct"/>
            <w:tcBorders>
              <w:top w:val="single" w:sz="4" w:space="0" w:color="auto"/>
              <w:left w:val="nil"/>
              <w:bottom w:val="single" w:sz="4" w:space="0" w:color="auto"/>
              <w:right w:val="single" w:sz="4" w:space="0" w:color="auto"/>
            </w:tcBorders>
            <w:shd w:val="clear" w:color="000000" w:fill="D8D8D8"/>
          </w:tcPr>
          <w:p w:rsidR="008B4CE7" w:rsidRPr="00DD3252" w:rsidRDefault="008B4CE7" w:rsidP="00F0207D">
            <w:pPr>
              <w:spacing w:after="0"/>
              <w:jc w:val="right"/>
              <w:rPr>
                <w:rFonts w:cs="Segoe UI"/>
                <w:b/>
                <w:bCs/>
                <w:sz w:val="22"/>
              </w:rPr>
            </w:pPr>
            <w:r w:rsidRPr="00DD3252">
              <w:rPr>
                <w:rFonts w:cs="Segoe UI"/>
                <w:b/>
                <w:bCs/>
                <w:sz w:val="22"/>
              </w:rPr>
              <w:t>FY2041</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sz w:val="22"/>
              </w:rPr>
            </w:pPr>
            <w:r w:rsidRPr="00DD3252">
              <w:rPr>
                <w:rFonts w:cs="Segoe UI"/>
                <w:b/>
                <w:sz w:val="22"/>
              </w:rPr>
              <w:t>Agriculture</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2.37</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2.66</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2.66</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2.77</w:t>
            </w:r>
          </w:p>
        </w:tc>
        <w:tc>
          <w:tcPr>
            <w:tcW w:w="629"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2.77</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Cereal Crop</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0.50</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0.54</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0.54</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0.56</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0.56</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2</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Commercial crop</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0.50</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0.54</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0.54</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0.56</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0.56</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3</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Livestock-poultry-fishing</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5.24</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6.37</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6.37</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6.88</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6.88</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4</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Forestry</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5.13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5.31</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5.31</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5.31</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5.31</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5</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Other Agriculture</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0.50</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0.55</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0.55</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0.55</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0.55</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sz w:val="22"/>
              </w:rPr>
            </w:pPr>
            <w:r w:rsidRPr="00DD3252">
              <w:rPr>
                <w:rFonts w:cs="Segoe UI"/>
                <w:b/>
                <w:sz w:val="22"/>
              </w:rPr>
              <w:t>Manufacturing</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11.63</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bCs/>
                <w:color w:val="FF0000"/>
                <w:sz w:val="22"/>
              </w:rPr>
            </w:pPr>
            <w:r w:rsidRPr="00A16AFD">
              <w:rPr>
                <w:rFonts w:cs="Segoe UI"/>
                <w:b/>
                <w:bCs/>
                <w:color w:val="FF0000"/>
                <w:sz w:val="22"/>
              </w:rPr>
              <w:t>11.63</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12.05</w:t>
            </w:r>
          </w:p>
        </w:tc>
        <w:tc>
          <w:tcPr>
            <w:tcW w:w="629"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bCs/>
                <w:color w:val="000000"/>
                <w:sz w:val="22"/>
              </w:rPr>
            </w:pPr>
            <w:r w:rsidRPr="00DD3252">
              <w:rPr>
                <w:rFonts w:cs="Segoe UI"/>
                <w:b/>
                <w:bCs/>
                <w:color w:val="000000"/>
                <w:sz w:val="22"/>
              </w:rPr>
              <w:t>12.29</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6</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Other Food</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12.00</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12.00</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12.99</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13.25</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7</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Leather</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11.77</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11.77</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12.06</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12.31</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8</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Textile-clothing</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11.99</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11.99</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12.72</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12.98</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9</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Pr>
                <w:rFonts w:cs="Segoe UI"/>
                <w:sz w:val="22"/>
              </w:rPr>
              <w:t xml:space="preserve">Chemical </w:t>
            </w:r>
            <w:r w:rsidRPr="00DD3252">
              <w:rPr>
                <w:rFonts w:cs="Segoe UI"/>
                <w:sz w:val="22"/>
              </w:rPr>
              <w:t>Fertilizer</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11.59</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11.59</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11.82</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12.05</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10</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Machinery</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11.99</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11.99</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12.23</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12.47</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11</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Petroleum</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10.86</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10.86</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11.07</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11.30</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12</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sz w:val="22"/>
              </w:rPr>
            </w:pPr>
            <w:r w:rsidRPr="00DD3252">
              <w:rPr>
                <w:rFonts w:cs="Segoe UI"/>
                <w:sz w:val="22"/>
              </w:rPr>
              <w:t>Other industry</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10.43</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11.21</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color w:val="FF0000"/>
                <w:sz w:val="22"/>
              </w:rPr>
            </w:pPr>
            <w:r w:rsidRPr="00A16AFD">
              <w:rPr>
                <w:rFonts w:cs="Segoe UI"/>
                <w:color w:val="FF0000"/>
                <w:sz w:val="22"/>
              </w:rPr>
              <w:t>11.21</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color w:val="000000"/>
                <w:sz w:val="22"/>
              </w:rPr>
            </w:pPr>
            <w:r w:rsidRPr="00DD3252">
              <w:rPr>
                <w:rFonts w:cs="Segoe UI"/>
                <w:color w:val="000000"/>
                <w:sz w:val="22"/>
              </w:rPr>
              <w:t>11.43</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color w:val="000000"/>
                <w:sz w:val="22"/>
              </w:rPr>
            </w:pPr>
            <w:r w:rsidRPr="00DD3252">
              <w:rPr>
                <w:rFonts w:cs="Segoe UI"/>
                <w:color w:val="000000"/>
                <w:sz w:val="22"/>
              </w:rPr>
              <w:t>11.66</w:t>
            </w:r>
          </w:p>
        </w:tc>
      </w:tr>
      <w:tr w:rsidR="008B4CE7" w:rsidRPr="00DD3252"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13</w:t>
            </w:r>
          </w:p>
        </w:tc>
        <w:tc>
          <w:tcPr>
            <w:tcW w:w="1842" w:type="pct"/>
            <w:tcBorders>
              <w:top w:val="nil"/>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bCs/>
                <w:sz w:val="22"/>
              </w:rPr>
            </w:pPr>
            <w:r w:rsidRPr="00DD3252">
              <w:rPr>
                <w:rFonts w:cs="Segoe UI"/>
                <w:b/>
                <w:bCs/>
                <w:sz w:val="22"/>
              </w:rPr>
              <w:t>Construction</w:t>
            </w:r>
          </w:p>
        </w:tc>
        <w:tc>
          <w:tcPr>
            <w:tcW w:w="512"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color w:val="000000"/>
                <w:sz w:val="22"/>
              </w:rPr>
            </w:pPr>
            <w:r w:rsidRPr="00DD3252">
              <w:rPr>
                <w:rFonts w:cs="Segoe UI"/>
                <w:b/>
                <w:color w:val="000000"/>
                <w:sz w:val="22"/>
              </w:rPr>
              <w:t>8.87</w:t>
            </w:r>
          </w:p>
        </w:tc>
        <w:tc>
          <w:tcPr>
            <w:tcW w:w="554"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color w:val="FF0000"/>
                <w:sz w:val="22"/>
              </w:rPr>
            </w:pPr>
            <w:r w:rsidRPr="00A16AFD">
              <w:rPr>
                <w:rFonts w:cs="Segoe UI"/>
                <w:b/>
                <w:color w:val="FF0000"/>
                <w:sz w:val="22"/>
              </w:rPr>
              <w:t>9.94</w:t>
            </w:r>
          </w:p>
        </w:tc>
        <w:tc>
          <w:tcPr>
            <w:tcW w:w="555" w:type="pct"/>
            <w:tcBorders>
              <w:top w:val="nil"/>
              <w:left w:val="nil"/>
              <w:bottom w:val="single" w:sz="4" w:space="0" w:color="auto"/>
              <w:right w:val="single" w:sz="4" w:space="0" w:color="auto"/>
            </w:tcBorders>
            <w:vAlign w:val="bottom"/>
          </w:tcPr>
          <w:p w:rsidR="008B4CE7" w:rsidRPr="00A16AFD" w:rsidRDefault="008B4CE7" w:rsidP="00F0207D">
            <w:pPr>
              <w:spacing w:after="0"/>
              <w:jc w:val="right"/>
              <w:rPr>
                <w:rFonts w:cs="Segoe UI"/>
                <w:b/>
                <w:color w:val="FF0000"/>
                <w:sz w:val="22"/>
              </w:rPr>
            </w:pPr>
            <w:r w:rsidRPr="00A16AFD">
              <w:rPr>
                <w:rFonts w:cs="Segoe UI"/>
                <w:b/>
                <w:color w:val="FF0000"/>
                <w:sz w:val="22"/>
              </w:rPr>
              <w:t>9.94</w:t>
            </w:r>
          </w:p>
        </w:tc>
        <w:tc>
          <w:tcPr>
            <w:tcW w:w="570" w:type="pct"/>
            <w:tcBorders>
              <w:top w:val="nil"/>
              <w:left w:val="nil"/>
              <w:bottom w:val="single" w:sz="4" w:space="0" w:color="auto"/>
              <w:right w:val="single" w:sz="4" w:space="0" w:color="auto"/>
            </w:tcBorders>
            <w:vAlign w:val="bottom"/>
          </w:tcPr>
          <w:p w:rsidR="008B4CE7" w:rsidRPr="00DD3252" w:rsidRDefault="008B4CE7" w:rsidP="00F0207D">
            <w:pPr>
              <w:spacing w:after="0"/>
              <w:jc w:val="right"/>
              <w:rPr>
                <w:rFonts w:cs="Segoe UI"/>
                <w:b/>
                <w:color w:val="000000"/>
                <w:sz w:val="22"/>
              </w:rPr>
            </w:pPr>
            <w:r w:rsidRPr="00DD3252">
              <w:rPr>
                <w:rFonts w:cs="Segoe UI"/>
                <w:b/>
                <w:color w:val="000000"/>
                <w:sz w:val="22"/>
              </w:rPr>
              <w:t>10.24</w:t>
            </w:r>
          </w:p>
        </w:tc>
        <w:tc>
          <w:tcPr>
            <w:tcW w:w="629" w:type="pct"/>
            <w:tcBorders>
              <w:top w:val="nil"/>
              <w:left w:val="nil"/>
              <w:bottom w:val="single" w:sz="4" w:space="0" w:color="auto"/>
              <w:right w:val="single" w:sz="4" w:space="0" w:color="auto"/>
            </w:tcBorders>
          </w:tcPr>
          <w:p w:rsidR="008B4CE7" w:rsidRPr="00DD3252" w:rsidRDefault="008B4CE7" w:rsidP="00F0207D">
            <w:pPr>
              <w:spacing w:after="0"/>
              <w:jc w:val="right"/>
              <w:rPr>
                <w:rFonts w:cs="Segoe UI"/>
                <w:b/>
                <w:color w:val="000000"/>
                <w:sz w:val="22"/>
              </w:rPr>
            </w:pPr>
            <w:r w:rsidRPr="00DD3252">
              <w:rPr>
                <w:rFonts w:cs="Segoe UI"/>
                <w:b/>
                <w:color w:val="000000"/>
                <w:sz w:val="22"/>
              </w:rPr>
              <w:t>10.24</w:t>
            </w:r>
          </w:p>
        </w:tc>
      </w:tr>
      <w:tr w:rsidR="008B4CE7" w:rsidRPr="00DD3252"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r w:rsidRPr="00DD3252">
              <w:rPr>
                <w:rFonts w:cs="Segoe UI"/>
                <w:sz w:val="22"/>
              </w:rPr>
              <w:t>14</w:t>
            </w:r>
          </w:p>
        </w:tc>
        <w:tc>
          <w:tcPr>
            <w:tcW w:w="1842" w:type="pct"/>
            <w:tcBorders>
              <w:top w:val="single" w:sz="4" w:space="0" w:color="auto"/>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bCs/>
                <w:sz w:val="22"/>
              </w:rPr>
            </w:pPr>
            <w:r w:rsidRPr="00DD3252">
              <w:rPr>
                <w:rFonts w:cs="Segoe UI"/>
                <w:b/>
                <w:bCs/>
                <w:sz w:val="22"/>
              </w:rPr>
              <w:t>Services</w:t>
            </w:r>
          </w:p>
        </w:tc>
        <w:tc>
          <w:tcPr>
            <w:tcW w:w="512" w:type="pct"/>
            <w:tcBorders>
              <w:top w:val="single" w:sz="4" w:space="0" w:color="auto"/>
              <w:left w:val="nil"/>
              <w:bottom w:val="single" w:sz="4" w:space="0" w:color="auto"/>
              <w:right w:val="single" w:sz="4" w:space="0" w:color="auto"/>
            </w:tcBorders>
            <w:vAlign w:val="bottom"/>
          </w:tcPr>
          <w:p w:rsidR="008B4CE7" w:rsidRPr="00DD3252" w:rsidRDefault="008B4CE7" w:rsidP="00F0207D">
            <w:pPr>
              <w:spacing w:after="0"/>
              <w:jc w:val="right"/>
              <w:rPr>
                <w:rFonts w:cs="Segoe UI"/>
                <w:b/>
                <w:color w:val="000000"/>
                <w:sz w:val="22"/>
              </w:rPr>
            </w:pPr>
            <w:r w:rsidRPr="00DD3252">
              <w:rPr>
                <w:rFonts w:cs="Segoe UI"/>
                <w:b/>
                <w:color w:val="000000"/>
                <w:sz w:val="22"/>
              </w:rPr>
              <w:t>6.82</w:t>
            </w:r>
          </w:p>
        </w:tc>
        <w:tc>
          <w:tcPr>
            <w:tcW w:w="554" w:type="pct"/>
            <w:tcBorders>
              <w:top w:val="single" w:sz="4" w:space="0" w:color="auto"/>
              <w:left w:val="nil"/>
              <w:bottom w:val="single" w:sz="4" w:space="0" w:color="auto"/>
              <w:right w:val="single" w:sz="4" w:space="0" w:color="auto"/>
            </w:tcBorders>
            <w:vAlign w:val="bottom"/>
          </w:tcPr>
          <w:p w:rsidR="008B4CE7" w:rsidRPr="00A16AFD" w:rsidRDefault="008B4CE7" w:rsidP="00F0207D">
            <w:pPr>
              <w:spacing w:after="0"/>
              <w:jc w:val="right"/>
              <w:rPr>
                <w:rFonts w:cs="Segoe UI"/>
                <w:b/>
                <w:color w:val="FF0000"/>
                <w:sz w:val="22"/>
              </w:rPr>
            </w:pPr>
            <w:r w:rsidRPr="00A16AFD">
              <w:rPr>
                <w:rFonts w:cs="Segoe UI"/>
                <w:b/>
                <w:color w:val="FF0000"/>
                <w:sz w:val="22"/>
              </w:rPr>
              <w:t>7.87</w:t>
            </w:r>
          </w:p>
        </w:tc>
        <w:tc>
          <w:tcPr>
            <w:tcW w:w="555" w:type="pct"/>
            <w:tcBorders>
              <w:top w:val="single" w:sz="4" w:space="0" w:color="auto"/>
              <w:left w:val="nil"/>
              <w:bottom w:val="single" w:sz="4" w:space="0" w:color="auto"/>
              <w:right w:val="single" w:sz="4" w:space="0" w:color="auto"/>
            </w:tcBorders>
            <w:vAlign w:val="bottom"/>
          </w:tcPr>
          <w:p w:rsidR="008B4CE7" w:rsidRPr="00A16AFD" w:rsidRDefault="008B4CE7" w:rsidP="00F0207D">
            <w:pPr>
              <w:spacing w:after="0"/>
              <w:jc w:val="right"/>
              <w:rPr>
                <w:rFonts w:cs="Segoe UI"/>
                <w:b/>
                <w:color w:val="FF0000"/>
                <w:sz w:val="22"/>
              </w:rPr>
            </w:pPr>
            <w:r w:rsidRPr="00A16AFD">
              <w:rPr>
                <w:rFonts w:cs="Segoe UI"/>
                <w:b/>
                <w:color w:val="FF0000"/>
                <w:sz w:val="22"/>
              </w:rPr>
              <w:t>7.87</w:t>
            </w:r>
          </w:p>
        </w:tc>
        <w:tc>
          <w:tcPr>
            <w:tcW w:w="570" w:type="pct"/>
            <w:tcBorders>
              <w:top w:val="single" w:sz="4" w:space="0" w:color="auto"/>
              <w:left w:val="nil"/>
              <w:bottom w:val="single" w:sz="4" w:space="0" w:color="auto"/>
              <w:right w:val="single" w:sz="4" w:space="0" w:color="auto"/>
            </w:tcBorders>
            <w:vAlign w:val="bottom"/>
          </w:tcPr>
          <w:p w:rsidR="008B4CE7" w:rsidRPr="00DD3252" w:rsidRDefault="008B4CE7" w:rsidP="00F0207D">
            <w:pPr>
              <w:spacing w:after="0"/>
              <w:jc w:val="right"/>
              <w:rPr>
                <w:rFonts w:cs="Segoe UI"/>
                <w:b/>
                <w:color w:val="000000"/>
                <w:sz w:val="22"/>
              </w:rPr>
            </w:pPr>
            <w:r w:rsidRPr="00DD3252">
              <w:rPr>
                <w:rFonts w:cs="Segoe UI"/>
                <w:b/>
                <w:color w:val="000000"/>
                <w:sz w:val="22"/>
              </w:rPr>
              <w:t>8.11</w:t>
            </w:r>
          </w:p>
        </w:tc>
        <w:tc>
          <w:tcPr>
            <w:tcW w:w="629" w:type="pct"/>
            <w:tcBorders>
              <w:top w:val="single" w:sz="4" w:space="0" w:color="auto"/>
              <w:left w:val="nil"/>
              <w:bottom w:val="single" w:sz="4" w:space="0" w:color="auto"/>
              <w:right w:val="single" w:sz="4" w:space="0" w:color="auto"/>
            </w:tcBorders>
          </w:tcPr>
          <w:p w:rsidR="008B4CE7" w:rsidRPr="00DD3252" w:rsidRDefault="008B4CE7" w:rsidP="00F0207D">
            <w:pPr>
              <w:spacing w:after="0"/>
              <w:jc w:val="right"/>
              <w:rPr>
                <w:rFonts w:cs="Segoe UI"/>
                <w:b/>
                <w:color w:val="000000"/>
                <w:sz w:val="22"/>
              </w:rPr>
            </w:pPr>
            <w:r w:rsidRPr="00DD3252">
              <w:rPr>
                <w:rFonts w:cs="Segoe UI"/>
                <w:b/>
                <w:color w:val="000000"/>
                <w:sz w:val="22"/>
              </w:rPr>
              <w:t>8.11</w:t>
            </w:r>
          </w:p>
        </w:tc>
      </w:tr>
      <w:tr w:rsidR="008B4CE7" w:rsidRPr="00DD3252"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DD3252" w:rsidRDefault="008B4CE7" w:rsidP="00F0207D">
            <w:pPr>
              <w:spacing w:after="0"/>
              <w:jc w:val="right"/>
              <w:rPr>
                <w:rFonts w:cs="Segoe UI"/>
                <w:sz w:val="22"/>
              </w:rPr>
            </w:pPr>
          </w:p>
        </w:tc>
        <w:tc>
          <w:tcPr>
            <w:tcW w:w="1842" w:type="pct"/>
            <w:tcBorders>
              <w:top w:val="single" w:sz="4" w:space="0" w:color="auto"/>
              <w:left w:val="nil"/>
              <w:bottom w:val="single" w:sz="4" w:space="0" w:color="auto"/>
              <w:right w:val="single" w:sz="4" w:space="0" w:color="auto"/>
            </w:tcBorders>
            <w:shd w:val="clear" w:color="auto" w:fill="auto"/>
            <w:noWrap/>
            <w:vAlign w:val="bottom"/>
            <w:hideMark/>
          </w:tcPr>
          <w:p w:rsidR="008B4CE7" w:rsidRPr="00DD3252" w:rsidRDefault="008B4CE7" w:rsidP="00F0207D">
            <w:pPr>
              <w:spacing w:after="0"/>
              <w:rPr>
                <w:rFonts w:cs="Segoe UI"/>
                <w:b/>
                <w:bCs/>
                <w:sz w:val="22"/>
              </w:rPr>
            </w:pPr>
            <w:r w:rsidRPr="00DD3252">
              <w:rPr>
                <w:rFonts w:cs="Segoe UI"/>
                <w:b/>
                <w:bCs/>
                <w:sz w:val="22"/>
              </w:rPr>
              <w:t xml:space="preserve">Overall GDP Growth </w:t>
            </w:r>
          </w:p>
        </w:tc>
        <w:tc>
          <w:tcPr>
            <w:tcW w:w="512" w:type="pct"/>
            <w:tcBorders>
              <w:top w:val="single" w:sz="4" w:space="0" w:color="auto"/>
              <w:left w:val="nil"/>
              <w:bottom w:val="single" w:sz="4" w:space="0" w:color="auto"/>
              <w:right w:val="single" w:sz="4" w:space="0" w:color="auto"/>
            </w:tcBorders>
            <w:vAlign w:val="bottom"/>
          </w:tcPr>
          <w:p w:rsidR="008B4CE7" w:rsidRPr="00DD3252" w:rsidRDefault="008B4CE7" w:rsidP="00F0207D">
            <w:pPr>
              <w:spacing w:after="0"/>
              <w:jc w:val="right"/>
              <w:rPr>
                <w:rFonts w:cs="Segoe UI"/>
                <w:b/>
                <w:color w:val="000000"/>
                <w:sz w:val="22"/>
              </w:rPr>
            </w:pPr>
            <w:r w:rsidRPr="00DD3252">
              <w:rPr>
                <w:rFonts w:cs="Segoe UI"/>
                <w:b/>
                <w:color w:val="000000"/>
                <w:sz w:val="22"/>
              </w:rPr>
              <w:t>7.1</w:t>
            </w:r>
          </w:p>
        </w:tc>
        <w:tc>
          <w:tcPr>
            <w:tcW w:w="554" w:type="pct"/>
            <w:tcBorders>
              <w:top w:val="single" w:sz="4" w:space="0" w:color="auto"/>
              <w:left w:val="nil"/>
              <w:bottom w:val="single" w:sz="4" w:space="0" w:color="auto"/>
              <w:right w:val="single" w:sz="4" w:space="0" w:color="auto"/>
            </w:tcBorders>
            <w:vAlign w:val="bottom"/>
          </w:tcPr>
          <w:p w:rsidR="008B4CE7" w:rsidRPr="00A16AFD" w:rsidRDefault="008B4CE7" w:rsidP="00F0207D">
            <w:pPr>
              <w:spacing w:after="0"/>
              <w:jc w:val="right"/>
              <w:rPr>
                <w:rFonts w:cs="Segoe UI"/>
                <w:b/>
                <w:color w:val="FF0000"/>
                <w:sz w:val="22"/>
              </w:rPr>
            </w:pPr>
            <w:r w:rsidRPr="00A16AFD">
              <w:rPr>
                <w:rFonts w:cs="Segoe UI"/>
                <w:b/>
                <w:color w:val="FF0000"/>
                <w:sz w:val="22"/>
              </w:rPr>
              <w:t>8.0</w:t>
            </w:r>
          </w:p>
        </w:tc>
        <w:tc>
          <w:tcPr>
            <w:tcW w:w="555" w:type="pct"/>
            <w:tcBorders>
              <w:top w:val="single" w:sz="4" w:space="0" w:color="auto"/>
              <w:left w:val="nil"/>
              <w:bottom w:val="single" w:sz="4" w:space="0" w:color="auto"/>
              <w:right w:val="single" w:sz="4" w:space="0" w:color="auto"/>
            </w:tcBorders>
            <w:vAlign w:val="bottom"/>
          </w:tcPr>
          <w:p w:rsidR="008B4CE7" w:rsidRPr="00A16AFD" w:rsidRDefault="008B4CE7" w:rsidP="00F0207D">
            <w:pPr>
              <w:spacing w:after="0"/>
              <w:jc w:val="right"/>
              <w:rPr>
                <w:rFonts w:cs="Segoe UI"/>
                <w:b/>
                <w:color w:val="FF0000"/>
                <w:sz w:val="22"/>
              </w:rPr>
            </w:pPr>
            <w:r w:rsidRPr="00A16AFD">
              <w:rPr>
                <w:rFonts w:cs="Segoe UI"/>
                <w:b/>
                <w:color w:val="FF0000"/>
                <w:sz w:val="22"/>
              </w:rPr>
              <w:t>8.0</w:t>
            </w:r>
          </w:p>
        </w:tc>
        <w:tc>
          <w:tcPr>
            <w:tcW w:w="570" w:type="pct"/>
            <w:tcBorders>
              <w:top w:val="single" w:sz="4" w:space="0" w:color="auto"/>
              <w:left w:val="nil"/>
              <w:bottom w:val="single" w:sz="4" w:space="0" w:color="auto"/>
              <w:right w:val="single" w:sz="4" w:space="0" w:color="auto"/>
            </w:tcBorders>
            <w:vAlign w:val="bottom"/>
          </w:tcPr>
          <w:p w:rsidR="008B4CE7" w:rsidRPr="00DD3252" w:rsidRDefault="008B4CE7" w:rsidP="00F0207D">
            <w:pPr>
              <w:spacing w:after="0"/>
              <w:jc w:val="right"/>
              <w:rPr>
                <w:rFonts w:cs="Segoe UI"/>
                <w:b/>
                <w:color w:val="000000"/>
                <w:sz w:val="22"/>
              </w:rPr>
            </w:pPr>
            <w:r w:rsidRPr="00DD3252">
              <w:rPr>
                <w:rFonts w:cs="Segoe UI"/>
                <w:b/>
                <w:color w:val="000000"/>
                <w:sz w:val="22"/>
              </w:rPr>
              <w:t>8.2</w:t>
            </w:r>
          </w:p>
        </w:tc>
        <w:tc>
          <w:tcPr>
            <w:tcW w:w="629" w:type="pct"/>
            <w:tcBorders>
              <w:top w:val="single" w:sz="4" w:space="0" w:color="auto"/>
              <w:left w:val="nil"/>
              <w:bottom w:val="single" w:sz="4" w:space="0" w:color="auto"/>
              <w:right w:val="single" w:sz="4" w:space="0" w:color="auto"/>
            </w:tcBorders>
          </w:tcPr>
          <w:p w:rsidR="008B4CE7" w:rsidRPr="00DD3252" w:rsidRDefault="008B4CE7" w:rsidP="00F0207D">
            <w:pPr>
              <w:spacing w:after="0"/>
              <w:jc w:val="right"/>
              <w:rPr>
                <w:rFonts w:cs="Segoe UI"/>
                <w:b/>
                <w:color w:val="000000"/>
                <w:sz w:val="22"/>
              </w:rPr>
            </w:pPr>
            <w:r w:rsidRPr="00DD3252">
              <w:rPr>
                <w:rFonts w:cs="Segoe UI"/>
                <w:b/>
                <w:color w:val="000000"/>
                <w:sz w:val="22"/>
              </w:rPr>
              <w:t>8.4</w:t>
            </w:r>
          </w:p>
        </w:tc>
      </w:tr>
    </w:tbl>
    <w:p w:rsidR="008B4CE7" w:rsidRPr="00B935F1" w:rsidRDefault="008B4CE7" w:rsidP="008B4CE7">
      <w:pPr>
        <w:rPr>
          <w:rFonts w:cs="Times New Roman"/>
          <w:b/>
          <w:i/>
          <w:szCs w:val="24"/>
        </w:rPr>
      </w:pPr>
      <w:r w:rsidRPr="00B935F1">
        <w:rPr>
          <w:rFonts w:cs="Times New Roman"/>
          <w:b/>
          <w:i/>
          <w:szCs w:val="24"/>
        </w:rPr>
        <w:t xml:space="preserve">Source: </w:t>
      </w:r>
      <w:r>
        <w:rPr>
          <w:rFonts w:cs="Times New Roman"/>
          <w:szCs w:val="24"/>
        </w:rPr>
        <w:t xml:space="preserve">BDP 2100 </w:t>
      </w:r>
      <w:r w:rsidRPr="00B935F1">
        <w:rPr>
          <w:rFonts w:cs="Times New Roman"/>
          <w:b/>
          <w:i/>
          <w:szCs w:val="24"/>
        </w:rPr>
        <w:t xml:space="preserve"> Projections</w:t>
      </w:r>
    </w:p>
    <w:p w:rsidR="008B4CE7" w:rsidRPr="00B935F1" w:rsidRDefault="008B4CE7" w:rsidP="008B4CE7">
      <w:pPr>
        <w:pStyle w:val="Heading3"/>
        <w:tabs>
          <w:tab w:val="num" w:pos="720"/>
        </w:tabs>
        <w:spacing w:before="120" w:after="120"/>
        <w:ind w:left="0" w:firstLine="0"/>
      </w:pPr>
      <w:r w:rsidRPr="00B935F1">
        <w:lastRenderedPageBreak/>
        <w:t xml:space="preserve">Sectoral Shares </w:t>
      </w:r>
      <w:bookmarkEnd w:id="472"/>
    </w:p>
    <w:p w:rsidR="008B4CE7" w:rsidRPr="00B935F1" w:rsidRDefault="008B4CE7" w:rsidP="008B4CE7">
      <w:pPr>
        <w:rPr>
          <w:rFonts w:cs="Times New Roman"/>
          <w:szCs w:val="24"/>
        </w:rPr>
      </w:pPr>
      <w:r w:rsidRPr="00B935F1">
        <w:rPr>
          <w:rFonts w:cs="Times New Roman"/>
          <w:szCs w:val="24"/>
        </w:rPr>
        <w:t>The sectoral composition of GDP will change in both the policy options but the GDP contribution of agriculture will fall less dramatically in the BAU policy option despite the losses to agriculture from natural hazards and climate change.  Along with the decline in agriculture growth, the growth of manufacturing and construction will also fall in the BAU policy option.  As such the pace of structural transformation will be less dramatic.  These sectoral results of the BAU policy option will be reversed in the  policy option that assumes the adoption and implementation of the Delta Plan. While the losses to agriculture from the natural hazards and climate cha</w:t>
      </w:r>
      <w:r>
        <w:rPr>
          <w:rFonts w:cs="Times New Roman"/>
          <w:szCs w:val="24"/>
        </w:rPr>
        <w:t>nge factors are reversed in the</w:t>
      </w:r>
      <w:r w:rsidRPr="00B935F1">
        <w:rPr>
          <w:rFonts w:cs="Times New Roman"/>
          <w:szCs w:val="24"/>
        </w:rPr>
        <w:t xml:space="preserve"> policy option, the manufacturing and construction sectors are to secure more robust growth.</w:t>
      </w:r>
    </w:p>
    <w:p w:rsidR="008B4CE7" w:rsidRPr="00DD3252" w:rsidRDefault="008B4CE7" w:rsidP="008B4CE7">
      <w:pPr>
        <w:pStyle w:val="Heading4"/>
        <w:spacing w:after="0"/>
      </w:pPr>
      <w:bookmarkStart w:id="476" w:name="_Toc460497004"/>
      <w:bookmarkStart w:id="477" w:name="_Toc464328914"/>
      <w:r w:rsidRPr="00DD3252">
        <w:t xml:space="preserve">Table 5.6: Sectoral GDP Shares (BAU </w:t>
      </w:r>
      <w:r>
        <w:t>p</w:t>
      </w:r>
      <w:r w:rsidRPr="00DD3252">
        <w:t>olicy option)</w:t>
      </w:r>
      <w:bookmarkEnd w:id="476"/>
      <w:bookmarkEnd w:id="477"/>
    </w:p>
    <w:tbl>
      <w:tblPr>
        <w:tblW w:w="5000" w:type="pct"/>
        <w:tblLook w:val="04A0"/>
      </w:tblPr>
      <w:tblGrid>
        <w:gridCol w:w="673"/>
        <w:gridCol w:w="3557"/>
        <w:gridCol w:w="1002"/>
        <w:gridCol w:w="1086"/>
        <w:gridCol w:w="1086"/>
        <w:gridCol w:w="1086"/>
        <w:gridCol w:w="1086"/>
      </w:tblGrid>
      <w:tr w:rsidR="008B4CE7" w:rsidRPr="00B935F1" w:rsidTr="00F0207D">
        <w:trPr>
          <w:trHeight w:val="144"/>
          <w:tblHeader/>
        </w:trPr>
        <w:tc>
          <w:tcPr>
            <w:tcW w:w="352"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szCs w:val="24"/>
              </w:rPr>
            </w:pPr>
          </w:p>
        </w:tc>
        <w:tc>
          <w:tcPr>
            <w:tcW w:w="1857"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b/>
                <w:bCs/>
                <w:szCs w:val="24"/>
              </w:rPr>
            </w:pPr>
          </w:p>
        </w:tc>
        <w:tc>
          <w:tcPr>
            <w:tcW w:w="2791" w:type="pct"/>
            <w:gridSpan w:val="5"/>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center"/>
              <w:rPr>
                <w:rFonts w:cs="Segoe UI"/>
                <w:b/>
                <w:bCs/>
                <w:szCs w:val="24"/>
              </w:rPr>
            </w:pPr>
            <w:r w:rsidRPr="00B935F1">
              <w:rPr>
                <w:rFonts w:cs="Segoe UI"/>
                <w:b/>
                <w:bCs/>
                <w:szCs w:val="24"/>
              </w:rPr>
              <w:t>Share (%)</w:t>
            </w:r>
          </w:p>
        </w:tc>
      </w:tr>
      <w:tr w:rsidR="008B4CE7" w:rsidRPr="00B935F1" w:rsidTr="00F0207D">
        <w:trPr>
          <w:trHeight w:val="144"/>
          <w:tblHeader/>
        </w:trPr>
        <w:tc>
          <w:tcPr>
            <w:tcW w:w="352"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szCs w:val="24"/>
              </w:rPr>
            </w:pPr>
            <w:r w:rsidRPr="00B935F1">
              <w:rPr>
                <w:rFonts w:cs="Segoe UI"/>
                <w:szCs w:val="24"/>
              </w:rPr>
              <w:t> </w:t>
            </w:r>
          </w:p>
        </w:tc>
        <w:tc>
          <w:tcPr>
            <w:tcW w:w="1857"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b/>
                <w:bCs/>
                <w:szCs w:val="24"/>
              </w:rPr>
            </w:pPr>
            <w:r w:rsidRPr="00B935F1">
              <w:rPr>
                <w:rFonts w:cs="Segoe UI"/>
                <w:b/>
                <w:bCs/>
                <w:szCs w:val="24"/>
              </w:rPr>
              <w:t>Sectors</w:t>
            </w:r>
          </w:p>
        </w:tc>
        <w:tc>
          <w:tcPr>
            <w:tcW w:w="523"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2016</w:t>
            </w:r>
          </w:p>
        </w:tc>
        <w:tc>
          <w:tcPr>
            <w:tcW w:w="567"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2020</w:t>
            </w:r>
          </w:p>
        </w:tc>
        <w:tc>
          <w:tcPr>
            <w:tcW w:w="567"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2021</w:t>
            </w:r>
          </w:p>
        </w:tc>
        <w:tc>
          <w:tcPr>
            <w:tcW w:w="567"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2031</w:t>
            </w:r>
          </w:p>
        </w:tc>
        <w:tc>
          <w:tcPr>
            <w:tcW w:w="567"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2041</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szCs w:val="24"/>
              </w:rPr>
            </w:pPr>
            <w:r w:rsidRPr="00B935F1">
              <w:rPr>
                <w:rFonts w:cs="Segoe UI"/>
                <w:b/>
                <w:szCs w:val="24"/>
              </w:rPr>
              <w:t>Agriculture</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15.3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13.2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12.7</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8.5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6.0</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Cereal Crop</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5.1</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3.8</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2</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Commercial crop</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2.7</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0.5</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3</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Livestock-poultry-fishing</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4.1</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3.3</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4</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Forestry</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1.7</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5</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Other Agriculture</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0.1</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szCs w:val="24"/>
              </w:rPr>
            </w:pPr>
            <w:r w:rsidRPr="00B935F1">
              <w:rPr>
                <w:rFonts w:cs="Segoe UI"/>
                <w:b/>
                <w:szCs w:val="24"/>
              </w:rPr>
              <w:t>Manufacturing</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22.5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25.8</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26.6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35.4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43.8</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6</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Other Food</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6.4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6.6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8.8</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10.9</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7</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Leather</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0.8</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8</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Textile-clothing</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8.9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14.3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17.9</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9</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Chemical-Fertilizer</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0.8</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1.4</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10</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Machinery</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2.7</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3.1</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5.3</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11</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Petroleum</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1.9</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12</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Other industry</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5.6</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13</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Construction</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7.3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7.4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7.4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7.4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7.0</w:t>
            </w:r>
          </w:p>
        </w:tc>
      </w:tr>
      <w:tr w:rsidR="008B4CE7" w:rsidRPr="00B935F1" w:rsidTr="00F0207D">
        <w:trPr>
          <w:trHeight w:val="144"/>
        </w:trPr>
        <w:tc>
          <w:tcPr>
            <w:tcW w:w="352"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14</w:t>
            </w:r>
          </w:p>
        </w:tc>
        <w:tc>
          <w:tcPr>
            <w:tcW w:w="1857"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Services</w:t>
            </w:r>
          </w:p>
        </w:tc>
        <w:tc>
          <w:tcPr>
            <w:tcW w:w="52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54.9</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53.6</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53.3</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48.7</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43.1</w:t>
            </w:r>
          </w:p>
        </w:tc>
      </w:tr>
      <w:tr w:rsidR="008B4CE7" w:rsidRPr="00B935F1" w:rsidTr="00F0207D">
        <w:trPr>
          <w:trHeight w:val="144"/>
        </w:trPr>
        <w:tc>
          <w:tcPr>
            <w:tcW w:w="352"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57"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 xml:space="preserve">Total </w:t>
            </w:r>
          </w:p>
        </w:tc>
        <w:tc>
          <w:tcPr>
            <w:tcW w:w="52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100.0</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100.0</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100.0</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100.0</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100.0</w:t>
            </w:r>
          </w:p>
        </w:tc>
      </w:tr>
    </w:tbl>
    <w:p w:rsidR="008B4CE7" w:rsidRPr="00B935F1" w:rsidRDefault="008B4CE7" w:rsidP="008B4CE7">
      <w:pPr>
        <w:rPr>
          <w:rFonts w:cs="Times New Roman"/>
          <w:b/>
          <w:i/>
          <w:szCs w:val="24"/>
        </w:rPr>
      </w:pPr>
      <w:r w:rsidRPr="00B935F1">
        <w:rPr>
          <w:rFonts w:cs="Times New Roman"/>
          <w:b/>
          <w:i/>
          <w:szCs w:val="24"/>
        </w:rPr>
        <w:t xml:space="preserve">Source: </w:t>
      </w:r>
      <w:r>
        <w:rPr>
          <w:rFonts w:cs="Times New Roman"/>
          <w:szCs w:val="24"/>
        </w:rPr>
        <w:t xml:space="preserve">BDP 2100 </w:t>
      </w:r>
      <w:r w:rsidRPr="00B935F1">
        <w:rPr>
          <w:rFonts w:cs="Times New Roman"/>
          <w:b/>
          <w:i/>
          <w:szCs w:val="24"/>
        </w:rPr>
        <w:t xml:space="preserve"> Projections</w:t>
      </w:r>
    </w:p>
    <w:p w:rsidR="008B4CE7" w:rsidRPr="00B935F1" w:rsidRDefault="008B4CE7" w:rsidP="008B4CE7">
      <w:pPr>
        <w:rPr>
          <w:rFonts w:cs="Times New Roman"/>
          <w:b/>
          <w:bCs/>
          <w:szCs w:val="24"/>
        </w:rPr>
      </w:pPr>
      <w:bookmarkStart w:id="478" w:name="_Toc460497005"/>
      <w:r w:rsidRPr="00B935F1">
        <w:rPr>
          <w:szCs w:val="24"/>
        </w:rPr>
        <w:br w:type="page"/>
      </w:r>
    </w:p>
    <w:p w:rsidR="008B4CE7" w:rsidRPr="00DD3252" w:rsidRDefault="008B4CE7" w:rsidP="008B4CE7">
      <w:pPr>
        <w:pStyle w:val="Heading4"/>
      </w:pPr>
      <w:bookmarkStart w:id="479" w:name="_Toc464328915"/>
      <w:r w:rsidRPr="00DD3252">
        <w:lastRenderedPageBreak/>
        <w:t>Table 5.7: Sectoral GDP Shares (p</w:t>
      </w:r>
      <w:r>
        <w:t>olicy</w:t>
      </w:r>
      <w:r w:rsidRPr="00DD3252">
        <w:t xml:space="preserve"> option)</w:t>
      </w:r>
      <w:bookmarkEnd w:id="478"/>
      <w:bookmarkEnd w:id="479"/>
    </w:p>
    <w:tbl>
      <w:tblPr>
        <w:tblW w:w="5000" w:type="pct"/>
        <w:tblLook w:val="04A0"/>
      </w:tblPr>
      <w:tblGrid>
        <w:gridCol w:w="673"/>
        <w:gridCol w:w="3557"/>
        <w:gridCol w:w="1002"/>
        <w:gridCol w:w="1086"/>
        <w:gridCol w:w="1086"/>
        <w:gridCol w:w="1086"/>
        <w:gridCol w:w="1086"/>
      </w:tblGrid>
      <w:tr w:rsidR="008B4CE7" w:rsidRPr="00B935F1" w:rsidTr="00F0207D">
        <w:trPr>
          <w:trHeight w:val="144"/>
          <w:tblHeader/>
        </w:trPr>
        <w:tc>
          <w:tcPr>
            <w:tcW w:w="352"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szCs w:val="24"/>
              </w:rPr>
            </w:pPr>
          </w:p>
        </w:tc>
        <w:tc>
          <w:tcPr>
            <w:tcW w:w="1857"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b/>
                <w:bCs/>
                <w:szCs w:val="24"/>
              </w:rPr>
            </w:pPr>
          </w:p>
        </w:tc>
        <w:tc>
          <w:tcPr>
            <w:tcW w:w="2791" w:type="pct"/>
            <w:gridSpan w:val="5"/>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center"/>
              <w:rPr>
                <w:rFonts w:cs="Segoe UI"/>
                <w:b/>
                <w:bCs/>
                <w:szCs w:val="24"/>
              </w:rPr>
            </w:pPr>
            <w:r w:rsidRPr="00B935F1">
              <w:rPr>
                <w:rFonts w:cs="Segoe UI"/>
                <w:b/>
                <w:bCs/>
                <w:szCs w:val="24"/>
              </w:rPr>
              <w:t>Share (%)</w:t>
            </w:r>
          </w:p>
        </w:tc>
      </w:tr>
      <w:tr w:rsidR="008B4CE7" w:rsidRPr="00B935F1" w:rsidTr="00F0207D">
        <w:trPr>
          <w:trHeight w:val="144"/>
          <w:tblHeader/>
        </w:trPr>
        <w:tc>
          <w:tcPr>
            <w:tcW w:w="352"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szCs w:val="24"/>
              </w:rPr>
            </w:pPr>
            <w:r w:rsidRPr="00B935F1">
              <w:rPr>
                <w:rFonts w:cs="Segoe UI"/>
                <w:szCs w:val="24"/>
              </w:rPr>
              <w:t> </w:t>
            </w:r>
          </w:p>
        </w:tc>
        <w:tc>
          <w:tcPr>
            <w:tcW w:w="1857"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b/>
                <w:bCs/>
                <w:szCs w:val="24"/>
              </w:rPr>
            </w:pPr>
            <w:r w:rsidRPr="00B935F1">
              <w:rPr>
                <w:rFonts w:cs="Segoe UI"/>
                <w:b/>
                <w:bCs/>
                <w:szCs w:val="24"/>
              </w:rPr>
              <w:t>Sectors</w:t>
            </w:r>
          </w:p>
        </w:tc>
        <w:tc>
          <w:tcPr>
            <w:tcW w:w="523"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2016</w:t>
            </w:r>
          </w:p>
        </w:tc>
        <w:tc>
          <w:tcPr>
            <w:tcW w:w="567"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2020</w:t>
            </w:r>
          </w:p>
        </w:tc>
        <w:tc>
          <w:tcPr>
            <w:tcW w:w="567"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2021</w:t>
            </w:r>
          </w:p>
        </w:tc>
        <w:tc>
          <w:tcPr>
            <w:tcW w:w="567"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2031</w:t>
            </w:r>
          </w:p>
        </w:tc>
        <w:tc>
          <w:tcPr>
            <w:tcW w:w="567"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2041</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szCs w:val="24"/>
              </w:rPr>
            </w:pPr>
            <w:r w:rsidRPr="00B935F1">
              <w:rPr>
                <w:rFonts w:cs="Segoe UI"/>
                <w:b/>
                <w:szCs w:val="24"/>
              </w:rPr>
              <w:t>Agriculture</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15.3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12.8</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12.2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7.6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4.7</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Cereal Crop</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5.1</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0.7</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2</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Commercial crop</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2.7</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2.1</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0.4</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3</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Livestock-poultry-fish</w:t>
            </w:r>
            <w:r>
              <w:rPr>
                <w:rFonts w:cs="Segoe UI"/>
                <w:szCs w:val="24"/>
              </w:rPr>
              <w:t>eries</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4.8</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3.0</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4</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Forestry</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1.7</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1.1</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0.7</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5</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Other Agriculture</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0.1</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szCs w:val="24"/>
              </w:rPr>
            </w:pPr>
            <w:r w:rsidRPr="00B935F1">
              <w:rPr>
                <w:rFonts w:cs="Segoe UI"/>
                <w:b/>
                <w:szCs w:val="24"/>
              </w:rPr>
              <w:t>Manufacturing</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22.5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25.3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26.1</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34.6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44.3</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6</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Other Food</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6.3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6.5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8.9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12.0</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7</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Leather</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0.5</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0.8</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8</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Textile-clothing</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8.9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10.1</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14.0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18.3</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9</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Pr>
                <w:rFonts w:cs="Segoe UI"/>
                <w:szCs w:val="24"/>
              </w:rPr>
              <w:t xml:space="preserve">Chemical </w:t>
            </w:r>
            <w:r w:rsidRPr="00B935F1">
              <w:rPr>
                <w:rFonts w:cs="Segoe UI"/>
                <w:szCs w:val="24"/>
              </w:rPr>
              <w:t>Fertilizer</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0.8</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0.9</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1.4</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10</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Machinery</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2.7</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3.1</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5.3</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11</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Petroleum</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1.6</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12</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Other industry</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3.0</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3.4</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4.2</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5.0</w:t>
            </w:r>
          </w:p>
        </w:tc>
      </w:tr>
      <w:tr w:rsidR="008B4CE7" w:rsidRPr="00B935F1" w:rsidTr="00F0207D">
        <w:trPr>
          <w:trHeight w:val="144"/>
        </w:trPr>
        <w:tc>
          <w:tcPr>
            <w:tcW w:w="352"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13</w:t>
            </w:r>
          </w:p>
        </w:tc>
        <w:tc>
          <w:tcPr>
            <w:tcW w:w="1857"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Construction</w:t>
            </w:r>
          </w:p>
        </w:tc>
        <w:tc>
          <w:tcPr>
            <w:tcW w:w="523"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7.3</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7.7</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7.8</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8.6</w:t>
            </w:r>
          </w:p>
        </w:tc>
        <w:tc>
          <w:tcPr>
            <w:tcW w:w="567"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9.0</w:t>
            </w:r>
          </w:p>
        </w:tc>
      </w:tr>
      <w:tr w:rsidR="008B4CE7" w:rsidRPr="00B935F1" w:rsidTr="00F0207D">
        <w:trPr>
          <w:trHeight w:val="144"/>
        </w:trPr>
        <w:tc>
          <w:tcPr>
            <w:tcW w:w="352"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14</w:t>
            </w:r>
          </w:p>
        </w:tc>
        <w:tc>
          <w:tcPr>
            <w:tcW w:w="1857"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Services</w:t>
            </w:r>
          </w:p>
        </w:tc>
        <w:tc>
          <w:tcPr>
            <w:tcW w:w="52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54.9</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54.2</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53.9</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49.2</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42.0</w:t>
            </w:r>
          </w:p>
        </w:tc>
      </w:tr>
      <w:tr w:rsidR="008B4CE7" w:rsidRPr="00B935F1" w:rsidTr="00F0207D">
        <w:trPr>
          <w:trHeight w:val="144"/>
        </w:trPr>
        <w:tc>
          <w:tcPr>
            <w:tcW w:w="352"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57"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 xml:space="preserve">Total </w:t>
            </w:r>
          </w:p>
        </w:tc>
        <w:tc>
          <w:tcPr>
            <w:tcW w:w="52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w:t>
            </w:r>
          </w:p>
        </w:tc>
        <w:tc>
          <w:tcPr>
            <w:tcW w:w="567"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w:t>
            </w:r>
          </w:p>
        </w:tc>
      </w:tr>
    </w:tbl>
    <w:p w:rsidR="008B4CE7" w:rsidRPr="00B935F1" w:rsidRDefault="008B4CE7" w:rsidP="008B4CE7">
      <w:pPr>
        <w:rPr>
          <w:rFonts w:cs="Times New Roman"/>
          <w:b/>
          <w:i/>
          <w:szCs w:val="24"/>
        </w:rPr>
      </w:pPr>
      <w:r w:rsidRPr="00B935F1">
        <w:rPr>
          <w:rFonts w:cs="Times New Roman"/>
          <w:b/>
          <w:i/>
          <w:szCs w:val="24"/>
        </w:rPr>
        <w:t xml:space="preserve">Source: </w:t>
      </w:r>
      <w:r>
        <w:rPr>
          <w:rFonts w:cs="Times New Roman"/>
          <w:szCs w:val="24"/>
        </w:rPr>
        <w:t xml:space="preserve">BDP 2100 </w:t>
      </w:r>
      <w:r w:rsidRPr="00B935F1">
        <w:rPr>
          <w:rFonts w:cs="Times New Roman"/>
          <w:b/>
          <w:i/>
          <w:szCs w:val="24"/>
        </w:rPr>
        <w:t xml:space="preserve"> Projections </w:t>
      </w:r>
    </w:p>
    <w:p w:rsidR="008B4CE7" w:rsidRPr="00B935F1" w:rsidRDefault="008B4CE7" w:rsidP="008B4CE7">
      <w:pPr>
        <w:pStyle w:val="Heading3"/>
        <w:tabs>
          <w:tab w:val="num" w:pos="720"/>
        </w:tabs>
        <w:spacing w:before="120" w:after="120"/>
        <w:ind w:left="0" w:firstLine="0"/>
      </w:pPr>
      <w:bookmarkStart w:id="480" w:name="_Toc416301336"/>
      <w:r w:rsidRPr="00B935F1">
        <w:t>Sectoral Investment Shares</w:t>
      </w:r>
      <w:bookmarkEnd w:id="480"/>
    </w:p>
    <w:p w:rsidR="008B4CE7" w:rsidRPr="00DD3252" w:rsidRDefault="008B4CE7" w:rsidP="008B4CE7">
      <w:pPr>
        <w:rPr>
          <w:rFonts w:cs="Times New Roman"/>
          <w:bCs/>
          <w:i/>
          <w:iCs/>
          <w:szCs w:val="24"/>
        </w:rPr>
      </w:pPr>
      <w:r w:rsidRPr="00A16AFD">
        <w:rPr>
          <w:szCs w:val="24"/>
        </w:rPr>
        <w:t xml:space="preserve">Total investment is projected to be slightly lower under BAU as compared with the </w:t>
      </w:r>
      <w:r w:rsidRPr="00A16AFD">
        <w:rPr>
          <w:rFonts w:cs="Times New Roman"/>
          <w:szCs w:val="24"/>
        </w:rPr>
        <w:t xml:space="preserve">BDP 2100 </w:t>
      </w:r>
      <w:r w:rsidRPr="00A16AFD">
        <w:rPr>
          <w:szCs w:val="24"/>
        </w:rPr>
        <w:t xml:space="preserve"> policy option.  But the important</w:t>
      </w:r>
      <w:r w:rsidRPr="00B935F1">
        <w:rPr>
          <w:szCs w:val="24"/>
        </w:rPr>
        <w:t xml:space="preserve"> point </w:t>
      </w:r>
      <w:r w:rsidRPr="00DD3252">
        <w:rPr>
          <w:rFonts w:cs="Times New Roman"/>
          <w:bCs/>
          <w:i/>
          <w:iCs/>
          <w:szCs w:val="24"/>
        </w:rPr>
        <w:t>is the productivity of investment in BAU is much lower than in BDP 2100.</w:t>
      </w:r>
      <w:r w:rsidRPr="00B935F1">
        <w:rPr>
          <w:szCs w:val="24"/>
        </w:rPr>
        <w:t xml:space="preserve">  Thus, with nearly similar investment rates, GDP growth is much lower under BAU as compared with </w:t>
      </w:r>
      <w:r>
        <w:rPr>
          <w:rFonts w:cs="Times New Roman"/>
          <w:szCs w:val="24"/>
        </w:rPr>
        <w:t>BDP 2100</w:t>
      </w:r>
      <w:r w:rsidRPr="00B935F1">
        <w:rPr>
          <w:szCs w:val="24"/>
        </w:rPr>
        <w:t xml:space="preserve">. This is a major policy message.  </w:t>
      </w:r>
      <w:r w:rsidRPr="00DD3252">
        <w:rPr>
          <w:rFonts w:cs="Times New Roman"/>
          <w:bCs/>
          <w:i/>
          <w:iCs/>
          <w:szCs w:val="24"/>
        </w:rPr>
        <w:t xml:space="preserve">The reason for lower efficiency of capital in BAU is firstly because of loss of output from natural disasters and climate change; and secondly the loss of capital stock that needs to be rebuilt to support the growth momentum.  </w:t>
      </w:r>
    </w:p>
    <w:p w:rsidR="008B4CE7" w:rsidRPr="00B935F1" w:rsidRDefault="008B4CE7" w:rsidP="008B4CE7">
      <w:pPr>
        <w:rPr>
          <w:szCs w:val="24"/>
        </w:rPr>
      </w:pPr>
      <w:r w:rsidRPr="00B935F1">
        <w:rPr>
          <w:rFonts w:cs="Times New Roman"/>
          <w:szCs w:val="24"/>
        </w:rPr>
        <w:t>Sectoral Investment shares are reported in Tables 5.8 to 5.9. The sectoral investment shares are broadly similar as the underlying growth strategies are the same.  What is different is that the sectoral productivity is lower in the BAU and importantly</w:t>
      </w:r>
      <w:r w:rsidRPr="00DD3252">
        <w:rPr>
          <w:rFonts w:cs="Times New Roman"/>
          <w:i/>
          <w:iCs/>
          <w:szCs w:val="24"/>
        </w:rPr>
        <w:t xml:space="preserve">, the absolute levels of investment are higher under </w:t>
      </w:r>
      <w:r>
        <w:rPr>
          <w:rFonts w:cs="Times New Roman"/>
          <w:szCs w:val="24"/>
        </w:rPr>
        <w:t>BDP 2100</w:t>
      </w:r>
      <w:r w:rsidRPr="00DD3252">
        <w:rPr>
          <w:rFonts w:cs="Times New Roman"/>
          <w:i/>
          <w:iCs/>
          <w:szCs w:val="24"/>
        </w:rPr>
        <w:t xml:space="preserve"> for all sectors because of much larger GDP value.</w:t>
      </w:r>
      <w:r w:rsidRPr="00B935F1">
        <w:rPr>
          <w:rFonts w:cs="Times New Roman"/>
          <w:szCs w:val="24"/>
        </w:rPr>
        <w:t xml:space="preserve">  In line with falling share of agricultural activities, the sector as a whole will experience decline in its share of investment in both policy options.  Similarly, the manufacturing sector will continue to attract large investment from private sector since the underlying growth strategies are similar. However, a major difference is </w:t>
      </w:r>
      <w:r>
        <w:rPr>
          <w:rFonts w:cs="Times New Roman"/>
          <w:szCs w:val="24"/>
        </w:rPr>
        <w:t xml:space="preserve">that the construction sector </w:t>
      </w:r>
      <w:r w:rsidRPr="00B935F1">
        <w:rPr>
          <w:rFonts w:cs="Times New Roman"/>
          <w:szCs w:val="24"/>
        </w:rPr>
        <w:t xml:space="preserve">attracts </w:t>
      </w:r>
      <w:r>
        <w:rPr>
          <w:rFonts w:cs="Times New Roman"/>
          <w:szCs w:val="24"/>
        </w:rPr>
        <w:t xml:space="preserve">more investment </w:t>
      </w:r>
      <w:r w:rsidRPr="00B935F1">
        <w:rPr>
          <w:rFonts w:cs="Times New Roman"/>
          <w:szCs w:val="24"/>
        </w:rPr>
        <w:t>a</w:t>
      </w:r>
      <w:r>
        <w:rPr>
          <w:rFonts w:cs="Times New Roman"/>
          <w:szCs w:val="24"/>
        </w:rPr>
        <w:t xml:space="preserve">s compared to </w:t>
      </w:r>
      <w:r w:rsidRPr="00B935F1">
        <w:rPr>
          <w:rFonts w:cs="Times New Roman"/>
          <w:szCs w:val="24"/>
        </w:rPr>
        <w:t xml:space="preserve">BAU.  This reflects large public investments in countering sea-level rise, river erosion, flood control and large scale irrigation.  </w:t>
      </w:r>
    </w:p>
    <w:p w:rsidR="008B4CE7" w:rsidRPr="00B935F1" w:rsidRDefault="008B4CE7" w:rsidP="008B4CE7">
      <w:pPr>
        <w:rPr>
          <w:rFonts w:cs="Times New Roman"/>
          <w:b/>
          <w:bCs/>
          <w:szCs w:val="24"/>
        </w:rPr>
      </w:pPr>
      <w:bookmarkStart w:id="481" w:name="_Toc460497007"/>
      <w:r w:rsidRPr="00B935F1">
        <w:rPr>
          <w:szCs w:val="24"/>
        </w:rPr>
        <w:lastRenderedPageBreak/>
        <w:br w:type="page"/>
      </w:r>
    </w:p>
    <w:p w:rsidR="008B4CE7" w:rsidRPr="007F0962" w:rsidRDefault="008B4CE7" w:rsidP="008B4CE7">
      <w:pPr>
        <w:pStyle w:val="Heading4"/>
        <w:spacing w:after="0"/>
      </w:pPr>
      <w:bookmarkStart w:id="482" w:name="_Toc464328916"/>
      <w:r w:rsidRPr="007F0962">
        <w:lastRenderedPageBreak/>
        <w:t>Table 5.8: Sectoral Investment Shares (BAU Policy option)</w:t>
      </w:r>
      <w:bookmarkEnd w:id="481"/>
      <w:bookmarkEnd w:id="482"/>
    </w:p>
    <w:tbl>
      <w:tblPr>
        <w:tblW w:w="5000" w:type="pct"/>
        <w:tblLook w:val="04A0"/>
      </w:tblPr>
      <w:tblGrid>
        <w:gridCol w:w="629"/>
        <w:gridCol w:w="3822"/>
        <w:gridCol w:w="959"/>
        <w:gridCol w:w="1041"/>
        <w:gridCol w:w="1041"/>
        <w:gridCol w:w="1042"/>
        <w:gridCol w:w="1042"/>
      </w:tblGrid>
      <w:tr w:rsidR="008B4CE7" w:rsidRPr="00B935F1" w:rsidTr="00F0207D">
        <w:trPr>
          <w:trHeight w:val="144"/>
          <w:tblHeader/>
        </w:trPr>
        <w:tc>
          <w:tcPr>
            <w:tcW w:w="349"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szCs w:val="24"/>
              </w:rPr>
            </w:pPr>
            <w:bookmarkStart w:id="483" w:name="_Toc416301337"/>
          </w:p>
        </w:tc>
        <w:tc>
          <w:tcPr>
            <w:tcW w:w="1874"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b/>
                <w:bCs/>
                <w:szCs w:val="24"/>
              </w:rPr>
            </w:pPr>
          </w:p>
        </w:tc>
        <w:tc>
          <w:tcPr>
            <w:tcW w:w="2778" w:type="pct"/>
            <w:gridSpan w:val="5"/>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center"/>
              <w:rPr>
                <w:rFonts w:cs="Segoe UI"/>
                <w:b/>
                <w:bCs/>
                <w:szCs w:val="24"/>
              </w:rPr>
            </w:pPr>
            <w:r w:rsidRPr="00B935F1">
              <w:rPr>
                <w:rFonts w:cs="Segoe UI"/>
                <w:b/>
                <w:bCs/>
                <w:szCs w:val="24"/>
              </w:rPr>
              <w:t>Share (%)</w:t>
            </w:r>
          </w:p>
        </w:tc>
      </w:tr>
      <w:tr w:rsidR="008B4CE7" w:rsidRPr="00B935F1" w:rsidTr="00F0207D">
        <w:trPr>
          <w:trHeight w:val="144"/>
          <w:tblHeader/>
        </w:trPr>
        <w:tc>
          <w:tcPr>
            <w:tcW w:w="349"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szCs w:val="24"/>
              </w:rPr>
            </w:pPr>
            <w:r w:rsidRPr="00B935F1">
              <w:rPr>
                <w:rFonts w:cs="Segoe UI"/>
                <w:szCs w:val="24"/>
              </w:rPr>
              <w:t> </w:t>
            </w:r>
          </w:p>
        </w:tc>
        <w:tc>
          <w:tcPr>
            <w:tcW w:w="1874"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rPr>
                <w:rFonts w:cs="Segoe UI"/>
                <w:b/>
                <w:bCs/>
                <w:szCs w:val="24"/>
              </w:rPr>
            </w:pPr>
            <w:r w:rsidRPr="00B935F1">
              <w:rPr>
                <w:rFonts w:cs="Segoe UI"/>
                <w:b/>
                <w:bCs/>
                <w:szCs w:val="24"/>
              </w:rPr>
              <w:t>Sectors</w:t>
            </w:r>
          </w:p>
        </w:tc>
        <w:tc>
          <w:tcPr>
            <w:tcW w:w="521"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2016</w:t>
            </w:r>
          </w:p>
        </w:tc>
        <w:tc>
          <w:tcPr>
            <w:tcW w:w="564"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2020</w:t>
            </w:r>
          </w:p>
        </w:tc>
        <w:tc>
          <w:tcPr>
            <w:tcW w:w="564"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2021</w:t>
            </w:r>
          </w:p>
        </w:tc>
        <w:tc>
          <w:tcPr>
            <w:tcW w:w="564"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2031</w:t>
            </w:r>
          </w:p>
        </w:tc>
        <w:tc>
          <w:tcPr>
            <w:tcW w:w="564"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jc w:val="right"/>
              <w:rPr>
                <w:rFonts w:cs="Segoe UI"/>
                <w:b/>
                <w:bCs/>
                <w:szCs w:val="24"/>
              </w:rPr>
            </w:pPr>
            <w:r w:rsidRPr="00B935F1">
              <w:rPr>
                <w:rFonts w:cs="Segoe UI"/>
                <w:b/>
                <w:bCs/>
                <w:szCs w:val="24"/>
              </w:rPr>
              <w:t>2041</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szCs w:val="24"/>
              </w:rPr>
            </w:pPr>
            <w:r w:rsidRPr="00B935F1">
              <w:rPr>
                <w:rFonts w:cs="Segoe UI"/>
                <w:b/>
                <w:szCs w:val="24"/>
              </w:rPr>
              <w:t>Agriculture</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5.26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5.28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5.13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3.78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2.82</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Cereal Crop</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0.28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0.21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0.20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0.09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0.05</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2</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Commercial crop</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0.17</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0.12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0.12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0.06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0.03</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3</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Livestock-poultry-fishing</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3.99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4.01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3.93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2.99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2.27</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4</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Forestry</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0.80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0.92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0.86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0.63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0.47</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5</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Other Agriculture</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0.03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0.02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0.02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0.01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0.00</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szCs w:val="24"/>
              </w:rPr>
            </w:pPr>
            <w:r w:rsidRPr="00B935F1">
              <w:rPr>
                <w:rFonts w:cs="Segoe UI"/>
                <w:b/>
                <w:szCs w:val="24"/>
              </w:rPr>
              <w:t>Manufacturing</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32.06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40.38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36.88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45.77</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53.82</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6</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Other Food</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6.73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8.30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7.87</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9.80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11.46</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7</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Leather</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0.50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0.63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0.56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0.70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0.83</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8</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Textile-clothing</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11.77</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14.70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13.17</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16.57</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19.78</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9</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Chemical-Fertilizer</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2.03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2.53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2.25</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2.69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3.07</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10</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Machinery</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5.74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7.50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7.04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8.71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10.25</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11</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Petroleum</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1.84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2.32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2.06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2.48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2.83</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12</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szCs w:val="24"/>
              </w:rPr>
            </w:pPr>
            <w:r w:rsidRPr="00B935F1">
              <w:rPr>
                <w:rFonts w:cs="Segoe UI"/>
                <w:szCs w:val="24"/>
              </w:rPr>
              <w:t>Other industry</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3.46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4.40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3.93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4.82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5.62</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13</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Construction</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18.51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15.91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16.59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15.44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14.09</w:t>
            </w:r>
          </w:p>
        </w:tc>
      </w:tr>
      <w:tr w:rsidR="008B4CE7" w:rsidRPr="00B935F1" w:rsidTr="00F0207D">
        <w:trPr>
          <w:trHeight w:val="144"/>
        </w:trPr>
        <w:tc>
          <w:tcPr>
            <w:tcW w:w="349"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r w:rsidRPr="00B935F1">
              <w:rPr>
                <w:rFonts w:cs="Segoe UI"/>
                <w:szCs w:val="24"/>
              </w:rPr>
              <w:t>14</w:t>
            </w:r>
          </w:p>
        </w:tc>
        <w:tc>
          <w:tcPr>
            <w:tcW w:w="187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Services</w:t>
            </w:r>
          </w:p>
        </w:tc>
        <w:tc>
          <w:tcPr>
            <w:tcW w:w="521"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44.16</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38.43</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41.40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35.00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b/>
                <w:szCs w:val="24"/>
              </w:rPr>
            </w:pPr>
            <w:r w:rsidRPr="00B935F1">
              <w:rPr>
                <w:rFonts w:cs="Segoe UI"/>
                <w:b/>
                <w:szCs w:val="24"/>
              </w:rPr>
              <w:t>29.27</w:t>
            </w:r>
          </w:p>
        </w:tc>
      </w:tr>
      <w:tr w:rsidR="008B4CE7" w:rsidRPr="00B935F1" w:rsidTr="00F0207D">
        <w:trPr>
          <w:trHeight w:val="144"/>
        </w:trPr>
        <w:tc>
          <w:tcPr>
            <w:tcW w:w="349"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7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Total</w:t>
            </w:r>
          </w:p>
        </w:tc>
        <w:tc>
          <w:tcPr>
            <w:tcW w:w="521"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jc w:val="right"/>
              <w:rPr>
                <w:rFonts w:cs="Segoe UI"/>
                <w:szCs w:val="24"/>
              </w:rPr>
            </w:pPr>
            <w:r w:rsidRPr="00B935F1">
              <w:rPr>
                <w:rFonts w:cs="Segoe UI"/>
                <w:szCs w:val="24"/>
              </w:rPr>
              <w:t>100.00</w:t>
            </w:r>
          </w:p>
        </w:tc>
      </w:tr>
      <w:tr w:rsidR="008B4CE7" w:rsidRPr="00B935F1" w:rsidTr="00F0207D">
        <w:trPr>
          <w:trHeight w:val="144"/>
        </w:trPr>
        <w:tc>
          <w:tcPr>
            <w:tcW w:w="349"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jc w:val="right"/>
              <w:rPr>
                <w:rFonts w:cs="Segoe UI"/>
                <w:szCs w:val="24"/>
              </w:rPr>
            </w:pPr>
          </w:p>
        </w:tc>
        <w:tc>
          <w:tcPr>
            <w:tcW w:w="187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rPr>
                <w:rFonts w:cs="Segoe UI"/>
                <w:b/>
                <w:bCs/>
                <w:szCs w:val="24"/>
              </w:rPr>
            </w:pPr>
            <w:r w:rsidRPr="00B935F1">
              <w:rPr>
                <w:rFonts w:cs="Segoe UI"/>
                <w:b/>
                <w:bCs/>
                <w:szCs w:val="24"/>
              </w:rPr>
              <w:t>Investment-GDP Ratio (%) revised</w:t>
            </w:r>
          </w:p>
        </w:tc>
        <w:tc>
          <w:tcPr>
            <w:tcW w:w="521"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jc w:val="right"/>
              <w:rPr>
                <w:rFonts w:cs="Segoe UI"/>
                <w:b/>
                <w:szCs w:val="24"/>
              </w:rPr>
            </w:pPr>
            <w:r w:rsidRPr="00B935F1">
              <w:rPr>
                <w:rFonts w:cs="Segoe UI"/>
                <w:b/>
                <w:szCs w:val="24"/>
              </w:rPr>
              <w:t>30.1</w:t>
            </w:r>
          </w:p>
        </w:tc>
        <w:tc>
          <w:tcPr>
            <w:tcW w:w="564"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jc w:val="right"/>
              <w:rPr>
                <w:rFonts w:cs="Segoe UI"/>
                <w:b/>
                <w:szCs w:val="24"/>
              </w:rPr>
            </w:pPr>
            <w:r w:rsidRPr="00B935F1">
              <w:rPr>
                <w:rFonts w:cs="Segoe UI"/>
                <w:b/>
                <w:szCs w:val="24"/>
              </w:rPr>
              <w:t>34.4</w:t>
            </w:r>
          </w:p>
        </w:tc>
        <w:tc>
          <w:tcPr>
            <w:tcW w:w="564"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jc w:val="right"/>
              <w:rPr>
                <w:rFonts w:cs="Segoe UI"/>
                <w:b/>
                <w:szCs w:val="24"/>
              </w:rPr>
            </w:pPr>
            <w:r w:rsidRPr="00B935F1">
              <w:rPr>
                <w:rFonts w:cs="Segoe UI"/>
                <w:b/>
                <w:szCs w:val="24"/>
              </w:rPr>
              <w:t>34.5</w:t>
            </w:r>
          </w:p>
        </w:tc>
        <w:tc>
          <w:tcPr>
            <w:tcW w:w="564"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jc w:val="right"/>
              <w:rPr>
                <w:rFonts w:cs="Segoe UI"/>
                <w:b/>
                <w:szCs w:val="24"/>
              </w:rPr>
            </w:pPr>
            <w:r w:rsidRPr="00B935F1">
              <w:rPr>
                <w:rFonts w:cs="Segoe UI"/>
                <w:b/>
                <w:szCs w:val="24"/>
              </w:rPr>
              <w:t>35.3</w:t>
            </w:r>
          </w:p>
        </w:tc>
        <w:tc>
          <w:tcPr>
            <w:tcW w:w="564"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jc w:val="right"/>
              <w:rPr>
                <w:rFonts w:cs="Segoe UI"/>
                <w:b/>
                <w:szCs w:val="24"/>
              </w:rPr>
            </w:pPr>
            <w:r w:rsidRPr="00B935F1">
              <w:rPr>
                <w:rFonts w:cs="Segoe UI"/>
                <w:b/>
                <w:szCs w:val="24"/>
              </w:rPr>
              <w:t>36.2</w:t>
            </w:r>
          </w:p>
        </w:tc>
      </w:tr>
    </w:tbl>
    <w:p w:rsidR="008B4CE7" w:rsidRPr="00B935F1" w:rsidRDefault="008B4CE7" w:rsidP="008B4CE7">
      <w:pPr>
        <w:rPr>
          <w:b/>
          <w:i/>
          <w:szCs w:val="24"/>
        </w:rPr>
      </w:pPr>
      <w:r w:rsidRPr="00B935F1">
        <w:rPr>
          <w:b/>
          <w:i/>
          <w:szCs w:val="24"/>
        </w:rPr>
        <w:t xml:space="preserve">Source: </w:t>
      </w:r>
      <w:r>
        <w:rPr>
          <w:rFonts w:cs="Times New Roman"/>
          <w:szCs w:val="24"/>
        </w:rPr>
        <w:t xml:space="preserve">BDP 2100 </w:t>
      </w:r>
      <w:r w:rsidRPr="00B935F1">
        <w:rPr>
          <w:b/>
          <w:i/>
          <w:szCs w:val="24"/>
        </w:rPr>
        <w:t xml:space="preserve"> Projections</w:t>
      </w:r>
    </w:p>
    <w:p w:rsidR="008B4CE7" w:rsidRPr="007F0962" w:rsidRDefault="008B4CE7" w:rsidP="008B4CE7">
      <w:pPr>
        <w:pStyle w:val="Heading4"/>
        <w:spacing w:after="0"/>
      </w:pPr>
      <w:bookmarkStart w:id="484" w:name="_Toc464328917"/>
      <w:r w:rsidRPr="007F0962">
        <w:t xml:space="preserve">Table 5.9: Sectoral Investment Shares DP </w:t>
      </w:r>
      <w:bookmarkEnd w:id="484"/>
      <w:r w:rsidRPr="007F0962">
        <w:t>Policy option</w:t>
      </w:r>
    </w:p>
    <w:tbl>
      <w:tblPr>
        <w:tblW w:w="5000" w:type="pct"/>
        <w:tblLook w:val="04A0"/>
      </w:tblPr>
      <w:tblGrid>
        <w:gridCol w:w="629"/>
        <w:gridCol w:w="3822"/>
        <w:gridCol w:w="959"/>
        <w:gridCol w:w="1041"/>
        <w:gridCol w:w="1041"/>
        <w:gridCol w:w="1042"/>
        <w:gridCol w:w="1042"/>
      </w:tblGrid>
      <w:tr w:rsidR="008B4CE7" w:rsidRPr="00B935F1" w:rsidTr="00F0207D">
        <w:trPr>
          <w:trHeight w:val="144"/>
          <w:tblHeader/>
        </w:trPr>
        <w:tc>
          <w:tcPr>
            <w:tcW w:w="349"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line="240" w:lineRule="auto"/>
              <w:rPr>
                <w:rFonts w:cs="Segoe UI"/>
                <w:szCs w:val="24"/>
              </w:rPr>
            </w:pPr>
          </w:p>
        </w:tc>
        <w:tc>
          <w:tcPr>
            <w:tcW w:w="1874"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line="240" w:lineRule="auto"/>
              <w:rPr>
                <w:rFonts w:cs="Segoe UI"/>
                <w:b/>
                <w:bCs/>
                <w:szCs w:val="24"/>
              </w:rPr>
            </w:pPr>
          </w:p>
        </w:tc>
        <w:tc>
          <w:tcPr>
            <w:tcW w:w="2776" w:type="pct"/>
            <w:gridSpan w:val="5"/>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center"/>
              <w:rPr>
                <w:rFonts w:cs="Segoe UI"/>
                <w:b/>
                <w:bCs/>
                <w:szCs w:val="24"/>
              </w:rPr>
            </w:pPr>
            <w:r w:rsidRPr="00B935F1">
              <w:rPr>
                <w:rFonts w:cs="Segoe UI"/>
                <w:b/>
                <w:bCs/>
                <w:szCs w:val="24"/>
              </w:rPr>
              <w:t>Share (%)</w:t>
            </w:r>
          </w:p>
        </w:tc>
      </w:tr>
      <w:tr w:rsidR="008B4CE7" w:rsidRPr="00B935F1" w:rsidTr="00F0207D">
        <w:trPr>
          <w:trHeight w:val="144"/>
          <w:tblHeader/>
        </w:trPr>
        <w:tc>
          <w:tcPr>
            <w:tcW w:w="349"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line="240" w:lineRule="auto"/>
              <w:rPr>
                <w:rFonts w:cs="Segoe UI"/>
                <w:szCs w:val="24"/>
              </w:rPr>
            </w:pPr>
            <w:r w:rsidRPr="00B935F1">
              <w:rPr>
                <w:rFonts w:cs="Segoe UI"/>
                <w:szCs w:val="24"/>
              </w:rPr>
              <w:t> </w:t>
            </w:r>
          </w:p>
        </w:tc>
        <w:tc>
          <w:tcPr>
            <w:tcW w:w="1874"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Sectors</w:t>
            </w:r>
          </w:p>
        </w:tc>
        <w:tc>
          <w:tcPr>
            <w:tcW w:w="521"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2016</w:t>
            </w:r>
          </w:p>
        </w:tc>
        <w:tc>
          <w:tcPr>
            <w:tcW w:w="564"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2020</w:t>
            </w:r>
          </w:p>
        </w:tc>
        <w:tc>
          <w:tcPr>
            <w:tcW w:w="564"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2021</w:t>
            </w:r>
          </w:p>
        </w:tc>
        <w:tc>
          <w:tcPr>
            <w:tcW w:w="564"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2031</w:t>
            </w:r>
          </w:p>
        </w:tc>
        <w:tc>
          <w:tcPr>
            <w:tcW w:w="564"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2041</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szCs w:val="24"/>
              </w:rPr>
            </w:pPr>
            <w:r w:rsidRPr="00B935F1">
              <w:rPr>
                <w:rFonts w:cs="Segoe UI"/>
                <w:b/>
                <w:szCs w:val="24"/>
              </w:rPr>
              <w:t>Agriculture</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5.26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4.83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5.42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3.97</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2.84</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Cereal Crop</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0.19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0.04</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2</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Commercial crop</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0.17</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0.12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0.12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0.05</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0.02</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3</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Livestock-poultry-fishing</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3.99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3.76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4.24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3.29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2.43</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4</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Forestry</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0.80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0.75</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0.84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0.54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0.35</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5</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Other Agriculture</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0.00</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szCs w:val="24"/>
              </w:rPr>
            </w:pPr>
            <w:r w:rsidRPr="00B935F1">
              <w:rPr>
                <w:rFonts w:cs="Segoe UI"/>
                <w:b/>
                <w:szCs w:val="24"/>
              </w:rPr>
              <w:t>Manufacturing</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32.06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32.63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32.63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40.49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48.52</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6</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Other Food</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6.73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7.26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7.26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9.63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12.06</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7</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Leather</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0.50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0.50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0.50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0.59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0.69</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8</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Textile-clothing</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11.77</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11.54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11.54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14.70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18.02</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9</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Chemical-Fertilizer</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2.03</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2.02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2.02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2.36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2.68</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10</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Machinery</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5.74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6.28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6.28</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7.59</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8.94</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11</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Petroleum</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1.84</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1.70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1.70</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1.86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1.99</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12</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Other industry</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3.46</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3.32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3.32</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3.75</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4.14</w:t>
            </w:r>
          </w:p>
        </w:tc>
      </w:tr>
      <w:tr w:rsidR="008B4CE7" w:rsidRPr="00B935F1" w:rsidTr="00F0207D">
        <w:trPr>
          <w:trHeight w:val="144"/>
        </w:trPr>
        <w:tc>
          <w:tcPr>
            <w:tcW w:w="349"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13</w:t>
            </w:r>
          </w:p>
        </w:tc>
        <w:tc>
          <w:tcPr>
            <w:tcW w:w="187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Construction</w:t>
            </w:r>
          </w:p>
        </w:tc>
        <w:tc>
          <w:tcPr>
            <w:tcW w:w="521"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18.51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20.45</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20.45</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20.71</w:t>
            </w:r>
          </w:p>
        </w:tc>
        <w:tc>
          <w:tcPr>
            <w:tcW w:w="564"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20.17</w:t>
            </w:r>
          </w:p>
        </w:tc>
      </w:tr>
      <w:tr w:rsidR="008B4CE7" w:rsidRPr="00B935F1" w:rsidTr="00F0207D">
        <w:trPr>
          <w:trHeight w:val="144"/>
        </w:trPr>
        <w:tc>
          <w:tcPr>
            <w:tcW w:w="349"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14</w:t>
            </w:r>
          </w:p>
        </w:tc>
        <w:tc>
          <w:tcPr>
            <w:tcW w:w="187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Services</w:t>
            </w:r>
          </w:p>
        </w:tc>
        <w:tc>
          <w:tcPr>
            <w:tcW w:w="521"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44.16</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41.50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41.50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34.83</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28.47</w:t>
            </w:r>
          </w:p>
        </w:tc>
      </w:tr>
      <w:tr w:rsidR="008B4CE7" w:rsidRPr="00B935F1" w:rsidTr="00F0207D">
        <w:trPr>
          <w:trHeight w:val="144"/>
        </w:trPr>
        <w:tc>
          <w:tcPr>
            <w:tcW w:w="349"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87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Total</w:t>
            </w:r>
          </w:p>
        </w:tc>
        <w:tc>
          <w:tcPr>
            <w:tcW w:w="521"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64"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r>
      <w:tr w:rsidR="008B4CE7" w:rsidRPr="00B935F1" w:rsidTr="00F0207D">
        <w:trPr>
          <w:trHeight w:val="144"/>
        </w:trPr>
        <w:tc>
          <w:tcPr>
            <w:tcW w:w="349"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87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Investment-GDP Ratio (%) revised</w:t>
            </w:r>
          </w:p>
        </w:tc>
        <w:tc>
          <w:tcPr>
            <w:tcW w:w="521"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line="240" w:lineRule="auto"/>
              <w:jc w:val="right"/>
              <w:rPr>
                <w:rFonts w:cs="Segoe UI"/>
                <w:b/>
                <w:szCs w:val="24"/>
              </w:rPr>
            </w:pPr>
            <w:r w:rsidRPr="00B935F1">
              <w:rPr>
                <w:rFonts w:cs="Segoe UI"/>
                <w:b/>
                <w:szCs w:val="24"/>
              </w:rPr>
              <w:t>30.1</w:t>
            </w:r>
          </w:p>
        </w:tc>
        <w:tc>
          <w:tcPr>
            <w:tcW w:w="564"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line="240" w:lineRule="auto"/>
              <w:jc w:val="right"/>
              <w:rPr>
                <w:rFonts w:cs="Segoe UI"/>
                <w:b/>
                <w:szCs w:val="24"/>
              </w:rPr>
            </w:pPr>
            <w:r w:rsidRPr="00B935F1">
              <w:rPr>
                <w:rFonts w:cs="Segoe UI"/>
                <w:b/>
                <w:szCs w:val="24"/>
              </w:rPr>
              <w:t>35.5</w:t>
            </w:r>
          </w:p>
        </w:tc>
        <w:tc>
          <w:tcPr>
            <w:tcW w:w="564"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line="240" w:lineRule="auto"/>
              <w:jc w:val="right"/>
              <w:rPr>
                <w:rFonts w:cs="Segoe UI"/>
                <w:b/>
                <w:szCs w:val="24"/>
              </w:rPr>
            </w:pPr>
            <w:r w:rsidRPr="00B935F1">
              <w:rPr>
                <w:rFonts w:cs="Segoe UI"/>
                <w:b/>
                <w:szCs w:val="24"/>
              </w:rPr>
              <w:t>35.5</w:t>
            </w:r>
          </w:p>
        </w:tc>
        <w:tc>
          <w:tcPr>
            <w:tcW w:w="564"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line="240" w:lineRule="auto"/>
              <w:jc w:val="right"/>
              <w:rPr>
                <w:rFonts w:cs="Segoe UI"/>
                <w:b/>
                <w:szCs w:val="24"/>
              </w:rPr>
            </w:pPr>
            <w:r w:rsidRPr="00B935F1">
              <w:rPr>
                <w:rFonts w:cs="Segoe UI"/>
                <w:b/>
                <w:szCs w:val="24"/>
              </w:rPr>
              <w:t>36.5</w:t>
            </w:r>
          </w:p>
        </w:tc>
        <w:tc>
          <w:tcPr>
            <w:tcW w:w="564" w:type="pct"/>
            <w:tcBorders>
              <w:top w:val="single" w:sz="4" w:space="0" w:color="auto"/>
              <w:left w:val="nil"/>
              <w:bottom w:val="single" w:sz="4" w:space="0" w:color="auto"/>
              <w:right w:val="single" w:sz="4" w:space="0" w:color="auto"/>
            </w:tcBorders>
            <w:shd w:val="clear" w:color="auto" w:fill="auto"/>
            <w:vAlign w:val="bottom"/>
          </w:tcPr>
          <w:p w:rsidR="008B4CE7" w:rsidRPr="00B935F1" w:rsidRDefault="008B4CE7" w:rsidP="00F0207D">
            <w:pPr>
              <w:spacing w:after="0" w:line="240" w:lineRule="auto"/>
              <w:jc w:val="right"/>
              <w:rPr>
                <w:rFonts w:cs="Segoe UI"/>
                <w:b/>
                <w:szCs w:val="24"/>
              </w:rPr>
            </w:pPr>
            <w:r w:rsidRPr="00B935F1">
              <w:rPr>
                <w:rFonts w:cs="Segoe UI"/>
                <w:b/>
                <w:szCs w:val="24"/>
              </w:rPr>
              <w:t>37.7</w:t>
            </w:r>
          </w:p>
        </w:tc>
      </w:tr>
    </w:tbl>
    <w:p w:rsidR="008B4CE7" w:rsidRPr="00B935F1" w:rsidRDefault="008B4CE7" w:rsidP="008B4CE7">
      <w:pPr>
        <w:rPr>
          <w:b/>
          <w:i/>
          <w:szCs w:val="24"/>
        </w:rPr>
      </w:pPr>
      <w:r w:rsidRPr="00B935F1">
        <w:rPr>
          <w:b/>
          <w:i/>
          <w:szCs w:val="24"/>
        </w:rPr>
        <w:t xml:space="preserve">Source: </w:t>
      </w:r>
      <w:r>
        <w:rPr>
          <w:rFonts w:cs="Times New Roman"/>
          <w:szCs w:val="24"/>
        </w:rPr>
        <w:t xml:space="preserve">BDP 2100 </w:t>
      </w:r>
      <w:r w:rsidRPr="00B935F1">
        <w:rPr>
          <w:b/>
          <w:i/>
          <w:szCs w:val="24"/>
        </w:rPr>
        <w:t xml:space="preserve"> Projections</w:t>
      </w:r>
    </w:p>
    <w:p w:rsidR="008B4CE7" w:rsidRPr="00B935F1" w:rsidRDefault="008B4CE7" w:rsidP="008B4CE7">
      <w:pPr>
        <w:pStyle w:val="Heading3"/>
        <w:tabs>
          <w:tab w:val="num" w:pos="720"/>
        </w:tabs>
        <w:spacing w:before="120" w:after="120"/>
        <w:ind w:left="0" w:firstLine="0"/>
      </w:pPr>
      <w:r w:rsidRPr="00B935F1">
        <w:t>Sectoral Employment Share</w:t>
      </w:r>
    </w:p>
    <w:p w:rsidR="008B4CE7" w:rsidRPr="00B935F1" w:rsidRDefault="008B4CE7" w:rsidP="008B4CE7">
      <w:pPr>
        <w:rPr>
          <w:rFonts w:cs="Times New Roman"/>
          <w:szCs w:val="24"/>
        </w:rPr>
      </w:pPr>
      <w:r w:rsidRPr="007F0962">
        <w:rPr>
          <w:rFonts w:cs="Times New Roman"/>
          <w:bCs/>
          <w:i/>
          <w:iCs/>
          <w:szCs w:val="24"/>
        </w:rPr>
        <w:t>With labour force growing by more than 3 percent per year and low-income employment in the farm and informal services sectors, creation of new jobs in the productive formal sectors of the economy is a major challenge.</w:t>
      </w:r>
      <w:r w:rsidRPr="00B935F1">
        <w:rPr>
          <w:rFonts w:cs="Times New Roman"/>
          <w:szCs w:val="24"/>
        </w:rPr>
        <w:t xml:space="preserve"> The growth strategy pursued in Bangladesh is to address the employment issue by creating new jobs in the nonfarm sector and by a rebalancing of the composition of employment away from agriculture and into more productive sectors of the economy. This trend has been already visible in the latest Labor force Survey 2013 by</w:t>
      </w:r>
      <w:r>
        <w:rPr>
          <w:rFonts w:cs="Times New Roman"/>
          <w:szCs w:val="24"/>
        </w:rPr>
        <w:t xml:space="preserve"> </w:t>
      </w:r>
      <w:r w:rsidRPr="00B935F1">
        <w:rPr>
          <w:rFonts w:cs="Times New Roman"/>
          <w:szCs w:val="24"/>
        </w:rPr>
        <w:t>BBS that shows the employment share of manufacturing continues to rise and that of services fall.  Importantly, non-farm jobs are also being created in rural services sector.  The consequent increase in the demand for labour in rural areas is causing a tightening of the agriculture labor market and real agriculture wages are increasing.  This evidence is an important indication of the robustness of the government’s ongoing growth and employment strategy.</w:t>
      </w:r>
    </w:p>
    <w:p w:rsidR="008B4CE7" w:rsidRPr="007F0962" w:rsidRDefault="008B4CE7" w:rsidP="008B4CE7">
      <w:pPr>
        <w:rPr>
          <w:rFonts w:cs="Times New Roman"/>
          <w:bCs/>
          <w:i/>
          <w:iCs/>
          <w:szCs w:val="24"/>
        </w:rPr>
      </w:pPr>
      <w:r w:rsidRPr="00B935F1">
        <w:rPr>
          <w:rFonts w:cs="Times New Roman"/>
          <w:szCs w:val="24"/>
        </w:rPr>
        <w:t xml:space="preserve">The broad pattern of sectoral employment shares is similar for the two policy options because the growth strategies are the same (Tables 5.10-5.11).  </w:t>
      </w:r>
      <w:r w:rsidRPr="007F0962">
        <w:rPr>
          <w:rFonts w:cs="Times New Roman"/>
          <w:bCs/>
          <w:i/>
          <w:iCs/>
          <w:szCs w:val="24"/>
        </w:rPr>
        <w:t xml:space="preserve">However because of lower growth total job creation is much lower in BAU. Manufacturing is the main driver of growth and employment in both Policy options, but it creates many more jobs under </w:t>
      </w:r>
      <w:r w:rsidRPr="007F0962">
        <w:rPr>
          <w:rFonts w:cs="Times New Roman"/>
          <w:i/>
          <w:iCs/>
          <w:szCs w:val="24"/>
        </w:rPr>
        <w:t>BDP 2100</w:t>
      </w:r>
      <w:r>
        <w:rPr>
          <w:rFonts w:cs="Times New Roman"/>
          <w:szCs w:val="24"/>
        </w:rPr>
        <w:t xml:space="preserve"> </w:t>
      </w:r>
      <w:r w:rsidRPr="007F0962">
        <w:rPr>
          <w:rFonts w:cs="Times New Roman"/>
          <w:bCs/>
          <w:i/>
          <w:iCs/>
          <w:szCs w:val="24"/>
        </w:rPr>
        <w:t>as compared with BAU.</w:t>
      </w:r>
    </w:p>
    <w:p w:rsidR="008B4CE7" w:rsidRPr="007F0962" w:rsidRDefault="008B4CE7" w:rsidP="008B4CE7">
      <w:pPr>
        <w:pStyle w:val="Heading4"/>
      </w:pPr>
      <w:bookmarkStart w:id="485" w:name="_Toc460497009"/>
      <w:bookmarkStart w:id="486" w:name="_Toc464328918"/>
      <w:r w:rsidRPr="007F0962">
        <w:t>Table 5.10: Sectoral Employment Share (BAU Policy option) (%)</w:t>
      </w:r>
      <w:bookmarkEnd w:id="485"/>
      <w:bookmarkEnd w:id="486"/>
    </w:p>
    <w:tbl>
      <w:tblPr>
        <w:tblW w:w="5000" w:type="pct"/>
        <w:tblLook w:val="04A0"/>
      </w:tblPr>
      <w:tblGrid>
        <w:gridCol w:w="576"/>
        <w:gridCol w:w="3957"/>
        <w:gridCol w:w="906"/>
        <w:gridCol w:w="1163"/>
        <w:gridCol w:w="992"/>
        <w:gridCol w:w="993"/>
        <w:gridCol w:w="989"/>
      </w:tblGrid>
      <w:tr w:rsidR="008B4CE7" w:rsidRPr="00B935F1" w:rsidTr="00F0207D">
        <w:trPr>
          <w:trHeight w:val="144"/>
          <w:tblHeader/>
        </w:trPr>
        <w:tc>
          <w:tcPr>
            <w:tcW w:w="338"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line="240" w:lineRule="auto"/>
              <w:rPr>
                <w:rFonts w:cs="Segoe UI"/>
                <w:szCs w:val="24"/>
              </w:rPr>
            </w:pPr>
            <w:r w:rsidRPr="00B935F1">
              <w:rPr>
                <w:rFonts w:cs="Segoe UI"/>
                <w:szCs w:val="24"/>
              </w:rPr>
              <w:t> </w:t>
            </w:r>
          </w:p>
        </w:tc>
        <w:tc>
          <w:tcPr>
            <w:tcW w:w="1934"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Sectors</w:t>
            </w:r>
          </w:p>
        </w:tc>
        <w:tc>
          <w:tcPr>
            <w:tcW w:w="510"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2016</w:t>
            </w:r>
          </w:p>
        </w:tc>
        <w:tc>
          <w:tcPr>
            <w:tcW w:w="555"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2020</w:t>
            </w:r>
          </w:p>
        </w:tc>
        <w:tc>
          <w:tcPr>
            <w:tcW w:w="555"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2021</w:t>
            </w:r>
          </w:p>
        </w:tc>
        <w:tc>
          <w:tcPr>
            <w:tcW w:w="555"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2031</w:t>
            </w:r>
          </w:p>
        </w:tc>
        <w:tc>
          <w:tcPr>
            <w:tcW w:w="553"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2041</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szCs w:val="24"/>
              </w:rPr>
            </w:pPr>
            <w:r w:rsidRPr="00B935F1">
              <w:rPr>
                <w:rFonts w:cs="Segoe UI"/>
                <w:b/>
                <w:szCs w:val="24"/>
              </w:rPr>
              <w:t>Agriculture</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45.20</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40.16</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38.85</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29.57</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21.71</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Cereal Crop</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20.32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16.58</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15.56</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9.06</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5.24</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2</w:t>
            </w:r>
          </w:p>
        </w:tc>
        <w:tc>
          <w:tcPr>
            <w:tcW w:w="1934" w:type="pct"/>
            <w:tcBorders>
              <w:top w:val="nil"/>
              <w:left w:val="nil"/>
              <w:bottom w:val="single" w:sz="4" w:space="0" w:color="auto"/>
              <w:right w:val="single" w:sz="4" w:space="0" w:color="auto"/>
            </w:tcBorders>
            <w:shd w:val="clear" w:color="auto" w:fill="auto"/>
            <w:noWrap/>
            <w:hideMark/>
          </w:tcPr>
          <w:p w:rsidR="008B4CE7" w:rsidRPr="00B935F1" w:rsidRDefault="008B4CE7" w:rsidP="00F0207D">
            <w:pPr>
              <w:spacing w:after="0" w:line="240" w:lineRule="auto"/>
              <w:rPr>
                <w:rFonts w:cs="Segoe UI"/>
                <w:szCs w:val="24"/>
              </w:rPr>
            </w:pPr>
            <w:r w:rsidRPr="00B935F1">
              <w:rPr>
                <w:rFonts w:cs="Segoe UI"/>
                <w:szCs w:val="24"/>
              </w:rPr>
              <w:t>Commercial crop</w:t>
            </w:r>
          </w:p>
        </w:tc>
        <w:tc>
          <w:tcPr>
            <w:tcW w:w="510" w:type="pct"/>
            <w:tcBorders>
              <w:top w:val="nil"/>
              <w:left w:val="nil"/>
              <w:bottom w:val="single" w:sz="4" w:space="0" w:color="auto"/>
              <w:right w:val="single" w:sz="4" w:space="0" w:color="auto"/>
            </w:tcBorders>
          </w:tcPr>
          <w:p w:rsidR="008B4CE7" w:rsidRPr="00B935F1" w:rsidRDefault="008B4CE7" w:rsidP="00F0207D">
            <w:pPr>
              <w:spacing w:after="0" w:line="240" w:lineRule="auto"/>
              <w:jc w:val="right"/>
              <w:rPr>
                <w:rFonts w:cs="Segoe UI"/>
                <w:szCs w:val="24"/>
              </w:rPr>
            </w:pPr>
            <w:r w:rsidRPr="00B935F1">
              <w:rPr>
                <w:rFonts w:cs="Segoe UI"/>
                <w:szCs w:val="24"/>
              </w:rPr>
              <w:t>5.10</w:t>
            </w:r>
          </w:p>
        </w:tc>
        <w:tc>
          <w:tcPr>
            <w:tcW w:w="555" w:type="pct"/>
            <w:tcBorders>
              <w:top w:val="nil"/>
              <w:left w:val="nil"/>
              <w:bottom w:val="single" w:sz="4" w:space="0" w:color="auto"/>
              <w:right w:val="single" w:sz="4" w:space="0" w:color="auto"/>
            </w:tcBorders>
          </w:tcPr>
          <w:p w:rsidR="008B4CE7" w:rsidRPr="00B935F1" w:rsidRDefault="008B4CE7" w:rsidP="00F0207D">
            <w:pPr>
              <w:spacing w:after="0" w:line="240" w:lineRule="auto"/>
              <w:jc w:val="right"/>
              <w:rPr>
                <w:rFonts w:cs="Segoe UI"/>
                <w:szCs w:val="24"/>
              </w:rPr>
            </w:pPr>
            <w:r w:rsidRPr="00B935F1">
              <w:rPr>
                <w:rFonts w:cs="Segoe UI"/>
                <w:szCs w:val="24"/>
              </w:rPr>
              <w:t>4.17 compared</w:t>
            </w:r>
          </w:p>
        </w:tc>
        <w:tc>
          <w:tcPr>
            <w:tcW w:w="555" w:type="pct"/>
            <w:tcBorders>
              <w:top w:val="nil"/>
              <w:left w:val="nil"/>
              <w:bottom w:val="single" w:sz="4" w:space="0" w:color="auto"/>
              <w:right w:val="single" w:sz="4" w:space="0" w:color="auto"/>
            </w:tcBorders>
          </w:tcPr>
          <w:p w:rsidR="008B4CE7" w:rsidRPr="00B935F1" w:rsidRDefault="008B4CE7" w:rsidP="00F0207D">
            <w:pPr>
              <w:spacing w:after="0" w:line="240" w:lineRule="auto"/>
              <w:jc w:val="right"/>
              <w:rPr>
                <w:rFonts w:cs="Segoe UI"/>
                <w:szCs w:val="24"/>
              </w:rPr>
            </w:pPr>
            <w:r w:rsidRPr="00B935F1">
              <w:rPr>
                <w:rFonts w:cs="Segoe UI"/>
                <w:szCs w:val="24"/>
              </w:rPr>
              <w:t>3.91</w:t>
            </w:r>
          </w:p>
        </w:tc>
        <w:tc>
          <w:tcPr>
            <w:tcW w:w="555" w:type="pct"/>
            <w:tcBorders>
              <w:top w:val="nil"/>
              <w:left w:val="nil"/>
              <w:bottom w:val="single" w:sz="4" w:space="0" w:color="auto"/>
              <w:right w:val="single" w:sz="4" w:space="0" w:color="auto"/>
            </w:tcBorders>
          </w:tcPr>
          <w:p w:rsidR="008B4CE7" w:rsidRPr="00B935F1" w:rsidRDefault="008B4CE7" w:rsidP="00F0207D">
            <w:pPr>
              <w:spacing w:after="0" w:line="240" w:lineRule="auto"/>
              <w:jc w:val="right"/>
              <w:rPr>
                <w:rFonts w:cs="Segoe UI"/>
                <w:szCs w:val="24"/>
              </w:rPr>
            </w:pPr>
            <w:r w:rsidRPr="00B935F1">
              <w:rPr>
                <w:rFonts w:cs="Segoe UI"/>
                <w:szCs w:val="24"/>
              </w:rPr>
              <w:t>2.27</w:t>
            </w:r>
          </w:p>
        </w:tc>
        <w:tc>
          <w:tcPr>
            <w:tcW w:w="553" w:type="pct"/>
            <w:tcBorders>
              <w:top w:val="nil"/>
              <w:left w:val="nil"/>
              <w:bottom w:val="single" w:sz="4" w:space="0" w:color="auto"/>
              <w:right w:val="single" w:sz="4" w:space="0" w:color="auto"/>
            </w:tcBorders>
          </w:tcPr>
          <w:p w:rsidR="008B4CE7" w:rsidRPr="00B935F1" w:rsidRDefault="008B4CE7" w:rsidP="00F0207D">
            <w:pPr>
              <w:spacing w:after="0" w:line="240" w:lineRule="auto"/>
              <w:jc w:val="right"/>
              <w:rPr>
                <w:rFonts w:cs="Segoe UI"/>
                <w:szCs w:val="24"/>
              </w:rPr>
            </w:pPr>
            <w:r w:rsidRPr="00B935F1">
              <w:rPr>
                <w:rFonts w:cs="Segoe UI"/>
                <w:szCs w:val="24"/>
              </w:rPr>
              <w:t>1.31</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3</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Livestock-poultry-fishing</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18.52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18.18</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18.14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17.24</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14.42</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4</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Forestry</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0.94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0.95</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0.96</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0.85</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0.66</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5</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Other Agriculture</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0.33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0.28</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0.15</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0.08</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szCs w:val="24"/>
              </w:rPr>
            </w:pPr>
            <w:r w:rsidRPr="00B935F1">
              <w:rPr>
                <w:rFonts w:cs="Segoe UI"/>
                <w:b/>
                <w:szCs w:val="24"/>
              </w:rPr>
              <w:t>Manufacturing</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11.37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14.37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15.33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23.72</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32.07</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6</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Other Food</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0.33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0.35</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0.55</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0.75</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7</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Leather</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0.93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1.18</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1.25</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1.93</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2.61</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8</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Textile-clothing</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4.64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5.89</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6.29</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9.90</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13.56</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9</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Chemical-Fertilizer</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0.81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1.09</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1.62</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2.13</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10</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Machinery</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0.02</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0.03</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11</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Petroleum</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0.28</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0.30</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0.45</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0.59</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12</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Other industry</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4.49</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5.65</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6.04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9.25</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12.40</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13</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Construction</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4.49</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5.01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5.14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5.99</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6.30</w:t>
            </w:r>
          </w:p>
        </w:tc>
      </w:tr>
      <w:tr w:rsidR="008B4CE7" w:rsidRPr="00B935F1"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14</w:t>
            </w:r>
          </w:p>
        </w:tc>
        <w:tc>
          <w:tcPr>
            <w:tcW w:w="193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Services</w:t>
            </w:r>
          </w:p>
        </w:tc>
        <w:tc>
          <w:tcPr>
            <w:tcW w:w="510"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38.94</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40.46</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40.68</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40.71</w:t>
            </w:r>
          </w:p>
        </w:tc>
        <w:tc>
          <w:tcPr>
            <w:tcW w:w="55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39.91</w:t>
            </w:r>
          </w:p>
        </w:tc>
      </w:tr>
      <w:tr w:rsidR="008B4CE7" w:rsidRPr="00B935F1"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93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Total</w:t>
            </w:r>
          </w:p>
        </w:tc>
        <w:tc>
          <w:tcPr>
            <w:tcW w:w="510"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5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r>
      <w:tr w:rsidR="008B4CE7" w:rsidRPr="00B935F1"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93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Total Employment (Million persons)</w:t>
            </w:r>
          </w:p>
        </w:tc>
        <w:tc>
          <w:tcPr>
            <w:tcW w:w="510"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62.5</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68.3</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69.9</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83.0</w:t>
            </w:r>
          </w:p>
        </w:tc>
        <w:tc>
          <w:tcPr>
            <w:tcW w:w="55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92.6</w:t>
            </w:r>
          </w:p>
        </w:tc>
      </w:tr>
    </w:tbl>
    <w:p w:rsidR="008B4CE7" w:rsidRPr="00B935F1" w:rsidRDefault="008B4CE7" w:rsidP="008B4CE7">
      <w:pPr>
        <w:rPr>
          <w:b/>
          <w:i/>
          <w:szCs w:val="24"/>
        </w:rPr>
      </w:pPr>
      <w:r w:rsidRPr="00B935F1">
        <w:rPr>
          <w:b/>
          <w:i/>
          <w:szCs w:val="24"/>
        </w:rPr>
        <w:lastRenderedPageBreak/>
        <w:t xml:space="preserve">Source: </w:t>
      </w:r>
      <w:r>
        <w:rPr>
          <w:rFonts w:cs="Times New Roman"/>
          <w:szCs w:val="24"/>
        </w:rPr>
        <w:t xml:space="preserve">BDP 2100 </w:t>
      </w:r>
      <w:r w:rsidRPr="00B935F1">
        <w:rPr>
          <w:b/>
          <w:i/>
          <w:szCs w:val="24"/>
        </w:rPr>
        <w:t>Projections</w:t>
      </w:r>
    </w:p>
    <w:p w:rsidR="008B4CE7" w:rsidRPr="00B935F1" w:rsidRDefault="008B4CE7" w:rsidP="008B4CE7">
      <w:pPr>
        <w:rPr>
          <w:rFonts w:cs="Times New Roman"/>
          <w:b/>
          <w:bCs/>
          <w:szCs w:val="24"/>
        </w:rPr>
      </w:pPr>
      <w:bookmarkStart w:id="487" w:name="_Toc460497010"/>
    </w:p>
    <w:p w:rsidR="008B4CE7" w:rsidRPr="007F0962" w:rsidRDefault="008B4CE7" w:rsidP="008B4CE7">
      <w:pPr>
        <w:pStyle w:val="Heading4"/>
      </w:pPr>
      <w:bookmarkStart w:id="488" w:name="_Toc464328919"/>
      <w:r w:rsidRPr="007F0962">
        <w:t>Table 5.11: Sectoral Employment Share (Policy  option) (%)</w:t>
      </w:r>
      <w:bookmarkEnd w:id="487"/>
      <w:bookmarkEnd w:id="488"/>
    </w:p>
    <w:tbl>
      <w:tblPr>
        <w:tblW w:w="5000" w:type="pct"/>
        <w:tblLook w:val="04A0"/>
      </w:tblPr>
      <w:tblGrid>
        <w:gridCol w:w="604"/>
        <w:gridCol w:w="3957"/>
        <w:gridCol w:w="935"/>
        <w:gridCol w:w="1021"/>
        <w:gridCol w:w="1021"/>
        <w:gridCol w:w="1021"/>
        <w:gridCol w:w="1017"/>
      </w:tblGrid>
      <w:tr w:rsidR="008B4CE7" w:rsidRPr="00B935F1" w:rsidTr="00F0207D">
        <w:trPr>
          <w:trHeight w:val="144"/>
          <w:tblHeader/>
        </w:trPr>
        <w:tc>
          <w:tcPr>
            <w:tcW w:w="338"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8B4CE7" w:rsidRPr="00B935F1" w:rsidRDefault="008B4CE7" w:rsidP="00F0207D">
            <w:pPr>
              <w:spacing w:after="0" w:line="240" w:lineRule="auto"/>
              <w:rPr>
                <w:rFonts w:cs="Segoe UI"/>
                <w:szCs w:val="24"/>
              </w:rPr>
            </w:pPr>
            <w:r w:rsidRPr="00B935F1">
              <w:rPr>
                <w:rFonts w:cs="Segoe UI"/>
                <w:szCs w:val="24"/>
              </w:rPr>
              <w:t> </w:t>
            </w:r>
          </w:p>
        </w:tc>
        <w:tc>
          <w:tcPr>
            <w:tcW w:w="1934" w:type="pct"/>
            <w:tcBorders>
              <w:top w:val="single" w:sz="4" w:space="0" w:color="auto"/>
              <w:left w:val="nil"/>
              <w:bottom w:val="single" w:sz="4" w:space="0" w:color="auto"/>
              <w:right w:val="single" w:sz="4" w:space="0" w:color="auto"/>
            </w:tcBorders>
            <w:shd w:val="clear" w:color="000000" w:fill="D8D8D8"/>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Sectors</w:t>
            </w:r>
          </w:p>
        </w:tc>
        <w:tc>
          <w:tcPr>
            <w:tcW w:w="510"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2016</w:t>
            </w:r>
          </w:p>
        </w:tc>
        <w:tc>
          <w:tcPr>
            <w:tcW w:w="555"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2020</w:t>
            </w:r>
          </w:p>
        </w:tc>
        <w:tc>
          <w:tcPr>
            <w:tcW w:w="555"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2021</w:t>
            </w:r>
          </w:p>
        </w:tc>
        <w:tc>
          <w:tcPr>
            <w:tcW w:w="555"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2031</w:t>
            </w:r>
          </w:p>
        </w:tc>
        <w:tc>
          <w:tcPr>
            <w:tcW w:w="553" w:type="pct"/>
            <w:tcBorders>
              <w:top w:val="single" w:sz="4" w:space="0" w:color="auto"/>
              <w:left w:val="nil"/>
              <w:bottom w:val="single" w:sz="4" w:space="0" w:color="auto"/>
              <w:right w:val="single" w:sz="4" w:space="0" w:color="auto"/>
            </w:tcBorders>
            <w:shd w:val="clear" w:color="000000" w:fill="D8D8D8"/>
          </w:tcPr>
          <w:p w:rsidR="008B4CE7" w:rsidRPr="00B935F1" w:rsidRDefault="008B4CE7" w:rsidP="00F0207D">
            <w:pPr>
              <w:spacing w:after="0" w:line="240" w:lineRule="auto"/>
              <w:jc w:val="right"/>
              <w:rPr>
                <w:rFonts w:cs="Segoe UI"/>
                <w:b/>
                <w:bCs/>
                <w:szCs w:val="24"/>
              </w:rPr>
            </w:pPr>
            <w:r w:rsidRPr="00B935F1">
              <w:rPr>
                <w:rFonts w:cs="Segoe UI"/>
                <w:b/>
                <w:bCs/>
                <w:szCs w:val="24"/>
              </w:rPr>
              <w:t>2041</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szCs w:val="24"/>
              </w:rPr>
            </w:pPr>
            <w:r w:rsidRPr="00B935F1">
              <w:rPr>
                <w:rFonts w:cs="Segoe UI"/>
                <w:b/>
                <w:szCs w:val="24"/>
              </w:rPr>
              <w:t>Agriculture</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45.20</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39.22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37.52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27.33</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19.09</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Cereal Crop</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20.32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16.04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14.43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7.81</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3.74</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2</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Commercial crop</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5.10</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4.04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3.63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1.97</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0.94</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3</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Livestock-poultry-fishing</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18.52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17.95</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18.27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16.68</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13.83</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4</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Forestry</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0.94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0.93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0.94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0.74</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0.52</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5</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Other Agriculture</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0.33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0.25</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0.13</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0.06</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szCs w:val="24"/>
              </w:rPr>
            </w:pPr>
            <w:r w:rsidRPr="00B935F1">
              <w:rPr>
                <w:rFonts w:cs="Segoe UI"/>
                <w:b/>
                <w:szCs w:val="24"/>
              </w:rPr>
              <w:t>Manufacturing</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11.37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14.23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16.27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23.27</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30.45</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6</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Other Food</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0.33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0.38</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0.57</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0.86</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7</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Leather</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0.93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1.17</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1.32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1.91</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2.69</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8</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Textile-clothing</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4.64</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5.81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6.69</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9.92</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13.52</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9</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Chemical-Fertilizer</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0.81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1.15</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1.64</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2.07</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10</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Machinery</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0.02</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0.03</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11</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Petroleum</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0.28</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0.31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0.41</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0.49</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12</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szCs w:val="24"/>
              </w:rPr>
            </w:pPr>
            <w:r w:rsidRPr="00B935F1">
              <w:rPr>
                <w:rFonts w:cs="Segoe UI"/>
                <w:szCs w:val="24"/>
              </w:rPr>
              <w:t>Other industry</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4.49</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5.62</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6.40</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8.80</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10.79</w:t>
            </w:r>
          </w:p>
        </w:tc>
      </w:tr>
      <w:tr w:rsidR="008B4CE7" w:rsidRPr="00B935F1" w:rsidTr="00F0207D">
        <w:trPr>
          <w:trHeight w:val="144"/>
        </w:trPr>
        <w:tc>
          <w:tcPr>
            <w:tcW w:w="338" w:type="pct"/>
            <w:tcBorders>
              <w:top w:val="nil"/>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13</w:t>
            </w:r>
          </w:p>
        </w:tc>
        <w:tc>
          <w:tcPr>
            <w:tcW w:w="1934" w:type="pct"/>
            <w:tcBorders>
              <w:top w:val="nil"/>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Construction</w:t>
            </w:r>
          </w:p>
        </w:tc>
        <w:tc>
          <w:tcPr>
            <w:tcW w:w="510"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4.49</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5.31</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5.83</w:t>
            </w:r>
          </w:p>
        </w:tc>
        <w:tc>
          <w:tcPr>
            <w:tcW w:w="555"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7.22</w:t>
            </w:r>
          </w:p>
        </w:tc>
        <w:tc>
          <w:tcPr>
            <w:tcW w:w="553" w:type="pct"/>
            <w:tcBorders>
              <w:top w:val="nil"/>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7.98</w:t>
            </w:r>
          </w:p>
        </w:tc>
      </w:tr>
      <w:tr w:rsidR="008B4CE7" w:rsidRPr="00B935F1"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r w:rsidRPr="00B935F1">
              <w:rPr>
                <w:rFonts w:cs="Segoe UI"/>
                <w:szCs w:val="24"/>
              </w:rPr>
              <w:t>14</w:t>
            </w:r>
          </w:p>
        </w:tc>
        <w:tc>
          <w:tcPr>
            <w:tcW w:w="193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Services</w:t>
            </w:r>
          </w:p>
        </w:tc>
        <w:tc>
          <w:tcPr>
            <w:tcW w:w="510"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38.94</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41.24</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40.37</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42.18</w:t>
            </w:r>
          </w:p>
        </w:tc>
        <w:tc>
          <w:tcPr>
            <w:tcW w:w="55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42.48</w:t>
            </w:r>
          </w:p>
        </w:tc>
      </w:tr>
      <w:tr w:rsidR="008B4CE7" w:rsidRPr="00B935F1"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93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Total</w:t>
            </w:r>
          </w:p>
        </w:tc>
        <w:tc>
          <w:tcPr>
            <w:tcW w:w="510"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c>
          <w:tcPr>
            <w:tcW w:w="55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szCs w:val="24"/>
              </w:rPr>
            </w:pPr>
            <w:r w:rsidRPr="00B935F1">
              <w:rPr>
                <w:rFonts w:cs="Segoe UI"/>
                <w:szCs w:val="24"/>
              </w:rPr>
              <w:t>100.00</w:t>
            </w:r>
          </w:p>
        </w:tc>
      </w:tr>
      <w:tr w:rsidR="008B4CE7" w:rsidRPr="00B935F1" w:rsidTr="00F0207D">
        <w:trPr>
          <w:trHeight w:val="144"/>
        </w:trPr>
        <w:tc>
          <w:tcPr>
            <w:tcW w:w="338" w:type="pct"/>
            <w:tcBorders>
              <w:top w:val="single" w:sz="4" w:space="0" w:color="auto"/>
              <w:left w:val="single" w:sz="4" w:space="0" w:color="auto"/>
              <w:bottom w:val="single" w:sz="4" w:space="0" w:color="auto"/>
              <w:right w:val="single" w:sz="4" w:space="0" w:color="auto"/>
            </w:tcBorders>
            <w:shd w:val="clear" w:color="auto" w:fill="auto"/>
            <w:hideMark/>
          </w:tcPr>
          <w:p w:rsidR="008B4CE7" w:rsidRPr="00B935F1" w:rsidRDefault="008B4CE7" w:rsidP="00F0207D">
            <w:pPr>
              <w:spacing w:after="0" w:line="240" w:lineRule="auto"/>
              <w:jc w:val="right"/>
              <w:rPr>
                <w:rFonts w:cs="Segoe UI"/>
                <w:szCs w:val="24"/>
              </w:rPr>
            </w:pPr>
          </w:p>
        </w:tc>
        <w:tc>
          <w:tcPr>
            <w:tcW w:w="1934" w:type="pct"/>
            <w:tcBorders>
              <w:top w:val="single" w:sz="4" w:space="0" w:color="auto"/>
              <w:left w:val="nil"/>
              <w:bottom w:val="single" w:sz="4" w:space="0" w:color="auto"/>
              <w:right w:val="single" w:sz="4" w:space="0" w:color="auto"/>
            </w:tcBorders>
            <w:shd w:val="clear" w:color="auto" w:fill="auto"/>
            <w:noWrap/>
            <w:vAlign w:val="bottom"/>
            <w:hideMark/>
          </w:tcPr>
          <w:p w:rsidR="008B4CE7" w:rsidRPr="00B935F1" w:rsidRDefault="008B4CE7" w:rsidP="00F0207D">
            <w:pPr>
              <w:spacing w:after="0" w:line="240" w:lineRule="auto"/>
              <w:rPr>
                <w:rFonts w:cs="Segoe UI"/>
                <w:b/>
                <w:bCs/>
                <w:szCs w:val="24"/>
              </w:rPr>
            </w:pPr>
            <w:r w:rsidRPr="00B935F1">
              <w:rPr>
                <w:rFonts w:cs="Segoe UI"/>
                <w:b/>
                <w:bCs/>
                <w:szCs w:val="24"/>
              </w:rPr>
              <w:t>Total Employment (Million persons)</w:t>
            </w:r>
          </w:p>
        </w:tc>
        <w:tc>
          <w:tcPr>
            <w:tcW w:w="510"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62.5</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68.8</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70.5</w:t>
            </w:r>
          </w:p>
        </w:tc>
        <w:tc>
          <w:tcPr>
            <w:tcW w:w="555"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86.2</w:t>
            </w:r>
          </w:p>
        </w:tc>
        <w:tc>
          <w:tcPr>
            <w:tcW w:w="553" w:type="pct"/>
            <w:tcBorders>
              <w:top w:val="single" w:sz="4" w:space="0" w:color="auto"/>
              <w:left w:val="nil"/>
              <w:bottom w:val="single" w:sz="4" w:space="0" w:color="auto"/>
              <w:right w:val="single" w:sz="4" w:space="0" w:color="auto"/>
            </w:tcBorders>
            <w:vAlign w:val="bottom"/>
          </w:tcPr>
          <w:p w:rsidR="008B4CE7" w:rsidRPr="00B935F1" w:rsidRDefault="008B4CE7" w:rsidP="00F0207D">
            <w:pPr>
              <w:spacing w:after="0" w:line="240" w:lineRule="auto"/>
              <w:jc w:val="right"/>
              <w:rPr>
                <w:rFonts w:cs="Segoe UI"/>
                <w:b/>
                <w:szCs w:val="24"/>
              </w:rPr>
            </w:pPr>
            <w:r w:rsidRPr="00B935F1">
              <w:rPr>
                <w:rFonts w:cs="Segoe UI"/>
                <w:b/>
                <w:szCs w:val="24"/>
              </w:rPr>
              <w:t>101.0</w:t>
            </w:r>
          </w:p>
        </w:tc>
      </w:tr>
    </w:tbl>
    <w:bookmarkEnd w:id="483"/>
    <w:p w:rsidR="008B4CE7" w:rsidRPr="00B935F1" w:rsidRDefault="008B4CE7" w:rsidP="008B4CE7">
      <w:pPr>
        <w:rPr>
          <w:b/>
          <w:i/>
          <w:szCs w:val="24"/>
        </w:rPr>
      </w:pPr>
      <w:r w:rsidRPr="00B935F1">
        <w:rPr>
          <w:b/>
          <w:i/>
          <w:szCs w:val="24"/>
        </w:rPr>
        <w:t xml:space="preserve">Source: </w:t>
      </w:r>
      <w:r>
        <w:rPr>
          <w:rFonts w:cs="Times New Roman"/>
          <w:szCs w:val="24"/>
        </w:rPr>
        <w:t xml:space="preserve">BDP 2100 </w:t>
      </w:r>
      <w:r w:rsidRPr="00B935F1">
        <w:rPr>
          <w:b/>
          <w:i/>
          <w:szCs w:val="24"/>
        </w:rPr>
        <w:t xml:space="preserve"> Projections</w:t>
      </w:r>
    </w:p>
    <w:p w:rsidR="008B4CE7" w:rsidRDefault="008B4CE7" w:rsidP="008B4CE7">
      <w:pPr>
        <w:rPr>
          <w:rFonts w:cs="Times New Roman"/>
          <w:szCs w:val="24"/>
        </w:rPr>
      </w:pPr>
    </w:p>
    <w:p w:rsidR="008B4CE7" w:rsidRPr="00B935F1" w:rsidRDefault="008B4CE7" w:rsidP="008B4CE7">
      <w:pPr>
        <w:rPr>
          <w:rFonts w:cs="Times New Roman"/>
          <w:b/>
          <w:color w:val="1F497D" w:themeColor="text2"/>
          <w:szCs w:val="24"/>
        </w:rPr>
      </w:pPr>
      <w:r w:rsidRPr="00B935F1">
        <w:rPr>
          <w:rFonts w:cs="Times New Roman"/>
          <w:szCs w:val="24"/>
        </w:rPr>
        <w:t xml:space="preserve">The key question analyzed in this </w:t>
      </w:r>
      <w:r>
        <w:rPr>
          <w:rFonts w:cs="Times New Roman"/>
          <w:szCs w:val="24"/>
        </w:rPr>
        <w:t>c</w:t>
      </w:r>
      <w:r w:rsidRPr="00B935F1">
        <w:rPr>
          <w:rFonts w:cs="Times New Roman"/>
          <w:szCs w:val="24"/>
        </w:rPr>
        <w:t xml:space="preserve">hapter is </w:t>
      </w:r>
      <w:r w:rsidRPr="007F0962">
        <w:rPr>
          <w:rFonts w:cs="Times New Roman"/>
          <w:bCs/>
          <w:i/>
          <w:iCs/>
          <w:szCs w:val="24"/>
        </w:rPr>
        <w:t xml:space="preserve">– can Bangladesh counter the adverse impacts of climate change?  The answer is Yes, provided it adopts appropriate policies and institutional reforms to tackle climate change and invests an additional 2 percent of GDP every year on </w:t>
      </w:r>
      <w:r>
        <w:rPr>
          <w:rFonts w:cs="Times New Roman"/>
          <w:bCs/>
          <w:i/>
          <w:iCs/>
          <w:szCs w:val="24"/>
        </w:rPr>
        <w:t xml:space="preserve">water resource management, climate change and disaster management </w:t>
      </w:r>
      <w:r w:rsidRPr="007F0962">
        <w:rPr>
          <w:rFonts w:cs="Times New Roman"/>
          <w:bCs/>
          <w:i/>
          <w:iCs/>
          <w:szCs w:val="24"/>
        </w:rPr>
        <w:t xml:space="preserve"> projects. </w:t>
      </w:r>
      <w:r w:rsidRPr="007F0962">
        <w:rPr>
          <w:rFonts w:cs="Times New Roman"/>
          <w:bCs/>
          <w:szCs w:val="24"/>
        </w:rPr>
        <w:t>These</w:t>
      </w:r>
      <w:r w:rsidRPr="00B935F1">
        <w:rPr>
          <w:rFonts w:cs="Times New Roman"/>
          <w:szCs w:val="24"/>
        </w:rPr>
        <w:t xml:space="preserve"> projects must be carefully designed and implemented on a fast track mode.  Calculations show that the benefit from the recovery of GDP growth will more than offset the investment cost of the various Delta Programmes, even without explicitly accounting for the loss of life and limb that would be averted in a Delta policy option. The logic for this result is the inherent strength of the Bangladesh economy. Investments and policies that adapt and mitigate those environmental risks help sustain the trends envisaged under the Seventh Plan and shown under the Delta Plan policy option.</w:t>
      </w:r>
    </w:p>
    <w:p w:rsidR="008B4CE7" w:rsidRDefault="008B4CE7" w:rsidP="00C23B34">
      <w:pPr>
        <w:pStyle w:val="Title"/>
        <w:pBdr>
          <w:bottom w:val="single" w:sz="8" w:space="7" w:color="4F81BD" w:themeColor="accent1"/>
        </w:pBdr>
        <w:spacing w:after="360"/>
        <w:jc w:val="center"/>
        <w:rPr>
          <w:rFonts w:cs="Times New Roman"/>
          <w:b/>
          <w:color w:val="1F497D" w:themeColor="text2"/>
          <w:szCs w:val="36"/>
        </w:rPr>
      </w:pPr>
    </w:p>
    <w:p w:rsidR="008B4CE7" w:rsidRDefault="008B4CE7" w:rsidP="00C23B34">
      <w:pPr>
        <w:pStyle w:val="Title"/>
        <w:pBdr>
          <w:bottom w:val="single" w:sz="8" w:space="7" w:color="4F81BD" w:themeColor="accent1"/>
        </w:pBdr>
        <w:spacing w:after="360"/>
        <w:jc w:val="center"/>
        <w:rPr>
          <w:rFonts w:cs="Times New Roman"/>
          <w:b/>
          <w:color w:val="1F497D" w:themeColor="text2"/>
          <w:szCs w:val="36"/>
        </w:rPr>
      </w:pPr>
    </w:p>
    <w:p w:rsidR="00C23B34" w:rsidRPr="002F6165" w:rsidRDefault="00C23B34" w:rsidP="00C23B34">
      <w:pPr>
        <w:pStyle w:val="Title"/>
        <w:pBdr>
          <w:bottom w:val="single" w:sz="8" w:space="7" w:color="4F81BD" w:themeColor="accent1"/>
        </w:pBdr>
        <w:spacing w:after="360"/>
        <w:jc w:val="center"/>
        <w:rPr>
          <w:rFonts w:cs="Times New Roman"/>
          <w:b/>
          <w:color w:val="1F497D" w:themeColor="text2"/>
          <w:szCs w:val="36"/>
        </w:rPr>
      </w:pPr>
      <w:r>
        <w:rPr>
          <w:rFonts w:cs="Times New Roman"/>
          <w:b/>
          <w:color w:val="1F497D" w:themeColor="text2"/>
          <w:szCs w:val="36"/>
        </w:rPr>
        <w:t>CHAPTER 6</w:t>
      </w:r>
      <w:bookmarkEnd w:id="243"/>
      <w:bookmarkEnd w:id="244"/>
    </w:p>
    <w:p w:rsidR="00C23B34" w:rsidRPr="0032604C" w:rsidRDefault="00C23B34" w:rsidP="008C0601">
      <w:pPr>
        <w:pStyle w:val="Heading1"/>
      </w:pPr>
      <w:bookmarkStart w:id="489" w:name="_Toc463603915"/>
      <w:bookmarkStart w:id="490" w:name="_Toc474638882"/>
      <w:r w:rsidRPr="0032604C">
        <w:t>Managing Water Resources</w:t>
      </w:r>
      <w:bookmarkEnd w:id="245"/>
      <w:bookmarkEnd w:id="489"/>
      <w:bookmarkEnd w:id="490"/>
    </w:p>
    <w:p w:rsidR="00F64A6A" w:rsidRDefault="00C23B34" w:rsidP="00F64A6A">
      <w:pPr>
        <w:pStyle w:val="Heading2"/>
      </w:pPr>
      <w:bookmarkStart w:id="491" w:name="_Toc448669466"/>
      <w:bookmarkStart w:id="492" w:name="_Toc463603916"/>
      <w:bookmarkStart w:id="493" w:name="_Toc474638883"/>
      <w:r w:rsidRPr="0032604C">
        <w:t>Introduction</w:t>
      </w:r>
      <w:bookmarkEnd w:id="491"/>
      <w:bookmarkEnd w:id="492"/>
      <w:bookmarkEnd w:id="493"/>
    </w:p>
    <w:p w:rsidR="00C23B34" w:rsidRPr="0032604C" w:rsidRDefault="00C23B34" w:rsidP="00C23B34">
      <w:pPr>
        <w:spacing w:line="276" w:lineRule="auto"/>
        <w:jc w:val="both"/>
        <w:rPr>
          <w:rFonts w:cs="Times New Roman"/>
          <w:szCs w:val="24"/>
        </w:rPr>
      </w:pPr>
      <w:r w:rsidRPr="0032604C">
        <w:rPr>
          <w:rFonts w:cs="Times New Roman"/>
          <w:szCs w:val="24"/>
        </w:rPr>
        <w:t xml:space="preserve">The hydro-morphological dynamics and characteristics of the GBM basins </w:t>
      </w:r>
      <w:r w:rsidR="002F06A6">
        <w:rPr>
          <w:rFonts w:cs="Times New Roman"/>
          <w:szCs w:val="24"/>
        </w:rPr>
        <w:t>discussed in Chapters 1 and 4</w:t>
      </w:r>
      <w:r>
        <w:rPr>
          <w:rFonts w:cs="Times New Roman"/>
          <w:szCs w:val="24"/>
        </w:rPr>
        <w:t xml:space="preserve"> </w:t>
      </w:r>
      <w:r w:rsidRPr="0032604C">
        <w:rPr>
          <w:rFonts w:cs="Times New Roman"/>
          <w:szCs w:val="24"/>
        </w:rPr>
        <w:t xml:space="preserve">govern the water resources management of Bangladesh. </w:t>
      </w:r>
      <w:r>
        <w:rPr>
          <w:rFonts w:cs="Times New Roman"/>
          <w:szCs w:val="24"/>
        </w:rPr>
        <w:t>As noted, the management of w</w:t>
      </w:r>
      <w:r w:rsidRPr="0032604C">
        <w:rPr>
          <w:rFonts w:cs="Times New Roman"/>
          <w:szCs w:val="24"/>
        </w:rPr>
        <w:t>ater resources within the country is very difficult and complex as the flow generated in the 93% catchment of the GBM which is lying outside the border of Bangladesh is drained out to the Bay of Bengal. The country is frequently hit by natural disasters such as, flood, river bank erosion, cyclone in the wet season; and drought in dry season. Moreover, the country encounters problems like water logging, salinity intrusion, arsenic contamination navigation problems etc. These issues, coupled with adverse climate change variability ultimately hinder the coun</w:t>
      </w:r>
      <w:r>
        <w:rPr>
          <w:rFonts w:cs="Times New Roman"/>
          <w:szCs w:val="24"/>
        </w:rPr>
        <w:t>try’s socio-economic endeavours, as elaborated in Chapter 2.</w:t>
      </w:r>
    </w:p>
    <w:p w:rsidR="00C23B34" w:rsidRPr="0032604C" w:rsidRDefault="00C23B34" w:rsidP="00C23B34">
      <w:pPr>
        <w:spacing w:line="276" w:lineRule="auto"/>
        <w:jc w:val="both"/>
        <w:rPr>
          <w:rFonts w:cs="Times New Roman"/>
          <w:szCs w:val="24"/>
        </w:rPr>
      </w:pPr>
      <w:r w:rsidRPr="0032604C">
        <w:rPr>
          <w:rFonts w:cs="Times New Roman"/>
          <w:szCs w:val="24"/>
        </w:rPr>
        <w:t>Water remains an indispensable resource and is used in diversified development, production as well as community sectors such as, agriculture, domestic, industrial, commercial, forestry, fisheries etc. The nation-wide demand for water is growing every day which is being intensified by several socio-technical drivers such as, high demographic growth, rapid and unplanned urbanization, high sectoral demand (such as agriculture, fisheries, transportation, industries etc.), climate change etc</w:t>
      </w:r>
      <w:r>
        <w:rPr>
          <w:rFonts w:cs="Times New Roman"/>
          <w:szCs w:val="24"/>
        </w:rPr>
        <w:t>.</w:t>
      </w:r>
      <w:r w:rsidRPr="0032604C">
        <w:rPr>
          <w:rFonts w:cs="Times New Roman"/>
          <w:szCs w:val="24"/>
        </w:rPr>
        <w:t xml:space="preserve"> On the other hand, essentiality of water for the rich but vulnerable ecosystem of the country, variability of water availability in dry and wet season complicates the issue of water resources management in Bangladesh.  Moreover, the country confronts with growing uncertainties in receiving equitable water share from its upper riparian countries. Therefore, it is of high importance for the country to manage this critical natural resource in an integrated and holistic strategic manner. </w:t>
      </w:r>
    </w:p>
    <w:p w:rsidR="00C23B34" w:rsidRPr="00893089" w:rsidRDefault="00F64A6A" w:rsidP="00C23B34">
      <w:pPr>
        <w:spacing w:line="276" w:lineRule="auto"/>
        <w:jc w:val="both"/>
        <w:rPr>
          <w:rFonts w:cs="Times New Roman"/>
          <w:szCs w:val="24"/>
          <w:u w:val="single"/>
        </w:rPr>
      </w:pPr>
      <w:r w:rsidRPr="00F64A6A">
        <w:rPr>
          <w:rFonts w:cs="Times New Roman"/>
          <w:szCs w:val="24"/>
          <w:u w:val="single"/>
        </w:rPr>
        <w:t>The country has some 35 central government organizations, affiliated with 13 ministries, which are functioning for water sector planning, development and management, with several large, medium and small water management projects to offer beneficial Irrigation, Flood Control and Drainage (NWMP, 2001).</w:t>
      </w:r>
      <w:r w:rsidR="00C23B34" w:rsidRPr="00AB56E1">
        <w:rPr>
          <w:rFonts w:cs="Times New Roman"/>
          <w:szCs w:val="24"/>
        </w:rPr>
        <w:t xml:space="preserve"> </w:t>
      </w:r>
      <w:r w:rsidR="00C23B34" w:rsidRPr="0032604C">
        <w:rPr>
          <w:rFonts w:cs="Times New Roman"/>
          <w:szCs w:val="24"/>
        </w:rPr>
        <w:t>A number of plans have been undertaken chronologically by the Government of Bangladesh during the last few decades for systematic Water Resources development and Management. However, the plans before or during the 1990s had limited emphasis</w:t>
      </w:r>
      <w:r w:rsidR="00735958">
        <w:rPr>
          <w:rFonts w:cs="Times New Roman"/>
          <w:szCs w:val="24"/>
        </w:rPr>
        <w:t xml:space="preserve"> on the interplay between and such contemporary challenges</w:t>
      </w:r>
      <w:r w:rsidR="00C23B34" w:rsidRPr="0032604C">
        <w:rPr>
          <w:rFonts w:cs="Times New Roman"/>
          <w:szCs w:val="24"/>
        </w:rPr>
        <w:t xml:space="preserve">, such </w:t>
      </w:r>
      <w:r w:rsidR="00735958">
        <w:rPr>
          <w:rFonts w:cs="Times New Roman"/>
          <w:szCs w:val="24"/>
        </w:rPr>
        <w:t>as climate change, natural disasters</w:t>
      </w:r>
      <w:r w:rsidR="00C23B34" w:rsidRPr="0032604C">
        <w:rPr>
          <w:rFonts w:cs="Times New Roman"/>
          <w:szCs w:val="24"/>
        </w:rPr>
        <w:t>, environment</w:t>
      </w:r>
      <w:r w:rsidR="00735958">
        <w:rPr>
          <w:rFonts w:cs="Times New Roman"/>
          <w:szCs w:val="24"/>
        </w:rPr>
        <w:t>, land management, agriculture and inland water management.  T</w:t>
      </w:r>
      <w:r w:rsidR="00C23B34" w:rsidRPr="0032604C">
        <w:rPr>
          <w:rFonts w:cs="Times New Roman"/>
          <w:szCs w:val="24"/>
        </w:rPr>
        <w:t xml:space="preserve">he plans formulated later on have expanded their domain to cover </w:t>
      </w:r>
      <w:r w:rsidR="00735958">
        <w:rPr>
          <w:rFonts w:cs="Times New Roman"/>
          <w:szCs w:val="24"/>
        </w:rPr>
        <w:t xml:space="preserve">some </w:t>
      </w:r>
      <w:r w:rsidR="00C23B34" w:rsidRPr="0032604C">
        <w:rPr>
          <w:rFonts w:cs="Times New Roman"/>
          <w:szCs w:val="24"/>
        </w:rPr>
        <w:t>such aspects, but the temporal extent of such plans is confined within the short to medium term only (20 to 30</w:t>
      </w:r>
      <w:r w:rsidR="00735958">
        <w:rPr>
          <w:rFonts w:cs="Times New Roman"/>
          <w:szCs w:val="24"/>
        </w:rPr>
        <w:t xml:space="preserve"> years), </w:t>
      </w:r>
      <w:r w:rsidR="00735958">
        <w:rPr>
          <w:rFonts w:cs="Times New Roman"/>
          <w:szCs w:val="24"/>
        </w:rPr>
        <w:lastRenderedPageBreak/>
        <w:t>limiting their</w:t>
      </w:r>
      <w:r w:rsidR="00C23B34" w:rsidRPr="0032604C">
        <w:rPr>
          <w:rFonts w:cs="Times New Roman"/>
          <w:szCs w:val="24"/>
        </w:rPr>
        <w:t xml:space="preserve"> prospects to properly address the long term consequences of climate change and other uncertainties (trans-boundary issues, population growth, land use changes etc.). </w:t>
      </w:r>
      <w:r w:rsidRPr="00F64A6A">
        <w:rPr>
          <w:rFonts w:cs="Times New Roman"/>
          <w:szCs w:val="24"/>
          <w:u w:val="single"/>
        </w:rPr>
        <w:t xml:space="preserve">Importantly, no previous water plan looked systematically at the interplay of water, climate change and natural disasters and the implications for GDP growth, poverty reduction and employment. </w:t>
      </w:r>
    </w:p>
    <w:p w:rsidR="00C23B34" w:rsidRPr="0032604C" w:rsidRDefault="00C23B34" w:rsidP="00C23B34">
      <w:pPr>
        <w:spacing w:line="276" w:lineRule="auto"/>
        <w:jc w:val="both"/>
        <w:rPr>
          <w:rFonts w:cs="Times New Roman"/>
          <w:szCs w:val="24"/>
        </w:rPr>
      </w:pPr>
      <w:r w:rsidRPr="0032604C">
        <w:rPr>
          <w:rFonts w:cs="Times New Roman"/>
          <w:szCs w:val="24"/>
        </w:rPr>
        <w:t xml:space="preserve">Bangladesh Delta Plan 2100 (BDP2100) therefore comes up with an adaptive, holistic and long term strategic plan to steer the </w:t>
      </w:r>
      <w:r w:rsidR="002F06A6">
        <w:rPr>
          <w:rFonts w:cs="Times New Roman"/>
          <w:szCs w:val="24"/>
        </w:rPr>
        <w:t xml:space="preserve">opportunities and vulnerabilities created by the interface of water, climate change, natural disasters, environment, ecological balance, agriculture, land use and inland water management for national development. The sustainable use of water resources and prevention of water-related natural disasters provides the backbone to the Delta Plan.  The </w:t>
      </w:r>
      <w:r w:rsidRPr="0032604C">
        <w:rPr>
          <w:rFonts w:cs="Times New Roman"/>
          <w:szCs w:val="24"/>
        </w:rPr>
        <w:t>BDP2100 offers a long term development perspective, considering the spatial and temporal extents of all the contemporary water related issues giving insight for necessary measures</w:t>
      </w:r>
      <w:r w:rsidR="002F06A6">
        <w:rPr>
          <w:rFonts w:cs="Times New Roman"/>
          <w:szCs w:val="24"/>
        </w:rPr>
        <w:t>,</w:t>
      </w:r>
      <w:r w:rsidRPr="0032604C">
        <w:rPr>
          <w:rFonts w:cs="Times New Roman"/>
          <w:szCs w:val="24"/>
        </w:rPr>
        <w:t xml:space="preserve"> termed as Delta </w:t>
      </w:r>
      <w:r w:rsidR="002F06A6">
        <w:rPr>
          <w:rFonts w:cs="Times New Roman"/>
          <w:szCs w:val="24"/>
        </w:rPr>
        <w:t xml:space="preserve">water </w:t>
      </w:r>
      <w:r w:rsidRPr="0032604C">
        <w:rPr>
          <w:rFonts w:cs="Times New Roman"/>
          <w:szCs w:val="24"/>
        </w:rPr>
        <w:t>stra</w:t>
      </w:r>
      <w:r w:rsidR="002F06A6">
        <w:rPr>
          <w:rFonts w:cs="Times New Roman"/>
          <w:szCs w:val="24"/>
        </w:rPr>
        <w:t>tegies, which describe the management of water issues</w:t>
      </w:r>
      <w:r w:rsidRPr="0032604C">
        <w:rPr>
          <w:rFonts w:cs="Times New Roman"/>
          <w:szCs w:val="24"/>
        </w:rPr>
        <w:t xml:space="preserve"> against the plausible </w:t>
      </w:r>
      <w:r w:rsidR="002E04F3">
        <w:rPr>
          <w:rFonts w:cs="Times New Roman"/>
          <w:szCs w:val="24"/>
        </w:rPr>
        <w:t>climate</w:t>
      </w:r>
      <w:r w:rsidR="002F06A6">
        <w:rPr>
          <w:rFonts w:cs="Times New Roman"/>
          <w:szCs w:val="24"/>
        </w:rPr>
        <w:t xml:space="preserve"> change </w:t>
      </w:r>
      <w:r w:rsidRPr="0032604C">
        <w:rPr>
          <w:rFonts w:cs="Times New Roman"/>
          <w:szCs w:val="24"/>
        </w:rPr>
        <w:t>uncertainties</w:t>
      </w:r>
      <w:r w:rsidR="002F06A6">
        <w:rPr>
          <w:rFonts w:cs="Times New Roman"/>
          <w:szCs w:val="24"/>
        </w:rPr>
        <w:t xml:space="preserve">. These water </w:t>
      </w:r>
      <w:r w:rsidR="00150166">
        <w:rPr>
          <w:rFonts w:cs="Times New Roman"/>
          <w:szCs w:val="24"/>
        </w:rPr>
        <w:t>st</w:t>
      </w:r>
      <w:r w:rsidR="002F06A6">
        <w:rPr>
          <w:rFonts w:cs="Times New Roman"/>
          <w:szCs w:val="24"/>
        </w:rPr>
        <w:t>rategies are aimed at</w:t>
      </w:r>
      <w:r w:rsidRPr="0032604C">
        <w:rPr>
          <w:rFonts w:cs="Times New Roman"/>
          <w:szCs w:val="24"/>
        </w:rPr>
        <w:t xml:space="preserve"> develop</w:t>
      </w:r>
      <w:r w:rsidR="002F06A6">
        <w:rPr>
          <w:rFonts w:cs="Times New Roman"/>
          <w:szCs w:val="24"/>
        </w:rPr>
        <w:t>ing</w:t>
      </w:r>
      <w:r w:rsidRPr="0032604C">
        <w:rPr>
          <w:rFonts w:cs="Times New Roman"/>
          <w:szCs w:val="24"/>
        </w:rPr>
        <w:t xml:space="preserve"> the country’s capacity to flexibly and productively adapt </w:t>
      </w:r>
      <w:r w:rsidR="002F06A6">
        <w:rPr>
          <w:rFonts w:cs="Times New Roman"/>
          <w:szCs w:val="24"/>
        </w:rPr>
        <w:t>its wa</w:t>
      </w:r>
      <w:r w:rsidR="00150166">
        <w:rPr>
          <w:rFonts w:cs="Times New Roman"/>
          <w:szCs w:val="24"/>
        </w:rPr>
        <w:t>t</w:t>
      </w:r>
      <w:r w:rsidR="002F06A6">
        <w:rPr>
          <w:rFonts w:cs="Times New Roman"/>
          <w:szCs w:val="24"/>
        </w:rPr>
        <w:t xml:space="preserve">er resource management </w:t>
      </w:r>
      <w:r w:rsidRPr="0032604C">
        <w:rPr>
          <w:rFonts w:cs="Times New Roman"/>
          <w:szCs w:val="24"/>
        </w:rPr>
        <w:t xml:space="preserve">to future climate and socio-economic changes as well as to the cross-boundary </w:t>
      </w:r>
      <w:r w:rsidR="00150166">
        <w:rPr>
          <w:rFonts w:cs="Times New Roman"/>
          <w:szCs w:val="24"/>
        </w:rPr>
        <w:t>developments in the GBM basins with a view to minimizing vulnerabilities and maximizing development gains in terms of growth of GDP, creation employment and reduction of poverty.</w:t>
      </w:r>
    </w:p>
    <w:p w:rsidR="00F64A6A" w:rsidRDefault="00C23B34" w:rsidP="00F64A6A">
      <w:pPr>
        <w:pStyle w:val="Heading2"/>
      </w:pPr>
      <w:bookmarkStart w:id="494" w:name="_Toc463603917"/>
      <w:bookmarkStart w:id="495" w:name="_Toc474638884"/>
      <w:r>
        <w:t xml:space="preserve">Water </w:t>
      </w:r>
      <w:r w:rsidRPr="009D4DB5">
        <w:t>Strategies</w:t>
      </w:r>
      <w:bookmarkEnd w:id="494"/>
      <w:bookmarkEnd w:id="495"/>
    </w:p>
    <w:p w:rsidR="00C23B34" w:rsidRDefault="00C23B34" w:rsidP="00C23B34">
      <w:pPr>
        <w:spacing w:line="276" w:lineRule="auto"/>
        <w:jc w:val="both"/>
        <w:rPr>
          <w:rFonts w:cs="Times New Roman"/>
          <w:szCs w:val="24"/>
        </w:rPr>
      </w:pPr>
      <w:r>
        <w:rPr>
          <w:rFonts w:cs="Times New Roman"/>
          <w:szCs w:val="24"/>
        </w:rPr>
        <w:t>Chapter 5 identified 6 Delta specific goals that are directly or indirectly related to the adaptive and efficient management of Bangladesh water resources.  The associate</w:t>
      </w:r>
      <w:r w:rsidR="004858F8">
        <w:rPr>
          <w:rFonts w:cs="Times New Roman"/>
          <w:szCs w:val="24"/>
        </w:rPr>
        <w:t>d</w:t>
      </w:r>
      <w:r>
        <w:rPr>
          <w:rFonts w:cs="Times New Roman"/>
          <w:szCs w:val="24"/>
        </w:rPr>
        <w:t xml:space="preserve"> water management strategies have two dimensions: Cross-boundary and national. The trans-boundary water management issues and related strategies were discussed </w:t>
      </w:r>
      <w:r w:rsidRPr="00AB56E1">
        <w:rPr>
          <w:rFonts w:cs="Times New Roman"/>
          <w:szCs w:val="24"/>
        </w:rPr>
        <w:t>in Chapter 4.</w:t>
      </w:r>
      <w:r>
        <w:rPr>
          <w:rFonts w:cs="Times New Roman"/>
          <w:szCs w:val="24"/>
        </w:rPr>
        <w:t xml:space="preserve"> In this Chapter, the national strategies for efficient water management will be discussed.  The strategies suggested here have a direct bearing on the effectiveness with which the 6 delta-specific goals are secured. In turn, they underpin the ability to secure the longer-term socio-economic goals of the Delta Plan based scenario discussed in Chapter 5. The adoption and implementation of national water strategies proposed here will have a determining effect on the ability of Bangladesh to achieve those longer-term goals.</w:t>
      </w:r>
    </w:p>
    <w:p w:rsidR="00C23B34" w:rsidRPr="000A3FB2" w:rsidRDefault="00C23B34" w:rsidP="00C23B34">
      <w:pPr>
        <w:spacing w:line="276" w:lineRule="auto"/>
        <w:jc w:val="both"/>
        <w:rPr>
          <w:rFonts w:cs="Times New Roman"/>
          <w:szCs w:val="24"/>
          <w:lang w:val="en-GB"/>
        </w:rPr>
      </w:pPr>
      <w:r w:rsidRPr="000A3FB2">
        <w:rPr>
          <w:rFonts w:cs="Times New Roman"/>
          <w:szCs w:val="24"/>
        </w:rPr>
        <w:t xml:space="preserve">Efficient management of water resources in long run for sustainable economic development of the country requires formulation of strategies considering the spatial and temporal extents of all the contemporary water related issues with thorough acknowledgement of institutional capacity and coordination as well as the short and medium term development targets of the country. Therefore, a set of strategies with different kinds of measures have been formulated under the Bangladesh Delta Plan 2100 for the National Issues and Hotspots identified based on the detailed analysis of the water related problems and challenges of the Hydrological Regions with motivations of becoming </w:t>
      </w:r>
      <w:r w:rsidR="00893089">
        <w:rPr>
          <w:rFonts w:cs="Times New Roman"/>
          <w:szCs w:val="24"/>
        </w:rPr>
        <w:t xml:space="preserve">upper </w:t>
      </w:r>
      <w:r w:rsidRPr="000A3FB2">
        <w:rPr>
          <w:rFonts w:cs="Times New Roman"/>
          <w:szCs w:val="24"/>
        </w:rPr>
        <w:t xml:space="preserve">middle income country as laid </w:t>
      </w:r>
      <w:r w:rsidR="00893089">
        <w:rPr>
          <w:rFonts w:cs="Times New Roman"/>
          <w:szCs w:val="24"/>
        </w:rPr>
        <w:t>in this document</w:t>
      </w:r>
      <w:r w:rsidRPr="000A3FB2">
        <w:rPr>
          <w:rFonts w:cs="Times New Roman"/>
          <w:szCs w:val="24"/>
          <w:lang w:val="en-GB"/>
        </w:rPr>
        <w:t xml:space="preserve">; achieving </w:t>
      </w:r>
      <w:r w:rsidRPr="000A3FB2">
        <w:rPr>
          <w:rFonts w:cs="Times New Roman"/>
          <w:szCs w:val="24"/>
          <w:lang w:val="en-GB"/>
        </w:rPr>
        <w:lastRenderedPageBreak/>
        <w:t>Sustainable Development Goal set by the United Nations by 2030; fulfilling the Vision 2041 of the Government of Bangladesh for becoming a developed country; Delta Vision, Goals of Bangladesh Delta Plan 2100. It is to be noted that the strategies with different measures have been formulated on the six specific issues and hotsp</w:t>
      </w:r>
      <w:r>
        <w:rPr>
          <w:rFonts w:cs="Times New Roman"/>
          <w:szCs w:val="24"/>
          <w:lang w:val="en-GB"/>
        </w:rPr>
        <w:t>ots as identified in Chapter 1. T</w:t>
      </w:r>
      <w:r w:rsidRPr="000A3FB2">
        <w:rPr>
          <w:rFonts w:cs="Times New Roman"/>
          <w:szCs w:val="24"/>
          <w:lang w:val="en-GB"/>
        </w:rPr>
        <w:t>he problems related to institutional</w:t>
      </w:r>
      <w:r>
        <w:rPr>
          <w:rFonts w:cs="Times New Roman"/>
          <w:szCs w:val="24"/>
          <w:lang w:val="en-GB"/>
        </w:rPr>
        <w:t xml:space="preserve"> capacity and coordination and k</w:t>
      </w:r>
      <w:r w:rsidRPr="000A3FB2">
        <w:rPr>
          <w:rFonts w:cs="Times New Roman"/>
          <w:szCs w:val="24"/>
          <w:lang w:val="en-GB"/>
        </w:rPr>
        <w:t>nowledge gaps have been addressed separately under the strategic measures with heading “Institutional” and “Knowledge” for each of the strategies.</w:t>
      </w:r>
    </w:p>
    <w:p w:rsidR="00C23B34" w:rsidRPr="00893089" w:rsidRDefault="00C23B34" w:rsidP="00C23B34">
      <w:pPr>
        <w:spacing w:line="276" w:lineRule="auto"/>
        <w:jc w:val="both"/>
        <w:rPr>
          <w:rFonts w:cs="Times New Roman"/>
          <w:iCs/>
          <w:szCs w:val="24"/>
          <w:u w:val="single"/>
        </w:rPr>
      </w:pPr>
      <w:r w:rsidRPr="000A3FB2">
        <w:rPr>
          <w:rFonts w:cs="Times New Roman"/>
          <w:szCs w:val="24"/>
          <w:lang w:val="en-GB"/>
        </w:rPr>
        <w:t xml:space="preserve">The strategies for managing water resources in wet and dry season have been formulated are </w:t>
      </w:r>
      <w:r w:rsidRPr="000A3FB2">
        <w:rPr>
          <w:rFonts w:cs="Times New Roman"/>
          <w:b/>
          <w:bCs/>
          <w:iCs/>
          <w:szCs w:val="24"/>
        </w:rPr>
        <w:t>flexible</w:t>
      </w:r>
      <w:r w:rsidRPr="000A3FB2">
        <w:rPr>
          <w:rFonts w:cs="Times New Roman"/>
          <w:szCs w:val="24"/>
        </w:rPr>
        <w:t xml:space="preserve"> in respect of measures and actions with its timeframe and uncertainties</w:t>
      </w:r>
      <w:r w:rsidRPr="000A3FB2">
        <w:rPr>
          <w:rFonts w:cs="Times New Roman"/>
          <w:szCs w:val="24"/>
          <w:lang w:val="en-GB"/>
        </w:rPr>
        <w:t xml:space="preserve">. </w:t>
      </w:r>
      <w:r w:rsidR="00F64A6A" w:rsidRPr="00F64A6A">
        <w:rPr>
          <w:rFonts w:cs="Times New Roman"/>
          <w:szCs w:val="24"/>
          <w:u w:val="single"/>
          <w:lang w:val="en-GB"/>
        </w:rPr>
        <w:t xml:space="preserve">The strategies are </w:t>
      </w:r>
      <w:r w:rsidR="00F64A6A" w:rsidRPr="00F64A6A">
        <w:rPr>
          <w:rFonts w:cs="Times New Roman"/>
          <w:b/>
          <w:bCs/>
          <w:iCs/>
          <w:szCs w:val="24"/>
          <w:u w:val="single"/>
        </w:rPr>
        <w:t>adaptive</w:t>
      </w:r>
      <w:r w:rsidR="00F64A6A" w:rsidRPr="00F64A6A">
        <w:rPr>
          <w:rFonts w:cs="Times New Roman"/>
          <w:szCs w:val="24"/>
          <w:u w:val="single"/>
        </w:rPr>
        <w:t xml:space="preserve"> in the sense of periodic review and update in Five Year Planning cycle on the basis of situation and development need. These are ‘</w:t>
      </w:r>
      <w:r w:rsidR="00F64A6A" w:rsidRPr="00F64A6A">
        <w:rPr>
          <w:rFonts w:cs="Times New Roman"/>
          <w:b/>
          <w:szCs w:val="24"/>
          <w:u w:val="single"/>
        </w:rPr>
        <w:t>no</w:t>
      </w:r>
      <w:r w:rsidR="00F64A6A" w:rsidRPr="00F64A6A">
        <w:rPr>
          <w:rFonts w:cs="Times New Roman"/>
          <w:b/>
          <w:bCs/>
          <w:iCs/>
          <w:szCs w:val="24"/>
          <w:u w:val="single"/>
        </w:rPr>
        <w:t xml:space="preserve"> regret' strategies  </w:t>
      </w:r>
      <w:r w:rsidR="00F64A6A" w:rsidRPr="00F64A6A">
        <w:rPr>
          <w:rFonts w:cs="Times New Roman"/>
          <w:szCs w:val="24"/>
          <w:u w:val="single"/>
        </w:rPr>
        <w:t xml:space="preserve">in a sense of effectiveness and maximum  benefit and offers </w:t>
      </w:r>
      <w:r w:rsidR="00F64A6A" w:rsidRPr="00F64A6A">
        <w:rPr>
          <w:rFonts w:cs="Times New Roman"/>
          <w:b/>
          <w:bCs/>
          <w:iCs/>
          <w:szCs w:val="24"/>
          <w:u w:val="single"/>
        </w:rPr>
        <w:t>integrated i</w:t>
      </w:r>
      <w:r w:rsidR="00F64A6A" w:rsidRPr="00F64A6A">
        <w:rPr>
          <w:rFonts w:cs="Times New Roman"/>
          <w:szCs w:val="24"/>
          <w:u w:val="single"/>
        </w:rPr>
        <w:t xml:space="preserve">mplementation with </w:t>
      </w:r>
      <w:r w:rsidR="00F64A6A" w:rsidRPr="00F64A6A">
        <w:rPr>
          <w:rFonts w:cs="Times New Roman"/>
          <w:iCs/>
          <w:szCs w:val="24"/>
          <w:u w:val="single"/>
        </w:rPr>
        <w:t xml:space="preserve">innovation, advanced information technology and strengthened  institutional capacity. </w:t>
      </w:r>
    </w:p>
    <w:p w:rsidR="00F64A6A" w:rsidRDefault="00C23B34" w:rsidP="00F64A6A">
      <w:pPr>
        <w:pStyle w:val="Heading2"/>
      </w:pPr>
      <w:bookmarkStart w:id="496" w:name="_Toc463603918"/>
      <w:bookmarkStart w:id="497" w:name="_Toc474638885"/>
      <w:r w:rsidRPr="002B75A4">
        <w:t>National Strategy</w:t>
      </w:r>
      <w:bookmarkEnd w:id="496"/>
      <w:bookmarkEnd w:id="497"/>
    </w:p>
    <w:p w:rsidR="00C23B34" w:rsidRPr="00893089" w:rsidRDefault="00C23B34" w:rsidP="00C23B34">
      <w:pPr>
        <w:spacing w:line="276" w:lineRule="auto"/>
        <w:jc w:val="both"/>
        <w:rPr>
          <w:rFonts w:cs="Times New Roman"/>
          <w:u w:val="single"/>
        </w:rPr>
      </w:pPr>
      <w:r w:rsidRPr="00780E0A">
        <w:rPr>
          <w:rFonts w:cs="Times New Roman"/>
        </w:rPr>
        <w:t>Strategies to be implemented at National Level have been formulated on the six identified issues common in all the Hydrological Regions of Bangladesh</w:t>
      </w:r>
      <w:r>
        <w:rPr>
          <w:rFonts w:cs="Times New Roman"/>
        </w:rPr>
        <w:t xml:space="preserve"> (Chapter 4)</w:t>
      </w:r>
      <w:r w:rsidRPr="00780E0A">
        <w:rPr>
          <w:rFonts w:cs="Times New Roman"/>
        </w:rPr>
        <w:t xml:space="preserve">. </w:t>
      </w:r>
      <w:r w:rsidR="00F64A6A" w:rsidRPr="00F64A6A">
        <w:rPr>
          <w:rFonts w:cs="Times New Roman"/>
          <w:u w:val="single"/>
        </w:rPr>
        <w:t>The measures prescribed under these strategies consist of Structural Intervention, Non-structural Interventions, Institutional Measures and Measures regarding Capacity Building. It is to be noted that many strategies and their measures formulated for different issues are cross-cutting in nature.</w:t>
      </w:r>
    </w:p>
    <w:p w:rsidR="00000000" w:rsidRDefault="00C23B34" w:rsidP="003D5A31">
      <w:pPr>
        <w:pStyle w:val="BodyText"/>
        <w:numPr>
          <w:ilvl w:val="2"/>
          <w:numId w:val="146"/>
        </w:numPr>
        <w:spacing w:after="240" w:line="276" w:lineRule="auto"/>
        <w:jc w:val="both"/>
        <w:rPr>
          <w:rFonts w:cs="Times New Roman"/>
          <w:b/>
          <w:szCs w:val="24"/>
        </w:rPr>
      </w:pPr>
      <w:r w:rsidRPr="0034369B">
        <w:rPr>
          <w:rFonts w:cs="Times New Roman"/>
          <w:b/>
          <w:szCs w:val="24"/>
        </w:rPr>
        <w:t>Flood management</w:t>
      </w:r>
    </w:p>
    <w:p w:rsidR="00C23B34" w:rsidRPr="00140A1F" w:rsidRDefault="00C23B34" w:rsidP="00C23B34">
      <w:pPr>
        <w:autoSpaceDE w:val="0"/>
        <w:autoSpaceDN w:val="0"/>
        <w:adjustRightInd w:val="0"/>
        <w:spacing w:line="276" w:lineRule="auto"/>
        <w:jc w:val="both"/>
        <w:rPr>
          <w:rFonts w:cs="Times New Roman"/>
          <w:b/>
          <w:i/>
        </w:rPr>
      </w:pPr>
      <w:r w:rsidRPr="00140A1F">
        <w:rPr>
          <w:rFonts w:cs="Times New Roman"/>
          <w:b/>
          <w:i/>
        </w:rPr>
        <w:t>Strategy: Integrated Flood Management against Extreme Flood</w:t>
      </w:r>
    </w:p>
    <w:p w:rsidR="00C23B34" w:rsidRPr="005254B6" w:rsidRDefault="00C23B34" w:rsidP="00C23B34">
      <w:pPr>
        <w:autoSpaceDE w:val="0"/>
        <w:autoSpaceDN w:val="0"/>
        <w:adjustRightInd w:val="0"/>
        <w:spacing w:line="276" w:lineRule="auto"/>
        <w:jc w:val="both"/>
        <w:rPr>
          <w:rFonts w:cs="Times New Roman"/>
        </w:rPr>
      </w:pPr>
      <w:r w:rsidRPr="00AB56E1">
        <w:rPr>
          <w:rFonts w:cs="Times New Roman"/>
        </w:rPr>
        <w:t xml:space="preserve">The Concept of Integrated Flood Management in the realm of disaster management needs to be further developed and practiced. </w:t>
      </w:r>
      <w:r w:rsidRPr="00147A70">
        <w:rPr>
          <w:rFonts w:cs="Times New Roman"/>
        </w:rPr>
        <w:t xml:space="preserve">It deals with the management in a proactive way adopting holistic water cycle management, risk and uncertainty management and participatory approach. </w:t>
      </w:r>
      <w:r w:rsidR="00F64A6A" w:rsidRPr="00F64A6A">
        <w:rPr>
          <w:rFonts w:cs="Times New Roman"/>
          <w:u w:val="single"/>
        </w:rPr>
        <w:t>Currently, 40-60% area of the country has a record of being inundated during extreme flood event having a 50 year onward return period. A great extent of loss could have been minimized</w:t>
      </w:r>
      <w:r w:rsidRPr="00147A70">
        <w:rPr>
          <w:rFonts w:cs="Times New Roman"/>
        </w:rPr>
        <w:t xml:space="preserve"> by early flood forecasting system and consequent implementation of a real-time flood warning system. Local institutions should be well prepared to combat the disaster and support the vulnerable community. Awareness and preparedness levels in many of the flood risk areas, which are strikingly low</w:t>
      </w:r>
      <w:r>
        <w:rPr>
          <w:rFonts w:cs="Times New Roman"/>
        </w:rPr>
        <w:t>,</w:t>
      </w:r>
      <w:r w:rsidRPr="00147A70">
        <w:rPr>
          <w:rFonts w:cs="Times New Roman"/>
        </w:rPr>
        <w:t xml:space="preserve"> need to be improved. This strategy should be followed immediately. The entire country should be brought under the coverage of this integra</w:t>
      </w:r>
      <w:r>
        <w:rPr>
          <w:rFonts w:cs="Times New Roman"/>
        </w:rPr>
        <w:t xml:space="preserve">ted flood management approach. </w:t>
      </w:r>
    </w:p>
    <w:p w:rsidR="00C23B34" w:rsidRDefault="00C23B34" w:rsidP="00C23B34">
      <w:pPr>
        <w:autoSpaceDE w:val="0"/>
        <w:autoSpaceDN w:val="0"/>
        <w:adjustRightInd w:val="0"/>
        <w:spacing w:line="276" w:lineRule="auto"/>
        <w:jc w:val="both"/>
        <w:rPr>
          <w:rFonts w:cs="Times New Roman"/>
          <w:b/>
          <w:shd w:val="clear" w:color="auto" w:fill="FFFFFF"/>
        </w:rPr>
      </w:pPr>
      <w:r w:rsidRPr="00147A70">
        <w:rPr>
          <w:rFonts w:cs="Times New Roman"/>
          <w:b/>
          <w:shd w:val="clear" w:color="auto" w:fill="FFFFFF"/>
        </w:rPr>
        <w:t>Structural Intervention</w:t>
      </w:r>
    </w:p>
    <w:p w:rsidR="00C23B34" w:rsidRPr="00893089" w:rsidRDefault="00C23B34" w:rsidP="00C23B34">
      <w:pPr>
        <w:autoSpaceDE w:val="0"/>
        <w:autoSpaceDN w:val="0"/>
        <w:adjustRightInd w:val="0"/>
        <w:spacing w:line="276" w:lineRule="auto"/>
        <w:jc w:val="both"/>
        <w:rPr>
          <w:rFonts w:eastAsia="Times New Roman" w:cs="Times New Roman"/>
          <w:bCs/>
          <w:color w:val="000000"/>
          <w:u w:val="single"/>
        </w:rPr>
      </w:pPr>
      <w:r w:rsidRPr="005254B6">
        <w:rPr>
          <w:rFonts w:eastAsia="Times New Roman" w:cs="Times New Roman"/>
          <w:b/>
          <w:bCs/>
          <w:color w:val="000000"/>
        </w:rPr>
        <w:lastRenderedPageBreak/>
        <w:t xml:space="preserve">Extension of flood protected area </w:t>
      </w:r>
      <w:r w:rsidRPr="005254B6">
        <w:rPr>
          <w:rFonts w:eastAsia="Times New Roman" w:cs="Times New Roman"/>
          <w:bCs/>
          <w:color w:val="000000"/>
        </w:rPr>
        <w:t>by bringing 16,844 km</w:t>
      </w:r>
      <w:r w:rsidRPr="005254B6">
        <w:rPr>
          <w:rFonts w:eastAsia="Times New Roman" w:cs="Times New Roman"/>
          <w:bCs/>
          <w:color w:val="000000"/>
          <w:vertAlign w:val="superscript"/>
        </w:rPr>
        <w:t xml:space="preserve">2 </w:t>
      </w:r>
      <w:r w:rsidRPr="005254B6">
        <w:rPr>
          <w:rFonts w:eastAsia="Times New Roman" w:cs="Times New Roman"/>
          <w:bCs/>
          <w:color w:val="000000"/>
        </w:rPr>
        <w:t>of u</w:t>
      </w:r>
      <w:r>
        <w:rPr>
          <w:rFonts w:eastAsia="Times New Roman" w:cs="Times New Roman"/>
          <w:bCs/>
          <w:color w:val="000000"/>
        </w:rPr>
        <w:t>nprotected areas (CEGIS</w:t>
      </w:r>
      <w:r w:rsidRPr="005254B6">
        <w:rPr>
          <w:rFonts w:eastAsia="Times New Roman" w:cs="Times New Roman"/>
          <w:bCs/>
          <w:color w:val="000000"/>
        </w:rPr>
        <w:t>, 2016) against extreme floods</w:t>
      </w:r>
      <w:r>
        <w:rPr>
          <w:rFonts w:eastAsia="Times New Roman" w:cs="Times New Roman"/>
          <w:bCs/>
          <w:color w:val="000000"/>
        </w:rPr>
        <w:t xml:space="preserve"> </w:t>
      </w:r>
      <w:r w:rsidRPr="005254B6">
        <w:rPr>
          <w:rFonts w:eastAsia="Times New Roman" w:cs="Times New Roman"/>
          <w:bCs/>
          <w:color w:val="000000"/>
        </w:rPr>
        <w:t>(See Map 6.1)</w:t>
      </w:r>
      <w:r>
        <w:rPr>
          <w:rFonts w:eastAsia="Times New Roman" w:cs="Times New Roman"/>
          <w:bCs/>
          <w:color w:val="000000"/>
        </w:rPr>
        <w:t xml:space="preserve"> </w:t>
      </w:r>
      <w:r w:rsidRPr="005254B6">
        <w:rPr>
          <w:rFonts w:eastAsia="Times New Roman" w:cs="Times New Roman"/>
          <w:bCs/>
          <w:color w:val="000000"/>
        </w:rPr>
        <w:t xml:space="preserve">through construction of new embankments, rubber dams, natural flood preventions (e.g. green belt) etc. as well as maintenance and/or strengthening of existing flood protection measures for protection of urban, rural, commercial, industrial and </w:t>
      </w:r>
      <w:r w:rsidR="002424F1">
        <w:rPr>
          <w:rFonts w:eastAsia="Times New Roman" w:cs="Times New Roman"/>
          <w:bCs/>
          <w:color w:val="000000"/>
        </w:rPr>
        <w:t>public</w:t>
      </w:r>
      <w:r w:rsidRPr="005254B6">
        <w:rPr>
          <w:rFonts w:eastAsia="Times New Roman" w:cs="Times New Roman"/>
          <w:bCs/>
          <w:color w:val="000000"/>
        </w:rPr>
        <w:t xml:space="preserve"> utility centers and communication networks from extreme flooding. </w:t>
      </w:r>
      <w:r w:rsidRPr="005254B6">
        <w:rPr>
          <w:rFonts w:cs="Times New Roman"/>
        </w:rPr>
        <w:t xml:space="preserve">Extreme floods occur when peak flows of the major rivers coincide with spring tides or cyclonic surges in the Bay of Bengal. </w:t>
      </w:r>
      <w:r w:rsidRPr="005254B6">
        <w:rPr>
          <w:rFonts w:eastAsia="Times New Roman" w:cs="Times New Roman"/>
          <w:bCs/>
          <w:color w:val="000000"/>
        </w:rPr>
        <w:t xml:space="preserve">Attention to be first given on protecting the highly to very highly vulnerable areas prone to extreme flooding that are not yet brought under flood protection i.e. the areas which suffered from the extreme flood of 1988, 1998, 2004 and 2007 but not protected yet. </w:t>
      </w:r>
      <w:r w:rsidR="00F64A6A" w:rsidRPr="00F64A6A">
        <w:rPr>
          <w:rFonts w:eastAsia="Times New Roman" w:cs="Times New Roman"/>
          <w:bCs/>
          <w:color w:val="000000"/>
          <w:u w:val="single"/>
        </w:rPr>
        <w:t>Priority should be given to protect the very highly and then to highly vulnerable districts in terms of flood vulnerable population as defined in Flood Response Plan (2014).</w:t>
      </w:r>
    </w:p>
    <w:p w:rsidR="00C23B34" w:rsidRPr="00147A70" w:rsidRDefault="00C23B34" w:rsidP="00C23B34">
      <w:pPr>
        <w:pStyle w:val="Heading6"/>
        <w:spacing w:after="0"/>
        <w:rPr>
          <w:shd w:val="clear" w:color="auto" w:fill="FFFFFF"/>
        </w:rPr>
      </w:pPr>
      <w:bookmarkStart w:id="498" w:name="_Toc463529054"/>
      <w:bookmarkStart w:id="499" w:name="_Toc474639318"/>
      <w:r w:rsidRPr="00147A70">
        <w:rPr>
          <w:shd w:val="clear" w:color="auto" w:fill="FFFFFF"/>
        </w:rPr>
        <w:t xml:space="preserve">Map </w:t>
      </w:r>
      <w:r>
        <w:rPr>
          <w:shd w:val="clear" w:color="auto" w:fill="FFFFFF"/>
        </w:rPr>
        <w:t>6.</w:t>
      </w:r>
      <w:r w:rsidRPr="00147A70">
        <w:rPr>
          <w:shd w:val="clear" w:color="auto" w:fill="FFFFFF"/>
        </w:rPr>
        <w:t>1: Unprotected areas against Extreme Flood</w:t>
      </w:r>
      <w:bookmarkEnd w:id="498"/>
      <w:bookmarkEnd w:id="499"/>
    </w:p>
    <w:p w:rsidR="00C23B34" w:rsidRDefault="00C23B34" w:rsidP="00C23B34">
      <w:pPr>
        <w:spacing w:after="0"/>
        <w:jc w:val="both"/>
        <w:rPr>
          <w:rFonts w:eastAsia="Times New Roman"/>
          <w:b/>
          <w:highlight w:val="yellow"/>
        </w:rPr>
      </w:pPr>
      <w:r>
        <w:rPr>
          <w:rFonts w:eastAsia="Times New Roman"/>
          <w:noProof/>
          <w:lang w:val="en-AU" w:eastAsia="en-AU" w:bidi="bn-BD"/>
        </w:rPr>
        <w:lastRenderedPageBreak/>
        <w:drawing>
          <wp:inline distT="0" distB="0" distL="0" distR="0">
            <wp:extent cx="5467350" cy="5705475"/>
            <wp:effectExtent l="0" t="0" r="0" b="9525"/>
            <wp:docPr id="119" name="Picture 119" descr="C:\Users\TJN\AppData\Local\Microsoft\Windows\Temporary Internet Files\Content.Outlook\YHUSA1G1\Unprotected Flood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JN\AppData\Local\Microsoft\Windows\Temporary Internet Files\Content.Outlook\YHUSA1G1\Unprotected Flood area.jpg"/>
                    <pic:cNvPicPr>
                      <a:picLocks noChangeAspect="1" noChangeArrowheads="1"/>
                    </pic:cNvPicPr>
                  </pic:nvPicPr>
                  <pic:blipFill>
                    <a:blip r:embed="rId112" cstate="print"/>
                    <a:srcRect t="1379" b="876"/>
                    <a:stretch>
                      <a:fillRect/>
                    </a:stretch>
                  </pic:blipFill>
                  <pic:spPr bwMode="auto">
                    <a:xfrm>
                      <a:off x="0" y="0"/>
                      <a:ext cx="5468095" cy="5706252"/>
                    </a:xfrm>
                    <a:prstGeom prst="rect">
                      <a:avLst/>
                    </a:prstGeom>
                    <a:noFill/>
                    <a:ln w="9525">
                      <a:noFill/>
                      <a:miter lim="800000"/>
                      <a:headEnd/>
                      <a:tailEnd/>
                    </a:ln>
                  </pic:spPr>
                </pic:pic>
              </a:graphicData>
            </a:graphic>
          </wp:inline>
        </w:drawing>
      </w:r>
    </w:p>
    <w:p w:rsidR="00C23B34" w:rsidRPr="00E74690" w:rsidRDefault="00C23B34" w:rsidP="00C23B34">
      <w:pPr>
        <w:jc w:val="both"/>
        <w:rPr>
          <w:rFonts w:eastAsia="Times New Roman" w:cs="Times New Roman"/>
          <w:b/>
          <w:i/>
          <w:sz w:val="20"/>
          <w:szCs w:val="24"/>
        </w:rPr>
      </w:pPr>
      <w:r>
        <w:rPr>
          <w:rFonts w:eastAsia="Times New Roman" w:cs="Times New Roman"/>
          <w:b/>
          <w:i/>
          <w:sz w:val="20"/>
          <w:szCs w:val="24"/>
        </w:rPr>
        <w:t xml:space="preserve">       </w:t>
      </w:r>
      <w:r w:rsidRPr="00E74690">
        <w:rPr>
          <w:rFonts w:eastAsia="Times New Roman" w:cs="Times New Roman"/>
          <w:b/>
          <w:i/>
          <w:sz w:val="20"/>
          <w:szCs w:val="24"/>
        </w:rPr>
        <w:t>Source: CEGIS</w:t>
      </w:r>
    </w:p>
    <w:p w:rsidR="00C23B34" w:rsidRPr="00CC37A3" w:rsidRDefault="00C23B34" w:rsidP="00C23B34">
      <w:pPr>
        <w:pStyle w:val="ListParagraph"/>
        <w:autoSpaceDE w:val="0"/>
        <w:autoSpaceDN w:val="0"/>
        <w:adjustRightInd w:val="0"/>
        <w:spacing w:line="276" w:lineRule="auto"/>
        <w:ind w:left="0"/>
        <w:jc w:val="both"/>
        <w:rPr>
          <w:rFonts w:eastAsia="Times New Roman" w:cs="Times New Roman"/>
          <w:bCs/>
          <w:color w:val="000000"/>
        </w:rPr>
      </w:pPr>
      <w:r w:rsidRPr="00147A70">
        <w:rPr>
          <w:rFonts w:eastAsia="Times New Roman" w:cs="Times New Roman"/>
          <w:b/>
          <w:bCs/>
          <w:color w:val="000000"/>
        </w:rPr>
        <w:t>Very Highly Vulnerable Flood Prone Districts:</w:t>
      </w:r>
      <w:r w:rsidRPr="00147A70">
        <w:rPr>
          <w:rFonts w:eastAsia="Times New Roman" w:cs="Times New Roman"/>
          <w:bCs/>
          <w:color w:val="000000"/>
        </w:rPr>
        <w:t xml:space="preserve"> Sirajganj und</w:t>
      </w:r>
      <w:r>
        <w:rPr>
          <w:rFonts w:eastAsia="Times New Roman" w:cs="Times New Roman"/>
          <w:bCs/>
          <w:color w:val="000000"/>
        </w:rPr>
        <w:t xml:space="preserve">er NW region; Dhaka, Jamalpur and </w:t>
      </w:r>
      <w:r w:rsidRPr="00147A70">
        <w:rPr>
          <w:rFonts w:eastAsia="Times New Roman" w:cs="Times New Roman"/>
          <w:bCs/>
          <w:color w:val="000000"/>
        </w:rPr>
        <w:t>Manikganj under NC; Brahmanbaria, Netrokona and Sunamganj districts u</w:t>
      </w:r>
      <w:r>
        <w:rPr>
          <w:rFonts w:eastAsia="Times New Roman" w:cs="Times New Roman"/>
          <w:bCs/>
          <w:color w:val="000000"/>
        </w:rPr>
        <w:t xml:space="preserve">nder NE; Rajbari, Gopalganj, </w:t>
      </w:r>
      <w:r w:rsidRPr="00147A70">
        <w:rPr>
          <w:rFonts w:eastAsia="Times New Roman" w:cs="Times New Roman"/>
          <w:bCs/>
          <w:color w:val="000000"/>
        </w:rPr>
        <w:t>Mada</w:t>
      </w:r>
      <w:r>
        <w:rPr>
          <w:rFonts w:eastAsia="Times New Roman" w:cs="Times New Roman"/>
          <w:bCs/>
          <w:color w:val="000000"/>
        </w:rPr>
        <w:t>ripur and Shariatpur districts under SE; Baris</w:t>
      </w:r>
      <w:r w:rsidRPr="00147A70">
        <w:rPr>
          <w:rFonts w:eastAsia="Times New Roman" w:cs="Times New Roman"/>
          <w:bCs/>
          <w:color w:val="000000"/>
        </w:rPr>
        <w:t xml:space="preserve">al, Patuakhali districts under SC; </w:t>
      </w:r>
      <w:r w:rsidRPr="00E1017A">
        <w:rPr>
          <w:rFonts w:eastAsia="Times New Roman" w:cs="Times New Roman"/>
          <w:b/>
          <w:bCs/>
          <w:color w:val="000000"/>
        </w:rPr>
        <w:t>Highly Vulnerable Flood Prone Districts:</w:t>
      </w:r>
      <w:r w:rsidRPr="00E1017A">
        <w:rPr>
          <w:rFonts w:eastAsia="Times New Roman" w:cs="Times New Roman"/>
          <w:bCs/>
          <w:color w:val="000000"/>
        </w:rPr>
        <w:t xml:space="preserve"> Bogra, Kurigram, Gaibandha, Rajshahi, Naogao</w:t>
      </w:r>
      <w:r>
        <w:rPr>
          <w:rFonts w:eastAsia="Times New Roman" w:cs="Times New Roman"/>
          <w:bCs/>
          <w:color w:val="000000"/>
        </w:rPr>
        <w:t>n</w:t>
      </w:r>
      <w:r w:rsidRPr="00E1017A">
        <w:rPr>
          <w:rFonts w:eastAsia="Times New Roman" w:cs="Times New Roman"/>
          <w:bCs/>
          <w:color w:val="000000"/>
        </w:rPr>
        <w:t xml:space="preserve"> and Pabna districts under NW; Tangail, Naray</w:t>
      </w:r>
      <w:r>
        <w:rPr>
          <w:rFonts w:eastAsia="Times New Roman" w:cs="Times New Roman"/>
          <w:bCs/>
          <w:color w:val="000000"/>
        </w:rPr>
        <w:t>a</w:t>
      </w:r>
      <w:r w:rsidRPr="00E1017A">
        <w:rPr>
          <w:rFonts w:eastAsia="Times New Roman" w:cs="Times New Roman"/>
          <w:bCs/>
          <w:color w:val="000000"/>
        </w:rPr>
        <w:t>nganj and Munshiganj under NC; Sylhet, Habiganj, Maulvibazar districts under NE; Chandpur and Comilla districts under SE</w:t>
      </w:r>
      <w:r>
        <w:rPr>
          <w:rFonts w:eastAsia="Times New Roman" w:cs="Times New Roman"/>
          <w:bCs/>
          <w:color w:val="000000"/>
        </w:rPr>
        <w:t xml:space="preserve">. </w:t>
      </w:r>
      <w:r w:rsidRPr="00147A70">
        <w:rPr>
          <w:rFonts w:eastAsia="Times New Roman" w:cs="Times New Roman"/>
        </w:rPr>
        <w:t>Moreover, the areas which may further go under extreme inundation with exacerbating climate change condition should also be protected.</w:t>
      </w:r>
    </w:p>
    <w:p w:rsidR="00C23B34" w:rsidRPr="00140A1F" w:rsidRDefault="00C23B34" w:rsidP="00C23B34">
      <w:pPr>
        <w:autoSpaceDE w:val="0"/>
        <w:autoSpaceDN w:val="0"/>
        <w:adjustRightInd w:val="0"/>
        <w:spacing w:line="276" w:lineRule="auto"/>
        <w:jc w:val="both"/>
        <w:rPr>
          <w:rFonts w:cs="Times New Roman"/>
          <w:b/>
          <w:i/>
          <w:szCs w:val="24"/>
        </w:rPr>
      </w:pPr>
      <w:r w:rsidRPr="00140A1F">
        <w:rPr>
          <w:rFonts w:cs="Times New Roman"/>
          <w:b/>
          <w:i/>
          <w:szCs w:val="24"/>
        </w:rPr>
        <w:t>Strategy: Improved Protection against Normal Flooding</w:t>
      </w:r>
    </w:p>
    <w:p w:rsidR="00C23B34" w:rsidRPr="00893089" w:rsidRDefault="00F64A6A" w:rsidP="00C23B34">
      <w:pPr>
        <w:autoSpaceDE w:val="0"/>
        <w:autoSpaceDN w:val="0"/>
        <w:adjustRightInd w:val="0"/>
        <w:spacing w:line="276" w:lineRule="auto"/>
        <w:jc w:val="both"/>
        <w:rPr>
          <w:rFonts w:eastAsia="Times New Roman" w:cs="Times New Roman"/>
          <w:szCs w:val="24"/>
          <w:u w:val="single"/>
        </w:rPr>
      </w:pPr>
      <w:r w:rsidRPr="00F64A6A">
        <w:rPr>
          <w:rFonts w:eastAsia="Times New Roman" w:cs="Times New Roman"/>
          <w:szCs w:val="24"/>
          <w:u w:val="single"/>
        </w:rPr>
        <w:lastRenderedPageBreak/>
        <w:t xml:space="preserve">Following measures can be adopted for protection against the flooding with return period of 5-20 years when 30-43% of the country gets inundated.  </w:t>
      </w:r>
    </w:p>
    <w:p w:rsidR="00C23B34" w:rsidRPr="00841E54" w:rsidRDefault="00C23B34" w:rsidP="00C23B34">
      <w:pPr>
        <w:autoSpaceDE w:val="0"/>
        <w:autoSpaceDN w:val="0"/>
        <w:adjustRightInd w:val="0"/>
        <w:spacing w:line="276" w:lineRule="auto"/>
        <w:jc w:val="both"/>
        <w:rPr>
          <w:rFonts w:cs="Times New Roman"/>
          <w:b/>
          <w:szCs w:val="24"/>
          <w:shd w:val="clear" w:color="auto" w:fill="FFFFFF"/>
        </w:rPr>
      </w:pPr>
      <w:r w:rsidRPr="00841E54">
        <w:rPr>
          <w:rFonts w:cs="Times New Roman"/>
          <w:b/>
          <w:szCs w:val="24"/>
          <w:shd w:val="clear" w:color="auto" w:fill="FFFFFF"/>
        </w:rPr>
        <w:t>Structural Intervention</w:t>
      </w:r>
    </w:p>
    <w:p w:rsidR="00C23B34" w:rsidRPr="00687028" w:rsidRDefault="00C23B34" w:rsidP="00A631E1">
      <w:pPr>
        <w:pStyle w:val="ListParagraph"/>
        <w:numPr>
          <w:ilvl w:val="0"/>
          <w:numId w:val="25"/>
        </w:numPr>
        <w:spacing w:line="276" w:lineRule="auto"/>
        <w:ind w:left="360"/>
        <w:jc w:val="both"/>
        <w:rPr>
          <w:rFonts w:eastAsia="Times New Roman" w:cs="Times New Roman"/>
          <w:szCs w:val="24"/>
        </w:rPr>
      </w:pPr>
      <w:r w:rsidRPr="00841E54">
        <w:rPr>
          <w:rFonts w:eastAsia="Times New Roman" w:cs="Times New Roman"/>
          <w:b/>
          <w:bCs/>
          <w:color w:val="000000"/>
          <w:szCs w:val="24"/>
        </w:rPr>
        <w:t>Strengthening and maintenance</w:t>
      </w:r>
      <w:r>
        <w:rPr>
          <w:rFonts w:eastAsia="Times New Roman" w:cs="Times New Roman"/>
          <w:b/>
          <w:bCs/>
          <w:color w:val="000000"/>
          <w:szCs w:val="24"/>
        </w:rPr>
        <w:t xml:space="preserve"> of existing flood protection</w:t>
      </w:r>
      <w:r w:rsidRPr="00841E54">
        <w:rPr>
          <w:rFonts w:eastAsia="Times New Roman" w:cs="Times New Roman"/>
          <w:b/>
          <w:bCs/>
          <w:color w:val="000000"/>
          <w:szCs w:val="24"/>
        </w:rPr>
        <w:t xml:space="preserve"> measures</w:t>
      </w:r>
      <w:r w:rsidRPr="00841E54">
        <w:rPr>
          <w:rFonts w:eastAsia="Times New Roman" w:cs="Times New Roman"/>
          <w:bCs/>
          <w:color w:val="000000"/>
          <w:szCs w:val="24"/>
        </w:rPr>
        <w:t xml:space="preserve"> for protection of urban, rural, commercial, industrial and </w:t>
      </w:r>
      <w:r w:rsidR="00B57B81">
        <w:rPr>
          <w:rFonts w:eastAsia="Times New Roman" w:cs="Times New Roman"/>
          <w:bCs/>
          <w:color w:val="000000"/>
          <w:szCs w:val="24"/>
        </w:rPr>
        <w:t>canals</w:t>
      </w:r>
      <w:r w:rsidRPr="00841E54">
        <w:rPr>
          <w:rFonts w:eastAsia="Times New Roman" w:cs="Times New Roman"/>
          <w:bCs/>
          <w:color w:val="000000"/>
          <w:szCs w:val="24"/>
        </w:rPr>
        <w:t xml:space="preserve"> utility centers and communication networks. The flood protection in</w:t>
      </w:r>
      <w:r>
        <w:rPr>
          <w:rFonts w:eastAsia="Times New Roman" w:cs="Times New Roman"/>
          <w:bCs/>
          <w:color w:val="000000"/>
          <w:szCs w:val="24"/>
        </w:rPr>
        <w:t>frastructures of the areas that</w:t>
      </w:r>
      <w:r w:rsidRPr="00841E54">
        <w:rPr>
          <w:rFonts w:eastAsia="Times New Roman" w:cs="Times New Roman"/>
          <w:bCs/>
          <w:color w:val="000000"/>
          <w:szCs w:val="24"/>
        </w:rPr>
        <w:t xml:space="preserve"> are highly to very highly susceptible to normal flooding should be given the priority for strengthening work. </w:t>
      </w:r>
      <w:r w:rsidR="009A7DD2">
        <w:rPr>
          <w:rFonts w:eastAsia="Times New Roman" w:cs="Times New Roman"/>
          <w:bCs/>
          <w:color w:val="000000"/>
          <w:szCs w:val="24"/>
        </w:rPr>
        <w:t xml:space="preserve">The </w:t>
      </w:r>
      <w:r w:rsidRPr="00841E54">
        <w:rPr>
          <w:rFonts w:eastAsia="Times New Roman" w:cs="Times New Roman"/>
          <w:bCs/>
          <w:color w:val="000000"/>
          <w:szCs w:val="24"/>
        </w:rPr>
        <w:t xml:space="preserve">maintenance work of all the flood control measures should go on regular basis with ensured flow of fund. </w:t>
      </w:r>
      <w:r w:rsidRPr="00687028">
        <w:rPr>
          <w:rFonts w:eastAsia="Times New Roman" w:cs="Times New Roman"/>
          <w:szCs w:val="24"/>
        </w:rPr>
        <w:t>Moreover, the areas which may further go under normal inundation with exacerbating climate change condition should also be protected eventually with the time to combat the probable effect of climate change.</w:t>
      </w:r>
      <w:r w:rsidR="009A7DD2">
        <w:rPr>
          <w:rFonts w:eastAsia="Times New Roman" w:cs="Times New Roman"/>
          <w:szCs w:val="24"/>
        </w:rPr>
        <w:t xml:space="preserve"> </w:t>
      </w:r>
      <w:r w:rsidR="009A7DD2">
        <w:rPr>
          <w:rFonts w:cs="Times New Roman"/>
          <w:szCs w:val="24"/>
        </w:rPr>
        <w:t>Special care should</w:t>
      </w:r>
      <w:r w:rsidR="009A7DD2" w:rsidRPr="005752AE">
        <w:rPr>
          <w:rFonts w:cs="Times New Roman"/>
          <w:szCs w:val="24"/>
        </w:rPr>
        <w:t xml:space="preserve"> be taken before any flood protection measures in the Natural Seasonal Water Storage/Retention areas</w:t>
      </w:r>
      <w:r w:rsidR="009A7DD2">
        <w:rPr>
          <w:rFonts w:cs="Times New Roman"/>
          <w:szCs w:val="24"/>
        </w:rPr>
        <w:t xml:space="preserve"> (Chalan Beel, Haor Area) that</w:t>
      </w:r>
      <w:r w:rsidR="009A7DD2" w:rsidRPr="005752AE">
        <w:rPr>
          <w:rFonts w:cs="Times New Roman"/>
          <w:szCs w:val="24"/>
        </w:rPr>
        <w:t xml:space="preserve"> retard/delay flooding in the downstream areas</w:t>
      </w:r>
      <w:r w:rsidR="009A7DD2">
        <w:rPr>
          <w:rFonts w:cs="Times New Roman"/>
          <w:szCs w:val="24"/>
        </w:rPr>
        <w:t>.</w:t>
      </w:r>
    </w:p>
    <w:p w:rsidR="00874319" w:rsidRPr="004B0A08" w:rsidRDefault="00C23B34" w:rsidP="00874319">
      <w:pPr>
        <w:pStyle w:val="ListParagraph"/>
        <w:numPr>
          <w:ilvl w:val="0"/>
          <w:numId w:val="25"/>
        </w:numPr>
        <w:spacing w:line="276" w:lineRule="auto"/>
        <w:ind w:left="360"/>
        <w:jc w:val="both"/>
        <w:rPr>
          <w:rFonts w:eastAsia="Times New Roman" w:cs="Times New Roman"/>
          <w:bCs/>
          <w:color w:val="000000"/>
          <w:szCs w:val="24"/>
        </w:rPr>
      </w:pPr>
      <w:r w:rsidRPr="00841E54">
        <w:rPr>
          <w:rFonts w:eastAsia="Times New Roman" w:cs="Times New Roman"/>
          <w:b/>
          <w:bCs/>
          <w:color w:val="000000"/>
          <w:szCs w:val="24"/>
        </w:rPr>
        <w:t>Construction and operation of flow controlling structures</w:t>
      </w:r>
      <w:r w:rsidRPr="00841E54">
        <w:rPr>
          <w:rFonts w:eastAsia="Times New Roman" w:cs="Times New Roman"/>
          <w:bCs/>
          <w:color w:val="000000"/>
          <w:szCs w:val="24"/>
        </w:rPr>
        <w:t xml:space="preserve"> like sluice gates and regulators on the rivers major rivers with app</w:t>
      </w:r>
      <w:r>
        <w:rPr>
          <w:rFonts w:eastAsia="Times New Roman" w:cs="Times New Roman"/>
          <w:bCs/>
          <w:color w:val="000000"/>
          <w:szCs w:val="24"/>
        </w:rPr>
        <w:t>ropriate design and sections</w:t>
      </w:r>
      <w:r w:rsidRPr="00841E54">
        <w:rPr>
          <w:rFonts w:eastAsia="Times New Roman" w:cs="Times New Roman"/>
          <w:bCs/>
          <w:color w:val="000000"/>
          <w:szCs w:val="24"/>
        </w:rPr>
        <w:t xml:space="preserve"> to ensure for controlled flooding. The flow controlling structures should remain closed or partially opened during the wet season depending on the flow and demand for agricultural sector and should remain open during the dry season when the river flow is subsequently low. </w:t>
      </w:r>
      <w:r w:rsidR="00874319">
        <w:rPr>
          <w:rFonts w:eastAsia="Times New Roman" w:cs="Times New Roman"/>
          <w:bCs/>
          <w:color w:val="000000"/>
          <w:szCs w:val="24"/>
        </w:rPr>
        <w:t>In the case of cross-</w:t>
      </w:r>
      <w:r w:rsidR="005E64B5">
        <w:rPr>
          <w:rFonts w:eastAsia="Times New Roman" w:cs="Times New Roman"/>
          <w:bCs/>
          <w:color w:val="000000"/>
          <w:szCs w:val="24"/>
        </w:rPr>
        <w:t>boundary river</w:t>
      </w:r>
      <w:r w:rsidR="00874319">
        <w:rPr>
          <w:rFonts w:eastAsia="Times New Roman" w:cs="Times New Roman"/>
          <w:bCs/>
          <w:color w:val="000000"/>
          <w:szCs w:val="24"/>
        </w:rPr>
        <w:t xml:space="preserve"> barrages, the flow controlling structure management should be guided by the agreed norms to avoid flooding upstream. </w:t>
      </w:r>
    </w:p>
    <w:p w:rsidR="00C23B34" w:rsidRPr="00140A1F" w:rsidRDefault="00C23B34" w:rsidP="00C23B34">
      <w:pPr>
        <w:autoSpaceDE w:val="0"/>
        <w:autoSpaceDN w:val="0"/>
        <w:adjustRightInd w:val="0"/>
        <w:spacing w:line="276" w:lineRule="auto"/>
        <w:jc w:val="both"/>
        <w:rPr>
          <w:rFonts w:cs="Times New Roman"/>
          <w:b/>
          <w:i/>
          <w:szCs w:val="24"/>
        </w:rPr>
      </w:pPr>
      <w:r w:rsidRPr="00140A1F">
        <w:rPr>
          <w:rFonts w:cs="Times New Roman"/>
          <w:b/>
          <w:i/>
          <w:szCs w:val="24"/>
        </w:rPr>
        <w:t xml:space="preserve">Strategy: Controlled Flooding and Living with Flood </w:t>
      </w:r>
    </w:p>
    <w:p w:rsidR="00C23B34" w:rsidRPr="00893089" w:rsidRDefault="00C23B34" w:rsidP="00C23B34">
      <w:pPr>
        <w:autoSpaceDE w:val="0"/>
        <w:autoSpaceDN w:val="0"/>
        <w:adjustRightInd w:val="0"/>
        <w:spacing w:line="276" w:lineRule="auto"/>
        <w:jc w:val="both"/>
        <w:rPr>
          <w:rFonts w:cs="Times New Roman"/>
          <w:szCs w:val="24"/>
          <w:u w:val="single"/>
          <w:shd w:val="clear" w:color="auto" w:fill="FFFFFF"/>
        </w:rPr>
      </w:pPr>
      <w:r>
        <w:rPr>
          <w:rFonts w:cs="Times New Roman"/>
          <w:szCs w:val="24"/>
        </w:rPr>
        <w:t xml:space="preserve">An estimated </w:t>
      </w:r>
      <w:r w:rsidRPr="00841E54">
        <w:rPr>
          <w:rFonts w:cs="Times New Roman"/>
          <w:szCs w:val="24"/>
        </w:rPr>
        <w:t>80% of the total area of Bangladesh is floodplain. Each year around 20% of this area experiences flooding d</w:t>
      </w:r>
      <w:r>
        <w:rPr>
          <w:rFonts w:cs="Times New Roman"/>
          <w:szCs w:val="24"/>
        </w:rPr>
        <w:t>uring the monsoon season</w:t>
      </w:r>
      <w:r w:rsidRPr="00841E54">
        <w:rPr>
          <w:rFonts w:cs="Times New Roman"/>
          <w:szCs w:val="24"/>
        </w:rPr>
        <w:t xml:space="preserve">, especially between </w:t>
      </w:r>
      <w:r>
        <w:rPr>
          <w:rFonts w:cs="Times New Roman"/>
          <w:szCs w:val="24"/>
        </w:rPr>
        <w:t>June to September. This event</w:t>
      </w:r>
      <w:r w:rsidRPr="00841E54">
        <w:rPr>
          <w:rFonts w:cs="Times New Roman"/>
          <w:szCs w:val="24"/>
        </w:rPr>
        <w:t xml:space="preserve"> is termed as annual flooding and is essential and desirable for </w:t>
      </w:r>
      <w:r>
        <w:rPr>
          <w:rFonts w:cs="Times New Roman"/>
          <w:szCs w:val="24"/>
        </w:rPr>
        <w:t xml:space="preserve">the </w:t>
      </w:r>
      <w:r w:rsidRPr="00841E54">
        <w:rPr>
          <w:rFonts w:cs="Times New Roman"/>
          <w:szCs w:val="24"/>
        </w:rPr>
        <w:t xml:space="preserve">overall growth of the Bangladesh delta and its economy. </w:t>
      </w:r>
      <w:r w:rsidRPr="00841E54">
        <w:rPr>
          <w:rFonts w:cs="Times New Roman"/>
          <w:szCs w:val="24"/>
          <w:shd w:val="clear" w:color="auto" w:fill="FFFFFF"/>
        </w:rPr>
        <w:t>The available water from flooding decreases the necessity of expensive and time consuming artificial irrigation. Salt deposited on fields from high rates of evaporation is removed during floods, preventing the land from becoming infertile. Under this circumstance, complete flood control is not in the interests of most Bangladeshi farmers. Therefore controlled flooding and living with flood, wherever possible and appropriate, to meet the needs of the agriculture, fisheries, navigation, urban flushing, soil productivity and recharging the surface and ground water resources with minimum dislocation o</w:t>
      </w:r>
      <w:r w:rsidR="00893089">
        <w:rPr>
          <w:rFonts w:cs="Times New Roman"/>
          <w:szCs w:val="24"/>
          <w:shd w:val="clear" w:color="auto" w:fill="FFFFFF"/>
        </w:rPr>
        <w:t>f</w:t>
      </w:r>
      <w:r w:rsidRPr="00841E54">
        <w:rPr>
          <w:rFonts w:cs="Times New Roman"/>
          <w:szCs w:val="24"/>
          <w:shd w:val="clear" w:color="auto" w:fill="FFFFFF"/>
        </w:rPr>
        <w:t xml:space="preserve"> the environment is recommended. The people of Ban</w:t>
      </w:r>
      <w:r>
        <w:rPr>
          <w:rFonts w:cs="Times New Roman"/>
          <w:szCs w:val="24"/>
          <w:shd w:val="clear" w:color="auto" w:fill="FFFFFF"/>
        </w:rPr>
        <w:t>gladesh should be encouraged to adapt to</w:t>
      </w:r>
      <w:r w:rsidRPr="00841E54">
        <w:rPr>
          <w:rFonts w:cs="Times New Roman"/>
          <w:szCs w:val="24"/>
          <w:shd w:val="clear" w:color="auto" w:fill="FFFFFF"/>
        </w:rPr>
        <w:t xml:space="preserve"> the living with the flood scenario. </w:t>
      </w:r>
      <w:r w:rsidR="00F64A6A" w:rsidRPr="00F64A6A">
        <w:rPr>
          <w:rFonts w:cs="Times New Roman"/>
          <w:szCs w:val="24"/>
          <w:u w:val="single"/>
          <w:shd w:val="clear" w:color="auto" w:fill="FFFFFF"/>
        </w:rPr>
        <w:t xml:space="preserve">They should build houses and keep their valuable assets in a raised platform above the annual flood level. Floating community services (school, hospital, market etc.) should be introduced. </w:t>
      </w:r>
    </w:p>
    <w:p w:rsidR="00C23B34" w:rsidRPr="00841E54" w:rsidRDefault="00C23B34" w:rsidP="00C23B34">
      <w:pPr>
        <w:autoSpaceDE w:val="0"/>
        <w:autoSpaceDN w:val="0"/>
        <w:adjustRightInd w:val="0"/>
        <w:spacing w:line="276" w:lineRule="auto"/>
        <w:jc w:val="both"/>
        <w:rPr>
          <w:rFonts w:cs="Times New Roman"/>
          <w:b/>
          <w:szCs w:val="24"/>
          <w:shd w:val="clear" w:color="auto" w:fill="FFFFFF"/>
        </w:rPr>
      </w:pPr>
      <w:r w:rsidRPr="00841E54">
        <w:rPr>
          <w:rFonts w:cs="Times New Roman"/>
          <w:b/>
          <w:szCs w:val="24"/>
          <w:shd w:val="clear" w:color="auto" w:fill="FFFFFF"/>
        </w:rPr>
        <w:t>Structural Intervention</w:t>
      </w:r>
    </w:p>
    <w:p w:rsidR="00C23B34" w:rsidRPr="00841E54" w:rsidRDefault="00C23B34" w:rsidP="00A631E1">
      <w:pPr>
        <w:pStyle w:val="ListParagraph"/>
        <w:numPr>
          <w:ilvl w:val="0"/>
          <w:numId w:val="25"/>
        </w:numPr>
        <w:spacing w:line="276" w:lineRule="auto"/>
        <w:ind w:left="360"/>
        <w:jc w:val="both"/>
        <w:rPr>
          <w:rFonts w:eastAsia="Times New Roman" w:cs="Times New Roman"/>
          <w:bCs/>
          <w:color w:val="000000"/>
          <w:szCs w:val="24"/>
        </w:rPr>
      </w:pPr>
      <w:r w:rsidRPr="00841E54">
        <w:rPr>
          <w:rFonts w:eastAsia="Times New Roman" w:cs="Times New Roman"/>
          <w:b/>
          <w:bCs/>
          <w:color w:val="000000"/>
          <w:szCs w:val="24"/>
        </w:rPr>
        <w:lastRenderedPageBreak/>
        <w:t>Construction and operation of flow controlling structures</w:t>
      </w:r>
      <w:r w:rsidRPr="00841E54">
        <w:rPr>
          <w:rFonts w:eastAsia="Times New Roman" w:cs="Times New Roman"/>
          <w:bCs/>
          <w:color w:val="000000"/>
          <w:szCs w:val="24"/>
        </w:rPr>
        <w:t xml:space="preserve"> like sluice gates and regulators on the rivers major rivers with appropriate design and sections are </w:t>
      </w:r>
      <w:r>
        <w:rPr>
          <w:rFonts w:eastAsia="Times New Roman" w:cs="Times New Roman"/>
          <w:bCs/>
          <w:color w:val="000000"/>
          <w:szCs w:val="24"/>
        </w:rPr>
        <w:t>needed to ensure</w:t>
      </w:r>
      <w:r w:rsidRPr="00841E54">
        <w:rPr>
          <w:rFonts w:eastAsia="Times New Roman" w:cs="Times New Roman"/>
          <w:bCs/>
          <w:color w:val="000000"/>
          <w:szCs w:val="24"/>
        </w:rPr>
        <w:t xml:space="preserve"> controlled flooding. The flow controlling structures should remain closed or partially opened during the wet season depending on the river flow to pass the required flow to meet the demand of the types of crops grown in the particular area  or region according to the crop calendar and should remain open during the dry season when the river flow is subsequently low. </w:t>
      </w:r>
      <w:r w:rsidR="00B55D51">
        <w:rPr>
          <w:rFonts w:eastAsia="Times New Roman" w:cs="Times New Roman"/>
          <w:bCs/>
          <w:color w:val="000000"/>
          <w:szCs w:val="24"/>
        </w:rPr>
        <w:t>For cross-border barrages, the operation of control mechanisms will be guided by agreed norms.</w:t>
      </w:r>
    </w:p>
    <w:p w:rsidR="00C23B34" w:rsidRPr="00841E54" w:rsidRDefault="00C23B34" w:rsidP="00A631E1">
      <w:pPr>
        <w:pStyle w:val="ListParagraph"/>
        <w:numPr>
          <w:ilvl w:val="0"/>
          <w:numId w:val="25"/>
        </w:numPr>
        <w:spacing w:line="276" w:lineRule="auto"/>
        <w:ind w:left="360"/>
        <w:jc w:val="both"/>
        <w:rPr>
          <w:rFonts w:eastAsia="Times New Roman" w:cs="Times New Roman"/>
          <w:bCs/>
          <w:color w:val="000000"/>
          <w:szCs w:val="24"/>
        </w:rPr>
      </w:pPr>
      <w:r w:rsidRPr="00841E54">
        <w:rPr>
          <w:rFonts w:eastAsia="Times New Roman" w:cs="Times New Roman"/>
          <w:bCs/>
          <w:color w:val="000000"/>
          <w:szCs w:val="24"/>
        </w:rPr>
        <w:t>Restoration of connectivity of the rivers and the floodplains allowing controlled flooding inside the country</w:t>
      </w:r>
      <w:r>
        <w:rPr>
          <w:rFonts w:eastAsia="Times New Roman" w:cs="Times New Roman"/>
          <w:bCs/>
          <w:color w:val="000000"/>
          <w:szCs w:val="24"/>
        </w:rPr>
        <w:t>.</w:t>
      </w:r>
    </w:p>
    <w:p w:rsidR="00C23B34" w:rsidRPr="00841E54" w:rsidRDefault="00C23B34" w:rsidP="00C23B34">
      <w:pPr>
        <w:spacing w:line="276" w:lineRule="auto"/>
        <w:jc w:val="both"/>
        <w:rPr>
          <w:rFonts w:cs="Times New Roman"/>
          <w:b/>
          <w:szCs w:val="24"/>
          <w:lang w:bidi="bn-BD"/>
        </w:rPr>
      </w:pPr>
      <w:r w:rsidRPr="00841E54">
        <w:rPr>
          <w:rFonts w:cs="Times New Roman"/>
          <w:b/>
          <w:szCs w:val="24"/>
          <w:lang w:bidi="bn-BD"/>
        </w:rPr>
        <w:t xml:space="preserve">Institutional </w:t>
      </w:r>
    </w:p>
    <w:p w:rsidR="00C23B34" w:rsidRPr="00841E54" w:rsidRDefault="00C23B34" w:rsidP="00A631E1">
      <w:pPr>
        <w:pStyle w:val="ListParagraph"/>
        <w:numPr>
          <w:ilvl w:val="0"/>
          <w:numId w:val="25"/>
        </w:numPr>
        <w:spacing w:line="276" w:lineRule="auto"/>
        <w:ind w:left="360"/>
        <w:jc w:val="both"/>
        <w:rPr>
          <w:rFonts w:eastAsia="Times New Roman" w:cs="Times New Roman"/>
          <w:bCs/>
          <w:color w:val="000000"/>
          <w:szCs w:val="24"/>
        </w:rPr>
      </w:pPr>
      <w:r w:rsidRPr="00841E54">
        <w:rPr>
          <w:rFonts w:eastAsia="Times New Roman" w:cs="Times New Roman"/>
          <w:bCs/>
          <w:color w:val="000000"/>
          <w:szCs w:val="24"/>
        </w:rPr>
        <w:t>Identification of the area and specific timing for controlled flooding</w:t>
      </w:r>
      <w:r>
        <w:rPr>
          <w:rFonts w:eastAsia="Times New Roman" w:cs="Times New Roman"/>
          <w:bCs/>
          <w:color w:val="000000"/>
          <w:szCs w:val="24"/>
        </w:rPr>
        <w:t>.</w:t>
      </w:r>
    </w:p>
    <w:p w:rsidR="00C23B34" w:rsidRDefault="00C23B34" w:rsidP="00A631E1">
      <w:pPr>
        <w:pStyle w:val="ListParagraph"/>
        <w:numPr>
          <w:ilvl w:val="0"/>
          <w:numId w:val="25"/>
        </w:numPr>
        <w:spacing w:line="276" w:lineRule="auto"/>
        <w:ind w:left="360"/>
        <w:jc w:val="both"/>
        <w:rPr>
          <w:rFonts w:cs="Times New Roman"/>
          <w:szCs w:val="24"/>
          <w:shd w:val="clear" w:color="auto" w:fill="FFFFFF"/>
        </w:rPr>
      </w:pPr>
      <w:r w:rsidRPr="00841E54">
        <w:rPr>
          <w:rFonts w:cs="Times New Roman"/>
          <w:szCs w:val="24"/>
          <w:shd w:val="clear" w:color="auto" w:fill="FFFFFF"/>
        </w:rPr>
        <w:t>The institutions and agencies engaged in flood risk mitigation at national and local level shall enhance their capac</w:t>
      </w:r>
      <w:r>
        <w:rPr>
          <w:rFonts w:cs="Times New Roman"/>
          <w:szCs w:val="24"/>
          <w:shd w:val="clear" w:color="auto" w:fill="FFFFFF"/>
        </w:rPr>
        <w:t>ity in terms of human resources</w:t>
      </w:r>
      <w:r w:rsidRPr="00841E54">
        <w:rPr>
          <w:rFonts w:cs="Times New Roman"/>
          <w:szCs w:val="24"/>
          <w:shd w:val="clear" w:color="auto" w:fill="FFFFFF"/>
        </w:rPr>
        <w:t>, technical capacity etc. to adopt and implement the control flooding measures</w:t>
      </w:r>
      <w:r w:rsidR="00A7619F">
        <w:rPr>
          <w:rFonts w:cs="Times New Roman"/>
          <w:szCs w:val="24"/>
          <w:shd w:val="clear" w:color="auto" w:fill="FFFFFF"/>
        </w:rPr>
        <w:t>.</w:t>
      </w:r>
    </w:p>
    <w:p w:rsidR="00A7619F" w:rsidRPr="00841E54" w:rsidRDefault="00A7619F" w:rsidP="00A631E1">
      <w:pPr>
        <w:pStyle w:val="ListParagraph"/>
        <w:numPr>
          <w:ilvl w:val="0"/>
          <w:numId w:val="25"/>
        </w:numPr>
        <w:spacing w:line="276" w:lineRule="auto"/>
        <w:ind w:left="360"/>
        <w:jc w:val="both"/>
        <w:rPr>
          <w:rFonts w:cs="Times New Roman"/>
          <w:szCs w:val="24"/>
          <w:shd w:val="clear" w:color="auto" w:fill="FFFFFF"/>
        </w:rPr>
      </w:pPr>
      <w:r w:rsidRPr="005752AE">
        <w:rPr>
          <w:rFonts w:cs="Times New Roman"/>
          <w:szCs w:val="24"/>
        </w:rPr>
        <w:t>Local community b</w:t>
      </w:r>
      <w:r>
        <w:rPr>
          <w:rFonts w:cs="Times New Roman"/>
          <w:szCs w:val="24"/>
        </w:rPr>
        <w:t>e organized,</w:t>
      </w:r>
      <w:r w:rsidRPr="005752AE">
        <w:rPr>
          <w:rFonts w:cs="Times New Roman"/>
          <w:szCs w:val="24"/>
        </w:rPr>
        <w:t xml:space="preserve"> motivated and trained to understand Flood Forecasting and Warning, to participate in emergency flood management and develop capability of adaptation with flood and other natural hazards.</w:t>
      </w:r>
    </w:p>
    <w:p w:rsidR="00C23B34" w:rsidRPr="00841E54" w:rsidRDefault="004C3B31" w:rsidP="00C23B34">
      <w:pPr>
        <w:spacing w:line="276" w:lineRule="auto"/>
        <w:jc w:val="both"/>
        <w:rPr>
          <w:rFonts w:eastAsia="Times New Roman" w:cs="Times New Roman"/>
          <w:b/>
          <w:bCs/>
          <w:color w:val="000000"/>
          <w:szCs w:val="24"/>
        </w:rPr>
      </w:pPr>
      <w:r>
        <w:rPr>
          <w:rFonts w:eastAsia="Times New Roman" w:cs="Times New Roman"/>
          <w:b/>
          <w:bCs/>
          <w:color w:val="000000"/>
          <w:szCs w:val="24"/>
        </w:rPr>
        <w:t>Common M</w:t>
      </w:r>
      <w:r w:rsidR="00C23B34" w:rsidRPr="00841E54">
        <w:rPr>
          <w:rFonts w:eastAsia="Times New Roman" w:cs="Times New Roman"/>
          <w:b/>
          <w:bCs/>
          <w:color w:val="000000"/>
          <w:szCs w:val="24"/>
        </w:rPr>
        <w:t>easures to be adopted for Extreme Flooding, Normal Flooding and Controlled flooding</w:t>
      </w:r>
    </w:p>
    <w:p w:rsidR="00C23B34" w:rsidRPr="00841E54" w:rsidRDefault="00C23B34" w:rsidP="00C23B34">
      <w:pPr>
        <w:spacing w:line="276" w:lineRule="auto"/>
        <w:jc w:val="both"/>
        <w:rPr>
          <w:rFonts w:eastAsia="Times New Roman" w:cs="Times New Roman"/>
          <w:bCs/>
          <w:color w:val="000000"/>
          <w:szCs w:val="24"/>
        </w:rPr>
      </w:pPr>
      <w:r w:rsidRPr="00841E54">
        <w:rPr>
          <w:rFonts w:eastAsia="Times New Roman" w:cs="Times New Roman"/>
          <w:bCs/>
          <w:color w:val="000000"/>
          <w:szCs w:val="24"/>
        </w:rPr>
        <w:t>Apart from the measures mentioned above for Extreme Flooding, Normal F</w:t>
      </w:r>
      <w:r>
        <w:rPr>
          <w:rFonts w:eastAsia="Times New Roman" w:cs="Times New Roman"/>
          <w:bCs/>
          <w:color w:val="000000"/>
          <w:szCs w:val="24"/>
        </w:rPr>
        <w:t>looding and Controlled flooding,</w:t>
      </w:r>
      <w:r w:rsidRPr="00841E54">
        <w:rPr>
          <w:rFonts w:eastAsia="Times New Roman" w:cs="Times New Roman"/>
          <w:bCs/>
          <w:color w:val="000000"/>
          <w:szCs w:val="24"/>
        </w:rPr>
        <w:t xml:space="preserve"> the following measures are applicable for all three cases:</w:t>
      </w:r>
    </w:p>
    <w:p w:rsidR="00C23B34" w:rsidRPr="00841E54" w:rsidRDefault="00C23B34" w:rsidP="00A631E1">
      <w:pPr>
        <w:pStyle w:val="ListParagraph"/>
        <w:numPr>
          <w:ilvl w:val="0"/>
          <w:numId w:val="25"/>
        </w:numPr>
        <w:spacing w:line="276" w:lineRule="auto"/>
        <w:ind w:left="360"/>
        <w:jc w:val="both"/>
        <w:rPr>
          <w:rFonts w:eastAsia="Times New Roman" w:cs="Times New Roman"/>
          <w:bCs/>
          <w:color w:val="000000"/>
          <w:szCs w:val="24"/>
        </w:rPr>
      </w:pPr>
      <w:r w:rsidRPr="00841E54">
        <w:rPr>
          <w:rFonts w:eastAsia="Times New Roman" w:cs="Times New Roman"/>
          <w:b/>
          <w:bCs/>
          <w:color w:val="000000"/>
          <w:szCs w:val="24"/>
        </w:rPr>
        <w:t>Increasing flow path</w:t>
      </w:r>
      <w:r w:rsidRPr="00841E54">
        <w:rPr>
          <w:rFonts w:eastAsia="Times New Roman" w:cs="Times New Roman"/>
          <w:bCs/>
          <w:color w:val="000000"/>
          <w:szCs w:val="24"/>
        </w:rPr>
        <w:t xml:space="preserve"> of major and minor rivers of all regions considering the flow in wet season, their conveyance  capacity and extent (severe or moderate) of flood caused by the over topping in each of the rivers  using  appropriate technique (e.g. dredging, keeping buffer zone) after thorough assessment</w:t>
      </w:r>
      <w:r>
        <w:rPr>
          <w:rFonts w:eastAsia="Times New Roman" w:cs="Times New Roman"/>
          <w:bCs/>
          <w:color w:val="000000"/>
          <w:szCs w:val="24"/>
        </w:rPr>
        <w:t>.</w:t>
      </w:r>
    </w:p>
    <w:p w:rsidR="00C23B34" w:rsidRPr="00841E54" w:rsidRDefault="00C23B34" w:rsidP="00A631E1">
      <w:pPr>
        <w:pStyle w:val="ListParagraph"/>
        <w:numPr>
          <w:ilvl w:val="0"/>
          <w:numId w:val="25"/>
        </w:numPr>
        <w:autoSpaceDE w:val="0"/>
        <w:autoSpaceDN w:val="0"/>
        <w:adjustRightInd w:val="0"/>
        <w:spacing w:line="276" w:lineRule="auto"/>
        <w:ind w:left="360"/>
        <w:jc w:val="both"/>
        <w:rPr>
          <w:rFonts w:eastAsia="Times New Roman" w:cs="Times New Roman"/>
          <w:b/>
          <w:bCs/>
          <w:color w:val="000000"/>
          <w:szCs w:val="24"/>
        </w:rPr>
      </w:pPr>
      <w:r w:rsidRPr="00841E54">
        <w:rPr>
          <w:rFonts w:eastAsia="Times New Roman" w:cs="Times New Roman"/>
          <w:b/>
          <w:bCs/>
          <w:color w:val="000000"/>
          <w:szCs w:val="24"/>
        </w:rPr>
        <w:t>Restoration of water bodies</w:t>
      </w:r>
      <w:r w:rsidRPr="00841E54">
        <w:rPr>
          <w:rFonts w:eastAsia="Times New Roman" w:cs="Times New Roman"/>
          <w:bCs/>
          <w:color w:val="000000"/>
          <w:szCs w:val="24"/>
        </w:rPr>
        <w:t xml:space="preserve"> to act as </w:t>
      </w:r>
      <w:r w:rsidR="00893089">
        <w:rPr>
          <w:rFonts w:eastAsia="Times New Roman" w:cs="Times New Roman"/>
          <w:bCs/>
          <w:color w:val="000000"/>
          <w:szCs w:val="24"/>
        </w:rPr>
        <w:t>r</w:t>
      </w:r>
      <w:r w:rsidR="00893089" w:rsidRPr="00841E54">
        <w:rPr>
          <w:rFonts w:eastAsia="Times New Roman" w:cs="Times New Roman"/>
          <w:bCs/>
          <w:color w:val="000000"/>
          <w:szCs w:val="24"/>
        </w:rPr>
        <w:t xml:space="preserve">etention </w:t>
      </w:r>
      <w:r w:rsidRPr="00841E54">
        <w:rPr>
          <w:rFonts w:eastAsia="Times New Roman" w:cs="Times New Roman"/>
          <w:bCs/>
          <w:color w:val="000000"/>
          <w:szCs w:val="24"/>
        </w:rPr>
        <w:t xml:space="preserve">basin of excess rain water will ensure the degree of flooding that is not harmful for </w:t>
      </w:r>
      <w:r w:rsidR="00893089" w:rsidRPr="00841E54">
        <w:rPr>
          <w:rFonts w:eastAsia="Times New Roman" w:cs="Times New Roman"/>
          <w:bCs/>
          <w:color w:val="000000"/>
          <w:szCs w:val="24"/>
        </w:rPr>
        <w:t>agricultur</w:t>
      </w:r>
      <w:r w:rsidR="00893089">
        <w:rPr>
          <w:rFonts w:eastAsia="Times New Roman" w:cs="Times New Roman"/>
          <w:bCs/>
          <w:color w:val="000000"/>
          <w:szCs w:val="24"/>
        </w:rPr>
        <w:t>e</w:t>
      </w:r>
      <w:r w:rsidRPr="00841E54">
        <w:rPr>
          <w:rFonts w:eastAsia="Times New Roman" w:cs="Times New Roman"/>
          <w:bCs/>
          <w:color w:val="000000"/>
          <w:szCs w:val="24"/>
        </w:rPr>
        <w:t xml:space="preserve">. </w:t>
      </w:r>
    </w:p>
    <w:p w:rsidR="00C23B34" w:rsidRPr="00841E54" w:rsidRDefault="00C23B34" w:rsidP="00A631E1">
      <w:pPr>
        <w:pStyle w:val="ListParagraph"/>
        <w:numPr>
          <w:ilvl w:val="0"/>
          <w:numId w:val="25"/>
        </w:numPr>
        <w:autoSpaceDE w:val="0"/>
        <w:autoSpaceDN w:val="0"/>
        <w:adjustRightInd w:val="0"/>
        <w:spacing w:line="276" w:lineRule="auto"/>
        <w:ind w:left="360"/>
        <w:jc w:val="both"/>
        <w:rPr>
          <w:rFonts w:eastAsia="Times New Roman" w:cs="Times New Roman"/>
          <w:bCs/>
          <w:color w:val="000000"/>
          <w:szCs w:val="24"/>
        </w:rPr>
      </w:pPr>
      <w:r w:rsidRPr="00841E54">
        <w:rPr>
          <w:rFonts w:eastAsia="Times New Roman" w:cs="Times New Roman"/>
          <w:b/>
          <w:bCs/>
          <w:color w:val="000000"/>
          <w:szCs w:val="24"/>
        </w:rPr>
        <w:t>Protection of regions of economic importance</w:t>
      </w:r>
      <w:r w:rsidRPr="00841E54">
        <w:rPr>
          <w:rFonts w:eastAsia="Times New Roman" w:cs="Times New Roman"/>
          <w:bCs/>
          <w:color w:val="000000"/>
          <w:szCs w:val="24"/>
        </w:rPr>
        <w:t xml:space="preserve"> such as metropolitan areas, sea and air ports, and export processing zones should be fully protected against floods as a matter of first priority. Other critical areas such as district and upazila towns, important commercial centers, and places of historical importance will be gradually provided reasonable degree of protection against flood. </w:t>
      </w:r>
    </w:p>
    <w:p w:rsidR="00C23B34" w:rsidRPr="00841E54" w:rsidRDefault="00C23B34" w:rsidP="00A631E1">
      <w:pPr>
        <w:pStyle w:val="ListParagraph"/>
        <w:numPr>
          <w:ilvl w:val="0"/>
          <w:numId w:val="25"/>
        </w:numPr>
        <w:autoSpaceDE w:val="0"/>
        <w:autoSpaceDN w:val="0"/>
        <w:adjustRightInd w:val="0"/>
        <w:spacing w:line="276" w:lineRule="auto"/>
        <w:ind w:left="360"/>
        <w:jc w:val="both"/>
        <w:rPr>
          <w:rFonts w:eastAsia="Times New Roman" w:cs="Times New Roman"/>
          <w:bCs/>
          <w:color w:val="000000"/>
          <w:szCs w:val="24"/>
        </w:rPr>
      </w:pPr>
      <w:r w:rsidRPr="00841E54">
        <w:rPr>
          <w:rFonts w:eastAsia="Times New Roman" w:cs="Times New Roman"/>
          <w:bCs/>
          <w:color w:val="000000"/>
          <w:szCs w:val="24"/>
        </w:rPr>
        <w:t xml:space="preserve">Construction or re-construction of roads and railways embankment will adequately provide for unimpeded drainage. </w:t>
      </w:r>
    </w:p>
    <w:p w:rsidR="00C23B34" w:rsidRPr="00841E54" w:rsidRDefault="00C23B34" w:rsidP="00A631E1">
      <w:pPr>
        <w:pStyle w:val="ListParagraph"/>
        <w:numPr>
          <w:ilvl w:val="0"/>
          <w:numId w:val="25"/>
        </w:numPr>
        <w:autoSpaceDE w:val="0"/>
        <w:autoSpaceDN w:val="0"/>
        <w:adjustRightInd w:val="0"/>
        <w:spacing w:line="276" w:lineRule="auto"/>
        <w:ind w:left="360"/>
        <w:jc w:val="both"/>
        <w:rPr>
          <w:rFonts w:eastAsia="Times New Roman" w:cs="Times New Roman"/>
          <w:bCs/>
          <w:color w:val="000000"/>
          <w:szCs w:val="24"/>
        </w:rPr>
      </w:pPr>
      <w:r w:rsidRPr="00841E54">
        <w:rPr>
          <w:rFonts w:eastAsia="Times New Roman" w:cs="Times New Roman"/>
          <w:bCs/>
          <w:color w:val="000000"/>
          <w:szCs w:val="24"/>
        </w:rPr>
        <w:t>Improvement of drainage capacity of the urban areas against rain-fed drainage congestion</w:t>
      </w:r>
      <w:r>
        <w:rPr>
          <w:rFonts w:eastAsia="Times New Roman" w:cs="Times New Roman"/>
          <w:bCs/>
          <w:color w:val="000000"/>
          <w:szCs w:val="24"/>
        </w:rPr>
        <w:t>.</w:t>
      </w:r>
    </w:p>
    <w:p w:rsidR="00C23B34" w:rsidRPr="00841E54" w:rsidRDefault="00C23B34" w:rsidP="00C23B34">
      <w:pPr>
        <w:autoSpaceDE w:val="0"/>
        <w:autoSpaceDN w:val="0"/>
        <w:adjustRightInd w:val="0"/>
        <w:spacing w:line="276" w:lineRule="auto"/>
        <w:jc w:val="both"/>
        <w:rPr>
          <w:rFonts w:cs="Times New Roman"/>
          <w:b/>
          <w:szCs w:val="24"/>
          <w:shd w:val="clear" w:color="auto" w:fill="FFFFFF"/>
        </w:rPr>
      </w:pPr>
      <w:r w:rsidRPr="00841E54">
        <w:rPr>
          <w:rFonts w:cs="Times New Roman"/>
          <w:b/>
          <w:szCs w:val="24"/>
          <w:shd w:val="clear" w:color="auto" w:fill="FFFFFF"/>
        </w:rPr>
        <w:lastRenderedPageBreak/>
        <w:t>Non-structural Intervention</w:t>
      </w:r>
    </w:p>
    <w:p w:rsidR="00C23B34" w:rsidRPr="00841E54" w:rsidRDefault="00C23B34" w:rsidP="00A631E1">
      <w:pPr>
        <w:pStyle w:val="ListParagraph"/>
        <w:numPr>
          <w:ilvl w:val="0"/>
          <w:numId w:val="25"/>
        </w:numPr>
        <w:spacing w:line="276" w:lineRule="auto"/>
        <w:ind w:left="360"/>
        <w:jc w:val="both"/>
        <w:rPr>
          <w:rFonts w:eastAsia="Times New Roman" w:cs="Times New Roman"/>
          <w:bCs/>
          <w:color w:val="000000"/>
          <w:szCs w:val="24"/>
        </w:rPr>
      </w:pPr>
      <w:r w:rsidRPr="00841E54">
        <w:rPr>
          <w:rFonts w:cs="Times New Roman"/>
          <w:szCs w:val="24"/>
          <w:shd w:val="clear" w:color="auto" w:fill="FFFFFF"/>
        </w:rPr>
        <w:t>Building houses and keeping valuable a</w:t>
      </w:r>
      <w:r>
        <w:rPr>
          <w:rFonts w:cs="Times New Roman"/>
          <w:szCs w:val="24"/>
          <w:shd w:val="clear" w:color="auto" w:fill="FFFFFF"/>
        </w:rPr>
        <w:t>ssets in a raised platform</w:t>
      </w:r>
      <w:r w:rsidRPr="00841E54">
        <w:rPr>
          <w:rFonts w:cs="Times New Roman"/>
          <w:szCs w:val="24"/>
          <w:shd w:val="clear" w:color="auto" w:fill="FFFFFF"/>
        </w:rPr>
        <w:t xml:space="preserve"> above the annual flood level in the moderate to severe flood prone areas of all the regions will ensure safety of life and assets</w:t>
      </w:r>
      <w:r>
        <w:rPr>
          <w:rFonts w:cs="Times New Roman"/>
          <w:szCs w:val="24"/>
          <w:shd w:val="clear" w:color="auto" w:fill="FFFFFF"/>
        </w:rPr>
        <w:t>.</w:t>
      </w:r>
    </w:p>
    <w:p w:rsidR="00C23B34" w:rsidRPr="00841E54" w:rsidRDefault="00C23B34" w:rsidP="00A631E1">
      <w:pPr>
        <w:pStyle w:val="ListParagraph"/>
        <w:numPr>
          <w:ilvl w:val="0"/>
          <w:numId w:val="25"/>
        </w:numPr>
        <w:spacing w:line="276" w:lineRule="auto"/>
        <w:ind w:left="360"/>
        <w:jc w:val="both"/>
        <w:rPr>
          <w:rFonts w:cs="Times New Roman"/>
          <w:szCs w:val="24"/>
          <w:shd w:val="clear" w:color="auto" w:fill="FFFFFF"/>
        </w:rPr>
      </w:pPr>
      <w:r w:rsidRPr="00841E54">
        <w:rPr>
          <w:rFonts w:cs="Times New Roman"/>
          <w:szCs w:val="24"/>
          <w:shd w:val="clear" w:color="auto" w:fill="FFFFFF"/>
        </w:rPr>
        <w:t>Zoning of floodplains based on safely level as a flexible instrument to accommodate the necessary engineering measures and allocation of space for habitation patterns, economic activities and envi</w:t>
      </w:r>
      <w:r>
        <w:rPr>
          <w:rFonts w:cs="Times New Roman"/>
          <w:szCs w:val="24"/>
          <w:shd w:val="clear" w:color="auto" w:fill="FFFFFF"/>
        </w:rPr>
        <w:t>ronmental assets.</w:t>
      </w:r>
      <w:r w:rsidRPr="00E57394">
        <w:rPr>
          <w:rFonts w:cs="Times New Roman"/>
          <w:color w:val="FF0000"/>
          <w:szCs w:val="24"/>
          <w:shd w:val="clear" w:color="auto" w:fill="FFFFFF"/>
        </w:rPr>
        <w:t xml:space="preserve">  </w:t>
      </w:r>
      <w:r w:rsidRPr="00AB56E1">
        <w:rPr>
          <w:rFonts w:cs="Times New Roman"/>
          <w:szCs w:val="24"/>
          <w:shd w:val="clear" w:color="auto" w:fill="FFFFFF"/>
        </w:rPr>
        <w:t xml:space="preserve">Existing guidelines in this regard </w:t>
      </w:r>
      <w:r>
        <w:rPr>
          <w:rFonts w:cs="Times New Roman"/>
          <w:szCs w:val="24"/>
          <w:shd w:val="clear" w:color="auto" w:fill="FFFFFF"/>
        </w:rPr>
        <w:t xml:space="preserve">should be monitored and implemented; also, </w:t>
      </w:r>
      <w:r w:rsidRPr="00841E54">
        <w:rPr>
          <w:rFonts w:cs="Times New Roman"/>
          <w:szCs w:val="24"/>
          <w:shd w:val="clear" w:color="auto" w:fill="FFFFFF"/>
        </w:rPr>
        <w:t>can be further revised</w:t>
      </w:r>
      <w:r>
        <w:rPr>
          <w:rFonts w:cs="Times New Roman"/>
          <w:szCs w:val="24"/>
          <w:shd w:val="clear" w:color="auto" w:fill="FFFFFF"/>
        </w:rPr>
        <w:t xml:space="preserve"> as necessary</w:t>
      </w:r>
      <w:r w:rsidRPr="00841E54">
        <w:rPr>
          <w:rFonts w:cs="Times New Roman"/>
          <w:szCs w:val="24"/>
          <w:shd w:val="clear" w:color="auto" w:fill="FFFFFF"/>
        </w:rPr>
        <w:t>.</w:t>
      </w:r>
    </w:p>
    <w:p w:rsidR="00C23B34" w:rsidRPr="00841E54" w:rsidRDefault="00C23B34" w:rsidP="00A631E1">
      <w:pPr>
        <w:pStyle w:val="ListParagraph"/>
        <w:numPr>
          <w:ilvl w:val="0"/>
          <w:numId w:val="25"/>
        </w:numPr>
        <w:spacing w:line="276" w:lineRule="auto"/>
        <w:ind w:left="360"/>
        <w:jc w:val="both"/>
        <w:rPr>
          <w:rFonts w:eastAsia="Times New Roman" w:cs="Times New Roman"/>
          <w:bCs/>
          <w:color w:val="000000"/>
          <w:szCs w:val="24"/>
        </w:rPr>
      </w:pPr>
      <w:r w:rsidRPr="00841E54">
        <w:rPr>
          <w:rFonts w:cs="Times New Roman"/>
          <w:szCs w:val="24"/>
          <w:shd w:val="clear" w:color="auto" w:fill="FFFFFF"/>
        </w:rPr>
        <w:t>Keeping buffer zones along both sides of all the rivers allowing no development work would increase the flow path of increased river water leading to less damage of life and asset</w:t>
      </w:r>
      <w:r>
        <w:rPr>
          <w:rFonts w:cs="Times New Roman"/>
          <w:szCs w:val="24"/>
          <w:shd w:val="clear" w:color="auto" w:fill="FFFFFF"/>
        </w:rPr>
        <w:t>.</w:t>
      </w:r>
    </w:p>
    <w:p w:rsidR="00C23B34" w:rsidRPr="00841E54" w:rsidRDefault="00C23B34" w:rsidP="00C23B34">
      <w:pPr>
        <w:spacing w:line="276" w:lineRule="auto"/>
        <w:jc w:val="both"/>
        <w:rPr>
          <w:rFonts w:cs="Times New Roman"/>
          <w:b/>
          <w:szCs w:val="24"/>
          <w:lang w:bidi="bn-BD"/>
        </w:rPr>
      </w:pPr>
      <w:r w:rsidRPr="00841E54">
        <w:rPr>
          <w:rFonts w:cs="Times New Roman"/>
          <w:b/>
          <w:szCs w:val="24"/>
          <w:lang w:bidi="bn-BD"/>
        </w:rPr>
        <w:t>Institutional</w:t>
      </w:r>
    </w:p>
    <w:p w:rsidR="00C23B34" w:rsidRPr="00841E54" w:rsidRDefault="00C23B34" w:rsidP="00A631E1">
      <w:pPr>
        <w:pStyle w:val="ListParagraph"/>
        <w:numPr>
          <w:ilvl w:val="0"/>
          <w:numId w:val="25"/>
        </w:numPr>
        <w:spacing w:line="276" w:lineRule="auto"/>
        <w:ind w:left="360"/>
        <w:jc w:val="both"/>
        <w:rPr>
          <w:rFonts w:cs="Times New Roman"/>
          <w:szCs w:val="24"/>
          <w:shd w:val="clear" w:color="auto" w:fill="FFFFFF"/>
        </w:rPr>
      </w:pPr>
      <w:r w:rsidRPr="00841E54">
        <w:rPr>
          <w:rFonts w:cs="Times New Roman"/>
          <w:szCs w:val="24"/>
          <w:shd w:val="clear" w:color="auto" w:fill="FFFFFF"/>
        </w:rPr>
        <w:t xml:space="preserve">Strengthening of the institutional capacities of the agencies </w:t>
      </w:r>
      <w:r w:rsidR="00B55D51">
        <w:rPr>
          <w:rFonts w:cs="Times New Roman"/>
          <w:szCs w:val="24"/>
          <w:shd w:val="clear" w:color="auto" w:fill="FFFFFF"/>
        </w:rPr>
        <w:t xml:space="preserve">and communities </w:t>
      </w:r>
      <w:r w:rsidRPr="00841E54">
        <w:rPr>
          <w:rFonts w:cs="Times New Roman"/>
          <w:szCs w:val="24"/>
          <w:shd w:val="clear" w:color="auto" w:fill="FFFFFF"/>
        </w:rPr>
        <w:t>(i.e. human resources, technical capac</w:t>
      </w:r>
      <w:r>
        <w:rPr>
          <w:rFonts w:cs="Times New Roman"/>
          <w:szCs w:val="24"/>
          <w:shd w:val="clear" w:color="auto" w:fill="FFFFFF"/>
        </w:rPr>
        <w:t>ity and</w:t>
      </w:r>
      <w:r w:rsidRPr="00841E54">
        <w:rPr>
          <w:rFonts w:cs="Times New Roman"/>
          <w:szCs w:val="24"/>
          <w:shd w:val="clear" w:color="auto" w:fill="FFFFFF"/>
        </w:rPr>
        <w:t xml:space="preserve"> financial cap</w:t>
      </w:r>
      <w:r>
        <w:rPr>
          <w:rFonts w:cs="Times New Roman"/>
          <w:szCs w:val="24"/>
          <w:shd w:val="clear" w:color="auto" w:fill="FFFFFF"/>
        </w:rPr>
        <w:t xml:space="preserve">acity) directly and indirectly </w:t>
      </w:r>
      <w:r w:rsidRPr="00841E54">
        <w:rPr>
          <w:rFonts w:cs="Times New Roman"/>
          <w:szCs w:val="24"/>
          <w:shd w:val="clear" w:color="auto" w:fill="FFFFFF"/>
        </w:rPr>
        <w:t>involved in flood risk mitigation</w:t>
      </w:r>
      <w:r>
        <w:rPr>
          <w:rFonts w:cs="Times New Roman"/>
          <w:szCs w:val="24"/>
          <w:shd w:val="clear" w:color="auto" w:fill="FFFFFF"/>
        </w:rPr>
        <w:t>.</w:t>
      </w:r>
    </w:p>
    <w:p w:rsidR="00C23B34" w:rsidRPr="00841E54" w:rsidRDefault="00C23B34" w:rsidP="00A631E1">
      <w:pPr>
        <w:pStyle w:val="ListParagraph"/>
        <w:numPr>
          <w:ilvl w:val="0"/>
          <w:numId w:val="25"/>
        </w:numPr>
        <w:spacing w:line="276" w:lineRule="auto"/>
        <w:ind w:left="360"/>
        <w:jc w:val="both"/>
        <w:rPr>
          <w:rFonts w:cs="Times New Roman"/>
          <w:szCs w:val="24"/>
          <w:shd w:val="clear" w:color="auto" w:fill="FFFFFF"/>
        </w:rPr>
      </w:pPr>
      <w:r w:rsidRPr="00841E54">
        <w:rPr>
          <w:rFonts w:cs="Times New Roman"/>
          <w:szCs w:val="24"/>
          <w:shd w:val="clear" w:color="auto" w:fill="FFFFFF"/>
        </w:rPr>
        <w:t>The agencies shall conduct the regular O&amp;M of the flood control measures for efficient and sustainable flood management</w:t>
      </w:r>
      <w:r>
        <w:rPr>
          <w:rFonts w:cs="Times New Roman"/>
          <w:szCs w:val="24"/>
          <w:shd w:val="clear" w:color="auto" w:fill="FFFFFF"/>
        </w:rPr>
        <w:t>.</w:t>
      </w:r>
    </w:p>
    <w:p w:rsidR="00C23B34" w:rsidRPr="00841E54" w:rsidRDefault="00C23B34" w:rsidP="00A631E1">
      <w:pPr>
        <w:pStyle w:val="ListParagraph"/>
        <w:numPr>
          <w:ilvl w:val="0"/>
          <w:numId w:val="25"/>
        </w:numPr>
        <w:spacing w:line="276" w:lineRule="auto"/>
        <w:ind w:left="360"/>
        <w:jc w:val="both"/>
        <w:rPr>
          <w:rFonts w:cs="Times New Roman"/>
          <w:szCs w:val="24"/>
          <w:shd w:val="clear" w:color="auto" w:fill="FFFFFF"/>
        </w:rPr>
      </w:pPr>
      <w:r w:rsidRPr="00841E54">
        <w:rPr>
          <w:rFonts w:cs="Times New Roman"/>
          <w:szCs w:val="24"/>
          <w:shd w:val="clear" w:color="auto" w:fill="FFFFFF"/>
        </w:rPr>
        <w:t>Sufficient and continued allocation for operation and maintenance</w:t>
      </w:r>
      <w:r>
        <w:rPr>
          <w:rFonts w:cs="Times New Roman"/>
          <w:szCs w:val="24"/>
          <w:shd w:val="clear" w:color="auto" w:fill="FFFFFF"/>
        </w:rPr>
        <w:t xml:space="preserve"> of the flood control measures </w:t>
      </w:r>
      <w:r w:rsidRPr="00841E54">
        <w:rPr>
          <w:rFonts w:cs="Times New Roman"/>
          <w:szCs w:val="24"/>
          <w:shd w:val="clear" w:color="auto" w:fill="FFFFFF"/>
        </w:rPr>
        <w:t>should be ensured in this regard</w:t>
      </w:r>
      <w:r>
        <w:rPr>
          <w:rFonts w:cs="Times New Roman"/>
          <w:szCs w:val="24"/>
          <w:shd w:val="clear" w:color="auto" w:fill="FFFFFF"/>
        </w:rPr>
        <w:t>.</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AB56E1">
        <w:rPr>
          <w:rFonts w:cs="Times New Roman"/>
          <w:szCs w:val="24"/>
          <w:shd w:val="clear" w:color="auto" w:fill="FFFFFF"/>
        </w:rPr>
        <w:t>Capacity building of the relevant agencies/institutions in terms of increased manpower and enhancing their knowledge base as well as with advanced technologies</w:t>
      </w:r>
    </w:p>
    <w:p w:rsidR="00C23B34" w:rsidRPr="00841E54" w:rsidRDefault="00C23B34" w:rsidP="00A631E1">
      <w:pPr>
        <w:pStyle w:val="ListParagraph"/>
        <w:numPr>
          <w:ilvl w:val="0"/>
          <w:numId w:val="25"/>
        </w:numPr>
        <w:spacing w:line="276" w:lineRule="auto"/>
        <w:ind w:left="360"/>
        <w:jc w:val="both"/>
        <w:rPr>
          <w:rFonts w:eastAsia="Times New Roman" w:cs="Times New Roman"/>
          <w:bCs/>
          <w:color w:val="000000"/>
          <w:szCs w:val="24"/>
        </w:rPr>
      </w:pPr>
      <w:r w:rsidRPr="00841E54">
        <w:rPr>
          <w:rFonts w:cs="Times New Roman"/>
          <w:szCs w:val="24"/>
          <w:shd w:val="clear" w:color="auto" w:fill="FFFFFF"/>
        </w:rPr>
        <w:t>Improved flood forecasting system for flooding in major and minor river</w:t>
      </w:r>
      <w:r>
        <w:rPr>
          <w:rFonts w:cs="Times New Roman"/>
          <w:szCs w:val="24"/>
          <w:shd w:val="clear" w:color="auto" w:fill="FFFFFF"/>
        </w:rPr>
        <w:t>s</w:t>
      </w:r>
      <w:r w:rsidRPr="00841E54">
        <w:rPr>
          <w:rFonts w:cs="Times New Roman"/>
          <w:szCs w:val="24"/>
          <w:shd w:val="clear" w:color="auto" w:fill="FFFFFF"/>
        </w:rPr>
        <w:t xml:space="preserve"> and effective early warning system through the use of appropriate technology (e.g. mobile sms, email, news bulletin etc.) interpreting into understandable language with information of exact spatial details for effective flood preparedness</w:t>
      </w:r>
      <w:r>
        <w:rPr>
          <w:rFonts w:cs="Times New Roman"/>
          <w:szCs w:val="24"/>
          <w:shd w:val="clear" w:color="auto" w:fill="FFFFFF"/>
        </w:rPr>
        <w:t>.</w:t>
      </w:r>
    </w:p>
    <w:p w:rsidR="00C23B34" w:rsidRPr="00893089" w:rsidRDefault="00F64A6A" w:rsidP="00A631E1">
      <w:pPr>
        <w:pStyle w:val="ListParagraph"/>
        <w:numPr>
          <w:ilvl w:val="0"/>
          <w:numId w:val="25"/>
        </w:numPr>
        <w:spacing w:line="276" w:lineRule="auto"/>
        <w:ind w:left="360"/>
        <w:jc w:val="both"/>
        <w:rPr>
          <w:rFonts w:cs="Times New Roman"/>
          <w:szCs w:val="24"/>
          <w:u w:val="single"/>
          <w:shd w:val="clear" w:color="auto" w:fill="FFFFFF"/>
        </w:rPr>
      </w:pPr>
      <w:r w:rsidRPr="00F64A6A">
        <w:rPr>
          <w:rFonts w:cs="Times New Roman"/>
          <w:szCs w:val="24"/>
          <w:u w:val="single"/>
          <w:shd w:val="clear" w:color="auto" w:fill="FFFFFF"/>
        </w:rPr>
        <w:t>Modification of existing National Flood Risk Standards and protection levels considering the past and probable future trend of flooding due to climate change.</w:t>
      </w:r>
    </w:p>
    <w:p w:rsidR="00C23B34" w:rsidRPr="00841E54" w:rsidRDefault="00C23B34" w:rsidP="00A631E1">
      <w:pPr>
        <w:pStyle w:val="ListParagraph"/>
        <w:numPr>
          <w:ilvl w:val="0"/>
          <w:numId w:val="25"/>
        </w:numPr>
        <w:spacing w:line="276" w:lineRule="auto"/>
        <w:ind w:left="360"/>
        <w:jc w:val="both"/>
        <w:rPr>
          <w:rFonts w:cs="Times New Roman"/>
          <w:szCs w:val="24"/>
          <w:shd w:val="clear" w:color="auto" w:fill="FFFFFF"/>
        </w:rPr>
      </w:pPr>
      <w:r w:rsidRPr="00841E54">
        <w:rPr>
          <w:rFonts w:cs="Times New Roman"/>
          <w:szCs w:val="24"/>
          <w:shd w:val="clear" w:color="auto" w:fill="FFFFFF"/>
        </w:rPr>
        <w:t>Continuous research and development of environment friendly flood c</w:t>
      </w:r>
      <w:r>
        <w:rPr>
          <w:rFonts w:cs="Times New Roman"/>
          <w:szCs w:val="24"/>
          <w:shd w:val="clear" w:color="auto" w:fill="FFFFFF"/>
        </w:rPr>
        <w:t>ontrol and mitigation measures as well as improved f</w:t>
      </w:r>
      <w:r w:rsidRPr="00841E54">
        <w:rPr>
          <w:rFonts w:cs="Times New Roman"/>
          <w:szCs w:val="24"/>
          <w:shd w:val="clear" w:color="auto" w:fill="FFFFFF"/>
        </w:rPr>
        <w:t>lood preparedness</w:t>
      </w:r>
      <w:r>
        <w:rPr>
          <w:rFonts w:cs="Times New Roman"/>
          <w:szCs w:val="24"/>
          <w:shd w:val="clear" w:color="auto" w:fill="FFFFFF"/>
        </w:rPr>
        <w:t>.</w:t>
      </w:r>
    </w:p>
    <w:p w:rsidR="00C23B34" w:rsidRPr="00140A1F" w:rsidRDefault="00C23B34" w:rsidP="00C23B34">
      <w:pPr>
        <w:spacing w:line="276" w:lineRule="auto"/>
        <w:jc w:val="both"/>
        <w:rPr>
          <w:rFonts w:cs="Times New Roman"/>
          <w:b/>
          <w:i/>
          <w:szCs w:val="24"/>
        </w:rPr>
      </w:pPr>
      <w:r w:rsidRPr="00140A1F">
        <w:rPr>
          <w:rFonts w:cs="Times New Roman"/>
          <w:b/>
          <w:i/>
          <w:szCs w:val="24"/>
        </w:rPr>
        <w:t>Strategy: Pre-monsoon flood protection from the flashy rivers in the Haor Region</w:t>
      </w:r>
    </w:p>
    <w:p w:rsidR="00C23B34" w:rsidRPr="00841E54" w:rsidRDefault="00C23B34" w:rsidP="00C23B34">
      <w:pPr>
        <w:autoSpaceDE w:val="0"/>
        <w:autoSpaceDN w:val="0"/>
        <w:adjustRightInd w:val="0"/>
        <w:spacing w:line="276" w:lineRule="auto"/>
        <w:jc w:val="both"/>
        <w:rPr>
          <w:rFonts w:eastAsia="Times New Roman" w:cs="Times New Roman"/>
          <w:szCs w:val="24"/>
        </w:rPr>
      </w:pPr>
      <w:r w:rsidRPr="00841E54">
        <w:rPr>
          <w:rFonts w:cs="Times New Roman"/>
          <w:szCs w:val="24"/>
        </w:rPr>
        <w:t>Pre-monsoon flash floods are among the major disasters which engulf the primary production sector of the Haor Region and thus threaten the lives and livelihoods of the haor inhabitants. Flash floods are devastating for the boro rice fields, especially in the pre</w:t>
      </w:r>
      <w:r>
        <w:rPr>
          <w:rFonts w:cs="Times New Roman"/>
          <w:szCs w:val="24"/>
        </w:rPr>
        <w:t>-</w:t>
      </w:r>
      <w:r w:rsidRPr="00841E54">
        <w:rPr>
          <w:rFonts w:cs="Times New Roman"/>
          <w:szCs w:val="24"/>
        </w:rPr>
        <w:t>monsoon months of March and April. By mid-May the boro has been harvested and therefore the effects of floods are minimal after 15 May. The flash flood causes a surge of sediment-laden water</w:t>
      </w:r>
      <w:r>
        <w:rPr>
          <w:rFonts w:cs="Times New Roman"/>
          <w:szCs w:val="24"/>
        </w:rPr>
        <w:t>,</w:t>
      </w:r>
      <w:r w:rsidRPr="00841E54">
        <w:rPr>
          <w:rFonts w:cs="Times New Roman"/>
          <w:szCs w:val="24"/>
        </w:rPr>
        <w:t xml:space="preserve"> which damages </w:t>
      </w:r>
      <w:r w:rsidRPr="00841E54">
        <w:rPr>
          <w:rFonts w:cs="Times New Roman"/>
          <w:szCs w:val="24"/>
        </w:rPr>
        <w:lastRenderedPageBreak/>
        <w:t xml:space="preserve">embankments and rice fields and leaves behind a layer of non-fertile sandy sediment. The extreme flash floods may be occurring more frequently in the future due to the impacts of climate change. </w:t>
      </w:r>
      <w:r w:rsidRPr="00841E54">
        <w:rPr>
          <w:rFonts w:eastAsia="Times New Roman" w:cs="Times New Roman"/>
          <w:szCs w:val="24"/>
        </w:rPr>
        <w:t xml:space="preserve">Areas unprotected from flash flood to be brought under protection with minimum disturbance to the haor ecosystem and areas already under protection to be brought under rehabilitation with the following measures in the Haor region covering </w:t>
      </w:r>
      <w:r w:rsidRPr="00841E54">
        <w:rPr>
          <w:rFonts w:cs="Times New Roman"/>
          <w:szCs w:val="24"/>
          <w:shd w:val="clear" w:color="auto" w:fill="FFFFFF"/>
        </w:rPr>
        <w:t>Brahmanbaria, Habiganj, Kishoreganj, Mou</w:t>
      </w:r>
      <w:r>
        <w:rPr>
          <w:rFonts w:cs="Times New Roman"/>
          <w:szCs w:val="24"/>
          <w:shd w:val="clear" w:color="auto" w:fill="FFFFFF"/>
        </w:rPr>
        <w:t xml:space="preserve">lvibazar, Netrokona, Sunamganj and </w:t>
      </w:r>
      <w:r w:rsidRPr="00841E54">
        <w:rPr>
          <w:rFonts w:cs="Times New Roman"/>
          <w:szCs w:val="24"/>
          <w:shd w:val="clear" w:color="auto" w:fill="FFFFFF"/>
        </w:rPr>
        <w:t xml:space="preserve">Sylhet, </w:t>
      </w:r>
      <w:r>
        <w:rPr>
          <w:rFonts w:cs="Times New Roman"/>
          <w:szCs w:val="24"/>
          <w:shd w:val="clear" w:color="auto" w:fill="FFFFFF"/>
        </w:rPr>
        <w:t xml:space="preserve">and in the adjacent districts of Jamalpur, </w:t>
      </w:r>
      <w:r w:rsidRPr="00841E54">
        <w:rPr>
          <w:rFonts w:cs="Times New Roman"/>
          <w:szCs w:val="24"/>
          <w:shd w:val="clear" w:color="auto" w:fill="FFFFFF"/>
        </w:rPr>
        <w:t>Mymensingh</w:t>
      </w:r>
      <w:r>
        <w:rPr>
          <w:rFonts w:cs="Times New Roman"/>
          <w:szCs w:val="24"/>
          <w:shd w:val="clear" w:color="auto" w:fill="FFFFFF"/>
        </w:rPr>
        <w:t xml:space="preserve"> and Sherpur</w:t>
      </w:r>
      <w:r w:rsidRPr="00841E54">
        <w:rPr>
          <w:rFonts w:eastAsia="Times New Roman" w:cs="Times New Roman"/>
          <w:szCs w:val="24"/>
        </w:rPr>
        <w:t>.</w:t>
      </w:r>
    </w:p>
    <w:p w:rsidR="00C23B34" w:rsidRPr="00841E54" w:rsidRDefault="00C23B34" w:rsidP="00C23B34">
      <w:pPr>
        <w:autoSpaceDE w:val="0"/>
        <w:autoSpaceDN w:val="0"/>
        <w:adjustRightInd w:val="0"/>
        <w:spacing w:line="276" w:lineRule="auto"/>
        <w:jc w:val="both"/>
        <w:rPr>
          <w:rFonts w:cs="Times New Roman"/>
          <w:b/>
          <w:szCs w:val="24"/>
          <w:shd w:val="clear" w:color="auto" w:fill="FFFFFF"/>
        </w:rPr>
      </w:pPr>
      <w:r w:rsidRPr="00841E54">
        <w:rPr>
          <w:rFonts w:cs="Times New Roman"/>
          <w:b/>
          <w:szCs w:val="24"/>
          <w:shd w:val="clear" w:color="auto" w:fill="FFFFFF"/>
        </w:rPr>
        <w:t>Structural Intervention</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AB56E1">
        <w:rPr>
          <w:rFonts w:cs="Times New Roman"/>
          <w:szCs w:val="24"/>
          <w:shd w:val="clear" w:color="auto" w:fill="FFFFFF"/>
        </w:rPr>
        <w:t>Build and maintain eco-friendly flood embankments on the banks of flashy river</w:t>
      </w:r>
      <w:r w:rsidR="00893089">
        <w:rPr>
          <w:rFonts w:cs="Times New Roman"/>
          <w:szCs w:val="24"/>
          <w:shd w:val="clear" w:color="auto" w:fill="FFFFFF"/>
        </w:rPr>
        <w:t xml:space="preserve"> in the appropriate height</w:t>
      </w:r>
      <w:r w:rsidRPr="00AB56E1">
        <w:rPr>
          <w:rFonts w:cs="Times New Roman"/>
          <w:szCs w:val="24"/>
          <w:shd w:val="clear" w:color="auto" w:fill="FFFFFF"/>
        </w:rPr>
        <w:t>.</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AB56E1">
        <w:rPr>
          <w:rFonts w:cs="Times New Roman"/>
          <w:szCs w:val="24"/>
          <w:shd w:val="clear" w:color="auto" w:fill="FFFFFF"/>
        </w:rPr>
        <w:t>Build and maintain submersible embankments to provide pre-monsoon flood protection to agricultural lands in the deep haors by submersible embankments and dredging of drainage channels.</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AB56E1">
        <w:rPr>
          <w:rFonts w:cs="Times New Roman"/>
          <w:szCs w:val="24"/>
          <w:shd w:val="clear" w:color="auto" w:fill="FFFFFF"/>
        </w:rPr>
        <w:t xml:space="preserve">Dredge the rivers and </w:t>
      </w:r>
      <w:r w:rsidR="00893089">
        <w:rPr>
          <w:rFonts w:cs="Times New Roman"/>
          <w:szCs w:val="24"/>
          <w:shd w:val="clear" w:color="auto" w:fill="FFFFFF"/>
        </w:rPr>
        <w:t>canals</w:t>
      </w:r>
      <w:r w:rsidR="00893089" w:rsidRPr="00AB56E1">
        <w:rPr>
          <w:rFonts w:cs="Times New Roman"/>
          <w:szCs w:val="24"/>
          <w:shd w:val="clear" w:color="auto" w:fill="FFFFFF"/>
        </w:rPr>
        <w:t xml:space="preserve"> </w:t>
      </w:r>
      <w:r w:rsidRPr="00AB56E1">
        <w:rPr>
          <w:rFonts w:cs="Times New Roman"/>
          <w:szCs w:val="24"/>
          <w:shd w:val="clear" w:color="auto" w:fill="FFFFFF"/>
        </w:rPr>
        <w:t>to increase the conveyance capacity for quick passage of flash floods.</w:t>
      </w:r>
    </w:p>
    <w:p w:rsidR="00C23B34" w:rsidRPr="00140A1F" w:rsidRDefault="00C23B34" w:rsidP="00C23B34">
      <w:pPr>
        <w:spacing w:line="276" w:lineRule="auto"/>
        <w:jc w:val="both"/>
        <w:rPr>
          <w:rFonts w:cs="Times New Roman"/>
          <w:b/>
          <w:i/>
          <w:szCs w:val="24"/>
        </w:rPr>
      </w:pPr>
      <w:r w:rsidRPr="00140A1F">
        <w:rPr>
          <w:rFonts w:cs="Times New Roman"/>
          <w:b/>
          <w:i/>
          <w:szCs w:val="24"/>
        </w:rPr>
        <w:t>Strategy: Flood protection in Haor region during monsoon</w:t>
      </w:r>
    </w:p>
    <w:p w:rsidR="00C23B34" w:rsidRPr="00AB56E1" w:rsidRDefault="00C23B34" w:rsidP="00C23B34">
      <w:pPr>
        <w:autoSpaceDE w:val="0"/>
        <w:autoSpaceDN w:val="0"/>
        <w:adjustRightInd w:val="0"/>
        <w:spacing w:line="276" w:lineRule="auto"/>
        <w:jc w:val="both"/>
        <w:rPr>
          <w:rFonts w:eastAsia="Times New Roman" w:cs="Times New Roman"/>
          <w:szCs w:val="24"/>
        </w:rPr>
      </w:pPr>
      <w:r w:rsidRPr="00841E54">
        <w:rPr>
          <w:rFonts w:cs="Times New Roman"/>
          <w:szCs w:val="24"/>
        </w:rPr>
        <w:t xml:space="preserve">During the monsoon, extreme flooding causes erosion of embankments and especially landless people in unplanned developments suffer heavily from the consequences. After flooding takes place, water resources and drinking water supplies become polluted leading to outbreaks of diseases such as cholera. Population growth causes unplanned encroachment of rivers, loss of agricultural land and wetland habitat loss. The geographic setting and distinct hydrology of the Haor region requires special attention to mitigate the problems flooding in the monsoon season. Therefore following measures are recommended to mitigate the impact of monsoon flooding in the </w:t>
      </w:r>
      <w:r>
        <w:rPr>
          <w:rFonts w:cs="Times New Roman"/>
          <w:szCs w:val="24"/>
        </w:rPr>
        <w:t xml:space="preserve">entire </w:t>
      </w:r>
      <w:r w:rsidRPr="00841E54">
        <w:rPr>
          <w:rFonts w:cs="Times New Roman"/>
          <w:szCs w:val="24"/>
        </w:rPr>
        <w:t>Haor region</w:t>
      </w:r>
      <w:r>
        <w:rPr>
          <w:rFonts w:eastAsia="Times New Roman" w:cs="Times New Roman"/>
          <w:szCs w:val="24"/>
        </w:rPr>
        <w:t>.</w:t>
      </w:r>
    </w:p>
    <w:p w:rsidR="005E64B5" w:rsidRDefault="005E64B5" w:rsidP="00C23B34">
      <w:pPr>
        <w:spacing w:line="276" w:lineRule="auto"/>
        <w:jc w:val="both"/>
        <w:rPr>
          <w:rFonts w:cs="Times New Roman"/>
          <w:b/>
          <w:szCs w:val="24"/>
          <w:shd w:val="clear" w:color="auto" w:fill="FFFFFF"/>
        </w:rPr>
      </w:pPr>
    </w:p>
    <w:p w:rsidR="00C23B34" w:rsidRPr="00841E54" w:rsidRDefault="00C23B34" w:rsidP="00C23B34">
      <w:pPr>
        <w:spacing w:line="276" w:lineRule="auto"/>
        <w:jc w:val="both"/>
        <w:rPr>
          <w:rFonts w:cs="Times New Roman"/>
          <w:b/>
          <w:szCs w:val="24"/>
          <w:shd w:val="clear" w:color="auto" w:fill="FFFFFF"/>
        </w:rPr>
      </w:pPr>
      <w:r w:rsidRPr="00841E54">
        <w:rPr>
          <w:rFonts w:cs="Times New Roman"/>
          <w:b/>
          <w:szCs w:val="24"/>
          <w:shd w:val="clear" w:color="auto" w:fill="FFFFFF"/>
        </w:rPr>
        <w:t>Structural Intervention</w:t>
      </w:r>
    </w:p>
    <w:p w:rsidR="00C23B34" w:rsidRPr="00DB56F7" w:rsidRDefault="00C23B34" w:rsidP="00A631E1">
      <w:pPr>
        <w:pStyle w:val="ListParagraph"/>
        <w:numPr>
          <w:ilvl w:val="0"/>
          <w:numId w:val="25"/>
        </w:numPr>
        <w:spacing w:line="276" w:lineRule="auto"/>
        <w:ind w:left="360"/>
        <w:jc w:val="both"/>
        <w:rPr>
          <w:rFonts w:cs="Times New Roman"/>
          <w:szCs w:val="24"/>
          <w:shd w:val="clear" w:color="auto" w:fill="FFFFFF"/>
        </w:rPr>
      </w:pPr>
      <w:r w:rsidRPr="00DB56F7">
        <w:rPr>
          <w:rFonts w:cs="Times New Roman"/>
          <w:szCs w:val="24"/>
          <w:shd w:val="clear" w:color="auto" w:fill="FFFFFF"/>
        </w:rPr>
        <w:t>Build full flood management systems in shallow flooded areas to protect to agricultural products and settlements.</w:t>
      </w:r>
    </w:p>
    <w:p w:rsidR="00C23B34" w:rsidRPr="00DB56F7" w:rsidRDefault="00C23B34" w:rsidP="00A631E1">
      <w:pPr>
        <w:pStyle w:val="ListParagraph"/>
        <w:numPr>
          <w:ilvl w:val="0"/>
          <w:numId w:val="25"/>
        </w:numPr>
        <w:spacing w:line="276" w:lineRule="auto"/>
        <w:ind w:left="360"/>
        <w:jc w:val="both"/>
        <w:rPr>
          <w:rFonts w:cs="Times New Roman"/>
          <w:szCs w:val="24"/>
          <w:shd w:val="clear" w:color="auto" w:fill="FFFFFF"/>
        </w:rPr>
      </w:pPr>
      <w:r w:rsidRPr="00DB56F7">
        <w:rPr>
          <w:rFonts w:cs="Times New Roman"/>
          <w:szCs w:val="24"/>
          <w:shd w:val="clear" w:color="auto" w:fill="FFFFFF"/>
        </w:rPr>
        <w:t>Develop and raise village platforms above flood levels for human settlement, industrial and institutional parks in haor basin by dredging river basins considering flood risk due to climate change.</w:t>
      </w:r>
    </w:p>
    <w:p w:rsidR="00C23B34" w:rsidRPr="00DB56F7" w:rsidRDefault="00C23B34" w:rsidP="00A631E1">
      <w:pPr>
        <w:pStyle w:val="ListParagraph"/>
        <w:numPr>
          <w:ilvl w:val="0"/>
          <w:numId w:val="25"/>
        </w:numPr>
        <w:spacing w:line="276" w:lineRule="auto"/>
        <w:ind w:left="360"/>
        <w:jc w:val="both"/>
        <w:rPr>
          <w:rFonts w:cs="Times New Roman"/>
          <w:szCs w:val="24"/>
          <w:shd w:val="clear" w:color="auto" w:fill="FFFFFF"/>
        </w:rPr>
      </w:pPr>
      <w:r w:rsidRPr="00DB56F7">
        <w:rPr>
          <w:rFonts w:cs="Times New Roman"/>
          <w:szCs w:val="24"/>
          <w:shd w:val="clear" w:color="auto" w:fill="FFFFFF"/>
        </w:rPr>
        <w:t>Build wave breakers to provide settlements and towns from erosion by waves in haor and flash flood areas.</w:t>
      </w:r>
    </w:p>
    <w:p w:rsidR="00C23B34" w:rsidRPr="00893089" w:rsidRDefault="00F64A6A" w:rsidP="00A631E1">
      <w:pPr>
        <w:pStyle w:val="ListParagraph"/>
        <w:numPr>
          <w:ilvl w:val="0"/>
          <w:numId w:val="25"/>
        </w:numPr>
        <w:spacing w:line="276" w:lineRule="auto"/>
        <w:ind w:left="360"/>
        <w:jc w:val="both"/>
        <w:rPr>
          <w:rFonts w:cs="Times New Roman"/>
          <w:szCs w:val="24"/>
          <w:u w:val="single"/>
          <w:shd w:val="clear" w:color="auto" w:fill="FFFFFF"/>
        </w:rPr>
      </w:pPr>
      <w:r w:rsidRPr="00F64A6A">
        <w:rPr>
          <w:rFonts w:cs="Times New Roman"/>
          <w:szCs w:val="24"/>
          <w:u w:val="single"/>
          <w:shd w:val="clear" w:color="auto" w:fill="FFFFFF"/>
        </w:rPr>
        <w:lastRenderedPageBreak/>
        <w:t>Rationalize and improve internal water management of all existing FCDI by strengthening and heightening of existing embankments and structure considering flood risk due to climate change.</w:t>
      </w:r>
    </w:p>
    <w:p w:rsidR="00D10C92" w:rsidRDefault="00F64A6A" w:rsidP="00D10C92">
      <w:pPr>
        <w:pStyle w:val="ListParagraph"/>
        <w:numPr>
          <w:ilvl w:val="0"/>
          <w:numId w:val="25"/>
        </w:numPr>
        <w:spacing w:line="276" w:lineRule="auto"/>
        <w:ind w:left="360"/>
        <w:jc w:val="both"/>
        <w:rPr>
          <w:rFonts w:cs="Times New Roman"/>
          <w:szCs w:val="24"/>
          <w:shd w:val="clear" w:color="auto" w:fill="FFFFFF"/>
        </w:rPr>
      </w:pPr>
      <w:r w:rsidRPr="00F64A6A">
        <w:rPr>
          <w:rFonts w:cs="Times New Roman"/>
          <w:szCs w:val="24"/>
          <w:u w:val="single"/>
          <w:shd w:val="clear" w:color="auto" w:fill="FFFFFF"/>
        </w:rPr>
        <w:t>Build flood shelters for livestock</w:t>
      </w:r>
      <w:r w:rsidR="00C23B34" w:rsidRPr="00DB56F7">
        <w:rPr>
          <w:rFonts w:cs="Times New Roman"/>
          <w:szCs w:val="24"/>
          <w:shd w:val="clear" w:color="auto" w:fill="FFFFFF"/>
        </w:rPr>
        <w:t>.</w:t>
      </w:r>
    </w:p>
    <w:p w:rsidR="00C23B34" w:rsidRPr="00841E54" w:rsidRDefault="00C23B34" w:rsidP="00C23B34">
      <w:pPr>
        <w:spacing w:line="276" w:lineRule="auto"/>
        <w:jc w:val="both"/>
        <w:rPr>
          <w:rFonts w:cs="Times New Roman"/>
          <w:b/>
          <w:szCs w:val="24"/>
          <w:lang w:bidi="bn-BD"/>
        </w:rPr>
      </w:pPr>
      <w:r w:rsidRPr="00841E54">
        <w:rPr>
          <w:rFonts w:cs="Times New Roman"/>
          <w:b/>
          <w:szCs w:val="24"/>
          <w:lang w:bidi="bn-BD"/>
        </w:rPr>
        <w:t>Non-Structural Intervention</w:t>
      </w:r>
    </w:p>
    <w:p w:rsidR="00C23B34" w:rsidRPr="00DB56F7" w:rsidRDefault="00C23B34" w:rsidP="00A631E1">
      <w:pPr>
        <w:pStyle w:val="ListParagraph"/>
        <w:numPr>
          <w:ilvl w:val="0"/>
          <w:numId w:val="25"/>
        </w:numPr>
        <w:spacing w:line="276" w:lineRule="auto"/>
        <w:ind w:left="360"/>
        <w:jc w:val="both"/>
        <w:rPr>
          <w:rFonts w:cs="Times New Roman"/>
          <w:szCs w:val="24"/>
          <w:shd w:val="clear" w:color="auto" w:fill="FFFFFF"/>
        </w:rPr>
      </w:pPr>
      <w:r w:rsidRPr="00DB56F7">
        <w:rPr>
          <w:rFonts w:cs="Times New Roman"/>
          <w:szCs w:val="24"/>
          <w:shd w:val="clear" w:color="auto" w:fill="FFFFFF"/>
        </w:rPr>
        <w:t>Regular O&amp;M of existing flood control and mitigation infrastructure.</w:t>
      </w:r>
    </w:p>
    <w:p w:rsidR="00C23B34" w:rsidRPr="00DB56F7" w:rsidRDefault="00C23B34" w:rsidP="00A631E1">
      <w:pPr>
        <w:pStyle w:val="ListParagraph"/>
        <w:numPr>
          <w:ilvl w:val="0"/>
          <w:numId w:val="25"/>
        </w:numPr>
        <w:spacing w:line="276" w:lineRule="auto"/>
        <w:ind w:left="360"/>
        <w:jc w:val="both"/>
        <w:rPr>
          <w:rFonts w:cs="Times New Roman"/>
          <w:szCs w:val="24"/>
          <w:shd w:val="clear" w:color="auto" w:fill="FFFFFF"/>
        </w:rPr>
      </w:pPr>
      <w:r w:rsidRPr="00DB56F7">
        <w:rPr>
          <w:rFonts w:cs="Times New Roman"/>
          <w:szCs w:val="24"/>
          <w:shd w:val="clear" w:color="auto" w:fill="FFFFFF"/>
        </w:rPr>
        <w:t>Planning and development of green belts as measure against wave action.</w:t>
      </w:r>
    </w:p>
    <w:p w:rsidR="00C23B34" w:rsidRPr="00841E54" w:rsidRDefault="00C23B34" w:rsidP="00C23B34">
      <w:pPr>
        <w:spacing w:line="276" w:lineRule="auto"/>
        <w:jc w:val="both"/>
        <w:rPr>
          <w:rFonts w:cs="Times New Roman"/>
          <w:b/>
          <w:szCs w:val="24"/>
          <w:lang w:bidi="bn-BD"/>
        </w:rPr>
      </w:pPr>
      <w:r w:rsidRPr="00841E54">
        <w:rPr>
          <w:rFonts w:cs="Times New Roman"/>
          <w:b/>
          <w:szCs w:val="24"/>
          <w:lang w:bidi="bn-BD"/>
        </w:rPr>
        <w:t xml:space="preserve">Institutional </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AB56E1">
        <w:rPr>
          <w:rFonts w:cs="Times New Roman"/>
          <w:szCs w:val="24"/>
          <w:shd w:val="clear" w:color="auto" w:fill="FFFFFF"/>
        </w:rPr>
        <w:t xml:space="preserve">Developing Framework for Monitoring, Forecasting the flash flood, dissemination and communication the warning message to the end users and community based response system as well as capacity building for risk knowledge </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AB56E1">
        <w:rPr>
          <w:rFonts w:cs="Times New Roman"/>
          <w:szCs w:val="24"/>
          <w:shd w:val="clear" w:color="auto" w:fill="FFFFFF"/>
        </w:rPr>
        <w:t>Awareness program and monitoring against unplanned developments blocking the flow of drainage canals.</w:t>
      </w:r>
    </w:p>
    <w:p w:rsidR="00C23B34" w:rsidRPr="00AB56E1" w:rsidRDefault="00C23B34" w:rsidP="00C23B34">
      <w:pPr>
        <w:tabs>
          <w:tab w:val="left" w:pos="34"/>
          <w:tab w:val="left" w:pos="142"/>
        </w:tabs>
        <w:spacing w:line="276" w:lineRule="auto"/>
        <w:ind w:left="142"/>
        <w:jc w:val="both"/>
        <w:rPr>
          <w:rFonts w:cs="Times New Roman"/>
          <w:b/>
          <w:i/>
          <w:szCs w:val="24"/>
        </w:rPr>
      </w:pPr>
      <w:r w:rsidRPr="00AB56E1">
        <w:rPr>
          <w:rFonts w:cs="Times New Roman"/>
          <w:b/>
          <w:i/>
          <w:szCs w:val="24"/>
        </w:rPr>
        <w:t>Strategy: Flash Floods and Storm Surge Flood protection for Chittagong Region</w:t>
      </w:r>
    </w:p>
    <w:p w:rsidR="00C23B34" w:rsidRPr="00841E54" w:rsidRDefault="00C23B34" w:rsidP="00C23B34">
      <w:pPr>
        <w:spacing w:line="276" w:lineRule="auto"/>
        <w:jc w:val="both"/>
        <w:rPr>
          <w:rFonts w:cs="Times New Roman"/>
          <w:szCs w:val="24"/>
        </w:rPr>
      </w:pPr>
      <w:r>
        <w:rPr>
          <w:rFonts w:cs="Times New Roman"/>
          <w:szCs w:val="24"/>
        </w:rPr>
        <w:t>Chittagong as a part of the coastal belt faces all the problems emerging from its coastal located.  Additionally, r</w:t>
      </w:r>
      <w:r w:rsidRPr="00841E54">
        <w:rPr>
          <w:rFonts w:cs="Times New Roman"/>
          <w:szCs w:val="24"/>
        </w:rPr>
        <w:t>iver sedimentation and water logging have posed serious threats to the plains in the last three decades.</w:t>
      </w:r>
      <w:r>
        <w:rPr>
          <w:rFonts w:cs="Times New Roman"/>
          <w:szCs w:val="24"/>
        </w:rPr>
        <w:t xml:space="preserve"> </w:t>
      </w:r>
      <w:r w:rsidRPr="00841E54">
        <w:rPr>
          <w:rFonts w:cs="Times New Roman"/>
          <w:szCs w:val="24"/>
        </w:rPr>
        <w:t>During flash floods up to 80% of crops, vegetables and Aman bed seeds are damaged by hilly land erosion and landslide. Therefore, following strategic measures are suggested:</w:t>
      </w:r>
    </w:p>
    <w:p w:rsidR="00C23B34" w:rsidRPr="00841E54" w:rsidRDefault="00C23B34" w:rsidP="00C23B34">
      <w:pPr>
        <w:spacing w:line="276" w:lineRule="auto"/>
        <w:jc w:val="both"/>
        <w:rPr>
          <w:rFonts w:cs="Times New Roman"/>
          <w:b/>
          <w:szCs w:val="24"/>
          <w:shd w:val="clear" w:color="auto" w:fill="FFFFFF"/>
        </w:rPr>
      </w:pPr>
      <w:r w:rsidRPr="00841E54">
        <w:rPr>
          <w:rFonts w:cs="Times New Roman"/>
          <w:b/>
          <w:szCs w:val="24"/>
          <w:shd w:val="clear" w:color="auto" w:fill="FFFFFF"/>
        </w:rPr>
        <w:t>Structural Intervention</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DB56F7">
        <w:rPr>
          <w:rFonts w:cs="Times New Roman"/>
          <w:szCs w:val="24"/>
          <w:shd w:val="clear" w:color="auto" w:fill="FFFFFF"/>
        </w:rPr>
        <w:t>Diversion of flow in erosion prone areas by applying appropriate measures like groynes</w:t>
      </w:r>
      <w:r>
        <w:rPr>
          <w:rFonts w:cs="Times New Roman"/>
          <w:szCs w:val="24"/>
          <w:shd w:val="clear" w:color="auto" w:fill="FFFFFF"/>
        </w:rPr>
        <w:t xml:space="preserve">; </w:t>
      </w:r>
      <w:r w:rsidRPr="00AB56E1">
        <w:rPr>
          <w:rFonts w:cs="Times New Roman"/>
          <w:szCs w:val="24"/>
          <w:shd w:val="clear" w:color="auto" w:fill="FFFFFF"/>
        </w:rPr>
        <w:t>dykes or diversion or chute in hills and spur /dykes in the foothill flood plain.</w:t>
      </w:r>
    </w:p>
    <w:p w:rsidR="00C23B34" w:rsidRPr="00DB56F7" w:rsidRDefault="00C23B34" w:rsidP="00A631E1">
      <w:pPr>
        <w:pStyle w:val="ListParagraph"/>
        <w:numPr>
          <w:ilvl w:val="0"/>
          <w:numId w:val="25"/>
        </w:numPr>
        <w:spacing w:line="276" w:lineRule="auto"/>
        <w:ind w:left="360"/>
        <w:jc w:val="both"/>
        <w:rPr>
          <w:rFonts w:cs="Times New Roman"/>
          <w:szCs w:val="24"/>
          <w:shd w:val="clear" w:color="auto" w:fill="FFFFFF"/>
        </w:rPr>
      </w:pPr>
      <w:r w:rsidRPr="00DB56F7">
        <w:rPr>
          <w:rFonts w:cs="Times New Roman"/>
          <w:szCs w:val="24"/>
          <w:shd w:val="clear" w:color="auto" w:fill="FFFFFF"/>
        </w:rPr>
        <w:t xml:space="preserve">Protection of floodplains and towns from the flash floods of Chengi, Karnafuli, Sangu, Matamhuri, Bakkhali rivers and hilly streams through development of new embankments / water control infrastructure for floods and flash floods in the hills and flood control structures for </w:t>
      </w:r>
      <w:r w:rsidR="00893089">
        <w:rPr>
          <w:rFonts w:cs="Times New Roman"/>
          <w:szCs w:val="24"/>
          <w:shd w:val="clear" w:color="auto" w:fill="FFFFFF"/>
        </w:rPr>
        <w:t>canals.</w:t>
      </w:r>
    </w:p>
    <w:p w:rsidR="00C23B34" w:rsidRPr="00DB56F7" w:rsidRDefault="00C23B34" w:rsidP="00A631E1">
      <w:pPr>
        <w:pStyle w:val="ListParagraph"/>
        <w:numPr>
          <w:ilvl w:val="0"/>
          <w:numId w:val="25"/>
        </w:numPr>
        <w:spacing w:line="276" w:lineRule="auto"/>
        <w:ind w:left="360"/>
        <w:jc w:val="both"/>
        <w:rPr>
          <w:rFonts w:cs="Times New Roman"/>
          <w:szCs w:val="24"/>
          <w:shd w:val="clear" w:color="auto" w:fill="FFFFFF"/>
        </w:rPr>
      </w:pPr>
      <w:r w:rsidRPr="00DB56F7">
        <w:rPr>
          <w:rFonts w:cs="Times New Roman"/>
          <w:szCs w:val="24"/>
          <w:shd w:val="clear" w:color="auto" w:fill="FFFFFF"/>
        </w:rPr>
        <w:t xml:space="preserve">Improvement of drainage capacity through appropriate measures e.g. pumps / water control for smart drainage in coastal plains </w:t>
      </w:r>
    </w:p>
    <w:p w:rsidR="00C23B34" w:rsidRDefault="00C23B34" w:rsidP="00C23B34">
      <w:pPr>
        <w:spacing w:line="276" w:lineRule="auto"/>
        <w:jc w:val="both"/>
        <w:rPr>
          <w:rFonts w:cs="Times New Roman"/>
          <w:szCs w:val="24"/>
        </w:rPr>
      </w:pPr>
      <w:r w:rsidRPr="00BB495B">
        <w:rPr>
          <w:rFonts w:cs="Times New Roman"/>
          <w:szCs w:val="24"/>
        </w:rPr>
        <w:t>The strategic measure(s) to be taken against coastal flooding has been discussed under Coastal Zone Protection and Management</w:t>
      </w:r>
      <w:r>
        <w:rPr>
          <w:rFonts w:cs="Times New Roman"/>
          <w:szCs w:val="24"/>
        </w:rPr>
        <w:t>.</w:t>
      </w:r>
    </w:p>
    <w:p w:rsidR="00C23B34" w:rsidRPr="00AB56E1" w:rsidRDefault="00C23B34" w:rsidP="00C23B34">
      <w:pPr>
        <w:rPr>
          <w:rFonts w:cs="Times New Roman"/>
          <w:b/>
          <w:szCs w:val="24"/>
        </w:rPr>
      </w:pPr>
      <w:r w:rsidRPr="00AB56E1">
        <w:rPr>
          <w:rFonts w:cs="Times New Roman"/>
          <w:b/>
          <w:szCs w:val="24"/>
        </w:rPr>
        <w:t>Strategy: Flood protection and drainage management of urban areas</w:t>
      </w:r>
    </w:p>
    <w:p w:rsidR="00C23B34" w:rsidRPr="00AB56E1" w:rsidRDefault="00C23B34" w:rsidP="00C23B34">
      <w:pPr>
        <w:autoSpaceDE w:val="0"/>
        <w:autoSpaceDN w:val="0"/>
        <w:adjustRightInd w:val="0"/>
        <w:jc w:val="both"/>
        <w:rPr>
          <w:rFonts w:eastAsia="Times New Roman" w:cs="Times New Roman"/>
          <w:szCs w:val="24"/>
        </w:rPr>
      </w:pPr>
      <w:r w:rsidRPr="00AB56E1">
        <w:rPr>
          <w:rFonts w:cs="Times New Roman"/>
          <w:szCs w:val="24"/>
        </w:rPr>
        <w:lastRenderedPageBreak/>
        <w:t>Floods in Urban areas occur due to two reasons: flooding due to river spillage and rainfed flood i.e. drainage congestion. The strategies against Extreme and Normal flood cover the issue of protection of urban areas against river flooding. Therefore, strategic measures for drainage congestion have been discussed in this section. The inadequate drainage facilities and reduced discharge capacity of the natural drainage canals due to narrowing of the canals, building obstacles such as bridges, pipe lines and buildings on them, congestion caused by dumping of solid waste, use of polythene bags, sand from building sites etc. are important causes behind drainage congestion in the urban areas. Moreover, the retention and infiltration capacity of the urban areas have continuously decreased since paddies, ponds and wetlands are being (sometimes illegally) filled up filled up for houses and other uses. Therefore, following strategic measures are suggested to mitigate and/or remove drainage congestion in the urban areas.</w:t>
      </w:r>
    </w:p>
    <w:p w:rsidR="00C23B34" w:rsidRPr="00AB56E1" w:rsidRDefault="00C23B34" w:rsidP="00C23B34">
      <w:pPr>
        <w:spacing w:after="160"/>
        <w:rPr>
          <w:rFonts w:cs="Times New Roman"/>
          <w:b/>
          <w:szCs w:val="24"/>
          <w:shd w:val="clear" w:color="auto" w:fill="FFFFFF"/>
        </w:rPr>
      </w:pPr>
      <w:r w:rsidRPr="00AB56E1">
        <w:rPr>
          <w:rFonts w:cs="Times New Roman"/>
          <w:b/>
          <w:szCs w:val="24"/>
          <w:shd w:val="clear" w:color="auto" w:fill="FFFFFF"/>
        </w:rPr>
        <w:t>Structural Intervention</w:t>
      </w:r>
    </w:p>
    <w:p w:rsidR="00C23B34" w:rsidRPr="00AB56E1" w:rsidRDefault="00C23B34" w:rsidP="00A631E1">
      <w:pPr>
        <w:pStyle w:val="ListParagraph"/>
        <w:numPr>
          <w:ilvl w:val="0"/>
          <w:numId w:val="25"/>
        </w:numPr>
        <w:spacing w:before="120" w:after="0" w:line="276" w:lineRule="auto"/>
        <w:jc w:val="both"/>
        <w:rPr>
          <w:rFonts w:eastAsia="Times New Roman" w:cs="Times New Roman"/>
          <w:bCs/>
          <w:szCs w:val="24"/>
        </w:rPr>
      </w:pPr>
      <w:r w:rsidRPr="00AB56E1">
        <w:rPr>
          <w:rFonts w:eastAsia="Times New Roman" w:cs="Times New Roman"/>
          <w:bCs/>
          <w:szCs w:val="24"/>
        </w:rPr>
        <w:t>Development and maintenance of drainage facilities in parallel to the preservation of natural canals and wetlands. In this regard, ecological function of the wetlands and the related conditions, water storing or water discharge capacity of the wetlands should be identified.</w:t>
      </w:r>
    </w:p>
    <w:p w:rsidR="00C23B34" w:rsidRDefault="00C23B34" w:rsidP="00A631E1">
      <w:pPr>
        <w:pStyle w:val="ListParagraph"/>
        <w:numPr>
          <w:ilvl w:val="0"/>
          <w:numId w:val="25"/>
        </w:numPr>
        <w:spacing w:before="120" w:after="0" w:line="276" w:lineRule="auto"/>
        <w:jc w:val="both"/>
        <w:rPr>
          <w:rFonts w:eastAsia="Times New Roman" w:cs="Times New Roman"/>
          <w:bCs/>
          <w:szCs w:val="24"/>
        </w:rPr>
      </w:pPr>
      <w:r w:rsidRPr="00AB56E1">
        <w:rPr>
          <w:rFonts w:eastAsia="Times New Roman" w:cs="Times New Roman"/>
          <w:bCs/>
          <w:szCs w:val="24"/>
        </w:rPr>
        <w:t>Maintenance of connectiv</w:t>
      </w:r>
      <w:r>
        <w:rPr>
          <w:rFonts w:eastAsia="Times New Roman" w:cs="Times New Roman"/>
          <w:bCs/>
          <w:szCs w:val="24"/>
        </w:rPr>
        <w:t>ity of drainage channels and</w:t>
      </w:r>
      <w:r w:rsidRPr="00AB56E1">
        <w:rPr>
          <w:rFonts w:eastAsia="Times New Roman" w:cs="Times New Roman"/>
          <w:bCs/>
          <w:szCs w:val="24"/>
        </w:rPr>
        <w:t xml:space="preserve"> natural canal and between natural canals and rivers through dredging and other appropriate technique.</w:t>
      </w:r>
    </w:p>
    <w:p w:rsidR="00C23B34" w:rsidRPr="00AB56E1" w:rsidRDefault="00C23B34" w:rsidP="00C23B34">
      <w:pPr>
        <w:pStyle w:val="ListParagraph"/>
        <w:spacing w:before="120" w:after="0" w:line="276" w:lineRule="auto"/>
        <w:jc w:val="both"/>
        <w:rPr>
          <w:rFonts w:eastAsia="Times New Roman" w:cs="Times New Roman"/>
          <w:bCs/>
          <w:szCs w:val="24"/>
        </w:rPr>
      </w:pPr>
    </w:p>
    <w:p w:rsidR="00C23B34" w:rsidRPr="00AB56E1" w:rsidRDefault="00C23B34" w:rsidP="00C23B34">
      <w:pPr>
        <w:spacing w:line="276" w:lineRule="auto"/>
        <w:rPr>
          <w:rFonts w:eastAsiaTheme="minorHAnsi" w:cs="Times New Roman"/>
          <w:b/>
          <w:szCs w:val="24"/>
          <w:lang w:bidi="bn-BD"/>
        </w:rPr>
      </w:pPr>
      <w:r w:rsidRPr="00AB56E1">
        <w:rPr>
          <w:rFonts w:eastAsiaTheme="minorHAnsi" w:cs="Times New Roman"/>
          <w:b/>
          <w:szCs w:val="24"/>
          <w:lang w:bidi="bn-BD"/>
        </w:rPr>
        <w:t>Non-Structural Intervention</w:t>
      </w:r>
    </w:p>
    <w:p w:rsidR="00C23B34" w:rsidRPr="00AB56E1" w:rsidRDefault="00C23B34" w:rsidP="00A631E1">
      <w:pPr>
        <w:pStyle w:val="ListParagraph"/>
        <w:numPr>
          <w:ilvl w:val="0"/>
          <w:numId w:val="25"/>
        </w:numPr>
        <w:spacing w:before="120" w:after="0" w:line="276" w:lineRule="auto"/>
        <w:jc w:val="both"/>
        <w:rPr>
          <w:rFonts w:eastAsia="Times New Roman" w:cs="Times New Roman"/>
          <w:bCs/>
          <w:szCs w:val="24"/>
        </w:rPr>
      </w:pPr>
      <w:r w:rsidRPr="00AB56E1">
        <w:rPr>
          <w:rFonts w:eastAsia="Times New Roman" w:cs="Times New Roman"/>
          <w:bCs/>
          <w:szCs w:val="24"/>
        </w:rPr>
        <w:t xml:space="preserve">Development of the wetlands in an integral way through </w:t>
      </w:r>
      <w:r w:rsidR="002424F1">
        <w:rPr>
          <w:rFonts w:eastAsia="Times New Roman" w:cs="Times New Roman"/>
          <w:bCs/>
          <w:szCs w:val="24"/>
        </w:rPr>
        <w:t>public</w:t>
      </w:r>
      <w:r w:rsidR="004349EF">
        <w:rPr>
          <w:rFonts w:eastAsia="Times New Roman" w:cs="Times New Roman"/>
          <w:bCs/>
          <w:szCs w:val="24"/>
        </w:rPr>
        <w:t>-</w:t>
      </w:r>
      <w:r w:rsidRPr="00AB56E1">
        <w:rPr>
          <w:rFonts w:eastAsia="Times New Roman" w:cs="Times New Roman"/>
          <w:bCs/>
          <w:szCs w:val="24"/>
        </w:rPr>
        <w:t>private partnerships that are under extreme pressure due to rapid urbanization combined with high ground prices. The planned development can allow for economic growth and housing development as well as maintaining the wetlands ecological and water storage capacity.</w:t>
      </w:r>
    </w:p>
    <w:p w:rsidR="00C23B34" w:rsidRPr="00AB56E1" w:rsidRDefault="00C23B34" w:rsidP="00A631E1">
      <w:pPr>
        <w:pStyle w:val="ListParagraph"/>
        <w:numPr>
          <w:ilvl w:val="0"/>
          <w:numId w:val="25"/>
        </w:numPr>
        <w:spacing w:before="120" w:after="0" w:line="276" w:lineRule="auto"/>
        <w:jc w:val="both"/>
        <w:rPr>
          <w:rFonts w:eastAsia="Times New Roman" w:cs="Times New Roman"/>
          <w:bCs/>
          <w:szCs w:val="24"/>
        </w:rPr>
      </w:pPr>
      <w:r w:rsidRPr="00AB56E1">
        <w:rPr>
          <w:rFonts w:eastAsia="Times New Roman" w:cs="Times New Roman"/>
          <w:bCs/>
          <w:szCs w:val="24"/>
        </w:rPr>
        <w:t>Identification and prudent use of suitable areas for retention of additional water during monsoon season such as permanent water</w:t>
      </w:r>
      <w:r>
        <w:rPr>
          <w:rFonts w:eastAsia="Times New Roman" w:cs="Times New Roman"/>
          <w:bCs/>
          <w:szCs w:val="24"/>
        </w:rPr>
        <w:t xml:space="preserve"> bodies </w:t>
      </w:r>
      <w:r w:rsidRPr="00AB56E1">
        <w:rPr>
          <w:rFonts w:eastAsia="Times New Roman" w:cs="Times New Roman"/>
          <w:bCs/>
          <w:szCs w:val="24"/>
        </w:rPr>
        <w:t>to store (retention) additional water year round (</w:t>
      </w:r>
      <w:r w:rsidR="00893089">
        <w:rPr>
          <w:rFonts w:eastAsia="Times New Roman" w:cs="Times New Roman"/>
          <w:bCs/>
          <w:szCs w:val="24"/>
        </w:rPr>
        <w:t>canals</w:t>
      </w:r>
      <w:r w:rsidR="00893089" w:rsidRPr="00AB56E1">
        <w:rPr>
          <w:rFonts w:eastAsia="Times New Roman" w:cs="Times New Roman"/>
          <w:bCs/>
          <w:szCs w:val="24"/>
        </w:rPr>
        <w:t xml:space="preserve"> </w:t>
      </w:r>
      <w:r w:rsidRPr="00AB56E1">
        <w:rPr>
          <w:rFonts w:eastAsia="Times New Roman" w:cs="Times New Roman"/>
          <w:bCs/>
          <w:szCs w:val="24"/>
        </w:rPr>
        <w:t>and ponds); to store additional water (</w:t>
      </w:r>
      <w:r w:rsidR="00893089">
        <w:rPr>
          <w:rFonts w:eastAsia="Times New Roman" w:cs="Times New Roman"/>
          <w:bCs/>
          <w:szCs w:val="24"/>
        </w:rPr>
        <w:t>r</w:t>
      </w:r>
      <w:r w:rsidR="00893089" w:rsidRPr="00AB56E1">
        <w:rPr>
          <w:rFonts w:eastAsia="Times New Roman" w:cs="Times New Roman"/>
          <w:bCs/>
          <w:szCs w:val="24"/>
        </w:rPr>
        <w:t>etention</w:t>
      </w:r>
      <w:r w:rsidRPr="00AB56E1">
        <w:rPr>
          <w:rFonts w:eastAsia="Times New Roman" w:cs="Times New Roman"/>
          <w:bCs/>
          <w:szCs w:val="24"/>
        </w:rPr>
        <w:t xml:space="preserve">) during the monsoon (wetlands, some </w:t>
      </w:r>
      <w:r w:rsidR="002424F1">
        <w:rPr>
          <w:rFonts w:eastAsia="Times New Roman" w:cs="Times New Roman"/>
          <w:bCs/>
          <w:szCs w:val="24"/>
        </w:rPr>
        <w:t>public</w:t>
      </w:r>
      <w:r w:rsidRPr="00AB56E1">
        <w:rPr>
          <w:rFonts w:eastAsia="Times New Roman" w:cs="Times New Roman"/>
          <w:bCs/>
          <w:szCs w:val="24"/>
        </w:rPr>
        <w:t xml:space="preserve"> spaces). </w:t>
      </w:r>
    </w:p>
    <w:p w:rsidR="00C23B34" w:rsidRPr="00AB56E1" w:rsidRDefault="00C23B34" w:rsidP="00C23B34">
      <w:pPr>
        <w:spacing w:before="120" w:line="276" w:lineRule="auto"/>
        <w:jc w:val="both"/>
        <w:rPr>
          <w:rFonts w:cs="Times New Roman"/>
          <w:b/>
          <w:szCs w:val="24"/>
          <w:lang w:bidi="bn-BD"/>
        </w:rPr>
      </w:pPr>
      <w:r w:rsidRPr="00AB56E1">
        <w:rPr>
          <w:rFonts w:cs="Times New Roman"/>
          <w:b/>
          <w:szCs w:val="24"/>
          <w:lang w:bidi="bn-BD"/>
        </w:rPr>
        <w:t xml:space="preserve">Institutional </w:t>
      </w:r>
    </w:p>
    <w:p w:rsidR="00C23B34" w:rsidRPr="00AB56E1" w:rsidRDefault="00C23B34" w:rsidP="00A631E1">
      <w:pPr>
        <w:pStyle w:val="ListParagraph"/>
        <w:numPr>
          <w:ilvl w:val="0"/>
          <w:numId w:val="25"/>
        </w:numPr>
        <w:spacing w:before="120" w:after="0" w:line="276" w:lineRule="auto"/>
        <w:jc w:val="both"/>
        <w:rPr>
          <w:rFonts w:eastAsia="Times New Roman" w:cs="Times New Roman"/>
          <w:bCs/>
          <w:szCs w:val="24"/>
        </w:rPr>
      </w:pPr>
      <w:r w:rsidRPr="00AB56E1">
        <w:rPr>
          <w:rFonts w:eastAsia="Times New Roman" w:cs="Times New Roman"/>
          <w:bCs/>
          <w:szCs w:val="24"/>
        </w:rPr>
        <w:t xml:space="preserve">Preservation of wetlands at National Level through formulating and implementing guidelines for wetland preservation  integrating the use of wetlands to support the living quality of urban areas on the basis of identification of the ecological value,  storage and flow capacity requirements of different wetlands. </w:t>
      </w:r>
    </w:p>
    <w:p w:rsidR="00C23B34" w:rsidRPr="00AB56E1" w:rsidRDefault="00C23B34" w:rsidP="00A631E1">
      <w:pPr>
        <w:pStyle w:val="ListParagraph"/>
        <w:numPr>
          <w:ilvl w:val="0"/>
          <w:numId w:val="25"/>
        </w:numPr>
        <w:spacing w:before="120" w:after="0" w:line="276" w:lineRule="auto"/>
        <w:jc w:val="both"/>
        <w:rPr>
          <w:rFonts w:eastAsia="Times New Roman" w:cs="Times New Roman"/>
          <w:bCs/>
          <w:szCs w:val="24"/>
        </w:rPr>
      </w:pPr>
      <w:r w:rsidRPr="00AB56E1">
        <w:rPr>
          <w:rFonts w:eastAsia="Times New Roman" w:cs="Times New Roman"/>
          <w:bCs/>
          <w:szCs w:val="24"/>
        </w:rPr>
        <w:t>Land use zoning to prevent development and encroachment of wetlands.</w:t>
      </w:r>
    </w:p>
    <w:p w:rsidR="00C23B34" w:rsidRPr="00AB56E1" w:rsidRDefault="00C23B34" w:rsidP="00A631E1">
      <w:pPr>
        <w:pStyle w:val="ListParagraph"/>
        <w:numPr>
          <w:ilvl w:val="0"/>
          <w:numId w:val="25"/>
        </w:numPr>
        <w:spacing w:before="120" w:after="0" w:line="264" w:lineRule="auto"/>
        <w:jc w:val="both"/>
        <w:rPr>
          <w:rFonts w:eastAsia="Times New Roman" w:cs="Times New Roman"/>
          <w:bCs/>
          <w:szCs w:val="24"/>
        </w:rPr>
      </w:pPr>
      <w:r w:rsidRPr="00AB56E1">
        <w:rPr>
          <w:rFonts w:eastAsia="Times New Roman" w:cs="Times New Roman"/>
          <w:bCs/>
          <w:szCs w:val="24"/>
        </w:rPr>
        <w:t xml:space="preserve">A solid waste management programme to collect solid waste and raise awareness with the general </w:t>
      </w:r>
      <w:r w:rsidR="002424F1">
        <w:rPr>
          <w:rFonts w:eastAsia="Times New Roman" w:cs="Times New Roman"/>
          <w:bCs/>
          <w:szCs w:val="24"/>
        </w:rPr>
        <w:t>public</w:t>
      </w:r>
      <w:r w:rsidRPr="00AB56E1">
        <w:rPr>
          <w:rFonts w:eastAsia="Times New Roman" w:cs="Times New Roman"/>
          <w:bCs/>
          <w:szCs w:val="24"/>
        </w:rPr>
        <w:t>.</w:t>
      </w:r>
    </w:p>
    <w:p w:rsidR="00C23B34" w:rsidRPr="00AB56E1" w:rsidRDefault="00C23B34" w:rsidP="00A631E1">
      <w:pPr>
        <w:pStyle w:val="ListParagraph"/>
        <w:numPr>
          <w:ilvl w:val="0"/>
          <w:numId w:val="25"/>
        </w:numPr>
        <w:spacing w:before="120" w:after="0" w:line="264" w:lineRule="auto"/>
        <w:jc w:val="both"/>
        <w:rPr>
          <w:rFonts w:eastAsia="Times New Roman" w:cs="Times New Roman"/>
          <w:bCs/>
          <w:szCs w:val="24"/>
        </w:rPr>
      </w:pPr>
      <w:r w:rsidRPr="00AB56E1">
        <w:rPr>
          <w:rFonts w:eastAsia="Times New Roman" w:cs="Times New Roman"/>
          <w:bCs/>
          <w:szCs w:val="24"/>
        </w:rPr>
        <w:t xml:space="preserve">Creating awareness of the ecological values and threats of pollution and urbanization in relation to wetlands at National Level. In order to protect the wetlands in areas where </w:t>
      </w:r>
      <w:r w:rsidRPr="00AB56E1">
        <w:rPr>
          <w:rFonts w:eastAsia="Times New Roman" w:cs="Times New Roman"/>
          <w:bCs/>
          <w:szCs w:val="24"/>
        </w:rPr>
        <w:lastRenderedPageBreak/>
        <w:t>land prices are high and urban sprawl is difficult to control: it has to be made sure that the wetlands get a functional use or are occupied with a pacemaker programme such as a park, tree nursery, sports fields, natural parks or recreation; this way the area can be protected from sprawl.</w:t>
      </w:r>
    </w:p>
    <w:p w:rsidR="00C23B34" w:rsidRPr="00AB56E1" w:rsidRDefault="00C23B34" w:rsidP="00A631E1">
      <w:pPr>
        <w:pStyle w:val="ListParagraph"/>
        <w:numPr>
          <w:ilvl w:val="0"/>
          <w:numId w:val="25"/>
        </w:numPr>
        <w:spacing w:before="120" w:line="264" w:lineRule="auto"/>
        <w:jc w:val="both"/>
        <w:rPr>
          <w:rFonts w:eastAsia="Times New Roman" w:cs="Times New Roman"/>
          <w:bCs/>
          <w:szCs w:val="24"/>
        </w:rPr>
      </w:pPr>
      <w:r w:rsidRPr="00AB56E1">
        <w:rPr>
          <w:rFonts w:eastAsia="Times New Roman" w:cs="Times New Roman"/>
          <w:bCs/>
          <w:szCs w:val="24"/>
        </w:rPr>
        <w:t xml:space="preserve">A maintenance programme (and budget) to restore the capacity of current urban drainage systems by removing silt and sludge, solid waste, physical obstructions that limit flow (widening small bridges and repositioning pipes), and removing illegal encroachment (in coherence with a resettlement programme). </w:t>
      </w:r>
    </w:p>
    <w:p w:rsidR="00000000" w:rsidRDefault="00C23B34" w:rsidP="003D5A31">
      <w:pPr>
        <w:pStyle w:val="BodyText"/>
        <w:numPr>
          <w:ilvl w:val="2"/>
          <w:numId w:val="146"/>
        </w:numPr>
        <w:spacing w:after="240" w:line="276" w:lineRule="auto"/>
        <w:jc w:val="both"/>
        <w:rPr>
          <w:rFonts w:cs="Times New Roman"/>
          <w:b/>
          <w:szCs w:val="24"/>
        </w:rPr>
      </w:pPr>
      <w:r w:rsidRPr="00AB56E1">
        <w:rPr>
          <w:rFonts w:cs="Times New Roman"/>
          <w:b/>
          <w:szCs w:val="24"/>
        </w:rPr>
        <w:t>Dry season water availability and allocation for Drought and Irrigation Management</w:t>
      </w:r>
    </w:p>
    <w:p w:rsidR="00C23B34" w:rsidRPr="00AB56E1" w:rsidRDefault="00C23B34" w:rsidP="00C23B34">
      <w:pPr>
        <w:spacing w:before="120" w:line="276" w:lineRule="auto"/>
        <w:jc w:val="both"/>
        <w:rPr>
          <w:rFonts w:cs="Times New Roman"/>
          <w:szCs w:val="24"/>
        </w:rPr>
      </w:pPr>
      <w:r w:rsidRPr="00AB56E1">
        <w:rPr>
          <w:rFonts w:cs="Times New Roman"/>
          <w:szCs w:val="24"/>
        </w:rPr>
        <w:t xml:space="preserve">At the national level, agriculture provides employment to approximately 45% of the population and contributes some 15.33% to the National GDP. Only 15% of the total transboundary </w:t>
      </w:r>
      <w:r w:rsidR="00F64A6A" w:rsidRPr="00F64A6A">
        <w:rPr>
          <w:rFonts w:cs="Times New Roman"/>
          <w:szCs w:val="24"/>
          <w:u w:val="single"/>
        </w:rPr>
        <w:t xml:space="preserve">flow i.e. 148 BCM is available during the dry season (Mac Kirby, 2014) where only 1% (11 BCM) of the total flow is received in the critical month of February (Ahmed &amp; Roy, after 2004) </w:t>
      </w:r>
      <w:r w:rsidRPr="00AB56E1">
        <w:rPr>
          <w:rFonts w:cs="Times New Roman"/>
          <w:szCs w:val="24"/>
        </w:rPr>
        <w:t>showing the vulnerability of the transboundary flow to meet the water demand during dry season. Moreover, d</w:t>
      </w:r>
      <w:r w:rsidRPr="00AB56E1">
        <w:rPr>
          <w:rFonts w:eastAsiaTheme="minorEastAsia" w:cs="Times New Roman"/>
          <w:szCs w:val="24"/>
        </w:rPr>
        <w:t xml:space="preserve">ifferent types of drought can be distinguished viz. Meteorological drought, Hydrological drought, Agricultural drought, Socio-economic drought which occurs when physical water shortage starts to affect people and economic sectors. </w:t>
      </w:r>
      <w:r w:rsidR="00F64A6A" w:rsidRPr="00F64A6A">
        <w:rPr>
          <w:rFonts w:eastAsiaTheme="minorEastAsia" w:cs="Times New Roman"/>
          <w:szCs w:val="24"/>
          <w:u w:val="single"/>
        </w:rPr>
        <w:t>In Bangladesh, drought is normally defined in terms of drought and severe drought, expressed as number of days without rainfall (10 and 20 days respectively). Moreover, it is important to further distinguish seasonal drought, even in the monsoon season, when overall rainfall is abundant and exceeds crop water requirements.</w:t>
      </w:r>
      <w:r w:rsidRPr="00AB56E1">
        <w:rPr>
          <w:rFonts w:eastAsiaTheme="minorEastAsia" w:cs="Times New Roman"/>
          <w:szCs w:val="24"/>
        </w:rPr>
        <w:t xml:space="preserve"> Three types of droughts occur during the monsoon season namely early-season, mid-season, and end of -season. Early-season droughts are due to delayed onset or early breaks in monsoon rainfall. This is particularly relevant in the Barind. According to Brammer (2008), the o</w:t>
      </w:r>
      <w:r w:rsidRPr="00AB56E1">
        <w:rPr>
          <w:rFonts w:cs="Times New Roman"/>
          <w:szCs w:val="24"/>
        </w:rPr>
        <w:t>nset of the pre-monsoon season, upon which farmers decide to start ‘Aus’ rice cultivation, varies widely from year to year. A break in the pre-monsoon season may</w:t>
      </w:r>
      <w:r>
        <w:rPr>
          <w:rFonts w:cs="Times New Roman"/>
          <w:szCs w:val="24"/>
        </w:rPr>
        <w:t>,</w:t>
      </w:r>
      <w:r w:rsidRPr="00AB56E1">
        <w:rPr>
          <w:rFonts w:cs="Times New Roman"/>
          <w:szCs w:val="24"/>
        </w:rPr>
        <w:t xml:space="preserve"> therefore, lead to crop loss or complete crop failure. Mid-season droughts are caused by intermittent, short or extended dry spells. End of seasonal droughts are caused by early withdrawal of monsoon rainfall, affecting the ‘Aman’ rice crop. High Yielding Varieties are particularly sensitive to these droughts. </w:t>
      </w:r>
      <w:r>
        <w:rPr>
          <w:rFonts w:cs="Times New Roman"/>
          <w:szCs w:val="24"/>
        </w:rPr>
        <w:t>It is worth mentioning that</w:t>
      </w:r>
      <w:r w:rsidRPr="00AB56E1">
        <w:rPr>
          <w:rFonts w:cs="Times New Roman"/>
          <w:szCs w:val="24"/>
        </w:rPr>
        <w:t xml:space="preserve"> water requirement for paddy is high during sowing (July/August) and flowering season (October/ November).</w:t>
      </w:r>
    </w:p>
    <w:p w:rsidR="00C23B34" w:rsidRPr="00AB56E1" w:rsidRDefault="00C23B34" w:rsidP="00C23B34">
      <w:pPr>
        <w:spacing w:line="276" w:lineRule="auto"/>
        <w:jc w:val="both"/>
        <w:rPr>
          <w:rFonts w:cs="Times New Roman"/>
          <w:b/>
          <w:i/>
          <w:szCs w:val="24"/>
        </w:rPr>
      </w:pPr>
      <w:r w:rsidRPr="00AB56E1">
        <w:rPr>
          <w:rFonts w:cs="Times New Roman"/>
          <w:b/>
          <w:i/>
          <w:szCs w:val="24"/>
        </w:rPr>
        <w:t>Strategy: Extension of Dry Season Irrigation Coverage through harnessing water from major rivers.</w:t>
      </w:r>
    </w:p>
    <w:p w:rsidR="00C23B34" w:rsidRPr="00AB56E1" w:rsidRDefault="00C23B34" w:rsidP="00C23B34">
      <w:pPr>
        <w:spacing w:line="276" w:lineRule="auto"/>
        <w:jc w:val="both"/>
        <w:rPr>
          <w:rFonts w:cs="Times New Roman"/>
          <w:szCs w:val="24"/>
        </w:rPr>
      </w:pPr>
      <w:r w:rsidRPr="00AB56E1">
        <w:rPr>
          <w:rFonts w:cs="Times New Roman"/>
          <w:szCs w:val="24"/>
        </w:rPr>
        <w:t>Extension of dry season irrigation coverage is possible by ensuring more surface water for irrigation through</w:t>
      </w:r>
      <w:r>
        <w:rPr>
          <w:rFonts w:cs="Times New Roman"/>
          <w:szCs w:val="24"/>
        </w:rPr>
        <w:t xml:space="preserve"> </w:t>
      </w:r>
      <w:r w:rsidRPr="00AB56E1">
        <w:rPr>
          <w:rFonts w:cs="Times New Roman"/>
          <w:szCs w:val="24"/>
        </w:rPr>
        <w:t xml:space="preserve">harnessing water from major rivers after ensuring sufficient water for navigation, environmental flow, fisheries and other eco-system requirements. Implementation of the strategy of “Restoration of major rivers and their off-takes through enhanced regional cooperation for dry season flow augmentation” under River Management  and “Sustainable </w:t>
      </w:r>
      <w:r w:rsidRPr="00AB56E1">
        <w:rPr>
          <w:rFonts w:cs="Times New Roman"/>
          <w:szCs w:val="24"/>
        </w:rPr>
        <w:lastRenderedPageBreak/>
        <w:t>management of surface and ground water” under Dry season water Availability and allocation for Drought and Irrigation Management which are discussed separately in this chapter. However, other measures apart from these strategic measures for extension of dry season irrigation coverage are discussed below.</w:t>
      </w:r>
    </w:p>
    <w:p w:rsidR="00C23B34" w:rsidRPr="00AB56E1" w:rsidRDefault="00C23B34" w:rsidP="00C23B34">
      <w:pPr>
        <w:spacing w:line="276" w:lineRule="auto"/>
        <w:jc w:val="both"/>
        <w:rPr>
          <w:rFonts w:cs="Times New Roman"/>
          <w:b/>
          <w:szCs w:val="24"/>
        </w:rPr>
      </w:pPr>
      <w:r w:rsidRPr="00AB56E1">
        <w:rPr>
          <w:rFonts w:cs="Times New Roman"/>
          <w:b/>
          <w:szCs w:val="24"/>
        </w:rPr>
        <w:t>Structural Intervention</w:t>
      </w:r>
    </w:p>
    <w:p w:rsidR="00C23B34" w:rsidRPr="00AB56E1" w:rsidRDefault="00C23B34" w:rsidP="00A631E1">
      <w:pPr>
        <w:pStyle w:val="ListParagraph"/>
        <w:numPr>
          <w:ilvl w:val="0"/>
          <w:numId w:val="29"/>
        </w:numPr>
        <w:spacing w:line="276" w:lineRule="auto"/>
        <w:ind w:left="360"/>
        <w:jc w:val="both"/>
        <w:rPr>
          <w:rFonts w:cs="Times New Roman"/>
          <w:szCs w:val="24"/>
        </w:rPr>
      </w:pPr>
      <w:r w:rsidRPr="00AB56E1">
        <w:rPr>
          <w:rFonts w:cs="Times New Roman"/>
          <w:szCs w:val="24"/>
        </w:rPr>
        <w:t>A network of large barrages on the two major rivers viz. the Ganges and the Brahmaputra to regulate water and facilitate irrigation in the dry season is a preferable option for the dry season irrigation coverage. Construction of Ganges barrage will alleviate the prevailing drought by augmenting water supplies in regional rivers and through groundwater recharge in the Ganges dependent areas. On the other hand, construction of Brahmaputra barrage will support irrigation in Brahmaputra dependent area, particularly the Drought Prone Barind Hotspot (North-West) with irrigation supplies and would help revitalize the Old Brahmaputra river and dependent Cross-cutting Areas (North-Central Hydrological Region).</w:t>
      </w:r>
    </w:p>
    <w:p w:rsidR="00C23B34" w:rsidRPr="00AB56E1" w:rsidRDefault="00C23B34" w:rsidP="00A631E1">
      <w:pPr>
        <w:pStyle w:val="ListParagraph"/>
        <w:numPr>
          <w:ilvl w:val="0"/>
          <w:numId w:val="29"/>
        </w:numPr>
        <w:spacing w:line="276" w:lineRule="auto"/>
        <w:ind w:left="360"/>
        <w:jc w:val="both"/>
        <w:rPr>
          <w:rFonts w:cs="Times New Roman"/>
          <w:szCs w:val="24"/>
        </w:rPr>
      </w:pPr>
      <w:r w:rsidRPr="00AB56E1">
        <w:rPr>
          <w:rFonts w:cs="Times New Roman"/>
          <w:szCs w:val="24"/>
        </w:rPr>
        <w:t xml:space="preserve">Development of surface water irrigation schemes as a result of the barrages on the Ganges by direct pumping from its pond and from other regional rivers such as the Mahananda in the Drought Prone Barind Hotspot (North-West) district of Panchagarh and Chapai Nawabganj. </w:t>
      </w:r>
    </w:p>
    <w:p w:rsidR="00C23B34" w:rsidRPr="00AB56E1" w:rsidRDefault="00C23B34" w:rsidP="00C23B34">
      <w:pPr>
        <w:spacing w:line="276" w:lineRule="auto"/>
        <w:jc w:val="both"/>
        <w:rPr>
          <w:rFonts w:cs="Times New Roman"/>
          <w:b/>
          <w:szCs w:val="24"/>
        </w:rPr>
      </w:pPr>
      <w:r w:rsidRPr="00AB56E1">
        <w:rPr>
          <w:rFonts w:cs="Times New Roman"/>
          <w:b/>
          <w:szCs w:val="24"/>
        </w:rPr>
        <w:t>Non-Structural Intervention</w:t>
      </w:r>
    </w:p>
    <w:p w:rsidR="00C23B34" w:rsidRPr="00AB56E1" w:rsidRDefault="002424F1" w:rsidP="00A631E1">
      <w:pPr>
        <w:pStyle w:val="ListParagraph"/>
        <w:numPr>
          <w:ilvl w:val="0"/>
          <w:numId w:val="29"/>
        </w:numPr>
        <w:spacing w:line="276" w:lineRule="auto"/>
        <w:ind w:left="360"/>
        <w:jc w:val="both"/>
        <w:rPr>
          <w:rFonts w:cs="Times New Roman"/>
          <w:szCs w:val="24"/>
        </w:rPr>
      </w:pPr>
      <w:r>
        <w:rPr>
          <w:rFonts w:cs="Times New Roman"/>
          <w:szCs w:val="24"/>
        </w:rPr>
        <w:t>Public</w:t>
      </w:r>
      <w:r w:rsidR="00C23B34" w:rsidRPr="00AB56E1">
        <w:rPr>
          <w:rFonts w:cs="Times New Roman"/>
          <w:szCs w:val="24"/>
        </w:rPr>
        <w:t xml:space="preserve">-private partnership for highly efficient irrigation system should be introduced in the most agriculture dependent areas of the North-west part of the country. Private ownership of irrigation scheme will give momentum to the efficient irrigation practice. </w:t>
      </w:r>
    </w:p>
    <w:p w:rsidR="00C23B34" w:rsidRPr="00AB56E1" w:rsidRDefault="00C23B34" w:rsidP="00A631E1">
      <w:pPr>
        <w:pStyle w:val="ListParagraph"/>
        <w:numPr>
          <w:ilvl w:val="0"/>
          <w:numId w:val="29"/>
        </w:numPr>
        <w:spacing w:line="276" w:lineRule="auto"/>
        <w:ind w:left="360"/>
        <w:jc w:val="both"/>
        <w:rPr>
          <w:rFonts w:cs="Times New Roman"/>
          <w:szCs w:val="24"/>
        </w:rPr>
      </w:pPr>
      <w:r w:rsidRPr="00AB56E1">
        <w:rPr>
          <w:rFonts w:cs="Times New Roman"/>
          <w:szCs w:val="24"/>
        </w:rPr>
        <w:t xml:space="preserve">The user should be accountable for a portion of the operation and maintenance of all the irrigation schemes. Proper training and awareness should be raised among the locals for the successful operation of the schemes. </w:t>
      </w:r>
    </w:p>
    <w:p w:rsidR="00C23B34" w:rsidRDefault="00C23B34" w:rsidP="00A631E1">
      <w:pPr>
        <w:pStyle w:val="ListParagraph"/>
        <w:numPr>
          <w:ilvl w:val="0"/>
          <w:numId w:val="29"/>
        </w:numPr>
        <w:spacing w:line="276" w:lineRule="auto"/>
        <w:ind w:left="360"/>
        <w:jc w:val="both"/>
        <w:rPr>
          <w:rFonts w:cs="Times New Roman"/>
          <w:szCs w:val="24"/>
        </w:rPr>
      </w:pPr>
      <w:r w:rsidRPr="00AB56E1">
        <w:rPr>
          <w:rFonts w:cs="Times New Roman"/>
          <w:szCs w:val="24"/>
        </w:rPr>
        <w:t xml:space="preserve">Re-excavation of </w:t>
      </w:r>
      <w:r w:rsidR="00FE6385">
        <w:rPr>
          <w:rFonts w:cs="Times New Roman"/>
          <w:szCs w:val="24"/>
        </w:rPr>
        <w:t>canals</w:t>
      </w:r>
      <w:r w:rsidRPr="00AB56E1">
        <w:rPr>
          <w:rFonts w:cs="Times New Roman"/>
          <w:szCs w:val="24"/>
        </w:rPr>
        <w:t>, pond</w:t>
      </w:r>
      <w:r w:rsidR="00FE6385">
        <w:rPr>
          <w:rFonts w:cs="Times New Roman"/>
          <w:szCs w:val="24"/>
        </w:rPr>
        <w:t>s</w:t>
      </w:r>
      <w:r w:rsidRPr="00AB56E1">
        <w:rPr>
          <w:rFonts w:cs="Times New Roman"/>
          <w:szCs w:val="24"/>
        </w:rPr>
        <w:t xml:space="preserve"> and water bodies to increase water retention volume and restore connectivity with other water bodies/ rivers. In combination with mixed agri-aquaculture-fisheries improvement.</w:t>
      </w:r>
    </w:p>
    <w:p w:rsidR="00C23B34" w:rsidRPr="00AB56E1" w:rsidRDefault="00C23B34" w:rsidP="00C23B34">
      <w:pPr>
        <w:spacing w:line="276" w:lineRule="auto"/>
        <w:jc w:val="both"/>
        <w:rPr>
          <w:rFonts w:cs="Times New Roman"/>
          <w:b/>
          <w:szCs w:val="24"/>
        </w:rPr>
      </w:pPr>
      <w:r w:rsidRPr="00AB56E1">
        <w:rPr>
          <w:rFonts w:cs="Times New Roman"/>
          <w:b/>
          <w:szCs w:val="24"/>
        </w:rPr>
        <w:t xml:space="preserve">Institutional </w:t>
      </w:r>
    </w:p>
    <w:p w:rsidR="00C23B34" w:rsidRPr="00AB56E1" w:rsidRDefault="00C23B34" w:rsidP="00A631E1">
      <w:pPr>
        <w:pStyle w:val="ListParagraph"/>
        <w:numPr>
          <w:ilvl w:val="0"/>
          <w:numId w:val="29"/>
        </w:numPr>
        <w:spacing w:after="200" w:line="276" w:lineRule="auto"/>
        <w:jc w:val="both"/>
        <w:rPr>
          <w:rFonts w:cs="Times New Roman"/>
          <w:szCs w:val="24"/>
        </w:rPr>
      </w:pPr>
      <w:r w:rsidRPr="00AB56E1">
        <w:rPr>
          <w:rFonts w:cs="Times New Roman"/>
          <w:szCs w:val="24"/>
        </w:rPr>
        <w:t>Strengthening negotiation through existing institutions for conclusion of treaties/ agreements  of transboundary rivers for ensuring equitable share of transboundary waters, especially in the dry season</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AB56E1">
        <w:rPr>
          <w:rFonts w:cs="Times New Roman"/>
          <w:szCs w:val="24"/>
          <w:shd w:val="clear" w:color="auto" w:fill="FFFFFF"/>
        </w:rPr>
        <w:t>Capacity building of the relevant agencies/institutions in terms of increased manpower and enhancing their knowledge base as well as with advanced technologies</w:t>
      </w:r>
    </w:p>
    <w:p w:rsidR="00A16ABB" w:rsidRDefault="00C23B34" w:rsidP="00A16ABB">
      <w:pPr>
        <w:pStyle w:val="ListParagraph"/>
        <w:numPr>
          <w:ilvl w:val="0"/>
          <w:numId w:val="29"/>
        </w:numPr>
        <w:spacing w:after="0" w:line="276" w:lineRule="auto"/>
        <w:ind w:left="360"/>
        <w:jc w:val="both"/>
        <w:rPr>
          <w:rFonts w:cs="Times New Roman"/>
          <w:szCs w:val="24"/>
        </w:rPr>
      </w:pPr>
      <w:r w:rsidRPr="00AB56E1">
        <w:rPr>
          <w:rFonts w:cs="Times New Roman"/>
          <w:szCs w:val="24"/>
        </w:rPr>
        <w:lastRenderedPageBreak/>
        <w:t>Exploration and implementation of deep tubewells, conditional upon detailed hydro-geological analysis and long term sustainability of the groundwater reservoir.</w:t>
      </w:r>
    </w:p>
    <w:p w:rsidR="00A16ABB" w:rsidRPr="00A16ABB" w:rsidRDefault="00A16ABB" w:rsidP="00A16ABB">
      <w:pPr>
        <w:pStyle w:val="ListParagraph"/>
        <w:spacing w:after="0" w:line="276" w:lineRule="auto"/>
        <w:ind w:left="360"/>
        <w:jc w:val="both"/>
        <w:rPr>
          <w:rFonts w:cs="Times New Roman"/>
          <w:szCs w:val="24"/>
        </w:rPr>
      </w:pP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Promotion of efficient irrigation techniques suitable for different hotspots and hydrological regions combating the adverse impact of climate change</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 xml:space="preserve">Ensuring efficiency in irrigation requires promotion of efficient and climate resilient irrigation techniques for different regions considering distinct features of the hydrological regions. Promotion of such techniques should be updated regularly depending on emergence of latest technology and requirement of the hydrological regions </w:t>
      </w:r>
    </w:p>
    <w:p w:rsidR="00C23B34" w:rsidRPr="00AB56E1" w:rsidRDefault="00C23B34" w:rsidP="00C23B34">
      <w:pPr>
        <w:pStyle w:val="ListParagraph"/>
        <w:spacing w:line="276" w:lineRule="auto"/>
        <w:ind w:left="360" w:hanging="360"/>
        <w:jc w:val="both"/>
        <w:rPr>
          <w:rFonts w:cs="Times New Roman"/>
          <w:szCs w:val="24"/>
        </w:rPr>
      </w:pPr>
      <w:r w:rsidRPr="00AB56E1">
        <w:rPr>
          <w:rFonts w:cs="Times New Roman"/>
          <w:szCs w:val="24"/>
        </w:rPr>
        <w:t>•</w:t>
      </w:r>
      <w:r w:rsidRPr="00AB56E1">
        <w:rPr>
          <w:rFonts w:cs="Times New Roman"/>
          <w:szCs w:val="24"/>
        </w:rPr>
        <w:tab/>
        <w:t>Large scale promotion of localized irrigation technologies, including drip, micro- and sprinkler irrigation, as per soil types, topography and crop requirements. Irrigation should be supplied up to field through pipe network to reduce losses instead of canal in the irrigation projects like Teesta irrigation project, GK irrigation project and other irrigation. This will increase the irrigation efficiency and decrease the conveyance and distribution loss as well as save valuable lands. In hilly areas of Sylhet and Chittagong, irrigation through sprinkler will work more effectively than the traditional irrigation system.</w:t>
      </w:r>
    </w:p>
    <w:p w:rsidR="00C23B34" w:rsidRPr="00AB56E1" w:rsidRDefault="00C23B34" w:rsidP="00A631E1">
      <w:pPr>
        <w:pStyle w:val="ListParagraph"/>
        <w:numPr>
          <w:ilvl w:val="0"/>
          <w:numId w:val="28"/>
        </w:numPr>
        <w:autoSpaceDE w:val="0"/>
        <w:autoSpaceDN w:val="0"/>
        <w:adjustRightInd w:val="0"/>
        <w:spacing w:line="276" w:lineRule="auto"/>
        <w:ind w:left="360"/>
        <w:jc w:val="both"/>
        <w:rPr>
          <w:rFonts w:cs="Times New Roman"/>
          <w:szCs w:val="24"/>
        </w:rPr>
      </w:pPr>
      <w:r w:rsidRPr="00AB56E1">
        <w:rPr>
          <w:rFonts w:cs="Times New Roman"/>
          <w:szCs w:val="24"/>
        </w:rPr>
        <w:t xml:space="preserve">Modernisation of existing irrigation schemes – conversion to closed systems, metering, including institutional improvements – </w:t>
      </w:r>
    </w:p>
    <w:p w:rsidR="00C23B34" w:rsidRPr="00AB56E1" w:rsidRDefault="00C23B34" w:rsidP="00C23B34">
      <w:pPr>
        <w:spacing w:line="276" w:lineRule="auto"/>
        <w:jc w:val="both"/>
        <w:rPr>
          <w:rFonts w:cs="Times New Roman"/>
          <w:b/>
          <w:i/>
          <w:szCs w:val="24"/>
        </w:rPr>
      </w:pPr>
      <w:r w:rsidRPr="00AB56E1">
        <w:rPr>
          <w:rFonts w:cs="Times New Roman"/>
          <w:b/>
          <w:i/>
          <w:szCs w:val="24"/>
        </w:rPr>
        <w:t>Strategy: Sustainable management of surface and ground water</w:t>
      </w:r>
    </w:p>
    <w:p w:rsidR="00C23B34" w:rsidRPr="00AB56E1" w:rsidRDefault="00F64A6A" w:rsidP="00C23B34">
      <w:pPr>
        <w:spacing w:line="276" w:lineRule="auto"/>
        <w:jc w:val="both"/>
        <w:rPr>
          <w:rFonts w:cs="Times New Roman"/>
          <w:szCs w:val="24"/>
        </w:rPr>
      </w:pPr>
      <w:r w:rsidRPr="00F64A6A">
        <w:rPr>
          <w:rFonts w:cs="Times New Roman"/>
          <w:szCs w:val="24"/>
          <w:u w:val="single"/>
        </w:rPr>
        <w:t>Groundwater is an important source of drinking and irrigation water in Bangladesh. Groundwater is the source for more than 75% of the irrigated area.</w:t>
      </w:r>
      <w:r w:rsidR="00C23B34" w:rsidRPr="00AB56E1">
        <w:rPr>
          <w:rFonts w:cs="Times New Roman"/>
          <w:szCs w:val="24"/>
        </w:rPr>
        <w:t xml:space="preserve"> Due to excessive use of ground water for agricultural and urban use, the ground water level is depleting which may lead to various other hazards including land slide, mining of ground water etc. Except for the coastal districts of Bangladesh the groundwater level of the entire country is depleting, the more depression has occurred in the Barind area of North-western part of Bangladesh and in the North-central part of the country. In Bogra, Pabna, Barisal, Chittagong, Kishoreganj and Kushtia districts, consumptive irrigation water use has already exceeded the safe yield groundwater extraction limit. Therefore, sustainable management of surface and ground water is very essential. </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Non-Structural Intervention</w:t>
      </w:r>
    </w:p>
    <w:p w:rsidR="00C23B34" w:rsidRPr="00AB56E1" w:rsidRDefault="00C23B34" w:rsidP="00A631E1">
      <w:pPr>
        <w:pStyle w:val="ListParagraph"/>
        <w:numPr>
          <w:ilvl w:val="0"/>
          <w:numId w:val="28"/>
        </w:numPr>
        <w:autoSpaceDE w:val="0"/>
        <w:autoSpaceDN w:val="0"/>
        <w:adjustRightInd w:val="0"/>
        <w:spacing w:line="276" w:lineRule="auto"/>
        <w:ind w:left="360"/>
        <w:jc w:val="both"/>
        <w:rPr>
          <w:rFonts w:cs="Times New Roman"/>
          <w:szCs w:val="24"/>
        </w:rPr>
      </w:pPr>
      <w:r w:rsidRPr="00AB56E1">
        <w:rPr>
          <w:rFonts w:cs="Times New Roman"/>
          <w:szCs w:val="24"/>
        </w:rPr>
        <w:t xml:space="preserve">Study on potentiality of ground water recharge and efficient ground water recharge techniques in various regions is much needed at this stage of development of the country. </w:t>
      </w:r>
      <w:r w:rsidR="00F64A6A" w:rsidRPr="00F64A6A">
        <w:rPr>
          <w:rFonts w:cs="Times New Roman"/>
          <w:szCs w:val="24"/>
          <w:u w:val="single"/>
        </w:rPr>
        <w:t xml:space="preserve">By 2030, the industrial water demand of Bangladesh is expected to increase by 109%. (Consolidation and Analysis of Information on Water resources Management of Bangladesh, 2030 Water Resources Group). </w:t>
      </w:r>
      <w:r w:rsidRPr="00AB56E1">
        <w:rPr>
          <w:rFonts w:cs="Times New Roman"/>
          <w:szCs w:val="24"/>
        </w:rPr>
        <w:t xml:space="preserve">This will put an additional stress on the groundwater of the country. To overcome this highly prioritized research is essential. </w:t>
      </w:r>
    </w:p>
    <w:p w:rsidR="00C23B34" w:rsidRPr="00AB56E1" w:rsidRDefault="00C23B34" w:rsidP="00A631E1">
      <w:pPr>
        <w:pStyle w:val="ListParagraph"/>
        <w:numPr>
          <w:ilvl w:val="0"/>
          <w:numId w:val="28"/>
        </w:numPr>
        <w:autoSpaceDE w:val="0"/>
        <w:autoSpaceDN w:val="0"/>
        <w:adjustRightInd w:val="0"/>
        <w:spacing w:line="276" w:lineRule="auto"/>
        <w:ind w:left="360"/>
        <w:jc w:val="both"/>
        <w:rPr>
          <w:rFonts w:cs="Times New Roman"/>
          <w:szCs w:val="24"/>
        </w:rPr>
      </w:pPr>
      <w:r w:rsidRPr="00AB56E1">
        <w:rPr>
          <w:rFonts w:cs="Times New Roman"/>
          <w:szCs w:val="24"/>
        </w:rPr>
        <w:lastRenderedPageBreak/>
        <w:t>Awareness raising by the LGIs against excessive use of ground water through various Focused Group Discussions in the root level can be proved highly effective in sustainable use of groundwater.</w:t>
      </w:r>
    </w:p>
    <w:p w:rsidR="00C23B34" w:rsidRPr="00AB56E1" w:rsidRDefault="00C23B34" w:rsidP="00C23B34">
      <w:pPr>
        <w:rPr>
          <w:b/>
          <w:i/>
        </w:rPr>
      </w:pPr>
      <w:r w:rsidRPr="00AB56E1">
        <w:rPr>
          <w:b/>
          <w:i/>
        </w:rPr>
        <w:t>Strategy: Agricultural Management</w:t>
      </w:r>
    </w:p>
    <w:p w:rsidR="00C23B34" w:rsidRDefault="00C23B34" w:rsidP="00C23B34">
      <w:pPr>
        <w:autoSpaceDE w:val="0"/>
        <w:autoSpaceDN w:val="0"/>
        <w:adjustRightInd w:val="0"/>
        <w:spacing w:line="276" w:lineRule="auto"/>
        <w:jc w:val="both"/>
        <w:rPr>
          <w:rFonts w:cs="Times New Roman"/>
          <w:szCs w:val="24"/>
        </w:rPr>
      </w:pPr>
      <w:r w:rsidRPr="00AB56E1">
        <w:rPr>
          <w:rFonts w:cs="Times New Roman"/>
          <w:szCs w:val="24"/>
        </w:rPr>
        <w:t>The main seasons for agricultural activities i.e. Kharif-1 (mid-March to mid-July), Kharif-2 (mid -July to mid-October) and Rabi (mid-October to mid-March) have been established based on the availability of water. During the Kharif–1 season which is the pre-monsoon season, farmers cultivate aus rice, oil seeds and different types of vegetables which are dependable on rainfall. During the Kharif-2 season Aman is the dominant crop with the availability of monsoon water. Different types of Aman rice such as BR 11, BRRI 33, BRRI dhan 40 &amp; 41 and local varieties are practiced during this season. In the Rabi season i.e. after the flood when less water is available, boro rice (one of the more water consuming varieties of rice) such as IRRI 28, IRRI 44, IRRI 26, and IRRI 29 are widely practiced with extensive use of ground water which leads to the depletion of ground water. Boro requires water mostly i</w:t>
      </w:r>
      <w:r w:rsidR="00A16ABB">
        <w:rPr>
          <w:rFonts w:cs="Times New Roman"/>
          <w:szCs w:val="24"/>
        </w:rPr>
        <w:t>n December to April. It should be noted</w:t>
      </w:r>
      <w:r w:rsidRPr="00AB56E1">
        <w:rPr>
          <w:rFonts w:cs="Times New Roman"/>
          <w:szCs w:val="24"/>
        </w:rPr>
        <w:t xml:space="preserve"> that February to April are the most water stressed months of the year. A few districts have already passed the sustainable thresholds of groundwater use in the Khulna region, Bogra, Pabna, Kushtia and Rajshahi in the Rajshahi region, Barisal and Chittagong, where irrigation CWU exceeds the usable groundwater recharge. (</w:t>
      </w:r>
      <w:r w:rsidRPr="00AB56E1">
        <w:rPr>
          <w:rFonts w:cs="Times New Roman"/>
          <w:i/>
          <w:szCs w:val="24"/>
        </w:rPr>
        <w:t xml:space="preserve">Agriculture and Food security Baseline, BDP2100). </w:t>
      </w:r>
      <w:r w:rsidR="00A16ABB">
        <w:rPr>
          <w:rFonts w:cs="Times New Roman"/>
          <w:i/>
          <w:szCs w:val="24"/>
        </w:rPr>
        <w:t xml:space="preserve"> </w:t>
      </w:r>
      <w:r w:rsidRPr="00AB56E1">
        <w:rPr>
          <w:rFonts w:cs="Times New Roman"/>
          <w:szCs w:val="24"/>
        </w:rPr>
        <w:t>However, some less water consuming crops namely mustard, pulses and different types of vegetables are also cultivated during this time.</w:t>
      </w:r>
    </w:p>
    <w:p w:rsidR="00BB11A4" w:rsidRDefault="00BB11A4" w:rsidP="00C23B34">
      <w:pPr>
        <w:autoSpaceDE w:val="0"/>
        <w:autoSpaceDN w:val="0"/>
        <w:adjustRightInd w:val="0"/>
        <w:spacing w:line="276" w:lineRule="auto"/>
        <w:jc w:val="both"/>
        <w:rPr>
          <w:rFonts w:cs="Times New Roman"/>
          <w:szCs w:val="24"/>
        </w:rPr>
      </w:pPr>
    </w:p>
    <w:p w:rsidR="00BB11A4" w:rsidRDefault="00BB11A4" w:rsidP="00C23B34">
      <w:pPr>
        <w:autoSpaceDE w:val="0"/>
        <w:autoSpaceDN w:val="0"/>
        <w:adjustRightInd w:val="0"/>
        <w:spacing w:line="276" w:lineRule="auto"/>
        <w:jc w:val="both"/>
        <w:rPr>
          <w:rFonts w:cs="Times New Roman"/>
          <w:szCs w:val="24"/>
        </w:rPr>
      </w:pPr>
    </w:p>
    <w:p w:rsidR="00C23B34" w:rsidRPr="00AB56E1" w:rsidRDefault="00C23B34" w:rsidP="00C23B34">
      <w:pPr>
        <w:autoSpaceDE w:val="0"/>
        <w:autoSpaceDN w:val="0"/>
        <w:adjustRightInd w:val="0"/>
        <w:spacing w:line="276" w:lineRule="auto"/>
        <w:jc w:val="both"/>
        <w:rPr>
          <w:rFonts w:cs="Times New Roman"/>
          <w:b/>
          <w:szCs w:val="24"/>
        </w:rPr>
      </w:pPr>
      <w:r w:rsidRPr="00AB56E1">
        <w:rPr>
          <w:rFonts w:cs="Times New Roman"/>
          <w:b/>
          <w:szCs w:val="24"/>
        </w:rPr>
        <w:t>Structural Intervention</w:t>
      </w:r>
    </w:p>
    <w:p w:rsidR="00000000" w:rsidRDefault="00C23B34" w:rsidP="003D5A31">
      <w:pPr>
        <w:pStyle w:val="ListParagraph"/>
        <w:numPr>
          <w:ilvl w:val="0"/>
          <w:numId w:val="167"/>
        </w:numPr>
        <w:autoSpaceDE w:val="0"/>
        <w:autoSpaceDN w:val="0"/>
        <w:adjustRightInd w:val="0"/>
        <w:spacing w:after="0" w:line="276" w:lineRule="auto"/>
        <w:jc w:val="both"/>
        <w:rPr>
          <w:rFonts w:eastAsiaTheme="minorHAnsi" w:cs="Times New Roman"/>
          <w:b/>
          <w:szCs w:val="24"/>
          <w:u w:val="single"/>
        </w:rPr>
      </w:pPr>
      <w:r w:rsidRPr="00AB56E1">
        <w:rPr>
          <w:rFonts w:eastAsiaTheme="minorHAnsi" w:cs="Times New Roman"/>
          <w:szCs w:val="24"/>
        </w:rPr>
        <w:t xml:space="preserve">Transplanted Aman (T. </w:t>
      </w:r>
      <w:r w:rsidRPr="00AB56E1">
        <w:rPr>
          <w:rFonts w:eastAsiaTheme="minorHAnsi" w:cs="Times New Roman"/>
          <w:i/>
          <w:iCs/>
          <w:szCs w:val="24"/>
        </w:rPr>
        <w:t>Aman</w:t>
      </w:r>
      <w:r w:rsidRPr="00AB56E1">
        <w:rPr>
          <w:rFonts w:eastAsiaTheme="minorHAnsi" w:cs="Times New Roman"/>
          <w:szCs w:val="24"/>
        </w:rPr>
        <w:t xml:space="preserve">) is the second rice crop, grown in the wet Kharif-II season of the year, between July and October. T. Aman production should be increased through supplementary irrigation, improved variety and flood protection etc. to off-set the shortage of boro production as well as to increase the overall production of rice. However, structural interventions like barrages, regulators, controlled flood embankments etc. would be needed to provide supplementary irrigation from rivers as plenty of water is available in the rivers during the Kharif-II (Aman) season, since rainfall is not reliable at this period. For example, Teesta barrage is in place and phase-II of the project may be implemented for more production. </w:t>
      </w:r>
      <w:r w:rsidR="00F64A6A" w:rsidRPr="00F64A6A">
        <w:rPr>
          <w:rFonts w:eastAsiaTheme="minorHAnsi" w:cs="Times New Roman"/>
          <w:szCs w:val="24"/>
          <w:u w:val="single"/>
        </w:rPr>
        <w:t xml:space="preserve">Besides, the Ganges barrage should be implemented immediately, which would produce additional 2.6 million </w:t>
      </w:r>
      <w:r w:rsidR="004349EF">
        <w:rPr>
          <w:rFonts w:eastAsiaTheme="minorHAnsi" w:cs="Times New Roman"/>
          <w:szCs w:val="24"/>
          <w:u w:val="single"/>
        </w:rPr>
        <w:t>tonne</w:t>
      </w:r>
      <w:r w:rsidR="00F64A6A" w:rsidRPr="00F64A6A">
        <w:rPr>
          <w:rFonts w:eastAsiaTheme="minorHAnsi" w:cs="Times New Roman"/>
          <w:szCs w:val="24"/>
          <w:u w:val="single"/>
        </w:rPr>
        <w:t xml:space="preserve"> of crops and 2.4 lakh </w:t>
      </w:r>
      <w:r w:rsidR="004349EF">
        <w:rPr>
          <w:rFonts w:eastAsiaTheme="minorHAnsi" w:cs="Times New Roman"/>
          <w:szCs w:val="24"/>
          <w:u w:val="single"/>
        </w:rPr>
        <w:t>tonne</w:t>
      </w:r>
      <w:r w:rsidR="00F64A6A" w:rsidRPr="00F64A6A">
        <w:rPr>
          <w:rFonts w:eastAsiaTheme="minorHAnsi" w:cs="Times New Roman"/>
          <w:szCs w:val="24"/>
          <w:u w:val="single"/>
        </w:rPr>
        <w:t xml:space="preserve"> additional fish resources. </w:t>
      </w:r>
    </w:p>
    <w:p w:rsidR="00C23B34" w:rsidRPr="00AB56E1" w:rsidRDefault="00C23B34" w:rsidP="00C23B34">
      <w:pPr>
        <w:pStyle w:val="ListParagraph"/>
        <w:autoSpaceDE w:val="0"/>
        <w:autoSpaceDN w:val="0"/>
        <w:adjustRightInd w:val="0"/>
        <w:spacing w:after="0" w:line="240" w:lineRule="auto"/>
        <w:jc w:val="both"/>
        <w:rPr>
          <w:rFonts w:eastAsiaTheme="minorHAnsi" w:cs="Times New Roman"/>
          <w:b/>
          <w:szCs w:val="24"/>
        </w:rPr>
      </w:pPr>
    </w:p>
    <w:p w:rsidR="00C23B34" w:rsidRPr="00AB56E1" w:rsidRDefault="00C23B34" w:rsidP="00C23B34">
      <w:pPr>
        <w:autoSpaceDE w:val="0"/>
        <w:autoSpaceDN w:val="0"/>
        <w:adjustRightInd w:val="0"/>
        <w:jc w:val="both"/>
        <w:rPr>
          <w:rFonts w:eastAsiaTheme="minorHAnsi" w:cs="Times New Roman"/>
          <w:b/>
          <w:szCs w:val="24"/>
        </w:rPr>
      </w:pPr>
      <w:r w:rsidRPr="00AB56E1">
        <w:rPr>
          <w:rFonts w:eastAsiaTheme="minorHAnsi" w:cs="Times New Roman"/>
          <w:b/>
          <w:szCs w:val="24"/>
        </w:rPr>
        <w:t>Non-Structural Interve</w:t>
      </w:r>
      <w:r w:rsidRPr="00AB56E1">
        <w:rPr>
          <w:rFonts w:eastAsiaTheme="minorHAnsi" w:cs="Times New Roman"/>
          <w:b/>
          <w:iCs/>
          <w:szCs w:val="24"/>
        </w:rPr>
        <w:t>ntio</w:t>
      </w:r>
      <w:r w:rsidRPr="00AB56E1">
        <w:rPr>
          <w:rFonts w:eastAsiaTheme="minorHAnsi" w:cs="Times New Roman"/>
          <w:b/>
          <w:szCs w:val="24"/>
        </w:rPr>
        <w:t>n</w:t>
      </w:r>
    </w:p>
    <w:p w:rsidR="00000000" w:rsidRDefault="00C23B34" w:rsidP="003D5A31">
      <w:pPr>
        <w:pStyle w:val="ListParagraph"/>
        <w:numPr>
          <w:ilvl w:val="0"/>
          <w:numId w:val="167"/>
        </w:numPr>
        <w:autoSpaceDE w:val="0"/>
        <w:autoSpaceDN w:val="0"/>
        <w:adjustRightInd w:val="0"/>
        <w:spacing w:after="0" w:line="276" w:lineRule="auto"/>
        <w:jc w:val="both"/>
        <w:rPr>
          <w:rFonts w:eastAsiaTheme="minorHAnsi" w:cs="Times New Roman"/>
          <w:szCs w:val="24"/>
        </w:rPr>
      </w:pPr>
      <w:r w:rsidRPr="00AB56E1">
        <w:rPr>
          <w:rFonts w:eastAsiaTheme="minorHAnsi" w:cs="Times New Roman"/>
          <w:szCs w:val="24"/>
        </w:rPr>
        <w:lastRenderedPageBreak/>
        <w:t>Boro cultivation should be reduced to avoid over exploitation of ground water. Some of this Boro freed  may be covered by other rabi crops e.g. pulses, mustards, vegetables, chick peas and some other rabi crops.</w:t>
      </w:r>
    </w:p>
    <w:p w:rsidR="00000000" w:rsidRDefault="00C23B34" w:rsidP="003D5A31">
      <w:pPr>
        <w:pStyle w:val="ListParagraph"/>
        <w:numPr>
          <w:ilvl w:val="0"/>
          <w:numId w:val="167"/>
        </w:numPr>
        <w:autoSpaceDE w:val="0"/>
        <w:autoSpaceDN w:val="0"/>
        <w:adjustRightInd w:val="0"/>
        <w:spacing w:after="0" w:line="276" w:lineRule="auto"/>
        <w:jc w:val="both"/>
        <w:rPr>
          <w:rFonts w:cs="Times New Roman"/>
          <w:szCs w:val="24"/>
          <w:u w:val="single"/>
        </w:rPr>
      </w:pPr>
      <w:r w:rsidRPr="00AB56E1">
        <w:rPr>
          <w:rFonts w:eastAsiaTheme="minorHAnsi" w:cs="Times New Roman"/>
          <w:szCs w:val="24"/>
        </w:rPr>
        <w:t>Besides, Aus sh</w:t>
      </w:r>
      <w:r w:rsidRPr="00AB56E1">
        <w:rPr>
          <w:rFonts w:cs="Times New Roman"/>
          <w:szCs w:val="24"/>
        </w:rPr>
        <w:t xml:space="preserve">ould be cultivated in some of the boro released areas where rain water would be available. </w:t>
      </w:r>
      <w:r w:rsidR="00F64A6A" w:rsidRPr="00F64A6A">
        <w:rPr>
          <w:rFonts w:cs="Times New Roman"/>
          <w:szCs w:val="24"/>
          <w:u w:val="single"/>
        </w:rPr>
        <w:t xml:space="preserve">Aus should be cultivated in the total area which is presently being used for cultivating the boro in the North-West and North Central Region. The boro area in North-West and North Central Region should be decreased by 10, 15 and 30% by the year 2020, 2030 and 2050 and replaced by Aus cultivation accordingly. Moreover, to ensure the total amount of rice production, cultivation of the Aus should also be cultivated in the coastal areas to meet the total demand the rice production. </w:t>
      </w:r>
    </w:p>
    <w:p w:rsidR="00000000" w:rsidRDefault="00C23B34" w:rsidP="003D5A31">
      <w:pPr>
        <w:pStyle w:val="ListParagraph"/>
        <w:numPr>
          <w:ilvl w:val="0"/>
          <w:numId w:val="167"/>
        </w:numPr>
        <w:autoSpaceDE w:val="0"/>
        <w:autoSpaceDN w:val="0"/>
        <w:adjustRightInd w:val="0"/>
        <w:spacing w:after="0" w:line="276" w:lineRule="auto"/>
        <w:jc w:val="both"/>
        <w:rPr>
          <w:rFonts w:cs="Times New Roman"/>
          <w:szCs w:val="24"/>
        </w:rPr>
      </w:pPr>
      <w:r w:rsidRPr="00AB56E1">
        <w:rPr>
          <w:rFonts w:cs="Times New Roman"/>
          <w:szCs w:val="24"/>
        </w:rPr>
        <w:t xml:space="preserve">The production of Aman rice should be increased by introducing high yielding variety, flood protection and ensuring supplementary irrigation from the same amount or slightly increased land on which Aman is being produced at present. </w:t>
      </w:r>
    </w:p>
    <w:p w:rsidR="00000000" w:rsidRDefault="00C23B34" w:rsidP="003D5A31">
      <w:pPr>
        <w:pStyle w:val="ListParagraph"/>
        <w:numPr>
          <w:ilvl w:val="0"/>
          <w:numId w:val="167"/>
        </w:numPr>
        <w:autoSpaceDE w:val="0"/>
        <w:autoSpaceDN w:val="0"/>
        <w:adjustRightInd w:val="0"/>
        <w:spacing w:after="0" w:line="276" w:lineRule="auto"/>
        <w:jc w:val="both"/>
        <w:rPr>
          <w:rFonts w:eastAsiaTheme="minorHAnsi" w:cs="Times New Roman"/>
          <w:bCs/>
          <w:szCs w:val="24"/>
        </w:rPr>
      </w:pPr>
      <w:r w:rsidRPr="00AB56E1">
        <w:rPr>
          <w:rFonts w:eastAsiaTheme="minorHAnsi" w:cs="Times New Roman"/>
          <w:szCs w:val="24"/>
        </w:rPr>
        <w:t xml:space="preserve">In the </w:t>
      </w:r>
      <w:r w:rsidRPr="00AB56E1">
        <w:rPr>
          <w:rFonts w:cs="Times New Roman"/>
          <w:szCs w:val="24"/>
        </w:rPr>
        <w:t>drought</w:t>
      </w:r>
      <w:r w:rsidRPr="00AB56E1">
        <w:rPr>
          <w:rFonts w:eastAsiaTheme="minorHAnsi" w:cs="Times New Roman"/>
          <w:szCs w:val="24"/>
        </w:rPr>
        <w:t xml:space="preserve"> prone north-western and south-western coastal </w:t>
      </w:r>
      <w:r w:rsidR="002E04F3" w:rsidRPr="00AB56E1">
        <w:rPr>
          <w:rFonts w:eastAsiaTheme="minorHAnsi" w:cs="Times New Roman"/>
          <w:szCs w:val="24"/>
        </w:rPr>
        <w:t>upazillas</w:t>
      </w:r>
      <w:r w:rsidRPr="00AB56E1">
        <w:rPr>
          <w:rFonts w:eastAsiaTheme="minorHAnsi" w:cs="Times New Roman"/>
          <w:szCs w:val="24"/>
        </w:rPr>
        <w:t xml:space="preserve">, where there is variability of rainfall in wet season (Kharif-II) and pattern of tide and water recession especially in the coastal areas, new and improved rice varieties are sought to be incorporated. Introduction of HYV T. </w:t>
      </w:r>
      <w:r w:rsidRPr="00AB56E1">
        <w:rPr>
          <w:rFonts w:eastAsiaTheme="minorHAnsi" w:cs="Times New Roman"/>
          <w:i/>
          <w:iCs/>
          <w:szCs w:val="24"/>
        </w:rPr>
        <w:t xml:space="preserve">Aman </w:t>
      </w:r>
      <w:r w:rsidRPr="00AB56E1">
        <w:rPr>
          <w:rFonts w:eastAsiaTheme="minorHAnsi" w:cs="Times New Roman"/>
          <w:szCs w:val="24"/>
        </w:rPr>
        <w:t xml:space="preserve">rice varieties developed by the BRRI suitable to both regions in a comparison trial with local varieties is considered as an appropriate adaptation option for farming community that serve both the purposes to suit variable crop duration and provide higher yield in comparison to the local varieties. The suitability has been tested in Lalpur and Bagatipara </w:t>
      </w:r>
      <w:r w:rsidR="002E04F3" w:rsidRPr="00AB56E1">
        <w:rPr>
          <w:rFonts w:eastAsiaTheme="minorHAnsi" w:cs="Times New Roman"/>
          <w:szCs w:val="24"/>
        </w:rPr>
        <w:t>upazillas</w:t>
      </w:r>
      <w:r w:rsidRPr="00AB56E1">
        <w:rPr>
          <w:rFonts w:eastAsiaTheme="minorHAnsi" w:cs="Times New Roman"/>
          <w:szCs w:val="24"/>
        </w:rPr>
        <w:t xml:space="preserve"> of Natore, Nachole and Gomostapur </w:t>
      </w:r>
      <w:r w:rsidR="002E04F3" w:rsidRPr="00AB56E1">
        <w:rPr>
          <w:rFonts w:eastAsiaTheme="minorHAnsi" w:cs="Times New Roman"/>
          <w:szCs w:val="24"/>
        </w:rPr>
        <w:t>upazillas</w:t>
      </w:r>
      <w:r w:rsidRPr="00AB56E1">
        <w:rPr>
          <w:rFonts w:eastAsiaTheme="minorHAnsi" w:cs="Times New Roman"/>
          <w:szCs w:val="24"/>
        </w:rPr>
        <w:t xml:space="preserve"> of Nawabganj and Porsha upazila of Naogaon in the North-West in 2008 and 2009. In the South-west, the suitability test has been taken place at Dacope and Terokhada upazila of Khulna district and Nazirpur and Bhandara upazila of Pirojpur districts. The tests have been successful and HYV varieties: BR 23, BRRI Dhan 39 were commonly recommended for both drought prone and coastal areas which can serve the purpose of suitability to the varying rainfall and duration </w:t>
      </w:r>
      <w:r w:rsidRPr="00AB56E1">
        <w:rPr>
          <w:rFonts w:eastAsiaTheme="minorHAnsi" w:cs="Times New Roman"/>
          <w:bCs/>
          <w:szCs w:val="24"/>
        </w:rPr>
        <w:t>(</w:t>
      </w:r>
      <w:r w:rsidRPr="00AB56E1">
        <w:rPr>
          <w:rFonts w:eastAsiaTheme="minorHAnsi" w:cs="Times New Roman"/>
          <w:bCs/>
          <w:i/>
          <w:szCs w:val="24"/>
        </w:rPr>
        <w:t xml:space="preserve">Technical Guideline non </w:t>
      </w:r>
      <w:r w:rsidRPr="00FE6385">
        <w:rPr>
          <w:rFonts w:eastAsiaTheme="minorHAnsi" w:cs="Times New Roman"/>
          <w:szCs w:val="24"/>
        </w:rPr>
        <w:t xml:space="preserve">Diversification and adjustment of cropping patterns are a way to reduce losses, thus mitigating the impact of droughts on the rural poor. In the rain fed high </w:t>
      </w:r>
      <w:r w:rsidRPr="00FE6385">
        <w:rPr>
          <w:rFonts w:eastAsiaTheme="minorHAnsi" w:cs="Times New Roman"/>
          <w:i/>
          <w:iCs/>
          <w:szCs w:val="24"/>
        </w:rPr>
        <w:t xml:space="preserve">barind </w:t>
      </w:r>
      <w:r w:rsidRPr="00FE6385">
        <w:rPr>
          <w:rFonts w:eastAsiaTheme="minorHAnsi" w:cs="Times New Roman"/>
          <w:szCs w:val="24"/>
        </w:rPr>
        <w:t>tracts farmers usually grow only one rice crop i.e. transplanted Aman during Kharif-II (July-October) season and leave the land as</w:t>
      </w:r>
      <w:r w:rsidR="00F64A6A" w:rsidRPr="00F64A6A">
        <w:rPr>
          <w:rFonts w:eastAsiaTheme="minorHAnsi" w:cs="Times New Roman"/>
          <w:i/>
          <w:iCs/>
          <w:szCs w:val="24"/>
        </w:rPr>
        <w:t xml:space="preserve"> </w:t>
      </w:r>
      <w:r w:rsidR="005146B1" w:rsidRPr="003B1FE0">
        <w:rPr>
          <w:rFonts w:eastAsiaTheme="minorHAnsi" w:cs="Times New Roman"/>
          <w:iCs/>
          <w:szCs w:val="24"/>
        </w:rPr>
        <w:t>fall</w:t>
      </w:r>
      <w:r w:rsidR="00896960">
        <w:rPr>
          <w:rFonts w:eastAsiaTheme="minorHAnsi" w:cs="Times New Roman"/>
          <w:szCs w:val="24"/>
        </w:rPr>
        <w:t>ow</w:t>
      </w:r>
      <w:r w:rsidRPr="00FE6385">
        <w:rPr>
          <w:rFonts w:eastAsiaTheme="minorHAnsi" w:cs="Times New Roman"/>
          <w:szCs w:val="24"/>
        </w:rPr>
        <w:t xml:space="preserve"> in the other two seasons, Rabi (October- March) and Kharif-I (March-July). BARI introduced T. Aman-Chick pea/pulse cropping pattern in recent years. The pattern includes T. Aman transplantation in the early onset of rain in the month of July and after rice harvesting sowing the seeds of the pulse crop capturing the residual moisture in the field to facilitate easy germination. In the North-western districts of Naogaon Chapai Nawabganj, this practice has been tested successfully. This is therefore suitable for the barind area</w:t>
      </w:r>
      <w:r w:rsidRPr="00FE6385">
        <w:rPr>
          <w:rFonts w:eastAsiaTheme="minorHAnsi" w:cs="Times New Roman"/>
          <w:bCs/>
          <w:szCs w:val="24"/>
        </w:rPr>
        <w:t>In Barind area, non-cereal crops like mango may be practiced during dry period.</w:t>
      </w:r>
    </w:p>
    <w:p w:rsidR="00A16ABB" w:rsidRPr="00FE6385" w:rsidRDefault="00A16ABB" w:rsidP="00A16ABB">
      <w:pPr>
        <w:autoSpaceDE w:val="0"/>
        <w:autoSpaceDN w:val="0"/>
        <w:adjustRightInd w:val="0"/>
        <w:spacing w:after="0" w:line="276" w:lineRule="auto"/>
        <w:jc w:val="both"/>
        <w:rPr>
          <w:rFonts w:eastAsiaTheme="minorHAnsi" w:cs="Times New Roman"/>
          <w:b/>
          <w:szCs w:val="24"/>
          <w:lang w:bidi="bn-BD"/>
        </w:rPr>
      </w:pPr>
    </w:p>
    <w:p w:rsidR="00C23B34" w:rsidRPr="00FE6385" w:rsidRDefault="00F64A6A" w:rsidP="00C23B34">
      <w:pPr>
        <w:spacing w:before="120" w:after="200" w:line="264" w:lineRule="auto"/>
        <w:jc w:val="both"/>
        <w:rPr>
          <w:rFonts w:eastAsiaTheme="minorHAnsi" w:cs="Times New Roman"/>
          <w:b/>
          <w:szCs w:val="24"/>
          <w:lang w:bidi="bn-BD"/>
        </w:rPr>
      </w:pPr>
      <w:r w:rsidRPr="00F64A6A">
        <w:rPr>
          <w:rFonts w:eastAsiaTheme="minorHAnsi" w:cs="Times New Roman"/>
          <w:b/>
          <w:szCs w:val="24"/>
          <w:lang w:bidi="bn-BD"/>
        </w:rPr>
        <w:t xml:space="preserve">Capacity building </w:t>
      </w:r>
    </w:p>
    <w:p w:rsidR="00000000" w:rsidRDefault="00F64A6A" w:rsidP="003D5A31">
      <w:pPr>
        <w:pStyle w:val="ListParagraph"/>
        <w:numPr>
          <w:ilvl w:val="0"/>
          <w:numId w:val="169"/>
        </w:numPr>
        <w:spacing w:before="120" w:after="200" w:line="276" w:lineRule="auto"/>
        <w:jc w:val="both"/>
        <w:rPr>
          <w:rFonts w:eastAsiaTheme="minorHAnsi" w:cs="Times New Roman"/>
          <w:b/>
          <w:bCs/>
          <w:i/>
          <w:szCs w:val="24"/>
        </w:rPr>
      </w:pPr>
      <w:r w:rsidRPr="00F64A6A">
        <w:rPr>
          <w:rFonts w:eastAsiaTheme="minorHAnsi" w:cs="Times New Roman"/>
          <w:szCs w:val="24"/>
        </w:rPr>
        <w:lastRenderedPageBreak/>
        <w:t>More researches on developing water efficient rice and othe</w:t>
      </w:r>
      <w:r w:rsidRPr="00F64A6A">
        <w:rPr>
          <w:rFonts w:eastAsiaTheme="minorHAnsi" w:cs="Times New Roman"/>
          <w:i/>
          <w:iCs/>
          <w:szCs w:val="24"/>
        </w:rPr>
        <w:t xml:space="preserve">r </w:t>
      </w:r>
      <w:r w:rsidRPr="00F64A6A">
        <w:rPr>
          <w:rFonts w:eastAsiaTheme="minorHAnsi" w:cs="Times New Roman"/>
          <w:iCs/>
          <w:szCs w:val="24"/>
        </w:rPr>
        <w:t xml:space="preserve">crop </w:t>
      </w:r>
      <w:r w:rsidRPr="00F64A6A">
        <w:rPr>
          <w:rFonts w:eastAsiaTheme="minorHAnsi" w:cs="Times New Roman"/>
          <w:szCs w:val="24"/>
        </w:rPr>
        <w:t>varieties are esse</w:t>
      </w:r>
      <w:r w:rsidRPr="00F64A6A">
        <w:rPr>
          <w:rFonts w:eastAsiaTheme="minorHAnsi" w:cs="Times New Roman"/>
          <w:bCs/>
          <w:szCs w:val="24"/>
        </w:rPr>
        <w:t>ntial.</w:t>
      </w:r>
      <w:r w:rsidRPr="00F64A6A">
        <w:rPr>
          <w:rFonts w:eastAsiaTheme="minorHAnsi" w:cs="Times New Roman"/>
          <w:bCs/>
          <w:i/>
          <w:szCs w:val="24"/>
        </w:rPr>
        <w:t xml:space="preserve"> </w:t>
      </w:r>
    </w:p>
    <w:p w:rsidR="00000000" w:rsidRDefault="00F64A6A" w:rsidP="003D5A31">
      <w:pPr>
        <w:pStyle w:val="ListParagraph"/>
        <w:numPr>
          <w:ilvl w:val="0"/>
          <w:numId w:val="166"/>
        </w:numPr>
        <w:spacing w:before="120" w:after="200" w:line="276" w:lineRule="auto"/>
        <w:jc w:val="both"/>
        <w:rPr>
          <w:rFonts w:eastAsiaTheme="minorHAnsi" w:cs="Times New Roman"/>
          <w:b/>
          <w:szCs w:val="24"/>
        </w:rPr>
      </w:pPr>
      <w:r w:rsidRPr="00F64A6A">
        <w:rPr>
          <w:rFonts w:eastAsiaTheme="minorHAnsi" w:cs="Times New Roman"/>
          <w:bCs/>
          <w:szCs w:val="24"/>
        </w:rPr>
        <w:t>Promotion of non-</w:t>
      </w:r>
      <w:r w:rsidRPr="00F64A6A">
        <w:rPr>
          <w:rFonts w:eastAsiaTheme="minorHAnsi" w:cs="Times New Roman"/>
          <w:szCs w:val="24"/>
        </w:rPr>
        <w:t>cereal food habit which is rich in nutrient value but less dependent on water for produ</w:t>
      </w:r>
      <w:r w:rsidRPr="00F64A6A">
        <w:rPr>
          <w:rFonts w:eastAsiaTheme="minorHAnsi" w:cs="Times New Roman"/>
          <w:iCs/>
          <w:szCs w:val="24"/>
        </w:rPr>
        <w:t>ction</w:t>
      </w:r>
      <w:r w:rsidRPr="00F64A6A">
        <w:rPr>
          <w:rFonts w:eastAsiaTheme="minorHAnsi" w:cs="Times New Roman"/>
          <w:szCs w:val="24"/>
        </w:rPr>
        <w:t xml:space="preserve"> is highly recommended. A healthy but affordable diet should be int</w:t>
      </w:r>
      <w:r w:rsidRPr="00F64A6A">
        <w:rPr>
          <w:rFonts w:eastAsiaTheme="minorHAnsi" w:cs="Times New Roman"/>
          <w:iCs/>
          <w:szCs w:val="24"/>
        </w:rPr>
        <w:t>roduced</w:t>
      </w:r>
      <w:r w:rsidRPr="00F64A6A">
        <w:rPr>
          <w:rFonts w:eastAsiaTheme="minorHAnsi" w:cs="Times New Roman"/>
          <w:szCs w:val="24"/>
        </w:rPr>
        <w:t xml:space="preserve"> through proper research and testing to reduce water dependency.</w:t>
      </w:r>
    </w:p>
    <w:p w:rsidR="00000000" w:rsidRDefault="00F64A6A" w:rsidP="003D5A31">
      <w:pPr>
        <w:pStyle w:val="ListParagraph"/>
        <w:numPr>
          <w:ilvl w:val="0"/>
          <w:numId w:val="166"/>
        </w:numPr>
        <w:spacing w:before="120" w:after="0" w:line="276" w:lineRule="auto"/>
        <w:jc w:val="both"/>
        <w:rPr>
          <w:rFonts w:eastAsiaTheme="minorHAnsi" w:cs="Times New Roman"/>
          <w:szCs w:val="24"/>
          <w:shd w:val="clear" w:color="auto" w:fill="FFFFFF"/>
        </w:rPr>
      </w:pPr>
      <w:r w:rsidRPr="00F64A6A">
        <w:rPr>
          <w:rFonts w:eastAsiaTheme="minorHAnsi" w:cs="Times New Roman"/>
          <w:szCs w:val="24"/>
          <w:shd w:val="clear" w:color="auto" w:fill="FFFFFF"/>
        </w:rPr>
        <w:t>Capacity building of the relevant agencies/institutions in terms of increased manpower and enhancing their knowledge base.</w:t>
      </w:r>
    </w:p>
    <w:p w:rsidR="00C23B34" w:rsidRPr="00FE6385" w:rsidRDefault="00C23B34" w:rsidP="00C23B34">
      <w:pPr>
        <w:pStyle w:val="ListParagraph"/>
        <w:spacing w:before="120" w:after="0" w:line="264" w:lineRule="auto"/>
        <w:jc w:val="both"/>
        <w:rPr>
          <w:rFonts w:eastAsiaTheme="minorHAnsi" w:cs="Times New Roman"/>
          <w:szCs w:val="24"/>
          <w:shd w:val="clear" w:color="auto" w:fill="FFFFFF"/>
        </w:rPr>
      </w:pPr>
    </w:p>
    <w:p w:rsidR="00000000" w:rsidRDefault="00F64A6A" w:rsidP="003D5A31">
      <w:pPr>
        <w:pStyle w:val="BodyText"/>
        <w:numPr>
          <w:ilvl w:val="2"/>
          <w:numId w:val="146"/>
        </w:numPr>
        <w:spacing w:after="240" w:line="276" w:lineRule="auto"/>
        <w:jc w:val="both"/>
        <w:rPr>
          <w:rFonts w:eastAsiaTheme="minorHAnsi" w:cs="Times New Roman"/>
          <w:b/>
          <w:szCs w:val="24"/>
        </w:rPr>
      </w:pPr>
      <w:r w:rsidRPr="00F64A6A">
        <w:rPr>
          <w:rFonts w:eastAsiaTheme="minorHAnsi" w:cs="Times New Roman"/>
          <w:b/>
          <w:szCs w:val="24"/>
        </w:rPr>
        <w:t>River Management</w:t>
      </w:r>
    </w:p>
    <w:p w:rsidR="00C23B34" w:rsidRPr="00AB56E1" w:rsidRDefault="00F64A6A" w:rsidP="00C23B34">
      <w:pPr>
        <w:autoSpaceDE w:val="0"/>
        <w:autoSpaceDN w:val="0"/>
        <w:adjustRightInd w:val="0"/>
        <w:spacing w:line="276" w:lineRule="auto"/>
        <w:jc w:val="both"/>
        <w:rPr>
          <w:rFonts w:eastAsiaTheme="majorEastAsia" w:cs="Times New Roman"/>
          <w:b/>
          <w:bCs/>
          <w:szCs w:val="24"/>
        </w:rPr>
      </w:pPr>
      <w:r w:rsidRPr="00F64A6A">
        <w:rPr>
          <w:rFonts w:eastAsiaTheme="minorHAnsi" w:cs="Times New Roman"/>
          <w:szCs w:val="24"/>
        </w:rPr>
        <w:t>Most of the water-related challenges in Bangladesh are somehow related to the mighty rivers that are both a blessing and a threat to its society and economy. With the Main Rivers being the backbone of the country’s hydraulic system, the formulation of a</w:t>
      </w:r>
      <w:r w:rsidRPr="00F64A6A">
        <w:rPr>
          <w:rFonts w:eastAsiaTheme="minorHAnsi" w:cs="Times New Roman"/>
          <w:bCs/>
          <w:szCs w:val="24"/>
        </w:rPr>
        <w:t xml:space="preserve"> long term strategy for the Main Rivers is of national importance. </w:t>
      </w:r>
      <w:r w:rsidRPr="00F64A6A">
        <w:rPr>
          <w:rFonts w:eastAsiaTheme="minorHAnsi" w:cs="Times New Roman"/>
          <w:bCs/>
          <w:szCs w:val="24"/>
          <w:u w:val="single"/>
        </w:rPr>
        <w:t>The problem a</w:t>
      </w:r>
      <w:r w:rsidRPr="00F64A6A">
        <w:rPr>
          <w:rFonts w:eastAsiaTheme="minorHAnsi" w:cs="Times New Roman"/>
          <w:szCs w:val="24"/>
          <w:u w:val="single"/>
        </w:rPr>
        <w:t>nalysis resulted in identification of six long-term key issues associated with the management of main rivers are: flood risk manage</w:t>
      </w:r>
      <w:r w:rsidRPr="00F64A6A">
        <w:rPr>
          <w:rFonts w:eastAsiaTheme="minorHAnsi" w:cs="Times New Roman"/>
          <w:bCs/>
          <w:szCs w:val="24"/>
          <w:u w:val="single"/>
        </w:rPr>
        <w:t>ment, dry season flow augmentation and fresh water supply, protection against river erosion, sediment management, water way transport and ecology.</w:t>
      </w:r>
      <w:r w:rsidRPr="00F64A6A">
        <w:rPr>
          <w:rFonts w:eastAsiaTheme="minorHAnsi" w:cs="Times New Roman"/>
          <w:bCs/>
          <w:i/>
          <w:szCs w:val="24"/>
        </w:rPr>
        <w:t xml:space="preserve"> </w:t>
      </w:r>
      <w:r w:rsidRPr="00F64A6A">
        <w:rPr>
          <w:rFonts w:eastAsiaTheme="minorHAnsi" w:cs="Times New Roman"/>
          <w:bCs/>
          <w:szCs w:val="24"/>
        </w:rPr>
        <w:t>The measur</w:t>
      </w:r>
      <w:r w:rsidR="00896960">
        <w:rPr>
          <w:rFonts w:cs="Times New Roman"/>
          <w:szCs w:val="24"/>
        </w:rPr>
        <w:t>es</w:t>
      </w:r>
      <w:r w:rsidR="00C23B34" w:rsidRPr="00AB56E1">
        <w:rPr>
          <w:rFonts w:cs="Times New Roman"/>
          <w:szCs w:val="24"/>
        </w:rPr>
        <w:t xml:space="preserve"> for Flood risk management and Dry season flow augmentation and fresh water supply have already been implicitly discussed under the strategies formulated for the issues like “Flood management” and “Dry season water Availability and allocation for Drought and Irrigation Management”. However, these two issues along with the remaining four issues are addressed under the following strategies formulated for River Management.</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Restoration of major rivers and their off-takes through enhanced regional cooperation for dry season flow augmentation</w:t>
      </w:r>
    </w:p>
    <w:p w:rsidR="00C23B34" w:rsidRPr="00AB56E1" w:rsidRDefault="00C23B34" w:rsidP="00C23B34">
      <w:pPr>
        <w:spacing w:line="276" w:lineRule="auto"/>
        <w:jc w:val="both"/>
        <w:rPr>
          <w:rFonts w:cs="Times New Roman"/>
          <w:szCs w:val="24"/>
        </w:rPr>
      </w:pPr>
      <w:r w:rsidRPr="00AB56E1">
        <w:rPr>
          <w:rFonts w:cs="Times New Roman"/>
          <w:szCs w:val="24"/>
        </w:rPr>
        <w:t>Reduction of dry season flows in Bangladesh due to increasing upstream withdrawal is causing severe water shortage across the country and in the South West region in particular. Only 15% of the total transboundary flow i.e. 148 BCM, is available during the dry season (Mac Kirby, 2014) where only 1% (11 BCM) of the total flow is received in the critical month of February</w:t>
      </w:r>
      <w:r w:rsidRPr="00AB56E1">
        <w:t xml:space="preserve"> </w:t>
      </w:r>
      <w:r w:rsidRPr="00AB56E1">
        <w:rPr>
          <w:rFonts w:cs="Times New Roman"/>
          <w:szCs w:val="24"/>
        </w:rPr>
        <w:t>(Ahmed &amp; Roy, after 2004). Reduced stream flow is also accelerating salinity intrusion and environmental degradation. Restoration of major rivers and their offtakes as well as enhanced regional cooperation in the GBM basin will ensure availability of more flow in dry season. Increased dry season flow will positively affect the entire country. However, these strategy will in particular help to mitigate the negative impacts such as droughts and water scarcity affecting the dry season irrigation initiatives, excessive extraction of ground water and ground water depletion in North-Central Hydrological Region; salinity intrusion of South Central and South West Region and will enhance domestic water supply sources of the North-West Hydrological Region.</w:t>
      </w:r>
    </w:p>
    <w:p w:rsidR="00C23B34" w:rsidRPr="00AB56E1" w:rsidRDefault="00C23B34" w:rsidP="00C23B34">
      <w:pPr>
        <w:spacing w:line="276" w:lineRule="auto"/>
        <w:jc w:val="both"/>
        <w:rPr>
          <w:rFonts w:cs="Times New Roman"/>
          <w:szCs w:val="24"/>
        </w:rPr>
      </w:pPr>
      <w:r w:rsidRPr="00AB56E1">
        <w:rPr>
          <w:rFonts w:cs="Times New Roman"/>
          <w:szCs w:val="24"/>
        </w:rPr>
        <w:t xml:space="preserve">If the </w:t>
      </w:r>
      <w:r w:rsidR="00FE6385">
        <w:rPr>
          <w:rFonts w:cs="Times New Roman"/>
          <w:szCs w:val="24"/>
        </w:rPr>
        <w:t xml:space="preserve">Delta </w:t>
      </w:r>
      <w:r w:rsidRPr="00AB56E1">
        <w:rPr>
          <w:rFonts w:cs="Times New Roman"/>
          <w:szCs w:val="24"/>
        </w:rPr>
        <w:t xml:space="preserve">scenario </w:t>
      </w:r>
      <w:r w:rsidR="00FE6385">
        <w:rPr>
          <w:rFonts w:cs="Times New Roman"/>
          <w:szCs w:val="24"/>
        </w:rPr>
        <w:t>is considered</w:t>
      </w:r>
      <w:r w:rsidRPr="00AB56E1">
        <w:rPr>
          <w:rFonts w:cs="Times New Roman"/>
          <w:szCs w:val="24"/>
        </w:rPr>
        <w:t xml:space="preserve">, then the following strategic measures would be taken in the short term (2015-2030) on the basis of in-depth analysis of the extent of the issues and </w:t>
      </w:r>
      <w:r w:rsidRPr="00AB56E1">
        <w:rPr>
          <w:rFonts w:cs="Times New Roman"/>
          <w:szCs w:val="24"/>
        </w:rPr>
        <w:lastRenderedPageBreak/>
        <w:t>challenges. However, measures to be taken in medium (2030-2050) and long term (2050-2100) should be decided through analysis of the effectiveness of the measures, state of the problems and emerging issues at the end of each time frame.</w:t>
      </w:r>
    </w:p>
    <w:p w:rsidR="00C23B34" w:rsidRPr="00AB56E1" w:rsidRDefault="00C23B34" w:rsidP="00C23B34">
      <w:pPr>
        <w:spacing w:line="276" w:lineRule="auto"/>
        <w:jc w:val="both"/>
        <w:rPr>
          <w:rFonts w:cs="Times New Roman"/>
          <w:b/>
          <w:szCs w:val="24"/>
        </w:rPr>
      </w:pPr>
      <w:r w:rsidRPr="00AB56E1">
        <w:rPr>
          <w:rFonts w:cs="Times New Roman"/>
          <w:b/>
          <w:szCs w:val="24"/>
        </w:rPr>
        <w:t>Structural Intervention</w:t>
      </w:r>
    </w:p>
    <w:p w:rsidR="00C23B34" w:rsidRPr="00AB56E1" w:rsidRDefault="00C23B34" w:rsidP="00A631E1">
      <w:pPr>
        <w:pStyle w:val="ListParagraph"/>
        <w:numPr>
          <w:ilvl w:val="0"/>
          <w:numId w:val="31"/>
        </w:numPr>
        <w:autoSpaceDE w:val="0"/>
        <w:autoSpaceDN w:val="0"/>
        <w:adjustRightInd w:val="0"/>
        <w:spacing w:line="276" w:lineRule="auto"/>
        <w:ind w:left="360"/>
        <w:jc w:val="both"/>
        <w:rPr>
          <w:rFonts w:eastAsia="Times New Roman" w:cs="Times New Roman"/>
          <w:bCs/>
          <w:szCs w:val="24"/>
        </w:rPr>
      </w:pPr>
      <w:r w:rsidRPr="00AB56E1">
        <w:rPr>
          <w:rFonts w:eastAsia="Times New Roman" w:cs="Times New Roman"/>
          <w:bCs/>
          <w:szCs w:val="24"/>
        </w:rPr>
        <w:t>Revitalization of major rivers (e.g. Old Brahmaputra revitalization; revitalization of river systems in Gorai-Passur Basin etc.) and regional rivers (e.g. re-excavation of Madaripur Beel Route; Kumar River; Sutang River; Piyain River; Lower Kangsha (Ghulamkhali &amp; Updakhali) River; Bhogai River and Madhumati River etc.).</w:t>
      </w:r>
    </w:p>
    <w:p w:rsidR="00C23B34" w:rsidRPr="00AB56E1" w:rsidRDefault="00C23B34" w:rsidP="00A631E1">
      <w:pPr>
        <w:pStyle w:val="ListParagraph"/>
        <w:numPr>
          <w:ilvl w:val="0"/>
          <w:numId w:val="31"/>
        </w:numPr>
        <w:autoSpaceDE w:val="0"/>
        <w:autoSpaceDN w:val="0"/>
        <w:adjustRightInd w:val="0"/>
        <w:spacing w:line="276" w:lineRule="auto"/>
        <w:ind w:left="360"/>
        <w:jc w:val="both"/>
        <w:rPr>
          <w:rFonts w:cs="Times New Roman"/>
          <w:szCs w:val="24"/>
        </w:rPr>
      </w:pPr>
      <w:r w:rsidRPr="00AB56E1">
        <w:rPr>
          <w:rFonts w:eastAsia="Times New Roman" w:cs="Times New Roman"/>
          <w:bCs/>
          <w:szCs w:val="24"/>
        </w:rPr>
        <w:t>Restoration of the river off-takes construction of off-take structures by dredging and river training works and other suitable methods. For example: construction of off-take structure over Old Dhaleswari River at Amtali to control the monsoon flow for reduction of bank erosion of Old Dhaleswari River in Upazila: Daulatpur District: Manikganj; construction of a headwork’s structure with proper dredging and training at Gorai Off take.</w:t>
      </w:r>
    </w:p>
    <w:p w:rsidR="00C23B34" w:rsidRPr="00AB56E1" w:rsidRDefault="00C23B34" w:rsidP="00A631E1">
      <w:pPr>
        <w:pStyle w:val="ListParagraph"/>
        <w:numPr>
          <w:ilvl w:val="0"/>
          <w:numId w:val="31"/>
        </w:numPr>
        <w:autoSpaceDE w:val="0"/>
        <w:autoSpaceDN w:val="0"/>
        <w:adjustRightInd w:val="0"/>
        <w:spacing w:line="276" w:lineRule="auto"/>
        <w:ind w:left="360"/>
        <w:jc w:val="both"/>
        <w:rPr>
          <w:rFonts w:cs="Times New Roman"/>
          <w:szCs w:val="24"/>
        </w:rPr>
      </w:pPr>
      <w:r w:rsidRPr="00AB56E1">
        <w:rPr>
          <w:rFonts w:eastAsia="Times New Roman" w:cs="Times New Roman"/>
          <w:bCs/>
          <w:szCs w:val="24"/>
        </w:rPr>
        <w:t>Development of a national dry-season flow diversion network for providing fresh water to drought-prone or saline areas by revitalising / dredging connections between Major Rivers for dry season and necessary river training work. Moreover, such water distribution network may consist of a combination of existing medium and minor rivers, pumps and pipelines.</w:t>
      </w:r>
    </w:p>
    <w:p w:rsidR="00C23B34" w:rsidRPr="00AB56E1" w:rsidRDefault="00C23B34" w:rsidP="00A631E1">
      <w:pPr>
        <w:pStyle w:val="ListParagraph"/>
        <w:numPr>
          <w:ilvl w:val="0"/>
          <w:numId w:val="31"/>
        </w:numPr>
        <w:autoSpaceDE w:val="0"/>
        <w:autoSpaceDN w:val="0"/>
        <w:adjustRightInd w:val="0"/>
        <w:spacing w:line="276" w:lineRule="auto"/>
        <w:ind w:left="360"/>
        <w:jc w:val="both"/>
        <w:rPr>
          <w:rFonts w:cs="Times New Roman"/>
          <w:szCs w:val="24"/>
        </w:rPr>
      </w:pPr>
      <w:r w:rsidRPr="00AB56E1">
        <w:rPr>
          <w:rFonts w:eastAsia="Times New Roman" w:cs="Times New Roman"/>
          <w:bCs/>
          <w:szCs w:val="24"/>
        </w:rPr>
        <w:t>Strategic dredging at large scale and channelization of major rivers (discussed briefly under the strategies “Sediment Management” and “Stabilization of Major Rivers”).</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Non-Structural Intervention</w:t>
      </w:r>
    </w:p>
    <w:p w:rsidR="00C23B34" w:rsidRPr="00AB56E1" w:rsidRDefault="00C23B34" w:rsidP="00A631E1">
      <w:pPr>
        <w:pStyle w:val="ListParagraph"/>
        <w:numPr>
          <w:ilvl w:val="0"/>
          <w:numId w:val="26"/>
        </w:numPr>
        <w:spacing w:line="276" w:lineRule="auto"/>
        <w:ind w:left="360"/>
        <w:jc w:val="both"/>
        <w:rPr>
          <w:rFonts w:cs="Times New Roman"/>
          <w:szCs w:val="24"/>
        </w:rPr>
      </w:pPr>
      <w:r w:rsidRPr="00AB56E1">
        <w:rPr>
          <w:rFonts w:eastAsia="Times New Roman" w:cs="Times New Roman"/>
          <w:szCs w:val="24"/>
        </w:rPr>
        <w:t>Protection against encroachment</w:t>
      </w:r>
      <w:r w:rsidRPr="00AB56E1">
        <w:rPr>
          <w:rFonts w:eastAsia="Times New Roman" w:cs="Times New Roman"/>
          <w:bCs/>
          <w:szCs w:val="24"/>
        </w:rPr>
        <w:t xml:space="preserve"> of the rivers and river off-takes.</w:t>
      </w:r>
    </w:p>
    <w:p w:rsidR="00C23B34" w:rsidRPr="00AB56E1" w:rsidRDefault="00C23B34" w:rsidP="00A631E1">
      <w:pPr>
        <w:pStyle w:val="ListParagraph"/>
        <w:numPr>
          <w:ilvl w:val="0"/>
          <w:numId w:val="26"/>
        </w:numPr>
        <w:spacing w:line="276" w:lineRule="auto"/>
        <w:ind w:left="360"/>
        <w:jc w:val="both"/>
        <w:rPr>
          <w:rFonts w:cs="Times New Roman"/>
          <w:szCs w:val="24"/>
        </w:rPr>
      </w:pPr>
      <w:r w:rsidRPr="00AB56E1">
        <w:rPr>
          <w:rFonts w:eastAsia="Times New Roman" w:cs="Times New Roman"/>
          <w:szCs w:val="24"/>
        </w:rPr>
        <w:t>Enhanced transboundary cooperation for taking necessary measures for restoration of the rivers and their off-takes.</w:t>
      </w:r>
    </w:p>
    <w:p w:rsidR="005E64B5" w:rsidRDefault="005E64B5" w:rsidP="00C23B34">
      <w:pPr>
        <w:spacing w:line="276" w:lineRule="auto"/>
        <w:jc w:val="both"/>
        <w:rPr>
          <w:rFonts w:cs="Times New Roman"/>
          <w:b/>
          <w:szCs w:val="24"/>
          <w:lang w:bidi="bn-BD"/>
        </w:rPr>
      </w:pPr>
    </w:p>
    <w:p w:rsidR="005E64B5" w:rsidRDefault="005E64B5" w:rsidP="00C23B34">
      <w:pPr>
        <w:spacing w:line="276" w:lineRule="auto"/>
        <w:jc w:val="both"/>
        <w:rPr>
          <w:rFonts w:cs="Times New Roman"/>
          <w:b/>
          <w:szCs w:val="24"/>
          <w:lang w:bidi="bn-BD"/>
        </w:rPr>
      </w:pP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Institutions</w:t>
      </w:r>
    </w:p>
    <w:p w:rsidR="00C23B34" w:rsidRPr="00AB56E1" w:rsidRDefault="00C23B34" w:rsidP="00A631E1">
      <w:pPr>
        <w:pStyle w:val="ListParagraph"/>
        <w:numPr>
          <w:ilvl w:val="0"/>
          <w:numId w:val="28"/>
        </w:numPr>
        <w:autoSpaceDE w:val="0"/>
        <w:autoSpaceDN w:val="0"/>
        <w:adjustRightInd w:val="0"/>
        <w:spacing w:line="276" w:lineRule="auto"/>
        <w:ind w:left="360"/>
        <w:jc w:val="both"/>
        <w:rPr>
          <w:rFonts w:cs="Times New Roman"/>
          <w:szCs w:val="24"/>
        </w:rPr>
      </w:pPr>
      <w:r w:rsidRPr="00AB56E1">
        <w:rPr>
          <w:rFonts w:cs="Times New Roman"/>
          <w:szCs w:val="24"/>
        </w:rPr>
        <w:t>Capacity building of the agencies involved with river management in terms of manpower, knowledge and budget for conducting mandated tasks and advanced research on river management.</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Knowledge and Information</w:t>
      </w:r>
    </w:p>
    <w:p w:rsidR="00C23B34" w:rsidRPr="00AB56E1" w:rsidRDefault="00C23B34" w:rsidP="00A631E1">
      <w:pPr>
        <w:pStyle w:val="ListParagraph"/>
        <w:numPr>
          <w:ilvl w:val="0"/>
          <w:numId w:val="28"/>
        </w:numPr>
        <w:autoSpaceDE w:val="0"/>
        <w:autoSpaceDN w:val="0"/>
        <w:adjustRightInd w:val="0"/>
        <w:spacing w:line="276" w:lineRule="auto"/>
        <w:ind w:left="360"/>
        <w:jc w:val="both"/>
        <w:rPr>
          <w:rFonts w:cs="Times New Roman"/>
          <w:szCs w:val="24"/>
        </w:rPr>
      </w:pPr>
      <w:r w:rsidRPr="00AB56E1">
        <w:rPr>
          <w:rFonts w:cs="Times New Roman"/>
          <w:szCs w:val="24"/>
        </w:rPr>
        <w:t>Research on the effectivity and impact of connections, the required capacity of connections and the flood risks associated with new connections.</w:t>
      </w:r>
    </w:p>
    <w:p w:rsidR="00C23B34" w:rsidRPr="00FE6385" w:rsidRDefault="00C23B34" w:rsidP="00C23B34">
      <w:pPr>
        <w:spacing w:line="276" w:lineRule="auto"/>
        <w:jc w:val="both"/>
        <w:rPr>
          <w:rFonts w:cs="Times New Roman"/>
          <w:szCs w:val="24"/>
          <w:u w:val="single"/>
        </w:rPr>
      </w:pPr>
      <w:r w:rsidRPr="00AB56E1">
        <w:rPr>
          <w:rFonts w:cs="Times New Roman"/>
          <w:szCs w:val="24"/>
        </w:rPr>
        <w:lastRenderedPageBreak/>
        <w:t xml:space="preserve">In case of extreme scenario, the above mentioned strategic measures are applicable with amplified magnitude. </w:t>
      </w:r>
      <w:r w:rsidR="00F64A6A" w:rsidRPr="00F64A6A">
        <w:rPr>
          <w:rFonts w:cs="Times New Roman"/>
          <w:szCs w:val="24"/>
          <w:u w:val="single"/>
        </w:rPr>
        <w:t>Apart from those, construction of barrages in all the major rivers to store the water for use in dry season with thorough assessment can be considered.</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Improvement of Conveyance Capacity and Navigability of the Rivers</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 xml:space="preserve">Experts have identified that one of the major causes of extreme flooding is the aggradation of the major rivers and shrinkage of floodplains due to unplanned road networks without adequate flow paths (e.g. culverts). The rivers are gradually losing its storage capacity and hence this overflowing in the wet period. </w:t>
      </w:r>
      <w:r w:rsidR="00F64A6A" w:rsidRPr="00F64A6A">
        <w:rPr>
          <w:rFonts w:cs="Times New Roman"/>
          <w:szCs w:val="24"/>
          <w:u w:val="single"/>
        </w:rPr>
        <w:t xml:space="preserve">On the other hand, Water resources are also important for the transport sector.  The Inland Water Transport (IWT) sub-sector supports the livelihoods of some 6.4 million people and contributes 30% of overall freight transport output and 20% of passenger travel. </w:t>
      </w:r>
      <w:r w:rsidRPr="00AB56E1">
        <w:rPr>
          <w:rFonts w:cs="Times New Roman"/>
          <w:szCs w:val="24"/>
        </w:rPr>
        <w:t xml:space="preserve">Despite the relative neglect of the IWT modal transport, the cargo traffic has increased from 20 to 30 million </w:t>
      </w:r>
      <w:r w:rsidR="00FE6385">
        <w:rPr>
          <w:rFonts w:cs="Times New Roman"/>
          <w:szCs w:val="24"/>
        </w:rPr>
        <w:t>tonne</w:t>
      </w:r>
      <w:r w:rsidRPr="00AB56E1">
        <w:rPr>
          <w:rFonts w:cs="Times New Roman"/>
          <w:szCs w:val="24"/>
        </w:rPr>
        <w:t>s annually from 1994 to 2005. Some 12.3% of the rural population or 50% of all rural households have access to water transport.  The IWT has huge potential to provide a low-cost, environment-friendly alternative to the over-congested road transport. Navigability of the waterways and port development are key issues for the IWT sub-sector as in dry period there is insufficient water in the river which hampers navigability of the rivers. The IWT issues are discussed in detail in Chapter 9.</w:t>
      </w:r>
    </w:p>
    <w:p w:rsidR="005E64B5" w:rsidRPr="00BB11A4" w:rsidRDefault="00C23B34" w:rsidP="00C23B34">
      <w:pPr>
        <w:autoSpaceDE w:val="0"/>
        <w:autoSpaceDN w:val="0"/>
        <w:adjustRightInd w:val="0"/>
        <w:spacing w:line="276" w:lineRule="auto"/>
        <w:jc w:val="both"/>
        <w:rPr>
          <w:rFonts w:cs="Times New Roman"/>
          <w:szCs w:val="24"/>
        </w:rPr>
      </w:pPr>
      <w:r w:rsidRPr="00AB56E1">
        <w:rPr>
          <w:rFonts w:cs="Times New Roman"/>
          <w:szCs w:val="24"/>
        </w:rPr>
        <w:t>The scarcity of river water restricts the use of river water for transportation. Restoration of major river system by capital dredging, increase of upstream flow and effective river and flood plain management can ameliorate the situation. This will also enhance the fresh water flow into the major river systems and subsequently to the major river off takes. Fresh water flow will also flush off the saline water in the southern rivers and is highly effective to push the salinity front downward into the sea. Besides it would help river fish production and irrigation, improve navigabil</w:t>
      </w:r>
      <w:r w:rsidR="00BB11A4">
        <w:rPr>
          <w:rFonts w:cs="Times New Roman"/>
          <w:szCs w:val="24"/>
        </w:rPr>
        <w:t>ity, recharge ground water etc.</w:t>
      </w:r>
    </w:p>
    <w:p w:rsidR="00C23B34" w:rsidRPr="00AB56E1" w:rsidRDefault="00C23B34" w:rsidP="00C23B34">
      <w:pPr>
        <w:autoSpaceDE w:val="0"/>
        <w:autoSpaceDN w:val="0"/>
        <w:adjustRightInd w:val="0"/>
        <w:spacing w:line="276" w:lineRule="auto"/>
        <w:jc w:val="both"/>
        <w:rPr>
          <w:rFonts w:cs="Times New Roman"/>
          <w:b/>
          <w:szCs w:val="24"/>
          <w:shd w:val="clear" w:color="auto" w:fill="FFFFFF"/>
        </w:rPr>
      </w:pPr>
      <w:r w:rsidRPr="00AB56E1">
        <w:rPr>
          <w:rFonts w:cs="Times New Roman"/>
          <w:b/>
          <w:szCs w:val="24"/>
          <w:shd w:val="clear" w:color="auto" w:fill="FFFFFF"/>
        </w:rPr>
        <w:t>Structural Intervention</w:t>
      </w:r>
    </w:p>
    <w:p w:rsidR="00C23B34" w:rsidRPr="00AB56E1" w:rsidRDefault="00C23B34" w:rsidP="00A631E1">
      <w:pPr>
        <w:pStyle w:val="ListParagraph"/>
        <w:numPr>
          <w:ilvl w:val="0"/>
          <w:numId w:val="26"/>
        </w:numPr>
        <w:spacing w:line="276" w:lineRule="auto"/>
        <w:ind w:left="360"/>
        <w:jc w:val="both"/>
        <w:rPr>
          <w:rFonts w:cs="Times New Roman"/>
          <w:szCs w:val="24"/>
        </w:rPr>
      </w:pPr>
      <w:r w:rsidRPr="00AB56E1">
        <w:rPr>
          <w:rFonts w:cs="Times New Roman"/>
          <w:szCs w:val="24"/>
        </w:rPr>
        <w:t>Safe conveyance of the large cross-boundary flow to the Bay of Bengal through channelization of the major rivers, where appropriate and removing river encroachment (e.g. regulating the use of fishing nets and bandals within the river courses) as much as possible.</w:t>
      </w:r>
      <w:r>
        <w:rPr>
          <w:rFonts w:cs="Times New Roman"/>
          <w:szCs w:val="24"/>
        </w:rPr>
        <w:t xml:space="preserve"> </w:t>
      </w:r>
      <w:r w:rsidR="00F64A6A" w:rsidRPr="00F64A6A">
        <w:rPr>
          <w:rFonts w:cs="Times New Roman"/>
          <w:szCs w:val="24"/>
          <w:u w:val="single"/>
        </w:rPr>
        <w:t>For example: conveyance capacity and navigability of the of the Brahmaputra-Jamuna and Padma River, Upper Meghna river system, Surma  river systems, Kushiyara  river and other rivers  can be improved by dredging. Moreover, navigability of the Kushiyara river upstream of Markuli can be improved by building weirs and navigation locks.</w:t>
      </w:r>
      <w:r w:rsidRPr="00AB56E1">
        <w:rPr>
          <w:rFonts w:cs="Times New Roman"/>
          <w:szCs w:val="24"/>
        </w:rPr>
        <w:t xml:space="preserve"> Furthermore, the conveyance capacity and the navigability of the flashy rivers including Kangsha, Bhogai, Jadukata, Pagla, Buri, Jamuna, Titas, Mogra, Monu, Piyain, and Sutang rivers systems should also be improved with appropriate measures. </w:t>
      </w:r>
    </w:p>
    <w:p w:rsidR="00C23B34" w:rsidRPr="00AB56E1" w:rsidRDefault="00C23B34" w:rsidP="00A631E1">
      <w:pPr>
        <w:pStyle w:val="ListParagraph"/>
        <w:numPr>
          <w:ilvl w:val="0"/>
          <w:numId w:val="26"/>
        </w:numPr>
        <w:spacing w:line="276" w:lineRule="auto"/>
        <w:ind w:left="360"/>
        <w:jc w:val="both"/>
        <w:rPr>
          <w:rFonts w:cs="Times New Roman"/>
          <w:szCs w:val="24"/>
        </w:rPr>
      </w:pPr>
      <w:r w:rsidRPr="00AB56E1">
        <w:rPr>
          <w:rFonts w:cs="Times New Roman"/>
          <w:szCs w:val="24"/>
        </w:rPr>
        <w:t>Improvement of navigability of the regional rivers by strategic dredging and by constructing weirs to increase the depth and navigation lock where applicable.</w:t>
      </w:r>
    </w:p>
    <w:p w:rsidR="00C23B34" w:rsidRPr="00FE6385" w:rsidRDefault="00F64A6A" w:rsidP="00A631E1">
      <w:pPr>
        <w:pStyle w:val="ListParagraph"/>
        <w:numPr>
          <w:ilvl w:val="0"/>
          <w:numId w:val="26"/>
        </w:numPr>
        <w:spacing w:line="276" w:lineRule="auto"/>
        <w:ind w:left="360"/>
        <w:jc w:val="both"/>
        <w:rPr>
          <w:rFonts w:cs="Times New Roman"/>
          <w:szCs w:val="24"/>
          <w:u w:val="single"/>
        </w:rPr>
      </w:pPr>
      <w:r w:rsidRPr="00F64A6A">
        <w:rPr>
          <w:rFonts w:cs="Times New Roman"/>
          <w:szCs w:val="24"/>
          <w:u w:val="single"/>
        </w:rPr>
        <w:lastRenderedPageBreak/>
        <w:t>Improvement of navigability by strategic dredging &amp; river training of following routes: Route A. Dhaka-Munshiganj-Gajaria-Chandpur- Chittagong Route (Lower Meghna); Route B. Chandpur-Paturia-Sirajganj-Chilmari- Doikhawa Route (Padma - Jamuna);  Route C. Paturia-Pakshi-Rajshahi-Godagori Route (Ganges); Route D. Karnaphuli river and Kaptai Lake (Chittagong); Route E. Regional rivers in Chittagong: Matamuhuri, Sangu and Bakkhali.</w:t>
      </w:r>
    </w:p>
    <w:p w:rsidR="00C23B34" w:rsidRPr="00AB56E1" w:rsidRDefault="00C23B34" w:rsidP="00A631E1">
      <w:pPr>
        <w:pStyle w:val="ListParagraph"/>
        <w:numPr>
          <w:ilvl w:val="0"/>
          <w:numId w:val="26"/>
        </w:numPr>
        <w:spacing w:line="276" w:lineRule="auto"/>
        <w:ind w:left="360"/>
        <w:jc w:val="both"/>
        <w:rPr>
          <w:rFonts w:cs="Times New Roman"/>
          <w:szCs w:val="24"/>
        </w:rPr>
      </w:pPr>
      <w:r w:rsidRPr="00AB56E1">
        <w:rPr>
          <w:rFonts w:cs="Times New Roman"/>
          <w:szCs w:val="24"/>
        </w:rPr>
        <w:t>Reduction or distribution of load on the major rivers through diversion of flows into the major distributaries (discussed briefly under the strategy “Sediment Management”).</w:t>
      </w:r>
    </w:p>
    <w:p w:rsidR="00C23B34" w:rsidRPr="00AB56E1" w:rsidRDefault="00C23B34" w:rsidP="00C23B34">
      <w:pPr>
        <w:autoSpaceDE w:val="0"/>
        <w:autoSpaceDN w:val="0"/>
        <w:adjustRightInd w:val="0"/>
        <w:spacing w:line="276" w:lineRule="auto"/>
        <w:jc w:val="both"/>
        <w:rPr>
          <w:rFonts w:cs="Times New Roman"/>
          <w:b/>
          <w:szCs w:val="24"/>
          <w:shd w:val="clear" w:color="auto" w:fill="FFFFFF"/>
        </w:rPr>
      </w:pPr>
      <w:r w:rsidRPr="00AB56E1">
        <w:rPr>
          <w:rFonts w:cs="Times New Roman"/>
          <w:b/>
          <w:szCs w:val="24"/>
          <w:shd w:val="clear" w:color="auto" w:fill="FFFFFF"/>
        </w:rPr>
        <w:t>Non-structural Intervention</w:t>
      </w:r>
    </w:p>
    <w:p w:rsidR="00C23B34" w:rsidRPr="00AB56E1" w:rsidRDefault="00C23B34" w:rsidP="00A631E1">
      <w:pPr>
        <w:pStyle w:val="ListParagraph"/>
        <w:numPr>
          <w:ilvl w:val="0"/>
          <w:numId w:val="26"/>
        </w:numPr>
        <w:spacing w:line="276" w:lineRule="auto"/>
        <w:ind w:left="360"/>
        <w:jc w:val="both"/>
        <w:rPr>
          <w:rFonts w:cs="Times New Roman"/>
          <w:szCs w:val="24"/>
        </w:rPr>
      </w:pPr>
      <w:r w:rsidRPr="00AB56E1">
        <w:rPr>
          <w:rFonts w:cs="Times New Roman"/>
          <w:szCs w:val="24"/>
        </w:rPr>
        <w:t>Regular operation and maintenance of the infrastructures constructed for river and flood management.</w:t>
      </w:r>
    </w:p>
    <w:p w:rsidR="00C23B34" w:rsidRPr="00AB56E1" w:rsidRDefault="00C23B34" w:rsidP="00A631E1">
      <w:pPr>
        <w:pStyle w:val="ListParagraph"/>
        <w:numPr>
          <w:ilvl w:val="0"/>
          <w:numId w:val="26"/>
        </w:numPr>
        <w:spacing w:line="276" w:lineRule="auto"/>
        <w:ind w:left="360"/>
        <w:jc w:val="both"/>
        <w:rPr>
          <w:rFonts w:cs="Times New Roman"/>
          <w:szCs w:val="24"/>
        </w:rPr>
      </w:pPr>
      <w:r w:rsidRPr="00AB56E1">
        <w:rPr>
          <w:rFonts w:eastAsia="Times New Roman" w:cs="Times New Roman"/>
          <w:szCs w:val="24"/>
        </w:rPr>
        <w:t>Protection against encroachment of the river.</w:t>
      </w:r>
    </w:p>
    <w:p w:rsidR="00C23B34" w:rsidRPr="0081574F" w:rsidRDefault="00C23B34" w:rsidP="00A631E1">
      <w:pPr>
        <w:pStyle w:val="ListParagraph"/>
        <w:numPr>
          <w:ilvl w:val="0"/>
          <w:numId w:val="26"/>
        </w:numPr>
        <w:spacing w:line="276" w:lineRule="auto"/>
        <w:ind w:left="360"/>
        <w:jc w:val="both"/>
        <w:rPr>
          <w:rFonts w:cs="Times New Roman"/>
          <w:szCs w:val="24"/>
        </w:rPr>
      </w:pPr>
      <w:r w:rsidRPr="00AB56E1">
        <w:rPr>
          <w:rFonts w:eastAsia="Times New Roman" w:cstheme="minorHAnsi"/>
        </w:rPr>
        <w:t>Regular maintenance and dredging to keep free from sedimentation</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Institutional</w:t>
      </w:r>
    </w:p>
    <w:p w:rsidR="00C23B34" w:rsidRDefault="00C23B34" w:rsidP="00A631E1">
      <w:pPr>
        <w:pStyle w:val="ListParagraph"/>
        <w:numPr>
          <w:ilvl w:val="0"/>
          <w:numId w:val="26"/>
        </w:numPr>
        <w:spacing w:line="276" w:lineRule="auto"/>
        <w:ind w:left="360"/>
        <w:jc w:val="both"/>
        <w:rPr>
          <w:rFonts w:cs="Times New Roman"/>
          <w:szCs w:val="24"/>
        </w:rPr>
      </w:pPr>
      <w:r w:rsidRPr="00AB56E1">
        <w:rPr>
          <w:rFonts w:cs="Times New Roman"/>
          <w:szCs w:val="24"/>
        </w:rPr>
        <w:t>Enhanced regional cooperation for increased flow upto the optimum level in the major rivers in both dry and wet season to maintain navigability and environmental flow of the rivers.</w:t>
      </w:r>
    </w:p>
    <w:p w:rsidR="00BB11A4" w:rsidRPr="00AB56E1" w:rsidRDefault="00BB11A4" w:rsidP="00BB11A4">
      <w:pPr>
        <w:pStyle w:val="ListParagraph"/>
        <w:spacing w:line="276" w:lineRule="auto"/>
        <w:ind w:left="360"/>
        <w:jc w:val="both"/>
        <w:rPr>
          <w:rFonts w:cs="Times New Roman"/>
          <w:szCs w:val="24"/>
        </w:rPr>
      </w:pP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5E64B5" w:rsidRDefault="00C23B34" w:rsidP="00BB11A4">
      <w:pPr>
        <w:pStyle w:val="ListParagraph"/>
        <w:numPr>
          <w:ilvl w:val="0"/>
          <w:numId w:val="25"/>
        </w:numPr>
        <w:spacing w:before="120" w:after="0" w:line="264" w:lineRule="auto"/>
        <w:ind w:left="360"/>
        <w:jc w:val="both"/>
        <w:rPr>
          <w:rFonts w:eastAsia="Times New Roman" w:cstheme="minorHAnsi"/>
          <w:bCs/>
        </w:rPr>
      </w:pPr>
      <w:r w:rsidRPr="00AB56E1">
        <w:rPr>
          <w:rFonts w:eastAsia="Times New Roman" w:cstheme="minorHAnsi"/>
          <w:bCs/>
        </w:rPr>
        <w:t>Conduct regularly hydrographic measurements of river routes namely Meghna,</w:t>
      </w:r>
      <w:r>
        <w:rPr>
          <w:rFonts w:eastAsia="Times New Roman" w:cstheme="minorHAnsi"/>
          <w:bCs/>
        </w:rPr>
        <w:t xml:space="preserve"> </w:t>
      </w:r>
      <w:r w:rsidRPr="00AB56E1">
        <w:rPr>
          <w:rFonts w:eastAsia="Times New Roman" w:cstheme="minorHAnsi"/>
          <w:bCs/>
        </w:rPr>
        <w:t>Surma, Kushiyara, Kangsha, Jadukata, Buri, Jamuna, Titas, Mogra etc.</w:t>
      </w:r>
    </w:p>
    <w:p w:rsidR="00BB11A4" w:rsidRPr="00BB11A4" w:rsidRDefault="00BB11A4" w:rsidP="00BB11A4">
      <w:pPr>
        <w:pStyle w:val="ListParagraph"/>
        <w:spacing w:before="120" w:after="0" w:line="264" w:lineRule="auto"/>
        <w:ind w:left="360"/>
        <w:jc w:val="both"/>
        <w:rPr>
          <w:rFonts w:eastAsia="Times New Roman" w:cstheme="minorHAnsi"/>
          <w:bCs/>
        </w:rPr>
      </w:pP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Protection and Improvement of Major River Banks against Erosion</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 xml:space="preserve">Riverbank erosion, one of the major natural disasters in Bangladesh, causes untold miseries every year to thousands of people living along the banks of the rivers of Bangladesh. </w:t>
      </w:r>
      <w:r w:rsidR="00F64A6A" w:rsidRPr="00F64A6A">
        <w:rPr>
          <w:rFonts w:cs="Times New Roman"/>
          <w:szCs w:val="24"/>
          <w:u w:val="single"/>
        </w:rPr>
        <w:t>In 2014, the land eroded along the Jamuna was 1771 ha, the living space for about 17700 people based on the average population density along the densely populated floodplain (1,000 persons /sq.km).  And about 498 ha of land were eroded along the Ganges River. For short term period, river training work along the major rivers is suggested for an immediate recovery from this disaster.</w:t>
      </w:r>
      <w:r w:rsidRPr="00AB56E1">
        <w:rPr>
          <w:rFonts w:cs="Times New Roman"/>
          <w:szCs w:val="24"/>
        </w:rPr>
        <w:t xml:space="preserve"> Also establishing green belts along the banks of the major rivers can be very effective in protecting the areas adjacent to the rivers. Erosion prediction is another important tool to take action against this catastrophic disaster. Although an erosion prediction tool is available for short term prediction, which may be further improved.</w:t>
      </w:r>
    </w:p>
    <w:p w:rsidR="00C23B34" w:rsidRPr="00AB56E1" w:rsidRDefault="00C23B34" w:rsidP="00C23B34">
      <w:pPr>
        <w:autoSpaceDE w:val="0"/>
        <w:autoSpaceDN w:val="0"/>
        <w:adjustRightInd w:val="0"/>
        <w:spacing w:line="240" w:lineRule="auto"/>
        <w:jc w:val="both"/>
        <w:rPr>
          <w:rFonts w:cstheme="minorHAnsi"/>
          <w:b/>
          <w:shd w:val="clear" w:color="auto" w:fill="FFFFFF"/>
        </w:rPr>
      </w:pPr>
      <w:r w:rsidRPr="00AB56E1">
        <w:rPr>
          <w:rFonts w:cstheme="minorHAnsi"/>
          <w:b/>
          <w:shd w:val="clear" w:color="auto" w:fill="FFFFFF"/>
        </w:rPr>
        <w:t>Structural Intervention</w:t>
      </w:r>
    </w:p>
    <w:p w:rsidR="00D10C92" w:rsidRDefault="00C23B34" w:rsidP="00D10C92">
      <w:pPr>
        <w:pStyle w:val="ListParagraph"/>
        <w:numPr>
          <w:ilvl w:val="0"/>
          <w:numId w:val="26"/>
        </w:numPr>
        <w:spacing w:line="276" w:lineRule="auto"/>
        <w:ind w:left="360"/>
        <w:jc w:val="both"/>
        <w:rPr>
          <w:rFonts w:eastAsia="Times New Roman" w:cstheme="minorHAnsi"/>
        </w:rPr>
      </w:pPr>
      <w:r w:rsidRPr="00AB56E1">
        <w:rPr>
          <w:rFonts w:eastAsia="Times New Roman" w:cstheme="minorHAnsi"/>
        </w:rPr>
        <w:lastRenderedPageBreak/>
        <w:t>Protection of the erosion-prone river banks</w:t>
      </w:r>
      <w:r w:rsidR="00FE6385">
        <w:rPr>
          <w:rFonts w:eastAsia="Times New Roman" w:cstheme="minorHAnsi"/>
        </w:rPr>
        <w:t xml:space="preserve"> by the ports and growth centres</w:t>
      </w:r>
      <w:r w:rsidRPr="00AB56E1">
        <w:rPr>
          <w:rFonts w:eastAsia="Times New Roman" w:cstheme="minorHAnsi"/>
        </w:rPr>
        <w:t xml:space="preserve"> through structural measures and </w:t>
      </w:r>
      <w:r w:rsidR="00FE6385">
        <w:rPr>
          <w:rFonts w:eastAsia="Times New Roman" w:cstheme="minorHAnsi"/>
        </w:rPr>
        <w:t xml:space="preserve">eastablishing </w:t>
      </w:r>
      <w:r w:rsidRPr="00AB56E1">
        <w:rPr>
          <w:rFonts w:eastAsia="Times New Roman" w:cstheme="minorHAnsi"/>
        </w:rPr>
        <w:t>green belt</w:t>
      </w:r>
      <w:r w:rsidR="00D10C92">
        <w:rPr>
          <w:rFonts w:eastAsia="Times New Roman" w:cstheme="minorHAnsi"/>
        </w:rPr>
        <w:t>.</w:t>
      </w:r>
    </w:p>
    <w:p w:rsidR="00C23B34" w:rsidRPr="00AB56E1" w:rsidRDefault="00C23B34" w:rsidP="00C23B34">
      <w:pPr>
        <w:autoSpaceDE w:val="0"/>
        <w:autoSpaceDN w:val="0"/>
        <w:adjustRightInd w:val="0"/>
        <w:spacing w:line="240" w:lineRule="auto"/>
        <w:jc w:val="both"/>
        <w:rPr>
          <w:rFonts w:cstheme="minorHAnsi"/>
          <w:b/>
          <w:shd w:val="clear" w:color="auto" w:fill="FFFFFF"/>
        </w:rPr>
      </w:pPr>
      <w:r w:rsidRPr="00AB56E1">
        <w:rPr>
          <w:rFonts w:cstheme="minorHAnsi"/>
          <w:b/>
          <w:shd w:val="clear" w:color="auto" w:fill="FFFFFF"/>
        </w:rPr>
        <w:t>Non-s</w:t>
      </w:r>
      <w:r w:rsidRPr="00AB56E1">
        <w:rPr>
          <w:rFonts w:cstheme="minorHAnsi"/>
          <w:b/>
          <w:sz w:val="22"/>
          <w:shd w:val="clear" w:color="auto" w:fill="FFFFFF"/>
        </w:rPr>
        <w:t>tructural Intervention</w:t>
      </w:r>
    </w:p>
    <w:p w:rsidR="00C23B34" w:rsidRPr="00AB56E1" w:rsidRDefault="00C23B34" w:rsidP="00A631E1">
      <w:pPr>
        <w:pStyle w:val="ListParagraph"/>
        <w:numPr>
          <w:ilvl w:val="0"/>
          <w:numId w:val="26"/>
        </w:numPr>
        <w:spacing w:line="276" w:lineRule="auto"/>
        <w:ind w:left="360"/>
        <w:jc w:val="both"/>
        <w:rPr>
          <w:rFonts w:eastAsia="Times New Roman" w:cstheme="minorHAnsi"/>
        </w:rPr>
      </w:pPr>
      <w:r w:rsidRPr="00AB56E1">
        <w:rPr>
          <w:rFonts w:eastAsia="Times New Roman" w:cstheme="minorHAnsi"/>
        </w:rPr>
        <w:t>Erosion prediction and early warning in this regard to minimize the loss and damage</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26"/>
        </w:numPr>
        <w:spacing w:line="276" w:lineRule="auto"/>
        <w:ind w:left="360"/>
        <w:rPr>
          <w:rFonts w:eastAsia="Times New Roman" w:cstheme="minorHAnsi"/>
        </w:rPr>
      </w:pPr>
      <w:r w:rsidRPr="00AB56E1">
        <w:rPr>
          <w:rFonts w:eastAsia="Times New Roman" w:cstheme="minorHAnsi"/>
        </w:rPr>
        <w:t>Advance research for erosion prediction in all the major and minor rivers</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Effective Sediment Management</w:t>
      </w:r>
    </w:p>
    <w:p w:rsidR="005E64B5" w:rsidRPr="00BB11A4" w:rsidRDefault="00C23B34" w:rsidP="00C23B34">
      <w:pPr>
        <w:autoSpaceDE w:val="0"/>
        <w:autoSpaceDN w:val="0"/>
        <w:adjustRightInd w:val="0"/>
        <w:spacing w:line="276" w:lineRule="auto"/>
        <w:jc w:val="both"/>
        <w:rPr>
          <w:rFonts w:cs="Times New Roman"/>
          <w:szCs w:val="24"/>
        </w:rPr>
      </w:pPr>
      <w:r w:rsidRPr="00AB56E1">
        <w:rPr>
          <w:rFonts w:cs="Times New Roman"/>
          <w:szCs w:val="24"/>
        </w:rPr>
        <w:t>The Main Rivers carry large amounts of sediments, especially during the monsoon season when discharge volumes and flow velocities are relatively high. The large sediment load is one of the reasons why the Ganges and especially the Jamuna are braided rivers, characterised by a migrating pattern of channels and char lands. The unpredictability of this process and the enormous amounts of sediment transported by the Major Rivers pose the problems like uncertain migration of channels, hampering navigability and endangering stability of river banks and char lands; siltation at the connections of the Major Rivers with tributaries and branches, hampering the inflow of fresh water (during the dry season) or the drainage of medium or minor river basins (during the monsoon period). Therefore, it is very important to manage the sediment load. Some of the measures for sediment management have already been implicitly mentioned under the various strategies. However, more specific strategic measures in t</w:t>
      </w:r>
      <w:r w:rsidR="00BB11A4">
        <w:rPr>
          <w:rFonts w:cs="Times New Roman"/>
          <w:szCs w:val="24"/>
        </w:rPr>
        <w:t>his regard are discussed below:</w:t>
      </w:r>
    </w:p>
    <w:p w:rsidR="00C23B34" w:rsidRPr="00AB56E1" w:rsidRDefault="00C23B34" w:rsidP="00C23B34">
      <w:pPr>
        <w:autoSpaceDE w:val="0"/>
        <w:autoSpaceDN w:val="0"/>
        <w:adjustRightInd w:val="0"/>
        <w:spacing w:line="276" w:lineRule="auto"/>
        <w:jc w:val="both"/>
        <w:rPr>
          <w:rFonts w:cs="Times New Roman"/>
          <w:b/>
          <w:szCs w:val="24"/>
          <w:shd w:val="clear" w:color="auto" w:fill="FFFFFF"/>
        </w:rPr>
      </w:pPr>
      <w:r w:rsidRPr="00AB56E1">
        <w:rPr>
          <w:rFonts w:cs="Times New Roman"/>
          <w:b/>
          <w:szCs w:val="24"/>
          <w:shd w:val="clear" w:color="auto" w:fill="FFFFFF"/>
        </w:rPr>
        <w:t>Structural Intervention</w:t>
      </w:r>
    </w:p>
    <w:p w:rsidR="00C23B34" w:rsidRPr="00AB56E1" w:rsidRDefault="00C23B34" w:rsidP="00A631E1">
      <w:pPr>
        <w:pStyle w:val="ListParagraph"/>
        <w:numPr>
          <w:ilvl w:val="0"/>
          <w:numId w:val="25"/>
        </w:numPr>
        <w:spacing w:before="120" w:after="0" w:line="264" w:lineRule="auto"/>
        <w:jc w:val="both"/>
        <w:rPr>
          <w:rFonts w:eastAsia="Times New Roman" w:cstheme="minorHAnsi"/>
          <w:bCs/>
        </w:rPr>
      </w:pPr>
      <w:r w:rsidRPr="00AB56E1">
        <w:rPr>
          <w:rFonts w:eastAsia="Times New Roman" w:cstheme="minorHAnsi"/>
          <w:bCs/>
        </w:rPr>
        <w:t xml:space="preserve">Management of sediment volume through strategic dredging and river training works with up to date and accurate information about the location for dredging for maintaining the river courses and ensuring navigability in the major and medium rivers. Dredging should also be carried out near the off takes of major rivers for restoration and revitalization of the rivers, to remove net siltation upstream of the barrages. </w:t>
      </w:r>
    </w:p>
    <w:p w:rsidR="00C23B34" w:rsidRPr="00AB56E1" w:rsidRDefault="00C23B34" w:rsidP="00A631E1">
      <w:pPr>
        <w:pStyle w:val="ListParagraph"/>
        <w:numPr>
          <w:ilvl w:val="0"/>
          <w:numId w:val="25"/>
        </w:numPr>
        <w:spacing w:before="120" w:after="0" w:line="264" w:lineRule="auto"/>
        <w:jc w:val="both"/>
        <w:rPr>
          <w:rFonts w:eastAsia="Times New Roman" w:cstheme="minorHAnsi"/>
          <w:bCs/>
        </w:rPr>
      </w:pPr>
      <w:r w:rsidRPr="00AB56E1">
        <w:rPr>
          <w:rFonts w:eastAsia="Times New Roman" w:cstheme="minorHAnsi"/>
          <w:bCs/>
        </w:rPr>
        <w:t>Erosion protection in advance or reduce sediment load in the major and medium rivers</w:t>
      </w:r>
    </w:p>
    <w:p w:rsidR="00C23B34" w:rsidRDefault="00C23B34" w:rsidP="00A631E1">
      <w:pPr>
        <w:pStyle w:val="ListParagraph"/>
        <w:numPr>
          <w:ilvl w:val="0"/>
          <w:numId w:val="25"/>
        </w:numPr>
        <w:spacing w:before="120" w:after="0" w:line="264" w:lineRule="auto"/>
        <w:jc w:val="both"/>
        <w:rPr>
          <w:rFonts w:eastAsia="Times New Roman" w:cstheme="minorHAnsi"/>
          <w:bCs/>
        </w:rPr>
      </w:pPr>
      <w:r w:rsidRPr="00AB56E1">
        <w:rPr>
          <w:rFonts w:eastAsia="Times New Roman" w:cstheme="minorHAnsi"/>
          <w:bCs/>
        </w:rPr>
        <w:t>Developing sediment diversion mechanism to compensate the subsidence especially in the  haor basins (e.g. diverting sediment laden river flows from the Kushiyara river in strategic locations)</w:t>
      </w:r>
    </w:p>
    <w:p w:rsidR="00C23B34" w:rsidRPr="00AB56E1" w:rsidRDefault="00C23B34" w:rsidP="00C23B34">
      <w:pPr>
        <w:pStyle w:val="ListParagraph"/>
        <w:spacing w:before="120" w:after="0" w:line="264" w:lineRule="auto"/>
        <w:jc w:val="both"/>
        <w:rPr>
          <w:rFonts w:eastAsia="Times New Roman" w:cstheme="minorHAnsi"/>
          <w:bCs/>
        </w:rPr>
      </w:pPr>
    </w:p>
    <w:p w:rsidR="00C23B34" w:rsidRPr="00AB56E1" w:rsidRDefault="00C23B34" w:rsidP="00C23B34">
      <w:pPr>
        <w:autoSpaceDE w:val="0"/>
        <w:autoSpaceDN w:val="0"/>
        <w:adjustRightInd w:val="0"/>
        <w:spacing w:line="276" w:lineRule="auto"/>
        <w:jc w:val="both"/>
        <w:rPr>
          <w:rFonts w:cs="Times New Roman"/>
          <w:b/>
          <w:szCs w:val="24"/>
          <w:shd w:val="clear" w:color="auto" w:fill="FFFFFF"/>
        </w:rPr>
      </w:pPr>
      <w:r w:rsidRPr="00AB56E1">
        <w:rPr>
          <w:rFonts w:cs="Times New Roman"/>
          <w:b/>
          <w:szCs w:val="24"/>
          <w:shd w:val="clear" w:color="auto" w:fill="FFFFFF"/>
        </w:rPr>
        <w:t>Non-structural Intervention</w:t>
      </w:r>
    </w:p>
    <w:p w:rsidR="00000000" w:rsidRDefault="00C23B34" w:rsidP="003D5A31">
      <w:pPr>
        <w:pStyle w:val="ListParagraph"/>
        <w:numPr>
          <w:ilvl w:val="0"/>
          <w:numId w:val="119"/>
        </w:numPr>
        <w:spacing w:line="276" w:lineRule="auto"/>
        <w:ind w:left="360"/>
        <w:jc w:val="both"/>
        <w:rPr>
          <w:rFonts w:eastAsia="Times New Roman" w:cs="Times New Roman"/>
          <w:bCs/>
          <w:szCs w:val="24"/>
        </w:rPr>
      </w:pPr>
      <w:r w:rsidRPr="00AB56E1">
        <w:rPr>
          <w:rFonts w:eastAsia="Times New Roman" w:cs="Times New Roman"/>
          <w:bCs/>
          <w:szCs w:val="24"/>
        </w:rPr>
        <w:t>Advanced erosion prediction of the major and medium rivers for taking measures against river erosion to reduce sediment load.</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Institutional</w:t>
      </w:r>
    </w:p>
    <w:p w:rsidR="00000000" w:rsidRDefault="00C23B34" w:rsidP="003D5A31">
      <w:pPr>
        <w:pStyle w:val="ListParagraph"/>
        <w:numPr>
          <w:ilvl w:val="0"/>
          <w:numId w:val="119"/>
        </w:numPr>
        <w:spacing w:line="276" w:lineRule="auto"/>
        <w:ind w:left="360"/>
        <w:jc w:val="both"/>
        <w:rPr>
          <w:rFonts w:eastAsia="Times New Roman" w:cs="Times New Roman"/>
          <w:bCs/>
          <w:szCs w:val="24"/>
        </w:rPr>
      </w:pPr>
      <w:r w:rsidRPr="00AB56E1">
        <w:rPr>
          <w:rFonts w:eastAsia="Times New Roman" w:cs="Times New Roman"/>
          <w:bCs/>
          <w:szCs w:val="24"/>
        </w:rPr>
        <w:lastRenderedPageBreak/>
        <w:t xml:space="preserve">Development of National Legislation </w:t>
      </w:r>
      <w:r w:rsidR="00F82BA1">
        <w:rPr>
          <w:rFonts w:eastAsia="Times New Roman" w:cs="Times New Roman"/>
          <w:bCs/>
          <w:szCs w:val="24"/>
        </w:rPr>
        <w:t xml:space="preserve">and framing policy </w:t>
      </w:r>
      <w:r w:rsidRPr="00AB56E1">
        <w:rPr>
          <w:rFonts w:eastAsia="Times New Roman" w:cs="Times New Roman"/>
          <w:bCs/>
          <w:szCs w:val="24"/>
        </w:rPr>
        <w:t>on land reclamation through sediment management</w:t>
      </w:r>
    </w:p>
    <w:p w:rsidR="00000000" w:rsidRDefault="00C23B34" w:rsidP="003D5A31">
      <w:pPr>
        <w:pStyle w:val="ListParagraph"/>
        <w:numPr>
          <w:ilvl w:val="0"/>
          <w:numId w:val="119"/>
        </w:numPr>
        <w:spacing w:line="276" w:lineRule="auto"/>
        <w:ind w:left="360"/>
        <w:jc w:val="both"/>
        <w:rPr>
          <w:rFonts w:eastAsia="Times New Roman" w:cs="Times New Roman"/>
          <w:bCs/>
          <w:szCs w:val="24"/>
        </w:rPr>
      </w:pPr>
      <w:r w:rsidRPr="00AB56E1">
        <w:rPr>
          <w:rFonts w:eastAsia="Times New Roman" w:cs="Times New Roman"/>
          <w:bCs/>
          <w:szCs w:val="24"/>
        </w:rPr>
        <w:t>Development of a sedimentation research centre in RRI, BWDB and other relevant agencies.</w:t>
      </w:r>
    </w:p>
    <w:p w:rsidR="00000000" w:rsidRDefault="00C23B34" w:rsidP="003D5A31">
      <w:pPr>
        <w:pStyle w:val="ListParagraph"/>
        <w:numPr>
          <w:ilvl w:val="0"/>
          <w:numId w:val="119"/>
        </w:numPr>
        <w:spacing w:line="276" w:lineRule="auto"/>
        <w:ind w:left="360"/>
        <w:jc w:val="both"/>
        <w:rPr>
          <w:rFonts w:eastAsia="Times New Roman" w:cs="Times New Roman"/>
          <w:bCs/>
          <w:szCs w:val="24"/>
        </w:rPr>
      </w:pPr>
      <w:r w:rsidRPr="00AB56E1">
        <w:rPr>
          <w:rFonts w:eastAsia="Times New Roman" w:cs="Times New Roman"/>
          <w:bCs/>
          <w:szCs w:val="24"/>
        </w:rPr>
        <w:t>Capacity development of the relevant agencies for increased dredging efforts.</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AB56E1">
        <w:rPr>
          <w:rFonts w:cs="Times New Roman"/>
          <w:szCs w:val="24"/>
          <w:shd w:val="clear" w:color="auto" w:fill="FFFFFF"/>
        </w:rPr>
        <w:t>Capacity building of the relevant agencies/institutions in terms of increased manpower and enhancing their knowledge base as well as with advanced technologies</w:t>
      </w:r>
    </w:p>
    <w:p w:rsidR="00000000" w:rsidRDefault="00F64A6A" w:rsidP="003D5A31">
      <w:pPr>
        <w:pStyle w:val="ListParagraph"/>
        <w:numPr>
          <w:ilvl w:val="0"/>
          <w:numId w:val="119"/>
        </w:numPr>
        <w:spacing w:line="276" w:lineRule="auto"/>
        <w:ind w:left="360"/>
        <w:jc w:val="both"/>
        <w:rPr>
          <w:rFonts w:eastAsia="Times New Roman" w:cs="Times New Roman"/>
          <w:bCs/>
          <w:szCs w:val="24"/>
          <w:u w:val="single"/>
        </w:rPr>
      </w:pPr>
      <w:r w:rsidRPr="00F64A6A">
        <w:rPr>
          <w:rFonts w:eastAsia="Times New Roman" w:cs="Times New Roman"/>
          <w:bCs/>
          <w:szCs w:val="24"/>
          <w:u w:val="single"/>
        </w:rPr>
        <w:t xml:space="preserve">Conduct research to understand the sedimentation process in the major and medium rivers as well as in haor basins </w:t>
      </w:r>
    </w:p>
    <w:p w:rsidR="00000000" w:rsidRDefault="00F64A6A" w:rsidP="003D5A31">
      <w:pPr>
        <w:pStyle w:val="ListParagraph"/>
        <w:numPr>
          <w:ilvl w:val="0"/>
          <w:numId w:val="119"/>
        </w:numPr>
        <w:spacing w:line="276" w:lineRule="auto"/>
        <w:ind w:left="360"/>
        <w:jc w:val="both"/>
        <w:rPr>
          <w:rFonts w:eastAsia="Times New Roman" w:cs="Times New Roman"/>
          <w:bCs/>
          <w:szCs w:val="24"/>
          <w:u w:val="single"/>
        </w:rPr>
      </w:pPr>
      <w:r w:rsidRPr="00F64A6A">
        <w:rPr>
          <w:rFonts w:eastAsia="Times New Roman" w:cs="Times New Roman"/>
          <w:bCs/>
          <w:szCs w:val="24"/>
          <w:u w:val="single"/>
        </w:rPr>
        <w:t>Conduct study on the process for diverting sediment laden river flows to appropriate direction for land reclamation and compensating subsidence</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Stabilization of major rivers</w:t>
      </w:r>
    </w:p>
    <w:p w:rsidR="00A16ABB"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In order to ensuring socio-economic development through promotion of industrialization near the river bank, development of road network etc. as well to proving safety of the people living in the chars and near the river banks, measures need to be taken against uncertainty in the position of the banks of the Major Rivers. Stabilization of the major rivers in the medium term (2030-2050) of the Bangladesh Delta Plan through proper research in the short term (upto 2030) would be helpful in this regard.</w:t>
      </w:r>
    </w:p>
    <w:p w:rsidR="00C23B34" w:rsidRPr="00AB56E1" w:rsidRDefault="00C23B34" w:rsidP="00C23B34">
      <w:pPr>
        <w:autoSpaceDE w:val="0"/>
        <w:autoSpaceDN w:val="0"/>
        <w:adjustRightInd w:val="0"/>
        <w:spacing w:line="276" w:lineRule="auto"/>
        <w:jc w:val="both"/>
        <w:rPr>
          <w:rFonts w:cs="Times New Roman"/>
          <w:b/>
          <w:szCs w:val="24"/>
          <w:shd w:val="clear" w:color="auto" w:fill="FFFFFF"/>
        </w:rPr>
      </w:pPr>
      <w:r w:rsidRPr="00AB56E1">
        <w:rPr>
          <w:rFonts w:cs="Times New Roman"/>
          <w:b/>
          <w:szCs w:val="24"/>
          <w:shd w:val="clear" w:color="auto" w:fill="FFFFFF"/>
        </w:rPr>
        <w:t>Structural Intervention</w:t>
      </w:r>
    </w:p>
    <w:p w:rsidR="00C23B34" w:rsidRPr="00F82BA1" w:rsidRDefault="00F64A6A" w:rsidP="00A631E1">
      <w:pPr>
        <w:pStyle w:val="ListParagraph"/>
        <w:numPr>
          <w:ilvl w:val="0"/>
          <w:numId w:val="30"/>
        </w:numPr>
        <w:autoSpaceDE w:val="0"/>
        <w:autoSpaceDN w:val="0"/>
        <w:adjustRightInd w:val="0"/>
        <w:spacing w:line="276" w:lineRule="auto"/>
        <w:ind w:left="360"/>
        <w:jc w:val="both"/>
        <w:rPr>
          <w:rFonts w:cs="Times New Roman"/>
          <w:szCs w:val="24"/>
          <w:u w:val="single"/>
        </w:rPr>
      </w:pPr>
      <w:r w:rsidRPr="00F64A6A">
        <w:rPr>
          <w:rFonts w:cs="Times New Roman"/>
          <w:szCs w:val="24"/>
          <w:u w:val="single"/>
        </w:rPr>
        <w:t>Stabilize Jamuna river from Indian border to Bangabandhu bridge by river training works and strategic dredging.</w:t>
      </w:r>
    </w:p>
    <w:p w:rsidR="00C23B34" w:rsidRPr="00F82BA1" w:rsidRDefault="00F64A6A" w:rsidP="00A631E1">
      <w:pPr>
        <w:pStyle w:val="ListParagraph"/>
        <w:numPr>
          <w:ilvl w:val="0"/>
          <w:numId w:val="30"/>
        </w:numPr>
        <w:autoSpaceDE w:val="0"/>
        <w:autoSpaceDN w:val="0"/>
        <w:adjustRightInd w:val="0"/>
        <w:spacing w:after="200" w:line="276" w:lineRule="auto"/>
        <w:ind w:left="360"/>
        <w:jc w:val="both"/>
        <w:rPr>
          <w:rFonts w:cstheme="minorHAnsi"/>
          <w:u w:val="single"/>
        </w:rPr>
      </w:pPr>
      <w:r w:rsidRPr="00F64A6A">
        <w:rPr>
          <w:rFonts w:cstheme="minorHAnsi"/>
          <w:u w:val="single"/>
        </w:rPr>
        <w:t>Stabilize Jamuna-Padma river from Bangabandhu Bridge to Chandpur by river training works and strategic dredging</w:t>
      </w:r>
    </w:p>
    <w:p w:rsidR="00C23B34" w:rsidRPr="00F82BA1" w:rsidRDefault="00F64A6A" w:rsidP="00A631E1">
      <w:pPr>
        <w:pStyle w:val="ListParagraph"/>
        <w:numPr>
          <w:ilvl w:val="0"/>
          <w:numId w:val="30"/>
        </w:numPr>
        <w:autoSpaceDE w:val="0"/>
        <w:autoSpaceDN w:val="0"/>
        <w:adjustRightInd w:val="0"/>
        <w:spacing w:after="200" w:line="276" w:lineRule="auto"/>
        <w:ind w:left="360"/>
        <w:jc w:val="both"/>
        <w:rPr>
          <w:rFonts w:cstheme="minorHAnsi"/>
          <w:u w:val="single"/>
        </w:rPr>
      </w:pPr>
      <w:r w:rsidRPr="00F64A6A">
        <w:rPr>
          <w:rFonts w:cstheme="minorHAnsi"/>
          <w:u w:val="single"/>
        </w:rPr>
        <w:t>Stabilize the banks of the Ganges at erosion prone area by protective works</w:t>
      </w:r>
    </w:p>
    <w:p w:rsidR="00C23B34" w:rsidRPr="00AB56E1" w:rsidRDefault="00C23B34" w:rsidP="00A631E1">
      <w:pPr>
        <w:pStyle w:val="ListParagraph"/>
        <w:numPr>
          <w:ilvl w:val="0"/>
          <w:numId w:val="30"/>
        </w:numPr>
        <w:autoSpaceDE w:val="0"/>
        <w:autoSpaceDN w:val="0"/>
        <w:adjustRightInd w:val="0"/>
        <w:spacing w:after="200" w:line="276" w:lineRule="auto"/>
        <w:ind w:left="360"/>
        <w:jc w:val="both"/>
        <w:rPr>
          <w:rFonts w:cstheme="minorHAnsi"/>
        </w:rPr>
      </w:pPr>
      <w:r w:rsidRPr="00AB56E1">
        <w:rPr>
          <w:rFonts w:cstheme="minorHAnsi"/>
        </w:rPr>
        <w:t>Stabilize left and right bank of Lower Meghna river</w:t>
      </w:r>
    </w:p>
    <w:p w:rsidR="00C23B34" w:rsidRPr="00AB56E1" w:rsidRDefault="00C23B34" w:rsidP="00A631E1">
      <w:pPr>
        <w:pStyle w:val="ListParagraph"/>
        <w:numPr>
          <w:ilvl w:val="0"/>
          <w:numId w:val="30"/>
        </w:numPr>
        <w:autoSpaceDE w:val="0"/>
        <w:autoSpaceDN w:val="0"/>
        <w:adjustRightInd w:val="0"/>
        <w:spacing w:after="200" w:line="276" w:lineRule="auto"/>
        <w:ind w:left="360"/>
        <w:jc w:val="both"/>
        <w:rPr>
          <w:rFonts w:cstheme="minorHAnsi"/>
        </w:rPr>
      </w:pPr>
      <w:r w:rsidRPr="00AB56E1">
        <w:rPr>
          <w:rFonts w:cstheme="minorHAnsi"/>
        </w:rPr>
        <w:t xml:space="preserve">Construction of off-take structure over Old Dhaleswari River at Amtali to control the monsoon flow for reduction of bank erosion of Old Dhaleswari River in Upazila: Daulatpur District: Manikganj </w:t>
      </w:r>
    </w:p>
    <w:p w:rsidR="00A16ABB" w:rsidRDefault="00C23B34" w:rsidP="00A631E1">
      <w:pPr>
        <w:pStyle w:val="ListParagraph"/>
        <w:numPr>
          <w:ilvl w:val="0"/>
          <w:numId w:val="30"/>
        </w:numPr>
        <w:autoSpaceDE w:val="0"/>
        <w:autoSpaceDN w:val="0"/>
        <w:adjustRightInd w:val="0"/>
        <w:spacing w:after="200" w:line="276" w:lineRule="auto"/>
        <w:ind w:left="360"/>
        <w:jc w:val="both"/>
        <w:rPr>
          <w:rFonts w:cstheme="minorHAnsi"/>
        </w:rPr>
      </w:pPr>
      <w:r w:rsidRPr="00AB56E1">
        <w:rPr>
          <w:rFonts w:cstheme="minorHAnsi"/>
        </w:rPr>
        <w:t>Revitalization of river systems in Gorai-Passur Basin</w:t>
      </w:r>
      <w:r w:rsidR="00A16ABB">
        <w:rPr>
          <w:rFonts w:cstheme="minorHAnsi"/>
        </w:rPr>
        <w:t>.</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Institutional</w:t>
      </w:r>
    </w:p>
    <w:p w:rsidR="00000000" w:rsidRDefault="00C23B34" w:rsidP="003D5A31">
      <w:pPr>
        <w:pStyle w:val="ListParagraph"/>
        <w:numPr>
          <w:ilvl w:val="0"/>
          <w:numId w:val="119"/>
        </w:numPr>
        <w:spacing w:line="276" w:lineRule="auto"/>
        <w:ind w:left="360"/>
        <w:jc w:val="both"/>
        <w:rPr>
          <w:rFonts w:eastAsia="Times New Roman" w:cs="Times New Roman"/>
          <w:bCs/>
          <w:szCs w:val="24"/>
        </w:rPr>
      </w:pPr>
      <w:r w:rsidRPr="00AB56E1">
        <w:rPr>
          <w:rFonts w:eastAsia="Times New Roman" w:cs="Times New Roman"/>
          <w:bCs/>
          <w:szCs w:val="24"/>
        </w:rPr>
        <w:t>Capacity development of the relevant agencies to be involved in stabilization of the major rivers.</w:t>
      </w:r>
    </w:p>
    <w:p w:rsidR="00000000" w:rsidRDefault="00C23B34" w:rsidP="003D5A31">
      <w:pPr>
        <w:pStyle w:val="ListParagraph"/>
        <w:numPr>
          <w:ilvl w:val="0"/>
          <w:numId w:val="119"/>
        </w:numPr>
        <w:spacing w:line="276" w:lineRule="auto"/>
        <w:ind w:left="360"/>
        <w:jc w:val="both"/>
        <w:rPr>
          <w:rFonts w:eastAsia="Times New Roman" w:cs="Times New Roman"/>
          <w:bCs/>
          <w:szCs w:val="24"/>
        </w:rPr>
      </w:pPr>
      <w:r w:rsidRPr="00AB56E1">
        <w:rPr>
          <w:rFonts w:eastAsia="Times New Roman" w:cs="Times New Roman"/>
          <w:bCs/>
          <w:szCs w:val="24"/>
        </w:rPr>
        <w:t>Ensuring budget for the river bank stabilization work.</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lastRenderedPageBreak/>
        <w:t xml:space="preserve">Capacity building </w:t>
      </w:r>
    </w:p>
    <w:p w:rsidR="00000000" w:rsidRDefault="00C23B34" w:rsidP="003D5A31">
      <w:pPr>
        <w:pStyle w:val="ListParagraph"/>
        <w:numPr>
          <w:ilvl w:val="0"/>
          <w:numId w:val="119"/>
        </w:numPr>
        <w:spacing w:line="276" w:lineRule="auto"/>
        <w:ind w:left="360"/>
        <w:jc w:val="both"/>
        <w:rPr>
          <w:rFonts w:eastAsia="Times New Roman" w:cs="Times New Roman"/>
          <w:bCs/>
          <w:szCs w:val="24"/>
        </w:rPr>
      </w:pPr>
      <w:r w:rsidRPr="00AB56E1">
        <w:rPr>
          <w:rFonts w:eastAsia="Times New Roman" w:cs="Times New Roman"/>
          <w:bCs/>
          <w:szCs w:val="24"/>
        </w:rPr>
        <w:t>Conducting research on stabilization of the rivers</w:t>
      </w:r>
    </w:p>
    <w:p w:rsidR="00000000" w:rsidRDefault="00C23B34" w:rsidP="003D5A31">
      <w:pPr>
        <w:pStyle w:val="BodyText"/>
        <w:numPr>
          <w:ilvl w:val="2"/>
          <w:numId w:val="146"/>
        </w:numPr>
        <w:spacing w:after="240" w:line="276" w:lineRule="auto"/>
        <w:jc w:val="both"/>
        <w:rPr>
          <w:rFonts w:cs="Times New Roman"/>
          <w:b/>
          <w:szCs w:val="24"/>
        </w:rPr>
      </w:pPr>
      <w:r w:rsidRPr="00AB56E1">
        <w:rPr>
          <w:rFonts w:cs="Times New Roman"/>
          <w:b/>
          <w:szCs w:val="24"/>
        </w:rPr>
        <w:t>Coastal Zone Protection and Management</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 xml:space="preserve">Strategy: Combating coastal inundation and salinity intrusion through Effective Management of Existing Sea Facing Polders </w:t>
      </w:r>
    </w:p>
    <w:p w:rsidR="00A16ABB" w:rsidRPr="0081574F" w:rsidRDefault="00F64A6A" w:rsidP="00C23B34">
      <w:pPr>
        <w:spacing w:line="276" w:lineRule="auto"/>
        <w:jc w:val="both"/>
        <w:rPr>
          <w:rFonts w:cs="Times New Roman"/>
          <w:szCs w:val="24"/>
        </w:rPr>
      </w:pPr>
      <w:r w:rsidRPr="00F64A6A">
        <w:rPr>
          <w:rFonts w:cs="Times New Roman"/>
          <w:szCs w:val="24"/>
          <w:u w:val="single"/>
        </w:rPr>
        <w:t>Polders are expected to play much greater role in the management of Bangladesh Delta in the future with the re-conceptualization of the approach to polderization for not only salinity intrusion but also storm surge protection.</w:t>
      </w:r>
      <w:r w:rsidR="00C23B34" w:rsidRPr="00AB56E1">
        <w:rPr>
          <w:rFonts w:cs="Times New Roman"/>
          <w:szCs w:val="24"/>
        </w:rPr>
        <w:t xml:space="preserve"> Additional roles that will be played by these polders in the future will comprise of: Increase in Agricultural production; Improvement of Fisheries; Habitation of more people in the polders and </w:t>
      </w:r>
      <w:r w:rsidR="00F82BA1">
        <w:rPr>
          <w:rFonts w:cs="Times New Roman"/>
          <w:szCs w:val="24"/>
        </w:rPr>
        <w:t>f</w:t>
      </w:r>
      <w:r w:rsidR="00F82BA1" w:rsidRPr="00AB56E1">
        <w:rPr>
          <w:rFonts w:cs="Times New Roman"/>
          <w:szCs w:val="24"/>
        </w:rPr>
        <w:t xml:space="preserve">acilitate </w:t>
      </w:r>
      <w:r w:rsidR="00C23B34" w:rsidRPr="00AB56E1">
        <w:rPr>
          <w:rFonts w:cs="Times New Roman"/>
          <w:szCs w:val="24"/>
        </w:rPr>
        <w:t>GDP growth. Thus, for the polders to act more effectively as a strategic instrument for managing the delta of Bangladesh, following strategies may be f</w:t>
      </w:r>
      <w:r w:rsidR="00A16ABB">
        <w:rPr>
          <w:rFonts w:cs="Times New Roman"/>
          <w:szCs w:val="24"/>
        </w:rPr>
        <w:t>ormulated.</w:t>
      </w:r>
    </w:p>
    <w:p w:rsidR="00C23B34" w:rsidRPr="00AB56E1" w:rsidRDefault="00C23B34" w:rsidP="00C23B34">
      <w:pPr>
        <w:autoSpaceDE w:val="0"/>
        <w:autoSpaceDN w:val="0"/>
        <w:adjustRightInd w:val="0"/>
        <w:spacing w:line="276" w:lineRule="auto"/>
        <w:jc w:val="both"/>
        <w:rPr>
          <w:rFonts w:cs="Times New Roman"/>
          <w:b/>
          <w:szCs w:val="24"/>
          <w:shd w:val="clear" w:color="auto" w:fill="FFFFFF"/>
        </w:rPr>
      </w:pPr>
      <w:r w:rsidRPr="00AB56E1">
        <w:rPr>
          <w:rFonts w:cs="Times New Roman"/>
          <w:b/>
          <w:szCs w:val="24"/>
          <w:shd w:val="clear" w:color="auto" w:fill="FFFFFF"/>
        </w:rPr>
        <w:t>Structural Intervention</w:t>
      </w:r>
    </w:p>
    <w:p w:rsidR="00C23B34" w:rsidRPr="00F82BA1"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t xml:space="preserve">Redesigning of the Sea Facing polders considering the impacts of storm surge inundation, sea level rise and frequent other natural disasters depending on the vulnerability of the coastal areas in the future and reconstruction and repair of damaged polders/ embankments. However, sea walls may be constructed in the medium and long term if the coastal inundation increases as per the extreme scenario. </w:t>
      </w:r>
    </w:p>
    <w:p w:rsidR="00C23B34" w:rsidRPr="00F82BA1"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t>Development of existing flood embankment on the right bank of the Ganges, the Padma and the Meghna rivers from Mathabhanga off take at Jalangi to Muladi to enhance safety from flood risk considering climate change for multipurpose use</w:t>
      </w:r>
    </w:p>
    <w:p w:rsidR="00C23B34" w:rsidRPr="00F82BA1"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t xml:space="preserve">Regular operation and maintenance of the polders and its infrastructures </w:t>
      </w:r>
    </w:p>
    <w:p w:rsidR="00C23B34" w:rsidRPr="00F82BA1"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t xml:space="preserve">Construction of Ganges barrage or other such measures to ensure sufficient flow in the Gorai river to reduce salinity intrusion in the coastal region of the country. </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Construction and maintenance of modern cyclone shelters</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 xml:space="preserve">The main infrastructure corridor from Chittagong to Dhaka, needs to be flood proofed and if necessary protected by effective sea-side barriers. Embankments in areas with high erosion risk (throughout the coastal zone), should be sufficiently protected with local hard or soft stabilization solutions. </w:t>
      </w:r>
    </w:p>
    <w:p w:rsidR="00C23B34" w:rsidRPr="00AB56E1" w:rsidRDefault="00C23B34" w:rsidP="00C23B34">
      <w:pPr>
        <w:autoSpaceDE w:val="0"/>
        <w:autoSpaceDN w:val="0"/>
        <w:adjustRightInd w:val="0"/>
        <w:spacing w:line="276" w:lineRule="auto"/>
        <w:jc w:val="both"/>
        <w:rPr>
          <w:rFonts w:cs="Times New Roman"/>
          <w:b/>
          <w:szCs w:val="24"/>
          <w:shd w:val="clear" w:color="auto" w:fill="FFFFFF"/>
        </w:rPr>
      </w:pPr>
      <w:r w:rsidRPr="00AB56E1">
        <w:rPr>
          <w:rFonts w:cs="Times New Roman"/>
          <w:b/>
          <w:szCs w:val="24"/>
          <w:shd w:val="clear" w:color="auto" w:fill="FFFFFF"/>
        </w:rPr>
        <w:t>Non-structural Intervention</w:t>
      </w:r>
    </w:p>
    <w:p w:rsidR="00C23B34" w:rsidRPr="00AB56E1" w:rsidRDefault="00C23B34" w:rsidP="00A631E1">
      <w:pPr>
        <w:pStyle w:val="ListParagraph"/>
        <w:numPr>
          <w:ilvl w:val="0"/>
          <w:numId w:val="32"/>
        </w:numPr>
        <w:spacing w:before="120" w:after="0" w:line="276" w:lineRule="auto"/>
        <w:jc w:val="both"/>
        <w:rPr>
          <w:rFonts w:cstheme="minorHAnsi"/>
          <w:b/>
        </w:rPr>
      </w:pPr>
      <w:r w:rsidRPr="00AB56E1">
        <w:rPr>
          <w:rFonts w:eastAsiaTheme="minorHAnsi" w:cstheme="minorHAnsi"/>
          <w:lang w:val="en-GB"/>
        </w:rPr>
        <w:t>Shoreline protection and revitalization of Setback of coastal polders</w:t>
      </w:r>
    </w:p>
    <w:p w:rsidR="00C23B34" w:rsidRPr="00AB56E1" w:rsidRDefault="00C23B34" w:rsidP="00A631E1">
      <w:pPr>
        <w:pStyle w:val="ListParagraph"/>
        <w:numPr>
          <w:ilvl w:val="0"/>
          <w:numId w:val="32"/>
        </w:numPr>
        <w:spacing w:before="120" w:after="0" w:line="276" w:lineRule="auto"/>
        <w:jc w:val="both"/>
        <w:rPr>
          <w:rFonts w:eastAsiaTheme="minorHAnsi" w:cstheme="minorHAnsi"/>
        </w:rPr>
      </w:pPr>
      <w:r w:rsidRPr="00AB56E1">
        <w:rPr>
          <w:rFonts w:eastAsiaTheme="minorHAnsi" w:cstheme="minorHAnsi"/>
          <w:lang w:val="en-GB"/>
        </w:rPr>
        <w:t>Planning</w:t>
      </w:r>
      <w:r w:rsidRPr="00AB56E1">
        <w:rPr>
          <w:rFonts w:eastAsiaTheme="minorHAnsi" w:cstheme="minorHAnsi"/>
        </w:rPr>
        <w:t xml:space="preserve"> and development of coastal green belts as measure against storm surge</w:t>
      </w:r>
    </w:p>
    <w:p w:rsidR="00C23B34" w:rsidRPr="00F82BA1" w:rsidRDefault="00F64A6A" w:rsidP="00A631E1">
      <w:pPr>
        <w:pStyle w:val="ListParagraph"/>
        <w:numPr>
          <w:ilvl w:val="0"/>
          <w:numId w:val="32"/>
        </w:numPr>
        <w:spacing w:before="120" w:after="0" w:line="276" w:lineRule="auto"/>
        <w:jc w:val="both"/>
        <w:rPr>
          <w:rFonts w:eastAsiaTheme="minorHAnsi" w:cstheme="minorHAnsi"/>
          <w:u w:val="single"/>
        </w:rPr>
      </w:pPr>
      <w:r w:rsidRPr="00F64A6A">
        <w:rPr>
          <w:rFonts w:eastAsiaTheme="minorHAnsi" w:cstheme="minorHAnsi"/>
          <w:u w:val="single"/>
        </w:rPr>
        <w:t>Development of Flood Early Warning Systems with localized flood impact forecasting</w:t>
      </w:r>
    </w:p>
    <w:p w:rsidR="00C23B34" w:rsidRPr="00F82BA1" w:rsidRDefault="00F64A6A" w:rsidP="00A631E1">
      <w:pPr>
        <w:pStyle w:val="ListParagraph"/>
        <w:numPr>
          <w:ilvl w:val="0"/>
          <w:numId w:val="32"/>
        </w:numPr>
        <w:spacing w:before="120" w:after="0" w:line="276" w:lineRule="auto"/>
        <w:jc w:val="both"/>
        <w:rPr>
          <w:rFonts w:eastAsiaTheme="minorHAnsi" w:cstheme="minorHAnsi"/>
          <w:u w:val="single"/>
        </w:rPr>
      </w:pPr>
      <w:r w:rsidRPr="00F64A6A">
        <w:rPr>
          <w:rFonts w:cstheme="minorHAnsi"/>
          <w:u w:val="single"/>
        </w:rPr>
        <w:lastRenderedPageBreak/>
        <w:t>Freshwater flow from upstream has to be ensured through enhanced regional cooperation as the continued fresh water flow from upstream helps to flush the incoming sediment with high tide from the sea and push the salinity intrusion</w:t>
      </w:r>
    </w:p>
    <w:p w:rsidR="00C23B34" w:rsidRPr="00AB56E1" w:rsidRDefault="00C23B34" w:rsidP="00C23B34">
      <w:pPr>
        <w:pStyle w:val="ListParagraph"/>
        <w:spacing w:before="120" w:after="0" w:line="276" w:lineRule="auto"/>
        <w:jc w:val="both"/>
        <w:rPr>
          <w:rFonts w:eastAsiaTheme="minorHAnsi" w:cstheme="minorHAnsi"/>
        </w:rPr>
      </w:pP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lang w:val="en-GB"/>
        </w:rPr>
        <w:t>Capacity building of the agencies involved in water resources management in coastal areas with advanced knowledge, technical skill, budget and human resources</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Protection of Upland areas vulnerable to inundation by strengthening of intermediate Polders for protection against tidal, storm surge and coastal inundation</w:t>
      </w:r>
    </w:p>
    <w:p w:rsidR="00C23B34" w:rsidRPr="0081574F" w:rsidRDefault="00C23B34" w:rsidP="00C23B34">
      <w:pPr>
        <w:spacing w:line="276" w:lineRule="auto"/>
        <w:jc w:val="both"/>
        <w:rPr>
          <w:rFonts w:cs="Times New Roman"/>
          <w:szCs w:val="24"/>
        </w:rPr>
      </w:pPr>
      <w:r w:rsidRPr="00AB56E1">
        <w:rPr>
          <w:rFonts w:cs="Times New Roman"/>
          <w:szCs w:val="24"/>
        </w:rPr>
        <w:t>Polderization has impact on the areas located at the backend of the poldered areas. Although effects are not as far reaching at present times but in the future if proper strategies are not implemented, these areas will become highly susceptible to inundation due to sea level rise. Many studies indicate that these areas are completely unprotected from future flooding.  Tidal amplifications are caused at the estuaries of the coastal areas of Bangladesh. The funneling effect happens due to the silting of the peripheral rivers of the polders. This funneling effect is resulting in the rising of tides. The effect of this tidal amplification will affect the upland unprotected areas of the polders; such as Gopalganj, Pirojpur, Jhalkathi etc. Unless proper strategy is undertaken these upland areas will become highly vulnerable to widespread floods caused by rising tides. To tackle such effects in the upland areas following measures may be taken into account:</w:t>
      </w:r>
    </w:p>
    <w:p w:rsidR="00C23B34" w:rsidRPr="00AB56E1" w:rsidRDefault="00C23B34" w:rsidP="00C23B34">
      <w:pPr>
        <w:autoSpaceDE w:val="0"/>
        <w:autoSpaceDN w:val="0"/>
        <w:adjustRightInd w:val="0"/>
        <w:spacing w:line="276" w:lineRule="auto"/>
        <w:jc w:val="both"/>
        <w:rPr>
          <w:rFonts w:cs="Times New Roman"/>
          <w:b/>
          <w:szCs w:val="24"/>
          <w:shd w:val="clear" w:color="auto" w:fill="FFFFFF"/>
        </w:rPr>
      </w:pPr>
      <w:r w:rsidRPr="00AB56E1">
        <w:rPr>
          <w:rFonts w:cs="Times New Roman"/>
          <w:b/>
          <w:szCs w:val="24"/>
          <w:shd w:val="clear" w:color="auto" w:fill="FFFFFF"/>
        </w:rPr>
        <w:t>Structural Intervention</w:t>
      </w:r>
    </w:p>
    <w:p w:rsidR="00C23B34" w:rsidRPr="00F82BA1"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t>Introduction of polderization to protect the upland areas such as Gopalganj, Pirojpur, Jhalkathi etc. with appropriate design considering the effect of storm surge, sea level rise, salinity intrusion and other factors. Allowing controlled flooding in these upland areas considering the agricultural production; improvement of Fisheries; habitation of people and other environmental issues.</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Institutional </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Knowledge</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lang w:val="en-GB"/>
        </w:rPr>
        <w:t>Advanced research on requirement and mechanism of protecting the upland areas through continuous and in-depth analysis of climate change, river and morphology as well as upstream development.</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Restoration of Severely Water Logged and Drainage Congested Areas in Coastal Region</w:t>
      </w:r>
    </w:p>
    <w:p w:rsidR="00C23B34" w:rsidRPr="00AB56E1" w:rsidRDefault="00C23B34" w:rsidP="00C23B34">
      <w:pPr>
        <w:spacing w:line="276" w:lineRule="auto"/>
        <w:jc w:val="both"/>
        <w:rPr>
          <w:rFonts w:cs="Times New Roman"/>
          <w:szCs w:val="24"/>
        </w:rPr>
      </w:pPr>
      <w:r w:rsidRPr="00AB56E1">
        <w:rPr>
          <w:rFonts w:cs="Times New Roman"/>
          <w:szCs w:val="24"/>
        </w:rPr>
        <w:lastRenderedPageBreak/>
        <w:t>The following measures are proposed to mitigate the problem of water logging and drainage congestion in the coastal region.</w:t>
      </w:r>
    </w:p>
    <w:p w:rsidR="00C23B34" w:rsidRPr="00AB56E1" w:rsidRDefault="00C23B34" w:rsidP="00C23B34">
      <w:pPr>
        <w:spacing w:line="276" w:lineRule="auto"/>
        <w:jc w:val="both"/>
        <w:rPr>
          <w:rFonts w:cs="Times New Roman"/>
          <w:szCs w:val="24"/>
        </w:rPr>
      </w:pPr>
      <w:r w:rsidRPr="00AB56E1">
        <w:rPr>
          <w:rFonts w:cs="Times New Roman"/>
          <w:b/>
          <w:szCs w:val="24"/>
        </w:rPr>
        <w:t>Structural Intervention</w:t>
      </w:r>
    </w:p>
    <w:p w:rsidR="00C23B34" w:rsidRPr="00F82BA1"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t xml:space="preserve">Dredging, restoration and maintenance of the peripheral rivers of the polders to increase the conveyance capacity as the bed levels of these rivers have risen up due to siltation process over the years reducing their conveyance capacity significantly. Strategic dredging of the Gorai-Modhumati-Pussur river systems including the Gorai off take and restoration and maintenance of Bhairab river, Nabaganga river, Hisna river, Arial Khan River, Mathabhange River, Kobadak etc. through appropriate measures like dredging, excavation and use of regulation structures  as and where appropriate will be helpful to reduce drainage congestion. </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 xml:space="preserve">Re-excavation of </w:t>
      </w:r>
      <w:r w:rsidR="00F82BA1">
        <w:rPr>
          <w:rFonts w:cs="Times New Roman"/>
          <w:szCs w:val="24"/>
        </w:rPr>
        <w:t>canals</w:t>
      </w:r>
      <w:r w:rsidR="00F82BA1" w:rsidRPr="00AB56E1">
        <w:rPr>
          <w:rFonts w:cs="Times New Roman"/>
          <w:szCs w:val="24"/>
        </w:rPr>
        <w:t xml:space="preserve"> </w:t>
      </w:r>
      <w:r w:rsidRPr="00AB56E1">
        <w:rPr>
          <w:rFonts w:cs="Times New Roman"/>
          <w:szCs w:val="24"/>
        </w:rPr>
        <w:t>and pond</w:t>
      </w:r>
      <w:r w:rsidR="002424F1">
        <w:rPr>
          <w:rFonts w:cs="Times New Roman"/>
          <w:szCs w:val="24"/>
        </w:rPr>
        <w:t>s</w:t>
      </w:r>
      <w:r w:rsidRPr="00AB56E1">
        <w:rPr>
          <w:rFonts w:cs="Times New Roman"/>
          <w:szCs w:val="24"/>
        </w:rPr>
        <w:t xml:space="preserve"> and dredging of water bodies and peripheral rivers to increase water retention volume and tidal prism.</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Sediment injection into the polders as sedimentation is not taking place in the polders and the polders are further subsiding resulting in increased differences in polder level and surrounding bed levels leading to water logging and drainage congestion</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 xml:space="preserve">Improvement of drainage facility and flooding situation in Chittagong and Barisal City </w:t>
      </w:r>
    </w:p>
    <w:p w:rsidR="00C23B34" w:rsidRPr="00AB56E1" w:rsidRDefault="00C23B34" w:rsidP="00C23B34">
      <w:pPr>
        <w:spacing w:line="276" w:lineRule="auto"/>
        <w:jc w:val="both"/>
        <w:rPr>
          <w:rFonts w:cs="Times New Roman"/>
          <w:b/>
          <w:szCs w:val="24"/>
        </w:rPr>
      </w:pPr>
      <w:r w:rsidRPr="00AB56E1">
        <w:rPr>
          <w:rFonts w:cs="Times New Roman"/>
          <w:b/>
          <w:szCs w:val="24"/>
        </w:rPr>
        <w:t>Non-Structural Intervention</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Pumping out the water from the water logged areas such as the polders of the Western Ganges tidal floodplain (e.g. Khulna, Satkhira region) and Noakhali mainland.</w:t>
      </w:r>
    </w:p>
    <w:p w:rsidR="00C23B34" w:rsidRPr="00AB56E1" w:rsidRDefault="00C23B34" w:rsidP="00C23B34">
      <w:pPr>
        <w:spacing w:line="276" w:lineRule="auto"/>
        <w:jc w:val="both"/>
        <w:rPr>
          <w:rFonts w:cs="Times New Roman"/>
          <w:b/>
          <w:szCs w:val="24"/>
        </w:rPr>
      </w:pPr>
      <w:r w:rsidRPr="00AB56E1">
        <w:rPr>
          <w:rFonts w:cs="Times New Roman"/>
          <w:b/>
          <w:szCs w:val="24"/>
        </w:rPr>
        <w:t xml:space="preserve">Institutional </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Integrated Management of Drainage Congestion by active participation of the responsible agencies and local people.</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25"/>
        </w:numPr>
        <w:spacing w:line="276" w:lineRule="auto"/>
        <w:ind w:left="360"/>
        <w:jc w:val="both"/>
        <w:rPr>
          <w:rFonts w:cs="Times New Roman"/>
          <w:szCs w:val="24"/>
          <w:shd w:val="clear" w:color="auto" w:fill="FFFFFF"/>
        </w:rPr>
      </w:pPr>
      <w:r w:rsidRPr="00AB56E1">
        <w:rPr>
          <w:rFonts w:cs="Times New Roman"/>
          <w:szCs w:val="24"/>
          <w:shd w:val="clear" w:color="auto" w:fill="FFFFFF"/>
        </w:rPr>
        <w:t>Capacity building of the relevant agencies/institutions in terms of increased manpower and enhancing their knowledge base as well as with advanced technologies</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Advanced research and incorporation of technology in managing water logging and drainage congestion.</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Ensuring Fresh Water Flow in the Coastal Region</w:t>
      </w:r>
    </w:p>
    <w:p w:rsidR="00C23B34" w:rsidRPr="00AB56E1" w:rsidRDefault="00C23B34" w:rsidP="00C23B34">
      <w:pPr>
        <w:spacing w:line="276" w:lineRule="auto"/>
        <w:jc w:val="both"/>
        <w:rPr>
          <w:rFonts w:cs="Times New Roman"/>
          <w:szCs w:val="24"/>
        </w:rPr>
      </w:pPr>
      <w:r w:rsidRPr="00AB56E1">
        <w:rPr>
          <w:rFonts w:cs="Times New Roman"/>
          <w:szCs w:val="24"/>
        </w:rPr>
        <w:t xml:space="preserve">A sustainable coastal freshwater strategy is required for the nation and the coastal zone in specific, in order to improve living conditions, sustain agricultural and aqua cultural production, as well maintain environmental sustainability. </w:t>
      </w:r>
    </w:p>
    <w:p w:rsidR="00C23B34" w:rsidRPr="00AB56E1" w:rsidRDefault="00C23B34" w:rsidP="00C23B34">
      <w:pPr>
        <w:spacing w:line="276" w:lineRule="auto"/>
        <w:jc w:val="both"/>
        <w:rPr>
          <w:rFonts w:cs="Times New Roman"/>
          <w:b/>
          <w:szCs w:val="24"/>
        </w:rPr>
      </w:pPr>
      <w:r w:rsidRPr="00AB56E1">
        <w:rPr>
          <w:rFonts w:cs="Times New Roman"/>
          <w:b/>
          <w:szCs w:val="24"/>
        </w:rPr>
        <w:t>Structural Intervention</w:t>
      </w:r>
    </w:p>
    <w:p w:rsidR="00C23B34" w:rsidRPr="00F82BA1"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lastRenderedPageBreak/>
        <w:t>Construction of the Ganges barrage to restore the freshwater flow through the Gorai and other rivers would be very advantageous with respect to drinking water and salinization in the Sunderbans. Revitalization of other regional (some transboundary rivers) is needed to ensure a sustainable situation. In addition, a successful implementation of these measures will help improve the tidal prism in the peripheral rivers of the polders and will be beneficial for diminishing water-logged areas now and in the future.</w:t>
      </w:r>
    </w:p>
    <w:p w:rsidR="00C23B34" w:rsidRPr="003B1FE0"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 xml:space="preserve">Improvement of the connectivity between wetlands and floodplains and restore the natural capacities of beels and natural waterbodies as much as possible to ensure freshwater in the coastal zone for sustaining natural ecosystems (e.g. wetlands, beels, fisheries and the Sunderbans) as well as navigation for regional waterway transport. </w:t>
      </w:r>
      <w:r w:rsidRPr="003B1FE0">
        <w:rPr>
          <w:rFonts w:cs="Times New Roman"/>
          <w:szCs w:val="24"/>
        </w:rPr>
        <w:t>Modernization and maintenance of Current FCD(I) infrastructure as insufficient maintenance and changing external conditions have already lead to a substantial degree of malfunctioning</w:t>
      </w:r>
    </w:p>
    <w:p w:rsidR="00C23B34" w:rsidRPr="003B1FE0" w:rsidRDefault="00896960" w:rsidP="00A631E1">
      <w:pPr>
        <w:pStyle w:val="ListParagraph"/>
        <w:numPr>
          <w:ilvl w:val="0"/>
          <w:numId w:val="32"/>
        </w:numPr>
        <w:spacing w:line="276" w:lineRule="auto"/>
        <w:ind w:left="360"/>
        <w:jc w:val="both"/>
        <w:rPr>
          <w:rFonts w:cs="Times New Roman"/>
          <w:szCs w:val="24"/>
        </w:rPr>
      </w:pPr>
      <w:r>
        <w:rPr>
          <w:rFonts w:cs="Times New Roman"/>
          <w:szCs w:val="24"/>
        </w:rPr>
        <w:t>Excavation of canals and ponds, development of small scale and medium-scale rainwater harvesting, aquifer storage and recharge techniques, Introduction of piped drinking water from upstream areas and salinity barriers (gated) or salt-water control regulators in main tidal rivers</w:t>
      </w:r>
    </w:p>
    <w:p w:rsidR="00C23B34" w:rsidRPr="00F82BA1"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t>Promotion of Water treatment facilities including de-salinization plant</w:t>
      </w:r>
    </w:p>
    <w:p w:rsidR="00C23B34" w:rsidRPr="00AB56E1" w:rsidRDefault="00C23B34" w:rsidP="00C23B34">
      <w:pPr>
        <w:rPr>
          <w:rFonts w:cstheme="minorHAnsi"/>
          <w:b/>
        </w:rPr>
      </w:pPr>
      <w:r w:rsidRPr="00AB56E1">
        <w:rPr>
          <w:rFonts w:cstheme="minorHAnsi"/>
          <w:b/>
        </w:rPr>
        <w:t>Non-structural Intervention</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Capturing and storage of rainwater in ponds and household jars</w:t>
      </w:r>
      <w:r w:rsidR="00F82BA1">
        <w:rPr>
          <w:rFonts w:cs="Times New Roman"/>
          <w:szCs w:val="24"/>
        </w:rPr>
        <w:t>/mini-tanks</w:t>
      </w:r>
      <w:r w:rsidR="003B1FE0">
        <w:rPr>
          <w:rFonts w:cs="Times New Roman"/>
          <w:szCs w:val="24"/>
        </w:rPr>
        <w:t>,</w:t>
      </w:r>
      <w:r w:rsidRPr="00AB56E1">
        <w:rPr>
          <w:rFonts w:cs="Times New Roman"/>
          <w:szCs w:val="24"/>
        </w:rPr>
        <w:t xml:space="preserve"> etc.</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 xml:space="preserve">Year-round availability of freshwater for different users is not currently a problem in the Southwestern region as freshwater flow and precipitation excess in the Lower Meghna dependent area is still sufficient. Monitoring programmes and studies are advised to be commenced in order to keep an eye on possible tipping points in freshwater and sediment to be expected here, under sea level rise scenarios and possible uncertain upstream extractions. </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Demarcation of Fresh water and saline ground water and monitoring of up-coning of saline water due to over extraction of ground water in the coastal region of Bangladesh as groundwater salinization are taking place in the coastal aquifer through i) intrusion of saline water in the coastal groundwater with sea as the source of saline water, a process that could</w:t>
      </w:r>
      <w:r w:rsidR="00F82BA1">
        <w:rPr>
          <w:rFonts w:cs="Times New Roman"/>
          <w:szCs w:val="24"/>
        </w:rPr>
        <w:t xml:space="preserve"> be</w:t>
      </w:r>
      <w:r w:rsidRPr="00AB56E1">
        <w:rPr>
          <w:rFonts w:cs="Times New Roman"/>
          <w:szCs w:val="24"/>
        </w:rPr>
        <w:t xml:space="preserve"> accelerated by sea level rise and a decreasing groundwater level; ii) downward movement of saline surface water which is brought inland by storm surges or transgression of the coast to the aquifer;  and (iii) migration of pre-existing pockets of saline water in the subsurface .</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 xml:space="preserve">Exploration of deeper aquifer in the coastal area and  studies on deep well development (specifically in salt-arsenic contaminated areas) for improving drinking  water supply and less as irrigation source as  it is expected that groundwater will remain the pre-eminent source of drinking water in future and deep tubewells in the eastern coastal regions currently providing fresh potable water. </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lastRenderedPageBreak/>
        <w:t>Research on the hydrogeological properties and the characteristics of this aquifer of the coastal zone.</w:t>
      </w:r>
    </w:p>
    <w:p w:rsidR="00C23B34" w:rsidRPr="00F82BA1"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t xml:space="preserve">Research and promotion of precision irrigation techniques and practices and promotion of crop diversification and less water demanding and salt-tolerating crops and practices. </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Protection against coastal erosion</w:t>
      </w:r>
    </w:p>
    <w:p w:rsidR="00C23B34" w:rsidRPr="00F82BA1" w:rsidRDefault="00C23B34" w:rsidP="00C23B34">
      <w:pPr>
        <w:autoSpaceDE w:val="0"/>
        <w:autoSpaceDN w:val="0"/>
        <w:adjustRightInd w:val="0"/>
        <w:spacing w:line="276" w:lineRule="auto"/>
        <w:jc w:val="both"/>
        <w:rPr>
          <w:rFonts w:cs="Times New Roman"/>
          <w:szCs w:val="24"/>
          <w:u w:val="single"/>
        </w:rPr>
      </w:pPr>
      <w:r w:rsidRPr="00AB56E1">
        <w:rPr>
          <w:rFonts w:cs="Times New Roman"/>
          <w:szCs w:val="24"/>
        </w:rPr>
        <w:t xml:space="preserve">In the dynamic morphological environment of Bangladesh, riverbank and coastal erosion are salient features.  Large scale sediment transport in rivers is mainly activated due to higher discharges, which are projected to occur more often in the future into the Meghna Estuary. It is however unclear, how much sediment load is available in the GBM basin (e.g. impact of upstream developments) and how sediment transport is influenced by sea level rise and accompanying change in tidal influence. The tidal floodplain area, more to the west is much more stable, but locally severe erosion is observed. Local riverbank erosion also occurs in the Chittagong floodplain, along the Karnafuli river. At household level erosion leads to loss of productive land, damage to houses and infrastructure, including embankments, markets, schools and navigation landing sites. </w:t>
      </w:r>
      <w:r w:rsidR="00F64A6A" w:rsidRPr="00F64A6A">
        <w:rPr>
          <w:rFonts w:cs="Times New Roman"/>
          <w:szCs w:val="24"/>
          <w:u w:val="single"/>
        </w:rPr>
        <w:t xml:space="preserve">River training work along the major rivers and establishing green belts along the banks of the major rivers in this region can be very effective in protecting the areas adjacent to the rivers. Erosion prediction is another important tool to take action against this catastrophic disaster. </w:t>
      </w:r>
    </w:p>
    <w:p w:rsidR="00C23B34" w:rsidRPr="00AB56E1" w:rsidRDefault="00C23B34" w:rsidP="00C23B34">
      <w:pPr>
        <w:rPr>
          <w:rFonts w:cstheme="minorHAnsi"/>
          <w:b/>
        </w:rPr>
      </w:pPr>
      <w:r w:rsidRPr="00AB56E1">
        <w:rPr>
          <w:rFonts w:cstheme="minorHAnsi"/>
          <w:b/>
        </w:rPr>
        <w:t>Structural Intervention</w:t>
      </w:r>
    </w:p>
    <w:p w:rsidR="00000000" w:rsidRDefault="00C23B34" w:rsidP="003D5A31">
      <w:pPr>
        <w:pStyle w:val="ListParagraph"/>
        <w:numPr>
          <w:ilvl w:val="0"/>
          <w:numId w:val="170"/>
        </w:numPr>
        <w:autoSpaceDE w:val="0"/>
        <w:autoSpaceDN w:val="0"/>
        <w:adjustRightInd w:val="0"/>
        <w:spacing w:after="200" w:line="240" w:lineRule="auto"/>
        <w:jc w:val="both"/>
        <w:rPr>
          <w:rFonts w:cstheme="minorHAnsi"/>
        </w:rPr>
      </w:pPr>
      <w:r w:rsidRPr="00AB56E1">
        <w:rPr>
          <w:rFonts w:cstheme="minorHAnsi"/>
        </w:rPr>
        <w:t>River training work along the major rivers and establishing green belts along the banks of the major rivers</w:t>
      </w:r>
    </w:p>
    <w:p w:rsidR="00C23B34" w:rsidRPr="00AB56E1" w:rsidRDefault="00C23B34" w:rsidP="00C23B34">
      <w:pPr>
        <w:rPr>
          <w:rFonts w:cstheme="minorHAnsi"/>
          <w:b/>
        </w:rPr>
      </w:pPr>
      <w:r w:rsidRPr="00AB56E1">
        <w:rPr>
          <w:rFonts w:cstheme="minorHAnsi"/>
          <w:b/>
        </w:rPr>
        <w:t>Non-s</w:t>
      </w:r>
      <w:r w:rsidRPr="00AB56E1">
        <w:rPr>
          <w:rFonts w:cstheme="minorHAnsi"/>
          <w:b/>
          <w:sz w:val="22"/>
        </w:rPr>
        <w:t>tructural Intervention</w:t>
      </w:r>
    </w:p>
    <w:p w:rsidR="00000000" w:rsidRDefault="00C23B34" w:rsidP="003D5A31">
      <w:pPr>
        <w:pStyle w:val="ListParagraph"/>
        <w:numPr>
          <w:ilvl w:val="0"/>
          <w:numId w:val="170"/>
        </w:numPr>
        <w:autoSpaceDE w:val="0"/>
        <w:autoSpaceDN w:val="0"/>
        <w:adjustRightInd w:val="0"/>
        <w:spacing w:after="200" w:line="240" w:lineRule="auto"/>
        <w:jc w:val="both"/>
        <w:rPr>
          <w:rFonts w:cstheme="minorHAnsi"/>
        </w:rPr>
      </w:pPr>
      <w:r w:rsidRPr="00AB56E1">
        <w:rPr>
          <w:rFonts w:cstheme="minorHAnsi"/>
        </w:rPr>
        <w:t>Erosion prediction in advance against this catastrophic disaster.</w:t>
      </w:r>
    </w:p>
    <w:p w:rsidR="00000000" w:rsidRDefault="00C23B34" w:rsidP="003D5A31">
      <w:pPr>
        <w:pStyle w:val="ListParagraph"/>
        <w:numPr>
          <w:ilvl w:val="0"/>
          <w:numId w:val="170"/>
        </w:numPr>
        <w:autoSpaceDE w:val="0"/>
        <w:autoSpaceDN w:val="0"/>
        <w:adjustRightInd w:val="0"/>
        <w:spacing w:after="200" w:line="240" w:lineRule="auto"/>
        <w:jc w:val="both"/>
        <w:rPr>
          <w:rFonts w:cstheme="minorHAnsi"/>
        </w:rPr>
      </w:pPr>
      <w:r w:rsidRPr="00AB56E1">
        <w:rPr>
          <w:rFonts w:cstheme="minorHAnsi"/>
          <w:sz w:val="22"/>
        </w:rPr>
        <w:t>Advance research on coastal erosion</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Large-scale land reclamation programme in the Meghna Estuary</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 xml:space="preserve">Large scale land reclamation programme in the coastal area including the Meghna Estuary is suggested upon thorough investigation of the environmental, technical, institutional, financial and socio-economic feasibility. Accelerating the natural accretion processes with cross dams and other infrastructure in this highly dynamic environment, may offer a large piece of newly gained land, free to be developed in the preferred way. Land Reclamation all over the county including in the Coastal Area is discussed in detailed in Chapter </w:t>
      </w:r>
      <w:r w:rsidR="00B57B81">
        <w:rPr>
          <w:rFonts w:cs="Times New Roman"/>
          <w:szCs w:val="24"/>
        </w:rPr>
        <w:t>7</w:t>
      </w:r>
      <w:r w:rsidR="00B57B81" w:rsidRPr="00AB56E1">
        <w:rPr>
          <w:rFonts w:cs="Times New Roman"/>
          <w:szCs w:val="24"/>
        </w:rPr>
        <w:t xml:space="preserve"> </w:t>
      </w:r>
      <w:r w:rsidRPr="00AB56E1">
        <w:rPr>
          <w:rFonts w:cs="Times New Roman"/>
          <w:szCs w:val="24"/>
        </w:rPr>
        <w:t>which deals with sustainable land use and spatial planning across the dynamic delta and land reclamation plan.</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Integrated Coastal Development and Exploration of Blue Economy</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lastRenderedPageBreak/>
        <w:t>Some large scale and comprehensive developments in the coastal zone are heavily debated in Bangladesh. The Bangladesh Delta Plan primarily deals with water aspects, and as such these developments and decision-making, mostly driven by economic growth, is not strictly part of the Delta Plan. However, these developments should be supported by the interventions suggested in the Delta Plan. With regard to the implementation of these largescale developments, the Bangladesh Delta Plan advises to make sure, that impacts on the water resources or potential increase in flood risk are assessed at the right scale, including a system- and risk-informed analysis. As an example, the selection and development of economic zones (e.g. Sandwip and Mirer Sorai), deep sea ports (Sonadia, Payra and Matarbari) as well as power plant locations (Rampal, Matarbari, Bhola) need ample investigations to be at least future risk-neutral (e.g. consider flood-free elevated platforms or build on higher natural grounds, have sufficient treatment facilities (water pollution) as well as environmental safety guards). Furthermore, these developments and its impacts should be seen in a larger context. Major investments in hotspots will attract other economic activities and house dwellers, need large investments in the (network) infrastructure and as such these should be included in the water-related assessments, as well.</w:t>
      </w:r>
    </w:p>
    <w:p w:rsidR="00C23B34" w:rsidRPr="00AB56E1" w:rsidRDefault="00C23B34" w:rsidP="00C23B34">
      <w:pPr>
        <w:spacing w:line="276" w:lineRule="auto"/>
        <w:jc w:val="both"/>
        <w:rPr>
          <w:rFonts w:cs="Times New Roman"/>
          <w:szCs w:val="24"/>
        </w:rPr>
      </w:pPr>
      <w:r w:rsidRPr="00AB56E1">
        <w:rPr>
          <w:rFonts w:cs="Times New Roman"/>
          <w:szCs w:val="24"/>
        </w:rPr>
        <w:t xml:space="preserve">The concept of Blue Economy has opened a new horizon for economic development for the coastal countries through utilizing marine resources at national and international level. Blue Economy conceptualizes oceans as 'Development Spaces' where spatial planning integrates conservation, sustainable use, oil and mineral wealth extraction, bio-prospecting, sustainable energy production and marine transport. </w:t>
      </w:r>
      <w:r w:rsidR="00F64A6A" w:rsidRPr="00F64A6A">
        <w:rPr>
          <w:rFonts w:cs="Times New Roman"/>
          <w:szCs w:val="24"/>
          <w:u w:val="single"/>
        </w:rPr>
        <w:t xml:space="preserve">Estimates suggest some 30 million Bangladeshi directly depend on oceanic economic activities like fisheries and commercial transportation. </w:t>
      </w:r>
      <w:r w:rsidRPr="00AB56E1">
        <w:rPr>
          <w:rFonts w:cs="Times New Roman"/>
          <w:szCs w:val="24"/>
        </w:rPr>
        <w:t>Bangladesh's economy is sea borne to a good extent and with $</w:t>
      </w:r>
      <w:r w:rsidR="00B57B81">
        <w:rPr>
          <w:rFonts w:cs="Times New Roman"/>
          <w:szCs w:val="24"/>
        </w:rPr>
        <w:t>22</w:t>
      </w:r>
      <w:r w:rsidR="00864C92">
        <w:rPr>
          <w:rFonts w:cs="Times New Roman"/>
          <w:szCs w:val="24"/>
        </w:rPr>
        <w:t>5</w:t>
      </w:r>
      <w:r w:rsidR="00B57B81" w:rsidRPr="00AB56E1">
        <w:rPr>
          <w:rFonts w:cs="Times New Roman"/>
          <w:szCs w:val="24"/>
        </w:rPr>
        <w:t xml:space="preserve"> </w:t>
      </w:r>
      <w:r w:rsidRPr="00AB56E1">
        <w:rPr>
          <w:rFonts w:cs="Times New Roman"/>
          <w:szCs w:val="24"/>
        </w:rPr>
        <w:t xml:space="preserve">billion GDP the country's economy stands the 44th. Sovereign rights have been established on more than 118,000 sq. km of maritime territory, 200 nautical miles (NM) of exclusive economic zone, and 354 NM of continental shelf after positive verdicts from international courts. In the same way , the verdict with India declared on 7 July, 2014 also allowed Bangladesh's sovereign rights on all the living, non-living and mineral resources of the Continental Shelf extending up to 354 nautical miles. Therefore, Bangladesh can explore the Blue-Economy for food security, power generation, shipping and port facilities, Submarine mining &amp; exploration of oil and gas etc. </w:t>
      </w:r>
    </w:p>
    <w:p w:rsidR="00000000" w:rsidRDefault="00C23B34" w:rsidP="003D5A31">
      <w:pPr>
        <w:pStyle w:val="BodyText"/>
        <w:numPr>
          <w:ilvl w:val="2"/>
          <w:numId w:val="146"/>
        </w:numPr>
        <w:spacing w:after="240" w:line="276" w:lineRule="auto"/>
        <w:jc w:val="both"/>
        <w:rPr>
          <w:rFonts w:cs="Times New Roman"/>
          <w:b/>
          <w:szCs w:val="24"/>
        </w:rPr>
      </w:pPr>
      <w:r w:rsidRPr="00AB56E1">
        <w:rPr>
          <w:rFonts w:cs="Times New Roman"/>
          <w:b/>
          <w:szCs w:val="24"/>
        </w:rPr>
        <w:t>Freshwater Supply</w:t>
      </w:r>
    </w:p>
    <w:p w:rsidR="00C23B34" w:rsidRPr="00AB56E1" w:rsidRDefault="00C23B34" w:rsidP="00C23B34">
      <w:pPr>
        <w:spacing w:line="276" w:lineRule="auto"/>
        <w:jc w:val="both"/>
        <w:rPr>
          <w:rFonts w:cs="Times New Roman"/>
          <w:szCs w:val="24"/>
        </w:rPr>
      </w:pPr>
      <w:r w:rsidRPr="00AB56E1">
        <w:rPr>
          <w:rFonts w:cs="Times New Roman"/>
          <w:szCs w:val="24"/>
        </w:rPr>
        <w:t>It is of profound importance to take strategies to boost up the water supply as well as to improve the overall ground and surface water quality of the rivers. Fresh water supply is required for sufficient and timely provision of safe surface and groundwater for drinking, agriculture, fisheries, navigation and industry; Preservation and restoration of the riverine and wetland ecosystems; Ensuring water quality for environmental, health, agriculture, and industrial needs; and Saline intrusion in coastal surface and groundwater. However this section deals with the strategic measures for the following issues:</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lastRenderedPageBreak/>
        <w:t xml:space="preserve">Sufficient and timely provision of safe surface and groundwater for domestic and industrial purpose; </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Ensuring water quality for environmental, health and industrial needs</w:t>
      </w:r>
    </w:p>
    <w:p w:rsidR="00C23B34" w:rsidRPr="00AB56E1" w:rsidRDefault="00C23B34" w:rsidP="00C23B34">
      <w:pPr>
        <w:spacing w:line="276" w:lineRule="auto"/>
        <w:jc w:val="both"/>
        <w:rPr>
          <w:rFonts w:cs="Times New Roman"/>
          <w:szCs w:val="24"/>
        </w:rPr>
      </w:pPr>
      <w:r w:rsidRPr="00AB56E1">
        <w:rPr>
          <w:rFonts w:cs="Times New Roman"/>
          <w:szCs w:val="24"/>
        </w:rPr>
        <w:t>Strategic measures related to water supply for agriculture and fisheries; Preservation and restoration of the riverine and wetland ecosystems; water for transport and navigability and Saline intrusion in coastal surface and groundwater have been discussed under Dry season water Availability and allocation for Drought and Irrigation Management; Wetland Protection and Management; River Management and coastal Zone Management respectively.</w:t>
      </w:r>
      <w:r w:rsidR="00B57B81">
        <w:rPr>
          <w:rFonts w:cs="Times New Roman"/>
          <w:szCs w:val="24"/>
        </w:rPr>
        <w:t xml:space="preserve"> Riverine water pollution through industrial effluents/chemicals henceforth need to be stopped through enfocement of environmental rules/regulations.</w:t>
      </w:r>
    </w:p>
    <w:p w:rsidR="00000000" w:rsidRDefault="00C23B34" w:rsidP="003D5A31">
      <w:pPr>
        <w:pStyle w:val="BodyText"/>
        <w:numPr>
          <w:ilvl w:val="2"/>
          <w:numId w:val="146"/>
        </w:numPr>
        <w:spacing w:after="240" w:line="276" w:lineRule="auto"/>
        <w:jc w:val="both"/>
        <w:rPr>
          <w:rFonts w:cs="Times New Roman"/>
          <w:b/>
          <w:szCs w:val="24"/>
        </w:rPr>
      </w:pPr>
      <w:r w:rsidRPr="00AB56E1">
        <w:rPr>
          <w:rFonts w:cs="Times New Roman"/>
          <w:b/>
          <w:szCs w:val="24"/>
        </w:rPr>
        <w:t>Sufficient and Timely Provision of Safe Surface and Groundwater for Domestic and Industrial Purpose</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Extension and promotion of Efficient Water Supply and Sanitation Management System for Fully Urban, Semi Urban and Rural Areas to ensure urban domestic water efficiency without exhausting natural resources</w:t>
      </w:r>
    </w:p>
    <w:p w:rsidR="00C23B34" w:rsidRPr="00AB56E1" w:rsidRDefault="00C23B34" w:rsidP="00C23B34">
      <w:pPr>
        <w:spacing w:line="276" w:lineRule="auto"/>
        <w:jc w:val="both"/>
        <w:rPr>
          <w:rFonts w:cs="Times New Roman"/>
          <w:szCs w:val="24"/>
        </w:rPr>
      </w:pPr>
      <w:r w:rsidRPr="00AB56E1">
        <w:rPr>
          <w:rFonts w:cs="Times New Roman"/>
          <w:szCs w:val="24"/>
        </w:rPr>
        <w:t xml:space="preserve">Although domestic/municipal water demand only represents 10 % of total demand, freshwater availability is key to an effective, affordable water supply service to the population of Bangladesh. Supply of fresh water for domestic sector including for drinking and sanitation purposes is strongly related with human resources development as well as poverty, gender and health dimensions. Key issues include the declining water table, saline intrusion, arsenic contamination and the occurrence of waterborne diseases due to lacking sanitation services and the resultant economic loss, especially of poor and female-headed households. </w:t>
      </w:r>
      <w:r w:rsidR="00F64A6A" w:rsidRPr="00F64A6A">
        <w:rPr>
          <w:rFonts w:cs="Times New Roman"/>
          <w:szCs w:val="24"/>
          <w:u w:val="single"/>
        </w:rPr>
        <w:t>Although not a large water user compared to the agriculture sector, the demand for drinking water is expected to increase by 100% in 2050.</w:t>
      </w:r>
      <w:r w:rsidRPr="00AB56E1">
        <w:rPr>
          <w:rFonts w:cs="Times New Roman"/>
          <w:szCs w:val="24"/>
        </w:rPr>
        <w:t xml:space="preserve"> For safe and cost effective water supply the raw water quality is a key parameter. Measures to protect and improve the water quality of both groundwater and surface water are required.  In order to ensure supply of domestic in the existing and emerging urban areas as well as in the rural areas located all over the country, promotion of efficient water supply and sanitation management system should be made along with extension of urban water supply system. In case of efficient use of resources (e.g. financial), extension of water supply network should be prioritized in the major cities and high economic development zones and then thoroughly water supply network should be installed in the rural areas. </w:t>
      </w:r>
    </w:p>
    <w:p w:rsidR="00C23B34" w:rsidRPr="00AB56E1" w:rsidRDefault="00C23B34" w:rsidP="00C23B34">
      <w:pPr>
        <w:spacing w:line="276" w:lineRule="auto"/>
        <w:jc w:val="both"/>
        <w:rPr>
          <w:rFonts w:cs="Times New Roman"/>
          <w:szCs w:val="24"/>
        </w:rPr>
      </w:pPr>
      <w:r w:rsidRPr="00AB56E1">
        <w:rPr>
          <w:rFonts w:cs="Times New Roman"/>
          <w:szCs w:val="24"/>
        </w:rPr>
        <w:t xml:space="preserve">If the </w:t>
      </w:r>
      <w:r w:rsidR="00B57B81">
        <w:rPr>
          <w:rFonts w:cs="Times New Roman"/>
          <w:szCs w:val="24"/>
        </w:rPr>
        <w:t xml:space="preserve">Delta plan targets </w:t>
      </w:r>
      <w:r w:rsidR="00864C92">
        <w:rPr>
          <w:rFonts w:cs="Times New Roman"/>
          <w:szCs w:val="24"/>
        </w:rPr>
        <w:t xml:space="preserve">has </w:t>
      </w:r>
      <w:r w:rsidR="00B57B81">
        <w:rPr>
          <w:rFonts w:cs="Times New Roman"/>
          <w:szCs w:val="24"/>
        </w:rPr>
        <w:t>to be attained</w:t>
      </w:r>
      <w:r w:rsidRPr="00AB56E1">
        <w:rPr>
          <w:rFonts w:cs="Times New Roman"/>
          <w:szCs w:val="24"/>
        </w:rPr>
        <w:t xml:space="preserve">, then the following strategic measures may be taken in the short term (2015-2030). However, measures to be taken in medium (2030-2050) and long term (2050-2100) should be decided through analysis of the effectiveness of the measures, state of the problems and emerging issues at the end of each time frame. In case of extreme situation, the above mentioned measures are also applicable. However, implementation period of these measures may vary depending on the need and availability of the resources. In extreme situation, </w:t>
      </w:r>
      <w:r w:rsidRPr="00AB56E1">
        <w:rPr>
          <w:rFonts w:cs="Times New Roman"/>
          <w:szCs w:val="24"/>
        </w:rPr>
        <w:lastRenderedPageBreak/>
        <w:t xml:space="preserve">recycling and re-use of water in both industrial and domestic sector along with rainwater harvesting at large scale should be highly emphasized. Urban water supply issues are discussed in greater detail in Chapter 10. </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Structural Intervention</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 xml:space="preserve">Extension of water supply coverage by harnessing surface water from the major rivers in each of the hydrological regions through taking appropriate measures (e.g. construction of barrage, enhanced regional cooperation etc.) and installation of advanced and appropriate water supply network in the urban, semi-urban, slum and rural areas. </w:t>
      </w:r>
    </w:p>
    <w:p w:rsidR="00C23B34" w:rsidRPr="00B57B81" w:rsidRDefault="00F64A6A" w:rsidP="00A631E1">
      <w:pPr>
        <w:pStyle w:val="ListParagraph"/>
        <w:numPr>
          <w:ilvl w:val="0"/>
          <w:numId w:val="27"/>
        </w:numPr>
        <w:spacing w:line="276" w:lineRule="auto"/>
        <w:ind w:left="360"/>
        <w:jc w:val="both"/>
        <w:rPr>
          <w:rFonts w:eastAsia="Times New Roman" w:cs="Times New Roman"/>
          <w:szCs w:val="24"/>
          <w:u w:val="single"/>
        </w:rPr>
      </w:pPr>
      <w:r w:rsidRPr="00F64A6A">
        <w:rPr>
          <w:rFonts w:eastAsia="Times New Roman" w:cs="Times New Roman"/>
          <w:szCs w:val="24"/>
          <w:u w:val="single"/>
        </w:rPr>
        <w:t>Drinking water shortages in CHT can be solved by rain water harvesting, installation of wells, gravity fed systems and pumping water up using solar energy solutions in CHT with application of technological solutions to ensure the quality of the water.</w:t>
      </w:r>
    </w:p>
    <w:p w:rsidR="00C23B34" w:rsidRPr="00B57B81" w:rsidRDefault="00F64A6A" w:rsidP="00A631E1">
      <w:pPr>
        <w:pStyle w:val="ListParagraph"/>
        <w:numPr>
          <w:ilvl w:val="0"/>
          <w:numId w:val="27"/>
        </w:numPr>
        <w:spacing w:before="120" w:after="120" w:line="264" w:lineRule="auto"/>
        <w:ind w:left="360"/>
        <w:jc w:val="both"/>
        <w:rPr>
          <w:rFonts w:eastAsia="Times New Roman" w:cstheme="minorHAnsi"/>
          <w:u w:val="single"/>
        </w:rPr>
      </w:pPr>
      <w:r w:rsidRPr="00F64A6A">
        <w:rPr>
          <w:rFonts w:eastAsia="Times New Roman" w:cstheme="minorHAnsi"/>
          <w:u w:val="single"/>
        </w:rPr>
        <w:t>Pipe network system should be installed for delivering surface water in the areas having vulnerability or threat of arsenic and other source of ground water pollution.</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 xml:space="preserve">Development of small scale </w:t>
      </w:r>
      <w:r w:rsidR="00B57B81">
        <w:rPr>
          <w:rFonts w:eastAsia="Times New Roman" w:cs="Times New Roman"/>
          <w:szCs w:val="24"/>
        </w:rPr>
        <w:t xml:space="preserve">water </w:t>
      </w:r>
      <w:r w:rsidRPr="00AB56E1">
        <w:rPr>
          <w:rFonts w:eastAsia="Times New Roman" w:cs="Times New Roman"/>
          <w:szCs w:val="24"/>
        </w:rPr>
        <w:t>reservoir for multi-purpose use e.g. irrigation, water supply. This is applicable for all parts of the Delta including Chittagong Hill Tracts.</w:t>
      </w:r>
    </w:p>
    <w:p w:rsidR="00F64A6A" w:rsidRDefault="00C23B34" w:rsidP="00F64A6A">
      <w:pPr>
        <w:pStyle w:val="ListParagraph"/>
        <w:numPr>
          <w:ilvl w:val="0"/>
          <w:numId w:val="27"/>
        </w:numPr>
        <w:spacing w:before="120" w:after="120" w:line="264" w:lineRule="auto"/>
        <w:ind w:left="360" w:hanging="270"/>
        <w:jc w:val="both"/>
        <w:rPr>
          <w:rFonts w:eastAsia="Times New Roman" w:cstheme="minorHAnsi"/>
        </w:rPr>
      </w:pPr>
      <w:r w:rsidRPr="00AB56E1">
        <w:rPr>
          <w:rFonts w:eastAsia="Times New Roman" w:cstheme="minorHAnsi"/>
        </w:rPr>
        <w:t>Plants for recycling domestic waste water (grey water) should also be established to ensure reuse of the recycled water at household or community level in major urban cities for suitable purposes (e.g. gardening, car washing etc.), especially under extreme condition.</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Non-Structural Intervention</w:t>
      </w:r>
    </w:p>
    <w:p w:rsidR="00C23B34" w:rsidRPr="00AB56E1" w:rsidRDefault="00C23B34" w:rsidP="00A631E1">
      <w:pPr>
        <w:pStyle w:val="ListParagraph"/>
        <w:numPr>
          <w:ilvl w:val="0"/>
          <w:numId w:val="27"/>
        </w:numPr>
        <w:spacing w:line="276" w:lineRule="auto"/>
        <w:ind w:left="360"/>
        <w:jc w:val="both"/>
        <w:rPr>
          <w:rFonts w:eastAsia="Times New Roman" w:cs="Times New Roman"/>
          <w:b/>
          <w:szCs w:val="24"/>
        </w:rPr>
      </w:pPr>
      <w:r w:rsidRPr="00AB56E1">
        <w:rPr>
          <w:rFonts w:eastAsia="Times New Roman" w:cs="Times New Roman"/>
          <w:szCs w:val="24"/>
        </w:rPr>
        <w:t xml:space="preserve">Zoning of service area to meet the demand based supply of water would be helpful in this regard. </w:t>
      </w:r>
    </w:p>
    <w:p w:rsidR="00C23B34" w:rsidRPr="00AB56E1" w:rsidRDefault="00C23B34" w:rsidP="00A631E1">
      <w:pPr>
        <w:pStyle w:val="ListParagraph"/>
        <w:numPr>
          <w:ilvl w:val="0"/>
          <w:numId w:val="27"/>
        </w:numPr>
        <w:spacing w:line="276" w:lineRule="auto"/>
        <w:ind w:left="360"/>
        <w:jc w:val="both"/>
        <w:rPr>
          <w:rFonts w:eastAsia="Times New Roman" w:cs="Times New Roman"/>
          <w:b/>
          <w:szCs w:val="24"/>
        </w:rPr>
      </w:pPr>
      <w:r w:rsidRPr="00AB56E1">
        <w:rPr>
          <w:rFonts w:eastAsia="Times New Roman" w:cs="Times New Roman"/>
          <w:szCs w:val="24"/>
        </w:rPr>
        <w:t xml:space="preserve">Excavation, re-excavation of </w:t>
      </w:r>
      <w:r w:rsidR="00864C92">
        <w:rPr>
          <w:rFonts w:eastAsia="Times New Roman" w:cs="Times New Roman"/>
          <w:szCs w:val="24"/>
        </w:rPr>
        <w:t>public</w:t>
      </w:r>
      <w:r w:rsidR="00B57B81" w:rsidRPr="00AB56E1">
        <w:rPr>
          <w:rFonts w:eastAsia="Times New Roman" w:cs="Times New Roman"/>
          <w:szCs w:val="24"/>
        </w:rPr>
        <w:t xml:space="preserve"> </w:t>
      </w:r>
      <w:r w:rsidR="00F82BA1">
        <w:rPr>
          <w:rFonts w:eastAsia="Times New Roman" w:cs="Times New Roman"/>
          <w:szCs w:val="24"/>
        </w:rPr>
        <w:t>canals</w:t>
      </w:r>
      <w:r w:rsidRPr="00AB56E1">
        <w:rPr>
          <w:rFonts w:eastAsia="Times New Roman" w:cs="Times New Roman"/>
          <w:szCs w:val="24"/>
        </w:rPr>
        <w:t>, pond and water bodies to increase water retention volume and restore connectivity with other water bodies/ rivers</w:t>
      </w:r>
    </w:p>
    <w:p w:rsidR="00C23B34" w:rsidRPr="00AB56E1" w:rsidRDefault="00C23B34" w:rsidP="00A631E1">
      <w:pPr>
        <w:pStyle w:val="ListParagraph"/>
        <w:numPr>
          <w:ilvl w:val="0"/>
          <w:numId w:val="27"/>
        </w:numPr>
        <w:spacing w:line="276" w:lineRule="auto"/>
        <w:ind w:left="360"/>
        <w:jc w:val="both"/>
        <w:rPr>
          <w:rFonts w:eastAsia="Times New Roman" w:cs="Times New Roman"/>
          <w:b/>
          <w:szCs w:val="24"/>
        </w:rPr>
      </w:pPr>
      <w:r w:rsidRPr="00AB56E1">
        <w:rPr>
          <w:rFonts w:eastAsia="Times New Roman" w:cs="Times New Roman"/>
          <w:szCs w:val="24"/>
        </w:rPr>
        <w:t xml:space="preserve">Promotion of rain water harvesting at household and community level especially in the major urban cities to shift the dependency on the ground water. </w:t>
      </w:r>
      <w:r w:rsidR="00B57B81">
        <w:rPr>
          <w:rFonts w:eastAsia="Times New Roman" w:cs="Times New Roman"/>
          <w:szCs w:val="24"/>
        </w:rPr>
        <w:t>This would help ground water re-charging also.</w:t>
      </w:r>
    </w:p>
    <w:p w:rsidR="00C23B34" w:rsidRPr="00AB56E1" w:rsidRDefault="00C23B34" w:rsidP="00A631E1">
      <w:pPr>
        <w:pStyle w:val="ListParagraph"/>
        <w:numPr>
          <w:ilvl w:val="0"/>
          <w:numId w:val="27"/>
        </w:numPr>
        <w:spacing w:line="276" w:lineRule="auto"/>
        <w:ind w:left="360"/>
        <w:jc w:val="both"/>
        <w:rPr>
          <w:rFonts w:eastAsia="Times New Roman" w:cs="Times New Roman"/>
          <w:b/>
          <w:szCs w:val="24"/>
        </w:rPr>
      </w:pPr>
      <w:r w:rsidRPr="00AB56E1">
        <w:rPr>
          <w:rFonts w:eastAsia="Times New Roman" w:cs="Times New Roman"/>
          <w:szCs w:val="24"/>
        </w:rPr>
        <w:t>Excavation, regeneration and protection of rain-fed ponds and dried up canals</w:t>
      </w:r>
    </w:p>
    <w:p w:rsidR="00C23B34" w:rsidRPr="00AB56E1" w:rsidRDefault="00C23B34" w:rsidP="00C23B34">
      <w:pPr>
        <w:pStyle w:val="ListParagraph"/>
        <w:spacing w:line="276" w:lineRule="auto"/>
        <w:jc w:val="both"/>
        <w:rPr>
          <w:rFonts w:eastAsia="Times New Roman" w:cs="Times New Roman"/>
          <w:b/>
          <w:sz w:val="4"/>
          <w:szCs w:val="24"/>
        </w:rPr>
      </w:pP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 xml:space="preserve">Development of GIS and web based real-time demand monitoring and water supply system for better understanding of water demand and supply situation and automation of water supply and management system. Major cities like Dhaka, Chittagong, Khulna, Rajshahi, Sylhet are needed to be under taken real time demand monitoring first and other cities should follow on priority basis. </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A shift is required from groundwater to surface water in major urban conglomerations where groundwater abstraction exceeds sustainable recharge. In this regard further understanding is to be gained on hydrogeology to better assess sustainable safe yields;</w:t>
      </w:r>
    </w:p>
    <w:p w:rsidR="00C23B34" w:rsidRPr="0081574F"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lastRenderedPageBreak/>
        <w:t>A shift is expected to be required from shallow (arsenic) aquifers, to deep (arsenic ‘free’) aquifers. In this regard suitable allocation between sectors is of paramount importance. Moreover, better understanding is to be developed on (potential) migration of arsenic from shallow to deep aquifer.</w:t>
      </w:r>
    </w:p>
    <w:p w:rsidR="005E64B5" w:rsidRDefault="005E64B5" w:rsidP="00C23B34">
      <w:pPr>
        <w:spacing w:line="276" w:lineRule="auto"/>
        <w:jc w:val="both"/>
        <w:rPr>
          <w:rFonts w:cs="Times New Roman"/>
          <w:b/>
          <w:i/>
          <w:szCs w:val="24"/>
        </w:rPr>
      </w:pPr>
    </w:p>
    <w:p w:rsidR="00C23B34" w:rsidRPr="00AB56E1" w:rsidRDefault="00C23B34" w:rsidP="00C23B34">
      <w:pPr>
        <w:spacing w:line="276" w:lineRule="auto"/>
        <w:jc w:val="both"/>
        <w:rPr>
          <w:rFonts w:cs="Times New Roman"/>
          <w:i/>
          <w:szCs w:val="24"/>
        </w:rPr>
      </w:pPr>
      <w:r w:rsidRPr="00AB56E1">
        <w:rPr>
          <w:rFonts w:cs="Times New Roman"/>
          <w:b/>
          <w:i/>
          <w:szCs w:val="24"/>
        </w:rPr>
        <w:t>Strategy: Freshwater Supply to enhance the Industrial Growth</w:t>
      </w:r>
    </w:p>
    <w:p w:rsidR="00C23B34" w:rsidRPr="00AB56E1" w:rsidRDefault="00C23B34" w:rsidP="00C23B34">
      <w:pPr>
        <w:spacing w:line="276" w:lineRule="auto"/>
        <w:jc w:val="both"/>
        <w:rPr>
          <w:rFonts w:cs="Times New Roman"/>
          <w:szCs w:val="24"/>
        </w:rPr>
      </w:pPr>
      <w:r w:rsidRPr="00AB56E1">
        <w:rPr>
          <w:rFonts w:cs="Times New Roman"/>
          <w:szCs w:val="24"/>
        </w:rPr>
        <w:t>The importance of water resources for the Industrial sector which has been growing rapidly and contributing to the country’s GDP is an important issue. Though, water demand is still low compared to the Agriculture sector, industrial use is expected to grow by 440% by 2050 and water quality and reliability of supplies are important water resource issues for the Industry sector. Water resources are particularly important for the textile and leather industries, both in terms of consumptive needs and in view of the pollution pressures caused. The textile sector accounts for more than 85% of all export earnings, more than 10% of GDP and provides direct employment to more than four million workers. Moreover, water requirement for other types of industries including power generation etc. should also be ensured</w:t>
      </w:r>
      <w:r w:rsidR="00B57B81">
        <w:rPr>
          <w:rFonts w:cs="Times New Roman"/>
          <w:szCs w:val="24"/>
        </w:rPr>
        <w:t xml:space="preserve"> and growing demands be projected</w:t>
      </w:r>
      <w:r w:rsidRPr="00AB56E1">
        <w:rPr>
          <w:rFonts w:cs="Times New Roman"/>
          <w:szCs w:val="24"/>
        </w:rPr>
        <w:t>.</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Structural Intervention</w:t>
      </w:r>
    </w:p>
    <w:p w:rsidR="00C23B34" w:rsidRPr="00AB56E1" w:rsidRDefault="00C23B34" w:rsidP="00A631E1">
      <w:pPr>
        <w:pStyle w:val="ListParagraph"/>
        <w:numPr>
          <w:ilvl w:val="0"/>
          <w:numId w:val="27"/>
        </w:numPr>
        <w:spacing w:line="276" w:lineRule="auto"/>
        <w:ind w:left="360"/>
        <w:jc w:val="both"/>
        <w:rPr>
          <w:rFonts w:cs="Times New Roman"/>
          <w:b/>
          <w:szCs w:val="24"/>
        </w:rPr>
      </w:pPr>
      <w:r w:rsidRPr="00AB56E1">
        <w:rPr>
          <w:rFonts w:eastAsia="Times New Roman" w:cs="Times New Roman"/>
          <w:szCs w:val="24"/>
        </w:rPr>
        <w:t>Installation of plants for recycling industrial wastewater in the industrial belt for re-use in the industrial purposes</w:t>
      </w:r>
      <w:r w:rsidR="00946FA2">
        <w:rPr>
          <w:rFonts w:eastAsia="Times New Roman" w:cs="Times New Roman"/>
          <w:szCs w:val="24"/>
        </w:rPr>
        <w:t xml:space="preserve"> must be made mandatory</w:t>
      </w:r>
      <w:r w:rsidRPr="00AB56E1">
        <w:rPr>
          <w:rFonts w:eastAsia="Times New Roman" w:cs="Times New Roman"/>
          <w:szCs w:val="24"/>
        </w:rPr>
        <w:t>.</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Non-structural Intervention</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Placement of the Industrial zones considering the water availability and easy transportation of the goods.</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Common measures</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Structural Intervention</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Harnessing water from the major rivers and development of distribution systems consisting of both open and closed systems using regulator, control and measurement structures. For example: diverting the Brahmaputra river water to the NW and NC region beyond 2030 as a long tern measure.</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River management, including smart dredging, and spatial planning / enforcement of the development of riverbanks and water bodies. Reference is made to the Urban Hot Spot Strategy</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 xml:space="preserve">Institutional </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lastRenderedPageBreak/>
        <w:t>Fixing and/or updating pricing principles on water abstraction, to ensure suitable incentives on water savings practice where required, and to accommodate for capital and O&amp;M expenditure relative to water resources development.</w:t>
      </w:r>
    </w:p>
    <w:p w:rsidR="00C23B34" w:rsidRPr="0081574F"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 xml:space="preserve">Formulation and enforcement of policy for sustainable withdrawals of ground water and ground water  recharge-especially in major cities, Barind region, Rajshahi, Kurigram, Lalmonirhat, Nilphamari, Jaipurhat, Naogaon, Bogra and other areas which are susceptible to ground water depletion. </w:t>
      </w:r>
    </w:p>
    <w:p w:rsidR="00C23B34"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Designation of vulnerable zones with protection regimes in terms of land and water use, abstractions, discharges-emissions, occupation and access.</w:t>
      </w:r>
    </w:p>
    <w:p w:rsidR="00C23B34" w:rsidRPr="00AB56E1" w:rsidRDefault="00C23B34" w:rsidP="00C23B34">
      <w:pPr>
        <w:pStyle w:val="ListParagraph"/>
        <w:spacing w:line="276" w:lineRule="auto"/>
        <w:ind w:left="360"/>
        <w:jc w:val="both"/>
        <w:rPr>
          <w:rFonts w:eastAsia="Times New Roman" w:cs="Times New Roman"/>
          <w:szCs w:val="24"/>
        </w:rPr>
      </w:pPr>
    </w:p>
    <w:p w:rsidR="00000000" w:rsidRDefault="00C23B34" w:rsidP="003D5A31">
      <w:pPr>
        <w:pStyle w:val="BodyText"/>
        <w:numPr>
          <w:ilvl w:val="2"/>
          <w:numId w:val="146"/>
        </w:numPr>
        <w:spacing w:after="240" w:line="276" w:lineRule="auto"/>
        <w:jc w:val="both"/>
        <w:rPr>
          <w:rFonts w:cs="Times New Roman"/>
          <w:b/>
          <w:szCs w:val="24"/>
        </w:rPr>
      </w:pPr>
      <w:r w:rsidRPr="00AB56E1">
        <w:rPr>
          <w:rFonts w:cs="Times New Roman"/>
          <w:b/>
          <w:szCs w:val="24"/>
        </w:rPr>
        <w:t>Maintenance and Improvement of Water Quality</w:t>
      </w:r>
    </w:p>
    <w:p w:rsidR="00C23B34" w:rsidRPr="00B57B81" w:rsidRDefault="00C23B34" w:rsidP="00C23B34">
      <w:pPr>
        <w:spacing w:after="160" w:line="276" w:lineRule="auto"/>
        <w:jc w:val="both"/>
        <w:rPr>
          <w:u w:val="single"/>
        </w:rPr>
      </w:pPr>
      <w:r w:rsidRPr="00AB56E1">
        <w:rPr>
          <w:rFonts w:cs="Times New Roman"/>
          <w:i/>
          <w:szCs w:val="24"/>
        </w:rPr>
        <w:t>Water quality</w:t>
      </w:r>
      <w:r w:rsidRPr="00AB56E1">
        <w:rPr>
          <w:rFonts w:cs="Times New Roman"/>
          <w:szCs w:val="24"/>
        </w:rPr>
        <w:t xml:space="preserve"> is a growing concern for the country, with many Rivers and the wetlands at serious environmental risk due to pollution, encroachment, and disconnection between wetlands and the river system. Pollution of surface water is caused by three major sources of contamination: industry, agriculture and domestic/municipal. Most of the industries are located on the banks of the rivers. Key polluting industries include textiles, tanneries, pulp and paper mills, distilleries, fertilizer and chemical industries. Hazardous chemicals of both organic and inorganic compositions are discharged into the water bodies from all of these industries, often without adequate treatment. </w:t>
      </w:r>
      <w:r w:rsidR="00F64A6A" w:rsidRPr="00F64A6A">
        <w:rPr>
          <w:rFonts w:cs="Times New Roman"/>
          <w:szCs w:val="24"/>
          <w:u w:val="single"/>
        </w:rPr>
        <w:t xml:space="preserve">The highest number of industries in the country is located in and around big cities such as Dhaka, Chittagong and Khulna. Some 65% of all chemicals, plastics and petroleum industries, totaling about 7000 industries, are concentrated in and around the Dhaka, Narayanganj and Gazipur districts (Minnatullah, 2010, Environmental Consultant, World Bank, Bangladesh). </w:t>
      </w:r>
    </w:p>
    <w:p w:rsidR="00C23B34" w:rsidRPr="00B57B81" w:rsidRDefault="00C23B34" w:rsidP="00C23B34">
      <w:pPr>
        <w:spacing w:line="276" w:lineRule="auto"/>
        <w:jc w:val="both"/>
        <w:rPr>
          <w:rFonts w:cs="Times New Roman"/>
          <w:szCs w:val="24"/>
          <w:u w:val="single"/>
        </w:rPr>
      </w:pPr>
      <w:r w:rsidRPr="00AB56E1">
        <w:rPr>
          <w:rFonts w:cs="Times New Roman"/>
          <w:szCs w:val="24"/>
        </w:rPr>
        <w:t xml:space="preserve">Domestic contamination in rural areas, amongst others with faecal coliforms is a serious form of contamination, due to the untreated disposal of human waste into ponds, beels and rivers. Coastal salinity and localized high dissolved iron in the alluvial aquifer and arsenic in groundwater are another issues related to water quality. </w:t>
      </w:r>
      <w:r w:rsidR="00F64A6A" w:rsidRPr="00F64A6A">
        <w:rPr>
          <w:rFonts w:cs="Times New Roman"/>
          <w:szCs w:val="24"/>
          <w:u w:val="single"/>
        </w:rPr>
        <w:t>Some 46 to 57 million people have been exposed to drinking water containing arsenic that exceeded World Health Organization  arsenic standard of 10 µg/L.</w:t>
      </w:r>
    </w:p>
    <w:p w:rsidR="00C23B34" w:rsidRPr="00AB56E1" w:rsidRDefault="00C23B34" w:rsidP="00C23B34">
      <w:pPr>
        <w:spacing w:line="276" w:lineRule="auto"/>
        <w:jc w:val="both"/>
        <w:rPr>
          <w:rFonts w:cs="Times New Roman"/>
          <w:szCs w:val="24"/>
        </w:rPr>
      </w:pPr>
      <w:r w:rsidRPr="00AB56E1">
        <w:rPr>
          <w:rFonts w:cs="Times New Roman"/>
          <w:szCs w:val="24"/>
        </w:rPr>
        <w:t>There are at least three types of direct negative impacts of water pollution: i) increasing health problems of the rural and urban population</w:t>
      </w:r>
      <w:r w:rsidRPr="00AB56E1">
        <w:rPr>
          <w:rFonts w:cs="Times New Roman"/>
          <w:szCs w:val="24"/>
          <w:vertAlign w:val="superscript"/>
        </w:rPr>
        <w:footnoteReference w:id="21"/>
      </w:r>
      <w:r w:rsidRPr="00AB56E1">
        <w:rPr>
          <w:rFonts w:cs="Times New Roman"/>
          <w:szCs w:val="24"/>
        </w:rPr>
        <w:t>, also leading to increased deaths</w:t>
      </w:r>
      <w:r w:rsidRPr="00AB56E1">
        <w:rPr>
          <w:rFonts w:cs="Times New Roman"/>
          <w:szCs w:val="24"/>
          <w:vertAlign w:val="superscript"/>
        </w:rPr>
        <w:footnoteReference w:id="22"/>
      </w:r>
      <w:r w:rsidRPr="00AB56E1">
        <w:rPr>
          <w:rFonts w:cs="Times New Roman"/>
          <w:szCs w:val="24"/>
        </w:rPr>
        <w:t xml:space="preserve">; ii) loss of agricultural and industrial productivity; and iii) environmental degradation, leading to a series of </w:t>
      </w:r>
      <w:r w:rsidRPr="00AB56E1">
        <w:rPr>
          <w:rFonts w:cs="Times New Roman"/>
          <w:szCs w:val="24"/>
        </w:rPr>
        <w:lastRenderedPageBreak/>
        <w:t>further impacts</w:t>
      </w:r>
      <w:r w:rsidRPr="00AB56E1">
        <w:rPr>
          <w:rFonts w:cs="Times New Roman"/>
          <w:szCs w:val="24"/>
          <w:vertAlign w:val="superscript"/>
        </w:rPr>
        <w:footnoteReference w:id="23"/>
      </w:r>
      <w:r w:rsidRPr="00AB56E1">
        <w:rPr>
          <w:rFonts w:cs="Times New Roman"/>
          <w:szCs w:val="24"/>
        </w:rPr>
        <w:t>. All of these lead to an increasing economic cost, both as a result of productivity loss and as a result of the need for – more expensive - alternatives to the environmental services offered by the water system. Estimated annual costs amount to some USD 400 million linked to poor surface water quality, including lost agricultural and fisheries production (17%), costs to industry (22%), lost amenity (21%), and health costs (40%).</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Improvement of the water quality as per local and international standard by reducing the pollution of water from point and non-point sources of pollution</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 xml:space="preserve">In order to improve the water quality of the surface water, especially of the river system as well as of the ground water; water pollution from point and non-point sources of pollution should be prevented. This strategy would be applicable for all the hydrological regions in all three time frames </w:t>
      </w:r>
      <w:r w:rsidRPr="00AB56E1">
        <w:rPr>
          <w:rFonts w:cstheme="minorHAnsi"/>
        </w:rPr>
        <w:t>(pre-monsoon, monsoon and post-monsoon)</w:t>
      </w:r>
      <w:r w:rsidRPr="00AB56E1">
        <w:rPr>
          <w:rFonts w:cs="Times New Roman"/>
          <w:szCs w:val="24"/>
        </w:rPr>
        <w:t xml:space="preserve"> in both business as usual and extreme situation. However, implementation of the strategic measures given below may depend on the extent of the problem and requirement.</w:t>
      </w:r>
    </w:p>
    <w:p w:rsidR="00C23B34" w:rsidRPr="00AB56E1" w:rsidRDefault="00C23B34" w:rsidP="00C23B34">
      <w:pPr>
        <w:spacing w:line="276" w:lineRule="auto"/>
        <w:jc w:val="both"/>
        <w:rPr>
          <w:rFonts w:cs="Times New Roman"/>
          <w:b/>
          <w:szCs w:val="24"/>
        </w:rPr>
      </w:pPr>
      <w:r w:rsidRPr="00AB56E1">
        <w:rPr>
          <w:rFonts w:cs="Times New Roman"/>
          <w:b/>
          <w:szCs w:val="24"/>
          <w:lang w:bidi="bn-BD"/>
        </w:rPr>
        <w:t>Structural Intervention</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 xml:space="preserve">Establishment of collective and large scale industrial waste water treatment plant in industrial and/or economic zone of major cities like Dhaka, Rajshahi, Rangpur, Mymensingh, Sylhet, Khulna, Barisal, Comilla and Chittagong etc. </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Installation of integral sewerage system (including treatment plants) that is separated from the rain water collection system in major cities like Rangpur, Rajshahi, Mymensingh, Sylhet, Dhaka, Khulna, Barisal, Comilla, Chittagong etc.</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 xml:space="preserve">Installation of latrines combined with faecal sludge collection and faecal treatment facility including septic tanks and other on-site sanitation in rural and semi-urban areas </w:t>
      </w:r>
    </w:p>
    <w:p w:rsidR="00C23B34" w:rsidRPr="00B57B81" w:rsidRDefault="00F64A6A" w:rsidP="00A631E1">
      <w:pPr>
        <w:pStyle w:val="ListParagraph"/>
        <w:numPr>
          <w:ilvl w:val="0"/>
          <w:numId w:val="27"/>
        </w:numPr>
        <w:spacing w:line="276" w:lineRule="auto"/>
        <w:ind w:left="360"/>
        <w:jc w:val="both"/>
        <w:rPr>
          <w:rFonts w:eastAsia="Times New Roman" w:cs="Times New Roman"/>
          <w:szCs w:val="24"/>
          <w:u w:val="single"/>
        </w:rPr>
      </w:pPr>
      <w:r w:rsidRPr="00F64A6A">
        <w:rPr>
          <w:rFonts w:eastAsia="Times New Roman" w:cs="Times New Roman"/>
          <w:szCs w:val="24"/>
          <w:u w:val="single"/>
        </w:rPr>
        <w:t>Development of facilities for treating medical, especially hazardous medical waste, and prevention from dumping untreated medical waste into the surface water or ground to avoid surface and groundwater pollution should be made mandatory.</w:t>
      </w:r>
    </w:p>
    <w:p w:rsidR="00C23B34" w:rsidRPr="00AB56E1" w:rsidRDefault="00C23B34" w:rsidP="00A631E1">
      <w:pPr>
        <w:pStyle w:val="ListParagraph"/>
        <w:numPr>
          <w:ilvl w:val="0"/>
          <w:numId w:val="27"/>
        </w:numPr>
        <w:spacing w:after="0" w:line="276" w:lineRule="auto"/>
        <w:ind w:left="360"/>
        <w:jc w:val="both"/>
        <w:rPr>
          <w:rFonts w:eastAsia="Times New Roman" w:cs="Times New Roman"/>
          <w:szCs w:val="24"/>
        </w:rPr>
      </w:pPr>
      <w:r w:rsidRPr="00AB56E1">
        <w:rPr>
          <w:rFonts w:eastAsia="Times New Roman" w:cs="Times New Roman"/>
          <w:szCs w:val="24"/>
        </w:rPr>
        <w:t>Surface water treatment plant, deep tube-well in arsenic contaminated areas and piped drinking water from upstream areas in medium and high saline areas of coastal region.</w:t>
      </w:r>
    </w:p>
    <w:p w:rsidR="00C23B34" w:rsidRPr="00AB56E1" w:rsidRDefault="00C23B34" w:rsidP="00C23B34">
      <w:pPr>
        <w:spacing w:line="276" w:lineRule="auto"/>
        <w:jc w:val="both"/>
        <w:rPr>
          <w:rFonts w:cs="Times New Roman"/>
          <w:b/>
          <w:sz w:val="4"/>
          <w:szCs w:val="24"/>
          <w:lang w:bidi="bn-BD"/>
        </w:rPr>
      </w:pPr>
    </w:p>
    <w:p w:rsidR="00C23B34" w:rsidRPr="00AB56E1" w:rsidRDefault="00C23B34" w:rsidP="00C23B34">
      <w:pPr>
        <w:spacing w:line="276" w:lineRule="auto"/>
        <w:jc w:val="both"/>
        <w:rPr>
          <w:rFonts w:cs="Times New Roman"/>
          <w:b/>
          <w:szCs w:val="24"/>
        </w:rPr>
      </w:pPr>
      <w:r w:rsidRPr="00AB56E1">
        <w:rPr>
          <w:rFonts w:cs="Times New Roman"/>
          <w:b/>
          <w:szCs w:val="24"/>
          <w:lang w:bidi="bn-BD"/>
        </w:rPr>
        <w:t>Non-Structural Intervention</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Improvement of the water quality of the waterbodies, especially of the lakes in the major cities by suitable methods (e.g. biological, bio-chemical, chemical treatment etc.)</w:t>
      </w:r>
    </w:p>
    <w:p w:rsidR="00C23B34" w:rsidRPr="00B57B81" w:rsidRDefault="00F64A6A" w:rsidP="00A631E1">
      <w:pPr>
        <w:pStyle w:val="ListParagraph"/>
        <w:numPr>
          <w:ilvl w:val="0"/>
          <w:numId w:val="27"/>
        </w:numPr>
        <w:spacing w:line="276" w:lineRule="auto"/>
        <w:ind w:left="360"/>
        <w:jc w:val="both"/>
        <w:rPr>
          <w:rFonts w:eastAsia="Times New Roman" w:cs="Times New Roman"/>
          <w:szCs w:val="24"/>
          <w:u w:val="single"/>
        </w:rPr>
      </w:pPr>
      <w:r w:rsidRPr="00F64A6A">
        <w:rPr>
          <w:rFonts w:eastAsia="Times New Roman" w:cs="Times New Roman"/>
          <w:szCs w:val="24"/>
          <w:u w:val="single"/>
        </w:rPr>
        <w:lastRenderedPageBreak/>
        <w:t>Efficient solid waste collection system to prevent pollution of surface and ground water from dumping of solid waste. Promotion of supply ponds with halophytes that can support grey or rain water treatment.</w:t>
      </w:r>
    </w:p>
    <w:p w:rsidR="00C23B34" w:rsidRPr="00AB56E1" w:rsidRDefault="00C23B34" w:rsidP="00C23B34">
      <w:pPr>
        <w:spacing w:line="276" w:lineRule="auto"/>
        <w:jc w:val="both"/>
        <w:rPr>
          <w:rFonts w:eastAsia="Times New Roman" w:cs="Times New Roman"/>
          <w:b/>
          <w:szCs w:val="24"/>
        </w:rPr>
      </w:pPr>
      <w:r w:rsidRPr="00AB56E1">
        <w:rPr>
          <w:rFonts w:eastAsia="Times New Roman" w:cs="Times New Roman"/>
          <w:b/>
          <w:szCs w:val="24"/>
          <w:lang w:bidi="bn-BD"/>
        </w:rPr>
        <w:t xml:space="preserve">Institutional </w:t>
      </w:r>
    </w:p>
    <w:p w:rsidR="00C23B34" w:rsidRPr="00AB56E1" w:rsidRDefault="00C23B34" w:rsidP="00A631E1">
      <w:pPr>
        <w:pStyle w:val="ListParagraph"/>
        <w:numPr>
          <w:ilvl w:val="0"/>
          <w:numId w:val="27"/>
        </w:numPr>
        <w:spacing w:line="276" w:lineRule="auto"/>
        <w:ind w:left="360"/>
        <w:jc w:val="both"/>
        <w:rPr>
          <w:rFonts w:eastAsia="Times New Roman" w:cs="Times New Roman"/>
          <w:b/>
          <w:szCs w:val="24"/>
        </w:rPr>
      </w:pPr>
      <w:r w:rsidRPr="00AB56E1">
        <w:rPr>
          <w:rFonts w:eastAsia="Times New Roman" w:cs="Times New Roman"/>
          <w:szCs w:val="24"/>
        </w:rPr>
        <w:t>Capacity building of the agencies that are directly and indirectly involved in monitoring water quality controlling the water pollution. The capacity of Agencies should be increased in terms of manpower, knowledge, budget for performing their mandated task.</w:t>
      </w: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Enforcement of pollution control and acts by the agencies that are directly and indirectly involved in monitoring water quality controlling the water pollution through strict monitoring</w:t>
      </w:r>
    </w:p>
    <w:p w:rsidR="00C23B34" w:rsidRPr="00B57B81" w:rsidRDefault="00F64A6A" w:rsidP="00A631E1">
      <w:pPr>
        <w:pStyle w:val="ListParagraph"/>
        <w:numPr>
          <w:ilvl w:val="0"/>
          <w:numId w:val="27"/>
        </w:numPr>
        <w:spacing w:line="276" w:lineRule="auto"/>
        <w:ind w:left="360"/>
        <w:jc w:val="both"/>
        <w:rPr>
          <w:rFonts w:eastAsia="Times New Roman" w:cs="Times New Roman"/>
          <w:szCs w:val="24"/>
          <w:u w:val="single"/>
        </w:rPr>
      </w:pPr>
      <w:r w:rsidRPr="00F64A6A">
        <w:rPr>
          <w:rFonts w:eastAsia="Times New Roman" w:cs="Times New Roman"/>
          <w:szCs w:val="24"/>
          <w:u w:val="single"/>
        </w:rPr>
        <w:t>Advanced research on eco-friendly technique of improving/maintaining water quality (e.g. fish culture, plantation, biological treatment etc. that help reducing water pollution).</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Promotion of awareness raising programs against dumping of waste into the rivers, other flowing and standing waterbodies, drainage canals etc. to prevent water pollution</w:t>
      </w:r>
    </w:p>
    <w:p w:rsidR="00A16ABB" w:rsidRPr="00B57B81" w:rsidRDefault="00F64A6A" w:rsidP="00D10C92">
      <w:pPr>
        <w:pStyle w:val="ListParagraph"/>
        <w:numPr>
          <w:ilvl w:val="0"/>
          <w:numId w:val="27"/>
        </w:numPr>
        <w:spacing w:line="276" w:lineRule="auto"/>
        <w:ind w:left="360"/>
        <w:jc w:val="both"/>
        <w:rPr>
          <w:rFonts w:eastAsia="Times New Roman" w:cs="Times New Roman"/>
          <w:szCs w:val="24"/>
          <w:u w:val="single"/>
        </w:rPr>
      </w:pPr>
      <w:r w:rsidRPr="00F64A6A">
        <w:rPr>
          <w:rFonts w:eastAsia="Times New Roman" w:cs="Times New Roman"/>
          <w:szCs w:val="24"/>
          <w:u w:val="single"/>
        </w:rPr>
        <w:t>Campaigns will be supported to reduce and mitigate agri-aquaculture based contamination (nutrients, pesticides, hormones) without losing the economic interest that is vested in agriculture.</w:t>
      </w:r>
    </w:p>
    <w:p w:rsidR="00000000" w:rsidRDefault="00C23B34" w:rsidP="003D5A31">
      <w:pPr>
        <w:pStyle w:val="BodyText"/>
        <w:numPr>
          <w:ilvl w:val="2"/>
          <w:numId w:val="146"/>
        </w:numPr>
        <w:spacing w:after="240" w:line="276" w:lineRule="auto"/>
        <w:jc w:val="both"/>
        <w:rPr>
          <w:rFonts w:cs="Times New Roman"/>
          <w:b/>
          <w:szCs w:val="24"/>
        </w:rPr>
      </w:pPr>
      <w:r w:rsidRPr="00AB56E1">
        <w:rPr>
          <w:rFonts w:cs="Times New Roman"/>
          <w:b/>
          <w:szCs w:val="24"/>
        </w:rPr>
        <w:t>Wetland Protection</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Conservation and preservation of Wetlands and ecosystem through</w:t>
      </w:r>
      <w:r w:rsidRPr="00AB56E1">
        <w:rPr>
          <w:rFonts w:cstheme="minorHAnsi"/>
          <w:b/>
        </w:rPr>
        <w:t xml:space="preserve"> structural measures and</w:t>
      </w:r>
      <w:r w:rsidRPr="00AB56E1">
        <w:rPr>
          <w:rFonts w:cs="Times New Roman"/>
          <w:b/>
          <w:i/>
          <w:szCs w:val="24"/>
        </w:rPr>
        <w:t xml:space="preserve"> institutional capacity building, research and awareness raising programs</w:t>
      </w:r>
    </w:p>
    <w:p w:rsidR="00C23B34" w:rsidRPr="00AB56E1" w:rsidRDefault="00C23B34" w:rsidP="00C23B34">
      <w:pPr>
        <w:spacing w:line="276" w:lineRule="auto"/>
        <w:jc w:val="both"/>
        <w:rPr>
          <w:rFonts w:eastAsiaTheme="majorEastAsia" w:cs="Times New Roman"/>
          <w:szCs w:val="24"/>
        </w:rPr>
      </w:pPr>
      <w:r w:rsidRPr="00AB56E1">
        <w:rPr>
          <w:rFonts w:eastAsiaTheme="majorEastAsia" w:cs="Times New Roman"/>
          <w:szCs w:val="24"/>
        </w:rPr>
        <w:t xml:space="preserve">Wetlands are precious for the environment, ecology, and biodiversity. They are an integral part of the local ecosystem and closely related with local cultures, and also support the livelihoods of millions of people based on diverse activities such as fishing and agriculture. There is an urgent need to take action against wetlands degradation and maintain them through proper management.  In this respect, responsible stakeholders need to participate in a cooperative manner to save the wetlands from destroying in near future. </w:t>
      </w:r>
    </w:p>
    <w:p w:rsidR="00C23B34" w:rsidRDefault="00C23B34" w:rsidP="00C23B34">
      <w:pPr>
        <w:spacing w:after="0"/>
        <w:rPr>
          <w:rFonts w:cs="Arial"/>
          <w:b/>
          <w:sz w:val="22"/>
        </w:rPr>
      </w:pPr>
      <w:r w:rsidRPr="00AB56E1">
        <w:rPr>
          <w:rFonts w:cs="Arial"/>
          <w:b/>
          <w:sz w:val="22"/>
        </w:rPr>
        <w:t>Structural</w:t>
      </w:r>
    </w:p>
    <w:p w:rsidR="00C23B34" w:rsidRPr="00AB56E1" w:rsidRDefault="00C23B34" w:rsidP="00C23B34">
      <w:pPr>
        <w:spacing w:after="0"/>
        <w:rPr>
          <w:rFonts w:cs="Arial"/>
          <w:b/>
          <w:sz w:val="22"/>
        </w:rPr>
      </w:pPr>
    </w:p>
    <w:p w:rsidR="00000000" w:rsidRDefault="00C23B34" w:rsidP="003D5A31">
      <w:pPr>
        <w:pStyle w:val="ListParagraph"/>
        <w:numPr>
          <w:ilvl w:val="0"/>
          <w:numId w:val="171"/>
        </w:numPr>
        <w:spacing w:after="0" w:line="276" w:lineRule="auto"/>
        <w:rPr>
          <w:rFonts w:eastAsia="Times New Roman" w:cstheme="minorHAnsi"/>
          <w:bCs/>
        </w:rPr>
      </w:pPr>
      <w:r w:rsidRPr="00AB56E1">
        <w:rPr>
          <w:rFonts w:eastAsia="Times New Roman" w:cstheme="minorHAnsi"/>
          <w:bCs/>
          <w:sz w:val="22"/>
        </w:rPr>
        <w:t>Carrying out dredging as and when required to keep them fully functional</w:t>
      </w:r>
      <w:r w:rsidR="00675546">
        <w:rPr>
          <w:rFonts w:eastAsia="Times New Roman" w:cstheme="minorHAnsi"/>
          <w:bCs/>
          <w:sz w:val="22"/>
        </w:rPr>
        <w:t>.</w:t>
      </w:r>
    </w:p>
    <w:p w:rsidR="00C23B34" w:rsidRPr="00AB56E1" w:rsidRDefault="00C23B34" w:rsidP="00C23B34">
      <w:pPr>
        <w:pStyle w:val="ListParagraph"/>
        <w:spacing w:after="0" w:line="276" w:lineRule="auto"/>
        <w:rPr>
          <w:rFonts w:eastAsia="Times New Roman" w:cstheme="minorHAnsi"/>
          <w:bCs/>
        </w:rPr>
      </w:pPr>
    </w:p>
    <w:p w:rsidR="00C23B34" w:rsidRPr="00AB56E1" w:rsidRDefault="00C23B34" w:rsidP="00C23B34">
      <w:pPr>
        <w:spacing w:line="276" w:lineRule="auto"/>
        <w:jc w:val="both"/>
        <w:rPr>
          <w:rFonts w:cs="Times New Roman"/>
          <w:b/>
          <w:szCs w:val="24"/>
        </w:rPr>
      </w:pPr>
      <w:r w:rsidRPr="00AB56E1">
        <w:rPr>
          <w:rFonts w:cs="Times New Roman"/>
          <w:b/>
          <w:szCs w:val="24"/>
        </w:rPr>
        <w:t xml:space="preserve">Institutional </w:t>
      </w:r>
    </w:p>
    <w:p w:rsidR="00C23B34" w:rsidRPr="00AB56E1" w:rsidRDefault="00C23B34" w:rsidP="00A631E1">
      <w:pPr>
        <w:pStyle w:val="ListParagraph"/>
        <w:numPr>
          <w:ilvl w:val="0"/>
          <w:numId w:val="31"/>
        </w:numPr>
        <w:autoSpaceDE w:val="0"/>
        <w:autoSpaceDN w:val="0"/>
        <w:adjustRightInd w:val="0"/>
        <w:spacing w:line="276" w:lineRule="auto"/>
        <w:ind w:left="360"/>
        <w:jc w:val="both"/>
        <w:rPr>
          <w:rFonts w:eastAsia="Times New Roman" w:cs="Times New Roman"/>
          <w:bCs/>
          <w:szCs w:val="24"/>
        </w:rPr>
      </w:pPr>
      <w:r w:rsidRPr="00AB56E1">
        <w:rPr>
          <w:rFonts w:eastAsia="Times New Roman" w:cs="Times New Roman"/>
          <w:bCs/>
          <w:szCs w:val="24"/>
        </w:rPr>
        <w:t>Formulation and enforcement of Policy by the relevant agencies limiting the use of natural water bodies in order to ensure the conservation and wise use of these waterbodies</w:t>
      </w:r>
      <w:r w:rsidR="00675546">
        <w:rPr>
          <w:rFonts w:eastAsia="Times New Roman" w:cs="Times New Roman"/>
          <w:bCs/>
          <w:szCs w:val="24"/>
        </w:rPr>
        <w:t>.</w:t>
      </w:r>
    </w:p>
    <w:p w:rsidR="00C23B34" w:rsidRPr="00AB56E1" w:rsidRDefault="00C23B34" w:rsidP="00A631E1">
      <w:pPr>
        <w:pStyle w:val="ListParagraph"/>
        <w:numPr>
          <w:ilvl w:val="0"/>
          <w:numId w:val="31"/>
        </w:numPr>
        <w:autoSpaceDE w:val="0"/>
        <w:autoSpaceDN w:val="0"/>
        <w:adjustRightInd w:val="0"/>
        <w:spacing w:line="276" w:lineRule="auto"/>
        <w:ind w:left="360"/>
        <w:jc w:val="both"/>
        <w:rPr>
          <w:rFonts w:eastAsia="Times New Roman" w:cs="Times New Roman"/>
          <w:bCs/>
          <w:szCs w:val="24"/>
        </w:rPr>
      </w:pPr>
      <w:r w:rsidRPr="00AB56E1">
        <w:rPr>
          <w:rFonts w:eastAsia="Times New Roman" w:cs="Times New Roman"/>
          <w:bCs/>
          <w:szCs w:val="24"/>
        </w:rPr>
        <w:lastRenderedPageBreak/>
        <w:t xml:space="preserve">Strengthening the capacity of the agencies in terms of manpower, knowledge and budget for </w:t>
      </w:r>
      <w:r w:rsidR="005E64B5" w:rsidRPr="00AB56E1">
        <w:rPr>
          <w:rFonts w:eastAsia="Times New Roman" w:cs="Times New Roman"/>
          <w:bCs/>
          <w:szCs w:val="24"/>
        </w:rPr>
        <w:t>protection and</w:t>
      </w:r>
      <w:r w:rsidRPr="00AB56E1">
        <w:rPr>
          <w:rFonts w:eastAsia="Times New Roman" w:cs="Times New Roman"/>
          <w:bCs/>
          <w:szCs w:val="24"/>
        </w:rPr>
        <w:t xml:space="preserve"> conservation of the water bodies</w:t>
      </w:r>
      <w:r w:rsidR="00675546">
        <w:rPr>
          <w:rFonts w:eastAsia="Times New Roman" w:cs="Times New Roman"/>
          <w:bCs/>
          <w:szCs w:val="24"/>
        </w:rPr>
        <w:t>.</w:t>
      </w:r>
    </w:p>
    <w:p w:rsidR="00C23B34" w:rsidRDefault="00C23B34" w:rsidP="00A631E1">
      <w:pPr>
        <w:pStyle w:val="ListParagraph"/>
        <w:numPr>
          <w:ilvl w:val="0"/>
          <w:numId w:val="31"/>
        </w:numPr>
        <w:autoSpaceDE w:val="0"/>
        <w:autoSpaceDN w:val="0"/>
        <w:adjustRightInd w:val="0"/>
        <w:spacing w:line="276" w:lineRule="auto"/>
        <w:ind w:left="360"/>
        <w:jc w:val="both"/>
        <w:rPr>
          <w:rFonts w:eastAsia="Times New Roman" w:cs="Times New Roman"/>
          <w:bCs/>
          <w:szCs w:val="24"/>
        </w:rPr>
      </w:pPr>
      <w:r w:rsidRPr="00AB56E1">
        <w:rPr>
          <w:rFonts w:eastAsia="Times New Roman" w:cs="Times New Roman"/>
          <w:bCs/>
          <w:szCs w:val="24"/>
        </w:rPr>
        <w:t>Identification of vulnerable waterbodies and planning and implementing necessary measures to preserve and restore them</w:t>
      </w:r>
      <w:r w:rsidR="00675546">
        <w:rPr>
          <w:rFonts w:eastAsia="Times New Roman" w:cs="Times New Roman"/>
          <w:bCs/>
          <w:szCs w:val="24"/>
        </w:rPr>
        <w:t>.</w:t>
      </w:r>
    </w:p>
    <w:p w:rsidR="00A16ABB" w:rsidRDefault="00A16ABB" w:rsidP="00A16ABB">
      <w:pPr>
        <w:autoSpaceDE w:val="0"/>
        <w:autoSpaceDN w:val="0"/>
        <w:adjustRightInd w:val="0"/>
        <w:spacing w:line="276" w:lineRule="auto"/>
        <w:jc w:val="both"/>
        <w:rPr>
          <w:rFonts w:eastAsia="Times New Roman" w:cs="Times New Roman"/>
          <w:bCs/>
          <w:szCs w:val="24"/>
        </w:rPr>
      </w:pPr>
    </w:p>
    <w:p w:rsidR="00A16ABB" w:rsidRPr="00A16ABB" w:rsidRDefault="00A16ABB" w:rsidP="00A16ABB">
      <w:pPr>
        <w:autoSpaceDE w:val="0"/>
        <w:autoSpaceDN w:val="0"/>
        <w:adjustRightInd w:val="0"/>
        <w:spacing w:line="276" w:lineRule="auto"/>
        <w:jc w:val="both"/>
        <w:rPr>
          <w:rFonts w:eastAsia="Times New Roman" w:cs="Times New Roman"/>
          <w:bCs/>
          <w:szCs w:val="24"/>
        </w:rPr>
      </w:pPr>
    </w:p>
    <w:p w:rsidR="00C23B34" w:rsidRPr="00AB56E1" w:rsidRDefault="00C23B34" w:rsidP="00C23B34">
      <w:pPr>
        <w:spacing w:line="276" w:lineRule="auto"/>
        <w:jc w:val="both"/>
        <w:rPr>
          <w:rFonts w:cs="Times New Roman"/>
          <w:b/>
          <w:szCs w:val="24"/>
          <w:lang w:bidi="bn-BD"/>
        </w:rPr>
      </w:pPr>
      <w:r w:rsidRPr="00AB56E1">
        <w:rPr>
          <w:rFonts w:cs="Times New Roman"/>
          <w:b/>
          <w:szCs w:val="24"/>
          <w:lang w:bidi="bn-BD"/>
        </w:rPr>
        <w:t xml:space="preserve">Capacity building </w:t>
      </w:r>
    </w:p>
    <w:p w:rsidR="00C23B34" w:rsidRPr="00AB56E1" w:rsidRDefault="00C23B34" w:rsidP="00A631E1">
      <w:pPr>
        <w:pStyle w:val="ListParagraph"/>
        <w:numPr>
          <w:ilvl w:val="0"/>
          <w:numId w:val="31"/>
        </w:numPr>
        <w:autoSpaceDE w:val="0"/>
        <w:autoSpaceDN w:val="0"/>
        <w:adjustRightInd w:val="0"/>
        <w:spacing w:line="276" w:lineRule="auto"/>
        <w:ind w:left="360"/>
        <w:jc w:val="both"/>
        <w:rPr>
          <w:rFonts w:eastAsia="Times New Roman" w:cs="Times New Roman"/>
          <w:bCs/>
          <w:szCs w:val="24"/>
        </w:rPr>
      </w:pPr>
      <w:r w:rsidRPr="00AB56E1">
        <w:rPr>
          <w:rFonts w:eastAsia="Times New Roman" w:cs="Times New Roman"/>
          <w:bCs/>
          <w:szCs w:val="24"/>
        </w:rPr>
        <w:t>Research and innovation for wise use of the water bodies and implementation of the research outcomes to protect the wetland and associate biodiversity</w:t>
      </w:r>
    </w:p>
    <w:p w:rsidR="00C23B34" w:rsidRPr="00AB56E1" w:rsidRDefault="00C23B34" w:rsidP="00A631E1">
      <w:pPr>
        <w:pStyle w:val="ListParagraph"/>
        <w:numPr>
          <w:ilvl w:val="0"/>
          <w:numId w:val="31"/>
        </w:numPr>
        <w:autoSpaceDE w:val="0"/>
        <w:autoSpaceDN w:val="0"/>
        <w:adjustRightInd w:val="0"/>
        <w:spacing w:line="276" w:lineRule="auto"/>
        <w:ind w:left="360"/>
        <w:jc w:val="both"/>
        <w:rPr>
          <w:rFonts w:eastAsia="Times New Roman" w:cs="Times New Roman"/>
          <w:bCs/>
          <w:szCs w:val="24"/>
        </w:rPr>
      </w:pPr>
      <w:r w:rsidRPr="00AB56E1">
        <w:rPr>
          <w:rFonts w:eastAsia="Times New Roman" w:cs="Times New Roman"/>
          <w:bCs/>
          <w:szCs w:val="24"/>
        </w:rPr>
        <w:t>Awareness raising programs by the agencies involved in protection of the waterbodies against illegal encroachment and other harmful activities and wise use of these waterbodies</w:t>
      </w:r>
      <w:r w:rsidR="00B57B81">
        <w:rPr>
          <w:rFonts w:eastAsia="Times New Roman" w:cs="Times New Roman"/>
          <w:bCs/>
          <w:szCs w:val="24"/>
        </w:rPr>
        <w:t>. Ways have to be found to stop over exploitation of the water bodies.</w:t>
      </w:r>
    </w:p>
    <w:p w:rsidR="00C23B34" w:rsidRPr="00AB56E1" w:rsidRDefault="00C23B34" w:rsidP="00C23B34">
      <w:pPr>
        <w:pStyle w:val="ListParagraph"/>
        <w:autoSpaceDE w:val="0"/>
        <w:autoSpaceDN w:val="0"/>
        <w:adjustRightInd w:val="0"/>
        <w:spacing w:line="276" w:lineRule="auto"/>
        <w:ind w:left="360"/>
        <w:jc w:val="both"/>
        <w:rPr>
          <w:rFonts w:eastAsia="Times New Roman" w:cs="Times New Roman"/>
          <w:bCs/>
          <w:sz w:val="6"/>
          <w:szCs w:val="24"/>
        </w:rPr>
      </w:pPr>
    </w:p>
    <w:p w:rsidR="00F64A6A" w:rsidRDefault="00C23B34" w:rsidP="00F64A6A">
      <w:pPr>
        <w:pStyle w:val="Heading2"/>
      </w:pPr>
      <w:bookmarkStart w:id="500" w:name="_Toc463603919"/>
      <w:bookmarkStart w:id="501" w:name="_Toc474638886"/>
      <w:r w:rsidRPr="0081574F">
        <w:t>Strategy for Priority areas under the Hotspots</w:t>
      </w:r>
      <w:bookmarkEnd w:id="500"/>
      <w:bookmarkEnd w:id="501"/>
    </w:p>
    <w:p w:rsidR="00C23B34" w:rsidRPr="00AB56E1" w:rsidRDefault="00C23B34" w:rsidP="00C23B34">
      <w:pPr>
        <w:spacing w:line="276" w:lineRule="auto"/>
        <w:jc w:val="both"/>
        <w:rPr>
          <w:rFonts w:cs="Times New Roman"/>
          <w:szCs w:val="24"/>
        </w:rPr>
      </w:pPr>
      <w:r w:rsidRPr="00AB56E1">
        <w:rPr>
          <w:rFonts w:cs="Times New Roman"/>
          <w:szCs w:val="24"/>
        </w:rPr>
        <w:t>There are some priority areas under each of the BDP Hotspots which are vulnerable in terms of one or combination of more than one reason like shortage water supply and quality, flooding, erosion, drought, river management etc. and needs urgent attention. Such priority areas in connection to water resources under each of the BDP Hotspots have been identified which demands immediate actions. Therefore, specific strategic measures have also been identified for these hotspots apart from the strategic measures identified for National level.</w:t>
      </w: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Barind Tract and Drought Prone Region Priorities</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Ground water recharge</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Ground water recharge can be successful if restriction can be placed on withdrawal of GW. Rainwater harvesting and rainwater induced recharge can also help recharging ground water level. Rajshahi, Natore, Bogra, Kurigram, Gaibandha etc. districts which are most suffering from ground water depletion can use ground water recharge options.</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Efficient water use to fight against droughts</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A huge amount of ground water is used for irrigation purposes. Drought resistant crops and varieties can be planted so that water withdrawal for irrigation purposes slows down. Water management control centre can be established for controlling drought and floods. Development of drought early warning system needs to be established.</w:t>
      </w:r>
      <w:r w:rsidR="00B57B81">
        <w:rPr>
          <w:rFonts w:cs="Times New Roman"/>
          <w:szCs w:val="24"/>
        </w:rPr>
        <w:t xml:space="preserve"> Buried pipe system of irrigation has to be encouraged in drought-prone region.</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lastRenderedPageBreak/>
        <w:t xml:space="preserve">Strategy: Enhanced water availability </w:t>
      </w:r>
    </w:p>
    <w:p w:rsidR="00C23B34" w:rsidRDefault="00C23B34" w:rsidP="00C23B34">
      <w:pPr>
        <w:autoSpaceDE w:val="0"/>
        <w:autoSpaceDN w:val="0"/>
        <w:adjustRightInd w:val="0"/>
        <w:spacing w:line="276" w:lineRule="auto"/>
        <w:jc w:val="both"/>
        <w:rPr>
          <w:rFonts w:cs="Times New Roman"/>
          <w:szCs w:val="24"/>
        </w:rPr>
      </w:pPr>
      <w:r w:rsidRPr="00AB56E1">
        <w:rPr>
          <w:rFonts w:cs="Times New Roman"/>
          <w:szCs w:val="24"/>
        </w:rPr>
        <w:t xml:space="preserve">Additional water supply can be provided from Mahananda and Ganges River. Deep well can be developed and drainage system needs to be improved by infrastructure modification. A detailed water balance and budget needs to prepared and feasibility study for deep well development needs to be carried out. </w:t>
      </w:r>
    </w:p>
    <w:p w:rsidR="00A16ABB" w:rsidRPr="00AB56E1" w:rsidRDefault="00A16ABB" w:rsidP="00C23B34">
      <w:pPr>
        <w:autoSpaceDE w:val="0"/>
        <w:autoSpaceDN w:val="0"/>
        <w:adjustRightInd w:val="0"/>
        <w:spacing w:line="276" w:lineRule="auto"/>
        <w:jc w:val="both"/>
        <w:rPr>
          <w:rFonts w:cs="Times New Roman"/>
          <w:szCs w:val="24"/>
        </w:rPr>
      </w:pP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 xml:space="preserve">Chalan Beel </w:t>
      </w:r>
    </w:p>
    <w:p w:rsidR="00C23B34" w:rsidRPr="00A16ABB" w:rsidRDefault="00F64A6A" w:rsidP="00A16ABB">
      <w:pPr>
        <w:spacing w:line="276" w:lineRule="auto"/>
        <w:jc w:val="both"/>
        <w:rPr>
          <w:rFonts w:cs="Times New Roman"/>
          <w:szCs w:val="24"/>
        </w:rPr>
      </w:pPr>
      <w:r w:rsidRPr="00F64A6A">
        <w:rPr>
          <w:rFonts w:cs="Times New Roman"/>
          <w:szCs w:val="24"/>
          <w:u w:val="single"/>
        </w:rPr>
        <w:t>Chalan beel is the largest and most important watershed in the North Central Bangladesh and covers an area of about 375 km</w:t>
      </w:r>
      <w:r w:rsidRPr="00F64A6A">
        <w:rPr>
          <w:rFonts w:cs="Times New Roman"/>
          <w:szCs w:val="24"/>
          <w:u w:val="single"/>
          <w:vertAlign w:val="superscript"/>
        </w:rPr>
        <w:t>2</w:t>
      </w:r>
      <w:r w:rsidRPr="00F64A6A">
        <w:rPr>
          <w:rFonts w:cs="Times New Roman"/>
          <w:szCs w:val="24"/>
          <w:u w:val="single"/>
        </w:rPr>
        <w:t xml:space="preserve"> during the monsoon season. The watershed serves about 5 million people, predominantly through fisheries and agricultural activities.</w:t>
      </w:r>
      <w:r w:rsidR="00C23B34" w:rsidRPr="00AB56E1">
        <w:rPr>
          <w:rFonts w:cs="Times New Roman"/>
          <w:szCs w:val="24"/>
        </w:rPr>
        <w:t xml:space="preserve"> The Chalan beel area incorporates 21 rivers and 93 smaller seasonal beels of varying size. Most of the rivers and beels are at risk of partial or total degradation, as a result of agricultural encroachment, siltation and other anthropogenic activities. Gradual habitat degradation and overexploitation are key drivers of biodiversity degradation and declining aquatic production in Chalan beel. Habitat degradation results from increased siltation rates, construction of flood control embankments and roads, uncontrolled usage of pesticides, insecticides and chemical fertilizers on croplands, excessive removal of surface water and extraction of groundwater for irrigation. Due to increase use of pesticides in the surrounding lands of Chalan beel, water is polluted and fish production is reduced substantially. The residues of huge amount of pesticide used in the Chalan beel area eventually washed out into the surrounding river and beel systems and degr</w:t>
      </w:r>
      <w:r w:rsidR="00A16ABB">
        <w:rPr>
          <w:rFonts w:cs="Times New Roman"/>
          <w:szCs w:val="24"/>
        </w:rPr>
        <w:t>ading their water quality also.</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Formulation and activation of a flood action plan</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Formulation and activation of Flood action Plan for this region and Chalan beel for successful restoration of Chalan beel is necessary. BWDA, WARPO, IWTA, LGED and NGO’s are the responsible agencies for developing a flood action plan and inter agency cooperation is needed in this regard.</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Protection and rescue from agricultural encroachment, siltation and other anthropogenic activities</w:t>
      </w:r>
    </w:p>
    <w:p w:rsidR="00C23B34" w:rsidRPr="00AB56E1" w:rsidRDefault="00C23B34" w:rsidP="00C23B34">
      <w:pPr>
        <w:autoSpaceDE w:val="0"/>
        <w:autoSpaceDN w:val="0"/>
        <w:adjustRightInd w:val="0"/>
        <w:spacing w:line="276" w:lineRule="auto"/>
        <w:jc w:val="both"/>
      </w:pPr>
      <w:r w:rsidRPr="00AB56E1">
        <w:t xml:space="preserve">Illegal settlements need to be banned and agricultural lands that are being used for establishments needs to be freed. </w:t>
      </w:r>
      <w:r w:rsidRPr="00AB56E1">
        <w:rPr>
          <w:sz w:val="22"/>
        </w:rPr>
        <w:t>Agricultural activities should not be allowed in any kind of water bodies while exposed in dry season</w:t>
      </w:r>
      <w:r w:rsidRPr="00AB56E1">
        <w:t>. Inter</w:t>
      </w:r>
      <w:r>
        <w:t>-</w:t>
      </w:r>
      <w:r w:rsidRPr="00AB56E1">
        <w:t xml:space="preserve"> agency cooperation and enforcement of laws is necessary in this regard. DAE should monitor the agricultural activities in the Chalan Beel.</w:t>
      </w:r>
    </w:p>
    <w:p w:rsidR="00C23B34" w:rsidRPr="00AB56E1" w:rsidRDefault="00C23B34" w:rsidP="00C23B34">
      <w:pPr>
        <w:autoSpaceDE w:val="0"/>
        <w:autoSpaceDN w:val="0"/>
        <w:adjustRightInd w:val="0"/>
        <w:spacing w:line="276" w:lineRule="auto"/>
        <w:jc w:val="both"/>
        <w:rPr>
          <w:rFonts w:cs="Times New Roman"/>
          <w:b/>
          <w:szCs w:val="24"/>
        </w:rPr>
      </w:pPr>
      <w:r w:rsidRPr="00AB56E1">
        <w:rPr>
          <w:rFonts w:cs="Times New Roman"/>
          <w:b/>
          <w:i/>
          <w:szCs w:val="24"/>
        </w:rPr>
        <w:t>Strategy: Strengthening the embankments</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lastRenderedPageBreak/>
        <w:t>The embankments around the Chalan beel provide safety against flooding. BWDB is the in charge of the embankments. Strengthening of the existing embankments will protect the surrounding areas from flooding in the monsoon.</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Action against the silting of the sluice gates</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Siltation around the sluice gate reduces its strength. BWDB is the responsible organization for the maintenance of the sluice gates. Besides, operation and management of sluice gates and other poorly planned structured need to be rebuild</w:t>
      </w:r>
      <w:r w:rsidR="00B57B81">
        <w:rPr>
          <w:rFonts w:cs="Times New Roman"/>
          <w:szCs w:val="24"/>
        </w:rPr>
        <w:t xml:space="preserve"> and if needed, re-designed.</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 xml:space="preserve">Strategy: Habitat and Bio diversity protection </w:t>
      </w:r>
    </w:p>
    <w:p w:rsidR="00C23B34" w:rsidRPr="0081574F" w:rsidRDefault="00C23B34" w:rsidP="00C23B34">
      <w:pPr>
        <w:autoSpaceDE w:val="0"/>
        <w:autoSpaceDN w:val="0"/>
        <w:adjustRightInd w:val="0"/>
        <w:spacing w:line="276" w:lineRule="auto"/>
        <w:jc w:val="both"/>
        <w:rPr>
          <w:rFonts w:cs="Times New Roman"/>
          <w:szCs w:val="24"/>
        </w:rPr>
      </w:pPr>
      <w:r w:rsidRPr="00AB56E1">
        <w:rPr>
          <w:rFonts w:cs="Times New Roman"/>
          <w:szCs w:val="24"/>
        </w:rPr>
        <w:t xml:space="preserve">Chalan beel is the home to diverse species and aquatic animals. There life is endangered due to pollution of the river water and mixing of pesticides with the beel water. Using of pesticides needs to be regulated by the department of agriculture and the department of environment. </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Improve water quality and sanitation</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Beel water is polluted due to anthropogenic, agriculture uses. Dumping of wastes and open defecation needs to be banned. Awareness raising programs needs to be arranged in this regard. Unregulated discharge and untreated industrial and aqua farms effluents needs to come under regulation</w:t>
      </w:r>
      <w:r w:rsidR="00B57B81">
        <w:rPr>
          <w:rFonts w:cs="Times New Roman"/>
          <w:szCs w:val="24"/>
        </w:rPr>
        <w:t xml:space="preserve"> and scrutiny.</w:t>
      </w:r>
      <w:r w:rsidRPr="00AB56E1">
        <w:rPr>
          <w:rFonts w:cs="Times New Roman"/>
          <w:szCs w:val="24"/>
        </w:rPr>
        <w:t xml:space="preserve"> </w:t>
      </w: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The Restoration Gorai River</w:t>
      </w:r>
    </w:p>
    <w:p w:rsidR="00C23B34" w:rsidRPr="00AB56E1" w:rsidRDefault="00C23B34" w:rsidP="00C23B34">
      <w:pPr>
        <w:pStyle w:val="BodyText"/>
        <w:spacing w:after="240" w:line="276" w:lineRule="auto"/>
        <w:jc w:val="both"/>
        <w:rPr>
          <w:rFonts w:cs="Times New Roman"/>
          <w:szCs w:val="24"/>
        </w:rPr>
      </w:pPr>
      <w:r w:rsidRPr="00AB56E1">
        <w:rPr>
          <w:rFonts w:cs="Times New Roman"/>
          <w:szCs w:val="24"/>
        </w:rPr>
        <w:t xml:space="preserve">The restoration of </w:t>
      </w:r>
      <w:r w:rsidR="00864C92">
        <w:rPr>
          <w:rFonts w:cs="Times New Roman"/>
          <w:szCs w:val="24"/>
        </w:rPr>
        <w:t>Gorai river</w:t>
      </w:r>
      <w:r w:rsidRPr="00AB56E1">
        <w:rPr>
          <w:rFonts w:cs="Times New Roman"/>
          <w:szCs w:val="24"/>
        </w:rPr>
        <w:t xml:space="preserve"> will have major positive implications for water availability in the Barind region.  These are discussed in detail under the River and Estuary Hotspot below. </w:t>
      </w: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Urban Hotspot Priorities: Dhaka City with the Surrounding Rivers</w:t>
      </w:r>
    </w:p>
    <w:p w:rsidR="00C23B34" w:rsidRPr="00AB56E1" w:rsidRDefault="00C23B34" w:rsidP="00C23B34">
      <w:pPr>
        <w:spacing w:line="276" w:lineRule="auto"/>
        <w:jc w:val="both"/>
        <w:rPr>
          <w:rFonts w:cs="Times New Roman"/>
          <w:szCs w:val="24"/>
        </w:rPr>
      </w:pPr>
      <w:r w:rsidRPr="00AB56E1">
        <w:rPr>
          <w:rFonts w:cs="Times New Roman"/>
          <w:szCs w:val="24"/>
        </w:rPr>
        <w:t xml:space="preserve">Dhaka and its surrounding rivers are the most important area of the urban hotspot that demands urgent attention regarding its environment, ecology, water resources, human livelihood etc. Dhaka is the most populous city of Bangladesh and it extracts more groundwater than anywhere else in the country. In Dhaka water resources are threatened due to both human activities as well as natural causes. Increased frequency of flood flows and excessive rainfall due to Climate change in addition to institutional laggings and overlapping of jurisdiction of the involved agencies for flood risk mitigation causing severe drainage congestion in Dhaka.  High rate of abstraction from licensed production wells as well as privately managed but unlicensed deep tubewells is decreasing the ground water level with the severe threat of land slide. The illegal encroachment of rivers, water bodies, lands fillings, indiscriminate dumping of domestic and industrial waste into rivers and canals are severely destroying the rivers and wetlands. Buriganga and Shitlakhya Rivers are the two major rivers of this region and demand immediate attention. Dumping of industrial effluents and other industrial waste, chemicals, biological garbage from </w:t>
      </w:r>
      <w:r w:rsidRPr="00AB56E1">
        <w:rPr>
          <w:rFonts w:cs="Times New Roman"/>
          <w:szCs w:val="24"/>
        </w:rPr>
        <w:lastRenderedPageBreak/>
        <w:t>hospitals, domestic waste, and sewerage water has made Buriganga severely polluted taking the Dissolved Oxygen of the rivers below the standard limit set for safe aquatic life.</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Restriction on withdrawal of Ground Water</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Restriction on withdrawal of ground water can be implemented through formulating and strictly enforcing rules and laws in this regard. Agencies responsible for the city’s planning and water supply like DWASA can identify the most vulnerable locations based on ground water depth and restrict lifting of water on those places through deep tube wells. Besides, these agencies should enhance their capacity for strict implementation of the actions to minimize the withdrawal of Ground Water.</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Ground Water Recharge using rainwater</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 xml:space="preserve">Rainwater can be used to recharge the depleting ground water level by using latest and appropriate technology for ground water recharge. For example, rainwater can be stored and later injected to the ground through pipes and perforated concretes roads can also infiltrate rainwater to the ground. Local people, city corporations and other relevant agencies should work cooperatively in this regard. </w:t>
      </w:r>
    </w:p>
    <w:p w:rsidR="00C23B34" w:rsidRPr="00AB56E1" w:rsidRDefault="00C23B34" w:rsidP="00C23B34">
      <w:pPr>
        <w:autoSpaceDE w:val="0"/>
        <w:autoSpaceDN w:val="0"/>
        <w:adjustRightInd w:val="0"/>
        <w:spacing w:line="276" w:lineRule="auto"/>
        <w:jc w:val="both"/>
        <w:rPr>
          <w:rFonts w:cs="Times New Roman"/>
          <w:b/>
          <w:szCs w:val="24"/>
        </w:rPr>
      </w:pPr>
      <w:r w:rsidRPr="00AB56E1">
        <w:rPr>
          <w:rFonts w:cs="Times New Roman"/>
          <w:b/>
          <w:i/>
          <w:szCs w:val="24"/>
        </w:rPr>
        <w:t>Strategy: Rainwater harvesting</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Rainwater harvesting is the accumulation and deposition of rainwater for reuse on-site, rather than allowing it to run off. As rainwater is free from any kind of pollution it can be reused for domestic uses and also for drinking. Large scale promotional and motivational activities are needed to make people encourage in rainwater harvesting. Households need to build separate rainwater storage tanks and by keeping it in non-contaminated place rainwater can be used later for domestic uses. Research work is needed to investigate the possibility that if it can be used in large scale industrial uses.</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Preservation of wetlands</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Dhaka city has a large number of canals and water bodies inside its periphery. These wetlands can retain rainwater during monsoon and can prevent rain-fed flooding if they are revitalized. In this regard institutional capacity needs to be strengthened and awareness program needs to be taken to make people understand the importance of conservation of the wetlands. Dredging and re-excavation of the canals are needed to make the wetlands functional.</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Improvement of water quality of the Rivers and Waterbodies</w:t>
      </w:r>
    </w:p>
    <w:p w:rsidR="00C23B34" w:rsidRPr="00AB56E1" w:rsidRDefault="00C23B34" w:rsidP="00C23B34">
      <w:pPr>
        <w:autoSpaceDE w:val="0"/>
        <w:autoSpaceDN w:val="0"/>
        <w:adjustRightInd w:val="0"/>
        <w:spacing w:line="276" w:lineRule="auto"/>
        <w:jc w:val="both"/>
        <w:rPr>
          <w:rFonts w:cs="Times New Roman"/>
          <w:szCs w:val="24"/>
        </w:rPr>
      </w:pPr>
      <w:r w:rsidRPr="00AB56E1">
        <w:rPr>
          <w:rFonts w:cs="Times New Roman"/>
          <w:szCs w:val="24"/>
        </w:rPr>
        <w:t xml:space="preserve">Water treatment plants and sludge management system can be built to improve the water quality. Dumping of industrial effluent into rivers without any pre-treatment need to be banned and law enforcing agencies has to play a strict role here with enhanced institutional capacity in this </w:t>
      </w:r>
      <w:r w:rsidRPr="00AB56E1">
        <w:rPr>
          <w:rFonts w:cs="Times New Roman"/>
          <w:szCs w:val="24"/>
        </w:rPr>
        <w:lastRenderedPageBreak/>
        <w:t>regard. People need to be made aware of the importance of the water quality through awareness raising programs. Grey water and black water needs to be treated separately and there should be separate lines for sewerage and storm water drainage.</w:t>
      </w: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Urban Hotspot Priorities: Dhaka-Narayanganj-Demra (DND) area</w:t>
      </w:r>
    </w:p>
    <w:p w:rsidR="00C23B34" w:rsidRPr="00AB56E1" w:rsidRDefault="00C23B34" w:rsidP="00C23B34">
      <w:pPr>
        <w:spacing w:line="276" w:lineRule="auto"/>
        <w:jc w:val="both"/>
        <w:rPr>
          <w:rFonts w:cs="Times New Roman"/>
          <w:szCs w:val="24"/>
        </w:rPr>
      </w:pPr>
      <w:r w:rsidRPr="00AB56E1">
        <w:rPr>
          <w:rFonts w:cs="Times New Roman"/>
          <w:szCs w:val="24"/>
        </w:rPr>
        <w:t xml:space="preserve">Dhaka-Narayanganj-Demra (DND) Embankment Project is country’s one of the oldest irrigation projects which was undertaken during 1962-68 to protect the Dhaka Narayanganj and </w:t>
      </w:r>
      <w:r w:rsidR="00B57B81">
        <w:rPr>
          <w:rFonts w:cs="Times New Roman"/>
          <w:szCs w:val="24"/>
        </w:rPr>
        <w:t xml:space="preserve">Demra </w:t>
      </w:r>
      <w:r w:rsidRPr="00AB56E1">
        <w:rPr>
          <w:rFonts w:cs="Times New Roman"/>
          <w:szCs w:val="24"/>
        </w:rPr>
        <w:t xml:space="preserve">area from flooding and </w:t>
      </w:r>
      <w:r w:rsidRPr="00AB56E1">
        <w:rPr>
          <w:rFonts w:cstheme="minorHAnsi"/>
        </w:rPr>
        <w:t>to provide irrigation for increased food production</w:t>
      </w:r>
      <w:r w:rsidRPr="00AB56E1">
        <w:rPr>
          <w:rFonts w:cs="Times New Roman"/>
          <w:szCs w:val="24"/>
        </w:rPr>
        <w:t xml:space="preserve"> in the area saving croplands from overflowing river. It was then turned into an exclusive irrigation project aimed at achieving self-reliance in food grains production. But the area continued to develop as an unplanned residential area after the independence of the country and the development gained momentum after the 1988 and 1998 major flood events which welcome more people inside of dam projected area since it was free from floods. </w:t>
      </w:r>
      <w:r w:rsidR="00F64A6A" w:rsidRPr="00F64A6A">
        <w:rPr>
          <w:rFonts w:cs="Times New Roman"/>
          <w:szCs w:val="24"/>
          <w:u w:val="single"/>
        </w:rPr>
        <w:t xml:space="preserve">As a result most of the agricultural land was transformed into residential, commercial and industrial zone without any spatial plan. The unplanned housing and establishment made an adverse impact on the existing drainage system of 10,000 hectares of land inside the DND area, which triggered water-logging even with a moderate rain. </w:t>
      </w:r>
      <w:r w:rsidRPr="00AB56E1">
        <w:rPr>
          <w:rFonts w:cs="Times New Roman"/>
          <w:szCs w:val="24"/>
        </w:rPr>
        <w:t>The Ministry of Water Resources was responsible for the irrigation project (DND Project) in the area, which is no longer viable with urban development taking over the land. Water supply, drainage and sewerage management, construction of roads and for ensuring other civic services are some of the major issues here. In order to mitigate the issues and improve the condition in DND area following strategic measures are applied:</w:t>
      </w:r>
    </w:p>
    <w:p w:rsidR="00C23B34" w:rsidRPr="00287F9A" w:rsidRDefault="00F64A6A" w:rsidP="00A631E1">
      <w:pPr>
        <w:pStyle w:val="ListParagraph"/>
        <w:numPr>
          <w:ilvl w:val="0"/>
          <w:numId w:val="27"/>
        </w:numPr>
        <w:spacing w:line="276" w:lineRule="auto"/>
        <w:ind w:left="360"/>
        <w:jc w:val="both"/>
        <w:rPr>
          <w:rFonts w:eastAsia="Times New Roman" w:cs="Times New Roman"/>
          <w:szCs w:val="24"/>
          <w:u w:val="single"/>
        </w:rPr>
      </w:pPr>
      <w:r w:rsidRPr="00F64A6A">
        <w:rPr>
          <w:rFonts w:eastAsia="Times New Roman" w:cs="Times New Roman"/>
          <w:szCs w:val="24"/>
          <w:u w:val="single"/>
        </w:rPr>
        <w:t>The number of pumping stations needs to be increased to remove drainage congestion and water logging. The pumps, set up for irrigation projects, are 50 to 60 years old and their total capacity of pumping water reduced by half in the meantime. Besides, there are some 22 small power pumps with a total capacity of 100 cusec water. More four pump stations are needed to pump out the rain water from the DND area.</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 xml:space="preserve">The flow of rain water cannot reach in front of the pump station as most of the canals have already been encroached and </w:t>
      </w:r>
      <w:r w:rsidR="00287F9A">
        <w:rPr>
          <w:rFonts w:eastAsia="Times New Roman" w:cs="Times New Roman"/>
          <w:szCs w:val="24"/>
        </w:rPr>
        <w:t>filled</w:t>
      </w:r>
      <w:r w:rsidR="00287F9A" w:rsidRPr="00AB56E1">
        <w:rPr>
          <w:rFonts w:eastAsia="Times New Roman" w:cs="Times New Roman"/>
          <w:szCs w:val="24"/>
        </w:rPr>
        <w:t xml:space="preserve"> </w:t>
      </w:r>
      <w:r w:rsidRPr="00AB56E1">
        <w:rPr>
          <w:rFonts w:eastAsia="Times New Roman" w:cs="Times New Roman"/>
          <w:szCs w:val="24"/>
        </w:rPr>
        <w:t xml:space="preserve">up with garbage. So cleaning up the canals is a mandatory. A network of canals should be created by recovering canals, which are already encroached, and others field up with garbage and sands should be dug out to ensure flow of rain water to pump out. Awareness should be created among the inhabitants of the DND area about protecting the canals and maintenance of drains. </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As a low lying part of Dhaka city,</w:t>
      </w:r>
      <w:r w:rsidRPr="00AB56E1">
        <w:rPr>
          <w:rFonts w:eastAsia="Times New Roman"/>
        </w:rPr>
        <w:t> </w:t>
      </w:r>
      <w:r w:rsidRPr="00AB56E1">
        <w:rPr>
          <w:rFonts w:eastAsia="Times New Roman" w:cs="Times New Roman"/>
          <w:szCs w:val="24"/>
        </w:rPr>
        <w:t>DND area should be leveled to avoid water logging in low-lying areas. A revised and better planned program is needed to prepare for removing water logging and waste management in DND area.</w:t>
      </w:r>
    </w:p>
    <w:p w:rsidR="00C23B34" w:rsidRPr="00AB56E1" w:rsidRDefault="00C23B34" w:rsidP="00A631E1">
      <w:pPr>
        <w:pStyle w:val="ListParagraph"/>
        <w:numPr>
          <w:ilvl w:val="0"/>
          <w:numId w:val="27"/>
        </w:numPr>
        <w:spacing w:line="276" w:lineRule="auto"/>
        <w:ind w:left="360"/>
        <w:jc w:val="both"/>
        <w:rPr>
          <w:rFonts w:eastAsia="Times New Roman" w:cs="Times New Roman"/>
          <w:szCs w:val="24"/>
        </w:rPr>
      </w:pPr>
      <w:r w:rsidRPr="00AB56E1">
        <w:rPr>
          <w:rFonts w:eastAsia="Times New Roman" w:cs="Times New Roman"/>
          <w:szCs w:val="24"/>
        </w:rPr>
        <w:t>The BWDB, DWASA, City Corporations and other agencies need to put emphasis on the water logging, drainage congestion, solid waste management and road network development in DND area.</w:t>
      </w: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lastRenderedPageBreak/>
        <w:t>Haor Hotspot Priorities</w:t>
      </w:r>
    </w:p>
    <w:p w:rsidR="000734A7" w:rsidRDefault="00C23B34" w:rsidP="00C23B34">
      <w:pPr>
        <w:spacing w:line="276" w:lineRule="auto"/>
        <w:jc w:val="both"/>
        <w:rPr>
          <w:rFonts w:cs="Times New Roman"/>
          <w:szCs w:val="24"/>
        </w:rPr>
      </w:pPr>
      <w:r w:rsidRPr="00AB56E1">
        <w:rPr>
          <w:rFonts w:cs="Times New Roman"/>
          <w:szCs w:val="24"/>
        </w:rPr>
        <w:t xml:space="preserve">The haor basin has been identified as one of the ‘highly food insecure’ regions of the country. The extended period of annual flooding means only a single crop can be grown, thus increasing vulnerability. Access to safe and sanitary latrine facilities is of great concern in the Haor areas. As Haor areas are flooded for 6 months of the year from May to October, access to safe water and sanitary latrines becomes very difficult. Groundwater of Haor region is also contaminated with arsenic in some extent. </w:t>
      </w:r>
      <w:r w:rsidR="00675546">
        <w:rPr>
          <w:rFonts w:cs="Times New Roman"/>
          <w:szCs w:val="24"/>
        </w:rPr>
        <w:t xml:space="preserve"> </w:t>
      </w:r>
    </w:p>
    <w:p w:rsidR="00C23B34" w:rsidRPr="00AB56E1" w:rsidRDefault="00675546" w:rsidP="00C23B34">
      <w:pPr>
        <w:spacing w:line="276" w:lineRule="auto"/>
        <w:jc w:val="both"/>
        <w:rPr>
          <w:rFonts w:cs="Times New Roman"/>
          <w:szCs w:val="24"/>
        </w:rPr>
      </w:pPr>
      <w:r>
        <w:rPr>
          <w:rFonts w:cs="Times New Roman"/>
          <w:szCs w:val="24"/>
        </w:rPr>
        <w:t xml:space="preserve">Sound implementation of these actions are essential to support </w:t>
      </w:r>
      <w:r w:rsidR="000734A7">
        <w:rPr>
          <w:rFonts w:cs="Times New Roman"/>
          <w:szCs w:val="24"/>
        </w:rPr>
        <w:t xml:space="preserve">the </w:t>
      </w:r>
      <w:r>
        <w:rPr>
          <w:rFonts w:cs="Times New Roman"/>
          <w:szCs w:val="24"/>
        </w:rPr>
        <w:t xml:space="preserve">income and livelihood of the rural community in these areas who are among the poorest of the poor.  Some additional steps are also needed to support this area. </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 xml:space="preserve">Strategy: Fish culture to offset agricultural loss </w:t>
      </w:r>
    </w:p>
    <w:p w:rsidR="00C23B34" w:rsidRPr="0081574F" w:rsidRDefault="00C23B34" w:rsidP="00C23B34">
      <w:pPr>
        <w:autoSpaceDE w:val="0"/>
        <w:autoSpaceDN w:val="0"/>
        <w:adjustRightInd w:val="0"/>
        <w:spacing w:line="276" w:lineRule="auto"/>
        <w:jc w:val="both"/>
        <w:rPr>
          <w:rFonts w:cs="Times New Roman"/>
          <w:szCs w:val="24"/>
          <w:lang w:val="en-GB"/>
        </w:rPr>
      </w:pPr>
      <w:r w:rsidRPr="00AB56E1">
        <w:rPr>
          <w:rFonts w:cs="Times New Roman"/>
          <w:szCs w:val="24"/>
          <w:lang w:val="en-GB"/>
        </w:rPr>
        <w:t xml:space="preserve">Development and conservation of the mother fisheries in Tanguar haor, Hakaluki haor, Kawadighi haor etc.; restore river duars in the Surma and Kushiyara river systems would be helpful for protecting brood/mother fisheries. Fish passes should be introduced in existing FCD/I projects. </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 xml:space="preserve">Strategy: Water Supply and sanitation </w:t>
      </w:r>
    </w:p>
    <w:p w:rsidR="00C23B34" w:rsidRDefault="00C23B34" w:rsidP="00C23B34">
      <w:pPr>
        <w:autoSpaceDE w:val="0"/>
        <w:autoSpaceDN w:val="0"/>
        <w:adjustRightInd w:val="0"/>
        <w:spacing w:line="276" w:lineRule="auto"/>
        <w:jc w:val="both"/>
        <w:rPr>
          <w:rFonts w:cs="Times New Roman"/>
          <w:szCs w:val="24"/>
        </w:rPr>
      </w:pPr>
      <w:r w:rsidRPr="00AB56E1">
        <w:rPr>
          <w:rFonts w:cs="Times New Roman"/>
          <w:szCs w:val="24"/>
          <w:lang w:val="en-GB"/>
        </w:rPr>
        <w:t>Water supply systems giving emphasis on the use of surface water should be introduced</w:t>
      </w:r>
      <w:r w:rsidRPr="00AB56E1" w:rsidDel="00117CDD">
        <w:rPr>
          <w:rFonts w:cs="Times New Roman"/>
          <w:szCs w:val="24"/>
        </w:rPr>
        <w:t xml:space="preserve">. </w:t>
      </w:r>
      <w:r w:rsidRPr="00AB56E1">
        <w:rPr>
          <w:rFonts w:cs="Times New Roman"/>
          <w:szCs w:val="24"/>
          <w:lang w:val="en-GB"/>
        </w:rPr>
        <w:t>Piped water supply system in districts, upazila and growth centres should be installed. Sustainable and community based haor friendly flood proof hygienic sanitation system should be promoted in haor and flash flood areas</w:t>
      </w:r>
      <w:r w:rsidRPr="00AB56E1">
        <w:rPr>
          <w:rFonts w:cs="Times New Roman"/>
          <w:szCs w:val="24"/>
        </w:rPr>
        <w:t>.</w:t>
      </w:r>
    </w:p>
    <w:p w:rsidR="00287F9A" w:rsidRDefault="00287F9A" w:rsidP="00C23B34">
      <w:pPr>
        <w:autoSpaceDE w:val="0"/>
        <w:autoSpaceDN w:val="0"/>
        <w:adjustRightInd w:val="0"/>
        <w:spacing w:line="276" w:lineRule="auto"/>
        <w:jc w:val="both"/>
        <w:rPr>
          <w:rFonts w:cs="Times New Roman"/>
          <w:szCs w:val="24"/>
        </w:rPr>
      </w:pPr>
    </w:p>
    <w:p w:rsidR="009E1777" w:rsidRDefault="001A2A3D" w:rsidP="00762DE3">
      <w:pPr>
        <w:autoSpaceDE w:val="0"/>
        <w:autoSpaceDN w:val="0"/>
        <w:adjustRightInd w:val="0"/>
        <w:spacing w:line="276" w:lineRule="auto"/>
        <w:jc w:val="both"/>
        <w:rPr>
          <w:rFonts w:cs="Times New Roman"/>
          <w:b/>
          <w:bCs/>
          <w:szCs w:val="24"/>
        </w:rPr>
      </w:pPr>
      <w:r>
        <w:rPr>
          <w:rFonts w:cs="Times New Roman"/>
          <w:b/>
          <w:bCs/>
          <w:szCs w:val="24"/>
        </w:rPr>
        <w:t>Measures</w:t>
      </w:r>
      <w:r w:rsidR="004C4202" w:rsidRPr="00AF29C3">
        <w:rPr>
          <w:rFonts w:cs="Times New Roman"/>
          <w:b/>
          <w:bCs/>
          <w:szCs w:val="24"/>
        </w:rPr>
        <w:t xml:space="preserve"> for Haor Area Resources Management</w:t>
      </w:r>
      <w:r>
        <w:rPr>
          <w:rFonts w:cs="Times New Roman"/>
          <w:b/>
          <w:bCs/>
          <w:szCs w:val="24"/>
        </w:rPr>
        <w:t xml:space="preserve"> and Improvement</w:t>
      </w:r>
    </w:p>
    <w:p w:rsidR="00000000" w:rsidRDefault="00F64A6A" w:rsidP="003D5A31">
      <w:pPr>
        <w:pStyle w:val="ListParagraph"/>
        <w:numPr>
          <w:ilvl w:val="0"/>
          <w:numId w:val="253"/>
        </w:numPr>
        <w:autoSpaceDE w:val="0"/>
        <w:autoSpaceDN w:val="0"/>
        <w:adjustRightInd w:val="0"/>
        <w:spacing w:line="276" w:lineRule="auto"/>
        <w:jc w:val="both"/>
        <w:rPr>
          <w:rFonts w:cs="Times New Roman"/>
          <w:szCs w:val="24"/>
        </w:rPr>
      </w:pPr>
      <w:r w:rsidRPr="00F64A6A">
        <w:rPr>
          <w:rFonts w:cs="Times New Roman"/>
          <w:i/>
          <w:iCs/>
          <w:szCs w:val="24"/>
        </w:rPr>
        <w:t>Establishment of Ecotourism:</w:t>
      </w:r>
      <w:r w:rsidR="005146B1" w:rsidRPr="005146B1">
        <w:rPr>
          <w:rFonts w:cs="Times New Roman"/>
          <w:szCs w:val="24"/>
        </w:rPr>
        <w:t xml:space="preserve"> Establishment of ecotourism in Haor areas will result in higher inc</w:t>
      </w:r>
      <w:r w:rsidR="005146B1">
        <w:rPr>
          <w:rFonts w:cs="Times New Roman"/>
          <w:szCs w:val="24"/>
        </w:rPr>
        <w:t xml:space="preserve">ome and living standards of the people. A detailed plan on the development of ecotourism can be prepared in the light of </w:t>
      </w:r>
      <w:r w:rsidR="005146B1" w:rsidRPr="005146B1">
        <w:rPr>
          <w:rFonts w:cs="Times New Roman"/>
          <w:szCs w:val="24"/>
        </w:rPr>
        <w:t>‘Haor Master Plan’.</w:t>
      </w:r>
    </w:p>
    <w:p w:rsidR="00000000" w:rsidRDefault="00F64A6A" w:rsidP="003D5A31">
      <w:pPr>
        <w:pStyle w:val="ListParagraph"/>
        <w:numPr>
          <w:ilvl w:val="0"/>
          <w:numId w:val="253"/>
        </w:numPr>
        <w:autoSpaceDE w:val="0"/>
        <w:autoSpaceDN w:val="0"/>
        <w:adjustRightInd w:val="0"/>
        <w:spacing w:line="276" w:lineRule="auto"/>
        <w:jc w:val="both"/>
        <w:rPr>
          <w:rFonts w:cs="Times New Roman"/>
          <w:szCs w:val="24"/>
        </w:rPr>
      </w:pPr>
      <w:r w:rsidRPr="00F64A6A">
        <w:rPr>
          <w:rFonts w:cs="Times New Roman"/>
          <w:i/>
          <w:iCs/>
          <w:szCs w:val="24"/>
        </w:rPr>
        <w:t>Involvement of local people and community in Haor development</w:t>
      </w:r>
      <w:r w:rsidR="00762DE3">
        <w:rPr>
          <w:rFonts w:cs="Times New Roman"/>
          <w:szCs w:val="24"/>
        </w:rPr>
        <w:t>: As livelihood of local people depends on the natural resources of haors, so their sense of ownership to the natural resources is a key for maintaining the bio-diversity and ecological balance of the haoar areas. The local people should be involved in the development activities there.</w:t>
      </w:r>
    </w:p>
    <w:p w:rsidR="00000000" w:rsidRDefault="00F64A6A" w:rsidP="003D5A31">
      <w:pPr>
        <w:pStyle w:val="ListParagraph"/>
        <w:numPr>
          <w:ilvl w:val="0"/>
          <w:numId w:val="253"/>
        </w:numPr>
        <w:autoSpaceDE w:val="0"/>
        <w:autoSpaceDN w:val="0"/>
        <w:adjustRightInd w:val="0"/>
        <w:spacing w:line="276" w:lineRule="auto"/>
        <w:jc w:val="both"/>
        <w:rPr>
          <w:rFonts w:cs="Times New Roman"/>
          <w:szCs w:val="24"/>
        </w:rPr>
      </w:pPr>
      <w:r w:rsidRPr="00F64A6A">
        <w:rPr>
          <w:rFonts w:cs="Times New Roman"/>
          <w:i/>
          <w:iCs/>
          <w:szCs w:val="24"/>
        </w:rPr>
        <w:t>Engagement of Private sector in Haor Development:</w:t>
      </w:r>
      <w:r w:rsidR="00762DE3">
        <w:rPr>
          <w:rFonts w:cs="Times New Roman"/>
          <w:szCs w:val="24"/>
        </w:rPr>
        <w:t xml:space="preserve"> Considering the vastness of the haor basin, it is realized that only government initiatives may not be enough for the development. The possibilities of community development and Public Private Partnership (PPP) should be explored.</w:t>
      </w:r>
    </w:p>
    <w:p w:rsidR="00000000" w:rsidRDefault="00F64A6A" w:rsidP="003D5A31">
      <w:pPr>
        <w:pStyle w:val="ListParagraph"/>
        <w:numPr>
          <w:ilvl w:val="0"/>
          <w:numId w:val="253"/>
        </w:numPr>
        <w:autoSpaceDE w:val="0"/>
        <w:autoSpaceDN w:val="0"/>
        <w:adjustRightInd w:val="0"/>
        <w:spacing w:line="276" w:lineRule="auto"/>
        <w:jc w:val="both"/>
        <w:rPr>
          <w:rFonts w:cs="Times New Roman"/>
          <w:szCs w:val="24"/>
        </w:rPr>
      </w:pPr>
      <w:r w:rsidRPr="00F64A6A">
        <w:rPr>
          <w:rFonts w:cs="Times New Roman"/>
          <w:i/>
          <w:iCs/>
          <w:szCs w:val="24"/>
        </w:rPr>
        <w:lastRenderedPageBreak/>
        <w:t>Diversification of the Livelihood in the Haor Areas:</w:t>
      </w:r>
      <w:r w:rsidR="00762DE3">
        <w:rPr>
          <w:rFonts w:cs="Times New Roman"/>
          <w:szCs w:val="24"/>
        </w:rPr>
        <w:t xml:space="preserve"> </w:t>
      </w:r>
      <w:r w:rsidR="00920965">
        <w:rPr>
          <w:rFonts w:cs="Times New Roman"/>
          <w:szCs w:val="24"/>
        </w:rPr>
        <w:t xml:space="preserve">People in the haor areas depend mainly on one crop, i.e. paddy. Department of Agriculture should come forward </w:t>
      </w:r>
      <w:r w:rsidR="00B92DB4">
        <w:rPr>
          <w:rFonts w:cs="Times New Roman"/>
          <w:szCs w:val="24"/>
        </w:rPr>
        <w:t>with diversified agricultural products. Side by side, Social Safety Net Programme (SSNP) should be intensified and new programmes can be launched to improve the livelihood opportunities of the people living in haor areas.</w:t>
      </w:r>
    </w:p>
    <w:p w:rsidR="00000000" w:rsidRDefault="00B92DB4" w:rsidP="003D5A31">
      <w:pPr>
        <w:pStyle w:val="ListParagraph"/>
        <w:numPr>
          <w:ilvl w:val="0"/>
          <w:numId w:val="253"/>
        </w:numPr>
        <w:autoSpaceDE w:val="0"/>
        <w:autoSpaceDN w:val="0"/>
        <w:adjustRightInd w:val="0"/>
        <w:spacing w:line="276" w:lineRule="auto"/>
        <w:jc w:val="both"/>
        <w:rPr>
          <w:rFonts w:cs="Times New Roman"/>
          <w:szCs w:val="24"/>
        </w:rPr>
      </w:pPr>
      <w:r>
        <w:rPr>
          <w:rFonts w:cs="Times New Roman"/>
          <w:szCs w:val="24"/>
        </w:rPr>
        <w:t>A comprehensive Baseline survey is needed before preparing the development plan for haor areas. Lack of credible and representative data constrains the effective policy formulation.</w:t>
      </w:r>
    </w:p>
    <w:p w:rsidR="00000000" w:rsidRDefault="008E7BBD" w:rsidP="003D5A31">
      <w:pPr>
        <w:pStyle w:val="ListParagraph"/>
        <w:numPr>
          <w:ilvl w:val="0"/>
          <w:numId w:val="253"/>
        </w:numPr>
        <w:autoSpaceDE w:val="0"/>
        <w:autoSpaceDN w:val="0"/>
        <w:adjustRightInd w:val="0"/>
        <w:spacing w:line="276" w:lineRule="auto"/>
        <w:jc w:val="both"/>
        <w:rPr>
          <w:rFonts w:cs="Times New Roman"/>
          <w:szCs w:val="24"/>
        </w:rPr>
      </w:pPr>
      <w:r>
        <w:rPr>
          <w:rFonts w:cs="Times New Roman"/>
          <w:szCs w:val="24"/>
        </w:rPr>
        <w:t>Coordination among different government agencies who are working in the haor areas is needed for a comprehensive development and for avoiding the duplication.</w:t>
      </w:r>
    </w:p>
    <w:p w:rsidR="00000000" w:rsidRDefault="008E7BBD" w:rsidP="003D5A31">
      <w:pPr>
        <w:pStyle w:val="ListParagraph"/>
        <w:numPr>
          <w:ilvl w:val="0"/>
          <w:numId w:val="253"/>
        </w:numPr>
        <w:autoSpaceDE w:val="0"/>
        <w:autoSpaceDN w:val="0"/>
        <w:adjustRightInd w:val="0"/>
        <w:spacing w:line="276" w:lineRule="auto"/>
        <w:jc w:val="both"/>
        <w:rPr>
          <w:rFonts w:cs="Times New Roman"/>
          <w:szCs w:val="24"/>
        </w:rPr>
      </w:pPr>
      <w:r>
        <w:rPr>
          <w:rFonts w:cs="Times New Roman"/>
          <w:szCs w:val="24"/>
        </w:rPr>
        <w:t>The ecological and economic importance of haor basin needed to be included in the relevant national curriculum.</w:t>
      </w:r>
    </w:p>
    <w:p w:rsidR="00000000" w:rsidRDefault="00DA4211" w:rsidP="003D5A31">
      <w:pPr>
        <w:pStyle w:val="ListParagraph"/>
        <w:numPr>
          <w:ilvl w:val="0"/>
          <w:numId w:val="253"/>
        </w:numPr>
        <w:autoSpaceDE w:val="0"/>
        <w:autoSpaceDN w:val="0"/>
        <w:adjustRightInd w:val="0"/>
        <w:spacing w:line="276" w:lineRule="auto"/>
        <w:jc w:val="both"/>
        <w:rPr>
          <w:rFonts w:cs="Times New Roman"/>
          <w:szCs w:val="24"/>
        </w:rPr>
      </w:pPr>
      <w:r>
        <w:rPr>
          <w:rFonts w:cs="Times New Roman"/>
          <w:szCs w:val="24"/>
        </w:rPr>
        <w:t>The Wetland (Jolmohal) Policy should be amended and include options for accommodating CBO-based co-management systems for the sustainability of wetland ecosystem services and protection of aquatic biodiversity.</w:t>
      </w:r>
    </w:p>
    <w:p w:rsidR="00F64A6A" w:rsidRDefault="00F64A6A" w:rsidP="00F64A6A">
      <w:pPr>
        <w:autoSpaceDE w:val="0"/>
        <w:autoSpaceDN w:val="0"/>
        <w:adjustRightInd w:val="0"/>
        <w:spacing w:line="276" w:lineRule="auto"/>
        <w:ind w:left="360"/>
        <w:jc w:val="both"/>
        <w:rPr>
          <w:rFonts w:cs="Times New Roman"/>
          <w:szCs w:val="24"/>
        </w:rPr>
      </w:pP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 xml:space="preserve">Coastal Area including </w:t>
      </w:r>
      <w:r w:rsidR="001A2A3D">
        <w:rPr>
          <w:rFonts w:cs="Times New Roman"/>
          <w:b/>
          <w:szCs w:val="24"/>
        </w:rPr>
        <w:t xml:space="preserve">the </w:t>
      </w:r>
      <w:r w:rsidRPr="00AB56E1">
        <w:rPr>
          <w:rFonts w:cs="Times New Roman"/>
          <w:b/>
          <w:szCs w:val="24"/>
        </w:rPr>
        <w:t>Sundarban</w:t>
      </w:r>
      <w:r w:rsidR="001A2A3D">
        <w:rPr>
          <w:rFonts w:cs="Times New Roman"/>
          <w:b/>
          <w:szCs w:val="24"/>
        </w:rPr>
        <w:t>s</w:t>
      </w:r>
      <w:r w:rsidRPr="00AB56E1">
        <w:rPr>
          <w:rFonts w:cs="Times New Roman"/>
          <w:b/>
          <w:szCs w:val="24"/>
        </w:rPr>
        <w:t xml:space="preserve"> Hotspot Priorities</w:t>
      </w:r>
    </w:p>
    <w:p w:rsidR="00C23B34" w:rsidRPr="00AB56E1" w:rsidRDefault="00F64A6A" w:rsidP="00C23B34">
      <w:pPr>
        <w:spacing w:line="276" w:lineRule="auto"/>
        <w:jc w:val="both"/>
        <w:rPr>
          <w:rFonts w:cs="Times New Roman"/>
          <w:szCs w:val="24"/>
        </w:rPr>
      </w:pPr>
      <w:r w:rsidRPr="00F64A6A">
        <w:rPr>
          <w:rFonts w:cs="Times New Roman"/>
          <w:szCs w:val="24"/>
          <w:u w:val="single"/>
        </w:rPr>
        <w:t>The coastal region is heavily susceptible to sea level rise and scientists expect rising sea levels to submerge 17 percent of Bangladesh's land and displace 18 million people in the next 40 years.</w:t>
      </w:r>
      <w:r w:rsidR="00C23B34" w:rsidRPr="00AB56E1">
        <w:rPr>
          <w:rFonts w:cs="Times New Roman"/>
          <w:szCs w:val="24"/>
        </w:rPr>
        <w:t xml:space="preserve"> This coastal region also holds Sundarban, the largest mangrove forest of the world, which has enormous biodiversity and is the nation’s only defense against cyclones and other natural calamities. Besides, shrimp cultivation has serious environmental impact on this region that demands immediate attention. Shrimp cultivation has hampered agricultural activities in this region by making soil saline and making groundwater unsuitable for irrigation. With increasing salinity crop production has decreased substantially in this region. Because of salinity intrusion, fresh water fish production has also decreased.  The withdrawal and subsequent use of saline water for shrimp farming leads to lowering of the underground water level, emptying of aquifers, land subsistence and salinisation of adjacent land and waterways. </w:t>
      </w:r>
    </w:p>
    <w:p w:rsidR="00C23B34" w:rsidRPr="00AB56E1" w:rsidRDefault="00C23B34" w:rsidP="00C23B34">
      <w:pPr>
        <w:spacing w:line="276" w:lineRule="auto"/>
        <w:jc w:val="both"/>
        <w:rPr>
          <w:rFonts w:cs="Times New Roman"/>
          <w:szCs w:val="24"/>
        </w:rPr>
      </w:pPr>
      <w:r w:rsidRPr="00AB56E1">
        <w:rPr>
          <w:rFonts w:cs="Times New Roman"/>
          <w:szCs w:val="24"/>
        </w:rPr>
        <w:t>Sundarban, the largest tidal mangrove forest of the world, is located in this region which is another hotspot and needs urgent attention. The Sundarbans wetlands act as a natural shield</w:t>
      </w:r>
      <w:r w:rsidRPr="00AB56E1">
        <w:rPr>
          <w:rFonts w:cs="Times New Roman"/>
          <w:szCs w:val="24"/>
        </w:rPr>
        <w:br/>
        <w:t>that protects the coastal area from storm surges and cyclones in pre and post monsoon periods.</w:t>
      </w:r>
      <w:r w:rsidRPr="00AB56E1">
        <w:rPr>
          <w:rFonts w:cs="Times New Roman"/>
          <w:szCs w:val="24"/>
        </w:rPr>
        <w:br/>
        <w:t>However, due to the diversion of Ganges water at Farakka Barrage (India) in early 1975, both siltation and salinity have increased in the Sundarbans which is threatening the Sundarbans ecosystems. The uncertain and unstable nature of soil and water salinity in the Sundarbans causes a serious negative impact on the local and national economies. High salinity also affects the growth of mangrove vegetation which brin</w:t>
      </w:r>
      <w:r w:rsidR="00287F9A">
        <w:rPr>
          <w:rFonts w:cs="Times New Roman"/>
          <w:szCs w:val="24"/>
        </w:rPr>
        <w:t>g</w:t>
      </w:r>
      <w:r w:rsidRPr="00AB56E1">
        <w:rPr>
          <w:rFonts w:cs="Times New Roman"/>
          <w:szCs w:val="24"/>
        </w:rPr>
        <w:t xml:space="preserve">ing about changes in species composition. Landscapes around the Sundarbans have further been altered by massive shrimp cultivating </w:t>
      </w:r>
      <w:r w:rsidRPr="00AB56E1">
        <w:rPr>
          <w:rFonts w:cs="Times New Roman"/>
          <w:szCs w:val="24"/>
        </w:rPr>
        <w:lastRenderedPageBreak/>
        <w:t>operations and the vegetation is vanishing due to high salinity and chemical fertilizer used in the shrimp farms.</w:t>
      </w:r>
    </w:p>
    <w:p w:rsidR="00C23B34" w:rsidRPr="00AB56E1" w:rsidRDefault="00C23B34" w:rsidP="00C23B34">
      <w:pPr>
        <w:spacing w:line="276" w:lineRule="auto"/>
        <w:jc w:val="both"/>
        <w:rPr>
          <w:rFonts w:cs="Times New Roman"/>
          <w:szCs w:val="24"/>
        </w:rPr>
      </w:pPr>
      <w:r w:rsidRPr="00AB56E1">
        <w:rPr>
          <w:rFonts w:cs="Times New Roman"/>
          <w:szCs w:val="24"/>
        </w:rPr>
        <w:t xml:space="preserve">The strategies required to protect the coastal region from natural calamities and to ensure fresh water supply have already been discussed under </w:t>
      </w:r>
      <w:r w:rsidRPr="00AB56E1">
        <w:rPr>
          <w:rFonts w:cs="Times New Roman"/>
          <w:b/>
          <w:szCs w:val="24"/>
        </w:rPr>
        <w:t>Coastal Zone protection and Management.</w:t>
      </w:r>
      <w:r w:rsidRPr="00AB56E1">
        <w:rPr>
          <w:rFonts w:cs="Times New Roman"/>
          <w:szCs w:val="24"/>
        </w:rPr>
        <w:t xml:space="preserve"> Therefore, following strategies focuses on problems associated with the Sunderban.</w:t>
      </w:r>
    </w:p>
    <w:p w:rsidR="00C23B34" w:rsidRPr="00AB56E1" w:rsidRDefault="00C23B34" w:rsidP="00A631E1">
      <w:pPr>
        <w:pStyle w:val="ListParagraph"/>
        <w:numPr>
          <w:ilvl w:val="0"/>
          <w:numId w:val="32"/>
        </w:numPr>
        <w:spacing w:after="200" w:line="276" w:lineRule="auto"/>
        <w:jc w:val="both"/>
      </w:pPr>
      <w:r w:rsidRPr="00AB56E1">
        <w:rPr>
          <w:szCs w:val="24"/>
        </w:rPr>
        <w:t xml:space="preserve">Joint initiative </w:t>
      </w:r>
      <w:r w:rsidR="00287F9A">
        <w:rPr>
          <w:szCs w:val="24"/>
        </w:rPr>
        <w:t xml:space="preserve">be undertaken </w:t>
      </w:r>
      <w:r w:rsidRPr="00AB56E1">
        <w:rPr>
          <w:szCs w:val="24"/>
        </w:rPr>
        <w:t>on implementation of findings of the researches conducted between Bangladesh and India for the restoration as well as the preservation of the ecosystem and wildlife of the Sundarbans and conduct further researches.</w:t>
      </w:r>
    </w:p>
    <w:p w:rsidR="00C23B34" w:rsidRPr="00AB56E1" w:rsidRDefault="00C23B34" w:rsidP="00A631E1">
      <w:pPr>
        <w:pStyle w:val="ListParagraph"/>
        <w:numPr>
          <w:ilvl w:val="0"/>
          <w:numId w:val="32"/>
        </w:numPr>
        <w:spacing w:after="200" w:line="276" w:lineRule="auto"/>
        <w:jc w:val="both"/>
      </w:pPr>
      <w:r w:rsidRPr="00AB56E1">
        <w:rPr>
          <w:szCs w:val="24"/>
        </w:rPr>
        <w:t>Ensuring fresh water flow in the rivers around the Sunderban through construction of Ganges Barrage and enhanced regional cooperation</w:t>
      </w:r>
      <w:r w:rsidR="00287F9A">
        <w:rPr>
          <w:szCs w:val="24"/>
        </w:rPr>
        <w:t xml:space="preserve"> is the essential option</w:t>
      </w:r>
      <w:r w:rsidRPr="00AB56E1">
        <w:rPr>
          <w:szCs w:val="24"/>
        </w:rPr>
        <w:t>.</w:t>
      </w:r>
    </w:p>
    <w:p w:rsidR="00C23B34" w:rsidRPr="00AB56E1" w:rsidRDefault="00C23B34" w:rsidP="00C23B34">
      <w:pPr>
        <w:pStyle w:val="ListParagraph"/>
        <w:spacing w:after="200" w:line="276" w:lineRule="auto"/>
        <w:jc w:val="both"/>
      </w:pP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Coastal Area Hotspot Priorities: Greater Noakhali</w:t>
      </w:r>
    </w:p>
    <w:p w:rsidR="00C23B34" w:rsidRDefault="00F64A6A" w:rsidP="004B0A08">
      <w:pPr>
        <w:spacing w:line="276" w:lineRule="auto"/>
        <w:jc w:val="both"/>
        <w:rPr>
          <w:rFonts w:cs="Times New Roman"/>
          <w:b/>
          <w:i/>
          <w:szCs w:val="24"/>
        </w:rPr>
      </w:pPr>
      <w:r w:rsidRPr="00F64A6A">
        <w:rPr>
          <w:rFonts w:cs="Times New Roman"/>
          <w:szCs w:val="24"/>
          <w:u w:val="single"/>
        </w:rPr>
        <w:t xml:space="preserve">Noakhali coastal region is an accreted area having almost flat land, depending on locations, just 2.2 to 5.0m above the mean sea level. Impeded drainage due to siltation of canals causes water logging and drainage congestion in this area. </w:t>
      </w:r>
      <w:r w:rsidR="00C23B34" w:rsidRPr="00AB56E1">
        <w:rPr>
          <w:rFonts w:cs="Times New Roman"/>
          <w:szCs w:val="24"/>
        </w:rPr>
        <w:t>Char lands of this region experience a daily cycle of low and high tide and the medium to low lands of the unprotected areas are occasionally flooded with tidal water. Crops in areas close to the coast are affected by tidal flooding almost every year. The storm surge or the raising of the sea level during the passage of the cyclone is another source of damaging flood and is a characteristic of coastal areas of Noakhali.</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Integrated Drainage Management of Greater Noakhali</w:t>
      </w:r>
    </w:p>
    <w:p w:rsidR="00C23B34" w:rsidRPr="00AB56E1" w:rsidRDefault="00C23B34" w:rsidP="00C23B34">
      <w:pPr>
        <w:tabs>
          <w:tab w:val="left" w:pos="2963"/>
        </w:tabs>
        <w:jc w:val="both"/>
        <w:rPr>
          <w:rFonts w:cstheme="minorHAnsi"/>
        </w:rPr>
      </w:pPr>
      <w:r w:rsidRPr="00AB56E1">
        <w:rPr>
          <w:rFonts w:cs="Times New Roman"/>
          <w:szCs w:val="24"/>
        </w:rPr>
        <w:t xml:space="preserve">In order to mitigate the drainage problems in Greater Noakhali, structural measures like construction of regulators at appropriate location; re-excavation and rehabilitation of </w:t>
      </w:r>
      <w:r w:rsidR="00F82BA1">
        <w:rPr>
          <w:rFonts w:cs="Times New Roman"/>
          <w:szCs w:val="24"/>
        </w:rPr>
        <w:t>canals</w:t>
      </w:r>
      <w:r w:rsidRPr="00AB56E1">
        <w:rPr>
          <w:rFonts w:cs="Times New Roman"/>
          <w:szCs w:val="24"/>
        </w:rPr>
        <w:t xml:space="preserve">; dredging of all primary and secondary </w:t>
      </w:r>
      <w:r w:rsidR="00F82BA1">
        <w:rPr>
          <w:rFonts w:cs="Times New Roman"/>
          <w:szCs w:val="24"/>
        </w:rPr>
        <w:t>canals</w:t>
      </w:r>
      <w:r w:rsidRPr="00AB56E1">
        <w:rPr>
          <w:rFonts w:cs="Times New Roman"/>
          <w:szCs w:val="24"/>
        </w:rPr>
        <w:t xml:space="preserve"> should be undertaken </w:t>
      </w:r>
      <w:r w:rsidRPr="00AB56E1">
        <w:rPr>
          <w:rFonts w:cstheme="minorHAnsi"/>
        </w:rPr>
        <w:t>based on detailed study.</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 xml:space="preserve">Strategy: Char Development and Protection against Natural Calamities </w:t>
      </w:r>
    </w:p>
    <w:p w:rsidR="00C23B34" w:rsidRPr="00AB56E1" w:rsidRDefault="00C23B34" w:rsidP="00C23B34">
      <w:pPr>
        <w:tabs>
          <w:tab w:val="left" w:pos="2963"/>
        </w:tabs>
        <w:spacing w:line="276" w:lineRule="auto"/>
        <w:jc w:val="both"/>
        <w:rPr>
          <w:rFonts w:cs="Times New Roman"/>
          <w:szCs w:val="24"/>
        </w:rPr>
      </w:pPr>
      <w:r w:rsidRPr="00AB56E1">
        <w:rPr>
          <w:rFonts w:cs="Times New Roman"/>
          <w:szCs w:val="24"/>
        </w:rPr>
        <w:t>The chars in this region should be protected through appropriate structural measures. Focus should also be given for land reclamation through bio-engineering method.</w:t>
      </w: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Coastal Area Hotspot Priorities: Cox’s bazaar</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Control development and pollution in Cox’s bazaar</w:t>
      </w:r>
    </w:p>
    <w:p w:rsidR="00C23B34" w:rsidRPr="00AB56E1" w:rsidRDefault="00C23B34" w:rsidP="00C23B34">
      <w:pPr>
        <w:spacing w:line="276" w:lineRule="auto"/>
        <w:jc w:val="both"/>
        <w:rPr>
          <w:rFonts w:cs="Times New Roman"/>
          <w:szCs w:val="24"/>
        </w:rPr>
      </w:pPr>
      <w:r w:rsidRPr="00AB56E1">
        <w:rPr>
          <w:rFonts w:cs="Times New Roman"/>
          <w:szCs w:val="24"/>
        </w:rPr>
        <w:t xml:space="preserve">Uncontrolled land development by cutting down hills leads to landslides and endanger peoples life and property. Law enforcing agencies needs to play a strict role by banning all illegal developments and cutting down of hills. Many establishments are being built in the off shore lands that is unbalancing the ecology of the beach. Large scale promotional and motivational </w:t>
      </w:r>
      <w:r w:rsidRPr="00AB56E1">
        <w:rPr>
          <w:rFonts w:cs="Times New Roman"/>
          <w:szCs w:val="24"/>
        </w:rPr>
        <w:lastRenderedPageBreak/>
        <w:t xml:space="preserve">activities are needed to be taken in order to make people aware and more concerning about the sea beach’s environment. </w:t>
      </w: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Chittagong Hill Tracts Hotspot Priorities</w:t>
      </w:r>
    </w:p>
    <w:p w:rsidR="00C23B34" w:rsidRPr="00287F9A" w:rsidRDefault="00C23B34" w:rsidP="00C23B34">
      <w:pPr>
        <w:tabs>
          <w:tab w:val="left" w:pos="2963"/>
        </w:tabs>
        <w:spacing w:line="276" w:lineRule="auto"/>
        <w:jc w:val="both"/>
        <w:rPr>
          <w:rFonts w:cs="Times New Roman"/>
          <w:szCs w:val="24"/>
          <w:u w:val="single"/>
        </w:rPr>
      </w:pPr>
      <w:r w:rsidRPr="00AB56E1">
        <w:rPr>
          <w:rFonts w:cs="Times New Roman"/>
          <w:szCs w:val="24"/>
        </w:rPr>
        <w:t xml:space="preserve">Kaptai Lake, the largest man made fresh water lake, is also situated in this region in the Rangamati district and it’s a hotspot. Presence of excessive amount of suspended solids in the reservoir is at most alarming condition. This is related with eroded material coming from surrounding barren hills. </w:t>
      </w:r>
      <w:r w:rsidR="00F64A6A" w:rsidRPr="00F64A6A">
        <w:rPr>
          <w:rFonts w:cs="Times New Roman"/>
          <w:szCs w:val="24"/>
          <w:u w:val="single"/>
        </w:rPr>
        <w:t xml:space="preserve">Lacking of forest cover on most of the hills in CHTs was again related with many human activities such as, over and illicit felling of trees, shifting cultivation, frequent burning, and improper construction of road and infrastructure. </w:t>
      </w:r>
    </w:p>
    <w:p w:rsidR="000734A7"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 xml:space="preserve">Strategy: </w:t>
      </w:r>
    </w:p>
    <w:p w:rsidR="000734A7" w:rsidRDefault="000734A7" w:rsidP="004B0A08">
      <w:pPr>
        <w:pStyle w:val="ListParagraph"/>
        <w:numPr>
          <w:ilvl w:val="0"/>
          <w:numId w:val="25"/>
        </w:numPr>
        <w:autoSpaceDE w:val="0"/>
        <w:autoSpaceDN w:val="0"/>
        <w:adjustRightInd w:val="0"/>
        <w:spacing w:line="276" w:lineRule="auto"/>
        <w:jc w:val="both"/>
        <w:rPr>
          <w:rFonts w:cs="Times New Roman"/>
          <w:b/>
          <w:i/>
          <w:szCs w:val="24"/>
        </w:rPr>
      </w:pPr>
      <w:r>
        <w:rPr>
          <w:rFonts w:cs="Times New Roman"/>
          <w:b/>
          <w:i/>
          <w:szCs w:val="24"/>
        </w:rPr>
        <w:t>Restoration of the Kaptai Lake</w:t>
      </w:r>
    </w:p>
    <w:p w:rsidR="00C23B34" w:rsidRPr="004B0A08" w:rsidRDefault="00C23B34" w:rsidP="004B0A08">
      <w:pPr>
        <w:pStyle w:val="ListParagraph"/>
        <w:numPr>
          <w:ilvl w:val="0"/>
          <w:numId w:val="25"/>
        </w:numPr>
        <w:autoSpaceDE w:val="0"/>
        <w:autoSpaceDN w:val="0"/>
        <w:adjustRightInd w:val="0"/>
        <w:spacing w:line="276" w:lineRule="auto"/>
        <w:jc w:val="both"/>
        <w:rPr>
          <w:rFonts w:cs="Times New Roman"/>
          <w:b/>
          <w:i/>
          <w:szCs w:val="24"/>
        </w:rPr>
      </w:pPr>
      <w:r w:rsidRPr="004B0A08">
        <w:rPr>
          <w:rFonts w:cs="Times New Roman"/>
          <w:b/>
          <w:i/>
          <w:szCs w:val="24"/>
        </w:rPr>
        <w:t>Forestation/Green belt around the hills of Kaptai Lake</w:t>
      </w:r>
    </w:p>
    <w:p w:rsidR="00C23B34" w:rsidRPr="00287F9A" w:rsidRDefault="000734A7" w:rsidP="00C23B34">
      <w:pPr>
        <w:spacing w:line="276" w:lineRule="auto"/>
        <w:jc w:val="both"/>
        <w:rPr>
          <w:rFonts w:cs="Times New Roman"/>
          <w:szCs w:val="24"/>
          <w:u w:val="single"/>
        </w:rPr>
      </w:pPr>
      <w:r>
        <w:rPr>
          <w:rFonts w:cs="Times New Roman"/>
          <w:szCs w:val="24"/>
        </w:rPr>
        <w:t xml:space="preserve">Preservation of the Kaptai Lake through proper maintenance is a major priority.  Additionally, the </w:t>
      </w:r>
      <w:r w:rsidR="00C23B34" w:rsidRPr="00AB56E1">
        <w:rPr>
          <w:rFonts w:cs="Times New Roman"/>
          <w:szCs w:val="24"/>
        </w:rPr>
        <w:t xml:space="preserve">Kaptai Lake is surrounded by hills but due to human activities they are becoming barren and sediments become easily carried to the lake in rain water. </w:t>
      </w:r>
      <w:r w:rsidR="00F64A6A" w:rsidRPr="00F64A6A">
        <w:rPr>
          <w:rFonts w:cs="Times New Roman"/>
          <w:szCs w:val="24"/>
          <w:u w:val="single"/>
        </w:rPr>
        <w:t xml:space="preserve">Plantation of trees will prevent scouring of sediments. Illegal settlements in the periphery of the lake need to be banned. A green belt is needed to make around the periphery of the lake.  </w:t>
      </w:r>
    </w:p>
    <w:p w:rsidR="00000000" w:rsidRDefault="00C23B34" w:rsidP="003D5A31">
      <w:pPr>
        <w:pStyle w:val="BodyText"/>
        <w:numPr>
          <w:ilvl w:val="2"/>
          <w:numId w:val="147"/>
        </w:numPr>
        <w:spacing w:after="240" w:line="276" w:lineRule="auto"/>
        <w:jc w:val="both"/>
        <w:rPr>
          <w:rFonts w:cs="Times New Roman"/>
          <w:b/>
          <w:szCs w:val="24"/>
        </w:rPr>
      </w:pPr>
      <w:r w:rsidRPr="00AB56E1">
        <w:rPr>
          <w:rFonts w:cs="Times New Roman"/>
          <w:b/>
          <w:szCs w:val="24"/>
        </w:rPr>
        <w:t>Chittagong Hill Tracts Hotspot Priorities: Rangamati and Khagrachori Town</w:t>
      </w:r>
    </w:p>
    <w:p w:rsidR="00C23B34" w:rsidRPr="00AB56E1" w:rsidRDefault="00C23B34" w:rsidP="00C23B34">
      <w:pPr>
        <w:autoSpaceDE w:val="0"/>
        <w:autoSpaceDN w:val="0"/>
        <w:adjustRightInd w:val="0"/>
        <w:spacing w:line="276" w:lineRule="auto"/>
        <w:jc w:val="both"/>
        <w:rPr>
          <w:rFonts w:cs="Times New Roman"/>
          <w:b/>
          <w:i/>
          <w:szCs w:val="24"/>
        </w:rPr>
      </w:pPr>
      <w:r w:rsidRPr="00AB56E1">
        <w:rPr>
          <w:rFonts w:cs="Times New Roman"/>
          <w:b/>
          <w:i/>
          <w:szCs w:val="24"/>
        </w:rPr>
        <w:t>Strategy: Improvement of Water quality in Rangamati and Khagrachori town</w:t>
      </w:r>
    </w:p>
    <w:p w:rsidR="00C23B34" w:rsidRPr="00AB56E1" w:rsidRDefault="00C23B34" w:rsidP="00C23B34">
      <w:pPr>
        <w:spacing w:line="276" w:lineRule="auto"/>
        <w:jc w:val="both"/>
        <w:rPr>
          <w:rFonts w:cs="Times New Roman"/>
          <w:szCs w:val="24"/>
        </w:rPr>
      </w:pPr>
      <w:r w:rsidRPr="00AB56E1">
        <w:rPr>
          <w:rFonts w:cs="Times New Roman"/>
          <w:szCs w:val="24"/>
        </w:rPr>
        <w:t xml:space="preserve">The water of Kaptai Lake is severely polluted due to open defecation by the slum dwellers and unabated dumping of garbage and wastes. Low cost sanitary latrines needs to be built in the slums around the lake and awareness raising programs need to be arranged to make people aware of </w:t>
      </w:r>
      <w:r>
        <w:rPr>
          <w:rFonts w:cs="Times New Roman"/>
          <w:szCs w:val="24"/>
        </w:rPr>
        <w:t>the danger of open defecation.</w:t>
      </w:r>
    </w:p>
    <w:p w:rsidR="00000000" w:rsidRDefault="001A2A3D" w:rsidP="003D5A31">
      <w:pPr>
        <w:pStyle w:val="BodyText"/>
        <w:numPr>
          <w:ilvl w:val="2"/>
          <w:numId w:val="147"/>
        </w:numPr>
        <w:spacing w:after="240" w:line="276" w:lineRule="auto"/>
        <w:jc w:val="both"/>
        <w:rPr>
          <w:rFonts w:cs="Times New Roman"/>
          <w:b/>
          <w:szCs w:val="24"/>
        </w:rPr>
      </w:pPr>
      <w:r>
        <w:rPr>
          <w:rFonts w:cs="Times New Roman"/>
          <w:b/>
          <w:szCs w:val="24"/>
        </w:rPr>
        <w:t xml:space="preserve">Major </w:t>
      </w:r>
      <w:r w:rsidR="00C23B34" w:rsidRPr="00AB56E1">
        <w:rPr>
          <w:rFonts w:cs="Times New Roman"/>
          <w:b/>
          <w:szCs w:val="24"/>
        </w:rPr>
        <w:t>River Hotspot Priorities</w:t>
      </w:r>
    </w:p>
    <w:p w:rsidR="00C23B34" w:rsidRDefault="00C23B34" w:rsidP="00C23B34">
      <w:pPr>
        <w:spacing w:line="276" w:lineRule="auto"/>
        <w:jc w:val="both"/>
        <w:rPr>
          <w:rFonts w:cs="Times New Roman"/>
        </w:rPr>
      </w:pPr>
      <w:r w:rsidRPr="00AB56E1">
        <w:rPr>
          <w:rFonts w:cs="Times New Roman"/>
        </w:rPr>
        <w:t xml:space="preserve">The strategies and priorities for the river and estuary hotspot areas have been discussed at length under the section dealing with national strategy for river management.  Some additional priorities to ameliorate the challenges affecting this hotspot are discussed below in terms of river specific interventions that were not covered in the National Strategy for River Management Section. </w:t>
      </w:r>
    </w:p>
    <w:p w:rsidR="00C23B34" w:rsidRPr="00AB56E1" w:rsidRDefault="00C23B34" w:rsidP="00C23B34">
      <w:pPr>
        <w:spacing w:line="276" w:lineRule="auto"/>
        <w:jc w:val="both"/>
        <w:rPr>
          <w:rFonts w:cs="Times New Roman"/>
          <w:b/>
          <w:i/>
        </w:rPr>
      </w:pPr>
      <w:r w:rsidRPr="00AB56E1">
        <w:rPr>
          <w:rFonts w:cs="Times New Roman"/>
          <w:b/>
          <w:i/>
        </w:rPr>
        <w:t>The Gorai River</w:t>
      </w:r>
    </w:p>
    <w:p w:rsidR="00C23B34" w:rsidRPr="00AB56E1" w:rsidRDefault="00C23B34" w:rsidP="00C23B34">
      <w:pPr>
        <w:autoSpaceDE w:val="0"/>
        <w:autoSpaceDN w:val="0"/>
        <w:adjustRightInd w:val="0"/>
        <w:spacing w:after="0" w:line="276" w:lineRule="auto"/>
        <w:jc w:val="both"/>
        <w:rPr>
          <w:rFonts w:cstheme="minorHAnsi"/>
        </w:rPr>
      </w:pPr>
      <w:r w:rsidRPr="00AB56E1">
        <w:rPr>
          <w:rFonts w:cstheme="minorHAnsi"/>
        </w:rPr>
        <w:lastRenderedPageBreak/>
        <w:t>Most rivers in southwestern region (SWR) of Bangladesh depend on water flow from Ganges River. The flow volume declines during the dry-season and it impacts the region. Many of the branches of rivers of Ganges River are cut off due to the diversion of water at Farakka, India since 1975. The Gorai River, a branch of Ganges River, is one of the major sources of freshwater supply to SWR and is the only one remaining branch river. Reduction in discharge due to upstream interventions have caused significant reduction in the dry season water level leading to serious environmental impact: especially along the coastal areas around the sanctuary forests where the salty water has increasingly been intruding. Therefore, following strategic measures are proposed for restoration of the Gorai River.</w:t>
      </w:r>
    </w:p>
    <w:p w:rsidR="00000000" w:rsidRDefault="00F64A6A" w:rsidP="003D5A31">
      <w:pPr>
        <w:pStyle w:val="ListParagraph"/>
        <w:numPr>
          <w:ilvl w:val="0"/>
          <w:numId w:val="168"/>
        </w:numPr>
        <w:autoSpaceDE w:val="0"/>
        <w:autoSpaceDN w:val="0"/>
        <w:adjustRightInd w:val="0"/>
        <w:spacing w:after="0" w:line="276" w:lineRule="auto"/>
        <w:jc w:val="both"/>
        <w:rPr>
          <w:rFonts w:cs="Times New Roman"/>
          <w:szCs w:val="24"/>
          <w:u w:val="single"/>
        </w:rPr>
      </w:pPr>
      <w:r w:rsidRPr="00F64A6A">
        <w:rPr>
          <w:rFonts w:cstheme="minorHAnsi"/>
          <w:u w:val="single"/>
          <w:shd w:val="clear" w:color="auto" w:fill="FFFFFF"/>
        </w:rPr>
        <w:t>Diversion of adequate quantum of Ganges flow to Gorai and other rivers through construction of Ganges Barrage.</w:t>
      </w:r>
    </w:p>
    <w:p w:rsidR="00000000" w:rsidRDefault="00F64A6A" w:rsidP="003D5A31">
      <w:pPr>
        <w:pStyle w:val="ListParagraph"/>
        <w:numPr>
          <w:ilvl w:val="0"/>
          <w:numId w:val="168"/>
        </w:numPr>
        <w:autoSpaceDE w:val="0"/>
        <w:autoSpaceDN w:val="0"/>
        <w:adjustRightInd w:val="0"/>
        <w:spacing w:after="0" w:line="276" w:lineRule="auto"/>
        <w:jc w:val="both"/>
        <w:rPr>
          <w:rFonts w:cstheme="minorHAnsi"/>
          <w:szCs w:val="24"/>
          <w:u w:val="single"/>
          <w:shd w:val="clear" w:color="auto" w:fill="FFFFFF"/>
        </w:rPr>
      </w:pPr>
      <w:r w:rsidRPr="00F64A6A">
        <w:rPr>
          <w:rFonts w:cstheme="minorHAnsi"/>
          <w:u w:val="single"/>
          <w:shd w:val="clear" w:color="auto" w:fill="FFFFFF"/>
        </w:rPr>
        <w:t>Dredging of the Gorai River and other rivers and effective management of dredged spoil</w:t>
      </w:r>
      <w:r w:rsidRPr="00F64A6A">
        <w:rPr>
          <w:rFonts w:cstheme="minorHAnsi"/>
          <w:u w:val="single"/>
          <w:shd w:val="clear" w:color="auto" w:fill="FFFFFF"/>
        </w:rPr>
        <w:br/>
      </w:r>
      <w:r w:rsidRPr="00F64A6A">
        <w:rPr>
          <w:rFonts w:cstheme="minorHAnsi"/>
          <w:sz w:val="22"/>
          <w:u w:val="single"/>
          <w:shd w:val="clear" w:color="auto" w:fill="FFFFFF"/>
        </w:rPr>
        <w:t>Enhanced Regional cooperation for equitable share of transboundary flow to restore the Gorai river.</w:t>
      </w:r>
    </w:p>
    <w:p w:rsidR="00A16ABB" w:rsidRPr="00AB56E1" w:rsidRDefault="00A16ABB" w:rsidP="00A16ABB">
      <w:pPr>
        <w:pStyle w:val="ListParagraph"/>
        <w:autoSpaceDE w:val="0"/>
        <w:autoSpaceDN w:val="0"/>
        <w:adjustRightInd w:val="0"/>
        <w:spacing w:after="0" w:line="276" w:lineRule="auto"/>
        <w:jc w:val="both"/>
        <w:rPr>
          <w:rFonts w:cstheme="minorHAnsi"/>
          <w:szCs w:val="24"/>
          <w:shd w:val="clear" w:color="auto" w:fill="FFFFFF"/>
        </w:rPr>
      </w:pPr>
    </w:p>
    <w:p w:rsidR="00C23B34" w:rsidRPr="00AB56E1" w:rsidRDefault="00C23B34" w:rsidP="00C23B34">
      <w:pPr>
        <w:spacing w:line="276" w:lineRule="auto"/>
        <w:jc w:val="both"/>
        <w:rPr>
          <w:rFonts w:cs="Times New Roman"/>
          <w:b/>
          <w:i/>
        </w:rPr>
      </w:pPr>
      <w:r w:rsidRPr="00AB56E1">
        <w:rPr>
          <w:rFonts w:cs="Times New Roman"/>
          <w:b/>
          <w:i/>
        </w:rPr>
        <w:t>The Halda River</w:t>
      </w:r>
    </w:p>
    <w:p w:rsidR="00C23B34" w:rsidRPr="00AB56E1" w:rsidRDefault="00C23B34" w:rsidP="00C23B34">
      <w:pPr>
        <w:autoSpaceDE w:val="0"/>
        <w:autoSpaceDN w:val="0"/>
        <w:adjustRightInd w:val="0"/>
        <w:spacing w:after="200" w:line="276" w:lineRule="auto"/>
        <w:jc w:val="both"/>
        <w:rPr>
          <w:rFonts w:cs="Times New Roman"/>
          <w:b/>
          <w:szCs w:val="24"/>
        </w:rPr>
      </w:pPr>
      <w:r w:rsidRPr="00AB56E1">
        <w:rPr>
          <w:rFonts w:cs="Times New Roman"/>
          <w:szCs w:val="24"/>
        </w:rPr>
        <w:t>Halda River is one of the major rivers in the South-East region of Bangladesh. It originates from Haldachora at the area of Patachora union in Ramgarh Upazila under Khagrachari District (Former Chittagong Hill Tracts), Bangladesh. This is the only pure major carp breeding field of Bangladesh, perhaps in South Asia. Different man-made and natural disasters like destruction of spawning ground by ox-bow cutting, massive quarry of sands from river bed illegally by a section of unscrupulous traders, pollution of the river by industrial waste, unplanned construction of a good number of sluice gates by the locals for irrigation purpose, climate change in the river have posed a serious threat to the bio-diversity of the Halda. Some of the main identified issues that put the Halda River under threat are the possibility of increased salinity in the river water due to extraction of surface water at the Madunaghat site, the traditional and unscientific sand mining in the Halda River mouth that might result in changes in river morphology and hydrodynamics; and the riverside industries and the disposal of their untreated solid and liquid wastes into this river. In order to protect the Halda river, following strategic measures are proposed.</w:t>
      </w:r>
    </w:p>
    <w:p w:rsidR="00C23B34" w:rsidRPr="00287F9A" w:rsidRDefault="00F64A6A" w:rsidP="00A631E1">
      <w:pPr>
        <w:pStyle w:val="ListParagraph"/>
        <w:numPr>
          <w:ilvl w:val="0"/>
          <w:numId w:val="32"/>
        </w:numPr>
        <w:spacing w:line="276" w:lineRule="auto"/>
        <w:ind w:left="360"/>
        <w:jc w:val="both"/>
        <w:rPr>
          <w:rFonts w:cs="Times New Roman"/>
          <w:szCs w:val="24"/>
          <w:u w:val="single"/>
        </w:rPr>
      </w:pPr>
      <w:r w:rsidRPr="00F64A6A">
        <w:rPr>
          <w:rFonts w:cs="Times New Roman"/>
          <w:szCs w:val="24"/>
          <w:u w:val="single"/>
        </w:rPr>
        <w:t>Development and implementation of an integrated project or programme aiming at protection and ecological restoration of Halda River.</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Protection of vital points along the river bank through construction of embankments or other appropriate measures. Moreover, an embankment along the Halda River of comparatively lower elevation would increase the river depth and minimize danger levels, reducing flooding of the surrounding areas that endangers fish and other aquatic lives.</w:t>
      </w:r>
    </w:p>
    <w:p w:rsidR="00C23B34" w:rsidRPr="00287F9A" w:rsidRDefault="00C23B34" w:rsidP="00A631E1">
      <w:pPr>
        <w:pStyle w:val="ListParagraph"/>
        <w:numPr>
          <w:ilvl w:val="0"/>
          <w:numId w:val="32"/>
        </w:numPr>
        <w:autoSpaceDE w:val="0"/>
        <w:autoSpaceDN w:val="0"/>
        <w:adjustRightInd w:val="0"/>
        <w:spacing w:after="0" w:line="276" w:lineRule="auto"/>
        <w:ind w:left="360"/>
        <w:jc w:val="both"/>
        <w:rPr>
          <w:rFonts w:cstheme="minorHAnsi"/>
          <w:u w:val="single"/>
          <w:shd w:val="clear" w:color="auto" w:fill="FFFFFF"/>
        </w:rPr>
      </w:pPr>
      <w:r w:rsidRPr="00AB56E1">
        <w:rPr>
          <w:rFonts w:cstheme="minorHAnsi"/>
          <w:shd w:val="clear" w:color="auto" w:fill="FFFFFF"/>
        </w:rPr>
        <w:t xml:space="preserve">The minimum water level should be fixed to ensure fish spawning in the Halda River. To maintain environmental flow, an increase in water level and flow is needed to inundate suitable habitat, dampen water temperature extremes and dilute poor water quality inputs. </w:t>
      </w:r>
      <w:r w:rsidR="00F64A6A" w:rsidRPr="00F64A6A">
        <w:rPr>
          <w:rFonts w:cstheme="minorHAnsi"/>
          <w:u w:val="single"/>
          <w:shd w:val="clear" w:color="auto" w:fill="FFFFFF"/>
        </w:rPr>
        <w:lastRenderedPageBreak/>
        <w:t>Dredging of the river should be carried out to increase water depth and flow to ensure at least a satisfactory habitat for fish.</w:t>
      </w:r>
      <w:r w:rsidR="00287F9A">
        <w:rPr>
          <w:rFonts w:cstheme="minorHAnsi"/>
          <w:u w:val="single"/>
          <w:shd w:val="clear" w:color="auto" w:fill="FFFFFF"/>
        </w:rPr>
        <w:t xml:space="preserve"> Dredging of Halda river must precede by careful feasibility study done by experts including environmentalists and fishery experts.</w:t>
      </w:r>
    </w:p>
    <w:p w:rsidR="00C23B34" w:rsidRPr="0081574F" w:rsidRDefault="00C23B34" w:rsidP="00C23B34">
      <w:pPr>
        <w:pStyle w:val="ListParagraph"/>
        <w:autoSpaceDE w:val="0"/>
        <w:autoSpaceDN w:val="0"/>
        <w:adjustRightInd w:val="0"/>
        <w:spacing w:after="0" w:line="276" w:lineRule="auto"/>
        <w:ind w:left="360"/>
        <w:jc w:val="both"/>
        <w:rPr>
          <w:rFonts w:cstheme="minorHAnsi"/>
          <w:shd w:val="clear" w:color="auto" w:fill="FFFFFF"/>
        </w:rPr>
      </w:pPr>
    </w:p>
    <w:p w:rsidR="00C23B34" w:rsidRPr="00AB56E1" w:rsidRDefault="00C23B34" w:rsidP="00C23B34">
      <w:pPr>
        <w:spacing w:line="276" w:lineRule="auto"/>
        <w:jc w:val="both"/>
        <w:rPr>
          <w:rFonts w:cs="Times New Roman"/>
          <w:b/>
          <w:i/>
        </w:rPr>
      </w:pPr>
      <w:r w:rsidRPr="00AB56E1">
        <w:rPr>
          <w:rFonts w:cs="Times New Roman"/>
          <w:b/>
          <w:i/>
        </w:rPr>
        <w:t>Bangali River</w:t>
      </w:r>
    </w:p>
    <w:p w:rsidR="00C23B34" w:rsidRPr="00AB56E1" w:rsidRDefault="00C23B34" w:rsidP="00C23B34">
      <w:pPr>
        <w:autoSpaceDE w:val="0"/>
        <w:autoSpaceDN w:val="0"/>
        <w:adjustRightInd w:val="0"/>
        <w:spacing w:after="200" w:line="276" w:lineRule="auto"/>
        <w:jc w:val="both"/>
        <w:rPr>
          <w:rFonts w:cs="Times New Roman"/>
          <w:szCs w:val="24"/>
        </w:rPr>
      </w:pPr>
      <w:r w:rsidRPr="00AB56E1">
        <w:rPr>
          <w:rFonts w:cs="Times New Roman"/>
          <w:szCs w:val="24"/>
        </w:rPr>
        <w:t>The Bangali river is the part of the largest Brahmaputra and Jamuna river system. It’s a major problem that the water level of this system is increasing. Erosion by the Jamuna River has turned serious in some areas including the west bank of the river in Sariakandi point. This level of security against damaging floods is now under threat from the continuing erosion of the right bank of the river, which is increasingly causing breaches of the Sariakandi point.  In addition to this problem there is the more direct hardship that arises from the massive erosion of fertile farmland along the bank line and the displacement of the farmers, who are forced to take refuge on the remaining flood embankment as the only safe haven available. Contrary to the belief held by some</w:t>
      </w:r>
      <w:r w:rsidR="00287F9A">
        <w:rPr>
          <w:rFonts w:cs="Times New Roman"/>
          <w:szCs w:val="24"/>
        </w:rPr>
        <w:t>,</w:t>
      </w:r>
      <w:r w:rsidRPr="00AB56E1">
        <w:rPr>
          <w:rFonts w:cs="Times New Roman"/>
          <w:szCs w:val="24"/>
        </w:rPr>
        <w:t xml:space="preserve"> </w:t>
      </w:r>
      <w:r w:rsidR="00287F9A">
        <w:rPr>
          <w:rFonts w:cs="Times New Roman"/>
          <w:szCs w:val="24"/>
        </w:rPr>
        <w:t>t</w:t>
      </w:r>
      <w:r w:rsidR="00287F9A" w:rsidRPr="00AB56E1">
        <w:rPr>
          <w:rFonts w:cs="Times New Roman"/>
          <w:szCs w:val="24"/>
        </w:rPr>
        <w:t xml:space="preserve">hese </w:t>
      </w:r>
      <w:r w:rsidRPr="00AB56E1">
        <w:rPr>
          <w:rFonts w:cs="Times New Roman"/>
          <w:szCs w:val="24"/>
        </w:rPr>
        <w:t xml:space="preserve">breaches and the ensuing sudden floods have become more frequent over recent years as progressively greater lengths of the Brahmaputra River Embankment become within range of the more aggressive river bends. The consequent displacement of families from their homes and land has added to the already daunting problems of homelessness; </w:t>
      </w:r>
      <w:r w:rsidR="00287F9A">
        <w:rPr>
          <w:rFonts w:cs="Times New Roman"/>
          <w:szCs w:val="24"/>
        </w:rPr>
        <w:t>r</w:t>
      </w:r>
      <w:r w:rsidRPr="00AB56E1">
        <w:rPr>
          <w:rFonts w:cs="Times New Roman"/>
          <w:szCs w:val="24"/>
        </w:rPr>
        <w:t xml:space="preserve">e-settlement and unemployment: an example of the order of magnitude of the problems. The potential damages in the short term for six locations along the Brahmaputra River Embankment that have been experiencing severe bank erosion during the past four or five years. Because of this cyclical nature of erosion, sections that occur as the highly mobile smaller chars (islands) migrate down the river. The development of these bends is therefore very hard to predict and the current state of knowledge permits only approximate forecasts of the location and severity of erosion. </w:t>
      </w:r>
    </w:p>
    <w:p w:rsidR="00C23B34" w:rsidRPr="00AB56E1" w:rsidRDefault="00C23B34" w:rsidP="00C23B34">
      <w:pPr>
        <w:autoSpaceDE w:val="0"/>
        <w:autoSpaceDN w:val="0"/>
        <w:adjustRightInd w:val="0"/>
        <w:spacing w:after="200" w:line="276" w:lineRule="auto"/>
        <w:jc w:val="both"/>
        <w:rPr>
          <w:rFonts w:cs="Times New Roman"/>
          <w:szCs w:val="24"/>
        </w:rPr>
      </w:pPr>
      <w:r w:rsidRPr="00AB56E1">
        <w:rPr>
          <w:rFonts w:cs="Times New Roman"/>
          <w:szCs w:val="24"/>
        </w:rPr>
        <w:t>Following measures are proposed in connection to the above mentioned problems:</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 xml:space="preserve">Intensive research to understand the hydrodynamics of the Sariakandi </w:t>
      </w:r>
      <w:r w:rsidR="00287F9A">
        <w:rPr>
          <w:rFonts w:cs="Times New Roman"/>
          <w:szCs w:val="24"/>
        </w:rPr>
        <w:t xml:space="preserve">section </w:t>
      </w:r>
      <w:r w:rsidRPr="00AB56E1">
        <w:rPr>
          <w:rFonts w:cs="Times New Roman"/>
          <w:szCs w:val="24"/>
        </w:rPr>
        <w:t>and finding appropriate measure for solution.</w:t>
      </w:r>
    </w:p>
    <w:p w:rsidR="00C23B34" w:rsidRPr="00AB56E1" w:rsidRDefault="00C23B34" w:rsidP="00A631E1">
      <w:pPr>
        <w:pStyle w:val="ListParagraph"/>
        <w:numPr>
          <w:ilvl w:val="0"/>
          <w:numId w:val="32"/>
        </w:numPr>
        <w:spacing w:line="276" w:lineRule="auto"/>
        <w:ind w:left="360"/>
        <w:jc w:val="both"/>
        <w:rPr>
          <w:rFonts w:cs="Times New Roman"/>
          <w:szCs w:val="24"/>
        </w:rPr>
      </w:pPr>
      <w:r w:rsidRPr="00AB56E1">
        <w:rPr>
          <w:rFonts w:cs="Times New Roman"/>
          <w:szCs w:val="24"/>
        </w:rPr>
        <w:t xml:space="preserve">Dredging of the river to keep the water level low and accommodate the flow of the river </w:t>
      </w:r>
    </w:p>
    <w:p w:rsidR="00C23B34" w:rsidRPr="00AB56E1" w:rsidRDefault="00C23B34" w:rsidP="00A631E1">
      <w:pPr>
        <w:pStyle w:val="ListParagraph"/>
        <w:numPr>
          <w:ilvl w:val="0"/>
          <w:numId w:val="32"/>
        </w:numPr>
        <w:spacing w:line="276" w:lineRule="auto"/>
        <w:ind w:left="360"/>
        <w:jc w:val="both"/>
        <w:rPr>
          <w:rFonts w:cs="Times New Roman"/>
          <w:szCs w:val="24"/>
          <w:shd w:val="clear" w:color="auto" w:fill="FFFFFF"/>
        </w:rPr>
      </w:pPr>
      <w:r w:rsidRPr="00AB56E1">
        <w:rPr>
          <w:rFonts w:cs="Times New Roman"/>
          <w:szCs w:val="24"/>
        </w:rPr>
        <w:t>Long-term protection plan to prevent the bank erosion.</w:t>
      </w:r>
    </w:p>
    <w:p w:rsidR="00F64A6A" w:rsidRDefault="00C23B34" w:rsidP="00F64A6A">
      <w:pPr>
        <w:pStyle w:val="Heading2"/>
      </w:pPr>
      <w:bookmarkStart w:id="502" w:name="_Toc474638887"/>
      <w:r w:rsidRPr="00C23B34">
        <w:t>Implications for Implementation of Water Strategies</w:t>
      </w:r>
      <w:bookmarkEnd w:id="502"/>
    </w:p>
    <w:p w:rsidR="00C23B34" w:rsidRDefault="00C23B34" w:rsidP="00C23B34">
      <w:pPr>
        <w:spacing w:line="276" w:lineRule="auto"/>
        <w:jc w:val="both"/>
        <w:rPr>
          <w:rFonts w:cs="Times New Roman"/>
          <w:szCs w:val="24"/>
          <w:shd w:val="clear" w:color="auto" w:fill="FFFFFF"/>
        </w:rPr>
      </w:pPr>
      <w:r w:rsidRPr="00AB56E1">
        <w:rPr>
          <w:rFonts w:cs="Times New Roman"/>
          <w:szCs w:val="24"/>
          <w:shd w:val="clear" w:color="auto" w:fill="FFFFFF"/>
        </w:rPr>
        <w:t>The above water management strategy if implemented well will provide the basis for achieving the long-term objectives of the BDP2100 specific goals.  Implementation will require resources, policies and institutions. The resources will come in the form of specific projects. The choice of specific projects and timing of implementation will depend upon availability of resources, th</w:t>
      </w:r>
      <w:r>
        <w:rPr>
          <w:rFonts w:cs="Times New Roman"/>
          <w:szCs w:val="24"/>
          <w:shd w:val="clear" w:color="auto" w:fill="FFFFFF"/>
        </w:rPr>
        <w:t>e adequacy of implementation ar</w:t>
      </w:r>
      <w:r w:rsidRPr="00AB56E1">
        <w:rPr>
          <w:rFonts w:cs="Times New Roman"/>
          <w:szCs w:val="24"/>
          <w:shd w:val="clear" w:color="auto" w:fill="FFFFFF"/>
        </w:rPr>
        <w:t xml:space="preserve">rangements and the political economy consideration especially as they relate to cross-boundary issues.  The projects will have to be designed and selected in a way that they are robust and meet the “no-regrets” criteria especially in terms of environment, resettlement and livelihood considerations.  Issues of investment priorities, criteria for project </w:t>
      </w:r>
      <w:r w:rsidRPr="00AB56E1">
        <w:rPr>
          <w:rFonts w:cs="Times New Roman"/>
          <w:szCs w:val="24"/>
          <w:shd w:val="clear" w:color="auto" w:fill="FFFFFF"/>
        </w:rPr>
        <w:lastRenderedPageBreak/>
        <w:t xml:space="preserve">selection and financing are discussed in Chapter 11.  The implementation of the above water strategies will also require proper regulatory policies and institutional arrangements. Governance and institutional issues for broader Delta Plan implementation that also have major consequences for the implementation of water investments are discussed in Chapter </w:t>
      </w:r>
      <w:r w:rsidR="00287F9A">
        <w:rPr>
          <w:rFonts w:cs="Times New Roman"/>
          <w:szCs w:val="24"/>
          <w:shd w:val="clear" w:color="auto" w:fill="FFFFFF"/>
        </w:rPr>
        <w:t>1</w:t>
      </w:r>
      <w:r w:rsidR="001A2A3D">
        <w:rPr>
          <w:rFonts w:cs="Times New Roman"/>
          <w:szCs w:val="24"/>
          <w:shd w:val="clear" w:color="auto" w:fill="FFFFFF"/>
        </w:rPr>
        <w:t>2</w:t>
      </w:r>
      <w:r w:rsidRPr="00AB56E1">
        <w:rPr>
          <w:rFonts w:cs="Times New Roman"/>
          <w:szCs w:val="24"/>
          <w:shd w:val="clear" w:color="auto" w:fill="FFFFFF"/>
        </w:rPr>
        <w:t>.</w:t>
      </w:r>
    </w:p>
    <w:p w:rsidR="00873CB9" w:rsidRDefault="00873CB9" w:rsidP="000D60E4">
      <w:pPr>
        <w:spacing w:line="276" w:lineRule="auto"/>
        <w:jc w:val="both"/>
        <w:rPr>
          <w:rFonts w:cs="Times New Roman"/>
          <w:color w:val="000000" w:themeColor="text1"/>
          <w:szCs w:val="24"/>
          <w:shd w:val="clear" w:color="auto" w:fill="FFFFFF"/>
        </w:rPr>
      </w:pPr>
    </w:p>
    <w:p w:rsidR="00C23B34" w:rsidRPr="00873CB9" w:rsidRDefault="00C23B34" w:rsidP="000D60E4">
      <w:pPr>
        <w:spacing w:line="276" w:lineRule="auto"/>
        <w:jc w:val="both"/>
        <w:rPr>
          <w:rFonts w:cs="Times New Roman"/>
          <w:color w:val="000000" w:themeColor="text1"/>
          <w:szCs w:val="24"/>
          <w:shd w:val="clear" w:color="auto" w:fill="FFFFFF"/>
        </w:rPr>
        <w:sectPr w:rsidR="00C23B34" w:rsidRPr="00873CB9" w:rsidSect="00144771">
          <w:headerReference w:type="even" r:id="rId113"/>
          <w:headerReference w:type="default" r:id="rId114"/>
          <w:footerReference w:type="default" r:id="rId115"/>
          <w:headerReference w:type="first" r:id="rId116"/>
          <w:pgSz w:w="12240" w:h="15840"/>
          <w:pgMar w:top="1440" w:right="1440" w:bottom="1440" w:left="1440" w:header="720" w:footer="720" w:gutter="0"/>
          <w:cols w:space="720"/>
          <w:docGrid w:linePitch="360"/>
        </w:sectPr>
      </w:pPr>
    </w:p>
    <w:p w:rsidR="00A356FA" w:rsidRPr="002F6165" w:rsidRDefault="00BF3570" w:rsidP="002F6165">
      <w:pPr>
        <w:pStyle w:val="Title"/>
        <w:pBdr>
          <w:bottom w:val="single" w:sz="8" w:space="7" w:color="4F81BD" w:themeColor="accent1"/>
        </w:pBdr>
        <w:spacing w:after="360"/>
        <w:jc w:val="center"/>
        <w:rPr>
          <w:rFonts w:cs="Times New Roman"/>
          <w:b/>
          <w:color w:val="1F497D" w:themeColor="text2"/>
          <w:szCs w:val="36"/>
        </w:rPr>
      </w:pPr>
      <w:bookmarkStart w:id="503" w:name="_Toc474638888"/>
      <w:r>
        <w:rPr>
          <w:rFonts w:cs="Times New Roman"/>
          <w:b/>
          <w:color w:val="1F497D" w:themeColor="text2"/>
          <w:szCs w:val="36"/>
        </w:rPr>
        <w:lastRenderedPageBreak/>
        <w:t>CHAPTER 7</w:t>
      </w:r>
      <w:bookmarkEnd w:id="503"/>
    </w:p>
    <w:p w:rsidR="00A356FA" w:rsidRPr="002F6165" w:rsidRDefault="00A356FA" w:rsidP="008C0601">
      <w:pPr>
        <w:pStyle w:val="Heading1"/>
      </w:pPr>
      <w:bookmarkStart w:id="504" w:name="_Toc474638889"/>
      <w:r w:rsidRPr="002F6165">
        <w:t>Land Resource Management</w:t>
      </w:r>
      <w:bookmarkEnd w:id="504"/>
    </w:p>
    <w:p w:rsidR="00A356FA" w:rsidRPr="00194327" w:rsidRDefault="00A356FA" w:rsidP="00770024">
      <w:pPr>
        <w:suppressAutoHyphens/>
        <w:spacing w:after="200"/>
        <w:ind w:left="360"/>
        <w:jc w:val="center"/>
        <w:rPr>
          <w:rFonts w:cs="Times New Roman"/>
          <w:b/>
          <w:i/>
          <w:color w:val="1F497D" w:themeColor="text2"/>
          <w:sz w:val="28"/>
          <w:szCs w:val="28"/>
        </w:rPr>
      </w:pPr>
      <w:r w:rsidRPr="00194327">
        <w:rPr>
          <w:rFonts w:cs="Times New Roman"/>
          <w:b/>
          <w:i/>
          <w:color w:val="1F497D" w:themeColor="text2"/>
          <w:sz w:val="28"/>
          <w:szCs w:val="28"/>
        </w:rPr>
        <w:t>Sustainable Land Use and Spatial Planning Across the Dynamic Delta and Land Reclamation Plan</w:t>
      </w:r>
    </w:p>
    <w:p w:rsidR="00A356FA" w:rsidRPr="002F6165" w:rsidRDefault="007A09E1" w:rsidP="0001495A">
      <w:pPr>
        <w:pStyle w:val="Heading2"/>
      </w:pPr>
      <w:bookmarkStart w:id="505" w:name="_Toc474638890"/>
      <w:r>
        <w:t>7.1</w:t>
      </w:r>
      <w:r w:rsidR="00876602">
        <w:t>.</w:t>
      </w:r>
      <w:r>
        <w:tab/>
      </w:r>
      <w:r w:rsidR="00A356FA" w:rsidRPr="002F6165">
        <w:t>Introduction</w:t>
      </w:r>
      <w:bookmarkEnd w:id="505"/>
    </w:p>
    <w:p w:rsidR="00A356FA" w:rsidRDefault="00401E9D" w:rsidP="00770024">
      <w:pPr>
        <w:spacing w:after="200" w:line="276" w:lineRule="auto"/>
        <w:jc w:val="both"/>
        <w:rPr>
          <w:rFonts w:cs="Times New Roman"/>
        </w:rPr>
      </w:pPr>
      <w:r>
        <w:rPr>
          <w:rFonts w:cs="Times New Roman"/>
        </w:rPr>
        <w:t xml:space="preserve">Bangladesh </w:t>
      </w:r>
      <w:r w:rsidR="000716C3">
        <w:rPr>
          <w:rFonts w:cs="Times New Roman"/>
        </w:rPr>
        <w:t xml:space="preserve">economy </w:t>
      </w:r>
      <w:r w:rsidR="00A356FA" w:rsidRPr="00EE25BA">
        <w:rPr>
          <w:rFonts w:cs="Times New Roman"/>
        </w:rPr>
        <w:t xml:space="preserve">is </w:t>
      </w:r>
      <w:r w:rsidR="000716C3">
        <w:rPr>
          <w:rFonts w:cs="Times New Roman"/>
        </w:rPr>
        <w:t xml:space="preserve">still </w:t>
      </w:r>
      <w:r w:rsidR="00A356FA" w:rsidRPr="00EE25BA">
        <w:rPr>
          <w:rFonts w:cs="Times New Roman"/>
        </w:rPr>
        <w:t>characterized by rice-based agriculture dominated landscapes, within</w:t>
      </w:r>
      <w:r w:rsidR="00A356FA" w:rsidRPr="00EE25BA">
        <w:rPr>
          <w:rFonts w:cs="Times New Roman"/>
          <w:bCs/>
        </w:rPr>
        <w:t xml:space="preserve"> the largest delta in the world. </w:t>
      </w:r>
      <w:r w:rsidR="00A356FA" w:rsidRPr="00EE25BA">
        <w:rPr>
          <w:rFonts w:cs="Times New Roman"/>
        </w:rPr>
        <w:t xml:space="preserve">The vast plain land is washed by the mighty rivers-the Meghna, the Padma, the Jamuna and the Karnaphuli and their numerous tributaries and </w:t>
      </w:r>
      <w:r w:rsidR="000D1447" w:rsidRPr="00EE25BA">
        <w:rPr>
          <w:rFonts w:cs="Times New Roman"/>
        </w:rPr>
        <w:t>deposit</w:t>
      </w:r>
      <w:r w:rsidR="000D1447">
        <w:rPr>
          <w:rFonts w:cs="Times New Roman"/>
        </w:rPr>
        <w:t>s</w:t>
      </w:r>
      <w:r w:rsidR="00A356FA" w:rsidRPr="00EE25BA">
        <w:rPr>
          <w:rFonts w:cs="Times New Roman"/>
        </w:rPr>
        <w:t>.</w:t>
      </w:r>
      <w:r w:rsidR="00A356FA" w:rsidRPr="00EE25BA">
        <w:rPr>
          <w:rFonts w:cs="Times New Roman"/>
          <w:bCs/>
        </w:rPr>
        <w:t xml:space="preserve"> </w:t>
      </w:r>
      <w:r w:rsidR="00A356FA" w:rsidRPr="00EE25BA">
        <w:rPr>
          <w:rFonts w:cs="Times New Roman"/>
        </w:rPr>
        <w:t>The total area of Bangladesh is about 1,4</w:t>
      </w:r>
      <w:r w:rsidR="002521F8">
        <w:rPr>
          <w:rFonts w:cs="Times New Roman"/>
        </w:rPr>
        <w:t>7</w:t>
      </w:r>
      <w:r w:rsidR="00A356FA" w:rsidRPr="00EE25BA">
        <w:rPr>
          <w:rFonts w:cs="Times New Roman"/>
        </w:rPr>
        <w:t>,570 sq. km with population over 160 million, which makes Bangladesh a densely populated country and land-man ratio is lowest in the world, which is estimated to be 0.06 hect</w:t>
      </w:r>
      <w:r w:rsidR="00061254">
        <w:rPr>
          <w:rFonts w:cs="Times New Roman"/>
        </w:rPr>
        <w:t>ares (ha) per person</w:t>
      </w:r>
      <w:r w:rsidR="00A356FA" w:rsidRPr="00EE25BA">
        <w:rPr>
          <w:rFonts w:cs="Times New Roman"/>
        </w:rPr>
        <w:t>. The main landforms in Bangladesh are ridges, basins, char lands, hills,</w:t>
      </w:r>
      <w:r w:rsidR="000D1447">
        <w:rPr>
          <w:rFonts w:cs="Times New Roman"/>
        </w:rPr>
        <w:t xml:space="preserve"> mild</w:t>
      </w:r>
      <w:r w:rsidR="00A356FA" w:rsidRPr="00EE25BA">
        <w:rPr>
          <w:rFonts w:cs="Times New Roman"/>
        </w:rPr>
        <w:t xml:space="preserve"> terraces, rivers, and valleys.  As shown in Fig</w:t>
      </w:r>
      <w:r w:rsidR="00564621">
        <w:rPr>
          <w:rFonts w:cs="Times New Roman"/>
        </w:rPr>
        <w:t>ure</w:t>
      </w:r>
      <w:r w:rsidR="00A356FA" w:rsidRPr="00EE25BA">
        <w:rPr>
          <w:rFonts w:cs="Times New Roman"/>
        </w:rPr>
        <w:t xml:space="preserve"> </w:t>
      </w:r>
      <w:r w:rsidR="00061254">
        <w:rPr>
          <w:rFonts w:cs="Times New Roman"/>
        </w:rPr>
        <w:t>7.</w:t>
      </w:r>
      <w:r w:rsidR="00A356FA" w:rsidRPr="00EE25BA">
        <w:rPr>
          <w:rFonts w:cs="Times New Roman"/>
        </w:rPr>
        <w:t xml:space="preserve">1 below, 80% of it is flood plain, 12% is hilly and the remaining 8% is under uplifted blocks (terraces). Vast area of these flood plain lands gets inundated during monsoon season and becomes intractable for cultivation. In summer, the swamp areas dry up and come under cultivation. These swamps are also source of fish resources. The hilly tract is used for plantation of tea, rubber, pineapples and terrace cultivation. </w:t>
      </w:r>
    </w:p>
    <w:p w:rsidR="00A356FA" w:rsidRPr="00067859" w:rsidRDefault="00A356FA" w:rsidP="001A40B7">
      <w:pPr>
        <w:pStyle w:val="Heading5"/>
      </w:pPr>
      <w:bookmarkStart w:id="506" w:name="_Toc474639189"/>
      <w:r>
        <w:t xml:space="preserve">Figure </w:t>
      </w:r>
      <w:r w:rsidR="005D2352">
        <w:t>7.1</w:t>
      </w:r>
      <w:r w:rsidRPr="00067859">
        <w:t>: Land Forms in Bangladesh</w:t>
      </w:r>
      <w:bookmarkEnd w:id="506"/>
    </w:p>
    <w:p w:rsidR="00A356FA" w:rsidRPr="00DB2A04" w:rsidRDefault="00A356FA" w:rsidP="00024601">
      <w:pPr>
        <w:widowControl w:val="0"/>
        <w:autoSpaceDE w:val="0"/>
        <w:autoSpaceDN w:val="0"/>
        <w:adjustRightInd w:val="0"/>
        <w:spacing w:after="0"/>
        <w:jc w:val="center"/>
        <w:rPr>
          <w:rFonts w:cs="Times New Roman"/>
          <w:color w:val="FF0000"/>
        </w:rPr>
      </w:pPr>
      <w:r w:rsidRPr="00DB2A04">
        <w:rPr>
          <w:noProof/>
          <w:lang w:val="en-AU" w:eastAsia="en-AU" w:bidi="bn-BD"/>
        </w:rPr>
        <w:drawing>
          <wp:inline distT="0" distB="0" distL="0" distR="0">
            <wp:extent cx="5120640" cy="3108960"/>
            <wp:effectExtent l="0" t="0" r="3810" b="1524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A356FA" w:rsidRPr="001421A3" w:rsidRDefault="00A356FA" w:rsidP="00024601">
      <w:pPr>
        <w:pStyle w:val="NormalWeb"/>
        <w:shd w:val="clear" w:color="auto" w:fill="FFFFFF"/>
        <w:spacing w:before="0" w:beforeAutospacing="0" w:after="240" w:afterAutospacing="0" w:line="276" w:lineRule="auto"/>
        <w:ind w:left="450"/>
        <w:rPr>
          <w:b/>
          <w:i/>
          <w:iCs/>
          <w:color w:val="000000" w:themeColor="text1"/>
          <w:sz w:val="20"/>
          <w:szCs w:val="20"/>
        </w:rPr>
      </w:pPr>
      <w:r w:rsidRPr="001421A3">
        <w:rPr>
          <w:b/>
          <w:i/>
          <w:iCs/>
          <w:color w:val="000000" w:themeColor="text1"/>
          <w:sz w:val="20"/>
          <w:szCs w:val="20"/>
        </w:rPr>
        <w:t>Source: Bangladesh Bureau of Statistics</w:t>
      </w:r>
    </w:p>
    <w:p w:rsidR="00175BE5" w:rsidRDefault="00A356FA" w:rsidP="00175BE5">
      <w:pPr>
        <w:pStyle w:val="Default"/>
        <w:spacing w:line="276" w:lineRule="auto"/>
        <w:jc w:val="both"/>
        <w:rPr>
          <w:rFonts w:ascii="Times New Roman" w:hAnsi="Times New Roman" w:cs="Times New Roman"/>
          <w:color w:val="000000" w:themeColor="text1"/>
        </w:rPr>
      </w:pPr>
      <w:r w:rsidRPr="00067859">
        <w:rPr>
          <w:rFonts w:ascii="Times New Roman" w:hAnsi="Times New Roman" w:cs="Times New Roman"/>
          <w:color w:val="000000" w:themeColor="text1"/>
        </w:rPr>
        <w:lastRenderedPageBreak/>
        <w:t>Land is a finite resource, and with requirements for human needs ever expanding from diverse social and economic activities. These have also been placing ever-increasing pressure on land resources.  There is competing demand for land use; and because of its scarcity there is speculative land pricing in an otherwise a very inefficiently functioning land market.  Land resources are the major asset contributing wealth and livelihood in both urban and rural areas.  It is deemed as the safest asset to hold and pass on for inheritance, and also the fastest way for appreciating the wealth of a person.  This wealth aspect has also been the source of conflicts and clogging up of the court system by cases that are land related.  All these results in suboptimal use of both land and land related resources.  While there had been land reforms limiting holding sizes, land inequality continues to remain a problem in Bangladesh</w:t>
      </w:r>
      <w:r w:rsidR="00072A30">
        <w:rPr>
          <w:rFonts w:ascii="Times New Roman" w:hAnsi="Times New Roman" w:cs="Times New Roman"/>
          <w:color w:val="000000" w:themeColor="text1"/>
        </w:rPr>
        <w:t>.</w:t>
      </w:r>
      <w:r w:rsidRPr="00067859">
        <w:rPr>
          <w:rFonts w:ascii="Times New Roman" w:hAnsi="Times New Roman" w:cs="Times New Roman"/>
          <w:color w:val="000000" w:themeColor="text1"/>
        </w:rPr>
        <w:t xml:space="preserve"> This, in the context of the land accretion and erosion in the Bangladesh delta region, is even more of a problem. </w:t>
      </w:r>
    </w:p>
    <w:p w:rsidR="00401E9D" w:rsidRPr="00175BE5" w:rsidRDefault="00401E9D" w:rsidP="00175BE5">
      <w:pPr>
        <w:pStyle w:val="Default"/>
        <w:spacing w:line="276" w:lineRule="auto"/>
        <w:jc w:val="both"/>
        <w:rPr>
          <w:rFonts w:ascii="Times New Roman" w:hAnsi="Times New Roman" w:cs="Times New Roman"/>
          <w:color w:val="000000" w:themeColor="text1"/>
        </w:rPr>
      </w:pPr>
      <w:r w:rsidRPr="00175BE5">
        <w:rPr>
          <w:rFonts w:ascii="Times New Roman" w:hAnsi="Times New Roman" w:cs="Times New Roman"/>
          <w:b/>
          <w:color w:val="000000" w:themeColor="text1"/>
          <w:szCs w:val="24"/>
        </w:rPr>
        <w:t xml:space="preserve">Necessity for </w:t>
      </w:r>
      <w:r w:rsidR="00EA4E38" w:rsidRPr="00175BE5">
        <w:rPr>
          <w:rFonts w:ascii="Times New Roman" w:hAnsi="Times New Roman" w:cs="Times New Roman"/>
          <w:b/>
          <w:color w:val="000000" w:themeColor="text1"/>
          <w:szCs w:val="24"/>
        </w:rPr>
        <w:t>Integral</w:t>
      </w:r>
      <w:r w:rsidRPr="00175BE5">
        <w:rPr>
          <w:rFonts w:ascii="Times New Roman" w:hAnsi="Times New Roman" w:cs="Times New Roman"/>
          <w:b/>
          <w:color w:val="000000" w:themeColor="text1"/>
          <w:szCs w:val="24"/>
        </w:rPr>
        <w:t xml:space="preserve"> Spatial Planning:</w:t>
      </w:r>
      <w:r>
        <w:rPr>
          <w:b/>
          <w:i/>
          <w:color w:val="000000" w:themeColor="text1"/>
          <w:szCs w:val="24"/>
        </w:rPr>
        <w:t xml:space="preserve"> </w:t>
      </w:r>
      <w:r w:rsidRPr="00175BE5">
        <w:rPr>
          <w:rFonts w:ascii="Times New Roman" w:hAnsi="Times New Roman" w:cs="Times New Roman"/>
          <w:i/>
          <w:color w:val="000000" w:themeColor="text1"/>
          <w:szCs w:val="24"/>
        </w:rPr>
        <w:t xml:space="preserve">One strategic option for optimizing land resource management is in addressing this issue is adopting integral spatial planning in Bangladesh. </w:t>
      </w:r>
      <w:r w:rsidRPr="00175BE5">
        <w:rPr>
          <w:rFonts w:ascii="Times New Roman" w:hAnsi="Times New Roman" w:cs="Times New Roman"/>
          <w:color w:val="000000" w:themeColor="text1"/>
          <w:szCs w:val="24"/>
        </w:rPr>
        <w:t>The importance of spatial planning as an instrument to guide development in Bangladesh has already been underlined in several policy documents including the 7</w:t>
      </w:r>
      <w:r w:rsidRPr="00175BE5">
        <w:rPr>
          <w:rFonts w:ascii="Times New Roman" w:hAnsi="Times New Roman" w:cs="Times New Roman"/>
          <w:color w:val="000000" w:themeColor="text1"/>
          <w:szCs w:val="24"/>
          <w:vertAlign w:val="superscript"/>
        </w:rPr>
        <w:t>th</w:t>
      </w:r>
      <w:r w:rsidRPr="00175BE5">
        <w:rPr>
          <w:rFonts w:ascii="Times New Roman" w:hAnsi="Times New Roman" w:cs="Times New Roman"/>
          <w:color w:val="000000" w:themeColor="text1"/>
          <w:szCs w:val="24"/>
        </w:rPr>
        <w:t xml:space="preserve"> FYP and the draft urban sector policy. In the context of integral, adaptive delta management in general and the BDP 2100 in particular, we see spatial planning as an essential tool to provide a consistent direction in cross-sector development.</w:t>
      </w:r>
    </w:p>
    <w:p w:rsidR="00175BE5" w:rsidRPr="00175BE5" w:rsidRDefault="00175BE5" w:rsidP="000716C3">
      <w:pPr>
        <w:jc w:val="both"/>
        <w:rPr>
          <w:color w:val="000000" w:themeColor="text1"/>
        </w:rPr>
      </w:pPr>
      <w:r>
        <w:rPr>
          <w:color w:val="000000" w:themeColor="text1"/>
        </w:rPr>
        <w:t xml:space="preserve">Necessity of Integral Spatial Planning: One strategic option for optimizing land </w:t>
      </w:r>
    </w:p>
    <w:p w:rsidR="000716C3" w:rsidRPr="00401E9D" w:rsidRDefault="000716C3" w:rsidP="000716C3">
      <w:pPr>
        <w:jc w:val="both"/>
        <w:rPr>
          <w:color w:val="000000" w:themeColor="text1"/>
        </w:rPr>
      </w:pPr>
      <w:r w:rsidRPr="00401E9D">
        <w:rPr>
          <w:color w:val="000000" w:themeColor="text1"/>
        </w:rPr>
        <w:t>The importance of spatial planning as an instrument to guide development in Bangladesh has already been underlined in several policy documents including the 7</w:t>
      </w:r>
      <w:r w:rsidRPr="00401E9D">
        <w:rPr>
          <w:color w:val="000000" w:themeColor="text1"/>
          <w:vertAlign w:val="superscript"/>
        </w:rPr>
        <w:t>th</w:t>
      </w:r>
      <w:r w:rsidRPr="00401E9D">
        <w:rPr>
          <w:color w:val="000000" w:themeColor="text1"/>
        </w:rPr>
        <w:t xml:space="preserve"> FYP and the draft urban sector policy. In the context of integral, adaptive delta management in general and the BDP 2100 in particular, we see spatial planning as an essential tool to provide a consistent direction in cross-sector development. Hence the concept is adopted in the preferred strategy for the urban area hotpot. Integral planning can be employed to achieve the following goals:</w:t>
      </w:r>
    </w:p>
    <w:p w:rsidR="00000000" w:rsidRDefault="000716C3" w:rsidP="003D5A31">
      <w:pPr>
        <w:numPr>
          <w:ilvl w:val="0"/>
          <w:numId w:val="222"/>
        </w:numPr>
        <w:spacing w:after="0" w:line="276" w:lineRule="auto"/>
        <w:ind w:left="461" w:hanging="274"/>
        <w:jc w:val="both"/>
        <w:rPr>
          <w:rFonts w:cs="Times New Roman"/>
          <w:color w:val="000000" w:themeColor="text1"/>
          <w:szCs w:val="20"/>
        </w:rPr>
      </w:pPr>
      <w:r w:rsidRPr="00401E9D">
        <w:rPr>
          <w:rFonts w:cs="Times New Roman"/>
          <w:color w:val="000000" w:themeColor="text1"/>
          <w:szCs w:val="20"/>
        </w:rPr>
        <w:t xml:space="preserve">To identify the appropriate locations for economic and urban development through integral planning. Bangladesh’s ambitions in the planning of economic zones and urban areas should be developed in coherence with typical BDP2100 aspects such as flood risk management, fresh water availability, waterway and road infrastructure connections, sustainability and land reclamation. </w:t>
      </w:r>
    </w:p>
    <w:p w:rsidR="00000000" w:rsidRDefault="000716C3" w:rsidP="003D5A31">
      <w:pPr>
        <w:numPr>
          <w:ilvl w:val="0"/>
          <w:numId w:val="222"/>
        </w:numPr>
        <w:spacing w:after="0" w:line="276" w:lineRule="auto"/>
        <w:ind w:left="461" w:hanging="274"/>
        <w:jc w:val="both"/>
        <w:rPr>
          <w:rFonts w:cs="Times New Roman"/>
          <w:color w:val="000000" w:themeColor="text1"/>
          <w:szCs w:val="20"/>
        </w:rPr>
      </w:pPr>
      <w:r w:rsidRPr="00401E9D">
        <w:rPr>
          <w:rFonts w:cs="Times New Roman"/>
          <w:color w:val="000000" w:themeColor="text1"/>
          <w:szCs w:val="20"/>
        </w:rPr>
        <w:t xml:space="preserve">To coordinate efforts in environmental protection and the improvement of liveability of urban areas. Environmental degradation is a typical cross-sector issue, produced by contradictory interests converged in one area. Bangladesh's largest cities are facing the consequences of soil, water and air pollution, and lack qualitative living environments. Urban strategies for green-blue structures and mobility are absent. Spatial planning and the implementation of such plans </w:t>
      </w:r>
      <w:r w:rsidR="00EA4E38" w:rsidRPr="00401E9D">
        <w:rPr>
          <w:rFonts w:cs="Times New Roman"/>
          <w:color w:val="000000" w:themeColor="text1"/>
          <w:szCs w:val="20"/>
        </w:rPr>
        <w:t>provide</w:t>
      </w:r>
      <w:r w:rsidRPr="00401E9D">
        <w:rPr>
          <w:rFonts w:cs="Times New Roman"/>
          <w:color w:val="000000" w:themeColor="text1"/>
          <w:szCs w:val="20"/>
        </w:rPr>
        <w:t xml:space="preserve"> a means of addressing these problems.</w:t>
      </w:r>
    </w:p>
    <w:p w:rsidR="00000000" w:rsidRDefault="000716C3" w:rsidP="003D5A31">
      <w:pPr>
        <w:numPr>
          <w:ilvl w:val="0"/>
          <w:numId w:val="222"/>
        </w:numPr>
        <w:spacing w:after="0" w:line="276" w:lineRule="auto"/>
        <w:ind w:left="461" w:hanging="274"/>
        <w:jc w:val="both"/>
        <w:rPr>
          <w:rFonts w:cs="Times New Roman"/>
          <w:color w:val="000000" w:themeColor="text1"/>
          <w:szCs w:val="20"/>
        </w:rPr>
      </w:pPr>
      <w:r w:rsidRPr="00401E9D">
        <w:rPr>
          <w:rFonts w:cs="Times New Roman"/>
          <w:color w:val="000000" w:themeColor="text1"/>
          <w:szCs w:val="20"/>
        </w:rPr>
        <w:t xml:space="preserve">To provide vision and strategic assessment of not only what is desirable, but also of what is possible in various scenarios.  </w:t>
      </w:r>
    </w:p>
    <w:p w:rsidR="00000000" w:rsidRDefault="000716C3" w:rsidP="003D5A31">
      <w:pPr>
        <w:numPr>
          <w:ilvl w:val="0"/>
          <w:numId w:val="222"/>
        </w:numPr>
        <w:spacing w:after="0" w:line="276" w:lineRule="auto"/>
        <w:ind w:left="461" w:hanging="274"/>
        <w:jc w:val="both"/>
        <w:rPr>
          <w:rFonts w:cs="Times New Roman"/>
          <w:color w:val="000000" w:themeColor="text1"/>
          <w:szCs w:val="20"/>
        </w:rPr>
      </w:pPr>
      <w:r w:rsidRPr="00401E9D">
        <w:rPr>
          <w:rFonts w:cs="Times New Roman"/>
          <w:color w:val="000000" w:themeColor="text1"/>
          <w:szCs w:val="20"/>
        </w:rPr>
        <w:lastRenderedPageBreak/>
        <w:t>To formulate spatial strategies on national, regional and local level to deliver priorities for investment and development.</w:t>
      </w:r>
    </w:p>
    <w:p w:rsidR="00876602" w:rsidRPr="00876602" w:rsidRDefault="00876602" w:rsidP="00876602">
      <w:pPr>
        <w:spacing w:after="0" w:line="276" w:lineRule="auto"/>
        <w:ind w:left="461"/>
        <w:jc w:val="both"/>
        <w:rPr>
          <w:rFonts w:cs="Times New Roman"/>
          <w:color w:val="000000" w:themeColor="text1"/>
          <w:szCs w:val="20"/>
        </w:rPr>
      </w:pPr>
    </w:p>
    <w:p w:rsidR="00000000" w:rsidRDefault="00A356FA" w:rsidP="003D5A31">
      <w:pPr>
        <w:pStyle w:val="BodyText"/>
        <w:numPr>
          <w:ilvl w:val="2"/>
          <w:numId w:val="148"/>
        </w:numPr>
        <w:spacing w:after="240" w:line="276" w:lineRule="auto"/>
        <w:jc w:val="both"/>
        <w:rPr>
          <w:rFonts w:cs="Times New Roman"/>
          <w:b/>
          <w:szCs w:val="24"/>
        </w:rPr>
      </w:pPr>
      <w:r w:rsidRPr="003D3798">
        <w:rPr>
          <w:rFonts w:cs="Times New Roman"/>
          <w:b/>
          <w:szCs w:val="24"/>
        </w:rPr>
        <w:t xml:space="preserve">Strategic Vision and Goals for Optimizing Land Management Practices Arising from Delta-related Challenges: </w:t>
      </w:r>
    </w:p>
    <w:p w:rsidR="00A356FA" w:rsidRPr="00067859" w:rsidRDefault="003E6AF5" w:rsidP="00A356FA">
      <w:pPr>
        <w:pStyle w:val="NormalWeb"/>
        <w:shd w:val="clear" w:color="auto" w:fill="FFFFFF"/>
        <w:spacing w:before="0" w:beforeAutospacing="0" w:after="240" w:afterAutospacing="0" w:line="276" w:lineRule="auto"/>
      </w:pPr>
      <w:r>
        <w:t xml:space="preserve">The </w:t>
      </w:r>
      <w:r w:rsidR="00A356FA" w:rsidRPr="00067859">
        <w:t>Government through the 6</w:t>
      </w:r>
      <w:r w:rsidR="00A356FA" w:rsidRPr="00067859">
        <w:rPr>
          <w:vertAlign w:val="superscript"/>
        </w:rPr>
        <w:t>th</w:t>
      </w:r>
      <w:r w:rsidR="00A356FA" w:rsidRPr="00067859">
        <w:t xml:space="preserve"> Five Year Plan had articulated that its main goal of land use policy and management is to ensure best possible use of land resources and delivery of land related services to the people through modernized and efficient land administration for sustainable development with accelerated poverty reduction. The 7</w:t>
      </w:r>
      <w:r w:rsidR="00A356FA" w:rsidRPr="00067859">
        <w:rPr>
          <w:vertAlign w:val="superscript"/>
        </w:rPr>
        <w:t>th</w:t>
      </w:r>
      <w:r w:rsidR="00A356FA" w:rsidRPr="00067859">
        <w:t xml:space="preserve"> Five Year Plan also has highlighted the necessity of managing the land constraint.  Here it has been identified as a binding constraint, which any future growth strategy has to take into account to ensure sustainability.  The constraint becomes critical because of the existence of a very inefficient land market that leads to speculative pricing driving land prices in urban, peri-urban, and rural areas to levels, which are not conducive for sustained growth. The 6</w:t>
      </w:r>
      <w:r w:rsidR="00A356FA" w:rsidRPr="00067859">
        <w:rPr>
          <w:vertAlign w:val="superscript"/>
        </w:rPr>
        <w:t>th</w:t>
      </w:r>
      <w:r w:rsidR="00A356FA" w:rsidRPr="00067859">
        <w:t xml:space="preserve"> Plan had identified the institutional bottlenecks that impeded working of efficient land markets and had identified areas where reforms and changes will have to be undertaken.  </w:t>
      </w:r>
    </w:p>
    <w:p w:rsidR="00A356FA" w:rsidRPr="00067859" w:rsidRDefault="00A356FA" w:rsidP="00A356FA">
      <w:pPr>
        <w:pStyle w:val="NormalWeb"/>
        <w:shd w:val="clear" w:color="auto" w:fill="FFFFFF"/>
        <w:spacing w:before="0" w:beforeAutospacing="0" w:after="240" w:afterAutospacing="0" w:line="276" w:lineRule="auto"/>
        <w:rPr>
          <w:rFonts w:eastAsia="Calibri"/>
          <w:color w:val="548DD4" w:themeColor="text2" w:themeTint="99"/>
        </w:rPr>
      </w:pPr>
      <w:r w:rsidRPr="00067859">
        <w:t xml:space="preserve">Among the institutional constraints is the lack of coordination between different departments responsible for preparation and maintenance of Record of Rights (ROR) that often leads to confusion, conflicts and many instances of litigation causing suffering of the people especially the small and marginal farmers. To mitigate this problem, the Ministry of Land has already undertaken projects to conduct digital surveys and introduce e-governance. Land records will be computerized and land mutation will be made automatic. There is articulation of the need for necessary measures to be initiated for ensuring sound coordination of the activities undertaken by department of registration, AC (Land) and DLRS offices. Through appropriate delineation of supervisory responsibility of settlement activities, better coordination of the two offices in dealing with the preparation and maintenance of land records at the upazila level will have to be achieved. The Directorate of Registration will have to remove inconsistency in land records management, and also measures need to be taken for immediate updating of land titles. </w:t>
      </w:r>
    </w:p>
    <w:p w:rsidR="00A356FA" w:rsidRPr="00067859" w:rsidRDefault="00A356FA" w:rsidP="00A356FA">
      <w:pPr>
        <w:spacing w:line="276" w:lineRule="auto"/>
        <w:jc w:val="both"/>
        <w:rPr>
          <w:rFonts w:cs="Times New Roman"/>
        </w:rPr>
      </w:pPr>
      <w:r w:rsidRPr="00067859">
        <w:rPr>
          <w:rFonts w:cs="Times New Roman"/>
        </w:rPr>
        <w:t>While the goals of land use policy has been well articulated and some institutional and administrative reform measures identified, there is also the overarching goals of sustainable development and accelerated poverty reduction, which are influenced by land management and land resource use policies and strategies. These are intrinsically related the driving theme  “</w:t>
      </w:r>
      <w:r w:rsidRPr="00067859">
        <w:rPr>
          <w:rFonts w:cs="Times New Roman"/>
          <w:i/>
        </w:rPr>
        <w:t>Accelerating Growth, Empowering Citizens</w:t>
      </w:r>
      <w:r w:rsidRPr="00067859">
        <w:rPr>
          <w:rFonts w:cs="Times New Roman"/>
        </w:rPr>
        <w:t>” of the 7</w:t>
      </w:r>
      <w:r w:rsidRPr="00067859">
        <w:rPr>
          <w:rFonts w:cs="Times New Roman"/>
          <w:vertAlign w:val="superscript"/>
        </w:rPr>
        <w:t>th</w:t>
      </w:r>
      <w:r w:rsidRPr="00067859">
        <w:rPr>
          <w:rFonts w:cs="Times New Roman"/>
        </w:rPr>
        <w:t xml:space="preserve"> Five Year Plan - for which targets have been set keeping in line with Government’s Vision 2021 and the Perspective Plan.  There are some critical targets under the </w:t>
      </w:r>
      <w:r w:rsidR="006C1D4C">
        <w:rPr>
          <w:rFonts w:cs="Times New Roman"/>
        </w:rPr>
        <w:t>Seventh Five Year Plan</w:t>
      </w:r>
      <w:r w:rsidRPr="00067859">
        <w:rPr>
          <w:rFonts w:cs="Times New Roman"/>
        </w:rPr>
        <w:t xml:space="preserve"> for achieving the Vision 2021 and Perspective Plan targets, which will require optimal land resource use. Creating additional jobs at faster rates will be critical for accelerated poverty reduction, and for which while emphasizing significant growth in agriculture, industry and services sectors, particularly focuses in increasing </w:t>
      </w:r>
      <w:r w:rsidRPr="00067859">
        <w:rPr>
          <w:rFonts w:cs="Times New Roman"/>
        </w:rPr>
        <w:lastRenderedPageBreak/>
        <w:t xml:space="preserve">the share of manufacturing sector to 21% of GDP by FY20 and increasing the share of employment in the manufacturing sector from 15% to 20% by that time.  Besides, government is seeking a surge in FDI to $9.6 billion by FY20 and for that there are major investment plans for increasing Infrastructural investment and civic facilities in peri-urban growth centers, especially under the new Special Economic Zones (SEZ) regime, as well as increased quality energy and physical infrastructure supply.  </w:t>
      </w:r>
    </w:p>
    <w:p w:rsidR="00A356FA" w:rsidRPr="00067859" w:rsidRDefault="00A356FA" w:rsidP="00A356FA">
      <w:pPr>
        <w:spacing w:line="276" w:lineRule="auto"/>
        <w:jc w:val="both"/>
        <w:rPr>
          <w:rFonts w:cs="Times New Roman"/>
        </w:rPr>
      </w:pPr>
      <w:r w:rsidRPr="00067859">
        <w:rPr>
          <w:rFonts w:cs="Times New Roman"/>
        </w:rPr>
        <w:t xml:space="preserve">All of the above mean that land availability for agriculture and food security will decline and so calls better land management within the dynamic delta so that well balanced optimization of land resource use can be achieved that will support achieving the different targets and goals of the </w:t>
      </w:r>
      <w:r w:rsidR="006C1D4C">
        <w:rPr>
          <w:rFonts w:cs="Times New Roman"/>
        </w:rPr>
        <w:t>Seventh Five Year Plan</w:t>
      </w:r>
      <w:r w:rsidRPr="00067859">
        <w:rPr>
          <w:rFonts w:cs="Times New Roman"/>
        </w:rPr>
        <w:t xml:space="preserve">, Perspective Plan and the future Five Year Plans. </w:t>
      </w:r>
    </w:p>
    <w:p w:rsidR="00A356FA" w:rsidRPr="00067859" w:rsidRDefault="00A356FA" w:rsidP="00A356FA">
      <w:pPr>
        <w:spacing w:line="276" w:lineRule="auto"/>
        <w:jc w:val="both"/>
        <w:rPr>
          <w:rFonts w:cs="Times New Roman"/>
        </w:rPr>
      </w:pPr>
      <w:r w:rsidRPr="00067859">
        <w:rPr>
          <w:rFonts w:cs="Times New Roman"/>
          <w:b/>
          <w:i/>
          <w:iCs/>
        </w:rPr>
        <w:t xml:space="preserve">Goals: </w:t>
      </w:r>
      <w:r w:rsidRPr="004B0A08">
        <w:rPr>
          <w:rFonts w:cs="Times New Roman"/>
          <w:i/>
          <w:iCs/>
        </w:rPr>
        <w:t>The goals of the land resource management strategy, therefore, should aim for achieving sustainable and optimal</w:t>
      </w:r>
      <w:r w:rsidRPr="004B0A08">
        <w:rPr>
          <w:rFonts w:cs="Times New Roman"/>
          <w:i/>
        </w:rPr>
        <w:t xml:space="preserve"> land use, which in turn should support better spatial planning across the dynamic Delta while being supportive of the broader development goals of the country</w:t>
      </w:r>
      <w:r w:rsidRPr="00067859">
        <w:rPr>
          <w:rFonts w:cs="Times New Roman"/>
          <w:iCs/>
        </w:rPr>
        <w:t xml:space="preserve">.  </w:t>
      </w:r>
      <w:r w:rsidRPr="00067859">
        <w:rPr>
          <w:rFonts w:cs="Times New Roman"/>
        </w:rPr>
        <w:t xml:space="preserve">These can broadly be summarized as follows:  </w:t>
      </w:r>
    </w:p>
    <w:p w:rsidR="00A356FA" w:rsidRPr="00EE25BA" w:rsidRDefault="00A356FA" w:rsidP="00A631E1">
      <w:pPr>
        <w:numPr>
          <w:ilvl w:val="0"/>
          <w:numId w:val="42"/>
        </w:numPr>
        <w:spacing w:after="200" w:line="276" w:lineRule="auto"/>
        <w:jc w:val="both"/>
        <w:rPr>
          <w:rFonts w:cs="Times New Roman"/>
        </w:rPr>
      </w:pPr>
      <w:r w:rsidRPr="00EE25BA">
        <w:rPr>
          <w:rFonts w:cs="Times New Roman"/>
        </w:rPr>
        <w:t>Ensuring food security for the growing population;</w:t>
      </w:r>
    </w:p>
    <w:p w:rsidR="00A356FA" w:rsidRPr="00EE25BA" w:rsidRDefault="00A356FA" w:rsidP="00A631E1">
      <w:pPr>
        <w:numPr>
          <w:ilvl w:val="0"/>
          <w:numId w:val="42"/>
        </w:numPr>
        <w:spacing w:after="200" w:line="276" w:lineRule="auto"/>
        <w:jc w:val="both"/>
        <w:rPr>
          <w:rFonts w:cs="Times New Roman"/>
        </w:rPr>
      </w:pPr>
      <w:r w:rsidRPr="00EE25BA">
        <w:rPr>
          <w:rFonts w:cs="Times New Roman"/>
        </w:rPr>
        <w:t>Ensuring housing and shelter for the growing population;</w:t>
      </w:r>
    </w:p>
    <w:p w:rsidR="00A356FA" w:rsidRDefault="00A356FA" w:rsidP="00A631E1">
      <w:pPr>
        <w:numPr>
          <w:ilvl w:val="0"/>
          <w:numId w:val="42"/>
        </w:numPr>
        <w:spacing w:after="200" w:line="276" w:lineRule="auto"/>
        <w:jc w:val="both"/>
        <w:rPr>
          <w:rFonts w:cs="Times New Roman"/>
        </w:rPr>
      </w:pPr>
      <w:r w:rsidRPr="00EE25BA">
        <w:rPr>
          <w:rFonts w:cs="Times New Roman"/>
        </w:rPr>
        <w:t>Achieving 8% GDP growth by 2020 for higher levels of job creation and accelerated poverty reduction through higher levels of growth in the manufacturing sector with its increased share in GDP.</w:t>
      </w:r>
    </w:p>
    <w:p w:rsidR="00D21909" w:rsidRPr="00175BE5" w:rsidRDefault="00D21909" w:rsidP="00D21909">
      <w:pPr>
        <w:pStyle w:val="ListParagraph"/>
        <w:numPr>
          <w:ilvl w:val="0"/>
          <w:numId w:val="42"/>
        </w:numPr>
        <w:spacing w:after="0" w:line="276" w:lineRule="auto"/>
        <w:contextualSpacing w:val="0"/>
        <w:jc w:val="both"/>
        <w:rPr>
          <w:rFonts w:cs="Segoe UI"/>
          <w:color w:val="000000" w:themeColor="text1"/>
          <w:szCs w:val="19"/>
        </w:rPr>
      </w:pPr>
      <w:r w:rsidRPr="00175BE5">
        <w:rPr>
          <w:rFonts w:cs="Segoe UI"/>
          <w:color w:val="000000" w:themeColor="text1"/>
          <w:szCs w:val="19"/>
        </w:rPr>
        <w:t xml:space="preserve">Ensuring multi-modal transportation system using land and water in an integrated approach. </w:t>
      </w:r>
    </w:p>
    <w:p w:rsidR="00D21909" w:rsidRPr="00175BE5" w:rsidRDefault="00D21909" w:rsidP="004B0A08">
      <w:pPr>
        <w:pStyle w:val="ListParagraph"/>
        <w:numPr>
          <w:ilvl w:val="0"/>
          <w:numId w:val="42"/>
        </w:numPr>
        <w:spacing w:after="40" w:line="276" w:lineRule="auto"/>
        <w:rPr>
          <w:rFonts w:cs="Segoe UI"/>
          <w:color w:val="000000" w:themeColor="text1"/>
          <w:szCs w:val="19"/>
        </w:rPr>
      </w:pPr>
      <w:r w:rsidRPr="00175BE5">
        <w:rPr>
          <w:rFonts w:cs="Segoe UI"/>
          <w:color w:val="000000" w:themeColor="text1"/>
          <w:szCs w:val="19"/>
        </w:rPr>
        <w:t xml:space="preserve">Ensuring land use management and risk sensitive land use/spatial planning. </w:t>
      </w:r>
    </w:p>
    <w:p w:rsidR="00D21909" w:rsidRDefault="00D21909" w:rsidP="00A356FA">
      <w:pPr>
        <w:spacing w:line="276" w:lineRule="auto"/>
        <w:jc w:val="both"/>
        <w:rPr>
          <w:rFonts w:eastAsia="Calibri" w:cs="Times New Roman"/>
        </w:rPr>
      </w:pPr>
    </w:p>
    <w:p w:rsidR="00A356FA" w:rsidRPr="00564621" w:rsidRDefault="00A356FA" w:rsidP="00564621">
      <w:pPr>
        <w:spacing w:line="276" w:lineRule="auto"/>
        <w:jc w:val="both"/>
        <w:rPr>
          <w:rFonts w:cs="Times New Roman"/>
        </w:rPr>
      </w:pPr>
      <w:r w:rsidRPr="00564621">
        <w:rPr>
          <w:rFonts w:cs="Times New Roman"/>
        </w:rPr>
        <w:t xml:space="preserve">Land resource management is integrally linked to water resource management given the close link between the silt carrying mighty rivers flowing through the rivers, the vast majority of flood plains, and accompanying continuing land erosion and accretion and its impact on all aspects livelihood and habitation within the delta.  So all strategies and actions will have to be planned and designed in ways that ensures efficient integration and proper interaction between land and water use aspects. Any land resource management should be able to help mainstream the inter-connected resources functions (drainage, navigation, land accretion, erosion etc.) and link it to the broader strategic development goal of Bangladesh, as expressed through the 7th Five Year Plan, of industry becoming the engine for achieving 8% by FY2020.  A comprehensive land resources management plan </w:t>
      </w:r>
      <w:r w:rsidR="00D21909">
        <w:rPr>
          <w:rFonts w:cs="Times New Roman"/>
        </w:rPr>
        <w:t xml:space="preserve">with integral spatial planning </w:t>
      </w:r>
      <w:r w:rsidRPr="00564621">
        <w:rPr>
          <w:rFonts w:cs="Times New Roman"/>
        </w:rPr>
        <w:t>is therefore urgently needed, to meet the present and future demands in a suitable way for formulation and successful implementation of BDP2100.</w:t>
      </w:r>
    </w:p>
    <w:p w:rsidR="00A356FA" w:rsidRPr="00067859" w:rsidRDefault="007A09E1" w:rsidP="0001495A">
      <w:pPr>
        <w:pStyle w:val="Heading2"/>
      </w:pPr>
      <w:bookmarkStart w:id="507" w:name="_Toc474638891"/>
      <w:r>
        <w:lastRenderedPageBreak/>
        <w:t>7.2.</w:t>
      </w:r>
      <w:r>
        <w:tab/>
      </w:r>
      <w:r w:rsidR="00A356FA" w:rsidRPr="00067859">
        <w:t>Land Resource Management</w:t>
      </w:r>
      <w:bookmarkEnd w:id="507"/>
      <w:r w:rsidR="00A356FA" w:rsidRPr="00067859">
        <w:t xml:space="preserve"> </w:t>
      </w:r>
    </w:p>
    <w:p w:rsidR="00000000" w:rsidRDefault="00A356FA" w:rsidP="003D5A31">
      <w:pPr>
        <w:pStyle w:val="BodyText"/>
        <w:numPr>
          <w:ilvl w:val="2"/>
          <w:numId w:val="149"/>
        </w:numPr>
        <w:spacing w:after="240" w:line="276" w:lineRule="auto"/>
        <w:jc w:val="both"/>
        <w:rPr>
          <w:rFonts w:cs="Times New Roman"/>
          <w:b/>
          <w:szCs w:val="24"/>
        </w:rPr>
      </w:pPr>
      <w:r w:rsidRPr="003D3798">
        <w:rPr>
          <w:rFonts w:cs="Times New Roman"/>
          <w:b/>
          <w:szCs w:val="24"/>
        </w:rPr>
        <w:t>Constraints and Challenges</w:t>
      </w:r>
    </w:p>
    <w:p w:rsidR="00A356FA" w:rsidRPr="00067859" w:rsidRDefault="00A356FA" w:rsidP="00A356FA">
      <w:pPr>
        <w:spacing w:line="276" w:lineRule="auto"/>
        <w:jc w:val="both"/>
        <w:rPr>
          <w:rFonts w:cs="Times New Roman"/>
          <w:b/>
          <w:color w:val="000000" w:themeColor="text1"/>
        </w:rPr>
      </w:pPr>
      <w:r w:rsidRPr="00067859">
        <w:rPr>
          <w:rFonts w:cs="Times New Roman"/>
          <w:color w:val="000000" w:themeColor="text1"/>
          <w:lang w:val="en-GB"/>
        </w:rPr>
        <w:t xml:space="preserve">The main challenges for land resources management of the Bangladesh Delta relate to </w:t>
      </w:r>
      <w:r w:rsidRPr="00067859">
        <w:rPr>
          <w:rFonts w:cs="Times New Roman"/>
          <w:color w:val="000000" w:themeColor="text1"/>
        </w:rPr>
        <w:t xml:space="preserve">optimizing land use so that this integrity of life-support systems and its productive capacity is maintained; and at the same time to support the growing population needs by taking measures to increase the land area of the country along the rivers and coasts through accretion and reclamation while ensuring the integrity of existing river channels.  A key challenge for optimum land use will be to be able to come up with a long-term sustainable healthy balance between land needs for agriculture and food security and that for urbanization, industry and rural settlements. </w:t>
      </w:r>
      <w:r w:rsidRPr="004B0A08">
        <w:rPr>
          <w:rFonts w:cs="Times New Roman"/>
          <w:i/>
          <w:color w:val="000000" w:themeColor="text1"/>
        </w:rPr>
        <w:t>A challenge and an opportunity will be to have implementable zoning laws and also optimizing on value-added use of newly accreted land and reclaimed land. Land zoning can also be an efficient tool for protecting critical environmental areas such as wet land and restricting development in hazard prone areas.</w:t>
      </w:r>
      <w:r w:rsidRPr="00067859">
        <w:rPr>
          <w:rFonts w:cs="Times New Roman"/>
          <w:color w:val="000000" w:themeColor="text1"/>
        </w:rPr>
        <w:t xml:space="preserve"> </w:t>
      </w:r>
    </w:p>
    <w:p w:rsidR="00A356FA" w:rsidRPr="00067859" w:rsidRDefault="00EA4E38" w:rsidP="00A356FA">
      <w:pPr>
        <w:pStyle w:val="Default"/>
        <w:spacing w:line="276" w:lineRule="auto"/>
        <w:jc w:val="both"/>
        <w:rPr>
          <w:rFonts w:ascii="Times New Roman" w:hAnsi="Times New Roman" w:cs="Times New Roman"/>
          <w:color w:val="auto"/>
        </w:rPr>
      </w:pPr>
      <w:r w:rsidRPr="00067859">
        <w:rPr>
          <w:rFonts w:ascii="Times New Roman" w:hAnsi="Times New Roman" w:cs="Times New Roman"/>
        </w:rPr>
        <w:t>The higher temperature, and changing rainfalls by time and amount, rising salinity in the coastal belt, and drought are likely to impact land use management of the country</w:t>
      </w:r>
      <w:r>
        <w:rPr>
          <w:rFonts w:ascii="Times New Roman" w:hAnsi="Times New Roman" w:cs="Times New Roman"/>
        </w:rPr>
        <w:t>.</w:t>
      </w:r>
      <w:r w:rsidRPr="00067859">
        <w:rPr>
          <w:rFonts w:ascii="Times New Roman" w:hAnsi="Times New Roman" w:cs="Times New Roman"/>
          <w:color w:val="auto"/>
          <w:lang w:val="en-GB"/>
        </w:rPr>
        <w:t xml:space="preserve">  The area of soil salinity is expanding due to reduction of upstream flow mainly due to human interventions and also due to rising sea level caused by climate change. </w:t>
      </w:r>
      <w:r w:rsidR="00A356FA" w:rsidRPr="00067859">
        <w:rPr>
          <w:rFonts w:ascii="Times New Roman" w:hAnsi="Times New Roman" w:cs="Times New Roman"/>
          <w:bCs/>
          <w:color w:val="auto"/>
        </w:rPr>
        <w:t xml:space="preserve">In the southwestern region, water and soil salinity is very severe problem in respect of crop production and fresh water fisheries. </w:t>
      </w:r>
      <w:r w:rsidR="00F64A6A" w:rsidRPr="00F64A6A">
        <w:rPr>
          <w:rFonts w:ascii="Times New Roman" w:hAnsi="Times New Roman" w:cs="Times New Roman"/>
          <w:bCs/>
          <w:color w:val="auto"/>
          <w:u w:val="single"/>
        </w:rPr>
        <w:t>Soil and water salinity generally increases with dryness and reaches maximum in the month of April and May and then tend to decrease due to onset of monsoon rainfall.  I</w:t>
      </w:r>
      <w:r w:rsidR="00A356FA" w:rsidRPr="00067859">
        <w:rPr>
          <w:rFonts w:ascii="Times New Roman" w:hAnsi="Times New Roman" w:cs="Times New Roman"/>
          <w:bCs/>
          <w:color w:val="auto"/>
        </w:rPr>
        <w:t>t is expected that the s</w:t>
      </w:r>
      <w:r w:rsidR="00A356FA" w:rsidRPr="00067859">
        <w:rPr>
          <w:rFonts w:ascii="Times New Roman" w:hAnsi="Times New Roman" w:cs="Times New Roman"/>
          <w:color w:val="auto"/>
        </w:rPr>
        <w:t>ea level rise is likely to impact significant changes in coastal river water salinity in this area of Bangladesh by 2050</w:t>
      </w:r>
      <w:r w:rsidR="00D21909">
        <w:rPr>
          <w:rFonts w:ascii="Times New Roman" w:hAnsi="Times New Roman" w:cs="Times New Roman"/>
          <w:color w:val="auto"/>
        </w:rPr>
        <w:t xml:space="preserve">. </w:t>
      </w:r>
    </w:p>
    <w:p w:rsidR="00A356FA" w:rsidRPr="00067859" w:rsidRDefault="00F64A6A" w:rsidP="00A356FA">
      <w:pPr>
        <w:spacing w:line="276" w:lineRule="auto"/>
        <w:jc w:val="both"/>
        <w:rPr>
          <w:rFonts w:cs="Times New Roman"/>
        </w:rPr>
      </w:pPr>
      <w:r w:rsidRPr="00F64A6A">
        <w:rPr>
          <w:rFonts w:cs="Times New Roman"/>
          <w:u w:val="single"/>
        </w:rPr>
        <w:t>If sea level rise is higher than currently expected and coastal polders are not strengthened and/or new ones are not built, it is projected that six to eight million people could be displaced by 2050.</w:t>
      </w:r>
      <w:r w:rsidRPr="00F64A6A">
        <w:rPr>
          <w:rFonts w:cs="Times New Roman"/>
        </w:rPr>
        <w:t xml:space="preserve"> </w:t>
      </w:r>
      <w:r w:rsidR="00A356FA" w:rsidRPr="00067859">
        <w:rPr>
          <w:rFonts w:cs="Times New Roman"/>
        </w:rPr>
        <w:t xml:space="preserve">With population growth and declining per capita availability of land Bangladesh also faces land degradation. Deforestation, cultivation on steep slopes, shifting cultivation, over-exploitation of ground water, unbalanced use of fertilizers, improper crop rotations, is responsible for land degradation induced by humans. Lands are also degraded by soil erosion, soil erosion both in floodplains and in hilly areas, salinization, acidification, fertility depletion, water –logging/ drainage congestion, heavy metal pollution, industrial effluents from urban and industrial growth.  </w:t>
      </w:r>
    </w:p>
    <w:p w:rsidR="00A356FA" w:rsidRPr="00067859" w:rsidRDefault="00A356FA" w:rsidP="00A356FA">
      <w:pPr>
        <w:spacing w:line="276" w:lineRule="auto"/>
        <w:jc w:val="both"/>
        <w:rPr>
          <w:rFonts w:cs="Times New Roman"/>
        </w:rPr>
      </w:pPr>
      <w:r w:rsidRPr="00067859">
        <w:rPr>
          <w:rFonts w:cs="Times New Roman"/>
        </w:rPr>
        <w:t xml:space="preserve">All these phenomenon mean that availability of land for crop agriculture will continue to decline calling for policies, reforms, and technological innovations for not only raising productivity and reducing soil degradation, but also diversifying the crops to better respond to food security needs. Land resource management will therefore require innovations and adaptations that will support both food security as well as land for urban, non-farm activities, industry, and </w:t>
      </w:r>
      <w:r w:rsidRPr="00067859">
        <w:rPr>
          <w:rFonts w:cs="Times New Roman"/>
        </w:rPr>
        <w:lastRenderedPageBreak/>
        <w:t xml:space="preserve">infrastructure needs, and will be interlinked with all aspects of water resource management within each of what has broadly been identified as the six hotspots under the BDP2100. </w:t>
      </w:r>
    </w:p>
    <w:p w:rsidR="00A356FA" w:rsidRPr="00B50D2C" w:rsidRDefault="00D21909" w:rsidP="00A356FA">
      <w:pPr>
        <w:pStyle w:val="Pa2"/>
        <w:spacing w:line="276" w:lineRule="auto"/>
        <w:jc w:val="both"/>
        <w:rPr>
          <w:rFonts w:ascii="Times New Roman" w:hAnsi="Times New Roman" w:cs="Times New Roman"/>
          <w:i/>
        </w:rPr>
      </w:pPr>
      <w:r>
        <w:rPr>
          <w:rFonts w:ascii="Times New Roman" w:hAnsi="Times New Roman" w:cs="Times New Roman"/>
          <w:b/>
          <w:i/>
        </w:rPr>
        <w:t xml:space="preserve">Challenges in </w:t>
      </w:r>
      <w:r w:rsidR="00557E3F">
        <w:rPr>
          <w:rFonts w:ascii="Times New Roman" w:hAnsi="Times New Roman" w:cs="Times New Roman"/>
          <w:b/>
          <w:i/>
        </w:rPr>
        <w:t>Major R</w:t>
      </w:r>
      <w:r w:rsidR="00A356FA" w:rsidRPr="00067859">
        <w:rPr>
          <w:rFonts w:ascii="Times New Roman" w:hAnsi="Times New Roman" w:cs="Times New Roman"/>
          <w:b/>
          <w:i/>
        </w:rPr>
        <w:t>ivers</w:t>
      </w:r>
      <w:r w:rsidR="00B50D2C">
        <w:rPr>
          <w:rFonts w:ascii="Times New Roman" w:hAnsi="Times New Roman" w:cs="Times New Roman"/>
          <w:b/>
          <w:i/>
        </w:rPr>
        <w:t xml:space="preserve">: </w:t>
      </w:r>
      <w:r w:rsidR="00B50D2C">
        <w:rPr>
          <w:rFonts w:ascii="Times New Roman" w:hAnsi="Times New Roman" w:cs="Times New Roman"/>
          <w:i/>
        </w:rPr>
        <w:t xml:space="preserve"> </w:t>
      </w:r>
      <w:r w:rsidR="00A356FA" w:rsidRPr="00067859">
        <w:rPr>
          <w:rFonts w:ascii="Times New Roman" w:hAnsi="Times New Roman" w:cs="Times New Roman"/>
        </w:rPr>
        <w:t xml:space="preserve">Bangladesh’s extensive network of rivers, </w:t>
      </w:r>
      <w:r w:rsidR="00D3626F">
        <w:rPr>
          <w:rFonts w:ascii="Times New Roman" w:hAnsi="Times New Roman" w:cs="Times New Roman"/>
        </w:rPr>
        <w:t>around 700</w:t>
      </w:r>
      <w:r w:rsidR="00A356FA" w:rsidRPr="00067859">
        <w:rPr>
          <w:rFonts w:ascii="Times New Roman" w:hAnsi="Times New Roman" w:cs="Times New Roman"/>
        </w:rPr>
        <w:t xml:space="preserve"> rivers and their tributaries, act as a major domain to shape up the country’s abundant natural resources. The major rivers of Bangladesh are morphologically very active and thus influence the hydrological and morphological characteristics of other rivers significantly. The hydrological characteristics of the Ganges-</w:t>
      </w:r>
      <w:r w:rsidR="00072A30">
        <w:rPr>
          <w:rFonts w:ascii="Times New Roman" w:hAnsi="Times New Roman" w:cs="Times New Roman"/>
        </w:rPr>
        <w:t xml:space="preserve">the </w:t>
      </w:r>
      <w:r w:rsidR="00A356FA" w:rsidRPr="00067859">
        <w:rPr>
          <w:rFonts w:ascii="Times New Roman" w:hAnsi="Times New Roman" w:cs="Times New Roman"/>
        </w:rPr>
        <w:t>Brahmaputra-</w:t>
      </w:r>
      <w:r w:rsidR="00072A30">
        <w:rPr>
          <w:rFonts w:ascii="Times New Roman" w:hAnsi="Times New Roman" w:cs="Times New Roman"/>
        </w:rPr>
        <w:t xml:space="preserve">the </w:t>
      </w:r>
      <w:r w:rsidR="00A356FA" w:rsidRPr="00067859">
        <w:rPr>
          <w:rFonts w:ascii="Times New Roman" w:hAnsi="Times New Roman" w:cs="Times New Roman"/>
        </w:rPr>
        <w:t>Meghna basin</w:t>
      </w:r>
      <w:r w:rsidR="00D3626F">
        <w:rPr>
          <w:rFonts w:ascii="Times New Roman" w:hAnsi="Times New Roman" w:cs="Times New Roman"/>
        </w:rPr>
        <w:t>s</w:t>
      </w:r>
      <w:r w:rsidR="00A356FA" w:rsidRPr="00067859">
        <w:rPr>
          <w:rFonts w:ascii="Times New Roman" w:hAnsi="Times New Roman" w:cs="Times New Roman"/>
        </w:rPr>
        <w:t xml:space="preserve"> </w:t>
      </w:r>
      <w:r w:rsidR="00D3626F">
        <w:rPr>
          <w:rFonts w:ascii="Times New Roman" w:hAnsi="Times New Roman" w:cs="Times New Roman"/>
        </w:rPr>
        <w:t>are</w:t>
      </w:r>
      <w:r w:rsidR="00D3626F" w:rsidRPr="00067859">
        <w:rPr>
          <w:rFonts w:ascii="Times New Roman" w:hAnsi="Times New Roman" w:cs="Times New Roman"/>
        </w:rPr>
        <w:t xml:space="preserve"> </w:t>
      </w:r>
      <w:r w:rsidR="00A356FA" w:rsidRPr="00067859">
        <w:rPr>
          <w:rFonts w:ascii="Times New Roman" w:hAnsi="Times New Roman" w:cs="Times New Roman"/>
        </w:rPr>
        <w:t xml:space="preserve">influenced by the climate changed induced situations like temperature rise, which affect the timing and snow melting in upper Himalayan ridges. This change tends to raise the average water level of lower riparian rivers and causes serious flooding. </w:t>
      </w:r>
      <w:r w:rsidR="00F64A6A" w:rsidRPr="00F64A6A">
        <w:rPr>
          <w:rFonts w:ascii="Times New Roman" w:hAnsi="Times New Roman" w:cs="Times New Roman"/>
          <w:u w:val="single"/>
        </w:rPr>
        <w:t>Every year these rivers system are carrying one trillion cubic meter of water with more than one billion tonnes of sediments from ninety-three percent catchment area beyond the Bangladesh border to the Bay of Bengal.</w:t>
      </w:r>
      <w:r w:rsidR="00A356FA" w:rsidRPr="00067859">
        <w:rPr>
          <w:rFonts w:ascii="Times New Roman" w:hAnsi="Times New Roman" w:cs="Times New Roman"/>
        </w:rPr>
        <w:t xml:space="preserve"> Eventually, problems concerning drainage congestion are exacerbated due to increased volumes of water coming through cross boundary river system.</w:t>
      </w:r>
    </w:p>
    <w:p w:rsidR="00D21909" w:rsidRPr="00175BE5" w:rsidRDefault="00D21909" w:rsidP="00D21909">
      <w:pPr>
        <w:spacing w:line="276" w:lineRule="auto"/>
        <w:jc w:val="both"/>
        <w:rPr>
          <w:rFonts w:cs="Segoe UI"/>
          <w:color w:val="000000" w:themeColor="text1"/>
          <w:szCs w:val="24"/>
        </w:rPr>
      </w:pPr>
      <w:r>
        <w:rPr>
          <w:rFonts w:cs="Times New Roman"/>
        </w:rPr>
        <w:t xml:space="preserve">Challenges in Haor areas: </w:t>
      </w:r>
      <w:r w:rsidR="00A356FA" w:rsidRPr="00564621">
        <w:rPr>
          <w:rFonts w:cs="Times New Roman"/>
        </w:rPr>
        <w:t xml:space="preserve">Linked to the river basin are haors and wetlands, characterized by unique physical and hydrological settings, is one of the main economic zones of the country.  Two of the key identified constraints relating to optimizing land resource management in the haor region include slow drainage of basin centers; relatively large sized land ownership, that is and often absentee type in nature; and conflicting/competing demand of using of land, that becomes cultivable after receding of haor water after rainy season, between fishing and crop </w:t>
      </w:r>
      <w:r w:rsidR="00072A30" w:rsidRPr="00564621">
        <w:rPr>
          <w:rFonts w:cs="Times New Roman"/>
        </w:rPr>
        <w:t>agricultur</w:t>
      </w:r>
      <w:r w:rsidR="00072A30">
        <w:rPr>
          <w:rFonts w:cs="Times New Roman"/>
        </w:rPr>
        <w:t>e</w:t>
      </w:r>
      <w:r w:rsidR="00A356FA" w:rsidRPr="00564621">
        <w:rPr>
          <w:rFonts w:cs="Times New Roman"/>
        </w:rPr>
        <w:t>.  Regulatory, policy, and institutional constraints relating the land management, and also need for adequate and feasible infrastructure support is at the core of the above challenges.</w:t>
      </w:r>
      <w:r>
        <w:rPr>
          <w:rFonts w:cs="Times New Roman"/>
        </w:rPr>
        <w:t xml:space="preserve"> </w:t>
      </w:r>
      <w:r w:rsidRPr="00175BE5">
        <w:rPr>
          <w:rFonts w:cs="Segoe UI"/>
          <w:color w:val="000000" w:themeColor="text1"/>
          <w:szCs w:val="24"/>
        </w:rPr>
        <w:t>Key constraints in the Haor Areas are:</w:t>
      </w:r>
    </w:p>
    <w:p w:rsidR="00000000" w:rsidRDefault="00D21909" w:rsidP="003D5A31">
      <w:pPr>
        <w:pStyle w:val="ListParagraph"/>
        <w:numPr>
          <w:ilvl w:val="0"/>
          <w:numId w:val="223"/>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Early flash flood destroys maturing Boro, young Aus &amp; deepwater B. Aman.</w:t>
      </w:r>
    </w:p>
    <w:p w:rsidR="00000000" w:rsidRDefault="00D21909" w:rsidP="003D5A31">
      <w:pPr>
        <w:pStyle w:val="ListParagraph"/>
        <w:numPr>
          <w:ilvl w:val="0"/>
          <w:numId w:val="223"/>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Heavy rainfall hamper harvesting, drying and storage of crops.</w:t>
      </w:r>
    </w:p>
    <w:p w:rsidR="00000000" w:rsidRDefault="00D21909" w:rsidP="003D5A31">
      <w:pPr>
        <w:pStyle w:val="ListParagraph"/>
        <w:numPr>
          <w:ilvl w:val="0"/>
          <w:numId w:val="223"/>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Slow drainage of basin centres.</w:t>
      </w:r>
    </w:p>
    <w:p w:rsidR="00000000" w:rsidRDefault="00D21909" w:rsidP="003D5A31">
      <w:pPr>
        <w:pStyle w:val="ListParagraph"/>
        <w:numPr>
          <w:ilvl w:val="0"/>
          <w:numId w:val="223"/>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Much large (&amp; often absentee) land ownership.</w:t>
      </w:r>
    </w:p>
    <w:p w:rsidR="00000000" w:rsidRDefault="00D21909" w:rsidP="003D5A31">
      <w:pPr>
        <w:pStyle w:val="ListParagraph"/>
        <w:numPr>
          <w:ilvl w:val="0"/>
          <w:numId w:val="223"/>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Conflict between fishing &amp; agricultural interests for use the water remaining in haors after rainy season.</w:t>
      </w:r>
    </w:p>
    <w:p w:rsidR="00175BE5" w:rsidRPr="00175BE5" w:rsidRDefault="00175BE5" w:rsidP="00175BE5">
      <w:pPr>
        <w:pStyle w:val="ListParagraph"/>
        <w:tabs>
          <w:tab w:val="left" w:pos="210"/>
        </w:tabs>
        <w:spacing w:before="40" w:after="40" w:line="276" w:lineRule="auto"/>
        <w:jc w:val="both"/>
        <w:rPr>
          <w:rFonts w:cs="Segoe UI"/>
          <w:color w:val="000000" w:themeColor="text1"/>
          <w:szCs w:val="24"/>
          <w:lang w:bidi="bn-BD"/>
        </w:rPr>
      </w:pPr>
    </w:p>
    <w:p w:rsidR="00A356FA" w:rsidRPr="00067859" w:rsidRDefault="00D21909" w:rsidP="00A356FA">
      <w:pPr>
        <w:widowControl w:val="0"/>
        <w:autoSpaceDE w:val="0"/>
        <w:autoSpaceDN w:val="0"/>
        <w:adjustRightInd w:val="0"/>
        <w:spacing w:line="276" w:lineRule="auto"/>
        <w:jc w:val="both"/>
        <w:rPr>
          <w:rFonts w:cs="Times New Roman"/>
        </w:rPr>
      </w:pPr>
      <w:bookmarkStart w:id="508" w:name="_Toc420836519"/>
      <w:bookmarkStart w:id="509" w:name="_Toc420836520"/>
      <w:bookmarkEnd w:id="508"/>
      <w:bookmarkEnd w:id="509"/>
      <w:r>
        <w:rPr>
          <w:rFonts w:cs="Times New Roman"/>
        </w:rPr>
        <w:t xml:space="preserve">Challenges in the Coastal areas:  </w:t>
      </w:r>
      <w:r w:rsidR="00A356FA" w:rsidRPr="00067859">
        <w:rPr>
          <w:rFonts w:cs="Times New Roman"/>
        </w:rPr>
        <w:t xml:space="preserve">Like other parts of Bangladesh, coastal livelihoods are largely dependent on agricultural crops, mainly rice; thus, agriculture predominates.  </w:t>
      </w:r>
      <w:r w:rsidR="00F64A6A" w:rsidRPr="00F64A6A">
        <w:rPr>
          <w:rFonts w:cs="Times New Roman"/>
          <w:i/>
          <w:u w:val="single"/>
        </w:rPr>
        <w:t>At present, coastal regions contribute approximately 16 percent of the total rice production of the country. In coastal districts rain-fed monsoon paddy is the dominant crop, covering about 70 percent of the total paddy cropped area.</w:t>
      </w:r>
      <w:r w:rsidR="00A356FA" w:rsidRPr="00067859">
        <w:rPr>
          <w:rFonts w:cs="Times New Roman"/>
        </w:rPr>
        <w:t xml:space="preserve"> The entire area is almost traditionally mono-cropped during monsoon under rain fed condition with local rice having moderate to poor yields; though the coastal zone also produces a relatively high proportion of pulses, oilseeds, betel nuts and leaves, winter vegetables and potatoes, and the </w:t>
      </w:r>
      <w:r w:rsidR="00A356FA" w:rsidRPr="004B0A08">
        <w:rPr>
          <w:rFonts w:cs="Times New Roman"/>
          <w:i/>
        </w:rPr>
        <w:t xml:space="preserve">three coastal districts — </w:t>
      </w:r>
      <w:r w:rsidR="00F64A6A" w:rsidRPr="00F64A6A">
        <w:rPr>
          <w:rFonts w:cs="Times New Roman"/>
          <w:i/>
          <w:u w:val="single"/>
        </w:rPr>
        <w:t xml:space="preserve">Gopalganj, Pirojpur and Barisal — </w:t>
      </w:r>
      <w:r w:rsidR="00F64A6A" w:rsidRPr="00F64A6A">
        <w:rPr>
          <w:rFonts w:cs="Times New Roman"/>
          <w:i/>
          <w:u w:val="single"/>
        </w:rPr>
        <w:lastRenderedPageBreak/>
        <w:t>have a history of practicing an agricultural system called soil-less agriculture or floating agriculture</w:t>
      </w:r>
      <w:r w:rsidR="00F64A6A" w:rsidRPr="00F64A6A">
        <w:rPr>
          <w:rFonts w:cs="Times New Roman"/>
          <w:u w:val="single"/>
        </w:rPr>
        <w:t xml:space="preserve">. </w:t>
      </w:r>
      <w:r w:rsidR="00A356FA" w:rsidRPr="00067859">
        <w:rPr>
          <w:rFonts w:cs="Times New Roman"/>
        </w:rPr>
        <w:t>The coastal lands of the southern delta are generally low and flat and vulnerable to different hazards such as flood, riverbank erosion, and inundation by high tides, salinity intrusion, drought, cyclones and associated tidal surges, drainage congestion, water logging, and lack of quality irrigation water.  These also affect coastal land use for agriculture in the coastal region.</w:t>
      </w:r>
    </w:p>
    <w:p w:rsidR="00A356FA" w:rsidRPr="00067859" w:rsidRDefault="00F64A6A" w:rsidP="00A356FA">
      <w:pPr>
        <w:spacing w:line="276" w:lineRule="auto"/>
        <w:jc w:val="both"/>
        <w:rPr>
          <w:rFonts w:cs="Times New Roman"/>
        </w:rPr>
      </w:pPr>
      <w:r w:rsidRPr="00F64A6A">
        <w:rPr>
          <w:rFonts w:cs="Times New Roman"/>
          <w:i/>
          <w:u w:val="single"/>
        </w:rPr>
        <w:t>While floods are annual phenomena with the most severe occurring during the months of July and August, with regular river floods affecting 20% of the country increasing up to 68% in extreme years, there is the added problem of water-logging and drainage congestion of soils.</w:t>
      </w:r>
      <w:r w:rsidR="00A356FA" w:rsidRPr="004B0A08">
        <w:rPr>
          <w:rFonts w:cs="Times New Roman"/>
          <w:i/>
        </w:rPr>
        <w:t xml:space="preserve">  </w:t>
      </w:r>
      <w:r w:rsidR="00A356FA" w:rsidRPr="00067859">
        <w:rPr>
          <w:rFonts w:cs="Times New Roman"/>
        </w:rPr>
        <w:t xml:space="preserve">The entire river system of the southwest delta of Bangladesh is vulnerable to excessive sedimentation by incoming silts. </w:t>
      </w:r>
      <w:r w:rsidRPr="00F64A6A">
        <w:rPr>
          <w:rFonts w:cs="Times New Roman"/>
          <w:u w:val="single"/>
        </w:rPr>
        <w:t>After polderization in the early 70s, and decrease of flushing fresh water flow from upstream during last few decades, the rivers in this part started to silt up. As a result of this continuous siltation process over the years, the conveyance of the peripheral rivers of the coastal polders reduced significantly leading to large-scale water logging problems inside the polders.</w:t>
      </w:r>
      <w:r w:rsidRPr="00F64A6A">
        <w:rPr>
          <w:rFonts w:cs="Times New Roman"/>
          <w:bCs/>
          <w:u w:val="single"/>
        </w:rPr>
        <w:t xml:space="preserve"> </w:t>
      </w:r>
      <w:r w:rsidRPr="00F64A6A">
        <w:rPr>
          <w:rFonts w:cs="Times New Roman"/>
          <w:u w:val="single"/>
        </w:rPr>
        <w:t>The waterlogged soils are strong acidic upon drying, heavy soil texture and nutrient deficient which create unfavorable environment for crop production. Inundation of land for long period is harmful even for wetland crops, especially if the standing water is stagnant.</w:t>
      </w:r>
      <w:r w:rsidR="00A356FA" w:rsidRPr="00067859">
        <w:rPr>
          <w:rFonts w:cs="Times New Roman"/>
        </w:rPr>
        <w:t xml:space="preserve"> Water logging is also common in the beels, jheels, haors and baors.</w:t>
      </w:r>
    </w:p>
    <w:p w:rsidR="00A356FA" w:rsidRPr="00067859" w:rsidRDefault="00A356FA" w:rsidP="00A356FA">
      <w:pPr>
        <w:widowControl w:val="0"/>
        <w:autoSpaceDE w:val="0"/>
        <w:autoSpaceDN w:val="0"/>
        <w:adjustRightInd w:val="0"/>
        <w:spacing w:line="276" w:lineRule="auto"/>
        <w:jc w:val="both"/>
        <w:rPr>
          <w:rFonts w:cs="Times New Roman"/>
          <w:bCs/>
        </w:rPr>
      </w:pPr>
      <w:r w:rsidRPr="00067859">
        <w:rPr>
          <w:rFonts w:cs="Times New Roman"/>
        </w:rPr>
        <w:t xml:space="preserve">Besides crop agriculture, one of the main economic activities in the coastal zone is aquaculture. This provides a big opportunity of diversifying agriculture practices while taking into account the water related challenges. The significance of shrimp farming has grown rapidly over the last 30 years with shrimp exports an important foreign exchange earner. Land devoted to shrimp farming has increased remarkably over the last decade and is still increasing. The EEZ in the Bay of Bengal also supports marine fisheries and opens new opportunities that will support government’s desired development strategy.  Any land resource management strategy needs to take into account the above challenges and opportunities from food security point of view. </w:t>
      </w:r>
    </w:p>
    <w:p w:rsidR="00A356FA" w:rsidRPr="00067859" w:rsidRDefault="00A356FA" w:rsidP="00A356FA">
      <w:pPr>
        <w:spacing w:line="276" w:lineRule="auto"/>
        <w:jc w:val="both"/>
        <w:rPr>
          <w:rFonts w:cs="Times New Roman"/>
        </w:rPr>
      </w:pPr>
      <w:r w:rsidRPr="00067859">
        <w:rPr>
          <w:rFonts w:cs="Times New Roman"/>
        </w:rPr>
        <w:t xml:space="preserve">There have been efforts in that direction and for long construction of polders along the coasts have been part of the strategy of safeguarding from water related hazards as well as providing opportunities </w:t>
      </w:r>
      <w:r w:rsidR="00072A30">
        <w:rPr>
          <w:rFonts w:cs="Times New Roman"/>
        </w:rPr>
        <w:t>linking</w:t>
      </w:r>
      <w:r w:rsidR="00072A30" w:rsidRPr="00067859">
        <w:rPr>
          <w:rFonts w:cs="Times New Roman"/>
        </w:rPr>
        <w:t xml:space="preserve"> </w:t>
      </w:r>
      <w:r w:rsidRPr="00067859">
        <w:rPr>
          <w:rFonts w:cs="Times New Roman"/>
        </w:rPr>
        <w:t xml:space="preserve">reclamation of land.  However, the construction of costal polders that de-linked the floodplains from the rivers, and diminished upstream flow during the dry season deteriorated the sedimentation problem in this region. While polders and dykes have been built along with afforestation programs to reduce different risks listed above, and new salinity resistant crop varieties being developed and introduced, better water system management will be required along with making value added use of land that is reclaimed.  This is particularly important from point of view of urban, rural settlement and industry needs.  Spatial Planning that links land resource management to water resource management will be key to achieving the value added needs. </w:t>
      </w:r>
    </w:p>
    <w:p w:rsidR="004B298B" w:rsidRPr="004B0A08" w:rsidRDefault="00A356FA" w:rsidP="00695A0D">
      <w:pPr>
        <w:spacing w:line="276" w:lineRule="auto"/>
        <w:jc w:val="both"/>
        <w:rPr>
          <w:rFonts w:cs="Times New Roman"/>
          <w:bCs/>
          <w:i/>
        </w:rPr>
      </w:pPr>
      <w:r w:rsidRPr="004B0A08">
        <w:rPr>
          <w:rFonts w:cs="Times New Roman"/>
          <w:i/>
        </w:rPr>
        <w:lastRenderedPageBreak/>
        <w:t>The challenge for optimizing land resource management will be to ensure that the rivers flows are better managed and drained through the historic channels with better silt carrying capacity that can have valued added use in land accretion and reclamation and also reduce the water-logging and salinity encroachment related problems.</w:t>
      </w:r>
    </w:p>
    <w:p w:rsidR="00EA47B5" w:rsidRPr="00175BE5" w:rsidRDefault="00EA47B5" w:rsidP="00EA47B5">
      <w:pPr>
        <w:spacing w:line="276" w:lineRule="auto"/>
        <w:jc w:val="both"/>
        <w:rPr>
          <w:rFonts w:cs="Segoe UI"/>
          <w:color w:val="000000" w:themeColor="text1"/>
          <w:szCs w:val="24"/>
        </w:rPr>
      </w:pPr>
      <w:r>
        <w:rPr>
          <w:rFonts w:cs="Times New Roman"/>
          <w:b/>
          <w:i/>
          <w:color w:val="000000"/>
          <w:szCs w:val="24"/>
        </w:rPr>
        <w:t xml:space="preserve">Challenges in </w:t>
      </w:r>
      <w:r w:rsidR="00B50D2C" w:rsidRPr="00564621">
        <w:rPr>
          <w:rFonts w:cs="Times New Roman"/>
          <w:b/>
          <w:i/>
          <w:color w:val="000000"/>
          <w:szCs w:val="24"/>
        </w:rPr>
        <w:t xml:space="preserve">Barind </w:t>
      </w:r>
      <w:r w:rsidR="00A16ABB">
        <w:rPr>
          <w:rFonts w:cs="Times New Roman"/>
          <w:b/>
          <w:i/>
          <w:color w:val="000000"/>
          <w:szCs w:val="24"/>
        </w:rPr>
        <w:t>areas</w:t>
      </w:r>
      <w:r w:rsidR="00B50D2C" w:rsidRPr="00564621">
        <w:rPr>
          <w:rFonts w:cs="Times New Roman"/>
          <w:b/>
          <w:i/>
          <w:color w:val="000000"/>
          <w:szCs w:val="24"/>
        </w:rPr>
        <w:t xml:space="preserve">: </w:t>
      </w:r>
      <w:r w:rsidR="00A356FA" w:rsidRPr="00564621">
        <w:rPr>
          <w:rFonts w:cs="Times New Roman"/>
          <w:szCs w:val="24"/>
        </w:rPr>
        <w:t>Separate from the land relating to GBM basin</w:t>
      </w:r>
      <w:r w:rsidR="00072A30">
        <w:rPr>
          <w:rFonts w:cs="Times New Roman"/>
          <w:szCs w:val="24"/>
        </w:rPr>
        <w:t>s</w:t>
      </w:r>
      <w:r w:rsidR="00A356FA" w:rsidRPr="00564621">
        <w:rPr>
          <w:rFonts w:cs="Times New Roman"/>
          <w:szCs w:val="24"/>
        </w:rPr>
        <w:t xml:space="preserve"> and the coastal zone of the Bangladesh delta are the drier </w:t>
      </w:r>
      <w:r w:rsidR="00A356FA" w:rsidRPr="00564621">
        <w:rPr>
          <w:rFonts w:cs="Times New Roman"/>
          <w:b/>
          <w:i/>
          <w:szCs w:val="24"/>
        </w:rPr>
        <w:t>barind tract</w:t>
      </w:r>
      <w:r w:rsidR="00A356FA" w:rsidRPr="00564621">
        <w:rPr>
          <w:rFonts w:cs="Times New Roman"/>
          <w:szCs w:val="24"/>
        </w:rPr>
        <w:t>, located in the center and western</w:t>
      </w:r>
      <w:r w:rsidR="00A356FA" w:rsidRPr="00067859">
        <w:rPr>
          <w:rFonts w:cs="Times New Roman"/>
        </w:rPr>
        <w:t xml:space="preserve"> part of Rajshahi division and the northwest region of Bangladesh</w:t>
      </w:r>
      <w:r w:rsidR="00165361">
        <w:rPr>
          <w:rFonts w:cs="Times New Roman"/>
        </w:rPr>
        <w:t xml:space="preserve">. </w:t>
      </w:r>
      <w:r w:rsidR="00A356FA" w:rsidRPr="00067859">
        <w:rPr>
          <w:rFonts w:cs="Times New Roman"/>
        </w:rPr>
        <w:t xml:space="preserve">The greater part of the tract (approximately 7,700Sq. km.) is almost plain and crisscrossed by only a few minor rivers, and considered an ecologically fragile ecosystem with extremely low vegetation cover.  Here the </w:t>
      </w:r>
      <w:r w:rsidR="00A356FA" w:rsidRPr="00067859">
        <w:rPr>
          <w:rFonts w:eastAsia="Times New Roman" w:cs="Times New Roman"/>
          <w:lang w:bidi="bn-BD"/>
        </w:rPr>
        <w:t xml:space="preserve">soil, which is flooded in the rainy season, become very dry in the dry season, suffering from frequent </w:t>
      </w:r>
      <w:r w:rsidR="00072A30" w:rsidRPr="00067859">
        <w:rPr>
          <w:rFonts w:eastAsia="Times New Roman" w:cs="Times New Roman"/>
          <w:lang w:bidi="bn-BD"/>
        </w:rPr>
        <w:t>dr</w:t>
      </w:r>
      <w:r w:rsidR="00072A30">
        <w:rPr>
          <w:rFonts w:eastAsia="Times New Roman" w:cs="Times New Roman"/>
          <w:lang w:bidi="bn-BD"/>
        </w:rPr>
        <w:t>o</w:t>
      </w:r>
      <w:r w:rsidR="00072A30" w:rsidRPr="00067859">
        <w:rPr>
          <w:rFonts w:eastAsia="Times New Roman" w:cs="Times New Roman"/>
          <w:lang w:bidi="bn-BD"/>
        </w:rPr>
        <w:t xml:space="preserve">ughts </w:t>
      </w:r>
      <w:r w:rsidR="00A356FA" w:rsidRPr="00067859">
        <w:rPr>
          <w:rFonts w:eastAsia="Times New Roman" w:cs="Times New Roman"/>
          <w:lang w:bidi="bn-BD"/>
        </w:rPr>
        <w:t xml:space="preserve">and water scarcity, with </w:t>
      </w:r>
      <w:r w:rsidR="00A356FA" w:rsidRPr="00067859">
        <w:rPr>
          <w:rFonts w:cs="Times New Roman"/>
          <w:lang w:bidi="bn-BD"/>
        </w:rPr>
        <w:t>low organic matter content and low soil fertility.</w:t>
      </w:r>
      <w:r w:rsidR="00A356FA" w:rsidRPr="00067859">
        <w:rPr>
          <w:rFonts w:eastAsia="Times New Roman" w:cs="Times New Roman"/>
          <w:lang w:bidi="bn-BD"/>
        </w:rPr>
        <w:t xml:space="preserve"> </w:t>
      </w:r>
      <w:r w:rsidR="00A356FA" w:rsidRPr="00067859">
        <w:rPr>
          <w:rFonts w:cs="Times New Roman"/>
          <w:lang w:bidi="bn-BD"/>
        </w:rPr>
        <w:t>Inadequate surface and ground water which limits irrigation.  Big land ownership (generally absentee) makes it difficult to organize activities e.g., maintenance of irrigation/drainage channels, IPM etc.</w:t>
      </w:r>
      <w:r>
        <w:rPr>
          <w:rFonts w:cs="Times New Roman"/>
          <w:lang w:bidi="bn-BD"/>
        </w:rPr>
        <w:t xml:space="preserve">  </w:t>
      </w:r>
      <w:r w:rsidR="00175BE5">
        <w:rPr>
          <w:rFonts w:cs="Segoe UI"/>
          <w:color w:val="000000" w:themeColor="text1"/>
          <w:szCs w:val="24"/>
        </w:rPr>
        <w:t>Key constraints in this area</w:t>
      </w:r>
      <w:r w:rsidRPr="00175BE5">
        <w:rPr>
          <w:rFonts w:cs="Segoe UI"/>
          <w:color w:val="000000" w:themeColor="text1"/>
          <w:szCs w:val="24"/>
        </w:rPr>
        <w:t xml:space="preserve"> are as below:</w:t>
      </w:r>
    </w:p>
    <w:p w:rsidR="00000000" w:rsidRDefault="00EA47B5" w:rsidP="003D5A31">
      <w:pPr>
        <w:pStyle w:val="ListParagraph"/>
        <w:numPr>
          <w:ilvl w:val="0"/>
          <w:numId w:val="224"/>
        </w:numPr>
        <w:spacing w:after="0" w:line="276" w:lineRule="auto"/>
        <w:contextualSpacing w:val="0"/>
        <w:jc w:val="both"/>
        <w:rPr>
          <w:rFonts w:eastAsia="Times New Roman" w:cs="Segoe UI"/>
          <w:color w:val="000000" w:themeColor="text1"/>
          <w:szCs w:val="24"/>
          <w:lang w:bidi="bn-BD"/>
        </w:rPr>
      </w:pPr>
      <w:r w:rsidRPr="00175BE5">
        <w:rPr>
          <w:rFonts w:eastAsia="Times New Roman" w:cs="Segoe UI"/>
          <w:color w:val="000000" w:themeColor="text1"/>
          <w:szCs w:val="24"/>
          <w:lang w:bidi="bn-BD"/>
        </w:rPr>
        <w:t>Soils which are flooded in the rainy season become very dry in the dry season.</w:t>
      </w:r>
    </w:p>
    <w:p w:rsidR="00000000" w:rsidRDefault="00EA47B5" w:rsidP="003D5A31">
      <w:pPr>
        <w:pStyle w:val="ListParagraph"/>
        <w:numPr>
          <w:ilvl w:val="0"/>
          <w:numId w:val="224"/>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Low organic matter content and low soil fertility.</w:t>
      </w:r>
    </w:p>
    <w:p w:rsidR="00000000" w:rsidRDefault="00EA47B5" w:rsidP="003D5A31">
      <w:pPr>
        <w:pStyle w:val="ListParagraph"/>
        <w:numPr>
          <w:ilvl w:val="0"/>
          <w:numId w:val="224"/>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Uncertain groundwater supplies in some areas.</w:t>
      </w:r>
    </w:p>
    <w:p w:rsidR="00000000" w:rsidRDefault="00EA47B5" w:rsidP="003D5A31">
      <w:pPr>
        <w:pStyle w:val="ListParagraph"/>
        <w:numPr>
          <w:ilvl w:val="0"/>
          <w:numId w:val="224"/>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Poor rural road communication, especially in the rainy season.</w:t>
      </w:r>
    </w:p>
    <w:p w:rsidR="00000000" w:rsidRDefault="00EA47B5" w:rsidP="003D5A31">
      <w:pPr>
        <w:pStyle w:val="ListParagraph"/>
        <w:numPr>
          <w:ilvl w:val="0"/>
          <w:numId w:val="224"/>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Unreliable pre-monsoon and post-monsoon rainfall, occasionally dry breaks within the rainy season.</w:t>
      </w:r>
    </w:p>
    <w:p w:rsidR="00000000" w:rsidRDefault="00EA47B5" w:rsidP="003D5A31">
      <w:pPr>
        <w:pStyle w:val="ListParagraph"/>
        <w:numPr>
          <w:ilvl w:val="0"/>
          <w:numId w:val="224"/>
        </w:numPr>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Soils poorly drained in rainy season, but very dry in dry season.  Inadequate surface and groundwater which limits irrigation,</w:t>
      </w:r>
    </w:p>
    <w:p w:rsidR="00000000" w:rsidRDefault="00EA47B5" w:rsidP="003D5A31">
      <w:pPr>
        <w:pStyle w:val="ListParagraph"/>
        <w:numPr>
          <w:ilvl w:val="0"/>
          <w:numId w:val="224"/>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Big land ownership (generally absentee) which makes difficult to organize activities e.g., maintenance of irrigation/drainage channels, IPM etc.</w:t>
      </w:r>
    </w:p>
    <w:p w:rsidR="00000000" w:rsidRDefault="00EA47B5" w:rsidP="003D5A31">
      <w:pPr>
        <w:pStyle w:val="ListParagraph"/>
        <w:numPr>
          <w:ilvl w:val="0"/>
          <w:numId w:val="224"/>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Generally inadequate surface water.</w:t>
      </w:r>
    </w:p>
    <w:p w:rsidR="00000000" w:rsidRDefault="00EA47B5" w:rsidP="003D5A31">
      <w:pPr>
        <w:pStyle w:val="ListParagraph"/>
        <w:numPr>
          <w:ilvl w:val="0"/>
          <w:numId w:val="224"/>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Large–scale irrigation would be difficult to provide as the high lift from the adjoining perennial rivers (Ganges, Mahananda) due to undulated topography.</w:t>
      </w:r>
    </w:p>
    <w:p w:rsidR="00175BE5" w:rsidRPr="00175BE5" w:rsidRDefault="00175BE5" w:rsidP="00175BE5">
      <w:pPr>
        <w:pStyle w:val="ListParagraph"/>
        <w:tabs>
          <w:tab w:val="left" w:pos="210"/>
        </w:tabs>
        <w:spacing w:before="40" w:after="40" w:line="276" w:lineRule="auto"/>
        <w:ind w:left="1080"/>
        <w:jc w:val="both"/>
        <w:rPr>
          <w:rFonts w:cs="Segoe UI"/>
          <w:color w:val="000000" w:themeColor="text1"/>
          <w:szCs w:val="24"/>
          <w:lang w:bidi="bn-BD"/>
        </w:rPr>
      </w:pPr>
    </w:p>
    <w:p w:rsidR="008F27C4" w:rsidRPr="005C604D" w:rsidRDefault="00EA47B5" w:rsidP="008F27C4">
      <w:pPr>
        <w:spacing w:line="276" w:lineRule="auto"/>
        <w:jc w:val="both"/>
        <w:rPr>
          <w:rFonts w:cs="Segoe UI"/>
          <w:color w:val="FF0000"/>
          <w:szCs w:val="24"/>
        </w:rPr>
      </w:pPr>
      <w:r>
        <w:rPr>
          <w:rFonts w:cs="Times New Roman"/>
        </w:rPr>
        <w:t>Challenges in Chittagong Hill tracts areas:  T</w:t>
      </w:r>
      <w:r w:rsidR="00A356FA" w:rsidRPr="00067859">
        <w:rPr>
          <w:rFonts w:cs="Times New Roman"/>
        </w:rPr>
        <w:t xml:space="preserve">he hotspot of </w:t>
      </w:r>
      <w:r w:rsidR="00A356FA" w:rsidRPr="00067859">
        <w:rPr>
          <w:rFonts w:cs="Times New Roman"/>
          <w:b/>
          <w:i/>
        </w:rPr>
        <w:t>Chittagong hill tracts</w:t>
      </w:r>
      <w:r w:rsidR="00A356FA" w:rsidRPr="00067859">
        <w:rPr>
          <w:rFonts w:cs="Times New Roman"/>
        </w:rPr>
        <w:t xml:space="preserve"> is confined within the districts of Khagrachari, Rangamati and Bandarban. The region experiences cyclonic rainfall, flash flood and landslides during the monsoon and water shortage during the dry season both for domestic and agriculture purposes. Land ownership issues are a big challenge to land resource management in this hotspot. </w:t>
      </w:r>
      <w:r w:rsidR="008F27C4">
        <w:rPr>
          <w:rFonts w:cs="Times New Roman"/>
        </w:rPr>
        <w:t xml:space="preserve"> </w:t>
      </w:r>
      <w:r w:rsidR="00EA4E38">
        <w:rPr>
          <w:rFonts w:cs="Segoe UI"/>
          <w:color w:val="000000" w:themeColor="text1"/>
          <w:szCs w:val="24"/>
        </w:rPr>
        <w:t>Key constraints in this area</w:t>
      </w:r>
      <w:r w:rsidR="00EA4E38" w:rsidRPr="00175BE5">
        <w:rPr>
          <w:rFonts w:cs="Segoe UI"/>
          <w:color w:val="000000" w:themeColor="text1"/>
          <w:szCs w:val="24"/>
        </w:rPr>
        <w:t xml:space="preserve"> are as below:</w:t>
      </w:r>
    </w:p>
    <w:p w:rsidR="00000000" w:rsidRDefault="008F27C4" w:rsidP="003D5A31">
      <w:pPr>
        <w:pStyle w:val="ListParagraph"/>
        <w:numPr>
          <w:ilvl w:val="0"/>
          <w:numId w:val="225"/>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Steep sloppy land.</w:t>
      </w:r>
    </w:p>
    <w:p w:rsidR="00000000" w:rsidRDefault="008F27C4" w:rsidP="003D5A31">
      <w:pPr>
        <w:pStyle w:val="ListParagraph"/>
        <w:numPr>
          <w:ilvl w:val="0"/>
          <w:numId w:val="225"/>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Roads are expensive to build because of long, linear, hill ranges with steep slopes.</w:t>
      </w:r>
    </w:p>
    <w:p w:rsidR="00000000" w:rsidRDefault="008F27C4" w:rsidP="003D5A31">
      <w:pPr>
        <w:pStyle w:val="ListParagraph"/>
        <w:numPr>
          <w:ilvl w:val="0"/>
          <w:numId w:val="225"/>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Very strongly acidic soils.</w:t>
      </w:r>
    </w:p>
    <w:p w:rsidR="00000000" w:rsidRDefault="008F27C4" w:rsidP="003D5A31">
      <w:pPr>
        <w:pStyle w:val="ListParagraph"/>
        <w:numPr>
          <w:ilvl w:val="0"/>
          <w:numId w:val="225"/>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Fertilizer nitrogen is rapidly leached during heavy monsoon rainfall.</w:t>
      </w:r>
    </w:p>
    <w:p w:rsidR="00000000" w:rsidRDefault="008F27C4" w:rsidP="003D5A31">
      <w:pPr>
        <w:pStyle w:val="ListParagraph"/>
        <w:numPr>
          <w:ilvl w:val="0"/>
          <w:numId w:val="225"/>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lastRenderedPageBreak/>
        <w:t>Flash floods are prominent.</w:t>
      </w:r>
    </w:p>
    <w:p w:rsidR="00000000" w:rsidRDefault="008F27C4" w:rsidP="003D5A31">
      <w:pPr>
        <w:pStyle w:val="ListParagraph"/>
        <w:numPr>
          <w:ilvl w:val="0"/>
          <w:numId w:val="225"/>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Risk of landslip erosion.</w:t>
      </w:r>
    </w:p>
    <w:p w:rsidR="00000000" w:rsidRDefault="008F27C4" w:rsidP="003D5A31">
      <w:pPr>
        <w:pStyle w:val="ListParagraph"/>
        <w:numPr>
          <w:ilvl w:val="0"/>
          <w:numId w:val="225"/>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Remoteness of areas.</w:t>
      </w:r>
    </w:p>
    <w:p w:rsidR="00000000" w:rsidRDefault="008F27C4" w:rsidP="003D5A31">
      <w:pPr>
        <w:pStyle w:val="ListParagraph"/>
        <w:numPr>
          <w:ilvl w:val="0"/>
          <w:numId w:val="225"/>
        </w:numPr>
        <w:tabs>
          <w:tab w:val="left" w:pos="210"/>
        </w:tabs>
        <w:spacing w:before="40" w:after="40" w:line="276" w:lineRule="auto"/>
        <w:jc w:val="both"/>
        <w:rPr>
          <w:rFonts w:cs="Segoe UI"/>
          <w:color w:val="000000" w:themeColor="text1"/>
          <w:szCs w:val="24"/>
          <w:lang w:bidi="bn-BD"/>
        </w:rPr>
      </w:pPr>
      <w:r w:rsidRPr="00175BE5">
        <w:rPr>
          <w:rFonts w:cs="Segoe UI"/>
          <w:color w:val="000000" w:themeColor="text1"/>
          <w:szCs w:val="24"/>
          <w:lang w:bidi="bn-BD"/>
        </w:rPr>
        <w:t>Tribal land ownership or illegal land ownership by plains people.</w:t>
      </w:r>
    </w:p>
    <w:p w:rsidR="00175BE5" w:rsidRPr="00175BE5" w:rsidRDefault="00175BE5" w:rsidP="00175BE5">
      <w:pPr>
        <w:pStyle w:val="ListParagraph"/>
        <w:tabs>
          <w:tab w:val="left" w:pos="210"/>
        </w:tabs>
        <w:spacing w:before="40" w:after="40" w:line="276" w:lineRule="auto"/>
        <w:jc w:val="both"/>
        <w:rPr>
          <w:rFonts w:cs="Segoe UI"/>
          <w:color w:val="000000" w:themeColor="text1"/>
          <w:szCs w:val="24"/>
          <w:lang w:bidi="bn-BD"/>
        </w:rPr>
      </w:pPr>
    </w:p>
    <w:p w:rsidR="00A356FA" w:rsidRPr="00B50D2C" w:rsidRDefault="008F27C4" w:rsidP="00A356FA">
      <w:pPr>
        <w:spacing w:line="276" w:lineRule="auto"/>
        <w:jc w:val="both"/>
        <w:rPr>
          <w:rFonts w:cs="Times New Roman"/>
          <w:i/>
        </w:rPr>
      </w:pPr>
      <w:r>
        <w:rPr>
          <w:rFonts w:cs="Times New Roman"/>
          <w:b/>
          <w:i/>
        </w:rPr>
        <w:t xml:space="preserve">Challenges in </w:t>
      </w:r>
      <w:r w:rsidR="00B50D2C">
        <w:rPr>
          <w:rFonts w:cs="Times New Roman"/>
          <w:b/>
          <w:i/>
        </w:rPr>
        <w:t>Urban</w:t>
      </w:r>
      <w:r w:rsidR="00175BE5">
        <w:rPr>
          <w:rFonts w:cs="Times New Roman"/>
          <w:b/>
          <w:i/>
        </w:rPr>
        <w:t xml:space="preserve"> areas</w:t>
      </w:r>
      <w:r w:rsidR="00B50D2C">
        <w:rPr>
          <w:rFonts w:cs="Times New Roman"/>
          <w:b/>
          <w:i/>
        </w:rPr>
        <w:t xml:space="preserve">: </w:t>
      </w:r>
      <w:r w:rsidR="00B50D2C">
        <w:rPr>
          <w:rFonts w:cs="Times New Roman"/>
          <w:i/>
        </w:rPr>
        <w:t xml:space="preserve"> </w:t>
      </w:r>
      <w:r w:rsidR="00A356FA" w:rsidRPr="00067859">
        <w:rPr>
          <w:rFonts w:cs="Times New Roman"/>
        </w:rPr>
        <w:t>Beyond the challenges of the rivers, the haors, the coastal regions, the barind tract and the hills that have agriculture as the mainstay of economic activity, we have the challenge of land use arising from rapid urbanization and demand for land for industry and agriculture. The growing population and the concomitant demand for land for housing, infrastructure development, and industrial needs will continue to be a growing challenge for land management, particularly from need for striking optimum balance with land needs for food security.  The BDP 2100 identified hotspot of urban centers comprises the divisional headquarters of the country i.e. Dhaka, Chittagong, Khulna, Rajshahi, Sylhet, and Barisal, with emphasis on city corporation areas, and their influence zones. These urban areas also experience floods, drainage congestion, water logging, water shortage, environmental degradation as well as high incidences of water, air, soil, noise and thermal pollution.  The challenge here is that of undertaking appropriate spatial planning and also identifying new areas for urbanization that minimizes encroachment into prime agricultural land.</w:t>
      </w:r>
    </w:p>
    <w:p w:rsidR="00000000" w:rsidRDefault="00A356FA" w:rsidP="003D5A31">
      <w:pPr>
        <w:pStyle w:val="BodyText"/>
        <w:numPr>
          <w:ilvl w:val="2"/>
          <w:numId w:val="149"/>
        </w:numPr>
        <w:spacing w:after="240" w:line="276" w:lineRule="auto"/>
        <w:jc w:val="both"/>
        <w:rPr>
          <w:rFonts w:cs="Times New Roman"/>
          <w:b/>
          <w:szCs w:val="24"/>
        </w:rPr>
      </w:pPr>
      <w:r w:rsidRPr="003D3798">
        <w:rPr>
          <w:rFonts w:cs="Times New Roman"/>
          <w:b/>
          <w:szCs w:val="24"/>
        </w:rPr>
        <w:t>Land Use – Issues and Practices</w:t>
      </w:r>
    </w:p>
    <w:p w:rsidR="00A356FA" w:rsidRPr="00067859" w:rsidRDefault="00A356FA" w:rsidP="00A356FA">
      <w:pPr>
        <w:spacing w:line="276" w:lineRule="auto"/>
        <w:jc w:val="both"/>
        <w:rPr>
          <w:rFonts w:cs="Times New Roman"/>
        </w:rPr>
      </w:pPr>
      <w:r w:rsidRPr="00067859">
        <w:rPr>
          <w:rFonts w:cs="Times New Roman"/>
        </w:rPr>
        <w:t xml:space="preserve">At the heart of optimal land resource management is the need for a land use strategy that takes into account the challenges of the different hotspots as well as adequately responds to the competing land need of food security and that for urbanization and industrial needs over the long term.  Land use in Bangladesh is generally determined by physiography, climate and land levels (Brammer, 2002). Together they constitute a highly complex environment characterized </w:t>
      </w:r>
      <w:r w:rsidR="00F64A6A" w:rsidRPr="00F64A6A">
        <w:rPr>
          <w:rFonts w:cs="Times New Roman"/>
          <w:u w:val="single"/>
        </w:rPr>
        <w:t>by five main land types (Table 7.1) related to the depth of seasonal flooding.</w:t>
      </w:r>
      <w:r w:rsidRPr="00067859">
        <w:rPr>
          <w:rFonts w:cs="Times New Roman"/>
        </w:rPr>
        <w:t xml:space="preserve">  As evident, about 60</w:t>
      </w:r>
      <w:r w:rsidR="00A2349C">
        <w:rPr>
          <w:rFonts w:cs="Times New Roman"/>
        </w:rPr>
        <w:t xml:space="preserve"> (??)</w:t>
      </w:r>
      <w:r w:rsidRPr="00067859">
        <w:rPr>
          <w:rFonts w:cs="Times New Roman"/>
        </w:rPr>
        <w:t xml:space="preserve"> percent of the land is seasonally inundated to a depth of 30 centimeters or more.</w:t>
      </w:r>
    </w:p>
    <w:p w:rsidR="00564621" w:rsidRDefault="00564621">
      <w:pPr>
        <w:rPr>
          <w:rFonts w:cs="Times New Roman"/>
          <w:b/>
          <w:bCs/>
          <w:szCs w:val="24"/>
        </w:rPr>
      </w:pPr>
      <w:r>
        <w:br w:type="page"/>
      </w:r>
    </w:p>
    <w:p w:rsidR="00A356FA" w:rsidRPr="00067859" w:rsidRDefault="00061254" w:rsidP="001A40B7">
      <w:pPr>
        <w:pStyle w:val="Heading4"/>
      </w:pPr>
      <w:bookmarkStart w:id="510" w:name="_Toc474639038"/>
      <w:r>
        <w:lastRenderedPageBreak/>
        <w:t xml:space="preserve">Table </w:t>
      </w:r>
      <w:r w:rsidR="00BF3570">
        <w:t>7.</w:t>
      </w:r>
      <w:r w:rsidR="002B75A4">
        <w:t>1</w:t>
      </w:r>
      <w:r>
        <w:t>:  Distribution of Various Land T</w:t>
      </w:r>
      <w:r w:rsidR="00A356FA" w:rsidRPr="00067859">
        <w:t>ype of Bangladesh</w:t>
      </w:r>
      <w:bookmarkEnd w:id="510"/>
    </w:p>
    <w:tbl>
      <w:tblPr>
        <w:tblW w:w="4776" w:type="pct"/>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726"/>
        <w:gridCol w:w="1617"/>
        <w:gridCol w:w="6107"/>
        <w:gridCol w:w="697"/>
      </w:tblGrid>
      <w:tr w:rsidR="00A356FA" w:rsidRPr="0036702C" w:rsidTr="00A356FA">
        <w:tc>
          <w:tcPr>
            <w:tcW w:w="397" w:type="pct"/>
            <w:shd w:val="clear" w:color="auto" w:fill="auto"/>
          </w:tcPr>
          <w:p w:rsidR="00A356FA" w:rsidRPr="0036702C" w:rsidRDefault="00A356FA" w:rsidP="00024601">
            <w:pPr>
              <w:spacing w:after="0"/>
              <w:jc w:val="both"/>
              <w:rPr>
                <w:rFonts w:eastAsia="Calibri" w:cs="Times New Roman"/>
                <w:b/>
                <w:sz w:val="20"/>
                <w:szCs w:val="20"/>
              </w:rPr>
            </w:pPr>
            <w:r w:rsidRPr="0036702C">
              <w:rPr>
                <w:rFonts w:eastAsia="Calibri" w:cs="Times New Roman"/>
                <w:b/>
                <w:sz w:val="20"/>
                <w:szCs w:val="20"/>
              </w:rPr>
              <w:t>Land Type</w:t>
            </w:r>
          </w:p>
        </w:tc>
        <w:tc>
          <w:tcPr>
            <w:tcW w:w="884" w:type="pct"/>
            <w:shd w:val="clear" w:color="auto" w:fill="auto"/>
          </w:tcPr>
          <w:p w:rsidR="00A356FA" w:rsidRPr="0036702C" w:rsidRDefault="00A356FA" w:rsidP="00024601">
            <w:pPr>
              <w:spacing w:after="0"/>
              <w:jc w:val="both"/>
              <w:rPr>
                <w:rFonts w:eastAsia="Calibri" w:cs="Times New Roman"/>
                <w:b/>
                <w:sz w:val="20"/>
                <w:szCs w:val="20"/>
              </w:rPr>
            </w:pPr>
            <w:r w:rsidRPr="0036702C">
              <w:rPr>
                <w:rFonts w:eastAsia="Calibri" w:cs="Times New Roman"/>
                <w:b/>
                <w:sz w:val="20"/>
                <w:szCs w:val="20"/>
              </w:rPr>
              <w:t>Description</w:t>
            </w:r>
          </w:p>
        </w:tc>
        <w:tc>
          <w:tcPr>
            <w:tcW w:w="3337" w:type="pct"/>
            <w:shd w:val="clear" w:color="auto" w:fill="auto"/>
          </w:tcPr>
          <w:p w:rsidR="00A356FA" w:rsidRPr="0036702C" w:rsidRDefault="00A356FA" w:rsidP="00024601">
            <w:pPr>
              <w:spacing w:after="0"/>
              <w:jc w:val="both"/>
              <w:rPr>
                <w:rFonts w:eastAsia="Calibri" w:cs="Times New Roman"/>
                <w:b/>
                <w:sz w:val="20"/>
                <w:szCs w:val="20"/>
              </w:rPr>
            </w:pPr>
            <w:r w:rsidRPr="0036702C">
              <w:rPr>
                <w:rFonts w:eastAsia="Calibri" w:cs="Times New Roman"/>
                <w:b/>
                <w:sz w:val="20"/>
                <w:szCs w:val="20"/>
              </w:rPr>
              <w:t>Flooding characteristics</w:t>
            </w:r>
          </w:p>
        </w:tc>
        <w:tc>
          <w:tcPr>
            <w:tcW w:w="381"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 of</w:t>
            </w:r>
          </w:p>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 xml:space="preserve"> NCA</w:t>
            </w:r>
          </w:p>
        </w:tc>
      </w:tr>
      <w:tr w:rsidR="00A356FA" w:rsidRPr="0036702C" w:rsidTr="00A356FA">
        <w:tc>
          <w:tcPr>
            <w:tcW w:w="39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F</w:t>
            </w:r>
            <w:r w:rsidRPr="0036702C">
              <w:rPr>
                <w:rFonts w:eastAsia="Calibri" w:cs="Times New Roman"/>
                <w:sz w:val="20"/>
                <w:szCs w:val="20"/>
                <w:vertAlign w:val="subscript"/>
              </w:rPr>
              <w:t>0</w:t>
            </w:r>
          </w:p>
        </w:tc>
        <w:tc>
          <w:tcPr>
            <w:tcW w:w="884"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Highland</w:t>
            </w:r>
          </w:p>
        </w:tc>
        <w:tc>
          <w:tcPr>
            <w:tcW w:w="333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Non-flooded to intermittent or land which is above normal flood-level.</w:t>
            </w:r>
          </w:p>
        </w:tc>
        <w:tc>
          <w:tcPr>
            <w:tcW w:w="381"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34</w:t>
            </w:r>
          </w:p>
        </w:tc>
      </w:tr>
      <w:tr w:rsidR="00A356FA" w:rsidRPr="0036702C" w:rsidTr="00A356FA">
        <w:tc>
          <w:tcPr>
            <w:tcW w:w="39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F</w:t>
            </w:r>
            <w:r w:rsidRPr="0036702C">
              <w:rPr>
                <w:rFonts w:eastAsia="Calibri" w:cs="Times New Roman"/>
                <w:sz w:val="20"/>
                <w:szCs w:val="20"/>
                <w:vertAlign w:val="subscript"/>
              </w:rPr>
              <w:t>1</w:t>
            </w:r>
          </w:p>
        </w:tc>
        <w:tc>
          <w:tcPr>
            <w:tcW w:w="884"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Medium Highland</w:t>
            </w:r>
          </w:p>
        </w:tc>
        <w:tc>
          <w:tcPr>
            <w:tcW w:w="333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 xml:space="preserve">Land which is normally flooded up to about 90 cm deep during the flood season. This class has been subdivided into two classes: </w:t>
            </w:r>
          </w:p>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MH-1, normally flooded upto  about 30 cm deep; and</w:t>
            </w:r>
          </w:p>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MH-2, normally flooded up to between 30-90 cm deep.</w:t>
            </w:r>
          </w:p>
        </w:tc>
        <w:tc>
          <w:tcPr>
            <w:tcW w:w="381"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40</w:t>
            </w:r>
          </w:p>
        </w:tc>
      </w:tr>
      <w:tr w:rsidR="00A356FA" w:rsidRPr="0036702C" w:rsidTr="00A356FA">
        <w:tc>
          <w:tcPr>
            <w:tcW w:w="39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F</w:t>
            </w:r>
            <w:r w:rsidRPr="0036702C">
              <w:rPr>
                <w:rFonts w:eastAsia="Calibri" w:cs="Times New Roman"/>
                <w:sz w:val="20"/>
                <w:szCs w:val="20"/>
                <w:vertAlign w:val="subscript"/>
              </w:rPr>
              <w:t>2</w:t>
            </w:r>
          </w:p>
        </w:tc>
        <w:tc>
          <w:tcPr>
            <w:tcW w:w="884"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Medium Lowland</w:t>
            </w:r>
          </w:p>
        </w:tc>
        <w:tc>
          <w:tcPr>
            <w:tcW w:w="333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 xml:space="preserve">Land which is normally flooded up to between 90 cm and 180 cm deep during the flood season </w:t>
            </w:r>
          </w:p>
        </w:tc>
        <w:tc>
          <w:tcPr>
            <w:tcW w:w="381"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15</w:t>
            </w:r>
          </w:p>
        </w:tc>
      </w:tr>
      <w:tr w:rsidR="00A356FA" w:rsidRPr="0036702C" w:rsidTr="00A356FA">
        <w:tc>
          <w:tcPr>
            <w:tcW w:w="39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F</w:t>
            </w:r>
            <w:r w:rsidRPr="0036702C">
              <w:rPr>
                <w:rFonts w:eastAsia="Calibri" w:cs="Times New Roman"/>
                <w:sz w:val="20"/>
                <w:szCs w:val="20"/>
                <w:vertAlign w:val="subscript"/>
              </w:rPr>
              <w:t>3</w:t>
            </w:r>
          </w:p>
        </w:tc>
        <w:tc>
          <w:tcPr>
            <w:tcW w:w="884"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Lowland</w:t>
            </w:r>
          </w:p>
        </w:tc>
        <w:tc>
          <w:tcPr>
            <w:tcW w:w="333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Land which is normally flooded to between 180 and 300 cm deep during the flood season.</w:t>
            </w:r>
          </w:p>
        </w:tc>
        <w:tc>
          <w:tcPr>
            <w:tcW w:w="381"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10</w:t>
            </w:r>
          </w:p>
        </w:tc>
      </w:tr>
      <w:tr w:rsidR="00A356FA" w:rsidRPr="0036702C" w:rsidTr="00A356FA">
        <w:tc>
          <w:tcPr>
            <w:tcW w:w="39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F</w:t>
            </w:r>
            <w:r w:rsidRPr="0036702C">
              <w:rPr>
                <w:rFonts w:eastAsia="Calibri" w:cs="Times New Roman"/>
                <w:sz w:val="20"/>
                <w:szCs w:val="20"/>
                <w:vertAlign w:val="subscript"/>
              </w:rPr>
              <w:t>4</w:t>
            </w:r>
          </w:p>
        </w:tc>
        <w:tc>
          <w:tcPr>
            <w:tcW w:w="884"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Very Lowland</w:t>
            </w:r>
          </w:p>
        </w:tc>
        <w:tc>
          <w:tcPr>
            <w:tcW w:w="3337"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Land which is normally flooded deeper than 300 cm during flood season.</w:t>
            </w:r>
          </w:p>
        </w:tc>
        <w:tc>
          <w:tcPr>
            <w:tcW w:w="381" w:type="pct"/>
            <w:shd w:val="clear" w:color="auto" w:fill="auto"/>
          </w:tcPr>
          <w:p w:rsidR="00A356FA" w:rsidRPr="0036702C" w:rsidRDefault="00A356FA" w:rsidP="00024601">
            <w:pPr>
              <w:spacing w:after="0"/>
              <w:jc w:val="both"/>
              <w:rPr>
                <w:rFonts w:eastAsia="Calibri" w:cs="Times New Roman"/>
                <w:sz w:val="20"/>
                <w:szCs w:val="20"/>
              </w:rPr>
            </w:pPr>
            <w:r w:rsidRPr="0036702C">
              <w:rPr>
                <w:rFonts w:eastAsia="Calibri" w:cs="Times New Roman"/>
                <w:sz w:val="20"/>
                <w:szCs w:val="20"/>
              </w:rPr>
              <w:t>2</w:t>
            </w:r>
          </w:p>
        </w:tc>
      </w:tr>
    </w:tbl>
    <w:p w:rsidR="00A356FA" w:rsidRPr="006F6265" w:rsidRDefault="00A356FA" w:rsidP="00061254">
      <w:pPr>
        <w:pStyle w:val="Source"/>
        <w:spacing w:before="120" w:line="240" w:lineRule="auto"/>
        <w:jc w:val="both"/>
        <w:rPr>
          <w:rFonts w:ascii="Times New Roman" w:hAnsi="Times New Roman"/>
          <w:b/>
          <w:bCs/>
          <w:lang w:eastAsia="en-US"/>
        </w:rPr>
      </w:pPr>
      <w:r w:rsidRPr="006F6265">
        <w:rPr>
          <w:rFonts w:ascii="Times New Roman" w:hAnsi="Times New Roman"/>
          <w:sz w:val="24"/>
          <w:szCs w:val="24"/>
          <w:lang w:eastAsia="en-US"/>
        </w:rPr>
        <w:t xml:space="preserve"> </w:t>
      </w:r>
      <w:r w:rsidRPr="006F6265">
        <w:rPr>
          <w:rFonts w:ascii="Times New Roman" w:hAnsi="Times New Roman"/>
          <w:b/>
          <w:bCs/>
          <w:lang w:eastAsia="en-US"/>
        </w:rPr>
        <w:t>Source: CEGIS estimation from SOLARIS-SRDI (2006)</w:t>
      </w:r>
    </w:p>
    <w:p w:rsidR="00A356FA" w:rsidRPr="00EE25BA" w:rsidRDefault="00A356FA" w:rsidP="00A356FA">
      <w:pPr>
        <w:pStyle w:val="NormalWeb"/>
        <w:shd w:val="clear" w:color="auto" w:fill="FFFFFF"/>
        <w:spacing w:before="0" w:beforeAutospacing="0" w:after="0" w:afterAutospacing="0" w:line="276" w:lineRule="auto"/>
      </w:pPr>
      <w:r w:rsidRPr="00EE25BA">
        <w:t xml:space="preserve">While land use pattern would be dependent on the various land types, to get a proper measurement of land based on its various usages and also its impact on ecosystem, land use classification is required.  There are classifications made on the basis of physical appearance (land cover classification), the purpose of its use, and agro-climatic/agro-ecological classification.  A very comprehensive classification has been done as part of Land Resources Appraisal of Bangladesh for agricultural development; where Bangladesh has been subdivided into 30 agro-ecological regions and 88 sub regions. The major components of these regions and sub-regions are physiography, soil properties, soil salinity, depth and duration of flooding which are relevant for land use and for the assessment of present and future agricultural potential. Each of these agro-ecological zones is characterized with differences in soils, climate and hydrology and is also areas with varying degrees of disastrous floods, drought and cyclones.  </w:t>
      </w:r>
      <w:bookmarkStart w:id="511" w:name="_Toc411251983"/>
      <w:bookmarkStart w:id="512" w:name="_Toc439146217"/>
    </w:p>
    <w:p w:rsidR="00A356FA" w:rsidRPr="00061254" w:rsidRDefault="00A356FA" w:rsidP="00A356FA">
      <w:pPr>
        <w:jc w:val="center"/>
        <w:rPr>
          <w:rFonts w:cs="Times New Roman"/>
          <w:b/>
          <w:sz w:val="10"/>
        </w:rPr>
      </w:pPr>
    </w:p>
    <w:bookmarkEnd w:id="511"/>
    <w:bookmarkEnd w:id="512"/>
    <w:p w:rsidR="00CE739C" w:rsidRPr="0095061D" w:rsidRDefault="00A356FA" w:rsidP="00A356FA">
      <w:pPr>
        <w:widowControl w:val="0"/>
        <w:autoSpaceDE w:val="0"/>
        <w:autoSpaceDN w:val="0"/>
        <w:adjustRightInd w:val="0"/>
        <w:spacing w:line="276" w:lineRule="auto"/>
        <w:jc w:val="both"/>
        <w:rPr>
          <w:rFonts w:cs="Times New Roman"/>
        </w:rPr>
      </w:pPr>
      <w:r w:rsidRPr="00EE25BA">
        <w:rPr>
          <w:rFonts w:cs="Times New Roman"/>
        </w:rPr>
        <w:t>The agro-ecological regions and the 88 sub-regions are more attuned to agriculture and may not be reflective enough for other type of land use, particularly the growing land demand for urban and industrial needs. Any land use related strategic planning that primarily focuses on agriculture and rural usages without adequately taking into the demographic needs of creating jobs will not be able to fulfill Government’s strategic objectives inclusive growth as stated in the 6</w:t>
      </w:r>
      <w:r w:rsidRPr="00EE25BA">
        <w:rPr>
          <w:rFonts w:cs="Times New Roman"/>
          <w:vertAlign w:val="superscript"/>
        </w:rPr>
        <w:t>th</w:t>
      </w:r>
      <w:r w:rsidRPr="00EE25BA">
        <w:rPr>
          <w:rFonts w:cs="Times New Roman"/>
        </w:rPr>
        <w:t xml:space="preserve"> and 7</w:t>
      </w:r>
      <w:r w:rsidRPr="00EE25BA">
        <w:rPr>
          <w:rFonts w:cs="Times New Roman"/>
          <w:vertAlign w:val="superscript"/>
        </w:rPr>
        <w:t>th</w:t>
      </w:r>
      <w:r w:rsidRPr="00EE25BA">
        <w:rPr>
          <w:rFonts w:cs="Times New Roman"/>
        </w:rPr>
        <w:t xml:space="preserve"> Five year plans as well as its Vision 2021.  A more comprehensive and standardized land use classification is, therefore, required for a more integrated land use planning and optimal land res</w:t>
      </w:r>
      <w:r w:rsidR="00061254">
        <w:rPr>
          <w:rFonts w:cs="Times New Roman"/>
        </w:rPr>
        <w:t xml:space="preserve">ource management.  The </w:t>
      </w:r>
      <w:r w:rsidRPr="00EE25BA">
        <w:rPr>
          <w:rFonts w:cs="Times New Roman"/>
        </w:rPr>
        <w:t>land use could be classified under three broad headings.</w:t>
      </w:r>
    </w:p>
    <w:p w:rsidR="00A356FA" w:rsidRPr="00EE25BA" w:rsidRDefault="00A356FA" w:rsidP="00A631E1">
      <w:pPr>
        <w:pStyle w:val="ListParagraph"/>
        <w:numPr>
          <w:ilvl w:val="0"/>
          <w:numId w:val="41"/>
        </w:numPr>
        <w:spacing w:after="0" w:line="276" w:lineRule="auto"/>
        <w:jc w:val="both"/>
        <w:rPr>
          <w:rFonts w:eastAsia="Times New Roman" w:cs="Times New Roman"/>
          <w:szCs w:val="24"/>
        </w:rPr>
      </w:pPr>
      <w:r w:rsidRPr="00EE25BA">
        <w:rPr>
          <w:rFonts w:eastAsia="Times New Roman" w:cs="Times New Roman"/>
          <w:szCs w:val="24"/>
        </w:rPr>
        <w:t>Areas of conservation (natural resource of protection /areas with environmental concern like wetland, watershed, river, hills, disaster prone areas etc.)</w:t>
      </w:r>
    </w:p>
    <w:p w:rsidR="00A356FA" w:rsidRPr="00EE25BA" w:rsidRDefault="00A356FA" w:rsidP="00A631E1">
      <w:pPr>
        <w:pStyle w:val="ListParagraph"/>
        <w:numPr>
          <w:ilvl w:val="0"/>
          <w:numId w:val="41"/>
        </w:numPr>
        <w:spacing w:after="0" w:line="276" w:lineRule="auto"/>
        <w:jc w:val="both"/>
        <w:rPr>
          <w:rFonts w:eastAsia="Times New Roman" w:cs="Times New Roman"/>
          <w:szCs w:val="24"/>
        </w:rPr>
      </w:pPr>
      <w:r w:rsidRPr="00EE25BA">
        <w:rPr>
          <w:rFonts w:eastAsia="Times New Roman" w:cs="Times New Roman"/>
          <w:szCs w:val="24"/>
        </w:rPr>
        <w:t>Agriculture and forestry production (includes agricultural land , forest areas, other production oriented resources and rural homesteads)</w:t>
      </w:r>
    </w:p>
    <w:p w:rsidR="00A356FA" w:rsidRPr="0095061D" w:rsidRDefault="00A2349C" w:rsidP="00A631E1">
      <w:pPr>
        <w:pStyle w:val="ListParagraph"/>
        <w:numPr>
          <w:ilvl w:val="0"/>
          <w:numId w:val="41"/>
        </w:numPr>
        <w:spacing w:after="0" w:line="276" w:lineRule="auto"/>
        <w:jc w:val="both"/>
        <w:rPr>
          <w:rFonts w:eastAsia="Times New Roman" w:cs="Times New Roman"/>
          <w:szCs w:val="24"/>
        </w:rPr>
      </w:pPr>
      <w:r>
        <w:rPr>
          <w:rFonts w:eastAsia="Times New Roman" w:cs="Times New Roman"/>
          <w:szCs w:val="24"/>
          <w:u w:val="single"/>
        </w:rPr>
        <w:t>Other</w:t>
      </w:r>
      <w:r w:rsidR="00F64A6A" w:rsidRPr="00F64A6A">
        <w:rPr>
          <w:rFonts w:eastAsia="Times New Roman" w:cs="Times New Roman"/>
          <w:szCs w:val="24"/>
          <w:u w:val="single"/>
        </w:rPr>
        <w:t xml:space="preserve"> areas</w:t>
      </w:r>
      <w:r>
        <w:rPr>
          <w:rFonts w:eastAsia="Times New Roman" w:cs="Times New Roman"/>
          <w:szCs w:val="24"/>
        </w:rPr>
        <w:t xml:space="preserve"> </w:t>
      </w:r>
      <w:r w:rsidR="00A356FA" w:rsidRPr="00EE25BA">
        <w:rPr>
          <w:rFonts w:eastAsia="Times New Roman" w:cs="Times New Roman"/>
          <w:szCs w:val="24"/>
        </w:rPr>
        <w:t>(developed areas, and areas needed for future development for residential, commercial, industrial and other urban areas).</w:t>
      </w:r>
    </w:p>
    <w:p w:rsidR="00A356FA" w:rsidRPr="00072A30" w:rsidRDefault="00262BC9" w:rsidP="00A356FA">
      <w:pPr>
        <w:widowControl w:val="0"/>
        <w:autoSpaceDE w:val="0"/>
        <w:autoSpaceDN w:val="0"/>
        <w:adjustRightInd w:val="0"/>
        <w:spacing w:line="276" w:lineRule="auto"/>
        <w:jc w:val="both"/>
        <w:rPr>
          <w:rFonts w:cs="Times New Roman"/>
          <w:u w:val="single"/>
        </w:rPr>
      </w:pPr>
      <w:r>
        <w:rPr>
          <w:rFonts w:cs="Times New Roman"/>
          <w:b/>
          <w:i/>
        </w:rPr>
        <w:t>Land utilization p</w:t>
      </w:r>
      <w:r w:rsidR="00A356FA" w:rsidRPr="00EE25BA">
        <w:rPr>
          <w:rFonts w:cs="Times New Roman"/>
          <w:b/>
          <w:i/>
        </w:rPr>
        <w:t>attern:</w:t>
      </w:r>
      <w:r w:rsidR="00A356FA" w:rsidRPr="00EE25BA">
        <w:rPr>
          <w:rFonts w:cs="Times New Roman"/>
        </w:rPr>
        <w:t xml:space="preserve">  </w:t>
      </w:r>
      <w:r>
        <w:rPr>
          <w:rFonts w:cs="Times New Roman"/>
        </w:rPr>
        <w:t xml:space="preserve">Based on a study by </w:t>
      </w:r>
      <w:r w:rsidRPr="00031690">
        <w:rPr>
          <w:rFonts w:cs="Times New Roman"/>
        </w:rPr>
        <w:t xml:space="preserve">the </w:t>
      </w:r>
      <w:r w:rsidRPr="00031690">
        <w:rPr>
          <w:rFonts w:cs="Times New Roman"/>
          <w:bCs/>
        </w:rPr>
        <w:t xml:space="preserve">Soil Resource Development Institute </w:t>
      </w:r>
      <w:r>
        <w:rPr>
          <w:rFonts w:cs="Times New Roman"/>
          <w:bCs/>
        </w:rPr>
        <w:lastRenderedPageBreak/>
        <w:t>(</w:t>
      </w:r>
      <w:r>
        <w:rPr>
          <w:rFonts w:cs="Times New Roman"/>
        </w:rPr>
        <w:t>SRDI)</w:t>
      </w:r>
      <w:r w:rsidR="00A356FA">
        <w:rPr>
          <w:rStyle w:val="FootnoteReference"/>
          <w:rFonts w:cs="Times New Roman"/>
        </w:rPr>
        <w:footnoteReference w:id="24"/>
      </w:r>
      <w:r w:rsidR="00876602">
        <w:rPr>
          <w:rFonts w:cs="Times New Roman"/>
        </w:rPr>
        <w:t>, the</w:t>
      </w:r>
      <w:r w:rsidR="00A356FA" w:rsidRPr="00EE25BA">
        <w:rPr>
          <w:rFonts w:cs="Times New Roman"/>
        </w:rPr>
        <w:t xml:space="preserve"> Baseline Study on Land Resource Management for BDP 2100 has elaborated on the technicalities relating to Land Utilization and the entire area has been investigated to know the present status of land coverage/ land utilization that includes forest, herb/shrubs, fallow/agricultural land, river and water bodies, settlements, and hill shades. </w:t>
      </w:r>
      <w:r w:rsidR="00F64A6A" w:rsidRPr="00F64A6A">
        <w:rPr>
          <w:rFonts w:cs="Times New Roman"/>
          <w:i/>
          <w:u w:val="single"/>
        </w:rPr>
        <w:t>Agriculture accounts for 82% of about 14,840,000 hectares of land with non-agriculture land being about 18%.</w:t>
      </w:r>
      <w:r w:rsidR="00F64A6A" w:rsidRPr="00F64A6A">
        <w:rPr>
          <w:rFonts w:cs="Times New Roman"/>
          <w:u w:val="single"/>
        </w:rPr>
        <w:t xml:space="preserve">  Agriculture land includes cropland, which is about 59 % with cropping intensity of 190% in single, double and triple cropped areas.  Rural settlements account for major part of non-agriculture land accounting for 11.9% of the land while urban and industrial land accounts for only 0.6%. </w:t>
      </w:r>
    </w:p>
    <w:p w:rsidR="00A356FA" w:rsidRDefault="00A356FA" w:rsidP="00A356FA">
      <w:pPr>
        <w:widowControl w:val="0"/>
        <w:autoSpaceDE w:val="0"/>
        <w:autoSpaceDN w:val="0"/>
        <w:adjustRightInd w:val="0"/>
        <w:spacing w:line="276" w:lineRule="auto"/>
        <w:jc w:val="both"/>
        <w:rPr>
          <w:rFonts w:cs="Times New Roman"/>
        </w:rPr>
      </w:pPr>
      <w:r w:rsidRPr="00031690">
        <w:rPr>
          <w:rFonts w:cs="Times New Roman"/>
        </w:rPr>
        <w:t>The urb</w:t>
      </w:r>
      <w:r w:rsidR="00262BC9">
        <w:rPr>
          <w:rFonts w:cs="Times New Roman"/>
        </w:rPr>
        <w:t xml:space="preserve">an land use in the </w:t>
      </w:r>
      <w:r w:rsidR="00262BC9">
        <w:rPr>
          <w:rFonts w:cs="Times New Roman"/>
          <w:bCs/>
        </w:rPr>
        <w:t>SRDI study</w:t>
      </w:r>
      <w:r w:rsidR="00262BC9">
        <w:rPr>
          <w:rFonts w:cs="Times New Roman"/>
        </w:rPr>
        <w:t xml:space="preserve"> </w:t>
      </w:r>
      <w:r w:rsidR="00A16ABB">
        <w:rPr>
          <w:rFonts w:cs="Times New Roman"/>
        </w:rPr>
        <w:t xml:space="preserve">differs from </w:t>
      </w:r>
      <w:r w:rsidRPr="00031690">
        <w:rPr>
          <w:rFonts w:cs="Times New Roman"/>
        </w:rPr>
        <w:t xml:space="preserve">the </w:t>
      </w:r>
      <w:r w:rsidR="0034393F">
        <w:rPr>
          <w:rFonts w:cs="Times New Roman"/>
        </w:rPr>
        <w:t xml:space="preserve">urban census data of 2011 </w:t>
      </w:r>
      <w:r w:rsidR="003C267A">
        <w:rPr>
          <w:rFonts w:cs="Times New Roman"/>
        </w:rPr>
        <w:t>(BBS, 2012)</w:t>
      </w:r>
      <w:r w:rsidRPr="00031690">
        <w:rPr>
          <w:rFonts w:cs="Times New Roman"/>
        </w:rPr>
        <w:t>. According to this BBS report, urban area includes areas under city corporations, paurashavas, upazila headquarters and can</w:t>
      </w:r>
      <w:r w:rsidR="00FE6385">
        <w:rPr>
          <w:rFonts w:cs="Times New Roman"/>
        </w:rPr>
        <w:t>ton</w:t>
      </w:r>
      <w:r w:rsidRPr="00031690">
        <w:rPr>
          <w:rFonts w:cs="Times New Roman"/>
        </w:rPr>
        <w:t xml:space="preserve">ment area. The BBS data shows that the </w:t>
      </w:r>
      <w:r>
        <w:rPr>
          <w:rFonts w:cs="Times New Roman"/>
        </w:rPr>
        <w:t xml:space="preserve">total amount of urban land in 2011 is about </w:t>
      </w:r>
      <w:r w:rsidRPr="004E3AA0">
        <w:rPr>
          <w:rFonts w:cs="Times New Roman"/>
        </w:rPr>
        <w:t>8867 sq. km., which is 8,86,7</w:t>
      </w:r>
      <w:r w:rsidRPr="007817A5">
        <w:rPr>
          <w:rFonts w:cs="Times New Roman"/>
        </w:rPr>
        <w:t>00 hectares</w:t>
      </w:r>
      <w:r>
        <w:rPr>
          <w:rFonts w:cs="Times New Roman"/>
        </w:rPr>
        <w:t xml:space="preserve">  contrary to 87,616 hectares by the SRDI report </w:t>
      </w:r>
      <w:r>
        <w:rPr>
          <w:rStyle w:val="FootnoteReference"/>
          <w:rFonts w:cs="Times New Roman"/>
        </w:rPr>
        <w:footnoteReference w:id="25"/>
      </w:r>
      <w:r>
        <w:rPr>
          <w:rFonts w:cs="Times New Roman"/>
        </w:rPr>
        <w:t xml:space="preserve">(Table </w:t>
      </w:r>
      <w:r w:rsidR="00BF3570">
        <w:rPr>
          <w:rFonts w:cs="Times New Roman"/>
        </w:rPr>
        <w:t>7.</w:t>
      </w:r>
      <w:r w:rsidR="008A1112">
        <w:rPr>
          <w:rFonts w:cs="Times New Roman"/>
        </w:rPr>
        <w:t>2</w:t>
      </w:r>
      <w:r>
        <w:rPr>
          <w:rFonts w:cs="Times New Roman"/>
        </w:rPr>
        <w:t xml:space="preserve"> below). However, even with the differences in methodology of data collection, it is clear that in both cases land use from urbanization and industry is increasing at faster pace.  </w:t>
      </w:r>
      <w:r w:rsidRPr="00EE25BA">
        <w:rPr>
          <w:rFonts w:cs="Times New Roman"/>
        </w:rPr>
        <w:t xml:space="preserve"> While urbanization and industrial challenges to land use will continue to increase, the main challenge from land resource management point of view will be to limit land use for rural settlements and spatial planning will be critical in this context. Land utilization pattern are presented in Table </w:t>
      </w:r>
      <w:r w:rsidR="00BF3570">
        <w:rPr>
          <w:rFonts w:cs="Times New Roman"/>
        </w:rPr>
        <w:t>7.</w:t>
      </w:r>
      <w:r w:rsidRPr="00EE25BA">
        <w:rPr>
          <w:rFonts w:cs="Times New Roman"/>
        </w:rPr>
        <w:t>2 below.</w:t>
      </w:r>
    </w:p>
    <w:p w:rsidR="0022224C" w:rsidRDefault="0022224C">
      <w:pPr>
        <w:rPr>
          <w:rFonts w:cs="Times New Roman"/>
          <w:b/>
        </w:rPr>
      </w:pPr>
      <w:bookmarkStart w:id="513" w:name="_Toc411251990"/>
      <w:bookmarkStart w:id="514" w:name="_Toc439146224"/>
      <w:r>
        <w:rPr>
          <w:rFonts w:cs="Times New Roman"/>
          <w:b/>
        </w:rPr>
        <w:br w:type="page"/>
      </w:r>
    </w:p>
    <w:p w:rsidR="00A356FA" w:rsidRPr="00C3129E" w:rsidRDefault="00A356FA" w:rsidP="001A40B7">
      <w:pPr>
        <w:pStyle w:val="Heading4"/>
      </w:pPr>
      <w:bookmarkStart w:id="515" w:name="_Toc474639039"/>
      <w:r w:rsidRPr="00C3129E">
        <w:lastRenderedPageBreak/>
        <w:t xml:space="preserve">Table </w:t>
      </w:r>
      <w:r w:rsidR="00BF3570">
        <w:t>7.</w:t>
      </w:r>
      <w:r w:rsidRPr="00C3129E">
        <w:t>2: Present land utilization/land cover of Bangladesh</w:t>
      </w:r>
      <w:bookmarkEnd w:id="513"/>
      <w:bookmarkEnd w:id="514"/>
      <w:r w:rsidRPr="00C3129E">
        <w:t xml:space="preserve"> on the basis SRDI</w:t>
      </w:r>
      <w:bookmarkEnd w:id="515"/>
      <w:r w:rsidRPr="00C3129E">
        <w:t xml:space="preserve"> </w:t>
      </w:r>
    </w:p>
    <w:tbl>
      <w:tblPr>
        <w:tblW w:w="4522" w:type="pct"/>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64"/>
        <w:gridCol w:w="2823"/>
        <w:gridCol w:w="2274"/>
      </w:tblGrid>
      <w:tr w:rsidR="00A356FA" w:rsidRPr="00510E20" w:rsidTr="00A356FA">
        <w:trPr>
          <w:trHeight w:val="123"/>
        </w:trPr>
        <w:tc>
          <w:tcPr>
            <w:tcW w:w="2057" w:type="pct"/>
            <w:shd w:val="clear" w:color="auto" w:fill="auto"/>
            <w:hideMark/>
          </w:tcPr>
          <w:p w:rsidR="00A356FA" w:rsidRPr="00510E20" w:rsidRDefault="00A356FA" w:rsidP="003B2759">
            <w:pPr>
              <w:spacing w:after="0"/>
              <w:jc w:val="center"/>
              <w:rPr>
                <w:rFonts w:eastAsia="Calibri" w:cs="Times New Roman"/>
                <w:b/>
                <w:bCs/>
              </w:rPr>
            </w:pPr>
            <w:r w:rsidRPr="00510E20">
              <w:rPr>
                <w:rFonts w:eastAsia="Calibri" w:cs="Times New Roman"/>
                <w:b/>
                <w:bCs/>
              </w:rPr>
              <w:t>Land cover type</w:t>
            </w:r>
          </w:p>
        </w:tc>
        <w:tc>
          <w:tcPr>
            <w:tcW w:w="2943" w:type="pct"/>
            <w:gridSpan w:val="2"/>
            <w:shd w:val="clear" w:color="auto" w:fill="auto"/>
            <w:hideMark/>
          </w:tcPr>
          <w:p w:rsidR="00A356FA" w:rsidRPr="00510E20" w:rsidRDefault="00A356FA" w:rsidP="003B2759">
            <w:pPr>
              <w:spacing w:after="0"/>
              <w:jc w:val="center"/>
              <w:rPr>
                <w:rFonts w:eastAsia="Calibri" w:cs="Times New Roman"/>
                <w:b/>
                <w:bCs/>
              </w:rPr>
            </w:pPr>
            <w:r w:rsidRPr="00510E20">
              <w:rPr>
                <w:rFonts w:eastAsia="Calibri" w:cs="Times New Roman"/>
                <w:b/>
                <w:bCs/>
              </w:rPr>
              <w:t>Year2010</w:t>
            </w:r>
          </w:p>
        </w:tc>
      </w:tr>
      <w:tr w:rsidR="00A356FA" w:rsidRPr="00510E20" w:rsidTr="00A356FA">
        <w:trPr>
          <w:trHeight w:val="73"/>
        </w:trPr>
        <w:tc>
          <w:tcPr>
            <w:tcW w:w="2057" w:type="pct"/>
            <w:shd w:val="clear" w:color="auto" w:fill="auto"/>
            <w:hideMark/>
          </w:tcPr>
          <w:p w:rsidR="00A356FA" w:rsidRPr="00510E20" w:rsidRDefault="00A356FA" w:rsidP="00E12250">
            <w:pPr>
              <w:spacing w:after="0"/>
              <w:jc w:val="center"/>
              <w:rPr>
                <w:rFonts w:eastAsia="Calibri" w:cs="Times New Roman"/>
                <w:b/>
                <w:bCs/>
              </w:rPr>
            </w:pPr>
            <w:r w:rsidRPr="00510E20">
              <w:rPr>
                <w:rFonts w:eastAsia="Calibri" w:cs="Times New Roman"/>
                <w:b/>
                <w:bCs/>
              </w:rPr>
              <w:t>Gross area (ha)</w:t>
            </w:r>
          </w:p>
        </w:tc>
        <w:tc>
          <w:tcPr>
            <w:tcW w:w="1630" w:type="pct"/>
            <w:shd w:val="clear" w:color="auto" w:fill="auto"/>
            <w:hideMark/>
          </w:tcPr>
          <w:p w:rsidR="00A356FA" w:rsidRPr="00510E20" w:rsidRDefault="00A356FA" w:rsidP="00E12250">
            <w:pPr>
              <w:spacing w:after="0"/>
              <w:jc w:val="center"/>
              <w:rPr>
                <w:rFonts w:eastAsia="Calibri" w:cs="Times New Roman"/>
                <w:b/>
                <w:bCs/>
              </w:rPr>
            </w:pPr>
            <w:r w:rsidRPr="00510E20">
              <w:rPr>
                <w:rFonts w:eastAsia="Calibri" w:cs="Times New Roman"/>
                <w:b/>
                <w:bCs/>
              </w:rPr>
              <w:t>Area(ha)</w:t>
            </w:r>
          </w:p>
        </w:tc>
        <w:tc>
          <w:tcPr>
            <w:tcW w:w="1313" w:type="pct"/>
            <w:shd w:val="clear" w:color="auto" w:fill="auto"/>
            <w:hideMark/>
          </w:tcPr>
          <w:p w:rsidR="00A356FA" w:rsidRPr="00510E20" w:rsidRDefault="00A356FA" w:rsidP="00E12250">
            <w:pPr>
              <w:spacing w:after="0"/>
              <w:jc w:val="center"/>
              <w:rPr>
                <w:rFonts w:eastAsia="Calibri" w:cs="Times New Roman"/>
                <w:b/>
                <w:bCs/>
              </w:rPr>
            </w:pPr>
            <w:r w:rsidRPr="00510E20">
              <w:rPr>
                <w:rFonts w:eastAsia="Calibri" w:cs="Times New Roman"/>
                <w:b/>
                <w:bCs/>
              </w:rPr>
              <w:t>% of total</w:t>
            </w:r>
          </w:p>
        </w:tc>
      </w:tr>
      <w:tr w:rsidR="00A356FA" w:rsidRPr="00510E20" w:rsidTr="00A356FA">
        <w:trPr>
          <w:trHeight w:val="197"/>
        </w:trPr>
        <w:tc>
          <w:tcPr>
            <w:tcW w:w="2057" w:type="pct"/>
            <w:shd w:val="clear" w:color="auto" w:fill="auto"/>
            <w:hideMark/>
          </w:tcPr>
          <w:p w:rsidR="00A356FA" w:rsidRPr="00510E20" w:rsidRDefault="00A356FA" w:rsidP="00024601">
            <w:pPr>
              <w:spacing w:after="0"/>
              <w:jc w:val="both"/>
              <w:rPr>
                <w:rFonts w:eastAsia="Calibri" w:cs="Times New Roman"/>
                <w:b/>
                <w:bCs/>
              </w:rPr>
            </w:pPr>
            <w:r w:rsidRPr="00510E20">
              <w:rPr>
                <w:rFonts w:eastAsia="Calibri" w:cs="Times New Roman"/>
                <w:b/>
                <w:bCs/>
              </w:rPr>
              <w:t>Agricultural land:</w:t>
            </w:r>
          </w:p>
        </w:tc>
        <w:tc>
          <w:tcPr>
            <w:tcW w:w="1630" w:type="pct"/>
            <w:shd w:val="clear" w:color="auto" w:fill="auto"/>
            <w:hideMark/>
          </w:tcPr>
          <w:p w:rsidR="00A356FA" w:rsidRPr="00510E20" w:rsidRDefault="00A356FA" w:rsidP="00E12250">
            <w:pPr>
              <w:spacing w:after="0"/>
              <w:jc w:val="right"/>
              <w:rPr>
                <w:rFonts w:eastAsia="Calibri" w:cs="Times New Roman"/>
                <w:b/>
                <w:bCs/>
              </w:rPr>
            </w:pPr>
            <w:r w:rsidRPr="00510E20">
              <w:rPr>
                <w:rFonts w:eastAsia="Calibri" w:cs="Times New Roman"/>
                <w:b/>
                <w:bCs/>
              </w:rPr>
              <w:t>12,176,904</w:t>
            </w:r>
          </w:p>
        </w:tc>
        <w:tc>
          <w:tcPr>
            <w:tcW w:w="1313" w:type="pct"/>
            <w:shd w:val="clear" w:color="auto" w:fill="auto"/>
            <w:hideMark/>
          </w:tcPr>
          <w:p w:rsidR="00A356FA" w:rsidRPr="00072A30" w:rsidRDefault="00F64A6A" w:rsidP="00E12250">
            <w:pPr>
              <w:shd w:val="clear" w:color="000000" w:fill="CCC0DA"/>
              <w:spacing w:before="100" w:beforeAutospacing="1" w:after="0" w:afterAutospacing="1" w:line="240" w:lineRule="auto"/>
              <w:jc w:val="right"/>
              <w:rPr>
                <w:rFonts w:eastAsia="Calibri" w:cs="Times New Roman"/>
                <w:b/>
                <w:bCs/>
                <w:u w:val="single"/>
              </w:rPr>
            </w:pPr>
            <w:r w:rsidRPr="00F64A6A">
              <w:rPr>
                <w:rFonts w:eastAsia="Calibri" w:cs="Times New Roman"/>
                <w:b/>
                <w:bCs/>
                <w:u w:val="single"/>
              </w:rPr>
              <w:t>82.1</w:t>
            </w:r>
          </w:p>
        </w:tc>
      </w:tr>
      <w:tr w:rsidR="00A356FA" w:rsidRPr="00510E20" w:rsidTr="00A356FA">
        <w:trPr>
          <w:trHeight w:val="143"/>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Crop land</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87,51,937</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59.0</w:t>
            </w:r>
          </w:p>
        </w:tc>
      </w:tr>
      <w:tr w:rsidR="00A356FA" w:rsidRPr="00510E20" w:rsidTr="00A356FA">
        <w:trPr>
          <w:trHeight w:val="260"/>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Forest</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14,34,136</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9.7</w:t>
            </w:r>
          </w:p>
        </w:tc>
      </w:tr>
      <w:tr w:rsidR="00A356FA" w:rsidRPr="00510E20" w:rsidTr="00A356FA">
        <w:trPr>
          <w:trHeight w:val="170"/>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Mangrove forest</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4,41,455</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3.0</w:t>
            </w:r>
          </w:p>
        </w:tc>
      </w:tr>
      <w:tr w:rsidR="00A356FA" w:rsidRPr="00510E20" w:rsidTr="00A356FA">
        <w:trPr>
          <w:trHeight w:val="197"/>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River</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9,39,073</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6.3</w:t>
            </w:r>
          </w:p>
        </w:tc>
      </w:tr>
      <w:tr w:rsidR="00A356FA" w:rsidRPr="00510E20" w:rsidTr="00A356FA">
        <w:trPr>
          <w:trHeight w:val="170"/>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Lake</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51,739</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0.3</w:t>
            </w:r>
          </w:p>
        </w:tc>
      </w:tr>
      <w:tr w:rsidR="00A356FA" w:rsidRPr="00510E20" w:rsidTr="00A356FA">
        <w:trPr>
          <w:trHeight w:val="197"/>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Beel and Haor</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2,50,727</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1.7</w:t>
            </w:r>
          </w:p>
        </w:tc>
      </w:tr>
      <w:tr w:rsidR="00A356FA" w:rsidRPr="00510E20" w:rsidTr="00A356FA">
        <w:trPr>
          <w:trHeight w:val="233"/>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Aquaculture</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175,663</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1.2</w:t>
            </w:r>
          </w:p>
        </w:tc>
      </w:tr>
      <w:tr w:rsidR="00A356FA" w:rsidRPr="00510E20" w:rsidTr="00A356FA">
        <w:trPr>
          <w:trHeight w:val="152"/>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Tea estate</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96,152</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0.6</w:t>
            </w:r>
          </w:p>
        </w:tc>
      </w:tr>
      <w:tr w:rsidR="00A356FA" w:rsidRPr="00510E20" w:rsidTr="00A356FA">
        <w:trPr>
          <w:trHeight w:val="188"/>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Salt pan</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36,022</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0.2</w:t>
            </w:r>
          </w:p>
        </w:tc>
      </w:tr>
      <w:tr w:rsidR="00A356FA" w:rsidRPr="00510E20" w:rsidTr="00A356FA">
        <w:trPr>
          <w:trHeight w:val="215"/>
        </w:trPr>
        <w:tc>
          <w:tcPr>
            <w:tcW w:w="2057" w:type="pct"/>
            <w:shd w:val="clear" w:color="auto" w:fill="auto"/>
            <w:hideMark/>
          </w:tcPr>
          <w:p w:rsidR="00A356FA" w:rsidRPr="00510E20" w:rsidRDefault="00A356FA" w:rsidP="00024601">
            <w:pPr>
              <w:spacing w:after="0"/>
              <w:jc w:val="both"/>
              <w:rPr>
                <w:rFonts w:eastAsia="Calibri" w:cs="Times New Roman"/>
                <w:b/>
                <w:bCs/>
              </w:rPr>
            </w:pPr>
            <w:r w:rsidRPr="00510E20">
              <w:rPr>
                <w:rFonts w:eastAsia="Calibri" w:cs="Times New Roman"/>
                <w:b/>
                <w:bCs/>
              </w:rPr>
              <w:t>Non-agricultural land:</w:t>
            </w:r>
          </w:p>
        </w:tc>
        <w:tc>
          <w:tcPr>
            <w:tcW w:w="1630" w:type="pct"/>
            <w:shd w:val="clear" w:color="auto" w:fill="auto"/>
            <w:hideMark/>
          </w:tcPr>
          <w:p w:rsidR="00A356FA" w:rsidRPr="00510E20" w:rsidRDefault="00A356FA" w:rsidP="00E12250">
            <w:pPr>
              <w:spacing w:after="0"/>
              <w:jc w:val="right"/>
              <w:rPr>
                <w:rFonts w:eastAsia="Calibri" w:cs="Times New Roman"/>
                <w:b/>
                <w:bCs/>
              </w:rPr>
            </w:pPr>
            <w:r w:rsidRPr="00510E20">
              <w:rPr>
                <w:rFonts w:eastAsia="Calibri" w:cs="Times New Roman"/>
                <w:b/>
                <w:bCs/>
              </w:rPr>
              <w:t>2,663,096</w:t>
            </w:r>
          </w:p>
        </w:tc>
        <w:tc>
          <w:tcPr>
            <w:tcW w:w="1313" w:type="pct"/>
            <w:shd w:val="clear" w:color="auto" w:fill="auto"/>
            <w:hideMark/>
          </w:tcPr>
          <w:p w:rsidR="00A356FA" w:rsidRPr="00A2349C" w:rsidRDefault="00F64A6A" w:rsidP="00E12250">
            <w:pPr>
              <w:shd w:val="clear" w:color="000000" w:fill="CCC0DA"/>
              <w:spacing w:before="100" w:beforeAutospacing="1" w:after="0" w:afterAutospacing="1" w:line="240" w:lineRule="auto"/>
              <w:jc w:val="right"/>
              <w:rPr>
                <w:rFonts w:eastAsia="Calibri" w:cs="Times New Roman"/>
                <w:b/>
                <w:bCs/>
                <w:u w:val="single"/>
              </w:rPr>
            </w:pPr>
            <w:r w:rsidRPr="00F64A6A">
              <w:rPr>
                <w:rFonts w:eastAsia="Calibri" w:cs="Times New Roman"/>
                <w:b/>
                <w:bCs/>
                <w:u w:val="single"/>
              </w:rPr>
              <w:t>17.9</w:t>
            </w:r>
          </w:p>
        </w:tc>
      </w:tr>
      <w:tr w:rsidR="00A356FA" w:rsidRPr="00510E20" w:rsidTr="00A356FA">
        <w:trPr>
          <w:trHeight w:val="152"/>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Rural settlement</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17,66,123</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11.9</w:t>
            </w:r>
          </w:p>
        </w:tc>
      </w:tr>
      <w:tr w:rsidR="00A356FA" w:rsidRPr="00510E20" w:rsidTr="00A356FA">
        <w:trPr>
          <w:trHeight w:val="188"/>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Urban &amp; Industrial</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87,616</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0.6</w:t>
            </w:r>
          </w:p>
        </w:tc>
      </w:tr>
      <w:tr w:rsidR="00A356FA" w:rsidRPr="00510E20" w:rsidTr="00A356FA">
        <w:trPr>
          <w:trHeight w:val="125"/>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Accreted land</w:t>
            </w:r>
          </w:p>
        </w:tc>
        <w:tc>
          <w:tcPr>
            <w:tcW w:w="1630" w:type="pct"/>
            <w:shd w:val="clear" w:color="auto" w:fill="auto"/>
            <w:hideMark/>
          </w:tcPr>
          <w:p w:rsidR="00A356FA" w:rsidRPr="00510E20" w:rsidRDefault="00A356FA" w:rsidP="00E12250">
            <w:pPr>
              <w:spacing w:after="0"/>
              <w:jc w:val="right"/>
              <w:rPr>
                <w:rFonts w:eastAsia="Calibri" w:cs="Times New Roman"/>
              </w:rPr>
            </w:pPr>
            <w:r w:rsidRPr="00510E20">
              <w:rPr>
                <w:rFonts w:eastAsia="Calibri" w:cs="Times New Roman"/>
              </w:rPr>
              <w:t>5,47,128</w:t>
            </w:r>
          </w:p>
        </w:tc>
        <w:tc>
          <w:tcPr>
            <w:tcW w:w="1313" w:type="pct"/>
            <w:shd w:val="clear" w:color="auto" w:fill="auto"/>
            <w:hideMark/>
          </w:tcPr>
          <w:p w:rsidR="00A356FA" w:rsidRPr="00A2349C" w:rsidRDefault="00F64A6A" w:rsidP="00E12250">
            <w:pPr>
              <w:shd w:val="clear" w:color="000000" w:fill="CCC0DA"/>
              <w:spacing w:before="100" w:beforeAutospacing="1" w:after="0" w:afterAutospacing="1" w:line="240" w:lineRule="auto"/>
              <w:jc w:val="right"/>
              <w:rPr>
                <w:rFonts w:eastAsia="Calibri" w:cs="Times New Roman"/>
                <w:b/>
                <w:bCs/>
                <w:u w:val="single"/>
              </w:rPr>
            </w:pPr>
            <w:r w:rsidRPr="00F64A6A">
              <w:rPr>
                <w:rFonts w:eastAsia="Calibri" w:cs="Times New Roman"/>
                <w:b/>
                <w:bCs/>
                <w:u w:val="single"/>
              </w:rPr>
              <w:t>3.7</w:t>
            </w:r>
          </w:p>
        </w:tc>
      </w:tr>
      <w:tr w:rsidR="00A356FA" w:rsidRPr="00510E20" w:rsidTr="00A356FA">
        <w:trPr>
          <w:trHeight w:val="215"/>
        </w:trPr>
        <w:tc>
          <w:tcPr>
            <w:tcW w:w="2057" w:type="pct"/>
            <w:shd w:val="clear" w:color="auto" w:fill="auto"/>
            <w:hideMark/>
          </w:tcPr>
          <w:p w:rsidR="00A356FA" w:rsidRPr="00510E20" w:rsidRDefault="00A356FA" w:rsidP="00024601">
            <w:pPr>
              <w:spacing w:after="0"/>
              <w:jc w:val="both"/>
              <w:rPr>
                <w:rFonts w:eastAsia="Calibri" w:cs="Times New Roman"/>
              </w:rPr>
            </w:pPr>
            <w:r w:rsidRPr="00510E20">
              <w:rPr>
                <w:rFonts w:eastAsia="Calibri" w:cs="Times New Roman"/>
              </w:rPr>
              <w:t>Others( unidentified)</w:t>
            </w:r>
          </w:p>
        </w:tc>
        <w:tc>
          <w:tcPr>
            <w:tcW w:w="1630" w:type="pct"/>
            <w:shd w:val="clear" w:color="auto" w:fill="auto"/>
            <w:hideMark/>
          </w:tcPr>
          <w:p w:rsidR="00A356FA" w:rsidRPr="00510E20" w:rsidRDefault="00A356FA" w:rsidP="00E12250">
            <w:pPr>
              <w:tabs>
                <w:tab w:val="left" w:pos="285"/>
                <w:tab w:val="center" w:pos="1304"/>
              </w:tabs>
              <w:spacing w:after="0"/>
              <w:jc w:val="right"/>
              <w:rPr>
                <w:rFonts w:eastAsia="Calibri" w:cs="Times New Roman"/>
              </w:rPr>
            </w:pPr>
            <w:r w:rsidRPr="00510E20">
              <w:rPr>
                <w:rFonts w:eastAsia="Calibri" w:cs="Times New Roman"/>
              </w:rPr>
              <w:t>2,62,229</w:t>
            </w:r>
          </w:p>
        </w:tc>
        <w:tc>
          <w:tcPr>
            <w:tcW w:w="1313" w:type="pct"/>
            <w:shd w:val="clear" w:color="auto" w:fill="auto"/>
            <w:hideMark/>
          </w:tcPr>
          <w:p w:rsidR="00A356FA" w:rsidRPr="00510E20" w:rsidRDefault="00A356FA" w:rsidP="00E12250">
            <w:pPr>
              <w:spacing w:after="0"/>
              <w:jc w:val="right"/>
              <w:rPr>
                <w:rFonts w:eastAsia="Calibri" w:cs="Times New Roman"/>
                <w:bCs/>
              </w:rPr>
            </w:pPr>
            <w:r w:rsidRPr="00510E20">
              <w:rPr>
                <w:rFonts w:eastAsia="Calibri" w:cs="Times New Roman"/>
                <w:bCs/>
              </w:rPr>
              <w:t>1.8</w:t>
            </w:r>
          </w:p>
        </w:tc>
      </w:tr>
      <w:tr w:rsidR="00A356FA" w:rsidRPr="00510E20" w:rsidTr="00A356FA">
        <w:trPr>
          <w:trHeight w:val="170"/>
        </w:trPr>
        <w:tc>
          <w:tcPr>
            <w:tcW w:w="2057" w:type="pct"/>
            <w:shd w:val="clear" w:color="auto" w:fill="auto"/>
            <w:noWrap/>
            <w:hideMark/>
          </w:tcPr>
          <w:p w:rsidR="00A356FA" w:rsidRPr="00510E20" w:rsidRDefault="00A356FA" w:rsidP="00024601">
            <w:pPr>
              <w:spacing w:after="0"/>
              <w:jc w:val="both"/>
              <w:rPr>
                <w:rFonts w:eastAsia="Calibri" w:cs="Times New Roman"/>
                <w:b/>
              </w:rPr>
            </w:pPr>
            <w:r w:rsidRPr="00510E20">
              <w:rPr>
                <w:rFonts w:eastAsia="Calibri" w:cs="Times New Roman"/>
                <w:b/>
              </w:rPr>
              <w:t>Total</w:t>
            </w:r>
          </w:p>
        </w:tc>
        <w:tc>
          <w:tcPr>
            <w:tcW w:w="1630" w:type="pct"/>
            <w:shd w:val="clear" w:color="auto" w:fill="auto"/>
            <w:noWrap/>
            <w:hideMark/>
          </w:tcPr>
          <w:p w:rsidR="00A356FA" w:rsidRPr="00510E20" w:rsidRDefault="00A356FA" w:rsidP="00E12250">
            <w:pPr>
              <w:spacing w:after="0"/>
              <w:jc w:val="right"/>
              <w:rPr>
                <w:rFonts w:eastAsia="Calibri" w:cs="Times New Roman"/>
                <w:b/>
              </w:rPr>
            </w:pPr>
            <w:r w:rsidRPr="00510E20">
              <w:rPr>
                <w:rFonts w:eastAsia="Calibri" w:cs="Times New Roman"/>
                <w:b/>
              </w:rPr>
              <w:t>14,840,000</w:t>
            </w:r>
          </w:p>
        </w:tc>
        <w:tc>
          <w:tcPr>
            <w:tcW w:w="1313" w:type="pct"/>
            <w:shd w:val="clear" w:color="auto" w:fill="auto"/>
            <w:hideMark/>
          </w:tcPr>
          <w:p w:rsidR="00A356FA" w:rsidRPr="00510E20" w:rsidRDefault="00A356FA" w:rsidP="00E12250">
            <w:pPr>
              <w:spacing w:after="0"/>
              <w:jc w:val="right"/>
              <w:rPr>
                <w:rFonts w:eastAsia="Calibri" w:cs="Times New Roman"/>
                <w:b/>
                <w:bCs/>
              </w:rPr>
            </w:pPr>
            <w:r w:rsidRPr="00510E20">
              <w:rPr>
                <w:rFonts w:eastAsia="Calibri" w:cs="Times New Roman"/>
                <w:b/>
                <w:bCs/>
              </w:rPr>
              <w:t>100.0</w:t>
            </w:r>
          </w:p>
        </w:tc>
      </w:tr>
    </w:tbl>
    <w:p w:rsidR="006F09CF" w:rsidRDefault="00A356FA" w:rsidP="00564621">
      <w:pPr>
        <w:pStyle w:val="Source"/>
        <w:spacing w:before="120" w:line="276" w:lineRule="auto"/>
        <w:ind w:firstLine="720"/>
        <w:jc w:val="both"/>
        <w:rPr>
          <w:rFonts w:ascii="Tahoma" w:hAnsi="Tahoma" w:cs="Tahoma"/>
          <w:color w:val="000000"/>
        </w:rPr>
      </w:pPr>
      <w:r w:rsidRPr="006F6265">
        <w:rPr>
          <w:rFonts w:ascii="Times New Roman" w:hAnsi="Times New Roman"/>
          <w:b/>
          <w:bCs/>
          <w:lang w:eastAsia="en-US"/>
        </w:rPr>
        <w:t xml:space="preserve">Source: </w:t>
      </w:r>
      <w:r w:rsidR="002521F8" w:rsidRPr="006F09CF">
        <w:rPr>
          <w:rFonts w:ascii="Times New Roman" w:hAnsi="Times New Roman"/>
          <w:b/>
          <w:color w:val="000000"/>
        </w:rPr>
        <w:t>SRDI, 2013</w:t>
      </w:r>
    </w:p>
    <w:p w:rsidR="00A356FA" w:rsidRPr="00072A30" w:rsidRDefault="006F09CF" w:rsidP="002521F8">
      <w:pPr>
        <w:pStyle w:val="Source"/>
        <w:jc w:val="both"/>
        <w:rPr>
          <w:rFonts w:ascii="Times New Roman" w:hAnsi="Times New Roman"/>
          <w:sz w:val="24"/>
          <w:u w:val="single"/>
        </w:rPr>
      </w:pPr>
      <w:r w:rsidRPr="00B50D2C">
        <w:rPr>
          <w:rFonts w:ascii="Times New Roman" w:hAnsi="Times New Roman"/>
          <w:b/>
          <w:sz w:val="24"/>
        </w:rPr>
        <w:t>Changing land use t</w:t>
      </w:r>
      <w:r w:rsidR="00A356FA" w:rsidRPr="00B50D2C">
        <w:rPr>
          <w:rFonts w:ascii="Times New Roman" w:hAnsi="Times New Roman"/>
          <w:b/>
          <w:sz w:val="24"/>
        </w:rPr>
        <w:t>rends:</w:t>
      </w:r>
      <w:r w:rsidR="00A356FA" w:rsidRPr="006F09CF">
        <w:rPr>
          <w:rFonts w:ascii="Times New Roman" w:hAnsi="Times New Roman"/>
          <w:sz w:val="24"/>
        </w:rPr>
        <w:t xml:space="preserve">  </w:t>
      </w:r>
      <w:r w:rsidR="00A356FA" w:rsidRPr="006F09CF">
        <w:rPr>
          <w:rFonts w:ascii="Times New Roman" w:hAnsi="Times New Roman"/>
          <w:i w:val="0"/>
          <w:sz w:val="24"/>
        </w:rPr>
        <w:t xml:space="preserve">Given the scarcity of land, large working age population, and the path of development being pursued by Bangladesh, land use pattern has been changing with declining share of agriculture land.  As depicted in Figure </w:t>
      </w:r>
      <w:r w:rsidR="005D2352" w:rsidRPr="006F09CF">
        <w:rPr>
          <w:rFonts w:ascii="Times New Roman" w:hAnsi="Times New Roman"/>
          <w:i w:val="0"/>
          <w:sz w:val="24"/>
        </w:rPr>
        <w:t>7.</w:t>
      </w:r>
      <w:r w:rsidR="00A356FA" w:rsidRPr="006F09CF">
        <w:rPr>
          <w:rFonts w:ascii="Times New Roman" w:hAnsi="Times New Roman"/>
          <w:i w:val="0"/>
          <w:sz w:val="24"/>
        </w:rPr>
        <w:t xml:space="preserve">2 the area under agricultural land was 133,03,654 hectares, which was about 91.83% of the country in 1976. </w:t>
      </w:r>
      <w:r w:rsidR="00F64A6A" w:rsidRPr="00F64A6A">
        <w:rPr>
          <w:rFonts w:ascii="Times New Roman" w:hAnsi="Times New Roman"/>
          <w:i w:val="0"/>
          <w:sz w:val="24"/>
          <w:u w:val="single"/>
        </w:rPr>
        <w:t>This agricultural land has since then decreased to 127,42,274 hectares in 2000; that is there has been a total decline of 561,380 hectares in 24 years or an average annual decline of 23,391 hectares during this period.</w:t>
      </w:r>
      <w:r w:rsidR="00F64A6A" w:rsidRPr="00F64A6A">
        <w:rPr>
          <w:rFonts w:ascii="Times New Roman" w:hAnsi="Times New Roman"/>
          <w:sz w:val="24"/>
          <w:u w:val="single"/>
        </w:rPr>
        <w:t xml:space="preserve">  </w:t>
      </w:r>
    </w:p>
    <w:p w:rsidR="00A356FA" w:rsidRPr="00072A30" w:rsidRDefault="00A356FA" w:rsidP="00A356FA">
      <w:pPr>
        <w:spacing w:line="276" w:lineRule="auto"/>
        <w:jc w:val="both"/>
        <w:rPr>
          <w:rFonts w:cs="Times New Roman"/>
          <w:u w:val="single"/>
        </w:rPr>
      </w:pPr>
      <w:r w:rsidRPr="00EE25BA">
        <w:rPr>
          <w:rFonts w:cs="Times New Roman"/>
        </w:rPr>
        <w:t xml:space="preserve">Keeping pace with growing share of industry and manufacturing sectors in its GDP, the land available for agriculture declined further but also at an accelerated rate, and it reached to </w:t>
      </w:r>
      <w:r w:rsidR="00F64A6A" w:rsidRPr="00F64A6A">
        <w:rPr>
          <w:rFonts w:cs="Times New Roman"/>
          <w:u w:val="single"/>
        </w:rPr>
        <w:t xml:space="preserve">121,76,904 hectares in 2010. </w:t>
      </w:r>
      <w:r w:rsidR="00F64A6A" w:rsidRPr="00F64A6A">
        <w:rPr>
          <w:rFonts w:cs="Times New Roman"/>
          <w:i/>
          <w:u w:val="single"/>
        </w:rPr>
        <w:t>This meant a decline of 565,370 hectares in a ten year period at an annual average decline of 56,537 hectares, which is more than 142% decline in latter 10 years compared to previous 24 years. The average annual loss of agricultural land during the period (1976-2010) was 33,140 hectares.</w:t>
      </w:r>
      <w:r w:rsidR="00F64A6A" w:rsidRPr="00F64A6A">
        <w:rPr>
          <w:rFonts w:cs="Times New Roman"/>
          <w:u w:val="single"/>
        </w:rPr>
        <w:t xml:space="preserve"> </w:t>
      </w:r>
    </w:p>
    <w:p w:rsidR="00876602" w:rsidRDefault="00876602">
      <w:pPr>
        <w:rPr>
          <w:b/>
          <w:szCs w:val="24"/>
        </w:rPr>
      </w:pPr>
      <w:bookmarkStart w:id="516" w:name="_Toc439146267"/>
      <w:r>
        <w:br w:type="page"/>
      </w:r>
    </w:p>
    <w:p w:rsidR="00A356FA" w:rsidRPr="00024601" w:rsidRDefault="00A356FA" w:rsidP="001A40B7">
      <w:pPr>
        <w:pStyle w:val="Heading5"/>
      </w:pPr>
      <w:bookmarkStart w:id="517" w:name="_Toc474639190"/>
      <w:r w:rsidRPr="00024601">
        <w:lastRenderedPageBreak/>
        <w:t xml:space="preserve">Figure </w:t>
      </w:r>
      <w:r w:rsidR="005D2352">
        <w:t>7.</w:t>
      </w:r>
      <w:r w:rsidRPr="00024601">
        <w:t>2: Trends of Agricultural and Non-agricultural Land Cover during 1976 -2010</w:t>
      </w:r>
      <w:bookmarkEnd w:id="516"/>
      <w:bookmarkEnd w:id="517"/>
    </w:p>
    <w:tbl>
      <w:tblPr>
        <w:tblW w:w="0" w:type="auto"/>
        <w:tblLook w:val="04A0"/>
      </w:tblPr>
      <w:tblGrid>
        <w:gridCol w:w="8856"/>
      </w:tblGrid>
      <w:tr w:rsidR="00A356FA" w:rsidRPr="006067A0" w:rsidTr="00A356FA">
        <w:tc>
          <w:tcPr>
            <w:tcW w:w="8856" w:type="dxa"/>
          </w:tcPr>
          <w:p w:rsidR="00A356FA" w:rsidRPr="006067A0" w:rsidRDefault="00A356FA" w:rsidP="00024601">
            <w:pPr>
              <w:spacing w:after="0"/>
              <w:jc w:val="center"/>
              <w:rPr>
                <w:rFonts w:ascii="Segoe UI" w:eastAsia="Calibri" w:hAnsi="Segoe UI" w:cs="Segoe UI"/>
                <w:color w:val="FF0000"/>
                <w:sz w:val="20"/>
                <w:szCs w:val="20"/>
              </w:rPr>
            </w:pPr>
            <w:r w:rsidRPr="006067A0">
              <w:rPr>
                <w:rFonts w:ascii="Segoe UI" w:eastAsia="Calibri" w:hAnsi="Segoe UI" w:cs="Segoe UI"/>
                <w:noProof/>
                <w:color w:val="FF0000"/>
                <w:sz w:val="20"/>
                <w:szCs w:val="20"/>
                <w:lang w:val="en-AU" w:eastAsia="en-AU" w:bidi="bn-BD"/>
              </w:rPr>
              <w:drawing>
                <wp:inline distT="0" distB="0" distL="0" distR="0">
                  <wp:extent cx="5486400" cy="3200400"/>
                  <wp:effectExtent l="0" t="0" r="0" b="0"/>
                  <wp:docPr id="12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3200400"/>
                          </a:xfrm>
                          <a:prstGeom prst="rect">
                            <a:avLst/>
                          </a:prstGeom>
                          <a:noFill/>
                          <a:ln>
                            <a:noFill/>
                          </a:ln>
                        </pic:spPr>
                      </pic:pic>
                    </a:graphicData>
                  </a:graphic>
                </wp:inline>
              </w:drawing>
            </w:r>
          </w:p>
        </w:tc>
      </w:tr>
      <w:tr w:rsidR="00A356FA" w:rsidRPr="006067A0" w:rsidTr="00A356FA">
        <w:trPr>
          <w:trHeight w:val="144"/>
        </w:trPr>
        <w:tc>
          <w:tcPr>
            <w:tcW w:w="8856" w:type="dxa"/>
          </w:tcPr>
          <w:p w:rsidR="00A356FA" w:rsidRPr="00B50D2C" w:rsidRDefault="00A356FA" w:rsidP="00A356FA">
            <w:pPr>
              <w:spacing w:line="276" w:lineRule="auto"/>
              <w:jc w:val="both"/>
              <w:rPr>
                <w:rFonts w:eastAsia="Calibri" w:cs="Times New Roman"/>
                <w:b/>
                <w:bCs/>
                <w:i/>
                <w:sz w:val="20"/>
                <w:szCs w:val="20"/>
              </w:rPr>
            </w:pPr>
            <w:r w:rsidRPr="00B50D2C">
              <w:rPr>
                <w:rFonts w:eastAsia="Calibri" w:cs="Times New Roman"/>
                <w:b/>
                <w:bCs/>
                <w:i/>
                <w:sz w:val="20"/>
                <w:szCs w:val="20"/>
              </w:rPr>
              <w:t xml:space="preserve">Source </w:t>
            </w:r>
            <w:r w:rsidR="00312920" w:rsidRPr="00B50D2C">
              <w:rPr>
                <w:rFonts w:cs="Times New Roman"/>
                <w:b/>
                <w:i/>
                <w:color w:val="000000"/>
                <w:sz w:val="20"/>
                <w:szCs w:val="20"/>
              </w:rPr>
              <w:t>SRDI, 2013</w:t>
            </w:r>
          </w:p>
        </w:tc>
      </w:tr>
    </w:tbl>
    <w:p w:rsidR="00A356FA" w:rsidRPr="00EE25BA" w:rsidRDefault="00A356FA" w:rsidP="00A356FA">
      <w:pPr>
        <w:spacing w:line="276" w:lineRule="auto"/>
        <w:jc w:val="both"/>
        <w:rPr>
          <w:rFonts w:cs="Times New Roman"/>
        </w:rPr>
      </w:pPr>
      <w:r w:rsidRPr="00EE25BA">
        <w:rPr>
          <w:rFonts w:cs="Times New Roman"/>
          <w:b/>
          <w:i/>
        </w:rPr>
        <w:t xml:space="preserve">Agricultural </w:t>
      </w:r>
      <w:r w:rsidR="00B40D95">
        <w:rPr>
          <w:rFonts w:cs="Times New Roman"/>
          <w:b/>
          <w:i/>
        </w:rPr>
        <w:t>l</w:t>
      </w:r>
      <w:r w:rsidRPr="00EE25BA">
        <w:rPr>
          <w:rFonts w:cs="Times New Roman"/>
          <w:b/>
          <w:i/>
        </w:rPr>
        <w:t xml:space="preserve">and </w:t>
      </w:r>
      <w:r w:rsidR="00B40D95">
        <w:rPr>
          <w:rFonts w:cs="Times New Roman"/>
          <w:b/>
          <w:i/>
        </w:rPr>
        <w:t>u</w:t>
      </w:r>
      <w:r w:rsidRPr="00EE25BA">
        <w:rPr>
          <w:rFonts w:cs="Times New Roman"/>
          <w:b/>
          <w:i/>
        </w:rPr>
        <w:t xml:space="preserve">se </w:t>
      </w:r>
      <w:r w:rsidR="00B40D95">
        <w:rPr>
          <w:rFonts w:cs="Times New Roman"/>
          <w:b/>
          <w:i/>
        </w:rPr>
        <w:t>c</w:t>
      </w:r>
      <w:r w:rsidRPr="00EE25BA">
        <w:rPr>
          <w:rFonts w:cs="Times New Roman"/>
          <w:b/>
          <w:i/>
        </w:rPr>
        <w:t>hanges over time:</w:t>
      </w:r>
      <w:r w:rsidRPr="00EE25BA">
        <w:rPr>
          <w:rFonts w:cs="Times New Roman"/>
        </w:rPr>
        <w:t xml:space="preserve">  Agricultural land as stated above includes cropland, forest, mangrove forest, river, lake (Kaptai), beel and haor, tea estate and salt pan. In order to get a better understanding of the above trends, both for agriculture and non-agriculture land use in Table </w:t>
      </w:r>
      <w:r w:rsidR="00BF3570">
        <w:rPr>
          <w:rFonts w:cs="Times New Roman"/>
        </w:rPr>
        <w:t>7.</w:t>
      </w:r>
      <w:r w:rsidR="00312920">
        <w:rPr>
          <w:rFonts w:cs="Times New Roman"/>
        </w:rPr>
        <w:t>3</w:t>
      </w:r>
      <w:r w:rsidR="00312920" w:rsidRPr="00EE25BA">
        <w:rPr>
          <w:rFonts w:cs="Times New Roman"/>
        </w:rPr>
        <w:t xml:space="preserve"> </w:t>
      </w:r>
      <w:r w:rsidRPr="00EE25BA">
        <w:rPr>
          <w:rFonts w:cs="Times New Roman"/>
        </w:rPr>
        <w:t xml:space="preserve">below will be used.  </w:t>
      </w:r>
      <w:r w:rsidR="00F64A6A" w:rsidRPr="00F64A6A">
        <w:rPr>
          <w:rFonts w:cs="Times New Roman"/>
          <w:u w:val="single"/>
        </w:rPr>
        <w:t>The biggest decline in agriculture land resulted from decline in cropland.  While it declined at an annual average rate of 0.14% between 1976 and 2000, the decline accelerated to 0.728% annually between 2000 and 2010.</w:t>
      </w:r>
      <w:r w:rsidRPr="00EE25BA">
        <w:rPr>
          <w:rFonts w:cs="Times New Roman"/>
        </w:rPr>
        <w:t xml:space="preserve">  While there had also been initial decline (annually 0.13%) in forestland between 1976 and 2000, there was reversal with annual average growth of forest land growing by 0.081% between 2000 and 2010.  Mangrove forests, on the other hand, grew between 1976-2000, but again declined between 2000 and 2010.   </w:t>
      </w:r>
    </w:p>
    <w:p w:rsidR="00A356FA" w:rsidRPr="00EE25BA" w:rsidRDefault="00A356FA" w:rsidP="00A356FA">
      <w:pPr>
        <w:spacing w:line="276" w:lineRule="auto"/>
        <w:jc w:val="both"/>
        <w:rPr>
          <w:rFonts w:cs="Times New Roman"/>
        </w:rPr>
      </w:pPr>
      <w:r w:rsidRPr="00EE25BA">
        <w:rPr>
          <w:rFonts w:cs="Times New Roman"/>
        </w:rPr>
        <w:t xml:space="preserve">As evident from Table </w:t>
      </w:r>
      <w:r w:rsidR="00BF3570">
        <w:rPr>
          <w:rFonts w:cs="Times New Roman"/>
        </w:rPr>
        <w:t>7.</w:t>
      </w:r>
      <w:r w:rsidRPr="00EE25BA">
        <w:rPr>
          <w:rFonts w:cs="Times New Roman"/>
        </w:rPr>
        <w:t xml:space="preserve">3, Bangladesh has also achieved a positive growth in Aquaculture all through from 1976, growing from 582 hectares in 1976 to 143,506 hectares in 2000 that is at an annual average rate of 10.23% till 2010.  It further increased to 175663 hectares in 2010 that is growing at an annual average rate of 2.24% between 2000 and 2010.  This shows that there is not only a shift to non-agriculture use of land, but also within agriculture to increasing aquaculture share, which is a positive development from food security point of view.  Aquaculture growth happened even though the </w:t>
      </w:r>
      <w:r w:rsidR="00F64A6A" w:rsidRPr="00F64A6A">
        <w:rPr>
          <w:rFonts w:cs="Times New Roman"/>
          <w:u w:val="single"/>
        </w:rPr>
        <w:t xml:space="preserve">area under lakes, beels and haors has remained almost same between 1976 and 2010.  The area under river also remained almost static during the period from 1976 to 2010 with very slight decrease from 1976 to 2000 and slight increase from 2000 to 2010. </w:t>
      </w:r>
      <w:r w:rsidRPr="00EE25BA">
        <w:rPr>
          <w:rFonts w:cs="Times New Roman"/>
        </w:rPr>
        <w:t xml:space="preserve">The total river area was 911,819 ha in 1976 that very slightly decreased to 8, 88,441 ha in 2000, and then slightly increased to 9, 39,073 ha in 2010 indicating 6.29 percent, 6.11percent and 6.44 percent of the total area of Bangladesh in the year 1976, 2000 and 2010, respectively.  </w:t>
      </w:r>
      <w:bookmarkStart w:id="518" w:name="_Toc411252003"/>
      <w:bookmarkStart w:id="519" w:name="_Toc439146238"/>
    </w:p>
    <w:p w:rsidR="00A356FA" w:rsidRPr="00024601" w:rsidRDefault="00A356FA" w:rsidP="001A40B7">
      <w:pPr>
        <w:pStyle w:val="Heading4"/>
      </w:pPr>
      <w:bookmarkStart w:id="520" w:name="_Toc474639040"/>
      <w:r w:rsidRPr="00024601">
        <w:lastRenderedPageBreak/>
        <w:t xml:space="preserve">Table </w:t>
      </w:r>
      <w:r w:rsidR="00BF3570">
        <w:t>7.</w:t>
      </w:r>
      <w:r w:rsidR="00061254">
        <w:t>3: Area and Average Annual Change in Land Use A</w:t>
      </w:r>
      <w:r w:rsidRPr="00024601">
        <w:t>creage (%)</w:t>
      </w:r>
      <w:bookmarkEnd w:id="518"/>
      <w:bookmarkEnd w:id="519"/>
      <w:bookmarkEnd w:id="520"/>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1804"/>
        <w:gridCol w:w="1186"/>
        <w:gridCol w:w="1148"/>
        <w:gridCol w:w="1086"/>
        <w:gridCol w:w="659"/>
        <w:gridCol w:w="793"/>
        <w:gridCol w:w="695"/>
        <w:gridCol w:w="691"/>
        <w:gridCol w:w="693"/>
        <w:gridCol w:w="665"/>
      </w:tblGrid>
      <w:tr w:rsidR="00A356FA" w:rsidRPr="00354A9C" w:rsidTr="00A356FA">
        <w:trPr>
          <w:tblHeader/>
        </w:trPr>
        <w:tc>
          <w:tcPr>
            <w:tcW w:w="957" w:type="pct"/>
            <w:vMerge w:val="restart"/>
            <w:shd w:val="clear" w:color="auto" w:fill="D9D9D9"/>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Land cover type</w:t>
            </w:r>
          </w:p>
        </w:tc>
        <w:tc>
          <w:tcPr>
            <w:tcW w:w="629" w:type="pct"/>
            <w:shd w:val="clear" w:color="auto" w:fill="D9D9D9"/>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Year</w:t>
            </w:r>
          </w:p>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1976</w:t>
            </w:r>
          </w:p>
        </w:tc>
        <w:tc>
          <w:tcPr>
            <w:tcW w:w="609" w:type="pct"/>
            <w:shd w:val="clear" w:color="auto" w:fill="D9D9D9"/>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Year 2000</w:t>
            </w:r>
          </w:p>
        </w:tc>
        <w:tc>
          <w:tcPr>
            <w:tcW w:w="576" w:type="pct"/>
            <w:shd w:val="clear" w:color="auto" w:fill="D9D9D9"/>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Year</w:t>
            </w:r>
          </w:p>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2010</w:t>
            </w:r>
          </w:p>
        </w:tc>
        <w:tc>
          <w:tcPr>
            <w:tcW w:w="1140" w:type="pct"/>
            <w:gridSpan w:val="3"/>
            <w:shd w:val="clear" w:color="auto" w:fill="D9D9D9"/>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Annual change by area</w:t>
            </w:r>
            <w:r>
              <w:rPr>
                <w:rFonts w:cs="Times New Roman"/>
                <w:b/>
                <w:bCs/>
                <w:sz w:val="20"/>
                <w:szCs w:val="20"/>
              </w:rPr>
              <w:t xml:space="preserve"> </w:t>
            </w:r>
            <w:r w:rsidRPr="00DF4998">
              <w:rPr>
                <w:rFonts w:cs="Times New Roman"/>
                <w:b/>
                <w:bCs/>
                <w:sz w:val="20"/>
                <w:szCs w:val="20"/>
              </w:rPr>
              <w:t>(ha)</w:t>
            </w:r>
          </w:p>
        </w:tc>
        <w:tc>
          <w:tcPr>
            <w:tcW w:w="1088" w:type="pct"/>
            <w:gridSpan w:val="3"/>
            <w:shd w:val="clear" w:color="auto" w:fill="D9D9D9"/>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Average annual changes</w:t>
            </w:r>
            <w:r>
              <w:rPr>
                <w:rFonts w:cs="Times New Roman"/>
                <w:b/>
                <w:bCs/>
                <w:sz w:val="20"/>
                <w:szCs w:val="20"/>
              </w:rPr>
              <w:t xml:space="preserve"> </w:t>
            </w:r>
            <w:r w:rsidRPr="00DF4998">
              <w:rPr>
                <w:rFonts w:cs="Times New Roman"/>
                <w:b/>
                <w:bCs/>
                <w:sz w:val="20"/>
                <w:szCs w:val="20"/>
              </w:rPr>
              <w:t>of ha</w:t>
            </w:r>
            <w:r>
              <w:rPr>
                <w:rFonts w:cs="Times New Roman"/>
                <w:b/>
                <w:bCs/>
                <w:sz w:val="20"/>
                <w:szCs w:val="20"/>
              </w:rPr>
              <w:t xml:space="preserve"> </w:t>
            </w:r>
            <w:r w:rsidRPr="00DF4998">
              <w:rPr>
                <w:rFonts w:cs="Times New Roman"/>
                <w:b/>
                <w:bCs/>
                <w:sz w:val="20"/>
                <w:szCs w:val="20"/>
              </w:rPr>
              <w:t>(%)</w:t>
            </w:r>
          </w:p>
        </w:tc>
      </w:tr>
      <w:tr w:rsidR="00A356FA" w:rsidRPr="00354A9C" w:rsidTr="00A356FA">
        <w:trPr>
          <w:tblHeader/>
        </w:trPr>
        <w:tc>
          <w:tcPr>
            <w:tcW w:w="957" w:type="pct"/>
            <w:vMerge/>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p>
        </w:tc>
        <w:tc>
          <w:tcPr>
            <w:tcW w:w="629" w:type="pct"/>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Area(ha)</w:t>
            </w:r>
          </w:p>
        </w:tc>
        <w:tc>
          <w:tcPr>
            <w:tcW w:w="609" w:type="pct"/>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Area(ha)</w:t>
            </w:r>
          </w:p>
        </w:tc>
        <w:tc>
          <w:tcPr>
            <w:tcW w:w="576" w:type="pct"/>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Area(ha)</w:t>
            </w:r>
          </w:p>
        </w:tc>
        <w:tc>
          <w:tcPr>
            <w:tcW w:w="350" w:type="pct"/>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1976-2000</w:t>
            </w:r>
          </w:p>
        </w:tc>
        <w:tc>
          <w:tcPr>
            <w:tcW w:w="421" w:type="pct"/>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2000-2010</w:t>
            </w:r>
          </w:p>
        </w:tc>
        <w:tc>
          <w:tcPr>
            <w:tcW w:w="369" w:type="pct"/>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1976-2010</w:t>
            </w:r>
          </w:p>
        </w:tc>
        <w:tc>
          <w:tcPr>
            <w:tcW w:w="367" w:type="pct"/>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1976-</w:t>
            </w:r>
          </w:p>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2000</w:t>
            </w:r>
          </w:p>
        </w:tc>
        <w:tc>
          <w:tcPr>
            <w:tcW w:w="368" w:type="pct"/>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2000-</w:t>
            </w:r>
          </w:p>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2010</w:t>
            </w:r>
          </w:p>
        </w:tc>
        <w:tc>
          <w:tcPr>
            <w:tcW w:w="353" w:type="pct"/>
            <w:shd w:val="clear" w:color="auto" w:fill="B2A1C7"/>
            <w:tcMar>
              <w:left w:w="30" w:type="dxa"/>
              <w:right w:w="30" w:type="dxa"/>
            </w:tcMar>
            <w:vAlign w:val="center"/>
          </w:tcPr>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1976-</w:t>
            </w:r>
          </w:p>
          <w:p w:rsidR="00A356FA" w:rsidRPr="00DF4998" w:rsidRDefault="00A356FA" w:rsidP="00024601">
            <w:pPr>
              <w:autoSpaceDE w:val="0"/>
              <w:autoSpaceDN w:val="0"/>
              <w:adjustRightInd w:val="0"/>
              <w:spacing w:after="0"/>
              <w:jc w:val="center"/>
              <w:rPr>
                <w:rFonts w:cs="Times New Roman"/>
                <w:b/>
                <w:bCs/>
                <w:sz w:val="20"/>
                <w:szCs w:val="20"/>
              </w:rPr>
            </w:pPr>
            <w:r w:rsidRPr="00DF4998">
              <w:rPr>
                <w:rFonts w:cs="Times New Roman"/>
                <w:b/>
                <w:bCs/>
                <w:sz w:val="20"/>
                <w:szCs w:val="20"/>
              </w:rPr>
              <w:t>2010</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b/>
                <w:bCs/>
                <w:sz w:val="20"/>
                <w:szCs w:val="20"/>
              </w:rPr>
              <w:t xml:space="preserve">Agricultural land: </w:t>
            </w:r>
          </w:p>
        </w:tc>
        <w:tc>
          <w:tcPr>
            <w:tcW w:w="629"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1,33,03,654</w:t>
            </w:r>
          </w:p>
        </w:tc>
        <w:tc>
          <w:tcPr>
            <w:tcW w:w="609"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1,27,42,274</w:t>
            </w:r>
          </w:p>
        </w:tc>
        <w:tc>
          <w:tcPr>
            <w:tcW w:w="576"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1,21,76,904</w:t>
            </w:r>
          </w:p>
        </w:tc>
        <w:tc>
          <w:tcPr>
            <w:tcW w:w="350"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-23391</w:t>
            </w:r>
          </w:p>
        </w:tc>
        <w:tc>
          <w:tcPr>
            <w:tcW w:w="421"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-56537</w:t>
            </w:r>
          </w:p>
        </w:tc>
        <w:tc>
          <w:tcPr>
            <w:tcW w:w="369"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-33140</w:t>
            </w:r>
          </w:p>
        </w:tc>
        <w:tc>
          <w:tcPr>
            <w:tcW w:w="367"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-0.176</w:t>
            </w:r>
          </w:p>
        </w:tc>
        <w:tc>
          <w:tcPr>
            <w:tcW w:w="368"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-0.444</w:t>
            </w:r>
          </w:p>
        </w:tc>
        <w:tc>
          <w:tcPr>
            <w:tcW w:w="353"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-0.249</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Crop land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97</w:t>
            </w:r>
            <w:r w:rsidR="00F3597F">
              <w:rPr>
                <w:rFonts w:cs="Times New Roman"/>
                <w:sz w:val="20"/>
                <w:szCs w:val="20"/>
              </w:rPr>
              <w:t>,</w:t>
            </w:r>
            <w:r w:rsidRPr="00DF4998">
              <w:rPr>
                <w:rFonts w:cs="Times New Roman"/>
                <w:sz w:val="20"/>
                <w:szCs w:val="20"/>
              </w:rPr>
              <w:t>61</w:t>
            </w:r>
            <w:r w:rsidR="00F3597F">
              <w:rPr>
                <w:rFonts w:cs="Times New Roman"/>
                <w:sz w:val="20"/>
                <w:szCs w:val="20"/>
              </w:rPr>
              <w:t>,</w:t>
            </w:r>
            <w:r w:rsidRPr="00DF4998">
              <w:rPr>
                <w:rFonts w:cs="Times New Roman"/>
                <w:sz w:val="20"/>
                <w:szCs w:val="20"/>
              </w:rPr>
              <w:t>45</w:t>
            </w:r>
            <w:r w:rsidR="00F3597F">
              <w:rPr>
                <w:rFonts w:cs="Times New Roman"/>
                <w:sz w:val="20"/>
                <w:szCs w:val="20"/>
              </w:rPr>
              <w:t>3</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94,39,541</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87,51,937</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-13413</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-68760</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-29692</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-0.137</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-0.728</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-0.304</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Forest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17,54,917</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13,11,121</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14,34,136</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-18492</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12302</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-9435</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-1.054</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0.938</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-0.538</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Mangrove forest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4,52,444</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4,86,791</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4,41,455</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1431</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-4534</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-323</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0.316</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-0.931</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-0.071</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River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9,11,819</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8,88,441</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9,39,073</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-974</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5063</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802</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-0.107</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.570</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0.088</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Lake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50,829</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58,261</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51,739</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310</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-652</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27</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0.609</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-1.119</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0.053</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Beel and Haor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2,39,977</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2,51,774</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w:t>
            </w:r>
            <w:r w:rsidR="00F3597F">
              <w:rPr>
                <w:rFonts w:cs="Times New Roman"/>
                <w:sz w:val="20"/>
                <w:szCs w:val="20"/>
              </w:rPr>
              <w:t>,</w:t>
            </w:r>
            <w:r w:rsidRPr="00DF4998">
              <w:rPr>
                <w:rFonts w:cs="Times New Roman"/>
                <w:sz w:val="20"/>
                <w:szCs w:val="20"/>
              </w:rPr>
              <w:t>5</w:t>
            </w:r>
            <w:r w:rsidR="00F3597F">
              <w:rPr>
                <w:rFonts w:cs="Times New Roman"/>
                <w:sz w:val="20"/>
                <w:szCs w:val="20"/>
              </w:rPr>
              <w:t>0</w:t>
            </w:r>
            <w:r w:rsidRPr="00DF4998">
              <w:rPr>
                <w:rFonts w:cs="Times New Roman"/>
                <w:sz w:val="20"/>
                <w:szCs w:val="20"/>
              </w:rPr>
              <w:t>,72</w:t>
            </w:r>
            <w:r w:rsidR="00F3597F">
              <w:rPr>
                <w:rFonts w:cs="Times New Roman"/>
                <w:sz w:val="20"/>
                <w:szCs w:val="20"/>
              </w:rPr>
              <w:t>4</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492</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-105</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316</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0.205</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-0.042</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0.132</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Aquaculture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582</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1,43,506</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1,75,663</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5955</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3216</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5149</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1023.2</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2.241</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884.78</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Tea estate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1,19,847</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1,38,533</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96,152</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779</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-4238</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-697</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0.652</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-3.059</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-0.582</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Salt pan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11,789</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24,306</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36,022</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522</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1172</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713</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4.424</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4.820</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6.046</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b/>
                <w:bCs/>
                <w:sz w:val="20"/>
                <w:szCs w:val="20"/>
              </w:rPr>
              <w:t xml:space="preserve">Non-agricultural land: </w:t>
            </w:r>
          </w:p>
        </w:tc>
        <w:tc>
          <w:tcPr>
            <w:tcW w:w="629"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11,83,605</w:t>
            </w:r>
          </w:p>
        </w:tc>
        <w:tc>
          <w:tcPr>
            <w:tcW w:w="609"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17,88,307</w:t>
            </w:r>
          </w:p>
        </w:tc>
        <w:tc>
          <w:tcPr>
            <w:tcW w:w="576"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24,00,867</w:t>
            </w:r>
          </w:p>
        </w:tc>
        <w:tc>
          <w:tcPr>
            <w:tcW w:w="350"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25196</w:t>
            </w:r>
          </w:p>
        </w:tc>
        <w:tc>
          <w:tcPr>
            <w:tcW w:w="421"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61256</w:t>
            </w:r>
          </w:p>
        </w:tc>
        <w:tc>
          <w:tcPr>
            <w:tcW w:w="369"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35802</w:t>
            </w:r>
          </w:p>
        </w:tc>
        <w:tc>
          <w:tcPr>
            <w:tcW w:w="367"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2.129</w:t>
            </w:r>
          </w:p>
        </w:tc>
        <w:tc>
          <w:tcPr>
            <w:tcW w:w="368"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3.425</w:t>
            </w:r>
          </w:p>
        </w:tc>
        <w:tc>
          <w:tcPr>
            <w:tcW w:w="353"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3.025</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Rural settlement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8,85,637</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14,58,031</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17,66,123</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23850</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30809</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25897</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2.693</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2.113</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2.924</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rPr>
                <w:rFonts w:cs="Times New Roman"/>
                <w:sz w:val="20"/>
                <w:szCs w:val="20"/>
              </w:rPr>
            </w:pPr>
            <w:r w:rsidRPr="00DF4998">
              <w:rPr>
                <w:rFonts w:cs="Times New Roman"/>
                <w:sz w:val="20"/>
                <w:szCs w:val="20"/>
              </w:rPr>
              <w:t xml:space="preserve">Urban &amp;  Industrial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26,799</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47,495</w:t>
            </w:r>
          </w:p>
        </w:tc>
        <w:tc>
          <w:tcPr>
            <w:tcW w:w="576"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87,616</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862</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4012</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1789</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3.218</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8.447</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6.675</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 xml:space="preserve">Accreted land </w:t>
            </w:r>
          </w:p>
        </w:tc>
        <w:tc>
          <w:tcPr>
            <w:tcW w:w="62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2,71,169</w:t>
            </w:r>
          </w:p>
        </w:tc>
        <w:tc>
          <w:tcPr>
            <w:tcW w:w="60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2,82,781</w:t>
            </w:r>
          </w:p>
        </w:tc>
        <w:tc>
          <w:tcPr>
            <w:tcW w:w="576" w:type="pct"/>
            <w:tcMar>
              <w:left w:w="30" w:type="dxa"/>
              <w:right w:w="30" w:type="dxa"/>
            </w:tcMar>
          </w:tcPr>
          <w:p w:rsidR="00A356FA" w:rsidRPr="00072A30" w:rsidRDefault="004C4202" w:rsidP="00E12250">
            <w:pPr>
              <w:shd w:val="clear" w:color="000000" w:fill="CCC0DA"/>
              <w:spacing w:before="100" w:beforeAutospacing="1" w:after="0" w:afterAutospacing="1" w:line="240" w:lineRule="auto"/>
              <w:jc w:val="right"/>
              <w:rPr>
                <w:rFonts w:cs="Times New Roman"/>
                <w:b/>
                <w:bCs/>
                <w:sz w:val="20"/>
                <w:szCs w:val="20"/>
              </w:rPr>
            </w:pPr>
            <w:r w:rsidRPr="00AF29C3">
              <w:rPr>
                <w:rFonts w:cs="Times New Roman"/>
                <w:b/>
                <w:bCs/>
                <w:sz w:val="20"/>
                <w:szCs w:val="20"/>
              </w:rPr>
              <w:t>5,47,128</w:t>
            </w:r>
          </w:p>
        </w:tc>
        <w:tc>
          <w:tcPr>
            <w:tcW w:w="350"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484</w:t>
            </w:r>
          </w:p>
        </w:tc>
        <w:tc>
          <w:tcPr>
            <w:tcW w:w="421"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26435</w:t>
            </w:r>
          </w:p>
        </w:tc>
        <w:tc>
          <w:tcPr>
            <w:tcW w:w="369"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8116</w:t>
            </w:r>
          </w:p>
        </w:tc>
        <w:tc>
          <w:tcPr>
            <w:tcW w:w="367"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0.178</w:t>
            </w:r>
          </w:p>
        </w:tc>
        <w:tc>
          <w:tcPr>
            <w:tcW w:w="368"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9.348</w:t>
            </w:r>
          </w:p>
        </w:tc>
        <w:tc>
          <w:tcPr>
            <w:tcW w:w="353" w:type="pct"/>
            <w:tcMar>
              <w:left w:w="30" w:type="dxa"/>
              <w:right w:w="30" w:type="dxa"/>
            </w:tcMar>
          </w:tcPr>
          <w:p w:rsidR="00A356FA" w:rsidRPr="00DF4998" w:rsidRDefault="00A356FA" w:rsidP="00E12250">
            <w:pPr>
              <w:spacing w:after="0"/>
              <w:jc w:val="right"/>
              <w:rPr>
                <w:rFonts w:cs="Times New Roman"/>
                <w:sz w:val="20"/>
                <w:szCs w:val="20"/>
              </w:rPr>
            </w:pPr>
            <w:r w:rsidRPr="00DF4998">
              <w:rPr>
                <w:rFonts w:cs="Times New Roman"/>
                <w:sz w:val="20"/>
                <w:szCs w:val="20"/>
              </w:rPr>
              <w:t>2.993</w:t>
            </w:r>
          </w:p>
        </w:tc>
      </w:tr>
      <w:tr w:rsidR="00A356FA" w:rsidRPr="00354A9C" w:rsidTr="00A356FA">
        <w:tc>
          <w:tcPr>
            <w:tcW w:w="957" w:type="pct"/>
            <w:tcMar>
              <w:left w:w="30" w:type="dxa"/>
              <w:right w:w="30" w:type="dxa"/>
            </w:tcMar>
          </w:tcPr>
          <w:p w:rsidR="00A356FA" w:rsidRPr="00DF4998" w:rsidRDefault="00A356FA" w:rsidP="00024601">
            <w:pPr>
              <w:autoSpaceDE w:val="0"/>
              <w:autoSpaceDN w:val="0"/>
              <w:adjustRightInd w:val="0"/>
              <w:spacing w:after="0"/>
              <w:jc w:val="both"/>
              <w:rPr>
                <w:rFonts w:cs="Times New Roman"/>
                <w:sz w:val="20"/>
                <w:szCs w:val="20"/>
              </w:rPr>
            </w:pPr>
            <w:r w:rsidRPr="00DF4998">
              <w:rPr>
                <w:rFonts w:cs="Times New Roman"/>
                <w:sz w:val="20"/>
                <w:szCs w:val="20"/>
              </w:rPr>
              <w:t>Total</w:t>
            </w:r>
          </w:p>
        </w:tc>
        <w:tc>
          <w:tcPr>
            <w:tcW w:w="629"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1,44,87,259</w:t>
            </w:r>
          </w:p>
        </w:tc>
        <w:tc>
          <w:tcPr>
            <w:tcW w:w="609"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1,45,30,581</w:t>
            </w:r>
          </w:p>
        </w:tc>
        <w:tc>
          <w:tcPr>
            <w:tcW w:w="576"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1,45,77,771</w:t>
            </w:r>
          </w:p>
        </w:tc>
        <w:tc>
          <w:tcPr>
            <w:tcW w:w="350"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w:t>
            </w:r>
          </w:p>
        </w:tc>
        <w:tc>
          <w:tcPr>
            <w:tcW w:w="421"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w:t>
            </w:r>
          </w:p>
        </w:tc>
        <w:tc>
          <w:tcPr>
            <w:tcW w:w="369"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w:t>
            </w:r>
          </w:p>
        </w:tc>
        <w:tc>
          <w:tcPr>
            <w:tcW w:w="367"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w:t>
            </w:r>
          </w:p>
        </w:tc>
        <w:tc>
          <w:tcPr>
            <w:tcW w:w="368"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w:t>
            </w:r>
          </w:p>
        </w:tc>
        <w:tc>
          <w:tcPr>
            <w:tcW w:w="353" w:type="pct"/>
            <w:tcMar>
              <w:left w:w="30" w:type="dxa"/>
              <w:right w:w="30" w:type="dxa"/>
            </w:tcMar>
          </w:tcPr>
          <w:p w:rsidR="00A356FA" w:rsidRPr="00DF4998" w:rsidRDefault="00A356FA" w:rsidP="00E12250">
            <w:pPr>
              <w:spacing w:after="0"/>
              <w:jc w:val="right"/>
              <w:rPr>
                <w:rFonts w:cs="Times New Roman"/>
                <w:b/>
                <w:sz w:val="20"/>
                <w:szCs w:val="20"/>
              </w:rPr>
            </w:pPr>
            <w:r w:rsidRPr="00DF4998">
              <w:rPr>
                <w:rFonts w:cs="Times New Roman"/>
                <w:b/>
                <w:sz w:val="20"/>
                <w:szCs w:val="20"/>
              </w:rPr>
              <w:t>-</w:t>
            </w:r>
          </w:p>
        </w:tc>
      </w:tr>
    </w:tbl>
    <w:p w:rsidR="00A356FA" w:rsidRPr="00DF4998" w:rsidRDefault="00A356FA" w:rsidP="00061254">
      <w:pPr>
        <w:pStyle w:val="Source"/>
        <w:spacing w:before="120"/>
        <w:jc w:val="both"/>
        <w:rPr>
          <w:rFonts w:ascii="Times New Roman" w:hAnsi="Times New Roman"/>
          <w:b/>
          <w:bCs/>
        </w:rPr>
      </w:pPr>
      <w:r w:rsidRPr="00DF4998">
        <w:rPr>
          <w:rFonts w:ascii="Times New Roman" w:hAnsi="Times New Roman"/>
          <w:b/>
          <w:bCs/>
          <w:lang w:eastAsia="en-US"/>
        </w:rPr>
        <w:t xml:space="preserve">Source:  </w:t>
      </w:r>
      <w:r w:rsidR="00695A0D">
        <w:rPr>
          <w:rFonts w:ascii="Times New Roman" w:hAnsi="Times New Roman"/>
          <w:b/>
          <w:bCs/>
        </w:rPr>
        <w:t>SDRI</w:t>
      </w:r>
      <w:r>
        <w:rPr>
          <w:rFonts w:ascii="Times New Roman" w:hAnsi="Times New Roman"/>
          <w:b/>
          <w:bCs/>
        </w:rPr>
        <w:t xml:space="preserve"> </w:t>
      </w:r>
      <w:r w:rsidRPr="00DF4998">
        <w:rPr>
          <w:rFonts w:ascii="Times New Roman" w:hAnsi="Times New Roman"/>
          <w:b/>
          <w:bCs/>
        </w:rPr>
        <w:t>(2013)</w:t>
      </w:r>
    </w:p>
    <w:p w:rsidR="00A356FA" w:rsidRPr="00EE25BA" w:rsidRDefault="00B50D2C" w:rsidP="00A356FA">
      <w:pPr>
        <w:spacing w:line="276" w:lineRule="auto"/>
        <w:jc w:val="both"/>
        <w:rPr>
          <w:rFonts w:cs="Times New Roman"/>
        </w:rPr>
      </w:pPr>
      <w:r>
        <w:rPr>
          <w:rFonts w:cs="Times New Roman"/>
          <w:b/>
          <w:i/>
        </w:rPr>
        <w:t>Non-agriculture land u</w:t>
      </w:r>
      <w:r w:rsidR="00A356FA" w:rsidRPr="00EE25BA">
        <w:rPr>
          <w:rFonts w:cs="Times New Roman"/>
          <w:b/>
          <w:i/>
        </w:rPr>
        <w:t>se over time:</w:t>
      </w:r>
      <w:r w:rsidR="00A356FA" w:rsidRPr="00EE25BA">
        <w:rPr>
          <w:rFonts w:cs="Times New Roman"/>
        </w:rPr>
        <w:t xml:space="preserve">  Non-agricultural land includes rural settlement, urban and industrial area and accreted land. As discussed before and also evident from the Table </w:t>
      </w:r>
      <w:r w:rsidR="00BF3570">
        <w:rPr>
          <w:rFonts w:cs="Times New Roman"/>
        </w:rPr>
        <w:t>7.</w:t>
      </w:r>
      <w:r w:rsidR="002B75A4">
        <w:rPr>
          <w:rFonts w:cs="Times New Roman"/>
        </w:rPr>
        <w:t>3</w:t>
      </w:r>
      <w:r w:rsidR="00A356FA" w:rsidRPr="00EE25BA">
        <w:rPr>
          <w:rFonts w:cs="Times New Roman"/>
        </w:rPr>
        <w:t xml:space="preserve"> and Figures </w:t>
      </w:r>
      <w:r w:rsidR="005D2352">
        <w:rPr>
          <w:rFonts w:cs="Times New Roman"/>
        </w:rPr>
        <w:t>7.</w:t>
      </w:r>
      <w:r w:rsidR="00A356FA" w:rsidRPr="00EE25BA">
        <w:rPr>
          <w:rFonts w:cs="Times New Roman"/>
        </w:rPr>
        <w:t xml:space="preserve">3 and </w:t>
      </w:r>
      <w:r w:rsidR="005D2352">
        <w:rPr>
          <w:rFonts w:cs="Times New Roman"/>
        </w:rPr>
        <w:t>7.</w:t>
      </w:r>
      <w:r w:rsidR="00A356FA" w:rsidRPr="00EE25BA">
        <w:rPr>
          <w:rFonts w:cs="Times New Roman"/>
        </w:rPr>
        <w:t xml:space="preserve">4 below, </w:t>
      </w:r>
      <w:r w:rsidR="00A356FA" w:rsidRPr="004B0A08">
        <w:rPr>
          <w:rFonts w:cs="Times New Roman"/>
          <w:i/>
        </w:rPr>
        <w:t>that non-agriculture land increased substantially between 1976 and 2010 reducing land available for agriculture use.  This has happened both because of growing population density and also the pursuit of an economic development path that is conducive for creating new jobs for an ever-increasing working age population.</w:t>
      </w:r>
      <w:r w:rsidR="00A356FA" w:rsidRPr="00EE25BA">
        <w:rPr>
          <w:rFonts w:cs="Times New Roman"/>
        </w:rPr>
        <w:t xml:space="preserve">   So the additional land use has been not only for catering to urban and industrial land needs, but also the growing rural settlement needs for a growing population. </w:t>
      </w:r>
      <w:bookmarkStart w:id="521" w:name="_Toc439146276"/>
    </w:p>
    <w:p w:rsidR="00564621" w:rsidRDefault="00564621">
      <w:pPr>
        <w:rPr>
          <w:b/>
          <w:szCs w:val="24"/>
        </w:rPr>
      </w:pPr>
      <w:r>
        <w:br w:type="page"/>
      </w:r>
    </w:p>
    <w:p w:rsidR="00A356FA" w:rsidRPr="00024601" w:rsidRDefault="00A356FA" w:rsidP="001A40B7">
      <w:pPr>
        <w:pStyle w:val="Heading5"/>
      </w:pPr>
      <w:bookmarkStart w:id="522" w:name="_Toc474639191"/>
      <w:r w:rsidRPr="00024601">
        <w:lastRenderedPageBreak/>
        <w:t xml:space="preserve">Figure </w:t>
      </w:r>
      <w:r w:rsidR="005D2352">
        <w:t>7.</w:t>
      </w:r>
      <w:r w:rsidR="00061254">
        <w:t>3: Annual Net Land Loss and Land G</w:t>
      </w:r>
      <w:r w:rsidRPr="00024601">
        <w:t xml:space="preserve">ain </w:t>
      </w:r>
      <w:r w:rsidR="00061254">
        <w:t>by Use</w:t>
      </w:r>
      <w:bookmarkEnd w:id="521"/>
      <w:bookmarkEnd w:id="522"/>
    </w:p>
    <w:p w:rsidR="00A356FA" w:rsidRPr="00354A9C" w:rsidRDefault="00A356FA" w:rsidP="00A356FA">
      <w:pPr>
        <w:autoSpaceDE w:val="0"/>
        <w:autoSpaceDN w:val="0"/>
        <w:adjustRightInd w:val="0"/>
        <w:spacing w:after="120"/>
        <w:jc w:val="both"/>
        <w:rPr>
          <w:rFonts w:ascii="Segoe UI" w:hAnsi="Segoe UI" w:cs="Segoe UI"/>
          <w:sz w:val="20"/>
          <w:szCs w:val="20"/>
        </w:rPr>
      </w:pPr>
      <w:r w:rsidRPr="00354A9C">
        <w:rPr>
          <w:rFonts w:ascii="Segoe UI" w:hAnsi="Segoe UI" w:cs="Segoe UI"/>
          <w:noProof/>
          <w:sz w:val="20"/>
          <w:szCs w:val="20"/>
          <w:lang w:val="en-AU" w:eastAsia="en-AU" w:bidi="bn-BD"/>
        </w:rPr>
        <w:drawing>
          <wp:inline distT="0" distB="0" distL="0" distR="0">
            <wp:extent cx="5724525" cy="2943225"/>
            <wp:effectExtent l="19050" t="0" r="9525" b="0"/>
            <wp:docPr id="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2943225"/>
                    </a:xfrm>
                    <a:prstGeom prst="rect">
                      <a:avLst/>
                    </a:prstGeom>
                    <a:noFill/>
                    <a:ln>
                      <a:noFill/>
                    </a:ln>
                  </pic:spPr>
                </pic:pic>
              </a:graphicData>
            </a:graphic>
          </wp:inline>
        </w:drawing>
      </w:r>
    </w:p>
    <w:p w:rsidR="00A356FA" w:rsidRPr="00354A9C" w:rsidRDefault="00A356FA" w:rsidP="00A356FA">
      <w:pPr>
        <w:autoSpaceDE w:val="0"/>
        <w:autoSpaceDN w:val="0"/>
        <w:adjustRightInd w:val="0"/>
        <w:spacing w:after="120"/>
        <w:jc w:val="both"/>
        <w:rPr>
          <w:rFonts w:ascii="Segoe UI" w:hAnsi="Segoe UI" w:cs="Segoe UI"/>
          <w:sz w:val="20"/>
          <w:szCs w:val="20"/>
        </w:rPr>
      </w:pPr>
      <w:r w:rsidRPr="00354A9C">
        <w:rPr>
          <w:rFonts w:ascii="Segoe UI" w:hAnsi="Segoe UI" w:cs="Segoe UI"/>
          <w:noProof/>
          <w:sz w:val="20"/>
          <w:szCs w:val="20"/>
          <w:lang w:val="en-AU" w:eastAsia="en-AU" w:bidi="bn-BD"/>
        </w:rPr>
        <w:drawing>
          <wp:inline distT="0" distB="0" distL="0" distR="0">
            <wp:extent cx="5724525" cy="2971800"/>
            <wp:effectExtent l="19050" t="0" r="9525" b="0"/>
            <wp:docPr id="1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2971800"/>
                    </a:xfrm>
                    <a:prstGeom prst="rect">
                      <a:avLst/>
                    </a:prstGeom>
                    <a:noFill/>
                    <a:ln>
                      <a:noFill/>
                    </a:ln>
                  </pic:spPr>
                </pic:pic>
              </a:graphicData>
            </a:graphic>
          </wp:inline>
        </w:drawing>
      </w:r>
    </w:p>
    <w:p w:rsidR="00564621" w:rsidRPr="00564621" w:rsidRDefault="00A356FA" w:rsidP="00564621">
      <w:pPr>
        <w:spacing w:before="120"/>
        <w:jc w:val="both"/>
        <w:rPr>
          <w:rFonts w:cs="Times New Roman"/>
          <w:b/>
          <w:i/>
          <w:color w:val="000000"/>
          <w:sz w:val="20"/>
          <w:szCs w:val="20"/>
        </w:rPr>
      </w:pPr>
      <w:r w:rsidRPr="00564621">
        <w:rPr>
          <w:rFonts w:cs="Times New Roman"/>
          <w:b/>
          <w:bCs/>
          <w:i/>
          <w:iCs/>
          <w:sz w:val="20"/>
          <w:szCs w:val="20"/>
        </w:rPr>
        <w:t xml:space="preserve">Source: </w:t>
      </w:r>
      <w:r w:rsidR="00312920" w:rsidRPr="00564621">
        <w:rPr>
          <w:rFonts w:cs="Times New Roman"/>
          <w:b/>
          <w:i/>
          <w:color w:val="000000"/>
          <w:sz w:val="20"/>
          <w:szCs w:val="20"/>
        </w:rPr>
        <w:t>SRDI, 2013</w:t>
      </w:r>
      <w:bookmarkStart w:id="523" w:name="_Toc439146119"/>
    </w:p>
    <w:p w:rsidR="00A356FA" w:rsidRPr="00DA537A" w:rsidRDefault="00A356FA" w:rsidP="00312920">
      <w:pPr>
        <w:jc w:val="both"/>
        <w:rPr>
          <w:rFonts w:cs="Times New Roman"/>
        </w:rPr>
      </w:pPr>
      <w:r w:rsidRPr="00055242">
        <w:rPr>
          <w:rFonts w:cs="Times New Roman"/>
        </w:rPr>
        <w:t xml:space="preserve">Even though cropland declined, a very positive factor was that the crop production trebled during the period and continues to grow.  So, more crops are being produced on lesser land, thanks to the successful adoption of green revolution technology.  Technological evolution, farmer’s ability to adopt technology and good use of markets along with road infrastructure development has been key to the success of crop agriculture.  While adaptation of technology has played its part in increasing crop productivity, in the future higher agricultural productivity and food security will also require proper management of land resources for agriculture practices, </w:t>
      </w:r>
      <w:r w:rsidRPr="00055242">
        <w:rPr>
          <w:rFonts w:cs="Times New Roman"/>
        </w:rPr>
        <w:lastRenderedPageBreak/>
        <w:t>agricultural production, agriculture land use planning, and scope of agro-ecological planning. The knowledge of land or crop suitability will also help in this regard.</w:t>
      </w:r>
    </w:p>
    <w:p w:rsidR="00A356FA" w:rsidRPr="00024601" w:rsidRDefault="00A356FA" w:rsidP="001A40B7">
      <w:pPr>
        <w:pStyle w:val="Heading5"/>
      </w:pPr>
      <w:bookmarkStart w:id="524" w:name="_Toc474639192"/>
      <w:r w:rsidRPr="00024601">
        <w:t xml:space="preserve">Figure </w:t>
      </w:r>
      <w:r w:rsidR="005D2352">
        <w:t>7.</w:t>
      </w:r>
      <w:r w:rsidRPr="00024601">
        <w:t>4:</w:t>
      </w:r>
      <w:r w:rsidR="00215325">
        <w:t xml:space="preserve"> Change in Land Cover by Use, 1976 -2010</w:t>
      </w:r>
      <w:r w:rsidR="000609DD">
        <w:t xml:space="preserve"> </w:t>
      </w:r>
      <w:r w:rsidR="00215325">
        <w:t>(Area ‘000’ha)</w:t>
      </w:r>
      <w:bookmarkEnd w:id="524"/>
    </w:p>
    <w:p w:rsidR="00A356FA" w:rsidRPr="00564621" w:rsidRDefault="00A356FA" w:rsidP="00436DFF">
      <w:pPr>
        <w:spacing w:after="0"/>
        <w:jc w:val="center"/>
      </w:pPr>
      <w:r>
        <w:rPr>
          <w:noProof/>
          <w:lang w:val="en-AU" w:eastAsia="en-AU" w:bidi="bn-BD"/>
        </w:rPr>
        <w:drawing>
          <wp:inline distT="0" distB="0" distL="0" distR="0">
            <wp:extent cx="5577840" cy="3200400"/>
            <wp:effectExtent l="0" t="0" r="3810" b="0"/>
            <wp:docPr id="12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7840" cy="3200400"/>
                    </a:xfrm>
                    <a:prstGeom prst="rect">
                      <a:avLst/>
                    </a:prstGeom>
                    <a:noFill/>
                    <a:ln>
                      <a:noFill/>
                    </a:ln>
                  </pic:spPr>
                </pic:pic>
              </a:graphicData>
            </a:graphic>
          </wp:inline>
        </w:drawing>
      </w:r>
    </w:p>
    <w:p w:rsidR="00A356FA" w:rsidRPr="00564621" w:rsidRDefault="00A356FA" w:rsidP="00BB495B">
      <w:pPr>
        <w:rPr>
          <w:rFonts w:cs="Times New Roman"/>
          <w:b/>
          <w:i/>
          <w:sz w:val="20"/>
        </w:rPr>
      </w:pPr>
      <w:r w:rsidRPr="00564621">
        <w:rPr>
          <w:rFonts w:cs="Times New Roman"/>
          <w:b/>
          <w:i/>
          <w:sz w:val="20"/>
        </w:rPr>
        <w:t xml:space="preserve">Source </w:t>
      </w:r>
      <w:r w:rsidR="00312920" w:rsidRPr="00564621">
        <w:rPr>
          <w:rFonts w:cs="Times New Roman"/>
          <w:b/>
          <w:i/>
          <w:color w:val="000000"/>
          <w:sz w:val="20"/>
          <w:szCs w:val="20"/>
        </w:rPr>
        <w:t>SRDI, 2013</w:t>
      </w:r>
      <w:r w:rsidRPr="00564621">
        <w:rPr>
          <w:rFonts w:cs="Times New Roman"/>
          <w:b/>
          <w:i/>
          <w:sz w:val="20"/>
        </w:rPr>
        <w:t>and Baseline Study BDP 2100</w:t>
      </w:r>
    </w:p>
    <w:p w:rsidR="00A356FA" w:rsidRPr="00BB495B" w:rsidRDefault="00A356FA" w:rsidP="00BB495B">
      <w:pPr>
        <w:spacing w:line="276" w:lineRule="auto"/>
        <w:jc w:val="both"/>
        <w:rPr>
          <w:rFonts w:cs="Times New Roman"/>
        </w:rPr>
      </w:pPr>
      <w:r w:rsidRPr="00BB495B">
        <w:rPr>
          <w:rFonts w:cs="Times New Roman"/>
        </w:rPr>
        <w:t>Trend of Urbanization and Industrial Area</w:t>
      </w:r>
      <w:bookmarkEnd w:id="523"/>
      <w:r w:rsidRPr="00BB495B">
        <w:rPr>
          <w:rFonts w:cs="Times New Roman"/>
        </w:rPr>
        <w:t xml:space="preserve">: As already stated, Bangladesh being a densely populated country, urban and rural settlements have been growing over time.  The urban areas have expanded more rapidly due to internal rural to urban migration as job seekers have been flooding there to seek better income opportunities.  Besides, people losing out assets from river erosions and becoming destitute have moved to urban areas seeking work, shelter in slums and </w:t>
      </w:r>
      <w:r w:rsidR="00072A30">
        <w:rPr>
          <w:rFonts w:cs="Times New Roman"/>
        </w:rPr>
        <w:t>public</w:t>
      </w:r>
      <w:r w:rsidRPr="00BB495B">
        <w:rPr>
          <w:rFonts w:cs="Times New Roman"/>
        </w:rPr>
        <w:t xml:space="preserve"> places and also livelihood opportunities.   Given that most economic opportunities are in Dhaka and Chittagong, the migration has been most pronounced in these two city areas</w:t>
      </w:r>
      <w:r w:rsidR="00F14DC2">
        <w:rPr>
          <w:rFonts w:cs="Times New Roman"/>
        </w:rPr>
        <w:t>.</w:t>
      </w:r>
      <w:r w:rsidR="00072A30">
        <w:rPr>
          <w:rFonts w:cs="Times New Roman"/>
        </w:rPr>
        <w:t>.</w:t>
      </w:r>
      <w:r w:rsidRPr="00BB495B">
        <w:rPr>
          <w:rFonts w:cs="Times New Roman"/>
        </w:rPr>
        <w:t xml:space="preserve"> The growth of urban centers has moved parallel with growth of industry, particularly the spectacular growth of labor intensive RMG industry, and also service sectors, particularly banking and financial institutions that creates paid jobs and also caters to the need of the industry sector as a whole.  This industrial expansion has of course been at the cost of agriculture land, with its increasing share in GDP.  </w:t>
      </w:r>
    </w:p>
    <w:p w:rsidR="00A356FA" w:rsidRDefault="00A356FA" w:rsidP="00A356FA">
      <w:pPr>
        <w:kinsoku w:val="0"/>
        <w:overflowPunct w:val="0"/>
        <w:autoSpaceDE w:val="0"/>
        <w:autoSpaceDN w:val="0"/>
        <w:adjustRightInd w:val="0"/>
        <w:spacing w:line="276" w:lineRule="auto"/>
        <w:jc w:val="both"/>
        <w:rPr>
          <w:rFonts w:ascii="Segoe UI" w:hAnsi="Segoe UI" w:cs="Segoe UI"/>
          <w:sz w:val="20"/>
          <w:szCs w:val="20"/>
        </w:rPr>
      </w:pPr>
      <w:r w:rsidRPr="00DA537A">
        <w:rPr>
          <w:rFonts w:cs="Times New Roman"/>
        </w:rPr>
        <w:t xml:space="preserve">While urban expansion has been catalyzed by the related economic needs, there has also been transformation happening in the rural areas not only because of growing population and so need for more homesteads (Fig 4 above and Fig 5 below), but also people increasingly getting into </w:t>
      </w:r>
      <w:r w:rsidRPr="00DA537A">
        <w:rPr>
          <w:rFonts w:cs="Times New Roman"/>
        </w:rPr>
        <w:lastRenderedPageBreak/>
        <w:t>non-farm business activities in the rural</w:t>
      </w:r>
      <w:r>
        <w:rPr>
          <w:rFonts w:cs="Times New Roman"/>
        </w:rPr>
        <w:t xml:space="preserve"> and settlement</w:t>
      </w:r>
      <w:r w:rsidRPr="00DA537A">
        <w:rPr>
          <w:rFonts w:cs="Times New Roman"/>
        </w:rPr>
        <w:t xml:space="preserve"> areas</w:t>
      </w:r>
      <w:r>
        <w:rPr>
          <w:rStyle w:val="FootnoteReference"/>
          <w:rFonts w:cs="Times New Roman"/>
        </w:rPr>
        <w:footnoteReference w:id="26"/>
      </w:r>
      <w:r w:rsidRPr="00DA537A">
        <w:rPr>
          <w:rFonts w:cs="Times New Roman"/>
        </w:rPr>
        <w:t>.  This has also been triggered by inflow of remittances and also people in rural areas increasingly responding to increasing market demand and supply for goods and services.</w:t>
      </w:r>
      <w:r w:rsidRPr="00DA537A">
        <w:rPr>
          <w:rFonts w:cs="Times New Roman"/>
          <w:spacing w:val="-3"/>
        </w:rPr>
        <w:t xml:space="preserve"> </w:t>
      </w:r>
      <w:r w:rsidRPr="00DA537A">
        <w:rPr>
          <w:rFonts w:cs="Times New Roman"/>
        </w:rPr>
        <w:t>Rural</w:t>
      </w:r>
      <w:r w:rsidRPr="00DA537A">
        <w:rPr>
          <w:rFonts w:cs="Times New Roman"/>
          <w:spacing w:val="-3"/>
        </w:rPr>
        <w:t xml:space="preserve"> </w:t>
      </w:r>
      <w:r w:rsidRPr="00DA537A">
        <w:rPr>
          <w:rFonts w:cs="Times New Roman"/>
        </w:rPr>
        <w:t>settlement</w:t>
      </w:r>
      <w:r w:rsidRPr="00DA537A">
        <w:rPr>
          <w:rFonts w:cs="Times New Roman"/>
          <w:spacing w:val="-4"/>
        </w:rPr>
        <w:t xml:space="preserve"> </w:t>
      </w:r>
      <w:r w:rsidRPr="00DA537A">
        <w:rPr>
          <w:rFonts w:cs="Times New Roman"/>
        </w:rPr>
        <w:t>land</w:t>
      </w:r>
      <w:r w:rsidRPr="00DA537A">
        <w:rPr>
          <w:rFonts w:cs="Times New Roman"/>
          <w:spacing w:val="-3"/>
        </w:rPr>
        <w:t xml:space="preserve"> </w:t>
      </w:r>
      <w:r w:rsidRPr="00DA537A">
        <w:rPr>
          <w:rFonts w:cs="Times New Roman"/>
        </w:rPr>
        <w:t>use as will be discussed below</w:t>
      </w:r>
      <w:r w:rsidRPr="00DA537A">
        <w:rPr>
          <w:rFonts w:cs="Times New Roman"/>
          <w:spacing w:val="-4"/>
        </w:rPr>
        <w:t xml:space="preserve"> </w:t>
      </w:r>
      <w:r w:rsidRPr="00DA537A">
        <w:rPr>
          <w:rFonts w:cs="Times New Roman"/>
          <w:spacing w:val="-3"/>
        </w:rPr>
        <w:t>is</w:t>
      </w:r>
      <w:r w:rsidRPr="00DA537A">
        <w:rPr>
          <w:rFonts w:cs="Times New Roman"/>
          <w:spacing w:val="-4"/>
        </w:rPr>
        <w:t xml:space="preserve"> </w:t>
      </w:r>
      <w:r w:rsidRPr="00DA537A">
        <w:rPr>
          <w:rFonts w:cs="Times New Roman"/>
        </w:rPr>
        <w:t xml:space="preserve">the principal cause of </w:t>
      </w:r>
      <w:r w:rsidRPr="00DA537A">
        <w:rPr>
          <w:rFonts w:cs="Times New Roman"/>
          <w:spacing w:val="-4"/>
        </w:rPr>
        <w:t>diversion</w:t>
      </w:r>
      <w:r w:rsidRPr="00DA537A">
        <w:rPr>
          <w:rFonts w:cs="Times New Roman"/>
          <w:spacing w:val="-3"/>
        </w:rPr>
        <w:t xml:space="preserve"> </w:t>
      </w:r>
      <w:r w:rsidRPr="00DA537A">
        <w:rPr>
          <w:rFonts w:cs="Times New Roman"/>
          <w:spacing w:val="-5"/>
        </w:rPr>
        <w:t>o</w:t>
      </w:r>
      <w:r w:rsidRPr="00DA537A">
        <w:rPr>
          <w:rFonts w:cs="Times New Roman"/>
        </w:rPr>
        <w:t>f</w:t>
      </w:r>
      <w:r w:rsidRPr="00DA537A">
        <w:rPr>
          <w:rFonts w:cs="Times New Roman"/>
          <w:spacing w:val="-3"/>
        </w:rPr>
        <w:t xml:space="preserve"> </w:t>
      </w:r>
      <w:r w:rsidRPr="00DA537A">
        <w:rPr>
          <w:rFonts w:cs="Times New Roman"/>
        </w:rPr>
        <w:t>land</w:t>
      </w:r>
      <w:r w:rsidRPr="00DA537A">
        <w:rPr>
          <w:rFonts w:cs="Times New Roman"/>
          <w:spacing w:val="-3"/>
        </w:rPr>
        <w:t xml:space="preserve"> </w:t>
      </w:r>
      <w:r w:rsidRPr="00DA537A">
        <w:rPr>
          <w:rFonts w:cs="Times New Roman"/>
        </w:rPr>
        <w:t>out</w:t>
      </w:r>
      <w:r w:rsidRPr="00DA537A">
        <w:rPr>
          <w:rFonts w:cs="Times New Roman"/>
          <w:spacing w:val="-3"/>
        </w:rPr>
        <w:t xml:space="preserve"> </w:t>
      </w:r>
      <w:r w:rsidRPr="00DA537A">
        <w:rPr>
          <w:rFonts w:cs="Times New Roman"/>
          <w:spacing w:val="-5"/>
        </w:rPr>
        <w:t>o</w:t>
      </w:r>
      <w:r w:rsidRPr="00DA537A">
        <w:rPr>
          <w:rFonts w:cs="Times New Roman"/>
        </w:rPr>
        <w:t>f</w:t>
      </w:r>
      <w:r w:rsidRPr="00DA537A">
        <w:rPr>
          <w:rFonts w:cs="Times New Roman"/>
          <w:spacing w:val="-3"/>
        </w:rPr>
        <w:t xml:space="preserve"> </w:t>
      </w:r>
      <w:r w:rsidRPr="00DA537A">
        <w:rPr>
          <w:rFonts w:cs="Times New Roman"/>
        </w:rPr>
        <w:t>agricultu</w:t>
      </w:r>
      <w:r w:rsidRPr="00DA537A">
        <w:rPr>
          <w:rFonts w:cs="Times New Roman"/>
          <w:spacing w:val="-3"/>
        </w:rPr>
        <w:t>r</w:t>
      </w:r>
      <w:r w:rsidRPr="00DA537A">
        <w:rPr>
          <w:rFonts w:cs="Times New Roman"/>
        </w:rPr>
        <w:t>e use.</w:t>
      </w:r>
      <w:r w:rsidRPr="00DA537A">
        <w:rPr>
          <w:rFonts w:cs="Times New Roman"/>
          <w:spacing w:val="-3"/>
        </w:rPr>
        <w:t xml:space="preserve"> </w:t>
      </w:r>
    </w:p>
    <w:tbl>
      <w:tblPr>
        <w:tblW w:w="0" w:type="auto"/>
        <w:tblLook w:val="04A0"/>
      </w:tblPr>
      <w:tblGrid>
        <w:gridCol w:w="3096"/>
        <w:gridCol w:w="3096"/>
        <w:gridCol w:w="3066"/>
      </w:tblGrid>
      <w:tr w:rsidR="00A356FA" w:rsidRPr="002B6ABC" w:rsidTr="00A356FA">
        <w:tc>
          <w:tcPr>
            <w:tcW w:w="8640" w:type="dxa"/>
            <w:gridSpan w:val="3"/>
          </w:tcPr>
          <w:p w:rsidR="00A356FA" w:rsidRPr="00024601" w:rsidRDefault="005D2352" w:rsidP="001A40B7">
            <w:pPr>
              <w:pStyle w:val="Heading6"/>
            </w:pPr>
            <w:bookmarkStart w:id="525" w:name="_Toc411252130"/>
            <w:bookmarkStart w:id="526" w:name="_Toc439146274"/>
            <w:bookmarkStart w:id="527" w:name="_Toc474639319"/>
            <w:r>
              <w:t>Map</w:t>
            </w:r>
            <w:r w:rsidR="00A356FA" w:rsidRPr="00024601">
              <w:t xml:space="preserve"> </w:t>
            </w:r>
            <w:r>
              <w:t>7.1</w:t>
            </w:r>
            <w:r w:rsidR="00A356FA" w:rsidRPr="00024601">
              <w:t>: Maps showing urban and industrial zone, salt pan (sea salt production), sandy zone and tea garden of Bangladesh</w:t>
            </w:r>
            <w:bookmarkEnd w:id="525"/>
            <w:bookmarkEnd w:id="526"/>
            <w:bookmarkEnd w:id="527"/>
          </w:p>
        </w:tc>
      </w:tr>
      <w:tr w:rsidR="00A356FA" w:rsidRPr="00354A9C" w:rsidTr="00A356F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86" w:type="dxa"/>
          </w:tcPr>
          <w:p w:rsidR="00A356FA" w:rsidRPr="00354A9C" w:rsidRDefault="00A356FA" w:rsidP="00A356FA">
            <w:pPr>
              <w:autoSpaceDE w:val="0"/>
              <w:autoSpaceDN w:val="0"/>
              <w:adjustRightInd w:val="0"/>
              <w:jc w:val="both"/>
              <w:rPr>
                <w:rFonts w:ascii="Segoe UI" w:hAnsi="Segoe UI" w:cs="Segoe UI"/>
                <w:i/>
                <w:color w:val="000000"/>
                <w:sz w:val="20"/>
                <w:szCs w:val="20"/>
              </w:rPr>
            </w:pPr>
            <w:r w:rsidRPr="00354A9C">
              <w:rPr>
                <w:rFonts w:ascii="Segoe UI" w:hAnsi="Segoe UI" w:cs="Segoe UI"/>
                <w:i/>
                <w:noProof/>
                <w:color w:val="000000"/>
                <w:sz w:val="20"/>
                <w:szCs w:val="20"/>
                <w:lang w:val="en-AU" w:eastAsia="en-AU" w:bidi="bn-BD"/>
              </w:rPr>
              <w:drawing>
                <wp:inline distT="0" distB="0" distL="0" distR="0">
                  <wp:extent cx="1828800" cy="2733675"/>
                  <wp:effectExtent l="0" t="0" r="0" b="9525"/>
                  <wp:docPr id="1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2733675"/>
                          </a:xfrm>
                          <a:prstGeom prst="rect">
                            <a:avLst/>
                          </a:prstGeom>
                          <a:noFill/>
                          <a:ln>
                            <a:noFill/>
                          </a:ln>
                        </pic:spPr>
                      </pic:pic>
                    </a:graphicData>
                  </a:graphic>
                </wp:inline>
              </w:drawing>
            </w:r>
          </w:p>
        </w:tc>
        <w:tc>
          <w:tcPr>
            <w:tcW w:w="2886" w:type="dxa"/>
          </w:tcPr>
          <w:p w:rsidR="00A356FA" w:rsidRPr="00354A9C" w:rsidRDefault="00A356FA" w:rsidP="00A356FA">
            <w:pPr>
              <w:autoSpaceDE w:val="0"/>
              <w:autoSpaceDN w:val="0"/>
              <w:adjustRightInd w:val="0"/>
              <w:jc w:val="both"/>
              <w:rPr>
                <w:rFonts w:ascii="Segoe UI" w:hAnsi="Segoe UI" w:cs="Segoe UI"/>
                <w:i/>
                <w:color w:val="000000"/>
                <w:sz w:val="20"/>
                <w:szCs w:val="20"/>
              </w:rPr>
            </w:pPr>
            <w:r w:rsidRPr="00354A9C">
              <w:rPr>
                <w:rFonts w:ascii="Segoe UI" w:hAnsi="Segoe UI" w:cs="Segoe UI"/>
                <w:i/>
                <w:noProof/>
                <w:color w:val="000000"/>
                <w:sz w:val="20"/>
                <w:szCs w:val="20"/>
                <w:lang w:val="en-AU" w:eastAsia="en-AU" w:bidi="bn-BD"/>
              </w:rPr>
              <w:drawing>
                <wp:inline distT="0" distB="0" distL="0" distR="0">
                  <wp:extent cx="1828800" cy="2714625"/>
                  <wp:effectExtent l="0" t="0" r="0" b="9525"/>
                  <wp:docPr id="1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2714625"/>
                          </a:xfrm>
                          <a:prstGeom prst="rect">
                            <a:avLst/>
                          </a:prstGeom>
                          <a:noFill/>
                          <a:ln>
                            <a:noFill/>
                          </a:ln>
                        </pic:spPr>
                      </pic:pic>
                    </a:graphicData>
                  </a:graphic>
                </wp:inline>
              </w:drawing>
            </w:r>
          </w:p>
        </w:tc>
        <w:tc>
          <w:tcPr>
            <w:tcW w:w="2858" w:type="dxa"/>
          </w:tcPr>
          <w:p w:rsidR="00A356FA" w:rsidRPr="00354A9C" w:rsidRDefault="00A356FA" w:rsidP="00A356FA">
            <w:pPr>
              <w:autoSpaceDE w:val="0"/>
              <w:autoSpaceDN w:val="0"/>
              <w:adjustRightInd w:val="0"/>
              <w:jc w:val="both"/>
              <w:rPr>
                <w:rFonts w:ascii="Segoe UI" w:hAnsi="Segoe UI" w:cs="Segoe UI"/>
                <w:i/>
                <w:color w:val="000000"/>
                <w:sz w:val="20"/>
                <w:szCs w:val="20"/>
              </w:rPr>
            </w:pPr>
            <w:r w:rsidRPr="00354A9C">
              <w:rPr>
                <w:rFonts w:ascii="Segoe UI" w:hAnsi="Segoe UI" w:cs="Segoe UI"/>
                <w:i/>
                <w:noProof/>
                <w:color w:val="000000"/>
                <w:sz w:val="20"/>
                <w:szCs w:val="20"/>
                <w:lang w:val="en-AU" w:eastAsia="en-AU" w:bidi="bn-BD"/>
              </w:rPr>
              <w:drawing>
                <wp:inline distT="0" distB="0" distL="0" distR="0">
                  <wp:extent cx="1800225" cy="2676525"/>
                  <wp:effectExtent l="0" t="0" r="9525" b="9525"/>
                  <wp:docPr id="12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225" cy="2676525"/>
                          </a:xfrm>
                          <a:prstGeom prst="rect">
                            <a:avLst/>
                          </a:prstGeom>
                          <a:noFill/>
                          <a:ln>
                            <a:noFill/>
                          </a:ln>
                        </pic:spPr>
                      </pic:pic>
                    </a:graphicData>
                  </a:graphic>
                </wp:inline>
              </w:drawing>
            </w:r>
          </w:p>
        </w:tc>
      </w:tr>
    </w:tbl>
    <w:p w:rsidR="00A356FA" w:rsidRPr="00436DFF" w:rsidRDefault="00A356FA" w:rsidP="00436DFF">
      <w:pPr>
        <w:spacing w:before="120"/>
        <w:rPr>
          <w:rFonts w:cs="Times New Roman"/>
          <w:b/>
          <w:i/>
          <w:sz w:val="20"/>
        </w:rPr>
      </w:pPr>
      <w:r w:rsidRPr="00436DFF">
        <w:rPr>
          <w:rFonts w:cs="Times New Roman"/>
          <w:b/>
          <w:i/>
          <w:sz w:val="20"/>
        </w:rPr>
        <w:t xml:space="preserve">Source: </w:t>
      </w:r>
      <w:r w:rsidR="00312920" w:rsidRPr="00436DFF">
        <w:rPr>
          <w:rFonts w:cs="Times New Roman"/>
          <w:b/>
          <w:i/>
          <w:sz w:val="20"/>
        </w:rPr>
        <w:t>SRDI, 2013</w:t>
      </w:r>
      <w:r w:rsidR="00436DFF" w:rsidRPr="00436DFF">
        <w:rPr>
          <w:rFonts w:cs="Times New Roman"/>
          <w:b/>
          <w:i/>
          <w:sz w:val="20"/>
        </w:rPr>
        <w:t xml:space="preserve"> </w:t>
      </w:r>
      <w:r w:rsidRPr="00436DFF">
        <w:rPr>
          <w:rFonts w:cs="Times New Roman"/>
          <w:b/>
          <w:i/>
          <w:sz w:val="20"/>
        </w:rPr>
        <w:t>and Baseline Study BDP 2100.</w:t>
      </w:r>
    </w:p>
    <w:p w:rsidR="00A356FA" w:rsidRDefault="00A356FA" w:rsidP="00A356FA">
      <w:pPr>
        <w:kinsoku w:val="0"/>
        <w:overflowPunct w:val="0"/>
        <w:autoSpaceDE w:val="0"/>
        <w:autoSpaceDN w:val="0"/>
        <w:adjustRightInd w:val="0"/>
        <w:spacing w:line="276" w:lineRule="auto"/>
        <w:jc w:val="both"/>
        <w:rPr>
          <w:rFonts w:cs="Times New Roman"/>
        </w:rPr>
      </w:pPr>
      <w:r w:rsidRPr="00DA537A">
        <w:rPr>
          <w:rFonts w:cs="Times New Roman"/>
          <w:b/>
          <w:i/>
        </w:rPr>
        <w:t xml:space="preserve">Growth of </w:t>
      </w:r>
      <w:r w:rsidR="00223988">
        <w:rPr>
          <w:rFonts w:cs="Times New Roman"/>
          <w:b/>
          <w:i/>
        </w:rPr>
        <w:t>m</w:t>
      </w:r>
      <w:r w:rsidRPr="00DA537A">
        <w:rPr>
          <w:rFonts w:cs="Times New Roman"/>
          <w:b/>
          <w:i/>
        </w:rPr>
        <w:t xml:space="preserve">egacities, </w:t>
      </w:r>
      <w:r w:rsidR="00223988">
        <w:rPr>
          <w:rFonts w:cs="Times New Roman"/>
          <w:b/>
          <w:i/>
        </w:rPr>
        <w:t>m</w:t>
      </w:r>
      <w:r w:rsidRPr="00DA537A">
        <w:rPr>
          <w:rFonts w:cs="Times New Roman"/>
          <w:b/>
          <w:i/>
        </w:rPr>
        <w:t xml:space="preserve">etropolis, other cities and towns: </w:t>
      </w:r>
      <w:r>
        <w:rPr>
          <w:rFonts w:cs="Times New Roman"/>
        </w:rPr>
        <w:t xml:space="preserve">As evident from Table </w:t>
      </w:r>
      <w:r w:rsidR="00BF3570">
        <w:rPr>
          <w:rFonts w:cs="Times New Roman"/>
        </w:rPr>
        <w:t>7.</w:t>
      </w:r>
      <w:r>
        <w:rPr>
          <w:rFonts w:cs="Times New Roman"/>
        </w:rPr>
        <w:t>3</w:t>
      </w:r>
      <w:r w:rsidRPr="00DA537A">
        <w:rPr>
          <w:rFonts w:cs="Times New Roman"/>
        </w:rPr>
        <w:t xml:space="preserve"> and Figure</w:t>
      </w:r>
      <w:r>
        <w:rPr>
          <w:rFonts w:cs="Times New Roman"/>
        </w:rPr>
        <w:t xml:space="preserve"> </w:t>
      </w:r>
      <w:r w:rsidR="005D2352">
        <w:rPr>
          <w:rFonts w:cs="Times New Roman"/>
        </w:rPr>
        <w:t>7.</w:t>
      </w:r>
      <w:r>
        <w:rPr>
          <w:rFonts w:cs="Times New Roman"/>
        </w:rPr>
        <w:t xml:space="preserve">4 and </w:t>
      </w:r>
      <w:r w:rsidR="005D2352">
        <w:rPr>
          <w:rFonts w:cs="Times New Roman"/>
        </w:rPr>
        <w:t>Map 7.1</w:t>
      </w:r>
      <w:r w:rsidRPr="00DA537A">
        <w:rPr>
          <w:rFonts w:cs="Times New Roman"/>
        </w:rPr>
        <w:t xml:space="preserve"> above, the fastest growth </w:t>
      </w:r>
      <w:r>
        <w:rPr>
          <w:rFonts w:cs="Times New Roman"/>
        </w:rPr>
        <w:t xml:space="preserve">in land use happened in </w:t>
      </w:r>
      <w:r w:rsidRPr="00DA537A">
        <w:rPr>
          <w:rFonts w:cs="Times New Roman"/>
        </w:rPr>
        <w:t>urban areas</w:t>
      </w:r>
      <w:r w:rsidRPr="004B0A08">
        <w:rPr>
          <w:rFonts w:cs="Times New Roman"/>
          <w:i/>
        </w:rPr>
        <w:t>, including growth of megacities and metropolises. This occurred especially bet</w:t>
      </w:r>
      <w:r w:rsidRPr="004B0A08">
        <w:rPr>
          <w:rFonts w:cs="Times New Roman"/>
          <w:i/>
          <w:spacing w:val="-2"/>
        </w:rPr>
        <w:t>w</w:t>
      </w:r>
      <w:r w:rsidRPr="004B0A08">
        <w:rPr>
          <w:rFonts w:cs="Times New Roman"/>
          <w:i/>
        </w:rPr>
        <w:t>een</w:t>
      </w:r>
      <w:r w:rsidRPr="004B0A08">
        <w:rPr>
          <w:rFonts w:cs="Times New Roman"/>
          <w:i/>
          <w:spacing w:val="-3"/>
        </w:rPr>
        <w:t xml:space="preserve"> </w:t>
      </w:r>
      <w:r w:rsidRPr="004B0A08">
        <w:rPr>
          <w:rFonts w:cs="Times New Roman"/>
          <w:i/>
        </w:rPr>
        <w:t>2000</w:t>
      </w:r>
      <w:r w:rsidRPr="004B0A08">
        <w:rPr>
          <w:rFonts w:cs="Times New Roman"/>
          <w:i/>
          <w:spacing w:val="-4"/>
        </w:rPr>
        <w:t xml:space="preserve"> </w:t>
      </w:r>
      <w:r w:rsidRPr="004B0A08">
        <w:rPr>
          <w:rFonts w:cs="Times New Roman"/>
          <w:i/>
        </w:rPr>
        <w:t>and</w:t>
      </w:r>
      <w:r w:rsidRPr="004B0A08">
        <w:rPr>
          <w:rFonts w:cs="Times New Roman"/>
          <w:i/>
          <w:w w:val="99"/>
        </w:rPr>
        <w:t xml:space="preserve"> </w:t>
      </w:r>
      <w:r w:rsidRPr="004B0A08">
        <w:rPr>
          <w:rFonts w:cs="Times New Roman"/>
          <w:i/>
        </w:rPr>
        <w:t>2010,</w:t>
      </w:r>
      <w:r w:rsidRPr="004B0A08">
        <w:rPr>
          <w:rFonts w:cs="Times New Roman"/>
          <w:i/>
          <w:spacing w:val="-5"/>
        </w:rPr>
        <w:t xml:space="preserve"> when </w:t>
      </w:r>
      <w:r w:rsidRPr="004B0A08">
        <w:rPr>
          <w:rFonts w:cs="Times New Roman"/>
          <w:i/>
        </w:rPr>
        <w:t>ur</w:t>
      </w:r>
      <w:r w:rsidRPr="004B0A08">
        <w:rPr>
          <w:rFonts w:cs="Times New Roman"/>
          <w:i/>
          <w:spacing w:val="-3"/>
        </w:rPr>
        <w:t>b</w:t>
      </w:r>
      <w:r w:rsidRPr="004B0A08">
        <w:rPr>
          <w:rFonts w:cs="Times New Roman"/>
          <w:i/>
        </w:rPr>
        <w:t>an</w:t>
      </w:r>
      <w:r w:rsidRPr="004B0A08">
        <w:rPr>
          <w:rFonts w:cs="Times New Roman"/>
          <w:i/>
          <w:spacing w:val="-3"/>
        </w:rPr>
        <w:t xml:space="preserve"> </w:t>
      </w:r>
      <w:r w:rsidRPr="004B0A08">
        <w:rPr>
          <w:rFonts w:cs="Times New Roman"/>
          <w:i/>
        </w:rPr>
        <w:t>a</w:t>
      </w:r>
      <w:r w:rsidRPr="004B0A08">
        <w:rPr>
          <w:rFonts w:cs="Times New Roman"/>
          <w:i/>
          <w:spacing w:val="-3"/>
        </w:rPr>
        <w:t>r</w:t>
      </w:r>
      <w:r w:rsidRPr="004B0A08">
        <w:rPr>
          <w:rFonts w:cs="Times New Roman"/>
          <w:i/>
        </w:rPr>
        <w:t>ea</w:t>
      </w:r>
      <w:r w:rsidRPr="004B0A08">
        <w:rPr>
          <w:rFonts w:cs="Times New Roman"/>
          <w:i/>
          <w:spacing w:val="-4"/>
        </w:rPr>
        <w:t xml:space="preserve"> </w:t>
      </w:r>
      <w:r w:rsidRPr="004B0A08">
        <w:rPr>
          <w:rFonts w:cs="Times New Roman"/>
          <w:i/>
        </w:rPr>
        <w:t>and</w:t>
      </w:r>
      <w:r w:rsidRPr="004B0A08">
        <w:rPr>
          <w:rFonts w:cs="Times New Roman"/>
          <w:i/>
          <w:spacing w:val="-3"/>
        </w:rPr>
        <w:t xml:space="preserve"> </w:t>
      </w:r>
      <w:r w:rsidRPr="004B0A08">
        <w:rPr>
          <w:rFonts w:cs="Times New Roman"/>
          <w:i/>
        </w:rPr>
        <w:t>settlements grew at a rate of</w:t>
      </w:r>
      <w:r w:rsidRPr="004B0A08">
        <w:rPr>
          <w:rFonts w:cs="Times New Roman"/>
          <w:i/>
          <w:spacing w:val="-4"/>
        </w:rPr>
        <w:t xml:space="preserve"> </w:t>
      </w:r>
      <w:r w:rsidRPr="004B0A08">
        <w:rPr>
          <w:rFonts w:cs="Times New Roman"/>
          <w:i/>
        </w:rPr>
        <w:t>8.5%</w:t>
      </w:r>
      <w:r w:rsidRPr="004B0A08">
        <w:rPr>
          <w:rFonts w:cs="Times New Roman"/>
          <w:i/>
          <w:spacing w:val="-4"/>
        </w:rPr>
        <w:t xml:space="preserve"> </w:t>
      </w:r>
      <w:r w:rsidRPr="004B0A08">
        <w:rPr>
          <w:rFonts w:cs="Times New Roman"/>
          <w:i/>
        </w:rPr>
        <w:t>annually, causing decline in the availability of cropland area.</w:t>
      </w:r>
      <w:r>
        <w:rPr>
          <w:rFonts w:cs="Times New Roman"/>
        </w:rPr>
        <w:t xml:space="preserve"> This loss of cropland, however, was more than</w:t>
      </w:r>
      <w:r w:rsidRPr="00DA537A">
        <w:rPr>
          <w:rFonts w:cs="Times New Roman"/>
        </w:rPr>
        <w:t xml:space="preserve"> compensated </w:t>
      </w:r>
      <w:r>
        <w:rPr>
          <w:rFonts w:cs="Times New Roman"/>
        </w:rPr>
        <w:t>by higher crop yields from</w:t>
      </w:r>
      <w:r w:rsidRPr="00DA537A">
        <w:rPr>
          <w:rFonts w:cs="Times New Roman"/>
        </w:rPr>
        <w:t xml:space="preserve"> adaptation of technology. </w:t>
      </w:r>
    </w:p>
    <w:p w:rsidR="00A356FA" w:rsidRPr="00DA537A" w:rsidRDefault="00A356FA" w:rsidP="00A356FA">
      <w:pPr>
        <w:kinsoku w:val="0"/>
        <w:overflowPunct w:val="0"/>
        <w:autoSpaceDE w:val="0"/>
        <w:autoSpaceDN w:val="0"/>
        <w:adjustRightInd w:val="0"/>
        <w:spacing w:line="276" w:lineRule="auto"/>
        <w:rPr>
          <w:rFonts w:cs="Times New Roman"/>
        </w:rPr>
      </w:pPr>
      <w:r w:rsidRPr="00DA537A">
        <w:rPr>
          <w:rFonts w:cs="Times New Roman"/>
        </w:rPr>
        <w:t>The</w:t>
      </w:r>
      <w:r w:rsidRPr="00DA537A">
        <w:rPr>
          <w:rFonts w:cs="Times New Roman"/>
          <w:spacing w:val="-3"/>
        </w:rPr>
        <w:t xml:space="preserve"> </w:t>
      </w:r>
      <w:r w:rsidRPr="00DA537A">
        <w:rPr>
          <w:rFonts w:cs="Times New Roman"/>
        </w:rPr>
        <w:t>Bangladesh</w:t>
      </w:r>
      <w:r w:rsidRPr="00DA537A">
        <w:rPr>
          <w:rFonts w:cs="Times New Roman"/>
          <w:spacing w:val="-2"/>
        </w:rPr>
        <w:t xml:space="preserve"> </w:t>
      </w:r>
      <w:r w:rsidRPr="00DA537A">
        <w:rPr>
          <w:rFonts w:cs="Times New Roman"/>
        </w:rPr>
        <w:t>Cent</w:t>
      </w:r>
      <w:r w:rsidRPr="00DA537A">
        <w:rPr>
          <w:rFonts w:cs="Times New Roman"/>
          <w:spacing w:val="-3"/>
        </w:rPr>
        <w:t>r</w:t>
      </w:r>
      <w:r w:rsidRPr="00DA537A">
        <w:rPr>
          <w:rFonts w:cs="Times New Roman"/>
        </w:rPr>
        <w:t>e</w:t>
      </w:r>
      <w:r w:rsidRPr="00DA537A">
        <w:rPr>
          <w:rFonts w:cs="Times New Roman"/>
          <w:spacing w:val="-2"/>
        </w:rPr>
        <w:t xml:space="preserve"> </w:t>
      </w:r>
      <w:r w:rsidRPr="00DA537A">
        <w:rPr>
          <w:rFonts w:cs="Times New Roman"/>
        </w:rPr>
        <w:t>for</w:t>
      </w:r>
      <w:r w:rsidRPr="00DA537A">
        <w:rPr>
          <w:rFonts w:cs="Times New Roman"/>
          <w:spacing w:val="-3"/>
        </w:rPr>
        <w:t xml:space="preserve"> </w:t>
      </w:r>
      <w:r w:rsidRPr="00DA537A">
        <w:rPr>
          <w:rFonts w:cs="Times New Roman"/>
        </w:rPr>
        <w:t>Ur</w:t>
      </w:r>
      <w:r w:rsidRPr="00DA537A">
        <w:rPr>
          <w:rFonts w:cs="Times New Roman"/>
          <w:spacing w:val="-3"/>
        </w:rPr>
        <w:t>b</w:t>
      </w:r>
      <w:r w:rsidRPr="00DA537A">
        <w:rPr>
          <w:rFonts w:cs="Times New Roman"/>
        </w:rPr>
        <w:t>an</w:t>
      </w:r>
      <w:r w:rsidRPr="00DA537A">
        <w:rPr>
          <w:rFonts w:cs="Times New Roman"/>
          <w:spacing w:val="-2"/>
        </w:rPr>
        <w:t xml:space="preserve"> </w:t>
      </w:r>
      <w:r>
        <w:rPr>
          <w:rFonts w:cs="Times New Roman"/>
        </w:rPr>
        <w:t>S</w:t>
      </w:r>
      <w:r w:rsidRPr="00DA537A">
        <w:rPr>
          <w:rFonts w:cs="Times New Roman"/>
        </w:rPr>
        <w:t>tudies</w:t>
      </w:r>
      <w:r>
        <w:rPr>
          <w:rFonts w:cs="Times New Roman"/>
        </w:rPr>
        <w:t xml:space="preserve"> (CUS)</w:t>
      </w:r>
      <w:r w:rsidRPr="00DA537A">
        <w:rPr>
          <w:rFonts w:cs="Times New Roman"/>
          <w:spacing w:val="-2"/>
        </w:rPr>
        <w:t xml:space="preserve"> </w:t>
      </w:r>
      <w:r w:rsidRPr="00DA537A">
        <w:rPr>
          <w:rFonts w:cs="Times New Roman"/>
        </w:rPr>
        <w:t>classifies the</w:t>
      </w:r>
      <w:r w:rsidRPr="00DA537A">
        <w:rPr>
          <w:rFonts w:cs="Times New Roman"/>
          <w:spacing w:val="-6"/>
        </w:rPr>
        <w:t xml:space="preserve"> </w:t>
      </w:r>
      <w:r w:rsidRPr="00DA537A">
        <w:rPr>
          <w:rFonts w:cs="Times New Roman"/>
        </w:rPr>
        <w:t>ur</w:t>
      </w:r>
      <w:r w:rsidRPr="00DA537A">
        <w:rPr>
          <w:rFonts w:cs="Times New Roman"/>
          <w:spacing w:val="-3"/>
        </w:rPr>
        <w:t>b</w:t>
      </w:r>
      <w:r w:rsidRPr="00DA537A">
        <w:rPr>
          <w:rFonts w:cs="Times New Roman"/>
        </w:rPr>
        <w:t>an</w:t>
      </w:r>
      <w:r w:rsidRPr="00DA537A">
        <w:rPr>
          <w:rFonts w:cs="Times New Roman"/>
          <w:spacing w:val="-5"/>
        </w:rPr>
        <w:t xml:space="preserve"> </w:t>
      </w:r>
      <w:r w:rsidRPr="00DA537A">
        <w:rPr>
          <w:rFonts w:cs="Times New Roman"/>
        </w:rPr>
        <w:t>cent</w:t>
      </w:r>
      <w:r w:rsidRPr="00DA537A">
        <w:rPr>
          <w:rFonts w:cs="Times New Roman"/>
          <w:spacing w:val="-3"/>
        </w:rPr>
        <w:t>e</w:t>
      </w:r>
      <w:r w:rsidRPr="00DA537A">
        <w:rPr>
          <w:rFonts w:cs="Times New Roman"/>
        </w:rPr>
        <w:t>rs</w:t>
      </w:r>
      <w:r w:rsidRPr="00DA537A">
        <w:rPr>
          <w:rFonts w:cs="Times New Roman"/>
          <w:spacing w:val="-7"/>
        </w:rPr>
        <w:t xml:space="preserve"> </w:t>
      </w:r>
      <w:r w:rsidRPr="00DA537A">
        <w:rPr>
          <w:rFonts w:cs="Times New Roman"/>
        </w:rPr>
        <w:t>in</w:t>
      </w:r>
      <w:r w:rsidRPr="00DA537A">
        <w:rPr>
          <w:rFonts w:cs="Times New Roman"/>
          <w:spacing w:val="-6"/>
        </w:rPr>
        <w:t xml:space="preserve"> </w:t>
      </w:r>
      <w:r w:rsidRPr="00DA537A">
        <w:rPr>
          <w:rFonts w:cs="Times New Roman"/>
        </w:rPr>
        <w:t>Bangladesh</w:t>
      </w:r>
      <w:r w:rsidRPr="00DA537A">
        <w:rPr>
          <w:rFonts w:cs="Times New Roman"/>
          <w:spacing w:val="-5"/>
        </w:rPr>
        <w:t xml:space="preserve"> </w:t>
      </w:r>
      <w:r w:rsidRPr="00DA537A">
        <w:rPr>
          <w:rFonts w:cs="Times New Roman"/>
        </w:rPr>
        <w:t>in</w:t>
      </w:r>
      <w:r w:rsidRPr="00DA537A">
        <w:rPr>
          <w:rFonts w:cs="Times New Roman"/>
          <w:spacing w:val="-7"/>
        </w:rPr>
        <w:t xml:space="preserve"> </w:t>
      </w:r>
      <w:r w:rsidRPr="00DA537A">
        <w:rPr>
          <w:rFonts w:cs="Times New Roman"/>
        </w:rPr>
        <w:t>diffe</w:t>
      </w:r>
      <w:r w:rsidRPr="00DA537A">
        <w:rPr>
          <w:rFonts w:cs="Times New Roman"/>
          <w:spacing w:val="-3"/>
        </w:rPr>
        <w:t>r</w:t>
      </w:r>
      <w:r w:rsidRPr="00DA537A">
        <w:rPr>
          <w:rFonts w:cs="Times New Roman"/>
        </w:rPr>
        <w:t>ent</w:t>
      </w:r>
      <w:r w:rsidRPr="00DA537A">
        <w:rPr>
          <w:rFonts w:cs="Times New Roman"/>
          <w:spacing w:val="-5"/>
        </w:rPr>
        <w:t xml:space="preserve"> </w:t>
      </w:r>
      <w:r w:rsidRPr="00DA537A">
        <w:rPr>
          <w:rFonts w:cs="Times New Roman"/>
        </w:rPr>
        <w:t>ca</w:t>
      </w:r>
      <w:r w:rsidRPr="00DA537A">
        <w:rPr>
          <w:rFonts w:cs="Times New Roman"/>
          <w:spacing w:val="-2"/>
        </w:rPr>
        <w:t>t</w:t>
      </w:r>
      <w:r w:rsidRPr="00DA537A">
        <w:rPr>
          <w:rFonts w:cs="Times New Roman"/>
        </w:rPr>
        <w:t>egories;</w:t>
      </w:r>
    </w:p>
    <w:p w:rsidR="00000000" w:rsidRDefault="00A356FA" w:rsidP="003D5A31">
      <w:pPr>
        <w:pStyle w:val="ListParagraph"/>
        <w:numPr>
          <w:ilvl w:val="0"/>
          <w:numId w:val="128"/>
        </w:numPr>
        <w:tabs>
          <w:tab w:val="left" w:pos="477"/>
        </w:tabs>
        <w:kinsoku w:val="0"/>
        <w:overflowPunct w:val="0"/>
        <w:autoSpaceDE w:val="0"/>
        <w:autoSpaceDN w:val="0"/>
        <w:adjustRightInd w:val="0"/>
        <w:spacing w:after="120" w:line="276" w:lineRule="auto"/>
        <w:jc w:val="both"/>
        <w:rPr>
          <w:rFonts w:cs="Times New Roman"/>
        </w:rPr>
      </w:pPr>
      <w:r w:rsidRPr="00C02121">
        <w:rPr>
          <w:rFonts w:cs="Times New Roman"/>
        </w:rPr>
        <w:t>Mega</w:t>
      </w:r>
      <w:r w:rsidRPr="00C02121">
        <w:rPr>
          <w:rFonts w:cs="Times New Roman"/>
          <w:spacing w:val="-5"/>
        </w:rPr>
        <w:t xml:space="preserve"> </w:t>
      </w:r>
      <w:r w:rsidRPr="00C02121">
        <w:rPr>
          <w:rFonts w:cs="Times New Roman"/>
        </w:rPr>
        <w:t>city</w:t>
      </w:r>
      <w:r w:rsidRPr="00C02121">
        <w:rPr>
          <w:rFonts w:cs="Times New Roman"/>
          <w:spacing w:val="-4"/>
        </w:rPr>
        <w:t xml:space="preserve"> </w:t>
      </w:r>
      <w:r w:rsidRPr="00C02121">
        <w:rPr>
          <w:rFonts w:cs="Times New Roman"/>
        </w:rPr>
        <w:t>(mo</w:t>
      </w:r>
      <w:r w:rsidRPr="00C02121">
        <w:rPr>
          <w:rFonts w:cs="Times New Roman"/>
          <w:spacing w:val="-3"/>
        </w:rPr>
        <w:t>r</w:t>
      </w:r>
      <w:r w:rsidRPr="00C02121">
        <w:rPr>
          <w:rFonts w:cs="Times New Roman"/>
        </w:rPr>
        <w:t>e</w:t>
      </w:r>
      <w:r w:rsidRPr="00C02121">
        <w:rPr>
          <w:rFonts w:cs="Times New Roman"/>
          <w:spacing w:val="-5"/>
        </w:rPr>
        <w:t xml:space="preserve"> </w:t>
      </w:r>
      <w:r w:rsidRPr="00C02121">
        <w:rPr>
          <w:rFonts w:cs="Times New Roman"/>
        </w:rPr>
        <w:t>than</w:t>
      </w:r>
      <w:r w:rsidRPr="00C02121">
        <w:rPr>
          <w:rFonts w:cs="Times New Roman"/>
          <w:spacing w:val="-4"/>
        </w:rPr>
        <w:t xml:space="preserve"> </w:t>
      </w:r>
      <w:r w:rsidRPr="00C02121">
        <w:rPr>
          <w:rFonts w:cs="Times New Roman"/>
        </w:rPr>
        <w:t>5</w:t>
      </w:r>
      <w:r w:rsidRPr="00C02121">
        <w:rPr>
          <w:rFonts w:cs="Times New Roman"/>
          <w:spacing w:val="-4"/>
        </w:rPr>
        <w:t xml:space="preserve"> </w:t>
      </w:r>
      <w:r w:rsidRPr="00C02121">
        <w:rPr>
          <w:rFonts w:cs="Times New Roman"/>
        </w:rPr>
        <w:t>million</w:t>
      </w:r>
      <w:r w:rsidRPr="00C02121">
        <w:rPr>
          <w:rFonts w:cs="Times New Roman"/>
          <w:spacing w:val="-6"/>
        </w:rPr>
        <w:t xml:space="preserve"> </w:t>
      </w:r>
      <w:r w:rsidRPr="00C02121">
        <w:rPr>
          <w:rFonts w:cs="Times New Roman"/>
        </w:rPr>
        <w:t>inhabitants)</w:t>
      </w:r>
    </w:p>
    <w:p w:rsidR="00000000" w:rsidRDefault="00A356FA" w:rsidP="003D5A31">
      <w:pPr>
        <w:pStyle w:val="ListParagraph"/>
        <w:numPr>
          <w:ilvl w:val="0"/>
          <w:numId w:val="128"/>
        </w:numPr>
        <w:tabs>
          <w:tab w:val="left" w:pos="477"/>
        </w:tabs>
        <w:kinsoku w:val="0"/>
        <w:overflowPunct w:val="0"/>
        <w:autoSpaceDE w:val="0"/>
        <w:autoSpaceDN w:val="0"/>
        <w:adjustRightInd w:val="0"/>
        <w:spacing w:after="120" w:line="276" w:lineRule="auto"/>
        <w:jc w:val="both"/>
        <w:rPr>
          <w:rFonts w:cs="Times New Roman"/>
        </w:rPr>
      </w:pPr>
      <w:r w:rsidRPr="00C02121">
        <w:rPr>
          <w:rFonts w:cs="Times New Roman"/>
        </w:rPr>
        <w:t>Met</w:t>
      </w:r>
      <w:r w:rsidRPr="00C02121">
        <w:rPr>
          <w:rFonts w:cs="Times New Roman"/>
          <w:spacing w:val="-3"/>
        </w:rPr>
        <w:t>r</w:t>
      </w:r>
      <w:r w:rsidRPr="00C02121">
        <w:rPr>
          <w:rFonts w:cs="Times New Roman"/>
        </w:rPr>
        <w:t>opolis</w:t>
      </w:r>
      <w:r w:rsidRPr="00C02121">
        <w:rPr>
          <w:rFonts w:cs="Times New Roman"/>
          <w:spacing w:val="-7"/>
        </w:rPr>
        <w:t xml:space="preserve"> </w:t>
      </w:r>
      <w:r w:rsidRPr="00C02121">
        <w:rPr>
          <w:rFonts w:cs="Times New Roman"/>
        </w:rPr>
        <w:t>(500.000-</w:t>
      </w:r>
      <w:r w:rsidRPr="00C02121">
        <w:rPr>
          <w:rFonts w:cs="Times New Roman"/>
          <w:spacing w:val="-5"/>
        </w:rPr>
        <w:t xml:space="preserve"> </w:t>
      </w:r>
      <w:r w:rsidRPr="00C02121">
        <w:rPr>
          <w:rFonts w:cs="Times New Roman"/>
        </w:rPr>
        <w:t>5</w:t>
      </w:r>
      <w:r w:rsidRPr="00C02121">
        <w:rPr>
          <w:rFonts w:cs="Times New Roman"/>
          <w:spacing w:val="-5"/>
        </w:rPr>
        <w:t xml:space="preserve"> </w:t>
      </w:r>
      <w:r w:rsidRPr="00C02121">
        <w:rPr>
          <w:rFonts w:cs="Times New Roman"/>
        </w:rPr>
        <w:t>million</w:t>
      </w:r>
      <w:r w:rsidRPr="00C02121">
        <w:rPr>
          <w:rFonts w:cs="Times New Roman"/>
          <w:spacing w:val="-7"/>
        </w:rPr>
        <w:t xml:space="preserve"> </w:t>
      </w:r>
      <w:r w:rsidRPr="00C02121">
        <w:rPr>
          <w:rFonts w:cs="Times New Roman"/>
        </w:rPr>
        <w:t>inhabitants</w:t>
      </w:r>
    </w:p>
    <w:p w:rsidR="00000000" w:rsidRDefault="00A356FA" w:rsidP="003D5A31">
      <w:pPr>
        <w:pStyle w:val="ListParagraph"/>
        <w:numPr>
          <w:ilvl w:val="0"/>
          <w:numId w:val="128"/>
        </w:numPr>
        <w:tabs>
          <w:tab w:val="left" w:pos="477"/>
        </w:tabs>
        <w:kinsoku w:val="0"/>
        <w:overflowPunct w:val="0"/>
        <w:autoSpaceDE w:val="0"/>
        <w:autoSpaceDN w:val="0"/>
        <w:adjustRightInd w:val="0"/>
        <w:spacing w:after="120" w:line="276" w:lineRule="auto"/>
        <w:jc w:val="both"/>
        <w:rPr>
          <w:rFonts w:cs="Times New Roman"/>
        </w:rPr>
      </w:pPr>
      <w:r w:rsidRPr="00C02121">
        <w:rPr>
          <w:rFonts w:cs="Times New Roman"/>
        </w:rPr>
        <w:t>City</w:t>
      </w:r>
      <w:r w:rsidRPr="00C02121">
        <w:rPr>
          <w:rFonts w:cs="Times New Roman"/>
          <w:spacing w:val="-11"/>
        </w:rPr>
        <w:t>’</w:t>
      </w:r>
      <w:r w:rsidRPr="00C02121">
        <w:rPr>
          <w:rFonts w:cs="Times New Roman"/>
        </w:rPr>
        <w:t>s</w:t>
      </w:r>
      <w:r w:rsidRPr="00C02121">
        <w:rPr>
          <w:rFonts w:cs="Times New Roman"/>
          <w:spacing w:val="-3"/>
        </w:rPr>
        <w:t xml:space="preserve"> </w:t>
      </w:r>
      <w:r w:rsidRPr="00C02121">
        <w:rPr>
          <w:rFonts w:cs="Times New Roman"/>
        </w:rPr>
        <w:t>(100.000</w:t>
      </w:r>
      <w:r w:rsidRPr="00C02121">
        <w:rPr>
          <w:rFonts w:cs="Times New Roman"/>
          <w:spacing w:val="-1"/>
        </w:rPr>
        <w:t xml:space="preserve"> </w:t>
      </w:r>
      <w:r w:rsidRPr="00C02121">
        <w:rPr>
          <w:rFonts w:cs="Times New Roman"/>
        </w:rPr>
        <w:t>-</w:t>
      </w:r>
      <w:r w:rsidRPr="00C02121">
        <w:rPr>
          <w:rFonts w:cs="Times New Roman"/>
          <w:spacing w:val="-2"/>
        </w:rPr>
        <w:t xml:space="preserve"> </w:t>
      </w:r>
      <w:r w:rsidRPr="00C02121">
        <w:rPr>
          <w:rFonts w:cs="Times New Roman"/>
        </w:rPr>
        <w:t>500.000</w:t>
      </w:r>
      <w:r w:rsidRPr="00C02121">
        <w:rPr>
          <w:rFonts w:cs="Times New Roman"/>
          <w:spacing w:val="-3"/>
        </w:rPr>
        <w:t xml:space="preserve"> </w:t>
      </w:r>
      <w:r w:rsidRPr="00C02121">
        <w:rPr>
          <w:rFonts w:cs="Times New Roman"/>
        </w:rPr>
        <w:t>inhabitants)</w:t>
      </w:r>
    </w:p>
    <w:p w:rsidR="00000000" w:rsidRDefault="00A356FA" w:rsidP="003D5A31">
      <w:pPr>
        <w:pStyle w:val="ListParagraph"/>
        <w:numPr>
          <w:ilvl w:val="0"/>
          <w:numId w:val="128"/>
        </w:numPr>
        <w:tabs>
          <w:tab w:val="left" w:pos="477"/>
        </w:tabs>
        <w:kinsoku w:val="0"/>
        <w:overflowPunct w:val="0"/>
        <w:autoSpaceDE w:val="0"/>
        <w:autoSpaceDN w:val="0"/>
        <w:adjustRightInd w:val="0"/>
        <w:spacing w:after="120" w:line="276" w:lineRule="auto"/>
        <w:jc w:val="both"/>
        <w:rPr>
          <w:rFonts w:cs="Times New Roman"/>
        </w:rPr>
      </w:pPr>
      <w:r w:rsidRPr="00C02121">
        <w:rPr>
          <w:rFonts w:cs="Times New Roman"/>
        </w:rPr>
        <w:lastRenderedPageBreak/>
        <w:t>Medium</w:t>
      </w:r>
      <w:r w:rsidRPr="00C02121">
        <w:rPr>
          <w:rFonts w:cs="Times New Roman"/>
          <w:spacing w:val="-6"/>
        </w:rPr>
        <w:t xml:space="preserve"> </w:t>
      </w:r>
      <w:r w:rsidRPr="00C02121">
        <w:rPr>
          <w:rFonts w:cs="Times New Roman"/>
          <w:spacing w:val="-2"/>
        </w:rPr>
        <w:t>t</w:t>
      </w:r>
      <w:r w:rsidRPr="00C02121">
        <w:rPr>
          <w:rFonts w:cs="Times New Roman"/>
        </w:rPr>
        <w:t>owns</w:t>
      </w:r>
      <w:r w:rsidRPr="00C02121">
        <w:rPr>
          <w:rFonts w:cs="Times New Roman"/>
          <w:spacing w:val="-4"/>
        </w:rPr>
        <w:t xml:space="preserve"> </w:t>
      </w:r>
      <w:r w:rsidRPr="00C02121">
        <w:rPr>
          <w:rFonts w:cs="Times New Roman"/>
        </w:rPr>
        <w:t>(25.000</w:t>
      </w:r>
      <w:r w:rsidRPr="00C02121">
        <w:rPr>
          <w:rFonts w:cs="Times New Roman"/>
          <w:spacing w:val="-5"/>
        </w:rPr>
        <w:t xml:space="preserve"> </w:t>
      </w:r>
      <w:r w:rsidRPr="00C02121">
        <w:rPr>
          <w:rFonts w:cs="Times New Roman"/>
        </w:rPr>
        <w:t>-</w:t>
      </w:r>
      <w:r w:rsidRPr="00C02121">
        <w:rPr>
          <w:rFonts w:cs="Times New Roman"/>
          <w:spacing w:val="-4"/>
        </w:rPr>
        <w:t xml:space="preserve"> </w:t>
      </w:r>
      <w:r w:rsidRPr="00C02121">
        <w:rPr>
          <w:rFonts w:cs="Times New Roman"/>
        </w:rPr>
        <w:t>100.000</w:t>
      </w:r>
      <w:r w:rsidRPr="00C02121">
        <w:rPr>
          <w:rFonts w:cs="Times New Roman"/>
          <w:spacing w:val="-5"/>
        </w:rPr>
        <w:t xml:space="preserve"> </w:t>
      </w:r>
      <w:r w:rsidRPr="00C02121">
        <w:rPr>
          <w:rFonts w:cs="Times New Roman"/>
        </w:rPr>
        <w:t>inhabitants)</w:t>
      </w:r>
    </w:p>
    <w:p w:rsidR="00000000" w:rsidRDefault="00A356FA" w:rsidP="003D5A31">
      <w:pPr>
        <w:pStyle w:val="ListParagraph"/>
        <w:numPr>
          <w:ilvl w:val="0"/>
          <w:numId w:val="128"/>
        </w:numPr>
        <w:tabs>
          <w:tab w:val="left" w:pos="477"/>
        </w:tabs>
        <w:kinsoku w:val="0"/>
        <w:overflowPunct w:val="0"/>
        <w:autoSpaceDE w:val="0"/>
        <w:autoSpaceDN w:val="0"/>
        <w:adjustRightInd w:val="0"/>
        <w:spacing w:after="120" w:line="276" w:lineRule="auto"/>
        <w:jc w:val="both"/>
        <w:rPr>
          <w:rFonts w:cs="Times New Roman"/>
        </w:rPr>
      </w:pPr>
      <w:r w:rsidRPr="00C02121">
        <w:rPr>
          <w:rFonts w:cs="Times New Roman"/>
        </w:rPr>
        <w:t>Small</w:t>
      </w:r>
      <w:r w:rsidRPr="00C02121">
        <w:rPr>
          <w:rFonts w:cs="Times New Roman"/>
          <w:spacing w:val="-5"/>
        </w:rPr>
        <w:t xml:space="preserve"> </w:t>
      </w:r>
      <w:r w:rsidRPr="00C02121">
        <w:rPr>
          <w:rFonts w:cs="Times New Roman"/>
          <w:spacing w:val="-2"/>
        </w:rPr>
        <w:t>t</w:t>
      </w:r>
      <w:r w:rsidRPr="00C02121">
        <w:rPr>
          <w:rFonts w:cs="Times New Roman"/>
        </w:rPr>
        <w:t>owns</w:t>
      </w:r>
      <w:r w:rsidRPr="00C02121">
        <w:rPr>
          <w:rFonts w:cs="Times New Roman"/>
          <w:spacing w:val="-4"/>
        </w:rPr>
        <w:t xml:space="preserve"> </w:t>
      </w:r>
      <w:r w:rsidRPr="00C02121">
        <w:rPr>
          <w:rFonts w:cs="Times New Roman"/>
        </w:rPr>
        <w:t>(less</w:t>
      </w:r>
      <w:r w:rsidRPr="00C02121">
        <w:rPr>
          <w:rFonts w:cs="Times New Roman"/>
          <w:spacing w:val="-5"/>
        </w:rPr>
        <w:t xml:space="preserve"> </w:t>
      </w:r>
      <w:r w:rsidRPr="00C02121">
        <w:rPr>
          <w:rFonts w:cs="Times New Roman"/>
        </w:rPr>
        <w:t>than</w:t>
      </w:r>
      <w:r w:rsidRPr="00C02121">
        <w:rPr>
          <w:rFonts w:cs="Times New Roman"/>
          <w:spacing w:val="-3"/>
        </w:rPr>
        <w:t xml:space="preserve"> </w:t>
      </w:r>
      <w:r w:rsidRPr="00C02121">
        <w:rPr>
          <w:rFonts w:cs="Times New Roman"/>
        </w:rPr>
        <w:t>25.000</w:t>
      </w:r>
      <w:r w:rsidRPr="00C02121">
        <w:rPr>
          <w:rFonts w:cs="Times New Roman"/>
          <w:spacing w:val="-5"/>
        </w:rPr>
        <w:t xml:space="preserve"> </w:t>
      </w:r>
      <w:r w:rsidRPr="00C02121">
        <w:rPr>
          <w:rFonts w:cs="Times New Roman"/>
        </w:rPr>
        <w:t>inhabitants)</w:t>
      </w:r>
    </w:p>
    <w:p w:rsidR="00A356FA" w:rsidRPr="00DA537A" w:rsidRDefault="00A356FA" w:rsidP="00A356FA">
      <w:pPr>
        <w:spacing w:line="276" w:lineRule="auto"/>
        <w:jc w:val="both"/>
        <w:rPr>
          <w:rFonts w:cs="Times New Roman"/>
        </w:rPr>
      </w:pPr>
      <w:r w:rsidRPr="00DA537A">
        <w:rPr>
          <w:rFonts w:cs="Times New Roman"/>
        </w:rPr>
        <w:t>Dhaka</w:t>
      </w:r>
      <w:r w:rsidRPr="00DA537A">
        <w:rPr>
          <w:rFonts w:cs="Times New Roman"/>
          <w:spacing w:val="-4"/>
        </w:rPr>
        <w:t xml:space="preserve"> </w:t>
      </w:r>
      <w:r w:rsidRPr="00DA537A">
        <w:rPr>
          <w:rFonts w:cs="Times New Roman"/>
        </w:rPr>
        <w:t>is</w:t>
      </w:r>
      <w:r w:rsidRPr="00DA537A">
        <w:rPr>
          <w:rFonts w:cs="Times New Roman"/>
          <w:spacing w:val="-5"/>
        </w:rPr>
        <w:t xml:space="preserve"> </w:t>
      </w:r>
      <w:r w:rsidRPr="00DA537A">
        <w:rPr>
          <w:rFonts w:cs="Times New Roman"/>
        </w:rPr>
        <w:t>the</w:t>
      </w:r>
      <w:r w:rsidRPr="00DA537A">
        <w:rPr>
          <w:rFonts w:cs="Times New Roman"/>
          <w:spacing w:val="-3"/>
        </w:rPr>
        <w:t xml:space="preserve"> </w:t>
      </w:r>
      <w:r w:rsidRPr="00DA537A">
        <w:rPr>
          <w:rFonts w:cs="Times New Roman"/>
        </w:rPr>
        <w:t>only</w:t>
      </w:r>
      <w:r w:rsidRPr="00DA537A">
        <w:rPr>
          <w:rFonts w:cs="Times New Roman"/>
          <w:spacing w:val="-4"/>
        </w:rPr>
        <w:t xml:space="preserve"> </w:t>
      </w:r>
      <w:r w:rsidRPr="00DA537A">
        <w:rPr>
          <w:rFonts w:cs="Times New Roman"/>
        </w:rPr>
        <w:t>mega</w:t>
      </w:r>
      <w:r w:rsidRPr="00DA537A">
        <w:rPr>
          <w:rFonts w:cs="Times New Roman"/>
          <w:spacing w:val="-3"/>
        </w:rPr>
        <w:t xml:space="preserve"> </w:t>
      </w:r>
      <w:r w:rsidRPr="00DA537A">
        <w:rPr>
          <w:rFonts w:cs="Times New Roman"/>
        </w:rPr>
        <w:t>city</w:t>
      </w:r>
      <w:r w:rsidRPr="00DA537A">
        <w:rPr>
          <w:rFonts w:cs="Times New Roman"/>
          <w:spacing w:val="-4"/>
        </w:rPr>
        <w:t xml:space="preserve"> </w:t>
      </w:r>
      <w:r w:rsidRPr="00DA537A">
        <w:rPr>
          <w:rFonts w:cs="Times New Roman"/>
        </w:rPr>
        <w:t>in</w:t>
      </w:r>
      <w:r w:rsidRPr="00DA537A">
        <w:rPr>
          <w:rFonts w:cs="Times New Roman"/>
          <w:spacing w:val="-5"/>
        </w:rPr>
        <w:t xml:space="preserve"> </w:t>
      </w:r>
      <w:r w:rsidRPr="00DA537A">
        <w:rPr>
          <w:rFonts w:cs="Times New Roman"/>
        </w:rPr>
        <w:t>the</w:t>
      </w:r>
      <w:r w:rsidRPr="00DA537A">
        <w:rPr>
          <w:rFonts w:cs="Times New Roman"/>
          <w:spacing w:val="-3"/>
        </w:rPr>
        <w:t xml:space="preserve"> </w:t>
      </w:r>
      <w:r w:rsidRPr="00DA537A">
        <w:rPr>
          <w:rFonts w:cs="Times New Roman"/>
        </w:rPr>
        <w:t>count</w:t>
      </w:r>
      <w:r w:rsidRPr="00DA537A">
        <w:rPr>
          <w:rFonts w:cs="Times New Roman"/>
          <w:spacing w:val="7"/>
        </w:rPr>
        <w:t>r</w:t>
      </w:r>
      <w:r w:rsidRPr="00DA537A">
        <w:rPr>
          <w:rFonts w:cs="Times New Roman"/>
          <w:spacing w:val="-11"/>
        </w:rPr>
        <w:t>y</w:t>
      </w:r>
      <w:r w:rsidRPr="00DA537A">
        <w:rPr>
          <w:rFonts w:cs="Times New Roman"/>
        </w:rPr>
        <w:t>.</w:t>
      </w:r>
      <w:r w:rsidRPr="00DA537A">
        <w:rPr>
          <w:rFonts w:cs="Times New Roman"/>
          <w:spacing w:val="-4"/>
        </w:rPr>
        <w:t xml:space="preserve"> </w:t>
      </w:r>
      <w:r w:rsidRPr="00DA537A">
        <w:rPr>
          <w:rFonts w:cs="Times New Roman"/>
        </w:rPr>
        <w:t>The</w:t>
      </w:r>
      <w:r w:rsidRPr="00DA537A">
        <w:rPr>
          <w:rFonts w:cs="Times New Roman"/>
          <w:spacing w:val="-3"/>
        </w:rPr>
        <w:t>r</w:t>
      </w:r>
      <w:r w:rsidRPr="00DA537A">
        <w:rPr>
          <w:rFonts w:cs="Times New Roman"/>
        </w:rPr>
        <w:t>e</w:t>
      </w:r>
      <w:r w:rsidRPr="00DA537A">
        <w:rPr>
          <w:rFonts w:cs="Times New Roman"/>
          <w:spacing w:val="-3"/>
        </w:rPr>
        <w:t xml:space="preserve"> </w:t>
      </w:r>
      <w:r w:rsidRPr="00DA537A">
        <w:rPr>
          <w:rFonts w:cs="Times New Roman"/>
        </w:rPr>
        <w:t>a</w:t>
      </w:r>
      <w:r w:rsidRPr="00DA537A">
        <w:rPr>
          <w:rFonts w:cs="Times New Roman"/>
          <w:spacing w:val="-3"/>
        </w:rPr>
        <w:t>r</w:t>
      </w:r>
      <w:r w:rsidRPr="00DA537A">
        <w:rPr>
          <w:rFonts w:cs="Times New Roman"/>
        </w:rPr>
        <w:t>e</w:t>
      </w:r>
      <w:r w:rsidRPr="00DA537A">
        <w:rPr>
          <w:rFonts w:cs="Times New Roman"/>
          <w:spacing w:val="-4"/>
        </w:rPr>
        <w:t xml:space="preserve"> </w:t>
      </w:r>
      <w:r w:rsidRPr="00DA537A">
        <w:rPr>
          <w:rFonts w:cs="Times New Roman"/>
        </w:rPr>
        <w:t>3</w:t>
      </w:r>
      <w:r w:rsidRPr="00DA537A">
        <w:rPr>
          <w:rFonts w:cs="Times New Roman"/>
          <w:spacing w:val="-4"/>
        </w:rPr>
        <w:t xml:space="preserve"> </w:t>
      </w:r>
      <w:r w:rsidRPr="00DA537A">
        <w:rPr>
          <w:rFonts w:cs="Times New Roman"/>
        </w:rPr>
        <w:t>met</w:t>
      </w:r>
      <w:r w:rsidRPr="00DA537A">
        <w:rPr>
          <w:rFonts w:cs="Times New Roman"/>
          <w:spacing w:val="-3"/>
        </w:rPr>
        <w:t>r</w:t>
      </w:r>
      <w:r w:rsidRPr="00DA537A">
        <w:rPr>
          <w:rFonts w:cs="Times New Roman"/>
        </w:rPr>
        <w:t>opolises:</w:t>
      </w:r>
      <w:r w:rsidRPr="00DA537A">
        <w:rPr>
          <w:rFonts w:cs="Times New Roman"/>
          <w:spacing w:val="-4"/>
        </w:rPr>
        <w:t xml:space="preserve"> </w:t>
      </w:r>
      <w:r w:rsidRPr="00DA537A">
        <w:rPr>
          <w:rFonts w:cs="Times New Roman"/>
        </w:rPr>
        <w:t>Chittagong,</w:t>
      </w:r>
      <w:r w:rsidRPr="00DA537A">
        <w:rPr>
          <w:rFonts w:cs="Times New Roman"/>
          <w:spacing w:val="-4"/>
        </w:rPr>
        <w:t xml:space="preserve"> </w:t>
      </w:r>
      <w:r w:rsidRPr="00DA537A">
        <w:rPr>
          <w:rFonts w:cs="Times New Roman"/>
        </w:rPr>
        <w:t>Khulna</w:t>
      </w:r>
      <w:r w:rsidRPr="00DA537A">
        <w:rPr>
          <w:rFonts w:cs="Times New Roman"/>
          <w:spacing w:val="-3"/>
        </w:rPr>
        <w:t xml:space="preserve"> </w:t>
      </w:r>
      <w:r w:rsidRPr="00DA537A">
        <w:rPr>
          <w:rFonts w:cs="Times New Roman"/>
        </w:rPr>
        <w:t>and</w:t>
      </w:r>
      <w:r w:rsidRPr="00DA537A">
        <w:rPr>
          <w:rFonts w:cs="Times New Roman"/>
          <w:spacing w:val="-4"/>
        </w:rPr>
        <w:t xml:space="preserve"> </w:t>
      </w:r>
      <w:r w:rsidRPr="00DA537A">
        <w:rPr>
          <w:rFonts w:cs="Times New Roman"/>
        </w:rPr>
        <w:t xml:space="preserve">Rajshahi. </w:t>
      </w:r>
      <w:r w:rsidRPr="00DA537A">
        <w:rPr>
          <w:rFonts w:cs="Times New Roman"/>
          <w:spacing w:val="-21"/>
        </w:rPr>
        <w:t>T</w:t>
      </w:r>
      <w:r w:rsidRPr="00DA537A">
        <w:rPr>
          <w:rFonts w:cs="Times New Roman"/>
        </w:rPr>
        <w:t>ogether</w:t>
      </w:r>
      <w:r w:rsidRPr="00DA537A">
        <w:rPr>
          <w:rFonts w:cs="Times New Roman"/>
          <w:spacing w:val="-4"/>
        </w:rPr>
        <w:t xml:space="preserve"> </w:t>
      </w:r>
      <w:r w:rsidRPr="00DA537A">
        <w:rPr>
          <w:rFonts w:cs="Times New Roman"/>
        </w:rPr>
        <w:t>with</w:t>
      </w:r>
      <w:r w:rsidRPr="00DA537A">
        <w:rPr>
          <w:rFonts w:cs="Times New Roman"/>
          <w:spacing w:val="-4"/>
        </w:rPr>
        <w:t xml:space="preserve"> </w:t>
      </w:r>
      <w:r w:rsidRPr="00DA537A">
        <w:rPr>
          <w:rFonts w:cs="Times New Roman"/>
        </w:rPr>
        <w:t>Dhaka,</w:t>
      </w:r>
      <w:r w:rsidRPr="00DA537A">
        <w:rPr>
          <w:rFonts w:cs="Times New Roman"/>
          <w:spacing w:val="-4"/>
        </w:rPr>
        <w:t xml:space="preserve"> </w:t>
      </w:r>
      <w:r w:rsidRPr="00DA537A">
        <w:rPr>
          <w:rFonts w:cs="Times New Roman"/>
        </w:rPr>
        <w:t>the</w:t>
      </w:r>
      <w:r w:rsidRPr="00DA537A">
        <w:rPr>
          <w:rFonts w:cs="Times New Roman"/>
          <w:spacing w:val="-4"/>
        </w:rPr>
        <w:t xml:space="preserve"> </w:t>
      </w:r>
      <w:r w:rsidRPr="00DA537A">
        <w:rPr>
          <w:rFonts w:cs="Times New Roman"/>
        </w:rPr>
        <w:t>th</w:t>
      </w:r>
      <w:r w:rsidRPr="00DA537A">
        <w:rPr>
          <w:rFonts w:cs="Times New Roman"/>
          <w:spacing w:val="-3"/>
        </w:rPr>
        <w:t>r</w:t>
      </w:r>
      <w:r w:rsidRPr="00DA537A">
        <w:rPr>
          <w:rFonts w:cs="Times New Roman"/>
        </w:rPr>
        <w:t>ee</w:t>
      </w:r>
      <w:r w:rsidRPr="00DA537A">
        <w:rPr>
          <w:rFonts w:cs="Times New Roman"/>
          <w:spacing w:val="-4"/>
        </w:rPr>
        <w:t xml:space="preserve"> </w:t>
      </w:r>
      <w:r w:rsidRPr="00DA537A">
        <w:rPr>
          <w:rFonts w:cs="Times New Roman"/>
        </w:rPr>
        <w:t>held</w:t>
      </w:r>
      <w:r w:rsidRPr="00DA537A">
        <w:rPr>
          <w:rFonts w:cs="Times New Roman"/>
          <w:spacing w:val="-4"/>
        </w:rPr>
        <w:t xml:space="preserve"> </w:t>
      </w:r>
      <w:r w:rsidRPr="00DA537A">
        <w:rPr>
          <w:rFonts w:cs="Times New Roman"/>
        </w:rPr>
        <w:t>about</w:t>
      </w:r>
      <w:r w:rsidRPr="00DA537A">
        <w:rPr>
          <w:rFonts w:cs="Times New Roman"/>
          <w:spacing w:val="-4"/>
        </w:rPr>
        <w:t xml:space="preserve"> </w:t>
      </w:r>
      <w:r w:rsidRPr="00DA537A">
        <w:rPr>
          <w:rFonts w:cs="Times New Roman"/>
        </w:rPr>
        <w:t>56%</w:t>
      </w:r>
      <w:r w:rsidRPr="00DA537A">
        <w:rPr>
          <w:rFonts w:cs="Times New Roman"/>
          <w:spacing w:val="-5"/>
        </w:rPr>
        <w:t xml:space="preserve"> o</w:t>
      </w:r>
      <w:r w:rsidRPr="00DA537A">
        <w:rPr>
          <w:rFonts w:cs="Times New Roman"/>
        </w:rPr>
        <w:t>f</w:t>
      </w:r>
      <w:r w:rsidRPr="00DA537A">
        <w:rPr>
          <w:rFonts w:cs="Times New Roman"/>
          <w:spacing w:val="-3"/>
        </w:rPr>
        <w:t xml:space="preserve"> </w:t>
      </w:r>
      <w:r w:rsidRPr="00DA537A">
        <w:rPr>
          <w:rFonts w:cs="Times New Roman"/>
        </w:rPr>
        <w:t>the</w:t>
      </w:r>
      <w:r w:rsidRPr="00DA537A">
        <w:rPr>
          <w:rFonts w:cs="Times New Roman"/>
          <w:spacing w:val="-4"/>
        </w:rPr>
        <w:t xml:space="preserve"> </w:t>
      </w:r>
      <w:r w:rsidRPr="00DA537A">
        <w:rPr>
          <w:rFonts w:cs="Times New Roman"/>
        </w:rPr>
        <w:t>count</w:t>
      </w:r>
      <w:r w:rsidRPr="00DA537A">
        <w:rPr>
          <w:rFonts w:cs="Times New Roman"/>
          <w:spacing w:val="7"/>
        </w:rPr>
        <w:t>r</w:t>
      </w:r>
      <w:r w:rsidRPr="00DA537A">
        <w:rPr>
          <w:rFonts w:cs="Times New Roman"/>
        </w:rPr>
        <w:t>y</w:t>
      </w:r>
      <w:r w:rsidRPr="00DA537A">
        <w:rPr>
          <w:rFonts w:cs="Times New Roman"/>
          <w:spacing w:val="-12"/>
        </w:rPr>
        <w:t>’</w:t>
      </w:r>
      <w:r w:rsidRPr="00DA537A">
        <w:rPr>
          <w:rFonts w:cs="Times New Roman"/>
        </w:rPr>
        <w:t>s</w:t>
      </w:r>
      <w:r w:rsidRPr="00DA537A">
        <w:rPr>
          <w:rFonts w:cs="Times New Roman"/>
          <w:spacing w:val="-5"/>
        </w:rPr>
        <w:t xml:space="preserve"> </w:t>
      </w:r>
      <w:r w:rsidRPr="00DA537A">
        <w:rPr>
          <w:rFonts w:cs="Times New Roman"/>
          <w:spacing w:val="-2"/>
        </w:rPr>
        <w:t>t</w:t>
      </w:r>
      <w:r w:rsidRPr="00DA537A">
        <w:rPr>
          <w:rFonts w:cs="Times New Roman"/>
        </w:rPr>
        <w:t>otal</w:t>
      </w:r>
      <w:r w:rsidRPr="00DA537A">
        <w:rPr>
          <w:rFonts w:cs="Times New Roman"/>
          <w:spacing w:val="-4"/>
        </w:rPr>
        <w:t xml:space="preserve"> </w:t>
      </w:r>
      <w:r w:rsidRPr="00DA537A">
        <w:rPr>
          <w:rFonts w:cs="Times New Roman"/>
        </w:rPr>
        <w:t>ur</w:t>
      </w:r>
      <w:r w:rsidRPr="00DA537A">
        <w:rPr>
          <w:rFonts w:cs="Times New Roman"/>
          <w:spacing w:val="-3"/>
        </w:rPr>
        <w:t>b</w:t>
      </w:r>
      <w:r w:rsidRPr="00DA537A">
        <w:rPr>
          <w:rFonts w:cs="Times New Roman"/>
        </w:rPr>
        <w:t>an</w:t>
      </w:r>
      <w:r w:rsidRPr="00DA537A">
        <w:rPr>
          <w:rFonts w:cs="Times New Roman"/>
          <w:spacing w:val="-4"/>
        </w:rPr>
        <w:t xml:space="preserve"> </w:t>
      </w:r>
      <w:r w:rsidRPr="00DA537A">
        <w:rPr>
          <w:rFonts w:cs="Times New Roman"/>
        </w:rPr>
        <w:t>population</w:t>
      </w:r>
      <w:r w:rsidRPr="00DA537A">
        <w:rPr>
          <w:rFonts w:cs="Times New Roman"/>
          <w:spacing w:val="-4"/>
        </w:rPr>
        <w:t xml:space="preserve"> </w:t>
      </w:r>
      <w:r w:rsidRPr="00DA537A">
        <w:rPr>
          <w:rFonts w:cs="Times New Roman"/>
        </w:rPr>
        <w:t>in</w:t>
      </w:r>
      <w:r w:rsidRPr="00DA537A">
        <w:rPr>
          <w:rFonts w:cs="Times New Roman"/>
          <w:spacing w:val="-5"/>
        </w:rPr>
        <w:t xml:space="preserve"> </w:t>
      </w:r>
      <w:r w:rsidRPr="00DA537A">
        <w:rPr>
          <w:rFonts w:cs="Times New Roman"/>
        </w:rPr>
        <w:t>2001.</w:t>
      </w:r>
      <w:r>
        <w:rPr>
          <w:rFonts w:cs="Times New Roman"/>
        </w:rPr>
        <w:t xml:space="preserve"> While the CUS data (Table </w:t>
      </w:r>
      <w:r w:rsidR="00BF3570">
        <w:rPr>
          <w:rFonts w:cs="Times New Roman"/>
        </w:rPr>
        <w:t>7.</w:t>
      </w:r>
      <w:r>
        <w:rPr>
          <w:rFonts w:cs="Times New Roman"/>
        </w:rPr>
        <w:t>4</w:t>
      </w:r>
      <w:r w:rsidR="00F5334A">
        <w:rPr>
          <w:rFonts w:cs="Times New Roman"/>
        </w:rPr>
        <w:t>a</w:t>
      </w:r>
      <w:r>
        <w:rPr>
          <w:rFonts w:cs="Times New Roman"/>
        </w:rPr>
        <w:t>) shows the growth of urban population until 2001, there is now data available from the BBS</w:t>
      </w:r>
      <w:r>
        <w:rPr>
          <w:rStyle w:val="FootnoteReference"/>
          <w:rFonts w:cs="Times New Roman"/>
        </w:rPr>
        <w:footnoteReference w:id="27"/>
      </w:r>
      <w:r>
        <w:rPr>
          <w:rFonts w:cs="Times New Roman"/>
        </w:rPr>
        <w:t xml:space="preserve"> until 2011; but this 2011 BBS data is not comparable to its earlier compiled </w:t>
      </w:r>
      <w:r w:rsidRPr="007D4BC3">
        <w:rPr>
          <w:rFonts w:cs="Times New Roman"/>
        </w:rPr>
        <w:t>census data. The definition of urban area used in different censuses</w:t>
      </w:r>
      <w:r>
        <w:rPr>
          <w:rFonts w:cs="Times New Roman"/>
        </w:rPr>
        <w:t xml:space="preserve"> by BBS</w:t>
      </w:r>
      <w:r w:rsidRPr="007D4BC3">
        <w:rPr>
          <w:rFonts w:cs="Times New Roman"/>
        </w:rPr>
        <w:t xml:space="preserve"> has not been uniform. The definition of urban area used in 1981 was continued up to 2001; however, the definition was changed in 2011. In earlier censuses, the urban area included city corporations, municipalities, upazila headquarters, growth centers, can</w:t>
      </w:r>
      <w:r w:rsidR="00FE6385">
        <w:rPr>
          <w:rFonts w:cs="Times New Roman"/>
        </w:rPr>
        <w:t>to</w:t>
      </w:r>
      <w:r w:rsidR="00072A30">
        <w:rPr>
          <w:rFonts w:cs="Times New Roman"/>
        </w:rPr>
        <w:t>n</w:t>
      </w:r>
      <w:r w:rsidRPr="007D4BC3">
        <w:rPr>
          <w:rFonts w:cs="Times New Roman"/>
        </w:rPr>
        <w:t>ment and urban agglomerations adjacent to large cities, i.e., city corporations termed as Statistical Metropolitan Area (SMA). However, in 2011, the concept of SMA, growth center and some other urban areas was abandoned and the areas covered only city corporations, paurashavas, upazila headquarters and can</w:t>
      </w:r>
      <w:r w:rsidR="00FE6385">
        <w:rPr>
          <w:rFonts w:cs="Times New Roman"/>
        </w:rPr>
        <w:t>to</w:t>
      </w:r>
      <w:r w:rsidR="00072A30">
        <w:rPr>
          <w:rFonts w:cs="Times New Roman"/>
        </w:rPr>
        <w:t>n</w:t>
      </w:r>
      <w:r w:rsidRPr="007D4BC3">
        <w:rPr>
          <w:rFonts w:cs="Times New Roman"/>
        </w:rPr>
        <w:t xml:space="preserve">ment area. Due to the definitional change, the percentage of urban population has decreased and come down to 23.30% in 2011 as against 23.53% in 2001. If the same areas would have existed in 2011, the percentage of urban population might have been 28.00% in 2011. </w:t>
      </w:r>
      <w:r>
        <w:rPr>
          <w:rFonts w:cs="Times New Roman"/>
        </w:rPr>
        <w:t>So the h</w:t>
      </w:r>
      <w:r w:rsidRPr="00DA537A">
        <w:rPr>
          <w:rFonts w:cs="Times New Roman"/>
        </w:rPr>
        <w:t>is</w:t>
      </w:r>
      <w:r w:rsidRPr="00DA537A">
        <w:rPr>
          <w:rFonts w:cs="Times New Roman"/>
          <w:spacing w:val="-2"/>
        </w:rPr>
        <w:t>t</w:t>
      </w:r>
      <w:r w:rsidRPr="00DA537A">
        <w:rPr>
          <w:rFonts w:cs="Times New Roman"/>
        </w:rPr>
        <w:t>oric</w:t>
      </w:r>
      <w:r w:rsidRPr="00DA537A">
        <w:rPr>
          <w:rFonts w:cs="Times New Roman"/>
          <w:spacing w:val="-3"/>
        </w:rPr>
        <w:t xml:space="preserve"> </w:t>
      </w:r>
      <w:r w:rsidRPr="00DA537A">
        <w:rPr>
          <w:rFonts w:cs="Times New Roman"/>
        </w:rPr>
        <w:t>de</w:t>
      </w:r>
      <w:r w:rsidRPr="00DA537A">
        <w:rPr>
          <w:rFonts w:cs="Times New Roman"/>
          <w:spacing w:val="-1"/>
        </w:rPr>
        <w:t>v</w:t>
      </w:r>
      <w:r w:rsidRPr="00DA537A">
        <w:rPr>
          <w:rFonts w:cs="Times New Roman"/>
        </w:rPr>
        <w:t>elopment</w:t>
      </w:r>
      <w:r w:rsidRPr="00DA537A">
        <w:rPr>
          <w:rFonts w:cs="Times New Roman"/>
          <w:spacing w:val="-3"/>
        </w:rPr>
        <w:t xml:space="preserve"> o</w:t>
      </w:r>
      <w:r w:rsidRPr="00DA537A">
        <w:rPr>
          <w:rFonts w:cs="Times New Roman"/>
        </w:rPr>
        <w:t>f</w:t>
      </w:r>
      <w:r w:rsidRPr="00DA537A">
        <w:rPr>
          <w:rFonts w:cs="Times New Roman"/>
          <w:spacing w:val="-2"/>
        </w:rPr>
        <w:t xml:space="preserve"> </w:t>
      </w:r>
      <w:r w:rsidRPr="00DA537A">
        <w:rPr>
          <w:rFonts w:cs="Times New Roman"/>
        </w:rPr>
        <w:t>ur</w:t>
      </w:r>
      <w:r w:rsidRPr="00DA537A">
        <w:rPr>
          <w:rFonts w:cs="Times New Roman"/>
          <w:spacing w:val="-3"/>
        </w:rPr>
        <w:t>b</w:t>
      </w:r>
      <w:r w:rsidRPr="00DA537A">
        <w:rPr>
          <w:rFonts w:cs="Times New Roman"/>
        </w:rPr>
        <w:t>an</w:t>
      </w:r>
      <w:r w:rsidRPr="00DA537A">
        <w:rPr>
          <w:rFonts w:cs="Times New Roman"/>
          <w:spacing w:val="-3"/>
        </w:rPr>
        <w:t xml:space="preserve"> </w:t>
      </w:r>
      <w:r w:rsidRPr="00DA537A">
        <w:rPr>
          <w:rFonts w:cs="Times New Roman"/>
        </w:rPr>
        <w:t>cent</w:t>
      </w:r>
      <w:r w:rsidRPr="00DA537A">
        <w:rPr>
          <w:rFonts w:cs="Times New Roman"/>
          <w:spacing w:val="-3"/>
        </w:rPr>
        <w:t>e</w:t>
      </w:r>
      <w:r w:rsidRPr="00DA537A">
        <w:rPr>
          <w:rFonts w:cs="Times New Roman"/>
        </w:rPr>
        <w:t>rs</w:t>
      </w:r>
      <w:r w:rsidRPr="00DA537A">
        <w:rPr>
          <w:rFonts w:cs="Times New Roman"/>
          <w:spacing w:val="-4"/>
        </w:rPr>
        <w:t xml:space="preserve"> </w:t>
      </w:r>
      <w:r>
        <w:rPr>
          <w:rFonts w:cs="Times New Roman"/>
        </w:rPr>
        <w:t xml:space="preserve">is presented in Table </w:t>
      </w:r>
      <w:r w:rsidR="00BF3570">
        <w:rPr>
          <w:rFonts w:cs="Times New Roman"/>
        </w:rPr>
        <w:t>7.</w:t>
      </w:r>
      <w:r>
        <w:rPr>
          <w:rFonts w:cs="Times New Roman"/>
        </w:rPr>
        <w:t>4</w:t>
      </w:r>
      <w:r w:rsidR="00F5334A">
        <w:rPr>
          <w:rFonts w:cs="Times New Roman"/>
        </w:rPr>
        <w:t>a</w:t>
      </w:r>
      <w:r>
        <w:rPr>
          <w:rFonts w:cs="Times New Roman"/>
        </w:rPr>
        <w:t xml:space="preserve"> are based on the CUS data, and that for 2011 in Table </w:t>
      </w:r>
      <w:r w:rsidR="00BF3570">
        <w:rPr>
          <w:rFonts w:cs="Times New Roman"/>
        </w:rPr>
        <w:t>7.</w:t>
      </w:r>
      <w:r w:rsidR="00F5334A">
        <w:rPr>
          <w:rFonts w:cs="Times New Roman"/>
        </w:rPr>
        <w:t>4b</w:t>
      </w:r>
      <w:r>
        <w:rPr>
          <w:rFonts w:cs="Times New Roman"/>
        </w:rPr>
        <w:t xml:space="preserve"> is based on the BBS data</w:t>
      </w:r>
      <w:bookmarkStart w:id="528" w:name="_Toc439146236"/>
      <w:r>
        <w:rPr>
          <w:rFonts w:cs="Times New Roman"/>
        </w:rPr>
        <w:t>.</w:t>
      </w:r>
    </w:p>
    <w:p w:rsidR="00CE739C" w:rsidRDefault="00A356FA" w:rsidP="00CE739C">
      <w:pPr>
        <w:kinsoku w:val="0"/>
        <w:overflowPunct w:val="0"/>
        <w:autoSpaceDE w:val="0"/>
        <w:autoSpaceDN w:val="0"/>
        <w:adjustRightInd w:val="0"/>
        <w:spacing w:line="276" w:lineRule="auto"/>
        <w:jc w:val="both"/>
        <w:rPr>
          <w:rFonts w:cs="Times New Roman"/>
        </w:rPr>
      </w:pPr>
      <w:r w:rsidRPr="00DA537A">
        <w:rPr>
          <w:rFonts w:cs="Times New Roman"/>
        </w:rPr>
        <w:t xml:space="preserve">From Table </w:t>
      </w:r>
      <w:r w:rsidR="00BF3570">
        <w:rPr>
          <w:rFonts w:cs="Times New Roman"/>
        </w:rPr>
        <w:t>7.</w:t>
      </w:r>
      <w:r w:rsidRPr="00DA537A">
        <w:rPr>
          <w:rFonts w:cs="Times New Roman"/>
        </w:rPr>
        <w:t>4</w:t>
      </w:r>
      <w:r w:rsidR="00F5334A">
        <w:rPr>
          <w:rFonts w:cs="Times New Roman"/>
        </w:rPr>
        <w:t>a</w:t>
      </w:r>
      <w:r w:rsidRPr="00DA537A">
        <w:rPr>
          <w:rFonts w:cs="Times New Roman"/>
        </w:rPr>
        <w:t xml:space="preserve"> it can be observed that the number of urban centers had increased until 1991 and have held steady at 522 since then. What has happened is that between 1991 and 2001 there has been transformation in sizes with decline in number of small towns and increase in number of medium towns, Cities. </w:t>
      </w:r>
      <w:r>
        <w:rPr>
          <w:rFonts w:cs="Times New Roman"/>
        </w:rPr>
        <w:t xml:space="preserve"> Even with the changed definition of urban areas in the BBS data there has been increase in the number of Medium towns, Cities, and Metropolises in 2011.   As per BBS data, while </w:t>
      </w:r>
      <w:r w:rsidR="00065D01">
        <w:rPr>
          <w:rFonts w:cs="Times New Roman"/>
        </w:rPr>
        <w:t>in</w:t>
      </w:r>
      <w:r>
        <w:rPr>
          <w:rFonts w:cs="Times New Roman"/>
        </w:rPr>
        <w:t xml:space="preserve"> 2001 there were 116 medium towns, the number increased to 222 in 2011.  There was also a sharp increase in number of cities from 17 in 2001 to 39 in 2011.  The number of metropolises increased to 04 in 2011 from 03 in 2011 and we continue to have 01 megacity of Dhaka since 2001. </w:t>
      </w:r>
      <w:r w:rsidRPr="00DA537A">
        <w:rPr>
          <w:rFonts w:cs="Times New Roman"/>
        </w:rPr>
        <w:t>The</w:t>
      </w:r>
      <w:r w:rsidRPr="00DA537A">
        <w:rPr>
          <w:rFonts w:cs="Times New Roman"/>
          <w:spacing w:val="-4"/>
        </w:rPr>
        <w:t xml:space="preserve"> growth in size as well as number of urban areas over time has happened because of</w:t>
      </w:r>
      <w:r w:rsidRPr="00DA537A">
        <w:rPr>
          <w:rFonts w:cs="Times New Roman"/>
          <w:spacing w:val="-6"/>
        </w:rPr>
        <w:t xml:space="preserve"> </w:t>
      </w:r>
      <w:r w:rsidRPr="00DA537A">
        <w:rPr>
          <w:rFonts w:cs="Times New Roman"/>
        </w:rPr>
        <w:t>in</w:t>
      </w:r>
      <w:r w:rsidRPr="00DA537A">
        <w:rPr>
          <w:rFonts w:cs="Times New Roman"/>
          <w:spacing w:val="-2"/>
        </w:rPr>
        <w:t>t</w:t>
      </w:r>
      <w:r w:rsidRPr="00DA537A">
        <w:rPr>
          <w:rFonts w:cs="Times New Roman"/>
        </w:rPr>
        <w:t>e</w:t>
      </w:r>
      <w:r w:rsidRPr="00DA537A">
        <w:rPr>
          <w:rFonts w:cs="Times New Roman"/>
          <w:spacing w:val="-1"/>
        </w:rPr>
        <w:t>r</w:t>
      </w:r>
      <w:r w:rsidRPr="00DA537A">
        <w:rPr>
          <w:rFonts w:cs="Times New Roman"/>
        </w:rPr>
        <w:t>nal</w:t>
      </w:r>
      <w:r w:rsidRPr="00DA537A">
        <w:rPr>
          <w:rFonts w:cs="Times New Roman"/>
          <w:spacing w:val="-5"/>
        </w:rPr>
        <w:t xml:space="preserve"> </w:t>
      </w:r>
      <w:r w:rsidRPr="00DA537A">
        <w:rPr>
          <w:rFonts w:cs="Times New Roman"/>
        </w:rPr>
        <w:t>rural</w:t>
      </w:r>
      <w:r w:rsidRPr="00DA537A">
        <w:rPr>
          <w:rFonts w:cs="Times New Roman"/>
          <w:spacing w:val="-5"/>
        </w:rPr>
        <w:t xml:space="preserve"> </w:t>
      </w:r>
      <w:r w:rsidRPr="00DA537A">
        <w:rPr>
          <w:rFonts w:cs="Times New Roman"/>
          <w:spacing w:val="-2"/>
        </w:rPr>
        <w:t>t</w:t>
      </w:r>
      <w:r w:rsidRPr="00DA537A">
        <w:rPr>
          <w:rFonts w:cs="Times New Roman"/>
        </w:rPr>
        <w:t>o</w:t>
      </w:r>
      <w:r w:rsidRPr="00DA537A">
        <w:rPr>
          <w:rFonts w:cs="Times New Roman"/>
          <w:spacing w:val="-5"/>
        </w:rPr>
        <w:t xml:space="preserve"> </w:t>
      </w:r>
      <w:r w:rsidRPr="00DA537A">
        <w:rPr>
          <w:rFonts w:cs="Times New Roman"/>
        </w:rPr>
        <w:t>ur</w:t>
      </w:r>
      <w:r w:rsidRPr="00DA537A">
        <w:rPr>
          <w:rFonts w:cs="Times New Roman"/>
          <w:spacing w:val="-3"/>
        </w:rPr>
        <w:t>b</w:t>
      </w:r>
      <w:r w:rsidRPr="00DA537A">
        <w:rPr>
          <w:rFonts w:cs="Times New Roman"/>
        </w:rPr>
        <w:t>an</w:t>
      </w:r>
      <w:r w:rsidRPr="00DA537A">
        <w:rPr>
          <w:rFonts w:cs="Times New Roman"/>
          <w:spacing w:val="-5"/>
        </w:rPr>
        <w:t xml:space="preserve"> </w:t>
      </w:r>
      <w:r w:rsidRPr="00DA537A">
        <w:rPr>
          <w:rFonts w:cs="Times New Roman"/>
        </w:rPr>
        <w:t>migration, catalyzed by growth of industry and the service sector.</w:t>
      </w:r>
    </w:p>
    <w:p w:rsidR="00C02121" w:rsidRDefault="00C02121">
      <w:pPr>
        <w:rPr>
          <w:b/>
        </w:rPr>
      </w:pPr>
      <w:r>
        <w:rPr>
          <w:b/>
        </w:rPr>
        <w:br w:type="page"/>
      </w:r>
    </w:p>
    <w:p w:rsidR="00A356FA" w:rsidRPr="00024601" w:rsidRDefault="00A356FA" w:rsidP="001A40B7">
      <w:pPr>
        <w:pStyle w:val="Heading4"/>
      </w:pPr>
      <w:bookmarkStart w:id="529" w:name="_Toc474639041"/>
      <w:r w:rsidRPr="00024601">
        <w:lastRenderedPageBreak/>
        <w:t xml:space="preserve">Table </w:t>
      </w:r>
      <w:r w:rsidR="00B50A6C">
        <w:t>7.</w:t>
      </w:r>
      <w:r w:rsidRPr="00024601">
        <w:t>4</w:t>
      </w:r>
      <w:r w:rsidR="00F5334A">
        <w:t>a</w:t>
      </w:r>
      <w:r w:rsidRPr="00024601">
        <w:t xml:space="preserve">: Historic Development of Urban </w:t>
      </w:r>
      <w:bookmarkEnd w:id="528"/>
      <w:r w:rsidRPr="00024601">
        <w:t>Centers</w:t>
      </w:r>
      <w:bookmarkEnd w:id="529"/>
    </w:p>
    <w:p w:rsidR="00A356FA" w:rsidRPr="008D5399" w:rsidRDefault="00A356FA" w:rsidP="008D5399">
      <w:pPr>
        <w:spacing w:after="120"/>
      </w:pPr>
      <w:r w:rsidRPr="00AE5D05">
        <w:rPr>
          <w:noProof/>
          <w:lang w:val="en-AU" w:eastAsia="en-AU" w:bidi="bn-BD"/>
        </w:rPr>
        <w:drawing>
          <wp:inline distT="0" distB="0" distL="0" distR="0">
            <wp:extent cx="5886450" cy="2560320"/>
            <wp:effectExtent l="19050" t="19050" r="19050" b="11430"/>
            <wp:docPr id="1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450" cy="2560320"/>
                    </a:xfrm>
                    <a:prstGeom prst="rect">
                      <a:avLst/>
                    </a:prstGeom>
                    <a:noFill/>
                    <a:ln w="12700">
                      <a:solidFill>
                        <a:schemeClr val="tx1"/>
                      </a:solidFill>
                    </a:ln>
                  </pic:spPr>
                </pic:pic>
              </a:graphicData>
            </a:graphic>
          </wp:inline>
        </w:drawing>
      </w:r>
    </w:p>
    <w:p w:rsidR="00165361" w:rsidRPr="00CE739C" w:rsidRDefault="00A356FA" w:rsidP="00CE739C">
      <w:pPr>
        <w:spacing w:before="120"/>
        <w:rPr>
          <w:rFonts w:cs="Times New Roman"/>
          <w:bCs/>
          <w:iCs/>
          <w:sz w:val="20"/>
          <w:szCs w:val="20"/>
        </w:rPr>
      </w:pPr>
      <w:r w:rsidRPr="00394C4B">
        <w:rPr>
          <w:rFonts w:cs="Times New Roman"/>
          <w:b/>
          <w:bCs/>
          <w:i/>
          <w:iCs/>
          <w:sz w:val="20"/>
          <w:szCs w:val="20"/>
        </w:rPr>
        <w:t>Source: CUS (2014)</w:t>
      </w:r>
    </w:p>
    <w:p w:rsidR="00A356FA" w:rsidRPr="00024601" w:rsidRDefault="00A356FA" w:rsidP="001A40B7">
      <w:pPr>
        <w:pStyle w:val="Heading4"/>
      </w:pPr>
      <w:bookmarkStart w:id="530" w:name="_Toc474639042"/>
      <w:r w:rsidRPr="00024601">
        <w:t xml:space="preserve">Table </w:t>
      </w:r>
      <w:r w:rsidR="00B50A6C">
        <w:t>7.</w:t>
      </w:r>
      <w:r w:rsidR="00F5334A">
        <w:t>4b</w:t>
      </w:r>
      <w:r w:rsidRPr="00024601">
        <w:t xml:space="preserve">: Urban Centers by Size Class as of 2011 </w:t>
      </w:r>
      <w:r w:rsidRPr="00024601">
        <w:rPr>
          <w:i/>
        </w:rPr>
        <w:t>(under revised definition of BBS)</w:t>
      </w:r>
      <w:bookmarkEnd w:id="530"/>
      <w:r w:rsidRPr="00024601">
        <w:t xml:space="preserve"> </w:t>
      </w:r>
    </w:p>
    <w:tbl>
      <w:tblPr>
        <w:tblStyle w:val="TableGrid"/>
        <w:tblW w:w="5000" w:type="pct"/>
        <w:tblLook w:val="04A0"/>
      </w:tblPr>
      <w:tblGrid>
        <w:gridCol w:w="6192"/>
        <w:gridCol w:w="3384"/>
      </w:tblGrid>
      <w:tr w:rsidR="00A356FA" w:rsidTr="00215325">
        <w:tc>
          <w:tcPr>
            <w:tcW w:w="3233" w:type="pct"/>
          </w:tcPr>
          <w:p w:rsidR="00A356FA" w:rsidRPr="004E3AA0" w:rsidRDefault="00A356FA" w:rsidP="00024601">
            <w:pPr>
              <w:spacing w:after="0" w:line="276" w:lineRule="auto"/>
              <w:jc w:val="both"/>
              <w:rPr>
                <w:rFonts w:cs="Times New Roman"/>
                <w:b/>
                <w:spacing w:val="-7"/>
              </w:rPr>
            </w:pPr>
            <w:bookmarkStart w:id="531" w:name="_Toc420836576"/>
            <w:r w:rsidRPr="004E3AA0">
              <w:rPr>
                <w:rFonts w:cs="Times New Roman"/>
                <w:b/>
                <w:spacing w:val="-7"/>
              </w:rPr>
              <w:t>Size Class</w:t>
            </w:r>
          </w:p>
        </w:tc>
        <w:tc>
          <w:tcPr>
            <w:tcW w:w="1767" w:type="pct"/>
          </w:tcPr>
          <w:p w:rsidR="00A356FA" w:rsidRPr="004E3AA0" w:rsidRDefault="00A356FA" w:rsidP="00024601">
            <w:pPr>
              <w:spacing w:after="0" w:line="276" w:lineRule="auto"/>
              <w:jc w:val="center"/>
              <w:rPr>
                <w:rFonts w:cs="Times New Roman"/>
                <w:b/>
                <w:spacing w:val="-7"/>
              </w:rPr>
            </w:pPr>
            <w:r w:rsidRPr="004E3AA0">
              <w:rPr>
                <w:rFonts w:cs="Times New Roman"/>
                <w:b/>
                <w:spacing w:val="-7"/>
              </w:rPr>
              <w:t>2011</w:t>
            </w:r>
          </w:p>
        </w:tc>
      </w:tr>
      <w:tr w:rsidR="00A356FA" w:rsidTr="00215325">
        <w:tc>
          <w:tcPr>
            <w:tcW w:w="3233" w:type="pct"/>
          </w:tcPr>
          <w:p w:rsidR="00A356FA" w:rsidRDefault="00A356FA" w:rsidP="00024601">
            <w:pPr>
              <w:spacing w:after="0" w:line="276" w:lineRule="auto"/>
              <w:jc w:val="both"/>
              <w:rPr>
                <w:rFonts w:cs="Times New Roman"/>
                <w:spacing w:val="-7"/>
              </w:rPr>
            </w:pPr>
            <w:r>
              <w:rPr>
                <w:rFonts w:cs="Times New Roman"/>
                <w:spacing w:val="-7"/>
              </w:rPr>
              <w:t>Small Town (Below 25,000)</w:t>
            </w:r>
          </w:p>
        </w:tc>
        <w:tc>
          <w:tcPr>
            <w:tcW w:w="1767" w:type="pct"/>
          </w:tcPr>
          <w:p w:rsidR="00A356FA" w:rsidRDefault="00A356FA" w:rsidP="00024601">
            <w:pPr>
              <w:spacing w:after="0" w:line="276" w:lineRule="auto"/>
              <w:jc w:val="center"/>
              <w:rPr>
                <w:rFonts w:cs="Times New Roman"/>
                <w:spacing w:val="-7"/>
              </w:rPr>
            </w:pPr>
            <w:r>
              <w:rPr>
                <w:rFonts w:cs="Times New Roman"/>
                <w:spacing w:val="-7"/>
              </w:rPr>
              <w:t>240</w:t>
            </w:r>
          </w:p>
        </w:tc>
      </w:tr>
      <w:tr w:rsidR="00A356FA" w:rsidTr="00215325">
        <w:tc>
          <w:tcPr>
            <w:tcW w:w="3233" w:type="pct"/>
          </w:tcPr>
          <w:p w:rsidR="00A356FA" w:rsidRDefault="00A356FA" w:rsidP="00024601">
            <w:pPr>
              <w:spacing w:after="0" w:line="276" w:lineRule="auto"/>
              <w:jc w:val="both"/>
              <w:rPr>
                <w:rFonts w:cs="Times New Roman"/>
                <w:spacing w:val="-7"/>
              </w:rPr>
            </w:pPr>
            <w:r>
              <w:rPr>
                <w:rFonts w:cs="Times New Roman"/>
                <w:spacing w:val="-7"/>
              </w:rPr>
              <w:t>Medium Town (25,000 – 99,999)</w:t>
            </w:r>
          </w:p>
        </w:tc>
        <w:tc>
          <w:tcPr>
            <w:tcW w:w="1767" w:type="pct"/>
          </w:tcPr>
          <w:p w:rsidR="00A356FA" w:rsidRDefault="00A356FA" w:rsidP="00024601">
            <w:pPr>
              <w:spacing w:after="0" w:line="276" w:lineRule="auto"/>
              <w:jc w:val="center"/>
              <w:rPr>
                <w:rFonts w:cs="Times New Roman"/>
                <w:spacing w:val="-7"/>
              </w:rPr>
            </w:pPr>
            <w:r>
              <w:rPr>
                <w:rFonts w:cs="Times New Roman"/>
                <w:spacing w:val="-7"/>
              </w:rPr>
              <w:t>222</w:t>
            </w:r>
          </w:p>
        </w:tc>
      </w:tr>
      <w:tr w:rsidR="00A356FA" w:rsidTr="00215325">
        <w:tc>
          <w:tcPr>
            <w:tcW w:w="3233" w:type="pct"/>
          </w:tcPr>
          <w:p w:rsidR="00A356FA" w:rsidRDefault="00A356FA" w:rsidP="00024601">
            <w:pPr>
              <w:spacing w:after="0" w:line="276" w:lineRule="auto"/>
              <w:jc w:val="both"/>
              <w:rPr>
                <w:rFonts w:cs="Times New Roman"/>
                <w:spacing w:val="-7"/>
              </w:rPr>
            </w:pPr>
            <w:r>
              <w:rPr>
                <w:rFonts w:cs="Times New Roman"/>
                <w:spacing w:val="-7"/>
              </w:rPr>
              <w:t>City (100,000 – 499,999)</w:t>
            </w:r>
          </w:p>
        </w:tc>
        <w:tc>
          <w:tcPr>
            <w:tcW w:w="1767" w:type="pct"/>
          </w:tcPr>
          <w:p w:rsidR="00A356FA" w:rsidRDefault="00A356FA" w:rsidP="00024601">
            <w:pPr>
              <w:spacing w:after="0" w:line="276" w:lineRule="auto"/>
              <w:jc w:val="center"/>
              <w:rPr>
                <w:rFonts w:cs="Times New Roman"/>
                <w:spacing w:val="-7"/>
              </w:rPr>
            </w:pPr>
            <w:r>
              <w:rPr>
                <w:rFonts w:cs="Times New Roman"/>
                <w:spacing w:val="-7"/>
              </w:rPr>
              <w:t>39</w:t>
            </w:r>
          </w:p>
        </w:tc>
      </w:tr>
      <w:tr w:rsidR="00A356FA" w:rsidTr="00215325">
        <w:tc>
          <w:tcPr>
            <w:tcW w:w="3233" w:type="pct"/>
          </w:tcPr>
          <w:p w:rsidR="00A356FA" w:rsidRDefault="00A356FA" w:rsidP="00024601">
            <w:pPr>
              <w:spacing w:after="0" w:line="276" w:lineRule="auto"/>
              <w:jc w:val="both"/>
              <w:rPr>
                <w:rFonts w:cs="Times New Roman"/>
                <w:spacing w:val="-7"/>
              </w:rPr>
            </w:pPr>
            <w:r>
              <w:rPr>
                <w:rFonts w:cs="Times New Roman"/>
                <w:spacing w:val="-7"/>
              </w:rPr>
              <w:t>Metropolis (500,000 – 5,000,000)</w:t>
            </w:r>
          </w:p>
        </w:tc>
        <w:tc>
          <w:tcPr>
            <w:tcW w:w="1767" w:type="pct"/>
          </w:tcPr>
          <w:p w:rsidR="00A356FA" w:rsidRDefault="00A356FA" w:rsidP="00024601">
            <w:pPr>
              <w:spacing w:after="0" w:line="276" w:lineRule="auto"/>
              <w:jc w:val="center"/>
              <w:rPr>
                <w:rFonts w:cs="Times New Roman"/>
                <w:spacing w:val="-7"/>
              </w:rPr>
            </w:pPr>
            <w:r>
              <w:rPr>
                <w:rFonts w:cs="Times New Roman"/>
                <w:spacing w:val="-7"/>
              </w:rPr>
              <w:t>04</w:t>
            </w:r>
          </w:p>
        </w:tc>
      </w:tr>
      <w:tr w:rsidR="00A356FA" w:rsidTr="00215325">
        <w:tc>
          <w:tcPr>
            <w:tcW w:w="3233" w:type="pct"/>
          </w:tcPr>
          <w:p w:rsidR="00A356FA" w:rsidRDefault="00A356FA" w:rsidP="00024601">
            <w:pPr>
              <w:spacing w:after="0" w:line="276" w:lineRule="auto"/>
              <w:jc w:val="both"/>
              <w:rPr>
                <w:rFonts w:cs="Times New Roman"/>
                <w:spacing w:val="-7"/>
              </w:rPr>
            </w:pPr>
            <w:r>
              <w:rPr>
                <w:rFonts w:cs="Times New Roman"/>
                <w:spacing w:val="-7"/>
              </w:rPr>
              <w:t>Megacity (more than 5,000,000)</w:t>
            </w:r>
          </w:p>
        </w:tc>
        <w:tc>
          <w:tcPr>
            <w:tcW w:w="1767" w:type="pct"/>
          </w:tcPr>
          <w:p w:rsidR="00A356FA" w:rsidRDefault="00A356FA" w:rsidP="00024601">
            <w:pPr>
              <w:spacing w:after="0" w:line="276" w:lineRule="auto"/>
              <w:jc w:val="center"/>
              <w:rPr>
                <w:rFonts w:cs="Times New Roman"/>
                <w:spacing w:val="-7"/>
              </w:rPr>
            </w:pPr>
            <w:r>
              <w:rPr>
                <w:rFonts w:cs="Times New Roman"/>
                <w:spacing w:val="-7"/>
              </w:rPr>
              <w:t>01</w:t>
            </w:r>
          </w:p>
        </w:tc>
      </w:tr>
      <w:tr w:rsidR="00A356FA" w:rsidTr="00215325">
        <w:tc>
          <w:tcPr>
            <w:tcW w:w="3233" w:type="pct"/>
          </w:tcPr>
          <w:p w:rsidR="00A356FA" w:rsidRPr="004E3AA0" w:rsidRDefault="00A356FA" w:rsidP="00024601">
            <w:pPr>
              <w:spacing w:after="0" w:line="276" w:lineRule="auto"/>
              <w:jc w:val="both"/>
              <w:rPr>
                <w:rFonts w:cs="Times New Roman"/>
                <w:b/>
                <w:spacing w:val="-7"/>
              </w:rPr>
            </w:pPr>
            <w:r w:rsidRPr="004E3AA0">
              <w:rPr>
                <w:rFonts w:cs="Times New Roman"/>
                <w:b/>
                <w:spacing w:val="-7"/>
              </w:rPr>
              <w:t>All Urban Centers</w:t>
            </w:r>
          </w:p>
        </w:tc>
        <w:tc>
          <w:tcPr>
            <w:tcW w:w="1767" w:type="pct"/>
          </w:tcPr>
          <w:p w:rsidR="00A356FA" w:rsidRPr="004E3AA0" w:rsidRDefault="00A356FA" w:rsidP="00024601">
            <w:pPr>
              <w:spacing w:after="0" w:line="276" w:lineRule="auto"/>
              <w:jc w:val="center"/>
              <w:rPr>
                <w:rFonts w:cs="Times New Roman"/>
                <w:b/>
                <w:spacing w:val="-7"/>
              </w:rPr>
            </w:pPr>
            <w:r>
              <w:rPr>
                <w:rFonts w:cs="Times New Roman"/>
                <w:b/>
                <w:spacing w:val="-7"/>
              </w:rPr>
              <w:t>506</w:t>
            </w:r>
          </w:p>
        </w:tc>
      </w:tr>
    </w:tbl>
    <w:p w:rsidR="00A356FA" w:rsidRPr="004D38C6" w:rsidRDefault="00A356FA" w:rsidP="00215325">
      <w:pPr>
        <w:spacing w:before="120" w:line="276" w:lineRule="auto"/>
        <w:jc w:val="both"/>
        <w:rPr>
          <w:rFonts w:cs="Times New Roman"/>
          <w:b/>
          <w:i/>
          <w:spacing w:val="-7"/>
          <w:sz w:val="20"/>
          <w:szCs w:val="18"/>
        </w:rPr>
      </w:pPr>
      <w:r w:rsidRPr="004D38C6">
        <w:rPr>
          <w:rFonts w:cs="Times New Roman"/>
          <w:b/>
          <w:i/>
          <w:spacing w:val="-7"/>
          <w:sz w:val="20"/>
          <w:szCs w:val="18"/>
        </w:rPr>
        <w:t>Source: BBS</w:t>
      </w:r>
    </w:p>
    <w:p w:rsidR="00A356FA" w:rsidRPr="007F288A" w:rsidRDefault="00A356FA" w:rsidP="00436DFF">
      <w:pPr>
        <w:spacing w:line="276" w:lineRule="auto"/>
        <w:jc w:val="both"/>
        <w:rPr>
          <w:rFonts w:cs="Times New Roman"/>
          <w:szCs w:val="24"/>
          <w:u w:val="single"/>
        </w:rPr>
      </w:pPr>
      <w:r w:rsidRPr="00436DFF">
        <w:rPr>
          <w:rFonts w:cs="Times New Roman"/>
          <w:szCs w:val="24"/>
        </w:rPr>
        <w:t xml:space="preserve">Main drivers of upwards trends of urbanization supported by rural-urban migration has been the population growth and the demographic challenges and opportunities, economic growth related policies, extensive rural road network giving better market access, and climate change impacts including growing problems of salinity in the southern coastal zone, river erosion. There has been significant increase in urban and industrial areas of the country between the period 1976 and 2010. As evident from Table </w:t>
      </w:r>
      <w:r w:rsidR="00B50A6C" w:rsidRPr="00436DFF">
        <w:rPr>
          <w:rFonts w:cs="Times New Roman"/>
          <w:szCs w:val="24"/>
        </w:rPr>
        <w:t>7.</w:t>
      </w:r>
      <w:r w:rsidRPr="00436DFF">
        <w:rPr>
          <w:rFonts w:cs="Times New Roman"/>
          <w:szCs w:val="24"/>
        </w:rPr>
        <w:t>3, the total urban and industrial area was 26,79</w:t>
      </w:r>
      <w:r w:rsidR="00950E3B" w:rsidRPr="00436DFF">
        <w:rPr>
          <w:rFonts w:cs="Times New Roman"/>
          <w:szCs w:val="24"/>
        </w:rPr>
        <w:t xml:space="preserve">9 hectares (267.99 </w:t>
      </w:r>
      <w:r w:rsidRPr="00436DFF">
        <w:rPr>
          <w:rFonts w:cs="Times New Roman"/>
          <w:szCs w:val="24"/>
        </w:rPr>
        <w:t xml:space="preserve">sq.km) in 1976 that expanded to 47,495 hectares (474.95 sq.km) in 2000 and dramatically increased to 87,616 hectares (876.16 sq.km) in 2010.   The annual rate of increase was also higher (0.027%) during 2000- 2010, while the increase was only 0.006 percent during 1976 to 2000.  The overall annual rate of urban and industrial area increase was 0.012% of the total area of Bangladesh, with an </w:t>
      </w:r>
      <w:r w:rsidR="00695A0D" w:rsidRPr="00436DFF">
        <w:rPr>
          <w:rFonts w:cs="Times New Roman"/>
          <w:szCs w:val="24"/>
        </w:rPr>
        <w:t xml:space="preserve">average of 4012 hectares </w:t>
      </w:r>
      <w:r w:rsidR="00F64A6A" w:rsidRPr="00F64A6A">
        <w:rPr>
          <w:rFonts w:cs="Times New Roman"/>
          <w:szCs w:val="24"/>
          <w:u w:val="single"/>
        </w:rPr>
        <w:t xml:space="preserve">(40.12 sq.km) of land being transformed annually to urban and industrial use between 2000 and 2010. </w:t>
      </w:r>
    </w:p>
    <w:p w:rsidR="00A356FA" w:rsidRPr="00BB495B" w:rsidRDefault="00A356FA" w:rsidP="00A356FA">
      <w:pPr>
        <w:spacing w:line="276" w:lineRule="auto"/>
        <w:jc w:val="both"/>
        <w:rPr>
          <w:rFonts w:cs="Times New Roman"/>
          <w:szCs w:val="24"/>
        </w:rPr>
      </w:pPr>
      <w:r w:rsidRPr="00BB495B">
        <w:rPr>
          <w:rFonts w:cs="Times New Roman"/>
          <w:szCs w:val="24"/>
        </w:rPr>
        <w:lastRenderedPageBreak/>
        <w:t>The increased demand for urban and industrial land is a reflection of the growth strategies of the 6</w:t>
      </w:r>
      <w:r w:rsidRPr="00BB495B">
        <w:rPr>
          <w:rFonts w:cs="Times New Roman"/>
          <w:szCs w:val="24"/>
          <w:vertAlign w:val="superscript"/>
        </w:rPr>
        <w:t>th</w:t>
      </w:r>
      <w:r w:rsidRPr="00BB495B">
        <w:rPr>
          <w:rFonts w:cs="Times New Roman"/>
          <w:szCs w:val="24"/>
        </w:rPr>
        <w:t xml:space="preserve"> and 7</w:t>
      </w:r>
      <w:r w:rsidRPr="00BB495B">
        <w:rPr>
          <w:rFonts w:cs="Times New Roman"/>
          <w:szCs w:val="24"/>
          <w:vertAlign w:val="superscript"/>
        </w:rPr>
        <w:t>th</w:t>
      </w:r>
      <w:r w:rsidRPr="00BB495B">
        <w:rPr>
          <w:rFonts w:cs="Times New Roman"/>
          <w:szCs w:val="24"/>
        </w:rPr>
        <w:t xml:space="preserve"> Five Year Plans, where Bangladesh has made a strategic choice of moving to a higher growth trajectory of over 7% GDP growth per annum with manufacturing and industry taking the burden of this growth. Economic</w:t>
      </w:r>
      <w:r w:rsidRPr="00BB495B">
        <w:rPr>
          <w:rFonts w:cs="Times New Roman"/>
          <w:spacing w:val="-4"/>
          <w:szCs w:val="24"/>
        </w:rPr>
        <w:t xml:space="preserve"> </w:t>
      </w:r>
      <w:r w:rsidRPr="00BB495B">
        <w:rPr>
          <w:rFonts w:cs="Times New Roman"/>
          <w:szCs w:val="24"/>
        </w:rPr>
        <w:t>g</w:t>
      </w:r>
      <w:r w:rsidRPr="00BB495B">
        <w:rPr>
          <w:rFonts w:cs="Times New Roman"/>
          <w:spacing w:val="-3"/>
          <w:szCs w:val="24"/>
        </w:rPr>
        <w:t>r</w:t>
      </w:r>
      <w:r w:rsidRPr="00BB495B">
        <w:rPr>
          <w:rFonts w:cs="Times New Roman"/>
          <w:szCs w:val="24"/>
        </w:rPr>
        <w:t>owth</w:t>
      </w:r>
      <w:r w:rsidRPr="00BB495B">
        <w:rPr>
          <w:rFonts w:cs="Times New Roman"/>
          <w:spacing w:val="-4"/>
          <w:szCs w:val="24"/>
        </w:rPr>
        <w:t xml:space="preserve"> </w:t>
      </w:r>
      <w:r w:rsidRPr="00BB495B">
        <w:rPr>
          <w:rFonts w:cs="Times New Roman"/>
          <w:szCs w:val="24"/>
        </w:rPr>
        <w:t>will</w:t>
      </w:r>
      <w:r w:rsidRPr="00BB495B">
        <w:rPr>
          <w:rFonts w:cs="Times New Roman"/>
          <w:spacing w:val="-5"/>
          <w:szCs w:val="24"/>
        </w:rPr>
        <w:t xml:space="preserve"> continue to </w:t>
      </w:r>
      <w:r w:rsidRPr="00BB495B">
        <w:rPr>
          <w:rFonts w:cs="Times New Roman"/>
          <w:szCs w:val="24"/>
        </w:rPr>
        <w:t>im</w:t>
      </w:r>
      <w:r w:rsidRPr="00BB495B">
        <w:rPr>
          <w:rFonts w:cs="Times New Roman"/>
          <w:spacing w:val="-3"/>
          <w:szCs w:val="24"/>
        </w:rPr>
        <w:t>p</w:t>
      </w:r>
      <w:r w:rsidRPr="00BB495B">
        <w:rPr>
          <w:rFonts w:cs="Times New Roman"/>
          <w:szCs w:val="24"/>
        </w:rPr>
        <w:t>act</w:t>
      </w:r>
      <w:r w:rsidRPr="00BB495B">
        <w:rPr>
          <w:rFonts w:cs="Times New Roman"/>
          <w:spacing w:val="-4"/>
          <w:szCs w:val="24"/>
        </w:rPr>
        <w:t xml:space="preserve"> </w:t>
      </w:r>
      <w:r w:rsidRPr="00BB495B">
        <w:rPr>
          <w:rFonts w:cs="Times New Roman"/>
          <w:szCs w:val="24"/>
        </w:rPr>
        <w:t>the</w:t>
      </w:r>
      <w:r w:rsidRPr="00BB495B">
        <w:rPr>
          <w:rFonts w:cs="Times New Roman"/>
          <w:spacing w:val="-3"/>
          <w:szCs w:val="24"/>
        </w:rPr>
        <w:t xml:space="preserve"> </w:t>
      </w:r>
      <w:r w:rsidRPr="00BB495B">
        <w:rPr>
          <w:rFonts w:cs="Times New Roman"/>
          <w:szCs w:val="24"/>
        </w:rPr>
        <w:t>s</w:t>
      </w:r>
      <w:r w:rsidRPr="00BB495B">
        <w:rPr>
          <w:rFonts w:cs="Times New Roman"/>
          <w:spacing w:val="-3"/>
          <w:szCs w:val="24"/>
        </w:rPr>
        <w:t>p</w:t>
      </w:r>
      <w:r w:rsidRPr="00BB495B">
        <w:rPr>
          <w:rFonts w:cs="Times New Roman"/>
          <w:szCs w:val="24"/>
        </w:rPr>
        <w:t>atial</w:t>
      </w:r>
      <w:r w:rsidRPr="00BB495B">
        <w:rPr>
          <w:rFonts w:cs="Times New Roman"/>
          <w:spacing w:val="-4"/>
          <w:szCs w:val="24"/>
        </w:rPr>
        <w:t xml:space="preserve"> </w:t>
      </w:r>
      <w:r w:rsidRPr="00BB495B">
        <w:rPr>
          <w:rFonts w:cs="Times New Roman"/>
          <w:szCs w:val="24"/>
        </w:rPr>
        <w:t>de</w:t>
      </w:r>
      <w:r w:rsidRPr="00BB495B">
        <w:rPr>
          <w:rFonts w:cs="Times New Roman"/>
          <w:spacing w:val="-2"/>
          <w:szCs w:val="24"/>
        </w:rPr>
        <w:t>v</w:t>
      </w:r>
      <w:r w:rsidRPr="00BB495B">
        <w:rPr>
          <w:rFonts w:cs="Times New Roman"/>
          <w:szCs w:val="24"/>
        </w:rPr>
        <w:t xml:space="preserve">elopment. This growth will require not only setting of industry directly or through Special Economic Zones, but also will require continuous upgrading and addition of new infrastructure, like the Dhaka Chittagong Highway corridor, new power plants, new energy supply related infrastructure as well development of service sectors, schools, hospitals, retail, banking, transport, housing, in support leading to increasing demand for urban space.  Along with these also come risks like floods and other man made environmental disasters that could put in jeopardy the issue of balance and sustainable inclusive growth and development, and so requiring more preventive measures. </w:t>
      </w:r>
      <w:bookmarkEnd w:id="531"/>
    </w:p>
    <w:p w:rsidR="00A356FA" w:rsidRPr="00BB495B" w:rsidRDefault="00A356FA" w:rsidP="00A356FA">
      <w:pPr>
        <w:spacing w:line="276" w:lineRule="auto"/>
        <w:jc w:val="both"/>
        <w:rPr>
          <w:rFonts w:cs="Times New Roman"/>
          <w:iCs/>
          <w:szCs w:val="24"/>
        </w:rPr>
      </w:pPr>
      <w:r w:rsidRPr="00BB495B">
        <w:rPr>
          <w:rFonts w:cs="Times New Roman"/>
          <w:iCs/>
          <w:szCs w:val="24"/>
        </w:rPr>
        <w:t>Population growth and the</w:t>
      </w:r>
      <w:r w:rsidRPr="00BB495B">
        <w:rPr>
          <w:rFonts w:cs="Times New Roman"/>
          <w:iCs/>
          <w:w w:val="99"/>
          <w:szCs w:val="24"/>
        </w:rPr>
        <w:t xml:space="preserve"> </w:t>
      </w:r>
      <w:r w:rsidRPr="00BB495B">
        <w:rPr>
          <w:rFonts w:cs="Times New Roman"/>
          <w:iCs/>
          <w:szCs w:val="24"/>
        </w:rPr>
        <w:t>ongoing</w:t>
      </w:r>
      <w:r w:rsidRPr="00BB495B">
        <w:rPr>
          <w:rFonts w:cs="Times New Roman"/>
          <w:iCs/>
          <w:spacing w:val="-5"/>
          <w:szCs w:val="24"/>
        </w:rPr>
        <w:t xml:space="preserve"> </w:t>
      </w:r>
      <w:r w:rsidRPr="00BB495B">
        <w:rPr>
          <w:rFonts w:cs="Times New Roman"/>
          <w:iCs/>
          <w:szCs w:val="24"/>
        </w:rPr>
        <w:t>p</w:t>
      </w:r>
      <w:r w:rsidRPr="00BB495B">
        <w:rPr>
          <w:rFonts w:cs="Times New Roman"/>
          <w:iCs/>
          <w:spacing w:val="-3"/>
          <w:szCs w:val="24"/>
        </w:rPr>
        <w:t>r</w:t>
      </w:r>
      <w:r w:rsidRPr="00BB495B">
        <w:rPr>
          <w:rFonts w:cs="Times New Roman"/>
          <w:iCs/>
          <w:szCs w:val="24"/>
        </w:rPr>
        <w:t>ocess</w:t>
      </w:r>
      <w:r w:rsidRPr="00BB495B">
        <w:rPr>
          <w:rFonts w:cs="Times New Roman"/>
          <w:iCs/>
          <w:spacing w:val="-5"/>
          <w:szCs w:val="24"/>
        </w:rPr>
        <w:t xml:space="preserve"> o</w:t>
      </w:r>
      <w:r w:rsidRPr="00BB495B">
        <w:rPr>
          <w:rFonts w:cs="Times New Roman"/>
          <w:iCs/>
          <w:szCs w:val="24"/>
        </w:rPr>
        <w:t>f</w:t>
      </w:r>
      <w:r w:rsidRPr="00BB495B">
        <w:rPr>
          <w:rFonts w:cs="Times New Roman"/>
          <w:iCs/>
          <w:spacing w:val="-5"/>
          <w:szCs w:val="24"/>
        </w:rPr>
        <w:t xml:space="preserve"> </w:t>
      </w:r>
      <w:r w:rsidRPr="00BB495B">
        <w:rPr>
          <w:rFonts w:cs="Times New Roman"/>
          <w:iCs/>
          <w:szCs w:val="24"/>
        </w:rPr>
        <w:t>ur</w:t>
      </w:r>
      <w:r w:rsidRPr="00BB495B">
        <w:rPr>
          <w:rFonts w:cs="Times New Roman"/>
          <w:iCs/>
          <w:spacing w:val="-3"/>
          <w:szCs w:val="24"/>
        </w:rPr>
        <w:t>b</w:t>
      </w:r>
      <w:r w:rsidRPr="00BB495B">
        <w:rPr>
          <w:rFonts w:cs="Times New Roman"/>
          <w:iCs/>
          <w:szCs w:val="24"/>
        </w:rPr>
        <w:t>anization</w:t>
      </w:r>
      <w:r w:rsidRPr="00BB495B">
        <w:rPr>
          <w:rFonts w:cs="Times New Roman"/>
          <w:iCs/>
          <w:spacing w:val="-4"/>
          <w:szCs w:val="24"/>
        </w:rPr>
        <w:t xml:space="preserve"> </w:t>
      </w:r>
      <w:r w:rsidRPr="00BB495B">
        <w:rPr>
          <w:rFonts w:cs="Times New Roman"/>
          <w:iCs/>
          <w:szCs w:val="24"/>
        </w:rPr>
        <w:t>will</w:t>
      </w:r>
      <w:r w:rsidRPr="00BB495B">
        <w:rPr>
          <w:rFonts w:cs="Times New Roman"/>
          <w:iCs/>
          <w:spacing w:val="-6"/>
          <w:szCs w:val="24"/>
        </w:rPr>
        <w:t xml:space="preserve"> </w:t>
      </w:r>
      <w:r w:rsidRPr="00BB495B">
        <w:rPr>
          <w:rFonts w:cs="Times New Roman"/>
          <w:iCs/>
          <w:szCs w:val="24"/>
        </w:rPr>
        <w:t>fu</w:t>
      </w:r>
      <w:r w:rsidRPr="00BB495B">
        <w:rPr>
          <w:rFonts w:cs="Times New Roman"/>
          <w:iCs/>
          <w:spacing w:val="5"/>
          <w:szCs w:val="24"/>
        </w:rPr>
        <w:t>r</w:t>
      </w:r>
      <w:r w:rsidRPr="00BB495B">
        <w:rPr>
          <w:rFonts w:cs="Times New Roman"/>
          <w:iCs/>
          <w:szCs w:val="24"/>
        </w:rPr>
        <w:t>ther</w:t>
      </w:r>
      <w:r w:rsidRPr="00BB495B">
        <w:rPr>
          <w:rFonts w:cs="Times New Roman"/>
          <w:iCs/>
          <w:spacing w:val="-4"/>
          <w:szCs w:val="24"/>
        </w:rPr>
        <w:t xml:space="preserve"> </w:t>
      </w:r>
      <w:r w:rsidRPr="00BB495B">
        <w:rPr>
          <w:rFonts w:cs="Times New Roman"/>
          <w:iCs/>
          <w:szCs w:val="24"/>
        </w:rPr>
        <w:t>increase</w:t>
      </w:r>
      <w:r w:rsidRPr="00BB495B">
        <w:rPr>
          <w:rFonts w:cs="Times New Roman"/>
          <w:iCs/>
          <w:spacing w:val="-5"/>
          <w:szCs w:val="24"/>
        </w:rPr>
        <w:t xml:space="preserve"> </w:t>
      </w:r>
      <w:r w:rsidRPr="00BB495B">
        <w:rPr>
          <w:rFonts w:cs="Times New Roman"/>
          <w:iCs/>
          <w:szCs w:val="24"/>
        </w:rPr>
        <w:t>the</w:t>
      </w:r>
      <w:r w:rsidRPr="00BB495B">
        <w:rPr>
          <w:rFonts w:cs="Times New Roman"/>
          <w:iCs/>
          <w:spacing w:val="-4"/>
          <w:szCs w:val="24"/>
        </w:rPr>
        <w:t xml:space="preserve"> </w:t>
      </w:r>
      <w:r w:rsidRPr="00BB495B">
        <w:rPr>
          <w:rFonts w:cs="Times New Roman"/>
          <w:iCs/>
          <w:szCs w:val="24"/>
        </w:rPr>
        <w:t>p</w:t>
      </w:r>
      <w:r w:rsidRPr="00BB495B">
        <w:rPr>
          <w:rFonts w:cs="Times New Roman"/>
          <w:iCs/>
          <w:spacing w:val="-3"/>
          <w:szCs w:val="24"/>
        </w:rPr>
        <w:t>r</w:t>
      </w:r>
      <w:r w:rsidRPr="00BB495B">
        <w:rPr>
          <w:rFonts w:cs="Times New Roman"/>
          <w:iCs/>
          <w:szCs w:val="24"/>
        </w:rPr>
        <w:t>essu</w:t>
      </w:r>
      <w:r w:rsidRPr="00BB495B">
        <w:rPr>
          <w:rFonts w:cs="Times New Roman"/>
          <w:iCs/>
          <w:spacing w:val="-3"/>
          <w:szCs w:val="24"/>
        </w:rPr>
        <w:t>r</w:t>
      </w:r>
      <w:r w:rsidRPr="00BB495B">
        <w:rPr>
          <w:rFonts w:cs="Times New Roman"/>
          <w:iCs/>
          <w:szCs w:val="24"/>
        </w:rPr>
        <w:t>e</w:t>
      </w:r>
      <w:r w:rsidRPr="00BB495B">
        <w:rPr>
          <w:rFonts w:cs="Times New Roman"/>
          <w:iCs/>
          <w:spacing w:val="-5"/>
          <w:szCs w:val="24"/>
        </w:rPr>
        <w:t xml:space="preserve"> </w:t>
      </w:r>
      <w:r w:rsidRPr="00BB495B">
        <w:rPr>
          <w:rFonts w:cs="Times New Roman"/>
          <w:iCs/>
          <w:szCs w:val="24"/>
        </w:rPr>
        <w:t>on</w:t>
      </w:r>
      <w:r w:rsidRPr="00BB495B">
        <w:rPr>
          <w:rFonts w:cs="Times New Roman"/>
          <w:iCs/>
          <w:spacing w:val="-4"/>
          <w:szCs w:val="24"/>
        </w:rPr>
        <w:t xml:space="preserve"> </w:t>
      </w:r>
      <w:r w:rsidRPr="00BB495B">
        <w:rPr>
          <w:rFonts w:cs="Times New Roman"/>
          <w:iCs/>
          <w:szCs w:val="24"/>
        </w:rPr>
        <w:t xml:space="preserve">land, requiring better policies, regulatory enforcements, and fool proof implementation of zoning laws and regulation so that the urbanization process is streamlined in a way that it both addresses the urban related demand on land resources as well delineating land in an optimal way to meet the competing demands for food security on the one hand and the need for creation of quality jobs for a continuously growing labor market.  </w:t>
      </w:r>
    </w:p>
    <w:p w:rsidR="00A356FA" w:rsidRPr="00BB495B" w:rsidRDefault="00F64A6A" w:rsidP="00A356FA">
      <w:pPr>
        <w:widowControl w:val="0"/>
        <w:autoSpaceDE w:val="0"/>
        <w:autoSpaceDN w:val="0"/>
        <w:adjustRightInd w:val="0"/>
        <w:spacing w:line="276" w:lineRule="auto"/>
        <w:jc w:val="both"/>
        <w:rPr>
          <w:rFonts w:cs="Times New Roman"/>
          <w:color w:val="000000"/>
          <w:szCs w:val="24"/>
        </w:rPr>
      </w:pPr>
      <w:bookmarkStart w:id="532" w:name="_Toc412013661"/>
      <w:bookmarkStart w:id="533" w:name="_Toc439146120"/>
      <w:r w:rsidRPr="00F64A6A">
        <w:rPr>
          <w:rFonts w:cs="Times New Roman"/>
          <w:i/>
          <w:szCs w:val="24"/>
          <w:u w:val="single"/>
        </w:rPr>
        <w:t>Trends in Rural Settlement</w:t>
      </w:r>
      <w:bookmarkEnd w:id="532"/>
      <w:bookmarkEnd w:id="533"/>
      <w:r w:rsidRPr="00F64A6A">
        <w:rPr>
          <w:rFonts w:cs="Times New Roman"/>
          <w:i/>
          <w:szCs w:val="24"/>
          <w:u w:val="single"/>
        </w:rPr>
        <w:t>:</w:t>
      </w:r>
      <w:r w:rsidRPr="00F64A6A">
        <w:rPr>
          <w:rFonts w:cs="Times New Roman"/>
          <w:b/>
          <w:szCs w:val="24"/>
          <w:u w:val="single"/>
        </w:rPr>
        <w:t xml:space="preserve"> </w:t>
      </w:r>
      <w:r w:rsidRPr="00F64A6A">
        <w:rPr>
          <w:rFonts w:cs="Times New Roman"/>
          <w:szCs w:val="24"/>
          <w:u w:val="single"/>
        </w:rPr>
        <w:t xml:space="preserve"> </w:t>
      </w:r>
      <w:r w:rsidRPr="00F64A6A">
        <w:rPr>
          <w:rFonts w:cs="Times New Roman"/>
          <w:i/>
          <w:szCs w:val="24"/>
          <w:u w:val="single"/>
        </w:rPr>
        <w:t>About 72% of the country is under rural areas.</w:t>
      </w:r>
      <w:r w:rsidRPr="00F64A6A">
        <w:rPr>
          <w:rFonts w:cs="Times New Roman"/>
          <w:i/>
          <w:spacing w:val="-4"/>
          <w:szCs w:val="24"/>
          <w:u w:val="single"/>
        </w:rPr>
        <w:t xml:space="preserve"> </w:t>
      </w:r>
      <w:r w:rsidRPr="00F64A6A">
        <w:rPr>
          <w:rFonts w:cs="Times New Roman"/>
          <w:i/>
          <w:szCs w:val="24"/>
          <w:u w:val="single"/>
        </w:rPr>
        <w:t>The</w:t>
      </w:r>
      <w:r w:rsidRPr="00F64A6A">
        <w:rPr>
          <w:rFonts w:cs="Times New Roman"/>
          <w:i/>
          <w:spacing w:val="-3"/>
          <w:szCs w:val="24"/>
          <w:u w:val="single"/>
        </w:rPr>
        <w:t>r</w:t>
      </w:r>
      <w:r w:rsidRPr="00F64A6A">
        <w:rPr>
          <w:rFonts w:cs="Times New Roman"/>
          <w:i/>
          <w:szCs w:val="24"/>
          <w:u w:val="single"/>
        </w:rPr>
        <w:t>e</w:t>
      </w:r>
      <w:r w:rsidRPr="00F64A6A">
        <w:rPr>
          <w:rFonts w:cs="Times New Roman"/>
          <w:i/>
          <w:spacing w:val="-5"/>
          <w:szCs w:val="24"/>
          <w:u w:val="single"/>
        </w:rPr>
        <w:t xml:space="preserve"> </w:t>
      </w:r>
      <w:r w:rsidRPr="00F64A6A">
        <w:rPr>
          <w:rFonts w:cs="Times New Roman"/>
          <w:i/>
          <w:szCs w:val="24"/>
          <w:u w:val="single"/>
        </w:rPr>
        <w:t>a</w:t>
      </w:r>
      <w:r w:rsidRPr="00F64A6A">
        <w:rPr>
          <w:rFonts w:cs="Times New Roman"/>
          <w:i/>
          <w:spacing w:val="-3"/>
          <w:szCs w:val="24"/>
          <w:u w:val="single"/>
        </w:rPr>
        <w:t>r</w:t>
      </w:r>
      <w:r w:rsidRPr="00F64A6A">
        <w:rPr>
          <w:rFonts w:cs="Times New Roman"/>
          <w:i/>
          <w:szCs w:val="24"/>
          <w:u w:val="single"/>
        </w:rPr>
        <w:t>e</w:t>
      </w:r>
      <w:r w:rsidRPr="00F64A6A">
        <w:rPr>
          <w:rFonts w:cs="Times New Roman"/>
          <w:i/>
          <w:spacing w:val="-4"/>
          <w:szCs w:val="24"/>
          <w:u w:val="single"/>
        </w:rPr>
        <w:t xml:space="preserve"> </w:t>
      </w:r>
      <w:r w:rsidRPr="00F64A6A">
        <w:rPr>
          <w:rFonts w:cs="Times New Roman"/>
          <w:i/>
          <w:szCs w:val="24"/>
          <w:u w:val="single"/>
        </w:rPr>
        <w:t>th</w:t>
      </w:r>
      <w:r w:rsidRPr="00F64A6A">
        <w:rPr>
          <w:rFonts w:cs="Times New Roman"/>
          <w:i/>
          <w:spacing w:val="-3"/>
          <w:szCs w:val="24"/>
          <w:u w:val="single"/>
        </w:rPr>
        <w:t>r</w:t>
      </w:r>
      <w:r w:rsidRPr="00F64A6A">
        <w:rPr>
          <w:rFonts w:cs="Times New Roman"/>
          <w:i/>
          <w:szCs w:val="24"/>
          <w:u w:val="single"/>
        </w:rPr>
        <w:t>ee</w:t>
      </w:r>
      <w:r w:rsidRPr="00F64A6A">
        <w:rPr>
          <w:rFonts w:cs="Times New Roman"/>
          <w:i/>
          <w:spacing w:val="-5"/>
          <w:szCs w:val="24"/>
          <w:u w:val="single"/>
        </w:rPr>
        <w:t xml:space="preserve"> </w:t>
      </w:r>
      <w:r w:rsidRPr="00F64A6A">
        <w:rPr>
          <w:rFonts w:cs="Times New Roman"/>
          <w:i/>
          <w:szCs w:val="24"/>
          <w:u w:val="single"/>
        </w:rPr>
        <w:t>main</w:t>
      </w:r>
      <w:r w:rsidRPr="00F64A6A">
        <w:rPr>
          <w:rFonts w:cs="Times New Roman"/>
          <w:i/>
          <w:spacing w:val="-5"/>
          <w:szCs w:val="24"/>
          <w:u w:val="single"/>
        </w:rPr>
        <w:t xml:space="preserve"> </w:t>
      </w:r>
      <w:r w:rsidRPr="00F64A6A">
        <w:rPr>
          <w:rFonts w:cs="Times New Roman"/>
          <w:i/>
          <w:szCs w:val="24"/>
          <w:u w:val="single"/>
        </w:rPr>
        <w:t>types</w:t>
      </w:r>
      <w:r w:rsidRPr="00F64A6A">
        <w:rPr>
          <w:rFonts w:cs="Times New Roman"/>
          <w:i/>
          <w:spacing w:val="-4"/>
          <w:szCs w:val="24"/>
          <w:u w:val="single"/>
        </w:rPr>
        <w:t xml:space="preserve"> </w:t>
      </w:r>
      <w:r w:rsidRPr="00F64A6A">
        <w:rPr>
          <w:rFonts w:cs="Times New Roman"/>
          <w:i/>
          <w:spacing w:val="-5"/>
          <w:szCs w:val="24"/>
          <w:u w:val="single"/>
        </w:rPr>
        <w:t>o</w:t>
      </w:r>
      <w:r w:rsidRPr="00F64A6A">
        <w:rPr>
          <w:rFonts w:cs="Times New Roman"/>
          <w:i/>
          <w:szCs w:val="24"/>
          <w:u w:val="single"/>
        </w:rPr>
        <w:t>f</w:t>
      </w:r>
      <w:r w:rsidRPr="00F64A6A">
        <w:rPr>
          <w:rFonts w:cs="Times New Roman"/>
          <w:i/>
          <w:spacing w:val="-5"/>
          <w:szCs w:val="24"/>
          <w:u w:val="single"/>
        </w:rPr>
        <w:t xml:space="preserve"> </w:t>
      </w:r>
      <w:r w:rsidRPr="00F64A6A">
        <w:rPr>
          <w:rFonts w:cs="Times New Roman"/>
          <w:i/>
          <w:szCs w:val="24"/>
          <w:u w:val="single"/>
        </w:rPr>
        <w:t>rural</w:t>
      </w:r>
      <w:r w:rsidRPr="00F64A6A">
        <w:rPr>
          <w:rFonts w:cs="Times New Roman"/>
          <w:i/>
          <w:spacing w:val="-4"/>
          <w:szCs w:val="24"/>
          <w:u w:val="single"/>
        </w:rPr>
        <w:t xml:space="preserve"> </w:t>
      </w:r>
      <w:r w:rsidRPr="00F64A6A">
        <w:rPr>
          <w:rFonts w:cs="Times New Roman"/>
          <w:i/>
          <w:szCs w:val="24"/>
          <w:u w:val="single"/>
        </w:rPr>
        <w:t>settlement:</w:t>
      </w:r>
      <w:r w:rsidRPr="00F64A6A">
        <w:rPr>
          <w:rFonts w:cs="Times New Roman"/>
          <w:i/>
          <w:spacing w:val="-4"/>
          <w:szCs w:val="24"/>
          <w:u w:val="single"/>
        </w:rPr>
        <w:t xml:space="preserve"> </w:t>
      </w:r>
      <w:r w:rsidRPr="00F64A6A">
        <w:rPr>
          <w:rFonts w:cs="Times New Roman"/>
          <w:i/>
          <w:szCs w:val="24"/>
          <w:u w:val="single"/>
        </w:rPr>
        <w:t>linea</w:t>
      </w:r>
      <w:r w:rsidRPr="00F64A6A">
        <w:rPr>
          <w:rFonts w:cs="Times New Roman"/>
          <w:i/>
          <w:spacing w:val="-16"/>
          <w:szCs w:val="24"/>
          <w:u w:val="single"/>
        </w:rPr>
        <w:t>r</w:t>
      </w:r>
      <w:r w:rsidRPr="00F64A6A">
        <w:rPr>
          <w:rFonts w:cs="Times New Roman"/>
          <w:i/>
          <w:szCs w:val="24"/>
          <w:u w:val="single"/>
        </w:rPr>
        <w:t>,</w:t>
      </w:r>
      <w:r w:rsidRPr="00F64A6A">
        <w:rPr>
          <w:rFonts w:cs="Times New Roman"/>
          <w:i/>
          <w:spacing w:val="-5"/>
          <w:szCs w:val="24"/>
          <w:u w:val="single"/>
        </w:rPr>
        <w:t xml:space="preserve"> </w:t>
      </w:r>
      <w:r w:rsidRPr="00F64A6A">
        <w:rPr>
          <w:rFonts w:cs="Times New Roman"/>
          <w:i/>
          <w:szCs w:val="24"/>
          <w:u w:val="single"/>
        </w:rPr>
        <w:t>clus</w:t>
      </w:r>
      <w:r w:rsidRPr="00F64A6A">
        <w:rPr>
          <w:rFonts w:cs="Times New Roman"/>
          <w:i/>
          <w:spacing w:val="-2"/>
          <w:szCs w:val="24"/>
          <w:u w:val="single"/>
        </w:rPr>
        <w:t>t</w:t>
      </w:r>
      <w:r w:rsidRPr="00F64A6A">
        <w:rPr>
          <w:rFonts w:cs="Times New Roman"/>
          <w:i/>
          <w:szCs w:val="24"/>
          <w:u w:val="single"/>
        </w:rPr>
        <w:t>e</w:t>
      </w:r>
      <w:r w:rsidRPr="00F64A6A">
        <w:rPr>
          <w:rFonts w:cs="Times New Roman"/>
          <w:i/>
          <w:spacing w:val="-3"/>
          <w:szCs w:val="24"/>
          <w:u w:val="single"/>
        </w:rPr>
        <w:t>r</w:t>
      </w:r>
      <w:r w:rsidRPr="00F64A6A">
        <w:rPr>
          <w:rFonts w:cs="Times New Roman"/>
          <w:i/>
          <w:szCs w:val="24"/>
          <w:u w:val="single"/>
        </w:rPr>
        <w:t>ed</w:t>
      </w:r>
      <w:r w:rsidRPr="00F64A6A">
        <w:rPr>
          <w:rFonts w:cs="Times New Roman"/>
          <w:i/>
          <w:spacing w:val="-4"/>
          <w:szCs w:val="24"/>
          <w:u w:val="single"/>
        </w:rPr>
        <w:t xml:space="preserve"> </w:t>
      </w:r>
      <w:r w:rsidRPr="00F64A6A">
        <w:rPr>
          <w:rFonts w:cs="Times New Roman"/>
          <w:i/>
          <w:szCs w:val="24"/>
          <w:u w:val="single"/>
        </w:rPr>
        <w:t>(or</w:t>
      </w:r>
      <w:r w:rsidRPr="00F64A6A">
        <w:rPr>
          <w:rFonts w:cs="Times New Roman"/>
          <w:i/>
          <w:spacing w:val="-4"/>
          <w:szCs w:val="24"/>
          <w:u w:val="single"/>
        </w:rPr>
        <w:t xml:space="preserve"> </w:t>
      </w:r>
      <w:r w:rsidRPr="00F64A6A">
        <w:rPr>
          <w:rFonts w:cs="Times New Roman"/>
          <w:i/>
          <w:szCs w:val="24"/>
          <w:u w:val="single"/>
        </w:rPr>
        <w:t>nuclea</w:t>
      </w:r>
      <w:r w:rsidRPr="00F64A6A">
        <w:rPr>
          <w:rFonts w:cs="Times New Roman"/>
          <w:i/>
          <w:spacing w:val="-2"/>
          <w:szCs w:val="24"/>
          <w:u w:val="single"/>
        </w:rPr>
        <w:t>t</w:t>
      </w:r>
      <w:r w:rsidRPr="00F64A6A">
        <w:rPr>
          <w:rFonts w:cs="Times New Roman"/>
          <w:i/>
          <w:szCs w:val="24"/>
          <w:u w:val="single"/>
        </w:rPr>
        <w:t>ed)</w:t>
      </w:r>
      <w:r w:rsidRPr="00F64A6A">
        <w:rPr>
          <w:rFonts w:cs="Times New Roman"/>
          <w:i/>
          <w:spacing w:val="-5"/>
          <w:szCs w:val="24"/>
          <w:u w:val="single"/>
        </w:rPr>
        <w:t xml:space="preserve"> </w:t>
      </w:r>
      <w:r w:rsidRPr="00F64A6A">
        <w:rPr>
          <w:rFonts w:cs="Times New Roman"/>
          <w:i/>
          <w:szCs w:val="24"/>
          <w:u w:val="single"/>
        </w:rPr>
        <w:t>and</w:t>
      </w:r>
      <w:r w:rsidRPr="00F64A6A">
        <w:rPr>
          <w:rFonts w:cs="Times New Roman"/>
          <w:i/>
          <w:spacing w:val="-4"/>
          <w:szCs w:val="24"/>
          <w:u w:val="single"/>
        </w:rPr>
        <w:t xml:space="preserve"> </w:t>
      </w:r>
      <w:r w:rsidRPr="00F64A6A">
        <w:rPr>
          <w:rFonts w:cs="Times New Roman"/>
          <w:i/>
          <w:szCs w:val="24"/>
          <w:u w:val="single"/>
        </w:rPr>
        <w:t>scat</w:t>
      </w:r>
      <w:r w:rsidRPr="00F64A6A">
        <w:rPr>
          <w:rFonts w:cs="Times New Roman"/>
          <w:i/>
          <w:spacing w:val="-2"/>
          <w:szCs w:val="24"/>
          <w:u w:val="single"/>
        </w:rPr>
        <w:t>t</w:t>
      </w:r>
      <w:r w:rsidRPr="00F64A6A">
        <w:rPr>
          <w:rFonts w:cs="Times New Roman"/>
          <w:i/>
          <w:szCs w:val="24"/>
          <w:u w:val="single"/>
        </w:rPr>
        <w:t>e</w:t>
      </w:r>
      <w:r w:rsidRPr="00F64A6A">
        <w:rPr>
          <w:rFonts w:cs="Times New Roman"/>
          <w:i/>
          <w:spacing w:val="-3"/>
          <w:szCs w:val="24"/>
          <w:u w:val="single"/>
        </w:rPr>
        <w:t>r</w:t>
      </w:r>
      <w:r w:rsidRPr="00F64A6A">
        <w:rPr>
          <w:rFonts w:cs="Times New Roman"/>
          <w:i/>
          <w:szCs w:val="24"/>
          <w:u w:val="single"/>
        </w:rPr>
        <w:t>ed.</w:t>
      </w:r>
      <w:r w:rsidRPr="00F64A6A">
        <w:rPr>
          <w:rFonts w:cs="Times New Roman"/>
          <w:spacing w:val="-4"/>
          <w:szCs w:val="24"/>
          <w:u w:val="single"/>
        </w:rPr>
        <w:t xml:space="preserve"> </w:t>
      </w:r>
      <w:r w:rsidR="00A356FA" w:rsidRPr="00BB495B">
        <w:rPr>
          <w:rFonts w:cs="Times New Roman"/>
          <w:szCs w:val="24"/>
        </w:rPr>
        <w:t>These</w:t>
      </w:r>
      <w:r w:rsidR="00A356FA" w:rsidRPr="00BB495B">
        <w:rPr>
          <w:rFonts w:cs="Times New Roman"/>
          <w:spacing w:val="-5"/>
          <w:szCs w:val="24"/>
        </w:rPr>
        <w:t xml:space="preserve"> </w:t>
      </w:r>
      <w:r w:rsidR="00A356FA" w:rsidRPr="00BB495B">
        <w:rPr>
          <w:rFonts w:cs="Times New Roman"/>
          <w:spacing w:val="-3"/>
          <w:szCs w:val="24"/>
        </w:rPr>
        <w:t>p</w:t>
      </w:r>
      <w:r w:rsidR="00A356FA" w:rsidRPr="00BB495B">
        <w:rPr>
          <w:rFonts w:cs="Times New Roman"/>
          <w:szCs w:val="24"/>
        </w:rPr>
        <w:t>at</w:t>
      </w:r>
      <w:r w:rsidR="00A356FA" w:rsidRPr="00BB495B">
        <w:rPr>
          <w:rFonts w:cs="Times New Roman"/>
          <w:spacing w:val="-2"/>
          <w:szCs w:val="24"/>
        </w:rPr>
        <w:t>t</w:t>
      </w:r>
      <w:r w:rsidR="00A356FA" w:rsidRPr="00BB495B">
        <w:rPr>
          <w:rFonts w:cs="Times New Roman"/>
          <w:szCs w:val="24"/>
        </w:rPr>
        <w:t>e</w:t>
      </w:r>
      <w:r w:rsidR="00A356FA" w:rsidRPr="00BB495B">
        <w:rPr>
          <w:rFonts w:cs="Times New Roman"/>
          <w:spacing w:val="-1"/>
          <w:szCs w:val="24"/>
        </w:rPr>
        <w:t>r</w:t>
      </w:r>
      <w:r w:rsidR="00A356FA" w:rsidRPr="00BB495B">
        <w:rPr>
          <w:rFonts w:cs="Times New Roman"/>
          <w:szCs w:val="24"/>
        </w:rPr>
        <w:t>ns a</w:t>
      </w:r>
      <w:r w:rsidR="00A356FA" w:rsidRPr="00BB495B">
        <w:rPr>
          <w:rFonts w:cs="Times New Roman"/>
          <w:spacing w:val="-3"/>
          <w:szCs w:val="24"/>
        </w:rPr>
        <w:t>r</w:t>
      </w:r>
      <w:r w:rsidR="00A356FA" w:rsidRPr="00BB495B">
        <w:rPr>
          <w:rFonts w:cs="Times New Roman"/>
          <w:szCs w:val="24"/>
        </w:rPr>
        <w:t>e</w:t>
      </w:r>
      <w:r w:rsidR="00A356FA" w:rsidRPr="00BB495B">
        <w:rPr>
          <w:rFonts w:cs="Times New Roman"/>
          <w:spacing w:val="-7"/>
          <w:szCs w:val="24"/>
        </w:rPr>
        <w:t xml:space="preserve"> </w:t>
      </w:r>
      <w:r w:rsidR="00A356FA" w:rsidRPr="00BB495B">
        <w:rPr>
          <w:rFonts w:cs="Times New Roman"/>
          <w:szCs w:val="24"/>
        </w:rPr>
        <w:t>originally</w:t>
      </w:r>
      <w:r w:rsidR="00A356FA" w:rsidRPr="00BB495B">
        <w:rPr>
          <w:rFonts w:cs="Times New Roman"/>
          <w:spacing w:val="-7"/>
          <w:szCs w:val="24"/>
        </w:rPr>
        <w:t xml:space="preserve"> </w:t>
      </w:r>
      <w:r w:rsidR="00A356FA" w:rsidRPr="00BB495B">
        <w:rPr>
          <w:rFonts w:cs="Times New Roman"/>
          <w:spacing w:val="-3"/>
          <w:szCs w:val="24"/>
        </w:rPr>
        <w:t>r</w:t>
      </w:r>
      <w:r w:rsidR="00A356FA" w:rsidRPr="00BB495B">
        <w:rPr>
          <w:rFonts w:cs="Times New Roman"/>
          <w:szCs w:val="24"/>
        </w:rPr>
        <w:t>ela</w:t>
      </w:r>
      <w:r w:rsidR="00A356FA" w:rsidRPr="00BB495B">
        <w:rPr>
          <w:rFonts w:cs="Times New Roman"/>
          <w:spacing w:val="-2"/>
          <w:szCs w:val="24"/>
        </w:rPr>
        <w:t>t</w:t>
      </w:r>
      <w:r w:rsidR="00A356FA" w:rsidRPr="00BB495B">
        <w:rPr>
          <w:rFonts w:cs="Times New Roman"/>
          <w:szCs w:val="24"/>
        </w:rPr>
        <w:t>ed</w:t>
      </w:r>
      <w:r w:rsidR="00A356FA" w:rsidRPr="00BB495B">
        <w:rPr>
          <w:rFonts w:cs="Times New Roman"/>
          <w:spacing w:val="-6"/>
          <w:szCs w:val="24"/>
        </w:rPr>
        <w:t xml:space="preserve"> </w:t>
      </w:r>
      <w:r w:rsidR="00A356FA" w:rsidRPr="00BB495B">
        <w:rPr>
          <w:rFonts w:cs="Times New Roman"/>
          <w:spacing w:val="-2"/>
          <w:szCs w:val="24"/>
        </w:rPr>
        <w:t>t</w:t>
      </w:r>
      <w:r w:rsidR="00A356FA" w:rsidRPr="00BB495B">
        <w:rPr>
          <w:rFonts w:cs="Times New Roman"/>
          <w:szCs w:val="24"/>
        </w:rPr>
        <w:t>o</w:t>
      </w:r>
      <w:r w:rsidR="00A356FA" w:rsidRPr="00BB495B">
        <w:rPr>
          <w:rFonts w:cs="Times New Roman"/>
          <w:spacing w:val="-7"/>
          <w:szCs w:val="24"/>
        </w:rPr>
        <w:t xml:space="preserve"> </w:t>
      </w:r>
      <w:r w:rsidR="00A356FA" w:rsidRPr="00BB495B">
        <w:rPr>
          <w:rFonts w:cs="Times New Roman"/>
          <w:szCs w:val="24"/>
        </w:rPr>
        <w:t>the</w:t>
      </w:r>
      <w:r w:rsidR="00A356FA" w:rsidRPr="00BB495B">
        <w:rPr>
          <w:rFonts w:cs="Times New Roman"/>
          <w:spacing w:val="-6"/>
          <w:szCs w:val="24"/>
        </w:rPr>
        <w:t xml:space="preserve"> </w:t>
      </w:r>
      <w:r w:rsidR="00A356FA" w:rsidRPr="00BB495B">
        <w:rPr>
          <w:rFonts w:cs="Times New Roman"/>
          <w:szCs w:val="24"/>
        </w:rPr>
        <w:t>diffe</w:t>
      </w:r>
      <w:r w:rsidR="00A356FA" w:rsidRPr="00BB495B">
        <w:rPr>
          <w:rFonts w:cs="Times New Roman"/>
          <w:spacing w:val="-3"/>
          <w:szCs w:val="24"/>
        </w:rPr>
        <w:t>r</w:t>
      </w:r>
      <w:r w:rsidR="00A356FA" w:rsidRPr="00BB495B">
        <w:rPr>
          <w:rFonts w:cs="Times New Roman"/>
          <w:szCs w:val="24"/>
        </w:rPr>
        <w:t>ent</w:t>
      </w:r>
      <w:r w:rsidR="00A356FA" w:rsidRPr="00BB495B">
        <w:rPr>
          <w:rFonts w:cs="Times New Roman"/>
          <w:spacing w:val="-7"/>
          <w:szCs w:val="24"/>
        </w:rPr>
        <w:t xml:space="preserve"> </w:t>
      </w:r>
      <w:r w:rsidR="00A356FA" w:rsidRPr="00BB495B">
        <w:rPr>
          <w:rFonts w:cs="Times New Roman"/>
          <w:szCs w:val="24"/>
        </w:rPr>
        <w:t>physiographic</w:t>
      </w:r>
      <w:r w:rsidR="00A356FA" w:rsidRPr="00BB495B">
        <w:rPr>
          <w:rFonts w:cs="Times New Roman"/>
          <w:spacing w:val="-6"/>
          <w:szCs w:val="24"/>
        </w:rPr>
        <w:t xml:space="preserve"> </w:t>
      </w:r>
      <w:r w:rsidR="00A356FA" w:rsidRPr="00BB495B">
        <w:rPr>
          <w:rFonts w:cs="Times New Roman"/>
          <w:szCs w:val="24"/>
        </w:rPr>
        <w:t>charac</w:t>
      </w:r>
      <w:r w:rsidR="00A356FA" w:rsidRPr="00BB495B">
        <w:rPr>
          <w:rFonts w:cs="Times New Roman"/>
          <w:spacing w:val="-2"/>
          <w:szCs w:val="24"/>
        </w:rPr>
        <w:t>t</w:t>
      </w:r>
      <w:r w:rsidR="00A356FA" w:rsidRPr="00BB495B">
        <w:rPr>
          <w:rFonts w:cs="Times New Roman"/>
          <w:szCs w:val="24"/>
        </w:rPr>
        <w:t>eristics. In the Hill tract a</w:t>
      </w:r>
      <w:r w:rsidR="00A356FA" w:rsidRPr="00BB495B">
        <w:rPr>
          <w:rFonts w:cs="Times New Roman"/>
          <w:spacing w:val="-3"/>
          <w:szCs w:val="24"/>
        </w:rPr>
        <w:t>r</w:t>
      </w:r>
      <w:r w:rsidR="00A356FA" w:rsidRPr="00BB495B">
        <w:rPr>
          <w:rFonts w:cs="Times New Roman"/>
          <w:szCs w:val="24"/>
        </w:rPr>
        <w:t xml:space="preserve">ea near Chittagong it is different, and </w:t>
      </w:r>
      <w:r w:rsidR="00A356FA" w:rsidRPr="00BB495B">
        <w:rPr>
          <w:rFonts w:cs="Times New Roman"/>
          <w:spacing w:val="-2"/>
          <w:szCs w:val="24"/>
        </w:rPr>
        <w:t xml:space="preserve">it is </w:t>
      </w:r>
      <w:r w:rsidR="00A356FA" w:rsidRPr="00BB495B">
        <w:rPr>
          <w:rFonts w:cs="Times New Roman"/>
          <w:szCs w:val="24"/>
        </w:rPr>
        <w:t>sca</w:t>
      </w:r>
      <w:r w:rsidR="00A356FA" w:rsidRPr="00BB495B">
        <w:rPr>
          <w:rFonts w:cs="Times New Roman"/>
          <w:spacing w:val="-3"/>
          <w:szCs w:val="24"/>
        </w:rPr>
        <w:t>r</w:t>
      </w:r>
      <w:r w:rsidR="00A356FA" w:rsidRPr="00BB495B">
        <w:rPr>
          <w:rFonts w:cs="Times New Roman"/>
          <w:szCs w:val="24"/>
        </w:rPr>
        <w:t xml:space="preserve">cely built in a linear </w:t>
      </w:r>
      <w:r w:rsidR="00A356FA" w:rsidRPr="00BB495B">
        <w:rPr>
          <w:rFonts w:cs="Times New Roman"/>
          <w:spacing w:val="-3"/>
          <w:szCs w:val="24"/>
        </w:rPr>
        <w:t>p</w:t>
      </w:r>
      <w:r w:rsidR="00A356FA" w:rsidRPr="00BB495B">
        <w:rPr>
          <w:rFonts w:cs="Times New Roman"/>
          <w:szCs w:val="24"/>
        </w:rPr>
        <w:t>at</w:t>
      </w:r>
      <w:r w:rsidR="00A356FA" w:rsidRPr="00BB495B">
        <w:rPr>
          <w:rFonts w:cs="Times New Roman"/>
          <w:spacing w:val="-2"/>
          <w:szCs w:val="24"/>
        </w:rPr>
        <w:t>t</w:t>
      </w:r>
      <w:r w:rsidR="00A356FA" w:rsidRPr="00BB495B">
        <w:rPr>
          <w:rFonts w:cs="Times New Roman"/>
          <w:szCs w:val="24"/>
        </w:rPr>
        <w:t>e</w:t>
      </w:r>
      <w:r w:rsidR="00A356FA" w:rsidRPr="00BB495B">
        <w:rPr>
          <w:rFonts w:cs="Times New Roman"/>
          <w:spacing w:val="-1"/>
          <w:szCs w:val="24"/>
        </w:rPr>
        <w:t>r</w:t>
      </w:r>
      <w:r w:rsidR="00A356FA" w:rsidRPr="00BB495B">
        <w:rPr>
          <w:rFonts w:cs="Times New Roman"/>
          <w:szCs w:val="24"/>
        </w:rPr>
        <w:t xml:space="preserve">n. This is because the unique </w:t>
      </w:r>
      <w:r w:rsidR="00A356FA" w:rsidRPr="00BB495B">
        <w:rPr>
          <w:rFonts w:cs="Times New Roman"/>
          <w:spacing w:val="-2"/>
          <w:szCs w:val="24"/>
        </w:rPr>
        <w:t>t</w:t>
      </w:r>
      <w:r w:rsidR="00A356FA" w:rsidRPr="00BB495B">
        <w:rPr>
          <w:rFonts w:cs="Times New Roman"/>
          <w:szCs w:val="24"/>
        </w:rPr>
        <w:t xml:space="preserve">opography </w:t>
      </w:r>
      <w:r w:rsidR="00A356FA" w:rsidRPr="00BB495B">
        <w:rPr>
          <w:rFonts w:cs="Times New Roman"/>
          <w:spacing w:val="-4"/>
          <w:szCs w:val="24"/>
        </w:rPr>
        <w:t>o</w:t>
      </w:r>
      <w:r w:rsidR="00A356FA" w:rsidRPr="00BB495B">
        <w:rPr>
          <w:rFonts w:cs="Times New Roman"/>
          <w:szCs w:val="24"/>
        </w:rPr>
        <w:t>f the hills and g</w:t>
      </w:r>
      <w:r w:rsidR="00A356FA" w:rsidRPr="00BB495B">
        <w:rPr>
          <w:rFonts w:cs="Times New Roman"/>
          <w:spacing w:val="-3"/>
          <w:szCs w:val="24"/>
        </w:rPr>
        <w:t>r</w:t>
      </w:r>
      <w:r w:rsidR="00A356FA" w:rsidRPr="00BB495B">
        <w:rPr>
          <w:rFonts w:cs="Times New Roman"/>
          <w:szCs w:val="24"/>
        </w:rPr>
        <w:t xml:space="preserve">een </w:t>
      </w:r>
      <w:r w:rsidR="00A356FA" w:rsidRPr="00BB495B">
        <w:rPr>
          <w:rFonts w:cs="Times New Roman"/>
          <w:spacing w:val="-2"/>
          <w:szCs w:val="24"/>
        </w:rPr>
        <w:t>v</w:t>
      </w:r>
      <w:r w:rsidR="00A356FA" w:rsidRPr="00BB495B">
        <w:rPr>
          <w:rFonts w:cs="Times New Roman"/>
          <w:szCs w:val="24"/>
        </w:rPr>
        <w:t xml:space="preserve">egetation.  As evident from Table and Figures above, area under rural settlement has grown fastest since 1976. </w:t>
      </w:r>
      <w:r w:rsidR="00A356FA" w:rsidRPr="00BB495B">
        <w:rPr>
          <w:rFonts w:cs="Times New Roman"/>
          <w:color w:val="000000"/>
          <w:szCs w:val="24"/>
        </w:rPr>
        <w:t>Rural Settlement</w:t>
      </w:r>
      <w:r w:rsidR="00A356FA" w:rsidRPr="00BB495B">
        <w:rPr>
          <w:rStyle w:val="FootnoteReference"/>
          <w:rFonts w:cs="Times New Roman"/>
          <w:color w:val="000000"/>
          <w:szCs w:val="24"/>
        </w:rPr>
        <w:footnoteReference w:id="28"/>
      </w:r>
      <w:r w:rsidR="00A356FA" w:rsidRPr="00BB495B">
        <w:rPr>
          <w:rFonts w:cs="Times New Roman"/>
          <w:color w:val="000000"/>
          <w:szCs w:val="24"/>
        </w:rPr>
        <w:t xml:space="preserve"> includes homesteads, homestead gardens and pond.  As opposed to it the urban land in the same report includes metropolitan areas, District towns, upazila towns and other important urban area such as Choumohani of Begumganj Upazila.  So rural settlement reflects those built up areas beyond the urban land. </w:t>
      </w:r>
    </w:p>
    <w:p w:rsidR="00215325" w:rsidRPr="007F288A" w:rsidRDefault="00A356FA" w:rsidP="00BB495B">
      <w:pPr>
        <w:spacing w:line="276" w:lineRule="auto"/>
        <w:jc w:val="both"/>
        <w:rPr>
          <w:rFonts w:cs="Times New Roman"/>
          <w:i/>
          <w:u w:val="single"/>
        </w:rPr>
      </w:pPr>
      <w:r w:rsidRPr="00BB495B">
        <w:rPr>
          <w:rFonts w:cs="Times New Roman"/>
        </w:rPr>
        <w:t xml:space="preserve"> Rural settlement was estimated at 8, 85,637 hectares in 1976 occupying 6.11% of the total area of the country. </w:t>
      </w:r>
      <w:r w:rsidR="00F64A6A" w:rsidRPr="00F64A6A">
        <w:rPr>
          <w:rFonts w:cs="Times New Roman"/>
          <w:i/>
          <w:u w:val="single"/>
        </w:rPr>
        <w:t>Rural settlement area</w:t>
      </w:r>
      <w:r w:rsidRPr="004B0A08">
        <w:rPr>
          <w:rFonts w:cs="Times New Roman"/>
          <w:i/>
        </w:rPr>
        <w:t xml:space="preserve"> consistently increased since then at a faster rate and became 10.03% in 2000 and </w:t>
      </w:r>
      <w:r w:rsidR="00F64A6A" w:rsidRPr="00F64A6A">
        <w:rPr>
          <w:rFonts w:cs="Times New Roman"/>
          <w:i/>
          <w:u w:val="single"/>
        </w:rPr>
        <w:t>12.12% in 2010</w:t>
      </w:r>
      <w:r w:rsidRPr="004B0A08">
        <w:rPr>
          <w:rFonts w:cs="Times New Roman"/>
          <w:i/>
        </w:rPr>
        <w:t>.</w:t>
      </w:r>
      <w:r w:rsidRPr="00BB495B">
        <w:rPr>
          <w:rFonts w:cs="Times New Roman"/>
        </w:rPr>
        <w:t xml:space="preserve"> The average annual rates of increasing rural settlement area were </w:t>
      </w:r>
      <w:r w:rsidR="0099514B" w:rsidRPr="0099514B">
        <w:rPr>
          <w:rFonts w:cs="Times New Roman"/>
        </w:rPr>
        <w:t>2.69</w:t>
      </w:r>
      <w:r w:rsidRPr="00BB495B">
        <w:rPr>
          <w:rFonts w:cs="Times New Roman"/>
        </w:rPr>
        <w:t xml:space="preserve">% and </w:t>
      </w:r>
      <w:r w:rsidR="0099514B" w:rsidRPr="0099514B">
        <w:rPr>
          <w:rFonts w:cs="Times New Roman"/>
        </w:rPr>
        <w:t>2.11</w:t>
      </w:r>
      <w:r w:rsidRPr="00BB495B">
        <w:rPr>
          <w:rFonts w:cs="Times New Roman"/>
        </w:rPr>
        <w:t xml:space="preserve">% during 1976-2000 and 2000-2010, respectively. </w:t>
      </w:r>
      <w:r w:rsidRPr="004B0A08">
        <w:rPr>
          <w:rFonts w:cs="Times New Roman"/>
          <w:i/>
        </w:rPr>
        <w:t xml:space="preserve">It is, therefore, apparent that that rapid growth of rural settlement has been the main driver of the declining agricultural land, especially crop land. It is estimated that annually on an average </w:t>
      </w:r>
      <w:r w:rsidR="00F64A6A" w:rsidRPr="00F64A6A">
        <w:rPr>
          <w:rFonts w:cs="Times New Roman"/>
          <w:i/>
          <w:u w:val="single"/>
        </w:rPr>
        <w:lastRenderedPageBreak/>
        <w:t>23,850 hectares of land went to rural settlement during the period 1976 to 2000 compared to 30,809 hectares between 2000 and 2010 (Table 7.3).</w:t>
      </w:r>
    </w:p>
    <w:tbl>
      <w:tblPr>
        <w:tblW w:w="0" w:type="auto"/>
        <w:tblLook w:val="04A0"/>
      </w:tblPr>
      <w:tblGrid>
        <w:gridCol w:w="3276"/>
        <w:gridCol w:w="3009"/>
        <w:gridCol w:w="3036"/>
      </w:tblGrid>
      <w:tr w:rsidR="00A356FA" w:rsidRPr="00172189" w:rsidTr="00BB495B">
        <w:tc>
          <w:tcPr>
            <w:tcW w:w="9320" w:type="dxa"/>
            <w:gridSpan w:val="3"/>
          </w:tcPr>
          <w:p w:rsidR="00A356FA" w:rsidRPr="005D2352" w:rsidRDefault="005D2352" w:rsidP="00E3762D">
            <w:pPr>
              <w:pStyle w:val="Heading6"/>
            </w:pPr>
            <w:bookmarkStart w:id="534" w:name="_Toc411252129"/>
            <w:bookmarkStart w:id="535" w:name="_Toc439146273"/>
            <w:bookmarkStart w:id="536" w:name="_Toc474639320"/>
            <w:r w:rsidRPr="005D2352">
              <w:t>Map 7.2:</w:t>
            </w:r>
            <w:r w:rsidR="00165361">
              <w:t xml:space="preserve"> Maps Showing Rural S</w:t>
            </w:r>
            <w:r w:rsidR="00A356FA" w:rsidRPr="005D2352">
              <w:t>ettlement</w:t>
            </w:r>
            <w:r w:rsidR="00165361">
              <w:t>s</w:t>
            </w:r>
            <w:r w:rsidR="00A356FA" w:rsidRPr="005D2352">
              <w:t xml:space="preserve"> of Bangladesh</w:t>
            </w:r>
            <w:bookmarkEnd w:id="534"/>
            <w:bookmarkEnd w:id="535"/>
            <w:bookmarkEnd w:id="536"/>
          </w:p>
        </w:tc>
      </w:tr>
      <w:tr w:rsidR="00A356FA" w:rsidRPr="00354A9C" w:rsidTr="00BB49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3276" w:type="dxa"/>
          </w:tcPr>
          <w:p w:rsidR="00A356FA" w:rsidRPr="00354A9C" w:rsidRDefault="00A356FA" w:rsidP="00A356FA">
            <w:pPr>
              <w:autoSpaceDE w:val="0"/>
              <w:autoSpaceDN w:val="0"/>
              <w:adjustRightInd w:val="0"/>
              <w:jc w:val="both"/>
              <w:rPr>
                <w:rFonts w:ascii="Segoe UI" w:hAnsi="Segoe UI" w:cs="Segoe UI"/>
                <w:color w:val="000000"/>
                <w:sz w:val="20"/>
                <w:szCs w:val="20"/>
              </w:rPr>
            </w:pPr>
            <w:r w:rsidRPr="00354A9C">
              <w:rPr>
                <w:rFonts w:ascii="Segoe UI" w:hAnsi="Segoe UI" w:cs="Segoe UI"/>
                <w:noProof/>
                <w:color w:val="000000"/>
                <w:sz w:val="20"/>
                <w:szCs w:val="20"/>
                <w:lang w:val="en-AU" w:eastAsia="en-AU" w:bidi="bn-BD"/>
              </w:rPr>
              <w:drawing>
                <wp:inline distT="0" distB="0" distL="0" distR="0">
                  <wp:extent cx="1920240" cy="2273011"/>
                  <wp:effectExtent l="19050" t="0" r="3810" b="0"/>
                  <wp:docPr id="1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0240" cy="2273011"/>
                          </a:xfrm>
                          <a:prstGeom prst="rect">
                            <a:avLst/>
                          </a:prstGeom>
                          <a:noFill/>
                          <a:ln>
                            <a:noFill/>
                          </a:ln>
                        </pic:spPr>
                      </pic:pic>
                    </a:graphicData>
                  </a:graphic>
                </wp:inline>
              </w:drawing>
            </w:r>
          </w:p>
        </w:tc>
        <w:tc>
          <w:tcPr>
            <w:tcW w:w="3008" w:type="dxa"/>
          </w:tcPr>
          <w:p w:rsidR="00A356FA" w:rsidRPr="00354A9C" w:rsidRDefault="00A356FA" w:rsidP="00A356FA">
            <w:pPr>
              <w:autoSpaceDE w:val="0"/>
              <w:autoSpaceDN w:val="0"/>
              <w:adjustRightInd w:val="0"/>
              <w:jc w:val="both"/>
              <w:rPr>
                <w:rFonts w:ascii="Segoe UI" w:hAnsi="Segoe UI" w:cs="Segoe UI"/>
                <w:color w:val="000000"/>
                <w:sz w:val="20"/>
                <w:szCs w:val="20"/>
              </w:rPr>
            </w:pPr>
            <w:r w:rsidRPr="00354A9C">
              <w:rPr>
                <w:rFonts w:ascii="Segoe UI" w:hAnsi="Segoe UI" w:cs="Segoe UI"/>
                <w:noProof/>
                <w:color w:val="000000"/>
                <w:sz w:val="20"/>
                <w:szCs w:val="20"/>
                <w:lang w:val="en-AU" w:eastAsia="en-AU" w:bidi="bn-BD"/>
              </w:rPr>
              <w:drawing>
                <wp:inline distT="0" distB="0" distL="0" distR="0">
                  <wp:extent cx="1754429" cy="2286000"/>
                  <wp:effectExtent l="19050" t="0" r="0" b="0"/>
                  <wp:docPr id="1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4429" cy="2286000"/>
                          </a:xfrm>
                          <a:prstGeom prst="rect">
                            <a:avLst/>
                          </a:prstGeom>
                          <a:noFill/>
                          <a:ln>
                            <a:noFill/>
                          </a:ln>
                        </pic:spPr>
                      </pic:pic>
                    </a:graphicData>
                  </a:graphic>
                </wp:inline>
              </w:drawing>
            </w:r>
          </w:p>
        </w:tc>
        <w:tc>
          <w:tcPr>
            <w:tcW w:w="3036" w:type="dxa"/>
          </w:tcPr>
          <w:p w:rsidR="00A356FA" w:rsidRPr="00354A9C" w:rsidRDefault="00A356FA" w:rsidP="00A356FA">
            <w:pPr>
              <w:autoSpaceDE w:val="0"/>
              <w:autoSpaceDN w:val="0"/>
              <w:adjustRightInd w:val="0"/>
              <w:jc w:val="both"/>
              <w:rPr>
                <w:rFonts w:ascii="Segoe UI" w:hAnsi="Segoe UI" w:cs="Segoe UI"/>
                <w:color w:val="000000"/>
                <w:sz w:val="20"/>
                <w:szCs w:val="20"/>
              </w:rPr>
            </w:pPr>
            <w:r w:rsidRPr="00354A9C">
              <w:rPr>
                <w:rFonts w:ascii="Segoe UI" w:hAnsi="Segoe UI" w:cs="Segoe UI"/>
                <w:noProof/>
                <w:color w:val="000000"/>
                <w:sz w:val="20"/>
                <w:szCs w:val="20"/>
                <w:lang w:val="en-AU" w:eastAsia="en-AU" w:bidi="bn-BD"/>
              </w:rPr>
              <w:drawing>
                <wp:inline distT="0" distB="0" distL="0" distR="0">
                  <wp:extent cx="1771498" cy="2286000"/>
                  <wp:effectExtent l="19050" t="0" r="152" b="0"/>
                  <wp:docPr id="13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498" cy="2286000"/>
                          </a:xfrm>
                          <a:prstGeom prst="rect">
                            <a:avLst/>
                          </a:prstGeom>
                          <a:noFill/>
                          <a:ln>
                            <a:noFill/>
                          </a:ln>
                        </pic:spPr>
                      </pic:pic>
                    </a:graphicData>
                  </a:graphic>
                </wp:inline>
              </w:drawing>
            </w:r>
          </w:p>
        </w:tc>
      </w:tr>
      <w:tr w:rsidR="00A356FA" w:rsidRPr="00354A9C" w:rsidTr="00BB49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2"/>
        </w:trPr>
        <w:tc>
          <w:tcPr>
            <w:tcW w:w="9320" w:type="dxa"/>
            <w:gridSpan w:val="3"/>
          </w:tcPr>
          <w:p w:rsidR="00A356FA" w:rsidRPr="00172189" w:rsidRDefault="00A356FA" w:rsidP="00A356FA">
            <w:pPr>
              <w:pStyle w:val="Caption"/>
            </w:pPr>
          </w:p>
        </w:tc>
      </w:tr>
    </w:tbl>
    <w:p w:rsidR="00A356FA" w:rsidRPr="00832092" w:rsidRDefault="00A356FA" w:rsidP="00215325">
      <w:pPr>
        <w:spacing w:before="120" w:line="276" w:lineRule="auto"/>
        <w:jc w:val="both"/>
        <w:rPr>
          <w:rFonts w:cs="Times New Roman"/>
          <w:b/>
          <w:bCs/>
          <w:i/>
          <w:iCs/>
          <w:sz w:val="20"/>
          <w:szCs w:val="20"/>
        </w:rPr>
      </w:pPr>
      <w:r w:rsidRPr="00832092">
        <w:rPr>
          <w:rFonts w:cs="Times New Roman"/>
          <w:b/>
          <w:bCs/>
          <w:i/>
          <w:iCs/>
          <w:sz w:val="20"/>
          <w:szCs w:val="20"/>
        </w:rPr>
        <w:t xml:space="preserve">Source: </w:t>
      </w:r>
      <w:r w:rsidR="00C05075" w:rsidRPr="00832092">
        <w:rPr>
          <w:rFonts w:cs="Times New Roman"/>
          <w:b/>
          <w:i/>
          <w:color w:val="000000"/>
          <w:sz w:val="20"/>
          <w:szCs w:val="20"/>
        </w:rPr>
        <w:t>SRDI, 2013</w:t>
      </w:r>
    </w:p>
    <w:p w:rsidR="00000000" w:rsidRDefault="00017EA7" w:rsidP="003D5A31">
      <w:pPr>
        <w:pStyle w:val="BodyText"/>
        <w:numPr>
          <w:ilvl w:val="2"/>
          <w:numId w:val="149"/>
        </w:numPr>
        <w:spacing w:after="240" w:line="276" w:lineRule="auto"/>
        <w:jc w:val="both"/>
        <w:rPr>
          <w:rFonts w:cs="Times New Roman"/>
          <w:b/>
          <w:szCs w:val="24"/>
        </w:rPr>
      </w:pPr>
      <w:bookmarkStart w:id="537" w:name="_Toc412013621"/>
      <w:bookmarkStart w:id="538" w:name="_Toc439146059"/>
      <w:bookmarkStart w:id="539" w:name="_Toc412013663"/>
      <w:bookmarkStart w:id="540" w:name="_Toc439146121"/>
      <w:r>
        <w:rPr>
          <w:rFonts w:cs="Times New Roman"/>
          <w:b/>
          <w:szCs w:val="24"/>
        </w:rPr>
        <w:t>Accretion and Erosion</w:t>
      </w:r>
      <w:r w:rsidR="00A356FA" w:rsidRPr="00BB495B">
        <w:rPr>
          <w:rFonts w:cs="Times New Roman"/>
          <w:b/>
          <w:szCs w:val="24"/>
        </w:rPr>
        <w:t xml:space="preserve"> of Land</w:t>
      </w:r>
    </w:p>
    <w:p w:rsidR="00A356FA" w:rsidRPr="00BB495B" w:rsidRDefault="009A12D7" w:rsidP="00BB495B">
      <w:pPr>
        <w:spacing w:line="276" w:lineRule="auto"/>
        <w:jc w:val="both"/>
        <w:rPr>
          <w:rFonts w:cs="Times New Roman"/>
          <w:color w:val="262626"/>
        </w:rPr>
      </w:pPr>
      <w:r>
        <w:rPr>
          <w:rFonts w:cs="Times New Roman"/>
        </w:rPr>
        <w:t>R</w:t>
      </w:r>
      <w:r w:rsidR="00A356FA" w:rsidRPr="00BB495B">
        <w:rPr>
          <w:rFonts w:cs="Times New Roman"/>
        </w:rPr>
        <w:t>iverbank erosion and accretion of land</w:t>
      </w:r>
      <w:r w:rsidR="00A356FA" w:rsidRPr="00BB495B">
        <w:rPr>
          <w:rFonts w:cs="Times New Roman"/>
          <w:color w:val="262626"/>
        </w:rPr>
        <w:t>, except some hilly areas in the southeast and the northeast of the country,</w:t>
      </w:r>
      <w:r w:rsidR="00A356FA" w:rsidRPr="00BB495B">
        <w:rPr>
          <w:rFonts w:cs="Times New Roman"/>
        </w:rPr>
        <w:t xml:space="preserve"> are common in Bangladesh</w:t>
      </w:r>
      <w:r w:rsidR="00165361">
        <w:rPr>
          <w:rFonts w:cs="Times New Roman"/>
        </w:rPr>
        <w:t xml:space="preserve"> (Chapter 1)</w:t>
      </w:r>
      <w:r w:rsidR="00A356FA" w:rsidRPr="00BB495B">
        <w:rPr>
          <w:rFonts w:cs="Times New Roman"/>
        </w:rPr>
        <w:t xml:space="preserve">. </w:t>
      </w:r>
      <w:r w:rsidR="00A356FA" w:rsidRPr="00BB495B">
        <w:rPr>
          <w:rFonts w:cs="Times New Roman"/>
          <w:color w:val="262626"/>
        </w:rPr>
        <w:t xml:space="preserve">The three great river systems Ganges/Padma, Brahmaputra/Jamuna, and Meghna of the Bangladesh delta, which originates from the Himalayas, also carries millions of </w:t>
      </w:r>
      <w:r w:rsidR="00F64A6A" w:rsidRPr="00F64A6A">
        <w:rPr>
          <w:rFonts w:cs="Times New Roman"/>
          <w:color w:val="262626"/>
          <w:u w:val="single"/>
        </w:rPr>
        <w:t>tonnes of mud</w:t>
      </w:r>
      <w:r w:rsidR="00A356FA" w:rsidRPr="00BB495B">
        <w:rPr>
          <w:rFonts w:cs="Times New Roman"/>
          <w:color w:val="262626"/>
        </w:rPr>
        <w:t xml:space="preserve"> and sand every year on their journey to the Bay of Bengal. The bulk of the sand and mud gets deposited in their meandering courses have also caused the river beds to be raised and in the process forming what are known as </w:t>
      </w:r>
      <w:r w:rsidR="00A356FA" w:rsidRPr="00BB495B">
        <w:rPr>
          <w:rFonts w:cs="Times New Roman"/>
          <w:i/>
        </w:rPr>
        <w:t>chars</w:t>
      </w:r>
      <w:r w:rsidR="00A356FA" w:rsidRPr="00BB495B">
        <w:rPr>
          <w:rFonts w:cs="Times New Roman"/>
          <w:color w:val="262626"/>
        </w:rPr>
        <w:t xml:space="preserve"> or accretions along the course of the rivers and at their confluence. Since the torrential monsoon flow is unable to discharge itself through the raised riverbeds, it inundates vast tracts of land on both its sides, and in the process</w:t>
      </w:r>
      <w:r w:rsidR="00A356FA" w:rsidRPr="00BB495B">
        <w:rPr>
          <w:rFonts w:cs="Times New Roman"/>
          <w:color w:val="FF0000"/>
        </w:rPr>
        <w:t xml:space="preserve"> </w:t>
      </w:r>
      <w:r w:rsidR="00A356FA" w:rsidRPr="00BB495B">
        <w:rPr>
          <w:rFonts w:cs="Times New Roman"/>
        </w:rPr>
        <w:t>swallows up the landmass (erodes) on one side of the bank</w:t>
      </w:r>
      <w:r w:rsidR="00A356FA" w:rsidRPr="00BB495B">
        <w:rPr>
          <w:rFonts w:cs="Times New Roman"/>
          <w:color w:val="262626"/>
        </w:rPr>
        <w:t xml:space="preserve">, and gradually and imperceptibly forms accretions on the other side. Erosion of the bank on one side and formation of char on the other are the recurring acts of the river systems. </w:t>
      </w:r>
    </w:p>
    <w:p w:rsidR="00A356FA" w:rsidRPr="00BB495B" w:rsidRDefault="00A356FA" w:rsidP="00BB495B">
      <w:pPr>
        <w:spacing w:line="276" w:lineRule="auto"/>
        <w:jc w:val="both"/>
        <w:rPr>
          <w:rFonts w:cs="Times New Roman"/>
        </w:rPr>
      </w:pPr>
      <w:r w:rsidRPr="00BB495B">
        <w:rPr>
          <w:rFonts w:cs="Times New Roman"/>
        </w:rPr>
        <w:t xml:space="preserve">As a result, every year, a significant area of fertile lands and settlements are being lost due to riverbank erosion process. </w:t>
      </w:r>
      <w:r w:rsidRPr="004B0A08">
        <w:rPr>
          <w:rFonts w:cs="Times New Roman"/>
          <w:i/>
        </w:rPr>
        <w:t xml:space="preserve">A study concluded in 1991 by CEGIS reported that out of the 462 administrative units in the country, 100 were subject to some form of riverbank erosion, of which 35 were serious; and in the process affected about 1 million people on a yearly basis. While river erosion is a big challenge, there is also opportunity for value added land getting reclaimed through accretion, if properly managed. This can provide some degree of flexibility in long-term </w:t>
      </w:r>
      <w:r w:rsidRPr="004B0A08">
        <w:rPr>
          <w:rFonts w:cs="Times New Roman"/>
          <w:i/>
        </w:rPr>
        <w:lastRenderedPageBreak/>
        <w:t>land resource management and optimum land use policy that would support the inclusive growth and sustainable development strategic agenda of the perspective plan and the five-year plans.</w:t>
      </w:r>
      <w:r w:rsidRPr="00BB495B">
        <w:rPr>
          <w:rFonts w:cs="Times New Roman"/>
        </w:rPr>
        <w:t xml:space="preserve">  </w:t>
      </w:r>
    </w:p>
    <w:p w:rsidR="00A356FA" w:rsidRPr="00BB495B" w:rsidRDefault="00A356FA" w:rsidP="00BB495B">
      <w:pPr>
        <w:widowControl w:val="0"/>
        <w:autoSpaceDE w:val="0"/>
        <w:autoSpaceDN w:val="0"/>
        <w:adjustRightInd w:val="0"/>
        <w:spacing w:line="276" w:lineRule="auto"/>
        <w:jc w:val="both"/>
        <w:rPr>
          <w:rFonts w:cs="Times New Roman"/>
          <w:color w:val="262626"/>
        </w:rPr>
      </w:pPr>
      <w:r w:rsidRPr="00BB495B">
        <w:rPr>
          <w:rFonts w:cs="Times New Roman"/>
        </w:rPr>
        <w:t xml:space="preserve">It is also true that land accretion and land erosion generate socio-economic anomalies and issues. Erosion processes are highly unpredictable, and not necessarily offset fully by accretion of land. These processes also have dramatic consequences in the lives of people living in those areas. </w:t>
      </w:r>
      <w:r w:rsidRPr="00BB495B">
        <w:rPr>
          <w:rFonts w:cs="Times New Roman"/>
          <w:color w:val="262626"/>
        </w:rPr>
        <w:t xml:space="preserve">Such </w:t>
      </w:r>
      <w:r w:rsidRPr="00BB495B">
        <w:rPr>
          <w:rFonts w:cs="Times New Roman"/>
        </w:rPr>
        <w:t>loss of landmass (Diluvion) and formation of chars (alluvion)</w:t>
      </w:r>
      <w:r w:rsidRPr="00BB495B">
        <w:rPr>
          <w:rFonts w:cs="Times New Roman"/>
          <w:color w:val="262626"/>
        </w:rPr>
        <w:t xml:space="preserve"> has also resulted in challenges in land governance and implementation of regulations and laws relating to particularly regulating the rights of ownership of such lands.  </w:t>
      </w:r>
      <w:r w:rsidRPr="00BB495B">
        <w:rPr>
          <w:rFonts w:cs="Times New Roman"/>
        </w:rPr>
        <w:t xml:space="preserve">Erosion process leads to the displacement of people, and land capture and illegal settlements are prevalent in areas where the land is accreting. </w:t>
      </w:r>
      <w:r w:rsidRPr="00BB495B">
        <w:rPr>
          <w:rFonts w:cs="Times New Roman"/>
          <w:color w:val="262626"/>
        </w:rPr>
        <w:t xml:space="preserve"> </w:t>
      </w:r>
    </w:p>
    <w:p w:rsidR="00024601" w:rsidRPr="00215325" w:rsidRDefault="00A356FA" w:rsidP="00215325">
      <w:pPr>
        <w:spacing w:line="276" w:lineRule="auto"/>
        <w:jc w:val="both"/>
        <w:rPr>
          <w:rFonts w:cs="Times New Roman"/>
        </w:rPr>
      </w:pPr>
      <w:r w:rsidRPr="00BB495B">
        <w:rPr>
          <w:rFonts w:cs="Times New Roman"/>
          <w:i/>
        </w:rPr>
        <w:t xml:space="preserve">Char Lands: </w:t>
      </w:r>
      <w:r w:rsidRPr="00BB495B">
        <w:rPr>
          <w:rFonts w:cs="Times New Roman"/>
        </w:rPr>
        <w:t>The rivers of Bangladesh are morphologically highly dynamic. The main rivers are braided, and form islands or chars bet</w:t>
      </w:r>
      <w:r w:rsidR="00F5334A">
        <w:rPr>
          <w:rFonts w:cs="Times New Roman"/>
        </w:rPr>
        <w:t>ween the braiding channels (Map</w:t>
      </w:r>
      <w:r w:rsidRPr="00BB495B">
        <w:rPr>
          <w:rFonts w:cs="Times New Roman"/>
        </w:rPr>
        <w:t xml:space="preserve"> 7</w:t>
      </w:r>
      <w:r w:rsidR="00F5334A">
        <w:rPr>
          <w:rFonts w:cs="Times New Roman"/>
        </w:rPr>
        <w:t>.3</w:t>
      </w:r>
      <w:r w:rsidRPr="00BB495B">
        <w:rPr>
          <w:rFonts w:cs="Times New Roman"/>
        </w:rPr>
        <w:t xml:space="preserve"> below). Char lands occur along the major river systems. It has complex topography. The main problems are instability of land, coarse soil texture, and low water holding capacity along with low nutrient availability, riverbank erosion, and flood. </w:t>
      </w:r>
      <w:r w:rsidRPr="004B0A08">
        <w:rPr>
          <w:rFonts w:cs="Times New Roman"/>
          <w:i/>
        </w:rPr>
        <w:t>About 0.72 million hectares of char land exi</w:t>
      </w:r>
      <w:r w:rsidR="00223988">
        <w:rPr>
          <w:rFonts w:cs="Times New Roman"/>
          <w:i/>
        </w:rPr>
        <w:t>s</w:t>
      </w:r>
      <w:r w:rsidRPr="004B0A08">
        <w:rPr>
          <w:rFonts w:cs="Times New Roman"/>
          <w:i/>
        </w:rPr>
        <w:t>ts in Bangladesh mainly in Kurigram, Lalmonirhat, Sirajganj, Pabna, Jamalpur, Manikganj, Faridpur, Shariatpur, Madaripur, Chandpur, and Bhola.</w:t>
      </w:r>
      <w:r w:rsidRPr="00BB495B">
        <w:rPr>
          <w:rFonts w:cs="Times New Roman"/>
        </w:rPr>
        <w:t xml:space="preserve"> Coarse soil textures, low water holding capacity, and low fertility are responsible for poor crop yield. These chars, of which many are inhabited, "move with the flow" and are extremely sensitive to changes in the river conditions.</w:t>
      </w:r>
      <w:bookmarkStart w:id="541" w:name="_Toc411252131"/>
      <w:bookmarkStart w:id="542" w:name="_Toc439146275"/>
      <w:r w:rsidR="00215325">
        <w:rPr>
          <w:rFonts w:cs="Times New Roman"/>
        </w:rPr>
        <w:t xml:space="preserve">  </w:t>
      </w:r>
    </w:p>
    <w:p w:rsidR="00A356FA" w:rsidRPr="00024601" w:rsidRDefault="001471F9" w:rsidP="00E3762D">
      <w:pPr>
        <w:pStyle w:val="Heading6"/>
      </w:pPr>
      <w:bookmarkStart w:id="543" w:name="_Toc474639321"/>
      <w:r>
        <w:t>Map</w:t>
      </w:r>
      <w:r w:rsidR="00024601" w:rsidRPr="00024601">
        <w:t xml:space="preserve"> 7</w:t>
      </w:r>
      <w:r>
        <w:t>.3</w:t>
      </w:r>
      <w:r w:rsidR="00950E3B">
        <w:t>: Maps Showing Char Land and M</w:t>
      </w:r>
      <w:r w:rsidR="00024601" w:rsidRPr="00024601">
        <w:t>udflat of Banglades</w:t>
      </w:r>
      <w:bookmarkEnd w:id="541"/>
      <w:bookmarkEnd w:id="542"/>
      <w:r w:rsidR="00024601" w:rsidRPr="00024601">
        <w:t>h</w:t>
      </w:r>
      <w:bookmarkEnd w:id="5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20"/>
        <w:gridCol w:w="3093"/>
        <w:gridCol w:w="3063"/>
      </w:tblGrid>
      <w:tr w:rsidR="00A356FA" w:rsidRPr="00AE5D05" w:rsidTr="00024601">
        <w:trPr>
          <w:jc w:val="center"/>
        </w:trPr>
        <w:tc>
          <w:tcPr>
            <w:tcW w:w="3161" w:type="dxa"/>
          </w:tcPr>
          <w:p w:rsidR="00A356FA" w:rsidRPr="00AE5D05" w:rsidRDefault="00A356FA" w:rsidP="00A356FA">
            <w:pPr>
              <w:autoSpaceDE w:val="0"/>
              <w:autoSpaceDN w:val="0"/>
              <w:adjustRightInd w:val="0"/>
              <w:spacing w:after="120"/>
              <w:jc w:val="both"/>
              <w:rPr>
                <w:rFonts w:ascii="Segoe UI" w:hAnsi="Segoe UI" w:cs="Segoe UI"/>
                <w:color w:val="FF0000"/>
                <w:sz w:val="20"/>
                <w:szCs w:val="20"/>
              </w:rPr>
            </w:pPr>
            <w:r w:rsidRPr="00AE5D05">
              <w:rPr>
                <w:rFonts w:ascii="Segoe UI" w:hAnsi="Segoe UI" w:cs="Segoe UI"/>
                <w:noProof/>
                <w:color w:val="FF0000"/>
                <w:sz w:val="20"/>
                <w:szCs w:val="20"/>
                <w:lang w:val="en-AU" w:eastAsia="en-AU" w:bidi="bn-BD"/>
              </w:rPr>
              <w:drawing>
                <wp:inline distT="0" distB="0" distL="0" distR="0">
                  <wp:extent cx="2057400" cy="2447925"/>
                  <wp:effectExtent l="0" t="0" r="0" b="0"/>
                  <wp:docPr id="13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7400" cy="2447925"/>
                          </a:xfrm>
                          <a:prstGeom prst="rect">
                            <a:avLst/>
                          </a:prstGeom>
                          <a:noFill/>
                          <a:ln>
                            <a:noFill/>
                          </a:ln>
                        </pic:spPr>
                      </pic:pic>
                    </a:graphicData>
                  </a:graphic>
                </wp:inline>
              </w:drawing>
            </w:r>
          </w:p>
        </w:tc>
        <w:tc>
          <w:tcPr>
            <w:tcW w:w="2861" w:type="dxa"/>
          </w:tcPr>
          <w:p w:rsidR="00A356FA" w:rsidRPr="00AE5D05" w:rsidRDefault="00A356FA" w:rsidP="00A356FA">
            <w:pPr>
              <w:autoSpaceDE w:val="0"/>
              <w:autoSpaceDN w:val="0"/>
              <w:adjustRightInd w:val="0"/>
              <w:spacing w:after="120"/>
              <w:jc w:val="both"/>
              <w:rPr>
                <w:rFonts w:ascii="Segoe UI" w:hAnsi="Segoe UI" w:cs="Segoe UI"/>
                <w:color w:val="FF0000"/>
                <w:sz w:val="20"/>
                <w:szCs w:val="20"/>
              </w:rPr>
            </w:pPr>
            <w:r w:rsidRPr="00AE5D05">
              <w:rPr>
                <w:rFonts w:ascii="Segoe UI" w:hAnsi="Segoe UI" w:cs="Segoe UI"/>
                <w:noProof/>
                <w:color w:val="FF0000"/>
                <w:sz w:val="20"/>
                <w:szCs w:val="20"/>
                <w:lang w:val="en-AU" w:eastAsia="en-AU" w:bidi="bn-BD"/>
              </w:rPr>
              <w:drawing>
                <wp:inline distT="0" distB="0" distL="0" distR="0">
                  <wp:extent cx="1847850" cy="2447925"/>
                  <wp:effectExtent l="0" t="0" r="0" b="0"/>
                  <wp:docPr id="13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2447925"/>
                          </a:xfrm>
                          <a:prstGeom prst="rect">
                            <a:avLst/>
                          </a:prstGeom>
                          <a:noFill/>
                          <a:ln>
                            <a:noFill/>
                          </a:ln>
                        </pic:spPr>
                      </pic:pic>
                    </a:graphicData>
                  </a:graphic>
                </wp:inline>
              </w:drawing>
            </w:r>
          </w:p>
        </w:tc>
        <w:tc>
          <w:tcPr>
            <w:tcW w:w="2834" w:type="dxa"/>
          </w:tcPr>
          <w:p w:rsidR="00A356FA" w:rsidRPr="00AE5D05" w:rsidRDefault="00A356FA" w:rsidP="00A356FA">
            <w:pPr>
              <w:autoSpaceDE w:val="0"/>
              <w:autoSpaceDN w:val="0"/>
              <w:adjustRightInd w:val="0"/>
              <w:spacing w:after="120"/>
              <w:jc w:val="both"/>
              <w:rPr>
                <w:rFonts w:ascii="Segoe UI" w:hAnsi="Segoe UI" w:cs="Segoe UI"/>
                <w:color w:val="FF0000"/>
                <w:sz w:val="20"/>
                <w:szCs w:val="20"/>
              </w:rPr>
            </w:pPr>
            <w:r w:rsidRPr="00AE5D05">
              <w:rPr>
                <w:rFonts w:ascii="Segoe UI" w:hAnsi="Segoe UI" w:cs="Segoe UI"/>
                <w:noProof/>
                <w:color w:val="FF0000"/>
                <w:sz w:val="20"/>
                <w:szCs w:val="20"/>
                <w:lang w:val="en-AU" w:eastAsia="en-AU" w:bidi="bn-BD"/>
              </w:rPr>
              <w:drawing>
                <wp:inline distT="0" distB="0" distL="0" distR="0">
                  <wp:extent cx="1819275" cy="2495550"/>
                  <wp:effectExtent l="0" t="0" r="9525" b="0"/>
                  <wp:docPr id="13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9275" cy="2495550"/>
                          </a:xfrm>
                          <a:prstGeom prst="rect">
                            <a:avLst/>
                          </a:prstGeom>
                          <a:noFill/>
                          <a:ln>
                            <a:noFill/>
                          </a:ln>
                        </pic:spPr>
                      </pic:pic>
                    </a:graphicData>
                  </a:graphic>
                </wp:inline>
              </w:drawing>
            </w:r>
          </w:p>
        </w:tc>
      </w:tr>
    </w:tbl>
    <w:p w:rsidR="00950E3B" w:rsidRPr="00950E3B" w:rsidRDefault="00A356FA" w:rsidP="00017EA7">
      <w:pPr>
        <w:spacing w:before="120" w:after="120"/>
        <w:jc w:val="both"/>
        <w:rPr>
          <w:rFonts w:cs="Times New Roman"/>
          <w:b/>
          <w:i/>
          <w:color w:val="000000"/>
          <w:sz w:val="20"/>
          <w:szCs w:val="20"/>
        </w:rPr>
      </w:pPr>
      <w:r w:rsidRPr="00950E3B">
        <w:rPr>
          <w:rFonts w:cs="Times New Roman"/>
          <w:b/>
          <w:bCs/>
          <w:i/>
          <w:sz w:val="20"/>
          <w:szCs w:val="20"/>
        </w:rPr>
        <w:t xml:space="preserve">Source: </w:t>
      </w:r>
      <w:r w:rsidR="00017EA7" w:rsidRPr="00950E3B">
        <w:rPr>
          <w:rFonts w:cs="Times New Roman"/>
          <w:b/>
          <w:i/>
          <w:color w:val="000000"/>
          <w:sz w:val="20"/>
          <w:szCs w:val="20"/>
        </w:rPr>
        <w:t>SRDI, 2013</w:t>
      </w:r>
    </w:p>
    <w:p w:rsidR="00A356FA" w:rsidRPr="00BB495B" w:rsidRDefault="00A356FA" w:rsidP="00017EA7">
      <w:pPr>
        <w:spacing w:before="120" w:after="120"/>
        <w:jc w:val="both"/>
        <w:rPr>
          <w:rFonts w:cs="Times New Roman"/>
        </w:rPr>
      </w:pPr>
      <w:r w:rsidRPr="00BB495B">
        <w:rPr>
          <w:rFonts w:cs="Times New Roman"/>
        </w:rPr>
        <w:t xml:space="preserve">Formations of new chars are not necessarily favorable for land use management.  Burial of standing crops by fresh sediments of sandy deposits (sand carpeting) also destroys crops. Addition of organic matter through green manuring with Dhancha/ leguminous crop might help to improve physical and chemical properties of the char lands. Rabi crops, especially groundnuts, </w:t>
      </w:r>
      <w:r w:rsidRPr="00BB495B">
        <w:rPr>
          <w:rFonts w:cs="Times New Roman"/>
        </w:rPr>
        <w:lastRenderedPageBreak/>
        <w:t>pulses, mustard, etc may be practiced.  Of course, big sized chars may be protected for development of settlements / industrial areas by taking protective measures from river bank erosion, as demand for industrial and land grows with economic development. These may be extended in newly accreted char lands, dredged spoils platforms area, preferably in non-agricultural fallow lands taking necessary step for the protection from riverbank erosion. This will require major physical investments and so should be undertaken on the basis of sound feasibility studies.</w:t>
      </w:r>
    </w:p>
    <w:bookmarkEnd w:id="537"/>
    <w:bookmarkEnd w:id="538"/>
    <w:bookmarkEnd w:id="539"/>
    <w:bookmarkEnd w:id="540"/>
    <w:p w:rsidR="00165361" w:rsidRPr="004B0A08" w:rsidRDefault="007328A4" w:rsidP="00215325">
      <w:pPr>
        <w:spacing w:line="276" w:lineRule="auto"/>
        <w:jc w:val="both"/>
        <w:rPr>
          <w:rFonts w:cs="Times New Roman"/>
          <w:i/>
        </w:rPr>
      </w:pPr>
      <w:r>
        <w:rPr>
          <w:rFonts w:cs="Times New Roman"/>
          <w:b/>
          <w:i/>
        </w:rPr>
        <w:t>Erosion and a</w:t>
      </w:r>
      <w:r w:rsidR="00A356FA" w:rsidRPr="00BB495B">
        <w:rPr>
          <w:rFonts w:cs="Times New Roman"/>
          <w:b/>
          <w:i/>
        </w:rPr>
        <w:t xml:space="preserve">ccretion along </w:t>
      </w:r>
      <w:r w:rsidR="00876602" w:rsidRPr="00BB495B">
        <w:rPr>
          <w:rFonts w:cs="Times New Roman"/>
          <w:b/>
          <w:i/>
        </w:rPr>
        <w:t xml:space="preserve">the </w:t>
      </w:r>
      <w:r w:rsidR="00876602">
        <w:rPr>
          <w:rFonts w:cs="Times New Roman"/>
          <w:b/>
          <w:i/>
        </w:rPr>
        <w:t>major</w:t>
      </w:r>
      <w:r w:rsidR="00223988">
        <w:rPr>
          <w:rFonts w:cs="Times New Roman"/>
          <w:b/>
          <w:i/>
        </w:rPr>
        <w:t xml:space="preserve"> </w:t>
      </w:r>
      <w:r w:rsidR="00A356FA" w:rsidRPr="00BB495B">
        <w:rPr>
          <w:rFonts w:cs="Times New Roman"/>
          <w:b/>
          <w:i/>
        </w:rPr>
        <w:t xml:space="preserve">rivers: </w:t>
      </w:r>
      <w:r w:rsidR="00A356FA" w:rsidRPr="00BB495B">
        <w:rPr>
          <w:rFonts w:cs="Times New Roman"/>
        </w:rPr>
        <w:t>Different Districts along each of the major rivers are affected in different magnitudes from the erosion and accreti</w:t>
      </w:r>
      <w:r w:rsidR="00215325">
        <w:rPr>
          <w:rFonts w:cs="Times New Roman"/>
        </w:rPr>
        <w:t xml:space="preserve">on process. </w:t>
      </w:r>
      <w:r w:rsidR="00165361">
        <w:rPr>
          <w:rFonts w:cs="Times New Roman"/>
        </w:rPr>
        <w:t>District wise, the big net gainers of land are Nawabganj</w:t>
      </w:r>
      <w:r w:rsidR="00986068">
        <w:rPr>
          <w:rFonts w:cs="Times New Roman"/>
        </w:rPr>
        <w:t xml:space="preserve"> and </w:t>
      </w:r>
      <w:r w:rsidR="00165361">
        <w:rPr>
          <w:rFonts w:cs="Times New Roman"/>
        </w:rPr>
        <w:t xml:space="preserve">Patuakhali.  </w:t>
      </w:r>
      <w:r w:rsidR="00986068">
        <w:rPr>
          <w:rFonts w:cs="Times New Roman"/>
        </w:rPr>
        <w:t xml:space="preserve">Pabna and </w:t>
      </w:r>
      <w:r w:rsidR="00165361">
        <w:rPr>
          <w:rFonts w:cs="Times New Roman"/>
        </w:rPr>
        <w:t>Bhola</w:t>
      </w:r>
      <w:r w:rsidR="00986068">
        <w:rPr>
          <w:rFonts w:cs="Times New Roman"/>
        </w:rPr>
        <w:t xml:space="preserve"> have gained moderately.  All other districts are net losers of land owing to the heavy </w:t>
      </w:r>
      <w:r w:rsidR="00065D01">
        <w:rPr>
          <w:rFonts w:cs="Times New Roman"/>
        </w:rPr>
        <w:t>incidence</w:t>
      </w:r>
      <w:r w:rsidR="00986068">
        <w:rPr>
          <w:rFonts w:cs="Times New Roman"/>
        </w:rPr>
        <w:t xml:space="preserve"> of </w:t>
      </w:r>
      <w:r w:rsidR="00065D01">
        <w:rPr>
          <w:rFonts w:cs="Times New Roman"/>
        </w:rPr>
        <w:t>river</w:t>
      </w:r>
      <w:r w:rsidR="00986068">
        <w:rPr>
          <w:rFonts w:cs="Times New Roman"/>
        </w:rPr>
        <w:t xml:space="preserve"> bank erosion.  </w:t>
      </w:r>
      <w:r w:rsidR="00986068" w:rsidRPr="004B0A08">
        <w:rPr>
          <w:rFonts w:cs="Times New Roman"/>
          <w:i/>
        </w:rPr>
        <w:t>The biggest losers are Kurigram, Gaibandha, Sirajganj</w:t>
      </w:r>
      <w:r w:rsidR="00167381" w:rsidRPr="004B0A08">
        <w:rPr>
          <w:rFonts w:cs="Times New Roman"/>
          <w:i/>
        </w:rPr>
        <w:t>, Manikganj</w:t>
      </w:r>
      <w:r w:rsidR="00986068" w:rsidRPr="004B0A08">
        <w:rPr>
          <w:rFonts w:cs="Times New Roman"/>
          <w:i/>
        </w:rPr>
        <w:t xml:space="preserve"> and Kushtia.</w:t>
      </w:r>
    </w:p>
    <w:p w:rsidR="00A356FA" w:rsidRPr="00832292" w:rsidRDefault="00A356FA" w:rsidP="00A356FA">
      <w:pPr>
        <w:spacing w:line="276" w:lineRule="auto"/>
        <w:jc w:val="both"/>
        <w:rPr>
          <w:rFonts w:cs="Times New Roman"/>
        </w:rPr>
      </w:pPr>
      <w:r w:rsidRPr="00832292">
        <w:rPr>
          <w:rFonts w:cs="Times New Roman"/>
        </w:rPr>
        <w:t xml:space="preserve">It is apparent from Table </w:t>
      </w:r>
      <w:r w:rsidR="00E33CD6">
        <w:rPr>
          <w:rFonts w:cs="Times New Roman"/>
        </w:rPr>
        <w:t xml:space="preserve">7.5 </w:t>
      </w:r>
      <w:r w:rsidRPr="00832292">
        <w:rPr>
          <w:rFonts w:cs="Times New Roman"/>
        </w:rPr>
        <w:t>that the eroded area of different places of the rivers of the Jamuna, Ganges and Padma are more than that of the accretion, while in the Lower Meghna River, the area of accreted area has been found more that the eroded areas.</w:t>
      </w:r>
      <w:bookmarkStart w:id="544" w:name="_Toc439146225"/>
    </w:p>
    <w:p w:rsidR="00A356FA" w:rsidRPr="004D38C6" w:rsidRDefault="00A356FA" w:rsidP="00E3762D">
      <w:pPr>
        <w:pStyle w:val="Heading4"/>
      </w:pPr>
      <w:bookmarkStart w:id="545" w:name="_Toc474639043"/>
      <w:r w:rsidRPr="004D38C6">
        <w:t xml:space="preserve">Table </w:t>
      </w:r>
      <w:r w:rsidR="00B50A6C">
        <w:t>7.</w:t>
      </w:r>
      <w:r w:rsidR="00E33CD6">
        <w:t>5</w:t>
      </w:r>
      <w:r w:rsidRPr="004D38C6">
        <w:t>:  Distribution of Erosion &amp; Accretion in the three of the Mighty Rivers of Bangladesh (1973-2013)</w:t>
      </w:r>
      <w:bookmarkEnd w:id="544"/>
      <w:bookmarkEnd w:id="54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92"/>
        <w:gridCol w:w="3193"/>
        <w:gridCol w:w="3191"/>
      </w:tblGrid>
      <w:tr w:rsidR="00A356FA" w:rsidRPr="001C319B" w:rsidTr="00A356FA">
        <w:tc>
          <w:tcPr>
            <w:tcW w:w="1667" w:type="pct"/>
            <w:shd w:val="clear" w:color="auto" w:fill="auto"/>
          </w:tcPr>
          <w:p w:rsidR="00A356FA" w:rsidRPr="001C319B" w:rsidRDefault="00A356FA" w:rsidP="00024601">
            <w:pPr>
              <w:spacing w:after="0" w:line="276" w:lineRule="auto"/>
              <w:jc w:val="both"/>
              <w:rPr>
                <w:rFonts w:eastAsia="Calibri" w:cs="Times New Roman"/>
                <w:b/>
              </w:rPr>
            </w:pPr>
            <w:r w:rsidRPr="001C319B">
              <w:rPr>
                <w:rFonts w:eastAsia="Calibri" w:cs="Times New Roman"/>
                <w:b/>
              </w:rPr>
              <w:t>Name of River</w:t>
            </w:r>
          </w:p>
        </w:tc>
        <w:tc>
          <w:tcPr>
            <w:tcW w:w="1667" w:type="pct"/>
            <w:shd w:val="clear" w:color="auto" w:fill="auto"/>
          </w:tcPr>
          <w:p w:rsidR="00A356FA" w:rsidRPr="001C319B" w:rsidRDefault="00A356FA" w:rsidP="00024601">
            <w:pPr>
              <w:spacing w:after="0" w:line="276" w:lineRule="auto"/>
              <w:jc w:val="both"/>
              <w:rPr>
                <w:rFonts w:eastAsia="Calibri" w:cs="Times New Roman"/>
                <w:b/>
              </w:rPr>
            </w:pPr>
            <w:r w:rsidRPr="001C319B">
              <w:rPr>
                <w:rFonts w:eastAsia="Calibri" w:cs="Times New Roman"/>
                <w:b/>
              </w:rPr>
              <w:t>Erosion (1973-2013)</w:t>
            </w:r>
          </w:p>
        </w:tc>
        <w:tc>
          <w:tcPr>
            <w:tcW w:w="1666" w:type="pct"/>
            <w:shd w:val="clear" w:color="auto" w:fill="auto"/>
          </w:tcPr>
          <w:p w:rsidR="00A356FA" w:rsidRPr="001C319B" w:rsidRDefault="00A356FA" w:rsidP="00024601">
            <w:pPr>
              <w:spacing w:after="0" w:line="276" w:lineRule="auto"/>
              <w:jc w:val="both"/>
              <w:rPr>
                <w:rFonts w:eastAsia="Calibri" w:cs="Times New Roman"/>
                <w:b/>
              </w:rPr>
            </w:pPr>
            <w:r w:rsidRPr="001C319B">
              <w:rPr>
                <w:rFonts w:eastAsia="Calibri" w:cs="Times New Roman"/>
                <w:b/>
              </w:rPr>
              <w:t>Accretion(1973-2013)</w:t>
            </w:r>
          </w:p>
        </w:tc>
      </w:tr>
      <w:tr w:rsidR="00A356FA" w:rsidRPr="001C319B" w:rsidTr="00A356FA">
        <w:tc>
          <w:tcPr>
            <w:tcW w:w="1667" w:type="pct"/>
            <w:shd w:val="clear" w:color="auto" w:fill="auto"/>
          </w:tcPr>
          <w:p w:rsidR="00A356FA" w:rsidRPr="001C319B" w:rsidRDefault="00A356FA" w:rsidP="00024601">
            <w:pPr>
              <w:spacing w:after="0" w:line="276" w:lineRule="auto"/>
              <w:jc w:val="both"/>
              <w:rPr>
                <w:rFonts w:eastAsia="Calibri" w:cs="Times New Roman"/>
              </w:rPr>
            </w:pPr>
            <w:r w:rsidRPr="001C319B">
              <w:rPr>
                <w:rFonts w:eastAsia="Calibri" w:cs="Times New Roman"/>
              </w:rPr>
              <w:t>Ganges</w:t>
            </w:r>
          </w:p>
        </w:tc>
        <w:tc>
          <w:tcPr>
            <w:tcW w:w="1667" w:type="pct"/>
            <w:shd w:val="clear" w:color="auto" w:fill="auto"/>
          </w:tcPr>
          <w:p w:rsidR="00A356FA" w:rsidRPr="001A5500" w:rsidRDefault="00A356FA" w:rsidP="00024601">
            <w:pPr>
              <w:spacing w:after="0" w:line="276" w:lineRule="auto"/>
              <w:jc w:val="both"/>
              <w:rPr>
                <w:rFonts w:eastAsia="Calibri" w:cs="Times New Roman"/>
              </w:rPr>
            </w:pPr>
            <w:r w:rsidRPr="001A5500">
              <w:rPr>
                <w:rFonts w:eastAsia="Calibri" w:cs="Times New Roman"/>
              </w:rPr>
              <w:t>30,100</w:t>
            </w:r>
          </w:p>
        </w:tc>
        <w:tc>
          <w:tcPr>
            <w:tcW w:w="1666" w:type="pct"/>
            <w:shd w:val="clear" w:color="auto" w:fill="auto"/>
          </w:tcPr>
          <w:p w:rsidR="00A356FA" w:rsidRPr="001A5500" w:rsidRDefault="00A356FA" w:rsidP="00024601">
            <w:pPr>
              <w:spacing w:after="0" w:line="276" w:lineRule="auto"/>
              <w:jc w:val="both"/>
              <w:rPr>
                <w:rFonts w:eastAsia="Calibri" w:cs="Times New Roman"/>
              </w:rPr>
            </w:pPr>
            <w:r w:rsidRPr="001A5500">
              <w:rPr>
                <w:rFonts w:eastAsia="Calibri" w:cs="Times New Roman"/>
              </w:rPr>
              <w:t>25,712</w:t>
            </w:r>
          </w:p>
        </w:tc>
      </w:tr>
      <w:tr w:rsidR="00A356FA" w:rsidRPr="001C319B" w:rsidTr="00A356FA">
        <w:tc>
          <w:tcPr>
            <w:tcW w:w="1667" w:type="pct"/>
            <w:shd w:val="clear" w:color="auto" w:fill="auto"/>
          </w:tcPr>
          <w:p w:rsidR="00A356FA" w:rsidRPr="001C319B" w:rsidRDefault="00A356FA" w:rsidP="00024601">
            <w:pPr>
              <w:spacing w:after="0" w:line="276" w:lineRule="auto"/>
              <w:jc w:val="both"/>
              <w:rPr>
                <w:rFonts w:eastAsia="Calibri" w:cs="Times New Roman"/>
              </w:rPr>
            </w:pPr>
            <w:r w:rsidRPr="001C319B">
              <w:rPr>
                <w:rFonts w:eastAsia="Calibri" w:cs="Times New Roman"/>
              </w:rPr>
              <w:t>Jamuna</w:t>
            </w:r>
          </w:p>
        </w:tc>
        <w:tc>
          <w:tcPr>
            <w:tcW w:w="1667" w:type="pct"/>
            <w:shd w:val="clear" w:color="auto" w:fill="auto"/>
          </w:tcPr>
          <w:p w:rsidR="00A356FA" w:rsidRPr="001A5500" w:rsidRDefault="00A356FA" w:rsidP="00024601">
            <w:pPr>
              <w:spacing w:after="0" w:line="276" w:lineRule="auto"/>
              <w:jc w:val="both"/>
              <w:rPr>
                <w:rFonts w:eastAsia="Calibri" w:cs="Times New Roman"/>
              </w:rPr>
            </w:pPr>
            <w:r w:rsidRPr="001A5500">
              <w:rPr>
                <w:rFonts w:eastAsia="Calibri" w:cs="Times New Roman"/>
              </w:rPr>
              <w:t>87,713</w:t>
            </w:r>
          </w:p>
        </w:tc>
        <w:tc>
          <w:tcPr>
            <w:tcW w:w="1666" w:type="pct"/>
            <w:shd w:val="clear" w:color="auto" w:fill="auto"/>
          </w:tcPr>
          <w:p w:rsidR="00A356FA" w:rsidRPr="001A5500" w:rsidRDefault="00A356FA" w:rsidP="00024601">
            <w:pPr>
              <w:spacing w:after="0" w:line="276" w:lineRule="auto"/>
              <w:jc w:val="both"/>
              <w:rPr>
                <w:rFonts w:eastAsia="Calibri" w:cs="Times New Roman"/>
              </w:rPr>
            </w:pPr>
            <w:r w:rsidRPr="001A5500">
              <w:rPr>
                <w:rFonts w:eastAsia="Calibri" w:cs="Times New Roman"/>
              </w:rPr>
              <w:t>16,444</w:t>
            </w:r>
          </w:p>
        </w:tc>
      </w:tr>
      <w:tr w:rsidR="00A356FA" w:rsidRPr="001C319B" w:rsidTr="00A356FA">
        <w:tc>
          <w:tcPr>
            <w:tcW w:w="1667" w:type="pct"/>
            <w:shd w:val="clear" w:color="auto" w:fill="auto"/>
          </w:tcPr>
          <w:p w:rsidR="00A356FA" w:rsidRPr="001C319B" w:rsidRDefault="00A356FA" w:rsidP="00024601">
            <w:pPr>
              <w:spacing w:after="0" w:line="276" w:lineRule="auto"/>
              <w:jc w:val="both"/>
              <w:rPr>
                <w:rFonts w:eastAsia="Calibri" w:cs="Times New Roman"/>
              </w:rPr>
            </w:pPr>
            <w:r w:rsidRPr="001C319B">
              <w:rPr>
                <w:rFonts w:eastAsia="Calibri" w:cs="Times New Roman"/>
              </w:rPr>
              <w:t>Padma</w:t>
            </w:r>
          </w:p>
        </w:tc>
        <w:tc>
          <w:tcPr>
            <w:tcW w:w="1667" w:type="pct"/>
            <w:shd w:val="clear" w:color="auto" w:fill="auto"/>
          </w:tcPr>
          <w:p w:rsidR="00A356FA" w:rsidRPr="001A5500" w:rsidRDefault="00A356FA" w:rsidP="00024601">
            <w:pPr>
              <w:spacing w:after="0" w:line="276" w:lineRule="auto"/>
              <w:jc w:val="both"/>
              <w:rPr>
                <w:rFonts w:eastAsia="Calibri" w:cs="Times New Roman"/>
              </w:rPr>
            </w:pPr>
            <w:r w:rsidRPr="001A5500">
              <w:rPr>
                <w:rFonts w:eastAsia="Calibri" w:cs="Times New Roman"/>
              </w:rPr>
              <w:t>41,650</w:t>
            </w:r>
          </w:p>
        </w:tc>
        <w:tc>
          <w:tcPr>
            <w:tcW w:w="1666" w:type="pct"/>
            <w:shd w:val="clear" w:color="auto" w:fill="auto"/>
          </w:tcPr>
          <w:p w:rsidR="00A356FA" w:rsidRPr="001A5500" w:rsidRDefault="00A356FA" w:rsidP="00024601">
            <w:pPr>
              <w:spacing w:after="0" w:line="276" w:lineRule="auto"/>
              <w:jc w:val="both"/>
              <w:rPr>
                <w:rFonts w:eastAsia="Calibri" w:cs="Times New Roman"/>
              </w:rPr>
            </w:pPr>
            <w:r w:rsidRPr="001A5500">
              <w:rPr>
                <w:rFonts w:eastAsia="Calibri" w:cs="Times New Roman"/>
              </w:rPr>
              <w:t>7,212</w:t>
            </w:r>
          </w:p>
        </w:tc>
      </w:tr>
      <w:tr w:rsidR="00A356FA" w:rsidRPr="001C319B" w:rsidTr="00A356FA">
        <w:tc>
          <w:tcPr>
            <w:tcW w:w="1667" w:type="pct"/>
            <w:shd w:val="clear" w:color="auto" w:fill="auto"/>
          </w:tcPr>
          <w:p w:rsidR="00A356FA" w:rsidRPr="001A5500" w:rsidRDefault="00A356FA" w:rsidP="00024601">
            <w:pPr>
              <w:spacing w:after="0" w:line="276" w:lineRule="auto"/>
              <w:jc w:val="both"/>
              <w:rPr>
                <w:rFonts w:eastAsia="Calibri" w:cs="Times New Roman"/>
              </w:rPr>
            </w:pPr>
            <w:r w:rsidRPr="001A5500">
              <w:rPr>
                <w:rFonts w:eastAsia="Calibri" w:cs="Times New Roman"/>
              </w:rPr>
              <w:t>Lower Meghna</w:t>
            </w:r>
          </w:p>
        </w:tc>
        <w:tc>
          <w:tcPr>
            <w:tcW w:w="1667" w:type="pct"/>
            <w:shd w:val="clear" w:color="auto" w:fill="auto"/>
          </w:tcPr>
          <w:p w:rsidR="00A356FA" w:rsidRPr="001A5500" w:rsidRDefault="00A356FA" w:rsidP="00024601">
            <w:pPr>
              <w:spacing w:after="0" w:line="276" w:lineRule="auto"/>
              <w:jc w:val="both"/>
              <w:rPr>
                <w:rFonts w:eastAsia="Calibri" w:cs="Times New Roman"/>
              </w:rPr>
            </w:pPr>
            <w:r w:rsidRPr="001A5500">
              <w:rPr>
                <w:rFonts w:eastAsia="Calibri" w:cs="Times New Roman"/>
              </w:rPr>
              <w:t>90,079</w:t>
            </w:r>
          </w:p>
        </w:tc>
        <w:tc>
          <w:tcPr>
            <w:tcW w:w="1666" w:type="pct"/>
            <w:shd w:val="clear" w:color="auto" w:fill="auto"/>
          </w:tcPr>
          <w:p w:rsidR="00A356FA" w:rsidRPr="001A5500" w:rsidRDefault="00A356FA" w:rsidP="00024601">
            <w:pPr>
              <w:spacing w:after="0" w:line="276" w:lineRule="auto"/>
              <w:jc w:val="both"/>
              <w:rPr>
                <w:rFonts w:eastAsia="Calibri" w:cs="Times New Roman"/>
              </w:rPr>
            </w:pPr>
            <w:r w:rsidRPr="001A5500">
              <w:rPr>
                <w:rFonts w:eastAsia="Calibri" w:cs="Times New Roman"/>
              </w:rPr>
              <w:t>103,003</w:t>
            </w:r>
          </w:p>
        </w:tc>
      </w:tr>
      <w:tr w:rsidR="00A356FA" w:rsidRPr="001A5500" w:rsidTr="00A356FA">
        <w:tc>
          <w:tcPr>
            <w:tcW w:w="1667" w:type="pct"/>
            <w:shd w:val="clear" w:color="auto" w:fill="auto"/>
          </w:tcPr>
          <w:p w:rsidR="00A356FA" w:rsidRPr="001A5500" w:rsidRDefault="00A356FA" w:rsidP="00024601">
            <w:pPr>
              <w:spacing w:after="0" w:line="276" w:lineRule="auto"/>
              <w:jc w:val="both"/>
              <w:rPr>
                <w:rFonts w:eastAsia="Calibri" w:cs="Times New Roman"/>
                <w:b/>
              </w:rPr>
            </w:pPr>
            <w:r w:rsidRPr="001A5500">
              <w:rPr>
                <w:rFonts w:eastAsia="Calibri" w:cs="Times New Roman"/>
                <w:b/>
              </w:rPr>
              <w:t>Total</w:t>
            </w:r>
          </w:p>
        </w:tc>
        <w:tc>
          <w:tcPr>
            <w:tcW w:w="1667" w:type="pct"/>
            <w:shd w:val="clear" w:color="auto" w:fill="auto"/>
          </w:tcPr>
          <w:p w:rsidR="00A356FA" w:rsidRPr="001A5500" w:rsidRDefault="00A356FA" w:rsidP="00024601">
            <w:pPr>
              <w:spacing w:after="0" w:line="276" w:lineRule="auto"/>
              <w:jc w:val="both"/>
              <w:rPr>
                <w:rFonts w:eastAsia="Calibri" w:cs="Times New Roman"/>
                <w:b/>
              </w:rPr>
            </w:pPr>
            <w:r w:rsidRPr="001A5500">
              <w:rPr>
                <w:rFonts w:eastAsia="Calibri" w:cs="Times New Roman"/>
                <w:b/>
              </w:rPr>
              <w:t>249,542</w:t>
            </w:r>
          </w:p>
        </w:tc>
        <w:tc>
          <w:tcPr>
            <w:tcW w:w="1666" w:type="pct"/>
            <w:shd w:val="clear" w:color="auto" w:fill="auto"/>
          </w:tcPr>
          <w:p w:rsidR="00A356FA" w:rsidRPr="001A5500" w:rsidRDefault="00A356FA" w:rsidP="00024601">
            <w:pPr>
              <w:spacing w:after="0" w:line="276" w:lineRule="auto"/>
              <w:jc w:val="both"/>
              <w:rPr>
                <w:rFonts w:eastAsia="Calibri" w:cs="Times New Roman"/>
                <w:b/>
              </w:rPr>
            </w:pPr>
            <w:r w:rsidRPr="001A5500">
              <w:rPr>
                <w:rFonts w:eastAsia="Calibri" w:cs="Times New Roman"/>
                <w:b/>
              </w:rPr>
              <w:t>152,271</w:t>
            </w:r>
          </w:p>
        </w:tc>
      </w:tr>
    </w:tbl>
    <w:p w:rsidR="00A356FA" w:rsidRPr="00832092" w:rsidRDefault="00A356FA" w:rsidP="004C1AF0">
      <w:pPr>
        <w:pStyle w:val="Source"/>
        <w:spacing w:before="120" w:line="276" w:lineRule="auto"/>
        <w:jc w:val="both"/>
        <w:rPr>
          <w:rFonts w:ascii="Times New Roman" w:hAnsi="Times New Roman"/>
          <w:b/>
          <w:bCs/>
          <w:lang w:eastAsia="en-US"/>
        </w:rPr>
      </w:pPr>
      <w:r w:rsidRPr="00832292">
        <w:rPr>
          <w:rFonts w:ascii="Times New Roman" w:hAnsi="Times New Roman"/>
          <w:b/>
          <w:bCs/>
          <w:lang w:eastAsia="en-US"/>
        </w:rPr>
        <w:t xml:space="preserve">Source: CEGIS. </w:t>
      </w:r>
      <w:bookmarkStart w:id="546" w:name="_Toc439146255"/>
    </w:p>
    <w:p w:rsidR="00165361" w:rsidRDefault="00F64A6A" w:rsidP="008A60C8">
      <w:pPr>
        <w:spacing w:line="276" w:lineRule="auto"/>
        <w:jc w:val="both"/>
        <w:rPr>
          <w:rFonts w:cs="Times New Roman"/>
        </w:rPr>
      </w:pPr>
      <w:r w:rsidRPr="00F64A6A">
        <w:rPr>
          <w:rFonts w:cs="Times New Roman"/>
          <w:i/>
          <w:u w:val="single"/>
        </w:rPr>
        <w:t>On the whole, during 1973-2013, a total approximately 249, 452 hectares of land have been eroded, whereas total area of accreted lands was approximately152, 271 hectares</w:t>
      </w:r>
      <w:r w:rsidRPr="00F64A6A">
        <w:rPr>
          <w:rFonts w:cs="Times New Roman"/>
          <w:i/>
          <w:color w:val="FF0000"/>
          <w:u w:val="single"/>
        </w:rPr>
        <w:t xml:space="preserve"> </w:t>
      </w:r>
      <w:r w:rsidRPr="00F64A6A">
        <w:rPr>
          <w:rFonts w:cs="Times New Roman"/>
          <w:i/>
          <w:u w:val="single"/>
        </w:rPr>
        <w:t xml:space="preserve">in the same period along the Ganges, Jamuna, Padma, and Meghna rivers. </w:t>
      </w:r>
      <w:r w:rsidR="00A356FA" w:rsidRPr="004B0A08">
        <w:rPr>
          <w:rFonts w:cs="Times New Roman"/>
          <w:i/>
        </w:rPr>
        <w:t xml:space="preserve">The erosion, therefore, was more than that of accretion in the Ganges, Jamuna and Padma rivers areas, while it was opposite in the case of the Meghna Estuaries areas. </w:t>
      </w:r>
      <w:r w:rsidR="00A356FA" w:rsidRPr="00BB495B">
        <w:rPr>
          <w:rFonts w:cs="Times New Roman"/>
        </w:rPr>
        <w:t xml:space="preserve">Detailed erosion and accretion in the above-mentioned rivers during this period are presented in Table </w:t>
      </w:r>
      <w:r w:rsidR="00B50A6C">
        <w:rPr>
          <w:rFonts w:cs="Times New Roman"/>
        </w:rPr>
        <w:t>7.</w:t>
      </w:r>
      <w:r w:rsidR="00A356FA" w:rsidRPr="00BB495B">
        <w:rPr>
          <w:rFonts w:cs="Times New Roman"/>
        </w:rPr>
        <w:t>9</w:t>
      </w:r>
      <w:r w:rsidR="00276215">
        <w:rPr>
          <w:rFonts w:cs="Times New Roman"/>
        </w:rPr>
        <w:t>.</w:t>
      </w:r>
      <w:r w:rsidR="00A356FA" w:rsidRPr="00BB495B">
        <w:rPr>
          <w:rFonts w:cs="Times New Roman"/>
        </w:rPr>
        <w:t xml:space="preserve"> and that of Ganges, Jamuna, and Padma are shown in </w:t>
      </w:r>
      <w:r w:rsidR="001471F9">
        <w:rPr>
          <w:rFonts w:cs="Times New Roman"/>
        </w:rPr>
        <w:t>Map</w:t>
      </w:r>
      <w:r w:rsidR="00A356FA" w:rsidRPr="00BB495B">
        <w:rPr>
          <w:rFonts w:cs="Times New Roman"/>
        </w:rPr>
        <w:t xml:space="preserve"> </w:t>
      </w:r>
      <w:r w:rsidR="001471F9">
        <w:rPr>
          <w:rFonts w:cs="Times New Roman"/>
        </w:rPr>
        <w:t>7.4</w:t>
      </w:r>
      <w:r w:rsidR="004C1AF0">
        <w:rPr>
          <w:rFonts w:cs="Times New Roman"/>
        </w:rPr>
        <w:t xml:space="preserve">.  </w:t>
      </w:r>
    </w:p>
    <w:p w:rsidR="00876602" w:rsidRDefault="00876602">
      <w:pPr>
        <w:rPr>
          <w:rFonts w:eastAsia="Times New Roman" w:cs="Times New Roman"/>
          <w:b/>
          <w:szCs w:val="24"/>
          <w:lang w:val="en-GB"/>
        </w:rPr>
      </w:pPr>
      <w:r>
        <w:br w:type="page"/>
      </w:r>
    </w:p>
    <w:p w:rsidR="00A356FA" w:rsidRDefault="001471F9" w:rsidP="00E3762D">
      <w:pPr>
        <w:pStyle w:val="Heading6"/>
      </w:pPr>
      <w:bookmarkStart w:id="547" w:name="_Toc474639322"/>
      <w:r>
        <w:lastRenderedPageBreak/>
        <w:t>Map</w:t>
      </w:r>
      <w:r w:rsidR="00A356FA" w:rsidRPr="00EC385E">
        <w:t xml:space="preserve"> </w:t>
      </w:r>
      <w:r>
        <w:t>7.4</w:t>
      </w:r>
      <w:r w:rsidR="00A356FA" w:rsidRPr="00EC385E">
        <w:t>: Distribution of Erosion &amp; Accretion along Ganges, Jamuna</w:t>
      </w:r>
      <w:r w:rsidR="00A356FA">
        <w:t>, and Padma Rivers</w:t>
      </w:r>
      <w:r w:rsidR="00A356FA" w:rsidRPr="00EC385E">
        <w:t xml:space="preserve"> (1973-2013)</w:t>
      </w:r>
      <w:bookmarkEnd w:id="546"/>
      <w:bookmarkEnd w:id="547"/>
    </w:p>
    <w:p w:rsidR="00A356FA" w:rsidRDefault="00A356FA" w:rsidP="00024601">
      <w:pPr>
        <w:spacing w:after="0"/>
        <w:jc w:val="center"/>
        <w:rPr>
          <w:rFonts w:cs="Times New Roman"/>
          <w:b/>
        </w:rPr>
      </w:pPr>
      <w:r w:rsidRPr="00291427">
        <w:rPr>
          <w:noProof/>
          <w:lang w:val="en-AU" w:eastAsia="en-AU" w:bidi="bn-BD"/>
        </w:rPr>
        <w:drawing>
          <wp:inline distT="0" distB="0" distL="0" distR="0">
            <wp:extent cx="5256687" cy="5638800"/>
            <wp:effectExtent l="19050" t="19050" r="20320" b="19050"/>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165"/>
                    <a:stretch>
                      <a:fillRect/>
                    </a:stretch>
                  </pic:blipFill>
                  <pic:spPr bwMode="auto">
                    <a:xfrm>
                      <a:off x="0" y="0"/>
                      <a:ext cx="5259791" cy="5642129"/>
                    </a:xfrm>
                    <a:prstGeom prst="rect">
                      <a:avLst/>
                    </a:prstGeom>
                    <a:noFill/>
                    <a:ln w="9525" cmpd="sng">
                      <a:solidFill>
                        <a:srgbClr val="7F7F7F"/>
                      </a:solidFill>
                      <a:miter lim="800000"/>
                      <a:headEnd/>
                      <a:tailEnd/>
                    </a:ln>
                    <a:effectLst/>
                  </pic:spPr>
                </pic:pic>
              </a:graphicData>
            </a:graphic>
          </wp:inline>
        </w:drawing>
      </w:r>
    </w:p>
    <w:p w:rsidR="00A356FA" w:rsidRPr="00EC385E" w:rsidRDefault="004C1AF0" w:rsidP="004C1AF0">
      <w:pPr>
        <w:spacing w:before="120" w:line="276" w:lineRule="auto"/>
        <w:rPr>
          <w:rFonts w:cs="Times New Roman"/>
          <w:b/>
        </w:rPr>
      </w:pPr>
      <w:r>
        <w:rPr>
          <w:rFonts w:cs="Times New Roman"/>
          <w:b/>
          <w:bCs/>
          <w:i/>
          <w:iCs/>
          <w:sz w:val="20"/>
          <w:szCs w:val="20"/>
        </w:rPr>
        <w:t xml:space="preserve">         </w:t>
      </w:r>
      <w:r w:rsidR="00A356FA" w:rsidRPr="00832292">
        <w:rPr>
          <w:rFonts w:cs="Times New Roman"/>
          <w:b/>
          <w:bCs/>
          <w:i/>
          <w:iCs/>
          <w:sz w:val="20"/>
          <w:szCs w:val="20"/>
        </w:rPr>
        <w:t>Source: CEGIS, 2013</w:t>
      </w:r>
    </w:p>
    <w:p w:rsidR="00A356FA" w:rsidRPr="00BB495B" w:rsidRDefault="00A356FA" w:rsidP="00BB495B">
      <w:pPr>
        <w:spacing w:line="276" w:lineRule="auto"/>
        <w:jc w:val="both"/>
        <w:rPr>
          <w:rFonts w:cs="Times New Roman"/>
        </w:rPr>
      </w:pPr>
      <w:r w:rsidRPr="00BB495B">
        <w:rPr>
          <w:rFonts w:cs="Times New Roman"/>
        </w:rPr>
        <w:t>Land accretion has been most pronounced in the Meghna estuaries as evident from different CEGIS estimates.  It has been estimated that the areas of accretion and erosion in the Meghna Estuaries were 3219.5 Sq.km and 2734.36 Sq.km respectively during 1973-2010.  Net accretion area has been about 485.13 Sq. Km during last 37 years, with overall rate of accretion was about 13.11 Sq. Km / year. It is assumed that land development may be possible in the Meghna Estuaries and in the coastal regions.</w:t>
      </w:r>
      <w:r w:rsidRPr="00BB495B">
        <w:rPr>
          <w:rFonts w:cs="Times New Roman"/>
          <w:b/>
        </w:rPr>
        <w:t xml:space="preserve"> </w:t>
      </w:r>
      <w:r w:rsidRPr="00BB495B">
        <w:rPr>
          <w:rFonts w:cs="Times New Roman"/>
        </w:rPr>
        <w:t xml:space="preserve">Land reclamation and Development in the Meghna Estuaries during 1973-2010 has been presented in Figure </w:t>
      </w:r>
      <w:r w:rsidR="00B50A6C">
        <w:rPr>
          <w:rFonts w:cs="Times New Roman"/>
        </w:rPr>
        <w:t>7.</w:t>
      </w:r>
      <w:r w:rsidR="001471F9">
        <w:rPr>
          <w:rFonts w:cs="Times New Roman"/>
        </w:rPr>
        <w:t>5</w:t>
      </w:r>
      <w:r w:rsidRPr="00BB495B">
        <w:rPr>
          <w:rFonts w:cs="Times New Roman"/>
        </w:rPr>
        <w:t>.</w:t>
      </w:r>
    </w:p>
    <w:p w:rsidR="00A356FA" w:rsidRPr="00291427" w:rsidRDefault="00A356FA" w:rsidP="00E3762D">
      <w:pPr>
        <w:pStyle w:val="Heading5"/>
        <w:rPr>
          <w:sz w:val="28"/>
        </w:rPr>
      </w:pPr>
      <w:bookmarkStart w:id="548" w:name="_Toc411252115"/>
      <w:bookmarkStart w:id="549" w:name="_Toc439146256"/>
      <w:bookmarkStart w:id="550" w:name="_Toc474639193"/>
      <w:r w:rsidRPr="00291427">
        <w:lastRenderedPageBreak/>
        <w:t xml:space="preserve">Figure </w:t>
      </w:r>
      <w:r w:rsidR="001471F9">
        <w:t>7.5</w:t>
      </w:r>
      <w:r w:rsidRPr="00291427">
        <w:t>: Land Reclamation and Developmen</w:t>
      </w:r>
      <w:r w:rsidR="00294055">
        <w:t>t in the Meghna Estuaries,</w:t>
      </w:r>
      <w:r w:rsidRPr="00291427">
        <w:t xml:space="preserve"> 1973-2010</w:t>
      </w:r>
      <w:bookmarkEnd w:id="548"/>
      <w:bookmarkEnd w:id="549"/>
      <w:bookmarkEnd w:id="550"/>
    </w:p>
    <w:p w:rsidR="00A356FA" w:rsidRPr="007C2F13" w:rsidRDefault="00A356FA" w:rsidP="00A356FA">
      <w:pPr>
        <w:spacing w:before="60" w:after="60"/>
        <w:jc w:val="center"/>
        <w:rPr>
          <w:rFonts w:cs="Times New Roman"/>
          <w:sz w:val="20"/>
          <w:szCs w:val="20"/>
          <w:lang w:eastAsia="ja-JP" w:bidi="bn-BD"/>
        </w:rPr>
      </w:pPr>
      <w:r w:rsidRPr="00354A9C">
        <w:rPr>
          <w:rFonts w:ascii="Segoe UI" w:hAnsi="Segoe UI" w:cs="Segoe UI"/>
          <w:noProof/>
          <w:sz w:val="20"/>
          <w:szCs w:val="20"/>
          <w:lang w:val="en-AU" w:eastAsia="en-AU" w:bidi="bn-BD"/>
        </w:rPr>
        <w:drawing>
          <wp:inline distT="0" distB="0" distL="0" distR="0">
            <wp:extent cx="5394960" cy="3108960"/>
            <wp:effectExtent l="0" t="0" r="15240" b="15240"/>
            <wp:docPr id="135"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A356FA" w:rsidRPr="00291427" w:rsidRDefault="004C1AF0" w:rsidP="00A356FA">
      <w:pPr>
        <w:rPr>
          <w:rFonts w:cs="Times New Roman"/>
          <w:b/>
          <w:i/>
          <w:sz w:val="20"/>
          <w:szCs w:val="20"/>
        </w:rPr>
      </w:pPr>
      <w:bookmarkStart w:id="551" w:name="_Toc411251992"/>
      <w:bookmarkStart w:id="552" w:name="_Toc439146226"/>
      <w:r>
        <w:rPr>
          <w:rFonts w:cs="Times New Roman"/>
          <w:b/>
          <w:i/>
          <w:sz w:val="20"/>
          <w:szCs w:val="20"/>
        </w:rPr>
        <w:t xml:space="preserve">       </w:t>
      </w:r>
      <w:r w:rsidR="00A356FA" w:rsidRPr="00291427">
        <w:rPr>
          <w:rFonts w:cs="Times New Roman"/>
          <w:b/>
          <w:i/>
          <w:sz w:val="20"/>
          <w:szCs w:val="20"/>
        </w:rPr>
        <w:t>Source: CEGIS</w:t>
      </w:r>
    </w:p>
    <w:bookmarkEnd w:id="551"/>
    <w:bookmarkEnd w:id="552"/>
    <w:p w:rsidR="00A356FA" w:rsidRPr="00BB495B" w:rsidRDefault="006F09CF" w:rsidP="00A356FA">
      <w:pPr>
        <w:spacing w:line="276" w:lineRule="auto"/>
        <w:jc w:val="both"/>
        <w:rPr>
          <w:rFonts w:cs="Times New Roman"/>
          <w:szCs w:val="24"/>
        </w:rPr>
      </w:pPr>
      <w:r>
        <w:rPr>
          <w:rFonts w:cs="Times New Roman"/>
          <w:b/>
          <w:i/>
          <w:szCs w:val="24"/>
        </w:rPr>
        <w:t>Land reclamation and d</w:t>
      </w:r>
      <w:r w:rsidR="00A356FA" w:rsidRPr="00BB495B">
        <w:rPr>
          <w:rFonts w:cs="Times New Roman"/>
          <w:b/>
          <w:i/>
          <w:szCs w:val="24"/>
        </w:rPr>
        <w:t>evelopment in the Estuary and Coastal Areas:</w:t>
      </w:r>
      <w:r w:rsidR="00A356FA" w:rsidRPr="00BB495B">
        <w:rPr>
          <w:rFonts w:cs="Times New Roman"/>
          <w:b/>
          <w:szCs w:val="24"/>
        </w:rPr>
        <w:t xml:space="preserve"> </w:t>
      </w:r>
      <w:r w:rsidR="00A356FA" w:rsidRPr="00BB495B">
        <w:rPr>
          <w:rFonts w:cs="Times New Roman"/>
          <w:szCs w:val="24"/>
        </w:rPr>
        <w:t xml:space="preserve"> Beyond the erosion and accretion process discussed above it is also possible to reclaim land given the huge amount of silt that is regularly carried by the rivers to the sea. Land reclamation, itself, is the process to create new land from sea, riverbeds, canals, or lakes for human activities, and a spatial planning process in this regard may be very useful, especially for a growing economy like Bangladesh.  This is more so because land scarcity is so acute and needs for meeting food security needs and those of creating jobs, housing and also providing access to land to millions of </w:t>
      </w:r>
      <w:r w:rsidR="007F288A">
        <w:rPr>
          <w:rFonts w:cs="Times New Roman"/>
          <w:szCs w:val="24"/>
        </w:rPr>
        <w:t xml:space="preserve">landless </w:t>
      </w:r>
      <w:r w:rsidR="00A356FA" w:rsidRPr="00BB495B">
        <w:rPr>
          <w:rFonts w:cs="Times New Roman"/>
          <w:szCs w:val="24"/>
        </w:rPr>
        <w:t>families</w:t>
      </w:r>
      <w:r w:rsidR="007F288A">
        <w:rPr>
          <w:rFonts w:cs="Times New Roman"/>
          <w:szCs w:val="24"/>
        </w:rPr>
        <w:t>.</w:t>
      </w:r>
      <w:r w:rsidR="00A356FA" w:rsidRPr="00BB495B">
        <w:rPr>
          <w:rFonts w:cs="Times New Roman"/>
          <w:szCs w:val="24"/>
        </w:rPr>
        <w:t xml:space="preserve"> </w:t>
      </w:r>
    </w:p>
    <w:p w:rsidR="007F288A" w:rsidRDefault="00A356FA" w:rsidP="00A356FA">
      <w:pPr>
        <w:pStyle w:val="ListBulletDot"/>
        <w:spacing w:after="240"/>
        <w:rPr>
          <w:i/>
          <w:color w:val="auto"/>
          <w:szCs w:val="24"/>
        </w:rPr>
      </w:pPr>
      <w:r w:rsidRPr="00BB495B">
        <w:rPr>
          <w:color w:val="auto"/>
          <w:szCs w:val="24"/>
        </w:rPr>
        <w:t xml:space="preserve">While there has been decline in cropland area with growing coverage of rural settlement, there has also been ongoing land reclamation process, and a significant area has already been reclaimed from sea in the coastal area of the country. Land reclamation from sea can continue to be done in Bangladesh Delta to increase its land area. It can be done through appropriate selection of spots for reclamation in various places in the coastal belt and substantial new amount of land can be reclaimed from the sea and added to the existing land mass. In the coastal regions, especially in the Meghna Estuaries, land has continuously been reclaimed on a limited scale.  </w:t>
      </w:r>
      <w:r w:rsidRPr="004B0A08">
        <w:rPr>
          <w:i/>
          <w:color w:val="auto"/>
          <w:szCs w:val="24"/>
        </w:rPr>
        <w:t>Bangladesh has experienced stabilization of newly accreted lands from tidal and storm surges through afforestation and polderization</w:t>
      </w:r>
    </w:p>
    <w:p w:rsidR="00000000" w:rsidRDefault="007F288A" w:rsidP="003D5A31">
      <w:pPr>
        <w:pStyle w:val="ListBulletDot"/>
        <w:numPr>
          <w:ilvl w:val="0"/>
          <w:numId w:val="225"/>
        </w:numPr>
        <w:spacing w:after="240"/>
        <w:rPr>
          <w:color w:val="auto"/>
          <w:szCs w:val="24"/>
        </w:rPr>
      </w:pPr>
      <w:r>
        <w:rPr>
          <w:i/>
          <w:color w:val="auto"/>
          <w:szCs w:val="24"/>
        </w:rPr>
        <w:t>DTL’s Writeup</w:t>
      </w:r>
      <w:r w:rsidR="00A356FA" w:rsidRPr="00BB495B">
        <w:rPr>
          <w:color w:val="auto"/>
          <w:szCs w:val="24"/>
        </w:rPr>
        <w:t xml:space="preserve">. </w:t>
      </w:r>
    </w:p>
    <w:p w:rsidR="00A356FA" w:rsidRPr="00BB495B" w:rsidRDefault="006F09CF" w:rsidP="00A356FA">
      <w:pPr>
        <w:spacing w:line="276" w:lineRule="auto"/>
        <w:jc w:val="both"/>
        <w:rPr>
          <w:rFonts w:cs="Times New Roman"/>
          <w:szCs w:val="24"/>
        </w:rPr>
      </w:pPr>
      <w:r>
        <w:rPr>
          <w:rFonts w:cs="Times New Roman"/>
          <w:b/>
          <w:bCs/>
          <w:i/>
          <w:iCs/>
          <w:szCs w:val="24"/>
        </w:rPr>
        <w:t>Optimizing use of coastal l</w:t>
      </w:r>
      <w:r w:rsidR="00A356FA" w:rsidRPr="00BB495B">
        <w:rPr>
          <w:rFonts w:cs="Times New Roman"/>
          <w:b/>
          <w:bCs/>
          <w:i/>
          <w:iCs/>
          <w:szCs w:val="24"/>
        </w:rPr>
        <w:t>and:</w:t>
      </w:r>
      <w:r w:rsidR="00A356FA" w:rsidRPr="00BB495B">
        <w:rPr>
          <w:rFonts w:cs="Times New Roman"/>
          <w:bCs/>
          <w:iCs/>
          <w:szCs w:val="24"/>
        </w:rPr>
        <w:t xml:space="preserve"> Land use in the coast is diverse, competitive and often conflicting. </w:t>
      </w:r>
      <w:r w:rsidR="00A356FA" w:rsidRPr="00BB495B">
        <w:rPr>
          <w:rFonts w:cs="Times New Roman"/>
          <w:szCs w:val="24"/>
        </w:rPr>
        <w:t xml:space="preserve">Coastal land use comprises agriculture, shrimp and fish farming, forestry, urban development and other settlement needs. There is continuous demand for expansion of all current </w:t>
      </w:r>
      <w:r w:rsidR="00A356FA" w:rsidRPr="00BB495B">
        <w:rPr>
          <w:rFonts w:cs="Times New Roman"/>
          <w:szCs w:val="24"/>
        </w:rPr>
        <w:lastRenderedPageBreak/>
        <w:t xml:space="preserve">land use, while the need for new exploitation is also emerging. </w:t>
      </w:r>
      <w:r w:rsidR="00A356FA" w:rsidRPr="00BB495B">
        <w:rPr>
          <w:rFonts w:cs="Times New Roman"/>
          <w:bCs/>
          <w:iCs/>
          <w:szCs w:val="24"/>
        </w:rPr>
        <w:t xml:space="preserve">Land is also degrading due to increased salinity and water logging. </w:t>
      </w:r>
      <w:r w:rsidR="00A356FA" w:rsidRPr="00BB495B">
        <w:rPr>
          <w:rFonts w:cs="Times New Roman"/>
          <w:szCs w:val="24"/>
        </w:rPr>
        <w:t>Since the 1960s, measures to address these problems</w:t>
      </w:r>
      <w:r w:rsidR="007F288A">
        <w:rPr>
          <w:rFonts w:cs="Times New Roman"/>
          <w:szCs w:val="24"/>
        </w:rPr>
        <w:t xml:space="preserve"> there</w:t>
      </w:r>
      <w:r w:rsidR="00A356FA" w:rsidRPr="00BB495B">
        <w:rPr>
          <w:rFonts w:cs="Times New Roman"/>
          <w:szCs w:val="24"/>
        </w:rPr>
        <w:t xml:space="preserve"> have been polderization, land reclamation and coastal afforestation. Protection from recurring storm surges is an important issue in coastal land management. Polders are mainly designed to provide protection against tidal intrusion with the main objective of increasing agricultural production; however, they also provide protection against floods and storm surges. </w:t>
      </w:r>
      <w:r w:rsidR="00F64A6A" w:rsidRPr="00F64A6A">
        <w:rPr>
          <w:rFonts w:cs="Times New Roman"/>
          <w:szCs w:val="24"/>
          <w:u w:val="single"/>
        </w:rPr>
        <w:t>Polders are now part of the natural setting of coastal Bangladesh.   Drainage in these polders is provided at low tide by means of flap gates mounted in sluice structures, usually located where natural drainage channels (canals) cross the embankment alignments.</w:t>
      </w:r>
      <w:r w:rsidR="00A356FA" w:rsidRPr="00BB495B">
        <w:rPr>
          <w:rFonts w:cs="Times New Roman"/>
          <w:szCs w:val="24"/>
        </w:rPr>
        <w:t xml:space="preserve"> The objective to increase agricultural productivity was achieved with great success until 1980s, after which drainage congestion became serious in some areas. As a result, the Coastal Embankment Rehabilitation Project started to incorporate elements of internal water management, land use inside the polder, and social use of the embankment and foreshore.  Despite drainage problems, the polders have resulted in higher agricultural returns by excluding saline tidal flooding.  Communications have also improved. </w:t>
      </w:r>
      <w:r w:rsidR="00A356FA" w:rsidRPr="004B0A08">
        <w:rPr>
          <w:rFonts w:cs="Times New Roman"/>
          <w:i/>
          <w:szCs w:val="24"/>
        </w:rPr>
        <w:t xml:space="preserve">Polderization has contributed considerably to altered and new land use in coastal Bangladesh. </w:t>
      </w:r>
      <w:r w:rsidR="00A356FA" w:rsidRPr="00BB495B">
        <w:rPr>
          <w:rFonts w:cs="Times New Roman"/>
          <w:bCs/>
          <w:iCs/>
          <w:szCs w:val="24"/>
        </w:rPr>
        <w:t xml:space="preserve">Acceleration of land accretion process and optimum use of these coastal lands, including reclaimed land, would significantly contribute to the regional economy and </w:t>
      </w:r>
      <w:r w:rsidR="00065D01" w:rsidRPr="00BB495B">
        <w:rPr>
          <w:rFonts w:cs="Times New Roman"/>
          <w:bCs/>
          <w:iCs/>
          <w:szCs w:val="24"/>
        </w:rPr>
        <w:t>wellbeing</w:t>
      </w:r>
      <w:r w:rsidR="00A356FA" w:rsidRPr="00BB495B">
        <w:rPr>
          <w:rFonts w:cs="Times New Roman"/>
          <w:bCs/>
          <w:iCs/>
          <w:szCs w:val="24"/>
        </w:rPr>
        <w:t xml:space="preserve"> of the local people. Land zoning is one instrument that could optimize the use of coastal lands – e.g. the coastal zone may be utilized through identification of zones such as </w:t>
      </w:r>
      <w:r w:rsidR="00A356FA" w:rsidRPr="00BB495B">
        <w:rPr>
          <w:rFonts w:cs="Times New Roman"/>
          <w:bCs/>
          <w:szCs w:val="24"/>
        </w:rPr>
        <w:t>agriculture;</w:t>
      </w:r>
      <w:r w:rsidR="00A356FA" w:rsidRPr="00BB495B">
        <w:rPr>
          <w:rFonts w:cs="Times New Roman"/>
          <w:bCs/>
          <w:iCs/>
          <w:szCs w:val="24"/>
        </w:rPr>
        <w:t xml:space="preserve"> </w:t>
      </w:r>
      <w:r w:rsidR="00A356FA" w:rsidRPr="00BB495B">
        <w:rPr>
          <w:rFonts w:cs="Times New Roman"/>
          <w:bCs/>
          <w:szCs w:val="24"/>
        </w:rPr>
        <w:t xml:space="preserve">shrimp (brackish water); </w:t>
      </w:r>
      <w:r w:rsidR="00A356FA" w:rsidRPr="00BB495B">
        <w:rPr>
          <w:rFonts w:cs="Times New Roman"/>
          <w:bCs/>
          <w:iCs/>
          <w:szCs w:val="24"/>
        </w:rPr>
        <w:t>shrimp</w:t>
      </w:r>
      <w:r w:rsidR="00A356FA" w:rsidRPr="00BB495B">
        <w:rPr>
          <w:rFonts w:cs="Times New Roman"/>
          <w:bCs/>
          <w:szCs w:val="24"/>
        </w:rPr>
        <w:t xml:space="preserve"> (sweet water);</w:t>
      </w:r>
      <w:r w:rsidR="00A356FA" w:rsidRPr="00BB495B">
        <w:rPr>
          <w:rFonts w:cs="Times New Roman"/>
          <w:bCs/>
          <w:iCs/>
          <w:szCs w:val="24"/>
        </w:rPr>
        <w:t xml:space="preserve"> </w:t>
      </w:r>
      <w:r w:rsidR="00A356FA" w:rsidRPr="00BB495B">
        <w:rPr>
          <w:rFonts w:cs="Times New Roman"/>
          <w:bCs/>
          <w:szCs w:val="24"/>
        </w:rPr>
        <w:t>salt – shrimp;</w:t>
      </w:r>
      <w:r w:rsidR="00A356FA" w:rsidRPr="00BB495B">
        <w:rPr>
          <w:rFonts w:cs="Times New Roman"/>
          <w:bCs/>
          <w:iCs/>
          <w:szCs w:val="24"/>
        </w:rPr>
        <w:t xml:space="preserve"> </w:t>
      </w:r>
      <w:r w:rsidR="00A356FA" w:rsidRPr="00BB495B">
        <w:rPr>
          <w:rFonts w:cs="Times New Roman"/>
          <w:bCs/>
          <w:szCs w:val="24"/>
        </w:rPr>
        <w:t>forest;</w:t>
      </w:r>
      <w:r w:rsidR="00A356FA" w:rsidRPr="00BB495B">
        <w:rPr>
          <w:rFonts w:cs="Times New Roman"/>
          <w:bCs/>
          <w:iCs/>
          <w:szCs w:val="24"/>
        </w:rPr>
        <w:t xml:space="preserve"> </w:t>
      </w:r>
      <w:r w:rsidR="00A356FA" w:rsidRPr="00BB495B">
        <w:rPr>
          <w:rFonts w:cs="Times New Roman"/>
          <w:bCs/>
          <w:szCs w:val="24"/>
        </w:rPr>
        <w:t xml:space="preserve">mangrove; tourism zones; Special Economic Zones (SEZs) for industry and urban settlements.  </w:t>
      </w:r>
      <w:r w:rsidR="00A356FA" w:rsidRPr="00BB495B">
        <w:rPr>
          <w:rFonts w:cs="Times New Roman"/>
          <w:szCs w:val="24"/>
        </w:rPr>
        <w:t xml:space="preserve">A program of participatory approach of mangrove plantation, involving nearby coastal communities, which has proved successful in other countries, could be a sustainable mechanism to protect mangrove forests. This mechanism is being actively considered within the Forest Department. Recently, lands reclaimed through construction of embankment at Undarchar (newly accreted land) were developed by plantation of green belt in the Patuakhali district.   This process needs further expansion for sustainable land reclamation. </w:t>
      </w:r>
    </w:p>
    <w:p w:rsidR="004C1AF0" w:rsidRDefault="00A356FA" w:rsidP="00A356FA">
      <w:pPr>
        <w:spacing w:line="276" w:lineRule="auto"/>
        <w:jc w:val="both"/>
        <w:rPr>
          <w:rFonts w:cs="Times New Roman"/>
          <w:szCs w:val="24"/>
        </w:rPr>
      </w:pPr>
      <w:r w:rsidRPr="00BB495B">
        <w:rPr>
          <w:rFonts w:cs="Times New Roman"/>
          <w:szCs w:val="24"/>
        </w:rPr>
        <w:t xml:space="preserve">Land accretion/reclamation and land erosion generate socio-economic anomalies and issues. These lead to displacement of people, land capture and illegal settlement are prevalent in areas where the coast is accreting. These newly accreted land resource needs careful management with institutional and regulatory framework being put in place to avoid illegal capture and also to use it optimally where feasible for industry, urban, settlements, and agriculture. However, the political economy of land reclamation in land scarce country like Bangladesh can be very complex not only from engineering point of view but also social and political angles, and will require proper management. </w:t>
      </w:r>
    </w:p>
    <w:p w:rsidR="007A09E1" w:rsidRPr="007A09E1" w:rsidRDefault="00876602" w:rsidP="0001495A">
      <w:pPr>
        <w:pStyle w:val="Heading2"/>
      </w:pPr>
      <w:bookmarkStart w:id="553" w:name="_Toc474638892"/>
      <w:r>
        <w:t>7.3</w:t>
      </w:r>
      <w:r w:rsidR="007A09E1">
        <w:t>.</w:t>
      </w:r>
      <w:r w:rsidR="007A09E1">
        <w:tab/>
        <w:t xml:space="preserve">Governance Structure of Land </w:t>
      </w:r>
      <w:r w:rsidR="007A09E1" w:rsidRPr="00067859">
        <w:t>Management</w:t>
      </w:r>
      <w:bookmarkEnd w:id="553"/>
      <w:r w:rsidR="007A09E1" w:rsidRPr="00067859">
        <w:t xml:space="preserve"> </w:t>
      </w:r>
    </w:p>
    <w:p w:rsidR="00A356FA" w:rsidRPr="00BB495B" w:rsidRDefault="00A356FA" w:rsidP="00BB495B">
      <w:pPr>
        <w:widowControl w:val="0"/>
        <w:autoSpaceDE w:val="0"/>
        <w:autoSpaceDN w:val="0"/>
        <w:adjustRightInd w:val="0"/>
        <w:spacing w:line="276" w:lineRule="auto"/>
        <w:jc w:val="both"/>
        <w:rPr>
          <w:rFonts w:cs="Times New Roman"/>
          <w:szCs w:val="24"/>
        </w:rPr>
      </w:pPr>
      <w:r w:rsidRPr="00BB495B">
        <w:rPr>
          <w:rFonts w:cs="Times New Roman"/>
          <w:b/>
          <w:i/>
          <w:szCs w:val="24"/>
        </w:rPr>
        <w:t xml:space="preserve">Better Land Governance leads to a better functioning land market and land resource management: </w:t>
      </w:r>
      <w:r w:rsidRPr="00BB495B">
        <w:rPr>
          <w:rFonts w:cs="Times New Roman"/>
          <w:szCs w:val="24"/>
        </w:rPr>
        <w:t xml:space="preserve">Better land governance leads to a more efficient land market that will allow even a </w:t>
      </w:r>
      <w:r w:rsidRPr="00BB495B">
        <w:rPr>
          <w:rFonts w:cs="Times New Roman"/>
          <w:szCs w:val="24"/>
        </w:rPr>
        <w:lastRenderedPageBreak/>
        <w:t xml:space="preserve">poor person to effectively participate in it and not get cheated, will be key to improving land resource management.  Both rural and urban land is scarce in Bangladesh, and land prices are rising.  Land grabbing of both rural and urban land by </w:t>
      </w:r>
      <w:r w:rsidR="007F288A">
        <w:rPr>
          <w:rFonts w:cs="Times New Roman"/>
          <w:szCs w:val="24"/>
        </w:rPr>
        <w:t>influentials</w:t>
      </w:r>
      <w:r w:rsidRPr="00BB495B">
        <w:rPr>
          <w:rFonts w:cs="Times New Roman"/>
          <w:szCs w:val="24"/>
        </w:rPr>
        <w:t xml:space="preserve"> is a problem in Bangladesh. Wealthy and influen</w:t>
      </w:r>
      <w:r w:rsidR="008A60C8">
        <w:rPr>
          <w:rFonts w:cs="Times New Roman"/>
          <w:szCs w:val="24"/>
        </w:rPr>
        <w:t xml:space="preserve">tial people often use false documents to obtain court decrees </w:t>
      </w:r>
      <w:r w:rsidRPr="00BB495B">
        <w:rPr>
          <w:rFonts w:cs="Times New Roman"/>
          <w:szCs w:val="24"/>
        </w:rPr>
        <w:t>confirm</w:t>
      </w:r>
      <w:r w:rsidR="008A60C8">
        <w:rPr>
          <w:rFonts w:cs="Times New Roman"/>
          <w:szCs w:val="24"/>
        </w:rPr>
        <w:t>ing</w:t>
      </w:r>
      <w:r w:rsidRPr="00BB495B">
        <w:rPr>
          <w:rFonts w:cs="Times New Roman"/>
          <w:szCs w:val="24"/>
        </w:rPr>
        <w:t xml:space="preserve"> their ownership, often with help of officials in land-administration and management departments</w:t>
      </w:r>
      <w:r w:rsidRPr="00BB495B">
        <w:rPr>
          <w:rStyle w:val="FootnoteReference"/>
          <w:rFonts w:cs="Times New Roman"/>
          <w:szCs w:val="24"/>
        </w:rPr>
        <w:footnoteReference w:id="29"/>
      </w:r>
      <w:r w:rsidRPr="00BB495B">
        <w:rPr>
          <w:rFonts w:cs="Times New Roman"/>
          <w:szCs w:val="24"/>
        </w:rPr>
        <w:t>. Among other examples, hundreds of housing companies in urban areas have started to demarcate their project area using pillars and signboard before receiving titles. They use local musclemen with guns and occupy local administrations, including the police. Most of the time, land owners feel obliged to sell their productive resources to the companies at a price inferior to market value.</w:t>
      </w:r>
      <w:r w:rsidRPr="00BB495B">
        <w:rPr>
          <w:rFonts w:cs="Times New Roman"/>
          <w:color w:val="FF0000"/>
          <w:szCs w:val="24"/>
        </w:rPr>
        <w:t xml:space="preserve"> </w:t>
      </w:r>
      <w:r w:rsidRPr="00BB495B">
        <w:rPr>
          <w:rFonts w:cs="Times New Roman"/>
          <w:szCs w:val="24"/>
        </w:rPr>
        <w:t>Land grabbing culture has been increasing because of regulatory loopholes and institutional weakness, and lack of computerization of land records.</w:t>
      </w:r>
      <w:r w:rsidRPr="00BB495B">
        <w:rPr>
          <w:rStyle w:val="FootnoteReference"/>
          <w:rFonts w:cs="Times New Roman"/>
          <w:szCs w:val="24"/>
        </w:rPr>
        <w:footnoteReference w:id="30"/>
      </w:r>
    </w:p>
    <w:p w:rsidR="00A356FA" w:rsidRPr="00BB495B" w:rsidRDefault="00A356FA" w:rsidP="00BB495B">
      <w:pPr>
        <w:widowControl w:val="0"/>
        <w:autoSpaceDE w:val="0"/>
        <w:autoSpaceDN w:val="0"/>
        <w:adjustRightInd w:val="0"/>
        <w:spacing w:line="276" w:lineRule="auto"/>
        <w:jc w:val="both"/>
        <w:rPr>
          <w:rFonts w:cs="Times New Roman"/>
          <w:szCs w:val="24"/>
        </w:rPr>
      </w:pPr>
      <w:r w:rsidRPr="00BB495B">
        <w:rPr>
          <w:rFonts w:cs="Times New Roman"/>
          <w:szCs w:val="24"/>
        </w:rPr>
        <w:t xml:space="preserve">Land in Bangladesh is owned either by private individuals and entities or the state. Individuals acquire ownership-rights to land through purchase, inheritance, or gift. Titling and registration of land ownership is set out in the Transfer of Property Act 1882 and Registration Act of 1908. Procedures are expensive and complex, as detailed in Tables and Figures later in this paper.   Under formal law, land sales, leases of a year or more, and land received through </w:t>
      </w:r>
      <w:r w:rsidR="00F14DC2">
        <w:rPr>
          <w:rFonts w:cs="Times New Roman"/>
          <w:szCs w:val="24"/>
        </w:rPr>
        <w:t xml:space="preserve">donation </w:t>
      </w:r>
      <w:r w:rsidRPr="00BB495B">
        <w:rPr>
          <w:rFonts w:cs="Times New Roman"/>
          <w:szCs w:val="24"/>
        </w:rPr>
        <w:t xml:space="preserve">must be registered. </w:t>
      </w:r>
      <w:r w:rsidRPr="004B0A08">
        <w:rPr>
          <w:rFonts w:cs="Times New Roman"/>
          <w:i/>
          <w:szCs w:val="24"/>
        </w:rPr>
        <w:t xml:space="preserve">Land registration </w:t>
      </w:r>
      <w:r w:rsidR="007F288A">
        <w:rPr>
          <w:rFonts w:cs="Times New Roman"/>
          <w:i/>
          <w:szCs w:val="24"/>
        </w:rPr>
        <w:t xml:space="preserve">process comprises of </w:t>
      </w:r>
      <w:r w:rsidR="00F14DC2">
        <w:rPr>
          <w:rFonts w:cs="Times New Roman"/>
          <w:i/>
          <w:szCs w:val="24"/>
        </w:rPr>
        <w:t>eight</w:t>
      </w:r>
      <w:r w:rsidR="007F288A">
        <w:rPr>
          <w:rFonts w:cs="Times New Roman"/>
          <w:i/>
          <w:szCs w:val="24"/>
        </w:rPr>
        <w:t xml:space="preserve"> different steps and on</w:t>
      </w:r>
      <w:r w:rsidRPr="004B0A08">
        <w:rPr>
          <w:rFonts w:cs="Times New Roman"/>
          <w:i/>
          <w:szCs w:val="24"/>
        </w:rPr>
        <w:t xml:space="preserve"> an average </w:t>
      </w:r>
      <w:r w:rsidR="007F288A">
        <w:rPr>
          <w:rFonts w:cs="Times New Roman"/>
          <w:i/>
          <w:szCs w:val="24"/>
        </w:rPr>
        <w:t xml:space="preserve">requires </w:t>
      </w:r>
      <w:r w:rsidRPr="004B0A08">
        <w:rPr>
          <w:rFonts w:cs="Times New Roman"/>
          <w:i/>
          <w:szCs w:val="24"/>
        </w:rPr>
        <w:t>244 days to complete.</w:t>
      </w:r>
      <w:r w:rsidR="003244AB">
        <w:rPr>
          <w:rFonts w:cs="Times New Roman"/>
          <w:i/>
          <w:szCs w:val="24"/>
        </w:rPr>
        <w:t xml:space="preserve"> </w:t>
      </w:r>
      <w:r w:rsidR="003244AB" w:rsidRPr="00003286">
        <w:rPr>
          <w:rFonts w:cs="Times New Roman"/>
          <w:szCs w:val="24"/>
        </w:rPr>
        <w:t xml:space="preserve">There is, therefore, </w:t>
      </w:r>
      <w:r w:rsidR="003244AB" w:rsidRPr="00C26B99">
        <w:rPr>
          <w:rFonts w:cs="Times New Roman"/>
          <w:szCs w:val="24"/>
        </w:rPr>
        <w:t>ample</w:t>
      </w:r>
      <w:r w:rsidR="003244AB">
        <w:rPr>
          <w:rFonts w:cs="Times New Roman"/>
          <w:szCs w:val="24"/>
        </w:rPr>
        <w:t xml:space="preserve"> scope to improve on the registration process, which could then reduce time and cost.</w:t>
      </w:r>
      <w:r w:rsidRPr="00BB495B">
        <w:rPr>
          <w:rFonts w:cs="Times New Roman"/>
          <w:szCs w:val="24"/>
        </w:rPr>
        <w:t xml:space="preserve">  Of course government also has legal process for acquiring land for </w:t>
      </w:r>
      <w:r w:rsidR="007F288A">
        <w:rPr>
          <w:rFonts w:cs="Times New Roman"/>
          <w:szCs w:val="24"/>
        </w:rPr>
        <w:t>public</w:t>
      </w:r>
      <w:r w:rsidRPr="00BB495B">
        <w:rPr>
          <w:rFonts w:cs="Times New Roman"/>
          <w:szCs w:val="24"/>
        </w:rPr>
        <w:t xml:space="preserve"> use.  Article 42 of Bangladesh’s Constitution provides that land can be acquired, nationalized, or requisitioned upon authority of law and with compensation. The Acquisition and Requisition of Immovable Property Ordinance, 1982, permits government land-acquisitions as needed for any </w:t>
      </w:r>
      <w:r w:rsidR="007F288A">
        <w:rPr>
          <w:rFonts w:cs="Times New Roman"/>
          <w:szCs w:val="24"/>
        </w:rPr>
        <w:t>public</w:t>
      </w:r>
      <w:r w:rsidRPr="00BB495B">
        <w:rPr>
          <w:rFonts w:cs="Times New Roman"/>
          <w:szCs w:val="24"/>
        </w:rPr>
        <w:t xml:space="preserve"> purpose.  Here the compensation is linked to the price in the market.  </w:t>
      </w:r>
    </w:p>
    <w:p w:rsidR="00A356FA" w:rsidRPr="00BB495B" w:rsidRDefault="00A356FA" w:rsidP="00BB495B">
      <w:pPr>
        <w:widowControl w:val="0"/>
        <w:autoSpaceDE w:val="0"/>
        <w:autoSpaceDN w:val="0"/>
        <w:adjustRightInd w:val="0"/>
        <w:spacing w:line="276" w:lineRule="auto"/>
        <w:jc w:val="both"/>
        <w:rPr>
          <w:rFonts w:cs="Times New Roman"/>
          <w:color w:val="008000"/>
          <w:szCs w:val="24"/>
        </w:rPr>
      </w:pPr>
      <w:r w:rsidRPr="00BB495B">
        <w:rPr>
          <w:rFonts w:cs="Times New Roman"/>
          <w:szCs w:val="24"/>
        </w:rPr>
        <w:t xml:space="preserve">Inadequate land governance on the other hand leads to </w:t>
      </w:r>
      <w:r w:rsidRPr="00BB495B">
        <w:rPr>
          <w:rFonts w:cs="Times New Roman"/>
          <w:iCs/>
          <w:szCs w:val="24"/>
        </w:rPr>
        <w:t>i</w:t>
      </w:r>
      <w:r w:rsidRPr="00BB495B">
        <w:rPr>
          <w:rFonts w:cs="Times New Roman"/>
          <w:szCs w:val="24"/>
        </w:rPr>
        <w:t>nsecure title to land, which prevents people from taking full advantage of the productive uses of the land. Where people have proper title to their land, however, they can use the property as collateral for a loan or transfer land parcels in which they have invested</w:t>
      </w:r>
      <w:r w:rsidRPr="00BB495B">
        <w:rPr>
          <w:rStyle w:val="FootnoteReference"/>
          <w:rFonts w:cs="Times New Roman"/>
          <w:szCs w:val="24"/>
        </w:rPr>
        <w:footnoteReference w:id="31"/>
      </w:r>
      <w:r w:rsidRPr="00BB495B">
        <w:rPr>
          <w:rFonts w:cs="Times New Roman"/>
          <w:szCs w:val="24"/>
        </w:rPr>
        <w:t xml:space="preserve">.  And titles can serve as a valuable insurance and savings tool for families, providing protection during difficult times and in retirement. Indeed, with the protection of secure title guaranteed by a reliable land registration system, land can be used to create wealth for the broader benefit of society and contribute to the eradication of poverty. In many economies land and buildings could account for between half and three-quarters of the wealth, and so having a reliable system for registering and transferring property titles matters.  </w:t>
      </w:r>
      <w:r w:rsidRPr="00BB495B">
        <w:rPr>
          <w:rFonts w:cs="Times New Roman"/>
          <w:szCs w:val="24"/>
        </w:rPr>
        <w:lastRenderedPageBreak/>
        <w:t>Because of the lack of transparency and also having multiple agencies responsible for administering different aspect of land property rights creates difficulty in registering properties in Bangladesh</w:t>
      </w:r>
      <w:r w:rsidRPr="00BB495B">
        <w:rPr>
          <w:rStyle w:val="FootnoteReference"/>
          <w:rFonts w:cs="Times New Roman"/>
          <w:szCs w:val="24"/>
        </w:rPr>
        <w:footnoteReference w:id="32"/>
      </w:r>
      <w:r w:rsidRPr="00BB495B">
        <w:rPr>
          <w:rFonts w:cs="Times New Roman"/>
          <w:szCs w:val="24"/>
        </w:rPr>
        <w:t>.</w:t>
      </w:r>
    </w:p>
    <w:p w:rsidR="00B26B78" w:rsidRDefault="00A356FA" w:rsidP="00B86D26">
      <w:pPr>
        <w:spacing w:line="276" w:lineRule="auto"/>
        <w:jc w:val="both"/>
        <w:rPr>
          <w:rFonts w:cs="Times New Roman"/>
          <w:szCs w:val="24"/>
        </w:rPr>
      </w:pPr>
      <w:r w:rsidRPr="00BB495B">
        <w:rPr>
          <w:rFonts w:cs="Times New Roman"/>
          <w:szCs w:val="24"/>
        </w:rPr>
        <w:t>Land ownership (farm size) is very important for the land use management. So, land ownership pattern, in case of agriculture, will help farmers plan on land use patte</w:t>
      </w:r>
      <w:r w:rsidR="008A60C8">
        <w:rPr>
          <w:rFonts w:cs="Times New Roman"/>
          <w:szCs w:val="24"/>
        </w:rPr>
        <w:t>rn. T</w:t>
      </w:r>
      <w:r w:rsidRPr="00BB495B">
        <w:rPr>
          <w:rFonts w:cs="Times New Roman"/>
          <w:szCs w:val="24"/>
        </w:rPr>
        <w:t>he regulatory maze makes it difficult for poorer segments of the population to collect the land ownership as per Mauza map</w:t>
      </w:r>
      <w:r w:rsidR="008A60C8">
        <w:rPr>
          <w:rFonts w:cs="Times New Roman"/>
          <w:szCs w:val="24"/>
        </w:rPr>
        <w:t xml:space="preserve"> (Figure 7.6)</w:t>
      </w:r>
      <w:r w:rsidRPr="00BB495B">
        <w:rPr>
          <w:rFonts w:cs="Times New Roman"/>
          <w:szCs w:val="24"/>
        </w:rPr>
        <w:t xml:space="preserve">. In Mauza map, actual ownership may not been updated with the change in ownerships. There are many big landowners in Bangladesh, especially in the Haor and coastal areas. The big landowners are not interested in improving farming practices because of the huge investments required. Most of them appoint sharecroppers or tenants. The tenants or sharecroppers are not generally so solvent to meet the expenditure of labor, fertilizers, and other inputs. This situation is not favorable for improved land use </w:t>
      </w:r>
      <w:r w:rsidR="00B26B78">
        <w:rPr>
          <w:rFonts w:cs="Times New Roman"/>
          <w:szCs w:val="24"/>
        </w:rPr>
        <w:t xml:space="preserve">in respect of crop production. </w:t>
      </w:r>
    </w:p>
    <w:p w:rsidR="00A356FA" w:rsidRPr="00B86D26" w:rsidRDefault="00A356FA" w:rsidP="00E3762D">
      <w:pPr>
        <w:pStyle w:val="Heading5"/>
      </w:pPr>
      <w:bookmarkStart w:id="554" w:name="_Toc474639194"/>
      <w:r w:rsidRPr="00765B02">
        <w:t>Fi</w:t>
      </w:r>
      <w:r w:rsidRPr="00B86D26">
        <w:t>g</w:t>
      </w:r>
      <w:r w:rsidRPr="00765B02">
        <w:t>ure</w:t>
      </w:r>
      <w:r w:rsidRPr="00B86D26">
        <w:t xml:space="preserve"> </w:t>
      </w:r>
      <w:r w:rsidR="001471F9" w:rsidRPr="00B86D26">
        <w:t>7.6</w:t>
      </w:r>
      <w:r w:rsidRPr="00765B02">
        <w:t>:</w:t>
      </w:r>
      <w:r w:rsidRPr="00B86D26">
        <w:t xml:space="preserve"> C</w:t>
      </w:r>
      <w:r w:rsidRPr="00765B02">
        <w:t>rea</w:t>
      </w:r>
      <w:r w:rsidRPr="00B86D26">
        <w:t>t</w:t>
      </w:r>
      <w:r w:rsidRPr="00765B02">
        <w:t>ing</w:t>
      </w:r>
      <w:r w:rsidRPr="00B86D26">
        <w:t xml:space="preserve"> </w:t>
      </w:r>
      <w:r w:rsidRPr="00765B02">
        <w:t>a</w:t>
      </w:r>
      <w:r w:rsidRPr="00B86D26">
        <w:t>n</w:t>
      </w:r>
      <w:r w:rsidRPr="00765B02">
        <w:t>d</w:t>
      </w:r>
      <w:r w:rsidRPr="00B86D26">
        <w:t xml:space="preserve"> </w:t>
      </w:r>
      <w:r w:rsidRPr="00765B02">
        <w:t>Mai</w:t>
      </w:r>
      <w:r w:rsidRPr="00B86D26">
        <w:t>n</w:t>
      </w:r>
      <w:r w:rsidRPr="00765B02">
        <w:t>taining</w:t>
      </w:r>
      <w:r w:rsidRPr="00B86D26">
        <w:t xml:space="preserve"> </w:t>
      </w:r>
      <w:r w:rsidRPr="00765B02">
        <w:t>La</w:t>
      </w:r>
      <w:r w:rsidRPr="00B86D26">
        <w:t>n</w:t>
      </w:r>
      <w:r w:rsidRPr="00765B02">
        <w:t>d Reco</w:t>
      </w:r>
      <w:r w:rsidRPr="00B86D26">
        <w:t>r</w:t>
      </w:r>
      <w:r w:rsidRPr="00765B02">
        <w:t>ds</w:t>
      </w:r>
      <w:r w:rsidRPr="00B86D26">
        <w:t xml:space="preserve"> </w:t>
      </w:r>
      <w:r w:rsidRPr="00765B02">
        <w:t>at</w:t>
      </w:r>
      <w:r w:rsidRPr="00B86D26">
        <w:t xml:space="preserve"> </w:t>
      </w:r>
      <w:r w:rsidRPr="00765B02">
        <w:t>Sub-na</w:t>
      </w:r>
      <w:r w:rsidRPr="00B86D26">
        <w:t>t</w:t>
      </w:r>
      <w:r w:rsidRPr="00765B02">
        <w:t>ional</w:t>
      </w:r>
      <w:r w:rsidRPr="00B86D26">
        <w:t xml:space="preserve"> </w:t>
      </w:r>
      <w:r w:rsidRPr="00765B02">
        <w:t>le</w:t>
      </w:r>
      <w:r w:rsidRPr="00B86D26">
        <w:t>ve</w:t>
      </w:r>
      <w:r w:rsidRPr="00765B02">
        <w:t>l:</w:t>
      </w:r>
      <w:r w:rsidRPr="00B86D26">
        <w:t xml:space="preserve"> </w:t>
      </w:r>
      <w:r w:rsidRPr="00765B02">
        <w:t>K</w:t>
      </w:r>
      <w:r w:rsidRPr="00B86D26">
        <w:t>e</w:t>
      </w:r>
      <w:r w:rsidRPr="00765B02">
        <w:t>y</w:t>
      </w:r>
      <w:r w:rsidRPr="00B86D26">
        <w:t xml:space="preserve"> </w:t>
      </w:r>
      <w:r w:rsidRPr="00765B02">
        <w:t>R</w:t>
      </w:r>
      <w:r w:rsidRPr="00B86D26">
        <w:t>o</w:t>
      </w:r>
      <w:r w:rsidRPr="00765B02">
        <w:t>les,</w:t>
      </w:r>
      <w:r w:rsidRPr="00B86D26">
        <w:t xml:space="preserve"> </w:t>
      </w:r>
      <w:r w:rsidRPr="00765B02">
        <w:t>Rep</w:t>
      </w:r>
      <w:r w:rsidRPr="00B86D26">
        <w:t>o</w:t>
      </w:r>
      <w:r w:rsidRPr="00765B02">
        <w:t>rting</w:t>
      </w:r>
      <w:r w:rsidRPr="00B86D26">
        <w:t xml:space="preserve"> L</w:t>
      </w:r>
      <w:r w:rsidRPr="00765B02">
        <w:t>ines</w:t>
      </w:r>
      <w:r w:rsidRPr="00B86D26">
        <w:t xml:space="preserve"> </w:t>
      </w:r>
      <w:r w:rsidRPr="00765B02">
        <w:t>and</w:t>
      </w:r>
      <w:r w:rsidRPr="00B86D26">
        <w:t xml:space="preserve"> </w:t>
      </w:r>
      <w:r w:rsidRPr="00765B02">
        <w:t>Su</w:t>
      </w:r>
      <w:r w:rsidRPr="00B86D26">
        <w:t>perv</w:t>
      </w:r>
      <w:r w:rsidRPr="00765B02">
        <w:t>is</w:t>
      </w:r>
      <w:r w:rsidRPr="00B86D26">
        <w:t>i</w:t>
      </w:r>
      <w:r w:rsidRPr="00765B02">
        <w:t>on</w:t>
      </w:r>
      <w:r w:rsidRPr="00B86D26">
        <w:t>.</w:t>
      </w:r>
      <w:bookmarkEnd w:id="554"/>
    </w:p>
    <w:p w:rsidR="00C02121" w:rsidRDefault="001A12B2" w:rsidP="00B26B78">
      <w:pPr>
        <w:spacing w:line="276" w:lineRule="auto"/>
      </w:pPr>
      <w:r w:rsidRPr="001A12B2">
        <w:rPr>
          <w:noProof/>
        </w:rPr>
        <w:lastRenderedPageBreak/>
        <w:pict>
          <v:group id="Group 61" o:spid="_x0000_s1062" style="position:absolute;margin-left:57pt;margin-top:34.75pt;width:380.15pt;height:321.75pt;z-index:251654144" coordorigin="2940,6660" coordsize="7651,6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">
            <v:rect id="Rectangle 140" o:spid="_x0000_s1063" style="position:absolute;left:3032;top:6755;width:1912;height:59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xHRMIA&#10;AADcAAAADwAAAGRycy9kb3ducmV2LnhtbERPTWuDQBC9F/oflinkVte2IRTjJkhpSzxWCyG30Z2o&#10;iTsr7taYf589FHJ8vO90O5teTDS6zrKClygGQVxb3XGj4Lf8en4H4Tyyxt4yKbiSg+3m8SHFRNsL&#10;/9BU+EaEEHYJKmi9HxIpXd2SQRfZgThwRzsa9AGOjdQjXkK46eVrHK+kwY5DQ4sDfbRUn4s/o8BV&#10;U15eh2x/Ori6yj7ZlMv8W6nF05ytQXia/V38795pBW9xWBvOhCM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7EdEwgAAANwAAAAPAAAAAAAAAAAAAAAAAJgCAABkcnMvZG93&#10;bnJldi54bWxQSwUGAAAAAAQABAD1AAAAhwMAAAAA&#10;" filled="f" stroked="f" strokeweight="2pt"/>
            <v:group id="Group 60" o:spid="_x0000_s1064" style="position:absolute;left:2940;top:6660;width:7651;height:6435" coordorigin="2940,6660" coordsize="7651,6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rect id="Rectangle 141" o:spid="_x0000_s1065" style="position:absolute;left:3107;top:8355;width:1736;height:4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Pdn8AA&#10;AADcAAAADwAAAGRycy9kb3ducmV2LnhtbERPTYvCMBC9L/gfwgh726auIlKNUmRX1qNWEG9jM7bV&#10;ZlKabK3/3hwEj4/3vVj1phYdta6yrGAUxSCIc6srLhQcst+vGQjnkTXWlknBgxysloOPBSba3nlH&#10;3d4XIoSwS1BB6X2TSOnykgy6yDbEgbvY1qAPsC2kbvEewk0tv+N4Kg1WHBpKbGhdUn7b/xsF7txt&#10;s0eTHq8nl5/THzbZZLtR6nPYp3MQnnr/Fr/cf1rBeBTmhzPhCM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Pdn8AAAADcAAAADwAAAAAAAAAAAAAAAACYAgAAZHJzL2Rvd25y&#10;ZXYueG1sUEsFBgAAAAAEAAQA9QAAAIUDAAAAAA==&#10;" filled="f" stroked="f" strokeweight="2pt">
                <v:textbox style="mso-next-textbox:#Rectangle 141">
                  <w:txbxContent>
                    <w:p w:rsidR="009D3B38" w:rsidRDefault="009D3B38"/>
                  </w:txbxContent>
                </v:textbox>
              </v:rect>
              <v:rect id="Rectangle 142" o:spid="_x0000_s1066" style="position:absolute;left:2940;top:10489;width:2004;height:5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4BMUA&#10;AADcAAAADwAAAGRycy9kb3ducmV2LnhtbESPQWvCQBSE7wX/w/KE3ppN2iIS3YQgbanHmoJ4e2af&#10;STT7NmS3Mf77bkHocZiZb5h1PplOjDS41rKCJIpBEFdWt1wr+C7fn5YgnEfW2FkmBTdykGezhzWm&#10;2l75i8adr0WAsEtRQeN9n0rpqoYMusj2xME72cGgD3KopR7wGuCmk89xvJAGWw4LDfa0aai67H6M&#10;Ancct+WtL/bng6uOxRub8nX7odTjfCpWIDxN/j98b39qBS9JAn9nwh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3gExQAAANwAAAAPAAAAAAAAAAAAAAAAAJgCAABkcnMv&#10;ZG93bnJldi54bWxQSwUGAAAAAAQABAD1AAAAigMAAAAA&#10;" filled="f" stroked="f" strokeweight="2pt">
                <v:textbox style="mso-next-textbox:#Rectangle 142">
                  <w:txbxContent>
                    <w:p w:rsidR="009D3B38" w:rsidRDefault="009D3B38"/>
                  </w:txbxContent>
                </v:textbox>
              </v:rect>
              <v:rect id="Rectangle 143" o:spid="_x0000_s1067" style="position:absolute;left:3032;top:11420;width:1912;height:5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3mc8UA&#10;AADcAAAADwAAAGRycy9kb3ducmV2LnhtbESPT2vCQBTE7wW/w/KE3urGtJQSXSWILc2xpiDentln&#10;Es2+Ddlt/nz7bqHgcZiZ3zDr7Wga0VPnassKlosIBHFhdc2lgu/8/ekNhPPIGhvLpGAiB9vN7GGN&#10;ibYDf1F/8KUIEHYJKqi8bxMpXVGRQbewLXHwLrYz6IPsSqk7HALcNDKOoldpsOawUGFLu4qK2+HH&#10;KHDnPsunNj1eT644p3s2+Uv2odTjfExXIDyN/h7+b39qBc/LGP7Oh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eZzxQAAANwAAAAPAAAAAAAAAAAAAAAAAJgCAABkcnMv&#10;ZG93bnJldi54bWxQSwUGAAAAAAQABAD1AAAAigMAAAAA&#10;" filled="f" stroked="f" strokeweight="2pt">
                <v:textbox style="mso-next-textbox:#Rectangle 143">
                  <w:txbxContent>
                    <w:p w:rsidR="009D3B38" w:rsidRDefault="009D3B38"/>
                  </w:txbxContent>
                </v:textbox>
              </v:rect>
              <v:rect id="Rectangle 144" o:spid="_x0000_s1068" style="position:absolute;left:5640;top:6770;width:2595;height:4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FD6MUA&#10;AADcAAAADwAAAGRycy9kb3ducmV2LnhtbESPT2vCQBTE7wW/w/KE3urGRopEVwliS3OsEUpvz+wz&#10;SZt9G7Lb/Pn2bqHgcZiZ3zDb/Wga0VPnassKlosIBHFhdc2lgnP++rQG4TyyxsYyKZjIwX43e9hi&#10;ou3AH9SffCkChF2CCirv20RKV1Rk0C1sSxy8q+0M+iC7UuoOhwA3jXyOohdpsOawUGFLh4qKn9Ov&#10;UeAufZZPbfr5/eWKS3pkk6+yN6Ue52O6AeFp9Pfwf/tdK4iXM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UPoxQAAANwAAAAPAAAAAAAAAAAAAAAAAJgCAABkcnMv&#10;ZG93bnJldi54bWxQSwUGAAAAAAQABAD1AAAAigMAAAAA&#10;" filled="f" stroked="f" strokeweight="2pt">
                <v:textbox style="mso-next-textbox:#Rectangle 144">
                  <w:txbxContent>
                    <w:p w:rsidR="009D3B38" w:rsidRDefault="009D3B38">
                      <w:r w:rsidRPr="00432C24">
                        <w:rPr>
                          <w:rFonts w:asciiTheme="minorHAnsi" w:hAnsi="Cambria"/>
                          <w:color w:val="000000" w:themeColor="dark1"/>
                          <w:kern w:val="24"/>
                          <w:sz w:val="18"/>
                          <w:szCs w:val="18"/>
                        </w:rPr>
                        <w:t>De</w:t>
                      </w:r>
                      <w:r>
                        <w:rPr>
                          <w:rFonts w:asciiTheme="minorHAnsi" w:hAnsi="Cambria"/>
                          <w:color w:val="000000" w:themeColor="dark1"/>
                          <w:kern w:val="24"/>
                          <w:sz w:val="18"/>
                          <w:szCs w:val="18"/>
                        </w:rPr>
                        <w:t>puty C commissioner</w:t>
                      </w:r>
                    </w:p>
                  </w:txbxContent>
                </v:textbox>
              </v:rect>
              <v:rect id="Rectangle 145" o:spid="_x0000_s1069" style="position:absolute;left:7047;top:6770;width:1648;height:6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bnMMA&#10;AADcAAAADwAAAGRycy9kb3ducmV2LnhtbESPQYvCMBSE74L/ITxhb5rqyiLVKEVU1uNaQbw9m2db&#10;bV5KE2v995uFBY/DzHzDLFadqURLjSstKxiPIhDEmdUl5wqO6XY4A+E8ssbKMil4kYPVst9bYKzt&#10;k3+oPfhcBAi7GBUU3texlC4ryKAb2Zo4eFfbGPRBNrnUDT4D3FRyEkVf0mDJYaHAmtYFZffDwyhw&#10;l3afvurkdDu77JJs2KTT/U6pj0GXzEF46vw7/N/+1go+x1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jbnMMAAADcAAAADwAAAAAAAAAAAAAAAACYAgAAZHJzL2Rv&#10;d25yZXYueG1sUEsFBgAAAAAEAAQA9QAAAIgDAAAAAA==&#10;" filled="f" stroked="f" strokeweight="2pt">
                <v:textbox style="mso-next-textbox:#Rectangle 145">
                  <w:txbxContent>
                    <w:p w:rsidR="009D3B38" w:rsidRDefault="009D3B38"/>
                  </w:txbxContent>
                </v:textbox>
              </v:rect>
              <v:rect id="Rectangle 146" o:spid="_x0000_s1070" style="position:absolute;left:5446;top:9275;width:2929;height:5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R+B8UA&#10;AADcAAAADwAAAGRycy9kb3ducmV2LnhtbESPQWvCQBSE7wX/w/IKvTWbWJUS3UgQW+qxRijentnX&#10;JG32bchuY/z3bkHwOMzMN8xqPZpWDNS7xrKCJIpBEJdWN1wpOBRvz68gnEfW2FomBRdysM4mDytM&#10;tT3zJw17X4kAYZeigtr7LpXSlTUZdJHtiIP3bXuDPsi+krrHc4CbVk7jeCENNhwWauxoU1P5u/8z&#10;Ctxp2BWXLv/6ObrylG/ZFLPdu1JPj2O+BOFp9Pfwrf2hFbwkc/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H4HxQAAANwAAAAPAAAAAAAAAAAAAAAAAJgCAABkcnMv&#10;ZG93bnJldi54bWxQSwUGAAAAAAQABAD1AAAAigMAAAAA&#10;" filled="f" stroked="f" strokeweight="2pt">
                <v:textbox style="mso-next-textbox:#Rectangle 146">
                  <w:txbxContent>
                    <w:p w:rsidR="009D3B38" w:rsidRDefault="009D3B38" w:rsidP="00A356FA">
                      <w:pPr>
                        <w:pStyle w:val="NormalWeb"/>
                        <w:spacing w:before="0" w:beforeAutospacing="0" w:after="0" w:afterAutospacing="0"/>
                        <w:jc w:val="center"/>
                        <w:rPr>
                          <w:rFonts w:asciiTheme="minorHAnsi" w:hAnsi="Cambria" w:cstheme="minorBidi"/>
                          <w:color w:val="000000" w:themeColor="dark1"/>
                          <w:kern w:val="24"/>
                          <w:sz w:val="18"/>
                          <w:szCs w:val="18"/>
                        </w:rPr>
                      </w:pPr>
                      <w:r>
                        <w:rPr>
                          <w:rFonts w:asciiTheme="minorHAnsi" w:hAnsi="Cambria" w:cstheme="minorBidi"/>
                          <w:color w:val="000000" w:themeColor="dark1"/>
                          <w:kern w:val="24"/>
                          <w:sz w:val="18"/>
                          <w:szCs w:val="18"/>
                        </w:rPr>
                        <w:t>D</w:t>
                      </w:r>
                      <w:r w:rsidRPr="00432C24">
                        <w:rPr>
                          <w:rFonts w:asciiTheme="minorHAnsi" w:hAnsi="Cambria" w:cstheme="minorBidi"/>
                          <w:color w:val="000000" w:themeColor="dark1"/>
                          <w:kern w:val="24"/>
                          <w:sz w:val="18"/>
                          <w:szCs w:val="18"/>
                        </w:rPr>
                        <w:t xml:space="preserve">ty Commissioner (DC) </w:t>
                      </w:r>
                    </w:p>
                    <w:p w:rsidR="009D3B38" w:rsidRPr="00432C24" w:rsidRDefault="009D3B38" w:rsidP="00A356FA">
                      <w:pPr>
                        <w:pStyle w:val="NormalWeb"/>
                        <w:spacing w:before="0" w:beforeAutospacing="0" w:after="0" w:afterAutospacing="0"/>
                        <w:jc w:val="center"/>
                        <w:rPr>
                          <w:sz w:val="20"/>
                          <w:szCs w:val="20"/>
                        </w:rPr>
                      </w:pPr>
                      <w:r w:rsidRPr="00432C24">
                        <w:rPr>
                          <w:rFonts w:asciiTheme="minorHAnsi" w:hAnsi="Cambria" w:cstheme="minorBidi"/>
                          <w:color w:val="000000" w:themeColor="dark1"/>
                          <w:kern w:val="24"/>
                          <w:sz w:val="18"/>
                          <w:szCs w:val="18"/>
                        </w:rPr>
                        <w:t>(Chief Revenue Officer)</w:t>
                      </w:r>
                    </w:p>
                    <w:p w:rsidR="009D3B38" w:rsidRDefault="009D3B38"/>
                    <w:p w:rsidR="009D3B38" w:rsidRDefault="009D3B38">
                      <w:r w:rsidRPr="002B1021">
                        <w:rPr>
                          <w:rFonts w:asciiTheme="minorHAnsi" w:hAnsi="Cambria"/>
                          <w:color w:val="000000" w:themeColor="dark1"/>
                          <w:kern w:val="24"/>
                          <w:sz w:val="18"/>
                          <w:szCs w:val="18"/>
                          <w:lang w:val="fr-FR"/>
                        </w:rPr>
                        <w:t>Addi</w:t>
                      </w:r>
                    </w:p>
                  </w:txbxContent>
                </v:textbox>
              </v:rect>
              <v:rect id="Rectangle 147" o:spid="_x0000_s1071" style="position:absolute;left:5446;top:9776;width:2929;height:3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gcMMA&#10;AADcAAAADwAAAGRycy9kb3ducmV2LnhtbESPQYvCMBSE74L/ITxhb5rqLiLVKEVU1uNaQbw9m2db&#10;bV5KE2v995uFBY/DzHzDLFadqURLjSstKxiPIhDEmdUl5wqO6XY4A+E8ssbKMil4kYPVst9bYKzt&#10;k3+oPfhcBAi7GBUU3texlC4ryKAb2Zo4eFfbGPRBNrnUDT4D3FRyEkVTabDksFBgTeuCsvvhYRS4&#10;S7tPX3Vyup1ddkk2bNKv/U6pj0GXzEF46vw7/N/+1go+x1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bgcMMAAADcAAAADwAAAAAAAAAAAAAAAACYAgAAZHJzL2Rv&#10;d25yZXYueG1sUEsFBgAAAAAEAAQA9QAAAIgDAAAAAA==&#10;" filled="f" stroked="f" strokeweight="2pt">
                <v:textbox style="mso-next-textbox:#Rectangle 147">
                  <w:txbxContent>
                    <w:p w:rsidR="009D3B38" w:rsidRPr="002B1021" w:rsidRDefault="009D3B38" w:rsidP="00A356FA">
                      <w:pPr>
                        <w:pStyle w:val="NormalWeb"/>
                        <w:spacing w:before="0" w:beforeAutospacing="0" w:after="0" w:afterAutospacing="0"/>
                        <w:jc w:val="center"/>
                        <w:rPr>
                          <w:sz w:val="20"/>
                          <w:szCs w:val="20"/>
                        </w:rPr>
                      </w:pPr>
                      <w:r>
                        <w:rPr>
                          <w:rFonts w:asciiTheme="minorHAnsi" w:hAnsi="Cambria" w:cstheme="minorBidi"/>
                          <w:color w:val="000000" w:themeColor="dark1"/>
                          <w:kern w:val="24"/>
                          <w:sz w:val="18"/>
                          <w:szCs w:val="18"/>
                          <w:lang w:val="fr-FR"/>
                        </w:rPr>
                        <w:t>Addi</w:t>
                      </w:r>
                      <w:r w:rsidRPr="002B1021">
                        <w:rPr>
                          <w:rFonts w:asciiTheme="minorHAnsi" w:hAnsi="Cambria" w:cstheme="minorBidi"/>
                          <w:color w:val="000000" w:themeColor="dark1"/>
                          <w:kern w:val="24"/>
                          <w:sz w:val="18"/>
                          <w:szCs w:val="18"/>
                          <w:lang w:val="fr-FR"/>
                        </w:rPr>
                        <w:t>tional DC (revenue)</w:t>
                      </w:r>
                    </w:p>
                    <w:p w:rsidR="009D3B38" w:rsidRDefault="009D3B38"/>
                    <w:p w:rsidR="009D3B38" w:rsidRDefault="009D3B38">
                      <w:r w:rsidRPr="002B1021">
                        <w:rPr>
                          <w:rFonts w:asciiTheme="minorHAnsi" w:hAnsi="Cambria"/>
                          <w:color w:val="000000" w:themeColor="dark1"/>
                          <w:kern w:val="24"/>
                          <w:sz w:val="18"/>
                          <w:szCs w:val="18"/>
                          <w:lang w:val="fr-FR"/>
                        </w:rPr>
                        <w:t>Reve</w:t>
                      </w:r>
                    </w:p>
                  </w:txbxContent>
                </v:textbox>
              </v:rect>
              <v:rect id="Rectangle 148" o:spid="_x0000_s1072" style="position:absolute;left:5446;top:10065;width:2929;height:3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pF68UA&#10;AADcAAAADwAAAGRycy9kb3ducmV2LnhtbESPQWvCQBSE7wX/w/IKvTWbWNES3UgQW+qxRijentnX&#10;JG32bchuY/z3bkHwOMzMN8xqPZpWDNS7xrKCJIpBEJdWN1wpOBRvz68gnEfW2FomBRdysM4mDytM&#10;tT3zJw17X4kAYZeigtr7LpXSlTUZdJHtiIP3bXuDPsi+krrHc4CbVk7jeC4NNhwWauxoU1P5u/8z&#10;Ctxp2BWXLv/6ObrylG/ZFLPdu1JPj2O+BOFp9Pfwrf2hFbwkC/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qkXrxQAAANwAAAAPAAAAAAAAAAAAAAAAAJgCAABkcnMv&#10;ZG93bnJldi54bWxQSwUGAAAAAAQABAD1AAAAigMAAAAA&#10;" filled="f" stroked="f" strokeweight="2pt">
                <v:textbox style="mso-next-textbox:#Rectangle 148">
                  <w:txbxContent>
                    <w:p w:rsidR="009D3B38" w:rsidRPr="002B1021" w:rsidRDefault="009D3B38" w:rsidP="00A356FA">
                      <w:pPr>
                        <w:pStyle w:val="NormalWeb"/>
                        <w:spacing w:before="0" w:beforeAutospacing="0" w:after="0" w:afterAutospacing="0"/>
                        <w:jc w:val="center"/>
                        <w:rPr>
                          <w:sz w:val="20"/>
                          <w:szCs w:val="20"/>
                        </w:rPr>
                      </w:pPr>
                      <w:r>
                        <w:rPr>
                          <w:rFonts w:asciiTheme="minorHAnsi" w:hAnsi="Cambria" w:cstheme="minorBidi"/>
                          <w:color w:val="000000" w:themeColor="dark1"/>
                          <w:kern w:val="24"/>
                          <w:sz w:val="18"/>
                          <w:szCs w:val="18"/>
                          <w:lang w:val="fr-FR"/>
                        </w:rPr>
                        <w:t>Reve</w:t>
                      </w:r>
                      <w:r w:rsidRPr="002B1021">
                        <w:rPr>
                          <w:rFonts w:asciiTheme="minorHAnsi" w:hAnsi="Cambria" w:cstheme="minorBidi"/>
                          <w:color w:val="000000" w:themeColor="dark1"/>
                          <w:kern w:val="24"/>
                          <w:sz w:val="18"/>
                          <w:szCs w:val="18"/>
                          <w:lang w:val="fr-FR"/>
                        </w:rPr>
                        <w:t>nue Deputy Collector</w:t>
                      </w:r>
                    </w:p>
                    <w:p w:rsidR="009D3B38" w:rsidRDefault="009D3B38"/>
                    <w:p w:rsidR="009D3B38" w:rsidRDefault="009D3B38">
                      <w:r w:rsidRPr="00432C24">
                        <w:rPr>
                          <w:sz w:val="18"/>
                        </w:rPr>
                        <w:t>Assi</w:t>
                      </w:r>
                    </w:p>
                  </w:txbxContent>
                </v:textbox>
              </v:rect>
              <v:rect id="Rectangle 149" o:spid="_x0000_s1073" style="position:absolute;left:5446;top:10882;width:2929;height:32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XRmcAA&#10;AADcAAAADwAAAGRycy9kb3ducmV2LnhtbERPTYvCMBC9L/gfwgh726auIlKNUmRX1qNWEG9jM7bV&#10;ZlKabK3/3hwEj4/3vVj1phYdta6yrGAUxSCIc6srLhQcst+vGQjnkTXWlknBgxysloOPBSba3nlH&#10;3d4XIoSwS1BB6X2TSOnykgy6yDbEgbvY1qAPsC2kbvEewk0tv+N4Kg1WHBpKbGhdUn7b/xsF7txt&#10;s0eTHq8nl5/THzbZZLtR6nPYp3MQnnr/Fr/cf1rBeBTWhjPhCM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DXRmcAAAADcAAAADwAAAAAAAAAAAAAAAACYAgAAZHJzL2Rvd25y&#10;ZXYueG1sUEsFBgAAAAAEAAQA9QAAAIUDAAAAAA==&#10;" filled="f" stroked="f" strokeweight="2pt">
                <v:textbox style="mso-next-textbox:#Rectangle 149">
                  <w:txbxContent>
                    <w:p w:rsidR="009D3B38" w:rsidRPr="00432C24" w:rsidRDefault="009D3B38" w:rsidP="00A356FA">
                      <w:pPr>
                        <w:jc w:val="center"/>
                        <w:rPr>
                          <w:sz w:val="18"/>
                        </w:rPr>
                      </w:pPr>
                      <w:r>
                        <w:rPr>
                          <w:sz w:val="18"/>
                        </w:rPr>
                        <w:t>As</w:t>
                      </w:r>
                      <w:r w:rsidRPr="00432C24">
                        <w:rPr>
                          <w:sz w:val="18"/>
                        </w:rPr>
                        <w:t>s</w:t>
                      </w:r>
                      <w:r>
                        <w:rPr>
                          <w:sz w:val="18"/>
                        </w:rPr>
                        <w:t>is</w:t>
                      </w:r>
                      <w:r w:rsidRPr="00432C24">
                        <w:rPr>
                          <w:sz w:val="18"/>
                        </w:rPr>
                        <w:t>tant Commissioner Land</w:t>
                      </w:r>
                    </w:p>
                    <w:p w:rsidR="009D3B38" w:rsidRDefault="009D3B38"/>
                    <w:p w:rsidR="009D3B38" w:rsidRDefault="009D3B38">
                      <w:r w:rsidRPr="00432C24">
                        <w:rPr>
                          <w:rFonts w:asciiTheme="minorHAnsi" w:hAnsi="Cambria"/>
                          <w:color w:val="000000" w:themeColor="dark1"/>
                          <w:kern w:val="24"/>
                          <w:sz w:val="18"/>
                          <w:szCs w:val="16"/>
                          <w:lang w:val="fr-FR"/>
                        </w:rPr>
                        <w:t>Reve</w:t>
                      </w:r>
                    </w:p>
                  </w:txbxContent>
                </v:textbox>
              </v:rect>
              <v:rect id="Rectangle 150" o:spid="_x0000_s1074" style="position:absolute;left:5446;top:11456;width:2880;height:50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l0AsUA&#10;AADcAAAADwAAAGRycy9kb3ducmV2LnhtbESPQWvCQBSE7wX/w/IKvTWbWBEb3UgQW+qxRijentnX&#10;JG32bchuY/z3bkHwOMzMN8xqPZpWDNS7xrKCJIpBEJdWN1wpOBRvzwsQziNrbC2Tggs5WGeThxWm&#10;2p75k4a9r0SAsEtRQe19l0rpypoMush2xMH7tr1BH2RfSd3jOcBNK6dxPJcGGw4LNXa0qan83f8Z&#10;Be407IpLl3/9HF15yrdsitnuXamnxzFfgvA0+nv41v7QCl6SV/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XQCxQAAANwAAAAPAAAAAAAAAAAAAAAAAJgCAABkcnMv&#10;ZG93bnJldi54bWxQSwUGAAAAAAQABAD1AAAAigMAAAAA&#10;" filled="f" stroked="f" strokeweight="2pt">
                <v:textbox style="mso-next-textbox:#Rectangle 150">
                  <w:txbxContent>
                    <w:p w:rsidR="009D3B38" w:rsidRPr="00432C24" w:rsidRDefault="009D3B38" w:rsidP="00A356FA">
                      <w:pPr>
                        <w:pStyle w:val="NormalWeb"/>
                        <w:spacing w:before="0" w:beforeAutospacing="0" w:after="0" w:afterAutospacing="0"/>
                        <w:jc w:val="center"/>
                        <w:rPr>
                          <w:sz w:val="20"/>
                          <w:szCs w:val="18"/>
                        </w:rPr>
                      </w:pPr>
                      <w:r>
                        <w:rPr>
                          <w:rFonts w:asciiTheme="minorHAnsi" w:hAnsi="Cambria" w:cstheme="minorBidi"/>
                          <w:color w:val="000000" w:themeColor="dark1"/>
                          <w:kern w:val="24"/>
                          <w:sz w:val="18"/>
                          <w:szCs w:val="16"/>
                          <w:lang w:val="fr-FR"/>
                        </w:rPr>
                        <w:t>Reve</w:t>
                      </w:r>
                      <w:r w:rsidRPr="00432C24">
                        <w:rPr>
                          <w:rFonts w:asciiTheme="minorHAnsi" w:hAnsi="Cambria" w:cstheme="minorBidi"/>
                          <w:color w:val="000000" w:themeColor="dark1"/>
                          <w:kern w:val="24"/>
                          <w:sz w:val="18"/>
                          <w:szCs w:val="16"/>
                          <w:lang w:val="fr-FR"/>
                        </w:rPr>
                        <w:t>nue Collector (tehsildar)</w:t>
                      </w:r>
                    </w:p>
                    <w:p w:rsidR="009D3B38" w:rsidRDefault="009D3B38"/>
                    <w:p w:rsidR="009D3B38" w:rsidRDefault="009D3B38">
                      <w:r w:rsidRPr="00432C24">
                        <w:rPr>
                          <w:rFonts w:asciiTheme="minorHAnsi" w:hAnsi="Cambria"/>
                          <w:color w:val="000000" w:themeColor="dark1"/>
                          <w:kern w:val="24"/>
                          <w:sz w:val="18"/>
                          <w:szCs w:val="18"/>
                        </w:rPr>
                        <w:t>Regi</w:t>
                      </w:r>
                    </w:p>
                  </w:txbxContent>
                </v:textbox>
              </v:rect>
              <v:rect id="Rectangle 151" o:spid="_x0000_s1075" style="position:absolute;left:8607;top:6660;width:1984;height:10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8XIsEA&#10;AADcAAAADwAAAGRycy9kb3ducmV2LnhtbERPy4rCMBTdD/gP4QrupqkPRDpGKaKiy7GCzO7a3Gk7&#10;NjelibX+vVkMuDyc93Ldm1p01LrKsoJxFIMgzq2uuFBwznafCxDOI2usLZOCJzlYrwYfS0y0ffA3&#10;dSdfiBDCLkEFpfdNIqXLSzLoItsQB+7XtgZ9gG0hdYuPEG5qOYnjuTRYcWgosaFNSfntdDcK3LU7&#10;Zs8mvfz9uPyabtlks+NeqdGwT79AeOr9W/zvPmgF00mYH86EI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vFyLBAAAA3AAAAA8AAAAAAAAAAAAAAAAAmAIAAGRycy9kb3du&#10;cmV2LnhtbFBLBQYAAAAABAAEAPUAAACGAwAAAAA=&#10;" filled="f" stroked="f" strokeweight="2pt">
                <v:textbox style="mso-next-textbox:#Rectangle 151">
                  <w:txbxContent>
                    <w:p w:rsidR="009D3B38" w:rsidRPr="00432C24" w:rsidRDefault="009D3B38" w:rsidP="00A356FA">
                      <w:pPr>
                        <w:pStyle w:val="NormalWeb"/>
                        <w:spacing w:before="0" w:beforeAutospacing="0" w:after="0" w:afterAutospacing="0"/>
                        <w:jc w:val="center"/>
                        <w:rPr>
                          <w:sz w:val="18"/>
                          <w:szCs w:val="18"/>
                        </w:rPr>
                      </w:pPr>
                      <w:r>
                        <w:rPr>
                          <w:rFonts w:asciiTheme="minorHAnsi" w:hAnsi="Cambria" w:cstheme="minorBidi"/>
                          <w:color w:val="000000" w:themeColor="dark1"/>
                          <w:kern w:val="24"/>
                          <w:sz w:val="18"/>
                          <w:szCs w:val="18"/>
                        </w:rPr>
                        <w:t>Regi</w:t>
                      </w:r>
                      <w:r w:rsidRPr="00432C24">
                        <w:rPr>
                          <w:rFonts w:asciiTheme="minorHAnsi" w:hAnsi="Cambria" w:cstheme="minorBidi"/>
                          <w:color w:val="000000" w:themeColor="dark1"/>
                          <w:kern w:val="24"/>
                          <w:sz w:val="18"/>
                          <w:szCs w:val="18"/>
                        </w:rPr>
                        <w:t>stration Department (MLJPA)</w:t>
                      </w:r>
                    </w:p>
                    <w:p w:rsidR="009D3B38" w:rsidRPr="00432C24" w:rsidRDefault="009D3B38" w:rsidP="00A356FA">
                      <w:pPr>
                        <w:pStyle w:val="NormalWeb"/>
                        <w:spacing w:before="0" w:beforeAutospacing="0" w:after="0" w:afterAutospacing="0"/>
                        <w:jc w:val="center"/>
                        <w:rPr>
                          <w:sz w:val="18"/>
                          <w:szCs w:val="18"/>
                        </w:rPr>
                      </w:pPr>
                      <w:r w:rsidRPr="00432C24">
                        <w:rPr>
                          <w:rFonts w:asciiTheme="minorHAnsi" w:hAnsi="Cambria" w:cstheme="minorBidi"/>
                          <w:color w:val="000000" w:themeColor="dark1"/>
                          <w:kern w:val="24"/>
                          <w:sz w:val="18"/>
                          <w:szCs w:val="18"/>
                        </w:rPr>
                        <w:t>Inspector General</w:t>
                      </w:r>
                    </w:p>
                    <w:p w:rsidR="009D3B38" w:rsidRPr="00432C24" w:rsidRDefault="009D3B38" w:rsidP="00A356FA">
                      <w:pPr>
                        <w:pStyle w:val="NormalWeb"/>
                        <w:spacing w:before="0" w:beforeAutospacing="0" w:after="0" w:afterAutospacing="0"/>
                        <w:jc w:val="center"/>
                        <w:rPr>
                          <w:sz w:val="18"/>
                          <w:szCs w:val="18"/>
                        </w:rPr>
                      </w:pPr>
                      <w:r w:rsidRPr="00432C24">
                        <w:rPr>
                          <w:rFonts w:asciiTheme="minorHAnsi" w:hAnsi="Cambria" w:cstheme="minorBidi"/>
                          <w:color w:val="000000" w:themeColor="dark1"/>
                          <w:kern w:val="24"/>
                          <w:sz w:val="18"/>
                          <w:szCs w:val="18"/>
                          <w:lang w:val="es-ES_tradnl"/>
                        </w:rPr>
                        <w:t>Inspectors</w:t>
                      </w:r>
                    </w:p>
                    <w:p w:rsidR="009D3B38" w:rsidRDefault="009D3B38"/>
                    <w:p w:rsidR="009D3B38" w:rsidRDefault="009D3B38">
                      <w:r w:rsidRPr="002B1021">
                        <w:rPr>
                          <w:rFonts w:asciiTheme="minorHAnsi" w:hAnsi="Cambria"/>
                          <w:color w:val="000000" w:themeColor="dark1"/>
                          <w:kern w:val="24"/>
                          <w:sz w:val="18"/>
                          <w:szCs w:val="18"/>
                          <w:lang w:val="de-DE"/>
                        </w:rPr>
                        <w:t>Regi</w:t>
                      </w:r>
                    </w:p>
                  </w:txbxContent>
                </v:textbox>
              </v:rect>
              <v:rect id="Rectangle 152" o:spid="_x0000_s1076" style="position:absolute;left:8796;top:9863;width:1756;height:3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OyucUA&#10;AADcAAAADwAAAGRycy9kb3ducmV2LnhtbESPT2vCQBTE7wW/w/KE3urGtJQSXSWILc2xpiDentln&#10;Es2+Ddlt/nz7bqHgcZiZ3zDr7Wga0VPnassKlosIBHFhdc2lgu/8/ekNhPPIGhvLpGAiB9vN7GGN&#10;ibYDf1F/8KUIEHYJKqi8bxMpXVGRQbewLXHwLrYz6IPsSqk7HALcNDKOoldpsOawUGFLu4qK2+HH&#10;KHDnPsunNj1eT644p3s2+Uv2odTjfExXIDyN/h7+b39qBc/xEv7Oh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7K5xQAAANwAAAAPAAAAAAAAAAAAAAAAAJgCAABkcnMv&#10;ZG93bnJldi54bWxQSwUGAAAAAAQABAD1AAAAigMAAAAA&#10;" filled="f" stroked="f" strokeweight="2pt">
                <v:textbox style="mso-next-textbox:#Rectangle 152">
                  <w:txbxContent>
                    <w:p w:rsidR="009D3B38" w:rsidRPr="002B1021" w:rsidRDefault="009D3B38" w:rsidP="00A356FA">
                      <w:pPr>
                        <w:pStyle w:val="NormalWeb"/>
                        <w:spacing w:before="0" w:beforeAutospacing="0" w:after="0" w:afterAutospacing="0"/>
                        <w:jc w:val="center"/>
                        <w:rPr>
                          <w:sz w:val="20"/>
                          <w:szCs w:val="20"/>
                        </w:rPr>
                      </w:pPr>
                      <w:r>
                        <w:rPr>
                          <w:rFonts w:asciiTheme="minorHAnsi" w:hAnsi="Cambria" w:cstheme="minorBidi"/>
                          <w:color w:val="000000" w:themeColor="dark1"/>
                          <w:kern w:val="24"/>
                          <w:sz w:val="18"/>
                          <w:szCs w:val="18"/>
                          <w:lang w:val="de-DE"/>
                        </w:rPr>
                        <w:t>Registrar</w:t>
                      </w:r>
                    </w:p>
                    <w:p w:rsidR="009D3B38" w:rsidRDefault="009D3B38"/>
                    <w:p w:rsidR="009D3B38" w:rsidRDefault="009D3B38">
                      <w:r w:rsidRPr="00432C24">
                        <w:rPr>
                          <w:rFonts w:asciiTheme="minorHAnsi" w:hAnsi="Cambria"/>
                          <w:color w:val="000000" w:themeColor="dark1"/>
                          <w:kern w:val="24"/>
                          <w:sz w:val="18"/>
                        </w:rPr>
                        <w:t>Sub-</w:t>
                      </w:r>
                    </w:p>
                  </w:txbxContent>
                </v:textbox>
              </v:rect>
              <v:rect id="Rectangle 153" o:spid="_x0000_s1077" style="position:absolute;left:8826;top:10947;width:1756;height:3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EszsQA&#10;AADcAAAADwAAAGRycy9kb3ducmV2LnhtbESPQWvCQBSE74X+h+UVvNVNUykS3YRQatGjpiDentln&#10;Ept9G7JrjP/eFQo9DjPzDbPMRtOKgXrXWFbwNo1AEJdWN1wp+ClWr3MQziNrbC2Tghs5yNLnpyUm&#10;2l55S8POVyJA2CWooPa+S6R0ZU0G3dR2xME72d6gD7KvpO7xGuCmlXEUfUiDDYeFGjv6rKn83V2M&#10;AnccNsWty/fngyuP+RebYrb5VmryMuYLEJ5G/x/+a6+1gvc4hseZcARk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xLM7EAAAA3AAAAA8AAAAAAAAAAAAAAAAAmAIAAGRycy9k&#10;b3ducmV2LnhtbFBLBQYAAAAABAAEAPUAAACJAwAAAAA=&#10;" filled="f" stroked="f" strokeweight="2pt">
                <v:textbox style="mso-next-textbox:#Rectangle 153">
                  <w:txbxContent>
                    <w:p w:rsidR="009D3B38" w:rsidRPr="00432C24" w:rsidRDefault="009D3B38" w:rsidP="00A356FA">
                      <w:pPr>
                        <w:pStyle w:val="NormalWeb"/>
                        <w:spacing w:before="0" w:beforeAutospacing="0" w:after="0" w:afterAutospacing="0"/>
                        <w:jc w:val="center"/>
                        <w:rPr>
                          <w:sz w:val="20"/>
                        </w:rPr>
                      </w:pPr>
                      <w:r>
                        <w:rPr>
                          <w:rFonts w:asciiTheme="minorHAnsi" w:hAnsi="Cambria" w:cstheme="minorBidi"/>
                          <w:color w:val="000000" w:themeColor="dark1"/>
                          <w:kern w:val="24"/>
                          <w:sz w:val="18"/>
                          <w:szCs w:val="22"/>
                        </w:rPr>
                        <w:t>R</w:t>
                      </w:r>
                      <w:r w:rsidRPr="00432C24">
                        <w:rPr>
                          <w:rFonts w:asciiTheme="minorHAnsi" w:hAnsi="Cambria" w:cstheme="minorBidi"/>
                          <w:color w:val="000000" w:themeColor="dark1"/>
                          <w:kern w:val="24"/>
                          <w:sz w:val="18"/>
                          <w:szCs w:val="22"/>
                        </w:rPr>
                        <w:t>egistrar</w:t>
                      </w:r>
                    </w:p>
                    <w:p w:rsidR="009D3B38" w:rsidRDefault="009D3B38"/>
                    <w:p w:rsidR="009D3B38" w:rsidRDefault="009D3B38">
                      <w:r w:rsidRPr="00432C24">
                        <w:rPr>
                          <w:rFonts w:asciiTheme="minorHAnsi" w:hAnsi="Cambria"/>
                          <w:color w:val="000000" w:themeColor="dark1"/>
                          <w:kern w:val="24"/>
                          <w:sz w:val="18"/>
                          <w:szCs w:val="20"/>
                          <w:lang w:val="da-DK"/>
                        </w:rPr>
                        <w:t>Comm</w:t>
                      </w:r>
                    </w:p>
                  </w:txbxContent>
                </v:textbox>
              </v:rect>
              <v:rect id="Rectangle 154" o:spid="_x0000_s1078" style="position:absolute;left:5502;top:7608;width:2928;height:4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2JVcUA&#10;AADcAAAADwAAAGRycy9kb3ducmV2LnhtbESPQWvCQBSE70L/w/IKvZlNVaREVwmlleZYUyi9vWSf&#10;Sdrs25BdY/Lv3YLgcZiZb5jtfjStGKh3jWUFz1EMgri0uuFKwVf+Pn8B4TyyxtYyKZjIwX73MNti&#10;ou2FP2k4+koECLsEFdTed4mUrqzJoItsRxy8k+0N+iD7SuoeLwFuWrmI47U02HBYqLGj15rKv+PZ&#10;KHDFkOVTl37//riySN/Y5KvsoNTT45huQHga/T18a39oBcvFEv7PhCMgd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lVxQAAANwAAAAPAAAAAAAAAAAAAAAAAJgCAABkcnMv&#10;ZG93bnJldi54bWxQSwUGAAAAAAQABAD1AAAAigMAAAAA&#10;" filled="f" stroked="f" strokeweight="2pt">
                <v:textbox style="mso-next-textbox:#Rectangle 154">
                  <w:txbxContent>
                    <w:p w:rsidR="009D3B38" w:rsidRPr="00432C24" w:rsidRDefault="009D3B38" w:rsidP="007D4F16">
                      <w:pPr>
                        <w:pStyle w:val="NormalWeb"/>
                        <w:spacing w:before="0" w:beforeAutospacing="0" w:after="0" w:afterAutospacing="0"/>
                        <w:rPr>
                          <w:sz w:val="20"/>
                          <w:szCs w:val="22"/>
                        </w:rPr>
                      </w:pPr>
                    </w:p>
                    <w:p w:rsidR="009D3B38" w:rsidRDefault="009D3B38"/>
                    <w:p w:rsidR="009D3B38" w:rsidRDefault="009D3B38">
                      <w:r w:rsidRPr="00432C24">
                        <w:rPr>
                          <w:rFonts w:asciiTheme="minorHAnsi" w:hAnsiTheme="minorHAnsi"/>
                          <w:color w:val="000000" w:themeColor="dark1"/>
                          <w:kern w:val="24"/>
                          <w:sz w:val="18"/>
                        </w:rPr>
                        <w:t>Addi</w:t>
                      </w:r>
                    </w:p>
                  </w:txbxContent>
                </v:textbox>
              </v:rect>
              <v:rect id="Rectangle 155" o:spid="_x0000_s1079" style="position:absolute;left:5502;top:7880;width:2928;height:33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QRIcMA&#10;AADcAAAADwAAAGRycy9kb3ducmV2LnhtbESPQYvCMBSE74L/ITxhb5rqyiLVKEVU1uNaQbw9m2db&#10;bV5KE2v995uFBY/DzHzDLFadqURLjSstKxiPIhDEmdUl5wqO6XY4A+E8ssbKMil4kYPVst9bYKzt&#10;k3+oPfhcBAi7GBUU3texlC4ryKAb2Zo4eFfbGPRBNrnUDT4D3FRyEkVf0mDJYaHAmtYFZffDwyhw&#10;l3afvurkdDu77JJs2KTT/U6pj0GXzEF46vw7/N/+1go+J1P4OxOO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QRIcMAAADcAAAADwAAAAAAAAAAAAAAAACYAgAAZHJzL2Rv&#10;d25yZXYueG1sUEsFBgAAAAAEAAQA9QAAAIgDAAAAAA==&#10;" filled="f" stroked="f" strokeweight="2pt">
                <v:textbox style="mso-next-textbox:#Rectangle 155">
                  <w:txbxContent>
                    <w:p w:rsidR="009D3B38" w:rsidRPr="00432C24" w:rsidRDefault="009D3B38" w:rsidP="00A356FA">
                      <w:pPr>
                        <w:pStyle w:val="NormalWeb"/>
                        <w:spacing w:before="0" w:beforeAutospacing="0" w:after="0" w:afterAutospacing="0"/>
                        <w:jc w:val="center"/>
                      </w:pPr>
                      <w:r>
                        <w:rPr>
                          <w:rFonts w:asciiTheme="minorHAnsi" w:hAnsiTheme="minorHAnsi" w:cstheme="minorBidi"/>
                          <w:color w:val="000000" w:themeColor="dark1"/>
                          <w:kern w:val="24"/>
                          <w:sz w:val="18"/>
                          <w:szCs w:val="22"/>
                        </w:rPr>
                        <w:t>Add</w:t>
                      </w:r>
                      <w:r w:rsidRPr="00432C24">
                        <w:rPr>
                          <w:rFonts w:asciiTheme="minorHAnsi" w:hAnsiTheme="minorHAnsi" w:cstheme="minorBidi"/>
                          <w:color w:val="000000" w:themeColor="dark1"/>
                          <w:kern w:val="24"/>
                          <w:sz w:val="18"/>
                          <w:szCs w:val="22"/>
                        </w:rPr>
                        <w:t>itional Commissioner</w:t>
                      </w:r>
                    </w:p>
                    <w:p w:rsidR="009D3B38" w:rsidRDefault="009D3B38"/>
                    <w:p w:rsidR="009D3B38" w:rsidRDefault="009D3B38">
                      <w:r w:rsidRPr="00432C24">
                        <w:rPr>
                          <w:rFonts w:asciiTheme="minorHAnsi" w:hAnsi="Cambria"/>
                          <w:color w:val="000000" w:themeColor="dark1"/>
                          <w:kern w:val="24"/>
                          <w:sz w:val="18"/>
                          <w:szCs w:val="18"/>
                        </w:rPr>
                        <w:t>** S</w:t>
                      </w:r>
                    </w:p>
                  </w:txbxContent>
                </v:textbox>
              </v:rect>
              <v:shape id="Straight Arrow Connector 156" o:spid="_x0000_s1080" type="#_x0000_t32" style="position:absolute;left:4344;top:7367;width:0;height:9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AiosUAAADcAAAADwAAAGRycy9kb3ducmV2LnhtbESPQWvCQBSE7wX/w/IEb3VjpFWiq4hQ&#10;KkhLGwXx9sg+k2D27ZJdNfn33UKhx2FmvmGW68404k6try0rmIwTEMSF1TWXCo6Ht+c5CB+QNTaW&#10;SUFPHtarwdMSM20f/E33PJQiQthnqKAKwWVS+qIig35sHXH0LrY1GKJsS6lbfES4aWSaJK/SYM1x&#10;oUJH24qKa34zCvJZ//Xhpp+yL69pOO8TfnfHk1KjYbdZgAjUhf/wX3unFUzTF/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1AiosUAAADcAAAADwAAAAAAAAAA&#10;AAAAAAChAgAAZHJzL2Rvd25yZXYueG1sUEsFBgAAAAAEAAQA+QAAAJMDAAAAAA==&#10;" strokecolor="#9bbb59 [3206]" strokeweight="2pt">
                <v:stroke endarrow="open"/>
                <v:shadow on="t" opacity="24903f" origin=",.5" offset="0,.55556mm"/>
              </v:shape>
              <v:shape id="Straight Arrow Connector 157" o:spid="_x0000_s1081" type="#_x0000_t32" style="position:absolute;left:3764;top:7367;width:6;height:98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NXLsMAAADcAAAADwAAAGRycy9kb3ducmV2LnhtbESPT4vCMBTE78J+h/AW9qaprhSpRnEF&#10;F2/iH/D6bJ5NsXnpNlltv70RBI/DzPyGmS1aW4kbNb50rGA4SEAQ506XXCg4Htb9CQgfkDVWjklB&#10;Rx4W84/eDDPt7ryj2z4UIkLYZ6jAhFBnUvrckEU/cDVx9C6usRiibAqpG7xHuK3kKElSabHkuGCw&#10;ppWh/Lr/twrO/m/cHX/Hnd5s+XD6SU0y1Eapr892OQURqA3v8Ku90Qq+Ryk8z8Qj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zVy7DAAAA3AAAAA8AAAAAAAAAAAAA&#10;AAAAoQIAAGRycy9kb3ducmV2LnhtbFBLBQYAAAAABAAEAPkAAACRAwAAAAA=&#10;" strokecolor="#4f81bd [3204]" strokeweight="2pt">
                <v:stroke endarrow="open"/>
                <v:shadow on="t" opacity="24903f" origin=",.5" offset="0,.55556mm"/>
              </v:shape>
              <v:shape id="Straight Arrow Connector 158" o:spid="_x0000_s1082" type="#_x0000_t32" style="position:absolute;left:4420;top:8871;width:0;height:158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4ZTsUAAADcAAAADwAAAGRycy9kb3ducmV2LnhtbESPQWvCQBSE7wX/w/IK3uqmEapEVxFB&#10;LEilpkLx9sg+k2D27ZLdavLvXUHocZiZb5j5sjONuFLra8sK3kcJCOLC6ppLBcefzdsUhA/IGhvL&#10;pKAnD8vF4GWOmbY3PtA1D6WIEPYZKqhCcJmUvqjIoB9ZRxy9s20NhijbUuoWbxFuGpkmyYc0WHNc&#10;qNDRuqLikv8ZBfmk//5y473sy0saTruEt+74q9TwtVvNQATqwn/42f7UCsbpBB5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M4ZTsUAAADcAAAADwAAAAAAAAAA&#10;AAAAAAChAgAAZHJzL2Rvd25yZXYueG1sUEsFBgAAAAAEAAQA+QAAAJMDAAAAAA==&#10;" strokecolor="#9bbb59 [3206]" strokeweight="2pt">
                <v:stroke endarrow="open"/>
                <v:shadow on="t" opacity="24903f" origin=",.5" offset="0,.55556mm"/>
              </v:shape>
              <v:shape id="Straight Arrow Connector 159" o:spid="_x0000_s1083" type="#_x0000_t32" style="position:absolute;left:3764;top:8871;width:0;height:15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CcL8MAAADcAAAADwAAAGRycy9kb3ducmV2LnhtbERPTU/CQBC9m/gfNmPCTbaCElJYiJpo&#10;xMSDBZIeJ7tD29Cdrd0B6r9nDyYeX973cj34Vp2pj01gAw/jDBSxDa7hysBu+3Y/BxUF2WEbmAz8&#10;UoT16vZmibkLF/6mcyGVSiEcczRQi3S51tHW5DGOQ0ecuEPoPUqCfaVdj5cU7ls9ybKZ9thwaqix&#10;o9ea7LE4eQPWPvHjj2zK8qWYvu+/Dp9SHtGY0d3wvAAlNMi/+M/94QxMJ2ltOpOOgF5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AnC/DAAAA3AAAAA8AAAAAAAAAAAAA&#10;AAAAoQIAAGRycy9kb3ducmV2LnhtbFBLBQYAAAAABAAEAPkAAACRAwAAAAA=&#10;" strokecolor="#4f81bd [3204]" strokeweight="2pt">
                <v:stroke endarrow="open"/>
                <v:shadow on="t" opacity="24903f" origin=",.5" offset="0,.55556mm"/>
              </v:shape>
              <v:shape id="Straight Arrow Connector 160" o:spid="_x0000_s1084" type="#_x0000_t32" style="position:absolute;left:4405;top:11281;width:0;height:24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0op8UAAADcAAAADwAAAGRycy9kb3ducmV2LnhtbESPQWvCQBSE7wX/w/IEb3VjhFajq4hQ&#10;KkhLGwXx9sg+k2D27ZJdNfn33UKhx2FmvmGW68404k6try0rmIwTEMSF1TWXCo6Ht+cZCB+QNTaW&#10;SUFPHtarwdMSM20f/E33PJQiQthnqKAKwWVS+qIig35sHXH0LrY1GKJsS6lbfES4aWSaJC/SYM1x&#10;oUJH24qKa34zCvLX/uvDTT9lX17TcN4n/O6OJ6VGw26zABGoC//hv/ZOK5imc/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h0op8UAAADcAAAADwAAAAAAAAAA&#10;AAAAAAChAgAAZHJzL2Rvd25yZXYueG1sUEsFBgAAAAAEAAQA+QAAAJMDAAAAAA==&#10;" strokecolor="#9bbb59 [3206]" strokeweight="2pt">
                <v:stroke endarrow="open"/>
                <v:shadow on="t" opacity="24903f" origin=",.5" offset="0,.55556mm"/>
              </v:shape>
              <v:shape id="Straight Arrow Connector 161" o:spid="_x0000_s1085" type="#_x0000_t32" style="position:absolute;left:3770;top:11281;width:0;height:2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G9MMAAADcAAAADwAAAGRycy9kb3ducmV2LnhtbERPTUvDQBC9C/0PyxS82Y1GS4ndllZQ&#10;VOihqUKOw+40Cc3OxuzYxn/vHgSPj/e9XI++U2caYhvYwO0sA0Vsg2u5NvBxeL5ZgIqC7LALTAZ+&#10;KMJ6NblaYuHChfd0LqVWKYRjgQYakb7QOtqGPMZZ6IkTdwyDR0lwqLUb8JLCfafvsmyuPbacGhrs&#10;6akheyq/vQFrH/j+S96qalvmL5+747tUJzTmejpuHkEJjfIv/nO/OgN5nuanM+kI6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vBvTDAAAA3AAAAA8AAAAAAAAAAAAA&#10;AAAAoQIAAGRycy9kb3ducmV2LnhtbFBLBQYAAAAABAAEAPkAAACRAwAAAAA=&#10;" strokecolor="#4f81bd [3204]" strokeweight="2pt">
                <v:stroke endarrow="open"/>
                <v:shadow on="t" opacity="24903f" origin=",.5" offset="0,.55556mm"/>
              </v:shape>
              <v:shape id="Straight Arrow Connector 162" o:spid="_x0000_s1086" type="#_x0000_t32" style="position:absolute;left:6618;top:8213;width:0;height:108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Ojb8UAAADcAAAADwAAAGRycy9kb3ducmV2LnhtbESPQUvDQBSE70L/w/IEb3ZTo0Vit6UK&#10;igo9NLaQ42P3NQnNvo3ZZxv/vSsIHoeZ+YZZrEbfqRMNsQ1sYDbNQBHb4FquDew+nq/vQUVBdtgF&#10;JgPfFGG1nFwssHDhzFs6lVKrBOFYoIFGpC+0jrYhj3EaeuLkHcLgUZIcau0GPCe47/RNls21x5bT&#10;QoM9PTVkj+WXN2DtHd9+yltVPZb5y35zeJfqiMZcXY7rB1BCo/yH/9qvzkCez+D3TDoCev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Ojb8UAAADcAAAADwAAAAAAAAAA&#10;AAAAAAChAgAAZHJzL2Rvd25yZXYueG1sUEsFBgAAAAAEAAQA+QAAAJMDAAAAAA==&#10;" strokecolor="#4f81bd [3204]" strokeweight="2pt">
                <v:stroke endarrow="open"/>
                <v:shadow on="t" opacity="24903f" origin=",.5" offset="0,.55556mm"/>
              </v:shape>
              <v:shape id="Straight Arrow Connector 163" o:spid="_x0000_s1087" type="#_x0000_t32" style="position:absolute;left:7246;top:10494;width:0;height:38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sC8UAAADcAAAADwAAAGRycy9kb3ducmV2LnhtbESPQWvCQBSE7wX/w/KE3uqmCbQlukoR&#10;pAVRNA2U3h7ZZxLMvl2yW03+fVcQehxm5htmsRpMJy7U+9aygudZAoK4srrlWkH5tXl6A+EDssbO&#10;MikYycNqOXlYYK7tlY90KUItIoR9jgqaEFwupa8aMuhn1hFH72R7gyHKvpa6x2uEm06mSfIiDbYc&#10;Fxp0tG6oOhe/RkHxOh52LtvLsT6n4Web8Icrv5V6nA7vcxCBhvAfvrc/tYIsS+F2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sC8UAAADcAAAADwAAAAAAAAAA&#10;AAAAAAChAgAAZHJzL2Rvd25yZXYueG1sUEsFBgAAAAAEAAQA+QAAAJMDAAAAAA==&#10;" strokecolor="#9bbb59 [3206]" strokeweight="2pt">
                <v:stroke endarrow="open"/>
                <v:shadow on="t" opacity="24903f" origin=",.5" offset="0,.55556mm"/>
              </v:shape>
              <v:shape id="Straight Arrow Connector 164" o:spid="_x0000_s1088" type="#_x0000_t32" style="position:absolute;left:6618;top:10494;width:0;height:38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2Yg8UAAADcAAAADwAAAGRycy9kb3ducmV2LnhtbESPQUvDQBSE74L/YXmCN7vRVJHYbVHB&#10;0hY8GBVyfOy+JqHZtzH72qb/visIHoeZ+YaZLUbfqQMNsQ1s4HaSgSK2wbVcG/j6fLt5BBUF2WEX&#10;mAycKMJifnkxw8KFI3/QoZRaJQjHAg00In2hdbQNeYyT0BMnbxsGj5LkUGs34DHBfafvsuxBe2w5&#10;LTTY02tDdlfuvQFr73n6I+uqeinz5ff7diPVDo25vhqfn0AJjfIf/muvnIE8z+H3TDoCen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z2Yg8UAAADcAAAADwAAAAAAAAAA&#10;AAAAAAChAgAAZHJzL2Rvd25yZXYueG1sUEsFBgAAAAAEAAQA+QAAAJMDAAAAAA==&#10;" strokecolor="#4f81bd [3204]" strokeweight="2pt">
                <v:stroke endarrow="open"/>
                <v:shadow on="t" opacity="24903f" origin=",.5" offset="0,.55556mm"/>
              </v:shape>
              <v:shape id="Straight Arrow Connector 165" o:spid="_x0000_s1089" type="#_x0000_t32" style="position:absolute;left:7235;top:11250;width:0;height:2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UR5MUAAADcAAAADwAAAGRycy9kb3ducmV2LnhtbESPQWvCQBSE74X+h+UVvOmmRlqJrlIK&#10;oiCWNhXE2yP7mgSzb5fsqsm/dwWhx2FmvmHmy8404kKtry0reB0lIIgLq2suFex/V8MpCB+QNTaW&#10;SUFPHpaL56c5Ztpe+YcueShFhLDPUEEVgsuk9EVFBv3IOuLo/dnWYIiyLaVu8RrhppHjJHmTBmuO&#10;CxU6+qyoOOVnoyB/7793Lv2SfXkah+M24bXbH5QavHQfMxCBuvAffrQ3WkGaTuB+Jh4B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UR5MUAAADcAAAADwAAAAAAAAAA&#10;AAAAAAChAgAAZHJzL2Rvd25yZXYueG1sUEsFBgAAAAAEAAQA+QAAAJMDAAAAAA==&#10;" strokecolor="#9bbb59 [3206]" strokeweight="2pt">
                <v:stroke endarrow="open"/>
                <v:shadow on="t" opacity="24903f" origin=",.5" offset="0,.55556mm"/>
              </v:shape>
              <v:shape id="Straight Arrow Connector 166" o:spid="_x0000_s1090" type="#_x0000_t32" style="position:absolute;left:6618;top:11250;width:0;height:25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ilbMUAAADcAAAADwAAAGRycy9kb3ducmV2LnhtbESPQUvDQBSE70L/w/IK3uxGY4vEbosK&#10;igo9NLaQ42P3NQnNvo3ZZxv/vSsIHoeZ+YZZrkffqRMNsQ1s4HqWgSK2wbVcG9h9PF/dgYqC7LAL&#10;TAa+KcJ6NblYYuHCmbd0KqVWCcKxQAONSF9oHW1DHuMs9MTJO4TBoyQ51NoNeE5w3+mbLFtojy2n&#10;hQZ7emrIHssvb8DaOd9+yltVPZb5y35zeJfqiMZcTseHe1BCo/yH/9qvzkCez+H3TDoCe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5ilbMUAAADcAAAADwAAAAAAAAAA&#10;AAAAAAChAgAAZHJzL2Rvd25yZXYueG1sUEsFBgAAAAAEAAQA+QAAAJMDAAAAAA==&#10;" strokecolor="#4f81bd [3204]" strokeweight="2pt">
                <v:stroke endarrow="open"/>
                <v:shadow on="t" opacity="24903f" origin=",.5" offset="0,.55556mm"/>
              </v:shape>
              <v:shape id="Straight Arrow Connector 167" o:spid="_x0000_s1091" type="#_x0000_t32" style="position:absolute;left:7235;top:8213;width:0;height:108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sqCMUAAADcAAAADwAAAGRycy9kb3ducmV2LnhtbESPQWvCQBSE74L/YXlCb3WjAVuiq4hQ&#10;KpQWGwXx9sg+k2D27ZJdNfn33YLgcZiZb5jFqjONuFHra8sKJuMEBHFhdc2lgsP+4/UdhA/IGhvL&#10;pKAnD6vlcLDATNs7/9ItD6WIEPYZKqhCcJmUvqjIoB9bRxy9s20NhijbUuoW7xFuGjlNkpk0WHNc&#10;qNDRpqLikl+Ngvyt33279Ef25WUaTl8Jf7rDUamXUbeegwjUhWf40d5qBWk6g/8z8Qj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sqCMUAAADcAAAADwAAAAAAAAAA&#10;AAAAAAChAgAAZHJzL2Rvd25yZXYueG1sUEsFBgAAAAAEAAQA+QAAAJMDAAAAAA==&#10;" strokecolor="#9bbb59 [3206]" strokeweight="2pt">
                <v:stroke endarrow="open"/>
                <v:shadow on="t" opacity="24903f" origin=",.5" offset="0,.55556mm"/>
              </v:shape>
              <v:shape id="Straight Arrow Connector 168" o:spid="_x0000_s1092" type="#_x0000_t32" style="position:absolute;left:9379;top:7558;width:0;height:228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aegMUAAADcAAAADwAAAGRycy9kb3ducmV2LnhtbESPQUvDQBSE74L/YXmCN7ux0Sqx21IF&#10;RQs9mFbI8bH7moRm38bss43/3hUEj8PMfMPMl6Pv1JGG2AY2cD3JQBHb4FquDey2z1f3oKIgO+wC&#10;k4FvirBcnJ/NsXDhxO90LKVWCcKxQAONSF9oHW1DHuMk9MTJ24fBoyQ51NoNeEpw3+lpls20x5bT&#10;QoM9PTVkD+WXN2DtLd98yltVPZb5y8dmv5bqgMZcXoyrB1BCo/yH/9qvzkCe38HvmXQE9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AaegMUAAADcAAAADwAAAAAAAAAA&#10;AAAAAAChAgAAZHJzL2Rvd25yZXYueG1sUEsFBgAAAAAEAAQA+QAAAJMDAAAAAA==&#10;" strokecolor="#4f81bd [3204]" strokeweight="2pt">
                <v:stroke endarrow="open"/>
                <v:shadow on="t" opacity="24903f" origin=",.5" offset="0,.55556mm"/>
              </v:shape>
              <v:shape id="Straight Arrow Connector 169" o:spid="_x0000_s1093" type="#_x0000_t32" style="position:absolute;left:9996;top:7588;width:0;height:228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gb4cMAAADcAAAADwAAAGRycy9kb3ducmV2LnhtbERPXWvCMBR9H+w/hDvY20xnYZNqWmQg&#10;DsbGrAXx7dJc22JzE5pM23+/PAg+Hs73qhhNLy40+M6ygtdZAoK4trrjRkG137wsQPiArLG3TAom&#10;8lDkjw8rzLS98o4uZWhEDGGfoYI2BJdJ6euWDPqZdcSRO9nBYIhwaKQe8BrDTS/nSfImDXYcG1p0&#10;9NFSfS7/jILyffr9dumPnJrzPBy/Et666qDU89O4XoIINIa7+Ob+1ArSNK6NZ+IRk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yIG+HDAAAA3AAAAA8AAAAAAAAAAAAA&#10;AAAAoQIAAGRycy9kb3ducmV2LnhtbFBLBQYAAAAABAAEAPkAAACRAwAAAAA=&#10;" strokecolor="#9bbb59 [3206]" strokeweight="2pt">
                <v:stroke endarrow="open"/>
                <v:shadow on="t" opacity="24903f" origin=",.5" offset="0,.55556mm"/>
              </v:shape>
              <v:shape id="Straight Arrow Connector 170" o:spid="_x0000_s1094" type="#_x0000_t32" style="position:absolute;left:9379;top:10195;width:0;height:7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WvacUAAADcAAAADwAAAGRycy9kb3ducmV2LnhtbESPQUvDQBSE74L/YXmCN7ux0aKx21IF&#10;RQs9mFbI8bH7moRm38bss43/3hUEj8PMfMPMl6Pv1JGG2AY2cD3JQBHb4FquDey2z1d3oKIgO+wC&#10;k4FvirBcnJ/NsXDhxO90LKVWCcKxQAONSF9oHW1DHuMk9MTJ24fBoyQ51NoNeEpw3+lpls20x5bT&#10;QoM9PTVkD+WXN2DtLd98yltVPZb5y8dmv5bqgMZcXoyrB1BCo/yH/9qvzkCe38PvmXQE9O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WvacUAAADcAAAADwAAAAAAAAAA&#10;AAAAAAChAgAAZHJzL2Rvd25yZXYueG1sUEsFBgAAAAAEAAQA+QAAAJMDAAAAAA==&#10;" strokecolor="#4f81bd [3204]" strokeweight="2pt">
                <v:stroke endarrow="open"/>
                <v:shadow on="t" opacity="24903f" origin=",.5" offset="0,.55556mm"/>
              </v:shape>
              <v:shape id="Straight Arrow Connector 171" o:spid="_x0000_s1095" type="#_x0000_t32" style="position:absolute;left:9996;top:10195;width:0;height:76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hkmsMAAADcAAAADwAAAGRycy9kb3ducmV2LnhtbERPXWvCMBR9F/Yfwh34ZtPVoaMzliGI&#10;g7GhnSC+XZq7ttjchCbT9t8vDwMfD+d7VQymE1fqfWtZwVOSgiCurG65VnD83s5eQPiArLGzTApG&#10;8lCsHyYrzLW98YGuZahFDGGfo4ImBJdL6auGDPrEOuLI/djeYIiwr6Xu8RbDTSezNF1Igy3HhgYd&#10;bRqqLuWvUVAux/2nm3/Jsb5k4fyR8s4dT0pNH4e3VxCBhnAX/7vftYL5c5wfz8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4ZJrDAAAA3AAAAA8AAAAAAAAAAAAA&#10;AAAAoQIAAGRycy9kb3ducmV2LnhtbFBLBQYAAAAABAAEAPkAAACRAwAAAAA=&#10;" strokecolor="#9bbb59 [3206]" strokeweight="2pt">
                <v:stroke endarrow="open"/>
                <v:shadow on="t" opacity="24903f" origin=",.5" offset="0,.55556mm"/>
              </v:shape>
              <v:shape id="Straight Arrow Connector 172" o:spid="_x0000_s1096" type="#_x0000_t32" style="position:absolute;left:8630;top:11123;width:451;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WlQ8YAAADcAAAADwAAAGRycy9kb3ducmV2LnhtbESPT2vCQBTE7wW/w/IEL6VuoiI2dQ2l&#10;VPBgsf6h50f2mQ1m36bZ1cRv3y0Uehxm5jfMMu9tLW7U+sqxgnScgCAunK64VHA6rp8WIHxA1lg7&#10;JgV38pCvBg9LzLTreE+3QyhFhLDPUIEJocmk9IUhi37sGuLonV1rMUTZllK32EW4reUkSebSYsVx&#10;wWBDb4aKy+FqFXx/Pn7Mt++n7dexMsWGdq557mZKjYb96wuIQH34D/+1N1rBdJb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1pUPGAAAA3AAAAA8AAAAAAAAA&#10;AAAAAAAAoQIAAGRycy9kb3ducmV2LnhtbFBLBQYAAAAABAAEAPkAAACUAwAAAAA=&#10;" strokecolor="#c0504d [3205]" strokeweight="2pt">
                <v:stroke endarrow="open"/>
                <v:shadow on="t" opacity="24903f" origin=",.5" offset="0,.55556mm"/>
              </v:shape>
              <v:shape id="Straight Arrow Connector 173" o:spid="_x0000_s1097" type="#_x0000_t32" style="position:absolute;left:6074;top:7373;width:892;height:325;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e0jcIAAADcAAAADwAAAGRycy9kb3ducmV2LnhtbESPQYvCMBSE7wv+h/AEb2uqFpFqFF1Y&#10;8Sargtdn82yKzUttorb/3iws7HGYmW+Yxaq1lXhS40vHCkbDBARx7nTJhYLT8ftzBsIHZI2VY1LQ&#10;kYfVsvexwEy7F//Q8xAKESHsM1RgQqgzKX1uyKIfupo4elfXWAxRNoXUDb4i3FZynCRTabHkuGCw&#10;pi9D+e3wsAou/p52p23a6d2ej+fN1CQjbZQa9Nv1HESgNvyH/9o7rWCSjuH3TDwCcvk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xe0jcIAAADcAAAADwAAAAAAAAAAAAAA&#10;AAChAgAAZHJzL2Rvd25yZXYueG1sUEsFBgAAAAAEAAQA+QAAAJADAAAAAA==&#10;" strokecolor="#4f81bd [3204]" strokeweight="2pt">
                <v:stroke endarrow="open"/>
                <v:shadow on="t" opacity="24903f" origin=",.5" offset="0,.55556mm"/>
              </v:shape>
              <v:shape id="Straight Arrow Connector 174" o:spid="_x0000_s1098" type="#_x0000_t32" style="position:absolute;left:6966;top:7373;width:905;height:32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vr/sUAAADcAAAADwAAAGRycy9kb3ducmV2LnhtbESPQUvDQBSE70L/w/IK3uxGU4vEbosK&#10;igo9NLaQ42P3NQnNvo3ZZxv/vSsIHoeZ+YZZrkffqRMNsQ1s4HqWgSK2wbVcG9h9PF/dgYqC7LAL&#10;TAa+KcJ6NblYYuHCmbd0KqVWCcKxQAONSF9oHW1DHuMs9MTJO4TBoyQ51NoNeE5w3+mbLFtojy2n&#10;hQZ7emrIHssvb8DaW55/yltVPZb5y35zeJfqiMZcTseHe1BCo/yH/9qvzkA+z+H3TDoCe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vr/sUAAADcAAAADwAAAAAAAAAA&#10;AAAAAAChAgAAZHJzL2Rvd25yZXYueG1sUEsFBgAAAAAEAAQA+QAAAJMDAAAAAA==&#10;" strokecolor="#4f81bd [3204]" strokeweight="2pt">
                <v:stroke endarrow="open"/>
                <v:shadow on="t" opacity="24903f" origin=",.5" offset="0,.55556mm"/>
              </v:shape>
              <v:shape id="Straight Arrow Connector 175" o:spid="_x0000_s1099" type="#_x0000_t32" style="position:absolute;left:4813;top:8701;width:748;height:89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vZw8YAAADcAAAADwAAAGRycy9kb3ducmV2LnhtbESP3WoCMRSE7wu+QzhC72rWrVTdGkVL&#10;CwqC+EOvD8np7tLNyZKk7rZPbwqFXg4z8w2zWPW2EVfyoXasYDzKQBBrZ2ouFVzObw8zECEiG2wc&#10;k4JvCrBaDu4WWBjX8ZGup1iKBOFQoIIqxraQMuiKLIaRa4mT9+G8xZikL6Xx2CW4bWSeZU/SYs1p&#10;ocKWXirSn6cvq0BP89eDf5/vtrnftJ3exJ99PVfqftivn0FE6uN/+K+9NQoeJxP4PZOO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b2cPGAAAA3AAAAA8AAAAAAAAA&#10;AAAAAAAAoQIAAGRycy9kb3ducmV2LnhtbFBLBQYAAAAABAAEAPkAAACUAwAAAAA=&#10;" strokecolor="#c0504d [3205]" strokeweight="2pt">
                <v:stroke endarrow="open"/>
                <v:shadow on="t" opacity="24903f" origin=",.5" offset="0,.55556mm"/>
              </v:shape>
              <v:shape id="Straight Arrow Connector 176" o:spid="_x0000_s1100" type="#_x0000_t32" style="position:absolute;left:4813;top:8701;width:748;height:237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d8WMYAAADcAAAADwAAAGRycy9kb3ducmV2LnhtbESPQWsCMRSE7wX/Q3hCbzXbba26GqWW&#10;FhQKpSqeH8nr7tLNy5Kk7tZfb4RCj8PMfMMsVr1txIl8qB0ruB9lIIi1MzWXCg77t7spiBCRDTaO&#10;ScEvBVgtBzcLLIzr+JNOu1iKBOFQoIIqxraQMuiKLIaRa4mT9+W8xZikL6Xx2CW4bWSeZU/SYs1p&#10;ocKWXirS37sfq0BP8tcPf5xtN7lft51ex/N7PVPqdtg/z0FE6uN/+K+9MQoeHsdwPZOOgFx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XfFjGAAAA3AAAAA8AAAAAAAAA&#10;AAAAAAAAoQIAAGRycy9kb3ducmV2LnhtbFBLBQYAAAAABAAEAPkAAACUAwAAAAA=&#10;" strokecolor="#c0504d [3205]" strokeweight="2pt">
                <v:stroke endarrow="open"/>
                <v:shadow on="t" opacity="24903f" origin=",.5" offset="0,.55556mm"/>
              </v:shape>
              <v:shape id="Straight Arrow Connector 177" o:spid="_x0000_s1101" type="#_x0000_t32" style="position:absolute;left:4814;top:8701;width:632;height:29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XiL8UAAADcAAAADwAAAGRycy9kb3ducmV2LnhtbESPQWsCMRSE7wX/Q3hCbzXrVrRujaJF&#10;wYIgtaXnR/K6u3TzsiSpu/rrTaHQ4zAz3zCLVW8bcSYfascKxqMMBLF2puZSwcf77uEJRIjIBhvH&#10;pOBCAVbLwd0CC+M6fqPzKZYiQTgUqKCKsS2kDLoii2HkWuLkfTlvMSbpS2k8dgluG5ln2VRarDkt&#10;VNjSS0X6+/RjFehZvj36z/nrPvebttObeD3Uc6Xuh/36GUSkPv6H/9p7o+BxMoXfM+kI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XiL8UAAADcAAAADwAAAAAAAAAA&#10;AAAAAAChAgAAZHJzL2Rvd25yZXYueG1sUEsFBgAAAAAEAAQA+QAAAJMDAAAAAA==&#10;" strokecolor="#c0504d [3205]" strokeweight="2pt">
                <v:stroke endarrow="open"/>
                <v:shadow on="t" opacity="24903f" origin=",.5" offset="0,.55556mm"/>
              </v:shape>
              <v:rect id="Rectangle 178" o:spid="_x0000_s1102" style="position:absolute;left:2970;top:12103;width:7237;height:3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q9sQA&#10;AADcAAAADwAAAGRycy9kb3ducmV2LnhtbESPQWvCQBSE74L/YXlCb2bTVrREVwlFix41QvH2zL4m&#10;abNvQ3Yb4793BcHjMDPfMItVb2rRUesqywpeoxgEcW51xYWCY7YZf4BwHlljbZkUXMnBajkcLDDR&#10;9sJ76g6+EAHCLkEFpfdNIqXLSzLoItsQB+/HtgZ9kG0hdYuXADe1fIvjqTRYcVgosaHPkvK/w79R&#10;4M7dLrs26ffvyeXndM0mm+y+lHoZ9ekchKfeP8OP9lYreJ/M4H4mHA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ZavbEAAAA3AAAAA8AAAAAAAAAAAAAAAAAmAIAAGRycy9k&#10;b3ducmV2LnhtbFBLBQYAAAAABAAEAPUAAACJAwAAAAA=&#10;" filled="f" stroked="f" strokeweight="2pt">
                <v:textbox style="mso-next-textbox:#Rectangle 178">
                  <w:txbxContent>
                    <w:p w:rsidR="009D3B38" w:rsidRPr="00432C24" w:rsidRDefault="009D3B38" w:rsidP="00A356FA">
                      <w:pPr>
                        <w:pStyle w:val="NormalWeb"/>
                        <w:spacing w:before="0" w:beforeAutospacing="0" w:after="0" w:afterAutospacing="0"/>
                        <w:jc w:val="center"/>
                        <w:rPr>
                          <w:sz w:val="18"/>
                          <w:szCs w:val="18"/>
                        </w:rPr>
                      </w:pPr>
                      <w:r>
                        <w:rPr>
                          <w:rFonts w:asciiTheme="minorHAnsi" w:hAnsi="Cambria" w:cstheme="minorBidi"/>
                          <w:color w:val="000000" w:themeColor="dark1"/>
                          <w:kern w:val="24"/>
                          <w:sz w:val="18"/>
                          <w:szCs w:val="18"/>
                        </w:rPr>
                        <w:t>S</w:t>
                      </w:r>
                      <w:r w:rsidRPr="00432C24">
                        <w:rPr>
                          <w:rFonts w:asciiTheme="minorHAnsi" w:hAnsi="Cambria" w:cstheme="minorBidi"/>
                          <w:color w:val="000000" w:themeColor="dark1"/>
                          <w:kern w:val="24"/>
                          <w:sz w:val="18"/>
                          <w:szCs w:val="18"/>
                        </w:rPr>
                        <w:t>urveyors (amin) only exist where survey is taking place, not in all locations</w:t>
                      </w:r>
                    </w:p>
                    <w:p w:rsidR="009D3B38" w:rsidRDefault="009D3B38"/>
                    <w:p w:rsidR="009D3B38" w:rsidRDefault="009D3B38">
                      <w:r w:rsidRPr="00432C24">
                        <w:rPr>
                          <w:rFonts w:asciiTheme="minorHAnsi" w:hAnsi="Cambria"/>
                          <w:color w:val="000000" w:themeColor="dark1"/>
                          <w:kern w:val="24"/>
                          <w:sz w:val="18"/>
                          <w:szCs w:val="21"/>
                        </w:rPr>
                        <w:t>Repo</w:t>
                      </w:r>
                    </w:p>
                  </w:txbxContent>
                </v:textbox>
              </v:rect>
              <v:shape id="Straight Arrow Connector 179" o:spid="_x0000_s1103" type="#_x0000_t32" style="position:absolute;left:4299;top:12845;width:46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wKxsIAAADcAAAADwAAAGRycy9kb3ducmV2LnhtbERPy2oCMRTdF/yHcIXuakZbZBiN4gOl&#10;lG58LHR3mVwng8nNMIk67dc3i4LLw3lP552z4k5tqD0rGA4yEMSl1zVXCo6HzVsOIkRkjdYzKfih&#10;APNZ72WKhfYP3tF9HyuRQjgUqMDE2BRShtKQwzDwDXHiLr51GBNsK6lbfKRwZ+Uoy8bSYc2pwWBD&#10;K0PldX9zCra8DqjN2eeH0/fvcpuPre2+lHrtd4sJiEhdfIr/3Z9awftHWpvOpCMgZ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wwKxsIAAADcAAAADwAAAAAAAAAAAAAA&#10;AAChAgAAZHJzL2Rvd25yZXYueG1sUEsFBgAAAAAEAAQA+QAAAJADAAAAAA==&#10;" strokecolor="#4f81bd [3204]" strokeweight="2pt">
                <v:stroke endarrow="open"/>
                <v:shadow on="t" opacity="24903f" origin=",.5" offset="0,.55556mm"/>
              </v:shape>
              <v:shape id="Straight Arrow Connector 180" o:spid="_x0000_s1104" type="#_x0000_t32" style="position:absolute;left:6771;top:12860;width:46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LNB8YAAADcAAAADwAAAGRycy9kb3ducmV2LnhtbESPQWvCQBSE70L/w/IKvZlNtdiaukop&#10;FIWitFEQb4/saxLMvl2yW03+vSsIHoeZ+YaZLTrTiBO1vras4DlJQRAXVtdcKthtv4ZvIHxA1thY&#10;JgU9eVjMHwYzzLQ98y+d8lCKCGGfoYIqBJdJ6YuKDPrEOuLo/dnWYIiyLaVu8RzhppGjNJ1IgzXH&#10;hQodfVZUHPN/oyB/7X/WbryRfXkchcN3yku32yv19Nh9vIMI1IV7+NZeaQXjlylcz8QjIO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CzQfGAAAA3AAAAA8AAAAAAAAA&#10;AAAAAAAAoQIAAGRycy9kb3ducmV2LnhtbFBLBQYAAAAABAAEAPkAAACUAwAAAAA=&#10;" strokecolor="#9bbb59 [3206]" strokeweight="2pt">
                <v:stroke endarrow="open"/>
                <v:shadow on="t" opacity="24903f" origin=",.5" offset="0,.55556mm"/>
              </v:shape>
              <v:shape id="Straight Arrow Connector 181" o:spid="_x0000_s1105" type="#_x0000_t32" style="position:absolute;left:9874;top:12905;width:46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lJHcIAAADcAAAADwAAAGRycy9kb3ducmV2LnhtbERPXWvCMBR9H+w/hCvsbaZWprMzypQN&#10;FASZyp4vybUtNjclyWznrzcPgz0ezvd82dtGXMmH2rGC0TADQaydqblUcDp+Pr+CCBHZYOOYFPxS&#10;gOXi8WGOhXEdf9H1EEuRQjgUqKCKsS2kDLoii2HoWuLEnZ23GBP0pTQeuxRuG5ln2URarDk1VNjS&#10;uiJ9OfxYBXqaf+z992y7yf2q7fQq3nb1TKmnQf/+BiJSH//Ff+6NUTB+SfPTmXQE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blJHcIAAADcAAAADwAAAAAAAAAAAAAA&#10;AAChAgAAZHJzL2Rvd25yZXYueG1sUEsFBgAAAAAEAAQA+QAAAJADAAAAAA==&#10;" strokecolor="#c0504d [3205]" strokeweight="2pt">
                <v:stroke endarrow="open"/>
                <v:shadow on="t" opacity="24903f" origin=",.5" offset="0,.55556mm"/>
              </v:shape>
              <v:rect id="Rectangle 182" o:spid="_x0000_s1106" style="position:absolute;left:3032;top:12681;width:1229;height:3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XBxMUA&#10;AADcAAAADwAAAGRycy9kb3ducmV2LnhtbESPQWvCQBSE7wX/w/IKvTWbWJUS3UgQW+qxRijentnX&#10;JG32bchuY/z3bkHwOMzMN8xqPZpWDNS7xrKCJIpBEJdWN1wpOBRvz68gnEfW2FomBRdysM4mDytM&#10;tT3zJw17X4kAYZeigtr7LpXSlTUZdJHtiIP3bXuDPsi+krrHc4CbVk7jeCENNhwWauxoU1P5u/8z&#10;Ctxp2BWXLv/6ObrylG/ZFLPdu1JPj2O+BOFp9Pfwrf2hFbzME/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cHExQAAANwAAAAPAAAAAAAAAAAAAAAAAJgCAABkcnMv&#10;ZG93bnJldi54bWxQSwUGAAAAAAQABAD1AAAAigMAAAAA&#10;" filled="f" stroked="f" strokeweight="2pt">
                <v:textbox style="mso-next-textbox:#Rectangle 182">
                  <w:txbxContent>
                    <w:p w:rsidR="009D3B38" w:rsidRPr="00432C24" w:rsidRDefault="009D3B38" w:rsidP="00A356FA">
                      <w:pPr>
                        <w:pStyle w:val="NormalWeb"/>
                        <w:spacing w:before="0" w:beforeAutospacing="0" w:after="0" w:afterAutospacing="0"/>
                        <w:jc w:val="center"/>
                        <w:rPr>
                          <w:sz w:val="20"/>
                        </w:rPr>
                      </w:pPr>
                      <w:r w:rsidRPr="00432C24">
                        <w:rPr>
                          <w:rFonts w:asciiTheme="minorHAnsi" w:hAnsi="Cambria" w:cstheme="minorBidi"/>
                          <w:color w:val="000000" w:themeColor="dark1"/>
                          <w:kern w:val="24"/>
                          <w:sz w:val="18"/>
                          <w:szCs w:val="21"/>
                        </w:rPr>
                        <w:t>Reporting</w:t>
                      </w:r>
                    </w:p>
                    <w:p w:rsidR="009D3B38" w:rsidRDefault="009D3B38"/>
                    <w:p w:rsidR="009D3B38" w:rsidRDefault="009D3B38">
                      <w:r w:rsidRPr="00432C24">
                        <w:rPr>
                          <w:rFonts w:asciiTheme="minorHAnsi" w:hAnsi="Cambria"/>
                          <w:color w:val="000000" w:themeColor="dark1"/>
                          <w:kern w:val="24"/>
                          <w:sz w:val="18"/>
                          <w:szCs w:val="21"/>
                        </w:rPr>
                        <w:t>Supe</w:t>
                      </w:r>
                    </w:p>
                  </w:txbxContent>
                </v:textbox>
              </v:rect>
              <v:rect id="Rectangle 183" o:spid="_x0000_s1107" style="position:absolute;left:5224;top:12696;width:1510;height:35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s8UA&#10;AADcAAAADwAAAGRycy9kb3ducmV2LnhtbESPQWvCQBSE74X+h+UVvDUbbS0luglBrOixplC8PbOv&#10;SWr2bciuMf77bkHwOMzMN8wyG00rBupdY1nBNIpBEJdWN1wp+Co+nt9BOI+ssbVMCq7kIEsfH5aY&#10;aHvhTxr2vhIBwi5BBbX3XSKlK2sy6CLbEQfvx/YGfZB9JXWPlwA3rZzF8Zs02HBYqLGjVU3laX82&#10;Ctxx2BXXLv/+PbjymK/ZFK+7jVKTpzFfgPA0+nv41t5qBS/zGfyf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1+zxQAAANwAAAAPAAAAAAAAAAAAAAAAAJgCAABkcnMv&#10;ZG93bnJldi54bWxQSwUGAAAAAAQABAD1AAAAigMAAAAA&#10;" filled="f" stroked="f" strokeweight="2pt">
                <v:textbox style="mso-next-textbox:#Rectangle 183">
                  <w:txbxContent>
                    <w:p w:rsidR="009D3B38" w:rsidRPr="00432C24" w:rsidRDefault="009D3B38" w:rsidP="00A356FA">
                      <w:pPr>
                        <w:pStyle w:val="NormalWeb"/>
                        <w:spacing w:before="0" w:beforeAutospacing="0" w:after="0" w:afterAutospacing="0"/>
                        <w:jc w:val="center"/>
                        <w:rPr>
                          <w:sz w:val="20"/>
                        </w:rPr>
                      </w:pPr>
                      <w:r w:rsidRPr="00432C24">
                        <w:rPr>
                          <w:rFonts w:asciiTheme="minorHAnsi" w:hAnsi="Cambria" w:cstheme="minorBidi"/>
                          <w:color w:val="000000" w:themeColor="dark1"/>
                          <w:kern w:val="24"/>
                          <w:sz w:val="18"/>
                          <w:szCs w:val="21"/>
                        </w:rPr>
                        <w:t>Revision</w:t>
                      </w:r>
                    </w:p>
                    <w:p w:rsidR="009D3B38" w:rsidRDefault="009D3B38"/>
                    <w:p w:rsidR="009D3B38" w:rsidRDefault="009D3B38">
                      <w:r w:rsidRPr="00432C24">
                        <w:rPr>
                          <w:rFonts w:asciiTheme="minorHAnsi" w:hAnsi="Cambria"/>
                          <w:color w:val="000000" w:themeColor="dark1"/>
                          <w:kern w:val="24"/>
                          <w:sz w:val="18"/>
                          <w:szCs w:val="21"/>
                        </w:rPr>
                        <w:t>Info</w:t>
                      </w:r>
                    </w:p>
                  </w:txbxContent>
                </v:textbox>
              </v:rect>
              <v:rect id="Rectangle 184" o:spid="_x0000_s1108" style="position:absolute;left:8607;top:12741;width:1229;height:3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v6KMUA&#10;AADcAAAADwAAAGRycy9kb3ducmV2LnhtbESPQWvCQBSE70L/w/IKvZmNWkuJbkIQLfVYUyjentnX&#10;JDX7NmS3Mf77bkHwOMzMN8w6G00rBupdY1nBLIpBEJdWN1wp+Cx201cQziNrbC2Tgis5yNKHyRoT&#10;bS/8QcPBVyJA2CWooPa+S6R0ZU0GXWQ74uB9296gD7KvpO7xEuCmlfM4fpEGGw4LNXa0qak8H36N&#10;Anca9sW1y79+jq485Vs2xfP+TamnxzFfgfA0+nv41n7XChbLBfyf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oxQAAANwAAAAPAAAAAAAAAAAAAAAAAJgCAABkcnMv&#10;ZG93bnJldi54bWxQSwUGAAAAAAQABAD1AAAAigMAAAAA&#10;" filled="f" stroked="f" strokeweight="2pt">
                <v:textbox style="mso-next-textbox:#Rectangle 184">
                  <w:txbxContent>
                    <w:p w:rsidR="009D3B38" w:rsidRPr="00432C24" w:rsidRDefault="009D3B38" w:rsidP="00E860C3">
                      <w:pPr>
                        <w:pStyle w:val="NormalWeb"/>
                        <w:spacing w:before="0" w:beforeAutospacing="0" w:after="0" w:afterAutospacing="0"/>
                        <w:rPr>
                          <w:sz w:val="20"/>
                        </w:rPr>
                      </w:pPr>
                      <w:r>
                        <w:rPr>
                          <w:rFonts w:asciiTheme="minorHAnsi" w:hAnsi="Cambria" w:cstheme="minorBidi"/>
                          <w:color w:val="000000" w:themeColor="dark1"/>
                          <w:kern w:val="24"/>
                          <w:sz w:val="18"/>
                          <w:szCs w:val="21"/>
                        </w:rPr>
                        <w:t>Recording</w:t>
                      </w:r>
                    </w:p>
                    <w:p w:rsidR="009D3B38" w:rsidRDefault="009D3B38"/>
                    <w:p w:rsidR="009D3B38" w:rsidRDefault="009D3B38">
                      <w:r w:rsidRPr="00AD57B4">
                        <w:rPr>
                          <w:rFonts w:asciiTheme="minorHAnsi" w:hAnsi="Cambria"/>
                          <w:kern w:val="24"/>
                          <w:sz w:val="18"/>
                          <w:szCs w:val="26"/>
                        </w:rPr>
                        <w:t>1. N</w:t>
                      </w:r>
                    </w:p>
                  </w:txbxContent>
                </v:textbox>
              </v:rect>
            </v:group>
          </v:group>
        </w:pict>
      </w:r>
      <w:r w:rsidR="00A356FA" w:rsidRPr="00432C24">
        <w:rPr>
          <w:noProof/>
          <w:sz w:val="18"/>
          <w:lang w:val="en-AU" w:eastAsia="en-AU" w:bidi="bn-BD"/>
        </w:rPr>
        <w:drawing>
          <wp:inline distT="0" distB="0" distL="0" distR="0">
            <wp:extent cx="5486400" cy="4629150"/>
            <wp:effectExtent l="0" t="0" r="0" b="0"/>
            <wp:docPr id="136" name="t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34"/>
                    <a:stretch>
                      <a:fillRect/>
                    </a:stretch>
                  </pic:blipFill>
                  <pic:spPr>
                    <a:xfrm>
                      <a:off x="0" y="0"/>
                      <a:ext cx="5486400" cy="4629150"/>
                    </a:xfrm>
                    <a:prstGeom prst="rect">
                      <a:avLst/>
                    </a:prstGeom>
                  </pic:spPr>
                </pic:pic>
              </a:graphicData>
            </a:graphic>
          </wp:inline>
        </w:drawing>
      </w:r>
    </w:p>
    <w:p w:rsidR="00950E3B" w:rsidRPr="00950E3B" w:rsidRDefault="00950E3B" w:rsidP="00B26B78">
      <w:pPr>
        <w:spacing w:line="276" w:lineRule="auto"/>
        <w:rPr>
          <w:sz w:val="2"/>
        </w:rPr>
      </w:pPr>
    </w:p>
    <w:p w:rsidR="00000000" w:rsidRDefault="008A60C8" w:rsidP="003D5A31">
      <w:pPr>
        <w:pStyle w:val="BodyText"/>
        <w:numPr>
          <w:ilvl w:val="2"/>
          <w:numId w:val="150"/>
        </w:numPr>
        <w:spacing w:after="240" w:line="276" w:lineRule="auto"/>
        <w:jc w:val="both"/>
        <w:rPr>
          <w:rFonts w:cs="Times New Roman"/>
          <w:b/>
          <w:szCs w:val="24"/>
        </w:rPr>
      </w:pPr>
      <w:r w:rsidRPr="003D3798">
        <w:rPr>
          <w:rFonts w:cs="Times New Roman"/>
          <w:b/>
          <w:szCs w:val="24"/>
        </w:rPr>
        <w:t>Regulatory Maze Aggravated by Institutional Complexity</w:t>
      </w:r>
    </w:p>
    <w:p w:rsidR="009A719A" w:rsidRPr="008A60C8" w:rsidRDefault="008A60C8" w:rsidP="009A719A">
      <w:pPr>
        <w:spacing w:line="276" w:lineRule="auto"/>
        <w:ind w:right="50"/>
        <w:jc w:val="both"/>
        <w:rPr>
          <w:rFonts w:cs="Times New Roman"/>
        </w:rPr>
      </w:pPr>
      <w:r w:rsidRPr="004E1734">
        <w:rPr>
          <w:rFonts w:eastAsia="Arial" w:cs="Times New Roman"/>
        </w:rPr>
        <w:t>It is evident from t</w:t>
      </w:r>
      <w:r>
        <w:rPr>
          <w:rFonts w:eastAsia="Arial" w:cs="Times New Roman"/>
        </w:rPr>
        <w:t>he above schematic chart (Fig 7.6</w:t>
      </w:r>
      <w:r w:rsidRPr="004E1734">
        <w:rPr>
          <w:rFonts w:eastAsia="Arial" w:cs="Times New Roman"/>
        </w:rPr>
        <w:t>) that the land administration moves in a parallel way among three institutions – the Director of Surveys though the Settlement Officer, the Director of land records thorough Deputy Commissioner and Assistant Commissioner (AC Land), and Inspector General of Registration through the District Registrar and the Sub-Registrar.  Land related complications arise because the Land</w:t>
      </w:r>
      <w:r w:rsidRPr="004E1734">
        <w:rPr>
          <w:rFonts w:eastAsia="Arial" w:cs="Times New Roman"/>
          <w:spacing w:val="12"/>
        </w:rPr>
        <w:t xml:space="preserve"> </w:t>
      </w:r>
      <w:r w:rsidRPr="004E1734">
        <w:rPr>
          <w:rFonts w:eastAsia="Arial" w:cs="Times New Roman"/>
        </w:rPr>
        <w:t>r</w:t>
      </w:r>
      <w:r w:rsidRPr="004E1734">
        <w:rPr>
          <w:rFonts w:eastAsia="Arial" w:cs="Times New Roman"/>
          <w:spacing w:val="-1"/>
        </w:rPr>
        <w:t>ec</w:t>
      </w:r>
      <w:r w:rsidRPr="004E1734">
        <w:rPr>
          <w:rFonts w:eastAsia="Arial" w:cs="Times New Roman"/>
        </w:rPr>
        <w:t>or</w:t>
      </w:r>
      <w:r w:rsidRPr="004E1734">
        <w:rPr>
          <w:rFonts w:eastAsia="Arial" w:cs="Times New Roman"/>
          <w:spacing w:val="-1"/>
        </w:rPr>
        <w:t>d</w:t>
      </w:r>
      <w:r w:rsidRPr="004E1734">
        <w:rPr>
          <w:rFonts w:eastAsia="Arial" w:cs="Times New Roman"/>
        </w:rPr>
        <w:t>s</w:t>
      </w:r>
      <w:r w:rsidRPr="004E1734">
        <w:rPr>
          <w:rFonts w:eastAsia="Arial" w:cs="Times New Roman"/>
          <w:spacing w:val="18"/>
        </w:rPr>
        <w:t xml:space="preserve"> </w:t>
      </w:r>
      <w:r w:rsidRPr="004E1734">
        <w:rPr>
          <w:rFonts w:eastAsia="Arial" w:cs="Times New Roman"/>
        </w:rPr>
        <w:t>may</w:t>
      </w:r>
      <w:r w:rsidRPr="004E1734">
        <w:rPr>
          <w:rFonts w:eastAsia="Arial" w:cs="Times New Roman"/>
          <w:spacing w:val="13"/>
        </w:rPr>
        <w:t xml:space="preserve"> </w:t>
      </w:r>
      <w:r w:rsidRPr="004E1734">
        <w:rPr>
          <w:rFonts w:eastAsia="Arial" w:cs="Times New Roman"/>
          <w:spacing w:val="-1"/>
        </w:rPr>
        <w:t>b</w:t>
      </w:r>
      <w:r w:rsidRPr="004E1734">
        <w:rPr>
          <w:rFonts w:eastAsia="Arial" w:cs="Times New Roman"/>
        </w:rPr>
        <w:t>e</w:t>
      </w:r>
      <w:r w:rsidRPr="004E1734">
        <w:rPr>
          <w:rFonts w:eastAsia="Arial" w:cs="Times New Roman"/>
          <w:spacing w:val="8"/>
        </w:rPr>
        <w:t xml:space="preserve"> </w:t>
      </w:r>
      <w:r w:rsidRPr="004E1734">
        <w:rPr>
          <w:rFonts w:eastAsia="Arial" w:cs="Times New Roman"/>
          <w:spacing w:val="-1"/>
        </w:rPr>
        <w:t>u</w:t>
      </w:r>
      <w:r w:rsidRPr="004E1734">
        <w:rPr>
          <w:rFonts w:eastAsia="Arial" w:cs="Times New Roman"/>
        </w:rPr>
        <w:t>p</w:t>
      </w:r>
      <w:r w:rsidRPr="004E1734">
        <w:rPr>
          <w:rFonts w:eastAsia="Arial" w:cs="Times New Roman"/>
          <w:spacing w:val="-1"/>
        </w:rPr>
        <w:t>da</w:t>
      </w:r>
      <w:r w:rsidRPr="004E1734">
        <w:rPr>
          <w:rFonts w:eastAsia="Arial" w:cs="Times New Roman"/>
        </w:rPr>
        <w:t>te</w:t>
      </w:r>
      <w:r w:rsidRPr="004E1734">
        <w:rPr>
          <w:rFonts w:eastAsia="Arial" w:cs="Times New Roman"/>
          <w:spacing w:val="-1"/>
        </w:rPr>
        <w:t>d</w:t>
      </w:r>
      <w:r w:rsidRPr="004E1734">
        <w:rPr>
          <w:rFonts w:eastAsia="Arial" w:cs="Times New Roman"/>
        </w:rPr>
        <w:t>:</w:t>
      </w:r>
      <w:r w:rsidRPr="004E1734">
        <w:rPr>
          <w:rFonts w:eastAsia="Arial" w:cs="Times New Roman"/>
          <w:spacing w:val="23"/>
        </w:rPr>
        <w:t xml:space="preserve"> </w:t>
      </w:r>
      <w:r w:rsidRPr="004E1734">
        <w:rPr>
          <w:rFonts w:eastAsia="Arial" w:cs="Times New Roman"/>
          <w:spacing w:val="-1"/>
        </w:rPr>
        <w:t>(i)</w:t>
      </w:r>
      <w:r w:rsidRPr="004E1734">
        <w:rPr>
          <w:rFonts w:eastAsia="Arial" w:cs="Times New Roman"/>
          <w:spacing w:val="7"/>
        </w:rPr>
        <w:t xml:space="preserve"> </w:t>
      </w:r>
      <w:r w:rsidRPr="004E1734">
        <w:rPr>
          <w:rFonts w:eastAsia="Arial" w:cs="Times New Roman"/>
          <w:spacing w:val="-1"/>
        </w:rPr>
        <w:t>a</w:t>
      </w:r>
      <w:r w:rsidRPr="004E1734">
        <w:rPr>
          <w:rFonts w:eastAsia="Arial" w:cs="Times New Roman"/>
        </w:rPr>
        <w:t>s</w:t>
      </w:r>
      <w:r w:rsidRPr="004E1734">
        <w:rPr>
          <w:rFonts w:eastAsia="Arial" w:cs="Times New Roman"/>
          <w:spacing w:val="7"/>
        </w:rPr>
        <w:t xml:space="preserve"> </w:t>
      </w:r>
      <w:r w:rsidRPr="004E1734">
        <w:rPr>
          <w:rFonts w:eastAsia="Arial" w:cs="Times New Roman"/>
        </w:rPr>
        <w:t>a</w:t>
      </w:r>
      <w:r w:rsidRPr="004E1734">
        <w:rPr>
          <w:rFonts w:eastAsia="Arial" w:cs="Times New Roman"/>
          <w:spacing w:val="5"/>
        </w:rPr>
        <w:t xml:space="preserve"> </w:t>
      </w:r>
      <w:r w:rsidRPr="004E1734">
        <w:rPr>
          <w:rFonts w:eastAsia="Arial" w:cs="Times New Roman"/>
        </w:rPr>
        <w:t>r</w:t>
      </w:r>
      <w:r w:rsidRPr="004E1734">
        <w:rPr>
          <w:rFonts w:eastAsia="Arial" w:cs="Times New Roman"/>
          <w:spacing w:val="-1"/>
        </w:rPr>
        <w:t>e</w:t>
      </w:r>
      <w:r w:rsidRPr="004E1734">
        <w:rPr>
          <w:rFonts w:eastAsia="Arial" w:cs="Times New Roman"/>
        </w:rPr>
        <w:t>s</w:t>
      </w:r>
      <w:r w:rsidRPr="004E1734">
        <w:rPr>
          <w:rFonts w:eastAsia="Arial" w:cs="Times New Roman"/>
          <w:spacing w:val="-1"/>
        </w:rPr>
        <w:t>ul</w:t>
      </w:r>
      <w:r w:rsidRPr="004E1734">
        <w:rPr>
          <w:rFonts w:eastAsia="Arial" w:cs="Times New Roman"/>
        </w:rPr>
        <w:t>t</w:t>
      </w:r>
      <w:r w:rsidRPr="004E1734">
        <w:rPr>
          <w:rFonts w:eastAsia="Arial" w:cs="Times New Roman"/>
          <w:spacing w:val="15"/>
        </w:rPr>
        <w:t xml:space="preserve"> </w:t>
      </w:r>
      <w:r w:rsidRPr="004E1734">
        <w:rPr>
          <w:rFonts w:eastAsia="Arial" w:cs="Times New Roman"/>
        </w:rPr>
        <w:t>of</w:t>
      </w:r>
      <w:r w:rsidRPr="004E1734">
        <w:rPr>
          <w:rFonts w:eastAsia="Arial" w:cs="Times New Roman"/>
          <w:spacing w:val="5"/>
        </w:rPr>
        <w:t xml:space="preserve"> land </w:t>
      </w:r>
      <w:r w:rsidRPr="004E1734">
        <w:rPr>
          <w:rFonts w:eastAsia="Arial" w:cs="Times New Roman"/>
        </w:rPr>
        <w:t>s</w:t>
      </w:r>
      <w:r w:rsidRPr="004E1734">
        <w:rPr>
          <w:rFonts w:eastAsia="Arial" w:cs="Times New Roman"/>
          <w:spacing w:val="-1"/>
        </w:rPr>
        <w:t>u</w:t>
      </w:r>
      <w:r w:rsidRPr="004E1734">
        <w:rPr>
          <w:rFonts w:eastAsia="Arial" w:cs="Times New Roman"/>
        </w:rPr>
        <w:t>r</w:t>
      </w:r>
      <w:r w:rsidRPr="004E1734">
        <w:rPr>
          <w:rFonts w:eastAsia="Arial" w:cs="Times New Roman"/>
          <w:spacing w:val="-1"/>
        </w:rPr>
        <w:t>v</w:t>
      </w:r>
      <w:r w:rsidRPr="004E1734">
        <w:rPr>
          <w:rFonts w:eastAsia="Arial" w:cs="Times New Roman"/>
        </w:rPr>
        <w:t>e</w:t>
      </w:r>
      <w:r w:rsidRPr="004E1734">
        <w:rPr>
          <w:rFonts w:eastAsia="Arial" w:cs="Times New Roman"/>
          <w:spacing w:val="-1"/>
        </w:rPr>
        <w:t>y</w:t>
      </w:r>
      <w:r w:rsidRPr="004E1734">
        <w:rPr>
          <w:rFonts w:eastAsia="Arial" w:cs="Times New Roman"/>
        </w:rPr>
        <w:t>s (via the Settlement Officer);</w:t>
      </w:r>
      <w:r w:rsidRPr="004E1734">
        <w:rPr>
          <w:rFonts w:eastAsia="Arial" w:cs="Times New Roman"/>
          <w:spacing w:val="8"/>
        </w:rPr>
        <w:t xml:space="preserve"> </w:t>
      </w:r>
      <w:r w:rsidRPr="004E1734">
        <w:rPr>
          <w:rFonts w:eastAsia="Arial" w:cs="Times New Roman"/>
        </w:rPr>
        <w:t>(ii)</w:t>
      </w:r>
      <w:r w:rsidRPr="004E1734">
        <w:rPr>
          <w:rFonts w:eastAsia="Arial" w:cs="Times New Roman"/>
          <w:spacing w:val="5"/>
        </w:rPr>
        <w:t xml:space="preserve"> (</w:t>
      </w:r>
      <w:r w:rsidRPr="004E1734">
        <w:rPr>
          <w:rFonts w:eastAsia="Arial" w:cs="Times New Roman"/>
          <w:spacing w:val="-1"/>
        </w:rPr>
        <w:t>v</w:t>
      </w:r>
      <w:r w:rsidRPr="004E1734">
        <w:rPr>
          <w:rFonts w:eastAsia="Arial" w:cs="Times New Roman"/>
        </w:rPr>
        <w:t>ia</w:t>
      </w:r>
      <w:r w:rsidRPr="004E1734">
        <w:rPr>
          <w:rFonts w:eastAsia="Arial" w:cs="Times New Roman"/>
          <w:spacing w:val="8"/>
        </w:rPr>
        <w:t xml:space="preserve"> </w:t>
      </w:r>
      <w:r w:rsidRPr="004E1734">
        <w:rPr>
          <w:rFonts w:eastAsia="Arial" w:cs="Times New Roman"/>
          <w:spacing w:val="-1"/>
        </w:rPr>
        <w:t>th</w:t>
      </w:r>
      <w:r w:rsidRPr="004E1734">
        <w:rPr>
          <w:rFonts w:eastAsia="Arial" w:cs="Times New Roman"/>
        </w:rPr>
        <w:t>e</w:t>
      </w:r>
      <w:r w:rsidRPr="004E1734">
        <w:rPr>
          <w:rFonts w:eastAsia="Arial" w:cs="Times New Roman"/>
          <w:spacing w:val="9"/>
        </w:rPr>
        <w:t xml:space="preserve"> </w:t>
      </w:r>
      <w:r w:rsidRPr="004E1734">
        <w:rPr>
          <w:rFonts w:eastAsia="Arial" w:cs="Times New Roman"/>
          <w:w w:val="103"/>
        </w:rPr>
        <w:t>su</w:t>
      </w:r>
      <w:r w:rsidRPr="004E1734">
        <w:rPr>
          <w:rFonts w:eastAsia="Arial" w:cs="Times New Roman"/>
          <w:spacing w:val="-1"/>
          <w:w w:val="103"/>
        </w:rPr>
        <w:t>b</w:t>
      </w:r>
      <w:r w:rsidRPr="004E1734">
        <w:rPr>
          <w:rFonts w:eastAsia="Arial" w:cs="Times New Roman"/>
          <w:w w:val="103"/>
        </w:rPr>
        <w:t xml:space="preserve">- </w:t>
      </w:r>
      <w:r w:rsidRPr="004E1734">
        <w:rPr>
          <w:rFonts w:eastAsia="Arial" w:cs="Times New Roman"/>
          <w:spacing w:val="1"/>
        </w:rPr>
        <w:t>r</w:t>
      </w:r>
      <w:r w:rsidRPr="004E1734">
        <w:rPr>
          <w:rFonts w:eastAsia="Arial" w:cs="Times New Roman"/>
          <w:spacing w:val="-1"/>
        </w:rPr>
        <w:t>eg</w:t>
      </w:r>
      <w:r w:rsidRPr="004E1734">
        <w:rPr>
          <w:rFonts w:eastAsia="Arial" w:cs="Times New Roman"/>
        </w:rPr>
        <w:t>i</w:t>
      </w:r>
      <w:r w:rsidRPr="004E1734">
        <w:rPr>
          <w:rFonts w:eastAsia="Arial" w:cs="Times New Roman"/>
          <w:spacing w:val="1"/>
        </w:rPr>
        <w:t>s</w:t>
      </w:r>
      <w:r w:rsidRPr="004E1734">
        <w:rPr>
          <w:rFonts w:eastAsia="Arial" w:cs="Times New Roman"/>
          <w:spacing w:val="-1"/>
        </w:rPr>
        <w:t>t</w:t>
      </w:r>
      <w:r w:rsidRPr="004E1734">
        <w:rPr>
          <w:rFonts w:eastAsia="Arial" w:cs="Times New Roman"/>
          <w:spacing w:val="1"/>
        </w:rPr>
        <w:t>r</w:t>
      </w:r>
      <w:r w:rsidRPr="004E1734">
        <w:rPr>
          <w:rFonts w:eastAsia="Arial" w:cs="Times New Roman"/>
          <w:spacing w:val="-1"/>
        </w:rPr>
        <w:t>a</w:t>
      </w:r>
      <w:r w:rsidRPr="004E1734">
        <w:rPr>
          <w:rFonts w:eastAsia="Arial" w:cs="Times New Roman"/>
        </w:rPr>
        <w:t>r’s office) registering of deeds of sale;</w:t>
      </w:r>
      <w:r w:rsidRPr="004E1734">
        <w:rPr>
          <w:rFonts w:eastAsia="Arial" w:cs="Times New Roman"/>
          <w:spacing w:val="23"/>
        </w:rPr>
        <w:t xml:space="preserve"> </w:t>
      </w:r>
      <w:r w:rsidRPr="004E1734">
        <w:rPr>
          <w:rFonts w:eastAsia="Arial" w:cs="Times New Roman"/>
          <w:spacing w:val="-1"/>
        </w:rPr>
        <w:t>an</w:t>
      </w:r>
      <w:r w:rsidRPr="004E1734">
        <w:rPr>
          <w:rFonts w:eastAsia="Arial" w:cs="Times New Roman"/>
        </w:rPr>
        <w:t>d</w:t>
      </w:r>
      <w:r w:rsidRPr="004E1734">
        <w:rPr>
          <w:rFonts w:eastAsia="Arial" w:cs="Times New Roman"/>
          <w:spacing w:val="10"/>
        </w:rPr>
        <w:t xml:space="preserve"> </w:t>
      </w:r>
      <w:r w:rsidRPr="004E1734">
        <w:rPr>
          <w:rFonts w:eastAsia="Arial" w:cs="Times New Roman"/>
        </w:rPr>
        <w:t>(iii)</w:t>
      </w:r>
      <w:r w:rsidRPr="004E1734">
        <w:rPr>
          <w:rFonts w:eastAsia="Arial" w:cs="Times New Roman"/>
          <w:spacing w:val="6"/>
        </w:rPr>
        <w:t xml:space="preserve"> </w:t>
      </w:r>
      <w:r w:rsidRPr="004E1734">
        <w:rPr>
          <w:rFonts w:eastAsia="Arial" w:cs="Times New Roman"/>
        </w:rPr>
        <w:t>through</w:t>
      </w:r>
      <w:r w:rsidRPr="004E1734">
        <w:rPr>
          <w:rFonts w:eastAsia="Arial" w:cs="Times New Roman"/>
          <w:spacing w:val="18"/>
        </w:rPr>
        <w:t xml:space="preserve"> </w:t>
      </w:r>
      <w:r w:rsidRPr="004E1734">
        <w:rPr>
          <w:rFonts w:eastAsia="Arial" w:cs="Times New Roman"/>
          <w:spacing w:val="2"/>
        </w:rPr>
        <w:t>i</w:t>
      </w:r>
      <w:r w:rsidRPr="004E1734">
        <w:rPr>
          <w:rFonts w:eastAsia="Arial" w:cs="Times New Roman"/>
          <w:spacing w:val="-1"/>
        </w:rPr>
        <w:t>n</w:t>
      </w:r>
      <w:r w:rsidRPr="004E1734">
        <w:rPr>
          <w:rFonts w:eastAsia="Arial" w:cs="Times New Roman"/>
        </w:rPr>
        <w:t>h</w:t>
      </w:r>
      <w:r w:rsidRPr="004E1734">
        <w:rPr>
          <w:rFonts w:eastAsia="Arial" w:cs="Times New Roman"/>
          <w:spacing w:val="-1"/>
        </w:rPr>
        <w:t>e</w:t>
      </w:r>
      <w:r w:rsidRPr="004E1734">
        <w:rPr>
          <w:rFonts w:eastAsia="Arial" w:cs="Times New Roman"/>
        </w:rPr>
        <w:t>r</w:t>
      </w:r>
      <w:r w:rsidRPr="004E1734">
        <w:rPr>
          <w:rFonts w:eastAsia="Arial" w:cs="Times New Roman"/>
          <w:spacing w:val="-1"/>
        </w:rPr>
        <w:t>i</w:t>
      </w:r>
      <w:r w:rsidRPr="004E1734">
        <w:rPr>
          <w:rFonts w:eastAsia="Arial" w:cs="Times New Roman"/>
          <w:spacing w:val="1"/>
        </w:rPr>
        <w:t>t</w:t>
      </w:r>
      <w:r w:rsidRPr="004E1734">
        <w:rPr>
          <w:rFonts w:eastAsia="Arial" w:cs="Times New Roman"/>
        </w:rPr>
        <w:t>a</w:t>
      </w:r>
      <w:r w:rsidRPr="004E1734">
        <w:rPr>
          <w:rFonts w:eastAsia="Arial" w:cs="Times New Roman"/>
          <w:spacing w:val="-2"/>
        </w:rPr>
        <w:t>n</w:t>
      </w:r>
      <w:r w:rsidRPr="004E1734">
        <w:rPr>
          <w:rFonts w:eastAsia="Arial" w:cs="Times New Roman"/>
          <w:spacing w:val="1"/>
        </w:rPr>
        <w:t>c</w:t>
      </w:r>
      <w:r w:rsidRPr="004E1734">
        <w:rPr>
          <w:rFonts w:eastAsia="Arial" w:cs="Times New Roman"/>
          <w:spacing w:val="-1"/>
        </w:rPr>
        <w:t>e (through AC land office)</w:t>
      </w:r>
      <w:r w:rsidRPr="004E1734">
        <w:rPr>
          <w:rFonts w:eastAsia="Arial" w:cs="Times New Roman"/>
        </w:rPr>
        <w:t xml:space="preserve">. </w:t>
      </w:r>
      <w:r w:rsidR="009A719A">
        <w:rPr>
          <w:rFonts w:eastAsia="Arial" w:cs="Times New Roman"/>
        </w:rPr>
        <w:t xml:space="preserve"> T</w:t>
      </w:r>
      <w:r w:rsidR="009A719A" w:rsidRPr="001B185D">
        <w:rPr>
          <w:rFonts w:cs="Times New Roman"/>
        </w:rPr>
        <w:t>he</w:t>
      </w:r>
      <w:r w:rsidR="009A719A" w:rsidRPr="001B185D">
        <w:rPr>
          <w:rFonts w:cs="Times New Roman"/>
          <w:spacing w:val="49"/>
        </w:rPr>
        <w:t xml:space="preserve"> </w:t>
      </w:r>
      <w:r w:rsidR="009A719A" w:rsidRPr="001B185D">
        <w:rPr>
          <w:rFonts w:cs="Times New Roman"/>
        </w:rPr>
        <w:t>di</w:t>
      </w:r>
      <w:r w:rsidR="009A719A" w:rsidRPr="001B185D">
        <w:rPr>
          <w:rFonts w:cs="Times New Roman"/>
          <w:spacing w:val="-2"/>
        </w:rPr>
        <w:t>v</w:t>
      </w:r>
      <w:r w:rsidR="009A719A" w:rsidRPr="001B185D">
        <w:rPr>
          <w:rFonts w:cs="Times New Roman"/>
        </w:rPr>
        <w:t>ers</w:t>
      </w:r>
      <w:r w:rsidR="009A719A" w:rsidRPr="001B185D">
        <w:rPr>
          <w:rFonts w:cs="Times New Roman"/>
          <w:spacing w:val="-1"/>
        </w:rPr>
        <w:t>i</w:t>
      </w:r>
      <w:r w:rsidR="009A719A" w:rsidRPr="001B185D">
        <w:rPr>
          <w:rFonts w:cs="Times New Roman"/>
        </w:rPr>
        <w:t>ty of</w:t>
      </w:r>
      <w:r w:rsidR="009A719A" w:rsidRPr="001B185D">
        <w:rPr>
          <w:rFonts w:cs="Times New Roman"/>
          <w:spacing w:val="48"/>
        </w:rPr>
        <w:t xml:space="preserve"> </w:t>
      </w:r>
      <w:r w:rsidR="009A719A" w:rsidRPr="001B185D">
        <w:rPr>
          <w:rFonts w:cs="Times New Roman"/>
        </w:rPr>
        <w:t>ways</w:t>
      </w:r>
      <w:r w:rsidR="009A719A" w:rsidRPr="001B185D">
        <w:rPr>
          <w:rFonts w:cs="Times New Roman"/>
          <w:spacing w:val="48"/>
        </w:rPr>
        <w:t xml:space="preserve"> </w:t>
      </w:r>
      <w:r w:rsidR="009A719A" w:rsidRPr="001B185D">
        <w:rPr>
          <w:rFonts w:cs="Times New Roman"/>
        </w:rPr>
        <w:t>in</w:t>
      </w:r>
      <w:r w:rsidR="009A719A" w:rsidRPr="001B185D">
        <w:rPr>
          <w:rFonts w:cs="Times New Roman"/>
          <w:spacing w:val="48"/>
        </w:rPr>
        <w:t xml:space="preserve"> </w:t>
      </w:r>
      <w:r w:rsidR="009A719A" w:rsidRPr="001B185D">
        <w:rPr>
          <w:rFonts w:cs="Times New Roman"/>
        </w:rPr>
        <w:t>whi</w:t>
      </w:r>
      <w:r w:rsidR="009A719A" w:rsidRPr="001B185D">
        <w:rPr>
          <w:rFonts w:cs="Times New Roman"/>
          <w:spacing w:val="-1"/>
        </w:rPr>
        <w:t>c</w:t>
      </w:r>
      <w:r w:rsidR="009A719A" w:rsidRPr="001B185D">
        <w:rPr>
          <w:rFonts w:cs="Times New Roman"/>
        </w:rPr>
        <w:t>h</w:t>
      </w:r>
      <w:r w:rsidR="009A719A" w:rsidRPr="001B185D">
        <w:rPr>
          <w:rFonts w:cs="Times New Roman"/>
          <w:spacing w:val="50"/>
        </w:rPr>
        <w:t xml:space="preserve"> </w:t>
      </w:r>
      <w:r w:rsidR="009A719A" w:rsidRPr="001B185D">
        <w:rPr>
          <w:rFonts w:cs="Times New Roman"/>
        </w:rPr>
        <w:t>l</w:t>
      </w:r>
      <w:r w:rsidR="009A719A" w:rsidRPr="001B185D">
        <w:rPr>
          <w:rFonts w:cs="Times New Roman"/>
          <w:spacing w:val="-1"/>
        </w:rPr>
        <w:t>a</w:t>
      </w:r>
      <w:r w:rsidR="009A719A" w:rsidRPr="001B185D">
        <w:rPr>
          <w:rFonts w:cs="Times New Roman"/>
          <w:spacing w:val="2"/>
        </w:rPr>
        <w:t>n</w:t>
      </w:r>
      <w:r w:rsidR="009A719A" w:rsidRPr="001B185D">
        <w:rPr>
          <w:rFonts w:cs="Times New Roman"/>
        </w:rPr>
        <w:t>d</w:t>
      </w:r>
      <w:r w:rsidR="009A719A" w:rsidRPr="001B185D">
        <w:rPr>
          <w:rFonts w:cs="Times New Roman"/>
          <w:spacing w:val="50"/>
        </w:rPr>
        <w:t xml:space="preserve"> </w:t>
      </w:r>
      <w:r w:rsidR="009A719A" w:rsidRPr="001B185D">
        <w:rPr>
          <w:rFonts w:cs="Times New Roman"/>
          <w:spacing w:val="-1"/>
        </w:rPr>
        <w:t>r</w:t>
      </w:r>
      <w:r w:rsidR="009A719A" w:rsidRPr="001B185D">
        <w:rPr>
          <w:rFonts w:cs="Times New Roman"/>
        </w:rPr>
        <w:t>e</w:t>
      </w:r>
      <w:r w:rsidR="009A719A" w:rsidRPr="001B185D">
        <w:rPr>
          <w:rFonts w:cs="Times New Roman"/>
          <w:spacing w:val="-1"/>
        </w:rPr>
        <w:t>c</w:t>
      </w:r>
      <w:r w:rsidR="009A719A" w:rsidRPr="001B185D">
        <w:rPr>
          <w:rFonts w:cs="Times New Roman"/>
        </w:rPr>
        <w:t>o</w:t>
      </w:r>
      <w:r w:rsidR="009A719A" w:rsidRPr="001B185D">
        <w:rPr>
          <w:rFonts w:cs="Times New Roman"/>
          <w:spacing w:val="-1"/>
        </w:rPr>
        <w:t>r</w:t>
      </w:r>
      <w:r w:rsidR="009A719A" w:rsidRPr="001B185D">
        <w:rPr>
          <w:rFonts w:cs="Times New Roman"/>
        </w:rPr>
        <w:t>ds may</w:t>
      </w:r>
      <w:r w:rsidR="009A719A">
        <w:rPr>
          <w:rFonts w:cs="Times New Roman"/>
        </w:rPr>
        <w:t xml:space="preserve"> </w:t>
      </w:r>
      <w:r w:rsidR="009A719A" w:rsidRPr="001B185D">
        <w:rPr>
          <w:rFonts w:cs="Times New Roman"/>
        </w:rPr>
        <w:t>be</w:t>
      </w:r>
      <w:r w:rsidR="009A719A" w:rsidRPr="001B185D">
        <w:rPr>
          <w:rFonts w:cs="Times New Roman"/>
          <w:spacing w:val="47"/>
        </w:rPr>
        <w:t xml:space="preserve"> </w:t>
      </w:r>
      <w:r w:rsidR="009A719A" w:rsidRPr="001B185D">
        <w:rPr>
          <w:rFonts w:cs="Times New Roman"/>
        </w:rPr>
        <w:t>u</w:t>
      </w:r>
      <w:r w:rsidR="009A719A" w:rsidRPr="001B185D">
        <w:rPr>
          <w:rFonts w:cs="Times New Roman"/>
          <w:spacing w:val="2"/>
        </w:rPr>
        <w:t>p</w:t>
      </w:r>
      <w:r w:rsidR="009A719A" w:rsidRPr="001B185D">
        <w:rPr>
          <w:rFonts w:cs="Times New Roman"/>
        </w:rPr>
        <w:t>d</w:t>
      </w:r>
      <w:r w:rsidR="009A719A" w:rsidRPr="001B185D">
        <w:rPr>
          <w:rFonts w:cs="Times New Roman"/>
          <w:spacing w:val="-1"/>
        </w:rPr>
        <w:t>a</w:t>
      </w:r>
      <w:r w:rsidR="009A719A" w:rsidRPr="001B185D">
        <w:rPr>
          <w:rFonts w:cs="Times New Roman"/>
        </w:rPr>
        <w:t>ted, and</w:t>
      </w:r>
      <w:r w:rsidR="009A719A" w:rsidRPr="001B185D">
        <w:rPr>
          <w:rFonts w:cs="Times New Roman"/>
          <w:spacing w:val="48"/>
        </w:rPr>
        <w:t xml:space="preserve"> </w:t>
      </w:r>
      <w:r w:rsidR="009A719A" w:rsidRPr="001B185D">
        <w:rPr>
          <w:rFonts w:cs="Times New Roman"/>
          <w:spacing w:val="-1"/>
        </w:rPr>
        <w:t>t</w:t>
      </w:r>
      <w:r w:rsidR="009A719A" w:rsidRPr="001B185D">
        <w:rPr>
          <w:rFonts w:cs="Times New Roman"/>
        </w:rPr>
        <w:t>he</w:t>
      </w:r>
      <w:r w:rsidR="009A719A" w:rsidRPr="001B185D">
        <w:rPr>
          <w:rFonts w:cs="Times New Roman"/>
          <w:spacing w:val="49"/>
        </w:rPr>
        <w:t xml:space="preserve"> </w:t>
      </w:r>
      <w:r w:rsidR="009A719A" w:rsidRPr="001B185D">
        <w:rPr>
          <w:rFonts w:cs="Times New Roman"/>
          <w:spacing w:val="-1"/>
          <w:w w:val="101"/>
        </w:rPr>
        <w:t>p</w:t>
      </w:r>
      <w:r w:rsidR="009A719A" w:rsidRPr="001B185D">
        <w:rPr>
          <w:rFonts w:cs="Times New Roman"/>
          <w:w w:val="101"/>
        </w:rPr>
        <w:t>rob</w:t>
      </w:r>
      <w:r w:rsidR="009A719A" w:rsidRPr="001B185D">
        <w:rPr>
          <w:rFonts w:cs="Times New Roman"/>
          <w:spacing w:val="-1"/>
          <w:w w:val="101"/>
        </w:rPr>
        <w:t>l</w:t>
      </w:r>
      <w:r w:rsidR="009A719A" w:rsidRPr="001B185D">
        <w:rPr>
          <w:rFonts w:cs="Times New Roman"/>
          <w:w w:val="101"/>
        </w:rPr>
        <w:t xml:space="preserve">ems </w:t>
      </w:r>
      <w:r w:rsidR="009A719A" w:rsidRPr="001B185D">
        <w:rPr>
          <w:rFonts w:cs="Times New Roman"/>
        </w:rPr>
        <w:t>a</w:t>
      </w:r>
      <w:r w:rsidR="009A719A" w:rsidRPr="001B185D">
        <w:rPr>
          <w:rFonts w:cs="Times New Roman"/>
          <w:spacing w:val="-1"/>
        </w:rPr>
        <w:t>ss</w:t>
      </w:r>
      <w:r w:rsidR="009A719A" w:rsidRPr="001B185D">
        <w:rPr>
          <w:rFonts w:cs="Times New Roman"/>
          <w:spacing w:val="2"/>
        </w:rPr>
        <w:t>o</w:t>
      </w:r>
      <w:r w:rsidR="009A719A" w:rsidRPr="001B185D">
        <w:rPr>
          <w:rFonts w:cs="Times New Roman"/>
        </w:rPr>
        <w:t>c</w:t>
      </w:r>
      <w:r w:rsidR="009A719A" w:rsidRPr="001B185D">
        <w:rPr>
          <w:rFonts w:cs="Times New Roman"/>
          <w:spacing w:val="-1"/>
        </w:rPr>
        <w:t>i</w:t>
      </w:r>
      <w:r w:rsidR="009A719A" w:rsidRPr="001B185D">
        <w:rPr>
          <w:rFonts w:cs="Times New Roman"/>
        </w:rPr>
        <w:t>at</w:t>
      </w:r>
      <w:r w:rsidR="009A719A" w:rsidRPr="001B185D">
        <w:rPr>
          <w:rFonts w:cs="Times New Roman"/>
          <w:spacing w:val="-1"/>
        </w:rPr>
        <w:t>e</w:t>
      </w:r>
      <w:r w:rsidR="009A719A" w:rsidRPr="001B185D">
        <w:rPr>
          <w:rFonts w:cs="Times New Roman"/>
        </w:rPr>
        <w:t>d</w:t>
      </w:r>
      <w:r w:rsidR="009A719A" w:rsidRPr="001B185D">
        <w:rPr>
          <w:rFonts w:cs="Times New Roman"/>
          <w:spacing w:val="7"/>
        </w:rPr>
        <w:t xml:space="preserve"> </w:t>
      </w:r>
      <w:r w:rsidR="009A719A" w:rsidRPr="001B185D">
        <w:rPr>
          <w:rFonts w:cs="Times New Roman"/>
        </w:rPr>
        <w:t>w</w:t>
      </w:r>
      <w:r w:rsidR="009A719A" w:rsidRPr="001B185D">
        <w:rPr>
          <w:rFonts w:cs="Times New Roman"/>
          <w:spacing w:val="-1"/>
        </w:rPr>
        <w:t>i</w:t>
      </w:r>
      <w:r w:rsidR="009A719A" w:rsidRPr="001B185D">
        <w:rPr>
          <w:rFonts w:cs="Times New Roman"/>
        </w:rPr>
        <w:t>th</w:t>
      </w:r>
      <w:r w:rsidR="009A719A" w:rsidRPr="001B185D">
        <w:rPr>
          <w:rFonts w:cs="Times New Roman"/>
          <w:spacing w:val="2"/>
        </w:rPr>
        <w:t xml:space="preserve"> </w:t>
      </w:r>
      <w:r w:rsidR="009A719A" w:rsidRPr="001B185D">
        <w:rPr>
          <w:rFonts w:cs="Times New Roman"/>
        </w:rPr>
        <w:t>ea</w:t>
      </w:r>
      <w:r w:rsidR="009A719A" w:rsidRPr="001B185D">
        <w:rPr>
          <w:rFonts w:cs="Times New Roman"/>
          <w:spacing w:val="-1"/>
        </w:rPr>
        <w:t>c</w:t>
      </w:r>
      <w:r w:rsidR="009A719A" w:rsidRPr="001B185D">
        <w:rPr>
          <w:rFonts w:cs="Times New Roman"/>
        </w:rPr>
        <w:t>h</w:t>
      </w:r>
      <w:r w:rsidR="009A719A" w:rsidRPr="001B185D">
        <w:rPr>
          <w:rFonts w:cs="Times New Roman"/>
          <w:spacing w:val="3"/>
        </w:rPr>
        <w:t xml:space="preserve"> </w:t>
      </w:r>
      <w:r w:rsidR="009A719A" w:rsidRPr="001B185D">
        <w:rPr>
          <w:rFonts w:cs="Times New Roman"/>
          <w:spacing w:val="2"/>
        </w:rPr>
        <w:t>g</w:t>
      </w:r>
      <w:r w:rsidR="009A719A" w:rsidRPr="001B185D">
        <w:rPr>
          <w:rFonts w:cs="Times New Roman"/>
        </w:rPr>
        <w:t>i</w:t>
      </w:r>
      <w:r w:rsidR="009A719A" w:rsidRPr="001B185D">
        <w:rPr>
          <w:rFonts w:cs="Times New Roman"/>
          <w:spacing w:val="-2"/>
        </w:rPr>
        <w:t>v</w:t>
      </w:r>
      <w:r w:rsidR="009A719A" w:rsidRPr="001B185D">
        <w:rPr>
          <w:rFonts w:cs="Times New Roman"/>
        </w:rPr>
        <w:t>e</w:t>
      </w:r>
      <w:r w:rsidR="009A719A" w:rsidRPr="001B185D">
        <w:rPr>
          <w:rFonts w:cs="Times New Roman"/>
          <w:spacing w:val="2"/>
        </w:rPr>
        <w:t xml:space="preserve"> r</w:t>
      </w:r>
      <w:r w:rsidR="009A719A" w:rsidRPr="001B185D">
        <w:rPr>
          <w:rFonts w:cs="Times New Roman"/>
        </w:rPr>
        <w:t>i</w:t>
      </w:r>
      <w:r w:rsidR="009A719A" w:rsidRPr="001B185D">
        <w:rPr>
          <w:rFonts w:cs="Times New Roman"/>
          <w:spacing w:val="-1"/>
        </w:rPr>
        <w:t>s</w:t>
      </w:r>
      <w:r w:rsidR="009A719A" w:rsidRPr="001B185D">
        <w:rPr>
          <w:rFonts w:cs="Times New Roman"/>
        </w:rPr>
        <w:t>e</w:t>
      </w:r>
      <w:r w:rsidR="009A719A" w:rsidRPr="001B185D">
        <w:rPr>
          <w:rFonts w:cs="Times New Roman"/>
          <w:spacing w:val="1"/>
        </w:rPr>
        <w:t xml:space="preserve"> </w:t>
      </w:r>
      <w:r w:rsidR="009A719A" w:rsidRPr="001B185D">
        <w:rPr>
          <w:rFonts w:cs="Times New Roman"/>
        </w:rPr>
        <w:t xml:space="preserve">to </w:t>
      </w:r>
      <w:r w:rsidR="009A719A" w:rsidRPr="001B185D">
        <w:rPr>
          <w:rFonts w:cs="Times New Roman"/>
          <w:spacing w:val="2"/>
        </w:rPr>
        <w:t>n</w:t>
      </w:r>
      <w:r w:rsidR="009A719A" w:rsidRPr="001B185D">
        <w:rPr>
          <w:rFonts w:cs="Times New Roman"/>
          <w:spacing w:val="-1"/>
        </w:rPr>
        <w:t>u</w:t>
      </w:r>
      <w:r w:rsidR="009A719A" w:rsidRPr="001B185D">
        <w:rPr>
          <w:rFonts w:cs="Times New Roman"/>
        </w:rPr>
        <w:t>mer</w:t>
      </w:r>
      <w:r w:rsidR="009A719A" w:rsidRPr="001B185D">
        <w:rPr>
          <w:rFonts w:cs="Times New Roman"/>
          <w:spacing w:val="-1"/>
        </w:rPr>
        <w:t>o</w:t>
      </w:r>
      <w:r w:rsidR="009A719A" w:rsidRPr="001B185D">
        <w:rPr>
          <w:rFonts w:cs="Times New Roman"/>
        </w:rPr>
        <w:t>us</w:t>
      </w:r>
      <w:r w:rsidR="009A719A" w:rsidRPr="001B185D">
        <w:rPr>
          <w:rFonts w:cs="Times New Roman"/>
          <w:spacing w:val="7"/>
        </w:rPr>
        <w:t xml:space="preserve"> </w:t>
      </w:r>
      <w:r w:rsidR="009A719A" w:rsidRPr="001B185D">
        <w:rPr>
          <w:rFonts w:cs="Times New Roman"/>
        </w:rPr>
        <w:t>disput</w:t>
      </w:r>
      <w:r w:rsidR="009A719A" w:rsidRPr="001B185D">
        <w:rPr>
          <w:rFonts w:cs="Times New Roman"/>
          <w:spacing w:val="-1"/>
        </w:rPr>
        <w:t>e</w:t>
      </w:r>
      <w:r w:rsidR="009A719A" w:rsidRPr="001B185D">
        <w:rPr>
          <w:rFonts w:cs="Times New Roman"/>
        </w:rPr>
        <w:t>s and also proliferation of land related civil and criminal cases,</w:t>
      </w:r>
      <w:r w:rsidR="009A719A" w:rsidRPr="001B185D">
        <w:rPr>
          <w:rFonts w:cs="Times New Roman"/>
          <w:spacing w:val="5"/>
        </w:rPr>
        <w:t xml:space="preserve"> </w:t>
      </w:r>
      <w:r w:rsidR="009A719A" w:rsidRPr="001B185D">
        <w:rPr>
          <w:rFonts w:cs="Times New Roman"/>
          <w:spacing w:val="-1"/>
        </w:rPr>
        <w:t>i</w:t>
      </w:r>
      <w:r w:rsidR="009A719A" w:rsidRPr="001B185D">
        <w:rPr>
          <w:rFonts w:cs="Times New Roman"/>
        </w:rPr>
        <w:t>n</w:t>
      </w:r>
      <w:r w:rsidR="009A719A" w:rsidRPr="001B185D">
        <w:rPr>
          <w:rFonts w:cs="Times New Roman"/>
          <w:spacing w:val="1"/>
        </w:rPr>
        <w:t xml:space="preserve"> </w:t>
      </w:r>
      <w:r w:rsidR="009A719A" w:rsidRPr="001B185D">
        <w:rPr>
          <w:rFonts w:cs="Times New Roman"/>
        </w:rPr>
        <w:t>whi</w:t>
      </w:r>
      <w:r w:rsidR="009A719A" w:rsidRPr="001B185D">
        <w:rPr>
          <w:rFonts w:cs="Times New Roman"/>
          <w:spacing w:val="-1"/>
        </w:rPr>
        <w:t>c</w:t>
      </w:r>
      <w:r w:rsidR="009A719A" w:rsidRPr="001B185D">
        <w:rPr>
          <w:rFonts w:cs="Times New Roman"/>
        </w:rPr>
        <w:t>h</w:t>
      </w:r>
      <w:r w:rsidR="009A719A" w:rsidRPr="001B185D">
        <w:rPr>
          <w:rFonts w:cs="Times New Roman"/>
          <w:spacing w:val="3"/>
        </w:rPr>
        <w:t xml:space="preserve"> </w:t>
      </w:r>
      <w:r w:rsidR="009A719A" w:rsidRPr="001B185D">
        <w:rPr>
          <w:rFonts w:cs="Times New Roman"/>
        </w:rPr>
        <w:t>the</w:t>
      </w:r>
      <w:r w:rsidR="009A719A" w:rsidRPr="001B185D">
        <w:rPr>
          <w:rFonts w:cs="Times New Roman"/>
          <w:spacing w:val="1"/>
        </w:rPr>
        <w:t xml:space="preserve"> </w:t>
      </w:r>
      <w:r w:rsidR="009A719A" w:rsidRPr="001B185D">
        <w:rPr>
          <w:rFonts w:cs="Times New Roman"/>
          <w:spacing w:val="-1"/>
        </w:rPr>
        <w:t>r</w:t>
      </w:r>
      <w:r w:rsidR="009A719A" w:rsidRPr="001B185D">
        <w:rPr>
          <w:rFonts w:cs="Times New Roman"/>
          <w:spacing w:val="1"/>
        </w:rPr>
        <w:t>i</w:t>
      </w:r>
      <w:r w:rsidR="009A719A" w:rsidRPr="001B185D">
        <w:rPr>
          <w:rFonts w:cs="Times New Roman"/>
          <w:spacing w:val="-1"/>
        </w:rPr>
        <w:t>c</w:t>
      </w:r>
      <w:r w:rsidR="009A719A" w:rsidRPr="001B185D">
        <w:rPr>
          <w:rFonts w:cs="Times New Roman"/>
        </w:rPr>
        <w:t>h</w:t>
      </w:r>
      <w:r w:rsidR="009A719A" w:rsidRPr="001B185D">
        <w:rPr>
          <w:rFonts w:cs="Times New Roman"/>
          <w:spacing w:val="2"/>
        </w:rPr>
        <w:t xml:space="preserve"> </w:t>
      </w:r>
      <w:r w:rsidR="009A719A" w:rsidRPr="001B185D">
        <w:rPr>
          <w:rFonts w:cs="Times New Roman"/>
          <w:spacing w:val="-1"/>
        </w:rPr>
        <w:t>a</w:t>
      </w:r>
      <w:r w:rsidR="009A719A" w:rsidRPr="001B185D">
        <w:rPr>
          <w:rFonts w:cs="Times New Roman"/>
        </w:rPr>
        <w:t>nd</w:t>
      </w:r>
      <w:r w:rsidR="009A719A" w:rsidRPr="001B185D">
        <w:rPr>
          <w:rFonts w:cs="Times New Roman"/>
          <w:spacing w:val="2"/>
        </w:rPr>
        <w:t xml:space="preserve"> </w:t>
      </w:r>
      <w:r w:rsidR="009A719A" w:rsidRPr="001B185D">
        <w:rPr>
          <w:rFonts w:cs="Times New Roman"/>
          <w:w w:val="101"/>
        </w:rPr>
        <w:t>powe</w:t>
      </w:r>
      <w:r w:rsidR="009A719A" w:rsidRPr="001B185D">
        <w:rPr>
          <w:rFonts w:cs="Times New Roman"/>
          <w:spacing w:val="-1"/>
          <w:w w:val="101"/>
        </w:rPr>
        <w:t>r</w:t>
      </w:r>
      <w:r w:rsidR="009A719A" w:rsidRPr="001B185D">
        <w:rPr>
          <w:rFonts w:cs="Times New Roman"/>
          <w:w w:val="101"/>
        </w:rPr>
        <w:t xml:space="preserve">ful </w:t>
      </w:r>
      <w:r w:rsidR="009A719A" w:rsidRPr="001B185D">
        <w:rPr>
          <w:rFonts w:cs="Times New Roman"/>
          <w:spacing w:val="-1"/>
        </w:rPr>
        <w:t>i</w:t>
      </w:r>
      <w:r w:rsidR="009A719A" w:rsidRPr="001B185D">
        <w:rPr>
          <w:rFonts w:cs="Times New Roman"/>
        </w:rPr>
        <w:t>n</w:t>
      </w:r>
      <w:r w:rsidR="009A719A" w:rsidRPr="001B185D">
        <w:rPr>
          <w:rFonts w:cs="Times New Roman"/>
          <w:spacing w:val="2"/>
        </w:rPr>
        <w:t>e</w:t>
      </w:r>
      <w:r w:rsidR="009A719A" w:rsidRPr="001B185D">
        <w:rPr>
          <w:rFonts w:cs="Times New Roman"/>
          <w:spacing w:val="-1"/>
        </w:rPr>
        <w:t>vi</w:t>
      </w:r>
      <w:r w:rsidR="009A719A" w:rsidRPr="001B185D">
        <w:rPr>
          <w:rFonts w:cs="Times New Roman"/>
        </w:rPr>
        <w:t>tably</w:t>
      </w:r>
      <w:r w:rsidR="009A719A" w:rsidRPr="001B185D">
        <w:rPr>
          <w:rFonts w:cs="Times New Roman"/>
          <w:spacing w:val="27"/>
        </w:rPr>
        <w:t xml:space="preserve"> </w:t>
      </w:r>
      <w:r w:rsidR="009A719A" w:rsidRPr="001B185D">
        <w:rPr>
          <w:rFonts w:cs="Times New Roman"/>
        </w:rPr>
        <w:t>en</w:t>
      </w:r>
      <w:r w:rsidR="009A719A" w:rsidRPr="001B185D">
        <w:rPr>
          <w:rFonts w:cs="Times New Roman"/>
          <w:spacing w:val="-1"/>
        </w:rPr>
        <w:t>j</w:t>
      </w:r>
      <w:r w:rsidR="009A719A" w:rsidRPr="001B185D">
        <w:rPr>
          <w:rFonts w:cs="Times New Roman"/>
        </w:rPr>
        <w:t>oy</w:t>
      </w:r>
      <w:r w:rsidR="009A719A" w:rsidRPr="001B185D">
        <w:rPr>
          <w:rFonts w:cs="Times New Roman"/>
          <w:spacing w:val="24"/>
        </w:rPr>
        <w:t xml:space="preserve"> </w:t>
      </w:r>
      <w:r w:rsidR="009A719A" w:rsidRPr="001B185D">
        <w:rPr>
          <w:rFonts w:cs="Times New Roman"/>
        </w:rPr>
        <w:t>t</w:t>
      </w:r>
      <w:r w:rsidR="009A719A" w:rsidRPr="001B185D">
        <w:rPr>
          <w:rFonts w:cs="Times New Roman"/>
          <w:spacing w:val="-1"/>
        </w:rPr>
        <w:t>h</w:t>
      </w:r>
      <w:r w:rsidR="009A719A" w:rsidRPr="001B185D">
        <w:rPr>
          <w:rFonts w:cs="Times New Roman"/>
        </w:rPr>
        <w:t>e</w:t>
      </w:r>
      <w:r w:rsidR="009A719A" w:rsidRPr="001B185D">
        <w:rPr>
          <w:rFonts w:cs="Times New Roman"/>
          <w:spacing w:val="23"/>
        </w:rPr>
        <w:t xml:space="preserve"> </w:t>
      </w:r>
      <w:r w:rsidR="009A719A" w:rsidRPr="001B185D">
        <w:rPr>
          <w:rFonts w:cs="Times New Roman"/>
        </w:rPr>
        <w:t>upper</w:t>
      </w:r>
      <w:r w:rsidR="009A719A" w:rsidRPr="001B185D">
        <w:rPr>
          <w:rFonts w:cs="Times New Roman"/>
          <w:spacing w:val="25"/>
        </w:rPr>
        <w:t xml:space="preserve"> </w:t>
      </w:r>
      <w:r w:rsidR="009A719A" w:rsidRPr="001B185D">
        <w:rPr>
          <w:rFonts w:cs="Times New Roman"/>
          <w:spacing w:val="-1"/>
        </w:rPr>
        <w:t>h</w:t>
      </w:r>
      <w:r w:rsidR="009A719A" w:rsidRPr="001B185D">
        <w:rPr>
          <w:rFonts w:cs="Times New Roman"/>
        </w:rPr>
        <w:t>and.</w:t>
      </w:r>
    </w:p>
    <w:p w:rsidR="00000000" w:rsidRDefault="00A356FA" w:rsidP="003D5A31">
      <w:pPr>
        <w:pStyle w:val="BodyText"/>
        <w:numPr>
          <w:ilvl w:val="2"/>
          <w:numId w:val="150"/>
        </w:numPr>
        <w:spacing w:after="240" w:line="276" w:lineRule="auto"/>
        <w:jc w:val="both"/>
        <w:rPr>
          <w:rFonts w:cs="Times New Roman"/>
          <w:b/>
          <w:szCs w:val="24"/>
        </w:rPr>
      </w:pPr>
      <w:r w:rsidRPr="002B28F9">
        <w:rPr>
          <w:rFonts w:cs="Times New Roman"/>
          <w:b/>
          <w:szCs w:val="24"/>
        </w:rPr>
        <w:t xml:space="preserve">Land Transfer and the Land Registration Process and the official Costs involved. </w:t>
      </w:r>
    </w:p>
    <w:p w:rsidR="00A356FA" w:rsidRPr="001B185D" w:rsidRDefault="00A356FA" w:rsidP="00A356FA">
      <w:pPr>
        <w:pStyle w:val="Default"/>
        <w:spacing w:line="276" w:lineRule="auto"/>
        <w:jc w:val="both"/>
        <w:rPr>
          <w:rFonts w:ascii="Times New Roman" w:hAnsi="Times New Roman" w:cs="Times New Roman"/>
          <w:color w:val="auto"/>
        </w:rPr>
      </w:pPr>
      <w:r w:rsidRPr="001B185D">
        <w:rPr>
          <w:rFonts w:ascii="Times New Roman" w:eastAsia="Arial" w:hAnsi="Times New Roman" w:cs="Times New Roman"/>
          <w:i/>
          <w:color w:val="auto"/>
        </w:rPr>
        <w:t>Land Transfer</w:t>
      </w:r>
      <w:r w:rsidRPr="001B185D">
        <w:rPr>
          <w:rFonts w:ascii="Times New Roman" w:eastAsia="Arial" w:hAnsi="Times New Roman" w:cs="Times New Roman"/>
          <w:b/>
          <w:i/>
          <w:color w:val="auto"/>
        </w:rPr>
        <w:t xml:space="preserve"> </w:t>
      </w:r>
      <w:r w:rsidRPr="001B185D">
        <w:rPr>
          <w:rFonts w:ascii="Times New Roman" w:eastAsia="Arial" w:hAnsi="Times New Roman" w:cs="Times New Roman"/>
          <w:color w:val="auto"/>
        </w:rPr>
        <w:t xml:space="preserve">is undertaken through a process by which the land gets registered and the </w:t>
      </w:r>
      <w:r w:rsidRPr="001B185D">
        <w:rPr>
          <w:rFonts w:ascii="Times New Roman" w:eastAsia="Arial" w:hAnsi="Times New Roman" w:cs="Times New Roman"/>
          <w:color w:val="auto"/>
        </w:rPr>
        <w:lastRenderedPageBreak/>
        <w:t xml:space="preserve">registration document gets handed over to the new owner. </w:t>
      </w:r>
      <w:r w:rsidRPr="001B185D">
        <w:rPr>
          <w:rFonts w:ascii="Times New Roman" w:hAnsi="Times New Roman" w:cs="Times New Roman"/>
          <w:color w:val="auto"/>
        </w:rPr>
        <w:t>World Bank’s Doing Business Indicators shows that there are eight steps and total of 244 days</w:t>
      </w:r>
      <w:r>
        <w:rPr>
          <w:rFonts w:ascii="Times New Roman" w:hAnsi="Times New Roman" w:cs="Times New Roman"/>
          <w:color w:val="auto"/>
        </w:rPr>
        <w:t xml:space="preserve"> needed on av</w:t>
      </w:r>
      <w:r w:rsidRPr="001B185D">
        <w:rPr>
          <w:rFonts w:ascii="Times New Roman" w:hAnsi="Times New Roman" w:cs="Times New Roman"/>
          <w:color w:val="auto"/>
        </w:rPr>
        <w:t>erage to complete the registration process</w:t>
      </w:r>
      <w:r w:rsidR="00DC02C7">
        <w:rPr>
          <w:rFonts w:ascii="Times New Roman" w:hAnsi="Times New Roman" w:cs="Times New Roman"/>
          <w:color w:val="auto"/>
        </w:rPr>
        <w:t xml:space="preserve"> (Table 7.6</w:t>
      </w:r>
      <w:r w:rsidR="008A60C8">
        <w:rPr>
          <w:rFonts w:ascii="Times New Roman" w:hAnsi="Times New Roman" w:cs="Times New Roman"/>
          <w:color w:val="auto"/>
        </w:rPr>
        <w:t>)</w:t>
      </w:r>
      <w:r w:rsidRPr="001B185D">
        <w:rPr>
          <w:rFonts w:ascii="Times New Roman" w:hAnsi="Times New Roman" w:cs="Times New Roman"/>
          <w:color w:val="auto"/>
        </w:rPr>
        <w:t xml:space="preserve">.  While the number of steps is comparable with other countries, the big difference is in the number of days it takes to complete the process even compared to India, Pakistan, and Sri Lanka, and so has scope for improvement. </w:t>
      </w:r>
    </w:p>
    <w:p w:rsidR="00A356FA" w:rsidRPr="008A60C8" w:rsidRDefault="00A356FA" w:rsidP="00E3762D">
      <w:pPr>
        <w:pStyle w:val="Heading4"/>
      </w:pPr>
      <w:bookmarkStart w:id="555" w:name="_Toc474639044"/>
      <w:r w:rsidRPr="008A60C8">
        <w:t xml:space="preserve">Table </w:t>
      </w:r>
      <w:r w:rsidR="00B50A6C" w:rsidRPr="008A60C8">
        <w:t>7.</w:t>
      </w:r>
      <w:r w:rsidR="00DC02C7">
        <w:t>6</w:t>
      </w:r>
      <w:r w:rsidR="008A60C8" w:rsidRPr="008A60C8">
        <w:t>:  Summary of Time, Cost and Procedures for Registering P</w:t>
      </w:r>
      <w:r w:rsidRPr="008A60C8">
        <w:t>roperty in Bangladesh</w:t>
      </w:r>
      <w:bookmarkEnd w:id="555"/>
    </w:p>
    <w:tbl>
      <w:tblPr>
        <w:tblStyle w:val="TableGrid"/>
        <w:tblW w:w="5000" w:type="pct"/>
        <w:tblLayout w:type="fixed"/>
        <w:tblLook w:val="04A0"/>
      </w:tblPr>
      <w:tblGrid>
        <w:gridCol w:w="737"/>
        <w:gridCol w:w="5740"/>
        <w:gridCol w:w="1630"/>
        <w:gridCol w:w="1469"/>
      </w:tblGrid>
      <w:tr w:rsidR="00A356FA" w:rsidRPr="00765B02" w:rsidTr="00E12250">
        <w:trPr>
          <w:trHeight w:val="144"/>
        </w:trPr>
        <w:tc>
          <w:tcPr>
            <w:tcW w:w="385" w:type="pct"/>
          </w:tcPr>
          <w:p w:rsidR="00A356FA" w:rsidRPr="0030561B" w:rsidRDefault="00A356FA" w:rsidP="00F0617A">
            <w:pPr>
              <w:pStyle w:val="Default"/>
              <w:spacing w:after="0" w:line="240" w:lineRule="auto"/>
              <w:jc w:val="center"/>
              <w:rPr>
                <w:rFonts w:ascii="Times New Roman" w:hAnsi="Times New Roman" w:cs="Times New Roman"/>
                <w:b/>
                <w:color w:val="000000" w:themeColor="text1"/>
              </w:rPr>
            </w:pPr>
            <w:r w:rsidRPr="0030561B">
              <w:rPr>
                <w:rFonts w:ascii="Times New Roman" w:hAnsi="Times New Roman" w:cs="Times New Roman"/>
                <w:b/>
                <w:color w:val="000000" w:themeColor="text1"/>
              </w:rPr>
              <w:t>No.</w:t>
            </w:r>
          </w:p>
        </w:tc>
        <w:tc>
          <w:tcPr>
            <w:tcW w:w="2997" w:type="pct"/>
          </w:tcPr>
          <w:p w:rsidR="00A356FA" w:rsidRPr="0030561B" w:rsidRDefault="00A356FA" w:rsidP="00F0617A">
            <w:pPr>
              <w:pStyle w:val="Default"/>
              <w:spacing w:after="0" w:line="240" w:lineRule="auto"/>
              <w:jc w:val="center"/>
              <w:rPr>
                <w:rFonts w:ascii="Times New Roman" w:hAnsi="Times New Roman" w:cs="Times New Roman"/>
                <w:b/>
                <w:color w:val="000000" w:themeColor="text1"/>
              </w:rPr>
            </w:pPr>
            <w:r w:rsidRPr="0030561B">
              <w:rPr>
                <w:rFonts w:ascii="Times New Roman" w:hAnsi="Times New Roman" w:cs="Times New Roman"/>
                <w:b/>
                <w:color w:val="000000" w:themeColor="text1"/>
              </w:rPr>
              <w:t>Procedure</w:t>
            </w:r>
          </w:p>
        </w:tc>
        <w:tc>
          <w:tcPr>
            <w:tcW w:w="851" w:type="pct"/>
          </w:tcPr>
          <w:p w:rsidR="00A356FA" w:rsidRPr="0030561B" w:rsidRDefault="00A356FA" w:rsidP="00F0617A">
            <w:pPr>
              <w:pStyle w:val="Default"/>
              <w:spacing w:after="0" w:line="240" w:lineRule="auto"/>
              <w:jc w:val="center"/>
              <w:rPr>
                <w:rFonts w:ascii="Times New Roman" w:hAnsi="Times New Roman" w:cs="Times New Roman"/>
                <w:b/>
                <w:color w:val="000000" w:themeColor="text1"/>
              </w:rPr>
            </w:pPr>
            <w:r w:rsidRPr="0030561B">
              <w:rPr>
                <w:rFonts w:ascii="Times New Roman" w:hAnsi="Times New Roman" w:cs="Times New Roman"/>
                <w:b/>
                <w:color w:val="000000" w:themeColor="text1"/>
              </w:rPr>
              <w:t>Time to Complete</w:t>
            </w:r>
          </w:p>
        </w:tc>
        <w:tc>
          <w:tcPr>
            <w:tcW w:w="767" w:type="pct"/>
          </w:tcPr>
          <w:p w:rsidR="00A356FA" w:rsidRPr="0030561B" w:rsidRDefault="00C66165" w:rsidP="00F0617A">
            <w:pPr>
              <w:pStyle w:val="Default"/>
              <w:spacing w:after="0" w:line="240" w:lineRule="auto"/>
              <w:jc w:val="center"/>
              <w:rPr>
                <w:rFonts w:ascii="Times New Roman" w:hAnsi="Times New Roman" w:cs="Times New Roman"/>
                <w:b/>
                <w:color w:val="000000" w:themeColor="text1"/>
              </w:rPr>
            </w:pPr>
            <w:r>
              <w:rPr>
                <w:rFonts w:ascii="Times New Roman" w:hAnsi="Times New Roman" w:cs="Times New Roman"/>
                <w:b/>
                <w:color w:val="000000" w:themeColor="text1"/>
              </w:rPr>
              <w:t xml:space="preserve">Cost </w:t>
            </w:r>
          </w:p>
        </w:tc>
      </w:tr>
      <w:tr w:rsidR="00A356FA" w:rsidRPr="00765B02" w:rsidTr="00E12250">
        <w:trPr>
          <w:trHeight w:val="144"/>
        </w:trPr>
        <w:tc>
          <w:tcPr>
            <w:tcW w:w="385" w:type="pct"/>
          </w:tcPr>
          <w:p w:rsidR="00A356FA" w:rsidRPr="004C1AF0" w:rsidRDefault="00A356FA" w:rsidP="00F0617A">
            <w:pPr>
              <w:pStyle w:val="Default"/>
              <w:spacing w:after="0" w:line="240" w:lineRule="auto"/>
              <w:rPr>
                <w:rFonts w:ascii="Times New Roman" w:hAnsi="Times New Roman" w:cs="Times New Roman"/>
                <w:color w:val="auto"/>
                <w:sz w:val="20"/>
              </w:rPr>
            </w:pPr>
            <w:r w:rsidRPr="004C1AF0">
              <w:rPr>
                <w:rFonts w:ascii="Times New Roman" w:hAnsi="Times New Roman" w:cs="Times New Roman"/>
                <w:color w:val="auto"/>
                <w:sz w:val="20"/>
              </w:rPr>
              <w:t>1.</w:t>
            </w:r>
          </w:p>
        </w:tc>
        <w:tc>
          <w:tcPr>
            <w:tcW w:w="2997" w:type="pct"/>
          </w:tcPr>
          <w:p w:rsidR="00A356FA" w:rsidRPr="004C1AF0" w:rsidRDefault="00A356FA" w:rsidP="00F0617A">
            <w:pPr>
              <w:widowControl w:val="0"/>
              <w:autoSpaceDE w:val="0"/>
              <w:autoSpaceDN w:val="0"/>
              <w:adjustRightInd w:val="0"/>
              <w:spacing w:after="0" w:line="240" w:lineRule="auto"/>
              <w:rPr>
                <w:rFonts w:cs="Times New Roman"/>
                <w:b/>
                <w:sz w:val="20"/>
              </w:rPr>
            </w:pPr>
            <w:r w:rsidRPr="004C1AF0">
              <w:rPr>
                <w:rFonts w:cs="Times New Roman"/>
                <w:b/>
                <w:sz w:val="20"/>
              </w:rPr>
              <w:t>Verify the record of rights from the Land Office (also known as Land Revenue Office)</w:t>
            </w:r>
          </w:p>
          <w:p w:rsidR="00A356FA" w:rsidRPr="004C1AF0" w:rsidRDefault="00A356FA" w:rsidP="00F0617A">
            <w:pPr>
              <w:widowControl w:val="0"/>
              <w:autoSpaceDE w:val="0"/>
              <w:autoSpaceDN w:val="0"/>
              <w:adjustRightInd w:val="0"/>
              <w:spacing w:after="0" w:line="240" w:lineRule="auto"/>
              <w:rPr>
                <w:rFonts w:cs="Times New Roman"/>
                <w:b/>
                <w:sz w:val="20"/>
              </w:rPr>
            </w:pPr>
          </w:p>
          <w:p w:rsidR="00A356FA" w:rsidRPr="00C66165" w:rsidRDefault="00A356FA" w:rsidP="004B0A08">
            <w:pPr>
              <w:spacing w:after="120" w:line="240" w:lineRule="auto"/>
              <w:jc w:val="both"/>
              <w:rPr>
                <w:i/>
                <w:sz w:val="20"/>
              </w:rPr>
            </w:pPr>
            <w:r w:rsidRPr="004C1AF0">
              <w:rPr>
                <w:rFonts w:cs="Times New Roman"/>
                <w:sz w:val="20"/>
              </w:rPr>
              <w:t>"</w:t>
            </w:r>
            <w:r w:rsidR="009A719A" w:rsidRPr="004C1AF0" w:rsidDel="009A719A">
              <w:rPr>
                <w:rFonts w:cs="Times New Roman"/>
                <w:sz w:val="20"/>
              </w:rPr>
              <w:t xml:space="preserve"> </w:t>
            </w:r>
            <w:r w:rsidRPr="00C66165">
              <w:rPr>
                <w:rFonts w:cs="Times New Roman"/>
                <w:i/>
                <w:sz w:val="20"/>
              </w:rPr>
              <w:t>Agency: Land Office or Land Revenue Office</w:t>
            </w:r>
          </w:p>
        </w:tc>
        <w:tc>
          <w:tcPr>
            <w:tcW w:w="851" w:type="pct"/>
          </w:tcPr>
          <w:p w:rsidR="00A356FA" w:rsidRPr="0030561B" w:rsidRDefault="00A356FA" w:rsidP="00F0617A">
            <w:pPr>
              <w:widowControl w:val="0"/>
              <w:autoSpaceDE w:val="0"/>
              <w:autoSpaceDN w:val="0"/>
              <w:adjustRightInd w:val="0"/>
              <w:spacing w:after="0" w:line="240" w:lineRule="auto"/>
              <w:rPr>
                <w:rFonts w:cs="Times New Roman"/>
                <w:sz w:val="20"/>
              </w:rPr>
            </w:pPr>
            <w:r w:rsidRPr="0030561B">
              <w:rPr>
                <w:rFonts w:cs="Times New Roman"/>
                <w:sz w:val="20"/>
              </w:rPr>
              <w:t>30 days</w:t>
            </w:r>
          </w:p>
          <w:p w:rsidR="00A356FA" w:rsidRPr="0030561B" w:rsidRDefault="00A356FA" w:rsidP="00F0617A">
            <w:pPr>
              <w:widowControl w:val="0"/>
              <w:autoSpaceDE w:val="0"/>
              <w:autoSpaceDN w:val="0"/>
              <w:adjustRightInd w:val="0"/>
              <w:spacing w:after="0" w:line="240" w:lineRule="auto"/>
              <w:rPr>
                <w:rFonts w:cs="Times New Roman"/>
                <w:sz w:val="20"/>
              </w:rPr>
            </w:pPr>
            <w:r w:rsidRPr="0030561B">
              <w:rPr>
                <w:rFonts w:cs="Times New Roman"/>
                <w:sz w:val="20"/>
              </w:rPr>
              <w:t>(simultaneous</w:t>
            </w:r>
          </w:p>
          <w:p w:rsidR="00A356FA" w:rsidRPr="0030561B" w:rsidRDefault="00A356FA" w:rsidP="00F0617A">
            <w:pPr>
              <w:widowControl w:val="0"/>
              <w:autoSpaceDE w:val="0"/>
              <w:autoSpaceDN w:val="0"/>
              <w:adjustRightInd w:val="0"/>
              <w:spacing w:after="0" w:line="240" w:lineRule="auto"/>
              <w:rPr>
                <w:rFonts w:cs="Times New Roman"/>
                <w:sz w:val="20"/>
              </w:rPr>
            </w:pPr>
            <w:r w:rsidRPr="0030561B">
              <w:rPr>
                <w:rFonts w:cs="Times New Roman"/>
                <w:sz w:val="20"/>
              </w:rPr>
              <w:t>with procedures 2 and 3)</w:t>
            </w:r>
          </w:p>
        </w:tc>
        <w:tc>
          <w:tcPr>
            <w:tcW w:w="767" w:type="pct"/>
          </w:tcPr>
          <w:p w:rsidR="00A356FA" w:rsidRPr="0030561B" w:rsidRDefault="00A356FA" w:rsidP="00F0617A">
            <w:pPr>
              <w:pStyle w:val="Default"/>
              <w:spacing w:after="0" w:line="240" w:lineRule="auto"/>
              <w:rPr>
                <w:rFonts w:ascii="Times New Roman" w:hAnsi="Times New Roman" w:cs="Times New Roman"/>
                <w:color w:val="auto"/>
                <w:sz w:val="20"/>
              </w:rPr>
            </w:pPr>
            <w:r w:rsidRPr="00CE739C">
              <w:rPr>
                <w:rFonts w:ascii="Times New Roman" w:hAnsi="Times New Roman" w:cs="Times New Roman"/>
                <w:color w:val="auto"/>
                <w:sz w:val="20"/>
              </w:rPr>
              <w:t>BDT 3,000-6,000</w:t>
            </w:r>
          </w:p>
        </w:tc>
      </w:tr>
      <w:tr w:rsidR="00A356FA" w:rsidRPr="00765B02" w:rsidTr="00E12250">
        <w:trPr>
          <w:trHeight w:val="144"/>
        </w:trPr>
        <w:tc>
          <w:tcPr>
            <w:tcW w:w="385" w:type="pct"/>
          </w:tcPr>
          <w:p w:rsidR="00A356FA" w:rsidRPr="004C1AF0" w:rsidRDefault="00A356FA" w:rsidP="00F0617A">
            <w:pPr>
              <w:pStyle w:val="Default"/>
              <w:spacing w:after="0" w:line="240" w:lineRule="auto"/>
              <w:rPr>
                <w:rFonts w:ascii="Times New Roman" w:hAnsi="Times New Roman" w:cs="Times New Roman"/>
                <w:color w:val="auto"/>
                <w:sz w:val="20"/>
              </w:rPr>
            </w:pPr>
            <w:r w:rsidRPr="004C1AF0">
              <w:rPr>
                <w:rFonts w:ascii="Times New Roman" w:hAnsi="Times New Roman" w:cs="Times New Roman"/>
                <w:color w:val="auto"/>
                <w:sz w:val="20"/>
              </w:rPr>
              <w:t>2.</w:t>
            </w:r>
          </w:p>
        </w:tc>
        <w:tc>
          <w:tcPr>
            <w:tcW w:w="2997" w:type="pct"/>
          </w:tcPr>
          <w:p w:rsidR="00A356FA" w:rsidRPr="004C1AF0" w:rsidRDefault="00A356FA" w:rsidP="00F0617A">
            <w:pPr>
              <w:widowControl w:val="0"/>
              <w:autoSpaceDE w:val="0"/>
              <w:autoSpaceDN w:val="0"/>
              <w:adjustRightInd w:val="0"/>
              <w:spacing w:after="0" w:line="240" w:lineRule="auto"/>
              <w:rPr>
                <w:rFonts w:cs="Times New Roman"/>
                <w:sz w:val="20"/>
              </w:rPr>
            </w:pPr>
            <w:r w:rsidRPr="004C1AF0">
              <w:rPr>
                <w:rFonts w:cs="Times New Roman"/>
                <w:sz w:val="20"/>
              </w:rPr>
              <w:t xml:space="preserve">* </w:t>
            </w:r>
            <w:r w:rsidRPr="004C1AF0">
              <w:rPr>
                <w:rFonts w:cs="Times New Roman"/>
                <w:b/>
                <w:sz w:val="20"/>
              </w:rPr>
              <w:t>Conduct BS Mutation on property</w:t>
            </w:r>
          </w:p>
          <w:p w:rsidR="00A356FA" w:rsidRPr="004C1AF0" w:rsidRDefault="00A356FA" w:rsidP="00F0617A">
            <w:pPr>
              <w:pStyle w:val="Default"/>
              <w:spacing w:after="0" w:line="240" w:lineRule="auto"/>
              <w:rPr>
                <w:rFonts w:ascii="Times New Roman" w:hAnsi="Times New Roman" w:cs="Times New Roman"/>
                <w:color w:val="auto"/>
                <w:sz w:val="20"/>
              </w:rPr>
            </w:pPr>
          </w:p>
          <w:p w:rsidR="00A356FA" w:rsidRPr="00C66165" w:rsidRDefault="00A356FA" w:rsidP="00F0617A">
            <w:pPr>
              <w:pStyle w:val="Default"/>
              <w:spacing w:after="0" w:line="240" w:lineRule="auto"/>
              <w:rPr>
                <w:rFonts w:ascii="Times New Roman" w:hAnsi="Times New Roman" w:cs="Times New Roman"/>
                <w:i/>
                <w:color w:val="auto"/>
                <w:sz w:val="20"/>
              </w:rPr>
            </w:pPr>
            <w:r w:rsidRPr="00C66165">
              <w:rPr>
                <w:rFonts w:ascii="Times New Roman" w:hAnsi="Times New Roman" w:cs="Times New Roman"/>
                <w:i/>
                <w:color w:val="auto"/>
                <w:sz w:val="20"/>
              </w:rPr>
              <w:t>Agency: Assistant Commissioner of Lands (Tahsil)</w:t>
            </w:r>
          </w:p>
        </w:tc>
        <w:tc>
          <w:tcPr>
            <w:tcW w:w="851" w:type="pct"/>
          </w:tcPr>
          <w:p w:rsidR="00A356FA" w:rsidRPr="0030561B" w:rsidRDefault="00C66165" w:rsidP="00F0617A">
            <w:pPr>
              <w:widowControl w:val="0"/>
              <w:autoSpaceDE w:val="0"/>
              <w:autoSpaceDN w:val="0"/>
              <w:adjustRightInd w:val="0"/>
              <w:spacing w:after="0" w:line="240" w:lineRule="auto"/>
              <w:rPr>
                <w:rFonts w:cs="Times New Roman"/>
                <w:sz w:val="20"/>
              </w:rPr>
            </w:pPr>
            <w:r>
              <w:rPr>
                <w:rFonts w:cs="Times New Roman"/>
                <w:sz w:val="20"/>
              </w:rPr>
              <w:t>30 days (</w:t>
            </w:r>
            <w:r w:rsidR="00A356FA" w:rsidRPr="0030561B">
              <w:rPr>
                <w:rFonts w:cs="Times New Roman"/>
                <w:sz w:val="20"/>
              </w:rPr>
              <w:t>procedures 1</w:t>
            </w:r>
          </w:p>
          <w:p w:rsidR="00A356FA" w:rsidRPr="0030561B" w:rsidRDefault="00A356FA" w:rsidP="00F0617A">
            <w:pPr>
              <w:pStyle w:val="Default"/>
              <w:spacing w:after="0" w:line="240" w:lineRule="auto"/>
              <w:rPr>
                <w:rFonts w:ascii="Times New Roman" w:hAnsi="Times New Roman" w:cs="Times New Roman"/>
                <w:color w:val="auto"/>
                <w:sz w:val="20"/>
              </w:rPr>
            </w:pPr>
            <w:r w:rsidRPr="0030561B">
              <w:rPr>
                <w:rFonts w:ascii="Times New Roman" w:hAnsi="Times New Roman" w:cs="Times New Roman"/>
                <w:color w:val="auto"/>
                <w:sz w:val="20"/>
              </w:rPr>
              <w:t>and 3)</w:t>
            </w:r>
          </w:p>
        </w:tc>
        <w:tc>
          <w:tcPr>
            <w:tcW w:w="767" w:type="pct"/>
          </w:tcPr>
          <w:p w:rsidR="00A356FA" w:rsidRPr="0030561B" w:rsidRDefault="00A356FA" w:rsidP="00F0617A">
            <w:pPr>
              <w:pStyle w:val="Default"/>
              <w:spacing w:after="0" w:line="240" w:lineRule="auto"/>
              <w:rPr>
                <w:rFonts w:ascii="Times New Roman" w:hAnsi="Times New Roman" w:cs="Times New Roman"/>
                <w:color w:val="auto"/>
                <w:sz w:val="20"/>
              </w:rPr>
            </w:pPr>
            <w:r w:rsidRPr="0030561B">
              <w:rPr>
                <w:rFonts w:ascii="Times New Roman" w:hAnsi="Times New Roman" w:cs="Times New Roman"/>
                <w:color w:val="auto"/>
                <w:sz w:val="20"/>
              </w:rPr>
              <w:t>BDT 15000</w:t>
            </w:r>
          </w:p>
        </w:tc>
      </w:tr>
      <w:tr w:rsidR="00A356FA" w:rsidRPr="00765B02" w:rsidTr="00E12250">
        <w:trPr>
          <w:trHeight w:val="144"/>
        </w:trPr>
        <w:tc>
          <w:tcPr>
            <w:tcW w:w="385" w:type="pct"/>
          </w:tcPr>
          <w:p w:rsidR="00A356FA" w:rsidRPr="004C1AF0" w:rsidRDefault="00A356FA" w:rsidP="00F0617A">
            <w:pPr>
              <w:pStyle w:val="Default"/>
              <w:spacing w:after="0" w:line="240" w:lineRule="auto"/>
              <w:rPr>
                <w:rFonts w:ascii="Times New Roman" w:hAnsi="Times New Roman" w:cs="Times New Roman"/>
                <w:color w:val="auto"/>
                <w:sz w:val="20"/>
              </w:rPr>
            </w:pPr>
            <w:r w:rsidRPr="004C1AF0">
              <w:rPr>
                <w:rFonts w:ascii="Times New Roman" w:hAnsi="Times New Roman" w:cs="Times New Roman"/>
                <w:color w:val="auto"/>
                <w:sz w:val="20"/>
              </w:rPr>
              <w:t>3.</w:t>
            </w:r>
          </w:p>
        </w:tc>
        <w:tc>
          <w:tcPr>
            <w:tcW w:w="2997" w:type="pct"/>
          </w:tcPr>
          <w:p w:rsidR="00A356FA" w:rsidRPr="004C1AF0" w:rsidRDefault="00A356FA" w:rsidP="00F0617A">
            <w:pPr>
              <w:widowControl w:val="0"/>
              <w:autoSpaceDE w:val="0"/>
              <w:autoSpaceDN w:val="0"/>
              <w:adjustRightInd w:val="0"/>
              <w:spacing w:after="0" w:line="240" w:lineRule="auto"/>
              <w:rPr>
                <w:rFonts w:cs="Times New Roman"/>
                <w:b/>
                <w:sz w:val="20"/>
              </w:rPr>
            </w:pPr>
            <w:r w:rsidRPr="004C1AF0">
              <w:rPr>
                <w:rFonts w:cs="Times New Roman"/>
                <w:b/>
                <w:sz w:val="20"/>
              </w:rPr>
              <w:t>* Obtain inspection for BS Mutation</w:t>
            </w:r>
          </w:p>
          <w:p w:rsidR="00A356FA" w:rsidRPr="004C1AF0" w:rsidRDefault="00A356FA" w:rsidP="00F0617A">
            <w:pPr>
              <w:pStyle w:val="Default"/>
              <w:spacing w:after="0" w:line="240" w:lineRule="auto"/>
              <w:rPr>
                <w:rFonts w:ascii="Times New Roman" w:hAnsi="Times New Roman" w:cs="Times New Roman"/>
                <w:color w:val="auto"/>
                <w:sz w:val="20"/>
              </w:rPr>
            </w:pPr>
          </w:p>
          <w:p w:rsidR="00A356FA" w:rsidRPr="00C66165" w:rsidRDefault="00A356FA" w:rsidP="00F0617A">
            <w:pPr>
              <w:pStyle w:val="Default"/>
              <w:spacing w:after="0" w:line="240" w:lineRule="auto"/>
              <w:rPr>
                <w:rFonts w:ascii="Times New Roman" w:hAnsi="Times New Roman" w:cs="Times New Roman"/>
                <w:i/>
                <w:color w:val="auto"/>
                <w:sz w:val="20"/>
              </w:rPr>
            </w:pPr>
            <w:r w:rsidRPr="00C66165">
              <w:rPr>
                <w:rFonts w:ascii="Times New Roman" w:hAnsi="Times New Roman" w:cs="Times New Roman"/>
                <w:i/>
                <w:color w:val="auto"/>
                <w:sz w:val="20"/>
              </w:rPr>
              <w:t>Agency: Assistant Commissioner of Lands (Tahsil)</w:t>
            </w:r>
          </w:p>
        </w:tc>
        <w:tc>
          <w:tcPr>
            <w:tcW w:w="851" w:type="pct"/>
          </w:tcPr>
          <w:p w:rsidR="00A356FA" w:rsidRPr="0030561B" w:rsidRDefault="00C66165" w:rsidP="00F0617A">
            <w:pPr>
              <w:widowControl w:val="0"/>
              <w:autoSpaceDE w:val="0"/>
              <w:autoSpaceDN w:val="0"/>
              <w:adjustRightInd w:val="0"/>
              <w:spacing w:after="0" w:line="240" w:lineRule="auto"/>
              <w:rPr>
                <w:rFonts w:cs="Times New Roman"/>
                <w:sz w:val="20"/>
              </w:rPr>
            </w:pPr>
            <w:r>
              <w:rPr>
                <w:rFonts w:cs="Times New Roman"/>
                <w:sz w:val="20"/>
              </w:rPr>
              <w:t>30 days (</w:t>
            </w:r>
            <w:r w:rsidR="00A356FA" w:rsidRPr="0030561B">
              <w:rPr>
                <w:rFonts w:cs="Times New Roman"/>
                <w:sz w:val="20"/>
              </w:rPr>
              <w:t>procedures 1</w:t>
            </w:r>
          </w:p>
          <w:p w:rsidR="00A356FA" w:rsidRPr="0030561B" w:rsidRDefault="00A356FA" w:rsidP="00F0617A">
            <w:pPr>
              <w:pStyle w:val="Default"/>
              <w:spacing w:after="0" w:line="240" w:lineRule="auto"/>
              <w:rPr>
                <w:rFonts w:ascii="Times New Roman" w:hAnsi="Times New Roman" w:cs="Times New Roman"/>
                <w:color w:val="auto"/>
                <w:sz w:val="20"/>
              </w:rPr>
            </w:pPr>
            <w:r w:rsidRPr="0030561B">
              <w:rPr>
                <w:rFonts w:ascii="Times New Roman" w:hAnsi="Times New Roman" w:cs="Times New Roman"/>
                <w:color w:val="auto"/>
                <w:sz w:val="20"/>
              </w:rPr>
              <w:t>and 2)</w:t>
            </w:r>
          </w:p>
        </w:tc>
        <w:tc>
          <w:tcPr>
            <w:tcW w:w="767" w:type="pct"/>
          </w:tcPr>
          <w:p w:rsidR="00A356FA" w:rsidRPr="0030561B" w:rsidRDefault="00A356FA" w:rsidP="00F0617A">
            <w:pPr>
              <w:pStyle w:val="Default"/>
              <w:spacing w:after="0" w:line="240" w:lineRule="auto"/>
              <w:rPr>
                <w:rFonts w:ascii="Times New Roman" w:hAnsi="Times New Roman" w:cs="Times New Roman"/>
                <w:color w:val="auto"/>
                <w:sz w:val="20"/>
              </w:rPr>
            </w:pPr>
            <w:r w:rsidRPr="0030561B">
              <w:rPr>
                <w:rFonts w:ascii="Times New Roman" w:hAnsi="Times New Roman" w:cs="Times New Roman"/>
                <w:color w:val="auto"/>
                <w:sz w:val="20"/>
              </w:rPr>
              <w:t>BDT 15000</w:t>
            </w:r>
          </w:p>
        </w:tc>
      </w:tr>
      <w:tr w:rsidR="00A356FA" w:rsidRPr="00765B02" w:rsidTr="00E12250">
        <w:trPr>
          <w:trHeight w:val="144"/>
        </w:trPr>
        <w:tc>
          <w:tcPr>
            <w:tcW w:w="385" w:type="pct"/>
          </w:tcPr>
          <w:p w:rsidR="00A356FA" w:rsidRPr="004C1AF0" w:rsidRDefault="00A356FA" w:rsidP="00F0617A">
            <w:pPr>
              <w:pStyle w:val="Default"/>
              <w:spacing w:after="0" w:line="240" w:lineRule="auto"/>
              <w:rPr>
                <w:rFonts w:ascii="Times New Roman" w:hAnsi="Times New Roman" w:cs="Times New Roman"/>
                <w:color w:val="auto"/>
                <w:sz w:val="20"/>
              </w:rPr>
            </w:pPr>
            <w:r w:rsidRPr="004C1AF0">
              <w:rPr>
                <w:rFonts w:ascii="Times New Roman" w:hAnsi="Times New Roman" w:cs="Times New Roman"/>
                <w:color w:val="auto"/>
                <w:sz w:val="20"/>
              </w:rPr>
              <w:t>4.</w:t>
            </w:r>
          </w:p>
        </w:tc>
        <w:tc>
          <w:tcPr>
            <w:tcW w:w="2997" w:type="pct"/>
          </w:tcPr>
          <w:p w:rsidR="00A356FA" w:rsidRPr="004C1AF0" w:rsidRDefault="00A356FA" w:rsidP="00F0617A">
            <w:pPr>
              <w:widowControl w:val="0"/>
              <w:autoSpaceDE w:val="0"/>
              <w:autoSpaceDN w:val="0"/>
              <w:adjustRightInd w:val="0"/>
              <w:spacing w:after="0" w:line="240" w:lineRule="auto"/>
              <w:rPr>
                <w:rFonts w:cs="Times New Roman"/>
                <w:sz w:val="20"/>
              </w:rPr>
            </w:pPr>
            <w:r w:rsidRPr="004C1AF0">
              <w:rPr>
                <w:rFonts w:cs="Times New Roman"/>
                <w:b/>
                <w:sz w:val="20"/>
              </w:rPr>
              <w:t>Obtain the non-encumbrance certificate from the relevant</w:t>
            </w:r>
            <w:r w:rsidRPr="004C1AF0">
              <w:rPr>
                <w:rFonts w:cs="Times New Roman"/>
                <w:sz w:val="20"/>
              </w:rPr>
              <w:t xml:space="preserve"> </w:t>
            </w:r>
            <w:r w:rsidRPr="004C1AF0">
              <w:rPr>
                <w:rFonts w:cs="Times New Roman"/>
                <w:b/>
                <w:sz w:val="20"/>
              </w:rPr>
              <w:t>Sub-registry office.</w:t>
            </w:r>
          </w:p>
          <w:p w:rsidR="00A356FA" w:rsidRPr="00C66165" w:rsidRDefault="00A356FA" w:rsidP="00F0617A">
            <w:pPr>
              <w:pStyle w:val="Default"/>
              <w:spacing w:after="0" w:line="240" w:lineRule="auto"/>
              <w:rPr>
                <w:rFonts w:ascii="Times New Roman" w:hAnsi="Times New Roman" w:cs="Times New Roman"/>
                <w:i/>
                <w:color w:val="auto"/>
                <w:sz w:val="20"/>
              </w:rPr>
            </w:pPr>
            <w:r w:rsidRPr="00C66165">
              <w:rPr>
                <w:rFonts w:ascii="Times New Roman" w:hAnsi="Times New Roman" w:cs="Times New Roman"/>
                <w:i/>
                <w:color w:val="auto"/>
                <w:sz w:val="20"/>
              </w:rPr>
              <w:t>Agency: Sub-registry and Land Revenue Office</w:t>
            </w:r>
          </w:p>
        </w:tc>
        <w:tc>
          <w:tcPr>
            <w:tcW w:w="851" w:type="pct"/>
          </w:tcPr>
          <w:p w:rsidR="00A356FA" w:rsidRPr="0030561B" w:rsidRDefault="00A356FA" w:rsidP="00F0617A">
            <w:pPr>
              <w:pStyle w:val="Default"/>
              <w:spacing w:after="0" w:line="240" w:lineRule="auto"/>
              <w:rPr>
                <w:rFonts w:ascii="Times New Roman" w:hAnsi="Times New Roman" w:cs="Times New Roman"/>
                <w:color w:val="auto"/>
                <w:sz w:val="20"/>
              </w:rPr>
            </w:pPr>
            <w:r w:rsidRPr="0030561B">
              <w:rPr>
                <w:rFonts w:ascii="Times New Roman" w:hAnsi="Times New Roman" w:cs="Times New Roman"/>
                <w:color w:val="auto"/>
                <w:sz w:val="20"/>
              </w:rPr>
              <w:t>30 days</w:t>
            </w:r>
          </w:p>
        </w:tc>
        <w:tc>
          <w:tcPr>
            <w:tcW w:w="767" w:type="pct"/>
          </w:tcPr>
          <w:p w:rsidR="00A356FA" w:rsidRPr="0030561B" w:rsidRDefault="00A356FA" w:rsidP="00F0617A">
            <w:pPr>
              <w:pStyle w:val="Default"/>
              <w:spacing w:after="0" w:line="240" w:lineRule="auto"/>
              <w:rPr>
                <w:rFonts w:ascii="Times New Roman" w:hAnsi="Times New Roman" w:cs="Times New Roman"/>
                <w:color w:val="auto"/>
                <w:sz w:val="20"/>
              </w:rPr>
            </w:pPr>
            <w:r w:rsidRPr="0030561B">
              <w:rPr>
                <w:rFonts w:ascii="Times New Roman" w:hAnsi="Times New Roman" w:cs="Times New Roman"/>
                <w:color w:val="auto"/>
                <w:sz w:val="20"/>
              </w:rPr>
              <w:t>BDT 2500</w:t>
            </w:r>
          </w:p>
        </w:tc>
      </w:tr>
      <w:tr w:rsidR="00A356FA" w:rsidRPr="00765B02" w:rsidTr="00E12250">
        <w:trPr>
          <w:trHeight w:val="144"/>
        </w:trPr>
        <w:tc>
          <w:tcPr>
            <w:tcW w:w="385" w:type="pct"/>
          </w:tcPr>
          <w:p w:rsidR="00A356FA" w:rsidRPr="004C1AF0" w:rsidRDefault="00A356FA" w:rsidP="00F0617A">
            <w:pPr>
              <w:pStyle w:val="Default"/>
              <w:spacing w:after="0" w:line="240" w:lineRule="auto"/>
              <w:rPr>
                <w:rFonts w:ascii="Times New Roman" w:hAnsi="Times New Roman" w:cs="Times New Roman"/>
                <w:color w:val="auto"/>
                <w:sz w:val="20"/>
              </w:rPr>
            </w:pPr>
            <w:r w:rsidRPr="004C1AF0">
              <w:rPr>
                <w:rFonts w:ascii="Times New Roman" w:hAnsi="Times New Roman" w:cs="Times New Roman"/>
                <w:color w:val="auto"/>
                <w:sz w:val="20"/>
              </w:rPr>
              <w:t>5.</w:t>
            </w:r>
          </w:p>
        </w:tc>
        <w:tc>
          <w:tcPr>
            <w:tcW w:w="2997" w:type="pct"/>
          </w:tcPr>
          <w:p w:rsidR="00A356FA" w:rsidRPr="004C1AF0" w:rsidRDefault="00A356FA" w:rsidP="00F0617A">
            <w:pPr>
              <w:widowControl w:val="0"/>
              <w:autoSpaceDE w:val="0"/>
              <w:autoSpaceDN w:val="0"/>
              <w:adjustRightInd w:val="0"/>
              <w:spacing w:after="0" w:line="240" w:lineRule="auto"/>
              <w:rPr>
                <w:rFonts w:cs="Times New Roman"/>
                <w:b/>
                <w:sz w:val="20"/>
              </w:rPr>
            </w:pPr>
            <w:r w:rsidRPr="004C1AF0">
              <w:rPr>
                <w:rFonts w:cs="Times New Roman"/>
                <w:b/>
                <w:sz w:val="20"/>
              </w:rPr>
              <w:t>Prepare deed</w:t>
            </w:r>
            <w:r w:rsidR="00B26B78">
              <w:rPr>
                <w:rFonts w:cs="Times New Roman"/>
                <w:b/>
                <w:sz w:val="20"/>
              </w:rPr>
              <w:t xml:space="preserve"> of transfer and pay stamp duty</w:t>
            </w:r>
          </w:p>
          <w:p w:rsidR="00A356FA" w:rsidRPr="00C66165" w:rsidRDefault="00A356FA" w:rsidP="004B0A08">
            <w:pPr>
              <w:widowControl w:val="0"/>
              <w:autoSpaceDE w:val="0"/>
              <w:autoSpaceDN w:val="0"/>
              <w:adjustRightInd w:val="0"/>
              <w:spacing w:after="0" w:line="240" w:lineRule="auto"/>
              <w:jc w:val="both"/>
              <w:rPr>
                <w:rFonts w:cs="Times New Roman"/>
                <w:i/>
                <w:sz w:val="20"/>
              </w:rPr>
            </w:pPr>
            <w:r w:rsidRPr="004C1AF0">
              <w:rPr>
                <w:rFonts w:cs="Times New Roman"/>
                <w:sz w:val="20"/>
              </w:rPr>
              <w:t>"</w:t>
            </w:r>
            <w:r w:rsidR="009A719A" w:rsidRPr="004C1AF0" w:rsidDel="009A719A">
              <w:rPr>
                <w:rFonts w:cs="Times New Roman"/>
                <w:sz w:val="20"/>
              </w:rPr>
              <w:t xml:space="preserve"> </w:t>
            </w:r>
            <w:r w:rsidRPr="00C66165">
              <w:rPr>
                <w:rFonts w:cs="Times New Roman"/>
                <w:i/>
                <w:sz w:val="20"/>
              </w:rPr>
              <w:t>Agency: Registry Office and Designated Bank</w:t>
            </w:r>
          </w:p>
        </w:tc>
        <w:tc>
          <w:tcPr>
            <w:tcW w:w="851" w:type="pct"/>
          </w:tcPr>
          <w:p w:rsidR="00A356FA" w:rsidRPr="0030561B" w:rsidRDefault="00A356FA" w:rsidP="00F0617A">
            <w:pPr>
              <w:pStyle w:val="Default"/>
              <w:spacing w:after="0" w:line="240" w:lineRule="auto"/>
              <w:rPr>
                <w:rFonts w:ascii="Times New Roman" w:hAnsi="Times New Roman" w:cs="Times New Roman"/>
                <w:color w:val="auto"/>
                <w:sz w:val="20"/>
              </w:rPr>
            </w:pPr>
            <w:r w:rsidRPr="0030561B">
              <w:rPr>
                <w:rFonts w:ascii="Times New Roman" w:hAnsi="Times New Roman" w:cs="Times New Roman"/>
                <w:color w:val="auto"/>
                <w:sz w:val="20"/>
              </w:rPr>
              <w:t>1 day</w:t>
            </w:r>
          </w:p>
        </w:tc>
        <w:tc>
          <w:tcPr>
            <w:tcW w:w="767" w:type="pct"/>
          </w:tcPr>
          <w:p w:rsidR="00A356FA" w:rsidRPr="0030561B" w:rsidRDefault="00A356FA" w:rsidP="00F0617A">
            <w:pPr>
              <w:widowControl w:val="0"/>
              <w:autoSpaceDE w:val="0"/>
              <w:autoSpaceDN w:val="0"/>
              <w:adjustRightInd w:val="0"/>
              <w:spacing w:after="0" w:line="240" w:lineRule="auto"/>
              <w:rPr>
                <w:rFonts w:cs="Times New Roman"/>
                <w:sz w:val="20"/>
              </w:rPr>
            </w:pPr>
            <w:r w:rsidRPr="0030561B">
              <w:rPr>
                <w:rFonts w:cs="Times New Roman"/>
                <w:sz w:val="20"/>
              </w:rPr>
              <w:t>3% of property</w:t>
            </w:r>
          </w:p>
          <w:p w:rsidR="00A356FA" w:rsidRPr="0030561B" w:rsidRDefault="00A356FA" w:rsidP="00F0617A">
            <w:pPr>
              <w:pStyle w:val="Default"/>
              <w:spacing w:after="0" w:line="240" w:lineRule="auto"/>
              <w:rPr>
                <w:rFonts w:ascii="Times New Roman" w:hAnsi="Times New Roman" w:cs="Times New Roman"/>
                <w:color w:val="auto"/>
                <w:sz w:val="20"/>
              </w:rPr>
            </w:pPr>
            <w:r w:rsidRPr="0030561B">
              <w:rPr>
                <w:rFonts w:ascii="Times New Roman" w:hAnsi="Times New Roman" w:cs="Times New Roman"/>
                <w:color w:val="auto"/>
                <w:sz w:val="20"/>
              </w:rPr>
              <w:t>value (Stamp duty)</w:t>
            </w:r>
          </w:p>
        </w:tc>
      </w:tr>
    </w:tbl>
    <w:p w:rsidR="008A60C8" w:rsidRDefault="00CE739C" w:rsidP="00CE739C">
      <w:pPr>
        <w:spacing w:before="120"/>
        <w:rPr>
          <w:rFonts w:eastAsia="Arial" w:cs="Times New Roman"/>
          <w:b/>
          <w:i/>
          <w:sz w:val="20"/>
        </w:rPr>
      </w:pPr>
      <w:r w:rsidRPr="00CE739C">
        <w:rPr>
          <w:rFonts w:eastAsia="Arial" w:cs="Times New Roman"/>
          <w:b/>
          <w:i/>
          <w:sz w:val="20"/>
        </w:rPr>
        <w:t>Source: World Bank. Doing Business, 2015</w:t>
      </w:r>
    </w:p>
    <w:p w:rsidR="00F0617A" w:rsidRPr="00A356DE" w:rsidRDefault="008A60C8" w:rsidP="00A356DE">
      <w:pPr>
        <w:pStyle w:val="Default"/>
        <w:spacing w:line="276" w:lineRule="auto"/>
        <w:jc w:val="both"/>
        <w:rPr>
          <w:rFonts w:ascii="Times New Roman" w:eastAsia="Arial" w:hAnsi="Times New Roman" w:cs="Times New Roman"/>
          <w:color w:val="auto"/>
        </w:rPr>
      </w:pPr>
      <w:r w:rsidRPr="001B185D">
        <w:rPr>
          <w:rFonts w:ascii="Times New Roman" w:hAnsi="Times New Roman" w:cs="Times New Roman"/>
          <w:color w:val="auto"/>
        </w:rPr>
        <w:t xml:space="preserve">While the Registration process apparently has clearly laid out steps, </w:t>
      </w:r>
      <w:r w:rsidRPr="001B185D">
        <w:rPr>
          <w:rFonts w:ascii="Times New Roman" w:hAnsi="Times New Roman" w:cs="Times New Roman"/>
          <w:i/>
          <w:color w:val="auto"/>
        </w:rPr>
        <w:t>the problem is within those steps</w:t>
      </w:r>
      <w:r w:rsidRPr="001B185D">
        <w:rPr>
          <w:rFonts w:ascii="Times New Roman" w:hAnsi="Times New Roman" w:cs="Times New Roman"/>
          <w:color w:val="auto"/>
        </w:rPr>
        <w:t xml:space="preserve">, and as a result it becomes very difficult for the average citizen to navigate through that maze of steps and processes without the support of intermediaries, which also leads to informal payments.  </w:t>
      </w:r>
      <w:r w:rsidRPr="001B185D">
        <w:rPr>
          <w:rFonts w:ascii="Times New Roman" w:eastAsia="Arial" w:hAnsi="Times New Roman" w:cs="Times New Roman"/>
          <w:color w:val="auto"/>
        </w:rPr>
        <w:t xml:space="preserve">. </w:t>
      </w:r>
    </w:p>
    <w:p w:rsidR="00A356FA" w:rsidRPr="001B185D" w:rsidRDefault="00A356FA" w:rsidP="00A356FA">
      <w:pPr>
        <w:pStyle w:val="Default"/>
        <w:spacing w:line="276" w:lineRule="auto"/>
        <w:jc w:val="both"/>
        <w:rPr>
          <w:rFonts w:ascii="Times New Roman" w:hAnsi="Times New Roman" w:cs="Times New Roman"/>
          <w:color w:val="auto"/>
        </w:rPr>
      </w:pPr>
      <w:r w:rsidRPr="001B185D">
        <w:rPr>
          <w:rFonts w:ascii="Times New Roman" w:eastAsia="Arial" w:hAnsi="Times New Roman" w:cs="Times New Roman"/>
          <w:color w:val="auto"/>
        </w:rPr>
        <w:t>The land transfer proc</w:t>
      </w:r>
      <w:r w:rsidR="00A356DE">
        <w:rPr>
          <w:rFonts w:ascii="Times New Roman" w:eastAsia="Arial" w:hAnsi="Times New Roman" w:cs="Times New Roman"/>
          <w:color w:val="auto"/>
        </w:rPr>
        <w:t>ess</w:t>
      </w:r>
      <w:r w:rsidRPr="001B185D">
        <w:rPr>
          <w:rFonts w:ascii="Times New Roman" w:eastAsia="Arial" w:hAnsi="Times New Roman" w:cs="Times New Roman"/>
          <w:color w:val="auto"/>
        </w:rPr>
        <w:t xml:space="preserve"> involves the necessity of the buyer to crosscheck the authenticity of title with AC Land office before registration of transfer.  The Registration process could become faster if the AC Land/Tehsil office work became better synchronized with the Registration work.  But in reality as noted in the Care Report the following could happen:</w:t>
      </w:r>
    </w:p>
    <w:p w:rsidR="00A356FA" w:rsidRPr="00BB495B" w:rsidRDefault="00A356FA" w:rsidP="00A631E1">
      <w:pPr>
        <w:pStyle w:val="ListParagraph"/>
        <w:widowControl w:val="0"/>
        <w:numPr>
          <w:ilvl w:val="0"/>
          <w:numId w:val="40"/>
        </w:numPr>
        <w:autoSpaceDE w:val="0"/>
        <w:autoSpaceDN w:val="0"/>
        <w:adjustRightInd w:val="0"/>
        <w:spacing w:line="276" w:lineRule="auto"/>
        <w:jc w:val="both"/>
        <w:rPr>
          <w:rFonts w:cs="Times New Roman"/>
          <w:szCs w:val="24"/>
        </w:rPr>
      </w:pPr>
      <w:r w:rsidRPr="00BB495B">
        <w:rPr>
          <w:rFonts w:cs="Times New Roman"/>
          <w:szCs w:val="24"/>
        </w:rPr>
        <w:t>"Some transfers occur on an entirely unofficial basis, perhaps when land is mortgaged, but this is becoming less common.</w:t>
      </w:r>
    </w:p>
    <w:p w:rsidR="00A356FA" w:rsidRPr="00BB495B" w:rsidRDefault="00A356FA" w:rsidP="00A631E1">
      <w:pPr>
        <w:pStyle w:val="ListParagraph"/>
        <w:widowControl w:val="0"/>
        <w:numPr>
          <w:ilvl w:val="0"/>
          <w:numId w:val="40"/>
        </w:numPr>
        <w:autoSpaceDE w:val="0"/>
        <w:autoSpaceDN w:val="0"/>
        <w:adjustRightInd w:val="0"/>
        <w:spacing w:line="276" w:lineRule="auto"/>
        <w:jc w:val="both"/>
        <w:rPr>
          <w:rFonts w:cs="Times New Roman"/>
          <w:szCs w:val="24"/>
        </w:rPr>
      </w:pPr>
      <w:r w:rsidRPr="00BB495B">
        <w:rPr>
          <w:rFonts w:cs="Times New Roman"/>
          <w:szCs w:val="24"/>
        </w:rPr>
        <w:t>Some buyers may not try to check the AC records first…</w:t>
      </w:r>
    </w:p>
    <w:p w:rsidR="00A356FA" w:rsidRPr="00BB495B" w:rsidRDefault="00A356DE" w:rsidP="00A631E1">
      <w:pPr>
        <w:pStyle w:val="ListParagraph"/>
        <w:widowControl w:val="0"/>
        <w:numPr>
          <w:ilvl w:val="0"/>
          <w:numId w:val="40"/>
        </w:numPr>
        <w:autoSpaceDE w:val="0"/>
        <w:autoSpaceDN w:val="0"/>
        <w:adjustRightInd w:val="0"/>
        <w:spacing w:line="276" w:lineRule="auto"/>
        <w:jc w:val="both"/>
        <w:rPr>
          <w:rFonts w:cs="Times New Roman"/>
          <w:szCs w:val="24"/>
        </w:rPr>
      </w:pPr>
      <w:r>
        <w:rPr>
          <w:rFonts w:cs="Times New Roman"/>
          <w:szCs w:val="24"/>
        </w:rPr>
        <w:t>A</w:t>
      </w:r>
      <w:r w:rsidR="00A356FA" w:rsidRPr="00BB495B">
        <w:rPr>
          <w:rFonts w:cs="Times New Roman"/>
          <w:szCs w:val="24"/>
        </w:rPr>
        <w:t>nd even if they do, these may well not be up to date.</w:t>
      </w:r>
    </w:p>
    <w:p w:rsidR="00A356FA" w:rsidRPr="00BB495B" w:rsidRDefault="00A356FA" w:rsidP="00A631E1">
      <w:pPr>
        <w:pStyle w:val="ListParagraph"/>
        <w:widowControl w:val="0"/>
        <w:numPr>
          <w:ilvl w:val="0"/>
          <w:numId w:val="40"/>
        </w:numPr>
        <w:autoSpaceDE w:val="0"/>
        <w:autoSpaceDN w:val="0"/>
        <w:adjustRightInd w:val="0"/>
        <w:spacing w:line="276" w:lineRule="auto"/>
        <w:jc w:val="both"/>
        <w:rPr>
          <w:rFonts w:cs="Times New Roman"/>
          <w:szCs w:val="24"/>
        </w:rPr>
      </w:pPr>
      <w:r w:rsidRPr="00BB495B">
        <w:rPr>
          <w:rFonts w:cs="Times New Roman"/>
          <w:szCs w:val="24"/>
        </w:rPr>
        <w:t xml:space="preserve">The deed writers and Sub-Registrar collude to ensure that this step only proceeds if a bribe is paid first, whilst the buyer and seller may also collude to reduce the amount of Immovable Property Transfer Tax (IPTT). There is no requirement to check the legality of the transaction and it is not uncommon for the same plot to be “sold” to several </w:t>
      </w:r>
      <w:r w:rsidRPr="00BB495B">
        <w:rPr>
          <w:rFonts w:cs="Times New Roman"/>
          <w:szCs w:val="24"/>
        </w:rPr>
        <w:lastRenderedPageBreak/>
        <w:t>different buyers, although this is much more frequent in urban areas</w:t>
      </w:r>
    </w:p>
    <w:p w:rsidR="00A356FA" w:rsidRPr="00BB495B" w:rsidRDefault="00A356FA" w:rsidP="00A631E1">
      <w:pPr>
        <w:pStyle w:val="ListParagraph"/>
        <w:widowControl w:val="0"/>
        <w:numPr>
          <w:ilvl w:val="0"/>
          <w:numId w:val="40"/>
        </w:numPr>
        <w:autoSpaceDE w:val="0"/>
        <w:autoSpaceDN w:val="0"/>
        <w:adjustRightInd w:val="0"/>
        <w:spacing w:line="276" w:lineRule="auto"/>
        <w:jc w:val="both"/>
        <w:rPr>
          <w:rFonts w:cs="Times New Roman"/>
          <w:szCs w:val="24"/>
        </w:rPr>
      </w:pPr>
      <w:r w:rsidRPr="00BB495B">
        <w:rPr>
          <w:rFonts w:cs="Times New Roman"/>
          <w:szCs w:val="24"/>
        </w:rPr>
        <w:t>Once the transfer is registered the authorized deed is supposed to be issued within a month, but frequently takes a year and the payment of a bribe.</w:t>
      </w:r>
    </w:p>
    <w:p w:rsidR="00A356FA" w:rsidRPr="00BB495B" w:rsidRDefault="00A356FA" w:rsidP="00A631E1">
      <w:pPr>
        <w:pStyle w:val="ListParagraph"/>
        <w:widowControl w:val="0"/>
        <w:numPr>
          <w:ilvl w:val="0"/>
          <w:numId w:val="40"/>
        </w:numPr>
        <w:autoSpaceDE w:val="0"/>
        <w:autoSpaceDN w:val="0"/>
        <w:adjustRightInd w:val="0"/>
        <w:spacing w:line="276" w:lineRule="auto"/>
        <w:jc w:val="both"/>
        <w:rPr>
          <w:rFonts w:cs="Times New Roman"/>
          <w:szCs w:val="24"/>
        </w:rPr>
      </w:pPr>
      <w:r w:rsidRPr="00BB495B">
        <w:rPr>
          <w:rFonts w:cs="Times New Roman"/>
          <w:szCs w:val="24"/>
        </w:rPr>
        <w:t>Once the transfer is registered the land transfer record is supposed to be sent to the AC Land office immediately, but is also subject to delays of several months. Notifications are frequently illegible.</w:t>
      </w:r>
    </w:p>
    <w:p w:rsidR="00A356FA" w:rsidRPr="00BB495B" w:rsidRDefault="00A356FA" w:rsidP="00A631E1">
      <w:pPr>
        <w:pStyle w:val="ListParagraph"/>
        <w:numPr>
          <w:ilvl w:val="0"/>
          <w:numId w:val="40"/>
        </w:numPr>
        <w:spacing w:line="276" w:lineRule="auto"/>
        <w:ind w:right="50"/>
        <w:jc w:val="both"/>
        <w:rPr>
          <w:rFonts w:eastAsia="Arial" w:cs="Times New Roman"/>
          <w:szCs w:val="24"/>
        </w:rPr>
      </w:pPr>
      <w:r w:rsidRPr="00BB495B">
        <w:rPr>
          <w:rFonts w:cs="Times New Roman"/>
          <w:szCs w:val="24"/>
        </w:rPr>
        <w:t>The AC (Land) generally does not update the record unless informal payments are made.</w:t>
      </w:r>
    </w:p>
    <w:p w:rsidR="00A356FA" w:rsidRPr="00BB495B" w:rsidRDefault="00A356FA" w:rsidP="00A356FA">
      <w:pPr>
        <w:spacing w:line="276" w:lineRule="auto"/>
        <w:ind w:right="64"/>
        <w:jc w:val="both"/>
        <w:rPr>
          <w:rFonts w:eastAsia="Arial" w:cs="Times New Roman"/>
          <w:spacing w:val="1"/>
          <w:szCs w:val="24"/>
        </w:rPr>
      </w:pPr>
      <w:r w:rsidRPr="00BB495B">
        <w:rPr>
          <w:rFonts w:eastAsia="Arial" w:cs="Times New Roman"/>
          <w:b/>
          <w:i/>
          <w:spacing w:val="1"/>
          <w:szCs w:val="24"/>
        </w:rPr>
        <w:t>Land Survey</w:t>
      </w:r>
      <w:r w:rsidRPr="00BB495B">
        <w:rPr>
          <w:rFonts w:eastAsia="Arial" w:cs="Times New Roman"/>
          <w:spacing w:val="1"/>
          <w:szCs w:val="24"/>
        </w:rPr>
        <w:t>. Land survey is an important ingredient in updating of land records.   The survey, which leads to Settlement, is</w:t>
      </w:r>
      <w:r w:rsidRPr="00BB495B">
        <w:rPr>
          <w:rFonts w:eastAsia="Arial" w:cs="Times New Roman"/>
          <w:spacing w:val="2"/>
          <w:szCs w:val="24"/>
        </w:rPr>
        <w:t xml:space="preserve"> </w:t>
      </w:r>
      <w:r w:rsidRPr="00BB495B">
        <w:rPr>
          <w:rFonts w:eastAsia="Arial" w:cs="Times New Roman"/>
          <w:spacing w:val="-1"/>
          <w:szCs w:val="24"/>
        </w:rPr>
        <w:t>s</w:t>
      </w:r>
      <w:r w:rsidRPr="00BB495B">
        <w:rPr>
          <w:rFonts w:eastAsia="Arial" w:cs="Times New Roman"/>
          <w:szCs w:val="24"/>
        </w:rPr>
        <w:t>een</w:t>
      </w:r>
      <w:r w:rsidRPr="00BB495B">
        <w:rPr>
          <w:rFonts w:eastAsia="Arial" w:cs="Times New Roman"/>
          <w:spacing w:val="5"/>
          <w:szCs w:val="24"/>
        </w:rPr>
        <w:t xml:space="preserve"> </w:t>
      </w:r>
      <w:r w:rsidRPr="00BB495B">
        <w:rPr>
          <w:rFonts w:eastAsia="Arial" w:cs="Times New Roman"/>
          <w:spacing w:val="2"/>
          <w:szCs w:val="24"/>
        </w:rPr>
        <w:t>a</w:t>
      </w:r>
      <w:r w:rsidRPr="00BB495B">
        <w:rPr>
          <w:rFonts w:eastAsia="Arial" w:cs="Times New Roman"/>
          <w:szCs w:val="24"/>
        </w:rPr>
        <w:t>s</w:t>
      </w:r>
      <w:r w:rsidRPr="00BB495B">
        <w:rPr>
          <w:rFonts w:eastAsia="Arial" w:cs="Times New Roman"/>
          <w:spacing w:val="3"/>
          <w:szCs w:val="24"/>
        </w:rPr>
        <w:t xml:space="preserve"> </w:t>
      </w:r>
      <w:r w:rsidRPr="00BB495B">
        <w:rPr>
          <w:rFonts w:eastAsia="Arial" w:cs="Times New Roman"/>
          <w:szCs w:val="24"/>
        </w:rPr>
        <w:t>a</w:t>
      </w:r>
      <w:r w:rsidRPr="00BB495B">
        <w:rPr>
          <w:rFonts w:eastAsia="Arial" w:cs="Times New Roman"/>
          <w:spacing w:val="3"/>
          <w:szCs w:val="24"/>
        </w:rPr>
        <w:t xml:space="preserve"> </w:t>
      </w:r>
      <w:r w:rsidRPr="00BB495B">
        <w:rPr>
          <w:rFonts w:eastAsia="Arial" w:cs="Times New Roman"/>
          <w:szCs w:val="24"/>
        </w:rPr>
        <w:t>temp</w:t>
      </w:r>
      <w:r w:rsidRPr="00BB495B">
        <w:rPr>
          <w:rFonts w:eastAsia="Arial" w:cs="Times New Roman"/>
          <w:spacing w:val="-1"/>
          <w:szCs w:val="24"/>
        </w:rPr>
        <w:t>o</w:t>
      </w:r>
      <w:r w:rsidRPr="00BB495B">
        <w:rPr>
          <w:rFonts w:eastAsia="Arial" w:cs="Times New Roman"/>
          <w:szCs w:val="24"/>
        </w:rPr>
        <w:t>ra</w:t>
      </w:r>
      <w:r w:rsidRPr="00BB495B">
        <w:rPr>
          <w:rFonts w:eastAsia="Arial" w:cs="Times New Roman"/>
          <w:spacing w:val="-1"/>
          <w:szCs w:val="24"/>
        </w:rPr>
        <w:t>r</w:t>
      </w:r>
      <w:r w:rsidRPr="00BB495B">
        <w:rPr>
          <w:rFonts w:eastAsia="Arial" w:cs="Times New Roman"/>
          <w:szCs w:val="24"/>
        </w:rPr>
        <w:t>y</w:t>
      </w:r>
      <w:r w:rsidRPr="00BB495B">
        <w:rPr>
          <w:rFonts w:eastAsia="Arial" w:cs="Times New Roman"/>
          <w:spacing w:val="10"/>
          <w:szCs w:val="24"/>
        </w:rPr>
        <w:t xml:space="preserve"> </w:t>
      </w:r>
      <w:r w:rsidRPr="00BB495B">
        <w:rPr>
          <w:rFonts w:eastAsia="Arial" w:cs="Times New Roman"/>
          <w:spacing w:val="2"/>
          <w:szCs w:val="24"/>
        </w:rPr>
        <w:t>p</w:t>
      </w:r>
      <w:r w:rsidRPr="00BB495B">
        <w:rPr>
          <w:rFonts w:eastAsia="Arial" w:cs="Times New Roman"/>
          <w:szCs w:val="24"/>
        </w:rPr>
        <w:t>ro</w:t>
      </w:r>
      <w:r w:rsidRPr="00BB495B">
        <w:rPr>
          <w:rFonts w:eastAsia="Arial" w:cs="Times New Roman"/>
          <w:spacing w:val="-1"/>
          <w:szCs w:val="24"/>
        </w:rPr>
        <w:t>ce</w:t>
      </w:r>
      <w:r w:rsidRPr="00BB495B">
        <w:rPr>
          <w:rFonts w:eastAsia="Arial" w:cs="Times New Roman"/>
          <w:spacing w:val="1"/>
          <w:szCs w:val="24"/>
        </w:rPr>
        <w:t>s</w:t>
      </w:r>
      <w:r w:rsidRPr="00BB495B">
        <w:rPr>
          <w:rFonts w:eastAsia="Arial" w:cs="Times New Roman"/>
          <w:szCs w:val="24"/>
        </w:rPr>
        <w:t>s</w:t>
      </w:r>
      <w:r w:rsidRPr="00BB495B">
        <w:rPr>
          <w:rFonts w:eastAsia="Arial" w:cs="Times New Roman"/>
          <w:spacing w:val="8"/>
          <w:szCs w:val="24"/>
        </w:rPr>
        <w:t xml:space="preserve"> </w:t>
      </w:r>
      <w:r w:rsidRPr="00BB495B">
        <w:rPr>
          <w:rFonts w:eastAsia="Arial" w:cs="Times New Roman"/>
          <w:szCs w:val="24"/>
        </w:rPr>
        <w:t>whe</w:t>
      </w:r>
      <w:r w:rsidRPr="00BB495B">
        <w:rPr>
          <w:rFonts w:eastAsia="Arial" w:cs="Times New Roman"/>
          <w:spacing w:val="2"/>
          <w:szCs w:val="24"/>
        </w:rPr>
        <w:t>r</w:t>
      </w:r>
      <w:r w:rsidRPr="00BB495B">
        <w:rPr>
          <w:rFonts w:eastAsia="Arial" w:cs="Times New Roman"/>
          <w:szCs w:val="24"/>
        </w:rPr>
        <w:t>e</w:t>
      </w:r>
      <w:r w:rsidRPr="00BB495B">
        <w:rPr>
          <w:rFonts w:eastAsia="Arial" w:cs="Times New Roman"/>
          <w:spacing w:val="6"/>
          <w:szCs w:val="24"/>
        </w:rPr>
        <w:t xml:space="preserve"> </w:t>
      </w:r>
      <w:r w:rsidRPr="00BB495B">
        <w:rPr>
          <w:rFonts w:eastAsia="Arial" w:cs="Times New Roman"/>
          <w:szCs w:val="24"/>
        </w:rPr>
        <w:t>on</w:t>
      </w:r>
      <w:r w:rsidRPr="00BB495B">
        <w:rPr>
          <w:rFonts w:eastAsia="Arial" w:cs="Times New Roman"/>
          <w:spacing w:val="-1"/>
          <w:szCs w:val="24"/>
        </w:rPr>
        <w:t>l</w:t>
      </w:r>
      <w:r w:rsidRPr="00BB495B">
        <w:rPr>
          <w:rFonts w:eastAsia="Arial" w:cs="Times New Roman"/>
          <w:szCs w:val="24"/>
        </w:rPr>
        <w:t>y</w:t>
      </w:r>
      <w:r w:rsidRPr="00BB495B">
        <w:rPr>
          <w:rFonts w:eastAsia="Arial" w:cs="Times New Roman"/>
          <w:spacing w:val="5"/>
          <w:szCs w:val="24"/>
        </w:rPr>
        <w:t xml:space="preserve"> </w:t>
      </w:r>
      <w:r w:rsidRPr="00BB495B">
        <w:rPr>
          <w:rFonts w:eastAsia="Arial" w:cs="Times New Roman"/>
          <w:spacing w:val="-1"/>
          <w:szCs w:val="24"/>
        </w:rPr>
        <w:t>c</w:t>
      </w:r>
      <w:r w:rsidRPr="00BB495B">
        <w:rPr>
          <w:rFonts w:eastAsia="Arial" w:cs="Times New Roman"/>
          <w:szCs w:val="24"/>
        </w:rPr>
        <w:t>e</w:t>
      </w:r>
      <w:r w:rsidRPr="00BB495B">
        <w:rPr>
          <w:rFonts w:eastAsia="Arial" w:cs="Times New Roman"/>
          <w:spacing w:val="-1"/>
          <w:szCs w:val="24"/>
        </w:rPr>
        <w:t>r</w:t>
      </w:r>
      <w:r w:rsidRPr="00BB495B">
        <w:rPr>
          <w:rFonts w:eastAsia="Arial" w:cs="Times New Roman"/>
          <w:szCs w:val="24"/>
        </w:rPr>
        <w:t>tain</w:t>
      </w:r>
      <w:r w:rsidRPr="00BB495B">
        <w:rPr>
          <w:rFonts w:eastAsia="Arial" w:cs="Times New Roman"/>
          <w:spacing w:val="8"/>
          <w:szCs w:val="24"/>
        </w:rPr>
        <w:t xml:space="preserve"> </w:t>
      </w:r>
      <w:r w:rsidRPr="00BB495B">
        <w:rPr>
          <w:rFonts w:eastAsia="Arial" w:cs="Times New Roman"/>
          <w:spacing w:val="-1"/>
          <w:szCs w:val="24"/>
        </w:rPr>
        <w:t>p</w:t>
      </w:r>
      <w:r w:rsidRPr="00BB495B">
        <w:rPr>
          <w:rFonts w:eastAsia="Arial" w:cs="Times New Roman"/>
          <w:szCs w:val="24"/>
        </w:rPr>
        <w:t>arts</w:t>
      </w:r>
      <w:r w:rsidRPr="00BB495B">
        <w:rPr>
          <w:rFonts w:eastAsia="Arial" w:cs="Times New Roman"/>
          <w:spacing w:val="5"/>
          <w:szCs w:val="24"/>
        </w:rPr>
        <w:t xml:space="preserve"> </w:t>
      </w:r>
      <w:r w:rsidRPr="00BB495B">
        <w:rPr>
          <w:rFonts w:eastAsia="Arial" w:cs="Times New Roman"/>
          <w:spacing w:val="-1"/>
          <w:szCs w:val="24"/>
        </w:rPr>
        <w:t>o</w:t>
      </w:r>
      <w:r w:rsidRPr="00BB495B">
        <w:rPr>
          <w:rFonts w:eastAsia="Arial" w:cs="Times New Roman"/>
          <w:szCs w:val="24"/>
        </w:rPr>
        <w:t>f</w:t>
      </w:r>
      <w:r w:rsidRPr="00BB495B">
        <w:rPr>
          <w:rFonts w:eastAsia="Arial" w:cs="Times New Roman"/>
          <w:spacing w:val="4"/>
          <w:szCs w:val="24"/>
        </w:rPr>
        <w:t xml:space="preserve"> </w:t>
      </w:r>
      <w:r w:rsidRPr="00BB495B">
        <w:rPr>
          <w:rFonts w:eastAsia="Arial" w:cs="Times New Roman"/>
          <w:w w:val="101"/>
          <w:szCs w:val="24"/>
        </w:rPr>
        <w:t xml:space="preserve">the </w:t>
      </w:r>
      <w:r w:rsidRPr="00BB495B">
        <w:rPr>
          <w:rFonts w:eastAsia="Arial" w:cs="Times New Roman"/>
          <w:spacing w:val="-1"/>
          <w:szCs w:val="24"/>
        </w:rPr>
        <w:t>c</w:t>
      </w:r>
      <w:r w:rsidRPr="00BB495B">
        <w:rPr>
          <w:rFonts w:eastAsia="Arial" w:cs="Times New Roman"/>
          <w:szCs w:val="24"/>
        </w:rPr>
        <w:t>ount</w:t>
      </w:r>
      <w:r w:rsidRPr="00BB495B">
        <w:rPr>
          <w:rFonts w:eastAsia="Arial" w:cs="Times New Roman"/>
          <w:spacing w:val="-1"/>
          <w:szCs w:val="24"/>
        </w:rPr>
        <w:t>r</w:t>
      </w:r>
      <w:r w:rsidRPr="00BB495B">
        <w:rPr>
          <w:rFonts w:eastAsia="Arial" w:cs="Times New Roman"/>
          <w:szCs w:val="24"/>
        </w:rPr>
        <w:t>y</w:t>
      </w:r>
      <w:r w:rsidRPr="00BB495B">
        <w:rPr>
          <w:rFonts w:eastAsia="Arial" w:cs="Times New Roman"/>
          <w:spacing w:val="7"/>
          <w:szCs w:val="24"/>
        </w:rPr>
        <w:t xml:space="preserve"> </w:t>
      </w:r>
      <w:r w:rsidRPr="00BB495B">
        <w:rPr>
          <w:rFonts w:eastAsia="Arial" w:cs="Times New Roman"/>
          <w:szCs w:val="24"/>
        </w:rPr>
        <w:t>are</w:t>
      </w:r>
      <w:r w:rsidRPr="00BB495B">
        <w:rPr>
          <w:rFonts w:eastAsia="Arial" w:cs="Times New Roman"/>
          <w:spacing w:val="5"/>
          <w:szCs w:val="24"/>
        </w:rPr>
        <w:t xml:space="preserve"> </w:t>
      </w:r>
      <w:r w:rsidRPr="00BB495B">
        <w:rPr>
          <w:rFonts w:eastAsia="Arial" w:cs="Times New Roman"/>
          <w:spacing w:val="-1"/>
          <w:szCs w:val="24"/>
        </w:rPr>
        <w:t>c</w:t>
      </w:r>
      <w:r w:rsidRPr="00BB495B">
        <w:rPr>
          <w:rFonts w:eastAsia="Arial" w:cs="Times New Roman"/>
          <w:spacing w:val="2"/>
          <w:szCs w:val="24"/>
        </w:rPr>
        <w:t>o</w:t>
      </w:r>
      <w:r w:rsidRPr="00BB495B">
        <w:rPr>
          <w:rFonts w:eastAsia="Arial" w:cs="Times New Roman"/>
          <w:spacing w:val="-2"/>
          <w:szCs w:val="24"/>
        </w:rPr>
        <w:t>v</w:t>
      </w:r>
      <w:r w:rsidRPr="00BB495B">
        <w:rPr>
          <w:rFonts w:eastAsia="Arial" w:cs="Times New Roman"/>
          <w:szCs w:val="24"/>
        </w:rPr>
        <w:t>e</w:t>
      </w:r>
      <w:r w:rsidRPr="00BB495B">
        <w:rPr>
          <w:rFonts w:eastAsia="Arial" w:cs="Times New Roman"/>
          <w:spacing w:val="-1"/>
          <w:szCs w:val="24"/>
        </w:rPr>
        <w:t>r</w:t>
      </w:r>
      <w:r w:rsidRPr="00BB495B">
        <w:rPr>
          <w:rFonts w:eastAsia="Arial" w:cs="Times New Roman"/>
          <w:szCs w:val="24"/>
        </w:rPr>
        <w:t>ed</w:t>
      </w:r>
      <w:r w:rsidRPr="00BB495B">
        <w:rPr>
          <w:rFonts w:eastAsia="Arial" w:cs="Times New Roman"/>
          <w:spacing w:val="9"/>
          <w:szCs w:val="24"/>
        </w:rPr>
        <w:t xml:space="preserve"> </w:t>
      </w:r>
      <w:r w:rsidRPr="00BB495B">
        <w:rPr>
          <w:rFonts w:eastAsia="Arial" w:cs="Times New Roman"/>
          <w:szCs w:val="24"/>
        </w:rPr>
        <w:t>at</w:t>
      </w:r>
      <w:r w:rsidRPr="00BB495B">
        <w:rPr>
          <w:rFonts w:eastAsia="Arial" w:cs="Times New Roman"/>
          <w:spacing w:val="3"/>
          <w:szCs w:val="24"/>
        </w:rPr>
        <w:t xml:space="preserve"> </w:t>
      </w:r>
      <w:r w:rsidRPr="00BB495B">
        <w:rPr>
          <w:rFonts w:eastAsia="Arial" w:cs="Times New Roman"/>
          <w:spacing w:val="2"/>
          <w:szCs w:val="24"/>
        </w:rPr>
        <w:t>p</w:t>
      </w:r>
      <w:r w:rsidRPr="00BB495B">
        <w:rPr>
          <w:rFonts w:eastAsia="Arial" w:cs="Times New Roman"/>
          <w:szCs w:val="24"/>
        </w:rPr>
        <w:t>a</w:t>
      </w:r>
      <w:r w:rsidRPr="00BB495B">
        <w:rPr>
          <w:rFonts w:eastAsia="Arial" w:cs="Times New Roman"/>
          <w:spacing w:val="-1"/>
          <w:szCs w:val="24"/>
        </w:rPr>
        <w:t>r</w:t>
      </w:r>
      <w:r w:rsidRPr="00BB495B">
        <w:rPr>
          <w:rFonts w:eastAsia="Arial" w:cs="Times New Roman"/>
          <w:szCs w:val="24"/>
        </w:rPr>
        <w:t>ti</w:t>
      </w:r>
      <w:r w:rsidRPr="00BB495B">
        <w:rPr>
          <w:rFonts w:eastAsia="Arial" w:cs="Times New Roman"/>
          <w:spacing w:val="-1"/>
          <w:szCs w:val="24"/>
        </w:rPr>
        <w:t>c</w:t>
      </w:r>
      <w:r w:rsidRPr="00BB495B">
        <w:rPr>
          <w:rFonts w:eastAsia="Arial" w:cs="Times New Roman"/>
          <w:szCs w:val="24"/>
        </w:rPr>
        <w:t>u</w:t>
      </w:r>
      <w:r w:rsidRPr="00BB495B">
        <w:rPr>
          <w:rFonts w:eastAsia="Arial" w:cs="Times New Roman"/>
          <w:spacing w:val="-1"/>
          <w:szCs w:val="24"/>
        </w:rPr>
        <w:t>l</w:t>
      </w:r>
      <w:r w:rsidRPr="00BB495B">
        <w:rPr>
          <w:rFonts w:eastAsia="Arial" w:cs="Times New Roman"/>
          <w:szCs w:val="24"/>
        </w:rPr>
        <w:t>ar</w:t>
      </w:r>
      <w:r w:rsidRPr="00BB495B">
        <w:rPr>
          <w:rFonts w:eastAsia="Arial" w:cs="Times New Roman"/>
          <w:spacing w:val="10"/>
          <w:szCs w:val="24"/>
        </w:rPr>
        <w:t xml:space="preserve"> </w:t>
      </w:r>
      <w:r w:rsidRPr="00BB495B">
        <w:rPr>
          <w:rFonts w:eastAsia="Arial" w:cs="Times New Roman"/>
          <w:szCs w:val="24"/>
        </w:rPr>
        <w:t>points</w:t>
      </w:r>
      <w:r w:rsidRPr="00BB495B">
        <w:rPr>
          <w:rFonts w:eastAsia="Arial" w:cs="Times New Roman"/>
          <w:spacing w:val="6"/>
          <w:szCs w:val="24"/>
        </w:rPr>
        <w:t xml:space="preserve"> </w:t>
      </w:r>
      <w:r w:rsidRPr="00BB495B">
        <w:rPr>
          <w:rFonts w:eastAsia="Arial" w:cs="Times New Roman"/>
          <w:szCs w:val="24"/>
        </w:rPr>
        <w:t>of</w:t>
      </w:r>
      <w:r w:rsidRPr="00BB495B">
        <w:rPr>
          <w:rFonts w:eastAsia="Arial" w:cs="Times New Roman"/>
          <w:spacing w:val="3"/>
          <w:szCs w:val="24"/>
        </w:rPr>
        <w:t xml:space="preserve"> </w:t>
      </w:r>
      <w:r w:rsidRPr="00BB495B">
        <w:rPr>
          <w:rFonts w:eastAsia="Arial" w:cs="Times New Roman"/>
          <w:w w:val="101"/>
          <w:szCs w:val="24"/>
        </w:rPr>
        <w:t xml:space="preserve">time. </w:t>
      </w:r>
      <w:r w:rsidRPr="00BB495B">
        <w:rPr>
          <w:rFonts w:eastAsia="Arial" w:cs="Times New Roman"/>
          <w:spacing w:val="1"/>
          <w:szCs w:val="24"/>
        </w:rPr>
        <w:t xml:space="preserve">A very important regulatory process is preparing </w:t>
      </w:r>
      <w:r w:rsidRPr="00BB495B">
        <w:rPr>
          <w:rFonts w:eastAsia="Arial" w:cs="Times New Roman"/>
          <w:i/>
          <w:spacing w:val="1"/>
          <w:szCs w:val="24"/>
        </w:rPr>
        <w:t>k</w:t>
      </w:r>
      <w:r w:rsidRPr="00BB495B">
        <w:rPr>
          <w:rFonts w:eastAsia="Arial" w:cs="Times New Roman"/>
          <w:i/>
          <w:szCs w:val="24"/>
        </w:rPr>
        <w:t>hati</w:t>
      </w:r>
      <w:r w:rsidRPr="00BB495B">
        <w:rPr>
          <w:rFonts w:eastAsia="Arial" w:cs="Times New Roman"/>
          <w:i/>
          <w:spacing w:val="1"/>
          <w:szCs w:val="24"/>
        </w:rPr>
        <w:t>a</w:t>
      </w:r>
      <w:r w:rsidRPr="00BB495B">
        <w:rPr>
          <w:rFonts w:eastAsia="Arial" w:cs="Times New Roman"/>
          <w:i/>
          <w:szCs w:val="24"/>
        </w:rPr>
        <w:t>n</w:t>
      </w:r>
      <w:r w:rsidRPr="00BB495B">
        <w:rPr>
          <w:rFonts w:eastAsia="Arial" w:cs="Times New Roman"/>
          <w:i/>
          <w:spacing w:val="37"/>
          <w:szCs w:val="24"/>
        </w:rPr>
        <w:t xml:space="preserve"> </w:t>
      </w:r>
      <w:r w:rsidRPr="00BB495B">
        <w:rPr>
          <w:rFonts w:eastAsia="Arial" w:cs="Times New Roman"/>
          <w:spacing w:val="1"/>
          <w:szCs w:val="24"/>
        </w:rPr>
        <w:t>(</w:t>
      </w:r>
      <w:r w:rsidRPr="00BB495B">
        <w:rPr>
          <w:rFonts w:eastAsia="Arial" w:cs="Times New Roman"/>
          <w:szCs w:val="24"/>
        </w:rPr>
        <w:t>record</w:t>
      </w:r>
      <w:r w:rsidRPr="00BB495B">
        <w:rPr>
          <w:rFonts w:eastAsia="Arial" w:cs="Times New Roman"/>
          <w:spacing w:val="39"/>
          <w:szCs w:val="24"/>
        </w:rPr>
        <w:t xml:space="preserve"> </w:t>
      </w:r>
      <w:r w:rsidRPr="00BB495B">
        <w:rPr>
          <w:rFonts w:eastAsia="Arial" w:cs="Times New Roman"/>
          <w:szCs w:val="24"/>
        </w:rPr>
        <w:t>of rights)-</w:t>
      </w:r>
      <w:r w:rsidRPr="00BB495B">
        <w:rPr>
          <w:rFonts w:eastAsia="Arial" w:cs="Times New Roman"/>
          <w:spacing w:val="38"/>
          <w:szCs w:val="24"/>
        </w:rPr>
        <w:t xml:space="preserve"> the </w:t>
      </w:r>
      <w:r w:rsidRPr="00BB495B">
        <w:rPr>
          <w:rFonts w:eastAsia="Arial" w:cs="Times New Roman"/>
          <w:szCs w:val="24"/>
        </w:rPr>
        <w:t>f</w:t>
      </w:r>
      <w:r w:rsidRPr="00BB495B">
        <w:rPr>
          <w:rFonts w:eastAsia="Arial" w:cs="Times New Roman"/>
          <w:spacing w:val="-1"/>
          <w:szCs w:val="24"/>
        </w:rPr>
        <w:t>o</w:t>
      </w:r>
      <w:r w:rsidRPr="00BB495B">
        <w:rPr>
          <w:rFonts w:eastAsia="Arial" w:cs="Times New Roman"/>
          <w:szCs w:val="24"/>
        </w:rPr>
        <w:t xml:space="preserve">rm </w:t>
      </w:r>
      <w:r w:rsidRPr="00BB495B">
        <w:rPr>
          <w:rFonts w:eastAsia="Arial" w:cs="Times New Roman"/>
          <w:spacing w:val="40"/>
          <w:szCs w:val="24"/>
        </w:rPr>
        <w:t>giving</w:t>
      </w:r>
      <w:r w:rsidRPr="00BB495B">
        <w:rPr>
          <w:rFonts w:eastAsia="Arial" w:cs="Times New Roman"/>
          <w:szCs w:val="24"/>
        </w:rPr>
        <w:t xml:space="preserve"> </w:t>
      </w:r>
      <w:r w:rsidRPr="00BB495B">
        <w:rPr>
          <w:rFonts w:eastAsia="Arial" w:cs="Times New Roman"/>
          <w:spacing w:val="37"/>
          <w:szCs w:val="24"/>
        </w:rPr>
        <w:t>plot</w:t>
      </w:r>
      <w:r w:rsidRPr="00BB495B">
        <w:rPr>
          <w:rFonts w:eastAsia="Arial" w:cs="Times New Roman"/>
          <w:szCs w:val="24"/>
        </w:rPr>
        <w:t xml:space="preserve"> </w:t>
      </w:r>
      <w:r w:rsidRPr="00BB495B">
        <w:rPr>
          <w:rFonts w:eastAsia="Arial" w:cs="Times New Roman"/>
          <w:spacing w:val="40"/>
          <w:szCs w:val="24"/>
        </w:rPr>
        <w:t>numbers</w:t>
      </w:r>
      <w:r w:rsidRPr="00BB495B">
        <w:rPr>
          <w:rFonts w:eastAsia="Arial" w:cs="Times New Roman"/>
          <w:szCs w:val="24"/>
        </w:rPr>
        <w:t xml:space="preserve">-, </w:t>
      </w:r>
      <w:r w:rsidRPr="00BB495B">
        <w:rPr>
          <w:rFonts w:eastAsia="Arial" w:cs="Times New Roman"/>
          <w:spacing w:val="37"/>
          <w:szCs w:val="24"/>
        </w:rPr>
        <w:t xml:space="preserve">the </w:t>
      </w:r>
      <w:r w:rsidRPr="00BB495B">
        <w:rPr>
          <w:rFonts w:eastAsia="Arial" w:cs="Times New Roman"/>
          <w:i/>
          <w:szCs w:val="24"/>
        </w:rPr>
        <w:t>khat</w:t>
      </w:r>
      <w:r w:rsidRPr="00BB495B">
        <w:rPr>
          <w:rFonts w:eastAsia="Arial" w:cs="Times New Roman"/>
          <w:i/>
          <w:spacing w:val="1"/>
          <w:szCs w:val="24"/>
        </w:rPr>
        <w:t>ia</w:t>
      </w:r>
      <w:r w:rsidRPr="00BB495B">
        <w:rPr>
          <w:rFonts w:eastAsia="Arial" w:cs="Times New Roman"/>
          <w:i/>
          <w:szCs w:val="24"/>
        </w:rPr>
        <w:t xml:space="preserve">n </w:t>
      </w:r>
      <w:r w:rsidRPr="00BB495B">
        <w:rPr>
          <w:rFonts w:eastAsia="Arial" w:cs="Times New Roman"/>
          <w:i/>
          <w:spacing w:val="37"/>
          <w:szCs w:val="24"/>
        </w:rPr>
        <w:t xml:space="preserve"> </w:t>
      </w:r>
      <w:r w:rsidRPr="00BB495B">
        <w:rPr>
          <w:rFonts w:eastAsia="Arial" w:cs="Times New Roman"/>
          <w:szCs w:val="24"/>
        </w:rPr>
        <w:t>num</w:t>
      </w:r>
      <w:r w:rsidRPr="00BB495B">
        <w:rPr>
          <w:rFonts w:eastAsia="Arial" w:cs="Times New Roman"/>
          <w:spacing w:val="1"/>
          <w:szCs w:val="24"/>
        </w:rPr>
        <w:t>b</w:t>
      </w:r>
      <w:r w:rsidRPr="00BB495B">
        <w:rPr>
          <w:rFonts w:eastAsia="Arial" w:cs="Times New Roman"/>
          <w:spacing w:val="-1"/>
          <w:szCs w:val="24"/>
        </w:rPr>
        <w:t>e</w:t>
      </w:r>
      <w:r w:rsidRPr="00BB495B">
        <w:rPr>
          <w:rFonts w:eastAsia="Arial" w:cs="Times New Roman"/>
          <w:szCs w:val="24"/>
        </w:rPr>
        <w:t>r, classificat</w:t>
      </w:r>
      <w:r w:rsidRPr="00BB495B">
        <w:rPr>
          <w:rFonts w:eastAsia="Arial" w:cs="Times New Roman"/>
          <w:spacing w:val="1"/>
          <w:szCs w:val="24"/>
        </w:rPr>
        <w:t>i</w:t>
      </w:r>
      <w:r w:rsidRPr="00BB495B">
        <w:rPr>
          <w:rFonts w:eastAsia="Arial" w:cs="Times New Roman"/>
          <w:szCs w:val="24"/>
        </w:rPr>
        <w:t>on</w:t>
      </w:r>
      <w:r w:rsidRPr="00BB495B">
        <w:rPr>
          <w:rFonts w:eastAsia="Arial" w:cs="Times New Roman"/>
          <w:spacing w:val="10"/>
          <w:szCs w:val="24"/>
        </w:rPr>
        <w:t xml:space="preserve"> </w:t>
      </w:r>
      <w:r w:rsidRPr="00BB495B">
        <w:rPr>
          <w:rFonts w:eastAsia="Arial" w:cs="Times New Roman"/>
          <w:spacing w:val="1"/>
          <w:szCs w:val="24"/>
        </w:rPr>
        <w:t>o</w:t>
      </w:r>
      <w:r w:rsidRPr="00BB495B">
        <w:rPr>
          <w:rFonts w:eastAsia="Arial" w:cs="Times New Roman"/>
          <w:szCs w:val="24"/>
        </w:rPr>
        <w:t>f</w:t>
      </w:r>
      <w:r w:rsidRPr="00BB495B">
        <w:rPr>
          <w:rFonts w:eastAsia="Arial" w:cs="Times New Roman"/>
          <w:spacing w:val="18"/>
          <w:szCs w:val="24"/>
        </w:rPr>
        <w:t xml:space="preserve"> </w:t>
      </w:r>
      <w:r w:rsidRPr="00BB495B">
        <w:rPr>
          <w:rFonts w:eastAsia="Arial" w:cs="Times New Roman"/>
          <w:szCs w:val="24"/>
        </w:rPr>
        <w:t>la</w:t>
      </w:r>
      <w:r w:rsidRPr="00BB495B">
        <w:rPr>
          <w:rFonts w:eastAsia="Arial" w:cs="Times New Roman"/>
          <w:spacing w:val="1"/>
          <w:szCs w:val="24"/>
        </w:rPr>
        <w:t>n</w:t>
      </w:r>
      <w:r w:rsidRPr="00BB495B">
        <w:rPr>
          <w:rFonts w:eastAsia="Arial" w:cs="Times New Roman"/>
          <w:szCs w:val="24"/>
        </w:rPr>
        <w:t>d</w:t>
      </w:r>
      <w:r w:rsidRPr="00BB495B">
        <w:rPr>
          <w:rFonts w:eastAsia="Arial" w:cs="Times New Roman"/>
          <w:spacing w:val="15"/>
          <w:szCs w:val="24"/>
        </w:rPr>
        <w:t xml:space="preserve"> </w:t>
      </w:r>
      <w:r w:rsidRPr="00BB495B">
        <w:rPr>
          <w:rFonts w:eastAsia="Arial" w:cs="Times New Roman"/>
          <w:szCs w:val="24"/>
        </w:rPr>
        <w:t>(t</w:t>
      </w:r>
      <w:r w:rsidRPr="00BB495B">
        <w:rPr>
          <w:rFonts w:eastAsia="Arial" w:cs="Times New Roman"/>
          <w:spacing w:val="1"/>
          <w:szCs w:val="24"/>
        </w:rPr>
        <w:t>h</w:t>
      </w:r>
      <w:r w:rsidRPr="00BB495B">
        <w:rPr>
          <w:rFonts w:eastAsia="Arial" w:cs="Times New Roman"/>
          <w:spacing w:val="-1"/>
          <w:szCs w:val="24"/>
        </w:rPr>
        <w:t>a</w:t>
      </w:r>
      <w:r w:rsidRPr="00BB495B">
        <w:rPr>
          <w:rFonts w:eastAsia="Arial" w:cs="Times New Roman"/>
          <w:szCs w:val="24"/>
        </w:rPr>
        <w:t>t</w:t>
      </w:r>
      <w:r w:rsidRPr="00BB495B">
        <w:rPr>
          <w:rFonts w:eastAsia="Arial" w:cs="Times New Roman"/>
          <w:spacing w:val="16"/>
          <w:szCs w:val="24"/>
        </w:rPr>
        <w:t xml:space="preserve"> </w:t>
      </w:r>
      <w:r w:rsidRPr="00BB495B">
        <w:rPr>
          <w:rFonts w:eastAsia="Arial" w:cs="Times New Roman"/>
          <w:szCs w:val="24"/>
        </w:rPr>
        <w:t>af</w:t>
      </w:r>
      <w:r w:rsidRPr="00BB495B">
        <w:rPr>
          <w:rFonts w:eastAsia="Arial" w:cs="Times New Roman"/>
          <w:spacing w:val="2"/>
          <w:szCs w:val="24"/>
        </w:rPr>
        <w:t>f</w:t>
      </w:r>
      <w:r w:rsidRPr="00BB495B">
        <w:rPr>
          <w:rFonts w:eastAsia="Arial" w:cs="Times New Roman"/>
          <w:spacing w:val="-1"/>
          <w:szCs w:val="24"/>
        </w:rPr>
        <w:t>e</w:t>
      </w:r>
      <w:r w:rsidRPr="00BB495B">
        <w:rPr>
          <w:rFonts w:eastAsia="Arial" w:cs="Times New Roman"/>
          <w:szCs w:val="24"/>
        </w:rPr>
        <w:t>cts</w:t>
      </w:r>
      <w:r w:rsidRPr="00BB495B">
        <w:rPr>
          <w:rFonts w:eastAsia="Arial" w:cs="Times New Roman"/>
          <w:spacing w:val="12"/>
          <w:szCs w:val="24"/>
        </w:rPr>
        <w:t xml:space="preserve"> </w:t>
      </w:r>
      <w:r w:rsidRPr="00BB495B">
        <w:rPr>
          <w:rFonts w:eastAsia="Arial" w:cs="Times New Roman"/>
          <w:szCs w:val="24"/>
        </w:rPr>
        <w:t>la</w:t>
      </w:r>
      <w:r w:rsidRPr="00BB495B">
        <w:rPr>
          <w:rFonts w:eastAsia="Arial" w:cs="Times New Roman"/>
          <w:spacing w:val="1"/>
          <w:szCs w:val="24"/>
        </w:rPr>
        <w:t>n</w:t>
      </w:r>
      <w:r w:rsidRPr="00BB495B">
        <w:rPr>
          <w:rFonts w:eastAsia="Arial" w:cs="Times New Roman"/>
          <w:szCs w:val="24"/>
        </w:rPr>
        <w:t>d</w:t>
      </w:r>
      <w:r w:rsidRPr="00BB495B">
        <w:rPr>
          <w:rFonts w:eastAsia="Arial" w:cs="Times New Roman"/>
          <w:spacing w:val="15"/>
          <w:szCs w:val="24"/>
        </w:rPr>
        <w:t xml:space="preserve"> </w:t>
      </w:r>
      <w:r w:rsidRPr="00BB495B">
        <w:rPr>
          <w:rFonts w:eastAsia="Arial" w:cs="Times New Roman"/>
          <w:szCs w:val="24"/>
        </w:rPr>
        <w:t>re</w:t>
      </w:r>
      <w:r w:rsidRPr="00BB495B">
        <w:rPr>
          <w:rFonts w:eastAsia="Arial" w:cs="Times New Roman"/>
          <w:spacing w:val="1"/>
          <w:szCs w:val="24"/>
        </w:rPr>
        <w:t>v</w:t>
      </w:r>
      <w:r w:rsidRPr="00BB495B">
        <w:rPr>
          <w:rFonts w:eastAsia="Arial" w:cs="Times New Roman"/>
          <w:szCs w:val="24"/>
        </w:rPr>
        <w:t>enue),</w:t>
      </w:r>
      <w:r w:rsidRPr="00BB495B">
        <w:rPr>
          <w:rFonts w:eastAsia="Arial" w:cs="Times New Roman"/>
          <w:spacing w:val="13"/>
          <w:szCs w:val="24"/>
        </w:rPr>
        <w:t xml:space="preserve"> </w:t>
      </w:r>
      <w:r w:rsidRPr="00BB495B">
        <w:rPr>
          <w:rFonts w:eastAsia="Arial" w:cs="Times New Roman"/>
          <w:szCs w:val="24"/>
        </w:rPr>
        <w:t>ar</w:t>
      </w:r>
      <w:r w:rsidRPr="00BB495B">
        <w:rPr>
          <w:rFonts w:eastAsia="Arial" w:cs="Times New Roman"/>
          <w:spacing w:val="1"/>
          <w:szCs w:val="24"/>
        </w:rPr>
        <w:t>e</w:t>
      </w:r>
      <w:r w:rsidRPr="00BB495B">
        <w:rPr>
          <w:rFonts w:eastAsia="Arial" w:cs="Times New Roman"/>
          <w:spacing w:val="-1"/>
          <w:szCs w:val="24"/>
        </w:rPr>
        <w:t>a</w:t>
      </w:r>
      <w:r w:rsidRPr="00BB495B">
        <w:rPr>
          <w:rFonts w:eastAsia="Arial" w:cs="Times New Roman"/>
          <w:szCs w:val="24"/>
        </w:rPr>
        <w:t>, crops</w:t>
      </w:r>
      <w:r w:rsidRPr="00BB495B">
        <w:rPr>
          <w:rFonts w:eastAsia="Arial" w:cs="Times New Roman"/>
          <w:spacing w:val="-4"/>
          <w:szCs w:val="24"/>
        </w:rPr>
        <w:t xml:space="preserve"> </w:t>
      </w:r>
      <w:r w:rsidRPr="00BB495B">
        <w:rPr>
          <w:rFonts w:eastAsia="Arial" w:cs="Times New Roman"/>
          <w:szCs w:val="24"/>
        </w:rPr>
        <w:t>gr</w:t>
      </w:r>
      <w:r w:rsidRPr="00BB495B">
        <w:rPr>
          <w:rFonts w:eastAsia="Arial" w:cs="Times New Roman"/>
          <w:spacing w:val="1"/>
          <w:szCs w:val="24"/>
        </w:rPr>
        <w:t>o</w:t>
      </w:r>
      <w:r w:rsidRPr="00BB495B">
        <w:rPr>
          <w:rFonts w:eastAsia="Arial" w:cs="Times New Roman"/>
          <w:szCs w:val="24"/>
        </w:rPr>
        <w:t>wn,</w:t>
      </w:r>
      <w:r w:rsidRPr="00BB495B">
        <w:rPr>
          <w:rFonts w:eastAsia="Arial" w:cs="Times New Roman"/>
          <w:spacing w:val="-4"/>
          <w:szCs w:val="24"/>
        </w:rPr>
        <w:t xml:space="preserve"> </w:t>
      </w:r>
      <w:r w:rsidRPr="00BB495B">
        <w:rPr>
          <w:rFonts w:eastAsia="Arial" w:cs="Times New Roman"/>
          <w:spacing w:val="1"/>
          <w:szCs w:val="24"/>
        </w:rPr>
        <w:t>n</w:t>
      </w:r>
      <w:r w:rsidRPr="00BB495B">
        <w:rPr>
          <w:rFonts w:eastAsia="Arial" w:cs="Times New Roman"/>
          <w:spacing w:val="-1"/>
          <w:szCs w:val="24"/>
        </w:rPr>
        <w:t>a</w:t>
      </w:r>
      <w:r w:rsidRPr="00BB495B">
        <w:rPr>
          <w:rFonts w:eastAsia="Arial" w:cs="Times New Roman"/>
          <w:szCs w:val="24"/>
        </w:rPr>
        <w:t>me</w:t>
      </w:r>
      <w:r w:rsidRPr="00BB495B">
        <w:rPr>
          <w:rFonts w:eastAsia="Arial" w:cs="Times New Roman"/>
          <w:spacing w:val="-4"/>
          <w:szCs w:val="24"/>
        </w:rPr>
        <w:t xml:space="preserve"> </w:t>
      </w:r>
      <w:r w:rsidRPr="00BB495B">
        <w:rPr>
          <w:rFonts w:eastAsia="Arial" w:cs="Times New Roman"/>
          <w:szCs w:val="24"/>
        </w:rPr>
        <w:t>of ow</w:t>
      </w:r>
      <w:r w:rsidRPr="00BB495B">
        <w:rPr>
          <w:rFonts w:eastAsia="Arial" w:cs="Times New Roman"/>
          <w:spacing w:val="1"/>
          <w:szCs w:val="24"/>
        </w:rPr>
        <w:t>n</w:t>
      </w:r>
      <w:r w:rsidRPr="00BB495B">
        <w:rPr>
          <w:rFonts w:eastAsia="Arial" w:cs="Times New Roman"/>
          <w:spacing w:val="-1"/>
          <w:szCs w:val="24"/>
        </w:rPr>
        <w:t>e</w:t>
      </w:r>
      <w:r w:rsidRPr="00BB495B">
        <w:rPr>
          <w:rFonts w:eastAsia="Arial" w:cs="Times New Roman"/>
          <w:szCs w:val="24"/>
        </w:rPr>
        <w:t>r,</w:t>
      </w:r>
      <w:r w:rsidRPr="00BB495B">
        <w:rPr>
          <w:rFonts w:eastAsia="Arial" w:cs="Times New Roman"/>
          <w:spacing w:val="-4"/>
          <w:szCs w:val="24"/>
        </w:rPr>
        <w:t xml:space="preserve"> </w:t>
      </w:r>
      <w:r w:rsidRPr="00BB495B">
        <w:rPr>
          <w:rFonts w:eastAsia="Arial" w:cs="Times New Roman"/>
          <w:szCs w:val="24"/>
        </w:rPr>
        <w:t>agri</w:t>
      </w:r>
      <w:r w:rsidRPr="00BB495B">
        <w:rPr>
          <w:rFonts w:eastAsia="Arial" w:cs="Times New Roman"/>
          <w:spacing w:val="1"/>
          <w:szCs w:val="24"/>
        </w:rPr>
        <w:t>c</w:t>
      </w:r>
      <w:r w:rsidRPr="00BB495B">
        <w:rPr>
          <w:rFonts w:eastAsia="Arial" w:cs="Times New Roman"/>
          <w:szCs w:val="24"/>
        </w:rPr>
        <w:t>ult</w:t>
      </w:r>
      <w:r w:rsidRPr="00BB495B">
        <w:rPr>
          <w:rFonts w:eastAsia="Arial" w:cs="Times New Roman"/>
          <w:spacing w:val="-1"/>
          <w:szCs w:val="24"/>
        </w:rPr>
        <w:t>u</w:t>
      </w:r>
      <w:r w:rsidRPr="00BB495B">
        <w:rPr>
          <w:rFonts w:eastAsia="Arial" w:cs="Times New Roman"/>
          <w:szCs w:val="24"/>
        </w:rPr>
        <w:t>r</w:t>
      </w:r>
      <w:r w:rsidRPr="00BB495B">
        <w:rPr>
          <w:rFonts w:eastAsia="Arial" w:cs="Times New Roman"/>
          <w:spacing w:val="1"/>
          <w:szCs w:val="24"/>
        </w:rPr>
        <w:t>a</w:t>
      </w:r>
      <w:r w:rsidRPr="00BB495B">
        <w:rPr>
          <w:rFonts w:eastAsia="Arial" w:cs="Times New Roman"/>
          <w:szCs w:val="24"/>
        </w:rPr>
        <w:t>l</w:t>
      </w:r>
      <w:r w:rsidRPr="00BB495B">
        <w:rPr>
          <w:rFonts w:eastAsia="Arial" w:cs="Times New Roman"/>
          <w:spacing w:val="-8"/>
          <w:szCs w:val="24"/>
        </w:rPr>
        <w:t xml:space="preserve"> </w:t>
      </w:r>
      <w:r w:rsidRPr="00BB495B">
        <w:rPr>
          <w:rFonts w:eastAsia="Arial" w:cs="Times New Roman"/>
          <w:szCs w:val="24"/>
        </w:rPr>
        <w:t>pr</w:t>
      </w:r>
      <w:r w:rsidRPr="00BB495B">
        <w:rPr>
          <w:rFonts w:eastAsia="Arial" w:cs="Times New Roman"/>
          <w:spacing w:val="1"/>
          <w:szCs w:val="24"/>
        </w:rPr>
        <w:t>a</w:t>
      </w:r>
      <w:r w:rsidRPr="00BB495B">
        <w:rPr>
          <w:rFonts w:eastAsia="Arial" w:cs="Times New Roman"/>
          <w:szCs w:val="24"/>
        </w:rPr>
        <w:t>ctices along with a mouza map.  This is done through periodic cadastral surveys</w:t>
      </w:r>
      <w:r w:rsidRPr="00BB495B">
        <w:rPr>
          <w:rFonts w:eastAsia="Arial" w:cs="Times New Roman"/>
          <w:spacing w:val="-1"/>
          <w:w w:val="103"/>
          <w:szCs w:val="24"/>
        </w:rPr>
        <w:t xml:space="preserve"> administered by Directorate of Land Records and Surveys (DLRS) and could take 15 years to finish, and by the time it gets completed lot of the land features may change, especially</w:t>
      </w:r>
      <w:r w:rsidRPr="00BB495B">
        <w:rPr>
          <w:rFonts w:ascii="Arial" w:eastAsia="Arial" w:hAnsi="Arial" w:cs="Arial"/>
          <w:spacing w:val="4"/>
          <w:szCs w:val="24"/>
        </w:rPr>
        <w:t xml:space="preserve"> </w:t>
      </w:r>
      <w:r w:rsidRPr="00BB495B">
        <w:rPr>
          <w:rFonts w:eastAsia="Arial" w:cs="Times New Roman"/>
          <w:spacing w:val="-1"/>
          <w:szCs w:val="24"/>
        </w:rPr>
        <w:t>i</w:t>
      </w:r>
      <w:r w:rsidRPr="00BB495B">
        <w:rPr>
          <w:rFonts w:eastAsia="Arial" w:cs="Times New Roman"/>
          <w:szCs w:val="24"/>
        </w:rPr>
        <w:t xml:space="preserve">n </w:t>
      </w:r>
      <w:r w:rsidRPr="00BB495B">
        <w:rPr>
          <w:rFonts w:eastAsia="Arial" w:cs="Times New Roman"/>
          <w:spacing w:val="2"/>
          <w:szCs w:val="24"/>
        </w:rPr>
        <w:t>r</w:t>
      </w:r>
      <w:r w:rsidRPr="00BB495B">
        <w:rPr>
          <w:rFonts w:eastAsia="Arial" w:cs="Times New Roman"/>
          <w:szCs w:val="24"/>
        </w:rPr>
        <w:t>i</w:t>
      </w:r>
      <w:r w:rsidRPr="00BB495B">
        <w:rPr>
          <w:rFonts w:eastAsia="Arial" w:cs="Times New Roman"/>
          <w:spacing w:val="-2"/>
          <w:szCs w:val="24"/>
        </w:rPr>
        <w:t>v</w:t>
      </w:r>
      <w:r w:rsidRPr="00BB495B">
        <w:rPr>
          <w:rFonts w:eastAsia="Arial" w:cs="Times New Roman"/>
          <w:spacing w:val="2"/>
          <w:szCs w:val="24"/>
        </w:rPr>
        <w:t>e</w:t>
      </w:r>
      <w:r w:rsidRPr="00BB495B">
        <w:rPr>
          <w:rFonts w:eastAsia="Arial" w:cs="Times New Roman"/>
          <w:spacing w:val="-1"/>
          <w:szCs w:val="24"/>
        </w:rPr>
        <w:t>ri</w:t>
      </w:r>
      <w:r w:rsidRPr="00BB495B">
        <w:rPr>
          <w:rFonts w:eastAsia="Arial" w:cs="Times New Roman"/>
          <w:szCs w:val="24"/>
        </w:rPr>
        <w:t>ne</w:t>
      </w:r>
      <w:r w:rsidRPr="00BB495B">
        <w:rPr>
          <w:rFonts w:eastAsia="Arial" w:cs="Times New Roman"/>
          <w:spacing w:val="5"/>
          <w:szCs w:val="24"/>
        </w:rPr>
        <w:t xml:space="preserve"> </w:t>
      </w:r>
      <w:r w:rsidRPr="00BB495B">
        <w:rPr>
          <w:rFonts w:eastAsia="Arial" w:cs="Times New Roman"/>
          <w:szCs w:val="24"/>
        </w:rPr>
        <w:t>a</w:t>
      </w:r>
      <w:r w:rsidRPr="00BB495B">
        <w:rPr>
          <w:rFonts w:eastAsia="Arial" w:cs="Times New Roman"/>
          <w:spacing w:val="-1"/>
          <w:szCs w:val="24"/>
        </w:rPr>
        <w:t>r</w:t>
      </w:r>
      <w:r w:rsidRPr="00BB495B">
        <w:rPr>
          <w:rFonts w:eastAsia="Arial" w:cs="Times New Roman"/>
          <w:szCs w:val="24"/>
        </w:rPr>
        <w:t>eas</w:t>
      </w:r>
      <w:r w:rsidRPr="00BB495B">
        <w:rPr>
          <w:rFonts w:eastAsia="Arial" w:cs="Times New Roman"/>
          <w:spacing w:val="1"/>
          <w:szCs w:val="24"/>
        </w:rPr>
        <w:t xml:space="preserve"> </w:t>
      </w:r>
      <w:r w:rsidRPr="00BB495B">
        <w:rPr>
          <w:rFonts w:eastAsia="Arial" w:cs="Times New Roman"/>
          <w:szCs w:val="24"/>
        </w:rPr>
        <w:t>and</w:t>
      </w:r>
      <w:r w:rsidRPr="00BB495B">
        <w:rPr>
          <w:rFonts w:eastAsia="Arial" w:cs="Times New Roman"/>
          <w:spacing w:val="2"/>
          <w:szCs w:val="24"/>
        </w:rPr>
        <w:t xml:space="preserve"> </w:t>
      </w:r>
      <w:r w:rsidRPr="00BB495B">
        <w:rPr>
          <w:rFonts w:eastAsia="Arial" w:cs="Times New Roman"/>
          <w:szCs w:val="24"/>
        </w:rPr>
        <w:t>m</w:t>
      </w:r>
      <w:r w:rsidRPr="00BB495B">
        <w:rPr>
          <w:rFonts w:eastAsia="Arial" w:cs="Times New Roman"/>
          <w:spacing w:val="-1"/>
          <w:szCs w:val="24"/>
        </w:rPr>
        <w:t>aj</w:t>
      </w:r>
      <w:r w:rsidRPr="00BB495B">
        <w:rPr>
          <w:rFonts w:eastAsia="Arial" w:cs="Times New Roman"/>
          <w:szCs w:val="24"/>
        </w:rPr>
        <w:t>or</w:t>
      </w:r>
      <w:r w:rsidRPr="00BB495B">
        <w:rPr>
          <w:rFonts w:eastAsia="Arial" w:cs="Times New Roman"/>
          <w:spacing w:val="3"/>
          <w:szCs w:val="24"/>
        </w:rPr>
        <w:t xml:space="preserve"> </w:t>
      </w:r>
      <w:r w:rsidRPr="00BB495B">
        <w:rPr>
          <w:rFonts w:eastAsia="Arial" w:cs="Times New Roman"/>
          <w:szCs w:val="24"/>
        </w:rPr>
        <w:t>urban</w:t>
      </w:r>
      <w:r w:rsidRPr="00BB495B">
        <w:rPr>
          <w:rFonts w:eastAsia="Arial" w:cs="Times New Roman"/>
          <w:spacing w:val="1"/>
          <w:szCs w:val="24"/>
        </w:rPr>
        <w:t xml:space="preserve"> </w:t>
      </w:r>
      <w:r w:rsidRPr="00BB495B">
        <w:rPr>
          <w:rFonts w:eastAsia="Arial" w:cs="Times New Roman"/>
          <w:spacing w:val="-1"/>
          <w:w w:val="101"/>
          <w:szCs w:val="24"/>
        </w:rPr>
        <w:t>c</w:t>
      </w:r>
      <w:r w:rsidRPr="00BB495B">
        <w:rPr>
          <w:rFonts w:eastAsia="Arial" w:cs="Times New Roman"/>
          <w:w w:val="101"/>
          <w:szCs w:val="24"/>
        </w:rPr>
        <w:t>ent</w:t>
      </w:r>
      <w:r w:rsidRPr="00BB495B">
        <w:rPr>
          <w:rFonts w:eastAsia="Arial" w:cs="Times New Roman"/>
          <w:spacing w:val="-1"/>
          <w:w w:val="101"/>
          <w:szCs w:val="24"/>
        </w:rPr>
        <w:t>e</w:t>
      </w:r>
      <w:r w:rsidRPr="00BB495B">
        <w:rPr>
          <w:rFonts w:eastAsia="Arial" w:cs="Times New Roman"/>
          <w:w w:val="101"/>
          <w:szCs w:val="24"/>
        </w:rPr>
        <w:t xml:space="preserve">rs </w:t>
      </w:r>
      <w:r w:rsidRPr="00BB495B">
        <w:rPr>
          <w:rFonts w:eastAsia="Arial" w:cs="Times New Roman"/>
          <w:szCs w:val="24"/>
        </w:rPr>
        <w:t xml:space="preserve">where </w:t>
      </w:r>
      <w:r w:rsidRPr="00BB495B">
        <w:rPr>
          <w:rFonts w:eastAsia="Arial" w:cs="Times New Roman"/>
          <w:spacing w:val="5"/>
          <w:szCs w:val="24"/>
        </w:rPr>
        <w:t>frequent</w:t>
      </w:r>
      <w:r w:rsidRPr="00BB495B">
        <w:rPr>
          <w:rFonts w:eastAsia="Arial" w:cs="Times New Roman"/>
          <w:szCs w:val="24"/>
        </w:rPr>
        <w:t xml:space="preserve"> </w:t>
      </w:r>
      <w:r w:rsidRPr="00BB495B">
        <w:rPr>
          <w:rFonts w:eastAsia="Arial" w:cs="Times New Roman"/>
          <w:spacing w:val="7"/>
          <w:szCs w:val="24"/>
        </w:rPr>
        <w:t>changes</w:t>
      </w:r>
      <w:r w:rsidRPr="00BB495B">
        <w:rPr>
          <w:rFonts w:eastAsia="Arial" w:cs="Times New Roman"/>
          <w:szCs w:val="24"/>
        </w:rPr>
        <w:t xml:space="preserve"> </w:t>
      </w:r>
      <w:r w:rsidRPr="00BB495B">
        <w:rPr>
          <w:rFonts w:eastAsia="Arial" w:cs="Times New Roman"/>
          <w:spacing w:val="7"/>
          <w:szCs w:val="24"/>
        </w:rPr>
        <w:t>of</w:t>
      </w:r>
      <w:r w:rsidRPr="00BB495B">
        <w:rPr>
          <w:rFonts w:eastAsia="Arial" w:cs="Times New Roman"/>
          <w:szCs w:val="24"/>
        </w:rPr>
        <w:t xml:space="preserve"> </w:t>
      </w:r>
      <w:r w:rsidRPr="00BB495B">
        <w:rPr>
          <w:rFonts w:eastAsia="Arial" w:cs="Times New Roman"/>
          <w:spacing w:val="1"/>
          <w:szCs w:val="24"/>
        </w:rPr>
        <w:t>ownership</w:t>
      </w:r>
      <w:r w:rsidRPr="00BB495B">
        <w:rPr>
          <w:rFonts w:eastAsia="Arial" w:cs="Times New Roman"/>
          <w:szCs w:val="24"/>
        </w:rPr>
        <w:t xml:space="preserve"> </w:t>
      </w:r>
      <w:r w:rsidRPr="00BB495B">
        <w:rPr>
          <w:rFonts w:eastAsia="Arial" w:cs="Times New Roman"/>
          <w:spacing w:val="9"/>
          <w:szCs w:val="24"/>
        </w:rPr>
        <w:t>take</w:t>
      </w:r>
      <w:r w:rsidRPr="00BB495B">
        <w:rPr>
          <w:rFonts w:eastAsia="Arial" w:cs="Times New Roman"/>
          <w:szCs w:val="24"/>
        </w:rPr>
        <w:t xml:space="preserve"> </w:t>
      </w:r>
      <w:r w:rsidRPr="00BB495B">
        <w:rPr>
          <w:rFonts w:eastAsia="Arial" w:cs="Times New Roman"/>
          <w:spacing w:val="3"/>
          <w:szCs w:val="24"/>
        </w:rPr>
        <w:t>place</w:t>
      </w:r>
      <w:r w:rsidRPr="00BB495B">
        <w:rPr>
          <w:rFonts w:eastAsia="Arial" w:cs="Times New Roman"/>
          <w:szCs w:val="24"/>
        </w:rPr>
        <w:t xml:space="preserve">. The cadastral survey starts with creating the initial maps by very low paid, low-level temporary employee, the Amin.  </w:t>
      </w:r>
    </w:p>
    <w:p w:rsidR="00A356FA" w:rsidRPr="00BB495B" w:rsidRDefault="00A356FA" w:rsidP="00A356FA">
      <w:pPr>
        <w:spacing w:line="276" w:lineRule="auto"/>
        <w:ind w:right="50"/>
        <w:jc w:val="both"/>
        <w:rPr>
          <w:rFonts w:eastAsia="Arial" w:cs="Times New Roman"/>
          <w:szCs w:val="24"/>
        </w:rPr>
      </w:pPr>
      <w:r w:rsidRPr="00BB495B">
        <w:rPr>
          <w:rFonts w:eastAsia="Arial" w:cs="Times New Roman"/>
          <w:szCs w:val="24"/>
        </w:rPr>
        <w:t>The regulatory maze described above on the land title and transfer process clearly spell</w:t>
      </w:r>
      <w:r w:rsidR="00A356DE">
        <w:rPr>
          <w:rFonts w:eastAsia="Arial" w:cs="Times New Roman"/>
          <w:szCs w:val="24"/>
        </w:rPr>
        <w:t>s</w:t>
      </w:r>
      <w:r w:rsidRPr="00BB495B">
        <w:rPr>
          <w:rFonts w:eastAsia="Arial" w:cs="Times New Roman"/>
          <w:szCs w:val="24"/>
        </w:rPr>
        <w:t xml:space="preserve"> out the regulatory challenges affecting land governance.  It is difficult for any average citizen to fully understand and navigate through this maze, and also it provides scope for producing fake documents.  .   </w:t>
      </w:r>
    </w:p>
    <w:p w:rsidR="00A356FA" w:rsidRPr="00BB495B" w:rsidRDefault="00A356FA" w:rsidP="00A356FA">
      <w:pPr>
        <w:spacing w:line="276" w:lineRule="auto"/>
        <w:ind w:right="50"/>
        <w:jc w:val="both"/>
        <w:rPr>
          <w:rFonts w:eastAsia="Arial" w:cs="Times New Roman"/>
          <w:w w:val="101"/>
          <w:szCs w:val="24"/>
        </w:rPr>
      </w:pPr>
      <w:r w:rsidRPr="00BB495B">
        <w:rPr>
          <w:rFonts w:eastAsia="Arial" w:cs="Times New Roman"/>
          <w:szCs w:val="24"/>
        </w:rPr>
        <w:t xml:space="preserve">The survey process and the appeal process are themselves also lengthy.  The survey process itself could take anywhere between 6 months to 2 years, depending on whether a re-survey is ordered.  There is definitely scope for improvement here if necessary regulatory steps and institutional changes are brought in backed up by use of technology.  Similarly the scope for reducing Appeal time and steps needs to be looked into. There is process for review and rectification but the appeal process could take a long time and also costly.  </w:t>
      </w:r>
      <w:r w:rsidRPr="00BB495B">
        <w:rPr>
          <w:rFonts w:eastAsia="Arial" w:cs="Times New Roman"/>
          <w:spacing w:val="-1"/>
          <w:szCs w:val="24"/>
        </w:rPr>
        <w:t>W</w:t>
      </w:r>
      <w:r w:rsidRPr="00BB495B">
        <w:rPr>
          <w:rFonts w:eastAsia="Arial" w:cs="Times New Roman"/>
          <w:szCs w:val="24"/>
        </w:rPr>
        <w:t>here</w:t>
      </w:r>
      <w:r w:rsidRPr="00BB495B">
        <w:rPr>
          <w:rFonts w:eastAsia="Arial" w:cs="Times New Roman"/>
          <w:spacing w:val="25"/>
          <w:szCs w:val="24"/>
        </w:rPr>
        <w:t xml:space="preserve"> </w:t>
      </w:r>
      <w:r w:rsidRPr="00BB495B">
        <w:rPr>
          <w:rFonts w:eastAsia="Arial" w:cs="Times New Roman"/>
          <w:szCs w:val="24"/>
        </w:rPr>
        <w:t>a</w:t>
      </w:r>
      <w:r w:rsidRPr="00BB495B">
        <w:rPr>
          <w:rFonts w:eastAsia="Arial" w:cs="Times New Roman"/>
          <w:spacing w:val="21"/>
          <w:szCs w:val="24"/>
        </w:rPr>
        <w:t xml:space="preserve"> </w:t>
      </w:r>
      <w:r w:rsidRPr="00BB495B">
        <w:rPr>
          <w:rFonts w:eastAsia="Arial" w:cs="Times New Roman"/>
          <w:szCs w:val="24"/>
        </w:rPr>
        <w:t>de</w:t>
      </w:r>
      <w:r w:rsidRPr="00BB495B">
        <w:rPr>
          <w:rFonts w:eastAsia="Arial" w:cs="Times New Roman"/>
          <w:spacing w:val="-1"/>
          <w:szCs w:val="24"/>
        </w:rPr>
        <w:t>c</w:t>
      </w:r>
      <w:r w:rsidRPr="00BB495B">
        <w:rPr>
          <w:rFonts w:eastAsia="Arial" w:cs="Times New Roman"/>
          <w:szCs w:val="24"/>
        </w:rPr>
        <w:t>isi</w:t>
      </w:r>
      <w:r w:rsidRPr="00BB495B">
        <w:rPr>
          <w:rFonts w:eastAsia="Arial" w:cs="Times New Roman"/>
          <w:spacing w:val="-1"/>
          <w:szCs w:val="24"/>
        </w:rPr>
        <w:t>o</w:t>
      </w:r>
      <w:r w:rsidRPr="00BB495B">
        <w:rPr>
          <w:rFonts w:eastAsia="Arial" w:cs="Times New Roman"/>
          <w:szCs w:val="24"/>
        </w:rPr>
        <w:t>n</w:t>
      </w:r>
      <w:r w:rsidRPr="00BB495B">
        <w:rPr>
          <w:rFonts w:eastAsia="Arial" w:cs="Times New Roman"/>
          <w:spacing w:val="27"/>
          <w:szCs w:val="24"/>
        </w:rPr>
        <w:t xml:space="preserve"> </w:t>
      </w:r>
      <w:r w:rsidRPr="00BB495B">
        <w:rPr>
          <w:rFonts w:eastAsia="Arial" w:cs="Times New Roman"/>
          <w:szCs w:val="24"/>
        </w:rPr>
        <w:t>re</w:t>
      </w:r>
      <w:r w:rsidRPr="00BB495B">
        <w:rPr>
          <w:rFonts w:eastAsia="Arial" w:cs="Times New Roman"/>
          <w:spacing w:val="-1"/>
          <w:szCs w:val="24"/>
        </w:rPr>
        <w:t>l</w:t>
      </w:r>
      <w:r w:rsidRPr="00BB495B">
        <w:rPr>
          <w:rFonts w:eastAsia="Arial" w:cs="Times New Roman"/>
          <w:szCs w:val="24"/>
        </w:rPr>
        <w:t>ating</w:t>
      </w:r>
      <w:r w:rsidRPr="00BB495B">
        <w:rPr>
          <w:rFonts w:eastAsia="Arial" w:cs="Times New Roman"/>
          <w:spacing w:val="26"/>
          <w:szCs w:val="24"/>
        </w:rPr>
        <w:t xml:space="preserve"> </w:t>
      </w:r>
      <w:r w:rsidRPr="00BB495B">
        <w:rPr>
          <w:rFonts w:eastAsia="Arial" w:cs="Times New Roman"/>
          <w:spacing w:val="-1"/>
          <w:szCs w:val="24"/>
        </w:rPr>
        <w:t>t</w:t>
      </w:r>
      <w:r w:rsidRPr="00BB495B">
        <w:rPr>
          <w:rFonts w:eastAsia="Arial" w:cs="Times New Roman"/>
          <w:szCs w:val="24"/>
        </w:rPr>
        <w:t>o</w:t>
      </w:r>
      <w:r w:rsidRPr="00BB495B">
        <w:rPr>
          <w:rFonts w:eastAsia="Arial" w:cs="Times New Roman"/>
          <w:spacing w:val="22"/>
          <w:szCs w:val="24"/>
        </w:rPr>
        <w:t xml:space="preserve"> </w:t>
      </w:r>
      <w:r w:rsidRPr="00BB495B">
        <w:rPr>
          <w:rFonts w:eastAsia="Arial" w:cs="Times New Roman"/>
          <w:szCs w:val="24"/>
        </w:rPr>
        <w:t>the</w:t>
      </w:r>
      <w:r w:rsidRPr="00BB495B">
        <w:rPr>
          <w:rFonts w:eastAsia="Arial" w:cs="Times New Roman"/>
          <w:spacing w:val="22"/>
          <w:szCs w:val="24"/>
        </w:rPr>
        <w:t xml:space="preserve"> </w:t>
      </w:r>
      <w:r w:rsidRPr="00BB495B">
        <w:rPr>
          <w:rFonts w:eastAsia="Arial" w:cs="Times New Roman"/>
          <w:szCs w:val="24"/>
        </w:rPr>
        <w:t>re</w:t>
      </w:r>
      <w:r w:rsidRPr="00BB495B">
        <w:rPr>
          <w:rFonts w:eastAsia="Arial" w:cs="Times New Roman"/>
          <w:spacing w:val="-1"/>
          <w:szCs w:val="24"/>
        </w:rPr>
        <w:t>c</w:t>
      </w:r>
      <w:r w:rsidRPr="00BB495B">
        <w:rPr>
          <w:rFonts w:eastAsia="Arial" w:cs="Times New Roman"/>
          <w:szCs w:val="24"/>
        </w:rPr>
        <w:t>o</w:t>
      </w:r>
      <w:r w:rsidRPr="00BB495B">
        <w:rPr>
          <w:rFonts w:eastAsia="Arial" w:cs="Times New Roman"/>
          <w:spacing w:val="-1"/>
          <w:szCs w:val="24"/>
        </w:rPr>
        <w:t>r</w:t>
      </w:r>
      <w:r w:rsidRPr="00BB495B">
        <w:rPr>
          <w:rFonts w:eastAsia="Arial" w:cs="Times New Roman"/>
          <w:szCs w:val="24"/>
        </w:rPr>
        <w:t>d</w:t>
      </w:r>
      <w:r w:rsidRPr="00BB495B">
        <w:rPr>
          <w:rFonts w:eastAsia="Arial" w:cs="Times New Roman"/>
          <w:spacing w:val="-1"/>
          <w:szCs w:val="24"/>
        </w:rPr>
        <w:t>i</w:t>
      </w:r>
      <w:r w:rsidRPr="00BB495B">
        <w:rPr>
          <w:rFonts w:eastAsia="Arial" w:cs="Times New Roman"/>
          <w:szCs w:val="24"/>
        </w:rPr>
        <w:t>ng</w:t>
      </w:r>
      <w:r w:rsidRPr="00BB495B">
        <w:rPr>
          <w:rFonts w:eastAsia="Arial" w:cs="Times New Roman"/>
          <w:spacing w:val="28"/>
          <w:szCs w:val="24"/>
        </w:rPr>
        <w:t xml:space="preserve"> </w:t>
      </w:r>
      <w:r w:rsidRPr="00BB495B">
        <w:rPr>
          <w:rFonts w:eastAsia="Arial" w:cs="Times New Roman"/>
          <w:spacing w:val="-1"/>
          <w:szCs w:val="24"/>
        </w:rPr>
        <w:t>o</w:t>
      </w:r>
      <w:r w:rsidRPr="00BB495B">
        <w:rPr>
          <w:rFonts w:eastAsia="Arial" w:cs="Times New Roman"/>
          <w:szCs w:val="24"/>
        </w:rPr>
        <w:t>f</w:t>
      </w:r>
      <w:r w:rsidRPr="00BB495B">
        <w:rPr>
          <w:rFonts w:eastAsia="Arial" w:cs="Times New Roman"/>
          <w:spacing w:val="23"/>
          <w:szCs w:val="24"/>
        </w:rPr>
        <w:t xml:space="preserve"> </w:t>
      </w:r>
      <w:r w:rsidRPr="00BB495B">
        <w:rPr>
          <w:rFonts w:eastAsia="Arial" w:cs="Times New Roman"/>
          <w:w w:val="101"/>
          <w:szCs w:val="24"/>
        </w:rPr>
        <w:t xml:space="preserve">land </w:t>
      </w:r>
      <w:r w:rsidRPr="00BB495B">
        <w:rPr>
          <w:rFonts w:eastAsia="Arial" w:cs="Times New Roman"/>
          <w:szCs w:val="24"/>
        </w:rPr>
        <w:t>t</w:t>
      </w:r>
      <w:r w:rsidRPr="00BB495B">
        <w:rPr>
          <w:rFonts w:eastAsia="Arial" w:cs="Times New Roman"/>
          <w:spacing w:val="-1"/>
          <w:szCs w:val="24"/>
        </w:rPr>
        <w:t>i</w:t>
      </w:r>
      <w:r w:rsidRPr="00BB495B">
        <w:rPr>
          <w:rFonts w:eastAsia="Arial" w:cs="Times New Roman"/>
          <w:szCs w:val="24"/>
        </w:rPr>
        <w:t>t</w:t>
      </w:r>
      <w:r w:rsidRPr="00BB495B">
        <w:rPr>
          <w:rFonts w:eastAsia="Arial" w:cs="Times New Roman"/>
          <w:spacing w:val="-1"/>
          <w:szCs w:val="24"/>
        </w:rPr>
        <w:t>l</w:t>
      </w:r>
      <w:r w:rsidRPr="00BB495B">
        <w:rPr>
          <w:rFonts w:eastAsia="Arial" w:cs="Times New Roman"/>
          <w:szCs w:val="24"/>
        </w:rPr>
        <w:t xml:space="preserve">e </w:t>
      </w:r>
      <w:r w:rsidRPr="00BB495B">
        <w:rPr>
          <w:rFonts w:eastAsia="Arial" w:cs="Times New Roman"/>
          <w:spacing w:val="5"/>
          <w:szCs w:val="24"/>
        </w:rPr>
        <w:t>is</w:t>
      </w:r>
      <w:r w:rsidRPr="00BB495B">
        <w:rPr>
          <w:rFonts w:eastAsia="Arial" w:cs="Times New Roman"/>
          <w:szCs w:val="24"/>
        </w:rPr>
        <w:t xml:space="preserve"> disputed, </w:t>
      </w:r>
      <w:r w:rsidRPr="00BB495B">
        <w:rPr>
          <w:rFonts w:eastAsia="Arial" w:cs="Times New Roman"/>
          <w:spacing w:val="8"/>
          <w:szCs w:val="24"/>
        </w:rPr>
        <w:t>the</w:t>
      </w:r>
      <w:r w:rsidRPr="00BB495B">
        <w:rPr>
          <w:rFonts w:eastAsia="Arial" w:cs="Times New Roman"/>
          <w:szCs w:val="24"/>
        </w:rPr>
        <w:t xml:space="preserve"> </w:t>
      </w:r>
      <w:r w:rsidRPr="00BB495B">
        <w:rPr>
          <w:rFonts w:eastAsia="Arial" w:cs="Times New Roman"/>
          <w:spacing w:val="3"/>
          <w:szCs w:val="24"/>
        </w:rPr>
        <w:t>appeals</w:t>
      </w:r>
      <w:r w:rsidRPr="00BB495B">
        <w:rPr>
          <w:rFonts w:eastAsia="Arial" w:cs="Times New Roman"/>
          <w:szCs w:val="24"/>
        </w:rPr>
        <w:t xml:space="preserve"> </w:t>
      </w:r>
      <w:r w:rsidRPr="00BB495B">
        <w:rPr>
          <w:rFonts w:eastAsia="Arial" w:cs="Times New Roman"/>
          <w:spacing w:val="5"/>
          <w:szCs w:val="24"/>
        </w:rPr>
        <w:t>process</w:t>
      </w:r>
      <w:r w:rsidRPr="00BB495B">
        <w:rPr>
          <w:rFonts w:eastAsia="Arial" w:cs="Times New Roman"/>
          <w:szCs w:val="24"/>
        </w:rPr>
        <w:t xml:space="preserve"> </w:t>
      </w:r>
      <w:r w:rsidRPr="00BB495B">
        <w:rPr>
          <w:rFonts w:eastAsia="Arial" w:cs="Times New Roman"/>
          <w:spacing w:val="6"/>
          <w:szCs w:val="24"/>
        </w:rPr>
        <w:t>starts</w:t>
      </w:r>
      <w:r w:rsidRPr="00BB495B">
        <w:rPr>
          <w:rFonts w:eastAsia="Arial" w:cs="Times New Roman"/>
          <w:szCs w:val="24"/>
        </w:rPr>
        <w:t xml:space="preserve"> </w:t>
      </w:r>
      <w:r w:rsidRPr="00BB495B">
        <w:rPr>
          <w:rFonts w:eastAsia="Arial" w:cs="Times New Roman"/>
          <w:spacing w:val="4"/>
          <w:szCs w:val="24"/>
        </w:rPr>
        <w:t>at</w:t>
      </w:r>
      <w:r w:rsidRPr="00BB495B">
        <w:rPr>
          <w:rFonts w:eastAsia="Arial" w:cs="Times New Roman"/>
          <w:szCs w:val="24"/>
        </w:rPr>
        <w:t xml:space="preserve"> </w:t>
      </w:r>
      <w:r w:rsidRPr="00BB495B">
        <w:rPr>
          <w:rFonts w:eastAsia="Arial" w:cs="Times New Roman"/>
          <w:spacing w:val="1"/>
          <w:szCs w:val="24"/>
        </w:rPr>
        <w:t>the</w:t>
      </w:r>
      <w:r w:rsidRPr="00BB495B">
        <w:rPr>
          <w:rFonts w:eastAsia="Arial" w:cs="Times New Roman"/>
          <w:szCs w:val="24"/>
        </w:rPr>
        <w:t xml:space="preserve"> </w:t>
      </w:r>
      <w:r w:rsidRPr="00BB495B">
        <w:rPr>
          <w:rFonts w:eastAsia="Arial" w:cs="Times New Roman"/>
          <w:spacing w:val="3"/>
          <w:szCs w:val="24"/>
        </w:rPr>
        <w:t>lowest</w:t>
      </w:r>
      <w:r w:rsidRPr="00BB495B">
        <w:rPr>
          <w:rFonts w:eastAsia="Arial" w:cs="Times New Roman"/>
          <w:szCs w:val="24"/>
        </w:rPr>
        <w:t xml:space="preserve"> </w:t>
      </w:r>
      <w:r w:rsidRPr="00BB495B">
        <w:rPr>
          <w:rFonts w:eastAsia="Arial" w:cs="Times New Roman"/>
          <w:spacing w:val="6"/>
          <w:szCs w:val="24"/>
        </w:rPr>
        <w:t>rung</w:t>
      </w:r>
      <w:r w:rsidRPr="00BB495B">
        <w:rPr>
          <w:rFonts w:eastAsia="Arial" w:cs="Times New Roman"/>
          <w:szCs w:val="24"/>
        </w:rPr>
        <w:t xml:space="preserve"> </w:t>
      </w:r>
      <w:r w:rsidRPr="00BB495B">
        <w:rPr>
          <w:rFonts w:eastAsia="Arial" w:cs="Times New Roman"/>
          <w:spacing w:val="2"/>
          <w:szCs w:val="24"/>
        </w:rPr>
        <w:t>of</w:t>
      </w:r>
      <w:r w:rsidRPr="00BB495B">
        <w:rPr>
          <w:rFonts w:eastAsia="Arial" w:cs="Times New Roman"/>
          <w:szCs w:val="24"/>
        </w:rPr>
        <w:t xml:space="preserve"> </w:t>
      </w:r>
      <w:r w:rsidRPr="00BB495B">
        <w:rPr>
          <w:rFonts w:eastAsia="Arial" w:cs="Times New Roman"/>
          <w:spacing w:val="1"/>
          <w:szCs w:val="24"/>
        </w:rPr>
        <w:t>the</w:t>
      </w:r>
      <w:r w:rsidRPr="00BB495B">
        <w:rPr>
          <w:rFonts w:eastAsia="Arial" w:cs="Times New Roman"/>
          <w:szCs w:val="24"/>
        </w:rPr>
        <w:t xml:space="preserve"> </w:t>
      </w:r>
      <w:r w:rsidRPr="00BB495B">
        <w:rPr>
          <w:rFonts w:eastAsia="Arial" w:cs="Times New Roman"/>
          <w:spacing w:val="1"/>
          <w:szCs w:val="24"/>
        </w:rPr>
        <w:t>ladder</w:t>
      </w:r>
      <w:r w:rsidRPr="00BB495B">
        <w:rPr>
          <w:rFonts w:eastAsia="Arial" w:cs="Times New Roman"/>
          <w:w w:val="101"/>
          <w:szCs w:val="24"/>
        </w:rPr>
        <w:t xml:space="preserve"> </w:t>
      </w:r>
      <w:r w:rsidR="009A719A">
        <w:rPr>
          <w:rFonts w:eastAsia="Arial" w:cs="Times New Roman"/>
          <w:w w:val="101"/>
          <w:szCs w:val="24"/>
        </w:rPr>
        <w:t xml:space="preserve">of the Land Administration </w:t>
      </w:r>
      <w:r w:rsidRPr="00BB495B">
        <w:rPr>
          <w:rFonts w:eastAsia="Arial" w:cs="Times New Roman"/>
          <w:spacing w:val="1"/>
          <w:szCs w:val="24"/>
        </w:rPr>
        <w:t>an</w:t>
      </w:r>
      <w:r w:rsidRPr="00BB495B">
        <w:rPr>
          <w:rFonts w:eastAsia="Arial" w:cs="Times New Roman"/>
          <w:szCs w:val="24"/>
        </w:rPr>
        <w:t>d</w:t>
      </w:r>
      <w:r w:rsidRPr="00BB495B">
        <w:rPr>
          <w:rFonts w:eastAsia="Arial" w:cs="Times New Roman"/>
          <w:spacing w:val="2"/>
          <w:szCs w:val="24"/>
        </w:rPr>
        <w:t xml:space="preserve"> </w:t>
      </w:r>
      <w:r w:rsidRPr="00BB495B">
        <w:rPr>
          <w:rFonts w:eastAsia="Arial" w:cs="Times New Roman"/>
          <w:spacing w:val="-1"/>
          <w:szCs w:val="24"/>
        </w:rPr>
        <w:t>t</w:t>
      </w:r>
      <w:r w:rsidRPr="00BB495B">
        <w:rPr>
          <w:rFonts w:eastAsia="Arial" w:cs="Times New Roman"/>
          <w:spacing w:val="1"/>
          <w:szCs w:val="24"/>
        </w:rPr>
        <w:t>he</w:t>
      </w:r>
      <w:r w:rsidRPr="00BB495B">
        <w:rPr>
          <w:rFonts w:eastAsia="Arial" w:cs="Times New Roman"/>
          <w:szCs w:val="24"/>
        </w:rPr>
        <w:t>n</w:t>
      </w:r>
      <w:r w:rsidRPr="00BB495B">
        <w:rPr>
          <w:rFonts w:eastAsia="Arial" w:cs="Times New Roman"/>
          <w:spacing w:val="3"/>
          <w:szCs w:val="24"/>
        </w:rPr>
        <w:t xml:space="preserve"> </w:t>
      </w:r>
      <w:r w:rsidRPr="00BB495B">
        <w:rPr>
          <w:rFonts w:eastAsia="Arial" w:cs="Times New Roman"/>
          <w:spacing w:val="1"/>
          <w:szCs w:val="24"/>
        </w:rPr>
        <w:t>mo</w:t>
      </w:r>
      <w:r w:rsidRPr="00BB495B">
        <w:rPr>
          <w:rFonts w:eastAsia="Arial" w:cs="Times New Roman"/>
          <w:spacing w:val="-1"/>
          <w:szCs w:val="24"/>
        </w:rPr>
        <w:t>ve</w:t>
      </w:r>
      <w:r w:rsidRPr="00BB495B">
        <w:rPr>
          <w:rFonts w:eastAsia="Arial" w:cs="Times New Roman"/>
          <w:szCs w:val="24"/>
        </w:rPr>
        <w:t>s</w:t>
      </w:r>
      <w:r w:rsidRPr="00BB495B">
        <w:rPr>
          <w:rFonts w:eastAsia="Arial" w:cs="Times New Roman"/>
          <w:spacing w:val="4"/>
          <w:szCs w:val="24"/>
        </w:rPr>
        <w:t xml:space="preserve"> </w:t>
      </w:r>
      <w:r w:rsidRPr="00BB495B">
        <w:rPr>
          <w:rFonts w:eastAsia="Arial" w:cs="Times New Roman"/>
          <w:spacing w:val="1"/>
          <w:szCs w:val="24"/>
        </w:rPr>
        <w:t>progre</w:t>
      </w:r>
      <w:r w:rsidRPr="00BB495B">
        <w:rPr>
          <w:rFonts w:eastAsia="Arial" w:cs="Times New Roman"/>
          <w:spacing w:val="-1"/>
          <w:szCs w:val="24"/>
        </w:rPr>
        <w:t>s</w:t>
      </w:r>
      <w:r w:rsidRPr="00BB495B">
        <w:rPr>
          <w:rFonts w:eastAsia="Arial" w:cs="Times New Roman"/>
          <w:spacing w:val="1"/>
          <w:szCs w:val="24"/>
        </w:rPr>
        <w:t>si</w:t>
      </w:r>
      <w:r w:rsidRPr="00BB495B">
        <w:rPr>
          <w:rFonts w:eastAsia="Arial" w:cs="Times New Roman"/>
          <w:spacing w:val="-1"/>
          <w:szCs w:val="24"/>
        </w:rPr>
        <w:t>ve</w:t>
      </w:r>
      <w:r w:rsidRPr="00BB495B">
        <w:rPr>
          <w:rFonts w:eastAsia="Arial" w:cs="Times New Roman"/>
          <w:spacing w:val="1"/>
          <w:szCs w:val="24"/>
        </w:rPr>
        <w:t>l</w:t>
      </w:r>
      <w:r w:rsidRPr="00BB495B">
        <w:rPr>
          <w:rFonts w:eastAsia="Arial" w:cs="Times New Roman"/>
          <w:szCs w:val="24"/>
        </w:rPr>
        <w:t>y</w:t>
      </w:r>
      <w:r w:rsidRPr="00BB495B">
        <w:rPr>
          <w:rFonts w:eastAsia="Arial" w:cs="Times New Roman"/>
          <w:spacing w:val="9"/>
          <w:szCs w:val="24"/>
        </w:rPr>
        <w:t xml:space="preserve"> </w:t>
      </w:r>
      <w:r w:rsidRPr="00BB495B">
        <w:rPr>
          <w:rFonts w:eastAsia="Arial" w:cs="Times New Roman"/>
          <w:spacing w:val="2"/>
          <w:szCs w:val="24"/>
        </w:rPr>
        <w:t>u</w:t>
      </w:r>
      <w:r w:rsidRPr="00BB495B">
        <w:rPr>
          <w:rFonts w:eastAsia="Arial" w:cs="Times New Roman"/>
          <w:spacing w:val="-1"/>
          <w:szCs w:val="24"/>
        </w:rPr>
        <w:t>p</w:t>
      </w:r>
      <w:r w:rsidRPr="00BB495B">
        <w:rPr>
          <w:rFonts w:eastAsia="Arial" w:cs="Times New Roman"/>
          <w:spacing w:val="1"/>
          <w:szCs w:val="24"/>
        </w:rPr>
        <w:t>ward</w:t>
      </w:r>
      <w:r w:rsidRPr="00BB495B">
        <w:rPr>
          <w:rFonts w:eastAsia="Arial" w:cs="Times New Roman"/>
          <w:szCs w:val="24"/>
        </w:rPr>
        <w:t>s</w:t>
      </w:r>
      <w:r w:rsidRPr="00BB495B">
        <w:rPr>
          <w:rFonts w:eastAsia="Arial" w:cs="Times New Roman"/>
          <w:spacing w:val="4"/>
          <w:szCs w:val="24"/>
        </w:rPr>
        <w:t xml:space="preserve"> </w:t>
      </w:r>
      <w:r w:rsidRPr="00BB495B">
        <w:rPr>
          <w:rFonts w:eastAsia="Arial" w:cs="Times New Roman"/>
          <w:spacing w:val="1"/>
          <w:szCs w:val="24"/>
        </w:rPr>
        <w:t>unti</w:t>
      </w:r>
      <w:r w:rsidRPr="00BB495B">
        <w:rPr>
          <w:rFonts w:eastAsia="Arial" w:cs="Times New Roman"/>
          <w:szCs w:val="24"/>
        </w:rPr>
        <w:t>l</w:t>
      </w:r>
      <w:r w:rsidRPr="00BB495B">
        <w:rPr>
          <w:rFonts w:eastAsia="Arial" w:cs="Times New Roman"/>
          <w:spacing w:val="2"/>
          <w:szCs w:val="24"/>
        </w:rPr>
        <w:t xml:space="preserve"> </w:t>
      </w:r>
      <w:r w:rsidRPr="00BB495B">
        <w:rPr>
          <w:rFonts w:eastAsia="Arial" w:cs="Times New Roman"/>
          <w:spacing w:val="1"/>
          <w:szCs w:val="24"/>
        </w:rPr>
        <w:t>th</w:t>
      </w:r>
      <w:r w:rsidRPr="00BB495B">
        <w:rPr>
          <w:rFonts w:eastAsia="Arial" w:cs="Times New Roman"/>
          <w:szCs w:val="24"/>
        </w:rPr>
        <w:t>e</w:t>
      </w:r>
      <w:r w:rsidRPr="00BB495B">
        <w:rPr>
          <w:rFonts w:eastAsia="Arial" w:cs="Times New Roman"/>
          <w:spacing w:val="1"/>
          <w:szCs w:val="24"/>
        </w:rPr>
        <w:t xml:space="preserve"> </w:t>
      </w:r>
      <w:r w:rsidRPr="00BB495B">
        <w:rPr>
          <w:rFonts w:eastAsia="Arial" w:cs="Times New Roman"/>
          <w:spacing w:val="-1"/>
          <w:w w:val="101"/>
          <w:szCs w:val="24"/>
        </w:rPr>
        <w:t>a</w:t>
      </w:r>
      <w:r w:rsidRPr="00BB495B">
        <w:rPr>
          <w:rFonts w:eastAsia="Arial" w:cs="Times New Roman"/>
          <w:spacing w:val="1"/>
          <w:w w:val="101"/>
          <w:szCs w:val="24"/>
        </w:rPr>
        <w:t>ppel</w:t>
      </w:r>
      <w:r w:rsidRPr="00BB495B">
        <w:rPr>
          <w:rFonts w:eastAsia="Arial" w:cs="Times New Roman"/>
          <w:spacing w:val="-1"/>
          <w:w w:val="101"/>
          <w:szCs w:val="24"/>
        </w:rPr>
        <w:t>l</w:t>
      </w:r>
      <w:r w:rsidRPr="00BB495B">
        <w:rPr>
          <w:rFonts w:eastAsia="Arial" w:cs="Times New Roman"/>
          <w:spacing w:val="1"/>
          <w:w w:val="101"/>
          <w:szCs w:val="24"/>
        </w:rPr>
        <w:t>ant</w:t>
      </w:r>
      <w:r w:rsidRPr="00BB495B">
        <w:rPr>
          <w:rFonts w:eastAsia="Arial" w:cs="Times New Roman"/>
          <w:w w:val="101"/>
          <w:szCs w:val="24"/>
        </w:rPr>
        <w:t xml:space="preserve">s </w:t>
      </w:r>
      <w:r w:rsidRPr="00BB495B">
        <w:rPr>
          <w:rFonts w:eastAsia="Arial" w:cs="Times New Roman"/>
          <w:szCs w:val="24"/>
        </w:rPr>
        <w:t>and</w:t>
      </w:r>
      <w:r w:rsidRPr="00BB495B">
        <w:rPr>
          <w:rFonts w:eastAsia="Arial" w:cs="Times New Roman"/>
          <w:spacing w:val="17"/>
          <w:szCs w:val="24"/>
        </w:rPr>
        <w:t xml:space="preserve"> </w:t>
      </w:r>
      <w:r w:rsidRPr="00BB495B">
        <w:rPr>
          <w:rFonts w:eastAsia="Arial" w:cs="Times New Roman"/>
          <w:szCs w:val="24"/>
        </w:rPr>
        <w:t>ot</w:t>
      </w:r>
      <w:r w:rsidRPr="00BB495B">
        <w:rPr>
          <w:rFonts w:eastAsia="Arial" w:cs="Times New Roman"/>
          <w:spacing w:val="-1"/>
          <w:szCs w:val="24"/>
        </w:rPr>
        <w:t>h</w:t>
      </w:r>
      <w:r w:rsidRPr="00BB495B">
        <w:rPr>
          <w:rFonts w:eastAsia="Arial" w:cs="Times New Roman"/>
          <w:szCs w:val="24"/>
        </w:rPr>
        <w:t>er</w:t>
      </w:r>
      <w:r w:rsidRPr="00BB495B">
        <w:rPr>
          <w:rFonts w:eastAsia="Arial" w:cs="Times New Roman"/>
          <w:spacing w:val="18"/>
          <w:szCs w:val="24"/>
        </w:rPr>
        <w:t xml:space="preserve"> </w:t>
      </w:r>
      <w:r w:rsidRPr="00BB495B">
        <w:rPr>
          <w:rFonts w:eastAsia="Arial" w:cs="Times New Roman"/>
          <w:spacing w:val="-1"/>
          <w:szCs w:val="24"/>
        </w:rPr>
        <w:t>i</w:t>
      </w:r>
      <w:r w:rsidRPr="00BB495B">
        <w:rPr>
          <w:rFonts w:eastAsia="Arial" w:cs="Times New Roman"/>
          <w:szCs w:val="24"/>
        </w:rPr>
        <w:t>nter</w:t>
      </w:r>
      <w:r w:rsidRPr="00BB495B">
        <w:rPr>
          <w:rFonts w:eastAsia="Arial" w:cs="Times New Roman"/>
          <w:spacing w:val="-1"/>
          <w:szCs w:val="24"/>
        </w:rPr>
        <w:t>es</w:t>
      </w:r>
      <w:r w:rsidRPr="00BB495B">
        <w:rPr>
          <w:rFonts w:eastAsia="Arial" w:cs="Times New Roman"/>
          <w:szCs w:val="24"/>
        </w:rPr>
        <w:t>ted</w:t>
      </w:r>
      <w:r w:rsidRPr="00BB495B">
        <w:rPr>
          <w:rFonts w:eastAsia="Arial" w:cs="Times New Roman"/>
          <w:spacing w:val="23"/>
          <w:szCs w:val="24"/>
        </w:rPr>
        <w:t xml:space="preserve"> </w:t>
      </w:r>
      <w:r w:rsidRPr="00BB495B">
        <w:rPr>
          <w:rFonts w:eastAsia="Arial" w:cs="Times New Roman"/>
          <w:szCs w:val="24"/>
        </w:rPr>
        <w:t>pa</w:t>
      </w:r>
      <w:r w:rsidRPr="00BB495B">
        <w:rPr>
          <w:rFonts w:eastAsia="Arial" w:cs="Times New Roman"/>
          <w:spacing w:val="-1"/>
          <w:szCs w:val="24"/>
        </w:rPr>
        <w:t>r</w:t>
      </w:r>
      <w:r w:rsidRPr="00BB495B">
        <w:rPr>
          <w:rFonts w:eastAsia="Arial" w:cs="Times New Roman"/>
          <w:szCs w:val="24"/>
        </w:rPr>
        <w:t>ti</w:t>
      </w:r>
      <w:r w:rsidRPr="00BB495B">
        <w:rPr>
          <w:rFonts w:eastAsia="Arial" w:cs="Times New Roman"/>
          <w:spacing w:val="-1"/>
          <w:szCs w:val="24"/>
        </w:rPr>
        <w:t>e</w:t>
      </w:r>
      <w:r w:rsidRPr="00BB495B">
        <w:rPr>
          <w:rFonts w:eastAsia="Arial" w:cs="Times New Roman"/>
          <w:szCs w:val="24"/>
        </w:rPr>
        <w:t>s</w:t>
      </w:r>
      <w:r w:rsidRPr="00BB495B">
        <w:rPr>
          <w:rFonts w:eastAsia="Arial" w:cs="Times New Roman"/>
          <w:spacing w:val="20"/>
          <w:szCs w:val="24"/>
        </w:rPr>
        <w:t xml:space="preserve"> </w:t>
      </w:r>
      <w:r w:rsidRPr="00BB495B">
        <w:rPr>
          <w:rFonts w:eastAsia="Arial" w:cs="Times New Roman"/>
          <w:szCs w:val="24"/>
        </w:rPr>
        <w:t>eit</w:t>
      </w:r>
      <w:r w:rsidRPr="00BB495B">
        <w:rPr>
          <w:rFonts w:eastAsia="Arial" w:cs="Times New Roman"/>
          <w:spacing w:val="-1"/>
          <w:szCs w:val="24"/>
        </w:rPr>
        <w:t>h</w:t>
      </w:r>
      <w:r w:rsidRPr="00BB495B">
        <w:rPr>
          <w:rFonts w:eastAsia="Arial" w:cs="Times New Roman"/>
          <w:szCs w:val="24"/>
        </w:rPr>
        <w:t>er</w:t>
      </w:r>
      <w:r w:rsidRPr="00BB495B">
        <w:rPr>
          <w:rFonts w:eastAsia="Arial" w:cs="Times New Roman"/>
          <w:spacing w:val="19"/>
          <w:szCs w:val="24"/>
        </w:rPr>
        <w:t xml:space="preserve"> </w:t>
      </w:r>
      <w:r w:rsidRPr="00BB495B">
        <w:rPr>
          <w:rFonts w:eastAsia="Arial" w:cs="Times New Roman"/>
          <w:szCs w:val="24"/>
        </w:rPr>
        <w:t>a</w:t>
      </w:r>
      <w:r w:rsidRPr="00BB495B">
        <w:rPr>
          <w:rFonts w:eastAsia="Arial" w:cs="Times New Roman"/>
          <w:spacing w:val="-1"/>
          <w:szCs w:val="24"/>
        </w:rPr>
        <w:t>cc</w:t>
      </w:r>
      <w:r w:rsidRPr="00BB495B">
        <w:rPr>
          <w:rFonts w:eastAsia="Arial" w:cs="Times New Roman"/>
          <w:szCs w:val="24"/>
        </w:rPr>
        <w:t>ept</w:t>
      </w:r>
      <w:r w:rsidRPr="00BB495B">
        <w:rPr>
          <w:rFonts w:eastAsia="Arial" w:cs="Times New Roman"/>
          <w:spacing w:val="20"/>
          <w:szCs w:val="24"/>
        </w:rPr>
        <w:t xml:space="preserve"> </w:t>
      </w:r>
      <w:r w:rsidRPr="00BB495B">
        <w:rPr>
          <w:rFonts w:eastAsia="Arial" w:cs="Times New Roman"/>
          <w:szCs w:val="24"/>
        </w:rPr>
        <w:t>the</w:t>
      </w:r>
      <w:r w:rsidRPr="00BB495B">
        <w:rPr>
          <w:rFonts w:eastAsia="Arial" w:cs="Times New Roman"/>
          <w:spacing w:val="17"/>
          <w:szCs w:val="24"/>
        </w:rPr>
        <w:t xml:space="preserve"> </w:t>
      </w:r>
      <w:r w:rsidRPr="00BB495B">
        <w:rPr>
          <w:rFonts w:eastAsia="Arial" w:cs="Times New Roman"/>
          <w:spacing w:val="-1"/>
          <w:szCs w:val="24"/>
        </w:rPr>
        <w:t>j</w:t>
      </w:r>
      <w:r w:rsidRPr="00BB495B">
        <w:rPr>
          <w:rFonts w:eastAsia="Arial" w:cs="Times New Roman"/>
          <w:spacing w:val="2"/>
          <w:szCs w:val="24"/>
        </w:rPr>
        <w:t>u</w:t>
      </w:r>
      <w:r w:rsidRPr="00BB495B">
        <w:rPr>
          <w:rFonts w:eastAsia="Arial" w:cs="Times New Roman"/>
          <w:spacing w:val="-1"/>
          <w:szCs w:val="24"/>
        </w:rPr>
        <w:t>d</w:t>
      </w:r>
      <w:r w:rsidRPr="00BB495B">
        <w:rPr>
          <w:rFonts w:eastAsia="Arial" w:cs="Times New Roman"/>
          <w:szCs w:val="24"/>
        </w:rPr>
        <w:t>gme</w:t>
      </w:r>
      <w:r w:rsidRPr="00BB495B">
        <w:rPr>
          <w:rFonts w:eastAsia="Arial" w:cs="Times New Roman"/>
          <w:spacing w:val="-1"/>
          <w:szCs w:val="24"/>
        </w:rPr>
        <w:t>n</w:t>
      </w:r>
      <w:r w:rsidRPr="00BB495B">
        <w:rPr>
          <w:rFonts w:eastAsia="Arial" w:cs="Times New Roman"/>
          <w:szCs w:val="24"/>
        </w:rPr>
        <w:t>t</w:t>
      </w:r>
      <w:r w:rsidRPr="00BB495B">
        <w:rPr>
          <w:rFonts w:eastAsia="Arial" w:cs="Times New Roman"/>
          <w:spacing w:val="23"/>
          <w:szCs w:val="24"/>
        </w:rPr>
        <w:t xml:space="preserve"> </w:t>
      </w:r>
      <w:r w:rsidRPr="00BB495B">
        <w:rPr>
          <w:rFonts w:eastAsia="Arial" w:cs="Times New Roman"/>
          <w:szCs w:val="24"/>
        </w:rPr>
        <w:t>gi</w:t>
      </w:r>
      <w:r w:rsidRPr="00BB495B">
        <w:rPr>
          <w:rFonts w:eastAsia="Arial" w:cs="Times New Roman"/>
          <w:spacing w:val="-1"/>
          <w:szCs w:val="24"/>
        </w:rPr>
        <w:t>v</w:t>
      </w:r>
      <w:r w:rsidRPr="00BB495B">
        <w:rPr>
          <w:rFonts w:eastAsia="Arial" w:cs="Times New Roman"/>
          <w:szCs w:val="24"/>
        </w:rPr>
        <w:t>en</w:t>
      </w:r>
      <w:r w:rsidRPr="00BB495B">
        <w:rPr>
          <w:rFonts w:eastAsia="Arial" w:cs="Times New Roman"/>
          <w:spacing w:val="19"/>
          <w:szCs w:val="24"/>
        </w:rPr>
        <w:t xml:space="preserve"> </w:t>
      </w:r>
      <w:r w:rsidRPr="00BB495B">
        <w:rPr>
          <w:rFonts w:eastAsia="Arial" w:cs="Times New Roman"/>
          <w:szCs w:val="24"/>
        </w:rPr>
        <w:t>or</w:t>
      </w:r>
      <w:r w:rsidRPr="00BB495B">
        <w:rPr>
          <w:rFonts w:eastAsia="Arial" w:cs="Times New Roman"/>
          <w:spacing w:val="16"/>
          <w:szCs w:val="24"/>
        </w:rPr>
        <w:t xml:space="preserve"> </w:t>
      </w:r>
      <w:r w:rsidRPr="00BB495B">
        <w:rPr>
          <w:rFonts w:eastAsia="Arial" w:cs="Times New Roman"/>
          <w:spacing w:val="-1"/>
          <w:szCs w:val="24"/>
        </w:rPr>
        <w:t>l</w:t>
      </w:r>
      <w:r w:rsidRPr="00BB495B">
        <w:rPr>
          <w:rFonts w:eastAsia="Arial" w:cs="Times New Roman"/>
          <w:szCs w:val="24"/>
        </w:rPr>
        <w:t>a</w:t>
      </w:r>
      <w:r w:rsidRPr="00BB495B">
        <w:rPr>
          <w:rFonts w:eastAsia="Arial" w:cs="Times New Roman"/>
          <w:spacing w:val="-1"/>
          <w:szCs w:val="24"/>
        </w:rPr>
        <w:t>c</w:t>
      </w:r>
      <w:r w:rsidRPr="00BB495B">
        <w:rPr>
          <w:rFonts w:eastAsia="Arial" w:cs="Times New Roman"/>
          <w:szCs w:val="24"/>
        </w:rPr>
        <w:t>k</w:t>
      </w:r>
      <w:r w:rsidRPr="00BB495B">
        <w:rPr>
          <w:rFonts w:eastAsia="Arial" w:cs="Times New Roman"/>
          <w:spacing w:val="17"/>
          <w:szCs w:val="24"/>
        </w:rPr>
        <w:t xml:space="preserve"> </w:t>
      </w:r>
      <w:r w:rsidRPr="00BB495B">
        <w:rPr>
          <w:rFonts w:eastAsia="Arial" w:cs="Times New Roman"/>
          <w:spacing w:val="2"/>
          <w:szCs w:val="24"/>
        </w:rPr>
        <w:t>t</w:t>
      </w:r>
      <w:r w:rsidRPr="00BB495B">
        <w:rPr>
          <w:rFonts w:eastAsia="Arial" w:cs="Times New Roman"/>
          <w:spacing w:val="-1"/>
          <w:szCs w:val="24"/>
        </w:rPr>
        <w:t>h</w:t>
      </w:r>
      <w:r w:rsidRPr="00BB495B">
        <w:rPr>
          <w:rFonts w:eastAsia="Arial" w:cs="Times New Roman"/>
          <w:szCs w:val="24"/>
        </w:rPr>
        <w:t>e</w:t>
      </w:r>
      <w:r w:rsidRPr="00BB495B">
        <w:rPr>
          <w:rFonts w:eastAsia="Arial" w:cs="Times New Roman"/>
          <w:spacing w:val="18"/>
          <w:szCs w:val="24"/>
        </w:rPr>
        <w:t xml:space="preserve"> </w:t>
      </w:r>
      <w:r w:rsidRPr="00BB495B">
        <w:rPr>
          <w:rFonts w:eastAsia="Arial" w:cs="Times New Roman"/>
          <w:spacing w:val="-1"/>
          <w:w w:val="101"/>
          <w:szCs w:val="24"/>
        </w:rPr>
        <w:t>r</w:t>
      </w:r>
      <w:r w:rsidRPr="00BB495B">
        <w:rPr>
          <w:rFonts w:eastAsia="Arial" w:cs="Times New Roman"/>
          <w:w w:val="101"/>
          <w:szCs w:val="24"/>
        </w:rPr>
        <w:t>e</w:t>
      </w:r>
      <w:r w:rsidRPr="00BB495B">
        <w:rPr>
          <w:rFonts w:eastAsia="Arial" w:cs="Times New Roman"/>
          <w:spacing w:val="-1"/>
          <w:w w:val="101"/>
          <w:szCs w:val="24"/>
        </w:rPr>
        <w:t>s</w:t>
      </w:r>
      <w:r w:rsidRPr="00BB495B">
        <w:rPr>
          <w:rFonts w:eastAsia="Arial" w:cs="Times New Roman"/>
          <w:w w:val="101"/>
          <w:szCs w:val="24"/>
        </w:rPr>
        <w:t>ou</w:t>
      </w:r>
      <w:r w:rsidRPr="00BB495B">
        <w:rPr>
          <w:rFonts w:eastAsia="Arial" w:cs="Times New Roman"/>
          <w:spacing w:val="-1"/>
          <w:w w:val="101"/>
          <w:szCs w:val="24"/>
        </w:rPr>
        <w:t>rc</w:t>
      </w:r>
      <w:r w:rsidRPr="00BB495B">
        <w:rPr>
          <w:rFonts w:eastAsia="Arial" w:cs="Times New Roman"/>
          <w:spacing w:val="2"/>
          <w:w w:val="101"/>
          <w:szCs w:val="24"/>
        </w:rPr>
        <w:t>e</w:t>
      </w:r>
      <w:r w:rsidRPr="00BB495B">
        <w:rPr>
          <w:rFonts w:eastAsia="Arial" w:cs="Times New Roman"/>
          <w:w w:val="101"/>
          <w:szCs w:val="24"/>
        </w:rPr>
        <w:t xml:space="preserve">s </w:t>
      </w:r>
      <w:r w:rsidRPr="00BB495B">
        <w:rPr>
          <w:rFonts w:eastAsia="Arial" w:cs="Times New Roman"/>
          <w:szCs w:val="24"/>
        </w:rPr>
        <w:t>to</w:t>
      </w:r>
      <w:r w:rsidRPr="00BB495B">
        <w:rPr>
          <w:rFonts w:eastAsia="Arial" w:cs="Times New Roman"/>
          <w:spacing w:val="4"/>
          <w:szCs w:val="24"/>
        </w:rPr>
        <w:t xml:space="preserve"> </w:t>
      </w:r>
      <w:r w:rsidRPr="00BB495B">
        <w:rPr>
          <w:rFonts w:eastAsia="Arial" w:cs="Times New Roman"/>
          <w:szCs w:val="24"/>
        </w:rPr>
        <w:t>p</w:t>
      </w:r>
      <w:r w:rsidRPr="00BB495B">
        <w:rPr>
          <w:rFonts w:eastAsia="Arial" w:cs="Times New Roman"/>
          <w:spacing w:val="-1"/>
          <w:szCs w:val="24"/>
        </w:rPr>
        <w:t>r</w:t>
      </w:r>
      <w:r w:rsidRPr="00BB495B">
        <w:rPr>
          <w:rFonts w:eastAsia="Arial" w:cs="Times New Roman"/>
          <w:szCs w:val="24"/>
        </w:rPr>
        <w:t>o</w:t>
      </w:r>
      <w:r w:rsidRPr="00BB495B">
        <w:rPr>
          <w:rFonts w:eastAsia="Arial" w:cs="Times New Roman"/>
          <w:spacing w:val="-1"/>
          <w:szCs w:val="24"/>
        </w:rPr>
        <w:t>c</w:t>
      </w:r>
      <w:r w:rsidRPr="00BB495B">
        <w:rPr>
          <w:rFonts w:eastAsia="Arial" w:cs="Times New Roman"/>
          <w:szCs w:val="24"/>
        </w:rPr>
        <w:t>eed</w:t>
      </w:r>
      <w:r w:rsidRPr="00BB495B">
        <w:rPr>
          <w:rFonts w:eastAsia="Arial" w:cs="Times New Roman"/>
          <w:spacing w:val="8"/>
          <w:szCs w:val="24"/>
        </w:rPr>
        <w:t xml:space="preserve"> </w:t>
      </w:r>
      <w:r w:rsidRPr="00BB495B">
        <w:rPr>
          <w:rFonts w:eastAsia="Arial" w:cs="Times New Roman"/>
          <w:w w:val="101"/>
          <w:szCs w:val="24"/>
        </w:rPr>
        <w:t>fur</w:t>
      </w:r>
      <w:r w:rsidRPr="00BB495B">
        <w:rPr>
          <w:rFonts w:eastAsia="Arial" w:cs="Times New Roman"/>
          <w:spacing w:val="-1"/>
          <w:w w:val="101"/>
          <w:szCs w:val="24"/>
        </w:rPr>
        <w:t>t</w:t>
      </w:r>
      <w:r w:rsidRPr="00BB495B">
        <w:rPr>
          <w:rFonts w:eastAsia="Arial" w:cs="Times New Roman"/>
          <w:w w:val="101"/>
          <w:szCs w:val="24"/>
        </w:rPr>
        <w:t>her.</w:t>
      </w:r>
    </w:p>
    <w:p w:rsidR="00A356FA" w:rsidRPr="00BB495B" w:rsidRDefault="00A356FA" w:rsidP="00A356FA">
      <w:pPr>
        <w:spacing w:line="276" w:lineRule="auto"/>
        <w:ind w:right="50"/>
        <w:jc w:val="both"/>
        <w:rPr>
          <w:rFonts w:eastAsia="Arial" w:cs="Times New Roman"/>
          <w:w w:val="101"/>
          <w:szCs w:val="24"/>
        </w:rPr>
      </w:pPr>
      <w:r w:rsidRPr="00BB495B">
        <w:rPr>
          <w:rFonts w:eastAsia="Arial" w:cs="Times New Roman"/>
          <w:w w:val="101"/>
          <w:szCs w:val="24"/>
        </w:rPr>
        <w:t xml:space="preserve">One factor that becomes apparent is that the links between the three key institutions, the Survey, The AC Land, and the Sub-Registrar’s office, are very weak as accountability mechanisms only moves vertically in each of the institutions, though for </w:t>
      </w:r>
      <w:r w:rsidR="00065D01" w:rsidRPr="00BB495B">
        <w:rPr>
          <w:rFonts w:eastAsia="Arial" w:cs="Times New Roman"/>
          <w:w w:val="101"/>
          <w:szCs w:val="24"/>
        </w:rPr>
        <w:t>an</w:t>
      </w:r>
      <w:r w:rsidRPr="00BB495B">
        <w:rPr>
          <w:rFonts w:eastAsia="Arial" w:cs="Times New Roman"/>
          <w:w w:val="101"/>
          <w:szCs w:val="24"/>
        </w:rPr>
        <w:t xml:space="preserve"> efficient and transparent system there needs to well synchronized linkages across the three institutions. The issue gets further complicated as two of the agencies report to Ministry of Land </w:t>
      </w:r>
      <w:r w:rsidR="00F14DC2">
        <w:rPr>
          <w:rFonts w:eastAsia="Arial" w:cs="Times New Roman"/>
          <w:w w:val="101"/>
          <w:szCs w:val="24"/>
        </w:rPr>
        <w:t xml:space="preserve">and </w:t>
      </w:r>
      <w:r w:rsidRPr="00BB495B">
        <w:rPr>
          <w:rFonts w:eastAsia="Arial" w:cs="Times New Roman"/>
          <w:w w:val="101"/>
          <w:szCs w:val="24"/>
        </w:rPr>
        <w:t xml:space="preserve">the </w:t>
      </w:r>
      <w:r w:rsidRPr="00BB495B">
        <w:rPr>
          <w:rFonts w:eastAsia="Arial" w:cs="Times New Roman"/>
          <w:w w:val="101"/>
          <w:szCs w:val="24"/>
        </w:rPr>
        <w:lastRenderedPageBreak/>
        <w:t xml:space="preserve">Registry is within the jurisdiction of </w:t>
      </w:r>
      <w:r w:rsidR="00F14DC2">
        <w:rPr>
          <w:rFonts w:eastAsia="Arial" w:cs="Times New Roman"/>
          <w:w w:val="101"/>
          <w:szCs w:val="24"/>
        </w:rPr>
        <w:t>Law and Justice Division</w:t>
      </w:r>
      <w:r w:rsidRPr="00BB495B">
        <w:rPr>
          <w:rFonts w:eastAsia="Arial" w:cs="Times New Roman"/>
          <w:w w:val="101"/>
          <w:szCs w:val="24"/>
        </w:rPr>
        <w:t xml:space="preserve">.  So there has also to be good synchronization between the two Ministries.  </w:t>
      </w:r>
    </w:p>
    <w:p w:rsidR="00A356FA" w:rsidRPr="00BB495B" w:rsidRDefault="00A356FA" w:rsidP="00A356FA">
      <w:pPr>
        <w:pStyle w:val="Default"/>
        <w:spacing w:line="276" w:lineRule="auto"/>
        <w:jc w:val="both"/>
        <w:rPr>
          <w:rFonts w:ascii="Times New Roman" w:hAnsi="Times New Roman" w:cs="Times New Roman"/>
          <w:color w:val="auto"/>
        </w:rPr>
      </w:pPr>
      <w:r w:rsidRPr="00BB495B">
        <w:rPr>
          <w:rFonts w:ascii="Times New Roman" w:hAnsi="Times New Roman" w:cs="Times New Roman"/>
          <w:color w:val="auto"/>
        </w:rPr>
        <w:t xml:space="preserve">So there are policy and regulatory challenges to land resource management, which needs to be addressed. </w:t>
      </w:r>
      <w:r w:rsidRPr="00BB495B">
        <w:rPr>
          <w:rFonts w:ascii="Times New Roman" w:eastAsia="Arial" w:hAnsi="Times New Roman" w:cs="Times New Roman"/>
          <w:w w:val="101"/>
        </w:rPr>
        <w:t>In the short and medium term, the regulatory and institutional challenge will be in bridging these gaps across the institutions as well as brining efficiency within each agency.  It will be particularly important to reduce time for undertaking surveys, simplifying the appeal process, reducing the number of days in the registration process to at least come to the India level, which had also inherited a similar system, and finally coming up with a more dependable and readily available certificate of title that is protected from abuse that is now prevalent in the system.</w:t>
      </w:r>
    </w:p>
    <w:p w:rsidR="00A356FA" w:rsidRPr="00F0617A" w:rsidRDefault="00876602" w:rsidP="0001495A">
      <w:pPr>
        <w:pStyle w:val="Heading2"/>
      </w:pPr>
      <w:bookmarkStart w:id="556" w:name="_Toc474638893"/>
      <w:r>
        <w:t>7.4.</w:t>
      </w:r>
      <w:r w:rsidR="00AD6136">
        <w:tab/>
      </w:r>
      <w:r w:rsidR="00A16ABB">
        <w:t xml:space="preserve">Land </w:t>
      </w:r>
      <w:r w:rsidR="00A356FA" w:rsidRPr="00F0617A">
        <w:t xml:space="preserve">Management </w:t>
      </w:r>
      <w:r w:rsidR="009A719A">
        <w:t>related Laws and Regulations</w:t>
      </w:r>
      <w:bookmarkEnd w:id="556"/>
      <w:r w:rsidR="009A719A">
        <w:t xml:space="preserve"> </w:t>
      </w:r>
    </w:p>
    <w:p w:rsidR="00AD6136" w:rsidRDefault="009A719A" w:rsidP="00A16ABB">
      <w:pPr>
        <w:spacing w:line="276" w:lineRule="auto"/>
        <w:jc w:val="both"/>
        <w:rPr>
          <w:rFonts w:cs="Times New Roman"/>
        </w:rPr>
      </w:pPr>
      <w:r w:rsidRPr="00A16ABB">
        <w:t>Bangladesh has several laws in place relating to land management</w:t>
      </w:r>
      <w:r w:rsidRPr="0016739A">
        <w:rPr>
          <w:color w:val="00B050"/>
        </w:rPr>
        <w:t xml:space="preserve">.  </w:t>
      </w:r>
      <w:r w:rsidR="00AD6136" w:rsidRPr="004E1734">
        <w:rPr>
          <w:rFonts w:cs="Times New Roman"/>
        </w:rPr>
        <w:t xml:space="preserve">Some of the key land-related legislation includes: </w:t>
      </w:r>
      <w:r w:rsidR="00AD6136" w:rsidRPr="00E1213E">
        <w:rPr>
          <w:rFonts w:cs="Times New Roman"/>
        </w:rPr>
        <w:t>Bengal Alluvion and Diluvion Regulation 1825</w:t>
      </w:r>
      <w:r w:rsidR="00AD6136">
        <w:rPr>
          <w:rFonts w:cs="Times New Roman"/>
        </w:rPr>
        <w:t xml:space="preserve">; </w:t>
      </w:r>
      <w:r w:rsidR="00AD6136" w:rsidRPr="00E1213E">
        <w:rPr>
          <w:rFonts w:cs="Times New Roman"/>
        </w:rPr>
        <w:t>Bengal Rent Act 1859</w:t>
      </w:r>
      <w:r w:rsidR="00AD6136">
        <w:rPr>
          <w:rFonts w:cs="Times New Roman"/>
        </w:rPr>
        <w:t xml:space="preserve">; </w:t>
      </w:r>
      <w:r w:rsidR="00AD6136" w:rsidRPr="004E1734">
        <w:rPr>
          <w:rFonts w:cs="Times New Roman"/>
        </w:rPr>
        <w:t xml:space="preserve">Transfer of Property Act of 1882; </w:t>
      </w:r>
      <w:r w:rsidR="00AD6136">
        <w:rPr>
          <w:rFonts w:cs="Times New Roman"/>
        </w:rPr>
        <w:t xml:space="preserve">Bengal Tenancy Act 1885; </w:t>
      </w:r>
      <w:r w:rsidR="00AD6136" w:rsidRPr="004E1734">
        <w:rPr>
          <w:rFonts w:cs="Times New Roman"/>
        </w:rPr>
        <w:t>Registration Act 1908;</w:t>
      </w:r>
      <w:r w:rsidR="00AD6136">
        <w:rPr>
          <w:rFonts w:cs="Times New Roman"/>
        </w:rPr>
        <w:t xml:space="preserve"> </w:t>
      </w:r>
      <w:r w:rsidR="00AD6136" w:rsidRPr="00E1213E">
        <w:rPr>
          <w:rFonts w:cs="Times New Roman"/>
        </w:rPr>
        <w:t>Bengal Alluvial Lands Act 1920</w:t>
      </w:r>
      <w:r w:rsidR="00AD6136">
        <w:rPr>
          <w:rFonts w:cs="Times New Roman"/>
        </w:rPr>
        <w:t>;</w:t>
      </w:r>
      <w:r w:rsidR="00AD6136" w:rsidRPr="004E1734">
        <w:rPr>
          <w:rFonts w:cs="Times New Roman"/>
        </w:rPr>
        <w:t xml:space="preserve"> Non Agricultural Tenancy Act of 1947; State Acquisition and Tenancy Act of 1950; Acquisition of Waste Land Act of 1950; Bangladesh Land Holding Limitation Order of 1972; Land Reforms Ordinance of 1984; Land Reform Board Act of 1989</w:t>
      </w:r>
      <w:r w:rsidR="00AD6136">
        <w:rPr>
          <w:rFonts w:cs="Times New Roman"/>
        </w:rPr>
        <w:t xml:space="preserve">, </w:t>
      </w:r>
      <w:r w:rsidR="00AD6136" w:rsidRPr="00E1213E">
        <w:rPr>
          <w:rFonts w:cs="Times New Roman"/>
        </w:rPr>
        <w:t>Act of XV of 1994 (The State Acquisi</w:t>
      </w:r>
      <w:r w:rsidR="00AD6136">
        <w:rPr>
          <w:rFonts w:cs="Times New Roman"/>
        </w:rPr>
        <w:t>ti</w:t>
      </w:r>
      <w:r w:rsidR="00AD6136" w:rsidRPr="00E1213E">
        <w:rPr>
          <w:rFonts w:cs="Times New Roman"/>
        </w:rPr>
        <w:t>on and Tenancy (Amendment) Act 1994)</w:t>
      </w:r>
      <w:r w:rsidR="00AD6136" w:rsidRPr="004E1734">
        <w:rPr>
          <w:rFonts w:cs="Times New Roman"/>
        </w:rPr>
        <w:t xml:space="preserve">. </w:t>
      </w:r>
    </w:p>
    <w:p w:rsidR="00AD6136" w:rsidRDefault="00F64A6A" w:rsidP="00A16ABB">
      <w:pPr>
        <w:pStyle w:val="Default"/>
        <w:spacing w:line="276" w:lineRule="auto"/>
        <w:jc w:val="both"/>
        <w:rPr>
          <w:rFonts w:ascii="Times New Roman" w:hAnsi="Times New Roman" w:cs="Times New Roman"/>
          <w:color w:val="auto"/>
        </w:rPr>
      </w:pPr>
      <w:r w:rsidRPr="00F64A6A">
        <w:rPr>
          <w:rFonts w:ascii="Times New Roman" w:hAnsi="Times New Roman" w:cs="Times New Roman"/>
          <w:color w:val="auto"/>
          <w:u w:val="single"/>
        </w:rPr>
        <w:t xml:space="preserve">The State Acquisition and Tenancy Act of 1950 established a 33-acre land ceiling on private landowners, and the Land Reforms Ordinance of 1984 placed a 21-acre ceiling on acquisition or holding of agricultural land and invalidated </w:t>
      </w:r>
      <w:r w:rsidR="00F50CD9">
        <w:rPr>
          <w:rFonts w:ascii="Times New Roman" w:hAnsi="Times New Roman" w:cs="Times New Roman"/>
          <w:i/>
          <w:iCs/>
          <w:color w:val="auto"/>
          <w:u w:val="single"/>
        </w:rPr>
        <w:t>fake</w:t>
      </w:r>
      <w:r w:rsidRPr="00F64A6A">
        <w:rPr>
          <w:rFonts w:ascii="Times New Roman" w:hAnsi="Times New Roman" w:cs="Times New Roman"/>
          <w:i/>
          <w:iCs/>
          <w:color w:val="auto"/>
          <w:u w:val="single"/>
        </w:rPr>
        <w:t xml:space="preserve"> </w:t>
      </w:r>
      <w:r w:rsidRPr="00F64A6A">
        <w:rPr>
          <w:rFonts w:ascii="Times New Roman" w:hAnsi="Times New Roman" w:cs="Times New Roman"/>
          <w:color w:val="auto"/>
          <w:u w:val="single"/>
        </w:rPr>
        <w:t>transactions, in which a person purchases land in the name of another so as to evade the land ceiling. Neither land ceiling law has been widely implemented</w:t>
      </w:r>
      <w:r w:rsidRPr="00F64A6A">
        <w:rPr>
          <w:rStyle w:val="FootnoteReference"/>
          <w:rFonts w:ascii="Times New Roman" w:hAnsi="Times New Roman" w:cs="Times New Roman"/>
          <w:color w:val="auto"/>
          <w:u w:val="single"/>
        </w:rPr>
        <w:footnoteReference w:id="33"/>
      </w:r>
      <w:r w:rsidRPr="00F64A6A">
        <w:rPr>
          <w:rFonts w:ascii="Times New Roman" w:hAnsi="Times New Roman" w:cs="Times New Roman"/>
          <w:color w:val="auto"/>
          <w:u w:val="single"/>
        </w:rPr>
        <w:t>.</w:t>
      </w:r>
      <w:r w:rsidR="00AD6136">
        <w:rPr>
          <w:rFonts w:ascii="Times New Roman" w:hAnsi="Times New Roman" w:cs="Times New Roman"/>
          <w:color w:val="auto"/>
        </w:rPr>
        <w:t xml:space="preserve">  While establishing land ceilings have been an important part this Act of 1950, it also saw the abolition of zamindari process that also had implications on ownership of newly accreting char lands through alluvion and diluvion process. </w:t>
      </w:r>
    </w:p>
    <w:p w:rsidR="00AD6136" w:rsidRPr="00570EAD" w:rsidRDefault="00AD6136" w:rsidP="00AD6136">
      <w:pPr>
        <w:spacing w:line="276" w:lineRule="auto"/>
        <w:jc w:val="both"/>
        <w:rPr>
          <w:rFonts w:cs="Times New Roman"/>
          <w:b/>
          <w:szCs w:val="24"/>
        </w:rPr>
      </w:pPr>
      <w:r w:rsidRPr="00570EAD">
        <w:rPr>
          <w:rFonts w:cs="Times New Roman"/>
          <w:b/>
          <w:i/>
          <w:szCs w:val="24"/>
        </w:rPr>
        <w:t>Regulations and Laws relating to land erosion and accretion – Alluvion and Diluvion</w:t>
      </w:r>
      <w:r w:rsidRPr="00570EAD">
        <w:rPr>
          <w:rStyle w:val="FootnoteReference"/>
          <w:rFonts w:cs="Times New Roman"/>
          <w:b/>
          <w:i/>
          <w:szCs w:val="24"/>
        </w:rPr>
        <w:footnoteReference w:id="34"/>
      </w:r>
      <w:r w:rsidRPr="00570EAD">
        <w:rPr>
          <w:rFonts w:cs="Times New Roman"/>
          <w:b/>
          <w:szCs w:val="24"/>
        </w:rPr>
        <w:t xml:space="preserve"> </w:t>
      </w:r>
    </w:p>
    <w:p w:rsidR="009A719A" w:rsidRDefault="00AD6136" w:rsidP="00AD6136">
      <w:pPr>
        <w:spacing w:line="276" w:lineRule="auto"/>
        <w:jc w:val="both"/>
        <w:rPr>
          <w:color w:val="00B050"/>
        </w:rPr>
      </w:pPr>
      <w:r w:rsidRPr="00BB495B">
        <w:rPr>
          <w:rFonts w:cs="Times New Roman"/>
          <w:szCs w:val="24"/>
        </w:rPr>
        <w:t xml:space="preserve">In the context of land accretion and land loss through Alluvion and Diluvion process, its rules of usage were given statutory shape for the first time by promulgation of the Bengal Alluvion and Diluvion Regulation 1825.  The regulation of 1825 covered broadly two categories of land re-formation: in situ and new accretions. The right to land once diluviated and subsequently re-formed in the old site and the right to new accretion were identified as two distinct rights. The right of ownership of land re-formed in situ was considered to be incidental to one's title to a </w:t>
      </w:r>
      <w:r w:rsidRPr="00BB495B">
        <w:rPr>
          <w:rFonts w:cs="Times New Roman"/>
          <w:szCs w:val="24"/>
        </w:rPr>
        <w:lastRenderedPageBreak/>
        <w:t>tangible property.  This ownership principal of alluvion and Diluvion was further established through the tenancy law, as contained in sections 17 and 18 of the Bengal Rent Act 1859</w:t>
      </w:r>
      <w:r>
        <w:rPr>
          <w:rFonts w:cs="Times New Roman"/>
          <w:szCs w:val="24"/>
        </w:rPr>
        <w:t>.</w:t>
      </w:r>
    </w:p>
    <w:p w:rsidR="009A719A" w:rsidRDefault="00AD6136" w:rsidP="00A356FA">
      <w:pPr>
        <w:spacing w:line="276" w:lineRule="auto"/>
        <w:jc w:val="both"/>
        <w:rPr>
          <w:rFonts w:cs="Times New Roman"/>
          <w:szCs w:val="24"/>
        </w:rPr>
      </w:pPr>
      <w:r w:rsidRPr="00BB495B">
        <w:rPr>
          <w:rFonts w:cs="Times New Roman"/>
          <w:b/>
          <w:i/>
          <w:szCs w:val="24"/>
        </w:rPr>
        <w:t xml:space="preserve">Administration of the Accreting land - the Char land: </w:t>
      </w:r>
      <w:r>
        <w:rPr>
          <w:rFonts w:cs="Times New Roman"/>
          <w:szCs w:val="24"/>
        </w:rPr>
        <w:t xml:space="preserve">There were </w:t>
      </w:r>
      <w:r w:rsidRPr="00BB495B">
        <w:rPr>
          <w:rFonts w:cs="Times New Roman"/>
          <w:szCs w:val="24"/>
        </w:rPr>
        <w:t xml:space="preserve">conflicts </w:t>
      </w:r>
      <w:r>
        <w:rPr>
          <w:rFonts w:cs="Times New Roman"/>
          <w:szCs w:val="24"/>
        </w:rPr>
        <w:t>that</w:t>
      </w:r>
      <w:r w:rsidRPr="00BB495B">
        <w:rPr>
          <w:rFonts w:cs="Times New Roman"/>
          <w:szCs w:val="24"/>
        </w:rPr>
        <w:t xml:space="preserve"> arose particularly through forcible gaining possession of accreting char land by use of muscle power, particularly during the zamindari period, the Bengal Alluvial Lands Act 1920 was enacted.  It was done with the objective 'to prevent disputes concerning the possession of certain lands in Bengal gained by alluvion or by dereliction of a river on the sea'.</w:t>
      </w:r>
      <w:r>
        <w:rPr>
          <w:rFonts w:cs="Times New Roman"/>
          <w:szCs w:val="24"/>
        </w:rPr>
        <w:t xml:space="preserve">  </w:t>
      </w:r>
      <w:r w:rsidRPr="00BB495B">
        <w:rPr>
          <w:rFonts w:cs="Times New Roman"/>
          <w:szCs w:val="24"/>
        </w:rPr>
        <w:t>On 4 August 1972, President's Order No. 135 was promulgated to provide that in case of diluvion the rent of the holding shall be abated and the tenant's right of ownership shall be extinguished and the land on reappearance shall vest in the government, except the land in respect of which the tenant's right to repossession was finally recognized by the court or competent authority before in situ.</w:t>
      </w:r>
    </w:p>
    <w:p w:rsidR="00AD6136" w:rsidRDefault="00AD6136" w:rsidP="00A356FA">
      <w:pPr>
        <w:spacing w:line="276" w:lineRule="auto"/>
        <w:jc w:val="both"/>
        <w:rPr>
          <w:rFonts w:cs="Times New Roman"/>
          <w:szCs w:val="24"/>
        </w:rPr>
      </w:pPr>
      <w:r w:rsidRPr="00BB495B">
        <w:rPr>
          <w:rFonts w:cs="Times New Roman"/>
          <w:szCs w:val="24"/>
        </w:rPr>
        <w:t>The position was again changed in 1994. By the amending Act of XV of 1994 (The State Acquisition and Tenancy (Amendment) Act 1994) provision was made for abatement of rent in the case of land lost by Diluvion and subsistence of the right to land re-formed in situ for 30 years, subject to the ceiling of 60 bighas.  The present legal position is that all chars other than those re-formed in situ within 30 years of diluvion are the property of the state, which the government may settle in accordance with the rules.</w:t>
      </w:r>
      <w:r>
        <w:rPr>
          <w:rFonts w:cs="Times New Roman"/>
          <w:szCs w:val="24"/>
        </w:rPr>
        <w:t xml:space="preserve">  </w:t>
      </w:r>
    </w:p>
    <w:p w:rsidR="00876602" w:rsidRPr="00974AEB" w:rsidRDefault="00AD6136" w:rsidP="00974AEB">
      <w:pPr>
        <w:widowControl w:val="0"/>
        <w:autoSpaceDE w:val="0"/>
        <w:autoSpaceDN w:val="0"/>
        <w:adjustRightInd w:val="0"/>
        <w:spacing w:line="276" w:lineRule="auto"/>
        <w:jc w:val="both"/>
        <w:rPr>
          <w:rFonts w:cs="Times New Roman"/>
          <w:szCs w:val="24"/>
        </w:rPr>
      </w:pPr>
      <w:r w:rsidRPr="00BB495B">
        <w:rPr>
          <w:rFonts w:cs="Times New Roman"/>
          <w:szCs w:val="24"/>
        </w:rPr>
        <w:t>There may be need to take a fresh look into the laws and administrative process, particularly because there will be new land that will be reclaimed for value added use during thorough out implementation of the BDP 2100.</w:t>
      </w:r>
    </w:p>
    <w:p w:rsidR="00A356FA" w:rsidRDefault="00262E47" w:rsidP="0001495A">
      <w:pPr>
        <w:pStyle w:val="Heading2"/>
      </w:pPr>
      <w:bookmarkStart w:id="557" w:name="_Toc474638894"/>
      <w:r>
        <w:t>7.5.</w:t>
      </w:r>
      <w:r>
        <w:tab/>
      </w:r>
      <w:r w:rsidR="00A356FA" w:rsidRPr="00F0617A">
        <w:t>Policies and Priorities</w:t>
      </w:r>
      <w:bookmarkEnd w:id="557"/>
    </w:p>
    <w:p w:rsidR="00000000" w:rsidRDefault="00262E47" w:rsidP="003D5A31">
      <w:pPr>
        <w:pStyle w:val="BodyText"/>
        <w:numPr>
          <w:ilvl w:val="2"/>
          <w:numId w:val="151"/>
        </w:numPr>
        <w:spacing w:after="240" w:line="276" w:lineRule="auto"/>
        <w:jc w:val="both"/>
        <w:rPr>
          <w:rFonts w:cs="Times New Roman"/>
          <w:b/>
          <w:szCs w:val="24"/>
        </w:rPr>
      </w:pPr>
      <w:r w:rsidRPr="0026662F">
        <w:rPr>
          <w:rFonts w:cs="Times New Roman"/>
          <w:b/>
          <w:szCs w:val="24"/>
        </w:rPr>
        <w:t>Land Related Priorities for the BDP2100</w:t>
      </w:r>
    </w:p>
    <w:p w:rsidR="00262E47" w:rsidRPr="00866F83" w:rsidRDefault="00262E47" w:rsidP="00262E47">
      <w:pPr>
        <w:spacing w:line="276" w:lineRule="auto"/>
        <w:ind w:right="43"/>
        <w:jc w:val="both"/>
        <w:rPr>
          <w:rFonts w:eastAsia="Arial" w:cs="Times New Roman"/>
          <w:spacing w:val="-1"/>
        </w:rPr>
      </w:pPr>
      <w:r w:rsidRPr="00866F83">
        <w:rPr>
          <w:rFonts w:cs="Times New Roman"/>
          <w:bCs/>
        </w:rPr>
        <w:t>Bangladesh has undertaken different land related reforms that have been supported by Laws and regulations.  All the desired goals however could not be achieved because the vested interest have always been able to exploit legislative and regulatory loopholes</w:t>
      </w:r>
      <w:r w:rsidR="00F50CD9">
        <w:rPr>
          <w:rFonts w:cs="Times New Roman"/>
          <w:bCs/>
        </w:rPr>
        <w:t>.</w:t>
      </w:r>
      <w:r w:rsidRPr="00866F83">
        <w:rPr>
          <w:rFonts w:cs="Times New Roman"/>
          <w:bCs/>
        </w:rPr>
        <w:t xml:space="preserve"> </w:t>
      </w:r>
      <w:r w:rsidRPr="00866F83">
        <w:rPr>
          <w:rFonts w:eastAsia="Arial" w:cs="Times New Roman"/>
          <w:w w:val="101"/>
        </w:rPr>
        <w:t>On the institutional front efforts were made to bring in change like in synchronizing the</w:t>
      </w:r>
      <w:r w:rsidRPr="00866F83">
        <w:rPr>
          <w:rFonts w:eastAsia="Arial" w:cs="Times New Roman"/>
          <w:spacing w:val="3"/>
        </w:rPr>
        <w:t xml:space="preserve"> </w:t>
      </w:r>
      <w:r w:rsidRPr="00866F83">
        <w:rPr>
          <w:rFonts w:eastAsia="Arial" w:cs="Times New Roman"/>
        </w:rPr>
        <w:t>fu</w:t>
      </w:r>
      <w:r w:rsidRPr="00866F83">
        <w:rPr>
          <w:rFonts w:eastAsia="Arial" w:cs="Times New Roman"/>
          <w:spacing w:val="-1"/>
        </w:rPr>
        <w:t>nc</w:t>
      </w:r>
      <w:r w:rsidRPr="00866F83">
        <w:rPr>
          <w:rFonts w:eastAsia="Arial" w:cs="Times New Roman"/>
        </w:rPr>
        <w:t>t</w:t>
      </w:r>
      <w:r w:rsidRPr="00866F83">
        <w:rPr>
          <w:rFonts w:eastAsia="Arial" w:cs="Times New Roman"/>
          <w:spacing w:val="-1"/>
        </w:rPr>
        <w:t>i</w:t>
      </w:r>
      <w:r w:rsidRPr="00866F83">
        <w:rPr>
          <w:rFonts w:eastAsia="Arial" w:cs="Times New Roman"/>
        </w:rPr>
        <w:t>ons</w:t>
      </w:r>
      <w:r w:rsidRPr="00866F83">
        <w:rPr>
          <w:rFonts w:eastAsia="Arial" w:cs="Times New Roman"/>
          <w:spacing w:val="6"/>
        </w:rPr>
        <w:t xml:space="preserve"> </w:t>
      </w:r>
      <w:r w:rsidRPr="00866F83">
        <w:rPr>
          <w:rFonts w:eastAsia="Arial" w:cs="Times New Roman"/>
        </w:rPr>
        <w:t>of Land</w:t>
      </w:r>
      <w:r w:rsidRPr="00866F83">
        <w:rPr>
          <w:rFonts w:eastAsia="Arial" w:cs="Times New Roman"/>
          <w:spacing w:val="2"/>
        </w:rPr>
        <w:t xml:space="preserve"> </w:t>
      </w:r>
      <w:r w:rsidRPr="00866F83">
        <w:rPr>
          <w:rFonts w:eastAsia="Arial" w:cs="Times New Roman"/>
          <w:w w:val="101"/>
        </w:rPr>
        <w:t>Regi</w:t>
      </w:r>
      <w:r w:rsidRPr="00866F83">
        <w:rPr>
          <w:rFonts w:eastAsia="Arial" w:cs="Times New Roman"/>
          <w:spacing w:val="-1"/>
          <w:w w:val="101"/>
        </w:rPr>
        <w:t>s</w:t>
      </w:r>
      <w:r w:rsidRPr="00866F83">
        <w:rPr>
          <w:rFonts w:eastAsia="Arial" w:cs="Times New Roman"/>
          <w:w w:val="102"/>
        </w:rPr>
        <w:t>t</w:t>
      </w:r>
      <w:r w:rsidRPr="00866F83">
        <w:rPr>
          <w:rFonts w:eastAsia="Arial" w:cs="Times New Roman"/>
          <w:w w:val="101"/>
        </w:rPr>
        <w:t>r</w:t>
      </w:r>
      <w:r w:rsidRPr="00866F83">
        <w:rPr>
          <w:rFonts w:eastAsia="Arial" w:cs="Times New Roman"/>
          <w:spacing w:val="-1"/>
          <w:w w:val="101"/>
        </w:rPr>
        <w:t>a</w:t>
      </w:r>
      <w:r w:rsidRPr="00866F83">
        <w:rPr>
          <w:rFonts w:eastAsia="Arial" w:cs="Times New Roman"/>
          <w:w w:val="101"/>
        </w:rPr>
        <w:t>t</w:t>
      </w:r>
      <w:r w:rsidRPr="00866F83">
        <w:rPr>
          <w:rFonts w:eastAsia="Arial" w:cs="Times New Roman"/>
          <w:spacing w:val="-1"/>
          <w:w w:val="101"/>
        </w:rPr>
        <w:t>i</w:t>
      </w:r>
      <w:r w:rsidRPr="00866F83">
        <w:rPr>
          <w:rFonts w:eastAsia="Arial" w:cs="Times New Roman"/>
          <w:w w:val="101"/>
        </w:rPr>
        <w:t xml:space="preserve">on </w:t>
      </w:r>
      <w:r w:rsidRPr="00866F83">
        <w:rPr>
          <w:rFonts w:eastAsia="Arial" w:cs="Times New Roman"/>
        </w:rPr>
        <w:t>(</w:t>
      </w:r>
      <w:r w:rsidRPr="00866F83">
        <w:rPr>
          <w:rFonts w:eastAsia="Arial" w:cs="Times New Roman"/>
          <w:spacing w:val="-1"/>
        </w:rPr>
        <w:t>su</w:t>
      </w:r>
      <w:r w:rsidRPr="00866F83">
        <w:rPr>
          <w:rFonts w:eastAsia="Arial" w:cs="Times New Roman"/>
        </w:rPr>
        <w:t>b-r</w:t>
      </w:r>
      <w:r w:rsidRPr="00866F83">
        <w:rPr>
          <w:rFonts w:eastAsia="Arial" w:cs="Times New Roman"/>
          <w:spacing w:val="-1"/>
        </w:rPr>
        <w:t>e</w:t>
      </w:r>
      <w:r w:rsidRPr="00866F83">
        <w:rPr>
          <w:rFonts w:eastAsia="Arial" w:cs="Times New Roman"/>
        </w:rPr>
        <w:t>gi</w:t>
      </w:r>
      <w:r w:rsidRPr="00866F83">
        <w:rPr>
          <w:rFonts w:eastAsia="Arial" w:cs="Times New Roman"/>
          <w:spacing w:val="-1"/>
        </w:rPr>
        <w:t>s</w:t>
      </w:r>
      <w:r w:rsidRPr="00866F83">
        <w:rPr>
          <w:rFonts w:eastAsia="Arial" w:cs="Times New Roman"/>
        </w:rPr>
        <w:t>t</w:t>
      </w:r>
      <w:r w:rsidRPr="00866F83">
        <w:rPr>
          <w:rFonts w:eastAsia="Arial" w:cs="Times New Roman"/>
          <w:spacing w:val="2"/>
        </w:rPr>
        <w:t>r</w:t>
      </w:r>
      <w:r w:rsidRPr="00866F83">
        <w:rPr>
          <w:rFonts w:eastAsia="Arial" w:cs="Times New Roman"/>
          <w:spacing w:val="-1"/>
        </w:rPr>
        <w:t>a</w:t>
      </w:r>
      <w:r w:rsidRPr="00866F83">
        <w:rPr>
          <w:rFonts w:eastAsia="Arial" w:cs="Times New Roman"/>
        </w:rPr>
        <w:t>r)</w:t>
      </w:r>
      <w:r w:rsidRPr="00866F83">
        <w:rPr>
          <w:rFonts w:eastAsia="Arial" w:cs="Times New Roman"/>
          <w:spacing w:val="21"/>
        </w:rPr>
        <w:t xml:space="preserve"> </w:t>
      </w:r>
      <w:r w:rsidRPr="00866F83">
        <w:rPr>
          <w:rFonts w:eastAsia="Arial" w:cs="Times New Roman"/>
        </w:rPr>
        <w:t>a</w:t>
      </w:r>
      <w:r w:rsidRPr="00866F83">
        <w:rPr>
          <w:rFonts w:eastAsia="Arial" w:cs="Times New Roman"/>
          <w:spacing w:val="-1"/>
        </w:rPr>
        <w:t>n</w:t>
      </w:r>
      <w:r w:rsidRPr="00866F83">
        <w:rPr>
          <w:rFonts w:eastAsia="Arial" w:cs="Times New Roman"/>
        </w:rPr>
        <w:t>d</w:t>
      </w:r>
      <w:r w:rsidRPr="00866F83">
        <w:rPr>
          <w:rFonts w:eastAsia="Arial" w:cs="Times New Roman"/>
          <w:spacing w:val="12"/>
        </w:rPr>
        <w:t xml:space="preserve"> </w:t>
      </w:r>
      <w:r w:rsidRPr="00866F83">
        <w:rPr>
          <w:rFonts w:eastAsia="Arial" w:cs="Times New Roman"/>
        </w:rPr>
        <w:t>Re</w:t>
      </w:r>
      <w:r w:rsidRPr="00866F83">
        <w:rPr>
          <w:rFonts w:eastAsia="Arial" w:cs="Times New Roman"/>
          <w:spacing w:val="-1"/>
        </w:rPr>
        <w:t>c</w:t>
      </w:r>
      <w:r w:rsidRPr="00866F83">
        <w:rPr>
          <w:rFonts w:eastAsia="Arial" w:cs="Times New Roman"/>
        </w:rPr>
        <w:t>ord</w:t>
      </w:r>
      <w:r w:rsidRPr="00866F83">
        <w:rPr>
          <w:rFonts w:eastAsia="Arial" w:cs="Times New Roman"/>
          <w:spacing w:val="14"/>
        </w:rPr>
        <w:t xml:space="preserve"> </w:t>
      </w:r>
      <w:r w:rsidRPr="00866F83">
        <w:rPr>
          <w:rFonts w:eastAsia="Arial" w:cs="Times New Roman"/>
          <w:spacing w:val="-1"/>
        </w:rPr>
        <w:t>(</w:t>
      </w:r>
      <w:r w:rsidRPr="00866F83">
        <w:rPr>
          <w:rFonts w:eastAsia="Arial" w:cs="Times New Roman"/>
          <w:i/>
        </w:rPr>
        <w:t>tehsil</w:t>
      </w:r>
      <w:r w:rsidRPr="00866F83">
        <w:rPr>
          <w:rFonts w:eastAsia="Arial" w:cs="Times New Roman"/>
        </w:rPr>
        <w:t>)</w:t>
      </w:r>
      <w:r w:rsidRPr="00866F83">
        <w:rPr>
          <w:rFonts w:eastAsia="Arial" w:cs="Times New Roman"/>
          <w:w w:val="101"/>
        </w:rPr>
        <w:t xml:space="preserve"> </w:t>
      </w:r>
      <w:r w:rsidRPr="00866F83">
        <w:rPr>
          <w:rFonts w:eastAsia="Arial" w:cs="Times New Roman"/>
        </w:rPr>
        <w:t>at</w:t>
      </w:r>
      <w:r w:rsidRPr="00866F83">
        <w:rPr>
          <w:rFonts w:eastAsia="Arial" w:cs="Times New Roman"/>
          <w:spacing w:val="3"/>
        </w:rPr>
        <w:t xml:space="preserve"> </w:t>
      </w:r>
      <w:r w:rsidRPr="00866F83">
        <w:rPr>
          <w:rFonts w:eastAsia="Arial" w:cs="Times New Roman"/>
        </w:rPr>
        <w:t>fi</w:t>
      </w:r>
      <w:r w:rsidRPr="00866F83">
        <w:rPr>
          <w:rFonts w:eastAsia="Arial" w:cs="Times New Roman"/>
          <w:spacing w:val="-1"/>
        </w:rPr>
        <w:t>el</w:t>
      </w:r>
      <w:r w:rsidRPr="00866F83">
        <w:rPr>
          <w:rFonts w:eastAsia="Arial" w:cs="Times New Roman"/>
        </w:rPr>
        <w:t>d</w:t>
      </w:r>
      <w:r w:rsidRPr="00866F83">
        <w:rPr>
          <w:rFonts w:eastAsia="Arial" w:cs="Times New Roman"/>
          <w:spacing w:val="6"/>
        </w:rPr>
        <w:t xml:space="preserve"> </w:t>
      </w:r>
      <w:r w:rsidRPr="00866F83">
        <w:rPr>
          <w:rFonts w:eastAsia="Arial" w:cs="Times New Roman"/>
          <w:spacing w:val="-1"/>
        </w:rPr>
        <w:t>l</w:t>
      </w:r>
      <w:r w:rsidRPr="00866F83">
        <w:rPr>
          <w:rFonts w:eastAsia="Arial" w:cs="Times New Roman"/>
          <w:spacing w:val="2"/>
        </w:rPr>
        <w:t>e</w:t>
      </w:r>
      <w:r w:rsidRPr="00866F83">
        <w:rPr>
          <w:rFonts w:eastAsia="Arial" w:cs="Times New Roman"/>
          <w:spacing w:val="-2"/>
        </w:rPr>
        <w:t>v</w:t>
      </w:r>
      <w:r w:rsidRPr="00866F83">
        <w:rPr>
          <w:rFonts w:eastAsia="Arial" w:cs="Times New Roman"/>
          <w:spacing w:val="2"/>
        </w:rPr>
        <w:t>e</w:t>
      </w:r>
      <w:r w:rsidRPr="00866F83">
        <w:rPr>
          <w:rFonts w:eastAsia="Arial" w:cs="Times New Roman"/>
        </w:rPr>
        <w:t>l</w:t>
      </w:r>
      <w:r w:rsidRPr="00866F83">
        <w:rPr>
          <w:rFonts w:eastAsia="Arial" w:cs="Times New Roman"/>
          <w:spacing w:val="-1"/>
        </w:rPr>
        <w:t xml:space="preserve">. This could improve if proper computerization of the systems gets completed.  The time for cadastral survey is also unduly long though new technologies are now easily available for completing this task efficiently and in shorter time.  </w:t>
      </w:r>
    </w:p>
    <w:p w:rsidR="00262E47" w:rsidRPr="00866F83" w:rsidRDefault="00262E47" w:rsidP="00262E47">
      <w:pPr>
        <w:spacing w:line="276" w:lineRule="auto"/>
        <w:ind w:right="43"/>
        <w:jc w:val="both"/>
        <w:rPr>
          <w:rFonts w:eastAsia="Arial" w:cs="Times New Roman"/>
          <w:spacing w:val="-1"/>
        </w:rPr>
      </w:pPr>
      <w:r w:rsidRPr="00866F83">
        <w:rPr>
          <w:rFonts w:eastAsia="Arial" w:cs="Times New Roman"/>
          <w:spacing w:val="-1"/>
        </w:rPr>
        <w:t xml:space="preserve">There is an ongoing effort of computerization of some of the processes in each of the three institutions (agencies), but it does not appear coordinated but rather on the individual Ministry basis.  This needs to be a priority goal for the government, and a single strategy for implementation of all land related computerization should be undertaken.  Effective and well-coordinated computerization of each of the agencies under the two Ministries should be able to bridge the existing gaps and provide more readily available reliable information to the citizen, </w:t>
      </w:r>
      <w:r w:rsidRPr="00866F83">
        <w:rPr>
          <w:rFonts w:eastAsia="Arial" w:cs="Times New Roman"/>
          <w:spacing w:val="-1"/>
        </w:rPr>
        <w:lastRenderedPageBreak/>
        <w:t>business, financial institutions, and to the courts.  This definitely will help improve business environment in the country while also reducing scope of corruption at different levels.</w:t>
      </w:r>
    </w:p>
    <w:p w:rsidR="00262E47" w:rsidRPr="00866F83" w:rsidRDefault="00262E47" w:rsidP="00262E47">
      <w:pPr>
        <w:spacing w:line="276" w:lineRule="auto"/>
        <w:ind w:right="43"/>
        <w:jc w:val="both"/>
        <w:rPr>
          <w:rFonts w:eastAsia="Arial" w:cs="Times New Roman"/>
          <w:spacing w:val="-1"/>
        </w:rPr>
      </w:pPr>
      <w:r w:rsidRPr="00866F83">
        <w:rPr>
          <w:rFonts w:eastAsia="Arial" w:cs="Times New Roman"/>
          <w:spacing w:val="-1"/>
        </w:rPr>
        <w:t>There will also be need to undertake a full mapping of the country to determine which land will be exclusively kept for agriculture and which for industry, housing, roads and there should proper zoning laws with institutional enforcement in place.  Even Government’s future infrastructure and urban related investments should be built in a way that it caters to desired zoning needs of the country.  Early adoption of spatial planning (SP) for land use management could help optimally distribute land resources for different use.  Different countries have enacted laws to ensure that land use is based on spatial planning. The South African Law</w:t>
      </w:r>
      <w:r w:rsidRPr="0026662F">
        <w:rPr>
          <w:rStyle w:val="FootnoteReference"/>
          <w:rFonts w:eastAsia="Arial" w:cs="Times New Roman"/>
          <w:spacing w:val="-1"/>
        </w:rPr>
        <w:footnoteReference w:id="35"/>
      </w:r>
      <w:r w:rsidRPr="0026662F">
        <w:rPr>
          <w:rFonts w:eastAsia="Arial" w:cs="Times New Roman"/>
          <w:spacing w:val="-1"/>
        </w:rPr>
        <w:t xml:space="preserve"> provides one such example.</w:t>
      </w:r>
    </w:p>
    <w:p w:rsidR="00262E47" w:rsidRPr="00A16ABB" w:rsidRDefault="00262E47" w:rsidP="00A16ABB">
      <w:pPr>
        <w:spacing w:line="276" w:lineRule="auto"/>
        <w:jc w:val="both"/>
        <w:rPr>
          <w:rFonts w:cs="Times New Roman"/>
        </w:rPr>
      </w:pPr>
      <w:r w:rsidRPr="00866F83">
        <w:rPr>
          <w:rFonts w:cs="Times New Roman"/>
          <w:bCs/>
        </w:rPr>
        <w:t xml:space="preserve">In Bangladesh, land resources management will always be important for overall economic development in the foreseeable future. So policy, regulatory, institutional reforms backed by necessary investments will be critical for achieving the broad goals and objectives including those of BDP 2100. </w:t>
      </w:r>
      <w:r w:rsidRPr="00866F83">
        <w:rPr>
          <w:rFonts w:cs="Times New Roman"/>
        </w:rPr>
        <w:t>It is clear that because of competing demand from industry, urban, and settlement needs the availability of agricultural land would decrease significantly by 2050 and 2100. This would create serious problem in food security in future unless steps taken to not increasing productivity through technological innovations, but also ensuring that the most suitable land for agriculture use be preserved for the purpose. The area of agricultural land needs to be estimate</w:t>
      </w:r>
      <w:r w:rsidR="00A16ABB">
        <w:rPr>
          <w:rFonts w:cs="Times New Roman"/>
        </w:rPr>
        <w:t xml:space="preserve">d for long-term food security. </w:t>
      </w:r>
    </w:p>
    <w:p w:rsidR="00000000" w:rsidRDefault="00A356FA" w:rsidP="003D5A31">
      <w:pPr>
        <w:pStyle w:val="BodyText"/>
        <w:numPr>
          <w:ilvl w:val="2"/>
          <w:numId w:val="151"/>
        </w:numPr>
        <w:spacing w:after="240" w:line="276" w:lineRule="auto"/>
        <w:jc w:val="both"/>
        <w:rPr>
          <w:rFonts w:cs="Times New Roman"/>
          <w:b/>
          <w:szCs w:val="24"/>
        </w:rPr>
      </w:pPr>
      <w:r w:rsidRPr="00BB495B">
        <w:rPr>
          <w:rFonts w:cs="Times New Roman"/>
          <w:b/>
          <w:szCs w:val="24"/>
        </w:rPr>
        <w:t>Policy and Institutional Issues needing change for op</w:t>
      </w:r>
      <w:r w:rsidR="00570EAD">
        <w:rPr>
          <w:rFonts w:cs="Times New Roman"/>
          <w:b/>
          <w:szCs w:val="24"/>
        </w:rPr>
        <w:t>timal land resource management</w:t>
      </w:r>
    </w:p>
    <w:p w:rsidR="00A356FA" w:rsidRPr="00BB495B" w:rsidRDefault="00A356FA" w:rsidP="00BB495B">
      <w:pPr>
        <w:spacing w:line="276" w:lineRule="auto"/>
        <w:jc w:val="both"/>
        <w:rPr>
          <w:rFonts w:cs="Times New Roman"/>
          <w:b/>
          <w:color w:val="000000" w:themeColor="text1"/>
          <w:szCs w:val="24"/>
        </w:rPr>
      </w:pPr>
      <w:r w:rsidRPr="00BB495B">
        <w:rPr>
          <w:rFonts w:cs="Times New Roman"/>
          <w:szCs w:val="24"/>
          <w:lang w:val="en-GB"/>
        </w:rPr>
        <w:t xml:space="preserve">As had earlier been discussed agriculture accounts for about 87% of land use, while remaing13% is under non-agricultural use. </w:t>
      </w:r>
      <w:r w:rsidRPr="00BB495B">
        <w:rPr>
          <w:rFonts w:cs="Times New Roman"/>
          <w:szCs w:val="24"/>
        </w:rPr>
        <w:t xml:space="preserve">Agricultural land included cropland, forest, mangrove forest, river, lake (Kaptai), beel and haor areas, tea estates and saltpans.  </w:t>
      </w:r>
      <w:r w:rsidRPr="00BB495B">
        <w:rPr>
          <w:rFonts w:cs="Times New Roman"/>
          <w:szCs w:val="24"/>
          <w:lang w:val="en-GB"/>
        </w:rPr>
        <w:t>Non-</w:t>
      </w:r>
      <w:r w:rsidRPr="00BB495B">
        <w:rPr>
          <w:rFonts w:cs="Times New Roman"/>
          <w:color w:val="000000" w:themeColor="text1"/>
          <w:szCs w:val="24"/>
          <w:lang w:val="en-GB"/>
        </w:rPr>
        <w:t xml:space="preserve">agricultural land includes rural settlement, urban and industrial area and accreted land. </w:t>
      </w:r>
      <w:r w:rsidRPr="00BB495B">
        <w:rPr>
          <w:rFonts w:cs="Times New Roman"/>
          <w:b/>
          <w:color w:val="000000" w:themeColor="text1"/>
          <w:szCs w:val="24"/>
        </w:rPr>
        <w:t xml:space="preserve"> </w:t>
      </w:r>
      <w:r w:rsidRPr="00BB495B">
        <w:rPr>
          <w:rFonts w:cs="Times New Roman"/>
          <w:color w:val="000000" w:themeColor="text1"/>
          <w:szCs w:val="24"/>
        </w:rPr>
        <w:t xml:space="preserve">Priority policy and institutional interventions in land resources management should aim at implementing processes and systems that while optimizing its use will ensure food security and also be responsive to the other inclusive growth related vision strategy and its concomitant demand on this scarce resource.  This will have to happen in conjunction with achieving of an optimal water resource use, and the maximizing value addition use newly accreted and land that gets reclamation in the coastal region.  Bangladesh has a several policies in place relating to land management.  While the policies provide </w:t>
      </w:r>
      <w:r w:rsidRPr="00BB495B">
        <w:rPr>
          <w:rFonts w:cs="Times New Roman"/>
          <w:szCs w:val="24"/>
        </w:rPr>
        <w:t xml:space="preserve">scope to ensure better utilization of land through land zoning, practically these seldom gets fully implemented.  Besides corruption in land management that is a result of </w:t>
      </w:r>
      <w:r w:rsidRPr="00BB495B">
        <w:rPr>
          <w:rFonts w:cs="Times New Roman"/>
          <w:szCs w:val="24"/>
        </w:rPr>
        <w:lastRenderedPageBreak/>
        <w:t>institutional and regulatory maze discussed earlier.  These indicate that there are gaps in the policies as well as intuitional arrangements for implementing such policies. Of particular importance are the following policies discussed below along with some of the gaps that may need to be addressed.</w:t>
      </w:r>
    </w:p>
    <w:p w:rsidR="00A356FA" w:rsidRPr="00BB495B" w:rsidRDefault="00A356FA" w:rsidP="00BB495B">
      <w:pPr>
        <w:spacing w:line="276" w:lineRule="auto"/>
        <w:jc w:val="both"/>
        <w:rPr>
          <w:rFonts w:cs="Times New Roman"/>
          <w:szCs w:val="24"/>
        </w:rPr>
      </w:pPr>
      <w:bookmarkStart w:id="558" w:name="_Toc439146207"/>
      <w:r w:rsidRPr="00BB495B">
        <w:rPr>
          <w:rFonts w:cs="Times New Roman"/>
          <w:b/>
          <w:i/>
          <w:szCs w:val="24"/>
        </w:rPr>
        <w:t>National Land Use Policy, 2001</w:t>
      </w:r>
      <w:bookmarkEnd w:id="558"/>
      <w:r w:rsidRPr="00BB495B">
        <w:rPr>
          <w:rFonts w:cs="Times New Roman"/>
          <w:b/>
          <w:i/>
          <w:szCs w:val="24"/>
        </w:rPr>
        <w:t xml:space="preserve">: </w:t>
      </w:r>
      <w:r w:rsidRPr="00BB495B">
        <w:rPr>
          <w:rFonts w:cs="Times New Roman"/>
          <w:szCs w:val="24"/>
        </w:rPr>
        <w:t>The ‘National Land Use Policy (NLUP), 2001’ was promulgated with the objective to help ensure criteria based uses of land and to provide guidelines for usage of land for the purpose of agriculture (crop production, fish cultivation and rearing of ducks and chickens), housing, afforestation, commercial and industrial establishments, rail and highway and for tea and rubber gardens. This policy mainly identifies limitation of land use and management of limited land resources of the country.  The key targets to help achieve the objectives of the Policy were:</w:t>
      </w:r>
    </w:p>
    <w:p w:rsidR="00A356FA" w:rsidRPr="0030561B" w:rsidRDefault="00A356FA" w:rsidP="00D6486D">
      <w:pPr>
        <w:pStyle w:val="ListParagraph"/>
        <w:numPr>
          <w:ilvl w:val="0"/>
          <w:numId w:val="43"/>
        </w:numPr>
        <w:autoSpaceDE w:val="0"/>
        <w:autoSpaceDN w:val="0"/>
        <w:adjustRightInd w:val="0"/>
        <w:spacing w:line="276" w:lineRule="auto"/>
        <w:ind w:left="450" w:hanging="45"/>
        <w:jc w:val="both"/>
        <w:rPr>
          <w:rFonts w:cs="Times New Roman"/>
          <w:szCs w:val="24"/>
        </w:rPr>
      </w:pPr>
      <w:r w:rsidRPr="00BB495B">
        <w:rPr>
          <w:rFonts w:cs="Times New Roman"/>
          <w:szCs w:val="24"/>
        </w:rPr>
        <w:t>reform the present land administration system by introducing Certificate of Land</w:t>
      </w:r>
      <w:r w:rsidR="0030561B">
        <w:rPr>
          <w:rFonts w:cs="Times New Roman"/>
          <w:szCs w:val="24"/>
        </w:rPr>
        <w:t xml:space="preserve"> </w:t>
      </w:r>
      <w:r w:rsidRPr="0030561B">
        <w:rPr>
          <w:rFonts w:cs="Times New Roman"/>
          <w:szCs w:val="24"/>
        </w:rPr>
        <w:t>Ownership (CLO) which records all lands of each household in a single document;</w:t>
      </w:r>
    </w:p>
    <w:p w:rsidR="00A356FA" w:rsidRPr="00BB495B" w:rsidRDefault="00A356FA" w:rsidP="00D6486D">
      <w:pPr>
        <w:pStyle w:val="ListParagraph"/>
        <w:numPr>
          <w:ilvl w:val="0"/>
          <w:numId w:val="44"/>
        </w:numPr>
        <w:autoSpaceDE w:val="0"/>
        <w:autoSpaceDN w:val="0"/>
        <w:adjustRightInd w:val="0"/>
        <w:spacing w:line="276" w:lineRule="auto"/>
        <w:ind w:left="450" w:hanging="45"/>
        <w:jc w:val="both"/>
        <w:rPr>
          <w:rFonts w:cs="Times New Roman"/>
          <w:szCs w:val="24"/>
        </w:rPr>
      </w:pPr>
      <w:r w:rsidRPr="00BB495B">
        <w:rPr>
          <w:rFonts w:cs="Times New Roman"/>
          <w:szCs w:val="24"/>
        </w:rPr>
        <w:t>zoning of land for commercial and other purposes;</w:t>
      </w:r>
    </w:p>
    <w:p w:rsidR="00A356FA" w:rsidRPr="00BB495B" w:rsidRDefault="00A356FA" w:rsidP="00D6486D">
      <w:pPr>
        <w:pStyle w:val="ListParagraph"/>
        <w:numPr>
          <w:ilvl w:val="0"/>
          <w:numId w:val="44"/>
        </w:numPr>
        <w:autoSpaceDE w:val="0"/>
        <w:autoSpaceDN w:val="0"/>
        <w:adjustRightInd w:val="0"/>
        <w:spacing w:line="276" w:lineRule="auto"/>
        <w:ind w:left="450" w:hanging="45"/>
        <w:jc w:val="both"/>
        <w:rPr>
          <w:rFonts w:cs="Times New Roman"/>
          <w:szCs w:val="24"/>
        </w:rPr>
      </w:pPr>
      <w:r w:rsidRPr="00BB495B">
        <w:rPr>
          <w:rFonts w:cs="Times New Roman"/>
          <w:szCs w:val="24"/>
        </w:rPr>
        <w:t>prevent wasteful use of acquired land;</w:t>
      </w:r>
    </w:p>
    <w:p w:rsidR="00A356FA" w:rsidRPr="00BB495B" w:rsidRDefault="00A356FA" w:rsidP="00D6486D">
      <w:pPr>
        <w:pStyle w:val="ListParagraph"/>
        <w:numPr>
          <w:ilvl w:val="0"/>
          <w:numId w:val="44"/>
        </w:numPr>
        <w:autoSpaceDE w:val="0"/>
        <w:autoSpaceDN w:val="0"/>
        <w:adjustRightInd w:val="0"/>
        <w:spacing w:line="276" w:lineRule="auto"/>
        <w:ind w:left="450" w:hanging="45"/>
        <w:jc w:val="both"/>
        <w:rPr>
          <w:rFonts w:cs="Times New Roman"/>
          <w:szCs w:val="24"/>
        </w:rPr>
      </w:pPr>
      <w:r w:rsidRPr="00BB495B">
        <w:rPr>
          <w:rFonts w:cs="Times New Roman"/>
          <w:szCs w:val="24"/>
        </w:rPr>
        <w:t>increase crop intensity through optimal use of available agricultural land;</w:t>
      </w:r>
    </w:p>
    <w:p w:rsidR="00A356FA" w:rsidRPr="00BB495B" w:rsidRDefault="00A356FA" w:rsidP="00D6486D">
      <w:pPr>
        <w:pStyle w:val="ListParagraph"/>
        <w:numPr>
          <w:ilvl w:val="0"/>
          <w:numId w:val="43"/>
        </w:numPr>
        <w:autoSpaceDE w:val="0"/>
        <w:autoSpaceDN w:val="0"/>
        <w:adjustRightInd w:val="0"/>
        <w:spacing w:line="276" w:lineRule="auto"/>
        <w:ind w:left="450" w:hanging="45"/>
        <w:jc w:val="both"/>
        <w:rPr>
          <w:rFonts w:cs="Times New Roman"/>
          <w:szCs w:val="24"/>
        </w:rPr>
      </w:pPr>
      <w:r w:rsidRPr="00BB495B">
        <w:rPr>
          <w:rFonts w:cs="Times New Roman"/>
          <w:szCs w:val="24"/>
        </w:rPr>
        <w:t>update different laws related to proposed land administration reform;</w:t>
      </w:r>
    </w:p>
    <w:p w:rsidR="00A356FA" w:rsidRPr="00BB495B" w:rsidRDefault="00A356FA" w:rsidP="00D6486D">
      <w:pPr>
        <w:pStyle w:val="ListParagraph"/>
        <w:numPr>
          <w:ilvl w:val="0"/>
          <w:numId w:val="43"/>
        </w:numPr>
        <w:autoSpaceDE w:val="0"/>
        <w:autoSpaceDN w:val="0"/>
        <w:adjustRightInd w:val="0"/>
        <w:spacing w:line="276" w:lineRule="auto"/>
        <w:ind w:left="450" w:hanging="45"/>
        <w:jc w:val="both"/>
        <w:rPr>
          <w:rFonts w:cs="Times New Roman"/>
          <w:szCs w:val="24"/>
        </w:rPr>
      </w:pPr>
      <w:r w:rsidRPr="00BB495B">
        <w:rPr>
          <w:rFonts w:cs="Times New Roman"/>
          <w:szCs w:val="24"/>
        </w:rPr>
        <w:t>prevent alarming loss of agricultural land, which is needed to increase production to meet the food demand of the population;</w:t>
      </w:r>
    </w:p>
    <w:p w:rsidR="00A356FA" w:rsidRPr="00BB495B" w:rsidRDefault="00A356FA" w:rsidP="00D6486D">
      <w:pPr>
        <w:pStyle w:val="ListParagraph"/>
        <w:numPr>
          <w:ilvl w:val="0"/>
          <w:numId w:val="44"/>
        </w:numPr>
        <w:autoSpaceDE w:val="0"/>
        <w:autoSpaceDN w:val="0"/>
        <w:adjustRightInd w:val="0"/>
        <w:spacing w:line="276" w:lineRule="auto"/>
        <w:ind w:left="450" w:hanging="45"/>
        <w:jc w:val="both"/>
        <w:rPr>
          <w:rFonts w:cs="Times New Roman"/>
          <w:szCs w:val="24"/>
        </w:rPr>
      </w:pPr>
      <w:r w:rsidRPr="00BB495B">
        <w:rPr>
          <w:rFonts w:cs="Times New Roman"/>
          <w:szCs w:val="24"/>
        </w:rPr>
        <w:t xml:space="preserve">protect state-owned ( </w:t>
      </w:r>
      <w:r w:rsidRPr="00BB495B">
        <w:rPr>
          <w:rFonts w:cs="Times New Roman"/>
          <w:i/>
          <w:szCs w:val="24"/>
        </w:rPr>
        <w:t>khas</w:t>
      </w:r>
      <w:r w:rsidRPr="00BB495B">
        <w:rPr>
          <w:rFonts w:cs="Times New Roman"/>
          <w:szCs w:val="24"/>
        </w:rPr>
        <w:t xml:space="preserve"> ) land which can be used to meet the needs of development projects;</w:t>
      </w:r>
    </w:p>
    <w:p w:rsidR="00A356FA" w:rsidRPr="00BB495B" w:rsidRDefault="00A356FA" w:rsidP="00D6486D">
      <w:pPr>
        <w:pStyle w:val="ListParagraph"/>
        <w:numPr>
          <w:ilvl w:val="0"/>
          <w:numId w:val="44"/>
        </w:numPr>
        <w:autoSpaceDE w:val="0"/>
        <w:autoSpaceDN w:val="0"/>
        <w:adjustRightInd w:val="0"/>
        <w:spacing w:line="276" w:lineRule="auto"/>
        <w:ind w:left="450" w:hanging="45"/>
        <w:jc w:val="both"/>
        <w:rPr>
          <w:rFonts w:cs="Times New Roman"/>
          <w:szCs w:val="24"/>
        </w:rPr>
      </w:pPr>
      <w:r w:rsidRPr="00BB495B">
        <w:rPr>
          <w:rFonts w:cs="Times New Roman"/>
          <w:szCs w:val="24"/>
        </w:rPr>
        <w:t>prevent soil degradation;</w:t>
      </w:r>
    </w:p>
    <w:p w:rsidR="00A356FA" w:rsidRPr="00BB495B" w:rsidRDefault="00A356FA" w:rsidP="00D6486D">
      <w:pPr>
        <w:pStyle w:val="ListParagraph"/>
        <w:numPr>
          <w:ilvl w:val="0"/>
          <w:numId w:val="44"/>
        </w:numPr>
        <w:autoSpaceDE w:val="0"/>
        <w:autoSpaceDN w:val="0"/>
        <w:adjustRightInd w:val="0"/>
        <w:spacing w:line="276" w:lineRule="auto"/>
        <w:ind w:left="450" w:hanging="45"/>
        <w:jc w:val="both"/>
        <w:rPr>
          <w:rFonts w:cs="Times New Roman"/>
          <w:szCs w:val="24"/>
        </w:rPr>
      </w:pPr>
      <w:r w:rsidRPr="00BB495B">
        <w:rPr>
          <w:rFonts w:cs="Times New Roman"/>
          <w:szCs w:val="24"/>
        </w:rPr>
        <w:t xml:space="preserve">establish a data </w:t>
      </w:r>
      <w:r w:rsidR="00065D01" w:rsidRPr="00BB495B">
        <w:rPr>
          <w:rFonts w:cs="Times New Roman"/>
          <w:szCs w:val="24"/>
        </w:rPr>
        <w:t>bank (</w:t>
      </w:r>
      <w:r w:rsidRPr="00BB495B">
        <w:rPr>
          <w:rFonts w:cs="Times New Roman"/>
          <w:szCs w:val="24"/>
        </w:rPr>
        <w:t xml:space="preserve">Management Information System –MIS) for </w:t>
      </w:r>
      <w:r w:rsidRPr="00BB495B">
        <w:rPr>
          <w:rFonts w:cs="Times New Roman"/>
          <w:i/>
          <w:iCs/>
          <w:szCs w:val="24"/>
        </w:rPr>
        <w:t xml:space="preserve">khas </w:t>
      </w:r>
      <w:r w:rsidRPr="00BB495B">
        <w:rPr>
          <w:rFonts w:cs="Times New Roman"/>
          <w:szCs w:val="24"/>
        </w:rPr>
        <w:t xml:space="preserve">land, fallow land, acquired land, char land etc. </w:t>
      </w:r>
      <w:r w:rsidR="00065D01" w:rsidRPr="00BB495B">
        <w:rPr>
          <w:rFonts w:cs="Times New Roman"/>
          <w:szCs w:val="24"/>
        </w:rPr>
        <w:t>for ensuring</w:t>
      </w:r>
      <w:r w:rsidRPr="00BB495B">
        <w:rPr>
          <w:rFonts w:cs="Times New Roman"/>
          <w:szCs w:val="24"/>
        </w:rPr>
        <w:t xml:space="preserve"> proper use.</w:t>
      </w:r>
    </w:p>
    <w:p w:rsidR="00F36BF0" w:rsidRPr="001B185D" w:rsidRDefault="00A356FA" w:rsidP="00F36BF0">
      <w:pPr>
        <w:autoSpaceDE w:val="0"/>
        <w:autoSpaceDN w:val="0"/>
        <w:adjustRightInd w:val="0"/>
        <w:spacing w:line="276" w:lineRule="auto"/>
        <w:jc w:val="both"/>
        <w:rPr>
          <w:rFonts w:cs="Times New Roman"/>
        </w:rPr>
      </w:pPr>
      <w:r w:rsidRPr="00BB495B">
        <w:rPr>
          <w:rFonts w:cs="Times New Roman"/>
          <w:szCs w:val="24"/>
        </w:rPr>
        <w:t xml:space="preserve">Subsequently, </w:t>
      </w:r>
      <w:r w:rsidR="00F36BF0" w:rsidRPr="00BB495B">
        <w:rPr>
          <w:rFonts w:cs="Times New Roman"/>
          <w:i/>
          <w:szCs w:val="24"/>
        </w:rPr>
        <w:t>draft National Zoning Act and Village Improvement Act</w:t>
      </w:r>
      <w:r w:rsidR="00F36BF0" w:rsidRPr="00BB495B">
        <w:rPr>
          <w:rFonts w:cs="Times New Roman"/>
          <w:szCs w:val="24"/>
        </w:rPr>
        <w:t xml:space="preserve"> was prepared in 2010 in line with the Land Use Policy.  However, these are yet been adopted, officially, making difficult the full implementation of NL</w:t>
      </w:r>
      <w:r w:rsidR="00F36BF0">
        <w:rPr>
          <w:rFonts w:cs="Times New Roman"/>
          <w:szCs w:val="24"/>
        </w:rPr>
        <w:t>U</w:t>
      </w:r>
      <w:r w:rsidR="00F36BF0" w:rsidRPr="00BB495B">
        <w:rPr>
          <w:rFonts w:cs="Times New Roman"/>
          <w:szCs w:val="24"/>
        </w:rPr>
        <w:t>P. However, the preparation of a nation-wide Land Zoning Map is ongoing under a project implemented by the Ministry of Land, but its progress is very slow. Mapping of about 100 Upazillas</w:t>
      </w:r>
      <w:r w:rsidR="00F36BF0" w:rsidRPr="001B185D">
        <w:rPr>
          <w:rFonts w:cs="Times New Roman"/>
        </w:rPr>
        <w:t xml:space="preserve"> had been completed. </w:t>
      </w:r>
    </w:p>
    <w:p w:rsidR="00A356FA" w:rsidRPr="00CD0809" w:rsidRDefault="00A356FA" w:rsidP="00A356FA">
      <w:pPr>
        <w:autoSpaceDE w:val="0"/>
        <w:autoSpaceDN w:val="0"/>
        <w:adjustRightInd w:val="0"/>
        <w:spacing w:line="276" w:lineRule="auto"/>
        <w:jc w:val="both"/>
        <w:rPr>
          <w:rFonts w:cs="Times New Roman"/>
          <w:szCs w:val="24"/>
          <w:u w:val="single"/>
        </w:rPr>
      </w:pPr>
      <w:r w:rsidRPr="00AC4AE1">
        <w:rPr>
          <w:rFonts w:cs="Times New Roman"/>
          <w:szCs w:val="24"/>
        </w:rPr>
        <w:t>The existing policy has been found falling short of providing guidance as to how cross-sectoral interests and plans relating to land should be coordinated</w:t>
      </w:r>
      <w:r w:rsidRPr="00AC4AE1">
        <w:rPr>
          <w:szCs w:val="24"/>
          <w:vertAlign w:val="superscript"/>
        </w:rPr>
        <w:footnoteReference w:id="36"/>
      </w:r>
      <w:r w:rsidRPr="00AC4AE1">
        <w:rPr>
          <w:rFonts w:cs="Times New Roman"/>
          <w:szCs w:val="24"/>
        </w:rPr>
        <w:t xml:space="preserve">. </w:t>
      </w:r>
      <w:r w:rsidR="00F64A6A" w:rsidRPr="00F64A6A">
        <w:rPr>
          <w:rFonts w:cs="Times New Roman"/>
          <w:i/>
          <w:szCs w:val="24"/>
          <w:u w:val="single"/>
        </w:rPr>
        <w:t>To overcome the existing limitations of NLUP, a revision of the national Land Policy is desirable during the Seventh Five Year Plan period by outlaying guiding principles on appropriate and sustainable use of specific type of land, sectoral and cross-sectoral land use and environmental management.</w:t>
      </w:r>
      <w:r w:rsidR="00F64A6A" w:rsidRPr="00F64A6A">
        <w:rPr>
          <w:rFonts w:cs="Times New Roman"/>
          <w:szCs w:val="24"/>
          <w:u w:val="single"/>
        </w:rPr>
        <w:t xml:space="preserve"> </w:t>
      </w:r>
    </w:p>
    <w:p w:rsidR="00A356FA" w:rsidRPr="00CD0809" w:rsidRDefault="00A356FA" w:rsidP="00A356FA">
      <w:pPr>
        <w:autoSpaceDE w:val="0"/>
        <w:autoSpaceDN w:val="0"/>
        <w:adjustRightInd w:val="0"/>
        <w:spacing w:line="276" w:lineRule="auto"/>
        <w:jc w:val="both"/>
        <w:rPr>
          <w:rFonts w:cs="Times New Roman"/>
          <w:szCs w:val="24"/>
          <w:u w:val="single"/>
        </w:rPr>
      </w:pPr>
      <w:r w:rsidRPr="00AC4AE1">
        <w:rPr>
          <w:rFonts w:cs="Times New Roman"/>
          <w:szCs w:val="24"/>
        </w:rPr>
        <w:lastRenderedPageBreak/>
        <w:t xml:space="preserve">The policy must take inputs from the ongoing land zoning maps, particularly the problems associated with multi-sectoral nature of land use, unabated frictions among different sectors due to competing uses and negative environmental effects on land. For a conclusive Certificate of Ownership, it is important to rationalize the existing institutional framework for recording or registration of property rights and avoid mandates that are either overlapping or difficult to coordinate. The cross-sectoral policies of the National Agricultural Policy, </w:t>
      </w:r>
      <w:r w:rsidR="00F64A6A" w:rsidRPr="00F64A6A">
        <w:rPr>
          <w:rFonts w:cs="Times New Roman"/>
          <w:szCs w:val="24"/>
          <w:u w:val="single"/>
        </w:rPr>
        <w:t>National Rural Development Policy, National Forest Policies and Coastal Zone Policy need to be aligned and harmonized in order to prepare a comprehensive land use policy.</w:t>
      </w:r>
    </w:p>
    <w:p w:rsidR="00A356FA" w:rsidRPr="00AC4AE1" w:rsidRDefault="00A356FA" w:rsidP="00AC4AE1">
      <w:pPr>
        <w:autoSpaceDE w:val="0"/>
        <w:autoSpaceDN w:val="0"/>
        <w:adjustRightInd w:val="0"/>
        <w:spacing w:line="276" w:lineRule="auto"/>
        <w:jc w:val="both"/>
        <w:rPr>
          <w:rFonts w:cs="Times New Roman"/>
          <w:szCs w:val="24"/>
        </w:rPr>
      </w:pPr>
      <w:bookmarkStart w:id="559" w:name="_Toc420836749"/>
      <w:bookmarkStart w:id="560" w:name="_Toc439146208"/>
      <w:bookmarkEnd w:id="559"/>
      <w:r w:rsidRPr="00030422">
        <w:rPr>
          <w:rFonts w:cs="Times New Roman"/>
          <w:b/>
          <w:szCs w:val="24"/>
        </w:rPr>
        <w:t xml:space="preserve">Khas </w:t>
      </w:r>
      <w:r w:rsidR="00CD0809">
        <w:rPr>
          <w:rFonts w:cs="Times New Roman"/>
          <w:b/>
          <w:szCs w:val="24"/>
        </w:rPr>
        <w:t xml:space="preserve">(Public) </w:t>
      </w:r>
      <w:r w:rsidRPr="00030422">
        <w:rPr>
          <w:rFonts w:cs="Times New Roman"/>
          <w:b/>
          <w:szCs w:val="24"/>
        </w:rPr>
        <w:t>Land Management policies</w:t>
      </w:r>
      <w:bookmarkEnd w:id="560"/>
      <w:r w:rsidRPr="00030422">
        <w:rPr>
          <w:rFonts w:cs="Times New Roman"/>
          <w:b/>
          <w:szCs w:val="24"/>
        </w:rPr>
        <w:t>:</w:t>
      </w:r>
      <w:r w:rsidRPr="00AC4AE1">
        <w:rPr>
          <w:rFonts w:cs="Times New Roman"/>
          <w:szCs w:val="24"/>
        </w:rPr>
        <w:t xml:space="preserve"> A critical concern on a more efficient land resource management is the management of khas lands. The principal instruments governing khas land management have been the: Bengal Regulation XI 1825, Bengal Alluvion Act 1868, Government Estates Manual 1919, Bengal Crown Estates Manual 1932, East Bengal Acquisition and Tenancy Act 1950, The Bangladesh State Acquisition and Tenancy (Fourth Amendment) Order 1972 (PO 135), Bangladesh Landholding Limitation Order 1972 (PO 98), President's Order LXI 1975, Land Reform Action Program 1987, Agriculture Khas Land Management and Settlement Policy 1997. </w:t>
      </w:r>
    </w:p>
    <w:p w:rsidR="00A356FA" w:rsidRPr="00AC4AE1" w:rsidRDefault="00A356FA" w:rsidP="00A356FA">
      <w:pPr>
        <w:autoSpaceDE w:val="0"/>
        <w:autoSpaceDN w:val="0"/>
        <w:adjustRightInd w:val="0"/>
        <w:spacing w:line="276" w:lineRule="auto"/>
        <w:jc w:val="both"/>
        <w:rPr>
          <w:rFonts w:cs="Times New Roman"/>
          <w:szCs w:val="24"/>
        </w:rPr>
      </w:pPr>
      <w:r w:rsidRPr="004B0A08">
        <w:rPr>
          <w:rFonts w:cs="Times New Roman"/>
          <w:i/>
          <w:szCs w:val="24"/>
        </w:rPr>
        <w:t>There are two khas land management policies: (i) Agricultural Khas Land Management Policy, and (ii) Non-agricultural Khas Land management Policy.</w:t>
      </w:r>
      <w:r w:rsidRPr="00AC4AE1">
        <w:rPr>
          <w:rFonts w:cs="Times New Roman"/>
          <w:szCs w:val="24"/>
        </w:rPr>
        <w:t xml:space="preserve"> The basic tenets of these policies are to provide institutional structure and procedures for locating khas land and distributing it particularly to landless. In addition, the policies set forth detail provisions on the composition and responsibilities of the committees that it establishes in relation to management of Khas land. Compared to non-agricultural khas land management policy, agricultural khas land management policy appears to be adequate in terms of its coverage of issues pertaining to khas land management</w:t>
      </w:r>
      <w:r w:rsidRPr="00AC4AE1">
        <w:rPr>
          <w:szCs w:val="24"/>
          <w:vertAlign w:val="superscript"/>
        </w:rPr>
        <w:footnoteReference w:id="37"/>
      </w:r>
      <w:r w:rsidRPr="00AC4AE1">
        <w:rPr>
          <w:rFonts w:cs="Times New Roman"/>
          <w:szCs w:val="24"/>
        </w:rPr>
        <w:t xml:space="preserve">. Non-agricultural khas land management policy was framed in order to address the issue of land-grab by powerful elites and lease procedure of those lands. Considering the serious consequences of grabbing non-agricultural khas land, the related policies are inadequate in terms of their coverage and plan of action. </w:t>
      </w:r>
    </w:p>
    <w:p w:rsidR="00A356FA" w:rsidRPr="00CD0809" w:rsidRDefault="00F64A6A" w:rsidP="00A356FA">
      <w:pPr>
        <w:autoSpaceDE w:val="0"/>
        <w:autoSpaceDN w:val="0"/>
        <w:adjustRightInd w:val="0"/>
        <w:spacing w:line="276" w:lineRule="auto"/>
        <w:jc w:val="both"/>
        <w:rPr>
          <w:rFonts w:cs="Times New Roman"/>
          <w:szCs w:val="24"/>
          <w:u w:val="single"/>
        </w:rPr>
      </w:pPr>
      <w:r w:rsidRPr="00F64A6A">
        <w:rPr>
          <w:rFonts w:cs="Times New Roman"/>
          <w:szCs w:val="24"/>
          <w:u w:val="single"/>
        </w:rPr>
        <w:t xml:space="preserve">There are, however, gaps particularly for non-agricultural khas land. The Policy does not provide clear guidelines on recovery procedure for grabbed land from powerful elites as well as how to distribute non-agricultural khas land to urban poor or landless. Similar gap will be for newly accreting land or reclaimed land.  </w:t>
      </w:r>
      <w:r w:rsidRPr="00F64A6A">
        <w:rPr>
          <w:rFonts w:cs="Times New Roman"/>
          <w:i/>
          <w:szCs w:val="24"/>
          <w:u w:val="single"/>
        </w:rPr>
        <w:t>So khas land related policies need to reviewed and revised for better land resource management.</w:t>
      </w:r>
      <w:r w:rsidRPr="00F64A6A">
        <w:rPr>
          <w:rFonts w:cs="Times New Roman"/>
          <w:szCs w:val="24"/>
          <w:u w:val="single"/>
        </w:rPr>
        <w:t xml:space="preserve"> The following points may be considered during review and revision of khas land policy:</w:t>
      </w:r>
    </w:p>
    <w:p w:rsidR="00A356FA" w:rsidRPr="00AC4AE1" w:rsidRDefault="00A356FA" w:rsidP="00D6486D">
      <w:pPr>
        <w:pStyle w:val="ListParagraph"/>
        <w:numPr>
          <w:ilvl w:val="0"/>
          <w:numId w:val="45"/>
        </w:numPr>
        <w:spacing w:after="0" w:line="276" w:lineRule="auto"/>
        <w:ind w:left="360"/>
        <w:jc w:val="both"/>
        <w:rPr>
          <w:rFonts w:cs="Times New Roman"/>
          <w:szCs w:val="24"/>
        </w:rPr>
      </w:pPr>
      <w:r w:rsidRPr="00AC4AE1">
        <w:rPr>
          <w:rFonts w:cs="Times New Roman"/>
          <w:szCs w:val="24"/>
        </w:rPr>
        <w:lastRenderedPageBreak/>
        <w:t xml:space="preserve">Local level </w:t>
      </w:r>
      <w:r w:rsidRPr="00AC4AE1">
        <w:rPr>
          <w:rFonts w:cs="Times New Roman"/>
          <w:i/>
          <w:szCs w:val="24"/>
        </w:rPr>
        <w:t>khas</w:t>
      </w:r>
      <w:r w:rsidRPr="00AC4AE1">
        <w:rPr>
          <w:rFonts w:cs="Times New Roman"/>
          <w:szCs w:val="24"/>
        </w:rPr>
        <w:t xml:space="preserve"> land management and distribution committees should have representatives from landless people – women and men. They can be executive committee members of local level development projects.</w:t>
      </w:r>
    </w:p>
    <w:p w:rsidR="00A356FA" w:rsidRPr="00AC4AE1" w:rsidRDefault="00A356FA" w:rsidP="00D6486D">
      <w:pPr>
        <w:pStyle w:val="ListParagraph"/>
        <w:numPr>
          <w:ilvl w:val="0"/>
          <w:numId w:val="45"/>
        </w:numPr>
        <w:spacing w:after="0" w:line="276" w:lineRule="auto"/>
        <w:ind w:left="360"/>
        <w:jc w:val="both"/>
        <w:rPr>
          <w:rFonts w:cs="Times New Roman"/>
          <w:szCs w:val="24"/>
        </w:rPr>
      </w:pPr>
      <w:r w:rsidRPr="00AC4AE1">
        <w:rPr>
          <w:rFonts w:cs="Times New Roman"/>
          <w:szCs w:val="24"/>
        </w:rPr>
        <w:t xml:space="preserve">Involvement of poor people (women and men) of the locality in the identification, selection and utilization of </w:t>
      </w:r>
      <w:r w:rsidRPr="00AC4AE1">
        <w:rPr>
          <w:rFonts w:cs="Times New Roman"/>
          <w:i/>
          <w:szCs w:val="24"/>
        </w:rPr>
        <w:t>khas</w:t>
      </w:r>
      <w:r w:rsidRPr="00AC4AE1">
        <w:rPr>
          <w:rFonts w:cs="Times New Roman"/>
          <w:szCs w:val="24"/>
        </w:rPr>
        <w:t xml:space="preserve"> land should be strengthened.</w:t>
      </w:r>
    </w:p>
    <w:p w:rsidR="00A356FA" w:rsidRPr="00AC4AE1" w:rsidRDefault="00A356FA" w:rsidP="00D6486D">
      <w:pPr>
        <w:pStyle w:val="ListParagraph"/>
        <w:numPr>
          <w:ilvl w:val="0"/>
          <w:numId w:val="45"/>
        </w:numPr>
        <w:spacing w:after="0" w:line="276" w:lineRule="auto"/>
        <w:ind w:left="360"/>
        <w:jc w:val="both"/>
        <w:rPr>
          <w:rFonts w:cs="Times New Roman"/>
          <w:szCs w:val="24"/>
        </w:rPr>
      </w:pPr>
      <w:r w:rsidRPr="00AC4AE1">
        <w:rPr>
          <w:rFonts w:cs="Times New Roman"/>
          <w:szCs w:val="24"/>
        </w:rPr>
        <w:t xml:space="preserve">Ministry of Land should arrange awareness-raising activities for women and men about their rights and procedures to get </w:t>
      </w:r>
      <w:r w:rsidRPr="00AC4AE1">
        <w:rPr>
          <w:rFonts w:cs="Times New Roman"/>
          <w:i/>
          <w:szCs w:val="24"/>
        </w:rPr>
        <w:t>khas</w:t>
      </w:r>
      <w:r w:rsidRPr="00AC4AE1">
        <w:rPr>
          <w:rFonts w:cs="Times New Roman"/>
          <w:szCs w:val="24"/>
        </w:rPr>
        <w:t xml:space="preserve"> land including land settlement procedures. Coaching on filling out application forms to get khas land is a real necessity. Gender Focal Point and Climate Change Focal Point of the concerned Ministries could implement specific programmes towards this.</w:t>
      </w:r>
    </w:p>
    <w:p w:rsidR="00A356FA" w:rsidRPr="00AC4AE1" w:rsidRDefault="00A356FA" w:rsidP="00D6486D">
      <w:pPr>
        <w:pStyle w:val="ListParagraph"/>
        <w:numPr>
          <w:ilvl w:val="0"/>
          <w:numId w:val="45"/>
        </w:numPr>
        <w:spacing w:after="0" w:line="276" w:lineRule="auto"/>
        <w:ind w:left="360"/>
        <w:jc w:val="both"/>
        <w:rPr>
          <w:rFonts w:cs="Times New Roman"/>
          <w:szCs w:val="24"/>
        </w:rPr>
      </w:pPr>
      <w:r w:rsidRPr="00AC4AE1">
        <w:rPr>
          <w:rFonts w:cs="Times New Roman"/>
          <w:szCs w:val="24"/>
        </w:rPr>
        <w:t>Displaced population (male and female) due to river bank erosion should be rehabilitated on the newly accreted chars and khas lands. Legal procedures in these situations should be gender-friendly.</w:t>
      </w:r>
    </w:p>
    <w:p w:rsidR="00A356FA" w:rsidRPr="00AC4AE1" w:rsidRDefault="00A356FA" w:rsidP="00D6486D">
      <w:pPr>
        <w:pStyle w:val="ListParagraph"/>
        <w:numPr>
          <w:ilvl w:val="0"/>
          <w:numId w:val="45"/>
        </w:numPr>
        <w:spacing w:after="0" w:line="276" w:lineRule="auto"/>
        <w:ind w:left="360"/>
        <w:jc w:val="both"/>
        <w:rPr>
          <w:rFonts w:cs="Times New Roman"/>
          <w:szCs w:val="24"/>
        </w:rPr>
      </w:pPr>
      <w:r w:rsidRPr="00AC4AE1">
        <w:rPr>
          <w:rFonts w:cs="Times New Roman"/>
          <w:szCs w:val="24"/>
        </w:rPr>
        <w:t xml:space="preserve">Women should be recognized as ‘farmers’ considering their huge involvement in farm land. </w:t>
      </w:r>
    </w:p>
    <w:p w:rsidR="00A356FA" w:rsidRPr="00AC4AE1" w:rsidRDefault="00A356FA" w:rsidP="00D6486D">
      <w:pPr>
        <w:pStyle w:val="ListParagraph"/>
        <w:numPr>
          <w:ilvl w:val="0"/>
          <w:numId w:val="45"/>
        </w:numPr>
        <w:spacing w:after="0" w:line="276" w:lineRule="auto"/>
        <w:ind w:left="360"/>
        <w:jc w:val="both"/>
        <w:rPr>
          <w:rFonts w:cs="Times New Roman"/>
          <w:szCs w:val="24"/>
        </w:rPr>
      </w:pPr>
      <w:r w:rsidRPr="00AC4AE1">
        <w:rPr>
          <w:rFonts w:cs="Times New Roman"/>
          <w:szCs w:val="24"/>
        </w:rPr>
        <w:t xml:space="preserve"> Property inheritance right should be established considering equality of women and men; and for establishing women’s rights.</w:t>
      </w:r>
    </w:p>
    <w:p w:rsidR="00A356FA" w:rsidRPr="00AC4AE1" w:rsidRDefault="00A356FA" w:rsidP="00D6486D">
      <w:pPr>
        <w:pStyle w:val="ListParagraph"/>
        <w:numPr>
          <w:ilvl w:val="0"/>
          <w:numId w:val="45"/>
        </w:numPr>
        <w:spacing w:after="0" w:line="276" w:lineRule="auto"/>
        <w:ind w:left="360"/>
        <w:jc w:val="both"/>
        <w:rPr>
          <w:rFonts w:cs="Times New Roman"/>
          <w:szCs w:val="24"/>
        </w:rPr>
      </w:pPr>
      <w:r w:rsidRPr="00AC4AE1">
        <w:rPr>
          <w:rFonts w:cs="Times New Roman"/>
          <w:szCs w:val="24"/>
        </w:rPr>
        <w:t xml:space="preserve">Ensuring ownership of land in the name of women even though they do not have a mature son; and for enforcing this, necessary policy revision is important (Reference- Agricultural </w:t>
      </w:r>
      <w:r w:rsidRPr="00AC4AE1">
        <w:rPr>
          <w:rFonts w:cs="Times New Roman"/>
          <w:i/>
          <w:szCs w:val="24"/>
        </w:rPr>
        <w:t>Khas</w:t>
      </w:r>
      <w:r w:rsidRPr="00AC4AE1">
        <w:rPr>
          <w:rFonts w:cs="Times New Roman"/>
          <w:szCs w:val="24"/>
        </w:rPr>
        <w:t xml:space="preserve"> Land Management and Settlement Policy 1997).</w:t>
      </w:r>
    </w:p>
    <w:p w:rsidR="00A356FA" w:rsidRPr="0030561B" w:rsidRDefault="00A356FA" w:rsidP="00A356FA">
      <w:pPr>
        <w:spacing w:line="276" w:lineRule="auto"/>
        <w:rPr>
          <w:rFonts w:cs="Times New Roman"/>
          <w:sz w:val="2"/>
        </w:rPr>
      </w:pPr>
      <w:bookmarkStart w:id="561" w:name="_Toc420836751"/>
      <w:bookmarkStart w:id="562" w:name="_Toc420836752"/>
      <w:bookmarkStart w:id="563" w:name="_Toc439146209"/>
      <w:bookmarkEnd w:id="561"/>
      <w:bookmarkEnd w:id="562"/>
    </w:p>
    <w:p w:rsidR="00A356FA" w:rsidRPr="00AC4AE1" w:rsidRDefault="00A356FA" w:rsidP="00AC4AE1">
      <w:pPr>
        <w:spacing w:line="276" w:lineRule="auto"/>
        <w:jc w:val="both"/>
        <w:rPr>
          <w:rFonts w:cs="Times New Roman"/>
        </w:rPr>
      </w:pPr>
      <w:r w:rsidRPr="00AC4AE1">
        <w:rPr>
          <w:rFonts w:cs="Times New Roman"/>
          <w:b/>
          <w:i/>
        </w:rPr>
        <w:t>Land Acquisition Related Policies</w:t>
      </w:r>
      <w:bookmarkEnd w:id="563"/>
      <w:r w:rsidRPr="00AC4AE1">
        <w:rPr>
          <w:rFonts w:cs="Times New Roman"/>
          <w:b/>
          <w:i/>
        </w:rPr>
        <w:t>:</w:t>
      </w:r>
      <w:r w:rsidRPr="00AC4AE1">
        <w:rPr>
          <w:rFonts w:cs="Times New Roman"/>
        </w:rPr>
        <w:t xml:space="preserve"> A very difficult issue is that related to land acquisition, which become necessary for development purpose and which also increases use of land for non-agriculture needs.  The compulsory acquisition of land has historically been a difficult and delicate issue for Governments in Bangladesh. Therefore, land acquisition and the concomitant smooth resettlement process are always a challenge. In addition to micro-level conflicts relating to implementation of specific projects and the communities impacted by those, land acquisition processes generate disputes at a higher level when associated with possible differential uses of lands. </w:t>
      </w:r>
    </w:p>
    <w:p w:rsidR="00A356FA" w:rsidRPr="00AC4AE1" w:rsidRDefault="00A356FA" w:rsidP="00AC4AE1">
      <w:pPr>
        <w:spacing w:line="276" w:lineRule="auto"/>
        <w:jc w:val="both"/>
        <w:rPr>
          <w:rFonts w:cs="Times New Roman"/>
        </w:rPr>
      </w:pPr>
      <w:r w:rsidRPr="00AC4AE1">
        <w:rPr>
          <w:rFonts w:cs="Times New Roman"/>
        </w:rPr>
        <w:t xml:space="preserve">Laws in Bangladesh do not distinguish between processes governing the acquisition of farmland and urban lands. While the Industrial Policy of Bangladesh addresses the potential conflicts emerging from uses of fertile farmland for industrial purposes, there are no effective mechanisms to ensure the application of the principles put forth in the policy. It creates a challenge when large footprint projects are to be implemented in green-field areas, industrial estates, special economic zones or export processing zones. The instrument of current legal aid for expropriating lands for </w:t>
      </w:r>
      <w:r w:rsidR="00CD0809">
        <w:rPr>
          <w:rFonts w:cs="Times New Roman"/>
        </w:rPr>
        <w:t>public</w:t>
      </w:r>
      <w:r w:rsidRPr="00AC4AE1">
        <w:rPr>
          <w:rFonts w:cs="Times New Roman"/>
        </w:rPr>
        <w:t xml:space="preserve"> purposes is the Land Acquisition and Requisition of Immovable Property Ordinance, 1982. The 1982 Ordinance has roots in the British colonial Land Acquisition Act of 1894 that laid the basis for the practice of land acquisition in South Asia during the colonial and post-colonial periods. As it stands, the 1982 Ordinance presents significant challenges in its application, as it is based on compensation rationale only. As such it monetizes productive (for </w:t>
      </w:r>
      <w:r w:rsidRPr="00AC4AE1">
        <w:rPr>
          <w:rFonts w:cs="Times New Roman"/>
        </w:rPr>
        <w:lastRenderedPageBreak/>
        <w:t>ex: land) or important assets (houses) that are not based on market valuations and it provides affected people with a promise of a payment later for an asset foregone today.  Besides, the resettlement policy of Bangladesh is not adequate. Therefore, a comprehensive and modern technique of resettlement needs to be adopted in order to smooth acquiring of land.</w:t>
      </w:r>
    </w:p>
    <w:p w:rsidR="00A356FA" w:rsidRDefault="00F64A6A" w:rsidP="00AC4AE1">
      <w:pPr>
        <w:spacing w:line="276" w:lineRule="auto"/>
        <w:jc w:val="both"/>
        <w:rPr>
          <w:rFonts w:cs="Times New Roman"/>
        </w:rPr>
      </w:pPr>
      <w:bookmarkStart w:id="564" w:name="_Toc439146210"/>
      <w:r w:rsidRPr="00F64A6A">
        <w:rPr>
          <w:rFonts w:cs="Times New Roman"/>
          <w:u w:val="single"/>
        </w:rPr>
        <w:t>Economic Zone Act, 2010</w:t>
      </w:r>
      <w:bookmarkEnd w:id="564"/>
      <w:r w:rsidRPr="00F64A6A">
        <w:rPr>
          <w:rFonts w:cs="Times New Roman"/>
          <w:u w:val="single"/>
        </w:rPr>
        <w:t>: To help optimize land usage the Government has enacted Economic Zone Act in 2010 which would ease land-related problems faced by potential investors. The Act</w:t>
      </w:r>
      <w:r w:rsidR="00A356FA" w:rsidRPr="00AC4AE1">
        <w:rPr>
          <w:rFonts w:cs="Times New Roman"/>
        </w:rPr>
        <w:t xml:space="preserve"> provides legal basis for the establishment of economic zones in all potential areas including backward and underdeveloped regions with a view to encouraging rapid economic development through industrialization. The development of Economic Zones is expected to help investors through providing a place with various facilities that are conducive for industrial development. The Act promotes Economic Zones in the Private sector, Government led EZs or in a combination. In this connection, Bangladesh Economic Zone Authority (BEZA) has been established. The mandate of the BEZA is to identify local potential zones, acquire lands and build the zones with necessary facilities. BEZA may seek </w:t>
      </w:r>
      <w:r w:rsidR="00CD0809">
        <w:rPr>
          <w:rFonts w:cs="Times New Roman"/>
        </w:rPr>
        <w:t>public</w:t>
      </w:r>
      <w:r w:rsidR="00A356FA" w:rsidRPr="00AC4AE1">
        <w:rPr>
          <w:rFonts w:cs="Times New Roman"/>
        </w:rPr>
        <w:t xml:space="preserve">-Private Partnership (PPP) to build and effective utilization of such zones.  While Economic Zone Act 2010 provides a more organized use of land for industry and urban growth, it also provides an opportunity to bring a better balance with agriculture land use by restricting Economic Zone land in areas, which are less suitable for agriculture and also land </w:t>
      </w:r>
      <w:r w:rsidR="00065D01" w:rsidRPr="00AC4AE1">
        <w:rPr>
          <w:rFonts w:cs="Times New Roman"/>
        </w:rPr>
        <w:t>that,</w:t>
      </w:r>
      <w:r w:rsidR="00A356FA" w:rsidRPr="00AC4AE1">
        <w:rPr>
          <w:rFonts w:cs="Times New Roman"/>
        </w:rPr>
        <w:t xml:space="preserve"> is productive for agriculture.</w:t>
      </w:r>
    </w:p>
    <w:p w:rsidR="00974AEB" w:rsidRDefault="00974AEB" w:rsidP="00AC4AE1">
      <w:pPr>
        <w:spacing w:line="276" w:lineRule="auto"/>
        <w:jc w:val="both"/>
        <w:rPr>
          <w:rFonts w:cs="Times New Roman"/>
        </w:rPr>
      </w:pPr>
    </w:p>
    <w:p w:rsidR="00F64A6A" w:rsidRDefault="00262E47" w:rsidP="00F64A6A">
      <w:pPr>
        <w:pStyle w:val="Heading2"/>
      </w:pPr>
      <w:bookmarkStart w:id="565" w:name="_Toc474638895"/>
      <w:r>
        <w:t>7.6.</w:t>
      </w:r>
      <w:r>
        <w:tab/>
        <w:t>Strategy for Sustainable Land Use and Spatial Planning</w:t>
      </w:r>
      <w:bookmarkEnd w:id="565"/>
      <w:r>
        <w:t xml:space="preserve"> </w:t>
      </w:r>
    </w:p>
    <w:p w:rsidR="00262E47" w:rsidRDefault="00262E47" w:rsidP="00262E47">
      <w:pPr>
        <w:spacing w:line="276" w:lineRule="auto"/>
        <w:jc w:val="both"/>
        <w:rPr>
          <w:rFonts w:cs="Times New Roman"/>
        </w:rPr>
      </w:pPr>
      <w:r w:rsidRPr="00BB495B">
        <w:rPr>
          <w:rFonts w:cs="Times New Roman"/>
        </w:rPr>
        <w:t xml:space="preserve">Planning and management of land resources and its strategy for development </w:t>
      </w:r>
      <w:r>
        <w:rPr>
          <w:rFonts w:cs="Times New Roman"/>
        </w:rPr>
        <w:t>is</w:t>
      </w:r>
      <w:r w:rsidRPr="00BB495B">
        <w:rPr>
          <w:rFonts w:cs="Times New Roman"/>
        </w:rPr>
        <w:t xml:space="preserve"> integral part of </w:t>
      </w:r>
      <w:r>
        <w:rPr>
          <w:rFonts w:cs="Times New Roman"/>
        </w:rPr>
        <w:t xml:space="preserve">BDP2100. </w:t>
      </w:r>
      <w:r w:rsidRPr="00BB495B">
        <w:rPr>
          <w:rFonts w:cs="Times New Roman"/>
        </w:rPr>
        <w:t>Land use strategy will encompass natural areas for agriculture, forests, watercourses and urban and industrial needs. The utilization of land includes both for agricultural and non-agricultural land use</w:t>
      </w:r>
      <w:r>
        <w:rPr>
          <w:rFonts w:cs="Times New Roman"/>
        </w:rPr>
        <w:t>, for which making spatial planning an integral part of land use management will be important</w:t>
      </w:r>
      <w:r w:rsidRPr="00BB495B">
        <w:rPr>
          <w:rFonts w:cs="Times New Roman"/>
        </w:rPr>
        <w:t xml:space="preserve">. </w:t>
      </w:r>
      <w:r w:rsidRPr="00866F83">
        <w:rPr>
          <w:rFonts w:cs="Times New Roman"/>
        </w:rPr>
        <w:t>The land utilization strategy for agriculture</w:t>
      </w:r>
      <w:r w:rsidRPr="00BB495B">
        <w:rPr>
          <w:rFonts w:cs="Times New Roman"/>
          <w:i/>
        </w:rPr>
        <w:t xml:space="preserve"> </w:t>
      </w:r>
      <w:r w:rsidRPr="00BB495B">
        <w:rPr>
          <w:rFonts w:cs="Times New Roman"/>
        </w:rPr>
        <w:t>should be linked to achieving sustained food security. There is a vast potential to scale up the improved management of land and water resources as an integral component of agricultural development strategies in Bangladesh.</w:t>
      </w:r>
    </w:p>
    <w:p w:rsidR="00262E47" w:rsidRDefault="00262E47" w:rsidP="00262E47">
      <w:pPr>
        <w:spacing w:line="276" w:lineRule="auto"/>
        <w:jc w:val="both"/>
      </w:pPr>
      <w:r w:rsidRPr="00BB495B">
        <w:rPr>
          <w:rFonts w:cs="Times New Roman"/>
          <w:bCs/>
        </w:rPr>
        <w:t>Key strategic elements include land zoning, prevention of soil and land loss through improved agronomic practices and river training works, land reclamation in the coast, restoration of soil fertility, and checking salinity intrusion in the coastal region and desertification, especially in the northwest region.</w:t>
      </w:r>
      <w:r>
        <w:rPr>
          <w:rFonts w:cs="Times New Roman"/>
          <w:bCs/>
        </w:rPr>
        <w:t xml:space="preserve"> </w:t>
      </w:r>
      <w:r w:rsidR="00F64A6A" w:rsidRPr="00F64A6A">
        <w:rPr>
          <w:u w:val="single"/>
        </w:rPr>
        <w:t>The land management strategies reflecting BDP2100 goals are stated below:</w:t>
      </w:r>
      <w:r>
        <w:t xml:space="preserve"> </w:t>
      </w:r>
    </w:p>
    <w:p w:rsidR="00F50CD9" w:rsidRPr="00D83D70" w:rsidRDefault="00F50CD9" w:rsidP="00262E47">
      <w:pPr>
        <w:spacing w:line="276" w:lineRule="auto"/>
        <w:jc w:val="both"/>
        <w:rPr>
          <w:rFonts w:cs="Times New Roman"/>
          <w:bCs/>
        </w:rPr>
      </w:pPr>
    </w:p>
    <w:p w:rsidR="00262E47" w:rsidRPr="00DC02C7" w:rsidRDefault="00262E47" w:rsidP="00DC02C7">
      <w:pPr>
        <w:pStyle w:val="Goal"/>
        <w:jc w:val="both"/>
      </w:pPr>
      <w:r w:rsidRPr="00DC02C7">
        <w:t>Goal 1: Ensure safety from floods and climate change related disasters</w:t>
      </w:r>
    </w:p>
    <w:p w:rsidR="00262E47" w:rsidRPr="00C26B99" w:rsidRDefault="00262E47" w:rsidP="00262E47">
      <w:pPr>
        <w:autoSpaceDE w:val="0"/>
        <w:autoSpaceDN w:val="0"/>
        <w:adjustRightInd w:val="0"/>
        <w:jc w:val="both"/>
        <w:rPr>
          <w:rFonts w:cs="Segoe UI"/>
          <w:color w:val="FF0000"/>
          <w:szCs w:val="19"/>
        </w:rPr>
      </w:pPr>
      <w:r w:rsidRPr="00A16ABB">
        <w:rPr>
          <w:rFonts w:cs="Segoe UI"/>
          <w:b/>
          <w:i/>
          <w:szCs w:val="19"/>
        </w:rPr>
        <w:lastRenderedPageBreak/>
        <w:t>Strategy: Preserve/conserve agricultural land from floods or erosion to sustain food grain production.</w:t>
      </w:r>
      <w:r w:rsidRPr="00A16ABB">
        <w:rPr>
          <w:rFonts w:cs="Segoe UI"/>
          <w:szCs w:val="19"/>
        </w:rPr>
        <w:t xml:space="preserve"> </w:t>
      </w:r>
      <w:r w:rsidRPr="00F631ED">
        <w:rPr>
          <w:rFonts w:cs="Segoe UI"/>
          <w:bCs/>
          <w:szCs w:val="19"/>
        </w:rPr>
        <w:t>Beyond the strategy of zoning the whole country, there are specific strategic priorities for the agriculture sector that could be undertaken that would support optimal land resource management.</w:t>
      </w:r>
      <w:r>
        <w:rPr>
          <w:rFonts w:cs="Segoe UI"/>
          <w:bCs/>
          <w:szCs w:val="19"/>
        </w:rPr>
        <w:t xml:space="preserve"> </w:t>
      </w:r>
      <w:r w:rsidRPr="00F631ED">
        <w:rPr>
          <w:rFonts w:cs="Segoe UI"/>
          <w:bCs/>
          <w:szCs w:val="19"/>
        </w:rPr>
        <w:t xml:space="preserve">This will be particularly conducive from food security point of view. The suggested priorities and strategic interventions include the following: </w:t>
      </w:r>
    </w:p>
    <w:p w:rsidR="00000000" w:rsidRDefault="00262E47" w:rsidP="003D5A31">
      <w:pPr>
        <w:pStyle w:val="ListParagraph"/>
        <w:numPr>
          <w:ilvl w:val="0"/>
          <w:numId w:val="226"/>
        </w:numPr>
        <w:autoSpaceDE w:val="0"/>
        <w:autoSpaceDN w:val="0"/>
        <w:adjustRightInd w:val="0"/>
        <w:spacing w:after="40" w:line="276" w:lineRule="auto"/>
        <w:jc w:val="both"/>
        <w:rPr>
          <w:rFonts w:cs="Segoe UI"/>
          <w:szCs w:val="19"/>
        </w:rPr>
      </w:pPr>
      <w:r w:rsidRPr="00484CA1">
        <w:rPr>
          <w:rFonts w:cs="Segoe UI"/>
          <w:szCs w:val="19"/>
        </w:rPr>
        <w:t>For crop intensification, the coastal zone, the Sylhet region and the char areas and drought prone areas must receive priority in crop sector development plans</w:t>
      </w:r>
      <w:r>
        <w:rPr>
          <w:rFonts w:cs="Segoe UI"/>
          <w:szCs w:val="19"/>
        </w:rPr>
        <w:t xml:space="preserve"> </w:t>
      </w:r>
      <w:r w:rsidRPr="00A16ABB">
        <w:rPr>
          <w:rFonts w:cs="Segoe UI"/>
          <w:szCs w:val="19"/>
        </w:rPr>
        <w:t xml:space="preserve">encouraging private sector involvement. </w:t>
      </w:r>
    </w:p>
    <w:p w:rsidR="00000000" w:rsidRDefault="00262E47" w:rsidP="003D5A31">
      <w:pPr>
        <w:pStyle w:val="ListParagraph"/>
        <w:numPr>
          <w:ilvl w:val="0"/>
          <w:numId w:val="226"/>
        </w:numPr>
        <w:autoSpaceDE w:val="0"/>
        <w:autoSpaceDN w:val="0"/>
        <w:adjustRightInd w:val="0"/>
        <w:spacing w:after="40" w:line="276" w:lineRule="auto"/>
        <w:jc w:val="both"/>
        <w:rPr>
          <w:rFonts w:cs="Segoe UI"/>
          <w:szCs w:val="19"/>
        </w:rPr>
      </w:pPr>
      <w:r w:rsidRPr="00484CA1">
        <w:rPr>
          <w:rFonts w:cs="Segoe UI"/>
          <w:szCs w:val="19"/>
        </w:rPr>
        <w:t>Policy strategy on protecting agricultural land from inundation, river erosion and other productive purposes.</w:t>
      </w:r>
    </w:p>
    <w:p w:rsidR="00000000" w:rsidRDefault="00262E47" w:rsidP="003D5A31">
      <w:pPr>
        <w:pStyle w:val="ListParagraph"/>
        <w:numPr>
          <w:ilvl w:val="0"/>
          <w:numId w:val="226"/>
        </w:numPr>
        <w:autoSpaceDE w:val="0"/>
        <w:autoSpaceDN w:val="0"/>
        <w:adjustRightInd w:val="0"/>
        <w:spacing w:after="40" w:line="276" w:lineRule="auto"/>
        <w:jc w:val="both"/>
        <w:rPr>
          <w:rFonts w:cs="Segoe UI"/>
          <w:szCs w:val="19"/>
        </w:rPr>
      </w:pPr>
      <w:r w:rsidRPr="00484CA1">
        <w:rPr>
          <w:rFonts w:cs="Segoe UI"/>
          <w:szCs w:val="19"/>
        </w:rPr>
        <w:t>Strategy, policy and action should be formulated to convert the single crop land into double crop land, double crop land to triple crop land where found feasible.</w:t>
      </w:r>
    </w:p>
    <w:p w:rsidR="00000000" w:rsidRDefault="00F64A6A" w:rsidP="003D5A31">
      <w:pPr>
        <w:pStyle w:val="ListParagraph"/>
        <w:numPr>
          <w:ilvl w:val="0"/>
          <w:numId w:val="226"/>
        </w:numPr>
        <w:autoSpaceDE w:val="0"/>
        <w:autoSpaceDN w:val="0"/>
        <w:adjustRightInd w:val="0"/>
        <w:spacing w:after="40" w:line="276" w:lineRule="auto"/>
        <w:jc w:val="both"/>
        <w:rPr>
          <w:rFonts w:cs="Segoe UI"/>
          <w:szCs w:val="19"/>
          <w:u w:val="single"/>
        </w:rPr>
      </w:pPr>
      <w:r w:rsidRPr="00F64A6A">
        <w:rPr>
          <w:rFonts w:cs="Segoe UI"/>
          <w:szCs w:val="19"/>
          <w:u w:val="single"/>
        </w:rPr>
        <w:t xml:space="preserve">Land reclamation in coastal areas and reclamation of cultivable land in water logging areas and emphasizes on the intensive cultivation of saline tolerant varieties particularly in Rabi season and will take necessary steps in this context. </w:t>
      </w:r>
    </w:p>
    <w:p w:rsidR="00000000" w:rsidRDefault="00262E47" w:rsidP="003D5A31">
      <w:pPr>
        <w:pStyle w:val="ListParagraph"/>
        <w:numPr>
          <w:ilvl w:val="0"/>
          <w:numId w:val="226"/>
        </w:numPr>
        <w:autoSpaceDE w:val="0"/>
        <w:autoSpaceDN w:val="0"/>
        <w:adjustRightInd w:val="0"/>
        <w:spacing w:after="40" w:line="276" w:lineRule="auto"/>
        <w:jc w:val="both"/>
        <w:rPr>
          <w:rFonts w:cs="Segoe UI"/>
          <w:szCs w:val="19"/>
        </w:rPr>
      </w:pPr>
      <w:r w:rsidRPr="00484CA1">
        <w:rPr>
          <w:rFonts w:cs="Segoe UI"/>
          <w:szCs w:val="19"/>
        </w:rPr>
        <w:t>In order to maintain soil fertility and use of organic fertilizer would be popularized.</w:t>
      </w:r>
    </w:p>
    <w:p w:rsidR="00A16ABB" w:rsidRPr="00A16ABB" w:rsidRDefault="00A16ABB" w:rsidP="00A16ABB">
      <w:pPr>
        <w:pStyle w:val="ListParagraph"/>
        <w:autoSpaceDE w:val="0"/>
        <w:autoSpaceDN w:val="0"/>
        <w:adjustRightInd w:val="0"/>
        <w:spacing w:after="40" w:line="276" w:lineRule="auto"/>
        <w:jc w:val="both"/>
        <w:rPr>
          <w:rFonts w:cs="Segoe UI"/>
          <w:szCs w:val="19"/>
        </w:rPr>
      </w:pPr>
    </w:p>
    <w:p w:rsidR="00262E47" w:rsidRPr="00A16ABB" w:rsidRDefault="00262E47" w:rsidP="00262E47">
      <w:pPr>
        <w:autoSpaceDE w:val="0"/>
        <w:autoSpaceDN w:val="0"/>
        <w:adjustRightInd w:val="0"/>
        <w:ind w:left="360"/>
        <w:jc w:val="both"/>
        <w:rPr>
          <w:rFonts w:cs="Segoe UI"/>
          <w:b/>
          <w:bCs/>
          <w:i/>
          <w:szCs w:val="19"/>
        </w:rPr>
      </w:pPr>
      <w:r w:rsidRPr="00A16ABB">
        <w:rPr>
          <w:rFonts w:cs="Segoe UI"/>
          <w:b/>
          <w:bCs/>
          <w:i/>
          <w:szCs w:val="19"/>
        </w:rPr>
        <w:t xml:space="preserve">Strategy: Prevention of </w:t>
      </w:r>
      <w:r w:rsidRPr="00A16ABB">
        <w:rPr>
          <w:rFonts w:cs="Segoe UI"/>
          <w:b/>
          <w:i/>
          <w:szCs w:val="19"/>
        </w:rPr>
        <w:t>salinity intrusion and</w:t>
      </w:r>
      <w:r w:rsidRPr="00A16ABB">
        <w:rPr>
          <w:rFonts w:cs="Segoe UI"/>
          <w:b/>
          <w:bCs/>
          <w:i/>
          <w:szCs w:val="19"/>
        </w:rPr>
        <w:t xml:space="preserve"> desertification. </w:t>
      </w:r>
    </w:p>
    <w:p w:rsidR="00000000" w:rsidRDefault="00262E47" w:rsidP="003D5A31">
      <w:pPr>
        <w:pStyle w:val="ListParagraph"/>
        <w:numPr>
          <w:ilvl w:val="0"/>
          <w:numId w:val="226"/>
        </w:numPr>
        <w:autoSpaceDE w:val="0"/>
        <w:autoSpaceDN w:val="0"/>
        <w:adjustRightInd w:val="0"/>
        <w:jc w:val="both"/>
        <w:rPr>
          <w:rFonts w:cs="Segoe UI"/>
          <w:bCs/>
          <w:szCs w:val="19"/>
        </w:rPr>
      </w:pPr>
      <w:r w:rsidRPr="00D83D70">
        <w:rPr>
          <w:rFonts w:cs="Segoe UI"/>
          <w:bCs/>
          <w:szCs w:val="19"/>
        </w:rPr>
        <w:t xml:space="preserve">Provision needs to be established to increase fresh water flow from upstream to prevent salinity intrusion in the coastal region. </w:t>
      </w:r>
      <w:r w:rsidR="00F64A6A" w:rsidRPr="00F64A6A">
        <w:rPr>
          <w:rFonts w:cs="Segoe UI"/>
          <w:bCs/>
          <w:szCs w:val="19"/>
          <w:u w:val="single"/>
        </w:rPr>
        <w:t xml:space="preserve">Vegetation in the Barind area needs to be increased. </w:t>
      </w:r>
      <w:r w:rsidRPr="00D83D70">
        <w:rPr>
          <w:rFonts w:cs="Segoe UI"/>
          <w:bCs/>
          <w:szCs w:val="19"/>
        </w:rPr>
        <w:t xml:space="preserve">Finally, stress on water resources system should be reduced. </w:t>
      </w:r>
    </w:p>
    <w:p w:rsidR="00A16ABB" w:rsidRPr="00D83D70" w:rsidRDefault="00A16ABB" w:rsidP="00DC02C7">
      <w:pPr>
        <w:pStyle w:val="ListParagraph"/>
        <w:autoSpaceDE w:val="0"/>
        <w:autoSpaceDN w:val="0"/>
        <w:adjustRightInd w:val="0"/>
        <w:spacing w:after="0"/>
        <w:jc w:val="both"/>
        <w:rPr>
          <w:rFonts w:cs="Segoe UI"/>
          <w:bCs/>
          <w:szCs w:val="19"/>
        </w:rPr>
      </w:pPr>
    </w:p>
    <w:p w:rsidR="00262E47" w:rsidRDefault="00262E47" w:rsidP="00DC02C7">
      <w:pPr>
        <w:pStyle w:val="Goal"/>
        <w:jc w:val="both"/>
      </w:pPr>
      <w:r w:rsidRPr="00B774D9">
        <w:t xml:space="preserve">Goal </w:t>
      </w:r>
      <w:r w:rsidR="00DC02C7">
        <w:t>2</w:t>
      </w:r>
      <w:r w:rsidRPr="00B774D9">
        <w:t>: Ensure sustainable and integrated river systems and estuaries management</w:t>
      </w:r>
    </w:p>
    <w:p w:rsidR="00262E47" w:rsidRPr="00A16ABB" w:rsidRDefault="00262E47" w:rsidP="00262E47">
      <w:pPr>
        <w:jc w:val="both"/>
        <w:rPr>
          <w:rFonts w:cs="Segoe UI"/>
          <w:b/>
          <w:szCs w:val="19"/>
        </w:rPr>
      </w:pPr>
      <w:r w:rsidRPr="00A16ABB">
        <w:rPr>
          <w:rFonts w:cs="Segoe UI"/>
          <w:b/>
          <w:szCs w:val="19"/>
        </w:rPr>
        <w:t xml:space="preserve">Strategy: Management of newly accreted land in the Meghna Estuary </w:t>
      </w:r>
    </w:p>
    <w:p w:rsidR="00262E47" w:rsidRDefault="00262E47" w:rsidP="00262E47">
      <w:pPr>
        <w:spacing w:line="276" w:lineRule="auto"/>
        <w:jc w:val="both"/>
        <w:rPr>
          <w:rFonts w:cs="Segoe UI"/>
          <w:szCs w:val="19"/>
        </w:rPr>
      </w:pPr>
      <w:r w:rsidRPr="00A220F3">
        <w:rPr>
          <w:rFonts w:cs="Segoe UI"/>
          <w:bCs/>
          <w:szCs w:val="19"/>
        </w:rPr>
        <w:t>Increase</w:t>
      </w:r>
      <w:r>
        <w:rPr>
          <w:rFonts w:cs="Segoe UI"/>
          <w:bCs/>
          <w:szCs w:val="19"/>
        </w:rPr>
        <w:t>d</w:t>
      </w:r>
      <w:r w:rsidRPr="00A220F3">
        <w:rPr>
          <w:rFonts w:cs="Segoe UI"/>
          <w:bCs/>
          <w:szCs w:val="19"/>
        </w:rPr>
        <w:t xml:space="preserve"> land availability through Accretion/Land Reclamation in the Meghna Estuary, toward sea and coastal region. </w:t>
      </w:r>
      <w:r w:rsidRPr="00A220F3">
        <w:rPr>
          <w:rFonts w:cs="Segoe UI"/>
          <w:szCs w:val="19"/>
        </w:rPr>
        <w:t xml:space="preserve">The land loss due to sea level rise and river bank erosion may be overcome by new land formation toward sea through land reclamation, construction of closure, cross dams which may be accelerated with nature techniques for stabilization through protection of pioneer (mangrove) vegetation. Acceleration of the land accretion process and optimum use of these coastal lands would significantly contribute to the regional economy and wellbeing of the local people. Tidal River Management (TRM) for improvement of land use management, which might develop land type in the low-lying beel of coastal area through sedimentation on low-lying beel areas. This might bring under double/ triple cropping pattern and might increase the availability of land for settlements also.  Land zoning is one instrument that could help optimize the use of accreted coastal lands.  </w:t>
      </w:r>
      <w:r w:rsidR="00F64A6A" w:rsidRPr="00F64A6A">
        <w:rPr>
          <w:rFonts w:cs="Segoe UI"/>
          <w:szCs w:val="19"/>
          <w:u w:val="single"/>
        </w:rPr>
        <w:t xml:space="preserve">Besides all accreted and reclaimed land should be put to value added used particularly for urban and industrial needs with necessary infrastructure like dikes, high quality road, rail, water transport mode connection, and with adequate power and energy </w:t>
      </w:r>
      <w:r w:rsidR="00F64A6A" w:rsidRPr="00F64A6A">
        <w:rPr>
          <w:rFonts w:cs="Segoe UI"/>
          <w:szCs w:val="19"/>
          <w:u w:val="single"/>
        </w:rPr>
        <w:lastRenderedPageBreak/>
        <w:t xml:space="preserve">supply.  </w:t>
      </w:r>
      <w:r w:rsidRPr="00A220F3">
        <w:rPr>
          <w:rFonts w:cs="Segoe UI"/>
          <w:szCs w:val="19"/>
        </w:rPr>
        <w:t>The actual choice of such value added sites should be on the basis of feasibility and where feasible PPP options should be sought.</w:t>
      </w:r>
    </w:p>
    <w:p w:rsidR="00262E47" w:rsidRPr="006530BC" w:rsidRDefault="00DC02C7" w:rsidP="00DC02C7">
      <w:pPr>
        <w:pStyle w:val="Goal"/>
        <w:jc w:val="both"/>
      </w:pPr>
      <w:r>
        <w:t>Goal 3</w:t>
      </w:r>
      <w:r w:rsidR="00262E47" w:rsidRPr="006530BC">
        <w:t>: Conserve and preserve wetlands and ecosystems and promote their wise use</w:t>
      </w:r>
    </w:p>
    <w:p w:rsidR="00262E47" w:rsidRPr="00F52F97" w:rsidRDefault="00262E47" w:rsidP="00262E47">
      <w:pPr>
        <w:jc w:val="both"/>
        <w:rPr>
          <w:rFonts w:cs="Segoe UI"/>
          <w:szCs w:val="19"/>
        </w:rPr>
      </w:pPr>
      <w:r w:rsidRPr="00F52F97">
        <w:rPr>
          <w:rFonts w:cs="Segoe UI"/>
          <w:b/>
          <w:i/>
          <w:szCs w:val="19"/>
        </w:rPr>
        <w:t>Strategy: Sustainable coastal land management for enhancing agriculture and non-agriculture land</w:t>
      </w:r>
    </w:p>
    <w:p w:rsidR="00262E47" w:rsidRPr="001B185D" w:rsidRDefault="00262E47" w:rsidP="00262E47">
      <w:pPr>
        <w:spacing w:line="276" w:lineRule="auto"/>
        <w:jc w:val="both"/>
        <w:rPr>
          <w:rFonts w:cs="Times New Roman"/>
        </w:rPr>
      </w:pPr>
      <w:r w:rsidRPr="001B185D">
        <w:rPr>
          <w:rFonts w:cs="Times New Roman"/>
          <w:bCs/>
        </w:rPr>
        <w:t xml:space="preserve">The coast of Bangladesh and marine zone are especially rich in diverse natural resources.  </w:t>
      </w:r>
      <w:r w:rsidR="00F64A6A" w:rsidRPr="00F64A6A">
        <w:rPr>
          <w:rFonts w:cs="Times New Roman"/>
          <w:bCs/>
          <w:u w:val="single"/>
        </w:rPr>
        <w:t>In Bangladesh, there are about 2.83 million hectares of coastal area of which different levels of soil salinity affect one million hectares of land</w:t>
      </w:r>
      <w:r w:rsidR="00F64A6A" w:rsidRPr="00F64A6A">
        <w:rPr>
          <w:rStyle w:val="FootnoteReference"/>
          <w:rFonts w:cs="Times New Roman"/>
          <w:bCs/>
          <w:u w:val="single"/>
        </w:rPr>
        <w:footnoteReference w:id="38"/>
      </w:r>
      <w:r w:rsidR="00F64A6A" w:rsidRPr="00F64A6A">
        <w:rPr>
          <w:rFonts w:cs="Times New Roman"/>
          <w:bCs/>
          <w:u w:val="single"/>
        </w:rPr>
        <w:t xml:space="preserve">. </w:t>
      </w:r>
      <w:r w:rsidRPr="001B185D">
        <w:rPr>
          <w:rFonts w:cs="Times New Roman"/>
          <w:bCs/>
        </w:rPr>
        <w:t>The resources of the coastal zone will have to be managed in a manner that will not only ensure their sustainability but will also secure access to the poor for meeting their livelihood requirements. The soils of the coastal zones are mostly mono-cropped with low yield rice produced during rainy season. The cultivation of winter crops is very limited due to the accumulation of salts in the surface soil and lack of fresh water irrigation during dry season. A number of crop production technologies have been developed and there are encouraging results that could mitigate the challenge and help in the food security front. This effort should continue.</w:t>
      </w:r>
    </w:p>
    <w:p w:rsidR="00262E47" w:rsidRPr="001B185D" w:rsidRDefault="00F64A6A" w:rsidP="00262E47">
      <w:pPr>
        <w:spacing w:line="276" w:lineRule="auto"/>
        <w:jc w:val="both"/>
        <w:rPr>
          <w:rFonts w:cs="Times New Roman"/>
        </w:rPr>
      </w:pPr>
      <w:r w:rsidRPr="00F64A6A">
        <w:rPr>
          <w:rFonts w:cs="Times New Roman"/>
          <w:u w:val="single"/>
        </w:rPr>
        <w:t>As part of its coastal land management strategy, Bangladesh has used coastal afforestation and polderization to stabilize and protect newly accreted lands from tidal and storm surges. This strategy should continue under proper legislative framework for optimal land utilization.</w:t>
      </w:r>
      <w:r w:rsidR="00262E47" w:rsidRPr="001B185D">
        <w:rPr>
          <w:rFonts w:cs="Times New Roman"/>
        </w:rPr>
        <w:t xml:space="preserve"> Dense forests can attenuate wave velocity</w:t>
      </w:r>
      <w:r w:rsidR="00262E47" w:rsidRPr="001B185D">
        <w:rPr>
          <w:rStyle w:val="FootnoteReference"/>
          <w:rFonts w:cs="Times New Roman"/>
        </w:rPr>
        <w:footnoteReference w:id="39"/>
      </w:r>
      <w:r w:rsidR="00262E47" w:rsidRPr="001B185D">
        <w:rPr>
          <w:rFonts w:cs="Times New Roman"/>
        </w:rPr>
        <w:t>. In 1966, the Forest Department began a mangrove plantation program outside the protective coastal embankments in order to better protect life in coastal areas from cyclones and tidal surges. A program of participatory mangrove plantation involving nearby coastal communities, which has proved successful in other countries, could be a sustainable mechanism to protect mangrove forests. This mechanism is being actively considered within the Forest Department. Recently, lands are reclaimed through construction of embankment at Undarchar, which was developed by plantation of green belt in Patuakhali district.</w:t>
      </w:r>
    </w:p>
    <w:p w:rsidR="00262E47" w:rsidRPr="00D10C92" w:rsidRDefault="00262E47" w:rsidP="00262E47">
      <w:pPr>
        <w:autoSpaceDE w:val="0"/>
        <w:autoSpaceDN w:val="0"/>
        <w:adjustRightInd w:val="0"/>
        <w:spacing w:line="276" w:lineRule="auto"/>
        <w:jc w:val="both"/>
        <w:rPr>
          <w:rFonts w:cs="Times New Roman"/>
          <w:bCs/>
        </w:rPr>
      </w:pPr>
      <w:r w:rsidRPr="001B185D">
        <w:rPr>
          <w:rFonts w:cs="Times New Roman"/>
          <w:bCs/>
        </w:rPr>
        <w:t>More broadly, the strategies to mitigate the challenges of coastal land resource management are estuary and coastal ecosystem management, coastal land zoning, integrated management of coastal water infrastructures, socially and environmental responsive shrimp farming, and marine and development of coastal environment. While coastal land management will also require large scale physical investments over time, one of the key issues will be putting in place an effective land governance structure with appropriate institutions so that the small/ marginal farmers and the poor (including women) can be safeguarded from the powerful land grabbers.</w:t>
      </w:r>
    </w:p>
    <w:p w:rsidR="00262E47" w:rsidRPr="00DC02C7" w:rsidRDefault="00262E47" w:rsidP="00DC02C7">
      <w:pPr>
        <w:pStyle w:val="Goal"/>
        <w:jc w:val="both"/>
      </w:pPr>
      <w:r w:rsidRPr="0027437D">
        <w:lastRenderedPageBreak/>
        <w:t xml:space="preserve">Goal </w:t>
      </w:r>
      <w:r w:rsidR="00DC02C7">
        <w:t>4</w:t>
      </w:r>
      <w:r w:rsidRPr="0027437D">
        <w:t>: Develop effective institutions and equitable governance for in-country and trans-boundary water resources management</w:t>
      </w:r>
    </w:p>
    <w:p w:rsidR="00262E47" w:rsidRPr="00F52F97" w:rsidRDefault="00262E47" w:rsidP="00F52F97">
      <w:pPr>
        <w:spacing w:line="276" w:lineRule="auto"/>
        <w:jc w:val="both"/>
        <w:rPr>
          <w:rFonts w:cs="Segoe UI"/>
          <w:b/>
          <w:i/>
          <w:szCs w:val="19"/>
        </w:rPr>
      </w:pPr>
      <w:r w:rsidRPr="00F52F97">
        <w:rPr>
          <w:rFonts w:cs="Segoe UI"/>
          <w:b/>
          <w:i/>
          <w:szCs w:val="19"/>
        </w:rPr>
        <w:t xml:space="preserve">Strategy: Development of Land Information System (LIS) for Land Administration and Management </w:t>
      </w:r>
    </w:p>
    <w:p w:rsidR="00262E47" w:rsidRPr="00CD0809" w:rsidRDefault="00262E47" w:rsidP="00F52F97">
      <w:pPr>
        <w:spacing w:before="120" w:after="120" w:line="276" w:lineRule="auto"/>
        <w:jc w:val="both"/>
        <w:rPr>
          <w:rFonts w:cs="Segoe UI"/>
          <w:bCs/>
          <w:u w:val="single"/>
        </w:rPr>
      </w:pPr>
      <w:r w:rsidRPr="00F52F97">
        <w:rPr>
          <w:rFonts w:cs="Segoe UI"/>
          <w:bCs/>
        </w:rPr>
        <w:t xml:space="preserve">At present the responsible ministries and agencies involved for land management and administration work independently with little coordination among them. The whole process is manual, laborious and time intensive. Conventional methods of land survey, preparation and upgradation of land records, maintenance of all related data for each parcel of land makes land administration and management incomplete and inefficient. Moreover, distortion of land records at various stages (i.e. plot-to-plot survey, preparation of records and drawing of maps through conventional methods, objections, junk/ checking works, printing, etc.) hinders land development control and property tax collection. </w:t>
      </w:r>
      <w:r w:rsidR="00F64A6A" w:rsidRPr="00F64A6A">
        <w:rPr>
          <w:rFonts w:cs="Segoe UI"/>
          <w:bCs/>
          <w:u w:val="single"/>
        </w:rPr>
        <w:t>Computerized Land Management System should be developed for access to Land and Property Rights to all Citizens, to prepare digital mouza maps and khatian using modern equipment, to create authentic land record etc.</w:t>
      </w:r>
    </w:p>
    <w:p w:rsidR="00262E47" w:rsidRDefault="00262E47" w:rsidP="00262E47">
      <w:pPr>
        <w:spacing w:line="276" w:lineRule="auto"/>
        <w:jc w:val="both"/>
        <w:rPr>
          <w:rFonts w:eastAsia="Arial" w:cs="Segoe UI"/>
          <w:spacing w:val="-1"/>
          <w:szCs w:val="19"/>
        </w:rPr>
      </w:pPr>
      <w:r w:rsidRPr="00F631ED">
        <w:rPr>
          <w:rFonts w:eastAsia="Arial" w:cs="Segoe UI"/>
          <w:spacing w:val="-1"/>
          <w:szCs w:val="19"/>
        </w:rPr>
        <w:t>There is an ongoing effort of computerization of some of the processes in each of the three institutions (agencies), but it does not appear coordinated but rather on</w:t>
      </w:r>
      <w:r>
        <w:rPr>
          <w:rFonts w:eastAsia="Arial" w:cs="Segoe UI"/>
          <w:spacing w:val="-1"/>
          <w:szCs w:val="19"/>
        </w:rPr>
        <w:t xml:space="preserve"> the individual Ministry basis.</w:t>
      </w:r>
      <w:r w:rsidRPr="00F631ED">
        <w:rPr>
          <w:rFonts w:eastAsia="Arial" w:cs="Segoe UI"/>
          <w:spacing w:val="-1"/>
          <w:szCs w:val="19"/>
        </w:rPr>
        <w:t xml:space="preserve"> This needs to be a priority goal for the government, and a single strategy for imp</w:t>
      </w:r>
      <w:r>
        <w:rPr>
          <w:rFonts w:eastAsia="Arial" w:cs="Segoe UI"/>
          <w:spacing w:val="-1"/>
          <w:szCs w:val="19"/>
        </w:rPr>
        <w:t xml:space="preserve">lementation of all land related </w:t>
      </w:r>
      <w:r w:rsidRPr="00F631ED">
        <w:rPr>
          <w:rFonts w:eastAsia="Arial" w:cs="Segoe UI"/>
          <w:spacing w:val="-1"/>
          <w:szCs w:val="19"/>
        </w:rPr>
        <w:t>comput</w:t>
      </w:r>
      <w:r>
        <w:rPr>
          <w:rFonts w:eastAsia="Arial" w:cs="Segoe UI"/>
          <w:spacing w:val="-1"/>
          <w:szCs w:val="19"/>
        </w:rPr>
        <w:t xml:space="preserve">erization should be undertaken. </w:t>
      </w:r>
      <w:r w:rsidRPr="00F52F97">
        <w:rPr>
          <w:rFonts w:cs="Segoe UI"/>
          <w:i/>
          <w:szCs w:val="19"/>
        </w:rPr>
        <w:t>Effective and well-coordinated computerization of each of the agencies under the two Ministries should be able to bridge the existing gaps and provide more readily available reliable information to the citizen, business, financial institutions, and to the courts.</w:t>
      </w:r>
      <w:r w:rsidR="00CD0809">
        <w:rPr>
          <w:rFonts w:cs="Segoe UI"/>
          <w:b/>
          <w:szCs w:val="19"/>
          <w:u w:val="single"/>
        </w:rPr>
        <w:t xml:space="preserve"> </w:t>
      </w:r>
      <w:r w:rsidRPr="00F631ED">
        <w:rPr>
          <w:rFonts w:eastAsia="Arial" w:cs="Segoe UI"/>
          <w:spacing w:val="-1"/>
          <w:szCs w:val="19"/>
        </w:rPr>
        <w:t>This definitely will help improve business environment in the country while also reducing scope of corruption at different levels.</w:t>
      </w:r>
    </w:p>
    <w:p w:rsidR="00262E47" w:rsidRPr="00F52F97" w:rsidRDefault="00262E47" w:rsidP="00262E47">
      <w:pPr>
        <w:jc w:val="both"/>
        <w:rPr>
          <w:rFonts w:cs="Segoe UI"/>
          <w:b/>
          <w:szCs w:val="19"/>
        </w:rPr>
      </w:pPr>
      <w:r w:rsidRPr="00F52F97">
        <w:rPr>
          <w:rFonts w:cs="Segoe UI"/>
          <w:b/>
          <w:szCs w:val="19"/>
        </w:rPr>
        <w:t xml:space="preserve">Strategy: Development of Digital Land Resource Management System </w:t>
      </w:r>
    </w:p>
    <w:p w:rsidR="00262E47" w:rsidRPr="00AC4AE1" w:rsidRDefault="00262E47" w:rsidP="00262E47">
      <w:pPr>
        <w:spacing w:line="276" w:lineRule="auto"/>
        <w:ind w:right="43"/>
        <w:jc w:val="both"/>
        <w:rPr>
          <w:rFonts w:eastAsia="Arial" w:cs="Times New Roman"/>
          <w:w w:val="101"/>
        </w:rPr>
      </w:pPr>
      <w:r w:rsidRPr="00AC4AE1">
        <w:rPr>
          <w:rFonts w:eastAsia="Arial" w:cs="Times New Roman"/>
          <w:b/>
          <w:i/>
          <w:w w:val="101"/>
        </w:rPr>
        <w:t xml:space="preserve">Land related institutions and need for reforms: </w:t>
      </w:r>
      <w:r w:rsidRPr="00AC4AE1">
        <w:rPr>
          <w:rFonts w:eastAsia="Arial" w:cs="Times New Roman"/>
          <w:w w:val="101"/>
        </w:rPr>
        <w:t xml:space="preserve">One factor that becomes apparent is that the links between the three key institutions, </w:t>
      </w:r>
      <w:r w:rsidR="00F64A6A" w:rsidRPr="00F64A6A">
        <w:rPr>
          <w:rFonts w:eastAsia="Arial" w:cs="Times New Roman"/>
          <w:w w:val="101"/>
          <w:u w:val="single"/>
        </w:rPr>
        <w:t xml:space="preserve">the Survey, </w:t>
      </w:r>
      <w:r w:rsidR="00F50CD9">
        <w:rPr>
          <w:rFonts w:eastAsia="Arial" w:cs="Times New Roman"/>
          <w:w w:val="101"/>
          <w:u w:val="single"/>
        </w:rPr>
        <w:t>t</w:t>
      </w:r>
      <w:r w:rsidR="00F64A6A" w:rsidRPr="00F64A6A">
        <w:rPr>
          <w:rFonts w:eastAsia="Arial" w:cs="Times New Roman"/>
          <w:w w:val="101"/>
          <w:u w:val="single"/>
        </w:rPr>
        <w:t xml:space="preserve">he AC Land, and the Sub-Registrar’s office, are very weak as accountability mechanisms only moves vertically in each of the institutions, though for an efficient and transparent system there needs to well synchronized linkages across the three institutions. </w:t>
      </w:r>
      <w:r w:rsidRPr="00AC4AE1">
        <w:rPr>
          <w:rFonts w:eastAsia="Arial" w:cs="Times New Roman"/>
          <w:w w:val="101"/>
        </w:rPr>
        <w:t xml:space="preserve">The issue gets further complicated as two of the agencies report to Ministry of Land the Registry is within the jurisdiction of MOLJ. So there has also to be good synchronization between the two Ministries.  </w:t>
      </w:r>
    </w:p>
    <w:p w:rsidR="00262E47" w:rsidRPr="00AC4AE1" w:rsidRDefault="00262E47" w:rsidP="00262E47">
      <w:pPr>
        <w:spacing w:line="276" w:lineRule="auto"/>
        <w:jc w:val="both"/>
        <w:rPr>
          <w:rFonts w:cs="Times New Roman"/>
        </w:rPr>
      </w:pPr>
      <w:r w:rsidRPr="00AC4AE1">
        <w:rPr>
          <w:rFonts w:eastAsia="Arial" w:cs="Times New Roman"/>
          <w:w w:val="101"/>
        </w:rPr>
        <w:t>In the short and medium term, the regulatory and institutional challenge will be in bridging these gaps across the institutions as well as brin</w:t>
      </w:r>
      <w:r w:rsidR="00CD0809">
        <w:rPr>
          <w:rFonts w:eastAsia="Arial" w:cs="Times New Roman"/>
          <w:w w:val="101"/>
        </w:rPr>
        <w:t>g</w:t>
      </w:r>
      <w:r w:rsidRPr="00AC4AE1">
        <w:rPr>
          <w:rFonts w:eastAsia="Arial" w:cs="Times New Roman"/>
          <w:w w:val="101"/>
        </w:rPr>
        <w:t>ing efficiency within each agency. It will be particularly important to reduce time for undertaking surveys, simplifying the appeal process, reducing the number of days in the registration process to at least come to the India level, which had also inherited a similar system, and finally coming up with a more dependable and readily available certificate of title that is protected from abuse that is now prevalent in the system.</w:t>
      </w:r>
    </w:p>
    <w:p w:rsidR="00A356FA" w:rsidRPr="00AC4AE1" w:rsidRDefault="00A356FA" w:rsidP="00AC4AE1">
      <w:pPr>
        <w:spacing w:line="276" w:lineRule="auto"/>
        <w:jc w:val="both"/>
        <w:rPr>
          <w:rFonts w:cs="Times New Roman"/>
        </w:rPr>
      </w:pPr>
      <w:r w:rsidRPr="00AC4AE1">
        <w:rPr>
          <w:rFonts w:cs="Times New Roman"/>
        </w:rPr>
        <w:lastRenderedPageBreak/>
        <w:t xml:space="preserve">Some of the suggested institutional and policy related priority interventions that could potentially lead to a more optimal land resource management that supports the growth strategy of the Government, in a sustainable manner are as follows: </w:t>
      </w:r>
    </w:p>
    <w:p w:rsidR="00A356FA" w:rsidRPr="00AC4AE1" w:rsidRDefault="00A356FA" w:rsidP="00D6486D">
      <w:pPr>
        <w:pStyle w:val="ListParagraph"/>
        <w:numPr>
          <w:ilvl w:val="0"/>
          <w:numId w:val="50"/>
        </w:numPr>
        <w:spacing w:before="38" w:after="0" w:line="276" w:lineRule="auto"/>
        <w:ind w:left="360" w:right="43"/>
        <w:jc w:val="both"/>
        <w:rPr>
          <w:rFonts w:eastAsia="Arial" w:cs="Times New Roman"/>
          <w:spacing w:val="-1"/>
          <w:szCs w:val="24"/>
        </w:rPr>
      </w:pPr>
      <w:r w:rsidRPr="00AC4AE1">
        <w:rPr>
          <w:rFonts w:eastAsia="Arial" w:cs="Times New Roman"/>
          <w:spacing w:val="-1"/>
          <w:szCs w:val="24"/>
        </w:rPr>
        <w:t xml:space="preserve">Undertake a comprehensive </w:t>
      </w:r>
      <w:r w:rsidR="00CD0809">
        <w:rPr>
          <w:rFonts w:eastAsia="Arial" w:cs="Times New Roman"/>
          <w:spacing w:val="-1"/>
          <w:szCs w:val="24"/>
        </w:rPr>
        <w:t xml:space="preserve">public </w:t>
      </w:r>
      <w:r w:rsidRPr="00AC4AE1">
        <w:rPr>
          <w:rFonts w:eastAsia="Arial" w:cs="Times New Roman"/>
          <w:spacing w:val="-1"/>
          <w:szCs w:val="24"/>
        </w:rPr>
        <w:t>sector reform involving Ministries/Institutions involved in land governance. These should help in evolving a regulatory and institutional framework that could make the land market more efficient.</w:t>
      </w:r>
    </w:p>
    <w:p w:rsidR="00A356FA" w:rsidRPr="00AC4AE1" w:rsidRDefault="00A356FA" w:rsidP="00D6486D">
      <w:pPr>
        <w:pStyle w:val="ListParagraph"/>
        <w:numPr>
          <w:ilvl w:val="0"/>
          <w:numId w:val="49"/>
        </w:numPr>
        <w:spacing w:before="38" w:after="200" w:line="276" w:lineRule="auto"/>
        <w:ind w:left="360" w:right="50"/>
        <w:jc w:val="both"/>
        <w:rPr>
          <w:rFonts w:eastAsia="Arial" w:cs="Times New Roman"/>
          <w:spacing w:val="-1"/>
          <w:szCs w:val="24"/>
        </w:rPr>
      </w:pPr>
      <w:r w:rsidRPr="00AC4AE1">
        <w:rPr>
          <w:rFonts w:eastAsia="Arial" w:cs="Times New Roman"/>
          <w:spacing w:val="-1"/>
          <w:szCs w:val="24"/>
        </w:rPr>
        <w:t xml:space="preserve">Computerization of the processes and use of technology in AC Land, the sub-registrar’s office, and the land survey under the e-Government program should be of highest priority.  The target should be accessibility of information to the citizen, reducing unnecessary steps.   However, it needs to be ensured that there is clear links between the different agencies so that desired results can be obtained.  </w:t>
      </w:r>
    </w:p>
    <w:p w:rsidR="00A356FA" w:rsidRPr="00CD0809" w:rsidRDefault="00F64A6A" w:rsidP="00D6486D">
      <w:pPr>
        <w:pStyle w:val="ListParagraph"/>
        <w:numPr>
          <w:ilvl w:val="0"/>
          <w:numId w:val="49"/>
        </w:numPr>
        <w:spacing w:before="38" w:after="200" w:line="276" w:lineRule="auto"/>
        <w:ind w:left="360" w:right="50"/>
        <w:jc w:val="both"/>
        <w:rPr>
          <w:rFonts w:eastAsia="Arial" w:cs="Times New Roman"/>
          <w:spacing w:val="-1"/>
          <w:szCs w:val="24"/>
          <w:u w:val="single"/>
        </w:rPr>
      </w:pPr>
      <w:r w:rsidRPr="00F64A6A">
        <w:rPr>
          <w:rFonts w:cs="Times New Roman"/>
          <w:bCs/>
          <w:szCs w:val="24"/>
          <w:u w:val="single"/>
        </w:rPr>
        <w:t>The modernization of land management through</w:t>
      </w:r>
      <w:r w:rsidRPr="00F64A6A">
        <w:rPr>
          <w:rFonts w:cs="Times New Roman"/>
          <w:szCs w:val="24"/>
          <w:u w:val="single"/>
        </w:rPr>
        <w:t xml:space="preserve"> Digital Land Management System (DLMS) will have to be implemented with the objectives: </w:t>
      </w:r>
    </w:p>
    <w:p w:rsidR="00A356FA" w:rsidRPr="00CD0809" w:rsidRDefault="00F64A6A" w:rsidP="00D6486D">
      <w:pPr>
        <w:pStyle w:val="ListParagraph"/>
        <w:numPr>
          <w:ilvl w:val="0"/>
          <w:numId w:val="53"/>
        </w:numPr>
        <w:spacing w:after="40" w:line="276" w:lineRule="auto"/>
        <w:ind w:left="360"/>
        <w:jc w:val="both"/>
        <w:rPr>
          <w:rFonts w:eastAsia="Times New Roman" w:cs="Times New Roman"/>
          <w:szCs w:val="24"/>
          <w:u w:val="single"/>
        </w:rPr>
      </w:pPr>
      <w:r w:rsidRPr="00F64A6A">
        <w:rPr>
          <w:rFonts w:eastAsia="Times New Roman" w:cs="Times New Roman"/>
          <w:szCs w:val="24"/>
          <w:u w:val="single"/>
        </w:rPr>
        <w:t>Land use policy should ensure delivery of land related services to the people through modernized and efficient land administration.</w:t>
      </w:r>
    </w:p>
    <w:p w:rsidR="00A356FA" w:rsidRPr="00CD0809" w:rsidRDefault="00F64A6A" w:rsidP="00D6486D">
      <w:pPr>
        <w:pStyle w:val="ListParagraph"/>
        <w:numPr>
          <w:ilvl w:val="0"/>
          <w:numId w:val="46"/>
        </w:numPr>
        <w:tabs>
          <w:tab w:val="left" w:pos="1980"/>
        </w:tabs>
        <w:spacing w:after="40" w:line="276" w:lineRule="auto"/>
        <w:ind w:left="360"/>
        <w:jc w:val="both"/>
        <w:rPr>
          <w:rFonts w:cs="Times New Roman"/>
          <w:szCs w:val="24"/>
          <w:u w:val="single"/>
          <w:lang w:eastAsia="en-IN"/>
        </w:rPr>
      </w:pPr>
      <w:r w:rsidRPr="00F64A6A">
        <w:rPr>
          <w:rFonts w:cs="Times New Roman"/>
          <w:szCs w:val="24"/>
          <w:u w:val="single"/>
          <w:lang w:eastAsia="en-IN"/>
        </w:rPr>
        <w:t xml:space="preserve">Strengthening Access to Land and Property Rights to all Citizens of Bangladesh through development of Digital Information System (DIS) to Ensure Proper and Planned wise Land Use. </w:t>
      </w:r>
    </w:p>
    <w:p w:rsidR="00A356FA" w:rsidRPr="00CD0809" w:rsidRDefault="00F64A6A" w:rsidP="00D6486D">
      <w:pPr>
        <w:pStyle w:val="ListParagraph"/>
        <w:numPr>
          <w:ilvl w:val="0"/>
          <w:numId w:val="46"/>
        </w:numPr>
        <w:tabs>
          <w:tab w:val="left" w:pos="1980"/>
        </w:tabs>
        <w:spacing w:after="40" w:line="276" w:lineRule="auto"/>
        <w:ind w:left="360"/>
        <w:rPr>
          <w:rFonts w:cs="Times New Roman"/>
          <w:szCs w:val="24"/>
          <w:u w:val="single"/>
          <w:lang w:eastAsia="en-IN"/>
        </w:rPr>
      </w:pPr>
      <w:r w:rsidRPr="00F64A6A">
        <w:rPr>
          <w:rFonts w:cs="Times New Roman"/>
          <w:szCs w:val="24"/>
          <w:u w:val="single"/>
        </w:rPr>
        <w:t>To develop Digital technique for the preparation of design and khatian using modern equipment (GPS, ETS, Data Recorder, Computer, Map Processor, Software, Platter, Printer etc.)</w:t>
      </w:r>
    </w:p>
    <w:p w:rsidR="00A356FA" w:rsidRPr="00AC4AE1" w:rsidRDefault="00A356FA" w:rsidP="00D6486D">
      <w:pPr>
        <w:pStyle w:val="ListParagraph"/>
        <w:numPr>
          <w:ilvl w:val="0"/>
          <w:numId w:val="46"/>
        </w:numPr>
        <w:tabs>
          <w:tab w:val="left" w:pos="1980"/>
        </w:tabs>
        <w:spacing w:after="40" w:line="276" w:lineRule="auto"/>
        <w:ind w:left="360"/>
        <w:jc w:val="both"/>
        <w:rPr>
          <w:rFonts w:cs="Times New Roman"/>
          <w:szCs w:val="24"/>
          <w:lang w:eastAsia="en-IN"/>
        </w:rPr>
      </w:pPr>
      <w:r w:rsidRPr="00AC4AE1">
        <w:rPr>
          <w:rFonts w:cs="Times New Roman"/>
          <w:szCs w:val="24"/>
        </w:rPr>
        <w:t>Strengthening governance management for land resources;</w:t>
      </w:r>
    </w:p>
    <w:p w:rsidR="00A356FA" w:rsidRPr="00AC4AE1" w:rsidRDefault="00A356FA" w:rsidP="00D6486D">
      <w:pPr>
        <w:pStyle w:val="ListParagraph"/>
        <w:numPr>
          <w:ilvl w:val="0"/>
          <w:numId w:val="46"/>
        </w:numPr>
        <w:tabs>
          <w:tab w:val="left" w:pos="1980"/>
        </w:tabs>
        <w:spacing w:after="40" w:line="276" w:lineRule="auto"/>
        <w:ind w:left="360"/>
        <w:jc w:val="both"/>
        <w:rPr>
          <w:rFonts w:cs="Times New Roman"/>
          <w:szCs w:val="24"/>
          <w:lang w:eastAsia="en-IN"/>
        </w:rPr>
      </w:pPr>
      <w:r w:rsidRPr="00AC4AE1">
        <w:rPr>
          <w:rFonts w:cs="Times New Roman"/>
          <w:szCs w:val="24"/>
        </w:rPr>
        <w:t>Computerization of Existing Mouza maps and khatian;</w:t>
      </w:r>
    </w:p>
    <w:p w:rsidR="00A356FA" w:rsidRPr="00AC4AE1" w:rsidRDefault="00A356FA" w:rsidP="00D6486D">
      <w:pPr>
        <w:pStyle w:val="ListParagraph"/>
        <w:numPr>
          <w:ilvl w:val="0"/>
          <w:numId w:val="46"/>
        </w:numPr>
        <w:tabs>
          <w:tab w:val="left" w:pos="1980"/>
        </w:tabs>
        <w:spacing w:after="40" w:line="276" w:lineRule="auto"/>
        <w:ind w:left="360"/>
        <w:jc w:val="both"/>
        <w:rPr>
          <w:rFonts w:cs="Times New Roman"/>
          <w:szCs w:val="24"/>
          <w:lang w:eastAsia="en-IN"/>
        </w:rPr>
      </w:pPr>
      <w:r w:rsidRPr="00AC4AE1">
        <w:rPr>
          <w:rFonts w:cs="Times New Roman"/>
          <w:szCs w:val="24"/>
        </w:rPr>
        <w:t>Strengthening Access to Land and Property Rights to all Citizens of the country;</w:t>
      </w:r>
    </w:p>
    <w:p w:rsidR="00A356FA" w:rsidRPr="00AC4AE1" w:rsidRDefault="00A356FA" w:rsidP="00D6486D">
      <w:pPr>
        <w:pStyle w:val="ListParagraph"/>
        <w:numPr>
          <w:ilvl w:val="0"/>
          <w:numId w:val="46"/>
        </w:numPr>
        <w:tabs>
          <w:tab w:val="left" w:pos="1980"/>
        </w:tabs>
        <w:spacing w:after="40" w:line="276" w:lineRule="auto"/>
        <w:ind w:left="360"/>
        <w:jc w:val="both"/>
        <w:rPr>
          <w:rFonts w:cs="Times New Roman"/>
          <w:szCs w:val="24"/>
          <w:lang w:eastAsia="en-IN"/>
        </w:rPr>
      </w:pPr>
      <w:r w:rsidRPr="00AC4AE1">
        <w:rPr>
          <w:rFonts w:cs="Times New Roman"/>
          <w:szCs w:val="24"/>
        </w:rPr>
        <w:t>To ensure proper and plan wise Land Use;</w:t>
      </w:r>
    </w:p>
    <w:p w:rsidR="00262E47" w:rsidRPr="00974AEB" w:rsidRDefault="00A356FA" w:rsidP="00974AEB">
      <w:pPr>
        <w:pStyle w:val="ListParagraph"/>
        <w:numPr>
          <w:ilvl w:val="0"/>
          <w:numId w:val="46"/>
        </w:numPr>
        <w:tabs>
          <w:tab w:val="left" w:pos="1980"/>
        </w:tabs>
        <w:spacing w:after="40" w:line="276" w:lineRule="auto"/>
        <w:ind w:left="360"/>
        <w:jc w:val="both"/>
        <w:rPr>
          <w:rFonts w:cs="Times New Roman"/>
          <w:szCs w:val="24"/>
          <w:lang w:eastAsia="en-IN"/>
        </w:rPr>
      </w:pPr>
      <w:r w:rsidRPr="00AC4AE1">
        <w:rPr>
          <w:rFonts w:cs="Times New Roman"/>
          <w:szCs w:val="24"/>
        </w:rPr>
        <w:t>To create authentic land record, it may be established with joint venture of AC (Land), settlements and Sub-Registry.</w:t>
      </w:r>
    </w:p>
    <w:p w:rsidR="00DC02C7" w:rsidRDefault="00DC02C7" w:rsidP="00572761">
      <w:pPr>
        <w:pStyle w:val="ListParagraph"/>
        <w:tabs>
          <w:tab w:val="left" w:pos="1980"/>
        </w:tabs>
        <w:spacing w:after="40"/>
        <w:ind w:left="360" w:hanging="360"/>
        <w:jc w:val="both"/>
        <w:rPr>
          <w:rFonts w:cs="Times New Roman"/>
          <w:b/>
          <w:szCs w:val="24"/>
          <w:lang w:eastAsia="en-IN"/>
        </w:rPr>
      </w:pPr>
    </w:p>
    <w:p w:rsidR="00A356FA" w:rsidRPr="004B0A08" w:rsidRDefault="00262E47" w:rsidP="00572761">
      <w:pPr>
        <w:pStyle w:val="ListParagraph"/>
        <w:tabs>
          <w:tab w:val="left" w:pos="1980"/>
        </w:tabs>
        <w:spacing w:after="40"/>
        <w:ind w:left="360" w:hanging="360"/>
        <w:jc w:val="both"/>
        <w:rPr>
          <w:rFonts w:cs="Times New Roman"/>
          <w:b/>
          <w:szCs w:val="24"/>
          <w:lang w:eastAsia="en-IN"/>
        </w:rPr>
      </w:pPr>
      <w:r w:rsidRPr="004B0A08">
        <w:rPr>
          <w:rFonts w:cs="Times New Roman"/>
          <w:b/>
          <w:szCs w:val="24"/>
          <w:lang w:eastAsia="en-IN"/>
        </w:rPr>
        <w:t>Strategy: Improve/formulate a new National Land Use Policy</w:t>
      </w:r>
    </w:p>
    <w:p w:rsidR="00262E47" w:rsidRPr="00AC4AE1" w:rsidRDefault="00262E47" w:rsidP="00572761">
      <w:pPr>
        <w:pStyle w:val="ListParagraph"/>
        <w:tabs>
          <w:tab w:val="left" w:pos="1980"/>
        </w:tabs>
        <w:spacing w:after="40"/>
        <w:ind w:left="360" w:hanging="360"/>
        <w:jc w:val="both"/>
        <w:rPr>
          <w:rFonts w:cs="Times New Roman"/>
          <w:szCs w:val="24"/>
          <w:lang w:eastAsia="en-IN"/>
        </w:rPr>
      </w:pPr>
    </w:p>
    <w:p w:rsidR="00A356FA" w:rsidRPr="00AC4AE1" w:rsidRDefault="00A356FA" w:rsidP="00D6486D">
      <w:pPr>
        <w:pStyle w:val="ListParagraph"/>
        <w:numPr>
          <w:ilvl w:val="0"/>
          <w:numId w:val="49"/>
        </w:numPr>
        <w:spacing w:line="276" w:lineRule="auto"/>
        <w:ind w:left="360" w:right="43"/>
        <w:jc w:val="both"/>
        <w:rPr>
          <w:rFonts w:eastAsia="Arial" w:cs="Times New Roman"/>
          <w:spacing w:val="-1"/>
          <w:szCs w:val="24"/>
        </w:rPr>
      </w:pPr>
      <w:r w:rsidRPr="00AC4AE1">
        <w:rPr>
          <w:rFonts w:eastAsia="Arial" w:cs="Times New Roman"/>
          <w:spacing w:val="-1"/>
          <w:szCs w:val="24"/>
        </w:rPr>
        <w:t>The National Land Use Policy needs to be revisited, and if required a new policy that will be applicable across the Ministry of Land (MOL) and Ministry of Law and justice (MOLJ) along with other Ministries (Urban, roads, water etc.) should be adopted.  Of particular importance will be to ensure effective across institutions communications, particularly to ensure that information can get automatically updated limiting human interaction between officials of institutions and the citizens.  The Land Use Policy should explicitly recognize that competing demand of food security and the need for poverty alleviation, creating jobs and providing housing, infrastructure.  In this context:</w:t>
      </w:r>
    </w:p>
    <w:p w:rsidR="00A356FA" w:rsidRPr="00AC4AE1" w:rsidRDefault="00A356FA" w:rsidP="00D6486D">
      <w:pPr>
        <w:pStyle w:val="ListParagraph"/>
        <w:numPr>
          <w:ilvl w:val="0"/>
          <w:numId w:val="53"/>
        </w:numPr>
        <w:spacing w:after="40" w:line="276" w:lineRule="auto"/>
        <w:ind w:left="360"/>
        <w:jc w:val="both"/>
        <w:rPr>
          <w:rFonts w:eastAsia="Times New Roman" w:cs="Times New Roman"/>
          <w:szCs w:val="24"/>
        </w:rPr>
      </w:pPr>
      <w:r w:rsidRPr="00AC4AE1">
        <w:rPr>
          <w:rFonts w:eastAsia="Times New Roman" w:cs="Times New Roman"/>
          <w:szCs w:val="24"/>
        </w:rPr>
        <w:lastRenderedPageBreak/>
        <w:t>Policy should support value added use of accreted land along major rivers as well as reclaimed land along the coastal zone that can effectively answer long-term urban, infrastructure and industry needs.</w:t>
      </w:r>
    </w:p>
    <w:p w:rsidR="00A356FA" w:rsidRPr="00AC4AE1" w:rsidRDefault="00A356FA" w:rsidP="00D6486D">
      <w:pPr>
        <w:pStyle w:val="ListParagraph"/>
        <w:numPr>
          <w:ilvl w:val="0"/>
          <w:numId w:val="53"/>
        </w:numPr>
        <w:spacing w:after="40" w:line="276" w:lineRule="auto"/>
        <w:ind w:left="360"/>
        <w:jc w:val="both"/>
        <w:rPr>
          <w:rFonts w:eastAsia="Times New Roman" w:cs="Times New Roman"/>
          <w:szCs w:val="24"/>
        </w:rPr>
      </w:pPr>
      <w:r w:rsidRPr="00AC4AE1">
        <w:rPr>
          <w:rFonts w:eastAsia="Times New Roman" w:cs="Times New Roman"/>
          <w:szCs w:val="24"/>
        </w:rPr>
        <w:t>Growth center based development activities to be included in the land use policy of the rural areas for optimal utilization of land;</w:t>
      </w:r>
    </w:p>
    <w:p w:rsidR="00A356FA" w:rsidRPr="00AC4AE1" w:rsidRDefault="00A356FA" w:rsidP="00D6486D">
      <w:pPr>
        <w:pStyle w:val="ListParagraph"/>
        <w:numPr>
          <w:ilvl w:val="0"/>
          <w:numId w:val="53"/>
        </w:numPr>
        <w:spacing w:after="40" w:line="276" w:lineRule="auto"/>
        <w:ind w:left="360"/>
        <w:jc w:val="both"/>
        <w:rPr>
          <w:rFonts w:eastAsia="Times New Roman" w:cs="Times New Roman"/>
          <w:szCs w:val="24"/>
        </w:rPr>
      </w:pPr>
      <w:r w:rsidRPr="00AC4AE1">
        <w:rPr>
          <w:rFonts w:eastAsia="Times New Roman" w:cs="Times New Roman"/>
          <w:szCs w:val="24"/>
        </w:rPr>
        <w:t>Consider the case for introducing some sort of land ceiling for homestead in both urban and rural areas, particularly through compact township;</w:t>
      </w:r>
    </w:p>
    <w:p w:rsidR="00A356FA" w:rsidRPr="00AC4AE1" w:rsidRDefault="00A356FA" w:rsidP="00D6486D">
      <w:pPr>
        <w:pStyle w:val="ListParagraph"/>
        <w:numPr>
          <w:ilvl w:val="0"/>
          <w:numId w:val="53"/>
        </w:numPr>
        <w:spacing w:after="40" w:line="276" w:lineRule="auto"/>
        <w:ind w:left="360"/>
        <w:jc w:val="both"/>
        <w:rPr>
          <w:rFonts w:eastAsia="Times New Roman" w:cs="Times New Roman"/>
          <w:szCs w:val="24"/>
        </w:rPr>
      </w:pPr>
      <w:r w:rsidRPr="00AC4AE1">
        <w:rPr>
          <w:rFonts w:eastAsia="Times New Roman" w:cs="Times New Roman"/>
          <w:szCs w:val="24"/>
        </w:rPr>
        <w:t xml:space="preserve">Land use policy should ensure proper management of saltmahal, jalmahal, balumahal and other mahals for poverty reduction. On the other hand it should ensure protection and conservation of wet lands, hilly areas, tea gardens, heritages, and rubber gardens including coastal land; </w:t>
      </w:r>
    </w:p>
    <w:p w:rsidR="00A356FA" w:rsidRPr="00AC4AE1" w:rsidRDefault="00A356FA" w:rsidP="00D6486D">
      <w:pPr>
        <w:pStyle w:val="ListParagraph"/>
        <w:numPr>
          <w:ilvl w:val="0"/>
          <w:numId w:val="53"/>
        </w:numPr>
        <w:spacing w:after="40" w:line="276" w:lineRule="auto"/>
        <w:ind w:left="360"/>
        <w:jc w:val="both"/>
        <w:rPr>
          <w:rFonts w:eastAsia="Times New Roman" w:cs="Times New Roman"/>
          <w:szCs w:val="24"/>
        </w:rPr>
      </w:pPr>
      <w:r w:rsidRPr="00AC4AE1">
        <w:rPr>
          <w:rFonts w:eastAsia="Times New Roman" w:cs="Times New Roman"/>
          <w:szCs w:val="24"/>
        </w:rPr>
        <w:t>Policy should include a provision to ensure environmental protection and protection from the adverse effects on climate change on global warming;</w:t>
      </w:r>
    </w:p>
    <w:p w:rsidR="00A356FA" w:rsidRPr="00AC4AE1" w:rsidRDefault="00A356FA" w:rsidP="00D6486D">
      <w:pPr>
        <w:pStyle w:val="ListParagraph"/>
        <w:numPr>
          <w:ilvl w:val="0"/>
          <w:numId w:val="53"/>
        </w:numPr>
        <w:spacing w:after="40" w:line="276" w:lineRule="auto"/>
        <w:ind w:left="360"/>
        <w:jc w:val="both"/>
        <w:rPr>
          <w:rFonts w:eastAsia="Times New Roman" w:cs="Times New Roman"/>
          <w:szCs w:val="24"/>
        </w:rPr>
      </w:pPr>
      <w:r w:rsidRPr="00AC4AE1">
        <w:rPr>
          <w:rFonts w:eastAsia="Times New Roman" w:cs="Times New Roman"/>
          <w:szCs w:val="24"/>
        </w:rPr>
        <w:t xml:space="preserve"> Policy should also focus on development and management of protected areas such as eco parks, botanical garden and safari park under a reformed legal framework.</w:t>
      </w:r>
    </w:p>
    <w:p w:rsidR="00A356FA" w:rsidRPr="00F52F97" w:rsidRDefault="00A356FA" w:rsidP="00DC02C7">
      <w:pPr>
        <w:spacing w:after="0" w:line="271" w:lineRule="auto"/>
        <w:jc w:val="both"/>
        <w:rPr>
          <w:rFonts w:cs="Times New Roman"/>
          <w:bCs/>
          <w:szCs w:val="24"/>
        </w:rPr>
      </w:pPr>
    </w:p>
    <w:p w:rsidR="00E109C3" w:rsidRDefault="00E109C3" w:rsidP="00DC02C7">
      <w:pPr>
        <w:spacing w:after="200" w:line="271" w:lineRule="auto"/>
        <w:jc w:val="both"/>
        <w:rPr>
          <w:rFonts w:cs="Times New Roman"/>
          <w:bCs/>
        </w:rPr>
      </w:pPr>
      <w:r>
        <w:rPr>
          <w:rFonts w:cs="Times New Roman"/>
          <w:b/>
          <w:bCs/>
          <w:i/>
        </w:rPr>
        <w:t xml:space="preserve">Strategy: </w:t>
      </w:r>
      <w:r w:rsidRPr="00C26B99">
        <w:rPr>
          <w:rFonts w:cs="Times New Roman"/>
          <w:b/>
          <w:bCs/>
          <w:i/>
        </w:rPr>
        <w:t>Review and updating/enactment of Laws/Regulations relating to Alluvion and Diluvion to improve efficiency of land administration of accreting and reclaimed land.</w:t>
      </w:r>
      <w:r w:rsidRPr="008939E3">
        <w:rPr>
          <w:rFonts w:cs="Times New Roman"/>
          <w:bCs/>
        </w:rPr>
        <w:t xml:space="preserve"> </w:t>
      </w:r>
    </w:p>
    <w:p w:rsidR="00E109C3" w:rsidRDefault="00E109C3" w:rsidP="00F52F97">
      <w:pPr>
        <w:pStyle w:val="ListParagraph"/>
        <w:spacing w:line="271" w:lineRule="auto"/>
        <w:ind w:left="0"/>
        <w:jc w:val="both"/>
        <w:rPr>
          <w:rFonts w:cs="Times New Roman"/>
          <w:szCs w:val="24"/>
        </w:rPr>
      </w:pPr>
      <w:r w:rsidRPr="00F52F97">
        <w:rPr>
          <w:rFonts w:cs="Times New Roman"/>
          <w:bCs/>
          <w:szCs w:val="24"/>
        </w:rPr>
        <w:t xml:space="preserve">Increased land availability through accretion/land reclamation in the Meghna Estuary, toward sea and coastal region. </w:t>
      </w:r>
      <w:r w:rsidRPr="00F52F97">
        <w:rPr>
          <w:rFonts w:cs="Times New Roman"/>
          <w:szCs w:val="24"/>
        </w:rPr>
        <w:t>The land loss due to sea level rise and river bank erosion may be overcome by new land formation toward sea through land reclamation, construction of closure, cross dams which may be accelerated with nature techniques for stabilization through protection of pioneer (mangrove) vegetation. Acceleration of the land accretion process and optimum use of these coastal lands would significantly contribute to the regional economy and wellbeing of the local people. Land zoning is one instrument that could help optimize the use of accreted coastal lands.  Besides all accreted and reclaimed land should be put to value added used particularly for urban and industrial needs with necessary infrastructure like dikes, high quality road, rail, water transport mode connection, and with adequate power and energy supply.  The actual choice of such value added sites should be on the basis of feasibility and where feasible PPP options should be sought.</w:t>
      </w:r>
    </w:p>
    <w:p w:rsidR="00F52F97" w:rsidRPr="00F52F97" w:rsidRDefault="00F52F97" w:rsidP="00F52F97">
      <w:pPr>
        <w:pStyle w:val="ListParagraph"/>
        <w:spacing w:line="271" w:lineRule="auto"/>
        <w:ind w:left="0"/>
        <w:jc w:val="both"/>
        <w:rPr>
          <w:rFonts w:cs="Times New Roman"/>
          <w:bCs/>
          <w:szCs w:val="24"/>
        </w:rPr>
      </w:pPr>
    </w:p>
    <w:p w:rsidR="00A356FA" w:rsidRPr="00AC4AE1" w:rsidRDefault="00A356FA" w:rsidP="00F52F97">
      <w:pPr>
        <w:pStyle w:val="ListParagraph"/>
        <w:spacing w:before="240" w:after="200" w:line="271" w:lineRule="auto"/>
        <w:ind w:left="0"/>
        <w:jc w:val="both"/>
        <w:rPr>
          <w:rFonts w:cs="Times New Roman"/>
          <w:bCs/>
        </w:rPr>
      </w:pPr>
      <w:r w:rsidRPr="00AC4AE1">
        <w:rPr>
          <w:rFonts w:cs="Times New Roman"/>
          <w:bCs/>
        </w:rPr>
        <w:t>In this context it will be importan</w:t>
      </w:r>
      <w:r w:rsidR="00864802">
        <w:rPr>
          <w:rFonts w:cs="Times New Roman"/>
          <w:bCs/>
        </w:rPr>
        <w:t xml:space="preserve">t that along with the laws and </w:t>
      </w:r>
      <w:r w:rsidRPr="00AC4AE1">
        <w:rPr>
          <w:rFonts w:cs="Times New Roman"/>
          <w:bCs/>
        </w:rPr>
        <w:t>regulations there should also be reforms in the processes in land administration, part</w:t>
      </w:r>
      <w:r w:rsidR="00864802">
        <w:rPr>
          <w:rFonts w:cs="Times New Roman"/>
          <w:bCs/>
        </w:rPr>
        <w:t xml:space="preserve">icularly reforms in ensuring a </w:t>
      </w:r>
      <w:r w:rsidRPr="00AC4AE1">
        <w:rPr>
          <w:rFonts w:cs="Times New Roman"/>
          <w:bCs/>
        </w:rPr>
        <w:t>faster survey of accreting land.  The reformed laws should support zoning of the land based optimizing land use and value added land use of the accreted land.</w:t>
      </w:r>
    </w:p>
    <w:p w:rsidR="00A356FA" w:rsidRPr="00F52F97" w:rsidRDefault="00A356FA" w:rsidP="00572761">
      <w:pPr>
        <w:pStyle w:val="ListParagraph"/>
        <w:spacing w:line="271" w:lineRule="auto"/>
        <w:ind w:left="360" w:hanging="360"/>
        <w:jc w:val="both"/>
        <w:rPr>
          <w:rFonts w:cs="Times New Roman"/>
          <w:bCs/>
          <w:sz w:val="8"/>
          <w:szCs w:val="24"/>
        </w:rPr>
      </w:pPr>
    </w:p>
    <w:p w:rsidR="00E109C3" w:rsidRPr="00F52F97" w:rsidRDefault="00E109C3" w:rsidP="00E109C3">
      <w:pPr>
        <w:spacing w:after="120"/>
        <w:jc w:val="both"/>
        <w:rPr>
          <w:rFonts w:cs="Segoe UI"/>
          <w:b/>
          <w:bCs/>
          <w:i/>
          <w:szCs w:val="19"/>
        </w:rPr>
      </w:pPr>
      <w:r w:rsidRPr="00F52F97">
        <w:rPr>
          <w:rFonts w:cs="Segoe UI"/>
          <w:b/>
          <w:bCs/>
          <w:i/>
          <w:szCs w:val="19"/>
        </w:rPr>
        <w:t>Strategy: Formulation of necessary laws and acts to form Land Zoning:</w:t>
      </w:r>
    </w:p>
    <w:p w:rsidR="00E109C3" w:rsidRPr="00F52F97" w:rsidRDefault="00E109C3" w:rsidP="00572761">
      <w:pPr>
        <w:pStyle w:val="ListParagraph"/>
        <w:spacing w:line="271" w:lineRule="auto"/>
        <w:ind w:left="360" w:hanging="360"/>
        <w:jc w:val="both"/>
        <w:rPr>
          <w:rFonts w:cs="Times New Roman"/>
          <w:bCs/>
          <w:sz w:val="14"/>
          <w:szCs w:val="24"/>
        </w:rPr>
      </w:pPr>
    </w:p>
    <w:p w:rsidR="00A356FA" w:rsidRPr="00AC4AE1" w:rsidRDefault="00A356FA" w:rsidP="004B0A08">
      <w:pPr>
        <w:pStyle w:val="ListParagraph"/>
        <w:spacing w:after="200" w:line="271" w:lineRule="auto"/>
        <w:ind w:left="0"/>
        <w:jc w:val="both"/>
        <w:rPr>
          <w:rFonts w:eastAsia="Times New Roman" w:cs="Times New Roman"/>
          <w:szCs w:val="24"/>
        </w:rPr>
      </w:pPr>
      <w:r w:rsidRPr="00AC4AE1">
        <w:rPr>
          <w:rFonts w:cs="Times New Roman"/>
          <w:bCs/>
          <w:szCs w:val="24"/>
        </w:rPr>
        <w:t xml:space="preserve">Land zoning process including formulation of necessary laws and acts need to be accelerated. </w:t>
      </w:r>
      <w:r w:rsidRPr="00AC4AE1">
        <w:rPr>
          <w:rFonts w:cs="Times New Roman"/>
          <w:szCs w:val="24"/>
        </w:rPr>
        <w:t xml:space="preserve">The Government has enacted the Economic Zones Act 2010 to facilitate use of land for industry </w:t>
      </w:r>
      <w:r w:rsidRPr="00AC4AE1">
        <w:rPr>
          <w:rFonts w:cs="Times New Roman"/>
          <w:szCs w:val="24"/>
        </w:rPr>
        <w:lastRenderedPageBreak/>
        <w:t xml:space="preserve">and services.  However, a more articulated policy is required which would lead to zoning of the entire country so that the land use gets distributed optimally to meet the competing and sometimes complementary needs. </w:t>
      </w:r>
      <w:r w:rsidRPr="00AC4AE1">
        <w:rPr>
          <w:rFonts w:eastAsia="Arial" w:cs="Times New Roman"/>
          <w:spacing w:val="-1"/>
          <w:szCs w:val="24"/>
        </w:rPr>
        <w:t xml:space="preserve">In this context it needs to factor in other related laws like Special Economic Zones Act. </w:t>
      </w:r>
      <w:r w:rsidRPr="00AC4AE1">
        <w:rPr>
          <w:rFonts w:eastAsia="Times New Roman" w:cs="Times New Roman"/>
          <w:szCs w:val="24"/>
        </w:rPr>
        <w:t xml:space="preserve">Local government institutions also will have to be strengthened to implement land zoning.  </w:t>
      </w:r>
      <w:r w:rsidRPr="00AC4AE1">
        <w:rPr>
          <w:rFonts w:eastAsia="Arial" w:cs="Times New Roman"/>
          <w:spacing w:val="-1"/>
          <w:szCs w:val="24"/>
        </w:rPr>
        <w:t>More specifically the zoning objectives should be based on optimal utilization of available and also accruing and reclaimed land resources; and the following segments may be considered</w:t>
      </w:r>
      <w:r w:rsidR="00F52F97">
        <w:rPr>
          <w:rFonts w:cs="Times New Roman"/>
          <w:bCs/>
          <w:szCs w:val="24"/>
        </w:rPr>
        <w:t xml:space="preserve"> for land zoning</w:t>
      </w:r>
      <w:r w:rsidRPr="00AC4AE1">
        <w:rPr>
          <w:rFonts w:cs="Times New Roman"/>
          <w:bCs/>
          <w:szCs w:val="24"/>
        </w:rPr>
        <w:t xml:space="preserve"> that should also include coastal area strategies:</w:t>
      </w:r>
    </w:p>
    <w:p w:rsidR="00A356FA" w:rsidRPr="00570EAD" w:rsidRDefault="00A356FA" w:rsidP="00570EAD">
      <w:pPr>
        <w:autoSpaceDE w:val="0"/>
        <w:autoSpaceDN w:val="0"/>
        <w:adjustRightInd w:val="0"/>
        <w:spacing w:line="271" w:lineRule="auto"/>
        <w:jc w:val="both"/>
        <w:rPr>
          <w:rFonts w:cs="Times New Roman"/>
          <w:bCs/>
          <w:i/>
          <w:szCs w:val="24"/>
        </w:rPr>
      </w:pPr>
      <w:r w:rsidRPr="00570EAD">
        <w:rPr>
          <w:rFonts w:cs="Times New Roman"/>
          <w:bCs/>
          <w:i/>
          <w:szCs w:val="24"/>
        </w:rPr>
        <w:t xml:space="preserve">Zones for Manufacturing and </w:t>
      </w:r>
      <w:r w:rsidR="00E109C3">
        <w:rPr>
          <w:rFonts w:cs="Times New Roman"/>
          <w:bCs/>
          <w:i/>
          <w:szCs w:val="24"/>
        </w:rPr>
        <w:t>S</w:t>
      </w:r>
      <w:r w:rsidRPr="00570EAD">
        <w:rPr>
          <w:rFonts w:cs="Times New Roman"/>
          <w:bCs/>
          <w:i/>
          <w:szCs w:val="24"/>
        </w:rPr>
        <w:t xml:space="preserve">ervice </w:t>
      </w:r>
      <w:r w:rsidR="00E109C3">
        <w:rPr>
          <w:rFonts w:cs="Times New Roman"/>
          <w:bCs/>
          <w:i/>
          <w:szCs w:val="24"/>
        </w:rPr>
        <w:t>I</w:t>
      </w:r>
      <w:r w:rsidRPr="00570EAD">
        <w:rPr>
          <w:rFonts w:cs="Times New Roman"/>
          <w:bCs/>
          <w:i/>
          <w:szCs w:val="24"/>
        </w:rPr>
        <w:t>ndustry, and new Urban Centers:</w:t>
      </w:r>
    </w:p>
    <w:p w:rsidR="00A356FA" w:rsidRPr="00AC4AE1" w:rsidRDefault="00A356FA" w:rsidP="00D6486D">
      <w:pPr>
        <w:pStyle w:val="ListParagraph"/>
        <w:numPr>
          <w:ilvl w:val="0"/>
          <w:numId w:val="51"/>
        </w:numPr>
        <w:autoSpaceDE w:val="0"/>
        <w:autoSpaceDN w:val="0"/>
        <w:adjustRightInd w:val="0"/>
        <w:spacing w:before="240" w:after="0" w:line="271" w:lineRule="auto"/>
        <w:ind w:left="360"/>
        <w:jc w:val="both"/>
        <w:rPr>
          <w:rFonts w:cs="Times New Roman"/>
          <w:bCs/>
          <w:szCs w:val="24"/>
        </w:rPr>
      </w:pPr>
      <w:r w:rsidRPr="00AC4AE1">
        <w:rPr>
          <w:rFonts w:cs="Times New Roman"/>
          <w:bCs/>
          <w:szCs w:val="24"/>
        </w:rPr>
        <w:t xml:space="preserve">Implement new Special Economic Zones 2010 for Industry and related urbanization in areas where there is single cropland and also newly accreting land and land reclaimed in coastal zones, backed up proper infrastructure development to support setting up of those zones. </w:t>
      </w:r>
    </w:p>
    <w:p w:rsidR="00A356FA" w:rsidRDefault="00E109C3" w:rsidP="00D6486D">
      <w:pPr>
        <w:pStyle w:val="ListParagraph"/>
        <w:numPr>
          <w:ilvl w:val="0"/>
          <w:numId w:val="51"/>
        </w:numPr>
        <w:autoSpaceDE w:val="0"/>
        <w:autoSpaceDN w:val="0"/>
        <w:adjustRightInd w:val="0"/>
        <w:spacing w:after="0" w:line="271" w:lineRule="auto"/>
        <w:ind w:left="360"/>
        <w:jc w:val="both"/>
        <w:rPr>
          <w:rFonts w:cs="Times New Roman"/>
          <w:bCs/>
          <w:szCs w:val="24"/>
        </w:rPr>
      </w:pPr>
      <w:r>
        <w:rPr>
          <w:rFonts w:cs="Times New Roman"/>
          <w:bCs/>
          <w:szCs w:val="24"/>
        </w:rPr>
        <w:t xml:space="preserve">Create </w:t>
      </w:r>
      <w:r w:rsidR="00A356FA" w:rsidRPr="00AC4AE1">
        <w:rPr>
          <w:rFonts w:cs="Times New Roman"/>
          <w:bCs/>
          <w:szCs w:val="24"/>
        </w:rPr>
        <w:t>Tourism Zones</w:t>
      </w:r>
      <w:r w:rsidR="00F50CD9">
        <w:rPr>
          <w:rFonts w:cs="Times New Roman"/>
          <w:bCs/>
          <w:szCs w:val="24"/>
        </w:rPr>
        <w:t>.</w:t>
      </w:r>
    </w:p>
    <w:p w:rsidR="00CD0809" w:rsidRPr="00AC4AE1" w:rsidRDefault="00CD0809" w:rsidP="00D6486D">
      <w:pPr>
        <w:pStyle w:val="ListParagraph"/>
        <w:numPr>
          <w:ilvl w:val="0"/>
          <w:numId w:val="51"/>
        </w:numPr>
        <w:autoSpaceDE w:val="0"/>
        <w:autoSpaceDN w:val="0"/>
        <w:adjustRightInd w:val="0"/>
        <w:spacing w:after="0" w:line="271" w:lineRule="auto"/>
        <w:ind w:left="360"/>
        <w:jc w:val="both"/>
        <w:rPr>
          <w:rFonts w:cs="Times New Roman"/>
          <w:bCs/>
          <w:szCs w:val="24"/>
        </w:rPr>
      </w:pPr>
      <w:r>
        <w:rPr>
          <w:rFonts w:cs="Times New Roman"/>
          <w:bCs/>
          <w:szCs w:val="24"/>
        </w:rPr>
        <w:t>Well-off  rural households may be encouraged to go for vertical expansion of their houses</w:t>
      </w:r>
      <w:r w:rsidR="00F50CD9">
        <w:rPr>
          <w:rFonts w:cs="Times New Roman"/>
          <w:bCs/>
          <w:szCs w:val="24"/>
        </w:rPr>
        <w:t>.</w:t>
      </w:r>
    </w:p>
    <w:p w:rsidR="00950E3B" w:rsidRPr="0095061D" w:rsidRDefault="00950E3B" w:rsidP="0095061D">
      <w:pPr>
        <w:autoSpaceDE w:val="0"/>
        <w:autoSpaceDN w:val="0"/>
        <w:adjustRightInd w:val="0"/>
        <w:spacing w:after="0" w:line="271" w:lineRule="auto"/>
        <w:jc w:val="both"/>
        <w:rPr>
          <w:rFonts w:cs="Times New Roman"/>
          <w:bCs/>
          <w:i/>
          <w:szCs w:val="24"/>
        </w:rPr>
      </w:pPr>
    </w:p>
    <w:p w:rsidR="00A356FA" w:rsidRPr="005E63C0" w:rsidRDefault="00A356FA" w:rsidP="005E63C0">
      <w:pPr>
        <w:autoSpaceDE w:val="0"/>
        <w:autoSpaceDN w:val="0"/>
        <w:adjustRightInd w:val="0"/>
        <w:spacing w:after="120" w:line="271" w:lineRule="auto"/>
        <w:jc w:val="both"/>
        <w:rPr>
          <w:rFonts w:cs="Times New Roman"/>
          <w:bCs/>
          <w:i/>
          <w:szCs w:val="24"/>
        </w:rPr>
      </w:pPr>
      <w:r w:rsidRPr="005E63C0">
        <w:rPr>
          <w:rFonts w:cs="Times New Roman"/>
          <w:bCs/>
          <w:i/>
          <w:szCs w:val="24"/>
        </w:rPr>
        <w:t>For Agriculture and Food Security:</w:t>
      </w:r>
    </w:p>
    <w:p w:rsidR="00A356FA" w:rsidRPr="00AC4AE1" w:rsidRDefault="00A356FA" w:rsidP="00D6486D">
      <w:pPr>
        <w:pStyle w:val="ListParagraph"/>
        <w:numPr>
          <w:ilvl w:val="0"/>
          <w:numId w:val="54"/>
        </w:numPr>
        <w:autoSpaceDE w:val="0"/>
        <w:autoSpaceDN w:val="0"/>
        <w:adjustRightInd w:val="0"/>
        <w:spacing w:before="120" w:after="0" w:line="271" w:lineRule="auto"/>
        <w:ind w:left="360"/>
        <w:jc w:val="both"/>
        <w:rPr>
          <w:rFonts w:cs="Times New Roman"/>
          <w:szCs w:val="24"/>
        </w:rPr>
      </w:pPr>
      <w:r w:rsidRPr="00AC4AE1">
        <w:rPr>
          <w:rFonts w:cs="Times New Roman"/>
          <w:bCs/>
          <w:szCs w:val="24"/>
        </w:rPr>
        <w:t xml:space="preserve">Delineate areas where the land is most fertile for exclusive agriculture use and declare these as Agriculture Zones. There could be </w:t>
      </w:r>
      <w:r w:rsidRPr="00AC4AE1">
        <w:rPr>
          <w:rFonts w:cs="Times New Roman"/>
          <w:szCs w:val="24"/>
        </w:rPr>
        <w:t>imposition of restriction on conversion of prime agricultural land for nonagricultural uses</w:t>
      </w:r>
      <w:r w:rsidR="00CD0809">
        <w:rPr>
          <w:rFonts w:cs="Times New Roman"/>
          <w:szCs w:val="24"/>
        </w:rPr>
        <w:t>. Vertical villages will release land for agricultural uses.</w:t>
      </w:r>
    </w:p>
    <w:p w:rsidR="00A356FA" w:rsidRPr="00AC4AE1" w:rsidRDefault="00A356FA" w:rsidP="00D6486D">
      <w:pPr>
        <w:pStyle w:val="ListParagraph"/>
        <w:numPr>
          <w:ilvl w:val="0"/>
          <w:numId w:val="52"/>
        </w:numPr>
        <w:autoSpaceDE w:val="0"/>
        <w:autoSpaceDN w:val="0"/>
        <w:adjustRightInd w:val="0"/>
        <w:spacing w:after="0" w:line="271" w:lineRule="auto"/>
        <w:ind w:left="360"/>
        <w:jc w:val="both"/>
        <w:rPr>
          <w:rFonts w:cs="Times New Roman"/>
          <w:bCs/>
          <w:szCs w:val="24"/>
        </w:rPr>
      </w:pPr>
      <w:r w:rsidRPr="00AC4AE1">
        <w:rPr>
          <w:rFonts w:cs="Times New Roman"/>
          <w:bCs/>
          <w:szCs w:val="24"/>
        </w:rPr>
        <w:t>Shrimp (brackish water) Zone; Shrimp (sweet water) Zone; Salt – Shrimp Zone;</w:t>
      </w:r>
    </w:p>
    <w:p w:rsidR="00A356FA" w:rsidRPr="00AC4AE1" w:rsidRDefault="00A356FA" w:rsidP="00D6486D">
      <w:pPr>
        <w:pStyle w:val="ListParagraph"/>
        <w:numPr>
          <w:ilvl w:val="0"/>
          <w:numId w:val="52"/>
        </w:numPr>
        <w:autoSpaceDE w:val="0"/>
        <w:autoSpaceDN w:val="0"/>
        <w:adjustRightInd w:val="0"/>
        <w:spacing w:line="271" w:lineRule="auto"/>
        <w:ind w:left="360"/>
        <w:jc w:val="both"/>
        <w:rPr>
          <w:rFonts w:cs="Times New Roman"/>
          <w:bCs/>
          <w:szCs w:val="24"/>
        </w:rPr>
      </w:pPr>
      <w:r w:rsidRPr="00AC4AE1">
        <w:rPr>
          <w:rFonts w:cs="Times New Roman"/>
          <w:bCs/>
          <w:szCs w:val="24"/>
        </w:rPr>
        <w:t>Forest Zone; Mangrove Zone;</w:t>
      </w:r>
    </w:p>
    <w:p w:rsidR="00A356FA" w:rsidRPr="00E62C3C" w:rsidRDefault="00A356FA" w:rsidP="00E62C3C">
      <w:pPr>
        <w:pStyle w:val="ListParagraph"/>
        <w:spacing w:after="0" w:line="271" w:lineRule="auto"/>
        <w:ind w:left="0"/>
        <w:jc w:val="both"/>
        <w:rPr>
          <w:rFonts w:eastAsia="Times New Roman" w:cs="Times New Roman"/>
          <w:sz w:val="20"/>
          <w:szCs w:val="24"/>
        </w:rPr>
      </w:pPr>
    </w:p>
    <w:p w:rsidR="00E109C3" w:rsidRPr="00226022" w:rsidRDefault="00E109C3" w:rsidP="00E109C3">
      <w:pPr>
        <w:pStyle w:val="ListParagraph"/>
        <w:ind w:left="0"/>
        <w:jc w:val="both"/>
        <w:rPr>
          <w:rFonts w:cs="Segoe UI"/>
          <w:b/>
          <w:i/>
          <w:szCs w:val="19"/>
        </w:rPr>
      </w:pPr>
      <w:r w:rsidRPr="00226022">
        <w:rPr>
          <w:rFonts w:cs="Segoe UI"/>
          <w:b/>
          <w:i/>
          <w:szCs w:val="19"/>
        </w:rPr>
        <w:t xml:space="preserve">Strategy: Increase climate change adaptation capacity for land management </w:t>
      </w:r>
    </w:p>
    <w:p w:rsidR="00A356FA" w:rsidRDefault="00A356FA" w:rsidP="00B01C3F">
      <w:pPr>
        <w:pStyle w:val="ListParagraph"/>
        <w:spacing w:after="40" w:line="271" w:lineRule="auto"/>
        <w:ind w:left="0"/>
        <w:jc w:val="both"/>
        <w:rPr>
          <w:rFonts w:eastAsia="Times New Roman" w:cs="Times New Roman"/>
          <w:i/>
          <w:szCs w:val="24"/>
        </w:rPr>
      </w:pPr>
    </w:p>
    <w:p w:rsidR="00864802" w:rsidRPr="00226022" w:rsidRDefault="00864802" w:rsidP="00E62C3C">
      <w:pPr>
        <w:pStyle w:val="ListParagraph"/>
        <w:spacing w:after="0" w:line="271" w:lineRule="auto"/>
        <w:ind w:left="0"/>
        <w:jc w:val="both"/>
        <w:rPr>
          <w:rFonts w:eastAsia="Times New Roman" w:cs="Times New Roman"/>
          <w:i/>
          <w:sz w:val="4"/>
          <w:szCs w:val="24"/>
        </w:rPr>
      </w:pPr>
    </w:p>
    <w:p w:rsidR="00A356FA" w:rsidRPr="00AC4AE1" w:rsidRDefault="00A356FA" w:rsidP="00D6486D">
      <w:pPr>
        <w:pStyle w:val="ListParagraph"/>
        <w:numPr>
          <w:ilvl w:val="0"/>
          <w:numId w:val="47"/>
        </w:numPr>
        <w:spacing w:after="40" w:line="271" w:lineRule="auto"/>
        <w:ind w:left="360"/>
        <w:jc w:val="both"/>
        <w:rPr>
          <w:rFonts w:cs="Times New Roman"/>
          <w:szCs w:val="24"/>
        </w:rPr>
      </w:pPr>
      <w:r w:rsidRPr="00AC4AE1">
        <w:rPr>
          <w:rFonts w:cs="Times New Roman"/>
          <w:szCs w:val="24"/>
        </w:rPr>
        <w:t>Increase farmer’s capability adaption to climate variability.</w:t>
      </w:r>
    </w:p>
    <w:p w:rsidR="00A356FA" w:rsidRPr="00AC4AE1" w:rsidRDefault="00A356FA" w:rsidP="00D6486D">
      <w:pPr>
        <w:pStyle w:val="ListParagraph"/>
        <w:numPr>
          <w:ilvl w:val="0"/>
          <w:numId w:val="47"/>
        </w:numPr>
        <w:spacing w:after="40" w:line="276" w:lineRule="auto"/>
        <w:ind w:left="360"/>
        <w:jc w:val="both"/>
        <w:rPr>
          <w:rFonts w:cs="Times New Roman"/>
          <w:szCs w:val="24"/>
        </w:rPr>
      </w:pPr>
      <w:r w:rsidRPr="00AC4AE1">
        <w:rPr>
          <w:rFonts w:cs="Times New Roman"/>
          <w:szCs w:val="24"/>
        </w:rPr>
        <w:t>Change crops or varieties, choose different harvest and sowing dates, alter land management, and employ water efficiency techniques.</w:t>
      </w:r>
    </w:p>
    <w:p w:rsidR="00DC02C7" w:rsidRDefault="00A356FA" w:rsidP="00226022">
      <w:pPr>
        <w:pStyle w:val="ListParagraph"/>
        <w:numPr>
          <w:ilvl w:val="0"/>
          <w:numId w:val="47"/>
        </w:numPr>
        <w:spacing w:after="40" w:line="276" w:lineRule="auto"/>
        <w:ind w:left="360"/>
        <w:jc w:val="both"/>
        <w:rPr>
          <w:rFonts w:cs="Times New Roman"/>
          <w:szCs w:val="24"/>
        </w:rPr>
      </w:pPr>
      <w:r w:rsidRPr="00AC4AE1">
        <w:rPr>
          <w:rFonts w:cs="Times New Roman"/>
          <w:szCs w:val="24"/>
        </w:rPr>
        <w:t xml:space="preserve">Long-term </w:t>
      </w:r>
      <w:r w:rsidR="00E109C3">
        <w:rPr>
          <w:rFonts w:cs="Times New Roman"/>
          <w:szCs w:val="24"/>
        </w:rPr>
        <w:t xml:space="preserve">there will be a need for </w:t>
      </w:r>
      <w:r w:rsidRPr="00AC4AE1">
        <w:rPr>
          <w:rFonts w:cs="Times New Roman"/>
          <w:szCs w:val="24"/>
        </w:rPr>
        <w:t>building the capacity of farmers to cope with and adapt to a changing environment</w:t>
      </w:r>
      <w:r w:rsidR="00E109C3">
        <w:rPr>
          <w:rFonts w:cs="Times New Roman"/>
          <w:szCs w:val="24"/>
        </w:rPr>
        <w:t xml:space="preserve"> resulting from climate change</w:t>
      </w:r>
      <w:r w:rsidRPr="00AC4AE1">
        <w:rPr>
          <w:rFonts w:cs="Times New Roman"/>
          <w:szCs w:val="24"/>
        </w:rPr>
        <w:t>.</w:t>
      </w:r>
    </w:p>
    <w:p w:rsidR="00974AEB" w:rsidRPr="00974AEB" w:rsidRDefault="00974AEB" w:rsidP="00974AEB">
      <w:pPr>
        <w:pStyle w:val="ListParagraph"/>
        <w:spacing w:after="40" w:line="276" w:lineRule="auto"/>
        <w:ind w:left="360"/>
        <w:jc w:val="both"/>
        <w:rPr>
          <w:rFonts w:cs="Times New Roman"/>
          <w:szCs w:val="24"/>
        </w:rPr>
      </w:pPr>
    </w:p>
    <w:p w:rsidR="00E109C3" w:rsidRPr="00226022" w:rsidRDefault="00E109C3" w:rsidP="00226022">
      <w:pPr>
        <w:spacing w:line="276" w:lineRule="auto"/>
        <w:jc w:val="both"/>
        <w:rPr>
          <w:rFonts w:cs="Segoe UI"/>
          <w:szCs w:val="19"/>
        </w:rPr>
      </w:pPr>
      <w:r w:rsidRPr="00226022">
        <w:rPr>
          <w:rFonts w:cs="Segoe UI"/>
          <w:b/>
          <w:i/>
          <w:szCs w:val="19"/>
        </w:rPr>
        <w:t xml:space="preserve">Strategy: Ensure gender equitability for land ownership </w:t>
      </w:r>
    </w:p>
    <w:p w:rsidR="00A356FA" w:rsidRPr="004B0A08" w:rsidRDefault="00A356FA" w:rsidP="00D6486D">
      <w:pPr>
        <w:pStyle w:val="ListParagraph"/>
        <w:numPr>
          <w:ilvl w:val="0"/>
          <w:numId w:val="48"/>
        </w:numPr>
        <w:spacing w:after="40" w:line="276" w:lineRule="auto"/>
        <w:ind w:left="360"/>
        <w:jc w:val="both"/>
        <w:rPr>
          <w:rFonts w:cs="Times New Roman"/>
          <w:szCs w:val="24"/>
        </w:rPr>
      </w:pPr>
      <w:r w:rsidRPr="00AC4AE1">
        <w:rPr>
          <w:rFonts w:eastAsia="Times New Roman" w:cs="Times New Roman"/>
          <w:szCs w:val="24"/>
        </w:rPr>
        <w:t xml:space="preserve">Land ownership and entitlement to land, signify economic, as well as social identity and reflect empowerment and dignity. </w:t>
      </w:r>
      <w:r w:rsidRPr="004B0A08">
        <w:rPr>
          <w:rFonts w:eastAsia="Times New Roman" w:cs="Times New Roman"/>
          <w:szCs w:val="24"/>
        </w:rPr>
        <w:t>Control over income and assets like land, etc. are an indicator of women and men’s empowerment</w:t>
      </w:r>
      <w:r w:rsidR="00E109C3" w:rsidRPr="004B0A08">
        <w:rPr>
          <w:rFonts w:eastAsia="Times New Roman" w:cs="Times New Roman"/>
          <w:szCs w:val="24"/>
        </w:rPr>
        <w:t>. As such actions need to be in place to ensure that women have control of their share of resources, particularly land resource.</w:t>
      </w:r>
    </w:p>
    <w:p w:rsidR="00D9507C" w:rsidRDefault="00D9507C" w:rsidP="00DC02C7">
      <w:pPr>
        <w:spacing w:after="0" w:line="276" w:lineRule="auto"/>
        <w:jc w:val="both"/>
        <w:rPr>
          <w:szCs w:val="24"/>
        </w:rPr>
      </w:pPr>
    </w:p>
    <w:p w:rsidR="00D9507C" w:rsidRPr="00DC02C7" w:rsidRDefault="00D9507C" w:rsidP="00DC02C7">
      <w:pPr>
        <w:pStyle w:val="Goal"/>
        <w:jc w:val="both"/>
      </w:pPr>
      <w:r w:rsidRPr="008135A5">
        <w:t xml:space="preserve">Goal </w:t>
      </w:r>
      <w:r w:rsidR="00DC02C7">
        <w:t>5</w:t>
      </w:r>
      <w:r w:rsidRPr="008135A5">
        <w:t xml:space="preserve">:  Achieve optimal and integrated </w:t>
      </w:r>
      <w:r>
        <w:t>use of land and water resources</w:t>
      </w:r>
    </w:p>
    <w:p w:rsidR="00D9507C" w:rsidRPr="00226022" w:rsidRDefault="00D9507C" w:rsidP="00226022">
      <w:pPr>
        <w:spacing w:line="276" w:lineRule="auto"/>
        <w:jc w:val="both"/>
        <w:rPr>
          <w:rFonts w:cs="Segoe UI"/>
          <w:szCs w:val="19"/>
        </w:rPr>
      </w:pPr>
      <w:r w:rsidRPr="00226022">
        <w:rPr>
          <w:rFonts w:cs="Segoe UI"/>
          <w:b/>
          <w:i/>
          <w:szCs w:val="19"/>
        </w:rPr>
        <w:lastRenderedPageBreak/>
        <w:t>Strategy: Sustainable land utilization for achieving food security</w:t>
      </w:r>
      <w:r w:rsidRPr="00226022">
        <w:rPr>
          <w:rFonts w:cs="Segoe UI"/>
          <w:i/>
          <w:szCs w:val="19"/>
        </w:rPr>
        <w:t xml:space="preserve"> </w:t>
      </w:r>
    </w:p>
    <w:p w:rsidR="00D9507C" w:rsidRPr="00D709A9" w:rsidRDefault="00D9507C" w:rsidP="00226022">
      <w:pPr>
        <w:spacing w:line="276" w:lineRule="auto"/>
        <w:jc w:val="both"/>
        <w:rPr>
          <w:rFonts w:cs="Segoe UI"/>
          <w:szCs w:val="19"/>
        </w:rPr>
      </w:pPr>
      <w:r w:rsidRPr="00D709A9">
        <w:rPr>
          <w:rFonts w:cs="Segoe UI"/>
          <w:szCs w:val="19"/>
        </w:rPr>
        <w:t>There is a vast potential to scale up the improved management of land and water resources as an integral component of agricultural development strategies.</w:t>
      </w:r>
      <w:r>
        <w:rPr>
          <w:rFonts w:cs="Segoe UI"/>
          <w:szCs w:val="19"/>
        </w:rPr>
        <w:t xml:space="preserve"> </w:t>
      </w:r>
      <w:r w:rsidRPr="00D709A9">
        <w:rPr>
          <w:rFonts w:cs="Segoe UI"/>
          <w:szCs w:val="19"/>
        </w:rPr>
        <w:t>The proper agriculture practices and agricultural production depends on proper utilization of agriculture land use planning.</w:t>
      </w:r>
      <w:r>
        <w:rPr>
          <w:rFonts w:cs="Segoe UI"/>
          <w:szCs w:val="19"/>
        </w:rPr>
        <w:t xml:space="preserve"> </w:t>
      </w:r>
      <w:r w:rsidRPr="00D709A9">
        <w:rPr>
          <w:rFonts w:cs="Segoe UI"/>
          <w:szCs w:val="19"/>
        </w:rPr>
        <w:t>It is important to take into account the need for optimal water resource management as a mean for achieving land use management efficiency. The improved land and water management practices will help increase crop yields through sustainable management of land resources.</w:t>
      </w:r>
      <w:r>
        <w:rPr>
          <w:rFonts w:cs="Segoe UI"/>
          <w:szCs w:val="19"/>
        </w:rPr>
        <w:t xml:space="preserve"> </w:t>
      </w:r>
      <w:r w:rsidRPr="00D709A9">
        <w:rPr>
          <w:rFonts w:cs="Segoe UI"/>
          <w:szCs w:val="19"/>
        </w:rPr>
        <w:t xml:space="preserve">Besides, land management efficiency will be better achieved if land can be safeguarded from degradation. Many smallholder farmers must deal with low and unpredictable crop yields and incomes, as well as chronic food insecurity. These challenges are particularly acute where land degradation, depleted soil fertility, water stress, and high costs for fertilizers contribute to low crop yields and associated poverty. </w:t>
      </w:r>
    </w:p>
    <w:p w:rsidR="00D9507C" w:rsidRPr="00D709A9" w:rsidRDefault="00D9507C" w:rsidP="00226022">
      <w:pPr>
        <w:spacing w:line="276" w:lineRule="auto"/>
        <w:jc w:val="both"/>
        <w:rPr>
          <w:rFonts w:cs="Segoe UI"/>
          <w:szCs w:val="19"/>
        </w:rPr>
      </w:pPr>
      <w:r w:rsidRPr="00D709A9">
        <w:rPr>
          <w:rFonts w:cs="Segoe UI"/>
          <w:szCs w:val="19"/>
        </w:rPr>
        <w:t>Farmers and scientists have identified a wide range of land and water management practices that can address land degradation and increase long-term agricultural productivity. The benefits of these improved land and water management practices to farmers and rural economies, include higher crop yields, increased supplies of other valuable goods such as firewood and fodder, increased income and employment opportunities, and increased resilience to climate change. These benefits occur because these improved land and water management practices will help increase soil organic matter, improve soil structure, reduce soil erosion, increase water filtration or permeability, increase efficiency of water use, replenish soil nutrients, and increase the efficiency of nutrient uptake.</w:t>
      </w:r>
    </w:p>
    <w:p w:rsidR="00D9507C" w:rsidRPr="00D709A9" w:rsidRDefault="00D9507C" w:rsidP="00226022">
      <w:pPr>
        <w:spacing w:line="276" w:lineRule="auto"/>
        <w:jc w:val="both"/>
        <w:rPr>
          <w:rFonts w:cs="Segoe UI"/>
          <w:szCs w:val="19"/>
        </w:rPr>
      </w:pPr>
      <w:r w:rsidRPr="00D709A9">
        <w:rPr>
          <w:rFonts w:cs="Segoe UI"/>
          <w:szCs w:val="19"/>
        </w:rPr>
        <w:t>In this context,</w:t>
      </w:r>
      <w:r w:rsidRPr="00D709A9">
        <w:rPr>
          <w:rFonts w:cs="Segoe UI"/>
          <w:i/>
          <w:szCs w:val="19"/>
        </w:rPr>
        <w:t xml:space="preserve"> </w:t>
      </w:r>
      <w:r w:rsidRPr="00D709A9">
        <w:rPr>
          <w:rFonts w:cs="Segoe UI"/>
          <w:szCs w:val="19"/>
        </w:rPr>
        <w:t xml:space="preserve">the productivity of degraded agricultural land can be better restored and crop yields boosted if smallholder farmers could be leveraged through policies and adequate and appropriate financial intermediation to invest their land and also undertake appropriate water management practices. This could be catalysed through </w:t>
      </w:r>
      <w:r w:rsidRPr="00D709A9">
        <w:rPr>
          <w:rFonts w:eastAsia="Times New Roman" w:cs="Segoe UI"/>
          <w:szCs w:val="19"/>
        </w:rPr>
        <w:t>institutional and policy reforms, particularly for strengthening property rights, particularly involving community-based organizations (CBOs).</w:t>
      </w:r>
    </w:p>
    <w:p w:rsidR="00D9507C" w:rsidRPr="00BB495B" w:rsidRDefault="00D9507C" w:rsidP="00226022">
      <w:pPr>
        <w:autoSpaceDE w:val="0"/>
        <w:autoSpaceDN w:val="0"/>
        <w:adjustRightInd w:val="0"/>
        <w:spacing w:line="276" w:lineRule="auto"/>
        <w:jc w:val="both"/>
        <w:rPr>
          <w:rFonts w:cs="Times New Roman"/>
          <w:bCs/>
        </w:rPr>
      </w:pPr>
      <w:r>
        <w:rPr>
          <w:rFonts w:cs="Times New Roman"/>
          <w:b/>
          <w:i/>
        </w:rPr>
        <w:t>Strategy: Spatial land use for u</w:t>
      </w:r>
      <w:r w:rsidRPr="00BB495B">
        <w:rPr>
          <w:rFonts w:cs="Times New Roman"/>
          <w:b/>
          <w:i/>
        </w:rPr>
        <w:t>rbanization:</w:t>
      </w:r>
      <w:r w:rsidRPr="00BB495B">
        <w:rPr>
          <w:rFonts w:cs="Times New Roman"/>
          <w:i/>
        </w:rPr>
        <w:t xml:space="preserve"> </w:t>
      </w:r>
      <w:r w:rsidRPr="00BB495B">
        <w:rPr>
          <w:rFonts w:cs="Times New Roman"/>
        </w:rPr>
        <w:t>Land utilization for urbanization and settlements related strategy should be grounded on the Government’s desired strategic goals and the inclusive growth strategy of job creation in the manufacturing, services, and off-farm sectors.</w:t>
      </w:r>
      <w:r w:rsidRPr="00BB495B">
        <w:rPr>
          <w:rFonts w:cs="Times New Roman"/>
          <w:b/>
        </w:rPr>
        <w:t xml:space="preserve"> </w:t>
      </w:r>
      <w:r>
        <w:rPr>
          <w:rFonts w:cs="Times New Roman"/>
          <w:bCs/>
        </w:rPr>
        <w:t>Rapid urbanization</w:t>
      </w:r>
      <w:r w:rsidRPr="00BB495B">
        <w:rPr>
          <w:rFonts w:cs="Times New Roman"/>
          <w:bCs/>
        </w:rPr>
        <w:t xml:space="preserve"> and continuous expansion of rural se</w:t>
      </w:r>
      <w:r>
        <w:rPr>
          <w:rFonts w:cs="Times New Roman"/>
          <w:bCs/>
        </w:rPr>
        <w:t>ttlements and industrialization</w:t>
      </w:r>
      <w:r w:rsidRPr="00BB495B">
        <w:rPr>
          <w:rFonts w:cs="Times New Roman"/>
          <w:bCs/>
        </w:rPr>
        <w:t xml:space="preserve"> leads to many issues in relation to land use management, which creates negative externalities for cities, as well as reduction of cropland in the rural areas. Informal expansion of slums and further engraves the already dire living conditions, striking the marginalized population (landless households, the unemployed, and women) the hardest. The ill-equipped urban governance and planning system will face enormous challenges to sustainable guide in the growing cities towards 2100. This is very serious threat to proper land use management.</w:t>
      </w:r>
    </w:p>
    <w:p w:rsidR="00D9507C" w:rsidRPr="00BB495B" w:rsidRDefault="00D9507C" w:rsidP="00226022">
      <w:pPr>
        <w:autoSpaceDE w:val="0"/>
        <w:autoSpaceDN w:val="0"/>
        <w:adjustRightInd w:val="0"/>
        <w:spacing w:line="276" w:lineRule="auto"/>
        <w:jc w:val="both"/>
        <w:rPr>
          <w:rFonts w:cs="Times New Roman"/>
          <w:bCs/>
        </w:rPr>
      </w:pPr>
      <w:r w:rsidRPr="00BB495B">
        <w:rPr>
          <w:rFonts w:cs="Times New Roman"/>
          <w:bCs/>
        </w:rPr>
        <w:lastRenderedPageBreak/>
        <w:t xml:space="preserve">As part of mitigation strategy to the challenges and constraints of rapid urbanization, land use management should act as a tool to keep reservations for future development, and keep enough open space for water storage and flood plain management. The water areas can, provided the water quality, serve as ecological and recreational areas within the city. For urban and non-agricultural needs, land resources management should be linked through spatial planning mechanism.  </w:t>
      </w:r>
      <w:r>
        <w:rPr>
          <w:rFonts w:cs="Times New Roman"/>
          <w:bCs/>
        </w:rPr>
        <w:t>As discussed earlier, Bangladesh needs to adopt spatial planning for optimizing land resource management including land use.</w:t>
      </w:r>
      <w:r w:rsidRPr="00BB495B">
        <w:rPr>
          <w:rFonts w:cs="Times New Roman"/>
          <w:bCs/>
        </w:rPr>
        <w:t xml:space="preserve"> A spatial planning mechanism in relation to urban land use policies, land use zoning, land use management systems that relate to the development of urban and rural settlements themselves (regional/township planning), as well as the development of cities, rural areas, and industrial areas, need to be addressed for proper land use management.  </w:t>
      </w:r>
    </w:p>
    <w:p w:rsidR="00D9507C" w:rsidRDefault="00F64A6A" w:rsidP="00226022">
      <w:pPr>
        <w:autoSpaceDE w:val="0"/>
        <w:autoSpaceDN w:val="0"/>
        <w:adjustRightInd w:val="0"/>
        <w:spacing w:line="276" w:lineRule="auto"/>
        <w:jc w:val="both"/>
        <w:rPr>
          <w:rFonts w:cs="Times New Roman"/>
          <w:bCs/>
        </w:rPr>
      </w:pPr>
      <w:r w:rsidRPr="00F64A6A">
        <w:rPr>
          <w:rFonts w:cs="Times New Roman"/>
          <w:bCs/>
          <w:u w:val="single"/>
        </w:rPr>
        <w:t>While undertaking spatial planning the focus should also be in using the provisions of the Special Economic Zone (SEZ) Act 2010 to set up new urban industrial and urban centers in the newly accreted land.</w:t>
      </w:r>
      <w:r w:rsidR="00D9507C" w:rsidRPr="00BB495B">
        <w:rPr>
          <w:rFonts w:cs="Times New Roman"/>
          <w:bCs/>
        </w:rPr>
        <w:t xml:space="preserve"> As an example, the accreting and reclaimed land along Jamuna, Padma, and Meghna rivers or any other major river should be protected and used as part of spatial planning in making value added land use by setting up of new SEZs.  This sort of action will not only require major physical investments, but adopting appropriate land use policies, zoning laws, and institutional land governance arrangements. Efforts need to be made in exploring possibility of such development work undertaken through </w:t>
      </w:r>
      <w:r w:rsidR="006D2F12">
        <w:rPr>
          <w:rFonts w:cs="Times New Roman"/>
          <w:bCs/>
        </w:rPr>
        <w:t>Public</w:t>
      </w:r>
      <w:r w:rsidR="00D9507C" w:rsidRPr="00BB495B">
        <w:rPr>
          <w:rFonts w:cs="Times New Roman"/>
          <w:bCs/>
        </w:rPr>
        <w:t>-Private Partnerships (PPPs)</w:t>
      </w:r>
      <w:r w:rsidR="00D9507C">
        <w:rPr>
          <w:rFonts w:cs="Times New Roman"/>
          <w:bCs/>
        </w:rPr>
        <w:t xml:space="preserve">, </w:t>
      </w:r>
      <w:r w:rsidR="00D9507C" w:rsidRPr="00BB495B">
        <w:rPr>
          <w:rFonts w:cs="Times New Roman"/>
          <w:bCs/>
        </w:rPr>
        <w:t xml:space="preserve"> thus providing the opportunity to both leveraging private investments for spatial development and also have in place institutions that that can have implementation efficiency.</w:t>
      </w:r>
    </w:p>
    <w:p w:rsidR="00D9507C" w:rsidRPr="00226022" w:rsidRDefault="00D9507C" w:rsidP="00226022">
      <w:pPr>
        <w:spacing w:line="276" w:lineRule="auto"/>
        <w:jc w:val="both"/>
        <w:rPr>
          <w:rFonts w:cs="Segoe UI"/>
          <w:b/>
          <w:szCs w:val="19"/>
        </w:rPr>
      </w:pPr>
      <w:r w:rsidRPr="00226022">
        <w:rPr>
          <w:rFonts w:cs="Segoe UI"/>
          <w:b/>
          <w:szCs w:val="19"/>
        </w:rPr>
        <w:t>Strategy: Formulation of Spatial Planning and Land Resource Management Act</w:t>
      </w:r>
    </w:p>
    <w:p w:rsidR="00DC02C7" w:rsidRPr="00974AEB" w:rsidRDefault="00D9507C" w:rsidP="00974AEB">
      <w:pPr>
        <w:spacing w:line="276" w:lineRule="auto"/>
        <w:ind w:left="90"/>
        <w:jc w:val="both"/>
        <w:rPr>
          <w:rFonts w:cs="Times New Roman"/>
        </w:rPr>
      </w:pPr>
      <w:r w:rsidRPr="006664C5">
        <w:rPr>
          <w:rFonts w:cs="Times New Roman"/>
          <w:b/>
          <w:bCs/>
          <w:i/>
          <w:szCs w:val="24"/>
        </w:rPr>
        <w:t>Spatial Planning Act:</w:t>
      </w:r>
      <w:r w:rsidRPr="006664C5">
        <w:rPr>
          <w:rFonts w:cs="Times New Roman"/>
          <w:bCs/>
          <w:szCs w:val="24"/>
        </w:rPr>
        <w:t xml:space="preserve"> Bangladesh needs to consider giving legal coverage to spatial planning by putting in place a “Spatial Planning and Land Resource Management Act”.  </w:t>
      </w:r>
      <w:r w:rsidRPr="006664C5">
        <w:rPr>
          <w:rFonts w:eastAsia="Times New Roman" w:cs="Times New Roman"/>
        </w:rPr>
        <w:t xml:space="preserve">Given the scarcity of land resources, its intrinsic links to river flows and water bodies and also its challenging diverse demand, </w:t>
      </w:r>
      <w:r w:rsidRPr="00316E95">
        <w:rPr>
          <w:rFonts w:cs="Times New Roman"/>
        </w:rPr>
        <w:t>having in place such a spatial planning Act will be a rational way of addressing the land use related challenges. Spatial Planning Act will allow focus on spatial pattern/distribution of land-uses/resources, which will better help in achieving the strategic objectives of food security, accelerated jo</w:t>
      </w:r>
      <w:r w:rsidRPr="00866F83">
        <w:rPr>
          <w:rFonts w:cs="Times New Roman"/>
        </w:rPr>
        <w:t>b creation, rapid urbanization, and also addressing challenges from climate change.</w:t>
      </w:r>
    </w:p>
    <w:p w:rsidR="00D9507C" w:rsidRPr="00226022" w:rsidRDefault="00D9507C" w:rsidP="00226022">
      <w:pPr>
        <w:spacing w:line="276" w:lineRule="auto"/>
        <w:jc w:val="both"/>
        <w:rPr>
          <w:rFonts w:cs="Segoe UI"/>
          <w:b/>
          <w:szCs w:val="19"/>
        </w:rPr>
      </w:pPr>
      <w:r w:rsidRPr="00226022">
        <w:rPr>
          <w:rFonts w:cs="Segoe UI"/>
          <w:b/>
          <w:szCs w:val="19"/>
        </w:rPr>
        <w:t>Strategy: Optimization of Land Use</w:t>
      </w:r>
    </w:p>
    <w:p w:rsidR="00D9507C" w:rsidRPr="00226022" w:rsidRDefault="00D9507C" w:rsidP="00226022">
      <w:pPr>
        <w:spacing w:line="276" w:lineRule="auto"/>
        <w:jc w:val="both"/>
        <w:rPr>
          <w:rFonts w:cs="Segoe UI"/>
        </w:rPr>
      </w:pPr>
      <w:r w:rsidRPr="00226022">
        <w:rPr>
          <w:rFonts w:cs="Segoe UI"/>
          <w:szCs w:val="19"/>
        </w:rPr>
        <w:t xml:space="preserve">For optimal land use plan and design and implementation of any zoning strategy a study and projection is needed for different time horizons by a multi-discipline team consisting of land use planner, urbanization developer, agricultural experts, socio-economic specialist. </w:t>
      </w:r>
      <w:r w:rsidRPr="00226022">
        <w:rPr>
          <w:rFonts w:cs="Segoe UI"/>
          <w:bCs/>
        </w:rPr>
        <w:t>The following indicatives may be considered for land zoning, including coastal areas</w:t>
      </w:r>
      <w:r w:rsidR="00226022">
        <w:rPr>
          <w:rFonts w:cs="Segoe UI"/>
          <w:bCs/>
        </w:rPr>
        <w:t>,</w:t>
      </w:r>
      <w:r w:rsidRPr="00226022">
        <w:rPr>
          <w:rFonts w:cs="Segoe UI"/>
          <w:bCs/>
        </w:rPr>
        <w:t xml:space="preserve"> to help government in planning for rational land use: Shrimp (brackish water) Zone, Shrimp (sweet water) Zone, Salt – Shrimp Zone, Forest Zone, Mangrove Zone, Urban and Commercial Zone (Industrial, Port, EPZs </w:t>
      </w:r>
      <w:r w:rsidRPr="00226022">
        <w:rPr>
          <w:rFonts w:cs="Segoe UI"/>
          <w:bCs/>
        </w:rPr>
        <w:lastRenderedPageBreak/>
        <w:t>and Ship breaking Yards), Tourism Zone a</w:t>
      </w:r>
      <w:r w:rsidR="00226022">
        <w:rPr>
          <w:rFonts w:cs="Segoe UI"/>
          <w:bCs/>
        </w:rPr>
        <w:t>nd Agriculture Zone. Accelerate</w:t>
      </w:r>
      <w:r w:rsidRPr="00226022">
        <w:rPr>
          <w:rFonts w:cs="Segoe UI"/>
          <w:bCs/>
        </w:rPr>
        <w:t xml:space="preserve"> v</w:t>
      </w:r>
      <w:r w:rsidRPr="00226022">
        <w:rPr>
          <w:rFonts w:cs="Segoe UI"/>
        </w:rPr>
        <w:t>ertical expansion of settlements including schools, hospitals, industries, roads etc.</w:t>
      </w:r>
      <w:r w:rsidR="00226022">
        <w:rPr>
          <w:rFonts w:cs="Segoe UI"/>
        </w:rPr>
        <w:t xml:space="preserve"> </w:t>
      </w:r>
      <w:r w:rsidRPr="00226022">
        <w:rPr>
          <w:rFonts w:cs="Segoe UI"/>
          <w:szCs w:val="19"/>
        </w:rPr>
        <w:t>This should be done taking into consideration the long-term vision and development goals that have been articulated and should cover areas that include food security, urban and rural settlements, industrialization, infrastructure needs. In this situation, tipping points relating to different hotspots and the agro ecological regions need to be considered.</w:t>
      </w:r>
    </w:p>
    <w:p w:rsidR="00D9507C" w:rsidRPr="00226022" w:rsidRDefault="00D9507C" w:rsidP="00226022">
      <w:pPr>
        <w:pStyle w:val="ListParagraph"/>
        <w:autoSpaceDE w:val="0"/>
        <w:autoSpaceDN w:val="0"/>
        <w:adjustRightInd w:val="0"/>
        <w:spacing w:line="276" w:lineRule="auto"/>
        <w:ind w:left="0"/>
        <w:contextualSpacing w:val="0"/>
        <w:jc w:val="both"/>
        <w:rPr>
          <w:rFonts w:cs="Segoe UI"/>
          <w:b/>
          <w:szCs w:val="19"/>
        </w:rPr>
      </w:pPr>
      <w:r w:rsidRPr="00226022">
        <w:rPr>
          <w:rFonts w:cs="Segoe UI"/>
          <w:b/>
          <w:szCs w:val="19"/>
        </w:rPr>
        <w:t>Strategy: Management and protection of Marine land</w:t>
      </w:r>
    </w:p>
    <w:p w:rsidR="00D9507C" w:rsidRDefault="00D9507C" w:rsidP="00226022">
      <w:pPr>
        <w:spacing w:before="120" w:after="120" w:line="276" w:lineRule="auto"/>
        <w:jc w:val="both"/>
        <w:rPr>
          <w:rFonts w:cs="Segoe UI"/>
          <w:bCs/>
        </w:rPr>
      </w:pPr>
      <w:r w:rsidRPr="00226022">
        <w:rPr>
          <w:rFonts w:cs="Segoe UI"/>
          <w:bCs/>
        </w:rPr>
        <w:t xml:space="preserve">Bangladesh won a landmark verdict at the International Tribunal on Law of the Sea, which sustained its claims to 200-nautical-mile exclusive economic and territorial rights in the Bay of Bengal. The verdict of the tribunal gave Bangladesh a substantial share of the outer continental shelf beyond 200 nautical miles, which would open up possibilities for peacefully exploiting immense resources (gas, oil, fish and others). The tribunal also awarded Bangladesh a full 12- nautical mile territorial sea around St Martin’s Island. Integrated management should be needed for marine resources. Capacity building and research should be needed for exploring marine resources. Keep the exploitation of the marine resources within sustainable limits by following the major regional and international programs for their conservation. </w:t>
      </w:r>
    </w:p>
    <w:p w:rsidR="00226022" w:rsidRPr="00226022" w:rsidRDefault="00226022" w:rsidP="00226022">
      <w:pPr>
        <w:spacing w:before="120" w:after="120" w:line="276" w:lineRule="auto"/>
        <w:jc w:val="both"/>
        <w:rPr>
          <w:rFonts w:eastAsia="Calibri" w:cs="Segoe UI"/>
          <w:b/>
          <w:sz w:val="2"/>
          <w:lang w:val="nl-NL"/>
        </w:rPr>
      </w:pPr>
    </w:p>
    <w:p w:rsidR="00D9507C" w:rsidRPr="00226022" w:rsidRDefault="00D9507C" w:rsidP="00226022">
      <w:pPr>
        <w:pStyle w:val="ListParagraph"/>
        <w:autoSpaceDE w:val="0"/>
        <w:autoSpaceDN w:val="0"/>
        <w:adjustRightInd w:val="0"/>
        <w:spacing w:line="276" w:lineRule="auto"/>
        <w:ind w:left="0"/>
        <w:contextualSpacing w:val="0"/>
        <w:jc w:val="both"/>
        <w:rPr>
          <w:rFonts w:cs="Segoe UI"/>
          <w:b/>
          <w:szCs w:val="19"/>
        </w:rPr>
      </w:pPr>
      <w:r w:rsidRPr="00226022">
        <w:rPr>
          <w:rFonts w:cs="Segoe UI"/>
          <w:b/>
          <w:szCs w:val="19"/>
        </w:rPr>
        <w:t xml:space="preserve">Strategy: Enhance afforestation and plantation in the coastal region for stabilizing the land </w:t>
      </w:r>
    </w:p>
    <w:p w:rsidR="00D9507C" w:rsidRPr="00226022" w:rsidRDefault="00D9507C" w:rsidP="00226022">
      <w:pPr>
        <w:autoSpaceDE w:val="0"/>
        <w:autoSpaceDN w:val="0"/>
        <w:adjustRightInd w:val="0"/>
        <w:spacing w:after="200" w:line="276" w:lineRule="auto"/>
        <w:jc w:val="both"/>
        <w:rPr>
          <w:rFonts w:cs="Segoe UI"/>
          <w:szCs w:val="19"/>
        </w:rPr>
      </w:pPr>
      <w:r w:rsidRPr="00226022">
        <w:rPr>
          <w:rFonts w:cs="Segoe UI"/>
          <w:szCs w:val="19"/>
        </w:rPr>
        <w:t xml:space="preserve">The existing coastal afforestation and enrichment plantation need to be continued. </w:t>
      </w:r>
      <w:r w:rsidRPr="00226022">
        <w:rPr>
          <w:rFonts w:cs="Segoe UI"/>
          <w:bCs/>
          <w:szCs w:val="19"/>
        </w:rPr>
        <w:t xml:space="preserve">Newly accreted lands need to be stabilized through plantation of mangrove. To </w:t>
      </w:r>
      <w:r w:rsidRPr="00226022">
        <w:rPr>
          <w:rFonts w:cs="Segoe UI"/>
          <w:szCs w:val="19"/>
        </w:rPr>
        <w:t xml:space="preserve">prevent the extent of damage by cyclones and tidal surges, Coastal Green Belt needs be created and seedling will be raised to distribute or sale in the coastal zone. The redlands of Sylhet has long been lying unutilized which needs to be brought under afforestation. The protected area of forest would be increased to 25 percent of the total forest land. </w:t>
      </w:r>
    </w:p>
    <w:p w:rsidR="00D9507C" w:rsidRPr="00226022" w:rsidRDefault="00D9507C" w:rsidP="00226022">
      <w:pPr>
        <w:pStyle w:val="ListParagraph"/>
        <w:autoSpaceDE w:val="0"/>
        <w:autoSpaceDN w:val="0"/>
        <w:adjustRightInd w:val="0"/>
        <w:spacing w:line="276" w:lineRule="auto"/>
        <w:ind w:left="0"/>
        <w:contextualSpacing w:val="0"/>
        <w:jc w:val="both"/>
        <w:rPr>
          <w:rFonts w:cs="Segoe UI"/>
          <w:b/>
          <w:szCs w:val="19"/>
        </w:rPr>
      </w:pPr>
      <w:r w:rsidRPr="00226022">
        <w:rPr>
          <w:rFonts w:cs="Segoe UI"/>
          <w:b/>
          <w:szCs w:val="19"/>
        </w:rPr>
        <w:t>Strategy: Restoration and protection of soil health</w:t>
      </w:r>
    </w:p>
    <w:p w:rsidR="00D9507C" w:rsidRPr="00226022" w:rsidRDefault="00D9507C" w:rsidP="00226022">
      <w:pPr>
        <w:spacing w:before="120" w:after="120" w:line="276" w:lineRule="auto"/>
        <w:jc w:val="both"/>
        <w:rPr>
          <w:rFonts w:cs="Segoe UI"/>
          <w:bCs/>
        </w:rPr>
      </w:pPr>
      <w:r w:rsidRPr="00226022">
        <w:rPr>
          <w:rFonts w:cs="Segoe UI"/>
          <w:bCs/>
        </w:rPr>
        <w:t xml:space="preserve">The intensive cultivation of HYV rice without organic recycling and rapid mineralization is important factor, causing depletion of organic matter and other plant nutrient &amp; thereby disturbed the agro-ecosystem of the country. Intensive cultivation would also be required to meet the additional food requirement, which would further deplete nutrient status of the soil. Intrusion of salinity, gradual increasing of shrimp culture, soil erosion, river bank erosion, water logging, industrial pollution, indiscriminate use of agro-chemicals causing deterioration of soil health. Protect saline water intrusion through rehabilitation of existing polder and construction of new polder. Increase supply of upstream fresh water by water storage by construction of Ganges barrage. Practice Tidal River Management (TRM) for reducing water logging problems in the coastal region, Promote and implement organic farming and IPNS (Integrated Plant Nutrient Management System) for maintaining land productivity. Undertake programmes to popularize production and application of bio-fertilizer/green manure. Promotion of ICM and IPM to reduce </w:t>
      </w:r>
      <w:r w:rsidRPr="00226022">
        <w:rPr>
          <w:rFonts w:cs="Segoe UI"/>
          <w:bCs/>
        </w:rPr>
        <w:lastRenderedPageBreak/>
        <w:t>agro-chemical use</w:t>
      </w:r>
      <w:r w:rsidR="00226022">
        <w:rPr>
          <w:rFonts w:cs="Segoe UI"/>
          <w:bCs/>
        </w:rPr>
        <w:t xml:space="preserve"> should be encouraged</w:t>
      </w:r>
      <w:r w:rsidRPr="00226022">
        <w:rPr>
          <w:rFonts w:cs="Segoe UI"/>
          <w:bCs/>
        </w:rPr>
        <w:t xml:space="preserve">. </w:t>
      </w:r>
      <w:r w:rsidR="00226022" w:rsidRPr="00226022">
        <w:rPr>
          <w:rFonts w:cs="Segoe UI"/>
          <w:bCs/>
        </w:rPr>
        <w:t xml:space="preserve"> </w:t>
      </w:r>
      <w:r w:rsidRPr="00226022">
        <w:rPr>
          <w:rFonts w:cs="Segoe UI"/>
          <w:bCs/>
        </w:rPr>
        <w:t>Motivate farmers to apply site specific soil test based fertilizer and other farm management techniques. Practice crop rotation and crop diversification.</w:t>
      </w:r>
    </w:p>
    <w:p w:rsidR="00D9507C" w:rsidRPr="00226022" w:rsidRDefault="00D9507C" w:rsidP="00226022">
      <w:pPr>
        <w:autoSpaceDE w:val="0"/>
        <w:autoSpaceDN w:val="0"/>
        <w:adjustRightInd w:val="0"/>
        <w:spacing w:line="276" w:lineRule="auto"/>
        <w:contextualSpacing/>
        <w:jc w:val="both"/>
        <w:rPr>
          <w:rFonts w:cs="Segoe UI"/>
          <w:b/>
          <w:bCs/>
          <w:sz w:val="12"/>
          <w:szCs w:val="19"/>
        </w:rPr>
      </w:pPr>
    </w:p>
    <w:p w:rsidR="00D9507C" w:rsidRPr="00226022" w:rsidRDefault="00D9507C" w:rsidP="00226022">
      <w:pPr>
        <w:autoSpaceDE w:val="0"/>
        <w:autoSpaceDN w:val="0"/>
        <w:adjustRightInd w:val="0"/>
        <w:spacing w:line="276" w:lineRule="auto"/>
        <w:contextualSpacing/>
        <w:jc w:val="both"/>
        <w:rPr>
          <w:rFonts w:cs="Segoe UI"/>
          <w:b/>
          <w:bCs/>
          <w:szCs w:val="19"/>
        </w:rPr>
      </w:pPr>
      <w:r w:rsidRPr="00226022">
        <w:rPr>
          <w:rFonts w:cs="Segoe UI"/>
          <w:b/>
          <w:bCs/>
          <w:szCs w:val="19"/>
        </w:rPr>
        <w:t>Strategy: Reducing soil and land loss</w:t>
      </w:r>
    </w:p>
    <w:p w:rsidR="00226022" w:rsidRPr="00226022" w:rsidRDefault="00226022" w:rsidP="00226022">
      <w:pPr>
        <w:autoSpaceDE w:val="0"/>
        <w:autoSpaceDN w:val="0"/>
        <w:adjustRightInd w:val="0"/>
        <w:spacing w:line="276" w:lineRule="auto"/>
        <w:jc w:val="both"/>
        <w:rPr>
          <w:rFonts w:cs="Segoe UI"/>
          <w:bCs/>
          <w:sz w:val="2"/>
          <w:szCs w:val="19"/>
        </w:rPr>
      </w:pPr>
    </w:p>
    <w:p w:rsidR="00D9507C" w:rsidRPr="00226022" w:rsidRDefault="00D9507C" w:rsidP="00226022">
      <w:pPr>
        <w:autoSpaceDE w:val="0"/>
        <w:autoSpaceDN w:val="0"/>
        <w:adjustRightInd w:val="0"/>
        <w:spacing w:line="276" w:lineRule="auto"/>
        <w:jc w:val="both"/>
        <w:rPr>
          <w:rFonts w:cs="Segoe UI"/>
          <w:bCs/>
          <w:szCs w:val="19"/>
        </w:rPr>
      </w:pPr>
      <w:r w:rsidRPr="00226022">
        <w:rPr>
          <w:rFonts w:cs="Segoe UI"/>
          <w:bCs/>
          <w:szCs w:val="19"/>
        </w:rPr>
        <w:t xml:space="preserve">Prevent soil erosion by promoting and adopting improved tillage and irrigation practices wherever feasible. Undulated hilly areas may be brought under afforestation programmes. </w:t>
      </w:r>
      <w:r w:rsidR="00226022">
        <w:rPr>
          <w:rFonts w:cs="Segoe UI"/>
          <w:bCs/>
          <w:szCs w:val="19"/>
        </w:rPr>
        <w:t>Adaption of proper r</w:t>
      </w:r>
      <w:r w:rsidRPr="00226022">
        <w:rPr>
          <w:rFonts w:cs="Segoe UI"/>
          <w:bCs/>
          <w:szCs w:val="19"/>
        </w:rPr>
        <w:t>iver training to reduce land loss to river bank erosion</w:t>
      </w:r>
      <w:r w:rsidR="00226022">
        <w:rPr>
          <w:rFonts w:cs="Segoe UI"/>
          <w:bCs/>
          <w:szCs w:val="19"/>
        </w:rPr>
        <w:t xml:space="preserve"> should be done</w:t>
      </w:r>
      <w:r w:rsidRPr="00226022">
        <w:rPr>
          <w:rFonts w:cs="Segoe UI"/>
          <w:bCs/>
          <w:szCs w:val="19"/>
        </w:rPr>
        <w:t xml:space="preserve">. </w:t>
      </w:r>
    </w:p>
    <w:p w:rsidR="00D9507C" w:rsidRPr="00226022" w:rsidRDefault="00D9507C" w:rsidP="00226022">
      <w:pPr>
        <w:autoSpaceDE w:val="0"/>
        <w:autoSpaceDN w:val="0"/>
        <w:adjustRightInd w:val="0"/>
        <w:spacing w:line="276" w:lineRule="auto"/>
        <w:contextualSpacing/>
        <w:jc w:val="both"/>
        <w:rPr>
          <w:rFonts w:cs="Segoe UI"/>
          <w:b/>
          <w:sz w:val="2"/>
          <w:szCs w:val="19"/>
        </w:rPr>
      </w:pPr>
    </w:p>
    <w:p w:rsidR="00D9507C" w:rsidRDefault="00D9507C" w:rsidP="00226022">
      <w:pPr>
        <w:autoSpaceDE w:val="0"/>
        <w:autoSpaceDN w:val="0"/>
        <w:adjustRightInd w:val="0"/>
        <w:spacing w:line="276" w:lineRule="auto"/>
        <w:contextualSpacing/>
        <w:jc w:val="both"/>
        <w:rPr>
          <w:rFonts w:cs="Segoe UI"/>
          <w:b/>
          <w:szCs w:val="19"/>
        </w:rPr>
      </w:pPr>
      <w:r w:rsidRPr="00226022">
        <w:rPr>
          <w:rFonts w:cs="Segoe UI"/>
          <w:b/>
          <w:szCs w:val="19"/>
        </w:rPr>
        <w:t xml:space="preserve">Strategy: Integrated management of coastal water infrastructures to protect land </w:t>
      </w:r>
    </w:p>
    <w:p w:rsidR="00226022" w:rsidRPr="00226022" w:rsidRDefault="00226022" w:rsidP="00226022">
      <w:pPr>
        <w:autoSpaceDE w:val="0"/>
        <w:autoSpaceDN w:val="0"/>
        <w:adjustRightInd w:val="0"/>
        <w:spacing w:line="276" w:lineRule="auto"/>
        <w:contextualSpacing/>
        <w:jc w:val="both"/>
        <w:rPr>
          <w:rFonts w:cs="Segoe UI"/>
          <w:b/>
          <w:sz w:val="14"/>
          <w:szCs w:val="19"/>
        </w:rPr>
      </w:pPr>
    </w:p>
    <w:p w:rsidR="00D9507C" w:rsidRPr="00F631ED" w:rsidRDefault="00D9507C" w:rsidP="00226022">
      <w:pPr>
        <w:autoSpaceDE w:val="0"/>
        <w:autoSpaceDN w:val="0"/>
        <w:adjustRightInd w:val="0"/>
        <w:spacing w:line="276" w:lineRule="auto"/>
        <w:jc w:val="both"/>
        <w:rPr>
          <w:rFonts w:cs="Segoe UI"/>
          <w:bCs/>
          <w:szCs w:val="19"/>
        </w:rPr>
      </w:pPr>
      <w:r w:rsidRPr="00CF4ADB">
        <w:rPr>
          <w:rFonts w:cs="Segoe UI"/>
          <w:bCs/>
          <w:szCs w:val="19"/>
        </w:rPr>
        <w:t>The polders should be managed in an integrated manner in respect of embankment maintenance with foreshore afforestation and fisheri</w:t>
      </w:r>
      <w:r>
        <w:rPr>
          <w:rFonts w:cs="Segoe UI"/>
          <w:bCs/>
          <w:szCs w:val="19"/>
        </w:rPr>
        <w:t xml:space="preserve">es and agricultural development. </w:t>
      </w:r>
      <w:r w:rsidRPr="00F631ED">
        <w:rPr>
          <w:rFonts w:cs="Segoe UI"/>
          <w:bCs/>
          <w:szCs w:val="19"/>
        </w:rPr>
        <w:t>Water logging problem in the south-west region need</w:t>
      </w:r>
      <w:r w:rsidR="00226022">
        <w:rPr>
          <w:rFonts w:cs="Segoe UI"/>
          <w:bCs/>
          <w:szCs w:val="19"/>
        </w:rPr>
        <w:t>s</w:t>
      </w:r>
      <w:r w:rsidRPr="00F631ED">
        <w:rPr>
          <w:rFonts w:cs="Segoe UI"/>
          <w:bCs/>
          <w:szCs w:val="19"/>
        </w:rPr>
        <w:t xml:space="preserve"> to be relieved permanently through appropriate management of polders.</w:t>
      </w:r>
    </w:p>
    <w:p w:rsidR="00D9507C" w:rsidRDefault="00D9507C" w:rsidP="00A356FA">
      <w:pPr>
        <w:jc w:val="both"/>
        <w:rPr>
          <w:szCs w:val="24"/>
        </w:rPr>
        <w:sectPr w:rsidR="00D9507C" w:rsidSect="00144771">
          <w:headerReference w:type="even" r:id="rId135"/>
          <w:headerReference w:type="default" r:id="rId136"/>
          <w:footerReference w:type="even" r:id="rId137"/>
          <w:footerReference w:type="default" r:id="rId138"/>
          <w:headerReference w:type="first" r:id="rId139"/>
          <w:pgSz w:w="12240" w:h="15840"/>
          <w:pgMar w:top="1440" w:right="1440" w:bottom="1440" w:left="1440" w:header="720" w:footer="720" w:gutter="0"/>
          <w:cols w:space="720"/>
          <w:docGrid w:linePitch="360"/>
        </w:sectPr>
      </w:pPr>
    </w:p>
    <w:p w:rsidR="007F2F9C" w:rsidRPr="004E3BC5" w:rsidRDefault="00B50A6C" w:rsidP="004E3BC5">
      <w:pPr>
        <w:pStyle w:val="Title"/>
        <w:pBdr>
          <w:bottom w:val="single" w:sz="8" w:space="7" w:color="4F81BD" w:themeColor="accent1"/>
        </w:pBdr>
        <w:spacing w:after="360"/>
        <w:jc w:val="center"/>
        <w:rPr>
          <w:rFonts w:cs="Times New Roman"/>
          <w:b/>
          <w:color w:val="1F497D" w:themeColor="text2"/>
          <w:szCs w:val="36"/>
        </w:rPr>
      </w:pPr>
      <w:bookmarkStart w:id="566" w:name="_Toc474638896"/>
      <w:r>
        <w:rPr>
          <w:rFonts w:cs="Times New Roman"/>
          <w:b/>
          <w:color w:val="1F497D" w:themeColor="text2"/>
          <w:szCs w:val="36"/>
        </w:rPr>
        <w:lastRenderedPageBreak/>
        <w:t>CHAPTER 8</w:t>
      </w:r>
      <w:bookmarkEnd w:id="566"/>
    </w:p>
    <w:p w:rsidR="001A5964" w:rsidRPr="001A5964" w:rsidRDefault="007F2F9C" w:rsidP="008C0601">
      <w:pPr>
        <w:pStyle w:val="Heading1"/>
      </w:pPr>
      <w:bookmarkStart w:id="567" w:name="_Toc474638897"/>
      <w:r w:rsidRPr="004E3BC5">
        <w:t>Sustainable Agriculture, Food Security</w:t>
      </w:r>
      <w:r w:rsidR="005D3062">
        <w:t>, Nutrition</w:t>
      </w:r>
      <w:r w:rsidRPr="004E3BC5">
        <w:t xml:space="preserve"> and Livelihoods</w:t>
      </w:r>
      <w:bookmarkEnd w:id="567"/>
    </w:p>
    <w:p w:rsidR="00F64A6A" w:rsidRDefault="007F2F9C" w:rsidP="00F64A6A">
      <w:pPr>
        <w:pStyle w:val="Heading2"/>
      </w:pPr>
      <w:bookmarkStart w:id="568" w:name="_Toc474638898"/>
      <w:r w:rsidRPr="001A5964">
        <w:t xml:space="preserve">Climate Change and </w:t>
      </w:r>
      <w:bookmarkEnd w:id="568"/>
      <w:r w:rsidR="00706D6E">
        <w:t>Food Security</w:t>
      </w:r>
    </w:p>
    <w:p w:rsidR="007F2F9C" w:rsidRPr="009F22A2" w:rsidRDefault="00055366" w:rsidP="00777DE0">
      <w:pPr>
        <w:pStyle w:val="bodytext0"/>
        <w:shd w:val="clear" w:color="auto" w:fill="FFFFFF"/>
        <w:spacing w:before="0" w:after="200" w:line="271" w:lineRule="auto"/>
        <w:jc w:val="both"/>
        <w:textAlignment w:val="top"/>
        <w:rPr>
          <w:u w:val="single"/>
        </w:rPr>
      </w:pPr>
      <w:r>
        <w:t xml:space="preserve">Chapter </w:t>
      </w:r>
      <w:r w:rsidR="00706D6E">
        <w:t xml:space="preserve">3 </w:t>
      </w:r>
      <w:r>
        <w:t xml:space="preserve">provided strong </w:t>
      </w:r>
      <w:r w:rsidR="007F2F9C">
        <w:t>evidence that climate change will become</w:t>
      </w:r>
      <w:r w:rsidR="007F2F9C" w:rsidRPr="00A550FE">
        <w:t xml:space="preserve"> a </w:t>
      </w:r>
      <w:r w:rsidR="007F2F9C">
        <w:t xml:space="preserve">major </w:t>
      </w:r>
      <w:r w:rsidR="007F2F9C" w:rsidRPr="00A550FE">
        <w:t xml:space="preserve">threat to </w:t>
      </w:r>
      <w:r w:rsidR="00F64A6A" w:rsidRPr="00F64A6A">
        <w:rPr>
          <w:u w:val="single"/>
        </w:rPr>
        <w:t xml:space="preserve">Bangladesh’s aspirations to ensure food security, sustainable development and poverty alleviation. Agriculture, including crops and horticulture, forestry, livestock and fisheries, is the most climate-sensitive sector must therefore adapt to the impacts of climate change to improve the resilience of food production systems in order to feed a growing population. Since water is critical to agriculture, managing our water resources and addressing the vagaries of climate change will have to be co-integrated national strategies. That remains a major long-term challenge of Bangladesh agriculture and must be addressed as an integral part of the overall development agenda and under the Delta Plan2100. </w:t>
      </w:r>
    </w:p>
    <w:p w:rsidR="00055366" w:rsidRDefault="007F2F9C" w:rsidP="004E3BC5">
      <w:pPr>
        <w:autoSpaceDE w:val="0"/>
        <w:autoSpaceDN w:val="0"/>
        <w:adjustRightInd w:val="0"/>
        <w:spacing w:line="276" w:lineRule="auto"/>
        <w:jc w:val="both"/>
        <w:rPr>
          <w:rFonts w:cs="Times New Roman"/>
          <w:szCs w:val="24"/>
        </w:rPr>
      </w:pPr>
      <w:r>
        <w:rPr>
          <w:rFonts w:cs="Times New Roman"/>
          <w:szCs w:val="24"/>
        </w:rPr>
        <w:t>In the moderate scenario posited by the Inter-Governmental Panel for Climate Change (IPCC), global temperatures are expected to rise by 2</w:t>
      </w:r>
      <w:r>
        <w:rPr>
          <w:rFonts w:cs="Times New Roman"/>
          <w:szCs w:val="24"/>
          <w:vertAlign w:val="superscript"/>
        </w:rPr>
        <w:t>o</w:t>
      </w:r>
      <w:r>
        <w:rPr>
          <w:rFonts w:cs="Times New Roman"/>
          <w:szCs w:val="24"/>
        </w:rPr>
        <w:t>C by 2050 and another 3-4</w:t>
      </w:r>
      <w:r>
        <w:rPr>
          <w:rFonts w:cs="Times New Roman"/>
          <w:szCs w:val="24"/>
          <w:vertAlign w:val="superscript"/>
        </w:rPr>
        <w:t>o</w:t>
      </w:r>
      <w:r>
        <w:rPr>
          <w:rFonts w:cs="Times New Roman"/>
          <w:szCs w:val="24"/>
        </w:rPr>
        <w:t xml:space="preserve">C by the end of this century. Even under the moderate scenario, the Bangladesh Delta, and particularly its agriculture, faces severe challenges of falling crop yields, loss of agricultural land, decreasing quality of aquifer, loss of biodiversity, and extreme weather events, the combined effects of which could seriously threaten livelihoods of people dependent on agriculture and related occupations. </w:t>
      </w:r>
    </w:p>
    <w:p w:rsidR="007F2F9C" w:rsidRDefault="00F64A6A" w:rsidP="004E3BC5">
      <w:pPr>
        <w:autoSpaceDE w:val="0"/>
        <w:autoSpaceDN w:val="0"/>
        <w:adjustRightInd w:val="0"/>
        <w:spacing w:line="276" w:lineRule="auto"/>
        <w:jc w:val="both"/>
        <w:rPr>
          <w:rFonts w:cs="Times New Roman"/>
          <w:szCs w:val="24"/>
        </w:rPr>
      </w:pPr>
      <w:r w:rsidRPr="00F64A6A">
        <w:rPr>
          <w:rFonts w:cs="Times New Roman"/>
          <w:szCs w:val="24"/>
          <w:u w:val="single"/>
        </w:rPr>
        <w:t>In the cooler regions of the world, it is possible that global warming initially may have some favorable impacts on crop yields, and declining yields kick in only after warming exceeds 2</w:t>
      </w:r>
      <w:r w:rsidRPr="00F64A6A">
        <w:rPr>
          <w:rFonts w:cs="Times New Roman"/>
          <w:szCs w:val="24"/>
          <w:u w:val="single"/>
          <w:vertAlign w:val="superscript"/>
        </w:rPr>
        <w:t>o</w:t>
      </w:r>
      <w:r w:rsidRPr="00F64A6A">
        <w:rPr>
          <w:rFonts w:cs="Times New Roman"/>
          <w:szCs w:val="24"/>
          <w:u w:val="single"/>
        </w:rPr>
        <w:t>C, beyond 2050. For Bangladesh, which lies in the tropical regions of the world, this is not the case (see Figure 8.1).</w:t>
      </w:r>
      <w:r w:rsidR="007F2F9C">
        <w:rPr>
          <w:rFonts w:cs="Times New Roman"/>
          <w:szCs w:val="24"/>
        </w:rPr>
        <w:t xml:space="preserve">  According to the Stern Review, one of the ways to depict production impacts of Climate Change on agriculture is through an inverse parabolic function where countries in the tropics fall on the right side of the hump in the curve. Bangladesh, being in the tropics, is likely to be point A of the curve, a point where crop yields start declining as global warming sets in. </w:t>
      </w:r>
      <w:r w:rsidR="007F2F9C" w:rsidRPr="006C26E3">
        <w:rPr>
          <w:rFonts w:cs="Times New Roman"/>
          <w:szCs w:val="24"/>
        </w:rPr>
        <w:t>In cooler regions, low levels of warming may improve conditions for crop growth (extended growing season and new areas opened up for production), but further warming will have increasingly negative impacts as critical temperature thresholds are crossed more often. Tropical regions may already be past the peak. The shape and location of the curve depend on crop</w:t>
      </w:r>
    </w:p>
    <w:p w:rsidR="00E52937" w:rsidRDefault="00E52937">
      <w:pPr>
        <w:rPr>
          <w:b/>
          <w:szCs w:val="24"/>
        </w:rPr>
      </w:pPr>
      <w:r>
        <w:br w:type="page"/>
      </w:r>
    </w:p>
    <w:p w:rsidR="007F2F9C" w:rsidRPr="00387642" w:rsidRDefault="007F2F9C" w:rsidP="00E3762D">
      <w:pPr>
        <w:pStyle w:val="Heading5"/>
        <w:rPr>
          <w:rFonts w:ascii="Arial" w:hAnsi="Arial" w:cs="Arial"/>
        </w:rPr>
      </w:pPr>
      <w:bookmarkStart w:id="569" w:name="_Toc474639195"/>
      <w:r>
        <w:lastRenderedPageBreak/>
        <w:t xml:space="preserve">Figure </w:t>
      </w:r>
      <w:r w:rsidR="00DA20B3">
        <w:t>8.</w:t>
      </w:r>
      <w:r w:rsidR="005D3062">
        <w:t>1</w:t>
      </w:r>
      <w:r>
        <w:t xml:space="preserve">: </w:t>
      </w:r>
      <w:r w:rsidRPr="00387642">
        <w:t>Physical impacts of Climate Change on Agricultural production</w:t>
      </w:r>
      <w:bookmarkEnd w:id="569"/>
    </w:p>
    <w:p w:rsidR="007F2F9C" w:rsidRPr="00E37311" w:rsidRDefault="007F2F9C" w:rsidP="00E37311">
      <w:pPr>
        <w:spacing w:after="0"/>
        <w:jc w:val="center"/>
        <w:rPr>
          <w:b/>
          <w:sz w:val="20"/>
        </w:rPr>
      </w:pPr>
      <w:r w:rsidRPr="00E37311">
        <w:rPr>
          <w:b/>
          <w:sz w:val="20"/>
        </w:rPr>
        <w:t>Inverse parabolic (“hill function”)   y = - x</w:t>
      </w:r>
      <w:r w:rsidRPr="00E37311">
        <w:rPr>
          <w:b/>
          <w:sz w:val="20"/>
          <w:vertAlign w:val="superscript"/>
        </w:rPr>
        <w:t>2</w:t>
      </w:r>
    </w:p>
    <w:p w:rsidR="007F2F9C" w:rsidRPr="008D5399" w:rsidRDefault="001A12B2" w:rsidP="008D5399">
      <w:pPr>
        <w:spacing w:after="0"/>
        <w:jc w:val="center"/>
      </w:pPr>
      <w:r w:rsidRPr="001A12B2">
        <w:rPr>
          <w:rFonts w:cs="Times New Roman"/>
          <w:b/>
          <w:i/>
          <w:noProof/>
          <w:szCs w:val="24"/>
        </w:rPr>
      </w:r>
      <w:r w:rsidRPr="001A12B2">
        <w:rPr>
          <w:rFonts w:cs="Times New Roman"/>
          <w:b/>
          <w:i/>
          <w:noProof/>
          <w:szCs w:val="24"/>
        </w:rPr>
        <w:pict>
          <v:group id="Canvas 23" o:spid="_x0000_s1109" editas="canvas" style="width:301.7pt;height:158.1pt;mso-position-horizontal-relative:char;mso-position-vertical-relative:line" coordsize="38309,20072">
            <v:shape id="_x0000_s1110" type="#_x0000_t75" style="position:absolute;width:38309;height:20072;visibility:visible">
              <v:fill o:detectmouseclick="t"/>
              <v:path o:connecttype="none"/>
            </v:shape>
            <v:shape id="Picture 9" o:spid="_x0000_s1111" type="#_x0000_t75" style="position:absolute;left:380;width:37929;height:200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i047EAAAA3AAAAA8AAABkcnMvZG93bnJldi54bWxEj81uwjAQhO+VeAdrK/VWnFIVUMAg+ocQ&#10;N34eYBUvcUi8jmw3pH36GgmJ42hmvtHMl71tREc+VI4VvAwzEMSF0xWXCo6H7+cpiBCRNTaOScEv&#10;BVguBg9zzLW78I66fSxFgnDIUYGJsc2lDIUhi2HoWuLknZy3GJP0pdQeLwluGznKsrG0WHFaMNjS&#10;h6Gi3v9YBeu3r/e21nXnP/9OZhvieHKmrVJPj/1qBiJSH+/hW3ujFYwmr3A9k46A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i047EAAAA3AAAAA8AAAAAAAAAAAAAAAAA&#10;nwIAAGRycy9kb3ducmV2LnhtbFBLBQYAAAAABAAEAPcAAACQAwAAAAA=&#10;">
              <v:imagedata r:id="rId140" o:title="" croptop="1f" cropbottom="1994f" cropright="3707f"/>
            </v:shape>
            <v:shape id="AutoShape 125" o:spid="_x0000_s1112" type="#_x0000_t32" style="position:absolute;left:24699;top:5321;width:7;height:660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JcqMgAAADcAAAADwAAAGRycy9kb3ducmV2LnhtbESPQWvCQBSE7wX/w/KE3upGkSrRVbS0&#10;VKWH1liKt2f2mUSzb0N21dRf3xWEHoeZ+YYZTxtTijPVrrCsoNuJQBCnVhecKdgkb09DEM4jaywt&#10;k4JfcjCdtB7GGGt74S86r30mAoRdjApy76tYSpfmZNB1bEUcvL2tDfog60zqGi8BbkrZi6JnabDg&#10;sJBjRS85pcf1ySj42L/Ol9fV9v2Q7BbfySn5ND+zTKnHdjMbgfDU+P/wvb3QCnqDPtzOhCMgJ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6JcqMgAAADcAAAADwAAAAAA&#10;AAAAAAAAAAChAgAAZHJzL2Rvd25yZXYueG1sUEsFBgAAAAAEAAQA+QAAAJYDAAAAAA==&#10;" strokecolor="#938953 [1614]" strokeweight="1pt">
              <v:stroke endarrow="block" joinstyle="miter"/>
            </v:shape>
            <v:group id="Group 214" o:spid="_x0000_s1113" style="position:absolute;left:6083;top:3816;width:26213;height:13379" coordorigin="2445,2563" coordsize="4128,2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Text Box 126" o:spid="_x0000_s1114" type="#_x0000_t202" style="position:absolute;left:4773;top:3794;width:1500;height:4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g/8MA&#10;AADcAAAADwAAAGRycy9kb3ducmV2LnhtbESP0YrCMBRE34X9h3AXfBFNV7TVapRV2MXXqh9wba5t&#10;sbkpTbT17zfCgo/DzJxh1tve1OJBrassK/iaRCCIc6srLhScTz/jBQjnkTXWlknBkxxsNx+DNaba&#10;dpzR4+gLESDsUlRQet+kUrq8JINuYhvi4F1ta9AH2RZSt9gFuKnlNIpiabDisFBiQ/uS8tvxbhRc&#10;D91ovuwuv/6cZLN4h1VysU+lhp/99wqEp96/w//tg1YwTWJ4nQ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pg/8MAAADcAAAADwAAAAAAAAAAAAAAAACYAgAAZHJzL2Rv&#10;d25yZXYueG1sUEsFBgAAAAAEAAQA9QAAAIgDAAAAAA==&#10;" stroked="f">
                <v:textbox style="mso-next-textbox:#Text Box 126">
                  <w:txbxContent>
                    <w:p w:rsidR="009D3B38" w:rsidRPr="00D523D5" w:rsidRDefault="009D3B38" w:rsidP="008D5399">
                      <w:pPr>
                        <w:spacing w:after="0"/>
                        <w:rPr>
                          <w:b/>
                          <w:color w:val="76923C" w:themeColor="accent3" w:themeShade="BF"/>
                        </w:rPr>
                      </w:pPr>
                      <w:r w:rsidRPr="00D523D5">
                        <w:rPr>
                          <w:b/>
                          <w:color w:val="76923C" w:themeColor="accent3" w:themeShade="BF"/>
                        </w:rPr>
                        <w:t>Bangladesh</w:t>
                      </w:r>
                    </w:p>
                  </w:txbxContent>
                </v:textbox>
              </v:shape>
              <v:oval id="Oval 3" o:spid="_x0000_s1115" style="position:absolute;left:5248;top:2563;width:190;height:1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diMYA&#10;AADcAAAADwAAAGRycy9kb3ducmV2LnhtbESPT2sCMRTE7wW/Q3iCl6JZPVTZGqUIgpZa8M+lt+fm&#10;ubs0eVmSuK799KZQ6HGYmd8w82VnjWjJh9qxgvEoA0FcOF1zqeB0XA9nIEJE1mgck4I7BVguek9z&#10;zLW78Z7aQyxFgnDIUUEVY5NLGYqKLIaRa4iTd3HeYkzSl1J7vCW4NXKSZS/SYs1pocKGVhUV34er&#10;VXA5n4uT/1zV76b9ev64b392Bo9KDfrd2yuISF38D/+1N1rBZDqF3zPpCM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adiMYAAADcAAAADwAAAAAAAAAAAAAAAACYAgAAZHJz&#10;L2Rvd25yZXYueG1sUEsFBgAAAAAEAAQA9QAAAIsDAAAAAA==&#10;" fillcolor="#7030a0" strokecolor="#7030a0" strokeweight="1pt">
                <v:stroke joinstyle="miter"/>
                <v:path arrowok="t"/>
              </v:oval>
              <v:shape id="Text Box 128" o:spid="_x0000_s1116" type="#_x0000_t202" style="position:absolute;left:2445;top:4202;width:180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RFsEA&#10;AADcAAAADwAAAGRycy9kb3ducmV2LnhtbERPS27CMBDdV+IO1iB1U4EDogkEDGorUbFN4ABDPCQR&#10;8TiK3XxuXy8qdfn0/ofTaBrRU+dqywpWywgEcWF1zaWC2/W82IJwHlljY5kUTOTgdJy9HDDVduCM&#10;+tyXIoSwS1FB5X2bSumKigy6pW2JA/ewnUEfYFdK3eEQwk0j11EUS4M1h4YKW/qqqHjmP0bB4zK8&#10;ve+G+7e/Jdkm/sQ6udtJqdf5+LEH4Wn0/+I/90UrWCdhbTgTjoA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JURbBAAAA3AAAAA8AAAAAAAAAAAAAAAAAmAIAAGRycy9kb3du&#10;cmV2LnhtbFBLBQYAAAAABAAEAPUAAACGAwAAAAA=&#10;" stroked="f">
                <v:textbox style="mso-next-textbox:#Text Box 128">
                  <w:txbxContent>
                    <w:p w:rsidR="009D3B38" w:rsidRPr="00767B14" w:rsidRDefault="009D3B38" w:rsidP="008D5399">
                      <w:pPr>
                        <w:spacing w:after="0"/>
                        <w:rPr>
                          <w:b/>
                        </w:rPr>
                      </w:pPr>
                      <w:r w:rsidRPr="00767B14">
                        <w:rPr>
                          <w:b/>
                        </w:rPr>
                        <w:t>Cooler regions</w:t>
                      </w:r>
                    </w:p>
                  </w:txbxContent>
                </v:textbox>
              </v:shape>
              <v:shape id="Straight Arrow Connector 1" o:spid="_x0000_s1117" type="#_x0000_t32" style="position:absolute;left:2700;top:4526;width:1404;height:7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oNDsUAAADcAAAADwAAAGRycy9kb3ducmV2LnhtbESP3WrCQBSE7wXfYTlC7+puQn80uhER&#10;hIoFadoHOGRPfjR7NmS3mr59t1Dwcpj5Zpj1ZrSduNLgW8cakrkCQVw603Kt4etz/7gA4QOywc4x&#10;afghD5t8OlljZtyNP+hahFrEEvYZamhC6DMpfdmQRT93PXH0KjdYDFEOtTQD3mK57WSq1Iu02HJc&#10;aLCnXUPlpfi2GtLjSS3TxfP2+N4elDk/7atDlWj9MBu3KxCBxnAP/9NvJnKvS/g7E4+Az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RoNDsUAAADcAAAADwAAAAAAAAAA&#10;AAAAAAChAgAAZHJzL2Rvd25yZXYueG1sUEsFBgAAAAAEAAQA+QAAAJMDAAAAAA==&#10;" strokecolor="#4f81bd [3204]" strokeweight="1.5pt">
                <v:stroke endarrow="block" joinstyle="miter"/>
                <o:lock v:ext="edit" shapetype="f"/>
              </v:shape>
              <v:shape id="Text Box 130" o:spid="_x0000_s1118" type="#_x0000_t202" style="position:absolute;left:4773;top:4202;width:1800;height:3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N70A&#10;AADcAAAADwAAAGRycy9kb3ducmV2LnhtbERPSwrCMBDdC94hjOBGNFX8VqOooLj1c4CxGdtiMylN&#10;tPX2ZiG4fLz/atOYQrypcrllBcNBBII4sTrnVMHteujPQTiPrLGwTAo+5GCzbrdWGGtb85neF5+K&#10;EMIuRgWZ92UspUsyMugGtiQO3MNWBn2AVSp1hXUIN4UcRdFUGsw5NGRY0j6j5Hl5GQWPU92bLOr7&#10;0d9m5/F0h/nsbj9KdTvNdgnCU+P/4p/7pBWM5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otN70AAADcAAAADwAAAAAAAAAAAAAAAACYAgAAZHJzL2Rvd25yZXYu&#10;eG1sUEsFBgAAAAAEAAQA9QAAAIIDAAAAAA==&#10;" stroked="f">
                <v:textbox style="mso-next-textbox:#Text Box 130">
                  <w:txbxContent>
                    <w:p w:rsidR="009D3B38" w:rsidRDefault="009D3B38" w:rsidP="008D5399">
                      <w:pPr>
                        <w:spacing w:after="0"/>
                        <w:rPr>
                          <w:b/>
                        </w:rPr>
                      </w:pPr>
                      <w:r>
                        <w:rPr>
                          <w:b/>
                        </w:rPr>
                        <w:t>Tropical</w:t>
                      </w:r>
                      <w:r w:rsidRPr="00767B14">
                        <w:rPr>
                          <w:b/>
                        </w:rPr>
                        <w:t xml:space="preserve"> regions</w:t>
                      </w:r>
                    </w:p>
                    <w:p w:rsidR="009D3B38" w:rsidRDefault="009D3B38" w:rsidP="008D5399">
                      <w:pPr>
                        <w:spacing w:after="0"/>
                        <w:rPr>
                          <w:b/>
                        </w:rPr>
                      </w:pPr>
                    </w:p>
                    <w:p w:rsidR="009D3B38" w:rsidRPr="00767B14" w:rsidRDefault="009D3B38" w:rsidP="008D5399">
                      <w:pPr>
                        <w:spacing w:after="0"/>
                        <w:rPr>
                          <w:b/>
                        </w:rPr>
                      </w:pPr>
                    </w:p>
                  </w:txbxContent>
                </v:textbox>
              </v:shape>
              <v:shape id="Straight Arrow Connector 2" o:spid="_x0000_s1119" type="#_x0000_t32" style="position:absolute;left:4529;top:4586;width:139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3V8cMAAADcAAAADwAAAGRycy9kb3ducmV2LnhtbESPT4vCMBTE74LfITxhL2LTehCppiK6&#10;C3tcq+L10bz+weal22S1++2NIHgcZuY3zHozmFbcqHeNZQVJFIMgLqxuuFJwOn7NliCcR9bYWiYF&#10;/+Rgk41Ha0y1vfOBbrmvRICwS1FB7X2XSumKmgy6yHbEwSttb9AH2VdS93gPcNPKeRwvpMGGw0KN&#10;He1qKq75n1Gwp6mT7W98psvn4lKWyc8+l5VSH5NhuwLhafDv8Kv9rRXMlwk8z4QjI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91fHDAAAA3AAAAA8AAAAAAAAAAAAA&#10;AAAAoQIAAGRycy9kb3ducmV2LnhtbFBLBQYAAAAABAAEAPkAAACRAwAAAAA=&#10;" strokecolor="#4f81bd [3204]" strokeweight="1.5pt">
                <v:stroke endarrow="block" joinstyle="miter"/>
                <o:lock v:ext="edit" shapetype="f"/>
              </v:shape>
            </v:group>
            <w10:wrap type="none"/>
            <w10:anchorlock/>
          </v:group>
        </w:pict>
      </w:r>
    </w:p>
    <w:p w:rsidR="007F2F9C" w:rsidRPr="008F5C55" w:rsidRDefault="007F2F9C" w:rsidP="008D5399">
      <w:pPr>
        <w:autoSpaceDE w:val="0"/>
        <w:autoSpaceDN w:val="0"/>
        <w:adjustRightInd w:val="0"/>
        <w:spacing w:line="276" w:lineRule="auto"/>
        <w:ind w:left="2160"/>
        <w:rPr>
          <w:rFonts w:cs="Times New Roman"/>
          <w:b/>
          <w:i/>
          <w:sz w:val="20"/>
          <w:szCs w:val="20"/>
        </w:rPr>
      </w:pPr>
      <w:r w:rsidRPr="008F5C55">
        <w:rPr>
          <w:rFonts w:cs="Times New Roman"/>
          <w:b/>
          <w:i/>
          <w:sz w:val="20"/>
          <w:szCs w:val="20"/>
        </w:rPr>
        <w:t>So</w:t>
      </w:r>
      <w:r>
        <w:rPr>
          <w:rFonts w:cs="Times New Roman"/>
          <w:b/>
          <w:i/>
          <w:sz w:val="20"/>
          <w:szCs w:val="20"/>
        </w:rPr>
        <w:t>urce: Adapted from Stern, 2007</w:t>
      </w:r>
    </w:p>
    <w:p w:rsidR="007F2F9C" w:rsidRPr="00F77A18" w:rsidRDefault="00F64A6A" w:rsidP="00025234">
      <w:pPr>
        <w:autoSpaceDE w:val="0"/>
        <w:autoSpaceDN w:val="0"/>
        <w:adjustRightInd w:val="0"/>
        <w:spacing w:line="276" w:lineRule="auto"/>
        <w:jc w:val="both"/>
        <w:rPr>
          <w:rFonts w:cs="Times New Roman"/>
          <w:sz w:val="18"/>
          <w:szCs w:val="18"/>
        </w:rPr>
      </w:pPr>
      <w:r w:rsidRPr="00F64A6A">
        <w:rPr>
          <w:rFonts w:cs="Times New Roman"/>
          <w:szCs w:val="24"/>
          <w:u w:val="single"/>
        </w:rPr>
        <w:t>This Chapter focuses on both the direct and economy-wide impacts of climate change on agriculture and food security from a full range of climate risks, including droughts, floods, sea level rise, warmer temperatures, and increased CO</w:t>
      </w:r>
      <w:r w:rsidRPr="00F64A6A">
        <w:rPr>
          <w:rFonts w:cs="Times New Roman"/>
          <w:szCs w:val="24"/>
          <w:u w:val="single"/>
          <w:vertAlign w:val="subscript"/>
        </w:rPr>
        <w:t xml:space="preserve">2 </w:t>
      </w:r>
      <w:r w:rsidRPr="00F64A6A">
        <w:rPr>
          <w:rFonts w:cs="Times New Roman"/>
          <w:szCs w:val="24"/>
          <w:u w:val="single"/>
        </w:rPr>
        <w:t>concentrations. The importance of agriculture, forestry and fishing for rural livelihoods and poverty reduction will vary by the geography of the hotspots.</w:t>
      </w:r>
      <w:r w:rsidR="007F2F9C" w:rsidRPr="00CA7093">
        <w:rPr>
          <w:rFonts w:cs="Times New Roman"/>
          <w:szCs w:val="24"/>
        </w:rPr>
        <w:t xml:space="preserve">  The strategies and solutions for sustainable agriculture, forestry and fish</w:t>
      </w:r>
      <w:r w:rsidR="0009764A">
        <w:rPr>
          <w:rFonts w:cs="Times New Roman"/>
          <w:szCs w:val="24"/>
        </w:rPr>
        <w:t>eries</w:t>
      </w:r>
      <w:r w:rsidR="007F2F9C" w:rsidRPr="00CA7093">
        <w:rPr>
          <w:rFonts w:cs="Times New Roman"/>
          <w:szCs w:val="24"/>
        </w:rPr>
        <w:t xml:space="preserve"> will also vary by the nature of the hotspots.  In this chapter we provide a detailed review of these activities and emerging challenges to livelihood, poverty reduction, and food security in the context of the hotspots and oncoming climate change impacts. The underlying water, land, climate change and environmental factors and their implications for the agriculture, forestry and fish</w:t>
      </w:r>
      <w:r w:rsidR="005D3062">
        <w:rPr>
          <w:rFonts w:cs="Times New Roman"/>
          <w:szCs w:val="24"/>
        </w:rPr>
        <w:t>ery</w:t>
      </w:r>
      <w:r w:rsidR="007F2F9C" w:rsidRPr="00CA7093">
        <w:rPr>
          <w:rFonts w:cs="Times New Roman"/>
          <w:szCs w:val="24"/>
        </w:rPr>
        <w:t xml:space="preserve"> activities and the associated threats are analyzed. Strategic approaches to address climate change impacts in terms of adaptation and mitigation are then articulated as key ingredients of development planning. </w:t>
      </w:r>
    </w:p>
    <w:p w:rsidR="00F64A6A" w:rsidRDefault="007F2F9C" w:rsidP="00F64A6A">
      <w:pPr>
        <w:pStyle w:val="Heading2"/>
      </w:pPr>
      <w:bookmarkStart w:id="570" w:name="_Toc474638899"/>
      <w:r w:rsidRPr="00025234">
        <w:t>Opportunities and Challenges in Agriculture</w:t>
      </w:r>
      <w:bookmarkEnd w:id="570"/>
    </w:p>
    <w:p w:rsidR="007F2F9C" w:rsidRDefault="007F2F9C" w:rsidP="00025234">
      <w:pPr>
        <w:pStyle w:val="ListParagraph"/>
        <w:spacing w:line="276" w:lineRule="auto"/>
        <w:ind w:left="0"/>
        <w:contextualSpacing w:val="0"/>
        <w:jc w:val="both"/>
      </w:pPr>
      <w:r>
        <w:t xml:space="preserve">The Bangladesh Delta presents tremendous opportunities </w:t>
      </w:r>
      <w:r w:rsidR="0019593F">
        <w:t xml:space="preserve">for agriculture </w:t>
      </w:r>
      <w:r>
        <w:t>but also many challenges. The land is fertile and the availability of abundant water on aggregate through the many rivers, rainfall and ground water helps sustain a very productive agriculture.  Bangladesh has done well in increasing food production.  River fish</w:t>
      </w:r>
      <w:r w:rsidR="005D3062">
        <w:t>ery</w:t>
      </w:r>
      <w:r>
        <w:t xml:space="preserve"> and increasingly sea fish</w:t>
      </w:r>
      <w:r w:rsidR="005D3062">
        <w:t>ery</w:t>
      </w:r>
      <w:r>
        <w:t xml:space="preserve"> based on the open access to sea are increasingly an important source of employment and income.  Both have contributed to substantial progress on food security from the supply side. </w:t>
      </w:r>
      <w:r w:rsidR="00F64A6A" w:rsidRPr="00F64A6A">
        <w:rPr>
          <w:u w:val="single"/>
        </w:rPr>
        <w:t>The accretion of new land from the river system has increased substantially over the 2000-2010 period, estimated at 264,347 ha.  This is an important resource for the land-constrained economy of Bangladesh.</w:t>
      </w:r>
      <w:r>
        <w:t xml:space="preserve"> Yet, these sources of livelihood for the rural poor and food security for the country as a whole face many challenges.  </w:t>
      </w:r>
    </w:p>
    <w:p w:rsidR="00E52937" w:rsidRPr="00974AEB" w:rsidRDefault="007F2F9C" w:rsidP="00974AEB">
      <w:pPr>
        <w:pStyle w:val="ListParagraph"/>
        <w:spacing w:line="276" w:lineRule="auto"/>
        <w:ind w:left="0"/>
        <w:contextualSpacing w:val="0"/>
        <w:jc w:val="both"/>
      </w:pPr>
      <w:r>
        <w:lastRenderedPageBreak/>
        <w:t xml:space="preserve">Water-related hazards could be exacerbated by the emerging climate change developments. The various water-related hazards, impinging on agricultural activity, are illustrated in Table </w:t>
      </w:r>
      <w:r w:rsidR="00B50A6C">
        <w:t>8.</w:t>
      </w:r>
      <w:r w:rsidR="00EF3CDF">
        <w:t>1</w:t>
      </w:r>
      <w:bookmarkStart w:id="571" w:name="_Toc430703464"/>
      <w:bookmarkStart w:id="572" w:name="_Toc431291402"/>
      <w:r w:rsidR="00974AEB">
        <w:t xml:space="preserve">.  </w:t>
      </w:r>
    </w:p>
    <w:p w:rsidR="007F2F9C" w:rsidRPr="000359AF" w:rsidRDefault="00F64A6A" w:rsidP="00E3762D">
      <w:pPr>
        <w:pStyle w:val="Heading4"/>
        <w:rPr>
          <w:u w:val="single"/>
        </w:rPr>
      </w:pPr>
      <w:bookmarkStart w:id="573" w:name="_Toc474639045"/>
      <w:r w:rsidRPr="00F64A6A">
        <w:rPr>
          <w:u w:val="single"/>
        </w:rPr>
        <w:t xml:space="preserve">Table 8.1: </w:t>
      </w:r>
      <w:bookmarkEnd w:id="571"/>
      <w:bookmarkEnd w:id="572"/>
      <w:r w:rsidRPr="00F64A6A">
        <w:rPr>
          <w:u w:val="single"/>
        </w:rPr>
        <w:t>Delta Implications for Agriculture</w:t>
      </w:r>
      <w:bookmarkEnd w:id="573"/>
    </w:p>
    <w:tbl>
      <w:tblPr>
        <w:tblStyle w:val="TableGrid"/>
        <w:tblW w:w="0" w:type="auto"/>
        <w:tblLook w:val="04A0"/>
      </w:tblPr>
      <w:tblGrid>
        <w:gridCol w:w="2268"/>
        <w:gridCol w:w="3960"/>
        <w:gridCol w:w="3348"/>
      </w:tblGrid>
      <w:tr w:rsidR="007F2F9C" w:rsidTr="00005EAC">
        <w:tc>
          <w:tcPr>
            <w:tcW w:w="2268" w:type="dxa"/>
          </w:tcPr>
          <w:p w:rsidR="007F2F9C" w:rsidRPr="004106C6" w:rsidRDefault="007F2F9C" w:rsidP="00005EAC">
            <w:pPr>
              <w:pStyle w:val="ListParagraph"/>
              <w:spacing w:after="0"/>
              <w:ind w:left="0"/>
              <w:jc w:val="both"/>
              <w:rPr>
                <w:b/>
                <w:sz w:val="20"/>
                <w:szCs w:val="18"/>
              </w:rPr>
            </w:pPr>
            <w:r w:rsidRPr="004106C6">
              <w:rPr>
                <w:b/>
                <w:sz w:val="20"/>
                <w:szCs w:val="18"/>
              </w:rPr>
              <w:t>Water-Related Hazards</w:t>
            </w:r>
          </w:p>
        </w:tc>
        <w:tc>
          <w:tcPr>
            <w:tcW w:w="3960" w:type="dxa"/>
          </w:tcPr>
          <w:p w:rsidR="007F2F9C" w:rsidRPr="004106C6" w:rsidRDefault="007F2F9C" w:rsidP="00005EAC">
            <w:pPr>
              <w:pStyle w:val="ListParagraph"/>
              <w:spacing w:after="0"/>
              <w:ind w:left="0"/>
              <w:jc w:val="both"/>
              <w:rPr>
                <w:b/>
                <w:sz w:val="20"/>
                <w:szCs w:val="18"/>
              </w:rPr>
            </w:pPr>
            <w:r w:rsidRPr="004106C6">
              <w:rPr>
                <w:b/>
                <w:sz w:val="20"/>
                <w:szCs w:val="18"/>
              </w:rPr>
              <w:t>Risk Factors</w:t>
            </w:r>
          </w:p>
        </w:tc>
        <w:tc>
          <w:tcPr>
            <w:tcW w:w="3348" w:type="dxa"/>
          </w:tcPr>
          <w:p w:rsidR="007F2F9C" w:rsidRPr="004106C6" w:rsidRDefault="007F2F9C" w:rsidP="00005EAC">
            <w:pPr>
              <w:pStyle w:val="ListParagraph"/>
              <w:spacing w:after="0"/>
              <w:ind w:left="0"/>
              <w:jc w:val="both"/>
              <w:rPr>
                <w:b/>
                <w:sz w:val="20"/>
                <w:szCs w:val="18"/>
              </w:rPr>
            </w:pPr>
            <w:r w:rsidRPr="004106C6">
              <w:rPr>
                <w:b/>
                <w:sz w:val="20"/>
                <w:szCs w:val="18"/>
              </w:rPr>
              <w:t>Opportunities</w:t>
            </w:r>
          </w:p>
        </w:tc>
      </w:tr>
      <w:tr w:rsidR="007F2F9C" w:rsidTr="00005EAC">
        <w:tc>
          <w:tcPr>
            <w:tcW w:w="2268" w:type="dxa"/>
          </w:tcPr>
          <w:p w:rsidR="007F2F9C" w:rsidRPr="00E37311" w:rsidRDefault="007F2F9C" w:rsidP="00005EAC">
            <w:pPr>
              <w:pStyle w:val="ListParagraph"/>
              <w:spacing w:after="0"/>
              <w:ind w:left="0"/>
              <w:jc w:val="both"/>
              <w:rPr>
                <w:sz w:val="20"/>
              </w:rPr>
            </w:pPr>
            <w:r w:rsidRPr="00E37311">
              <w:rPr>
                <w:sz w:val="20"/>
              </w:rPr>
              <w:t>Delta location</w:t>
            </w:r>
          </w:p>
        </w:tc>
        <w:tc>
          <w:tcPr>
            <w:tcW w:w="3960" w:type="dxa"/>
          </w:tcPr>
          <w:p w:rsidR="007F2F9C" w:rsidRDefault="007F2F9C" w:rsidP="00005EAC">
            <w:pPr>
              <w:pStyle w:val="ListParagraph"/>
              <w:spacing w:after="0"/>
              <w:ind w:left="0"/>
              <w:jc w:val="both"/>
              <w:rPr>
                <w:sz w:val="20"/>
              </w:rPr>
            </w:pPr>
          </w:p>
        </w:tc>
        <w:tc>
          <w:tcPr>
            <w:tcW w:w="3348" w:type="dxa"/>
          </w:tcPr>
          <w:p w:rsidR="007F2F9C" w:rsidRDefault="007F2F9C" w:rsidP="00005EAC">
            <w:pPr>
              <w:pStyle w:val="ListParagraph"/>
              <w:spacing w:after="0"/>
              <w:ind w:left="0"/>
              <w:jc w:val="both"/>
              <w:rPr>
                <w:sz w:val="20"/>
              </w:rPr>
            </w:pPr>
            <w:r>
              <w:rPr>
                <w:sz w:val="20"/>
              </w:rPr>
              <w:t>Plentiful of water supply; rich soil fertility; strong potential for fish</w:t>
            </w:r>
            <w:r w:rsidR="005D3062">
              <w:rPr>
                <w:sz w:val="20"/>
              </w:rPr>
              <w:t>ery</w:t>
            </w:r>
            <w:r>
              <w:rPr>
                <w:sz w:val="20"/>
              </w:rPr>
              <w:t>.</w:t>
            </w:r>
          </w:p>
        </w:tc>
      </w:tr>
      <w:tr w:rsidR="007F2F9C" w:rsidTr="00005EAC">
        <w:tc>
          <w:tcPr>
            <w:tcW w:w="2268" w:type="dxa"/>
          </w:tcPr>
          <w:p w:rsidR="007F2F9C" w:rsidRPr="00E37311" w:rsidRDefault="007F2F9C" w:rsidP="00005EAC">
            <w:pPr>
              <w:pStyle w:val="ListParagraph"/>
              <w:spacing w:after="0"/>
              <w:ind w:left="0"/>
              <w:jc w:val="both"/>
              <w:rPr>
                <w:sz w:val="20"/>
              </w:rPr>
            </w:pPr>
            <w:r w:rsidRPr="00E37311">
              <w:rPr>
                <w:sz w:val="20"/>
              </w:rPr>
              <w:t xml:space="preserve">Floods </w:t>
            </w:r>
          </w:p>
        </w:tc>
        <w:tc>
          <w:tcPr>
            <w:tcW w:w="3960" w:type="dxa"/>
          </w:tcPr>
          <w:p w:rsidR="007F2F9C" w:rsidRPr="00176274" w:rsidRDefault="007F2F9C" w:rsidP="00005EAC">
            <w:pPr>
              <w:pStyle w:val="ListParagraph"/>
              <w:spacing w:after="0"/>
              <w:ind w:left="0"/>
              <w:jc w:val="both"/>
              <w:rPr>
                <w:sz w:val="20"/>
              </w:rPr>
            </w:pPr>
            <w:r>
              <w:rPr>
                <w:sz w:val="20"/>
              </w:rPr>
              <w:t>Damages to crops and physical assets</w:t>
            </w:r>
          </w:p>
        </w:tc>
        <w:tc>
          <w:tcPr>
            <w:tcW w:w="3348" w:type="dxa"/>
          </w:tcPr>
          <w:p w:rsidR="007F2F9C" w:rsidRPr="00176274" w:rsidRDefault="007F2F9C" w:rsidP="00005EAC">
            <w:pPr>
              <w:pStyle w:val="ListParagraph"/>
              <w:spacing w:after="0"/>
              <w:ind w:left="0"/>
              <w:jc w:val="both"/>
              <w:rPr>
                <w:sz w:val="20"/>
              </w:rPr>
            </w:pPr>
            <w:r>
              <w:rPr>
                <w:sz w:val="20"/>
              </w:rPr>
              <w:t xml:space="preserve">Flooding recharges soil fertility </w:t>
            </w:r>
          </w:p>
        </w:tc>
      </w:tr>
      <w:tr w:rsidR="007F2F9C" w:rsidTr="00005EAC">
        <w:tc>
          <w:tcPr>
            <w:tcW w:w="2268" w:type="dxa"/>
          </w:tcPr>
          <w:p w:rsidR="007F2F9C" w:rsidRPr="00E37311" w:rsidRDefault="007F2F9C" w:rsidP="00005EAC">
            <w:pPr>
              <w:pStyle w:val="ListParagraph"/>
              <w:spacing w:after="0"/>
              <w:ind w:left="0"/>
              <w:jc w:val="both"/>
              <w:rPr>
                <w:sz w:val="20"/>
              </w:rPr>
            </w:pPr>
            <w:r w:rsidRPr="00E37311">
              <w:rPr>
                <w:sz w:val="20"/>
              </w:rPr>
              <w:t>Cyclones</w:t>
            </w:r>
          </w:p>
        </w:tc>
        <w:tc>
          <w:tcPr>
            <w:tcW w:w="3960" w:type="dxa"/>
          </w:tcPr>
          <w:p w:rsidR="007F2F9C" w:rsidRPr="00176274" w:rsidRDefault="007F2F9C" w:rsidP="00005EAC">
            <w:pPr>
              <w:pStyle w:val="ListParagraph"/>
              <w:spacing w:after="0"/>
              <w:ind w:left="0"/>
              <w:jc w:val="both"/>
              <w:rPr>
                <w:sz w:val="20"/>
              </w:rPr>
            </w:pPr>
            <w:r>
              <w:rPr>
                <w:sz w:val="20"/>
              </w:rPr>
              <w:t xml:space="preserve">Loss of human lives, damages to crops, forestry, </w:t>
            </w:r>
          </w:p>
        </w:tc>
        <w:tc>
          <w:tcPr>
            <w:tcW w:w="3348" w:type="dxa"/>
          </w:tcPr>
          <w:p w:rsidR="007F2F9C" w:rsidRPr="00176274" w:rsidRDefault="007F2F9C" w:rsidP="00005EAC">
            <w:pPr>
              <w:pStyle w:val="ListParagraph"/>
              <w:spacing w:after="0"/>
              <w:ind w:left="0"/>
              <w:jc w:val="both"/>
              <w:rPr>
                <w:sz w:val="20"/>
              </w:rPr>
            </w:pPr>
          </w:p>
        </w:tc>
      </w:tr>
      <w:tr w:rsidR="007F2F9C" w:rsidTr="00005EAC">
        <w:tc>
          <w:tcPr>
            <w:tcW w:w="2268" w:type="dxa"/>
          </w:tcPr>
          <w:p w:rsidR="007F2F9C" w:rsidRPr="00E37311" w:rsidRDefault="007F2F9C" w:rsidP="00005EAC">
            <w:pPr>
              <w:pStyle w:val="ListParagraph"/>
              <w:spacing w:after="0"/>
              <w:ind w:left="0"/>
              <w:jc w:val="both"/>
              <w:rPr>
                <w:sz w:val="20"/>
              </w:rPr>
            </w:pPr>
            <w:r w:rsidRPr="00E37311">
              <w:rPr>
                <w:sz w:val="20"/>
              </w:rPr>
              <w:t>Sea-Level Rise</w:t>
            </w:r>
          </w:p>
        </w:tc>
        <w:tc>
          <w:tcPr>
            <w:tcW w:w="3960" w:type="dxa"/>
          </w:tcPr>
          <w:p w:rsidR="007F2F9C" w:rsidRPr="00176274" w:rsidRDefault="007F2F9C" w:rsidP="00005EAC">
            <w:pPr>
              <w:pStyle w:val="ListParagraph"/>
              <w:spacing w:after="0"/>
              <w:ind w:left="0"/>
              <w:jc w:val="both"/>
              <w:rPr>
                <w:sz w:val="20"/>
              </w:rPr>
            </w:pPr>
            <w:r>
              <w:rPr>
                <w:sz w:val="20"/>
              </w:rPr>
              <w:t xml:space="preserve">Causes loss of available land for cultivation and human habitation and increasing soil salinity </w:t>
            </w:r>
          </w:p>
        </w:tc>
        <w:tc>
          <w:tcPr>
            <w:tcW w:w="3348" w:type="dxa"/>
          </w:tcPr>
          <w:p w:rsidR="007F2F9C" w:rsidRDefault="007F2F9C" w:rsidP="00005EAC">
            <w:pPr>
              <w:pStyle w:val="ListParagraph"/>
              <w:spacing w:after="0"/>
              <w:ind w:left="0"/>
              <w:jc w:val="both"/>
              <w:rPr>
                <w:sz w:val="20"/>
              </w:rPr>
            </w:pPr>
            <w:r>
              <w:rPr>
                <w:sz w:val="20"/>
              </w:rPr>
              <w:t>Salinity creates opportunities for shrimp farming and mining of sea-salt.</w:t>
            </w:r>
          </w:p>
        </w:tc>
      </w:tr>
      <w:tr w:rsidR="007F2F9C" w:rsidTr="00005EAC">
        <w:tc>
          <w:tcPr>
            <w:tcW w:w="2268" w:type="dxa"/>
          </w:tcPr>
          <w:p w:rsidR="007F2F9C" w:rsidRPr="00E37311" w:rsidRDefault="007F2F9C" w:rsidP="00005EAC">
            <w:pPr>
              <w:pStyle w:val="ListParagraph"/>
              <w:spacing w:after="0"/>
              <w:ind w:left="0"/>
              <w:jc w:val="both"/>
              <w:rPr>
                <w:sz w:val="20"/>
              </w:rPr>
            </w:pPr>
            <w:r w:rsidRPr="00E37311">
              <w:rPr>
                <w:sz w:val="20"/>
              </w:rPr>
              <w:t>Water Logging</w:t>
            </w:r>
          </w:p>
        </w:tc>
        <w:tc>
          <w:tcPr>
            <w:tcW w:w="3960" w:type="dxa"/>
          </w:tcPr>
          <w:p w:rsidR="007F2F9C" w:rsidRPr="00176274" w:rsidRDefault="007F2F9C" w:rsidP="00005EAC">
            <w:pPr>
              <w:pStyle w:val="ListParagraph"/>
              <w:spacing w:after="0"/>
              <w:ind w:left="0"/>
              <w:jc w:val="both"/>
              <w:rPr>
                <w:sz w:val="20"/>
              </w:rPr>
            </w:pPr>
            <w:r>
              <w:rPr>
                <w:sz w:val="20"/>
              </w:rPr>
              <w:t>Crop damage</w:t>
            </w:r>
          </w:p>
        </w:tc>
        <w:tc>
          <w:tcPr>
            <w:tcW w:w="3348" w:type="dxa"/>
          </w:tcPr>
          <w:p w:rsidR="007F2F9C" w:rsidRPr="00176274" w:rsidRDefault="007F2F9C" w:rsidP="00005EAC">
            <w:pPr>
              <w:pStyle w:val="ListParagraph"/>
              <w:spacing w:after="0"/>
              <w:ind w:left="0"/>
              <w:jc w:val="both"/>
              <w:rPr>
                <w:sz w:val="20"/>
              </w:rPr>
            </w:pPr>
          </w:p>
        </w:tc>
      </w:tr>
      <w:tr w:rsidR="007F2F9C" w:rsidTr="00005EAC">
        <w:tc>
          <w:tcPr>
            <w:tcW w:w="2268" w:type="dxa"/>
          </w:tcPr>
          <w:p w:rsidR="007F2F9C" w:rsidRPr="00E37311" w:rsidRDefault="007F2F9C" w:rsidP="00005EAC">
            <w:pPr>
              <w:pStyle w:val="ListParagraph"/>
              <w:spacing w:after="0"/>
              <w:ind w:left="0"/>
              <w:jc w:val="both"/>
              <w:rPr>
                <w:sz w:val="20"/>
              </w:rPr>
            </w:pPr>
            <w:r w:rsidRPr="00E37311">
              <w:rPr>
                <w:sz w:val="20"/>
              </w:rPr>
              <w:t>Siltation</w:t>
            </w:r>
          </w:p>
        </w:tc>
        <w:tc>
          <w:tcPr>
            <w:tcW w:w="3960" w:type="dxa"/>
          </w:tcPr>
          <w:p w:rsidR="007F2F9C" w:rsidRPr="00176274" w:rsidRDefault="007F2F9C" w:rsidP="00005EAC">
            <w:pPr>
              <w:pStyle w:val="ListParagraph"/>
              <w:spacing w:after="0"/>
              <w:ind w:left="0"/>
              <w:jc w:val="both"/>
              <w:rPr>
                <w:sz w:val="20"/>
              </w:rPr>
            </w:pPr>
            <w:r>
              <w:rPr>
                <w:sz w:val="20"/>
              </w:rPr>
              <w:t xml:space="preserve">Creates river flow barriers leading to river flooding and  navigation problems </w:t>
            </w:r>
          </w:p>
        </w:tc>
        <w:tc>
          <w:tcPr>
            <w:tcW w:w="3348" w:type="dxa"/>
          </w:tcPr>
          <w:p w:rsidR="007F2F9C" w:rsidRDefault="007F2F9C" w:rsidP="00005EAC">
            <w:pPr>
              <w:pStyle w:val="ListParagraph"/>
              <w:spacing w:after="0"/>
              <w:ind w:left="0"/>
              <w:jc w:val="both"/>
              <w:rPr>
                <w:sz w:val="20"/>
              </w:rPr>
            </w:pPr>
            <w:r>
              <w:rPr>
                <w:sz w:val="20"/>
              </w:rPr>
              <w:t>Creates opportunity for land accretion</w:t>
            </w:r>
          </w:p>
        </w:tc>
      </w:tr>
      <w:tr w:rsidR="007F2F9C" w:rsidTr="00005EAC">
        <w:tc>
          <w:tcPr>
            <w:tcW w:w="2268" w:type="dxa"/>
          </w:tcPr>
          <w:p w:rsidR="007F2F9C" w:rsidRPr="00E37311" w:rsidRDefault="007F2F9C" w:rsidP="00005EAC">
            <w:pPr>
              <w:pStyle w:val="ListParagraph"/>
              <w:spacing w:after="0"/>
              <w:ind w:left="0"/>
              <w:jc w:val="both"/>
              <w:rPr>
                <w:sz w:val="20"/>
              </w:rPr>
            </w:pPr>
            <w:r w:rsidRPr="00E37311">
              <w:rPr>
                <w:sz w:val="20"/>
              </w:rPr>
              <w:t>Land Erosion</w:t>
            </w:r>
          </w:p>
        </w:tc>
        <w:tc>
          <w:tcPr>
            <w:tcW w:w="3960" w:type="dxa"/>
          </w:tcPr>
          <w:p w:rsidR="007F2F9C" w:rsidRPr="00176274" w:rsidRDefault="007F2F9C" w:rsidP="00005EAC">
            <w:pPr>
              <w:pStyle w:val="ListParagraph"/>
              <w:spacing w:after="0"/>
              <w:ind w:left="0"/>
              <w:jc w:val="both"/>
              <w:rPr>
                <w:sz w:val="20"/>
              </w:rPr>
            </w:pPr>
            <w:r>
              <w:rPr>
                <w:sz w:val="20"/>
              </w:rPr>
              <w:t>Loss of usable land</w:t>
            </w:r>
          </w:p>
        </w:tc>
        <w:tc>
          <w:tcPr>
            <w:tcW w:w="3348" w:type="dxa"/>
          </w:tcPr>
          <w:p w:rsidR="007F2F9C" w:rsidRDefault="007F2F9C" w:rsidP="00005EAC">
            <w:pPr>
              <w:pStyle w:val="ListParagraph"/>
              <w:spacing w:after="0"/>
              <w:ind w:left="0"/>
              <w:jc w:val="both"/>
              <w:rPr>
                <w:sz w:val="20"/>
              </w:rPr>
            </w:pPr>
          </w:p>
        </w:tc>
      </w:tr>
      <w:tr w:rsidR="007F2F9C" w:rsidTr="00005EAC">
        <w:tc>
          <w:tcPr>
            <w:tcW w:w="2268" w:type="dxa"/>
          </w:tcPr>
          <w:p w:rsidR="007F2F9C" w:rsidRPr="00E37311" w:rsidRDefault="007F2F9C" w:rsidP="00005EAC">
            <w:pPr>
              <w:pStyle w:val="ListParagraph"/>
              <w:spacing w:after="0"/>
              <w:ind w:left="0"/>
              <w:jc w:val="both"/>
              <w:rPr>
                <w:sz w:val="20"/>
              </w:rPr>
            </w:pPr>
            <w:r w:rsidRPr="00E37311">
              <w:rPr>
                <w:sz w:val="20"/>
              </w:rPr>
              <w:t>Drought Prone Areas</w:t>
            </w:r>
          </w:p>
        </w:tc>
        <w:tc>
          <w:tcPr>
            <w:tcW w:w="3960" w:type="dxa"/>
          </w:tcPr>
          <w:p w:rsidR="007F2F9C" w:rsidRPr="00176274" w:rsidRDefault="007F2F9C" w:rsidP="00005EAC">
            <w:pPr>
              <w:pStyle w:val="ListParagraph"/>
              <w:spacing w:after="0"/>
              <w:ind w:left="0"/>
              <w:jc w:val="both"/>
              <w:rPr>
                <w:sz w:val="20"/>
              </w:rPr>
            </w:pPr>
            <w:r>
              <w:rPr>
                <w:sz w:val="20"/>
              </w:rPr>
              <w:t>Low water recharge causing non-sustainable water use for agriculture</w:t>
            </w:r>
          </w:p>
        </w:tc>
        <w:tc>
          <w:tcPr>
            <w:tcW w:w="3348" w:type="dxa"/>
          </w:tcPr>
          <w:p w:rsidR="007F2F9C" w:rsidRPr="00176274" w:rsidRDefault="007F2F9C" w:rsidP="00005EAC">
            <w:pPr>
              <w:pStyle w:val="ListParagraph"/>
              <w:spacing w:after="0"/>
              <w:ind w:left="0"/>
              <w:jc w:val="both"/>
              <w:rPr>
                <w:sz w:val="20"/>
              </w:rPr>
            </w:pPr>
          </w:p>
        </w:tc>
      </w:tr>
    </w:tbl>
    <w:p w:rsidR="007F2F9C" w:rsidRDefault="007F2F9C" w:rsidP="00005EAC">
      <w:pPr>
        <w:pStyle w:val="ListParagraph"/>
        <w:ind w:left="0"/>
        <w:jc w:val="both"/>
      </w:pPr>
    </w:p>
    <w:p w:rsidR="00C00C1A" w:rsidRDefault="00C00C1A" w:rsidP="00025234">
      <w:pPr>
        <w:pStyle w:val="ListParagraph"/>
        <w:spacing w:line="276" w:lineRule="auto"/>
        <w:ind w:left="0"/>
        <w:contextualSpacing w:val="0"/>
        <w:jc w:val="both"/>
      </w:pPr>
      <w:r>
        <w:t>Floods are a recurring feature in Bangladesh, often causing heavy loss of crops, cattle, and homestead and prolong sufferings to affected people. Cyclones happen periodically, sometimes proving deadly with tremendous cost in terms of loss of output, human lives and property.  Sea water encroachment in the coastal belt creates problems of salinity, posing challenge to cropping and productivity.  Soil erosion from river movements causes losses of land resulting in substantial loss of homestead and livelihood. Water logging due to poor drainage creates challenges for land use and agricultural production.  In parts of the Bangladesh Delta, drought and water shortages can challenge agricultural production, inflicting crop losses and loss of income for the poor.</w:t>
      </w:r>
    </w:p>
    <w:p w:rsidR="007F2F9C" w:rsidRDefault="007F2F9C" w:rsidP="00025234">
      <w:pPr>
        <w:pStyle w:val="ListParagraph"/>
        <w:spacing w:line="276" w:lineRule="auto"/>
        <w:ind w:left="0"/>
        <w:contextualSpacing w:val="0"/>
        <w:jc w:val="both"/>
      </w:pPr>
      <w:r>
        <w:t>Preservation of the ecological balance across the Bangladesh Delta is also at risk.  Forestry cover is threatened by cyclones and human extraction for income.</w:t>
      </w:r>
      <w:r w:rsidRPr="00D0074E">
        <w:rPr>
          <w:rFonts w:cs="Segoe UI"/>
          <w:szCs w:val="19"/>
        </w:rPr>
        <w:t xml:space="preserve"> Degradation of wetlands </w:t>
      </w:r>
      <w:r>
        <w:rPr>
          <w:rFonts w:cs="Segoe UI"/>
          <w:szCs w:val="19"/>
        </w:rPr>
        <w:t xml:space="preserve">owing to human interference </w:t>
      </w:r>
      <w:r w:rsidRPr="00D0074E">
        <w:rPr>
          <w:rFonts w:cs="Segoe UI"/>
          <w:szCs w:val="19"/>
        </w:rPr>
        <w:t>has caused several problems</w:t>
      </w:r>
      <w:r>
        <w:rPr>
          <w:rFonts w:cs="Segoe UI"/>
          <w:szCs w:val="19"/>
        </w:rPr>
        <w:t>,</w:t>
      </w:r>
      <w:r w:rsidRPr="00D0074E">
        <w:rPr>
          <w:rFonts w:cs="Segoe UI"/>
          <w:szCs w:val="19"/>
        </w:rPr>
        <w:t xml:space="preserve"> including extinction and reduction of wildlife, extinction of many indigenous wild and domesticated rice varieties, loss of many indigenous aquatic plants, herbs, shrubs and weeds, loss of natural soil nutrients, loss of natural water reservoirs and of their resultant benefits, increase in the occurrence of flooding and degeneration of wetland based ecosystem</w:t>
      </w:r>
      <w:r>
        <w:rPr>
          <w:rFonts w:cs="Segoe UI"/>
          <w:szCs w:val="19"/>
        </w:rPr>
        <w:t>s, and occupations</w:t>
      </w:r>
      <w:r w:rsidRPr="00D0074E">
        <w:rPr>
          <w:rFonts w:cs="Segoe UI"/>
          <w:szCs w:val="19"/>
        </w:rPr>
        <w:t xml:space="preserve">. </w:t>
      </w:r>
      <w:r>
        <w:t xml:space="preserve">Land degradation from salinity and water-logging creates problems for agricultural sustainability. In general, sustainable uses of land, water and forest cover are major issues for the Delta Region and poses serious challenges for sustainable agricultural development.   </w:t>
      </w:r>
    </w:p>
    <w:p w:rsidR="007F2F9C" w:rsidRDefault="007F2F9C" w:rsidP="00025234">
      <w:pPr>
        <w:pStyle w:val="ListParagraph"/>
        <w:spacing w:line="276" w:lineRule="auto"/>
        <w:ind w:left="0"/>
        <w:contextualSpacing w:val="0"/>
        <w:jc w:val="both"/>
      </w:pPr>
      <w:r>
        <w:t xml:space="preserve">These issues have prevailed for a long time and the population has adapted in a variety of ways.  Government policies and programs and supportive investments have also helped.  However, occasionally the solutions have also presented new challenges.  Traditional forms of irrigation </w:t>
      </w:r>
      <w:r>
        <w:lastRenderedPageBreak/>
        <w:t xml:space="preserve">have given way to mechanized large-scale irrigation.  Protection of coastal areas from tidal waves has led to construction of polders. Such large scale irrigation, drainage and flood control infrastructure have benefitted the population but also created their own dynamics owing to poor operation and maintenance and damages caused by large scale floods and cyclones. </w:t>
      </w:r>
    </w:p>
    <w:p w:rsidR="00000000" w:rsidRDefault="00EF3CDF" w:rsidP="003D5A31">
      <w:pPr>
        <w:pStyle w:val="BodyText"/>
        <w:numPr>
          <w:ilvl w:val="2"/>
          <w:numId w:val="152"/>
        </w:numPr>
        <w:spacing w:after="240" w:line="276" w:lineRule="auto"/>
        <w:jc w:val="both"/>
        <w:rPr>
          <w:rFonts w:cs="Times New Roman"/>
          <w:b/>
          <w:szCs w:val="24"/>
        </w:rPr>
      </w:pPr>
      <w:r w:rsidRPr="002B28F9">
        <w:rPr>
          <w:rFonts w:cs="Times New Roman"/>
          <w:b/>
          <w:szCs w:val="24"/>
        </w:rPr>
        <w:t>Agricultural Progress over the D</w:t>
      </w:r>
      <w:r w:rsidR="007F2F9C" w:rsidRPr="002B28F9">
        <w:rPr>
          <w:rFonts w:cs="Times New Roman"/>
          <w:b/>
          <w:szCs w:val="24"/>
        </w:rPr>
        <w:t>ecades</w:t>
      </w:r>
    </w:p>
    <w:p w:rsidR="007F2F9C" w:rsidRDefault="007F2F9C" w:rsidP="00025234">
      <w:pPr>
        <w:spacing w:line="271" w:lineRule="auto"/>
        <w:jc w:val="both"/>
        <w:rPr>
          <w:rFonts w:cs="Times New Roman"/>
          <w:szCs w:val="24"/>
        </w:rPr>
      </w:pPr>
      <w:r>
        <w:rPr>
          <w:rFonts w:cs="Times New Roman"/>
          <w:szCs w:val="24"/>
        </w:rPr>
        <w:t xml:space="preserve">The agriculture sector has contributed critically to the development of Bangladesh. </w:t>
      </w:r>
      <w:r w:rsidR="000359AF">
        <w:rPr>
          <w:rFonts w:cs="Times New Roman"/>
          <w:szCs w:val="24"/>
        </w:rPr>
        <w:t>Around 1975</w:t>
      </w:r>
      <w:r>
        <w:rPr>
          <w:rFonts w:cs="Times New Roman"/>
          <w:szCs w:val="24"/>
        </w:rPr>
        <w:t>, when the country gained independence, Bangladesh was a poor agrarian economy. Agriculture accounted for over 78% of total employment and more than 50% of value-added.  Between 75-80% of the population was poor, with most depending on peasant agriculture for livelihood.  The situation changed rapidly after independence. Strong focus on agriculture based on the adoption of the seed-fertilizer-water technology of the 1970s-1990s along with a very strong population control policy rapidly changed the rural scenario. Rapid gains were achieved in food productivity that enabled Bangladesh to achieve food self-sufficiency.  The poverty incidence was more than halved.  By 2000, the national poverty rate had fallen to 49% and rural poverty had come down to 52%, down from the 80% level in the early 1970s.   Subsequent progress in agriculture and the strengthening of economic transformation during 2000-2015 periods saw national and rural poverty decline further to 24% and 30% respectively by 2015.</w:t>
      </w:r>
    </w:p>
    <w:p w:rsidR="007F2F9C" w:rsidRPr="00C022C0" w:rsidRDefault="007F2F9C" w:rsidP="00025234">
      <w:pPr>
        <w:spacing w:line="271" w:lineRule="auto"/>
        <w:jc w:val="both"/>
        <w:rPr>
          <w:rFonts w:cs="Times New Roman"/>
          <w:szCs w:val="24"/>
        </w:rPr>
      </w:pPr>
      <w:r w:rsidRPr="00C022C0">
        <w:rPr>
          <w:rFonts w:cs="Times New Roman"/>
          <w:szCs w:val="24"/>
        </w:rPr>
        <w:t xml:space="preserve">Although the share of agriculture in </w:t>
      </w:r>
      <w:r>
        <w:rPr>
          <w:rFonts w:cs="Times New Roman"/>
          <w:szCs w:val="24"/>
        </w:rPr>
        <w:t>gross domestic product (GDP)</w:t>
      </w:r>
      <w:r w:rsidRPr="00C022C0">
        <w:rPr>
          <w:rFonts w:cs="Times New Roman"/>
          <w:szCs w:val="24"/>
        </w:rPr>
        <w:t xml:space="preserve"> declined</w:t>
      </w:r>
      <w:r>
        <w:rPr>
          <w:rFonts w:cs="Times New Roman"/>
          <w:szCs w:val="24"/>
        </w:rPr>
        <w:t xml:space="preserve"> to 17% in FY2015, compared to 50% in FY1973</w:t>
      </w:r>
      <w:r w:rsidRPr="00C022C0">
        <w:rPr>
          <w:rFonts w:cs="Times New Roman"/>
          <w:szCs w:val="24"/>
        </w:rPr>
        <w:t xml:space="preserve">, it </w:t>
      </w:r>
      <w:r>
        <w:rPr>
          <w:rFonts w:cs="Times New Roman"/>
          <w:szCs w:val="24"/>
        </w:rPr>
        <w:t xml:space="preserve">still </w:t>
      </w:r>
      <w:r w:rsidRPr="00C022C0">
        <w:rPr>
          <w:rFonts w:cs="Times New Roman"/>
          <w:szCs w:val="24"/>
        </w:rPr>
        <w:t>remains the predominant sector in terms of employment</w:t>
      </w:r>
      <w:r>
        <w:rPr>
          <w:rFonts w:cs="Times New Roman"/>
          <w:szCs w:val="24"/>
        </w:rPr>
        <w:t xml:space="preserve"> and livelihood, with about 41%</w:t>
      </w:r>
      <w:r w:rsidRPr="00C022C0">
        <w:rPr>
          <w:rFonts w:cs="Times New Roman"/>
          <w:szCs w:val="24"/>
        </w:rPr>
        <w:t xml:space="preserve"> of Bangladesh’s workforce engaged in it as the principal occupation. Agriculture is the principal source of food and nutrition. Agriculture and agro-processed products also contributes significantly to export earnings of Bangladesh and agricultural output is used as an important source of raw materials of many industries. </w:t>
      </w:r>
      <w:r>
        <w:rPr>
          <w:rFonts w:cs="Times New Roman"/>
          <w:szCs w:val="24"/>
        </w:rPr>
        <w:t xml:space="preserve">For example, agriculture and agro-product exports amounted to $2.4 billion in FY2015. </w:t>
      </w:r>
      <w:r w:rsidRPr="00C022C0">
        <w:rPr>
          <w:rFonts w:cs="Times New Roman"/>
          <w:szCs w:val="24"/>
        </w:rPr>
        <w:t>Therefore, the importance of agriculture sector in generating employment, alleviating poverty and fos</w:t>
      </w:r>
      <w:r>
        <w:rPr>
          <w:rFonts w:cs="Times New Roman"/>
          <w:szCs w:val="24"/>
        </w:rPr>
        <w:t>tering growth remains substantial</w:t>
      </w:r>
      <w:r w:rsidRPr="00C022C0">
        <w:rPr>
          <w:rFonts w:cs="Times New Roman"/>
          <w:szCs w:val="24"/>
        </w:rPr>
        <w:t xml:space="preserve">. </w:t>
      </w:r>
    </w:p>
    <w:p w:rsidR="008F6CC6" w:rsidRDefault="007F2F9C" w:rsidP="00025234">
      <w:pPr>
        <w:spacing w:line="271" w:lineRule="auto"/>
        <w:jc w:val="both"/>
        <w:rPr>
          <w:rFonts w:cs="Times New Roman"/>
          <w:color w:val="000000"/>
          <w:szCs w:val="24"/>
          <w:shd w:val="clear" w:color="auto" w:fill="FFFFFF"/>
        </w:rPr>
      </w:pPr>
      <w:r w:rsidRPr="00C022C0">
        <w:rPr>
          <w:rFonts w:cs="Times New Roman"/>
          <w:color w:val="000000"/>
          <w:szCs w:val="24"/>
          <w:shd w:val="clear" w:color="auto" w:fill="FFFFFF"/>
        </w:rPr>
        <w:t xml:space="preserve">The decline in share of the agricultural sector </w:t>
      </w:r>
      <w:r>
        <w:rPr>
          <w:rFonts w:cs="Times New Roman"/>
          <w:color w:val="000000"/>
          <w:szCs w:val="24"/>
          <w:shd w:val="clear" w:color="auto" w:fill="FFFFFF"/>
        </w:rPr>
        <w:t>is largely due to the transformation of the Bangladeshi economy from a pre-dominantly agrarian economy towards a manufacturing and service-based economy. This is a natural phenomenon observed for all fast growing countries.  Within agricultu</w:t>
      </w:r>
      <w:r w:rsidR="008F6CC6">
        <w:rPr>
          <w:rFonts w:cs="Times New Roman"/>
          <w:color w:val="000000"/>
          <w:szCs w:val="24"/>
          <w:shd w:val="clear" w:color="auto" w:fill="FFFFFF"/>
        </w:rPr>
        <w:t>re there has been a substantial structural change.  The share</w:t>
      </w:r>
      <w:r>
        <w:rPr>
          <w:rFonts w:cs="Times New Roman"/>
          <w:color w:val="000000"/>
          <w:szCs w:val="24"/>
          <w:shd w:val="clear" w:color="auto" w:fill="FFFFFF"/>
        </w:rPr>
        <w:t xml:space="preserve"> of the crop sector has fallen while forestry and fish</w:t>
      </w:r>
      <w:r w:rsidR="005D3062">
        <w:rPr>
          <w:rFonts w:cs="Times New Roman"/>
          <w:color w:val="000000"/>
          <w:szCs w:val="24"/>
          <w:shd w:val="clear" w:color="auto" w:fill="FFFFFF"/>
        </w:rPr>
        <w:t>ery</w:t>
      </w:r>
      <w:r>
        <w:rPr>
          <w:rFonts w:cs="Times New Roman"/>
          <w:color w:val="000000"/>
          <w:szCs w:val="24"/>
          <w:shd w:val="clear" w:color="auto" w:fill="FFFFFF"/>
        </w:rPr>
        <w:t xml:space="preserve"> activities have gained momentum</w:t>
      </w:r>
      <w:r w:rsidR="008F6CC6">
        <w:rPr>
          <w:rFonts w:cs="Times New Roman"/>
          <w:color w:val="000000"/>
          <w:szCs w:val="24"/>
          <w:shd w:val="clear" w:color="auto" w:fill="FFFFFF"/>
        </w:rPr>
        <w:t xml:space="preserve"> (Table 8.2)</w:t>
      </w:r>
      <w:r>
        <w:rPr>
          <w:rFonts w:cs="Times New Roman"/>
          <w:color w:val="000000"/>
          <w:szCs w:val="24"/>
          <w:shd w:val="clear" w:color="auto" w:fill="FFFFFF"/>
        </w:rPr>
        <w:t xml:space="preserve">. </w:t>
      </w:r>
    </w:p>
    <w:p w:rsidR="00E52937" w:rsidRDefault="00E52937">
      <w:pPr>
        <w:rPr>
          <w:rFonts w:cs="Times New Roman"/>
          <w:b/>
          <w:bCs/>
          <w:szCs w:val="24"/>
          <w:shd w:val="clear" w:color="auto" w:fill="FFFFFF"/>
        </w:rPr>
      </w:pPr>
      <w:r>
        <w:rPr>
          <w:shd w:val="clear" w:color="auto" w:fill="FFFFFF"/>
        </w:rPr>
        <w:br w:type="page"/>
      </w:r>
    </w:p>
    <w:p w:rsidR="002E57C3" w:rsidRPr="002E57C3" w:rsidRDefault="002E57C3" w:rsidP="00E3762D">
      <w:pPr>
        <w:pStyle w:val="Heading4"/>
        <w:rPr>
          <w:shd w:val="clear" w:color="auto" w:fill="FFFFFF"/>
        </w:rPr>
      </w:pPr>
      <w:bookmarkStart w:id="574" w:name="_Toc474639046"/>
      <w:r w:rsidRPr="002E57C3">
        <w:rPr>
          <w:shd w:val="clear" w:color="auto" w:fill="FFFFFF"/>
        </w:rPr>
        <w:lastRenderedPageBreak/>
        <w:t>Table 8.2: Changing Structure of Agricultural Production in Bangladesh</w:t>
      </w:r>
      <w:r>
        <w:rPr>
          <w:shd w:val="clear" w:color="auto" w:fill="FFFFFF"/>
        </w:rPr>
        <w:t xml:space="preserve"> </w:t>
      </w:r>
      <w:r w:rsidR="008D5399">
        <w:rPr>
          <w:shd w:val="clear" w:color="auto" w:fill="FFFFFF"/>
        </w:rPr>
        <w:br/>
      </w:r>
      <w:r>
        <w:rPr>
          <w:shd w:val="clear" w:color="auto" w:fill="FFFFFF"/>
        </w:rPr>
        <w:t>(% Constant Prices)</w:t>
      </w:r>
      <w:bookmarkEnd w:id="574"/>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2023"/>
        <w:gridCol w:w="1890"/>
        <w:gridCol w:w="1891"/>
        <w:gridCol w:w="1887"/>
        <w:gridCol w:w="1885"/>
      </w:tblGrid>
      <w:tr w:rsidR="008F6CC6" w:rsidRPr="008F6CC6" w:rsidTr="002E57C3">
        <w:trPr>
          <w:trHeight w:val="665"/>
        </w:trPr>
        <w:tc>
          <w:tcPr>
            <w:tcW w:w="888" w:type="pct"/>
            <w:shd w:val="clear" w:color="auto" w:fill="auto"/>
            <w:vAlign w:val="bottom"/>
            <w:hideMark/>
          </w:tcPr>
          <w:p w:rsidR="008F6CC6" w:rsidRPr="008F6CC6" w:rsidRDefault="002E57C3" w:rsidP="008F6CC6">
            <w:pPr>
              <w:spacing w:after="0" w:line="240" w:lineRule="auto"/>
              <w:rPr>
                <w:rFonts w:eastAsia="Times New Roman" w:cs="Times New Roman"/>
                <w:b/>
                <w:color w:val="000000"/>
                <w:szCs w:val="20"/>
              </w:rPr>
            </w:pPr>
            <w:r w:rsidRPr="002E57C3">
              <w:rPr>
                <w:rFonts w:eastAsia="Times New Roman" w:cs="Times New Roman"/>
                <w:b/>
                <w:color w:val="000000"/>
                <w:szCs w:val="20"/>
              </w:rPr>
              <w:t>Farm Produce</w:t>
            </w:r>
          </w:p>
        </w:tc>
        <w:tc>
          <w:tcPr>
            <w:tcW w:w="1029" w:type="pct"/>
            <w:vAlign w:val="bottom"/>
          </w:tcPr>
          <w:p w:rsidR="008F6CC6" w:rsidRPr="008F6CC6" w:rsidRDefault="008F6CC6" w:rsidP="00B316F7">
            <w:pPr>
              <w:spacing w:after="0" w:line="240" w:lineRule="auto"/>
              <w:rPr>
                <w:rFonts w:eastAsia="Times New Roman" w:cs="Times New Roman"/>
                <w:b/>
                <w:color w:val="000000"/>
                <w:szCs w:val="18"/>
              </w:rPr>
            </w:pPr>
            <w:r w:rsidRPr="008F6CC6">
              <w:rPr>
                <w:rFonts w:eastAsia="Times New Roman" w:cs="Times New Roman"/>
                <w:b/>
                <w:color w:val="000000"/>
                <w:szCs w:val="18"/>
              </w:rPr>
              <w:t xml:space="preserve"> Value-added 1977/78</w:t>
            </w:r>
          </w:p>
        </w:tc>
        <w:tc>
          <w:tcPr>
            <w:tcW w:w="1029" w:type="pct"/>
            <w:vAlign w:val="bottom"/>
          </w:tcPr>
          <w:p w:rsidR="008F6CC6" w:rsidRPr="008F6CC6" w:rsidRDefault="008F6CC6" w:rsidP="00B316F7">
            <w:pPr>
              <w:spacing w:after="0" w:line="240" w:lineRule="auto"/>
              <w:rPr>
                <w:rFonts w:eastAsia="Times New Roman" w:cs="Times New Roman"/>
                <w:b/>
                <w:color w:val="000000"/>
                <w:szCs w:val="18"/>
              </w:rPr>
            </w:pPr>
            <w:r w:rsidRPr="008F6CC6">
              <w:rPr>
                <w:rFonts w:eastAsia="Times New Roman" w:cs="Times New Roman"/>
                <w:b/>
                <w:color w:val="000000"/>
                <w:szCs w:val="18"/>
              </w:rPr>
              <w:t>Value-added 2007/08</w:t>
            </w:r>
          </w:p>
        </w:tc>
        <w:tc>
          <w:tcPr>
            <w:tcW w:w="1027" w:type="pct"/>
            <w:shd w:val="clear" w:color="auto" w:fill="auto"/>
            <w:vAlign w:val="bottom"/>
            <w:hideMark/>
          </w:tcPr>
          <w:p w:rsidR="008F6CC6" w:rsidRPr="008F6CC6" w:rsidRDefault="008F6CC6" w:rsidP="008F6CC6">
            <w:pPr>
              <w:spacing w:after="0" w:line="240" w:lineRule="auto"/>
              <w:rPr>
                <w:rFonts w:eastAsia="Times New Roman" w:cs="Times New Roman"/>
                <w:b/>
                <w:color w:val="000000"/>
                <w:szCs w:val="18"/>
              </w:rPr>
            </w:pPr>
            <w:r w:rsidRPr="008F6CC6">
              <w:rPr>
                <w:rFonts w:eastAsia="Times New Roman" w:cs="Times New Roman"/>
                <w:b/>
                <w:color w:val="000000"/>
                <w:szCs w:val="18"/>
              </w:rPr>
              <w:t>Value-added 2012/13</w:t>
            </w:r>
          </w:p>
        </w:tc>
        <w:tc>
          <w:tcPr>
            <w:tcW w:w="1026" w:type="pct"/>
            <w:shd w:val="clear" w:color="auto" w:fill="auto"/>
            <w:vAlign w:val="bottom"/>
            <w:hideMark/>
          </w:tcPr>
          <w:p w:rsidR="008F6CC6" w:rsidRPr="008F6CC6" w:rsidRDefault="008F6CC6" w:rsidP="008F6CC6">
            <w:pPr>
              <w:spacing w:after="0" w:line="240" w:lineRule="auto"/>
              <w:rPr>
                <w:rFonts w:eastAsia="Times New Roman" w:cs="Times New Roman"/>
                <w:b/>
                <w:color w:val="000000"/>
                <w:szCs w:val="18"/>
              </w:rPr>
            </w:pPr>
            <w:r w:rsidRPr="008F6CC6">
              <w:rPr>
                <w:rFonts w:eastAsia="Times New Roman" w:cs="Times New Roman"/>
                <w:b/>
                <w:color w:val="000000"/>
                <w:szCs w:val="18"/>
              </w:rPr>
              <w:t xml:space="preserve"> Value-added 2013/14</w:t>
            </w:r>
          </w:p>
        </w:tc>
      </w:tr>
      <w:tr w:rsidR="008F6CC6" w:rsidRPr="008F6CC6" w:rsidTr="008F6CC6">
        <w:trPr>
          <w:trHeight w:val="300"/>
        </w:trPr>
        <w:tc>
          <w:tcPr>
            <w:tcW w:w="888" w:type="pct"/>
            <w:shd w:val="clear" w:color="auto" w:fill="auto"/>
            <w:noWrap/>
            <w:vAlign w:val="bottom"/>
            <w:hideMark/>
          </w:tcPr>
          <w:p w:rsidR="008F6CC6" w:rsidRPr="008F6CC6" w:rsidRDefault="008F6CC6" w:rsidP="008F6CC6">
            <w:pPr>
              <w:spacing w:after="0" w:line="240" w:lineRule="auto"/>
              <w:rPr>
                <w:rFonts w:eastAsia="Times New Roman" w:cs="Times New Roman"/>
                <w:b/>
                <w:color w:val="000000"/>
              </w:rPr>
            </w:pPr>
            <w:r w:rsidRPr="008F6CC6">
              <w:rPr>
                <w:rFonts w:eastAsia="Times New Roman" w:cs="Times New Roman"/>
                <w:b/>
                <w:color w:val="000000"/>
              </w:rPr>
              <w:t>Crops</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80.9</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58.3</w:t>
            </w:r>
          </w:p>
        </w:tc>
        <w:tc>
          <w:tcPr>
            <w:tcW w:w="1027"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56.5</w:t>
            </w:r>
          </w:p>
        </w:tc>
        <w:tc>
          <w:tcPr>
            <w:tcW w:w="1026"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55.8</w:t>
            </w:r>
          </w:p>
        </w:tc>
      </w:tr>
      <w:tr w:rsidR="008F6CC6" w:rsidRPr="008F6CC6" w:rsidTr="008F6CC6">
        <w:trPr>
          <w:trHeight w:val="300"/>
        </w:trPr>
        <w:tc>
          <w:tcPr>
            <w:tcW w:w="888" w:type="pct"/>
            <w:shd w:val="clear" w:color="auto" w:fill="auto"/>
            <w:noWrap/>
            <w:vAlign w:val="bottom"/>
            <w:hideMark/>
          </w:tcPr>
          <w:p w:rsidR="008F6CC6" w:rsidRPr="008F6CC6" w:rsidRDefault="008F6CC6" w:rsidP="008F6CC6">
            <w:pPr>
              <w:spacing w:after="0" w:line="240" w:lineRule="auto"/>
              <w:rPr>
                <w:rFonts w:eastAsia="Times New Roman" w:cs="Times New Roman"/>
                <w:b/>
                <w:color w:val="000000"/>
              </w:rPr>
            </w:pPr>
            <w:r w:rsidRPr="008F6CC6">
              <w:rPr>
                <w:rFonts w:eastAsia="Times New Roman" w:cs="Times New Roman"/>
                <w:b/>
                <w:color w:val="000000"/>
              </w:rPr>
              <w:t xml:space="preserve"> </w:t>
            </w:r>
            <w:r w:rsidR="002E57C3">
              <w:rPr>
                <w:rFonts w:eastAsia="Times New Roman" w:cs="Times New Roman"/>
                <w:b/>
                <w:color w:val="000000"/>
              </w:rPr>
              <w:t xml:space="preserve"> </w:t>
            </w:r>
            <w:r w:rsidRPr="008F6CC6">
              <w:rPr>
                <w:rFonts w:eastAsia="Times New Roman" w:cs="Times New Roman"/>
                <w:b/>
                <w:color w:val="000000"/>
              </w:rPr>
              <w:t xml:space="preserve"> Rice</w:t>
            </w:r>
          </w:p>
        </w:tc>
        <w:tc>
          <w:tcPr>
            <w:tcW w:w="1029" w:type="pct"/>
            <w:vAlign w:val="bottom"/>
          </w:tcPr>
          <w:p w:rsidR="008F6CC6" w:rsidRPr="008F6CC6" w:rsidRDefault="002E57C3" w:rsidP="00B316F7">
            <w:pPr>
              <w:spacing w:after="0" w:line="240" w:lineRule="auto"/>
              <w:jc w:val="right"/>
              <w:rPr>
                <w:rFonts w:eastAsia="Times New Roman" w:cs="Times New Roman"/>
                <w:color w:val="000000"/>
              </w:rPr>
            </w:pPr>
            <w:r>
              <w:rPr>
                <w:rFonts w:eastAsia="Times New Roman" w:cs="Times New Roman"/>
                <w:color w:val="000000"/>
              </w:rPr>
              <w:t>(</w:t>
            </w:r>
            <w:r w:rsidR="008F6CC6" w:rsidRPr="008F6CC6">
              <w:rPr>
                <w:rFonts w:eastAsia="Times New Roman" w:cs="Times New Roman"/>
                <w:color w:val="000000"/>
              </w:rPr>
              <w:t>57.8</w:t>
            </w:r>
            <w:r>
              <w:rPr>
                <w:rFonts w:eastAsia="Times New Roman" w:cs="Times New Roman"/>
                <w:color w:val="000000"/>
              </w:rPr>
              <w:t>)</w:t>
            </w:r>
          </w:p>
        </w:tc>
        <w:tc>
          <w:tcPr>
            <w:tcW w:w="1029" w:type="pct"/>
            <w:vAlign w:val="bottom"/>
          </w:tcPr>
          <w:p w:rsidR="008F6CC6" w:rsidRPr="008F6CC6" w:rsidRDefault="002E57C3" w:rsidP="00B316F7">
            <w:pPr>
              <w:spacing w:after="0" w:line="240" w:lineRule="auto"/>
              <w:jc w:val="right"/>
              <w:rPr>
                <w:rFonts w:eastAsia="Times New Roman" w:cs="Times New Roman"/>
                <w:color w:val="000000"/>
              </w:rPr>
            </w:pPr>
            <w:r>
              <w:rPr>
                <w:rFonts w:eastAsia="Times New Roman" w:cs="Times New Roman"/>
                <w:color w:val="000000"/>
              </w:rPr>
              <w:t>(</w:t>
            </w:r>
            <w:r w:rsidR="008F6CC6" w:rsidRPr="008F6CC6">
              <w:rPr>
                <w:rFonts w:eastAsia="Times New Roman" w:cs="Times New Roman"/>
                <w:color w:val="000000"/>
              </w:rPr>
              <w:t>36.2</w:t>
            </w:r>
            <w:r>
              <w:rPr>
                <w:rFonts w:eastAsia="Times New Roman" w:cs="Times New Roman"/>
                <w:color w:val="000000"/>
              </w:rPr>
              <w:t>)</w:t>
            </w:r>
          </w:p>
        </w:tc>
        <w:tc>
          <w:tcPr>
            <w:tcW w:w="1027" w:type="pct"/>
            <w:shd w:val="clear" w:color="auto" w:fill="auto"/>
            <w:noWrap/>
            <w:vAlign w:val="bottom"/>
            <w:hideMark/>
          </w:tcPr>
          <w:p w:rsidR="008F6CC6" w:rsidRPr="008F6CC6" w:rsidRDefault="002E57C3" w:rsidP="008F6CC6">
            <w:pPr>
              <w:spacing w:after="0" w:line="240" w:lineRule="auto"/>
              <w:jc w:val="right"/>
              <w:rPr>
                <w:rFonts w:eastAsia="Times New Roman" w:cs="Times New Roman"/>
                <w:color w:val="000000"/>
              </w:rPr>
            </w:pPr>
            <w:r>
              <w:rPr>
                <w:rFonts w:eastAsia="Times New Roman" w:cs="Times New Roman"/>
                <w:color w:val="000000"/>
              </w:rPr>
              <w:t>(</w:t>
            </w:r>
            <w:r w:rsidR="008F6CC6" w:rsidRPr="008F6CC6">
              <w:rPr>
                <w:rFonts w:eastAsia="Times New Roman" w:cs="Times New Roman"/>
                <w:color w:val="000000"/>
              </w:rPr>
              <w:t>34.3</w:t>
            </w:r>
            <w:r>
              <w:rPr>
                <w:rFonts w:eastAsia="Times New Roman" w:cs="Times New Roman"/>
                <w:color w:val="000000"/>
              </w:rPr>
              <w:t>)</w:t>
            </w:r>
          </w:p>
        </w:tc>
        <w:tc>
          <w:tcPr>
            <w:tcW w:w="1026" w:type="pct"/>
            <w:shd w:val="clear" w:color="auto" w:fill="auto"/>
            <w:noWrap/>
            <w:vAlign w:val="bottom"/>
            <w:hideMark/>
          </w:tcPr>
          <w:p w:rsidR="008F6CC6" w:rsidRPr="008F6CC6" w:rsidRDefault="002E57C3" w:rsidP="008F6CC6">
            <w:pPr>
              <w:spacing w:after="0" w:line="240" w:lineRule="auto"/>
              <w:jc w:val="right"/>
              <w:rPr>
                <w:rFonts w:eastAsia="Times New Roman" w:cs="Times New Roman"/>
                <w:color w:val="000000"/>
              </w:rPr>
            </w:pPr>
            <w:r>
              <w:rPr>
                <w:rFonts w:eastAsia="Times New Roman" w:cs="Times New Roman"/>
                <w:color w:val="000000"/>
              </w:rPr>
              <w:t>(</w:t>
            </w:r>
            <w:r w:rsidR="008F6CC6" w:rsidRPr="008F6CC6">
              <w:rPr>
                <w:rFonts w:eastAsia="Times New Roman" w:cs="Times New Roman"/>
                <w:color w:val="000000"/>
              </w:rPr>
              <w:t>33.6</w:t>
            </w:r>
            <w:r>
              <w:rPr>
                <w:rFonts w:eastAsia="Times New Roman" w:cs="Times New Roman"/>
                <w:color w:val="000000"/>
              </w:rPr>
              <w:t>)</w:t>
            </w:r>
          </w:p>
        </w:tc>
      </w:tr>
      <w:tr w:rsidR="008F6CC6" w:rsidRPr="008F6CC6" w:rsidTr="008F6CC6">
        <w:trPr>
          <w:trHeight w:val="300"/>
        </w:trPr>
        <w:tc>
          <w:tcPr>
            <w:tcW w:w="888" w:type="pct"/>
            <w:shd w:val="clear" w:color="auto" w:fill="auto"/>
            <w:noWrap/>
            <w:vAlign w:val="bottom"/>
            <w:hideMark/>
          </w:tcPr>
          <w:p w:rsidR="008F6CC6" w:rsidRPr="008F6CC6" w:rsidRDefault="008F6CC6" w:rsidP="008F6CC6">
            <w:pPr>
              <w:spacing w:after="0" w:line="240" w:lineRule="auto"/>
              <w:rPr>
                <w:rFonts w:eastAsia="Times New Roman" w:cs="Times New Roman"/>
                <w:b/>
                <w:color w:val="000000"/>
              </w:rPr>
            </w:pPr>
            <w:r w:rsidRPr="008F6CC6">
              <w:rPr>
                <w:rFonts w:eastAsia="Times New Roman" w:cs="Times New Roman"/>
                <w:b/>
                <w:color w:val="000000"/>
              </w:rPr>
              <w:t xml:space="preserve"> </w:t>
            </w:r>
            <w:r w:rsidR="002E57C3">
              <w:rPr>
                <w:rFonts w:eastAsia="Times New Roman" w:cs="Times New Roman"/>
                <w:b/>
                <w:color w:val="000000"/>
              </w:rPr>
              <w:t xml:space="preserve">  </w:t>
            </w:r>
            <w:r w:rsidRPr="008F6CC6">
              <w:rPr>
                <w:rFonts w:eastAsia="Times New Roman" w:cs="Times New Roman"/>
                <w:b/>
                <w:color w:val="000000"/>
              </w:rPr>
              <w:t>Others</w:t>
            </w:r>
          </w:p>
        </w:tc>
        <w:tc>
          <w:tcPr>
            <w:tcW w:w="1029" w:type="pct"/>
            <w:vAlign w:val="bottom"/>
          </w:tcPr>
          <w:p w:rsidR="008F6CC6" w:rsidRPr="008F6CC6" w:rsidRDefault="002E57C3" w:rsidP="00B316F7">
            <w:pPr>
              <w:spacing w:after="0" w:line="240" w:lineRule="auto"/>
              <w:jc w:val="right"/>
              <w:rPr>
                <w:rFonts w:eastAsia="Times New Roman" w:cs="Times New Roman"/>
                <w:color w:val="000000"/>
              </w:rPr>
            </w:pPr>
            <w:r>
              <w:rPr>
                <w:rFonts w:eastAsia="Times New Roman" w:cs="Times New Roman"/>
                <w:color w:val="000000"/>
              </w:rPr>
              <w:t>(</w:t>
            </w:r>
            <w:r w:rsidR="008F6CC6" w:rsidRPr="008F6CC6">
              <w:rPr>
                <w:rFonts w:eastAsia="Times New Roman" w:cs="Times New Roman"/>
                <w:color w:val="000000"/>
              </w:rPr>
              <w:t>23.1</w:t>
            </w:r>
            <w:r>
              <w:rPr>
                <w:rFonts w:eastAsia="Times New Roman" w:cs="Times New Roman"/>
                <w:color w:val="000000"/>
              </w:rPr>
              <w:t>)</w:t>
            </w:r>
          </w:p>
        </w:tc>
        <w:tc>
          <w:tcPr>
            <w:tcW w:w="1029" w:type="pct"/>
            <w:vAlign w:val="bottom"/>
          </w:tcPr>
          <w:p w:rsidR="008F6CC6" w:rsidRPr="008F6CC6" w:rsidRDefault="002E57C3" w:rsidP="00B316F7">
            <w:pPr>
              <w:spacing w:after="0" w:line="240" w:lineRule="auto"/>
              <w:jc w:val="right"/>
              <w:rPr>
                <w:rFonts w:eastAsia="Times New Roman" w:cs="Times New Roman"/>
                <w:color w:val="000000"/>
              </w:rPr>
            </w:pPr>
            <w:r>
              <w:rPr>
                <w:rFonts w:eastAsia="Times New Roman" w:cs="Times New Roman"/>
                <w:color w:val="000000"/>
              </w:rPr>
              <w:t>(</w:t>
            </w:r>
            <w:r w:rsidR="008F6CC6" w:rsidRPr="008F6CC6">
              <w:rPr>
                <w:rFonts w:eastAsia="Times New Roman" w:cs="Times New Roman"/>
                <w:color w:val="000000"/>
              </w:rPr>
              <w:t>19.9</w:t>
            </w:r>
            <w:r>
              <w:rPr>
                <w:rFonts w:eastAsia="Times New Roman" w:cs="Times New Roman"/>
                <w:color w:val="000000"/>
              </w:rPr>
              <w:t>)</w:t>
            </w:r>
          </w:p>
        </w:tc>
        <w:tc>
          <w:tcPr>
            <w:tcW w:w="1027" w:type="pct"/>
            <w:shd w:val="clear" w:color="auto" w:fill="auto"/>
            <w:noWrap/>
            <w:vAlign w:val="bottom"/>
            <w:hideMark/>
          </w:tcPr>
          <w:p w:rsidR="008F6CC6" w:rsidRPr="008F6CC6" w:rsidRDefault="002E57C3" w:rsidP="008F6CC6">
            <w:pPr>
              <w:spacing w:after="0" w:line="240" w:lineRule="auto"/>
              <w:jc w:val="right"/>
              <w:rPr>
                <w:rFonts w:eastAsia="Times New Roman" w:cs="Times New Roman"/>
                <w:color w:val="000000"/>
              </w:rPr>
            </w:pPr>
            <w:r>
              <w:rPr>
                <w:rFonts w:eastAsia="Times New Roman" w:cs="Times New Roman"/>
                <w:color w:val="000000"/>
              </w:rPr>
              <w:t>(</w:t>
            </w:r>
            <w:r w:rsidR="008F6CC6" w:rsidRPr="008F6CC6">
              <w:rPr>
                <w:rFonts w:eastAsia="Times New Roman" w:cs="Times New Roman"/>
                <w:color w:val="000000"/>
              </w:rPr>
              <w:t>20.5</w:t>
            </w:r>
            <w:r>
              <w:rPr>
                <w:rFonts w:eastAsia="Times New Roman" w:cs="Times New Roman"/>
                <w:color w:val="000000"/>
              </w:rPr>
              <w:t>)</w:t>
            </w:r>
          </w:p>
        </w:tc>
        <w:tc>
          <w:tcPr>
            <w:tcW w:w="1026" w:type="pct"/>
            <w:shd w:val="clear" w:color="auto" w:fill="auto"/>
            <w:noWrap/>
            <w:vAlign w:val="bottom"/>
            <w:hideMark/>
          </w:tcPr>
          <w:p w:rsidR="008F6CC6" w:rsidRPr="008F6CC6" w:rsidRDefault="002E57C3" w:rsidP="008F6CC6">
            <w:pPr>
              <w:spacing w:after="0" w:line="240" w:lineRule="auto"/>
              <w:jc w:val="right"/>
              <w:rPr>
                <w:rFonts w:eastAsia="Times New Roman" w:cs="Times New Roman"/>
                <w:color w:val="000000"/>
              </w:rPr>
            </w:pPr>
            <w:r>
              <w:rPr>
                <w:rFonts w:eastAsia="Times New Roman" w:cs="Times New Roman"/>
                <w:color w:val="000000"/>
              </w:rPr>
              <w:t>(</w:t>
            </w:r>
            <w:r w:rsidR="008F6CC6" w:rsidRPr="008F6CC6">
              <w:rPr>
                <w:rFonts w:eastAsia="Times New Roman" w:cs="Times New Roman"/>
                <w:color w:val="000000"/>
              </w:rPr>
              <w:t>22.2</w:t>
            </w:r>
            <w:r>
              <w:rPr>
                <w:rFonts w:eastAsia="Times New Roman" w:cs="Times New Roman"/>
                <w:color w:val="000000"/>
              </w:rPr>
              <w:t>)</w:t>
            </w:r>
          </w:p>
        </w:tc>
      </w:tr>
      <w:tr w:rsidR="008F6CC6" w:rsidRPr="008F6CC6" w:rsidTr="008F6CC6">
        <w:trPr>
          <w:trHeight w:val="300"/>
        </w:trPr>
        <w:tc>
          <w:tcPr>
            <w:tcW w:w="888" w:type="pct"/>
            <w:shd w:val="clear" w:color="auto" w:fill="auto"/>
            <w:noWrap/>
            <w:vAlign w:val="bottom"/>
            <w:hideMark/>
          </w:tcPr>
          <w:p w:rsidR="008F6CC6" w:rsidRPr="008F6CC6" w:rsidRDefault="008F6CC6" w:rsidP="008F6CC6">
            <w:pPr>
              <w:spacing w:after="0" w:line="240" w:lineRule="auto"/>
              <w:rPr>
                <w:rFonts w:eastAsia="Times New Roman" w:cs="Times New Roman"/>
                <w:b/>
                <w:color w:val="000000"/>
                <w:szCs w:val="20"/>
              </w:rPr>
            </w:pPr>
            <w:r w:rsidRPr="008F6CC6">
              <w:rPr>
                <w:rFonts w:eastAsia="Times New Roman" w:cs="Times New Roman"/>
                <w:b/>
                <w:color w:val="000000"/>
                <w:szCs w:val="20"/>
              </w:rPr>
              <w:t>Livestock</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6.9</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11.7</w:t>
            </w:r>
          </w:p>
        </w:tc>
        <w:tc>
          <w:tcPr>
            <w:tcW w:w="1027"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11</w:t>
            </w:r>
            <w:r w:rsidR="003A4DC3">
              <w:rPr>
                <w:rFonts w:eastAsia="Times New Roman" w:cs="Times New Roman"/>
                <w:color w:val="000000"/>
              </w:rPr>
              <w:t>.0</w:t>
            </w:r>
          </w:p>
        </w:tc>
        <w:tc>
          <w:tcPr>
            <w:tcW w:w="1026"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10.9</w:t>
            </w:r>
          </w:p>
        </w:tc>
      </w:tr>
      <w:tr w:rsidR="008F6CC6" w:rsidRPr="008F6CC6" w:rsidTr="008F6CC6">
        <w:trPr>
          <w:trHeight w:val="300"/>
        </w:trPr>
        <w:tc>
          <w:tcPr>
            <w:tcW w:w="888" w:type="pct"/>
            <w:shd w:val="clear" w:color="auto" w:fill="auto"/>
            <w:noWrap/>
            <w:vAlign w:val="bottom"/>
            <w:hideMark/>
          </w:tcPr>
          <w:p w:rsidR="008F6CC6" w:rsidRPr="008F6CC6" w:rsidRDefault="008F6CC6" w:rsidP="008F6CC6">
            <w:pPr>
              <w:spacing w:after="0" w:line="240" w:lineRule="auto"/>
              <w:rPr>
                <w:rFonts w:eastAsia="Times New Roman" w:cs="Times New Roman"/>
                <w:b/>
                <w:color w:val="000000"/>
              </w:rPr>
            </w:pPr>
            <w:r w:rsidRPr="008F6CC6">
              <w:rPr>
                <w:rFonts w:eastAsia="Times New Roman" w:cs="Times New Roman"/>
                <w:b/>
                <w:color w:val="000000"/>
              </w:rPr>
              <w:t>Forestry</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3.6</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10.3</w:t>
            </w:r>
          </w:p>
        </w:tc>
        <w:tc>
          <w:tcPr>
            <w:tcW w:w="1027"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10.5</w:t>
            </w:r>
          </w:p>
        </w:tc>
        <w:tc>
          <w:tcPr>
            <w:tcW w:w="1026"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10.7</w:t>
            </w:r>
          </w:p>
        </w:tc>
      </w:tr>
      <w:tr w:rsidR="008F6CC6" w:rsidRPr="008F6CC6" w:rsidTr="008F6CC6">
        <w:trPr>
          <w:trHeight w:val="300"/>
        </w:trPr>
        <w:tc>
          <w:tcPr>
            <w:tcW w:w="888" w:type="pct"/>
            <w:shd w:val="clear" w:color="auto" w:fill="auto"/>
            <w:noWrap/>
            <w:vAlign w:val="bottom"/>
            <w:hideMark/>
          </w:tcPr>
          <w:p w:rsidR="008F6CC6" w:rsidRPr="008F6CC6" w:rsidRDefault="008F6CC6" w:rsidP="008F6CC6">
            <w:pPr>
              <w:spacing w:after="0" w:line="240" w:lineRule="auto"/>
              <w:rPr>
                <w:rFonts w:eastAsia="Times New Roman" w:cs="Times New Roman"/>
                <w:b/>
                <w:color w:val="000000"/>
              </w:rPr>
            </w:pPr>
            <w:r w:rsidRPr="008F6CC6">
              <w:rPr>
                <w:rFonts w:eastAsia="Times New Roman" w:cs="Times New Roman"/>
                <w:b/>
                <w:color w:val="000000"/>
              </w:rPr>
              <w:t>Fish</w:t>
            </w:r>
            <w:r w:rsidR="005D3062">
              <w:rPr>
                <w:rFonts w:eastAsia="Times New Roman" w:cs="Times New Roman"/>
                <w:b/>
                <w:color w:val="000000"/>
              </w:rPr>
              <w:t>ery</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8.6</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20.3</w:t>
            </w:r>
          </w:p>
        </w:tc>
        <w:tc>
          <w:tcPr>
            <w:tcW w:w="1027"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22</w:t>
            </w:r>
            <w:r w:rsidR="003A4DC3">
              <w:rPr>
                <w:rFonts w:eastAsia="Times New Roman" w:cs="Times New Roman"/>
                <w:color w:val="000000"/>
              </w:rPr>
              <w:t>.0</w:t>
            </w:r>
          </w:p>
        </w:tc>
        <w:tc>
          <w:tcPr>
            <w:tcW w:w="1026"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22.6</w:t>
            </w:r>
          </w:p>
        </w:tc>
      </w:tr>
      <w:tr w:rsidR="008F6CC6" w:rsidRPr="008F6CC6" w:rsidTr="008F6CC6">
        <w:trPr>
          <w:trHeight w:val="300"/>
        </w:trPr>
        <w:tc>
          <w:tcPr>
            <w:tcW w:w="888" w:type="pct"/>
            <w:shd w:val="clear" w:color="auto" w:fill="auto"/>
            <w:noWrap/>
            <w:vAlign w:val="bottom"/>
            <w:hideMark/>
          </w:tcPr>
          <w:p w:rsidR="008F6CC6" w:rsidRPr="008F6CC6" w:rsidRDefault="002E57C3" w:rsidP="008F6CC6">
            <w:pPr>
              <w:spacing w:after="0" w:line="240" w:lineRule="auto"/>
              <w:rPr>
                <w:rFonts w:eastAsia="Times New Roman" w:cs="Times New Roman"/>
                <w:b/>
                <w:color w:val="000000"/>
              </w:rPr>
            </w:pPr>
            <w:r>
              <w:rPr>
                <w:rFonts w:eastAsia="Times New Roman" w:cs="Times New Roman"/>
                <w:b/>
                <w:color w:val="000000"/>
              </w:rPr>
              <w:t>Total Ag</w:t>
            </w:r>
            <w:r w:rsidR="005D3062">
              <w:rPr>
                <w:rFonts w:eastAsia="Times New Roman" w:cs="Times New Roman"/>
                <w:b/>
                <w:color w:val="000000"/>
              </w:rPr>
              <w:t>riculture</w:t>
            </w:r>
          </w:p>
        </w:tc>
        <w:tc>
          <w:tcPr>
            <w:tcW w:w="1029" w:type="pct"/>
            <w:vAlign w:val="bottom"/>
          </w:tcPr>
          <w:p w:rsidR="008F6CC6" w:rsidRPr="008F6CC6" w:rsidRDefault="002E57C3" w:rsidP="002E57C3">
            <w:pPr>
              <w:spacing w:after="0" w:line="240" w:lineRule="auto"/>
              <w:jc w:val="right"/>
              <w:rPr>
                <w:rFonts w:eastAsia="Times New Roman" w:cs="Times New Roman"/>
                <w:color w:val="000000"/>
              </w:rPr>
            </w:pPr>
            <w:r>
              <w:rPr>
                <w:rFonts w:eastAsia="Times New Roman" w:cs="Times New Roman"/>
                <w:color w:val="000000"/>
              </w:rPr>
              <w:t>100.0</w:t>
            </w:r>
          </w:p>
        </w:tc>
        <w:tc>
          <w:tcPr>
            <w:tcW w:w="1029" w:type="pct"/>
            <w:vAlign w:val="bottom"/>
          </w:tcPr>
          <w:p w:rsidR="008F6CC6" w:rsidRPr="008F6CC6" w:rsidRDefault="002E57C3" w:rsidP="002E57C3">
            <w:pPr>
              <w:spacing w:after="0" w:line="240" w:lineRule="auto"/>
              <w:jc w:val="right"/>
              <w:rPr>
                <w:rFonts w:eastAsia="Times New Roman" w:cs="Times New Roman"/>
                <w:color w:val="000000"/>
              </w:rPr>
            </w:pPr>
            <w:r>
              <w:rPr>
                <w:rFonts w:eastAsia="Times New Roman" w:cs="Times New Roman"/>
                <w:color w:val="000000"/>
              </w:rPr>
              <w:t>100.0</w:t>
            </w:r>
          </w:p>
        </w:tc>
        <w:tc>
          <w:tcPr>
            <w:tcW w:w="1027" w:type="pct"/>
            <w:shd w:val="clear" w:color="auto" w:fill="auto"/>
            <w:noWrap/>
            <w:vAlign w:val="bottom"/>
            <w:hideMark/>
          </w:tcPr>
          <w:p w:rsidR="008F6CC6" w:rsidRPr="008F6CC6" w:rsidRDefault="002E57C3" w:rsidP="002E57C3">
            <w:pPr>
              <w:spacing w:after="0" w:line="240" w:lineRule="auto"/>
              <w:jc w:val="right"/>
              <w:rPr>
                <w:rFonts w:eastAsia="Times New Roman" w:cs="Times New Roman"/>
                <w:color w:val="000000"/>
              </w:rPr>
            </w:pPr>
            <w:r>
              <w:rPr>
                <w:rFonts w:eastAsia="Times New Roman" w:cs="Times New Roman"/>
                <w:color w:val="000000"/>
              </w:rPr>
              <w:t>100.0</w:t>
            </w:r>
          </w:p>
        </w:tc>
        <w:tc>
          <w:tcPr>
            <w:tcW w:w="1026" w:type="pct"/>
            <w:shd w:val="clear" w:color="auto" w:fill="auto"/>
            <w:noWrap/>
            <w:vAlign w:val="bottom"/>
            <w:hideMark/>
          </w:tcPr>
          <w:p w:rsidR="008F6CC6" w:rsidRPr="008F6CC6" w:rsidRDefault="002E57C3" w:rsidP="002E57C3">
            <w:pPr>
              <w:spacing w:after="0" w:line="240" w:lineRule="auto"/>
              <w:jc w:val="right"/>
              <w:rPr>
                <w:rFonts w:eastAsia="Times New Roman" w:cs="Times New Roman"/>
                <w:color w:val="000000"/>
              </w:rPr>
            </w:pPr>
            <w:r>
              <w:rPr>
                <w:rFonts w:eastAsia="Times New Roman" w:cs="Times New Roman"/>
                <w:color w:val="000000"/>
              </w:rPr>
              <w:t>100.0</w:t>
            </w:r>
          </w:p>
        </w:tc>
      </w:tr>
      <w:tr w:rsidR="008F6CC6" w:rsidRPr="008F6CC6" w:rsidTr="008F6CC6">
        <w:trPr>
          <w:trHeight w:val="300"/>
        </w:trPr>
        <w:tc>
          <w:tcPr>
            <w:tcW w:w="888" w:type="pct"/>
            <w:shd w:val="clear" w:color="auto" w:fill="auto"/>
            <w:noWrap/>
            <w:vAlign w:val="bottom"/>
            <w:hideMark/>
          </w:tcPr>
          <w:p w:rsidR="008F6CC6" w:rsidRPr="008F6CC6" w:rsidRDefault="008F6CC6" w:rsidP="008F6CC6">
            <w:pPr>
              <w:spacing w:after="0" w:line="240" w:lineRule="auto"/>
              <w:rPr>
                <w:rFonts w:eastAsia="Times New Roman" w:cs="Times New Roman"/>
                <w:b/>
                <w:color w:val="000000"/>
              </w:rPr>
            </w:pPr>
            <w:r w:rsidRPr="008F6CC6">
              <w:rPr>
                <w:rFonts w:eastAsia="Times New Roman" w:cs="Times New Roman"/>
                <w:b/>
                <w:color w:val="000000"/>
              </w:rPr>
              <w:t>Ag</w:t>
            </w:r>
            <w:r w:rsidR="005D3062">
              <w:rPr>
                <w:rFonts w:eastAsia="Times New Roman" w:cs="Times New Roman"/>
                <w:b/>
                <w:color w:val="000000"/>
              </w:rPr>
              <w:t>riculture</w:t>
            </w:r>
            <w:r w:rsidRPr="008F6CC6">
              <w:rPr>
                <w:rFonts w:eastAsia="Times New Roman" w:cs="Times New Roman"/>
                <w:b/>
                <w:color w:val="000000"/>
              </w:rPr>
              <w:t>/GDP</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53.4</w:t>
            </w:r>
          </w:p>
        </w:tc>
        <w:tc>
          <w:tcPr>
            <w:tcW w:w="1029" w:type="pct"/>
            <w:vAlign w:val="bottom"/>
          </w:tcPr>
          <w:p w:rsidR="008F6CC6" w:rsidRPr="008F6CC6" w:rsidRDefault="008F6CC6" w:rsidP="00B316F7">
            <w:pPr>
              <w:spacing w:after="0" w:line="240" w:lineRule="auto"/>
              <w:jc w:val="right"/>
              <w:rPr>
                <w:rFonts w:eastAsia="Times New Roman" w:cs="Times New Roman"/>
                <w:color w:val="000000"/>
              </w:rPr>
            </w:pPr>
            <w:r w:rsidRPr="008F6CC6">
              <w:rPr>
                <w:rFonts w:eastAsia="Times New Roman" w:cs="Times New Roman"/>
                <w:color w:val="000000"/>
              </w:rPr>
              <w:t>18.5</w:t>
            </w:r>
          </w:p>
        </w:tc>
        <w:tc>
          <w:tcPr>
            <w:tcW w:w="1027"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16.8</w:t>
            </w:r>
          </w:p>
        </w:tc>
        <w:tc>
          <w:tcPr>
            <w:tcW w:w="1026" w:type="pct"/>
            <w:shd w:val="clear" w:color="auto" w:fill="auto"/>
            <w:noWrap/>
            <w:vAlign w:val="bottom"/>
            <w:hideMark/>
          </w:tcPr>
          <w:p w:rsidR="008F6CC6" w:rsidRPr="008F6CC6" w:rsidRDefault="008F6CC6" w:rsidP="008F6CC6">
            <w:pPr>
              <w:spacing w:after="0" w:line="240" w:lineRule="auto"/>
              <w:jc w:val="right"/>
              <w:rPr>
                <w:rFonts w:eastAsia="Times New Roman" w:cs="Times New Roman"/>
                <w:color w:val="000000"/>
              </w:rPr>
            </w:pPr>
            <w:r w:rsidRPr="008F6CC6">
              <w:rPr>
                <w:rFonts w:eastAsia="Times New Roman" w:cs="Times New Roman"/>
                <w:color w:val="000000"/>
              </w:rPr>
              <w:t>16.3</w:t>
            </w:r>
          </w:p>
        </w:tc>
      </w:tr>
    </w:tbl>
    <w:p w:rsidR="008F6CC6" w:rsidRPr="00BA6534" w:rsidRDefault="008F6CC6" w:rsidP="00BA6534">
      <w:pPr>
        <w:spacing w:before="120" w:line="271" w:lineRule="auto"/>
        <w:jc w:val="both"/>
        <w:rPr>
          <w:rFonts w:cs="Times New Roman"/>
          <w:b/>
          <w:i/>
          <w:color w:val="000000"/>
          <w:sz w:val="20"/>
          <w:szCs w:val="24"/>
          <w:shd w:val="clear" w:color="auto" w:fill="FFFFFF"/>
        </w:rPr>
      </w:pPr>
      <w:r>
        <w:rPr>
          <w:rFonts w:cs="Times New Roman"/>
          <w:color w:val="000000"/>
          <w:szCs w:val="24"/>
          <w:shd w:val="clear" w:color="auto" w:fill="FFFFFF"/>
        </w:rPr>
        <w:t xml:space="preserve"> </w:t>
      </w:r>
      <w:r w:rsidR="002E57C3" w:rsidRPr="002E57C3">
        <w:rPr>
          <w:rFonts w:cs="Times New Roman"/>
          <w:b/>
          <w:i/>
          <w:color w:val="000000"/>
          <w:sz w:val="20"/>
          <w:szCs w:val="24"/>
          <w:shd w:val="clear" w:color="auto" w:fill="FFFFFF"/>
        </w:rPr>
        <w:t>Source: BBS</w:t>
      </w:r>
    </w:p>
    <w:p w:rsidR="007F2F9C" w:rsidRDefault="002E57C3" w:rsidP="00025234">
      <w:pPr>
        <w:spacing w:line="271" w:lineRule="auto"/>
        <w:jc w:val="both"/>
        <w:rPr>
          <w:rFonts w:cs="Times New Roman"/>
          <w:b/>
          <w:szCs w:val="24"/>
        </w:rPr>
      </w:pPr>
      <w:r>
        <w:rPr>
          <w:rFonts w:cs="Times New Roman"/>
          <w:color w:val="000000"/>
          <w:szCs w:val="24"/>
          <w:shd w:val="clear" w:color="auto" w:fill="FFFFFF"/>
        </w:rPr>
        <w:t xml:space="preserve">The main reason for the </w:t>
      </w:r>
      <w:r w:rsidR="00065D01">
        <w:rPr>
          <w:rFonts w:cs="Times New Roman"/>
          <w:color w:val="000000"/>
          <w:szCs w:val="24"/>
          <w:shd w:val="clear" w:color="auto" w:fill="FFFFFF"/>
        </w:rPr>
        <w:t>declining</w:t>
      </w:r>
      <w:r>
        <w:rPr>
          <w:rFonts w:cs="Times New Roman"/>
          <w:color w:val="000000"/>
          <w:szCs w:val="24"/>
          <w:shd w:val="clear" w:color="auto" w:fill="FFFFFF"/>
        </w:rPr>
        <w:t xml:space="preserve"> share of crops is the fall in the share of rice in value-added terms. </w:t>
      </w:r>
      <w:r w:rsidR="007F2F9C">
        <w:rPr>
          <w:rFonts w:cs="Times New Roman"/>
          <w:color w:val="000000"/>
          <w:szCs w:val="24"/>
          <w:shd w:val="clear" w:color="auto" w:fill="FFFFFF"/>
        </w:rPr>
        <w:t>Thus, the share of crops in agricult</w:t>
      </w:r>
      <w:r w:rsidR="003A4DC3">
        <w:rPr>
          <w:rFonts w:cs="Times New Roman"/>
          <w:color w:val="000000"/>
          <w:szCs w:val="24"/>
          <w:shd w:val="clear" w:color="auto" w:fill="FFFFFF"/>
        </w:rPr>
        <w:t>ure fell from 64% in FY</w:t>
      </w:r>
      <w:r w:rsidR="00E66D3A">
        <w:rPr>
          <w:rFonts w:cs="Times New Roman"/>
          <w:color w:val="000000"/>
          <w:szCs w:val="24"/>
          <w:shd w:val="clear" w:color="auto" w:fill="FFFFFF"/>
        </w:rPr>
        <w:t>1</w:t>
      </w:r>
      <w:r w:rsidR="003A4DC3">
        <w:rPr>
          <w:rFonts w:cs="Times New Roman"/>
          <w:color w:val="000000"/>
          <w:szCs w:val="24"/>
          <w:shd w:val="clear" w:color="auto" w:fill="FFFFFF"/>
        </w:rPr>
        <w:t>990 to 56% in FY2014</w:t>
      </w:r>
      <w:r w:rsidR="007F2F9C">
        <w:rPr>
          <w:rFonts w:cs="Times New Roman"/>
          <w:color w:val="000000"/>
          <w:szCs w:val="24"/>
          <w:shd w:val="clear" w:color="auto" w:fill="FFFFFF"/>
        </w:rPr>
        <w:t>; the commensurate shares of f</w:t>
      </w:r>
      <w:r w:rsidR="003A4DC3">
        <w:rPr>
          <w:rFonts w:cs="Times New Roman"/>
          <w:color w:val="000000"/>
          <w:szCs w:val="24"/>
          <w:shd w:val="clear" w:color="auto" w:fill="FFFFFF"/>
        </w:rPr>
        <w:t>ish</w:t>
      </w:r>
      <w:r w:rsidR="00937732">
        <w:rPr>
          <w:rFonts w:cs="Times New Roman"/>
          <w:color w:val="000000"/>
          <w:szCs w:val="24"/>
          <w:shd w:val="clear" w:color="auto" w:fill="FFFFFF"/>
        </w:rPr>
        <w:t>ery</w:t>
      </w:r>
      <w:r w:rsidR="003A4DC3">
        <w:rPr>
          <w:rFonts w:cs="Times New Roman"/>
          <w:color w:val="000000"/>
          <w:szCs w:val="24"/>
          <w:shd w:val="clear" w:color="auto" w:fill="FFFFFF"/>
        </w:rPr>
        <w:t xml:space="preserve"> and forestry grew from 9% and 4% respectively to 23% and 11</w:t>
      </w:r>
      <w:r w:rsidR="007F2F9C">
        <w:rPr>
          <w:rFonts w:cs="Times New Roman"/>
          <w:color w:val="000000"/>
          <w:szCs w:val="24"/>
          <w:shd w:val="clear" w:color="auto" w:fill="FFFFFF"/>
        </w:rPr>
        <w:t>%</w:t>
      </w:r>
      <w:r w:rsidR="003A4DC3">
        <w:rPr>
          <w:rFonts w:cs="Times New Roman"/>
          <w:color w:val="000000"/>
          <w:szCs w:val="24"/>
          <w:shd w:val="clear" w:color="auto" w:fill="FFFFFF"/>
        </w:rPr>
        <w:t xml:space="preserve"> respectively</w:t>
      </w:r>
      <w:r w:rsidR="007F2F9C">
        <w:rPr>
          <w:rFonts w:cs="Times New Roman"/>
          <w:color w:val="000000"/>
          <w:szCs w:val="24"/>
          <w:shd w:val="clear" w:color="auto" w:fill="FFFFFF"/>
        </w:rPr>
        <w:t xml:space="preserve">. </w:t>
      </w:r>
      <w:r w:rsidR="007F2F9C" w:rsidRPr="00C022C0">
        <w:rPr>
          <w:rFonts w:cs="Times New Roman"/>
          <w:szCs w:val="24"/>
        </w:rPr>
        <w:t>Livestock</w:t>
      </w:r>
      <w:r w:rsidR="007F2F9C">
        <w:rPr>
          <w:rFonts w:cs="Times New Roman"/>
          <w:szCs w:val="24"/>
        </w:rPr>
        <w:t xml:space="preserve"> </w:t>
      </w:r>
      <w:r w:rsidR="003A4DC3">
        <w:rPr>
          <w:rFonts w:cs="Times New Roman"/>
          <w:szCs w:val="24"/>
        </w:rPr>
        <w:t xml:space="preserve">also </w:t>
      </w:r>
      <w:r w:rsidR="007F2F9C">
        <w:rPr>
          <w:rFonts w:cs="Times New Roman"/>
          <w:szCs w:val="24"/>
        </w:rPr>
        <w:t>gained so</w:t>
      </w:r>
      <w:r w:rsidR="003A4DC3">
        <w:rPr>
          <w:rFonts w:cs="Times New Roman"/>
          <w:szCs w:val="24"/>
        </w:rPr>
        <w:t>me momentum, rising from 7% to 11%</w:t>
      </w:r>
      <w:r w:rsidR="007F2F9C" w:rsidRPr="004E4DFF">
        <w:rPr>
          <w:rFonts w:cs="Times New Roman"/>
          <w:bCs/>
          <w:szCs w:val="24"/>
        </w:rPr>
        <w:t>.</w:t>
      </w:r>
      <w:r w:rsidR="007F2F9C" w:rsidRPr="00C022C0">
        <w:rPr>
          <w:rFonts w:cs="Times New Roman"/>
          <w:b/>
          <w:szCs w:val="24"/>
        </w:rPr>
        <w:t xml:space="preserve"> </w:t>
      </w:r>
    </w:p>
    <w:p w:rsidR="00777DE0" w:rsidRDefault="00CB5C6F" w:rsidP="00950E3B">
      <w:pPr>
        <w:spacing w:line="271" w:lineRule="auto"/>
        <w:jc w:val="both"/>
        <w:rPr>
          <w:rFonts w:cs="Times New Roman"/>
          <w:szCs w:val="24"/>
        </w:rPr>
      </w:pPr>
      <w:r>
        <w:rPr>
          <w:rFonts w:cs="Times New Roman"/>
          <w:szCs w:val="24"/>
        </w:rPr>
        <w:t xml:space="preserve">The growth performance has been variable by decades.  In the early years after independence, </w:t>
      </w:r>
      <w:r w:rsidR="005409B2">
        <w:rPr>
          <w:rFonts w:cs="Times New Roman"/>
          <w:szCs w:val="24"/>
        </w:rPr>
        <w:t>crops took the lead in farm production.  Forestry sector grew slowly, while fish</w:t>
      </w:r>
      <w:r w:rsidR="005D3062">
        <w:rPr>
          <w:rFonts w:cs="Times New Roman"/>
          <w:szCs w:val="24"/>
        </w:rPr>
        <w:t>ery</w:t>
      </w:r>
      <w:r w:rsidR="005409B2">
        <w:rPr>
          <w:rFonts w:cs="Times New Roman"/>
          <w:szCs w:val="24"/>
        </w:rPr>
        <w:t xml:space="preserve"> collapsed with strong negative growth. The picture changed since the 1980s. Fish</w:t>
      </w:r>
      <w:r w:rsidR="005D3062">
        <w:rPr>
          <w:rFonts w:cs="Times New Roman"/>
          <w:szCs w:val="24"/>
        </w:rPr>
        <w:t>ery</w:t>
      </w:r>
      <w:r w:rsidR="005409B2">
        <w:rPr>
          <w:rFonts w:cs="Times New Roman"/>
          <w:szCs w:val="24"/>
        </w:rPr>
        <w:t xml:space="preserve"> and forestry gained momentum while crops lost ground. Most recently, during the </w:t>
      </w:r>
      <w:r w:rsidR="006E608C" w:rsidRPr="00A44AF7">
        <w:rPr>
          <w:rFonts w:cs="Times New Roman"/>
          <w:color w:val="000000"/>
          <w:szCs w:val="20"/>
        </w:rPr>
        <w:t>FY2011-15</w:t>
      </w:r>
      <w:r w:rsidR="005409B2">
        <w:rPr>
          <w:rFonts w:cs="Times New Roman"/>
          <w:szCs w:val="24"/>
        </w:rPr>
        <w:t xml:space="preserve"> periods, fishing and forestry have continued to gain momentum, growing rapidly, while crop sector growth has slowed considerably. Livestock showed considerable progress during F</w:t>
      </w:r>
      <w:r w:rsidR="00AB1BD1">
        <w:rPr>
          <w:rFonts w:cs="Times New Roman"/>
          <w:szCs w:val="24"/>
        </w:rPr>
        <w:t>Y20</w:t>
      </w:r>
      <w:r w:rsidR="005409B2">
        <w:rPr>
          <w:rFonts w:cs="Times New Roman"/>
          <w:szCs w:val="24"/>
        </w:rPr>
        <w:t>01-10, but slowed down in FY</w:t>
      </w:r>
      <w:r w:rsidR="00AB1BD1">
        <w:rPr>
          <w:rFonts w:cs="Times New Roman"/>
          <w:szCs w:val="24"/>
        </w:rPr>
        <w:t>20</w:t>
      </w:r>
      <w:r w:rsidR="005409B2">
        <w:rPr>
          <w:rFonts w:cs="Times New Roman"/>
          <w:szCs w:val="24"/>
        </w:rPr>
        <w:t xml:space="preserve">11-15. </w:t>
      </w:r>
    </w:p>
    <w:p w:rsidR="007F2F9C" w:rsidRPr="000359AF" w:rsidRDefault="00F64A6A" w:rsidP="00E3762D">
      <w:pPr>
        <w:pStyle w:val="Heading4"/>
        <w:rPr>
          <w:u w:val="single"/>
          <w:shd w:val="clear" w:color="auto" w:fill="FFFFFF"/>
        </w:rPr>
      </w:pPr>
      <w:bookmarkStart w:id="575" w:name="_Toc474639047"/>
      <w:r w:rsidRPr="00F64A6A">
        <w:rPr>
          <w:u w:val="single"/>
          <w:shd w:val="clear" w:color="auto" w:fill="FFFFFF"/>
        </w:rPr>
        <w:t>Table 8.3: Growth Performance of Agriculture and Sub-sectors, FY1972-15</w:t>
      </w:r>
      <w:bookmarkEnd w:id="575"/>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2587"/>
        <w:gridCol w:w="1399"/>
        <w:gridCol w:w="1399"/>
        <w:gridCol w:w="1397"/>
        <w:gridCol w:w="1397"/>
        <w:gridCol w:w="1397"/>
      </w:tblGrid>
      <w:tr w:rsidR="00CB5C6F" w:rsidRPr="008D62F5" w:rsidTr="00836174">
        <w:trPr>
          <w:trHeight w:val="283"/>
          <w:jc w:val="center"/>
        </w:trPr>
        <w:tc>
          <w:tcPr>
            <w:tcW w:w="1303" w:type="pct"/>
            <w:shd w:val="clear" w:color="auto" w:fill="auto"/>
            <w:noWrap/>
            <w:vAlign w:val="bottom"/>
            <w:hideMark/>
          </w:tcPr>
          <w:p w:rsidR="00CB5C6F" w:rsidRPr="005409B2" w:rsidRDefault="00CB5C6F" w:rsidP="00005EAC">
            <w:pPr>
              <w:spacing w:after="0" w:line="240" w:lineRule="auto"/>
              <w:rPr>
                <w:rFonts w:eastAsia="Times New Roman" w:cs="Times New Roman"/>
                <w:color w:val="000000"/>
                <w:sz w:val="22"/>
              </w:rPr>
            </w:pPr>
            <w:r w:rsidRPr="005409B2">
              <w:rPr>
                <w:rFonts w:eastAsia="Times New Roman" w:cs="Times New Roman"/>
                <w:color w:val="000000"/>
                <w:sz w:val="22"/>
              </w:rPr>
              <w:t> </w:t>
            </w:r>
          </w:p>
        </w:tc>
        <w:tc>
          <w:tcPr>
            <w:tcW w:w="740" w:type="pct"/>
          </w:tcPr>
          <w:p w:rsidR="00CB5C6F" w:rsidRPr="005409B2" w:rsidRDefault="00CB5C6F" w:rsidP="00005EAC">
            <w:pPr>
              <w:spacing w:after="0" w:line="240" w:lineRule="auto"/>
              <w:jc w:val="center"/>
              <w:rPr>
                <w:rFonts w:eastAsia="Times New Roman" w:cs="Times New Roman"/>
                <w:b/>
                <w:bCs/>
                <w:color w:val="000000"/>
                <w:sz w:val="22"/>
              </w:rPr>
            </w:pPr>
            <w:r w:rsidRPr="005409B2">
              <w:rPr>
                <w:rFonts w:eastAsia="Times New Roman" w:cs="Times New Roman"/>
                <w:b/>
                <w:bCs/>
                <w:color w:val="000000"/>
                <w:sz w:val="22"/>
              </w:rPr>
              <w:t>FY</w:t>
            </w:r>
            <w:r w:rsidR="00A44AF7">
              <w:rPr>
                <w:rFonts w:eastAsia="Times New Roman" w:cs="Times New Roman"/>
                <w:b/>
                <w:bCs/>
                <w:color w:val="000000"/>
                <w:sz w:val="22"/>
              </w:rPr>
              <w:t>19</w:t>
            </w:r>
            <w:r w:rsidRPr="005409B2">
              <w:rPr>
                <w:rFonts w:eastAsia="Times New Roman" w:cs="Times New Roman"/>
                <w:b/>
                <w:bCs/>
                <w:color w:val="000000"/>
                <w:sz w:val="22"/>
              </w:rPr>
              <w:t>72-80</w:t>
            </w:r>
          </w:p>
        </w:tc>
        <w:tc>
          <w:tcPr>
            <w:tcW w:w="740" w:type="pct"/>
            <w:shd w:val="clear" w:color="auto" w:fill="auto"/>
            <w:noWrap/>
            <w:vAlign w:val="bottom"/>
            <w:hideMark/>
          </w:tcPr>
          <w:p w:rsidR="00CB5C6F" w:rsidRPr="005409B2" w:rsidRDefault="00CB5C6F" w:rsidP="00005EAC">
            <w:pPr>
              <w:spacing w:after="0" w:line="240" w:lineRule="auto"/>
              <w:jc w:val="center"/>
              <w:rPr>
                <w:rFonts w:eastAsia="Times New Roman" w:cs="Times New Roman"/>
                <w:b/>
                <w:bCs/>
                <w:color w:val="000000"/>
                <w:sz w:val="22"/>
              </w:rPr>
            </w:pPr>
            <w:r w:rsidRPr="005409B2">
              <w:rPr>
                <w:rFonts w:eastAsia="Times New Roman" w:cs="Times New Roman"/>
                <w:b/>
                <w:bCs/>
                <w:color w:val="000000"/>
                <w:sz w:val="22"/>
              </w:rPr>
              <w:t>FY</w:t>
            </w:r>
            <w:r w:rsidR="00A44AF7">
              <w:rPr>
                <w:rFonts w:eastAsia="Times New Roman" w:cs="Times New Roman"/>
                <w:b/>
                <w:bCs/>
                <w:color w:val="000000"/>
                <w:sz w:val="22"/>
              </w:rPr>
              <w:t>19</w:t>
            </w:r>
            <w:r w:rsidRPr="005409B2">
              <w:rPr>
                <w:rFonts w:eastAsia="Times New Roman" w:cs="Times New Roman"/>
                <w:b/>
                <w:bCs/>
                <w:color w:val="000000"/>
                <w:sz w:val="22"/>
              </w:rPr>
              <w:t>81-90</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b/>
                <w:bCs/>
                <w:color w:val="000000"/>
                <w:sz w:val="22"/>
              </w:rPr>
            </w:pPr>
            <w:r w:rsidRPr="005409B2">
              <w:rPr>
                <w:rFonts w:eastAsia="Times New Roman" w:cs="Times New Roman"/>
                <w:b/>
                <w:bCs/>
                <w:color w:val="000000"/>
                <w:sz w:val="22"/>
              </w:rPr>
              <w:t>FY</w:t>
            </w:r>
            <w:r w:rsidR="00A44AF7">
              <w:rPr>
                <w:rFonts w:eastAsia="Times New Roman" w:cs="Times New Roman"/>
                <w:b/>
                <w:bCs/>
                <w:color w:val="000000"/>
                <w:sz w:val="22"/>
              </w:rPr>
              <w:t>19</w:t>
            </w:r>
            <w:r w:rsidRPr="005409B2">
              <w:rPr>
                <w:rFonts w:eastAsia="Times New Roman" w:cs="Times New Roman"/>
                <w:b/>
                <w:bCs/>
                <w:color w:val="000000"/>
                <w:sz w:val="22"/>
              </w:rPr>
              <w:t>91-00</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b/>
                <w:bCs/>
                <w:color w:val="000000"/>
                <w:sz w:val="22"/>
              </w:rPr>
            </w:pPr>
            <w:r w:rsidRPr="005409B2">
              <w:rPr>
                <w:rFonts w:eastAsia="Times New Roman" w:cs="Times New Roman"/>
                <w:b/>
                <w:bCs/>
                <w:color w:val="000000"/>
                <w:sz w:val="22"/>
              </w:rPr>
              <w:t>FY</w:t>
            </w:r>
            <w:r w:rsidR="00A44AF7">
              <w:rPr>
                <w:rFonts w:eastAsia="Times New Roman" w:cs="Times New Roman"/>
                <w:b/>
                <w:bCs/>
                <w:color w:val="000000"/>
                <w:sz w:val="22"/>
              </w:rPr>
              <w:t>20</w:t>
            </w:r>
            <w:r w:rsidRPr="005409B2">
              <w:rPr>
                <w:rFonts w:eastAsia="Times New Roman" w:cs="Times New Roman"/>
                <w:b/>
                <w:bCs/>
                <w:color w:val="000000"/>
                <w:sz w:val="22"/>
              </w:rPr>
              <w:t>01-10</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b/>
                <w:bCs/>
                <w:color w:val="000000"/>
                <w:sz w:val="22"/>
              </w:rPr>
            </w:pPr>
            <w:r w:rsidRPr="005409B2">
              <w:rPr>
                <w:rFonts w:eastAsia="Times New Roman" w:cs="Times New Roman"/>
                <w:b/>
                <w:bCs/>
                <w:color w:val="000000"/>
                <w:sz w:val="22"/>
              </w:rPr>
              <w:t>FY</w:t>
            </w:r>
            <w:r w:rsidR="00A44AF7">
              <w:rPr>
                <w:rFonts w:eastAsia="Times New Roman" w:cs="Times New Roman"/>
                <w:b/>
                <w:bCs/>
                <w:color w:val="000000"/>
                <w:sz w:val="22"/>
              </w:rPr>
              <w:t>20</w:t>
            </w:r>
            <w:r w:rsidRPr="005409B2">
              <w:rPr>
                <w:rFonts w:eastAsia="Times New Roman" w:cs="Times New Roman"/>
                <w:b/>
                <w:bCs/>
                <w:color w:val="000000"/>
                <w:sz w:val="22"/>
              </w:rPr>
              <w:t>11-15</w:t>
            </w:r>
          </w:p>
        </w:tc>
      </w:tr>
      <w:tr w:rsidR="00CB5C6F" w:rsidRPr="008D62F5" w:rsidTr="00836174">
        <w:trPr>
          <w:trHeight w:val="283"/>
          <w:jc w:val="center"/>
        </w:trPr>
        <w:tc>
          <w:tcPr>
            <w:tcW w:w="1303" w:type="pct"/>
            <w:shd w:val="clear" w:color="auto" w:fill="auto"/>
            <w:noWrap/>
            <w:vAlign w:val="bottom"/>
            <w:hideMark/>
          </w:tcPr>
          <w:p w:rsidR="00CB5C6F" w:rsidRPr="005409B2" w:rsidRDefault="00CB5C6F" w:rsidP="00836174">
            <w:pPr>
              <w:spacing w:after="0" w:line="240" w:lineRule="auto"/>
              <w:rPr>
                <w:rFonts w:eastAsia="Times New Roman" w:cs="Times New Roman"/>
                <w:b/>
                <w:bCs/>
                <w:sz w:val="22"/>
              </w:rPr>
            </w:pPr>
            <w:r w:rsidRPr="005409B2">
              <w:rPr>
                <w:rFonts w:eastAsia="Times New Roman" w:cs="Times New Roman"/>
                <w:b/>
                <w:bCs/>
                <w:sz w:val="22"/>
              </w:rPr>
              <w:t>Agriculture and Forestry</w:t>
            </w:r>
          </w:p>
        </w:tc>
        <w:tc>
          <w:tcPr>
            <w:tcW w:w="740" w:type="pct"/>
          </w:tcPr>
          <w:p w:rsidR="00CB5C6F" w:rsidRPr="005409B2" w:rsidRDefault="005409B2"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2.43</w:t>
            </w:r>
          </w:p>
        </w:tc>
        <w:tc>
          <w:tcPr>
            <w:tcW w:w="740"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2.58</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2.08</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3.69</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2.73</w:t>
            </w:r>
          </w:p>
        </w:tc>
      </w:tr>
      <w:tr w:rsidR="00CB5C6F" w:rsidRPr="008D62F5" w:rsidTr="00836174">
        <w:trPr>
          <w:trHeight w:val="283"/>
          <w:jc w:val="center"/>
        </w:trPr>
        <w:tc>
          <w:tcPr>
            <w:tcW w:w="1303" w:type="pct"/>
            <w:shd w:val="clear" w:color="auto" w:fill="auto"/>
            <w:noWrap/>
            <w:vAlign w:val="bottom"/>
            <w:hideMark/>
          </w:tcPr>
          <w:p w:rsidR="00CB5C6F" w:rsidRPr="005409B2" w:rsidRDefault="00CB5C6F" w:rsidP="005409B2">
            <w:pPr>
              <w:spacing w:after="0" w:line="240" w:lineRule="auto"/>
              <w:ind w:firstLineChars="100" w:firstLine="220"/>
              <w:rPr>
                <w:rFonts w:eastAsia="Times New Roman" w:cs="Times New Roman"/>
                <w:sz w:val="22"/>
              </w:rPr>
            </w:pPr>
            <w:r w:rsidRPr="005409B2">
              <w:rPr>
                <w:rFonts w:eastAsia="Times New Roman" w:cs="Times New Roman"/>
                <w:sz w:val="22"/>
              </w:rPr>
              <w:t xml:space="preserve">  Crops &amp; horticulture</w:t>
            </w:r>
          </w:p>
        </w:tc>
        <w:tc>
          <w:tcPr>
            <w:tcW w:w="740" w:type="pct"/>
          </w:tcPr>
          <w:p w:rsidR="00CB5C6F" w:rsidRPr="005409B2" w:rsidRDefault="00836174"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2.51</w:t>
            </w:r>
          </w:p>
        </w:tc>
        <w:tc>
          <w:tcPr>
            <w:tcW w:w="740"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2.69</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1.83</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3.34</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2.25</w:t>
            </w:r>
          </w:p>
        </w:tc>
      </w:tr>
      <w:tr w:rsidR="00CB5C6F" w:rsidRPr="008D62F5" w:rsidTr="00836174">
        <w:trPr>
          <w:trHeight w:val="283"/>
          <w:jc w:val="center"/>
        </w:trPr>
        <w:tc>
          <w:tcPr>
            <w:tcW w:w="1303" w:type="pct"/>
            <w:shd w:val="clear" w:color="auto" w:fill="auto"/>
            <w:noWrap/>
            <w:vAlign w:val="bottom"/>
            <w:hideMark/>
          </w:tcPr>
          <w:p w:rsidR="00CB5C6F" w:rsidRPr="005409B2" w:rsidRDefault="005409B2" w:rsidP="005409B2">
            <w:pPr>
              <w:spacing w:after="0" w:line="240" w:lineRule="auto"/>
              <w:ind w:firstLineChars="100" w:firstLine="220"/>
              <w:rPr>
                <w:rFonts w:eastAsia="Times New Roman" w:cs="Times New Roman"/>
                <w:sz w:val="22"/>
              </w:rPr>
            </w:pPr>
            <w:r w:rsidRPr="005409B2">
              <w:rPr>
                <w:rFonts w:eastAsia="Times New Roman" w:cs="Times New Roman"/>
                <w:sz w:val="22"/>
              </w:rPr>
              <w:t xml:space="preserve">  Livestock</w:t>
            </w:r>
          </w:p>
        </w:tc>
        <w:tc>
          <w:tcPr>
            <w:tcW w:w="740" w:type="pct"/>
          </w:tcPr>
          <w:p w:rsidR="00CB5C6F" w:rsidRPr="005409B2" w:rsidRDefault="00836174"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2.23</w:t>
            </w:r>
          </w:p>
        </w:tc>
        <w:tc>
          <w:tcPr>
            <w:tcW w:w="740"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2.10</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2.51</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4.52</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2.79</w:t>
            </w:r>
          </w:p>
        </w:tc>
      </w:tr>
      <w:tr w:rsidR="00CB5C6F" w:rsidRPr="008D62F5" w:rsidTr="00836174">
        <w:trPr>
          <w:trHeight w:val="283"/>
          <w:jc w:val="center"/>
        </w:trPr>
        <w:tc>
          <w:tcPr>
            <w:tcW w:w="1303" w:type="pct"/>
            <w:shd w:val="clear" w:color="auto" w:fill="auto"/>
            <w:noWrap/>
            <w:vAlign w:val="bottom"/>
            <w:hideMark/>
          </w:tcPr>
          <w:p w:rsidR="00CB5C6F" w:rsidRPr="005409B2" w:rsidRDefault="00836174" w:rsidP="00836174">
            <w:pPr>
              <w:spacing w:after="0" w:line="240" w:lineRule="auto"/>
              <w:rPr>
                <w:rFonts w:eastAsia="Times New Roman" w:cs="Times New Roman"/>
                <w:sz w:val="22"/>
              </w:rPr>
            </w:pPr>
            <w:r w:rsidRPr="005409B2">
              <w:rPr>
                <w:rFonts w:eastAsia="Times New Roman" w:cs="Times New Roman"/>
                <w:sz w:val="22"/>
              </w:rPr>
              <w:t xml:space="preserve">       Forestry</w:t>
            </w:r>
          </w:p>
        </w:tc>
        <w:tc>
          <w:tcPr>
            <w:tcW w:w="740" w:type="pct"/>
          </w:tcPr>
          <w:p w:rsidR="00CB5C6F" w:rsidRPr="005409B2" w:rsidRDefault="00836174"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1.63</w:t>
            </w:r>
          </w:p>
        </w:tc>
        <w:tc>
          <w:tcPr>
            <w:tcW w:w="740"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2.74</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3.62</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5.03</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5.34</w:t>
            </w:r>
          </w:p>
        </w:tc>
      </w:tr>
      <w:tr w:rsidR="00CB5C6F" w:rsidRPr="008D62F5" w:rsidTr="00836174">
        <w:trPr>
          <w:trHeight w:val="283"/>
          <w:jc w:val="center"/>
        </w:trPr>
        <w:tc>
          <w:tcPr>
            <w:tcW w:w="1303" w:type="pct"/>
            <w:shd w:val="clear" w:color="auto" w:fill="auto"/>
            <w:noWrap/>
            <w:vAlign w:val="bottom"/>
            <w:hideMark/>
          </w:tcPr>
          <w:p w:rsidR="00CB5C6F" w:rsidRPr="005409B2" w:rsidRDefault="006E608C" w:rsidP="00005EAC">
            <w:pPr>
              <w:spacing w:after="0" w:line="240" w:lineRule="auto"/>
              <w:rPr>
                <w:rFonts w:eastAsia="Times New Roman" w:cs="Times New Roman"/>
                <w:b/>
                <w:bCs/>
                <w:sz w:val="22"/>
              </w:rPr>
            </w:pPr>
            <w:r>
              <w:rPr>
                <w:rFonts w:eastAsia="Times New Roman" w:cs="Times New Roman"/>
                <w:b/>
                <w:bCs/>
                <w:sz w:val="22"/>
              </w:rPr>
              <w:t>Fisheries</w:t>
            </w:r>
          </w:p>
        </w:tc>
        <w:tc>
          <w:tcPr>
            <w:tcW w:w="740" w:type="pct"/>
          </w:tcPr>
          <w:p w:rsidR="00CB5C6F" w:rsidRPr="005409B2" w:rsidRDefault="005409B2"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-3.87</w:t>
            </w:r>
          </w:p>
        </w:tc>
        <w:tc>
          <w:tcPr>
            <w:tcW w:w="740"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2.35</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8.21</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2.72</w:t>
            </w:r>
          </w:p>
        </w:tc>
        <w:tc>
          <w:tcPr>
            <w:tcW w:w="739" w:type="pct"/>
            <w:shd w:val="clear" w:color="auto" w:fill="auto"/>
            <w:noWrap/>
            <w:vAlign w:val="bottom"/>
            <w:hideMark/>
          </w:tcPr>
          <w:p w:rsidR="00CB5C6F" w:rsidRPr="005409B2" w:rsidRDefault="00CB5C6F" w:rsidP="00005EAC">
            <w:pPr>
              <w:spacing w:after="0" w:line="240" w:lineRule="auto"/>
              <w:jc w:val="center"/>
              <w:rPr>
                <w:rFonts w:eastAsia="Times New Roman" w:cs="Times New Roman"/>
                <w:color w:val="000000"/>
                <w:sz w:val="22"/>
              </w:rPr>
            </w:pPr>
            <w:r w:rsidRPr="005409B2">
              <w:rPr>
                <w:rFonts w:eastAsia="Times New Roman" w:cs="Times New Roman"/>
                <w:color w:val="000000"/>
                <w:sz w:val="22"/>
              </w:rPr>
              <w:t>6.19</w:t>
            </w:r>
          </w:p>
        </w:tc>
      </w:tr>
    </w:tbl>
    <w:p w:rsidR="007F2F9C" w:rsidRPr="008D62F5" w:rsidRDefault="007F2F9C" w:rsidP="00EF3CDF">
      <w:pPr>
        <w:spacing w:before="120"/>
        <w:jc w:val="both"/>
        <w:rPr>
          <w:rFonts w:cs="Times New Roman"/>
          <w:b/>
          <w:i/>
          <w:color w:val="000000"/>
          <w:sz w:val="20"/>
          <w:szCs w:val="20"/>
          <w:shd w:val="clear" w:color="auto" w:fill="FFFFFF"/>
        </w:rPr>
      </w:pPr>
      <w:r w:rsidRPr="008D62F5">
        <w:rPr>
          <w:rFonts w:cs="Times New Roman"/>
          <w:b/>
          <w:i/>
          <w:color w:val="000000"/>
          <w:sz w:val="20"/>
          <w:szCs w:val="20"/>
          <w:shd w:val="clear" w:color="auto" w:fill="FFFFFF"/>
        </w:rPr>
        <w:t>Source: National Accounts, BBS</w:t>
      </w:r>
    </w:p>
    <w:p w:rsidR="007F2F9C" w:rsidRPr="002914AB" w:rsidRDefault="007F2F9C" w:rsidP="002914AB">
      <w:pPr>
        <w:spacing w:line="276" w:lineRule="auto"/>
        <w:jc w:val="both"/>
        <w:rPr>
          <w:rFonts w:cs="Times New Roman"/>
          <w:szCs w:val="24"/>
          <w:lang w:val="en-GB"/>
        </w:rPr>
      </w:pPr>
      <w:r w:rsidRPr="00C25711">
        <w:rPr>
          <w:rFonts w:cs="Times New Roman"/>
          <w:szCs w:val="24"/>
        </w:rPr>
        <w:t>Despite the challenging physiography and extreme climate variability, enormous success has been achieved in the last several decades, with the country largely food self-sufﬁcient</w:t>
      </w:r>
      <w:r w:rsidR="002914AB">
        <w:rPr>
          <w:rFonts w:cs="Times New Roman"/>
          <w:szCs w:val="24"/>
        </w:rPr>
        <w:t>.</w:t>
      </w:r>
      <w:r w:rsidR="002914AB">
        <w:rPr>
          <w:rFonts w:cs="Times New Roman"/>
          <w:szCs w:val="24"/>
          <w:lang w:val="en-GB"/>
        </w:rPr>
        <w:t xml:space="preserve"> </w:t>
      </w:r>
      <w:r>
        <w:rPr>
          <w:rFonts w:cs="Times New Roman"/>
          <w:szCs w:val="24"/>
        </w:rPr>
        <w:t>T</w:t>
      </w:r>
      <w:r w:rsidRPr="00C022C0">
        <w:rPr>
          <w:rFonts w:cs="Times New Roman"/>
          <w:szCs w:val="24"/>
        </w:rPr>
        <w:t xml:space="preserve">he crop sector provides staple food such as rice and wheat, and other daily necessities like pulses, oil, sugar, vegetables, spices, and fruits. </w:t>
      </w:r>
      <w:r w:rsidRPr="00C022C0">
        <w:rPr>
          <w:rFonts w:cs="Times New Roman"/>
          <w:color w:val="000000"/>
          <w:szCs w:val="24"/>
          <w:shd w:val="clear" w:color="auto" w:fill="FFFFFF"/>
        </w:rPr>
        <w:t xml:space="preserve">Bangladesh made steady progress in crop agriculture in the post-Independence period. In fact, the entire growth in crop production was due to the growth in </w:t>
      </w:r>
      <w:r w:rsidRPr="00C022C0">
        <w:rPr>
          <w:rFonts w:cs="Times New Roman"/>
          <w:color w:val="000000"/>
          <w:szCs w:val="24"/>
          <w:shd w:val="clear" w:color="auto" w:fill="FFFFFF"/>
        </w:rPr>
        <w:lastRenderedPageBreak/>
        <w:t>foodgrain production, particularly rice, which rose fr</w:t>
      </w:r>
      <w:r w:rsidR="002914AB">
        <w:rPr>
          <w:rFonts w:cs="Times New Roman"/>
          <w:color w:val="000000"/>
          <w:szCs w:val="24"/>
          <w:shd w:val="clear" w:color="auto" w:fill="FFFFFF"/>
        </w:rPr>
        <w:t xml:space="preserve">om 11 million </w:t>
      </w:r>
      <w:r w:rsidR="00FE6385">
        <w:rPr>
          <w:rFonts w:cs="Times New Roman"/>
          <w:color w:val="000000"/>
          <w:szCs w:val="24"/>
          <w:shd w:val="clear" w:color="auto" w:fill="FFFFFF"/>
        </w:rPr>
        <w:t>tonne</w:t>
      </w:r>
      <w:r w:rsidR="002914AB">
        <w:rPr>
          <w:rFonts w:cs="Times New Roman"/>
          <w:color w:val="000000"/>
          <w:szCs w:val="24"/>
          <w:shd w:val="clear" w:color="auto" w:fill="FFFFFF"/>
        </w:rPr>
        <w:t>s in 1971 to 34</w:t>
      </w:r>
      <w:r w:rsidRPr="00C022C0">
        <w:rPr>
          <w:rFonts w:cs="Times New Roman"/>
          <w:color w:val="000000"/>
          <w:szCs w:val="24"/>
          <w:shd w:val="clear" w:color="auto" w:fill="FFFFFF"/>
        </w:rPr>
        <w:t xml:space="preserve"> million </w:t>
      </w:r>
      <w:r w:rsidR="00FE6385">
        <w:rPr>
          <w:rFonts w:cs="Times New Roman"/>
          <w:color w:val="000000"/>
          <w:szCs w:val="24"/>
          <w:shd w:val="clear" w:color="auto" w:fill="FFFFFF"/>
        </w:rPr>
        <w:t>tonne</w:t>
      </w:r>
      <w:r w:rsidRPr="00C022C0">
        <w:rPr>
          <w:rFonts w:cs="Times New Roman"/>
          <w:color w:val="000000"/>
          <w:szCs w:val="24"/>
          <w:shd w:val="clear" w:color="auto" w:fill="FFFFFF"/>
        </w:rPr>
        <w:t xml:space="preserve">s in 2015. </w:t>
      </w:r>
      <w:r>
        <w:rPr>
          <w:rFonts w:cs="Times New Roman"/>
          <w:color w:val="000000"/>
          <w:szCs w:val="24"/>
          <w:shd w:val="clear" w:color="auto" w:fill="FFFFFF"/>
        </w:rPr>
        <w:t xml:space="preserve">The </w:t>
      </w:r>
      <w:r>
        <w:rPr>
          <w:rFonts w:cs="Times New Roman"/>
          <w:szCs w:val="24"/>
        </w:rPr>
        <w:t>major driver of crop production has</w:t>
      </w:r>
      <w:r w:rsidRPr="00C022C0">
        <w:rPr>
          <w:rFonts w:cs="Times New Roman"/>
          <w:szCs w:val="24"/>
        </w:rPr>
        <w:t xml:space="preserve"> been development and diffusion of improved </w:t>
      </w:r>
      <w:r>
        <w:rPr>
          <w:rFonts w:cs="Times New Roman"/>
          <w:szCs w:val="24"/>
        </w:rPr>
        <w:t>farm technology in the form of improved seeds,</w:t>
      </w:r>
      <w:r w:rsidRPr="00C022C0">
        <w:rPr>
          <w:rFonts w:cs="Times New Roman"/>
          <w:szCs w:val="24"/>
        </w:rPr>
        <w:t xml:space="preserve"> </w:t>
      </w:r>
      <w:r w:rsidR="006E608C">
        <w:rPr>
          <w:rFonts w:ascii="Tahoma" w:hAnsi="Tahoma" w:cs="Tahoma"/>
          <w:color w:val="000000"/>
          <w:sz w:val="20"/>
          <w:szCs w:val="20"/>
        </w:rPr>
        <w:t>fertilizers</w:t>
      </w:r>
      <w:r>
        <w:rPr>
          <w:rFonts w:cs="Times New Roman"/>
          <w:szCs w:val="24"/>
        </w:rPr>
        <w:t xml:space="preserve">, and </w:t>
      </w:r>
      <w:r w:rsidRPr="00C022C0">
        <w:rPr>
          <w:rFonts w:cs="Times New Roman"/>
          <w:szCs w:val="24"/>
        </w:rPr>
        <w:t>more effective water management, particularly expansion of irrigation infras</w:t>
      </w:r>
      <w:r>
        <w:rPr>
          <w:rFonts w:cs="Times New Roman"/>
          <w:szCs w:val="24"/>
        </w:rPr>
        <w:t>tructure (mostly mechanized tube wells). A</w:t>
      </w:r>
      <w:r w:rsidRPr="00C022C0">
        <w:rPr>
          <w:rFonts w:cs="Times New Roman"/>
          <w:szCs w:val="24"/>
        </w:rPr>
        <w:t xml:space="preserve">vailable data suggest that Bangladesh has achieved self-sufficiency in rice production in years of normal climatic environment. </w:t>
      </w:r>
      <w:r>
        <w:rPr>
          <w:rFonts w:cs="Times New Roman"/>
          <w:szCs w:val="24"/>
        </w:rPr>
        <w:t>This miles</w:t>
      </w:r>
      <w:r w:rsidR="00FE6385">
        <w:rPr>
          <w:rFonts w:cs="Times New Roman"/>
          <w:szCs w:val="24"/>
        </w:rPr>
        <w:t>to</w:t>
      </w:r>
      <w:r w:rsidR="009F22A2">
        <w:rPr>
          <w:rFonts w:cs="Times New Roman"/>
          <w:szCs w:val="24"/>
        </w:rPr>
        <w:t>n</w:t>
      </w:r>
      <w:r>
        <w:rPr>
          <w:rFonts w:cs="Times New Roman"/>
          <w:szCs w:val="24"/>
        </w:rPr>
        <w:t xml:space="preserve">e has also been supported by sharp reduction in fertility and changing consumption habits away from rice. </w:t>
      </w:r>
      <w:r w:rsidRPr="00C022C0">
        <w:rPr>
          <w:rFonts w:cs="Times New Roman"/>
          <w:color w:val="000000"/>
          <w:szCs w:val="24"/>
          <w:shd w:val="clear" w:color="auto" w:fill="FFFFFF"/>
        </w:rPr>
        <w:t xml:space="preserve">The production of potatoes and vegetables has also </w:t>
      </w:r>
      <w:r w:rsidRPr="00360F59">
        <w:rPr>
          <w:rFonts w:cs="Times New Roman"/>
          <w:color w:val="000000"/>
          <w:szCs w:val="24"/>
          <w:shd w:val="clear" w:color="auto" w:fill="FFFFFF"/>
        </w:rPr>
        <w:t xml:space="preserve">increased (Table </w:t>
      </w:r>
      <w:r w:rsidR="00B50A6C">
        <w:rPr>
          <w:rFonts w:cs="Times New Roman"/>
          <w:color w:val="000000"/>
          <w:szCs w:val="24"/>
          <w:shd w:val="clear" w:color="auto" w:fill="FFFFFF"/>
        </w:rPr>
        <w:t>8.</w:t>
      </w:r>
      <w:r w:rsidR="002914AB">
        <w:rPr>
          <w:rFonts w:cs="Times New Roman"/>
          <w:color w:val="000000"/>
          <w:szCs w:val="24"/>
          <w:shd w:val="clear" w:color="auto" w:fill="FFFFFF"/>
        </w:rPr>
        <w:t>4</w:t>
      </w:r>
      <w:r w:rsidRPr="00360F59">
        <w:rPr>
          <w:rFonts w:cs="Times New Roman"/>
          <w:color w:val="000000"/>
          <w:szCs w:val="24"/>
          <w:shd w:val="clear" w:color="auto" w:fill="FFFFFF"/>
        </w:rPr>
        <w:t>).</w:t>
      </w:r>
      <w:r w:rsidRPr="00C022C0">
        <w:rPr>
          <w:rFonts w:cs="Times New Roman"/>
          <w:color w:val="000000"/>
          <w:szCs w:val="24"/>
          <w:shd w:val="clear" w:color="auto" w:fill="FFFFFF"/>
        </w:rPr>
        <w:t xml:space="preserve"> Yield of other non-cereal crops such as pulses and oilseeds almost stagnated, while that of wheat increased only marginally. Jute production has suffered owing to the decline in acreage. </w:t>
      </w:r>
      <w:r w:rsidR="002914AB">
        <w:rPr>
          <w:rFonts w:cs="Times New Roman"/>
          <w:color w:val="000000"/>
          <w:szCs w:val="24"/>
          <w:shd w:val="clear" w:color="auto" w:fill="FFFFFF"/>
        </w:rPr>
        <w:t xml:space="preserve"> Livestock and dairy production has gained ground, contributing to a more balanced and nutritious food mix supply the Bangladeshi population.  </w:t>
      </w:r>
    </w:p>
    <w:p w:rsidR="007F2F9C" w:rsidRPr="008D5399" w:rsidRDefault="007F2F9C" w:rsidP="00E3762D">
      <w:pPr>
        <w:pStyle w:val="Heading4"/>
        <w:rPr>
          <w:shd w:val="clear" w:color="auto" w:fill="FFFFFF"/>
        </w:rPr>
      </w:pPr>
      <w:bookmarkStart w:id="576" w:name="_Toc474639048"/>
      <w:r w:rsidRPr="008D5399">
        <w:rPr>
          <w:shd w:val="clear" w:color="auto" w:fill="FFFFFF"/>
        </w:rPr>
        <w:t xml:space="preserve">Table </w:t>
      </w:r>
      <w:r w:rsidR="00B50A6C" w:rsidRPr="008D5399">
        <w:rPr>
          <w:shd w:val="clear" w:color="auto" w:fill="FFFFFF"/>
        </w:rPr>
        <w:t>8.</w:t>
      </w:r>
      <w:r w:rsidR="002914AB" w:rsidRPr="008D5399">
        <w:rPr>
          <w:shd w:val="clear" w:color="auto" w:fill="FFFFFF"/>
        </w:rPr>
        <w:t>4</w:t>
      </w:r>
      <w:r w:rsidRPr="008D5399">
        <w:rPr>
          <w:shd w:val="clear" w:color="auto" w:fill="FFFFFF"/>
        </w:rPr>
        <w:t xml:space="preserve">: </w:t>
      </w:r>
      <w:r w:rsidR="006E608C" w:rsidRPr="008D5399">
        <w:rPr>
          <w:shd w:val="clear" w:color="auto" w:fill="FFFFFF"/>
        </w:rPr>
        <w:t>Average Annual Production</w:t>
      </w:r>
      <w:r w:rsidRPr="008D5399">
        <w:rPr>
          <w:shd w:val="clear" w:color="auto" w:fill="FFFFFF"/>
        </w:rPr>
        <w:t xml:space="preserve"> of Major Crops and Livestock</w:t>
      </w:r>
      <w:r w:rsidR="00C7323F" w:rsidRPr="008D5399">
        <w:rPr>
          <w:shd w:val="clear" w:color="auto" w:fill="FFFFFF"/>
        </w:rPr>
        <w:t xml:space="preserve"> </w:t>
      </w:r>
      <w:r w:rsidR="008D5399">
        <w:rPr>
          <w:shd w:val="clear" w:color="auto" w:fill="FFFFFF"/>
        </w:rPr>
        <w:br/>
      </w:r>
      <w:r w:rsidR="00C7323F" w:rsidRPr="008D5399">
        <w:rPr>
          <w:shd w:val="clear" w:color="auto" w:fill="FFFFFF"/>
        </w:rPr>
        <w:t>(</w:t>
      </w:r>
      <w:r w:rsidR="006E608C" w:rsidRPr="008D5399">
        <w:rPr>
          <w:shd w:val="clear" w:color="auto" w:fill="FFFFFF"/>
        </w:rPr>
        <w:t>‘000 MT)</w:t>
      </w:r>
      <w:bookmarkEnd w:id="576"/>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2394"/>
        <w:gridCol w:w="1433"/>
        <w:gridCol w:w="1525"/>
        <w:gridCol w:w="1477"/>
        <w:gridCol w:w="1411"/>
        <w:gridCol w:w="1336"/>
      </w:tblGrid>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i/>
                <w:iCs/>
                <w:color w:val="000000"/>
              </w:rPr>
            </w:pPr>
          </w:p>
        </w:tc>
        <w:tc>
          <w:tcPr>
            <w:tcW w:w="754" w:type="pct"/>
            <w:shd w:val="clear" w:color="auto" w:fill="auto"/>
            <w:noWrap/>
            <w:vAlign w:val="bottom"/>
            <w:hideMark/>
          </w:tcPr>
          <w:p w:rsidR="007F2F9C" w:rsidRPr="00360F59" w:rsidRDefault="00A44AF7" w:rsidP="00005EAC">
            <w:pPr>
              <w:spacing w:after="0" w:line="240" w:lineRule="auto"/>
              <w:jc w:val="center"/>
              <w:rPr>
                <w:rFonts w:eastAsia="Times New Roman" w:cs="Times New Roman"/>
                <w:b/>
                <w:bCs/>
                <w:color w:val="000000"/>
              </w:rPr>
            </w:pPr>
            <w:r>
              <w:rPr>
                <w:rFonts w:eastAsia="Times New Roman" w:cs="Times New Roman"/>
                <w:b/>
                <w:bCs/>
                <w:color w:val="000000"/>
              </w:rPr>
              <w:t>FY</w:t>
            </w:r>
            <w:r w:rsidR="007F2F9C" w:rsidRPr="00360F59">
              <w:rPr>
                <w:rFonts w:eastAsia="Times New Roman" w:cs="Times New Roman"/>
                <w:b/>
                <w:bCs/>
                <w:color w:val="000000"/>
              </w:rPr>
              <w:t>1970-79</w:t>
            </w:r>
          </w:p>
        </w:tc>
        <w:tc>
          <w:tcPr>
            <w:tcW w:w="802" w:type="pct"/>
            <w:shd w:val="clear" w:color="auto" w:fill="auto"/>
            <w:noWrap/>
            <w:vAlign w:val="bottom"/>
            <w:hideMark/>
          </w:tcPr>
          <w:p w:rsidR="007F2F9C" w:rsidRPr="00360F59" w:rsidRDefault="00A44AF7" w:rsidP="00005EAC">
            <w:pPr>
              <w:spacing w:after="0" w:line="240" w:lineRule="auto"/>
              <w:jc w:val="center"/>
              <w:rPr>
                <w:rFonts w:eastAsia="Times New Roman" w:cs="Times New Roman"/>
                <w:b/>
                <w:bCs/>
                <w:color w:val="000000"/>
              </w:rPr>
            </w:pPr>
            <w:r>
              <w:rPr>
                <w:rFonts w:eastAsia="Times New Roman" w:cs="Times New Roman"/>
                <w:b/>
                <w:bCs/>
                <w:color w:val="000000"/>
              </w:rPr>
              <w:t>FY</w:t>
            </w:r>
            <w:r w:rsidR="007F2F9C" w:rsidRPr="00360F59">
              <w:rPr>
                <w:rFonts w:eastAsia="Times New Roman" w:cs="Times New Roman"/>
                <w:b/>
                <w:bCs/>
                <w:color w:val="000000"/>
              </w:rPr>
              <w:t>1980-89</w:t>
            </w:r>
          </w:p>
        </w:tc>
        <w:tc>
          <w:tcPr>
            <w:tcW w:w="777" w:type="pct"/>
            <w:shd w:val="clear" w:color="auto" w:fill="auto"/>
            <w:noWrap/>
            <w:vAlign w:val="bottom"/>
            <w:hideMark/>
          </w:tcPr>
          <w:p w:rsidR="007F2F9C" w:rsidRPr="00360F59" w:rsidRDefault="00A44AF7" w:rsidP="00005EAC">
            <w:pPr>
              <w:spacing w:after="0" w:line="240" w:lineRule="auto"/>
              <w:jc w:val="center"/>
              <w:rPr>
                <w:rFonts w:eastAsia="Times New Roman" w:cs="Times New Roman"/>
                <w:b/>
                <w:bCs/>
                <w:color w:val="000000"/>
              </w:rPr>
            </w:pPr>
            <w:r>
              <w:rPr>
                <w:rFonts w:eastAsia="Times New Roman" w:cs="Times New Roman"/>
                <w:b/>
                <w:bCs/>
                <w:color w:val="000000"/>
              </w:rPr>
              <w:t>FY</w:t>
            </w:r>
            <w:r w:rsidR="007F2F9C" w:rsidRPr="00360F59">
              <w:rPr>
                <w:rFonts w:eastAsia="Times New Roman" w:cs="Times New Roman"/>
                <w:b/>
                <w:bCs/>
                <w:color w:val="000000"/>
              </w:rPr>
              <w:t>1990-99</w:t>
            </w:r>
          </w:p>
        </w:tc>
        <w:tc>
          <w:tcPr>
            <w:tcW w:w="742" w:type="pct"/>
            <w:shd w:val="clear" w:color="auto" w:fill="auto"/>
            <w:noWrap/>
            <w:vAlign w:val="bottom"/>
            <w:hideMark/>
          </w:tcPr>
          <w:p w:rsidR="007F2F9C" w:rsidRPr="00360F59" w:rsidRDefault="00A44AF7" w:rsidP="00005EAC">
            <w:pPr>
              <w:spacing w:after="0" w:line="240" w:lineRule="auto"/>
              <w:jc w:val="center"/>
              <w:rPr>
                <w:rFonts w:eastAsia="Times New Roman" w:cs="Times New Roman"/>
                <w:b/>
                <w:bCs/>
                <w:color w:val="000000"/>
              </w:rPr>
            </w:pPr>
            <w:r>
              <w:rPr>
                <w:rFonts w:eastAsia="Times New Roman" w:cs="Times New Roman"/>
                <w:b/>
                <w:bCs/>
                <w:color w:val="000000"/>
              </w:rPr>
              <w:t>FY</w:t>
            </w:r>
            <w:r w:rsidR="007F2F9C" w:rsidRPr="00360F59">
              <w:rPr>
                <w:rFonts w:eastAsia="Times New Roman" w:cs="Times New Roman"/>
                <w:b/>
                <w:bCs/>
                <w:color w:val="000000"/>
              </w:rPr>
              <w:t>2000-09</w:t>
            </w:r>
          </w:p>
        </w:tc>
        <w:tc>
          <w:tcPr>
            <w:tcW w:w="670" w:type="pct"/>
            <w:shd w:val="clear" w:color="auto" w:fill="auto"/>
            <w:noWrap/>
            <w:vAlign w:val="bottom"/>
            <w:hideMark/>
          </w:tcPr>
          <w:p w:rsidR="007F2F9C" w:rsidRPr="00360F59" w:rsidRDefault="00A44AF7" w:rsidP="00005EAC">
            <w:pPr>
              <w:spacing w:after="0" w:line="240" w:lineRule="auto"/>
              <w:jc w:val="center"/>
              <w:rPr>
                <w:rFonts w:eastAsia="Times New Roman" w:cs="Times New Roman"/>
                <w:b/>
                <w:bCs/>
                <w:color w:val="000000"/>
              </w:rPr>
            </w:pPr>
            <w:r>
              <w:rPr>
                <w:rFonts w:eastAsia="Times New Roman" w:cs="Times New Roman"/>
                <w:b/>
                <w:bCs/>
                <w:color w:val="000000"/>
              </w:rPr>
              <w:t>FY</w:t>
            </w:r>
            <w:r w:rsidR="007F2F9C" w:rsidRPr="00360F59">
              <w:rPr>
                <w:rFonts w:eastAsia="Times New Roman" w:cs="Times New Roman"/>
                <w:b/>
                <w:bCs/>
                <w:color w:val="000000"/>
              </w:rPr>
              <w:t>2010-13</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Rice</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17645.2</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22517.4</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28031.8</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26308.4</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33309.8</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Potatoes</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831.1</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1098.6</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1528.7</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3858.9</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7498.8</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Roots</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1591.3</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1754.4</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1966.8</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4701.2</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8545.5</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Pulses</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512.2</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536.1</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506.2</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302.9</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257.9</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Jute</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993.8</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1037.6</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873.4</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728.0</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1322.5</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Vegetables</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1079.7</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1173.8</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1490.1</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2491.7</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3992.6</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Eggs</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37.0</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42.7</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93.2</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160.0</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228.3</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Meat (chicken)</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41.0</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48.4</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79.0</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126.4</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168.5</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Meat (cattle)</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148.4</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129.5</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151.0</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181.4</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192.0</w:t>
            </w:r>
          </w:p>
        </w:tc>
      </w:tr>
      <w:tr w:rsidR="007F2F9C" w:rsidRPr="00DE4B41" w:rsidTr="00005EAC">
        <w:trPr>
          <w:trHeight w:val="298"/>
          <w:jc w:val="center"/>
        </w:trPr>
        <w:tc>
          <w:tcPr>
            <w:tcW w:w="1256" w:type="pct"/>
            <w:shd w:val="clear" w:color="auto" w:fill="auto"/>
            <w:noWrap/>
            <w:vAlign w:val="bottom"/>
            <w:hideMark/>
          </w:tcPr>
          <w:p w:rsidR="007F2F9C" w:rsidRPr="00360F59" w:rsidRDefault="007F2F9C" w:rsidP="00005EAC">
            <w:pPr>
              <w:spacing w:after="0" w:line="240" w:lineRule="auto"/>
              <w:rPr>
                <w:rFonts w:eastAsia="Times New Roman" w:cs="Times New Roman"/>
                <w:b/>
                <w:bCs/>
                <w:color w:val="000000"/>
              </w:rPr>
            </w:pPr>
            <w:r w:rsidRPr="00360F59">
              <w:rPr>
                <w:rFonts w:eastAsia="Times New Roman" w:cs="Times New Roman"/>
                <w:b/>
                <w:bCs/>
                <w:color w:val="000000"/>
              </w:rPr>
              <w:t xml:space="preserve">Milk </w:t>
            </w:r>
          </w:p>
        </w:tc>
        <w:tc>
          <w:tcPr>
            <w:tcW w:w="754"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757.2</w:t>
            </w:r>
          </w:p>
        </w:tc>
        <w:tc>
          <w:tcPr>
            <w:tcW w:w="80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744.8</w:t>
            </w:r>
          </w:p>
        </w:tc>
        <w:tc>
          <w:tcPr>
            <w:tcW w:w="777"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763.1</w:t>
            </w:r>
          </w:p>
        </w:tc>
        <w:tc>
          <w:tcPr>
            <w:tcW w:w="742"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803.8</w:t>
            </w:r>
          </w:p>
        </w:tc>
        <w:tc>
          <w:tcPr>
            <w:tcW w:w="670" w:type="pct"/>
            <w:shd w:val="clear" w:color="auto" w:fill="auto"/>
            <w:noWrap/>
            <w:vAlign w:val="bottom"/>
            <w:hideMark/>
          </w:tcPr>
          <w:p w:rsidR="007F2F9C" w:rsidRPr="00360F59" w:rsidRDefault="007F2F9C" w:rsidP="00005EAC">
            <w:pPr>
              <w:spacing w:after="0" w:line="240" w:lineRule="auto"/>
              <w:jc w:val="center"/>
              <w:rPr>
                <w:rFonts w:eastAsia="Times New Roman" w:cs="Times New Roman"/>
                <w:color w:val="000000"/>
              </w:rPr>
            </w:pPr>
            <w:r w:rsidRPr="00360F59">
              <w:rPr>
                <w:rFonts w:eastAsia="Times New Roman" w:cs="Times New Roman"/>
                <w:color w:val="000000"/>
              </w:rPr>
              <w:t>833.7</w:t>
            </w:r>
          </w:p>
        </w:tc>
      </w:tr>
    </w:tbl>
    <w:p w:rsidR="007F2F9C" w:rsidRPr="00360F59" w:rsidRDefault="007F2F9C" w:rsidP="00EF3CDF">
      <w:pPr>
        <w:spacing w:before="120" w:after="360" w:line="276" w:lineRule="auto"/>
        <w:rPr>
          <w:rFonts w:cs="Times New Roman"/>
          <w:b/>
          <w:i/>
          <w:sz w:val="20"/>
          <w:szCs w:val="20"/>
        </w:rPr>
      </w:pPr>
      <w:r w:rsidRPr="00360F59">
        <w:rPr>
          <w:rFonts w:cs="Times New Roman"/>
          <w:b/>
          <w:i/>
          <w:sz w:val="20"/>
          <w:szCs w:val="20"/>
        </w:rPr>
        <w:t>Source: FAOSTAT; BBS</w:t>
      </w:r>
    </w:p>
    <w:p w:rsidR="00A74DF2" w:rsidRDefault="002914AB" w:rsidP="002914AB">
      <w:pPr>
        <w:pStyle w:val="Default"/>
        <w:spacing w:line="276" w:lineRule="auto"/>
        <w:jc w:val="both"/>
        <w:rPr>
          <w:rFonts w:ascii="Times New Roman" w:hAnsi="Times New Roman" w:cs="Times New Roman"/>
          <w:color w:val="auto"/>
        </w:rPr>
      </w:pPr>
      <w:r>
        <w:rPr>
          <w:rFonts w:ascii="Times New Roman" w:hAnsi="Times New Roman" w:cs="Times New Roman"/>
          <w:color w:val="auto"/>
        </w:rPr>
        <w:t>Gradual adoption of</w:t>
      </w:r>
      <w:r w:rsidR="007F2F9C" w:rsidRPr="00C022C0">
        <w:rPr>
          <w:rFonts w:ascii="Times New Roman" w:hAnsi="Times New Roman" w:cs="Times New Roman"/>
          <w:color w:val="auto"/>
        </w:rPr>
        <w:t xml:space="preserve"> improved varieties by replacing low-yielding traditional varieties have contributed to increase in yield, reduction in per unit cost of production, and increased profitability in farming. </w:t>
      </w:r>
      <w:r>
        <w:rPr>
          <w:rFonts w:ascii="Times New Roman" w:hAnsi="Times New Roman" w:cs="Times New Roman"/>
          <w:color w:val="auto"/>
        </w:rPr>
        <w:t xml:space="preserve">The growth in rice productivity </w:t>
      </w:r>
      <w:r w:rsidR="007F2F9C">
        <w:rPr>
          <w:rFonts w:ascii="Times New Roman" w:hAnsi="Times New Roman" w:cs="Times New Roman"/>
          <w:color w:val="auto"/>
        </w:rPr>
        <w:t xml:space="preserve">has been remarkable, expanding by nearly four-fold between 1974 and 2014, which is about 1.5% per year (Figure </w:t>
      </w:r>
      <w:r w:rsidR="00DA20B3">
        <w:rPr>
          <w:rFonts w:ascii="Times New Roman" w:hAnsi="Times New Roman" w:cs="Times New Roman"/>
          <w:color w:val="auto"/>
        </w:rPr>
        <w:t>8.</w:t>
      </w:r>
      <w:r w:rsidR="007F1965">
        <w:rPr>
          <w:rFonts w:ascii="Times New Roman" w:hAnsi="Times New Roman" w:cs="Times New Roman"/>
          <w:color w:val="auto"/>
        </w:rPr>
        <w:t>2</w:t>
      </w:r>
      <w:r w:rsidR="007F2F9C">
        <w:rPr>
          <w:rFonts w:ascii="Times New Roman" w:hAnsi="Times New Roman" w:cs="Times New Roman"/>
          <w:color w:val="auto"/>
        </w:rPr>
        <w:t xml:space="preserve">). </w:t>
      </w:r>
      <w:r w:rsidR="007F2F9C" w:rsidRPr="00C022C0">
        <w:rPr>
          <w:rFonts w:ascii="Times New Roman" w:hAnsi="Times New Roman" w:cs="Times New Roman"/>
          <w:color w:val="auto"/>
        </w:rPr>
        <w:t xml:space="preserve">The technological progress has been supported by </w:t>
      </w:r>
      <w:r w:rsidR="009F22A2">
        <w:rPr>
          <w:rFonts w:ascii="Times New Roman" w:hAnsi="Times New Roman" w:cs="Times New Roman"/>
          <w:color w:val="auto"/>
        </w:rPr>
        <w:t>public</w:t>
      </w:r>
      <w:r w:rsidR="007F2F9C" w:rsidRPr="00C022C0">
        <w:rPr>
          <w:rFonts w:ascii="Times New Roman" w:hAnsi="Times New Roman" w:cs="Times New Roman"/>
          <w:color w:val="auto"/>
        </w:rPr>
        <w:t xml:space="preserve"> and private investment for the infrastructure for irrigation; flood control and drainage, because the optimum exploitation of the yield potential of improved varieties depend on good </w:t>
      </w:r>
      <w:r w:rsidR="006E608C">
        <w:rPr>
          <w:rFonts w:ascii="Tahoma" w:hAnsi="Tahoma" w:cs="Tahoma"/>
          <w:sz w:val="20"/>
          <w:szCs w:val="20"/>
        </w:rPr>
        <w:t>irrigation management</w:t>
      </w:r>
      <w:r w:rsidR="007F2F9C" w:rsidRPr="00C022C0">
        <w:rPr>
          <w:rFonts w:ascii="Times New Roman" w:hAnsi="Times New Roman" w:cs="Times New Roman"/>
          <w:color w:val="auto"/>
        </w:rPr>
        <w:t xml:space="preserve">. </w:t>
      </w:r>
      <w:r w:rsidR="00F64A6A" w:rsidRPr="00F64A6A">
        <w:rPr>
          <w:rFonts w:ascii="Times New Roman" w:hAnsi="Times New Roman" w:cs="Times New Roman"/>
          <w:color w:val="auto"/>
          <w:u w:val="single"/>
        </w:rPr>
        <w:t>The area irrigated has expanded rapidly since 1989 with the liberalization in the import of diesel engines and reduction in import duties and withdrawal of restrictions on standardization of irrigation equipment.</w:t>
      </w:r>
      <w:r w:rsidR="007F2F9C" w:rsidRPr="00C022C0">
        <w:rPr>
          <w:rFonts w:ascii="Times New Roman" w:hAnsi="Times New Roman" w:cs="Times New Roman"/>
          <w:color w:val="auto"/>
        </w:rPr>
        <w:t xml:space="preserve"> This has facilitated the cultivation of dry season irrigated rice farming known as boro rice. </w:t>
      </w:r>
    </w:p>
    <w:p w:rsidR="00E52937" w:rsidRDefault="00E52937">
      <w:pPr>
        <w:rPr>
          <w:b/>
          <w:szCs w:val="24"/>
        </w:rPr>
      </w:pPr>
      <w:r>
        <w:br w:type="page"/>
      </w:r>
    </w:p>
    <w:p w:rsidR="00025234" w:rsidRPr="00025234" w:rsidRDefault="00025234" w:rsidP="00E3762D">
      <w:pPr>
        <w:pStyle w:val="Heading5"/>
      </w:pPr>
      <w:bookmarkStart w:id="577" w:name="_Toc474639196"/>
      <w:r w:rsidRPr="00025234">
        <w:lastRenderedPageBreak/>
        <w:t xml:space="preserve">Figure </w:t>
      </w:r>
      <w:r w:rsidR="00DA20B3">
        <w:t>8.</w:t>
      </w:r>
      <w:r w:rsidR="007F1965">
        <w:t>2</w:t>
      </w:r>
      <w:r w:rsidRPr="00025234">
        <w:t>: Trend in Rice Productivity (</w:t>
      </w:r>
      <w:r w:rsidR="00065D01" w:rsidRPr="00025234">
        <w:t>MT</w:t>
      </w:r>
      <w:r w:rsidRPr="00025234">
        <w:t>/acre)</w:t>
      </w:r>
      <w:bookmarkEnd w:id="577"/>
    </w:p>
    <w:p w:rsidR="007F2F9C" w:rsidRDefault="007F2F9C" w:rsidP="00025234">
      <w:pPr>
        <w:pStyle w:val="Default"/>
        <w:spacing w:after="0" w:line="276" w:lineRule="auto"/>
        <w:jc w:val="center"/>
        <w:rPr>
          <w:rFonts w:ascii="Times New Roman" w:hAnsi="Times New Roman" w:cs="Times New Roman"/>
        </w:rPr>
      </w:pPr>
      <w:r w:rsidRPr="00863BBC">
        <w:rPr>
          <w:rFonts w:ascii="Times New Roman" w:hAnsi="Times New Roman" w:cs="Times New Roman"/>
          <w:noProof/>
          <w:lang w:val="en-AU" w:eastAsia="en-AU" w:bidi="bn-BD"/>
        </w:rPr>
        <w:drawing>
          <wp:inline distT="0" distB="0" distL="0" distR="0">
            <wp:extent cx="4991100" cy="2552700"/>
            <wp:effectExtent l="0" t="0" r="0" b="0"/>
            <wp:docPr id="137" name="Chart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7F2F9C" w:rsidRPr="00863BBC" w:rsidRDefault="008D5399" w:rsidP="00EF3CDF">
      <w:pPr>
        <w:pStyle w:val="Default"/>
        <w:tabs>
          <w:tab w:val="left" w:pos="1080"/>
        </w:tabs>
        <w:spacing w:before="120" w:line="276" w:lineRule="auto"/>
        <w:jc w:val="both"/>
        <w:rPr>
          <w:rFonts w:ascii="Times New Roman" w:hAnsi="Times New Roman" w:cs="Times New Roman"/>
          <w:b/>
          <w:bCs/>
          <w:i/>
          <w:iCs/>
        </w:rPr>
      </w:pPr>
      <w:r>
        <w:rPr>
          <w:rFonts w:ascii="Times New Roman" w:hAnsi="Times New Roman" w:cs="Times New Roman"/>
          <w:b/>
          <w:bCs/>
          <w:i/>
          <w:iCs/>
          <w:sz w:val="20"/>
          <w:szCs w:val="20"/>
        </w:rPr>
        <w:tab/>
      </w:r>
      <w:r w:rsidR="007F2F9C" w:rsidRPr="00863BBC">
        <w:rPr>
          <w:rFonts w:ascii="Times New Roman" w:hAnsi="Times New Roman" w:cs="Times New Roman"/>
          <w:b/>
          <w:bCs/>
          <w:i/>
          <w:iCs/>
          <w:sz w:val="20"/>
          <w:szCs w:val="20"/>
        </w:rPr>
        <w:t>Source: Bangladesh Bureau of Statistics</w:t>
      </w:r>
    </w:p>
    <w:p w:rsidR="007F2F9C" w:rsidRPr="00C022C0" w:rsidRDefault="007F2F9C" w:rsidP="00025234">
      <w:pPr>
        <w:pStyle w:val="Default"/>
        <w:spacing w:line="276" w:lineRule="auto"/>
        <w:jc w:val="both"/>
        <w:rPr>
          <w:rFonts w:ascii="Times New Roman" w:hAnsi="Times New Roman" w:cs="Times New Roman"/>
        </w:rPr>
      </w:pPr>
      <w:r w:rsidRPr="00C022C0">
        <w:rPr>
          <w:rFonts w:ascii="Times New Roman" w:hAnsi="Times New Roman" w:cs="Times New Roman"/>
        </w:rPr>
        <w:t>Non-crop agriculture (livestock, fishe</w:t>
      </w:r>
      <w:r w:rsidR="002914AB">
        <w:rPr>
          <w:rFonts w:ascii="Times New Roman" w:hAnsi="Times New Roman" w:cs="Times New Roman"/>
        </w:rPr>
        <w:t>ries and forestry) have gained substantial ground and now</w:t>
      </w:r>
      <w:r w:rsidRPr="00C022C0">
        <w:rPr>
          <w:rFonts w:ascii="Times New Roman" w:hAnsi="Times New Roman" w:cs="Times New Roman"/>
        </w:rPr>
        <w:t xml:space="preserve"> plays a significant role in terms of employment generation and contribution to GDP. Althou</w:t>
      </w:r>
      <w:r w:rsidR="00B3049D">
        <w:rPr>
          <w:rFonts w:ascii="Times New Roman" w:hAnsi="Times New Roman" w:cs="Times New Roman"/>
        </w:rPr>
        <w:t>gh livestock accounts for 10% of agricultural GDP (less than 2</w:t>
      </w:r>
      <w:r w:rsidRPr="00C022C0">
        <w:rPr>
          <w:rFonts w:ascii="Times New Roman" w:hAnsi="Times New Roman" w:cs="Times New Roman"/>
        </w:rPr>
        <w:t xml:space="preserve"> per cent of total GDP</w:t>
      </w:r>
      <w:r w:rsidR="00B3049D">
        <w:rPr>
          <w:rFonts w:ascii="Times New Roman" w:hAnsi="Times New Roman" w:cs="Times New Roman"/>
        </w:rPr>
        <w:t>)</w:t>
      </w:r>
      <w:r w:rsidRPr="00C022C0">
        <w:rPr>
          <w:rFonts w:ascii="Times New Roman" w:hAnsi="Times New Roman" w:cs="Times New Roman"/>
        </w:rPr>
        <w:t xml:space="preserve">, it </w:t>
      </w:r>
      <w:r w:rsidR="00B3049D">
        <w:rPr>
          <w:rFonts w:ascii="Times New Roman" w:hAnsi="Times New Roman" w:cs="Times New Roman"/>
        </w:rPr>
        <w:t>is very labor intensive</w:t>
      </w:r>
      <w:r w:rsidRPr="00C022C0">
        <w:rPr>
          <w:rFonts w:ascii="Times New Roman" w:hAnsi="Times New Roman" w:cs="Times New Roman"/>
        </w:rPr>
        <w:t>. Livestock sub</w:t>
      </w:r>
      <w:r w:rsidRPr="00C022C0">
        <w:rPr>
          <w:rFonts w:ascii="Times New Roman" w:hAnsi="Times New Roman" w:cs="Times New Roman"/>
          <w:b/>
          <w:bCs/>
        </w:rPr>
        <w:t>-</w:t>
      </w:r>
      <w:r w:rsidRPr="00C022C0">
        <w:rPr>
          <w:rFonts w:ascii="Times New Roman" w:hAnsi="Times New Roman" w:cs="Times New Roman"/>
        </w:rPr>
        <w:t>sector contributes output for both production and consumption.  However there exi</w:t>
      </w:r>
      <w:r w:rsidR="002914AB">
        <w:rPr>
          <w:rFonts w:ascii="Times New Roman" w:hAnsi="Times New Roman" w:cs="Times New Roman"/>
        </w:rPr>
        <w:t>sts a gap between the demand for</w:t>
      </w:r>
      <w:r w:rsidRPr="00C022C0">
        <w:rPr>
          <w:rFonts w:ascii="Times New Roman" w:hAnsi="Times New Roman" w:cs="Times New Roman"/>
        </w:rPr>
        <w:t xml:space="preserve"> livestock products and their c</w:t>
      </w:r>
      <w:r w:rsidR="002914AB">
        <w:rPr>
          <w:rFonts w:ascii="Times New Roman" w:hAnsi="Times New Roman" w:cs="Times New Roman"/>
        </w:rPr>
        <w:t>urrent levels of production.  T</w:t>
      </w:r>
      <w:r w:rsidRPr="00C022C0">
        <w:rPr>
          <w:rFonts w:ascii="Times New Roman" w:hAnsi="Times New Roman" w:cs="Times New Roman"/>
        </w:rPr>
        <w:t xml:space="preserve">his gap is expected to widen further due to increase in per capita income and change in food consumption pattern. </w:t>
      </w:r>
      <w:r w:rsidR="002914AB">
        <w:rPr>
          <w:rFonts w:ascii="Times New Roman" w:hAnsi="Times New Roman" w:cs="Times New Roman"/>
        </w:rPr>
        <w:t xml:space="preserve"> This is a missed opportunity that needs major policy attention.</w:t>
      </w:r>
    </w:p>
    <w:p w:rsidR="007F2F9C" w:rsidRDefault="00B3049D" w:rsidP="00025234">
      <w:pPr>
        <w:pStyle w:val="Default"/>
        <w:spacing w:line="276" w:lineRule="auto"/>
        <w:jc w:val="both"/>
        <w:rPr>
          <w:rFonts w:ascii="Times New Roman" w:hAnsi="Times New Roman" w:cs="Times New Roman"/>
        </w:rPr>
      </w:pPr>
      <w:r>
        <w:rPr>
          <w:rFonts w:ascii="Times New Roman" w:hAnsi="Times New Roman" w:cs="Times New Roman"/>
        </w:rPr>
        <w:t xml:space="preserve">A major breakthrough that has happened in post-independence Bangladesh is the growing importance of fisheries.  As noted in Table 8.2, its share in agricultural production climbed up from less than 9% in the 1970s to 23% in </w:t>
      </w:r>
      <w:r w:rsidR="006E608C">
        <w:rPr>
          <w:rFonts w:ascii="Times New Roman" w:hAnsi="Times New Roman" w:cs="Times New Roman"/>
        </w:rPr>
        <w:t>F</w:t>
      </w:r>
      <w:r>
        <w:rPr>
          <w:rFonts w:ascii="Times New Roman" w:hAnsi="Times New Roman" w:cs="Times New Roman"/>
        </w:rPr>
        <w:t>Y2014.  As a result, f</w:t>
      </w:r>
      <w:r w:rsidR="007F2F9C" w:rsidRPr="00C022C0">
        <w:rPr>
          <w:rFonts w:ascii="Times New Roman" w:hAnsi="Times New Roman" w:cs="Times New Roman"/>
        </w:rPr>
        <w:t xml:space="preserve">isheries sector </w:t>
      </w:r>
      <w:r>
        <w:rPr>
          <w:rFonts w:ascii="Times New Roman" w:hAnsi="Times New Roman" w:cs="Times New Roman"/>
        </w:rPr>
        <w:t xml:space="preserve">now </w:t>
      </w:r>
      <w:r w:rsidR="007F2F9C" w:rsidRPr="00C022C0">
        <w:rPr>
          <w:rFonts w:ascii="Times New Roman" w:hAnsi="Times New Roman" w:cs="Times New Roman"/>
        </w:rPr>
        <w:t xml:space="preserve">contributes </w:t>
      </w:r>
      <w:r>
        <w:rPr>
          <w:rFonts w:ascii="Times New Roman" w:hAnsi="Times New Roman" w:cs="Times New Roman"/>
        </w:rPr>
        <w:t xml:space="preserve">to </w:t>
      </w:r>
      <w:r w:rsidR="007F2F9C" w:rsidRPr="00C022C0">
        <w:rPr>
          <w:rFonts w:ascii="Times New Roman" w:hAnsi="Times New Roman" w:cs="Times New Roman"/>
        </w:rPr>
        <w:t xml:space="preserve">4.4 per cent of total GDP and employs about 13 per cent of rural labor force. </w:t>
      </w:r>
      <w:r>
        <w:rPr>
          <w:rFonts w:ascii="Times New Roman" w:hAnsi="Times New Roman" w:cs="Times New Roman"/>
        </w:rPr>
        <w:t>There has been a major transformation in the fisheries sector (Table</w:t>
      </w:r>
      <w:r w:rsidR="00907B51">
        <w:rPr>
          <w:rFonts w:ascii="Times New Roman" w:hAnsi="Times New Roman" w:cs="Times New Roman"/>
        </w:rPr>
        <w:t xml:space="preserve"> 8.5</w:t>
      </w:r>
      <w:r>
        <w:rPr>
          <w:rFonts w:ascii="Times New Roman" w:hAnsi="Times New Roman" w:cs="Times New Roman"/>
        </w:rPr>
        <w:t xml:space="preserve">).  </w:t>
      </w:r>
      <w:r w:rsidR="007F2F9C" w:rsidRPr="00C022C0">
        <w:rPr>
          <w:rFonts w:ascii="Times New Roman" w:hAnsi="Times New Roman" w:cs="Times New Roman"/>
        </w:rPr>
        <w:t xml:space="preserve">The small-scale open water capture fisheries which was dominant in the 1970s </w:t>
      </w:r>
      <w:r w:rsidR="00BE45E2">
        <w:rPr>
          <w:rFonts w:ascii="Times New Roman" w:hAnsi="Times New Roman" w:cs="Times New Roman"/>
        </w:rPr>
        <w:t xml:space="preserve"> </w:t>
      </w:r>
      <w:r w:rsidR="007F2F9C" w:rsidRPr="00C022C0">
        <w:rPr>
          <w:rFonts w:ascii="Times New Roman" w:hAnsi="Times New Roman" w:cs="Times New Roman"/>
        </w:rPr>
        <w:t xml:space="preserve">has given way to close water culture fisheries, which is now playing an important role in the development of the sub-sector. </w:t>
      </w:r>
      <w:r w:rsidR="00BE45E2">
        <w:rPr>
          <w:rFonts w:ascii="Times New Roman" w:hAnsi="Times New Roman" w:cs="Times New Roman"/>
        </w:rPr>
        <w:t xml:space="preserve"> Thus, the share of </w:t>
      </w:r>
      <w:r w:rsidR="00265781">
        <w:rPr>
          <w:rFonts w:ascii="Times New Roman" w:hAnsi="Times New Roman" w:cs="Times New Roman"/>
        </w:rPr>
        <w:t>inl</w:t>
      </w:r>
      <w:r w:rsidR="00BE45E2">
        <w:rPr>
          <w:rFonts w:ascii="Times New Roman" w:hAnsi="Times New Roman" w:cs="Times New Roman"/>
        </w:rPr>
        <w:t>and open capture fishing has fallen from 63% in FY73 to only 28% in FY14; correspondingly</w:t>
      </w:r>
      <w:r w:rsidR="00265781">
        <w:rPr>
          <w:rFonts w:ascii="Times New Roman" w:hAnsi="Times New Roman" w:cs="Times New Roman"/>
        </w:rPr>
        <w:t xml:space="preserve">, the share of inland culture fishing has grown from 27% to 55%.  Two other notable structural changes are the growing share of marine fishing, from 11% in FY73 to 17% in FY14, and the increasing share of shrimps, from 3% to 6% over the same periods.  Since much of the shrimp catch is exported with considerably higher prices than domestic </w:t>
      </w:r>
      <w:r w:rsidR="00065D01">
        <w:rPr>
          <w:rFonts w:ascii="Times New Roman" w:hAnsi="Times New Roman" w:cs="Times New Roman"/>
        </w:rPr>
        <w:t>consumption</w:t>
      </w:r>
      <w:r w:rsidR="00265781">
        <w:rPr>
          <w:rFonts w:ascii="Times New Roman" w:hAnsi="Times New Roman" w:cs="Times New Roman"/>
        </w:rPr>
        <w:t xml:space="preserve"> fisheries, commercial value of the export-oriented shrimp production is changing the role of fisheries sector in value-added and incomes.  </w:t>
      </w:r>
      <w:r w:rsidR="007F2F9C" w:rsidRPr="00C022C0">
        <w:rPr>
          <w:rFonts w:ascii="Times New Roman" w:hAnsi="Times New Roman" w:cs="Times New Roman"/>
        </w:rPr>
        <w:t>The main driving forces for growth of aquaculture are high intensive technological management and improved fish breed</w:t>
      </w:r>
      <w:r w:rsidR="00265781">
        <w:rPr>
          <w:rFonts w:ascii="Times New Roman" w:hAnsi="Times New Roman" w:cs="Times New Roman"/>
        </w:rPr>
        <w:t xml:space="preserve">s based on private investment.  With growing domestic demand and a large export market, there is considerable further scope for </w:t>
      </w:r>
      <w:r w:rsidR="00265781">
        <w:rPr>
          <w:rFonts w:ascii="Times New Roman" w:hAnsi="Times New Roman" w:cs="Times New Roman"/>
        </w:rPr>
        <w:lastRenderedPageBreak/>
        <w:t xml:space="preserve">enlarging the </w:t>
      </w:r>
      <w:r w:rsidR="00065D01">
        <w:rPr>
          <w:rFonts w:ascii="Times New Roman" w:hAnsi="Times New Roman" w:cs="Times New Roman"/>
        </w:rPr>
        <w:t>contribution</w:t>
      </w:r>
      <w:r w:rsidR="00265781">
        <w:rPr>
          <w:rFonts w:ascii="Times New Roman" w:hAnsi="Times New Roman" w:cs="Times New Roman"/>
        </w:rPr>
        <w:t xml:space="preserve"> of fisheries in the development of Bangladesh. </w:t>
      </w:r>
    </w:p>
    <w:p w:rsidR="00BE45E2" w:rsidRPr="00BE45E2" w:rsidRDefault="00907B51" w:rsidP="00E3762D">
      <w:pPr>
        <w:pStyle w:val="Heading4"/>
      </w:pPr>
      <w:bookmarkStart w:id="578" w:name="_Toc474639049"/>
      <w:r>
        <w:t>Table 8.5</w:t>
      </w:r>
      <w:r w:rsidR="00BE45E2" w:rsidRPr="00BE45E2">
        <w:t>: Evolution of the Fisheries Sector by Source</w:t>
      </w:r>
      <w:bookmarkEnd w:id="578"/>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2521"/>
        <w:gridCol w:w="1068"/>
        <w:gridCol w:w="1069"/>
        <w:gridCol w:w="1071"/>
        <w:gridCol w:w="1283"/>
        <w:gridCol w:w="1283"/>
        <w:gridCol w:w="1281"/>
      </w:tblGrid>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bCs/>
                <w:color w:val="000000"/>
                <w:sz w:val="22"/>
              </w:rPr>
            </w:pPr>
            <w:r w:rsidRPr="00BE45E2">
              <w:rPr>
                <w:rFonts w:eastAsia="Times New Roman" w:cs="Times New Roman"/>
                <w:b/>
                <w:bCs/>
                <w:color w:val="000000"/>
                <w:sz w:val="22"/>
              </w:rPr>
              <w:t>Fish</w:t>
            </w:r>
            <w:r>
              <w:rPr>
                <w:rFonts w:eastAsia="Times New Roman" w:cs="Times New Roman"/>
                <w:b/>
                <w:bCs/>
                <w:color w:val="000000"/>
                <w:sz w:val="22"/>
              </w:rPr>
              <w:t>ing Source</w:t>
            </w:r>
          </w:p>
        </w:tc>
        <w:tc>
          <w:tcPr>
            <w:tcW w:w="1116" w:type="pct"/>
            <w:gridSpan w:val="2"/>
            <w:shd w:val="clear" w:color="auto" w:fill="auto"/>
            <w:noWrap/>
            <w:vAlign w:val="bottom"/>
            <w:hideMark/>
          </w:tcPr>
          <w:p w:rsidR="00BE45E2" w:rsidRPr="00BE45E2" w:rsidRDefault="00A44AF7" w:rsidP="00BE45E2">
            <w:pPr>
              <w:spacing w:after="0" w:line="240" w:lineRule="auto"/>
              <w:jc w:val="center"/>
              <w:rPr>
                <w:rFonts w:eastAsia="Times New Roman" w:cs="Times New Roman"/>
                <w:b/>
                <w:bCs/>
                <w:color w:val="000000"/>
                <w:sz w:val="22"/>
              </w:rPr>
            </w:pPr>
            <w:r>
              <w:rPr>
                <w:rFonts w:eastAsia="Times New Roman" w:cs="Times New Roman"/>
                <w:b/>
                <w:bCs/>
                <w:color w:val="000000"/>
                <w:sz w:val="22"/>
              </w:rPr>
              <w:t>FY1973</w:t>
            </w:r>
          </w:p>
          <w:p w:rsidR="00BE45E2" w:rsidRPr="00BE45E2" w:rsidRDefault="00BE45E2" w:rsidP="00BE45E2">
            <w:pPr>
              <w:spacing w:after="0" w:line="240" w:lineRule="auto"/>
              <w:jc w:val="center"/>
              <w:rPr>
                <w:rFonts w:eastAsia="Times New Roman" w:cs="Times New Roman"/>
                <w:b/>
                <w:bCs/>
                <w:color w:val="000000"/>
                <w:sz w:val="22"/>
              </w:rPr>
            </w:pPr>
          </w:p>
        </w:tc>
        <w:tc>
          <w:tcPr>
            <w:tcW w:w="559" w:type="pct"/>
            <w:shd w:val="clear" w:color="auto" w:fill="auto"/>
            <w:noWrap/>
            <w:vAlign w:val="bottom"/>
            <w:hideMark/>
          </w:tcPr>
          <w:p w:rsidR="00BE45E2" w:rsidRPr="00753E23" w:rsidRDefault="00A44AF7" w:rsidP="00BE45E2">
            <w:pPr>
              <w:spacing w:after="0" w:line="240" w:lineRule="auto"/>
              <w:jc w:val="center"/>
              <w:rPr>
                <w:rFonts w:eastAsia="Times New Roman" w:cs="Times New Roman"/>
                <w:b/>
                <w:bCs/>
                <w:color w:val="000000"/>
                <w:sz w:val="22"/>
              </w:rPr>
            </w:pPr>
            <w:r>
              <w:rPr>
                <w:rFonts w:eastAsia="Times New Roman" w:cs="Times New Roman"/>
                <w:b/>
                <w:bCs/>
                <w:color w:val="000000"/>
                <w:sz w:val="22"/>
              </w:rPr>
              <w:t>FY197</w:t>
            </w:r>
            <w:r w:rsidR="00BE45E2" w:rsidRPr="00753E23">
              <w:rPr>
                <w:rFonts w:eastAsia="Times New Roman" w:cs="Times New Roman"/>
                <w:b/>
                <w:bCs/>
                <w:color w:val="000000"/>
                <w:sz w:val="22"/>
              </w:rPr>
              <w:t>7</w:t>
            </w:r>
          </w:p>
        </w:tc>
        <w:tc>
          <w:tcPr>
            <w:tcW w:w="670" w:type="pct"/>
            <w:shd w:val="clear" w:color="auto" w:fill="auto"/>
            <w:noWrap/>
            <w:vAlign w:val="bottom"/>
            <w:hideMark/>
          </w:tcPr>
          <w:p w:rsidR="00BE45E2" w:rsidRPr="00753E23" w:rsidRDefault="00A44AF7" w:rsidP="00BE45E2">
            <w:pPr>
              <w:spacing w:after="0" w:line="240" w:lineRule="auto"/>
              <w:jc w:val="center"/>
              <w:rPr>
                <w:rFonts w:eastAsia="Times New Roman" w:cs="Times New Roman"/>
                <w:b/>
                <w:bCs/>
                <w:color w:val="000000"/>
                <w:sz w:val="22"/>
              </w:rPr>
            </w:pPr>
            <w:r>
              <w:rPr>
                <w:rFonts w:eastAsia="Times New Roman" w:cs="Times New Roman"/>
                <w:b/>
                <w:bCs/>
                <w:color w:val="000000"/>
                <w:sz w:val="22"/>
              </w:rPr>
              <w:t>FY20</w:t>
            </w:r>
            <w:r w:rsidR="00BE45E2" w:rsidRPr="00753E23">
              <w:rPr>
                <w:rFonts w:eastAsia="Times New Roman" w:cs="Times New Roman"/>
                <w:b/>
                <w:bCs/>
                <w:color w:val="000000"/>
                <w:sz w:val="22"/>
              </w:rPr>
              <w:t>13</w:t>
            </w:r>
          </w:p>
        </w:tc>
        <w:tc>
          <w:tcPr>
            <w:tcW w:w="1339" w:type="pct"/>
            <w:gridSpan w:val="2"/>
            <w:shd w:val="clear" w:color="auto" w:fill="auto"/>
            <w:noWrap/>
            <w:vAlign w:val="bottom"/>
            <w:hideMark/>
          </w:tcPr>
          <w:p w:rsidR="00BE45E2" w:rsidRPr="00BE45E2" w:rsidRDefault="00A44AF7" w:rsidP="00BE45E2">
            <w:pPr>
              <w:spacing w:after="0" w:line="240" w:lineRule="auto"/>
              <w:jc w:val="center"/>
              <w:rPr>
                <w:rFonts w:eastAsia="Times New Roman" w:cs="Times New Roman"/>
                <w:b/>
                <w:bCs/>
                <w:color w:val="000000"/>
                <w:sz w:val="22"/>
              </w:rPr>
            </w:pPr>
            <w:r>
              <w:rPr>
                <w:rFonts w:eastAsia="Times New Roman" w:cs="Times New Roman"/>
                <w:b/>
                <w:bCs/>
                <w:color w:val="000000"/>
                <w:sz w:val="22"/>
              </w:rPr>
              <w:t>FY201</w:t>
            </w:r>
            <w:r w:rsidR="00BE45E2" w:rsidRPr="00753E23">
              <w:rPr>
                <w:rFonts w:eastAsia="Times New Roman" w:cs="Times New Roman"/>
                <w:b/>
                <w:bCs/>
                <w:color w:val="000000"/>
                <w:sz w:val="22"/>
              </w:rPr>
              <w:t>4</w:t>
            </w:r>
          </w:p>
        </w:tc>
      </w:tr>
      <w:tr w:rsidR="00300119" w:rsidRPr="00753E23" w:rsidTr="00BE45E2">
        <w:trPr>
          <w:trHeight w:hRule="exact" w:val="288"/>
        </w:trPr>
        <w:tc>
          <w:tcPr>
            <w:tcW w:w="1316" w:type="pct"/>
            <w:shd w:val="clear" w:color="auto" w:fill="auto"/>
            <w:noWrap/>
            <w:vAlign w:val="bottom"/>
          </w:tcPr>
          <w:p w:rsidR="00300119" w:rsidRPr="00BE45E2" w:rsidRDefault="00300119" w:rsidP="00753E23">
            <w:pPr>
              <w:spacing w:after="0" w:line="240" w:lineRule="auto"/>
              <w:rPr>
                <w:rFonts w:eastAsia="Times New Roman" w:cs="Times New Roman"/>
                <w:b/>
                <w:bCs/>
                <w:color w:val="000000"/>
                <w:sz w:val="22"/>
              </w:rPr>
            </w:pPr>
          </w:p>
        </w:tc>
        <w:tc>
          <w:tcPr>
            <w:tcW w:w="558" w:type="pct"/>
            <w:shd w:val="clear" w:color="auto" w:fill="auto"/>
            <w:noWrap/>
            <w:vAlign w:val="bottom"/>
          </w:tcPr>
          <w:p w:rsidR="00300119" w:rsidRPr="00BE45E2" w:rsidRDefault="00300119" w:rsidP="00753E23">
            <w:pPr>
              <w:spacing w:after="0" w:line="240" w:lineRule="auto"/>
              <w:rPr>
                <w:rFonts w:eastAsia="Times New Roman" w:cs="Times New Roman"/>
                <w:b/>
                <w:bCs/>
                <w:color w:val="000000"/>
                <w:sz w:val="22"/>
              </w:rPr>
            </w:pPr>
            <w:r w:rsidRPr="00BE45E2">
              <w:rPr>
                <w:rFonts w:eastAsia="Times New Roman" w:cs="Times New Roman"/>
                <w:b/>
                <w:bCs/>
                <w:color w:val="000000"/>
                <w:sz w:val="22"/>
              </w:rPr>
              <w:t>MT</w:t>
            </w:r>
          </w:p>
        </w:tc>
        <w:tc>
          <w:tcPr>
            <w:tcW w:w="558" w:type="pct"/>
            <w:shd w:val="clear" w:color="auto" w:fill="auto"/>
            <w:vAlign w:val="bottom"/>
          </w:tcPr>
          <w:p w:rsidR="00300119" w:rsidRPr="00BE45E2" w:rsidRDefault="00300119" w:rsidP="00753E23">
            <w:pPr>
              <w:spacing w:after="0" w:line="240" w:lineRule="auto"/>
              <w:rPr>
                <w:rFonts w:eastAsia="Times New Roman" w:cs="Times New Roman"/>
                <w:b/>
                <w:bCs/>
                <w:color w:val="000000"/>
                <w:sz w:val="22"/>
              </w:rPr>
            </w:pPr>
            <w:r w:rsidRPr="00BE45E2">
              <w:rPr>
                <w:rFonts w:eastAsia="Times New Roman" w:cs="Times New Roman"/>
                <w:b/>
                <w:bCs/>
                <w:color w:val="000000"/>
                <w:sz w:val="22"/>
              </w:rPr>
              <w:t>% share</w:t>
            </w:r>
          </w:p>
        </w:tc>
        <w:tc>
          <w:tcPr>
            <w:tcW w:w="559" w:type="pct"/>
            <w:shd w:val="clear" w:color="auto" w:fill="auto"/>
            <w:noWrap/>
            <w:vAlign w:val="bottom"/>
          </w:tcPr>
          <w:p w:rsidR="00300119" w:rsidRPr="00BE45E2" w:rsidRDefault="00BE45E2" w:rsidP="00753E23">
            <w:pPr>
              <w:spacing w:after="0" w:line="240" w:lineRule="auto"/>
              <w:rPr>
                <w:rFonts w:eastAsia="Times New Roman" w:cs="Times New Roman"/>
                <w:b/>
                <w:bCs/>
                <w:color w:val="000000"/>
                <w:sz w:val="22"/>
              </w:rPr>
            </w:pPr>
            <w:r w:rsidRPr="00BE45E2">
              <w:rPr>
                <w:rFonts w:eastAsia="Times New Roman" w:cs="Times New Roman"/>
                <w:b/>
                <w:bCs/>
                <w:color w:val="000000"/>
                <w:sz w:val="22"/>
              </w:rPr>
              <w:t>MT</w:t>
            </w:r>
          </w:p>
        </w:tc>
        <w:tc>
          <w:tcPr>
            <w:tcW w:w="670" w:type="pct"/>
            <w:shd w:val="clear" w:color="auto" w:fill="auto"/>
            <w:noWrap/>
            <w:vAlign w:val="bottom"/>
          </w:tcPr>
          <w:p w:rsidR="00300119" w:rsidRPr="00BE45E2" w:rsidRDefault="00BE45E2" w:rsidP="00753E23">
            <w:pPr>
              <w:spacing w:after="0" w:line="240" w:lineRule="auto"/>
              <w:rPr>
                <w:rFonts w:eastAsia="Times New Roman" w:cs="Times New Roman"/>
                <w:b/>
                <w:bCs/>
                <w:color w:val="000000"/>
                <w:sz w:val="22"/>
              </w:rPr>
            </w:pPr>
            <w:r w:rsidRPr="00BE45E2">
              <w:rPr>
                <w:rFonts w:eastAsia="Times New Roman" w:cs="Times New Roman"/>
                <w:b/>
                <w:bCs/>
                <w:color w:val="000000"/>
                <w:sz w:val="22"/>
              </w:rPr>
              <w:t>MT</w:t>
            </w:r>
          </w:p>
        </w:tc>
        <w:tc>
          <w:tcPr>
            <w:tcW w:w="670" w:type="pct"/>
            <w:shd w:val="clear" w:color="auto" w:fill="auto"/>
            <w:noWrap/>
            <w:vAlign w:val="bottom"/>
          </w:tcPr>
          <w:p w:rsidR="00300119" w:rsidRPr="00BE45E2" w:rsidRDefault="00BE45E2" w:rsidP="00753E23">
            <w:pPr>
              <w:spacing w:after="0" w:line="240" w:lineRule="auto"/>
              <w:jc w:val="right"/>
              <w:rPr>
                <w:rFonts w:eastAsia="Times New Roman" w:cs="Times New Roman"/>
                <w:b/>
                <w:bCs/>
                <w:color w:val="000000"/>
                <w:sz w:val="22"/>
              </w:rPr>
            </w:pPr>
            <w:r w:rsidRPr="00BE45E2">
              <w:rPr>
                <w:rFonts w:eastAsia="Times New Roman" w:cs="Times New Roman"/>
                <w:b/>
                <w:bCs/>
                <w:color w:val="000000"/>
                <w:sz w:val="22"/>
              </w:rPr>
              <w:t>MT</w:t>
            </w:r>
          </w:p>
        </w:tc>
        <w:tc>
          <w:tcPr>
            <w:tcW w:w="669" w:type="pct"/>
          </w:tcPr>
          <w:p w:rsidR="00300119" w:rsidRPr="00BE45E2" w:rsidRDefault="00BE45E2" w:rsidP="00753E23">
            <w:pPr>
              <w:spacing w:after="0" w:line="240" w:lineRule="auto"/>
              <w:jc w:val="right"/>
              <w:rPr>
                <w:rFonts w:eastAsia="Times New Roman" w:cs="Times New Roman"/>
                <w:b/>
                <w:bCs/>
                <w:color w:val="000000"/>
                <w:sz w:val="22"/>
              </w:rPr>
            </w:pPr>
            <w:r w:rsidRPr="00BE45E2">
              <w:rPr>
                <w:rFonts w:eastAsia="Times New Roman" w:cs="Times New Roman"/>
                <w:b/>
                <w:bCs/>
                <w:color w:val="000000"/>
                <w:sz w:val="22"/>
              </w:rPr>
              <w:t>% Share</w:t>
            </w: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Total  (MT)</w:t>
            </w:r>
          </w:p>
        </w:tc>
        <w:tc>
          <w:tcPr>
            <w:tcW w:w="558"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818000</w:t>
            </w:r>
          </w:p>
        </w:tc>
        <w:tc>
          <w:tcPr>
            <w:tcW w:w="558" w:type="pct"/>
          </w:tcPr>
          <w:p w:rsidR="00BE45E2" w:rsidRPr="00BE45E2" w:rsidRDefault="00BE45E2" w:rsidP="00753E23">
            <w:pPr>
              <w:spacing w:after="0" w:line="240" w:lineRule="auto"/>
              <w:jc w:val="right"/>
              <w:rPr>
                <w:rFonts w:eastAsia="Times New Roman" w:cs="Times New Roman"/>
                <w:color w:val="000000"/>
                <w:sz w:val="22"/>
              </w:rPr>
            </w:pPr>
            <w:r w:rsidRPr="00BE45E2">
              <w:rPr>
                <w:rFonts w:eastAsia="Times New Roman" w:cs="Times New Roman"/>
                <w:color w:val="000000"/>
                <w:sz w:val="22"/>
              </w:rPr>
              <w:t>100</w:t>
            </w:r>
          </w:p>
        </w:tc>
        <w:tc>
          <w:tcPr>
            <w:tcW w:w="559"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826000</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3061687</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3548115</w:t>
            </w:r>
          </w:p>
        </w:tc>
        <w:tc>
          <w:tcPr>
            <w:tcW w:w="669" w:type="pct"/>
            <w:vAlign w:val="bottom"/>
          </w:tcPr>
          <w:p w:rsidR="00BE45E2" w:rsidRPr="00BE45E2" w:rsidRDefault="00BE45E2">
            <w:pPr>
              <w:jc w:val="right"/>
              <w:rPr>
                <w:rFonts w:cs="Times New Roman"/>
                <w:color w:val="000000"/>
                <w:sz w:val="22"/>
              </w:rPr>
            </w:pP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 xml:space="preserve">   Inland</w:t>
            </w:r>
          </w:p>
        </w:tc>
        <w:tc>
          <w:tcPr>
            <w:tcW w:w="558"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731000</w:t>
            </w:r>
          </w:p>
        </w:tc>
        <w:tc>
          <w:tcPr>
            <w:tcW w:w="558" w:type="pct"/>
            <w:vAlign w:val="bottom"/>
          </w:tcPr>
          <w:p w:rsidR="00BE45E2" w:rsidRPr="00BE45E2" w:rsidRDefault="00BE45E2">
            <w:pPr>
              <w:jc w:val="right"/>
              <w:rPr>
                <w:rFonts w:cs="Times New Roman"/>
                <w:color w:val="000000"/>
                <w:sz w:val="22"/>
              </w:rPr>
            </w:pPr>
            <w:r w:rsidRPr="00BE45E2">
              <w:rPr>
                <w:rFonts w:cs="Times New Roman"/>
                <w:color w:val="000000"/>
                <w:sz w:val="22"/>
              </w:rPr>
              <w:t>89</w:t>
            </w:r>
          </w:p>
        </w:tc>
        <w:tc>
          <w:tcPr>
            <w:tcW w:w="559"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736000</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2515354</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2952730</w:t>
            </w:r>
          </w:p>
        </w:tc>
        <w:tc>
          <w:tcPr>
            <w:tcW w:w="669" w:type="pct"/>
            <w:vAlign w:val="bottom"/>
          </w:tcPr>
          <w:p w:rsidR="00BE45E2" w:rsidRDefault="00BE45E2">
            <w:pPr>
              <w:jc w:val="right"/>
              <w:rPr>
                <w:rFonts w:ascii="Calibri" w:hAnsi="Calibri"/>
                <w:color w:val="000000"/>
                <w:sz w:val="22"/>
              </w:rPr>
            </w:pPr>
            <w:r>
              <w:rPr>
                <w:rFonts w:ascii="Calibri" w:hAnsi="Calibri"/>
                <w:color w:val="000000"/>
                <w:sz w:val="22"/>
              </w:rPr>
              <w:t>83</w:t>
            </w: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 xml:space="preserve">   Marine</w:t>
            </w:r>
          </w:p>
        </w:tc>
        <w:tc>
          <w:tcPr>
            <w:tcW w:w="558"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87000</w:t>
            </w:r>
          </w:p>
        </w:tc>
        <w:tc>
          <w:tcPr>
            <w:tcW w:w="558" w:type="pct"/>
            <w:vAlign w:val="bottom"/>
          </w:tcPr>
          <w:p w:rsidR="00BE45E2" w:rsidRPr="00BE45E2" w:rsidRDefault="00BE45E2">
            <w:pPr>
              <w:jc w:val="right"/>
              <w:rPr>
                <w:rFonts w:cs="Times New Roman"/>
                <w:color w:val="000000"/>
                <w:sz w:val="22"/>
              </w:rPr>
            </w:pPr>
            <w:r w:rsidRPr="00BE45E2">
              <w:rPr>
                <w:rFonts w:cs="Times New Roman"/>
                <w:color w:val="000000"/>
                <w:sz w:val="22"/>
              </w:rPr>
              <w:t>11</w:t>
            </w:r>
          </w:p>
        </w:tc>
        <w:tc>
          <w:tcPr>
            <w:tcW w:w="559"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90000</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546333</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595385</w:t>
            </w:r>
          </w:p>
        </w:tc>
        <w:tc>
          <w:tcPr>
            <w:tcW w:w="669" w:type="pct"/>
            <w:vAlign w:val="bottom"/>
          </w:tcPr>
          <w:p w:rsidR="00BE45E2" w:rsidRDefault="00BE45E2">
            <w:pPr>
              <w:jc w:val="right"/>
              <w:rPr>
                <w:rFonts w:ascii="Calibri" w:hAnsi="Calibri"/>
                <w:color w:val="000000"/>
                <w:sz w:val="22"/>
              </w:rPr>
            </w:pPr>
            <w:r>
              <w:rPr>
                <w:rFonts w:ascii="Calibri" w:hAnsi="Calibri"/>
                <w:color w:val="000000"/>
                <w:sz w:val="22"/>
              </w:rPr>
              <w:t>17</w:t>
            </w: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 xml:space="preserve">   Inland (culture)</w:t>
            </w:r>
          </w:p>
        </w:tc>
        <w:tc>
          <w:tcPr>
            <w:tcW w:w="558"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219300</w:t>
            </w:r>
          </w:p>
        </w:tc>
        <w:tc>
          <w:tcPr>
            <w:tcW w:w="558" w:type="pct"/>
            <w:vAlign w:val="bottom"/>
          </w:tcPr>
          <w:p w:rsidR="00BE45E2" w:rsidRPr="00BE45E2" w:rsidRDefault="00BE45E2">
            <w:pPr>
              <w:jc w:val="right"/>
              <w:rPr>
                <w:rFonts w:cs="Times New Roman"/>
                <w:color w:val="000000"/>
                <w:sz w:val="22"/>
              </w:rPr>
            </w:pPr>
            <w:r w:rsidRPr="00BE45E2">
              <w:rPr>
                <w:rFonts w:cs="Times New Roman"/>
                <w:color w:val="000000"/>
                <w:sz w:val="22"/>
              </w:rPr>
              <w:t>27</w:t>
            </w:r>
          </w:p>
        </w:tc>
        <w:tc>
          <w:tcPr>
            <w:tcW w:w="559"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220800</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1460769</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1956295</w:t>
            </w:r>
          </w:p>
        </w:tc>
        <w:tc>
          <w:tcPr>
            <w:tcW w:w="669" w:type="pct"/>
            <w:vAlign w:val="bottom"/>
          </w:tcPr>
          <w:p w:rsidR="00BE45E2" w:rsidRDefault="00BE45E2">
            <w:pPr>
              <w:jc w:val="right"/>
              <w:rPr>
                <w:rFonts w:ascii="Calibri" w:hAnsi="Calibri"/>
                <w:color w:val="000000"/>
                <w:sz w:val="22"/>
              </w:rPr>
            </w:pPr>
            <w:r>
              <w:rPr>
                <w:rFonts w:ascii="Calibri" w:hAnsi="Calibri"/>
                <w:color w:val="000000"/>
                <w:sz w:val="22"/>
              </w:rPr>
              <w:t>55</w:t>
            </w: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 xml:space="preserve">   Inland (capture)</w:t>
            </w:r>
          </w:p>
        </w:tc>
        <w:tc>
          <w:tcPr>
            <w:tcW w:w="558"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511700</w:t>
            </w:r>
          </w:p>
        </w:tc>
        <w:tc>
          <w:tcPr>
            <w:tcW w:w="558" w:type="pct"/>
            <w:vAlign w:val="bottom"/>
          </w:tcPr>
          <w:p w:rsidR="00BE45E2" w:rsidRPr="00BE45E2" w:rsidRDefault="00BE45E2">
            <w:pPr>
              <w:jc w:val="right"/>
              <w:rPr>
                <w:rFonts w:cs="Times New Roman"/>
                <w:color w:val="000000"/>
                <w:sz w:val="22"/>
              </w:rPr>
            </w:pPr>
            <w:r w:rsidRPr="00BE45E2">
              <w:rPr>
                <w:rFonts w:cs="Times New Roman"/>
                <w:color w:val="000000"/>
                <w:sz w:val="22"/>
              </w:rPr>
              <w:t>63</w:t>
            </w:r>
          </w:p>
        </w:tc>
        <w:tc>
          <w:tcPr>
            <w:tcW w:w="559"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515200</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1054585</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996435</w:t>
            </w:r>
          </w:p>
        </w:tc>
        <w:tc>
          <w:tcPr>
            <w:tcW w:w="669" w:type="pct"/>
            <w:vAlign w:val="bottom"/>
          </w:tcPr>
          <w:p w:rsidR="00BE45E2" w:rsidRDefault="00BE45E2">
            <w:pPr>
              <w:jc w:val="right"/>
              <w:rPr>
                <w:rFonts w:ascii="Calibri" w:hAnsi="Calibri"/>
                <w:color w:val="000000"/>
                <w:sz w:val="22"/>
              </w:rPr>
            </w:pPr>
            <w:r>
              <w:rPr>
                <w:rFonts w:ascii="Calibri" w:hAnsi="Calibri"/>
                <w:color w:val="000000"/>
                <w:sz w:val="22"/>
              </w:rPr>
              <w:t>28</w:t>
            </w: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Of which</w:t>
            </w:r>
          </w:p>
        </w:tc>
        <w:tc>
          <w:tcPr>
            <w:tcW w:w="558" w:type="pct"/>
            <w:shd w:val="clear" w:color="auto" w:fill="auto"/>
            <w:noWrap/>
            <w:vAlign w:val="bottom"/>
            <w:hideMark/>
          </w:tcPr>
          <w:p w:rsidR="00BE45E2" w:rsidRPr="00753E23" w:rsidRDefault="00BE45E2" w:rsidP="00753E23">
            <w:pPr>
              <w:spacing w:after="0" w:line="240" w:lineRule="auto"/>
              <w:rPr>
                <w:rFonts w:eastAsia="Times New Roman" w:cs="Times New Roman"/>
                <w:color w:val="000000"/>
                <w:sz w:val="22"/>
              </w:rPr>
            </w:pPr>
          </w:p>
        </w:tc>
        <w:tc>
          <w:tcPr>
            <w:tcW w:w="558" w:type="pct"/>
            <w:vAlign w:val="bottom"/>
          </w:tcPr>
          <w:p w:rsidR="00BE45E2" w:rsidRPr="00BE45E2" w:rsidRDefault="00BE45E2">
            <w:pPr>
              <w:rPr>
                <w:rFonts w:cs="Times New Roman"/>
                <w:color w:val="000000"/>
                <w:sz w:val="22"/>
              </w:rPr>
            </w:pPr>
          </w:p>
        </w:tc>
        <w:tc>
          <w:tcPr>
            <w:tcW w:w="559" w:type="pct"/>
            <w:shd w:val="clear" w:color="auto" w:fill="auto"/>
            <w:noWrap/>
            <w:vAlign w:val="bottom"/>
            <w:hideMark/>
          </w:tcPr>
          <w:p w:rsidR="00BE45E2" w:rsidRPr="00753E23" w:rsidRDefault="00BE45E2" w:rsidP="00753E23">
            <w:pPr>
              <w:spacing w:after="0" w:line="240" w:lineRule="auto"/>
              <w:rPr>
                <w:rFonts w:eastAsia="Times New Roman" w:cs="Times New Roman"/>
                <w:color w:val="000000"/>
                <w:sz w:val="22"/>
              </w:rPr>
            </w:pPr>
          </w:p>
        </w:tc>
        <w:tc>
          <w:tcPr>
            <w:tcW w:w="670" w:type="pct"/>
            <w:shd w:val="clear" w:color="auto" w:fill="auto"/>
            <w:noWrap/>
            <w:vAlign w:val="bottom"/>
            <w:hideMark/>
          </w:tcPr>
          <w:p w:rsidR="00BE45E2" w:rsidRPr="00753E23" w:rsidRDefault="00BE45E2" w:rsidP="00753E23">
            <w:pPr>
              <w:spacing w:after="0" w:line="240" w:lineRule="auto"/>
              <w:rPr>
                <w:rFonts w:eastAsia="Times New Roman" w:cs="Times New Roman"/>
                <w:color w:val="000000"/>
                <w:sz w:val="22"/>
              </w:rPr>
            </w:pPr>
          </w:p>
        </w:tc>
        <w:tc>
          <w:tcPr>
            <w:tcW w:w="670" w:type="pct"/>
            <w:shd w:val="clear" w:color="auto" w:fill="auto"/>
            <w:noWrap/>
            <w:vAlign w:val="bottom"/>
            <w:hideMark/>
          </w:tcPr>
          <w:p w:rsidR="00BE45E2" w:rsidRPr="00753E23" w:rsidRDefault="00BE45E2" w:rsidP="00753E23">
            <w:pPr>
              <w:spacing w:after="0" w:line="240" w:lineRule="auto"/>
              <w:rPr>
                <w:rFonts w:eastAsia="Times New Roman" w:cs="Times New Roman"/>
                <w:color w:val="000000"/>
                <w:sz w:val="22"/>
              </w:rPr>
            </w:pPr>
          </w:p>
        </w:tc>
        <w:tc>
          <w:tcPr>
            <w:tcW w:w="669" w:type="pct"/>
            <w:vAlign w:val="bottom"/>
          </w:tcPr>
          <w:p w:rsidR="00BE45E2" w:rsidRDefault="00BE45E2">
            <w:pPr>
              <w:rPr>
                <w:rFonts w:ascii="Calibri" w:hAnsi="Calibri"/>
                <w:color w:val="000000"/>
                <w:sz w:val="22"/>
              </w:rPr>
            </w:pP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 xml:space="preserve">     Inland water shrimps</w:t>
            </w:r>
          </w:p>
        </w:tc>
        <w:tc>
          <w:tcPr>
            <w:tcW w:w="558"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24000</w:t>
            </w:r>
          </w:p>
        </w:tc>
        <w:tc>
          <w:tcPr>
            <w:tcW w:w="558" w:type="pct"/>
            <w:vAlign w:val="bottom"/>
          </w:tcPr>
          <w:p w:rsidR="00BE45E2" w:rsidRPr="00BE45E2" w:rsidRDefault="00BE45E2">
            <w:pPr>
              <w:jc w:val="right"/>
              <w:rPr>
                <w:rFonts w:cs="Times New Roman"/>
                <w:color w:val="000000"/>
                <w:sz w:val="22"/>
              </w:rPr>
            </w:pPr>
            <w:r w:rsidRPr="00BE45E2">
              <w:rPr>
                <w:rFonts w:cs="Times New Roman"/>
                <w:color w:val="000000"/>
                <w:sz w:val="22"/>
              </w:rPr>
              <w:t>3</w:t>
            </w:r>
          </w:p>
        </w:tc>
        <w:tc>
          <w:tcPr>
            <w:tcW w:w="559"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26000</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206235</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216447</w:t>
            </w:r>
          </w:p>
        </w:tc>
        <w:tc>
          <w:tcPr>
            <w:tcW w:w="669" w:type="pct"/>
            <w:vAlign w:val="bottom"/>
          </w:tcPr>
          <w:p w:rsidR="00BE45E2" w:rsidRDefault="00BE45E2">
            <w:pPr>
              <w:jc w:val="right"/>
              <w:rPr>
                <w:rFonts w:ascii="Calibri" w:hAnsi="Calibri"/>
                <w:color w:val="000000"/>
                <w:sz w:val="22"/>
              </w:rPr>
            </w:pPr>
            <w:r>
              <w:rPr>
                <w:rFonts w:ascii="Calibri" w:hAnsi="Calibri"/>
                <w:color w:val="000000"/>
                <w:sz w:val="22"/>
              </w:rPr>
              <w:t>6</w:t>
            </w: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 xml:space="preserve"> </w:t>
            </w:r>
            <w:r>
              <w:rPr>
                <w:rFonts w:eastAsia="Times New Roman" w:cs="Times New Roman"/>
                <w:b/>
                <w:color w:val="000000"/>
                <w:sz w:val="22"/>
              </w:rPr>
              <w:t xml:space="preserve">   </w:t>
            </w:r>
            <w:r w:rsidRPr="00753E23">
              <w:rPr>
                <w:rFonts w:eastAsia="Times New Roman" w:cs="Times New Roman"/>
                <w:b/>
                <w:color w:val="000000"/>
                <w:sz w:val="22"/>
              </w:rPr>
              <w:t xml:space="preserve"> Inland water fish</w:t>
            </w:r>
          </w:p>
        </w:tc>
        <w:tc>
          <w:tcPr>
            <w:tcW w:w="558"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707000</w:t>
            </w:r>
          </w:p>
        </w:tc>
        <w:tc>
          <w:tcPr>
            <w:tcW w:w="558" w:type="pct"/>
            <w:vAlign w:val="bottom"/>
          </w:tcPr>
          <w:p w:rsidR="00BE45E2" w:rsidRPr="00BE45E2" w:rsidRDefault="00BE45E2">
            <w:pPr>
              <w:jc w:val="right"/>
              <w:rPr>
                <w:rFonts w:cs="Times New Roman"/>
                <w:color w:val="000000"/>
                <w:sz w:val="22"/>
              </w:rPr>
            </w:pPr>
            <w:r w:rsidRPr="00BE45E2">
              <w:rPr>
                <w:rFonts w:cs="Times New Roman"/>
                <w:color w:val="000000"/>
                <w:sz w:val="22"/>
              </w:rPr>
              <w:t>86</w:t>
            </w:r>
          </w:p>
        </w:tc>
        <w:tc>
          <w:tcPr>
            <w:tcW w:w="559"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710000</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2309119</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2736283</w:t>
            </w:r>
          </w:p>
        </w:tc>
        <w:tc>
          <w:tcPr>
            <w:tcW w:w="669" w:type="pct"/>
            <w:vAlign w:val="bottom"/>
          </w:tcPr>
          <w:p w:rsidR="00BE45E2" w:rsidRDefault="00BE45E2">
            <w:pPr>
              <w:jc w:val="right"/>
              <w:rPr>
                <w:rFonts w:ascii="Calibri" w:hAnsi="Calibri"/>
                <w:color w:val="000000"/>
                <w:sz w:val="22"/>
              </w:rPr>
            </w:pPr>
            <w:r>
              <w:rPr>
                <w:rFonts w:ascii="Calibri" w:hAnsi="Calibri"/>
                <w:color w:val="000000"/>
                <w:sz w:val="22"/>
              </w:rPr>
              <w:t>77</w:t>
            </w: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 xml:space="preserve">   </w:t>
            </w:r>
            <w:r>
              <w:rPr>
                <w:rFonts w:eastAsia="Times New Roman" w:cs="Times New Roman"/>
                <w:b/>
                <w:color w:val="000000"/>
                <w:sz w:val="22"/>
              </w:rPr>
              <w:t xml:space="preserve"> </w:t>
            </w:r>
            <w:r w:rsidRPr="00753E23">
              <w:rPr>
                <w:rFonts w:eastAsia="Times New Roman" w:cs="Times New Roman"/>
                <w:b/>
                <w:color w:val="000000"/>
                <w:sz w:val="22"/>
              </w:rPr>
              <w:t>Marine fish</w:t>
            </w:r>
          </w:p>
        </w:tc>
        <w:tc>
          <w:tcPr>
            <w:tcW w:w="558"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87000</w:t>
            </w:r>
          </w:p>
        </w:tc>
        <w:tc>
          <w:tcPr>
            <w:tcW w:w="558" w:type="pct"/>
            <w:vAlign w:val="bottom"/>
          </w:tcPr>
          <w:p w:rsidR="00BE45E2" w:rsidRPr="00BE45E2" w:rsidRDefault="00BE45E2">
            <w:pPr>
              <w:jc w:val="right"/>
              <w:rPr>
                <w:rFonts w:cs="Times New Roman"/>
                <w:color w:val="000000"/>
                <w:sz w:val="22"/>
              </w:rPr>
            </w:pPr>
            <w:r w:rsidRPr="00BE45E2">
              <w:rPr>
                <w:rFonts w:cs="Times New Roman"/>
                <w:color w:val="000000"/>
                <w:sz w:val="22"/>
              </w:rPr>
              <w:t>11</w:t>
            </w:r>
          </w:p>
        </w:tc>
        <w:tc>
          <w:tcPr>
            <w:tcW w:w="559"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90000</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546333</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595385</w:t>
            </w:r>
          </w:p>
        </w:tc>
        <w:tc>
          <w:tcPr>
            <w:tcW w:w="669" w:type="pct"/>
            <w:vAlign w:val="bottom"/>
          </w:tcPr>
          <w:p w:rsidR="00BE45E2" w:rsidRDefault="00BE45E2">
            <w:pPr>
              <w:jc w:val="right"/>
              <w:rPr>
                <w:rFonts w:ascii="Calibri" w:hAnsi="Calibri"/>
                <w:color w:val="000000"/>
                <w:sz w:val="22"/>
              </w:rPr>
            </w:pPr>
            <w:r>
              <w:rPr>
                <w:rFonts w:ascii="Calibri" w:hAnsi="Calibri"/>
                <w:color w:val="000000"/>
                <w:sz w:val="22"/>
              </w:rPr>
              <w:t>17</w:t>
            </w:r>
          </w:p>
        </w:tc>
      </w:tr>
      <w:tr w:rsidR="00BE45E2" w:rsidRPr="00753E23" w:rsidTr="00BE45E2">
        <w:trPr>
          <w:trHeight w:hRule="exact" w:val="288"/>
        </w:trPr>
        <w:tc>
          <w:tcPr>
            <w:tcW w:w="1316" w:type="pct"/>
            <w:shd w:val="clear" w:color="auto" w:fill="auto"/>
            <w:noWrap/>
            <w:vAlign w:val="bottom"/>
            <w:hideMark/>
          </w:tcPr>
          <w:p w:rsidR="00BE45E2" w:rsidRPr="00753E23" w:rsidRDefault="00BE45E2" w:rsidP="00753E23">
            <w:pPr>
              <w:spacing w:after="0" w:line="240" w:lineRule="auto"/>
              <w:rPr>
                <w:rFonts w:eastAsia="Times New Roman" w:cs="Times New Roman"/>
                <w:b/>
                <w:color w:val="000000"/>
                <w:sz w:val="22"/>
              </w:rPr>
            </w:pPr>
            <w:r w:rsidRPr="00753E23">
              <w:rPr>
                <w:rFonts w:eastAsia="Times New Roman" w:cs="Times New Roman"/>
                <w:b/>
                <w:color w:val="000000"/>
                <w:sz w:val="22"/>
              </w:rPr>
              <w:t xml:space="preserve">  Total  other fish</w:t>
            </w:r>
          </w:p>
        </w:tc>
        <w:tc>
          <w:tcPr>
            <w:tcW w:w="558"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794000</w:t>
            </w:r>
          </w:p>
        </w:tc>
        <w:tc>
          <w:tcPr>
            <w:tcW w:w="558" w:type="pct"/>
            <w:vAlign w:val="bottom"/>
          </w:tcPr>
          <w:p w:rsidR="00BE45E2" w:rsidRPr="00BE45E2" w:rsidRDefault="00BE45E2">
            <w:pPr>
              <w:jc w:val="right"/>
              <w:rPr>
                <w:rFonts w:cs="Times New Roman"/>
                <w:color w:val="000000"/>
                <w:sz w:val="22"/>
              </w:rPr>
            </w:pPr>
            <w:r w:rsidRPr="00BE45E2">
              <w:rPr>
                <w:rFonts w:cs="Times New Roman"/>
                <w:color w:val="000000"/>
                <w:sz w:val="22"/>
              </w:rPr>
              <w:t>97</w:t>
            </w:r>
          </w:p>
        </w:tc>
        <w:tc>
          <w:tcPr>
            <w:tcW w:w="559"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800000</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2855452</w:t>
            </w:r>
          </w:p>
        </w:tc>
        <w:tc>
          <w:tcPr>
            <w:tcW w:w="670" w:type="pct"/>
            <w:shd w:val="clear" w:color="auto" w:fill="auto"/>
            <w:noWrap/>
            <w:vAlign w:val="bottom"/>
            <w:hideMark/>
          </w:tcPr>
          <w:p w:rsidR="00BE45E2" w:rsidRPr="00753E23" w:rsidRDefault="00BE45E2" w:rsidP="00753E23">
            <w:pPr>
              <w:spacing w:after="0" w:line="240" w:lineRule="auto"/>
              <w:jc w:val="right"/>
              <w:rPr>
                <w:rFonts w:eastAsia="Times New Roman" w:cs="Times New Roman"/>
                <w:color w:val="000000"/>
                <w:sz w:val="22"/>
              </w:rPr>
            </w:pPr>
            <w:r w:rsidRPr="00753E23">
              <w:rPr>
                <w:rFonts w:eastAsia="Times New Roman" w:cs="Times New Roman"/>
                <w:color w:val="000000"/>
                <w:sz w:val="22"/>
              </w:rPr>
              <w:t>3331668</w:t>
            </w:r>
          </w:p>
        </w:tc>
        <w:tc>
          <w:tcPr>
            <w:tcW w:w="669" w:type="pct"/>
            <w:vAlign w:val="bottom"/>
          </w:tcPr>
          <w:p w:rsidR="00BE45E2" w:rsidRDefault="00BE45E2">
            <w:pPr>
              <w:jc w:val="right"/>
              <w:rPr>
                <w:rFonts w:ascii="Calibri" w:hAnsi="Calibri"/>
                <w:color w:val="000000"/>
                <w:sz w:val="22"/>
              </w:rPr>
            </w:pPr>
            <w:r>
              <w:rPr>
                <w:rFonts w:ascii="Calibri" w:hAnsi="Calibri"/>
                <w:color w:val="000000"/>
                <w:sz w:val="22"/>
              </w:rPr>
              <w:t>94</w:t>
            </w:r>
          </w:p>
        </w:tc>
      </w:tr>
    </w:tbl>
    <w:p w:rsidR="00753E23" w:rsidRPr="00BE45E2" w:rsidRDefault="00BE45E2" w:rsidP="00BE45E2">
      <w:pPr>
        <w:pStyle w:val="Default"/>
        <w:spacing w:before="120" w:line="276" w:lineRule="auto"/>
        <w:jc w:val="both"/>
        <w:rPr>
          <w:rFonts w:ascii="Times New Roman" w:hAnsi="Times New Roman" w:cs="Times New Roman"/>
          <w:b/>
          <w:i/>
          <w:sz w:val="20"/>
        </w:rPr>
      </w:pPr>
      <w:r w:rsidRPr="00BE45E2">
        <w:rPr>
          <w:rFonts w:ascii="Times New Roman" w:hAnsi="Times New Roman" w:cs="Times New Roman"/>
          <w:b/>
          <w:i/>
          <w:sz w:val="20"/>
        </w:rPr>
        <w:t>Source: BBS</w:t>
      </w:r>
    </w:p>
    <w:p w:rsidR="007F1965" w:rsidRPr="000359AF" w:rsidRDefault="00937732" w:rsidP="00937732">
      <w:pPr>
        <w:jc w:val="both"/>
        <w:rPr>
          <w:rFonts w:cs="Times New Roman"/>
          <w:u w:val="single"/>
        </w:rPr>
      </w:pPr>
      <w:r w:rsidRPr="00C26B99">
        <w:rPr>
          <w:rFonts w:cs="Times New Roman"/>
        </w:rPr>
        <w:t>Livestock contributed over 14.</w:t>
      </w:r>
      <w:r>
        <w:rPr>
          <w:rFonts w:cs="Times New Roman"/>
        </w:rPr>
        <w:t>2% to agriculture GDP in FY2016</w:t>
      </w:r>
      <w:r w:rsidRPr="00C26B99">
        <w:rPr>
          <w:rFonts w:cs="Times New Roman"/>
        </w:rPr>
        <w:t xml:space="preserve"> (DLS 2016). </w:t>
      </w:r>
      <w:r w:rsidR="00F64A6A" w:rsidRPr="00F64A6A">
        <w:rPr>
          <w:rFonts w:cs="Times New Roman"/>
          <w:u w:val="single"/>
        </w:rPr>
        <w:t xml:space="preserve">Numbers of buffalo, sheep, poultry have increased at a rate of 25-30% over the last decade </w:t>
      </w:r>
      <w:r w:rsidR="00F64A6A" w:rsidRPr="00F64A6A">
        <w:rPr>
          <w:rFonts w:cs="Times New Roman"/>
          <w:b/>
          <w:u w:val="single"/>
        </w:rPr>
        <w:t>(</w:t>
      </w:r>
      <w:r w:rsidR="00F64A6A" w:rsidRPr="00F64A6A">
        <w:rPr>
          <w:rFonts w:cs="Times New Roman"/>
          <w:u w:val="single"/>
        </w:rPr>
        <w:t>Table 8.6).</w:t>
      </w:r>
      <w:r w:rsidRPr="00C26B99">
        <w:rPr>
          <w:rFonts w:cs="Times New Roman"/>
        </w:rPr>
        <w:t xml:space="preserve"> Cattle have, however, grown at a slower rate which is puzzling considering the large illegal cross border import trade with India in spite of the Indian ban on exporting cattle. Cattle and goats are the most important livestock holdings</w:t>
      </w:r>
      <w:r w:rsidR="000359AF">
        <w:rPr>
          <w:rFonts w:cs="Times New Roman"/>
        </w:rPr>
        <w:t>.</w:t>
      </w:r>
      <w:r w:rsidRPr="00C26B99">
        <w:rPr>
          <w:rFonts w:cs="Times New Roman"/>
        </w:rPr>
        <w:t xml:space="preserve"> Cattle are a typical part of a traditional cropping system as a source of power, transport, and manure, as are buffalo, which are fewer in numbers. </w:t>
      </w:r>
      <w:r w:rsidR="00F64A6A" w:rsidRPr="00F64A6A">
        <w:rPr>
          <w:rFonts w:cs="Times New Roman"/>
          <w:u w:val="single"/>
        </w:rPr>
        <w:t xml:space="preserve">One estimate pegs the smuggling at 2 million head per year, or as many as 3 of every 4 cattle slaughtered in Bangladesh, worth about US$920 million (Azizur Rahman 2013).  </w:t>
      </w:r>
    </w:p>
    <w:p w:rsidR="00937732" w:rsidRPr="004B0A08" w:rsidRDefault="00937732" w:rsidP="00E52937">
      <w:pPr>
        <w:pStyle w:val="Heading4"/>
      </w:pPr>
      <w:bookmarkStart w:id="579" w:name="_Ref460931099"/>
      <w:bookmarkStart w:id="580" w:name="_Toc461018790"/>
      <w:bookmarkStart w:id="581" w:name="_Toc474639050"/>
      <w:r w:rsidRPr="004B0A08">
        <w:t>Table 8.</w:t>
      </w:r>
      <w:bookmarkEnd w:id="579"/>
      <w:r>
        <w:t>6</w:t>
      </w:r>
      <w:r w:rsidR="00E52937">
        <w:t>:</w:t>
      </w:r>
      <w:r w:rsidRPr="004B0A08">
        <w:t xml:space="preserve"> National Livestock Production (Animal Numbers 000s)</w:t>
      </w:r>
      <w:bookmarkEnd w:id="580"/>
      <w:bookmarkEnd w:id="58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3"/>
        <w:gridCol w:w="1332"/>
        <w:gridCol w:w="1333"/>
        <w:gridCol w:w="1331"/>
        <w:gridCol w:w="1333"/>
        <w:gridCol w:w="1331"/>
        <w:gridCol w:w="1333"/>
      </w:tblGrid>
      <w:tr w:rsidR="00937732" w:rsidRPr="00120C6B" w:rsidTr="00937732">
        <w:trPr>
          <w:trHeight w:val="300"/>
          <w:jc w:val="center"/>
        </w:trPr>
        <w:tc>
          <w:tcPr>
            <w:tcW w:w="826"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b/>
                <w:bCs/>
              </w:rPr>
            </w:pPr>
            <w:r w:rsidRPr="00C26B99">
              <w:rPr>
                <w:rFonts w:eastAsia="Times New Roman" w:cs="Times New Roman"/>
                <w:b/>
                <w:bCs/>
              </w:rPr>
              <w:t>Species</w:t>
            </w:r>
          </w:p>
        </w:tc>
        <w:tc>
          <w:tcPr>
            <w:tcW w:w="695"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b/>
                <w:bCs/>
              </w:rPr>
            </w:pPr>
            <w:r w:rsidRPr="00C26B99">
              <w:rPr>
                <w:rFonts w:eastAsia="Times New Roman" w:cs="Times New Roman"/>
                <w:b/>
                <w:bCs/>
              </w:rPr>
              <w:t>2006-2007</w:t>
            </w:r>
          </w:p>
        </w:tc>
        <w:tc>
          <w:tcPr>
            <w:tcW w:w="696" w:type="pct"/>
            <w:vAlign w:val="center"/>
          </w:tcPr>
          <w:p w:rsidR="00937732" w:rsidRPr="00C26B99" w:rsidRDefault="00937732" w:rsidP="00937732">
            <w:pPr>
              <w:spacing w:after="0" w:line="240" w:lineRule="auto"/>
              <w:jc w:val="center"/>
              <w:outlineLvl w:val="0"/>
              <w:rPr>
                <w:rFonts w:eastAsia="Times New Roman" w:cs="Times New Roman"/>
                <w:b/>
                <w:bCs/>
              </w:rPr>
            </w:pPr>
            <w:r w:rsidRPr="00C26B99">
              <w:rPr>
                <w:rFonts w:eastAsia="Times New Roman" w:cs="Times New Roman"/>
                <w:b/>
                <w:bCs/>
              </w:rPr>
              <w:t>2012-13</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b/>
                <w:bCs/>
              </w:rPr>
            </w:pPr>
            <w:r w:rsidRPr="00C26B99">
              <w:rPr>
                <w:rFonts w:eastAsia="Times New Roman" w:cs="Times New Roman"/>
                <w:b/>
                <w:bCs/>
              </w:rPr>
              <w:t>2013-14</w:t>
            </w:r>
          </w:p>
        </w:tc>
        <w:tc>
          <w:tcPr>
            <w:tcW w:w="696"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b/>
                <w:bCs/>
              </w:rPr>
            </w:pPr>
            <w:r w:rsidRPr="00C26B99">
              <w:rPr>
                <w:rFonts w:eastAsia="Times New Roman" w:cs="Times New Roman"/>
                <w:b/>
                <w:bCs/>
              </w:rPr>
              <w:t>2014-15</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b/>
                <w:bCs/>
              </w:rPr>
            </w:pPr>
            <w:r w:rsidRPr="00C26B99">
              <w:rPr>
                <w:rFonts w:eastAsia="Times New Roman" w:cs="Times New Roman"/>
                <w:b/>
                <w:bCs/>
              </w:rPr>
              <w:t>2015-16</w:t>
            </w:r>
          </w:p>
        </w:tc>
        <w:tc>
          <w:tcPr>
            <w:tcW w:w="696" w:type="pct"/>
          </w:tcPr>
          <w:p w:rsidR="00937732" w:rsidRPr="00C26B99" w:rsidRDefault="00937732" w:rsidP="00937732">
            <w:pPr>
              <w:spacing w:after="0" w:line="240" w:lineRule="auto"/>
              <w:jc w:val="center"/>
              <w:outlineLvl w:val="0"/>
              <w:rPr>
                <w:rFonts w:eastAsia="Times New Roman" w:cs="Times New Roman"/>
                <w:b/>
                <w:bCs/>
              </w:rPr>
            </w:pPr>
            <w:r w:rsidRPr="00C26B99">
              <w:rPr>
                <w:rFonts w:eastAsia="Times New Roman" w:cs="Times New Roman"/>
                <w:b/>
                <w:bCs/>
              </w:rPr>
              <w:t>% of Change</w:t>
            </w:r>
          </w:p>
        </w:tc>
      </w:tr>
      <w:tr w:rsidR="00937732" w:rsidRPr="00120C6B" w:rsidTr="00937732">
        <w:trPr>
          <w:trHeight w:val="300"/>
          <w:jc w:val="center"/>
        </w:trPr>
        <w:tc>
          <w:tcPr>
            <w:tcW w:w="826"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Buffalo</w:t>
            </w:r>
          </w:p>
        </w:tc>
        <w:tc>
          <w:tcPr>
            <w:tcW w:w="695"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1210</w:t>
            </w:r>
          </w:p>
        </w:tc>
        <w:tc>
          <w:tcPr>
            <w:tcW w:w="696" w:type="pct"/>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1450</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1457</w:t>
            </w:r>
          </w:p>
        </w:tc>
        <w:tc>
          <w:tcPr>
            <w:tcW w:w="696"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1464</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1471</w:t>
            </w:r>
          </w:p>
        </w:tc>
        <w:tc>
          <w:tcPr>
            <w:tcW w:w="696" w:type="pct"/>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22</w:t>
            </w:r>
          </w:p>
        </w:tc>
      </w:tr>
      <w:tr w:rsidR="00937732" w:rsidRPr="00120C6B" w:rsidTr="00937732">
        <w:trPr>
          <w:trHeight w:val="300"/>
          <w:jc w:val="center"/>
        </w:trPr>
        <w:tc>
          <w:tcPr>
            <w:tcW w:w="826"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Cattle</w:t>
            </w:r>
          </w:p>
        </w:tc>
        <w:tc>
          <w:tcPr>
            <w:tcW w:w="695"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22870</w:t>
            </w:r>
          </w:p>
        </w:tc>
        <w:tc>
          <w:tcPr>
            <w:tcW w:w="696" w:type="pct"/>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23341</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23488</w:t>
            </w:r>
          </w:p>
        </w:tc>
        <w:tc>
          <w:tcPr>
            <w:tcW w:w="696"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23636</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23785</w:t>
            </w:r>
          </w:p>
        </w:tc>
        <w:tc>
          <w:tcPr>
            <w:tcW w:w="696" w:type="pct"/>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4</w:t>
            </w:r>
          </w:p>
        </w:tc>
      </w:tr>
      <w:tr w:rsidR="00937732" w:rsidRPr="00120C6B" w:rsidTr="00937732">
        <w:trPr>
          <w:trHeight w:val="300"/>
          <w:jc w:val="center"/>
        </w:trPr>
        <w:tc>
          <w:tcPr>
            <w:tcW w:w="826"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Goats</w:t>
            </w:r>
          </w:p>
        </w:tc>
        <w:tc>
          <w:tcPr>
            <w:tcW w:w="695"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20750</w:t>
            </w:r>
          </w:p>
        </w:tc>
        <w:tc>
          <w:tcPr>
            <w:tcW w:w="696" w:type="pct"/>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25277</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25439</w:t>
            </w:r>
          </w:p>
        </w:tc>
        <w:tc>
          <w:tcPr>
            <w:tcW w:w="696"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25602</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25766</w:t>
            </w:r>
          </w:p>
        </w:tc>
        <w:tc>
          <w:tcPr>
            <w:tcW w:w="696" w:type="pct"/>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24</w:t>
            </w:r>
          </w:p>
        </w:tc>
      </w:tr>
      <w:tr w:rsidR="00937732" w:rsidRPr="00120C6B" w:rsidTr="00937732">
        <w:trPr>
          <w:trHeight w:val="300"/>
          <w:jc w:val="center"/>
        </w:trPr>
        <w:tc>
          <w:tcPr>
            <w:tcW w:w="826"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Poultry</w:t>
            </w:r>
          </w:p>
        </w:tc>
        <w:tc>
          <w:tcPr>
            <w:tcW w:w="695"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245970</w:t>
            </w:r>
          </w:p>
        </w:tc>
        <w:tc>
          <w:tcPr>
            <w:tcW w:w="696" w:type="pct"/>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296264</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304172</w:t>
            </w:r>
          </w:p>
        </w:tc>
        <w:tc>
          <w:tcPr>
            <w:tcW w:w="696"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312293</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320633</w:t>
            </w:r>
          </w:p>
        </w:tc>
        <w:tc>
          <w:tcPr>
            <w:tcW w:w="696" w:type="pct"/>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31</w:t>
            </w:r>
          </w:p>
        </w:tc>
      </w:tr>
      <w:tr w:rsidR="00937732" w:rsidRPr="00120C6B" w:rsidTr="00937732">
        <w:trPr>
          <w:trHeight w:val="300"/>
          <w:jc w:val="center"/>
        </w:trPr>
        <w:tc>
          <w:tcPr>
            <w:tcW w:w="826"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Sheep</w:t>
            </w:r>
          </w:p>
        </w:tc>
        <w:tc>
          <w:tcPr>
            <w:tcW w:w="695" w:type="pct"/>
            <w:shd w:val="clear" w:color="auto" w:fill="auto"/>
            <w:noWrap/>
            <w:vAlign w:val="center"/>
            <w:hideMark/>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2680</w:t>
            </w:r>
          </w:p>
        </w:tc>
        <w:tc>
          <w:tcPr>
            <w:tcW w:w="696" w:type="pct"/>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3143</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3206</w:t>
            </w:r>
          </w:p>
        </w:tc>
        <w:tc>
          <w:tcPr>
            <w:tcW w:w="696"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3270</w:t>
            </w:r>
          </w:p>
        </w:tc>
        <w:tc>
          <w:tcPr>
            <w:tcW w:w="695" w:type="pct"/>
            <w:shd w:val="clear" w:color="auto" w:fill="auto"/>
            <w:noWrap/>
            <w:vAlign w:val="center"/>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3335</w:t>
            </w:r>
          </w:p>
        </w:tc>
        <w:tc>
          <w:tcPr>
            <w:tcW w:w="696" w:type="pct"/>
          </w:tcPr>
          <w:p w:rsidR="00937732" w:rsidRPr="00C26B99" w:rsidRDefault="00937732" w:rsidP="00937732">
            <w:pPr>
              <w:spacing w:after="0" w:line="240" w:lineRule="auto"/>
              <w:jc w:val="center"/>
              <w:outlineLvl w:val="0"/>
              <w:rPr>
                <w:rFonts w:eastAsia="Times New Roman" w:cs="Times New Roman"/>
              </w:rPr>
            </w:pPr>
            <w:r w:rsidRPr="00C26B99">
              <w:rPr>
                <w:rFonts w:eastAsia="Times New Roman" w:cs="Times New Roman"/>
              </w:rPr>
              <w:t>24</w:t>
            </w:r>
          </w:p>
        </w:tc>
      </w:tr>
    </w:tbl>
    <w:p w:rsidR="00937732" w:rsidRPr="00C26B99" w:rsidRDefault="00937732" w:rsidP="00937732">
      <w:pPr>
        <w:pStyle w:val="Source"/>
        <w:rPr>
          <w:rFonts w:ascii="Times New Roman" w:hAnsi="Times New Roman"/>
        </w:rPr>
      </w:pPr>
      <w:r w:rsidRPr="00C26B99">
        <w:rPr>
          <w:rFonts w:ascii="Times New Roman" w:hAnsi="Times New Roman"/>
        </w:rPr>
        <w:t>Source: DLS 2015-16</w:t>
      </w:r>
    </w:p>
    <w:p w:rsidR="00937732" w:rsidRPr="004B0A08" w:rsidRDefault="00937732" w:rsidP="00025234">
      <w:pPr>
        <w:pStyle w:val="Default"/>
        <w:spacing w:line="276" w:lineRule="auto"/>
        <w:jc w:val="both"/>
        <w:rPr>
          <w:rFonts w:ascii="Times New Roman" w:hAnsi="Times New Roman" w:cs="Times New Roman"/>
          <w:color w:val="auto"/>
        </w:rPr>
      </w:pPr>
      <w:r w:rsidRPr="00C26B99">
        <w:rPr>
          <w:rFonts w:ascii="Times New Roman" w:hAnsi="Times New Roman" w:cs="Times New Roman"/>
          <w:color w:val="auto"/>
        </w:rPr>
        <w:t xml:space="preserve">Meat and milk productivity are low due to weak genetics as the buffalo and cattle herd are primarily made up of local breeds which are heat tolerant and less prone to disease compared to pure breeds or pure breed crosses. Improved breeds are more common on government and privately owned dairy farms. </w:t>
      </w:r>
      <w:r w:rsidR="00F64A6A" w:rsidRPr="00F64A6A">
        <w:rPr>
          <w:rFonts w:ascii="Times New Roman" w:hAnsi="Times New Roman" w:cs="Times New Roman"/>
          <w:color w:val="auto"/>
          <w:u w:val="single"/>
        </w:rPr>
        <w:t xml:space="preserve">Milk productivity averages 206 litres/head/year compared to 1,087 for India, 1,253 for Pakistan, and 9,118 for the United States (FPMU 2013). Although there has been some cross breeding, a major selective breeding program will be required to boost the milk subsector. Egg production has grown at a 2.9% annual rate. Egg imports, which account for </w:t>
      </w:r>
      <w:r w:rsidR="00F64A6A" w:rsidRPr="00F64A6A">
        <w:rPr>
          <w:rFonts w:ascii="Times New Roman" w:hAnsi="Times New Roman" w:cs="Times New Roman"/>
          <w:color w:val="auto"/>
          <w:u w:val="single"/>
        </w:rPr>
        <w:lastRenderedPageBreak/>
        <w:t>about 50% of consumption, are at 1.9 billion pieces and dried milk imports have reached 63,000 tonnes (WFP 2014; FAO 2014). Meat imports, are insignificant.</w:t>
      </w:r>
    </w:p>
    <w:p w:rsidR="0019593F" w:rsidRDefault="007F2F9C" w:rsidP="00025234">
      <w:pPr>
        <w:pStyle w:val="Default"/>
        <w:spacing w:line="276" w:lineRule="auto"/>
        <w:jc w:val="both"/>
        <w:rPr>
          <w:rFonts w:ascii="Times New Roman" w:hAnsi="Times New Roman" w:cs="Times New Roman"/>
        </w:rPr>
      </w:pPr>
      <w:r w:rsidRPr="00C022C0">
        <w:rPr>
          <w:rFonts w:ascii="Times New Roman" w:hAnsi="Times New Roman" w:cs="Times New Roman"/>
        </w:rPr>
        <w:t xml:space="preserve">Forestry sector contributes about 1.8% of the total GDP and also plays an important role in protecting watersheds, irrigation and hydraulic structure and also in keeping the rivers and ports navigable and protect coastal areas from natural calamities. The role of forest in protecting the environment from pollution and its contribution towards bio-diversity is immense. In addition, the participatory social forestry contributes towards rural poverty reduction. </w:t>
      </w:r>
      <w:r w:rsidR="00265781">
        <w:rPr>
          <w:rFonts w:ascii="Times New Roman" w:hAnsi="Times New Roman" w:cs="Times New Roman"/>
        </w:rPr>
        <w:t xml:space="preserve"> </w:t>
      </w:r>
    </w:p>
    <w:p w:rsidR="00937732" w:rsidRPr="004B0A08" w:rsidRDefault="00937732" w:rsidP="00025234">
      <w:pPr>
        <w:pStyle w:val="Default"/>
        <w:spacing w:line="276" w:lineRule="auto"/>
        <w:jc w:val="both"/>
        <w:rPr>
          <w:rFonts w:ascii="Times New Roman" w:hAnsi="Times New Roman" w:cs="Times New Roman"/>
          <w:b/>
        </w:rPr>
      </w:pPr>
      <w:r w:rsidRPr="004B0A08">
        <w:rPr>
          <w:rFonts w:ascii="Times New Roman" w:hAnsi="Times New Roman" w:cs="Times New Roman"/>
          <w:b/>
        </w:rPr>
        <w:t>Contribution to Food Security</w:t>
      </w:r>
    </w:p>
    <w:p w:rsidR="00937732" w:rsidRPr="00C26B99" w:rsidRDefault="00937732" w:rsidP="00937732">
      <w:pPr>
        <w:rPr>
          <w:rFonts w:cs="Times New Roman"/>
        </w:rPr>
      </w:pPr>
      <w:r w:rsidRPr="00C26B99">
        <w:rPr>
          <w:rFonts w:cs="Times New Roman"/>
        </w:rPr>
        <w:t xml:space="preserve">All these success stories add to and </w:t>
      </w:r>
      <w:r w:rsidR="00EA4E38" w:rsidRPr="00C26B99">
        <w:rPr>
          <w:rFonts w:cs="Times New Roman"/>
        </w:rPr>
        <w:t>translate</w:t>
      </w:r>
      <w:r w:rsidRPr="00C26B99">
        <w:rPr>
          <w:rFonts w:cs="Times New Roman"/>
        </w:rPr>
        <w:t xml:space="preserve"> into achievements in enhanced food security.  </w:t>
      </w:r>
    </w:p>
    <w:p w:rsidR="00937732" w:rsidRPr="00C26B99" w:rsidRDefault="00937732" w:rsidP="00937732">
      <w:pPr>
        <w:rPr>
          <w:rFonts w:cs="Times New Roman"/>
          <w:b/>
          <w:i/>
        </w:rPr>
      </w:pPr>
      <w:r w:rsidRPr="00C26B99">
        <w:rPr>
          <w:rFonts w:cs="Times New Roman"/>
          <w:b/>
          <w:i/>
        </w:rPr>
        <w:t>Pillar 1 of Food Security: Per capita availability</w:t>
      </w:r>
    </w:p>
    <w:p w:rsidR="00937732" w:rsidRPr="00C26B99" w:rsidRDefault="00937732" w:rsidP="00937732">
      <w:pPr>
        <w:jc w:val="both"/>
        <w:rPr>
          <w:rFonts w:cs="Times New Roman"/>
        </w:rPr>
      </w:pPr>
      <w:r w:rsidRPr="00C26B99">
        <w:rPr>
          <w:rFonts w:cs="Times New Roman"/>
        </w:rPr>
        <w:t xml:space="preserve">Agricultural GDP (excluding forestry) growth increased by 2.1 percentage points to reach 4.3% in 2013/14, mainly due to increased rice, animal and fish production. Rice import dependency, measured as an average for the period 2011/12-2013/14, has consequently dropped to 1% from 2.3% registered in 2012/13. Instability of rice production remained unchanged in 2013/14 from its lowest level of 2.9% registered in 2012/13, mainly due to the stability in rice production throughout all seasons. In 2013/14, price of rice was more stable than in the previous year although remained on an increasing trend, while wheat price has been decreasing and remained more volatile over the same period. Although the agricultural trade deficit rose to 6.9 billion USD in 2011, fishery exports improved (FSMU 2015). </w:t>
      </w:r>
    </w:p>
    <w:p w:rsidR="00937732" w:rsidRPr="00C26B99" w:rsidRDefault="00937732" w:rsidP="004B0A08">
      <w:pPr>
        <w:jc w:val="both"/>
        <w:rPr>
          <w:rFonts w:cs="Times New Roman"/>
        </w:rPr>
      </w:pPr>
      <w:r w:rsidRPr="00C26B99">
        <w:rPr>
          <w:rFonts w:cs="Times New Roman"/>
        </w:rPr>
        <w:t>Per capita availability of cereals (rice and wheat) has been found to increase from 374 g/day in 1994-95 to 647 g/day in 2010-11 (</w:t>
      </w:r>
      <w:r>
        <w:rPr>
          <w:rFonts w:cs="Times New Roman"/>
        </w:rPr>
        <w:t>Table 8.7</w:t>
      </w:r>
      <w:r w:rsidRPr="00C26B99">
        <w:rPr>
          <w:rFonts w:cs="Times New Roman"/>
        </w:rPr>
        <w:t xml:space="preserve">). Sharp increase in per capita availability of potato and vegetables is seen in the last four years, while the per capita availability of pulses and oilseeds has remained stagnant or declined. Availability of meat, milk and egg has also increased as shown. </w:t>
      </w:r>
      <w:r w:rsidR="00F64A6A" w:rsidRPr="00F64A6A">
        <w:rPr>
          <w:rFonts w:cs="Times New Roman"/>
          <w:u w:val="single"/>
        </w:rPr>
        <w:t>Per capita fish availability increased from 27 g in 1994-95 to 56 g in 2010-11.</w:t>
      </w:r>
      <w:r w:rsidR="007F1965">
        <w:rPr>
          <w:rFonts w:cs="Times New Roman"/>
        </w:rPr>
        <w:t xml:space="preserve">  </w:t>
      </w:r>
    </w:p>
    <w:p w:rsidR="00937732" w:rsidRPr="00E52937" w:rsidRDefault="00937732" w:rsidP="00E52937">
      <w:pPr>
        <w:pStyle w:val="Heading4"/>
      </w:pPr>
      <w:bookmarkStart w:id="582" w:name="_Ref460931126"/>
      <w:bookmarkStart w:id="583" w:name="_Toc461018791"/>
      <w:bookmarkStart w:id="584" w:name="_Toc474639051"/>
      <w:r w:rsidRPr="004B0A08">
        <w:t>Table 8.</w:t>
      </w:r>
      <w:bookmarkEnd w:id="582"/>
      <w:r>
        <w:t>7</w:t>
      </w:r>
      <w:r w:rsidR="00E52937">
        <w:t>:</w:t>
      </w:r>
      <w:r w:rsidRPr="004B0A08">
        <w:t xml:space="preserve"> Per capita Availability of major food items (1994-2011)</w:t>
      </w:r>
      <w:bookmarkEnd w:id="583"/>
      <w:bookmarkEnd w:id="584"/>
    </w:p>
    <w:tbl>
      <w:tblPr>
        <w:tblStyle w:val="TableGrid"/>
        <w:tblW w:w="0" w:type="auto"/>
        <w:tblLook w:val="04A0"/>
      </w:tblPr>
      <w:tblGrid>
        <w:gridCol w:w="2538"/>
        <w:gridCol w:w="2015"/>
        <w:gridCol w:w="2511"/>
        <w:gridCol w:w="2512"/>
      </w:tblGrid>
      <w:tr w:rsidR="00937732" w:rsidRPr="004452AB" w:rsidTr="00937732">
        <w:trPr>
          <w:tblHeader/>
        </w:trPr>
        <w:tc>
          <w:tcPr>
            <w:tcW w:w="2538" w:type="dxa"/>
            <w:vMerge w:val="restart"/>
            <w:vAlign w:val="center"/>
          </w:tcPr>
          <w:p w:rsidR="00937732" w:rsidRPr="00974AEB" w:rsidRDefault="00937732" w:rsidP="00937732">
            <w:pPr>
              <w:spacing w:after="0" w:line="240" w:lineRule="auto"/>
              <w:jc w:val="center"/>
              <w:rPr>
                <w:rFonts w:cs="Times New Roman"/>
                <w:b/>
                <w:sz w:val="22"/>
              </w:rPr>
            </w:pPr>
            <w:r w:rsidRPr="00974AEB">
              <w:rPr>
                <w:rFonts w:cs="Times New Roman"/>
                <w:b/>
                <w:sz w:val="22"/>
              </w:rPr>
              <w:t>Food Item</w:t>
            </w:r>
          </w:p>
        </w:tc>
        <w:tc>
          <w:tcPr>
            <w:tcW w:w="7038" w:type="dxa"/>
            <w:gridSpan w:val="3"/>
            <w:vAlign w:val="center"/>
          </w:tcPr>
          <w:p w:rsidR="00937732" w:rsidRPr="00974AEB" w:rsidRDefault="00937732" w:rsidP="00937732">
            <w:pPr>
              <w:spacing w:after="0" w:line="240" w:lineRule="auto"/>
              <w:jc w:val="center"/>
              <w:outlineLvl w:val="0"/>
              <w:rPr>
                <w:rFonts w:cs="Times New Roman"/>
                <w:b/>
                <w:sz w:val="22"/>
              </w:rPr>
            </w:pPr>
            <w:r w:rsidRPr="00974AEB">
              <w:rPr>
                <w:rFonts w:cs="Times New Roman"/>
                <w:b/>
                <w:sz w:val="22"/>
              </w:rPr>
              <w:t>Availability (gm/capita/</w:t>
            </w:r>
            <w:r w:rsidR="00EA4E38" w:rsidRPr="00974AEB">
              <w:rPr>
                <w:rFonts w:cs="Times New Roman"/>
                <w:b/>
                <w:sz w:val="22"/>
              </w:rPr>
              <w:t>day</w:t>
            </w:r>
            <w:r w:rsidRPr="00974AEB">
              <w:rPr>
                <w:rFonts w:cs="Times New Roman"/>
                <w:b/>
                <w:sz w:val="22"/>
              </w:rPr>
              <w:t>)</w:t>
            </w:r>
          </w:p>
        </w:tc>
      </w:tr>
      <w:tr w:rsidR="00937732" w:rsidRPr="004452AB" w:rsidTr="00937732">
        <w:trPr>
          <w:tblHeader/>
        </w:trPr>
        <w:tc>
          <w:tcPr>
            <w:tcW w:w="2538" w:type="dxa"/>
            <w:vMerge/>
            <w:vAlign w:val="center"/>
          </w:tcPr>
          <w:p w:rsidR="00937732" w:rsidRPr="00974AEB" w:rsidRDefault="00937732" w:rsidP="00937732">
            <w:pPr>
              <w:spacing w:after="0" w:line="240" w:lineRule="auto"/>
              <w:jc w:val="center"/>
              <w:rPr>
                <w:rFonts w:cs="Times New Roman"/>
                <w:b/>
                <w:sz w:val="22"/>
              </w:rPr>
            </w:pPr>
          </w:p>
        </w:tc>
        <w:tc>
          <w:tcPr>
            <w:tcW w:w="2015" w:type="dxa"/>
            <w:vAlign w:val="center"/>
          </w:tcPr>
          <w:p w:rsidR="00937732" w:rsidRPr="00974AEB" w:rsidRDefault="00937732" w:rsidP="00937732">
            <w:pPr>
              <w:spacing w:after="0" w:line="240" w:lineRule="auto"/>
              <w:jc w:val="center"/>
              <w:rPr>
                <w:rFonts w:cs="Times New Roman"/>
                <w:b/>
                <w:sz w:val="22"/>
              </w:rPr>
            </w:pPr>
            <w:r w:rsidRPr="00974AEB">
              <w:rPr>
                <w:rFonts w:cs="Times New Roman"/>
                <w:b/>
                <w:sz w:val="22"/>
              </w:rPr>
              <w:t>1994-95</w:t>
            </w:r>
          </w:p>
        </w:tc>
        <w:tc>
          <w:tcPr>
            <w:tcW w:w="2511" w:type="dxa"/>
            <w:vAlign w:val="center"/>
          </w:tcPr>
          <w:p w:rsidR="00937732" w:rsidRPr="00974AEB" w:rsidRDefault="00937732" w:rsidP="00937732">
            <w:pPr>
              <w:spacing w:after="0" w:line="240" w:lineRule="auto"/>
              <w:jc w:val="center"/>
              <w:rPr>
                <w:rFonts w:cs="Times New Roman"/>
                <w:b/>
                <w:sz w:val="22"/>
              </w:rPr>
            </w:pPr>
            <w:r w:rsidRPr="00974AEB">
              <w:rPr>
                <w:rFonts w:cs="Times New Roman"/>
                <w:b/>
                <w:sz w:val="22"/>
              </w:rPr>
              <w:t>2004-05</w:t>
            </w:r>
          </w:p>
        </w:tc>
        <w:tc>
          <w:tcPr>
            <w:tcW w:w="2512" w:type="dxa"/>
            <w:vAlign w:val="center"/>
          </w:tcPr>
          <w:p w:rsidR="00937732" w:rsidRPr="00974AEB" w:rsidRDefault="00937732" w:rsidP="00937732">
            <w:pPr>
              <w:spacing w:after="0" w:line="240" w:lineRule="auto"/>
              <w:jc w:val="center"/>
              <w:rPr>
                <w:rFonts w:cs="Times New Roman"/>
                <w:b/>
                <w:sz w:val="22"/>
              </w:rPr>
            </w:pPr>
            <w:r w:rsidRPr="00974AEB">
              <w:rPr>
                <w:rFonts w:cs="Times New Roman"/>
                <w:b/>
                <w:sz w:val="22"/>
              </w:rPr>
              <w:t>2010-11</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Cereals</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374</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464</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647</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Potato</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32</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108</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153</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Pulses</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11</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10</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13</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Oilseeds</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10</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10</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15</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Vegetables</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21</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108</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207</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Fruits</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24</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68</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65</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Fish</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27</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41</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53</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Meat</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11</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21</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35</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Milk</w:t>
            </w:r>
          </w:p>
          <w:p w:rsidR="00937732" w:rsidRPr="00974AEB" w:rsidRDefault="00937732" w:rsidP="00937732">
            <w:pPr>
              <w:spacing w:after="0" w:line="240" w:lineRule="auto"/>
              <w:rPr>
                <w:rFonts w:cs="Times New Roman"/>
                <w:sz w:val="22"/>
              </w:rPr>
            </w:pPr>
            <w:r w:rsidRPr="00974AEB">
              <w:rPr>
                <w:rFonts w:cs="Times New Roman"/>
                <w:sz w:val="22"/>
              </w:rPr>
              <w:t>ml/day/head</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35</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42</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55</w:t>
            </w:r>
          </w:p>
        </w:tc>
      </w:tr>
      <w:tr w:rsidR="00937732" w:rsidRPr="004452AB" w:rsidTr="00937732">
        <w:tc>
          <w:tcPr>
            <w:tcW w:w="2538" w:type="dxa"/>
          </w:tcPr>
          <w:p w:rsidR="00937732" w:rsidRPr="00974AEB" w:rsidRDefault="00937732" w:rsidP="00937732">
            <w:pPr>
              <w:spacing w:after="0" w:line="240" w:lineRule="auto"/>
              <w:rPr>
                <w:rFonts w:cs="Times New Roman"/>
                <w:sz w:val="22"/>
              </w:rPr>
            </w:pPr>
            <w:r w:rsidRPr="00974AEB">
              <w:rPr>
                <w:rFonts w:cs="Times New Roman"/>
                <w:sz w:val="22"/>
              </w:rPr>
              <w:t>Egg numbers/year/head</w:t>
            </w:r>
          </w:p>
        </w:tc>
        <w:tc>
          <w:tcPr>
            <w:tcW w:w="2015" w:type="dxa"/>
          </w:tcPr>
          <w:p w:rsidR="00937732" w:rsidRPr="00974AEB" w:rsidRDefault="00937732" w:rsidP="00937732">
            <w:pPr>
              <w:spacing w:after="0" w:line="240" w:lineRule="auto"/>
              <w:jc w:val="center"/>
              <w:rPr>
                <w:rFonts w:cs="Times New Roman"/>
                <w:sz w:val="22"/>
              </w:rPr>
            </w:pPr>
            <w:r w:rsidRPr="00974AEB">
              <w:rPr>
                <w:rFonts w:cs="Times New Roman"/>
                <w:sz w:val="22"/>
              </w:rPr>
              <w:t>19</w:t>
            </w:r>
          </w:p>
        </w:tc>
        <w:tc>
          <w:tcPr>
            <w:tcW w:w="2511" w:type="dxa"/>
          </w:tcPr>
          <w:p w:rsidR="00937732" w:rsidRPr="00974AEB" w:rsidRDefault="00937732" w:rsidP="00937732">
            <w:pPr>
              <w:spacing w:after="0" w:line="240" w:lineRule="auto"/>
              <w:jc w:val="center"/>
              <w:rPr>
                <w:rFonts w:cs="Times New Roman"/>
                <w:sz w:val="22"/>
              </w:rPr>
            </w:pPr>
            <w:r w:rsidRPr="00974AEB">
              <w:rPr>
                <w:rFonts w:cs="Times New Roman"/>
                <w:sz w:val="22"/>
              </w:rPr>
              <w:t>41</w:t>
            </w:r>
          </w:p>
        </w:tc>
        <w:tc>
          <w:tcPr>
            <w:tcW w:w="2512" w:type="dxa"/>
          </w:tcPr>
          <w:p w:rsidR="00937732" w:rsidRPr="00974AEB" w:rsidRDefault="00937732" w:rsidP="00937732">
            <w:pPr>
              <w:spacing w:after="0" w:line="240" w:lineRule="auto"/>
              <w:jc w:val="center"/>
              <w:rPr>
                <w:rFonts w:cs="Times New Roman"/>
                <w:sz w:val="22"/>
              </w:rPr>
            </w:pPr>
            <w:r w:rsidRPr="00974AEB">
              <w:rPr>
                <w:rFonts w:cs="Times New Roman"/>
                <w:sz w:val="22"/>
              </w:rPr>
              <w:t>41</w:t>
            </w:r>
          </w:p>
        </w:tc>
      </w:tr>
    </w:tbl>
    <w:p w:rsidR="00937732" w:rsidRPr="00C26B99" w:rsidRDefault="00937732" w:rsidP="00937732">
      <w:pPr>
        <w:spacing w:before="240"/>
        <w:rPr>
          <w:rFonts w:cs="Times New Roman"/>
          <w:b/>
          <w:i/>
        </w:rPr>
      </w:pPr>
      <w:r w:rsidRPr="00C26B99">
        <w:rPr>
          <w:rFonts w:cs="Times New Roman"/>
          <w:b/>
          <w:i/>
        </w:rPr>
        <w:lastRenderedPageBreak/>
        <w:t>Pillar 2 of Food Security: Access to Food</w:t>
      </w:r>
    </w:p>
    <w:p w:rsidR="00937732" w:rsidRPr="00C26B99" w:rsidRDefault="00937732" w:rsidP="00937732">
      <w:pPr>
        <w:jc w:val="both"/>
        <w:rPr>
          <w:rFonts w:cs="Times New Roman"/>
        </w:rPr>
      </w:pPr>
      <w:r w:rsidRPr="00C26B99">
        <w:rPr>
          <w:rFonts w:cs="Times New Roman"/>
        </w:rPr>
        <w:t xml:space="preserve">An indicator often used to assess the capacity of the poor to access food from the market is the level and trend in real wages. This indicator shows that since the mid-1990s there has been a favourable trend in the income of the households who depend on selling labour in the market, such as agricultural wage labourers, transport operators and construction workers. The rice equivalent wage had increased from about three kg in 1990 to nearly 8.9 kg in 2013-14. </w:t>
      </w:r>
      <w:r w:rsidR="00EA4E38" w:rsidRPr="00C26B99">
        <w:rPr>
          <w:rFonts w:cs="Times New Roman"/>
        </w:rPr>
        <w:t>The only low</w:t>
      </w:r>
      <w:r w:rsidR="00EA4E38">
        <w:rPr>
          <w:rFonts w:cs="Times New Roman"/>
        </w:rPr>
        <w:t>-income group who has</w:t>
      </w:r>
      <w:r w:rsidR="00EA4E38" w:rsidRPr="00C26B99">
        <w:rPr>
          <w:rFonts w:cs="Times New Roman"/>
        </w:rPr>
        <w:t xml:space="preserve"> not been able</w:t>
      </w:r>
      <w:r w:rsidR="00EA4E38">
        <w:rPr>
          <w:rFonts w:cs="Times New Roman"/>
        </w:rPr>
        <w:t xml:space="preserve"> to increase its</w:t>
      </w:r>
      <w:r w:rsidR="00EA4E38" w:rsidRPr="00C26B99">
        <w:rPr>
          <w:rFonts w:cs="Times New Roman"/>
        </w:rPr>
        <w:t xml:space="preserve"> real income are industrial labourers, particularly the unskilled workers in the garment industry and the fixed wage earners in the </w:t>
      </w:r>
      <w:r w:rsidR="00C413FE">
        <w:rPr>
          <w:rFonts w:cs="Times New Roman"/>
        </w:rPr>
        <w:t>public</w:t>
      </w:r>
      <w:r w:rsidR="00EA4E38" w:rsidRPr="00C26B99">
        <w:rPr>
          <w:rFonts w:cs="Times New Roman"/>
        </w:rPr>
        <w:t xml:space="preserve"> sector. </w:t>
      </w:r>
    </w:p>
    <w:p w:rsidR="007F1965" w:rsidRPr="00D4254C" w:rsidRDefault="00937732" w:rsidP="00937732">
      <w:pPr>
        <w:jc w:val="both"/>
        <w:rPr>
          <w:rFonts w:cs="Times New Roman"/>
          <w:u w:val="single"/>
        </w:rPr>
      </w:pPr>
      <w:r w:rsidRPr="00C26B99">
        <w:rPr>
          <w:rFonts w:cs="Times New Roman"/>
        </w:rPr>
        <w:t xml:space="preserve">Despite the gains in food production, particularly rice, inadequate access to food and food insecurity remain major problems for a population segment, particularly during two seasonal lean periods, March and April prior to the boro harvest and the in October and November prior to the Aman harvest. Limited off-farm employment combined with lack of food availability, particularly during these lean seasons, obviously worsens household food insecurity. </w:t>
      </w:r>
      <w:r w:rsidR="00F64A6A" w:rsidRPr="00F64A6A">
        <w:rPr>
          <w:rFonts w:cs="Times New Roman"/>
          <w:u w:val="single"/>
        </w:rPr>
        <w:t xml:space="preserve">In a 2011 survey, 74.4% of respondents reported that they had never faced any type of food shortage, while 25.6% reported that they sometimes or often faced food shortages (Table 8.8). </w:t>
      </w:r>
    </w:p>
    <w:p w:rsidR="00937732" w:rsidRPr="00E52937" w:rsidRDefault="00937732" w:rsidP="00E52937">
      <w:pPr>
        <w:pStyle w:val="Heading4"/>
      </w:pPr>
      <w:bookmarkStart w:id="585" w:name="_Ref460931169"/>
      <w:bookmarkStart w:id="586" w:name="_Toc461018792"/>
      <w:bookmarkStart w:id="587" w:name="_Toc474639052"/>
      <w:r w:rsidRPr="004B0A08">
        <w:t>Table 8.</w:t>
      </w:r>
      <w:bookmarkEnd w:id="585"/>
      <w:r>
        <w:t>8</w:t>
      </w:r>
      <w:r w:rsidR="00E52937">
        <w:t>:</w:t>
      </w:r>
      <w:r w:rsidRPr="004B0A08">
        <w:t xml:space="preserve"> Frequency of Household Food Shortages</w:t>
      </w:r>
      <w:bookmarkEnd w:id="586"/>
      <w:bookmarkEnd w:id="587"/>
    </w:p>
    <w:tbl>
      <w:tblPr>
        <w:tblStyle w:val="TableGrid"/>
        <w:tblW w:w="5000" w:type="pct"/>
        <w:jc w:val="center"/>
        <w:tblLook w:val="04A0"/>
      </w:tblPr>
      <w:tblGrid>
        <w:gridCol w:w="2623"/>
        <w:gridCol w:w="2448"/>
        <w:gridCol w:w="2270"/>
        <w:gridCol w:w="2235"/>
      </w:tblGrid>
      <w:tr w:rsidR="00937732" w:rsidRPr="004452AB" w:rsidTr="00937732">
        <w:trPr>
          <w:trHeight w:val="300"/>
          <w:jc w:val="center"/>
        </w:trPr>
        <w:tc>
          <w:tcPr>
            <w:tcW w:w="1369" w:type="pct"/>
            <w:noWrap/>
            <w:hideMark/>
          </w:tcPr>
          <w:p w:rsidR="00937732" w:rsidRPr="00C26B99" w:rsidRDefault="00937732" w:rsidP="00937732">
            <w:pPr>
              <w:spacing w:after="0" w:line="240" w:lineRule="auto"/>
              <w:rPr>
                <w:rFonts w:cs="Times New Roman"/>
                <w:bCs/>
              </w:rPr>
            </w:pPr>
          </w:p>
        </w:tc>
        <w:tc>
          <w:tcPr>
            <w:tcW w:w="1278" w:type="pct"/>
            <w:noWrap/>
            <w:hideMark/>
          </w:tcPr>
          <w:p w:rsidR="00937732" w:rsidRPr="00C26B99" w:rsidRDefault="00937732" w:rsidP="00937732">
            <w:pPr>
              <w:spacing w:after="0" w:line="240" w:lineRule="auto"/>
              <w:jc w:val="center"/>
              <w:rPr>
                <w:rFonts w:cs="Times New Roman"/>
                <w:b/>
                <w:bCs/>
              </w:rPr>
            </w:pPr>
            <w:r w:rsidRPr="00C26B99">
              <w:rPr>
                <w:rFonts w:cs="Times New Roman"/>
                <w:b/>
                <w:bCs/>
              </w:rPr>
              <w:t>Urban (%)</w:t>
            </w:r>
          </w:p>
        </w:tc>
        <w:tc>
          <w:tcPr>
            <w:tcW w:w="1185" w:type="pct"/>
            <w:noWrap/>
            <w:hideMark/>
          </w:tcPr>
          <w:p w:rsidR="00937732" w:rsidRPr="00C26B99" w:rsidRDefault="00937732" w:rsidP="00937732">
            <w:pPr>
              <w:spacing w:after="0" w:line="240" w:lineRule="auto"/>
              <w:jc w:val="center"/>
              <w:rPr>
                <w:rFonts w:cs="Times New Roman"/>
                <w:b/>
                <w:bCs/>
              </w:rPr>
            </w:pPr>
            <w:r w:rsidRPr="00C26B99">
              <w:rPr>
                <w:rFonts w:cs="Times New Roman"/>
                <w:b/>
                <w:bCs/>
              </w:rPr>
              <w:t>Rural (%)</w:t>
            </w:r>
          </w:p>
        </w:tc>
        <w:tc>
          <w:tcPr>
            <w:tcW w:w="1167" w:type="pct"/>
            <w:noWrap/>
            <w:hideMark/>
          </w:tcPr>
          <w:p w:rsidR="00937732" w:rsidRPr="00C26B99" w:rsidRDefault="00937732" w:rsidP="00937732">
            <w:pPr>
              <w:spacing w:after="0" w:line="240" w:lineRule="auto"/>
              <w:jc w:val="center"/>
              <w:rPr>
                <w:rFonts w:cs="Times New Roman"/>
                <w:b/>
                <w:bCs/>
              </w:rPr>
            </w:pPr>
            <w:r w:rsidRPr="00C26B99">
              <w:rPr>
                <w:rFonts w:cs="Times New Roman"/>
                <w:b/>
                <w:bCs/>
              </w:rPr>
              <w:t>Total (%)</w:t>
            </w:r>
          </w:p>
        </w:tc>
      </w:tr>
      <w:tr w:rsidR="00937732" w:rsidRPr="004452AB" w:rsidTr="00937732">
        <w:trPr>
          <w:trHeight w:val="300"/>
          <w:jc w:val="center"/>
        </w:trPr>
        <w:tc>
          <w:tcPr>
            <w:tcW w:w="1369" w:type="pct"/>
            <w:noWrap/>
            <w:hideMark/>
          </w:tcPr>
          <w:p w:rsidR="00937732" w:rsidRPr="00C26B99" w:rsidRDefault="00937732" w:rsidP="00937732">
            <w:pPr>
              <w:spacing w:after="0" w:line="240" w:lineRule="auto"/>
              <w:rPr>
                <w:rFonts w:cs="Times New Roman"/>
              </w:rPr>
            </w:pPr>
            <w:r w:rsidRPr="00C26B99">
              <w:rPr>
                <w:rFonts w:cs="Times New Roman"/>
              </w:rPr>
              <w:t>Never</w:t>
            </w:r>
          </w:p>
        </w:tc>
        <w:tc>
          <w:tcPr>
            <w:tcW w:w="1278" w:type="pct"/>
            <w:noWrap/>
            <w:hideMark/>
          </w:tcPr>
          <w:p w:rsidR="00937732" w:rsidRPr="00C26B99" w:rsidRDefault="00937732" w:rsidP="00937732">
            <w:pPr>
              <w:spacing w:after="0" w:line="240" w:lineRule="auto"/>
              <w:jc w:val="center"/>
              <w:rPr>
                <w:rFonts w:cs="Times New Roman"/>
              </w:rPr>
            </w:pPr>
            <w:r w:rsidRPr="00C26B99">
              <w:rPr>
                <w:rFonts w:cs="Times New Roman"/>
              </w:rPr>
              <w:t>77.90</w:t>
            </w:r>
          </w:p>
        </w:tc>
        <w:tc>
          <w:tcPr>
            <w:tcW w:w="1185" w:type="pct"/>
            <w:noWrap/>
            <w:hideMark/>
          </w:tcPr>
          <w:p w:rsidR="00937732" w:rsidRPr="00C26B99" w:rsidRDefault="00937732" w:rsidP="00937732">
            <w:pPr>
              <w:spacing w:after="0" w:line="240" w:lineRule="auto"/>
              <w:jc w:val="center"/>
              <w:rPr>
                <w:rFonts w:cs="Times New Roman"/>
              </w:rPr>
            </w:pPr>
            <w:r w:rsidRPr="00C26B99">
              <w:rPr>
                <w:rFonts w:cs="Times New Roman"/>
              </w:rPr>
              <w:t>72.90</w:t>
            </w:r>
          </w:p>
        </w:tc>
        <w:tc>
          <w:tcPr>
            <w:tcW w:w="1167" w:type="pct"/>
            <w:noWrap/>
            <w:hideMark/>
          </w:tcPr>
          <w:p w:rsidR="00937732" w:rsidRPr="00C26B99" w:rsidRDefault="00937732" w:rsidP="00937732">
            <w:pPr>
              <w:spacing w:after="0" w:line="240" w:lineRule="auto"/>
              <w:jc w:val="center"/>
              <w:rPr>
                <w:rFonts w:cs="Times New Roman"/>
              </w:rPr>
            </w:pPr>
            <w:r w:rsidRPr="00C26B99">
              <w:rPr>
                <w:rFonts w:cs="Times New Roman"/>
              </w:rPr>
              <w:t>74.40</w:t>
            </w:r>
          </w:p>
        </w:tc>
      </w:tr>
      <w:tr w:rsidR="00937732" w:rsidRPr="004452AB" w:rsidTr="00937732">
        <w:trPr>
          <w:trHeight w:val="300"/>
          <w:jc w:val="center"/>
        </w:trPr>
        <w:tc>
          <w:tcPr>
            <w:tcW w:w="1369" w:type="pct"/>
            <w:noWrap/>
            <w:hideMark/>
          </w:tcPr>
          <w:p w:rsidR="00937732" w:rsidRPr="00C26B99" w:rsidRDefault="00937732" w:rsidP="00937732">
            <w:pPr>
              <w:spacing w:after="0" w:line="240" w:lineRule="auto"/>
              <w:rPr>
                <w:rFonts w:cs="Times New Roman"/>
              </w:rPr>
            </w:pPr>
            <w:r w:rsidRPr="00C26B99">
              <w:rPr>
                <w:rFonts w:cs="Times New Roman"/>
              </w:rPr>
              <w:t>Sometimes</w:t>
            </w:r>
          </w:p>
        </w:tc>
        <w:tc>
          <w:tcPr>
            <w:tcW w:w="1278" w:type="pct"/>
            <w:noWrap/>
            <w:hideMark/>
          </w:tcPr>
          <w:p w:rsidR="00937732" w:rsidRPr="00C26B99" w:rsidRDefault="00937732" w:rsidP="00937732">
            <w:pPr>
              <w:spacing w:after="0" w:line="240" w:lineRule="auto"/>
              <w:jc w:val="center"/>
              <w:rPr>
                <w:rFonts w:cs="Times New Roman"/>
              </w:rPr>
            </w:pPr>
            <w:r w:rsidRPr="00C26B99">
              <w:rPr>
                <w:rFonts w:cs="Times New Roman"/>
              </w:rPr>
              <w:t>11.90</w:t>
            </w:r>
          </w:p>
        </w:tc>
        <w:tc>
          <w:tcPr>
            <w:tcW w:w="1185" w:type="pct"/>
            <w:noWrap/>
            <w:hideMark/>
          </w:tcPr>
          <w:p w:rsidR="00937732" w:rsidRPr="00C26B99" w:rsidRDefault="00937732" w:rsidP="00937732">
            <w:pPr>
              <w:spacing w:after="0" w:line="240" w:lineRule="auto"/>
              <w:jc w:val="center"/>
              <w:rPr>
                <w:rFonts w:cs="Times New Roman"/>
              </w:rPr>
            </w:pPr>
            <w:r w:rsidRPr="00C26B99">
              <w:rPr>
                <w:rFonts w:cs="Times New Roman"/>
              </w:rPr>
              <w:t>15.40</w:t>
            </w:r>
          </w:p>
        </w:tc>
        <w:tc>
          <w:tcPr>
            <w:tcW w:w="1167" w:type="pct"/>
            <w:noWrap/>
            <w:hideMark/>
          </w:tcPr>
          <w:p w:rsidR="00937732" w:rsidRPr="00C26B99" w:rsidRDefault="00937732" w:rsidP="00937732">
            <w:pPr>
              <w:spacing w:after="0" w:line="240" w:lineRule="auto"/>
              <w:jc w:val="center"/>
              <w:rPr>
                <w:rFonts w:cs="Times New Roman"/>
              </w:rPr>
            </w:pPr>
            <w:r w:rsidRPr="00C26B99">
              <w:rPr>
                <w:rFonts w:cs="Times New Roman"/>
              </w:rPr>
              <w:t>14.40</w:t>
            </w:r>
          </w:p>
        </w:tc>
      </w:tr>
      <w:tr w:rsidR="00937732" w:rsidRPr="004452AB" w:rsidTr="00937732">
        <w:trPr>
          <w:trHeight w:val="300"/>
          <w:jc w:val="center"/>
        </w:trPr>
        <w:tc>
          <w:tcPr>
            <w:tcW w:w="1369" w:type="pct"/>
            <w:noWrap/>
            <w:hideMark/>
          </w:tcPr>
          <w:p w:rsidR="00937732" w:rsidRPr="00C26B99" w:rsidRDefault="00937732" w:rsidP="00937732">
            <w:pPr>
              <w:spacing w:after="0" w:line="240" w:lineRule="auto"/>
              <w:rPr>
                <w:rFonts w:cs="Times New Roman"/>
              </w:rPr>
            </w:pPr>
            <w:r w:rsidRPr="00C26B99">
              <w:rPr>
                <w:rFonts w:cs="Times New Roman"/>
              </w:rPr>
              <w:t>Often</w:t>
            </w:r>
          </w:p>
        </w:tc>
        <w:tc>
          <w:tcPr>
            <w:tcW w:w="1278" w:type="pct"/>
            <w:noWrap/>
            <w:hideMark/>
          </w:tcPr>
          <w:p w:rsidR="00937732" w:rsidRPr="00C26B99" w:rsidRDefault="00937732" w:rsidP="00937732">
            <w:pPr>
              <w:spacing w:after="0" w:line="240" w:lineRule="auto"/>
              <w:jc w:val="center"/>
              <w:rPr>
                <w:rFonts w:cs="Times New Roman"/>
              </w:rPr>
            </w:pPr>
            <w:r w:rsidRPr="00C26B99">
              <w:rPr>
                <w:rFonts w:cs="Times New Roman"/>
              </w:rPr>
              <w:t>10.20</w:t>
            </w:r>
          </w:p>
        </w:tc>
        <w:tc>
          <w:tcPr>
            <w:tcW w:w="1185" w:type="pct"/>
            <w:noWrap/>
            <w:hideMark/>
          </w:tcPr>
          <w:p w:rsidR="00937732" w:rsidRPr="00C26B99" w:rsidRDefault="00937732" w:rsidP="00937732">
            <w:pPr>
              <w:spacing w:after="0" w:line="240" w:lineRule="auto"/>
              <w:jc w:val="center"/>
              <w:rPr>
                <w:rFonts w:cs="Times New Roman"/>
              </w:rPr>
            </w:pPr>
            <w:r w:rsidRPr="00C26B99">
              <w:rPr>
                <w:rFonts w:cs="Times New Roman"/>
              </w:rPr>
              <w:t>11.70</w:t>
            </w:r>
          </w:p>
        </w:tc>
        <w:tc>
          <w:tcPr>
            <w:tcW w:w="1167" w:type="pct"/>
            <w:noWrap/>
            <w:hideMark/>
          </w:tcPr>
          <w:p w:rsidR="00937732" w:rsidRPr="00C26B99" w:rsidRDefault="00937732" w:rsidP="00937732">
            <w:pPr>
              <w:spacing w:after="0" w:line="240" w:lineRule="auto"/>
              <w:jc w:val="center"/>
              <w:rPr>
                <w:rFonts w:cs="Times New Roman"/>
              </w:rPr>
            </w:pPr>
            <w:r w:rsidRPr="00C26B99">
              <w:rPr>
                <w:rFonts w:cs="Times New Roman"/>
              </w:rPr>
              <w:t>11.20</w:t>
            </w:r>
          </w:p>
        </w:tc>
      </w:tr>
      <w:tr w:rsidR="00937732" w:rsidRPr="004452AB" w:rsidTr="00937732">
        <w:trPr>
          <w:trHeight w:val="300"/>
          <w:jc w:val="center"/>
        </w:trPr>
        <w:tc>
          <w:tcPr>
            <w:tcW w:w="1369" w:type="pct"/>
            <w:noWrap/>
            <w:hideMark/>
          </w:tcPr>
          <w:p w:rsidR="00937732" w:rsidRPr="00C26B99" w:rsidRDefault="00937732" w:rsidP="00937732">
            <w:pPr>
              <w:spacing w:after="0" w:line="240" w:lineRule="auto"/>
              <w:rPr>
                <w:rFonts w:cs="Times New Roman"/>
                <w:b/>
                <w:bCs/>
              </w:rPr>
            </w:pPr>
            <w:r w:rsidRPr="00C26B99">
              <w:rPr>
                <w:rFonts w:cs="Times New Roman"/>
                <w:b/>
                <w:bCs/>
              </w:rPr>
              <w:t>Total</w:t>
            </w:r>
          </w:p>
        </w:tc>
        <w:tc>
          <w:tcPr>
            <w:tcW w:w="1278" w:type="pct"/>
            <w:noWrap/>
            <w:hideMark/>
          </w:tcPr>
          <w:p w:rsidR="00937732" w:rsidRPr="00C26B99" w:rsidRDefault="00937732" w:rsidP="00937732">
            <w:pPr>
              <w:spacing w:after="0" w:line="240" w:lineRule="auto"/>
              <w:jc w:val="center"/>
              <w:rPr>
                <w:rFonts w:cs="Times New Roman"/>
                <w:b/>
                <w:bCs/>
              </w:rPr>
            </w:pPr>
            <w:r w:rsidRPr="00C26B99">
              <w:rPr>
                <w:rFonts w:cs="Times New Roman"/>
                <w:b/>
                <w:bCs/>
              </w:rPr>
              <w:t>100.00</w:t>
            </w:r>
          </w:p>
        </w:tc>
        <w:tc>
          <w:tcPr>
            <w:tcW w:w="1185" w:type="pct"/>
            <w:noWrap/>
            <w:hideMark/>
          </w:tcPr>
          <w:p w:rsidR="00937732" w:rsidRPr="00C26B99" w:rsidRDefault="00937732" w:rsidP="00937732">
            <w:pPr>
              <w:spacing w:after="0" w:line="240" w:lineRule="auto"/>
              <w:jc w:val="center"/>
              <w:rPr>
                <w:rFonts w:cs="Times New Roman"/>
                <w:b/>
                <w:bCs/>
              </w:rPr>
            </w:pPr>
            <w:r w:rsidRPr="00C26B99">
              <w:rPr>
                <w:rFonts w:cs="Times New Roman"/>
                <w:b/>
                <w:bCs/>
              </w:rPr>
              <w:t>100.00</w:t>
            </w:r>
          </w:p>
        </w:tc>
        <w:tc>
          <w:tcPr>
            <w:tcW w:w="1167" w:type="pct"/>
            <w:noWrap/>
            <w:hideMark/>
          </w:tcPr>
          <w:p w:rsidR="00937732" w:rsidRPr="00C26B99" w:rsidRDefault="00937732" w:rsidP="00937732">
            <w:pPr>
              <w:spacing w:after="0" w:line="240" w:lineRule="auto"/>
              <w:jc w:val="center"/>
              <w:rPr>
                <w:rFonts w:cs="Times New Roman"/>
                <w:b/>
                <w:bCs/>
              </w:rPr>
            </w:pPr>
            <w:r w:rsidRPr="00C26B99">
              <w:rPr>
                <w:rFonts w:cs="Times New Roman"/>
                <w:b/>
                <w:bCs/>
              </w:rPr>
              <w:t>100.00</w:t>
            </w:r>
          </w:p>
        </w:tc>
      </w:tr>
    </w:tbl>
    <w:p w:rsidR="00937732" w:rsidRPr="00E52937" w:rsidRDefault="00937732" w:rsidP="00937732">
      <w:pPr>
        <w:pStyle w:val="Source"/>
        <w:rPr>
          <w:rFonts w:ascii="Times New Roman" w:hAnsi="Times New Roman"/>
          <w:b/>
        </w:rPr>
      </w:pPr>
      <w:r w:rsidRPr="00E52937">
        <w:rPr>
          <w:rFonts w:ascii="Times New Roman" w:hAnsi="Times New Roman"/>
          <w:b/>
        </w:rPr>
        <w:t>Source: NIPORT et.al 2011</w:t>
      </w:r>
    </w:p>
    <w:p w:rsidR="00937732" w:rsidRPr="00C26B99" w:rsidRDefault="00937732" w:rsidP="00974AEB">
      <w:pPr>
        <w:spacing w:line="276" w:lineRule="auto"/>
        <w:jc w:val="both"/>
        <w:rPr>
          <w:rFonts w:cs="Times New Roman"/>
        </w:rPr>
      </w:pPr>
      <w:r w:rsidRPr="00C26B99">
        <w:rPr>
          <w:rFonts w:cs="Times New Roman"/>
        </w:rPr>
        <w:t xml:space="preserve">The government has given high priority to the safety nets for ensuring food security. Currently nearly 2.2 percent of the GDP are allocated for safety nets and social protection. </w:t>
      </w:r>
    </w:p>
    <w:p w:rsidR="00937732" w:rsidRPr="00C26B99" w:rsidRDefault="00937732" w:rsidP="00974AEB">
      <w:pPr>
        <w:spacing w:line="276" w:lineRule="auto"/>
        <w:jc w:val="both"/>
        <w:rPr>
          <w:rFonts w:cs="Times New Roman"/>
        </w:rPr>
      </w:pPr>
      <w:r w:rsidRPr="00C26B99">
        <w:rPr>
          <w:rFonts w:cs="Times New Roman"/>
        </w:rPr>
        <w:t xml:space="preserve">Safety net programmes: A safety net programme is essential to insulate the poverty stricken population from chronic as well as temporary food insecurity that results from external shocks. A number of food safety net programmes are in operation in Bangladesh, each with its own specific objectives and target population. These include test relief, Vulnerable Group Feeding, Vulnerable Group Development, Food for Work, Employment Guarantee Scheme, etc. A number of social protection programmes such as vulnerable group feeding, allowance for destitute women, and old age pensions have also been introduced to support food security of the extremely needy people. </w:t>
      </w:r>
    </w:p>
    <w:p w:rsidR="00937732" w:rsidRPr="00C26B99" w:rsidRDefault="00937732" w:rsidP="00974AEB">
      <w:pPr>
        <w:spacing w:line="276" w:lineRule="auto"/>
        <w:rPr>
          <w:rFonts w:cs="Times New Roman"/>
          <w:b/>
          <w:i/>
        </w:rPr>
      </w:pPr>
      <w:r w:rsidRPr="00C26B99">
        <w:rPr>
          <w:rFonts w:cs="Times New Roman"/>
          <w:b/>
          <w:i/>
        </w:rPr>
        <w:t>Pillar 3 of Food Security: Utilization of Food and Nutritional Security</w:t>
      </w:r>
    </w:p>
    <w:p w:rsidR="00937732" w:rsidRPr="00C26B99" w:rsidRDefault="00937732" w:rsidP="00974AEB">
      <w:pPr>
        <w:spacing w:after="160" w:line="276" w:lineRule="auto"/>
        <w:jc w:val="both"/>
        <w:rPr>
          <w:rFonts w:cs="Times New Roman"/>
        </w:rPr>
      </w:pPr>
      <w:r w:rsidRPr="00C26B99">
        <w:rPr>
          <w:rFonts w:cs="Times New Roman"/>
        </w:rPr>
        <w:t xml:space="preserve">The acceleration in economic and agricultural growth has made a positive impact on the diversity of food intake away from the rice and vegetable based diet in favour of quality food. The change </w:t>
      </w:r>
      <w:r w:rsidRPr="00C26B99">
        <w:rPr>
          <w:rFonts w:cs="Times New Roman"/>
        </w:rPr>
        <w:lastRenderedPageBreak/>
        <w:t xml:space="preserve">in per capita consumption of different items in the food basket for the rural and urban people, as estimated by the Household Income and expenditure surveys (HIES) of the BBS, as reported in </w:t>
      </w:r>
      <w:r w:rsidRPr="004B0A08">
        <w:rPr>
          <w:rFonts w:cs="Times New Roman"/>
        </w:rPr>
        <w:t>Table 8.9</w:t>
      </w:r>
      <w:r w:rsidRPr="00937732">
        <w:rPr>
          <w:rFonts w:cs="Times New Roman"/>
        </w:rPr>
        <w:t>.</w:t>
      </w:r>
      <w:r w:rsidRPr="00C26B99">
        <w:rPr>
          <w:rFonts w:cs="Times New Roman"/>
        </w:rPr>
        <w:t xml:space="preserve"> It may be noted that the per capita consumption of rice and wheat has been declining, while the consumption of vegetables, fruits and fish and meat has been growing. For rural areas the consumption of rice has declined from 175 kg per person per year in 2000 to 161 kg in 2010, a decline of about 1.4 kg per year. For urban areas, the consumption of rice and wheat together has declined from 155 kg per person per year in 2000 to 140 kg in 2010, a decline 1.5 kg per year. During 2000 to 2010, the consumption of meat has increased by one-third for rural areas and by 40% in urban areas. </w:t>
      </w:r>
    </w:p>
    <w:p w:rsidR="00937732" w:rsidRPr="00E52937" w:rsidRDefault="00937732" w:rsidP="00E52937">
      <w:pPr>
        <w:pStyle w:val="Heading4"/>
      </w:pPr>
      <w:bookmarkStart w:id="588" w:name="_Ref460931229"/>
      <w:bookmarkStart w:id="589" w:name="_Toc461018793"/>
      <w:bookmarkStart w:id="590" w:name="_Toc474639053"/>
      <w:r w:rsidRPr="00E52937">
        <w:t>Table 8.</w:t>
      </w:r>
      <w:bookmarkEnd w:id="588"/>
      <w:r w:rsidRPr="00E52937">
        <w:t>9</w:t>
      </w:r>
      <w:r w:rsidR="00E52937">
        <w:t>:</w:t>
      </w:r>
      <w:r w:rsidRPr="00E52937">
        <w:t xml:space="preserve"> Consumption of different food items (gm/person/day)</w:t>
      </w:r>
      <w:bookmarkEnd w:id="589"/>
      <w:bookmarkEnd w:id="590"/>
    </w:p>
    <w:tbl>
      <w:tblPr>
        <w:tblStyle w:val="TableGrid"/>
        <w:tblW w:w="0" w:type="auto"/>
        <w:tblLook w:val="04A0"/>
      </w:tblPr>
      <w:tblGrid>
        <w:gridCol w:w="1283"/>
        <w:gridCol w:w="1069"/>
        <w:gridCol w:w="865"/>
        <w:gridCol w:w="864"/>
        <w:gridCol w:w="864"/>
        <w:gridCol w:w="864"/>
        <w:gridCol w:w="865"/>
        <w:gridCol w:w="865"/>
        <w:gridCol w:w="865"/>
        <w:gridCol w:w="729"/>
      </w:tblGrid>
      <w:tr w:rsidR="00937732" w:rsidRPr="004452AB" w:rsidTr="00937732">
        <w:tc>
          <w:tcPr>
            <w:tcW w:w="1145" w:type="dxa"/>
            <w:vMerge w:val="restart"/>
          </w:tcPr>
          <w:p w:rsidR="00937732" w:rsidRPr="00C26B99" w:rsidRDefault="00937732" w:rsidP="00937732">
            <w:pPr>
              <w:spacing w:after="0" w:line="240" w:lineRule="auto"/>
              <w:jc w:val="center"/>
              <w:outlineLvl w:val="0"/>
              <w:rPr>
                <w:rFonts w:cs="Times New Roman"/>
              </w:rPr>
            </w:pPr>
            <w:r w:rsidRPr="00C26B99">
              <w:rPr>
                <w:rFonts w:cs="Times New Roman"/>
              </w:rPr>
              <w:t>Food Item</w:t>
            </w:r>
          </w:p>
        </w:tc>
        <w:tc>
          <w:tcPr>
            <w:tcW w:w="1012" w:type="dxa"/>
            <w:vMerge w:val="restart"/>
          </w:tcPr>
          <w:p w:rsidR="00937732" w:rsidRPr="00C26B99" w:rsidRDefault="00937732" w:rsidP="00937732">
            <w:pPr>
              <w:spacing w:after="0" w:line="240" w:lineRule="auto"/>
              <w:jc w:val="center"/>
              <w:outlineLvl w:val="0"/>
              <w:rPr>
                <w:rFonts w:cs="Times New Roman"/>
              </w:rPr>
            </w:pPr>
            <w:r w:rsidRPr="00C26B99">
              <w:rPr>
                <w:rFonts w:cs="Times New Roman"/>
              </w:rPr>
              <w:t>Normal for balanced nutrition</w:t>
            </w:r>
          </w:p>
        </w:tc>
        <w:tc>
          <w:tcPr>
            <w:tcW w:w="3457" w:type="dxa"/>
            <w:gridSpan w:val="4"/>
          </w:tcPr>
          <w:p w:rsidR="00937732" w:rsidRPr="00C26B99" w:rsidRDefault="00937732" w:rsidP="00937732">
            <w:pPr>
              <w:spacing w:after="0" w:line="240" w:lineRule="auto"/>
              <w:jc w:val="center"/>
              <w:outlineLvl w:val="0"/>
              <w:rPr>
                <w:rFonts w:cs="Times New Roman"/>
              </w:rPr>
            </w:pPr>
            <w:r w:rsidRPr="00C26B99">
              <w:rPr>
                <w:rFonts w:cs="Times New Roman"/>
              </w:rPr>
              <w:t>Rural Area</w:t>
            </w:r>
          </w:p>
        </w:tc>
        <w:tc>
          <w:tcPr>
            <w:tcW w:w="3324" w:type="dxa"/>
            <w:gridSpan w:val="4"/>
          </w:tcPr>
          <w:p w:rsidR="00937732" w:rsidRPr="00C26B99" w:rsidRDefault="00937732" w:rsidP="00937732">
            <w:pPr>
              <w:spacing w:after="0" w:line="240" w:lineRule="auto"/>
              <w:jc w:val="center"/>
              <w:outlineLvl w:val="0"/>
              <w:rPr>
                <w:rFonts w:cs="Times New Roman"/>
              </w:rPr>
            </w:pPr>
            <w:r w:rsidRPr="00C26B99">
              <w:rPr>
                <w:rFonts w:cs="Times New Roman"/>
              </w:rPr>
              <w:t>Urban Area</w:t>
            </w:r>
          </w:p>
        </w:tc>
      </w:tr>
      <w:tr w:rsidR="00937732" w:rsidRPr="004452AB" w:rsidTr="00937732">
        <w:tc>
          <w:tcPr>
            <w:tcW w:w="1145" w:type="dxa"/>
            <w:vMerge/>
          </w:tcPr>
          <w:p w:rsidR="00937732" w:rsidRPr="00C26B99" w:rsidRDefault="00937732" w:rsidP="00937732">
            <w:pPr>
              <w:spacing w:after="0" w:line="240" w:lineRule="auto"/>
              <w:rPr>
                <w:rFonts w:cs="Times New Roman"/>
              </w:rPr>
            </w:pPr>
          </w:p>
        </w:tc>
        <w:tc>
          <w:tcPr>
            <w:tcW w:w="1012" w:type="dxa"/>
            <w:vMerge/>
          </w:tcPr>
          <w:p w:rsidR="00937732" w:rsidRPr="00C26B99" w:rsidRDefault="00937732" w:rsidP="00937732">
            <w:pPr>
              <w:spacing w:after="0" w:line="240" w:lineRule="auto"/>
              <w:rPr>
                <w:rFonts w:cs="Times New Roman"/>
              </w:rPr>
            </w:pPr>
          </w:p>
        </w:tc>
        <w:tc>
          <w:tcPr>
            <w:tcW w:w="865" w:type="dxa"/>
          </w:tcPr>
          <w:p w:rsidR="00937732" w:rsidRPr="00C26B99" w:rsidRDefault="00937732" w:rsidP="00937732">
            <w:pPr>
              <w:spacing w:after="0" w:line="240" w:lineRule="auto"/>
              <w:jc w:val="center"/>
              <w:rPr>
                <w:rFonts w:cs="Times New Roman"/>
              </w:rPr>
            </w:pPr>
            <w:r w:rsidRPr="00C26B99">
              <w:rPr>
                <w:rFonts w:cs="Times New Roman"/>
              </w:rPr>
              <w:t>1984</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2000</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2005</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2010</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1984</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2000</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2005</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2010</w:t>
            </w:r>
          </w:p>
        </w:tc>
      </w:tr>
      <w:tr w:rsidR="00937732" w:rsidRPr="004452AB" w:rsidTr="00937732">
        <w:tc>
          <w:tcPr>
            <w:tcW w:w="1145" w:type="dxa"/>
          </w:tcPr>
          <w:p w:rsidR="00937732" w:rsidRPr="00C26B99" w:rsidRDefault="00937732" w:rsidP="00937732">
            <w:pPr>
              <w:spacing w:after="0" w:line="240" w:lineRule="auto"/>
              <w:rPr>
                <w:rFonts w:cs="Times New Roman"/>
              </w:rPr>
            </w:pPr>
            <w:r w:rsidRPr="00C26B99">
              <w:rPr>
                <w:rFonts w:cs="Times New Roman"/>
              </w:rPr>
              <w:t>Rice</w:t>
            </w:r>
          </w:p>
        </w:tc>
        <w:tc>
          <w:tcPr>
            <w:tcW w:w="1012" w:type="dxa"/>
          </w:tcPr>
          <w:p w:rsidR="00937732" w:rsidRPr="00C26B99" w:rsidRDefault="00937732" w:rsidP="00937732">
            <w:pPr>
              <w:spacing w:after="0" w:line="240" w:lineRule="auto"/>
              <w:jc w:val="center"/>
              <w:rPr>
                <w:rFonts w:cs="Times New Roman"/>
              </w:rPr>
            </w:pPr>
            <w:r w:rsidRPr="00C26B99">
              <w:rPr>
                <w:rFonts w:cs="Times New Roman"/>
              </w:rPr>
              <w:t>500</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421</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479</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477</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442</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351</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377</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389</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143</w:t>
            </w:r>
          </w:p>
        </w:tc>
      </w:tr>
      <w:tr w:rsidR="00937732" w:rsidRPr="004452AB" w:rsidTr="00937732">
        <w:tc>
          <w:tcPr>
            <w:tcW w:w="1145" w:type="dxa"/>
          </w:tcPr>
          <w:p w:rsidR="00937732" w:rsidRPr="00C26B99" w:rsidRDefault="00937732" w:rsidP="00937732">
            <w:pPr>
              <w:spacing w:after="0" w:line="240" w:lineRule="auto"/>
              <w:rPr>
                <w:rFonts w:cs="Times New Roman"/>
              </w:rPr>
            </w:pPr>
            <w:r w:rsidRPr="00C26B99">
              <w:rPr>
                <w:rFonts w:cs="Times New Roman"/>
              </w:rPr>
              <w:t>wheat</w:t>
            </w:r>
          </w:p>
        </w:tc>
        <w:tc>
          <w:tcPr>
            <w:tcW w:w="1012" w:type="dxa"/>
          </w:tcPr>
          <w:p w:rsidR="00937732" w:rsidRPr="00C26B99" w:rsidRDefault="00937732" w:rsidP="00937732">
            <w:pPr>
              <w:spacing w:after="0" w:line="240" w:lineRule="auto"/>
              <w:jc w:val="center"/>
              <w:rPr>
                <w:rFonts w:cs="Times New Roman"/>
              </w:rPr>
            </w:pPr>
            <w:r w:rsidRPr="00C26B99">
              <w:rPr>
                <w:rFonts w:cs="Times New Roman"/>
              </w:rPr>
              <w:t>100</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65</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24</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12</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38</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79</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17</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28</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51</w:t>
            </w:r>
          </w:p>
        </w:tc>
      </w:tr>
      <w:tr w:rsidR="00937732" w:rsidRPr="004452AB" w:rsidTr="00937732">
        <w:tc>
          <w:tcPr>
            <w:tcW w:w="1145" w:type="dxa"/>
          </w:tcPr>
          <w:p w:rsidR="00937732" w:rsidRPr="00C26B99" w:rsidRDefault="00937732" w:rsidP="00937732">
            <w:pPr>
              <w:spacing w:after="0" w:line="240" w:lineRule="auto"/>
              <w:rPr>
                <w:rFonts w:cs="Times New Roman"/>
              </w:rPr>
            </w:pPr>
            <w:r w:rsidRPr="00C26B99">
              <w:rPr>
                <w:rFonts w:cs="Times New Roman"/>
              </w:rPr>
              <w:t>Vegetables</w:t>
            </w:r>
          </w:p>
        </w:tc>
        <w:tc>
          <w:tcPr>
            <w:tcW w:w="1012" w:type="dxa"/>
          </w:tcPr>
          <w:p w:rsidR="00937732" w:rsidRPr="00C26B99" w:rsidRDefault="00937732" w:rsidP="00937732">
            <w:pPr>
              <w:spacing w:after="0" w:line="240" w:lineRule="auto"/>
              <w:jc w:val="center"/>
              <w:rPr>
                <w:rFonts w:cs="Times New Roman"/>
              </w:rPr>
            </w:pPr>
            <w:r w:rsidRPr="00C26B99">
              <w:rPr>
                <w:rFonts w:cs="Times New Roman"/>
              </w:rPr>
              <w:t>225</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140</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196</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218</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221</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179</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196</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228</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241</w:t>
            </w:r>
          </w:p>
        </w:tc>
      </w:tr>
      <w:tr w:rsidR="00937732" w:rsidRPr="004452AB" w:rsidTr="00937732">
        <w:tc>
          <w:tcPr>
            <w:tcW w:w="1145" w:type="dxa"/>
          </w:tcPr>
          <w:p w:rsidR="00937732" w:rsidRPr="00C26B99" w:rsidRDefault="00937732" w:rsidP="00937732">
            <w:pPr>
              <w:spacing w:after="0" w:line="240" w:lineRule="auto"/>
              <w:rPr>
                <w:rFonts w:cs="Times New Roman"/>
              </w:rPr>
            </w:pPr>
            <w:r w:rsidRPr="00C26B99">
              <w:rPr>
                <w:rFonts w:cs="Times New Roman"/>
              </w:rPr>
              <w:t>Pulses</w:t>
            </w:r>
          </w:p>
        </w:tc>
        <w:tc>
          <w:tcPr>
            <w:tcW w:w="1012" w:type="dxa"/>
          </w:tcPr>
          <w:p w:rsidR="00937732" w:rsidRPr="00C26B99" w:rsidRDefault="00937732" w:rsidP="00937732">
            <w:pPr>
              <w:spacing w:after="0" w:line="240" w:lineRule="auto"/>
              <w:jc w:val="center"/>
              <w:rPr>
                <w:rFonts w:cs="Times New Roman"/>
              </w:rPr>
            </w:pPr>
            <w:r w:rsidRPr="00C26B99">
              <w:rPr>
                <w:rFonts w:cs="Times New Roman"/>
              </w:rPr>
              <w:t>30</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26</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15</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13</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13</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22</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19</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19</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17</w:t>
            </w:r>
          </w:p>
        </w:tc>
      </w:tr>
      <w:tr w:rsidR="00937732" w:rsidRPr="004452AB" w:rsidTr="00937732">
        <w:tc>
          <w:tcPr>
            <w:tcW w:w="1145" w:type="dxa"/>
          </w:tcPr>
          <w:p w:rsidR="00937732" w:rsidRPr="00C26B99" w:rsidRDefault="00937732" w:rsidP="00937732">
            <w:pPr>
              <w:spacing w:after="0" w:line="240" w:lineRule="auto"/>
              <w:rPr>
                <w:rFonts w:cs="Times New Roman"/>
              </w:rPr>
            </w:pPr>
            <w:r w:rsidRPr="00C26B99">
              <w:rPr>
                <w:rFonts w:cs="Times New Roman"/>
              </w:rPr>
              <w:t>Fruits</w:t>
            </w:r>
          </w:p>
        </w:tc>
        <w:tc>
          <w:tcPr>
            <w:tcW w:w="1012" w:type="dxa"/>
          </w:tcPr>
          <w:p w:rsidR="00937732" w:rsidRPr="00C26B99" w:rsidRDefault="00937732" w:rsidP="00937732">
            <w:pPr>
              <w:spacing w:after="0" w:line="240" w:lineRule="auto"/>
              <w:jc w:val="center"/>
              <w:rPr>
                <w:rFonts w:cs="Times New Roman"/>
              </w:rPr>
            </w:pPr>
            <w:r w:rsidRPr="00C26B99">
              <w:rPr>
                <w:rFonts w:cs="Times New Roman"/>
              </w:rPr>
              <w:t>50</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17</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26</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33</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43</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21</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27</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33</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50</w:t>
            </w:r>
          </w:p>
        </w:tc>
      </w:tr>
      <w:tr w:rsidR="00937732" w:rsidRPr="004452AB" w:rsidTr="00937732">
        <w:tc>
          <w:tcPr>
            <w:tcW w:w="1145" w:type="dxa"/>
          </w:tcPr>
          <w:p w:rsidR="00937732" w:rsidRPr="00C26B99" w:rsidRDefault="00937732" w:rsidP="00937732">
            <w:pPr>
              <w:spacing w:after="0" w:line="240" w:lineRule="auto"/>
              <w:rPr>
                <w:rFonts w:cs="Times New Roman"/>
              </w:rPr>
            </w:pPr>
            <w:r w:rsidRPr="00C26B99">
              <w:rPr>
                <w:rFonts w:cs="Times New Roman"/>
              </w:rPr>
              <w:t>Fish</w:t>
            </w:r>
          </w:p>
        </w:tc>
        <w:tc>
          <w:tcPr>
            <w:tcW w:w="1012" w:type="dxa"/>
          </w:tcPr>
          <w:p w:rsidR="00937732" w:rsidRPr="00C26B99" w:rsidRDefault="00937732" w:rsidP="00937732">
            <w:pPr>
              <w:spacing w:after="0" w:line="240" w:lineRule="auto"/>
              <w:jc w:val="center"/>
              <w:rPr>
                <w:rFonts w:cs="Times New Roman"/>
              </w:rPr>
            </w:pPr>
            <w:r w:rsidRPr="00C26B99">
              <w:rPr>
                <w:rFonts w:cs="Times New Roman"/>
              </w:rPr>
              <w:t>45</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29</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38</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40</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46</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39</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41</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50</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60</w:t>
            </w:r>
          </w:p>
        </w:tc>
      </w:tr>
      <w:tr w:rsidR="00937732" w:rsidRPr="004452AB" w:rsidTr="00937732">
        <w:tc>
          <w:tcPr>
            <w:tcW w:w="1145" w:type="dxa"/>
          </w:tcPr>
          <w:p w:rsidR="00937732" w:rsidRPr="00C26B99" w:rsidRDefault="00937732" w:rsidP="00937732">
            <w:pPr>
              <w:spacing w:after="0" w:line="240" w:lineRule="auto"/>
              <w:rPr>
                <w:rFonts w:cs="Times New Roman"/>
              </w:rPr>
            </w:pPr>
            <w:r w:rsidRPr="00C26B99">
              <w:rPr>
                <w:rFonts w:cs="Times New Roman"/>
              </w:rPr>
              <w:t>Meat &amp; Egg</w:t>
            </w:r>
          </w:p>
        </w:tc>
        <w:tc>
          <w:tcPr>
            <w:tcW w:w="1012" w:type="dxa"/>
          </w:tcPr>
          <w:p w:rsidR="00937732" w:rsidRPr="00C26B99" w:rsidRDefault="00937732" w:rsidP="00937732">
            <w:pPr>
              <w:spacing w:after="0" w:line="240" w:lineRule="auto"/>
              <w:jc w:val="center"/>
              <w:rPr>
                <w:rFonts w:cs="Times New Roman"/>
              </w:rPr>
            </w:pPr>
            <w:r w:rsidRPr="00C26B99">
              <w:rPr>
                <w:rFonts w:cs="Times New Roman"/>
              </w:rPr>
              <w:t>34</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10</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15</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18</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20</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22</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31</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31</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42</w:t>
            </w:r>
          </w:p>
        </w:tc>
      </w:tr>
      <w:tr w:rsidR="00937732" w:rsidRPr="004452AB" w:rsidTr="00937732">
        <w:tc>
          <w:tcPr>
            <w:tcW w:w="1145" w:type="dxa"/>
          </w:tcPr>
          <w:p w:rsidR="00937732" w:rsidRPr="00C26B99" w:rsidRDefault="00937732" w:rsidP="00937732">
            <w:pPr>
              <w:spacing w:after="0" w:line="240" w:lineRule="auto"/>
              <w:rPr>
                <w:rFonts w:cs="Times New Roman"/>
              </w:rPr>
            </w:pPr>
            <w:r w:rsidRPr="00C26B99">
              <w:rPr>
                <w:rFonts w:cs="Times New Roman"/>
              </w:rPr>
              <w:t>Milk</w:t>
            </w:r>
          </w:p>
        </w:tc>
        <w:tc>
          <w:tcPr>
            <w:tcW w:w="1012" w:type="dxa"/>
          </w:tcPr>
          <w:p w:rsidR="00937732" w:rsidRPr="00C26B99" w:rsidRDefault="00937732" w:rsidP="00937732">
            <w:pPr>
              <w:spacing w:after="0" w:line="240" w:lineRule="auto"/>
              <w:jc w:val="center"/>
              <w:rPr>
                <w:rFonts w:cs="Times New Roman"/>
              </w:rPr>
            </w:pPr>
            <w:r w:rsidRPr="00C26B99">
              <w:rPr>
                <w:rFonts w:cs="Times New Roman"/>
              </w:rPr>
              <w:t>50</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22</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29</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31</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32</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34</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33</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37</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39</w:t>
            </w:r>
          </w:p>
        </w:tc>
      </w:tr>
      <w:tr w:rsidR="00937732" w:rsidRPr="004452AB" w:rsidTr="00937732">
        <w:tc>
          <w:tcPr>
            <w:tcW w:w="1145" w:type="dxa"/>
          </w:tcPr>
          <w:p w:rsidR="00937732" w:rsidRPr="00C26B99" w:rsidRDefault="00937732" w:rsidP="00937732">
            <w:pPr>
              <w:spacing w:after="0" w:line="240" w:lineRule="auto"/>
              <w:rPr>
                <w:rFonts w:cs="Times New Roman"/>
              </w:rPr>
            </w:pPr>
            <w:r w:rsidRPr="00C26B99">
              <w:rPr>
                <w:rFonts w:cs="Times New Roman"/>
              </w:rPr>
              <w:t>Total</w:t>
            </w:r>
          </w:p>
        </w:tc>
        <w:tc>
          <w:tcPr>
            <w:tcW w:w="1012" w:type="dxa"/>
          </w:tcPr>
          <w:p w:rsidR="00937732" w:rsidRPr="00C26B99" w:rsidRDefault="00937732" w:rsidP="00937732">
            <w:pPr>
              <w:spacing w:after="0" w:line="240" w:lineRule="auto"/>
              <w:jc w:val="center"/>
              <w:rPr>
                <w:rFonts w:cs="Times New Roman"/>
              </w:rPr>
            </w:pPr>
            <w:r w:rsidRPr="00C26B99">
              <w:rPr>
                <w:rFonts w:cs="Times New Roman"/>
              </w:rPr>
              <w:t>934</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741</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899</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986</w:t>
            </w:r>
          </w:p>
        </w:tc>
        <w:tc>
          <w:tcPr>
            <w:tcW w:w="864" w:type="dxa"/>
          </w:tcPr>
          <w:p w:rsidR="00937732" w:rsidRPr="00C26B99" w:rsidRDefault="00937732" w:rsidP="00937732">
            <w:pPr>
              <w:spacing w:after="0" w:line="240" w:lineRule="auto"/>
              <w:jc w:val="center"/>
              <w:rPr>
                <w:rFonts w:cs="Times New Roman"/>
              </w:rPr>
            </w:pPr>
            <w:r w:rsidRPr="00C26B99">
              <w:rPr>
                <w:rFonts w:cs="Times New Roman"/>
              </w:rPr>
              <w:t>1005</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761</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841</w:t>
            </w:r>
          </w:p>
        </w:tc>
        <w:tc>
          <w:tcPr>
            <w:tcW w:w="865" w:type="dxa"/>
          </w:tcPr>
          <w:p w:rsidR="00937732" w:rsidRPr="00C26B99" w:rsidRDefault="00937732" w:rsidP="00937732">
            <w:pPr>
              <w:spacing w:after="0" w:line="240" w:lineRule="auto"/>
              <w:jc w:val="center"/>
              <w:rPr>
                <w:rFonts w:cs="Times New Roman"/>
              </w:rPr>
            </w:pPr>
            <w:r w:rsidRPr="00C26B99">
              <w:rPr>
                <w:rFonts w:cs="Times New Roman"/>
              </w:rPr>
              <w:t>999</w:t>
            </w:r>
          </w:p>
        </w:tc>
        <w:tc>
          <w:tcPr>
            <w:tcW w:w="729" w:type="dxa"/>
          </w:tcPr>
          <w:p w:rsidR="00937732" w:rsidRPr="00C26B99" w:rsidRDefault="00937732" w:rsidP="00937732">
            <w:pPr>
              <w:spacing w:after="0" w:line="240" w:lineRule="auto"/>
              <w:jc w:val="center"/>
              <w:rPr>
                <w:rFonts w:cs="Times New Roman"/>
              </w:rPr>
            </w:pPr>
            <w:r w:rsidRPr="00C26B99">
              <w:rPr>
                <w:rFonts w:cs="Times New Roman"/>
              </w:rPr>
              <w:t>983</w:t>
            </w:r>
          </w:p>
        </w:tc>
      </w:tr>
    </w:tbl>
    <w:p w:rsidR="00937732" w:rsidRPr="00777DE0" w:rsidRDefault="00937732" w:rsidP="00974AEB">
      <w:pPr>
        <w:pStyle w:val="Source"/>
        <w:spacing w:before="120"/>
        <w:rPr>
          <w:rFonts w:ascii="Times New Roman" w:hAnsi="Times New Roman"/>
          <w:b/>
        </w:rPr>
      </w:pPr>
      <w:r w:rsidRPr="00777DE0">
        <w:rPr>
          <w:rFonts w:ascii="Times New Roman" w:hAnsi="Times New Roman"/>
          <w:b/>
        </w:rPr>
        <w:t xml:space="preserve">Source: Household Expenditure Survey report of various years, Bangladesh National Nutrition Council for minimum food intake requirement </w:t>
      </w:r>
    </w:p>
    <w:p w:rsidR="00937732" w:rsidRPr="00C26B99" w:rsidRDefault="00937732" w:rsidP="00974AEB">
      <w:pPr>
        <w:tabs>
          <w:tab w:val="left" w:pos="7797"/>
        </w:tabs>
        <w:spacing w:line="276" w:lineRule="auto"/>
        <w:jc w:val="both"/>
        <w:rPr>
          <w:rFonts w:cs="Times New Roman"/>
        </w:rPr>
      </w:pPr>
      <w:r w:rsidRPr="00C26B99">
        <w:rPr>
          <w:rFonts w:cs="Times New Roman"/>
        </w:rPr>
        <w:t>Bangladesh has made significant progress in reducing under-nutrition for the children. The prevalence on underweight children for their age declined from 43% percent in 2004 to 37 percent in 2011, and is set to target achieving the Sustainable Development Goals (SDGs). Also, progress in reducing stunting, the indicator of chronic malnutrition, shows a positive picture. Children suffering from stunting fell from 51% in 2004 to 41% in 2011.</w:t>
      </w:r>
    </w:p>
    <w:p w:rsidR="00F64A6A" w:rsidRDefault="007F2F9C" w:rsidP="00F64A6A">
      <w:pPr>
        <w:pStyle w:val="Heading2"/>
      </w:pPr>
      <w:bookmarkStart w:id="591" w:name="_Toc474638900"/>
      <w:r w:rsidRPr="001A5964">
        <w:t>Issues and Challenges Facing Bangladesh Agriculture</w:t>
      </w:r>
      <w:bookmarkEnd w:id="591"/>
    </w:p>
    <w:p w:rsidR="005C314D" w:rsidRPr="00C26B99" w:rsidRDefault="005C314D" w:rsidP="005C314D">
      <w:pPr>
        <w:spacing w:after="160" w:line="276" w:lineRule="auto"/>
        <w:jc w:val="both"/>
      </w:pPr>
      <w:r w:rsidRPr="00C26B99">
        <w:t xml:space="preserve">All the successes, described above, could be short lived over a longer period of time. At this stage of achieved lower middle income country status, the challenge is not achieving food security but to sustain food security over medium and long term. Bangladesh aspires to become </w:t>
      </w:r>
      <w:r w:rsidR="00D4254C">
        <w:t>upper</w:t>
      </w:r>
      <w:r w:rsidR="00D4254C" w:rsidRPr="00C26B99">
        <w:t xml:space="preserve"> </w:t>
      </w:r>
      <w:r w:rsidRPr="00C26B99">
        <w:t xml:space="preserve">middle income country and then on to as developed country by 2041. This time frame unfortunately also coincides with onset of sea level rise inundating one-third of </w:t>
      </w:r>
      <w:r w:rsidR="00EA4E38" w:rsidRPr="00C26B99">
        <w:t>Bangladesh.</w:t>
      </w:r>
      <w:r w:rsidR="00EA4E38">
        <w:t xml:space="preserve"> Can</w:t>
      </w:r>
      <w:r>
        <w:t xml:space="preserve"> Bangladesh</w:t>
      </w:r>
      <w:r w:rsidRPr="00C26B99">
        <w:t xml:space="preserve"> sustain food security at that time?</w:t>
      </w:r>
      <w:r>
        <w:t xml:space="preserve"> If not, will that threaten its </w:t>
      </w:r>
      <w:r w:rsidRPr="00C26B99">
        <w:t xml:space="preserve">aspiration to become developed country? </w:t>
      </w:r>
    </w:p>
    <w:p w:rsidR="005C314D" w:rsidRPr="00C26B99" w:rsidRDefault="005C314D" w:rsidP="005C314D">
      <w:pPr>
        <w:spacing w:after="160" w:line="276" w:lineRule="auto"/>
        <w:jc w:val="both"/>
      </w:pPr>
      <w:r>
        <w:lastRenderedPageBreak/>
        <w:t>The main challenges to achieving and sustaining food security over the longer term include:</w:t>
      </w:r>
    </w:p>
    <w:p w:rsidR="00000000" w:rsidRDefault="00F64A6A" w:rsidP="003D5A31">
      <w:pPr>
        <w:pStyle w:val="ListParagraph"/>
        <w:numPr>
          <w:ilvl w:val="0"/>
          <w:numId w:val="201"/>
        </w:numPr>
        <w:spacing w:after="160" w:line="276" w:lineRule="auto"/>
        <w:jc w:val="both"/>
        <w:rPr>
          <w:u w:val="single"/>
        </w:rPr>
      </w:pPr>
      <w:r w:rsidRPr="00F64A6A">
        <w:rPr>
          <w:u w:val="single"/>
        </w:rPr>
        <w:t>Expanding urbanisation</w:t>
      </w:r>
    </w:p>
    <w:p w:rsidR="00000000" w:rsidRDefault="00F64A6A" w:rsidP="003D5A31">
      <w:pPr>
        <w:pStyle w:val="ListParagraph"/>
        <w:numPr>
          <w:ilvl w:val="0"/>
          <w:numId w:val="201"/>
        </w:numPr>
        <w:spacing w:after="160" w:line="276" w:lineRule="auto"/>
        <w:jc w:val="both"/>
        <w:rPr>
          <w:u w:val="single"/>
        </w:rPr>
      </w:pPr>
      <w:r w:rsidRPr="00F64A6A">
        <w:rPr>
          <w:u w:val="single"/>
        </w:rPr>
        <w:t>Impacts of climate change and sea level rise</w:t>
      </w:r>
    </w:p>
    <w:p w:rsidR="00000000" w:rsidRDefault="00F64A6A" w:rsidP="003D5A31">
      <w:pPr>
        <w:pStyle w:val="ListParagraph"/>
        <w:numPr>
          <w:ilvl w:val="0"/>
          <w:numId w:val="201"/>
        </w:numPr>
        <w:spacing w:after="160" w:line="276" w:lineRule="auto"/>
        <w:jc w:val="both"/>
        <w:rPr>
          <w:u w:val="single"/>
        </w:rPr>
      </w:pPr>
      <w:r w:rsidRPr="00F64A6A">
        <w:rPr>
          <w:u w:val="single"/>
        </w:rPr>
        <w:t>Loss of agricultural land</w:t>
      </w:r>
    </w:p>
    <w:p w:rsidR="00000000" w:rsidRDefault="00F64A6A" w:rsidP="003D5A31">
      <w:pPr>
        <w:pStyle w:val="ListParagraph"/>
        <w:numPr>
          <w:ilvl w:val="0"/>
          <w:numId w:val="201"/>
        </w:numPr>
        <w:spacing w:after="160" w:line="276" w:lineRule="auto"/>
        <w:jc w:val="both"/>
        <w:rPr>
          <w:u w:val="single"/>
        </w:rPr>
      </w:pPr>
      <w:r w:rsidRPr="00F64A6A">
        <w:rPr>
          <w:u w:val="single"/>
        </w:rPr>
        <w:t>Uncertainty in water availability from upstream</w:t>
      </w:r>
    </w:p>
    <w:p w:rsidR="005C314D" w:rsidRPr="00C26B99" w:rsidRDefault="005C314D" w:rsidP="00E52937">
      <w:pPr>
        <w:shd w:val="clear" w:color="auto" w:fill="FFFFFF"/>
        <w:spacing w:line="276" w:lineRule="auto"/>
        <w:jc w:val="both"/>
      </w:pPr>
      <w:r w:rsidRPr="00C26B99">
        <w:rPr>
          <w:b/>
        </w:rPr>
        <w:t>Expanding urbanisation threatens food security.</w:t>
      </w:r>
      <w:r w:rsidRPr="00C26B99">
        <w:t xml:space="preserve"> The total population of Bangladesh is set to increase from the present 160 million to a range of 209 to 224 million in 2061 (BBS 2015). It is projected that by 2075 population will drop to 193 million and by 2100 population to 170 million (UN 2015). </w:t>
      </w:r>
      <w:r w:rsidR="00F64A6A" w:rsidRPr="00F64A6A">
        <w:rPr>
          <w:u w:val="single"/>
        </w:rPr>
        <w:t>Bangladesh experienced faster urbanization than South Asia as a whole between 2000 and 2010.  Over that period, the share of its population living in officially classified urban settlements increased by 1.69 percent a year, World Urbanization Prospects estimated that urban population will be 56% of total population of Bangladesh by 2050.</w:t>
      </w:r>
      <w:r w:rsidRPr="00C26B99">
        <w:t xml:space="preserve"> Bangladesh’s expanding urban populations presents it with a considerable affordable housing challenge.  In the best case scenario in which urban population density remains constant, meeting this challenge will require expanding the amount of developable urban land by just over 7,000 km2 – or almost 45 percent – between 2010 and 2050 (WB 2015). This will provide extreme stress on lands available for productive economic uses and threaten achieving food security.</w:t>
      </w:r>
    </w:p>
    <w:p w:rsidR="005C314D" w:rsidRPr="00C26B99" w:rsidRDefault="005C314D" w:rsidP="005C314D">
      <w:pPr>
        <w:spacing w:line="276" w:lineRule="auto"/>
        <w:jc w:val="both"/>
      </w:pPr>
      <w:r w:rsidRPr="00C26B99">
        <w:rPr>
          <w:b/>
        </w:rPr>
        <w:t>Climate change and natural hazards will likely continue to worsen.</w:t>
      </w:r>
      <w:r w:rsidRPr="00C26B99">
        <w:t xml:space="preserve"> </w:t>
      </w:r>
      <w:r w:rsidR="00F64A6A" w:rsidRPr="00F64A6A">
        <w:rPr>
          <w:u w:val="single"/>
        </w:rPr>
        <w:t>Bangladesh ranks first in the 2014 Climate Change Vulnerability Index and it will likely suffer more from climate change by 2025 than any other country (Maplecroft 2014). Rainfall is expected to increase by 10% to 15% during the monsoon seasons by 2030 and 27% by 2075; rising sea level is expected to inundate 120,000 square km by 2050; 14% more of the country may become extremely prone to floods by 2030; cyclones in the Bay of Bengal will occur more frequently due to increasing temperature, and the peak intensity of cyclones may increase by 5% to 10% (Food Planning and Monitoring Unit [FPMU] 2013).</w:t>
      </w:r>
      <w:r w:rsidRPr="00C26B99">
        <w:t xml:space="preserve"> Coastal salinity problems will likely worsen as changing rain patterns reduce the amount of dry season water supply from upstream river sources. </w:t>
      </w:r>
      <w:r w:rsidR="00F64A6A" w:rsidRPr="00F64A6A">
        <w:rPr>
          <w:u w:val="single"/>
        </w:rPr>
        <w:t>Overall, crop production might be reduced by 30% by the end of the century, rice production could fall by 8%, and wheat production by 32% by 2050 (FPMU 2013).</w:t>
      </w:r>
      <w:r w:rsidRPr="00C26B99">
        <w:t xml:space="preserve"> Winter crop production would be seriously hampered due to a warmer and drier environment during non-monsoon seasons, while moisture stress might force farmers to reduce the area under irrigated rice cultivation.  </w:t>
      </w:r>
    </w:p>
    <w:p w:rsidR="005C314D" w:rsidRPr="00C26B99" w:rsidRDefault="005C314D" w:rsidP="005C314D">
      <w:pPr>
        <w:spacing w:line="276" w:lineRule="auto"/>
        <w:jc w:val="both"/>
      </w:pPr>
      <w:r w:rsidRPr="00C26B99">
        <w:rPr>
          <w:b/>
        </w:rPr>
        <w:t>Loss of agricultural land:</w:t>
      </w:r>
      <w:r w:rsidRPr="00C26B99">
        <w:t xml:space="preserve"> Bangladesh is losing agriculture land at a rate of 0.5% per year due to various factors including urban encroachment of agriculture land, road infrastructure, water logging, depletion of ground water and soil fertility, erosion, and salinity (Hasan 2013). </w:t>
      </w:r>
      <w:r w:rsidR="00F64A6A" w:rsidRPr="00F64A6A">
        <w:rPr>
          <w:u w:val="single"/>
        </w:rPr>
        <w:t>In the last three decades about 170,000 ha of agriculture land has been degraded by increased salinity (Ministry of Agriculture and FAO 2011).</w:t>
      </w:r>
      <w:r w:rsidRPr="00C26B99">
        <w:t xml:space="preserve"> Soil fertility degradation results from imbalanced fertilizer use (overuse of subsidized nitrogen fertilizers), absence of micronutrient application, less use of manure for crops and more for fuel, and cropping intensification combined with the increase of mono culture rice without rotation. </w:t>
      </w:r>
      <w:r w:rsidR="00D4254C">
        <w:t xml:space="preserve">River bank </w:t>
      </w:r>
      <w:r w:rsidRPr="00C26B99">
        <w:t xml:space="preserve">erosion accounts for about 40% of </w:t>
      </w:r>
      <w:r w:rsidRPr="00C26B99">
        <w:lastRenderedPageBreak/>
        <w:t xml:space="preserve">land loss on about 1,200 km of riverbanks (primarily the Ganges, Jamuna, and Padma rivers) that are seriously affected as topsoil is washed away and replaced by sand (ibid). This problem is expected to intensify with increased climate change-induced sea level rise. This significant land loss when combined with population growth explains why the size of cultivated area per farm has decreased from 0.81 to 0.51 hectares between 1984 and 2008 (FPMU 2013). </w:t>
      </w:r>
    </w:p>
    <w:p w:rsidR="005C314D" w:rsidRPr="00C26B99" w:rsidRDefault="005C314D" w:rsidP="005C314D">
      <w:pPr>
        <w:spacing w:after="160" w:line="276" w:lineRule="auto"/>
        <w:jc w:val="both"/>
      </w:pPr>
      <w:r w:rsidRPr="00C26B99">
        <w:rPr>
          <w:b/>
        </w:rPr>
        <w:t>Uncertainty in water availability from upstream.</w:t>
      </w:r>
      <w:r w:rsidRPr="00C26B99">
        <w:t xml:space="preserve"> Because Bangladesh is located in the low-lying delta of the Ganges-Brahmaputra-Meghna basin, upstream infrastructural developments both in India and possibly in China are expected to have a notable impact on the dry season flow. Of particular interest for Bangladesh are the Indian proposals to construct 16 barrages on the Ganges River and the country’s plans to divert water from the Ganges and the Brahmaputra rivers towards the South of India. In addition, India is planning to construct the Tipaimukh dam in the north-eastern part of the country. These will impact the water availability in Bangladesh as well as the ecological condition of the rivers. Fisheries and agriculture activities within Bangladesh are expected to be impacted by these developments. </w:t>
      </w:r>
    </w:p>
    <w:p w:rsidR="005C314D" w:rsidRPr="00C26B99" w:rsidRDefault="005C314D" w:rsidP="005C314D">
      <w:pPr>
        <w:spacing w:after="160" w:line="276" w:lineRule="auto"/>
        <w:jc w:val="both"/>
      </w:pPr>
      <w:r w:rsidRPr="00C26B99">
        <w:t xml:space="preserve">The other challenges can be succinctly outlined as: </w:t>
      </w:r>
    </w:p>
    <w:p w:rsidR="00000000" w:rsidRDefault="005C314D" w:rsidP="003D5A31">
      <w:pPr>
        <w:pStyle w:val="ListParagraph"/>
        <w:numPr>
          <w:ilvl w:val="0"/>
          <w:numId w:val="202"/>
        </w:numPr>
        <w:spacing w:after="160" w:line="276" w:lineRule="auto"/>
        <w:jc w:val="both"/>
      </w:pPr>
      <w:r w:rsidRPr="00C26B99">
        <w:t xml:space="preserve">Land use change </w:t>
      </w:r>
    </w:p>
    <w:p w:rsidR="00000000" w:rsidRDefault="005C314D" w:rsidP="003D5A31">
      <w:pPr>
        <w:pStyle w:val="ListParagraph"/>
        <w:numPr>
          <w:ilvl w:val="0"/>
          <w:numId w:val="202"/>
        </w:numPr>
        <w:spacing w:after="160" w:line="276" w:lineRule="auto"/>
        <w:jc w:val="both"/>
      </w:pPr>
      <w:r w:rsidRPr="00C26B99">
        <w:t xml:space="preserve">Land Degradation and Diminishing productivity of land </w:t>
      </w:r>
    </w:p>
    <w:p w:rsidR="00000000" w:rsidRDefault="005C314D" w:rsidP="003D5A31">
      <w:pPr>
        <w:pStyle w:val="ListParagraph"/>
        <w:numPr>
          <w:ilvl w:val="0"/>
          <w:numId w:val="202"/>
        </w:numPr>
        <w:spacing w:after="160" w:line="276" w:lineRule="auto"/>
        <w:jc w:val="both"/>
      </w:pPr>
      <w:r w:rsidRPr="00C26B99">
        <w:t xml:space="preserve">Price Volatility of Food items in the domestic and global market, </w:t>
      </w:r>
    </w:p>
    <w:p w:rsidR="00000000" w:rsidRDefault="005C314D" w:rsidP="003D5A31">
      <w:pPr>
        <w:pStyle w:val="ListParagraph"/>
        <w:numPr>
          <w:ilvl w:val="0"/>
          <w:numId w:val="202"/>
        </w:numPr>
        <w:spacing w:after="160" w:line="276" w:lineRule="auto"/>
        <w:jc w:val="both"/>
      </w:pPr>
      <w:r w:rsidRPr="00C26B99">
        <w:t xml:space="preserve">Disruptions in the food supply chain, </w:t>
      </w:r>
    </w:p>
    <w:p w:rsidR="00000000" w:rsidRDefault="005C314D" w:rsidP="003D5A31">
      <w:pPr>
        <w:pStyle w:val="ListParagraph"/>
        <w:numPr>
          <w:ilvl w:val="0"/>
          <w:numId w:val="202"/>
        </w:numPr>
        <w:spacing w:after="160" w:line="276" w:lineRule="auto"/>
        <w:jc w:val="both"/>
      </w:pPr>
      <w:r w:rsidRPr="00C26B99">
        <w:t xml:space="preserve">Trade Barriers and Uncertainties in international Trade, </w:t>
      </w:r>
    </w:p>
    <w:p w:rsidR="00000000" w:rsidRDefault="005C314D" w:rsidP="003D5A31">
      <w:pPr>
        <w:pStyle w:val="ListParagraph"/>
        <w:numPr>
          <w:ilvl w:val="0"/>
          <w:numId w:val="202"/>
        </w:numPr>
        <w:spacing w:after="160" w:line="276" w:lineRule="auto"/>
        <w:jc w:val="both"/>
      </w:pPr>
      <w:r w:rsidRPr="00C26B99">
        <w:t xml:space="preserve">Labour Shortage and high wage rate of agricultural labour, . </w:t>
      </w:r>
    </w:p>
    <w:p w:rsidR="00000000" w:rsidRDefault="005C314D" w:rsidP="003D5A31">
      <w:pPr>
        <w:pStyle w:val="ListParagraph"/>
        <w:numPr>
          <w:ilvl w:val="0"/>
          <w:numId w:val="202"/>
        </w:numPr>
        <w:spacing w:after="160" w:line="276" w:lineRule="auto"/>
        <w:jc w:val="both"/>
      </w:pPr>
      <w:r w:rsidRPr="00C26B99">
        <w:t xml:space="preserve">Fossil fuel Dependence </w:t>
      </w:r>
    </w:p>
    <w:p w:rsidR="00000000" w:rsidRDefault="005C314D" w:rsidP="003D5A31">
      <w:pPr>
        <w:pStyle w:val="ListParagraph"/>
        <w:numPr>
          <w:ilvl w:val="0"/>
          <w:numId w:val="202"/>
        </w:numPr>
        <w:spacing w:after="160" w:line="276" w:lineRule="auto"/>
        <w:jc w:val="both"/>
      </w:pPr>
      <w:r w:rsidRPr="00C26B99">
        <w:t xml:space="preserve">Hybridization, genetic engineering and loss of diversity </w:t>
      </w:r>
    </w:p>
    <w:p w:rsidR="00000000" w:rsidRDefault="005C314D" w:rsidP="003D5A31">
      <w:pPr>
        <w:pStyle w:val="ListParagraph"/>
        <w:numPr>
          <w:ilvl w:val="0"/>
          <w:numId w:val="202"/>
        </w:numPr>
        <w:spacing w:after="160" w:line="276" w:lineRule="auto"/>
        <w:jc w:val="both"/>
      </w:pPr>
      <w:r w:rsidRPr="00C26B99">
        <w:t xml:space="preserve">Seasonal variation of food supply </w:t>
      </w:r>
    </w:p>
    <w:p w:rsidR="00000000" w:rsidRDefault="005C314D" w:rsidP="003D5A31">
      <w:pPr>
        <w:pStyle w:val="ListParagraph"/>
        <w:numPr>
          <w:ilvl w:val="0"/>
          <w:numId w:val="202"/>
        </w:numPr>
        <w:spacing w:after="160" w:line="276" w:lineRule="auto"/>
        <w:jc w:val="both"/>
      </w:pPr>
      <w:r w:rsidRPr="00C26B99">
        <w:t xml:space="preserve">Locational variation of Food Supply </w:t>
      </w:r>
    </w:p>
    <w:p w:rsidR="00000000" w:rsidRDefault="005C314D" w:rsidP="003D5A31">
      <w:pPr>
        <w:pStyle w:val="ListParagraph"/>
        <w:numPr>
          <w:ilvl w:val="0"/>
          <w:numId w:val="202"/>
        </w:numPr>
        <w:spacing w:after="160" w:line="276" w:lineRule="auto"/>
        <w:jc w:val="both"/>
        <w:rPr>
          <w:rFonts w:cs="Times New Roman"/>
          <w:szCs w:val="24"/>
        </w:rPr>
      </w:pPr>
      <w:r w:rsidRPr="00C26B99">
        <w:t>High underemployment resulting in  low accessibility to food</w:t>
      </w:r>
    </w:p>
    <w:p w:rsidR="00000000" w:rsidRDefault="005C314D" w:rsidP="003D5A31">
      <w:pPr>
        <w:pStyle w:val="ListParagraph"/>
        <w:numPr>
          <w:ilvl w:val="0"/>
          <w:numId w:val="202"/>
        </w:numPr>
        <w:spacing w:after="160" w:line="276" w:lineRule="auto"/>
        <w:jc w:val="both"/>
        <w:rPr>
          <w:rFonts w:cs="Times New Roman"/>
          <w:szCs w:val="24"/>
        </w:rPr>
      </w:pPr>
      <w:r w:rsidRPr="00C26B99">
        <w:t>Inequality of Income in the society.</w:t>
      </w:r>
    </w:p>
    <w:p w:rsidR="007F2F9C" w:rsidRPr="001E327D" w:rsidRDefault="007F2F9C" w:rsidP="00025234">
      <w:pPr>
        <w:spacing w:line="276" w:lineRule="auto"/>
        <w:jc w:val="both"/>
        <w:rPr>
          <w:rFonts w:cs="Times New Roman"/>
          <w:szCs w:val="24"/>
        </w:rPr>
      </w:pPr>
      <w:r w:rsidRPr="001E327D">
        <w:rPr>
          <w:rFonts w:cs="Times New Roman"/>
          <w:szCs w:val="24"/>
        </w:rPr>
        <w:t>In fish</w:t>
      </w:r>
      <w:r w:rsidR="005C314D">
        <w:rPr>
          <w:rFonts w:cs="Times New Roman"/>
          <w:szCs w:val="24"/>
        </w:rPr>
        <w:t>eries</w:t>
      </w:r>
      <w:r w:rsidRPr="001E327D">
        <w:rPr>
          <w:rFonts w:cs="Times New Roman"/>
          <w:szCs w:val="24"/>
        </w:rPr>
        <w:t xml:space="preserve">, an important challenge is to address the factors that are adversely impacting on fish production. Factors responsible for </w:t>
      </w:r>
      <w:r w:rsidR="00907B51">
        <w:rPr>
          <w:rFonts w:cs="Times New Roman"/>
          <w:szCs w:val="24"/>
        </w:rPr>
        <w:t xml:space="preserve">open capture </w:t>
      </w:r>
      <w:r w:rsidRPr="001E327D">
        <w:rPr>
          <w:rFonts w:cs="Times New Roman"/>
          <w:szCs w:val="24"/>
        </w:rPr>
        <w:t>fish decline are siltation, channelization of river, unplanned construction of dams, embankments, roads, and diversion of water flows upstream in the trans</w:t>
      </w:r>
      <w:r>
        <w:rPr>
          <w:rFonts w:cs="Times New Roman"/>
          <w:szCs w:val="24"/>
        </w:rPr>
        <w:t>-</w:t>
      </w:r>
      <w:r w:rsidRPr="001E327D">
        <w:rPr>
          <w:rFonts w:cs="Times New Roman"/>
          <w:szCs w:val="24"/>
        </w:rPr>
        <w:t xml:space="preserve"> boundary major rivers.   Degradation of inland water quality owing to discharge of untreated industrial effluent, domestic organic wastes and agro-chemicals are also causing substantial damage to fish resources.  Shrimp cultivation presents its own challenge by contributing to soil salinity owing to inappropriate cultivation practices. </w:t>
      </w:r>
    </w:p>
    <w:p w:rsidR="007F2F9C" w:rsidRDefault="007F2F9C" w:rsidP="00025234">
      <w:pPr>
        <w:spacing w:line="276" w:lineRule="auto"/>
        <w:jc w:val="both"/>
        <w:rPr>
          <w:rFonts w:cs="Times New Roman"/>
          <w:szCs w:val="24"/>
        </w:rPr>
      </w:pPr>
      <w:r w:rsidRPr="001E327D">
        <w:rPr>
          <w:rFonts w:cs="Times New Roman"/>
          <w:szCs w:val="24"/>
        </w:rPr>
        <w:t>Regarding livestock, the major challenges are protecting them from natural hazards, providing fodder and veterinary services, improving quality of food chain processing, improving marketing and availability of credit and investment resources.</w:t>
      </w:r>
    </w:p>
    <w:p w:rsidR="004F3062" w:rsidRPr="006A1813" w:rsidRDefault="007F2F9C" w:rsidP="00025234">
      <w:pPr>
        <w:spacing w:line="276" w:lineRule="auto"/>
        <w:jc w:val="both"/>
        <w:rPr>
          <w:rFonts w:cs="Times New Roman"/>
          <w:szCs w:val="24"/>
        </w:rPr>
      </w:pPr>
      <w:r>
        <w:rPr>
          <w:rFonts w:cs="Times New Roman"/>
          <w:szCs w:val="24"/>
        </w:rPr>
        <w:lastRenderedPageBreak/>
        <w:t>In</w:t>
      </w:r>
      <w:r w:rsidRPr="001E327D">
        <w:rPr>
          <w:rFonts w:cs="Times New Roman"/>
          <w:szCs w:val="24"/>
        </w:rPr>
        <w:t xml:space="preserve"> forestry</w:t>
      </w:r>
      <w:r>
        <w:rPr>
          <w:rFonts w:cs="Times New Roman"/>
          <w:szCs w:val="24"/>
        </w:rPr>
        <w:t>, while these</w:t>
      </w:r>
      <w:r w:rsidRPr="001E327D">
        <w:rPr>
          <w:rFonts w:cs="Times New Roman"/>
          <w:szCs w:val="24"/>
        </w:rPr>
        <w:t xml:space="preserve"> resources are an important source of livelihood for the poor, unsustainable use of forest resources and illegal encroachments threaten the forest cover necessary to prevent land degradation and also provide essential protection from cyclone. </w:t>
      </w:r>
      <w:r w:rsidR="00F64A6A" w:rsidRPr="00F64A6A">
        <w:rPr>
          <w:rFonts w:cs="Times New Roman"/>
          <w:szCs w:val="24"/>
          <w:u w:val="single"/>
        </w:rPr>
        <w:t>Population pressure is causing a reduction in forest area by an estimated 13000 hectares annually. Considerable proportion of hill forests is barren due to harvesting and subsequently not bringing the area under vegetation cover.</w:t>
      </w:r>
      <w:r w:rsidRPr="001E327D">
        <w:rPr>
          <w:rFonts w:cs="Times New Roman"/>
          <w:szCs w:val="24"/>
        </w:rPr>
        <w:t xml:space="preserve"> Denudation causes soil erosion, flood from runoff, siltation of river bed, and complicates management of watershed. As a result, services from the forest ecosystems are greatly reduced. In order to meet the growing need of wood, there has been introduction of exotic species. These plants have a destructive impact on natural habitats and wildlife population. Although considerable research findings are available that can help improve management of forests and increase production of the ecosystems, technology transfer and execution of research findings for higher return is lacking. Presently, there is no organization responsible for the extension of research achievement from the Bangladesh Forest Research Institutes to the users.</w:t>
      </w:r>
    </w:p>
    <w:p w:rsidR="00F64A6A" w:rsidRDefault="007F2F9C" w:rsidP="00F64A6A">
      <w:pPr>
        <w:pStyle w:val="Heading2"/>
      </w:pPr>
      <w:bookmarkStart w:id="592" w:name="_Toc474638901"/>
      <w:r w:rsidRPr="00025234">
        <w:t>Climate Change, Agriculture and F</w:t>
      </w:r>
      <w:r w:rsidR="001A5964">
        <w:t>ood Security</w:t>
      </w:r>
      <w:bookmarkEnd w:id="592"/>
    </w:p>
    <w:p w:rsidR="007F2F9C" w:rsidRPr="00D4254C" w:rsidRDefault="007F2F9C" w:rsidP="00974AEB">
      <w:pPr>
        <w:pStyle w:val="BodyText"/>
        <w:tabs>
          <w:tab w:val="left" w:pos="707"/>
        </w:tabs>
        <w:spacing w:after="240" w:line="276" w:lineRule="auto"/>
        <w:jc w:val="both"/>
        <w:rPr>
          <w:rFonts w:cs="Times New Roman"/>
          <w:szCs w:val="24"/>
          <w:u w:val="single"/>
        </w:rPr>
      </w:pPr>
      <w:r w:rsidRPr="00026AE2">
        <w:rPr>
          <w:rFonts w:cs="Times New Roman"/>
          <w:szCs w:val="24"/>
        </w:rPr>
        <w:t xml:space="preserve">The higher temperatures and changing rainfall patterns, coupled with increased flooding, rising salinity in the coastal belt and droughts are likely to reduce crop yields and crop production. IPCC estimates that, by 2050, rice production in Bangladesh could decline by 8% and wheat by 32% (against a base year of 1990). Increased river bank erosion and saline water intrusion in coastal areas are likely to displace thousands of people who will be forced to migrate, often to slums in Dhaka and other big cities. </w:t>
      </w:r>
      <w:r w:rsidR="00F64A6A" w:rsidRPr="00F64A6A">
        <w:rPr>
          <w:rFonts w:cs="Times New Roman"/>
          <w:szCs w:val="24"/>
          <w:u w:val="single"/>
        </w:rPr>
        <w:t>If sea level rise is higher than currently expected, and coastal polders are not strengthened and/or new ones built, six to eight million people could be displaced by 2050 and would have to be resettled.</w:t>
      </w:r>
    </w:p>
    <w:p w:rsidR="007F2F9C" w:rsidRPr="00D4254C" w:rsidRDefault="007F2F9C" w:rsidP="00974AEB">
      <w:pPr>
        <w:spacing w:line="276" w:lineRule="auto"/>
        <w:jc w:val="both"/>
        <w:rPr>
          <w:rFonts w:cs="Times New Roman"/>
          <w:szCs w:val="24"/>
          <w:u w:val="single"/>
        </w:rPr>
      </w:pPr>
      <w:r w:rsidRPr="004D16EB">
        <w:rPr>
          <w:rFonts w:cs="Times New Roman"/>
          <w:b/>
          <w:color w:val="000000"/>
          <w:szCs w:val="24"/>
        </w:rPr>
        <w:t>Water use</w:t>
      </w:r>
      <w:r>
        <w:rPr>
          <w:rFonts w:cs="Times New Roman"/>
          <w:color w:val="000000"/>
          <w:szCs w:val="24"/>
        </w:rPr>
        <w:t xml:space="preserve">: </w:t>
      </w:r>
      <w:r w:rsidRPr="006C4C7B">
        <w:rPr>
          <w:rFonts w:cs="Times New Roman"/>
          <w:color w:val="000000"/>
          <w:szCs w:val="24"/>
        </w:rPr>
        <w:t xml:space="preserve">Many of the impacts of climate change on agriculture will be mediated through water. </w:t>
      </w:r>
      <w:r>
        <w:rPr>
          <w:rFonts w:cs="Times New Roman"/>
          <w:color w:val="000000"/>
          <w:szCs w:val="24"/>
        </w:rPr>
        <w:t>Globally, t</w:t>
      </w:r>
      <w:r w:rsidRPr="006C4C7B">
        <w:rPr>
          <w:rFonts w:cs="Times New Roman"/>
          <w:color w:val="000000"/>
          <w:szCs w:val="24"/>
        </w:rPr>
        <w:t>he demand for water withdrawals by agriculture are projected to increase by 11 percent to 2050</w:t>
      </w:r>
      <w:r>
        <w:rPr>
          <w:rFonts w:cs="Times New Roman"/>
          <w:color w:val="000000"/>
          <w:szCs w:val="24"/>
        </w:rPr>
        <w:t>,</w:t>
      </w:r>
      <w:r w:rsidRPr="006C4C7B">
        <w:rPr>
          <w:rFonts w:cs="Times New Roman"/>
          <w:color w:val="000000"/>
          <w:szCs w:val="24"/>
        </w:rPr>
        <w:t xml:space="preserve"> and climate change adds serious challenges to the water security problem. </w:t>
      </w:r>
      <w:r>
        <w:rPr>
          <w:rFonts w:cs="Times New Roman"/>
          <w:color w:val="000000"/>
          <w:szCs w:val="24"/>
        </w:rPr>
        <w:t xml:space="preserve">The problem gets more aggravated by the fact that Bangladesh is a lower riparian country for its major river system and has minimal control over managing demand in the upper riparian country. </w:t>
      </w:r>
      <w:r w:rsidRPr="004D16EB">
        <w:rPr>
          <w:rFonts w:cs="Times New Roman"/>
          <w:szCs w:val="24"/>
        </w:rPr>
        <w:t>Groundwater is an important source of water for irrigation and (safe) drinking water</w:t>
      </w:r>
      <w:r>
        <w:rPr>
          <w:rFonts w:cs="Times New Roman"/>
          <w:szCs w:val="24"/>
        </w:rPr>
        <w:t>.</w:t>
      </w:r>
      <w:r w:rsidRPr="00D7737E">
        <w:rPr>
          <w:rFonts w:cs="Segoe UI"/>
          <w:sz w:val="20"/>
          <w:szCs w:val="20"/>
        </w:rPr>
        <w:t xml:space="preserve"> </w:t>
      </w:r>
      <w:r w:rsidRPr="004D16EB">
        <w:rPr>
          <w:rFonts w:cs="Times New Roman"/>
          <w:szCs w:val="24"/>
        </w:rPr>
        <w:t xml:space="preserve">Some 80% of irrigation </w:t>
      </w:r>
      <w:r>
        <w:rPr>
          <w:rFonts w:cs="Times New Roman"/>
          <w:szCs w:val="24"/>
        </w:rPr>
        <w:t xml:space="preserve">particularly of Boro rice </w:t>
      </w:r>
      <w:r w:rsidRPr="004D16EB">
        <w:rPr>
          <w:rFonts w:cs="Times New Roman"/>
          <w:szCs w:val="24"/>
        </w:rPr>
        <w:t>originates from groundwater</w:t>
      </w:r>
      <w:r>
        <w:rPr>
          <w:rFonts w:cs="Times New Roman"/>
          <w:color w:val="000000"/>
          <w:szCs w:val="24"/>
        </w:rPr>
        <w:t>.</w:t>
      </w:r>
      <w:r w:rsidRPr="004D16EB">
        <w:rPr>
          <w:rFonts w:cs="Times New Roman"/>
          <w:color w:val="000000"/>
          <w:szCs w:val="24"/>
        </w:rPr>
        <w:t xml:space="preserve"> </w:t>
      </w:r>
      <w:r w:rsidR="00F64A6A" w:rsidRPr="00F64A6A">
        <w:rPr>
          <w:rFonts w:cs="Times New Roman"/>
          <w:szCs w:val="24"/>
          <w:u w:val="single"/>
        </w:rPr>
        <w:t>Due to intensive groundwater use the water table has fallen by about 75m indicating that recharge does not keep up with abstraction.</w:t>
      </w:r>
    </w:p>
    <w:p w:rsidR="007F2F9C" w:rsidRPr="006C4C7B" w:rsidRDefault="007F2F9C" w:rsidP="00974AEB">
      <w:pPr>
        <w:autoSpaceDE w:val="0"/>
        <w:autoSpaceDN w:val="0"/>
        <w:adjustRightInd w:val="0"/>
        <w:spacing w:line="276" w:lineRule="auto"/>
        <w:jc w:val="both"/>
        <w:rPr>
          <w:rFonts w:cs="Times New Roman"/>
          <w:szCs w:val="24"/>
        </w:rPr>
      </w:pPr>
      <w:r>
        <w:rPr>
          <w:rFonts w:cs="Times New Roman"/>
          <w:color w:val="000000"/>
          <w:szCs w:val="24"/>
        </w:rPr>
        <w:t>Over time, t</w:t>
      </w:r>
      <w:r w:rsidRPr="006C4C7B">
        <w:rPr>
          <w:rFonts w:cs="Times New Roman"/>
          <w:color w:val="000000"/>
          <w:szCs w:val="24"/>
        </w:rPr>
        <w:t xml:space="preserve">he increasing human population will clearly add to the demand for water for nonagricultural and agricultural use, not only for staple crops but also in the production of livestock feed for rapidly increasing livestock populations. Although a warming world will result in more rainfall globally, the distribution of that rainfall, while uncertain, is likely to be highly variable, but we know that </w:t>
      </w:r>
      <w:r>
        <w:rPr>
          <w:rFonts w:cs="Times New Roman"/>
          <w:color w:val="000000"/>
          <w:szCs w:val="24"/>
        </w:rPr>
        <w:t>being in the tropics and subtropics is</w:t>
      </w:r>
      <w:r w:rsidRPr="006C4C7B">
        <w:rPr>
          <w:rFonts w:cs="Times New Roman"/>
          <w:color w:val="000000"/>
          <w:szCs w:val="24"/>
        </w:rPr>
        <w:t xml:space="preserve"> likely to be particularly affected </w:t>
      </w:r>
      <w:r w:rsidRPr="006C4C7B">
        <w:rPr>
          <w:rFonts w:cs="Times New Roman"/>
          <w:color w:val="000000"/>
          <w:szCs w:val="24"/>
        </w:rPr>
        <w:lastRenderedPageBreak/>
        <w:t xml:space="preserve">by reduced rainfall amounts. </w:t>
      </w:r>
      <w:r w:rsidRPr="006C4C7B">
        <w:rPr>
          <w:rFonts w:cs="Times New Roman"/>
          <w:szCs w:val="24"/>
        </w:rPr>
        <w:t xml:space="preserve">The impacts of changes in climate and climate variability on agricultural production will have substantial effects on smallholder and subsistence farmers, pastoralists, </w:t>
      </w:r>
      <w:r>
        <w:rPr>
          <w:rFonts w:cs="Times New Roman"/>
          <w:szCs w:val="24"/>
        </w:rPr>
        <w:t xml:space="preserve">fishermen and much of the rural population in Bangladesh. </w:t>
      </w:r>
      <w:r w:rsidRPr="006C4C7B">
        <w:rPr>
          <w:rFonts w:cs="Times New Roman"/>
          <w:szCs w:val="24"/>
        </w:rPr>
        <w:t xml:space="preserve"> </w:t>
      </w:r>
    </w:p>
    <w:p w:rsidR="00BF2D14" w:rsidRPr="0064732A" w:rsidRDefault="007F2F9C" w:rsidP="00974AEB">
      <w:pPr>
        <w:autoSpaceDE w:val="0"/>
        <w:autoSpaceDN w:val="0"/>
        <w:adjustRightInd w:val="0"/>
        <w:spacing w:line="276" w:lineRule="auto"/>
        <w:jc w:val="both"/>
        <w:rPr>
          <w:rFonts w:cs="Times New Roman"/>
          <w:b/>
          <w:szCs w:val="24"/>
        </w:rPr>
      </w:pPr>
      <w:r>
        <w:rPr>
          <w:rFonts w:cs="Times New Roman"/>
          <w:b/>
          <w:szCs w:val="24"/>
        </w:rPr>
        <w:t>Land use:</w:t>
      </w:r>
      <w:r w:rsidRPr="00562D0B">
        <w:rPr>
          <w:rFonts w:cs="Times New Roman"/>
          <w:b/>
          <w:szCs w:val="24"/>
        </w:rPr>
        <w:t xml:space="preserve"> </w:t>
      </w:r>
      <w:r w:rsidRPr="00562D0B">
        <w:rPr>
          <w:rFonts w:cs="Times New Roman"/>
          <w:szCs w:val="24"/>
        </w:rPr>
        <w:t xml:space="preserve">Future trends in land-use change may have enormous impacts on GHG emissions. Rapid conversion of forests and other natural habitats to cropland and pastures has occurred over the last 150 years. Reducing deforestation through agricultural intensification strategies that involve not only increased yields but also reduction of incentives for agricultural expansion offers considerable potential. In general, if a hectare of forest can be saved by yield gains or a hectare of land can be reforested because of yield gains, there would be large carbon gains. Increasing yields through increases in fertilizer would reduce emissions substantially compared to the alternative of clearing more land to provide the same food. </w:t>
      </w:r>
    </w:p>
    <w:p w:rsidR="00000000" w:rsidRDefault="00BF2D14" w:rsidP="003D5A31">
      <w:pPr>
        <w:pStyle w:val="BodyText"/>
        <w:numPr>
          <w:ilvl w:val="2"/>
          <w:numId w:val="153"/>
        </w:numPr>
        <w:spacing w:after="240" w:line="276" w:lineRule="auto"/>
        <w:jc w:val="both"/>
        <w:rPr>
          <w:rFonts w:cs="Times New Roman"/>
          <w:b/>
          <w:szCs w:val="24"/>
        </w:rPr>
      </w:pPr>
      <w:r w:rsidRPr="002B28F9">
        <w:rPr>
          <w:rFonts w:cs="Times New Roman"/>
          <w:b/>
          <w:szCs w:val="24"/>
        </w:rPr>
        <w:t>Climate Cha</w:t>
      </w:r>
      <w:r w:rsidR="0064732A" w:rsidRPr="002B28F9">
        <w:rPr>
          <w:rFonts w:cs="Times New Roman"/>
          <w:b/>
          <w:szCs w:val="24"/>
        </w:rPr>
        <w:t>nge and Agricultural Challenges</w:t>
      </w:r>
    </w:p>
    <w:p w:rsidR="00BF2D14" w:rsidRPr="00D4254C" w:rsidRDefault="00BF2D14" w:rsidP="00974AEB">
      <w:pPr>
        <w:autoSpaceDE w:val="0"/>
        <w:autoSpaceDN w:val="0"/>
        <w:adjustRightInd w:val="0"/>
        <w:spacing w:line="276" w:lineRule="auto"/>
        <w:jc w:val="both"/>
        <w:rPr>
          <w:rFonts w:cs="Times New Roman"/>
          <w:bCs/>
          <w:szCs w:val="24"/>
          <w:u w:val="single"/>
        </w:rPr>
      </w:pPr>
      <w:r>
        <w:rPr>
          <w:rFonts w:cs="Times New Roman"/>
          <w:bCs/>
          <w:szCs w:val="24"/>
        </w:rPr>
        <w:t>Table 8.</w:t>
      </w:r>
      <w:r w:rsidR="0039589D">
        <w:rPr>
          <w:rFonts w:cs="Times New Roman"/>
          <w:bCs/>
          <w:szCs w:val="24"/>
        </w:rPr>
        <w:t>10</w:t>
      </w:r>
      <w:r>
        <w:rPr>
          <w:rFonts w:cs="Times New Roman"/>
          <w:bCs/>
          <w:szCs w:val="24"/>
        </w:rPr>
        <w:t xml:space="preserve"> summarizes the major climate change factors that will have direct impacts on agricultural production and livelihoods. </w:t>
      </w:r>
      <w:r w:rsidR="00F64A6A" w:rsidRPr="00F64A6A">
        <w:rPr>
          <w:rFonts w:cs="Times New Roman"/>
          <w:bCs/>
          <w:szCs w:val="24"/>
          <w:u w:val="single"/>
        </w:rPr>
        <w:t xml:space="preserve">Though scientific model projections are not readily available for Bangladesh, global and regional modelling scenarios indicate that climate change impacts could cost Bangladesh some 5-10% of GDP annually, if left unchecked. </w:t>
      </w:r>
    </w:p>
    <w:p w:rsidR="00BF2D14" w:rsidRDefault="00BF2D14" w:rsidP="00974AEB">
      <w:pPr>
        <w:autoSpaceDE w:val="0"/>
        <w:autoSpaceDN w:val="0"/>
        <w:adjustRightInd w:val="0"/>
        <w:spacing w:line="276" w:lineRule="auto"/>
        <w:jc w:val="both"/>
        <w:rPr>
          <w:rFonts w:cs="Times New Roman"/>
          <w:bCs/>
          <w:szCs w:val="24"/>
        </w:rPr>
      </w:pPr>
      <w:r>
        <w:rPr>
          <w:rFonts w:cs="Times New Roman"/>
          <w:bCs/>
          <w:szCs w:val="24"/>
        </w:rPr>
        <w:t>Being the most climate-sensitive sector, agriculture and rural livelihoods could be the most seriously impacted for the following reasons:</w:t>
      </w:r>
    </w:p>
    <w:p w:rsidR="00BF2D14" w:rsidRPr="00A02D14" w:rsidRDefault="00BF2D14" w:rsidP="003D5A31">
      <w:pPr>
        <w:pStyle w:val="ListParagraph"/>
        <w:numPr>
          <w:ilvl w:val="0"/>
          <w:numId w:val="111"/>
        </w:numPr>
        <w:autoSpaceDE w:val="0"/>
        <w:autoSpaceDN w:val="0"/>
        <w:adjustRightInd w:val="0"/>
        <w:spacing w:line="276" w:lineRule="auto"/>
        <w:jc w:val="both"/>
        <w:rPr>
          <w:rFonts w:cs="Times New Roman"/>
          <w:bCs/>
          <w:szCs w:val="24"/>
        </w:rPr>
      </w:pPr>
      <w:r>
        <w:rPr>
          <w:rFonts w:cs="Times New Roman"/>
          <w:bCs/>
          <w:szCs w:val="24"/>
        </w:rPr>
        <w:t xml:space="preserve">Farmers could be potentially at risk of climate-driven heat stress, flooding, malnutrition and water related and vector borne diseases. </w:t>
      </w:r>
    </w:p>
    <w:p w:rsidR="00BF2D14" w:rsidRDefault="00BF2D14" w:rsidP="003D5A31">
      <w:pPr>
        <w:pStyle w:val="ListParagraph"/>
        <w:numPr>
          <w:ilvl w:val="0"/>
          <w:numId w:val="111"/>
        </w:numPr>
        <w:autoSpaceDE w:val="0"/>
        <w:autoSpaceDN w:val="0"/>
        <w:adjustRightInd w:val="0"/>
        <w:spacing w:line="276" w:lineRule="auto"/>
        <w:jc w:val="both"/>
        <w:rPr>
          <w:rFonts w:cs="Times New Roman"/>
          <w:bCs/>
          <w:szCs w:val="24"/>
        </w:rPr>
      </w:pPr>
      <w:r>
        <w:rPr>
          <w:rFonts w:cs="Times New Roman"/>
          <w:bCs/>
          <w:szCs w:val="24"/>
        </w:rPr>
        <w:t>Decline in crop yields from rising temperature and crop loss from flooding would result in falling farm incomes that will undercut poverty reduction efforts.</w:t>
      </w:r>
    </w:p>
    <w:p w:rsidR="00BF2D14" w:rsidRDefault="00BF2D14" w:rsidP="003D5A31">
      <w:pPr>
        <w:pStyle w:val="ListParagraph"/>
        <w:numPr>
          <w:ilvl w:val="0"/>
          <w:numId w:val="111"/>
        </w:numPr>
        <w:autoSpaceDE w:val="0"/>
        <w:autoSpaceDN w:val="0"/>
        <w:adjustRightInd w:val="0"/>
        <w:spacing w:line="276" w:lineRule="auto"/>
        <w:jc w:val="both"/>
        <w:rPr>
          <w:rFonts w:cs="Times New Roman"/>
          <w:bCs/>
          <w:szCs w:val="24"/>
        </w:rPr>
      </w:pPr>
      <w:r>
        <w:rPr>
          <w:rFonts w:cs="Times New Roman"/>
          <w:bCs/>
          <w:szCs w:val="24"/>
        </w:rPr>
        <w:t>Rising sea levels, salinity in</w:t>
      </w:r>
      <w:r w:rsidR="006E608C">
        <w:rPr>
          <w:rFonts w:cs="Times New Roman"/>
          <w:bCs/>
          <w:szCs w:val="24"/>
        </w:rPr>
        <w:t>tr</w:t>
      </w:r>
      <w:r>
        <w:rPr>
          <w:rFonts w:cs="Times New Roman"/>
          <w:bCs/>
          <w:szCs w:val="24"/>
        </w:rPr>
        <w:t xml:space="preserve">usion, drought, and other climate-driven changes would result in loss of farm land that could drive thousands of people to migrate out of the affected regions into urban centers putting additional pressure on already stretched urban infrastructure and services. </w:t>
      </w:r>
    </w:p>
    <w:p w:rsidR="00974AEB" w:rsidRDefault="00974AEB" w:rsidP="00974AEB">
      <w:pPr>
        <w:autoSpaceDE w:val="0"/>
        <w:autoSpaceDN w:val="0"/>
        <w:adjustRightInd w:val="0"/>
        <w:spacing w:line="276" w:lineRule="auto"/>
        <w:jc w:val="both"/>
        <w:rPr>
          <w:rFonts w:cs="Times New Roman"/>
          <w:bCs/>
          <w:szCs w:val="24"/>
        </w:rPr>
      </w:pPr>
    </w:p>
    <w:p w:rsidR="00974AEB" w:rsidRDefault="00974AEB" w:rsidP="00974AEB">
      <w:pPr>
        <w:autoSpaceDE w:val="0"/>
        <w:autoSpaceDN w:val="0"/>
        <w:adjustRightInd w:val="0"/>
        <w:spacing w:line="276" w:lineRule="auto"/>
        <w:jc w:val="both"/>
        <w:rPr>
          <w:rFonts w:cs="Times New Roman"/>
          <w:bCs/>
          <w:szCs w:val="24"/>
        </w:rPr>
      </w:pPr>
    </w:p>
    <w:p w:rsidR="00974AEB" w:rsidRDefault="00974AEB" w:rsidP="00974AEB">
      <w:pPr>
        <w:autoSpaceDE w:val="0"/>
        <w:autoSpaceDN w:val="0"/>
        <w:adjustRightInd w:val="0"/>
        <w:spacing w:line="276" w:lineRule="auto"/>
        <w:jc w:val="both"/>
        <w:rPr>
          <w:rFonts w:cs="Times New Roman"/>
          <w:bCs/>
          <w:szCs w:val="24"/>
        </w:rPr>
      </w:pPr>
    </w:p>
    <w:p w:rsidR="00974AEB" w:rsidRDefault="00974AEB" w:rsidP="00974AEB">
      <w:pPr>
        <w:autoSpaceDE w:val="0"/>
        <w:autoSpaceDN w:val="0"/>
        <w:adjustRightInd w:val="0"/>
        <w:spacing w:line="276" w:lineRule="auto"/>
        <w:jc w:val="both"/>
        <w:rPr>
          <w:rFonts w:cs="Times New Roman"/>
          <w:bCs/>
          <w:szCs w:val="24"/>
        </w:rPr>
      </w:pPr>
    </w:p>
    <w:p w:rsidR="00974AEB" w:rsidRPr="00974AEB" w:rsidRDefault="00974AEB" w:rsidP="00974AEB">
      <w:pPr>
        <w:autoSpaceDE w:val="0"/>
        <w:autoSpaceDN w:val="0"/>
        <w:adjustRightInd w:val="0"/>
        <w:spacing w:line="276" w:lineRule="auto"/>
        <w:jc w:val="both"/>
        <w:rPr>
          <w:rFonts w:cs="Times New Roman"/>
          <w:bCs/>
          <w:szCs w:val="24"/>
        </w:rPr>
      </w:pPr>
    </w:p>
    <w:p w:rsidR="00BF2D14" w:rsidRDefault="00BF2D14" w:rsidP="00BF2D14">
      <w:pPr>
        <w:pStyle w:val="ListParagraph"/>
        <w:autoSpaceDE w:val="0"/>
        <w:autoSpaceDN w:val="0"/>
        <w:adjustRightInd w:val="0"/>
        <w:spacing w:line="276" w:lineRule="auto"/>
        <w:ind w:left="360"/>
        <w:jc w:val="both"/>
        <w:rPr>
          <w:rFonts w:cs="Times New Roman"/>
          <w:sz w:val="2"/>
          <w:szCs w:val="24"/>
        </w:rPr>
      </w:pPr>
    </w:p>
    <w:p w:rsidR="0064732A" w:rsidRDefault="0064732A" w:rsidP="00BF2D14">
      <w:pPr>
        <w:pStyle w:val="ListParagraph"/>
        <w:autoSpaceDE w:val="0"/>
        <w:autoSpaceDN w:val="0"/>
        <w:adjustRightInd w:val="0"/>
        <w:spacing w:line="276" w:lineRule="auto"/>
        <w:ind w:left="360"/>
        <w:jc w:val="both"/>
        <w:rPr>
          <w:rFonts w:cs="Times New Roman"/>
          <w:sz w:val="2"/>
          <w:szCs w:val="24"/>
        </w:rPr>
      </w:pPr>
    </w:p>
    <w:p w:rsidR="0064732A" w:rsidRDefault="0064732A" w:rsidP="00BF2D14">
      <w:pPr>
        <w:pStyle w:val="ListParagraph"/>
        <w:autoSpaceDE w:val="0"/>
        <w:autoSpaceDN w:val="0"/>
        <w:adjustRightInd w:val="0"/>
        <w:spacing w:line="276" w:lineRule="auto"/>
        <w:ind w:left="360"/>
        <w:jc w:val="both"/>
        <w:rPr>
          <w:rFonts w:cs="Times New Roman"/>
          <w:sz w:val="2"/>
          <w:szCs w:val="24"/>
        </w:rPr>
      </w:pPr>
    </w:p>
    <w:p w:rsidR="0064732A" w:rsidRDefault="0064732A" w:rsidP="00BF2D14">
      <w:pPr>
        <w:pStyle w:val="ListParagraph"/>
        <w:autoSpaceDE w:val="0"/>
        <w:autoSpaceDN w:val="0"/>
        <w:adjustRightInd w:val="0"/>
        <w:spacing w:line="276" w:lineRule="auto"/>
        <w:ind w:left="360"/>
        <w:jc w:val="both"/>
        <w:rPr>
          <w:rFonts w:cs="Times New Roman"/>
          <w:sz w:val="2"/>
          <w:szCs w:val="24"/>
        </w:rPr>
      </w:pPr>
    </w:p>
    <w:p w:rsidR="0064732A" w:rsidRDefault="0064732A" w:rsidP="00BF2D14">
      <w:pPr>
        <w:pStyle w:val="ListParagraph"/>
        <w:autoSpaceDE w:val="0"/>
        <w:autoSpaceDN w:val="0"/>
        <w:adjustRightInd w:val="0"/>
        <w:spacing w:line="276" w:lineRule="auto"/>
        <w:ind w:left="360"/>
        <w:jc w:val="both"/>
        <w:rPr>
          <w:rFonts w:cs="Times New Roman"/>
          <w:sz w:val="2"/>
          <w:szCs w:val="24"/>
        </w:rPr>
      </w:pPr>
    </w:p>
    <w:p w:rsidR="0064732A" w:rsidRPr="00490A06" w:rsidRDefault="0064732A" w:rsidP="00BF2D14">
      <w:pPr>
        <w:pStyle w:val="ListParagraph"/>
        <w:autoSpaceDE w:val="0"/>
        <w:autoSpaceDN w:val="0"/>
        <w:adjustRightInd w:val="0"/>
        <w:spacing w:line="276" w:lineRule="auto"/>
        <w:ind w:left="360"/>
        <w:jc w:val="both"/>
        <w:rPr>
          <w:rFonts w:cs="Times New Roman"/>
          <w:sz w:val="2"/>
          <w:szCs w:val="24"/>
        </w:rPr>
      </w:pPr>
    </w:p>
    <w:p w:rsidR="00BF2D14" w:rsidRPr="00E90322" w:rsidRDefault="00BF2D14" w:rsidP="00E3762D">
      <w:pPr>
        <w:pStyle w:val="Heading4"/>
      </w:pPr>
      <w:bookmarkStart w:id="593" w:name="_Toc474639054"/>
      <w:r>
        <w:lastRenderedPageBreak/>
        <w:t>Table 8.</w:t>
      </w:r>
      <w:r w:rsidR="0081006C">
        <w:t>10</w:t>
      </w:r>
      <w:r>
        <w:t>: Climate Change and Potential I</w:t>
      </w:r>
      <w:r w:rsidRPr="00E90322">
        <w:t>mpacts on Agriculture</w:t>
      </w:r>
      <w:bookmarkEnd w:id="593"/>
    </w:p>
    <w:tbl>
      <w:tblPr>
        <w:tblW w:w="4991" w:type="pct"/>
        <w:jc w:val="center"/>
        <w:tblLook w:val="04A0"/>
      </w:tblPr>
      <w:tblGrid>
        <w:gridCol w:w="2440"/>
        <w:gridCol w:w="3420"/>
        <w:gridCol w:w="3699"/>
      </w:tblGrid>
      <w:tr w:rsidR="00BF2D14" w:rsidRPr="00FB5A70" w:rsidTr="00B316F7">
        <w:trPr>
          <w:trHeight w:val="310"/>
          <w:jc w:val="center"/>
        </w:trPr>
        <w:tc>
          <w:tcPr>
            <w:tcW w:w="1276" w:type="pct"/>
            <w:tcBorders>
              <w:top w:val="single" w:sz="4" w:space="0" w:color="auto"/>
              <w:left w:val="single" w:sz="4" w:space="0" w:color="auto"/>
              <w:bottom w:val="single" w:sz="4" w:space="0" w:color="auto"/>
              <w:right w:val="single" w:sz="4" w:space="0" w:color="auto"/>
            </w:tcBorders>
            <w:shd w:val="clear" w:color="auto" w:fill="auto"/>
            <w:hideMark/>
          </w:tcPr>
          <w:p w:rsidR="00BF2D14" w:rsidRPr="00BC512A" w:rsidRDefault="00BF2D14" w:rsidP="00B316F7">
            <w:pPr>
              <w:spacing w:after="0" w:line="240" w:lineRule="auto"/>
              <w:rPr>
                <w:rFonts w:eastAsia="Times New Roman" w:cs="Times New Roman"/>
                <w:b/>
                <w:color w:val="000000"/>
              </w:rPr>
            </w:pPr>
            <w:r>
              <w:rPr>
                <w:rFonts w:eastAsia="Times New Roman" w:cs="Times New Roman"/>
                <w:b/>
                <w:color w:val="000000"/>
              </w:rPr>
              <w:t>Key vulnerabilities</w:t>
            </w:r>
          </w:p>
        </w:tc>
        <w:tc>
          <w:tcPr>
            <w:tcW w:w="1789" w:type="pct"/>
            <w:tcBorders>
              <w:top w:val="single" w:sz="4" w:space="0" w:color="auto"/>
              <w:left w:val="nil"/>
              <w:bottom w:val="single" w:sz="4" w:space="0" w:color="auto"/>
              <w:right w:val="single" w:sz="4" w:space="0" w:color="auto"/>
            </w:tcBorders>
            <w:shd w:val="clear" w:color="auto" w:fill="auto"/>
            <w:hideMark/>
          </w:tcPr>
          <w:p w:rsidR="00BF2D14" w:rsidRPr="00BC512A" w:rsidRDefault="00BF2D14" w:rsidP="00B316F7">
            <w:pPr>
              <w:spacing w:after="0" w:line="240" w:lineRule="auto"/>
              <w:rPr>
                <w:rFonts w:eastAsia="Times New Roman" w:cs="Times New Roman"/>
                <w:b/>
                <w:color w:val="000000"/>
              </w:rPr>
            </w:pPr>
            <w:r>
              <w:rPr>
                <w:rFonts w:eastAsia="Times New Roman" w:cs="Times New Roman"/>
                <w:b/>
                <w:color w:val="000000"/>
              </w:rPr>
              <w:t>Outcomes</w:t>
            </w:r>
          </w:p>
        </w:tc>
        <w:tc>
          <w:tcPr>
            <w:tcW w:w="1935" w:type="pct"/>
            <w:tcBorders>
              <w:top w:val="single" w:sz="4" w:space="0" w:color="auto"/>
              <w:left w:val="nil"/>
              <w:bottom w:val="single" w:sz="4" w:space="0" w:color="auto"/>
              <w:right w:val="single" w:sz="4" w:space="0" w:color="auto"/>
            </w:tcBorders>
          </w:tcPr>
          <w:p w:rsidR="00BF2D14" w:rsidRPr="00BC512A" w:rsidRDefault="00BF2D14" w:rsidP="00B316F7">
            <w:pPr>
              <w:spacing w:after="0" w:line="240" w:lineRule="auto"/>
              <w:rPr>
                <w:rFonts w:eastAsia="Times New Roman" w:cs="Times New Roman"/>
                <w:b/>
                <w:color w:val="000000"/>
              </w:rPr>
            </w:pPr>
            <w:r w:rsidRPr="00BC512A">
              <w:rPr>
                <w:rFonts w:eastAsia="Times New Roman" w:cs="Times New Roman"/>
                <w:b/>
                <w:color w:val="000000"/>
              </w:rPr>
              <w:t>Impacts on agriculture</w:t>
            </w:r>
          </w:p>
        </w:tc>
      </w:tr>
      <w:tr w:rsidR="00BF2D14" w:rsidRPr="00FB5A70" w:rsidTr="00B316F7">
        <w:trPr>
          <w:trHeight w:val="1241"/>
          <w:jc w:val="center"/>
        </w:trPr>
        <w:tc>
          <w:tcPr>
            <w:tcW w:w="1276" w:type="pct"/>
            <w:tcBorders>
              <w:top w:val="nil"/>
              <w:left w:val="single" w:sz="4" w:space="0" w:color="auto"/>
              <w:bottom w:val="single" w:sz="4" w:space="0" w:color="auto"/>
              <w:right w:val="single" w:sz="4" w:space="0" w:color="auto"/>
            </w:tcBorders>
            <w:shd w:val="clear" w:color="auto" w:fill="auto"/>
            <w:hideMark/>
          </w:tcPr>
          <w:p w:rsidR="00BF2D14" w:rsidRPr="006A688E" w:rsidRDefault="00BF2D14" w:rsidP="00B316F7">
            <w:pPr>
              <w:spacing w:after="0" w:line="276" w:lineRule="auto"/>
              <w:jc w:val="both"/>
              <w:rPr>
                <w:rFonts w:eastAsia="Times New Roman" w:cs="Times New Roman"/>
                <w:color w:val="000000"/>
                <w:sz w:val="20"/>
                <w:szCs w:val="20"/>
              </w:rPr>
            </w:pPr>
            <w:r w:rsidRPr="006A688E">
              <w:rPr>
                <w:rFonts w:eastAsia="Times New Roman" w:cs="Times New Roman"/>
                <w:b/>
                <w:color w:val="000000"/>
                <w:sz w:val="20"/>
                <w:szCs w:val="20"/>
              </w:rPr>
              <w:t>Climate change may Increase rainfall variability</w:t>
            </w:r>
            <w:r w:rsidRPr="006A688E">
              <w:rPr>
                <w:rFonts w:eastAsia="Times New Roman" w:cs="Times New Roman"/>
                <w:color w:val="000000"/>
                <w:sz w:val="20"/>
                <w:szCs w:val="20"/>
              </w:rPr>
              <w:t xml:space="preserve">, I.e. </w:t>
            </w:r>
            <w:r w:rsidRPr="006A688E">
              <w:rPr>
                <w:rFonts w:cs="Times New Roman"/>
                <w:b/>
                <w:sz w:val="20"/>
                <w:szCs w:val="20"/>
              </w:rPr>
              <w:t xml:space="preserve">heavier and more </w:t>
            </w:r>
            <w:r w:rsidRPr="006A688E">
              <w:rPr>
                <w:rFonts w:cs="Times New Roman"/>
                <w:b/>
                <w:spacing w:val="-1"/>
                <w:sz w:val="20"/>
                <w:szCs w:val="20"/>
              </w:rPr>
              <w:t>erratic</w:t>
            </w:r>
            <w:r w:rsidRPr="006A688E">
              <w:rPr>
                <w:rFonts w:cs="Times New Roman"/>
                <w:b/>
                <w:sz w:val="20"/>
                <w:szCs w:val="20"/>
              </w:rPr>
              <w:t xml:space="preserve"> </w:t>
            </w:r>
            <w:r w:rsidRPr="006A688E">
              <w:rPr>
                <w:rFonts w:cs="Times New Roman"/>
                <w:b/>
                <w:spacing w:val="-1"/>
                <w:sz w:val="20"/>
                <w:szCs w:val="20"/>
              </w:rPr>
              <w:t xml:space="preserve">rainfall </w:t>
            </w:r>
          </w:p>
        </w:tc>
        <w:tc>
          <w:tcPr>
            <w:tcW w:w="1789" w:type="pct"/>
            <w:tcBorders>
              <w:top w:val="nil"/>
              <w:left w:val="nil"/>
              <w:bottom w:val="single" w:sz="4" w:space="0" w:color="auto"/>
              <w:right w:val="single" w:sz="4" w:space="0" w:color="auto"/>
            </w:tcBorders>
            <w:shd w:val="clear" w:color="auto" w:fill="auto"/>
            <w:hideMark/>
          </w:tcPr>
          <w:p w:rsidR="00BF2D14" w:rsidRPr="00542D2C" w:rsidRDefault="00BF2D14" w:rsidP="00B316F7">
            <w:pPr>
              <w:pStyle w:val="BodyText"/>
              <w:spacing w:line="276" w:lineRule="auto"/>
              <w:jc w:val="both"/>
              <w:rPr>
                <w:rFonts w:cs="Times New Roman"/>
                <w:sz w:val="20"/>
              </w:rPr>
            </w:pPr>
            <w:r w:rsidRPr="00542D2C">
              <w:rPr>
                <w:rFonts w:eastAsia="Trebuchet MS" w:cs="Times New Roman"/>
                <w:b/>
                <w:bCs/>
                <w:sz w:val="20"/>
              </w:rPr>
              <w:t xml:space="preserve">Higher river flows, </w:t>
            </w:r>
            <w:r w:rsidRPr="00542D2C">
              <w:rPr>
                <w:rFonts w:eastAsia="Trebuchet MS" w:cs="Times New Roman"/>
                <w:sz w:val="20"/>
              </w:rPr>
              <w:t>causing over-topping and breaching of embankments; widespread flooding.</w:t>
            </w:r>
          </w:p>
          <w:p w:rsidR="00BF2D14" w:rsidRPr="006A688E" w:rsidRDefault="00BF2D14" w:rsidP="00B316F7">
            <w:pPr>
              <w:tabs>
                <w:tab w:val="left" w:pos="1114"/>
              </w:tabs>
              <w:spacing w:after="0" w:line="276" w:lineRule="auto"/>
              <w:jc w:val="both"/>
              <w:rPr>
                <w:rFonts w:eastAsia="Trebuchet MS" w:cs="Times New Roman"/>
                <w:sz w:val="20"/>
                <w:szCs w:val="20"/>
              </w:rPr>
            </w:pPr>
            <w:r>
              <w:rPr>
                <w:rFonts w:eastAsia="Trebuchet MS" w:cs="Times New Roman"/>
                <w:b/>
                <w:bCs/>
                <w:sz w:val="20"/>
                <w:szCs w:val="20"/>
              </w:rPr>
              <w:t>R</w:t>
            </w:r>
            <w:r w:rsidRPr="006A688E">
              <w:rPr>
                <w:rFonts w:eastAsia="Trebuchet MS" w:cs="Times New Roman"/>
                <w:b/>
                <w:bCs/>
                <w:sz w:val="20"/>
                <w:szCs w:val="20"/>
              </w:rPr>
              <w:t xml:space="preserve">iver bank erosion </w:t>
            </w:r>
            <w:r w:rsidRPr="006A688E">
              <w:rPr>
                <w:rFonts w:eastAsia="Trebuchet MS" w:cs="Times New Roman"/>
                <w:sz w:val="20"/>
                <w:szCs w:val="20"/>
              </w:rPr>
              <w:t>resulting in loss of homes and agricultural land to the rivers;</w:t>
            </w:r>
          </w:p>
          <w:p w:rsidR="00BF2D14" w:rsidRPr="006A688E" w:rsidRDefault="00BF2D14" w:rsidP="00B316F7">
            <w:pPr>
              <w:tabs>
                <w:tab w:val="left" w:pos="1474"/>
              </w:tabs>
              <w:spacing w:after="0" w:line="276" w:lineRule="auto"/>
              <w:jc w:val="both"/>
              <w:rPr>
                <w:rFonts w:eastAsia="Trebuchet MS" w:cs="Times New Roman"/>
                <w:sz w:val="20"/>
                <w:szCs w:val="20"/>
              </w:rPr>
            </w:pPr>
            <w:r>
              <w:rPr>
                <w:rFonts w:eastAsia="Trebuchet MS" w:cs="Times New Roman"/>
                <w:b/>
                <w:bCs/>
                <w:sz w:val="20"/>
                <w:szCs w:val="20"/>
              </w:rPr>
              <w:t>I</w:t>
            </w:r>
            <w:r w:rsidRPr="006A688E">
              <w:rPr>
                <w:rFonts w:eastAsia="Trebuchet MS" w:cs="Times New Roman"/>
                <w:b/>
                <w:bCs/>
                <w:sz w:val="20"/>
                <w:szCs w:val="20"/>
              </w:rPr>
              <w:t>ncreased sedimentation</w:t>
            </w:r>
            <w:r w:rsidRPr="006A688E">
              <w:rPr>
                <w:rFonts w:eastAsia="Trebuchet MS" w:cs="Times New Roman"/>
                <w:b/>
                <w:bCs/>
                <w:spacing w:val="-1"/>
                <w:sz w:val="20"/>
                <w:szCs w:val="20"/>
              </w:rPr>
              <w:t xml:space="preserve"> </w:t>
            </w:r>
            <w:r w:rsidRPr="006A688E">
              <w:rPr>
                <w:rFonts w:eastAsia="Trebuchet MS" w:cs="Times New Roman"/>
                <w:sz w:val="20"/>
                <w:szCs w:val="20"/>
              </w:rPr>
              <w:t>in riverbeds leading to drainage congestion and water- logging</w:t>
            </w:r>
            <w:r>
              <w:rPr>
                <w:rFonts w:eastAsia="Trebuchet MS" w:cs="Times New Roman"/>
                <w:sz w:val="20"/>
                <w:szCs w:val="20"/>
              </w:rPr>
              <w:t>.</w:t>
            </w:r>
          </w:p>
        </w:tc>
        <w:tc>
          <w:tcPr>
            <w:tcW w:w="1935" w:type="pct"/>
            <w:tcBorders>
              <w:top w:val="nil"/>
              <w:left w:val="nil"/>
              <w:bottom w:val="single" w:sz="4" w:space="0" w:color="auto"/>
              <w:right w:val="single" w:sz="4" w:space="0" w:color="auto"/>
            </w:tcBorders>
          </w:tcPr>
          <w:p w:rsidR="00BF2D14" w:rsidRPr="006A688E" w:rsidRDefault="00BF2D14" w:rsidP="00B316F7">
            <w:pPr>
              <w:spacing w:after="0" w:line="276" w:lineRule="auto"/>
              <w:jc w:val="both"/>
              <w:rPr>
                <w:rFonts w:eastAsia="Times New Roman" w:cs="Times New Roman"/>
                <w:color w:val="000000"/>
                <w:sz w:val="20"/>
                <w:szCs w:val="20"/>
              </w:rPr>
            </w:pPr>
            <w:r w:rsidRPr="006A688E">
              <w:rPr>
                <w:rFonts w:eastAsia="Times New Roman" w:cs="Times New Roman"/>
                <w:color w:val="000000"/>
                <w:sz w:val="20"/>
                <w:szCs w:val="20"/>
              </w:rPr>
              <w:t>Reduced crop yield affects diet and nutrition;</w:t>
            </w:r>
          </w:p>
          <w:p w:rsidR="00BF2D14" w:rsidRPr="006A688E" w:rsidRDefault="00BF2D14" w:rsidP="00B316F7">
            <w:pPr>
              <w:spacing w:after="0" w:line="276" w:lineRule="auto"/>
              <w:jc w:val="both"/>
              <w:rPr>
                <w:rFonts w:cs="Times New Roman"/>
                <w:sz w:val="20"/>
                <w:szCs w:val="20"/>
              </w:rPr>
            </w:pPr>
            <w:r w:rsidRPr="006A688E">
              <w:rPr>
                <w:rFonts w:cs="Times New Roman"/>
                <w:sz w:val="20"/>
                <w:szCs w:val="20"/>
              </w:rPr>
              <w:t>IPCC estimates that, by 2050, rice production in Bangladesh could decline by 8% and wheat by 32%, compared to 1990;</w:t>
            </w:r>
          </w:p>
          <w:p w:rsidR="00BF2D14" w:rsidRPr="006A688E" w:rsidRDefault="00BF2D14" w:rsidP="00B316F7">
            <w:pPr>
              <w:spacing w:after="0" w:line="276" w:lineRule="auto"/>
              <w:jc w:val="both"/>
              <w:rPr>
                <w:rFonts w:eastAsia="Times New Roman" w:cs="Times New Roman"/>
                <w:color w:val="000000"/>
                <w:sz w:val="20"/>
                <w:szCs w:val="20"/>
              </w:rPr>
            </w:pPr>
            <w:r w:rsidRPr="006A688E">
              <w:rPr>
                <w:rFonts w:cs="Times New Roman"/>
                <w:color w:val="000000"/>
                <w:sz w:val="20"/>
                <w:szCs w:val="20"/>
              </w:rPr>
              <w:t>Existing crops are not sustainable under climate change</w:t>
            </w:r>
          </w:p>
        </w:tc>
      </w:tr>
      <w:tr w:rsidR="00BF2D14" w:rsidRPr="00FB5A70" w:rsidTr="00B316F7">
        <w:trPr>
          <w:trHeight w:val="638"/>
          <w:jc w:val="center"/>
        </w:trPr>
        <w:tc>
          <w:tcPr>
            <w:tcW w:w="1276" w:type="pct"/>
            <w:tcBorders>
              <w:top w:val="nil"/>
              <w:left w:val="single" w:sz="4" w:space="0" w:color="auto"/>
              <w:bottom w:val="single" w:sz="4" w:space="0" w:color="auto"/>
              <w:right w:val="single" w:sz="4" w:space="0" w:color="auto"/>
            </w:tcBorders>
            <w:shd w:val="clear" w:color="auto" w:fill="auto"/>
            <w:hideMark/>
          </w:tcPr>
          <w:p w:rsidR="00BF2D14" w:rsidRPr="006A688E" w:rsidRDefault="00BF2D14" w:rsidP="00B316F7">
            <w:pPr>
              <w:widowControl w:val="0"/>
              <w:tabs>
                <w:tab w:val="left" w:pos="1103"/>
              </w:tabs>
              <w:spacing w:after="0" w:line="276" w:lineRule="auto"/>
              <w:ind w:right="85"/>
              <w:jc w:val="both"/>
              <w:rPr>
                <w:rFonts w:eastAsia="Times New Roman" w:cs="Times New Roman"/>
                <w:color w:val="000000"/>
                <w:sz w:val="20"/>
                <w:szCs w:val="20"/>
              </w:rPr>
            </w:pPr>
            <w:r w:rsidRPr="006A688E">
              <w:rPr>
                <w:rFonts w:cs="Times New Roman"/>
                <w:b/>
                <w:sz w:val="20"/>
                <w:szCs w:val="20"/>
              </w:rPr>
              <w:t xml:space="preserve">Lower and more </w:t>
            </w:r>
            <w:r w:rsidRPr="006A688E">
              <w:rPr>
                <w:rFonts w:cs="Times New Roman"/>
                <w:b/>
                <w:spacing w:val="-1"/>
                <w:sz w:val="20"/>
                <w:szCs w:val="20"/>
              </w:rPr>
              <w:t>erratic</w:t>
            </w:r>
            <w:r w:rsidRPr="006A688E">
              <w:rPr>
                <w:rFonts w:cs="Times New Roman"/>
                <w:b/>
                <w:sz w:val="20"/>
                <w:szCs w:val="20"/>
              </w:rPr>
              <w:t xml:space="preserve"> </w:t>
            </w:r>
            <w:r w:rsidRPr="006A688E">
              <w:rPr>
                <w:rFonts w:cs="Times New Roman"/>
                <w:b/>
                <w:spacing w:val="-1"/>
                <w:sz w:val="20"/>
                <w:szCs w:val="20"/>
              </w:rPr>
              <w:t>rainfall</w:t>
            </w:r>
          </w:p>
        </w:tc>
        <w:tc>
          <w:tcPr>
            <w:tcW w:w="1789" w:type="pct"/>
            <w:tcBorders>
              <w:top w:val="nil"/>
              <w:left w:val="nil"/>
              <w:bottom w:val="single" w:sz="4" w:space="0" w:color="auto"/>
              <w:right w:val="single" w:sz="4" w:space="0" w:color="auto"/>
            </w:tcBorders>
            <w:shd w:val="clear" w:color="auto" w:fill="auto"/>
            <w:hideMark/>
          </w:tcPr>
          <w:p w:rsidR="00BF2D14" w:rsidRPr="006A688E" w:rsidRDefault="00BF2D14" w:rsidP="00B316F7">
            <w:pPr>
              <w:widowControl w:val="0"/>
              <w:tabs>
                <w:tab w:val="left" w:pos="1103"/>
              </w:tabs>
              <w:spacing w:after="0" w:line="276" w:lineRule="auto"/>
              <w:ind w:right="85"/>
              <w:jc w:val="both"/>
              <w:rPr>
                <w:rFonts w:eastAsia="Trebuchet MS" w:cs="Times New Roman"/>
                <w:sz w:val="20"/>
                <w:szCs w:val="20"/>
              </w:rPr>
            </w:pPr>
            <w:r>
              <w:rPr>
                <w:rFonts w:cs="Times New Roman"/>
                <w:sz w:val="20"/>
                <w:szCs w:val="20"/>
              </w:rPr>
              <w:t>I</w:t>
            </w:r>
            <w:r w:rsidRPr="006A688E">
              <w:rPr>
                <w:rFonts w:cs="Times New Roman"/>
                <w:sz w:val="20"/>
                <w:szCs w:val="20"/>
              </w:rPr>
              <w:t xml:space="preserve">ncreasing droughts, especially in drier northern and western regions </w:t>
            </w:r>
          </w:p>
        </w:tc>
        <w:tc>
          <w:tcPr>
            <w:tcW w:w="1935" w:type="pct"/>
            <w:tcBorders>
              <w:top w:val="nil"/>
              <w:left w:val="nil"/>
              <w:bottom w:val="single" w:sz="4" w:space="0" w:color="auto"/>
              <w:right w:val="single" w:sz="4" w:space="0" w:color="auto"/>
            </w:tcBorders>
          </w:tcPr>
          <w:p w:rsidR="00BF2D14" w:rsidRPr="006A688E" w:rsidRDefault="00BF2D14" w:rsidP="00B316F7">
            <w:pPr>
              <w:spacing w:after="0" w:line="276" w:lineRule="auto"/>
              <w:jc w:val="both"/>
              <w:rPr>
                <w:rFonts w:eastAsia="Times New Roman" w:cs="Times New Roman"/>
                <w:color w:val="000000"/>
                <w:sz w:val="20"/>
                <w:szCs w:val="20"/>
              </w:rPr>
            </w:pPr>
            <w:r w:rsidRPr="006A688E">
              <w:rPr>
                <w:rFonts w:eastAsia="Times New Roman" w:cs="Times New Roman"/>
                <w:color w:val="000000"/>
                <w:sz w:val="20"/>
                <w:szCs w:val="20"/>
              </w:rPr>
              <w:t>Livelihood activities in drought-prone areas will suffer as a result of increased impact of drought due to climate change</w:t>
            </w:r>
          </w:p>
        </w:tc>
      </w:tr>
      <w:tr w:rsidR="00BF2D14" w:rsidRPr="00FB5A70" w:rsidTr="00B316F7">
        <w:trPr>
          <w:trHeight w:val="167"/>
          <w:jc w:val="center"/>
        </w:trPr>
        <w:tc>
          <w:tcPr>
            <w:tcW w:w="1276" w:type="pct"/>
            <w:tcBorders>
              <w:top w:val="nil"/>
              <w:left w:val="single" w:sz="4" w:space="0" w:color="auto"/>
              <w:bottom w:val="single" w:sz="4" w:space="0" w:color="auto"/>
              <w:right w:val="single" w:sz="4" w:space="0" w:color="auto"/>
            </w:tcBorders>
            <w:shd w:val="clear" w:color="auto" w:fill="auto"/>
            <w:hideMark/>
          </w:tcPr>
          <w:p w:rsidR="00BF2D14" w:rsidRPr="007C1ECE" w:rsidRDefault="00BF2D14" w:rsidP="00B316F7">
            <w:pPr>
              <w:pStyle w:val="BodyText"/>
              <w:tabs>
                <w:tab w:val="left" w:pos="1103"/>
              </w:tabs>
              <w:spacing w:line="276" w:lineRule="auto"/>
              <w:jc w:val="both"/>
              <w:rPr>
                <w:rFonts w:cs="Times New Roman"/>
                <w:sz w:val="20"/>
              </w:rPr>
            </w:pPr>
            <w:r w:rsidRPr="007C1ECE">
              <w:rPr>
                <w:rFonts w:cs="Times New Roman"/>
                <w:b/>
                <w:sz w:val="20"/>
              </w:rPr>
              <w:t>Me</w:t>
            </w:r>
            <w:r>
              <w:rPr>
                <w:rFonts w:cs="Times New Roman"/>
                <w:b/>
                <w:sz w:val="20"/>
              </w:rPr>
              <w:t>lting of the Himalayan glaciers</w:t>
            </w:r>
          </w:p>
          <w:p w:rsidR="00BF2D14" w:rsidRPr="006A688E" w:rsidRDefault="00BF2D14" w:rsidP="00B316F7">
            <w:pPr>
              <w:spacing w:after="0" w:line="276" w:lineRule="auto"/>
              <w:jc w:val="both"/>
              <w:rPr>
                <w:rFonts w:eastAsia="Times New Roman" w:cs="Times New Roman"/>
                <w:color w:val="000000"/>
                <w:sz w:val="20"/>
                <w:szCs w:val="20"/>
              </w:rPr>
            </w:pPr>
          </w:p>
        </w:tc>
        <w:tc>
          <w:tcPr>
            <w:tcW w:w="1789" w:type="pct"/>
            <w:tcBorders>
              <w:top w:val="nil"/>
              <w:left w:val="nil"/>
              <w:bottom w:val="single" w:sz="4" w:space="0" w:color="auto"/>
              <w:right w:val="single" w:sz="4" w:space="0" w:color="auto"/>
            </w:tcBorders>
            <w:shd w:val="clear" w:color="auto" w:fill="auto"/>
            <w:hideMark/>
          </w:tcPr>
          <w:p w:rsidR="00BF2D14" w:rsidRPr="006A688E" w:rsidRDefault="00BF2D14" w:rsidP="00B316F7">
            <w:pPr>
              <w:spacing w:after="0" w:line="276" w:lineRule="auto"/>
              <w:jc w:val="both"/>
              <w:rPr>
                <w:rFonts w:eastAsia="Times New Roman" w:cs="Times New Roman"/>
                <w:color w:val="000000"/>
                <w:sz w:val="20"/>
                <w:szCs w:val="20"/>
              </w:rPr>
            </w:pPr>
            <w:r>
              <w:rPr>
                <w:rFonts w:cs="Times New Roman"/>
                <w:sz w:val="20"/>
                <w:szCs w:val="20"/>
              </w:rPr>
              <w:t>H</w:t>
            </w:r>
            <w:r w:rsidRPr="006A688E">
              <w:rPr>
                <w:rFonts w:cs="Times New Roman"/>
                <w:sz w:val="20"/>
                <w:szCs w:val="20"/>
              </w:rPr>
              <w:t xml:space="preserve">igher river flows in the warmer months of the </w:t>
            </w:r>
            <w:r w:rsidRPr="006A688E">
              <w:rPr>
                <w:rFonts w:cs="Times New Roman"/>
                <w:spacing w:val="-6"/>
                <w:sz w:val="20"/>
                <w:szCs w:val="20"/>
              </w:rPr>
              <w:t>year,</w:t>
            </w:r>
            <w:r w:rsidRPr="006A688E">
              <w:rPr>
                <w:rFonts w:cs="Times New Roman"/>
                <w:sz w:val="20"/>
                <w:szCs w:val="20"/>
              </w:rPr>
              <w:t xml:space="preserve"> followed by lower river flows and increased</w:t>
            </w:r>
            <w:r w:rsidRPr="006A688E">
              <w:rPr>
                <w:rFonts w:cs="Times New Roman"/>
                <w:spacing w:val="24"/>
                <w:sz w:val="20"/>
                <w:szCs w:val="20"/>
              </w:rPr>
              <w:t xml:space="preserve"> </w:t>
            </w:r>
            <w:r w:rsidRPr="006A688E">
              <w:rPr>
                <w:rFonts w:cs="Times New Roman"/>
                <w:sz w:val="20"/>
                <w:szCs w:val="20"/>
              </w:rPr>
              <w:t>saline intrusion after the glaciers have shrunk</w:t>
            </w:r>
          </w:p>
        </w:tc>
        <w:tc>
          <w:tcPr>
            <w:tcW w:w="1935" w:type="pct"/>
            <w:tcBorders>
              <w:top w:val="nil"/>
              <w:left w:val="nil"/>
              <w:bottom w:val="single" w:sz="4" w:space="0" w:color="auto"/>
              <w:right w:val="single" w:sz="4" w:space="0" w:color="auto"/>
            </w:tcBorders>
          </w:tcPr>
          <w:p w:rsidR="00BF2D14" w:rsidRPr="006A688E" w:rsidRDefault="00BF2D14" w:rsidP="00B316F7">
            <w:pPr>
              <w:spacing w:after="0" w:line="276" w:lineRule="auto"/>
              <w:jc w:val="both"/>
              <w:rPr>
                <w:rFonts w:eastAsia="Times New Roman" w:cs="Times New Roman"/>
                <w:color w:val="000000"/>
                <w:sz w:val="20"/>
                <w:szCs w:val="20"/>
              </w:rPr>
            </w:pPr>
            <w:r w:rsidRPr="006A688E">
              <w:rPr>
                <w:rFonts w:eastAsia="Times New Roman" w:cs="Times New Roman"/>
                <w:color w:val="000000"/>
                <w:sz w:val="20"/>
                <w:szCs w:val="20"/>
              </w:rPr>
              <w:t>Lower agricultural yield</w:t>
            </w:r>
            <w:r>
              <w:rPr>
                <w:rFonts w:eastAsia="Times New Roman" w:cs="Times New Roman"/>
                <w:color w:val="000000"/>
                <w:sz w:val="20"/>
                <w:szCs w:val="20"/>
              </w:rPr>
              <w:t>s</w:t>
            </w:r>
          </w:p>
        </w:tc>
      </w:tr>
      <w:tr w:rsidR="00BF2D14" w:rsidRPr="00FB5A70" w:rsidTr="00B316F7">
        <w:trPr>
          <w:trHeight w:val="620"/>
          <w:jc w:val="center"/>
        </w:trPr>
        <w:tc>
          <w:tcPr>
            <w:tcW w:w="1276" w:type="pct"/>
            <w:tcBorders>
              <w:top w:val="nil"/>
              <w:left w:val="single" w:sz="4" w:space="0" w:color="auto"/>
              <w:bottom w:val="single" w:sz="4" w:space="0" w:color="auto"/>
              <w:right w:val="single" w:sz="4" w:space="0" w:color="auto"/>
            </w:tcBorders>
            <w:shd w:val="clear" w:color="auto" w:fill="auto"/>
            <w:hideMark/>
          </w:tcPr>
          <w:p w:rsidR="00BF2D14" w:rsidRPr="006A688E" w:rsidRDefault="00BF2D14" w:rsidP="00B316F7">
            <w:pPr>
              <w:spacing w:after="0" w:line="276" w:lineRule="auto"/>
              <w:jc w:val="both"/>
              <w:rPr>
                <w:rFonts w:eastAsia="Times New Roman" w:cs="Times New Roman"/>
                <w:color w:val="000000"/>
                <w:sz w:val="20"/>
                <w:szCs w:val="20"/>
              </w:rPr>
            </w:pPr>
            <w:r w:rsidRPr="006A688E">
              <w:rPr>
                <w:rFonts w:cs="Times New Roman"/>
                <w:b/>
                <w:sz w:val="20"/>
                <w:szCs w:val="20"/>
              </w:rPr>
              <w:t>Sea level rises</w:t>
            </w:r>
            <w:r w:rsidRPr="006A688E">
              <w:rPr>
                <w:rFonts w:cs="Times New Roman"/>
                <w:b/>
                <w:spacing w:val="-1"/>
                <w:sz w:val="20"/>
                <w:szCs w:val="20"/>
              </w:rPr>
              <w:t xml:space="preserve"> </w:t>
            </w:r>
          </w:p>
        </w:tc>
        <w:tc>
          <w:tcPr>
            <w:tcW w:w="1789" w:type="pct"/>
            <w:tcBorders>
              <w:top w:val="nil"/>
              <w:left w:val="nil"/>
              <w:bottom w:val="single" w:sz="4" w:space="0" w:color="auto"/>
              <w:right w:val="single" w:sz="4" w:space="0" w:color="auto"/>
            </w:tcBorders>
            <w:shd w:val="clear" w:color="auto" w:fill="auto"/>
            <w:hideMark/>
          </w:tcPr>
          <w:p w:rsidR="00BF2D14" w:rsidRPr="006A688E" w:rsidRDefault="00BF2D14" w:rsidP="00B316F7">
            <w:pPr>
              <w:spacing w:after="0" w:line="276" w:lineRule="auto"/>
              <w:jc w:val="both"/>
              <w:rPr>
                <w:rFonts w:eastAsia="Times New Roman" w:cs="Times New Roman"/>
                <w:color w:val="000000"/>
                <w:sz w:val="20"/>
                <w:szCs w:val="20"/>
              </w:rPr>
            </w:pPr>
            <w:r>
              <w:rPr>
                <w:rFonts w:cs="Times New Roman"/>
                <w:sz w:val="20"/>
                <w:szCs w:val="20"/>
              </w:rPr>
              <w:t>S</w:t>
            </w:r>
            <w:r w:rsidRPr="006A688E">
              <w:rPr>
                <w:rFonts w:cs="Times New Roman"/>
                <w:sz w:val="20"/>
                <w:szCs w:val="20"/>
              </w:rPr>
              <w:t>ubmergence of low- lying coastal areas and saline water intrusion up coastal rivers and into groundwater aquifers; reducing freshwater availability; damage to the Sundarbans mangrove forest; and drainage co</w:t>
            </w:r>
            <w:r>
              <w:rPr>
                <w:rFonts w:cs="Times New Roman"/>
                <w:sz w:val="20"/>
                <w:szCs w:val="20"/>
              </w:rPr>
              <w:t>ngestion inside coastal polders</w:t>
            </w:r>
            <w:r w:rsidRPr="006A688E">
              <w:rPr>
                <w:rFonts w:cs="Times New Roman"/>
                <w:sz w:val="20"/>
                <w:szCs w:val="20"/>
              </w:rPr>
              <w:t xml:space="preserve"> </w:t>
            </w:r>
          </w:p>
        </w:tc>
        <w:tc>
          <w:tcPr>
            <w:tcW w:w="1935" w:type="pct"/>
            <w:tcBorders>
              <w:top w:val="nil"/>
              <w:left w:val="nil"/>
              <w:bottom w:val="single" w:sz="4" w:space="0" w:color="auto"/>
              <w:right w:val="single" w:sz="4" w:space="0" w:color="auto"/>
            </w:tcBorders>
          </w:tcPr>
          <w:p w:rsidR="00BF2D14" w:rsidRPr="006A688E" w:rsidRDefault="00BF2D14" w:rsidP="00B316F7">
            <w:pPr>
              <w:spacing w:after="0" w:line="276" w:lineRule="auto"/>
              <w:jc w:val="both"/>
              <w:rPr>
                <w:rFonts w:eastAsia="Times New Roman" w:cs="Times New Roman"/>
                <w:color w:val="000000"/>
                <w:sz w:val="20"/>
                <w:szCs w:val="20"/>
              </w:rPr>
            </w:pPr>
            <w:r>
              <w:rPr>
                <w:rFonts w:cs="Times New Roman"/>
                <w:sz w:val="20"/>
                <w:szCs w:val="20"/>
              </w:rPr>
              <w:t xml:space="preserve"> Adverse e</w:t>
            </w:r>
            <w:r w:rsidRPr="006A688E">
              <w:rPr>
                <w:rFonts w:cs="Times New Roman"/>
                <w:sz w:val="20"/>
                <w:szCs w:val="20"/>
              </w:rPr>
              <w:t>ffect</w:t>
            </w:r>
            <w:r>
              <w:rPr>
                <w:rFonts w:cs="Times New Roman"/>
                <w:sz w:val="20"/>
                <w:szCs w:val="20"/>
              </w:rPr>
              <w:t xml:space="preserve">s on </w:t>
            </w:r>
            <w:r w:rsidRPr="006A688E">
              <w:rPr>
                <w:rFonts w:cs="Times New Roman"/>
                <w:sz w:val="20"/>
                <w:szCs w:val="20"/>
              </w:rPr>
              <w:t>agriculture in the coastal region</w:t>
            </w:r>
            <w:r>
              <w:rPr>
                <w:rFonts w:cs="Times New Roman"/>
                <w:sz w:val="20"/>
                <w:szCs w:val="20"/>
              </w:rPr>
              <w:t>.</w:t>
            </w:r>
          </w:p>
        </w:tc>
      </w:tr>
      <w:tr w:rsidR="00BF2D14" w:rsidRPr="00FB5A70" w:rsidTr="00B316F7">
        <w:trPr>
          <w:trHeight w:val="620"/>
          <w:jc w:val="center"/>
        </w:trPr>
        <w:tc>
          <w:tcPr>
            <w:tcW w:w="1276" w:type="pct"/>
            <w:tcBorders>
              <w:top w:val="nil"/>
              <w:left w:val="single" w:sz="4" w:space="0" w:color="auto"/>
              <w:bottom w:val="single" w:sz="4" w:space="0" w:color="auto"/>
              <w:right w:val="single" w:sz="4" w:space="0" w:color="auto"/>
            </w:tcBorders>
            <w:shd w:val="clear" w:color="auto" w:fill="auto"/>
            <w:hideMark/>
          </w:tcPr>
          <w:p w:rsidR="00BF2D14" w:rsidRPr="006A688E" w:rsidRDefault="00BF2D14" w:rsidP="00B316F7">
            <w:pPr>
              <w:pStyle w:val="BodyText"/>
              <w:spacing w:before="73" w:line="276" w:lineRule="auto"/>
              <w:jc w:val="both"/>
              <w:rPr>
                <w:rFonts w:eastAsia="Times New Roman" w:cs="Times New Roman"/>
                <w:color w:val="000000"/>
              </w:rPr>
            </w:pPr>
            <w:r w:rsidRPr="007C1ECE">
              <w:rPr>
                <w:rFonts w:cs="Times New Roman"/>
                <w:b/>
                <w:sz w:val="20"/>
              </w:rPr>
              <w:t>Increasingly frequent and severe tropical cyclones</w:t>
            </w:r>
            <w:r w:rsidRPr="007C1ECE">
              <w:rPr>
                <w:rFonts w:cs="Times New Roman"/>
                <w:b/>
                <w:spacing w:val="-1"/>
                <w:sz w:val="20"/>
              </w:rPr>
              <w:t xml:space="preserve"> </w:t>
            </w:r>
          </w:p>
        </w:tc>
        <w:tc>
          <w:tcPr>
            <w:tcW w:w="1789" w:type="pct"/>
            <w:tcBorders>
              <w:top w:val="nil"/>
              <w:left w:val="nil"/>
              <w:bottom w:val="single" w:sz="4" w:space="0" w:color="auto"/>
              <w:right w:val="single" w:sz="4" w:space="0" w:color="auto"/>
            </w:tcBorders>
            <w:shd w:val="clear" w:color="auto" w:fill="auto"/>
            <w:hideMark/>
          </w:tcPr>
          <w:p w:rsidR="00BF2D14" w:rsidRPr="006A688E" w:rsidRDefault="00BF2D14" w:rsidP="00B316F7">
            <w:pPr>
              <w:pStyle w:val="BodyText"/>
              <w:spacing w:before="73" w:line="276" w:lineRule="auto"/>
              <w:jc w:val="both"/>
              <w:rPr>
                <w:rFonts w:eastAsia="Trebuchet MS" w:cs="Times New Roman"/>
              </w:rPr>
            </w:pPr>
            <w:r w:rsidRPr="00542D2C">
              <w:rPr>
                <w:rFonts w:cs="Times New Roman"/>
                <w:sz w:val="20"/>
              </w:rPr>
              <w:t>Higher wind speeds and storm surges.</w:t>
            </w:r>
          </w:p>
        </w:tc>
        <w:tc>
          <w:tcPr>
            <w:tcW w:w="1935" w:type="pct"/>
            <w:tcBorders>
              <w:top w:val="nil"/>
              <w:left w:val="nil"/>
              <w:bottom w:val="single" w:sz="4" w:space="0" w:color="auto"/>
              <w:right w:val="single" w:sz="4" w:space="0" w:color="auto"/>
            </w:tcBorders>
          </w:tcPr>
          <w:p w:rsidR="00BF2D14" w:rsidRPr="006A688E" w:rsidRDefault="00BF2D14" w:rsidP="00B316F7">
            <w:pPr>
              <w:spacing w:after="0" w:line="276" w:lineRule="auto"/>
              <w:jc w:val="both"/>
              <w:rPr>
                <w:rFonts w:eastAsia="Times New Roman" w:cs="Times New Roman"/>
                <w:color w:val="000000"/>
                <w:sz w:val="20"/>
                <w:szCs w:val="20"/>
              </w:rPr>
            </w:pPr>
            <w:r>
              <w:rPr>
                <w:rFonts w:cs="Times New Roman"/>
                <w:sz w:val="20"/>
                <w:szCs w:val="20"/>
              </w:rPr>
              <w:t>M</w:t>
            </w:r>
            <w:r w:rsidRPr="006A688E">
              <w:rPr>
                <w:rFonts w:cs="Times New Roman"/>
                <w:sz w:val="20"/>
                <w:szCs w:val="20"/>
              </w:rPr>
              <w:t>ore damage to crops in the coastal region</w:t>
            </w:r>
          </w:p>
        </w:tc>
      </w:tr>
      <w:tr w:rsidR="00BF2D14" w:rsidRPr="00FB5A70" w:rsidTr="00D4254C">
        <w:trPr>
          <w:trHeight w:hRule="exact" w:val="2179"/>
          <w:jc w:val="center"/>
        </w:trPr>
        <w:tc>
          <w:tcPr>
            <w:tcW w:w="1276" w:type="pct"/>
            <w:tcBorders>
              <w:top w:val="nil"/>
              <w:left w:val="single" w:sz="4" w:space="0" w:color="auto"/>
              <w:bottom w:val="single" w:sz="4" w:space="0" w:color="auto"/>
              <w:right w:val="single" w:sz="4" w:space="0" w:color="auto"/>
            </w:tcBorders>
            <w:shd w:val="clear" w:color="auto" w:fill="auto"/>
            <w:hideMark/>
          </w:tcPr>
          <w:p w:rsidR="00BF2D14" w:rsidRPr="006A688E" w:rsidRDefault="00BF2D14" w:rsidP="00B316F7">
            <w:pPr>
              <w:spacing w:after="0" w:line="276" w:lineRule="auto"/>
              <w:jc w:val="both"/>
              <w:rPr>
                <w:rFonts w:eastAsia="Times New Roman" w:cs="Times New Roman"/>
                <w:b/>
                <w:color w:val="000000"/>
                <w:sz w:val="20"/>
                <w:szCs w:val="20"/>
              </w:rPr>
            </w:pPr>
            <w:r w:rsidRPr="006A688E">
              <w:rPr>
                <w:rFonts w:eastAsia="Times New Roman" w:cs="Times New Roman"/>
                <w:b/>
                <w:color w:val="000000"/>
                <w:sz w:val="20"/>
                <w:szCs w:val="20"/>
              </w:rPr>
              <w:t>Higher temperature and evaporation lead to excessive water use and water scarcity</w:t>
            </w:r>
          </w:p>
        </w:tc>
        <w:tc>
          <w:tcPr>
            <w:tcW w:w="1789" w:type="pct"/>
            <w:tcBorders>
              <w:top w:val="nil"/>
              <w:left w:val="nil"/>
              <w:bottom w:val="single" w:sz="4" w:space="0" w:color="auto"/>
              <w:right w:val="single" w:sz="4" w:space="0" w:color="auto"/>
            </w:tcBorders>
            <w:shd w:val="clear" w:color="auto" w:fill="auto"/>
            <w:hideMark/>
          </w:tcPr>
          <w:p w:rsidR="00BF2D14" w:rsidRPr="006A688E" w:rsidRDefault="00BF2D14" w:rsidP="00B316F7">
            <w:pPr>
              <w:spacing w:after="0" w:line="276" w:lineRule="auto"/>
              <w:jc w:val="both"/>
              <w:rPr>
                <w:rFonts w:eastAsia="Times New Roman" w:cs="Times New Roman"/>
                <w:color w:val="000000"/>
                <w:sz w:val="20"/>
                <w:szCs w:val="20"/>
              </w:rPr>
            </w:pPr>
            <w:r w:rsidRPr="006A688E">
              <w:rPr>
                <w:rFonts w:eastAsia="Times New Roman" w:cs="Times New Roman"/>
                <w:color w:val="000000"/>
                <w:sz w:val="20"/>
                <w:szCs w:val="20"/>
              </w:rPr>
              <w:t>Decline in surface water and groundwater resources; over exploitation of groundwater causes heavy metal contamination</w:t>
            </w:r>
          </w:p>
        </w:tc>
        <w:tc>
          <w:tcPr>
            <w:tcW w:w="1935" w:type="pct"/>
            <w:tcBorders>
              <w:top w:val="nil"/>
              <w:left w:val="nil"/>
              <w:bottom w:val="single" w:sz="4" w:space="0" w:color="auto"/>
              <w:right w:val="single" w:sz="4" w:space="0" w:color="auto"/>
            </w:tcBorders>
          </w:tcPr>
          <w:p w:rsidR="00BF2D14" w:rsidRPr="006A688E" w:rsidRDefault="00BF2D14" w:rsidP="00B316F7">
            <w:pPr>
              <w:spacing w:after="0" w:line="276" w:lineRule="auto"/>
              <w:jc w:val="both"/>
              <w:rPr>
                <w:rFonts w:eastAsia="Times New Roman" w:cs="Times New Roman"/>
                <w:color w:val="000000"/>
                <w:sz w:val="20"/>
                <w:szCs w:val="20"/>
              </w:rPr>
            </w:pPr>
            <w:r>
              <w:rPr>
                <w:rFonts w:cs="Times New Roman"/>
                <w:sz w:val="20"/>
                <w:szCs w:val="20"/>
              </w:rPr>
              <w:t>R</w:t>
            </w:r>
            <w:r w:rsidRPr="006A688E">
              <w:rPr>
                <w:rFonts w:cs="Times New Roman"/>
                <w:sz w:val="20"/>
                <w:szCs w:val="20"/>
              </w:rPr>
              <w:t xml:space="preserve">ise in temperature of 1°C–2°C reduces yields of high-yielding </w:t>
            </w:r>
            <w:r>
              <w:rPr>
                <w:rFonts w:cs="Times New Roman"/>
                <w:sz w:val="20"/>
                <w:szCs w:val="20"/>
              </w:rPr>
              <w:t>varieties of</w:t>
            </w:r>
            <w:r w:rsidRPr="006A688E">
              <w:rPr>
                <w:rFonts w:cs="Times New Roman"/>
                <w:sz w:val="20"/>
                <w:szCs w:val="20"/>
              </w:rPr>
              <w:t xml:space="preserve"> rice; </w:t>
            </w:r>
            <w:r w:rsidR="006E608C">
              <w:rPr>
                <w:rFonts w:cs="Times New Roman"/>
                <w:sz w:val="20"/>
                <w:szCs w:val="20"/>
              </w:rPr>
              <w:t xml:space="preserve">increased </w:t>
            </w:r>
            <w:r w:rsidRPr="006A688E">
              <w:rPr>
                <w:rFonts w:cs="Times New Roman"/>
                <w:sz w:val="20"/>
                <w:szCs w:val="20"/>
              </w:rPr>
              <w:t>incidence of insect pests, diseases, and microorganisms</w:t>
            </w:r>
            <w:r w:rsidRPr="006A688E">
              <w:rPr>
                <w:rFonts w:eastAsia="Times New Roman" w:cs="Times New Roman"/>
                <w:color w:val="000000"/>
                <w:sz w:val="20"/>
                <w:szCs w:val="20"/>
              </w:rPr>
              <w:t xml:space="preserve">. Low yield due to high temperature and water scarcity; </w:t>
            </w:r>
            <w:r w:rsidR="00F64A6A" w:rsidRPr="00F64A6A">
              <w:rPr>
                <w:rFonts w:cs="Times New Roman"/>
                <w:sz w:val="20"/>
                <w:szCs w:val="20"/>
                <w:u w:val="single"/>
              </w:rPr>
              <w:t>By 2050, a reduction in 4.5 million tonnes of rice output at the 2002 level of production.</w:t>
            </w:r>
            <w:r w:rsidRPr="006A688E">
              <w:rPr>
                <w:rFonts w:cs="Times New Roman"/>
                <w:sz w:val="20"/>
                <w:szCs w:val="20"/>
              </w:rPr>
              <w:t xml:space="preserve"> </w:t>
            </w:r>
          </w:p>
          <w:p w:rsidR="00BF2D14" w:rsidRPr="006A688E" w:rsidRDefault="00BF2D14" w:rsidP="00B316F7">
            <w:pPr>
              <w:spacing w:after="0" w:line="276" w:lineRule="auto"/>
              <w:jc w:val="both"/>
              <w:rPr>
                <w:rFonts w:eastAsia="Times New Roman" w:cs="Times New Roman"/>
                <w:color w:val="000000"/>
                <w:sz w:val="20"/>
                <w:szCs w:val="20"/>
              </w:rPr>
            </w:pPr>
          </w:p>
        </w:tc>
      </w:tr>
    </w:tbl>
    <w:p w:rsidR="00BF2D14" w:rsidRPr="00A44AF7" w:rsidRDefault="00A44AF7" w:rsidP="00A44AF7">
      <w:pPr>
        <w:spacing w:before="120" w:after="0" w:line="276" w:lineRule="auto"/>
        <w:jc w:val="both"/>
        <w:rPr>
          <w:rFonts w:cs="Times New Roman"/>
          <w:b/>
          <w:i/>
          <w:sz w:val="20"/>
          <w:szCs w:val="24"/>
        </w:rPr>
      </w:pPr>
      <w:r w:rsidRPr="00A44AF7">
        <w:rPr>
          <w:rFonts w:cs="Times New Roman"/>
          <w:b/>
          <w:i/>
          <w:sz w:val="20"/>
          <w:szCs w:val="24"/>
        </w:rPr>
        <w:t>Source: GED Compilation</w:t>
      </w:r>
    </w:p>
    <w:p w:rsidR="00F85FFA" w:rsidRPr="005C1C84" w:rsidRDefault="00F85FFA" w:rsidP="00260C27">
      <w:pPr>
        <w:spacing w:after="0" w:line="276" w:lineRule="auto"/>
        <w:jc w:val="both"/>
        <w:rPr>
          <w:rFonts w:cs="Times New Roman"/>
          <w:b/>
          <w:i/>
          <w:sz w:val="22"/>
          <w:szCs w:val="24"/>
        </w:rPr>
      </w:pPr>
    </w:p>
    <w:p w:rsidR="00000000" w:rsidRDefault="00260C27" w:rsidP="003D5A31">
      <w:pPr>
        <w:pStyle w:val="BodyText"/>
        <w:numPr>
          <w:ilvl w:val="2"/>
          <w:numId w:val="153"/>
        </w:numPr>
        <w:spacing w:after="240" w:line="276" w:lineRule="auto"/>
        <w:jc w:val="both"/>
        <w:rPr>
          <w:rFonts w:cs="Times New Roman"/>
          <w:b/>
          <w:szCs w:val="24"/>
        </w:rPr>
      </w:pPr>
      <w:r w:rsidRPr="00260C27">
        <w:rPr>
          <w:rFonts w:cs="Times New Roman"/>
          <w:b/>
          <w:szCs w:val="24"/>
        </w:rPr>
        <w:t>Growth and Productivity Impact of CC on Forestry</w:t>
      </w:r>
    </w:p>
    <w:p w:rsidR="007F2F9C" w:rsidRPr="00545986" w:rsidRDefault="007F2F9C" w:rsidP="00557DA9">
      <w:pPr>
        <w:spacing w:line="276" w:lineRule="auto"/>
        <w:jc w:val="both"/>
        <w:rPr>
          <w:rFonts w:cs="Times New Roman"/>
          <w:szCs w:val="24"/>
        </w:rPr>
      </w:pPr>
      <w:r w:rsidRPr="00545986">
        <w:rPr>
          <w:rFonts w:cs="Times New Roman"/>
          <w:szCs w:val="24"/>
        </w:rPr>
        <w:t xml:space="preserve">Many aspects of projected climate change will likely affect forest growth and productivity. </w:t>
      </w:r>
      <w:r>
        <w:rPr>
          <w:rFonts w:cs="Times New Roman"/>
          <w:szCs w:val="24"/>
        </w:rPr>
        <w:t>CC implies the possible</w:t>
      </w:r>
      <w:r w:rsidRPr="00545986">
        <w:rPr>
          <w:rFonts w:cs="Times New Roman"/>
          <w:szCs w:val="24"/>
        </w:rPr>
        <w:t xml:space="preserve"> occurrence of (i) increases in carbon dioxide (CO</w:t>
      </w:r>
      <w:r w:rsidRPr="00545986">
        <w:rPr>
          <w:rFonts w:cs="Times New Roman"/>
          <w:szCs w:val="24"/>
          <w:vertAlign w:val="subscript"/>
        </w:rPr>
        <w:t>2</w:t>
      </w:r>
      <w:r w:rsidRPr="00545986">
        <w:rPr>
          <w:rFonts w:cs="Times New Roman"/>
          <w:szCs w:val="24"/>
        </w:rPr>
        <w:t>), (ii) increases in temperature, and (iii) cha</w:t>
      </w:r>
      <w:r>
        <w:rPr>
          <w:rFonts w:cs="Times New Roman"/>
          <w:szCs w:val="24"/>
        </w:rPr>
        <w:t>nges in precipitation</w:t>
      </w:r>
      <w:r w:rsidRPr="00545986">
        <w:rPr>
          <w:rFonts w:cs="Times New Roman"/>
          <w:szCs w:val="24"/>
        </w:rPr>
        <w:t>.</w:t>
      </w:r>
    </w:p>
    <w:p w:rsidR="007F2F9C" w:rsidRPr="00545986" w:rsidRDefault="007F2F9C" w:rsidP="00D6486D">
      <w:pPr>
        <w:numPr>
          <w:ilvl w:val="0"/>
          <w:numId w:val="65"/>
        </w:numPr>
        <w:spacing w:line="276" w:lineRule="auto"/>
        <w:ind w:left="360"/>
        <w:jc w:val="both"/>
        <w:rPr>
          <w:rFonts w:cs="Times New Roman"/>
          <w:szCs w:val="24"/>
        </w:rPr>
      </w:pPr>
      <w:r w:rsidRPr="00545986">
        <w:rPr>
          <w:rFonts w:cs="Times New Roman"/>
          <w:szCs w:val="24"/>
        </w:rPr>
        <w:t>Carbon dioxide is required for photosynthesis, the process by which green plants use sunlight to grow. Given sufficient water and nutrients, increases in atmospheric CO</w:t>
      </w:r>
      <w:r w:rsidRPr="00545986">
        <w:rPr>
          <w:rFonts w:cs="Times New Roman"/>
          <w:szCs w:val="24"/>
          <w:vertAlign w:val="subscript"/>
        </w:rPr>
        <w:t>2</w:t>
      </w:r>
      <w:r w:rsidRPr="00545986">
        <w:rPr>
          <w:rFonts w:cs="Times New Roman"/>
          <w:szCs w:val="24"/>
        </w:rPr>
        <w:t xml:space="preserve"> may enable trees </w:t>
      </w:r>
      <w:r w:rsidRPr="00545986">
        <w:rPr>
          <w:rFonts w:cs="Times New Roman"/>
          <w:szCs w:val="24"/>
        </w:rPr>
        <w:lastRenderedPageBreak/>
        <w:t>to be more productive.</w:t>
      </w:r>
      <w:r w:rsidRPr="00545986">
        <w:rPr>
          <w:rFonts w:cs="Times New Roman"/>
          <w:szCs w:val="24"/>
          <w:vertAlign w:val="superscript"/>
        </w:rPr>
        <w:t xml:space="preserve"> </w:t>
      </w:r>
      <w:r w:rsidRPr="00545986">
        <w:rPr>
          <w:rFonts w:cs="Times New Roman"/>
          <w:szCs w:val="24"/>
        </w:rPr>
        <w:t>Higher future CO</w:t>
      </w:r>
      <w:r w:rsidRPr="00545986">
        <w:rPr>
          <w:rFonts w:cs="Times New Roman"/>
          <w:szCs w:val="24"/>
          <w:vertAlign w:val="subscript"/>
        </w:rPr>
        <w:t>2</w:t>
      </w:r>
      <w:r w:rsidRPr="00545986">
        <w:rPr>
          <w:rFonts w:cs="Times New Roman"/>
          <w:szCs w:val="24"/>
        </w:rPr>
        <w:t xml:space="preserve"> levels could benefit forests with fertile soils in the Northeast. However, increased CO</w:t>
      </w:r>
      <w:r w:rsidRPr="00545986">
        <w:rPr>
          <w:rFonts w:cs="Times New Roman"/>
          <w:szCs w:val="24"/>
          <w:vertAlign w:val="subscript"/>
        </w:rPr>
        <w:t>2</w:t>
      </w:r>
      <w:r w:rsidRPr="00545986">
        <w:rPr>
          <w:rFonts w:cs="Times New Roman"/>
          <w:szCs w:val="24"/>
        </w:rPr>
        <w:t xml:space="preserve"> may not be as effective in promoting growth in the West and Southeast, where water is limited.</w:t>
      </w:r>
      <w:r w:rsidRPr="00545986">
        <w:rPr>
          <w:rFonts w:cs="Times New Roman"/>
          <w:szCs w:val="24"/>
          <w:vertAlign w:val="superscript"/>
        </w:rPr>
        <w:t xml:space="preserve"> </w:t>
      </w:r>
    </w:p>
    <w:p w:rsidR="007F2F9C" w:rsidRPr="00545986" w:rsidRDefault="007F2F9C" w:rsidP="00D6486D">
      <w:pPr>
        <w:numPr>
          <w:ilvl w:val="0"/>
          <w:numId w:val="65"/>
        </w:numPr>
        <w:spacing w:line="276" w:lineRule="auto"/>
        <w:ind w:left="360"/>
        <w:jc w:val="both"/>
        <w:rPr>
          <w:rFonts w:cs="Times New Roman"/>
          <w:szCs w:val="24"/>
        </w:rPr>
      </w:pPr>
      <w:r w:rsidRPr="00545986">
        <w:rPr>
          <w:rFonts w:cs="Times New Roman"/>
          <w:szCs w:val="24"/>
        </w:rPr>
        <w:t>Warming temperatures could increase the length of the growing season. However, warming could also shift the geographic ranges of some tree species. Habitats of some types of trees are likely to move northward or to higher altitudes. Other species may be at risk locally or regionally if conditions in their current geographic range are no longer suitable.</w:t>
      </w:r>
      <w:r w:rsidRPr="00545986">
        <w:rPr>
          <w:rFonts w:cs="Times New Roman"/>
          <w:szCs w:val="24"/>
          <w:vertAlign w:val="superscript"/>
        </w:rPr>
        <w:t xml:space="preserve"> </w:t>
      </w:r>
      <w:r w:rsidRPr="00545986">
        <w:rPr>
          <w:rFonts w:cs="Times New Roman"/>
          <w:szCs w:val="24"/>
        </w:rPr>
        <w:t>For example, species that currently exist only on mountaintops in some regions may die out as the climate warms since they cannot shift to a higher altitude.</w:t>
      </w:r>
    </w:p>
    <w:p w:rsidR="007F2F9C" w:rsidRDefault="007F2F9C" w:rsidP="00D6486D">
      <w:pPr>
        <w:numPr>
          <w:ilvl w:val="0"/>
          <w:numId w:val="65"/>
        </w:numPr>
        <w:spacing w:line="276" w:lineRule="auto"/>
        <w:ind w:left="360"/>
        <w:jc w:val="both"/>
        <w:rPr>
          <w:rFonts w:cs="Times New Roman"/>
          <w:szCs w:val="24"/>
        </w:rPr>
      </w:pPr>
      <w:r w:rsidRPr="00545986">
        <w:rPr>
          <w:rFonts w:cs="Times New Roman"/>
          <w:szCs w:val="24"/>
        </w:rPr>
        <w:t>Climate change will likely increase the risk of drought in some areas and the risk of extreme precipitation and flooding in others. Increased temperatures would alter the timing of snowmelt, affecting the seasonal availability of water. Although many trees are resilient to some degree of drought, increases in temperature could make future droughts more damaging than those experienced in the past</w:t>
      </w:r>
      <w:r w:rsidRPr="00545986">
        <w:rPr>
          <w:rFonts w:cs="Times New Roman"/>
          <w:i/>
          <w:iCs/>
          <w:szCs w:val="24"/>
        </w:rPr>
        <w:t xml:space="preserve">. </w:t>
      </w:r>
      <w:r w:rsidRPr="00545986">
        <w:rPr>
          <w:rFonts w:cs="Times New Roman"/>
          <w:szCs w:val="24"/>
        </w:rPr>
        <w:t>In addition, drought increases wildfire risk, since dry trees and shrubs provide fuel to fires. Drought also reduces trees' ability to produce sap, which protects them from destructive insects such as pine beetles.</w:t>
      </w:r>
      <w:r w:rsidRPr="00545986">
        <w:rPr>
          <w:rFonts w:cs="Times New Roman"/>
          <w:szCs w:val="24"/>
          <w:vertAlign w:val="superscript"/>
        </w:rPr>
        <w:t xml:space="preserve"> </w:t>
      </w:r>
    </w:p>
    <w:p w:rsidR="00000000" w:rsidRDefault="007F2F9C" w:rsidP="003D5A31">
      <w:pPr>
        <w:pStyle w:val="BodyText"/>
        <w:numPr>
          <w:ilvl w:val="2"/>
          <w:numId w:val="153"/>
        </w:numPr>
        <w:spacing w:after="240" w:line="276" w:lineRule="auto"/>
        <w:jc w:val="both"/>
        <w:rPr>
          <w:rFonts w:cs="Times New Roman"/>
          <w:b/>
          <w:szCs w:val="24"/>
        </w:rPr>
      </w:pPr>
      <w:r>
        <w:rPr>
          <w:rFonts w:cs="Times New Roman"/>
          <w:b/>
          <w:szCs w:val="24"/>
        </w:rPr>
        <w:t>Some Q</w:t>
      </w:r>
      <w:r w:rsidRPr="00241CAA">
        <w:rPr>
          <w:rFonts w:cs="Times New Roman"/>
          <w:b/>
          <w:szCs w:val="24"/>
        </w:rPr>
        <w:t>uantitat</w:t>
      </w:r>
      <w:r>
        <w:rPr>
          <w:rFonts w:cs="Times New Roman"/>
          <w:b/>
          <w:szCs w:val="24"/>
        </w:rPr>
        <w:t xml:space="preserve">ive Estimates of </w:t>
      </w:r>
      <w:r w:rsidR="0064732A">
        <w:rPr>
          <w:rFonts w:cs="Times New Roman"/>
          <w:b/>
          <w:szCs w:val="24"/>
        </w:rPr>
        <w:t xml:space="preserve">Adverse </w:t>
      </w:r>
      <w:r>
        <w:rPr>
          <w:rFonts w:cs="Times New Roman"/>
          <w:b/>
          <w:szCs w:val="24"/>
        </w:rPr>
        <w:t>Impact</w:t>
      </w:r>
      <w:r w:rsidRPr="00241CAA">
        <w:rPr>
          <w:rFonts w:cs="Times New Roman"/>
          <w:b/>
          <w:szCs w:val="24"/>
        </w:rPr>
        <w:t xml:space="preserve"> </w:t>
      </w:r>
      <w:r w:rsidR="0064732A">
        <w:rPr>
          <w:rFonts w:cs="Times New Roman"/>
          <w:b/>
          <w:szCs w:val="24"/>
        </w:rPr>
        <w:t>on Agriculture</w:t>
      </w:r>
    </w:p>
    <w:p w:rsidR="007F2F9C" w:rsidRPr="00241CAA" w:rsidRDefault="007F2F9C" w:rsidP="00557DA9">
      <w:pPr>
        <w:spacing w:line="276" w:lineRule="auto"/>
        <w:jc w:val="both"/>
        <w:rPr>
          <w:rFonts w:cs="Times New Roman"/>
          <w:szCs w:val="24"/>
        </w:rPr>
      </w:pPr>
      <w:r w:rsidRPr="00241CAA">
        <w:rPr>
          <w:rFonts w:cs="Times New Roman"/>
          <w:szCs w:val="24"/>
        </w:rPr>
        <w:t>Long-term changes in temperatures and precipitation have direct implications on evaporative demands and consequently agriculture yields. But climate change poses additional challenges to agriculture beyond the existing risks from current variability. Moreover, the changing hydro-characteristics (e.g. onset, duration, and magnitude) of extreme events may affect agriculture production significantly.</w:t>
      </w:r>
    </w:p>
    <w:p w:rsidR="007F2F9C" w:rsidRPr="00241CAA" w:rsidRDefault="007F2F9C" w:rsidP="00557DA9">
      <w:pPr>
        <w:spacing w:line="276" w:lineRule="auto"/>
        <w:jc w:val="both"/>
        <w:rPr>
          <w:rFonts w:cs="Times New Roman"/>
          <w:szCs w:val="24"/>
        </w:rPr>
      </w:pPr>
      <w:r w:rsidRPr="00241CAA">
        <w:rPr>
          <w:rFonts w:cs="Times New Roman"/>
          <w:szCs w:val="24"/>
        </w:rPr>
        <w:t>A recent ADB study (ADB 2014) has provided some quantitative estimates of CC impacts on the overall economy as well as some sectors like agriculture. Simulation studies</w:t>
      </w:r>
      <w:r>
        <w:rPr>
          <w:rFonts w:cs="Times New Roman"/>
          <w:szCs w:val="24"/>
        </w:rPr>
        <w:t xml:space="preserve"> </w:t>
      </w:r>
      <w:r w:rsidRPr="00241CAA">
        <w:rPr>
          <w:rFonts w:cs="Times New Roman"/>
          <w:szCs w:val="24"/>
        </w:rPr>
        <w:t xml:space="preserve">predict about 17% decline in overall rice production and as high as 61% decline in wheat production compared with the baseline situation due to climate change. This translates to a reduction of 4.5 million </w:t>
      </w:r>
      <w:r w:rsidR="00FE6385">
        <w:rPr>
          <w:rFonts w:cs="Times New Roman"/>
          <w:szCs w:val="24"/>
        </w:rPr>
        <w:t>tonne</w:t>
      </w:r>
      <w:r w:rsidRPr="00241CAA">
        <w:rPr>
          <w:rFonts w:cs="Times New Roman"/>
          <w:szCs w:val="24"/>
        </w:rPr>
        <w:t>s of rice at the 2002 level of production. Bangladesh is projected to be vulnerable to increasing temperature and CO</w:t>
      </w:r>
      <w:r w:rsidRPr="00373D2B">
        <w:rPr>
          <w:rFonts w:cs="Times New Roman"/>
          <w:szCs w:val="24"/>
          <w:vertAlign w:val="subscript"/>
        </w:rPr>
        <w:t>2</w:t>
      </w:r>
      <w:r w:rsidRPr="00241CAA">
        <w:rPr>
          <w:rFonts w:cs="Times New Roman"/>
          <w:szCs w:val="24"/>
        </w:rPr>
        <w:t xml:space="preserve"> level, which could result in a decline in rice yield of as much as 23% by 2080. Simulations show that under the BAU scenario, due to the reduction in yield, paddy production would fall by 1.60% in 2050 and 5.05% in 2100. The highest impact would be on wheat followed by rice (aus variety). Of the three varieties of rice grown in Bangladesh, aus rice seems to be the most vulnerable. The decline in paddy yield due to climate change will bring a negative impact on real GDP of Bangladesh by 0.67% in 2050 and 0.93% in 2100 under the BAU scenario. </w:t>
      </w:r>
    </w:p>
    <w:p w:rsidR="007F2F9C" w:rsidRDefault="007F2F9C" w:rsidP="00557DA9">
      <w:pPr>
        <w:pStyle w:val="BodyText"/>
        <w:spacing w:after="240" w:line="276" w:lineRule="auto"/>
        <w:jc w:val="both"/>
        <w:rPr>
          <w:rFonts w:cs="Times New Roman"/>
          <w:szCs w:val="24"/>
        </w:rPr>
      </w:pPr>
      <w:r w:rsidRPr="00241CAA">
        <w:rPr>
          <w:rFonts w:cs="Times New Roman"/>
          <w:szCs w:val="24"/>
        </w:rPr>
        <w:t>Dynamic</w:t>
      </w:r>
      <w:r w:rsidR="007C1ECE">
        <w:rPr>
          <w:rFonts w:cs="Times New Roman"/>
          <w:szCs w:val="24"/>
        </w:rPr>
        <w:t xml:space="preserve"> biophysical crop models (i.e. t</w:t>
      </w:r>
      <w:r w:rsidRPr="00241CAA">
        <w:rPr>
          <w:rFonts w:cs="Times New Roman"/>
          <w:szCs w:val="24"/>
        </w:rPr>
        <w:t xml:space="preserve">he decision support system for agrotechnology transfer (DSSAT)) also validate the preceding findings. Simulations of changes in crop yield include </w:t>
      </w:r>
      <w:r w:rsidRPr="00241CAA">
        <w:rPr>
          <w:rFonts w:cs="Times New Roman"/>
          <w:szCs w:val="24"/>
        </w:rPr>
        <w:lastRenderedPageBreak/>
        <w:t>impacts from climate only (CO</w:t>
      </w:r>
      <w:r w:rsidRPr="00373D2B">
        <w:rPr>
          <w:rFonts w:cs="Times New Roman"/>
          <w:szCs w:val="24"/>
          <w:vertAlign w:val="subscript"/>
        </w:rPr>
        <w:t>2</w:t>
      </w:r>
      <w:r w:rsidRPr="00241CAA">
        <w:rPr>
          <w:rFonts w:cs="Times New Roman"/>
          <w:szCs w:val="24"/>
        </w:rPr>
        <w:t>, temperature, and precipitation), mean changes in floods, and coastal inundation, both separately and in combination. Considering all climate impacts (CO</w:t>
      </w:r>
      <w:r w:rsidRPr="00373D2B">
        <w:rPr>
          <w:rFonts w:cs="Times New Roman"/>
          <w:szCs w:val="24"/>
          <w:vertAlign w:val="subscript"/>
        </w:rPr>
        <w:t>2</w:t>
      </w:r>
      <w:r w:rsidRPr="00241CAA">
        <w:rPr>
          <w:rFonts w:cs="Times New Roman"/>
          <w:szCs w:val="24"/>
        </w:rPr>
        <w:t xml:space="preserve"> fertilization, temperature and precipitation changes, flood changes, sea level rise), the median of all rice crop projections shows declining national production, with boro showing the largest median losses</w:t>
      </w:r>
      <w:r>
        <w:rPr>
          <w:rFonts w:cs="Times New Roman"/>
          <w:szCs w:val="24"/>
        </w:rPr>
        <w:t xml:space="preserve"> (DSSAT)</w:t>
      </w:r>
      <w:r w:rsidRPr="00241CAA">
        <w:rPr>
          <w:rFonts w:cs="Times New Roman"/>
          <w:szCs w:val="24"/>
        </w:rPr>
        <w:t xml:space="preserve">. Most GCM </w:t>
      </w:r>
      <w:r w:rsidR="00D4254C">
        <w:rPr>
          <w:rFonts w:cs="Times New Roman"/>
          <w:szCs w:val="24"/>
        </w:rPr>
        <w:t xml:space="preserve">(General Circulation Model) </w:t>
      </w:r>
      <w:r w:rsidRPr="00241CAA">
        <w:rPr>
          <w:rFonts w:cs="Times New Roman"/>
          <w:szCs w:val="24"/>
        </w:rPr>
        <w:t xml:space="preserve">projections estimate a potential decline in boro production with a median loss of 3 percent by the 2030s and 5 percent by the 2050s. Climate change exacerbates the negative impacts of existing climate variability by further reducing rice production by a projected cumulative total of 80 million </w:t>
      </w:r>
      <w:r w:rsidR="00FE6385">
        <w:rPr>
          <w:rFonts w:cs="Times New Roman"/>
          <w:szCs w:val="24"/>
        </w:rPr>
        <w:t>tonne</w:t>
      </w:r>
      <w:r w:rsidRPr="00241CAA">
        <w:rPr>
          <w:rFonts w:cs="Times New Roman"/>
          <w:szCs w:val="24"/>
        </w:rPr>
        <w:t xml:space="preserve">s over 2005–50 (about 3.9 percent each year), driven primarily by reduced boro crop production. This is equivalent to almost two </w:t>
      </w:r>
      <w:r w:rsidR="00065D01" w:rsidRPr="00241CAA">
        <w:rPr>
          <w:rFonts w:cs="Times New Roman"/>
          <w:szCs w:val="24"/>
        </w:rPr>
        <w:t>years’ worth</w:t>
      </w:r>
      <w:r w:rsidRPr="00241CAA">
        <w:rPr>
          <w:rFonts w:cs="Times New Roman"/>
          <w:szCs w:val="24"/>
        </w:rPr>
        <w:t xml:space="preserve"> of rice production lost over the next 45 years as a result of climate change.</w:t>
      </w:r>
      <w:r>
        <w:rPr>
          <w:rFonts w:cs="Times New Roman"/>
          <w:szCs w:val="24"/>
        </w:rPr>
        <w:t xml:space="preserve"> Various stipulations about CC and possible impacts on agriculture are summarized in Table </w:t>
      </w:r>
      <w:r w:rsidR="00B50A6C">
        <w:rPr>
          <w:rFonts w:cs="Times New Roman"/>
          <w:szCs w:val="24"/>
        </w:rPr>
        <w:t>8.</w:t>
      </w:r>
      <w:r w:rsidR="007F1965">
        <w:rPr>
          <w:rFonts w:cs="Times New Roman"/>
          <w:szCs w:val="24"/>
        </w:rPr>
        <w:t>11</w:t>
      </w:r>
      <w:r>
        <w:rPr>
          <w:rFonts w:cs="Times New Roman"/>
          <w:szCs w:val="24"/>
        </w:rPr>
        <w:t xml:space="preserve">. </w:t>
      </w:r>
    </w:p>
    <w:p w:rsidR="00E52937" w:rsidRDefault="00E52937">
      <w:pPr>
        <w:rPr>
          <w:rFonts w:cs="Times New Roman"/>
          <w:b/>
          <w:bCs/>
          <w:szCs w:val="24"/>
        </w:rPr>
      </w:pPr>
      <w:r>
        <w:br w:type="page"/>
      </w:r>
    </w:p>
    <w:p w:rsidR="007F2F9C" w:rsidRPr="00F712BF" w:rsidRDefault="007F2F9C" w:rsidP="00DD46F4">
      <w:pPr>
        <w:pStyle w:val="Heading4"/>
      </w:pPr>
      <w:bookmarkStart w:id="594" w:name="_Toc474639055"/>
      <w:r>
        <w:lastRenderedPageBreak/>
        <w:t xml:space="preserve">Table </w:t>
      </w:r>
      <w:r w:rsidR="00B50A6C">
        <w:t>8.</w:t>
      </w:r>
      <w:r w:rsidR="0039589D">
        <w:t>11</w:t>
      </w:r>
      <w:r>
        <w:t xml:space="preserve">: </w:t>
      </w:r>
      <w:r w:rsidRPr="00715218">
        <w:t xml:space="preserve">Climate Change </w:t>
      </w:r>
      <w:r>
        <w:t>Factors</w:t>
      </w:r>
      <w:r w:rsidRPr="00715218">
        <w:t xml:space="preserve"> and Impacts</w:t>
      </w:r>
      <w:bookmarkEnd w:id="594"/>
    </w:p>
    <w:tbl>
      <w:tblPr>
        <w:tblStyle w:val="TableGridAppendixlist1"/>
        <w:tblW w:w="9350" w:type="dxa"/>
        <w:jc w:val="center"/>
        <w:tblLook w:val="04A0"/>
      </w:tblPr>
      <w:tblGrid>
        <w:gridCol w:w="1795"/>
        <w:gridCol w:w="2430"/>
        <w:gridCol w:w="3060"/>
        <w:gridCol w:w="2065"/>
      </w:tblGrid>
      <w:tr w:rsidR="007F2F9C" w:rsidRPr="00E12250" w:rsidTr="00651C2A">
        <w:trPr>
          <w:trHeight w:val="20"/>
          <w:jc w:val="center"/>
        </w:trPr>
        <w:tc>
          <w:tcPr>
            <w:tcW w:w="1795" w:type="dxa"/>
          </w:tcPr>
          <w:p w:rsidR="007F2F9C" w:rsidRPr="00E12250" w:rsidRDefault="007F2F9C" w:rsidP="00651C2A">
            <w:pPr>
              <w:spacing w:after="0" w:line="240" w:lineRule="auto"/>
              <w:jc w:val="center"/>
              <w:rPr>
                <w:rFonts w:cs="Times New Roman"/>
                <w:b/>
                <w:szCs w:val="24"/>
              </w:rPr>
            </w:pPr>
            <w:r w:rsidRPr="00E12250">
              <w:rPr>
                <w:rFonts w:cs="Times New Roman"/>
                <w:b/>
                <w:szCs w:val="24"/>
              </w:rPr>
              <w:t>CC Factors</w:t>
            </w:r>
          </w:p>
        </w:tc>
        <w:tc>
          <w:tcPr>
            <w:tcW w:w="2430" w:type="dxa"/>
          </w:tcPr>
          <w:p w:rsidR="007F2F9C" w:rsidRPr="00E12250" w:rsidRDefault="007F2F9C" w:rsidP="00651C2A">
            <w:pPr>
              <w:spacing w:after="0" w:line="240" w:lineRule="auto"/>
              <w:jc w:val="center"/>
              <w:rPr>
                <w:rFonts w:cs="Times New Roman"/>
                <w:b/>
                <w:szCs w:val="24"/>
              </w:rPr>
            </w:pPr>
            <w:r w:rsidRPr="00E12250">
              <w:rPr>
                <w:rFonts w:cs="Times New Roman"/>
                <w:b/>
                <w:szCs w:val="24"/>
              </w:rPr>
              <w:t>Expected changes</w:t>
            </w:r>
          </w:p>
        </w:tc>
        <w:tc>
          <w:tcPr>
            <w:tcW w:w="3060" w:type="dxa"/>
          </w:tcPr>
          <w:p w:rsidR="007F2F9C" w:rsidRPr="00E12250" w:rsidRDefault="007F2F9C" w:rsidP="00651C2A">
            <w:pPr>
              <w:spacing w:after="0" w:line="240" w:lineRule="auto"/>
              <w:jc w:val="center"/>
              <w:rPr>
                <w:rFonts w:cs="Times New Roman"/>
                <w:b/>
                <w:szCs w:val="24"/>
              </w:rPr>
            </w:pPr>
            <w:r w:rsidRPr="00E12250">
              <w:rPr>
                <w:rFonts w:cs="Times New Roman"/>
                <w:b/>
                <w:szCs w:val="24"/>
              </w:rPr>
              <w:t>Possible impacts</w:t>
            </w:r>
          </w:p>
        </w:tc>
        <w:tc>
          <w:tcPr>
            <w:tcW w:w="2065" w:type="dxa"/>
          </w:tcPr>
          <w:p w:rsidR="007F2F9C" w:rsidRPr="00E12250" w:rsidRDefault="007F2F9C" w:rsidP="00651C2A">
            <w:pPr>
              <w:spacing w:after="0" w:line="240" w:lineRule="auto"/>
              <w:jc w:val="center"/>
              <w:rPr>
                <w:rFonts w:cs="Times New Roman"/>
                <w:b/>
                <w:szCs w:val="24"/>
              </w:rPr>
            </w:pPr>
            <w:r w:rsidRPr="00E12250">
              <w:rPr>
                <w:rFonts w:cs="Times New Roman"/>
                <w:b/>
                <w:szCs w:val="24"/>
              </w:rPr>
              <w:t xml:space="preserve">Projected by  </w:t>
            </w:r>
          </w:p>
        </w:tc>
      </w:tr>
      <w:tr w:rsidR="007F2F9C" w:rsidRPr="00E12250" w:rsidTr="00651C2A">
        <w:trPr>
          <w:trHeight w:val="20"/>
          <w:jc w:val="center"/>
        </w:trPr>
        <w:tc>
          <w:tcPr>
            <w:tcW w:w="1795" w:type="dxa"/>
          </w:tcPr>
          <w:p w:rsidR="007F2F9C" w:rsidRPr="00E12250" w:rsidRDefault="007F2F9C" w:rsidP="00651C2A">
            <w:pPr>
              <w:spacing w:after="0" w:line="240" w:lineRule="auto"/>
              <w:rPr>
                <w:rFonts w:cs="Times New Roman"/>
                <w:b/>
                <w:sz w:val="20"/>
                <w:szCs w:val="18"/>
              </w:rPr>
            </w:pPr>
            <w:r w:rsidRPr="00E12250">
              <w:rPr>
                <w:rFonts w:cs="Times New Roman"/>
                <w:sz w:val="20"/>
                <w:szCs w:val="18"/>
              </w:rPr>
              <w:t>1. Accelerated Sea Level Rise (ASLR)</w:t>
            </w:r>
          </w:p>
        </w:tc>
        <w:tc>
          <w:tcPr>
            <w:tcW w:w="2430" w:type="dxa"/>
          </w:tcPr>
          <w:p w:rsidR="007F2F9C" w:rsidRPr="00E12250" w:rsidRDefault="007F2F9C" w:rsidP="00D6486D">
            <w:pPr>
              <w:pStyle w:val="ListParagraph"/>
              <w:numPr>
                <w:ilvl w:val="0"/>
                <w:numId w:val="69"/>
              </w:numPr>
              <w:spacing w:after="0" w:line="240" w:lineRule="auto"/>
              <w:ind w:left="0" w:firstLine="0"/>
              <w:rPr>
                <w:rFonts w:cs="Times New Roman"/>
                <w:sz w:val="20"/>
                <w:szCs w:val="18"/>
              </w:rPr>
            </w:pPr>
            <w:r w:rsidRPr="00E12250">
              <w:rPr>
                <w:rFonts w:cs="Times New Roman"/>
                <w:sz w:val="20"/>
                <w:szCs w:val="18"/>
              </w:rPr>
              <w:t>1m or more by 2100; increase in tidal flooding; with monsoonal rainfall and river discharge increase in flooded area; 37 to 75 cm for the RCP4.5 and 55 to 123 cm for RCP8.5</w:t>
            </w:r>
          </w:p>
          <w:p w:rsidR="007F2F9C" w:rsidRPr="00E12250" w:rsidRDefault="007F2F9C" w:rsidP="00651C2A">
            <w:pPr>
              <w:spacing w:after="0" w:line="240" w:lineRule="auto"/>
              <w:ind w:left="360"/>
              <w:rPr>
                <w:rFonts w:cs="Times New Roman"/>
                <w:sz w:val="20"/>
                <w:szCs w:val="18"/>
              </w:rPr>
            </w:pPr>
          </w:p>
          <w:p w:rsidR="007F2F9C" w:rsidRPr="00E12250" w:rsidRDefault="007F2F9C" w:rsidP="00D6486D">
            <w:pPr>
              <w:numPr>
                <w:ilvl w:val="0"/>
                <w:numId w:val="66"/>
              </w:numPr>
              <w:spacing w:after="0" w:line="240" w:lineRule="auto"/>
              <w:rPr>
                <w:rFonts w:cs="Times New Roman"/>
                <w:sz w:val="20"/>
                <w:szCs w:val="18"/>
              </w:rPr>
            </w:pPr>
            <w:r w:rsidRPr="00E12250">
              <w:rPr>
                <w:rFonts w:cs="Times New Roman"/>
                <w:sz w:val="20"/>
                <w:szCs w:val="18"/>
              </w:rPr>
              <w:t>88cm SLR</w:t>
            </w:r>
          </w:p>
          <w:p w:rsidR="007F2F9C" w:rsidRPr="00E12250" w:rsidRDefault="007F2F9C" w:rsidP="00651C2A">
            <w:pPr>
              <w:spacing w:after="0" w:line="240" w:lineRule="auto"/>
              <w:rPr>
                <w:rFonts w:cs="Times New Roman"/>
                <w:sz w:val="20"/>
                <w:szCs w:val="18"/>
              </w:rPr>
            </w:pPr>
          </w:p>
          <w:p w:rsidR="007F2F9C" w:rsidRPr="00E12250" w:rsidRDefault="007F2F9C" w:rsidP="00651C2A">
            <w:pPr>
              <w:spacing w:after="0" w:line="240" w:lineRule="auto"/>
              <w:rPr>
                <w:rFonts w:cs="Times New Roman"/>
                <w:sz w:val="20"/>
                <w:szCs w:val="18"/>
              </w:rPr>
            </w:pPr>
          </w:p>
          <w:p w:rsidR="007F2F9C" w:rsidRPr="00E12250" w:rsidRDefault="007F2F9C" w:rsidP="00D6486D">
            <w:pPr>
              <w:numPr>
                <w:ilvl w:val="0"/>
                <w:numId w:val="66"/>
              </w:numPr>
              <w:spacing w:after="0" w:line="240" w:lineRule="auto"/>
              <w:rPr>
                <w:rFonts w:cs="Times New Roman"/>
                <w:sz w:val="20"/>
                <w:szCs w:val="18"/>
              </w:rPr>
            </w:pPr>
            <w:r w:rsidRPr="00E12250">
              <w:rPr>
                <w:rFonts w:cs="Times New Roman"/>
                <w:sz w:val="20"/>
                <w:szCs w:val="18"/>
              </w:rPr>
              <w:t xml:space="preserve">62cm SLR </w:t>
            </w:r>
          </w:p>
          <w:p w:rsidR="007F2F9C" w:rsidRPr="00E12250" w:rsidRDefault="007F2F9C" w:rsidP="00651C2A">
            <w:pPr>
              <w:spacing w:after="0" w:line="240" w:lineRule="auto"/>
              <w:ind w:left="360"/>
              <w:rPr>
                <w:rFonts w:cs="Times New Roman"/>
                <w:sz w:val="20"/>
                <w:szCs w:val="18"/>
              </w:rPr>
            </w:pPr>
          </w:p>
          <w:p w:rsidR="007F2F9C" w:rsidRPr="00E12250" w:rsidRDefault="007F2F9C" w:rsidP="00651C2A">
            <w:pPr>
              <w:spacing w:after="0" w:line="240" w:lineRule="auto"/>
              <w:ind w:left="360"/>
              <w:rPr>
                <w:rFonts w:cs="Times New Roman"/>
                <w:sz w:val="20"/>
                <w:szCs w:val="18"/>
              </w:rPr>
            </w:pPr>
          </w:p>
          <w:p w:rsidR="007F2F9C" w:rsidRPr="00E12250" w:rsidRDefault="007F2F9C" w:rsidP="00D6486D">
            <w:pPr>
              <w:pStyle w:val="ListParagraph"/>
              <w:numPr>
                <w:ilvl w:val="0"/>
                <w:numId w:val="66"/>
              </w:numPr>
              <w:spacing w:after="0" w:line="240" w:lineRule="auto"/>
              <w:rPr>
                <w:rFonts w:cs="Times New Roman"/>
                <w:sz w:val="20"/>
                <w:szCs w:val="18"/>
              </w:rPr>
            </w:pPr>
            <w:r w:rsidRPr="00E12250">
              <w:rPr>
                <w:rFonts w:cs="Times New Roman"/>
                <w:sz w:val="20"/>
                <w:szCs w:val="18"/>
              </w:rPr>
              <w:t>Salinity ingress</w:t>
            </w:r>
          </w:p>
        </w:tc>
        <w:tc>
          <w:tcPr>
            <w:tcW w:w="3060" w:type="dxa"/>
          </w:tcPr>
          <w:p w:rsidR="007F2F9C" w:rsidRPr="00E12250" w:rsidRDefault="007F2F9C" w:rsidP="00D6486D">
            <w:pPr>
              <w:numPr>
                <w:ilvl w:val="0"/>
                <w:numId w:val="66"/>
              </w:numPr>
              <w:spacing w:after="0" w:line="240" w:lineRule="auto"/>
              <w:rPr>
                <w:rFonts w:cs="Times New Roman"/>
                <w:b/>
                <w:sz w:val="20"/>
                <w:szCs w:val="18"/>
              </w:rPr>
            </w:pPr>
            <w:r w:rsidRPr="00E12250">
              <w:rPr>
                <w:rFonts w:cs="Times New Roman"/>
                <w:sz w:val="20"/>
                <w:szCs w:val="18"/>
              </w:rPr>
              <w:t>inundation of 17%-21% of the total area of Bangladesh</w:t>
            </w:r>
          </w:p>
          <w:p w:rsidR="007F2F9C" w:rsidRPr="00E12250" w:rsidRDefault="007F2F9C" w:rsidP="00651C2A">
            <w:pPr>
              <w:spacing w:after="0" w:line="240" w:lineRule="auto"/>
              <w:rPr>
                <w:rFonts w:cs="Times New Roman"/>
                <w:b/>
                <w:sz w:val="20"/>
                <w:szCs w:val="18"/>
              </w:rPr>
            </w:pPr>
          </w:p>
          <w:p w:rsidR="007F2F9C" w:rsidRPr="00E12250" w:rsidRDefault="007F2F9C" w:rsidP="00651C2A">
            <w:pPr>
              <w:spacing w:after="0" w:line="240" w:lineRule="auto"/>
              <w:rPr>
                <w:rFonts w:cs="Times New Roman"/>
                <w:b/>
                <w:sz w:val="20"/>
                <w:szCs w:val="18"/>
              </w:rPr>
            </w:pPr>
          </w:p>
          <w:p w:rsidR="007F2F9C" w:rsidRPr="00E12250" w:rsidRDefault="007F2F9C" w:rsidP="00651C2A">
            <w:pPr>
              <w:spacing w:after="0" w:line="240" w:lineRule="auto"/>
              <w:rPr>
                <w:rFonts w:cs="Times New Roman"/>
                <w:b/>
                <w:sz w:val="20"/>
                <w:szCs w:val="18"/>
              </w:rPr>
            </w:pPr>
          </w:p>
          <w:p w:rsidR="007F2F9C" w:rsidRPr="00E12250" w:rsidRDefault="007F2F9C" w:rsidP="00651C2A">
            <w:pPr>
              <w:spacing w:after="0" w:line="240" w:lineRule="auto"/>
              <w:rPr>
                <w:rFonts w:cs="Times New Roman"/>
                <w:b/>
                <w:sz w:val="20"/>
                <w:szCs w:val="18"/>
              </w:rPr>
            </w:pPr>
          </w:p>
          <w:p w:rsidR="007F2F9C" w:rsidRPr="00E12250" w:rsidRDefault="007F2F9C" w:rsidP="00651C2A">
            <w:pPr>
              <w:spacing w:after="0" w:line="240" w:lineRule="auto"/>
              <w:rPr>
                <w:rFonts w:cs="Times New Roman"/>
                <w:b/>
                <w:sz w:val="20"/>
                <w:szCs w:val="18"/>
              </w:rPr>
            </w:pPr>
          </w:p>
          <w:p w:rsidR="007F2F9C" w:rsidRPr="00E12250" w:rsidRDefault="007F2F9C" w:rsidP="00D6486D">
            <w:pPr>
              <w:numPr>
                <w:ilvl w:val="0"/>
                <w:numId w:val="66"/>
              </w:numPr>
              <w:spacing w:after="0" w:line="240" w:lineRule="auto"/>
              <w:rPr>
                <w:rFonts w:cs="Times New Roman"/>
                <w:b/>
                <w:sz w:val="20"/>
                <w:szCs w:val="18"/>
              </w:rPr>
            </w:pPr>
            <w:r w:rsidRPr="00E12250">
              <w:rPr>
                <w:rFonts w:cs="Times New Roman"/>
                <w:sz w:val="20"/>
                <w:szCs w:val="18"/>
              </w:rPr>
              <w:t>11% of coastal zone and 3% of total area inundated</w:t>
            </w:r>
          </w:p>
          <w:p w:rsidR="007F2F9C" w:rsidRPr="00E12250" w:rsidRDefault="007F2F9C" w:rsidP="00651C2A">
            <w:pPr>
              <w:spacing w:after="0" w:line="240" w:lineRule="auto"/>
              <w:ind w:left="360"/>
              <w:rPr>
                <w:rFonts w:cs="Times New Roman"/>
                <w:b/>
                <w:sz w:val="20"/>
                <w:szCs w:val="18"/>
              </w:rPr>
            </w:pPr>
          </w:p>
          <w:p w:rsidR="007F2F9C" w:rsidRPr="00E12250" w:rsidRDefault="007F2F9C" w:rsidP="00D6486D">
            <w:pPr>
              <w:numPr>
                <w:ilvl w:val="0"/>
                <w:numId w:val="66"/>
              </w:numPr>
              <w:spacing w:after="0" w:line="240" w:lineRule="auto"/>
              <w:rPr>
                <w:rFonts w:cs="Times New Roman"/>
                <w:b/>
                <w:sz w:val="20"/>
                <w:szCs w:val="18"/>
              </w:rPr>
            </w:pPr>
            <w:r w:rsidRPr="00E12250">
              <w:rPr>
                <w:rFonts w:cs="Times New Roman"/>
                <w:sz w:val="20"/>
                <w:szCs w:val="18"/>
              </w:rPr>
              <w:t>16% inundation of over 5000km</w:t>
            </w:r>
            <w:r w:rsidRPr="00E12250">
              <w:rPr>
                <w:rFonts w:cs="Times New Roman"/>
                <w:sz w:val="20"/>
                <w:szCs w:val="18"/>
                <w:vertAlign w:val="superscript"/>
              </w:rPr>
              <w:t>2</w:t>
            </w:r>
          </w:p>
          <w:p w:rsidR="007F2F9C" w:rsidRPr="00E12250" w:rsidRDefault="007F2F9C" w:rsidP="00651C2A">
            <w:pPr>
              <w:spacing w:after="0" w:line="240" w:lineRule="auto"/>
              <w:ind w:left="360"/>
              <w:rPr>
                <w:rFonts w:cs="Times New Roman"/>
                <w:b/>
                <w:sz w:val="20"/>
                <w:szCs w:val="18"/>
              </w:rPr>
            </w:pPr>
          </w:p>
          <w:p w:rsidR="007F2F9C" w:rsidRPr="00E12250" w:rsidRDefault="007F2F9C" w:rsidP="00D6486D">
            <w:pPr>
              <w:pStyle w:val="ListParagraph"/>
              <w:numPr>
                <w:ilvl w:val="0"/>
                <w:numId w:val="66"/>
              </w:numPr>
              <w:spacing w:after="0" w:line="240" w:lineRule="auto"/>
              <w:rPr>
                <w:rFonts w:cs="Times New Roman"/>
                <w:sz w:val="20"/>
                <w:szCs w:val="18"/>
              </w:rPr>
            </w:pPr>
            <w:r w:rsidRPr="00E12250">
              <w:rPr>
                <w:rFonts w:cs="Times New Roman"/>
                <w:sz w:val="20"/>
                <w:szCs w:val="18"/>
              </w:rPr>
              <w:t xml:space="preserve">Crop loss of 0.2 million </w:t>
            </w:r>
            <w:r w:rsidR="00FE6385">
              <w:rPr>
                <w:rFonts w:cs="Times New Roman"/>
                <w:sz w:val="20"/>
                <w:szCs w:val="18"/>
              </w:rPr>
              <w:t>tonne</w:t>
            </w:r>
            <w:r w:rsidRPr="00E12250">
              <w:rPr>
                <w:rFonts w:cs="Times New Roman"/>
                <w:sz w:val="20"/>
                <w:szCs w:val="18"/>
              </w:rPr>
              <w:t>s</w:t>
            </w:r>
          </w:p>
          <w:p w:rsidR="007F2F9C" w:rsidRPr="00E12250" w:rsidRDefault="007F2F9C" w:rsidP="00651C2A">
            <w:pPr>
              <w:spacing w:after="0" w:line="240" w:lineRule="auto"/>
              <w:rPr>
                <w:rFonts w:cs="Times New Roman"/>
                <w:b/>
                <w:sz w:val="20"/>
                <w:szCs w:val="18"/>
              </w:rPr>
            </w:pPr>
            <w:r w:rsidRPr="00E12250">
              <w:rPr>
                <w:rFonts w:cs="Times New Roman"/>
                <w:sz w:val="20"/>
                <w:szCs w:val="18"/>
              </w:rPr>
              <w:t>General conclusion of analysts: Bangladesh SLR expected to be slightly higher than the global average mean</w:t>
            </w:r>
          </w:p>
        </w:tc>
        <w:tc>
          <w:tcPr>
            <w:tcW w:w="2065" w:type="dxa"/>
          </w:tcPr>
          <w:p w:rsidR="007F2F9C" w:rsidRPr="00E12250" w:rsidRDefault="007F2F9C" w:rsidP="00D6486D">
            <w:pPr>
              <w:numPr>
                <w:ilvl w:val="0"/>
                <w:numId w:val="66"/>
              </w:numPr>
              <w:spacing w:after="0" w:line="240" w:lineRule="auto"/>
              <w:rPr>
                <w:rFonts w:cs="Times New Roman"/>
                <w:sz w:val="20"/>
                <w:szCs w:val="18"/>
              </w:rPr>
            </w:pPr>
            <w:r w:rsidRPr="00E12250">
              <w:rPr>
                <w:rFonts w:cs="Times New Roman"/>
                <w:sz w:val="20"/>
                <w:szCs w:val="18"/>
              </w:rPr>
              <w:t>Hardy, 1992; Choudhury 1997; IPCC (2001) report</w:t>
            </w:r>
          </w:p>
          <w:p w:rsidR="007F2F9C" w:rsidRPr="00E12250" w:rsidRDefault="007F2F9C" w:rsidP="00651C2A">
            <w:pPr>
              <w:spacing w:after="0" w:line="240" w:lineRule="auto"/>
              <w:rPr>
                <w:rFonts w:cs="Times New Roman"/>
                <w:sz w:val="20"/>
                <w:szCs w:val="18"/>
              </w:rPr>
            </w:pPr>
          </w:p>
          <w:p w:rsidR="007F2F9C" w:rsidRPr="00E12250" w:rsidRDefault="007F2F9C" w:rsidP="00651C2A">
            <w:pPr>
              <w:spacing w:after="0" w:line="240" w:lineRule="auto"/>
              <w:rPr>
                <w:rFonts w:cs="Times New Roman"/>
                <w:sz w:val="20"/>
                <w:szCs w:val="18"/>
              </w:rPr>
            </w:pPr>
          </w:p>
          <w:p w:rsidR="007F2F9C" w:rsidRPr="00E12250" w:rsidRDefault="007F2F9C" w:rsidP="00651C2A">
            <w:pPr>
              <w:spacing w:after="0" w:line="240" w:lineRule="auto"/>
              <w:rPr>
                <w:rFonts w:cs="Times New Roman"/>
                <w:sz w:val="20"/>
                <w:szCs w:val="18"/>
              </w:rPr>
            </w:pPr>
          </w:p>
          <w:p w:rsidR="007F2F9C" w:rsidRPr="00E12250" w:rsidRDefault="007F2F9C" w:rsidP="00651C2A">
            <w:pPr>
              <w:spacing w:after="0" w:line="240" w:lineRule="auto"/>
              <w:rPr>
                <w:rFonts w:cs="Times New Roman"/>
                <w:sz w:val="20"/>
                <w:szCs w:val="18"/>
              </w:rPr>
            </w:pPr>
          </w:p>
          <w:p w:rsidR="007F2F9C" w:rsidRPr="00E12250" w:rsidRDefault="007F2F9C" w:rsidP="00D6486D">
            <w:pPr>
              <w:numPr>
                <w:ilvl w:val="0"/>
                <w:numId w:val="66"/>
              </w:numPr>
              <w:spacing w:after="0" w:line="240" w:lineRule="auto"/>
              <w:rPr>
                <w:rFonts w:cs="Times New Roman"/>
                <w:sz w:val="20"/>
                <w:szCs w:val="18"/>
              </w:rPr>
            </w:pPr>
            <w:r w:rsidRPr="00E12250">
              <w:rPr>
                <w:rFonts w:cs="Times New Roman"/>
                <w:sz w:val="20"/>
                <w:szCs w:val="18"/>
              </w:rPr>
              <w:t>WARPO (2005)</w:t>
            </w:r>
          </w:p>
          <w:p w:rsidR="007F2F9C" w:rsidRPr="00E12250" w:rsidRDefault="007F2F9C" w:rsidP="00651C2A">
            <w:pPr>
              <w:spacing w:after="0" w:line="240" w:lineRule="auto"/>
              <w:rPr>
                <w:rFonts w:cs="Times New Roman"/>
                <w:sz w:val="20"/>
                <w:szCs w:val="18"/>
              </w:rPr>
            </w:pPr>
          </w:p>
          <w:p w:rsidR="007F2F9C" w:rsidRPr="00E12250" w:rsidRDefault="007F2F9C" w:rsidP="00651C2A">
            <w:pPr>
              <w:spacing w:after="0" w:line="240" w:lineRule="auto"/>
              <w:rPr>
                <w:rFonts w:cs="Times New Roman"/>
                <w:sz w:val="20"/>
                <w:szCs w:val="18"/>
              </w:rPr>
            </w:pPr>
          </w:p>
          <w:p w:rsidR="007F2F9C" w:rsidRPr="00E12250" w:rsidRDefault="007F2F9C" w:rsidP="00651C2A">
            <w:pPr>
              <w:spacing w:after="0" w:line="240" w:lineRule="auto"/>
              <w:rPr>
                <w:rFonts w:cs="Times New Roman"/>
                <w:sz w:val="20"/>
                <w:szCs w:val="18"/>
              </w:rPr>
            </w:pPr>
          </w:p>
          <w:p w:rsidR="007F2F9C" w:rsidRPr="00E12250" w:rsidRDefault="007F2F9C" w:rsidP="00D6486D">
            <w:pPr>
              <w:numPr>
                <w:ilvl w:val="0"/>
                <w:numId w:val="66"/>
              </w:numPr>
              <w:spacing w:after="0" w:line="240" w:lineRule="auto"/>
              <w:rPr>
                <w:rFonts w:cs="Times New Roman"/>
                <w:sz w:val="20"/>
                <w:szCs w:val="18"/>
              </w:rPr>
            </w:pPr>
            <w:r w:rsidRPr="00E12250">
              <w:rPr>
                <w:rFonts w:cs="Times New Roman"/>
                <w:sz w:val="20"/>
                <w:szCs w:val="18"/>
              </w:rPr>
              <w:t>IWM (2008) and CEGIS (2010)</w:t>
            </w:r>
          </w:p>
          <w:p w:rsidR="007F2F9C" w:rsidRPr="00E12250" w:rsidRDefault="007F2F9C" w:rsidP="00651C2A">
            <w:pPr>
              <w:spacing w:after="0" w:line="240" w:lineRule="auto"/>
              <w:rPr>
                <w:rFonts w:cs="Times New Roman"/>
                <w:b/>
                <w:sz w:val="20"/>
                <w:szCs w:val="18"/>
              </w:rPr>
            </w:pPr>
          </w:p>
          <w:p w:rsidR="007F2F9C" w:rsidRPr="00E12250" w:rsidRDefault="007F2F9C" w:rsidP="00D6486D">
            <w:pPr>
              <w:pStyle w:val="ListParagraph"/>
              <w:numPr>
                <w:ilvl w:val="0"/>
                <w:numId w:val="66"/>
              </w:numPr>
              <w:spacing w:after="0" w:line="240" w:lineRule="auto"/>
              <w:rPr>
                <w:rFonts w:cs="Times New Roman"/>
                <w:sz w:val="20"/>
                <w:szCs w:val="18"/>
              </w:rPr>
            </w:pPr>
            <w:r w:rsidRPr="00E12250">
              <w:rPr>
                <w:rFonts w:cs="Times New Roman"/>
                <w:sz w:val="20"/>
                <w:szCs w:val="18"/>
              </w:rPr>
              <w:t>Habibullah et al, 1998</w:t>
            </w:r>
          </w:p>
        </w:tc>
      </w:tr>
      <w:tr w:rsidR="007F2F9C" w:rsidRPr="00E12250" w:rsidTr="00651C2A">
        <w:trPr>
          <w:trHeight w:val="20"/>
          <w:jc w:val="center"/>
        </w:trPr>
        <w:tc>
          <w:tcPr>
            <w:tcW w:w="1795" w:type="dxa"/>
          </w:tcPr>
          <w:p w:rsidR="007F2F9C" w:rsidRPr="00E12250" w:rsidRDefault="007F2F9C" w:rsidP="00651C2A">
            <w:pPr>
              <w:spacing w:after="0" w:line="240" w:lineRule="auto"/>
              <w:rPr>
                <w:rFonts w:cs="Times New Roman"/>
                <w:sz w:val="20"/>
                <w:szCs w:val="18"/>
              </w:rPr>
            </w:pPr>
            <w:r w:rsidRPr="00E12250">
              <w:rPr>
                <w:rFonts w:cs="Times New Roman"/>
                <w:sz w:val="20"/>
                <w:szCs w:val="18"/>
              </w:rPr>
              <w:t>2. Temperatures</w:t>
            </w:r>
          </w:p>
        </w:tc>
        <w:tc>
          <w:tcPr>
            <w:tcW w:w="2430" w:type="dxa"/>
          </w:tcPr>
          <w:p w:rsidR="007F2F9C" w:rsidRPr="00E12250" w:rsidRDefault="007F2F9C" w:rsidP="00D6486D">
            <w:pPr>
              <w:numPr>
                <w:ilvl w:val="0"/>
                <w:numId w:val="68"/>
              </w:numPr>
              <w:spacing w:after="0" w:line="240" w:lineRule="auto"/>
              <w:rPr>
                <w:rFonts w:cs="Times New Roman"/>
                <w:b/>
                <w:sz w:val="20"/>
                <w:szCs w:val="18"/>
              </w:rPr>
            </w:pPr>
            <w:r w:rsidRPr="00E12250">
              <w:rPr>
                <w:rFonts w:cs="Times New Roman"/>
                <w:sz w:val="20"/>
                <w:szCs w:val="18"/>
              </w:rPr>
              <w:t>Increases in temperatures of up to 2.0 °C or more by 2100</w:t>
            </w:r>
          </w:p>
        </w:tc>
        <w:tc>
          <w:tcPr>
            <w:tcW w:w="3060" w:type="dxa"/>
          </w:tcPr>
          <w:p w:rsidR="007F2F9C" w:rsidRPr="00E12250" w:rsidRDefault="007F2F9C" w:rsidP="00D6486D">
            <w:pPr>
              <w:numPr>
                <w:ilvl w:val="0"/>
                <w:numId w:val="68"/>
              </w:numPr>
              <w:spacing w:after="0" w:line="240" w:lineRule="auto"/>
              <w:rPr>
                <w:rFonts w:cs="Times New Roman"/>
                <w:sz w:val="20"/>
                <w:szCs w:val="18"/>
              </w:rPr>
            </w:pPr>
            <w:r w:rsidRPr="00E12250">
              <w:rPr>
                <w:rFonts w:cs="Times New Roman"/>
                <w:sz w:val="20"/>
                <w:szCs w:val="18"/>
              </w:rPr>
              <w:t>17% reduction in rice yields; increase in pests and insects; extinction of some species; 61% reduction in wheat yields</w:t>
            </w:r>
          </w:p>
          <w:p w:rsidR="007F2F9C" w:rsidRPr="00E12250" w:rsidRDefault="007F2F9C" w:rsidP="00651C2A">
            <w:pPr>
              <w:spacing w:after="0" w:line="240" w:lineRule="auto"/>
              <w:rPr>
                <w:rFonts w:cs="Times New Roman"/>
                <w:sz w:val="20"/>
                <w:szCs w:val="18"/>
              </w:rPr>
            </w:pPr>
          </w:p>
        </w:tc>
        <w:tc>
          <w:tcPr>
            <w:tcW w:w="2065" w:type="dxa"/>
          </w:tcPr>
          <w:p w:rsidR="007F2F9C" w:rsidRPr="00E12250" w:rsidRDefault="007F2F9C" w:rsidP="00D6486D">
            <w:pPr>
              <w:numPr>
                <w:ilvl w:val="0"/>
                <w:numId w:val="66"/>
              </w:numPr>
              <w:spacing w:after="0" w:line="240" w:lineRule="auto"/>
              <w:rPr>
                <w:rFonts w:cs="Times New Roman"/>
                <w:sz w:val="20"/>
                <w:szCs w:val="18"/>
              </w:rPr>
            </w:pPr>
            <w:r w:rsidRPr="00E12250">
              <w:rPr>
                <w:rFonts w:cs="Times New Roman"/>
                <w:color w:val="000000"/>
                <w:sz w:val="20"/>
                <w:szCs w:val="18"/>
              </w:rPr>
              <w:t>The Geophysical Fluid Dynamics Laboratory model</w:t>
            </w:r>
          </w:p>
        </w:tc>
      </w:tr>
      <w:tr w:rsidR="007F2F9C" w:rsidRPr="00E12250" w:rsidTr="00651C2A">
        <w:trPr>
          <w:trHeight w:val="20"/>
          <w:jc w:val="center"/>
        </w:trPr>
        <w:tc>
          <w:tcPr>
            <w:tcW w:w="1795" w:type="dxa"/>
          </w:tcPr>
          <w:p w:rsidR="007F2F9C" w:rsidRPr="00E12250" w:rsidRDefault="007F2F9C" w:rsidP="00651C2A">
            <w:pPr>
              <w:spacing w:after="0" w:line="240" w:lineRule="auto"/>
              <w:rPr>
                <w:rFonts w:cs="Times New Roman"/>
                <w:sz w:val="20"/>
                <w:szCs w:val="18"/>
              </w:rPr>
            </w:pPr>
            <w:r w:rsidRPr="00E12250">
              <w:rPr>
                <w:rFonts w:cs="Times New Roman"/>
                <w:sz w:val="20"/>
                <w:szCs w:val="18"/>
              </w:rPr>
              <w:t>3. Precipitation</w:t>
            </w:r>
          </w:p>
        </w:tc>
        <w:tc>
          <w:tcPr>
            <w:tcW w:w="2430" w:type="dxa"/>
          </w:tcPr>
          <w:p w:rsidR="007F2F9C" w:rsidRPr="00E12250" w:rsidRDefault="007F2F9C" w:rsidP="00D6486D">
            <w:pPr>
              <w:numPr>
                <w:ilvl w:val="0"/>
                <w:numId w:val="67"/>
              </w:numPr>
              <w:spacing w:after="0" w:line="240" w:lineRule="auto"/>
              <w:rPr>
                <w:rFonts w:cs="Times New Roman"/>
                <w:sz w:val="20"/>
                <w:szCs w:val="18"/>
              </w:rPr>
            </w:pPr>
            <w:r w:rsidRPr="00E12250">
              <w:rPr>
                <w:rFonts w:cs="Times New Roman"/>
                <w:sz w:val="20"/>
                <w:szCs w:val="18"/>
              </w:rPr>
              <w:t>Increase in rainfall by 800mm in NW region and 300mm in SW.</w:t>
            </w:r>
          </w:p>
          <w:p w:rsidR="007F2F9C" w:rsidRPr="00E12250" w:rsidRDefault="007F2F9C" w:rsidP="00D6486D">
            <w:pPr>
              <w:numPr>
                <w:ilvl w:val="0"/>
                <w:numId w:val="67"/>
              </w:numPr>
              <w:spacing w:after="0" w:line="240" w:lineRule="auto"/>
              <w:rPr>
                <w:rFonts w:cs="Times New Roman"/>
                <w:sz w:val="20"/>
                <w:szCs w:val="18"/>
              </w:rPr>
            </w:pPr>
            <w:r w:rsidRPr="00E12250">
              <w:rPr>
                <w:rFonts w:cs="Times New Roman"/>
                <w:sz w:val="20"/>
                <w:szCs w:val="18"/>
              </w:rPr>
              <w:t>13%</w:t>
            </w:r>
            <w:r w:rsidRPr="00E12250">
              <w:rPr>
                <w:rFonts w:cs="Times New Roman"/>
                <w:b/>
                <w:sz w:val="20"/>
                <w:szCs w:val="18"/>
              </w:rPr>
              <w:t xml:space="preserve"> </w:t>
            </w:r>
            <w:r w:rsidRPr="00E12250">
              <w:rPr>
                <w:rFonts w:cs="Times New Roman"/>
                <w:sz w:val="20"/>
                <w:szCs w:val="18"/>
              </w:rPr>
              <w:t>increase in precipitation over GBM basin</w:t>
            </w:r>
          </w:p>
        </w:tc>
        <w:tc>
          <w:tcPr>
            <w:tcW w:w="3060" w:type="dxa"/>
          </w:tcPr>
          <w:p w:rsidR="007F2F9C" w:rsidRPr="00E12250" w:rsidRDefault="007F2F9C" w:rsidP="00D6486D">
            <w:pPr>
              <w:numPr>
                <w:ilvl w:val="0"/>
                <w:numId w:val="67"/>
              </w:numPr>
              <w:spacing w:after="0" w:line="240" w:lineRule="auto"/>
              <w:rPr>
                <w:rFonts w:cs="Times New Roman"/>
                <w:sz w:val="20"/>
                <w:szCs w:val="18"/>
              </w:rPr>
            </w:pPr>
            <w:r w:rsidRPr="00E12250">
              <w:rPr>
                <w:rFonts w:cs="Times New Roman"/>
                <w:sz w:val="20"/>
                <w:szCs w:val="18"/>
              </w:rPr>
              <w:t>Higher monsoon flooding</w:t>
            </w:r>
          </w:p>
          <w:p w:rsidR="007F2F9C" w:rsidRPr="00E12250" w:rsidRDefault="007F2F9C" w:rsidP="00651C2A">
            <w:pPr>
              <w:spacing w:after="0" w:line="240" w:lineRule="auto"/>
              <w:rPr>
                <w:rFonts w:cs="Times New Roman"/>
                <w:b/>
                <w:sz w:val="20"/>
                <w:szCs w:val="18"/>
              </w:rPr>
            </w:pPr>
          </w:p>
          <w:p w:rsidR="007F2F9C" w:rsidRPr="00E12250" w:rsidRDefault="007F2F9C" w:rsidP="00D6486D">
            <w:pPr>
              <w:numPr>
                <w:ilvl w:val="0"/>
                <w:numId w:val="67"/>
              </w:numPr>
              <w:spacing w:after="0" w:line="240" w:lineRule="auto"/>
              <w:rPr>
                <w:rFonts w:cs="Times New Roman"/>
                <w:b/>
                <w:sz w:val="20"/>
                <w:szCs w:val="18"/>
              </w:rPr>
            </w:pPr>
            <w:r w:rsidRPr="00E12250">
              <w:rPr>
                <w:rFonts w:cs="Times New Roman"/>
                <w:sz w:val="20"/>
                <w:szCs w:val="18"/>
              </w:rPr>
              <w:t>22% increase in peak discharge—monsoon flooding.</w:t>
            </w:r>
          </w:p>
        </w:tc>
        <w:tc>
          <w:tcPr>
            <w:tcW w:w="2065" w:type="dxa"/>
          </w:tcPr>
          <w:p w:rsidR="007F2F9C" w:rsidRPr="00E12250" w:rsidRDefault="007F2F9C" w:rsidP="00D6486D">
            <w:pPr>
              <w:numPr>
                <w:ilvl w:val="0"/>
                <w:numId w:val="67"/>
              </w:numPr>
              <w:spacing w:after="0" w:line="240" w:lineRule="auto"/>
              <w:rPr>
                <w:rFonts w:cs="Times New Roman"/>
                <w:b/>
                <w:sz w:val="20"/>
                <w:szCs w:val="18"/>
              </w:rPr>
            </w:pPr>
            <w:r w:rsidRPr="00E12250">
              <w:rPr>
                <w:rFonts w:cs="Times New Roman"/>
                <w:sz w:val="20"/>
                <w:szCs w:val="18"/>
              </w:rPr>
              <w:t>IPCC AR5 and five General Circulation Models – GCM</w:t>
            </w:r>
          </w:p>
          <w:p w:rsidR="007F2F9C" w:rsidRPr="00E12250" w:rsidRDefault="007F2F9C" w:rsidP="00D6486D">
            <w:pPr>
              <w:numPr>
                <w:ilvl w:val="0"/>
                <w:numId w:val="67"/>
              </w:numPr>
              <w:spacing w:after="0" w:line="240" w:lineRule="auto"/>
              <w:rPr>
                <w:rFonts w:cs="Times New Roman"/>
                <w:b/>
                <w:sz w:val="20"/>
                <w:szCs w:val="18"/>
              </w:rPr>
            </w:pPr>
            <w:r w:rsidRPr="00E12250">
              <w:rPr>
                <w:rFonts w:cs="Times New Roman"/>
                <w:sz w:val="20"/>
                <w:szCs w:val="18"/>
              </w:rPr>
              <w:t>IWM (2008)</w:t>
            </w:r>
          </w:p>
        </w:tc>
      </w:tr>
    </w:tbl>
    <w:p w:rsidR="00025234" w:rsidRPr="00A44AF7" w:rsidRDefault="00A44AF7" w:rsidP="00A44AF7">
      <w:pPr>
        <w:spacing w:before="120"/>
        <w:rPr>
          <w:rFonts w:cs="Times New Roman"/>
          <w:b/>
          <w:i/>
          <w:sz w:val="20"/>
          <w:szCs w:val="24"/>
        </w:rPr>
      </w:pPr>
      <w:r w:rsidRPr="00A44AF7">
        <w:rPr>
          <w:rFonts w:cs="Times New Roman"/>
          <w:b/>
          <w:i/>
          <w:sz w:val="20"/>
          <w:szCs w:val="24"/>
        </w:rPr>
        <w:t>Source: GED Compilations</w:t>
      </w:r>
    </w:p>
    <w:p w:rsidR="0064732A" w:rsidRDefault="0064732A" w:rsidP="0064732A">
      <w:pPr>
        <w:spacing w:line="276" w:lineRule="auto"/>
        <w:jc w:val="both"/>
        <w:rPr>
          <w:rFonts w:cs="Times New Roman"/>
          <w:szCs w:val="24"/>
        </w:rPr>
      </w:pPr>
      <w:r w:rsidRPr="00241CAA">
        <w:rPr>
          <w:rFonts w:cs="Times New Roman"/>
          <w:szCs w:val="24"/>
        </w:rPr>
        <w:t>The southern and northwest regions are the most vulnerable. The south sits at the confluence of multiple climate risks. These areas experience the largest decline in rice production due to climate change. This is for three reasons. First, these regions already experience significant declines in aus and aman rice production due to climate variability, which is expected to worsen under climate change. Secondly, boro yields are severely affected by the effects of changes in mean rainfall, temperature and mean shifts in the flood hydro- graphs. Thus, reductions in boro production limit the ability for these regions to compensate for lost aus and aman rice production during extreme events. The south is also affected the most by rising sea levels, which permanently reduces cultivable land. The largest percentage declines in per capita consumption are projected in these regions. Finally, the northwest is also vulnerable, as the lost consumption is a large fraction of existing house hold consumption. Adaptation measur</w:t>
      </w:r>
      <w:r>
        <w:rPr>
          <w:rFonts w:cs="Times New Roman"/>
          <w:szCs w:val="24"/>
        </w:rPr>
        <w:t>es should focus on these areas.</w:t>
      </w:r>
    </w:p>
    <w:p w:rsidR="007F2F9C" w:rsidRDefault="007F2F9C" w:rsidP="00651C2A">
      <w:pPr>
        <w:autoSpaceDE w:val="0"/>
        <w:autoSpaceDN w:val="0"/>
        <w:adjustRightInd w:val="0"/>
        <w:spacing w:line="276" w:lineRule="auto"/>
        <w:jc w:val="both"/>
        <w:rPr>
          <w:rFonts w:cs="Times New Roman"/>
          <w:szCs w:val="24"/>
        </w:rPr>
      </w:pPr>
      <w:r w:rsidRPr="00241CAA">
        <w:rPr>
          <w:rFonts w:cs="Times New Roman"/>
          <w:szCs w:val="24"/>
        </w:rPr>
        <w:lastRenderedPageBreak/>
        <w:t>What is most disconcerting is the fact that the negative effects of climate change are projected to affect the populations with the least capacity to adjust, but with the greatest need for improved agricultural performance to achieve food security</w:t>
      </w:r>
      <w:r w:rsidR="00BD6261">
        <w:rPr>
          <w:rFonts w:cs="Times New Roman"/>
          <w:szCs w:val="24"/>
        </w:rPr>
        <w:t xml:space="preserve"> and reduce poverty</w:t>
      </w:r>
      <w:r w:rsidRPr="00241CAA">
        <w:rPr>
          <w:rFonts w:cs="Times New Roman"/>
          <w:szCs w:val="24"/>
        </w:rPr>
        <w:t xml:space="preserve">. </w:t>
      </w:r>
      <w:r w:rsidR="00A96767">
        <w:rPr>
          <w:rFonts w:cs="Times New Roman"/>
          <w:szCs w:val="24"/>
        </w:rPr>
        <w:t xml:space="preserve">Bangladeshi population living on </w:t>
      </w:r>
      <w:r w:rsidRPr="00241CAA">
        <w:rPr>
          <w:rFonts w:cs="Times New Roman"/>
          <w:szCs w:val="24"/>
        </w:rPr>
        <w:t>agriculture currently and in the future fit</w:t>
      </w:r>
      <w:r w:rsidR="00A96767">
        <w:rPr>
          <w:rFonts w:cs="Times New Roman"/>
          <w:szCs w:val="24"/>
        </w:rPr>
        <w:t>s</w:t>
      </w:r>
      <w:r w:rsidRPr="00241CAA">
        <w:rPr>
          <w:rFonts w:cs="Times New Roman"/>
          <w:szCs w:val="24"/>
        </w:rPr>
        <w:t xml:space="preserve"> this classification of those with least capacity to adjust to climate change</w:t>
      </w:r>
      <w:r w:rsidR="00A96767">
        <w:rPr>
          <w:rFonts w:cs="Times New Roman"/>
          <w:szCs w:val="24"/>
        </w:rPr>
        <w:t>.  T</w:t>
      </w:r>
      <w:r w:rsidRPr="00241CAA">
        <w:rPr>
          <w:rFonts w:cs="Times New Roman"/>
          <w:szCs w:val="24"/>
        </w:rPr>
        <w:t>herefore</w:t>
      </w:r>
      <w:r w:rsidR="00A96767">
        <w:rPr>
          <w:rFonts w:cs="Times New Roman"/>
          <w:szCs w:val="24"/>
        </w:rPr>
        <w:t>, they</w:t>
      </w:r>
      <w:r w:rsidRPr="00241CAA">
        <w:rPr>
          <w:rFonts w:cs="Times New Roman"/>
          <w:szCs w:val="24"/>
        </w:rPr>
        <w:t xml:space="preserve"> are in the greatest need for transformation the present agricultural systems in order to improve livelihoods and ensure food security. Achieving food security in the long-term by mitigating adverse climate change effects becomes a long drawn out process of transforming agricultural systems that include cultivation of crops, rearing of livestock, modernizing aquaculture and fisheries, and preserving forestry resources. Raising productivity through technological adaptation and innovation is only one part of this adjustment. Other adjustments could include diversification of income sources by choosing off-farm activities that are not as sensitive to climate variation as rice cultivation, growing alternative crops between seasons, changing seedling techniques, and mechanization. The process of adjustment need to start sooner rather than later as the costs of inaction today will simply raise the cost of mitigation in future substantially. These adjustment approaches are being adopted in other tropical countries in Asia to achieve food security and poverty reduction in a sustainable way.</w:t>
      </w:r>
    </w:p>
    <w:p w:rsidR="00F64A6A" w:rsidRDefault="001363C7" w:rsidP="00F64A6A">
      <w:pPr>
        <w:pStyle w:val="Heading2"/>
      </w:pPr>
      <w:bookmarkStart w:id="595" w:name="_Toc474638902"/>
      <w:r w:rsidRPr="00E52937">
        <w:t>International Evidence on Developing Deltaic Agriculture under Climate Change</w:t>
      </w:r>
      <w:bookmarkEnd w:id="595"/>
      <w:r w:rsidRPr="00E52937">
        <w:t xml:space="preserve"> </w:t>
      </w:r>
    </w:p>
    <w:p w:rsidR="001363C7" w:rsidRPr="001363C7" w:rsidRDefault="001363C7" w:rsidP="004B0A08">
      <w:pPr>
        <w:jc w:val="both"/>
      </w:pPr>
      <w:r w:rsidRPr="001363C7">
        <w:t xml:space="preserve">Southeast Asian countries have made encouraging efforts in taking adaptation actions in key sectors including agriculture, water resources, forestry, coastal and marine resources. A lot of strategies and investment have been made to address climate change impacts in the Mekong Delta region and other regions of Southeast Asia, which provide lessons for Bangladesh in dealing with adaptation and mitigation issues related to agriculture. </w:t>
      </w:r>
    </w:p>
    <w:p w:rsidR="001363C7" w:rsidRPr="001363C7" w:rsidRDefault="001363C7" w:rsidP="004B0A08">
      <w:pPr>
        <w:jc w:val="both"/>
      </w:pPr>
      <w:r w:rsidRPr="001363C7">
        <w:t xml:space="preserve">Building adaptive capacity involves creating the information and conditions—regulatory, institutional, managerial, and financial—needed to support adaptation actions. While building a country’s adaptive capacity requires the effort of all segments of society, the government has a particularly important role to play. This includes putting in place an effective policy and institutional framework, filling information and knowledge gaps, creating the right incentives, and allocating adequate </w:t>
      </w:r>
      <w:r w:rsidR="00C413FE">
        <w:t>public</w:t>
      </w:r>
      <w:r w:rsidRPr="001363C7">
        <w:t xml:space="preserve"> resources for adaptation. </w:t>
      </w:r>
    </w:p>
    <w:p w:rsidR="001363C7" w:rsidRPr="001363C7" w:rsidRDefault="001363C7" w:rsidP="004B0A08">
      <w:pPr>
        <w:jc w:val="both"/>
      </w:pPr>
      <w:r w:rsidRPr="001363C7">
        <w:t>Southeast Asian countries have made improving adaptive capacity an urgent priority. The region’s vulnerability to climate change has necessitated the development of adaptation practices to cope with climate impacts. These include reactive/responsive measures such as changing the pattern and timing of the cropping system, emergency response to disasters, and migration; as well as proactive/anticipatory adaptation like crop and livelihood diversification, climate forecasting, community-based disaster risk reduction, famine early warning  systems,  insurance,  water storage, supplementary irrigation, and so forth.</w:t>
      </w:r>
    </w:p>
    <w:p w:rsidR="00000000" w:rsidRDefault="001363C7" w:rsidP="003D5A31">
      <w:pPr>
        <w:pStyle w:val="BodyText"/>
        <w:numPr>
          <w:ilvl w:val="2"/>
          <w:numId w:val="209"/>
        </w:numPr>
        <w:spacing w:after="240" w:line="276" w:lineRule="auto"/>
        <w:jc w:val="both"/>
        <w:rPr>
          <w:rFonts w:cs="Times New Roman"/>
          <w:b/>
          <w:szCs w:val="24"/>
        </w:rPr>
      </w:pPr>
      <w:r w:rsidRPr="00C6204B">
        <w:rPr>
          <w:rFonts w:cs="Times New Roman"/>
          <w:b/>
          <w:szCs w:val="24"/>
        </w:rPr>
        <w:t xml:space="preserve">Adaptation in Agriculture Sector </w:t>
      </w:r>
    </w:p>
    <w:p w:rsidR="001363C7" w:rsidRPr="001363C7" w:rsidRDefault="001363C7" w:rsidP="004B0A08">
      <w:pPr>
        <w:jc w:val="both"/>
      </w:pPr>
      <w:r w:rsidRPr="001363C7">
        <w:lastRenderedPageBreak/>
        <w:t>A summary of the adaptation measures in Southeast Asi</w:t>
      </w:r>
      <w:r w:rsidR="007F1965">
        <w:t>a is contained in Table 8.12</w:t>
      </w:r>
      <w:r w:rsidRPr="001363C7">
        <w:t>.  The most commonly used adaptation techniques in the region’s agriculture are changes in cropping patterns and the cropping calendar, and improved farm management. The adaptation measures include changing cropping calendars and patterns (for example, from rice-rice to rice-maize cropping pattern to optimize the use of available water for crop growth); improved farm management; and use of drought-resistant and heat-resilient crop varieties. In Viet Nam, future forecasts suggest there will be a need to change rice crop sowing dates and management procedures to optimize rice yields under changing climate conditions. In the northern part of Viet Nam, the sowing date of spring rice will be earlier by 15–25 days while the sowing date of summer rice will be 20–25 days later. With climate change, the rice growing period in Viet Nam will be expanded. Farmers in Thailand have also adopted similar adaptation practices, as well as intercropping, diversified farming, and variation of crop rotation patterns.</w:t>
      </w:r>
    </w:p>
    <w:tbl>
      <w:tblPr>
        <w:tblW w:w="5000" w:type="pct"/>
        <w:tblBorders>
          <w:top w:val="single" w:sz="2" w:space="0" w:color="009DDC"/>
          <w:left w:val="single" w:sz="2" w:space="0" w:color="009DDC"/>
          <w:bottom w:val="single" w:sz="2" w:space="0" w:color="009DDC"/>
          <w:right w:val="single" w:sz="2" w:space="0" w:color="009DDC"/>
          <w:insideH w:val="single" w:sz="6" w:space="0" w:color="009DDC"/>
          <w:insideV w:val="single" w:sz="6" w:space="0" w:color="009DDC"/>
        </w:tblBorders>
        <w:tblLayout w:type="fixed"/>
        <w:tblCellMar>
          <w:left w:w="0" w:type="dxa"/>
          <w:right w:w="0" w:type="dxa"/>
        </w:tblCellMar>
        <w:tblLook w:val="01E0"/>
      </w:tblPr>
      <w:tblGrid>
        <w:gridCol w:w="3330"/>
        <w:gridCol w:w="1712"/>
        <w:gridCol w:w="1081"/>
        <w:gridCol w:w="1495"/>
        <w:gridCol w:w="1748"/>
      </w:tblGrid>
      <w:tr w:rsidR="001363C7" w:rsidRPr="001363C7" w:rsidTr="006A1CD5">
        <w:trPr>
          <w:trHeight w:hRule="exact" w:val="288"/>
        </w:trPr>
        <w:tc>
          <w:tcPr>
            <w:tcW w:w="5000" w:type="pct"/>
            <w:gridSpan w:val="5"/>
            <w:shd w:val="clear" w:color="auto" w:fill="auto"/>
          </w:tcPr>
          <w:p w:rsidR="001363C7" w:rsidRPr="00777DE0" w:rsidRDefault="007F1965" w:rsidP="0053231E">
            <w:pPr>
              <w:pStyle w:val="Heading4"/>
              <w:rPr>
                <w:b w:val="0"/>
              </w:rPr>
            </w:pPr>
            <w:bookmarkStart w:id="596" w:name="_Toc474639056"/>
            <w:r w:rsidRPr="0053231E">
              <w:t>Table 8.12</w:t>
            </w:r>
            <w:r w:rsidR="001363C7" w:rsidRPr="0053231E">
              <w:t>: Summary of Key Adaptation Options for Agriculture in Southeast Asia</w:t>
            </w:r>
            <w:bookmarkEnd w:id="596"/>
          </w:p>
        </w:tc>
      </w:tr>
      <w:tr w:rsidR="001363C7" w:rsidRPr="001363C7" w:rsidTr="006A1CD5">
        <w:trPr>
          <w:trHeight w:hRule="exact" w:val="576"/>
        </w:trPr>
        <w:tc>
          <w:tcPr>
            <w:tcW w:w="1778" w:type="pct"/>
            <w:shd w:val="clear" w:color="auto" w:fill="auto"/>
          </w:tcPr>
          <w:p w:rsidR="001363C7" w:rsidRPr="00777DE0" w:rsidRDefault="001363C7" w:rsidP="001363C7">
            <w:pPr>
              <w:rPr>
                <w:b/>
                <w:sz w:val="20"/>
              </w:rPr>
            </w:pPr>
            <w:r w:rsidRPr="00777DE0">
              <w:rPr>
                <w:b/>
                <w:sz w:val="20"/>
              </w:rPr>
              <w:t>Practice</w:t>
            </w:r>
          </w:p>
        </w:tc>
        <w:tc>
          <w:tcPr>
            <w:tcW w:w="914" w:type="pct"/>
            <w:shd w:val="clear" w:color="auto" w:fill="auto"/>
          </w:tcPr>
          <w:p w:rsidR="001363C7" w:rsidRPr="00777DE0" w:rsidRDefault="001363C7" w:rsidP="001363C7">
            <w:pPr>
              <w:rPr>
                <w:b/>
                <w:sz w:val="20"/>
              </w:rPr>
            </w:pPr>
            <w:r w:rsidRPr="00777DE0">
              <w:rPr>
                <w:b/>
                <w:sz w:val="20"/>
              </w:rPr>
              <w:t>Scale</w:t>
            </w:r>
          </w:p>
        </w:tc>
        <w:tc>
          <w:tcPr>
            <w:tcW w:w="577" w:type="pct"/>
            <w:shd w:val="clear" w:color="auto" w:fill="auto"/>
          </w:tcPr>
          <w:p w:rsidR="001363C7" w:rsidRPr="00777DE0" w:rsidRDefault="001363C7" w:rsidP="001363C7">
            <w:pPr>
              <w:rPr>
                <w:b/>
                <w:sz w:val="20"/>
              </w:rPr>
            </w:pPr>
            <w:r w:rsidRPr="00777DE0">
              <w:rPr>
                <w:b/>
                <w:sz w:val="20"/>
              </w:rPr>
              <w:t>Reactive/Proactive</w:t>
            </w:r>
          </w:p>
        </w:tc>
        <w:tc>
          <w:tcPr>
            <w:tcW w:w="798" w:type="pct"/>
            <w:shd w:val="clear" w:color="auto" w:fill="auto"/>
          </w:tcPr>
          <w:p w:rsidR="001363C7" w:rsidRPr="00777DE0" w:rsidRDefault="001363C7" w:rsidP="00C413FE">
            <w:pPr>
              <w:rPr>
                <w:b/>
                <w:sz w:val="20"/>
              </w:rPr>
            </w:pPr>
            <w:r w:rsidRPr="00777DE0">
              <w:rPr>
                <w:b/>
                <w:sz w:val="20"/>
              </w:rPr>
              <w:t>Planned/Au</w:t>
            </w:r>
            <w:r w:rsidR="00FE6385">
              <w:rPr>
                <w:b/>
                <w:sz w:val="20"/>
              </w:rPr>
              <w:t>to</w:t>
            </w:r>
            <w:r w:rsidR="00C413FE">
              <w:rPr>
                <w:b/>
                <w:sz w:val="20"/>
              </w:rPr>
              <w:t>nomous</w:t>
            </w:r>
          </w:p>
        </w:tc>
        <w:tc>
          <w:tcPr>
            <w:tcW w:w="933" w:type="pct"/>
            <w:shd w:val="clear" w:color="auto" w:fill="auto"/>
          </w:tcPr>
          <w:p w:rsidR="001363C7" w:rsidRPr="00777DE0" w:rsidRDefault="001363C7" w:rsidP="001363C7">
            <w:pPr>
              <w:rPr>
                <w:b/>
                <w:sz w:val="20"/>
              </w:rPr>
            </w:pPr>
            <w:r w:rsidRPr="00777DE0">
              <w:rPr>
                <w:b/>
                <w:sz w:val="20"/>
              </w:rPr>
              <w:t>Example</w:t>
            </w:r>
          </w:p>
        </w:tc>
      </w:tr>
      <w:tr w:rsidR="001363C7" w:rsidRPr="001363C7" w:rsidTr="006A1CD5">
        <w:trPr>
          <w:trHeight w:hRule="exact" w:val="360"/>
        </w:trPr>
        <w:tc>
          <w:tcPr>
            <w:tcW w:w="1778" w:type="pct"/>
          </w:tcPr>
          <w:p w:rsidR="001363C7" w:rsidRPr="00777DE0" w:rsidRDefault="001363C7" w:rsidP="001363C7">
            <w:pPr>
              <w:rPr>
                <w:sz w:val="20"/>
              </w:rPr>
            </w:pPr>
            <w:r w:rsidRPr="00777DE0">
              <w:rPr>
                <w:sz w:val="20"/>
              </w:rPr>
              <w:t>Adjustment of cropping calendar and pattern</w:t>
            </w:r>
          </w:p>
        </w:tc>
        <w:tc>
          <w:tcPr>
            <w:tcW w:w="914" w:type="pct"/>
          </w:tcPr>
          <w:p w:rsidR="001363C7" w:rsidRPr="00777DE0" w:rsidRDefault="001363C7" w:rsidP="001363C7">
            <w:pPr>
              <w:rPr>
                <w:sz w:val="20"/>
              </w:rPr>
            </w:pPr>
            <w:r w:rsidRPr="00777DE0">
              <w:rPr>
                <w:sz w:val="20"/>
              </w:rPr>
              <w:t>Local</w:t>
            </w:r>
          </w:p>
        </w:tc>
        <w:tc>
          <w:tcPr>
            <w:tcW w:w="577" w:type="pct"/>
          </w:tcPr>
          <w:p w:rsidR="001363C7" w:rsidRPr="00777DE0" w:rsidRDefault="001363C7" w:rsidP="001363C7">
            <w:pPr>
              <w:rPr>
                <w:sz w:val="20"/>
              </w:rPr>
            </w:pPr>
            <w:r w:rsidRPr="00777DE0">
              <w:rPr>
                <w:sz w:val="20"/>
              </w:rPr>
              <w:t>Reactive</w:t>
            </w:r>
          </w:p>
        </w:tc>
        <w:tc>
          <w:tcPr>
            <w:tcW w:w="798" w:type="pct"/>
          </w:tcPr>
          <w:p w:rsidR="001363C7" w:rsidRPr="00777DE0" w:rsidRDefault="00C413FE" w:rsidP="001363C7">
            <w:pPr>
              <w:rPr>
                <w:sz w:val="20"/>
              </w:rPr>
            </w:pPr>
            <w:r w:rsidRPr="00777DE0">
              <w:rPr>
                <w:b/>
                <w:sz w:val="20"/>
              </w:rPr>
              <w:t>Au</w:t>
            </w:r>
            <w:r>
              <w:rPr>
                <w:b/>
                <w:sz w:val="20"/>
              </w:rPr>
              <w:t>tonomous</w:t>
            </w:r>
          </w:p>
        </w:tc>
        <w:tc>
          <w:tcPr>
            <w:tcW w:w="933" w:type="pct"/>
          </w:tcPr>
          <w:p w:rsidR="001363C7" w:rsidRPr="00777DE0" w:rsidRDefault="001363C7" w:rsidP="001363C7">
            <w:pPr>
              <w:rPr>
                <w:sz w:val="20"/>
              </w:rPr>
            </w:pPr>
            <w:r w:rsidRPr="00777DE0">
              <w:rPr>
                <w:sz w:val="20"/>
              </w:rPr>
              <w:t>Widely used</w:t>
            </w:r>
          </w:p>
        </w:tc>
      </w:tr>
      <w:tr w:rsidR="001363C7" w:rsidRPr="001363C7" w:rsidTr="006A1CD5">
        <w:trPr>
          <w:trHeight w:hRule="exact" w:val="360"/>
        </w:trPr>
        <w:tc>
          <w:tcPr>
            <w:tcW w:w="1778" w:type="pct"/>
          </w:tcPr>
          <w:p w:rsidR="001363C7" w:rsidRPr="00777DE0" w:rsidRDefault="001363C7" w:rsidP="001363C7">
            <w:pPr>
              <w:rPr>
                <w:sz w:val="20"/>
              </w:rPr>
            </w:pPr>
            <w:r w:rsidRPr="00777DE0">
              <w:rPr>
                <w:sz w:val="20"/>
              </w:rPr>
              <w:t>Changes in management and farming techniques</w:t>
            </w:r>
          </w:p>
        </w:tc>
        <w:tc>
          <w:tcPr>
            <w:tcW w:w="914" w:type="pct"/>
          </w:tcPr>
          <w:p w:rsidR="001363C7" w:rsidRPr="00777DE0" w:rsidRDefault="001363C7" w:rsidP="001363C7">
            <w:pPr>
              <w:rPr>
                <w:sz w:val="20"/>
              </w:rPr>
            </w:pPr>
            <w:r w:rsidRPr="00777DE0">
              <w:rPr>
                <w:sz w:val="20"/>
              </w:rPr>
              <w:t>Local</w:t>
            </w:r>
          </w:p>
        </w:tc>
        <w:tc>
          <w:tcPr>
            <w:tcW w:w="577" w:type="pct"/>
          </w:tcPr>
          <w:p w:rsidR="001363C7" w:rsidRPr="00777DE0" w:rsidRDefault="001363C7" w:rsidP="001363C7">
            <w:pPr>
              <w:rPr>
                <w:sz w:val="20"/>
              </w:rPr>
            </w:pPr>
            <w:r w:rsidRPr="00777DE0">
              <w:rPr>
                <w:sz w:val="20"/>
              </w:rPr>
              <w:t>Reactive</w:t>
            </w:r>
          </w:p>
        </w:tc>
        <w:tc>
          <w:tcPr>
            <w:tcW w:w="798" w:type="pct"/>
          </w:tcPr>
          <w:p w:rsidR="001363C7" w:rsidRPr="00777DE0" w:rsidRDefault="00C413FE" w:rsidP="001363C7">
            <w:pPr>
              <w:rPr>
                <w:sz w:val="20"/>
              </w:rPr>
            </w:pPr>
            <w:r w:rsidRPr="00777DE0">
              <w:rPr>
                <w:b/>
                <w:sz w:val="20"/>
              </w:rPr>
              <w:t>Au</w:t>
            </w:r>
            <w:r>
              <w:rPr>
                <w:b/>
                <w:sz w:val="20"/>
              </w:rPr>
              <w:t>tonomous</w:t>
            </w:r>
            <w:r w:rsidRPr="00777DE0" w:rsidDel="00C413FE">
              <w:rPr>
                <w:sz w:val="20"/>
              </w:rPr>
              <w:t xml:space="preserve"> </w:t>
            </w:r>
          </w:p>
        </w:tc>
        <w:tc>
          <w:tcPr>
            <w:tcW w:w="933" w:type="pct"/>
          </w:tcPr>
          <w:p w:rsidR="001363C7" w:rsidRPr="00777DE0" w:rsidRDefault="001363C7" w:rsidP="001363C7">
            <w:pPr>
              <w:rPr>
                <w:sz w:val="20"/>
              </w:rPr>
            </w:pPr>
            <w:r w:rsidRPr="00777DE0">
              <w:rPr>
                <w:sz w:val="20"/>
              </w:rPr>
              <w:t>Widely used</w:t>
            </w:r>
          </w:p>
        </w:tc>
      </w:tr>
      <w:tr w:rsidR="001363C7" w:rsidRPr="001363C7" w:rsidTr="006A1CD5">
        <w:trPr>
          <w:trHeight w:hRule="exact" w:val="360"/>
        </w:trPr>
        <w:tc>
          <w:tcPr>
            <w:tcW w:w="1778" w:type="pct"/>
          </w:tcPr>
          <w:p w:rsidR="001363C7" w:rsidRPr="00777DE0" w:rsidRDefault="001363C7" w:rsidP="001363C7">
            <w:pPr>
              <w:rPr>
                <w:sz w:val="20"/>
              </w:rPr>
            </w:pPr>
            <w:r w:rsidRPr="00777DE0">
              <w:rPr>
                <w:sz w:val="20"/>
              </w:rPr>
              <w:t>Use of heat-resistant varieties</w:t>
            </w:r>
          </w:p>
        </w:tc>
        <w:tc>
          <w:tcPr>
            <w:tcW w:w="914" w:type="pct"/>
          </w:tcPr>
          <w:p w:rsidR="001363C7" w:rsidRPr="00777DE0" w:rsidRDefault="001363C7" w:rsidP="001363C7">
            <w:pPr>
              <w:rPr>
                <w:sz w:val="20"/>
              </w:rPr>
            </w:pPr>
            <w:r w:rsidRPr="00777DE0">
              <w:rPr>
                <w:sz w:val="20"/>
              </w:rPr>
              <w:t>Local/Sub- regional</w:t>
            </w:r>
          </w:p>
        </w:tc>
        <w:tc>
          <w:tcPr>
            <w:tcW w:w="577" w:type="pct"/>
          </w:tcPr>
          <w:p w:rsidR="001363C7" w:rsidRPr="00777DE0" w:rsidRDefault="001363C7" w:rsidP="001363C7">
            <w:pPr>
              <w:rPr>
                <w:sz w:val="20"/>
              </w:rPr>
            </w:pPr>
            <w:r w:rsidRPr="00777DE0">
              <w:rPr>
                <w:sz w:val="20"/>
              </w:rPr>
              <w:t>Proactive</w:t>
            </w:r>
          </w:p>
        </w:tc>
        <w:tc>
          <w:tcPr>
            <w:tcW w:w="798" w:type="pct"/>
          </w:tcPr>
          <w:p w:rsidR="001363C7" w:rsidRPr="00777DE0" w:rsidRDefault="00C413FE" w:rsidP="001363C7">
            <w:pPr>
              <w:rPr>
                <w:sz w:val="20"/>
              </w:rPr>
            </w:pPr>
            <w:r w:rsidRPr="00777DE0">
              <w:rPr>
                <w:b/>
                <w:sz w:val="20"/>
              </w:rPr>
              <w:t>Au</w:t>
            </w:r>
            <w:r>
              <w:rPr>
                <w:b/>
                <w:sz w:val="20"/>
              </w:rPr>
              <w:t>tonomous</w:t>
            </w:r>
          </w:p>
        </w:tc>
        <w:tc>
          <w:tcPr>
            <w:tcW w:w="933" w:type="pct"/>
          </w:tcPr>
          <w:p w:rsidR="001363C7" w:rsidRPr="00777DE0" w:rsidRDefault="001363C7" w:rsidP="001363C7">
            <w:pPr>
              <w:rPr>
                <w:sz w:val="20"/>
              </w:rPr>
            </w:pPr>
            <w:r w:rsidRPr="00777DE0">
              <w:rPr>
                <w:sz w:val="20"/>
              </w:rPr>
              <w:t>Widely used</w:t>
            </w:r>
          </w:p>
        </w:tc>
      </w:tr>
      <w:tr w:rsidR="001363C7" w:rsidRPr="001363C7" w:rsidTr="006A1CD5">
        <w:trPr>
          <w:trHeight w:hRule="exact" w:val="504"/>
        </w:trPr>
        <w:tc>
          <w:tcPr>
            <w:tcW w:w="1778" w:type="pct"/>
          </w:tcPr>
          <w:p w:rsidR="001363C7" w:rsidRPr="00777DE0" w:rsidRDefault="001363C7" w:rsidP="001363C7">
            <w:pPr>
              <w:rPr>
                <w:sz w:val="20"/>
              </w:rPr>
            </w:pPr>
            <w:r w:rsidRPr="00777DE0">
              <w:rPr>
                <w:sz w:val="20"/>
              </w:rPr>
              <w:t>Diversified farming, inter- cropping, crop rotation</w:t>
            </w:r>
          </w:p>
        </w:tc>
        <w:tc>
          <w:tcPr>
            <w:tcW w:w="914" w:type="pct"/>
          </w:tcPr>
          <w:p w:rsidR="001363C7" w:rsidRPr="00777DE0" w:rsidRDefault="001363C7" w:rsidP="001363C7">
            <w:pPr>
              <w:rPr>
                <w:sz w:val="20"/>
              </w:rPr>
            </w:pPr>
            <w:r w:rsidRPr="00777DE0">
              <w:rPr>
                <w:sz w:val="20"/>
              </w:rPr>
              <w:t>Local</w:t>
            </w:r>
          </w:p>
        </w:tc>
        <w:tc>
          <w:tcPr>
            <w:tcW w:w="577" w:type="pct"/>
          </w:tcPr>
          <w:p w:rsidR="001363C7" w:rsidRPr="00777DE0" w:rsidRDefault="001363C7" w:rsidP="001363C7">
            <w:pPr>
              <w:rPr>
                <w:sz w:val="20"/>
              </w:rPr>
            </w:pPr>
            <w:r w:rsidRPr="00777DE0">
              <w:rPr>
                <w:sz w:val="20"/>
              </w:rPr>
              <w:t>Proactive</w:t>
            </w:r>
          </w:p>
        </w:tc>
        <w:tc>
          <w:tcPr>
            <w:tcW w:w="798" w:type="pct"/>
          </w:tcPr>
          <w:p w:rsidR="001363C7" w:rsidRPr="00777DE0" w:rsidRDefault="00C413FE" w:rsidP="001363C7">
            <w:pPr>
              <w:rPr>
                <w:sz w:val="20"/>
              </w:rPr>
            </w:pPr>
            <w:r w:rsidRPr="00777DE0">
              <w:rPr>
                <w:b/>
                <w:sz w:val="20"/>
              </w:rPr>
              <w:t>Au</w:t>
            </w:r>
            <w:r>
              <w:rPr>
                <w:b/>
                <w:sz w:val="20"/>
              </w:rPr>
              <w:t>tonomous</w:t>
            </w:r>
          </w:p>
        </w:tc>
        <w:tc>
          <w:tcPr>
            <w:tcW w:w="933" w:type="pct"/>
          </w:tcPr>
          <w:p w:rsidR="001363C7" w:rsidRPr="00777DE0" w:rsidRDefault="001363C7" w:rsidP="001363C7">
            <w:pPr>
              <w:rPr>
                <w:sz w:val="20"/>
              </w:rPr>
            </w:pPr>
            <w:r w:rsidRPr="00777DE0">
              <w:rPr>
                <w:sz w:val="20"/>
              </w:rPr>
              <w:t>Widely used</w:t>
            </w:r>
          </w:p>
        </w:tc>
      </w:tr>
      <w:tr w:rsidR="001363C7" w:rsidRPr="001363C7" w:rsidTr="006A1CD5">
        <w:trPr>
          <w:trHeight w:hRule="exact" w:val="504"/>
        </w:trPr>
        <w:tc>
          <w:tcPr>
            <w:tcW w:w="1778" w:type="pct"/>
          </w:tcPr>
          <w:p w:rsidR="001363C7" w:rsidRPr="00777DE0" w:rsidRDefault="001363C7" w:rsidP="001363C7">
            <w:pPr>
              <w:rPr>
                <w:sz w:val="20"/>
              </w:rPr>
            </w:pPr>
            <w:r w:rsidRPr="00777DE0">
              <w:rPr>
                <w:sz w:val="20"/>
              </w:rPr>
              <w:t>Utilization of SOI in designing cropping strategy</w:t>
            </w:r>
          </w:p>
        </w:tc>
        <w:tc>
          <w:tcPr>
            <w:tcW w:w="914" w:type="pct"/>
          </w:tcPr>
          <w:p w:rsidR="001363C7" w:rsidRPr="00777DE0" w:rsidRDefault="001363C7" w:rsidP="001363C7">
            <w:pPr>
              <w:rPr>
                <w:sz w:val="20"/>
              </w:rPr>
            </w:pPr>
            <w:r w:rsidRPr="00777DE0">
              <w:rPr>
                <w:sz w:val="20"/>
              </w:rPr>
              <w:t>Local/Sub- regional</w:t>
            </w:r>
          </w:p>
        </w:tc>
        <w:tc>
          <w:tcPr>
            <w:tcW w:w="577" w:type="pct"/>
          </w:tcPr>
          <w:p w:rsidR="001363C7" w:rsidRPr="00777DE0" w:rsidRDefault="001363C7" w:rsidP="001363C7">
            <w:pPr>
              <w:rPr>
                <w:sz w:val="20"/>
              </w:rPr>
            </w:pPr>
            <w:r w:rsidRPr="00777DE0">
              <w:rPr>
                <w:sz w:val="20"/>
              </w:rPr>
              <w:t>Proactive</w:t>
            </w:r>
          </w:p>
        </w:tc>
        <w:tc>
          <w:tcPr>
            <w:tcW w:w="798" w:type="pct"/>
          </w:tcPr>
          <w:p w:rsidR="001363C7" w:rsidRPr="00777DE0" w:rsidRDefault="001363C7" w:rsidP="001363C7">
            <w:pPr>
              <w:rPr>
                <w:sz w:val="20"/>
              </w:rPr>
            </w:pPr>
            <w:r w:rsidRPr="00777DE0">
              <w:rPr>
                <w:sz w:val="20"/>
              </w:rPr>
              <w:t>Planned</w:t>
            </w:r>
          </w:p>
        </w:tc>
        <w:tc>
          <w:tcPr>
            <w:tcW w:w="933" w:type="pct"/>
          </w:tcPr>
          <w:p w:rsidR="001363C7" w:rsidRPr="00777DE0" w:rsidRDefault="001363C7" w:rsidP="001363C7">
            <w:pPr>
              <w:rPr>
                <w:sz w:val="20"/>
              </w:rPr>
            </w:pPr>
            <w:r w:rsidRPr="00777DE0">
              <w:rPr>
                <w:sz w:val="20"/>
              </w:rPr>
              <w:t>Indonesia</w:t>
            </w:r>
          </w:p>
        </w:tc>
      </w:tr>
      <w:tr w:rsidR="001363C7" w:rsidRPr="001363C7" w:rsidTr="006A1CD5">
        <w:trPr>
          <w:trHeight w:hRule="exact" w:val="360"/>
        </w:trPr>
        <w:tc>
          <w:tcPr>
            <w:tcW w:w="1778" w:type="pct"/>
          </w:tcPr>
          <w:p w:rsidR="001363C7" w:rsidRPr="00777DE0" w:rsidRDefault="001363C7" w:rsidP="001363C7">
            <w:pPr>
              <w:rPr>
                <w:sz w:val="20"/>
              </w:rPr>
            </w:pPr>
            <w:r w:rsidRPr="00777DE0">
              <w:rPr>
                <w:sz w:val="20"/>
              </w:rPr>
              <w:t>Implementation of index-based insurance</w:t>
            </w:r>
          </w:p>
        </w:tc>
        <w:tc>
          <w:tcPr>
            <w:tcW w:w="914" w:type="pct"/>
          </w:tcPr>
          <w:p w:rsidR="001363C7" w:rsidRPr="00777DE0" w:rsidRDefault="001363C7" w:rsidP="001363C7">
            <w:pPr>
              <w:rPr>
                <w:sz w:val="20"/>
              </w:rPr>
            </w:pPr>
            <w:r w:rsidRPr="00777DE0">
              <w:rPr>
                <w:sz w:val="20"/>
              </w:rPr>
              <w:t>Local/ Regional</w:t>
            </w:r>
          </w:p>
        </w:tc>
        <w:tc>
          <w:tcPr>
            <w:tcW w:w="577" w:type="pct"/>
          </w:tcPr>
          <w:p w:rsidR="001363C7" w:rsidRPr="00777DE0" w:rsidRDefault="001363C7" w:rsidP="001363C7">
            <w:pPr>
              <w:rPr>
                <w:sz w:val="20"/>
              </w:rPr>
            </w:pPr>
            <w:r w:rsidRPr="00777DE0">
              <w:rPr>
                <w:sz w:val="20"/>
              </w:rPr>
              <w:t>Proactive</w:t>
            </w:r>
          </w:p>
        </w:tc>
        <w:tc>
          <w:tcPr>
            <w:tcW w:w="798" w:type="pct"/>
          </w:tcPr>
          <w:p w:rsidR="001363C7" w:rsidRPr="00777DE0" w:rsidRDefault="001363C7" w:rsidP="001363C7">
            <w:pPr>
              <w:rPr>
                <w:sz w:val="20"/>
              </w:rPr>
            </w:pPr>
            <w:r w:rsidRPr="00777DE0">
              <w:rPr>
                <w:sz w:val="20"/>
              </w:rPr>
              <w:t>Planned</w:t>
            </w:r>
          </w:p>
        </w:tc>
        <w:tc>
          <w:tcPr>
            <w:tcW w:w="933" w:type="pct"/>
          </w:tcPr>
          <w:p w:rsidR="001363C7" w:rsidRPr="00777DE0" w:rsidRDefault="001363C7" w:rsidP="001363C7">
            <w:pPr>
              <w:rPr>
                <w:sz w:val="20"/>
              </w:rPr>
            </w:pPr>
            <w:r w:rsidRPr="00777DE0">
              <w:rPr>
                <w:sz w:val="20"/>
              </w:rPr>
              <w:t>Thailand, Vietnam</w:t>
            </w:r>
          </w:p>
        </w:tc>
      </w:tr>
      <w:tr w:rsidR="001363C7" w:rsidRPr="001363C7" w:rsidTr="006A1CD5">
        <w:trPr>
          <w:trHeight w:hRule="exact" w:val="504"/>
        </w:trPr>
        <w:tc>
          <w:tcPr>
            <w:tcW w:w="1778" w:type="pct"/>
          </w:tcPr>
          <w:p w:rsidR="001363C7" w:rsidRPr="00777DE0" w:rsidRDefault="001363C7" w:rsidP="001363C7">
            <w:pPr>
              <w:rPr>
                <w:sz w:val="20"/>
              </w:rPr>
            </w:pPr>
            <w:r w:rsidRPr="00777DE0">
              <w:rPr>
                <w:sz w:val="20"/>
              </w:rPr>
              <w:t>Development of early warning systems</w:t>
            </w:r>
          </w:p>
        </w:tc>
        <w:tc>
          <w:tcPr>
            <w:tcW w:w="914" w:type="pct"/>
          </w:tcPr>
          <w:p w:rsidR="001363C7" w:rsidRPr="00777DE0" w:rsidRDefault="001363C7" w:rsidP="001363C7">
            <w:pPr>
              <w:rPr>
                <w:sz w:val="20"/>
              </w:rPr>
            </w:pPr>
            <w:r w:rsidRPr="00777DE0">
              <w:rPr>
                <w:sz w:val="20"/>
              </w:rPr>
              <w:t>Local/ Regional</w:t>
            </w:r>
          </w:p>
        </w:tc>
        <w:tc>
          <w:tcPr>
            <w:tcW w:w="577" w:type="pct"/>
          </w:tcPr>
          <w:p w:rsidR="001363C7" w:rsidRPr="00777DE0" w:rsidRDefault="001363C7" w:rsidP="001363C7">
            <w:pPr>
              <w:rPr>
                <w:sz w:val="20"/>
              </w:rPr>
            </w:pPr>
            <w:r w:rsidRPr="00777DE0">
              <w:rPr>
                <w:sz w:val="20"/>
              </w:rPr>
              <w:t>Proactive</w:t>
            </w:r>
          </w:p>
        </w:tc>
        <w:tc>
          <w:tcPr>
            <w:tcW w:w="798" w:type="pct"/>
          </w:tcPr>
          <w:p w:rsidR="001363C7" w:rsidRPr="00777DE0" w:rsidRDefault="001363C7" w:rsidP="001363C7">
            <w:pPr>
              <w:rPr>
                <w:sz w:val="20"/>
              </w:rPr>
            </w:pPr>
            <w:r w:rsidRPr="00777DE0">
              <w:rPr>
                <w:sz w:val="20"/>
              </w:rPr>
              <w:t>Planned</w:t>
            </w:r>
          </w:p>
        </w:tc>
        <w:tc>
          <w:tcPr>
            <w:tcW w:w="933" w:type="pct"/>
          </w:tcPr>
          <w:p w:rsidR="001363C7" w:rsidRPr="00777DE0" w:rsidRDefault="006A1CD5" w:rsidP="001363C7">
            <w:pPr>
              <w:rPr>
                <w:sz w:val="20"/>
              </w:rPr>
            </w:pPr>
            <w:r>
              <w:rPr>
                <w:sz w:val="20"/>
              </w:rPr>
              <w:t>Philippines, Thailand,</w:t>
            </w:r>
            <w:r w:rsidR="001363C7" w:rsidRPr="00777DE0">
              <w:rPr>
                <w:sz w:val="20"/>
              </w:rPr>
              <w:t xml:space="preserve"> Vietnam</w:t>
            </w:r>
          </w:p>
        </w:tc>
      </w:tr>
      <w:tr w:rsidR="001363C7" w:rsidRPr="001363C7" w:rsidTr="006A1CD5">
        <w:trPr>
          <w:trHeight w:hRule="exact" w:val="360"/>
        </w:trPr>
        <w:tc>
          <w:tcPr>
            <w:tcW w:w="1778" w:type="pct"/>
          </w:tcPr>
          <w:p w:rsidR="001363C7" w:rsidRPr="00777DE0" w:rsidRDefault="001363C7" w:rsidP="001363C7">
            <w:pPr>
              <w:rPr>
                <w:sz w:val="20"/>
              </w:rPr>
            </w:pPr>
            <w:r w:rsidRPr="00777DE0">
              <w:rPr>
                <w:sz w:val="20"/>
              </w:rPr>
              <w:t>Improvement of irrigation efficiency</w:t>
            </w:r>
          </w:p>
        </w:tc>
        <w:tc>
          <w:tcPr>
            <w:tcW w:w="914" w:type="pct"/>
          </w:tcPr>
          <w:p w:rsidR="001363C7" w:rsidRPr="00777DE0" w:rsidRDefault="001363C7" w:rsidP="001363C7">
            <w:pPr>
              <w:rPr>
                <w:sz w:val="20"/>
              </w:rPr>
            </w:pPr>
            <w:r w:rsidRPr="00777DE0">
              <w:rPr>
                <w:sz w:val="20"/>
              </w:rPr>
              <w:t>Local</w:t>
            </w:r>
          </w:p>
        </w:tc>
        <w:tc>
          <w:tcPr>
            <w:tcW w:w="577" w:type="pct"/>
          </w:tcPr>
          <w:p w:rsidR="001363C7" w:rsidRPr="00777DE0" w:rsidRDefault="001363C7" w:rsidP="001363C7">
            <w:pPr>
              <w:rPr>
                <w:sz w:val="20"/>
              </w:rPr>
            </w:pPr>
            <w:r w:rsidRPr="00777DE0">
              <w:rPr>
                <w:sz w:val="20"/>
              </w:rPr>
              <w:t>Reactive</w:t>
            </w:r>
          </w:p>
        </w:tc>
        <w:tc>
          <w:tcPr>
            <w:tcW w:w="798" w:type="pct"/>
          </w:tcPr>
          <w:p w:rsidR="001363C7" w:rsidRPr="00777DE0" w:rsidRDefault="001363C7" w:rsidP="001363C7">
            <w:pPr>
              <w:rPr>
                <w:sz w:val="20"/>
              </w:rPr>
            </w:pPr>
            <w:r w:rsidRPr="00777DE0">
              <w:rPr>
                <w:sz w:val="20"/>
              </w:rPr>
              <w:t>Planned</w:t>
            </w:r>
          </w:p>
        </w:tc>
        <w:tc>
          <w:tcPr>
            <w:tcW w:w="933" w:type="pct"/>
          </w:tcPr>
          <w:p w:rsidR="001363C7" w:rsidRPr="00777DE0" w:rsidRDefault="001363C7" w:rsidP="001363C7">
            <w:pPr>
              <w:rPr>
                <w:sz w:val="20"/>
              </w:rPr>
            </w:pPr>
            <w:r w:rsidRPr="00777DE0">
              <w:rPr>
                <w:sz w:val="20"/>
              </w:rPr>
              <w:t>Vietnam</w:t>
            </w:r>
          </w:p>
        </w:tc>
      </w:tr>
      <w:tr w:rsidR="001363C7" w:rsidRPr="001363C7" w:rsidTr="00777DE0">
        <w:trPr>
          <w:trHeight w:hRule="exact" w:val="465"/>
        </w:trPr>
        <w:tc>
          <w:tcPr>
            <w:tcW w:w="5000" w:type="pct"/>
            <w:gridSpan w:val="5"/>
            <w:shd w:val="clear" w:color="auto" w:fill="auto"/>
          </w:tcPr>
          <w:p w:rsidR="001363C7" w:rsidRPr="00777DE0" w:rsidRDefault="001363C7" w:rsidP="004B0A08">
            <w:pPr>
              <w:spacing w:before="120"/>
              <w:rPr>
                <w:sz w:val="20"/>
              </w:rPr>
            </w:pPr>
            <w:r w:rsidRPr="00777DE0">
              <w:rPr>
                <w:sz w:val="20"/>
              </w:rPr>
              <w:t>SOI = Southern Oscillation Index.</w:t>
            </w:r>
          </w:p>
          <w:p w:rsidR="001363C7" w:rsidRPr="00777DE0" w:rsidRDefault="001363C7" w:rsidP="001363C7">
            <w:pPr>
              <w:rPr>
                <w:b/>
                <w:i/>
                <w:sz w:val="20"/>
              </w:rPr>
            </w:pPr>
            <w:r w:rsidRPr="00777DE0">
              <w:rPr>
                <w:b/>
                <w:i/>
                <w:sz w:val="20"/>
              </w:rPr>
              <w:t>Source: ADB (2015)</w:t>
            </w:r>
          </w:p>
        </w:tc>
      </w:tr>
    </w:tbl>
    <w:p w:rsidR="001363C7" w:rsidRPr="001363C7" w:rsidRDefault="001363C7" w:rsidP="00974AEB">
      <w:pPr>
        <w:spacing w:before="240" w:line="276" w:lineRule="auto"/>
        <w:jc w:val="both"/>
      </w:pPr>
      <w:r w:rsidRPr="001363C7">
        <w:t>Farm-level adaptation practices are helpful in coping with climate variability, but their effectiveness can be enhanced by institutional and policy support from government (Box 8.1). Technological adaptation strategies such as rainfall management, cropping pattern adjustment, and improved access to available information such as soil fertility and taxonomy are to be opted for because they are low-cost options, while policy-level measures have been devised to provide an adequate incentive framework to promote private adaptation. In Viet Nam irrigation efficiency is being increased by shifting from low-performing surface and overhead systems, to high-performance ones such as center pivot and drip irrigation.</w:t>
      </w:r>
    </w:p>
    <w:p w:rsidR="001363C7" w:rsidRPr="00D4254C" w:rsidRDefault="001363C7" w:rsidP="00974AEB">
      <w:pPr>
        <w:spacing w:line="276" w:lineRule="auto"/>
        <w:jc w:val="both"/>
        <w:rPr>
          <w:u w:val="single"/>
        </w:rPr>
      </w:pPr>
      <w:r w:rsidRPr="001363C7">
        <w:t xml:space="preserve">Government has a major role to play in augmenting adaptive capacity by providing </w:t>
      </w:r>
      <w:r w:rsidR="00C413FE">
        <w:t>public</w:t>
      </w:r>
      <w:r w:rsidRPr="001363C7">
        <w:t xml:space="preserve"> goods and services, such as weather information forecasts and development of early warning systems. Agricultural crops are very sensitive to temperature and precipitation during the growing period and it is important for local farmers to be able to plan the growing season according to detailed, </w:t>
      </w:r>
      <w:r w:rsidRPr="001363C7">
        <w:lastRenderedPageBreak/>
        <w:t xml:space="preserve">time-specific information about temperature and precipitation. Seasonal weather forecasts are one type of information source that can help farmers respond appropriately to weather parameters. Coping strategies, including appropriate seeds, fertilizers, irrigation systems, pesticides, and various tools and machinery, should likewise be available to farmers. </w:t>
      </w:r>
      <w:r w:rsidR="00F64A6A" w:rsidRPr="00F64A6A">
        <w:rPr>
          <w:u w:val="single"/>
        </w:rPr>
        <w:t xml:space="preserve">Government can help enhance farmers’ adaptive capacity by establishing an information sharing network and training programs for farmers. </w:t>
      </w:r>
    </w:p>
    <w:p w:rsidR="001363C7" w:rsidRPr="001363C7" w:rsidRDefault="001363C7" w:rsidP="00974AEB">
      <w:pPr>
        <w:spacing w:line="276" w:lineRule="auto"/>
        <w:jc w:val="both"/>
      </w:pPr>
      <w:r w:rsidRPr="001363C7">
        <w:t>For example, in Indonesia, it is reported that the consistent use of the Southern Oscillation Index (SOI) information in designing cropping strategy helps improve farmers’ income during El Niño Southern Oscillation years. Government can help enhance farmers’ adaptive capacity by establishing an information sharing network and training programs for farmers. The main challenge found in the Indonesian context is how to encourage farmers to use climate information consistently in making cropping decisions, and local authorities on how to mobilize the resources needed to support farmers in implementing their decisions. Farmers who normally plant rice twice a year, in the wet and dry season, get higher income in the long term if they switch their second crop to non-rice (May planting).</w:t>
      </w:r>
    </w:p>
    <w:p w:rsidR="001363C7" w:rsidRPr="001363C7" w:rsidRDefault="001A12B2" w:rsidP="001363C7">
      <w:r w:rsidRPr="001A12B2">
        <w:rPr>
          <w:noProof/>
        </w:rPr>
      </w:r>
      <w:r>
        <w:rPr>
          <w:noProof/>
        </w:rPr>
        <w:pict>
          <v:shape id="Text Box 215" o:spid="_x0000_s1213" type="#_x0000_t202" style="width:468pt;height:348.9pt;visibility:visible;mso-position-horizontal-relative:char;mso-position-vertical-relative:line" fillcolor="#f2f2f2 [3052]" strokecolor="black [3200]" strokeweight="1pt">
            <v:textbox style="mso-next-textbox:#Text Box 215">
              <w:txbxContent>
                <w:p w:rsidR="009D3B38" w:rsidRPr="004B0A08" w:rsidRDefault="009D3B38" w:rsidP="005E5367">
                  <w:pPr>
                    <w:pStyle w:val="Heading7"/>
                  </w:pPr>
                  <w:bookmarkStart w:id="597" w:name="_Toc474639328"/>
                  <w:r w:rsidRPr="004B0A08">
                    <w:t>Box 8.1: How Farmers Manage Climate Risks in the Lower Mekong Countries</w:t>
                  </w:r>
                  <w:bookmarkEnd w:id="597"/>
                </w:p>
                <w:p w:rsidR="009D3B38" w:rsidRPr="004B0A08" w:rsidRDefault="009D3B38" w:rsidP="001363C7">
                  <w:pPr>
                    <w:rPr>
                      <w:i/>
                      <w:sz w:val="20"/>
                    </w:rPr>
                  </w:pPr>
                  <w:r w:rsidRPr="004B0A08">
                    <w:rPr>
                      <w:i/>
                      <w:sz w:val="20"/>
                    </w:rPr>
                    <w:t>Case 1: Kula Field and Ubonratchathani Province, Thailand</w:t>
                  </w:r>
                </w:p>
                <w:p w:rsidR="009D3B38" w:rsidRPr="004B0A08" w:rsidRDefault="009D3B38" w:rsidP="004B0A08">
                  <w:pPr>
                    <w:jc w:val="both"/>
                    <w:rPr>
                      <w:sz w:val="20"/>
                    </w:rPr>
                  </w:pPr>
                  <w:r w:rsidRPr="004B0A08">
                    <w:rPr>
                      <w:sz w:val="20"/>
                    </w:rPr>
                    <w:t>Farmers in Thailand tend to rely on household and national measures for reducing climate risk. The former focuses on income diversification, primarily from off-farm sources, which are not as sensitive to climate variation as income from rice. Generally, farmers migrate seasonally to the cities for employment, at times permanently. Rice farmers in Thailand use such on-farm measures as changing seedling techniques, using hired machinery, growing alternative crops between seasons, and raising livestock. They sometimes make investments in small-scale irrigation to secure water sources for mid-season dry spells or for crops in the main season. They also construct embankments to protect fields from flood damage.</w:t>
                  </w:r>
                </w:p>
                <w:p w:rsidR="009D3B38" w:rsidRPr="004B0A08" w:rsidRDefault="009D3B38" w:rsidP="001363C7">
                  <w:pPr>
                    <w:rPr>
                      <w:i/>
                      <w:sz w:val="20"/>
                    </w:rPr>
                  </w:pPr>
                  <w:r w:rsidRPr="004B0A08">
                    <w:rPr>
                      <w:i/>
                      <w:sz w:val="20"/>
                    </w:rPr>
                    <w:t>Case 2: Mekong River Delta, Vietnam</w:t>
                  </w:r>
                </w:p>
                <w:p w:rsidR="009D3B38" w:rsidRPr="004B0A08" w:rsidRDefault="009D3B38" w:rsidP="004B0A08">
                  <w:pPr>
                    <w:jc w:val="both"/>
                    <w:rPr>
                      <w:sz w:val="20"/>
                      <w:szCs w:val="20"/>
                    </w:rPr>
                  </w:pPr>
                  <w:r w:rsidRPr="004B0A08">
                    <w:rPr>
                      <w:sz w:val="20"/>
                      <w:szCs w:val="20"/>
                    </w:rPr>
                    <w:t>Farmers of rainfed rice in Viet Nam tend to rely on measures implemented at the household level and aimed mainly at on-farm actions to protect against climate hazards. These include efforts and investments to increase and sustain the productivity of farms, such as construction and maintenance of small-scale irrigation systems or embankments to protect farmlands from floods. But investment costs and limited finances limit wider use of these measures. Using an alternative strategy, some farmers in the study sites have adapted to floods by accepting these as part of the ecosystem of their farmland, adjusting their crop calendar accordingly, thereby gaining advantage from deposited nutrients that enhance soil fertility, and the washing away of pollutants. Alternative crops and seed varieties are also common adaptation measures in Viet Nam’s Mekong River delta.</w:t>
                  </w:r>
                </w:p>
                <w:p w:rsidR="009D3B38" w:rsidRPr="004B0A08" w:rsidRDefault="009D3B38" w:rsidP="001363C7">
                  <w:pPr>
                    <w:rPr>
                      <w:sz w:val="20"/>
                    </w:rPr>
                  </w:pPr>
                  <w:r w:rsidRPr="004B0A08">
                    <w:rPr>
                      <w:sz w:val="20"/>
                      <w:szCs w:val="20"/>
                    </w:rPr>
                    <w:t>Because the rainy season in the delta is usually 7 months long, two crop cycles of rainfed rice can be grown in a year. A two-crop cycle is facilitated by the availability of short-cycle rice varieties that are suitable for growing.</w:t>
                  </w:r>
                </w:p>
                <w:p w:rsidR="009D3B38" w:rsidRPr="004B0A08" w:rsidRDefault="009D3B38" w:rsidP="001363C7">
                  <w:pPr>
                    <w:rPr>
                      <w:b/>
                      <w:i/>
                      <w:sz w:val="20"/>
                    </w:rPr>
                  </w:pPr>
                  <w:r w:rsidRPr="004B0A08">
                    <w:rPr>
                      <w:b/>
                      <w:i/>
                      <w:sz w:val="20"/>
                    </w:rPr>
                    <w:t>Source:     Chinvanno et al (2006).</w:t>
                  </w:r>
                </w:p>
                <w:p w:rsidR="009D3B38" w:rsidRPr="001363C7" w:rsidRDefault="009D3B38" w:rsidP="001363C7"/>
                <w:p w:rsidR="009D3B38" w:rsidRPr="001363C7" w:rsidRDefault="009D3B38" w:rsidP="001363C7">
                  <w:r w:rsidRPr="001363C7">
                    <w:t>Sour</w:t>
                  </w:r>
                </w:p>
              </w:txbxContent>
            </v:textbox>
            <w10:wrap type="none"/>
            <w10:anchorlock/>
          </v:shape>
        </w:pict>
      </w:r>
    </w:p>
    <w:p w:rsidR="001363C7" w:rsidRPr="001363C7" w:rsidRDefault="001363C7" w:rsidP="00974AEB">
      <w:pPr>
        <w:spacing w:line="276" w:lineRule="auto"/>
        <w:jc w:val="both"/>
      </w:pPr>
      <w:r w:rsidRPr="001363C7">
        <w:lastRenderedPageBreak/>
        <w:t xml:space="preserve">While innovative risk-sharing instruments are being developed and tried in Southeast Asia, experience and expertise of the private sector should be brought in to complement </w:t>
      </w:r>
      <w:r w:rsidR="00C413FE">
        <w:t>public</w:t>
      </w:r>
      <w:r w:rsidRPr="001363C7">
        <w:t xml:space="preserve"> sector efforts. Index-based insurance was implemented on a pilot basis in Thailand and Viet Nam. It is thought to reduce moral hazard since payment and actual damage are not directly linked. As the insured party receives a payout irrespective of the losses experienced, the incentive to prevent and mitigate risk is preserved. There is no need for an assessment or verification of actual damage so the transaction costs are lowered and the speed of payout is improved. This type of instrument is an example of mobilizing the resources and experience available in the private sector to supplement government and individual farmers’ efforts in adapting to climate change impacts.</w:t>
      </w:r>
    </w:p>
    <w:p w:rsidR="00000000" w:rsidRDefault="001363C7" w:rsidP="003D5A31">
      <w:pPr>
        <w:pStyle w:val="BodyText"/>
        <w:numPr>
          <w:ilvl w:val="2"/>
          <w:numId w:val="209"/>
        </w:numPr>
        <w:spacing w:after="240" w:line="276" w:lineRule="auto"/>
        <w:jc w:val="both"/>
        <w:rPr>
          <w:rFonts w:cs="Times New Roman"/>
          <w:b/>
          <w:szCs w:val="24"/>
        </w:rPr>
      </w:pPr>
      <w:r w:rsidRPr="00C6204B">
        <w:rPr>
          <w:rFonts w:cs="Times New Roman"/>
          <w:b/>
          <w:szCs w:val="24"/>
        </w:rPr>
        <w:t xml:space="preserve">Adaptation in Forestry Sector </w:t>
      </w:r>
    </w:p>
    <w:p w:rsidR="001363C7" w:rsidRPr="001363C7" w:rsidRDefault="001363C7" w:rsidP="00974AEB">
      <w:pPr>
        <w:spacing w:line="276" w:lineRule="auto"/>
        <w:jc w:val="both"/>
      </w:pPr>
      <w:r w:rsidRPr="001363C7">
        <w:t>Forest fires, coupled with rising temperature, have degraded and destroyed biodiversity-rich forest resources in Southeast Asia, which in the past had helped store a substantial amount of carbon. Many people in the region rely on forests for their livelihoods as well as way of life. For the past several decades, forestlands have been under mounting pressure as more areas are converted to croplands and grasslands to meet the demand for food and raw materials. In addition, forestlands have been affected by increasing temperature, heat stress, and drought, which cause forest fires and consequently loss of tree species and degradation of forests. In turn, deforestation releases CO2 and reduces the potential for its sequestration.</w:t>
      </w:r>
    </w:p>
    <w:tbl>
      <w:tblPr>
        <w:tblW w:w="5006" w:type="pct"/>
        <w:tblLayout w:type="fixed"/>
        <w:tblCellMar>
          <w:left w:w="0" w:type="dxa"/>
          <w:right w:w="0" w:type="dxa"/>
        </w:tblCellMar>
        <w:tblLook w:val="01E0"/>
      </w:tblPr>
      <w:tblGrid>
        <w:gridCol w:w="2428"/>
        <w:gridCol w:w="1440"/>
        <w:gridCol w:w="1268"/>
        <w:gridCol w:w="1078"/>
        <w:gridCol w:w="1268"/>
        <w:gridCol w:w="1887"/>
        <w:gridCol w:w="8"/>
      </w:tblGrid>
      <w:tr w:rsidR="001363C7" w:rsidRPr="001363C7" w:rsidTr="006775DC">
        <w:trPr>
          <w:trHeight w:hRule="exact" w:val="327"/>
        </w:trPr>
        <w:tc>
          <w:tcPr>
            <w:tcW w:w="5000" w:type="pct"/>
            <w:gridSpan w:val="7"/>
            <w:tcBorders>
              <w:top w:val="single" w:sz="2" w:space="0" w:color="009DDC"/>
              <w:left w:val="single" w:sz="2" w:space="0" w:color="009DDC"/>
              <w:bottom w:val="single" w:sz="6" w:space="0" w:color="009DDC"/>
              <w:right w:val="single" w:sz="2" w:space="0" w:color="009DDC"/>
            </w:tcBorders>
            <w:shd w:val="clear" w:color="auto" w:fill="auto"/>
          </w:tcPr>
          <w:p w:rsidR="001363C7" w:rsidRPr="004B0A08" w:rsidRDefault="001363C7" w:rsidP="0053231E">
            <w:pPr>
              <w:pStyle w:val="Heading4"/>
              <w:rPr>
                <w:b w:val="0"/>
              </w:rPr>
            </w:pPr>
            <w:bookmarkStart w:id="598" w:name="_Toc474639057"/>
            <w:r w:rsidRPr="0053231E">
              <w:t>Table</w:t>
            </w:r>
            <w:r w:rsidR="007F1965" w:rsidRPr="0053231E">
              <w:t xml:space="preserve"> 8.13</w:t>
            </w:r>
            <w:r w:rsidRPr="0053231E">
              <w:t>: Summary of Key Adaptation Options in Forestry Sector</w:t>
            </w:r>
            <w:bookmarkEnd w:id="598"/>
          </w:p>
        </w:tc>
      </w:tr>
      <w:tr w:rsidR="001363C7" w:rsidRPr="00974AEB" w:rsidTr="006775DC">
        <w:trPr>
          <w:gridAfter w:val="1"/>
          <w:wAfter w:w="4" w:type="pct"/>
          <w:trHeight w:val="20"/>
        </w:trPr>
        <w:tc>
          <w:tcPr>
            <w:tcW w:w="1295" w:type="pct"/>
            <w:tcBorders>
              <w:top w:val="single" w:sz="6" w:space="0" w:color="009DDC"/>
              <w:left w:val="single" w:sz="2" w:space="0" w:color="009DDC"/>
              <w:bottom w:val="single" w:sz="6" w:space="0" w:color="009DDC"/>
              <w:right w:val="single" w:sz="6" w:space="0" w:color="009DDC"/>
            </w:tcBorders>
            <w:shd w:val="clear" w:color="auto" w:fill="auto"/>
            <w:vAlign w:val="center"/>
          </w:tcPr>
          <w:p w:rsidR="001363C7" w:rsidRPr="00974AEB" w:rsidRDefault="001363C7" w:rsidP="0053231E">
            <w:pPr>
              <w:spacing w:line="240" w:lineRule="auto"/>
              <w:rPr>
                <w:sz w:val="20"/>
              </w:rPr>
            </w:pPr>
            <w:r w:rsidRPr="00974AEB">
              <w:rPr>
                <w:sz w:val="20"/>
              </w:rPr>
              <w:t>Practice</w:t>
            </w:r>
          </w:p>
        </w:tc>
        <w:tc>
          <w:tcPr>
            <w:tcW w:w="768" w:type="pct"/>
            <w:tcBorders>
              <w:top w:val="single" w:sz="6" w:space="0" w:color="009DDC"/>
              <w:left w:val="single" w:sz="6" w:space="0" w:color="009DDC"/>
              <w:bottom w:val="single" w:sz="6" w:space="0" w:color="009DDC"/>
              <w:right w:val="single" w:sz="6" w:space="0" w:color="009DDC"/>
            </w:tcBorders>
            <w:shd w:val="clear" w:color="auto" w:fill="auto"/>
            <w:vAlign w:val="center"/>
          </w:tcPr>
          <w:p w:rsidR="001363C7" w:rsidRPr="00974AEB" w:rsidRDefault="001363C7" w:rsidP="0053231E">
            <w:pPr>
              <w:spacing w:line="240" w:lineRule="auto"/>
              <w:rPr>
                <w:sz w:val="20"/>
              </w:rPr>
            </w:pPr>
            <w:r w:rsidRPr="00974AEB">
              <w:rPr>
                <w:sz w:val="20"/>
              </w:rPr>
              <w:t>Reduced Impact</w:t>
            </w:r>
          </w:p>
        </w:tc>
        <w:tc>
          <w:tcPr>
            <w:tcW w:w="676" w:type="pct"/>
            <w:tcBorders>
              <w:top w:val="single" w:sz="6" w:space="0" w:color="009DDC"/>
              <w:left w:val="single" w:sz="6" w:space="0" w:color="009DDC"/>
              <w:bottom w:val="single" w:sz="6" w:space="0" w:color="009DDC"/>
              <w:right w:val="single" w:sz="6" w:space="0" w:color="009DDC"/>
            </w:tcBorders>
            <w:shd w:val="clear" w:color="auto" w:fill="auto"/>
            <w:vAlign w:val="center"/>
          </w:tcPr>
          <w:p w:rsidR="001363C7" w:rsidRPr="00974AEB" w:rsidRDefault="001363C7" w:rsidP="0053231E">
            <w:pPr>
              <w:spacing w:line="240" w:lineRule="auto"/>
              <w:rPr>
                <w:sz w:val="20"/>
              </w:rPr>
            </w:pPr>
            <w:r w:rsidRPr="00974AEB">
              <w:rPr>
                <w:sz w:val="20"/>
              </w:rPr>
              <w:t>Scale</w:t>
            </w:r>
          </w:p>
        </w:tc>
        <w:tc>
          <w:tcPr>
            <w:tcW w:w="575" w:type="pct"/>
            <w:tcBorders>
              <w:top w:val="single" w:sz="6" w:space="0" w:color="009DDC"/>
              <w:left w:val="single" w:sz="6" w:space="0" w:color="009DDC"/>
              <w:bottom w:val="single" w:sz="6" w:space="0" w:color="009DDC"/>
              <w:right w:val="single" w:sz="6" w:space="0" w:color="009DDC"/>
            </w:tcBorders>
            <w:shd w:val="clear" w:color="auto" w:fill="auto"/>
            <w:vAlign w:val="center"/>
          </w:tcPr>
          <w:p w:rsidR="001363C7" w:rsidRPr="00974AEB" w:rsidRDefault="001363C7" w:rsidP="0053231E">
            <w:pPr>
              <w:spacing w:line="240" w:lineRule="auto"/>
              <w:rPr>
                <w:sz w:val="20"/>
              </w:rPr>
            </w:pPr>
            <w:r w:rsidRPr="00974AEB">
              <w:rPr>
                <w:sz w:val="20"/>
              </w:rPr>
              <w:t>Reactive/ Proactive</w:t>
            </w:r>
          </w:p>
        </w:tc>
        <w:tc>
          <w:tcPr>
            <w:tcW w:w="676" w:type="pct"/>
            <w:tcBorders>
              <w:top w:val="single" w:sz="6" w:space="0" w:color="009DDC"/>
              <w:left w:val="single" w:sz="6" w:space="0" w:color="009DDC"/>
              <w:bottom w:val="single" w:sz="6" w:space="0" w:color="009DDC"/>
              <w:right w:val="single" w:sz="6" w:space="0" w:color="009DDC"/>
            </w:tcBorders>
            <w:shd w:val="clear" w:color="auto" w:fill="auto"/>
            <w:vAlign w:val="center"/>
          </w:tcPr>
          <w:p w:rsidR="001363C7" w:rsidRPr="00974AEB" w:rsidRDefault="001363C7" w:rsidP="0053231E">
            <w:pPr>
              <w:spacing w:line="240" w:lineRule="auto"/>
              <w:rPr>
                <w:sz w:val="20"/>
              </w:rPr>
            </w:pPr>
            <w:r w:rsidRPr="00974AEB">
              <w:rPr>
                <w:sz w:val="20"/>
              </w:rPr>
              <w:t>Planned/ Au</w:t>
            </w:r>
            <w:r w:rsidR="00FE6385">
              <w:rPr>
                <w:sz w:val="20"/>
              </w:rPr>
              <w:t>tonne</w:t>
            </w:r>
            <w:r w:rsidRPr="00974AEB">
              <w:rPr>
                <w:sz w:val="20"/>
              </w:rPr>
              <w:t>omous</w:t>
            </w:r>
          </w:p>
        </w:tc>
        <w:tc>
          <w:tcPr>
            <w:tcW w:w="1006" w:type="pct"/>
            <w:tcBorders>
              <w:top w:val="single" w:sz="6" w:space="0" w:color="009DDC"/>
              <w:left w:val="single" w:sz="6" w:space="0" w:color="009DDC"/>
              <w:bottom w:val="single" w:sz="6" w:space="0" w:color="009DDC"/>
              <w:right w:val="single" w:sz="2" w:space="0" w:color="009DDC"/>
            </w:tcBorders>
            <w:shd w:val="clear" w:color="auto" w:fill="auto"/>
            <w:vAlign w:val="center"/>
          </w:tcPr>
          <w:p w:rsidR="001363C7" w:rsidRPr="00974AEB" w:rsidRDefault="001363C7" w:rsidP="0053231E">
            <w:pPr>
              <w:spacing w:line="240" w:lineRule="auto"/>
              <w:rPr>
                <w:sz w:val="20"/>
              </w:rPr>
            </w:pPr>
            <w:r w:rsidRPr="00974AEB">
              <w:rPr>
                <w:sz w:val="20"/>
              </w:rPr>
              <w:t>Example</w:t>
            </w:r>
          </w:p>
        </w:tc>
      </w:tr>
      <w:tr w:rsidR="001363C7" w:rsidRPr="001363C7" w:rsidTr="006775DC">
        <w:trPr>
          <w:trHeight w:val="20"/>
        </w:trPr>
        <w:tc>
          <w:tcPr>
            <w:tcW w:w="1295" w:type="pct"/>
            <w:tcBorders>
              <w:top w:val="single" w:sz="6" w:space="0" w:color="009DDC"/>
              <w:left w:val="single" w:sz="2"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Reforestation, afforestation, improved forest management</w:t>
            </w:r>
          </w:p>
        </w:tc>
        <w:tc>
          <w:tcPr>
            <w:tcW w:w="768"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Forest degradation, biodiversity loss</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Local/Sub- regional</w:t>
            </w:r>
          </w:p>
        </w:tc>
        <w:tc>
          <w:tcPr>
            <w:tcW w:w="575"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Reactive</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Planned/ au</w:t>
            </w:r>
            <w:r w:rsidR="00FE6385">
              <w:rPr>
                <w:sz w:val="20"/>
              </w:rPr>
              <w:t>tonne</w:t>
            </w:r>
            <w:r w:rsidRPr="00974AEB">
              <w:rPr>
                <w:sz w:val="20"/>
              </w:rPr>
              <w:t>omous</w:t>
            </w:r>
          </w:p>
        </w:tc>
        <w:tc>
          <w:tcPr>
            <w:tcW w:w="1010" w:type="pct"/>
            <w:gridSpan w:val="2"/>
            <w:tcBorders>
              <w:top w:val="single" w:sz="6" w:space="0" w:color="009DDC"/>
              <w:left w:val="single" w:sz="6" w:space="0" w:color="009DDC"/>
              <w:bottom w:val="single" w:sz="6" w:space="0" w:color="009DDC"/>
              <w:right w:val="single" w:sz="2" w:space="0" w:color="009DDC"/>
            </w:tcBorders>
          </w:tcPr>
          <w:p w:rsidR="001363C7" w:rsidRPr="00974AEB" w:rsidRDefault="001363C7" w:rsidP="0053231E">
            <w:pPr>
              <w:spacing w:line="240" w:lineRule="auto"/>
              <w:rPr>
                <w:sz w:val="20"/>
              </w:rPr>
            </w:pPr>
            <w:r w:rsidRPr="00974AEB">
              <w:rPr>
                <w:sz w:val="20"/>
              </w:rPr>
              <w:t>Widely used</w:t>
            </w:r>
          </w:p>
        </w:tc>
      </w:tr>
      <w:tr w:rsidR="001363C7" w:rsidRPr="001363C7" w:rsidTr="006775DC">
        <w:trPr>
          <w:trHeight w:val="20"/>
        </w:trPr>
        <w:tc>
          <w:tcPr>
            <w:tcW w:w="1295" w:type="pct"/>
            <w:tcBorders>
              <w:top w:val="single" w:sz="6" w:space="0" w:color="009DDC"/>
              <w:left w:val="single" w:sz="2"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Establishment of early warning system</w:t>
            </w:r>
          </w:p>
        </w:tc>
        <w:tc>
          <w:tcPr>
            <w:tcW w:w="768"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Forest fire</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Regional</w:t>
            </w:r>
          </w:p>
        </w:tc>
        <w:tc>
          <w:tcPr>
            <w:tcW w:w="575"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Proactive</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Planned</w:t>
            </w:r>
          </w:p>
        </w:tc>
        <w:tc>
          <w:tcPr>
            <w:tcW w:w="1010" w:type="pct"/>
            <w:gridSpan w:val="2"/>
            <w:tcBorders>
              <w:top w:val="single" w:sz="6" w:space="0" w:color="009DDC"/>
              <w:left w:val="single" w:sz="6" w:space="0" w:color="009DDC"/>
              <w:bottom w:val="single" w:sz="6" w:space="0" w:color="009DDC"/>
              <w:right w:val="single" w:sz="2" w:space="0" w:color="009DDC"/>
            </w:tcBorders>
          </w:tcPr>
          <w:p w:rsidR="001363C7" w:rsidRPr="00974AEB" w:rsidRDefault="001363C7" w:rsidP="0053231E">
            <w:pPr>
              <w:spacing w:line="240" w:lineRule="auto"/>
              <w:rPr>
                <w:sz w:val="20"/>
              </w:rPr>
            </w:pPr>
            <w:r w:rsidRPr="00974AEB">
              <w:rPr>
                <w:sz w:val="20"/>
              </w:rPr>
              <w:t>Indonesia, Philippines, Viet Nam</w:t>
            </w:r>
          </w:p>
        </w:tc>
      </w:tr>
      <w:tr w:rsidR="001363C7" w:rsidRPr="001363C7" w:rsidTr="006775DC">
        <w:trPr>
          <w:trHeight w:val="20"/>
        </w:trPr>
        <w:tc>
          <w:tcPr>
            <w:tcW w:w="1295" w:type="pct"/>
            <w:tcBorders>
              <w:top w:val="single" w:sz="6" w:space="0" w:color="009DDC"/>
              <w:left w:val="single" w:sz="2"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Use of appropriate silvicultural  practices</w:t>
            </w:r>
          </w:p>
        </w:tc>
        <w:tc>
          <w:tcPr>
            <w:tcW w:w="768"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Forest fire</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Regional/ National</w:t>
            </w:r>
          </w:p>
        </w:tc>
        <w:tc>
          <w:tcPr>
            <w:tcW w:w="575"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Reactive</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Au</w:t>
            </w:r>
            <w:r w:rsidR="00FE6385">
              <w:rPr>
                <w:sz w:val="20"/>
              </w:rPr>
              <w:t>tonne</w:t>
            </w:r>
            <w:r w:rsidRPr="00974AEB">
              <w:rPr>
                <w:sz w:val="20"/>
              </w:rPr>
              <w:t>omous</w:t>
            </w:r>
          </w:p>
        </w:tc>
        <w:tc>
          <w:tcPr>
            <w:tcW w:w="1010" w:type="pct"/>
            <w:gridSpan w:val="2"/>
            <w:tcBorders>
              <w:top w:val="single" w:sz="6" w:space="0" w:color="009DDC"/>
              <w:left w:val="single" w:sz="6" w:space="0" w:color="009DDC"/>
              <w:bottom w:val="single" w:sz="6" w:space="0" w:color="009DDC"/>
              <w:right w:val="single" w:sz="2" w:space="0" w:color="009DDC"/>
            </w:tcBorders>
          </w:tcPr>
          <w:p w:rsidR="001363C7" w:rsidRPr="00974AEB" w:rsidRDefault="001363C7" w:rsidP="0053231E">
            <w:pPr>
              <w:spacing w:line="240" w:lineRule="auto"/>
              <w:rPr>
                <w:sz w:val="20"/>
              </w:rPr>
            </w:pPr>
            <w:r w:rsidRPr="00974AEB">
              <w:rPr>
                <w:sz w:val="20"/>
              </w:rPr>
              <w:t>Philippines, Viet Nam</w:t>
            </w:r>
          </w:p>
        </w:tc>
      </w:tr>
      <w:tr w:rsidR="001363C7" w:rsidRPr="001363C7" w:rsidTr="006775DC">
        <w:trPr>
          <w:trHeight w:val="20"/>
        </w:trPr>
        <w:tc>
          <w:tcPr>
            <w:tcW w:w="1295" w:type="pct"/>
            <w:tcBorders>
              <w:top w:val="single" w:sz="6" w:space="0" w:color="009DDC"/>
              <w:left w:val="single" w:sz="2"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Awareness-raising regarding forest fire prevention among communities</w:t>
            </w:r>
          </w:p>
        </w:tc>
        <w:tc>
          <w:tcPr>
            <w:tcW w:w="768"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Forest fire</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Regional/ National</w:t>
            </w:r>
          </w:p>
        </w:tc>
        <w:tc>
          <w:tcPr>
            <w:tcW w:w="575"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Proactive</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Planned</w:t>
            </w:r>
          </w:p>
        </w:tc>
        <w:tc>
          <w:tcPr>
            <w:tcW w:w="1010" w:type="pct"/>
            <w:gridSpan w:val="2"/>
            <w:tcBorders>
              <w:top w:val="single" w:sz="6" w:space="0" w:color="009DDC"/>
              <w:left w:val="single" w:sz="6" w:space="0" w:color="009DDC"/>
              <w:bottom w:val="single" w:sz="6" w:space="0" w:color="009DDC"/>
              <w:right w:val="single" w:sz="2" w:space="0" w:color="009DDC"/>
            </w:tcBorders>
          </w:tcPr>
          <w:p w:rsidR="001363C7" w:rsidRPr="00974AEB" w:rsidRDefault="001363C7" w:rsidP="0053231E">
            <w:pPr>
              <w:spacing w:line="240" w:lineRule="auto"/>
              <w:rPr>
                <w:sz w:val="20"/>
              </w:rPr>
            </w:pPr>
            <w:r w:rsidRPr="00974AEB">
              <w:rPr>
                <w:sz w:val="20"/>
              </w:rPr>
              <w:t>Indonesia, Philippines, Viet Nam</w:t>
            </w:r>
          </w:p>
        </w:tc>
      </w:tr>
      <w:tr w:rsidR="001363C7" w:rsidRPr="001363C7" w:rsidTr="006775DC">
        <w:trPr>
          <w:trHeight w:val="20"/>
        </w:trPr>
        <w:tc>
          <w:tcPr>
            <w:tcW w:w="1295" w:type="pct"/>
            <w:tcBorders>
              <w:top w:val="single" w:sz="6" w:space="0" w:color="009DDC"/>
              <w:left w:val="single" w:sz="2"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Monitoring of degraded forests</w:t>
            </w:r>
          </w:p>
        </w:tc>
        <w:tc>
          <w:tcPr>
            <w:tcW w:w="768"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Forest degradation, biodiversity loss</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Regional/ National</w:t>
            </w:r>
          </w:p>
        </w:tc>
        <w:tc>
          <w:tcPr>
            <w:tcW w:w="575"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Proactive</w:t>
            </w:r>
          </w:p>
        </w:tc>
        <w:tc>
          <w:tcPr>
            <w:tcW w:w="676" w:type="pct"/>
            <w:tcBorders>
              <w:top w:val="single" w:sz="6" w:space="0" w:color="009DDC"/>
              <w:left w:val="single" w:sz="6" w:space="0" w:color="009DDC"/>
              <w:bottom w:val="single" w:sz="6" w:space="0" w:color="009DDC"/>
              <w:right w:val="single" w:sz="6" w:space="0" w:color="009DDC"/>
            </w:tcBorders>
          </w:tcPr>
          <w:p w:rsidR="001363C7" w:rsidRPr="00974AEB" w:rsidRDefault="001363C7" w:rsidP="0053231E">
            <w:pPr>
              <w:spacing w:line="240" w:lineRule="auto"/>
              <w:rPr>
                <w:sz w:val="20"/>
              </w:rPr>
            </w:pPr>
            <w:r w:rsidRPr="00974AEB">
              <w:rPr>
                <w:sz w:val="20"/>
              </w:rPr>
              <w:t>Planned</w:t>
            </w:r>
          </w:p>
        </w:tc>
        <w:tc>
          <w:tcPr>
            <w:tcW w:w="1010" w:type="pct"/>
            <w:gridSpan w:val="2"/>
            <w:tcBorders>
              <w:top w:val="single" w:sz="6" w:space="0" w:color="009DDC"/>
              <w:left w:val="single" w:sz="6" w:space="0" w:color="009DDC"/>
              <w:bottom w:val="single" w:sz="6" w:space="0" w:color="009DDC"/>
              <w:right w:val="single" w:sz="2" w:space="0" w:color="009DDC"/>
            </w:tcBorders>
          </w:tcPr>
          <w:p w:rsidR="001363C7" w:rsidRPr="00974AEB" w:rsidRDefault="001363C7" w:rsidP="0053231E">
            <w:pPr>
              <w:spacing w:line="240" w:lineRule="auto"/>
              <w:rPr>
                <w:sz w:val="20"/>
              </w:rPr>
            </w:pPr>
            <w:r w:rsidRPr="00974AEB">
              <w:rPr>
                <w:sz w:val="20"/>
              </w:rPr>
              <w:t>Thailand</w:t>
            </w:r>
          </w:p>
        </w:tc>
      </w:tr>
      <w:tr w:rsidR="001363C7" w:rsidRPr="001363C7" w:rsidTr="006775DC">
        <w:trPr>
          <w:trHeight w:hRule="exact" w:val="285"/>
        </w:trPr>
        <w:tc>
          <w:tcPr>
            <w:tcW w:w="5000" w:type="pct"/>
            <w:gridSpan w:val="7"/>
            <w:tcBorders>
              <w:top w:val="single" w:sz="6" w:space="0" w:color="009DDC"/>
              <w:left w:val="single" w:sz="2" w:space="0" w:color="009DDC"/>
              <w:bottom w:val="single" w:sz="2" w:space="0" w:color="009DDC"/>
              <w:right w:val="single" w:sz="2" w:space="0" w:color="009DDC"/>
            </w:tcBorders>
            <w:shd w:val="clear" w:color="auto" w:fill="auto"/>
          </w:tcPr>
          <w:p w:rsidR="001363C7" w:rsidRPr="004B0A08" w:rsidRDefault="001363C7" w:rsidP="001363C7">
            <w:pPr>
              <w:rPr>
                <w:b/>
                <w:i/>
              </w:rPr>
            </w:pPr>
            <w:r w:rsidRPr="004B0A08">
              <w:rPr>
                <w:b/>
                <w:i/>
                <w:sz w:val="20"/>
              </w:rPr>
              <w:t>Source:     Adapted from ADB (2015)</w:t>
            </w:r>
          </w:p>
        </w:tc>
      </w:tr>
    </w:tbl>
    <w:p w:rsidR="001363C7" w:rsidRPr="001363C7" w:rsidRDefault="001363C7" w:rsidP="001363C7"/>
    <w:p w:rsidR="001363C7" w:rsidRPr="001363C7" w:rsidRDefault="001363C7" w:rsidP="00974AEB">
      <w:pPr>
        <w:spacing w:line="276" w:lineRule="auto"/>
        <w:jc w:val="both"/>
      </w:pPr>
      <w:r w:rsidRPr="001363C7">
        <w:lastRenderedPageBreak/>
        <w:t>A summary of adaptation measures in forestry sector is shown in</w:t>
      </w:r>
      <w:r w:rsidR="007F1965">
        <w:t xml:space="preserve"> Table 8.13</w:t>
      </w:r>
      <w:r w:rsidRPr="001363C7">
        <w:t>. Early warning systems of dry spells have been established, in parallel with awareness-raising programs, as a means to prevent forest fires. Forest fires count among the main factors contributing to biodiversity and forest loss in Indonesia and the Philippines, and normally occur during El Niño years. To cope with the fire risk, the provincial government of Central Kalimantan in Indonesia has used climate information to develop an early warning system on the likelihood of fire outbreaks. This system can inform local government or the communities affected about conditions expected in the coming season, allowing them to prepare for the outbreak of fires, 2 to 3 months in advance. Similar early warning systems, together with awareness-raising programs, adjustment in silvicultural treatment, and construction of fire barriers, have also been planned in other parts of the region, including the Philippines and Viet Nam.</w:t>
      </w:r>
    </w:p>
    <w:p w:rsidR="001363C7" w:rsidRPr="001363C7" w:rsidRDefault="001363C7" w:rsidP="00974AEB">
      <w:pPr>
        <w:spacing w:line="276" w:lineRule="auto"/>
        <w:jc w:val="both"/>
      </w:pPr>
      <w:r w:rsidRPr="001363C7">
        <w:t xml:space="preserve">Aggressive plans for reforestation and afforestation are being implemented to substitute forest resources damaged by climate change and extreme events. Thailand has already felt the impact of forest loss, mainly due to unpredictable rainfall, more frequent and prolonged droughts, flash floods, as well as </w:t>
      </w:r>
      <w:r w:rsidR="00D4254C">
        <w:t>warmer</w:t>
      </w:r>
      <w:r w:rsidR="00D4254C" w:rsidRPr="001363C7">
        <w:t xml:space="preserve"> </w:t>
      </w:r>
      <w:r w:rsidRPr="001363C7">
        <w:t xml:space="preserve">summer days and nights. A number of reforestation and afforestation projects have already been implemented. Efforts have also been made to monitor changes that are taking place. For example, the Sakaerat station in the eastern forest complex in Thailand has long been used as a monitoring station, the data used in studies of forest change and the carbon cycle. </w:t>
      </w:r>
      <w:r w:rsidR="00F64A6A" w:rsidRPr="00F64A6A">
        <w:rPr>
          <w:u w:val="single"/>
        </w:rPr>
        <w:t>In Viet Nam, major national programs for forestation, reforestation, and improved forest management have been developed. Forest coverage in Viet Nam increased from 27.8% in 1990, to 33.2% in 2000, and to 37.3% in 2004.</w:t>
      </w:r>
    </w:p>
    <w:p w:rsidR="00000000" w:rsidRDefault="001363C7" w:rsidP="003D5A31">
      <w:pPr>
        <w:pStyle w:val="BodyText"/>
        <w:numPr>
          <w:ilvl w:val="2"/>
          <w:numId w:val="209"/>
        </w:numPr>
        <w:spacing w:after="240" w:line="276" w:lineRule="auto"/>
        <w:jc w:val="both"/>
        <w:rPr>
          <w:rFonts w:cs="Times New Roman"/>
          <w:b/>
          <w:szCs w:val="24"/>
        </w:rPr>
      </w:pPr>
      <w:r w:rsidRPr="00C6204B">
        <w:rPr>
          <w:rFonts w:cs="Times New Roman"/>
          <w:b/>
          <w:szCs w:val="24"/>
        </w:rPr>
        <w:t xml:space="preserve">Adaptation in Water Resources Sector </w:t>
      </w:r>
    </w:p>
    <w:p w:rsidR="001363C7" w:rsidRPr="001363C7" w:rsidRDefault="001363C7" w:rsidP="00974AEB">
      <w:pPr>
        <w:spacing w:line="276" w:lineRule="auto"/>
        <w:jc w:val="both"/>
      </w:pPr>
      <w:r w:rsidRPr="001363C7">
        <w:t xml:space="preserve">Climate change phenomena, such as erratic rainfall patterns, El Niño episodes, and drought, have exacerbated growing water stress in key economic sectors of the region. Most countries in the region have experienced growing water shortages due to changes in rainfall patterns and the effect of El Niño. Consequently, water quantity and quality have deteriorated. Overexploitation of water resources has depleted aquifers, lowered water tables, and reduced stream flows, which in some cases have already reached ecologically unsafe levels. </w:t>
      </w:r>
    </w:p>
    <w:p w:rsidR="001363C7" w:rsidRPr="001363C7" w:rsidRDefault="001363C7" w:rsidP="00974AEB">
      <w:pPr>
        <w:spacing w:line="276" w:lineRule="auto"/>
        <w:jc w:val="both"/>
      </w:pPr>
      <w:r w:rsidRPr="001363C7">
        <w:t xml:space="preserve">To improve the water shortage situation, the Southeast Asian countries have used supply-side measures, such as water harvesting technologies and renovation of irrigation facilities, and demand-side measures, including promotion of efficient use of water resources and better water management practices. Amid increasing water stress due to climate change, growing water demand has led to a shortage of water in several areas in Southeast Asia. Damaged irrigation facilities contribute to difficulties in meeting water demand from agriculture. For example, in 2003 a high and significant percentage of irrigation facilities in several districts of Indonesia were damaged. Governments have taken steps to address this by repairing existing facilities and implementing innovative adaptation measures.  Farmers in a number of drought-prone districts in </w:t>
      </w:r>
      <w:r w:rsidRPr="001363C7">
        <w:lastRenderedPageBreak/>
        <w:t>Indonesia have been trained to develop rain harvesting technologies to absorb surplus water from irrigation and rainfall. The Government of Vietnam has planned for the extension of small-scale irrigation schemes in Ninh Thuan province. On the demand side, Thailand has promoted the combined use of surface and groundwater resources to maximize the yield of water resources, while farmers in Indonesia and Viet Nam have been trained in the better management of water including efficient and effective use of irrigation water and other water resources.</w:t>
      </w:r>
    </w:p>
    <w:p w:rsidR="001363C7" w:rsidRPr="001363C7" w:rsidRDefault="001363C7" w:rsidP="00974AEB">
      <w:pPr>
        <w:spacing w:line="276" w:lineRule="auto"/>
        <w:jc w:val="both"/>
      </w:pPr>
      <w:r w:rsidRPr="001363C7">
        <w:t>As climate change causes extreme weather events such as floods and storm surges, flood control facilities have been installed and communities have been trained to cope with floods. Southeast Asia has already suffered from floods and storm surges brought on by climate change. Several areas, particularly in the Philippines, Thailand, and Viet Nam, are flood-prone, making these countries particularly vulnerable to extreme weather events.  In response, flood control and prevention facilities have been put in place in these locations. For example, the Bangkok Metropolitan Administration has established pumping stations in strategic areas of the city to regulate water in canals and rivers that tend to overflow during the rainy season. Water gate facilities have also been installed for flood control as well as for the prevention of saline water intrusion in Thailand. Upgrading of existing drainage systems has been proposed in Viet Nam, particularly in the Red River and Mekong River Deltas, and has already been implemented in Singapore. Experience from the Lower Songkhram River Basin in the northeastern region of Thailand also shows that an effective way to prepare for floods is to provide training to the local communities in flood- prone areas, for instance, how to build rice storage silos on high ground and how to prepare for moving livestock. Viet Nam is considering a more proactive approach to flood control by establishing flood warning systems for local communities.</w:t>
      </w:r>
    </w:p>
    <w:p w:rsidR="001363C7" w:rsidRPr="001363C7" w:rsidRDefault="001363C7" w:rsidP="00974AEB">
      <w:pPr>
        <w:spacing w:line="276" w:lineRule="auto"/>
        <w:jc w:val="both"/>
      </w:pPr>
      <w:r w:rsidRPr="001363C7">
        <w:t xml:space="preserve">Integrated water management is needed to capture multiple benefits, including flood prevention, efficient use of water supply, and clean power generation. In Philippines there is excessive water during La Niña periods, causing intense runoff and soil erosion, massive flooding, and damage to riverbanks and many irrigation systems. During El Niño periods, water is scarce, causing water shortages for irrigation of agricultural crops. In response, the government has developed the Small Water Impounding Project aimed at reducing flood damage, making more effective use of water resources, and generating electricity. The project consists of a water harvesting and storage structure with earth embankment spillways, outlet works, and canal facilities. </w:t>
      </w:r>
    </w:p>
    <w:p w:rsidR="00000000" w:rsidRDefault="001363C7" w:rsidP="003D5A31">
      <w:pPr>
        <w:pStyle w:val="BodyText"/>
        <w:numPr>
          <w:ilvl w:val="2"/>
          <w:numId w:val="209"/>
        </w:numPr>
        <w:spacing w:after="240" w:line="276" w:lineRule="auto"/>
        <w:jc w:val="both"/>
        <w:rPr>
          <w:b/>
        </w:rPr>
      </w:pPr>
      <w:r w:rsidRPr="00C6204B">
        <w:rPr>
          <w:rFonts w:cs="Times New Roman"/>
          <w:b/>
          <w:szCs w:val="24"/>
        </w:rPr>
        <w:t>Adaptation in Coastal and Marine Resources Sector</w:t>
      </w:r>
      <w:r w:rsidRPr="004B0A08">
        <w:rPr>
          <w:b/>
        </w:rPr>
        <w:t xml:space="preserve"> </w:t>
      </w:r>
    </w:p>
    <w:p w:rsidR="001363C7" w:rsidRPr="001363C7" w:rsidRDefault="001363C7" w:rsidP="00974AEB">
      <w:pPr>
        <w:spacing w:line="276" w:lineRule="auto"/>
        <w:jc w:val="both"/>
      </w:pPr>
      <w:r w:rsidRPr="001363C7">
        <w:t xml:space="preserve">Coastal regions are an important source of development, and the risk of sea level rise and occurrence of extreme events, if not managed, could result in catastrophic impacts. Climate change has brought adverse impacts to Southeast Asia’s coastal and marine resources. Increasing temperatures have bleached coral reefs; rising sea levels have caused massive coastal erosion, destruction of mangrove plantations, and flooding in many areas including major cities near the </w:t>
      </w:r>
      <w:r w:rsidRPr="001363C7">
        <w:lastRenderedPageBreak/>
        <w:t xml:space="preserve">coast. Rising sea levels have also affected many aquaculture industries and caused saltwater intrusion of inland freshwater and aquifer resources. </w:t>
      </w:r>
    </w:p>
    <w:p w:rsidR="001363C7" w:rsidRPr="001363C7" w:rsidRDefault="001363C7" w:rsidP="00974AEB">
      <w:pPr>
        <w:spacing w:line="276" w:lineRule="auto"/>
        <w:jc w:val="both"/>
      </w:pPr>
      <w:r w:rsidRPr="001363C7">
        <w:t>Mangrove conservation and plantation are highly effective in reducing the impact of tropical storms and cyclones. Co-benefits are substantial, including ecosystem services on which local communities depend. Coastal mangrove plantation or conservation is a highly effective form of coastal protection. For example, restored mangroves in the Kien Thuy District, Thai Binh province of northern Viet Nam reduced a four–meter storm surge in 2005 to a 0.5–meter wave, causing no harm in the area.  Thailand also has an aggressive plan for mangrove plantations as part of its national strategy for reforestation and afforestation. Indonesia has planted mangroves further into the sea to create wave breaks and to allow mangrove invasion toward the sea. A local initiative is being undertaken in the province of Albay in the Philippines. The Albay in Action on Climate Change, or A2C2 project, was established for mangrove plantations in the coastal areas of Albay to adapt to the impact of storm surges Establishment of mangrove forests in the coastal zone is essential to upgrading the coastal protection system and preparing for the more severe impacts of climate change in the future. At the same time, mangrove plantations increase the amount of habitat for various plant and animal species and also help diversify the livelihoods of local communities by providing other business opportunities, such as fisheries.</w:t>
      </w:r>
    </w:p>
    <w:p w:rsidR="001363C7" w:rsidRPr="001363C7" w:rsidRDefault="001363C7" w:rsidP="00974AEB">
      <w:pPr>
        <w:spacing w:line="276" w:lineRule="auto"/>
        <w:jc w:val="both"/>
      </w:pPr>
      <w:r w:rsidRPr="001363C7">
        <w:t>Upgrading existing coastal prevention infrastructure such as dikes, sea walls, and revetments prevents further damage from rising sea levels, coastal erosion and saline water intrusion. Countries in the region have constructed dikes, sea walls, and revetments to prevent coastal erosion and saline water intrusion. The case of Bang Khun Thian District in Bangkok is a good example of the erosion that threatens coastal areas of Thailand. As adaptation measures, farmers built s</w:t>
      </w:r>
      <w:r w:rsidR="00FE6385">
        <w:t>ton</w:t>
      </w:r>
      <w:r w:rsidRPr="001363C7">
        <w:t>e walls, bamboo revetments, and breakwaters; reconstructed some parts of the pondwalls/breakwaters; and abandoned their water gates when they were covered by water. A typhoon-resistant housing project was implemented to enhance the adaptive capacity of those living in typhoon-prone areas. A number of capacity building programs have been proposed to support adaptation measures. Rising sea levels in the region could increase storm surges, tsunami damage, and land subsidence. Tropical cyclones could exacerbate the impact of sea level rise with its strong winds and heavy rain, which have caused massive flooding in coastal settlements. In Viet Nam, new lands for special industrial areas will be raised above danger levels.</w:t>
      </w:r>
    </w:p>
    <w:p w:rsidR="001363C7" w:rsidRPr="001363C7" w:rsidRDefault="001363C7" w:rsidP="00974AEB">
      <w:pPr>
        <w:spacing w:line="276" w:lineRule="auto"/>
        <w:jc w:val="both"/>
      </w:pPr>
      <w:r w:rsidRPr="001363C7">
        <w:t xml:space="preserve">A summary of the various adaptation options in agriculture, water resources, forestry, and coastal and marine resources is presented </w:t>
      </w:r>
      <w:r w:rsidR="007F1965">
        <w:t>in Table 8.14</w:t>
      </w:r>
      <w:r w:rsidRPr="001363C7">
        <w:t>.</w:t>
      </w:r>
    </w:p>
    <w:p w:rsidR="0053231E" w:rsidRDefault="0053231E">
      <w:r>
        <w:rPr>
          <w:b/>
          <w:bC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108"/>
        <w:gridCol w:w="3945"/>
        <w:gridCol w:w="4317"/>
      </w:tblGrid>
      <w:tr w:rsidR="001363C7" w:rsidRPr="001363C7" w:rsidTr="00CC75B3">
        <w:trPr>
          <w:trHeight w:hRule="exact" w:val="307"/>
        </w:trPr>
        <w:tc>
          <w:tcPr>
            <w:tcW w:w="5000" w:type="pct"/>
            <w:gridSpan w:val="3"/>
            <w:shd w:val="clear" w:color="auto" w:fill="auto"/>
          </w:tcPr>
          <w:p w:rsidR="001363C7" w:rsidRPr="004B0A08" w:rsidRDefault="001363C7" w:rsidP="0053231E">
            <w:pPr>
              <w:pStyle w:val="Heading4"/>
              <w:rPr>
                <w:b w:val="0"/>
              </w:rPr>
            </w:pPr>
            <w:bookmarkStart w:id="599" w:name="_Toc474639058"/>
            <w:r w:rsidRPr="0053231E">
              <w:lastRenderedPageBreak/>
              <w:t>Table</w:t>
            </w:r>
            <w:r w:rsidR="007F1965" w:rsidRPr="0053231E">
              <w:t xml:space="preserve"> 8.14</w:t>
            </w:r>
            <w:r w:rsidRPr="0053231E">
              <w:t>: Adaptation Options: A summary</w:t>
            </w:r>
            <w:bookmarkEnd w:id="599"/>
          </w:p>
        </w:tc>
      </w:tr>
      <w:tr w:rsidR="001363C7" w:rsidRPr="001363C7" w:rsidTr="0053231E">
        <w:trPr>
          <w:trHeight w:hRule="exact" w:val="253"/>
        </w:trPr>
        <w:tc>
          <w:tcPr>
            <w:tcW w:w="584" w:type="pct"/>
            <w:shd w:val="clear" w:color="auto" w:fill="auto"/>
          </w:tcPr>
          <w:p w:rsidR="001363C7" w:rsidRPr="00CC75B3" w:rsidRDefault="001363C7" w:rsidP="001363C7">
            <w:pPr>
              <w:rPr>
                <w:sz w:val="20"/>
              </w:rPr>
            </w:pPr>
          </w:p>
        </w:tc>
        <w:tc>
          <w:tcPr>
            <w:tcW w:w="2109" w:type="pct"/>
            <w:shd w:val="clear" w:color="auto" w:fill="auto"/>
          </w:tcPr>
          <w:p w:rsidR="001363C7" w:rsidRPr="00CC75B3" w:rsidRDefault="001363C7" w:rsidP="001363C7">
            <w:pPr>
              <w:rPr>
                <w:b/>
                <w:sz w:val="20"/>
              </w:rPr>
            </w:pPr>
            <w:r w:rsidRPr="00CC75B3">
              <w:rPr>
                <w:b/>
                <w:sz w:val="20"/>
              </w:rPr>
              <w:t>Reactive/Responsive</w:t>
            </w:r>
          </w:p>
        </w:tc>
        <w:tc>
          <w:tcPr>
            <w:tcW w:w="2307" w:type="pct"/>
            <w:shd w:val="clear" w:color="auto" w:fill="auto"/>
          </w:tcPr>
          <w:p w:rsidR="001363C7" w:rsidRPr="00CC75B3" w:rsidRDefault="001363C7" w:rsidP="001363C7">
            <w:pPr>
              <w:rPr>
                <w:b/>
                <w:sz w:val="20"/>
              </w:rPr>
            </w:pPr>
            <w:r w:rsidRPr="00CC75B3">
              <w:rPr>
                <w:b/>
                <w:sz w:val="20"/>
              </w:rPr>
              <w:t>Proactive/Anticipatory</w:t>
            </w:r>
          </w:p>
        </w:tc>
      </w:tr>
      <w:tr w:rsidR="001363C7" w:rsidRPr="001363C7" w:rsidTr="0053231E">
        <w:trPr>
          <w:trHeight w:hRule="exact" w:val="2077"/>
        </w:trPr>
        <w:tc>
          <w:tcPr>
            <w:tcW w:w="584" w:type="pct"/>
            <w:shd w:val="clear" w:color="auto" w:fill="auto"/>
            <w:textDirection w:val="btLr"/>
          </w:tcPr>
          <w:p w:rsidR="001363C7" w:rsidRPr="00CC75B3" w:rsidRDefault="001363C7" w:rsidP="001363C7"/>
          <w:p w:rsidR="001363C7" w:rsidRPr="00CC75B3" w:rsidRDefault="001363C7" w:rsidP="001363C7">
            <w:r w:rsidRPr="00CC75B3">
              <w:t>Agriculture</w:t>
            </w:r>
          </w:p>
        </w:tc>
        <w:tc>
          <w:tcPr>
            <w:tcW w:w="2109" w:type="pct"/>
          </w:tcPr>
          <w:p w:rsidR="001363C7" w:rsidRPr="00CC75B3" w:rsidRDefault="001363C7" w:rsidP="00CC75B3">
            <w:pPr>
              <w:spacing w:after="60" w:line="240" w:lineRule="auto"/>
              <w:rPr>
                <w:sz w:val="20"/>
              </w:rPr>
            </w:pPr>
            <w:r w:rsidRPr="00CC75B3">
              <w:rPr>
                <w:sz w:val="20"/>
              </w:rPr>
              <w:t xml:space="preserve">Erosion </w:t>
            </w:r>
            <w:r w:rsidR="00EA4E38" w:rsidRPr="00CC75B3">
              <w:rPr>
                <w:sz w:val="20"/>
              </w:rPr>
              <w:t>contro</w:t>
            </w:r>
            <w:r w:rsidR="00EA4E38">
              <w:rPr>
                <w:sz w:val="20"/>
              </w:rPr>
              <w:t>l</w:t>
            </w:r>
          </w:p>
          <w:p w:rsidR="001363C7" w:rsidRPr="00CC75B3" w:rsidRDefault="001363C7" w:rsidP="00CC75B3">
            <w:pPr>
              <w:spacing w:after="60" w:line="240" w:lineRule="auto"/>
              <w:rPr>
                <w:sz w:val="20"/>
              </w:rPr>
            </w:pPr>
            <w:r w:rsidRPr="00CC75B3">
              <w:rPr>
                <w:sz w:val="20"/>
              </w:rPr>
              <w:t>Dam construction for irrigation</w:t>
            </w:r>
            <w:r w:rsidR="00CC75B3">
              <w:rPr>
                <w:sz w:val="20"/>
              </w:rPr>
              <w:t>.</w:t>
            </w:r>
          </w:p>
          <w:p w:rsidR="001363C7" w:rsidRPr="00CC75B3" w:rsidRDefault="001363C7" w:rsidP="00CC75B3">
            <w:pPr>
              <w:spacing w:after="60" w:line="240" w:lineRule="auto"/>
              <w:rPr>
                <w:sz w:val="20"/>
              </w:rPr>
            </w:pPr>
            <w:r w:rsidRPr="00CC75B3">
              <w:rPr>
                <w:sz w:val="20"/>
              </w:rPr>
              <w:t>Changes in fertilizer use and application</w:t>
            </w:r>
            <w:r w:rsidR="00CC75B3">
              <w:rPr>
                <w:sz w:val="20"/>
              </w:rPr>
              <w:t>.</w:t>
            </w:r>
          </w:p>
          <w:p w:rsidR="001363C7" w:rsidRPr="00CC75B3" w:rsidRDefault="001363C7" w:rsidP="00CC75B3">
            <w:pPr>
              <w:spacing w:after="60" w:line="240" w:lineRule="auto"/>
              <w:rPr>
                <w:sz w:val="20"/>
              </w:rPr>
            </w:pPr>
            <w:r w:rsidRPr="00CC75B3">
              <w:rPr>
                <w:sz w:val="20"/>
              </w:rPr>
              <w:t>Introduction of new crops</w:t>
            </w:r>
            <w:r w:rsidR="00CC75B3">
              <w:rPr>
                <w:sz w:val="20"/>
              </w:rPr>
              <w:t>.</w:t>
            </w:r>
          </w:p>
          <w:p w:rsidR="001363C7" w:rsidRPr="00CC75B3" w:rsidRDefault="001363C7" w:rsidP="00CC75B3">
            <w:pPr>
              <w:spacing w:after="60" w:line="240" w:lineRule="auto"/>
              <w:rPr>
                <w:sz w:val="20"/>
              </w:rPr>
            </w:pPr>
            <w:r w:rsidRPr="00CC75B3">
              <w:rPr>
                <w:sz w:val="20"/>
              </w:rPr>
              <w:t>Soil fertility maintenance</w:t>
            </w:r>
            <w:r w:rsidR="00CC75B3">
              <w:rPr>
                <w:sz w:val="20"/>
              </w:rPr>
              <w:t>.</w:t>
            </w:r>
          </w:p>
          <w:p w:rsidR="001363C7" w:rsidRPr="00CC75B3" w:rsidRDefault="001363C7" w:rsidP="00CC75B3">
            <w:pPr>
              <w:spacing w:after="60" w:line="240" w:lineRule="auto"/>
              <w:rPr>
                <w:sz w:val="20"/>
              </w:rPr>
            </w:pPr>
            <w:r w:rsidRPr="00CC75B3">
              <w:rPr>
                <w:sz w:val="20"/>
              </w:rPr>
              <w:t>Changes in planting and harvesting times</w:t>
            </w:r>
            <w:r w:rsidR="00CC75B3">
              <w:rPr>
                <w:sz w:val="20"/>
              </w:rPr>
              <w:t>.</w:t>
            </w:r>
          </w:p>
          <w:p w:rsidR="001363C7" w:rsidRPr="00CC75B3" w:rsidRDefault="001363C7" w:rsidP="00CC75B3">
            <w:pPr>
              <w:spacing w:after="60" w:line="240" w:lineRule="auto"/>
              <w:rPr>
                <w:sz w:val="20"/>
              </w:rPr>
            </w:pPr>
            <w:r w:rsidRPr="00CC75B3">
              <w:rPr>
                <w:sz w:val="20"/>
              </w:rPr>
              <w:t>Switch to different cultivars</w:t>
            </w:r>
            <w:r w:rsidR="00CC75B3">
              <w:rPr>
                <w:sz w:val="20"/>
              </w:rPr>
              <w:t>.</w:t>
            </w:r>
          </w:p>
          <w:p w:rsidR="001363C7" w:rsidRPr="00CC75B3" w:rsidRDefault="001363C7" w:rsidP="00CC75B3">
            <w:pPr>
              <w:spacing w:after="60" w:line="240" w:lineRule="auto"/>
              <w:rPr>
                <w:sz w:val="20"/>
              </w:rPr>
            </w:pPr>
            <w:r w:rsidRPr="00CC75B3">
              <w:rPr>
                <w:sz w:val="20"/>
              </w:rPr>
              <w:t>Educational and outreach programs on conservation and management of soil and water</w:t>
            </w:r>
          </w:p>
        </w:tc>
        <w:tc>
          <w:tcPr>
            <w:tcW w:w="2307" w:type="pct"/>
          </w:tcPr>
          <w:p w:rsidR="001363C7" w:rsidRPr="00CC75B3" w:rsidRDefault="001363C7" w:rsidP="00CC75B3">
            <w:pPr>
              <w:spacing w:after="60" w:line="240" w:lineRule="auto"/>
              <w:rPr>
                <w:sz w:val="20"/>
              </w:rPr>
            </w:pPr>
            <w:r w:rsidRPr="00CC75B3">
              <w:rPr>
                <w:sz w:val="20"/>
              </w:rPr>
              <w:t>Development of tolerant/resistant crops (to drought, salt,  insect/pests)</w:t>
            </w:r>
            <w:r w:rsidR="00CC75B3">
              <w:rPr>
                <w:sz w:val="20"/>
              </w:rPr>
              <w:t>.</w:t>
            </w:r>
          </w:p>
          <w:p w:rsidR="001363C7" w:rsidRPr="00CC75B3" w:rsidRDefault="001363C7" w:rsidP="00CC75B3">
            <w:pPr>
              <w:spacing w:after="60" w:line="240" w:lineRule="auto"/>
              <w:rPr>
                <w:sz w:val="20"/>
              </w:rPr>
            </w:pPr>
            <w:r w:rsidRPr="00CC75B3">
              <w:rPr>
                <w:sz w:val="20"/>
              </w:rPr>
              <w:t>Research and development</w:t>
            </w:r>
            <w:r w:rsidR="00CC75B3">
              <w:rPr>
                <w:sz w:val="20"/>
              </w:rPr>
              <w:t>.</w:t>
            </w:r>
          </w:p>
          <w:p w:rsidR="001363C7" w:rsidRPr="00CC75B3" w:rsidRDefault="001363C7" w:rsidP="00CC75B3">
            <w:pPr>
              <w:spacing w:after="60" w:line="240" w:lineRule="auto"/>
              <w:rPr>
                <w:sz w:val="20"/>
              </w:rPr>
            </w:pPr>
            <w:r w:rsidRPr="00CC75B3">
              <w:rPr>
                <w:sz w:val="20"/>
              </w:rPr>
              <w:t>Soil-water managemen</w:t>
            </w:r>
            <w:r w:rsidR="00CC75B3">
              <w:rPr>
                <w:sz w:val="20"/>
              </w:rPr>
              <w:t>.</w:t>
            </w:r>
            <w:r w:rsidRPr="00CC75B3">
              <w:rPr>
                <w:sz w:val="20"/>
              </w:rPr>
              <w:t>t</w:t>
            </w:r>
            <w:r w:rsidR="00CC75B3">
              <w:rPr>
                <w:sz w:val="20"/>
              </w:rPr>
              <w:t>.</w:t>
            </w:r>
          </w:p>
          <w:p w:rsidR="001363C7" w:rsidRPr="00CC75B3" w:rsidRDefault="001363C7" w:rsidP="00CC75B3">
            <w:pPr>
              <w:spacing w:after="60" w:line="240" w:lineRule="auto"/>
              <w:rPr>
                <w:sz w:val="20"/>
              </w:rPr>
            </w:pPr>
            <w:r w:rsidRPr="00CC75B3">
              <w:rPr>
                <w:sz w:val="20"/>
              </w:rPr>
              <w:t>Diversification and intensification of food and plantation crops</w:t>
            </w:r>
            <w:r w:rsidR="00CC75B3">
              <w:rPr>
                <w:sz w:val="20"/>
              </w:rPr>
              <w:t>.</w:t>
            </w:r>
          </w:p>
          <w:p w:rsidR="001363C7" w:rsidRPr="00CC75B3" w:rsidRDefault="001363C7" w:rsidP="00CC75B3">
            <w:pPr>
              <w:spacing w:after="60" w:line="240" w:lineRule="auto"/>
              <w:rPr>
                <w:sz w:val="20"/>
              </w:rPr>
            </w:pPr>
            <w:r w:rsidRPr="00CC75B3">
              <w:rPr>
                <w:sz w:val="20"/>
              </w:rPr>
              <w:t>Policy measures, tax incentives/subsidies, free market</w:t>
            </w:r>
            <w:r w:rsidR="00CC75B3">
              <w:rPr>
                <w:sz w:val="20"/>
              </w:rPr>
              <w:t>.</w:t>
            </w:r>
          </w:p>
          <w:p w:rsidR="001363C7" w:rsidRPr="00CC75B3" w:rsidRDefault="001363C7" w:rsidP="00CC75B3">
            <w:pPr>
              <w:spacing w:after="60" w:line="240" w:lineRule="auto"/>
              <w:rPr>
                <w:sz w:val="20"/>
              </w:rPr>
            </w:pPr>
            <w:r w:rsidRPr="00CC75B3">
              <w:rPr>
                <w:sz w:val="20"/>
              </w:rPr>
              <w:t>Development of early warning systems</w:t>
            </w:r>
          </w:p>
        </w:tc>
      </w:tr>
      <w:tr w:rsidR="001363C7" w:rsidRPr="001363C7" w:rsidTr="0053231E">
        <w:trPr>
          <w:trHeight w:hRule="exact" w:val="1945"/>
        </w:trPr>
        <w:tc>
          <w:tcPr>
            <w:tcW w:w="584" w:type="pct"/>
            <w:shd w:val="clear" w:color="auto" w:fill="auto"/>
            <w:textDirection w:val="btLr"/>
          </w:tcPr>
          <w:p w:rsidR="001363C7" w:rsidRPr="00CC75B3" w:rsidRDefault="001363C7" w:rsidP="001363C7">
            <w:r w:rsidRPr="00CC75B3">
              <w:t>Water Resources</w:t>
            </w:r>
          </w:p>
        </w:tc>
        <w:tc>
          <w:tcPr>
            <w:tcW w:w="2109" w:type="pct"/>
          </w:tcPr>
          <w:p w:rsidR="001363C7" w:rsidRPr="00CC75B3" w:rsidRDefault="001363C7" w:rsidP="00CC75B3">
            <w:pPr>
              <w:spacing w:after="60" w:line="240" w:lineRule="auto"/>
              <w:rPr>
                <w:sz w:val="20"/>
              </w:rPr>
            </w:pPr>
            <w:r w:rsidRPr="00CC75B3">
              <w:rPr>
                <w:sz w:val="20"/>
              </w:rPr>
              <w:t>Protection of groundwater resources</w:t>
            </w:r>
            <w:r w:rsidR="00CC75B3">
              <w:rPr>
                <w:sz w:val="20"/>
              </w:rPr>
              <w:t>.</w:t>
            </w:r>
          </w:p>
          <w:p w:rsidR="001363C7" w:rsidRPr="00CC75B3" w:rsidRDefault="001363C7" w:rsidP="00CC75B3">
            <w:pPr>
              <w:spacing w:after="60" w:line="240" w:lineRule="auto"/>
              <w:rPr>
                <w:sz w:val="20"/>
              </w:rPr>
            </w:pPr>
            <w:r w:rsidRPr="00CC75B3">
              <w:rPr>
                <w:sz w:val="20"/>
              </w:rPr>
              <w:t>Improved management and maintenance of existing water supply systems</w:t>
            </w:r>
            <w:r w:rsidR="00CC75B3">
              <w:rPr>
                <w:sz w:val="20"/>
              </w:rPr>
              <w:t>.</w:t>
            </w:r>
          </w:p>
          <w:p w:rsidR="001363C7" w:rsidRPr="00CC75B3" w:rsidRDefault="001363C7" w:rsidP="00CC75B3">
            <w:pPr>
              <w:spacing w:after="60" w:line="240" w:lineRule="auto"/>
              <w:rPr>
                <w:sz w:val="20"/>
              </w:rPr>
            </w:pPr>
            <w:r w:rsidRPr="00CC75B3">
              <w:rPr>
                <w:sz w:val="20"/>
              </w:rPr>
              <w:t>Protection of water catchment areas</w:t>
            </w:r>
            <w:r w:rsidR="00CC75B3">
              <w:rPr>
                <w:sz w:val="20"/>
              </w:rPr>
              <w:t>.</w:t>
            </w:r>
          </w:p>
          <w:p w:rsidR="001363C7" w:rsidRPr="00CC75B3" w:rsidRDefault="001363C7" w:rsidP="00CC75B3">
            <w:pPr>
              <w:spacing w:after="60" w:line="240" w:lineRule="auto"/>
              <w:rPr>
                <w:sz w:val="20"/>
              </w:rPr>
            </w:pPr>
            <w:r w:rsidRPr="00CC75B3">
              <w:rPr>
                <w:sz w:val="20"/>
              </w:rPr>
              <w:t>Improved water supply</w:t>
            </w:r>
            <w:r w:rsidR="00CC75B3">
              <w:rPr>
                <w:sz w:val="20"/>
              </w:rPr>
              <w:t>.</w:t>
            </w:r>
          </w:p>
          <w:p w:rsidR="001363C7" w:rsidRPr="00CC75B3" w:rsidRDefault="001363C7" w:rsidP="00CC75B3">
            <w:pPr>
              <w:spacing w:after="60" w:line="240" w:lineRule="auto"/>
              <w:rPr>
                <w:sz w:val="20"/>
              </w:rPr>
            </w:pPr>
            <w:r w:rsidRPr="00CC75B3">
              <w:rPr>
                <w:sz w:val="20"/>
              </w:rPr>
              <w:t>Groundwater and rainwater harvesting and desalination</w:t>
            </w:r>
            <w:r w:rsidR="00CC75B3">
              <w:rPr>
                <w:sz w:val="20"/>
              </w:rPr>
              <w:t>.</w:t>
            </w:r>
          </w:p>
        </w:tc>
        <w:tc>
          <w:tcPr>
            <w:tcW w:w="2307" w:type="pct"/>
          </w:tcPr>
          <w:p w:rsidR="001363C7" w:rsidRPr="00CC75B3" w:rsidRDefault="001363C7" w:rsidP="00CC75B3">
            <w:pPr>
              <w:spacing w:after="60" w:line="240" w:lineRule="auto"/>
              <w:rPr>
                <w:sz w:val="20"/>
              </w:rPr>
            </w:pPr>
            <w:r w:rsidRPr="00CC75B3">
              <w:rPr>
                <w:sz w:val="20"/>
              </w:rPr>
              <w:t>Better use of recycled water</w:t>
            </w:r>
            <w:r w:rsidR="00CC75B3">
              <w:rPr>
                <w:sz w:val="20"/>
              </w:rPr>
              <w:t>.</w:t>
            </w:r>
          </w:p>
          <w:p w:rsidR="001363C7" w:rsidRPr="00CC75B3" w:rsidRDefault="001363C7" w:rsidP="00CC75B3">
            <w:pPr>
              <w:spacing w:after="60" w:line="240" w:lineRule="auto"/>
              <w:rPr>
                <w:sz w:val="20"/>
              </w:rPr>
            </w:pPr>
            <w:r w:rsidRPr="00CC75B3">
              <w:rPr>
                <w:sz w:val="20"/>
              </w:rPr>
              <w:t>Conservation of water catchment areas</w:t>
            </w:r>
            <w:r w:rsidR="00CC75B3">
              <w:rPr>
                <w:sz w:val="20"/>
              </w:rPr>
              <w:t>.</w:t>
            </w:r>
          </w:p>
          <w:p w:rsidR="001363C7" w:rsidRPr="00CC75B3" w:rsidRDefault="001363C7" w:rsidP="00CC75B3">
            <w:pPr>
              <w:spacing w:after="60" w:line="240" w:lineRule="auto"/>
              <w:rPr>
                <w:sz w:val="20"/>
              </w:rPr>
            </w:pPr>
            <w:r w:rsidRPr="00CC75B3">
              <w:rPr>
                <w:sz w:val="20"/>
              </w:rPr>
              <w:t>Improved system of water management</w:t>
            </w:r>
            <w:r w:rsidR="00CC75B3">
              <w:rPr>
                <w:sz w:val="20"/>
              </w:rPr>
              <w:t>.</w:t>
            </w:r>
          </w:p>
          <w:p w:rsidR="001363C7" w:rsidRPr="00CC75B3" w:rsidRDefault="001363C7" w:rsidP="00CC75B3">
            <w:pPr>
              <w:spacing w:after="60" w:line="240" w:lineRule="auto"/>
              <w:rPr>
                <w:sz w:val="20"/>
              </w:rPr>
            </w:pPr>
            <w:r w:rsidRPr="00CC75B3">
              <w:rPr>
                <w:sz w:val="20"/>
              </w:rPr>
              <w:t>Water policy reform including pricing and irrigation policies</w:t>
            </w:r>
            <w:r w:rsidR="00CC75B3">
              <w:rPr>
                <w:sz w:val="20"/>
              </w:rPr>
              <w:t>.</w:t>
            </w:r>
          </w:p>
          <w:p w:rsidR="001363C7" w:rsidRPr="00CC75B3" w:rsidRDefault="001363C7" w:rsidP="00CC75B3">
            <w:pPr>
              <w:spacing w:after="60" w:line="240" w:lineRule="auto"/>
              <w:rPr>
                <w:sz w:val="20"/>
              </w:rPr>
            </w:pPr>
            <w:r w:rsidRPr="00CC75B3">
              <w:rPr>
                <w:sz w:val="20"/>
              </w:rPr>
              <w:t>Development of flood controls and drought monitoring</w:t>
            </w:r>
            <w:r w:rsidR="00CC75B3">
              <w:rPr>
                <w:sz w:val="20"/>
              </w:rPr>
              <w:t>.</w:t>
            </w:r>
          </w:p>
        </w:tc>
      </w:tr>
      <w:tr w:rsidR="001363C7" w:rsidRPr="001363C7" w:rsidTr="0053231E">
        <w:trPr>
          <w:trHeight w:hRule="exact" w:val="2458"/>
        </w:trPr>
        <w:tc>
          <w:tcPr>
            <w:tcW w:w="584" w:type="pct"/>
            <w:shd w:val="clear" w:color="auto" w:fill="auto"/>
            <w:textDirection w:val="btLr"/>
          </w:tcPr>
          <w:p w:rsidR="001363C7" w:rsidRPr="00CC75B3" w:rsidRDefault="001363C7" w:rsidP="001363C7"/>
          <w:p w:rsidR="001363C7" w:rsidRPr="00CC75B3" w:rsidRDefault="001363C7" w:rsidP="001363C7">
            <w:r w:rsidRPr="00CC75B3">
              <w:t>Forestry</w:t>
            </w:r>
          </w:p>
        </w:tc>
        <w:tc>
          <w:tcPr>
            <w:tcW w:w="2109" w:type="pct"/>
          </w:tcPr>
          <w:p w:rsidR="001363C7" w:rsidRPr="00CC75B3" w:rsidRDefault="001363C7" w:rsidP="00CC75B3">
            <w:pPr>
              <w:spacing w:after="60" w:line="240" w:lineRule="auto"/>
              <w:rPr>
                <w:sz w:val="20"/>
              </w:rPr>
            </w:pPr>
            <w:r w:rsidRPr="00CC75B3">
              <w:rPr>
                <w:sz w:val="20"/>
              </w:rPr>
              <w:t>Improvement of management systems including control of deforestation, reforestation, and afforestation</w:t>
            </w:r>
            <w:r w:rsidR="00CC75B3">
              <w:rPr>
                <w:sz w:val="20"/>
              </w:rPr>
              <w:t>.</w:t>
            </w:r>
          </w:p>
          <w:p w:rsidR="001363C7" w:rsidRPr="00CC75B3" w:rsidRDefault="001363C7" w:rsidP="00CC75B3">
            <w:pPr>
              <w:spacing w:after="60" w:line="240" w:lineRule="auto"/>
              <w:rPr>
                <w:sz w:val="20"/>
              </w:rPr>
            </w:pPr>
            <w:r w:rsidRPr="00CC75B3">
              <w:rPr>
                <w:sz w:val="20"/>
              </w:rPr>
              <w:t>Promoting agroforestry to improve forest goods and  services</w:t>
            </w:r>
            <w:r w:rsidR="00CC75B3">
              <w:rPr>
                <w:sz w:val="20"/>
              </w:rPr>
              <w:t>.</w:t>
            </w:r>
          </w:p>
          <w:p w:rsidR="001363C7" w:rsidRPr="00CC75B3" w:rsidRDefault="001363C7" w:rsidP="00CC75B3">
            <w:pPr>
              <w:spacing w:after="60" w:line="240" w:lineRule="auto"/>
              <w:rPr>
                <w:sz w:val="20"/>
              </w:rPr>
            </w:pPr>
            <w:r w:rsidRPr="00CC75B3">
              <w:rPr>
                <w:sz w:val="20"/>
              </w:rPr>
              <w:t>Development/improvement of n</w:t>
            </w:r>
            <w:r w:rsidR="00CC75B3">
              <w:rPr>
                <w:sz w:val="20"/>
              </w:rPr>
              <w:t xml:space="preserve">ational forest fire management </w:t>
            </w:r>
            <w:r w:rsidRPr="00CC75B3">
              <w:rPr>
                <w:sz w:val="20"/>
              </w:rPr>
              <w:t>plans</w:t>
            </w:r>
            <w:r w:rsidR="00CC75B3">
              <w:rPr>
                <w:sz w:val="20"/>
              </w:rPr>
              <w:t>.</w:t>
            </w:r>
          </w:p>
          <w:p w:rsidR="001363C7" w:rsidRPr="00CC75B3" w:rsidRDefault="001363C7" w:rsidP="00CC75B3">
            <w:pPr>
              <w:spacing w:after="60" w:line="240" w:lineRule="auto"/>
              <w:rPr>
                <w:sz w:val="20"/>
              </w:rPr>
            </w:pPr>
            <w:r w:rsidRPr="00CC75B3">
              <w:rPr>
                <w:sz w:val="20"/>
              </w:rPr>
              <w:t>Improvement of carbon storage in forests</w:t>
            </w:r>
            <w:r w:rsidR="00CC75B3">
              <w:rPr>
                <w:sz w:val="20"/>
              </w:rPr>
              <w:t>.</w:t>
            </w:r>
          </w:p>
        </w:tc>
        <w:tc>
          <w:tcPr>
            <w:tcW w:w="2307" w:type="pct"/>
          </w:tcPr>
          <w:p w:rsidR="001363C7" w:rsidRPr="00CC75B3" w:rsidRDefault="001363C7" w:rsidP="00CC75B3">
            <w:pPr>
              <w:spacing w:after="60" w:line="240" w:lineRule="auto"/>
              <w:rPr>
                <w:sz w:val="20"/>
              </w:rPr>
            </w:pPr>
            <w:r w:rsidRPr="00CC75B3">
              <w:rPr>
                <w:sz w:val="20"/>
              </w:rPr>
              <w:t>Creation of parks/reserves, protected areas and biodiversity corridors</w:t>
            </w:r>
            <w:r w:rsidR="00CC75B3">
              <w:rPr>
                <w:sz w:val="20"/>
              </w:rPr>
              <w:t>.</w:t>
            </w:r>
          </w:p>
          <w:p w:rsidR="001363C7" w:rsidRPr="00CC75B3" w:rsidRDefault="001363C7" w:rsidP="00CC75B3">
            <w:pPr>
              <w:spacing w:after="60" w:line="240" w:lineRule="auto"/>
              <w:rPr>
                <w:sz w:val="20"/>
              </w:rPr>
            </w:pPr>
            <w:r w:rsidRPr="00CC75B3">
              <w:rPr>
                <w:sz w:val="20"/>
              </w:rPr>
              <w:t>Identification/development o</w:t>
            </w:r>
            <w:r w:rsidR="00CC75B3">
              <w:rPr>
                <w:sz w:val="20"/>
              </w:rPr>
              <w:t xml:space="preserve">f species resistant to climate </w:t>
            </w:r>
            <w:r w:rsidRPr="00CC75B3">
              <w:rPr>
                <w:sz w:val="20"/>
              </w:rPr>
              <w:t>change</w:t>
            </w:r>
            <w:r w:rsidR="00CC75B3">
              <w:rPr>
                <w:sz w:val="20"/>
              </w:rPr>
              <w:t>.</w:t>
            </w:r>
          </w:p>
          <w:p w:rsidR="001363C7" w:rsidRPr="00CC75B3" w:rsidRDefault="001363C7" w:rsidP="00CC75B3">
            <w:pPr>
              <w:spacing w:after="60" w:line="240" w:lineRule="auto"/>
              <w:rPr>
                <w:sz w:val="20"/>
              </w:rPr>
            </w:pPr>
            <w:r w:rsidRPr="00CC75B3">
              <w:rPr>
                <w:sz w:val="20"/>
              </w:rPr>
              <w:t>Better assessment of the vulnerability of ecosystems</w:t>
            </w:r>
          </w:p>
          <w:p w:rsidR="001363C7" w:rsidRPr="00CC75B3" w:rsidRDefault="001363C7" w:rsidP="00CC75B3">
            <w:pPr>
              <w:spacing w:after="60" w:line="240" w:lineRule="auto"/>
              <w:rPr>
                <w:sz w:val="20"/>
              </w:rPr>
            </w:pPr>
            <w:r w:rsidRPr="00CC75B3">
              <w:rPr>
                <w:sz w:val="20"/>
              </w:rPr>
              <w:t>Monitoring of species</w:t>
            </w:r>
            <w:r w:rsidR="00CC75B3">
              <w:rPr>
                <w:sz w:val="20"/>
              </w:rPr>
              <w:t>.</w:t>
            </w:r>
          </w:p>
          <w:p w:rsidR="001363C7" w:rsidRPr="00CC75B3" w:rsidRDefault="001363C7" w:rsidP="00CC75B3">
            <w:pPr>
              <w:spacing w:after="60" w:line="240" w:lineRule="auto"/>
              <w:rPr>
                <w:sz w:val="20"/>
              </w:rPr>
            </w:pPr>
            <w:r w:rsidRPr="00CC75B3">
              <w:rPr>
                <w:sz w:val="20"/>
              </w:rPr>
              <w:t>Development and maintenance of seed banks</w:t>
            </w:r>
            <w:r w:rsidR="00CC75B3">
              <w:rPr>
                <w:sz w:val="20"/>
              </w:rPr>
              <w:t>.</w:t>
            </w:r>
          </w:p>
          <w:p w:rsidR="001363C7" w:rsidRPr="00CC75B3" w:rsidRDefault="001363C7" w:rsidP="00CC75B3">
            <w:pPr>
              <w:spacing w:after="60" w:line="240" w:lineRule="auto"/>
              <w:rPr>
                <w:sz w:val="20"/>
              </w:rPr>
            </w:pPr>
            <w:r w:rsidRPr="00CC75B3">
              <w:rPr>
                <w:sz w:val="20"/>
              </w:rPr>
              <w:t>Including socio-economic factors in management policy</w:t>
            </w:r>
            <w:r w:rsidR="00CC75B3">
              <w:rPr>
                <w:sz w:val="20"/>
              </w:rPr>
              <w:t>.</w:t>
            </w:r>
          </w:p>
        </w:tc>
      </w:tr>
      <w:tr w:rsidR="001363C7" w:rsidRPr="001363C7" w:rsidTr="0053231E">
        <w:trPr>
          <w:trHeight w:hRule="exact" w:val="1810"/>
        </w:trPr>
        <w:tc>
          <w:tcPr>
            <w:tcW w:w="584" w:type="pct"/>
            <w:shd w:val="clear" w:color="auto" w:fill="auto"/>
            <w:textDirection w:val="btLr"/>
          </w:tcPr>
          <w:p w:rsidR="001363C7" w:rsidRPr="00CC75B3" w:rsidRDefault="001363C7" w:rsidP="001363C7">
            <w:r w:rsidRPr="00CC75B3">
              <w:t>Coastal and Marine Resources</w:t>
            </w:r>
          </w:p>
        </w:tc>
        <w:tc>
          <w:tcPr>
            <w:tcW w:w="2109" w:type="pct"/>
          </w:tcPr>
          <w:p w:rsidR="001363C7" w:rsidRPr="00CC75B3" w:rsidRDefault="001363C7" w:rsidP="00CC75B3">
            <w:pPr>
              <w:spacing w:after="60" w:line="240" w:lineRule="auto"/>
              <w:rPr>
                <w:sz w:val="20"/>
              </w:rPr>
            </w:pPr>
            <w:r w:rsidRPr="00CC75B3">
              <w:rPr>
                <w:sz w:val="20"/>
              </w:rPr>
              <w:t>Protection of economic infrastructure</w:t>
            </w:r>
            <w:r w:rsidR="00CC75B3">
              <w:rPr>
                <w:sz w:val="20"/>
              </w:rPr>
              <w:t>.</w:t>
            </w:r>
          </w:p>
          <w:p w:rsidR="001363C7" w:rsidRPr="00CC75B3" w:rsidRDefault="00C413FE" w:rsidP="00CC75B3">
            <w:pPr>
              <w:spacing w:after="60" w:line="240" w:lineRule="auto"/>
              <w:rPr>
                <w:sz w:val="20"/>
              </w:rPr>
            </w:pPr>
            <w:r>
              <w:rPr>
                <w:sz w:val="20"/>
              </w:rPr>
              <w:t>Public</w:t>
            </w:r>
            <w:r w:rsidR="001363C7" w:rsidRPr="00CC75B3">
              <w:rPr>
                <w:sz w:val="20"/>
              </w:rPr>
              <w:t xml:space="preserve"> awareness to enhance protection of coastal and marine ecosystems</w:t>
            </w:r>
            <w:r w:rsidR="00CC75B3">
              <w:rPr>
                <w:sz w:val="20"/>
              </w:rPr>
              <w:t>.</w:t>
            </w:r>
          </w:p>
          <w:p w:rsidR="001363C7" w:rsidRPr="00CC75B3" w:rsidRDefault="001363C7" w:rsidP="00CC75B3">
            <w:pPr>
              <w:spacing w:after="60" w:line="240" w:lineRule="auto"/>
              <w:rPr>
                <w:sz w:val="20"/>
              </w:rPr>
            </w:pPr>
            <w:r w:rsidRPr="00CC75B3">
              <w:rPr>
                <w:sz w:val="20"/>
              </w:rPr>
              <w:t>Building sea walls and beach reinforcement</w:t>
            </w:r>
            <w:r w:rsidR="00CC75B3">
              <w:rPr>
                <w:sz w:val="20"/>
              </w:rPr>
              <w:t>.</w:t>
            </w:r>
          </w:p>
          <w:p w:rsidR="001363C7" w:rsidRPr="00CC75B3" w:rsidRDefault="001363C7" w:rsidP="00CC75B3">
            <w:pPr>
              <w:spacing w:after="60" w:line="240" w:lineRule="auto"/>
              <w:rPr>
                <w:sz w:val="20"/>
              </w:rPr>
            </w:pPr>
            <w:r w:rsidRPr="00CC75B3">
              <w:rPr>
                <w:sz w:val="20"/>
              </w:rPr>
              <w:t>Protection and conservation of coral reefs, mangroves, sea grass, and littoral vegetation</w:t>
            </w:r>
            <w:r w:rsidR="00CC75B3">
              <w:rPr>
                <w:sz w:val="20"/>
              </w:rPr>
              <w:t>.</w:t>
            </w:r>
          </w:p>
        </w:tc>
        <w:tc>
          <w:tcPr>
            <w:tcW w:w="2307" w:type="pct"/>
          </w:tcPr>
          <w:p w:rsidR="001363C7" w:rsidRPr="00CC75B3" w:rsidRDefault="001363C7" w:rsidP="00CC75B3">
            <w:pPr>
              <w:spacing w:after="60" w:line="240" w:lineRule="auto"/>
              <w:rPr>
                <w:sz w:val="20"/>
              </w:rPr>
            </w:pPr>
            <w:r w:rsidRPr="00CC75B3">
              <w:rPr>
                <w:sz w:val="20"/>
              </w:rPr>
              <w:t>Integrated coastal zone management</w:t>
            </w:r>
            <w:r w:rsidR="00CC75B3">
              <w:rPr>
                <w:sz w:val="20"/>
              </w:rPr>
              <w:t>.</w:t>
            </w:r>
          </w:p>
          <w:p w:rsidR="001363C7" w:rsidRPr="00CC75B3" w:rsidRDefault="001363C7" w:rsidP="00CC75B3">
            <w:pPr>
              <w:spacing w:after="60" w:line="240" w:lineRule="auto"/>
              <w:rPr>
                <w:sz w:val="20"/>
              </w:rPr>
            </w:pPr>
            <w:r w:rsidRPr="00CC75B3">
              <w:rPr>
                <w:sz w:val="20"/>
              </w:rPr>
              <w:t>Better coastal planning and zoning</w:t>
            </w:r>
            <w:r w:rsidR="00CC75B3">
              <w:rPr>
                <w:sz w:val="20"/>
              </w:rPr>
              <w:t>.</w:t>
            </w:r>
          </w:p>
          <w:p w:rsidR="001363C7" w:rsidRPr="00CC75B3" w:rsidRDefault="001363C7" w:rsidP="00CC75B3">
            <w:pPr>
              <w:spacing w:after="60" w:line="240" w:lineRule="auto"/>
              <w:rPr>
                <w:sz w:val="20"/>
              </w:rPr>
            </w:pPr>
            <w:r w:rsidRPr="00CC75B3">
              <w:rPr>
                <w:sz w:val="20"/>
              </w:rPr>
              <w:t>Development of legislation for coastal protection</w:t>
            </w:r>
            <w:r w:rsidR="00CC75B3">
              <w:rPr>
                <w:sz w:val="20"/>
              </w:rPr>
              <w:t>.</w:t>
            </w:r>
          </w:p>
          <w:p w:rsidR="001363C7" w:rsidRPr="00CC75B3" w:rsidRDefault="001363C7" w:rsidP="00CC75B3">
            <w:pPr>
              <w:spacing w:after="60" w:line="240" w:lineRule="auto"/>
              <w:rPr>
                <w:sz w:val="20"/>
              </w:rPr>
            </w:pPr>
            <w:r w:rsidRPr="00CC75B3">
              <w:rPr>
                <w:sz w:val="20"/>
              </w:rPr>
              <w:t>Research and monitoring of coasts and coastal ecosystems</w:t>
            </w:r>
            <w:r w:rsidR="00CC75B3">
              <w:rPr>
                <w:sz w:val="20"/>
              </w:rPr>
              <w:t>.</w:t>
            </w:r>
          </w:p>
        </w:tc>
      </w:tr>
    </w:tbl>
    <w:p w:rsidR="001363C7" w:rsidRPr="004B0A08" w:rsidRDefault="00FE2E9B" w:rsidP="001363C7">
      <w:pPr>
        <w:rPr>
          <w:b/>
          <w:i/>
          <w:sz w:val="20"/>
        </w:rPr>
      </w:pPr>
      <w:r w:rsidRPr="004B0A08">
        <w:rPr>
          <w:b/>
          <w:i/>
          <w:sz w:val="20"/>
        </w:rPr>
        <w:t xml:space="preserve">Source: </w:t>
      </w:r>
      <w:r w:rsidR="001363C7" w:rsidRPr="004B0A08">
        <w:rPr>
          <w:b/>
          <w:i/>
          <w:sz w:val="20"/>
        </w:rPr>
        <w:t>Adapted from UNFCCC (2007).</w:t>
      </w:r>
    </w:p>
    <w:p w:rsidR="00000000" w:rsidRDefault="001363C7" w:rsidP="003D5A31">
      <w:pPr>
        <w:pStyle w:val="BodyText"/>
        <w:numPr>
          <w:ilvl w:val="2"/>
          <w:numId w:val="209"/>
        </w:numPr>
        <w:spacing w:after="240" w:line="276" w:lineRule="auto"/>
        <w:jc w:val="both"/>
        <w:rPr>
          <w:rFonts w:cs="Times New Roman"/>
          <w:b/>
          <w:szCs w:val="24"/>
        </w:rPr>
      </w:pPr>
      <w:r w:rsidRPr="00C6204B">
        <w:rPr>
          <w:rFonts w:cs="Times New Roman"/>
          <w:b/>
          <w:szCs w:val="24"/>
        </w:rPr>
        <w:t>Mitigation in Southeast Asia</w:t>
      </w:r>
    </w:p>
    <w:p w:rsidR="001363C7" w:rsidRPr="001363C7" w:rsidRDefault="00F64A6A" w:rsidP="00974AEB">
      <w:pPr>
        <w:spacing w:line="276" w:lineRule="auto"/>
        <w:jc w:val="both"/>
      </w:pPr>
      <w:r w:rsidRPr="00F64A6A">
        <w:rPr>
          <w:u w:val="single"/>
        </w:rPr>
        <w:t>Southeast Asia contributed 12% of the world’s total greenhouse gas (GHG) emissions in 2000, an increase of 27% over 1990, twice as fast as the global average rate of increase. Emissions from the land use change and forestry (LUCF) sector were 75% of the total, energy 15%, and agriculture 8%. Emissions rose fastest in the energy sector (83% during 1990—2000), while about 59% of total emissions came from Indonesia, largely from LUCF (ADB 2015).</w:t>
      </w:r>
      <w:r w:rsidR="001363C7" w:rsidRPr="001363C7">
        <w:t xml:space="preserve"> The region’s forestry sector holds the key to the success of mitigation efforts, and has great potential to sequester carbon through reduced emissions from deforestation and degradation (REDD), afforestation and reforestation, and forest management.</w:t>
      </w:r>
    </w:p>
    <w:p w:rsidR="001363C7" w:rsidRPr="001363C7" w:rsidRDefault="001363C7" w:rsidP="00974AEB">
      <w:pPr>
        <w:spacing w:line="276" w:lineRule="auto"/>
        <w:jc w:val="both"/>
      </w:pPr>
      <w:r w:rsidRPr="001363C7">
        <w:lastRenderedPageBreak/>
        <w:t>Southeast Asia’s vast area of croplands, through cropland management, could be an important area for sequestering carbon in soils. As a major world rice producer, the region could also contribute to a reduction of methane emissions while ensuring food security. There is a need for more action to support research and development; provide reliable information and high-quality data; allocate more financial resources; and strengthen international and regional cooperation for funding, technological transfer, and capacity building.</w:t>
      </w:r>
    </w:p>
    <w:p w:rsidR="00000000" w:rsidRDefault="001363C7" w:rsidP="003D5A31">
      <w:pPr>
        <w:pStyle w:val="BodyText"/>
        <w:numPr>
          <w:ilvl w:val="2"/>
          <w:numId w:val="209"/>
        </w:numPr>
        <w:spacing w:after="240" w:line="276" w:lineRule="auto"/>
        <w:jc w:val="both"/>
        <w:rPr>
          <w:rFonts w:cs="Times New Roman"/>
          <w:b/>
          <w:szCs w:val="24"/>
        </w:rPr>
      </w:pPr>
      <w:r w:rsidRPr="00C6204B">
        <w:rPr>
          <w:rFonts w:cs="Times New Roman"/>
          <w:b/>
          <w:szCs w:val="24"/>
        </w:rPr>
        <w:t xml:space="preserve">Mitigation Measures in Agriculture Sector </w:t>
      </w:r>
    </w:p>
    <w:p w:rsidR="001363C7" w:rsidRPr="00D4254C" w:rsidRDefault="007F1965" w:rsidP="00974AEB">
      <w:pPr>
        <w:spacing w:line="276" w:lineRule="auto"/>
        <w:jc w:val="both"/>
        <w:rPr>
          <w:u w:val="single"/>
        </w:rPr>
      </w:pPr>
      <w:r w:rsidRPr="007F1965">
        <w:rPr>
          <w:i/>
        </w:rPr>
        <w:t xml:space="preserve">Agroforestry, </w:t>
      </w:r>
      <w:r>
        <w:rPr>
          <w:i/>
        </w:rPr>
        <w:t>s</w:t>
      </w:r>
      <w:r w:rsidRPr="007F1965">
        <w:rPr>
          <w:i/>
        </w:rPr>
        <w:t>et-</w:t>
      </w:r>
      <w:r>
        <w:rPr>
          <w:i/>
        </w:rPr>
        <w:t>a</w:t>
      </w:r>
      <w:r w:rsidRPr="007F1965">
        <w:rPr>
          <w:i/>
        </w:rPr>
        <w:t xml:space="preserve">side, and </w:t>
      </w:r>
      <w:r>
        <w:rPr>
          <w:i/>
        </w:rPr>
        <w:t>l</w:t>
      </w:r>
      <w:r w:rsidRPr="007F1965">
        <w:rPr>
          <w:i/>
        </w:rPr>
        <w:t xml:space="preserve">and </w:t>
      </w:r>
      <w:r>
        <w:rPr>
          <w:i/>
        </w:rPr>
        <w:t>u</w:t>
      </w:r>
      <w:r w:rsidRPr="007F1965">
        <w:rPr>
          <w:i/>
        </w:rPr>
        <w:t xml:space="preserve">se </w:t>
      </w:r>
      <w:r>
        <w:rPr>
          <w:i/>
        </w:rPr>
        <w:t>c</w:t>
      </w:r>
      <w:r w:rsidR="001363C7" w:rsidRPr="004B0A08">
        <w:rPr>
          <w:i/>
        </w:rPr>
        <w:t>hange:</w:t>
      </w:r>
      <w:r w:rsidR="001363C7" w:rsidRPr="001363C7">
        <w:t xml:space="preserve"> This mitigation measure has the potential to sequester carbon by 0.70–3.04 tCO2/ha per year, reduce CH4 emission by 0.02 tCO2-eq/ha per year, and to reduce N2O emissions by 0.02–2.30 tCO2-eq/ha per year. This can be achieved by growing food crops or producing livestock on land that also grows trees for timber, firewood, or other tree products. </w:t>
      </w:r>
      <w:r w:rsidR="00F64A6A" w:rsidRPr="00F64A6A">
        <w:rPr>
          <w:u w:val="single"/>
        </w:rPr>
        <w:t xml:space="preserve">This practice includes planting trees as shelterbelts, riparian zones, and buffer strips. Soil carbon is enhanced by planting trees and other woody species on cropland and grassland. </w:t>
      </w:r>
    </w:p>
    <w:p w:rsidR="001363C7" w:rsidRPr="001363C7" w:rsidRDefault="007F1965" w:rsidP="00974AEB">
      <w:pPr>
        <w:spacing w:line="276" w:lineRule="auto"/>
        <w:jc w:val="both"/>
      </w:pPr>
      <w:r w:rsidRPr="007F1965">
        <w:rPr>
          <w:i/>
        </w:rPr>
        <w:t xml:space="preserve">Grassland </w:t>
      </w:r>
      <w:r>
        <w:rPr>
          <w:i/>
        </w:rPr>
        <w:t>m</w:t>
      </w:r>
      <w:r w:rsidR="001363C7" w:rsidRPr="004B0A08">
        <w:rPr>
          <w:i/>
        </w:rPr>
        <w:t xml:space="preserve">anagement: </w:t>
      </w:r>
      <w:r w:rsidR="001363C7" w:rsidRPr="001363C7">
        <w:t xml:space="preserve"> Grassland management has the potential to sequester carbon by 0.11–1.50 tCO2/ha per year. This can be achieved by controlling grazing intensity through regulation of the animal stocking rate, by enhancing rotational grazing, and by limiting grazing time by season over the year. Increasing pasture productivity through increased above-ground biomass density could also increase carbon storage in grasslands. </w:t>
      </w:r>
    </w:p>
    <w:p w:rsidR="001363C7" w:rsidRPr="001363C7" w:rsidRDefault="001363C7" w:rsidP="00974AEB">
      <w:pPr>
        <w:spacing w:line="276" w:lineRule="auto"/>
        <w:jc w:val="both"/>
      </w:pPr>
      <w:r w:rsidRPr="001363C7">
        <w:t xml:space="preserve">The challenge with this option is the proper regulation of grazing intensity to avoid overgrazing of grassland that could result in even more GHG emissions. With appropriate grazing management, </w:t>
      </w:r>
      <w:r w:rsidR="00F64A6A" w:rsidRPr="00F64A6A">
        <w:rPr>
          <w:u w:val="single"/>
        </w:rPr>
        <w:t>soil quality will be enhanced by the increase in soil carbon.</w:t>
      </w:r>
    </w:p>
    <w:p w:rsidR="001363C7" w:rsidRPr="001363C7" w:rsidRDefault="007F1965" w:rsidP="00974AEB">
      <w:pPr>
        <w:spacing w:line="276" w:lineRule="auto"/>
        <w:jc w:val="both"/>
      </w:pPr>
      <w:r w:rsidRPr="007F1965">
        <w:rPr>
          <w:i/>
        </w:rPr>
        <w:t xml:space="preserve">Peatland </w:t>
      </w:r>
      <w:r>
        <w:rPr>
          <w:i/>
        </w:rPr>
        <w:t>m</w:t>
      </w:r>
      <w:r w:rsidRPr="007F1965">
        <w:rPr>
          <w:i/>
        </w:rPr>
        <w:t xml:space="preserve">anagement and </w:t>
      </w:r>
      <w:r>
        <w:rPr>
          <w:i/>
        </w:rPr>
        <w:t>r</w:t>
      </w:r>
      <w:r w:rsidRPr="007F1965">
        <w:rPr>
          <w:i/>
        </w:rPr>
        <w:t xml:space="preserve">estoration of </w:t>
      </w:r>
      <w:r>
        <w:rPr>
          <w:i/>
        </w:rPr>
        <w:t>o</w:t>
      </w:r>
      <w:r w:rsidRPr="007F1965">
        <w:rPr>
          <w:i/>
        </w:rPr>
        <w:t xml:space="preserve">rganic </w:t>
      </w:r>
      <w:r>
        <w:rPr>
          <w:i/>
        </w:rPr>
        <w:t>s</w:t>
      </w:r>
      <w:r w:rsidR="001363C7" w:rsidRPr="004B0A08">
        <w:rPr>
          <w:i/>
        </w:rPr>
        <w:t>oils:</w:t>
      </w:r>
      <w:r w:rsidR="001363C7" w:rsidRPr="001363C7">
        <w:t xml:space="preserve"> This mitigation practice has the potential to sequester carbon by 7.33–139.33 tCO2/ha per year and reduce N2O emission by 0.05–0.28 tCO2-eq/ ha per year. The sequestration of carbon can be achieved by avoiding the drainage of organic or peaty soils that are known to contain high densities of carbon. Restoring peatland areas or organic soils can reduce the runoff from agricultural fields and settlements. It can also reduce flood damage; stabilize shorelines and river deltas; retard saltwater seepage; recharge aquifers; and improve wildlife, waterfowl, and fish habitat. </w:t>
      </w:r>
    </w:p>
    <w:p w:rsidR="001363C7" w:rsidRPr="001363C7" w:rsidRDefault="001363C7" w:rsidP="00974AEB">
      <w:pPr>
        <w:spacing w:line="276" w:lineRule="auto"/>
        <w:jc w:val="both"/>
      </w:pPr>
      <w:r w:rsidRPr="004B0A08">
        <w:rPr>
          <w:i/>
        </w:rPr>
        <w:t xml:space="preserve">Restoration of </w:t>
      </w:r>
      <w:r w:rsidR="007F1965" w:rsidRPr="004B0A08">
        <w:rPr>
          <w:i/>
        </w:rPr>
        <w:t>degraded l</w:t>
      </w:r>
      <w:r w:rsidRPr="004B0A08">
        <w:rPr>
          <w:i/>
        </w:rPr>
        <w:t>ands:</w:t>
      </w:r>
      <w:r w:rsidRPr="001363C7">
        <w:t xml:space="preserve"> Restoration of degraded lands has the potential to sequester carbon by 3.45 tCO2/ha per year. This can be achieved using practices that reclaim productivity, such as revegetation (that is, planting grasses); improving fertility through nutrient management; use of organic substrates such as manures, biosolids, and composts; tillage management; and retaining crop residues and water management.</w:t>
      </w:r>
    </w:p>
    <w:p w:rsidR="001363C7" w:rsidRPr="001363C7" w:rsidRDefault="001363C7" w:rsidP="00974AEB">
      <w:pPr>
        <w:spacing w:line="276" w:lineRule="auto"/>
        <w:jc w:val="both"/>
      </w:pPr>
      <w:r w:rsidRPr="004B0A08">
        <w:rPr>
          <w:i/>
        </w:rPr>
        <w:lastRenderedPageBreak/>
        <w:t>Bioenergy:</w:t>
      </w:r>
      <w:r w:rsidRPr="001363C7">
        <w:t xml:space="preserve"> This mitigation measure has the potential to sequester carbon by 0.70 tCO2/ha per year, and reduce N2O emission by 0.02 tCO2-eq/ha per year. This can be achieved by using agricultural crops and residues that can be burned directly to produce energy or which can be processed to generate liquid fuels such as ethanol or diesel. </w:t>
      </w:r>
    </w:p>
    <w:p w:rsidR="001363C7" w:rsidRPr="001363C7" w:rsidRDefault="007F1965" w:rsidP="00974AEB">
      <w:pPr>
        <w:spacing w:line="276" w:lineRule="auto"/>
        <w:jc w:val="both"/>
      </w:pPr>
      <w:r w:rsidRPr="007F1965">
        <w:rPr>
          <w:i/>
        </w:rPr>
        <w:t xml:space="preserve">Livestock </w:t>
      </w:r>
      <w:r>
        <w:rPr>
          <w:i/>
        </w:rPr>
        <w:t>m</w:t>
      </w:r>
      <w:r w:rsidR="001363C7" w:rsidRPr="004B0A08">
        <w:rPr>
          <w:i/>
        </w:rPr>
        <w:t>anageme</w:t>
      </w:r>
      <w:r w:rsidRPr="007F1965">
        <w:rPr>
          <w:i/>
        </w:rPr>
        <w:t xml:space="preserve">nt and </w:t>
      </w:r>
      <w:r>
        <w:rPr>
          <w:i/>
        </w:rPr>
        <w:t>m</w:t>
      </w:r>
      <w:r w:rsidRPr="007F1965">
        <w:rPr>
          <w:i/>
        </w:rPr>
        <w:t xml:space="preserve">anure </w:t>
      </w:r>
      <w:r>
        <w:rPr>
          <w:i/>
        </w:rPr>
        <w:t>m</w:t>
      </w:r>
      <w:r w:rsidR="001363C7" w:rsidRPr="004B0A08">
        <w:rPr>
          <w:i/>
        </w:rPr>
        <w:t>anagement:</w:t>
      </w:r>
      <w:r w:rsidR="001363C7" w:rsidRPr="001363C7">
        <w:t xml:space="preserve"> Livestock  management  through  improved  feeding  practices   can reduce  CH4  emissions  from  enteric  fermentation  by  1–22%  for   dairy cattle;  1–14%  for  beef   cattle;   4–10%   for   dairy   buffalo,   and   2–5% for  non-dairy  buffalo. This can be achieved by providing animals with an enriched diet that would lower the enteric methane emissions per output or input unit. Farmers can implement this measure by managing their grain supplementation, using forage from plants containing some natural methanogenic depressors, and using mineral supplements to overcome any possible nutrient deficiencies.</w:t>
      </w:r>
    </w:p>
    <w:p w:rsidR="003D2AF6" w:rsidRPr="00274FB7" w:rsidRDefault="001363C7" w:rsidP="00974AEB">
      <w:pPr>
        <w:spacing w:line="276" w:lineRule="auto"/>
        <w:jc w:val="both"/>
      </w:pPr>
      <w:r w:rsidRPr="001363C7">
        <w:t>Manure management can be achieved by enhancing CH4 production in closed environments (such as biodigestors, covered manure piles, and lagoons) and then collecting and using it as biogas, applying aerobic treatments of manure such as composting, aerobic animal waste treatment systems, or applying manure to s</w:t>
      </w:r>
      <w:r w:rsidR="00274FB7">
        <w:t xml:space="preserve">oil under aerobic conditions.  </w:t>
      </w:r>
    </w:p>
    <w:p w:rsidR="00000000" w:rsidRDefault="001363C7" w:rsidP="003D5A31">
      <w:pPr>
        <w:pStyle w:val="BodyText"/>
        <w:numPr>
          <w:ilvl w:val="2"/>
          <w:numId w:val="209"/>
        </w:numPr>
        <w:spacing w:after="240" w:line="276" w:lineRule="auto"/>
        <w:jc w:val="both"/>
        <w:rPr>
          <w:rFonts w:cs="Times New Roman"/>
          <w:b/>
          <w:szCs w:val="24"/>
        </w:rPr>
      </w:pPr>
      <w:r w:rsidRPr="00C6204B">
        <w:rPr>
          <w:rFonts w:cs="Times New Roman"/>
          <w:b/>
          <w:szCs w:val="24"/>
        </w:rPr>
        <w:t xml:space="preserve">Land Use Change and Forestry </w:t>
      </w:r>
    </w:p>
    <w:p w:rsidR="001363C7" w:rsidRPr="001363C7" w:rsidRDefault="00F64A6A" w:rsidP="00974AEB">
      <w:pPr>
        <w:spacing w:line="276" w:lineRule="auto"/>
        <w:jc w:val="both"/>
      </w:pPr>
      <w:r w:rsidRPr="00F64A6A">
        <w:rPr>
          <w:u w:val="single"/>
        </w:rPr>
        <w:t>Forests cover about 47% of Southeast Asia’s total land area. From the perspective of climate change, the sector has two critical functions: as a source of carbon stock and as a carbon absorber.</w:t>
      </w:r>
      <w:r w:rsidR="001363C7" w:rsidRPr="001363C7">
        <w:t xml:space="preserve"> Mitigation options to reduce GHG emissions or to increase carbon include:</w:t>
      </w:r>
    </w:p>
    <w:p w:rsidR="00000000" w:rsidRDefault="001363C7" w:rsidP="003D5A31">
      <w:pPr>
        <w:pStyle w:val="ListParagraph"/>
        <w:numPr>
          <w:ilvl w:val="0"/>
          <w:numId w:val="221"/>
        </w:numPr>
        <w:spacing w:line="276" w:lineRule="auto"/>
        <w:jc w:val="both"/>
      </w:pPr>
      <w:r w:rsidRPr="001363C7">
        <w:t>maintaining or increasing the forest area through reduced deforestation and degradation and through afforestation and reforestation;</w:t>
      </w:r>
    </w:p>
    <w:p w:rsidR="00000000" w:rsidRDefault="001363C7" w:rsidP="003D5A31">
      <w:pPr>
        <w:pStyle w:val="ListParagraph"/>
        <w:numPr>
          <w:ilvl w:val="0"/>
          <w:numId w:val="221"/>
        </w:numPr>
        <w:spacing w:line="276" w:lineRule="auto"/>
        <w:jc w:val="both"/>
      </w:pPr>
      <w:r w:rsidRPr="001363C7">
        <w:t>maintaining or increasing carbon density (</w:t>
      </w:r>
      <w:r w:rsidR="00FE6385">
        <w:t>tonne</w:t>
      </w:r>
      <w:r w:rsidRPr="001363C7">
        <w:t>s of carbon per hectare) through forest management, fire management, and protection against insects; and</w:t>
      </w:r>
    </w:p>
    <w:p w:rsidR="00000000" w:rsidRDefault="001363C7" w:rsidP="003D5A31">
      <w:pPr>
        <w:pStyle w:val="ListParagraph"/>
        <w:numPr>
          <w:ilvl w:val="0"/>
          <w:numId w:val="221"/>
        </w:numPr>
        <w:spacing w:line="276" w:lineRule="auto"/>
        <w:jc w:val="both"/>
      </w:pPr>
      <w:r w:rsidRPr="001363C7">
        <w:t xml:space="preserve">increasing off-site carbon stocks in wood products and enhancing product and fuel substitution using forest-derived biomass. </w:t>
      </w:r>
    </w:p>
    <w:p w:rsidR="001363C7" w:rsidRPr="001363C7" w:rsidRDefault="001363C7" w:rsidP="00974AEB">
      <w:pPr>
        <w:spacing w:line="276" w:lineRule="auto"/>
        <w:jc w:val="both"/>
      </w:pPr>
      <w:r w:rsidRPr="001363C7">
        <w:t xml:space="preserve">There is great potential to sequester carbon through REDD and through afforestation and reforestation.  The region is projected to have the largest mitigation potential, estimated at 109 GtCO2 at that carbon price, followed by South America, Africa, and Central America. At the country level, the mitigation potential of Indonesia’s forestry sector by 2012 could reach about 2,670 MtCO2 (equivalent to 70% of the country’s total projected emissions in that year). This would increase to 9,200 MtCO2 in 2030 provided the price of carbon is $27.3/tCO2. This could be achieved through aggressive protection of 1.1 million ha of existing forests as well as accelerated forestation covering an additional 30 million ha by 2030. </w:t>
      </w:r>
    </w:p>
    <w:p w:rsidR="001363C7" w:rsidRPr="000207D1" w:rsidRDefault="001363C7" w:rsidP="00974AEB">
      <w:pPr>
        <w:spacing w:line="276" w:lineRule="auto"/>
        <w:jc w:val="both"/>
        <w:rPr>
          <w:u w:val="single"/>
        </w:rPr>
      </w:pPr>
      <w:r w:rsidRPr="001363C7">
        <w:lastRenderedPageBreak/>
        <w:t>Southeast Asian countries have already implemented significant measures to sequester carbon in forests.  Many programs have been implemented in the region primarily to protect forests.</w:t>
      </w:r>
      <w:r w:rsidR="007F1965">
        <w:t xml:space="preserve"> </w:t>
      </w:r>
      <w:r w:rsidRPr="001363C7">
        <w:t>Indonesia has reduced pressure on its forests by introducing permanent agriculture systems to farmers practicing shift cultivation. It has implemented several land and forest rehabilitation programs such as the afforestation of private community lands, and introduction of industrial forest plantations in unproductive forests.</w:t>
      </w:r>
      <w:r w:rsidR="007F1965">
        <w:t xml:space="preserve">  </w:t>
      </w:r>
      <w:r w:rsidRPr="001363C7">
        <w:t xml:space="preserve">Thailand is implementing forest protection and reforestation measures. </w:t>
      </w:r>
      <w:r w:rsidR="00F64A6A" w:rsidRPr="00F64A6A">
        <w:rPr>
          <w:u w:val="single"/>
        </w:rPr>
        <w:t xml:space="preserve">Almost every local administration has tree-growing projects for combating climate change. In 1998, the Viet Nam National Assembly adopted an ambitious 5 Million Hectare Reforestation Program (5MHRP) that aims to establish and restore 2 million ha of protection forests and 3 million ha of production forests, and to increase the total forest cover to 43% of the country by 2010, while ensuring environmental protection requirements are met. </w:t>
      </w:r>
    </w:p>
    <w:p w:rsidR="001363C7" w:rsidRPr="001363C7" w:rsidRDefault="001363C7" w:rsidP="00974AEB">
      <w:pPr>
        <w:spacing w:line="276" w:lineRule="auto"/>
        <w:jc w:val="both"/>
      </w:pPr>
      <w:r w:rsidRPr="001363C7">
        <w:t>Afforestation and reforestation will improve the quality of the environment, soil erosion and soil degradation will be reduced, and water quality and quantity will be enhanced.</w:t>
      </w:r>
    </w:p>
    <w:p w:rsidR="00000000" w:rsidRDefault="001363C7" w:rsidP="003D5A31">
      <w:pPr>
        <w:pStyle w:val="BodyText"/>
        <w:numPr>
          <w:ilvl w:val="2"/>
          <w:numId w:val="209"/>
        </w:numPr>
        <w:spacing w:after="240" w:line="276" w:lineRule="auto"/>
        <w:jc w:val="both"/>
        <w:rPr>
          <w:rFonts w:cs="Times New Roman"/>
          <w:b/>
          <w:szCs w:val="24"/>
        </w:rPr>
      </w:pPr>
      <w:r w:rsidRPr="00C6204B">
        <w:rPr>
          <w:rFonts w:cs="Times New Roman"/>
          <w:b/>
          <w:szCs w:val="24"/>
        </w:rPr>
        <w:t xml:space="preserve">Lessons from India’s Climate Change Strategy for Sustainable Agriculture </w:t>
      </w:r>
    </w:p>
    <w:p w:rsidR="001363C7" w:rsidRPr="001363C7" w:rsidRDefault="001363C7" w:rsidP="00974AEB">
      <w:pPr>
        <w:spacing w:line="276" w:lineRule="auto"/>
        <w:jc w:val="both"/>
      </w:pPr>
      <w:r w:rsidRPr="001363C7">
        <w:t xml:space="preserve">Being in the neighborhood and an upper riparian country for Bangladesh’s major river system, India’s approach and strategies for addressing climate change impacts overall, and particularly those related to agriculture, have important lessons for Bangladesh. The main thrust of India’s strategy is to transform agriculture into an ecologically sustainable climate resilient production system while exploiting its fullest potential and thereby ensuring food security, equitable access to food resources, enhancing livelihood opportunities and contributing to economic stability. It would identify and develop new varieties of crops and especially thermal resistant crops and alternative cropping patterns, capable of withstanding extremes of weather, long dry spells, flooding, and variable moisture availability. All of these strategies are relevant for Bangladesh agriculture in the context of climate change. </w:t>
      </w:r>
    </w:p>
    <w:p w:rsidR="001363C7" w:rsidRPr="001363C7" w:rsidRDefault="001363C7" w:rsidP="00974AEB">
      <w:pPr>
        <w:spacing w:line="276" w:lineRule="auto"/>
        <w:jc w:val="both"/>
      </w:pPr>
      <w:r w:rsidRPr="001363C7">
        <w:t>National adaptation and mitigation mission for agriculture: Agriculture is vital to India's economy and the livelihood of majority of its people. The national mission will focus on four areas crucial to agriculture, namely dryland agriculture, risk management, access to information, and use of biotechnology.</w:t>
      </w:r>
    </w:p>
    <w:p w:rsidR="001363C7" w:rsidRPr="004B0A08" w:rsidRDefault="00125F2F" w:rsidP="00274FB7">
      <w:pPr>
        <w:spacing w:line="276" w:lineRule="auto"/>
        <w:jc w:val="both"/>
        <w:rPr>
          <w:b/>
          <w:i/>
        </w:rPr>
      </w:pPr>
      <w:r w:rsidRPr="00125F2F">
        <w:rPr>
          <w:b/>
          <w:i/>
        </w:rPr>
        <w:t xml:space="preserve">Dryland </w:t>
      </w:r>
      <w:r>
        <w:rPr>
          <w:b/>
          <w:i/>
        </w:rPr>
        <w:t>a</w:t>
      </w:r>
      <w:r w:rsidR="001363C7" w:rsidRPr="004B0A08">
        <w:rPr>
          <w:b/>
          <w:i/>
        </w:rPr>
        <w:t>griculture</w:t>
      </w:r>
    </w:p>
    <w:p w:rsidR="00000000" w:rsidRDefault="001363C7" w:rsidP="003D5A31">
      <w:pPr>
        <w:pStyle w:val="ListParagraph"/>
        <w:numPr>
          <w:ilvl w:val="0"/>
          <w:numId w:val="215"/>
        </w:numPr>
        <w:spacing w:line="276" w:lineRule="auto"/>
        <w:jc w:val="both"/>
      </w:pPr>
      <w:r w:rsidRPr="001363C7">
        <w:t>Development of drought- and pest-resistant crop varieties</w:t>
      </w:r>
    </w:p>
    <w:p w:rsidR="00000000" w:rsidRDefault="001363C7" w:rsidP="003D5A31">
      <w:pPr>
        <w:pStyle w:val="ListParagraph"/>
        <w:numPr>
          <w:ilvl w:val="0"/>
          <w:numId w:val="215"/>
        </w:numPr>
        <w:spacing w:line="276" w:lineRule="auto"/>
        <w:jc w:val="both"/>
      </w:pPr>
      <w:r w:rsidRPr="001363C7">
        <w:t>Improving methods to conserve soil and water</w:t>
      </w:r>
    </w:p>
    <w:p w:rsidR="00000000" w:rsidRDefault="001363C7" w:rsidP="003D5A31">
      <w:pPr>
        <w:pStyle w:val="ListParagraph"/>
        <w:numPr>
          <w:ilvl w:val="0"/>
          <w:numId w:val="215"/>
        </w:numPr>
        <w:spacing w:line="276" w:lineRule="auto"/>
        <w:jc w:val="both"/>
      </w:pPr>
      <w:r w:rsidRPr="001363C7">
        <w:t>Stakeholder consultations, training workshops and demonstration exercises for farming communities, for agro-climatic information sharing and dissemination</w:t>
      </w:r>
    </w:p>
    <w:p w:rsidR="00000000" w:rsidRDefault="001363C7" w:rsidP="003D5A31">
      <w:pPr>
        <w:pStyle w:val="ListParagraph"/>
        <w:numPr>
          <w:ilvl w:val="0"/>
          <w:numId w:val="215"/>
        </w:numPr>
        <w:spacing w:line="276" w:lineRule="auto"/>
        <w:jc w:val="both"/>
      </w:pPr>
      <w:r w:rsidRPr="001363C7">
        <w:t xml:space="preserve">Financial support to enable farmers to invest in and adopt relevant technologies to overcome climate related stresses </w:t>
      </w:r>
    </w:p>
    <w:p w:rsidR="001363C7" w:rsidRPr="004B0A08" w:rsidRDefault="00125F2F" w:rsidP="00274FB7">
      <w:pPr>
        <w:spacing w:line="276" w:lineRule="auto"/>
        <w:jc w:val="both"/>
        <w:rPr>
          <w:b/>
          <w:i/>
        </w:rPr>
      </w:pPr>
      <w:r w:rsidRPr="00125F2F">
        <w:rPr>
          <w:b/>
          <w:i/>
        </w:rPr>
        <w:lastRenderedPageBreak/>
        <w:t xml:space="preserve">Risk </w:t>
      </w:r>
      <w:r>
        <w:rPr>
          <w:b/>
          <w:i/>
        </w:rPr>
        <w:t>m</w:t>
      </w:r>
      <w:r w:rsidR="001363C7" w:rsidRPr="004B0A08">
        <w:rPr>
          <w:b/>
          <w:i/>
        </w:rPr>
        <w:t>anagement</w:t>
      </w:r>
    </w:p>
    <w:p w:rsidR="00000000" w:rsidRDefault="001363C7" w:rsidP="003D5A31">
      <w:pPr>
        <w:pStyle w:val="ListParagraph"/>
        <w:numPr>
          <w:ilvl w:val="0"/>
          <w:numId w:val="216"/>
        </w:numPr>
        <w:spacing w:line="276" w:lineRule="auto"/>
        <w:jc w:val="both"/>
      </w:pPr>
      <w:r w:rsidRPr="001363C7">
        <w:t>Strengthening of current agricultural and weather insurance mechanisms</w:t>
      </w:r>
    </w:p>
    <w:p w:rsidR="00000000" w:rsidRDefault="001363C7" w:rsidP="003D5A31">
      <w:pPr>
        <w:pStyle w:val="ListParagraph"/>
        <w:numPr>
          <w:ilvl w:val="0"/>
          <w:numId w:val="216"/>
        </w:numPr>
        <w:spacing w:line="276" w:lineRule="auto"/>
        <w:jc w:val="both"/>
      </w:pPr>
      <w:r w:rsidRPr="001363C7">
        <w:t>Development and validation of weather derivative models (by insurance providers ensuring their access to archival and current weather data)</w:t>
      </w:r>
    </w:p>
    <w:p w:rsidR="00000000" w:rsidRDefault="001363C7" w:rsidP="003D5A31">
      <w:pPr>
        <w:pStyle w:val="ListParagraph"/>
        <w:numPr>
          <w:ilvl w:val="0"/>
          <w:numId w:val="216"/>
        </w:numPr>
        <w:spacing w:line="276" w:lineRule="auto"/>
        <w:jc w:val="both"/>
      </w:pPr>
      <w:r w:rsidRPr="001363C7">
        <w:t>Creation of web-enabled, regional language based services for facilitation of weather-based insurance</w:t>
      </w:r>
    </w:p>
    <w:p w:rsidR="00000000" w:rsidRDefault="001363C7" w:rsidP="003D5A31">
      <w:pPr>
        <w:pStyle w:val="ListParagraph"/>
        <w:numPr>
          <w:ilvl w:val="0"/>
          <w:numId w:val="216"/>
        </w:numPr>
        <w:spacing w:line="276" w:lineRule="auto"/>
        <w:jc w:val="both"/>
      </w:pPr>
      <w:r w:rsidRPr="001363C7">
        <w:t>Development of GIS and remote-sensing methodologies for detailed soil resource mapping and land use planning at the level of a watershed or a river basin.</w:t>
      </w:r>
    </w:p>
    <w:p w:rsidR="00000000" w:rsidRDefault="001363C7" w:rsidP="003D5A31">
      <w:pPr>
        <w:pStyle w:val="ListParagraph"/>
        <w:numPr>
          <w:ilvl w:val="0"/>
          <w:numId w:val="216"/>
        </w:numPr>
        <w:spacing w:line="276" w:lineRule="auto"/>
        <w:jc w:val="both"/>
      </w:pPr>
      <w:r w:rsidRPr="001363C7">
        <w:t xml:space="preserve">Mapping vulnerable eco-regions and pest and disease hotspots. </w:t>
      </w:r>
    </w:p>
    <w:p w:rsidR="001363C7" w:rsidRPr="004B0A08" w:rsidRDefault="001363C7" w:rsidP="00274FB7">
      <w:pPr>
        <w:spacing w:line="276" w:lineRule="auto"/>
        <w:jc w:val="both"/>
        <w:rPr>
          <w:b/>
          <w:i/>
        </w:rPr>
      </w:pPr>
      <w:r w:rsidRPr="004B0A08">
        <w:rPr>
          <w:b/>
          <w:i/>
        </w:rPr>
        <w:t>Access to information</w:t>
      </w:r>
    </w:p>
    <w:p w:rsidR="00000000" w:rsidRDefault="001363C7" w:rsidP="003D5A31">
      <w:pPr>
        <w:pStyle w:val="ListParagraph"/>
        <w:numPr>
          <w:ilvl w:val="0"/>
          <w:numId w:val="217"/>
        </w:numPr>
        <w:spacing w:line="276" w:lineRule="auto"/>
        <w:jc w:val="both"/>
      </w:pPr>
      <w:r w:rsidRPr="001363C7">
        <w:t xml:space="preserve">Development of regional databases of soil, weather, genotypes, land-use patterns and water resources. </w:t>
      </w:r>
    </w:p>
    <w:p w:rsidR="00000000" w:rsidRDefault="001363C7" w:rsidP="003D5A31">
      <w:pPr>
        <w:pStyle w:val="ListParagraph"/>
        <w:numPr>
          <w:ilvl w:val="0"/>
          <w:numId w:val="217"/>
        </w:numPr>
        <w:spacing w:line="276" w:lineRule="auto"/>
        <w:jc w:val="both"/>
      </w:pPr>
      <w:r w:rsidRPr="001363C7">
        <w:t>Monitoring of glacier and ice-mass on water resources, soil erosion, and associated impacts on agricultural production in mountainous regions</w:t>
      </w:r>
    </w:p>
    <w:p w:rsidR="00000000" w:rsidRDefault="001363C7" w:rsidP="003D5A31">
      <w:pPr>
        <w:pStyle w:val="ListParagraph"/>
        <w:numPr>
          <w:ilvl w:val="0"/>
          <w:numId w:val="217"/>
        </w:numPr>
        <w:spacing w:line="276" w:lineRule="auto"/>
        <w:jc w:val="both"/>
      </w:pPr>
      <w:r w:rsidRPr="001363C7">
        <w:t>Providing information on off-season crops, aromatic and medicinal plants, greenhouse crops, pasture development, agro-forestry, livestock and agro-processing.</w:t>
      </w:r>
    </w:p>
    <w:p w:rsidR="00000000" w:rsidRDefault="001363C7" w:rsidP="003D5A31">
      <w:pPr>
        <w:pStyle w:val="ListParagraph"/>
        <w:numPr>
          <w:ilvl w:val="0"/>
          <w:numId w:val="217"/>
        </w:numPr>
        <w:spacing w:line="276" w:lineRule="auto"/>
        <w:jc w:val="both"/>
      </w:pPr>
      <w:r w:rsidRPr="001363C7">
        <w:t>Collation and dissemination of block-level data on agro-climatic variables, land-use, and socio-economic features and preparation of state-level agro-climatic atlases.</w:t>
      </w:r>
    </w:p>
    <w:p w:rsidR="001363C7" w:rsidRPr="004B0A08" w:rsidRDefault="007F1965" w:rsidP="00274FB7">
      <w:pPr>
        <w:spacing w:line="276" w:lineRule="auto"/>
        <w:jc w:val="both"/>
        <w:rPr>
          <w:b/>
          <w:i/>
        </w:rPr>
      </w:pPr>
      <w:r w:rsidRPr="007F1965">
        <w:rPr>
          <w:b/>
          <w:i/>
        </w:rPr>
        <w:t xml:space="preserve">Use of </w:t>
      </w:r>
      <w:r>
        <w:rPr>
          <w:b/>
          <w:i/>
        </w:rPr>
        <w:t>b</w:t>
      </w:r>
      <w:r w:rsidR="001363C7" w:rsidRPr="004B0A08">
        <w:rPr>
          <w:b/>
          <w:i/>
        </w:rPr>
        <w:t xml:space="preserve">iotechnology </w:t>
      </w:r>
    </w:p>
    <w:p w:rsidR="00000000" w:rsidRDefault="001363C7" w:rsidP="003D5A31">
      <w:pPr>
        <w:pStyle w:val="ListParagraph"/>
        <w:numPr>
          <w:ilvl w:val="0"/>
          <w:numId w:val="218"/>
        </w:numPr>
        <w:spacing w:line="276" w:lineRule="auto"/>
        <w:jc w:val="both"/>
      </w:pPr>
      <w:r w:rsidRPr="001363C7">
        <w:t xml:space="preserve">Use of genetic engineering to convert C-3 crops to the more carbon responsive C-4 crops to achieve greater photosynthetic efficiency </w:t>
      </w:r>
    </w:p>
    <w:p w:rsidR="00000000" w:rsidRDefault="001363C7" w:rsidP="003D5A31">
      <w:pPr>
        <w:pStyle w:val="ListParagraph"/>
        <w:numPr>
          <w:ilvl w:val="0"/>
          <w:numId w:val="218"/>
        </w:numPr>
        <w:spacing w:line="276" w:lineRule="auto"/>
        <w:jc w:val="both"/>
      </w:pPr>
      <w:r w:rsidRPr="001363C7">
        <w:t>Development of crops with better water and nitrogen use efficiency which may result in reduced emissions of greenhouse gases or greater tolerance</w:t>
      </w:r>
    </w:p>
    <w:p w:rsidR="00000000" w:rsidRDefault="001363C7" w:rsidP="003D5A31">
      <w:pPr>
        <w:pStyle w:val="ListParagraph"/>
        <w:numPr>
          <w:ilvl w:val="0"/>
          <w:numId w:val="218"/>
        </w:numPr>
        <w:spacing w:line="276" w:lineRule="auto"/>
        <w:jc w:val="both"/>
      </w:pPr>
      <w:r w:rsidRPr="001363C7">
        <w:t>Development of nutritional strategies for managing heat stress in diary animals to prevent nutrient deficiencies leading to low milk yield and productivity</w:t>
      </w:r>
    </w:p>
    <w:p w:rsidR="00A84D7D" w:rsidRDefault="001363C7" w:rsidP="004B0A08">
      <w:pPr>
        <w:jc w:val="both"/>
      </w:pPr>
      <w:r w:rsidRPr="004B0A08">
        <w:rPr>
          <w:b/>
          <w:i/>
        </w:rPr>
        <w:t>National adaptation and mitigation mission for water</w:t>
      </w:r>
      <w:r w:rsidRPr="001363C7">
        <w:t xml:space="preserve">: </w:t>
      </w:r>
    </w:p>
    <w:p w:rsidR="00000000" w:rsidRDefault="001363C7" w:rsidP="003D5A31">
      <w:pPr>
        <w:pStyle w:val="ListParagraph"/>
        <w:numPr>
          <w:ilvl w:val="0"/>
          <w:numId w:val="219"/>
        </w:numPr>
        <w:spacing w:line="276" w:lineRule="auto"/>
        <w:jc w:val="both"/>
      </w:pPr>
      <w:r w:rsidRPr="001363C7">
        <w:t xml:space="preserve">The mission is to conserve water, minimize wastage and ensure equitable distribution both across and within states through integrated water resources development and management: </w:t>
      </w:r>
    </w:p>
    <w:p w:rsidR="00000000" w:rsidRDefault="001363C7" w:rsidP="003D5A31">
      <w:pPr>
        <w:pStyle w:val="ListParagraph"/>
        <w:numPr>
          <w:ilvl w:val="0"/>
          <w:numId w:val="219"/>
        </w:numPr>
        <w:spacing w:line="276" w:lineRule="auto"/>
        <w:jc w:val="both"/>
      </w:pPr>
      <w:r w:rsidRPr="001363C7">
        <w:t xml:space="preserve">Development of comprehensive water database in </w:t>
      </w:r>
      <w:r w:rsidR="00C413FE">
        <w:t>public</w:t>
      </w:r>
      <w:r w:rsidRPr="001363C7">
        <w:t xml:space="preserve"> domain and assessment of impact of climate change on water resources</w:t>
      </w:r>
    </w:p>
    <w:p w:rsidR="00000000" w:rsidRDefault="001363C7" w:rsidP="003D5A31">
      <w:pPr>
        <w:pStyle w:val="ListParagraph"/>
        <w:numPr>
          <w:ilvl w:val="0"/>
          <w:numId w:val="219"/>
        </w:numPr>
        <w:spacing w:line="276" w:lineRule="auto"/>
        <w:jc w:val="both"/>
      </w:pPr>
      <w:r w:rsidRPr="001363C7">
        <w:t>Promotion of citizen and state actions for water conservation, augmentation and preservation</w:t>
      </w:r>
    </w:p>
    <w:p w:rsidR="00000000" w:rsidRDefault="001363C7" w:rsidP="003D5A31">
      <w:pPr>
        <w:pStyle w:val="ListParagraph"/>
        <w:numPr>
          <w:ilvl w:val="0"/>
          <w:numId w:val="219"/>
        </w:numPr>
        <w:spacing w:line="276" w:lineRule="auto"/>
        <w:jc w:val="both"/>
      </w:pPr>
      <w:r w:rsidRPr="001363C7">
        <w:t>Focused attention to vulnerable areas including over-exploited areas</w:t>
      </w:r>
    </w:p>
    <w:p w:rsidR="00000000" w:rsidRDefault="001363C7" w:rsidP="003D5A31">
      <w:pPr>
        <w:pStyle w:val="ListParagraph"/>
        <w:numPr>
          <w:ilvl w:val="0"/>
          <w:numId w:val="219"/>
        </w:numPr>
        <w:spacing w:line="276" w:lineRule="auto"/>
        <w:jc w:val="both"/>
      </w:pPr>
      <w:r w:rsidRPr="001363C7">
        <w:lastRenderedPageBreak/>
        <w:t>Increase water use efficiency by 20%</w:t>
      </w:r>
    </w:p>
    <w:p w:rsidR="00000000" w:rsidRDefault="001363C7" w:rsidP="003D5A31">
      <w:pPr>
        <w:pStyle w:val="ListParagraph"/>
        <w:numPr>
          <w:ilvl w:val="0"/>
          <w:numId w:val="219"/>
        </w:numPr>
        <w:spacing w:line="276" w:lineRule="auto"/>
        <w:jc w:val="both"/>
      </w:pPr>
      <w:r w:rsidRPr="001363C7">
        <w:t>Promotion of basin level integrated water resources management</w:t>
      </w:r>
    </w:p>
    <w:p w:rsidR="00A84D7D" w:rsidRPr="004B0A08" w:rsidRDefault="001363C7" w:rsidP="00274FB7">
      <w:pPr>
        <w:spacing w:line="276" w:lineRule="auto"/>
        <w:jc w:val="both"/>
        <w:rPr>
          <w:b/>
          <w:i/>
        </w:rPr>
      </w:pPr>
      <w:r w:rsidRPr="004B0A08">
        <w:rPr>
          <w:b/>
          <w:i/>
        </w:rPr>
        <w:t xml:space="preserve">National adaptation and mitigation mission for “Green India”: </w:t>
      </w:r>
    </w:p>
    <w:p w:rsidR="001363C7" w:rsidRPr="001363C7" w:rsidRDefault="001363C7" w:rsidP="00274FB7">
      <w:pPr>
        <w:spacing w:line="276" w:lineRule="auto"/>
        <w:jc w:val="both"/>
      </w:pPr>
      <w:r w:rsidRPr="001363C7">
        <w:t xml:space="preserve">Forests meet nearly 40% of the energy needs of the country, and over 80% of those in rural areas, and are the backbone of forest-based communities in terms of livelihood and sustenance. The mission is to enhance carbon sinks in sustainably managed forests and other ecosystems, adaptation of vulnerable species/ecosystems, and adaptation of forest-dependent communities: </w:t>
      </w:r>
    </w:p>
    <w:p w:rsidR="00000000" w:rsidRDefault="001363C7" w:rsidP="003D5A31">
      <w:pPr>
        <w:pStyle w:val="ListParagraph"/>
        <w:numPr>
          <w:ilvl w:val="0"/>
          <w:numId w:val="220"/>
        </w:numPr>
        <w:spacing w:line="276" w:lineRule="auto"/>
        <w:jc w:val="both"/>
      </w:pPr>
      <w:r w:rsidRPr="001363C7">
        <w:t>Increase forest/tree cover on 5 million hectares of forest/non-forest lands and improve quality of forest cover on another 5 million hectares.</w:t>
      </w:r>
    </w:p>
    <w:p w:rsidR="00000000" w:rsidRDefault="001363C7" w:rsidP="003D5A31">
      <w:pPr>
        <w:pStyle w:val="ListParagraph"/>
        <w:numPr>
          <w:ilvl w:val="0"/>
          <w:numId w:val="220"/>
        </w:numPr>
        <w:spacing w:line="276" w:lineRule="auto"/>
        <w:jc w:val="both"/>
      </w:pPr>
      <w:r w:rsidRPr="001363C7">
        <w:t>Improve ecosystem services including biodiversity, hydrological services and carbon sequestration through treatment of an area of 10 million hectares.</w:t>
      </w:r>
    </w:p>
    <w:p w:rsidR="00000000" w:rsidRDefault="001363C7" w:rsidP="003D5A31">
      <w:pPr>
        <w:pStyle w:val="ListParagraph"/>
        <w:numPr>
          <w:ilvl w:val="0"/>
          <w:numId w:val="220"/>
        </w:numPr>
        <w:spacing w:line="276" w:lineRule="auto"/>
        <w:jc w:val="both"/>
      </w:pPr>
      <w:r w:rsidRPr="001363C7">
        <w:t>Increase forest-based livelihood income of about 3 million households living in and around the forests.</w:t>
      </w:r>
    </w:p>
    <w:p w:rsidR="00000000" w:rsidRDefault="001363C7" w:rsidP="003D5A31">
      <w:pPr>
        <w:pStyle w:val="ListParagraph"/>
        <w:numPr>
          <w:ilvl w:val="0"/>
          <w:numId w:val="220"/>
        </w:numPr>
        <w:spacing w:line="276" w:lineRule="auto"/>
        <w:jc w:val="both"/>
      </w:pPr>
      <w:r w:rsidRPr="001363C7">
        <w:t xml:space="preserve">Enhance annual CO2 sequestration by 50 to 60 million </w:t>
      </w:r>
      <w:r w:rsidR="00FE6385">
        <w:t>tonn</w:t>
      </w:r>
      <w:r w:rsidRPr="001363C7">
        <w:t>es in the year 2020</w:t>
      </w:r>
    </w:p>
    <w:p w:rsidR="001363C7" w:rsidRPr="00125F2F" w:rsidRDefault="001363C7" w:rsidP="00274FB7">
      <w:pPr>
        <w:spacing w:line="276" w:lineRule="auto"/>
        <w:jc w:val="both"/>
      </w:pPr>
      <w:r w:rsidRPr="001363C7">
        <w:t>India’s National Bank for Agriculture and Rural Development (NABARD) has been accredited as a National Implementing Entity (NIE) for the Green Climate Fund (GCF) established under the United Nations Framework Convention on Climate Change (UNFCCC). At present, NABARD is the only NIE in the Asia-Pacific Region. In its capacity as NIE, NABARD has generated several feasible projects on climate change adaptation in diverse agro-climatic regions and livelihood sectors, five of which have been submitted as proposals amounting to $7.7 million. Over 28% of NABARD’s cumulative disbursements have links with climate change adaptation and mitigation. The experience gained by NABARD as NIE has enabled the institution to adopt processes and procedures that are followed internationally in the development, review and sanctioning of projects. NABARD is developing a pipeline of feasible projects that will help communities in India take measures to adapt to the impacts of climate change.</w:t>
      </w:r>
    </w:p>
    <w:p w:rsidR="00F64A6A" w:rsidRDefault="00630139" w:rsidP="00F64A6A">
      <w:pPr>
        <w:pStyle w:val="Heading2"/>
      </w:pPr>
      <w:bookmarkStart w:id="600" w:name="_Toc474638903"/>
      <w:r w:rsidRPr="00F477F4">
        <w:t>Adaptation and Mitigation Measures in Bangladesh Agriculture and Food</w:t>
      </w:r>
      <w:r w:rsidR="00125F2F">
        <w:t xml:space="preserve"> S</w:t>
      </w:r>
      <w:r w:rsidRPr="00F477F4">
        <w:t>ecurity</w:t>
      </w:r>
      <w:bookmarkEnd w:id="600"/>
    </w:p>
    <w:p w:rsidR="00630139" w:rsidRPr="009B2B90" w:rsidRDefault="00630139" w:rsidP="00274FB7">
      <w:pPr>
        <w:autoSpaceDE w:val="0"/>
        <w:autoSpaceDN w:val="0"/>
        <w:adjustRightInd w:val="0"/>
        <w:spacing w:line="276" w:lineRule="auto"/>
        <w:jc w:val="both"/>
        <w:rPr>
          <w:rFonts w:cs="Times New Roman"/>
          <w:color w:val="000000" w:themeColor="text1"/>
          <w:szCs w:val="24"/>
        </w:rPr>
      </w:pPr>
      <w:r w:rsidRPr="009B2B90">
        <w:rPr>
          <w:rFonts w:cs="Times New Roman"/>
          <w:bCs/>
          <w:iCs/>
          <w:color w:val="000000" w:themeColor="text1"/>
          <w:szCs w:val="24"/>
        </w:rPr>
        <w:t xml:space="preserve">Adaptation and mitigation are the two strategic policy options available in Bangladesh agriculture: </w:t>
      </w:r>
      <w:r w:rsidRPr="009B2B90">
        <w:rPr>
          <w:rFonts w:cs="Times New Roman"/>
          <w:color w:val="000000" w:themeColor="text1"/>
          <w:szCs w:val="24"/>
        </w:rPr>
        <w:t xml:space="preserve">Adaptation to climate change involves taking steps to build resilience and minimize costs. This is essential because it is no longer possible to prevent the climate change that will take place over the next two to three decades, but it is still possible to protect Bangladesh agriculture from its impacts to some extent – for example, by providing better information, improved land and water management, and adopting more climate-resilient crops. Among others, it calls for substantial research into new crop varieties that will be more resilient to drought and flood. </w:t>
      </w:r>
    </w:p>
    <w:p w:rsidR="00630139" w:rsidRPr="009B2B90" w:rsidRDefault="00630139" w:rsidP="00274FB7">
      <w:pPr>
        <w:autoSpaceDE w:val="0"/>
        <w:autoSpaceDN w:val="0"/>
        <w:adjustRightInd w:val="0"/>
        <w:spacing w:line="276" w:lineRule="auto"/>
        <w:jc w:val="both"/>
        <w:rPr>
          <w:rFonts w:cs="Times New Roman"/>
          <w:color w:val="000000" w:themeColor="text1"/>
          <w:szCs w:val="24"/>
        </w:rPr>
      </w:pPr>
      <w:r w:rsidRPr="009B2B90">
        <w:rPr>
          <w:rFonts w:cs="Times New Roman"/>
          <w:color w:val="000000" w:themeColor="text1"/>
          <w:szCs w:val="24"/>
        </w:rPr>
        <w:lastRenderedPageBreak/>
        <w:t xml:space="preserve">Bangladesh has experienced indiscriminate deforestation in the recent past. </w:t>
      </w:r>
      <w:r w:rsidRPr="009B2B90">
        <w:rPr>
          <w:rFonts w:cs="Times New Roman"/>
          <w:iCs/>
          <w:color w:val="000000" w:themeColor="text1"/>
          <w:szCs w:val="24"/>
        </w:rPr>
        <w:t xml:space="preserve">Action to reduce deforestation is another critical adaptation strategy. </w:t>
      </w:r>
      <w:r w:rsidR="00F64A6A" w:rsidRPr="00F64A6A">
        <w:rPr>
          <w:rFonts w:cs="Times New Roman"/>
          <w:iCs/>
          <w:color w:val="000000" w:themeColor="text1"/>
          <w:szCs w:val="24"/>
          <w:u w:val="single"/>
        </w:rPr>
        <w:t>It has been estimated that t</w:t>
      </w:r>
      <w:r w:rsidR="00F64A6A" w:rsidRPr="00F64A6A">
        <w:rPr>
          <w:rFonts w:cs="Times New Roman"/>
          <w:color w:val="000000" w:themeColor="text1"/>
          <w:szCs w:val="24"/>
          <w:u w:val="single"/>
        </w:rPr>
        <w:t>he loss of natural forests around the world contributes more to global emissions each year than the transport sector. Curbing deforestation is a highly cost-effective way to reduce emissions.</w:t>
      </w:r>
      <w:r w:rsidRPr="009B2B90">
        <w:rPr>
          <w:rFonts w:cs="Times New Roman"/>
          <w:color w:val="000000" w:themeColor="text1"/>
          <w:szCs w:val="24"/>
        </w:rPr>
        <w:t xml:space="preserve"> A major challenge awaits Bangladesh in curbing further deforestation thus making its own contribution to reducing local and global emissions. </w:t>
      </w:r>
    </w:p>
    <w:p w:rsidR="00630139" w:rsidRPr="009B2B90" w:rsidRDefault="00630139" w:rsidP="00274FB7">
      <w:pPr>
        <w:autoSpaceDE w:val="0"/>
        <w:autoSpaceDN w:val="0"/>
        <w:adjustRightInd w:val="0"/>
        <w:spacing w:line="276" w:lineRule="auto"/>
        <w:jc w:val="both"/>
        <w:rPr>
          <w:rFonts w:cs="Times New Roman"/>
          <w:color w:val="000000" w:themeColor="text1"/>
          <w:szCs w:val="24"/>
        </w:rPr>
      </w:pPr>
      <w:r w:rsidRPr="009B2B90">
        <w:rPr>
          <w:rFonts w:cs="Times New Roman"/>
          <w:color w:val="000000" w:themeColor="text1"/>
          <w:szCs w:val="24"/>
        </w:rPr>
        <w:t xml:space="preserve">Mitigation measures are required to address the long-term challenge of climate change in agriculture – what needs to be done now to cope with the climate change impacts </w:t>
      </w:r>
      <w:r w:rsidRPr="009B2B90">
        <w:rPr>
          <w:rFonts w:cs="Times New Roman"/>
          <w:bCs/>
          <w:color w:val="000000" w:themeColor="text1"/>
          <w:szCs w:val="24"/>
        </w:rPr>
        <w:t xml:space="preserve">that could occur in the second half of this century. FAO has launched a </w:t>
      </w:r>
      <w:r w:rsidRPr="009B2B90">
        <w:rPr>
          <w:rFonts w:cs="Times New Roman"/>
          <w:color w:val="000000" w:themeColor="text1"/>
          <w:szCs w:val="24"/>
        </w:rPr>
        <w:t>Mitigation of Climate Change in Agriculture (MICCA) Programme to support developing countries cope with the emerging challenge. The focus of the MICCA program is on climate-smart agriculture (CSA). CSA integrates the three dimensions of sustainable development (economic, social and environmental) by jointly addressing food security and climate challenges. It is composed of three main pillars:</w:t>
      </w:r>
    </w:p>
    <w:p w:rsidR="00630139" w:rsidRPr="009B2B90" w:rsidRDefault="00630139" w:rsidP="00D6486D">
      <w:pPr>
        <w:pStyle w:val="ListParagraph"/>
        <w:numPr>
          <w:ilvl w:val="0"/>
          <w:numId w:val="55"/>
        </w:numPr>
        <w:autoSpaceDE w:val="0"/>
        <w:autoSpaceDN w:val="0"/>
        <w:adjustRightInd w:val="0"/>
        <w:spacing w:line="276" w:lineRule="auto"/>
        <w:jc w:val="both"/>
        <w:rPr>
          <w:rFonts w:cs="Times New Roman"/>
          <w:color w:val="000000" w:themeColor="text1"/>
          <w:szCs w:val="24"/>
        </w:rPr>
      </w:pPr>
      <w:r w:rsidRPr="009B2B90">
        <w:rPr>
          <w:rFonts w:cs="Times New Roman"/>
          <w:color w:val="000000" w:themeColor="text1"/>
          <w:szCs w:val="24"/>
        </w:rPr>
        <w:t xml:space="preserve">sustainably increasing agricultural productivity and incomes; </w:t>
      </w:r>
    </w:p>
    <w:p w:rsidR="00630139" w:rsidRPr="009B2B90" w:rsidRDefault="00630139" w:rsidP="00D6486D">
      <w:pPr>
        <w:pStyle w:val="ListParagraph"/>
        <w:numPr>
          <w:ilvl w:val="0"/>
          <w:numId w:val="55"/>
        </w:numPr>
        <w:autoSpaceDE w:val="0"/>
        <w:autoSpaceDN w:val="0"/>
        <w:adjustRightInd w:val="0"/>
        <w:spacing w:line="276" w:lineRule="auto"/>
        <w:jc w:val="both"/>
        <w:rPr>
          <w:rFonts w:cs="Times New Roman"/>
          <w:color w:val="000000" w:themeColor="text1"/>
          <w:szCs w:val="24"/>
        </w:rPr>
      </w:pPr>
      <w:r w:rsidRPr="009B2B90">
        <w:rPr>
          <w:rFonts w:cs="Times New Roman"/>
          <w:color w:val="000000" w:themeColor="text1"/>
          <w:szCs w:val="24"/>
        </w:rPr>
        <w:t xml:space="preserve">adapting and building resilience to climate change; </w:t>
      </w:r>
    </w:p>
    <w:p w:rsidR="00630139" w:rsidRPr="009B2B90" w:rsidRDefault="00630139" w:rsidP="00D6486D">
      <w:pPr>
        <w:pStyle w:val="ListParagraph"/>
        <w:numPr>
          <w:ilvl w:val="0"/>
          <w:numId w:val="55"/>
        </w:numPr>
        <w:autoSpaceDE w:val="0"/>
        <w:autoSpaceDN w:val="0"/>
        <w:adjustRightInd w:val="0"/>
        <w:spacing w:line="276" w:lineRule="auto"/>
        <w:jc w:val="both"/>
        <w:rPr>
          <w:rFonts w:cs="Times New Roman"/>
          <w:color w:val="000000" w:themeColor="text1"/>
          <w:szCs w:val="24"/>
        </w:rPr>
      </w:pPr>
      <w:r w:rsidRPr="009B2B90">
        <w:rPr>
          <w:rFonts w:cs="Times New Roman"/>
          <w:color w:val="000000" w:themeColor="text1"/>
          <w:szCs w:val="24"/>
        </w:rPr>
        <w:t xml:space="preserve">reducing and/or removing greenhouse gases emissions, where possible. </w:t>
      </w:r>
    </w:p>
    <w:p w:rsidR="00630139" w:rsidRPr="009B2B90" w:rsidRDefault="00630139" w:rsidP="00274FB7">
      <w:pPr>
        <w:autoSpaceDE w:val="0"/>
        <w:autoSpaceDN w:val="0"/>
        <w:adjustRightInd w:val="0"/>
        <w:spacing w:line="276" w:lineRule="auto"/>
        <w:jc w:val="both"/>
        <w:rPr>
          <w:rFonts w:cs="Times New Roman"/>
          <w:bCs/>
          <w:iCs/>
          <w:color w:val="000000" w:themeColor="text1"/>
          <w:szCs w:val="24"/>
        </w:rPr>
      </w:pPr>
      <w:r w:rsidRPr="009B2B90">
        <w:rPr>
          <w:rFonts w:cs="Times New Roman"/>
          <w:color w:val="000000" w:themeColor="text1"/>
          <w:szCs w:val="24"/>
        </w:rPr>
        <w:t xml:space="preserve">Embracing these three pillars is essential for Bangladesh to achieve sustainable agricultural development for food security under climate change. The magnitude, immediacy and broad scope of the effects of climate change on Bangladesh agriculture create a compelling need to ensure comprehensive integration of these effects into national agricultural planning, investments and programs. Quite inevitably, it entails costs and places demands on the country’s already scarce resources. But the economics of adaptation and mitigation measures to address climate change impacts offers the clear determination that </w:t>
      </w:r>
      <w:r w:rsidRPr="009B2B90">
        <w:rPr>
          <w:rFonts w:cs="Times New Roman"/>
          <w:bCs/>
          <w:iCs/>
          <w:color w:val="000000" w:themeColor="text1"/>
          <w:szCs w:val="24"/>
        </w:rPr>
        <w:t xml:space="preserve">the benefits of strong, early action on climate change outweigh the costs. </w:t>
      </w:r>
    </w:p>
    <w:p w:rsidR="00630139" w:rsidRPr="000207D1" w:rsidRDefault="00630139" w:rsidP="00274FB7">
      <w:pPr>
        <w:autoSpaceDE w:val="0"/>
        <w:autoSpaceDN w:val="0"/>
        <w:adjustRightInd w:val="0"/>
        <w:spacing w:line="276" w:lineRule="auto"/>
        <w:jc w:val="both"/>
        <w:rPr>
          <w:rFonts w:cs="Times New Roman"/>
          <w:color w:val="000000" w:themeColor="text1"/>
          <w:szCs w:val="24"/>
          <w:u w:val="single"/>
        </w:rPr>
      </w:pPr>
      <w:r w:rsidRPr="009B2B90">
        <w:rPr>
          <w:rFonts w:cs="Times New Roman"/>
          <w:color w:val="000000" w:themeColor="text1"/>
          <w:szCs w:val="24"/>
        </w:rPr>
        <w:t xml:space="preserve">Adaptation is the priority for Bangladesh in the short to medium term. The country is already a world leader in the research, design and implementation of adaptation strategies, and this work will continue. In the long-term, however, climate resilience will require deep cuts in greenhouse gas emissions, including the developed industrialized nations. Bangladesh will strive to achieve its own mitigation goals for low carbon growth while working with the global community to establish a fair and equitable post-Kyoto framework for developing countries. Bangladesh is committed to reducing greenhouse gas emissions from agriculture. Major sources of GHG emission in Bangladesh are methane from flooded rice fields. Raising irrigation and water use efficiency through improved agronomic practices is likely to lower emissions of methane. Bangladesh is developing climate change resilient cropping systems (e.g., agricultural research to develop crop varieties, which are tolerant of flooding, drought and salinity, and based on indigenous and other varieties suited to the needs of resource poor farmers), fisheries and </w:t>
      </w:r>
      <w:r w:rsidRPr="009B2B90">
        <w:rPr>
          <w:rFonts w:cs="Times New Roman"/>
          <w:color w:val="000000" w:themeColor="text1"/>
          <w:szCs w:val="24"/>
        </w:rPr>
        <w:lastRenderedPageBreak/>
        <w:t xml:space="preserve">livestock systems to ensure local and national food security. </w:t>
      </w:r>
      <w:r w:rsidR="00F64A6A" w:rsidRPr="00F64A6A">
        <w:rPr>
          <w:rFonts w:cs="Times New Roman"/>
          <w:color w:val="000000" w:themeColor="text1"/>
          <w:szCs w:val="24"/>
          <w:u w:val="single"/>
        </w:rPr>
        <w:t>Plan to expand the 'greenbelt' coastal afforestation programme with mangrove planting along the shoreline is under way.</w:t>
      </w:r>
    </w:p>
    <w:p w:rsidR="00000000" w:rsidRDefault="00630139" w:rsidP="003D5A31">
      <w:pPr>
        <w:pStyle w:val="BodyText"/>
        <w:numPr>
          <w:ilvl w:val="2"/>
          <w:numId w:val="237"/>
        </w:numPr>
        <w:spacing w:after="240" w:line="276" w:lineRule="auto"/>
        <w:jc w:val="both"/>
        <w:rPr>
          <w:rFonts w:cs="Times New Roman"/>
          <w:b/>
          <w:szCs w:val="24"/>
        </w:rPr>
      </w:pPr>
      <w:bookmarkStart w:id="601" w:name="_Toc461018736"/>
      <w:r w:rsidRPr="00C26B99">
        <w:rPr>
          <w:rFonts w:cs="Times New Roman"/>
          <w:b/>
          <w:szCs w:val="24"/>
        </w:rPr>
        <w:t>On-going interventions to address food security</w:t>
      </w:r>
      <w:bookmarkEnd w:id="601"/>
    </w:p>
    <w:p w:rsidR="00630139" w:rsidRPr="00C26B99" w:rsidRDefault="00630139" w:rsidP="00274FB7">
      <w:pPr>
        <w:pStyle w:val="NormalWeb"/>
        <w:spacing w:before="120" w:beforeAutospacing="0" w:after="216" w:afterAutospacing="0" w:line="276" w:lineRule="auto"/>
        <w:rPr>
          <w:rFonts w:eastAsiaTheme="minorHAnsi"/>
        </w:rPr>
      </w:pPr>
      <w:r w:rsidRPr="00C26B99">
        <w:rPr>
          <w:rFonts w:eastAsiaTheme="minorHAnsi"/>
        </w:rPr>
        <w:t>Since the World Food Summit of 1996, the Government of Bangladesh has undertaken an in-depth and consultative process of food security policy reform. This has provided the Government with a comprehensive food security policy framework (the National Food Policy) and programming document (the National Food Policy Plan of Action) as well as an investment plan for food security and nutrition (the Bangladesh Country Investment Plan). </w:t>
      </w:r>
    </w:p>
    <w:p w:rsidR="00630139" w:rsidRPr="00C26B99" w:rsidRDefault="00630139" w:rsidP="00274FB7">
      <w:pPr>
        <w:pStyle w:val="NormalWeb"/>
        <w:spacing w:before="120" w:beforeAutospacing="0" w:after="216" w:afterAutospacing="0" w:line="276" w:lineRule="auto"/>
      </w:pPr>
      <w:r w:rsidRPr="00C26B99">
        <w:rPr>
          <w:rFonts w:eastAsiaTheme="minorHAnsi"/>
        </w:rPr>
        <w:t>The </w:t>
      </w:r>
      <w:r w:rsidRPr="00C26B99">
        <w:rPr>
          <w:rFonts w:eastAsiaTheme="minorHAnsi"/>
          <w:b/>
        </w:rPr>
        <w:t>National Food Policy</w:t>
      </w:r>
      <w:r w:rsidRPr="00C26B99">
        <w:rPr>
          <w:rFonts w:eastAsiaTheme="minorHAnsi"/>
        </w:rPr>
        <w:t> </w:t>
      </w:r>
      <w:r w:rsidRPr="00C26B99">
        <w:rPr>
          <w:rFonts w:eastAsiaTheme="minorHAnsi"/>
          <w:b/>
        </w:rPr>
        <w:t>2006</w:t>
      </w:r>
      <w:r w:rsidRPr="00C26B99">
        <w:rPr>
          <w:rFonts w:eastAsiaTheme="minorHAnsi"/>
        </w:rPr>
        <w:t xml:space="preserve"> is Bangladesh’s main policy document on food security. It represents an important departure from the past by applying a comprehensive and integrated approach to food security, including the availability, access and utilization dimension of food security. The Policy represents an unprecedented effort to address food security in a comprehensive manner and fills the gaps of previous food and nutrition policy frameworks. The overarching goal of the National Food Policy is to ensure, in coordination with partner ministries, development partners and NGOs, “dependable and sustained food security for all people of Bangladesh at all times”.</w:t>
      </w:r>
    </w:p>
    <w:p w:rsidR="00630139" w:rsidRPr="000207D1" w:rsidRDefault="00F64A6A" w:rsidP="00274FB7">
      <w:pPr>
        <w:pStyle w:val="rtecenter"/>
        <w:tabs>
          <w:tab w:val="left" w:pos="7566"/>
        </w:tabs>
        <w:spacing w:before="120" w:beforeAutospacing="0" w:after="216" w:afterAutospacing="0" w:line="276" w:lineRule="auto"/>
        <w:ind w:left="15"/>
        <w:jc w:val="both"/>
        <w:rPr>
          <w:rFonts w:eastAsiaTheme="minorHAnsi"/>
          <w:u w:val="single"/>
          <w:lang w:val="en-GB" w:eastAsia="en-US"/>
        </w:rPr>
      </w:pPr>
      <w:r w:rsidRPr="00F64A6A">
        <w:rPr>
          <w:rFonts w:eastAsiaTheme="minorHAnsi"/>
          <w:u w:val="single"/>
          <w:lang w:val="en-GB" w:eastAsia="en-US"/>
        </w:rPr>
        <w:t xml:space="preserve">To provide programmatic guidance in implementing the National Food Policy, the Government formulated the National Food Policy Plan of Action (2008-2015). The Plan identified 26 strategic areas of intervention and priority actions that covered all dimensions of food security. </w:t>
      </w:r>
    </w:p>
    <w:p w:rsidR="00630139" w:rsidRDefault="00630139" w:rsidP="00274FB7">
      <w:pPr>
        <w:spacing w:after="0" w:line="276" w:lineRule="auto"/>
        <w:jc w:val="both"/>
        <w:rPr>
          <w:rFonts w:cs="Times New Roman"/>
          <w:szCs w:val="24"/>
          <w:lang w:val="en-AU"/>
        </w:rPr>
      </w:pPr>
      <w:r w:rsidRPr="00C26B99">
        <w:rPr>
          <w:rFonts w:cs="Times New Roman"/>
          <w:szCs w:val="24"/>
          <w:lang w:val="en-AU"/>
        </w:rPr>
        <w:t xml:space="preserve">Responding to L’Aquila Initiative and in line with the 5 Principles agreed in the Rome Food Summit, the Country Investment Program - A road map towards investment in agriculture, food security and nutrition was approved in 2010 and revised in 2011 based on extensive consultations.  </w:t>
      </w:r>
    </w:p>
    <w:p w:rsidR="00630139" w:rsidRPr="00C26B99" w:rsidRDefault="00630139" w:rsidP="00274FB7">
      <w:pPr>
        <w:spacing w:after="0" w:line="276" w:lineRule="auto"/>
        <w:jc w:val="both"/>
        <w:rPr>
          <w:rFonts w:cs="Times New Roman"/>
          <w:szCs w:val="24"/>
          <w:lang w:val="en-AU"/>
        </w:rPr>
      </w:pPr>
    </w:p>
    <w:p w:rsidR="00630139" w:rsidRPr="00C26B99" w:rsidRDefault="00630139" w:rsidP="00274FB7">
      <w:pPr>
        <w:spacing w:after="0" w:line="276" w:lineRule="auto"/>
        <w:jc w:val="both"/>
        <w:rPr>
          <w:rFonts w:cs="Times New Roman"/>
          <w:szCs w:val="24"/>
          <w:lang w:val="en-AU"/>
        </w:rPr>
      </w:pPr>
      <w:r w:rsidRPr="00C26B99">
        <w:rPr>
          <w:rFonts w:cs="Times New Roman"/>
          <w:szCs w:val="24"/>
          <w:lang w:val="en-AU"/>
        </w:rPr>
        <w:t>Of late, the Government of Bangladesh &amp; FAO has developed ‘Bangladesh Country Programming Framework: Towards Sustainable Agriculture and Improved Food Security &amp; Nutrition (CPF 2014-2018). The CPF identifies and elaborates on 5 priority areas:</w:t>
      </w:r>
    </w:p>
    <w:p w:rsidR="00000000" w:rsidRDefault="00630139" w:rsidP="003D5A31">
      <w:pPr>
        <w:pStyle w:val="ListParagraph"/>
        <w:numPr>
          <w:ilvl w:val="0"/>
          <w:numId w:val="214"/>
        </w:numPr>
        <w:spacing w:after="0" w:line="276" w:lineRule="auto"/>
        <w:jc w:val="both"/>
        <w:rPr>
          <w:rFonts w:cs="Times New Roman"/>
          <w:szCs w:val="24"/>
          <w:lang w:val="en-AU"/>
        </w:rPr>
      </w:pPr>
      <w:r w:rsidRPr="00C26B99">
        <w:rPr>
          <w:rFonts w:cs="Times New Roman"/>
          <w:szCs w:val="24"/>
          <w:lang w:val="en-AU"/>
        </w:rPr>
        <w:t>Reduce poverty and enhance food security and nutrition (access and utilization);</w:t>
      </w:r>
    </w:p>
    <w:p w:rsidR="00000000" w:rsidRDefault="00630139" w:rsidP="003D5A31">
      <w:pPr>
        <w:pStyle w:val="ListParagraph"/>
        <w:numPr>
          <w:ilvl w:val="0"/>
          <w:numId w:val="214"/>
        </w:numPr>
        <w:spacing w:after="0" w:line="276" w:lineRule="auto"/>
        <w:jc w:val="both"/>
        <w:rPr>
          <w:rFonts w:cs="Times New Roman"/>
          <w:szCs w:val="24"/>
          <w:lang w:val="en-AU"/>
        </w:rPr>
      </w:pPr>
      <w:r w:rsidRPr="00C26B99">
        <w:rPr>
          <w:rFonts w:cs="Times New Roman"/>
          <w:szCs w:val="24"/>
          <w:lang w:val="en-AU"/>
        </w:rPr>
        <w:t>Enhance agricultural productivity through diversification/intensification, sustainable management of natural resources, use of quality inputs and mechanization;</w:t>
      </w:r>
    </w:p>
    <w:p w:rsidR="00000000" w:rsidRDefault="00630139" w:rsidP="003D5A31">
      <w:pPr>
        <w:pStyle w:val="ListParagraph"/>
        <w:numPr>
          <w:ilvl w:val="0"/>
          <w:numId w:val="214"/>
        </w:numPr>
        <w:spacing w:after="0" w:line="276" w:lineRule="auto"/>
        <w:jc w:val="both"/>
        <w:rPr>
          <w:rFonts w:cs="Times New Roman"/>
          <w:szCs w:val="24"/>
          <w:lang w:val="en-AU"/>
        </w:rPr>
      </w:pPr>
      <w:r w:rsidRPr="00C26B99">
        <w:rPr>
          <w:rFonts w:cs="Times New Roman"/>
          <w:szCs w:val="24"/>
          <w:lang w:val="en-AU"/>
        </w:rPr>
        <w:t>Improve market linkages, value addition, and quality and safety of the food system;</w:t>
      </w:r>
    </w:p>
    <w:p w:rsidR="00000000" w:rsidRDefault="00630139" w:rsidP="003D5A31">
      <w:pPr>
        <w:pStyle w:val="ListParagraph"/>
        <w:numPr>
          <w:ilvl w:val="0"/>
          <w:numId w:val="214"/>
        </w:numPr>
        <w:spacing w:after="0" w:line="276" w:lineRule="auto"/>
        <w:jc w:val="both"/>
        <w:rPr>
          <w:rFonts w:cs="Times New Roman"/>
          <w:szCs w:val="24"/>
          <w:lang w:val="en-AU"/>
        </w:rPr>
      </w:pPr>
      <w:r w:rsidRPr="00C26B99">
        <w:rPr>
          <w:rFonts w:cs="Times New Roman"/>
          <w:szCs w:val="24"/>
          <w:lang w:val="en-AU"/>
        </w:rPr>
        <w:t>Further improve technology generation and adaptation through better producer-extension-research linkages;</w:t>
      </w:r>
    </w:p>
    <w:p w:rsidR="00000000" w:rsidRDefault="00630139" w:rsidP="003D5A31">
      <w:pPr>
        <w:pStyle w:val="ListParagraph"/>
        <w:numPr>
          <w:ilvl w:val="0"/>
          <w:numId w:val="214"/>
        </w:numPr>
        <w:spacing w:after="0" w:line="276" w:lineRule="auto"/>
        <w:jc w:val="both"/>
        <w:rPr>
          <w:rFonts w:cs="Times New Roman"/>
          <w:szCs w:val="24"/>
          <w:lang w:val="en-AU"/>
        </w:rPr>
      </w:pPr>
      <w:r w:rsidRPr="00C26B99">
        <w:rPr>
          <w:rFonts w:cs="Times New Roman"/>
          <w:szCs w:val="24"/>
          <w:lang w:val="en-AU"/>
        </w:rPr>
        <w:t>Increase resilience of communities to withstand ‘shocks’ such as natural disasters, health threats and other risks to livelihoods.</w:t>
      </w:r>
    </w:p>
    <w:p w:rsidR="00125F2F" w:rsidRPr="004B0A08" w:rsidRDefault="00125F2F" w:rsidP="00274FB7">
      <w:pPr>
        <w:pStyle w:val="ListParagraph"/>
        <w:spacing w:after="0" w:line="276" w:lineRule="auto"/>
        <w:jc w:val="both"/>
        <w:rPr>
          <w:rFonts w:cs="Times New Roman"/>
          <w:szCs w:val="24"/>
          <w:lang w:val="en-AU"/>
        </w:rPr>
      </w:pPr>
    </w:p>
    <w:p w:rsidR="00630139" w:rsidRPr="00C26B99" w:rsidRDefault="00630139" w:rsidP="00974AEB">
      <w:pPr>
        <w:pStyle w:val="BodyText"/>
        <w:tabs>
          <w:tab w:val="left" w:pos="654"/>
        </w:tabs>
        <w:spacing w:after="240" w:line="276" w:lineRule="auto"/>
        <w:jc w:val="both"/>
      </w:pPr>
      <w:r>
        <w:lastRenderedPageBreak/>
        <w:t>The Government</w:t>
      </w:r>
      <w:r w:rsidRPr="00C26B99">
        <w:t xml:space="preserve"> is implementing many strategies and measures. These should be continued.  Some of these are mentioned below.</w:t>
      </w:r>
    </w:p>
    <w:p w:rsidR="00630139" w:rsidRPr="00C26B99" w:rsidRDefault="00630139" w:rsidP="00974AEB">
      <w:pPr>
        <w:spacing w:line="276" w:lineRule="auto"/>
        <w:jc w:val="both"/>
        <w:rPr>
          <w:rStyle w:val="IntenseEmphasis"/>
          <w:b/>
          <w:color w:val="auto"/>
        </w:rPr>
      </w:pPr>
      <w:r w:rsidRPr="00C26B99">
        <w:rPr>
          <w:rStyle w:val="IntenseEmphasis"/>
          <w:b/>
          <w:color w:val="auto"/>
        </w:rPr>
        <w:t>Enhancement of food availability</w:t>
      </w:r>
    </w:p>
    <w:p w:rsidR="00630139" w:rsidRPr="00C26B99" w:rsidRDefault="00630139" w:rsidP="00974AEB">
      <w:pPr>
        <w:spacing w:line="276" w:lineRule="auto"/>
        <w:jc w:val="both"/>
      </w:pPr>
      <w:r w:rsidRPr="00C26B99">
        <w:t xml:space="preserve">A critical variable to increased food availability in Bangladesh is productivity growth. Food demand is expanding, driven by population growth, while food supply increases are being constrained by limited expansion potential for arable land and the offsetting losses of productive areas due to declining soil fertility, erosion and salinity intrusion, inadequate irrigation, increasing incidences of extreme weather events, and other climatic changes. The combination of these factors make a compelling argument that future food availability will be primarily influenced by improvements in reducing the yield gap, better management of water resources, and implementing new technologies involving seed varieties, and soil management and fertility, improving traditional technologies like floating agriculture. Significant progress has been made on improved seeds and planting material, but farmers often are unable to capitalize on the productive potential. Opportunities to address these evolving constraints include:  </w:t>
      </w:r>
    </w:p>
    <w:p w:rsidR="00000000" w:rsidRDefault="00630139" w:rsidP="003D5A31">
      <w:pPr>
        <w:pStyle w:val="ListParagraph"/>
        <w:numPr>
          <w:ilvl w:val="0"/>
          <w:numId w:val="210"/>
        </w:numPr>
        <w:spacing w:before="120" w:after="120" w:line="276" w:lineRule="auto"/>
        <w:jc w:val="both"/>
      </w:pPr>
      <w:r w:rsidRPr="00C26B99">
        <w:t>Increased productivity for crops, livestock, and fish, whether on owned, rented, or share cropped land, could reduce lean seasons and offer more opportunities for sales of surplus production. This may include shifting some production area from cereals to in-demand high value fruits and vegetables.</w:t>
      </w:r>
    </w:p>
    <w:p w:rsidR="00000000" w:rsidRDefault="00630139" w:rsidP="003D5A31">
      <w:pPr>
        <w:pStyle w:val="ListParagraph"/>
        <w:numPr>
          <w:ilvl w:val="0"/>
          <w:numId w:val="210"/>
        </w:numPr>
        <w:spacing w:before="120" w:after="120" w:line="276" w:lineRule="auto"/>
        <w:jc w:val="both"/>
      </w:pPr>
      <w:r w:rsidRPr="00C26B99">
        <w:t xml:space="preserve">More emphasis on the market will be needed. Implementing a market-driven approach for poor smallholders will not be easy due to their lack of experience, limited assets and education, and the lack of land ownership by many. </w:t>
      </w:r>
    </w:p>
    <w:p w:rsidR="00000000" w:rsidRDefault="00630139" w:rsidP="003D5A31">
      <w:pPr>
        <w:pStyle w:val="ListParagraph"/>
        <w:numPr>
          <w:ilvl w:val="0"/>
          <w:numId w:val="210"/>
        </w:numPr>
        <w:spacing w:before="120" w:after="120" w:line="276" w:lineRule="auto"/>
        <w:jc w:val="both"/>
      </w:pPr>
      <w:r w:rsidRPr="00C26B99">
        <w:t xml:space="preserve">Another promising food access approach is to improve skills and thus off-farm employment opportunities which may also reduce the incentive for migration from rural to urban areas.  </w:t>
      </w:r>
    </w:p>
    <w:p w:rsidR="00630139" w:rsidRPr="00C26B99" w:rsidRDefault="00630139" w:rsidP="00974AEB">
      <w:pPr>
        <w:spacing w:line="276" w:lineRule="auto"/>
        <w:jc w:val="both"/>
      </w:pPr>
      <w:r w:rsidRPr="00C26B99">
        <w:t xml:space="preserve">The answer to reducing the vulnerability of poor households is to improve their income earning capacity, but cultural, educational, financial, and other constraints make this a formidable task. </w:t>
      </w:r>
    </w:p>
    <w:p w:rsidR="00630139" w:rsidRPr="00C26B99" w:rsidRDefault="00630139" w:rsidP="00974AEB">
      <w:pPr>
        <w:spacing w:line="276" w:lineRule="auto"/>
        <w:jc w:val="both"/>
        <w:rPr>
          <w:rStyle w:val="IntenseEmphasis"/>
          <w:b/>
          <w:color w:val="auto"/>
        </w:rPr>
      </w:pPr>
      <w:bookmarkStart w:id="602" w:name="_Toc445823281"/>
      <w:r w:rsidRPr="00C26B99">
        <w:rPr>
          <w:rStyle w:val="IntenseEmphasis"/>
          <w:b/>
          <w:color w:val="auto"/>
        </w:rPr>
        <w:t>Sustainable supply and use of improved quality of inputs</w:t>
      </w:r>
      <w:bookmarkEnd w:id="602"/>
      <w:r w:rsidRPr="00C26B99">
        <w:rPr>
          <w:rStyle w:val="IntenseEmphasis"/>
          <w:b/>
          <w:color w:val="auto"/>
        </w:rPr>
        <w:t xml:space="preserve">  </w:t>
      </w:r>
    </w:p>
    <w:p w:rsidR="00630139" w:rsidRPr="00C26B99" w:rsidRDefault="00630139" w:rsidP="00974AEB">
      <w:pPr>
        <w:pStyle w:val="ListParagraph"/>
        <w:spacing w:line="276" w:lineRule="auto"/>
        <w:ind w:left="0"/>
        <w:jc w:val="both"/>
      </w:pPr>
      <w:r w:rsidRPr="00C26B99">
        <w:t xml:space="preserve">1) Enhance availability of quality agricultural inputs: The priority interventions are: expansion of both seed multiplication and processing farms and preservation facilities of BADC, NARS, DAE, and contract growers; capacity development of </w:t>
      </w:r>
      <w:r w:rsidR="00C413FE">
        <w:t>public</w:t>
      </w:r>
      <w:r w:rsidRPr="00C26B99">
        <w:t xml:space="preserve"> laboratories and SCA for testing quality of inputs; strengthening participation of NGOs and private sector in seed distribution as the role of private sector in the provision of quality seeds and other inputs has increased over past years; capacity development of farmers for au</w:t>
      </w:r>
      <w:r w:rsidR="00FE6385">
        <w:t>t</w:t>
      </w:r>
      <w:r w:rsidR="00C413FE">
        <w:t>on</w:t>
      </w:r>
      <w:r w:rsidRPr="00C26B99">
        <w:t xml:space="preserve">omous production of quality seeds; and establishment of mechanisms to ensure availability and reasonable prices of all quality and environmentally friendly agricultural inputs (i.e. seeds, planting materials, fertilizers, pesticides). </w:t>
      </w:r>
      <w:r w:rsidR="00C413FE">
        <w:lastRenderedPageBreak/>
        <w:t>Public-</w:t>
      </w:r>
      <w:r w:rsidRPr="00C26B99">
        <w:t xml:space="preserve">private partnerships are needed in order to strengthen capacities for the production of agricultural inputs, laboratories and the establishment of marketing networks in the country.  </w:t>
      </w:r>
    </w:p>
    <w:p w:rsidR="00630139" w:rsidRPr="00C26B99" w:rsidRDefault="00630139" w:rsidP="00974AEB">
      <w:pPr>
        <w:spacing w:line="276" w:lineRule="auto"/>
        <w:jc w:val="both"/>
      </w:pPr>
      <w:r w:rsidRPr="00C26B99">
        <w:t xml:space="preserve">2) Improve and increase sustainability of soil fertility management: Restoring soil fertility is an important issue. The interventions are to promote fertilizer use efficiency and balanced use of fertilizer. The main purpose is to strengthen environmentally sound fertility management practices. This will be done through facilitating application of fertilizers on the basis of soil tests, as well as strengthening of soil testing laboratories and promotion of improved soil health management practices. Additionally, awareness of Upazilla Nirdeshika (land and soil use guide) for location specific prescription of fertilizers by the grass root level extension workers should be strengthened.   </w:t>
      </w:r>
    </w:p>
    <w:p w:rsidR="00630139" w:rsidRPr="00C26B99" w:rsidRDefault="00630139" w:rsidP="00974AEB">
      <w:pPr>
        <w:spacing w:line="276" w:lineRule="auto"/>
        <w:jc w:val="both"/>
      </w:pPr>
      <w:r w:rsidRPr="00C26B99">
        <w:t>3) Facilitate access to credit and other financial services by smallholders and the rural poor: There is a strong call for collateral-free bank loans/credit at low interest rates for crops, livestock and fishery production for smallholders and the rural poor. The need to create specialized financial institutions for these sectors was also iterated.</w:t>
      </w:r>
    </w:p>
    <w:p w:rsidR="00630139" w:rsidRPr="00C26B99" w:rsidRDefault="00630139" w:rsidP="00974AEB">
      <w:pPr>
        <w:spacing w:line="276" w:lineRule="auto"/>
        <w:jc w:val="both"/>
        <w:rPr>
          <w:rStyle w:val="IntenseEmphasis"/>
          <w:b/>
          <w:color w:val="auto"/>
        </w:rPr>
      </w:pPr>
      <w:r w:rsidRPr="00C26B99">
        <w:rPr>
          <w:rStyle w:val="IntenseEmphasis"/>
          <w:b/>
          <w:color w:val="auto"/>
        </w:rPr>
        <w:t xml:space="preserve">Improving market linkages and development of value chains  </w:t>
      </w:r>
    </w:p>
    <w:p w:rsidR="00630139" w:rsidRPr="00C26B99" w:rsidRDefault="00630139" w:rsidP="00974AEB">
      <w:pPr>
        <w:spacing w:line="276" w:lineRule="auto"/>
        <w:jc w:val="both"/>
      </w:pPr>
      <w:r w:rsidRPr="00C26B99">
        <w:t xml:space="preserve">1) Improvement of infrastructure: A number of priority investments have been identified that could form the programme, including </w:t>
      </w:r>
    </w:p>
    <w:p w:rsidR="00630139" w:rsidRPr="00C26B99" w:rsidRDefault="00630139" w:rsidP="00974AEB">
      <w:pPr>
        <w:spacing w:line="276" w:lineRule="auto"/>
        <w:ind w:left="720"/>
        <w:jc w:val="both"/>
      </w:pPr>
      <w:r w:rsidRPr="00C26B99">
        <w:t>(i) Construction and adequate maintenance of rural roads to facilitate marketing of products and access to services in particular in remote areas;</w:t>
      </w:r>
    </w:p>
    <w:p w:rsidR="00630139" w:rsidRPr="00C26B99" w:rsidRDefault="00630139" w:rsidP="00974AEB">
      <w:pPr>
        <w:spacing w:line="276" w:lineRule="auto"/>
        <w:ind w:left="720"/>
        <w:jc w:val="both"/>
      </w:pPr>
      <w:r w:rsidRPr="00C26B99">
        <w:t xml:space="preserve">(ii) Construction or rehabilitation of rural markets including the supply of potable water, drainage, and storage facilities to improve conditions. </w:t>
      </w:r>
    </w:p>
    <w:p w:rsidR="00630139" w:rsidRPr="00C26B99" w:rsidRDefault="00630139" w:rsidP="00974AEB">
      <w:pPr>
        <w:spacing w:line="276" w:lineRule="auto"/>
        <w:ind w:left="720"/>
        <w:jc w:val="both"/>
      </w:pPr>
      <w:r w:rsidRPr="00C26B99">
        <w:t xml:space="preserve">(iii) Improvement and rehabilitation of wholesale markets in major cities; </w:t>
      </w:r>
    </w:p>
    <w:p w:rsidR="00630139" w:rsidRPr="00C26B99" w:rsidRDefault="0055784E" w:rsidP="00974AEB">
      <w:pPr>
        <w:spacing w:line="276" w:lineRule="auto"/>
        <w:ind w:left="720"/>
        <w:jc w:val="both"/>
      </w:pPr>
      <w:r>
        <w:t xml:space="preserve">(iv) </w:t>
      </w:r>
      <w:r w:rsidR="00630139" w:rsidRPr="00C26B99">
        <w:t xml:space="preserve">Private storage facilities to reduce losses and increase value added.  </w:t>
      </w:r>
    </w:p>
    <w:p w:rsidR="00630139" w:rsidRPr="00C26B99" w:rsidRDefault="00630139" w:rsidP="00974AEB">
      <w:pPr>
        <w:spacing w:line="276" w:lineRule="auto"/>
        <w:jc w:val="both"/>
      </w:pPr>
      <w:r w:rsidRPr="00C26B99">
        <w:t xml:space="preserve">2) Capacity building of value chain actors and market promotion: A number of priority investments have been identified that could form the programme, including (i) Capacity building for group marketing at community level in the form of marketing groups, service cooperatives which capacities should be developed and training provided; (ii) Capacity development of farmers and market intermediaries through training in food quality and safety regulations and requirements, good agricultural practices so as to comply with market requirements; (iii) Improved </w:t>
      </w:r>
      <w:r w:rsidR="00EA4E38" w:rsidRPr="00C26B99">
        <w:t>post-harvest</w:t>
      </w:r>
      <w:r w:rsidRPr="00C26B99">
        <w:t xml:space="preserve"> management, value chain analysis and facilitation (iv) Promote agro-processing. (v) Facilitate coordinated, market-based action, harnessing the productive capacity of agriculture to drive food security, environmental sustainability and economic opportunity.   </w:t>
      </w:r>
    </w:p>
    <w:p w:rsidR="00630139" w:rsidRPr="00C26B99" w:rsidRDefault="00630139" w:rsidP="00274FB7">
      <w:pPr>
        <w:spacing w:line="276" w:lineRule="auto"/>
        <w:jc w:val="both"/>
      </w:pPr>
      <w:r w:rsidRPr="00C26B99">
        <w:lastRenderedPageBreak/>
        <w:t xml:space="preserve">3) Establishment of export processing zones: Harness opportunities to expand market linkages and agribusiness with establishment of export processing zones. </w:t>
      </w:r>
    </w:p>
    <w:p w:rsidR="0053231E" w:rsidRPr="00974AEB" w:rsidRDefault="00630139" w:rsidP="00274FB7">
      <w:pPr>
        <w:spacing w:line="276" w:lineRule="auto"/>
        <w:jc w:val="both"/>
        <w:rPr>
          <w:rStyle w:val="IntenseEmphasis"/>
          <w:i w:val="0"/>
          <w:color w:val="auto"/>
        </w:rPr>
      </w:pPr>
      <w:r w:rsidRPr="00C26B99">
        <w:t xml:space="preserve">4) </w:t>
      </w:r>
      <w:r w:rsidR="00F64A6A" w:rsidRPr="00F64A6A">
        <w:rPr>
          <w:u w:val="single"/>
        </w:rPr>
        <w:t>Improving Food Safety and Quality for Consumer Health and Nutrition: Food analytical laboratories at the central and regional level need to be established to facilitate support to food manufacturers, individuals and the enforcement of laws.</w:t>
      </w:r>
      <w:r w:rsidRPr="00C26B99">
        <w:t xml:space="preserve"> There is no reliable surveillance data on food borne illnesses, impeding the understanding of the extent of disease burden and health and nutritional implications. An effective surveillance on food borne illnesses would therefore be necessary. It is to strengthen capacities of the existing institutions, strengthen consumer protection and build on o</w:t>
      </w:r>
      <w:bookmarkStart w:id="603" w:name="_Toc445823285"/>
      <w:r w:rsidR="00974AEB">
        <w:t>n-going food safety activities.</w:t>
      </w:r>
    </w:p>
    <w:p w:rsidR="00630139" w:rsidRPr="00C26B99" w:rsidRDefault="00630139" w:rsidP="00974AEB">
      <w:pPr>
        <w:spacing w:line="276" w:lineRule="auto"/>
        <w:jc w:val="both"/>
        <w:rPr>
          <w:rStyle w:val="IntenseEmphasis"/>
          <w:b/>
          <w:color w:val="auto"/>
        </w:rPr>
      </w:pPr>
      <w:r w:rsidRPr="00C26B99">
        <w:rPr>
          <w:rStyle w:val="IntenseEmphasis"/>
          <w:b/>
          <w:color w:val="auto"/>
        </w:rPr>
        <w:t>Livelihood improvement and food security</w:t>
      </w:r>
      <w:bookmarkEnd w:id="603"/>
      <w:r w:rsidRPr="00C26B99">
        <w:rPr>
          <w:rStyle w:val="IntenseEmphasis"/>
          <w:b/>
          <w:color w:val="auto"/>
        </w:rPr>
        <w:t xml:space="preserve"> </w:t>
      </w:r>
    </w:p>
    <w:p w:rsidR="00000000" w:rsidRDefault="00630139" w:rsidP="003D5A31">
      <w:pPr>
        <w:pStyle w:val="ListParagraph"/>
        <w:numPr>
          <w:ilvl w:val="0"/>
          <w:numId w:val="211"/>
        </w:numPr>
        <w:spacing w:before="120" w:after="120" w:line="276" w:lineRule="auto"/>
        <w:jc w:val="both"/>
      </w:pPr>
      <w:r w:rsidRPr="00C26B99">
        <w:t xml:space="preserve">Development of programs of alternative income generation and food security, reduce malnutrition of women, children and distressed population. </w:t>
      </w:r>
    </w:p>
    <w:p w:rsidR="00000000" w:rsidRDefault="00630139" w:rsidP="003D5A31">
      <w:pPr>
        <w:pStyle w:val="ListParagraph"/>
        <w:numPr>
          <w:ilvl w:val="0"/>
          <w:numId w:val="211"/>
        </w:numPr>
        <w:spacing w:before="120" w:after="120" w:line="276" w:lineRule="auto"/>
        <w:jc w:val="both"/>
      </w:pPr>
      <w:r w:rsidRPr="00C26B99">
        <w:t xml:space="preserve">Development of Community Based Nutrition Activities through Livelihood Approaches: Home gardening, poultry raising and other community level nutrition-based agricultural activities need to be included as food based nutrition approach and also complemented by integrated horticultural development, fish ponds, behaviour change communication or any other activities on demand. This strategy will include linking agriculture and food based nutrition to other nutrition efforts, including health.  </w:t>
      </w:r>
    </w:p>
    <w:p w:rsidR="00000000" w:rsidRDefault="00630139" w:rsidP="003D5A31">
      <w:pPr>
        <w:pStyle w:val="ListParagraph"/>
        <w:numPr>
          <w:ilvl w:val="0"/>
          <w:numId w:val="211"/>
        </w:numPr>
        <w:spacing w:before="120" w:after="120" w:line="276" w:lineRule="auto"/>
        <w:jc w:val="both"/>
      </w:pPr>
      <w:r w:rsidRPr="00C26B99">
        <w:t xml:space="preserve">Livelihoods improvement of population of char land, haor, coastal and CHT regions: All of these regions are not easily accessible and people are beset with problems and sufferings. Despite appalling conditions, a large number of families, due to abject poverty and lack of alternatives, are often forced to relocate to such lands battling precarious weather and adverse living conditions. As the families are often hard to reach through mainstream anti-poverty programmes, it drastically reduces opportunities to promote social and economic development within these communities. </w:t>
      </w:r>
    </w:p>
    <w:p w:rsidR="00630139" w:rsidRPr="00C26B99" w:rsidRDefault="00630139" w:rsidP="00974AEB">
      <w:pPr>
        <w:spacing w:line="276" w:lineRule="auto"/>
        <w:jc w:val="both"/>
        <w:rPr>
          <w:b/>
          <w:i/>
        </w:rPr>
      </w:pPr>
      <w:r w:rsidRPr="00C26B99">
        <w:rPr>
          <w:b/>
          <w:i/>
        </w:rPr>
        <w:t xml:space="preserve">Continue supporting technologies already innovated in Bangladesh: </w:t>
      </w:r>
    </w:p>
    <w:p w:rsidR="00634EED" w:rsidRDefault="00630139" w:rsidP="00974AEB">
      <w:pPr>
        <w:spacing w:line="276" w:lineRule="auto"/>
        <w:jc w:val="both"/>
      </w:pPr>
      <w:r w:rsidRPr="00C26B99">
        <w:t xml:space="preserve">The future challenge of increasing food production could be met through the introduction of modern biotechnology and an increase in investment in agricultural technology generation and transfer. </w:t>
      </w:r>
      <w:r w:rsidR="00634EED">
        <w:t>Table 8.15</w:t>
      </w:r>
      <w:r w:rsidRPr="00C26B99">
        <w:t xml:space="preserve"> presents information on technology generation and innovations in Bangladesh agriculture during 2004-14 and </w:t>
      </w:r>
      <w:r w:rsidR="00634EED">
        <w:t>Table 8.16</w:t>
      </w:r>
      <w:r w:rsidRPr="00C26B99">
        <w:t xml:space="preserve"> presents information on number of cultivars registered for notified crops, 2000–14.</w:t>
      </w:r>
    </w:p>
    <w:p w:rsidR="00974AEB" w:rsidRDefault="00974AEB" w:rsidP="00974AEB">
      <w:pPr>
        <w:spacing w:line="276" w:lineRule="auto"/>
        <w:jc w:val="both"/>
      </w:pPr>
    </w:p>
    <w:p w:rsidR="00974AEB" w:rsidRDefault="00974AEB" w:rsidP="00974AEB">
      <w:pPr>
        <w:spacing w:line="276" w:lineRule="auto"/>
        <w:jc w:val="both"/>
      </w:pPr>
    </w:p>
    <w:p w:rsidR="00974AEB" w:rsidRPr="00C26B99" w:rsidRDefault="00974AEB" w:rsidP="00974AEB">
      <w:pPr>
        <w:spacing w:line="276" w:lineRule="auto"/>
        <w:jc w:val="both"/>
      </w:pPr>
    </w:p>
    <w:p w:rsidR="00630139" w:rsidRPr="004B0A08" w:rsidRDefault="00630139" w:rsidP="00C6204B">
      <w:pPr>
        <w:pStyle w:val="Heading4"/>
      </w:pPr>
      <w:bookmarkStart w:id="604" w:name="_Ref463191402"/>
      <w:bookmarkStart w:id="605" w:name="_Toc463361346"/>
      <w:bookmarkStart w:id="606" w:name="_Toc474639059"/>
      <w:r w:rsidRPr="004B0A08">
        <w:lastRenderedPageBreak/>
        <w:t>Table</w:t>
      </w:r>
      <w:r w:rsidR="00125F2F" w:rsidRPr="004B0A08">
        <w:t xml:space="preserve"> </w:t>
      </w:r>
      <w:r w:rsidRPr="004B0A08">
        <w:t>8.1</w:t>
      </w:r>
      <w:bookmarkEnd w:id="604"/>
      <w:r w:rsidR="00634EED">
        <w:t>5</w:t>
      </w:r>
      <w:r w:rsidR="003D2AF6">
        <w:t>: Technology Generation and I</w:t>
      </w:r>
      <w:r w:rsidRPr="004B0A08">
        <w:t>nnovations i</w:t>
      </w:r>
      <w:r w:rsidR="003D2AF6">
        <w:t xml:space="preserve">n Bangladesh Agriculture, </w:t>
      </w:r>
      <w:r w:rsidRPr="004B0A08">
        <w:t>2004-14</w:t>
      </w:r>
      <w:bookmarkEnd w:id="605"/>
      <w:bookmarkEnd w:id="606"/>
    </w:p>
    <w:tbl>
      <w:tblPr>
        <w:tblStyle w:val="TableGrid"/>
        <w:tblW w:w="5000" w:type="pct"/>
        <w:tblLook w:val="04A0"/>
      </w:tblPr>
      <w:tblGrid>
        <w:gridCol w:w="2645"/>
        <w:gridCol w:w="6931"/>
      </w:tblGrid>
      <w:tr w:rsidR="00630139" w:rsidRPr="004452AB" w:rsidTr="006775DC">
        <w:trPr>
          <w:tblHeader/>
        </w:trPr>
        <w:tc>
          <w:tcPr>
            <w:tcW w:w="1381" w:type="pct"/>
            <w:shd w:val="clear" w:color="auto" w:fill="EAF1DD" w:themeFill="accent3" w:themeFillTint="33"/>
          </w:tcPr>
          <w:p w:rsidR="00630139" w:rsidRPr="00C26B99" w:rsidRDefault="00630139" w:rsidP="006775DC">
            <w:pPr>
              <w:spacing w:after="0" w:line="240" w:lineRule="auto"/>
              <w:jc w:val="both"/>
              <w:rPr>
                <w:b/>
              </w:rPr>
            </w:pPr>
            <w:r w:rsidRPr="00C26B99">
              <w:rPr>
                <w:b/>
              </w:rPr>
              <w:t>Product type</w:t>
            </w:r>
          </w:p>
        </w:tc>
        <w:tc>
          <w:tcPr>
            <w:tcW w:w="3619" w:type="pct"/>
            <w:shd w:val="clear" w:color="auto" w:fill="EAF1DD" w:themeFill="accent3" w:themeFillTint="33"/>
          </w:tcPr>
          <w:p w:rsidR="00630139" w:rsidRPr="00C26B99" w:rsidRDefault="00630139" w:rsidP="006775DC">
            <w:pPr>
              <w:spacing w:after="0" w:line="240" w:lineRule="auto"/>
              <w:jc w:val="both"/>
              <w:rPr>
                <w:b/>
              </w:rPr>
            </w:pPr>
            <w:r w:rsidRPr="00C26B99">
              <w:rPr>
                <w:b/>
              </w:rPr>
              <w:t xml:space="preserve">Examples of innovations  </w:t>
            </w:r>
          </w:p>
        </w:tc>
      </w:tr>
      <w:tr w:rsidR="00630139" w:rsidRPr="004452AB" w:rsidTr="006775DC">
        <w:tc>
          <w:tcPr>
            <w:tcW w:w="1381" w:type="pct"/>
          </w:tcPr>
          <w:p w:rsidR="00630139" w:rsidRPr="00C26B99" w:rsidRDefault="00630139" w:rsidP="006775DC">
            <w:pPr>
              <w:spacing w:after="0" w:line="240" w:lineRule="auto"/>
              <w:jc w:val="both"/>
            </w:pPr>
            <w:r w:rsidRPr="00C26B99">
              <w:t>Seed</w:t>
            </w:r>
          </w:p>
        </w:tc>
        <w:tc>
          <w:tcPr>
            <w:tcW w:w="3619" w:type="pct"/>
          </w:tcPr>
          <w:p w:rsidR="00630139" w:rsidRPr="00C26B99" w:rsidRDefault="00630139" w:rsidP="006775DC">
            <w:pPr>
              <w:spacing w:after="0" w:line="240" w:lineRule="auto"/>
              <w:jc w:val="both"/>
            </w:pPr>
            <w:r w:rsidRPr="00C26B99">
              <w:t xml:space="preserve">Rice cultivars, hybrid rice, hybrid maize, Cultivars for potatoes, vegetables, and other crops  </w:t>
            </w:r>
          </w:p>
        </w:tc>
      </w:tr>
      <w:tr w:rsidR="00630139" w:rsidRPr="004452AB" w:rsidTr="006775DC">
        <w:tc>
          <w:tcPr>
            <w:tcW w:w="1381" w:type="pct"/>
          </w:tcPr>
          <w:p w:rsidR="00630139" w:rsidRPr="00C26B99" w:rsidRDefault="00630139" w:rsidP="006775DC">
            <w:pPr>
              <w:spacing w:after="0" w:line="240" w:lineRule="auto"/>
              <w:jc w:val="both"/>
            </w:pPr>
            <w:r w:rsidRPr="00C26B99">
              <w:t>Fertilizer</w:t>
            </w:r>
          </w:p>
        </w:tc>
        <w:tc>
          <w:tcPr>
            <w:tcW w:w="3619" w:type="pct"/>
          </w:tcPr>
          <w:p w:rsidR="00630139" w:rsidRPr="00C26B99" w:rsidRDefault="00630139" w:rsidP="006775DC">
            <w:pPr>
              <w:spacing w:after="0" w:line="240" w:lineRule="auto"/>
              <w:jc w:val="both"/>
            </w:pPr>
            <w:r w:rsidRPr="00C26B99">
              <w:t xml:space="preserve">Biofertilizer from coconut dust, earthworm compost, and green manure  </w:t>
            </w:r>
          </w:p>
        </w:tc>
      </w:tr>
      <w:tr w:rsidR="00630139" w:rsidRPr="004452AB" w:rsidTr="006775DC">
        <w:tc>
          <w:tcPr>
            <w:tcW w:w="1381" w:type="pct"/>
          </w:tcPr>
          <w:p w:rsidR="00630139" w:rsidRPr="00C26B99" w:rsidRDefault="00630139" w:rsidP="006775DC">
            <w:pPr>
              <w:spacing w:after="0" w:line="240" w:lineRule="auto"/>
              <w:jc w:val="both"/>
            </w:pPr>
            <w:r w:rsidRPr="00C26B99">
              <w:t xml:space="preserve">Pesticide  </w:t>
            </w:r>
          </w:p>
        </w:tc>
        <w:tc>
          <w:tcPr>
            <w:tcW w:w="3619" w:type="pct"/>
          </w:tcPr>
          <w:p w:rsidR="00630139" w:rsidRPr="00C26B99" w:rsidRDefault="00630139" w:rsidP="006775DC">
            <w:pPr>
              <w:spacing w:after="0" w:line="240" w:lineRule="auto"/>
              <w:jc w:val="both"/>
            </w:pPr>
            <w:r w:rsidRPr="00C26B99">
              <w:t xml:space="preserve">Pheromones, parasitoids, and phostoxin  </w:t>
            </w:r>
          </w:p>
        </w:tc>
      </w:tr>
      <w:tr w:rsidR="00630139" w:rsidRPr="004452AB" w:rsidTr="006775DC">
        <w:tc>
          <w:tcPr>
            <w:tcW w:w="1381" w:type="pct"/>
          </w:tcPr>
          <w:p w:rsidR="00630139" w:rsidRPr="00C26B99" w:rsidRDefault="00630139" w:rsidP="006775DC">
            <w:pPr>
              <w:spacing w:after="0" w:line="240" w:lineRule="auto"/>
              <w:jc w:val="both"/>
            </w:pPr>
            <w:r w:rsidRPr="00C26B99">
              <w:t>Machinery</w:t>
            </w:r>
          </w:p>
        </w:tc>
        <w:tc>
          <w:tcPr>
            <w:tcW w:w="3619" w:type="pct"/>
          </w:tcPr>
          <w:p w:rsidR="00630139" w:rsidRPr="00C26B99" w:rsidRDefault="00630139" w:rsidP="006775DC">
            <w:pPr>
              <w:spacing w:after="0" w:line="240" w:lineRule="auto"/>
              <w:jc w:val="both"/>
            </w:pPr>
            <w:r w:rsidRPr="00C26B99">
              <w:t xml:space="preserve">Corn shellers, rippers, threshers, straw-bundle cutting machines, and seeders  </w:t>
            </w:r>
          </w:p>
        </w:tc>
      </w:tr>
      <w:tr w:rsidR="00630139" w:rsidRPr="004452AB" w:rsidTr="006775DC">
        <w:tc>
          <w:tcPr>
            <w:tcW w:w="1381" w:type="pct"/>
          </w:tcPr>
          <w:p w:rsidR="00630139" w:rsidRPr="00C26B99" w:rsidRDefault="00630139" w:rsidP="006775DC">
            <w:pPr>
              <w:spacing w:after="0" w:line="240" w:lineRule="auto"/>
              <w:jc w:val="both"/>
            </w:pPr>
            <w:r w:rsidRPr="00C26B99">
              <w:t xml:space="preserve">Large-scale Crop-based  production  </w:t>
            </w:r>
          </w:p>
        </w:tc>
        <w:tc>
          <w:tcPr>
            <w:tcW w:w="3619" w:type="pct"/>
          </w:tcPr>
          <w:p w:rsidR="00630139" w:rsidRPr="00C26B99" w:rsidRDefault="00630139" w:rsidP="006775DC">
            <w:pPr>
              <w:spacing w:after="0" w:line="240" w:lineRule="auto"/>
              <w:jc w:val="both"/>
            </w:pPr>
            <w:r w:rsidRPr="00C26B99">
              <w:t xml:space="preserve">Cultivars for gladiolas, strawberries, longum, grapes, guava, jujube, and durian  </w:t>
            </w:r>
          </w:p>
        </w:tc>
      </w:tr>
      <w:tr w:rsidR="00630139" w:rsidRPr="004452AB" w:rsidTr="006775DC">
        <w:tc>
          <w:tcPr>
            <w:tcW w:w="1381" w:type="pct"/>
          </w:tcPr>
          <w:p w:rsidR="00630139" w:rsidRPr="00C26B99" w:rsidRDefault="00630139" w:rsidP="006775DC">
            <w:pPr>
              <w:spacing w:after="0" w:line="240" w:lineRule="auto"/>
              <w:jc w:val="both"/>
            </w:pPr>
            <w:r w:rsidRPr="00C26B99">
              <w:t xml:space="preserve">Processing Crop-based  </w:t>
            </w:r>
          </w:p>
        </w:tc>
        <w:tc>
          <w:tcPr>
            <w:tcW w:w="3619" w:type="pct"/>
          </w:tcPr>
          <w:p w:rsidR="00630139" w:rsidRPr="00C26B99" w:rsidRDefault="00630139" w:rsidP="006775DC">
            <w:pPr>
              <w:spacing w:after="0" w:line="240" w:lineRule="auto"/>
              <w:jc w:val="both"/>
            </w:pPr>
            <w:r w:rsidRPr="00C26B99">
              <w:t>Rubber rollers, color sorters, and graders for rice processing; and solvent extraction for oil seeds and rice bran</w:t>
            </w:r>
          </w:p>
        </w:tc>
      </w:tr>
    </w:tbl>
    <w:p w:rsidR="000207D1" w:rsidRDefault="000207D1" w:rsidP="00C6204B">
      <w:pPr>
        <w:pStyle w:val="Heading4"/>
        <w:rPr>
          <w:u w:val="single"/>
        </w:rPr>
      </w:pPr>
      <w:bookmarkStart w:id="607" w:name="_Ref463191491"/>
      <w:bookmarkStart w:id="608" w:name="_Toc463361347"/>
      <w:bookmarkStart w:id="609" w:name="_Toc474639060"/>
    </w:p>
    <w:p w:rsidR="00630139" w:rsidRPr="000207D1" w:rsidRDefault="00F64A6A" w:rsidP="00C6204B">
      <w:pPr>
        <w:pStyle w:val="Heading4"/>
        <w:rPr>
          <w:u w:val="single"/>
        </w:rPr>
      </w:pPr>
      <w:r w:rsidRPr="00F64A6A">
        <w:rPr>
          <w:u w:val="single"/>
        </w:rPr>
        <w:t>Table 8.1</w:t>
      </w:r>
      <w:bookmarkEnd w:id="607"/>
      <w:r w:rsidRPr="00F64A6A">
        <w:rPr>
          <w:u w:val="single"/>
        </w:rPr>
        <w:t>6: Number of Cultivars Registered for Notified Crops, 2000–14</w:t>
      </w:r>
      <w:bookmarkEnd w:id="608"/>
      <w:bookmarkEnd w:id="609"/>
    </w:p>
    <w:tbl>
      <w:tblPr>
        <w:tblStyle w:val="TableGrid"/>
        <w:tblW w:w="5000" w:type="pct"/>
        <w:tblLook w:val="04A0"/>
      </w:tblPr>
      <w:tblGrid>
        <w:gridCol w:w="2396"/>
        <w:gridCol w:w="2836"/>
        <w:gridCol w:w="3080"/>
        <w:gridCol w:w="1264"/>
      </w:tblGrid>
      <w:tr w:rsidR="00630139" w:rsidRPr="004452AB" w:rsidTr="0053231E">
        <w:tc>
          <w:tcPr>
            <w:tcW w:w="1251" w:type="pct"/>
            <w:shd w:val="clear" w:color="auto" w:fill="EAF1DD" w:themeFill="accent3" w:themeFillTint="33"/>
          </w:tcPr>
          <w:p w:rsidR="00630139" w:rsidRPr="00C26B99" w:rsidRDefault="00630139" w:rsidP="006775DC">
            <w:pPr>
              <w:spacing w:after="0" w:line="240" w:lineRule="auto"/>
              <w:jc w:val="both"/>
              <w:rPr>
                <w:b/>
              </w:rPr>
            </w:pPr>
            <w:r w:rsidRPr="00C26B99">
              <w:rPr>
                <w:b/>
              </w:rPr>
              <w:t xml:space="preserve">Species, type of seed  </w:t>
            </w:r>
          </w:p>
        </w:tc>
        <w:tc>
          <w:tcPr>
            <w:tcW w:w="1481" w:type="pct"/>
            <w:shd w:val="clear" w:color="auto" w:fill="EAF1DD" w:themeFill="accent3" w:themeFillTint="33"/>
          </w:tcPr>
          <w:p w:rsidR="00630139" w:rsidRPr="00C26B99" w:rsidRDefault="00630139" w:rsidP="006775DC">
            <w:pPr>
              <w:spacing w:after="0" w:line="240" w:lineRule="auto"/>
              <w:jc w:val="both"/>
              <w:rPr>
                <w:b/>
              </w:rPr>
            </w:pPr>
            <w:r w:rsidRPr="00C26B99">
              <w:rPr>
                <w:b/>
              </w:rPr>
              <w:t>Cultivars submitted by private companies or NGOs</w:t>
            </w:r>
          </w:p>
        </w:tc>
        <w:tc>
          <w:tcPr>
            <w:tcW w:w="1608" w:type="pct"/>
            <w:shd w:val="clear" w:color="auto" w:fill="EAF1DD" w:themeFill="accent3" w:themeFillTint="33"/>
          </w:tcPr>
          <w:p w:rsidR="00630139" w:rsidRPr="00C26B99" w:rsidRDefault="00630139" w:rsidP="00C413FE">
            <w:pPr>
              <w:spacing w:after="0" w:line="240" w:lineRule="auto"/>
              <w:jc w:val="both"/>
              <w:rPr>
                <w:b/>
              </w:rPr>
            </w:pPr>
            <w:r w:rsidRPr="00C26B99">
              <w:rPr>
                <w:b/>
              </w:rPr>
              <w:t xml:space="preserve">Cultivars submitted by </w:t>
            </w:r>
            <w:r w:rsidR="00C413FE">
              <w:rPr>
                <w:b/>
              </w:rPr>
              <w:t>public</w:t>
            </w:r>
            <w:r w:rsidRPr="00C26B99">
              <w:rPr>
                <w:b/>
              </w:rPr>
              <w:t xml:space="preserve"> agencies  </w:t>
            </w:r>
          </w:p>
        </w:tc>
        <w:tc>
          <w:tcPr>
            <w:tcW w:w="660" w:type="pct"/>
            <w:shd w:val="clear" w:color="auto" w:fill="EAF1DD" w:themeFill="accent3" w:themeFillTint="33"/>
          </w:tcPr>
          <w:p w:rsidR="00630139" w:rsidRPr="00C26B99" w:rsidRDefault="00630139" w:rsidP="006775DC">
            <w:pPr>
              <w:spacing w:after="0" w:line="240" w:lineRule="auto"/>
              <w:jc w:val="both"/>
              <w:rPr>
                <w:b/>
              </w:rPr>
            </w:pPr>
            <w:r w:rsidRPr="00C26B99">
              <w:rPr>
                <w:b/>
              </w:rPr>
              <w:t>Total</w:t>
            </w:r>
          </w:p>
        </w:tc>
      </w:tr>
      <w:tr w:rsidR="00630139" w:rsidRPr="004452AB" w:rsidTr="0053231E">
        <w:tc>
          <w:tcPr>
            <w:tcW w:w="1251" w:type="pct"/>
          </w:tcPr>
          <w:p w:rsidR="00630139" w:rsidRPr="00C26B99" w:rsidRDefault="00630139" w:rsidP="006775DC">
            <w:pPr>
              <w:spacing w:after="0" w:line="240" w:lineRule="auto"/>
              <w:jc w:val="both"/>
            </w:pPr>
            <w:r w:rsidRPr="00C26B99">
              <w:t>Rice Varieties</w:t>
            </w:r>
          </w:p>
        </w:tc>
        <w:tc>
          <w:tcPr>
            <w:tcW w:w="1481" w:type="pct"/>
          </w:tcPr>
          <w:p w:rsidR="00630139" w:rsidRPr="00C26B99" w:rsidRDefault="00630139" w:rsidP="006775DC">
            <w:pPr>
              <w:spacing w:after="0" w:line="240" w:lineRule="auto"/>
              <w:jc w:val="both"/>
            </w:pPr>
            <w:r w:rsidRPr="00C26B99">
              <w:t>0</w:t>
            </w:r>
          </w:p>
        </w:tc>
        <w:tc>
          <w:tcPr>
            <w:tcW w:w="1608" w:type="pct"/>
          </w:tcPr>
          <w:p w:rsidR="00630139" w:rsidRPr="00C26B99" w:rsidRDefault="00630139" w:rsidP="006775DC">
            <w:pPr>
              <w:spacing w:after="0" w:line="240" w:lineRule="auto"/>
              <w:jc w:val="both"/>
            </w:pPr>
            <w:r w:rsidRPr="00C26B99">
              <w:t>13</w:t>
            </w:r>
          </w:p>
        </w:tc>
        <w:tc>
          <w:tcPr>
            <w:tcW w:w="660" w:type="pct"/>
          </w:tcPr>
          <w:p w:rsidR="00630139" w:rsidRPr="00C26B99" w:rsidRDefault="00630139" w:rsidP="006775DC">
            <w:pPr>
              <w:spacing w:after="0" w:line="240" w:lineRule="auto"/>
              <w:jc w:val="both"/>
            </w:pPr>
            <w:r w:rsidRPr="00C26B99">
              <w:t>13</w:t>
            </w:r>
          </w:p>
        </w:tc>
      </w:tr>
      <w:tr w:rsidR="00630139" w:rsidRPr="004452AB" w:rsidTr="0053231E">
        <w:tc>
          <w:tcPr>
            <w:tcW w:w="1251" w:type="pct"/>
          </w:tcPr>
          <w:p w:rsidR="00630139" w:rsidRPr="00C26B99" w:rsidRDefault="00630139" w:rsidP="006775DC">
            <w:pPr>
              <w:spacing w:after="0" w:line="240" w:lineRule="auto"/>
              <w:jc w:val="both"/>
            </w:pPr>
            <w:r w:rsidRPr="00C26B99">
              <w:t>Hybrid Rice Varieties</w:t>
            </w:r>
          </w:p>
        </w:tc>
        <w:tc>
          <w:tcPr>
            <w:tcW w:w="1481" w:type="pct"/>
          </w:tcPr>
          <w:p w:rsidR="00630139" w:rsidRPr="00C26B99" w:rsidRDefault="00630139" w:rsidP="006775DC">
            <w:pPr>
              <w:spacing w:after="0" w:line="240" w:lineRule="auto"/>
              <w:jc w:val="both"/>
            </w:pPr>
            <w:r w:rsidRPr="00C26B99">
              <w:t>76</w:t>
            </w:r>
          </w:p>
        </w:tc>
        <w:tc>
          <w:tcPr>
            <w:tcW w:w="1608" w:type="pct"/>
          </w:tcPr>
          <w:p w:rsidR="00630139" w:rsidRPr="00C26B99" w:rsidRDefault="00630139" w:rsidP="006775DC">
            <w:pPr>
              <w:spacing w:after="0" w:line="240" w:lineRule="auto"/>
              <w:jc w:val="both"/>
            </w:pPr>
            <w:r w:rsidRPr="00C26B99">
              <w:t>5</w:t>
            </w:r>
          </w:p>
        </w:tc>
        <w:tc>
          <w:tcPr>
            <w:tcW w:w="660" w:type="pct"/>
          </w:tcPr>
          <w:p w:rsidR="00630139" w:rsidRPr="00C26B99" w:rsidRDefault="00630139" w:rsidP="006775DC">
            <w:pPr>
              <w:spacing w:after="0" w:line="240" w:lineRule="auto"/>
              <w:jc w:val="both"/>
            </w:pPr>
            <w:r w:rsidRPr="00C26B99">
              <w:t>81</w:t>
            </w:r>
          </w:p>
        </w:tc>
      </w:tr>
      <w:tr w:rsidR="00630139" w:rsidRPr="004452AB" w:rsidTr="0053231E">
        <w:tc>
          <w:tcPr>
            <w:tcW w:w="1251" w:type="pct"/>
          </w:tcPr>
          <w:p w:rsidR="00630139" w:rsidRPr="00C26B99" w:rsidRDefault="00630139" w:rsidP="006775DC">
            <w:pPr>
              <w:spacing w:after="0" w:line="240" w:lineRule="auto"/>
              <w:jc w:val="both"/>
            </w:pPr>
            <w:r w:rsidRPr="00C26B99">
              <w:t>Wheat</w:t>
            </w:r>
          </w:p>
        </w:tc>
        <w:tc>
          <w:tcPr>
            <w:tcW w:w="1481" w:type="pct"/>
          </w:tcPr>
          <w:p w:rsidR="00630139" w:rsidRPr="00C26B99" w:rsidRDefault="00630139" w:rsidP="006775DC">
            <w:pPr>
              <w:spacing w:after="0" w:line="240" w:lineRule="auto"/>
              <w:jc w:val="both"/>
            </w:pPr>
            <w:r w:rsidRPr="00C26B99">
              <w:t>0</w:t>
            </w:r>
          </w:p>
        </w:tc>
        <w:tc>
          <w:tcPr>
            <w:tcW w:w="1608" w:type="pct"/>
          </w:tcPr>
          <w:p w:rsidR="00630139" w:rsidRPr="00C26B99" w:rsidRDefault="00630139" w:rsidP="006775DC">
            <w:pPr>
              <w:spacing w:after="0" w:line="240" w:lineRule="auto"/>
              <w:jc w:val="both"/>
            </w:pPr>
            <w:r w:rsidRPr="00C26B99">
              <w:t>6</w:t>
            </w:r>
          </w:p>
        </w:tc>
        <w:tc>
          <w:tcPr>
            <w:tcW w:w="660" w:type="pct"/>
          </w:tcPr>
          <w:p w:rsidR="00630139" w:rsidRPr="00C26B99" w:rsidRDefault="00630139" w:rsidP="006775DC">
            <w:pPr>
              <w:spacing w:after="0" w:line="240" w:lineRule="auto"/>
              <w:jc w:val="both"/>
            </w:pPr>
            <w:r w:rsidRPr="00C26B99">
              <w:t>6</w:t>
            </w:r>
          </w:p>
        </w:tc>
      </w:tr>
      <w:tr w:rsidR="00630139" w:rsidRPr="004452AB" w:rsidTr="0053231E">
        <w:tc>
          <w:tcPr>
            <w:tcW w:w="1251" w:type="pct"/>
          </w:tcPr>
          <w:p w:rsidR="00630139" w:rsidRPr="00C26B99" w:rsidRDefault="00630139" w:rsidP="006775DC">
            <w:pPr>
              <w:spacing w:after="0" w:line="240" w:lineRule="auto"/>
              <w:jc w:val="both"/>
            </w:pPr>
            <w:r w:rsidRPr="00C26B99">
              <w:t>Maize</w:t>
            </w:r>
          </w:p>
        </w:tc>
        <w:tc>
          <w:tcPr>
            <w:tcW w:w="1481" w:type="pct"/>
          </w:tcPr>
          <w:p w:rsidR="00630139" w:rsidRPr="00C26B99" w:rsidRDefault="00630139" w:rsidP="006775DC">
            <w:pPr>
              <w:spacing w:after="0" w:line="240" w:lineRule="auto"/>
              <w:jc w:val="both"/>
            </w:pPr>
            <w:r w:rsidRPr="00C26B99">
              <w:t>44</w:t>
            </w:r>
          </w:p>
        </w:tc>
        <w:tc>
          <w:tcPr>
            <w:tcW w:w="1608" w:type="pct"/>
          </w:tcPr>
          <w:p w:rsidR="00630139" w:rsidRPr="00C26B99" w:rsidRDefault="00630139" w:rsidP="006775DC">
            <w:pPr>
              <w:spacing w:after="0" w:line="240" w:lineRule="auto"/>
              <w:jc w:val="both"/>
            </w:pPr>
            <w:r w:rsidRPr="00C26B99">
              <w:t>8</w:t>
            </w:r>
          </w:p>
        </w:tc>
        <w:tc>
          <w:tcPr>
            <w:tcW w:w="660" w:type="pct"/>
          </w:tcPr>
          <w:p w:rsidR="00630139" w:rsidRPr="00C26B99" w:rsidRDefault="00630139" w:rsidP="006775DC">
            <w:pPr>
              <w:spacing w:after="0" w:line="240" w:lineRule="auto"/>
              <w:jc w:val="both"/>
            </w:pPr>
            <w:r w:rsidRPr="00C26B99">
              <w:t>52</w:t>
            </w:r>
          </w:p>
        </w:tc>
      </w:tr>
      <w:tr w:rsidR="00630139" w:rsidRPr="004452AB" w:rsidTr="0053231E">
        <w:tc>
          <w:tcPr>
            <w:tcW w:w="1251" w:type="pct"/>
          </w:tcPr>
          <w:p w:rsidR="00630139" w:rsidRPr="00C26B99" w:rsidRDefault="00630139" w:rsidP="006775DC">
            <w:pPr>
              <w:spacing w:after="0" w:line="240" w:lineRule="auto"/>
              <w:jc w:val="both"/>
            </w:pPr>
            <w:r w:rsidRPr="00C26B99">
              <w:t>Jute</w:t>
            </w:r>
          </w:p>
        </w:tc>
        <w:tc>
          <w:tcPr>
            <w:tcW w:w="1481" w:type="pct"/>
          </w:tcPr>
          <w:p w:rsidR="00630139" w:rsidRPr="00C26B99" w:rsidRDefault="00630139" w:rsidP="006775DC">
            <w:pPr>
              <w:spacing w:after="0" w:line="240" w:lineRule="auto"/>
              <w:jc w:val="both"/>
            </w:pPr>
            <w:r w:rsidRPr="00C26B99">
              <w:t>0</w:t>
            </w:r>
          </w:p>
        </w:tc>
        <w:tc>
          <w:tcPr>
            <w:tcW w:w="1608" w:type="pct"/>
          </w:tcPr>
          <w:p w:rsidR="00630139" w:rsidRPr="00C26B99" w:rsidRDefault="00630139" w:rsidP="006775DC">
            <w:pPr>
              <w:spacing w:after="0" w:line="240" w:lineRule="auto"/>
              <w:jc w:val="both"/>
            </w:pPr>
            <w:r w:rsidRPr="00C26B99">
              <w:t>3</w:t>
            </w:r>
          </w:p>
        </w:tc>
        <w:tc>
          <w:tcPr>
            <w:tcW w:w="660" w:type="pct"/>
          </w:tcPr>
          <w:p w:rsidR="00630139" w:rsidRPr="00C26B99" w:rsidRDefault="00630139" w:rsidP="006775DC">
            <w:pPr>
              <w:spacing w:after="0" w:line="240" w:lineRule="auto"/>
              <w:jc w:val="both"/>
            </w:pPr>
            <w:r w:rsidRPr="00C26B99">
              <w:t>3</w:t>
            </w:r>
          </w:p>
        </w:tc>
      </w:tr>
      <w:tr w:rsidR="00630139" w:rsidRPr="004452AB" w:rsidTr="0053231E">
        <w:tc>
          <w:tcPr>
            <w:tcW w:w="1251" w:type="pct"/>
          </w:tcPr>
          <w:p w:rsidR="00630139" w:rsidRPr="00C26B99" w:rsidRDefault="00630139" w:rsidP="006775DC">
            <w:pPr>
              <w:spacing w:after="0" w:line="240" w:lineRule="auto"/>
              <w:jc w:val="both"/>
            </w:pPr>
            <w:r w:rsidRPr="00C26B99">
              <w:t>Potatoes</w:t>
            </w:r>
          </w:p>
        </w:tc>
        <w:tc>
          <w:tcPr>
            <w:tcW w:w="1481" w:type="pct"/>
          </w:tcPr>
          <w:p w:rsidR="00630139" w:rsidRPr="00C26B99" w:rsidRDefault="00630139" w:rsidP="006775DC">
            <w:pPr>
              <w:spacing w:after="0" w:line="240" w:lineRule="auto"/>
              <w:jc w:val="both"/>
            </w:pPr>
            <w:r w:rsidRPr="00C26B99">
              <w:t>0</w:t>
            </w:r>
          </w:p>
        </w:tc>
        <w:tc>
          <w:tcPr>
            <w:tcW w:w="1608" w:type="pct"/>
          </w:tcPr>
          <w:p w:rsidR="00630139" w:rsidRPr="00C26B99" w:rsidRDefault="00630139" w:rsidP="006775DC">
            <w:pPr>
              <w:spacing w:after="0" w:line="240" w:lineRule="auto"/>
              <w:jc w:val="both"/>
            </w:pPr>
            <w:r w:rsidRPr="00C26B99">
              <w:t>11</w:t>
            </w:r>
          </w:p>
        </w:tc>
        <w:tc>
          <w:tcPr>
            <w:tcW w:w="660" w:type="pct"/>
          </w:tcPr>
          <w:p w:rsidR="00630139" w:rsidRPr="00C26B99" w:rsidRDefault="00630139" w:rsidP="006775DC">
            <w:pPr>
              <w:spacing w:after="0" w:line="240" w:lineRule="auto"/>
              <w:jc w:val="both"/>
            </w:pPr>
            <w:r w:rsidRPr="00C26B99">
              <w:t>11</w:t>
            </w:r>
          </w:p>
        </w:tc>
      </w:tr>
      <w:tr w:rsidR="00630139" w:rsidRPr="004452AB" w:rsidTr="0053231E">
        <w:tc>
          <w:tcPr>
            <w:tcW w:w="1251" w:type="pct"/>
          </w:tcPr>
          <w:p w:rsidR="00630139" w:rsidRPr="00C26B99" w:rsidRDefault="00630139" w:rsidP="006775DC">
            <w:pPr>
              <w:spacing w:after="0" w:line="240" w:lineRule="auto"/>
              <w:jc w:val="both"/>
            </w:pPr>
            <w:r w:rsidRPr="00C26B99">
              <w:t>Sugarcane</w:t>
            </w:r>
          </w:p>
        </w:tc>
        <w:tc>
          <w:tcPr>
            <w:tcW w:w="1481" w:type="pct"/>
          </w:tcPr>
          <w:p w:rsidR="00630139" w:rsidRPr="00C26B99" w:rsidRDefault="00630139" w:rsidP="006775DC">
            <w:pPr>
              <w:spacing w:after="0" w:line="240" w:lineRule="auto"/>
              <w:jc w:val="both"/>
            </w:pPr>
            <w:r w:rsidRPr="00C26B99">
              <w:t>0</w:t>
            </w:r>
          </w:p>
        </w:tc>
        <w:tc>
          <w:tcPr>
            <w:tcW w:w="1608" w:type="pct"/>
          </w:tcPr>
          <w:p w:rsidR="00630139" w:rsidRPr="00C26B99" w:rsidRDefault="00630139" w:rsidP="006775DC">
            <w:pPr>
              <w:spacing w:after="0" w:line="240" w:lineRule="auto"/>
              <w:jc w:val="both"/>
            </w:pPr>
            <w:r w:rsidRPr="00C26B99">
              <w:t>8</w:t>
            </w:r>
          </w:p>
        </w:tc>
        <w:tc>
          <w:tcPr>
            <w:tcW w:w="660" w:type="pct"/>
          </w:tcPr>
          <w:p w:rsidR="00630139" w:rsidRPr="00C26B99" w:rsidRDefault="00630139" w:rsidP="006775DC">
            <w:pPr>
              <w:spacing w:after="0" w:line="240" w:lineRule="auto"/>
              <w:jc w:val="both"/>
            </w:pPr>
            <w:r w:rsidRPr="00C26B99">
              <w:t>8</w:t>
            </w:r>
          </w:p>
        </w:tc>
      </w:tr>
    </w:tbl>
    <w:p w:rsidR="00630139" w:rsidRPr="000207D1" w:rsidRDefault="00F64A6A" w:rsidP="0053231E">
      <w:pPr>
        <w:spacing w:before="240" w:line="276" w:lineRule="auto"/>
        <w:jc w:val="both"/>
        <w:rPr>
          <w:u w:val="single"/>
        </w:rPr>
      </w:pPr>
      <w:r w:rsidRPr="00F64A6A">
        <w:rPr>
          <w:u w:val="single"/>
        </w:rPr>
        <w:t xml:space="preserve">For all non-notified crops, such as maize and vegetables, private companies have introduced hundreds of cultivars, but there is no centralized record of what has been introduced. For example, the Seed Certification Agency registered 52 maize cultivars during 2000–08, of which private organizations submitted 44.  </w:t>
      </w:r>
    </w:p>
    <w:p w:rsidR="00630139" w:rsidRPr="00C26B99" w:rsidRDefault="00630139" w:rsidP="0055784E">
      <w:pPr>
        <w:spacing w:line="276" w:lineRule="auto"/>
        <w:jc w:val="both"/>
        <w:rPr>
          <w:lang w:eastAsia="en-AU"/>
        </w:rPr>
      </w:pPr>
      <w:r w:rsidRPr="00C26B99">
        <w:rPr>
          <w:lang w:eastAsia="en-AU"/>
        </w:rPr>
        <w:t xml:space="preserve">Bangladesh Agricultural Research Institute (BARI) has introduced hydroponic system successfully using steel or plastic tray for cultivation of various crops and flower.  </w:t>
      </w:r>
      <w:r w:rsidR="00F64A6A" w:rsidRPr="00F64A6A">
        <w:rPr>
          <w:u w:val="single"/>
          <w:lang w:eastAsia="en-AU"/>
        </w:rPr>
        <w:t xml:space="preserve">High value vegetable like, tomato, cucumber, capsicum, lettuce and fruits- strawberry can be cultivated in the hydroponic system in a controlled environment. </w:t>
      </w:r>
      <w:r w:rsidRPr="00C26B99">
        <w:rPr>
          <w:lang w:eastAsia="en-AU"/>
        </w:rPr>
        <w:t>Strawberry is perfect for hydroponic system because it can be rotten in a very short time with direct contact of soil. Therefore, it is indeed a big opportunity for our small scale family farmers and traditional cultivation practices to cultivate different vegetables, fruit and flower throughout the year.  However, the only limitation is high initial installation cost. It can be a cost effective option for long term, since the system can be used for several years without further significant maintenance cost.</w:t>
      </w:r>
    </w:p>
    <w:p w:rsidR="00630139" w:rsidRPr="00C26B99" w:rsidRDefault="00630139" w:rsidP="0055784E">
      <w:pPr>
        <w:spacing w:line="276" w:lineRule="auto"/>
        <w:jc w:val="both"/>
      </w:pPr>
      <w:r w:rsidRPr="00C26B99">
        <w:t xml:space="preserve">Water saving technology in rice farming: </w:t>
      </w:r>
      <w:r w:rsidR="00F64A6A" w:rsidRPr="00F64A6A">
        <w:rPr>
          <w:u w:val="single"/>
        </w:rPr>
        <w:t xml:space="preserve">It takes 14 million litres of irrigation water to produce 6 tonnes of Boro rice on one hectare of typical farmland in Bangladesh. In other words, one </w:t>
      </w:r>
      <w:r w:rsidR="00F64A6A" w:rsidRPr="00F64A6A">
        <w:rPr>
          <w:u w:val="single"/>
        </w:rPr>
        <w:lastRenderedPageBreak/>
        <w:t>needs 3,500 litres of water to produce a kg. of rice.</w:t>
      </w:r>
      <w:r w:rsidRPr="00C26B99">
        <w:t xml:space="preserve"> Prof. Mashiur </w:t>
      </w:r>
      <w:r w:rsidR="000207D1">
        <w:t xml:space="preserve">(BAU?) </w:t>
      </w:r>
      <w:r w:rsidRPr="00C26B99">
        <w:t>has developed a new farm technology where Boro will be grown as dry direct-seeded method instead of conventional puddle transplanted method, thereby halving the need of water. This has already received the attention of the Ministry of Agriculture.</w:t>
      </w:r>
    </w:p>
    <w:p w:rsidR="00630139" w:rsidRPr="00512072" w:rsidRDefault="00630139" w:rsidP="00974AEB">
      <w:pPr>
        <w:pStyle w:val="BodyText"/>
        <w:tabs>
          <w:tab w:val="left" w:pos="654"/>
        </w:tabs>
        <w:spacing w:after="240" w:line="276" w:lineRule="auto"/>
        <w:jc w:val="both"/>
        <w:rPr>
          <w:rFonts w:cs="Times New Roman"/>
          <w:szCs w:val="24"/>
        </w:rPr>
      </w:pPr>
      <w:r w:rsidRPr="00512072">
        <w:rPr>
          <w:rFonts w:cs="Times New Roman"/>
          <w:szCs w:val="24"/>
        </w:rPr>
        <w:t>Since the 1970s, the Government of Bangladesh, with the support of development partners, has invested in adaptation projects/schemes:</w:t>
      </w:r>
    </w:p>
    <w:p w:rsidR="00630139" w:rsidRPr="00512072" w:rsidRDefault="00630139" w:rsidP="00974AEB">
      <w:pPr>
        <w:pStyle w:val="BodyText"/>
        <w:widowControl w:val="0"/>
        <w:numPr>
          <w:ilvl w:val="0"/>
          <w:numId w:val="64"/>
        </w:numPr>
        <w:tabs>
          <w:tab w:val="left" w:pos="675"/>
        </w:tabs>
        <w:spacing w:after="0" w:line="276" w:lineRule="auto"/>
        <w:ind w:left="360" w:hanging="360"/>
        <w:jc w:val="both"/>
        <w:rPr>
          <w:rFonts w:cs="Times New Roman"/>
          <w:szCs w:val="24"/>
        </w:rPr>
      </w:pPr>
      <w:r w:rsidRPr="00512072">
        <w:rPr>
          <w:rFonts w:cs="Times New Roman"/>
          <w:b/>
          <w:szCs w:val="24"/>
        </w:rPr>
        <w:t>flood management schemes</w:t>
      </w:r>
      <w:r w:rsidRPr="00512072">
        <w:rPr>
          <w:rFonts w:cs="Times New Roman"/>
          <w:szCs w:val="24"/>
        </w:rPr>
        <w:t xml:space="preserve"> to raise the agricultural productivity of many thousands of km</w:t>
      </w:r>
      <w:r w:rsidRPr="00512072">
        <w:rPr>
          <w:rFonts w:cs="Times New Roman"/>
          <w:position w:val="9"/>
          <w:szCs w:val="24"/>
        </w:rPr>
        <w:t xml:space="preserve">2 </w:t>
      </w:r>
      <w:r w:rsidRPr="00512072">
        <w:rPr>
          <w:rFonts w:cs="Times New Roman"/>
          <w:szCs w:val="24"/>
        </w:rPr>
        <w:t>of low-lying rural areas and to protect them from extremely damaging severe floods;</w:t>
      </w:r>
    </w:p>
    <w:p w:rsidR="00630139" w:rsidRPr="00512072" w:rsidRDefault="00630139" w:rsidP="00974AEB">
      <w:pPr>
        <w:pStyle w:val="BodyText"/>
        <w:widowControl w:val="0"/>
        <w:numPr>
          <w:ilvl w:val="0"/>
          <w:numId w:val="64"/>
        </w:numPr>
        <w:tabs>
          <w:tab w:val="left" w:pos="675"/>
        </w:tabs>
        <w:spacing w:after="0" w:line="276" w:lineRule="auto"/>
        <w:ind w:left="360" w:hanging="360"/>
        <w:jc w:val="both"/>
        <w:rPr>
          <w:rFonts w:cs="Times New Roman"/>
          <w:szCs w:val="24"/>
        </w:rPr>
      </w:pPr>
      <w:r w:rsidRPr="00512072">
        <w:rPr>
          <w:rFonts w:cs="Times New Roman"/>
          <w:b/>
          <w:szCs w:val="24"/>
        </w:rPr>
        <w:t>flood protection and drainage schemes</w:t>
      </w:r>
      <w:r w:rsidRPr="00512072">
        <w:rPr>
          <w:rFonts w:cs="Times New Roman"/>
          <w:szCs w:val="24"/>
        </w:rPr>
        <w:t xml:space="preserve"> to protect urban areas from rainwater and river flooding during the monsoon season;</w:t>
      </w:r>
    </w:p>
    <w:p w:rsidR="00630139" w:rsidRPr="00512072" w:rsidRDefault="00630139" w:rsidP="00974AEB">
      <w:pPr>
        <w:pStyle w:val="BodyText"/>
        <w:widowControl w:val="0"/>
        <w:numPr>
          <w:ilvl w:val="0"/>
          <w:numId w:val="64"/>
        </w:numPr>
        <w:tabs>
          <w:tab w:val="left" w:pos="675"/>
        </w:tabs>
        <w:spacing w:after="0" w:line="276" w:lineRule="auto"/>
        <w:ind w:left="360" w:hanging="360"/>
        <w:jc w:val="both"/>
        <w:rPr>
          <w:rFonts w:cs="Times New Roman"/>
          <w:szCs w:val="24"/>
        </w:rPr>
      </w:pPr>
      <w:r w:rsidRPr="00512072">
        <w:rPr>
          <w:rFonts w:cs="Times New Roman"/>
          <w:b/>
          <w:szCs w:val="24"/>
        </w:rPr>
        <w:t>coastal embankment projects</w:t>
      </w:r>
      <w:r w:rsidRPr="00512072">
        <w:rPr>
          <w:rFonts w:cs="Times New Roman"/>
          <w:szCs w:val="24"/>
        </w:rPr>
        <w:t>, involving over 6,000 km of embankments and polder schemes, designed to raise agricultural productivity in coastal areas by preventing tidal flooding and incursion of saline water;</w:t>
      </w:r>
    </w:p>
    <w:p w:rsidR="00630139" w:rsidRPr="00512072" w:rsidRDefault="00630139" w:rsidP="00974AEB">
      <w:pPr>
        <w:pStyle w:val="BodyText"/>
        <w:widowControl w:val="0"/>
        <w:numPr>
          <w:ilvl w:val="0"/>
          <w:numId w:val="64"/>
        </w:numPr>
        <w:tabs>
          <w:tab w:val="left" w:pos="675"/>
        </w:tabs>
        <w:spacing w:after="0" w:line="276" w:lineRule="auto"/>
        <w:ind w:left="360" w:hanging="360"/>
        <w:jc w:val="both"/>
        <w:rPr>
          <w:rFonts w:cs="Times New Roman"/>
          <w:szCs w:val="24"/>
        </w:rPr>
      </w:pPr>
      <w:r w:rsidRPr="00512072">
        <w:rPr>
          <w:rFonts w:cs="Times New Roman"/>
          <w:szCs w:val="24"/>
        </w:rPr>
        <w:t xml:space="preserve">over 2,000 </w:t>
      </w:r>
      <w:r w:rsidRPr="00512072">
        <w:rPr>
          <w:rFonts w:cs="Times New Roman"/>
          <w:b/>
          <w:szCs w:val="24"/>
        </w:rPr>
        <w:t>cyclone shelters</w:t>
      </w:r>
      <w:r w:rsidRPr="00512072">
        <w:rPr>
          <w:rFonts w:cs="Times New Roman"/>
          <w:szCs w:val="24"/>
        </w:rPr>
        <w:t xml:space="preserve"> to provide refuges for communities from storm surges caused by tropical cyclones and 200 shelters from river floods;</w:t>
      </w:r>
    </w:p>
    <w:p w:rsidR="00630139" w:rsidRPr="00512072" w:rsidRDefault="00630139" w:rsidP="00974AEB">
      <w:pPr>
        <w:pStyle w:val="BodyText"/>
        <w:widowControl w:val="0"/>
        <w:numPr>
          <w:ilvl w:val="0"/>
          <w:numId w:val="64"/>
        </w:numPr>
        <w:tabs>
          <w:tab w:val="left" w:pos="675"/>
        </w:tabs>
        <w:spacing w:after="0" w:line="276" w:lineRule="auto"/>
        <w:ind w:left="360" w:hanging="360"/>
        <w:jc w:val="both"/>
        <w:rPr>
          <w:rFonts w:cs="Times New Roman"/>
          <w:szCs w:val="24"/>
        </w:rPr>
      </w:pPr>
      <w:r w:rsidRPr="00512072">
        <w:rPr>
          <w:rFonts w:cs="Times New Roman"/>
          <w:b/>
          <w:szCs w:val="24"/>
        </w:rPr>
        <w:t xml:space="preserve">comprehensive disaster management </w:t>
      </w:r>
      <w:r w:rsidRPr="00512072">
        <w:rPr>
          <w:rFonts w:cs="Times New Roman"/>
          <w:szCs w:val="24"/>
        </w:rPr>
        <w:t>projects, involving community-based programmes and early warning systems for floods and cyclones;</w:t>
      </w:r>
    </w:p>
    <w:p w:rsidR="00630139" w:rsidRPr="00512072" w:rsidRDefault="00630139" w:rsidP="00974AEB">
      <w:pPr>
        <w:pStyle w:val="BodyText"/>
        <w:widowControl w:val="0"/>
        <w:numPr>
          <w:ilvl w:val="0"/>
          <w:numId w:val="64"/>
        </w:numPr>
        <w:tabs>
          <w:tab w:val="left" w:pos="1183"/>
        </w:tabs>
        <w:spacing w:after="0" w:line="276" w:lineRule="auto"/>
        <w:ind w:left="360" w:hanging="360"/>
        <w:jc w:val="both"/>
        <w:rPr>
          <w:rFonts w:cs="Times New Roman"/>
          <w:szCs w:val="24"/>
        </w:rPr>
      </w:pPr>
      <w:r w:rsidRPr="00512072">
        <w:rPr>
          <w:rFonts w:cs="Times New Roman"/>
          <w:b/>
          <w:szCs w:val="24"/>
        </w:rPr>
        <w:t>irrigation schemes</w:t>
      </w:r>
      <w:r w:rsidRPr="00512072">
        <w:rPr>
          <w:rFonts w:cs="Times New Roman"/>
          <w:szCs w:val="24"/>
        </w:rPr>
        <w:t xml:space="preserve"> to enable farmers to grow a dry season rice crop in areas subject to heavy monsoon flooding and in other parts of the </w:t>
      </w:r>
      <w:r w:rsidRPr="00512072">
        <w:rPr>
          <w:rFonts w:cs="Times New Roman"/>
          <w:spacing w:val="-3"/>
          <w:szCs w:val="24"/>
        </w:rPr>
        <w:t>country,</w:t>
      </w:r>
      <w:r w:rsidRPr="00512072">
        <w:rPr>
          <w:rFonts w:cs="Times New Roman"/>
          <w:szCs w:val="24"/>
        </w:rPr>
        <w:t xml:space="preserve"> including drought-prone areas;</w:t>
      </w:r>
    </w:p>
    <w:p w:rsidR="00630139" w:rsidRPr="000207D1" w:rsidRDefault="00F64A6A" w:rsidP="00974AEB">
      <w:pPr>
        <w:pStyle w:val="BodyText"/>
        <w:widowControl w:val="0"/>
        <w:numPr>
          <w:ilvl w:val="0"/>
          <w:numId w:val="64"/>
        </w:numPr>
        <w:tabs>
          <w:tab w:val="left" w:pos="1183"/>
        </w:tabs>
        <w:spacing w:after="0" w:line="276" w:lineRule="auto"/>
        <w:ind w:left="360" w:hanging="360"/>
        <w:jc w:val="both"/>
        <w:rPr>
          <w:rFonts w:cs="Times New Roman"/>
          <w:szCs w:val="24"/>
          <w:u w:val="single"/>
        </w:rPr>
      </w:pPr>
      <w:r w:rsidRPr="00F64A6A">
        <w:rPr>
          <w:rFonts w:cs="Times New Roman"/>
          <w:b/>
          <w:szCs w:val="24"/>
          <w:u w:val="single"/>
        </w:rPr>
        <w:t>agricultural research programmes</w:t>
      </w:r>
      <w:r w:rsidRPr="00F64A6A">
        <w:rPr>
          <w:rFonts w:cs="Times New Roman"/>
          <w:szCs w:val="24"/>
          <w:u w:val="single"/>
        </w:rPr>
        <w:t xml:space="preserve"> to develop saline, drought and flood-adapted high yielding varieties of rice and other crops, based on the traditional varieties evolved over centuries by Bangladeshi farmers;</w:t>
      </w:r>
    </w:p>
    <w:p w:rsidR="00630139" w:rsidRPr="000207D1" w:rsidRDefault="00F64A6A" w:rsidP="00974AEB">
      <w:pPr>
        <w:pStyle w:val="BodyText"/>
        <w:widowControl w:val="0"/>
        <w:numPr>
          <w:ilvl w:val="0"/>
          <w:numId w:val="64"/>
        </w:numPr>
        <w:tabs>
          <w:tab w:val="left" w:pos="1183"/>
        </w:tabs>
        <w:spacing w:after="0" w:line="276" w:lineRule="auto"/>
        <w:ind w:left="360" w:hanging="360"/>
        <w:jc w:val="both"/>
        <w:rPr>
          <w:rFonts w:cs="Times New Roman"/>
          <w:szCs w:val="24"/>
          <w:u w:val="single"/>
        </w:rPr>
      </w:pPr>
      <w:r w:rsidRPr="00F64A6A">
        <w:rPr>
          <w:rFonts w:cs="Times New Roman"/>
          <w:b/>
          <w:szCs w:val="24"/>
          <w:u w:val="single"/>
        </w:rPr>
        <w:t>coastal 'greenbelt' projects</w:t>
      </w:r>
      <w:r w:rsidRPr="00F64A6A">
        <w:rPr>
          <w:rFonts w:cs="Times New Roman"/>
          <w:szCs w:val="24"/>
          <w:u w:val="single"/>
        </w:rPr>
        <w:t>, involving mangrove planting along nearly 9,000 km of the shoreline.</w:t>
      </w:r>
    </w:p>
    <w:p w:rsidR="00630139" w:rsidRPr="00512072" w:rsidRDefault="00630139" w:rsidP="00974AEB">
      <w:pPr>
        <w:spacing w:line="276" w:lineRule="auto"/>
        <w:rPr>
          <w:rFonts w:eastAsia="Trebuchet MS" w:cs="Times New Roman"/>
          <w:sz w:val="2"/>
          <w:szCs w:val="2"/>
        </w:rPr>
      </w:pPr>
    </w:p>
    <w:p w:rsidR="00630139" w:rsidRPr="00512072" w:rsidRDefault="00630139" w:rsidP="00974AEB">
      <w:pPr>
        <w:spacing w:line="276" w:lineRule="auto"/>
        <w:jc w:val="both"/>
        <w:rPr>
          <w:rFonts w:cs="Times New Roman"/>
          <w:szCs w:val="24"/>
        </w:rPr>
      </w:pPr>
      <w:r w:rsidRPr="00512072">
        <w:rPr>
          <w:rFonts w:cs="Times New Roman"/>
          <w:szCs w:val="24"/>
        </w:rPr>
        <w:t xml:space="preserve">The following BCCSAP programmes are underway: </w:t>
      </w:r>
    </w:p>
    <w:p w:rsidR="00630139" w:rsidRPr="00512072" w:rsidRDefault="00630139" w:rsidP="00974AEB">
      <w:pPr>
        <w:spacing w:line="276" w:lineRule="auto"/>
        <w:jc w:val="both"/>
        <w:rPr>
          <w:rFonts w:cs="Times New Roman"/>
          <w:b/>
          <w:i/>
          <w:szCs w:val="24"/>
        </w:rPr>
      </w:pPr>
      <w:r w:rsidRPr="00512072">
        <w:rPr>
          <w:rFonts w:cs="Times New Roman"/>
          <w:b/>
          <w:i/>
          <w:szCs w:val="24"/>
        </w:rPr>
        <w:t xml:space="preserve">Building institutional capacity towards climate resilient cultivars:  </w:t>
      </w:r>
      <w:r w:rsidRPr="00512072">
        <w:rPr>
          <w:rFonts w:cs="Times New Roman"/>
          <w:szCs w:val="24"/>
        </w:rPr>
        <w:t xml:space="preserve">The impact of climate change on many food (e.g., potatoes) and non-food crops (e.g., jute) is largely unknown. Research is under way to understand these impacts and find out how to minimise adverse changes. It takes 7-8 years to breed new cultivars, certify them and release to the farmers. Following actions are underway: </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Collection and preservation of local cultivar varieties and documentation of their characteristics</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Research to develop climate resilient varieties of rice (i.e., heat, drought, salinity and submergence- tolerant varieties)</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Research to develop climate resilient cultivars of wheat and other food and non- food crops, including vegetables</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lastRenderedPageBreak/>
        <w:t>Field trials and dissemination to farmers of the local robust cultivars and the newly developed varieties, in partnership with the extension service and NGOs</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Strengthening the capacity of key research institutes and scientists to undertake the work.</w:t>
      </w:r>
    </w:p>
    <w:p w:rsidR="00630139" w:rsidRPr="00512072" w:rsidRDefault="00630139" w:rsidP="00974AEB">
      <w:pPr>
        <w:spacing w:line="276" w:lineRule="auto"/>
        <w:jc w:val="both"/>
        <w:rPr>
          <w:rFonts w:cs="Times New Roman"/>
          <w:b/>
          <w:i/>
          <w:szCs w:val="24"/>
        </w:rPr>
      </w:pPr>
      <w:r w:rsidRPr="00512072">
        <w:rPr>
          <w:rFonts w:cs="Times New Roman"/>
          <w:b/>
          <w:i/>
          <w:szCs w:val="24"/>
        </w:rPr>
        <w:t xml:space="preserve">Development of climate resilient cropping systems: </w:t>
      </w:r>
      <w:r w:rsidRPr="00512072">
        <w:rPr>
          <w:rFonts w:cs="Times New Roman"/>
          <w:szCs w:val="24"/>
        </w:rPr>
        <w:t xml:space="preserve">Climate change will require farmers to modify their current cropping systems or change to alternative systems. Following actions are underway: </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 xml:space="preserve">Identify likely changes in agro-economic zones and probable climatic parameters </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Develop climate resilient cropping patterns suited to different regions of the country</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Field trials of climate resilient cropping patterns and associated water management systems</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Develop seed supply and extension mechanisms</w:t>
      </w:r>
    </w:p>
    <w:p w:rsidR="00630139" w:rsidRPr="00512072" w:rsidRDefault="00630139" w:rsidP="00974AEB">
      <w:pPr>
        <w:spacing w:line="276" w:lineRule="auto"/>
        <w:jc w:val="both"/>
        <w:rPr>
          <w:rFonts w:cs="Times New Roman"/>
          <w:b/>
          <w:i/>
          <w:szCs w:val="24"/>
        </w:rPr>
      </w:pPr>
      <w:r w:rsidRPr="00512072">
        <w:rPr>
          <w:rFonts w:cs="Times New Roman"/>
          <w:b/>
          <w:i/>
          <w:szCs w:val="24"/>
        </w:rPr>
        <w:t xml:space="preserve">Adaptation-mitigation against drought:  </w:t>
      </w:r>
      <w:r w:rsidRPr="00512072">
        <w:rPr>
          <w:rFonts w:cs="Times New Roman"/>
          <w:szCs w:val="24"/>
        </w:rPr>
        <w:t xml:space="preserve">Climate change is likely to result in increasingly erratic rainfall patterns and droughts. </w:t>
      </w:r>
      <w:r w:rsidR="00F64A6A" w:rsidRPr="00F64A6A">
        <w:rPr>
          <w:rFonts w:cs="Times New Roman"/>
          <w:szCs w:val="24"/>
          <w:u w:val="single"/>
        </w:rPr>
        <w:t>Traditionally the main rice crop was aman,</w:t>
      </w:r>
      <w:r w:rsidRPr="00512072">
        <w:rPr>
          <w:rFonts w:cs="Times New Roman"/>
          <w:szCs w:val="24"/>
        </w:rPr>
        <w:t xml:space="preserve"> which was planted in the monsoon and harvested in the post-monsoon period. </w:t>
      </w:r>
      <w:r w:rsidR="00F64A6A" w:rsidRPr="00F64A6A">
        <w:rPr>
          <w:rFonts w:cs="Times New Roman"/>
          <w:szCs w:val="24"/>
          <w:u w:val="single"/>
        </w:rPr>
        <w:t xml:space="preserve">It currently accounts for over 40% of rice production. </w:t>
      </w:r>
      <w:r w:rsidRPr="00512072">
        <w:rPr>
          <w:rFonts w:cs="Times New Roman"/>
          <w:szCs w:val="24"/>
        </w:rPr>
        <w:t xml:space="preserve">Since aman can suffer from drought stress, farmers developed indigenous methods of supplementary irrigation. Since Independence, major irrigation projects (e.g., the GK Project and Teesta Barrage) were developed to provide supplementary irrigation in the worst affected parts of the country. Farmers in these areas are currently reporting increasingly frequent drought affecting the aman crop. Following actions are underway: </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Prepare GIS maps of areas vulnerable to droughts</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Develop and test adaptive measures in drought-prone areas by combining appropriate cultivars, cropping patterns and land and water management practices, and effective dissemination to farmers</w:t>
      </w:r>
    </w:p>
    <w:p w:rsidR="00630139" w:rsidRPr="00512072" w:rsidRDefault="00630139" w:rsidP="00974AEB">
      <w:pPr>
        <w:spacing w:line="276" w:lineRule="auto"/>
        <w:jc w:val="both"/>
        <w:rPr>
          <w:rFonts w:cs="Times New Roman"/>
          <w:b/>
          <w:i/>
          <w:szCs w:val="24"/>
        </w:rPr>
      </w:pPr>
      <w:r w:rsidRPr="00512072">
        <w:rPr>
          <w:rFonts w:cs="Times New Roman"/>
          <w:b/>
          <w:i/>
          <w:szCs w:val="24"/>
        </w:rPr>
        <w:t xml:space="preserve">Adaptation-mitigation in the fisheries sector: </w:t>
      </w:r>
      <w:r w:rsidRPr="00512072">
        <w:rPr>
          <w:rFonts w:cs="Times New Roman"/>
          <w:szCs w:val="24"/>
        </w:rPr>
        <w:t xml:space="preserve">Climate change is likely to adversely affect freshwater and marine fisheries (e.g., the spawning of freshwater species; water temperatures in ponds and inland fisheries are likely to increase; saline water is likely to extend further inland in the south of the country, which will change the aquatic ecosystem and production of fish in this zone; and turbulent and rough weather along the coast may prevail for longer durations adversely impacting on the livelihoods of fishermen). Following actions are underway: </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 xml:space="preserve">Assess potential threats to following sectors and develop adaptive measures: 1) fish spawning and growth of fish in the freshwater fisheries sector, 2) fish spawning and growth of fish in the coastal zone and brackish water sector, 3) marine fish sector, 4) shrimp sector. </w:t>
      </w:r>
    </w:p>
    <w:p w:rsidR="00630139" w:rsidRPr="00512072" w:rsidRDefault="00630139" w:rsidP="00974AEB">
      <w:pPr>
        <w:spacing w:line="276" w:lineRule="auto"/>
        <w:jc w:val="both"/>
        <w:rPr>
          <w:rFonts w:cs="Times New Roman"/>
          <w:b/>
          <w:i/>
          <w:szCs w:val="24"/>
        </w:rPr>
      </w:pPr>
      <w:r w:rsidRPr="00512072">
        <w:rPr>
          <w:rFonts w:cs="Times New Roman"/>
          <w:b/>
          <w:i/>
          <w:szCs w:val="24"/>
        </w:rPr>
        <w:t xml:space="preserve">Adaptation-mitigation in livestock sector: </w:t>
      </w:r>
      <w:r w:rsidRPr="00512072">
        <w:rPr>
          <w:rFonts w:cs="Times New Roman"/>
          <w:szCs w:val="24"/>
        </w:rPr>
        <w:t xml:space="preserve">Higher ambient temperatures, as well as floods and droughts, are likely to adversely affect poultry and livestock. Higher temperatures will limit the growth of chicken, broilers and other birds such as pigeons and ducks. Higher temperatures and humidity may affect animal health through the more rapid breeding of parasites and bacteria. </w:t>
      </w:r>
      <w:r w:rsidRPr="00512072">
        <w:rPr>
          <w:rFonts w:cs="Times New Roman"/>
          <w:szCs w:val="24"/>
          <w:lang w:eastAsia="en-GB"/>
        </w:rPr>
        <w:lastRenderedPageBreak/>
        <w:t>Impacts of climate change on livestock and poultry production is mainly related to outbreak of different emerging and re-emerging diseases. R</w:t>
      </w:r>
      <w:r w:rsidRPr="00512072">
        <w:rPr>
          <w:rFonts w:cs="Times New Roman"/>
          <w:szCs w:val="24"/>
        </w:rPr>
        <w:t>ising sea levels will inundate lands reducing grazing facilities. Intrusion of saline water in coastal regions will not be conducive for livestock rearing due to enhanced stress factors. Frequent tropical cyclones and tidal surges, and prolonged rainy seasons will affect livestock productivity.</w:t>
      </w:r>
    </w:p>
    <w:p w:rsidR="00630139" w:rsidRPr="00512072" w:rsidRDefault="00630139" w:rsidP="00974AEB">
      <w:pPr>
        <w:spacing w:line="276" w:lineRule="auto"/>
        <w:jc w:val="both"/>
        <w:rPr>
          <w:rFonts w:cs="Times New Roman"/>
          <w:szCs w:val="24"/>
        </w:rPr>
      </w:pPr>
      <w:r w:rsidRPr="00512072">
        <w:rPr>
          <w:rFonts w:cs="Times New Roman"/>
          <w:szCs w:val="24"/>
        </w:rPr>
        <w:t xml:space="preserve">Following actions are underway: </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Assess potential threats to the poultry sector and livestock sector, and develop adaptive measures and disseminate among farmers</w:t>
      </w:r>
    </w:p>
    <w:p w:rsidR="00630139" w:rsidRPr="00512072" w:rsidRDefault="00630139" w:rsidP="00974AEB">
      <w:pPr>
        <w:pStyle w:val="ListParagraph"/>
        <w:numPr>
          <w:ilvl w:val="0"/>
          <w:numId w:val="56"/>
        </w:numPr>
        <w:spacing w:line="276" w:lineRule="auto"/>
        <w:jc w:val="both"/>
        <w:rPr>
          <w:rFonts w:cs="Times New Roman"/>
          <w:szCs w:val="24"/>
        </w:rPr>
      </w:pPr>
      <w:r w:rsidRPr="00512072">
        <w:rPr>
          <w:rFonts w:cs="Times New Roman"/>
          <w:szCs w:val="24"/>
        </w:rPr>
        <w:t xml:space="preserve">Strengthen veterinary services systems, including animal health measures in light of the likely increase in disease prevalence. </w:t>
      </w:r>
    </w:p>
    <w:p w:rsidR="00630139" w:rsidRDefault="00630139" w:rsidP="00974AEB">
      <w:pPr>
        <w:pStyle w:val="AuthorandDate"/>
        <w:spacing w:after="240"/>
        <w:jc w:val="both"/>
        <w:rPr>
          <w:rFonts w:ascii="Times New Roman" w:hAnsi="Times New Roman" w:cs="Times New Roman"/>
          <w:color w:val="auto"/>
          <w:sz w:val="24"/>
          <w:szCs w:val="24"/>
        </w:rPr>
      </w:pPr>
      <w:r w:rsidRPr="00512072">
        <w:rPr>
          <w:rFonts w:ascii="Times New Roman" w:hAnsi="Times New Roman" w:cs="Times New Roman"/>
          <w:color w:val="auto"/>
          <w:sz w:val="24"/>
          <w:szCs w:val="24"/>
        </w:rPr>
        <w:t>In Sixth Five-Year Plan, initial studies for ideas on adaptation were targeted but very little experience on adaptation process in livestock sector were identified as benchmark in the plan. Nevertheless, almost all of the preceding listed GOB investment projects relevant to address climate change adaptation are also appropriate for livestock sector. For example: Flood management scheme for agricultural productivity in low lying areas is also necessary for protecting livestock resources; Flood protection and drainage scheme will help protecting  livestock resources; Coastal embankment projects will help protecting livestock resources and help producing fodders in the region. GOB has also recognized the necessity of cyclone shelter for livestock resources. The ‘Earthen-Killa’ (Earthen platform/ village platform) programme is the best example of cyclone shelter for livestock resources. Comprehensive Disaster Management Programme and early warning system of natural disasters will help protect the livestock resources but must be complemented with community based programme on livestock. Irrigation scheme will help fodder production during dry seasons. Just as important are research programmes and institutional capacity building in livestock sector.</w:t>
      </w:r>
    </w:p>
    <w:p w:rsidR="00000000" w:rsidRDefault="00630139" w:rsidP="003D5A31">
      <w:pPr>
        <w:pStyle w:val="BodyText"/>
        <w:numPr>
          <w:ilvl w:val="2"/>
          <w:numId w:val="237"/>
        </w:numPr>
        <w:spacing w:after="240" w:line="276" w:lineRule="auto"/>
        <w:jc w:val="both"/>
        <w:rPr>
          <w:rFonts w:cs="Times New Roman"/>
          <w:b/>
          <w:szCs w:val="24"/>
        </w:rPr>
      </w:pPr>
      <w:bookmarkStart w:id="610" w:name="_Toc461018737"/>
      <w:r w:rsidRPr="00C6204B">
        <w:rPr>
          <w:rFonts w:cs="Times New Roman"/>
          <w:b/>
          <w:szCs w:val="24"/>
        </w:rPr>
        <w:t>Supply and Demand</w:t>
      </w:r>
      <w:bookmarkEnd w:id="610"/>
      <w:r w:rsidRPr="00C6204B">
        <w:rPr>
          <w:rFonts w:cs="Times New Roman"/>
          <w:b/>
          <w:szCs w:val="24"/>
        </w:rPr>
        <w:t xml:space="preserve"> in Sustained </w:t>
      </w:r>
      <w:r w:rsidR="00EA4E38" w:rsidRPr="00C6204B">
        <w:rPr>
          <w:rFonts w:cs="Times New Roman"/>
          <w:b/>
          <w:szCs w:val="24"/>
        </w:rPr>
        <w:t>Food security</w:t>
      </w:r>
    </w:p>
    <w:p w:rsidR="00630139" w:rsidRPr="00C26B99" w:rsidRDefault="00630139" w:rsidP="00974AEB">
      <w:pPr>
        <w:spacing w:line="276" w:lineRule="auto"/>
        <w:jc w:val="both"/>
      </w:pPr>
      <w:r w:rsidRPr="00C26B99">
        <w:t xml:space="preserve">While the on-going efforts of the Government of Bangladesh are contributing to attaining the food security, a quantitative analysis of supply and demand is a worthwhile consideration. </w:t>
      </w:r>
    </w:p>
    <w:p w:rsidR="00630139" w:rsidRPr="00C26B99" w:rsidRDefault="00630139" w:rsidP="00974AEB">
      <w:pPr>
        <w:spacing w:line="276" w:lineRule="auto"/>
        <w:jc w:val="both"/>
      </w:pPr>
      <w:r w:rsidRPr="00C26B99">
        <w:t>With growing population, planning for future cereal production to meet food security challenges would require projections of future supply and demand for cereals. However, these analyses are almost non-existent for Bangladesh.</w:t>
      </w:r>
    </w:p>
    <w:p w:rsidR="00630139" w:rsidRPr="000207D1" w:rsidRDefault="00F64A6A" w:rsidP="00974AEB">
      <w:pPr>
        <w:spacing w:line="276" w:lineRule="auto"/>
        <w:jc w:val="both"/>
        <w:rPr>
          <w:u w:val="single"/>
        </w:rPr>
      </w:pPr>
      <w:r w:rsidRPr="00F64A6A">
        <w:rPr>
          <w:u w:val="single"/>
        </w:rPr>
        <w:t>In 2012, Ganesh-Kumar et. al (2012) did a study  with 2005 BBS data to provide forecasts of the demand and supply of cereals in Bangladesh for the period 2015–2030. Supply and demand projections are made for the years 2015, 2020, 2025, and 2030 under various scenarios.</w:t>
      </w:r>
      <w:r w:rsidR="00630139" w:rsidRPr="00C26B99">
        <w:t xml:space="preserve"> The total demand for rice in 2030 is expected to be in the range of 34.8 million and 52.5 million </w:t>
      </w:r>
      <w:r w:rsidR="00FE6385">
        <w:t>tonn</w:t>
      </w:r>
      <w:r w:rsidR="00630139" w:rsidRPr="00C26B99">
        <w:t xml:space="preserve">es. The supply and demand projections for rice are then compared, to assess the likely </w:t>
      </w:r>
      <w:r w:rsidR="00630139" w:rsidRPr="00C26B99">
        <w:lastRenderedPageBreak/>
        <w:t xml:space="preserve">surplus/deficit situation. The estimates show that Bangladesh can face either a surplus or a deficit in rice, depending upon the prevailing supply and demand scenario and intermediate demand requirements. </w:t>
      </w:r>
      <w:r w:rsidRPr="00F64A6A">
        <w:rPr>
          <w:u w:val="single"/>
        </w:rPr>
        <w:t>The surplus in 2030 could be about 4.2 million tonnes, while the deficit could be as high as 13.7 million tonnes. It also show that surpluses, if any, could increase until 2020, after which they are likely to become smaller. In contrast, deficit projections show a steady rise over time, reflecting the sharp rise in demand under the high population growth scenario.</w:t>
      </w:r>
    </w:p>
    <w:p w:rsidR="00634EED" w:rsidRDefault="00630139" w:rsidP="00974AEB">
      <w:pPr>
        <w:spacing w:line="276" w:lineRule="auto"/>
        <w:jc w:val="both"/>
      </w:pPr>
      <w:r w:rsidRPr="00C26B99">
        <w:t>Amarasinghe et.al</w:t>
      </w:r>
      <w:r w:rsidR="004222AD" w:rsidRPr="00C26B99">
        <w:t>.</w:t>
      </w:r>
      <w:r w:rsidR="004222AD">
        <w:t xml:space="preserve"> (</w:t>
      </w:r>
      <w:r w:rsidR="0055784E">
        <w:t>2014)</w:t>
      </w:r>
      <w:r w:rsidRPr="00C26B99">
        <w:t xml:space="preserve"> assessed the changing consumption patterns of rice in Bangladesh and its implications on water demand by 2030. Forecasts using time series models show rice demand for food consumption, which was 172 kg/person/ year in 2008, will have a negligible increase by 2 kg/person by 2030</w:t>
      </w:r>
      <w:r w:rsidR="00136896">
        <w:t xml:space="preserve"> (Figure 8.3)</w:t>
      </w:r>
      <w:r w:rsidRPr="00C26B99">
        <w:t xml:space="preserve">. The demand for rice for feed will double with increasing animal products in the diet, which is only 4% of the calorie intake in 2008. Between 2000 and 2010, the total population and demand for rice have increased by 15% and 22%, and these will increase further by 22% and 25%, respectively, over the next two decades. </w:t>
      </w:r>
      <w:r w:rsidR="00F64A6A" w:rsidRPr="00F64A6A">
        <w:rPr>
          <w:u w:val="single"/>
        </w:rPr>
        <w:t>The demand for rice will be 35.4 million tonnes in 2020 and 38.7 in 2030.</w:t>
      </w:r>
      <w:r w:rsidRPr="00C26B99">
        <w:t xml:space="preserve">  Forecasts of rice yield, area and production show that the country can meet the increasing demand for rice and can also have substantial production surpluses. However, the rice surpluses will come at a considerable environmental cost, because the demand for groundwater consumptive water use from irrigation alone could exceed the natural recharge in many locations. With the projected increases in area and yield, Bangladesh can even have substantial production surpluses  14% of the demand in 2020, and 26% of the demand in 2030.</w:t>
      </w:r>
    </w:p>
    <w:p w:rsidR="00634EED" w:rsidRPr="00F025CE" w:rsidRDefault="00634EED" w:rsidP="00F025CE">
      <w:pPr>
        <w:pStyle w:val="Heading5"/>
        <w:rPr>
          <w:rFonts w:cs="Times New Roman"/>
        </w:rPr>
      </w:pPr>
      <w:bookmarkStart w:id="611" w:name="_Toc474639197"/>
      <w:r w:rsidRPr="00F025CE">
        <w:rPr>
          <w:rFonts w:cs="Times New Roman"/>
        </w:rPr>
        <w:t>Figure</w:t>
      </w:r>
      <w:r w:rsidR="00136896" w:rsidRPr="00F025CE">
        <w:rPr>
          <w:rFonts w:cs="Times New Roman"/>
        </w:rPr>
        <w:t xml:space="preserve"> 8.3</w:t>
      </w:r>
      <w:r w:rsidR="003D2AF6" w:rsidRPr="00F025CE">
        <w:rPr>
          <w:rFonts w:cs="Times New Roman"/>
        </w:rPr>
        <w:t>: Rice Demand, P</w:t>
      </w:r>
      <w:r w:rsidRPr="00F025CE">
        <w:rPr>
          <w:rFonts w:cs="Times New Roman"/>
        </w:rPr>
        <w:t>roduction an</w:t>
      </w:r>
      <w:r w:rsidR="003D2AF6" w:rsidRPr="00F025CE">
        <w:rPr>
          <w:rFonts w:cs="Times New Roman"/>
        </w:rPr>
        <w:t>d Surpluses/Deficits</w:t>
      </w:r>
      <w:bookmarkEnd w:id="611"/>
    </w:p>
    <w:p w:rsidR="00630139" w:rsidRDefault="00634EED" w:rsidP="0053231E">
      <w:pPr>
        <w:spacing w:after="120"/>
        <w:rPr>
          <w:color w:val="FF0000"/>
        </w:rPr>
      </w:pPr>
      <w:r>
        <w:rPr>
          <w:color w:val="FF0000"/>
        </w:rPr>
        <w:t xml:space="preserve">               </w:t>
      </w:r>
      <w:r w:rsidR="00630139" w:rsidRPr="009D7796">
        <w:rPr>
          <w:noProof/>
          <w:color w:val="FF0000"/>
          <w:lang w:val="en-AU" w:eastAsia="en-AU" w:bidi="bn-BD"/>
        </w:rPr>
        <w:drawing>
          <wp:inline distT="0" distB="0" distL="0" distR="0">
            <wp:extent cx="4809744" cy="263347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30256" t="9886" r="31701" b="50190"/>
                    <a:stretch/>
                  </pic:blipFill>
                  <pic:spPr bwMode="auto">
                    <a:xfrm>
                      <a:off x="0" y="0"/>
                      <a:ext cx="4809744" cy="26334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36896" w:rsidRPr="004B0A08" w:rsidRDefault="00136896" w:rsidP="00136896">
      <w:pPr>
        <w:rPr>
          <w:b/>
          <w:i/>
          <w:color w:val="FF0000"/>
          <w:sz w:val="20"/>
        </w:rPr>
      </w:pPr>
      <w:r>
        <w:rPr>
          <w:color w:val="FF0000"/>
        </w:rPr>
        <w:t xml:space="preserve">                </w:t>
      </w:r>
      <w:r w:rsidRPr="003D2AF6">
        <w:rPr>
          <w:b/>
          <w:i/>
          <w:color w:val="000000" w:themeColor="text1"/>
          <w:sz w:val="20"/>
        </w:rPr>
        <w:t>Source: Amarsinghe, et. al. (2014)</w:t>
      </w:r>
    </w:p>
    <w:p w:rsidR="00630139" w:rsidRPr="000207D1" w:rsidRDefault="00630139" w:rsidP="0055784E">
      <w:pPr>
        <w:spacing w:line="276" w:lineRule="auto"/>
        <w:jc w:val="both"/>
        <w:rPr>
          <w:u w:val="single"/>
        </w:rPr>
      </w:pPr>
      <w:r w:rsidRPr="00C26B99">
        <w:t xml:space="preserve">Food security in Bangladesh, with particular reference to rice and wheat was investigated by examining trends in yields, area of cropping and overall production in recent decades (Mainuddin &amp; Kirby 2015). Prospects for continued increases in yield and area of the different </w:t>
      </w:r>
      <w:r w:rsidRPr="00C26B99">
        <w:lastRenderedPageBreak/>
        <w:t xml:space="preserve">rice crops and of wheat, considering the impact of climate change, suggest that continued large increases in production were likely. Demand for rice and other food will increase for many decades with the growing population. The range of projections was compared with recent population growth as well as the impacts of possible shifts in food preferences on the demand for rice and wheat. Demand for rice production in 2050 for a medium variant population projection is expected to be 14 % less than the most conservative projection. </w:t>
      </w:r>
      <w:r w:rsidR="00F64A6A" w:rsidRPr="00F64A6A">
        <w:rPr>
          <w:u w:val="single"/>
        </w:rPr>
        <w:t xml:space="preserve">Wheat production appears likely to remain less than demand by up to 76 % in 2050, though it has the potential to increase sufficiently to meet demand. </w:t>
      </w:r>
    </w:p>
    <w:p w:rsidR="00630139" w:rsidRPr="00C26B99" w:rsidRDefault="00630139" w:rsidP="0055784E">
      <w:pPr>
        <w:spacing w:line="276" w:lineRule="auto"/>
        <w:jc w:val="both"/>
      </w:pPr>
      <w:r w:rsidRPr="00C26B99">
        <w:t>All the available analyses indicate that food security can easily be sustained over a shorter time frame of 2-3 decades. The real question remains what after. Attention has been drawn on to a recent study that has analysed the demand side for a time frame to 2100 (Rashid</w:t>
      </w:r>
      <w:r w:rsidR="000207D1">
        <w:t>,</w:t>
      </w:r>
      <w:r w:rsidRPr="00C26B99">
        <w:t xml:space="preserve"> CEGIS 2016, personal communication). The future food demand has been assessed considering two scenarios. These are: Demand1-based on per capita consumption of HIES (Household Income Expenditure Survey), 2010 and Demand 2- based on per capita desirable intake of DDP (Desirable Dietary Pattern proposed by BIRDEM) 2013.  Other assumptions in both scenarios:</w:t>
      </w:r>
    </w:p>
    <w:p w:rsidR="00000000" w:rsidRDefault="00630139" w:rsidP="003D5A31">
      <w:pPr>
        <w:pStyle w:val="ListParagraph"/>
        <w:numPr>
          <w:ilvl w:val="0"/>
          <w:numId w:val="212"/>
        </w:numPr>
        <w:spacing w:after="0" w:line="276" w:lineRule="auto"/>
        <w:jc w:val="both"/>
      </w:pPr>
      <w:r w:rsidRPr="00C26B99">
        <w:t xml:space="preserve">Additional consumption of other forms of rice is 22 grams/capita. </w:t>
      </w:r>
    </w:p>
    <w:p w:rsidR="00000000" w:rsidRDefault="00F64A6A" w:rsidP="003D5A31">
      <w:pPr>
        <w:pStyle w:val="ListParagraph"/>
        <w:numPr>
          <w:ilvl w:val="0"/>
          <w:numId w:val="212"/>
        </w:numPr>
        <w:spacing w:after="0" w:line="276" w:lineRule="auto"/>
        <w:jc w:val="both"/>
        <w:rPr>
          <w:u w:val="single"/>
        </w:rPr>
      </w:pPr>
      <w:r w:rsidRPr="00F64A6A">
        <w:rPr>
          <w:u w:val="single"/>
        </w:rPr>
        <w:t xml:space="preserve">12 % of loss for seed, feed &amp; wastage and post-harvest losses for both rice and non- rice crops. </w:t>
      </w:r>
    </w:p>
    <w:p w:rsidR="00630139" w:rsidRPr="00C26B99" w:rsidRDefault="00630139" w:rsidP="0055784E">
      <w:pPr>
        <w:spacing w:line="276" w:lineRule="auto"/>
        <w:jc w:val="both"/>
      </w:pPr>
      <w:r w:rsidRPr="00C26B99">
        <w:t>It has been concluded that, even with present-day technologies, rice production is not adequate enough und</w:t>
      </w:r>
      <w:r w:rsidR="006775DC">
        <w:t>er Demand 1 scenario (Table 8.17</w:t>
      </w:r>
      <w:r w:rsidRPr="00C26B99">
        <w:t>) after 2030 but adequate und</w:t>
      </w:r>
      <w:r w:rsidR="006775DC">
        <w:t>er Demand 2 scenario (Table 8.18</w:t>
      </w:r>
      <w:r w:rsidRPr="00C26B99">
        <w:t>) for all years up to 2100.</w:t>
      </w:r>
    </w:p>
    <w:p w:rsidR="00630139" w:rsidRPr="004B0A08" w:rsidRDefault="00630139" w:rsidP="00C6204B">
      <w:pPr>
        <w:pStyle w:val="Heading4"/>
      </w:pPr>
      <w:bookmarkStart w:id="612" w:name="_Ref463191579"/>
      <w:bookmarkStart w:id="613" w:name="_Toc463361348"/>
      <w:bookmarkStart w:id="614" w:name="_Toc474639061"/>
      <w:r w:rsidRPr="004B0A08">
        <w:t>Table</w:t>
      </w:r>
      <w:r w:rsidR="006775DC" w:rsidRPr="004B0A08">
        <w:t xml:space="preserve"> </w:t>
      </w:r>
      <w:r w:rsidRPr="004B0A08">
        <w:t>8.1</w:t>
      </w:r>
      <w:bookmarkEnd w:id="612"/>
      <w:r w:rsidR="006775DC">
        <w:t>7</w:t>
      </w:r>
      <w:r w:rsidR="003D2AF6">
        <w:t>: Food Demand (</w:t>
      </w:r>
      <w:r w:rsidRPr="004B0A08">
        <w:t xml:space="preserve">million </w:t>
      </w:r>
      <w:r w:rsidR="00FE6385">
        <w:t>tonn</w:t>
      </w:r>
      <w:r w:rsidRPr="004B0A08">
        <w:t>e</w:t>
      </w:r>
      <w:r w:rsidR="003D2AF6">
        <w:t>)</w:t>
      </w:r>
      <w:r w:rsidRPr="004B0A08">
        <w:t xml:space="preserve"> (Scenario 1)</w:t>
      </w:r>
      <w:bookmarkEnd w:id="613"/>
      <w:bookmarkEnd w:id="6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43"/>
        <w:gridCol w:w="3336"/>
        <w:gridCol w:w="696"/>
        <w:gridCol w:w="696"/>
        <w:gridCol w:w="696"/>
        <w:gridCol w:w="696"/>
        <w:gridCol w:w="696"/>
        <w:gridCol w:w="1417"/>
      </w:tblGrid>
      <w:tr w:rsidR="00630139" w:rsidRPr="004452AB" w:rsidTr="006775DC">
        <w:trPr>
          <w:trHeight w:val="255"/>
        </w:trPr>
        <w:tc>
          <w:tcPr>
            <w:tcW w:w="669" w:type="pct"/>
            <w:vMerge w:val="restar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Food items</w:t>
            </w:r>
          </w:p>
        </w:tc>
        <w:tc>
          <w:tcPr>
            <w:tcW w:w="1840" w:type="pct"/>
            <w:vMerge w:val="restart"/>
            <w:shd w:val="clear" w:color="auto" w:fill="EAF1DD" w:themeFill="accent3" w:themeFillTint="33"/>
            <w:vAlign w:val="center"/>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Present consumption (Grams/capita/day)</w:t>
            </w:r>
          </w:p>
        </w:tc>
        <w:tc>
          <w:tcPr>
            <w:tcW w:w="1813" w:type="pct"/>
            <w:gridSpan w:val="5"/>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Demand</w:t>
            </w:r>
          </w:p>
        </w:tc>
        <w:tc>
          <w:tcPr>
            <w:tcW w:w="678"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Availability</w:t>
            </w:r>
          </w:p>
        </w:tc>
      </w:tr>
      <w:tr w:rsidR="00630139" w:rsidRPr="004452AB" w:rsidTr="006775DC">
        <w:trPr>
          <w:trHeight w:val="255"/>
        </w:trPr>
        <w:tc>
          <w:tcPr>
            <w:tcW w:w="669" w:type="pct"/>
            <w:vMerge/>
            <w:shd w:val="clear" w:color="auto" w:fill="EAF1DD" w:themeFill="accent3" w:themeFillTint="33"/>
            <w:vAlign w:val="center"/>
            <w:hideMark/>
          </w:tcPr>
          <w:p w:rsidR="00630139" w:rsidRPr="00C26B99" w:rsidRDefault="00630139" w:rsidP="006775DC">
            <w:pPr>
              <w:spacing w:after="0" w:line="240" w:lineRule="auto"/>
              <w:jc w:val="center"/>
              <w:rPr>
                <w:rFonts w:eastAsia="Times New Roman" w:cs="Segoe UI"/>
                <w:b/>
                <w:szCs w:val="19"/>
              </w:rPr>
            </w:pPr>
          </w:p>
        </w:tc>
        <w:tc>
          <w:tcPr>
            <w:tcW w:w="1840" w:type="pct"/>
            <w:vMerge/>
            <w:shd w:val="clear" w:color="auto" w:fill="EAF1DD" w:themeFill="accent3" w:themeFillTint="33"/>
            <w:vAlign w:val="center"/>
          </w:tcPr>
          <w:p w:rsidR="00630139" w:rsidRPr="00C26B99" w:rsidRDefault="00630139" w:rsidP="006775DC">
            <w:pPr>
              <w:spacing w:after="0" w:line="240" w:lineRule="auto"/>
              <w:jc w:val="center"/>
              <w:rPr>
                <w:rFonts w:eastAsia="Times New Roman" w:cs="Segoe UI"/>
                <w:b/>
                <w:szCs w:val="19"/>
              </w:rPr>
            </w:pP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2015</w:t>
            </w: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2030</w:t>
            </w: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2050</w:t>
            </w: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2070</w:t>
            </w: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2100</w:t>
            </w:r>
          </w:p>
        </w:tc>
        <w:tc>
          <w:tcPr>
            <w:tcW w:w="678"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2015</w:t>
            </w:r>
          </w:p>
        </w:tc>
      </w:tr>
      <w:tr w:rsidR="00630139" w:rsidRPr="004452AB" w:rsidTr="006775DC">
        <w:trPr>
          <w:trHeight w:val="255"/>
        </w:trPr>
        <w:tc>
          <w:tcPr>
            <w:tcW w:w="669" w:type="pct"/>
            <w:shd w:val="clear" w:color="auto" w:fill="auto"/>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Rice</w:t>
            </w:r>
          </w:p>
        </w:tc>
        <w:tc>
          <w:tcPr>
            <w:tcW w:w="1840" w:type="pct"/>
            <w:shd w:val="clear" w:color="auto" w:fill="auto"/>
            <w:vAlign w:val="center"/>
          </w:tcPr>
          <w:p w:rsidR="00630139" w:rsidRPr="00C26B99" w:rsidRDefault="00630139" w:rsidP="006775DC">
            <w:pPr>
              <w:spacing w:after="0" w:line="240" w:lineRule="auto"/>
              <w:jc w:val="center"/>
              <w:rPr>
                <w:rFonts w:cs="Segoe UI"/>
                <w:szCs w:val="19"/>
              </w:rPr>
            </w:pPr>
            <w:r w:rsidRPr="00C26B99">
              <w:rPr>
                <w:rFonts w:cs="Segoe UI"/>
                <w:szCs w:val="19"/>
              </w:rPr>
              <w:t>416</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28.3</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34.0</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38.5</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36.1</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32.6</w:t>
            </w:r>
          </w:p>
        </w:tc>
        <w:tc>
          <w:tcPr>
            <w:tcW w:w="678"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34.71</w:t>
            </w:r>
          </w:p>
        </w:tc>
      </w:tr>
      <w:tr w:rsidR="00630139" w:rsidRPr="004452AB" w:rsidTr="006775DC">
        <w:trPr>
          <w:trHeight w:val="255"/>
        </w:trPr>
        <w:tc>
          <w:tcPr>
            <w:tcW w:w="669"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Wheat</w:t>
            </w:r>
          </w:p>
        </w:tc>
        <w:tc>
          <w:tcPr>
            <w:tcW w:w="1840" w:type="pct"/>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26</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1.7</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2.0</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2.3</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2.1</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1.9</w:t>
            </w:r>
          </w:p>
        </w:tc>
        <w:tc>
          <w:tcPr>
            <w:tcW w:w="678" w:type="pct"/>
            <w:shd w:val="clear" w:color="auto" w:fill="auto"/>
            <w:noWrap/>
            <w:vAlign w:val="center"/>
          </w:tcPr>
          <w:p w:rsidR="00630139" w:rsidRPr="00C26B99" w:rsidRDefault="00630139" w:rsidP="006775DC">
            <w:pPr>
              <w:spacing w:after="0" w:line="240" w:lineRule="auto"/>
              <w:jc w:val="center"/>
              <w:rPr>
                <w:rFonts w:cs="Segoe UI"/>
                <w:szCs w:val="19"/>
              </w:rPr>
            </w:pPr>
            <w:r w:rsidRPr="00C26B99">
              <w:rPr>
                <w:rFonts w:cs="Segoe UI"/>
                <w:szCs w:val="19"/>
              </w:rPr>
              <w:t>1.35</w:t>
            </w:r>
          </w:p>
        </w:tc>
      </w:tr>
      <w:tr w:rsidR="00630139" w:rsidRPr="004452AB" w:rsidTr="006775DC">
        <w:trPr>
          <w:trHeight w:val="255"/>
        </w:trPr>
        <w:tc>
          <w:tcPr>
            <w:tcW w:w="669"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Pulses</w:t>
            </w:r>
          </w:p>
        </w:tc>
        <w:tc>
          <w:tcPr>
            <w:tcW w:w="1840" w:type="pct"/>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14.3</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0.9</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1.1</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1.3</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1.2</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1.1</w:t>
            </w:r>
          </w:p>
        </w:tc>
        <w:tc>
          <w:tcPr>
            <w:tcW w:w="678" w:type="pct"/>
            <w:shd w:val="clear" w:color="auto" w:fill="auto"/>
            <w:noWrap/>
            <w:vAlign w:val="center"/>
          </w:tcPr>
          <w:p w:rsidR="00630139" w:rsidRPr="00C26B99" w:rsidRDefault="00630139" w:rsidP="006775DC">
            <w:pPr>
              <w:spacing w:after="0" w:line="240" w:lineRule="auto"/>
              <w:jc w:val="center"/>
              <w:rPr>
                <w:rFonts w:cs="Segoe UI"/>
                <w:szCs w:val="19"/>
              </w:rPr>
            </w:pPr>
            <w:r w:rsidRPr="00C26B99">
              <w:rPr>
                <w:rFonts w:cs="Segoe UI"/>
                <w:szCs w:val="19"/>
              </w:rPr>
              <w:t>0.73</w:t>
            </w:r>
          </w:p>
        </w:tc>
      </w:tr>
      <w:tr w:rsidR="00630139" w:rsidRPr="004452AB" w:rsidTr="006775DC">
        <w:trPr>
          <w:trHeight w:val="255"/>
        </w:trPr>
        <w:tc>
          <w:tcPr>
            <w:tcW w:w="669"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Potato</w:t>
            </w:r>
          </w:p>
        </w:tc>
        <w:tc>
          <w:tcPr>
            <w:tcW w:w="1840" w:type="pct"/>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70.3</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4.5</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5.5</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6.2</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5.8</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5.2</w:t>
            </w:r>
          </w:p>
        </w:tc>
        <w:tc>
          <w:tcPr>
            <w:tcW w:w="678" w:type="pct"/>
            <w:shd w:val="clear" w:color="auto" w:fill="auto"/>
            <w:noWrap/>
            <w:vAlign w:val="center"/>
          </w:tcPr>
          <w:p w:rsidR="00630139" w:rsidRPr="00C26B99" w:rsidRDefault="00630139" w:rsidP="006775DC">
            <w:pPr>
              <w:spacing w:after="0" w:line="240" w:lineRule="auto"/>
              <w:jc w:val="center"/>
              <w:rPr>
                <w:rFonts w:cs="Segoe UI"/>
                <w:szCs w:val="19"/>
              </w:rPr>
            </w:pPr>
            <w:r w:rsidRPr="00C26B99">
              <w:rPr>
                <w:rFonts w:cs="Segoe UI"/>
                <w:szCs w:val="19"/>
              </w:rPr>
              <w:t>9.25</w:t>
            </w:r>
          </w:p>
        </w:tc>
      </w:tr>
      <w:tr w:rsidR="00630139" w:rsidRPr="004452AB" w:rsidTr="006775DC">
        <w:trPr>
          <w:trHeight w:val="255"/>
        </w:trPr>
        <w:tc>
          <w:tcPr>
            <w:tcW w:w="669"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Vegetables</w:t>
            </w:r>
          </w:p>
        </w:tc>
        <w:tc>
          <w:tcPr>
            <w:tcW w:w="1840" w:type="pct"/>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166.1</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10.7</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12.9</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14.6</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13.7</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12.4</w:t>
            </w:r>
          </w:p>
        </w:tc>
        <w:tc>
          <w:tcPr>
            <w:tcW w:w="678" w:type="pct"/>
            <w:shd w:val="clear" w:color="auto" w:fill="auto"/>
            <w:noWrap/>
            <w:vAlign w:val="center"/>
          </w:tcPr>
          <w:p w:rsidR="00630139" w:rsidRPr="00C26B99" w:rsidRDefault="00630139" w:rsidP="006775DC">
            <w:pPr>
              <w:spacing w:after="0" w:line="240" w:lineRule="auto"/>
              <w:jc w:val="center"/>
              <w:rPr>
                <w:rFonts w:cs="Segoe UI"/>
                <w:szCs w:val="19"/>
              </w:rPr>
            </w:pPr>
            <w:r w:rsidRPr="00C26B99">
              <w:rPr>
                <w:rFonts w:cs="Segoe UI"/>
                <w:szCs w:val="19"/>
              </w:rPr>
              <w:t>5.92</w:t>
            </w:r>
          </w:p>
        </w:tc>
      </w:tr>
      <w:tr w:rsidR="00630139" w:rsidRPr="004452AB" w:rsidTr="006775DC">
        <w:trPr>
          <w:trHeight w:val="255"/>
        </w:trPr>
        <w:tc>
          <w:tcPr>
            <w:tcW w:w="669"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Fruits</w:t>
            </w:r>
          </w:p>
        </w:tc>
        <w:tc>
          <w:tcPr>
            <w:tcW w:w="1840" w:type="pct"/>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44.7</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2.9</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3.5</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3.9</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3.7</w:t>
            </w:r>
          </w:p>
        </w:tc>
        <w:tc>
          <w:tcPr>
            <w:tcW w:w="363" w:type="pct"/>
            <w:shd w:val="clear" w:color="auto" w:fill="auto"/>
            <w:noWrap/>
            <w:vAlign w:val="center"/>
          </w:tcPr>
          <w:p w:rsidR="00630139" w:rsidRPr="00C26B99" w:rsidRDefault="00630139" w:rsidP="006775DC">
            <w:pPr>
              <w:spacing w:after="0" w:line="240" w:lineRule="auto"/>
              <w:jc w:val="center"/>
              <w:rPr>
                <w:rFonts w:eastAsia="Times New Roman" w:cs="Segoe UI"/>
                <w:szCs w:val="19"/>
              </w:rPr>
            </w:pPr>
            <w:r w:rsidRPr="00C26B99">
              <w:rPr>
                <w:rFonts w:cs="Segoe UI"/>
                <w:szCs w:val="19"/>
              </w:rPr>
              <w:t>3.3</w:t>
            </w:r>
          </w:p>
        </w:tc>
        <w:tc>
          <w:tcPr>
            <w:tcW w:w="678" w:type="pct"/>
            <w:shd w:val="clear" w:color="auto" w:fill="auto"/>
            <w:noWrap/>
            <w:vAlign w:val="center"/>
          </w:tcPr>
          <w:p w:rsidR="00630139" w:rsidRPr="00C26B99" w:rsidRDefault="00630139" w:rsidP="006775DC">
            <w:pPr>
              <w:spacing w:after="0" w:line="240" w:lineRule="auto"/>
              <w:jc w:val="center"/>
              <w:rPr>
                <w:rFonts w:cs="Segoe UI"/>
                <w:szCs w:val="19"/>
              </w:rPr>
            </w:pPr>
            <w:r w:rsidRPr="00C26B99">
              <w:rPr>
                <w:rFonts w:cs="Segoe UI"/>
                <w:szCs w:val="19"/>
              </w:rPr>
              <w:t>3.33</w:t>
            </w:r>
          </w:p>
        </w:tc>
      </w:tr>
    </w:tbl>
    <w:p w:rsidR="003D2AF6" w:rsidRDefault="00630139" w:rsidP="003D2AF6">
      <w:pPr>
        <w:pStyle w:val="Source"/>
        <w:spacing w:before="120"/>
        <w:rPr>
          <w:rFonts w:ascii="Times New Roman" w:hAnsi="Times New Roman"/>
          <w:b/>
        </w:rPr>
      </w:pPr>
      <w:r w:rsidRPr="003D2AF6">
        <w:rPr>
          <w:rFonts w:ascii="Times New Roman" w:hAnsi="Times New Roman"/>
          <w:b/>
        </w:rPr>
        <w:t>Source: HIES 2010</w:t>
      </w:r>
    </w:p>
    <w:p w:rsidR="00974AEB" w:rsidRDefault="00974AEB" w:rsidP="003D2AF6">
      <w:pPr>
        <w:pStyle w:val="Source"/>
        <w:spacing w:before="120"/>
        <w:rPr>
          <w:rFonts w:ascii="Times New Roman" w:hAnsi="Times New Roman"/>
          <w:b/>
        </w:rPr>
      </w:pPr>
    </w:p>
    <w:p w:rsidR="00FD5766" w:rsidRDefault="00FD5766" w:rsidP="003D2AF6">
      <w:pPr>
        <w:pStyle w:val="Source"/>
        <w:spacing w:before="120"/>
        <w:rPr>
          <w:rFonts w:ascii="Times New Roman" w:hAnsi="Times New Roman"/>
          <w:b/>
        </w:rPr>
      </w:pPr>
    </w:p>
    <w:p w:rsidR="00FD5766" w:rsidRDefault="00FD5766" w:rsidP="003D2AF6">
      <w:pPr>
        <w:pStyle w:val="Source"/>
        <w:spacing w:before="120"/>
        <w:rPr>
          <w:rFonts w:ascii="Times New Roman" w:hAnsi="Times New Roman"/>
          <w:b/>
        </w:rPr>
      </w:pPr>
    </w:p>
    <w:p w:rsidR="00FD5766" w:rsidRDefault="00FD5766" w:rsidP="003D2AF6">
      <w:pPr>
        <w:pStyle w:val="Source"/>
        <w:spacing w:before="120"/>
        <w:rPr>
          <w:rFonts w:ascii="Times New Roman" w:hAnsi="Times New Roman"/>
          <w:b/>
        </w:rPr>
      </w:pPr>
    </w:p>
    <w:p w:rsidR="00FD5766" w:rsidRDefault="00FD5766" w:rsidP="003D2AF6">
      <w:pPr>
        <w:pStyle w:val="Source"/>
        <w:spacing w:before="120"/>
        <w:rPr>
          <w:rFonts w:ascii="Times New Roman" w:hAnsi="Times New Roman"/>
          <w:b/>
        </w:rPr>
      </w:pPr>
    </w:p>
    <w:p w:rsidR="00974AEB" w:rsidRPr="003D2AF6" w:rsidRDefault="00974AEB" w:rsidP="003D2AF6">
      <w:pPr>
        <w:pStyle w:val="Source"/>
        <w:spacing w:before="120"/>
        <w:rPr>
          <w:rFonts w:ascii="Times New Roman" w:hAnsi="Times New Roman"/>
          <w:b/>
        </w:rPr>
      </w:pPr>
    </w:p>
    <w:p w:rsidR="00630139" w:rsidRPr="00FD5766" w:rsidRDefault="00F64A6A" w:rsidP="00C6204B">
      <w:pPr>
        <w:pStyle w:val="Heading4"/>
        <w:rPr>
          <w:u w:val="single"/>
        </w:rPr>
      </w:pPr>
      <w:bookmarkStart w:id="615" w:name="_Ref463191586"/>
      <w:bookmarkStart w:id="616" w:name="_Toc463361349"/>
      <w:bookmarkStart w:id="617" w:name="_Toc474639062"/>
      <w:r w:rsidRPr="00F64A6A">
        <w:rPr>
          <w:u w:val="single"/>
        </w:rPr>
        <w:t>Table 8.1</w:t>
      </w:r>
      <w:bookmarkEnd w:id="615"/>
      <w:r w:rsidRPr="00F64A6A">
        <w:rPr>
          <w:u w:val="single"/>
        </w:rPr>
        <w:t>8: Food Demand (million tonne) (Scenario 2)</w:t>
      </w:r>
      <w:bookmarkEnd w:id="616"/>
      <w:bookmarkEnd w:id="6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43"/>
        <w:gridCol w:w="3336"/>
        <w:gridCol w:w="696"/>
        <w:gridCol w:w="696"/>
        <w:gridCol w:w="696"/>
        <w:gridCol w:w="696"/>
        <w:gridCol w:w="696"/>
        <w:gridCol w:w="1417"/>
      </w:tblGrid>
      <w:tr w:rsidR="00630139" w:rsidRPr="004452AB" w:rsidTr="006775DC">
        <w:trPr>
          <w:trHeight w:val="255"/>
        </w:trPr>
        <w:tc>
          <w:tcPr>
            <w:tcW w:w="669" w:type="pct"/>
            <w:vMerge w:val="restar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Food items</w:t>
            </w:r>
          </w:p>
        </w:tc>
        <w:tc>
          <w:tcPr>
            <w:tcW w:w="1840" w:type="pct"/>
            <w:vMerge w:val="restart"/>
            <w:shd w:val="clear" w:color="auto" w:fill="EAF1DD" w:themeFill="accent3" w:themeFillTint="33"/>
            <w:vAlign w:val="center"/>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Desirable intake (Grams/capita/da)</w:t>
            </w:r>
          </w:p>
        </w:tc>
        <w:tc>
          <w:tcPr>
            <w:tcW w:w="1813" w:type="pct"/>
            <w:gridSpan w:val="5"/>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Demand</w:t>
            </w:r>
          </w:p>
        </w:tc>
        <w:tc>
          <w:tcPr>
            <w:tcW w:w="678"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Availability</w:t>
            </w:r>
          </w:p>
        </w:tc>
      </w:tr>
      <w:tr w:rsidR="00630139" w:rsidRPr="004452AB" w:rsidTr="006775DC">
        <w:trPr>
          <w:trHeight w:val="255"/>
        </w:trPr>
        <w:tc>
          <w:tcPr>
            <w:tcW w:w="669" w:type="pct"/>
            <w:vMerge/>
            <w:shd w:val="clear" w:color="auto" w:fill="EAF1DD" w:themeFill="accent3" w:themeFillTint="33"/>
            <w:vAlign w:val="center"/>
            <w:hideMark/>
          </w:tcPr>
          <w:p w:rsidR="00630139" w:rsidRPr="00C26B99" w:rsidRDefault="00630139" w:rsidP="006775DC">
            <w:pPr>
              <w:spacing w:after="0" w:line="240" w:lineRule="auto"/>
              <w:jc w:val="center"/>
              <w:rPr>
                <w:rFonts w:eastAsia="Times New Roman" w:cs="Segoe UI"/>
                <w:b/>
                <w:szCs w:val="19"/>
              </w:rPr>
            </w:pPr>
          </w:p>
        </w:tc>
        <w:tc>
          <w:tcPr>
            <w:tcW w:w="1840" w:type="pct"/>
            <w:vMerge/>
            <w:shd w:val="clear" w:color="auto" w:fill="EAF1DD" w:themeFill="accent3" w:themeFillTint="33"/>
            <w:vAlign w:val="center"/>
          </w:tcPr>
          <w:p w:rsidR="00630139" w:rsidRPr="00C26B99" w:rsidRDefault="00630139" w:rsidP="006775DC">
            <w:pPr>
              <w:spacing w:after="0" w:line="240" w:lineRule="auto"/>
              <w:jc w:val="center"/>
              <w:rPr>
                <w:rFonts w:eastAsia="Times New Roman" w:cs="Segoe UI"/>
                <w:b/>
                <w:szCs w:val="19"/>
              </w:rPr>
            </w:pP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2015</w:t>
            </w: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2030</w:t>
            </w: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2050</w:t>
            </w: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2070</w:t>
            </w:r>
          </w:p>
        </w:tc>
        <w:tc>
          <w:tcPr>
            <w:tcW w:w="363"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2100</w:t>
            </w:r>
          </w:p>
        </w:tc>
        <w:tc>
          <w:tcPr>
            <w:tcW w:w="678" w:type="pct"/>
            <w:shd w:val="clear" w:color="auto" w:fill="EAF1DD" w:themeFill="accent3" w:themeFillTint="33"/>
            <w:noWrap/>
            <w:vAlign w:val="center"/>
            <w:hideMark/>
          </w:tcPr>
          <w:p w:rsidR="00630139" w:rsidRPr="00C26B99" w:rsidRDefault="00630139" w:rsidP="006775DC">
            <w:pPr>
              <w:spacing w:after="0" w:line="240" w:lineRule="auto"/>
              <w:jc w:val="center"/>
              <w:rPr>
                <w:rFonts w:eastAsia="Times New Roman" w:cs="Segoe UI"/>
                <w:b/>
                <w:szCs w:val="19"/>
              </w:rPr>
            </w:pPr>
            <w:r w:rsidRPr="00C26B99">
              <w:rPr>
                <w:rFonts w:eastAsia="Times New Roman" w:cs="Segoe UI"/>
                <w:b/>
                <w:szCs w:val="19"/>
              </w:rPr>
              <w:t>2015</w:t>
            </w:r>
          </w:p>
        </w:tc>
      </w:tr>
      <w:tr w:rsidR="00630139" w:rsidRPr="004452AB" w:rsidTr="006775DC">
        <w:trPr>
          <w:trHeight w:val="255"/>
        </w:trPr>
        <w:tc>
          <w:tcPr>
            <w:tcW w:w="669" w:type="pct"/>
            <w:shd w:val="clear" w:color="auto" w:fill="auto"/>
            <w:noWrap/>
            <w:vAlign w:val="center"/>
            <w:hideMark/>
          </w:tcPr>
          <w:p w:rsidR="00630139" w:rsidRPr="00C26B99" w:rsidRDefault="00630139" w:rsidP="006775DC">
            <w:pPr>
              <w:spacing w:after="0" w:line="240" w:lineRule="auto"/>
              <w:jc w:val="center"/>
              <w:rPr>
                <w:rFonts w:eastAsia="Times New Roman" w:cs="Segoe UI"/>
                <w:szCs w:val="19"/>
              </w:rPr>
            </w:pPr>
            <w:r w:rsidRPr="00C26B99">
              <w:rPr>
                <w:rFonts w:cs="Segoe UI"/>
                <w:szCs w:val="19"/>
              </w:rPr>
              <w:t>Rice</w:t>
            </w:r>
          </w:p>
        </w:tc>
        <w:tc>
          <w:tcPr>
            <w:tcW w:w="1840" w:type="pct"/>
            <w:vAlign w:val="center"/>
          </w:tcPr>
          <w:p w:rsidR="00630139" w:rsidRPr="00C26B99" w:rsidRDefault="00630139" w:rsidP="006775DC">
            <w:pPr>
              <w:spacing w:after="0" w:line="240" w:lineRule="auto"/>
              <w:jc w:val="center"/>
              <w:rPr>
                <w:rFonts w:cs="Segoe UI"/>
                <w:szCs w:val="19"/>
              </w:rPr>
            </w:pPr>
            <w:r w:rsidRPr="00C26B99">
              <w:rPr>
                <w:rFonts w:cs="Segoe UI"/>
                <w:szCs w:val="19"/>
              </w:rPr>
              <w:t>350</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25.7</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31.2</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32.7</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30.7</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27.7</w:t>
            </w:r>
          </w:p>
        </w:tc>
        <w:tc>
          <w:tcPr>
            <w:tcW w:w="678"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34.71</w:t>
            </w:r>
          </w:p>
        </w:tc>
      </w:tr>
      <w:tr w:rsidR="00630139" w:rsidRPr="004452AB" w:rsidTr="006775DC">
        <w:trPr>
          <w:trHeight w:val="255"/>
        </w:trPr>
        <w:tc>
          <w:tcPr>
            <w:tcW w:w="669" w:type="pct"/>
            <w:shd w:val="clear" w:color="auto" w:fill="auto"/>
            <w:noWrap/>
            <w:vAlign w:val="center"/>
            <w:hideMark/>
          </w:tcPr>
          <w:p w:rsidR="00630139" w:rsidRPr="00C26B99" w:rsidRDefault="00630139" w:rsidP="006775DC">
            <w:pPr>
              <w:spacing w:after="0" w:line="240" w:lineRule="auto"/>
              <w:jc w:val="center"/>
              <w:rPr>
                <w:rFonts w:eastAsia="Times New Roman" w:cs="Segoe UI"/>
                <w:szCs w:val="19"/>
              </w:rPr>
            </w:pPr>
            <w:r w:rsidRPr="00C26B99">
              <w:rPr>
                <w:rFonts w:cs="Segoe UI"/>
                <w:szCs w:val="19"/>
              </w:rPr>
              <w:t>Wheat</w:t>
            </w:r>
          </w:p>
        </w:tc>
        <w:tc>
          <w:tcPr>
            <w:tcW w:w="1840" w:type="pct"/>
            <w:vAlign w:val="center"/>
          </w:tcPr>
          <w:p w:rsidR="00630139" w:rsidRPr="00C26B99" w:rsidRDefault="00630139" w:rsidP="006775DC">
            <w:pPr>
              <w:spacing w:after="0" w:line="240" w:lineRule="auto"/>
              <w:jc w:val="center"/>
              <w:rPr>
                <w:rFonts w:cs="Segoe UI"/>
                <w:szCs w:val="19"/>
              </w:rPr>
            </w:pPr>
            <w:r w:rsidRPr="00C26B99">
              <w:rPr>
                <w:rFonts w:cs="Segoe UI"/>
                <w:szCs w:val="19"/>
              </w:rPr>
              <w:t>50</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3.5</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4.2</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4.4</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4.1</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3.7</w:t>
            </w:r>
          </w:p>
        </w:tc>
        <w:tc>
          <w:tcPr>
            <w:tcW w:w="678"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1.35</w:t>
            </w:r>
          </w:p>
        </w:tc>
      </w:tr>
      <w:tr w:rsidR="00630139" w:rsidRPr="004452AB" w:rsidTr="006775DC">
        <w:trPr>
          <w:trHeight w:val="255"/>
        </w:trPr>
        <w:tc>
          <w:tcPr>
            <w:tcW w:w="669" w:type="pct"/>
            <w:shd w:val="clear" w:color="auto" w:fill="auto"/>
            <w:noWrap/>
            <w:vAlign w:val="center"/>
            <w:hideMark/>
          </w:tcPr>
          <w:p w:rsidR="00630139" w:rsidRPr="00C26B99" w:rsidRDefault="00630139" w:rsidP="006775DC">
            <w:pPr>
              <w:spacing w:after="0" w:line="240" w:lineRule="auto"/>
              <w:jc w:val="center"/>
              <w:rPr>
                <w:rFonts w:eastAsia="Times New Roman" w:cs="Segoe UI"/>
                <w:szCs w:val="19"/>
              </w:rPr>
            </w:pPr>
            <w:r w:rsidRPr="00C26B99">
              <w:rPr>
                <w:rFonts w:cs="Segoe UI"/>
                <w:szCs w:val="19"/>
              </w:rPr>
              <w:t>Pulses</w:t>
            </w:r>
          </w:p>
        </w:tc>
        <w:tc>
          <w:tcPr>
            <w:tcW w:w="1840" w:type="pct"/>
            <w:vAlign w:val="center"/>
          </w:tcPr>
          <w:p w:rsidR="00630139" w:rsidRPr="00C26B99" w:rsidRDefault="00630139" w:rsidP="006775DC">
            <w:pPr>
              <w:spacing w:after="0" w:line="240" w:lineRule="auto"/>
              <w:jc w:val="center"/>
              <w:rPr>
                <w:rFonts w:cs="Segoe UI"/>
                <w:szCs w:val="19"/>
              </w:rPr>
            </w:pPr>
            <w:r w:rsidRPr="00C26B99">
              <w:rPr>
                <w:rFonts w:cs="Segoe UI"/>
                <w:szCs w:val="19"/>
              </w:rPr>
              <w:t>50</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3.5</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4.2</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4.4</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4.1</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3.7</w:t>
            </w:r>
          </w:p>
        </w:tc>
        <w:tc>
          <w:tcPr>
            <w:tcW w:w="678"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0.73</w:t>
            </w:r>
          </w:p>
        </w:tc>
      </w:tr>
      <w:tr w:rsidR="00630139" w:rsidRPr="004452AB" w:rsidTr="006775DC">
        <w:trPr>
          <w:trHeight w:val="255"/>
        </w:trPr>
        <w:tc>
          <w:tcPr>
            <w:tcW w:w="669" w:type="pct"/>
            <w:shd w:val="clear" w:color="auto" w:fill="auto"/>
            <w:noWrap/>
            <w:vAlign w:val="center"/>
            <w:hideMark/>
          </w:tcPr>
          <w:p w:rsidR="00630139" w:rsidRPr="00C26B99" w:rsidRDefault="00630139" w:rsidP="006775DC">
            <w:pPr>
              <w:spacing w:after="0" w:line="240" w:lineRule="auto"/>
              <w:jc w:val="center"/>
              <w:rPr>
                <w:rFonts w:eastAsia="Times New Roman" w:cs="Segoe UI"/>
                <w:szCs w:val="19"/>
              </w:rPr>
            </w:pPr>
            <w:r w:rsidRPr="00C26B99">
              <w:rPr>
                <w:rFonts w:cs="Segoe UI"/>
                <w:szCs w:val="19"/>
              </w:rPr>
              <w:t>Potato</w:t>
            </w:r>
          </w:p>
        </w:tc>
        <w:tc>
          <w:tcPr>
            <w:tcW w:w="1840" w:type="pct"/>
            <w:vAlign w:val="center"/>
          </w:tcPr>
          <w:p w:rsidR="00630139" w:rsidRPr="00C26B99" w:rsidRDefault="00630139" w:rsidP="006775DC">
            <w:pPr>
              <w:spacing w:after="0" w:line="240" w:lineRule="auto"/>
              <w:jc w:val="center"/>
              <w:rPr>
                <w:rFonts w:cs="Segoe UI"/>
                <w:szCs w:val="19"/>
              </w:rPr>
            </w:pPr>
            <w:r w:rsidRPr="00C26B99">
              <w:rPr>
                <w:rFonts w:cs="Segoe UI"/>
                <w:szCs w:val="19"/>
              </w:rPr>
              <w:t>100</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6.9</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8.4</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8.8</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8.2</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7.4</w:t>
            </w:r>
          </w:p>
        </w:tc>
        <w:tc>
          <w:tcPr>
            <w:tcW w:w="678"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9.25</w:t>
            </w:r>
          </w:p>
        </w:tc>
      </w:tr>
      <w:tr w:rsidR="00630139" w:rsidRPr="004452AB" w:rsidTr="006775DC">
        <w:trPr>
          <w:trHeight w:val="255"/>
        </w:trPr>
        <w:tc>
          <w:tcPr>
            <w:tcW w:w="669" w:type="pct"/>
            <w:shd w:val="clear" w:color="auto" w:fill="auto"/>
            <w:noWrap/>
            <w:vAlign w:val="center"/>
            <w:hideMark/>
          </w:tcPr>
          <w:p w:rsidR="00630139" w:rsidRPr="00C26B99" w:rsidRDefault="00630139" w:rsidP="006775DC">
            <w:pPr>
              <w:spacing w:after="0" w:line="240" w:lineRule="auto"/>
              <w:jc w:val="center"/>
              <w:rPr>
                <w:rFonts w:eastAsia="Times New Roman" w:cs="Segoe UI"/>
                <w:szCs w:val="19"/>
              </w:rPr>
            </w:pPr>
            <w:r w:rsidRPr="00C26B99">
              <w:rPr>
                <w:rFonts w:cs="Segoe UI"/>
                <w:szCs w:val="19"/>
              </w:rPr>
              <w:t>Vegetables</w:t>
            </w:r>
          </w:p>
        </w:tc>
        <w:tc>
          <w:tcPr>
            <w:tcW w:w="1840" w:type="pct"/>
            <w:vAlign w:val="center"/>
          </w:tcPr>
          <w:p w:rsidR="00630139" w:rsidRPr="00C26B99" w:rsidRDefault="00630139" w:rsidP="006775DC">
            <w:pPr>
              <w:spacing w:after="0" w:line="240" w:lineRule="auto"/>
              <w:jc w:val="center"/>
              <w:rPr>
                <w:rFonts w:cs="Segoe UI"/>
                <w:szCs w:val="19"/>
              </w:rPr>
            </w:pPr>
            <w:r w:rsidRPr="00C26B99">
              <w:rPr>
                <w:rFonts w:cs="Segoe UI"/>
                <w:szCs w:val="19"/>
              </w:rPr>
              <w:t>300</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20.7</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25.1</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26.3</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24.7</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22.3</w:t>
            </w:r>
          </w:p>
        </w:tc>
        <w:tc>
          <w:tcPr>
            <w:tcW w:w="678"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5.92</w:t>
            </w:r>
          </w:p>
        </w:tc>
      </w:tr>
      <w:tr w:rsidR="00630139" w:rsidRPr="004452AB" w:rsidTr="006775DC">
        <w:trPr>
          <w:trHeight w:val="255"/>
        </w:trPr>
        <w:tc>
          <w:tcPr>
            <w:tcW w:w="669" w:type="pct"/>
            <w:shd w:val="clear" w:color="auto" w:fill="auto"/>
            <w:noWrap/>
            <w:vAlign w:val="center"/>
            <w:hideMark/>
          </w:tcPr>
          <w:p w:rsidR="00630139" w:rsidRPr="00C26B99" w:rsidRDefault="00630139" w:rsidP="006775DC">
            <w:pPr>
              <w:spacing w:after="0" w:line="240" w:lineRule="auto"/>
              <w:jc w:val="center"/>
              <w:rPr>
                <w:rFonts w:eastAsia="Times New Roman" w:cs="Segoe UI"/>
                <w:szCs w:val="19"/>
              </w:rPr>
            </w:pPr>
            <w:r w:rsidRPr="00C26B99">
              <w:rPr>
                <w:rFonts w:cs="Segoe UI"/>
                <w:szCs w:val="19"/>
              </w:rPr>
              <w:t>Fruits</w:t>
            </w:r>
          </w:p>
        </w:tc>
        <w:tc>
          <w:tcPr>
            <w:tcW w:w="1840" w:type="pct"/>
            <w:vAlign w:val="center"/>
          </w:tcPr>
          <w:p w:rsidR="00630139" w:rsidRPr="00C26B99" w:rsidRDefault="00630139" w:rsidP="006775DC">
            <w:pPr>
              <w:spacing w:after="0" w:line="240" w:lineRule="auto"/>
              <w:jc w:val="center"/>
              <w:rPr>
                <w:rFonts w:cs="Segoe UI"/>
                <w:szCs w:val="19"/>
              </w:rPr>
            </w:pPr>
            <w:r w:rsidRPr="00C26B99">
              <w:rPr>
                <w:rFonts w:cs="Segoe UI"/>
                <w:szCs w:val="19"/>
              </w:rPr>
              <w:t>100</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6.9</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8.4</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8.8</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8.2</w:t>
            </w:r>
          </w:p>
        </w:tc>
        <w:tc>
          <w:tcPr>
            <w:tcW w:w="363"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7.4</w:t>
            </w:r>
          </w:p>
        </w:tc>
        <w:tc>
          <w:tcPr>
            <w:tcW w:w="678" w:type="pct"/>
            <w:shd w:val="clear" w:color="auto" w:fill="auto"/>
            <w:noWrap/>
            <w:vAlign w:val="center"/>
            <w:hideMark/>
          </w:tcPr>
          <w:p w:rsidR="00630139" w:rsidRPr="00C26B99" w:rsidRDefault="00630139" w:rsidP="006775DC">
            <w:pPr>
              <w:spacing w:after="0" w:line="240" w:lineRule="auto"/>
              <w:jc w:val="center"/>
              <w:rPr>
                <w:rFonts w:cs="Segoe UI"/>
                <w:szCs w:val="19"/>
              </w:rPr>
            </w:pPr>
            <w:r w:rsidRPr="00C26B99">
              <w:rPr>
                <w:rFonts w:cs="Segoe UI"/>
                <w:szCs w:val="19"/>
              </w:rPr>
              <w:t>3.33</w:t>
            </w:r>
          </w:p>
        </w:tc>
      </w:tr>
    </w:tbl>
    <w:p w:rsidR="00630139" w:rsidRPr="004B0A08" w:rsidRDefault="00630139" w:rsidP="0053231E">
      <w:pPr>
        <w:pStyle w:val="Source"/>
        <w:spacing w:before="120" w:after="120"/>
        <w:rPr>
          <w:rFonts w:ascii="Times New Roman" w:hAnsi="Times New Roman"/>
          <w:b/>
        </w:rPr>
      </w:pPr>
      <w:r w:rsidRPr="004B0A08">
        <w:rPr>
          <w:rFonts w:ascii="Times New Roman" w:hAnsi="Times New Roman"/>
          <w:b/>
        </w:rPr>
        <w:t>Source: DDP, 2013</w:t>
      </w:r>
    </w:p>
    <w:p w:rsidR="00630139" w:rsidRPr="00C6204B" w:rsidRDefault="00630139" w:rsidP="00C6204B">
      <w:pPr>
        <w:autoSpaceDE w:val="0"/>
        <w:autoSpaceDN w:val="0"/>
        <w:adjustRightInd w:val="0"/>
        <w:spacing w:line="276" w:lineRule="auto"/>
        <w:jc w:val="both"/>
        <w:rPr>
          <w:rFonts w:cs="Times New Roman"/>
          <w:bCs/>
          <w:color w:val="000000"/>
          <w:szCs w:val="24"/>
        </w:rPr>
      </w:pPr>
      <w:r w:rsidRPr="00C6204B">
        <w:rPr>
          <w:rFonts w:cs="Times New Roman"/>
          <w:bCs/>
          <w:color w:val="000000"/>
          <w:szCs w:val="24"/>
        </w:rPr>
        <w:t>FAO Bangladesh has initiated demand-supply analysis for projections towards 2050, 2075 and 2100.</w:t>
      </w:r>
    </w:p>
    <w:p w:rsidR="00000000" w:rsidRDefault="00630139" w:rsidP="003D5A31">
      <w:pPr>
        <w:pStyle w:val="BodyText"/>
        <w:numPr>
          <w:ilvl w:val="2"/>
          <w:numId w:val="237"/>
        </w:numPr>
        <w:spacing w:after="240" w:line="276" w:lineRule="auto"/>
        <w:jc w:val="both"/>
        <w:rPr>
          <w:rFonts w:cs="Times New Roman"/>
          <w:b/>
          <w:szCs w:val="24"/>
        </w:rPr>
      </w:pPr>
      <w:r w:rsidRPr="00C6204B">
        <w:rPr>
          <w:rFonts w:cs="Times New Roman"/>
          <w:b/>
          <w:szCs w:val="24"/>
        </w:rPr>
        <w:t xml:space="preserve">Strengthening Responses to Climate Change Implications for Agriculture </w:t>
      </w:r>
    </w:p>
    <w:p w:rsidR="0055784E" w:rsidRPr="00512072" w:rsidRDefault="00630139" w:rsidP="0055784E">
      <w:pPr>
        <w:autoSpaceDE w:val="0"/>
        <w:autoSpaceDN w:val="0"/>
        <w:adjustRightInd w:val="0"/>
        <w:spacing w:line="276" w:lineRule="auto"/>
        <w:jc w:val="both"/>
        <w:rPr>
          <w:rFonts w:cs="Times New Roman"/>
          <w:bCs/>
          <w:color w:val="000000"/>
          <w:szCs w:val="24"/>
        </w:rPr>
      </w:pPr>
      <w:r w:rsidRPr="00512072">
        <w:rPr>
          <w:rFonts w:cs="Times New Roman"/>
          <w:bCs/>
          <w:color w:val="000000"/>
          <w:szCs w:val="24"/>
        </w:rPr>
        <w:t>Building on the ongoing efforts, agriculture strategy and policies can be strengthened in several areas under the Delta Plan. The lessons of international experience provide some broad areas of intervention by the types of problem that have relevance for designing climate smart agricultural policies (Table 8.1</w:t>
      </w:r>
      <w:r w:rsidR="006775DC">
        <w:rPr>
          <w:rFonts w:cs="Times New Roman"/>
          <w:bCs/>
          <w:color w:val="000000"/>
          <w:szCs w:val="24"/>
        </w:rPr>
        <w:t>9</w:t>
      </w:r>
      <w:r w:rsidRPr="00512072">
        <w:rPr>
          <w:rFonts w:cs="Times New Roman"/>
          <w:bCs/>
          <w:color w:val="000000"/>
          <w:szCs w:val="24"/>
        </w:rPr>
        <w:t>).</w:t>
      </w:r>
      <w:r w:rsidR="0055784E">
        <w:rPr>
          <w:rFonts w:cs="Times New Roman"/>
          <w:bCs/>
          <w:color w:val="000000"/>
          <w:szCs w:val="24"/>
        </w:rPr>
        <w:t xml:space="preserve"> </w:t>
      </w:r>
      <w:r w:rsidR="0055784E" w:rsidRPr="00512072">
        <w:rPr>
          <w:rFonts w:cs="Times New Roman"/>
          <w:bCs/>
          <w:color w:val="000000"/>
          <w:szCs w:val="24"/>
        </w:rPr>
        <w:t>The specific implications of these lessons can be summarized as follows:</w:t>
      </w:r>
    </w:p>
    <w:p w:rsidR="0055784E" w:rsidRPr="00FD5766" w:rsidRDefault="0055784E" w:rsidP="00630139">
      <w:pPr>
        <w:autoSpaceDE w:val="0"/>
        <w:autoSpaceDN w:val="0"/>
        <w:adjustRightInd w:val="0"/>
        <w:spacing w:line="276" w:lineRule="auto"/>
        <w:jc w:val="both"/>
        <w:rPr>
          <w:rFonts w:cs="Times New Roman"/>
          <w:szCs w:val="24"/>
          <w:u w:val="single"/>
        </w:rPr>
      </w:pPr>
      <w:r w:rsidRPr="00512072">
        <w:rPr>
          <w:rFonts w:cs="Times New Roman"/>
          <w:b/>
          <w:bCs/>
          <w:color w:val="000000"/>
          <w:szCs w:val="24"/>
        </w:rPr>
        <w:t xml:space="preserve">Negative impacts on food security can be reduced by development and poverty reduction approaches: </w:t>
      </w:r>
      <w:r w:rsidRPr="00512072">
        <w:rPr>
          <w:rFonts w:cs="Times New Roman"/>
          <w:bCs/>
          <w:szCs w:val="24"/>
        </w:rPr>
        <w:t>Better infrastructure and market access help cope with production shocks.</w:t>
      </w:r>
      <w:r w:rsidRPr="00512072">
        <w:rPr>
          <w:rFonts w:cs="Times New Roman"/>
          <w:b/>
          <w:bCs/>
          <w:szCs w:val="24"/>
        </w:rPr>
        <w:t xml:space="preserve"> </w:t>
      </w:r>
      <w:r w:rsidRPr="00512072">
        <w:rPr>
          <w:rFonts w:cs="Times New Roman"/>
          <w:szCs w:val="24"/>
        </w:rPr>
        <w:t xml:space="preserve">Well-functioning markets can help farmers cope with production shocks, although the ability to rely on markets depends on many socioeconomic conditions—especially institutional barriers (like trade barriers) and transportation costs. Rural road development offers a strong potential to lower transport costs and spur market activity. </w:t>
      </w:r>
      <w:r w:rsidR="00F64A6A" w:rsidRPr="00F64A6A">
        <w:rPr>
          <w:rFonts w:cs="Times New Roman"/>
          <w:szCs w:val="24"/>
          <w:u w:val="single"/>
        </w:rPr>
        <w:t xml:space="preserve">Greater access to all-weather roads in Bangladesh could be a game changer for farmers, as was the case in Ethiopia. </w:t>
      </w:r>
    </w:p>
    <w:p w:rsidR="00630139" w:rsidRPr="00FD5766" w:rsidRDefault="00F64A6A" w:rsidP="00630139">
      <w:pPr>
        <w:pStyle w:val="Heading4"/>
        <w:rPr>
          <w:color w:val="1F497D" w:themeColor="text2"/>
          <w:u w:val="single"/>
        </w:rPr>
      </w:pPr>
      <w:bookmarkStart w:id="618" w:name="_Toc474639063"/>
      <w:r w:rsidRPr="00F64A6A">
        <w:rPr>
          <w:u w:val="single"/>
        </w:rPr>
        <w:t>Table 8.19: Climate Change Risks, Impact and Adaptation Practices</w:t>
      </w:r>
      <w:bookmarkEnd w:id="618"/>
    </w:p>
    <w:tbl>
      <w:tblPr>
        <w:tblW w:w="5000" w:type="pct"/>
        <w:tblLook w:val="04A0"/>
      </w:tblPr>
      <w:tblGrid>
        <w:gridCol w:w="3257"/>
        <w:gridCol w:w="3151"/>
        <w:gridCol w:w="3168"/>
      </w:tblGrid>
      <w:tr w:rsidR="00630139" w:rsidRPr="00512072" w:rsidTr="006775DC">
        <w:trPr>
          <w:trHeight w:val="20"/>
        </w:trPr>
        <w:tc>
          <w:tcPr>
            <w:tcW w:w="1701" w:type="pct"/>
            <w:tcBorders>
              <w:top w:val="single" w:sz="4" w:space="0" w:color="auto"/>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center"/>
              <w:rPr>
                <w:rFonts w:eastAsia="Times New Roman" w:cs="Times New Roman"/>
                <w:b/>
                <w:color w:val="000000"/>
                <w:sz w:val="20"/>
                <w:szCs w:val="20"/>
              </w:rPr>
            </w:pPr>
            <w:r w:rsidRPr="00512072">
              <w:rPr>
                <w:rFonts w:eastAsia="Times New Roman" w:cs="Times New Roman"/>
                <w:b/>
                <w:color w:val="000000"/>
                <w:sz w:val="20"/>
                <w:szCs w:val="20"/>
              </w:rPr>
              <w:t>Climate Change Risks</w:t>
            </w:r>
          </w:p>
        </w:tc>
        <w:tc>
          <w:tcPr>
            <w:tcW w:w="1645" w:type="pct"/>
            <w:tcBorders>
              <w:top w:val="single" w:sz="4" w:space="0" w:color="auto"/>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center"/>
              <w:rPr>
                <w:rFonts w:eastAsia="Times New Roman" w:cs="Times New Roman"/>
                <w:b/>
                <w:color w:val="000000"/>
                <w:sz w:val="20"/>
                <w:szCs w:val="20"/>
              </w:rPr>
            </w:pPr>
            <w:r w:rsidRPr="00512072">
              <w:rPr>
                <w:rFonts w:eastAsia="Times New Roman" w:cs="Times New Roman"/>
                <w:b/>
                <w:color w:val="000000"/>
                <w:sz w:val="20"/>
                <w:szCs w:val="20"/>
              </w:rPr>
              <w:t>Impact</w:t>
            </w:r>
          </w:p>
        </w:tc>
        <w:tc>
          <w:tcPr>
            <w:tcW w:w="1654" w:type="pct"/>
            <w:tcBorders>
              <w:top w:val="single" w:sz="4" w:space="0" w:color="auto"/>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center"/>
              <w:rPr>
                <w:rFonts w:eastAsia="Times New Roman" w:cs="Times New Roman"/>
                <w:b/>
                <w:color w:val="000000"/>
                <w:sz w:val="20"/>
                <w:szCs w:val="20"/>
              </w:rPr>
            </w:pPr>
            <w:r w:rsidRPr="00512072">
              <w:rPr>
                <w:rFonts w:eastAsia="Times New Roman" w:cs="Times New Roman"/>
                <w:b/>
                <w:color w:val="000000"/>
                <w:sz w:val="20"/>
                <w:szCs w:val="20"/>
              </w:rPr>
              <w:t>Adaptation practice</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Climate change may Increase rainfall variability and cause longer dry spells making t. aman and rabi pulses face drought at various growth stages</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Reduced crop yield affects diet and nutrition</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Construction of mini ponds, shallow and deep tube wells</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Climate change may increase dry spell lengths due to greater rainfall variability during early stages of t. aman</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Young transplanted seedlings affected by dry topsoil and reduced root proliferation may lead to reduced yields</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Transplanting at deeper depths will lead to better root proliferation and facilitate moisture extraction during drought</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 xml:space="preserve">Climate change may aggravate the complex, intense crop-weed competition </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 xml:space="preserve">Intense competition for solar radiation, nutrients and moisture, weeds’ smothering effect reduces </w:t>
            </w:r>
            <w:r w:rsidRPr="00512072">
              <w:rPr>
                <w:rFonts w:eastAsia="Times New Roman" w:cs="Times New Roman"/>
                <w:color w:val="000000"/>
                <w:sz w:val="20"/>
                <w:szCs w:val="20"/>
              </w:rPr>
              <w:lastRenderedPageBreak/>
              <w:t>yield</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lastRenderedPageBreak/>
              <w:t>Manual controlling of weeds combined with closing soil cracks</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lastRenderedPageBreak/>
              <w:t>More intense monsoon rainfall may lead to excessive loss of field water</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Increased exposure to mid-season drought due to lack of water in the field</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Strengthening field bunds to conserve more rain water</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Increase in delayed onset of monsoon rainfall in June due to climate change</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Delayed seedbed preparation and late planting; shortened growing period</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Using dry seedbed method for t-aman rice</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Higher temperature and evaporation lead to excessive water use</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Decline in surface water and groundwater resources; over exploitation of groundwater causes heavy metal contamination</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Adoption of more intense rice cropping system</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Low yield due to high temperature and water scarcity</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Increased high temperature stress; more evaporation</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System of direct sown rice using drum seeder</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Local varieties of rice might be more sensitive to drought and high temperature</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Excessive yield reduction</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Drought- resistant, short- duration varieties that fit in monsoon rainfall pattern</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Improper water control structures and excessive rain water loss</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Excessive run-off, soil erosion and uncontrolled water flow may cause localized inundation</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Building of water control structures; check dams across the water ways</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Anticipated drought conditions would increase the seasonal famine conditions (Monga)</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Reduced capacity for food production and community to absorb seasonal shocks</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Growing famine reserve crops such as cassava and yam</w:t>
            </w: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Climate change models project</w:t>
            </w:r>
          </w:p>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 xml:space="preserve">increased temperature which will speed ripening of existing mango </w:t>
            </w:r>
          </w:p>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varieties</w:t>
            </w:r>
          </w:p>
        </w:tc>
        <w:tc>
          <w:tcPr>
            <w:tcW w:w="1645"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All varieties of mangoes will ripen at the same time causing price drop</w:t>
            </w:r>
          </w:p>
        </w:tc>
        <w:tc>
          <w:tcPr>
            <w:tcW w:w="1654"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Introduction of high- temperature tolerant mango and jujube (ber) varieties</w:t>
            </w:r>
          </w:p>
        </w:tc>
      </w:tr>
      <w:tr w:rsidR="00630139" w:rsidRPr="00512072" w:rsidTr="006775DC">
        <w:trPr>
          <w:trHeight w:val="20"/>
        </w:trPr>
        <w:tc>
          <w:tcPr>
            <w:tcW w:w="1701" w:type="pct"/>
            <w:tcBorders>
              <w:top w:val="single" w:sz="4" w:space="0" w:color="auto"/>
              <w:left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p>
        </w:tc>
        <w:tc>
          <w:tcPr>
            <w:tcW w:w="1645" w:type="pct"/>
            <w:tcBorders>
              <w:top w:val="single" w:sz="4" w:space="0" w:color="auto"/>
              <w:left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p>
        </w:tc>
        <w:tc>
          <w:tcPr>
            <w:tcW w:w="1654" w:type="pct"/>
            <w:tcBorders>
              <w:top w:val="single" w:sz="4" w:space="0" w:color="auto"/>
              <w:left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p>
        </w:tc>
      </w:tr>
      <w:tr w:rsidR="00630139" w:rsidRPr="00512072" w:rsidTr="006775DC">
        <w:trPr>
          <w:trHeight w:val="20"/>
        </w:trPr>
        <w:tc>
          <w:tcPr>
            <w:tcW w:w="1701" w:type="pct"/>
            <w:tcBorders>
              <w:top w:val="nil"/>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Livelihood activities in drought-prone areas will suffer as a result of increased impact of drought due to climate change</w:t>
            </w:r>
          </w:p>
        </w:tc>
        <w:tc>
          <w:tcPr>
            <w:tcW w:w="1645"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Household income would be reduced</w:t>
            </w:r>
          </w:p>
        </w:tc>
        <w:tc>
          <w:tcPr>
            <w:tcW w:w="1654" w:type="pct"/>
            <w:tcBorders>
              <w:top w:val="nil"/>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Enhancing facilities for cottage industries; engaging in homestead gardening</w:t>
            </w:r>
          </w:p>
        </w:tc>
      </w:tr>
      <w:tr w:rsidR="00630139" w:rsidRPr="00512072" w:rsidTr="006775DC">
        <w:trPr>
          <w:trHeight w:hRule="exact" w:val="504"/>
        </w:trPr>
        <w:tc>
          <w:tcPr>
            <w:tcW w:w="1701" w:type="pct"/>
            <w:tcBorders>
              <w:top w:val="single" w:sz="4" w:space="0" w:color="auto"/>
              <w:left w:val="single" w:sz="4" w:space="0" w:color="auto"/>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cs="Times New Roman"/>
                <w:color w:val="000000"/>
                <w:sz w:val="20"/>
                <w:szCs w:val="20"/>
              </w:rPr>
              <w:t>Existing crops are not sustainable under climate change</w:t>
            </w:r>
          </w:p>
        </w:tc>
        <w:tc>
          <w:tcPr>
            <w:tcW w:w="1645" w:type="pct"/>
            <w:tcBorders>
              <w:top w:val="single" w:sz="4" w:space="0" w:color="auto"/>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Yield reduction and decreased income</w:t>
            </w:r>
          </w:p>
          <w:p w:rsidR="00630139" w:rsidRPr="00512072" w:rsidRDefault="00630139" w:rsidP="006775DC">
            <w:pPr>
              <w:spacing w:after="0" w:line="240" w:lineRule="auto"/>
              <w:jc w:val="both"/>
              <w:rPr>
                <w:rFonts w:eastAsia="Times New Roman" w:cs="Times New Roman"/>
                <w:color w:val="000000"/>
                <w:sz w:val="20"/>
                <w:szCs w:val="20"/>
              </w:rPr>
            </w:pPr>
          </w:p>
        </w:tc>
        <w:tc>
          <w:tcPr>
            <w:tcW w:w="1654" w:type="pct"/>
            <w:tcBorders>
              <w:top w:val="single" w:sz="4" w:space="0" w:color="auto"/>
              <w:left w:val="nil"/>
              <w:bottom w:val="single" w:sz="4" w:space="0" w:color="auto"/>
              <w:right w:val="single" w:sz="4" w:space="0" w:color="auto"/>
            </w:tcBorders>
            <w:shd w:val="clear" w:color="auto" w:fill="auto"/>
            <w:hideMark/>
          </w:tcPr>
          <w:p w:rsidR="00630139" w:rsidRPr="00512072" w:rsidRDefault="00630139" w:rsidP="006775DC">
            <w:pPr>
              <w:spacing w:after="0" w:line="240" w:lineRule="auto"/>
              <w:jc w:val="both"/>
              <w:rPr>
                <w:rFonts w:eastAsia="Times New Roman" w:cs="Times New Roman"/>
                <w:color w:val="000000"/>
                <w:sz w:val="20"/>
                <w:szCs w:val="20"/>
              </w:rPr>
            </w:pPr>
            <w:r w:rsidRPr="00512072">
              <w:rPr>
                <w:rFonts w:eastAsia="Times New Roman" w:cs="Times New Roman"/>
                <w:color w:val="000000"/>
                <w:sz w:val="20"/>
                <w:szCs w:val="20"/>
              </w:rPr>
              <w:t>Adopting drought resistant mulberry intercropping in rice fields</w:t>
            </w:r>
          </w:p>
        </w:tc>
      </w:tr>
    </w:tbl>
    <w:p w:rsidR="00630139" w:rsidRPr="00512072" w:rsidRDefault="00630139" w:rsidP="00630139">
      <w:pPr>
        <w:spacing w:before="120" w:line="276" w:lineRule="auto"/>
        <w:jc w:val="both"/>
        <w:rPr>
          <w:rFonts w:cs="Times New Roman"/>
          <w:b/>
          <w:i/>
          <w:iCs/>
          <w:color w:val="222222"/>
          <w:sz w:val="20"/>
          <w:szCs w:val="20"/>
          <w:shd w:val="clear" w:color="auto" w:fill="FFFFFF"/>
        </w:rPr>
      </w:pPr>
      <w:r w:rsidRPr="00512072">
        <w:rPr>
          <w:rFonts w:cs="Times New Roman"/>
          <w:b/>
          <w:i/>
          <w:iCs/>
          <w:sz w:val="20"/>
          <w:szCs w:val="20"/>
        </w:rPr>
        <w:t xml:space="preserve">Source: </w:t>
      </w:r>
      <w:r w:rsidRPr="00512072">
        <w:rPr>
          <w:rFonts w:cs="Times New Roman"/>
          <w:b/>
          <w:i/>
          <w:iCs/>
          <w:color w:val="222222"/>
          <w:sz w:val="20"/>
          <w:szCs w:val="20"/>
          <w:shd w:val="clear" w:color="auto" w:fill="FFFFFF"/>
        </w:rPr>
        <w:t>Selvaraju, R. and Baas, S., 2007</w:t>
      </w:r>
    </w:p>
    <w:p w:rsidR="00630139" w:rsidRPr="00512072" w:rsidRDefault="00630139" w:rsidP="00630139">
      <w:pPr>
        <w:autoSpaceDE w:val="0"/>
        <w:autoSpaceDN w:val="0"/>
        <w:adjustRightInd w:val="0"/>
        <w:spacing w:line="276" w:lineRule="auto"/>
        <w:jc w:val="both"/>
        <w:rPr>
          <w:rFonts w:cs="Times New Roman"/>
          <w:szCs w:val="24"/>
        </w:rPr>
      </w:pPr>
      <w:r w:rsidRPr="00512072">
        <w:rPr>
          <w:rFonts w:cs="Times New Roman"/>
          <w:b/>
          <w:bCs/>
          <w:szCs w:val="24"/>
        </w:rPr>
        <w:t xml:space="preserve">Improved farm practices and technologies can mediate negative impacts: </w:t>
      </w:r>
      <w:r w:rsidRPr="00512072">
        <w:rPr>
          <w:rFonts w:cs="Times New Roman"/>
          <w:szCs w:val="24"/>
        </w:rPr>
        <w:t xml:space="preserve">Climate-smart agricultural practices can increase productivity and make agricultural production more resilient. Being exposed to climate variability and change, disaster preparedness and resilient and diverse farming systems will be the long-term strategic options in Bangladesh agriculture. </w:t>
      </w:r>
    </w:p>
    <w:p w:rsidR="00630139" w:rsidRPr="00512072" w:rsidRDefault="00630139" w:rsidP="00630139">
      <w:pPr>
        <w:autoSpaceDE w:val="0"/>
        <w:autoSpaceDN w:val="0"/>
        <w:adjustRightInd w:val="0"/>
        <w:spacing w:line="276" w:lineRule="auto"/>
        <w:jc w:val="both"/>
        <w:rPr>
          <w:rFonts w:cs="Times New Roman"/>
          <w:szCs w:val="24"/>
        </w:rPr>
      </w:pPr>
      <w:r w:rsidRPr="00512072">
        <w:rPr>
          <w:rFonts w:cs="Times New Roman"/>
          <w:szCs w:val="24"/>
        </w:rPr>
        <w:t xml:space="preserve">For instance, Vietnam is improving its water resource management to make its cropping and aquaculture regimes better adapted to increasing flood risk and salinity levels. But more productive and more resilient practices require a more efficient use of land, water, soil nutrients, and genetic resources. Better technologies will also be needed to tackle future food security challenges. These might include improvements in crop varieties, smarter use of inputs, methods to strengthen crop resistance to pests and diseases, and reduction of postharvest losses. Improved crops and better use of water and soil can increase both farmers’ incomes and their resilience to climate shocks. </w:t>
      </w:r>
    </w:p>
    <w:p w:rsidR="006775DC" w:rsidRPr="00FD5766" w:rsidRDefault="00F64A6A" w:rsidP="003D2AF6">
      <w:pPr>
        <w:autoSpaceDE w:val="0"/>
        <w:autoSpaceDN w:val="0"/>
        <w:adjustRightInd w:val="0"/>
        <w:spacing w:line="276" w:lineRule="auto"/>
        <w:jc w:val="both"/>
        <w:rPr>
          <w:rFonts w:cs="Times New Roman"/>
          <w:szCs w:val="24"/>
          <w:u w:val="single"/>
        </w:rPr>
      </w:pPr>
      <w:r w:rsidRPr="00F64A6A">
        <w:rPr>
          <w:rFonts w:cs="Times New Roman"/>
          <w:szCs w:val="24"/>
          <w:u w:val="single"/>
        </w:rPr>
        <w:lastRenderedPageBreak/>
        <w:t xml:space="preserve">Bangladesh past experience has shown strong resilience and capacity to adopt new technology and adapt to natural hazards in crop production. As illustrated in Figure 8.2, average national rice productivity grew rapidly, since the adoption of new technology from the early 1980s, with average rice yields expanding 2.5 times between 1974 and 2014.  </w:t>
      </w:r>
      <w:r w:rsidR="00630139" w:rsidRPr="00FD5766">
        <w:rPr>
          <w:rFonts w:cs="Times New Roman"/>
          <w:szCs w:val="24"/>
        </w:rPr>
        <w:t>This happened notwithstanding the adverse effects of natural hazards and climate change owin</w:t>
      </w:r>
      <w:r w:rsidRPr="00F64A6A">
        <w:rPr>
          <w:rFonts w:cs="Times New Roman"/>
          <w:szCs w:val="24"/>
        </w:rPr>
        <w:t>g to supportive government policies on technology and water investments including flood control measures.</w:t>
      </w:r>
      <w:r w:rsidRPr="00F64A6A">
        <w:rPr>
          <w:rFonts w:cs="Times New Roman"/>
          <w:szCs w:val="24"/>
          <w:u w:val="single"/>
        </w:rPr>
        <w:t xml:space="preserve">  </w:t>
      </w:r>
    </w:p>
    <w:p w:rsidR="00630139" w:rsidRPr="00FD5766" w:rsidRDefault="00F64A6A" w:rsidP="00630139">
      <w:pPr>
        <w:pStyle w:val="Heading5"/>
        <w:rPr>
          <w:rFonts w:cs="Times New Roman"/>
          <w:u w:val="single"/>
        </w:rPr>
      </w:pPr>
      <w:bookmarkStart w:id="619" w:name="_Toc474639198"/>
      <w:r w:rsidRPr="00F64A6A">
        <w:rPr>
          <w:rFonts w:cs="Times New Roman"/>
          <w:u w:val="single"/>
        </w:rPr>
        <w:t>Figure 8.4: Rice Yields for Selected Countries and Regions</w:t>
      </w:r>
      <w:bookmarkEnd w:id="619"/>
    </w:p>
    <w:p w:rsidR="00630139" w:rsidRPr="00512072" w:rsidRDefault="00630139" w:rsidP="00630139">
      <w:pPr>
        <w:autoSpaceDE w:val="0"/>
        <w:autoSpaceDN w:val="0"/>
        <w:adjustRightInd w:val="0"/>
        <w:spacing w:after="0" w:line="276" w:lineRule="auto"/>
        <w:jc w:val="center"/>
        <w:rPr>
          <w:rFonts w:cs="Times New Roman"/>
          <w:b/>
          <w:bCs/>
          <w:szCs w:val="24"/>
        </w:rPr>
      </w:pPr>
      <w:r w:rsidRPr="00640D58">
        <w:rPr>
          <w:rFonts w:cs="Times New Roman"/>
          <w:b/>
          <w:bCs/>
          <w:noProof/>
          <w:szCs w:val="24"/>
          <w:lang w:val="en-AU" w:eastAsia="en-AU" w:bidi="bn-BD"/>
        </w:rPr>
        <w:drawing>
          <wp:inline distT="0" distB="0" distL="0" distR="0">
            <wp:extent cx="5791200" cy="2990850"/>
            <wp:effectExtent l="0" t="0" r="19050" b="19050"/>
            <wp:docPr id="8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630139" w:rsidRPr="00512072" w:rsidRDefault="00630139" w:rsidP="003D2AF6">
      <w:pPr>
        <w:autoSpaceDE w:val="0"/>
        <w:autoSpaceDN w:val="0"/>
        <w:adjustRightInd w:val="0"/>
        <w:spacing w:before="120" w:line="276" w:lineRule="auto"/>
        <w:jc w:val="both"/>
        <w:rPr>
          <w:rFonts w:cs="Times New Roman"/>
          <w:b/>
          <w:bCs/>
          <w:i/>
          <w:iCs/>
          <w:sz w:val="20"/>
          <w:szCs w:val="20"/>
        </w:rPr>
      </w:pPr>
      <w:r w:rsidRPr="00512072">
        <w:rPr>
          <w:rFonts w:cs="Times New Roman"/>
          <w:b/>
          <w:bCs/>
          <w:i/>
          <w:iCs/>
          <w:sz w:val="20"/>
          <w:szCs w:val="20"/>
        </w:rPr>
        <w:t>Source: USDA database</w:t>
      </w:r>
    </w:p>
    <w:p w:rsidR="00630139" w:rsidRPr="00512072" w:rsidRDefault="00630139" w:rsidP="00630139">
      <w:pPr>
        <w:autoSpaceDE w:val="0"/>
        <w:autoSpaceDN w:val="0"/>
        <w:adjustRightInd w:val="0"/>
        <w:spacing w:line="276" w:lineRule="auto"/>
        <w:jc w:val="both"/>
        <w:rPr>
          <w:rFonts w:cs="Times New Roman"/>
          <w:szCs w:val="24"/>
        </w:rPr>
      </w:pPr>
      <w:r w:rsidRPr="00512072">
        <w:rPr>
          <w:rFonts w:cs="Times New Roman"/>
          <w:szCs w:val="24"/>
        </w:rPr>
        <w:t>The scope for productivity improvements remains large.  This is suggested by the still prevailing productivity gap between Bangladesh and international rice productivi</w:t>
      </w:r>
      <w:r w:rsidR="006775DC">
        <w:rPr>
          <w:rFonts w:cs="Times New Roman"/>
          <w:szCs w:val="24"/>
        </w:rPr>
        <w:t>ty leaders in Europe (Figure 8.4</w:t>
      </w:r>
      <w:r w:rsidRPr="00512072">
        <w:rPr>
          <w:rFonts w:cs="Times New Roman"/>
          <w:szCs w:val="24"/>
        </w:rPr>
        <w:t xml:space="preserve">).  Adoption of climate smart technology will be an important element to achieve this higher productivity, especially because the current productivity gap between the coastal districts (the most vulnerable districts from the crop productivity point of view) and the high-productivity districts of the Northern areas. </w:t>
      </w:r>
    </w:p>
    <w:p w:rsidR="00630139" w:rsidRPr="00512072" w:rsidRDefault="00630139" w:rsidP="00630139">
      <w:pPr>
        <w:autoSpaceDE w:val="0"/>
        <w:autoSpaceDN w:val="0"/>
        <w:adjustRightInd w:val="0"/>
        <w:spacing w:line="276" w:lineRule="auto"/>
        <w:jc w:val="both"/>
        <w:rPr>
          <w:rFonts w:cs="Times New Roman"/>
          <w:szCs w:val="24"/>
        </w:rPr>
      </w:pPr>
      <w:r w:rsidRPr="00512072">
        <w:rPr>
          <w:rFonts w:cs="Times New Roman"/>
          <w:b/>
          <w:bCs/>
          <w:szCs w:val="24"/>
        </w:rPr>
        <w:t xml:space="preserve">Conservation and adaptation to increase the resilience of ecosystems: </w:t>
      </w:r>
      <w:r w:rsidRPr="00512072">
        <w:rPr>
          <w:rFonts w:cs="Times New Roman"/>
          <w:szCs w:val="24"/>
        </w:rPr>
        <w:t xml:space="preserve">The vulnerability of ecosystems to climate change impacts will also depend on non-climate human-made impacts. For example, </w:t>
      </w:r>
      <w:r>
        <w:rPr>
          <w:rFonts w:cs="Times New Roman"/>
          <w:szCs w:val="24"/>
        </w:rPr>
        <w:t>fisheries</w:t>
      </w:r>
      <w:r w:rsidRPr="00512072">
        <w:rPr>
          <w:rFonts w:cs="Times New Roman"/>
          <w:szCs w:val="24"/>
        </w:rPr>
        <w:t xml:space="preserve"> dependent countries in South and East Asia (such as Bangladesh, Cambodia, India, Indonesia, the Philippines Sri Lanka, and Vietnam), </w:t>
      </w:r>
      <w:r w:rsidR="00F64A6A" w:rsidRPr="00F64A6A">
        <w:rPr>
          <w:rFonts w:cs="Times New Roman"/>
          <w:szCs w:val="24"/>
          <w:u w:val="single"/>
        </w:rPr>
        <w:t>where fisheries activities are poorly regulated, are very vulnerable to the combined impact of climate change and over</w:t>
      </w:r>
      <w:r w:rsidR="00FD5766">
        <w:rPr>
          <w:rFonts w:cs="Times New Roman"/>
          <w:szCs w:val="24"/>
          <w:u w:val="single"/>
        </w:rPr>
        <w:t xml:space="preserve"> </w:t>
      </w:r>
      <w:r w:rsidR="00F64A6A" w:rsidRPr="00F64A6A">
        <w:rPr>
          <w:rFonts w:cs="Times New Roman"/>
          <w:szCs w:val="24"/>
          <w:u w:val="single"/>
        </w:rPr>
        <w:t xml:space="preserve">exploitation. </w:t>
      </w:r>
      <w:r w:rsidRPr="00512072">
        <w:rPr>
          <w:rFonts w:cs="Times New Roman"/>
          <w:szCs w:val="24"/>
        </w:rPr>
        <w:t xml:space="preserve">This interdependence means that reducing non-climate stresses on ecosystems can make them better able to adapt to climate change and continue to support livelihoods. Consequently, any measures that reduce or avoid land or forest degradation, depletion of natural </w:t>
      </w:r>
      <w:r w:rsidRPr="00512072">
        <w:rPr>
          <w:rFonts w:cs="Times New Roman"/>
          <w:szCs w:val="24"/>
        </w:rPr>
        <w:lastRenderedPageBreak/>
        <w:t>resource stocks (such as fish), or pollution of water and soils can protect the ecosystems poor people depend upon and increase their resilience to climate change.</w:t>
      </w:r>
    </w:p>
    <w:p w:rsidR="00630139" w:rsidRPr="00512072" w:rsidRDefault="00630139" w:rsidP="00630139">
      <w:pPr>
        <w:autoSpaceDE w:val="0"/>
        <w:autoSpaceDN w:val="0"/>
        <w:adjustRightInd w:val="0"/>
        <w:spacing w:line="276" w:lineRule="auto"/>
        <w:jc w:val="both"/>
        <w:rPr>
          <w:rFonts w:cs="Times New Roman"/>
          <w:szCs w:val="24"/>
        </w:rPr>
      </w:pPr>
      <w:r w:rsidRPr="00512072">
        <w:rPr>
          <w:rFonts w:cs="Times New Roman"/>
          <w:b/>
          <w:szCs w:val="24"/>
        </w:rPr>
        <w:t>Targeted measures to foster ecosystem based adaptation</w:t>
      </w:r>
      <w:r w:rsidR="003D2AF6">
        <w:rPr>
          <w:rFonts w:cs="Times New Roman"/>
          <w:b/>
          <w:szCs w:val="24"/>
        </w:rPr>
        <w:t xml:space="preserve">: </w:t>
      </w:r>
      <w:r w:rsidRPr="00512072">
        <w:rPr>
          <w:rFonts w:cs="Times New Roman"/>
          <w:b/>
          <w:szCs w:val="24"/>
        </w:rPr>
        <w:t xml:space="preserve"> </w:t>
      </w:r>
      <w:r w:rsidR="003D2AF6" w:rsidRPr="003D2AF6">
        <w:rPr>
          <w:rFonts w:cs="Times New Roman"/>
          <w:szCs w:val="24"/>
        </w:rPr>
        <w:t xml:space="preserve">They </w:t>
      </w:r>
      <w:r w:rsidRPr="003D2AF6">
        <w:rPr>
          <w:rFonts w:cs="Times New Roman"/>
          <w:szCs w:val="24"/>
        </w:rPr>
        <w:t>are a critical way to help ecosystems and poor people better prepare for climate change</w:t>
      </w:r>
      <w:r w:rsidR="003D2AF6">
        <w:rPr>
          <w:rFonts w:cs="Times New Roman"/>
          <w:b/>
          <w:szCs w:val="24"/>
        </w:rPr>
        <w:t>.</w:t>
      </w:r>
      <w:r w:rsidRPr="00512072">
        <w:rPr>
          <w:rFonts w:cs="Times New Roman"/>
          <w:szCs w:val="24"/>
        </w:rPr>
        <w:t xml:space="preserve"> They seek to strengthen ecosystem processes and services, as well as the human systems that maintain them, in order to make them more resilient to climate change. </w:t>
      </w:r>
    </w:p>
    <w:p w:rsidR="00630139" w:rsidRPr="00FD5766" w:rsidRDefault="00630139" w:rsidP="00630139">
      <w:pPr>
        <w:autoSpaceDE w:val="0"/>
        <w:autoSpaceDN w:val="0"/>
        <w:adjustRightInd w:val="0"/>
        <w:spacing w:line="276" w:lineRule="auto"/>
        <w:jc w:val="both"/>
        <w:rPr>
          <w:rFonts w:cs="Times New Roman"/>
          <w:szCs w:val="24"/>
          <w:u w:val="single"/>
        </w:rPr>
      </w:pPr>
      <w:r w:rsidRPr="00512072">
        <w:rPr>
          <w:rFonts w:cs="Times New Roman"/>
          <w:b/>
          <w:bCs/>
          <w:szCs w:val="24"/>
        </w:rPr>
        <w:t>Land-miti</w:t>
      </w:r>
      <w:r w:rsidR="003D2AF6">
        <w:rPr>
          <w:rFonts w:cs="Times New Roman"/>
          <w:b/>
          <w:bCs/>
          <w:szCs w:val="24"/>
        </w:rPr>
        <w:t xml:space="preserve">gation policies </w:t>
      </w:r>
      <w:r w:rsidRPr="00512072">
        <w:rPr>
          <w:rFonts w:cs="Times New Roman"/>
          <w:b/>
          <w:bCs/>
          <w:szCs w:val="24"/>
        </w:rPr>
        <w:t xml:space="preserve">to benefit local incomes: </w:t>
      </w:r>
      <w:r w:rsidRPr="00512072">
        <w:rPr>
          <w:rFonts w:cs="Times New Roman"/>
          <w:szCs w:val="24"/>
        </w:rPr>
        <w:t xml:space="preserve">Land-mitigation policies can be designed to avoid—or at least minimize—harmful impacts on agricultural production and food security and poor people. Careful land use planning—such as using designated degraded or less-productive areas for storing and sequestrating carbon stocks - could minimize negative impacts on food production and even result in more productive landscapes. </w:t>
      </w:r>
      <w:r w:rsidR="00F64A6A" w:rsidRPr="00F64A6A">
        <w:rPr>
          <w:rFonts w:cs="Times New Roman"/>
          <w:szCs w:val="24"/>
          <w:u w:val="single"/>
        </w:rPr>
        <w:t xml:space="preserve">For example, the inclusion of trees in the farming system dramatically increases the potential to store carbon, while increasing yields—as shown in Africa, where farmers who have adopted evergreen agriculture are reaping impressive productivity gains of up to 30 percent without the use of costly fertilizer. </w:t>
      </w:r>
    </w:p>
    <w:p w:rsidR="0055784E" w:rsidRDefault="00630139" w:rsidP="00630139">
      <w:pPr>
        <w:autoSpaceDE w:val="0"/>
        <w:autoSpaceDN w:val="0"/>
        <w:adjustRightInd w:val="0"/>
        <w:spacing w:line="276" w:lineRule="auto"/>
        <w:jc w:val="both"/>
        <w:rPr>
          <w:rFonts w:cs="Times New Roman"/>
          <w:szCs w:val="24"/>
        </w:rPr>
      </w:pPr>
      <w:r w:rsidRPr="00512072">
        <w:rPr>
          <w:rFonts w:cs="Times New Roman"/>
          <w:szCs w:val="24"/>
        </w:rPr>
        <w:t>The bottom line is that long-term climate change trends are likely to affect agriculture and ecosystems, with serious ramifications for food security, and severe consequences for poor people and their livelihoods. These threats will be further amplified by the increasing frequency and severity of natural disasters, which will exacerbate production and price shocks in the short term, and could sharply increase poverty in the longer run.</w:t>
      </w:r>
    </w:p>
    <w:p w:rsidR="00000000" w:rsidRDefault="00630139" w:rsidP="003D5A31">
      <w:pPr>
        <w:pStyle w:val="BodyText"/>
        <w:numPr>
          <w:ilvl w:val="2"/>
          <w:numId w:val="237"/>
        </w:numPr>
        <w:spacing w:after="240" w:line="276" w:lineRule="auto"/>
        <w:jc w:val="both"/>
        <w:rPr>
          <w:rFonts w:cs="Times New Roman"/>
          <w:b/>
          <w:szCs w:val="24"/>
        </w:rPr>
      </w:pPr>
      <w:r w:rsidRPr="00F13E91">
        <w:rPr>
          <w:rFonts w:cs="Times New Roman"/>
          <w:b/>
          <w:szCs w:val="24"/>
        </w:rPr>
        <w:t xml:space="preserve">Future Agriculture </w:t>
      </w:r>
      <w:r>
        <w:rPr>
          <w:rFonts w:cs="Times New Roman"/>
          <w:b/>
          <w:szCs w:val="24"/>
        </w:rPr>
        <w:t xml:space="preserve">and Approaches for Sustaining Food Security </w:t>
      </w:r>
    </w:p>
    <w:p w:rsidR="00630139" w:rsidRPr="00F13E91" w:rsidRDefault="00630139" w:rsidP="00630139">
      <w:pPr>
        <w:autoSpaceDE w:val="0"/>
        <w:autoSpaceDN w:val="0"/>
        <w:adjustRightInd w:val="0"/>
        <w:spacing w:line="276" w:lineRule="auto"/>
        <w:jc w:val="both"/>
        <w:rPr>
          <w:rFonts w:cs="Times New Roman"/>
          <w:bCs/>
          <w:szCs w:val="24"/>
        </w:rPr>
      </w:pPr>
      <w:r w:rsidRPr="00F13E91">
        <w:rPr>
          <w:rFonts w:cs="Times New Roman"/>
          <w:szCs w:val="24"/>
          <w:shd w:val="clear" w:color="auto" w:fill="FFFFFF"/>
        </w:rPr>
        <w:t xml:space="preserve">Notwithstanding past progress and ongoing measures, several additional initiatives are necessary to cope with the growing risk of climate change for agriculture and livelihood.  </w:t>
      </w:r>
      <w:r w:rsidRPr="00F13E91">
        <w:rPr>
          <w:rFonts w:cs="Times New Roman"/>
          <w:bCs/>
          <w:szCs w:val="24"/>
        </w:rPr>
        <w:t>Four strategic approaches are associated with addressing climate change impacts in agriculture:</w:t>
      </w:r>
    </w:p>
    <w:p w:rsidR="00630139" w:rsidRPr="00FD5766" w:rsidRDefault="00630139" w:rsidP="00630139">
      <w:pPr>
        <w:autoSpaceDE w:val="0"/>
        <w:autoSpaceDN w:val="0"/>
        <w:adjustRightInd w:val="0"/>
        <w:spacing w:line="276" w:lineRule="auto"/>
        <w:jc w:val="both"/>
        <w:rPr>
          <w:rFonts w:cs="Times New Roman"/>
          <w:szCs w:val="24"/>
          <w:u w:val="single"/>
        </w:rPr>
      </w:pPr>
      <w:r w:rsidRPr="00F13E91">
        <w:rPr>
          <w:rFonts w:cs="Times New Roman"/>
          <w:b/>
          <w:bCs/>
          <w:szCs w:val="24"/>
        </w:rPr>
        <w:t xml:space="preserve">1. Coping with Uncertainty in Developing Responses: </w:t>
      </w:r>
      <w:r w:rsidRPr="00F13E91">
        <w:rPr>
          <w:rFonts w:cs="Times New Roman"/>
          <w:bCs/>
          <w:szCs w:val="24"/>
        </w:rPr>
        <w:t>T</w:t>
      </w:r>
      <w:r w:rsidRPr="00F13E91">
        <w:rPr>
          <w:rFonts w:cs="Times New Roman"/>
          <w:szCs w:val="24"/>
        </w:rPr>
        <w:t xml:space="preserve">here is still considerable uncertainty about the scale and eventual nature of adaptation needed to address climate change. Adaptations to climate change can be thought of as incremental changes to existing systems or more systemic changes that bring new components to (or remove old components from) systems, often with the goal of increasing diversification and hedging against new, unknown risk. These are part of a spectrum of levels of adaptation to climate changes. </w:t>
      </w:r>
      <w:r w:rsidR="00F64A6A" w:rsidRPr="00F64A6A">
        <w:rPr>
          <w:rFonts w:cs="Times New Roman"/>
          <w:szCs w:val="24"/>
          <w:u w:val="single"/>
        </w:rPr>
        <w:t xml:space="preserve">Transformational change in agriculture is not new: the planting of biofuel crops instead of food crops, the replacement of subsistence-based agriculture with modern, science-based agriculture, or migration in the face of extreme drought being a few examples among many. </w:t>
      </w:r>
    </w:p>
    <w:p w:rsidR="00630139" w:rsidRPr="00F13E91" w:rsidRDefault="00630139" w:rsidP="00630139">
      <w:pPr>
        <w:autoSpaceDE w:val="0"/>
        <w:autoSpaceDN w:val="0"/>
        <w:adjustRightInd w:val="0"/>
        <w:spacing w:line="276" w:lineRule="auto"/>
        <w:jc w:val="both"/>
        <w:rPr>
          <w:rFonts w:cs="Times New Roman"/>
          <w:szCs w:val="24"/>
        </w:rPr>
      </w:pPr>
      <w:r w:rsidRPr="00F13E91">
        <w:rPr>
          <w:rFonts w:cs="Times New Roman"/>
          <w:b/>
          <w:bCs/>
          <w:szCs w:val="24"/>
        </w:rPr>
        <w:t xml:space="preserve">2. Sustainably Intensifying Agricultural Production Systems: </w:t>
      </w:r>
      <w:r w:rsidRPr="00F13E91">
        <w:rPr>
          <w:rFonts w:cs="Times New Roman"/>
          <w:bCs/>
          <w:szCs w:val="24"/>
        </w:rPr>
        <w:t>A</w:t>
      </w:r>
      <w:r w:rsidRPr="00F13E91">
        <w:rPr>
          <w:rFonts w:cs="Times New Roman"/>
          <w:szCs w:val="24"/>
        </w:rPr>
        <w:t xml:space="preserve"> key defining principle for agricultural technologies and innovations to support food security and poverty reduction is the need for sustainable agricultural intensification that could take on several approaches:</w:t>
      </w:r>
    </w:p>
    <w:p w:rsidR="00630139" w:rsidRPr="00F13E91" w:rsidRDefault="00630139" w:rsidP="00D6486D">
      <w:pPr>
        <w:pStyle w:val="ListParagraph"/>
        <w:numPr>
          <w:ilvl w:val="0"/>
          <w:numId w:val="57"/>
        </w:numPr>
        <w:autoSpaceDE w:val="0"/>
        <w:autoSpaceDN w:val="0"/>
        <w:adjustRightInd w:val="0"/>
        <w:spacing w:line="276" w:lineRule="auto"/>
        <w:jc w:val="both"/>
        <w:rPr>
          <w:rFonts w:cs="Times New Roman"/>
          <w:szCs w:val="24"/>
        </w:rPr>
      </w:pPr>
      <w:r w:rsidRPr="00F13E91">
        <w:rPr>
          <w:rFonts w:cs="Times New Roman"/>
          <w:szCs w:val="24"/>
        </w:rPr>
        <w:lastRenderedPageBreak/>
        <w:t xml:space="preserve">Although the causes of hunger and malnutrition are various and not a simple challenge of increasing supply, some increases in food output will be needed in coming years as populations grow and diets change. </w:t>
      </w:r>
    </w:p>
    <w:p w:rsidR="00630139" w:rsidRPr="00F13E91" w:rsidRDefault="00630139" w:rsidP="00D6486D">
      <w:pPr>
        <w:pStyle w:val="ListParagraph"/>
        <w:numPr>
          <w:ilvl w:val="0"/>
          <w:numId w:val="57"/>
        </w:numPr>
        <w:autoSpaceDE w:val="0"/>
        <w:autoSpaceDN w:val="0"/>
        <w:adjustRightInd w:val="0"/>
        <w:spacing w:line="276" w:lineRule="auto"/>
        <w:jc w:val="both"/>
        <w:rPr>
          <w:rFonts w:cs="Times New Roman"/>
          <w:szCs w:val="24"/>
        </w:rPr>
      </w:pPr>
      <w:r w:rsidRPr="00F13E91">
        <w:rPr>
          <w:rFonts w:cs="Times New Roman"/>
          <w:szCs w:val="24"/>
        </w:rPr>
        <w:t xml:space="preserve">Increased production will need to be achieved mostly without bringing new land into agriculture. In many cases no land is available for agricultural expansion; furthermore, in the context of climate change, land-use conversion to agriculture is a major source of emissions (as well as loss of biodiversity). </w:t>
      </w:r>
    </w:p>
    <w:p w:rsidR="00630139" w:rsidRPr="00F13E91" w:rsidRDefault="00630139" w:rsidP="00D6486D">
      <w:pPr>
        <w:pStyle w:val="ListParagraph"/>
        <w:numPr>
          <w:ilvl w:val="0"/>
          <w:numId w:val="57"/>
        </w:numPr>
        <w:autoSpaceDE w:val="0"/>
        <w:autoSpaceDN w:val="0"/>
        <w:adjustRightInd w:val="0"/>
        <w:spacing w:line="276" w:lineRule="auto"/>
        <w:jc w:val="both"/>
        <w:rPr>
          <w:rFonts w:cs="Times New Roman"/>
          <w:szCs w:val="24"/>
        </w:rPr>
      </w:pPr>
      <w:r w:rsidRPr="00F13E91">
        <w:rPr>
          <w:rFonts w:cs="Times New Roman"/>
          <w:szCs w:val="24"/>
        </w:rPr>
        <w:t xml:space="preserve">Increasing the stability of agricultural production systems requires much greater attention to building ecosystem services that increase resilience. </w:t>
      </w:r>
    </w:p>
    <w:p w:rsidR="00630139" w:rsidRPr="00F13E91" w:rsidRDefault="00630139" w:rsidP="00D6486D">
      <w:pPr>
        <w:pStyle w:val="ListParagraph"/>
        <w:numPr>
          <w:ilvl w:val="0"/>
          <w:numId w:val="57"/>
        </w:numPr>
        <w:autoSpaceDE w:val="0"/>
        <w:autoSpaceDN w:val="0"/>
        <w:adjustRightInd w:val="0"/>
        <w:spacing w:line="276" w:lineRule="auto"/>
        <w:jc w:val="both"/>
        <w:rPr>
          <w:rFonts w:cs="Times New Roman"/>
          <w:szCs w:val="24"/>
        </w:rPr>
      </w:pPr>
      <w:r w:rsidRPr="00F13E91">
        <w:rPr>
          <w:rFonts w:cs="Times New Roman"/>
          <w:szCs w:val="24"/>
        </w:rPr>
        <w:t xml:space="preserve">Improving the efficiency of agricultural production systems, increasing sequestration, and reducing waste are not only important forms of mitigation—they may also generate higher and more stable returns. </w:t>
      </w:r>
    </w:p>
    <w:p w:rsidR="00630139" w:rsidRPr="00F13E91" w:rsidRDefault="00630139" w:rsidP="00D6486D">
      <w:pPr>
        <w:pStyle w:val="ListParagraph"/>
        <w:numPr>
          <w:ilvl w:val="0"/>
          <w:numId w:val="57"/>
        </w:numPr>
        <w:autoSpaceDE w:val="0"/>
        <w:autoSpaceDN w:val="0"/>
        <w:adjustRightInd w:val="0"/>
        <w:spacing w:line="276" w:lineRule="auto"/>
        <w:jc w:val="both"/>
        <w:rPr>
          <w:rFonts w:cs="Times New Roman"/>
          <w:szCs w:val="24"/>
        </w:rPr>
      </w:pPr>
      <w:r w:rsidRPr="00F13E91">
        <w:rPr>
          <w:rFonts w:cs="Times New Roman"/>
          <w:szCs w:val="24"/>
        </w:rPr>
        <w:t xml:space="preserve">If yields are to increase sustainably, we need to harness and develop the knowledge and insights gained from all current systems of agricultural production, including those based on organic principles, local indigenous knowledge, and innovative plant-breeding technologies. </w:t>
      </w:r>
    </w:p>
    <w:p w:rsidR="00630139" w:rsidRPr="00F13E91" w:rsidRDefault="00630139" w:rsidP="00630139">
      <w:pPr>
        <w:autoSpaceDE w:val="0"/>
        <w:autoSpaceDN w:val="0"/>
        <w:adjustRightInd w:val="0"/>
        <w:spacing w:line="276" w:lineRule="auto"/>
        <w:jc w:val="both"/>
        <w:rPr>
          <w:rFonts w:cs="Times New Roman"/>
          <w:szCs w:val="24"/>
        </w:rPr>
      </w:pPr>
      <w:r w:rsidRPr="00F13E91">
        <w:rPr>
          <w:rFonts w:cs="Times New Roman"/>
          <w:b/>
          <w:bCs/>
          <w:szCs w:val="24"/>
        </w:rPr>
        <w:t xml:space="preserve">3. </w:t>
      </w:r>
      <w:r w:rsidRPr="00F13E91">
        <w:rPr>
          <w:rFonts w:cs="Times New Roman"/>
          <w:b/>
          <w:bCs/>
          <w:iCs/>
          <w:szCs w:val="24"/>
        </w:rPr>
        <w:t xml:space="preserve">Increasing Resilience of </w:t>
      </w:r>
      <w:r w:rsidR="006775DC">
        <w:rPr>
          <w:rFonts w:cs="Times New Roman"/>
          <w:b/>
          <w:bCs/>
          <w:iCs/>
          <w:szCs w:val="24"/>
        </w:rPr>
        <w:t>Agricultural Production Systems:</w:t>
      </w:r>
      <w:r w:rsidRPr="00F13E91">
        <w:rPr>
          <w:rFonts w:cs="Times New Roman"/>
          <w:b/>
          <w:bCs/>
          <w:iCs/>
          <w:szCs w:val="24"/>
        </w:rPr>
        <w:t xml:space="preserve"> </w:t>
      </w:r>
      <w:r w:rsidRPr="00F13E91">
        <w:rPr>
          <w:rFonts w:cs="Times New Roman"/>
          <w:bCs/>
          <w:iCs/>
          <w:szCs w:val="24"/>
        </w:rPr>
        <w:t>T</w:t>
      </w:r>
      <w:r w:rsidRPr="00F13E91">
        <w:rPr>
          <w:rFonts w:cs="Times New Roman"/>
          <w:szCs w:val="24"/>
        </w:rPr>
        <w:t xml:space="preserve">he overall efficiency and resilience of crop and livestock production systems in the face of climate change can be enhanced through improving various components as follows: </w:t>
      </w:r>
    </w:p>
    <w:p w:rsidR="00630139" w:rsidRPr="00F13E91" w:rsidRDefault="00630139" w:rsidP="00D6486D">
      <w:pPr>
        <w:pStyle w:val="ListParagraph"/>
        <w:numPr>
          <w:ilvl w:val="0"/>
          <w:numId w:val="58"/>
        </w:numPr>
        <w:autoSpaceDE w:val="0"/>
        <w:autoSpaceDN w:val="0"/>
        <w:adjustRightInd w:val="0"/>
        <w:spacing w:line="276" w:lineRule="auto"/>
        <w:ind w:left="360"/>
        <w:jc w:val="both"/>
        <w:rPr>
          <w:rFonts w:cs="Times New Roman"/>
          <w:szCs w:val="24"/>
        </w:rPr>
      </w:pPr>
      <w:r w:rsidRPr="00F13E91">
        <w:rPr>
          <w:rFonts w:cs="Times New Roman"/>
          <w:szCs w:val="24"/>
        </w:rPr>
        <w:t xml:space="preserve">Appropriate soil and nutrient management, through composting manure and crop residues, more precise matching of nutrients with plant needs, controlled-release and deep-placement technologies, and using legumes for natural nitrogen fixation, can increase yields and resilience of crops, while reducing the need for often costly and inaccessible synthetic fertilizers (with the co-benefit of reducing the GHG emissions associated with their use). </w:t>
      </w:r>
    </w:p>
    <w:p w:rsidR="00630139" w:rsidRPr="00F13E91" w:rsidRDefault="00630139" w:rsidP="00D6486D">
      <w:pPr>
        <w:pStyle w:val="ListParagraph"/>
        <w:numPr>
          <w:ilvl w:val="0"/>
          <w:numId w:val="58"/>
        </w:numPr>
        <w:autoSpaceDE w:val="0"/>
        <w:autoSpaceDN w:val="0"/>
        <w:adjustRightInd w:val="0"/>
        <w:spacing w:line="276" w:lineRule="auto"/>
        <w:ind w:left="360"/>
        <w:jc w:val="both"/>
        <w:rPr>
          <w:rFonts w:cs="Times New Roman"/>
          <w:szCs w:val="24"/>
        </w:rPr>
      </w:pPr>
      <w:r w:rsidRPr="00F13E91">
        <w:rPr>
          <w:rFonts w:cs="Times New Roman"/>
          <w:szCs w:val="24"/>
        </w:rPr>
        <w:t xml:space="preserve">In situations with decreasing rainfall and increasing rainfall variability, there are many ways of improving water harvesting and retention (through the use of pools, dams, pits, retaining ridges, increasing soil organic matter to heighten the water retention capacity of soils) and water-use efficiency (irrigation systems). </w:t>
      </w:r>
    </w:p>
    <w:p w:rsidR="00630139" w:rsidRPr="00F13E91" w:rsidRDefault="00630139" w:rsidP="00D6486D">
      <w:pPr>
        <w:pStyle w:val="ListParagraph"/>
        <w:numPr>
          <w:ilvl w:val="0"/>
          <w:numId w:val="58"/>
        </w:numPr>
        <w:autoSpaceDE w:val="0"/>
        <w:autoSpaceDN w:val="0"/>
        <w:adjustRightInd w:val="0"/>
        <w:spacing w:line="276" w:lineRule="auto"/>
        <w:ind w:left="360"/>
        <w:jc w:val="both"/>
        <w:rPr>
          <w:rFonts w:cs="Times New Roman"/>
          <w:szCs w:val="24"/>
        </w:rPr>
      </w:pPr>
      <w:r w:rsidRPr="00F13E91">
        <w:rPr>
          <w:rFonts w:cs="Times New Roman"/>
          <w:szCs w:val="24"/>
        </w:rPr>
        <w:t xml:space="preserve">Climate change is already altering the distribution and intensity of weeds and animal and plant pests and diseases. There are considerable gaps in our knowledge of systems interactions in relation to weeds, pests, and diseases, and increased understanding will lead to better ways to manage them in a changing climate. </w:t>
      </w:r>
    </w:p>
    <w:p w:rsidR="00630139" w:rsidRDefault="00630139" w:rsidP="00630139">
      <w:pPr>
        <w:pStyle w:val="BodyText"/>
        <w:spacing w:after="240" w:line="276" w:lineRule="auto"/>
        <w:jc w:val="both"/>
        <w:rPr>
          <w:rFonts w:cs="Times New Roman"/>
          <w:spacing w:val="-1"/>
          <w:szCs w:val="24"/>
        </w:rPr>
      </w:pPr>
      <w:r w:rsidRPr="00F13E91">
        <w:rPr>
          <w:rFonts w:cs="Times New Roman"/>
          <w:b/>
          <w:szCs w:val="24"/>
        </w:rPr>
        <w:t>4</w:t>
      </w:r>
      <w:r w:rsidRPr="00F13E91">
        <w:rPr>
          <w:rFonts w:cs="Times New Roman"/>
          <w:szCs w:val="24"/>
        </w:rPr>
        <w:t xml:space="preserve">. </w:t>
      </w:r>
      <w:r w:rsidRPr="00F13E91">
        <w:rPr>
          <w:rFonts w:cs="Times New Roman"/>
          <w:b/>
          <w:bCs/>
          <w:iCs/>
          <w:szCs w:val="24"/>
        </w:rPr>
        <w:t xml:space="preserve">Diversification in agricultural output and livelihoods: </w:t>
      </w:r>
      <w:r w:rsidRPr="00F13E91">
        <w:rPr>
          <w:rFonts w:cs="Times New Roman"/>
          <w:spacing w:val="-1"/>
          <w:szCs w:val="24"/>
        </w:rPr>
        <w:t>Agricultural</w:t>
      </w:r>
      <w:r w:rsidRPr="00F13E91">
        <w:rPr>
          <w:rFonts w:cs="Times New Roman"/>
          <w:spacing w:val="1"/>
          <w:szCs w:val="24"/>
        </w:rPr>
        <w:t xml:space="preserve"> </w:t>
      </w:r>
      <w:r w:rsidRPr="00F13E91">
        <w:rPr>
          <w:rFonts w:cs="Times New Roman"/>
          <w:spacing w:val="-1"/>
          <w:szCs w:val="24"/>
        </w:rPr>
        <w:t>diversification</w:t>
      </w:r>
      <w:r w:rsidRPr="00F13E91">
        <w:rPr>
          <w:rFonts w:cs="Times New Roman"/>
          <w:spacing w:val="-3"/>
          <w:szCs w:val="24"/>
        </w:rPr>
        <w:t xml:space="preserve"> </w:t>
      </w:r>
      <w:r w:rsidRPr="00F13E91">
        <w:rPr>
          <w:rFonts w:cs="Times New Roman"/>
          <w:spacing w:val="-1"/>
          <w:szCs w:val="24"/>
        </w:rPr>
        <w:t>occurs</w:t>
      </w:r>
      <w:r w:rsidRPr="00F13E91">
        <w:rPr>
          <w:rFonts w:cs="Times New Roman"/>
          <w:szCs w:val="24"/>
        </w:rPr>
        <w:t xml:space="preserve"> </w:t>
      </w:r>
      <w:r w:rsidRPr="00F13E91">
        <w:rPr>
          <w:rFonts w:cs="Times New Roman"/>
          <w:spacing w:val="-1"/>
          <w:szCs w:val="24"/>
        </w:rPr>
        <w:t>when</w:t>
      </w:r>
      <w:r w:rsidRPr="00F13E91">
        <w:rPr>
          <w:rFonts w:cs="Times New Roman"/>
          <w:szCs w:val="24"/>
        </w:rPr>
        <w:t xml:space="preserve"> </w:t>
      </w:r>
      <w:r w:rsidRPr="00F13E91">
        <w:rPr>
          <w:rFonts w:cs="Times New Roman"/>
          <w:spacing w:val="-1"/>
          <w:szCs w:val="24"/>
        </w:rPr>
        <w:t>more</w:t>
      </w:r>
      <w:r w:rsidRPr="00F13E91">
        <w:rPr>
          <w:rFonts w:cs="Times New Roman"/>
          <w:szCs w:val="24"/>
        </w:rPr>
        <w:t xml:space="preserve"> </w:t>
      </w:r>
      <w:r w:rsidRPr="00F13E91">
        <w:rPr>
          <w:rFonts w:cs="Times New Roman"/>
          <w:spacing w:val="-1"/>
          <w:szCs w:val="24"/>
        </w:rPr>
        <w:t>species,</w:t>
      </w:r>
      <w:r w:rsidRPr="00F13E91">
        <w:rPr>
          <w:rFonts w:cs="Times New Roman"/>
          <w:spacing w:val="-3"/>
          <w:szCs w:val="24"/>
        </w:rPr>
        <w:t xml:space="preserve"> </w:t>
      </w:r>
      <w:r w:rsidRPr="00F13E91">
        <w:rPr>
          <w:rFonts w:cs="Times New Roman"/>
          <w:spacing w:val="-1"/>
          <w:szCs w:val="24"/>
        </w:rPr>
        <w:t>plant</w:t>
      </w:r>
      <w:r w:rsidRPr="00F13E91">
        <w:rPr>
          <w:rFonts w:cs="Times New Roman"/>
          <w:spacing w:val="1"/>
          <w:szCs w:val="24"/>
        </w:rPr>
        <w:t xml:space="preserve"> </w:t>
      </w:r>
      <w:r w:rsidRPr="00F13E91">
        <w:rPr>
          <w:rFonts w:cs="Times New Roman"/>
          <w:spacing w:val="-1"/>
          <w:szCs w:val="24"/>
        </w:rPr>
        <w:t>varieties,</w:t>
      </w:r>
      <w:r w:rsidRPr="00F13E91">
        <w:rPr>
          <w:rFonts w:cs="Times New Roman"/>
          <w:spacing w:val="-3"/>
          <w:szCs w:val="24"/>
        </w:rPr>
        <w:t xml:space="preserve"> </w:t>
      </w:r>
      <w:r w:rsidRPr="00F13E91">
        <w:rPr>
          <w:rFonts w:cs="Times New Roman"/>
          <w:szCs w:val="24"/>
        </w:rPr>
        <w:t>or</w:t>
      </w:r>
      <w:r w:rsidRPr="00F13E91">
        <w:rPr>
          <w:rFonts w:cs="Times New Roman"/>
          <w:spacing w:val="1"/>
          <w:szCs w:val="24"/>
        </w:rPr>
        <w:t xml:space="preserve"> </w:t>
      </w:r>
      <w:r w:rsidRPr="00F13E91">
        <w:rPr>
          <w:rFonts w:cs="Times New Roman"/>
          <w:spacing w:val="-1"/>
          <w:szCs w:val="24"/>
        </w:rPr>
        <w:t>animal</w:t>
      </w:r>
      <w:r w:rsidRPr="00F13E91">
        <w:rPr>
          <w:rFonts w:cs="Times New Roman"/>
          <w:spacing w:val="1"/>
          <w:szCs w:val="24"/>
        </w:rPr>
        <w:t xml:space="preserve"> </w:t>
      </w:r>
      <w:r w:rsidRPr="00F13E91">
        <w:rPr>
          <w:rFonts w:cs="Times New Roman"/>
          <w:spacing w:val="-1"/>
          <w:szCs w:val="24"/>
        </w:rPr>
        <w:t>breeds</w:t>
      </w:r>
      <w:r w:rsidRPr="00F13E91">
        <w:rPr>
          <w:rFonts w:cs="Times New Roman"/>
          <w:spacing w:val="-2"/>
          <w:szCs w:val="24"/>
        </w:rPr>
        <w:t xml:space="preserve"> </w:t>
      </w:r>
      <w:r w:rsidRPr="00F13E91">
        <w:rPr>
          <w:rFonts w:cs="Times New Roman"/>
          <w:szCs w:val="24"/>
        </w:rPr>
        <w:t>are</w:t>
      </w:r>
      <w:r w:rsidRPr="00F13E91">
        <w:rPr>
          <w:rFonts w:cs="Times New Roman"/>
          <w:spacing w:val="-2"/>
          <w:szCs w:val="24"/>
        </w:rPr>
        <w:t xml:space="preserve"> </w:t>
      </w:r>
      <w:r w:rsidRPr="00F13E91">
        <w:rPr>
          <w:rFonts w:cs="Times New Roman"/>
          <w:szCs w:val="24"/>
        </w:rPr>
        <w:t>added</w:t>
      </w:r>
      <w:r w:rsidRPr="00F13E91">
        <w:rPr>
          <w:rFonts w:cs="Times New Roman"/>
          <w:spacing w:val="-3"/>
          <w:szCs w:val="24"/>
        </w:rPr>
        <w:t xml:space="preserve"> </w:t>
      </w:r>
      <w:r w:rsidRPr="00F13E91">
        <w:rPr>
          <w:rFonts w:cs="Times New Roman"/>
          <w:szCs w:val="24"/>
        </w:rPr>
        <w:t>to</w:t>
      </w:r>
      <w:r w:rsidRPr="00F13E91">
        <w:rPr>
          <w:rFonts w:cs="Times New Roman"/>
          <w:spacing w:val="-3"/>
          <w:szCs w:val="24"/>
        </w:rPr>
        <w:t xml:space="preserve"> </w:t>
      </w:r>
      <w:r w:rsidRPr="00F13E91">
        <w:rPr>
          <w:rFonts w:cs="Times New Roman"/>
          <w:szCs w:val="24"/>
        </w:rPr>
        <w:t>a</w:t>
      </w:r>
      <w:r w:rsidRPr="00F13E91">
        <w:rPr>
          <w:rFonts w:cs="Times New Roman"/>
          <w:spacing w:val="69"/>
          <w:szCs w:val="24"/>
        </w:rPr>
        <w:t xml:space="preserve"> </w:t>
      </w:r>
      <w:r w:rsidRPr="00F13E91">
        <w:rPr>
          <w:rFonts w:cs="Times New Roman"/>
          <w:spacing w:val="-1"/>
          <w:szCs w:val="24"/>
        </w:rPr>
        <w:t>given</w:t>
      </w:r>
      <w:r w:rsidRPr="00F13E91">
        <w:rPr>
          <w:rFonts w:cs="Times New Roman"/>
          <w:szCs w:val="24"/>
        </w:rPr>
        <w:t xml:space="preserve"> farm</w:t>
      </w:r>
      <w:r w:rsidRPr="00F13E91">
        <w:rPr>
          <w:rFonts w:cs="Times New Roman"/>
          <w:spacing w:val="-4"/>
          <w:szCs w:val="24"/>
        </w:rPr>
        <w:t xml:space="preserve"> </w:t>
      </w:r>
      <w:r w:rsidRPr="00F13E91">
        <w:rPr>
          <w:rFonts w:cs="Times New Roman"/>
          <w:szCs w:val="24"/>
        </w:rPr>
        <w:t>or</w:t>
      </w:r>
      <w:r w:rsidRPr="00F13E91">
        <w:rPr>
          <w:rFonts w:cs="Times New Roman"/>
          <w:spacing w:val="1"/>
          <w:szCs w:val="24"/>
        </w:rPr>
        <w:t xml:space="preserve"> </w:t>
      </w:r>
      <w:r w:rsidRPr="00F13E91">
        <w:rPr>
          <w:rFonts w:cs="Times New Roman"/>
          <w:spacing w:val="-1"/>
          <w:szCs w:val="24"/>
        </w:rPr>
        <w:t>farming</w:t>
      </w:r>
      <w:r w:rsidRPr="00F13E91">
        <w:rPr>
          <w:rFonts w:cs="Times New Roman"/>
          <w:spacing w:val="-3"/>
          <w:szCs w:val="24"/>
        </w:rPr>
        <w:t xml:space="preserve"> </w:t>
      </w:r>
      <w:r w:rsidRPr="00F13E91">
        <w:rPr>
          <w:rFonts w:cs="Times New Roman"/>
          <w:spacing w:val="-1"/>
          <w:szCs w:val="24"/>
        </w:rPr>
        <w:t>community.</w:t>
      </w:r>
      <w:r w:rsidRPr="00F13E91">
        <w:rPr>
          <w:rFonts w:cs="Times New Roman"/>
          <w:spacing w:val="2"/>
          <w:szCs w:val="24"/>
        </w:rPr>
        <w:t xml:space="preserve"> </w:t>
      </w:r>
      <w:r w:rsidRPr="00F13E91">
        <w:rPr>
          <w:rFonts w:cs="Times New Roman"/>
          <w:spacing w:val="-2"/>
          <w:szCs w:val="24"/>
        </w:rPr>
        <w:t>It</w:t>
      </w:r>
      <w:r w:rsidRPr="00F13E91">
        <w:rPr>
          <w:rFonts w:cs="Times New Roman"/>
          <w:spacing w:val="1"/>
          <w:szCs w:val="24"/>
        </w:rPr>
        <w:t xml:space="preserve"> </w:t>
      </w:r>
      <w:r w:rsidRPr="00F13E91">
        <w:rPr>
          <w:rFonts w:cs="Times New Roman"/>
          <w:spacing w:val="-1"/>
          <w:szCs w:val="24"/>
        </w:rPr>
        <w:t>includes</w:t>
      </w:r>
      <w:r w:rsidRPr="00F13E91">
        <w:rPr>
          <w:rFonts w:cs="Times New Roman"/>
          <w:spacing w:val="-2"/>
          <w:szCs w:val="24"/>
        </w:rPr>
        <w:t xml:space="preserve"> </w:t>
      </w:r>
      <w:r w:rsidRPr="00F13E91">
        <w:rPr>
          <w:rFonts w:cs="Times New Roman"/>
          <w:spacing w:val="-1"/>
          <w:szCs w:val="24"/>
        </w:rPr>
        <w:t>landscape</w:t>
      </w:r>
      <w:r w:rsidRPr="00F13E91">
        <w:rPr>
          <w:rFonts w:cs="Times New Roman"/>
          <w:szCs w:val="24"/>
        </w:rPr>
        <w:t xml:space="preserve"> </w:t>
      </w:r>
      <w:r w:rsidRPr="00F13E91">
        <w:rPr>
          <w:rFonts w:cs="Times New Roman"/>
          <w:spacing w:val="-1"/>
          <w:szCs w:val="24"/>
        </w:rPr>
        <w:t>diversification—different</w:t>
      </w:r>
      <w:r w:rsidRPr="00F13E91">
        <w:rPr>
          <w:rFonts w:cs="Times New Roman"/>
          <w:spacing w:val="1"/>
          <w:szCs w:val="24"/>
        </w:rPr>
        <w:t xml:space="preserve"> </w:t>
      </w:r>
      <w:r w:rsidRPr="00F13E91">
        <w:rPr>
          <w:rFonts w:cs="Times New Roman"/>
          <w:spacing w:val="-1"/>
          <w:szCs w:val="24"/>
        </w:rPr>
        <w:t>crops</w:t>
      </w:r>
      <w:r w:rsidRPr="00F13E91">
        <w:rPr>
          <w:rFonts w:cs="Times New Roman"/>
          <w:szCs w:val="24"/>
        </w:rPr>
        <w:t xml:space="preserve"> </w:t>
      </w:r>
      <w:r w:rsidRPr="00F13E91">
        <w:rPr>
          <w:rFonts w:cs="Times New Roman"/>
          <w:spacing w:val="-1"/>
          <w:szCs w:val="24"/>
        </w:rPr>
        <w:t>and</w:t>
      </w:r>
      <w:r w:rsidRPr="00F13E91">
        <w:rPr>
          <w:rFonts w:cs="Times New Roman"/>
          <w:szCs w:val="24"/>
        </w:rPr>
        <w:t xml:space="preserve"> </w:t>
      </w:r>
      <w:r w:rsidRPr="00F13E91">
        <w:rPr>
          <w:rFonts w:cs="Times New Roman"/>
          <w:spacing w:val="-1"/>
          <w:szCs w:val="24"/>
        </w:rPr>
        <w:t>cropping</w:t>
      </w:r>
      <w:r w:rsidRPr="00F13E91">
        <w:rPr>
          <w:rFonts w:cs="Times New Roman"/>
          <w:spacing w:val="67"/>
          <w:szCs w:val="24"/>
        </w:rPr>
        <w:t xml:space="preserve"> </w:t>
      </w:r>
      <w:r w:rsidRPr="00F13E91">
        <w:rPr>
          <w:rFonts w:cs="Times New Roman"/>
          <w:spacing w:val="-1"/>
          <w:szCs w:val="24"/>
        </w:rPr>
        <w:t>systems</w:t>
      </w:r>
      <w:r w:rsidRPr="00F13E91">
        <w:rPr>
          <w:rFonts w:cs="Times New Roman"/>
          <w:szCs w:val="24"/>
        </w:rPr>
        <w:t xml:space="preserve"> </w:t>
      </w:r>
      <w:r w:rsidRPr="00F13E91">
        <w:rPr>
          <w:rFonts w:cs="Times New Roman"/>
          <w:spacing w:val="-1"/>
          <w:szCs w:val="24"/>
        </w:rPr>
        <w:t>interspersed</w:t>
      </w:r>
      <w:r w:rsidRPr="00F13E91">
        <w:rPr>
          <w:rFonts w:cs="Times New Roman"/>
          <w:szCs w:val="24"/>
        </w:rPr>
        <w:t xml:space="preserve"> </w:t>
      </w:r>
      <w:r w:rsidRPr="00F13E91">
        <w:rPr>
          <w:rFonts w:cs="Times New Roman"/>
          <w:spacing w:val="-1"/>
          <w:szCs w:val="24"/>
        </w:rPr>
        <w:t>in</w:t>
      </w:r>
      <w:r w:rsidRPr="00F13E91">
        <w:rPr>
          <w:rFonts w:cs="Times New Roman"/>
          <w:szCs w:val="24"/>
        </w:rPr>
        <w:t xml:space="preserve"> </w:t>
      </w:r>
      <w:r w:rsidRPr="00F13E91">
        <w:rPr>
          <w:rFonts w:cs="Times New Roman"/>
          <w:spacing w:val="-1"/>
          <w:szCs w:val="24"/>
        </w:rPr>
        <w:t>space</w:t>
      </w:r>
      <w:r w:rsidRPr="00F13E91">
        <w:rPr>
          <w:rFonts w:cs="Times New Roman"/>
          <w:szCs w:val="24"/>
        </w:rPr>
        <w:t xml:space="preserve"> and</w:t>
      </w:r>
      <w:r w:rsidRPr="00F13E91">
        <w:rPr>
          <w:rFonts w:cs="Times New Roman"/>
          <w:spacing w:val="-3"/>
          <w:szCs w:val="24"/>
        </w:rPr>
        <w:t xml:space="preserve"> </w:t>
      </w:r>
      <w:r w:rsidRPr="00F13E91">
        <w:rPr>
          <w:rFonts w:cs="Times New Roman"/>
          <w:spacing w:val="-1"/>
          <w:szCs w:val="24"/>
        </w:rPr>
        <w:t>time.</w:t>
      </w:r>
      <w:r w:rsidRPr="00F13E91">
        <w:rPr>
          <w:rFonts w:cs="Times New Roman"/>
          <w:szCs w:val="24"/>
        </w:rPr>
        <w:t xml:space="preserve"> </w:t>
      </w:r>
      <w:r w:rsidRPr="00F13E91">
        <w:rPr>
          <w:rFonts w:cs="Times New Roman"/>
          <w:spacing w:val="-1"/>
          <w:szCs w:val="24"/>
        </w:rPr>
        <w:t>Livelihood</w:t>
      </w:r>
      <w:r w:rsidRPr="00F13E91">
        <w:rPr>
          <w:rFonts w:cs="Times New Roman"/>
          <w:spacing w:val="-3"/>
          <w:szCs w:val="24"/>
        </w:rPr>
        <w:t xml:space="preserve"> </w:t>
      </w:r>
      <w:r w:rsidRPr="00F13E91">
        <w:rPr>
          <w:rFonts w:cs="Times New Roman"/>
          <w:spacing w:val="-1"/>
          <w:szCs w:val="24"/>
        </w:rPr>
        <w:t>diversification</w:t>
      </w:r>
      <w:r w:rsidRPr="00F13E91">
        <w:rPr>
          <w:rFonts w:cs="Times New Roman"/>
          <w:szCs w:val="24"/>
        </w:rPr>
        <w:t xml:space="preserve"> </w:t>
      </w:r>
      <w:r w:rsidRPr="00F13E91">
        <w:rPr>
          <w:rFonts w:cs="Times New Roman"/>
          <w:spacing w:val="-1"/>
          <w:szCs w:val="24"/>
        </w:rPr>
        <w:t>implies</w:t>
      </w:r>
      <w:r w:rsidRPr="00F13E91">
        <w:rPr>
          <w:rFonts w:cs="Times New Roman"/>
          <w:szCs w:val="24"/>
        </w:rPr>
        <w:t xml:space="preserve"> </w:t>
      </w:r>
      <w:r w:rsidRPr="00F13E91">
        <w:rPr>
          <w:rFonts w:cs="Times New Roman"/>
          <w:spacing w:val="-1"/>
          <w:szCs w:val="24"/>
        </w:rPr>
        <w:t>that</w:t>
      </w:r>
      <w:r w:rsidRPr="00F13E91">
        <w:rPr>
          <w:rFonts w:cs="Times New Roman"/>
          <w:spacing w:val="-2"/>
          <w:szCs w:val="24"/>
        </w:rPr>
        <w:t xml:space="preserve"> </w:t>
      </w:r>
      <w:r w:rsidRPr="00F13E91">
        <w:rPr>
          <w:rFonts w:cs="Times New Roman"/>
          <w:spacing w:val="-1"/>
          <w:szCs w:val="24"/>
        </w:rPr>
        <w:t>farming</w:t>
      </w:r>
      <w:r w:rsidRPr="00F13E91">
        <w:rPr>
          <w:rFonts w:cs="Times New Roman"/>
          <w:spacing w:val="-3"/>
          <w:szCs w:val="24"/>
        </w:rPr>
        <w:t xml:space="preserve"> </w:t>
      </w:r>
      <w:r w:rsidRPr="00F13E91">
        <w:rPr>
          <w:rFonts w:cs="Times New Roman"/>
          <w:szCs w:val="24"/>
        </w:rPr>
        <w:t xml:space="preserve">households </w:t>
      </w:r>
      <w:r w:rsidRPr="00F13E91">
        <w:rPr>
          <w:rFonts w:cs="Times New Roman"/>
          <w:spacing w:val="-1"/>
          <w:szCs w:val="24"/>
        </w:rPr>
        <w:t>are</w:t>
      </w:r>
      <w:r w:rsidRPr="00F13E91">
        <w:rPr>
          <w:rFonts w:cs="Times New Roman"/>
          <w:spacing w:val="73"/>
          <w:szCs w:val="24"/>
        </w:rPr>
        <w:t xml:space="preserve"> </w:t>
      </w:r>
      <w:r w:rsidRPr="00F13E91">
        <w:rPr>
          <w:rFonts w:cs="Times New Roman"/>
          <w:spacing w:val="-1"/>
          <w:szCs w:val="24"/>
        </w:rPr>
        <w:t>involved</w:t>
      </w:r>
      <w:r w:rsidRPr="00F13E91">
        <w:rPr>
          <w:rFonts w:cs="Times New Roman"/>
          <w:szCs w:val="24"/>
        </w:rPr>
        <w:t xml:space="preserve"> in </w:t>
      </w:r>
      <w:r w:rsidRPr="00F13E91">
        <w:rPr>
          <w:rFonts w:cs="Times New Roman"/>
          <w:spacing w:val="-1"/>
          <w:szCs w:val="24"/>
        </w:rPr>
        <w:t>more</w:t>
      </w:r>
      <w:r w:rsidRPr="00F13E91">
        <w:rPr>
          <w:rFonts w:cs="Times New Roman"/>
          <w:szCs w:val="24"/>
        </w:rPr>
        <w:t xml:space="preserve"> and</w:t>
      </w:r>
      <w:r w:rsidRPr="00F13E91">
        <w:rPr>
          <w:rFonts w:cs="Times New Roman"/>
          <w:spacing w:val="-3"/>
          <w:szCs w:val="24"/>
        </w:rPr>
        <w:t xml:space="preserve"> </w:t>
      </w:r>
      <w:r w:rsidRPr="00F13E91">
        <w:rPr>
          <w:rFonts w:cs="Times New Roman"/>
          <w:spacing w:val="-1"/>
          <w:szCs w:val="24"/>
        </w:rPr>
        <w:t>different</w:t>
      </w:r>
      <w:r w:rsidRPr="00F13E91">
        <w:rPr>
          <w:rFonts w:cs="Times New Roman"/>
          <w:spacing w:val="-2"/>
          <w:szCs w:val="24"/>
        </w:rPr>
        <w:t xml:space="preserve"> </w:t>
      </w:r>
      <w:r w:rsidRPr="00F13E91">
        <w:rPr>
          <w:rFonts w:cs="Times New Roman"/>
          <w:spacing w:val="-1"/>
          <w:szCs w:val="24"/>
        </w:rPr>
        <w:t>(nonagricultural)</w:t>
      </w:r>
      <w:r w:rsidRPr="00F13E91">
        <w:rPr>
          <w:rFonts w:cs="Times New Roman"/>
          <w:spacing w:val="1"/>
          <w:szCs w:val="24"/>
        </w:rPr>
        <w:t xml:space="preserve"> </w:t>
      </w:r>
      <w:r w:rsidRPr="00F13E91">
        <w:rPr>
          <w:rFonts w:cs="Times New Roman"/>
          <w:spacing w:val="-1"/>
          <w:szCs w:val="24"/>
        </w:rPr>
        <w:t>activities—for</w:t>
      </w:r>
      <w:r w:rsidRPr="00F13E91">
        <w:rPr>
          <w:rFonts w:cs="Times New Roman"/>
          <w:spacing w:val="1"/>
          <w:szCs w:val="24"/>
        </w:rPr>
        <w:t xml:space="preserve"> </w:t>
      </w:r>
      <w:r w:rsidRPr="00F13E91">
        <w:rPr>
          <w:rFonts w:cs="Times New Roman"/>
          <w:spacing w:val="-1"/>
          <w:szCs w:val="24"/>
        </w:rPr>
        <w:t>instance,</w:t>
      </w:r>
      <w:r w:rsidRPr="00F13E91">
        <w:rPr>
          <w:rFonts w:cs="Times New Roman"/>
          <w:spacing w:val="-3"/>
          <w:szCs w:val="24"/>
        </w:rPr>
        <w:t xml:space="preserve"> </w:t>
      </w:r>
      <w:r w:rsidRPr="00F13E91">
        <w:rPr>
          <w:rFonts w:cs="Times New Roman"/>
          <w:szCs w:val="24"/>
        </w:rPr>
        <w:t>by</w:t>
      </w:r>
      <w:r w:rsidRPr="00F13E91">
        <w:rPr>
          <w:rFonts w:cs="Times New Roman"/>
          <w:spacing w:val="-3"/>
          <w:szCs w:val="24"/>
        </w:rPr>
        <w:t xml:space="preserve"> </w:t>
      </w:r>
      <w:r w:rsidRPr="00F13E91">
        <w:rPr>
          <w:rFonts w:cs="Times New Roman"/>
          <w:spacing w:val="-1"/>
          <w:szCs w:val="24"/>
        </w:rPr>
        <w:t>taking</w:t>
      </w:r>
      <w:r w:rsidRPr="00F13E91">
        <w:rPr>
          <w:rFonts w:cs="Times New Roman"/>
          <w:spacing w:val="-3"/>
          <w:szCs w:val="24"/>
        </w:rPr>
        <w:t xml:space="preserve"> </w:t>
      </w:r>
      <w:r w:rsidRPr="00F13E91">
        <w:rPr>
          <w:rFonts w:cs="Times New Roman"/>
          <w:szCs w:val="24"/>
        </w:rPr>
        <w:t>up a</w:t>
      </w:r>
      <w:r w:rsidRPr="00F13E91">
        <w:rPr>
          <w:rFonts w:cs="Times New Roman"/>
          <w:spacing w:val="-2"/>
          <w:szCs w:val="24"/>
        </w:rPr>
        <w:t xml:space="preserve"> </w:t>
      </w:r>
      <w:r w:rsidRPr="00F13E91">
        <w:rPr>
          <w:rFonts w:cs="Times New Roman"/>
          <w:szCs w:val="24"/>
        </w:rPr>
        <w:t xml:space="preserve">job </w:t>
      </w:r>
      <w:r w:rsidRPr="00F13E91">
        <w:rPr>
          <w:rFonts w:cs="Times New Roman"/>
          <w:spacing w:val="-1"/>
          <w:szCs w:val="24"/>
        </w:rPr>
        <w:t>in</w:t>
      </w:r>
      <w:r w:rsidRPr="00F13E91">
        <w:rPr>
          <w:rFonts w:cs="Times New Roman"/>
          <w:szCs w:val="24"/>
        </w:rPr>
        <w:t xml:space="preserve"> </w:t>
      </w:r>
      <w:r w:rsidRPr="00F13E91">
        <w:rPr>
          <w:rFonts w:cs="Times New Roman"/>
          <w:spacing w:val="-1"/>
          <w:szCs w:val="24"/>
        </w:rPr>
        <w:t>the</w:t>
      </w:r>
      <w:r w:rsidRPr="00F13E91">
        <w:rPr>
          <w:rFonts w:cs="Times New Roman"/>
          <w:szCs w:val="24"/>
        </w:rPr>
        <w:t xml:space="preserve"> </w:t>
      </w:r>
      <w:r w:rsidRPr="00F13E91">
        <w:rPr>
          <w:rFonts w:cs="Times New Roman"/>
          <w:spacing w:val="-1"/>
          <w:szCs w:val="24"/>
        </w:rPr>
        <w:t>city,</w:t>
      </w:r>
      <w:r w:rsidRPr="00F13E91">
        <w:rPr>
          <w:rFonts w:cs="Times New Roman"/>
          <w:spacing w:val="65"/>
          <w:szCs w:val="24"/>
        </w:rPr>
        <w:t xml:space="preserve"> </w:t>
      </w:r>
      <w:r w:rsidRPr="00F13E91">
        <w:rPr>
          <w:rFonts w:cs="Times New Roman"/>
          <w:szCs w:val="24"/>
        </w:rPr>
        <w:t>setting</w:t>
      </w:r>
      <w:r w:rsidRPr="00F13E91">
        <w:rPr>
          <w:rFonts w:cs="Times New Roman"/>
          <w:spacing w:val="-3"/>
          <w:szCs w:val="24"/>
        </w:rPr>
        <w:t xml:space="preserve"> </w:t>
      </w:r>
      <w:r w:rsidRPr="00F13E91">
        <w:rPr>
          <w:rFonts w:cs="Times New Roman"/>
          <w:szCs w:val="24"/>
        </w:rPr>
        <w:t>up a</w:t>
      </w:r>
      <w:r w:rsidRPr="00F13E91">
        <w:rPr>
          <w:rFonts w:cs="Times New Roman"/>
          <w:spacing w:val="-2"/>
          <w:szCs w:val="24"/>
        </w:rPr>
        <w:t xml:space="preserve"> </w:t>
      </w:r>
      <w:r w:rsidRPr="00F13E91">
        <w:rPr>
          <w:rFonts w:cs="Times New Roman"/>
          <w:szCs w:val="24"/>
        </w:rPr>
        <w:t>shop,</w:t>
      </w:r>
      <w:r w:rsidRPr="00F13E91">
        <w:rPr>
          <w:rFonts w:cs="Times New Roman"/>
          <w:spacing w:val="-3"/>
          <w:szCs w:val="24"/>
        </w:rPr>
        <w:t xml:space="preserve"> </w:t>
      </w:r>
      <w:r w:rsidRPr="00F13E91">
        <w:rPr>
          <w:rFonts w:cs="Times New Roman"/>
          <w:szCs w:val="24"/>
        </w:rPr>
        <w:t>or</w:t>
      </w:r>
      <w:r w:rsidRPr="00F13E91">
        <w:rPr>
          <w:rFonts w:cs="Times New Roman"/>
          <w:spacing w:val="1"/>
          <w:szCs w:val="24"/>
        </w:rPr>
        <w:t xml:space="preserve"> </w:t>
      </w:r>
      <w:r w:rsidRPr="00F13E91">
        <w:rPr>
          <w:rFonts w:cs="Times New Roman"/>
          <w:spacing w:val="-1"/>
          <w:szCs w:val="24"/>
        </w:rPr>
        <w:t>starting</w:t>
      </w:r>
      <w:r w:rsidRPr="00F13E91">
        <w:rPr>
          <w:rFonts w:cs="Times New Roman"/>
          <w:spacing w:val="-3"/>
          <w:szCs w:val="24"/>
        </w:rPr>
        <w:t xml:space="preserve"> </w:t>
      </w:r>
      <w:r w:rsidRPr="00F13E91">
        <w:rPr>
          <w:rFonts w:cs="Times New Roman"/>
          <w:szCs w:val="24"/>
        </w:rPr>
        <w:t xml:space="preserve">to </w:t>
      </w:r>
      <w:r w:rsidRPr="00F13E91">
        <w:rPr>
          <w:rFonts w:cs="Times New Roman"/>
          <w:spacing w:val="-1"/>
          <w:szCs w:val="24"/>
        </w:rPr>
        <w:t>process</w:t>
      </w:r>
      <w:r w:rsidRPr="00F13E91">
        <w:rPr>
          <w:rFonts w:cs="Times New Roman"/>
          <w:spacing w:val="-2"/>
          <w:szCs w:val="24"/>
        </w:rPr>
        <w:t xml:space="preserve"> </w:t>
      </w:r>
      <w:r w:rsidRPr="00F13E91">
        <w:rPr>
          <w:rFonts w:cs="Times New Roman"/>
          <w:szCs w:val="24"/>
        </w:rPr>
        <w:t>farm</w:t>
      </w:r>
      <w:r w:rsidRPr="00F13E91">
        <w:rPr>
          <w:rFonts w:cs="Times New Roman"/>
          <w:spacing w:val="-4"/>
          <w:szCs w:val="24"/>
        </w:rPr>
        <w:t xml:space="preserve"> </w:t>
      </w:r>
      <w:r w:rsidRPr="00F13E91">
        <w:rPr>
          <w:rFonts w:cs="Times New Roman"/>
          <w:spacing w:val="-1"/>
          <w:szCs w:val="24"/>
        </w:rPr>
        <w:t>products.</w:t>
      </w:r>
      <w:r w:rsidRPr="00F13E91">
        <w:rPr>
          <w:rFonts w:cs="Times New Roman"/>
          <w:spacing w:val="-3"/>
          <w:szCs w:val="24"/>
        </w:rPr>
        <w:t xml:space="preserve"> </w:t>
      </w:r>
      <w:r w:rsidRPr="00F13E91">
        <w:rPr>
          <w:rFonts w:cs="Times New Roman"/>
          <w:szCs w:val="24"/>
        </w:rPr>
        <w:t xml:space="preserve">Both </w:t>
      </w:r>
      <w:r w:rsidRPr="00F13E91">
        <w:rPr>
          <w:rFonts w:cs="Times New Roman"/>
          <w:spacing w:val="-1"/>
          <w:szCs w:val="24"/>
        </w:rPr>
        <w:t>agricultural</w:t>
      </w:r>
      <w:r w:rsidRPr="00F13E91">
        <w:rPr>
          <w:rFonts w:cs="Times New Roman"/>
          <w:spacing w:val="-2"/>
          <w:szCs w:val="24"/>
        </w:rPr>
        <w:t xml:space="preserve"> </w:t>
      </w:r>
      <w:r w:rsidRPr="00F13E91">
        <w:rPr>
          <w:rFonts w:cs="Times New Roman"/>
          <w:szCs w:val="24"/>
        </w:rPr>
        <w:t xml:space="preserve">and </w:t>
      </w:r>
      <w:r w:rsidRPr="00F13E91">
        <w:rPr>
          <w:rFonts w:cs="Times New Roman"/>
          <w:spacing w:val="-1"/>
          <w:szCs w:val="24"/>
        </w:rPr>
        <w:t>nonagricultural</w:t>
      </w:r>
      <w:r w:rsidRPr="00F13E91">
        <w:rPr>
          <w:rFonts w:cs="Times New Roman"/>
          <w:spacing w:val="-2"/>
          <w:szCs w:val="24"/>
        </w:rPr>
        <w:t xml:space="preserve"> </w:t>
      </w:r>
      <w:r w:rsidRPr="00F13E91">
        <w:rPr>
          <w:rFonts w:cs="Times New Roman"/>
          <w:spacing w:val="-1"/>
          <w:szCs w:val="24"/>
        </w:rPr>
        <w:t>forms</w:t>
      </w:r>
      <w:r w:rsidRPr="00F13E91">
        <w:rPr>
          <w:rFonts w:cs="Times New Roman"/>
          <w:szCs w:val="24"/>
        </w:rPr>
        <w:t xml:space="preserve"> of</w:t>
      </w:r>
      <w:r w:rsidRPr="00F13E91">
        <w:rPr>
          <w:rFonts w:cs="Times New Roman"/>
          <w:spacing w:val="45"/>
          <w:szCs w:val="24"/>
        </w:rPr>
        <w:t xml:space="preserve"> </w:t>
      </w:r>
      <w:r w:rsidRPr="00F13E91">
        <w:rPr>
          <w:rFonts w:cs="Times New Roman"/>
          <w:spacing w:val="-1"/>
          <w:szCs w:val="24"/>
        </w:rPr>
        <w:t>diversification</w:t>
      </w:r>
      <w:r w:rsidRPr="00F13E91">
        <w:rPr>
          <w:rFonts w:cs="Times New Roman"/>
          <w:szCs w:val="24"/>
        </w:rPr>
        <w:t xml:space="preserve"> </w:t>
      </w:r>
      <w:r w:rsidRPr="00F13E91">
        <w:rPr>
          <w:rFonts w:cs="Times New Roman"/>
          <w:spacing w:val="-2"/>
          <w:szCs w:val="24"/>
        </w:rPr>
        <w:t>may</w:t>
      </w:r>
      <w:r w:rsidRPr="00F13E91">
        <w:rPr>
          <w:rFonts w:cs="Times New Roman"/>
          <w:spacing w:val="-3"/>
          <w:szCs w:val="24"/>
        </w:rPr>
        <w:t xml:space="preserve"> </w:t>
      </w:r>
      <w:r w:rsidRPr="00F13E91">
        <w:rPr>
          <w:rFonts w:cs="Times New Roman"/>
          <w:szCs w:val="24"/>
        </w:rPr>
        <w:t xml:space="preserve">be </w:t>
      </w:r>
      <w:r w:rsidRPr="00F13E91">
        <w:rPr>
          <w:rFonts w:cs="Times New Roman"/>
          <w:spacing w:val="-1"/>
          <w:szCs w:val="24"/>
        </w:rPr>
        <w:t>relevant</w:t>
      </w:r>
      <w:r w:rsidRPr="00F13E91">
        <w:rPr>
          <w:rFonts w:cs="Times New Roman"/>
          <w:spacing w:val="1"/>
          <w:szCs w:val="24"/>
        </w:rPr>
        <w:t xml:space="preserve"> </w:t>
      </w:r>
      <w:r w:rsidRPr="00F13E91">
        <w:rPr>
          <w:rFonts w:cs="Times New Roman"/>
          <w:szCs w:val="24"/>
        </w:rPr>
        <w:t>for</w:t>
      </w:r>
      <w:r w:rsidRPr="00F13E91">
        <w:rPr>
          <w:rFonts w:cs="Times New Roman"/>
          <w:spacing w:val="-2"/>
          <w:szCs w:val="24"/>
        </w:rPr>
        <w:t xml:space="preserve"> </w:t>
      </w:r>
      <w:r w:rsidRPr="00F13E91">
        <w:rPr>
          <w:rFonts w:cs="Times New Roman"/>
          <w:spacing w:val="-1"/>
          <w:szCs w:val="24"/>
        </w:rPr>
        <w:t>climate</w:t>
      </w:r>
      <w:r w:rsidRPr="00F13E91">
        <w:rPr>
          <w:rFonts w:cs="Times New Roman"/>
          <w:szCs w:val="24"/>
        </w:rPr>
        <w:t xml:space="preserve"> </w:t>
      </w:r>
      <w:r w:rsidRPr="00F13E91">
        <w:rPr>
          <w:rFonts w:cs="Times New Roman"/>
          <w:spacing w:val="-1"/>
          <w:szCs w:val="24"/>
        </w:rPr>
        <w:t>risk</w:t>
      </w:r>
      <w:r w:rsidRPr="00F13E91">
        <w:rPr>
          <w:rFonts w:cs="Times New Roman"/>
          <w:spacing w:val="-3"/>
          <w:szCs w:val="24"/>
        </w:rPr>
        <w:t xml:space="preserve"> </w:t>
      </w:r>
      <w:r w:rsidRPr="00F13E91">
        <w:rPr>
          <w:rFonts w:cs="Times New Roman"/>
          <w:spacing w:val="-1"/>
          <w:szCs w:val="24"/>
        </w:rPr>
        <w:t>management,</w:t>
      </w:r>
      <w:r w:rsidRPr="00F13E91">
        <w:rPr>
          <w:rFonts w:cs="Times New Roman"/>
          <w:szCs w:val="24"/>
        </w:rPr>
        <w:t xml:space="preserve"> </w:t>
      </w:r>
      <w:r w:rsidRPr="00F13E91">
        <w:rPr>
          <w:rFonts w:cs="Times New Roman"/>
          <w:spacing w:val="-1"/>
          <w:szCs w:val="24"/>
        </w:rPr>
        <w:t>although</w:t>
      </w:r>
      <w:r w:rsidRPr="00F13E91">
        <w:rPr>
          <w:rFonts w:cs="Times New Roman"/>
          <w:szCs w:val="24"/>
        </w:rPr>
        <w:t xml:space="preserve"> the</w:t>
      </w:r>
      <w:r w:rsidRPr="00F13E91">
        <w:rPr>
          <w:rFonts w:cs="Times New Roman"/>
          <w:spacing w:val="-2"/>
          <w:szCs w:val="24"/>
        </w:rPr>
        <w:t xml:space="preserve"> </w:t>
      </w:r>
      <w:r w:rsidRPr="00F13E91">
        <w:rPr>
          <w:rFonts w:cs="Times New Roman"/>
          <w:spacing w:val="-1"/>
          <w:szCs w:val="24"/>
        </w:rPr>
        <w:t>emphasis</w:t>
      </w:r>
      <w:r w:rsidRPr="00F13E91">
        <w:rPr>
          <w:rFonts w:cs="Times New Roman"/>
          <w:szCs w:val="24"/>
        </w:rPr>
        <w:t xml:space="preserve"> </w:t>
      </w:r>
      <w:r w:rsidRPr="00F13E91">
        <w:rPr>
          <w:rFonts w:cs="Times New Roman"/>
          <w:spacing w:val="-2"/>
          <w:szCs w:val="24"/>
        </w:rPr>
        <w:lastRenderedPageBreak/>
        <w:t>here</w:t>
      </w:r>
      <w:r w:rsidRPr="00F13E91">
        <w:rPr>
          <w:rFonts w:cs="Times New Roman"/>
          <w:szCs w:val="24"/>
        </w:rPr>
        <w:t xml:space="preserve"> is</w:t>
      </w:r>
      <w:r w:rsidRPr="00F13E91">
        <w:rPr>
          <w:rFonts w:cs="Times New Roman"/>
          <w:spacing w:val="-2"/>
          <w:szCs w:val="24"/>
        </w:rPr>
        <w:t xml:space="preserve"> </w:t>
      </w:r>
      <w:r w:rsidRPr="00F13E91">
        <w:rPr>
          <w:rFonts w:cs="Times New Roman"/>
          <w:szCs w:val="24"/>
        </w:rPr>
        <w:t>on</w:t>
      </w:r>
      <w:r w:rsidRPr="00F13E91">
        <w:rPr>
          <w:rFonts w:cs="Times New Roman"/>
          <w:spacing w:val="69"/>
          <w:szCs w:val="24"/>
        </w:rPr>
        <w:t xml:space="preserve"> </w:t>
      </w:r>
      <w:r w:rsidRPr="00F13E91">
        <w:rPr>
          <w:rFonts w:cs="Times New Roman"/>
          <w:spacing w:val="-1"/>
          <w:szCs w:val="24"/>
        </w:rPr>
        <w:t>agricultural</w:t>
      </w:r>
      <w:r w:rsidRPr="00F13E91">
        <w:rPr>
          <w:rFonts w:cs="Times New Roman"/>
          <w:spacing w:val="-2"/>
          <w:szCs w:val="24"/>
        </w:rPr>
        <w:t xml:space="preserve"> </w:t>
      </w:r>
      <w:r w:rsidRPr="00F13E91">
        <w:rPr>
          <w:rFonts w:cs="Times New Roman"/>
          <w:spacing w:val="-1"/>
          <w:szCs w:val="24"/>
        </w:rPr>
        <w:t>diversification.</w:t>
      </w:r>
      <w:r w:rsidRPr="00F13E91">
        <w:rPr>
          <w:rFonts w:cs="Times New Roman"/>
          <w:spacing w:val="-3"/>
          <w:szCs w:val="24"/>
        </w:rPr>
        <w:t xml:space="preserve"> </w:t>
      </w:r>
      <w:r w:rsidRPr="00F13E91">
        <w:rPr>
          <w:rFonts w:cs="Times New Roman"/>
          <w:spacing w:val="-1"/>
          <w:szCs w:val="24"/>
        </w:rPr>
        <w:t>Climate-related</w:t>
      </w:r>
      <w:r w:rsidRPr="00F13E91">
        <w:rPr>
          <w:rFonts w:cs="Times New Roman"/>
          <w:szCs w:val="24"/>
        </w:rPr>
        <w:t xml:space="preserve"> </w:t>
      </w:r>
      <w:r w:rsidRPr="00F13E91">
        <w:rPr>
          <w:rFonts w:cs="Times New Roman"/>
          <w:spacing w:val="-1"/>
          <w:szCs w:val="24"/>
        </w:rPr>
        <w:t>shocks,</w:t>
      </w:r>
      <w:r w:rsidRPr="00F13E91">
        <w:rPr>
          <w:rFonts w:cs="Times New Roman"/>
          <w:szCs w:val="24"/>
        </w:rPr>
        <w:t xml:space="preserve"> </w:t>
      </w:r>
      <w:r w:rsidRPr="00F13E91">
        <w:rPr>
          <w:rFonts w:cs="Times New Roman"/>
          <w:spacing w:val="-1"/>
          <w:szCs w:val="24"/>
        </w:rPr>
        <w:t>such</w:t>
      </w:r>
      <w:r w:rsidRPr="00F13E91">
        <w:rPr>
          <w:rFonts w:cs="Times New Roman"/>
          <w:szCs w:val="24"/>
        </w:rPr>
        <w:t xml:space="preserve"> as </w:t>
      </w:r>
      <w:r w:rsidRPr="00F13E91">
        <w:rPr>
          <w:rFonts w:cs="Times New Roman"/>
          <w:spacing w:val="-1"/>
          <w:szCs w:val="24"/>
        </w:rPr>
        <w:t>heat</w:t>
      </w:r>
      <w:r w:rsidRPr="00F13E91">
        <w:rPr>
          <w:rFonts w:cs="Times New Roman"/>
          <w:spacing w:val="1"/>
          <w:szCs w:val="24"/>
        </w:rPr>
        <w:t xml:space="preserve"> </w:t>
      </w:r>
      <w:r w:rsidRPr="00F13E91">
        <w:rPr>
          <w:rFonts w:cs="Times New Roman"/>
          <w:spacing w:val="-1"/>
          <w:szCs w:val="24"/>
        </w:rPr>
        <w:t>waves,</w:t>
      </w:r>
      <w:r w:rsidRPr="00F13E91">
        <w:rPr>
          <w:rFonts w:cs="Times New Roman"/>
          <w:spacing w:val="-3"/>
          <w:szCs w:val="24"/>
        </w:rPr>
        <w:t xml:space="preserve"> </w:t>
      </w:r>
      <w:r w:rsidRPr="00F13E91">
        <w:rPr>
          <w:rFonts w:cs="Times New Roman"/>
          <w:spacing w:val="-1"/>
          <w:szCs w:val="24"/>
        </w:rPr>
        <w:t>frost,</w:t>
      </w:r>
      <w:r w:rsidRPr="00F13E91">
        <w:rPr>
          <w:rFonts w:cs="Times New Roman"/>
          <w:spacing w:val="-3"/>
          <w:szCs w:val="24"/>
        </w:rPr>
        <w:t xml:space="preserve"> </w:t>
      </w:r>
      <w:r w:rsidRPr="00F13E91">
        <w:rPr>
          <w:rFonts w:cs="Times New Roman"/>
          <w:spacing w:val="-1"/>
          <w:szCs w:val="24"/>
        </w:rPr>
        <w:t>excessive</w:t>
      </w:r>
      <w:r w:rsidRPr="00F13E91">
        <w:rPr>
          <w:rFonts w:cs="Times New Roman"/>
          <w:szCs w:val="24"/>
        </w:rPr>
        <w:t xml:space="preserve"> </w:t>
      </w:r>
      <w:r w:rsidRPr="00F13E91">
        <w:rPr>
          <w:rFonts w:cs="Times New Roman"/>
          <w:spacing w:val="-1"/>
          <w:szCs w:val="24"/>
        </w:rPr>
        <w:t>rain</w:t>
      </w:r>
      <w:r w:rsidRPr="00F13E91">
        <w:rPr>
          <w:rFonts w:cs="Times New Roman"/>
          <w:szCs w:val="24"/>
        </w:rPr>
        <w:t xml:space="preserve"> </w:t>
      </w:r>
      <w:r w:rsidRPr="00F13E91">
        <w:rPr>
          <w:rFonts w:cs="Times New Roman"/>
          <w:spacing w:val="-2"/>
          <w:szCs w:val="24"/>
        </w:rPr>
        <w:t>or</w:t>
      </w:r>
      <w:r w:rsidRPr="00F13E91">
        <w:rPr>
          <w:rFonts w:cs="Times New Roman"/>
          <w:spacing w:val="1"/>
          <w:szCs w:val="24"/>
        </w:rPr>
        <w:t xml:space="preserve"> </w:t>
      </w:r>
      <w:r w:rsidRPr="00F13E91">
        <w:rPr>
          <w:rFonts w:cs="Times New Roman"/>
          <w:spacing w:val="-1"/>
          <w:szCs w:val="24"/>
        </w:rPr>
        <w:t>floods,</w:t>
      </w:r>
      <w:r w:rsidRPr="00F13E91">
        <w:rPr>
          <w:rFonts w:cs="Times New Roman"/>
          <w:szCs w:val="24"/>
        </w:rPr>
        <w:t xml:space="preserve"> </w:t>
      </w:r>
      <w:r w:rsidRPr="00F13E91">
        <w:rPr>
          <w:rFonts w:cs="Times New Roman"/>
          <w:spacing w:val="-2"/>
          <w:szCs w:val="24"/>
        </w:rPr>
        <w:t>or</w:t>
      </w:r>
      <w:r w:rsidRPr="00F13E91">
        <w:rPr>
          <w:rFonts w:cs="Times New Roman"/>
          <w:spacing w:val="87"/>
          <w:szCs w:val="24"/>
        </w:rPr>
        <w:t xml:space="preserve"> </w:t>
      </w:r>
      <w:r w:rsidRPr="00F13E91">
        <w:rPr>
          <w:rFonts w:cs="Times New Roman"/>
          <w:spacing w:val="-1"/>
          <w:szCs w:val="24"/>
        </w:rPr>
        <w:t>drought</w:t>
      </w:r>
      <w:r w:rsidRPr="00F13E91">
        <w:rPr>
          <w:rFonts w:cs="Times New Roman"/>
          <w:spacing w:val="1"/>
          <w:szCs w:val="24"/>
        </w:rPr>
        <w:t xml:space="preserve"> </w:t>
      </w:r>
      <w:r w:rsidRPr="00F13E91">
        <w:rPr>
          <w:rFonts w:cs="Times New Roman"/>
          <w:spacing w:val="-1"/>
          <w:szCs w:val="24"/>
        </w:rPr>
        <w:t>spells,</w:t>
      </w:r>
      <w:r w:rsidRPr="00F13E91">
        <w:rPr>
          <w:rFonts w:cs="Times New Roman"/>
          <w:szCs w:val="24"/>
        </w:rPr>
        <w:t xml:space="preserve"> </w:t>
      </w:r>
      <w:r w:rsidRPr="00F13E91">
        <w:rPr>
          <w:rFonts w:cs="Times New Roman"/>
          <w:spacing w:val="-2"/>
          <w:szCs w:val="24"/>
        </w:rPr>
        <w:t>have</w:t>
      </w:r>
      <w:r w:rsidRPr="00F13E91">
        <w:rPr>
          <w:rFonts w:cs="Times New Roman"/>
          <w:szCs w:val="24"/>
        </w:rPr>
        <w:t xml:space="preserve"> </w:t>
      </w:r>
      <w:r w:rsidRPr="00F13E91">
        <w:rPr>
          <w:rFonts w:cs="Times New Roman"/>
          <w:spacing w:val="-1"/>
          <w:szCs w:val="24"/>
        </w:rPr>
        <w:t>different</w:t>
      </w:r>
      <w:r w:rsidRPr="00F13E91">
        <w:rPr>
          <w:rFonts w:cs="Times New Roman"/>
          <w:spacing w:val="1"/>
          <w:szCs w:val="24"/>
        </w:rPr>
        <w:t xml:space="preserve"> </w:t>
      </w:r>
      <w:r w:rsidRPr="00F13E91">
        <w:rPr>
          <w:rFonts w:cs="Times New Roman"/>
          <w:szCs w:val="24"/>
        </w:rPr>
        <w:t>and</w:t>
      </w:r>
      <w:r w:rsidRPr="00F13E91">
        <w:rPr>
          <w:rFonts w:cs="Times New Roman"/>
          <w:spacing w:val="-3"/>
          <w:szCs w:val="24"/>
        </w:rPr>
        <w:t xml:space="preserve"> </w:t>
      </w:r>
      <w:r w:rsidRPr="00F13E91">
        <w:rPr>
          <w:rFonts w:cs="Times New Roman"/>
          <w:spacing w:val="-1"/>
          <w:szCs w:val="24"/>
        </w:rPr>
        <w:t>sometimes</w:t>
      </w:r>
      <w:r w:rsidRPr="00F13E91">
        <w:rPr>
          <w:rFonts w:cs="Times New Roman"/>
          <w:szCs w:val="24"/>
        </w:rPr>
        <w:t xml:space="preserve"> </w:t>
      </w:r>
      <w:r w:rsidRPr="00F13E91">
        <w:rPr>
          <w:rFonts w:cs="Times New Roman"/>
          <w:spacing w:val="-1"/>
          <w:szCs w:val="24"/>
        </w:rPr>
        <w:t>even</w:t>
      </w:r>
      <w:r w:rsidRPr="00F13E91">
        <w:rPr>
          <w:rFonts w:cs="Times New Roman"/>
          <w:szCs w:val="24"/>
        </w:rPr>
        <w:t xml:space="preserve"> </w:t>
      </w:r>
      <w:r w:rsidRPr="00F13E91">
        <w:rPr>
          <w:rFonts w:cs="Times New Roman"/>
          <w:spacing w:val="-1"/>
          <w:szCs w:val="24"/>
        </w:rPr>
        <w:t>opposite</w:t>
      </w:r>
      <w:r w:rsidRPr="00F13E91">
        <w:rPr>
          <w:rFonts w:cs="Times New Roman"/>
          <w:szCs w:val="24"/>
        </w:rPr>
        <w:t xml:space="preserve"> </w:t>
      </w:r>
      <w:r w:rsidRPr="00F13E91">
        <w:rPr>
          <w:rFonts w:cs="Times New Roman"/>
          <w:spacing w:val="-1"/>
          <w:szCs w:val="24"/>
        </w:rPr>
        <w:t>effects</w:t>
      </w:r>
      <w:r w:rsidRPr="00F13E91">
        <w:rPr>
          <w:rFonts w:cs="Times New Roman"/>
          <w:szCs w:val="24"/>
        </w:rPr>
        <w:t xml:space="preserve"> on </w:t>
      </w:r>
      <w:r w:rsidRPr="00F13E91">
        <w:rPr>
          <w:rFonts w:cs="Times New Roman"/>
          <w:spacing w:val="-1"/>
          <w:szCs w:val="24"/>
        </w:rPr>
        <w:t>different</w:t>
      </w:r>
      <w:r w:rsidRPr="00F13E91">
        <w:rPr>
          <w:rFonts w:cs="Times New Roman"/>
          <w:spacing w:val="1"/>
          <w:szCs w:val="24"/>
        </w:rPr>
        <w:t xml:space="preserve"> </w:t>
      </w:r>
      <w:r w:rsidRPr="00F13E91">
        <w:rPr>
          <w:rFonts w:cs="Times New Roman"/>
          <w:spacing w:val="-1"/>
          <w:szCs w:val="24"/>
        </w:rPr>
        <w:t>farming</w:t>
      </w:r>
      <w:r w:rsidRPr="00F13E91">
        <w:rPr>
          <w:rFonts w:cs="Times New Roman"/>
          <w:spacing w:val="-3"/>
          <w:szCs w:val="24"/>
        </w:rPr>
        <w:t xml:space="preserve"> </w:t>
      </w:r>
      <w:r w:rsidRPr="00F13E91">
        <w:rPr>
          <w:rFonts w:cs="Times New Roman"/>
          <w:szCs w:val="24"/>
        </w:rPr>
        <w:t>system</w:t>
      </w:r>
      <w:r w:rsidRPr="00F13E91">
        <w:rPr>
          <w:rFonts w:cs="Times New Roman"/>
          <w:spacing w:val="45"/>
          <w:szCs w:val="24"/>
        </w:rPr>
        <w:t xml:space="preserve"> </w:t>
      </w:r>
      <w:r w:rsidRPr="00F13E91">
        <w:rPr>
          <w:rFonts w:cs="Times New Roman"/>
          <w:spacing w:val="-1"/>
          <w:szCs w:val="24"/>
        </w:rPr>
        <w:t>components</w:t>
      </w:r>
      <w:r w:rsidRPr="00F13E91">
        <w:rPr>
          <w:rFonts w:cs="Times New Roman"/>
          <w:szCs w:val="24"/>
        </w:rPr>
        <w:t xml:space="preserve"> </w:t>
      </w:r>
      <w:r w:rsidRPr="00F13E91">
        <w:rPr>
          <w:rFonts w:cs="Times New Roman"/>
          <w:spacing w:val="-2"/>
          <w:szCs w:val="24"/>
        </w:rPr>
        <w:t>or</w:t>
      </w:r>
      <w:r w:rsidRPr="00F13E91">
        <w:rPr>
          <w:rFonts w:cs="Times New Roman"/>
          <w:spacing w:val="1"/>
          <w:szCs w:val="24"/>
        </w:rPr>
        <w:t xml:space="preserve"> </w:t>
      </w:r>
      <w:r w:rsidRPr="00F13E91">
        <w:rPr>
          <w:rFonts w:cs="Times New Roman"/>
          <w:spacing w:val="-1"/>
          <w:szCs w:val="24"/>
        </w:rPr>
        <w:t>economic</w:t>
      </w:r>
      <w:r w:rsidRPr="00F13E91">
        <w:rPr>
          <w:rFonts w:cs="Times New Roman"/>
          <w:szCs w:val="24"/>
        </w:rPr>
        <w:t xml:space="preserve"> </w:t>
      </w:r>
      <w:r w:rsidRPr="00F13E91">
        <w:rPr>
          <w:rFonts w:cs="Times New Roman"/>
          <w:spacing w:val="-1"/>
          <w:szCs w:val="24"/>
        </w:rPr>
        <w:t>activities. Diversification</w:t>
      </w:r>
      <w:r w:rsidRPr="00F13E91">
        <w:rPr>
          <w:rFonts w:cs="Times New Roman"/>
          <w:spacing w:val="-3"/>
          <w:szCs w:val="24"/>
        </w:rPr>
        <w:t xml:space="preserve"> </w:t>
      </w:r>
      <w:r w:rsidRPr="00F13E91">
        <w:rPr>
          <w:rFonts w:cs="Times New Roman"/>
          <w:szCs w:val="24"/>
        </w:rPr>
        <w:t xml:space="preserve">is </w:t>
      </w:r>
      <w:r w:rsidRPr="00F13E91">
        <w:rPr>
          <w:rFonts w:cs="Times New Roman"/>
          <w:spacing w:val="-1"/>
          <w:szCs w:val="24"/>
        </w:rPr>
        <w:t>an</w:t>
      </w:r>
      <w:r w:rsidRPr="00F13E91">
        <w:rPr>
          <w:rFonts w:cs="Times New Roman"/>
          <w:szCs w:val="24"/>
        </w:rPr>
        <w:t xml:space="preserve"> </w:t>
      </w:r>
      <w:r w:rsidRPr="00F13E91">
        <w:rPr>
          <w:rFonts w:cs="Times New Roman"/>
          <w:spacing w:val="-1"/>
          <w:szCs w:val="24"/>
        </w:rPr>
        <w:t>important</w:t>
      </w:r>
      <w:r w:rsidRPr="00F13E91">
        <w:rPr>
          <w:rFonts w:cs="Times New Roman"/>
          <w:spacing w:val="1"/>
          <w:szCs w:val="24"/>
        </w:rPr>
        <w:t xml:space="preserve"> </w:t>
      </w:r>
      <w:r w:rsidRPr="00F13E91">
        <w:rPr>
          <w:rFonts w:cs="Times New Roman"/>
          <w:spacing w:val="-1"/>
          <w:szCs w:val="24"/>
        </w:rPr>
        <w:t>element</w:t>
      </w:r>
      <w:r w:rsidRPr="00F13E91">
        <w:rPr>
          <w:rFonts w:cs="Times New Roman"/>
          <w:spacing w:val="1"/>
          <w:szCs w:val="24"/>
        </w:rPr>
        <w:t xml:space="preserve"> </w:t>
      </w:r>
      <w:r w:rsidRPr="00F13E91">
        <w:rPr>
          <w:rFonts w:cs="Times New Roman"/>
          <w:spacing w:val="-2"/>
          <w:szCs w:val="24"/>
        </w:rPr>
        <w:t>of</w:t>
      </w:r>
      <w:r w:rsidRPr="00F13E91">
        <w:rPr>
          <w:rFonts w:cs="Times New Roman"/>
          <w:spacing w:val="1"/>
          <w:szCs w:val="24"/>
        </w:rPr>
        <w:t xml:space="preserve"> </w:t>
      </w:r>
      <w:r w:rsidRPr="00F13E91">
        <w:rPr>
          <w:rFonts w:cs="Times New Roman"/>
          <w:spacing w:val="-1"/>
          <w:szCs w:val="24"/>
        </w:rPr>
        <w:t>climate</w:t>
      </w:r>
      <w:r w:rsidRPr="00F13E91">
        <w:rPr>
          <w:rFonts w:cs="Times New Roman"/>
          <w:szCs w:val="24"/>
        </w:rPr>
        <w:t xml:space="preserve"> </w:t>
      </w:r>
      <w:r w:rsidRPr="00F13E91">
        <w:rPr>
          <w:rFonts w:cs="Times New Roman"/>
          <w:spacing w:val="-2"/>
          <w:szCs w:val="24"/>
        </w:rPr>
        <w:t>change</w:t>
      </w:r>
      <w:r w:rsidRPr="00F13E91">
        <w:rPr>
          <w:rFonts w:cs="Times New Roman"/>
          <w:szCs w:val="24"/>
        </w:rPr>
        <w:t xml:space="preserve"> </w:t>
      </w:r>
      <w:r w:rsidRPr="00F13E91">
        <w:rPr>
          <w:rFonts w:cs="Times New Roman"/>
          <w:spacing w:val="-1"/>
          <w:szCs w:val="24"/>
        </w:rPr>
        <w:t>adaptation.</w:t>
      </w:r>
      <w:r w:rsidRPr="00F13E91">
        <w:rPr>
          <w:rFonts w:cs="Times New Roman"/>
          <w:szCs w:val="24"/>
        </w:rPr>
        <w:t xml:space="preserve"> </w:t>
      </w:r>
      <w:r w:rsidRPr="00F13E91">
        <w:rPr>
          <w:rFonts w:cs="Times New Roman"/>
          <w:spacing w:val="-1"/>
          <w:szCs w:val="24"/>
        </w:rPr>
        <w:t>Diversification</w:t>
      </w:r>
      <w:r w:rsidRPr="00F13E91">
        <w:rPr>
          <w:rFonts w:cs="Times New Roman"/>
          <w:spacing w:val="-3"/>
          <w:szCs w:val="24"/>
        </w:rPr>
        <w:t xml:space="preserve"> </w:t>
      </w:r>
      <w:r w:rsidRPr="00F13E91">
        <w:rPr>
          <w:rFonts w:cs="Times New Roman"/>
          <w:szCs w:val="24"/>
        </w:rPr>
        <w:t xml:space="preserve">can </w:t>
      </w:r>
      <w:r w:rsidRPr="00F13E91">
        <w:rPr>
          <w:rFonts w:cs="Times New Roman"/>
          <w:spacing w:val="-1"/>
          <w:szCs w:val="24"/>
        </w:rPr>
        <w:t>potentially</w:t>
      </w:r>
      <w:r w:rsidRPr="00F13E91">
        <w:rPr>
          <w:rFonts w:cs="Times New Roman"/>
          <w:spacing w:val="-3"/>
          <w:szCs w:val="24"/>
        </w:rPr>
        <w:t xml:space="preserve"> </w:t>
      </w:r>
      <w:r w:rsidRPr="00F13E91">
        <w:rPr>
          <w:rFonts w:cs="Times New Roman"/>
          <w:spacing w:val="-1"/>
          <w:szCs w:val="24"/>
        </w:rPr>
        <w:t>reduce</w:t>
      </w:r>
      <w:r w:rsidRPr="00F13E91">
        <w:rPr>
          <w:rFonts w:cs="Times New Roman"/>
          <w:spacing w:val="-2"/>
          <w:szCs w:val="24"/>
        </w:rPr>
        <w:t xml:space="preserve"> </w:t>
      </w:r>
      <w:r w:rsidRPr="00F13E91">
        <w:rPr>
          <w:rFonts w:cs="Times New Roman"/>
          <w:szCs w:val="24"/>
        </w:rPr>
        <w:t>the</w:t>
      </w:r>
      <w:r w:rsidRPr="00F13E91">
        <w:rPr>
          <w:rFonts w:cs="Times New Roman"/>
          <w:spacing w:val="-2"/>
          <w:szCs w:val="24"/>
        </w:rPr>
        <w:t xml:space="preserve"> </w:t>
      </w:r>
      <w:r w:rsidRPr="00F13E91">
        <w:rPr>
          <w:rFonts w:cs="Times New Roman"/>
          <w:spacing w:val="-1"/>
          <w:szCs w:val="24"/>
        </w:rPr>
        <w:t>impact</w:t>
      </w:r>
      <w:r w:rsidRPr="00F13E91">
        <w:rPr>
          <w:rFonts w:cs="Times New Roman"/>
          <w:spacing w:val="1"/>
          <w:szCs w:val="24"/>
        </w:rPr>
        <w:t xml:space="preserve"> </w:t>
      </w:r>
      <w:r w:rsidRPr="00F13E91">
        <w:rPr>
          <w:rFonts w:cs="Times New Roman"/>
          <w:szCs w:val="24"/>
        </w:rPr>
        <w:t>of</w:t>
      </w:r>
      <w:r w:rsidRPr="00F13E91">
        <w:rPr>
          <w:rFonts w:cs="Times New Roman"/>
          <w:spacing w:val="-2"/>
          <w:szCs w:val="24"/>
        </w:rPr>
        <w:t xml:space="preserve"> </w:t>
      </w:r>
      <w:r w:rsidRPr="00F13E91">
        <w:rPr>
          <w:rFonts w:cs="Times New Roman"/>
          <w:spacing w:val="-1"/>
          <w:szCs w:val="24"/>
        </w:rPr>
        <w:t>weather</w:t>
      </w:r>
      <w:r w:rsidRPr="00F13E91">
        <w:rPr>
          <w:rFonts w:cs="Times New Roman"/>
          <w:spacing w:val="1"/>
          <w:szCs w:val="24"/>
        </w:rPr>
        <w:t xml:space="preserve"> </w:t>
      </w:r>
      <w:r w:rsidRPr="00F13E91">
        <w:rPr>
          <w:rFonts w:cs="Times New Roman"/>
          <w:spacing w:val="-1"/>
          <w:szCs w:val="24"/>
        </w:rPr>
        <w:t>events</w:t>
      </w:r>
      <w:r w:rsidRPr="00F13E91">
        <w:rPr>
          <w:rFonts w:cs="Times New Roman"/>
          <w:szCs w:val="24"/>
        </w:rPr>
        <w:t xml:space="preserve"> on</w:t>
      </w:r>
      <w:r w:rsidRPr="00F13E91">
        <w:rPr>
          <w:rFonts w:cs="Times New Roman"/>
          <w:spacing w:val="-3"/>
          <w:szCs w:val="24"/>
        </w:rPr>
        <w:t xml:space="preserve"> </w:t>
      </w:r>
      <w:r w:rsidRPr="00F13E91">
        <w:rPr>
          <w:rFonts w:cs="Times New Roman"/>
          <w:spacing w:val="-1"/>
          <w:szCs w:val="24"/>
        </w:rPr>
        <w:t>income,</w:t>
      </w:r>
      <w:r w:rsidRPr="00F13E91">
        <w:rPr>
          <w:rFonts w:cs="Times New Roman"/>
          <w:szCs w:val="24"/>
        </w:rPr>
        <w:t xml:space="preserve"> </w:t>
      </w:r>
      <w:r w:rsidRPr="00F13E91">
        <w:rPr>
          <w:rFonts w:cs="Times New Roman"/>
          <w:spacing w:val="-1"/>
          <w:szCs w:val="24"/>
        </w:rPr>
        <w:t>and</w:t>
      </w:r>
      <w:r w:rsidRPr="00F13E91">
        <w:rPr>
          <w:rFonts w:cs="Times New Roman"/>
          <w:szCs w:val="24"/>
        </w:rPr>
        <w:t xml:space="preserve"> it</w:t>
      </w:r>
      <w:r w:rsidRPr="00F13E91">
        <w:rPr>
          <w:rFonts w:cs="Times New Roman"/>
          <w:spacing w:val="-2"/>
          <w:szCs w:val="24"/>
        </w:rPr>
        <w:t xml:space="preserve"> </w:t>
      </w:r>
      <w:r w:rsidRPr="00F13E91">
        <w:rPr>
          <w:rFonts w:cs="Times New Roman"/>
          <w:szCs w:val="24"/>
        </w:rPr>
        <w:t>can</w:t>
      </w:r>
      <w:r w:rsidRPr="00F13E91">
        <w:rPr>
          <w:rFonts w:cs="Times New Roman"/>
          <w:spacing w:val="-3"/>
          <w:szCs w:val="24"/>
        </w:rPr>
        <w:t xml:space="preserve"> </w:t>
      </w:r>
      <w:r w:rsidRPr="00F13E91">
        <w:rPr>
          <w:rFonts w:cs="Times New Roman"/>
          <w:spacing w:val="-1"/>
          <w:szCs w:val="24"/>
        </w:rPr>
        <w:t>also</w:t>
      </w:r>
      <w:r w:rsidRPr="00F13E91">
        <w:rPr>
          <w:rFonts w:cs="Times New Roman"/>
          <w:spacing w:val="61"/>
          <w:szCs w:val="24"/>
        </w:rPr>
        <w:t xml:space="preserve"> </w:t>
      </w:r>
      <w:r w:rsidRPr="00F13E91">
        <w:rPr>
          <w:rFonts w:cs="Times New Roman"/>
          <w:spacing w:val="-1"/>
          <w:szCs w:val="24"/>
        </w:rPr>
        <w:t>provide</w:t>
      </w:r>
      <w:r w:rsidRPr="00F13E91">
        <w:rPr>
          <w:rFonts w:cs="Times New Roman"/>
          <w:spacing w:val="-2"/>
          <w:szCs w:val="24"/>
        </w:rPr>
        <w:t xml:space="preserve"> </w:t>
      </w:r>
      <w:r w:rsidRPr="00F13E91">
        <w:rPr>
          <w:rFonts w:cs="Times New Roman"/>
          <w:spacing w:val="-1"/>
          <w:szCs w:val="24"/>
        </w:rPr>
        <w:t>farmers</w:t>
      </w:r>
      <w:r w:rsidRPr="00F13E91">
        <w:rPr>
          <w:rFonts w:cs="Times New Roman"/>
          <w:szCs w:val="24"/>
        </w:rPr>
        <w:t xml:space="preserve"> </w:t>
      </w:r>
      <w:r w:rsidRPr="00F13E91">
        <w:rPr>
          <w:rFonts w:cs="Times New Roman"/>
          <w:spacing w:val="-1"/>
          <w:szCs w:val="24"/>
        </w:rPr>
        <w:t>with</w:t>
      </w:r>
      <w:r w:rsidRPr="00F13E91">
        <w:rPr>
          <w:rFonts w:cs="Times New Roman"/>
          <w:spacing w:val="-3"/>
          <w:szCs w:val="24"/>
        </w:rPr>
        <w:t xml:space="preserve"> </w:t>
      </w:r>
      <w:r w:rsidRPr="00F13E91">
        <w:rPr>
          <w:rFonts w:cs="Times New Roman"/>
          <w:szCs w:val="24"/>
        </w:rPr>
        <w:t xml:space="preserve">a </w:t>
      </w:r>
      <w:r w:rsidRPr="00F13E91">
        <w:rPr>
          <w:rFonts w:cs="Times New Roman"/>
          <w:spacing w:val="-1"/>
          <w:szCs w:val="24"/>
        </w:rPr>
        <w:t>broader</w:t>
      </w:r>
      <w:r w:rsidRPr="00F13E91">
        <w:rPr>
          <w:rFonts w:cs="Times New Roman"/>
          <w:spacing w:val="1"/>
          <w:szCs w:val="24"/>
        </w:rPr>
        <w:t xml:space="preserve"> </w:t>
      </w:r>
      <w:r w:rsidRPr="00F13E91">
        <w:rPr>
          <w:rFonts w:cs="Times New Roman"/>
          <w:spacing w:val="-1"/>
          <w:szCs w:val="24"/>
        </w:rPr>
        <w:t>range</w:t>
      </w:r>
      <w:r w:rsidRPr="00F13E91">
        <w:rPr>
          <w:rFonts w:cs="Times New Roman"/>
          <w:szCs w:val="24"/>
        </w:rPr>
        <w:t xml:space="preserve"> of</w:t>
      </w:r>
      <w:r w:rsidRPr="00F13E91">
        <w:rPr>
          <w:rFonts w:cs="Times New Roman"/>
          <w:spacing w:val="1"/>
          <w:szCs w:val="24"/>
        </w:rPr>
        <w:t xml:space="preserve"> </w:t>
      </w:r>
      <w:r w:rsidRPr="00F13E91">
        <w:rPr>
          <w:rFonts w:cs="Times New Roman"/>
          <w:spacing w:val="-1"/>
          <w:szCs w:val="24"/>
        </w:rPr>
        <w:t>options</w:t>
      </w:r>
      <w:r w:rsidRPr="00F13E91">
        <w:rPr>
          <w:rFonts w:cs="Times New Roman"/>
          <w:spacing w:val="-2"/>
          <w:szCs w:val="24"/>
        </w:rPr>
        <w:t xml:space="preserve"> </w:t>
      </w:r>
      <w:r w:rsidRPr="00F13E91">
        <w:rPr>
          <w:rFonts w:cs="Times New Roman"/>
          <w:szCs w:val="24"/>
        </w:rPr>
        <w:t xml:space="preserve">to </w:t>
      </w:r>
      <w:r w:rsidRPr="00F13E91">
        <w:rPr>
          <w:rFonts w:cs="Times New Roman"/>
          <w:spacing w:val="-1"/>
          <w:szCs w:val="24"/>
        </w:rPr>
        <w:t>address</w:t>
      </w:r>
      <w:r w:rsidRPr="00F13E91">
        <w:rPr>
          <w:rFonts w:cs="Times New Roman"/>
          <w:spacing w:val="-2"/>
          <w:szCs w:val="24"/>
        </w:rPr>
        <w:t xml:space="preserve"> </w:t>
      </w:r>
      <w:r w:rsidRPr="00F13E91">
        <w:rPr>
          <w:rFonts w:cs="Times New Roman"/>
          <w:spacing w:val="-1"/>
          <w:szCs w:val="24"/>
        </w:rPr>
        <w:t>future</w:t>
      </w:r>
      <w:r w:rsidRPr="00F13E91">
        <w:rPr>
          <w:rFonts w:cs="Times New Roman"/>
          <w:spacing w:val="-2"/>
          <w:szCs w:val="24"/>
        </w:rPr>
        <w:t xml:space="preserve"> </w:t>
      </w:r>
      <w:r w:rsidRPr="00F13E91">
        <w:rPr>
          <w:rFonts w:cs="Times New Roman"/>
          <w:spacing w:val="-1"/>
          <w:szCs w:val="24"/>
        </w:rPr>
        <w:t>change.</w:t>
      </w:r>
      <w:r w:rsidRPr="00F13E91">
        <w:rPr>
          <w:rFonts w:cs="Times New Roman"/>
          <w:szCs w:val="24"/>
        </w:rPr>
        <w:t xml:space="preserve"> </w:t>
      </w:r>
      <w:r w:rsidRPr="00F13E91">
        <w:rPr>
          <w:rFonts w:cs="Times New Roman"/>
          <w:spacing w:val="-1"/>
          <w:szCs w:val="24"/>
        </w:rPr>
        <w:t>Given</w:t>
      </w:r>
      <w:r w:rsidRPr="00F13E91">
        <w:rPr>
          <w:rFonts w:cs="Times New Roman"/>
          <w:szCs w:val="24"/>
        </w:rPr>
        <w:t xml:space="preserve"> </w:t>
      </w:r>
      <w:r w:rsidRPr="00F13E91">
        <w:rPr>
          <w:rFonts w:cs="Times New Roman"/>
          <w:spacing w:val="-2"/>
          <w:szCs w:val="24"/>
        </w:rPr>
        <w:t>the</w:t>
      </w:r>
      <w:r w:rsidRPr="00F13E91">
        <w:rPr>
          <w:rFonts w:cs="Times New Roman"/>
          <w:szCs w:val="24"/>
        </w:rPr>
        <w:t xml:space="preserve"> </w:t>
      </w:r>
      <w:r w:rsidRPr="00F13E91">
        <w:rPr>
          <w:rFonts w:cs="Times New Roman"/>
          <w:spacing w:val="-1"/>
          <w:szCs w:val="24"/>
        </w:rPr>
        <w:t>potential</w:t>
      </w:r>
      <w:r w:rsidRPr="00F13E91">
        <w:rPr>
          <w:rFonts w:cs="Times New Roman"/>
          <w:spacing w:val="1"/>
          <w:szCs w:val="24"/>
        </w:rPr>
        <w:t xml:space="preserve"> </w:t>
      </w:r>
      <w:r w:rsidRPr="00F13E91">
        <w:rPr>
          <w:rFonts w:cs="Times New Roman"/>
          <w:spacing w:val="-1"/>
          <w:szCs w:val="24"/>
        </w:rPr>
        <w:t>benefits,</w:t>
      </w:r>
      <w:r w:rsidRPr="00F13E91">
        <w:rPr>
          <w:rFonts w:cs="Times New Roman"/>
          <w:spacing w:val="73"/>
          <w:szCs w:val="24"/>
        </w:rPr>
        <w:t xml:space="preserve"> </w:t>
      </w:r>
      <w:r w:rsidRPr="00F13E91">
        <w:rPr>
          <w:rFonts w:cs="Times New Roman"/>
          <w:spacing w:val="-1"/>
          <w:szCs w:val="24"/>
        </w:rPr>
        <w:t>diversification</w:t>
      </w:r>
      <w:r w:rsidRPr="00F13E91">
        <w:rPr>
          <w:rFonts w:cs="Times New Roman"/>
          <w:szCs w:val="24"/>
        </w:rPr>
        <w:t xml:space="preserve"> is</w:t>
      </w:r>
      <w:r w:rsidRPr="00F13E91">
        <w:rPr>
          <w:rFonts w:cs="Times New Roman"/>
          <w:spacing w:val="-2"/>
          <w:szCs w:val="24"/>
        </w:rPr>
        <w:t xml:space="preserve"> </w:t>
      </w:r>
      <w:r w:rsidRPr="00F13E91">
        <w:rPr>
          <w:rFonts w:cs="Times New Roman"/>
          <w:spacing w:val="-1"/>
          <w:szCs w:val="24"/>
        </w:rPr>
        <w:t>often</w:t>
      </w:r>
      <w:r w:rsidRPr="00F13E91">
        <w:rPr>
          <w:rFonts w:cs="Times New Roman"/>
          <w:spacing w:val="-3"/>
          <w:szCs w:val="24"/>
        </w:rPr>
        <w:t xml:space="preserve"> </w:t>
      </w:r>
      <w:r w:rsidRPr="00F13E91">
        <w:rPr>
          <w:rFonts w:cs="Times New Roman"/>
          <w:spacing w:val="-1"/>
          <w:szCs w:val="24"/>
        </w:rPr>
        <w:t>recommended</w:t>
      </w:r>
      <w:r w:rsidRPr="00F13E91">
        <w:rPr>
          <w:rFonts w:cs="Times New Roman"/>
          <w:szCs w:val="24"/>
        </w:rPr>
        <w:t xml:space="preserve"> as a </w:t>
      </w:r>
      <w:r w:rsidRPr="00F13E91">
        <w:rPr>
          <w:rFonts w:cs="Times New Roman"/>
          <w:spacing w:val="-1"/>
          <w:szCs w:val="24"/>
        </w:rPr>
        <w:t>risk</w:t>
      </w:r>
      <w:r w:rsidRPr="00F13E91">
        <w:rPr>
          <w:rFonts w:cs="Times New Roman"/>
          <w:spacing w:val="-3"/>
          <w:szCs w:val="24"/>
        </w:rPr>
        <w:t xml:space="preserve"> </w:t>
      </w:r>
      <w:r w:rsidRPr="00F13E91">
        <w:rPr>
          <w:rFonts w:cs="Times New Roman"/>
          <w:spacing w:val="-1"/>
          <w:szCs w:val="24"/>
        </w:rPr>
        <w:t>management</w:t>
      </w:r>
      <w:r w:rsidRPr="00F13E91">
        <w:rPr>
          <w:rFonts w:cs="Times New Roman"/>
          <w:spacing w:val="1"/>
          <w:szCs w:val="24"/>
        </w:rPr>
        <w:t xml:space="preserve"> </w:t>
      </w:r>
      <w:r w:rsidRPr="00F13E91">
        <w:rPr>
          <w:rFonts w:cs="Times New Roman"/>
          <w:spacing w:val="-1"/>
          <w:szCs w:val="24"/>
        </w:rPr>
        <w:t xml:space="preserve">strategy. </w:t>
      </w:r>
    </w:p>
    <w:p w:rsidR="00630139" w:rsidRPr="00634F00" w:rsidRDefault="00630139" w:rsidP="00630139">
      <w:pPr>
        <w:spacing w:line="276" w:lineRule="auto"/>
        <w:jc w:val="both"/>
        <w:rPr>
          <w:rFonts w:cs="Times New Roman"/>
          <w:i/>
          <w:szCs w:val="24"/>
        </w:rPr>
      </w:pPr>
      <w:r w:rsidRPr="00634F00">
        <w:rPr>
          <w:rFonts w:cs="Times New Roman"/>
          <w:b/>
          <w:i/>
          <w:szCs w:val="24"/>
        </w:rPr>
        <w:t xml:space="preserve">The </w:t>
      </w:r>
      <w:r>
        <w:rPr>
          <w:rFonts w:cs="Times New Roman"/>
          <w:b/>
          <w:i/>
          <w:szCs w:val="24"/>
        </w:rPr>
        <w:t>Policy Priorities for the F</w:t>
      </w:r>
      <w:r w:rsidRPr="00634F00">
        <w:rPr>
          <w:rFonts w:cs="Times New Roman"/>
          <w:b/>
          <w:i/>
          <w:szCs w:val="24"/>
        </w:rPr>
        <w:t>uture</w:t>
      </w:r>
      <w:r w:rsidRPr="00634F00">
        <w:rPr>
          <w:rFonts w:cs="Times New Roman"/>
          <w:i/>
          <w:szCs w:val="24"/>
        </w:rPr>
        <w:t xml:space="preserve"> </w:t>
      </w:r>
    </w:p>
    <w:p w:rsidR="00630139" w:rsidRPr="00634F00" w:rsidRDefault="00630139" w:rsidP="00630139">
      <w:pPr>
        <w:spacing w:line="276" w:lineRule="auto"/>
        <w:jc w:val="both"/>
        <w:rPr>
          <w:rFonts w:cs="Times New Roman"/>
          <w:szCs w:val="24"/>
        </w:rPr>
      </w:pPr>
      <w:r w:rsidRPr="00634F00">
        <w:rPr>
          <w:rFonts w:cs="Times New Roman"/>
          <w:szCs w:val="24"/>
        </w:rPr>
        <w:t>Going forward, it is critical for policymakers to recognize that the</w:t>
      </w:r>
      <w:r w:rsidRPr="00634F00">
        <w:rPr>
          <w:rFonts w:cs="Times New Roman"/>
          <w:spacing w:val="32"/>
          <w:szCs w:val="24"/>
        </w:rPr>
        <w:t xml:space="preserve"> </w:t>
      </w:r>
      <w:r w:rsidRPr="00634F00">
        <w:rPr>
          <w:rFonts w:cs="Times New Roman"/>
          <w:szCs w:val="24"/>
        </w:rPr>
        <w:t>future</w:t>
      </w:r>
      <w:r w:rsidRPr="00634F00">
        <w:rPr>
          <w:rFonts w:cs="Times New Roman"/>
          <w:spacing w:val="32"/>
          <w:szCs w:val="24"/>
        </w:rPr>
        <w:t xml:space="preserve"> </w:t>
      </w:r>
      <w:r w:rsidRPr="00634F00">
        <w:rPr>
          <w:rFonts w:cs="Times New Roman"/>
          <w:spacing w:val="-1"/>
          <w:szCs w:val="24"/>
        </w:rPr>
        <w:t>climate</w:t>
      </w:r>
      <w:r w:rsidRPr="00634F00">
        <w:rPr>
          <w:rFonts w:cs="Times New Roman"/>
          <w:spacing w:val="32"/>
          <w:szCs w:val="24"/>
        </w:rPr>
        <w:t xml:space="preserve"> </w:t>
      </w:r>
      <w:r w:rsidRPr="00634F00">
        <w:rPr>
          <w:rFonts w:cs="Times New Roman"/>
          <w:szCs w:val="24"/>
        </w:rPr>
        <w:t>poses</w:t>
      </w:r>
      <w:r w:rsidRPr="00634F00">
        <w:rPr>
          <w:rFonts w:cs="Times New Roman"/>
          <w:spacing w:val="33"/>
          <w:szCs w:val="24"/>
        </w:rPr>
        <w:t xml:space="preserve"> </w:t>
      </w:r>
      <w:r w:rsidRPr="00634F00">
        <w:rPr>
          <w:rFonts w:cs="Times New Roman"/>
          <w:szCs w:val="24"/>
        </w:rPr>
        <w:t>challenges</w:t>
      </w:r>
      <w:r w:rsidRPr="00634F00">
        <w:rPr>
          <w:rFonts w:cs="Times New Roman"/>
          <w:spacing w:val="32"/>
          <w:szCs w:val="24"/>
        </w:rPr>
        <w:t xml:space="preserve"> </w:t>
      </w:r>
      <w:r w:rsidRPr="00634F00">
        <w:rPr>
          <w:rFonts w:cs="Times New Roman"/>
          <w:szCs w:val="24"/>
        </w:rPr>
        <w:t>outside</w:t>
      </w:r>
      <w:r w:rsidRPr="00634F00">
        <w:rPr>
          <w:rFonts w:cs="Times New Roman"/>
          <w:spacing w:val="32"/>
          <w:szCs w:val="24"/>
        </w:rPr>
        <w:t xml:space="preserve"> </w:t>
      </w:r>
      <w:r w:rsidRPr="00634F00">
        <w:rPr>
          <w:rFonts w:cs="Times New Roman"/>
          <w:spacing w:val="-1"/>
          <w:szCs w:val="24"/>
        </w:rPr>
        <w:t>historical</w:t>
      </w:r>
      <w:r w:rsidRPr="00634F00">
        <w:rPr>
          <w:rFonts w:cs="Times New Roman"/>
          <w:spacing w:val="33"/>
          <w:szCs w:val="24"/>
        </w:rPr>
        <w:t xml:space="preserve"> </w:t>
      </w:r>
      <w:r w:rsidRPr="00634F00">
        <w:rPr>
          <w:rFonts w:cs="Times New Roman"/>
          <w:spacing w:val="-1"/>
          <w:szCs w:val="24"/>
        </w:rPr>
        <w:t>experience.</w:t>
      </w:r>
      <w:r w:rsidRPr="00634F00">
        <w:rPr>
          <w:rFonts w:cs="Times New Roman"/>
          <w:spacing w:val="32"/>
          <w:szCs w:val="24"/>
        </w:rPr>
        <w:t xml:space="preserve"> </w:t>
      </w:r>
      <w:r w:rsidRPr="00634F00">
        <w:rPr>
          <w:rFonts w:cs="Times New Roman"/>
          <w:szCs w:val="24"/>
        </w:rPr>
        <w:t>Building</w:t>
      </w:r>
      <w:r w:rsidRPr="00634F00">
        <w:rPr>
          <w:rFonts w:cs="Times New Roman"/>
          <w:spacing w:val="32"/>
          <w:szCs w:val="24"/>
        </w:rPr>
        <w:t xml:space="preserve"> </w:t>
      </w:r>
      <w:r w:rsidRPr="00634F00">
        <w:rPr>
          <w:rFonts w:cs="Times New Roman"/>
          <w:szCs w:val="24"/>
        </w:rPr>
        <w:t>and</w:t>
      </w:r>
      <w:r w:rsidRPr="00634F00">
        <w:rPr>
          <w:rFonts w:cs="Times New Roman"/>
          <w:spacing w:val="33"/>
          <w:szCs w:val="24"/>
        </w:rPr>
        <w:t xml:space="preserve"> </w:t>
      </w:r>
      <w:r w:rsidRPr="00634F00">
        <w:rPr>
          <w:rFonts w:cs="Times New Roman"/>
          <w:spacing w:val="-2"/>
          <w:szCs w:val="24"/>
        </w:rPr>
        <w:t>im</w:t>
      </w:r>
      <w:r w:rsidRPr="00634F00">
        <w:rPr>
          <w:rFonts w:cs="Times New Roman"/>
          <w:spacing w:val="-3"/>
          <w:szCs w:val="24"/>
        </w:rPr>
        <w:t>pro</w:t>
      </w:r>
      <w:r w:rsidRPr="00634F00">
        <w:rPr>
          <w:rFonts w:cs="Times New Roman"/>
          <w:spacing w:val="-2"/>
          <w:szCs w:val="24"/>
        </w:rPr>
        <w:t>ving</w:t>
      </w:r>
      <w:r w:rsidRPr="00634F00">
        <w:rPr>
          <w:rFonts w:cs="Times New Roman"/>
          <w:spacing w:val="49"/>
          <w:w w:val="102"/>
          <w:szCs w:val="24"/>
        </w:rPr>
        <w:t xml:space="preserve"> </w:t>
      </w:r>
      <w:r w:rsidRPr="00634F00">
        <w:rPr>
          <w:rFonts w:cs="Times New Roman"/>
          <w:spacing w:val="-1"/>
          <w:szCs w:val="24"/>
        </w:rPr>
        <w:t>adaptive</w:t>
      </w:r>
      <w:r w:rsidRPr="00634F00">
        <w:rPr>
          <w:rFonts w:cs="Times New Roman"/>
          <w:spacing w:val="11"/>
          <w:szCs w:val="24"/>
        </w:rPr>
        <w:t xml:space="preserve"> </w:t>
      </w:r>
      <w:r w:rsidRPr="00634F00">
        <w:rPr>
          <w:rFonts w:cs="Times New Roman"/>
          <w:szCs w:val="24"/>
        </w:rPr>
        <w:t>capacity</w:t>
      </w:r>
      <w:r w:rsidRPr="00634F00">
        <w:rPr>
          <w:rFonts w:cs="Times New Roman"/>
          <w:spacing w:val="12"/>
          <w:szCs w:val="24"/>
        </w:rPr>
        <w:t xml:space="preserve"> </w:t>
      </w:r>
      <w:r w:rsidRPr="00634F00">
        <w:rPr>
          <w:rFonts w:cs="Times New Roman"/>
          <w:szCs w:val="24"/>
        </w:rPr>
        <w:t>and</w:t>
      </w:r>
      <w:r w:rsidRPr="00634F00">
        <w:rPr>
          <w:rFonts w:cs="Times New Roman"/>
          <w:spacing w:val="11"/>
          <w:szCs w:val="24"/>
        </w:rPr>
        <w:t xml:space="preserve"> </w:t>
      </w:r>
      <w:r w:rsidRPr="00634F00">
        <w:rPr>
          <w:rFonts w:cs="Times New Roman"/>
          <w:szCs w:val="24"/>
        </w:rPr>
        <w:t>taking</w:t>
      </w:r>
      <w:r w:rsidRPr="00634F00">
        <w:rPr>
          <w:rFonts w:cs="Times New Roman"/>
          <w:spacing w:val="12"/>
          <w:szCs w:val="24"/>
        </w:rPr>
        <w:t xml:space="preserve"> </w:t>
      </w:r>
      <w:r w:rsidRPr="00634F00">
        <w:rPr>
          <w:rFonts w:cs="Times New Roman"/>
          <w:spacing w:val="-2"/>
          <w:szCs w:val="24"/>
        </w:rPr>
        <w:t>t</w:t>
      </w:r>
      <w:r w:rsidRPr="00634F00">
        <w:rPr>
          <w:rFonts w:cs="Times New Roman"/>
          <w:spacing w:val="-1"/>
          <w:szCs w:val="24"/>
        </w:rPr>
        <w:t>echnical</w:t>
      </w:r>
      <w:r w:rsidRPr="00634F00">
        <w:rPr>
          <w:rFonts w:cs="Times New Roman"/>
          <w:spacing w:val="12"/>
          <w:szCs w:val="24"/>
        </w:rPr>
        <w:t xml:space="preserve"> </w:t>
      </w:r>
      <w:r w:rsidRPr="00634F00">
        <w:rPr>
          <w:rFonts w:cs="Times New Roman"/>
          <w:szCs w:val="24"/>
        </w:rPr>
        <w:t>and</w:t>
      </w:r>
      <w:r w:rsidRPr="00634F00">
        <w:rPr>
          <w:rFonts w:cs="Times New Roman"/>
          <w:spacing w:val="11"/>
          <w:szCs w:val="24"/>
        </w:rPr>
        <w:t xml:space="preserve"> </w:t>
      </w:r>
      <w:r w:rsidRPr="00634F00">
        <w:rPr>
          <w:rFonts w:cs="Times New Roman"/>
          <w:spacing w:val="-2"/>
          <w:szCs w:val="24"/>
        </w:rPr>
        <w:t>non-t</w:t>
      </w:r>
      <w:r w:rsidRPr="00634F00">
        <w:rPr>
          <w:rFonts w:cs="Times New Roman"/>
          <w:spacing w:val="-1"/>
          <w:szCs w:val="24"/>
        </w:rPr>
        <w:t>echnical</w:t>
      </w:r>
      <w:r w:rsidRPr="00634F00">
        <w:rPr>
          <w:rFonts w:cs="Times New Roman"/>
          <w:spacing w:val="12"/>
          <w:szCs w:val="24"/>
        </w:rPr>
        <w:t xml:space="preserve"> </w:t>
      </w:r>
      <w:r w:rsidRPr="00634F00">
        <w:rPr>
          <w:rFonts w:cs="Times New Roman"/>
          <w:szCs w:val="24"/>
        </w:rPr>
        <w:t>adaptation</w:t>
      </w:r>
      <w:r w:rsidRPr="00634F00">
        <w:rPr>
          <w:rFonts w:cs="Times New Roman"/>
          <w:spacing w:val="12"/>
          <w:szCs w:val="24"/>
        </w:rPr>
        <w:t xml:space="preserve"> </w:t>
      </w:r>
      <w:r w:rsidRPr="00634F00">
        <w:rPr>
          <w:rFonts w:cs="Times New Roman"/>
          <w:szCs w:val="24"/>
        </w:rPr>
        <w:t>actions</w:t>
      </w:r>
      <w:r w:rsidRPr="00634F00">
        <w:rPr>
          <w:rFonts w:cs="Times New Roman"/>
          <w:spacing w:val="11"/>
          <w:szCs w:val="24"/>
        </w:rPr>
        <w:t xml:space="preserve"> </w:t>
      </w:r>
      <w:r w:rsidRPr="00634F00">
        <w:rPr>
          <w:rFonts w:cs="Times New Roman"/>
          <w:szCs w:val="24"/>
        </w:rPr>
        <w:t>in</w:t>
      </w:r>
      <w:r w:rsidRPr="00634F00">
        <w:rPr>
          <w:rFonts w:cs="Times New Roman"/>
          <w:spacing w:val="12"/>
          <w:szCs w:val="24"/>
        </w:rPr>
        <w:t xml:space="preserve"> </w:t>
      </w:r>
      <w:r w:rsidRPr="00634F00">
        <w:rPr>
          <w:rFonts w:cs="Times New Roman"/>
          <w:spacing w:val="-3"/>
          <w:szCs w:val="24"/>
        </w:rPr>
        <w:t>ke</w:t>
      </w:r>
      <w:r w:rsidRPr="00634F00">
        <w:rPr>
          <w:rFonts w:cs="Times New Roman"/>
          <w:spacing w:val="-4"/>
          <w:szCs w:val="24"/>
        </w:rPr>
        <w:t>y</w:t>
      </w:r>
      <w:r w:rsidRPr="00634F00">
        <w:rPr>
          <w:rFonts w:cs="Times New Roman"/>
          <w:spacing w:val="12"/>
          <w:szCs w:val="24"/>
        </w:rPr>
        <w:t xml:space="preserve"> </w:t>
      </w:r>
      <w:r w:rsidRPr="00634F00">
        <w:rPr>
          <w:rFonts w:cs="Times New Roman"/>
          <w:spacing w:val="-1"/>
          <w:szCs w:val="24"/>
        </w:rPr>
        <w:t>climat</w:t>
      </w:r>
      <w:r w:rsidRPr="00634F00">
        <w:rPr>
          <w:rFonts w:cs="Times New Roman"/>
          <w:spacing w:val="-2"/>
          <w:szCs w:val="24"/>
        </w:rPr>
        <w:t>e-</w:t>
      </w:r>
      <w:r w:rsidRPr="00634F00">
        <w:rPr>
          <w:rFonts w:cs="Times New Roman"/>
          <w:spacing w:val="-1"/>
          <w:szCs w:val="24"/>
        </w:rPr>
        <w:t>sensitive</w:t>
      </w:r>
      <w:r w:rsidRPr="00634F00">
        <w:rPr>
          <w:rFonts w:cs="Times New Roman"/>
          <w:spacing w:val="20"/>
          <w:szCs w:val="24"/>
        </w:rPr>
        <w:t xml:space="preserve"> </w:t>
      </w:r>
      <w:r w:rsidRPr="00634F00">
        <w:rPr>
          <w:rFonts w:cs="Times New Roman"/>
          <w:spacing w:val="-1"/>
          <w:szCs w:val="24"/>
        </w:rPr>
        <w:t>sectors</w:t>
      </w:r>
      <w:r w:rsidRPr="00634F00">
        <w:rPr>
          <w:rFonts w:cs="Times New Roman"/>
          <w:spacing w:val="20"/>
          <w:szCs w:val="24"/>
        </w:rPr>
        <w:t xml:space="preserve"> such as agriculture </w:t>
      </w:r>
      <w:r w:rsidRPr="00634F00">
        <w:rPr>
          <w:rFonts w:cs="Times New Roman"/>
          <w:szCs w:val="24"/>
        </w:rPr>
        <w:t>must</w:t>
      </w:r>
      <w:r w:rsidRPr="00634F00">
        <w:rPr>
          <w:rFonts w:cs="Times New Roman"/>
          <w:spacing w:val="21"/>
          <w:szCs w:val="24"/>
        </w:rPr>
        <w:t xml:space="preserve"> </w:t>
      </w:r>
      <w:r w:rsidRPr="00634F00">
        <w:rPr>
          <w:rFonts w:cs="Times New Roman"/>
          <w:szCs w:val="24"/>
        </w:rPr>
        <w:t>be</w:t>
      </w:r>
      <w:r w:rsidRPr="00634F00">
        <w:rPr>
          <w:rFonts w:cs="Times New Roman"/>
          <w:spacing w:val="20"/>
          <w:szCs w:val="24"/>
        </w:rPr>
        <w:t xml:space="preserve"> </w:t>
      </w:r>
      <w:r w:rsidRPr="00634F00">
        <w:rPr>
          <w:rFonts w:cs="Times New Roman"/>
          <w:szCs w:val="24"/>
        </w:rPr>
        <w:t>an</w:t>
      </w:r>
      <w:r w:rsidRPr="00634F00">
        <w:rPr>
          <w:rFonts w:cs="Times New Roman"/>
          <w:spacing w:val="21"/>
          <w:szCs w:val="24"/>
        </w:rPr>
        <w:t xml:space="preserve"> </w:t>
      </w:r>
      <w:r w:rsidRPr="00634F00">
        <w:rPr>
          <w:rFonts w:cs="Times New Roman"/>
          <w:szCs w:val="24"/>
        </w:rPr>
        <w:t>urgent</w:t>
      </w:r>
      <w:r w:rsidRPr="00634F00">
        <w:rPr>
          <w:rFonts w:cs="Times New Roman"/>
          <w:spacing w:val="20"/>
          <w:szCs w:val="24"/>
        </w:rPr>
        <w:t xml:space="preserve"> </w:t>
      </w:r>
      <w:r w:rsidRPr="00634F00">
        <w:rPr>
          <w:rFonts w:cs="Times New Roman"/>
          <w:szCs w:val="24"/>
        </w:rPr>
        <w:t>priority</w:t>
      </w:r>
      <w:r w:rsidRPr="00634F00">
        <w:rPr>
          <w:rFonts w:cs="Times New Roman"/>
          <w:spacing w:val="20"/>
          <w:szCs w:val="24"/>
        </w:rPr>
        <w:t xml:space="preserve"> </w:t>
      </w:r>
      <w:r w:rsidRPr="00634F00">
        <w:rPr>
          <w:rFonts w:cs="Times New Roman"/>
          <w:spacing w:val="-3"/>
          <w:szCs w:val="24"/>
        </w:rPr>
        <w:t>for Bangladesh</w:t>
      </w:r>
      <w:r w:rsidRPr="00634F00">
        <w:rPr>
          <w:rFonts w:cs="Times New Roman"/>
          <w:szCs w:val="24"/>
        </w:rPr>
        <w:t xml:space="preserve">. There is also the need for making strong efforts in taking adaptation actions in key related sectors including water resources, forestry, coastal and marine resources. </w:t>
      </w:r>
    </w:p>
    <w:p w:rsidR="00630139" w:rsidRPr="00FD5766" w:rsidRDefault="00F64A6A" w:rsidP="00630139">
      <w:pPr>
        <w:spacing w:line="276" w:lineRule="auto"/>
        <w:jc w:val="both"/>
        <w:rPr>
          <w:rFonts w:cs="Times New Roman"/>
          <w:szCs w:val="24"/>
          <w:u w:val="single"/>
        </w:rPr>
      </w:pPr>
      <w:r w:rsidRPr="00F64A6A">
        <w:rPr>
          <w:rFonts w:cs="Times New Roman"/>
          <w:szCs w:val="24"/>
          <w:u w:val="single"/>
        </w:rPr>
        <w:t>In the agriculture sector, the priority is to strengthen local adaptive capacity by providing public goods and services, such as better climate information, research and development on heat- resistant crop varieties and other techniques, early warning systems, and efficient irrigation systems; and explore innovative risk-sharing instruments such as index-based insurance schemes.</w:t>
      </w:r>
    </w:p>
    <w:p w:rsidR="00630139" w:rsidRPr="00634F00" w:rsidRDefault="00630139" w:rsidP="00630139">
      <w:pPr>
        <w:spacing w:line="276" w:lineRule="auto"/>
        <w:jc w:val="both"/>
        <w:rPr>
          <w:rFonts w:cs="Times New Roman"/>
          <w:szCs w:val="24"/>
        </w:rPr>
      </w:pPr>
      <w:r w:rsidRPr="00634F00">
        <w:rPr>
          <w:rFonts w:cs="Times New Roman"/>
          <w:szCs w:val="24"/>
        </w:rPr>
        <w:t>In water resources, the priority  is  to  scale  up  existing  good  practices  of  water  conservation and management, and apply more widely integrated water management, including flood control and prevention schemes, flood early warning systems, irrigation improvement, and demand- side management.</w:t>
      </w:r>
    </w:p>
    <w:p w:rsidR="00630139" w:rsidRPr="00FD5766" w:rsidRDefault="00F64A6A" w:rsidP="00630139">
      <w:pPr>
        <w:spacing w:line="276" w:lineRule="auto"/>
        <w:jc w:val="both"/>
        <w:rPr>
          <w:rFonts w:cs="Times New Roman"/>
          <w:szCs w:val="24"/>
          <w:u w:val="single"/>
        </w:rPr>
      </w:pPr>
      <w:r w:rsidRPr="00F64A6A">
        <w:rPr>
          <w:rFonts w:cs="Times New Roman"/>
          <w:szCs w:val="24"/>
          <w:u w:val="single"/>
        </w:rPr>
        <w:t>In the forestry sector, the priority is to implement aggressive public-private partnerships for reforestation and afforestation.</w:t>
      </w:r>
    </w:p>
    <w:p w:rsidR="00630139" w:rsidRPr="00634F00" w:rsidRDefault="00630139" w:rsidP="00630139">
      <w:pPr>
        <w:spacing w:line="276" w:lineRule="auto"/>
        <w:jc w:val="both"/>
        <w:rPr>
          <w:rFonts w:cs="Times New Roman"/>
          <w:szCs w:val="24"/>
        </w:rPr>
      </w:pPr>
      <w:r w:rsidRPr="00634F00">
        <w:rPr>
          <w:rFonts w:cs="Times New Roman"/>
          <w:szCs w:val="24"/>
        </w:rPr>
        <w:t>In the coastal and marine resources sector, the priority is to implement integrated coastal zone management plans, including mangrove conservation and plantation.</w:t>
      </w:r>
    </w:p>
    <w:p w:rsidR="00630139" w:rsidRPr="00634F00" w:rsidRDefault="00630139" w:rsidP="00630139">
      <w:pPr>
        <w:spacing w:line="276" w:lineRule="auto"/>
        <w:jc w:val="both"/>
        <w:rPr>
          <w:rFonts w:cs="Times New Roman"/>
          <w:szCs w:val="24"/>
        </w:rPr>
      </w:pPr>
      <w:r w:rsidRPr="00634F00">
        <w:rPr>
          <w:rFonts w:cs="Times New Roman"/>
          <w:szCs w:val="24"/>
        </w:rPr>
        <w:t>There exist “win-win” measures that address climate change and are also good sustainable development practices. The Government has a vital role to play in providing incentives and an effective policy framework for individuals and firms to adapt to climate change and to enhance their adaptive capacity.</w:t>
      </w:r>
    </w:p>
    <w:p w:rsidR="00630139" w:rsidRDefault="00630139" w:rsidP="00630139">
      <w:pPr>
        <w:spacing w:line="276" w:lineRule="auto"/>
        <w:jc w:val="both"/>
        <w:rPr>
          <w:rFonts w:cs="Times New Roman"/>
          <w:szCs w:val="24"/>
        </w:rPr>
      </w:pPr>
      <w:r w:rsidRPr="00634F00">
        <w:rPr>
          <w:rFonts w:cs="Times New Roman"/>
          <w:szCs w:val="24"/>
        </w:rPr>
        <w:t xml:space="preserve">There remains a need for enhancing policy and planning coordination across ministries and different levels of government for climate change adaptation. There is also a need for adopting a more holistic approach to building the adaptive capacity of vulnerable groups and localities (e.g. </w:t>
      </w:r>
      <w:r w:rsidRPr="00634F00">
        <w:rPr>
          <w:rFonts w:cs="Times New Roman"/>
          <w:szCs w:val="24"/>
        </w:rPr>
        <w:lastRenderedPageBreak/>
        <w:t>in Coastal Region Hotspot) to build their resilience to shocks, including developing their capability to diversify local economies, livelihoods, and coping strategies.</w:t>
      </w:r>
    </w:p>
    <w:p w:rsidR="00630139" w:rsidRPr="00DC1243" w:rsidRDefault="00630139" w:rsidP="00630139">
      <w:pPr>
        <w:spacing w:line="276" w:lineRule="auto"/>
        <w:jc w:val="both"/>
        <w:rPr>
          <w:rFonts w:cs="Times New Roman"/>
          <w:b/>
          <w:i/>
          <w:szCs w:val="24"/>
        </w:rPr>
      </w:pPr>
      <w:r w:rsidRPr="00DC1243">
        <w:rPr>
          <w:rFonts w:cs="Times New Roman"/>
          <w:b/>
          <w:i/>
          <w:szCs w:val="24"/>
        </w:rPr>
        <w:t>Livelihood protection in ecologically fragile areas</w:t>
      </w:r>
    </w:p>
    <w:p w:rsidR="00630139" w:rsidRPr="00DC1243" w:rsidRDefault="00630139" w:rsidP="00630139">
      <w:pPr>
        <w:spacing w:line="276" w:lineRule="auto"/>
        <w:jc w:val="both"/>
        <w:rPr>
          <w:rFonts w:cs="Times New Roman"/>
          <w:sz w:val="28"/>
          <w:szCs w:val="28"/>
        </w:rPr>
      </w:pPr>
      <w:r w:rsidRPr="00DC1243">
        <w:rPr>
          <w:rFonts w:cs="Times New Roman"/>
          <w:szCs w:val="24"/>
        </w:rPr>
        <w:t xml:space="preserve">Strategies will be needed to help people in ecologically fragile regions to become climate resilient and ensure their economic and social well-being. Climate related disasters may destroy people's homes, and incomes and employment. Affected regions are likely to include the coastal zone, river chars, hilly areas (e.g., the Hill Tracts) and inland wetland areas. The government needs to adopt a </w:t>
      </w:r>
      <w:r w:rsidRPr="00DC1243">
        <w:rPr>
          <w:rFonts w:cs="Times New Roman"/>
          <w:szCs w:val="28"/>
        </w:rPr>
        <w:t>comprehensive and participatory planning and investment for climate resilience against erosion in income, employment and human health in coastal, char, hilly and wetland regions.</w:t>
      </w:r>
    </w:p>
    <w:p w:rsidR="00630139" w:rsidRPr="00DC1243" w:rsidRDefault="00630139" w:rsidP="00630139">
      <w:pPr>
        <w:spacing w:line="276" w:lineRule="auto"/>
        <w:jc w:val="both"/>
        <w:rPr>
          <w:rFonts w:cs="Times New Roman"/>
          <w:b/>
          <w:i/>
          <w:szCs w:val="24"/>
        </w:rPr>
      </w:pPr>
      <w:r w:rsidRPr="00DC1243">
        <w:rPr>
          <w:rFonts w:cs="Times New Roman"/>
          <w:b/>
          <w:i/>
          <w:szCs w:val="24"/>
        </w:rPr>
        <w:t>Livelihood protection of vulnerable socio-economic groups (agro-related)</w:t>
      </w:r>
    </w:p>
    <w:p w:rsidR="00630139" w:rsidRPr="00DC1243" w:rsidRDefault="00630139" w:rsidP="00630139">
      <w:pPr>
        <w:spacing w:line="276" w:lineRule="auto"/>
        <w:jc w:val="both"/>
        <w:rPr>
          <w:rFonts w:cs="Times New Roman"/>
          <w:szCs w:val="24"/>
        </w:rPr>
      </w:pPr>
      <w:r>
        <w:rPr>
          <w:rFonts w:cs="Times New Roman"/>
          <w:szCs w:val="24"/>
        </w:rPr>
        <w:t>Fisheries</w:t>
      </w:r>
      <w:r w:rsidRPr="00DC1243">
        <w:rPr>
          <w:rFonts w:cs="Times New Roman"/>
          <w:szCs w:val="24"/>
        </w:rPr>
        <w:t xml:space="preserve"> families, who will be affected by changes in freshwater and marine ecosystems; poor farmers, who will be at greater risk from crop failure and will need special attention to protect them from income losses due to climate change need support. Therefore, a comprehensive and participatory planning and investment to protect the livelihoods (income, employment, health) of groups who will be especially severely impacted by climate change (e.g., marginal and small farmers, fishermen particularly those </w:t>
      </w:r>
      <w:r>
        <w:rPr>
          <w:rFonts w:cs="Times New Roman"/>
          <w:szCs w:val="24"/>
        </w:rPr>
        <w:t>fisheries</w:t>
      </w:r>
      <w:r w:rsidRPr="00DC1243">
        <w:rPr>
          <w:rFonts w:cs="Times New Roman"/>
          <w:szCs w:val="24"/>
        </w:rPr>
        <w:t xml:space="preserve"> in estuaries and the seas) is necessary.</w:t>
      </w:r>
    </w:p>
    <w:p w:rsidR="00630139" w:rsidRPr="00DC1243" w:rsidRDefault="00630139" w:rsidP="00630139">
      <w:pPr>
        <w:spacing w:line="276" w:lineRule="auto"/>
        <w:jc w:val="both"/>
        <w:rPr>
          <w:rFonts w:cs="Times New Roman"/>
          <w:b/>
          <w:i/>
          <w:szCs w:val="24"/>
        </w:rPr>
      </w:pPr>
      <w:r w:rsidRPr="00DC1243">
        <w:rPr>
          <w:rFonts w:cs="Times New Roman"/>
          <w:b/>
          <w:i/>
          <w:szCs w:val="24"/>
        </w:rPr>
        <w:t>Monitoring of ecosystem and biodiversity changes and their impacts</w:t>
      </w:r>
    </w:p>
    <w:p w:rsidR="00630139" w:rsidRPr="00DC1243" w:rsidRDefault="00630139" w:rsidP="00630139">
      <w:pPr>
        <w:spacing w:line="276" w:lineRule="auto"/>
        <w:jc w:val="both"/>
        <w:rPr>
          <w:rFonts w:cs="Times New Roman"/>
          <w:szCs w:val="24"/>
        </w:rPr>
      </w:pPr>
      <w:r w:rsidRPr="00DC1243">
        <w:rPr>
          <w:rFonts w:cs="Times New Roman"/>
          <w:szCs w:val="24"/>
        </w:rPr>
        <w:t xml:space="preserve">Mangrove ecosystems which are already under serious stress will suffer heavily due to further increases in salinity. These could alter the entire ecosystem of the Sundarbans and cause the extinction of some species. Following actions are necessary: </w:t>
      </w:r>
    </w:p>
    <w:p w:rsidR="00630139" w:rsidRPr="00FD5766" w:rsidRDefault="00F64A6A" w:rsidP="00D6486D">
      <w:pPr>
        <w:pStyle w:val="ListParagraph"/>
        <w:numPr>
          <w:ilvl w:val="0"/>
          <w:numId w:val="56"/>
        </w:numPr>
        <w:spacing w:line="276" w:lineRule="auto"/>
        <w:jc w:val="both"/>
        <w:rPr>
          <w:rFonts w:cs="Times New Roman"/>
          <w:szCs w:val="24"/>
          <w:u w:val="single"/>
        </w:rPr>
      </w:pPr>
      <w:r w:rsidRPr="00F64A6A">
        <w:rPr>
          <w:rFonts w:cs="Times New Roman"/>
          <w:szCs w:val="24"/>
          <w:u w:val="single"/>
        </w:rPr>
        <w:t>Set up a well-designed monitoring system to evaluate changes in ecosystem and biodiversity</w:t>
      </w:r>
    </w:p>
    <w:p w:rsidR="00630139" w:rsidRPr="00DC1243" w:rsidRDefault="00630139" w:rsidP="00D6486D">
      <w:pPr>
        <w:pStyle w:val="ListParagraph"/>
        <w:numPr>
          <w:ilvl w:val="0"/>
          <w:numId w:val="56"/>
        </w:numPr>
        <w:spacing w:line="276" w:lineRule="auto"/>
        <w:jc w:val="both"/>
        <w:rPr>
          <w:rFonts w:cs="Times New Roman"/>
          <w:szCs w:val="24"/>
        </w:rPr>
      </w:pPr>
      <w:r w:rsidRPr="00DC1243">
        <w:rPr>
          <w:rFonts w:cs="Times New Roman"/>
          <w:szCs w:val="24"/>
        </w:rPr>
        <w:t>Develop participatory monitoring systems by involving local trained people</w:t>
      </w:r>
    </w:p>
    <w:p w:rsidR="0053231E" w:rsidRPr="00974AEB" w:rsidRDefault="00630139" w:rsidP="00630139">
      <w:pPr>
        <w:pStyle w:val="ListParagraph"/>
        <w:numPr>
          <w:ilvl w:val="0"/>
          <w:numId w:val="56"/>
        </w:numPr>
        <w:spacing w:line="276" w:lineRule="auto"/>
        <w:jc w:val="both"/>
        <w:rPr>
          <w:rFonts w:cs="Times New Roman"/>
          <w:szCs w:val="24"/>
        </w:rPr>
      </w:pPr>
      <w:r w:rsidRPr="00DC1243">
        <w:rPr>
          <w:rFonts w:cs="Times New Roman"/>
          <w:szCs w:val="24"/>
        </w:rPr>
        <w:t>Report changes in ecosystems and biodiversity and asses the implications</w:t>
      </w:r>
    </w:p>
    <w:p w:rsidR="00630139" w:rsidRPr="00DC1243" w:rsidRDefault="00630139" w:rsidP="00630139">
      <w:pPr>
        <w:spacing w:line="276" w:lineRule="auto"/>
        <w:jc w:val="both"/>
        <w:rPr>
          <w:rFonts w:cs="Times New Roman"/>
          <w:b/>
          <w:i/>
          <w:szCs w:val="24"/>
        </w:rPr>
      </w:pPr>
      <w:r w:rsidRPr="00DC1243">
        <w:rPr>
          <w:rFonts w:cs="Times New Roman"/>
          <w:b/>
          <w:i/>
          <w:szCs w:val="24"/>
        </w:rPr>
        <w:t>Lower emissions from agricultural land</w:t>
      </w:r>
    </w:p>
    <w:p w:rsidR="00630139" w:rsidRPr="00DC1243" w:rsidRDefault="00630139" w:rsidP="00630139">
      <w:pPr>
        <w:spacing w:line="276" w:lineRule="auto"/>
        <w:jc w:val="both"/>
        <w:rPr>
          <w:rFonts w:cs="Times New Roman"/>
          <w:szCs w:val="24"/>
        </w:rPr>
      </w:pPr>
      <w:r w:rsidRPr="00DC1243">
        <w:rPr>
          <w:rFonts w:cs="Times New Roman"/>
          <w:szCs w:val="24"/>
        </w:rPr>
        <w:t xml:space="preserve">Wet agricultural land produces methane (CH4). Nitrogenous (N2) fertilizers also contribute. A major reason for methane emissions is that rice fields are kept continuously flooded, which scientists now say is unnecessary. A programme that aims to lower emissions through improved cropland management would include: </w:t>
      </w:r>
    </w:p>
    <w:p w:rsidR="00630139" w:rsidRPr="00FD5766" w:rsidRDefault="00F64A6A" w:rsidP="00D6486D">
      <w:pPr>
        <w:pStyle w:val="ListParagraph"/>
        <w:numPr>
          <w:ilvl w:val="0"/>
          <w:numId w:val="56"/>
        </w:numPr>
        <w:spacing w:line="276" w:lineRule="auto"/>
        <w:jc w:val="both"/>
        <w:rPr>
          <w:rFonts w:cs="Times New Roman"/>
          <w:szCs w:val="24"/>
          <w:u w:val="single"/>
        </w:rPr>
      </w:pPr>
      <w:r w:rsidRPr="00F64A6A">
        <w:rPr>
          <w:rFonts w:cs="Times New Roman"/>
          <w:szCs w:val="24"/>
          <w:u w:val="single"/>
        </w:rPr>
        <w:t>Research and on-farm trials of new water management technology on crop (including rice) land</w:t>
      </w:r>
    </w:p>
    <w:p w:rsidR="00630139" w:rsidRPr="00FD5766" w:rsidRDefault="00F64A6A" w:rsidP="00D6486D">
      <w:pPr>
        <w:pStyle w:val="ListParagraph"/>
        <w:numPr>
          <w:ilvl w:val="0"/>
          <w:numId w:val="56"/>
        </w:numPr>
        <w:spacing w:line="276" w:lineRule="auto"/>
        <w:jc w:val="both"/>
        <w:rPr>
          <w:rFonts w:cs="Times New Roman"/>
          <w:szCs w:val="24"/>
          <w:u w:val="single"/>
        </w:rPr>
      </w:pPr>
      <w:r w:rsidRPr="00F64A6A">
        <w:rPr>
          <w:rFonts w:cs="Times New Roman"/>
          <w:szCs w:val="24"/>
          <w:u w:val="single"/>
        </w:rPr>
        <w:t>Agricultural extension service for new water management techniques for rice production</w:t>
      </w:r>
    </w:p>
    <w:p w:rsidR="00630139" w:rsidRPr="00DC1243" w:rsidRDefault="00630139" w:rsidP="00630139">
      <w:pPr>
        <w:spacing w:line="276" w:lineRule="auto"/>
        <w:jc w:val="both"/>
        <w:rPr>
          <w:rFonts w:cs="Times New Roman"/>
          <w:b/>
          <w:i/>
          <w:szCs w:val="24"/>
        </w:rPr>
      </w:pPr>
      <w:r w:rsidRPr="00DC1243">
        <w:rPr>
          <w:rFonts w:cs="Times New Roman"/>
          <w:b/>
          <w:i/>
          <w:szCs w:val="24"/>
        </w:rPr>
        <w:lastRenderedPageBreak/>
        <w:t xml:space="preserve">Afforestation and reforestation </w:t>
      </w:r>
    </w:p>
    <w:p w:rsidR="00630139" w:rsidRPr="00DC1243" w:rsidRDefault="00630139" w:rsidP="00630139">
      <w:pPr>
        <w:spacing w:line="276" w:lineRule="auto"/>
        <w:jc w:val="both"/>
        <w:rPr>
          <w:rFonts w:cs="Times New Roman"/>
          <w:szCs w:val="24"/>
        </w:rPr>
      </w:pPr>
      <w:r w:rsidRPr="00DC1243">
        <w:rPr>
          <w:rFonts w:cs="Times New Roman"/>
          <w:szCs w:val="24"/>
        </w:rPr>
        <w:t xml:space="preserve">The afforestation and reforestation of degraded land contributes to food security by providing fruits and other edible products; energy security by providing fuel wood; livelihood security by employing people in forest plantations; harvesting and trade in forest products; and can protect land from soil erosion and landsides, particularly in hilly areas. Much of Government owned reserve forest land is largely without trees. Following actions are necessary: </w:t>
      </w:r>
    </w:p>
    <w:p w:rsidR="00630139" w:rsidRPr="00DC1243" w:rsidRDefault="00630139" w:rsidP="00D6486D">
      <w:pPr>
        <w:pStyle w:val="ListParagraph"/>
        <w:numPr>
          <w:ilvl w:val="0"/>
          <w:numId w:val="56"/>
        </w:numPr>
        <w:spacing w:line="276" w:lineRule="auto"/>
        <w:jc w:val="both"/>
        <w:rPr>
          <w:rFonts w:cs="Times New Roman"/>
          <w:szCs w:val="24"/>
        </w:rPr>
      </w:pPr>
      <w:r w:rsidRPr="00DC1243">
        <w:rPr>
          <w:rFonts w:cs="Times New Roman"/>
          <w:szCs w:val="24"/>
        </w:rPr>
        <w:t>Provide support to existing and new coastal afforestation programmes taking into account the future rise in salinity levels due to sea level rise</w:t>
      </w:r>
    </w:p>
    <w:p w:rsidR="00630139" w:rsidRPr="00DC1243" w:rsidRDefault="00630139" w:rsidP="00D6486D">
      <w:pPr>
        <w:pStyle w:val="ListParagraph"/>
        <w:numPr>
          <w:ilvl w:val="0"/>
          <w:numId w:val="56"/>
        </w:numPr>
        <w:spacing w:line="276" w:lineRule="auto"/>
        <w:jc w:val="both"/>
        <w:rPr>
          <w:rFonts w:cs="Times New Roman"/>
          <w:szCs w:val="24"/>
        </w:rPr>
      </w:pPr>
      <w:r w:rsidRPr="00DC1243">
        <w:rPr>
          <w:rFonts w:cs="Times New Roman"/>
          <w:szCs w:val="24"/>
        </w:rPr>
        <w:t>Develop a wetland afforestation programme to protect settlements against wave erosion</w:t>
      </w:r>
    </w:p>
    <w:p w:rsidR="00630139" w:rsidRPr="00DC1243" w:rsidRDefault="00630139" w:rsidP="00D6486D">
      <w:pPr>
        <w:pStyle w:val="ListParagraph"/>
        <w:numPr>
          <w:ilvl w:val="0"/>
          <w:numId w:val="56"/>
        </w:numPr>
        <w:spacing w:line="276" w:lineRule="auto"/>
        <w:jc w:val="both"/>
        <w:rPr>
          <w:rFonts w:cs="Times New Roman"/>
          <w:szCs w:val="24"/>
        </w:rPr>
      </w:pPr>
      <w:r w:rsidRPr="00DC1243">
        <w:rPr>
          <w:rFonts w:cs="Times New Roman"/>
          <w:szCs w:val="24"/>
        </w:rPr>
        <w:t>Study the scope for carbon credits under REDD and invest in reforestation of degraded forests</w:t>
      </w:r>
    </w:p>
    <w:p w:rsidR="00630139" w:rsidRPr="00DC1243" w:rsidRDefault="00630139" w:rsidP="00D6486D">
      <w:pPr>
        <w:pStyle w:val="ListParagraph"/>
        <w:numPr>
          <w:ilvl w:val="0"/>
          <w:numId w:val="56"/>
        </w:numPr>
        <w:spacing w:line="276" w:lineRule="auto"/>
        <w:jc w:val="both"/>
        <w:rPr>
          <w:rFonts w:cs="Times New Roman"/>
          <w:szCs w:val="24"/>
        </w:rPr>
      </w:pPr>
      <w:r w:rsidRPr="00DC1243">
        <w:rPr>
          <w:rFonts w:cs="Times New Roman"/>
          <w:szCs w:val="24"/>
        </w:rPr>
        <w:t>Provide support to existing and new homestead and social forestry programmes.</w:t>
      </w:r>
    </w:p>
    <w:p w:rsidR="00630139" w:rsidRPr="00FD5766" w:rsidRDefault="00F64A6A" w:rsidP="00630139">
      <w:pPr>
        <w:spacing w:line="276" w:lineRule="auto"/>
        <w:jc w:val="both"/>
        <w:rPr>
          <w:rFonts w:cs="Times New Roman"/>
          <w:szCs w:val="24"/>
          <w:u w:val="single"/>
        </w:rPr>
      </w:pPr>
      <w:r w:rsidRPr="00F64A6A">
        <w:rPr>
          <w:rFonts w:cs="Times New Roman"/>
          <w:szCs w:val="24"/>
          <w:u w:val="single"/>
        </w:rPr>
        <w:t>Research the suitability of various tree species for their carbon-locking properties for designing various forestry programmes.</w:t>
      </w:r>
    </w:p>
    <w:p w:rsidR="00630139" w:rsidRPr="003D2AF6" w:rsidRDefault="00630139" w:rsidP="00630139">
      <w:pPr>
        <w:jc w:val="both"/>
        <w:rPr>
          <w:b/>
          <w:i/>
        </w:rPr>
      </w:pPr>
      <w:r w:rsidRPr="003D2AF6">
        <w:rPr>
          <w:b/>
          <w:i/>
        </w:rPr>
        <w:t xml:space="preserve">Devise longer term adaptation mechanism against impacts of climate change and particularly of sea level rise on food security  </w:t>
      </w:r>
    </w:p>
    <w:p w:rsidR="00630139" w:rsidRPr="00C26B99" w:rsidRDefault="00630139" w:rsidP="00630139">
      <w:r w:rsidRPr="00C26B99">
        <w:t>Given the key challenges, approaches and actions for sustaining food security over a longer time frame require a different direction. Traditional food security approaches have to be gradually replaced by strategic needs of the future developed Bangladesh. The assumptions, as mentioned before, are:</w:t>
      </w:r>
    </w:p>
    <w:p w:rsidR="00000000" w:rsidRDefault="00630139" w:rsidP="003D5A31">
      <w:pPr>
        <w:pStyle w:val="ListParagraph"/>
        <w:numPr>
          <w:ilvl w:val="0"/>
          <w:numId w:val="213"/>
        </w:numPr>
        <w:spacing w:before="120" w:after="120" w:line="276" w:lineRule="auto"/>
        <w:jc w:val="both"/>
      </w:pPr>
      <w:r w:rsidRPr="00C26B99">
        <w:t>Bangladesh population peaks at 200 million in 2050 and then declines to 170 million in 2100, as projected.</w:t>
      </w:r>
    </w:p>
    <w:p w:rsidR="00000000" w:rsidRDefault="00F64A6A" w:rsidP="003D5A31">
      <w:pPr>
        <w:pStyle w:val="ListParagraph"/>
        <w:numPr>
          <w:ilvl w:val="0"/>
          <w:numId w:val="213"/>
        </w:numPr>
        <w:spacing w:before="120" w:after="120" w:line="276" w:lineRule="auto"/>
        <w:jc w:val="both"/>
        <w:rPr>
          <w:u w:val="single"/>
        </w:rPr>
      </w:pPr>
      <w:r w:rsidRPr="00F64A6A">
        <w:rPr>
          <w:u w:val="single"/>
        </w:rPr>
        <w:t>Rural urban divide will almost be non-existent.</w:t>
      </w:r>
    </w:p>
    <w:p w:rsidR="00000000" w:rsidRDefault="00630139" w:rsidP="003D5A31">
      <w:pPr>
        <w:pStyle w:val="ListParagraph"/>
        <w:numPr>
          <w:ilvl w:val="0"/>
          <w:numId w:val="213"/>
        </w:numPr>
        <w:spacing w:before="120" w:after="120" w:line="276" w:lineRule="auto"/>
        <w:jc w:val="both"/>
      </w:pPr>
      <w:r w:rsidRPr="00C26B99">
        <w:t>As aspired, per capita annual income of Bangladesh will need to grow from USD 1,</w:t>
      </w:r>
      <w:r w:rsidR="00FD5766" w:rsidRPr="00C26B99">
        <w:t>46</w:t>
      </w:r>
      <w:r w:rsidR="00FD5766">
        <w:t>5</w:t>
      </w:r>
      <w:r w:rsidRPr="00C26B99">
        <w:t>to 12,736 (high income economies) or more, thus enhancing per capita purchasing power.</w:t>
      </w:r>
    </w:p>
    <w:p w:rsidR="00000000" w:rsidRDefault="00630139" w:rsidP="003D5A31">
      <w:pPr>
        <w:pStyle w:val="ListParagraph"/>
        <w:numPr>
          <w:ilvl w:val="0"/>
          <w:numId w:val="213"/>
        </w:numPr>
        <w:spacing w:before="120" w:after="120" w:line="276" w:lineRule="auto"/>
        <w:jc w:val="both"/>
      </w:pPr>
      <w:r w:rsidRPr="00C26B99">
        <w:t>Rice will not be the only major food item</w:t>
      </w:r>
    </w:p>
    <w:p w:rsidR="00000000" w:rsidRDefault="00630139" w:rsidP="003D5A31">
      <w:pPr>
        <w:pStyle w:val="ListParagraph"/>
        <w:numPr>
          <w:ilvl w:val="0"/>
          <w:numId w:val="213"/>
        </w:numPr>
        <w:spacing w:before="120" w:after="120" w:line="276" w:lineRule="auto"/>
        <w:jc w:val="both"/>
      </w:pPr>
      <w:r w:rsidRPr="00C26B99">
        <w:t>Sea food, as in developed countries, will be increasingly popular on daily diet.</w:t>
      </w:r>
    </w:p>
    <w:p w:rsidR="00000000" w:rsidRDefault="00630139" w:rsidP="003D5A31">
      <w:pPr>
        <w:pStyle w:val="ListParagraph"/>
        <w:numPr>
          <w:ilvl w:val="0"/>
          <w:numId w:val="213"/>
        </w:numPr>
        <w:spacing w:before="120" w:after="120" w:line="276" w:lineRule="auto"/>
        <w:jc w:val="both"/>
      </w:pPr>
      <w:r w:rsidRPr="00C26B99">
        <w:t>The concept of quantity of food intake will be replaced by quantity and quality of nutrition intake.</w:t>
      </w:r>
    </w:p>
    <w:p w:rsidR="00000000" w:rsidRDefault="00F64A6A" w:rsidP="003D5A31">
      <w:pPr>
        <w:pStyle w:val="ListParagraph"/>
        <w:numPr>
          <w:ilvl w:val="0"/>
          <w:numId w:val="213"/>
        </w:numPr>
        <w:spacing w:before="120" w:after="120" w:line="276" w:lineRule="auto"/>
        <w:jc w:val="both"/>
        <w:rPr>
          <w:u w:val="single"/>
        </w:rPr>
      </w:pPr>
      <w:r w:rsidRPr="00F64A6A">
        <w:rPr>
          <w:u w:val="single"/>
        </w:rPr>
        <w:t xml:space="preserve">Obesity, not mal nutrition, will be one of major medical issues.  </w:t>
      </w:r>
    </w:p>
    <w:p w:rsidR="00000000" w:rsidRDefault="00630139" w:rsidP="003D5A31">
      <w:pPr>
        <w:pStyle w:val="ListParagraph"/>
        <w:numPr>
          <w:ilvl w:val="0"/>
          <w:numId w:val="213"/>
        </w:numPr>
        <w:spacing w:before="120" w:after="120" w:line="276" w:lineRule="auto"/>
        <w:jc w:val="both"/>
      </w:pPr>
      <w:r w:rsidRPr="00C26B99">
        <w:t>Bangladesh, as one of major climate related disaster prone country, needs to maintain reserve stock of food basket</w:t>
      </w:r>
    </w:p>
    <w:p w:rsidR="00630139" w:rsidRPr="00C26B99" w:rsidRDefault="00630139" w:rsidP="00630139">
      <w:pPr>
        <w:jc w:val="both"/>
      </w:pPr>
      <w:r w:rsidRPr="00C26B99">
        <w:t xml:space="preserve">Bangladesh is particularly vulnerable to climate induced changes affecting food production and livelihoods, and will likely suffer more from climate change by 2025 than any other country. Significant climate related impacts include the following:  </w:t>
      </w:r>
    </w:p>
    <w:p w:rsidR="00000000" w:rsidRDefault="00F64A6A" w:rsidP="003D5A31">
      <w:pPr>
        <w:pStyle w:val="ListParagraph"/>
        <w:numPr>
          <w:ilvl w:val="0"/>
          <w:numId w:val="203"/>
        </w:numPr>
        <w:spacing w:after="40" w:line="276" w:lineRule="auto"/>
        <w:jc w:val="both"/>
        <w:rPr>
          <w:u w:val="single"/>
        </w:rPr>
      </w:pPr>
      <w:r w:rsidRPr="00F64A6A">
        <w:rPr>
          <w:u w:val="single"/>
        </w:rPr>
        <w:lastRenderedPageBreak/>
        <w:t xml:space="preserve">Loss of arable land due to rising sea level   </w:t>
      </w:r>
    </w:p>
    <w:p w:rsidR="00000000" w:rsidRDefault="00F64A6A" w:rsidP="003D5A31">
      <w:pPr>
        <w:pStyle w:val="ListParagraph"/>
        <w:numPr>
          <w:ilvl w:val="0"/>
          <w:numId w:val="203"/>
        </w:numPr>
        <w:spacing w:after="40" w:line="276" w:lineRule="auto"/>
        <w:jc w:val="both"/>
        <w:rPr>
          <w:u w:val="single"/>
        </w:rPr>
      </w:pPr>
      <w:r w:rsidRPr="00F64A6A">
        <w:rPr>
          <w:u w:val="single"/>
        </w:rPr>
        <w:t xml:space="preserve">More area subjected to extreme flooding  </w:t>
      </w:r>
    </w:p>
    <w:p w:rsidR="00000000" w:rsidRDefault="00F64A6A" w:rsidP="003D5A31">
      <w:pPr>
        <w:pStyle w:val="ListParagraph"/>
        <w:numPr>
          <w:ilvl w:val="0"/>
          <w:numId w:val="203"/>
        </w:numPr>
        <w:spacing w:after="40" w:line="276" w:lineRule="auto"/>
        <w:jc w:val="both"/>
        <w:rPr>
          <w:u w:val="single"/>
        </w:rPr>
      </w:pPr>
      <w:r w:rsidRPr="00F64A6A">
        <w:rPr>
          <w:u w:val="single"/>
        </w:rPr>
        <w:t xml:space="preserve">More frequent and more intense cyclones  </w:t>
      </w:r>
    </w:p>
    <w:p w:rsidR="00000000" w:rsidRDefault="00F64A6A" w:rsidP="003D5A31">
      <w:pPr>
        <w:pStyle w:val="ListParagraph"/>
        <w:numPr>
          <w:ilvl w:val="0"/>
          <w:numId w:val="203"/>
        </w:numPr>
        <w:spacing w:after="40" w:line="276" w:lineRule="auto"/>
        <w:jc w:val="both"/>
        <w:rPr>
          <w:u w:val="single"/>
        </w:rPr>
      </w:pPr>
      <w:r w:rsidRPr="00F64A6A">
        <w:rPr>
          <w:u w:val="single"/>
        </w:rPr>
        <w:t xml:space="preserve">Reduced soil capacity due to increasing coastal salinity  </w:t>
      </w:r>
    </w:p>
    <w:p w:rsidR="00000000" w:rsidRDefault="00F64A6A" w:rsidP="003D5A31">
      <w:pPr>
        <w:pStyle w:val="ListParagraph"/>
        <w:numPr>
          <w:ilvl w:val="0"/>
          <w:numId w:val="203"/>
        </w:numPr>
        <w:spacing w:after="40" w:line="276" w:lineRule="auto"/>
        <w:jc w:val="both"/>
        <w:rPr>
          <w:u w:val="single"/>
        </w:rPr>
      </w:pPr>
      <w:r w:rsidRPr="00F64A6A">
        <w:rPr>
          <w:u w:val="single"/>
        </w:rPr>
        <w:t xml:space="preserve">Reduced productivity due to warmer and drier non-monsoon seasons   </w:t>
      </w:r>
    </w:p>
    <w:p w:rsidR="00630139" w:rsidRPr="00FD5766" w:rsidRDefault="00630139" w:rsidP="00282AE2">
      <w:pPr>
        <w:spacing w:line="276" w:lineRule="auto"/>
        <w:jc w:val="both"/>
        <w:rPr>
          <w:u w:val="single"/>
        </w:rPr>
      </w:pPr>
      <w:r w:rsidRPr="00C26B99">
        <w:t xml:space="preserve">These impacts are more pronounced in 2050, 2075, 2100 and beyond. In a study, the nature and magnitude of these threats for the benchmark years of 2030 and 2050 has been examined. It has been shown that the overall impact of climate change on the production of food grains in Bangladesh would probably be small in 2030. This is due to the strong positive impact of CO2 fertilization that would compensate for the negative impacts of higher temperature and sea level rise. </w:t>
      </w:r>
      <w:r w:rsidR="00F64A6A" w:rsidRPr="00F64A6A">
        <w:rPr>
          <w:u w:val="single"/>
        </w:rPr>
        <w:t xml:space="preserve">In 2050, the negative impacts of climate change might become noticeable: production of rice and wheat might drop by 8% and 32%, respectively. </w:t>
      </w:r>
      <w:bookmarkStart w:id="620" w:name="_Toc445823279"/>
      <w:r w:rsidR="00F64A6A" w:rsidRPr="00F64A6A">
        <w:rPr>
          <w:u w:val="single"/>
        </w:rPr>
        <w:t xml:space="preserve">Moreover, sea level rise will inundate at least 30% of the coastal area. Crop production will be seriously affected. </w:t>
      </w:r>
    </w:p>
    <w:p w:rsidR="00630139" w:rsidRPr="00C26B99" w:rsidRDefault="00630139" w:rsidP="00282AE2">
      <w:pPr>
        <w:spacing w:line="276" w:lineRule="auto"/>
        <w:jc w:val="both"/>
      </w:pPr>
      <w:r w:rsidRPr="00C26B99">
        <w:t>Proposed measures are:</w:t>
      </w:r>
    </w:p>
    <w:p w:rsidR="00000000" w:rsidRDefault="00630139" w:rsidP="003D5A31">
      <w:pPr>
        <w:pStyle w:val="ListParagraph"/>
        <w:numPr>
          <w:ilvl w:val="0"/>
          <w:numId w:val="205"/>
        </w:numPr>
        <w:spacing w:after="40" w:line="276" w:lineRule="auto"/>
        <w:jc w:val="both"/>
      </w:pPr>
      <w:r w:rsidRPr="00C26B99">
        <w:t>Implement climate smart agriculture</w:t>
      </w:r>
    </w:p>
    <w:p w:rsidR="00000000" w:rsidRDefault="00630139" w:rsidP="003D5A31">
      <w:pPr>
        <w:pStyle w:val="ListParagraph"/>
        <w:numPr>
          <w:ilvl w:val="0"/>
          <w:numId w:val="205"/>
        </w:numPr>
        <w:spacing w:after="40" w:line="276" w:lineRule="auto"/>
        <w:jc w:val="both"/>
      </w:pPr>
      <w:r w:rsidRPr="00C26B99">
        <w:t>Expand cropped area with saline tolerant varieties for coastal area</w:t>
      </w:r>
    </w:p>
    <w:p w:rsidR="00000000" w:rsidRDefault="00630139" w:rsidP="003D5A31">
      <w:pPr>
        <w:pStyle w:val="ListParagraph"/>
        <w:numPr>
          <w:ilvl w:val="0"/>
          <w:numId w:val="205"/>
        </w:numPr>
        <w:spacing w:after="40" w:line="276" w:lineRule="auto"/>
        <w:jc w:val="both"/>
      </w:pPr>
      <w:r w:rsidRPr="00C26B99">
        <w:t>Investigate into enhancement of productivity of traditional floating agriculture</w:t>
      </w:r>
    </w:p>
    <w:p w:rsidR="00000000" w:rsidRDefault="00630139" w:rsidP="003D5A31">
      <w:pPr>
        <w:pStyle w:val="ListParagraph"/>
        <w:numPr>
          <w:ilvl w:val="0"/>
          <w:numId w:val="205"/>
        </w:numPr>
        <w:spacing w:after="40" w:line="276" w:lineRule="auto"/>
        <w:jc w:val="both"/>
      </w:pPr>
      <w:r w:rsidRPr="00C26B99">
        <w:t>Prevent SLR from affecting agricultural</w:t>
      </w:r>
      <w:r w:rsidR="00EA6125">
        <w:t xml:space="preserve"> </w:t>
      </w:r>
      <w:r w:rsidRPr="00C26B99">
        <w:t>land by constructing heightened sea dykes.</w:t>
      </w:r>
    </w:p>
    <w:p w:rsidR="00630139" w:rsidRPr="00630139" w:rsidRDefault="00630139" w:rsidP="00282AE2">
      <w:pPr>
        <w:pStyle w:val="ListParagraph"/>
        <w:spacing w:after="40" w:line="276" w:lineRule="auto"/>
        <w:jc w:val="both"/>
      </w:pPr>
    </w:p>
    <w:p w:rsidR="00630139" w:rsidRPr="00C26B99" w:rsidRDefault="003D2AF6" w:rsidP="00282AE2">
      <w:pPr>
        <w:spacing w:line="276" w:lineRule="auto"/>
        <w:jc w:val="both"/>
        <w:rPr>
          <w:b/>
          <w:i/>
        </w:rPr>
      </w:pPr>
      <w:r>
        <w:rPr>
          <w:b/>
          <w:i/>
        </w:rPr>
        <w:t xml:space="preserve">Improved Delta Management </w:t>
      </w:r>
      <w:r w:rsidR="00144771">
        <w:rPr>
          <w:b/>
          <w:i/>
        </w:rPr>
        <w:t>i</w:t>
      </w:r>
      <w:r>
        <w:rPr>
          <w:b/>
          <w:i/>
        </w:rPr>
        <w:t xml:space="preserve">ncluding </w:t>
      </w:r>
      <w:r w:rsidR="00144771">
        <w:rPr>
          <w:b/>
          <w:i/>
        </w:rPr>
        <w:t>c</w:t>
      </w:r>
      <w:r>
        <w:rPr>
          <w:b/>
          <w:i/>
        </w:rPr>
        <w:t xml:space="preserve">onjunctive </w:t>
      </w:r>
      <w:r w:rsidR="00144771">
        <w:rPr>
          <w:b/>
          <w:i/>
        </w:rPr>
        <w:t>u</w:t>
      </w:r>
      <w:r>
        <w:rPr>
          <w:b/>
          <w:i/>
        </w:rPr>
        <w:t xml:space="preserve">se of </w:t>
      </w:r>
      <w:r w:rsidR="00144771">
        <w:rPr>
          <w:b/>
          <w:i/>
        </w:rPr>
        <w:t>s</w:t>
      </w:r>
      <w:r>
        <w:rPr>
          <w:b/>
          <w:i/>
        </w:rPr>
        <w:t xml:space="preserve">urface and </w:t>
      </w:r>
      <w:r w:rsidR="00144771">
        <w:rPr>
          <w:b/>
          <w:i/>
        </w:rPr>
        <w:t>g</w:t>
      </w:r>
      <w:r>
        <w:rPr>
          <w:b/>
          <w:i/>
        </w:rPr>
        <w:t xml:space="preserve">round </w:t>
      </w:r>
      <w:r w:rsidR="00144771">
        <w:rPr>
          <w:b/>
          <w:i/>
        </w:rPr>
        <w:t>w</w:t>
      </w:r>
      <w:r w:rsidR="00630139" w:rsidRPr="00C26B99">
        <w:rPr>
          <w:b/>
          <w:i/>
        </w:rPr>
        <w:t xml:space="preserve">ater </w:t>
      </w:r>
      <w:bookmarkEnd w:id="620"/>
    </w:p>
    <w:p w:rsidR="00630139" w:rsidRPr="00C26B99" w:rsidRDefault="00630139" w:rsidP="00282AE2">
      <w:pPr>
        <w:spacing w:line="276" w:lineRule="auto"/>
        <w:jc w:val="both"/>
      </w:pPr>
      <w:r w:rsidRPr="00C26B99">
        <w:t xml:space="preserve">Bangladesh Delta Plan 2100, finalised by </w:t>
      </w:r>
      <w:r w:rsidR="00FD5766">
        <w:t>June 2017</w:t>
      </w:r>
      <w:r w:rsidRPr="00C26B99">
        <w:t xml:space="preserve">, is a long term plan to introduce the Adaptive Delta management in Bangladesh through a number of strategies including strategy for a) flood risk management and b) freshwater. Delta plan is, thus, water-centric, economic development plan. </w:t>
      </w:r>
    </w:p>
    <w:p w:rsidR="00630139" w:rsidRPr="00C26B99" w:rsidRDefault="00630139" w:rsidP="00282AE2">
      <w:pPr>
        <w:spacing w:line="276" w:lineRule="auto"/>
        <w:jc w:val="both"/>
      </w:pPr>
      <w:r w:rsidRPr="00C26B99">
        <w:t>Proposed measures are:</w:t>
      </w:r>
    </w:p>
    <w:p w:rsidR="00000000" w:rsidRDefault="00630139" w:rsidP="003D5A31">
      <w:pPr>
        <w:pStyle w:val="ListParagraph"/>
        <w:numPr>
          <w:ilvl w:val="0"/>
          <w:numId w:val="206"/>
        </w:numPr>
        <w:spacing w:after="40" w:line="276" w:lineRule="auto"/>
        <w:jc w:val="both"/>
      </w:pPr>
      <w:r w:rsidRPr="00C26B99">
        <w:t xml:space="preserve">Augmentation of surface water for irrigation through development of water reservoir, recharge ground water, reduced use of ground water. Key priority investment activities: </w:t>
      </w:r>
    </w:p>
    <w:p w:rsidR="00630139" w:rsidRPr="00C26B99" w:rsidRDefault="00630139" w:rsidP="00282AE2">
      <w:pPr>
        <w:tabs>
          <w:tab w:val="left" w:pos="1701"/>
        </w:tabs>
        <w:spacing w:line="276" w:lineRule="auto"/>
        <w:ind w:left="835" w:hanging="115"/>
        <w:jc w:val="both"/>
      </w:pPr>
      <w:r w:rsidRPr="00C26B99">
        <w:t xml:space="preserve">(i) the development of small scale surface irrigation in the southern part of the country requiring new infrastructure and capacity building possibly building on the projects implemented by the Ministry of Local Governments; </w:t>
      </w:r>
    </w:p>
    <w:p w:rsidR="00630139" w:rsidRPr="00C26B99" w:rsidRDefault="00630139" w:rsidP="00282AE2">
      <w:pPr>
        <w:tabs>
          <w:tab w:val="left" w:pos="1701"/>
        </w:tabs>
        <w:spacing w:line="276" w:lineRule="auto"/>
        <w:ind w:left="835" w:hanging="115"/>
        <w:jc w:val="both"/>
      </w:pPr>
      <w:r w:rsidRPr="00C26B99">
        <w:t xml:space="preserve">(ii) partially reduce reliance on deep well irrigation in the northern part of the country, reduce costs and mitigate the risk of depleting ground water; </w:t>
      </w:r>
    </w:p>
    <w:p w:rsidR="00630139" w:rsidRPr="00C26B99" w:rsidRDefault="00630139" w:rsidP="00282AE2">
      <w:pPr>
        <w:tabs>
          <w:tab w:val="left" w:pos="1701"/>
        </w:tabs>
        <w:spacing w:line="276" w:lineRule="auto"/>
        <w:ind w:left="835" w:hanging="115"/>
        <w:jc w:val="both"/>
      </w:pPr>
      <w:r w:rsidRPr="00C26B99">
        <w:lastRenderedPageBreak/>
        <w:t xml:space="preserve">(iii) rehabilitate dykes and embankments particularly affected by previous cyclones to protect vulnerable households and production base against sea intrusion in the extreme south, </w:t>
      </w:r>
    </w:p>
    <w:p w:rsidR="00630139" w:rsidRPr="00C26B99" w:rsidRDefault="00630139" w:rsidP="00282AE2">
      <w:pPr>
        <w:tabs>
          <w:tab w:val="left" w:pos="1701"/>
        </w:tabs>
        <w:spacing w:line="276" w:lineRule="auto"/>
        <w:ind w:left="835" w:hanging="115"/>
        <w:jc w:val="both"/>
      </w:pPr>
      <w:r w:rsidRPr="00C26B99">
        <w:t xml:space="preserve">(iv) improved drainage, saline intrusion control and flood management; and </w:t>
      </w:r>
    </w:p>
    <w:p w:rsidR="00630139" w:rsidRPr="00C26B99" w:rsidRDefault="00630139" w:rsidP="00282AE2">
      <w:pPr>
        <w:tabs>
          <w:tab w:val="left" w:pos="1701"/>
        </w:tabs>
        <w:spacing w:line="276" w:lineRule="auto"/>
        <w:ind w:left="835" w:hanging="115"/>
        <w:jc w:val="both"/>
      </w:pPr>
      <w:r w:rsidRPr="00C26B99">
        <w:t xml:space="preserve">(vi) increasing river water flow towards the south, in particular involving major river dredging effort. </w:t>
      </w:r>
    </w:p>
    <w:p w:rsidR="00000000" w:rsidRDefault="00630139" w:rsidP="003D5A31">
      <w:pPr>
        <w:pStyle w:val="ListParagraph"/>
        <w:numPr>
          <w:ilvl w:val="0"/>
          <w:numId w:val="206"/>
        </w:numPr>
        <w:spacing w:after="40" w:line="276" w:lineRule="auto"/>
        <w:jc w:val="both"/>
      </w:pPr>
      <w:r w:rsidRPr="00C26B99">
        <w:t xml:space="preserve">Use water saving technology for improving efficiency of water and install facilities to reduce distribution losses: Activities include: reduce water losses in existing schemes through improved water management (capacity building of water management cooperatives), development of water saving techniques such as drip irrigation, buried pipe irrigation, ‘fertigation’; or rehabilitation of existing schemes. </w:t>
      </w:r>
    </w:p>
    <w:p w:rsidR="00630139" w:rsidRPr="00C26B99" w:rsidRDefault="00630139" w:rsidP="00282AE2">
      <w:pPr>
        <w:pStyle w:val="ListParagraph"/>
        <w:spacing w:line="276" w:lineRule="auto"/>
        <w:jc w:val="both"/>
      </w:pPr>
      <w:r w:rsidRPr="00C26B99">
        <w:t xml:space="preserve"> </w:t>
      </w:r>
    </w:p>
    <w:p w:rsidR="00000000" w:rsidRDefault="00630139" w:rsidP="003D5A31">
      <w:pPr>
        <w:pStyle w:val="ListParagraph"/>
        <w:numPr>
          <w:ilvl w:val="0"/>
          <w:numId w:val="206"/>
        </w:numPr>
        <w:spacing w:after="40" w:line="276" w:lineRule="auto"/>
        <w:jc w:val="both"/>
      </w:pPr>
      <w:r w:rsidRPr="00C26B99">
        <w:t xml:space="preserve">Reduce impact of saline water intrusion in the South and enhance river water flow: The focused activities that emerged from the consultations are: rehabilitation of polders and their management; dredging of rivers; enhanced surface water irrigation; and improved brackish water resource management practices. </w:t>
      </w:r>
    </w:p>
    <w:p w:rsidR="00630139" w:rsidRPr="00C26B99" w:rsidRDefault="00630139" w:rsidP="00282AE2">
      <w:pPr>
        <w:pStyle w:val="NormalWeb"/>
        <w:shd w:val="clear" w:color="auto" w:fill="FFFFFF"/>
        <w:spacing w:before="0" w:beforeAutospacing="0" w:after="0" w:afterAutospacing="0" w:line="276" w:lineRule="auto"/>
        <w:rPr>
          <w:rFonts w:eastAsiaTheme="minorHAnsi"/>
          <w:b/>
          <w:sz w:val="19"/>
        </w:rPr>
      </w:pPr>
    </w:p>
    <w:p w:rsidR="00630139" w:rsidRPr="00C26B99" w:rsidRDefault="00630139" w:rsidP="00282AE2">
      <w:pPr>
        <w:pStyle w:val="NormalWeb"/>
        <w:shd w:val="clear" w:color="auto" w:fill="FFFFFF"/>
        <w:spacing w:before="0" w:beforeAutospacing="0" w:after="0" w:afterAutospacing="0" w:line="276" w:lineRule="auto"/>
        <w:rPr>
          <w:rFonts w:eastAsiaTheme="minorHAnsi"/>
          <w:b/>
          <w:i/>
        </w:rPr>
      </w:pPr>
      <w:r w:rsidRPr="00C26B99">
        <w:rPr>
          <w:rFonts w:eastAsiaTheme="minorHAnsi"/>
          <w:b/>
          <w:i/>
        </w:rPr>
        <w:t xml:space="preserve">Prevent encroachment of agricultural and forest lands from expanding urbanization. </w:t>
      </w:r>
    </w:p>
    <w:p w:rsidR="00630139" w:rsidRPr="00C26B99" w:rsidRDefault="00630139" w:rsidP="00282AE2">
      <w:pPr>
        <w:pStyle w:val="NormalWeb"/>
        <w:shd w:val="clear" w:color="auto" w:fill="FFFFFF"/>
        <w:spacing w:before="0" w:beforeAutospacing="0" w:after="0" w:afterAutospacing="0" w:line="276" w:lineRule="auto"/>
        <w:rPr>
          <w:rFonts w:eastAsiaTheme="minorHAnsi"/>
          <w:b/>
          <w:sz w:val="19"/>
        </w:rPr>
      </w:pPr>
    </w:p>
    <w:p w:rsidR="00630139" w:rsidRPr="00C26B99" w:rsidRDefault="00630139" w:rsidP="00282AE2">
      <w:pPr>
        <w:shd w:val="clear" w:color="auto" w:fill="FFFFFF"/>
        <w:spacing w:after="300" w:line="276" w:lineRule="auto"/>
        <w:jc w:val="both"/>
      </w:pPr>
      <w:r w:rsidRPr="00C26B99">
        <w:t xml:space="preserve">The UN (2004) projection for urban population of Bangladesh for 2030 was 86.5 million. No projection for urban population in 2050 was, however, given. The proportion urban would possibly cross the 50 percent mark by 2040 and the 60 percent mark by the year 2050 when the total urban population would rise above 100 million. All these population figures for the future seem nightmarish for a country of the size of Bangladesh. The urban population, at 42 million today, already poses a huge challenge, to think about double or triple of such size is very difficult. Indeed, the whole of Bangladesh is likely to transform itself into an urbanized country, </w:t>
      </w:r>
      <w:r w:rsidR="004222AD" w:rsidRPr="00C26B99">
        <w:t>only</w:t>
      </w:r>
      <w:r w:rsidRPr="00C26B99">
        <w:t xml:space="preserve"> half of present land will remain for agriculture. In order to sustain food security from existing agricultural land, there is no alternative to improved land management and land zoning.</w:t>
      </w:r>
    </w:p>
    <w:p w:rsidR="00630139" w:rsidRPr="00C26B99" w:rsidRDefault="00630139" w:rsidP="00282AE2">
      <w:pPr>
        <w:spacing w:line="276" w:lineRule="auto"/>
        <w:jc w:val="both"/>
      </w:pPr>
      <w:r w:rsidRPr="00C26B99">
        <w:t>Proposed measures are:</w:t>
      </w:r>
      <w:bookmarkStart w:id="621" w:name="_Toc445823280"/>
    </w:p>
    <w:p w:rsidR="00000000" w:rsidRDefault="00630139" w:rsidP="003D5A31">
      <w:pPr>
        <w:pStyle w:val="ListParagraph"/>
        <w:numPr>
          <w:ilvl w:val="0"/>
          <w:numId w:val="207"/>
        </w:numPr>
        <w:spacing w:after="40" w:line="276" w:lineRule="auto"/>
        <w:jc w:val="both"/>
      </w:pPr>
      <w:r w:rsidRPr="00C26B99">
        <w:t xml:space="preserve">Promote Compact Township to reduce substitution of agricultural land for non-agricultural purposes. </w:t>
      </w:r>
    </w:p>
    <w:p w:rsidR="00000000" w:rsidRDefault="00630139" w:rsidP="003D5A31">
      <w:pPr>
        <w:pStyle w:val="ListParagraph"/>
        <w:numPr>
          <w:ilvl w:val="0"/>
          <w:numId w:val="207"/>
        </w:numPr>
        <w:spacing w:after="40" w:line="276" w:lineRule="auto"/>
        <w:jc w:val="both"/>
      </w:pPr>
      <w:r w:rsidRPr="00C26B99">
        <w:t xml:space="preserve">Improvement of land information, land administration and management: Bangladesh has a very high population density. Scarce land and the rapid increase of population of the country are creating high pressure over land-man ratio. Land ownership record system is insufficient and incomplete in Bangladesh. As a result, it spills out jumbled and spontaneous land development throughout the country. Therefore, it is important to establish a compatible land administration and management system for establishing a </w:t>
      </w:r>
      <w:r w:rsidRPr="00C26B99">
        <w:lastRenderedPageBreak/>
        <w:t>systematic approach for planned land development. Land Information System (LIS) should be accountable and feasible systematic approach for developing an up-to-date land administration and management. The improved LIS shall be related to various quantitative and qualitative aspects of land resource. Holding different cartographic information, the improved LIS shall facilitate capturing, retrieval, and querying of information and provides tools to perform different analyses.</w:t>
      </w:r>
    </w:p>
    <w:p w:rsidR="00000000" w:rsidRDefault="00630139" w:rsidP="003D5A31">
      <w:pPr>
        <w:pStyle w:val="ListParagraph"/>
        <w:numPr>
          <w:ilvl w:val="0"/>
          <w:numId w:val="207"/>
        </w:numPr>
        <w:spacing w:after="40" w:line="276" w:lineRule="auto"/>
        <w:jc w:val="both"/>
      </w:pPr>
      <w:r w:rsidRPr="00C26B99">
        <w:t xml:space="preserve">Land Zoning. An initiative was on-going with the Ministry of Land. That effort should be continued with strong enforcement. It is already evident that agricultural land once lost to urban development cannot be recovered. </w:t>
      </w:r>
    </w:p>
    <w:p w:rsidR="00630139" w:rsidRPr="00C26B99" w:rsidRDefault="00630139" w:rsidP="00630139">
      <w:pPr>
        <w:pStyle w:val="ListParagraph"/>
        <w:spacing w:after="40" w:line="276" w:lineRule="auto"/>
        <w:jc w:val="both"/>
      </w:pPr>
    </w:p>
    <w:p w:rsidR="00630139" w:rsidRPr="00C26B99" w:rsidRDefault="00630139" w:rsidP="00630139">
      <w:pPr>
        <w:jc w:val="both"/>
        <w:rPr>
          <w:b/>
          <w:i/>
        </w:rPr>
      </w:pPr>
      <w:r w:rsidRPr="00C26B99">
        <w:rPr>
          <w:b/>
          <w:i/>
        </w:rPr>
        <w:t>Emphasis on enhancement of Blue Economy</w:t>
      </w:r>
    </w:p>
    <w:p w:rsidR="00630139" w:rsidRPr="00C26B99" w:rsidRDefault="00630139" w:rsidP="00630139">
      <w:pPr>
        <w:jc w:val="both"/>
      </w:pPr>
      <w:r w:rsidRPr="00C26B99">
        <w:t>The 7</w:t>
      </w:r>
      <w:r w:rsidRPr="00C26B99">
        <w:rPr>
          <w:vertAlign w:val="superscript"/>
        </w:rPr>
        <w:t>th</w:t>
      </w:r>
      <w:r w:rsidRPr="00C26B99">
        <w:t xml:space="preserve"> Five Year Plan (2016-2020) emphasizes on the prospect of ‘blue economy’ (GoB 2015) as: Blue economy concept has ushered in a new horizon for economic development. The norms of Blue economy lend significant contribution towards eradication of poverty, contributing to food and nutrition security, and generation of sustainable and inclusive livelihoods.</w:t>
      </w:r>
    </w:p>
    <w:p w:rsidR="00630139" w:rsidRPr="00690719" w:rsidRDefault="00630139" w:rsidP="00630139">
      <w:pPr>
        <w:pStyle w:val="NoSpacing"/>
        <w:spacing w:line="276" w:lineRule="auto"/>
        <w:jc w:val="both"/>
        <w:rPr>
          <w:rFonts w:ascii="Times New Roman" w:eastAsia="MS ??" w:hAnsi="Times New Roman"/>
          <w:sz w:val="24"/>
          <w:u w:val="single"/>
        </w:rPr>
      </w:pPr>
      <w:r w:rsidRPr="00C26B99">
        <w:rPr>
          <w:rFonts w:ascii="Times New Roman" w:eastAsia="MS ??" w:hAnsi="Times New Roman"/>
          <w:sz w:val="24"/>
        </w:rPr>
        <w:t xml:space="preserve">Marine fisheries is an important component of the blue economy. </w:t>
      </w:r>
      <w:r w:rsidR="00F64A6A" w:rsidRPr="00F64A6A">
        <w:rPr>
          <w:rFonts w:ascii="Times New Roman" w:eastAsia="MS ??" w:hAnsi="Times New Roman"/>
          <w:sz w:val="24"/>
          <w:u w:val="single"/>
        </w:rPr>
        <w:t>As mentioned before, share of marine fisheries in the fisheries sector has increased from 11% in FY73 to 17% in FY14.</w:t>
      </w:r>
      <w:r w:rsidRPr="00C26B99">
        <w:rPr>
          <w:rFonts w:ascii="Times New Roman" w:eastAsia="MS ??" w:hAnsi="Times New Roman"/>
          <w:sz w:val="24"/>
        </w:rPr>
        <w:t xml:space="preserve"> Potentials are immense. There are 475 species of fish found in our EEZ compared to 250 species on land. </w:t>
      </w:r>
      <w:r w:rsidR="00F64A6A" w:rsidRPr="00F64A6A">
        <w:rPr>
          <w:rFonts w:ascii="Times New Roman" w:eastAsia="MS ??" w:hAnsi="Times New Roman"/>
          <w:sz w:val="24"/>
          <w:u w:val="single"/>
        </w:rPr>
        <w:t>Fish provides the much needed protein needs of our people. Hilsa shad (Tenualosa ilisha) is the largest and single most valuable species with annual catch of 340,000 MT, and generates employment and income for 2.5 million people valued at $US 1.3 billion per year (B</w:t>
      </w:r>
      <w:r w:rsidR="00690719">
        <w:rPr>
          <w:rFonts w:ascii="Times New Roman" w:eastAsia="MS ??" w:hAnsi="Times New Roman"/>
          <w:sz w:val="24"/>
          <w:u w:val="single"/>
        </w:rPr>
        <w:t>o</w:t>
      </w:r>
      <w:r w:rsidR="00F64A6A" w:rsidRPr="00F64A6A">
        <w:rPr>
          <w:rFonts w:ascii="Times New Roman" w:eastAsia="MS ??" w:hAnsi="Times New Roman"/>
          <w:sz w:val="24"/>
          <w:u w:val="single"/>
        </w:rPr>
        <w:t xml:space="preserve">BLME 2012, Hossain et al. 2014). </w:t>
      </w:r>
    </w:p>
    <w:p w:rsidR="00630139" w:rsidRPr="00C26B99" w:rsidRDefault="00F64A6A" w:rsidP="00630139">
      <w:pPr>
        <w:pStyle w:val="NoSpacing"/>
        <w:spacing w:line="276" w:lineRule="auto"/>
        <w:jc w:val="both"/>
        <w:rPr>
          <w:rFonts w:ascii="Times New Roman" w:eastAsia="MS ??" w:hAnsi="Times New Roman"/>
          <w:sz w:val="24"/>
        </w:rPr>
      </w:pPr>
      <w:r w:rsidRPr="00F64A6A">
        <w:rPr>
          <w:rFonts w:ascii="Times New Roman" w:eastAsia="MS ??" w:hAnsi="Times New Roman"/>
          <w:sz w:val="24"/>
          <w:u w:val="single"/>
        </w:rPr>
        <w:t xml:space="preserve">Bangladesh lacks almost no capabilities of catching demersal fishes below 50 m depth of water. Long lines fisheries are totally absent in deep waters. </w:t>
      </w:r>
      <w:r w:rsidR="00630139" w:rsidRPr="00C26B99">
        <w:rPr>
          <w:rFonts w:ascii="Times New Roman" w:eastAsia="MS ??" w:hAnsi="Times New Roman"/>
          <w:sz w:val="24"/>
        </w:rPr>
        <w:t>Harvesting of Maximum Sustainable Yield (MSY) of marine fishes is seen as a major element to sustain food security. It is true that marine fishes are not popular in Bangladesh. A national programme needs to be taken to popularise marine fish as part of the normal diet. This will also contribute to nutrition security.</w:t>
      </w:r>
    </w:p>
    <w:p w:rsidR="00630139" w:rsidRDefault="00630139" w:rsidP="004B0A08">
      <w:pPr>
        <w:pStyle w:val="NoSpacing"/>
        <w:spacing w:line="276" w:lineRule="auto"/>
        <w:jc w:val="both"/>
      </w:pPr>
      <w:r>
        <w:rPr>
          <w:rFonts w:ascii="Times New Roman" w:eastAsia="MS ??" w:hAnsi="Times New Roman"/>
          <w:sz w:val="24"/>
        </w:rPr>
        <w:t>Proposed m</w:t>
      </w:r>
      <w:r w:rsidRPr="00C26B99">
        <w:rPr>
          <w:rFonts w:ascii="Times New Roman" w:eastAsia="MS ??" w:hAnsi="Times New Roman"/>
          <w:sz w:val="24"/>
        </w:rPr>
        <w:t>easure</w:t>
      </w:r>
      <w:r>
        <w:rPr>
          <w:rFonts w:ascii="Times New Roman" w:eastAsia="MS ??" w:hAnsi="Times New Roman"/>
          <w:sz w:val="24"/>
        </w:rPr>
        <w:t>s are:</w:t>
      </w:r>
    </w:p>
    <w:p w:rsidR="00630139" w:rsidRPr="004B0A08" w:rsidRDefault="00630139" w:rsidP="004B0A08">
      <w:pPr>
        <w:pStyle w:val="NoSpacing"/>
        <w:spacing w:line="276" w:lineRule="auto"/>
        <w:jc w:val="both"/>
        <w:rPr>
          <w:i/>
        </w:rPr>
      </w:pPr>
      <w:r w:rsidRPr="004B0A08">
        <w:rPr>
          <w:rFonts w:ascii="Times New Roman" w:eastAsia="MS ??" w:hAnsi="Times New Roman"/>
          <w:i/>
          <w:sz w:val="24"/>
        </w:rPr>
        <w:t>Marine fisheries</w:t>
      </w:r>
    </w:p>
    <w:p w:rsidR="00000000" w:rsidRDefault="00630139" w:rsidP="003D5A31">
      <w:pPr>
        <w:pStyle w:val="ListParagraph"/>
        <w:numPr>
          <w:ilvl w:val="0"/>
          <w:numId w:val="204"/>
        </w:numPr>
        <w:spacing w:after="40" w:line="276" w:lineRule="auto"/>
        <w:jc w:val="both"/>
      </w:pPr>
      <w:r w:rsidRPr="00C26B99">
        <w:t>Procurement of modern survey vessel (</w:t>
      </w:r>
      <w:r w:rsidR="00690719">
        <w:t>already procured, commissioned as MEEN SONDHANI</w:t>
      </w:r>
      <w:r w:rsidRPr="00C26B99">
        <w:t>)</w:t>
      </w:r>
    </w:p>
    <w:p w:rsidR="00000000" w:rsidRDefault="00630139" w:rsidP="003D5A31">
      <w:pPr>
        <w:pStyle w:val="ListParagraph"/>
        <w:numPr>
          <w:ilvl w:val="0"/>
          <w:numId w:val="204"/>
        </w:numPr>
        <w:spacing w:after="40" w:line="276" w:lineRule="auto"/>
        <w:jc w:val="both"/>
      </w:pPr>
      <w:r w:rsidRPr="00C26B99">
        <w:t>Capacity building in survey works (science and techniques)</w:t>
      </w:r>
    </w:p>
    <w:p w:rsidR="00000000" w:rsidRDefault="00630139" w:rsidP="003D5A31">
      <w:pPr>
        <w:pStyle w:val="ListParagraph"/>
        <w:numPr>
          <w:ilvl w:val="0"/>
          <w:numId w:val="204"/>
        </w:numPr>
        <w:spacing w:after="40" w:line="276" w:lineRule="auto"/>
        <w:jc w:val="both"/>
      </w:pPr>
      <w:r w:rsidRPr="00C26B99">
        <w:t>Regional collaboration (BoBLME, FAO, India)</w:t>
      </w:r>
    </w:p>
    <w:p w:rsidR="00000000" w:rsidRDefault="00630139" w:rsidP="003D5A31">
      <w:pPr>
        <w:pStyle w:val="ListParagraph"/>
        <w:numPr>
          <w:ilvl w:val="0"/>
          <w:numId w:val="204"/>
        </w:numPr>
        <w:spacing w:after="40" w:line="276" w:lineRule="auto"/>
        <w:jc w:val="both"/>
      </w:pPr>
      <w:r w:rsidRPr="00C26B99">
        <w:t>Stock and maximum sustainable yield/total allowable catch (quota) must be determined by thorough assessments on a regular basis.</w:t>
      </w:r>
    </w:p>
    <w:p w:rsidR="00000000" w:rsidRDefault="00630139" w:rsidP="003D5A31">
      <w:pPr>
        <w:pStyle w:val="ListParagraph"/>
        <w:numPr>
          <w:ilvl w:val="0"/>
          <w:numId w:val="204"/>
        </w:numPr>
        <w:spacing w:after="40" w:line="276" w:lineRule="auto"/>
        <w:jc w:val="both"/>
      </w:pPr>
      <w:r w:rsidRPr="00C26B99">
        <w:lastRenderedPageBreak/>
        <w:t>Digital Marine Fisheries Resource Mapping for the marine waters using digital cartography of the marine fisheries resources Digital Marine Fisheries Resource Mapping (DMFRM) is an essential tool for efficient and sustainable harvesting of the marine resources. However, in all SAARC countries this is either absent or not in a state of art position. If a common DMFRM can be developed for the SAARC countries, that will be very useful all the countries and at the same time will save the required investment in this respect.</w:t>
      </w:r>
    </w:p>
    <w:p w:rsidR="00630139" w:rsidRPr="004B0A08" w:rsidRDefault="00630139" w:rsidP="00630139">
      <w:pPr>
        <w:jc w:val="both"/>
        <w:rPr>
          <w:i/>
        </w:rPr>
      </w:pPr>
      <w:r w:rsidRPr="004B0A08">
        <w:rPr>
          <w:i/>
        </w:rPr>
        <w:t xml:space="preserve">Shallow and deep sea fisheries </w:t>
      </w:r>
    </w:p>
    <w:p w:rsidR="00000000" w:rsidRDefault="00630139" w:rsidP="003D5A31">
      <w:pPr>
        <w:pStyle w:val="ListParagraph"/>
        <w:numPr>
          <w:ilvl w:val="0"/>
          <w:numId w:val="204"/>
        </w:numPr>
        <w:spacing w:after="40" w:line="276" w:lineRule="auto"/>
        <w:jc w:val="both"/>
      </w:pPr>
      <w:r w:rsidRPr="00C26B99">
        <w:t>Issue licenses for long line fisheries (four issued)</w:t>
      </w:r>
    </w:p>
    <w:p w:rsidR="00000000" w:rsidRDefault="00630139" w:rsidP="003D5A31">
      <w:pPr>
        <w:pStyle w:val="ListParagraph"/>
        <w:numPr>
          <w:ilvl w:val="0"/>
          <w:numId w:val="204"/>
        </w:numPr>
        <w:spacing w:after="40" w:line="276" w:lineRule="auto"/>
        <w:jc w:val="both"/>
      </w:pPr>
      <w:r w:rsidRPr="00C26B99">
        <w:t>Financial credit line to private sector, tax incentives</w:t>
      </w:r>
    </w:p>
    <w:p w:rsidR="00000000" w:rsidRDefault="00630139" w:rsidP="003D5A31">
      <w:pPr>
        <w:pStyle w:val="ListParagraph"/>
        <w:numPr>
          <w:ilvl w:val="0"/>
          <w:numId w:val="204"/>
        </w:numPr>
        <w:spacing w:after="40" w:line="276" w:lineRule="auto"/>
        <w:jc w:val="both"/>
      </w:pPr>
      <w:r w:rsidRPr="00C26B99">
        <w:t>Introduction of Vessal Tracking and Monitoring System (VTMS)</w:t>
      </w:r>
    </w:p>
    <w:p w:rsidR="00000000" w:rsidRDefault="00630139" w:rsidP="003D5A31">
      <w:pPr>
        <w:pStyle w:val="ListParagraph"/>
        <w:numPr>
          <w:ilvl w:val="0"/>
          <w:numId w:val="204"/>
        </w:numPr>
        <w:spacing w:after="40" w:line="276" w:lineRule="auto"/>
        <w:jc w:val="both"/>
      </w:pPr>
      <w:r w:rsidRPr="00C26B99">
        <w:t>Capacity building in deep sea fisheries</w:t>
      </w:r>
    </w:p>
    <w:p w:rsidR="00000000" w:rsidRDefault="00F64A6A" w:rsidP="003D5A31">
      <w:pPr>
        <w:pStyle w:val="ListParagraph"/>
        <w:numPr>
          <w:ilvl w:val="0"/>
          <w:numId w:val="204"/>
        </w:numPr>
        <w:spacing w:after="40" w:line="276" w:lineRule="auto"/>
        <w:jc w:val="both"/>
        <w:rPr>
          <w:u w:val="single"/>
        </w:rPr>
      </w:pPr>
      <w:r w:rsidRPr="00F64A6A">
        <w:rPr>
          <w:u w:val="single"/>
        </w:rPr>
        <w:t>Seek FDIs in building deep sea fisheries fleet</w:t>
      </w:r>
    </w:p>
    <w:p w:rsidR="00000000" w:rsidRDefault="00630139" w:rsidP="003D5A31">
      <w:pPr>
        <w:pStyle w:val="ListParagraph"/>
        <w:numPr>
          <w:ilvl w:val="0"/>
          <w:numId w:val="204"/>
        </w:numPr>
        <w:spacing w:after="40" w:line="276" w:lineRule="auto"/>
        <w:jc w:val="both"/>
      </w:pPr>
      <w:r w:rsidRPr="00C26B99">
        <w:t>Simultaneous development of fish landing, processing facilities</w:t>
      </w:r>
    </w:p>
    <w:p w:rsidR="00630139" w:rsidRPr="004B0A08" w:rsidRDefault="00630139" w:rsidP="00630139">
      <w:pPr>
        <w:jc w:val="both"/>
        <w:rPr>
          <w:i/>
        </w:rPr>
      </w:pPr>
      <w:r w:rsidRPr="004B0A08">
        <w:rPr>
          <w:i/>
        </w:rPr>
        <w:t xml:space="preserve">Fisheries in international waters </w:t>
      </w:r>
    </w:p>
    <w:p w:rsidR="00000000" w:rsidRDefault="00F64A6A" w:rsidP="003D5A31">
      <w:pPr>
        <w:pStyle w:val="ListParagraph"/>
        <w:numPr>
          <w:ilvl w:val="0"/>
          <w:numId w:val="204"/>
        </w:numPr>
        <w:spacing w:after="40" w:line="276" w:lineRule="auto"/>
        <w:jc w:val="both"/>
        <w:rPr>
          <w:u w:val="single"/>
        </w:rPr>
      </w:pPr>
      <w:r w:rsidRPr="00F64A6A">
        <w:rPr>
          <w:u w:val="single"/>
        </w:rPr>
        <w:t>Joint collaboration with regional and international countries</w:t>
      </w:r>
    </w:p>
    <w:p w:rsidR="00000000" w:rsidRDefault="00F64A6A" w:rsidP="003D5A31">
      <w:pPr>
        <w:pStyle w:val="ListParagraph"/>
        <w:numPr>
          <w:ilvl w:val="0"/>
          <w:numId w:val="204"/>
        </w:numPr>
        <w:spacing w:after="40" w:line="276" w:lineRule="auto"/>
        <w:jc w:val="both"/>
        <w:rPr>
          <w:u w:val="single"/>
        </w:rPr>
      </w:pPr>
      <w:r w:rsidRPr="00F64A6A">
        <w:rPr>
          <w:u w:val="single"/>
        </w:rPr>
        <w:t>Creation of 100% export oriented market mechanism</w:t>
      </w:r>
    </w:p>
    <w:p w:rsidR="00630139" w:rsidRPr="004B0A08" w:rsidRDefault="00630139" w:rsidP="00630139">
      <w:pPr>
        <w:jc w:val="both"/>
        <w:rPr>
          <w:i/>
        </w:rPr>
      </w:pPr>
      <w:r w:rsidRPr="004B0A08">
        <w:rPr>
          <w:i/>
        </w:rPr>
        <w:t xml:space="preserve">Coastal aquaculture and mariculture </w:t>
      </w:r>
    </w:p>
    <w:p w:rsidR="00000000" w:rsidRDefault="00630139" w:rsidP="003D5A31">
      <w:pPr>
        <w:pStyle w:val="ListParagraph"/>
        <w:numPr>
          <w:ilvl w:val="0"/>
          <w:numId w:val="204"/>
        </w:numPr>
        <w:spacing w:after="40" w:line="276" w:lineRule="auto"/>
        <w:jc w:val="both"/>
      </w:pPr>
      <w:r w:rsidRPr="00C26B99">
        <w:t>Local capacity building</w:t>
      </w:r>
    </w:p>
    <w:p w:rsidR="00000000" w:rsidRDefault="00630139" w:rsidP="003D5A31">
      <w:pPr>
        <w:pStyle w:val="ListParagraph"/>
        <w:numPr>
          <w:ilvl w:val="0"/>
          <w:numId w:val="204"/>
        </w:numPr>
        <w:spacing w:after="40" w:line="276" w:lineRule="auto"/>
        <w:jc w:val="both"/>
      </w:pPr>
      <w:r w:rsidRPr="00C26B99">
        <w:t>Small scale investment support</w:t>
      </w:r>
    </w:p>
    <w:p w:rsidR="00630139" w:rsidRPr="004B0A08" w:rsidRDefault="00630139" w:rsidP="00630139">
      <w:pPr>
        <w:jc w:val="both"/>
        <w:rPr>
          <w:i/>
        </w:rPr>
      </w:pPr>
      <w:r w:rsidRPr="004B0A08">
        <w:rPr>
          <w:i/>
        </w:rPr>
        <w:t>Maintaining biodiversity to ensure long term fish availability</w:t>
      </w:r>
    </w:p>
    <w:p w:rsidR="00000000" w:rsidRDefault="00630139" w:rsidP="003D5A31">
      <w:pPr>
        <w:pStyle w:val="ListParagraph"/>
        <w:numPr>
          <w:ilvl w:val="0"/>
          <w:numId w:val="204"/>
        </w:numPr>
        <w:spacing w:after="160"/>
        <w:jc w:val="both"/>
      </w:pPr>
      <w:r w:rsidRPr="00C26B99">
        <w:t>Protecting and managing the fisheries for the present and the future generations</w:t>
      </w:r>
    </w:p>
    <w:p w:rsidR="00000000" w:rsidRDefault="00630139" w:rsidP="003D5A31">
      <w:pPr>
        <w:pStyle w:val="ListParagraph"/>
        <w:numPr>
          <w:ilvl w:val="0"/>
          <w:numId w:val="204"/>
        </w:numPr>
        <w:spacing w:after="40" w:line="276" w:lineRule="auto"/>
        <w:jc w:val="both"/>
      </w:pPr>
      <w:r w:rsidRPr="00C26B99">
        <w:t>Establish MPAs (marine protected areas)</w:t>
      </w:r>
      <w:r w:rsidR="00690719">
        <w:t xml:space="preserve"> as breeding grounds</w:t>
      </w:r>
    </w:p>
    <w:p w:rsidR="00000000" w:rsidRDefault="00630139" w:rsidP="003D5A31">
      <w:pPr>
        <w:pStyle w:val="ListParagraph"/>
        <w:numPr>
          <w:ilvl w:val="0"/>
          <w:numId w:val="204"/>
        </w:numPr>
        <w:spacing w:after="40" w:line="276" w:lineRule="auto"/>
        <w:jc w:val="both"/>
      </w:pPr>
      <w:r w:rsidRPr="00C26B99">
        <w:t>Enforce ban on fisheries during breeding season</w:t>
      </w:r>
    </w:p>
    <w:p w:rsidR="00000000" w:rsidRDefault="00630139" w:rsidP="003D5A31">
      <w:pPr>
        <w:pStyle w:val="ListParagraph"/>
        <w:numPr>
          <w:ilvl w:val="0"/>
          <w:numId w:val="204"/>
        </w:numPr>
        <w:spacing w:after="40" w:line="276" w:lineRule="auto"/>
        <w:jc w:val="both"/>
      </w:pPr>
      <w:r w:rsidRPr="00C26B99">
        <w:t>Continue research and study</w:t>
      </w:r>
    </w:p>
    <w:p w:rsidR="00144771" w:rsidRPr="00144771" w:rsidRDefault="00144771" w:rsidP="00144771">
      <w:pPr>
        <w:pStyle w:val="ListParagraph"/>
        <w:spacing w:after="40" w:line="276" w:lineRule="auto"/>
        <w:jc w:val="both"/>
      </w:pPr>
    </w:p>
    <w:p w:rsidR="00630139" w:rsidRPr="00C26B99" w:rsidRDefault="00630139" w:rsidP="00630139">
      <w:pPr>
        <w:jc w:val="both"/>
        <w:rPr>
          <w:b/>
          <w:i/>
        </w:rPr>
      </w:pPr>
      <w:r w:rsidRPr="00C26B99">
        <w:rPr>
          <w:b/>
          <w:i/>
        </w:rPr>
        <w:t xml:space="preserve">Promote food diversification catering to the needs of affluence of developed economy </w:t>
      </w:r>
    </w:p>
    <w:bookmarkEnd w:id="621"/>
    <w:p w:rsidR="00630139" w:rsidRPr="00690719" w:rsidRDefault="00F64A6A" w:rsidP="00282AE2">
      <w:pPr>
        <w:spacing w:line="276" w:lineRule="auto"/>
        <w:jc w:val="both"/>
        <w:rPr>
          <w:u w:val="single"/>
        </w:rPr>
      </w:pPr>
      <w:r w:rsidRPr="00F64A6A">
        <w:rPr>
          <w:u w:val="single"/>
        </w:rPr>
        <w:t>Bangladesh’s consumer class is swelling and dispersing. Although only some 7 percent of the country’s current population can be classified as middle income or affluent, compared with 38 percent in Indonesia, this will account for around 17 percent of the population by 2025. Although the number of middle-class and affluent consumers (MAC) in Bangladesh remains small compared with those of other big emerging markets in Asia, Bangladesh is one of the fastest-growing markets worldwide.  It is projected that, each year for the next decade, the annual income of around 2 million additional Bangladeshis will reach USD 5,000 or more. </w:t>
      </w:r>
    </w:p>
    <w:p w:rsidR="00630139" w:rsidRPr="00C26B99" w:rsidRDefault="00630139" w:rsidP="00282AE2">
      <w:pPr>
        <w:spacing w:line="276" w:lineRule="auto"/>
        <w:jc w:val="both"/>
      </w:pPr>
      <w:r w:rsidRPr="00C26B99">
        <w:lastRenderedPageBreak/>
        <w:t>Affluent families tend to eat more meat and fish, less rice and cereal, more dairy products. Changed consumption basket shall have implication on national food security situation.</w:t>
      </w:r>
    </w:p>
    <w:p w:rsidR="00630139" w:rsidRPr="00690719" w:rsidRDefault="00630139" w:rsidP="00282AE2">
      <w:pPr>
        <w:spacing w:line="276" w:lineRule="auto"/>
        <w:jc w:val="both"/>
        <w:rPr>
          <w:u w:val="single"/>
        </w:rPr>
      </w:pPr>
      <w:r w:rsidRPr="00C26B99">
        <w:t xml:space="preserve">Bangladesh, being a developing nation, still sees rampant ‘childhood under-nutrition’, especially amongst lower income classes. However, over the past few decades, there has also been a steep rise in childhood obesity and overweight complications, leading to a serious double burden of malnutrition. Childhood obesity is prevalent disproportionately among urban affluent families in Bangladesh; with higher incomes leading to greater purchasing power enabling children of these families to indulge in junk and calorie dense foods and live relaxed lifestyles, making them highly vulnerable to obesity and its associated risks and dangers. The ever dwindling playgrounds in urban areas, further exacerbates the problem. A survey conducted by the Centre for Control of Chronic Diseases of the ICDDR,B with support </w:t>
      </w:r>
      <w:r w:rsidR="00F64A6A" w:rsidRPr="00F64A6A">
        <w:rPr>
          <w:u w:val="single"/>
        </w:rPr>
        <w:t>from the National Nutrition Services of Institute of Public-Health Nutrition says ten out of every 100 children, aged 5-18 living in Bangladesh’s urban areas are overweight, while 4% are obese (Abedin S 2015, The Independent).</w:t>
      </w:r>
    </w:p>
    <w:p w:rsidR="00630139" w:rsidRPr="00C26B99" w:rsidRDefault="00630139" w:rsidP="00282AE2">
      <w:pPr>
        <w:spacing w:line="276" w:lineRule="auto"/>
        <w:jc w:val="both"/>
      </w:pPr>
      <w:r w:rsidRPr="00C26B99">
        <w:t>While reduction of poverty still remains the main focus of attention needs to be gradually given to cater needs of the growing MACs.</w:t>
      </w:r>
    </w:p>
    <w:p w:rsidR="00630139" w:rsidRPr="00C26B99" w:rsidRDefault="00630139" w:rsidP="00282AE2">
      <w:pPr>
        <w:pStyle w:val="NoSpacing"/>
        <w:spacing w:line="276" w:lineRule="auto"/>
        <w:jc w:val="both"/>
        <w:rPr>
          <w:rFonts w:ascii="Times New Roman" w:hAnsi="Times New Roman" w:cs="Times New Roman"/>
          <w:sz w:val="24"/>
          <w:szCs w:val="24"/>
          <w:lang w:val="en-GB"/>
        </w:rPr>
      </w:pPr>
      <w:r>
        <w:rPr>
          <w:rFonts w:ascii="Times New Roman" w:hAnsi="Times New Roman" w:cs="Times New Roman"/>
          <w:sz w:val="24"/>
          <w:szCs w:val="24"/>
          <w:lang w:val="en-GB"/>
        </w:rPr>
        <w:t>Proposed m</w:t>
      </w:r>
      <w:r w:rsidRPr="00C26B99">
        <w:rPr>
          <w:rFonts w:ascii="Times New Roman" w:hAnsi="Times New Roman" w:cs="Times New Roman"/>
          <w:sz w:val="24"/>
          <w:szCs w:val="24"/>
          <w:lang w:val="en-GB"/>
        </w:rPr>
        <w:t>easure</w:t>
      </w:r>
      <w:r>
        <w:rPr>
          <w:rFonts w:ascii="Times New Roman" w:hAnsi="Times New Roman" w:cs="Times New Roman"/>
          <w:sz w:val="24"/>
          <w:szCs w:val="24"/>
          <w:lang w:val="en-GB"/>
        </w:rPr>
        <w:t>s</w:t>
      </w:r>
      <w:r w:rsidRPr="00C26B99">
        <w:rPr>
          <w:rFonts w:ascii="Times New Roman" w:hAnsi="Times New Roman" w:cs="Times New Roman"/>
          <w:sz w:val="24"/>
          <w:szCs w:val="24"/>
          <w:lang w:val="en-GB"/>
        </w:rPr>
        <w:t xml:space="preserve"> are:</w:t>
      </w:r>
    </w:p>
    <w:p w:rsidR="00000000" w:rsidRDefault="00630139" w:rsidP="003D5A31">
      <w:pPr>
        <w:pStyle w:val="ListParagraph"/>
        <w:numPr>
          <w:ilvl w:val="0"/>
          <w:numId w:val="208"/>
        </w:numPr>
        <w:spacing w:after="40" w:line="276" w:lineRule="auto"/>
        <w:jc w:val="both"/>
        <w:rPr>
          <w:rFonts w:cs="Times New Roman"/>
          <w:szCs w:val="24"/>
        </w:rPr>
      </w:pPr>
      <w:r w:rsidRPr="00C26B99">
        <w:rPr>
          <w:rFonts w:cs="Times New Roman"/>
          <w:szCs w:val="24"/>
        </w:rPr>
        <w:t>Emphasis on meat and milk production.</w:t>
      </w:r>
    </w:p>
    <w:p w:rsidR="00000000" w:rsidRDefault="00630139" w:rsidP="003D5A31">
      <w:pPr>
        <w:pStyle w:val="ListParagraph"/>
        <w:numPr>
          <w:ilvl w:val="0"/>
          <w:numId w:val="208"/>
        </w:numPr>
        <w:spacing w:after="40" w:line="276" w:lineRule="auto"/>
        <w:jc w:val="both"/>
        <w:rPr>
          <w:rFonts w:cs="Times New Roman"/>
          <w:szCs w:val="24"/>
        </w:rPr>
      </w:pPr>
      <w:r w:rsidRPr="00C26B99">
        <w:rPr>
          <w:rFonts w:cs="Times New Roman"/>
          <w:szCs w:val="24"/>
        </w:rPr>
        <w:t>Emphasis on improved marine fisheries and especially deep sea fisheries</w:t>
      </w:r>
    </w:p>
    <w:p w:rsidR="00000000" w:rsidRDefault="00630139" w:rsidP="003D5A31">
      <w:pPr>
        <w:pStyle w:val="ListParagraph"/>
        <w:numPr>
          <w:ilvl w:val="0"/>
          <w:numId w:val="208"/>
        </w:numPr>
        <w:spacing w:after="40" w:line="276" w:lineRule="auto"/>
        <w:jc w:val="both"/>
        <w:rPr>
          <w:rFonts w:cs="Times New Roman"/>
          <w:szCs w:val="24"/>
        </w:rPr>
      </w:pPr>
      <w:r w:rsidRPr="00C26B99">
        <w:rPr>
          <w:rFonts w:cs="Times New Roman"/>
          <w:szCs w:val="24"/>
        </w:rPr>
        <w:t>Promotion of marine fish products among MACs through expos</w:t>
      </w:r>
    </w:p>
    <w:p w:rsidR="00000000" w:rsidRDefault="00630139" w:rsidP="003D5A31">
      <w:pPr>
        <w:pStyle w:val="ListParagraph"/>
        <w:numPr>
          <w:ilvl w:val="0"/>
          <w:numId w:val="208"/>
        </w:numPr>
        <w:spacing w:after="40" w:line="276" w:lineRule="auto"/>
        <w:jc w:val="both"/>
        <w:rPr>
          <w:rFonts w:cs="Times New Roman"/>
          <w:szCs w:val="24"/>
        </w:rPr>
      </w:pPr>
      <w:r w:rsidRPr="00C26B99">
        <w:rPr>
          <w:rFonts w:cs="Times New Roman"/>
          <w:szCs w:val="24"/>
        </w:rPr>
        <w:t xml:space="preserve">Promotion of existing ‘Balanced Diet Guidelines. </w:t>
      </w:r>
    </w:p>
    <w:p w:rsidR="00144771" w:rsidRPr="00C26B99" w:rsidRDefault="00144771" w:rsidP="00282AE2">
      <w:pPr>
        <w:pStyle w:val="ListParagraph"/>
        <w:spacing w:after="40" w:line="276" w:lineRule="auto"/>
        <w:jc w:val="both"/>
        <w:rPr>
          <w:rFonts w:cs="Times New Roman"/>
          <w:szCs w:val="24"/>
        </w:rPr>
      </w:pPr>
    </w:p>
    <w:p w:rsidR="00630139" w:rsidRPr="00C26B99" w:rsidRDefault="00630139" w:rsidP="00282AE2">
      <w:pPr>
        <w:spacing w:line="276" w:lineRule="auto"/>
        <w:jc w:val="both"/>
        <w:rPr>
          <w:b/>
          <w:i/>
        </w:rPr>
      </w:pPr>
      <w:r w:rsidRPr="00C26B99">
        <w:rPr>
          <w:b/>
          <w:i/>
        </w:rPr>
        <w:t>Support to research and innovations</w:t>
      </w:r>
    </w:p>
    <w:p w:rsidR="00630139" w:rsidRPr="00690719" w:rsidRDefault="00F64A6A" w:rsidP="00282AE2">
      <w:pPr>
        <w:spacing w:line="276" w:lineRule="auto"/>
        <w:jc w:val="both"/>
        <w:rPr>
          <w:u w:val="single"/>
        </w:rPr>
      </w:pPr>
      <w:bookmarkStart w:id="622" w:name="_Toc445823274"/>
      <w:r w:rsidRPr="00F64A6A">
        <w:rPr>
          <w:u w:val="single"/>
        </w:rPr>
        <w:t xml:space="preserve">To sustain food security, to meet challenges of growing population and reduced agricultural land, on-going mechanization, commercialization of agriculture will not be adequate. Our emphasis should be more on tomorrow’s technology. The Bangladesh Agricultural Research Council and its network of research institutes should aim for tomorrow’s technology. Many countries are adopting these.  We describe some innovations in brief: </w:t>
      </w:r>
    </w:p>
    <w:p w:rsidR="00630139" w:rsidRPr="00C26B99" w:rsidRDefault="00F64A6A" w:rsidP="00282AE2">
      <w:pPr>
        <w:spacing w:line="276" w:lineRule="auto"/>
        <w:jc w:val="both"/>
      </w:pPr>
      <w:r w:rsidRPr="00F64A6A">
        <w:rPr>
          <w:rStyle w:val="IntenseEmphasis"/>
          <w:color w:val="auto"/>
          <w:u w:val="single"/>
        </w:rPr>
        <w:t>Vertical and/or floating farms</w:t>
      </w:r>
      <w:bookmarkEnd w:id="622"/>
      <w:r w:rsidRPr="00F64A6A">
        <w:rPr>
          <w:rStyle w:val="IntenseEmphasis"/>
          <w:color w:val="auto"/>
          <w:u w:val="single"/>
        </w:rPr>
        <w:t>:</w:t>
      </w:r>
      <w:r w:rsidRPr="00F64A6A">
        <w:rPr>
          <w:u w:val="single"/>
        </w:rPr>
        <w:t xml:space="preserve"> With a total population fast approaching 8 billion, world food demand has continued to climb. At the same time, however, the increasingly dire effects of climate change, as well as other environmental factors, are now having a serious impact.</w:t>
      </w:r>
      <w:r w:rsidR="00630139" w:rsidRPr="00C26B99">
        <w:t xml:space="preserve"> Amid the deepening sense of urgency and panic, a number of potential solutions have emerged. One such innovation has been the appearance of vertical farms. These condense the enormous resources and land area required for traditional farming into a single vertical structure, with crops being stacked on top of each other like the floors of a building. Singapore opened the world's </w:t>
      </w:r>
      <w:r w:rsidR="00630139" w:rsidRPr="00C26B99">
        <w:lastRenderedPageBreak/>
        <w:t>first commercial vertical farm in 2012. By the mid-2020s, they have become widespread, with most major urban areas using them in one form or another.</w:t>
      </w:r>
      <w:r w:rsidR="00630139" w:rsidRPr="00C26B99">
        <w:rPr>
          <w:noProof/>
          <w:lang w:val="en-AU" w:eastAsia="en-AU"/>
        </w:rPr>
        <w:t xml:space="preserve"> </w:t>
      </w:r>
    </w:p>
    <w:p w:rsidR="00630139" w:rsidRPr="00C26B99" w:rsidRDefault="00630139" w:rsidP="00282AE2">
      <w:pPr>
        <w:spacing w:line="276" w:lineRule="auto"/>
        <w:jc w:val="both"/>
      </w:pPr>
      <w:r w:rsidRPr="00C26B99">
        <w:t>Vertical farms offer a number of advantages. An urban site of just 1.32 hectares, for example, can produce the same food quantity as 420 hectares (1,052 acres) of conventional farming, feeding tens of thousands of people. Roughly 150 of these buildings, each 30 stories tall, could potentially give the entire population of New York City a sustainable supply of food. Genetically modified crops have increased in use recently and these are particularly well-suited to the enclosed, tightly-controlled environments within a vertical farm. Another benefit is that food can then be sold in the same place as it is grown. Farming locally in urban centres greatly reduces the energy costs associated with transporting and storing food, while giving city dwellers access to fresher and more organic produce.</w:t>
      </w:r>
    </w:p>
    <w:p w:rsidR="00630139" w:rsidRPr="00C26B99" w:rsidRDefault="00630139" w:rsidP="00282AE2">
      <w:pPr>
        <w:spacing w:line="276" w:lineRule="auto"/>
      </w:pPr>
      <w:r w:rsidRPr="00C26B99">
        <w:t>Another major advantage of vertical farming is its sustainability. Most structures are primarily powered on site, using a combination of solar panels and wind turbines. Glass panels coated in titanium oxide cover the buildings, protecting the plants inside from any outside pollution or contaminants. These are also designed in accordance with the floor plan to maximise natural light. Any other necessary light can be provided artificially. The crops themselves are usually grown through hydroponics and aeroponics, substantially reducing the amount of space, soil, water and fertiliser required. Vertical and/or floating farms can be piloted near Gazipur or in Meghna River.</w:t>
      </w:r>
    </w:p>
    <w:p w:rsidR="00630139" w:rsidRPr="00690719" w:rsidRDefault="00F64A6A" w:rsidP="00282AE2">
      <w:pPr>
        <w:spacing w:line="276" w:lineRule="auto"/>
        <w:jc w:val="both"/>
        <w:rPr>
          <w:u w:val="single"/>
        </w:rPr>
      </w:pPr>
      <w:r w:rsidRPr="00F64A6A">
        <w:rPr>
          <w:rStyle w:val="IntenseEmphasis"/>
          <w:color w:val="auto"/>
          <w:u w:val="single"/>
        </w:rPr>
        <w:t>Specialised LED lighting to optimise photosynthesis:</w:t>
      </w:r>
      <w:r w:rsidRPr="00F64A6A">
        <w:rPr>
          <w:u w:val="single"/>
        </w:rPr>
        <w:t xml:space="preserve"> Sharp is growing strawberries in Dubai, while Sony, Toshiba and Fujitsu are all utilising former clean-room facilities at semiconductor plants across Japan for lettuce. This no-wash, no-soil greens are cultivated by means of hydroponics and grown at more than twice the speed of normal field production using specialised LED lighting to optimise photosynthesis.</w:t>
      </w:r>
    </w:p>
    <w:p w:rsidR="00630139" w:rsidRPr="00C26B99" w:rsidRDefault="00F64A6A" w:rsidP="00282AE2">
      <w:pPr>
        <w:spacing w:line="276" w:lineRule="auto"/>
        <w:jc w:val="both"/>
      </w:pPr>
      <w:r w:rsidRPr="00F64A6A">
        <w:rPr>
          <w:rStyle w:val="IntenseEmphasis"/>
          <w:color w:val="auto"/>
          <w:u w:val="single"/>
        </w:rPr>
        <w:t xml:space="preserve">Aquaponics </w:t>
      </w:r>
      <w:r w:rsidRPr="00F64A6A">
        <w:rPr>
          <w:u w:val="single"/>
        </w:rPr>
        <w:t>brings together fish and plant farming in one recirculating system. We are already aware of rice fish farming,</w:t>
      </w:r>
      <w:r w:rsidR="00630139" w:rsidRPr="00C26B99">
        <w:t xml:space="preserve"> this one goes a step forward. Vegetables are grown and Rainbow Trout reared together in organic symbiosis, without chemicals or pesticides, but with the help of bees and worms. The fish provide most of the plant nutrition, by way of aquaculture effluent. In turn, fish waste metabolites are removed by nitrification and direct uptake by plants, with the suitably treated water then flowing back to the fish. In all, it is claimed this virtuous circle of reciprocity requires up to 95 per cent less water than traditional horticulture farming.</w:t>
      </w:r>
    </w:p>
    <w:p w:rsidR="00630139" w:rsidRPr="00144771" w:rsidRDefault="00630139" w:rsidP="00282AE2">
      <w:pPr>
        <w:spacing w:line="276" w:lineRule="auto"/>
        <w:jc w:val="both"/>
      </w:pPr>
      <w:r w:rsidRPr="00C26B99">
        <w:rPr>
          <w:rStyle w:val="IntenseEmphasis"/>
          <w:color w:val="auto"/>
        </w:rPr>
        <w:t>Nanotechnology:</w:t>
      </w:r>
      <w:r w:rsidRPr="00C26B99">
        <w:t xml:space="preserve"> </w:t>
      </w:r>
      <w:r w:rsidR="00F64A6A" w:rsidRPr="00F64A6A">
        <w:rPr>
          <w:u w:val="single"/>
        </w:rPr>
        <w:t xml:space="preserve">while the food industry can be seen to be clearly benefiting from nanotechnology (in particular for food processing, distribution, packaging and functional food), its real contribution to the agricultural sector is still uncertain. </w:t>
      </w:r>
      <w:r w:rsidRPr="00C26B99">
        <w:t xml:space="preserve">Nanomaterials in agriculture aims in particular to reduce the amount of sprayed chemical products by smart delivery of active ingredients, minimise nutrient losses in fertilisation and increase yields through optimised water </w:t>
      </w:r>
      <w:r w:rsidRPr="00C26B99">
        <w:lastRenderedPageBreak/>
        <w:t>and nutrient management. Nanotechnology derived devices are also being explored in the field of plant breed</w:t>
      </w:r>
      <w:r w:rsidR="00144771">
        <w:t>ing and genetic transformation.</w:t>
      </w:r>
    </w:p>
    <w:p w:rsidR="00F64A6A" w:rsidRDefault="001363C7" w:rsidP="00F64A6A">
      <w:pPr>
        <w:pStyle w:val="Heading2"/>
      </w:pPr>
      <w:bookmarkStart w:id="623" w:name="_Toc474638904"/>
      <w:r>
        <w:t xml:space="preserve">Special Considerations </w:t>
      </w:r>
      <w:r w:rsidR="007F2F9C" w:rsidRPr="0009356F">
        <w:t>for Agriculture and Rural Livelihoods</w:t>
      </w:r>
      <w:r w:rsidR="008D5A41">
        <w:t xml:space="preserve"> by Hot Spots</w:t>
      </w:r>
      <w:bookmarkEnd w:id="623"/>
      <w:r w:rsidR="007F2F9C" w:rsidRPr="0009356F">
        <w:t xml:space="preserve"> </w:t>
      </w:r>
      <w:bookmarkStart w:id="624" w:name="_Toc421182964"/>
      <w:bookmarkStart w:id="625" w:name="_Toc439144698"/>
    </w:p>
    <w:p w:rsidR="0064732A" w:rsidRDefault="007F2F9C" w:rsidP="00282AE2">
      <w:pPr>
        <w:autoSpaceDE w:val="0"/>
        <w:autoSpaceDN w:val="0"/>
        <w:adjustRightInd w:val="0"/>
        <w:spacing w:line="276" w:lineRule="auto"/>
        <w:jc w:val="both"/>
        <w:rPr>
          <w:rFonts w:cs="Times New Roman"/>
          <w:bCs/>
          <w:szCs w:val="24"/>
        </w:rPr>
      </w:pPr>
      <w:r>
        <w:rPr>
          <w:rFonts w:cs="Times New Roman"/>
          <w:bCs/>
          <w:szCs w:val="24"/>
        </w:rPr>
        <w:t xml:space="preserve">Chapter 1 identified the 6 hotspots that share broadly common hydrological and climate change pattern and risks. </w:t>
      </w:r>
      <w:r w:rsidR="00F64A6A" w:rsidRPr="00F64A6A">
        <w:rPr>
          <w:rFonts w:cs="Times New Roman"/>
          <w:bCs/>
          <w:szCs w:val="24"/>
          <w:u w:val="single"/>
        </w:rPr>
        <w:t>Many of the risks faced by agriculture are common to all hotspots.</w:t>
      </w:r>
      <w:r w:rsidR="00E077C6">
        <w:rPr>
          <w:rFonts w:cs="Times New Roman"/>
          <w:bCs/>
          <w:szCs w:val="24"/>
        </w:rPr>
        <w:t xml:space="preserve">  These include</w:t>
      </w:r>
      <w:r w:rsidR="0064732A">
        <w:rPr>
          <w:rFonts w:cs="Times New Roman"/>
          <w:bCs/>
          <w:szCs w:val="24"/>
        </w:rPr>
        <w:t xml:space="preserve"> the risks from ecological imbalances; t</w:t>
      </w:r>
      <w:r w:rsidR="00A618DC">
        <w:rPr>
          <w:rFonts w:cs="Times New Roman"/>
          <w:bCs/>
          <w:szCs w:val="24"/>
        </w:rPr>
        <w:t>he risks to rice production;</w:t>
      </w:r>
      <w:r w:rsidR="0064732A">
        <w:rPr>
          <w:rFonts w:cs="Times New Roman"/>
          <w:bCs/>
          <w:szCs w:val="24"/>
        </w:rPr>
        <w:t xml:space="preserve"> the risks to </w:t>
      </w:r>
      <w:r w:rsidR="00A618DC">
        <w:rPr>
          <w:rFonts w:cs="Times New Roman"/>
          <w:bCs/>
          <w:szCs w:val="24"/>
        </w:rPr>
        <w:t>fish</w:t>
      </w:r>
      <w:r w:rsidR="004F3062">
        <w:rPr>
          <w:rFonts w:cs="Times New Roman"/>
          <w:bCs/>
          <w:szCs w:val="24"/>
        </w:rPr>
        <w:t>ery</w:t>
      </w:r>
      <w:r w:rsidR="00A618DC">
        <w:rPr>
          <w:rFonts w:cs="Times New Roman"/>
          <w:bCs/>
          <w:szCs w:val="24"/>
        </w:rPr>
        <w:t xml:space="preserve"> sector; and the risks to forestry resources.  </w:t>
      </w:r>
      <w:r w:rsidR="0064732A">
        <w:rPr>
          <w:rFonts w:cs="Times New Roman"/>
          <w:bCs/>
          <w:szCs w:val="24"/>
        </w:rPr>
        <w:t>The magnitude of these risks, however, varies by districts.</w:t>
      </w:r>
      <w:r w:rsidR="00E077C6">
        <w:rPr>
          <w:rFonts w:cs="Times New Roman"/>
          <w:bCs/>
          <w:szCs w:val="24"/>
        </w:rPr>
        <w:t xml:space="preserve">  The strategies for sustainable agriculture and food security from the supply side are similarly mostly applicable nationwide, with variations in </w:t>
      </w:r>
      <w:r w:rsidR="00065D01">
        <w:rPr>
          <w:rFonts w:cs="Times New Roman"/>
          <w:bCs/>
          <w:szCs w:val="24"/>
        </w:rPr>
        <w:t>investments</w:t>
      </w:r>
      <w:r w:rsidR="00E077C6">
        <w:rPr>
          <w:rFonts w:cs="Times New Roman"/>
          <w:bCs/>
          <w:szCs w:val="24"/>
        </w:rPr>
        <w:t xml:space="preserve"> and technology applications to address any unique risks in specific hotspots.  These hotspot-specific special considerations for agriculture and food security strategy are briefly noted in this section to supplement the national agricultural strategy discussed in </w:t>
      </w:r>
      <w:r w:rsidR="00690719">
        <w:rPr>
          <w:rFonts w:cs="Times New Roman"/>
          <w:bCs/>
          <w:szCs w:val="24"/>
        </w:rPr>
        <w:t>previous s</w:t>
      </w:r>
      <w:r w:rsidR="00E077C6">
        <w:rPr>
          <w:rFonts w:cs="Times New Roman"/>
          <w:bCs/>
          <w:szCs w:val="24"/>
        </w:rPr>
        <w:t>ection</w:t>
      </w:r>
      <w:r w:rsidR="004D3CB6">
        <w:rPr>
          <w:rFonts w:cs="Times New Roman"/>
          <w:bCs/>
          <w:szCs w:val="24"/>
        </w:rPr>
        <w:t>s</w:t>
      </w:r>
      <w:r w:rsidR="00690719">
        <w:rPr>
          <w:rFonts w:cs="Times New Roman"/>
          <w:bCs/>
          <w:szCs w:val="24"/>
        </w:rPr>
        <w:t xml:space="preserve">. </w:t>
      </w:r>
    </w:p>
    <w:p w:rsidR="007F2F9C" w:rsidRPr="006C26E3" w:rsidRDefault="007F2F9C" w:rsidP="00282AE2">
      <w:pPr>
        <w:autoSpaceDE w:val="0"/>
        <w:autoSpaceDN w:val="0"/>
        <w:adjustRightInd w:val="0"/>
        <w:spacing w:line="276" w:lineRule="auto"/>
        <w:jc w:val="both"/>
        <w:rPr>
          <w:rFonts w:cs="Times New Roman"/>
          <w:szCs w:val="24"/>
        </w:rPr>
      </w:pPr>
      <w:r>
        <w:rPr>
          <w:rFonts w:cs="Times New Roman"/>
          <w:bCs/>
          <w:szCs w:val="24"/>
        </w:rPr>
        <w:t>Depending on location, t</w:t>
      </w:r>
      <w:r w:rsidRPr="00BC0927">
        <w:rPr>
          <w:rFonts w:cs="Times New Roman"/>
          <w:bCs/>
          <w:szCs w:val="24"/>
        </w:rPr>
        <w:t xml:space="preserve">he poorest </w:t>
      </w:r>
      <w:r>
        <w:rPr>
          <w:rFonts w:cs="Times New Roman"/>
          <w:bCs/>
          <w:szCs w:val="24"/>
        </w:rPr>
        <w:t xml:space="preserve">in many of the districts of these hotspot regions </w:t>
      </w:r>
      <w:r w:rsidRPr="00BC0927">
        <w:rPr>
          <w:rFonts w:cs="Times New Roman"/>
          <w:bCs/>
          <w:szCs w:val="24"/>
        </w:rPr>
        <w:t xml:space="preserve">will be directly affected by impacts on ecosystems. </w:t>
      </w:r>
      <w:r w:rsidRPr="00BC0927">
        <w:rPr>
          <w:rFonts w:cs="Times New Roman"/>
          <w:bCs/>
          <w:iCs/>
          <w:szCs w:val="24"/>
        </w:rPr>
        <w:t>Poor consumers are highly vulnerable to food price hikes</w:t>
      </w:r>
      <w:r w:rsidRPr="00BC0927">
        <w:rPr>
          <w:rFonts w:cs="Times New Roman"/>
          <w:b/>
          <w:bCs/>
          <w:i/>
          <w:iCs/>
          <w:szCs w:val="24"/>
        </w:rPr>
        <w:t xml:space="preserve"> </w:t>
      </w:r>
      <w:r w:rsidRPr="00BC0927">
        <w:rPr>
          <w:rFonts w:cs="Times New Roman"/>
          <w:bCs/>
          <w:iCs/>
          <w:szCs w:val="24"/>
        </w:rPr>
        <w:t>bec</w:t>
      </w:r>
      <w:r w:rsidR="00C0571B">
        <w:rPr>
          <w:rFonts w:cs="Times New Roman"/>
          <w:bCs/>
          <w:iCs/>
          <w:szCs w:val="24"/>
        </w:rPr>
        <w:t xml:space="preserve">ause they are net consumers and </w:t>
      </w:r>
      <w:r w:rsidRPr="00BC0927">
        <w:rPr>
          <w:rFonts w:cs="Times New Roman"/>
          <w:bCs/>
          <w:iCs/>
          <w:szCs w:val="24"/>
        </w:rPr>
        <w:t xml:space="preserve">spend a large portion of their </w:t>
      </w:r>
      <w:r w:rsidR="00C0571B">
        <w:rPr>
          <w:rFonts w:cs="Times New Roman"/>
          <w:bCs/>
          <w:iCs/>
          <w:szCs w:val="24"/>
        </w:rPr>
        <w:t xml:space="preserve">household budget on food (68%). </w:t>
      </w:r>
      <w:r w:rsidR="00C0571B">
        <w:rPr>
          <w:rFonts w:cs="Times New Roman"/>
          <w:szCs w:val="24"/>
        </w:rPr>
        <w:t>T</w:t>
      </w:r>
      <w:r w:rsidRPr="00BC0927">
        <w:rPr>
          <w:rFonts w:cs="Times New Roman"/>
          <w:szCs w:val="24"/>
        </w:rPr>
        <w:t>he poorest people will also be directly affected by climate change through its impacts o</w:t>
      </w:r>
      <w:r w:rsidR="00C0571B">
        <w:rPr>
          <w:rFonts w:cs="Times New Roman"/>
          <w:szCs w:val="24"/>
        </w:rPr>
        <w:t xml:space="preserve">n livelihood activities and subsistence </w:t>
      </w:r>
      <w:r w:rsidRPr="00BC0927">
        <w:rPr>
          <w:rFonts w:cs="Times New Roman"/>
          <w:szCs w:val="24"/>
        </w:rPr>
        <w:t>needs. Many poor rural households depend on access to ecosystems. They use them to produce or extract goods for self</w:t>
      </w:r>
      <w:r>
        <w:rPr>
          <w:rFonts w:cs="Times New Roman"/>
          <w:szCs w:val="24"/>
        </w:rPr>
        <w:t>-</w:t>
      </w:r>
      <w:r w:rsidRPr="00BC0927">
        <w:rPr>
          <w:rFonts w:cs="Times New Roman"/>
          <w:szCs w:val="24"/>
        </w:rPr>
        <w:t>consumption (like crops, timber, and fish) and to smooth income shocks. Climate change can add to the stress on ecosystems and reduce their ability to support livelihoods</w:t>
      </w:r>
      <w:r>
        <w:rPr>
          <w:rFonts w:cs="Times New Roman"/>
          <w:szCs w:val="24"/>
        </w:rPr>
        <w:t xml:space="preserve"> (Table </w:t>
      </w:r>
      <w:r w:rsidR="00B50A6C">
        <w:rPr>
          <w:rFonts w:cs="Times New Roman"/>
          <w:szCs w:val="24"/>
        </w:rPr>
        <w:t>8.</w:t>
      </w:r>
      <w:r w:rsidR="006775DC">
        <w:rPr>
          <w:rFonts w:cs="Times New Roman"/>
          <w:szCs w:val="24"/>
        </w:rPr>
        <w:t>20</w:t>
      </w:r>
      <w:r>
        <w:rPr>
          <w:rFonts w:cs="Times New Roman"/>
          <w:szCs w:val="24"/>
        </w:rPr>
        <w:t>)</w:t>
      </w:r>
      <w:r w:rsidRPr="00BC0927">
        <w:rPr>
          <w:rFonts w:cs="Times New Roman"/>
          <w:szCs w:val="24"/>
        </w:rPr>
        <w:t xml:space="preserve">. </w:t>
      </w:r>
    </w:p>
    <w:p w:rsidR="007F2F9C" w:rsidRPr="00C02121" w:rsidRDefault="007F2F9C" w:rsidP="00DD46F4">
      <w:pPr>
        <w:pStyle w:val="Heading4"/>
      </w:pPr>
      <w:bookmarkStart w:id="626" w:name="_Toc474639064"/>
      <w:r w:rsidRPr="00C02121">
        <w:t xml:space="preserve">Table </w:t>
      </w:r>
      <w:r w:rsidR="00B50A6C" w:rsidRPr="00C02121">
        <w:t>8.</w:t>
      </w:r>
      <w:r w:rsidR="006775DC">
        <w:t>20</w:t>
      </w:r>
      <w:r w:rsidR="003C014F">
        <w:t>: Climate Change Risks for Ecosystems and Potential livelihood Impacts</w:t>
      </w:r>
      <w:r w:rsidR="00297F3A">
        <w:t>,</w:t>
      </w:r>
      <w:r w:rsidR="003C014F">
        <w:t xml:space="preserve"> </w:t>
      </w:r>
      <w:r w:rsidRPr="00C02121">
        <w:t>South Asia</w:t>
      </w:r>
      <w:bookmarkEnd w:id="626"/>
    </w:p>
    <w:tbl>
      <w:tblPr>
        <w:tblStyle w:val="TableGrid"/>
        <w:tblW w:w="0" w:type="auto"/>
        <w:jc w:val="center"/>
        <w:tblLook w:val="04A0"/>
      </w:tblPr>
      <w:tblGrid>
        <w:gridCol w:w="4855"/>
        <w:gridCol w:w="4495"/>
      </w:tblGrid>
      <w:tr w:rsidR="007F2F9C" w:rsidRPr="00651C2A" w:rsidTr="00651C2A">
        <w:trPr>
          <w:jc w:val="center"/>
        </w:trPr>
        <w:tc>
          <w:tcPr>
            <w:tcW w:w="4855" w:type="dxa"/>
          </w:tcPr>
          <w:p w:rsidR="007F2F9C" w:rsidRPr="00651C2A" w:rsidRDefault="007F2F9C" w:rsidP="00651C2A">
            <w:pPr>
              <w:autoSpaceDE w:val="0"/>
              <w:autoSpaceDN w:val="0"/>
              <w:adjustRightInd w:val="0"/>
              <w:spacing w:after="0" w:line="240" w:lineRule="auto"/>
              <w:rPr>
                <w:rFonts w:cs="Times New Roman"/>
                <w:b/>
                <w:sz w:val="22"/>
                <w:szCs w:val="20"/>
              </w:rPr>
            </w:pPr>
            <w:r w:rsidRPr="00651C2A">
              <w:rPr>
                <w:rFonts w:cs="Times New Roman"/>
                <w:b/>
                <w:i/>
                <w:sz w:val="22"/>
                <w:szCs w:val="20"/>
              </w:rPr>
              <w:t>Examples of long-term climate change risks</w:t>
            </w:r>
          </w:p>
        </w:tc>
        <w:tc>
          <w:tcPr>
            <w:tcW w:w="4495" w:type="dxa"/>
          </w:tcPr>
          <w:p w:rsidR="007F2F9C" w:rsidRPr="00651C2A" w:rsidRDefault="007F2F9C" w:rsidP="00651C2A">
            <w:pPr>
              <w:autoSpaceDE w:val="0"/>
              <w:autoSpaceDN w:val="0"/>
              <w:adjustRightInd w:val="0"/>
              <w:spacing w:after="0" w:line="240" w:lineRule="auto"/>
              <w:rPr>
                <w:rFonts w:cs="Times New Roman"/>
                <w:b/>
                <w:sz w:val="22"/>
                <w:szCs w:val="20"/>
              </w:rPr>
            </w:pPr>
            <w:r w:rsidRPr="00651C2A">
              <w:rPr>
                <w:rFonts w:cs="Times New Roman"/>
                <w:b/>
                <w:i/>
                <w:sz w:val="22"/>
                <w:szCs w:val="20"/>
              </w:rPr>
              <w:t>Potential livelihood impacts of relevance for poor people</w:t>
            </w:r>
          </w:p>
        </w:tc>
      </w:tr>
      <w:tr w:rsidR="007F2F9C" w:rsidRPr="00651C2A" w:rsidTr="00005EAC">
        <w:trPr>
          <w:trHeight w:val="305"/>
          <w:jc w:val="center"/>
        </w:trPr>
        <w:tc>
          <w:tcPr>
            <w:tcW w:w="9350" w:type="dxa"/>
            <w:gridSpan w:val="2"/>
          </w:tcPr>
          <w:p w:rsidR="007F2F9C" w:rsidRPr="00651C2A" w:rsidRDefault="007F2F9C" w:rsidP="00651C2A">
            <w:pPr>
              <w:autoSpaceDE w:val="0"/>
              <w:autoSpaceDN w:val="0"/>
              <w:adjustRightInd w:val="0"/>
              <w:spacing w:after="0" w:line="240" w:lineRule="auto"/>
              <w:jc w:val="center"/>
              <w:rPr>
                <w:rFonts w:cs="Times New Roman"/>
                <w:b/>
                <w:sz w:val="22"/>
                <w:szCs w:val="24"/>
              </w:rPr>
            </w:pPr>
            <w:r w:rsidRPr="00651C2A">
              <w:rPr>
                <w:rFonts w:cs="Times New Roman"/>
                <w:b/>
                <w:sz w:val="22"/>
                <w:szCs w:val="24"/>
              </w:rPr>
              <w:t>Ecosystem: Mountains</w:t>
            </w:r>
          </w:p>
        </w:tc>
      </w:tr>
      <w:tr w:rsidR="007F2F9C" w:rsidRPr="00651C2A" w:rsidTr="00651C2A">
        <w:trPr>
          <w:trHeight w:val="414"/>
          <w:jc w:val="center"/>
        </w:trPr>
        <w:tc>
          <w:tcPr>
            <w:tcW w:w="4855" w:type="dxa"/>
          </w:tcPr>
          <w:p w:rsidR="007F2F9C" w:rsidRPr="00651C2A" w:rsidRDefault="007F2F9C" w:rsidP="00651C2A">
            <w:pPr>
              <w:autoSpaceDE w:val="0"/>
              <w:autoSpaceDN w:val="0"/>
              <w:adjustRightInd w:val="0"/>
              <w:spacing w:after="0" w:line="240" w:lineRule="auto"/>
              <w:rPr>
                <w:rFonts w:cs="Times New Roman"/>
                <w:b/>
                <w:sz w:val="22"/>
                <w:szCs w:val="20"/>
              </w:rPr>
            </w:pPr>
            <w:r w:rsidRPr="00651C2A">
              <w:rPr>
                <w:rFonts w:cs="Times New Roman"/>
                <w:sz w:val="22"/>
                <w:szCs w:val="20"/>
              </w:rPr>
              <w:t>glaciers loss in the Himalayas cause increased seasonal variability of water flows in glacier-fed river systems</w:t>
            </w:r>
          </w:p>
        </w:tc>
        <w:tc>
          <w:tcPr>
            <w:tcW w:w="4495" w:type="dxa"/>
          </w:tcPr>
          <w:p w:rsidR="007F2F9C" w:rsidRPr="00651C2A" w:rsidRDefault="007F2F9C" w:rsidP="00651C2A">
            <w:pPr>
              <w:autoSpaceDE w:val="0"/>
              <w:autoSpaceDN w:val="0"/>
              <w:adjustRightInd w:val="0"/>
              <w:spacing w:after="0" w:line="240" w:lineRule="auto"/>
              <w:rPr>
                <w:rFonts w:cs="Times New Roman"/>
                <w:b/>
                <w:sz w:val="22"/>
                <w:szCs w:val="20"/>
              </w:rPr>
            </w:pPr>
            <w:r w:rsidRPr="00651C2A">
              <w:rPr>
                <w:rFonts w:cs="Times New Roman"/>
                <w:sz w:val="22"/>
                <w:szCs w:val="20"/>
              </w:rPr>
              <w:t>reduced food production within river basins with negative impacts for smallholder farmers</w:t>
            </w:r>
          </w:p>
        </w:tc>
      </w:tr>
      <w:tr w:rsidR="007F2F9C" w:rsidRPr="00651C2A" w:rsidTr="00005EAC">
        <w:trPr>
          <w:trHeight w:val="323"/>
          <w:jc w:val="center"/>
        </w:trPr>
        <w:tc>
          <w:tcPr>
            <w:tcW w:w="9350" w:type="dxa"/>
            <w:gridSpan w:val="2"/>
          </w:tcPr>
          <w:p w:rsidR="007F2F9C" w:rsidRPr="00651C2A" w:rsidRDefault="007F2F9C" w:rsidP="00651C2A">
            <w:pPr>
              <w:autoSpaceDE w:val="0"/>
              <w:autoSpaceDN w:val="0"/>
              <w:adjustRightInd w:val="0"/>
              <w:spacing w:after="0" w:line="240" w:lineRule="auto"/>
              <w:jc w:val="center"/>
              <w:rPr>
                <w:rFonts w:cs="Times New Roman"/>
                <w:b/>
                <w:sz w:val="22"/>
                <w:szCs w:val="24"/>
              </w:rPr>
            </w:pPr>
            <w:r w:rsidRPr="00651C2A">
              <w:rPr>
                <w:rFonts w:cs="Times New Roman"/>
                <w:b/>
                <w:sz w:val="22"/>
                <w:szCs w:val="24"/>
              </w:rPr>
              <w:t>Ecosystem: Terrestrial lands</w:t>
            </w:r>
          </w:p>
        </w:tc>
      </w:tr>
      <w:tr w:rsidR="007F2F9C" w:rsidRPr="00651C2A" w:rsidTr="00651C2A">
        <w:trPr>
          <w:trHeight w:val="414"/>
          <w:jc w:val="center"/>
        </w:trPr>
        <w:tc>
          <w:tcPr>
            <w:tcW w:w="4855" w:type="dxa"/>
          </w:tcPr>
          <w:p w:rsidR="007F2F9C" w:rsidRPr="00651C2A" w:rsidRDefault="007F2F9C" w:rsidP="00651C2A">
            <w:pPr>
              <w:autoSpaceDE w:val="0"/>
              <w:autoSpaceDN w:val="0"/>
              <w:adjustRightInd w:val="0"/>
              <w:spacing w:after="0" w:line="240" w:lineRule="auto"/>
              <w:rPr>
                <w:rFonts w:cs="Times New Roman"/>
                <w:b/>
                <w:sz w:val="22"/>
                <w:szCs w:val="20"/>
              </w:rPr>
            </w:pPr>
            <w:r w:rsidRPr="00651C2A">
              <w:rPr>
                <w:rFonts w:cs="Times New Roman"/>
                <w:sz w:val="22"/>
                <w:szCs w:val="20"/>
              </w:rPr>
              <w:t>changes in monsoonal precipitation, increase river floods, number of dry days, severity of droughts, and reduction of groundwater resources</w:t>
            </w:r>
          </w:p>
        </w:tc>
        <w:tc>
          <w:tcPr>
            <w:tcW w:w="4495" w:type="dxa"/>
          </w:tcPr>
          <w:p w:rsidR="007F2F9C" w:rsidRPr="00651C2A" w:rsidRDefault="007F2F9C" w:rsidP="00651C2A">
            <w:pPr>
              <w:autoSpaceDE w:val="0"/>
              <w:autoSpaceDN w:val="0"/>
              <w:adjustRightInd w:val="0"/>
              <w:spacing w:after="0" w:line="240" w:lineRule="auto"/>
              <w:rPr>
                <w:rFonts w:cs="Times New Roman"/>
                <w:b/>
                <w:sz w:val="22"/>
                <w:szCs w:val="20"/>
              </w:rPr>
            </w:pPr>
            <w:r w:rsidRPr="00651C2A">
              <w:rPr>
                <w:rFonts w:cs="Times New Roman"/>
                <w:sz w:val="22"/>
                <w:szCs w:val="20"/>
              </w:rPr>
              <w:t>increased water stress affecting crop production with negative impacts for smallholder farmers</w:t>
            </w:r>
          </w:p>
        </w:tc>
      </w:tr>
      <w:tr w:rsidR="007F2F9C" w:rsidRPr="00651C2A" w:rsidTr="00005EAC">
        <w:trPr>
          <w:trHeight w:val="324"/>
          <w:jc w:val="center"/>
        </w:trPr>
        <w:tc>
          <w:tcPr>
            <w:tcW w:w="9350" w:type="dxa"/>
            <w:gridSpan w:val="2"/>
          </w:tcPr>
          <w:p w:rsidR="007F2F9C" w:rsidRPr="00651C2A" w:rsidRDefault="007F2F9C" w:rsidP="00651C2A">
            <w:pPr>
              <w:autoSpaceDE w:val="0"/>
              <w:autoSpaceDN w:val="0"/>
              <w:adjustRightInd w:val="0"/>
              <w:spacing w:after="0" w:line="240" w:lineRule="auto"/>
              <w:jc w:val="center"/>
              <w:rPr>
                <w:rFonts w:cs="Times New Roman"/>
                <w:b/>
                <w:sz w:val="22"/>
                <w:szCs w:val="24"/>
              </w:rPr>
            </w:pPr>
            <w:r w:rsidRPr="00651C2A">
              <w:rPr>
                <w:rFonts w:cs="Times New Roman"/>
                <w:b/>
                <w:sz w:val="22"/>
                <w:szCs w:val="24"/>
              </w:rPr>
              <w:t>Ecosystem: Coastal</w:t>
            </w:r>
          </w:p>
        </w:tc>
      </w:tr>
      <w:tr w:rsidR="007F2F9C" w:rsidRPr="00651C2A" w:rsidTr="00651C2A">
        <w:trPr>
          <w:trHeight w:val="324"/>
          <w:jc w:val="center"/>
        </w:trPr>
        <w:tc>
          <w:tcPr>
            <w:tcW w:w="4855" w:type="dxa"/>
          </w:tcPr>
          <w:p w:rsidR="007F2F9C" w:rsidRPr="00651C2A" w:rsidRDefault="007F2F9C" w:rsidP="00651C2A">
            <w:pPr>
              <w:autoSpaceDE w:val="0"/>
              <w:autoSpaceDN w:val="0"/>
              <w:adjustRightInd w:val="0"/>
              <w:spacing w:after="0" w:line="240" w:lineRule="auto"/>
              <w:rPr>
                <w:rFonts w:cs="Times New Roman"/>
                <w:b/>
                <w:sz w:val="22"/>
                <w:szCs w:val="20"/>
              </w:rPr>
            </w:pPr>
            <w:r w:rsidRPr="00651C2A">
              <w:rPr>
                <w:rFonts w:cs="Times New Roman"/>
                <w:sz w:val="22"/>
                <w:szCs w:val="20"/>
              </w:rPr>
              <w:t>sea-level rise and increasingly intense tropical cyclones accelerate salinity intrusion in deltaic regions and wetlands</w:t>
            </w:r>
          </w:p>
        </w:tc>
        <w:tc>
          <w:tcPr>
            <w:tcW w:w="4495" w:type="dxa"/>
          </w:tcPr>
          <w:p w:rsidR="007F2F9C" w:rsidRPr="00651C2A" w:rsidRDefault="007F2F9C" w:rsidP="00651C2A">
            <w:pPr>
              <w:autoSpaceDE w:val="0"/>
              <w:autoSpaceDN w:val="0"/>
              <w:adjustRightInd w:val="0"/>
              <w:spacing w:after="0" w:line="240" w:lineRule="auto"/>
              <w:rPr>
                <w:rFonts w:cs="Times New Roman"/>
                <w:b/>
                <w:sz w:val="22"/>
                <w:szCs w:val="20"/>
              </w:rPr>
            </w:pPr>
            <w:r w:rsidRPr="00651C2A">
              <w:rPr>
                <w:rFonts w:cs="Times New Roman"/>
                <w:sz w:val="22"/>
                <w:szCs w:val="20"/>
              </w:rPr>
              <w:t>reduction in land that can be used for agriculture with negative impacts for farmers</w:t>
            </w:r>
          </w:p>
        </w:tc>
      </w:tr>
    </w:tbl>
    <w:p w:rsidR="007F2F9C" w:rsidRPr="00812E22" w:rsidRDefault="007F2F9C" w:rsidP="00A74DF2">
      <w:pPr>
        <w:autoSpaceDE w:val="0"/>
        <w:autoSpaceDN w:val="0"/>
        <w:adjustRightInd w:val="0"/>
        <w:spacing w:before="120" w:line="276" w:lineRule="auto"/>
        <w:rPr>
          <w:rFonts w:cs="Times New Roman"/>
          <w:b/>
          <w:i/>
          <w:sz w:val="20"/>
          <w:szCs w:val="20"/>
        </w:rPr>
      </w:pPr>
      <w:r>
        <w:rPr>
          <w:rFonts w:cs="Times New Roman"/>
          <w:b/>
          <w:i/>
          <w:sz w:val="20"/>
          <w:szCs w:val="20"/>
        </w:rPr>
        <w:t>Source: Extracted from Table 2.1 in World Bank (2015)</w:t>
      </w:r>
    </w:p>
    <w:p w:rsidR="00260C27" w:rsidRDefault="00260C27" w:rsidP="007C1ECE">
      <w:pPr>
        <w:autoSpaceDE w:val="0"/>
        <w:autoSpaceDN w:val="0"/>
        <w:adjustRightInd w:val="0"/>
        <w:spacing w:after="200" w:line="276" w:lineRule="auto"/>
        <w:jc w:val="both"/>
        <w:rPr>
          <w:rFonts w:cs="Times New Roman"/>
          <w:szCs w:val="24"/>
        </w:rPr>
      </w:pPr>
      <w:r>
        <w:rPr>
          <w:rFonts w:cs="Times New Roman"/>
          <w:b/>
          <w:i/>
          <w:szCs w:val="24"/>
        </w:rPr>
        <w:lastRenderedPageBreak/>
        <w:t>Rice P</w:t>
      </w:r>
      <w:r w:rsidR="007C1ECE" w:rsidRPr="00D23EE9">
        <w:rPr>
          <w:rFonts w:cs="Times New Roman"/>
          <w:b/>
          <w:i/>
          <w:szCs w:val="24"/>
        </w:rPr>
        <w:t>roduction</w:t>
      </w:r>
      <w:r w:rsidR="00586278">
        <w:rPr>
          <w:rFonts w:cs="Times New Roman"/>
          <w:szCs w:val="24"/>
        </w:rPr>
        <w:t>:</w:t>
      </w:r>
      <w:r w:rsidR="007C1ECE">
        <w:rPr>
          <w:rFonts w:cs="Times New Roman"/>
          <w:szCs w:val="24"/>
        </w:rPr>
        <w:t xml:space="preserve"> </w:t>
      </w:r>
      <w:r>
        <w:rPr>
          <w:rFonts w:cs="Times New Roman"/>
          <w:szCs w:val="24"/>
        </w:rPr>
        <w:t xml:space="preserve">Rice is the leading agriculture product in Bangladesh. </w:t>
      </w:r>
      <w:r w:rsidR="00C54788">
        <w:rPr>
          <w:rFonts w:cs="Times New Roman"/>
          <w:szCs w:val="24"/>
        </w:rPr>
        <w:t xml:space="preserve">It is a common crop for all hotspot areas.  </w:t>
      </w:r>
      <w:r>
        <w:rPr>
          <w:rFonts w:cs="Times New Roman"/>
          <w:szCs w:val="24"/>
        </w:rPr>
        <w:t xml:space="preserve">A large part of the natural hazard vulnerability of agriculture depends upon the adverse effects on rice production. </w:t>
      </w:r>
      <w:r w:rsidR="0064732A">
        <w:rPr>
          <w:rFonts w:cs="Times New Roman"/>
          <w:szCs w:val="24"/>
        </w:rPr>
        <w:t>Table 8.</w:t>
      </w:r>
      <w:r w:rsidR="009A2B3D">
        <w:rPr>
          <w:rFonts w:cs="Times New Roman"/>
          <w:szCs w:val="24"/>
        </w:rPr>
        <w:t>21</w:t>
      </w:r>
      <w:r w:rsidR="007C1ECE">
        <w:rPr>
          <w:rFonts w:cs="Times New Roman"/>
          <w:szCs w:val="24"/>
        </w:rPr>
        <w:t xml:space="preserve"> provides a summary of rice production (Aus+Aman+Boro) for the most recent year for which dist</w:t>
      </w:r>
      <w:r w:rsidR="00C23916">
        <w:rPr>
          <w:rFonts w:cs="Times New Roman"/>
          <w:szCs w:val="24"/>
        </w:rPr>
        <w:t xml:space="preserve">rict level data was available. </w:t>
      </w:r>
    </w:p>
    <w:p w:rsidR="007F1965" w:rsidRPr="00690719" w:rsidRDefault="00E24958" w:rsidP="00690719">
      <w:pPr>
        <w:autoSpaceDE w:val="0"/>
        <w:autoSpaceDN w:val="0"/>
        <w:adjustRightInd w:val="0"/>
        <w:spacing w:after="0" w:line="276" w:lineRule="auto"/>
        <w:jc w:val="both"/>
        <w:rPr>
          <w:rFonts w:cs="Times New Roman"/>
          <w:szCs w:val="24"/>
          <w:u w:val="single"/>
        </w:rPr>
      </w:pPr>
      <w:r>
        <w:rPr>
          <w:rFonts w:cs="Times New Roman"/>
          <w:szCs w:val="24"/>
        </w:rPr>
        <w:t xml:space="preserve">The data reveals that Rivers and Estuaries along with the Barind and Drought prone region make up the predominant rice basket of the country, in terms of acreage under production, yield, and output. Not surprisingly, the floodplains of Bangladesh, which are spread all around the country along the rivers and estuaries and are the main beneficiaries of regular alluvial deposits, turn out to be the most productive region for food (8.8 million </w:t>
      </w:r>
      <w:r w:rsidR="00FE6385">
        <w:rPr>
          <w:rFonts w:cs="Times New Roman"/>
          <w:szCs w:val="24"/>
        </w:rPr>
        <w:t>tonn</w:t>
      </w:r>
      <w:r w:rsidR="004F3062">
        <w:rPr>
          <w:rFonts w:cs="Times New Roman"/>
          <w:szCs w:val="24"/>
        </w:rPr>
        <w:t>e</w:t>
      </w:r>
      <w:r>
        <w:rPr>
          <w:rFonts w:cs="Times New Roman"/>
          <w:szCs w:val="24"/>
        </w:rPr>
        <w:t xml:space="preserve">s in 2013-14). </w:t>
      </w:r>
      <w:r w:rsidR="00F64A6A" w:rsidRPr="00F64A6A">
        <w:rPr>
          <w:rFonts w:cs="Times New Roman"/>
          <w:szCs w:val="24"/>
          <w:u w:val="single"/>
        </w:rPr>
        <w:t xml:space="preserve">The high productivity in the Barind region reflects the spread of mechanized ground-water based irrigation. As a result, it is now also the most productive areas of the country, in terms of yield (3.3 MT/hectare) and </w:t>
      </w:r>
    </w:p>
    <w:p w:rsidR="00144771" w:rsidRDefault="00F64A6A" w:rsidP="00690719">
      <w:pPr>
        <w:autoSpaceDE w:val="0"/>
        <w:autoSpaceDN w:val="0"/>
        <w:adjustRightInd w:val="0"/>
        <w:spacing w:line="276" w:lineRule="auto"/>
        <w:jc w:val="both"/>
        <w:rPr>
          <w:rFonts w:cs="Times New Roman"/>
          <w:szCs w:val="24"/>
        </w:rPr>
      </w:pPr>
      <w:r w:rsidRPr="00F64A6A">
        <w:rPr>
          <w:rFonts w:cs="Times New Roman"/>
          <w:szCs w:val="24"/>
          <w:u w:val="single"/>
        </w:rPr>
        <w:t xml:space="preserve">output (8.0 million tonnes).  </w:t>
      </w:r>
      <w:r w:rsidR="00E24958">
        <w:rPr>
          <w:rFonts w:cs="Times New Roman"/>
          <w:szCs w:val="24"/>
        </w:rPr>
        <w:t xml:space="preserve">On the other hand, the </w:t>
      </w:r>
      <w:r w:rsidR="00065D01">
        <w:rPr>
          <w:rFonts w:cs="Times New Roman"/>
          <w:szCs w:val="24"/>
        </w:rPr>
        <w:t>coastal</w:t>
      </w:r>
      <w:r w:rsidR="00E24958">
        <w:rPr>
          <w:rFonts w:cs="Times New Roman"/>
          <w:szCs w:val="24"/>
        </w:rPr>
        <w:t xml:space="preserve"> region has low productivity owing to salinity problem.  The aggregation, however, hides the productivity </w:t>
      </w:r>
      <w:r w:rsidR="00065D01">
        <w:rPr>
          <w:rFonts w:cs="Times New Roman"/>
          <w:szCs w:val="24"/>
        </w:rPr>
        <w:t>differentials</w:t>
      </w:r>
      <w:r w:rsidR="00E24958">
        <w:rPr>
          <w:rFonts w:cs="Times New Roman"/>
          <w:szCs w:val="24"/>
        </w:rPr>
        <w:t xml:space="preserve"> by districts.  At the district level, rice productivity ranges from a low of 0.72 </w:t>
      </w:r>
      <w:r w:rsidR="00FE6385">
        <w:rPr>
          <w:rFonts w:cs="Times New Roman"/>
          <w:szCs w:val="24"/>
        </w:rPr>
        <w:t>tonn</w:t>
      </w:r>
      <w:r w:rsidR="00C413FE">
        <w:rPr>
          <w:rFonts w:cs="Times New Roman"/>
          <w:szCs w:val="24"/>
        </w:rPr>
        <w:t>e</w:t>
      </w:r>
      <w:r w:rsidR="00E24958">
        <w:rPr>
          <w:rFonts w:cs="Times New Roman"/>
          <w:szCs w:val="24"/>
        </w:rPr>
        <w:t xml:space="preserve">s/acre for Patuakhali to 1.5 </w:t>
      </w:r>
      <w:r w:rsidR="00FE6385">
        <w:rPr>
          <w:rFonts w:cs="Times New Roman"/>
          <w:szCs w:val="24"/>
        </w:rPr>
        <w:t>tonn</w:t>
      </w:r>
      <w:r w:rsidR="004F3062">
        <w:rPr>
          <w:rFonts w:cs="Times New Roman"/>
          <w:szCs w:val="24"/>
        </w:rPr>
        <w:t>e</w:t>
      </w:r>
      <w:r w:rsidR="00E24958">
        <w:rPr>
          <w:rFonts w:cs="Times New Roman"/>
          <w:szCs w:val="24"/>
        </w:rPr>
        <w:t>s per acre in Naogaon.</w:t>
      </w:r>
    </w:p>
    <w:tbl>
      <w:tblPr>
        <w:tblW w:w="4995" w:type="pct"/>
        <w:jc w:val="center"/>
        <w:tblLook w:val="04A0"/>
      </w:tblPr>
      <w:tblGrid>
        <w:gridCol w:w="3029"/>
        <w:gridCol w:w="1068"/>
        <w:gridCol w:w="1410"/>
        <w:gridCol w:w="828"/>
        <w:gridCol w:w="1253"/>
        <w:gridCol w:w="1978"/>
      </w:tblGrid>
      <w:tr w:rsidR="007C1ECE" w:rsidRPr="00AD1100" w:rsidTr="00E62C3C">
        <w:trPr>
          <w:trHeight w:val="315"/>
          <w:jc w:val="center"/>
        </w:trPr>
        <w:tc>
          <w:tcPr>
            <w:tcW w:w="5000" w:type="pct"/>
            <w:gridSpan w:val="6"/>
            <w:tcBorders>
              <w:top w:val="nil"/>
              <w:left w:val="nil"/>
              <w:bottom w:val="single" w:sz="4" w:space="0" w:color="auto"/>
              <w:right w:val="nil"/>
            </w:tcBorders>
            <w:shd w:val="clear" w:color="auto" w:fill="auto"/>
            <w:noWrap/>
            <w:vAlign w:val="bottom"/>
            <w:hideMark/>
          </w:tcPr>
          <w:p w:rsidR="007C1ECE" w:rsidRPr="00690719" w:rsidRDefault="00F64A6A" w:rsidP="001C19B5">
            <w:pPr>
              <w:pStyle w:val="Heading4"/>
              <w:rPr>
                <w:u w:val="single"/>
              </w:rPr>
            </w:pPr>
            <w:bookmarkStart w:id="627" w:name="_Toc474639065"/>
            <w:r w:rsidRPr="00F64A6A">
              <w:rPr>
                <w:u w:val="single"/>
              </w:rPr>
              <w:t>Table 8.21: Rice Production by Hotspots 2013-2014</w:t>
            </w:r>
            <w:bookmarkEnd w:id="627"/>
          </w:p>
        </w:tc>
      </w:tr>
      <w:tr w:rsidR="007C1ECE" w:rsidRPr="00AD1100" w:rsidTr="00E62C3C">
        <w:trPr>
          <w:trHeight w:val="188"/>
          <w:jc w:val="center"/>
        </w:trPr>
        <w:tc>
          <w:tcPr>
            <w:tcW w:w="1583" w:type="pct"/>
            <w:tcBorders>
              <w:top w:val="single" w:sz="4" w:space="0" w:color="auto"/>
              <w:left w:val="single" w:sz="4" w:space="0" w:color="auto"/>
              <w:bottom w:val="nil"/>
              <w:right w:val="nil"/>
            </w:tcBorders>
            <w:shd w:val="clear" w:color="auto" w:fill="auto"/>
            <w:noWrap/>
            <w:vAlign w:val="bottom"/>
            <w:hideMark/>
          </w:tcPr>
          <w:p w:rsidR="007C1ECE" w:rsidRPr="007C1ECE" w:rsidRDefault="007C1ECE" w:rsidP="00A17BFA">
            <w:pPr>
              <w:spacing w:after="0" w:line="240" w:lineRule="auto"/>
              <w:jc w:val="center"/>
              <w:rPr>
                <w:rFonts w:eastAsia="Times New Roman" w:cs="Times New Roman"/>
                <w:b/>
                <w:bCs/>
                <w:szCs w:val="24"/>
              </w:rPr>
            </w:pPr>
          </w:p>
        </w:tc>
        <w:tc>
          <w:tcPr>
            <w:tcW w:w="1295" w:type="pct"/>
            <w:gridSpan w:val="2"/>
            <w:tcBorders>
              <w:top w:val="single" w:sz="4" w:space="0" w:color="auto"/>
              <w:left w:val="nil"/>
              <w:bottom w:val="nil"/>
              <w:right w:val="nil"/>
            </w:tcBorders>
            <w:shd w:val="clear" w:color="000000" w:fill="E4DFEC"/>
            <w:noWrap/>
            <w:vAlign w:val="bottom"/>
            <w:hideMark/>
          </w:tcPr>
          <w:p w:rsidR="007C1ECE" w:rsidRPr="007C1ECE" w:rsidRDefault="007C1ECE" w:rsidP="00A17BFA">
            <w:pPr>
              <w:spacing w:after="0" w:line="240" w:lineRule="auto"/>
              <w:jc w:val="center"/>
              <w:rPr>
                <w:rFonts w:eastAsia="Times New Roman" w:cs="Times New Roman"/>
                <w:b/>
                <w:bCs/>
                <w:sz w:val="20"/>
                <w:szCs w:val="20"/>
              </w:rPr>
            </w:pPr>
            <w:r w:rsidRPr="007C1ECE">
              <w:rPr>
                <w:rFonts w:eastAsia="Times New Roman" w:cs="Times New Roman"/>
                <w:b/>
                <w:bCs/>
                <w:sz w:val="20"/>
                <w:szCs w:val="20"/>
              </w:rPr>
              <w:t>Area</w:t>
            </w:r>
          </w:p>
        </w:tc>
        <w:tc>
          <w:tcPr>
            <w:tcW w:w="1088" w:type="pct"/>
            <w:gridSpan w:val="2"/>
            <w:tcBorders>
              <w:top w:val="single" w:sz="4" w:space="0" w:color="auto"/>
              <w:left w:val="nil"/>
              <w:bottom w:val="nil"/>
              <w:right w:val="nil"/>
            </w:tcBorders>
            <w:shd w:val="clear" w:color="000000" w:fill="E4DFEC"/>
            <w:noWrap/>
            <w:vAlign w:val="bottom"/>
            <w:hideMark/>
          </w:tcPr>
          <w:p w:rsidR="007C1ECE" w:rsidRPr="007C1ECE" w:rsidRDefault="007C1ECE" w:rsidP="00A17BFA">
            <w:pPr>
              <w:spacing w:after="0" w:line="240" w:lineRule="auto"/>
              <w:jc w:val="center"/>
              <w:rPr>
                <w:rFonts w:eastAsia="Times New Roman" w:cs="Times New Roman"/>
                <w:b/>
                <w:bCs/>
                <w:sz w:val="20"/>
                <w:szCs w:val="20"/>
              </w:rPr>
            </w:pPr>
            <w:r w:rsidRPr="007C1ECE">
              <w:rPr>
                <w:rFonts w:eastAsia="Times New Roman" w:cs="Times New Roman"/>
                <w:b/>
                <w:bCs/>
                <w:sz w:val="20"/>
                <w:szCs w:val="20"/>
              </w:rPr>
              <w:t>Yield per</w:t>
            </w:r>
          </w:p>
        </w:tc>
        <w:tc>
          <w:tcPr>
            <w:tcW w:w="1034" w:type="pct"/>
            <w:tcBorders>
              <w:top w:val="single" w:sz="4" w:space="0" w:color="auto"/>
              <w:left w:val="nil"/>
              <w:bottom w:val="nil"/>
              <w:right w:val="single" w:sz="4" w:space="0" w:color="auto"/>
            </w:tcBorders>
            <w:shd w:val="clear" w:color="000000" w:fill="E4DFEC"/>
            <w:noWrap/>
            <w:vAlign w:val="bottom"/>
            <w:hideMark/>
          </w:tcPr>
          <w:p w:rsidR="007C1ECE" w:rsidRPr="007C1ECE" w:rsidRDefault="007C1ECE" w:rsidP="00A17BFA">
            <w:pPr>
              <w:spacing w:after="0" w:line="240" w:lineRule="auto"/>
              <w:rPr>
                <w:rFonts w:eastAsia="Times New Roman" w:cs="Times New Roman"/>
                <w:b/>
                <w:bCs/>
                <w:sz w:val="20"/>
                <w:szCs w:val="20"/>
              </w:rPr>
            </w:pPr>
            <w:r w:rsidRPr="007C1ECE">
              <w:rPr>
                <w:rFonts w:eastAsia="Times New Roman" w:cs="Times New Roman"/>
                <w:b/>
                <w:bCs/>
                <w:sz w:val="20"/>
                <w:szCs w:val="20"/>
              </w:rPr>
              <w:t>Production</w:t>
            </w:r>
          </w:p>
        </w:tc>
      </w:tr>
      <w:tr w:rsidR="007C1ECE" w:rsidRPr="00AD1100" w:rsidTr="00F025CE">
        <w:trPr>
          <w:trHeight w:val="162"/>
          <w:jc w:val="center"/>
        </w:trPr>
        <w:tc>
          <w:tcPr>
            <w:tcW w:w="1583" w:type="pct"/>
            <w:tcBorders>
              <w:top w:val="nil"/>
              <w:left w:val="single" w:sz="4" w:space="0" w:color="auto"/>
              <w:bottom w:val="nil"/>
              <w:right w:val="nil"/>
            </w:tcBorders>
            <w:shd w:val="clear" w:color="auto" w:fill="auto"/>
            <w:noWrap/>
            <w:vAlign w:val="bottom"/>
            <w:hideMark/>
          </w:tcPr>
          <w:p w:rsidR="007C1ECE" w:rsidRPr="007C1ECE" w:rsidRDefault="007C1ECE" w:rsidP="00A17BFA">
            <w:pPr>
              <w:spacing w:after="0" w:line="240" w:lineRule="auto"/>
              <w:rPr>
                <w:rFonts w:eastAsia="Times New Roman" w:cs="Times New Roman"/>
                <w:b/>
                <w:color w:val="000000"/>
              </w:rPr>
            </w:pPr>
            <w:r w:rsidRPr="007C1ECE">
              <w:rPr>
                <w:rFonts w:eastAsia="Times New Roman" w:cs="Times New Roman"/>
                <w:b/>
                <w:color w:val="000000"/>
              </w:rPr>
              <w:t>Delta Hotspots</w:t>
            </w:r>
          </w:p>
        </w:tc>
        <w:tc>
          <w:tcPr>
            <w:tcW w:w="558" w:type="pct"/>
            <w:tcBorders>
              <w:top w:val="nil"/>
              <w:left w:val="nil"/>
              <w:bottom w:val="nil"/>
              <w:right w:val="nil"/>
            </w:tcBorders>
            <w:shd w:val="clear" w:color="000000" w:fill="DAEEF3"/>
            <w:noWrap/>
            <w:hideMark/>
          </w:tcPr>
          <w:p w:rsidR="007C1ECE" w:rsidRPr="007C1ECE" w:rsidRDefault="007C1ECE" w:rsidP="00A17BFA">
            <w:pPr>
              <w:spacing w:after="0" w:line="240" w:lineRule="auto"/>
              <w:jc w:val="center"/>
              <w:rPr>
                <w:rFonts w:eastAsia="Times New Roman" w:cs="Times New Roman"/>
                <w:b/>
                <w:bCs/>
                <w:sz w:val="18"/>
                <w:szCs w:val="18"/>
              </w:rPr>
            </w:pPr>
            <w:r w:rsidRPr="007C1ECE">
              <w:rPr>
                <w:rFonts w:eastAsia="Times New Roman" w:cs="Times New Roman"/>
                <w:b/>
                <w:bCs/>
                <w:sz w:val="18"/>
                <w:szCs w:val="18"/>
              </w:rPr>
              <w:t>Acres</w:t>
            </w:r>
          </w:p>
        </w:tc>
        <w:tc>
          <w:tcPr>
            <w:tcW w:w="737" w:type="pct"/>
            <w:tcBorders>
              <w:top w:val="nil"/>
              <w:left w:val="nil"/>
              <w:bottom w:val="nil"/>
              <w:right w:val="nil"/>
            </w:tcBorders>
            <w:shd w:val="clear" w:color="000000" w:fill="DAEEF3"/>
            <w:noWrap/>
            <w:hideMark/>
          </w:tcPr>
          <w:p w:rsidR="007C1ECE" w:rsidRPr="007C1ECE" w:rsidRDefault="007C1ECE" w:rsidP="00A17BFA">
            <w:pPr>
              <w:spacing w:after="0" w:line="240" w:lineRule="auto"/>
              <w:jc w:val="center"/>
              <w:rPr>
                <w:rFonts w:eastAsia="Times New Roman" w:cs="Times New Roman"/>
                <w:b/>
                <w:bCs/>
                <w:sz w:val="18"/>
                <w:szCs w:val="18"/>
              </w:rPr>
            </w:pPr>
            <w:r w:rsidRPr="007C1ECE">
              <w:rPr>
                <w:rFonts w:eastAsia="Times New Roman" w:cs="Times New Roman"/>
                <w:b/>
                <w:bCs/>
                <w:sz w:val="18"/>
                <w:szCs w:val="18"/>
              </w:rPr>
              <w:t>Hectares</w:t>
            </w:r>
          </w:p>
        </w:tc>
        <w:tc>
          <w:tcPr>
            <w:tcW w:w="433" w:type="pct"/>
            <w:tcBorders>
              <w:top w:val="nil"/>
              <w:left w:val="nil"/>
              <w:bottom w:val="nil"/>
              <w:right w:val="nil"/>
            </w:tcBorders>
            <w:shd w:val="clear" w:color="000000" w:fill="EBF1DE"/>
            <w:noWrap/>
            <w:hideMark/>
          </w:tcPr>
          <w:p w:rsidR="007C1ECE" w:rsidRPr="007C1ECE" w:rsidRDefault="007C1ECE" w:rsidP="00A17BFA">
            <w:pPr>
              <w:spacing w:after="0" w:line="240" w:lineRule="auto"/>
              <w:jc w:val="center"/>
              <w:rPr>
                <w:rFonts w:eastAsia="Times New Roman" w:cs="Times New Roman"/>
                <w:b/>
                <w:bCs/>
                <w:sz w:val="18"/>
                <w:szCs w:val="18"/>
              </w:rPr>
            </w:pPr>
            <w:r w:rsidRPr="007C1ECE">
              <w:rPr>
                <w:rFonts w:eastAsia="Times New Roman" w:cs="Times New Roman"/>
                <w:b/>
                <w:bCs/>
                <w:sz w:val="18"/>
                <w:szCs w:val="18"/>
              </w:rPr>
              <w:t>Acre</w:t>
            </w:r>
          </w:p>
        </w:tc>
        <w:tc>
          <w:tcPr>
            <w:tcW w:w="655" w:type="pct"/>
            <w:tcBorders>
              <w:top w:val="nil"/>
              <w:left w:val="nil"/>
              <w:bottom w:val="nil"/>
              <w:right w:val="nil"/>
            </w:tcBorders>
            <w:shd w:val="clear" w:color="000000" w:fill="EBF1DE"/>
            <w:noWrap/>
            <w:hideMark/>
          </w:tcPr>
          <w:p w:rsidR="007C1ECE" w:rsidRPr="007C1ECE" w:rsidRDefault="007C1ECE" w:rsidP="00A17BFA">
            <w:pPr>
              <w:spacing w:after="0" w:line="240" w:lineRule="auto"/>
              <w:jc w:val="center"/>
              <w:rPr>
                <w:rFonts w:eastAsia="Times New Roman" w:cs="Times New Roman"/>
                <w:b/>
                <w:bCs/>
                <w:sz w:val="18"/>
                <w:szCs w:val="18"/>
              </w:rPr>
            </w:pPr>
            <w:r w:rsidRPr="007C1ECE">
              <w:rPr>
                <w:rFonts w:eastAsia="Times New Roman" w:cs="Times New Roman"/>
                <w:b/>
                <w:bCs/>
                <w:sz w:val="18"/>
                <w:szCs w:val="18"/>
              </w:rPr>
              <w:t>Hectare</w:t>
            </w:r>
          </w:p>
        </w:tc>
        <w:tc>
          <w:tcPr>
            <w:tcW w:w="1034" w:type="pct"/>
            <w:tcBorders>
              <w:top w:val="nil"/>
              <w:left w:val="nil"/>
              <w:bottom w:val="nil"/>
              <w:right w:val="single" w:sz="4" w:space="0" w:color="auto"/>
            </w:tcBorders>
            <w:shd w:val="clear" w:color="000000" w:fill="F2DCDB"/>
            <w:noWrap/>
            <w:vAlign w:val="bottom"/>
            <w:hideMark/>
          </w:tcPr>
          <w:p w:rsidR="007C1ECE" w:rsidRPr="007C1ECE" w:rsidRDefault="007C1ECE" w:rsidP="00A17BFA">
            <w:pPr>
              <w:spacing w:after="0" w:line="240" w:lineRule="auto"/>
              <w:rPr>
                <w:rFonts w:eastAsia="Times New Roman" w:cs="Times New Roman"/>
                <w:color w:val="000000"/>
              </w:rPr>
            </w:pPr>
            <w:r w:rsidRPr="007C1ECE">
              <w:rPr>
                <w:rFonts w:eastAsia="Times New Roman" w:cs="Times New Roman"/>
                <w:color w:val="000000"/>
              </w:rPr>
              <w:t> </w:t>
            </w:r>
          </w:p>
        </w:tc>
      </w:tr>
      <w:tr w:rsidR="007C1ECE" w:rsidRPr="00AD1100" w:rsidTr="00F025CE">
        <w:trPr>
          <w:trHeight w:val="243"/>
          <w:jc w:val="center"/>
        </w:trPr>
        <w:tc>
          <w:tcPr>
            <w:tcW w:w="1583" w:type="pct"/>
            <w:tcBorders>
              <w:top w:val="nil"/>
              <w:left w:val="single" w:sz="4" w:space="0" w:color="auto"/>
              <w:bottom w:val="single" w:sz="4" w:space="0" w:color="auto"/>
              <w:right w:val="nil"/>
            </w:tcBorders>
            <w:shd w:val="clear" w:color="auto" w:fill="auto"/>
            <w:noWrap/>
            <w:vAlign w:val="bottom"/>
            <w:hideMark/>
          </w:tcPr>
          <w:p w:rsidR="007C1ECE" w:rsidRPr="007C1ECE" w:rsidRDefault="007C1ECE" w:rsidP="00A17BFA">
            <w:pPr>
              <w:spacing w:after="0" w:line="240" w:lineRule="auto"/>
              <w:rPr>
                <w:rFonts w:eastAsia="Times New Roman" w:cs="Times New Roman"/>
                <w:color w:val="000000"/>
              </w:rPr>
            </w:pPr>
          </w:p>
        </w:tc>
        <w:tc>
          <w:tcPr>
            <w:tcW w:w="558" w:type="pct"/>
            <w:tcBorders>
              <w:top w:val="nil"/>
              <w:left w:val="nil"/>
              <w:bottom w:val="single" w:sz="4" w:space="0" w:color="auto"/>
              <w:right w:val="nil"/>
            </w:tcBorders>
            <w:shd w:val="clear" w:color="000000" w:fill="DAEEF3"/>
            <w:noWrap/>
            <w:hideMark/>
          </w:tcPr>
          <w:p w:rsidR="007C1ECE" w:rsidRPr="007C1ECE" w:rsidRDefault="00BD6261" w:rsidP="00A17BFA">
            <w:pPr>
              <w:spacing w:after="0" w:line="240" w:lineRule="auto"/>
              <w:jc w:val="center"/>
              <w:rPr>
                <w:rFonts w:eastAsia="Times New Roman" w:cs="Times New Roman"/>
                <w:b/>
                <w:bCs/>
                <w:sz w:val="16"/>
                <w:szCs w:val="16"/>
              </w:rPr>
            </w:pPr>
            <w:r w:rsidRPr="007C1ECE">
              <w:rPr>
                <w:rFonts w:eastAsia="Times New Roman" w:cs="Times New Roman"/>
                <w:b/>
                <w:bCs/>
                <w:sz w:val="16"/>
                <w:szCs w:val="16"/>
              </w:rPr>
              <w:t>M</w:t>
            </w:r>
            <w:r w:rsidR="007C1ECE" w:rsidRPr="007C1ECE">
              <w:rPr>
                <w:rFonts w:eastAsia="Times New Roman" w:cs="Times New Roman"/>
                <w:b/>
                <w:bCs/>
                <w:sz w:val="16"/>
                <w:szCs w:val="16"/>
              </w:rPr>
              <w:t>il</w:t>
            </w:r>
          </w:p>
        </w:tc>
        <w:tc>
          <w:tcPr>
            <w:tcW w:w="737" w:type="pct"/>
            <w:tcBorders>
              <w:top w:val="nil"/>
              <w:left w:val="nil"/>
              <w:bottom w:val="single" w:sz="4" w:space="0" w:color="auto"/>
              <w:right w:val="nil"/>
            </w:tcBorders>
            <w:shd w:val="clear" w:color="000000" w:fill="DAEEF3"/>
            <w:noWrap/>
            <w:hideMark/>
          </w:tcPr>
          <w:p w:rsidR="007C1ECE" w:rsidRPr="007C1ECE" w:rsidRDefault="00125F2F" w:rsidP="00A17BFA">
            <w:pPr>
              <w:spacing w:after="0" w:line="240" w:lineRule="auto"/>
              <w:jc w:val="center"/>
              <w:rPr>
                <w:rFonts w:eastAsia="Times New Roman" w:cs="Times New Roman"/>
                <w:b/>
                <w:bCs/>
                <w:sz w:val="16"/>
                <w:szCs w:val="16"/>
              </w:rPr>
            </w:pPr>
            <w:r w:rsidRPr="007C1ECE">
              <w:rPr>
                <w:rFonts w:eastAsia="Times New Roman" w:cs="Times New Roman"/>
                <w:b/>
                <w:bCs/>
                <w:sz w:val="16"/>
                <w:szCs w:val="16"/>
              </w:rPr>
              <w:t>M</w:t>
            </w:r>
            <w:r w:rsidR="007C1ECE" w:rsidRPr="007C1ECE">
              <w:rPr>
                <w:rFonts w:eastAsia="Times New Roman" w:cs="Times New Roman"/>
                <w:b/>
                <w:bCs/>
                <w:sz w:val="16"/>
                <w:szCs w:val="16"/>
              </w:rPr>
              <w:t>il</w:t>
            </w:r>
          </w:p>
        </w:tc>
        <w:tc>
          <w:tcPr>
            <w:tcW w:w="433" w:type="pct"/>
            <w:tcBorders>
              <w:top w:val="nil"/>
              <w:left w:val="nil"/>
              <w:bottom w:val="single" w:sz="4" w:space="0" w:color="auto"/>
              <w:right w:val="nil"/>
            </w:tcBorders>
            <w:shd w:val="clear" w:color="000000" w:fill="EBF1DE"/>
            <w:noWrap/>
            <w:hideMark/>
          </w:tcPr>
          <w:p w:rsidR="007C1ECE" w:rsidRPr="007C1ECE" w:rsidRDefault="007C1ECE" w:rsidP="00A17BFA">
            <w:pPr>
              <w:spacing w:after="0" w:line="240" w:lineRule="auto"/>
              <w:jc w:val="center"/>
              <w:rPr>
                <w:rFonts w:eastAsia="Times New Roman" w:cs="Times New Roman"/>
                <w:b/>
                <w:bCs/>
                <w:sz w:val="16"/>
                <w:szCs w:val="16"/>
              </w:rPr>
            </w:pPr>
            <w:r w:rsidRPr="007C1ECE">
              <w:rPr>
                <w:rFonts w:eastAsia="Times New Roman" w:cs="Times New Roman"/>
                <w:b/>
                <w:bCs/>
                <w:sz w:val="16"/>
                <w:szCs w:val="16"/>
              </w:rPr>
              <w:t>(MT)</w:t>
            </w:r>
          </w:p>
        </w:tc>
        <w:tc>
          <w:tcPr>
            <w:tcW w:w="655" w:type="pct"/>
            <w:tcBorders>
              <w:top w:val="nil"/>
              <w:left w:val="nil"/>
              <w:bottom w:val="single" w:sz="4" w:space="0" w:color="auto"/>
              <w:right w:val="nil"/>
            </w:tcBorders>
            <w:shd w:val="clear" w:color="000000" w:fill="EBF1DE"/>
            <w:noWrap/>
            <w:hideMark/>
          </w:tcPr>
          <w:p w:rsidR="007C1ECE" w:rsidRPr="007C1ECE" w:rsidRDefault="007C1ECE" w:rsidP="00A17BFA">
            <w:pPr>
              <w:spacing w:after="0" w:line="240" w:lineRule="auto"/>
              <w:jc w:val="center"/>
              <w:rPr>
                <w:rFonts w:eastAsia="Times New Roman" w:cs="Times New Roman"/>
                <w:b/>
                <w:bCs/>
                <w:sz w:val="16"/>
                <w:szCs w:val="16"/>
              </w:rPr>
            </w:pPr>
            <w:r w:rsidRPr="007C1ECE">
              <w:rPr>
                <w:rFonts w:eastAsia="Times New Roman" w:cs="Times New Roman"/>
                <w:b/>
                <w:bCs/>
                <w:sz w:val="16"/>
                <w:szCs w:val="16"/>
              </w:rPr>
              <w:t>(MT)</w:t>
            </w:r>
          </w:p>
        </w:tc>
        <w:tc>
          <w:tcPr>
            <w:tcW w:w="1034" w:type="pct"/>
            <w:tcBorders>
              <w:top w:val="nil"/>
              <w:left w:val="nil"/>
              <w:bottom w:val="single" w:sz="4" w:space="0" w:color="auto"/>
              <w:right w:val="single" w:sz="4" w:space="0" w:color="auto"/>
            </w:tcBorders>
            <w:shd w:val="clear" w:color="000000" w:fill="F2DCDB"/>
            <w:noWrap/>
            <w:hideMark/>
          </w:tcPr>
          <w:p w:rsidR="007C1ECE" w:rsidRPr="007C1ECE" w:rsidRDefault="007C1ECE" w:rsidP="00A17BFA">
            <w:pPr>
              <w:spacing w:after="0" w:line="240" w:lineRule="auto"/>
              <w:jc w:val="center"/>
              <w:rPr>
                <w:rFonts w:eastAsia="Times New Roman" w:cs="Times New Roman"/>
                <w:b/>
                <w:bCs/>
                <w:sz w:val="16"/>
                <w:szCs w:val="16"/>
              </w:rPr>
            </w:pPr>
            <w:r w:rsidRPr="007C1ECE">
              <w:rPr>
                <w:rFonts w:eastAsia="Times New Roman" w:cs="Times New Roman"/>
                <w:b/>
                <w:bCs/>
                <w:sz w:val="16"/>
                <w:szCs w:val="16"/>
              </w:rPr>
              <w:t>(</w:t>
            </w:r>
            <w:r w:rsidR="00065D01">
              <w:rPr>
                <w:rFonts w:eastAsia="Times New Roman" w:cs="Times New Roman"/>
                <w:b/>
                <w:bCs/>
                <w:sz w:val="16"/>
                <w:szCs w:val="16"/>
              </w:rPr>
              <w:t xml:space="preserve">Ml </w:t>
            </w:r>
            <w:r w:rsidR="00FE6385">
              <w:rPr>
                <w:rFonts w:eastAsia="Times New Roman" w:cs="Times New Roman"/>
                <w:b/>
                <w:bCs/>
                <w:sz w:val="16"/>
                <w:szCs w:val="16"/>
              </w:rPr>
              <w:t>Tonne</w:t>
            </w:r>
            <w:r w:rsidRPr="007C1ECE">
              <w:rPr>
                <w:rFonts w:eastAsia="Times New Roman" w:cs="Times New Roman"/>
                <w:b/>
                <w:bCs/>
                <w:sz w:val="16"/>
                <w:szCs w:val="16"/>
              </w:rPr>
              <w:t>)</w:t>
            </w:r>
          </w:p>
        </w:tc>
      </w:tr>
      <w:tr w:rsidR="007C1ECE" w:rsidRPr="00AD1100" w:rsidTr="00F025CE">
        <w:trPr>
          <w:trHeight w:val="288"/>
          <w:jc w:val="center"/>
        </w:trPr>
        <w:tc>
          <w:tcPr>
            <w:tcW w:w="1583" w:type="pct"/>
            <w:tcBorders>
              <w:top w:val="nil"/>
              <w:left w:val="single" w:sz="4" w:space="0" w:color="auto"/>
              <w:bottom w:val="nil"/>
              <w:right w:val="nil"/>
            </w:tcBorders>
            <w:shd w:val="clear" w:color="auto" w:fill="auto"/>
            <w:noWrap/>
            <w:vAlign w:val="bottom"/>
            <w:hideMark/>
          </w:tcPr>
          <w:p w:rsidR="007C1ECE" w:rsidRPr="007C1ECE" w:rsidRDefault="007C1ECE" w:rsidP="00A17BFA">
            <w:pPr>
              <w:spacing w:after="0" w:line="240" w:lineRule="auto"/>
              <w:rPr>
                <w:rFonts w:eastAsia="Times New Roman" w:cs="Times New Roman"/>
                <w:color w:val="000000"/>
                <w:sz w:val="20"/>
                <w:szCs w:val="20"/>
              </w:rPr>
            </w:pPr>
            <w:r w:rsidRPr="007C1ECE">
              <w:rPr>
                <w:rFonts w:eastAsia="Times New Roman" w:cs="Times New Roman"/>
                <w:color w:val="000000"/>
                <w:sz w:val="20"/>
                <w:szCs w:val="20"/>
              </w:rPr>
              <w:t>Haor Region</w:t>
            </w:r>
          </w:p>
        </w:tc>
        <w:tc>
          <w:tcPr>
            <w:tcW w:w="558"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3.42</w:t>
            </w:r>
          </w:p>
        </w:tc>
        <w:tc>
          <w:tcPr>
            <w:tcW w:w="737"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1.38</w:t>
            </w:r>
          </w:p>
        </w:tc>
        <w:tc>
          <w:tcPr>
            <w:tcW w:w="433"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1.27</w:t>
            </w:r>
          </w:p>
        </w:tc>
        <w:tc>
          <w:tcPr>
            <w:tcW w:w="655"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3.15</w:t>
            </w:r>
          </w:p>
        </w:tc>
        <w:tc>
          <w:tcPr>
            <w:tcW w:w="1034" w:type="pct"/>
            <w:tcBorders>
              <w:top w:val="nil"/>
              <w:left w:val="nil"/>
              <w:bottom w:val="nil"/>
              <w:right w:val="single" w:sz="4" w:space="0" w:color="auto"/>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4.35</w:t>
            </w:r>
          </w:p>
        </w:tc>
      </w:tr>
      <w:tr w:rsidR="007C1ECE" w:rsidRPr="00AD1100" w:rsidTr="00F025CE">
        <w:trPr>
          <w:trHeight w:val="288"/>
          <w:jc w:val="center"/>
        </w:trPr>
        <w:tc>
          <w:tcPr>
            <w:tcW w:w="1583" w:type="pct"/>
            <w:tcBorders>
              <w:top w:val="nil"/>
              <w:left w:val="single" w:sz="4" w:space="0" w:color="auto"/>
              <w:bottom w:val="nil"/>
              <w:right w:val="nil"/>
            </w:tcBorders>
            <w:shd w:val="clear" w:color="auto" w:fill="auto"/>
            <w:noWrap/>
            <w:vAlign w:val="bottom"/>
            <w:hideMark/>
          </w:tcPr>
          <w:p w:rsidR="007C1ECE" w:rsidRPr="007C1ECE" w:rsidRDefault="007C1ECE" w:rsidP="00A17BFA">
            <w:pPr>
              <w:spacing w:after="0" w:line="240" w:lineRule="auto"/>
              <w:rPr>
                <w:rFonts w:eastAsia="Times New Roman" w:cs="Times New Roman"/>
                <w:color w:val="000000"/>
                <w:sz w:val="20"/>
                <w:szCs w:val="20"/>
              </w:rPr>
            </w:pPr>
            <w:r w:rsidRPr="007C1ECE">
              <w:rPr>
                <w:rFonts w:eastAsia="Times New Roman" w:cs="Times New Roman"/>
                <w:color w:val="000000"/>
                <w:sz w:val="20"/>
                <w:szCs w:val="20"/>
              </w:rPr>
              <w:t>Coastal Region</w:t>
            </w:r>
          </w:p>
        </w:tc>
        <w:tc>
          <w:tcPr>
            <w:tcW w:w="558"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5.48</w:t>
            </w:r>
          </w:p>
        </w:tc>
        <w:tc>
          <w:tcPr>
            <w:tcW w:w="737"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2.22</w:t>
            </w:r>
          </w:p>
        </w:tc>
        <w:tc>
          <w:tcPr>
            <w:tcW w:w="433"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1.02</w:t>
            </w:r>
          </w:p>
        </w:tc>
        <w:tc>
          <w:tcPr>
            <w:tcW w:w="655"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2.53</w:t>
            </w:r>
          </w:p>
        </w:tc>
        <w:tc>
          <w:tcPr>
            <w:tcW w:w="1034" w:type="pct"/>
            <w:tcBorders>
              <w:top w:val="nil"/>
              <w:left w:val="nil"/>
              <w:bottom w:val="nil"/>
              <w:right w:val="single" w:sz="4" w:space="0" w:color="auto"/>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5.61</w:t>
            </w:r>
          </w:p>
        </w:tc>
      </w:tr>
      <w:tr w:rsidR="007C1ECE" w:rsidRPr="00AD1100" w:rsidTr="00F025CE">
        <w:trPr>
          <w:trHeight w:val="288"/>
          <w:jc w:val="center"/>
        </w:trPr>
        <w:tc>
          <w:tcPr>
            <w:tcW w:w="1583" w:type="pct"/>
            <w:tcBorders>
              <w:top w:val="nil"/>
              <w:left w:val="single" w:sz="4" w:space="0" w:color="auto"/>
              <w:bottom w:val="nil"/>
              <w:right w:val="nil"/>
            </w:tcBorders>
            <w:shd w:val="clear" w:color="auto" w:fill="auto"/>
            <w:noWrap/>
            <w:vAlign w:val="bottom"/>
            <w:hideMark/>
          </w:tcPr>
          <w:p w:rsidR="007C1ECE" w:rsidRPr="007C1ECE" w:rsidRDefault="007C1ECE" w:rsidP="00A17BFA">
            <w:pPr>
              <w:spacing w:after="0" w:line="240" w:lineRule="auto"/>
              <w:rPr>
                <w:rFonts w:eastAsia="Times New Roman" w:cs="Times New Roman"/>
                <w:color w:val="000000"/>
                <w:sz w:val="20"/>
                <w:szCs w:val="20"/>
              </w:rPr>
            </w:pPr>
            <w:r w:rsidRPr="007C1ECE">
              <w:rPr>
                <w:rFonts w:eastAsia="Times New Roman" w:cs="Times New Roman"/>
                <w:color w:val="000000"/>
                <w:sz w:val="20"/>
                <w:szCs w:val="20"/>
              </w:rPr>
              <w:t>CTG Hill Tracts</w:t>
            </w:r>
          </w:p>
        </w:tc>
        <w:tc>
          <w:tcPr>
            <w:tcW w:w="558"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0.21</w:t>
            </w:r>
          </w:p>
        </w:tc>
        <w:tc>
          <w:tcPr>
            <w:tcW w:w="737"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0.08</w:t>
            </w:r>
          </w:p>
        </w:tc>
        <w:tc>
          <w:tcPr>
            <w:tcW w:w="433"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1.11</w:t>
            </w:r>
          </w:p>
        </w:tc>
        <w:tc>
          <w:tcPr>
            <w:tcW w:w="655"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2.91</w:t>
            </w:r>
          </w:p>
        </w:tc>
        <w:tc>
          <w:tcPr>
            <w:tcW w:w="1034" w:type="pct"/>
            <w:tcBorders>
              <w:top w:val="nil"/>
              <w:left w:val="nil"/>
              <w:bottom w:val="nil"/>
              <w:right w:val="single" w:sz="4" w:space="0" w:color="auto"/>
            </w:tcBorders>
            <w:shd w:val="clear" w:color="auto" w:fill="auto"/>
            <w:noWrap/>
            <w:vAlign w:val="bottom"/>
            <w:hideMark/>
          </w:tcPr>
          <w:p w:rsidR="007C1ECE" w:rsidRPr="00A618DC" w:rsidRDefault="00437CFA"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0.23</w:t>
            </w:r>
          </w:p>
        </w:tc>
      </w:tr>
      <w:tr w:rsidR="007C1ECE" w:rsidRPr="00AD1100" w:rsidTr="00F025CE">
        <w:trPr>
          <w:trHeight w:val="288"/>
          <w:jc w:val="center"/>
        </w:trPr>
        <w:tc>
          <w:tcPr>
            <w:tcW w:w="1583" w:type="pct"/>
            <w:tcBorders>
              <w:top w:val="nil"/>
              <w:left w:val="single" w:sz="4" w:space="0" w:color="auto"/>
              <w:bottom w:val="nil"/>
              <w:right w:val="nil"/>
            </w:tcBorders>
            <w:shd w:val="clear" w:color="auto" w:fill="auto"/>
            <w:noWrap/>
            <w:vAlign w:val="bottom"/>
            <w:hideMark/>
          </w:tcPr>
          <w:p w:rsidR="007C1ECE" w:rsidRPr="007C1ECE" w:rsidRDefault="007C1ECE" w:rsidP="00A17BFA">
            <w:pPr>
              <w:spacing w:after="0" w:line="240" w:lineRule="auto"/>
              <w:rPr>
                <w:rFonts w:eastAsia="Times New Roman" w:cs="Times New Roman"/>
                <w:color w:val="000000"/>
                <w:sz w:val="20"/>
                <w:szCs w:val="20"/>
              </w:rPr>
            </w:pPr>
            <w:r w:rsidRPr="007C1ECE">
              <w:rPr>
                <w:rFonts w:eastAsia="Times New Roman" w:cs="Times New Roman"/>
                <w:color w:val="000000"/>
                <w:sz w:val="20"/>
                <w:szCs w:val="20"/>
              </w:rPr>
              <w:t xml:space="preserve">Urban </w:t>
            </w:r>
            <w:r w:rsidR="00C0571B">
              <w:rPr>
                <w:rFonts w:eastAsia="Times New Roman" w:cs="Times New Roman"/>
                <w:color w:val="000000"/>
                <w:sz w:val="20"/>
                <w:szCs w:val="20"/>
              </w:rPr>
              <w:t xml:space="preserve"> Region</w:t>
            </w:r>
          </w:p>
        </w:tc>
        <w:tc>
          <w:tcPr>
            <w:tcW w:w="558"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2.83</w:t>
            </w:r>
          </w:p>
        </w:tc>
        <w:tc>
          <w:tcPr>
            <w:tcW w:w="737"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1.14</w:t>
            </w:r>
          </w:p>
        </w:tc>
        <w:tc>
          <w:tcPr>
            <w:tcW w:w="433"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1.14</w:t>
            </w:r>
          </w:p>
        </w:tc>
        <w:tc>
          <w:tcPr>
            <w:tcW w:w="655"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2.83</w:t>
            </w:r>
          </w:p>
        </w:tc>
        <w:tc>
          <w:tcPr>
            <w:tcW w:w="1034" w:type="pct"/>
            <w:tcBorders>
              <w:top w:val="nil"/>
              <w:left w:val="nil"/>
              <w:bottom w:val="nil"/>
              <w:right w:val="single" w:sz="4" w:space="0" w:color="auto"/>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3.23</w:t>
            </w:r>
          </w:p>
        </w:tc>
      </w:tr>
      <w:tr w:rsidR="007C1ECE" w:rsidRPr="00AD1100" w:rsidTr="00F025CE">
        <w:trPr>
          <w:trHeight w:val="288"/>
          <w:jc w:val="center"/>
        </w:trPr>
        <w:tc>
          <w:tcPr>
            <w:tcW w:w="1583" w:type="pct"/>
            <w:tcBorders>
              <w:top w:val="nil"/>
              <w:left w:val="single" w:sz="4" w:space="0" w:color="auto"/>
              <w:bottom w:val="nil"/>
              <w:right w:val="nil"/>
            </w:tcBorders>
            <w:shd w:val="clear" w:color="auto" w:fill="auto"/>
            <w:noWrap/>
            <w:vAlign w:val="bottom"/>
            <w:hideMark/>
          </w:tcPr>
          <w:p w:rsidR="007C1ECE" w:rsidRPr="00690719" w:rsidRDefault="00F64A6A" w:rsidP="00A17BFA">
            <w:pPr>
              <w:spacing w:after="0" w:line="240" w:lineRule="auto"/>
              <w:rPr>
                <w:rFonts w:eastAsia="Times New Roman" w:cs="Times New Roman"/>
                <w:color w:val="000000"/>
                <w:sz w:val="20"/>
                <w:szCs w:val="20"/>
                <w:u w:val="single"/>
              </w:rPr>
            </w:pPr>
            <w:r w:rsidRPr="00F64A6A">
              <w:rPr>
                <w:rFonts w:eastAsia="Times New Roman" w:cs="Times New Roman"/>
                <w:color w:val="000000"/>
                <w:sz w:val="20"/>
                <w:szCs w:val="20"/>
                <w:u w:val="single"/>
              </w:rPr>
              <w:t>Barind and Drought Prone Region</w:t>
            </w:r>
          </w:p>
        </w:tc>
        <w:tc>
          <w:tcPr>
            <w:tcW w:w="558" w:type="pct"/>
            <w:tcBorders>
              <w:top w:val="nil"/>
              <w:left w:val="nil"/>
              <w:bottom w:val="nil"/>
              <w:right w:val="nil"/>
            </w:tcBorders>
            <w:shd w:val="clear" w:color="auto" w:fill="auto"/>
            <w:noWrap/>
            <w:vAlign w:val="bottom"/>
            <w:hideMark/>
          </w:tcPr>
          <w:p w:rsidR="007C1ECE" w:rsidRPr="00690719" w:rsidRDefault="00F64A6A" w:rsidP="00A17BFA">
            <w:pPr>
              <w:shd w:val="clear" w:color="000000" w:fill="CCC0DA"/>
              <w:spacing w:before="100" w:beforeAutospacing="1" w:after="0" w:afterAutospacing="1" w:line="240" w:lineRule="auto"/>
              <w:jc w:val="right"/>
              <w:rPr>
                <w:rFonts w:eastAsia="Times New Roman" w:cs="Times New Roman"/>
                <w:color w:val="000000"/>
                <w:sz w:val="20"/>
                <w:u w:val="single"/>
              </w:rPr>
            </w:pPr>
            <w:r w:rsidRPr="00F64A6A">
              <w:rPr>
                <w:rFonts w:eastAsia="Times New Roman" w:cs="Times New Roman"/>
                <w:color w:val="000000"/>
                <w:sz w:val="20"/>
                <w:u w:val="single"/>
              </w:rPr>
              <w:t>5.99</w:t>
            </w:r>
          </w:p>
        </w:tc>
        <w:tc>
          <w:tcPr>
            <w:tcW w:w="737" w:type="pct"/>
            <w:tcBorders>
              <w:top w:val="nil"/>
              <w:left w:val="nil"/>
              <w:bottom w:val="nil"/>
              <w:right w:val="nil"/>
            </w:tcBorders>
            <w:shd w:val="clear" w:color="auto" w:fill="auto"/>
            <w:noWrap/>
            <w:vAlign w:val="bottom"/>
            <w:hideMark/>
          </w:tcPr>
          <w:p w:rsidR="007C1ECE" w:rsidRPr="00690719" w:rsidRDefault="00F64A6A" w:rsidP="00A17BFA">
            <w:pPr>
              <w:shd w:val="clear" w:color="000000" w:fill="CCC0DA"/>
              <w:spacing w:before="100" w:beforeAutospacing="1" w:after="0" w:afterAutospacing="1" w:line="240" w:lineRule="auto"/>
              <w:jc w:val="right"/>
              <w:rPr>
                <w:rFonts w:eastAsia="Times New Roman" w:cs="Times New Roman"/>
                <w:color w:val="000000"/>
                <w:sz w:val="20"/>
                <w:u w:val="single"/>
              </w:rPr>
            </w:pPr>
            <w:r w:rsidRPr="00F64A6A">
              <w:rPr>
                <w:rFonts w:eastAsia="Times New Roman" w:cs="Times New Roman"/>
                <w:color w:val="000000"/>
                <w:sz w:val="20"/>
                <w:u w:val="single"/>
              </w:rPr>
              <w:t>2.43</w:t>
            </w:r>
          </w:p>
        </w:tc>
        <w:tc>
          <w:tcPr>
            <w:tcW w:w="433" w:type="pct"/>
            <w:tcBorders>
              <w:top w:val="nil"/>
              <w:left w:val="nil"/>
              <w:bottom w:val="nil"/>
              <w:right w:val="nil"/>
            </w:tcBorders>
            <w:shd w:val="clear" w:color="auto" w:fill="auto"/>
            <w:noWrap/>
            <w:vAlign w:val="bottom"/>
            <w:hideMark/>
          </w:tcPr>
          <w:p w:rsidR="007C1ECE" w:rsidRPr="00690719" w:rsidRDefault="00F64A6A" w:rsidP="00A17BFA">
            <w:pPr>
              <w:shd w:val="clear" w:color="000000" w:fill="CCC0DA"/>
              <w:spacing w:before="100" w:beforeAutospacing="1" w:after="0" w:afterAutospacing="1" w:line="240" w:lineRule="auto"/>
              <w:jc w:val="right"/>
              <w:rPr>
                <w:rFonts w:eastAsia="Times New Roman" w:cs="Times New Roman"/>
                <w:color w:val="000000"/>
                <w:sz w:val="20"/>
                <w:u w:val="single"/>
              </w:rPr>
            </w:pPr>
            <w:r w:rsidRPr="00F64A6A">
              <w:rPr>
                <w:rFonts w:eastAsia="Times New Roman" w:cs="Times New Roman"/>
                <w:color w:val="000000"/>
                <w:sz w:val="20"/>
                <w:u w:val="single"/>
              </w:rPr>
              <w:t>1.33</w:t>
            </w:r>
          </w:p>
        </w:tc>
        <w:tc>
          <w:tcPr>
            <w:tcW w:w="655" w:type="pct"/>
            <w:tcBorders>
              <w:top w:val="nil"/>
              <w:left w:val="nil"/>
              <w:bottom w:val="nil"/>
              <w:right w:val="nil"/>
            </w:tcBorders>
            <w:shd w:val="clear" w:color="auto" w:fill="auto"/>
            <w:noWrap/>
            <w:vAlign w:val="bottom"/>
            <w:hideMark/>
          </w:tcPr>
          <w:p w:rsidR="007C1ECE" w:rsidRPr="00690719" w:rsidRDefault="00F64A6A" w:rsidP="00A17BFA">
            <w:pPr>
              <w:shd w:val="clear" w:color="000000" w:fill="CCC0DA"/>
              <w:spacing w:before="100" w:beforeAutospacing="1" w:after="0" w:afterAutospacing="1" w:line="240" w:lineRule="auto"/>
              <w:jc w:val="right"/>
              <w:rPr>
                <w:rFonts w:eastAsia="Times New Roman" w:cs="Times New Roman"/>
                <w:color w:val="000000"/>
                <w:sz w:val="20"/>
                <w:u w:val="single"/>
              </w:rPr>
            </w:pPr>
            <w:r w:rsidRPr="00F64A6A">
              <w:rPr>
                <w:rFonts w:eastAsia="Times New Roman" w:cs="Times New Roman"/>
                <w:color w:val="000000"/>
                <w:sz w:val="20"/>
                <w:u w:val="single"/>
              </w:rPr>
              <w:t>3.28</w:t>
            </w:r>
          </w:p>
        </w:tc>
        <w:tc>
          <w:tcPr>
            <w:tcW w:w="1034" w:type="pct"/>
            <w:tcBorders>
              <w:top w:val="nil"/>
              <w:left w:val="nil"/>
              <w:bottom w:val="nil"/>
              <w:right w:val="single" w:sz="4" w:space="0" w:color="auto"/>
            </w:tcBorders>
            <w:shd w:val="clear" w:color="auto" w:fill="auto"/>
            <w:noWrap/>
            <w:vAlign w:val="bottom"/>
            <w:hideMark/>
          </w:tcPr>
          <w:p w:rsidR="007C1ECE" w:rsidRPr="00690719" w:rsidRDefault="00F64A6A" w:rsidP="00A17BFA">
            <w:pPr>
              <w:shd w:val="clear" w:color="000000" w:fill="CCC0DA"/>
              <w:spacing w:before="100" w:beforeAutospacing="1" w:after="0" w:afterAutospacing="1" w:line="240" w:lineRule="auto"/>
              <w:jc w:val="right"/>
              <w:rPr>
                <w:rFonts w:eastAsia="Times New Roman" w:cs="Times New Roman"/>
                <w:color w:val="000000"/>
                <w:sz w:val="20"/>
                <w:u w:val="single"/>
              </w:rPr>
            </w:pPr>
            <w:r w:rsidRPr="00F64A6A">
              <w:rPr>
                <w:rFonts w:eastAsia="Times New Roman" w:cs="Times New Roman"/>
                <w:color w:val="000000"/>
                <w:sz w:val="20"/>
                <w:u w:val="single"/>
              </w:rPr>
              <w:t>7.96</w:t>
            </w:r>
          </w:p>
        </w:tc>
      </w:tr>
      <w:tr w:rsidR="007C1ECE" w:rsidRPr="00AD1100" w:rsidTr="00F025CE">
        <w:trPr>
          <w:trHeight w:val="288"/>
          <w:jc w:val="center"/>
        </w:trPr>
        <w:tc>
          <w:tcPr>
            <w:tcW w:w="1583" w:type="pct"/>
            <w:tcBorders>
              <w:top w:val="nil"/>
              <w:left w:val="single" w:sz="4" w:space="0" w:color="auto"/>
              <w:bottom w:val="nil"/>
              <w:right w:val="nil"/>
            </w:tcBorders>
            <w:shd w:val="clear" w:color="auto" w:fill="auto"/>
            <w:noWrap/>
            <w:vAlign w:val="bottom"/>
            <w:hideMark/>
          </w:tcPr>
          <w:p w:rsidR="007C1ECE" w:rsidRPr="007C1ECE" w:rsidRDefault="007C1ECE" w:rsidP="00A17BFA">
            <w:pPr>
              <w:spacing w:after="0" w:line="240" w:lineRule="auto"/>
              <w:rPr>
                <w:rFonts w:eastAsia="Times New Roman" w:cs="Times New Roman"/>
                <w:color w:val="000000"/>
                <w:sz w:val="20"/>
                <w:szCs w:val="20"/>
              </w:rPr>
            </w:pPr>
            <w:r w:rsidRPr="007C1ECE">
              <w:rPr>
                <w:rFonts w:eastAsia="Times New Roman" w:cs="Times New Roman"/>
                <w:color w:val="000000"/>
                <w:sz w:val="20"/>
                <w:szCs w:val="20"/>
              </w:rPr>
              <w:t>Rivers &amp; Estuaries</w:t>
            </w:r>
          </w:p>
        </w:tc>
        <w:tc>
          <w:tcPr>
            <w:tcW w:w="558"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6.93</w:t>
            </w:r>
          </w:p>
        </w:tc>
        <w:tc>
          <w:tcPr>
            <w:tcW w:w="737"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2.81</w:t>
            </w:r>
          </w:p>
        </w:tc>
        <w:tc>
          <w:tcPr>
            <w:tcW w:w="433"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1.27</w:t>
            </w:r>
          </w:p>
        </w:tc>
        <w:tc>
          <w:tcPr>
            <w:tcW w:w="655"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3.14</w:t>
            </w:r>
          </w:p>
        </w:tc>
        <w:tc>
          <w:tcPr>
            <w:tcW w:w="1034" w:type="pct"/>
            <w:tcBorders>
              <w:top w:val="nil"/>
              <w:left w:val="nil"/>
              <w:bottom w:val="nil"/>
              <w:right w:val="single" w:sz="4" w:space="0" w:color="auto"/>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8.82</w:t>
            </w:r>
          </w:p>
        </w:tc>
      </w:tr>
      <w:tr w:rsidR="007C1ECE" w:rsidRPr="00AD1100" w:rsidTr="00F025CE">
        <w:trPr>
          <w:trHeight w:val="288"/>
          <w:jc w:val="center"/>
        </w:trPr>
        <w:tc>
          <w:tcPr>
            <w:tcW w:w="1583" w:type="pct"/>
            <w:tcBorders>
              <w:top w:val="nil"/>
              <w:left w:val="single" w:sz="4" w:space="0" w:color="auto"/>
              <w:bottom w:val="nil"/>
              <w:right w:val="nil"/>
            </w:tcBorders>
            <w:shd w:val="clear" w:color="auto" w:fill="auto"/>
            <w:noWrap/>
            <w:vAlign w:val="bottom"/>
            <w:hideMark/>
          </w:tcPr>
          <w:p w:rsidR="007C1ECE" w:rsidRPr="007C1ECE" w:rsidRDefault="00C0571B" w:rsidP="00A17BFA">
            <w:pPr>
              <w:spacing w:after="0" w:line="240" w:lineRule="auto"/>
              <w:rPr>
                <w:rFonts w:eastAsia="Times New Roman" w:cs="Times New Roman"/>
                <w:color w:val="000000"/>
                <w:sz w:val="20"/>
                <w:szCs w:val="20"/>
              </w:rPr>
            </w:pPr>
            <w:r>
              <w:rPr>
                <w:rFonts w:eastAsia="Times New Roman" w:cs="Times New Roman"/>
                <w:color w:val="000000"/>
                <w:sz w:val="20"/>
                <w:szCs w:val="20"/>
              </w:rPr>
              <w:t>Safe Areas</w:t>
            </w:r>
          </w:p>
        </w:tc>
        <w:tc>
          <w:tcPr>
            <w:tcW w:w="558"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3.25</w:t>
            </w:r>
          </w:p>
        </w:tc>
        <w:tc>
          <w:tcPr>
            <w:tcW w:w="737"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1.31</w:t>
            </w:r>
          </w:p>
        </w:tc>
        <w:tc>
          <w:tcPr>
            <w:tcW w:w="433"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1.28</w:t>
            </w:r>
          </w:p>
        </w:tc>
        <w:tc>
          <w:tcPr>
            <w:tcW w:w="655" w:type="pct"/>
            <w:tcBorders>
              <w:top w:val="nil"/>
              <w:left w:val="nil"/>
              <w:bottom w:val="nil"/>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3.18</w:t>
            </w:r>
          </w:p>
        </w:tc>
        <w:tc>
          <w:tcPr>
            <w:tcW w:w="1034" w:type="pct"/>
            <w:tcBorders>
              <w:top w:val="nil"/>
              <w:left w:val="nil"/>
              <w:bottom w:val="nil"/>
              <w:right w:val="single" w:sz="4" w:space="0" w:color="auto"/>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4.16</w:t>
            </w:r>
          </w:p>
        </w:tc>
      </w:tr>
      <w:tr w:rsidR="007C1ECE" w:rsidRPr="00AD1100" w:rsidTr="00F025CE">
        <w:trPr>
          <w:trHeight w:val="70"/>
          <w:jc w:val="center"/>
        </w:trPr>
        <w:tc>
          <w:tcPr>
            <w:tcW w:w="1583" w:type="pct"/>
            <w:tcBorders>
              <w:top w:val="single" w:sz="4" w:space="0" w:color="auto"/>
              <w:left w:val="single" w:sz="4" w:space="0" w:color="auto"/>
              <w:bottom w:val="double" w:sz="6" w:space="0" w:color="auto"/>
              <w:right w:val="nil"/>
            </w:tcBorders>
            <w:shd w:val="clear" w:color="auto" w:fill="auto"/>
            <w:noWrap/>
            <w:vAlign w:val="bottom"/>
            <w:hideMark/>
          </w:tcPr>
          <w:p w:rsidR="007C1ECE" w:rsidRPr="007C1ECE" w:rsidRDefault="007C1ECE" w:rsidP="00A17BFA">
            <w:pPr>
              <w:spacing w:after="0" w:line="240" w:lineRule="auto"/>
              <w:rPr>
                <w:rFonts w:eastAsia="Times New Roman" w:cs="Times New Roman"/>
                <w:color w:val="000000"/>
                <w:sz w:val="20"/>
                <w:szCs w:val="20"/>
              </w:rPr>
            </w:pPr>
            <w:r w:rsidRPr="007C1ECE">
              <w:rPr>
                <w:rFonts w:eastAsia="Times New Roman" w:cs="Times New Roman"/>
                <w:color w:val="000000"/>
                <w:sz w:val="20"/>
                <w:szCs w:val="20"/>
              </w:rPr>
              <w:t>Bangladesh</w:t>
            </w:r>
          </w:p>
        </w:tc>
        <w:tc>
          <w:tcPr>
            <w:tcW w:w="558" w:type="pct"/>
            <w:tcBorders>
              <w:top w:val="single" w:sz="4" w:space="0" w:color="auto"/>
              <w:left w:val="nil"/>
              <w:bottom w:val="double" w:sz="6" w:space="0" w:color="auto"/>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28.11</w:t>
            </w:r>
          </w:p>
        </w:tc>
        <w:tc>
          <w:tcPr>
            <w:tcW w:w="737" w:type="pct"/>
            <w:tcBorders>
              <w:top w:val="single" w:sz="4" w:space="0" w:color="auto"/>
              <w:left w:val="nil"/>
              <w:bottom w:val="double" w:sz="6" w:space="0" w:color="auto"/>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11.37</w:t>
            </w:r>
          </w:p>
        </w:tc>
        <w:tc>
          <w:tcPr>
            <w:tcW w:w="433" w:type="pct"/>
            <w:tcBorders>
              <w:top w:val="single" w:sz="4" w:space="0" w:color="auto"/>
              <w:left w:val="nil"/>
              <w:bottom w:val="double" w:sz="6" w:space="0" w:color="auto"/>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1.22</w:t>
            </w:r>
          </w:p>
        </w:tc>
        <w:tc>
          <w:tcPr>
            <w:tcW w:w="655" w:type="pct"/>
            <w:tcBorders>
              <w:top w:val="single" w:sz="4" w:space="0" w:color="auto"/>
              <w:left w:val="nil"/>
              <w:bottom w:val="double" w:sz="6" w:space="0" w:color="auto"/>
              <w:right w:val="nil"/>
            </w:tcBorders>
            <w:shd w:val="clear" w:color="auto" w:fill="auto"/>
            <w:noWrap/>
            <w:vAlign w:val="bottom"/>
            <w:hideMark/>
          </w:tcPr>
          <w:p w:rsidR="007C1ECE" w:rsidRPr="00A618DC" w:rsidRDefault="007C1ECE"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3.02</w:t>
            </w:r>
          </w:p>
        </w:tc>
        <w:tc>
          <w:tcPr>
            <w:tcW w:w="1034" w:type="pct"/>
            <w:tcBorders>
              <w:top w:val="single" w:sz="4" w:space="0" w:color="auto"/>
              <w:left w:val="nil"/>
              <w:bottom w:val="double" w:sz="6" w:space="0" w:color="auto"/>
              <w:right w:val="single" w:sz="4" w:space="0" w:color="auto"/>
            </w:tcBorders>
            <w:shd w:val="clear" w:color="auto" w:fill="auto"/>
            <w:noWrap/>
            <w:vAlign w:val="bottom"/>
            <w:hideMark/>
          </w:tcPr>
          <w:p w:rsidR="007C1ECE" w:rsidRPr="00A618DC" w:rsidRDefault="00437CFA" w:rsidP="00A17BFA">
            <w:pPr>
              <w:spacing w:after="0" w:line="240" w:lineRule="auto"/>
              <w:jc w:val="right"/>
              <w:rPr>
                <w:rFonts w:eastAsia="Times New Roman" w:cs="Times New Roman"/>
                <w:color w:val="000000"/>
                <w:sz w:val="20"/>
              </w:rPr>
            </w:pPr>
            <w:r w:rsidRPr="00A618DC">
              <w:rPr>
                <w:rFonts w:eastAsia="Times New Roman" w:cs="Times New Roman"/>
                <w:color w:val="000000"/>
                <w:sz w:val="20"/>
              </w:rPr>
              <w:t>34.36</w:t>
            </w:r>
          </w:p>
        </w:tc>
      </w:tr>
    </w:tbl>
    <w:p w:rsidR="007C1ECE" w:rsidRPr="00AD1100" w:rsidRDefault="00A618DC" w:rsidP="00BD6261">
      <w:pPr>
        <w:autoSpaceDE w:val="0"/>
        <w:autoSpaceDN w:val="0"/>
        <w:adjustRightInd w:val="0"/>
        <w:spacing w:before="120" w:after="200" w:line="276" w:lineRule="auto"/>
        <w:jc w:val="both"/>
        <w:rPr>
          <w:rFonts w:cs="Times New Roman"/>
          <w:b/>
          <w:i/>
          <w:sz w:val="20"/>
          <w:szCs w:val="20"/>
        </w:rPr>
      </w:pPr>
      <w:r>
        <w:rPr>
          <w:rFonts w:cs="Times New Roman"/>
          <w:b/>
          <w:i/>
          <w:sz w:val="20"/>
          <w:szCs w:val="20"/>
        </w:rPr>
        <w:t xml:space="preserve">Source: BBS </w:t>
      </w:r>
    </w:p>
    <w:p w:rsidR="00611F28" w:rsidRPr="00690719" w:rsidRDefault="00E24958" w:rsidP="00E24958">
      <w:pPr>
        <w:autoSpaceDE w:val="0"/>
        <w:autoSpaceDN w:val="0"/>
        <w:adjustRightInd w:val="0"/>
        <w:spacing w:after="200" w:line="276" w:lineRule="auto"/>
        <w:jc w:val="both"/>
        <w:rPr>
          <w:rFonts w:cs="Times New Roman"/>
          <w:szCs w:val="24"/>
          <w:u w:val="single"/>
        </w:rPr>
      </w:pPr>
      <w:r w:rsidRPr="00D23EE9">
        <w:rPr>
          <w:rFonts w:cs="Times New Roman"/>
          <w:b/>
          <w:i/>
          <w:szCs w:val="24"/>
        </w:rPr>
        <w:t>Fisheries</w:t>
      </w:r>
      <w:r>
        <w:rPr>
          <w:rFonts w:cs="Times New Roman"/>
          <w:szCs w:val="24"/>
        </w:rPr>
        <w:t>: Table 8.</w:t>
      </w:r>
      <w:r w:rsidR="009A2B3D">
        <w:rPr>
          <w:rFonts w:cs="Times New Roman"/>
          <w:szCs w:val="24"/>
        </w:rPr>
        <w:t>22</w:t>
      </w:r>
      <w:r>
        <w:rPr>
          <w:rFonts w:cs="Times New Roman"/>
          <w:szCs w:val="24"/>
        </w:rPr>
        <w:t xml:space="preserve"> presents a summary of fisheries production (2.2 million MT in 2013-14) across the various Delta Hotspots. </w:t>
      </w:r>
      <w:r w:rsidR="00F64A6A" w:rsidRPr="00F64A6A">
        <w:rPr>
          <w:rFonts w:cs="Times New Roman"/>
          <w:szCs w:val="24"/>
          <w:u w:val="single"/>
        </w:rPr>
        <w:t xml:space="preserve">Except for urban and CHT zones, fish is a major source of economic activity in the other 4 hotspot areas.  The coastal zone accounts for some 35% of total fish production followed closely by the rivers and estuaries zone (34.1%). Most of the shrimp production (98%) happens in the coastal zone.  </w:t>
      </w:r>
    </w:p>
    <w:p w:rsidR="00F025CE" w:rsidRDefault="00F025CE">
      <w:r>
        <w:rPr>
          <w:b/>
          <w:bCs/>
        </w:rPr>
        <w:br w:type="page"/>
      </w:r>
    </w:p>
    <w:tbl>
      <w:tblPr>
        <w:tblW w:w="5000" w:type="pct"/>
        <w:jc w:val="center"/>
        <w:tblLook w:val="04A0"/>
      </w:tblPr>
      <w:tblGrid>
        <w:gridCol w:w="1767"/>
        <w:gridCol w:w="834"/>
        <w:gridCol w:w="732"/>
        <w:gridCol w:w="889"/>
        <w:gridCol w:w="835"/>
        <w:gridCol w:w="1176"/>
        <w:gridCol w:w="881"/>
        <w:gridCol w:w="778"/>
        <w:gridCol w:w="952"/>
        <w:gridCol w:w="732"/>
      </w:tblGrid>
      <w:tr w:rsidR="00C02121" w:rsidRPr="00E63054" w:rsidTr="00C02121">
        <w:trPr>
          <w:trHeight w:val="288"/>
          <w:jc w:val="center"/>
        </w:trPr>
        <w:tc>
          <w:tcPr>
            <w:tcW w:w="5000" w:type="pct"/>
            <w:gridSpan w:val="10"/>
            <w:tcBorders>
              <w:top w:val="nil"/>
              <w:left w:val="nil"/>
              <w:bottom w:val="single" w:sz="4" w:space="0" w:color="auto"/>
              <w:right w:val="nil"/>
            </w:tcBorders>
            <w:shd w:val="clear" w:color="auto" w:fill="auto"/>
            <w:noWrap/>
            <w:vAlign w:val="bottom"/>
            <w:hideMark/>
          </w:tcPr>
          <w:p w:rsidR="00C02121" w:rsidRPr="00CC577C" w:rsidRDefault="00F64A6A" w:rsidP="00CC577C">
            <w:pPr>
              <w:pStyle w:val="Heading4"/>
              <w:rPr>
                <w:u w:val="single"/>
              </w:rPr>
            </w:pPr>
            <w:bookmarkStart w:id="628" w:name="_Toc474639066"/>
            <w:r w:rsidRPr="00F64A6A">
              <w:rPr>
                <w:u w:val="single"/>
              </w:rPr>
              <w:lastRenderedPageBreak/>
              <w:t>Table 8.22:  Fisheries Production by Hotspots 2013-14 (tonnes)</w:t>
            </w:r>
            <w:bookmarkEnd w:id="628"/>
          </w:p>
        </w:tc>
      </w:tr>
      <w:tr w:rsidR="00C23916" w:rsidRPr="00E63054" w:rsidTr="00F025CE">
        <w:trPr>
          <w:trHeight w:val="665"/>
          <w:jc w:val="center"/>
        </w:trPr>
        <w:tc>
          <w:tcPr>
            <w:tcW w:w="923" w:type="pct"/>
            <w:tcBorders>
              <w:top w:val="nil"/>
              <w:left w:val="single" w:sz="4" w:space="0" w:color="auto"/>
              <w:bottom w:val="single" w:sz="4" w:space="0" w:color="auto"/>
              <w:right w:val="nil"/>
            </w:tcBorders>
            <w:shd w:val="clear" w:color="auto" w:fill="auto"/>
            <w:noWrap/>
            <w:vAlign w:val="bottom"/>
            <w:hideMark/>
          </w:tcPr>
          <w:p w:rsidR="00C23916" w:rsidRPr="00BD6261" w:rsidRDefault="00C23916" w:rsidP="00A17BFA">
            <w:pPr>
              <w:spacing w:after="0" w:line="240" w:lineRule="auto"/>
              <w:jc w:val="center"/>
              <w:rPr>
                <w:rFonts w:eastAsia="Times New Roman" w:cs="Times New Roman"/>
                <w:b/>
                <w:color w:val="000000"/>
                <w:sz w:val="20"/>
              </w:rPr>
            </w:pPr>
            <w:r w:rsidRPr="00BD6261">
              <w:rPr>
                <w:rFonts w:eastAsia="Times New Roman" w:cs="Times New Roman"/>
                <w:b/>
                <w:color w:val="000000"/>
                <w:sz w:val="20"/>
              </w:rPr>
              <w:t>Delta Hotspots</w:t>
            </w:r>
          </w:p>
        </w:tc>
        <w:tc>
          <w:tcPr>
            <w:tcW w:w="436" w:type="pct"/>
            <w:tcBorders>
              <w:top w:val="nil"/>
              <w:left w:val="nil"/>
              <w:bottom w:val="single" w:sz="4" w:space="0" w:color="auto"/>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b/>
                <w:bCs/>
                <w:sz w:val="20"/>
              </w:rPr>
            </w:pPr>
            <w:r w:rsidRPr="00BD6261">
              <w:rPr>
                <w:rFonts w:eastAsia="Times New Roman" w:cs="Times New Roman"/>
                <w:b/>
                <w:bCs/>
                <w:sz w:val="20"/>
              </w:rPr>
              <w:t>River</w:t>
            </w:r>
          </w:p>
        </w:tc>
        <w:tc>
          <w:tcPr>
            <w:tcW w:w="382" w:type="pct"/>
            <w:tcBorders>
              <w:top w:val="nil"/>
              <w:left w:val="nil"/>
              <w:bottom w:val="single" w:sz="4" w:space="0" w:color="auto"/>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b/>
                <w:bCs/>
                <w:sz w:val="20"/>
              </w:rPr>
            </w:pPr>
            <w:r w:rsidRPr="00BD6261">
              <w:rPr>
                <w:rFonts w:eastAsia="Times New Roman" w:cs="Times New Roman"/>
                <w:b/>
                <w:bCs/>
                <w:sz w:val="20"/>
              </w:rPr>
              <w:t>Beel</w:t>
            </w:r>
          </w:p>
        </w:tc>
        <w:tc>
          <w:tcPr>
            <w:tcW w:w="464" w:type="pct"/>
            <w:tcBorders>
              <w:top w:val="nil"/>
              <w:left w:val="nil"/>
              <w:bottom w:val="single" w:sz="4" w:space="0" w:color="auto"/>
              <w:right w:val="nil"/>
            </w:tcBorders>
            <w:shd w:val="clear" w:color="auto" w:fill="auto"/>
            <w:vAlign w:val="bottom"/>
            <w:hideMark/>
          </w:tcPr>
          <w:p w:rsidR="00C23916" w:rsidRPr="00BD6261" w:rsidRDefault="00C23916" w:rsidP="00A17BFA">
            <w:pPr>
              <w:spacing w:after="0" w:line="240" w:lineRule="auto"/>
              <w:rPr>
                <w:rFonts w:eastAsia="Times New Roman" w:cs="Times New Roman"/>
                <w:b/>
                <w:bCs/>
                <w:sz w:val="20"/>
              </w:rPr>
            </w:pPr>
            <w:r w:rsidRPr="00BD6261">
              <w:rPr>
                <w:rFonts w:eastAsia="Times New Roman" w:cs="Times New Roman"/>
                <w:b/>
                <w:bCs/>
                <w:sz w:val="20"/>
              </w:rPr>
              <w:t>Flood-plain</w:t>
            </w:r>
          </w:p>
        </w:tc>
        <w:tc>
          <w:tcPr>
            <w:tcW w:w="436" w:type="pct"/>
            <w:tcBorders>
              <w:top w:val="nil"/>
              <w:left w:val="nil"/>
              <w:bottom w:val="single" w:sz="4" w:space="0" w:color="auto"/>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b/>
                <w:bCs/>
                <w:sz w:val="20"/>
              </w:rPr>
            </w:pPr>
            <w:r w:rsidRPr="00BD6261">
              <w:rPr>
                <w:rFonts w:eastAsia="Times New Roman" w:cs="Times New Roman"/>
                <w:b/>
                <w:bCs/>
                <w:sz w:val="20"/>
              </w:rPr>
              <w:t>Pond</w:t>
            </w:r>
          </w:p>
        </w:tc>
        <w:tc>
          <w:tcPr>
            <w:tcW w:w="614" w:type="pct"/>
            <w:tcBorders>
              <w:top w:val="nil"/>
              <w:left w:val="nil"/>
              <w:bottom w:val="single" w:sz="4" w:space="0" w:color="auto"/>
              <w:right w:val="nil"/>
            </w:tcBorders>
            <w:shd w:val="clear" w:color="auto" w:fill="auto"/>
            <w:vAlign w:val="bottom"/>
            <w:hideMark/>
          </w:tcPr>
          <w:p w:rsidR="00C23916" w:rsidRPr="00BD6261" w:rsidRDefault="00C23916" w:rsidP="00A17BFA">
            <w:pPr>
              <w:spacing w:after="0" w:line="240" w:lineRule="auto"/>
              <w:rPr>
                <w:rFonts w:eastAsia="Times New Roman" w:cs="Times New Roman"/>
                <w:b/>
                <w:bCs/>
                <w:sz w:val="20"/>
              </w:rPr>
            </w:pPr>
            <w:r w:rsidRPr="00BD6261">
              <w:rPr>
                <w:rFonts w:eastAsia="Times New Roman" w:cs="Times New Roman"/>
                <w:b/>
                <w:bCs/>
                <w:sz w:val="20"/>
              </w:rPr>
              <w:t>Seasonal cultured water body</w:t>
            </w:r>
          </w:p>
        </w:tc>
        <w:tc>
          <w:tcPr>
            <w:tcW w:w="460" w:type="pct"/>
            <w:tcBorders>
              <w:top w:val="nil"/>
              <w:left w:val="nil"/>
              <w:bottom w:val="single" w:sz="4" w:space="0" w:color="auto"/>
              <w:right w:val="nil"/>
            </w:tcBorders>
            <w:shd w:val="clear" w:color="auto" w:fill="auto"/>
            <w:vAlign w:val="bottom"/>
            <w:hideMark/>
          </w:tcPr>
          <w:p w:rsidR="00C23916" w:rsidRPr="00BD6261" w:rsidRDefault="00C23916" w:rsidP="00A17BFA">
            <w:pPr>
              <w:spacing w:after="0" w:line="240" w:lineRule="auto"/>
              <w:rPr>
                <w:rFonts w:eastAsia="Times New Roman" w:cs="Times New Roman"/>
                <w:b/>
                <w:bCs/>
                <w:sz w:val="20"/>
              </w:rPr>
            </w:pPr>
            <w:r w:rsidRPr="00BD6261">
              <w:rPr>
                <w:rFonts w:eastAsia="Times New Roman" w:cs="Times New Roman"/>
                <w:b/>
                <w:bCs/>
                <w:sz w:val="20"/>
              </w:rPr>
              <w:t>Shrimp Farm</w:t>
            </w:r>
          </w:p>
        </w:tc>
        <w:tc>
          <w:tcPr>
            <w:tcW w:w="406" w:type="pct"/>
            <w:tcBorders>
              <w:top w:val="nil"/>
              <w:left w:val="nil"/>
              <w:bottom w:val="single" w:sz="4" w:space="0" w:color="auto"/>
              <w:right w:val="nil"/>
            </w:tcBorders>
            <w:shd w:val="clear" w:color="auto" w:fill="auto"/>
            <w:vAlign w:val="bottom"/>
            <w:hideMark/>
          </w:tcPr>
          <w:p w:rsidR="00C23916" w:rsidRPr="00BD6261" w:rsidRDefault="00C23916" w:rsidP="00A17BFA">
            <w:pPr>
              <w:spacing w:after="0" w:line="240" w:lineRule="auto"/>
              <w:rPr>
                <w:rFonts w:eastAsia="Times New Roman" w:cs="Times New Roman"/>
                <w:b/>
                <w:bCs/>
                <w:sz w:val="20"/>
              </w:rPr>
            </w:pPr>
            <w:r w:rsidRPr="00BD6261">
              <w:rPr>
                <w:rFonts w:eastAsia="Times New Roman" w:cs="Times New Roman"/>
                <w:b/>
                <w:bCs/>
                <w:sz w:val="20"/>
              </w:rPr>
              <w:t>Other</w:t>
            </w:r>
          </w:p>
        </w:tc>
        <w:tc>
          <w:tcPr>
            <w:tcW w:w="497" w:type="pct"/>
            <w:tcBorders>
              <w:top w:val="nil"/>
              <w:left w:val="nil"/>
              <w:bottom w:val="single" w:sz="4" w:space="0" w:color="auto"/>
              <w:right w:val="single" w:sz="4" w:space="0" w:color="auto"/>
            </w:tcBorders>
            <w:shd w:val="clear" w:color="auto" w:fill="auto"/>
            <w:vAlign w:val="bottom"/>
            <w:hideMark/>
          </w:tcPr>
          <w:p w:rsidR="00C23916" w:rsidRPr="00BD6261" w:rsidRDefault="00C23916" w:rsidP="00A17BFA">
            <w:pPr>
              <w:spacing w:after="0" w:line="240" w:lineRule="auto"/>
              <w:rPr>
                <w:rFonts w:eastAsia="Times New Roman" w:cs="Times New Roman"/>
                <w:b/>
                <w:bCs/>
                <w:sz w:val="20"/>
              </w:rPr>
            </w:pPr>
            <w:r w:rsidRPr="00BD6261">
              <w:rPr>
                <w:rFonts w:eastAsia="Times New Roman" w:cs="Times New Roman"/>
                <w:b/>
                <w:bCs/>
                <w:sz w:val="20"/>
              </w:rPr>
              <w:t>Total</w:t>
            </w:r>
          </w:p>
        </w:tc>
        <w:tc>
          <w:tcPr>
            <w:tcW w:w="382" w:type="pct"/>
            <w:tcBorders>
              <w:top w:val="nil"/>
              <w:left w:val="nil"/>
              <w:bottom w:val="single" w:sz="4" w:space="0" w:color="auto"/>
              <w:right w:val="single" w:sz="4" w:space="0" w:color="auto"/>
            </w:tcBorders>
            <w:vAlign w:val="bottom"/>
          </w:tcPr>
          <w:p w:rsidR="00C23916" w:rsidRDefault="00C23916" w:rsidP="001C19B5">
            <w:pPr>
              <w:spacing w:after="0" w:line="240" w:lineRule="auto"/>
              <w:jc w:val="center"/>
              <w:rPr>
                <w:rFonts w:eastAsia="Times New Roman" w:cs="Times New Roman"/>
                <w:b/>
                <w:bCs/>
                <w:sz w:val="20"/>
              </w:rPr>
            </w:pPr>
            <w:r>
              <w:rPr>
                <w:rFonts w:eastAsia="Times New Roman" w:cs="Times New Roman"/>
                <w:b/>
                <w:bCs/>
                <w:sz w:val="20"/>
              </w:rPr>
              <w:t>Share</w:t>
            </w:r>
          </w:p>
          <w:p w:rsidR="00C23916" w:rsidRPr="00BD6261" w:rsidRDefault="00C23916" w:rsidP="001C19B5">
            <w:pPr>
              <w:spacing w:after="0" w:line="240" w:lineRule="auto"/>
              <w:jc w:val="center"/>
              <w:rPr>
                <w:rFonts w:eastAsia="Times New Roman" w:cs="Times New Roman"/>
                <w:b/>
                <w:bCs/>
                <w:sz w:val="20"/>
              </w:rPr>
            </w:pPr>
            <w:r>
              <w:rPr>
                <w:rFonts w:eastAsia="Times New Roman" w:cs="Times New Roman"/>
                <w:b/>
                <w:bCs/>
                <w:sz w:val="20"/>
              </w:rPr>
              <w:t>(%)</w:t>
            </w:r>
          </w:p>
        </w:tc>
      </w:tr>
      <w:tr w:rsidR="00C23916" w:rsidRPr="00E63054" w:rsidTr="00F025CE">
        <w:trPr>
          <w:trHeight w:val="288"/>
          <w:jc w:val="center"/>
        </w:trPr>
        <w:tc>
          <w:tcPr>
            <w:tcW w:w="923" w:type="pct"/>
            <w:tcBorders>
              <w:top w:val="single" w:sz="4" w:space="0" w:color="auto"/>
              <w:left w:val="single" w:sz="4" w:space="0" w:color="auto"/>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color w:val="000000"/>
                <w:sz w:val="20"/>
              </w:rPr>
            </w:pPr>
          </w:p>
        </w:tc>
        <w:tc>
          <w:tcPr>
            <w:tcW w:w="436" w:type="pct"/>
            <w:tcBorders>
              <w:top w:val="single" w:sz="4" w:space="0" w:color="auto"/>
              <w:left w:val="nil"/>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color w:val="000000"/>
                <w:sz w:val="20"/>
              </w:rPr>
            </w:pPr>
          </w:p>
        </w:tc>
        <w:tc>
          <w:tcPr>
            <w:tcW w:w="382" w:type="pct"/>
            <w:tcBorders>
              <w:top w:val="single" w:sz="4" w:space="0" w:color="auto"/>
              <w:left w:val="nil"/>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sz w:val="20"/>
                <w:szCs w:val="20"/>
              </w:rPr>
            </w:pPr>
          </w:p>
        </w:tc>
        <w:tc>
          <w:tcPr>
            <w:tcW w:w="464" w:type="pct"/>
            <w:tcBorders>
              <w:top w:val="single" w:sz="4" w:space="0" w:color="auto"/>
              <w:left w:val="nil"/>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sz w:val="20"/>
                <w:szCs w:val="20"/>
              </w:rPr>
            </w:pPr>
          </w:p>
        </w:tc>
        <w:tc>
          <w:tcPr>
            <w:tcW w:w="436" w:type="pct"/>
            <w:tcBorders>
              <w:top w:val="single" w:sz="4" w:space="0" w:color="auto"/>
              <w:left w:val="nil"/>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sz w:val="20"/>
                <w:szCs w:val="20"/>
              </w:rPr>
            </w:pPr>
          </w:p>
        </w:tc>
        <w:tc>
          <w:tcPr>
            <w:tcW w:w="614" w:type="pct"/>
            <w:tcBorders>
              <w:top w:val="single" w:sz="4" w:space="0" w:color="auto"/>
              <w:left w:val="nil"/>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sz w:val="20"/>
                <w:szCs w:val="20"/>
              </w:rPr>
            </w:pPr>
          </w:p>
        </w:tc>
        <w:tc>
          <w:tcPr>
            <w:tcW w:w="460" w:type="pct"/>
            <w:tcBorders>
              <w:top w:val="single" w:sz="4" w:space="0" w:color="auto"/>
              <w:left w:val="nil"/>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sz w:val="20"/>
                <w:szCs w:val="20"/>
              </w:rPr>
            </w:pPr>
          </w:p>
        </w:tc>
        <w:tc>
          <w:tcPr>
            <w:tcW w:w="406" w:type="pct"/>
            <w:tcBorders>
              <w:top w:val="single" w:sz="4" w:space="0" w:color="auto"/>
              <w:left w:val="nil"/>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sz w:val="20"/>
                <w:szCs w:val="20"/>
              </w:rPr>
            </w:pPr>
          </w:p>
        </w:tc>
        <w:tc>
          <w:tcPr>
            <w:tcW w:w="497" w:type="pct"/>
            <w:tcBorders>
              <w:top w:val="single" w:sz="4" w:space="0" w:color="auto"/>
              <w:left w:val="nil"/>
              <w:bottom w:val="nil"/>
              <w:right w:val="single" w:sz="4" w:space="0" w:color="auto"/>
            </w:tcBorders>
            <w:shd w:val="clear" w:color="auto" w:fill="auto"/>
            <w:noWrap/>
            <w:vAlign w:val="bottom"/>
            <w:hideMark/>
          </w:tcPr>
          <w:p w:rsidR="00C23916" w:rsidRPr="00BD6261" w:rsidRDefault="00C23916" w:rsidP="00A17BFA">
            <w:pPr>
              <w:spacing w:after="0" w:line="240" w:lineRule="auto"/>
              <w:rPr>
                <w:rFonts w:eastAsia="Times New Roman" w:cs="Times New Roman"/>
                <w:sz w:val="20"/>
                <w:szCs w:val="20"/>
              </w:rPr>
            </w:pPr>
          </w:p>
        </w:tc>
        <w:tc>
          <w:tcPr>
            <w:tcW w:w="382" w:type="pct"/>
            <w:tcBorders>
              <w:top w:val="single" w:sz="4" w:space="0" w:color="auto"/>
              <w:left w:val="nil"/>
              <w:bottom w:val="nil"/>
              <w:right w:val="single" w:sz="4" w:space="0" w:color="auto"/>
            </w:tcBorders>
            <w:vAlign w:val="bottom"/>
          </w:tcPr>
          <w:p w:rsidR="00C23916" w:rsidRPr="00BD6261" w:rsidRDefault="00C23916" w:rsidP="001C19B5">
            <w:pPr>
              <w:spacing w:after="0" w:line="240" w:lineRule="auto"/>
              <w:jc w:val="center"/>
              <w:rPr>
                <w:rFonts w:eastAsia="Times New Roman" w:cs="Times New Roman"/>
                <w:sz w:val="20"/>
                <w:szCs w:val="20"/>
              </w:rPr>
            </w:pPr>
          </w:p>
        </w:tc>
      </w:tr>
      <w:tr w:rsidR="00C23916" w:rsidRPr="00E63054" w:rsidTr="00F025CE">
        <w:trPr>
          <w:trHeight w:val="288"/>
          <w:jc w:val="center"/>
        </w:trPr>
        <w:tc>
          <w:tcPr>
            <w:tcW w:w="923" w:type="pct"/>
            <w:tcBorders>
              <w:top w:val="nil"/>
              <w:left w:val="single" w:sz="4" w:space="0" w:color="auto"/>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color w:val="000000"/>
                <w:sz w:val="20"/>
              </w:rPr>
            </w:pPr>
            <w:r w:rsidRPr="00BD6261">
              <w:rPr>
                <w:rFonts w:eastAsia="Times New Roman" w:cs="Times New Roman"/>
                <w:color w:val="000000"/>
                <w:sz w:val="20"/>
              </w:rPr>
              <w:t>Haor Region</w:t>
            </w:r>
          </w:p>
        </w:tc>
        <w:tc>
          <w:tcPr>
            <w:tcW w:w="43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4153</w:t>
            </w:r>
          </w:p>
        </w:tc>
        <w:tc>
          <w:tcPr>
            <w:tcW w:w="382"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42682</w:t>
            </w:r>
          </w:p>
        </w:tc>
        <w:tc>
          <w:tcPr>
            <w:tcW w:w="464"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174121</w:t>
            </w:r>
          </w:p>
        </w:tc>
        <w:tc>
          <w:tcPr>
            <w:tcW w:w="43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95059</w:t>
            </w:r>
          </w:p>
        </w:tc>
        <w:tc>
          <w:tcPr>
            <w:tcW w:w="614"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12157</w:t>
            </w:r>
          </w:p>
        </w:tc>
        <w:tc>
          <w:tcPr>
            <w:tcW w:w="460"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5</w:t>
            </w:r>
          </w:p>
        </w:tc>
        <w:tc>
          <w:tcPr>
            <w:tcW w:w="40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1249</w:t>
            </w:r>
          </w:p>
        </w:tc>
        <w:tc>
          <w:tcPr>
            <w:tcW w:w="497" w:type="pct"/>
            <w:tcBorders>
              <w:top w:val="nil"/>
              <w:left w:val="nil"/>
              <w:bottom w:val="nil"/>
              <w:right w:val="single" w:sz="4" w:space="0" w:color="auto"/>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329426</w:t>
            </w:r>
          </w:p>
        </w:tc>
        <w:tc>
          <w:tcPr>
            <w:tcW w:w="382" w:type="pct"/>
            <w:tcBorders>
              <w:top w:val="nil"/>
              <w:left w:val="nil"/>
              <w:bottom w:val="nil"/>
              <w:right w:val="single" w:sz="4" w:space="0" w:color="auto"/>
            </w:tcBorders>
            <w:vAlign w:val="bottom"/>
          </w:tcPr>
          <w:p w:rsidR="00C23916" w:rsidRPr="00C23916" w:rsidRDefault="00C23916" w:rsidP="001C19B5">
            <w:pPr>
              <w:spacing w:after="0" w:line="240" w:lineRule="auto"/>
              <w:jc w:val="center"/>
              <w:rPr>
                <w:rFonts w:eastAsia="Times New Roman" w:cs="Times New Roman"/>
                <w:bCs/>
                <w:color w:val="000000"/>
                <w:sz w:val="20"/>
              </w:rPr>
            </w:pPr>
            <w:r w:rsidRPr="00C23916">
              <w:rPr>
                <w:rFonts w:eastAsia="Times New Roman" w:cs="Times New Roman"/>
                <w:bCs/>
                <w:color w:val="000000"/>
                <w:sz w:val="20"/>
              </w:rPr>
              <w:t>15.2</w:t>
            </w:r>
          </w:p>
        </w:tc>
      </w:tr>
      <w:tr w:rsidR="00C23916" w:rsidRPr="00E63054" w:rsidTr="00F025CE">
        <w:trPr>
          <w:trHeight w:val="288"/>
          <w:jc w:val="center"/>
        </w:trPr>
        <w:tc>
          <w:tcPr>
            <w:tcW w:w="923" w:type="pct"/>
            <w:tcBorders>
              <w:top w:val="nil"/>
              <w:left w:val="single" w:sz="4" w:space="0" w:color="auto"/>
              <w:bottom w:val="nil"/>
              <w:right w:val="nil"/>
            </w:tcBorders>
            <w:shd w:val="clear" w:color="auto" w:fill="auto"/>
            <w:noWrap/>
            <w:vAlign w:val="bottom"/>
            <w:hideMark/>
          </w:tcPr>
          <w:p w:rsidR="00C23916" w:rsidRPr="00CC577C" w:rsidRDefault="00F64A6A" w:rsidP="00A17BFA">
            <w:pPr>
              <w:spacing w:after="0" w:line="240" w:lineRule="auto"/>
              <w:rPr>
                <w:rFonts w:eastAsia="Times New Roman" w:cs="Times New Roman"/>
                <w:color w:val="000000"/>
                <w:sz w:val="20"/>
                <w:u w:val="single"/>
              </w:rPr>
            </w:pPr>
            <w:r w:rsidRPr="00F64A6A">
              <w:rPr>
                <w:rFonts w:eastAsia="Times New Roman" w:cs="Times New Roman"/>
                <w:color w:val="000000"/>
                <w:sz w:val="20"/>
                <w:u w:val="single"/>
              </w:rPr>
              <w:t>Coastal Zone</w:t>
            </w:r>
          </w:p>
        </w:tc>
        <w:tc>
          <w:tcPr>
            <w:tcW w:w="436" w:type="pct"/>
            <w:tcBorders>
              <w:top w:val="nil"/>
              <w:left w:val="nil"/>
              <w:bottom w:val="nil"/>
              <w:right w:val="nil"/>
            </w:tcBorders>
            <w:shd w:val="clear" w:color="auto" w:fill="auto"/>
            <w:noWrap/>
            <w:vAlign w:val="bottom"/>
            <w:hideMark/>
          </w:tcPr>
          <w:p w:rsidR="00C23916" w:rsidRPr="00CC577C" w:rsidRDefault="00F64A6A" w:rsidP="00A17BFA">
            <w:pPr>
              <w:shd w:val="clear" w:color="000000" w:fill="CCC0DA"/>
              <w:spacing w:before="100" w:beforeAutospacing="1" w:after="0" w:afterAutospacing="1" w:line="240" w:lineRule="auto"/>
              <w:rPr>
                <w:rFonts w:eastAsia="Times New Roman" w:cs="Times New Roman"/>
                <w:bCs/>
                <w:color w:val="000000"/>
                <w:sz w:val="20"/>
                <w:u w:val="single"/>
              </w:rPr>
            </w:pPr>
            <w:r w:rsidRPr="00F64A6A">
              <w:rPr>
                <w:rFonts w:eastAsia="Times New Roman" w:cs="Times New Roman"/>
                <w:bCs/>
                <w:color w:val="000000"/>
                <w:sz w:val="20"/>
                <w:u w:val="single"/>
              </w:rPr>
              <w:t>92345</w:t>
            </w:r>
          </w:p>
        </w:tc>
        <w:tc>
          <w:tcPr>
            <w:tcW w:w="382" w:type="pct"/>
            <w:tcBorders>
              <w:top w:val="nil"/>
              <w:left w:val="nil"/>
              <w:bottom w:val="nil"/>
              <w:right w:val="nil"/>
            </w:tcBorders>
            <w:shd w:val="clear" w:color="auto" w:fill="auto"/>
            <w:noWrap/>
            <w:vAlign w:val="bottom"/>
            <w:hideMark/>
          </w:tcPr>
          <w:p w:rsidR="00C23916" w:rsidRPr="00CC577C" w:rsidRDefault="00F64A6A" w:rsidP="00A17BFA">
            <w:pPr>
              <w:shd w:val="clear" w:color="000000" w:fill="CCC0DA"/>
              <w:spacing w:before="100" w:beforeAutospacing="1" w:after="0" w:afterAutospacing="1" w:line="240" w:lineRule="auto"/>
              <w:rPr>
                <w:rFonts w:eastAsia="Times New Roman" w:cs="Times New Roman"/>
                <w:bCs/>
                <w:color w:val="000000"/>
                <w:sz w:val="20"/>
                <w:u w:val="single"/>
              </w:rPr>
            </w:pPr>
            <w:r w:rsidRPr="00F64A6A">
              <w:rPr>
                <w:rFonts w:eastAsia="Times New Roman" w:cs="Times New Roman"/>
                <w:bCs/>
                <w:color w:val="000000"/>
                <w:sz w:val="20"/>
                <w:u w:val="single"/>
              </w:rPr>
              <w:t>2050</w:t>
            </w:r>
          </w:p>
        </w:tc>
        <w:tc>
          <w:tcPr>
            <w:tcW w:w="464" w:type="pct"/>
            <w:tcBorders>
              <w:top w:val="nil"/>
              <w:left w:val="nil"/>
              <w:bottom w:val="nil"/>
              <w:right w:val="nil"/>
            </w:tcBorders>
            <w:shd w:val="clear" w:color="auto" w:fill="auto"/>
            <w:noWrap/>
            <w:vAlign w:val="bottom"/>
            <w:hideMark/>
          </w:tcPr>
          <w:p w:rsidR="00C23916" w:rsidRPr="00CC577C" w:rsidRDefault="00F64A6A" w:rsidP="00A17BFA">
            <w:pPr>
              <w:shd w:val="clear" w:color="000000" w:fill="CCC0DA"/>
              <w:spacing w:before="100" w:beforeAutospacing="1" w:after="0" w:afterAutospacing="1" w:line="240" w:lineRule="auto"/>
              <w:rPr>
                <w:rFonts w:eastAsia="Times New Roman" w:cs="Times New Roman"/>
                <w:bCs/>
                <w:color w:val="000000"/>
                <w:sz w:val="20"/>
                <w:u w:val="single"/>
              </w:rPr>
            </w:pPr>
            <w:r w:rsidRPr="00F64A6A">
              <w:rPr>
                <w:rFonts w:eastAsia="Times New Roman" w:cs="Times New Roman"/>
                <w:bCs/>
                <w:color w:val="000000"/>
                <w:sz w:val="20"/>
                <w:u w:val="single"/>
              </w:rPr>
              <w:t>131057</w:t>
            </w:r>
          </w:p>
        </w:tc>
        <w:tc>
          <w:tcPr>
            <w:tcW w:w="436" w:type="pct"/>
            <w:tcBorders>
              <w:top w:val="nil"/>
              <w:left w:val="nil"/>
              <w:bottom w:val="nil"/>
              <w:right w:val="nil"/>
            </w:tcBorders>
            <w:shd w:val="clear" w:color="auto" w:fill="auto"/>
            <w:noWrap/>
            <w:vAlign w:val="bottom"/>
            <w:hideMark/>
          </w:tcPr>
          <w:p w:rsidR="00C23916" w:rsidRPr="00CC577C" w:rsidRDefault="00F64A6A" w:rsidP="00A17BFA">
            <w:pPr>
              <w:shd w:val="clear" w:color="000000" w:fill="CCC0DA"/>
              <w:spacing w:before="100" w:beforeAutospacing="1" w:after="0" w:afterAutospacing="1" w:line="240" w:lineRule="auto"/>
              <w:rPr>
                <w:rFonts w:eastAsia="Times New Roman" w:cs="Times New Roman"/>
                <w:bCs/>
                <w:color w:val="000000"/>
                <w:sz w:val="20"/>
                <w:u w:val="single"/>
              </w:rPr>
            </w:pPr>
            <w:r w:rsidRPr="00F64A6A">
              <w:rPr>
                <w:rFonts w:eastAsia="Times New Roman" w:cs="Times New Roman"/>
                <w:bCs/>
                <w:color w:val="000000"/>
                <w:sz w:val="20"/>
                <w:u w:val="single"/>
              </w:rPr>
              <w:t>294866</w:t>
            </w:r>
          </w:p>
        </w:tc>
        <w:tc>
          <w:tcPr>
            <w:tcW w:w="614" w:type="pct"/>
            <w:tcBorders>
              <w:top w:val="nil"/>
              <w:left w:val="nil"/>
              <w:bottom w:val="nil"/>
              <w:right w:val="nil"/>
            </w:tcBorders>
            <w:shd w:val="clear" w:color="auto" w:fill="auto"/>
            <w:noWrap/>
            <w:vAlign w:val="bottom"/>
            <w:hideMark/>
          </w:tcPr>
          <w:p w:rsidR="00C23916" w:rsidRPr="00CC577C" w:rsidRDefault="00F64A6A" w:rsidP="00A17BFA">
            <w:pPr>
              <w:shd w:val="clear" w:color="000000" w:fill="CCC0DA"/>
              <w:spacing w:before="100" w:beforeAutospacing="1" w:after="0" w:afterAutospacing="1" w:line="240" w:lineRule="auto"/>
              <w:rPr>
                <w:rFonts w:eastAsia="Times New Roman" w:cs="Times New Roman"/>
                <w:bCs/>
                <w:color w:val="000000"/>
                <w:sz w:val="20"/>
                <w:u w:val="single"/>
              </w:rPr>
            </w:pPr>
            <w:r w:rsidRPr="00F64A6A">
              <w:rPr>
                <w:rFonts w:eastAsia="Times New Roman" w:cs="Times New Roman"/>
                <w:bCs/>
                <w:color w:val="000000"/>
                <w:sz w:val="20"/>
                <w:u w:val="single"/>
              </w:rPr>
              <w:t>46393</w:t>
            </w:r>
          </w:p>
        </w:tc>
        <w:tc>
          <w:tcPr>
            <w:tcW w:w="460" w:type="pct"/>
            <w:tcBorders>
              <w:top w:val="nil"/>
              <w:left w:val="nil"/>
              <w:bottom w:val="nil"/>
              <w:right w:val="nil"/>
            </w:tcBorders>
            <w:shd w:val="clear" w:color="auto" w:fill="auto"/>
            <w:noWrap/>
            <w:vAlign w:val="bottom"/>
            <w:hideMark/>
          </w:tcPr>
          <w:p w:rsidR="00C23916" w:rsidRPr="00CC577C" w:rsidRDefault="00F64A6A" w:rsidP="00A17BFA">
            <w:pPr>
              <w:shd w:val="clear" w:color="000000" w:fill="CCC0DA"/>
              <w:spacing w:before="100" w:beforeAutospacing="1" w:after="0" w:afterAutospacing="1" w:line="240" w:lineRule="auto"/>
              <w:rPr>
                <w:rFonts w:eastAsia="Times New Roman" w:cs="Times New Roman"/>
                <w:bCs/>
                <w:color w:val="000000"/>
                <w:sz w:val="20"/>
                <w:u w:val="single"/>
              </w:rPr>
            </w:pPr>
            <w:r w:rsidRPr="00F64A6A">
              <w:rPr>
                <w:rFonts w:eastAsia="Times New Roman" w:cs="Times New Roman"/>
                <w:bCs/>
                <w:color w:val="000000"/>
                <w:sz w:val="20"/>
                <w:u w:val="single"/>
              </w:rPr>
              <w:t>169270</w:t>
            </w:r>
          </w:p>
        </w:tc>
        <w:tc>
          <w:tcPr>
            <w:tcW w:w="406" w:type="pct"/>
            <w:tcBorders>
              <w:top w:val="nil"/>
              <w:left w:val="nil"/>
              <w:bottom w:val="nil"/>
              <w:right w:val="nil"/>
            </w:tcBorders>
            <w:shd w:val="clear" w:color="auto" w:fill="auto"/>
            <w:noWrap/>
            <w:vAlign w:val="bottom"/>
            <w:hideMark/>
          </w:tcPr>
          <w:p w:rsidR="00C23916" w:rsidRPr="00CC577C" w:rsidRDefault="00F64A6A" w:rsidP="00A17BFA">
            <w:pPr>
              <w:shd w:val="clear" w:color="000000" w:fill="CCC0DA"/>
              <w:spacing w:before="100" w:beforeAutospacing="1" w:after="0" w:afterAutospacing="1" w:line="240" w:lineRule="auto"/>
              <w:rPr>
                <w:rFonts w:eastAsia="Times New Roman" w:cs="Times New Roman"/>
                <w:bCs/>
                <w:color w:val="000000"/>
                <w:sz w:val="20"/>
                <w:u w:val="single"/>
              </w:rPr>
            </w:pPr>
            <w:r w:rsidRPr="00F64A6A">
              <w:rPr>
                <w:rFonts w:eastAsia="Times New Roman" w:cs="Times New Roman"/>
                <w:bCs/>
                <w:color w:val="000000"/>
                <w:sz w:val="20"/>
                <w:u w:val="single"/>
              </w:rPr>
              <w:t>19901</w:t>
            </w:r>
          </w:p>
        </w:tc>
        <w:tc>
          <w:tcPr>
            <w:tcW w:w="497" w:type="pct"/>
            <w:tcBorders>
              <w:top w:val="nil"/>
              <w:left w:val="nil"/>
              <w:bottom w:val="nil"/>
              <w:right w:val="single" w:sz="4" w:space="0" w:color="auto"/>
            </w:tcBorders>
            <w:shd w:val="clear" w:color="auto" w:fill="auto"/>
            <w:noWrap/>
            <w:vAlign w:val="bottom"/>
            <w:hideMark/>
          </w:tcPr>
          <w:p w:rsidR="00C23916" w:rsidRPr="00CC577C" w:rsidRDefault="00F64A6A" w:rsidP="00A17BFA">
            <w:pPr>
              <w:shd w:val="clear" w:color="000000" w:fill="CCC0DA"/>
              <w:spacing w:before="100" w:beforeAutospacing="1" w:after="0" w:afterAutospacing="1" w:line="240" w:lineRule="auto"/>
              <w:rPr>
                <w:rFonts w:eastAsia="Times New Roman" w:cs="Times New Roman"/>
                <w:bCs/>
                <w:color w:val="000000"/>
                <w:sz w:val="20"/>
                <w:u w:val="single"/>
              </w:rPr>
            </w:pPr>
            <w:r w:rsidRPr="00F64A6A">
              <w:rPr>
                <w:rFonts w:eastAsia="Times New Roman" w:cs="Times New Roman"/>
                <w:bCs/>
                <w:color w:val="000000"/>
                <w:sz w:val="20"/>
                <w:u w:val="single"/>
              </w:rPr>
              <w:t>755882</w:t>
            </w:r>
          </w:p>
        </w:tc>
        <w:tc>
          <w:tcPr>
            <w:tcW w:w="382" w:type="pct"/>
            <w:tcBorders>
              <w:top w:val="nil"/>
              <w:left w:val="nil"/>
              <w:bottom w:val="nil"/>
              <w:right w:val="single" w:sz="4" w:space="0" w:color="auto"/>
            </w:tcBorders>
            <w:vAlign w:val="bottom"/>
          </w:tcPr>
          <w:p w:rsidR="00C23916" w:rsidRPr="00CC577C" w:rsidRDefault="00F64A6A" w:rsidP="001C19B5">
            <w:pPr>
              <w:shd w:val="clear" w:color="000000" w:fill="CCC0DA"/>
              <w:spacing w:before="100" w:beforeAutospacing="1" w:after="0" w:afterAutospacing="1" w:line="240" w:lineRule="auto"/>
              <w:jc w:val="center"/>
              <w:rPr>
                <w:rFonts w:eastAsia="Times New Roman" w:cs="Times New Roman"/>
                <w:bCs/>
                <w:color w:val="000000"/>
                <w:sz w:val="20"/>
                <w:u w:val="single"/>
              </w:rPr>
            </w:pPr>
            <w:r w:rsidRPr="00F64A6A">
              <w:rPr>
                <w:rFonts w:eastAsia="Times New Roman" w:cs="Times New Roman"/>
                <w:bCs/>
                <w:color w:val="000000"/>
                <w:sz w:val="20"/>
                <w:u w:val="single"/>
              </w:rPr>
              <w:t>35.0</w:t>
            </w:r>
          </w:p>
        </w:tc>
      </w:tr>
      <w:tr w:rsidR="00C23916" w:rsidRPr="00E63054" w:rsidTr="00F025CE">
        <w:trPr>
          <w:trHeight w:val="288"/>
          <w:jc w:val="center"/>
        </w:trPr>
        <w:tc>
          <w:tcPr>
            <w:tcW w:w="923" w:type="pct"/>
            <w:tcBorders>
              <w:top w:val="nil"/>
              <w:left w:val="single" w:sz="4" w:space="0" w:color="auto"/>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color w:val="000000"/>
                <w:sz w:val="20"/>
              </w:rPr>
            </w:pPr>
            <w:r w:rsidRPr="00BD6261">
              <w:rPr>
                <w:rFonts w:eastAsia="Times New Roman" w:cs="Times New Roman"/>
                <w:color w:val="000000"/>
                <w:sz w:val="20"/>
              </w:rPr>
              <w:t>CTG Hill Tracts</w:t>
            </w:r>
          </w:p>
        </w:tc>
        <w:tc>
          <w:tcPr>
            <w:tcW w:w="43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222</w:t>
            </w:r>
          </w:p>
        </w:tc>
        <w:tc>
          <w:tcPr>
            <w:tcW w:w="382"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94</w:t>
            </w:r>
          </w:p>
        </w:tc>
        <w:tc>
          <w:tcPr>
            <w:tcW w:w="464"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136</w:t>
            </w:r>
          </w:p>
        </w:tc>
        <w:tc>
          <w:tcPr>
            <w:tcW w:w="43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5192</w:t>
            </w:r>
          </w:p>
        </w:tc>
        <w:tc>
          <w:tcPr>
            <w:tcW w:w="614"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72</w:t>
            </w:r>
          </w:p>
        </w:tc>
        <w:tc>
          <w:tcPr>
            <w:tcW w:w="460"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14</w:t>
            </w:r>
          </w:p>
        </w:tc>
        <w:tc>
          <w:tcPr>
            <w:tcW w:w="40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8181</w:t>
            </w:r>
          </w:p>
        </w:tc>
        <w:tc>
          <w:tcPr>
            <w:tcW w:w="497" w:type="pct"/>
            <w:tcBorders>
              <w:top w:val="nil"/>
              <w:left w:val="nil"/>
              <w:bottom w:val="nil"/>
              <w:right w:val="single" w:sz="4" w:space="0" w:color="auto"/>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13911</w:t>
            </w:r>
          </w:p>
        </w:tc>
        <w:tc>
          <w:tcPr>
            <w:tcW w:w="382" w:type="pct"/>
            <w:tcBorders>
              <w:top w:val="nil"/>
              <w:left w:val="nil"/>
              <w:bottom w:val="nil"/>
              <w:right w:val="single" w:sz="4" w:space="0" w:color="auto"/>
            </w:tcBorders>
            <w:vAlign w:val="bottom"/>
          </w:tcPr>
          <w:p w:rsidR="00C23916" w:rsidRPr="00C23916" w:rsidRDefault="00C23916" w:rsidP="001C19B5">
            <w:pPr>
              <w:spacing w:after="0" w:line="240" w:lineRule="auto"/>
              <w:jc w:val="center"/>
              <w:rPr>
                <w:rFonts w:eastAsia="Times New Roman" w:cs="Times New Roman"/>
                <w:bCs/>
                <w:color w:val="000000"/>
                <w:sz w:val="20"/>
              </w:rPr>
            </w:pPr>
            <w:r>
              <w:rPr>
                <w:rFonts w:eastAsia="Times New Roman" w:cs="Times New Roman"/>
                <w:bCs/>
                <w:color w:val="000000"/>
                <w:sz w:val="20"/>
              </w:rPr>
              <w:t>0.6</w:t>
            </w:r>
          </w:p>
        </w:tc>
      </w:tr>
      <w:tr w:rsidR="00C23916" w:rsidRPr="00E63054" w:rsidTr="00F025CE">
        <w:trPr>
          <w:trHeight w:val="288"/>
          <w:jc w:val="center"/>
        </w:trPr>
        <w:tc>
          <w:tcPr>
            <w:tcW w:w="923" w:type="pct"/>
            <w:tcBorders>
              <w:top w:val="nil"/>
              <w:left w:val="single" w:sz="4" w:space="0" w:color="auto"/>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color w:val="000000"/>
                <w:sz w:val="20"/>
              </w:rPr>
            </w:pPr>
            <w:r w:rsidRPr="00BD6261">
              <w:rPr>
                <w:rFonts w:eastAsia="Times New Roman" w:cs="Times New Roman"/>
                <w:color w:val="000000"/>
                <w:sz w:val="20"/>
              </w:rPr>
              <w:t>Drought Prone</w:t>
            </w:r>
          </w:p>
        </w:tc>
        <w:tc>
          <w:tcPr>
            <w:tcW w:w="43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6648</w:t>
            </w:r>
          </w:p>
        </w:tc>
        <w:tc>
          <w:tcPr>
            <w:tcW w:w="382"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10882</w:t>
            </w:r>
          </w:p>
        </w:tc>
        <w:tc>
          <w:tcPr>
            <w:tcW w:w="464"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89470</w:t>
            </w:r>
          </w:p>
        </w:tc>
        <w:tc>
          <w:tcPr>
            <w:tcW w:w="43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202210</w:t>
            </w:r>
          </w:p>
        </w:tc>
        <w:tc>
          <w:tcPr>
            <w:tcW w:w="614"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13467</w:t>
            </w:r>
          </w:p>
        </w:tc>
        <w:tc>
          <w:tcPr>
            <w:tcW w:w="460"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30</w:t>
            </w:r>
          </w:p>
        </w:tc>
        <w:tc>
          <w:tcPr>
            <w:tcW w:w="40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2079</w:t>
            </w:r>
          </w:p>
        </w:tc>
        <w:tc>
          <w:tcPr>
            <w:tcW w:w="497" w:type="pct"/>
            <w:tcBorders>
              <w:top w:val="nil"/>
              <w:left w:val="nil"/>
              <w:bottom w:val="nil"/>
              <w:right w:val="single" w:sz="4" w:space="0" w:color="auto"/>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324786</w:t>
            </w:r>
          </w:p>
        </w:tc>
        <w:tc>
          <w:tcPr>
            <w:tcW w:w="382" w:type="pct"/>
            <w:tcBorders>
              <w:top w:val="nil"/>
              <w:left w:val="nil"/>
              <w:bottom w:val="nil"/>
              <w:right w:val="single" w:sz="4" w:space="0" w:color="auto"/>
            </w:tcBorders>
            <w:vAlign w:val="bottom"/>
          </w:tcPr>
          <w:p w:rsidR="00C23916" w:rsidRPr="00C23916" w:rsidRDefault="00C23916" w:rsidP="001C19B5">
            <w:pPr>
              <w:spacing w:after="0" w:line="240" w:lineRule="auto"/>
              <w:jc w:val="center"/>
              <w:rPr>
                <w:rFonts w:eastAsia="Times New Roman" w:cs="Times New Roman"/>
                <w:bCs/>
                <w:color w:val="000000"/>
                <w:sz w:val="20"/>
              </w:rPr>
            </w:pPr>
            <w:r>
              <w:rPr>
                <w:rFonts w:eastAsia="Times New Roman" w:cs="Times New Roman"/>
                <w:bCs/>
                <w:color w:val="000000"/>
                <w:sz w:val="20"/>
              </w:rPr>
              <w:t>15.0</w:t>
            </w:r>
          </w:p>
        </w:tc>
      </w:tr>
      <w:tr w:rsidR="00C23916" w:rsidRPr="00E63054" w:rsidTr="00F025CE">
        <w:trPr>
          <w:trHeight w:val="288"/>
          <w:jc w:val="center"/>
        </w:trPr>
        <w:tc>
          <w:tcPr>
            <w:tcW w:w="923" w:type="pct"/>
            <w:tcBorders>
              <w:top w:val="nil"/>
              <w:left w:val="single" w:sz="4" w:space="0" w:color="auto"/>
              <w:bottom w:val="nil"/>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color w:val="000000"/>
                <w:sz w:val="20"/>
              </w:rPr>
            </w:pPr>
            <w:r w:rsidRPr="00BD6261">
              <w:rPr>
                <w:rFonts w:eastAsia="Times New Roman" w:cs="Times New Roman"/>
                <w:color w:val="000000"/>
                <w:sz w:val="20"/>
              </w:rPr>
              <w:t>Rivers &amp; Estuaries</w:t>
            </w:r>
          </w:p>
        </w:tc>
        <w:tc>
          <w:tcPr>
            <w:tcW w:w="43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32167</w:t>
            </w:r>
          </w:p>
        </w:tc>
        <w:tc>
          <w:tcPr>
            <w:tcW w:w="382"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13221</w:t>
            </w:r>
          </w:p>
        </w:tc>
        <w:tc>
          <w:tcPr>
            <w:tcW w:w="464"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210183</w:t>
            </w:r>
          </w:p>
        </w:tc>
        <w:tc>
          <w:tcPr>
            <w:tcW w:w="43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395864</w:t>
            </w:r>
          </w:p>
        </w:tc>
        <w:tc>
          <w:tcPr>
            <w:tcW w:w="614"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76233</w:t>
            </w:r>
          </w:p>
        </w:tc>
        <w:tc>
          <w:tcPr>
            <w:tcW w:w="460"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3392</w:t>
            </w:r>
          </w:p>
        </w:tc>
        <w:tc>
          <w:tcPr>
            <w:tcW w:w="406" w:type="pct"/>
            <w:tcBorders>
              <w:top w:val="nil"/>
              <w:left w:val="nil"/>
              <w:bottom w:val="nil"/>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7015</w:t>
            </w:r>
          </w:p>
        </w:tc>
        <w:tc>
          <w:tcPr>
            <w:tcW w:w="497" w:type="pct"/>
            <w:tcBorders>
              <w:top w:val="nil"/>
              <w:left w:val="nil"/>
              <w:bottom w:val="nil"/>
              <w:right w:val="single" w:sz="4" w:space="0" w:color="auto"/>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738075</w:t>
            </w:r>
          </w:p>
        </w:tc>
        <w:tc>
          <w:tcPr>
            <w:tcW w:w="382" w:type="pct"/>
            <w:tcBorders>
              <w:top w:val="nil"/>
              <w:left w:val="nil"/>
              <w:bottom w:val="nil"/>
              <w:right w:val="single" w:sz="4" w:space="0" w:color="auto"/>
            </w:tcBorders>
            <w:vAlign w:val="bottom"/>
          </w:tcPr>
          <w:p w:rsidR="00C23916" w:rsidRPr="00C23916" w:rsidRDefault="00C23916" w:rsidP="001C19B5">
            <w:pPr>
              <w:spacing w:after="0" w:line="240" w:lineRule="auto"/>
              <w:jc w:val="center"/>
              <w:rPr>
                <w:rFonts w:eastAsia="Times New Roman" w:cs="Times New Roman"/>
                <w:bCs/>
                <w:color w:val="000000"/>
                <w:sz w:val="20"/>
              </w:rPr>
            </w:pPr>
            <w:r>
              <w:rPr>
                <w:rFonts w:eastAsia="Times New Roman" w:cs="Times New Roman"/>
                <w:bCs/>
                <w:color w:val="000000"/>
                <w:sz w:val="20"/>
              </w:rPr>
              <w:t>34.1</w:t>
            </w:r>
          </w:p>
        </w:tc>
      </w:tr>
      <w:tr w:rsidR="00C23916" w:rsidRPr="00E63054" w:rsidTr="00F025CE">
        <w:trPr>
          <w:trHeight w:val="300"/>
          <w:jc w:val="center"/>
        </w:trPr>
        <w:tc>
          <w:tcPr>
            <w:tcW w:w="923" w:type="pct"/>
            <w:tcBorders>
              <w:top w:val="single" w:sz="4" w:space="0" w:color="auto"/>
              <w:left w:val="single" w:sz="4" w:space="0" w:color="auto"/>
              <w:bottom w:val="single" w:sz="8" w:space="0" w:color="auto"/>
              <w:right w:val="nil"/>
            </w:tcBorders>
            <w:shd w:val="clear" w:color="auto" w:fill="auto"/>
            <w:noWrap/>
            <w:vAlign w:val="bottom"/>
            <w:hideMark/>
          </w:tcPr>
          <w:p w:rsidR="00C23916" w:rsidRPr="00BD6261" w:rsidRDefault="00C23916" w:rsidP="00A17BFA">
            <w:pPr>
              <w:spacing w:after="0" w:line="240" w:lineRule="auto"/>
              <w:rPr>
                <w:rFonts w:eastAsia="Times New Roman" w:cs="Times New Roman"/>
                <w:b/>
                <w:bCs/>
                <w:color w:val="000000"/>
                <w:sz w:val="20"/>
              </w:rPr>
            </w:pPr>
            <w:r w:rsidRPr="00BD6261">
              <w:rPr>
                <w:rFonts w:eastAsia="Times New Roman" w:cs="Times New Roman"/>
                <w:b/>
                <w:bCs/>
                <w:color w:val="000000"/>
                <w:sz w:val="20"/>
              </w:rPr>
              <w:t>Total</w:t>
            </w:r>
          </w:p>
        </w:tc>
        <w:tc>
          <w:tcPr>
            <w:tcW w:w="436" w:type="pct"/>
            <w:tcBorders>
              <w:top w:val="single" w:sz="4" w:space="0" w:color="auto"/>
              <w:left w:val="nil"/>
              <w:bottom w:val="single" w:sz="8" w:space="0" w:color="auto"/>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135535</w:t>
            </w:r>
          </w:p>
        </w:tc>
        <w:tc>
          <w:tcPr>
            <w:tcW w:w="382" w:type="pct"/>
            <w:tcBorders>
              <w:top w:val="single" w:sz="4" w:space="0" w:color="auto"/>
              <w:left w:val="nil"/>
              <w:bottom w:val="single" w:sz="8" w:space="0" w:color="auto"/>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68929</w:t>
            </w:r>
          </w:p>
        </w:tc>
        <w:tc>
          <w:tcPr>
            <w:tcW w:w="464" w:type="pct"/>
            <w:tcBorders>
              <w:top w:val="single" w:sz="4" w:space="0" w:color="auto"/>
              <w:left w:val="nil"/>
              <w:bottom w:val="single" w:sz="8" w:space="0" w:color="auto"/>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604967</w:t>
            </w:r>
          </w:p>
        </w:tc>
        <w:tc>
          <w:tcPr>
            <w:tcW w:w="436" w:type="pct"/>
            <w:tcBorders>
              <w:top w:val="single" w:sz="4" w:space="0" w:color="auto"/>
              <w:left w:val="nil"/>
              <w:bottom w:val="single" w:sz="8" w:space="0" w:color="auto"/>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993191</w:t>
            </w:r>
          </w:p>
        </w:tc>
        <w:tc>
          <w:tcPr>
            <w:tcW w:w="614" w:type="pct"/>
            <w:tcBorders>
              <w:top w:val="single" w:sz="4" w:space="0" w:color="auto"/>
              <w:left w:val="nil"/>
              <w:bottom w:val="single" w:sz="8" w:space="0" w:color="auto"/>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148322</w:t>
            </w:r>
          </w:p>
        </w:tc>
        <w:tc>
          <w:tcPr>
            <w:tcW w:w="460" w:type="pct"/>
            <w:tcBorders>
              <w:top w:val="single" w:sz="4" w:space="0" w:color="auto"/>
              <w:left w:val="nil"/>
              <w:bottom w:val="single" w:sz="8" w:space="0" w:color="auto"/>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172711</w:t>
            </w:r>
          </w:p>
        </w:tc>
        <w:tc>
          <w:tcPr>
            <w:tcW w:w="406" w:type="pct"/>
            <w:tcBorders>
              <w:top w:val="single" w:sz="4" w:space="0" w:color="auto"/>
              <w:left w:val="nil"/>
              <w:bottom w:val="single" w:sz="8" w:space="0" w:color="auto"/>
              <w:right w:val="nil"/>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38425</w:t>
            </w:r>
          </w:p>
        </w:tc>
        <w:tc>
          <w:tcPr>
            <w:tcW w:w="497" w:type="pct"/>
            <w:tcBorders>
              <w:top w:val="single" w:sz="4" w:space="0" w:color="auto"/>
              <w:left w:val="nil"/>
              <w:bottom w:val="single" w:sz="8" w:space="0" w:color="auto"/>
              <w:right w:val="single" w:sz="4" w:space="0" w:color="auto"/>
            </w:tcBorders>
            <w:shd w:val="clear" w:color="auto" w:fill="auto"/>
            <w:noWrap/>
            <w:vAlign w:val="bottom"/>
            <w:hideMark/>
          </w:tcPr>
          <w:p w:rsidR="00C23916" w:rsidRPr="00C23916" w:rsidRDefault="00C23916" w:rsidP="00A17BFA">
            <w:pPr>
              <w:spacing w:after="0" w:line="240" w:lineRule="auto"/>
              <w:rPr>
                <w:rFonts w:eastAsia="Times New Roman" w:cs="Times New Roman"/>
                <w:bCs/>
                <w:color w:val="000000"/>
                <w:sz w:val="20"/>
              </w:rPr>
            </w:pPr>
            <w:r w:rsidRPr="00C23916">
              <w:rPr>
                <w:rFonts w:eastAsia="Times New Roman" w:cs="Times New Roman"/>
                <w:bCs/>
                <w:color w:val="000000"/>
                <w:sz w:val="20"/>
              </w:rPr>
              <w:t>2162080</w:t>
            </w:r>
          </w:p>
        </w:tc>
        <w:tc>
          <w:tcPr>
            <w:tcW w:w="382" w:type="pct"/>
            <w:tcBorders>
              <w:top w:val="single" w:sz="4" w:space="0" w:color="auto"/>
              <w:left w:val="nil"/>
              <w:bottom w:val="single" w:sz="8" w:space="0" w:color="auto"/>
              <w:right w:val="single" w:sz="4" w:space="0" w:color="auto"/>
            </w:tcBorders>
            <w:vAlign w:val="bottom"/>
          </w:tcPr>
          <w:p w:rsidR="00C23916" w:rsidRPr="00C23916" w:rsidRDefault="00C23916" w:rsidP="001C19B5">
            <w:pPr>
              <w:spacing w:after="0" w:line="240" w:lineRule="auto"/>
              <w:jc w:val="center"/>
              <w:rPr>
                <w:rFonts w:eastAsia="Times New Roman" w:cs="Times New Roman"/>
                <w:bCs/>
                <w:color w:val="000000"/>
                <w:sz w:val="20"/>
              </w:rPr>
            </w:pPr>
            <w:r>
              <w:rPr>
                <w:rFonts w:eastAsia="Times New Roman" w:cs="Times New Roman"/>
                <w:bCs/>
                <w:color w:val="000000"/>
                <w:sz w:val="20"/>
              </w:rPr>
              <w:t>100.0</w:t>
            </w:r>
          </w:p>
        </w:tc>
      </w:tr>
    </w:tbl>
    <w:p w:rsidR="007C1ECE" w:rsidRPr="00AD1100" w:rsidRDefault="007C1ECE" w:rsidP="00611F28">
      <w:pPr>
        <w:autoSpaceDE w:val="0"/>
        <w:autoSpaceDN w:val="0"/>
        <w:adjustRightInd w:val="0"/>
        <w:spacing w:before="120" w:after="200" w:line="276" w:lineRule="auto"/>
        <w:jc w:val="both"/>
        <w:rPr>
          <w:rFonts w:cs="Times New Roman"/>
          <w:b/>
          <w:i/>
          <w:sz w:val="20"/>
          <w:szCs w:val="20"/>
        </w:rPr>
      </w:pPr>
      <w:r w:rsidRPr="00AD1100">
        <w:rPr>
          <w:rFonts w:cs="Times New Roman"/>
          <w:b/>
          <w:i/>
          <w:sz w:val="20"/>
          <w:szCs w:val="20"/>
        </w:rPr>
        <w:t xml:space="preserve">Source: </w:t>
      </w:r>
      <w:r w:rsidR="006E608C">
        <w:rPr>
          <w:rFonts w:cs="Times New Roman"/>
          <w:b/>
          <w:i/>
          <w:sz w:val="20"/>
          <w:szCs w:val="20"/>
        </w:rPr>
        <w:t>GED</w:t>
      </w:r>
      <w:r w:rsidRPr="00AD1100">
        <w:rPr>
          <w:rFonts w:cs="Times New Roman"/>
          <w:b/>
          <w:i/>
          <w:sz w:val="20"/>
          <w:szCs w:val="20"/>
        </w:rPr>
        <w:t xml:space="preserve"> estimates based on BBS data</w:t>
      </w:r>
    </w:p>
    <w:p w:rsidR="007C1ECE" w:rsidRPr="00CC577C" w:rsidRDefault="007C1ECE" w:rsidP="007C1ECE">
      <w:pPr>
        <w:spacing w:line="276" w:lineRule="auto"/>
        <w:jc w:val="both"/>
        <w:rPr>
          <w:rFonts w:cs="Times New Roman"/>
          <w:szCs w:val="24"/>
          <w:u w:val="single"/>
        </w:rPr>
      </w:pPr>
      <w:r w:rsidRPr="00D23EE9">
        <w:rPr>
          <w:rFonts w:cs="Times New Roman"/>
          <w:b/>
          <w:i/>
          <w:szCs w:val="24"/>
        </w:rPr>
        <w:t>Forestry</w:t>
      </w:r>
      <w:r w:rsidR="00BD6261">
        <w:rPr>
          <w:rFonts w:cs="Times New Roman"/>
          <w:b/>
          <w:szCs w:val="24"/>
        </w:rPr>
        <w:t>;</w:t>
      </w:r>
      <w:r>
        <w:rPr>
          <w:rFonts w:cs="Times New Roman"/>
          <w:b/>
          <w:szCs w:val="24"/>
        </w:rPr>
        <w:t xml:space="preserve"> </w:t>
      </w:r>
      <w:r w:rsidR="00F64A6A" w:rsidRPr="00F64A6A">
        <w:rPr>
          <w:rFonts w:cs="Times New Roman"/>
          <w:szCs w:val="24"/>
          <w:u w:val="single"/>
        </w:rPr>
        <w:t>Forest land accounts for 17% (2.56 million hectares) of Bangladesh covering hill forest, Sal forest, village forest, mangrove forest and coastal plantation.</w:t>
      </w:r>
      <w:r w:rsidRPr="00607DAD">
        <w:rPr>
          <w:rFonts w:cs="Times New Roman"/>
          <w:szCs w:val="24"/>
        </w:rPr>
        <w:t xml:space="preserve"> For various reasons, there has been much degradation of forests, especially the natur</w:t>
      </w:r>
      <w:r w:rsidR="00BD6261">
        <w:rPr>
          <w:rFonts w:cs="Times New Roman"/>
          <w:szCs w:val="24"/>
        </w:rPr>
        <w:t xml:space="preserve">al ones. </w:t>
      </w:r>
      <w:r w:rsidR="00F64A6A" w:rsidRPr="00F64A6A">
        <w:rPr>
          <w:rFonts w:cs="Times New Roman"/>
          <w:szCs w:val="24"/>
          <w:u w:val="single"/>
        </w:rPr>
        <w:t xml:space="preserve">It is estimated that the forest cover declined from 20% in 1947 to only 6% during the past 50 years.  In FY2014, the contribution of forestry sector to GDP was 1.63%. The contribution would be higher if the services from forest ecosystems could be taken into account. </w:t>
      </w:r>
    </w:p>
    <w:p w:rsidR="007C1ECE" w:rsidRPr="00607DAD" w:rsidRDefault="007C1ECE" w:rsidP="00A435F5">
      <w:pPr>
        <w:spacing w:line="276" w:lineRule="auto"/>
        <w:jc w:val="both"/>
        <w:rPr>
          <w:rFonts w:cs="Times New Roman"/>
          <w:szCs w:val="24"/>
        </w:rPr>
      </w:pPr>
      <w:r w:rsidRPr="00607DAD">
        <w:rPr>
          <w:rFonts w:cs="Times New Roman"/>
          <w:szCs w:val="24"/>
        </w:rPr>
        <w:t>In Bangladesh, the forests are distributed on the eastern hills, central and north western terraces and the mang</w:t>
      </w:r>
      <w:r>
        <w:rPr>
          <w:rFonts w:cs="Times New Roman"/>
          <w:szCs w:val="24"/>
        </w:rPr>
        <w:t>roves facing the Bay of Bengal</w:t>
      </w:r>
      <w:r w:rsidRPr="00607DAD">
        <w:rPr>
          <w:rFonts w:cs="Times New Roman"/>
          <w:szCs w:val="24"/>
        </w:rPr>
        <w:t xml:space="preserve">. </w:t>
      </w:r>
      <w:r>
        <w:rPr>
          <w:rFonts w:cs="Times New Roman"/>
          <w:szCs w:val="24"/>
        </w:rPr>
        <w:t xml:space="preserve">Thus concentration of forest cover is to be found in the Coastal Zone and Chittagong Hill Tracts, with modest spread in the Haor regions of Sylhet. </w:t>
      </w:r>
    </w:p>
    <w:p w:rsidR="00260C27" w:rsidRPr="00CC7C15" w:rsidRDefault="007C1ECE" w:rsidP="00A435F5">
      <w:pPr>
        <w:spacing w:line="276" w:lineRule="auto"/>
        <w:jc w:val="both"/>
        <w:rPr>
          <w:rFonts w:cs="Times New Roman"/>
          <w:bCs/>
          <w:szCs w:val="24"/>
        </w:rPr>
      </w:pPr>
      <w:r w:rsidRPr="00B61F6F">
        <w:rPr>
          <w:rFonts w:cs="Times New Roman"/>
          <w:szCs w:val="24"/>
        </w:rPr>
        <w:t xml:space="preserve">Forests provide immense services to agriculture and livelihoods through protection from storm surges, stability of environment, reduction of earthquake damages, development of healthy microclimate, watershed management and eco-tourism. </w:t>
      </w:r>
      <w:r w:rsidRPr="00B61F6F">
        <w:rPr>
          <w:rFonts w:cs="Times New Roman"/>
          <w:bCs/>
          <w:szCs w:val="24"/>
        </w:rPr>
        <w:t>The products from forest lands are of various types such as timber, fuel wood, poles, bamboo, cane, thatch leaves, fish, honey, wax, e</w:t>
      </w:r>
      <w:r w:rsidR="00BD6261">
        <w:rPr>
          <w:rFonts w:cs="Times New Roman"/>
          <w:bCs/>
          <w:szCs w:val="24"/>
        </w:rPr>
        <w:t>tc</w:t>
      </w:r>
      <w:r w:rsidRPr="00B61F6F">
        <w:rPr>
          <w:rFonts w:cs="Times New Roman"/>
          <w:bCs/>
          <w:szCs w:val="24"/>
        </w:rPr>
        <w:t xml:space="preserve">. Wood production from forests has declined seriously since 1972 due to over-exploitation. Over 15.4 million households in about 88,000 villages across the country possess a huge quantity of tree growth and this is the major supplier of wood for the nation. </w:t>
      </w:r>
      <w:r w:rsidRPr="00B61F6F">
        <w:rPr>
          <w:rFonts w:cs="Times New Roman"/>
          <w:szCs w:val="24"/>
        </w:rPr>
        <w:t>Yearly wood production from government forests is low at about 0.5-2.5 m3/ha; whereas in homestead forests it is 7-9m3/ha. About 70% of round wood and 80% of bamboo come from privately-owned village grooves.</w:t>
      </w:r>
    </w:p>
    <w:p w:rsidR="00000000" w:rsidRDefault="00E12150" w:rsidP="003D5A31">
      <w:pPr>
        <w:pStyle w:val="BodyText"/>
        <w:numPr>
          <w:ilvl w:val="2"/>
          <w:numId w:val="238"/>
        </w:numPr>
        <w:spacing w:after="240" w:line="276" w:lineRule="auto"/>
        <w:ind w:left="0" w:firstLine="0"/>
        <w:jc w:val="both"/>
        <w:rPr>
          <w:rFonts w:cs="Times New Roman"/>
          <w:b/>
          <w:szCs w:val="24"/>
        </w:rPr>
      </w:pPr>
      <w:r>
        <w:rPr>
          <w:rFonts w:cs="Times New Roman"/>
          <w:b/>
          <w:szCs w:val="24"/>
        </w:rPr>
        <w:t>Haor Region Agriculture</w:t>
      </w:r>
    </w:p>
    <w:p w:rsidR="007F2F9C" w:rsidRDefault="00F64A6A" w:rsidP="00A435F5">
      <w:pPr>
        <w:pStyle w:val="ListParagraph"/>
        <w:spacing w:line="276" w:lineRule="auto"/>
        <w:ind w:left="0"/>
        <w:jc w:val="both"/>
        <w:rPr>
          <w:rFonts w:cs="Times New Roman"/>
          <w:szCs w:val="24"/>
        </w:rPr>
      </w:pPr>
      <w:r w:rsidRPr="00F64A6A">
        <w:rPr>
          <w:rFonts w:cs="Segoe UI"/>
          <w:szCs w:val="24"/>
          <w:u w:val="single"/>
        </w:rPr>
        <w:t>As noted in Chapter 2, total population of Haor area is 20 million (13% of the national population). The primary occupation of the population is farming and fishing.</w:t>
      </w:r>
      <w:r w:rsidR="00611F28">
        <w:rPr>
          <w:rFonts w:cs="Segoe UI"/>
          <w:szCs w:val="24"/>
        </w:rPr>
        <w:t xml:space="preserve"> As such, the population is highly vulnerable to natural </w:t>
      </w:r>
      <w:r w:rsidR="00065D01">
        <w:rPr>
          <w:rFonts w:cs="Segoe UI"/>
          <w:szCs w:val="24"/>
        </w:rPr>
        <w:t>hazards</w:t>
      </w:r>
      <w:r w:rsidR="00611F28">
        <w:rPr>
          <w:rFonts w:cs="Segoe UI"/>
          <w:szCs w:val="24"/>
        </w:rPr>
        <w:t xml:space="preserve"> and climate change factors of the haor region.  </w:t>
      </w:r>
      <w:r w:rsidR="00733DAA">
        <w:rPr>
          <w:rFonts w:cs="Segoe UI"/>
          <w:szCs w:val="24"/>
        </w:rPr>
        <w:t xml:space="preserve">The poverty impact of this dependence to vulnerable agriculture is partly moderated by the high inflow of foreign remittances. </w:t>
      </w:r>
      <w:r w:rsidRPr="00F64A6A">
        <w:rPr>
          <w:rFonts w:cs="Times New Roman"/>
          <w:szCs w:val="24"/>
          <w:u w:val="single"/>
          <w:lang w:val="en-GB"/>
        </w:rPr>
        <w:t>Haor Hotspot area (1.963 mill ha)</w:t>
      </w:r>
      <w:r w:rsidR="007F2F9C" w:rsidRPr="008262F9">
        <w:rPr>
          <w:rFonts w:cs="Times New Roman"/>
          <w:szCs w:val="24"/>
          <w:lang w:val="en-GB"/>
        </w:rPr>
        <w:t xml:space="preserve"> </w:t>
      </w:r>
      <w:r w:rsidR="007F2F9C">
        <w:rPr>
          <w:rFonts w:cs="Times New Roman"/>
          <w:szCs w:val="24"/>
          <w:lang w:val="en-GB"/>
        </w:rPr>
        <w:t>comprises</w:t>
      </w:r>
      <w:r w:rsidR="007F2F9C" w:rsidRPr="008262F9">
        <w:rPr>
          <w:rFonts w:cs="Times New Roman"/>
          <w:szCs w:val="24"/>
          <w:lang w:val="en-GB"/>
        </w:rPr>
        <w:t xml:space="preserve"> a vital resource for </w:t>
      </w:r>
      <w:r w:rsidR="007F2F9C" w:rsidRPr="008262F9">
        <w:rPr>
          <w:rFonts w:cs="Times New Roman"/>
          <w:szCs w:val="24"/>
          <w:lang w:val="en-GB"/>
        </w:rPr>
        <w:lastRenderedPageBreak/>
        <w:t>fisheries, irrigation water, ecos</w:t>
      </w:r>
      <w:r w:rsidR="006A3DD2">
        <w:rPr>
          <w:rFonts w:cs="Times New Roman"/>
          <w:szCs w:val="24"/>
          <w:lang w:val="en-GB"/>
        </w:rPr>
        <w:t>ystem functioning and navigation</w:t>
      </w:r>
      <w:r w:rsidR="00065D01">
        <w:rPr>
          <w:rFonts w:cs="Times New Roman"/>
          <w:szCs w:val="24"/>
          <w:lang w:val="en-GB"/>
        </w:rPr>
        <w:t>.</w:t>
      </w:r>
      <w:r w:rsidR="007F2F9C">
        <w:rPr>
          <w:rFonts w:cs="Times New Roman"/>
          <w:szCs w:val="24"/>
          <w:lang w:val="en-GB"/>
        </w:rPr>
        <w:t xml:space="preserve">  A </w:t>
      </w:r>
      <w:r w:rsidR="007F2F9C" w:rsidRPr="008C6A47">
        <w:rPr>
          <w:rFonts w:cs="Times New Roman"/>
          <w:szCs w:val="24"/>
          <w:lang w:val="en-GB"/>
        </w:rPr>
        <w:t xml:space="preserve">total </w:t>
      </w:r>
      <w:r w:rsidR="007F2F9C">
        <w:rPr>
          <w:rFonts w:cs="Times New Roman"/>
          <w:szCs w:val="24"/>
          <w:lang w:val="en-GB"/>
        </w:rPr>
        <w:t xml:space="preserve">of 1.31 million </w:t>
      </w:r>
      <w:r w:rsidR="007F2F9C" w:rsidRPr="002E14C2">
        <w:rPr>
          <w:rFonts w:cs="Times New Roman"/>
          <w:szCs w:val="24"/>
          <w:lang w:val="en-GB"/>
        </w:rPr>
        <w:t>ha</w:t>
      </w:r>
      <w:r w:rsidR="007F2F9C" w:rsidRPr="008C6A47">
        <w:rPr>
          <w:rFonts w:cs="Times New Roman"/>
          <w:szCs w:val="24"/>
          <w:lang w:val="en-GB"/>
        </w:rPr>
        <w:t xml:space="preserve"> </w:t>
      </w:r>
      <w:r w:rsidR="007F2F9C">
        <w:rPr>
          <w:rFonts w:cs="Times New Roman"/>
          <w:szCs w:val="24"/>
          <w:lang w:val="en-GB"/>
        </w:rPr>
        <w:t xml:space="preserve">is </w:t>
      </w:r>
      <w:r w:rsidR="007F2F9C" w:rsidRPr="008C6A47">
        <w:rPr>
          <w:rFonts w:cs="Times New Roman"/>
          <w:szCs w:val="24"/>
          <w:lang w:val="en-GB"/>
        </w:rPr>
        <w:t xml:space="preserve">under agricultural production, producing </w:t>
      </w:r>
      <w:r w:rsidR="007F2F9C">
        <w:rPr>
          <w:rFonts w:cs="Times New Roman"/>
          <w:szCs w:val="24"/>
          <w:lang w:val="en-GB"/>
        </w:rPr>
        <w:t xml:space="preserve">5.25 million </w:t>
      </w:r>
      <w:r w:rsidR="00FE6385">
        <w:rPr>
          <w:rFonts w:cs="Times New Roman"/>
          <w:szCs w:val="24"/>
          <w:lang w:val="en-GB"/>
        </w:rPr>
        <w:t>tonn</w:t>
      </w:r>
      <w:r w:rsidR="007F2F9C">
        <w:rPr>
          <w:rFonts w:cs="Times New Roman"/>
          <w:szCs w:val="24"/>
          <w:lang w:val="en-GB"/>
        </w:rPr>
        <w:t>es of rice per</w:t>
      </w:r>
      <w:r w:rsidR="007F2F9C" w:rsidRPr="008C6A47">
        <w:rPr>
          <w:rFonts w:cs="Times New Roman"/>
          <w:szCs w:val="24"/>
          <w:lang w:val="en-GB"/>
        </w:rPr>
        <w:t xml:space="preserve"> annum and an estimated </w:t>
      </w:r>
      <w:r w:rsidR="007F2F9C">
        <w:rPr>
          <w:rFonts w:cs="Times New Roman"/>
          <w:szCs w:val="24"/>
          <w:lang w:val="en-GB"/>
        </w:rPr>
        <w:t xml:space="preserve">0.432 million </w:t>
      </w:r>
      <w:r w:rsidR="00FE6385">
        <w:rPr>
          <w:rFonts w:cs="Times New Roman"/>
          <w:szCs w:val="24"/>
          <w:lang w:val="en-GB"/>
        </w:rPr>
        <w:t>tonne</w:t>
      </w:r>
      <w:r w:rsidR="007F2F9C">
        <w:rPr>
          <w:rFonts w:cs="Times New Roman"/>
          <w:szCs w:val="24"/>
          <w:lang w:val="en-GB"/>
        </w:rPr>
        <w:t>nes of fish</w:t>
      </w:r>
      <w:r w:rsidR="007F2F9C" w:rsidRPr="008C6A47">
        <w:rPr>
          <w:rFonts w:cs="Times New Roman"/>
          <w:szCs w:val="24"/>
          <w:lang w:val="en-GB"/>
        </w:rPr>
        <w:t xml:space="preserve"> from the Haor </w:t>
      </w:r>
      <w:r w:rsidR="007F2F9C">
        <w:rPr>
          <w:rFonts w:cs="Times New Roman"/>
          <w:szCs w:val="24"/>
          <w:lang w:val="en-GB"/>
        </w:rPr>
        <w:t xml:space="preserve">areas. </w:t>
      </w:r>
      <w:r w:rsidRPr="00F64A6A">
        <w:rPr>
          <w:rFonts w:cs="Times New Roman"/>
          <w:szCs w:val="24"/>
          <w:u w:val="single"/>
          <w:lang w:val="en-GB"/>
        </w:rPr>
        <w:t>In terms of national share, the Haor areas produce about 13% of the rice production and 15% of the fishing output.</w:t>
      </w:r>
      <w:r w:rsidR="00710B76">
        <w:rPr>
          <w:rFonts w:cs="Times New Roman"/>
          <w:szCs w:val="24"/>
          <w:lang w:val="en-GB"/>
        </w:rPr>
        <w:t xml:space="preserve">  </w:t>
      </w:r>
    </w:p>
    <w:p w:rsidR="00733DAA" w:rsidRPr="00733DAA" w:rsidRDefault="00733DAA" w:rsidP="00A435F5">
      <w:pPr>
        <w:pStyle w:val="ListParagraph"/>
        <w:spacing w:line="276" w:lineRule="auto"/>
        <w:ind w:left="0"/>
        <w:jc w:val="both"/>
        <w:rPr>
          <w:rFonts w:cs="Segoe UI"/>
          <w:szCs w:val="24"/>
        </w:rPr>
      </w:pPr>
    </w:p>
    <w:p w:rsidR="007F2F9C" w:rsidRPr="005E63C0" w:rsidRDefault="007F2F9C" w:rsidP="00A435F5">
      <w:pPr>
        <w:pStyle w:val="ListParagraph"/>
        <w:spacing w:line="276" w:lineRule="auto"/>
        <w:ind w:left="0"/>
        <w:jc w:val="both"/>
        <w:rPr>
          <w:rFonts w:cs="Segoe UI"/>
          <w:b/>
          <w:bCs/>
          <w:i/>
          <w:szCs w:val="24"/>
        </w:rPr>
      </w:pPr>
      <w:r w:rsidRPr="005E63C0">
        <w:rPr>
          <w:rFonts w:cs="Segoe UI"/>
          <w:b/>
          <w:bCs/>
          <w:i/>
          <w:szCs w:val="24"/>
        </w:rPr>
        <w:t>Major Constraints in Haor region</w:t>
      </w:r>
    </w:p>
    <w:p w:rsidR="007F2F9C" w:rsidRPr="00AF5EF5" w:rsidRDefault="007F2F9C" w:rsidP="00A435F5">
      <w:pPr>
        <w:pStyle w:val="ListParagraph"/>
        <w:spacing w:line="276" w:lineRule="auto"/>
        <w:ind w:left="0"/>
        <w:jc w:val="both"/>
        <w:rPr>
          <w:rFonts w:cs="Segoe UI"/>
          <w:b/>
          <w:bCs/>
          <w:szCs w:val="24"/>
        </w:rPr>
      </w:pPr>
    </w:p>
    <w:p w:rsidR="007F2F9C" w:rsidRPr="003838CA" w:rsidRDefault="007F2F9C" w:rsidP="00D6486D">
      <w:pPr>
        <w:pStyle w:val="ListParagraph"/>
        <w:numPr>
          <w:ilvl w:val="0"/>
          <w:numId w:val="63"/>
        </w:numPr>
        <w:spacing w:line="276" w:lineRule="auto"/>
        <w:ind w:left="360"/>
        <w:jc w:val="both"/>
        <w:rPr>
          <w:rFonts w:cs="Times New Roman"/>
          <w:bCs/>
          <w:color w:val="000000"/>
          <w:szCs w:val="24"/>
        </w:rPr>
      </w:pPr>
      <w:r w:rsidRPr="003838CA">
        <w:rPr>
          <w:rFonts w:cs="Times New Roman"/>
          <w:bCs/>
          <w:color w:val="000000"/>
          <w:szCs w:val="24"/>
        </w:rPr>
        <w:t>Degradation of natural resources and biodiversity</w:t>
      </w:r>
    </w:p>
    <w:p w:rsidR="00C7323F" w:rsidRPr="003838CA" w:rsidRDefault="00C7323F" w:rsidP="00D6486D">
      <w:pPr>
        <w:pStyle w:val="ListParagraph"/>
        <w:numPr>
          <w:ilvl w:val="0"/>
          <w:numId w:val="63"/>
        </w:numPr>
        <w:spacing w:line="276" w:lineRule="auto"/>
        <w:ind w:left="360"/>
        <w:jc w:val="both"/>
        <w:rPr>
          <w:rFonts w:cs="Times New Roman"/>
          <w:bCs/>
          <w:color w:val="000000"/>
          <w:szCs w:val="24"/>
        </w:rPr>
      </w:pPr>
      <w:r w:rsidRPr="003838CA">
        <w:rPr>
          <w:rFonts w:cs="Times New Roman"/>
          <w:bCs/>
          <w:color w:val="000000"/>
          <w:szCs w:val="24"/>
        </w:rPr>
        <w:t>Underdeveloped physical and social infrastructure</w:t>
      </w:r>
    </w:p>
    <w:p w:rsidR="007F2F9C" w:rsidRPr="003838CA" w:rsidRDefault="007F2F9C" w:rsidP="00D6486D">
      <w:pPr>
        <w:pStyle w:val="ListParagraph"/>
        <w:numPr>
          <w:ilvl w:val="0"/>
          <w:numId w:val="63"/>
        </w:numPr>
        <w:spacing w:line="276" w:lineRule="auto"/>
        <w:ind w:left="360"/>
        <w:jc w:val="both"/>
        <w:rPr>
          <w:rFonts w:cs="Times New Roman"/>
          <w:bCs/>
          <w:color w:val="000000"/>
          <w:szCs w:val="24"/>
        </w:rPr>
      </w:pPr>
      <w:r w:rsidRPr="003838CA">
        <w:rPr>
          <w:rFonts w:cs="Times New Roman"/>
          <w:bCs/>
          <w:color w:val="000000"/>
          <w:szCs w:val="24"/>
        </w:rPr>
        <w:t>Crop damage by flash floods</w:t>
      </w:r>
    </w:p>
    <w:p w:rsidR="007F2F9C" w:rsidRPr="003838CA" w:rsidRDefault="007F2F9C" w:rsidP="00D6486D">
      <w:pPr>
        <w:pStyle w:val="ListParagraph"/>
        <w:numPr>
          <w:ilvl w:val="0"/>
          <w:numId w:val="63"/>
        </w:numPr>
        <w:spacing w:line="276" w:lineRule="auto"/>
        <w:ind w:left="360"/>
        <w:jc w:val="both"/>
        <w:rPr>
          <w:rFonts w:cs="Times New Roman"/>
          <w:bCs/>
          <w:color w:val="000000"/>
          <w:szCs w:val="24"/>
        </w:rPr>
      </w:pPr>
      <w:r w:rsidRPr="003838CA">
        <w:rPr>
          <w:rFonts w:cs="Times New Roman"/>
          <w:bCs/>
          <w:color w:val="000000"/>
          <w:szCs w:val="24"/>
        </w:rPr>
        <w:t>Declining productivity of crops</w:t>
      </w:r>
    </w:p>
    <w:p w:rsidR="00733DAA" w:rsidRPr="003838CA" w:rsidRDefault="00C7323F" w:rsidP="00D6486D">
      <w:pPr>
        <w:pStyle w:val="ListParagraph"/>
        <w:numPr>
          <w:ilvl w:val="0"/>
          <w:numId w:val="63"/>
        </w:numPr>
        <w:spacing w:line="276" w:lineRule="auto"/>
        <w:ind w:left="360"/>
        <w:jc w:val="both"/>
        <w:rPr>
          <w:rFonts w:cs="Times New Roman"/>
          <w:bCs/>
          <w:color w:val="000000"/>
          <w:szCs w:val="24"/>
        </w:rPr>
      </w:pPr>
      <w:r w:rsidRPr="003838CA">
        <w:rPr>
          <w:rFonts w:cs="Times New Roman"/>
          <w:bCs/>
          <w:color w:val="000000"/>
          <w:szCs w:val="24"/>
        </w:rPr>
        <w:t>Poor m</w:t>
      </w:r>
      <w:r w:rsidR="007F2F9C" w:rsidRPr="003838CA">
        <w:rPr>
          <w:rFonts w:cs="Times New Roman"/>
          <w:bCs/>
          <w:color w:val="000000"/>
          <w:szCs w:val="24"/>
        </w:rPr>
        <w:t>arket linkage and value addition</w:t>
      </w:r>
    </w:p>
    <w:p w:rsidR="00E12250" w:rsidRPr="00CC577C" w:rsidRDefault="006A3DD2" w:rsidP="00C7323F">
      <w:pPr>
        <w:spacing w:line="276" w:lineRule="auto"/>
        <w:jc w:val="both"/>
        <w:rPr>
          <w:rFonts w:cs="Times New Roman"/>
          <w:szCs w:val="24"/>
          <w:u w:val="single"/>
        </w:rPr>
      </w:pPr>
      <w:r>
        <w:rPr>
          <w:rFonts w:cs="Times New Roman"/>
          <w:szCs w:val="24"/>
        </w:rPr>
        <w:t>The impact of flash flooding is reflected in average rice productivity</w:t>
      </w:r>
      <w:r w:rsidR="00E26251">
        <w:rPr>
          <w:rFonts w:cs="Times New Roman"/>
          <w:szCs w:val="24"/>
        </w:rPr>
        <w:t xml:space="preserve"> by the Haor districts (</w:t>
      </w:r>
      <w:r w:rsidR="00065D01">
        <w:rPr>
          <w:rFonts w:cs="Times New Roman"/>
          <w:szCs w:val="24"/>
        </w:rPr>
        <w:t>Figure</w:t>
      </w:r>
      <w:r w:rsidR="00E26251">
        <w:rPr>
          <w:rFonts w:cs="Times New Roman"/>
          <w:szCs w:val="24"/>
        </w:rPr>
        <w:t xml:space="preserve"> 8.</w:t>
      </w:r>
      <w:r w:rsidR="009A2B3D">
        <w:rPr>
          <w:rFonts w:cs="Times New Roman"/>
          <w:szCs w:val="24"/>
        </w:rPr>
        <w:t>5</w:t>
      </w:r>
      <w:r w:rsidR="00E26251">
        <w:rPr>
          <w:rFonts w:cs="Times New Roman"/>
          <w:szCs w:val="24"/>
        </w:rPr>
        <w:t>).  The rice productivity is calculated as an average for two fiscal years FY10 and FY11.  These years were normal years from the weather and climate change perspective. Im</w:t>
      </w:r>
      <w:r w:rsidR="00B316F7">
        <w:rPr>
          <w:rFonts w:cs="Times New Roman"/>
          <w:szCs w:val="24"/>
        </w:rPr>
        <w:t>p</w:t>
      </w:r>
      <w:r w:rsidR="00E26251">
        <w:rPr>
          <w:rFonts w:cs="Times New Roman"/>
          <w:szCs w:val="24"/>
        </w:rPr>
        <w:t xml:space="preserve">act of normal flash flooding is built in the yields per acre. Even within the Haor districts, the yield per acre is dramatically different by districts, ranging from a very low </w:t>
      </w:r>
      <w:r w:rsidR="00B316F7">
        <w:rPr>
          <w:rFonts w:cs="Times New Roman"/>
          <w:szCs w:val="24"/>
        </w:rPr>
        <w:t xml:space="preserve">of 0.91 MT/acre for Sylhet to a high of 1.5 MT/acre for Kishoreganj. </w:t>
      </w:r>
      <w:r w:rsidR="00F64A6A" w:rsidRPr="00F64A6A">
        <w:rPr>
          <w:rFonts w:cs="Times New Roman"/>
          <w:szCs w:val="24"/>
          <w:u w:val="single"/>
        </w:rPr>
        <w:t xml:space="preserve">More generally the major brunt of the Haor flash-flooding falls on the four districts of the Sylhet Division, especially Sunamganj, Habiganj and Sylhet districts.  The Sylhet district agriculture also suffers from the incidence of river erosion. </w:t>
      </w:r>
    </w:p>
    <w:p w:rsidR="00C02121" w:rsidRPr="00C02121" w:rsidRDefault="00C02121" w:rsidP="00A97C23">
      <w:pPr>
        <w:pStyle w:val="Heading5"/>
      </w:pPr>
      <w:bookmarkStart w:id="629" w:name="_Toc474639199"/>
      <w:r w:rsidRPr="00C02121">
        <w:t>Figure 8.</w:t>
      </w:r>
      <w:r w:rsidR="009A2B3D">
        <w:t>5</w:t>
      </w:r>
      <w:r w:rsidRPr="00C02121">
        <w:t xml:space="preserve"> Haor Districts Average Rice Yield FY</w:t>
      </w:r>
      <w:r w:rsidR="00950E3B">
        <w:t>20</w:t>
      </w:r>
      <w:r w:rsidRPr="00C02121">
        <w:t>10-FY</w:t>
      </w:r>
      <w:r w:rsidR="00950E3B">
        <w:t>20</w:t>
      </w:r>
      <w:r w:rsidRPr="00C02121">
        <w:t>11 (MT/acre)</w:t>
      </w:r>
      <w:bookmarkEnd w:id="629"/>
    </w:p>
    <w:p w:rsidR="00181B59" w:rsidRDefault="00E26251" w:rsidP="007C1A65">
      <w:pPr>
        <w:spacing w:after="0" w:line="276" w:lineRule="auto"/>
        <w:ind w:left="475"/>
        <w:jc w:val="both"/>
        <w:rPr>
          <w:rFonts w:cs="Times New Roman"/>
          <w:b/>
          <w:szCs w:val="24"/>
        </w:rPr>
      </w:pPr>
      <w:r>
        <w:rPr>
          <w:noProof/>
          <w:lang w:val="en-AU" w:eastAsia="en-AU" w:bidi="bn-BD"/>
        </w:rPr>
        <w:drawing>
          <wp:inline distT="0" distB="0" distL="0" distR="0">
            <wp:extent cx="5381625" cy="2895600"/>
            <wp:effectExtent l="0" t="0" r="9525" b="190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sidR="00181B59">
        <w:rPr>
          <w:rFonts w:cs="Times New Roman"/>
          <w:b/>
          <w:szCs w:val="24"/>
        </w:rPr>
        <w:t xml:space="preserve">     </w:t>
      </w:r>
    </w:p>
    <w:p w:rsidR="00181B59" w:rsidRDefault="00181B59" w:rsidP="007C1A65">
      <w:pPr>
        <w:spacing w:before="120" w:line="276" w:lineRule="auto"/>
        <w:ind w:left="475"/>
        <w:jc w:val="both"/>
        <w:rPr>
          <w:rFonts w:cs="Times New Roman"/>
          <w:b/>
          <w:i/>
          <w:sz w:val="20"/>
          <w:szCs w:val="24"/>
        </w:rPr>
      </w:pPr>
      <w:r w:rsidRPr="007C1A65">
        <w:rPr>
          <w:rFonts w:cs="Times New Roman"/>
          <w:b/>
          <w:i/>
          <w:sz w:val="20"/>
          <w:szCs w:val="24"/>
        </w:rPr>
        <w:t>Source: BBS</w:t>
      </w:r>
    </w:p>
    <w:p w:rsidR="0055784E" w:rsidRPr="007C1A65" w:rsidRDefault="0055784E" w:rsidP="007C1A65">
      <w:pPr>
        <w:spacing w:before="120" w:line="276" w:lineRule="auto"/>
        <w:ind w:left="475"/>
        <w:jc w:val="both"/>
        <w:rPr>
          <w:rFonts w:cs="Times New Roman"/>
          <w:b/>
          <w:i/>
          <w:szCs w:val="24"/>
        </w:rPr>
      </w:pPr>
    </w:p>
    <w:p w:rsidR="007F2F9C" w:rsidRPr="00862556" w:rsidRDefault="00611F28" w:rsidP="00862556">
      <w:pPr>
        <w:spacing w:line="23" w:lineRule="atLeast"/>
        <w:rPr>
          <w:rFonts w:cs="Segoe UI"/>
          <w:b/>
          <w:bCs/>
          <w:i/>
          <w:szCs w:val="24"/>
        </w:rPr>
      </w:pPr>
      <w:r w:rsidRPr="00862556">
        <w:rPr>
          <w:rFonts w:cs="Segoe UI"/>
          <w:b/>
          <w:bCs/>
          <w:i/>
          <w:szCs w:val="24"/>
        </w:rPr>
        <w:lastRenderedPageBreak/>
        <w:t xml:space="preserve">Strategies for </w:t>
      </w:r>
      <w:r w:rsidR="00181B59" w:rsidRPr="00862556">
        <w:rPr>
          <w:rFonts w:cs="Segoe UI"/>
          <w:b/>
          <w:bCs/>
          <w:i/>
          <w:szCs w:val="24"/>
        </w:rPr>
        <w:t xml:space="preserve">Development of Agriculture in the </w:t>
      </w:r>
      <w:r w:rsidR="007F2F9C" w:rsidRPr="00862556">
        <w:rPr>
          <w:rFonts w:cs="Segoe UI"/>
          <w:b/>
          <w:bCs/>
          <w:i/>
          <w:szCs w:val="24"/>
        </w:rPr>
        <w:t>Haor</w:t>
      </w:r>
      <w:r w:rsidR="00181B59" w:rsidRPr="00862556">
        <w:rPr>
          <w:rFonts w:cs="Segoe UI"/>
          <w:b/>
          <w:bCs/>
          <w:i/>
          <w:szCs w:val="24"/>
        </w:rPr>
        <w:t xml:space="preserve"> R</w:t>
      </w:r>
      <w:r w:rsidR="007F2F9C" w:rsidRPr="00862556">
        <w:rPr>
          <w:rFonts w:cs="Segoe UI"/>
          <w:b/>
          <w:bCs/>
          <w:i/>
          <w:szCs w:val="24"/>
        </w:rPr>
        <w:t xml:space="preserve">egion </w:t>
      </w:r>
    </w:p>
    <w:p w:rsidR="007F2F9C" w:rsidRPr="00A11C98" w:rsidRDefault="00181B59" w:rsidP="00A11C98">
      <w:pPr>
        <w:spacing w:line="276" w:lineRule="auto"/>
        <w:jc w:val="both"/>
        <w:rPr>
          <w:rFonts w:cs="Times New Roman"/>
          <w:szCs w:val="24"/>
        </w:rPr>
      </w:pPr>
      <w:r>
        <w:rPr>
          <w:rFonts w:cs="Times New Roman"/>
          <w:szCs w:val="24"/>
        </w:rPr>
        <w:t>The basic problem for agriculture in the Haor region emerges from flash flooding that must be addressed at the source to avoid the losses to crop production. The detailed strategies for addressing the water and climate related concerns in the Haor areas were discussed in Chapter 3 (ecology and environment) and Chapter 4.  In terms of priority policy attention needs to be specifically focused on agriculture issues in Sylhet, Sunamganj and Habiganj</w:t>
      </w:r>
      <w:r w:rsidR="00A11C98">
        <w:rPr>
          <w:rFonts w:cs="Times New Roman"/>
          <w:szCs w:val="24"/>
        </w:rPr>
        <w:t xml:space="preserve">. </w:t>
      </w:r>
      <w:r>
        <w:rPr>
          <w:rFonts w:cs="Times New Roman"/>
          <w:szCs w:val="24"/>
        </w:rPr>
        <w:t xml:space="preserve"> </w:t>
      </w:r>
      <w:r w:rsidR="00A11C98">
        <w:rPr>
          <w:rFonts w:cs="Times New Roman"/>
          <w:szCs w:val="24"/>
        </w:rPr>
        <w:t>For the Haor areas as a whole, the main strategic priorities are:</w:t>
      </w:r>
    </w:p>
    <w:p w:rsidR="007F2F9C" w:rsidRPr="00FC201C" w:rsidRDefault="007F2F9C" w:rsidP="00D6486D">
      <w:pPr>
        <w:pStyle w:val="ListParagraph"/>
        <w:numPr>
          <w:ilvl w:val="0"/>
          <w:numId w:val="63"/>
        </w:numPr>
        <w:spacing w:line="276" w:lineRule="auto"/>
        <w:ind w:left="360"/>
        <w:jc w:val="both"/>
        <w:rPr>
          <w:rFonts w:cs="Times New Roman"/>
          <w:bCs/>
          <w:color w:val="000000"/>
          <w:szCs w:val="24"/>
        </w:rPr>
      </w:pPr>
      <w:r w:rsidRPr="00FC201C">
        <w:rPr>
          <w:rFonts w:cs="Times New Roman"/>
          <w:bCs/>
          <w:color w:val="000000"/>
          <w:szCs w:val="24"/>
        </w:rPr>
        <w:t>Improved water and disaster management</w:t>
      </w:r>
    </w:p>
    <w:p w:rsidR="007F2F9C" w:rsidRPr="00FC201C" w:rsidRDefault="007F2F9C" w:rsidP="00D6486D">
      <w:pPr>
        <w:pStyle w:val="ListParagraph"/>
        <w:numPr>
          <w:ilvl w:val="0"/>
          <w:numId w:val="63"/>
        </w:numPr>
        <w:spacing w:line="276" w:lineRule="auto"/>
        <w:ind w:left="360"/>
        <w:jc w:val="both"/>
        <w:rPr>
          <w:rFonts w:cs="Times New Roman"/>
          <w:bCs/>
          <w:color w:val="000000"/>
          <w:szCs w:val="24"/>
        </w:rPr>
      </w:pPr>
      <w:r w:rsidRPr="00FC201C">
        <w:rPr>
          <w:rFonts w:cs="Times New Roman"/>
          <w:bCs/>
          <w:color w:val="000000"/>
          <w:szCs w:val="24"/>
        </w:rPr>
        <w:t>Agricultural development for food security</w:t>
      </w:r>
    </w:p>
    <w:p w:rsidR="007F2F9C" w:rsidRPr="00CC577C" w:rsidRDefault="00F64A6A" w:rsidP="00D6486D">
      <w:pPr>
        <w:pStyle w:val="ListParagraph"/>
        <w:numPr>
          <w:ilvl w:val="0"/>
          <w:numId w:val="63"/>
        </w:numPr>
        <w:spacing w:line="276" w:lineRule="auto"/>
        <w:ind w:left="360"/>
        <w:jc w:val="both"/>
        <w:rPr>
          <w:rFonts w:cs="Times New Roman"/>
          <w:bCs/>
          <w:color w:val="000000"/>
          <w:szCs w:val="24"/>
          <w:u w:val="single"/>
        </w:rPr>
      </w:pPr>
      <w:r w:rsidRPr="00F64A6A">
        <w:rPr>
          <w:rFonts w:cs="Times New Roman"/>
          <w:bCs/>
          <w:color w:val="000000"/>
          <w:szCs w:val="24"/>
          <w:u w:val="single"/>
        </w:rPr>
        <w:t>Biodiversity enhancement and wet land management</w:t>
      </w:r>
    </w:p>
    <w:p w:rsidR="007F2F9C" w:rsidRPr="00CC577C" w:rsidRDefault="00F64A6A" w:rsidP="00D6486D">
      <w:pPr>
        <w:pStyle w:val="ListParagraph"/>
        <w:numPr>
          <w:ilvl w:val="0"/>
          <w:numId w:val="63"/>
        </w:numPr>
        <w:spacing w:line="276" w:lineRule="auto"/>
        <w:ind w:left="360"/>
        <w:jc w:val="both"/>
        <w:rPr>
          <w:rFonts w:cs="Times New Roman"/>
          <w:bCs/>
          <w:color w:val="000000"/>
          <w:szCs w:val="24"/>
          <w:u w:val="single"/>
        </w:rPr>
      </w:pPr>
      <w:r w:rsidRPr="00F64A6A">
        <w:rPr>
          <w:rFonts w:cs="Times New Roman"/>
          <w:bCs/>
          <w:color w:val="000000"/>
          <w:szCs w:val="24"/>
          <w:u w:val="single"/>
        </w:rPr>
        <w:t>Social safety nets and improvement of living conditions</w:t>
      </w:r>
    </w:p>
    <w:p w:rsidR="007F2F9C" w:rsidRPr="00CC577C" w:rsidRDefault="00F64A6A" w:rsidP="00D6486D">
      <w:pPr>
        <w:pStyle w:val="ListParagraph"/>
        <w:numPr>
          <w:ilvl w:val="0"/>
          <w:numId w:val="63"/>
        </w:numPr>
        <w:spacing w:line="276" w:lineRule="auto"/>
        <w:ind w:left="360"/>
        <w:jc w:val="both"/>
        <w:rPr>
          <w:rFonts w:cs="Times New Roman"/>
          <w:bCs/>
          <w:color w:val="000000"/>
          <w:szCs w:val="24"/>
          <w:u w:val="single"/>
        </w:rPr>
      </w:pPr>
      <w:r w:rsidRPr="00F64A6A">
        <w:rPr>
          <w:rFonts w:cs="Times New Roman"/>
          <w:bCs/>
          <w:color w:val="000000"/>
          <w:szCs w:val="24"/>
          <w:u w:val="single"/>
        </w:rPr>
        <w:t>Improved physical infrastructure, and</w:t>
      </w:r>
    </w:p>
    <w:p w:rsidR="00E36F89" w:rsidRPr="00144771" w:rsidRDefault="007F2F9C" w:rsidP="00D6486D">
      <w:pPr>
        <w:pStyle w:val="ListParagraph"/>
        <w:numPr>
          <w:ilvl w:val="0"/>
          <w:numId w:val="63"/>
        </w:numPr>
        <w:spacing w:line="276" w:lineRule="auto"/>
        <w:ind w:left="360"/>
        <w:jc w:val="both"/>
        <w:rPr>
          <w:rFonts w:cs="Times New Roman"/>
          <w:bCs/>
          <w:color w:val="000000"/>
          <w:szCs w:val="24"/>
        </w:rPr>
      </w:pPr>
      <w:r>
        <w:rPr>
          <w:rFonts w:cs="Times New Roman"/>
          <w:bCs/>
          <w:color w:val="000000"/>
          <w:szCs w:val="24"/>
        </w:rPr>
        <w:t xml:space="preserve">Specialized </w:t>
      </w:r>
      <w:r w:rsidR="00181B59">
        <w:rPr>
          <w:rFonts w:cs="Times New Roman"/>
          <w:bCs/>
          <w:color w:val="000000"/>
          <w:szCs w:val="24"/>
        </w:rPr>
        <w:t>e</w:t>
      </w:r>
      <w:r w:rsidRPr="00FC201C">
        <w:rPr>
          <w:rFonts w:cs="Times New Roman"/>
          <w:bCs/>
          <w:color w:val="000000"/>
          <w:szCs w:val="24"/>
        </w:rPr>
        <w:t>nterprise and technology development</w:t>
      </w:r>
      <w:r w:rsidR="00B5188C">
        <w:rPr>
          <w:rFonts w:cs="Times New Roman"/>
          <w:bCs/>
          <w:color w:val="000000"/>
          <w:szCs w:val="24"/>
        </w:rPr>
        <w:t xml:space="preserve"> for alternative sources of rural livelihood including </w:t>
      </w:r>
      <w:r w:rsidR="00065D01">
        <w:rPr>
          <w:rFonts w:cs="Times New Roman"/>
          <w:bCs/>
          <w:color w:val="000000"/>
          <w:szCs w:val="24"/>
        </w:rPr>
        <w:t>eco-tourism</w:t>
      </w:r>
      <w:r w:rsidR="00B5188C">
        <w:rPr>
          <w:rFonts w:cs="Times New Roman"/>
          <w:bCs/>
          <w:color w:val="000000"/>
          <w:szCs w:val="24"/>
        </w:rPr>
        <w:t xml:space="preserve"> based on wetland development, development of river transport, small manufacturing enterprises, and strengthening of forestry resources.</w:t>
      </w:r>
      <w:bookmarkStart w:id="630" w:name="_Toc421182965"/>
      <w:bookmarkStart w:id="631" w:name="_Toc439144699"/>
      <w:bookmarkEnd w:id="624"/>
      <w:bookmarkEnd w:id="625"/>
    </w:p>
    <w:p w:rsidR="00000000" w:rsidRDefault="007F2F9C" w:rsidP="003D5A31">
      <w:pPr>
        <w:pStyle w:val="BodyText"/>
        <w:numPr>
          <w:ilvl w:val="2"/>
          <w:numId w:val="238"/>
        </w:numPr>
        <w:spacing w:after="240" w:line="276" w:lineRule="auto"/>
        <w:jc w:val="both"/>
        <w:rPr>
          <w:rFonts w:cs="Times New Roman"/>
          <w:b/>
          <w:szCs w:val="24"/>
        </w:rPr>
      </w:pPr>
      <w:r w:rsidRPr="00155322">
        <w:rPr>
          <w:rFonts w:cs="Times New Roman"/>
          <w:b/>
          <w:szCs w:val="24"/>
        </w:rPr>
        <w:t>C</w:t>
      </w:r>
      <w:bookmarkEnd w:id="630"/>
      <w:bookmarkEnd w:id="631"/>
      <w:r>
        <w:rPr>
          <w:rFonts w:cs="Times New Roman"/>
          <w:b/>
          <w:szCs w:val="24"/>
        </w:rPr>
        <w:t>oastal Region</w:t>
      </w:r>
      <w:r w:rsidR="003869D9">
        <w:rPr>
          <w:rFonts w:cs="Times New Roman"/>
          <w:b/>
          <w:szCs w:val="24"/>
        </w:rPr>
        <w:t xml:space="preserve"> Agriculture</w:t>
      </w:r>
    </w:p>
    <w:p w:rsidR="007F2F9C" w:rsidRPr="00CC577C" w:rsidRDefault="00611F28" w:rsidP="00611F28">
      <w:pPr>
        <w:autoSpaceDE w:val="0"/>
        <w:autoSpaceDN w:val="0"/>
        <w:adjustRightInd w:val="0"/>
        <w:spacing w:line="276" w:lineRule="auto"/>
        <w:jc w:val="both"/>
        <w:rPr>
          <w:rFonts w:cs="Segoe UI"/>
          <w:sz w:val="20"/>
          <w:u w:val="single"/>
        </w:rPr>
      </w:pPr>
      <w:r>
        <w:rPr>
          <w:rFonts w:cs="Times New Roman"/>
          <w:szCs w:val="24"/>
        </w:rPr>
        <w:t>As noted earlier, t</w:t>
      </w:r>
      <w:r w:rsidR="007F2F9C">
        <w:rPr>
          <w:rFonts w:cs="Times New Roman"/>
          <w:szCs w:val="24"/>
        </w:rPr>
        <w:t>he coastal region has generally been identified as disadvantaged in terms of frequent extreme events; poverty, food insecurity, environmental vulnerability, and limited livelihood opportunities. This reg</w:t>
      </w:r>
      <w:r w:rsidR="003869D9">
        <w:rPr>
          <w:rFonts w:cs="Times New Roman"/>
          <w:szCs w:val="24"/>
        </w:rPr>
        <w:t>ion covers nearly a third of Bangladesh</w:t>
      </w:r>
      <w:r w:rsidR="007F2F9C">
        <w:rPr>
          <w:rFonts w:cs="Times New Roman"/>
          <w:szCs w:val="24"/>
        </w:rPr>
        <w:t xml:space="preserve"> land mass and is home to one-fifth of the population. Agriculture is by far the main economic activity in this region making the most significant contribution to output, employment, and income of inhabitants. </w:t>
      </w:r>
      <w:r w:rsidR="00F64A6A" w:rsidRPr="00F64A6A">
        <w:rPr>
          <w:rFonts w:cs="Times New Roman"/>
          <w:szCs w:val="24"/>
          <w:u w:val="single"/>
        </w:rPr>
        <w:t xml:space="preserve">Some 15 percent of total cultivable land is either fallow and/or not under productive use. Major physical factors responsible for land being not used intensively are soil salinity, water salinity, subsidence and water logging. </w:t>
      </w:r>
    </w:p>
    <w:p w:rsidR="007F2F9C" w:rsidRPr="00E50BB2" w:rsidRDefault="00611F28" w:rsidP="00005EAC">
      <w:pPr>
        <w:autoSpaceDE w:val="0"/>
        <w:autoSpaceDN w:val="0"/>
        <w:adjustRightInd w:val="0"/>
        <w:spacing w:after="200" w:line="276" w:lineRule="auto"/>
        <w:jc w:val="both"/>
        <w:rPr>
          <w:rFonts w:cs="Times New Roman"/>
          <w:szCs w:val="24"/>
        </w:rPr>
      </w:pPr>
      <w:r>
        <w:rPr>
          <w:rFonts w:cs="Times New Roman"/>
          <w:szCs w:val="24"/>
        </w:rPr>
        <w:t xml:space="preserve">Historically, the Government has responded </w:t>
      </w:r>
      <w:r w:rsidR="0009356F">
        <w:rPr>
          <w:rFonts w:cs="Times New Roman"/>
          <w:szCs w:val="24"/>
        </w:rPr>
        <w:t xml:space="preserve">by providing protection against sea water encroachment through polder based </w:t>
      </w:r>
      <w:r w:rsidR="00065D01" w:rsidRPr="00E50BB2">
        <w:rPr>
          <w:rFonts w:cs="Times New Roman"/>
          <w:szCs w:val="24"/>
        </w:rPr>
        <w:t>embankments</w:t>
      </w:r>
      <w:r w:rsidR="0009356F">
        <w:rPr>
          <w:rFonts w:cs="Times New Roman"/>
          <w:szCs w:val="24"/>
        </w:rPr>
        <w:t>.</w:t>
      </w:r>
      <w:r w:rsidR="007F2F9C" w:rsidRPr="00E50BB2">
        <w:rPr>
          <w:rFonts w:cs="Times New Roman"/>
          <w:szCs w:val="24"/>
        </w:rPr>
        <w:t xml:space="preserve"> The polders of the coastal region are badly in need of maintenance and facing </w:t>
      </w:r>
      <w:r w:rsidR="003869D9">
        <w:rPr>
          <w:rFonts w:cs="Times New Roman"/>
          <w:szCs w:val="24"/>
        </w:rPr>
        <w:t xml:space="preserve">the </w:t>
      </w:r>
      <w:r w:rsidR="007F2F9C" w:rsidRPr="00E50BB2">
        <w:rPr>
          <w:rFonts w:cs="Times New Roman"/>
          <w:szCs w:val="24"/>
        </w:rPr>
        <w:t>following problems:</w:t>
      </w:r>
    </w:p>
    <w:p w:rsidR="007F2F9C" w:rsidRPr="00E50BB2" w:rsidRDefault="007F2F9C" w:rsidP="00D6486D">
      <w:pPr>
        <w:numPr>
          <w:ilvl w:val="0"/>
          <w:numId w:val="62"/>
        </w:numPr>
        <w:spacing w:before="120" w:after="0" w:line="276" w:lineRule="auto"/>
        <w:ind w:left="360"/>
        <w:jc w:val="both"/>
        <w:rPr>
          <w:rFonts w:cs="Times New Roman"/>
          <w:szCs w:val="24"/>
        </w:rPr>
      </w:pPr>
      <w:r w:rsidRPr="00AF5EF5">
        <w:rPr>
          <w:rFonts w:cs="Times New Roman"/>
          <w:b/>
          <w:i/>
          <w:szCs w:val="24"/>
        </w:rPr>
        <w:t>Siltation</w:t>
      </w:r>
      <w:r w:rsidRPr="00E50BB2">
        <w:rPr>
          <w:rFonts w:cs="Times New Roman"/>
          <w:color w:val="00B050"/>
          <w:szCs w:val="24"/>
        </w:rPr>
        <w:t>:</w:t>
      </w:r>
      <w:r w:rsidRPr="00E50BB2">
        <w:rPr>
          <w:rFonts w:cs="Times New Roman"/>
          <w:szCs w:val="24"/>
        </w:rPr>
        <w:t xml:space="preserve"> Due to empoldering, natural inundation outside the polders has been obstructed by embankments resulting in higher elevation of land outside the polder and no siltation inside.</w:t>
      </w:r>
    </w:p>
    <w:p w:rsidR="007F2F9C" w:rsidRPr="00E50BB2" w:rsidRDefault="007F2F9C" w:rsidP="00D6486D">
      <w:pPr>
        <w:numPr>
          <w:ilvl w:val="0"/>
          <w:numId w:val="62"/>
        </w:numPr>
        <w:spacing w:before="120" w:after="0" w:line="276" w:lineRule="auto"/>
        <w:ind w:left="360"/>
        <w:jc w:val="both"/>
        <w:rPr>
          <w:rFonts w:cs="Times New Roman"/>
          <w:szCs w:val="24"/>
        </w:rPr>
      </w:pPr>
      <w:r w:rsidRPr="00AF5EF5">
        <w:rPr>
          <w:rFonts w:cs="Times New Roman"/>
          <w:b/>
          <w:i/>
          <w:szCs w:val="24"/>
        </w:rPr>
        <w:t>Drainage</w:t>
      </w:r>
      <w:r w:rsidRPr="00E50BB2">
        <w:rPr>
          <w:rFonts w:cs="Times New Roman"/>
          <w:color w:val="00B050"/>
          <w:szCs w:val="24"/>
        </w:rPr>
        <w:t>:</w:t>
      </w:r>
      <w:r w:rsidRPr="00E50BB2">
        <w:rPr>
          <w:rFonts w:cs="Times New Roman"/>
          <w:szCs w:val="24"/>
        </w:rPr>
        <w:t xml:space="preserve"> Because of siltation of outfall channels, channels within polders have significantly lost drainage capability resulting in water logging. The problem has been compounded by siltation of internal drainage channels.</w:t>
      </w:r>
    </w:p>
    <w:p w:rsidR="007F2F9C" w:rsidRPr="00E50BB2" w:rsidRDefault="007F2F9C" w:rsidP="00D6486D">
      <w:pPr>
        <w:numPr>
          <w:ilvl w:val="0"/>
          <w:numId w:val="62"/>
        </w:numPr>
        <w:spacing w:before="120" w:after="0" w:line="276" w:lineRule="auto"/>
        <w:ind w:left="360"/>
        <w:jc w:val="both"/>
        <w:rPr>
          <w:rFonts w:cs="Times New Roman"/>
          <w:szCs w:val="24"/>
        </w:rPr>
      </w:pPr>
      <w:r w:rsidRPr="00AF5EF5">
        <w:rPr>
          <w:rFonts w:cs="Times New Roman"/>
          <w:b/>
          <w:i/>
          <w:szCs w:val="24"/>
        </w:rPr>
        <w:t>Water logging</w:t>
      </w:r>
      <w:r w:rsidRPr="00E50BB2">
        <w:rPr>
          <w:rFonts w:cs="Times New Roman"/>
          <w:color w:val="00B050"/>
          <w:szCs w:val="24"/>
        </w:rPr>
        <w:t>:</w:t>
      </w:r>
      <w:r w:rsidRPr="00E50BB2">
        <w:rPr>
          <w:rFonts w:cs="Times New Roman"/>
          <w:szCs w:val="24"/>
        </w:rPr>
        <w:t xml:space="preserve"> Because of land accretion, particularly in the Meghna estuary, many rivers and </w:t>
      </w:r>
      <w:r w:rsidR="00F82BA1">
        <w:rPr>
          <w:rFonts w:cs="Times New Roman"/>
          <w:i/>
          <w:szCs w:val="24"/>
        </w:rPr>
        <w:t>canals</w:t>
      </w:r>
      <w:r w:rsidRPr="00E50BB2">
        <w:rPr>
          <w:rFonts w:cs="Times New Roman"/>
          <w:szCs w:val="24"/>
        </w:rPr>
        <w:t xml:space="preserve"> (drainage canals) have been silted up. Onrush of upstream flow and prolonged rainfall often cause water logging. This problem has been aggravated by empoldering.</w:t>
      </w:r>
    </w:p>
    <w:p w:rsidR="007F2F9C" w:rsidRPr="00E50BB2" w:rsidRDefault="007F2F9C" w:rsidP="00D6486D">
      <w:pPr>
        <w:numPr>
          <w:ilvl w:val="0"/>
          <w:numId w:val="62"/>
        </w:numPr>
        <w:spacing w:before="120" w:after="0" w:line="276" w:lineRule="auto"/>
        <w:ind w:left="360"/>
        <w:jc w:val="both"/>
        <w:rPr>
          <w:rFonts w:cs="Times New Roman"/>
          <w:szCs w:val="24"/>
        </w:rPr>
      </w:pPr>
      <w:r w:rsidRPr="00AF5EF5">
        <w:rPr>
          <w:rFonts w:cs="Times New Roman"/>
          <w:b/>
          <w:i/>
          <w:szCs w:val="24"/>
        </w:rPr>
        <w:lastRenderedPageBreak/>
        <w:t>Salinity</w:t>
      </w:r>
      <w:r w:rsidRPr="00AF5EF5">
        <w:rPr>
          <w:rFonts w:cs="Times New Roman"/>
          <w:szCs w:val="24"/>
        </w:rPr>
        <w:t>:</w:t>
      </w:r>
      <w:r w:rsidRPr="00E50BB2">
        <w:rPr>
          <w:rFonts w:cs="Times New Roman"/>
          <w:szCs w:val="24"/>
        </w:rPr>
        <w:t xml:space="preserve"> Though soil salinity declines in the long run because of empoldering, problem recurs because of erosion and embankment failure (breaches or overtopping by storm surge).</w:t>
      </w:r>
    </w:p>
    <w:p w:rsidR="00862556" w:rsidRDefault="007F2F9C" w:rsidP="00D6486D">
      <w:pPr>
        <w:numPr>
          <w:ilvl w:val="0"/>
          <w:numId w:val="62"/>
        </w:numPr>
        <w:spacing w:before="120" w:after="0" w:line="276" w:lineRule="auto"/>
        <w:ind w:left="360"/>
        <w:jc w:val="both"/>
        <w:rPr>
          <w:rFonts w:cs="Times New Roman"/>
          <w:szCs w:val="24"/>
        </w:rPr>
      </w:pPr>
      <w:r w:rsidRPr="00AF5EF5">
        <w:rPr>
          <w:rFonts w:cs="Times New Roman"/>
          <w:b/>
          <w:i/>
          <w:szCs w:val="24"/>
        </w:rPr>
        <w:t>Land use conflict</w:t>
      </w:r>
      <w:r w:rsidRPr="00E50BB2">
        <w:rPr>
          <w:rFonts w:cs="Times New Roman"/>
          <w:color w:val="00B050"/>
          <w:szCs w:val="24"/>
        </w:rPr>
        <w:t>:</w:t>
      </w:r>
      <w:r w:rsidRPr="00E50BB2">
        <w:rPr>
          <w:rFonts w:cs="Times New Roman"/>
          <w:szCs w:val="24"/>
        </w:rPr>
        <w:t xml:space="preserve"> Shrimp farmers bring saline water inside the polder by cutting embankment or using LLP. This affects salinity balance inside the polder and causes damage to crops in surrounding fields. Competing land use often results in confrontation and violence and thereby affects the social fabric. Polders have not been designed for the multi-functional land use and the BWDB has no mechanism how to deal with land use conflicts. </w:t>
      </w:r>
    </w:p>
    <w:p w:rsidR="009538ED" w:rsidRPr="009538ED" w:rsidRDefault="009538ED" w:rsidP="00144771">
      <w:pPr>
        <w:spacing w:before="120" w:after="0" w:line="276" w:lineRule="auto"/>
        <w:jc w:val="both"/>
        <w:rPr>
          <w:rFonts w:cs="Times New Roman"/>
          <w:szCs w:val="24"/>
        </w:rPr>
      </w:pPr>
    </w:p>
    <w:p w:rsidR="007F2F9C" w:rsidRPr="00862556" w:rsidRDefault="007F2F9C" w:rsidP="00862556">
      <w:pPr>
        <w:spacing w:line="23" w:lineRule="atLeast"/>
        <w:rPr>
          <w:rFonts w:cs="Segoe UI"/>
          <w:b/>
          <w:bCs/>
          <w:i/>
          <w:szCs w:val="24"/>
        </w:rPr>
      </w:pPr>
      <w:r w:rsidRPr="00862556">
        <w:rPr>
          <w:rFonts w:cs="Segoe UI"/>
          <w:b/>
          <w:bCs/>
          <w:i/>
          <w:szCs w:val="24"/>
        </w:rPr>
        <w:t>Vulnerability of polders</w:t>
      </w:r>
    </w:p>
    <w:p w:rsidR="007F2F9C" w:rsidRPr="00DF6D7D" w:rsidRDefault="007F2F9C" w:rsidP="00005EAC">
      <w:pPr>
        <w:pStyle w:val="ListParagraph"/>
        <w:ind w:left="360"/>
        <w:rPr>
          <w:rFonts w:cs="Segoe UI"/>
          <w:b/>
          <w:bCs/>
          <w:sz w:val="14"/>
          <w:szCs w:val="14"/>
        </w:rPr>
      </w:pPr>
    </w:p>
    <w:p w:rsidR="007F2F9C" w:rsidRPr="0091668C" w:rsidRDefault="007F2F9C" w:rsidP="00D6486D">
      <w:pPr>
        <w:pStyle w:val="ListParagraph"/>
        <w:numPr>
          <w:ilvl w:val="0"/>
          <w:numId w:val="60"/>
        </w:numPr>
        <w:spacing w:after="200" w:line="276" w:lineRule="auto"/>
        <w:ind w:left="360"/>
        <w:jc w:val="both"/>
        <w:rPr>
          <w:rFonts w:cs="Segoe UI"/>
          <w:szCs w:val="24"/>
        </w:rPr>
      </w:pPr>
      <w:r w:rsidRPr="0091668C">
        <w:rPr>
          <w:rFonts w:cs="Segoe UI"/>
          <w:szCs w:val="24"/>
        </w:rPr>
        <w:t xml:space="preserve">Many polders are in dilapidated conditions in terms of breach and slip in the embankment, erosion, neglect in repair works, drainage congestion because of siltation and encroachment of canals and, above all, location in the risk zone. </w:t>
      </w:r>
    </w:p>
    <w:p w:rsidR="007F2F9C" w:rsidRPr="0091668C" w:rsidRDefault="007F2F9C" w:rsidP="00D6486D">
      <w:pPr>
        <w:pStyle w:val="ListParagraph"/>
        <w:numPr>
          <w:ilvl w:val="0"/>
          <w:numId w:val="60"/>
        </w:numPr>
        <w:spacing w:after="200" w:line="276" w:lineRule="auto"/>
        <w:ind w:left="360"/>
        <w:jc w:val="both"/>
        <w:rPr>
          <w:rFonts w:cs="Segoe UI"/>
          <w:szCs w:val="24"/>
        </w:rPr>
      </w:pPr>
      <w:r w:rsidRPr="0091668C">
        <w:rPr>
          <w:rFonts w:cs="Segoe UI"/>
          <w:szCs w:val="24"/>
        </w:rPr>
        <w:t xml:space="preserve">Water control structures in many places are damaged or non-functional. </w:t>
      </w:r>
    </w:p>
    <w:p w:rsidR="00862556" w:rsidRPr="00CC577C" w:rsidRDefault="00F64A6A" w:rsidP="00D6486D">
      <w:pPr>
        <w:pStyle w:val="ListParagraph"/>
        <w:numPr>
          <w:ilvl w:val="0"/>
          <w:numId w:val="60"/>
        </w:numPr>
        <w:spacing w:after="200" w:line="276" w:lineRule="auto"/>
        <w:ind w:left="360"/>
        <w:jc w:val="both"/>
        <w:rPr>
          <w:rFonts w:cs="Segoe UI"/>
          <w:szCs w:val="24"/>
          <w:u w:val="single"/>
        </w:rPr>
      </w:pPr>
      <w:r w:rsidRPr="00F64A6A">
        <w:rPr>
          <w:rFonts w:cs="Segoe UI"/>
          <w:szCs w:val="24"/>
          <w:u w:val="single"/>
        </w:rPr>
        <w:t>BWDB has categorized that out of 139 polders 51 are “most vulnerable” and another 55 polders as “medium vulnerable”. To cope with vulnerability, it is necessary to rehabilitate damaged infrastructures of the polders</w:t>
      </w:r>
    </w:p>
    <w:p w:rsidR="007F2F9C" w:rsidRPr="00862556" w:rsidRDefault="00625882" w:rsidP="00862556">
      <w:pPr>
        <w:spacing w:line="23" w:lineRule="atLeast"/>
        <w:rPr>
          <w:rFonts w:cs="Segoe UI"/>
          <w:b/>
          <w:bCs/>
          <w:i/>
          <w:szCs w:val="24"/>
        </w:rPr>
      </w:pPr>
      <w:r w:rsidRPr="00862556">
        <w:rPr>
          <w:rFonts w:cs="Segoe UI"/>
          <w:b/>
          <w:bCs/>
          <w:i/>
          <w:szCs w:val="24"/>
        </w:rPr>
        <w:t>Major Constraints of Coastal R</w:t>
      </w:r>
      <w:r w:rsidR="007F2F9C" w:rsidRPr="00862556">
        <w:rPr>
          <w:rFonts w:cs="Segoe UI"/>
          <w:b/>
          <w:bCs/>
          <w:i/>
          <w:szCs w:val="24"/>
        </w:rPr>
        <w:t>egion</w:t>
      </w:r>
      <w:r w:rsidRPr="00862556">
        <w:rPr>
          <w:rFonts w:cs="Segoe UI"/>
          <w:b/>
          <w:bCs/>
          <w:i/>
          <w:szCs w:val="24"/>
        </w:rPr>
        <w:t xml:space="preserve"> Agriculture</w:t>
      </w:r>
    </w:p>
    <w:p w:rsidR="007F2F9C" w:rsidRPr="0091668C" w:rsidRDefault="007F2F9C" w:rsidP="00D6486D">
      <w:pPr>
        <w:pStyle w:val="ListParagraph"/>
        <w:numPr>
          <w:ilvl w:val="0"/>
          <w:numId w:val="59"/>
        </w:numPr>
        <w:spacing w:after="200" w:line="276" w:lineRule="auto"/>
        <w:ind w:left="360"/>
        <w:rPr>
          <w:rFonts w:cs="Segoe UI"/>
          <w:szCs w:val="24"/>
        </w:rPr>
      </w:pPr>
      <w:r w:rsidRPr="0091668C">
        <w:rPr>
          <w:rFonts w:cs="Segoe UI"/>
          <w:szCs w:val="24"/>
        </w:rPr>
        <w:t>Extreme environmental events and high vulnerability to climate change</w:t>
      </w:r>
    </w:p>
    <w:p w:rsidR="007F2F9C" w:rsidRPr="0091668C" w:rsidRDefault="007F2F9C" w:rsidP="00D6486D">
      <w:pPr>
        <w:pStyle w:val="ListParagraph"/>
        <w:numPr>
          <w:ilvl w:val="0"/>
          <w:numId w:val="59"/>
        </w:numPr>
        <w:spacing w:after="200" w:line="276" w:lineRule="auto"/>
        <w:ind w:left="360"/>
        <w:rPr>
          <w:rFonts w:cs="Segoe UI"/>
          <w:szCs w:val="24"/>
        </w:rPr>
      </w:pPr>
      <w:r w:rsidRPr="0091668C">
        <w:rPr>
          <w:rFonts w:cs="Segoe UI"/>
          <w:szCs w:val="24"/>
        </w:rPr>
        <w:t>Low agricultural productivity, poor land use and low cropping intensity</w:t>
      </w:r>
    </w:p>
    <w:p w:rsidR="007F2F9C" w:rsidRPr="0091668C" w:rsidRDefault="007F2F9C" w:rsidP="00D6486D">
      <w:pPr>
        <w:pStyle w:val="ListParagraph"/>
        <w:numPr>
          <w:ilvl w:val="0"/>
          <w:numId w:val="59"/>
        </w:numPr>
        <w:spacing w:after="200" w:line="276" w:lineRule="auto"/>
        <w:ind w:left="360"/>
        <w:rPr>
          <w:rFonts w:cs="Segoe UI"/>
          <w:szCs w:val="24"/>
        </w:rPr>
      </w:pPr>
      <w:r w:rsidRPr="0091668C">
        <w:rPr>
          <w:rFonts w:cs="Segoe UI"/>
          <w:szCs w:val="24"/>
        </w:rPr>
        <w:t>Low productivity of Rabi crops and little high value crops cultivation</w:t>
      </w:r>
    </w:p>
    <w:p w:rsidR="007F2F9C" w:rsidRPr="0091668C" w:rsidRDefault="007F2F9C" w:rsidP="00D6486D">
      <w:pPr>
        <w:pStyle w:val="ListParagraph"/>
        <w:numPr>
          <w:ilvl w:val="0"/>
          <w:numId w:val="59"/>
        </w:numPr>
        <w:spacing w:after="200" w:line="276" w:lineRule="auto"/>
        <w:ind w:left="360"/>
        <w:rPr>
          <w:rFonts w:cs="Segoe UI"/>
          <w:szCs w:val="24"/>
        </w:rPr>
      </w:pPr>
      <w:r w:rsidRPr="0091668C">
        <w:rPr>
          <w:rFonts w:cs="Segoe UI"/>
          <w:szCs w:val="24"/>
        </w:rPr>
        <w:t>Predominance of small and landless farmers</w:t>
      </w:r>
    </w:p>
    <w:p w:rsidR="00181B59" w:rsidRDefault="007F2F9C" w:rsidP="00D6486D">
      <w:pPr>
        <w:pStyle w:val="ListParagraph"/>
        <w:numPr>
          <w:ilvl w:val="0"/>
          <w:numId w:val="59"/>
        </w:numPr>
        <w:spacing w:after="200" w:line="276" w:lineRule="auto"/>
        <w:ind w:left="360"/>
        <w:rPr>
          <w:rFonts w:cs="Segoe UI"/>
          <w:szCs w:val="24"/>
        </w:rPr>
      </w:pPr>
      <w:r w:rsidRPr="0091668C">
        <w:rPr>
          <w:rFonts w:cs="Segoe UI"/>
          <w:szCs w:val="24"/>
        </w:rPr>
        <w:t>Intrusion of saline water, water logging and  occasional breaches of embankment</w:t>
      </w:r>
    </w:p>
    <w:p w:rsidR="00C540CF" w:rsidRDefault="00625882" w:rsidP="003838CA">
      <w:pPr>
        <w:spacing w:line="276" w:lineRule="auto"/>
        <w:jc w:val="both"/>
        <w:rPr>
          <w:rFonts w:cs="Segoe UI"/>
          <w:szCs w:val="24"/>
        </w:rPr>
      </w:pPr>
      <w:r w:rsidRPr="00625882">
        <w:rPr>
          <w:rFonts w:cs="Segoe UI"/>
          <w:szCs w:val="24"/>
        </w:rPr>
        <w:t xml:space="preserve">The impact of these risks and vulnerabilities </w:t>
      </w:r>
      <w:r>
        <w:rPr>
          <w:rFonts w:cs="Segoe UI"/>
          <w:szCs w:val="24"/>
        </w:rPr>
        <w:t xml:space="preserve">on agricultural production is massive. </w:t>
      </w:r>
      <w:r w:rsidR="00065D01">
        <w:rPr>
          <w:rFonts w:cs="Segoe UI"/>
          <w:szCs w:val="24"/>
        </w:rPr>
        <w:t>Historically</w:t>
      </w:r>
      <w:r w:rsidR="00017C74">
        <w:rPr>
          <w:rFonts w:cs="Segoe UI"/>
          <w:szCs w:val="24"/>
        </w:rPr>
        <w:t xml:space="preserve">, the coastal belt was a major </w:t>
      </w:r>
      <w:r>
        <w:rPr>
          <w:rFonts w:cs="Segoe UI"/>
          <w:szCs w:val="24"/>
        </w:rPr>
        <w:t>bread-basket of Bangladesh.</w:t>
      </w:r>
      <w:r w:rsidR="00C540CF">
        <w:rPr>
          <w:rFonts w:cs="Segoe UI"/>
          <w:szCs w:val="24"/>
        </w:rPr>
        <w:t xml:space="preserve">  Even as late as FY</w:t>
      </w:r>
      <w:r w:rsidR="00017C74">
        <w:rPr>
          <w:rFonts w:cs="Segoe UI"/>
          <w:szCs w:val="24"/>
        </w:rPr>
        <w:t>79, the coastal belt accounted for 22% of the total rice production in Banglades</w:t>
      </w:r>
      <w:r w:rsidR="007C1A65">
        <w:rPr>
          <w:rFonts w:cs="Segoe UI"/>
          <w:szCs w:val="24"/>
        </w:rPr>
        <w:t>h (Figure 8.</w:t>
      </w:r>
      <w:r w:rsidR="009A2B3D">
        <w:rPr>
          <w:rFonts w:cs="Segoe UI"/>
          <w:szCs w:val="24"/>
        </w:rPr>
        <w:t>6</w:t>
      </w:r>
      <w:r w:rsidR="00017C74">
        <w:rPr>
          <w:rFonts w:cs="Segoe UI"/>
          <w:szCs w:val="24"/>
        </w:rPr>
        <w:t xml:space="preserve">).  The share fell to </w:t>
      </w:r>
      <w:r w:rsidR="00C540CF">
        <w:rPr>
          <w:rFonts w:cs="Segoe UI"/>
          <w:szCs w:val="24"/>
        </w:rPr>
        <w:t xml:space="preserve">16% in 2013-14, which is a normal year in terms of weather pattern and climate change impact.  Much of the impact happens from salinity intrusion and water logging. </w:t>
      </w:r>
    </w:p>
    <w:p w:rsidR="00F025CE" w:rsidRDefault="00F025CE">
      <w:pPr>
        <w:rPr>
          <w:b/>
          <w:szCs w:val="24"/>
        </w:rPr>
      </w:pPr>
      <w:r>
        <w:br w:type="page"/>
      </w:r>
    </w:p>
    <w:p w:rsidR="00A97C23" w:rsidRPr="00A97C23" w:rsidRDefault="007C1A65" w:rsidP="00A97C23">
      <w:pPr>
        <w:pStyle w:val="Heading5"/>
      </w:pPr>
      <w:bookmarkStart w:id="632" w:name="_Toc474639200"/>
      <w:r>
        <w:lastRenderedPageBreak/>
        <w:t>Figure 8.</w:t>
      </w:r>
      <w:r w:rsidR="009A2B3D">
        <w:t>6</w:t>
      </w:r>
      <w:r w:rsidR="00A97C23" w:rsidRPr="00A97C23">
        <w:t>:  Share of Coastal Hotspot Rice Production (% of National)</w:t>
      </w:r>
      <w:bookmarkEnd w:id="632"/>
    </w:p>
    <w:p w:rsidR="00C540CF" w:rsidRPr="00C540CF" w:rsidRDefault="00C540CF" w:rsidP="00A97C23">
      <w:pPr>
        <w:spacing w:after="200" w:line="276" w:lineRule="auto"/>
        <w:jc w:val="center"/>
        <w:rPr>
          <w:rFonts w:cs="Times New Roman"/>
          <w:b/>
          <w:szCs w:val="24"/>
        </w:rPr>
      </w:pPr>
      <w:r>
        <w:rPr>
          <w:noProof/>
          <w:lang w:val="en-AU" w:eastAsia="en-AU" w:bidi="bn-BD"/>
        </w:rPr>
        <w:drawing>
          <wp:inline distT="0" distB="0" distL="0" distR="0">
            <wp:extent cx="4572000" cy="27432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C540CF" w:rsidRPr="0002005A" w:rsidRDefault="00C540CF" w:rsidP="00C540CF">
      <w:pPr>
        <w:pStyle w:val="ListParagraph"/>
        <w:spacing w:before="120"/>
        <w:ind w:firstLine="720"/>
        <w:rPr>
          <w:rFonts w:cs="Times New Roman"/>
          <w:b/>
          <w:i/>
          <w:sz w:val="20"/>
          <w:szCs w:val="24"/>
        </w:rPr>
      </w:pPr>
      <w:r w:rsidRPr="0002005A">
        <w:rPr>
          <w:rFonts w:cs="Times New Roman"/>
          <w:b/>
          <w:i/>
          <w:sz w:val="20"/>
          <w:szCs w:val="24"/>
        </w:rPr>
        <w:t>Source: BBS</w:t>
      </w:r>
    </w:p>
    <w:p w:rsidR="00C540CF" w:rsidRDefault="00C540CF" w:rsidP="00005EAC">
      <w:pPr>
        <w:pStyle w:val="ListParagraph"/>
        <w:ind w:left="0"/>
        <w:rPr>
          <w:rFonts w:cs="Times New Roman"/>
          <w:b/>
          <w:szCs w:val="24"/>
        </w:rPr>
      </w:pPr>
    </w:p>
    <w:p w:rsidR="00F43AEB" w:rsidRDefault="00C540CF" w:rsidP="00862556">
      <w:pPr>
        <w:pStyle w:val="ListParagraph"/>
        <w:spacing w:line="276" w:lineRule="auto"/>
        <w:ind w:left="0"/>
        <w:jc w:val="both"/>
        <w:rPr>
          <w:rFonts w:cs="Times New Roman"/>
          <w:szCs w:val="24"/>
        </w:rPr>
      </w:pPr>
      <w:r>
        <w:rPr>
          <w:rFonts w:cs="Times New Roman"/>
          <w:szCs w:val="24"/>
        </w:rPr>
        <w:t>The effects of salinity and water-logging on rice productivity in the coast</w:t>
      </w:r>
      <w:r w:rsidR="00574116">
        <w:rPr>
          <w:rFonts w:cs="Times New Roman"/>
          <w:szCs w:val="24"/>
        </w:rPr>
        <w:t>al are</w:t>
      </w:r>
      <w:r w:rsidR="00025971">
        <w:rPr>
          <w:rFonts w:cs="Times New Roman"/>
          <w:szCs w:val="24"/>
        </w:rPr>
        <w:t>as are illustrated in Figure 8.</w:t>
      </w:r>
      <w:r w:rsidR="009A2B3D">
        <w:rPr>
          <w:rFonts w:cs="Times New Roman"/>
          <w:szCs w:val="24"/>
        </w:rPr>
        <w:t>7</w:t>
      </w:r>
      <w:r>
        <w:rPr>
          <w:rFonts w:cs="Times New Roman"/>
          <w:szCs w:val="24"/>
        </w:rPr>
        <w:t xml:space="preserve">. </w:t>
      </w:r>
      <w:r w:rsidR="00EF7DCD">
        <w:rPr>
          <w:rFonts w:cs="Times New Roman"/>
          <w:szCs w:val="24"/>
        </w:rPr>
        <w:t xml:space="preserve"> Rice productivity is measured as an average of FY10 and FY11, both normal years for rice production.  With the exception</w:t>
      </w:r>
      <w:r w:rsidR="000012F4">
        <w:rPr>
          <w:rFonts w:cs="Times New Roman"/>
          <w:szCs w:val="24"/>
        </w:rPr>
        <w:t xml:space="preserve">s of Cox’s Bazar, Jessore and Feni, </w:t>
      </w:r>
      <w:r w:rsidR="00EF7DCD">
        <w:rPr>
          <w:rFonts w:cs="Times New Roman"/>
          <w:szCs w:val="24"/>
        </w:rPr>
        <w:t xml:space="preserve">rice productivity is lower than the national average for all other coastal districts.  </w:t>
      </w:r>
      <w:r w:rsidR="00F64A6A" w:rsidRPr="00F64A6A">
        <w:rPr>
          <w:rFonts w:cs="Times New Roman"/>
          <w:szCs w:val="24"/>
          <w:u w:val="single"/>
        </w:rPr>
        <w:t>The lowest productivity is seen in Patuakhali at only 0.72 MT/acre. This is 40% lower than the national average of 1.22 MT/acre and a whopping 55% lower than the highest productivity observed in Naogaon (1.59 MT/acre).</w:t>
      </w:r>
      <w:r w:rsidR="00EF0498">
        <w:rPr>
          <w:rFonts w:cs="Times New Roman"/>
          <w:szCs w:val="24"/>
        </w:rPr>
        <w:t xml:space="preserve">   </w:t>
      </w:r>
      <w:r w:rsidR="000012F4">
        <w:rPr>
          <w:rFonts w:cs="Times New Roman"/>
          <w:szCs w:val="24"/>
        </w:rPr>
        <w:t xml:space="preserve">In general, agriculture of all coastal districts of the Barisal Division </w:t>
      </w:r>
      <w:r w:rsidR="00065D01">
        <w:rPr>
          <w:rFonts w:cs="Times New Roman"/>
          <w:szCs w:val="24"/>
        </w:rPr>
        <w:t>is</w:t>
      </w:r>
      <w:r w:rsidR="000012F4">
        <w:rPr>
          <w:rFonts w:cs="Times New Roman"/>
          <w:szCs w:val="24"/>
        </w:rPr>
        <w:t xml:space="preserve"> very vulnerable to natural hazard risks owing to their coastal location.   </w:t>
      </w:r>
      <w:r w:rsidR="00EF0498">
        <w:rPr>
          <w:rFonts w:cs="Times New Roman"/>
          <w:szCs w:val="24"/>
        </w:rPr>
        <w:t>As such, they show very low productivity per acre of rice.  The challenge for policy is obvious.</w:t>
      </w:r>
    </w:p>
    <w:p w:rsidR="00224CFD" w:rsidRPr="00862556" w:rsidRDefault="00224CFD" w:rsidP="00862556">
      <w:pPr>
        <w:spacing w:line="23" w:lineRule="atLeast"/>
        <w:rPr>
          <w:rFonts w:cs="Segoe UI"/>
          <w:b/>
          <w:bCs/>
          <w:i/>
          <w:szCs w:val="24"/>
        </w:rPr>
      </w:pPr>
      <w:r w:rsidRPr="00862556">
        <w:rPr>
          <w:rFonts w:cs="Segoe UI"/>
          <w:b/>
          <w:bCs/>
          <w:i/>
          <w:szCs w:val="24"/>
        </w:rPr>
        <w:t>Strategies for Development of Agriculture of Coastal Region</w:t>
      </w:r>
    </w:p>
    <w:p w:rsidR="00224CFD" w:rsidRPr="00CC577C" w:rsidRDefault="00224CFD" w:rsidP="00A97C23">
      <w:pPr>
        <w:pStyle w:val="ListParagraph"/>
        <w:spacing w:line="276" w:lineRule="auto"/>
        <w:ind w:left="0"/>
        <w:contextualSpacing w:val="0"/>
        <w:jc w:val="both"/>
        <w:rPr>
          <w:rFonts w:cs="Times New Roman"/>
          <w:szCs w:val="24"/>
          <w:u w:val="single"/>
        </w:rPr>
      </w:pPr>
      <w:r>
        <w:rPr>
          <w:rFonts w:cs="Times New Roman"/>
          <w:szCs w:val="24"/>
        </w:rPr>
        <w:t xml:space="preserve">The protection of agriculture in the coastal belt is of highest policy priority for agriculture.  The water-related strategies and priorities for the coastal region were discussed in detail in Chapter 6. </w:t>
      </w:r>
      <w:r w:rsidR="00F42CBD">
        <w:rPr>
          <w:rFonts w:cs="Times New Roman"/>
          <w:szCs w:val="24"/>
        </w:rPr>
        <w:t xml:space="preserve">Of special attention is the need to </w:t>
      </w:r>
      <w:r w:rsidR="00065D01">
        <w:rPr>
          <w:rFonts w:cs="Times New Roman"/>
          <w:szCs w:val="24"/>
        </w:rPr>
        <w:t>strengthen</w:t>
      </w:r>
      <w:r w:rsidR="00F42CBD">
        <w:rPr>
          <w:rFonts w:cs="Times New Roman"/>
          <w:szCs w:val="24"/>
        </w:rPr>
        <w:t xml:space="preserve"> and modernize the polder technology and improve its maintenance. </w:t>
      </w:r>
      <w:r>
        <w:rPr>
          <w:rFonts w:cs="Times New Roman"/>
          <w:szCs w:val="24"/>
        </w:rPr>
        <w:t xml:space="preserve"> The sound implementation of those strategies and programmes will be important to protect agriculture as well as human welfare in the coastal belt. Additionally better farm technology is needed to adapt agriculture to the peculiarities of the coastal belt, especially to adapt to the salinity problem.  </w:t>
      </w:r>
      <w:r w:rsidR="00F64A6A" w:rsidRPr="00F64A6A">
        <w:rPr>
          <w:rFonts w:cs="Times New Roman"/>
          <w:szCs w:val="24"/>
          <w:u w:val="single"/>
        </w:rPr>
        <w:t>Diversification away from agriculture towards other more sustainable and higher value-added activities like tourism, strengthening of marine fisheries, coastal development through ports, hotels and resorts and spread of manufacturing are all important elements of protecting livelihoods in the coastal belt and stemming the flow of out-migration.</w:t>
      </w:r>
    </w:p>
    <w:p w:rsidR="00F025CE" w:rsidRDefault="00F025CE">
      <w:pPr>
        <w:rPr>
          <w:b/>
          <w:szCs w:val="24"/>
        </w:rPr>
      </w:pPr>
      <w:r>
        <w:lastRenderedPageBreak/>
        <w:br w:type="page"/>
      </w:r>
    </w:p>
    <w:p w:rsidR="00A97C23" w:rsidRPr="00A97C23" w:rsidRDefault="00025971" w:rsidP="00A97C23">
      <w:pPr>
        <w:pStyle w:val="Heading5"/>
      </w:pPr>
      <w:bookmarkStart w:id="633" w:name="_Toc474639201"/>
      <w:r>
        <w:lastRenderedPageBreak/>
        <w:t>Figure 8.</w:t>
      </w:r>
      <w:r w:rsidR="009A2B3D">
        <w:t>7</w:t>
      </w:r>
      <w:r w:rsidR="00A97C23" w:rsidRPr="00A97C23">
        <w:t>: Average Rice Yield in the Coastal Hotspot Districts</w:t>
      </w:r>
      <w:bookmarkEnd w:id="633"/>
    </w:p>
    <w:p w:rsidR="00F43AEB" w:rsidRPr="00C540CF" w:rsidRDefault="005B53D0" w:rsidP="00F43AEB">
      <w:pPr>
        <w:pStyle w:val="ListParagraph"/>
        <w:ind w:left="288"/>
        <w:rPr>
          <w:rFonts w:cs="Times New Roman"/>
          <w:szCs w:val="24"/>
        </w:rPr>
      </w:pPr>
      <w:r>
        <w:rPr>
          <w:noProof/>
          <w:lang w:val="en-AU" w:eastAsia="en-AU" w:bidi="bn-BD"/>
        </w:rPr>
        <w:drawing>
          <wp:inline distT="0" distB="0" distL="0" distR="0">
            <wp:extent cx="5610225" cy="2809875"/>
            <wp:effectExtent l="0" t="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C540CF" w:rsidRPr="0002005A" w:rsidRDefault="00276834" w:rsidP="00144771">
      <w:pPr>
        <w:pStyle w:val="ListParagraph"/>
        <w:spacing w:before="120"/>
        <w:ind w:left="274"/>
        <w:rPr>
          <w:rFonts w:cs="Times New Roman"/>
          <w:b/>
          <w:i/>
          <w:szCs w:val="24"/>
        </w:rPr>
      </w:pPr>
      <w:r w:rsidRPr="0002005A">
        <w:rPr>
          <w:rFonts w:cs="Times New Roman"/>
          <w:b/>
          <w:i/>
          <w:sz w:val="20"/>
          <w:szCs w:val="24"/>
        </w:rPr>
        <w:t>Source: BBS</w:t>
      </w:r>
    </w:p>
    <w:p w:rsidR="00000000" w:rsidRDefault="007F2F9C" w:rsidP="003D5A31">
      <w:pPr>
        <w:pStyle w:val="BodyText"/>
        <w:numPr>
          <w:ilvl w:val="2"/>
          <w:numId w:val="238"/>
        </w:numPr>
        <w:spacing w:after="240" w:line="276" w:lineRule="auto"/>
        <w:jc w:val="both"/>
        <w:rPr>
          <w:rFonts w:cs="Times New Roman"/>
          <w:b/>
          <w:szCs w:val="24"/>
        </w:rPr>
      </w:pPr>
      <w:bookmarkStart w:id="634" w:name="_Toc421182966"/>
      <w:bookmarkStart w:id="635" w:name="_Toc439144700"/>
      <w:r w:rsidRPr="00155322">
        <w:rPr>
          <w:rFonts w:cs="Times New Roman"/>
          <w:b/>
          <w:szCs w:val="24"/>
        </w:rPr>
        <w:t>Chittagong Hill Tract (CHT)</w:t>
      </w:r>
      <w:bookmarkEnd w:id="634"/>
      <w:bookmarkEnd w:id="635"/>
    </w:p>
    <w:p w:rsidR="007F2F9C" w:rsidRPr="00825D32" w:rsidRDefault="00F64A6A" w:rsidP="00005EAC">
      <w:pPr>
        <w:autoSpaceDE w:val="0"/>
        <w:autoSpaceDN w:val="0"/>
        <w:adjustRightInd w:val="0"/>
        <w:spacing w:after="200" w:line="276" w:lineRule="auto"/>
        <w:jc w:val="both"/>
        <w:rPr>
          <w:rFonts w:cs="Times New Roman"/>
          <w:color w:val="000000"/>
          <w:szCs w:val="24"/>
        </w:rPr>
      </w:pPr>
      <w:r w:rsidRPr="00F64A6A">
        <w:rPr>
          <w:rFonts w:cs="Times New Roman"/>
          <w:bCs/>
          <w:szCs w:val="24"/>
          <w:u w:val="single"/>
        </w:rPr>
        <w:t>The CHT</w:t>
      </w:r>
      <w:r w:rsidRPr="00F64A6A">
        <w:rPr>
          <w:rFonts w:cs="Times New Roman"/>
          <w:szCs w:val="24"/>
          <w:u w:val="single"/>
        </w:rPr>
        <w:t xml:space="preserve"> represents 9 percent of the landmass divided into three districts consisting of 25 Upazillas with one percent </w:t>
      </w:r>
      <w:r w:rsidRPr="00F64A6A">
        <w:rPr>
          <w:rFonts w:cs="Times New Roman"/>
          <w:color w:val="000000"/>
          <w:szCs w:val="24"/>
          <w:u w:val="single"/>
        </w:rPr>
        <w:t>population</w:t>
      </w:r>
      <w:r w:rsidRPr="00F64A6A">
        <w:rPr>
          <w:rFonts w:cs="Times New Roman"/>
          <w:szCs w:val="24"/>
          <w:u w:val="single"/>
        </w:rPr>
        <w:t xml:space="preserve"> of the country. </w:t>
      </w:r>
      <w:r w:rsidRPr="00F64A6A">
        <w:rPr>
          <w:rFonts w:cs="Times New Roman"/>
          <w:color w:val="000000"/>
          <w:szCs w:val="24"/>
          <w:u w:val="single"/>
        </w:rPr>
        <w:t xml:space="preserve">According to the Population and Housing Census 2010, the CHT region has a total area of </w:t>
      </w:r>
      <w:r w:rsidRPr="00F64A6A">
        <w:rPr>
          <w:rFonts w:cs="Times New Roman"/>
          <w:szCs w:val="24"/>
          <w:u w:val="single"/>
        </w:rPr>
        <w:t>13,295 km</w:t>
      </w:r>
      <w:r w:rsidRPr="00F64A6A">
        <w:rPr>
          <w:rFonts w:cs="Times New Roman"/>
          <w:szCs w:val="24"/>
          <w:u w:val="single"/>
          <w:vertAlign w:val="superscript"/>
        </w:rPr>
        <w:t>2</w:t>
      </w:r>
      <w:r w:rsidRPr="00F64A6A">
        <w:rPr>
          <w:rFonts w:cs="Times New Roman"/>
          <w:color w:val="000000"/>
          <w:szCs w:val="24"/>
          <w:u w:val="single"/>
        </w:rPr>
        <w:t>, 342,390 households and about 1.7 million people. Population density per km</w:t>
      </w:r>
      <w:r w:rsidRPr="00F64A6A">
        <w:rPr>
          <w:rFonts w:cs="Times New Roman"/>
          <w:color w:val="000000"/>
          <w:szCs w:val="24"/>
          <w:u w:val="single"/>
          <w:vertAlign w:val="superscript"/>
        </w:rPr>
        <w:t>2</w:t>
      </w:r>
      <w:r w:rsidRPr="00F64A6A">
        <w:rPr>
          <w:rFonts w:cs="Times New Roman"/>
          <w:color w:val="000000"/>
          <w:szCs w:val="24"/>
          <w:u w:val="single"/>
        </w:rPr>
        <w:t xml:space="preserve"> is lower in the CHT (120) compared to Bangladesh (1015). CHT is the home of a large number of small ethnic communities.</w:t>
      </w:r>
      <w:r w:rsidR="007F2F9C" w:rsidRPr="00155322">
        <w:rPr>
          <w:rFonts w:cs="Times New Roman"/>
          <w:color w:val="000000"/>
          <w:szCs w:val="24"/>
        </w:rPr>
        <w:t xml:space="preserve"> </w:t>
      </w:r>
      <w:r w:rsidR="007F2F9C">
        <w:rPr>
          <w:rFonts w:cs="Times New Roman"/>
          <w:color w:val="000000"/>
          <w:szCs w:val="24"/>
        </w:rPr>
        <w:t>The 7</w:t>
      </w:r>
      <w:r w:rsidR="007F2F9C" w:rsidRPr="00825D32">
        <w:rPr>
          <w:rFonts w:cs="Times New Roman"/>
          <w:color w:val="000000"/>
          <w:szCs w:val="24"/>
          <w:vertAlign w:val="superscript"/>
        </w:rPr>
        <w:t>th</w:t>
      </w:r>
      <w:r w:rsidR="007F2F9C">
        <w:rPr>
          <w:rFonts w:cs="Times New Roman"/>
          <w:color w:val="000000"/>
          <w:szCs w:val="24"/>
        </w:rPr>
        <w:t xml:space="preserve"> Five Year Plan lists t</w:t>
      </w:r>
      <w:r w:rsidR="007F2F9C" w:rsidRPr="00825D32">
        <w:rPr>
          <w:szCs w:val="24"/>
        </w:rPr>
        <w:t>hree Chittagong Hill Tracts (CHT) districts-Bandarban, Khagrachari and Rangamati--</w:t>
      </w:r>
      <w:r w:rsidR="007F2F9C">
        <w:rPr>
          <w:szCs w:val="24"/>
        </w:rPr>
        <w:t xml:space="preserve"> </w:t>
      </w:r>
      <w:r w:rsidR="007F2F9C" w:rsidRPr="00825D32">
        <w:rPr>
          <w:szCs w:val="24"/>
        </w:rPr>
        <w:t>among the least developed distric</w:t>
      </w:r>
      <w:r w:rsidR="007F2F9C">
        <w:rPr>
          <w:szCs w:val="24"/>
        </w:rPr>
        <w:t>ts (or most deprived districts) in Bangladesh.</w:t>
      </w:r>
    </w:p>
    <w:p w:rsidR="007F2F9C" w:rsidRPr="00155322" w:rsidRDefault="007F2F9C" w:rsidP="00005EAC">
      <w:pPr>
        <w:autoSpaceDE w:val="0"/>
        <w:autoSpaceDN w:val="0"/>
        <w:adjustRightInd w:val="0"/>
        <w:spacing w:after="200" w:line="276" w:lineRule="auto"/>
        <w:jc w:val="both"/>
        <w:rPr>
          <w:rFonts w:cs="Times New Roman"/>
          <w:szCs w:val="24"/>
        </w:rPr>
      </w:pPr>
      <w:r w:rsidRPr="00155322">
        <w:rPr>
          <w:rFonts w:cs="Times New Roman"/>
          <w:szCs w:val="24"/>
        </w:rPr>
        <w:t xml:space="preserve">Land has been a common access resource for local communities. They operate on land for agricultural purposes with </w:t>
      </w:r>
      <w:r w:rsidRPr="00155322">
        <w:rPr>
          <w:rFonts w:cs="Times New Roman"/>
          <w:bCs/>
          <w:szCs w:val="24"/>
        </w:rPr>
        <w:t>customary</w:t>
      </w:r>
      <w:r>
        <w:rPr>
          <w:rFonts w:cs="Times New Roman"/>
          <w:szCs w:val="24"/>
        </w:rPr>
        <w:t xml:space="preserve"> rights obtained through an age</w:t>
      </w:r>
      <w:r w:rsidRPr="00155322">
        <w:rPr>
          <w:rFonts w:cs="Times New Roman"/>
          <w:szCs w:val="24"/>
        </w:rPr>
        <w:t xml:space="preserve">-old traditional system. Majority of farms are of small size, less than one hectare each. Only seven percent of holdings are ‘large’ (being three hectares or above). Small farms are more concentrated in Khagrachhari district, while medium and large farms are more prevalent in Bandarban and Rangamati.  </w:t>
      </w:r>
    </w:p>
    <w:p w:rsidR="007F2F9C" w:rsidRPr="00155322" w:rsidRDefault="007F2F9C" w:rsidP="0009356F">
      <w:pPr>
        <w:pStyle w:val="ListParagraph"/>
        <w:autoSpaceDE w:val="0"/>
        <w:autoSpaceDN w:val="0"/>
        <w:adjustRightInd w:val="0"/>
        <w:spacing w:line="276" w:lineRule="auto"/>
        <w:ind w:left="0"/>
        <w:jc w:val="both"/>
        <w:rPr>
          <w:rFonts w:cs="Times New Roman"/>
          <w:szCs w:val="24"/>
        </w:rPr>
      </w:pPr>
      <w:r w:rsidRPr="00155322">
        <w:rPr>
          <w:rFonts w:cs="Times New Roman"/>
          <w:szCs w:val="24"/>
        </w:rPr>
        <w:t xml:space="preserve">The incidence of poverty is high in the CHT. About half of the population or more are poor. The income per household member in the CHT is about two thirds the income of rural Bangladesh and the percentage of main income earners that rely on manual labour, 43%, is almost twice as high as rural Bangladesh. </w:t>
      </w:r>
    </w:p>
    <w:p w:rsidR="007F2F9C" w:rsidRPr="00155322" w:rsidRDefault="00AD57AB" w:rsidP="00005EAC">
      <w:pPr>
        <w:autoSpaceDE w:val="0"/>
        <w:autoSpaceDN w:val="0"/>
        <w:adjustRightInd w:val="0"/>
        <w:spacing w:after="200" w:line="276" w:lineRule="auto"/>
        <w:jc w:val="both"/>
        <w:rPr>
          <w:rFonts w:cs="Times New Roman"/>
          <w:szCs w:val="24"/>
        </w:rPr>
      </w:pPr>
      <w:r>
        <w:rPr>
          <w:rFonts w:cs="Times New Roman"/>
          <w:b/>
          <w:bCs/>
          <w:szCs w:val="24"/>
        </w:rPr>
        <w:t xml:space="preserve">Land and Water: </w:t>
      </w:r>
      <w:r>
        <w:rPr>
          <w:rFonts w:cs="Times New Roman"/>
          <w:bCs/>
          <w:szCs w:val="24"/>
        </w:rPr>
        <w:t>These</w:t>
      </w:r>
      <w:r w:rsidR="007F2F9C" w:rsidRPr="00155322">
        <w:rPr>
          <w:rFonts w:cs="Times New Roman"/>
          <w:szCs w:val="24"/>
        </w:rPr>
        <w:t xml:space="preserve"> are the two critical resources for sustaining agriculture productivity. In the CHT lands are at different elevations, Rangamati and </w:t>
      </w:r>
      <w:r w:rsidR="00065D01">
        <w:rPr>
          <w:rFonts w:cs="Times New Roman"/>
          <w:szCs w:val="24"/>
        </w:rPr>
        <w:t>Khagrac</w:t>
      </w:r>
      <w:r w:rsidR="00065D01" w:rsidRPr="00155322">
        <w:rPr>
          <w:rFonts w:cs="Times New Roman"/>
          <w:szCs w:val="24"/>
        </w:rPr>
        <w:t>hari</w:t>
      </w:r>
      <w:r w:rsidR="007F2F9C" w:rsidRPr="00155322">
        <w:rPr>
          <w:rFonts w:cs="Times New Roman"/>
          <w:szCs w:val="24"/>
        </w:rPr>
        <w:t xml:space="preserve"> are relatively low-lying. Land in Bandarban covers a wide range of elevation. Elevation is a key factor in determining crop suitability and seasonality based on agro-ecological considerations. Because of the </w:t>
      </w:r>
      <w:r w:rsidR="007F2F9C" w:rsidRPr="00155322">
        <w:rPr>
          <w:rFonts w:cs="Times New Roman"/>
          <w:szCs w:val="24"/>
        </w:rPr>
        <w:lastRenderedPageBreak/>
        <w:t xml:space="preserve">predominance of hilly terrains with steep slopes, most of the land is not suitable for ‘plough agriculture’. </w:t>
      </w:r>
    </w:p>
    <w:p w:rsidR="007F2F9C" w:rsidRDefault="007F2F9C" w:rsidP="00005EAC">
      <w:pPr>
        <w:spacing w:after="200" w:line="276" w:lineRule="auto"/>
        <w:jc w:val="both"/>
        <w:rPr>
          <w:rFonts w:cs="Times New Roman"/>
          <w:szCs w:val="24"/>
        </w:rPr>
      </w:pPr>
      <w:r w:rsidRPr="00AD57AB">
        <w:rPr>
          <w:rFonts w:cs="Times New Roman"/>
          <w:bCs/>
          <w:szCs w:val="24"/>
        </w:rPr>
        <w:t>Large number</w:t>
      </w:r>
      <w:r w:rsidR="00AD57AB">
        <w:rPr>
          <w:rFonts w:cs="Times New Roman"/>
          <w:bCs/>
          <w:szCs w:val="24"/>
        </w:rPr>
        <w:t>s</w:t>
      </w:r>
      <w:r w:rsidRPr="00AD57AB">
        <w:rPr>
          <w:rFonts w:cs="Times New Roman"/>
          <w:bCs/>
          <w:szCs w:val="24"/>
        </w:rPr>
        <w:t xml:space="preserve"> of Watersheds</w:t>
      </w:r>
      <w:r w:rsidRPr="00155322">
        <w:rPr>
          <w:rFonts w:cs="Times New Roman"/>
          <w:szCs w:val="24"/>
        </w:rPr>
        <w:t xml:space="preserve"> exist in the region. The main source of surface water is rainfall and accumulated waters in streams, </w:t>
      </w:r>
      <w:r w:rsidRPr="00155322">
        <w:rPr>
          <w:rFonts w:cs="Times New Roman"/>
          <w:i/>
          <w:szCs w:val="24"/>
        </w:rPr>
        <w:t>chharas</w:t>
      </w:r>
      <w:r w:rsidRPr="00155322">
        <w:rPr>
          <w:rFonts w:cs="Times New Roman"/>
          <w:szCs w:val="24"/>
        </w:rPr>
        <w:t xml:space="preserve">, and lakes. Khagrachhari district has been delineated into 119 watersheds. Rangamati has 273 watersheds, while Bandarban has 267 watersheds. Total length of </w:t>
      </w:r>
      <w:r w:rsidRPr="00155322">
        <w:rPr>
          <w:rFonts w:cs="Times New Roman"/>
          <w:i/>
          <w:iCs/>
          <w:szCs w:val="24"/>
        </w:rPr>
        <w:t>chharas</w:t>
      </w:r>
      <w:r w:rsidRPr="00155322">
        <w:rPr>
          <w:rFonts w:cs="Times New Roman"/>
          <w:szCs w:val="24"/>
        </w:rPr>
        <w:t xml:space="preserve"> connected to the rivers and spreading over the CHT region is more than 7,200 km. These </w:t>
      </w:r>
      <w:r w:rsidRPr="00155322">
        <w:rPr>
          <w:rFonts w:cs="Times New Roman"/>
          <w:i/>
          <w:iCs/>
          <w:szCs w:val="24"/>
        </w:rPr>
        <w:t>chharas</w:t>
      </w:r>
      <w:r w:rsidRPr="00155322">
        <w:rPr>
          <w:rFonts w:cs="Times New Roman"/>
          <w:szCs w:val="24"/>
        </w:rPr>
        <w:t xml:space="preserve"> are steep and so they cannot hold water for long. About 862 km of </w:t>
      </w:r>
      <w:r w:rsidR="00F82BA1">
        <w:rPr>
          <w:rFonts w:cs="Times New Roman"/>
          <w:i/>
          <w:szCs w:val="24"/>
        </w:rPr>
        <w:t>canals</w:t>
      </w:r>
      <w:r w:rsidRPr="00155322">
        <w:rPr>
          <w:rFonts w:cs="Times New Roman"/>
          <w:szCs w:val="24"/>
        </w:rPr>
        <w:t xml:space="preserve"> connected to </w:t>
      </w:r>
      <w:r w:rsidRPr="00155322">
        <w:rPr>
          <w:rFonts w:cs="Times New Roman"/>
          <w:i/>
          <w:iCs/>
          <w:szCs w:val="24"/>
        </w:rPr>
        <w:t xml:space="preserve">chharas </w:t>
      </w:r>
      <w:r w:rsidRPr="00155322">
        <w:rPr>
          <w:rFonts w:cs="Times New Roman"/>
          <w:szCs w:val="24"/>
        </w:rPr>
        <w:t>and rivers flow during the wet season</w:t>
      </w:r>
      <w:r>
        <w:rPr>
          <w:rFonts w:cs="Times New Roman"/>
          <w:szCs w:val="24"/>
        </w:rPr>
        <w:t>.</w:t>
      </w:r>
    </w:p>
    <w:p w:rsidR="007F2F9C" w:rsidRPr="00CC577C" w:rsidRDefault="007F2F9C" w:rsidP="00A85EEE">
      <w:pPr>
        <w:pStyle w:val="ListParagraph"/>
        <w:spacing w:line="276" w:lineRule="auto"/>
        <w:ind w:left="0"/>
        <w:jc w:val="both"/>
        <w:rPr>
          <w:rFonts w:cs="Times New Roman"/>
          <w:szCs w:val="24"/>
          <w:u w:val="single"/>
        </w:rPr>
      </w:pPr>
      <w:r w:rsidRPr="00155322">
        <w:rPr>
          <w:rFonts w:cs="Times New Roman"/>
          <w:szCs w:val="24"/>
        </w:rPr>
        <w:t xml:space="preserve">Most of the rivers, </w:t>
      </w:r>
      <w:r w:rsidRPr="00155322">
        <w:rPr>
          <w:rFonts w:cs="Times New Roman"/>
          <w:i/>
          <w:szCs w:val="24"/>
        </w:rPr>
        <w:t>chharas</w:t>
      </w:r>
      <w:r w:rsidRPr="00155322">
        <w:rPr>
          <w:rFonts w:cs="Times New Roman"/>
          <w:szCs w:val="24"/>
        </w:rPr>
        <w:t xml:space="preserve"> and </w:t>
      </w:r>
      <w:r w:rsidR="00F82BA1">
        <w:rPr>
          <w:rFonts w:cs="Times New Roman"/>
          <w:i/>
          <w:szCs w:val="24"/>
        </w:rPr>
        <w:t>canals</w:t>
      </w:r>
      <w:r w:rsidRPr="00155322">
        <w:rPr>
          <w:rFonts w:cs="Times New Roman"/>
          <w:szCs w:val="24"/>
        </w:rPr>
        <w:t xml:space="preserve"> dry up in the winter due to deforestation, non-scientific crop cultivation in the upland areas causing soil erosion and consequent siltation of the rivers, </w:t>
      </w:r>
      <w:r w:rsidRPr="00155322">
        <w:rPr>
          <w:rFonts w:cs="Times New Roman"/>
          <w:i/>
          <w:szCs w:val="24"/>
        </w:rPr>
        <w:t>chharas</w:t>
      </w:r>
      <w:r w:rsidRPr="00155322">
        <w:rPr>
          <w:rFonts w:cs="Times New Roman"/>
          <w:szCs w:val="24"/>
        </w:rPr>
        <w:t xml:space="preserve"> and </w:t>
      </w:r>
      <w:r w:rsidR="00F82BA1">
        <w:rPr>
          <w:rFonts w:cs="Times New Roman"/>
          <w:i/>
          <w:szCs w:val="24"/>
        </w:rPr>
        <w:t>canals</w:t>
      </w:r>
      <w:r w:rsidRPr="00155322">
        <w:rPr>
          <w:rFonts w:cs="Times New Roman"/>
          <w:szCs w:val="24"/>
        </w:rPr>
        <w:t xml:space="preserve">. The </w:t>
      </w:r>
      <w:r w:rsidRPr="00155322">
        <w:rPr>
          <w:rFonts w:cs="Times New Roman"/>
          <w:i/>
          <w:szCs w:val="24"/>
        </w:rPr>
        <w:t>Kaptai Lake</w:t>
      </w:r>
      <w:r w:rsidRPr="00155322">
        <w:rPr>
          <w:rFonts w:cs="Times New Roman"/>
          <w:szCs w:val="24"/>
        </w:rPr>
        <w:t xml:space="preserve"> is also endangered due to siltation problem. </w:t>
      </w:r>
      <w:r w:rsidRPr="00155322">
        <w:rPr>
          <w:rFonts w:cs="Times New Roman"/>
          <w:bCs/>
          <w:szCs w:val="24"/>
        </w:rPr>
        <w:t xml:space="preserve">The deforestation in all three districts is taking place at a very fast rate. Dense forest coverage has reduced by 61% in the last five years and the rate is also high for medium dense forests. </w:t>
      </w:r>
      <w:r w:rsidR="00F64A6A" w:rsidRPr="00F64A6A">
        <w:rPr>
          <w:rFonts w:cs="Times New Roman"/>
          <w:szCs w:val="24"/>
          <w:u w:val="single"/>
        </w:rPr>
        <w:t xml:space="preserve">In total 659 watersheds have been delineated in the CHT, 119 in Khagrachhari district, 273 in Rangamati district and 267 in Bandarban district. Very limited surface water level stations are available in the CHT. </w:t>
      </w:r>
    </w:p>
    <w:p w:rsidR="007F2F9C" w:rsidRPr="008C2473" w:rsidRDefault="00AD57AB" w:rsidP="00A85EEE">
      <w:pPr>
        <w:autoSpaceDE w:val="0"/>
        <w:autoSpaceDN w:val="0"/>
        <w:adjustRightInd w:val="0"/>
        <w:spacing w:line="276" w:lineRule="auto"/>
        <w:jc w:val="both"/>
        <w:rPr>
          <w:rFonts w:cs="Times New Roman"/>
          <w:szCs w:val="24"/>
        </w:rPr>
      </w:pPr>
      <w:r>
        <w:rPr>
          <w:rFonts w:cs="Times New Roman"/>
          <w:szCs w:val="24"/>
        </w:rPr>
        <w:t>Major l</w:t>
      </w:r>
      <w:r w:rsidR="007F2F9C" w:rsidRPr="00AD57AB">
        <w:rPr>
          <w:rFonts w:cs="Times New Roman"/>
          <w:szCs w:val="24"/>
        </w:rPr>
        <w:t>ivelihood</w:t>
      </w:r>
      <w:r>
        <w:rPr>
          <w:rFonts w:cs="Times New Roman"/>
          <w:szCs w:val="24"/>
        </w:rPr>
        <w:t>s p</w:t>
      </w:r>
      <w:r w:rsidR="007F2F9C" w:rsidRPr="00AD57AB">
        <w:rPr>
          <w:rFonts w:cs="Times New Roman"/>
          <w:szCs w:val="24"/>
        </w:rPr>
        <w:t>ractices</w:t>
      </w:r>
      <w:r w:rsidR="007F2F9C" w:rsidRPr="00155322">
        <w:rPr>
          <w:rFonts w:cs="Times New Roman"/>
          <w:bCs/>
          <w:color w:val="000000"/>
          <w:szCs w:val="24"/>
        </w:rPr>
        <w:t xml:space="preserve"> are farming, fishing, livestock rearing and trading.  </w:t>
      </w:r>
      <w:r w:rsidR="007F2F9C" w:rsidRPr="00155322">
        <w:rPr>
          <w:rFonts w:cs="Times New Roman"/>
          <w:szCs w:val="24"/>
        </w:rPr>
        <w:t>Less than one-fifth of the total valley land area (</w:t>
      </w:r>
      <w:r w:rsidR="007F2F9C" w:rsidRPr="00155322">
        <w:rPr>
          <w:rFonts w:cs="Times New Roman"/>
          <w:bCs/>
          <w:szCs w:val="24"/>
        </w:rPr>
        <w:t>270,812 ha)</w:t>
      </w:r>
      <w:r w:rsidR="007F2F9C" w:rsidRPr="00155322">
        <w:rPr>
          <w:rFonts w:cs="Times New Roman"/>
          <w:szCs w:val="24"/>
        </w:rPr>
        <w:t xml:space="preserve"> is currently under irrigation. Rice is the main crop grown in this land area. Some HYV rice varieties are grown in the floodplains. Besides rice, maize, mustard, chili, winter vegetables and potato are also grown. J</w:t>
      </w:r>
      <w:r w:rsidR="007F2F9C">
        <w:rPr>
          <w:rFonts w:cs="Times New Roman"/>
          <w:szCs w:val="24"/>
        </w:rPr>
        <w:t>h</w:t>
      </w:r>
      <w:r w:rsidR="007F2F9C" w:rsidRPr="00155322">
        <w:rPr>
          <w:rFonts w:cs="Times New Roman"/>
          <w:szCs w:val="24"/>
        </w:rPr>
        <w:t xml:space="preserve">um is a prominent indigenous farming practice and </w:t>
      </w:r>
      <w:r w:rsidR="007F2F9C" w:rsidRPr="00155322">
        <w:rPr>
          <w:rFonts w:cs="Times New Roman"/>
          <w:bCs/>
          <w:color w:val="000000"/>
          <w:szCs w:val="24"/>
        </w:rPr>
        <w:t>6.5% of the farmers depend on j</w:t>
      </w:r>
      <w:r w:rsidR="007F2F9C">
        <w:rPr>
          <w:rFonts w:cs="Times New Roman"/>
          <w:bCs/>
          <w:color w:val="000000"/>
          <w:szCs w:val="24"/>
        </w:rPr>
        <w:t>h</w:t>
      </w:r>
      <w:r w:rsidR="007F2F9C" w:rsidRPr="00155322">
        <w:rPr>
          <w:rFonts w:cs="Times New Roman"/>
          <w:bCs/>
          <w:color w:val="000000"/>
          <w:szCs w:val="24"/>
        </w:rPr>
        <w:t xml:space="preserve">um farming system. </w:t>
      </w:r>
      <w:r w:rsidR="007F2F9C" w:rsidRPr="00155322">
        <w:rPr>
          <w:rFonts w:cs="Times New Roman"/>
          <w:szCs w:val="24"/>
        </w:rPr>
        <w:t xml:space="preserve">The number of </w:t>
      </w:r>
      <w:r w:rsidR="007F2F9C" w:rsidRPr="00155322">
        <w:rPr>
          <w:rFonts w:cs="Times New Roman"/>
          <w:i/>
          <w:szCs w:val="24"/>
        </w:rPr>
        <w:t>j</w:t>
      </w:r>
      <w:r w:rsidR="007F2F9C">
        <w:rPr>
          <w:rFonts w:cs="Times New Roman"/>
          <w:i/>
          <w:szCs w:val="24"/>
        </w:rPr>
        <w:t>h</w:t>
      </w:r>
      <w:r w:rsidR="007F2F9C" w:rsidRPr="00155322">
        <w:rPr>
          <w:rFonts w:cs="Times New Roman"/>
          <w:i/>
          <w:szCs w:val="24"/>
        </w:rPr>
        <w:t>um</w:t>
      </w:r>
      <w:r w:rsidR="007F2F9C" w:rsidRPr="00155322">
        <w:rPr>
          <w:rFonts w:cs="Times New Roman"/>
          <w:szCs w:val="24"/>
        </w:rPr>
        <w:t xml:space="preserve"> farmers was 7,832 in 1980; it is now estimated at 22,413, although numbers have fallen recently. An average </w:t>
      </w:r>
      <w:r w:rsidR="007F2F9C" w:rsidRPr="00155322">
        <w:rPr>
          <w:rFonts w:cs="Times New Roman"/>
          <w:i/>
          <w:szCs w:val="24"/>
        </w:rPr>
        <w:t>j</w:t>
      </w:r>
      <w:r w:rsidR="007F2F9C">
        <w:rPr>
          <w:rFonts w:cs="Times New Roman"/>
          <w:i/>
          <w:szCs w:val="24"/>
        </w:rPr>
        <w:t>h</w:t>
      </w:r>
      <w:r w:rsidR="007F2F9C" w:rsidRPr="00155322">
        <w:rPr>
          <w:rFonts w:cs="Times New Roman"/>
          <w:i/>
          <w:szCs w:val="24"/>
        </w:rPr>
        <w:t>um</w:t>
      </w:r>
      <w:r w:rsidR="007F2F9C" w:rsidRPr="00155322">
        <w:rPr>
          <w:rFonts w:cs="Times New Roman"/>
          <w:szCs w:val="24"/>
        </w:rPr>
        <w:t xml:space="preserve"> cycle was 12-15 years to allow sufficient regeneration of natural resources during the interval. In 1961, after the construction of the </w:t>
      </w:r>
      <w:r w:rsidR="007F2F9C" w:rsidRPr="00155322">
        <w:rPr>
          <w:rFonts w:cs="Times New Roman"/>
          <w:i/>
          <w:szCs w:val="24"/>
        </w:rPr>
        <w:t>Kaptai Dam</w:t>
      </w:r>
      <w:r w:rsidR="007F2F9C" w:rsidRPr="00155322">
        <w:rPr>
          <w:rFonts w:cs="Times New Roman"/>
          <w:szCs w:val="24"/>
        </w:rPr>
        <w:t xml:space="preserve">, the </w:t>
      </w:r>
      <w:r w:rsidR="007F2F9C" w:rsidRPr="00155322">
        <w:rPr>
          <w:rFonts w:cs="Times New Roman"/>
          <w:i/>
          <w:szCs w:val="24"/>
        </w:rPr>
        <w:t>j</w:t>
      </w:r>
      <w:r w:rsidR="007F2F9C">
        <w:rPr>
          <w:rFonts w:cs="Times New Roman"/>
          <w:i/>
          <w:szCs w:val="24"/>
        </w:rPr>
        <w:t>h</w:t>
      </w:r>
      <w:r w:rsidR="007F2F9C" w:rsidRPr="00155322">
        <w:rPr>
          <w:rFonts w:cs="Times New Roman"/>
          <w:i/>
          <w:szCs w:val="24"/>
        </w:rPr>
        <w:t>um</w:t>
      </w:r>
      <w:r w:rsidR="007F2F9C" w:rsidRPr="00155322">
        <w:rPr>
          <w:rFonts w:cs="Times New Roman"/>
          <w:szCs w:val="24"/>
        </w:rPr>
        <w:t xml:space="preserve"> cycle was shortened to 3-5 years. At p</w:t>
      </w:r>
      <w:r w:rsidR="007F2F9C">
        <w:rPr>
          <w:rFonts w:cs="Times New Roman"/>
          <w:szCs w:val="24"/>
        </w:rPr>
        <w:t>resent the average is 2-3 years.</w:t>
      </w:r>
    </w:p>
    <w:p w:rsidR="007F2F9C" w:rsidRPr="00CC577C" w:rsidRDefault="007F2F9C" w:rsidP="00A85EEE">
      <w:pPr>
        <w:spacing w:line="276" w:lineRule="auto"/>
        <w:jc w:val="both"/>
        <w:rPr>
          <w:rFonts w:cs="Times New Roman"/>
          <w:szCs w:val="24"/>
          <w:u w:val="single"/>
        </w:rPr>
      </w:pPr>
      <w:r w:rsidRPr="00155322">
        <w:rPr>
          <w:rFonts w:cs="Times New Roman"/>
          <w:szCs w:val="24"/>
        </w:rPr>
        <w:t xml:space="preserve">Main crops grown in the </w:t>
      </w:r>
      <w:r w:rsidRPr="00155322">
        <w:rPr>
          <w:rFonts w:cs="Times New Roman"/>
          <w:i/>
          <w:szCs w:val="24"/>
        </w:rPr>
        <w:t>j</w:t>
      </w:r>
      <w:r>
        <w:rPr>
          <w:rFonts w:cs="Times New Roman"/>
          <w:i/>
          <w:szCs w:val="24"/>
        </w:rPr>
        <w:t>h</w:t>
      </w:r>
      <w:r w:rsidRPr="00155322">
        <w:rPr>
          <w:rFonts w:cs="Times New Roman"/>
          <w:i/>
          <w:szCs w:val="24"/>
        </w:rPr>
        <w:t>um</w:t>
      </w:r>
      <w:r w:rsidRPr="00155322">
        <w:rPr>
          <w:rFonts w:cs="Times New Roman"/>
          <w:szCs w:val="24"/>
        </w:rPr>
        <w:t xml:space="preserve"> are rice, maize, millet, sesame, cucumber, pumpkin, ash gourd, melon, chili cowpea, turmeric, flowers and medicinal herbs. Sugarcane, </w:t>
      </w:r>
      <w:r>
        <w:rPr>
          <w:rFonts w:cs="Times New Roman"/>
          <w:szCs w:val="24"/>
        </w:rPr>
        <w:t>cot</w:t>
      </w:r>
      <w:r w:rsidR="00FE6385">
        <w:rPr>
          <w:rFonts w:cs="Times New Roman"/>
          <w:szCs w:val="24"/>
        </w:rPr>
        <w:t>ton</w:t>
      </w:r>
      <w:r>
        <w:rPr>
          <w:rFonts w:cs="Times New Roman"/>
          <w:szCs w:val="24"/>
        </w:rPr>
        <w:t>,</w:t>
      </w:r>
      <w:r w:rsidRPr="00155322">
        <w:rPr>
          <w:rFonts w:cs="Times New Roman"/>
          <w:szCs w:val="24"/>
        </w:rPr>
        <w:t xml:space="preserve"> and tobacco are important cash crops in the CHT. However, cot</w:t>
      </w:r>
      <w:r w:rsidR="00FE6385">
        <w:rPr>
          <w:rFonts w:cs="Times New Roman"/>
          <w:szCs w:val="24"/>
        </w:rPr>
        <w:t>ton</w:t>
      </w:r>
      <w:r w:rsidRPr="00155322">
        <w:rPr>
          <w:rFonts w:cs="Times New Roman"/>
          <w:szCs w:val="24"/>
        </w:rPr>
        <w:t xml:space="preserve"> cultivation has declined in comparison to the past. </w:t>
      </w:r>
      <w:r w:rsidR="00F64A6A" w:rsidRPr="00F64A6A">
        <w:rPr>
          <w:rFonts w:cs="Times New Roman"/>
          <w:szCs w:val="24"/>
          <w:u w:val="single"/>
        </w:rPr>
        <w:t>Sugarcane cultivation has slowly increased because of market demand and the advent of HYV species of chewing variety. Tobacco cultivation is increasing and has made inroads in some of the remote areas.</w:t>
      </w:r>
    </w:p>
    <w:p w:rsidR="00F025CE" w:rsidRPr="00282AE2" w:rsidRDefault="007F2F9C" w:rsidP="00282AE2">
      <w:pPr>
        <w:spacing w:line="276" w:lineRule="auto"/>
        <w:jc w:val="both"/>
        <w:rPr>
          <w:rFonts w:cs="Times New Roman"/>
          <w:szCs w:val="24"/>
        </w:rPr>
      </w:pPr>
      <w:r>
        <w:rPr>
          <w:rFonts w:cs="Times New Roman"/>
          <w:szCs w:val="24"/>
        </w:rPr>
        <w:t>Horticulture is a rising c</w:t>
      </w:r>
      <w:r w:rsidRPr="00155322">
        <w:rPr>
          <w:rFonts w:cs="Times New Roman"/>
          <w:szCs w:val="24"/>
        </w:rPr>
        <w:t>ommercial</w:t>
      </w:r>
      <w:r>
        <w:rPr>
          <w:rFonts w:cs="Times New Roman"/>
          <w:szCs w:val="24"/>
        </w:rPr>
        <w:t xml:space="preserve"> agriculture in CHT</w:t>
      </w:r>
      <w:r w:rsidRPr="00155322">
        <w:rPr>
          <w:rFonts w:cs="Times New Roman"/>
          <w:szCs w:val="24"/>
        </w:rPr>
        <w:t xml:space="preserve"> </w:t>
      </w:r>
      <w:r>
        <w:rPr>
          <w:rFonts w:cs="Times New Roman"/>
          <w:szCs w:val="24"/>
        </w:rPr>
        <w:t>being</w:t>
      </w:r>
      <w:r w:rsidRPr="00155322">
        <w:rPr>
          <w:rFonts w:cs="Times New Roman"/>
          <w:szCs w:val="24"/>
        </w:rPr>
        <w:t xml:space="preserve"> mainly concentrated on </w:t>
      </w:r>
      <w:r>
        <w:rPr>
          <w:rFonts w:cs="Times New Roman"/>
          <w:szCs w:val="24"/>
        </w:rPr>
        <w:t xml:space="preserve">the cultivation of </w:t>
      </w:r>
      <w:r w:rsidRPr="00155322">
        <w:rPr>
          <w:rFonts w:cs="Times New Roman"/>
          <w:szCs w:val="24"/>
        </w:rPr>
        <w:t>banana, papaya, lemon, pineapple, mango, o</w:t>
      </w:r>
      <w:r>
        <w:rPr>
          <w:rFonts w:cs="Times New Roman"/>
          <w:szCs w:val="24"/>
        </w:rPr>
        <w:t xml:space="preserve">range, cashew nut and jackfruit. </w:t>
      </w:r>
      <w:r w:rsidRPr="00155322">
        <w:rPr>
          <w:rFonts w:cs="Times New Roman"/>
          <w:szCs w:val="24"/>
        </w:rPr>
        <w:t>But a number of other fruit crops are grown in scattered areas. Farmers hardly follow recommendations on plant spacing, proper application of different fertilizers and other cultural practices. As a result, yields are relatively low and much of the potential remains unexploited.</w:t>
      </w:r>
    </w:p>
    <w:p w:rsidR="007F2F9C" w:rsidRPr="005E63C0" w:rsidRDefault="007F2F9C" w:rsidP="003838CA">
      <w:pPr>
        <w:pStyle w:val="ListParagraph"/>
        <w:spacing w:line="23" w:lineRule="atLeast"/>
        <w:ind w:left="0"/>
        <w:rPr>
          <w:rFonts w:cs="Segoe UI"/>
          <w:b/>
          <w:bCs/>
          <w:i/>
          <w:szCs w:val="24"/>
        </w:rPr>
      </w:pPr>
      <w:r w:rsidRPr="005E63C0">
        <w:rPr>
          <w:rFonts w:cs="Segoe UI"/>
          <w:b/>
          <w:bCs/>
          <w:i/>
          <w:szCs w:val="24"/>
        </w:rPr>
        <w:lastRenderedPageBreak/>
        <w:t>Major constraints of CHT</w:t>
      </w:r>
    </w:p>
    <w:p w:rsidR="007F2F9C" w:rsidRPr="00AF5EF5" w:rsidRDefault="007F2F9C" w:rsidP="00A85EEE">
      <w:pPr>
        <w:pStyle w:val="ListParagraph"/>
        <w:spacing w:line="276" w:lineRule="auto"/>
        <w:ind w:left="0"/>
        <w:jc w:val="both"/>
        <w:rPr>
          <w:rFonts w:cs="Segoe UI"/>
          <w:szCs w:val="24"/>
        </w:rPr>
      </w:pPr>
    </w:p>
    <w:p w:rsidR="007F2F9C" w:rsidRPr="00155322" w:rsidRDefault="007F2F9C" w:rsidP="00D6486D">
      <w:pPr>
        <w:pStyle w:val="ListParagraph"/>
        <w:numPr>
          <w:ilvl w:val="0"/>
          <w:numId w:val="61"/>
        </w:numPr>
        <w:spacing w:line="276" w:lineRule="auto"/>
        <w:ind w:left="360"/>
        <w:jc w:val="both"/>
        <w:rPr>
          <w:rFonts w:cs="Segoe UI"/>
          <w:szCs w:val="24"/>
        </w:rPr>
      </w:pPr>
      <w:r w:rsidRPr="00155322">
        <w:rPr>
          <w:rFonts w:cs="Segoe UI"/>
          <w:szCs w:val="24"/>
        </w:rPr>
        <w:t>Natural resource degradation – soil erosion and siltation of water bodies; reduced soil fertility; and biodiversity loss</w:t>
      </w:r>
    </w:p>
    <w:p w:rsidR="007F2F9C" w:rsidRPr="00155322" w:rsidRDefault="00A435F5" w:rsidP="00D6486D">
      <w:pPr>
        <w:pStyle w:val="ListParagraph"/>
        <w:numPr>
          <w:ilvl w:val="0"/>
          <w:numId w:val="61"/>
        </w:numPr>
        <w:spacing w:line="276" w:lineRule="auto"/>
        <w:ind w:left="360"/>
        <w:jc w:val="both"/>
        <w:rPr>
          <w:rFonts w:cs="Segoe UI"/>
          <w:szCs w:val="24"/>
        </w:rPr>
      </w:pPr>
      <w:r>
        <w:rPr>
          <w:rFonts w:cs="Segoe UI"/>
          <w:szCs w:val="24"/>
        </w:rPr>
        <w:t xml:space="preserve">Weak </w:t>
      </w:r>
      <w:r w:rsidR="007F2F9C" w:rsidRPr="00155322">
        <w:rPr>
          <w:rFonts w:cs="Segoe UI"/>
          <w:szCs w:val="24"/>
        </w:rPr>
        <w:t>provision of essential inputs and extension (seed, fertilizer, credit)</w:t>
      </w:r>
    </w:p>
    <w:p w:rsidR="007F2F9C" w:rsidRPr="00155322" w:rsidRDefault="007F2F9C" w:rsidP="00D6486D">
      <w:pPr>
        <w:pStyle w:val="ListParagraph"/>
        <w:numPr>
          <w:ilvl w:val="0"/>
          <w:numId w:val="61"/>
        </w:numPr>
        <w:spacing w:line="276" w:lineRule="auto"/>
        <w:ind w:left="360"/>
        <w:jc w:val="both"/>
        <w:rPr>
          <w:rFonts w:cs="Segoe UI"/>
          <w:szCs w:val="24"/>
        </w:rPr>
      </w:pPr>
      <w:r w:rsidRPr="00155322">
        <w:rPr>
          <w:rFonts w:cs="Segoe UI"/>
          <w:szCs w:val="24"/>
        </w:rPr>
        <w:t>Scarcity of adaptive research, on-farm trials and demonstrations, leading to low knowledge of CHT-specific conditions and absence of innovative practices.</w:t>
      </w:r>
    </w:p>
    <w:p w:rsidR="007F2F9C" w:rsidRPr="00155322" w:rsidRDefault="007F2F9C" w:rsidP="00D6486D">
      <w:pPr>
        <w:pStyle w:val="ListParagraph"/>
        <w:numPr>
          <w:ilvl w:val="0"/>
          <w:numId w:val="61"/>
        </w:numPr>
        <w:spacing w:line="276" w:lineRule="auto"/>
        <w:ind w:left="360"/>
        <w:jc w:val="both"/>
        <w:rPr>
          <w:rFonts w:cs="Segoe UI"/>
          <w:szCs w:val="24"/>
        </w:rPr>
      </w:pPr>
      <w:r w:rsidRPr="00155322">
        <w:rPr>
          <w:rFonts w:cs="Segoe UI"/>
          <w:szCs w:val="24"/>
        </w:rPr>
        <w:t>Limited access to markets, and opportunities for agro-processing</w:t>
      </w:r>
    </w:p>
    <w:p w:rsidR="007F2F9C" w:rsidRPr="00155322" w:rsidRDefault="007F2F9C" w:rsidP="00D6486D">
      <w:pPr>
        <w:pStyle w:val="ListParagraph"/>
        <w:numPr>
          <w:ilvl w:val="0"/>
          <w:numId w:val="61"/>
        </w:numPr>
        <w:spacing w:line="276" w:lineRule="auto"/>
        <w:ind w:left="360"/>
        <w:jc w:val="both"/>
        <w:rPr>
          <w:rFonts w:cs="Segoe UI"/>
          <w:szCs w:val="24"/>
        </w:rPr>
      </w:pPr>
      <w:r w:rsidRPr="00155322">
        <w:rPr>
          <w:rFonts w:cs="Segoe UI"/>
          <w:szCs w:val="24"/>
        </w:rPr>
        <w:t>Low productivity, and missed opportunities for diversification (and associated benefits to nutrition), due in part to poor access to improved inputs, and/or to new adapted technologies</w:t>
      </w:r>
    </w:p>
    <w:p w:rsidR="007F2F9C" w:rsidRPr="00155322" w:rsidRDefault="007F2F9C" w:rsidP="00D6486D">
      <w:pPr>
        <w:pStyle w:val="ListParagraph"/>
        <w:numPr>
          <w:ilvl w:val="0"/>
          <w:numId w:val="61"/>
        </w:numPr>
        <w:spacing w:line="276" w:lineRule="auto"/>
        <w:ind w:left="360"/>
        <w:jc w:val="both"/>
        <w:rPr>
          <w:rFonts w:cs="Segoe UI"/>
          <w:szCs w:val="24"/>
        </w:rPr>
      </w:pPr>
      <w:r w:rsidRPr="00155322">
        <w:rPr>
          <w:rFonts w:cs="Segoe UI"/>
          <w:szCs w:val="24"/>
        </w:rPr>
        <w:t>Poor technical capacity of stakeholders and a lack of technical coordination</w:t>
      </w:r>
    </w:p>
    <w:p w:rsidR="007F2F9C" w:rsidRPr="00155322" w:rsidRDefault="007F2F9C" w:rsidP="00D6486D">
      <w:pPr>
        <w:pStyle w:val="ListParagraph"/>
        <w:numPr>
          <w:ilvl w:val="0"/>
          <w:numId w:val="61"/>
        </w:numPr>
        <w:spacing w:line="276" w:lineRule="auto"/>
        <w:ind w:left="360"/>
        <w:jc w:val="both"/>
        <w:rPr>
          <w:rFonts w:cs="Segoe UI"/>
          <w:szCs w:val="24"/>
        </w:rPr>
      </w:pPr>
      <w:r w:rsidRPr="00155322">
        <w:rPr>
          <w:rFonts w:cs="Segoe UI"/>
          <w:szCs w:val="24"/>
        </w:rPr>
        <w:t>Disjointed and/or overlapping programmes, without consistent guiding principles on the part of government and development partners.</w:t>
      </w:r>
    </w:p>
    <w:p w:rsidR="00144771" w:rsidRPr="0055784E" w:rsidRDefault="00144771" w:rsidP="00A85EEE">
      <w:pPr>
        <w:pStyle w:val="ListParagraph"/>
        <w:spacing w:line="276" w:lineRule="auto"/>
        <w:ind w:left="0"/>
        <w:rPr>
          <w:rFonts w:cs="Segoe UI"/>
          <w:sz w:val="4"/>
        </w:rPr>
      </w:pPr>
    </w:p>
    <w:p w:rsidR="00144771" w:rsidRPr="00EC7AC5" w:rsidRDefault="00144771" w:rsidP="00A85EEE">
      <w:pPr>
        <w:pStyle w:val="ListParagraph"/>
        <w:spacing w:line="276" w:lineRule="auto"/>
        <w:ind w:left="0"/>
        <w:rPr>
          <w:rFonts w:cs="Segoe UI"/>
          <w:sz w:val="20"/>
        </w:rPr>
      </w:pPr>
    </w:p>
    <w:p w:rsidR="007F2F9C" w:rsidRPr="005E63C0" w:rsidRDefault="007F2F9C" w:rsidP="003838CA">
      <w:pPr>
        <w:pStyle w:val="ListParagraph"/>
        <w:spacing w:line="23" w:lineRule="atLeast"/>
        <w:ind w:left="0"/>
        <w:rPr>
          <w:rFonts w:cs="Segoe UI"/>
          <w:b/>
          <w:bCs/>
          <w:i/>
          <w:szCs w:val="24"/>
        </w:rPr>
      </w:pPr>
      <w:r w:rsidRPr="005E63C0">
        <w:rPr>
          <w:rFonts w:cs="Segoe UI"/>
          <w:b/>
          <w:bCs/>
          <w:i/>
          <w:szCs w:val="24"/>
        </w:rPr>
        <w:t xml:space="preserve">Strategies for development of agriculture and livelihoods of CHT </w:t>
      </w:r>
    </w:p>
    <w:p w:rsidR="007F2F9C" w:rsidRPr="00155322" w:rsidRDefault="007F2F9C" w:rsidP="00A85EEE">
      <w:pPr>
        <w:pStyle w:val="ListParagraph"/>
        <w:spacing w:line="276" w:lineRule="auto"/>
        <w:ind w:left="0"/>
        <w:rPr>
          <w:rFonts w:cs="Times New Roman"/>
          <w:szCs w:val="24"/>
        </w:rPr>
      </w:pPr>
    </w:p>
    <w:p w:rsidR="007F2F9C" w:rsidRPr="00CC577C" w:rsidRDefault="007F2F9C" w:rsidP="00CC7C15">
      <w:pPr>
        <w:pStyle w:val="ListParagraph"/>
        <w:spacing w:line="276" w:lineRule="auto"/>
        <w:ind w:left="0"/>
        <w:jc w:val="both"/>
        <w:rPr>
          <w:rFonts w:cs="Times New Roman"/>
          <w:bCs/>
          <w:szCs w:val="24"/>
          <w:u w:val="single"/>
        </w:rPr>
      </w:pPr>
      <w:r w:rsidRPr="00AF5EF5">
        <w:rPr>
          <w:rFonts w:cs="Times New Roman"/>
          <w:b/>
          <w:bCs/>
          <w:szCs w:val="24"/>
        </w:rPr>
        <w:t>Enhancing productivity</w:t>
      </w:r>
      <w:r>
        <w:rPr>
          <w:rFonts w:cs="Times New Roman"/>
          <w:b/>
          <w:bCs/>
          <w:szCs w:val="24"/>
        </w:rPr>
        <w:t xml:space="preserve">: </w:t>
      </w:r>
      <w:r w:rsidRPr="00155322">
        <w:rPr>
          <w:rFonts w:cs="Times New Roman"/>
          <w:szCs w:val="24"/>
        </w:rPr>
        <w:t>Improved access to low lift pumps (LLP) for irrigation and the utilization of surface water should be the subject of a major investment programme, as it is in other areas of the country.</w:t>
      </w:r>
      <w:r>
        <w:rPr>
          <w:rFonts w:cs="Times New Roman"/>
          <w:szCs w:val="24"/>
        </w:rPr>
        <w:t xml:space="preserve">  </w:t>
      </w:r>
      <w:r w:rsidR="00F64A6A" w:rsidRPr="00F64A6A">
        <w:rPr>
          <w:rFonts w:cs="Times New Roman"/>
          <w:bCs/>
          <w:szCs w:val="24"/>
          <w:u w:val="single"/>
        </w:rPr>
        <w:t xml:space="preserve">A centre under the CHT Regional Council should be established for both </w:t>
      </w:r>
      <w:r w:rsidR="00F64A6A" w:rsidRPr="00F64A6A">
        <w:rPr>
          <w:rFonts w:cs="Times New Roman"/>
          <w:bCs/>
          <w:iCs/>
          <w:szCs w:val="24"/>
          <w:u w:val="single"/>
        </w:rPr>
        <w:t>in situ</w:t>
      </w:r>
      <w:r w:rsidR="00F64A6A" w:rsidRPr="00F64A6A">
        <w:rPr>
          <w:rFonts w:cs="Times New Roman"/>
          <w:bCs/>
          <w:szCs w:val="24"/>
          <w:u w:val="single"/>
        </w:rPr>
        <w:t xml:space="preserve"> and </w:t>
      </w:r>
      <w:r w:rsidR="00F64A6A" w:rsidRPr="00F64A6A">
        <w:rPr>
          <w:rFonts w:cs="Times New Roman"/>
          <w:bCs/>
          <w:iCs/>
          <w:szCs w:val="24"/>
          <w:u w:val="single"/>
        </w:rPr>
        <w:t>ex-situ</w:t>
      </w:r>
      <w:r w:rsidR="00F64A6A" w:rsidRPr="00F64A6A">
        <w:rPr>
          <w:rFonts w:cs="Times New Roman"/>
          <w:bCs/>
          <w:szCs w:val="24"/>
          <w:u w:val="single"/>
        </w:rPr>
        <w:t xml:space="preserve"> </w:t>
      </w:r>
      <w:r w:rsidR="00F64A6A" w:rsidRPr="00F64A6A">
        <w:rPr>
          <w:rFonts w:cs="Times New Roman"/>
          <w:szCs w:val="24"/>
          <w:u w:val="single"/>
        </w:rPr>
        <w:t>conservation</w:t>
      </w:r>
      <w:r w:rsidR="00F64A6A" w:rsidRPr="00F64A6A">
        <w:rPr>
          <w:rFonts w:cs="Times New Roman"/>
          <w:bCs/>
          <w:szCs w:val="24"/>
          <w:u w:val="single"/>
        </w:rPr>
        <w:t xml:space="preserve"> of genetic resources – this will require at least 100 ha of land with necessary laboratory and other physical facilities.</w:t>
      </w:r>
    </w:p>
    <w:p w:rsidR="007F2F9C" w:rsidRPr="002F54CA" w:rsidRDefault="007F2F9C" w:rsidP="00CC7C15">
      <w:pPr>
        <w:pStyle w:val="ListParagraph"/>
        <w:spacing w:line="276" w:lineRule="auto"/>
        <w:ind w:left="0"/>
        <w:jc w:val="both"/>
        <w:rPr>
          <w:rFonts w:cs="Times New Roman"/>
          <w:b/>
          <w:bCs/>
          <w:szCs w:val="24"/>
        </w:rPr>
      </w:pPr>
    </w:p>
    <w:p w:rsidR="007F2F9C" w:rsidRPr="002F54CA" w:rsidRDefault="007F2F9C" w:rsidP="00CC7C15">
      <w:pPr>
        <w:pStyle w:val="ListParagraph"/>
        <w:spacing w:line="276" w:lineRule="auto"/>
        <w:ind w:left="0"/>
        <w:jc w:val="both"/>
        <w:rPr>
          <w:rFonts w:cs="Segoe UI"/>
          <w:szCs w:val="24"/>
        </w:rPr>
      </w:pPr>
      <w:r w:rsidRPr="00AF5EF5">
        <w:rPr>
          <w:rFonts w:cs="Segoe UI"/>
          <w:b/>
          <w:szCs w:val="24"/>
        </w:rPr>
        <w:t xml:space="preserve">More sustainable adapted and improved </w:t>
      </w:r>
      <w:r w:rsidR="00065D01" w:rsidRPr="00AF5EF5">
        <w:rPr>
          <w:rFonts w:cs="Segoe UI"/>
          <w:b/>
          <w:i/>
          <w:szCs w:val="24"/>
        </w:rPr>
        <w:t>jhum</w:t>
      </w:r>
      <w:r w:rsidRPr="00AF5EF5">
        <w:rPr>
          <w:rFonts w:cs="Segoe UI"/>
          <w:b/>
          <w:szCs w:val="24"/>
        </w:rPr>
        <w:t xml:space="preserve"> practices</w:t>
      </w:r>
      <w:r>
        <w:rPr>
          <w:rFonts w:cs="Segoe UI"/>
          <w:b/>
          <w:szCs w:val="24"/>
        </w:rPr>
        <w:t xml:space="preserve">: </w:t>
      </w:r>
      <w:r w:rsidRPr="002F54CA">
        <w:rPr>
          <w:rFonts w:cs="Segoe UI"/>
          <w:bCs/>
          <w:szCs w:val="24"/>
        </w:rPr>
        <w:t>Adopting such measures on a large scale will require local strategies, a major awareness raising campaign, and targeted skills development programmes such as specialist farmer field schools</w:t>
      </w:r>
    </w:p>
    <w:p w:rsidR="007F2F9C" w:rsidRPr="00155322" w:rsidRDefault="007F2F9C" w:rsidP="00CC7C15">
      <w:pPr>
        <w:pStyle w:val="ListParagraph"/>
        <w:spacing w:line="276" w:lineRule="auto"/>
        <w:ind w:left="0"/>
        <w:jc w:val="both"/>
        <w:rPr>
          <w:rFonts w:cs="Segoe UI"/>
          <w:bCs/>
          <w:szCs w:val="24"/>
        </w:rPr>
      </w:pPr>
    </w:p>
    <w:p w:rsidR="00A74DF2" w:rsidRPr="00653828" w:rsidRDefault="007F2F9C" w:rsidP="00CC7C15">
      <w:pPr>
        <w:pStyle w:val="ListParagraph"/>
        <w:spacing w:line="276" w:lineRule="auto"/>
        <w:ind w:left="0"/>
        <w:jc w:val="both"/>
        <w:rPr>
          <w:rFonts w:cs="Segoe UI"/>
          <w:bCs/>
          <w:szCs w:val="24"/>
        </w:rPr>
      </w:pPr>
      <w:r w:rsidRPr="00AF5EF5">
        <w:rPr>
          <w:rFonts w:cs="Segoe UI"/>
          <w:b/>
          <w:bCs/>
          <w:szCs w:val="24"/>
        </w:rPr>
        <w:t>Up-scaling of technology and sustainable input supply</w:t>
      </w:r>
      <w:r>
        <w:rPr>
          <w:rFonts w:cs="Segoe UI"/>
          <w:b/>
          <w:bCs/>
          <w:szCs w:val="24"/>
        </w:rPr>
        <w:t xml:space="preserve">: </w:t>
      </w:r>
      <w:r w:rsidRPr="002F54CA">
        <w:rPr>
          <w:rFonts w:cs="Segoe UI"/>
          <w:bCs/>
          <w:szCs w:val="24"/>
        </w:rPr>
        <w:t xml:space="preserve">A programme of local adaptive research is needed, to build better bridges between research and local initiatives such as farmers field schools, supported by a network of extension staff, locally-based scientists and farmer field school facilitators. </w:t>
      </w:r>
      <w:r w:rsidR="00065D01" w:rsidRPr="002F54CA">
        <w:rPr>
          <w:rFonts w:cs="Segoe UI"/>
          <w:bCs/>
          <w:szCs w:val="24"/>
        </w:rPr>
        <w:t>Programmes</w:t>
      </w:r>
      <w:r w:rsidRPr="002F54CA">
        <w:rPr>
          <w:rFonts w:cs="Segoe UI"/>
          <w:bCs/>
          <w:szCs w:val="24"/>
        </w:rPr>
        <w:t xml:space="preserve"> and incentives are needed to develop the agro-inputs sector.</w:t>
      </w:r>
    </w:p>
    <w:p w:rsidR="007F2F9C" w:rsidRPr="00A93B2A" w:rsidRDefault="007F2F9C" w:rsidP="00CC7C15">
      <w:pPr>
        <w:pStyle w:val="ListParagraph"/>
        <w:spacing w:line="276" w:lineRule="auto"/>
        <w:ind w:left="0"/>
        <w:jc w:val="both"/>
        <w:rPr>
          <w:rFonts w:cs="Segoe UI"/>
          <w:szCs w:val="24"/>
        </w:rPr>
      </w:pPr>
      <w:r w:rsidRPr="00AF5EF5">
        <w:rPr>
          <w:rFonts w:cs="Segoe UI"/>
          <w:b/>
          <w:bCs/>
          <w:szCs w:val="24"/>
        </w:rPr>
        <w:t>Marketing and value chain development</w:t>
      </w:r>
      <w:r>
        <w:rPr>
          <w:rFonts w:cs="Segoe UI"/>
          <w:b/>
          <w:bCs/>
          <w:szCs w:val="24"/>
        </w:rPr>
        <w:t xml:space="preserve">: </w:t>
      </w:r>
      <w:r w:rsidRPr="002F54CA">
        <w:rPr>
          <w:rFonts w:cs="Segoe UI"/>
          <w:iCs/>
          <w:szCs w:val="24"/>
        </w:rPr>
        <w:t>HDC, LGED, DAM and AIS need to promote development of market infrastructure (market sheds, storage infrastructure, sanitary facilities, etc) construction of link roads, improvement of transportation and market information systems. SME and household based agro-processing need to be promoted by CHTDB, HDC and BSCIC and line departments.</w:t>
      </w:r>
      <w:bookmarkStart w:id="636" w:name="_Toc421182967"/>
      <w:bookmarkStart w:id="637" w:name="_Toc439144701"/>
    </w:p>
    <w:p w:rsidR="00000000" w:rsidRDefault="007F2F9C" w:rsidP="003D5A31">
      <w:pPr>
        <w:pStyle w:val="BodyText"/>
        <w:numPr>
          <w:ilvl w:val="2"/>
          <w:numId w:val="238"/>
        </w:numPr>
        <w:spacing w:after="240" w:line="276" w:lineRule="auto"/>
        <w:jc w:val="both"/>
        <w:rPr>
          <w:rFonts w:cs="Times New Roman"/>
          <w:b/>
          <w:szCs w:val="24"/>
        </w:rPr>
      </w:pPr>
      <w:r>
        <w:rPr>
          <w:rFonts w:cs="Times New Roman"/>
          <w:b/>
          <w:szCs w:val="24"/>
        </w:rPr>
        <w:t>Rivers and Estuaries</w:t>
      </w:r>
      <w:r w:rsidR="00276834">
        <w:rPr>
          <w:rFonts w:cs="Times New Roman"/>
          <w:b/>
          <w:szCs w:val="24"/>
        </w:rPr>
        <w:t xml:space="preserve"> Hotspot</w:t>
      </w:r>
    </w:p>
    <w:p w:rsidR="007F2F9C" w:rsidRDefault="007F2F9C" w:rsidP="00A85EEE">
      <w:pPr>
        <w:pStyle w:val="BodyText"/>
        <w:spacing w:after="240" w:line="276" w:lineRule="auto"/>
        <w:jc w:val="both"/>
        <w:rPr>
          <w:rFonts w:cs="Times New Roman"/>
          <w:szCs w:val="24"/>
        </w:rPr>
      </w:pPr>
      <w:r w:rsidRPr="0094379A">
        <w:rPr>
          <w:rFonts w:cs="Times New Roman"/>
          <w:szCs w:val="24"/>
        </w:rPr>
        <w:t xml:space="preserve">Major rivers, including the Ganges, the Brahmaputra-Jamuna, the Padma and the Meghna and their numerous tributaries and distributaries made Bangladesh a land of rivers, building the Bengal Delta, one of the largest of its kind. </w:t>
      </w:r>
      <w:r>
        <w:rPr>
          <w:rFonts w:cs="Times New Roman"/>
          <w:szCs w:val="24"/>
        </w:rPr>
        <w:t>Though agricultural activity is mainly reliant on</w:t>
      </w:r>
      <w:r w:rsidRPr="000709F6">
        <w:rPr>
          <w:rFonts w:cs="Times New Roman"/>
          <w:szCs w:val="24"/>
        </w:rPr>
        <w:t xml:space="preserve"> land </w:t>
      </w:r>
      <w:r w:rsidRPr="000709F6">
        <w:rPr>
          <w:rFonts w:cs="Times New Roman"/>
          <w:szCs w:val="24"/>
        </w:rPr>
        <w:lastRenderedPageBreak/>
        <w:t xml:space="preserve">resources for living and </w:t>
      </w:r>
      <w:r>
        <w:rPr>
          <w:rFonts w:cs="Times New Roman"/>
          <w:szCs w:val="24"/>
        </w:rPr>
        <w:t>farming, it</w:t>
      </w:r>
      <w:r w:rsidRPr="000709F6">
        <w:rPr>
          <w:rFonts w:cs="Times New Roman"/>
          <w:szCs w:val="24"/>
        </w:rPr>
        <w:t xml:space="preserve"> is dependent on river system for irrigation and drainage</w:t>
      </w:r>
      <w:r>
        <w:rPr>
          <w:rFonts w:cs="Times New Roman"/>
          <w:szCs w:val="24"/>
        </w:rPr>
        <w:t>, and sweet water fisheries</w:t>
      </w:r>
      <w:r w:rsidRPr="000709F6">
        <w:rPr>
          <w:rFonts w:cs="Times New Roman"/>
          <w:szCs w:val="24"/>
        </w:rPr>
        <w:t xml:space="preserve">. </w:t>
      </w:r>
      <w:r w:rsidR="0003360E">
        <w:rPr>
          <w:rFonts w:cs="Times New Roman"/>
          <w:szCs w:val="24"/>
        </w:rPr>
        <w:t xml:space="preserve"> </w:t>
      </w:r>
      <w:r w:rsidRPr="000709F6">
        <w:rPr>
          <w:rFonts w:cs="Times New Roman"/>
          <w:szCs w:val="24"/>
        </w:rPr>
        <w:t>A large number of rural people are depe</w:t>
      </w:r>
      <w:r>
        <w:rPr>
          <w:rFonts w:cs="Times New Roman"/>
          <w:szCs w:val="24"/>
        </w:rPr>
        <w:t>ndent on rivers for their livelihood as fisherman, boatman and</w:t>
      </w:r>
      <w:r w:rsidRPr="000709F6">
        <w:rPr>
          <w:rFonts w:cs="Times New Roman"/>
          <w:szCs w:val="24"/>
        </w:rPr>
        <w:t xml:space="preserve"> other business activities. Moreover, the river system also plays an important role as the </w:t>
      </w:r>
      <w:r>
        <w:rPr>
          <w:rFonts w:cs="Times New Roman"/>
          <w:szCs w:val="24"/>
        </w:rPr>
        <w:t xml:space="preserve">source of </w:t>
      </w:r>
      <w:r w:rsidRPr="000709F6">
        <w:rPr>
          <w:rFonts w:cs="Times New Roman"/>
          <w:szCs w:val="24"/>
        </w:rPr>
        <w:t xml:space="preserve">water supply in the urban areas and the industrial sector is heavily dependent on the river </w:t>
      </w:r>
      <w:r>
        <w:rPr>
          <w:rFonts w:cs="Times New Roman"/>
          <w:szCs w:val="24"/>
        </w:rPr>
        <w:t>for water and discharge of industrial waste</w:t>
      </w:r>
      <w:r w:rsidRPr="000709F6">
        <w:rPr>
          <w:rFonts w:cs="Times New Roman"/>
          <w:szCs w:val="24"/>
        </w:rPr>
        <w:t xml:space="preserve">. </w:t>
      </w:r>
      <w:r>
        <w:rPr>
          <w:rFonts w:cs="Times New Roman"/>
          <w:szCs w:val="24"/>
        </w:rPr>
        <w:t>These rivers are an import</w:t>
      </w:r>
      <w:r w:rsidR="0003360E">
        <w:rPr>
          <w:rFonts w:cs="Times New Roman"/>
          <w:szCs w:val="24"/>
        </w:rPr>
        <w:t>ant</w:t>
      </w:r>
      <w:r>
        <w:rPr>
          <w:rFonts w:cs="Times New Roman"/>
          <w:szCs w:val="24"/>
        </w:rPr>
        <w:t xml:space="preserve"> means of transport and navigation facilitating intra-district movement of passengers and cargo.</w:t>
      </w:r>
    </w:p>
    <w:p w:rsidR="006B1074" w:rsidRDefault="007F2F9C" w:rsidP="00A85EEE">
      <w:pPr>
        <w:pStyle w:val="BodyText"/>
        <w:spacing w:after="240" w:line="276" w:lineRule="auto"/>
        <w:jc w:val="both"/>
        <w:rPr>
          <w:rFonts w:cs="Times New Roman"/>
          <w:szCs w:val="24"/>
        </w:rPr>
      </w:pPr>
      <w:r>
        <w:rPr>
          <w:rFonts w:cs="Times New Roman"/>
          <w:szCs w:val="24"/>
        </w:rPr>
        <w:t xml:space="preserve">The population of many of the districts in river and estuaries are highly vulnerable to river flooding and river erosion.  Some of the poorest districts are located in this region, including the poorest of the poor district Kurigram.  </w:t>
      </w:r>
      <w:r w:rsidR="0003360E">
        <w:rPr>
          <w:rFonts w:cs="Times New Roman"/>
          <w:szCs w:val="24"/>
        </w:rPr>
        <w:t xml:space="preserve">Many of the poor including in Kurigram live on char land formed from river siltation. These char lands get inundated almost on a yearly basis during the monsoon season causing tremendous human sufferings.  </w:t>
      </w:r>
      <w:r>
        <w:rPr>
          <w:rFonts w:cs="Times New Roman"/>
          <w:szCs w:val="24"/>
        </w:rPr>
        <w:t>Agriculture is the main stay of the inhabitants and river floodi</w:t>
      </w:r>
      <w:r w:rsidR="0003360E">
        <w:rPr>
          <w:rFonts w:cs="Times New Roman"/>
          <w:szCs w:val="24"/>
        </w:rPr>
        <w:t>ng and erosion causes huge</w:t>
      </w:r>
      <w:r>
        <w:rPr>
          <w:rFonts w:cs="Times New Roman"/>
          <w:szCs w:val="24"/>
        </w:rPr>
        <w:t xml:space="preserve"> loss of crops, </w:t>
      </w:r>
      <w:r w:rsidR="0003360E">
        <w:rPr>
          <w:rFonts w:cs="Times New Roman"/>
          <w:szCs w:val="24"/>
        </w:rPr>
        <w:t xml:space="preserve">cattle, </w:t>
      </w:r>
      <w:r>
        <w:rPr>
          <w:rFonts w:cs="Times New Roman"/>
          <w:szCs w:val="24"/>
        </w:rPr>
        <w:t xml:space="preserve">homestead and livelihood.  Many of the River and Estuary districts, especially in North-West, have poor infrastructure.  They also have low access to international migration.  </w:t>
      </w:r>
    </w:p>
    <w:p w:rsidR="006B1074" w:rsidRPr="005E63C0" w:rsidRDefault="006B1074" w:rsidP="003838CA">
      <w:pPr>
        <w:pStyle w:val="ListParagraph"/>
        <w:spacing w:line="23" w:lineRule="atLeast"/>
        <w:ind w:left="0"/>
        <w:rPr>
          <w:rFonts w:cs="Segoe UI"/>
          <w:b/>
          <w:bCs/>
          <w:i/>
          <w:szCs w:val="24"/>
        </w:rPr>
      </w:pPr>
      <w:r w:rsidRPr="005E63C0">
        <w:rPr>
          <w:rFonts w:cs="Segoe UI"/>
          <w:b/>
          <w:bCs/>
          <w:i/>
          <w:szCs w:val="24"/>
        </w:rPr>
        <w:t>Strategies for development of agriculture and livelihoods in Rivers and Estuaries Region</w:t>
      </w:r>
    </w:p>
    <w:p w:rsidR="00002E04" w:rsidRDefault="00F64A6A" w:rsidP="00051FC4">
      <w:pPr>
        <w:pStyle w:val="BodyText"/>
        <w:spacing w:after="240" w:line="276" w:lineRule="auto"/>
        <w:jc w:val="both"/>
        <w:rPr>
          <w:rFonts w:cs="Times New Roman"/>
          <w:szCs w:val="24"/>
        </w:rPr>
      </w:pPr>
      <w:r w:rsidRPr="00F64A6A">
        <w:rPr>
          <w:rFonts w:cs="Times New Roman"/>
          <w:szCs w:val="24"/>
          <w:u w:val="single"/>
        </w:rPr>
        <w:t xml:space="preserve">This is the Hotspot that may be described as the food basket of the country, as the region is responsible for producing nearly 9 million MT of rice (27% of total national production) and is the main source of fisheries supply of 2.1 million MT (35% of total national fish catch). High productivity will have to be maintained by proper water resource management, developing flood resistant and climate resilient varieties of cereals. </w:t>
      </w:r>
      <w:r w:rsidR="00F42CBD">
        <w:rPr>
          <w:rFonts w:cs="Times New Roman"/>
          <w:szCs w:val="24"/>
        </w:rPr>
        <w:t xml:space="preserve">The immediate policy challenge in this hotspot is to take safety measures against river flooding and river erosion while supporting the diversification of the economy to provide alternative employment opportunities. Improving river navigation and supporting fishing activities can provide important means of alternative livelihoods.   </w:t>
      </w:r>
      <w:r w:rsidR="006B1074">
        <w:rPr>
          <w:rFonts w:cs="Times New Roman"/>
          <w:szCs w:val="24"/>
        </w:rPr>
        <w:t xml:space="preserve">The critical challenge for long-term policy planning is to develop capacities and make adequate investment to protect and harness the riverine resources in order to augment agricultural production in a sustainable manner. </w:t>
      </w:r>
      <w:r w:rsidR="006B1074" w:rsidRPr="00C470B6">
        <w:rPr>
          <w:rFonts w:cs="Times New Roman"/>
          <w:szCs w:val="24"/>
        </w:rPr>
        <w:t>In most of the countries, large rivers are well trained and countries are benefiting through using river resources</w:t>
      </w:r>
      <w:r w:rsidR="00CC577C">
        <w:rPr>
          <w:rFonts w:cs="Times New Roman"/>
          <w:szCs w:val="24"/>
        </w:rPr>
        <w:t xml:space="preserve"> and keeping flowing water clean</w:t>
      </w:r>
      <w:r w:rsidR="006B1074" w:rsidRPr="00C470B6">
        <w:rPr>
          <w:rFonts w:cs="Times New Roman"/>
          <w:szCs w:val="24"/>
        </w:rPr>
        <w:t>. In Bangladesh this needs to be given careful thought and understanding the river systems is necessary to ensure proper river management.</w:t>
      </w:r>
      <w:r w:rsidR="006B1074" w:rsidRPr="00796A65">
        <w:rPr>
          <w:rFonts w:cs="Times New Roman"/>
          <w:szCs w:val="24"/>
        </w:rPr>
        <w:t xml:space="preserve"> </w:t>
      </w:r>
    </w:p>
    <w:p w:rsidR="00000000" w:rsidRDefault="007F2F9C" w:rsidP="003D5A31">
      <w:pPr>
        <w:pStyle w:val="BodyText"/>
        <w:numPr>
          <w:ilvl w:val="2"/>
          <w:numId w:val="238"/>
        </w:numPr>
        <w:spacing w:after="240" w:line="276" w:lineRule="auto"/>
        <w:jc w:val="both"/>
        <w:rPr>
          <w:rFonts w:cs="Times New Roman"/>
          <w:b/>
          <w:szCs w:val="24"/>
        </w:rPr>
      </w:pPr>
      <w:r>
        <w:rPr>
          <w:rFonts w:cs="Times New Roman"/>
          <w:b/>
          <w:szCs w:val="24"/>
        </w:rPr>
        <w:t>Barind and Drought –Prone Region</w:t>
      </w:r>
    </w:p>
    <w:p w:rsidR="000277E4" w:rsidRPr="001C19B5" w:rsidRDefault="000277E4" w:rsidP="00051FC4">
      <w:pPr>
        <w:pStyle w:val="BodyText"/>
        <w:spacing w:after="240" w:line="276" w:lineRule="auto"/>
        <w:jc w:val="both"/>
      </w:pPr>
      <w:r w:rsidRPr="00E65A93">
        <w:rPr>
          <w:rFonts w:cs="Times New Roman"/>
          <w:szCs w:val="24"/>
        </w:rPr>
        <w:t>The</w:t>
      </w:r>
      <w:r w:rsidRPr="00E65A93">
        <w:rPr>
          <w:rFonts w:cs="Times New Roman"/>
          <w:spacing w:val="-4"/>
          <w:szCs w:val="24"/>
        </w:rPr>
        <w:t xml:space="preserve"> </w:t>
      </w:r>
      <w:r w:rsidRPr="00E65A93">
        <w:rPr>
          <w:rFonts w:cs="Times New Roman"/>
          <w:szCs w:val="24"/>
        </w:rPr>
        <w:t>Barind</w:t>
      </w:r>
      <w:r w:rsidRPr="00E65A93">
        <w:rPr>
          <w:rFonts w:cs="Times New Roman"/>
          <w:spacing w:val="-7"/>
          <w:szCs w:val="24"/>
        </w:rPr>
        <w:t xml:space="preserve"> </w:t>
      </w:r>
      <w:r w:rsidRPr="00E65A93">
        <w:rPr>
          <w:rFonts w:cs="Times New Roman"/>
          <w:szCs w:val="24"/>
        </w:rPr>
        <w:t>Tract</w:t>
      </w:r>
      <w:r>
        <w:rPr>
          <w:rFonts w:cs="Times New Roman"/>
          <w:spacing w:val="-4"/>
          <w:szCs w:val="24"/>
        </w:rPr>
        <w:t xml:space="preserve"> </w:t>
      </w:r>
      <w:r w:rsidRPr="00E65A93">
        <w:rPr>
          <w:rFonts w:cs="Times New Roman"/>
          <w:szCs w:val="24"/>
        </w:rPr>
        <w:t>of</w:t>
      </w:r>
      <w:r w:rsidRPr="00E65A93">
        <w:rPr>
          <w:rFonts w:cs="Times New Roman"/>
          <w:spacing w:val="-4"/>
          <w:szCs w:val="24"/>
        </w:rPr>
        <w:t xml:space="preserve"> </w:t>
      </w:r>
      <w:r w:rsidRPr="00E65A93">
        <w:rPr>
          <w:rFonts w:cs="Times New Roman"/>
          <w:szCs w:val="24"/>
        </w:rPr>
        <w:t>northwest</w:t>
      </w:r>
      <w:r w:rsidRPr="00E65A93">
        <w:rPr>
          <w:rFonts w:cs="Times New Roman"/>
          <w:spacing w:val="-4"/>
          <w:szCs w:val="24"/>
        </w:rPr>
        <w:t xml:space="preserve"> </w:t>
      </w:r>
      <w:r w:rsidRPr="00E65A93">
        <w:rPr>
          <w:rFonts w:cs="Times New Roman"/>
          <w:szCs w:val="24"/>
        </w:rPr>
        <w:t>Bangladesh</w:t>
      </w:r>
      <w:r w:rsidRPr="00E65A93">
        <w:rPr>
          <w:rFonts w:cs="Times New Roman"/>
          <w:spacing w:val="-4"/>
          <w:szCs w:val="24"/>
        </w:rPr>
        <w:t xml:space="preserve"> </w:t>
      </w:r>
      <w:r w:rsidRPr="00E65A93">
        <w:rPr>
          <w:rFonts w:cs="Times New Roman"/>
          <w:szCs w:val="24"/>
        </w:rPr>
        <w:t>is</w:t>
      </w:r>
      <w:r w:rsidRPr="00E65A93">
        <w:rPr>
          <w:rFonts w:cs="Times New Roman"/>
          <w:spacing w:val="-4"/>
          <w:szCs w:val="24"/>
        </w:rPr>
        <w:t xml:space="preserve"> </w:t>
      </w:r>
      <w:r w:rsidRPr="00E65A93">
        <w:rPr>
          <w:rFonts w:cs="Times New Roman"/>
          <w:szCs w:val="24"/>
        </w:rPr>
        <w:t>an</w:t>
      </w:r>
      <w:r w:rsidRPr="00E65A93">
        <w:rPr>
          <w:rFonts w:cs="Times New Roman"/>
          <w:spacing w:val="-4"/>
          <w:szCs w:val="24"/>
        </w:rPr>
        <w:t xml:space="preserve"> </w:t>
      </w:r>
      <w:r w:rsidRPr="00E65A93">
        <w:rPr>
          <w:rFonts w:cs="Times New Roman"/>
          <w:szCs w:val="24"/>
        </w:rPr>
        <w:t>area</w:t>
      </w:r>
      <w:r w:rsidRPr="00E65A93">
        <w:rPr>
          <w:rFonts w:cs="Times New Roman"/>
          <w:spacing w:val="-4"/>
          <w:szCs w:val="24"/>
        </w:rPr>
        <w:t xml:space="preserve"> </w:t>
      </w:r>
      <w:r w:rsidRPr="00E65A93">
        <w:rPr>
          <w:rFonts w:cs="Times New Roman"/>
          <w:szCs w:val="24"/>
        </w:rPr>
        <w:t>of</w:t>
      </w:r>
      <w:r w:rsidRPr="00E65A93">
        <w:rPr>
          <w:rFonts w:cs="Times New Roman"/>
          <w:spacing w:val="-4"/>
          <w:szCs w:val="24"/>
        </w:rPr>
        <w:t xml:space="preserve"> </w:t>
      </w:r>
      <w:r w:rsidRPr="00E65A93">
        <w:rPr>
          <w:rFonts w:cs="Times New Roman"/>
          <w:szCs w:val="24"/>
        </w:rPr>
        <w:t>low</w:t>
      </w:r>
      <w:r w:rsidRPr="00E65A93">
        <w:rPr>
          <w:rFonts w:cs="Times New Roman"/>
          <w:spacing w:val="-4"/>
          <w:szCs w:val="24"/>
        </w:rPr>
        <w:t xml:space="preserve"> </w:t>
      </w:r>
      <w:r w:rsidRPr="00E65A93">
        <w:rPr>
          <w:rFonts w:cs="Times New Roman"/>
          <w:szCs w:val="24"/>
        </w:rPr>
        <w:t>and</w:t>
      </w:r>
      <w:r w:rsidRPr="00E65A93">
        <w:rPr>
          <w:rFonts w:cs="Times New Roman"/>
          <w:spacing w:val="-4"/>
          <w:szCs w:val="24"/>
        </w:rPr>
        <w:t xml:space="preserve"> </w:t>
      </w:r>
      <w:r w:rsidRPr="00E65A93">
        <w:rPr>
          <w:rFonts w:cs="Times New Roman"/>
          <w:szCs w:val="24"/>
        </w:rPr>
        <w:t>erratic</w:t>
      </w:r>
      <w:r w:rsidRPr="00E65A93">
        <w:rPr>
          <w:rFonts w:cs="Times New Roman"/>
          <w:spacing w:val="-4"/>
          <w:szCs w:val="24"/>
        </w:rPr>
        <w:t xml:space="preserve"> </w:t>
      </w:r>
      <w:r w:rsidRPr="00E65A93">
        <w:rPr>
          <w:rFonts w:cs="Times New Roman"/>
          <w:szCs w:val="24"/>
        </w:rPr>
        <w:t>rainfall w</w:t>
      </w:r>
      <w:r w:rsidR="00002E04">
        <w:rPr>
          <w:rFonts w:cs="Times New Roman"/>
          <w:szCs w:val="24"/>
        </w:rPr>
        <w:t xml:space="preserve">ith limited surface water. </w:t>
      </w:r>
      <w:r w:rsidRPr="00E65A93">
        <w:rPr>
          <w:rFonts w:cs="Times New Roman"/>
          <w:szCs w:val="24"/>
        </w:rPr>
        <w:t xml:space="preserve">Farmers there largely rely on rainfed cropping but face problems of late transplanting of </w:t>
      </w:r>
      <w:r w:rsidRPr="00E65A93">
        <w:rPr>
          <w:rFonts w:cs="Times New Roman"/>
          <w:i/>
          <w:szCs w:val="24"/>
        </w:rPr>
        <w:t>aman-</w:t>
      </w:r>
      <w:r w:rsidRPr="00E65A93">
        <w:rPr>
          <w:rFonts w:cs="Times New Roman"/>
          <w:szCs w:val="24"/>
        </w:rPr>
        <w:t>seas</w:t>
      </w:r>
      <w:r>
        <w:rPr>
          <w:rFonts w:cs="Times New Roman"/>
          <w:szCs w:val="24"/>
        </w:rPr>
        <w:t>on rice when the monsoon is de</w:t>
      </w:r>
      <w:r w:rsidRPr="00E65A93">
        <w:rPr>
          <w:rFonts w:cs="Times New Roman"/>
          <w:szCs w:val="24"/>
        </w:rPr>
        <w:t xml:space="preserve">layed or low yields when drought sets in during the booting stage of the rice crop in </w:t>
      </w:r>
      <w:r w:rsidRPr="00E65A93">
        <w:rPr>
          <w:rFonts w:cs="Times New Roman"/>
          <w:spacing w:val="-3"/>
          <w:szCs w:val="24"/>
        </w:rPr>
        <w:t xml:space="preserve">October. </w:t>
      </w:r>
      <w:r w:rsidR="00002E04">
        <w:rPr>
          <w:rFonts w:cs="Times New Roman"/>
          <w:spacing w:val="-3"/>
          <w:szCs w:val="24"/>
        </w:rPr>
        <w:t xml:space="preserve">Historically, </w:t>
      </w:r>
      <w:r w:rsidR="00002E04">
        <w:rPr>
          <w:rFonts w:cs="Times New Roman"/>
          <w:szCs w:val="24"/>
        </w:rPr>
        <w:t>this region has been</w:t>
      </w:r>
      <w:r>
        <w:rPr>
          <w:rFonts w:cs="Times New Roman"/>
          <w:szCs w:val="24"/>
        </w:rPr>
        <w:t xml:space="preserve"> afflicted with severe droughts in the off-m</w:t>
      </w:r>
      <w:r w:rsidR="00002E04">
        <w:rPr>
          <w:rFonts w:cs="Times New Roman"/>
          <w:szCs w:val="24"/>
        </w:rPr>
        <w:t xml:space="preserve">onsoon period </w:t>
      </w:r>
      <w:r>
        <w:rPr>
          <w:rFonts w:cs="Times New Roman"/>
          <w:szCs w:val="24"/>
        </w:rPr>
        <w:t>causing serious disruptions to agricultural activity and livelihoods</w:t>
      </w:r>
      <w:r w:rsidRPr="00E65A93">
        <w:t xml:space="preserve">. </w:t>
      </w:r>
      <w:r w:rsidRPr="00E65A93">
        <w:rPr>
          <w:rFonts w:cs="Times New Roman"/>
          <w:szCs w:val="24"/>
        </w:rPr>
        <w:t xml:space="preserve">It has therefore been a priority to identify agricultural practices for the Barind that allow increased production in a marginal rainfall environment while at the same time </w:t>
      </w:r>
      <w:r w:rsidRPr="00E65A93">
        <w:rPr>
          <w:rFonts w:cs="Times New Roman"/>
          <w:szCs w:val="24"/>
        </w:rPr>
        <w:lastRenderedPageBreak/>
        <w:t xml:space="preserve">improving the efficiency with which inputs, particularly labor, are used. </w:t>
      </w:r>
      <w:r w:rsidRPr="00E65A93">
        <w:rPr>
          <w:rFonts w:cs="Times New Roman"/>
          <w:spacing w:val="-7"/>
          <w:szCs w:val="24"/>
        </w:rPr>
        <w:t xml:space="preserve">To </w:t>
      </w:r>
      <w:r w:rsidRPr="00E65A93">
        <w:rPr>
          <w:rFonts w:cs="Times New Roman"/>
          <w:szCs w:val="24"/>
        </w:rPr>
        <w:t>ensure that farmers have a productive aman</w:t>
      </w:r>
      <w:r w:rsidRPr="00E65A93">
        <w:rPr>
          <w:rFonts w:cs="Times New Roman"/>
          <w:spacing w:val="-19"/>
          <w:szCs w:val="24"/>
        </w:rPr>
        <w:t xml:space="preserve"> </w:t>
      </w:r>
      <w:r w:rsidRPr="00E65A93">
        <w:rPr>
          <w:rFonts w:cs="Times New Roman"/>
          <w:szCs w:val="24"/>
        </w:rPr>
        <w:t>rice</w:t>
      </w:r>
      <w:r w:rsidRPr="00E65A93">
        <w:rPr>
          <w:rFonts w:cs="Times New Roman"/>
          <w:spacing w:val="-19"/>
          <w:szCs w:val="24"/>
        </w:rPr>
        <w:t xml:space="preserve"> </w:t>
      </w:r>
      <w:r w:rsidRPr="00E65A93">
        <w:rPr>
          <w:rFonts w:cs="Times New Roman"/>
          <w:szCs w:val="24"/>
        </w:rPr>
        <w:t>and</w:t>
      </w:r>
      <w:r w:rsidRPr="00E65A93">
        <w:rPr>
          <w:rFonts w:cs="Times New Roman"/>
          <w:spacing w:val="-19"/>
          <w:szCs w:val="24"/>
        </w:rPr>
        <w:t xml:space="preserve"> </w:t>
      </w:r>
      <w:r w:rsidRPr="00E65A93">
        <w:rPr>
          <w:rFonts w:cs="Times New Roman"/>
          <w:szCs w:val="24"/>
        </w:rPr>
        <w:t>rabi</w:t>
      </w:r>
      <w:r w:rsidRPr="00E65A93">
        <w:rPr>
          <w:rFonts w:cs="Times New Roman"/>
          <w:spacing w:val="-19"/>
          <w:szCs w:val="24"/>
        </w:rPr>
        <w:t xml:space="preserve"> </w:t>
      </w:r>
      <w:r w:rsidRPr="00E65A93">
        <w:rPr>
          <w:rFonts w:cs="Times New Roman"/>
          <w:szCs w:val="24"/>
        </w:rPr>
        <w:t>system,</w:t>
      </w:r>
      <w:r w:rsidRPr="00E65A93">
        <w:rPr>
          <w:rFonts w:cs="Times New Roman"/>
          <w:spacing w:val="-19"/>
          <w:szCs w:val="24"/>
        </w:rPr>
        <w:t xml:space="preserve"> </w:t>
      </w:r>
      <w:r w:rsidRPr="00E65A93">
        <w:rPr>
          <w:rFonts w:cs="Times New Roman"/>
          <w:szCs w:val="24"/>
        </w:rPr>
        <w:t>research</w:t>
      </w:r>
      <w:r w:rsidRPr="00E65A93">
        <w:rPr>
          <w:rFonts w:cs="Times New Roman"/>
          <w:spacing w:val="-19"/>
          <w:szCs w:val="24"/>
        </w:rPr>
        <w:t xml:space="preserve"> </w:t>
      </w:r>
      <w:r w:rsidRPr="00E65A93">
        <w:rPr>
          <w:rFonts w:cs="Times New Roman"/>
          <w:szCs w:val="24"/>
        </w:rPr>
        <w:t>efforts</w:t>
      </w:r>
      <w:r w:rsidRPr="00E65A93">
        <w:rPr>
          <w:rFonts w:cs="Times New Roman"/>
          <w:spacing w:val="-19"/>
          <w:szCs w:val="24"/>
        </w:rPr>
        <w:t xml:space="preserve"> </w:t>
      </w:r>
      <w:r w:rsidRPr="00E65A93">
        <w:rPr>
          <w:rFonts w:cs="Times New Roman"/>
          <w:szCs w:val="24"/>
        </w:rPr>
        <w:t>have</w:t>
      </w:r>
      <w:r w:rsidRPr="00E65A93">
        <w:rPr>
          <w:rFonts w:cs="Times New Roman"/>
          <w:spacing w:val="-19"/>
          <w:szCs w:val="24"/>
        </w:rPr>
        <w:t xml:space="preserve"> </w:t>
      </w:r>
      <w:r w:rsidRPr="00E65A93">
        <w:rPr>
          <w:rFonts w:cs="Times New Roman"/>
          <w:szCs w:val="24"/>
        </w:rPr>
        <w:t>for</w:t>
      </w:r>
      <w:r w:rsidRPr="00E65A93">
        <w:rPr>
          <w:rFonts w:cs="Times New Roman"/>
          <w:spacing w:val="-19"/>
          <w:szCs w:val="24"/>
        </w:rPr>
        <w:t xml:space="preserve"> </w:t>
      </w:r>
      <w:r w:rsidRPr="00E65A93">
        <w:rPr>
          <w:rFonts w:cs="Times New Roman"/>
          <w:szCs w:val="24"/>
        </w:rPr>
        <w:t>some</w:t>
      </w:r>
      <w:r w:rsidRPr="00E65A93">
        <w:rPr>
          <w:rFonts w:cs="Times New Roman"/>
          <w:spacing w:val="-19"/>
          <w:szCs w:val="24"/>
        </w:rPr>
        <w:t xml:space="preserve"> </w:t>
      </w:r>
      <w:r w:rsidRPr="00E65A93">
        <w:rPr>
          <w:rFonts w:cs="Times New Roman"/>
          <w:szCs w:val="24"/>
        </w:rPr>
        <w:t>years</w:t>
      </w:r>
      <w:r w:rsidRPr="00E65A93">
        <w:rPr>
          <w:rFonts w:cs="Times New Roman"/>
          <w:spacing w:val="-19"/>
          <w:szCs w:val="24"/>
        </w:rPr>
        <w:t xml:space="preserve"> </w:t>
      </w:r>
      <w:r w:rsidRPr="00E65A93">
        <w:rPr>
          <w:rFonts w:cs="Times New Roman"/>
          <w:szCs w:val="24"/>
        </w:rPr>
        <w:t>focused</w:t>
      </w:r>
      <w:r w:rsidRPr="00E65A93">
        <w:rPr>
          <w:rFonts w:cs="Times New Roman"/>
          <w:spacing w:val="-19"/>
          <w:szCs w:val="24"/>
        </w:rPr>
        <w:t xml:space="preserve"> </w:t>
      </w:r>
      <w:r w:rsidRPr="00E65A93">
        <w:rPr>
          <w:rFonts w:cs="Times New Roman"/>
          <w:szCs w:val="24"/>
        </w:rPr>
        <w:t>on</w:t>
      </w:r>
      <w:r w:rsidRPr="00E65A93">
        <w:rPr>
          <w:rFonts w:cs="Times New Roman"/>
          <w:spacing w:val="-19"/>
          <w:szCs w:val="24"/>
        </w:rPr>
        <w:t xml:space="preserve"> </w:t>
      </w:r>
      <w:r w:rsidRPr="00E65A93">
        <w:rPr>
          <w:rFonts w:cs="Times New Roman"/>
          <w:szCs w:val="24"/>
        </w:rPr>
        <w:t>developing cost-e</w:t>
      </w:r>
      <w:r>
        <w:rPr>
          <w:rFonts w:cs="Times New Roman"/>
          <w:szCs w:val="24"/>
        </w:rPr>
        <w:t xml:space="preserve">ffective ways of increasing </w:t>
      </w:r>
      <w:r w:rsidRPr="00E65A93">
        <w:rPr>
          <w:rFonts w:cs="Times New Roman"/>
          <w:szCs w:val="24"/>
        </w:rPr>
        <w:t xml:space="preserve">productivity </w:t>
      </w:r>
      <w:r>
        <w:rPr>
          <w:rFonts w:cs="Times New Roman"/>
          <w:szCs w:val="24"/>
        </w:rPr>
        <w:t xml:space="preserve">by opting for </w:t>
      </w:r>
      <w:r w:rsidRPr="00E65A93">
        <w:rPr>
          <w:rFonts w:cs="Times New Roman"/>
          <w:szCs w:val="24"/>
        </w:rPr>
        <w:t>early-maturing</w:t>
      </w:r>
      <w:r w:rsidRPr="00E65A93">
        <w:rPr>
          <w:rFonts w:cs="Times New Roman"/>
          <w:spacing w:val="-34"/>
          <w:szCs w:val="24"/>
        </w:rPr>
        <w:t xml:space="preserve"> </w:t>
      </w:r>
      <w:r w:rsidRPr="00E65A93">
        <w:rPr>
          <w:rFonts w:cs="Times New Roman"/>
          <w:szCs w:val="24"/>
        </w:rPr>
        <w:t>drought-tolerant</w:t>
      </w:r>
      <w:r w:rsidRPr="00E65A93">
        <w:rPr>
          <w:rFonts w:cs="Times New Roman"/>
          <w:spacing w:val="-34"/>
          <w:szCs w:val="24"/>
        </w:rPr>
        <w:t xml:space="preserve"> </w:t>
      </w:r>
      <w:r w:rsidRPr="00E65A93">
        <w:rPr>
          <w:rFonts w:cs="Times New Roman"/>
          <w:szCs w:val="24"/>
        </w:rPr>
        <w:t>aman</w:t>
      </w:r>
      <w:r w:rsidRPr="00E65A93">
        <w:rPr>
          <w:rFonts w:cs="Times New Roman"/>
          <w:spacing w:val="-34"/>
          <w:szCs w:val="24"/>
        </w:rPr>
        <w:t xml:space="preserve"> </w:t>
      </w:r>
      <w:r w:rsidRPr="00E65A93">
        <w:rPr>
          <w:rFonts w:cs="Times New Roman"/>
          <w:szCs w:val="24"/>
        </w:rPr>
        <w:t>rice</w:t>
      </w:r>
      <w:r w:rsidRPr="00E65A93">
        <w:rPr>
          <w:rFonts w:cs="Times New Roman"/>
          <w:spacing w:val="-34"/>
          <w:szCs w:val="24"/>
        </w:rPr>
        <w:t xml:space="preserve"> </w:t>
      </w:r>
      <w:r w:rsidRPr="00E65A93">
        <w:rPr>
          <w:rFonts w:cs="Times New Roman"/>
          <w:szCs w:val="24"/>
        </w:rPr>
        <w:t>cultivars</w:t>
      </w:r>
      <w:r w:rsidRPr="00E65A93">
        <w:rPr>
          <w:rFonts w:cs="Times New Roman"/>
          <w:spacing w:val="-34"/>
          <w:szCs w:val="24"/>
        </w:rPr>
        <w:t xml:space="preserve"> </w:t>
      </w:r>
      <w:r w:rsidRPr="00E65A93">
        <w:rPr>
          <w:rFonts w:cs="Times New Roman"/>
          <w:szCs w:val="24"/>
        </w:rPr>
        <w:t>and</w:t>
      </w:r>
      <w:r w:rsidRPr="00E65A93">
        <w:rPr>
          <w:rFonts w:cs="Times New Roman"/>
          <w:spacing w:val="-34"/>
          <w:szCs w:val="24"/>
        </w:rPr>
        <w:t xml:space="preserve"> </w:t>
      </w:r>
      <w:r w:rsidRPr="00E65A93">
        <w:rPr>
          <w:rFonts w:cs="Times New Roman"/>
          <w:szCs w:val="24"/>
        </w:rPr>
        <w:t>high-yielding</w:t>
      </w:r>
      <w:r w:rsidRPr="00E65A93">
        <w:rPr>
          <w:rFonts w:cs="Times New Roman"/>
          <w:spacing w:val="-34"/>
          <w:szCs w:val="24"/>
        </w:rPr>
        <w:t xml:space="preserve"> </w:t>
      </w:r>
      <w:r w:rsidRPr="00E65A93">
        <w:rPr>
          <w:rFonts w:cs="Times New Roman"/>
          <w:szCs w:val="24"/>
        </w:rPr>
        <w:t>disease-resistant rabi</w:t>
      </w:r>
      <w:r w:rsidRPr="00E65A93">
        <w:rPr>
          <w:rFonts w:cs="Times New Roman"/>
          <w:spacing w:val="-11"/>
          <w:szCs w:val="24"/>
        </w:rPr>
        <w:t xml:space="preserve"> </w:t>
      </w:r>
      <w:r w:rsidRPr="00E65A93">
        <w:rPr>
          <w:rFonts w:cs="Times New Roman"/>
          <w:szCs w:val="24"/>
        </w:rPr>
        <w:t>crops</w:t>
      </w:r>
      <w:r w:rsidRPr="00E65A93">
        <w:rPr>
          <w:rFonts w:cs="Times New Roman"/>
          <w:spacing w:val="-11"/>
          <w:szCs w:val="24"/>
        </w:rPr>
        <w:t xml:space="preserve"> </w:t>
      </w:r>
      <w:r w:rsidRPr="00E65A93">
        <w:rPr>
          <w:rFonts w:cs="Times New Roman"/>
          <w:szCs w:val="24"/>
        </w:rPr>
        <w:t>such</w:t>
      </w:r>
      <w:r w:rsidRPr="00E65A93">
        <w:rPr>
          <w:rFonts w:cs="Times New Roman"/>
          <w:spacing w:val="-11"/>
          <w:szCs w:val="24"/>
        </w:rPr>
        <w:t xml:space="preserve"> </w:t>
      </w:r>
      <w:r w:rsidRPr="00E65A93">
        <w:rPr>
          <w:rFonts w:cs="Times New Roman"/>
          <w:szCs w:val="24"/>
        </w:rPr>
        <w:t>as</w:t>
      </w:r>
      <w:r w:rsidRPr="00E65A93">
        <w:rPr>
          <w:rFonts w:cs="Times New Roman"/>
          <w:spacing w:val="-11"/>
          <w:szCs w:val="24"/>
        </w:rPr>
        <w:t xml:space="preserve"> </w:t>
      </w:r>
      <w:r w:rsidRPr="00E65A93">
        <w:rPr>
          <w:rFonts w:cs="Times New Roman"/>
          <w:szCs w:val="24"/>
        </w:rPr>
        <w:t>chickpea.</w:t>
      </w:r>
      <w:r w:rsidRPr="00E65A93">
        <w:rPr>
          <w:rFonts w:cs="Times New Roman"/>
          <w:spacing w:val="-11"/>
          <w:szCs w:val="24"/>
        </w:rPr>
        <w:t xml:space="preserve"> </w:t>
      </w:r>
    </w:p>
    <w:p w:rsidR="000277E4" w:rsidRPr="003644F5" w:rsidRDefault="000277E4" w:rsidP="00051FC4">
      <w:pPr>
        <w:pStyle w:val="BodyText"/>
        <w:spacing w:after="240" w:line="276" w:lineRule="auto"/>
        <w:ind w:right="117"/>
        <w:jc w:val="both"/>
        <w:rPr>
          <w:rFonts w:cs="Times New Roman"/>
          <w:szCs w:val="24"/>
        </w:rPr>
      </w:pPr>
      <w:r w:rsidRPr="003644F5">
        <w:rPr>
          <w:rFonts w:cs="Times New Roman"/>
          <w:szCs w:val="24"/>
        </w:rPr>
        <w:t>The use of groundwater for irrigation of boro ric</w:t>
      </w:r>
      <w:r>
        <w:rPr>
          <w:rFonts w:cs="Times New Roman"/>
          <w:szCs w:val="24"/>
        </w:rPr>
        <w:t xml:space="preserve">e in the rabi season has been </w:t>
      </w:r>
      <w:r w:rsidRPr="003644F5">
        <w:rPr>
          <w:rFonts w:cs="Times New Roman"/>
          <w:szCs w:val="24"/>
        </w:rPr>
        <w:t xml:space="preserve">a major policy option contributing to a near threefold increase in rice production in Bangladesh since 1960. </w:t>
      </w:r>
      <w:r w:rsidR="00F64A6A" w:rsidRPr="00F64A6A">
        <w:rPr>
          <w:rFonts w:cs="Times New Roman"/>
          <w:szCs w:val="24"/>
          <w:u w:val="single"/>
        </w:rPr>
        <w:t>Since 1985, the Barind Multipurpose Development Authority (BMDA) has</w:t>
      </w:r>
      <w:r w:rsidR="00F64A6A" w:rsidRPr="00F64A6A">
        <w:rPr>
          <w:rFonts w:cs="Times New Roman"/>
          <w:spacing w:val="-18"/>
          <w:szCs w:val="24"/>
          <w:u w:val="single"/>
        </w:rPr>
        <w:t xml:space="preserve"> </w:t>
      </w:r>
      <w:r w:rsidR="00F64A6A" w:rsidRPr="00F64A6A">
        <w:rPr>
          <w:rFonts w:cs="Times New Roman"/>
          <w:szCs w:val="24"/>
          <w:u w:val="single"/>
        </w:rPr>
        <w:t>installed</w:t>
      </w:r>
      <w:r w:rsidR="00F64A6A" w:rsidRPr="00F64A6A">
        <w:rPr>
          <w:rFonts w:cs="Times New Roman"/>
          <w:spacing w:val="-18"/>
          <w:szCs w:val="24"/>
          <w:u w:val="single"/>
        </w:rPr>
        <w:t xml:space="preserve"> </w:t>
      </w:r>
      <w:r w:rsidR="00F64A6A" w:rsidRPr="00F64A6A">
        <w:rPr>
          <w:rFonts w:cs="Times New Roman"/>
          <w:szCs w:val="24"/>
          <w:u w:val="single"/>
        </w:rPr>
        <w:t>more</w:t>
      </w:r>
      <w:r w:rsidR="00F64A6A" w:rsidRPr="00F64A6A">
        <w:rPr>
          <w:rFonts w:cs="Times New Roman"/>
          <w:spacing w:val="-18"/>
          <w:szCs w:val="24"/>
          <w:u w:val="single"/>
        </w:rPr>
        <w:t xml:space="preserve"> </w:t>
      </w:r>
      <w:r w:rsidR="00F64A6A" w:rsidRPr="00F64A6A">
        <w:rPr>
          <w:rFonts w:cs="Times New Roman"/>
          <w:szCs w:val="24"/>
          <w:u w:val="single"/>
        </w:rPr>
        <w:t>than</w:t>
      </w:r>
      <w:r w:rsidR="00F64A6A" w:rsidRPr="00F64A6A">
        <w:rPr>
          <w:rFonts w:cs="Times New Roman"/>
          <w:spacing w:val="-18"/>
          <w:szCs w:val="24"/>
          <w:u w:val="single"/>
        </w:rPr>
        <w:t xml:space="preserve"> </w:t>
      </w:r>
      <w:r w:rsidR="00F64A6A" w:rsidRPr="00F64A6A">
        <w:rPr>
          <w:rFonts w:cs="Times New Roman"/>
          <w:szCs w:val="24"/>
          <w:u w:val="single"/>
        </w:rPr>
        <w:t>5,000</w:t>
      </w:r>
      <w:r w:rsidR="00F64A6A" w:rsidRPr="00F64A6A">
        <w:rPr>
          <w:rFonts w:cs="Times New Roman"/>
          <w:spacing w:val="-18"/>
          <w:szCs w:val="24"/>
          <w:u w:val="single"/>
        </w:rPr>
        <w:t xml:space="preserve"> </w:t>
      </w:r>
      <w:r w:rsidR="00F64A6A" w:rsidRPr="00F64A6A">
        <w:rPr>
          <w:rFonts w:cs="Times New Roman"/>
          <w:szCs w:val="24"/>
          <w:u w:val="single"/>
        </w:rPr>
        <w:t>deep</w:t>
      </w:r>
      <w:r w:rsidR="00F64A6A" w:rsidRPr="00F64A6A">
        <w:rPr>
          <w:rFonts w:cs="Times New Roman"/>
          <w:spacing w:val="-18"/>
          <w:szCs w:val="24"/>
          <w:u w:val="single"/>
        </w:rPr>
        <w:t xml:space="preserve"> </w:t>
      </w:r>
      <w:r w:rsidR="00F64A6A" w:rsidRPr="00F64A6A">
        <w:rPr>
          <w:rFonts w:cs="Times New Roman"/>
          <w:szCs w:val="24"/>
          <w:u w:val="single"/>
        </w:rPr>
        <w:t>tube</w:t>
      </w:r>
      <w:r w:rsidR="00F64A6A" w:rsidRPr="00F64A6A">
        <w:rPr>
          <w:rFonts w:cs="Times New Roman"/>
          <w:spacing w:val="-18"/>
          <w:szCs w:val="24"/>
          <w:u w:val="single"/>
        </w:rPr>
        <w:t xml:space="preserve"> </w:t>
      </w:r>
      <w:r w:rsidR="00F64A6A" w:rsidRPr="00F64A6A">
        <w:rPr>
          <w:rFonts w:cs="Times New Roman"/>
          <w:szCs w:val="24"/>
          <w:u w:val="single"/>
        </w:rPr>
        <w:t>wells,</w:t>
      </w:r>
      <w:r w:rsidR="00F64A6A" w:rsidRPr="00F64A6A">
        <w:rPr>
          <w:rFonts w:cs="Times New Roman"/>
          <w:spacing w:val="-18"/>
          <w:szCs w:val="24"/>
          <w:u w:val="single"/>
        </w:rPr>
        <w:t xml:space="preserve"> </w:t>
      </w:r>
      <w:r w:rsidR="00F64A6A" w:rsidRPr="00F64A6A">
        <w:rPr>
          <w:rFonts w:cs="Times New Roman"/>
          <w:szCs w:val="24"/>
          <w:u w:val="single"/>
        </w:rPr>
        <w:t>bringing</w:t>
      </w:r>
      <w:r w:rsidR="00F64A6A" w:rsidRPr="00F64A6A">
        <w:rPr>
          <w:rFonts w:cs="Times New Roman"/>
          <w:spacing w:val="-18"/>
          <w:szCs w:val="24"/>
          <w:u w:val="single"/>
        </w:rPr>
        <w:t xml:space="preserve"> </w:t>
      </w:r>
      <w:r w:rsidR="00F64A6A" w:rsidRPr="00F64A6A">
        <w:rPr>
          <w:rFonts w:cs="Times New Roman"/>
          <w:szCs w:val="24"/>
          <w:u w:val="single"/>
        </w:rPr>
        <w:t>162,000</w:t>
      </w:r>
      <w:r w:rsidR="00F64A6A" w:rsidRPr="00F64A6A">
        <w:rPr>
          <w:rFonts w:cs="Times New Roman"/>
          <w:spacing w:val="-18"/>
          <w:szCs w:val="24"/>
          <w:u w:val="single"/>
        </w:rPr>
        <w:t xml:space="preserve"> </w:t>
      </w:r>
      <w:r w:rsidR="00F64A6A" w:rsidRPr="00F64A6A">
        <w:rPr>
          <w:rFonts w:cs="Times New Roman"/>
          <w:szCs w:val="24"/>
          <w:u w:val="single"/>
        </w:rPr>
        <w:t>ha</w:t>
      </w:r>
      <w:r w:rsidR="00F64A6A" w:rsidRPr="00F64A6A">
        <w:rPr>
          <w:rFonts w:cs="Times New Roman"/>
          <w:spacing w:val="-18"/>
          <w:szCs w:val="24"/>
          <w:u w:val="single"/>
        </w:rPr>
        <w:t xml:space="preserve"> </w:t>
      </w:r>
      <w:r w:rsidR="00F64A6A" w:rsidRPr="00F64A6A">
        <w:rPr>
          <w:rFonts w:cs="Times New Roman"/>
          <w:szCs w:val="24"/>
          <w:u w:val="single"/>
        </w:rPr>
        <w:t>under irrigation</w:t>
      </w:r>
      <w:r w:rsidR="00F64A6A" w:rsidRPr="00F64A6A">
        <w:rPr>
          <w:rFonts w:cs="Times New Roman"/>
          <w:spacing w:val="-19"/>
          <w:szCs w:val="24"/>
          <w:u w:val="single"/>
        </w:rPr>
        <w:t xml:space="preserve"> </w:t>
      </w:r>
      <w:r w:rsidR="00F64A6A" w:rsidRPr="00F64A6A">
        <w:rPr>
          <w:rFonts w:cs="Times New Roman"/>
          <w:szCs w:val="24"/>
          <w:u w:val="single"/>
        </w:rPr>
        <w:t>across</w:t>
      </w:r>
      <w:r w:rsidR="00F64A6A" w:rsidRPr="00F64A6A">
        <w:rPr>
          <w:rFonts w:cs="Times New Roman"/>
          <w:spacing w:val="-19"/>
          <w:szCs w:val="24"/>
          <w:u w:val="single"/>
        </w:rPr>
        <w:t xml:space="preserve"> </w:t>
      </w:r>
      <w:r w:rsidR="00F64A6A" w:rsidRPr="00F64A6A">
        <w:rPr>
          <w:rFonts w:cs="Times New Roman"/>
          <w:szCs w:val="24"/>
          <w:u w:val="single"/>
        </w:rPr>
        <w:t>the</w:t>
      </w:r>
      <w:r w:rsidR="00F64A6A" w:rsidRPr="00F64A6A">
        <w:rPr>
          <w:rFonts w:cs="Times New Roman"/>
          <w:spacing w:val="-19"/>
          <w:szCs w:val="24"/>
          <w:u w:val="single"/>
        </w:rPr>
        <w:t xml:space="preserve"> </w:t>
      </w:r>
      <w:r w:rsidR="00F64A6A" w:rsidRPr="00F64A6A">
        <w:rPr>
          <w:rFonts w:cs="Times New Roman"/>
          <w:szCs w:val="24"/>
          <w:u w:val="single"/>
        </w:rPr>
        <w:t>entire</w:t>
      </w:r>
      <w:r w:rsidR="00F64A6A" w:rsidRPr="00F64A6A">
        <w:rPr>
          <w:rFonts w:cs="Times New Roman"/>
          <w:spacing w:val="-19"/>
          <w:szCs w:val="24"/>
          <w:u w:val="single"/>
        </w:rPr>
        <w:t xml:space="preserve"> </w:t>
      </w:r>
      <w:r w:rsidR="00F64A6A" w:rsidRPr="00F64A6A">
        <w:rPr>
          <w:rFonts w:cs="Times New Roman"/>
          <w:szCs w:val="24"/>
          <w:u w:val="single"/>
        </w:rPr>
        <w:t>Barind</w:t>
      </w:r>
      <w:r w:rsidR="00F64A6A" w:rsidRPr="00F64A6A">
        <w:rPr>
          <w:rFonts w:cs="Times New Roman"/>
          <w:spacing w:val="-19"/>
          <w:szCs w:val="24"/>
          <w:u w:val="single"/>
        </w:rPr>
        <w:t xml:space="preserve"> </w:t>
      </w:r>
      <w:r w:rsidR="00F64A6A" w:rsidRPr="00F64A6A">
        <w:rPr>
          <w:rFonts w:cs="Times New Roman"/>
          <w:szCs w:val="24"/>
          <w:u w:val="single"/>
        </w:rPr>
        <w:t>of</w:t>
      </w:r>
      <w:r w:rsidR="00F64A6A" w:rsidRPr="00F64A6A">
        <w:rPr>
          <w:rFonts w:cs="Times New Roman"/>
          <w:spacing w:val="-19"/>
          <w:szCs w:val="24"/>
          <w:u w:val="single"/>
        </w:rPr>
        <w:t xml:space="preserve"> </w:t>
      </w:r>
      <w:r w:rsidR="00F64A6A" w:rsidRPr="00F64A6A">
        <w:rPr>
          <w:rFonts w:cs="Times New Roman"/>
          <w:szCs w:val="24"/>
          <w:u w:val="single"/>
        </w:rPr>
        <w:t xml:space="preserve">Bangladesh. </w:t>
      </w:r>
      <w:r w:rsidRPr="003644F5">
        <w:rPr>
          <w:rFonts w:cs="Times New Roman"/>
          <w:szCs w:val="24"/>
        </w:rPr>
        <w:t>Attempts to increase the p</w:t>
      </w:r>
      <w:r w:rsidR="00002E04">
        <w:rPr>
          <w:rFonts w:cs="Times New Roman"/>
          <w:szCs w:val="24"/>
        </w:rPr>
        <w:t xml:space="preserve">roductivity of the Barind area </w:t>
      </w:r>
      <w:r w:rsidRPr="003644F5">
        <w:rPr>
          <w:rFonts w:cs="Times New Roman"/>
          <w:szCs w:val="24"/>
        </w:rPr>
        <w:t>therefore</w:t>
      </w:r>
      <w:r w:rsidRPr="003644F5">
        <w:rPr>
          <w:rFonts w:cs="Times New Roman"/>
          <w:spacing w:val="-8"/>
          <w:szCs w:val="24"/>
        </w:rPr>
        <w:t xml:space="preserve"> </w:t>
      </w:r>
      <w:r w:rsidRPr="003644F5">
        <w:rPr>
          <w:rFonts w:cs="Times New Roman"/>
          <w:szCs w:val="24"/>
        </w:rPr>
        <w:t>continue</w:t>
      </w:r>
      <w:r w:rsidRPr="003644F5">
        <w:rPr>
          <w:rFonts w:cs="Times New Roman"/>
          <w:spacing w:val="-8"/>
          <w:szCs w:val="24"/>
        </w:rPr>
        <w:t xml:space="preserve"> </w:t>
      </w:r>
      <w:r w:rsidRPr="003644F5">
        <w:rPr>
          <w:rFonts w:cs="Times New Roman"/>
          <w:szCs w:val="24"/>
        </w:rPr>
        <w:t>to</w:t>
      </w:r>
      <w:r w:rsidRPr="003644F5">
        <w:rPr>
          <w:rFonts w:cs="Times New Roman"/>
          <w:spacing w:val="-8"/>
          <w:szCs w:val="24"/>
        </w:rPr>
        <w:t xml:space="preserve"> </w:t>
      </w:r>
      <w:r w:rsidRPr="003644F5">
        <w:rPr>
          <w:rFonts w:cs="Times New Roman"/>
          <w:szCs w:val="24"/>
        </w:rPr>
        <w:t>focus</w:t>
      </w:r>
      <w:r w:rsidRPr="003644F5">
        <w:rPr>
          <w:rFonts w:cs="Times New Roman"/>
          <w:spacing w:val="-8"/>
          <w:szCs w:val="24"/>
        </w:rPr>
        <w:t xml:space="preserve"> </w:t>
      </w:r>
      <w:r w:rsidRPr="003644F5">
        <w:rPr>
          <w:rFonts w:cs="Times New Roman"/>
          <w:szCs w:val="24"/>
        </w:rPr>
        <w:t>on</w:t>
      </w:r>
      <w:r w:rsidRPr="003644F5">
        <w:rPr>
          <w:rFonts w:cs="Times New Roman"/>
          <w:spacing w:val="-8"/>
          <w:szCs w:val="24"/>
        </w:rPr>
        <w:t xml:space="preserve"> </w:t>
      </w:r>
      <w:r w:rsidRPr="003644F5">
        <w:rPr>
          <w:rFonts w:cs="Times New Roman"/>
          <w:szCs w:val="24"/>
        </w:rPr>
        <w:t>rainfed</w:t>
      </w:r>
      <w:r w:rsidRPr="003644F5">
        <w:rPr>
          <w:rFonts w:cs="Times New Roman"/>
          <w:spacing w:val="-8"/>
          <w:szCs w:val="24"/>
        </w:rPr>
        <w:t xml:space="preserve"> </w:t>
      </w:r>
      <w:r w:rsidRPr="003644F5">
        <w:rPr>
          <w:rFonts w:cs="Times New Roman"/>
          <w:szCs w:val="24"/>
        </w:rPr>
        <w:t>lands</w:t>
      </w:r>
      <w:r w:rsidR="00F530BC">
        <w:rPr>
          <w:rFonts w:cs="Times New Roman"/>
          <w:spacing w:val="-8"/>
          <w:szCs w:val="24"/>
        </w:rPr>
        <w:t>, but</w:t>
      </w:r>
      <w:r w:rsidRPr="003644F5">
        <w:rPr>
          <w:rFonts w:cs="Times New Roman"/>
          <w:spacing w:val="-8"/>
          <w:szCs w:val="24"/>
        </w:rPr>
        <w:t xml:space="preserve"> </w:t>
      </w:r>
      <w:r w:rsidRPr="003644F5">
        <w:rPr>
          <w:rFonts w:cs="Times New Roman"/>
          <w:szCs w:val="24"/>
        </w:rPr>
        <w:t>in</w:t>
      </w:r>
      <w:r w:rsidRPr="003644F5">
        <w:rPr>
          <w:rFonts w:cs="Times New Roman"/>
          <w:spacing w:val="-8"/>
          <w:szCs w:val="24"/>
        </w:rPr>
        <w:t xml:space="preserve"> </w:t>
      </w:r>
      <w:r w:rsidRPr="003644F5">
        <w:rPr>
          <w:rFonts w:cs="Times New Roman"/>
          <w:szCs w:val="24"/>
        </w:rPr>
        <w:t>recent</w:t>
      </w:r>
      <w:r w:rsidRPr="003644F5">
        <w:rPr>
          <w:rFonts w:cs="Times New Roman"/>
          <w:spacing w:val="-8"/>
          <w:szCs w:val="24"/>
        </w:rPr>
        <w:t xml:space="preserve"> </w:t>
      </w:r>
      <w:r w:rsidRPr="003644F5">
        <w:rPr>
          <w:rFonts w:cs="Times New Roman"/>
          <w:szCs w:val="24"/>
        </w:rPr>
        <w:t>times</w:t>
      </w:r>
      <w:r w:rsidRPr="003644F5">
        <w:rPr>
          <w:rFonts w:cs="Times New Roman"/>
          <w:spacing w:val="-8"/>
          <w:szCs w:val="24"/>
        </w:rPr>
        <w:t xml:space="preserve"> </w:t>
      </w:r>
      <w:r w:rsidR="00F530BC">
        <w:rPr>
          <w:rFonts w:cs="Times New Roman"/>
          <w:spacing w:val="-8"/>
          <w:szCs w:val="24"/>
        </w:rPr>
        <w:t xml:space="preserve">they </w:t>
      </w:r>
      <w:r w:rsidRPr="003644F5">
        <w:rPr>
          <w:rFonts w:cs="Times New Roman"/>
          <w:szCs w:val="24"/>
        </w:rPr>
        <w:t>have</w:t>
      </w:r>
      <w:r w:rsidRPr="003644F5">
        <w:rPr>
          <w:rFonts w:cs="Times New Roman"/>
          <w:spacing w:val="-8"/>
          <w:szCs w:val="24"/>
        </w:rPr>
        <w:t xml:space="preserve"> </w:t>
      </w:r>
      <w:r w:rsidRPr="003644F5">
        <w:rPr>
          <w:rFonts w:cs="Times New Roman"/>
          <w:szCs w:val="24"/>
        </w:rPr>
        <w:t>aimed</w:t>
      </w:r>
      <w:r w:rsidRPr="003644F5">
        <w:rPr>
          <w:rFonts w:cs="Times New Roman"/>
          <w:spacing w:val="-8"/>
          <w:szCs w:val="24"/>
        </w:rPr>
        <w:t xml:space="preserve"> </w:t>
      </w:r>
      <w:r w:rsidRPr="003644F5">
        <w:rPr>
          <w:rFonts w:cs="Times New Roman"/>
          <w:szCs w:val="24"/>
        </w:rPr>
        <w:t xml:space="preserve">to simultaneously improve the reliability and yield of aman rice while increasing total system productivity by increasing the area planted to </w:t>
      </w:r>
      <w:r w:rsidR="00CC577C">
        <w:rPr>
          <w:rFonts w:cs="Times New Roman"/>
          <w:szCs w:val="24"/>
        </w:rPr>
        <w:t>R</w:t>
      </w:r>
      <w:r w:rsidR="00CC577C" w:rsidRPr="003644F5">
        <w:rPr>
          <w:rFonts w:cs="Times New Roman"/>
          <w:szCs w:val="24"/>
        </w:rPr>
        <w:t>abi</w:t>
      </w:r>
      <w:r w:rsidR="00CC577C" w:rsidRPr="003644F5">
        <w:rPr>
          <w:rFonts w:cs="Times New Roman"/>
          <w:spacing w:val="-9"/>
          <w:szCs w:val="24"/>
        </w:rPr>
        <w:t xml:space="preserve"> </w:t>
      </w:r>
      <w:r w:rsidRPr="003644F5">
        <w:rPr>
          <w:rFonts w:cs="Times New Roman"/>
          <w:szCs w:val="24"/>
        </w:rPr>
        <w:t>crops.</w:t>
      </w:r>
    </w:p>
    <w:p w:rsidR="007F2F9C" w:rsidRPr="005609F7" w:rsidRDefault="000277E4" w:rsidP="00051FC4">
      <w:pPr>
        <w:pStyle w:val="BodyText"/>
        <w:spacing w:after="240" w:line="276" w:lineRule="auto"/>
        <w:jc w:val="both"/>
        <w:rPr>
          <w:rFonts w:cs="Times New Roman"/>
          <w:szCs w:val="24"/>
        </w:rPr>
      </w:pPr>
      <w:r>
        <w:rPr>
          <w:rFonts w:cs="Times New Roman"/>
          <w:szCs w:val="24"/>
        </w:rPr>
        <w:t>Par</w:t>
      </w:r>
      <w:r w:rsidR="00002E04">
        <w:rPr>
          <w:rFonts w:cs="Times New Roman"/>
          <w:szCs w:val="24"/>
        </w:rPr>
        <w:t>t of the problem in the Barind area</w:t>
      </w:r>
      <w:r>
        <w:rPr>
          <w:rFonts w:cs="Times New Roman"/>
          <w:szCs w:val="24"/>
        </w:rPr>
        <w:t xml:space="preserve"> arises from the fact that Bangladesh is a lower riparian country of the </w:t>
      </w:r>
      <w:r w:rsidR="00002E04">
        <w:rPr>
          <w:rFonts w:cs="Times New Roman"/>
          <w:szCs w:val="24"/>
        </w:rPr>
        <w:t>Ganges-Brahmaputra river system.  T</w:t>
      </w:r>
      <w:r>
        <w:rPr>
          <w:rFonts w:cs="Times New Roman"/>
          <w:szCs w:val="24"/>
        </w:rPr>
        <w:t xml:space="preserve">he presence of the Farakka Barrage and other dams or interventions upstream in India have persistently depleted water supplies during those months of the year when rainfall and flood waters are non-existent for meeting the demands of agriculture. The opposite is often the situation during the monsoons when excessive release of water flows from upstream barrages result in severe flooding in farm lands fed by the large river system and its tributaries. From all indications, climate change is expected to exacerbate the problem by making the droughts and flooding more severe over time. </w:t>
      </w:r>
    </w:p>
    <w:p w:rsidR="007F2F9C" w:rsidRPr="005E63C0" w:rsidRDefault="007F2F9C" w:rsidP="003838CA">
      <w:pPr>
        <w:pStyle w:val="ListParagraph"/>
        <w:spacing w:line="23" w:lineRule="atLeast"/>
        <w:ind w:left="0"/>
        <w:rPr>
          <w:rFonts w:cs="Segoe UI"/>
          <w:b/>
          <w:bCs/>
          <w:i/>
          <w:szCs w:val="24"/>
        </w:rPr>
      </w:pPr>
      <w:r w:rsidRPr="005E63C0">
        <w:rPr>
          <w:rFonts w:cs="Segoe UI"/>
          <w:b/>
          <w:bCs/>
          <w:i/>
          <w:szCs w:val="24"/>
        </w:rPr>
        <w:t>Agriculture of the Barind Tract</w:t>
      </w:r>
      <w:r w:rsidR="00F530BC" w:rsidRPr="005E63C0">
        <w:rPr>
          <w:rFonts w:cs="Segoe UI"/>
          <w:b/>
          <w:bCs/>
          <w:i/>
          <w:szCs w:val="24"/>
        </w:rPr>
        <w:t xml:space="preserve"> and Drought-Prone Region</w:t>
      </w:r>
    </w:p>
    <w:p w:rsidR="007F2F9C" w:rsidRPr="00A11AF6" w:rsidRDefault="00F530BC" w:rsidP="00051FC4">
      <w:pPr>
        <w:spacing w:line="276" w:lineRule="auto"/>
        <w:jc w:val="both"/>
        <w:rPr>
          <w:rFonts w:cs="Times New Roman"/>
          <w:szCs w:val="24"/>
        </w:rPr>
      </w:pPr>
      <w:r>
        <w:rPr>
          <w:rFonts w:cs="Times New Roman"/>
          <w:szCs w:val="24"/>
        </w:rPr>
        <w:t>Historically, the v</w:t>
      </w:r>
      <w:r w:rsidR="007F2F9C" w:rsidRPr="00A11AF6">
        <w:rPr>
          <w:rFonts w:cs="Times New Roman"/>
          <w:szCs w:val="24"/>
        </w:rPr>
        <w:t>ariability in total rainfall, timing of onset, and cessation of the rain as well as occurrence of in-sea</w:t>
      </w:r>
      <w:r w:rsidR="00002E04">
        <w:rPr>
          <w:rFonts w:cs="Times New Roman"/>
          <w:szCs w:val="24"/>
        </w:rPr>
        <w:t xml:space="preserve">son drought periods in the </w:t>
      </w:r>
      <w:r w:rsidR="00D60526">
        <w:rPr>
          <w:rFonts w:cs="Times New Roman"/>
          <w:szCs w:val="24"/>
        </w:rPr>
        <w:t>Barind Tract meant</w:t>
      </w:r>
      <w:r w:rsidR="007F2F9C" w:rsidRPr="00A11AF6">
        <w:rPr>
          <w:rFonts w:cs="Times New Roman"/>
          <w:szCs w:val="24"/>
        </w:rPr>
        <w:t xml:space="preserve"> that farmers must use a flexible, opportunistic approach to cropping decisions and experience considerable annual variation in production. Rice in the aus season, either broadcast-seeded or transplanted on early pre-monsoon showers, is im</w:t>
      </w:r>
      <w:r w:rsidR="00002E04">
        <w:rPr>
          <w:rFonts w:cs="Times New Roman"/>
          <w:szCs w:val="24"/>
        </w:rPr>
        <w:t>portant for food security in</w:t>
      </w:r>
      <w:r w:rsidR="007F2F9C" w:rsidRPr="00A11AF6">
        <w:rPr>
          <w:rFonts w:cs="Times New Roman"/>
          <w:szCs w:val="24"/>
        </w:rPr>
        <w:t xml:space="preserve"> September-October prior to harvest of the main aman crop. However, the aus crop may experience drought in April to early June while in wet years seedlings can be damaged by premature flooding. </w:t>
      </w:r>
    </w:p>
    <w:p w:rsidR="00144771" w:rsidRPr="00CC577C" w:rsidRDefault="00D60526" w:rsidP="0055784E">
      <w:pPr>
        <w:pStyle w:val="BodyText"/>
        <w:spacing w:after="240" w:line="276" w:lineRule="auto"/>
        <w:ind w:right="117"/>
        <w:jc w:val="both"/>
        <w:rPr>
          <w:rFonts w:cs="Times New Roman"/>
          <w:szCs w:val="24"/>
          <w:u w:val="single"/>
        </w:rPr>
      </w:pPr>
      <w:r>
        <w:rPr>
          <w:rFonts w:cs="Times New Roman"/>
          <w:szCs w:val="24"/>
        </w:rPr>
        <w:t>Prior to the introduction of groundwater irrigation, t</w:t>
      </w:r>
      <w:r w:rsidR="007F2F9C" w:rsidRPr="00A11AF6">
        <w:rPr>
          <w:rFonts w:cs="Times New Roman"/>
          <w:szCs w:val="24"/>
        </w:rPr>
        <w:t>he ma</w:t>
      </w:r>
      <w:r>
        <w:rPr>
          <w:rFonts w:cs="Times New Roman"/>
          <w:szCs w:val="24"/>
        </w:rPr>
        <w:t>jor cropping pattern of the</w:t>
      </w:r>
      <w:r w:rsidR="007F2F9C" w:rsidRPr="00A11AF6">
        <w:rPr>
          <w:rFonts w:cs="Times New Roman"/>
          <w:szCs w:val="24"/>
        </w:rPr>
        <w:t xml:space="preserve"> Barind Tract </w:t>
      </w:r>
      <w:r>
        <w:rPr>
          <w:rFonts w:cs="Times New Roman"/>
          <w:szCs w:val="24"/>
        </w:rPr>
        <w:t xml:space="preserve">of northwest Bangladesh consisted </w:t>
      </w:r>
      <w:r w:rsidR="007F2F9C" w:rsidRPr="00A11AF6">
        <w:rPr>
          <w:rFonts w:cs="Times New Roman"/>
          <w:szCs w:val="24"/>
        </w:rPr>
        <w:t>of a single crop of transplanted rice</w:t>
      </w:r>
      <w:r w:rsidR="001C19B5">
        <w:rPr>
          <w:rFonts w:cs="Times New Roman"/>
          <w:szCs w:val="24"/>
        </w:rPr>
        <w:t>. This was</w:t>
      </w:r>
      <w:r w:rsidR="007F2F9C" w:rsidRPr="00A11AF6">
        <w:rPr>
          <w:rFonts w:cs="Times New Roman"/>
          <w:szCs w:val="24"/>
        </w:rPr>
        <w:t xml:space="preserve"> grown during the monsoon aman season from June to October, when 80% of the 1,200 to 1,400 m</w:t>
      </w:r>
      <w:r>
        <w:rPr>
          <w:rFonts w:cs="Times New Roman"/>
          <w:szCs w:val="24"/>
        </w:rPr>
        <w:t xml:space="preserve">m annual rainfall </w:t>
      </w:r>
      <w:r w:rsidR="00065D01">
        <w:rPr>
          <w:rFonts w:cs="Times New Roman"/>
          <w:szCs w:val="24"/>
        </w:rPr>
        <w:t>occurred</w:t>
      </w:r>
      <w:r>
        <w:rPr>
          <w:rFonts w:cs="Times New Roman"/>
          <w:szCs w:val="24"/>
        </w:rPr>
        <w:t>. This wa</w:t>
      </w:r>
      <w:r w:rsidR="007F2F9C" w:rsidRPr="00A11AF6">
        <w:rPr>
          <w:rFonts w:cs="Times New Roman"/>
          <w:szCs w:val="24"/>
        </w:rPr>
        <w:t xml:space="preserve">s followed by most land lying fallow during the aus season. </w:t>
      </w:r>
      <w:r w:rsidRPr="003644F5">
        <w:rPr>
          <w:rFonts w:cs="Times New Roman"/>
          <w:szCs w:val="24"/>
        </w:rPr>
        <w:t xml:space="preserve">Since 1985, the Barind Multipurpose Development </w:t>
      </w:r>
      <w:r w:rsidR="005E6D6D">
        <w:rPr>
          <w:rFonts w:cs="Times New Roman"/>
          <w:szCs w:val="24"/>
        </w:rPr>
        <w:t>Authority (BMDA)</w:t>
      </w:r>
      <w:r w:rsidR="005E6D6D" w:rsidRPr="003644F5">
        <w:rPr>
          <w:rFonts w:cs="Times New Roman"/>
          <w:szCs w:val="24"/>
        </w:rPr>
        <w:t xml:space="preserve"> </w:t>
      </w:r>
      <w:r w:rsidRPr="003644F5">
        <w:rPr>
          <w:rFonts w:cs="Times New Roman"/>
          <w:szCs w:val="24"/>
        </w:rPr>
        <w:t>has</w:t>
      </w:r>
      <w:r w:rsidRPr="003644F5">
        <w:rPr>
          <w:rFonts w:cs="Times New Roman"/>
          <w:spacing w:val="-18"/>
          <w:szCs w:val="24"/>
        </w:rPr>
        <w:t xml:space="preserve"> </w:t>
      </w:r>
      <w:r w:rsidRPr="003644F5">
        <w:rPr>
          <w:rFonts w:cs="Times New Roman"/>
          <w:szCs w:val="24"/>
        </w:rPr>
        <w:t>installed</w:t>
      </w:r>
      <w:r w:rsidRPr="003644F5">
        <w:rPr>
          <w:rFonts w:cs="Times New Roman"/>
          <w:spacing w:val="-18"/>
          <w:szCs w:val="24"/>
        </w:rPr>
        <w:t xml:space="preserve"> </w:t>
      </w:r>
      <w:r w:rsidRPr="003644F5">
        <w:rPr>
          <w:rFonts w:cs="Times New Roman"/>
          <w:szCs w:val="24"/>
        </w:rPr>
        <w:t>more</w:t>
      </w:r>
      <w:r w:rsidRPr="003644F5">
        <w:rPr>
          <w:rFonts w:cs="Times New Roman"/>
          <w:spacing w:val="-18"/>
          <w:szCs w:val="24"/>
        </w:rPr>
        <w:t xml:space="preserve"> </w:t>
      </w:r>
      <w:r w:rsidRPr="003644F5">
        <w:rPr>
          <w:rFonts w:cs="Times New Roman"/>
          <w:szCs w:val="24"/>
        </w:rPr>
        <w:t>than</w:t>
      </w:r>
      <w:r w:rsidRPr="003644F5">
        <w:rPr>
          <w:rFonts w:cs="Times New Roman"/>
          <w:spacing w:val="-18"/>
          <w:szCs w:val="24"/>
        </w:rPr>
        <w:t xml:space="preserve"> </w:t>
      </w:r>
      <w:r w:rsidRPr="003644F5">
        <w:rPr>
          <w:rFonts w:cs="Times New Roman"/>
          <w:szCs w:val="24"/>
        </w:rPr>
        <w:t>5,000</w:t>
      </w:r>
      <w:r w:rsidRPr="003644F5">
        <w:rPr>
          <w:rFonts w:cs="Times New Roman"/>
          <w:spacing w:val="-18"/>
          <w:szCs w:val="24"/>
        </w:rPr>
        <w:t xml:space="preserve"> </w:t>
      </w:r>
      <w:r w:rsidRPr="003644F5">
        <w:rPr>
          <w:rFonts w:cs="Times New Roman"/>
          <w:szCs w:val="24"/>
        </w:rPr>
        <w:t>deep</w:t>
      </w:r>
      <w:r w:rsidRPr="003644F5">
        <w:rPr>
          <w:rFonts w:cs="Times New Roman"/>
          <w:spacing w:val="-18"/>
          <w:szCs w:val="24"/>
        </w:rPr>
        <w:t xml:space="preserve"> </w:t>
      </w:r>
      <w:r w:rsidRPr="003644F5">
        <w:rPr>
          <w:rFonts w:cs="Times New Roman"/>
          <w:szCs w:val="24"/>
        </w:rPr>
        <w:t>tube</w:t>
      </w:r>
      <w:r w:rsidRPr="003644F5">
        <w:rPr>
          <w:rFonts w:cs="Times New Roman"/>
          <w:spacing w:val="-18"/>
          <w:szCs w:val="24"/>
        </w:rPr>
        <w:t xml:space="preserve"> </w:t>
      </w:r>
      <w:r w:rsidRPr="003644F5">
        <w:rPr>
          <w:rFonts w:cs="Times New Roman"/>
          <w:szCs w:val="24"/>
        </w:rPr>
        <w:t>wells,</w:t>
      </w:r>
      <w:r w:rsidRPr="003644F5">
        <w:rPr>
          <w:rFonts w:cs="Times New Roman"/>
          <w:spacing w:val="-18"/>
          <w:szCs w:val="24"/>
        </w:rPr>
        <w:t xml:space="preserve"> </w:t>
      </w:r>
      <w:r w:rsidRPr="003644F5">
        <w:rPr>
          <w:rFonts w:cs="Times New Roman"/>
          <w:szCs w:val="24"/>
        </w:rPr>
        <w:t>bringing</w:t>
      </w:r>
      <w:r w:rsidRPr="003644F5">
        <w:rPr>
          <w:rFonts w:cs="Times New Roman"/>
          <w:spacing w:val="-18"/>
          <w:szCs w:val="24"/>
        </w:rPr>
        <w:t xml:space="preserve"> </w:t>
      </w:r>
      <w:r w:rsidRPr="003644F5">
        <w:rPr>
          <w:rFonts w:cs="Times New Roman"/>
          <w:szCs w:val="24"/>
        </w:rPr>
        <w:t>162,000</w:t>
      </w:r>
      <w:r w:rsidRPr="003644F5">
        <w:rPr>
          <w:rFonts w:cs="Times New Roman"/>
          <w:spacing w:val="-18"/>
          <w:szCs w:val="24"/>
        </w:rPr>
        <w:t xml:space="preserve"> </w:t>
      </w:r>
      <w:r w:rsidRPr="003644F5">
        <w:rPr>
          <w:rFonts w:cs="Times New Roman"/>
          <w:szCs w:val="24"/>
        </w:rPr>
        <w:t>ha</w:t>
      </w:r>
      <w:r w:rsidRPr="003644F5">
        <w:rPr>
          <w:rFonts w:cs="Times New Roman"/>
          <w:spacing w:val="-18"/>
          <w:szCs w:val="24"/>
        </w:rPr>
        <w:t xml:space="preserve"> </w:t>
      </w:r>
      <w:r w:rsidRPr="003644F5">
        <w:rPr>
          <w:rFonts w:cs="Times New Roman"/>
          <w:szCs w:val="24"/>
        </w:rPr>
        <w:t>under</w:t>
      </w:r>
      <w:r>
        <w:rPr>
          <w:rFonts w:cs="Times New Roman"/>
          <w:szCs w:val="24"/>
        </w:rPr>
        <w:t xml:space="preserve"> </w:t>
      </w:r>
      <w:r w:rsidRPr="003644F5">
        <w:rPr>
          <w:rFonts w:cs="Times New Roman"/>
          <w:szCs w:val="24"/>
        </w:rPr>
        <w:t>irrigation</w:t>
      </w:r>
      <w:r w:rsidRPr="003644F5">
        <w:rPr>
          <w:rFonts w:cs="Times New Roman"/>
          <w:spacing w:val="-19"/>
          <w:szCs w:val="24"/>
        </w:rPr>
        <w:t xml:space="preserve"> </w:t>
      </w:r>
      <w:r w:rsidRPr="003644F5">
        <w:rPr>
          <w:rFonts w:cs="Times New Roman"/>
          <w:szCs w:val="24"/>
        </w:rPr>
        <w:t>across</w:t>
      </w:r>
      <w:r w:rsidRPr="003644F5">
        <w:rPr>
          <w:rFonts w:cs="Times New Roman"/>
          <w:spacing w:val="-19"/>
          <w:szCs w:val="24"/>
        </w:rPr>
        <w:t xml:space="preserve"> </w:t>
      </w:r>
      <w:r w:rsidRPr="003644F5">
        <w:rPr>
          <w:rFonts w:cs="Times New Roman"/>
          <w:szCs w:val="24"/>
        </w:rPr>
        <w:t>the</w:t>
      </w:r>
      <w:r w:rsidRPr="003644F5">
        <w:rPr>
          <w:rFonts w:cs="Times New Roman"/>
          <w:spacing w:val="-19"/>
          <w:szCs w:val="24"/>
        </w:rPr>
        <w:t xml:space="preserve"> </w:t>
      </w:r>
      <w:r w:rsidRPr="003644F5">
        <w:rPr>
          <w:rFonts w:cs="Times New Roman"/>
          <w:szCs w:val="24"/>
        </w:rPr>
        <w:t>entire</w:t>
      </w:r>
      <w:r w:rsidRPr="003644F5">
        <w:rPr>
          <w:rFonts w:cs="Times New Roman"/>
          <w:spacing w:val="-19"/>
          <w:szCs w:val="24"/>
        </w:rPr>
        <w:t xml:space="preserve"> </w:t>
      </w:r>
      <w:r w:rsidRPr="003644F5">
        <w:rPr>
          <w:rFonts w:cs="Times New Roman"/>
          <w:szCs w:val="24"/>
        </w:rPr>
        <w:t>Barind</w:t>
      </w:r>
      <w:r w:rsidRPr="003644F5">
        <w:rPr>
          <w:rFonts w:cs="Times New Roman"/>
          <w:spacing w:val="-19"/>
          <w:szCs w:val="24"/>
        </w:rPr>
        <w:t xml:space="preserve"> </w:t>
      </w:r>
      <w:r w:rsidRPr="003644F5">
        <w:rPr>
          <w:rFonts w:cs="Times New Roman"/>
          <w:szCs w:val="24"/>
        </w:rPr>
        <w:t>of</w:t>
      </w:r>
      <w:r w:rsidRPr="003644F5">
        <w:rPr>
          <w:rFonts w:cs="Times New Roman"/>
          <w:spacing w:val="-19"/>
          <w:szCs w:val="24"/>
        </w:rPr>
        <w:t xml:space="preserve"> </w:t>
      </w:r>
      <w:r w:rsidRPr="003644F5">
        <w:rPr>
          <w:rFonts w:cs="Times New Roman"/>
          <w:szCs w:val="24"/>
        </w:rPr>
        <w:t xml:space="preserve">Bangladesh. </w:t>
      </w:r>
      <w:r>
        <w:rPr>
          <w:rFonts w:cs="Times New Roman"/>
          <w:szCs w:val="24"/>
        </w:rPr>
        <w:t xml:space="preserve"> This has revolutionized rice production in the Barind and drought-prone hotspot region.  The impact of this irrigation strategy is illustrated in Figure </w:t>
      </w:r>
      <w:r w:rsidR="00025971">
        <w:rPr>
          <w:rFonts w:cs="Times New Roman"/>
          <w:szCs w:val="24"/>
        </w:rPr>
        <w:t>8.</w:t>
      </w:r>
      <w:r w:rsidR="009A2B3D">
        <w:rPr>
          <w:rFonts w:cs="Times New Roman"/>
          <w:szCs w:val="24"/>
        </w:rPr>
        <w:t>8</w:t>
      </w:r>
      <w:r w:rsidR="003900C5">
        <w:rPr>
          <w:rFonts w:cs="Times New Roman"/>
          <w:szCs w:val="24"/>
        </w:rPr>
        <w:t>.  The combination of irrigation a</w:t>
      </w:r>
      <w:r w:rsidR="00680747">
        <w:rPr>
          <w:rFonts w:cs="Times New Roman"/>
          <w:szCs w:val="24"/>
        </w:rPr>
        <w:t>nd adoption of HYV rice has also</w:t>
      </w:r>
      <w:r w:rsidR="003900C5">
        <w:rPr>
          <w:rFonts w:cs="Times New Roman"/>
          <w:szCs w:val="24"/>
        </w:rPr>
        <w:t xml:space="preserve"> contributed to tremendous progress with rice </w:t>
      </w:r>
      <w:r w:rsidR="003900C5">
        <w:rPr>
          <w:rFonts w:cs="Times New Roman"/>
          <w:szCs w:val="24"/>
        </w:rPr>
        <w:lastRenderedPageBreak/>
        <w:t xml:space="preserve">productivity in the Barind area.  The most productive rice is found in some of the dry zone North </w:t>
      </w:r>
      <w:r w:rsidR="00065D01">
        <w:rPr>
          <w:rFonts w:cs="Times New Roman"/>
          <w:szCs w:val="24"/>
        </w:rPr>
        <w:t>Western</w:t>
      </w:r>
      <w:r w:rsidR="003900C5">
        <w:rPr>
          <w:rFonts w:cs="Times New Roman"/>
          <w:szCs w:val="24"/>
        </w:rPr>
        <w:t xml:space="preserve"> districts of Banglade</w:t>
      </w:r>
      <w:r w:rsidR="00680747">
        <w:rPr>
          <w:rFonts w:cs="Times New Roman"/>
          <w:szCs w:val="24"/>
        </w:rPr>
        <w:t xml:space="preserve">sh including Naogaon, Dinajpur, Rangpur, Joypurhat, Panchagarh and Thakurgaon. </w:t>
      </w:r>
      <w:r w:rsidR="00F64A6A" w:rsidRPr="00F64A6A">
        <w:rPr>
          <w:rFonts w:cs="Times New Roman"/>
          <w:szCs w:val="24"/>
          <w:u w:val="single"/>
        </w:rPr>
        <w:t>Of particular mention is the productivity performance of Naogaon that averaged 1.59 MT/acre during FY2010-FY2011, which is the highest in the country and some 30% higher than the national average.</w:t>
      </w:r>
    </w:p>
    <w:p w:rsidR="00051FC4" w:rsidRPr="00CC577C" w:rsidRDefault="00F64A6A" w:rsidP="00A97C23">
      <w:pPr>
        <w:pStyle w:val="Heading5"/>
        <w:rPr>
          <w:u w:val="single"/>
        </w:rPr>
      </w:pPr>
      <w:bookmarkStart w:id="638" w:name="_Toc474639202"/>
      <w:r w:rsidRPr="00F64A6A">
        <w:rPr>
          <w:u w:val="single"/>
        </w:rPr>
        <w:t>Figure 8.8: Share of Barind &amp; Drought Prone Hotspot Rice Production (% National)</w:t>
      </w:r>
      <w:bookmarkEnd w:id="638"/>
    </w:p>
    <w:p w:rsidR="001C19B5" w:rsidRDefault="003900C5" w:rsidP="0002005A">
      <w:pPr>
        <w:spacing w:after="120" w:line="276" w:lineRule="auto"/>
        <w:jc w:val="center"/>
        <w:rPr>
          <w:rFonts w:cs="Times New Roman"/>
          <w:szCs w:val="24"/>
        </w:rPr>
      </w:pPr>
      <w:r>
        <w:rPr>
          <w:noProof/>
          <w:lang w:val="en-AU" w:eastAsia="en-AU" w:bidi="bn-BD"/>
        </w:rPr>
        <w:drawing>
          <wp:inline distT="0" distB="0" distL="0" distR="0">
            <wp:extent cx="5476875" cy="2247900"/>
            <wp:effectExtent l="0" t="0" r="9525" b="1905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B626F4" w:rsidRPr="001C19B5" w:rsidRDefault="001C19B5" w:rsidP="0002005A">
      <w:pPr>
        <w:spacing w:line="240" w:lineRule="auto"/>
        <w:jc w:val="both"/>
        <w:rPr>
          <w:rFonts w:cs="Times New Roman"/>
          <w:szCs w:val="24"/>
        </w:rPr>
      </w:pPr>
      <w:r>
        <w:rPr>
          <w:rFonts w:cs="Times New Roman"/>
          <w:szCs w:val="24"/>
        </w:rPr>
        <w:t xml:space="preserve">                 </w:t>
      </w:r>
      <w:r w:rsidR="00B626F4" w:rsidRPr="00B626F4">
        <w:rPr>
          <w:rFonts w:cs="Times New Roman"/>
          <w:b/>
          <w:i/>
          <w:sz w:val="20"/>
          <w:szCs w:val="24"/>
        </w:rPr>
        <w:t>Source: BBS</w:t>
      </w:r>
    </w:p>
    <w:p w:rsidR="001F4889" w:rsidRDefault="00680747" w:rsidP="00051FC4">
      <w:pPr>
        <w:spacing w:line="276" w:lineRule="auto"/>
        <w:jc w:val="both"/>
        <w:rPr>
          <w:rFonts w:cs="Times New Roman"/>
          <w:szCs w:val="24"/>
        </w:rPr>
      </w:pPr>
      <w:r>
        <w:rPr>
          <w:rFonts w:cs="Times New Roman"/>
          <w:szCs w:val="24"/>
        </w:rPr>
        <w:t>While there is much to celebrate the agricultural successes in the Barind and Drought Prone areas, there are important challenges.  Agricultural productivity</w:t>
      </w:r>
      <w:r w:rsidR="002F599E">
        <w:rPr>
          <w:rFonts w:cs="Times New Roman"/>
          <w:szCs w:val="24"/>
        </w:rPr>
        <w:t xml:space="preserve"> </w:t>
      </w:r>
      <w:r>
        <w:rPr>
          <w:rFonts w:cs="Times New Roman"/>
          <w:szCs w:val="24"/>
        </w:rPr>
        <w:t>growth was</w:t>
      </w:r>
      <w:r w:rsidR="002F599E">
        <w:rPr>
          <w:rFonts w:cs="Times New Roman"/>
          <w:szCs w:val="24"/>
        </w:rPr>
        <w:t xml:space="preserve"> made possible by the rapid adoption of ground water mechanized tubewells under the Barind multi-purpose development project. However, exploitation of ground water has not been matched by recharge of the ground water.  Shortage of rainfall is a problem. Another </w:t>
      </w:r>
      <w:r w:rsidR="00D60526">
        <w:rPr>
          <w:rFonts w:cs="Times New Roman"/>
          <w:szCs w:val="24"/>
        </w:rPr>
        <w:t xml:space="preserve">problem in the Barind area arises from the fact that Bangladesh is a lower riparian country of the </w:t>
      </w:r>
      <w:r w:rsidR="002F599E">
        <w:rPr>
          <w:rFonts w:cs="Times New Roman"/>
          <w:szCs w:val="24"/>
        </w:rPr>
        <w:t>Ganges</w:t>
      </w:r>
      <w:r w:rsidR="00D60526">
        <w:rPr>
          <w:rFonts w:cs="Times New Roman"/>
          <w:szCs w:val="24"/>
        </w:rPr>
        <w:t xml:space="preserve"> r</w:t>
      </w:r>
      <w:r w:rsidR="002F599E">
        <w:rPr>
          <w:rFonts w:cs="Times New Roman"/>
          <w:szCs w:val="24"/>
        </w:rPr>
        <w:t>iver basin</w:t>
      </w:r>
      <w:r w:rsidR="00D60526">
        <w:rPr>
          <w:rFonts w:cs="Times New Roman"/>
          <w:szCs w:val="24"/>
        </w:rPr>
        <w:t xml:space="preserve">.  The presence of the Farakka Barrage and other dams or interventions upstream in India have persistently depleted water supplies during those months of the year when rainfall and flood waters are non-existent for meeting the demands of agriculture. </w:t>
      </w:r>
      <w:r w:rsidR="002F599E">
        <w:rPr>
          <w:rFonts w:cs="Times New Roman"/>
          <w:szCs w:val="24"/>
        </w:rPr>
        <w:t xml:space="preserve"> </w:t>
      </w:r>
    </w:p>
    <w:p w:rsidR="000277E4" w:rsidRPr="005E63C0" w:rsidRDefault="000277E4" w:rsidP="003838CA">
      <w:pPr>
        <w:pStyle w:val="ListParagraph"/>
        <w:spacing w:line="23" w:lineRule="atLeast"/>
        <w:ind w:left="0"/>
        <w:rPr>
          <w:rFonts w:cs="Segoe UI"/>
          <w:b/>
          <w:bCs/>
          <w:i/>
          <w:szCs w:val="24"/>
        </w:rPr>
      </w:pPr>
      <w:r w:rsidRPr="005E63C0">
        <w:rPr>
          <w:rFonts w:cs="Segoe UI"/>
          <w:b/>
          <w:bCs/>
          <w:i/>
          <w:szCs w:val="24"/>
        </w:rPr>
        <w:t>Strategies for Sustainable Agriculture in the Barind and Drought Prone Region</w:t>
      </w:r>
    </w:p>
    <w:p w:rsidR="003F3B29" w:rsidRPr="00CC577C" w:rsidRDefault="00F64A6A" w:rsidP="00051FC4">
      <w:pPr>
        <w:spacing w:line="276" w:lineRule="auto"/>
        <w:jc w:val="both"/>
        <w:rPr>
          <w:rFonts w:cs="Times New Roman"/>
          <w:szCs w:val="24"/>
          <w:u w:val="single"/>
        </w:rPr>
      </w:pPr>
      <w:r w:rsidRPr="00F64A6A">
        <w:rPr>
          <w:rFonts w:cs="Times New Roman"/>
          <w:szCs w:val="24"/>
          <w:u w:val="single"/>
        </w:rPr>
        <w:t xml:space="preserve">The biggest challenge is to address the winter water shortage problem by investing jointly with India on the Ganges River Basin Initiative. Other priorities are to invest in water reservoirs to enable ground water recharge; to adopt new water-saving food crop technology and to reduce the reliance on winter boro crop in favor of HYV aman. </w:t>
      </w:r>
    </w:p>
    <w:p w:rsidR="00F64A6A" w:rsidRDefault="007F2F9C" w:rsidP="00F64A6A">
      <w:pPr>
        <w:pStyle w:val="Heading2"/>
      </w:pPr>
      <w:bookmarkStart w:id="639" w:name="_Toc474638905"/>
      <w:bookmarkEnd w:id="636"/>
      <w:bookmarkEnd w:id="637"/>
      <w:r w:rsidRPr="00651C2A">
        <w:t>Concluding Remarks</w:t>
      </w:r>
      <w:bookmarkEnd w:id="639"/>
    </w:p>
    <w:p w:rsidR="007F2F9C" w:rsidRPr="00374BDA" w:rsidRDefault="007F2F9C" w:rsidP="00A85EEE">
      <w:pPr>
        <w:autoSpaceDE w:val="0"/>
        <w:autoSpaceDN w:val="0"/>
        <w:adjustRightInd w:val="0"/>
        <w:spacing w:line="276" w:lineRule="auto"/>
        <w:jc w:val="both"/>
        <w:rPr>
          <w:rFonts w:cs="Times New Roman"/>
          <w:color w:val="000000"/>
          <w:szCs w:val="28"/>
        </w:rPr>
      </w:pPr>
      <w:r w:rsidRPr="00374BDA">
        <w:rPr>
          <w:rFonts w:cs="Times New Roman"/>
          <w:color w:val="000000"/>
          <w:szCs w:val="28"/>
        </w:rPr>
        <w:t xml:space="preserve">Climate change impacts are already serious in Bangladesh and causing greater stress on vulnerable groups and lagging regions. Among main sectors, agriculture is likely to bear the </w:t>
      </w:r>
      <w:r w:rsidRPr="00374BDA">
        <w:rPr>
          <w:rFonts w:cs="Times New Roman"/>
          <w:color w:val="000000"/>
          <w:szCs w:val="28"/>
        </w:rPr>
        <w:lastRenderedPageBreak/>
        <w:t xml:space="preserve">main brunt of output losses. If the experts are right, the worst is yet to come. By 2100, climate change could impose costs on the Bangladesh economy that could be significantly higher than </w:t>
      </w:r>
      <w:r w:rsidRPr="00374BDA">
        <w:rPr>
          <w:rFonts w:cs="Times New Roman"/>
          <w:iCs/>
          <w:color w:val="000000"/>
          <w:szCs w:val="28"/>
        </w:rPr>
        <w:t>the estimated global average loss</w:t>
      </w:r>
      <w:r w:rsidRPr="00374BDA">
        <w:rPr>
          <w:rFonts w:cs="Times New Roman"/>
          <w:color w:val="000000"/>
          <w:szCs w:val="28"/>
        </w:rPr>
        <w:t xml:space="preserve">. Bangladesh believes that combating climate change requires </w:t>
      </w:r>
      <w:r w:rsidRPr="00374BDA">
        <w:rPr>
          <w:rFonts w:cs="Times New Roman"/>
          <w:i/>
          <w:iCs/>
          <w:color w:val="000000"/>
          <w:szCs w:val="28"/>
        </w:rPr>
        <w:t xml:space="preserve">global solutions </w:t>
      </w:r>
      <w:r w:rsidRPr="00374BDA">
        <w:rPr>
          <w:rFonts w:cs="Times New Roman"/>
          <w:color w:val="000000"/>
          <w:szCs w:val="28"/>
        </w:rPr>
        <w:t xml:space="preserve">built on </w:t>
      </w:r>
      <w:r w:rsidRPr="00374BDA">
        <w:rPr>
          <w:rFonts w:cs="Times New Roman"/>
          <w:i/>
          <w:color w:val="000000"/>
          <w:szCs w:val="28"/>
        </w:rPr>
        <w:t>principles of</w:t>
      </w:r>
      <w:r w:rsidRPr="00374BDA">
        <w:rPr>
          <w:rFonts w:cs="Times New Roman"/>
          <w:color w:val="000000"/>
          <w:szCs w:val="28"/>
        </w:rPr>
        <w:t xml:space="preserve"> </w:t>
      </w:r>
      <w:r w:rsidRPr="00374BDA">
        <w:rPr>
          <w:rFonts w:cs="Times New Roman"/>
          <w:i/>
          <w:iCs/>
          <w:color w:val="000000"/>
          <w:szCs w:val="28"/>
        </w:rPr>
        <w:t>common but differentiated responsibility, and respective capacities</w:t>
      </w:r>
      <w:r w:rsidRPr="00374BDA">
        <w:rPr>
          <w:rFonts w:cs="Times New Roman"/>
          <w:color w:val="000000"/>
          <w:szCs w:val="28"/>
        </w:rPr>
        <w:t xml:space="preserve">. Given high stakes for a poverty-stricken country, Bangladesh should play an important part in such global action as it already has. </w:t>
      </w:r>
    </w:p>
    <w:p w:rsidR="007F2F9C" w:rsidRPr="00CC577C" w:rsidRDefault="007F2F9C" w:rsidP="00A85EEE">
      <w:pPr>
        <w:autoSpaceDE w:val="0"/>
        <w:autoSpaceDN w:val="0"/>
        <w:adjustRightInd w:val="0"/>
        <w:spacing w:line="276" w:lineRule="auto"/>
        <w:jc w:val="both"/>
        <w:rPr>
          <w:rFonts w:cs="Times New Roman"/>
          <w:color w:val="000000"/>
          <w:szCs w:val="28"/>
          <w:u w:val="single"/>
        </w:rPr>
      </w:pPr>
      <w:r w:rsidRPr="00374BDA">
        <w:rPr>
          <w:rFonts w:cs="Times New Roman"/>
          <w:color w:val="000000"/>
          <w:szCs w:val="28"/>
        </w:rPr>
        <w:t>The country has recognized climate change as a long-term development challenge and has made significant efforts in adapting to climate change through its BCCSAP 2009 action plan and 6</w:t>
      </w:r>
      <w:r w:rsidRPr="00374BDA">
        <w:rPr>
          <w:rFonts w:cs="Times New Roman"/>
          <w:color w:val="000000"/>
          <w:szCs w:val="28"/>
          <w:vertAlign w:val="superscript"/>
        </w:rPr>
        <w:t>th</w:t>
      </w:r>
      <w:r w:rsidRPr="00374BDA">
        <w:rPr>
          <w:rFonts w:cs="Times New Roman"/>
          <w:color w:val="000000"/>
          <w:szCs w:val="28"/>
        </w:rPr>
        <w:t xml:space="preserve"> and 7</w:t>
      </w:r>
      <w:r w:rsidRPr="00374BDA">
        <w:rPr>
          <w:rFonts w:cs="Times New Roman"/>
          <w:color w:val="000000"/>
          <w:szCs w:val="28"/>
          <w:vertAlign w:val="superscript"/>
        </w:rPr>
        <w:t>th</w:t>
      </w:r>
      <w:r w:rsidRPr="00374BDA">
        <w:rPr>
          <w:rFonts w:cs="Times New Roman"/>
          <w:color w:val="000000"/>
          <w:szCs w:val="28"/>
        </w:rPr>
        <w:t xml:space="preserve"> Five Year Plans; but more is needed to </w:t>
      </w:r>
      <w:r w:rsidR="00F64A6A" w:rsidRPr="00F64A6A">
        <w:rPr>
          <w:rFonts w:cs="Times New Roman"/>
          <w:i/>
          <w:iCs/>
          <w:color w:val="000000"/>
          <w:szCs w:val="28"/>
          <w:u w:val="single"/>
        </w:rPr>
        <w:t>mainstream adaptation in development planning</w:t>
      </w:r>
      <w:r w:rsidR="00F64A6A" w:rsidRPr="00F64A6A">
        <w:rPr>
          <w:rFonts w:cs="Times New Roman"/>
          <w:color w:val="000000"/>
          <w:szCs w:val="28"/>
          <w:u w:val="single"/>
        </w:rPr>
        <w:t xml:space="preserve">. </w:t>
      </w:r>
      <w:r w:rsidRPr="00374BDA">
        <w:rPr>
          <w:rFonts w:cs="Times New Roman"/>
          <w:color w:val="000000"/>
          <w:szCs w:val="28"/>
        </w:rPr>
        <w:t xml:space="preserve">While adaptation is a priority, </w:t>
      </w:r>
      <w:r w:rsidR="00F64A6A" w:rsidRPr="00F64A6A">
        <w:rPr>
          <w:rFonts w:cs="Times New Roman"/>
          <w:color w:val="000000"/>
          <w:szCs w:val="28"/>
          <w:u w:val="single"/>
        </w:rPr>
        <w:t xml:space="preserve">Bangladesh should continue its efforts on </w:t>
      </w:r>
      <w:r w:rsidR="00F64A6A" w:rsidRPr="00F64A6A">
        <w:rPr>
          <w:rFonts w:cs="Times New Roman"/>
          <w:i/>
          <w:iCs/>
          <w:color w:val="000000"/>
          <w:szCs w:val="28"/>
          <w:u w:val="single"/>
        </w:rPr>
        <w:t xml:space="preserve">mitigation </w:t>
      </w:r>
      <w:r w:rsidR="00F64A6A" w:rsidRPr="00F64A6A">
        <w:rPr>
          <w:rFonts w:cs="Times New Roman"/>
          <w:iCs/>
          <w:color w:val="000000"/>
          <w:szCs w:val="28"/>
          <w:u w:val="single"/>
        </w:rPr>
        <w:t xml:space="preserve">by </w:t>
      </w:r>
      <w:r w:rsidR="00F64A6A" w:rsidRPr="00F64A6A">
        <w:rPr>
          <w:rFonts w:cs="Times New Roman"/>
          <w:color w:val="000000"/>
          <w:szCs w:val="28"/>
          <w:u w:val="single"/>
        </w:rPr>
        <w:t xml:space="preserve">embracing practices of low carbon growth which brings considerable co-benefits. Adaptation and mitigation require a </w:t>
      </w:r>
      <w:r w:rsidR="00F64A6A" w:rsidRPr="00F64A6A">
        <w:rPr>
          <w:rFonts w:cs="Times New Roman"/>
          <w:i/>
          <w:iCs/>
          <w:color w:val="000000"/>
          <w:szCs w:val="28"/>
          <w:u w:val="single"/>
        </w:rPr>
        <w:t>comprehensive policy framework</w:t>
      </w:r>
      <w:r w:rsidR="00F64A6A" w:rsidRPr="00F64A6A">
        <w:rPr>
          <w:rFonts w:cs="Times New Roman"/>
          <w:color w:val="000000"/>
          <w:szCs w:val="28"/>
          <w:u w:val="single"/>
        </w:rPr>
        <w:t xml:space="preserve">, </w:t>
      </w:r>
      <w:r w:rsidR="00F64A6A" w:rsidRPr="00F64A6A">
        <w:rPr>
          <w:rFonts w:cs="Times New Roman"/>
          <w:i/>
          <w:iCs/>
          <w:color w:val="000000"/>
          <w:szCs w:val="28"/>
          <w:u w:val="single"/>
        </w:rPr>
        <w:t xml:space="preserve">incentives </w:t>
      </w:r>
      <w:r w:rsidR="00F64A6A" w:rsidRPr="00F64A6A">
        <w:rPr>
          <w:rFonts w:cs="Times New Roman"/>
          <w:color w:val="000000"/>
          <w:szCs w:val="28"/>
          <w:u w:val="single"/>
        </w:rPr>
        <w:t xml:space="preserve">for private sector action, </w:t>
      </w:r>
      <w:r w:rsidR="00F64A6A" w:rsidRPr="00F64A6A">
        <w:rPr>
          <w:rFonts w:cs="Times New Roman"/>
          <w:i/>
          <w:iCs/>
          <w:color w:val="000000"/>
          <w:szCs w:val="28"/>
          <w:u w:val="single"/>
        </w:rPr>
        <w:t>elimination of market distortions</w:t>
      </w:r>
      <w:r w:rsidR="00F64A6A" w:rsidRPr="00F64A6A">
        <w:rPr>
          <w:rFonts w:cs="Times New Roman"/>
          <w:color w:val="000000"/>
          <w:szCs w:val="28"/>
          <w:u w:val="single"/>
        </w:rPr>
        <w:t xml:space="preserve">, </w:t>
      </w:r>
      <w:r w:rsidR="00F64A6A" w:rsidRPr="00F64A6A">
        <w:rPr>
          <w:rFonts w:cs="Times New Roman"/>
          <w:i/>
          <w:color w:val="000000"/>
          <w:szCs w:val="28"/>
          <w:u w:val="single"/>
        </w:rPr>
        <w:t xml:space="preserve">and </w:t>
      </w:r>
      <w:r w:rsidR="00F64A6A" w:rsidRPr="00F64A6A">
        <w:rPr>
          <w:rFonts w:cs="Times New Roman"/>
          <w:i/>
          <w:iCs/>
          <w:color w:val="000000"/>
          <w:szCs w:val="28"/>
          <w:u w:val="single"/>
        </w:rPr>
        <w:t>ample financial resources</w:t>
      </w:r>
      <w:r w:rsidR="00F64A6A" w:rsidRPr="00F64A6A">
        <w:rPr>
          <w:rFonts w:cs="Times New Roman"/>
          <w:color w:val="000000"/>
          <w:szCs w:val="28"/>
          <w:u w:val="single"/>
        </w:rPr>
        <w:t xml:space="preserve"> which will have to be mobilized through multilateral and bilateral initiatives. </w:t>
      </w:r>
    </w:p>
    <w:p w:rsidR="007F2F9C" w:rsidRPr="00CC577C" w:rsidRDefault="00F64A6A" w:rsidP="00260C27">
      <w:pPr>
        <w:rPr>
          <w:rFonts w:cs="Times New Roman"/>
          <w:szCs w:val="24"/>
          <w:u w:val="single"/>
        </w:rPr>
        <w:sectPr w:rsidR="007F2F9C" w:rsidRPr="00CC577C" w:rsidSect="00144771">
          <w:headerReference w:type="even" r:id="rId148"/>
          <w:headerReference w:type="default" r:id="rId149"/>
          <w:footerReference w:type="default" r:id="rId150"/>
          <w:headerReference w:type="first" r:id="rId151"/>
          <w:pgSz w:w="12240" w:h="15840"/>
          <w:pgMar w:top="1440" w:right="1440" w:bottom="1440" w:left="1440" w:header="720" w:footer="720" w:gutter="0"/>
          <w:cols w:space="720"/>
          <w:docGrid w:linePitch="360"/>
        </w:sectPr>
      </w:pPr>
      <w:r w:rsidRPr="00F64A6A">
        <w:rPr>
          <w:rFonts w:cs="Times New Roman"/>
          <w:szCs w:val="24"/>
          <w:u w:val="single"/>
        </w:rPr>
        <w:br w:type="page"/>
      </w:r>
    </w:p>
    <w:p w:rsidR="007F2F9C" w:rsidRPr="00143410" w:rsidRDefault="00143410" w:rsidP="00143410">
      <w:pPr>
        <w:pStyle w:val="Title"/>
        <w:pBdr>
          <w:bottom w:val="single" w:sz="8" w:space="7" w:color="4F81BD" w:themeColor="accent1"/>
        </w:pBdr>
        <w:spacing w:after="360"/>
        <w:jc w:val="center"/>
        <w:rPr>
          <w:rFonts w:cs="Times New Roman"/>
          <w:b/>
          <w:color w:val="1F497D" w:themeColor="text2"/>
          <w:szCs w:val="36"/>
        </w:rPr>
      </w:pPr>
      <w:bookmarkStart w:id="640" w:name="_Toc474638906"/>
      <w:r w:rsidRPr="00143410">
        <w:rPr>
          <w:rFonts w:cs="Times New Roman"/>
          <w:b/>
          <w:color w:val="1F497D" w:themeColor="text2"/>
          <w:szCs w:val="36"/>
        </w:rPr>
        <w:lastRenderedPageBreak/>
        <w:t>CHAPTER 9</w:t>
      </w:r>
      <w:bookmarkEnd w:id="640"/>
    </w:p>
    <w:p w:rsidR="007F2F9C" w:rsidRDefault="007F2F9C" w:rsidP="008C0601">
      <w:pPr>
        <w:pStyle w:val="Heading1"/>
      </w:pPr>
      <w:bookmarkStart w:id="641" w:name="_Toc474638907"/>
      <w:r w:rsidRPr="00143410">
        <w:t>Dynamizing the Inland Water Transport System of the Bangladesh Delta</w:t>
      </w:r>
      <w:bookmarkEnd w:id="641"/>
    </w:p>
    <w:p w:rsidR="00F64A6A" w:rsidRDefault="007F2F9C" w:rsidP="00F64A6A">
      <w:pPr>
        <w:pStyle w:val="Heading2"/>
      </w:pPr>
      <w:bookmarkStart w:id="642" w:name="_Toc474638908"/>
      <w:r w:rsidRPr="00143410">
        <w:t>Inland Water Transport Development Context</w:t>
      </w:r>
      <w:bookmarkEnd w:id="642"/>
      <w:r w:rsidRPr="00143410">
        <w:t xml:space="preserve"> </w:t>
      </w:r>
    </w:p>
    <w:p w:rsidR="007F2F9C" w:rsidRPr="00924255" w:rsidRDefault="007F2F9C" w:rsidP="00302E67">
      <w:pPr>
        <w:spacing w:line="276" w:lineRule="auto"/>
        <w:jc w:val="both"/>
        <w:rPr>
          <w:rFonts w:cs="Times New Roman"/>
          <w:szCs w:val="24"/>
          <w:lang w:val="en-GB"/>
        </w:rPr>
      </w:pPr>
      <w:r w:rsidRPr="004B0A08">
        <w:rPr>
          <w:rFonts w:cs="Times New Roman"/>
          <w:i/>
          <w:szCs w:val="24"/>
          <w:lang w:val="en-GB"/>
        </w:rPr>
        <w:t xml:space="preserve">Bangladesh is crisscrossed by a network of about </w:t>
      </w:r>
      <w:r w:rsidRPr="004B0A08">
        <w:rPr>
          <w:rFonts w:cs="Times New Roman"/>
          <w:i/>
          <w:color w:val="2C2B2B"/>
          <w:szCs w:val="24"/>
          <w:shd w:val="clear" w:color="auto" w:fill="FFFFFF"/>
        </w:rPr>
        <w:t>24,000 km. of rivers, streams and canals, constituting 7% of the country's surface</w:t>
      </w:r>
      <w:r w:rsidRPr="00924255">
        <w:rPr>
          <w:rFonts w:cs="Times New Roman"/>
          <w:szCs w:val="24"/>
          <w:lang w:val="en-GB"/>
        </w:rPr>
        <w:t>.</w:t>
      </w:r>
      <w:r w:rsidRPr="00924255">
        <w:rPr>
          <w:rStyle w:val="FootnoteReference"/>
          <w:rFonts w:cs="Times New Roman"/>
          <w:szCs w:val="24"/>
          <w:lang w:val="en-GB"/>
        </w:rPr>
        <w:footnoteReference w:id="40"/>
      </w:r>
      <w:r w:rsidRPr="00924255">
        <w:rPr>
          <w:rFonts w:cs="Times New Roman"/>
          <w:szCs w:val="24"/>
          <w:lang w:val="en-GB"/>
        </w:rPr>
        <w:t xml:space="preserve"> </w:t>
      </w:r>
      <w:r w:rsidRPr="00924255">
        <w:rPr>
          <w:rFonts w:cs="Times New Roman"/>
          <w:szCs w:val="24"/>
        </w:rPr>
        <w:t xml:space="preserve">Being a land of rivers it always enjoyed the natural advantage of inland navigation. The country is characterized by low lying flat land with alluvial soil that have poor engineering characteristics resulting in very expensive costs for development and maintenance of overland transport infrastructure. </w:t>
      </w:r>
      <w:r w:rsidRPr="004B0A08">
        <w:rPr>
          <w:rFonts w:cs="Times New Roman"/>
          <w:i/>
          <w:szCs w:val="24"/>
        </w:rPr>
        <w:t>On the contrary, inland waterway transport (IWT) has always been a natural, environment friendly and relatively cheap mode of transport.</w:t>
      </w:r>
      <w:r>
        <w:rPr>
          <w:rFonts w:cs="Times New Roman"/>
          <w:szCs w:val="24"/>
        </w:rPr>
        <w:t xml:space="preserve"> Owing to a lack of proper planning, investment and policy attention, IWT has lost ground to land transport but it </w:t>
      </w:r>
      <w:r w:rsidRPr="00924255">
        <w:rPr>
          <w:rFonts w:cs="Times New Roman"/>
          <w:szCs w:val="24"/>
        </w:rPr>
        <w:t xml:space="preserve">is still </w:t>
      </w:r>
      <w:r>
        <w:rPr>
          <w:rFonts w:cs="Times New Roman"/>
          <w:szCs w:val="24"/>
        </w:rPr>
        <w:t xml:space="preserve">an </w:t>
      </w:r>
      <w:r w:rsidRPr="00924255">
        <w:rPr>
          <w:rFonts w:cs="Times New Roman"/>
          <w:szCs w:val="24"/>
        </w:rPr>
        <w:t>important</w:t>
      </w:r>
      <w:r>
        <w:rPr>
          <w:rFonts w:cs="Times New Roman"/>
          <w:szCs w:val="24"/>
        </w:rPr>
        <w:t xml:space="preserve"> means of transport for the rural population. </w:t>
      </w:r>
      <w:r w:rsidRPr="004B0A08">
        <w:rPr>
          <w:rFonts w:cs="Times New Roman"/>
          <w:i/>
          <w:szCs w:val="24"/>
        </w:rPr>
        <w:t>An estimated 25% of the rural population has access to inland navigation.</w:t>
      </w:r>
      <w:r w:rsidRPr="00924255">
        <w:rPr>
          <w:rFonts w:cs="Times New Roman"/>
          <w:szCs w:val="24"/>
        </w:rPr>
        <w:t xml:space="preserve"> Inland waterways have </w:t>
      </w:r>
      <w:r>
        <w:rPr>
          <w:rFonts w:cs="Times New Roman"/>
          <w:szCs w:val="24"/>
        </w:rPr>
        <w:t>continued to be important –sometimes the only –</w:t>
      </w:r>
      <w:r w:rsidRPr="00924255">
        <w:rPr>
          <w:rFonts w:cs="Times New Roman"/>
          <w:szCs w:val="24"/>
        </w:rPr>
        <w:t xml:space="preserve"> </w:t>
      </w:r>
      <w:r>
        <w:rPr>
          <w:rFonts w:cs="Times New Roman"/>
          <w:szCs w:val="24"/>
        </w:rPr>
        <w:t xml:space="preserve">transportation </w:t>
      </w:r>
      <w:r w:rsidRPr="00924255">
        <w:rPr>
          <w:rFonts w:cs="Times New Roman"/>
          <w:szCs w:val="24"/>
        </w:rPr>
        <w:t xml:space="preserve">mode not only for maintaining transport link between various remote parts of the country; it is a means of transporting export-import cargo as well. </w:t>
      </w:r>
      <w:r w:rsidRPr="00924255">
        <w:rPr>
          <w:rFonts w:cs="Times New Roman"/>
          <w:szCs w:val="24"/>
          <w:lang w:val="en-GB"/>
        </w:rPr>
        <w:t xml:space="preserve">It provides cheaper transit of passengers and goods. </w:t>
      </w:r>
    </w:p>
    <w:p w:rsidR="0058246E" w:rsidRDefault="007F2F9C" w:rsidP="006A0CA0">
      <w:pPr>
        <w:spacing w:line="276" w:lineRule="auto"/>
        <w:jc w:val="both"/>
        <w:rPr>
          <w:rFonts w:cs="Times New Roman"/>
          <w:szCs w:val="24"/>
        </w:rPr>
      </w:pPr>
      <w:r>
        <w:rPr>
          <w:rFonts w:cs="Times New Roman"/>
          <w:szCs w:val="24"/>
          <w:lang w:val="en-GB"/>
        </w:rPr>
        <w:t xml:space="preserve">Despite being the cheapest mode of transport, the popularity of IWT as a mode of passenger and cargo transportation has been on a secular decline. A 2007 </w:t>
      </w:r>
      <w:r w:rsidRPr="00924255">
        <w:rPr>
          <w:rFonts w:cs="Times New Roman"/>
          <w:szCs w:val="24"/>
          <w:lang w:val="en-GB"/>
        </w:rPr>
        <w:t>World Bank report</w:t>
      </w:r>
      <w:r w:rsidRPr="00924255">
        <w:rPr>
          <w:rStyle w:val="FootnoteReference"/>
          <w:rFonts w:cs="Times New Roman"/>
          <w:szCs w:val="24"/>
          <w:lang w:val="en-GB"/>
        </w:rPr>
        <w:footnoteReference w:id="41"/>
      </w:r>
      <w:r>
        <w:rPr>
          <w:rFonts w:cs="Times New Roman"/>
          <w:szCs w:val="24"/>
          <w:lang w:val="en-GB"/>
        </w:rPr>
        <w:t xml:space="preserve"> showed</w:t>
      </w:r>
      <w:r w:rsidRPr="00924255">
        <w:rPr>
          <w:rFonts w:cs="Times New Roman"/>
          <w:szCs w:val="24"/>
          <w:lang w:val="en-GB"/>
        </w:rPr>
        <w:t xml:space="preserve"> that </w:t>
      </w:r>
      <w:r>
        <w:rPr>
          <w:rFonts w:cs="Times New Roman"/>
          <w:szCs w:val="24"/>
          <w:lang w:val="en-GB"/>
        </w:rPr>
        <w:t xml:space="preserve">the </w:t>
      </w:r>
      <w:r w:rsidRPr="00924255">
        <w:rPr>
          <w:rFonts w:cs="Times New Roman"/>
          <w:szCs w:val="24"/>
          <w:lang w:val="en-GB"/>
        </w:rPr>
        <w:t>modal share of IWT registered a gradual</w:t>
      </w:r>
      <w:r>
        <w:rPr>
          <w:rFonts w:cs="Times New Roman"/>
          <w:szCs w:val="24"/>
          <w:lang w:val="en-GB"/>
        </w:rPr>
        <w:t>ly</w:t>
      </w:r>
      <w:r w:rsidRPr="00924255">
        <w:rPr>
          <w:rFonts w:cs="Times New Roman"/>
          <w:szCs w:val="24"/>
          <w:lang w:val="en-GB"/>
        </w:rPr>
        <w:t xml:space="preserve"> declining trend during last </w:t>
      </w:r>
      <w:r>
        <w:rPr>
          <w:rFonts w:cs="Times New Roman"/>
          <w:szCs w:val="24"/>
          <w:lang w:val="en-GB"/>
        </w:rPr>
        <w:t xml:space="preserve">few </w:t>
      </w:r>
      <w:r w:rsidRPr="00924255">
        <w:rPr>
          <w:rFonts w:cs="Times New Roman"/>
          <w:szCs w:val="24"/>
          <w:lang w:val="en-GB"/>
        </w:rPr>
        <w:t>decades</w:t>
      </w:r>
      <w:r>
        <w:rPr>
          <w:rFonts w:cs="Times New Roman"/>
          <w:szCs w:val="24"/>
          <w:lang w:val="en-GB"/>
        </w:rPr>
        <w:t xml:space="preserve"> (Figure </w:t>
      </w:r>
      <w:r w:rsidR="00DA20B3">
        <w:rPr>
          <w:rFonts w:cs="Times New Roman"/>
          <w:szCs w:val="24"/>
          <w:lang w:val="en-GB"/>
        </w:rPr>
        <w:t>9.</w:t>
      </w:r>
      <w:r>
        <w:rPr>
          <w:rFonts w:cs="Times New Roman"/>
          <w:szCs w:val="24"/>
          <w:lang w:val="en-GB"/>
        </w:rPr>
        <w:t xml:space="preserve">1).  </w:t>
      </w:r>
      <w:r w:rsidRPr="004B0A08">
        <w:rPr>
          <w:rFonts w:cs="Times New Roman"/>
          <w:i/>
          <w:szCs w:val="24"/>
          <w:lang w:val="en-GB"/>
        </w:rPr>
        <w:t>Thus, the modal share of IWT fell from 16% passenger and 37% cargo in 1975 to 8% passenger and 16% cargo in 2005.</w:t>
      </w:r>
      <w:r w:rsidRPr="00924255">
        <w:rPr>
          <w:rFonts w:cs="Times New Roman"/>
          <w:szCs w:val="24"/>
          <w:lang w:val="en-GB"/>
        </w:rPr>
        <w:t xml:space="preserve"> </w:t>
      </w:r>
      <w:r>
        <w:rPr>
          <w:rFonts w:cs="Times New Roman"/>
          <w:szCs w:val="24"/>
          <w:lang w:val="en-GB"/>
        </w:rPr>
        <w:t xml:space="preserve"> Much of the competition came from the road transport system.</w:t>
      </w:r>
      <w:r w:rsidR="00653828">
        <w:rPr>
          <w:rFonts w:cs="Times New Roman"/>
          <w:szCs w:val="24"/>
          <w:lang w:val="en-GB"/>
        </w:rPr>
        <w:t xml:space="preserve"> </w:t>
      </w:r>
      <w:r w:rsidR="00653828">
        <w:rPr>
          <w:rFonts w:cs="Times New Roman"/>
          <w:szCs w:val="24"/>
        </w:rPr>
        <w:t xml:space="preserve">This loss of ground of a low-cost, environmental friendly means of transport to high-cost and environmentally taxing road transport system is unfortunate from the development and welfare point of view of Bangladesh. Road transport systems are not only environmentally unfriendly relative to IWT, the financial unit cost of service is higher.  Importantly, they also add considerably to the already serious road network congestion. </w:t>
      </w:r>
    </w:p>
    <w:p w:rsidR="00653828" w:rsidRDefault="00653828" w:rsidP="00835763">
      <w:pPr>
        <w:spacing w:line="276" w:lineRule="auto"/>
        <w:jc w:val="both"/>
        <w:rPr>
          <w:rFonts w:cs="Times New Roman"/>
          <w:szCs w:val="24"/>
        </w:rPr>
      </w:pPr>
      <w:r>
        <w:rPr>
          <w:rFonts w:cs="Times New Roman"/>
          <w:szCs w:val="24"/>
        </w:rPr>
        <w:t xml:space="preserve">Many factors have contributed to this declining role of IWT. </w:t>
      </w:r>
      <w:r w:rsidRPr="00924255">
        <w:rPr>
          <w:rFonts w:cs="Times New Roman"/>
          <w:szCs w:val="24"/>
        </w:rPr>
        <w:t>Over a long period</w:t>
      </w:r>
      <w:r w:rsidR="0058246E">
        <w:rPr>
          <w:rFonts w:cs="Times New Roman"/>
          <w:szCs w:val="24"/>
        </w:rPr>
        <w:t>,</w:t>
      </w:r>
      <w:r w:rsidRPr="00924255">
        <w:rPr>
          <w:rFonts w:cs="Times New Roman"/>
          <w:szCs w:val="24"/>
        </w:rPr>
        <w:t xml:space="preserve"> many rivers of the country have been deteriorating both for natural, morphological processes and for withdrawal of water from the rivers beyond the border and within the country caused by decreased dry season navigability. This was further aggravated by poor or no maintenance o</w:t>
      </w:r>
      <w:r>
        <w:rPr>
          <w:rFonts w:cs="Times New Roman"/>
          <w:szCs w:val="24"/>
        </w:rPr>
        <w:t xml:space="preserve">f navigability, </w:t>
      </w:r>
      <w:r>
        <w:rPr>
          <w:rFonts w:cs="Times New Roman"/>
          <w:szCs w:val="24"/>
        </w:rPr>
        <w:lastRenderedPageBreak/>
        <w:t xml:space="preserve">weak regulations and safety standards, </w:t>
      </w:r>
      <w:r w:rsidRPr="00924255">
        <w:rPr>
          <w:rFonts w:cs="Times New Roman"/>
          <w:szCs w:val="24"/>
        </w:rPr>
        <w:t xml:space="preserve">low allocation of budgetary funds and </w:t>
      </w:r>
      <w:r>
        <w:rPr>
          <w:rFonts w:cs="Times New Roman"/>
          <w:szCs w:val="24"/>
        </w:rPr>
        <w:t xml:space="preserve">general </w:t>
      </w:r>
      <w:r w:rsidRPr="00924255">
        <w:rPr>
          <w:rFonts w:cs="Times New Roman"/>
          <w:szCs w:val="24"/>
        </w:rPr>
        <w:t>under-investment</w:t>
      </w:r>
      <w:r>
        <w:rPr>
          <w:rFonts w:cs="Times New Roman"/>
          <w:szCs w:val="24"/>
        </w:rPr>
        <w:t xml:space="preserve"> by both </w:t>
      </w:r>
      <w:r w:rsidR="00EC4A4B">
        <w:rPr>
          <w:rFonts w:cs="Times New Roman"/>
          <w:szCs w:val="24"/>
        </w:rPr>
        <w:t>public</w:t>
      </w:r>
      <w:r>
        <w:rPr>
          <w:rFonts w:cs="Times New Roman"/>
          <w:szCs w:val="24"/>
        </w:rPr>
        <w:t xml:space="preserve"> and private sectors</w:t>
      </w:r>
      <w:r w:rsidRPr="00924255">
        <w:rPr>
          <w:rFonts w:cs="Times New Roman"/>
          <w:szCs w:val="24"/>
        </w:rPr>
        <w:t xml:space="preserve">. </w:t>
      </w:r>
    </w:p>
    <w:p w:rsidR="007F2F9C" w:rsidRDefault="007F2F9C" w:rsidP="0036657D">
      <w:pPr>
        <w:pStyle w:val="Heading5"/>
        <w:rPr>
          <w:lang w:val="en-GB"/>
        </w:rPr>
      </w:pPr>
      <w:bookmarkStart w:id="643" w:name="_Toc474639203"/>
      <w:r w:rsidRPr="00924255">
        <w:rPr>
          <w:lang w:val="en-GB"/>
        </w:rPr>
        <w:t xml:space="preserve">Figure </w:t>
      </w:r>
      <w:r w:rsidR="005D6F28">
        <w:rPr>
          <w:lang w:val="en-GB"/>
        </w:rPr>
        <w:t>9.</w:t>
      </w:r>
      <w:r w:rsidRPr="00924255">
        <w:rPr>
          <w:lang w:val="en-GB"/>
        </w:rPr>
        <w:t>1: Modal Share of Passenger and Cargo Traffic</w:t>
      </w:r>
      <w:bookmarkEnd w:id="6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9"/>
        <w:gridCol w:w="4797"/>
      </w:tblGrid>
      <w:tr w:rsidR="007F2F9C" w:rsidTr="00005EAC">
        <w:tc>
          <w:tcPr>
            <w:tcW w:w="4858" w:type="dxa"/>
          </w:tcPr>
          <w:p w:rsidR="007F2F9C" w:rsidRDefault="007F2F9C" w:rsidP="00143410">
            <w:pPr>
              <w:spacing w:after="0"/>
            </w:pPr>
            <w:r w:rsidRPr="00BE1675">
              <w:rPr>
                <w:noProof/>
                <w:lang w:val="en-AU" w:eastAsia="en-AU" w:bidi="bn-BD"/>
              </w:rPr>
              <w:drawing>
                <wp:inline distT="0" distB="0" distL="0" distR="0">
                  <wp:extent cx="2686050" cy="2286000"/>
                  <wp:effectExtent l="0" t="0" r="0" b="0"/>
                  <wp:docPr id="139" name="Chart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tc>
        <w:tc>
          <w:tcPr>
            <w:tcW w:w="4858" w:type="dxa"/>
          </w:tcPr>
          <w:p w:rsidR="007F2F9C" w:rsidRDefault="007F2F9C" w:rsidP="00143410">
            <w:pPr>
              <w:spacing w:after="0"/>
            </w:pPr>
            <w:r w:rsidRPr="00BE1675">
              <w:rPr>
                <w:noProof/>
                <w:lang w:val="en-AU" w:eastAsia="en-AU" w:bidi="bn-BD"/>
              </w:rPr>
              <w:drawing>
                <wp:inline distT="0" distB="0" distL="0" distR="0">
                  <wp:extent cx="2743200" cy="2286000"/>
                  <wp:effectExtent l="0" t="0" r="0" b="0"/>
                  <wp:docPr id="140" name="Chart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tc>
      </w:tr>
    </w:tbl>
    <w:p w:rsidR="007F2F9C" w:rsidRPr="00943D69" w:rsidRDefault="007F2F9C" w:rsidP="00653828">
      <w:pPr>
        <w:spacing w:before="120" w:line="276" w:lineRule="auto"/>
        <w:rPr>
          <w:rFonts w:cs="Times New Roman"/>
          <w:b/>
          <w:bCs/>
          <w:i/>
          <w:iCs/>
          <w:sz w:val="20"/>
          <w:szCs w:val="20"/>
          <w:lang w:val="en-GB"/>
        </w:rPr>
      </w:pPr>
      <w:r>
        <w:rPr>
          <w:rFonts w:cs="Times New Roman"/>
          <w:b/>
          <w:bCs/>
          <w:szCs w:val="24"/>
          <w:lang w:val="en-GB"/>
        </w:rPr>
        <w:t xml:space="preserve">   </w:t>
      </w:r>
      <w:r w:rsidRPr="000249D9">
        <w:rPr>
          <w:rFonts w:cs="Times New Roman"/>
          <w:b/>
          <w:bCs/>
          <w:i/>
          <w:iCs/>
          <w:sz w:val="20"/>
          <w:szCs w:val="20"/>
          <w:lang w:val="en-GB"/>
        </w:rPr>
        <w:t>Source: Based on World Bank (2007)</w:t>
      </w:r>
    </w:p>
    <w:p w:rsidR="007F2F9C" w:rsidRPr="00924255" w:rsidRDefault="007F2F9C" w:rsidP="00302E67">
      <w:pPr>
        <w:spacing w:line="276" w:lineRule="auto"/>
        <w:jc w:val="both"/>
        <w:rPr>
          <w:rFonts w:cs="Times New Roman"/>
          <w:szCs w:val="24"/>
        </w:rPr>
      </w:pPr>
      <w:r>
        <w:rPr>
          <w:rFonts w:cs="Times New Roman"/>
          <w:szCs w:val="24"/>
        </w:rPr>
        <w:t>In recent years, given the rapid</w:t>
      </w:r>
      <w:r w:rsidRPr="00924255">
        <w:rPr>
          <w:rFonts w:cs="Times New Roman"/>
          <w:szCs w:val="24"/>
        </w:rPr>
        <w:t xml:space="preserve"> GDP growth and associated demand for passenger and cargo services along with constraints in developing road and railway transport (owing to land and financial scarcity), </w:t>
      </w:r>
      <w:r>
        <w:rPr>
          <w:rFonts w:cs="Times New Roman"/>
          <w:szCs w:val="24"/>
        </w:rPr>
        <w:t xml:space="preserve">the prospects for </w:t>
      </w:r>
      <w:r w:rsidRPr="00924255">
        <w:rPr>
          <w:rFonts w:cs="Times New Roman"/>
          <w:szCs w:val="24"/>
        </w:rPr>
        <w:t xml:space="preserve">inland waterway </w:t>
      </w:r>
      <w:r>
        <w:rPr>
          <w:rFonts w:cs="Times New Roman"/>
          <w:szCs w:val="24"/>
        </w:rPr>
        <w:t xml:space="preserve">look brighter. There is now a growing appreciation that with proper investments, policies, regulations and institutional development the IWT </w:t>
      </w:r>
      <w:r w:rsidRPr="00924255">
        <w:rPr>
          <w:rFonts w:cs="Times New Roman"/>
          <w:szCs w:val="24"/>
        </w:rPr>
        <w:t xml:space="preserve">can be </w:t>
      </w:r>
      <w:r>
        <w:rPr>
          <w:rFonts w:cs="Times New Roman"/>
          <w:szCs w:val="24"/>
        </w:rPr>
        <w:t>a major low-cost transport alternative to the high-cost of land transport.</w:t>
      </w:r>
      <w:r w:rsidR="0058246E">
        <w:rPr>
          <w:rFonts w:cs="Times New Roman"/>
          <w:szCs w:val="24"/>
        </w:rPr>
        <w:t xml:space="preserve"> The positive effects of this strategy for income, employment and poverty reduction are large,</w:t>
      </w:r>
    </w:p>
    <w:p w:rsidR="007F2F9C" w:rsidRDefault="007F2F9C" w:rsidP="00302E67">
      <w:pPr>
        <w:shd w:val="clear" w:color="auto" w:fill="FFFFFF"/>
        <w:spacing w:line="276" w:lineRule="auto"/>
        <w:jc w:val="both"/>
        <w:textAlignment w:val="baseline"/>
        <w:rPr>
          <w:rFonts w:cs="Times New Roman"/>
          <w:szCs w:val="24"/>
          <w:shd w:val="clear" w:color="auto" w:fill="FFFFFF"/>
        </w:rPr>
      </w:pPr>
      <w:r w:rsidRPr="00924255">
        <w:rPr>
          <w:rFonts w:cs="Times New Roman"/>
          <w:szCs w:val="24"/>
        </w:rPr>
        <w:t xml:space="preserve">Globally, inland waterway plays very critical role in handing large quantity of cargo and passengers. The </w:t>
      </w:r>
      <w:r w:rsidRPr="00924255">
        <w:rPr>
          <w:rFonts w:cs="Times New Roman"/>
          <w:szCs w:val="24"/>
          <w:shd w:val="clear" w:color="auto" w:fill="FFFFFF"/>
        </w:rPr>
        <w:t xml:space="preserve">Rhine and Danube, for instance, constitute two backbones of inland navigation in Europe. Both the networks are backed by strong institutions facilitating efficient waterway infrastructure and guided by required rules and regulation. The Mekong River is becoming an important link in international trade routes and tourism in Southeast Asia. </w:t>
      </w:r>
      <w:r w:rsidRPr="00924255">
        <w:rPr>
          <w:rFonts w:eastAsia="Times New Roman" w:cs="Times New Roman"/>
          <w:szCs w:val="24"/>
        </w:rPr>
        <w:t xml:space="preserve">China is a country with long water transportation tradition. The Yangtze </w:t>
      </w:r>
      <w:r w:rsidRPr="00924255">
        <w:rPr>
          <w:rFonts w:cs="Times New Roman"/>
          <w:szCs w:val="24"/>
          <w:shd w:val="clear" w:color="auto" w:fill="FFFFFF"/>
        </w:rPr>
        <w:t xml:space="preserve">is the 1st waterway in the world for the transport of goods. In the subcontinent water transport is one of the oldest means of transport in India. Table </w:t>
      </w:r>
      <w:r w:rsidR="005D6F28">
        <w:rPr>
          <w:rFonts w:cs="Times New Roman"/>
          <w:szCs w:val="24"/>
          <w:shd w:val="clear" w:color="auto" w:fill="FFFFFF"/>
        </w:rPr>
        <w:t>9.</w:t>
      </w:r>
      <w:r w:rsidRPr="00924255">
        <w:rPr>
          <w:rFonts w:cs="Times New Roman"/>
          <w:szCs w:val="24"/>
          <w:shd w:val="clear" w:color="auto" w:fill="FFFFFF"/>
        </w:rPr>
        <w:t xml:space="preserve">1 summarizes major inland waterway networks in Europe and Asia. </w:t>
      </w:r>
    </w:p>
    <w:p w:rsidR="007F2F9C" w:rsidRDefault="007F2F9C" w:rsidP="00302E67">
      <w:pPr>
        <w:spacing w:line="276" w:lineRule="auto"/>
        <w:jc w:val="both"/>
        <w:rPr>
          <w:rFonts w:cs="Times New Roman"/>
          <w:szCs w:val="24"/>
        </w:rPr>
      </w:pPr>
      <w:r>
        <w:rPr>
          <w:rFonts w:cs="Times New Roman"/>
          <w:szCs w:val="24"/>
        </w:rPr>
        <w:t xml:space="preserve">The geography of Bangladesh connects almost all 64 districts to each other by an inter-connected system of major and minor rivers. The major rivers in turn provide a convenient access to sea. This massive internet of water connectivity if properly harnessed and nurtured can provide a major development advantage for Bangladesh. With rapid economic growth, the urban and inter-city road transport bottlenecks are growing. The cost of transport for passengers and cargo are also growing.  The government has responded by investing huge amount of resources in road network and bridges. The investment costs are large. Land procurement and managing the adverse environmental consequences of the large volume of road sector investment are both </w:t>
      </w:r>
      <w:r>
        <w:rPr>
          <w:rFonts w:cs="Times New Roman"/>
          <w:szCs w:val="24"/>
        </w:rPr>
        <w:lastRenderedPageBreak/>
        <w:t xml:space="preserve">daunting tasks, often contributing to long delays in project completion. </w:t>
      </w:r>
      <w:r w:rsidRPr="004B0A08">
        <w:rPr>
          <w:rFonts w:cs="Times New Roman"/>
          <w:i/>
          <w:szCs w:val="24"/>
        </w:rPr>
        <w:t>The focus on BDP2100 presents a great opportunity to rethink the inter-modal transport strategy, especially when geography has presented a natural comparative advantage through the waterways.</w:t>
      </w:r>
      <w:r>
        <w:rPr>
          <w:rFonts w:cs="Times New Roman"/>
          <w:szCs w:val="24"/>
        </w:rPr>
        <w:t xml:space="preserve">    A better balancing between roads, railways and IWT can be a huge win-win for Bangladesh development.</w:t>
      </w:r>
    </w:p>
    <w:p w:rsidR="001B086A" w:rsidRPr="00943D69" w:rsidRDefault="001B086A" w:rsidP="00302E67">
      <w:pPr>
        <w:spacing w:line="276" w:lineRule="auto"/>
        <w:jc w:val="both"/>
        <w:rPr>
          <w:rFonts w:cs="Times New Roman"/>
          <w:szCs w:val="24"/>
        </w:rPr>
      </w:pPr>
      <w:r>
        <w:rPr>
          <w:rFonts w:cs="Times New Roman"/>
          <w:szCs w:val="24"/>
        </w:rPr>
        <w:t>The objective of this chapter is to contribute to this policy rethinking on inter-modal transport re-balancing and strategy. T</w:t>
      </w:r>
      <w:r w:rsidRPr="00924255">
        <w:rPr>
          <w:rFonts w:cs="Times New Roman"/>
          <w:szCs w:val="24"/>
        </w:rPr>
        <w:t xml:space="preserve">his chapter discusses </w:t>
      </w:r>
      <w:r>
        <w:rPr>
          <w:rFonts w:cs="Times New Roman"/>
          <w:szCs w:val="24"/>
        </w:rPr>
        <w:t xml:space="preserve">and analyses </w:t>
      </w:r>
      <w:r w:rsidRPr="00924255">
        <w:rPr>
          <w:rFonts w:cs="Times New Roman"/>
          <w:szCs w:val="24"/>
        </w:rPr>
        <w:t>a number of issues involving the country’s inl</w:t>
      </w:r>
      <w:r>
        <w:rPr>
          <w:rFonts w:cs="Times New Roman"/>
          <w:szCs w:val="24"/>
        </w:rPr>
        <w:t>and water transportation system. By drawing from research on potential climate change impacts on the river system, the international evidence and best practice on managing riverine resources, it postulates strategies for dynamizing the river transport system of Bangladesh for the 21</w:t>
      </w:r>
      <w:r w:rsidRPr="0078498C">
        <w:rPr>
          <w:rFonts w:cs="Times New Roman"/>
          <w:szCs w:val="24"/>
          <w:vertAlign w:val="superscript"/>
        </w:rPr>
        <w:t>st</w:t>
      </w:r>
      <w:r>
        <w:rPr>
          <w:rFonts w:cs="Times New Roman"/>
          <w:szCs w:val="24"/>
        </w:rPr>
        <w:t xml:space="preserve"> century.</w:t>
      </w:r>
    </w:p>
    <w:p w:rsidR="007F2F9C" w:rsidRPr="00924255" w:rsidRDefault="007F2F9C" w:rsidP="0036657D">
      <w:pPr>
        <w:pStyle w:val="Heading4"/>
        <w:rPr>
          <w:rFonts w:eastAsia="Times New Roman"/>
        </w:rPr>
      </w:pPr>
      <w:bookmarkStart w:id="644" w:name="_Toc474639067"/>
      <w:r>
        <w:rPr>
          <w:shd w:val="clear" w:color="auto" w:fill="FFFFFF"/>
        </w:rPr>
        <w:t xml:space="preserve">Table </w:t>
      </w:r>
      <w:r w:rsidR="005D6F28">
        <w:rPr>
          <w:shd w:val="clear" w:color="auto" w:fill="FFFFFF"/>
        </w:rPr>
        <w:t>9.</w:t>
      </w:r>
      <w:r>
        <w:rPr>
          <w:shd w:val="clear" w:color="auto" w:fill="FFFFFF"/>
        </w:rPr>
        <w:t>1: Major Inland Waterway N</w:t>
      </w:r>
      <w:r w:rsidRPr="00924255">
        <w:rPr>
          <w:shd w:val="clear" w:color="auto" w:fill="FFFFFF"/>
        </w:rPr>
        <w:t>etworks in Europe and Asia</w:t>
      </w:r>
      <w:bookmarkEnd w:id="644"/>
    </w:p>
    <w:tbl>
      <w:tblPr>
        <w:tblStyle w:val="TableGrid"/>
        <w:tblW w:w="5000" w:type="pct"/>
        <w:tblCellMar>
          <w:left w:w="72" w:type="dxa"/>
          <w:right w:w="72" w:type="dxa"/>
        </w:tblCellMar>
        <w:tblLook w:val="04A0"/>
      </w:tblPr>
      <w:tblGrid>
        <w:gridCol w:w="1434"/>
        <w:gridCol w:w="1609"/>
        <w:gridCol w:w="2159"/>
        <w:gridCol w:w="2070"/>
        <w:gridCol w:w="2232"/>
      </w:tblGrid>
      <w:tr w:rsidR="007F2F9C" w:rsidRPr="00924255" w:rsidTr="00774FC5">
        <w:trPr>
          <w:trHeight w:val="20"/>
          <w:tblHeader/>
        </w:trPr>
        <w:tc>
          <w:tcPr>
            <w:tcW w:w="754" w:type="pct"/>
            <w:vAlign w:val="center"/>
          </w:tcPr>
          <w:p w:rsidR="007F2F9C" w:rsidRPr="00774FC5" w:rsidRDefault="007F2F9C" w:rsidP="00302E67">
            <w:pPr>
              <w:spacing w:after="0"/>
              <w:jc w:val="center"/>
              <w:rPr>
                <w:rFonts w:cs="Times New Roman"/>
                <w:b/>
                <w:bCs/>
                <w:sz w:val="20"/>
              </w:rPr>
            </w:pPr>
            <w:r w:rsidRPr="00774FC5">
              <w:rPr>
                <w:rFonts w:cs="Times New Roman"/>
                <w:b/>
                <w:bCs/>
                <w:sz w:val="20"/>
              </w:rPr>
              <w:t>IW network and countries crossed</w:t>
            </w:r>
          </w:p>
        </w:tc>
        <w:tc>
          <w:tcPr>
            <w:tcW w:w="846" w:type="pct"/>
            <w:vAlign w:val="center"/>
          </w:tcPr>
          <w:p w:rsidR="007F2F9C" w:rsidRPr="00774FC5" w:rsidRDefault="007F2F9C" w:rsidP="00302E67">
            <w:pPr>
              <w:spacing w:after="0"/>
              <w:jc w:val="center"/>
              <w:rPr>
                <w:rFonts w:cs="Times New Roman"/>
                <w:b/>
                <w:bCs/>
                <w:sz w:val="20"/>
              </w:rPr>
            </w:pPr>
            <w:r w:rsidRPr="00774FC5">
              <w:rPr>
                <w:rFonts w:cs="Times New Roman"/>
                <w:b/>
                <w:bCs/>
                <w:sz w:val="20"/>
              </w:rPr>
              <w:t>Length, navigability and Traffic</w:t>
            </w:r>
          </w:p>
        </w:tc>
        <w:tc>
          <w:tcPr>
            <w:tcW w:w="1136" w:type="pct"/>
            <w:vAlign w:val="center"/>
          </w:tcPr>
          <w:p w:rsidR="007F2F9C" w:rsidRPr="00774FC5" w:rsidRDefault="007F2F9C" w:rsidP="00302E67">
            <w:pPr>
              <w:spacing w:after="0"/>
              <w:jc w:val="center"/>
              <w:rPr>
                <w:rFonts w:cs="Times New Roman"/>
                <w:b/>
                <w:bCs/>
                <w:sz w:val="20"/>
              </w:rPr>
            </w:pPr>
            <w:r w:rsidRPr="00774FC5">
              <w:rPr>
                <w:rFonts w:cs="Times New Roman"/>
                <w:b/>
                <w:bCs/>
                <w:sz w:val="20"/>
              </w:rPr>
              <w:t>Facts of importance</w:t>
            </w:r>
          </w:p>
        </w:tc>
        <w:tc>
          <w:tcPr>
            <w:tcW w:w="1089" w:type="pct"/>
            <w:vAlign w:val="center"/>
          </w:tcPr>
          <w:p w:rsidR="007F2F9C" w:rsidRPr="00774FC5" w:rsidRDefault="00774FC5" w:rsidP="00302E67">
            <w:pPr>
              <w:spacing w:after="0"/>
              <w:jc w:val="center"/>
              <w:rPr>
                <w:rFonts w:cs="Times New Roman"/>
                <w:b/>
                <w:bCs/>
                <w:sz w:val="20"/>
              </w:rPr>
            </w:pPr>
            <w:r>
              <w:rPr>
                <w:rFonts w:cs="Times New Roman"/>
                <w:b/>
                <w:bCs/>
                <w:sz w:val="20"/>
                <w:shd w:val="clear" w:color="auto" w:fill="FFFFFF"/>
              </w:rPr>
              <w:t>Inland navigation authority</w:t>
            </w:r>
          </w:p>
        </w:tc>
        <w:tc>
          <w:tcPr>
            <w:tcW w:w="1174" w:type="pct"/>
            <w:vAlign w:val="center"/>
          </w:tcPr>
          <w:p w:rsidR="007F2F9C" w:rsidRPr="00774FC5" w:rsidRDefault="007F2F9C" w:rsidP="00302E67">
            <w:pPr>
              <w:spacing w:after="0"/>
              <w:jc w:val="center"/>
              <w:rPr>
                <w:rFonts w:cs="Times New Roman"/>
                <w:b/>
                <w:bCs/>
                <w:sz w:val="20"/>
              </w:rPr>
            </w:pPr>
            <w:r w:rsidRPr="00774FC5">
              <w:rPr>
                <w:rFonts w:cs="Times New Roman"/>
                <w:b/>
                <w:bCs/>
                <w:sz w:val="20"/>
              </w:rPr>
              <w:t>Future focus/challenges</w:t>
            </w:r>
          </w:p>
        </w:tc>
      </w:tr>
      <w:tr w:rsidR="007F2F9C" w:rsidRPr="00924255" w:rsidTr="00774FC5">
        <w:trPr>
          <w:trHeight w:val="20"/>
        </w:trPr>
        <w:tc>
          <w:tcPr>
            <w:tcW w:w="754" w:type="pct"/>
          </w:tcPr>
          <w:p w:rsidR="007F2F9C" w:rsidRPr="00774FC5" w:rsidRDefault="007F2F9C" w:rsidP="00302E67">
            <w:pPr>
              <w:spacing w:after="0"/>
              <w:rPr>
                <w:rFonts w:cs="Times New Roman"/>
                <w:b/>
                <w:bCs/>
                <w:sz w:val="20"/>
              </w:rPr>
            </w:pPr>
            <w:r w:rsidRPr="00774FC5">
              <w:rPr>
                <w:rFonts w:cs="Times New Roman"/>
                <w:b/>
                <w:bCs/>
                <w:sz w:val="20"/>
              </w:rPr>
              <w:t xml:space="preserve">The Rhine </w:t>
            </w:r>
          </w:p>
          <w:p w:rsidR="007F2F9C" w:rsidRPr="00774FC5" w:rsidRDefault="007F2F9C" w:rsidP="00302E67">
            <w:pPr>
              <w:spacing w:after="0"/>
              <w:rPr>
                <w:rFonts w:cs="Times New Roman"/>
                <w:i/>
                <w:iCs/>
                <w:sz w:val="20"/>
              </w:rPr>
            </w:pPr>
            <w:r w:rsidRPr="00774FC5">
              <w:rPr>
                <w:rFonts w:cs="Times New Roman"/>
                <w:i/>
                <w:iCs/>
                <w:sz w:val="20"/>
              </w:rPr>
              <w:t xml:space="preserve">- </w:t>
            </w:r>
            <w:r w:rsidRPr="00774FC5">
              <w:rPr>
                <w:rFonts w:cs="Times New Roman"/>
                <w:i/>
                <w:iCs/>
                <w:sz w:val="20"/>
                <w:shd w:val="clear" w:color="auto" w:fill="FFFFFF"/>
              </w:rPr>
              <w:t>Switzerland, Germany, France, Netherlands</w:t>
            </w:r>
          </w:p>
        </w:tc>
        <w:tc>
          <w:tcPr>
            <w:tcW w:w="846" w:type="pct"/>
          </w:tcPr>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1320 Km</w:t>
            </w:r>
          </w:p>
          <w:p w:rsidR="007F2F9C" w:rsidRPr="00774FC5" w:rsidRDefault="007F2F9C" w:rsidP="00302E67">
            <w:pPr>
              <w:spacing w:after="0"/>
              <w:rPr>
                <w:rFonts w:cs="Times New Roman"/>
                <w:sz w:val="20"/>
                <w:shd w:val="clear" w:color="auto" w:fill="FFFFFF"/>
              </w:rPr>
            </w:pPr>
          </w:p>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From Basel to Rotterdam (884km)</w:t>
            </w:r>
          </w:p>
          <w:p w:rsidR="007F2F9C" w:rsidRPr="00774FC5" w:rsidRDefault="007F2F9C" w:rsidP="00302E67">
            <w:pPr>
              <w:spacing w:after="0"/>
              <w:rPr>
                <w:rFonts w:cs="Times New Roman"/>
                <w:sz w:val="20"/>
                <w:shd w:val="clear" w:color="auto" w:fill="FFFFFF"/>
              </w:rPr>
            </w:pPr>
          </w:p>
          <w:p w:rsidR="007F2F9C" w:rsidRPr="00774FC5" w:rsidRDefault="007F2F9C" w:rsidP="00302E67">
            <w:pPr>
              <w:spacing w:after="0"/>
              <w:rPr>
                <w:rFonts w:cs="Times New Roman"/>
                <w:sz w:val="20"/>
              </w:rPr>
            </w:pPr>
            <w:r w:rsidRPr="00774FC5">
              <w:rPr>
                <w:rFonts w:cs="Times New Roman"/>
                <w:sz w:val="20"/>
                <w:shd w:val="clear" w:color="auto" w:fill="FFFFFF"/>
              </w:rPr>
              <w:t xml:space="preserve">About 330000000 </w:t>
            </w:r>
            <w:r w:rsidR="00FE6385">
              <w:rPr>
                <w:rFonts w:cs="Times New Roman"/>
                <w:sz w:val="20"/>
                <w:shd w:val="clear" w:color="auto" w:fill="FFFFFF"/>
              </w:rPr>
              <w:t>Tonne</w:t>
            </w:r>
            <w:r w:rsidRPr="00774FC5">
              <w:rPr>
                <w:rFonts w:cs="Times New Roman"/>
                <w:sz w:val="20"/>
                <w:shd w:val="clear" w:color="auto" w:fill="FFFFFF"/>
              </w:rPr>
              <w:t>s/year</w:t>
            </w:r>
          </w:p>
        </w:tc>
        <w:tc>
          <w:tcPr>
            <w:tcW w:w="1136" w:type="pct"/>
          </w:tcPr>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 xml:space="preserve">- The Rhine is used by more than two-thirds of all goods carried by inland waterway. </w:t>
            </w:r>
          </w:p>
          <w:p w:rsidR="007F2F9C" w:rsidRPr="00774FC5" w:rsidRDefault="007F2F9C" w:rsidP="00302E67">
            <w:pPr>
              <w:spacing w:after="0"/>
              <w:rPr>
                <w:rFonts w:cs="Times New Roman"/>
                <w:sz w:val="20"/>
              </w:rPr>
            </w:pPr>
            <w:r w:rsidRPr="00774FC5">
              <w:rPr>
                <w:rFonts w:cs="Times New Roman"/>
                <w:sz w:val="20"/>
                <w:shd w:val="clear" w:color="auto" w:fill="FFFFFF"/>
              </w:rPr>
              <w:t>-New markets are booming; these include the transport of containers, weight-intensive goods, chemicals and passengers.</w:t>
            </w:r>
          </w:p>
        </w:tc>
        <w:tc>
          <w:tcPr>
            <w:tcW w:w="1089" w:type="pct"/>
          </w:tcPr>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The Central Commission for the navigation of the Rhine (CCNR) which was created in 1815 at the Congress of Vienna and has been empowered by the Mannheim Act (1868).</w:t>
            </w:r>
            <w:r w:rsidRPr="00774FC5">
              <w:rPr>
                <w:rStyle w:val="apple-converted-space"/>
                <w:rFonts w:cs="Times New Roman"/>
                <w:sz w:val="20"/>
                <w:shd w:val="clear" w:color="auto" w:fill="FFFFFF"/>
              </w:rPr>
              <w:t> </w:t>
            </w:r>
          </w:p>
        </w:tc>
        <w:tc>
          <w:tcPr>
            <w:tcW w:w="1174" w:type="pct"/>
          </w:tcPr>
          <w:p w:rsidR="007F2F9C" w:rsidRPr="00774FC5" w:rsidRDefault="007F2F9C" w:rsidP="00302E67">
            <w:pPr>
              <w:spacing w:after="0"/>
              <w:rPr>
                <w:rFonts w:eastAsia="Times New Roman" w:cs="Times New Roman"/>
                <w:sz w:val="20"/>
              </w:rPr>
            </w:pPr>
            <w:r w:rsidRPr="00774FC5">
              <w:rPr>
                <w:rFonts w:eastAsia="Times New Roman" w:cs="Times New Roman"/>
                <w:sz w:val="20"/>
              </w:rPr>
              <w:t>-Increase the focus on environmental sustainability</w:t>
            </w:r>
          </w:p>
          <w:p w:rsidR="007F2F9C" w:rsidRPr="00774FC5" w:rsidRDefault="007F2F9C" w:rsidP="00302E67">
            <w:pPr>
              <w:spacing w:after="0"/>
              <w:rPr>
                <w:rFonts w:eastAsia="Times New Roman" w:cs="Times New Roman"/>
                <w:sz w:val="20"/>
              </w:rPr>
            </w:pPr>
            <w:r w:rsidRPr="00774FC5">
              <w:rPr>
                <w:rFonts w:eastAsia="Times New Roman" w:cs="Times New Roman"/>
                <w:sz w:val="20"/>
              </w:rPr>
              <w:t>-Increase the market share in Europe of inland navigation as transport mode</w:t>
            </w:r>
          </w:p>
          <w:p w:rsidR="007F2F9C" w:rsidRPr="00774FC5" w:rsidRDefault="007F2F9C" w:rsidP="00302E67">
            <w:pPr>
              <w:spacing w:after="0"/>
              <w:rPr>
                <w:rFonts w:eastAsia="Times New Roman" w:cs="Times New Roman"/>
                <w:sz w:val="20"/>
              </w:rPr>
            </w:pPr>
            <w:r w:rsidRPr="00774FC5">
              <w:rPr>
                <w:rFonts w:eastAsia="Times New Roman" w:cs="Times New Roman"/>
                <w:sz w:val="20"/>
              </w:rPr>
              <w:t>-Ensure more seamless freight transport connections in Europe</w:t>
            </w:r>
          </w:p>
          <w:p w:rsidR="007F2F9C" w:rsidRPr="00774FC5" w:rsidRDefault="007F2F9C" w:rsidP="00302E67">
            <w:pPr>
              <w:spacing w:after="0"/>
              <w:rPr>
                <w:rFonts w:cs="Times New Roman"/>
                <w:sz w:val="20"/>
              </w:rPr>
            </w:pPr>
            <w:r w:rsidRPr="00774FC5">
              <w:rPr>
                <w:rFonts w:eastAsia="Times New Roman" w:cs="Times New Roman"/>
                <w:sz w:val="20"/>
              </w:rPr>
              <w:t>-Foster technology advancements</w:t>
            </w:r>
          </w:p>
        </w:tc>
      </w:tr>
      <w:tr w:rsidR="007F2F9C" w:rsidRPr="00924255" w:rsidTr="00774FC5">
        <w:trPr>
          <w:trHeight w:val="20"/>
        </w:trPr>
        <w:tc>
          <w:tcPr>
            <w:tcW w:w="754" w:type="pct"/>
          </w:tcPr>
          <w:p w:rsidR="007F2F9C" w:rsidRPr="00774FC5" w:rsidRDefault="007F2F9C" w:rsidP="00302E67">
            <w:pPr>
              <w:spacing w:after="0"/>
              <w:rPr>
                <w:rFonts w:cs="Times New Roman"/>
                <w:b/>
                <w:bCs/>
                <w:sz w:val="20"/>
              </w:rPr>
            </w:pPr>
            <w:r w:rsidRPr="00774FC5">
              <w:rPr>
                <w:rFonts w:cs="Times New Roman"/>
                <w:b/>
                <w:bCs/>
                <w:sz w:val="20"/>
              </w:rPr>
              <w:t xml:space="preserve">The Danube </w:t>
            </w:r>
          </w:p>
          <w:p w:rsidR="007F2F9C" w:rsidRPr="00774FC5" w:rsidRDefault="007F2F9C" w:rsidP="00302E67">
            <w:pPr>
              <w:spacing w:after="0"/>
              <w:rPr>
                <w:rFonts w:cs="Times New Roman"/>
                <w:sz w:val="20"/>
              </w:rPr>
            </w:pPr>
          </w:p>
          <w:p w:rsidR="007F2F9C" w:rsidRPr="00774FC5" w:rsidRDefault="007F2F9C" w:rsidP="00302E67">
            <w:pPr>
              <w:spacing w:after="0"/>
              <w:rPr>
                <w:rFonts w:cs="Times New Roman"/>
                <w:i/>
                <w:iCs/>
                <w:sz w:val="20"/>
              </w:rPr>
            </w:pPr>
            <w:r w:rsidRPr="00774FC5">
              <w:rPr>
                <w:rFonts w:cs="Times New Roman"/>
                <w:i/>
                <w:iCs/>
                <w:sz w:val="20"/>
              </w:rPr>
              <w:t>-</w:t>
            </w:r>
            <w:r w:rsidRPr="00774FC5">
              <w:rPr>
                <w:rFonts w:cs="Times New Roman"/>
                <w:i/>
                <w:iCs/>
                <w:sz w:val="20"/>
                <w:shd w:val="clear" w:color="auto" w:fill="FFFFFF"/>
              </w:rPr>
              <w:t>Germany, Austria, Hungary, Slovakia, Croatia, Serbia, Romania, Bulgaria, Moldova, Ukraine</w:t>
            </w:r>
          </w:p>
        </w:tc>
        <w:tc>
          <w:tcPr>
            <w:tcW w:w="846" w:type="pct"/>
          </w:tcPr>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2860 Km</w:t>
            </w:r>
          </w:p>
          <w:p w:rsidR="007F2F9C" w:rsidRPr="00774FC5" w:rsidRDefault="007F2F9C" w:rsidP="00302E67">
            <w:pPr>
              <w:spacing w:after="0"/>
              <w:rPr>
                <w:rFonts w:cs="Times New Roman"/>
                <w:sz w:val="20"/>
                <w:shd w:val="clear" w:color="auto" w:fill="FFFFFF"/>
              </w:rPr>
            </w:pPr>
          </w:p>
          <w:p w:rsidR="007F2F9C" w:rsidRPr="00774FC5" w:rsidRDefault="007F2F9C" w:rsidP="00302E67">
            <w:pPr>
              <w:spacing w:after="0"/>
              <w:rPr>
                <w:rFonts w:cs="Times New Roman"/>
                <w:sz w:val="20"/>
                <w:shd w:val="clear" w:color="auto" w:fill="FFFFFF"/>
              </w:rPr>
            </w:pPr>
            <w:r w:rsidRPr="00774FC5">
              <w:rPr>
                <w:rFonts w:cs="Times New Roman"/>
                <w:sz w:val="20"/>
              </w:rPr>
              <w:br/>
            </w:r>
            <w:r w:rsidRPr="00774FC5">
              <w:rPr>
                <w:rFonts w:cs="Times New Roman"/>
                <w:sz w:val="20"/>
                <w:shd w:val="clear" w:color="auto" w:fill="FFFFFF"/>
              </w:rPr>
              <w:t>All along the Danube</w:t>
            </w:r>
          </w:p>
          <w:p w:rsidR="007F2F9C" w:rsidRPr="00774FC5" w:rsidRDefault="007F2F9C" w:rsidP="00302E67">
            <w:pPr>
              <w:spacing w:after="0"/>
              <w:rPr>
                <w:rFonts w:cs="Times New Roman"/>
                <w:sz w:val="20"/>
                <w:shd w:val="clear" w:color="auto" w:fill="FFFFFF"/>
              </w:rPr>
            </w:pPr>
          </w:p>
          <w:p w:rsidR="007F2F9C" w:rsidRPr="00774FC5" w:rsidRDefault="007F2F9C" w:rsidP="00302E67">
            <w:pPr>
              <w:spacing w:after="0"/>
              <w:rPr>
                <w:rFonts w:cs="Times New Roman"/>
                <w:sz w:val="20"/>
              </w:rPr>
            </w:pPr>
            <w:r w:rsidRPr="00774FC5">
              <w:rPr>
                <w:rFonts w:cs="Times New Roman"/>
                <w:sz w:val="20"/>
                <w:shd w:val="clear" w:color="auto" w:fill="FFFFFF"/>
              </w:rPr>
              <w:t xml:space="preserve">About 40000000 </w:t>
            </w:r>
            <w:r w:rsidR="00FE6385">
              <w:rPr>
                <w:rFonts w:cs="Times New Roman"/>
                <w:sz w:val="20"/>
                <w:shd w:val="clear" w:color="auto" w:fill="FFFFFF"/>
              </w:rPr>
              <w:t>ton</w:t>
            </w:r>
            <w:r w:rsidRPr="00774FC5">
              <w:rPr>
                <w:rFonts w:cs="Times New Roman"/>
                <w:sz w:val="20"/>
                <w:shd w:val="clear" w:color="auto" w:fill="FFFFFF"/>
              </w:rPr>
              <w:t>nes/year</w:t>
            </w:r>
          </w:p>
        </w:tc>
        <w:tc>
          <w:tcPr>
            <w:tcW w:w="1136" w:type="pct"/>
          </w:tcPr>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 xml:space="preserve">-The Danube is the longest river in central Europe. </w:t>
            </w:r>
          </w:p>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-The Region has very wide disparities and the traffic has long been reduced owing to the cold war.</w:t>
            </w:r>
          </w:p>
          <w:p w:rsidR="007F2F9C" w:rsidRPr="00774FC5" w:rsidRDefault="007F2F9C" w:rsidP="00302E67">
            <w:pPr>
              <w:spacing w:after="0"/>
              <w:rPr>
                <w:rFonts w:cs="Times New Roman"/>
                <w:sz w:val="20"/>
              </w:rPr>
            </w:pPr>
            <w:r w:rsidRPr="00774FC5">
              <w:rPr>
                <w:rFonts w:cs="Times New Roman"/>
                <w:sz w:val="20"/>
                <w:shd w:val="clear" w:color="auto" w:fill="FFFFFF"/>
              </w:rPr>
              <w:t>The Danube River itself is a major TEN-T Corridor of the European Union and is concerned by many EU initiatives.</w:t>
            </w:r>
          </w:p>
        </w:tc>
        <w:tc>
          <w:tcPr>
            <w:tcW w:w="1089" w:type="pct"/>
          </w:tcPr>
          <w:p w:rsidR="007F2F9C" w:rsidRPr="00774FC5" w:rsidRDefault="007F2F9C" w:rsidP="00302E67">
            <w:pPr>
              <w:spacing w:after="0"/>
              <w:rPr>
                <w:rFonts w:cs="Times New Roman"/>
                <w:sz w:val="20"/>
              </w:rPr>
            </w:pPr>
            <w:r w:rsidRPr="00774FC5">
              <w:rPr>
                <w:rFonts w:cs="Times New Roman"/>
                <w:sz w:val="20"/>
                <w:shd w:val="clear" w:color="auto" w:fill="FFFFFF"/>
              </w:rPr>
              <w:t>The Danube Commission which is an international intergovernmental organization established by the Convention regarding the regime of navigation on the Danube signed in Belgrade in 1948.</w:t>
            </w:r>
            <w:r w:rsidRPr="00774FC5">
              <w:rPr>
                <w:rStyle w:val="apple-converted-space"/>
                <w:rFonts w:cs="Times New Roman"/>
                <w:sz w:val="20"/>
                <w:shd w:val="clear" w:color="auto" w:fill="FFFFFF"/>
              </w:rPr>
              <w:t> </w:t>
            </w:r>
          </w:p>
        </w:tc>
        <w:tc>
          <w:tcPr>
            <w:tcW w:w="1174" w:type="pct"/>
          </w:tcPr>
          <w:p w:rsidR="007F2F9C" w:rsidRPr="00774FC5" w:rsidRDefault="007F2F9C" w:rsidP="00D6486D">
            <w:pPr>
              <w:numPr>
                <w:ilvl w:val="0"/>
                <w:numId w:val="79"/>
              </w:numPr>
              <w:shd w:val="clear" w:color="auto" w:fill="FFFFFF"/>
              <w:spacing w:after="0" w:line="134" w:lineRule="atLeast"/>
              <w:ind w:left="0"/>
              <w:textAlignment w:val="baseline"/>
              <w:rPr>
                <w:rFonts w:eastAsia="Times New Roman" w:cs="Times New Roman"/>
                <w:sz w:val="20"/>
              </w:rPr>
            </w:pPr>
            <w:r w:rsidRPr="00774FC5">
              <w:rPr>
                <w:rFonts w:eastAsia="Times New Roman" w:cs="Times New Roman"/>
                <w:sz w:val="20"/>
              </w:rPr>
              <w:t>-Waste Management Issues</w:t>
            </w:r>
          </w:p>
          <w:p w:rsidR="007F2F9C" w:rsidRPr="00774FC5" w:rsidRDefault="007F2F9C" w:rsidP="00302E67">
            <w:pPr>
              <w:shd w:val="clear" w:color="auto" w:fill="FFFFFF"/>
              <w:spacing w:after="0" w:line="134" w:lineRule="atLeast"/>
              <w:textAlignment w:val="baseline"/>
              <w:rPr>
                <w:rFonts w:eastAsia="Times New Roman" w:cs="Times New Roman"/>
                <w:sz w:val="20"/>
              </w:rPr>
            </w:pPr>
            <w:r w:rsidRPr="00774FC5">
              <w:rPr>
                <w:rFonts w:eastAsia="Times New Roman" w:cs="Times New Roman"/>
                <w:sz w:val="20"/>
              </w:rPr>
              <w:t>-Underlines an integrated approach to sustainable development</w:t>
            </w:r>
          </w:p>
          <w:p w:rsidR="007F2F9C" w:rsidRPr="00774FC5" w:rsidRDefault="007F2F9C" w:rsidP="00302E67">
            <w:pPr>
              <w:shd w:val="clear" w:color="auto" w:fill="FFFFFF"/>
              <w:spacing w:after="0" w:line="134" w:lineRule="atLeast"/>
              <w:textAlignment w:val="baseline"/>
              <w:rPr>
                <w:rFonts w:eastAsia="Times New Roman" w:cs="Times New Roman"/>
                <w:sz w:val="20"/>
              </w:rPr>
            </w:pPr>
            <w:r w:rsidRPr="00774FC5">
              <w:rPr>
                <w:rFonts w:eastAsia="Times New Roman" w:cs="Times New Roman"/>
                <w:sz w:val="20"/>
              </w:rPr>
              <w:t>-Need for greater multimodality,</w:t>
            </w:r>
          </w:p>
          <w:p w:rsidR="007F2F9C" w:rsidRPr="00774FC5" w:rsidRDefault="007F2F9C" w:rsidP="00302E67">
            <w:pPr>
              <w:shd w:val="clear" w:color="auto" w:fill="FFFFFF"/>
              <w:spacing w:after="0" w:line="134" w:lineRule="atLeast"/>
              <w:textAlignment w:val="baseline"/>
              <w:rPr>
                <w:rFonts w:eastAsia="Times New Roman" w:cs="Times New Roman"/>
                <w:sz w:val="20"/>
              </w:rPr>
            </w:pPr>
            <w:r w:rsidRPr="00774FC5">
              <w:rPr>
                <w:rFonts w:eastAsia="Times New Roman" w:cs="Times New Roman"/>
                <w:sz w:val="20"/>
              </w:rPr>
              <w:t>-Better interconnection with other river basins modernizing and extending</w:t>
            </w:r>
          </w:p>
          <w:p w:rsidR="007F2F9C" w:rsidRPr="00774FC5" w:rsidRDefault="007F2F9C" w:rsidP="00302E67">
            <w:pPr>
              <w:shd w:val="clear" w:color="auto" w:fill="FFFFFF"/>
              <w:spacing w:after="0" w:line="134" w:lineRule="atLeast"/>
              <w:textAlignment w:val="baseline"/>
              <w:rPr>
                <w:rFonts w:eastAsia="Times New Roman" w:cs="Times New Roman"/>
                <w:sz w:val="20"/>
              </w:rPr>
            </w:pPr>
            <w:r w:rsidRPr="00774FC5">
              <w:rPr>
                <w:rFonts w:eastAsia="Times New Roman" w:cs="Times New Roman"/>
                <w:sz w:val="20"/>
              </w:rPr>
              <w:t>-Infrastructure in transport modes such as inland ports</w:t>
            </w:r>
          </w:p>
          <w:p w:rsidR="007F2F9C" w:rsidRPr="00774FC5" w:rsidRDefault="007F2F9C" w:rsidP="00302E67">
            <w:pPr>
              <w:spacing w:after="0"/>
              <w:rPr>
                <w:rFonts w:cs="Times New Roman"/>
                <w:sz w:val="20"/>
              </w:rPr>
            </w:pPr>
          </w:p>
        </w:tc>
      </w:tr>
      <w:tr w:rsidR="007F2F9C" w:rsidRPr="00924255" w:rsidTr="00774FC5">
        <w:trPr>
          <w:trHeight w:val="20"/>
        </w:trPr>
        <w:tc>
          <w:tcPr>
            <w:tcW w:w="754" w:type="pct"/>
          </w:tcPr>
          <w:p w:rsidR="007F2F9C" w:rsidRPr="00774FC5" w:rsidRDefault="007F2F9C" w:rsidP="00302E67">
            <w:pPr>
              <w:spacing w:after="0"/>
              <w:rPr>
                <w:rFonts w:cs="Times New Roman"/>
                <w:b/>
                <w:bCs/>
                <w:sz w:val="20"/>
              </w:rPr>
            </w:pPr>
            <w:r w:rsidRPr="00774FC5">
              <w:rPr>
                <w:rFonts w:cs="Times New Roman"/>
                <w:b/>
                <w:bCs/>
                <w:sz w:val="20"/>
              </w:rPr>
              <w:t>The Mekong</w:t>
            </w:r>
          </w:p>
          <w:p w:rsidR="007F2F9C" w:rsidRPr="00774FC5" w:rsidRDefault="007F2F9C" w:rsidP="00302E67">
            <w:pPr>
              <w:spacing w:after="0"/>
              <w:rPr>
                <w:rFonts w:cs="Times New Roman"/>
                <w:sz w:val="20"/>
              </w:rPr>
            </w:pPr>
          </w:p>
          <w:p w:rsidR="007F2F9C" w:rsidRPr="00774FC5" w:rsidRDefault="007F2F9C" w:rsidP="00302E67">
            <w:pPr>
              <w:spacing w:after="0"/>
              <w:rPr>
                <w:rFonts w:cs="Times New Roman"/>
                <w:i/>
                <w:iCs/>
                <w:sz w:val="20"/>
              </w:rPr>
            </w:pPr>
            <w:r w:rsidRPr="00774FC5">
              <w:rPr>
                <w:rFonts w:cs="Times New Roman"/>
                <w:i/>
                <w:iCs/>
                <w:sz w:val="20"/>
                <w:shd w:val="clear" w:color="auto" w:fill="FFFFFF"/>
              </w:rPr>
              <w:t xml:space="preserve">China, Myanmar, Thailand, Lao PDR, </w:t>
            </w:r>
            <w:r w:rsidRPr="00774FC5">
              <w:rPr>
                <w:rFonts w:cs="Times New Roman"/>
                <w:i/>
                <w:iCs/>
                <w:sz w:val="20"/>
                <w:shd w:val="clear" w:color="auto" w:fill="FFFFFF"/>
              </w:rPr>
              <w:lastRenderedPageBreak/>
              <w:t>Cambodia and Vietnam</w:t>
            </w:r>
          </w:p>
        </w:tc>
        <w:tc>
          <w:tcPr>
            <w:tcW w:w="846" w:type="pct"/>
          </w:tcPr>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lastRenderedPageBreak/>
              <w:t>4900km</w:t>
            </w:r>
          </w:p>
          <w:p w:rsidR="007F2F9C" w:rsidRPr="00774FC5" w:rsidRDefault="007F2F9C" w:rsidP="00302E67">
            <w:pPr>
              <w:spacing w:after="0"/>
              <w:rPr>
                <w:rFonts w:cs="Times New Roman"/>
                <w:sz w:val="20"/>
                <w:shd w:val="clear" w:color="auto" w:fill="FFFFFF"/>
              </w:rPr>
            </w:pPr>
          </w:p>
          <w:p w:rsidR="007F2F9C" w:rsidRPr="00774FC5" w:rsidRDefault="007F2F9C" w:rsidP="00302E67">
            <w:pPr>
              <w:spacing w:after="0"/>
              <w:rPr>
                <w:rFonts w:cs="Times New Roman"/>
                <w:sz w:val="20"/>
              </w:rPr>
            </w:pPr>
            <w:r w:rsidRPr="00774FC5">
              <w:rPr>
                <w:rFonts w:cs="Times New Roman"/>
                <w:sz w:val="20"/>
                <w:shd w:val="clear" w:color="auto" w:fill="FFFFFF"/>
              </w:rPr>
              <w:t>Seasonal variations in water (low water season </w:t>
            </w:r>
            <w:r w:rsidRPr="00774FC5">
              <w:rPr>
                <w:rFonts w:cs="Times New Roman"/>
                <w:sz w:val="20"/>
              </w:rPr>
              <w:t xml:space="preserve">sometimes </w:t>
            </w:r>
            <w:r w:rsidRPr="00774FC5">
              <w:rPr>
                <w:rFonts w:cs="Times New Roman"/>
                <w:sz w:val="20"/>
              </w:rPr>
              <w:lastRenderedPageBreak/>
              <w:t xml:space="preserve">50% less traffic in upper Mekong). </w:t>
            </w:r>
          </w:p>
          <w:p w:rsidR="007F2F9C" w:rsidRPr="00774FC5" w:rsidRDefault="007F2F9C" w:rsidP="00302E67">
            <w:pPr>
              <w:spacing w:after="0"/>
              <w:rPr>
                <w:rFonts w:cs="Times New Roman"/>
                <w:sz w:val="20"/>
              </w:rPr>
            </w:pPr>
            <w:r w:rsidRPr="00774FC5">
              <w:rPr>
                <w:rFonts w:cs="Times New Roman"/>
                <w:sz w:val="20"/>
              </w:rPr>
              <w:br/>
            </w:r>
            <w:r w:rsidRPr="00774FC5">
              <w:rPr>
                <w:rFonts w:cs="Times New Roman"/>
                <w:sz w:val="20"/>
                <w:shd w:val="clear" w:color="auto" w:fill="FFFFFF"/>
              </w:rPr>
              <w:t xml:space="preserve">More than 3000000 </w:t>
            </w:r>
            <w:r w:rsidR="00EC4A4B">
              <w:rPr>
                <w:rFonts w:cs="Times New Roman"/>
                <w:sz w:val="20"/>
                <w:shd w:val="clear" w:color="auto" w:fill="FFFFFF"/>
              </w:rPr>
              <w:t>tonn</w:t>
            </w:r>
            <w:r w:rsidRPr="00774FC5">
              <w:rPr>
                <w:rFonts w:cs="Times New Roman"/>
                <w:sz w:val="20"/>
                <w:shd w:val="clear" w:color="auto" w:fill="FFFFFF"/>
              </w:rPr>
              <w:t>es/year (containers included)</w:t>
            </w:r>
          </w:p>
        </w:tc>
        <w:tc>
          <w:tcPr>
            <w:tcW w:w="1136" w:type="pct"/>
          </w:tcPr>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lastRenderedPageBreak/>
              <w:t>-The Mekong River is becoming an important link in international trade routes and tourism.</w:t>
            </w:r>
          </w:p>
          <w:p w:rsidR="007F2F9C" w:rsidRPr="00774FC5" w:rsidRDefault="007F2F9C" w:rsidP="00302E67">
            <w:pPr>
              <w:spacing w:after="0"/>
              <w:rPr>
                <w:rFonts w:cs="Times New Roman"/>
                <w:sz w:val="20"/>
              </w:rPr>
            </w:pPr>
            <w:r w:rsidRPr="00774FC5">
              <w:rPr>
                <w:rFonts w:cs="Times New Roman"/>
                <w:sz w:val="20"/>
                <w:shd w:val="clear" w:color="auto" w:fill="FFFFFF"/>
              </w:rPr>
              <w:t xml:space="preserve">-Recent efforts have been done to improve </w:t>
            </w:r>
            <w:r w:rsidRPr="00774FC5">
              <w:rPr>
                <w:rFonts w:cs="Times New Roman"/>
                <w:sz w:val="20"/>
                <w:shd w:val="clear" w:color="auto" w:fill="FFFFFF"/>
              </w:rPr>
              <w:lastRenderedPageBreak/>
              <w:t>navigation 24h/year and new international navigation agreements have been settled between the different countries crossed.</w:t>
            </w:r>
            <w:r w:rsidRPr="00774FC5">
              <w:rPr>
                <w:rFonts w:cs="Times New Roman"/>
                <w:sz w:val="20"/>
              </w:rPr>
              <w:br/>
            </w:r>
            <w:r w:rsidRPr="00774FC5">
              <w:rPr>
                <w:rFonts w:cs="Times New Roman"/>
                <w:sz w:val="20"/>
                <w:shd w:val="clear" w:color="auto" w:fill="FFFFFF"/>
              </w:rPr>
              <w:t> </w:t>
            </w:r>
          </w:p>
        </w:tc>
        <w:tc>
          <w:tcPr>
            <w:tcW w:w="1089" w:type="pct"/>
          </w:tcPr>
          <w:p w:rsidR="007F2F9C" w:rsidRPr="00774FC5" w:rsidRDefault="007F2F9C" w:rsidP="00302E67">
            <w:pPr>
              <w:spacing w:after="0"/>
              <w:rPr>
                <w:rFonts w:cs="Times New Roman"/>
                <w:sz w:val="20"/>
              </w:rPr>
            </w:pPr>
            <w:r w:rsidRPr="00774FC5">
              <w:rPr>
                <w:rFonts w:cs="Times New Roman"/>
                <w:sz w:val="20"/>
                <w:shd w:val="clear" w:color="auto" w:fill="FFFFFF"/>
              </w:rPr>
              <w:lastRenderedPageBreak/>
              <w:t xml:space="preserve">-The Mekong River Commission (MRC) is an inter-governmental agency working directly with the governments of </w:t>
            </w:r>
            <w:r w:rsidRPr="00774FC5">
              <w:rPr>
                <w:rFonts w:cs="Times New Roman"/>
                <w:sz w:val="20"/>
                <w:shd w:val="clear" w:color="auto" w:fill="FFFFFF"/>
              </w:rPr>
              <w:lastRenderedPageBreak/>
              <w:t>Cambodia, Lao PDR, Thailand and Viet Nam on their common specific interests.</w:t>
            </w:r>
          </w:p>
        </w:tc>
        <w:tc>
          <w:tcPr>
            <w:tcW w:w="1174" w:type="pct"/>
          </w:tcPr>
          <w:p w:rsidR="007F2F9C" w:rsidRPr="00774FC5" w:rsidRDefault="007F2F9C" w:rsidP="00302E67">
            <w:pPr>
              <w:spacing w:after="0"/>
              <w:rPr>
                <w:rFonts w:eastAsia="Times New Roman" w:cs="Times New Roman"/>
                <w:sz w:val="20"/>
              </w:rPr>
            </w:pPr>
            <w:r w:rsidRPr="00774FC5">
              <w:rPr>
                <w:rFonts w:eastAsia="Times New Roman" w:cs="Times New Roman"/>
                <w:sz w:val="20"/>
              </w:rPr>
              <w:lastRenderedPageBreak/>
              <w:t>-Environmental protection measures to ensure the correct handling of dangerous goods</w:t>
            </w:r>
          </w:p>
          <w:p w:rsidR="007F2F9C" w:rsidRPr="00774FC5" w:rsidRDefault="007F2F9C" w:rsidP="00302E67">
            <w:pPr>
              <w:spacing w:after="0"/>
              <w:rPr>
                <w:rFonts w:eastAsia="Times New Roman" w:cs="Times New Roman"/>
                <w:sz w:val="20"/>
              </w:rPr>
            </w:pPr>
            <w:r w:rsidRPr="00774FC5">
              <w:rPr>
                <w:rFonts w:eastAsia="Times New Roman" w:cs="Times New Roman"/>
                <w:sz w:val="20"/>
              </w:rPr>
              <w:t xml:space="preserve">-Resources are need for </w:t>
            </w:r>
            <w:r w:rsidRPr="00774FC5">
              <w:rPr>
                <w:rFonts w:eastAsia="Times New Roman" w:cs="Times New Roman"/>
                <w:sz w:val="20"/>
              </w:rPr>
              <w:lastRenderedPageBreak/>
              <w:t>preventing and responding to oil spill pollution</w:t>
            </w:r>
          </w:p>
          <w:p w:rsidR="007F2F9C" w:rsidRPr="00774FC5" w:rsidRDefault="007F2F9C" w:rsidP="00302E67">
            <w:pPr>
              <w:spacing w:after="0"/>
              <w:rPr>
                <w:rFonts w:cs="Times New Roman"/>
                <w:sz w:val="20"/>
              </w:rPr>
            </w:pPr>
            <w:r w:rsidRPr="00774FC5">
              <w:rPr>
                <w:rFonts w:eastAsia="Times New Roman" w:cs="Times New Roman"/>
                <w:sz w:val="20"/>
              </w:rPr>
              <w:t>-Maintain local ports</w:t>
            </w:r>
          </w:p>
        </w:tc>
      </w:tr>
      <w:tr w:rsidR="007F2F9C" w:rsidRPr="00924255" w:rsidTr="00774FC5">
        <w:trPr>
          <w:trHeight w:val="4643"/>
        </w:trPr>
        <w:tc>
          <w:tcPr>
            <w:tcW w:w="754" w:type="pct"/>
          </w:tcPr>
          <w:p w:rsidR="007F2F9C" w:rsidRPr="00774FC5" w:rsidRDefault="007F2F9C" w:rsidP="00302E67">
            <w:pPr>
              <w:spacing w:after="0"/>
              <w:rPr>
                <w:rFonts w:cs="Times New Roman"/>
                <w:b/>
                <w:bCs/>
                <w:sz w:val="20"/>
              </w:rPr>
            </w:pPr>
            <w:r w:rsidRPr="00774FC5">
              <w:rPr>
                <w:rFonts w:cs="Times New Roman"/>
                <w:b/>
                <w:bCs/>
                <w:sz w:val="20"/>
              </w:rPr>
              <w:lastRenderedPageBreak/>
              <w:t>China Inland Waterway</w:t>
            </w:r>
          </w:p>
          <w:p w:rsidR="007F2F9C" w:rsidRPr="00774FC5" w:rsidRDefault="007F2F9C" w:rsidP="00302E67">
            <w:pPr>
              <w:spacing w:after="0"/>
              <w:rPr>
                <w:rFonts w:cs="Times New Roman"/>
                <w:i/>
                <w:iCs/>
                <w:sz w:val="20"/>
              </w:rPr>
            </w:pPr>
            <w:r w:rsidRPr="00774FC5">
              <w:rPr>
                <w:rFonts w:cs="Times New Roman"/>
                <w:i/>
                <w:iCs/>
                <w:sz w:val="20"/>
              </w:rPr>
              <w:t>China</w:t>
            </w:r>
          </w:p>
        </w:tc>
        <w:tc>
          <w:tcPr>
            <w:tcW w:w="846" w:type="pct"/>
          </w:tcPr>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Navigable rivers 110 000 km (Yangtze 6418 km with 3,000 km suitable for navigation by vessels)</w:t>
            </w:r>
          </w:p>
          <w:p w:rsidR="007F2F9C" w:rsidRPr="00774FC5" w:rsidRDefault="007F2F9C" w:rsidP="00302E67">
            <w:pPr>
              <w:spacing w:after="0"/>
              <w:rPr>
                <w:rFonts w:cs="Times New Roman"/>
                <w:sz w:val="20"/>
                <w:shd w:val="clear" w:color="auto" w:fill="FFFFFF"/>
              </w:rPr>
            </w:pPr>
          </w:p>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 xml:space="preserve">About 850 000 000 t/year on the Yangtze </w:t>
            </w:r>
          </w:p>
          <w:p w:rsidR="007F2F9C" w:rsidRPr="00774FC5" w:rsidRDefault="007F2F9C" w:rsidP="00302E67">
            <w:pPr>
              <w:spacing w:after="0"/>
              <w:rPr>
                <w:rFonts w:cs="Times New Roman"/>
                <w:sz w:val="20"/>
              </w:rPr>
            </w:pPr>
            <w:r w:rsidRPr="00774FC5">
              <w:rPr>
                <w:rFonts w:cs="Times New Roman"/>
                <w:sz w:val="20"/>
                <w:shd w:val="clear" w:color="auto" w:fill="FFFFFF"/>
              </w:rPr>
              <w:t>1 200 000 000 000t/year in China</w:t>
            </w:r>
          </w:p>
        </w:tc>
        <w:tc>
          <w:tcPr>
            <w:tcW w:w="1136" w:type="pct"/>
          </w:tcPr>
          <w:p w:rsidR="007F2F9C" w:rsidRPr="00774FC5" w:rsidRDefault="007F2F9C" w:rsidP="00302E67">
            <w:pPr>
              <w:shd w:val="clear" w:color="auto" w:fill="FFFFFF"/>
              <w:spacing w:after="0" w:line="134" w:lineRule="atLeast"/>
              <w:textAlignment w:val="baseline"/>
              <w:rPr>
                <w:rFonts w:eastAsia="Times New Roman" w:cs="Times New Roman"/>
                <w:sz w:val="20"/>
              </w:rPr>
            </w:pPr>
            <w:r w:rsidRPr="00774FC5">
              <w:rPr>
                <w:rFonts w:eastAsia="Times New Roman" w:cs="Times New Roman"/>
                <w:sz w:val="20"/>
              </w:rPr>
              <w:t> </w:t>
            </w:r>
            <w:r w:rsidR="002E04F3" w:rsidRPr="00774FC5">
              <w:rPr>
                <w:rFonts w:eastAsia="Times New Roman" w:cs="Times New Roman"/>
                <w:sz w:val="20"/>
              </w:rPr>
              <w:t>The Yangtze interconnects with many lakes, railways, trun</w:t>
            </w:r>
            <w:r w:rsidR="002E04F3">
              <w:rPr>
                <w:rFonts w:eastAsia="Times New Roman" w:cs="Times New Roman"/>
                <w:sz w:val="20"/>
              </w:rPr>
              <w:t>k highways and seaborne traffic.  T</w:t>
            </w:r>
            <w:r w:rsidR="002E04F3" w:rsidRPr="00774FC5">
              <w:rPr>
                <w:rFonts w:eastAsia="Times New Roman" w:cs="Times New Roman"/>
                <w:sz w:val="20"/>
              </w:rPr>
              <w:t>hey form the largest communications and transportation network and have a very important economic position in China. </w:t>
            </w:r>
          </w:p>
          <w:p w:rsidR="007F2F9C" w:rsidRPr="00774FC5" w:rsidRDefault="007F2F9C" w:rsidP="00302E67">
            <w:pPr>
              <w:spacing w:after="0"/>
              <w:rPr>
                <w:rFonts w:cs="Times New Roman"/>
                <w:sz w:val="20"/>
              </w:rPr>
            </w:pPr>
          </w:p>
        </w:tc>
        <w:tc>
          <w:tcPr>
            <w:tcW w:w="1089" w:type="pct"/>
          </w:tcPr>
          <w:p w:rsidR="007F2F9C" w:rsidRPr="00774FC5" w:rsidRDefault="007F2F9C" w:rsidP="00302E67">
            <w:pPr>
              <w:spacing w:after="0"/>
              <w:rPr>
                <w:rFonts w:cs="Times New Roman"/>
                <w:sz w:val="20"/>
              </w:rPr>
            </w:pPr>
            <w:r w:rsidRPr="00774FC5">
              <w:rPr>
                <w:rFonts w:cs="Times New Roman"/>
                <w:sz w:val="20"/>
                <w:shd w:val="clear" w:color="auto" w:fill="FFFFFF"/>
              </w:rPr>
              <w:t>China Ministry of transport</w:t>
            </w:r>
          </w:p>
        </w:tc>
        <w:tc>
          <w:tcPr>
            <w:tcW w:w="1174" w:type="pct"/>
          </w:tcPr>
          <w:p w:rsidR="007F2F9C" w:rsidRPr="00774FC5" w:rsidRDefault="007F2F9C" w:rsidP="00302E67">
            <w:pPr>
              <w:spacing w:after="0"/>
              <w:rPr>
                <w:rFonts w:eastAsia="Times New Roman" w:cs="Times New Roman"/>
                <w:sz w:val="20"/>
              </w:rPr>
            </w:pPr>
            <w:r w:rsidRPr="00774FC5">
              <w:rPr>
                <w:rFonts w:eastAsia="Times New Roman" w:cs="Times New Roman"/>
                <w:sz w:val="20"/>
              </w:rPr>
              <w:t xml:space="preserve"> -Continuing channel upgrades</w:t>
            </w:r>
          </w:p>
          <w:p w:rsidR="007F2F9C" w:rsidRPr="00774FC5" w:rsidRDefault="007F2F9C" w:rsidP="00302E67">
            <w:pPr>
              <w:spacing w:after="0"/>
              <w:rPr>
                <w:rFonts w:eastAsia="Times New Roman" w:cs="Times New Roman"/>
                <w:sz w:val="20"/>
              </w:rPr>
            </w:pPr>
            <w:r w:rsidRPr="00774FC5">
              <w:rPr>
                <w:rFonts w:eastAsia="Times New Roman" w:cs="Times New Roman"/>
                <w:sz w:val="20"/>
              </w:rPr>
              <w:t>-Fleet modernization including the use of separate barges and pusher units instead of self-powered small vessels.</w:t>
            </w:r>
          </w:p>
          <w:p w:rsidR="007F2F9C" w:rsidRPr="00774FC5" w:rsidRDefault="007F2F9C" w:rsidP="00302E67">
            <w:pPr>
              <w:spacing w:after="0"/>
              <w:rPr>
                <w:rFonts w:eastAsia="Times New Roman" w:cs="Times New Roman"/>
                <w:sz w:val="20"/>
              </w:rPr>
            </w:pPr>
            <w:r w:rsidRPr="00774FC5">
              <w:rPr>
                <w:rFonts w:eastAsia="Times New Roman" w:cs="Times New Roman"/>
                <w:sz w:val="20"/>
              </w:rPr>
              <w:t xml:space="preserve">-Further commercialization </w:t>
            </w:r>
          </w:p>
          <w:p w:rsidR="007F2F9C" w:rsidRPr="00774FC5" w:rsidRDefault="007F2F9C" w:rsidP="00302E67">
            <w:pPr>
              <w:spacing w:after="0"/>
              <w:rPr>
                <w:rFonts w:eastAsia="Times New Roman" w:cs="Times New Roman"/>
                <w:sz w:val="20"/>
              </w:rPr>
            </w:pPr>
            <w:r w:rsidRPr="00774FC5">
              <w:rPr>
                <w:rFonts w:eastAsia="Times New Roman" w:cs="Times New Roman"/>
                <w:sz w:val="20"/>
              </w:rPr>
              <w:t>-Awareness of inland waterways for sustainable development</w:t>
            </w:r>
          </w:p>
          <w:p w:rsidR="007F2F9C" w:rsidRPr="00774FC5" w:rsidRDefault="007F2F9C" w:rsidP="00302E67">
            <w:pPr>
              <w:spacing w:after="0"/>
              <w:rPr>
                <w:rFonts w:eastAsia="Times New Roman" w:cs="Times New Roman"/>
                <w:sz w:val="20"/>
              </w:rPr>
            </w:pPr>
            <w:r w:rsidRPr="00774FC5">
              <w:rPr>
                <w:rFonts w:eastAsia="Times New Roman" w:cs="Times New Roman"/>
                <w:sz w:val="20"/>
              </w:rPr>
              <w:t>-Operational scales in each sub-sector of IWT</w:t>
            </w:r>
          </w:p>
          <w:p w:rsidR="007F2F9C" w:rsidRPr="00774FC5" w:rsidRDefault="007F2F9C" w:rsidP="00302E67">
            <w:pPr>
              <w:spacing w:after="0"/>
              <w:rPr>
                <w:rFonts w:cs="Times New Roman"/>
                <w:sz w:val="20"/>
              </w:rPr>
            </w:pPr>
            <w:r w:rsidRPr="00774FC5">
              <w:rPr>
                <w:rFonts w:eastAsia="Times New Roman" w:cs="Times New Roman"/>
                <w:sz w:val="20"/>
              </w:rPr>
              <w:t>-Integration of IWT into intermodal transport and logistics networks</w:t>
            </w:r>
          </w:p>
        </w:tc>
      </w:tr>
      <w:tr w:rsidR="007F2F9C" w:rsidRPr="00924255" w:rsidTr="00774FC5">
        <w:trPr>
          <w:trHeight w:val="20"/>
        </w:trPr>
        <w:tc>
          <w:tcPr>
            <w:tcW w:w="754" w:type="pct"/>
          </w:tcPr>
          <w:p w:rsidR="007F2F9C" w:rsidRPr="00774FC5" w:rsidRDefault="007F2F9C" w:rsidP="00302E67">
            <w:pPr>
              <w:spacing w:after="0"/>
              <w:rPr>
                <w:rFonts w:cs="Times New Roman"/>
                <w:b/>
                <w:bCs/>
                <w:sz w:val="20"/>
              </w:rPr>
            </w:pPr>
            <w:r w:rsidRPr="00774FC5">
              <w:rPr>
                <w:rFonts w:cs="Times New Roman"/>
                <w:b/>
                <w:bCs/>
                <w:sz w:val="20"/>
              </w:rPr>
              <w:t>India Inland Waterways</w:t>
            </w:r>
          </w:p>
          <w:p w:rsidR="007F2F9C" w:rsidRPr="00774FC5" w:rsidRDefault="007F2F9C" w:rsidP="00302E67">
            <w:pPr>
              <w:spacing w:after="0"/>
              <w:rPr>
                <w:rFonts w:cs="Times New Roman"/>
                <w:sz w:val="20"/>
              </w:rPr>
            </w:pPr>
            <w:r w:rsidRPr="00774FC5">
              <w:rPr>
                <w:rFonts w:cs="Times New Roman"/>
                <w:sz w:val="20"/>
              </w:rPr>
              <w:br/>
            </w:r>
            <w:r w:rsidR="00942622">
              <w:rPr>
                <w:rFonts w:cs="Times New Roman"/>
                <w:sz w:val="20"/>
                <w:shd w:val="clear" w:color="auto" w:fill="FFFFFF"/>
              </w:rPr>
              <w:t>India</w:t>
            </w:r>
          </w:p>
        </w:tc>
        <w:tc>
          <w:tcPr>
            <w:tcW w:w="846" w:type="pct"/>
          </w:tcPr>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4,332 km have been declared as National Waterways (Ganga 2597km)</w:t>
            </w:r>
          </w:p>
          <w:p w:rsidR="007F2F9C" w:rsidRPr="00774FC5" w:rsidRDefault="007F2F9C" w:rsidP="00302E67">
            <w:pPr>
              <w:spacing w:after="0"/>
              <w:rPr>
                <w:rFonts w:cs="Times New Roman"/>
                <w:sz w:val="20"/>
              </w:rPr>
            </w:pPr>
            <w:r w:rsidRPr="00774FC5">
              <w:rPr>
                <w:rFonts w:cs="Times New Roman"/>
                <w:sz w:val="20"/>
              </w:rPr>
              <w:t>To be optimized</w:t>
            </w:r>
          </w:p>
          <w:p w:rsidR="007F2F9C" w:rsidRPr="00774FC5" w:rsidRDefault="007F2F9C" w:rsidP="00302E67">
            <w:pPr>
              <w:spacing w:after="0"/>
              <w:rPr>
                <w:rFonts w:cs="Times New Roman"/>
                <w:sz w:val="20"/>
              </w:rPr>
            </w:pPr>
          </w:p>
          <w:p w:rsidR="007F2F9C" w:rsidRPr="00774FC5" w:rsidRDefault="007F2F9C" w:rsidP="00302E67">
            <w:pPr>
              <w:spacing w:after="0"/>
              <w:rPr>
                <w:rFonts w:cs="Times New Roman"/>
                <w:sz w:val="20"/>
              </w:rPr>
            </w:pPr>
            <w:r w:rsidRPr="00774FC5">
              <w:rPr>
                <w:rFonts w:cs="Times New Roman"/>
                <w:sz w:val="20"/>
                <w:shd w:val="clear" w:color="auto" w:fill="FFFFFF"/>
              </w:rPr>
              <w:t xml:space="preserve">About 70 000 000 </w:t>
            </w:r>
            <w:r w:rsidR="00FE6385">
              <w:rPr>
                <w:rFonts w:cs="Times New Roman"/>
                <w:sz w:val="20"/>
                <w:shd w:val="clear" w:color="auto" w:fill="FFFFFF"/>
              </w:rPr>
              <w:t>tonne</w:t>
            </w:r>
            <w:r w:rsidRPr="00774FC5">
              <w:rPr>
                <w:rFonts w:cs="Times New Roman"/>
                <w:sz w:val="20"/>
                <w:shd w:val="clear" w:color="auto" w:fill="FFFFFF"/>
              </w:rPr>
              <w:t>s/year</w:t>
            </w:r>
          </w:p>
        </w:tc>
        <w:tc>
          <w:tcPr>
            <w:tcW w:w="1136" w:type="pct"/>
          </w:tcPr>
          <w:p w:rsidR="007F2F9C" w:rsidRPr="00774FC5" w:rsidRDefault="007F2F9C" w:rsidP="00302E67">
            <w:pPr>
              <w:spacing w:after="0"/>
              <w:rPr>
                <w:rFonts w:cs="Times New Roman"/>
                <w:sz w:val="20"/>
              </w:rPr>
            </w:pPr>
            <w:r w:rsidRPr="00774FC5">
              <w:rPr>
                <w:rFonts w:cs="Times New Roman"/>
                <w:sz w:val="20"/>
                <w:shd w:val="clear" w:color="auto" w:fill="FFFFFF"/>
              </w:rPr>
              <w:t>Water transport is one of the oldest means of transport in India but not very popular in the country. This is mainly due to seasonal concentra</w:t>
            </w:r>
            <w:r w:rsidRPr="00774FC5">
              <w:rPr>
                <w:rFonts w:cs="Times New Roman"/>
                <w:sz w:val="20"/>
                <w:shd w:val="clear" w:color="auto" w:fill="FFFFFF"/>
              </w:rPr>
              <w:softHyphen/>
              <w:t>tion of rainfall.</w:t>
            </w:r>
          </w:p>
        </w:tc>
        <w:tc>
          <w:tcPr>
            <w:tcW w:w="1089" w:type="pct"/>
          </w:tcPr>
          <w:p w:rsidR="007F2F9C" w:rsidRPr="00774FC5" w:rsidRDefault="007F2F9C" w:rsidP="00302E67">
            <w:pPr>
              <w:spacing w:after="0"/>
              <w:rPr>
                <w:rFonts w:cs="Times New Roman"/>
                <w:sz w:val="20"/>
                <w:shd w:val="clear" w:color="auto" w:fill="FFFFFF"/>
              </w:rPr>
            </w:pPr>
            <w:r w:rsidRPr="00774FC5">
              <w:rPr>
                <w:rFonts w:cs="Times New Roman"/>
                <w:sz w:val="20"/>
              </w:rPr>
              <w:t xml:space="preserve">The </w:t>
            </w:r>
            <w:r w:rsidRPr="00774FC5">
              <w:rPr>
                <w:rFonts w:cs="Times New Roman"/>
                <w:sz w:val="20"/>
                <w:shd w:val="clear" w:color="auto" w:fill="FFFFFF"/>
              </w:rPr>
              <w:t xml:space="preserve">Inland Waterways Authority of India (IWAI) was set up in October 1986 with the IWAI Act of 1985. </w:t>
            </w:r>
          </w:p>
          <w:p w:rsidR="007F2F9C" w:rsidRPr="00774FC5" w:rsidRDefault="007F2F9C" w:rsidP="00302E67">
            <w:pPr>
              <w:spacing w:after="0"/>
              <w:rPr>
                <w:rFonts w:cs="Times New Roman"/>
                <w:sz w:val="20"/>
                <w:shd w:val="clear" w:color="auto" w:fill="FFFFFF"/>
              </w:rPr>
            </w:pPr>
            <w:r w:rsidRPr="00774FC5">
              <w:rPr>
                <w:rFonts w:cs="Times New Roman"/>
                <w:sz w:val="20"/>
                <w:shd w:val="clear" w:color="auto" w:fill="FFFFFF"/>
              </w:rPr>
              <w:t>Five National Waterways are under the purview of Central Government. There are other waterways managed by the respective State Governments.</w:t>
            </w:r>
          </w:p>
        </w:tc>
        <w:tc>
          <w:tcPr>
            <w:tcW w:w="1174" w:type="pct"/>
          </w:tcPr>
          <w:p w:rsidR="007F2F9C" w:rsidRPr="00774FC5" w:rsidRDefault="007F2F9C" w:rsidP="00D6486D">
            <w:pPr>
              <w:numPr>
                <w:ilvl w:val="0"/>
                <w:numId w:val="80"/>
              </w:numPr>
              <w:shd w:val="clear" w:color="auto" w:fill="FFFFFF"/>
              <w:spacing w:after="0" w:line="134" w:lineRule="atLeast"/>
              <w:ind w:left="0"/>
              <w:textAlignment w:val="baseline"/>
              <w:rPr>
                <w:rFonts w:eastAsia="Times New Roman" w:cs="Times New Roman"/>
                <w:sz w:val="20"/>
              </w:rPr>
            </w:pPr>
            <w:r w:rsidRPr="00774FC5">
              <w:rPr>
                <w:rFonts w:eastAsia="Times New Roman" w:cs="Times New Roman"/>
                <w:sz w:val="20"/>
              </w:rPr>
              <w:t>-Maintenance of the targeted LAD as a number of shoals form simultaneously during lean season.</w:t>
            </w:r>
          </w:p>
          <w:p w:rsidR="007F2F9C" w:rsidRPr="00774FC5" w:rsidRDefault="007F2F9C" w:rsidP="00D6486D">
            <w:pPr>
              <w:numPr>
                <w:ilvl w:val="0"/>
                <w:numId w:val="80"/>
              </w:numPr>
              <w:shd w:val="clear" w:color="auto" w:fill="FFFFFF"/>
              <w:spacing w:after="0" w:line="134" w:lineRule="atLeast"/>
              <w:ind w:left="0"/>
              <w:textAlignment w:val="baseline"/>
              <w:rPr>
                <w:rFonts w:eastAsia="Times New Roman" w:cs="Times New Roman"/>
                <w:sz w:val="20"/>
              </w:rPr>
            </w:pPr>
            <w:r w:rsidRPr="00774FC5">
              <w:rPr>
                <w:rFonts w:eastAsia="Times New Roman" w:cs="Times New Roman"/>
                <w:sz w:val="20"/>
              </w:rPr>
              <w:t>-Availability of adequate dredgers for talking the shoals.</w:t>
            </w:r>
          </w:p>
          <w:p w:rsidR="007F2F9C" w:rsidRPr="00774FC5" w:rsidRDefault="007F2F9C" w:rsidP="00D6486D">
            <w:pPr>
              <w:numPr>
                <w:ilvl w:val="0"/>
                <w:numId w:val="80"/>
              </w:numPr>
              <w:shd w:val="clear" w:color="auto" w:fill="FFFFFF"/>
              <w:spacing w:after="0" w:line="134" w:lineRule="atLeast"/>
              <w:ind w:left="0"/>
              <w:textAlignment w:val="baseline"/>
              <w:rPr>
                <w:rFonts w:eastAsia="Times New Roman" w:cs="Times New Roman"/>
                <w:sz w:val="20"/>
              </w:rPr>
            </w:pPr>
            <w:r w:rsidRPr="00774FC5">
              <w:rPr>
                <w:rFonts w:eastAsia="Times New Roman" w:cs="Times New Roman"/>
                <w:sz w:val="20"/>
              </w:rPr>
              <w:t>-Availability of technology for channel stabilization/ rectification</w:t>
            </w:r>
          </w:p>
          <w:p w:rsidR="007F2F9C" w:rsidRPr="00774FC5" w:rsidRDefault="007F2F9C" w:rsidP="00D6486D">
            <w:pPr>
              <w:numPr>
                <w:ilvl w:val="0"/>
                <w:numId w:val="80"/>
              </w:numPr>
              <w:shd w:val="clear" w:color="auto" w:fill="FFFFFF"/>
              <w:spacing w:after="0" w:line="134" w:lineRule="atLeast"/>
              <w:ind w:left="0"/>
              <w:textAlignment w:val="baseline"/>
              <w:rPr>
                <w:rFonts w:eastAsia="Times New Roman" w:cs="Times New Roman"/>
                <w:sz w:val="20"/>
              </w:rPr>
            </w:pPr>
            <w:r w:rsidRPr="00774FC5">
              <w:rPr>
                <w:rFonts w:eastAsia="Times New Roman" w:cs="Times New Roman"/>
                <w:sz w:val="20"/>
              </w:rPr>
              <w:t>-Remoteness of the area</w:t>
            </w:r>
          </w:p>
          <w:p w:rsidR="007F2F9C" w:rsidRPr="00774FC5" w:rsidRDefault="007F2F9C" w:rsidP="00D6486D">
            <w:pPr>
              <w:numPr>
                <w:ilvl w:val="0"/>
                <w:numId w:val="80"/>
              </w:numPr>
              <w:shd w:val="clear" w:color="auto" w:fill="FFFFFF"/>
              <w:spacing w:after="0" w:line="134" w:lineRule="atLeast"/>
              <w:ind w:left="0"/>
              <w:textAlignment w:val="baseline"/>
              <w:rPr>
                <w:rFonts w:eastAsia="Times New Roman" w:cs="Times New Roman"/>
                <w:sz w:val="20"/>
              </w:rPr>
            </w:pPr>
            <w:r w:rsidRPr="00774FC5">
              <w:rPr>
                <w:rFonts w:eastAsia="Times New Roman" w:cs="Times New Roman"/>
                <w:sz w:val="20"/>
              </w:rPr>
              <w:t>-Sufficient resources (government funding)</w:t>
            </w:r>
          </w:p>
          <w:p w:rsidR="007F2F9C" w:rsidRPr="00774FC5" w:rsidRDefault="007F2F9C" w:rsidP="00302E67">
            <w:pPr>
              <w:spacing w:after="0"/>
              <w:rPr>
                <w:rFonts w:cs="Times New Roman"/>
                <w:sz w:val="20"/>
              </w:rPr>
            </w:pPr>
          </w:p>
        </w:tc>
      </w:tr>
    </w:tbl>
    <w:p w:rsidR="007F2F9C" w:rsidRDefault="001F504E" w:rsidP="001F504E">
      <w:pPr>
        <w:spacing w:before="120" w:after="0" w:line="360" w:lineRule="auto"/>
        <w:jc w:val="both"/>
        <w:rPr>
          <w:rStyle w:val="Hyperlink"/>
          <w:rFonts w:cs="Times New Roman"/>
          <w:b/>
          <w:i/>
          <w:sz w:val="20"/>
          <w:szCs w:val="24"/>
        </w:rPr>
      </w:pPr>
      <w:r w:rsidRPr="009538ED">
        <w:rPr>
          <w:rFonts w:cs="Times New Roman"/>
          <w:b/>
          <w:i/>
          <w:szCs w:val="24"/>
        </w:rPr>
        <w:t>Source</w:t>
      </w:r>
      <w:r w:rsidRPr="009538ED">
        <w:rPr>
          <w:rFonts w:cs="Times New Roman"/>
          <w:i/>
          <w:szCs w:val="24"/>
        </w:rPr>
        <w:t xml:space="preserve">: </w:t>
      </w:r>
      <w:r w:rsidRPr="009538ED">
        <w:rPr>
          <w:rFonts w:cs="Times New Roman"/>
          <w:b/>
          <w:i/>
          <w:sz w:val="20"/>
          <w:szCs w:val="24"/>
        </w:rPr>
        <w:t xml:space="preserve">Worldwide Inland Navigation Network, available at:   </w:t>
      </w:r>
      <w:hyperlink r:id="rId154" w:history="1">
        <w:r w:rsidRPr="009538ED">
          <w:rPr>
            <w:rStyle w:val="Hyperlink"/>
            <w:rFonts w:cs="Times New Roman"/>
            <w:b/>
            <w:i/>
            <w:sz w:val="20"/>
            <w:szCs w:val="24"/>
          </w:rPr>
          <w:t>http://www.wwinn.org/the-rhine</w:t>
        </w:r>
      </w:hyperlink>
    </w:p>
    <w:p w:rsidR="00835763" w:rsidRDefault="00835763">
      <w:pPr>
        <w:rPr>
          <w:rFonts w:cs="Times New Roman"/>
          <w:b/>
          <w:color w:val="1F497D" w:themeColor="text2"/>
          <w:sz w:val="28"/>
        </w:rPr>
      </w:pPr>
      <w:r>
        <w:br w:type="page"/>
      </w:r>
    </w:p>
    <w:p w:rsidR="00F64A6A" w:rsidRDefault="007F2F9C" w:rsidP="00F64A6A">
      <w:pPr>
        <w:pStyle w:val="Heading2"/>
      </w:pPr>
      <w:bookmarkStart w:id="645" w:name="_Toc474638909"/>
      <w:r w:rsidRPr="00143410">
        <w:lastRenderedPageBreak/>
        <w:t>The Economics of Bangladesh IWT</w:t>
      </w:r>
      <w:bookmarkEnd w:id="645"/>
      <w:r w:rsidRPr="00143410">
        <w:t xml:space="preserve">  </w:t>
      </w:r>
    </w:p>
    <w:p w:rsidR="00000000" w:rsidRDefault="007F2F9C" w:rsidP="003D5A31">
      <w:pPr>
        <w:pStyle w:val="BodyText"/>
        <w:numPr>
          <w:ilvl w:val="2"/>
          <w:numId w:val="154"/>
        </w:numPr>
        <w:spacing w:after="240" w:line="276" w:lineRule="auto"/>
        <w:jc w:val="both"/>
        <w:rPr>
          <w:rFonts w:cs="Times New Roman"/>
          <w:b/>
          <w:szCs w:val="24"/>
        </w:rPr>
      </w:pPr>
      <w:r w:rsidRPr="001968E1">
        <w:rPr>
          <w:rFonts w:cs="Times New Roman"/>
          <w:b/>
          <w:szCs w:val="24"/>
        </w:rPr>
        <w:t>Unbalanced Inter-modal Transport System</w:t>
      </w:r>
    </w:p>
    <w:p w:rsidR="007F2F9C" w:rsidRDefault="007F2F9C" w:rsidP="00302E67">
      <w:pPr>
        <w:spacing w:line="276" w:lineRule="auto"/>
        <w:jc w:val="both"/>
        <w:rPr>
          <w:rFonts w:cs="Times New Roman"/>
          <w:szCs w:val="24"/>
        </w:rPr>
      </w:pPr>
      <w:r>
        <w:rPr>
          <w:rFonts w:cs="Times New Roman"/>
          <w:szCs w:val="24"/>
        </w:rPr>
        <w:t xml:space="preserve">The trend in growth of value-added in transport and its main components is shown in Figure </w:t>
      </w:r>
      <w:r w:rsidR="00DA20B3">
        <w:rPr>
          <w:rFonts w:cs="Times New Roman"/>
          <w:szCs w:val="24"/>
        </w:rPr>
        <w:t>9.</w:t>
      </w:r>
      <w:r>
        <w:rPr>
          <w:rFonts w:cs="Times New Roman"/>
          <w:szCs w:val="24"/>
        </w:rPr>
        <w:t>2.  Following a huge surge in IWT fortunes in the 1990s, took a plunge and lost ground during the 1999-2005 periods.  There are some signs of a recovery since then.  Nevertheless, IWT value-added has been growing much slower than the transport sector in general.</w:t>
      </w:r>
    </w:p>
    <w:p w:rsidR="00F00784" w:rsidRPr="00F00784" w:rsidRDefault="00F00784" w:rsidP="0036657D">
      <w:pPr>
        <w:pStyle w:val="Heading5"/>
      </w:pPr>
      <w:bookmarkStart w:id="646" w:name="_Toc474639204"/>
      <w:r w:rsidRPr="00F00784">
        <w:t xml:space="preserve">Figure </w:t>
      </w:r>
      <w:r w:rsidR="00DA20B3">
        <w:t>9.</w:t>
      </w:r>
      <w:r w:rsidR="00774FC5">
        <w:t>2: Growth R</w:t>
      </w:r>
      <w:r w:rsidRPr="00F00784">
        <w:t>ate of</w:t>
      </w:r>
      <w:r w:rsidR="00774FC5">
        <w:t xml:space="preserve"> Transport S</w:t>
      </w:r>
      <w:r w:rsidRPr="00F00784">
        <w:t>ector (% per year)</w:t>
      </w:r>
      <w:bookmarkEnd w:id="646"/>
    </w:p>
    <w:p w:rsidR="007F2F9C" w:rsidRDefault="007F2F9C" w:rsidP="00302E67">
      <w:pPr>
        <w:spacing w:after="0" w:line="276" w:lineRule="auto"/>
        <w:ind w:left="720"/>
        <w:jc w:val="both"/>
        <w:rPr>
          <w:rFonts w:cs="Times New Roman"/>
          <w:szCs w:val="24"/>
        </w:rPr>
      </w:pPr>
      <w:r w:rsidRPr="007E1B96">
        <w:rPr>
          <w:rFonts w:cs="Times New Roman"/>
          <w:noProof/>
          <w:szCs w:val="24"/>
          <w:lang w:val="en-AU" w:eastAsia="en-AU" w:bidi="bn-BD"/>
        </w:rPr>
        <w:drawing>
          <wp:inline distT="0" distB="0" distL="0" distR="0">
            <wp:extent cx="5308166" cy="3200400"/>
            <wp:effectExtent l="0" t="0" r="6985" b="0"/>
            <wp:docPr id="14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7F2F9C" w:rsidRPr="007E1B96" w:rsidRDefault="007F2F9C" w:rsidP="00302E67">
      <w:pPr>
        <w:spacing w:line="276" w:lineRule="auto"/>
        <w:ind w:left="720"/>
        <w:jc w:val="both"/>
        <w:rPr>
          <w:rFonts w:cs="Times New Roman"/>
          <w:b/>
          <w:bCs/>
          <w:i/>
          <w:iCs/>
          <w:sz w:val="20"/>
          <w:szCs w:val="20"/>
        </w:rPr>
      </w:pPr>
      <w:r w:rsidRPr="007E1B96">
        <w:rPr>
          <w:rFonts w:cs="Times New Roman"/>
          <w:b/>
          <w:bCs/>
          <w:i/>
          <w:iCs/>
          <w:sz w:val="20"/>
          <w:szCs w:val="20"/>
        </w:rPr>
        <w:t>Source: BBS</w:t>
      </w:r>
    </w:p>
    <w:p w:rsidR="007F2F9C" w:rsidRDefault="007F2F9C" w:rsidP="00302E67">
      <w:pPr>
        <w:spacing w:line="276" w:lineRule="auto"/>
        <w:jc w:val="both"/>
        <w:rPr>
          <w:rFonts w:cs="Times New Roman"/>
          <w:szCs w:val="24"/>
        </w:rPr>
      </w:pPr>
      <w:r>
        <w:rPr>
          <w:rFonts w:cs="Times New Roman"/>
          <w:szCs w:val="24"/>
        </w:rPr>
        <w:t xml:space="preserve">This slump in growth of IWT value-added has caused a sharply declining share of IWT in transport sector value-added (Figure </w:t>
      </w:r>
      <w:r w:rsidR="00DA20B3">
        <w:rPr>
          <w:rFonts w:cs="Times New Roman"/>
          <w:szCs w:val="24"/>
        </w:rPr>
        <w:t>9.</w:t>
      </w:r>
      <w:r>
        <w:rPr>
          <w:rFonts w:cs="Times New Roman"/>
          <w:szCs w:val="24"/>
        </w:rPr>
        <w:t>3).  This is a combination of a lack on investment and low income activities in IWT.   Yet, with proper investment and regulatory policies to ensure safety and security of IWT facilities, this activity can be a major source of economic growth in terms of facilitating low-cost transportation of goods and services as well as providing employment and income opportunities for a large number of the rural poor.</w:t>
      </w:r>
    </w:p>
    <w:p w:rsidR="002346CD" w:rsidRPr="00C7323F" w:rsidRDefault="001420DB" w:rsidP="00C7323F">
      <w:pPr>
        <w:rPr>
          <w:b/>
          <w:szCs w:val="24"/>
          <w:lang w:val="en-GB"/>
        </w:rPr>
      </w:pPr>
      <w:r>
        <w:rPr>
          <w:lang w:val="en-GB"/>
        </w:rPr>
        <w:br w:type="page"/>
      </w:r>
    </w:p>
    <w:p w:rsidR="00F00784" w:rsidRPr="00F00784" w:rsidRDefault="00F00784" w:rsidP="0036657D">
      <w:pPr>
        <w:pStyle w:val="Heading5"/>
        <w:rPr>
          <w:lang w:val="en-GB"/>
        </w:rPr>
      </w:pPr>
      <w:bookmarkStart w:id="647" w:name="_Toc474639205"/>
      <w:r w:rsidRPr="00F00784">
        <w:rPr>
          <w:lang w:val="en-GB"/>
        </w:rPr>
        <w:lastRenderedPageBreak/>
        <w:t xml:space="preserve">Figure </w:t>
      </w:r>
      <w:r w:rsidR="00DA20B3">
        <w:rPr>
          <w:lang w:val="en-GB"/>
        </w:rPr>
        <w:t>9.</w:t>
      </w:r>
      <w:r w:rsidR="00774FC5">
        <w:rPr>
          <w:lang w:val="en-GB"/>
        </w:rPr>
        <w:t>3: Composition of Transport in Value-A</w:t>
      </w:r>
      <w:r w:rsidRPr="00F00784">
        <w:rPr>
          <w:lang w:val="en-GB"/>
        </w:rPr>
        <w:t>dded (%)</w:t>
      </w:r>
      <w:bookmarkEnd w:id="647"/>
    </w:p>
    <w:p w:rsidR="007F2F9C" w:rsidRDefault="007F2F9C" w:rsidP="00F00784">
      <w:pPr>
        <w:spacing w:after="0" w:line="276" w:lineRule="auto"/>
        <w:jc w:val="center"/>
        <w:rPr>
          <w:rFonts w:cs="Times New Roman"/>
          <w:szCs w:val="24"/>
        </w:rPr>
      </w:pPr>
      <w:r w:rsidRPr="007776DF">
        <w:rPr>
          <w:rFonts w:cs="Times New Roman"/>
          <w:noProof/>
          <w:szCs w:val="24"/>
          <w:lang w:val="en-AU" w:eastAsia="en-AU" w:bidi="bn-BD"/>
        </w:rPr>
        <w:drawing>
          <wp:inline distT="0" distB="0" distL="0" distR="0">
            <wp:extent cx="4572000" cy="2667000"/>
            <wp:effectExtent l="0" t="0" r="19050" b="19050"/>
            <wp:docPr id="14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7F2F9C" w:rsidRPr="007776DF" w:rsidRDefault="007F2F9C" w:rsidP="00A435F5">
      <w:pPr>
        <w:spacing w:before="120" w:line="276" w:lineRule="auto"/>
        <w:jc w:val="both"/>
        <w:rPr>
          <w:rFonts w:cs="Times New Roman"/>
          <w:b/>
          <w:bCs/>
          <w:i/>
          <w:iCs/>
          <w:sz w:val="20"/>
          <w:szCs w:val="20"/>
        </w:rPr>
      </w:pPr>
      <w:r>
        <w:rPr>
          <w:rFonts w:cs="Times New Roman"/>
          <w:szCs w:val="24"/>
        </w:rPr>
        <w:tab/>
      </w:r>
      <w:r w:rsidRPr="007776DF">
        <w:rPr>
          <w:rFonts w:cs="Times New Roman"/>
          <w:b/>
          <w:bCs/>
          <w:i/>
          <w:iCs/>
          <w:sz w:val="20"/>
          <w:szCs w:val="20"/>
        </w:rPr>
        <w:t xml:space="preserve">   </w:t>
      </w:r>
      <w:r w:rsidR="00942622">
        <w:rPr>
          <w:rFonts w:cs="Times New Roman"/>
          <w:b/>
          <w:bCs/>
          <w:i/>
          <w:iCs/>
          <w:sz w:val="20"/>
          <w:szCs w:val="20"/>
        </w:rPr>
        <w:t xml:space="preserve">  Source: BBS </w:t>
      </w:r>
    </w:p>
    <w:p w:rsidR="007F2F9C" w:rsidRDefault="007F2F9C" w:rsidP="00302E67">
      <w:pPr>
        <w:spacing w:line="276" w:lineRule="auto"/>
        <w:jc w:val="both"/>
        <w:rPr>
          <w:rFonts w:cs="Times New Roman"/>
          <w:szCs w:val="24"/>
        </w:rPr>
      </w:pPr>
      <w:r>
        <w:rPr>
          <w:rFonts w:cs="Times New Roman"/>
          <w:szCs w:val="24"/>
        </w:rPr>
        <w:t xml:space="preserve">Figures </w:t>
      </w:r>
      <w:r w:rsidR="00DA20B3">
        <w:rPr>
          <w:rFonts w:cs="Times New Roman"/>
          <w:szCs w:val="24"/>
        </w:rPr>
        <w:t>9.</w:t>
      </w:r>
      <w:r>
        <w:rPr>
          <w:rFonts w:cs="Times New Roman"/>
          <w:szCs w:val="24"/>
        </w:rPr>
        <w:t xml:space="preserve">2 and </w:t>
      </w:r>
      <w:r w:rsidR="00DA20B3">
        <w:rPr>
          <w:rFonts w:cs="Times New Roman"/>
          <w:szCs w:val="24"/>
        </w:rPr>
        <w:t>9.</w:t>
      </w:r>
      <w:r>
        <w:rPr>
          <w:rFonts w:cs="Times New Roman"/>
          <w:szCs w:val="24"/>
        </w:rPr>
        <w:t xml:space="preserve">3 are instructive in another way.  They illustrate the poor inter-modal transport planning and strategy. Not only that the healthy balance between IWT and road transport has been destroyed over the years, the single-minded focus on road transport has led to the stunting of growth of all other modes of transport.  This unbalanced transport network is a leading factor for traffic congestion, inadequate transport options for business and individuals, high-cost transport sector and damage to environmental factors including increasing air pollution.  </w:t>
      </w:r>
    </w:p>
    <w:p w:rsidR="00000000" w:rsidRDefault="001B086A" w:rsidP="003D5A31">
      <w:pPr>
        <w:pStyle w:val="BodyText"/>
        <w:numPr>
          <w:ilvl w:val="2"/>
          <w:numId w:val="154"/>
        </w:numPr>
        <w:spacing w:after="240" w:line="276" w:lineRule="auto"/>
        <w:jc w:val="both"/>
        <w:rPr>
          <w:rFonts w:cs="Times New Roman"/>
          <w:b/>
          <w:bCs/>
          <w:szCs w:val="24"/>
          <w:lang w:val="en-GB"/>
        </w:rPr>
      </w:pPr>
      <w:r w:rsidRPr="001968E1">
        <w:rPr>
          <w:rFonts w:cs="Times New Roman"/>
          <w:b/>
          <w:szCs w:val="24"/>
        </w:rPr>
        <w:t>Rationale for Developing an E</w:t>
      </w:r>
      <w:r w:rsidR="007F2F9C" w:rsidRPr="001968E1">
        <w:rPr>
          <w:rFonts w:cs="Times New Roman"/>
          <w:b/>
          <w:szCs w:val="24"/>
        </w:rPr>
        <w:t>fficient</w:t>
      </w:r>
      <w:r w:rsidRPr="001968E1">
        <w:rPr>
          <w:rFonts w:cs="Times New Roman"/>
          <w:b/>
          <w:szCs w:val="24"/>
        </w:rPr>
        <w:t xml:space="preserve"> Inland Waterway Transport S</w:t>
      </w:r>
      <w:r w:rsidR="007F2F9C" w:rsidRPr="001968E1">
        <w:rPr>
          <w:rFonts w:cs="Times New Roman"/>
          <w:b/>
          <w:szCs w:val="24"/>
        </w:rPr>
        <w:t>ystem</w:t>
      </w:r>
    </w:p>
    <w:p w:rsidR="007F2F9C" w:rsidRPr="004B0A08" w:rsidRDefault="007F2F9C" w:rsidP="00302E67">
      <w:pPr>
        <w:spacing w:line="276" w:lineRule="auto"/>
        <w:jc w:val="both"/>
        <w:rPr>
          <w:rFonts w:cs="Times New Roman"/>
          <w:i/>
          <w:szCs w:val="24"/>
        </w:rPr>
      </w:pPr>
      <w:r w:rsidRPr="00886C61">
        <w:rPr>
          <w:rFonts w:cs="Times New Roman"/>
          <w:color w:val="231F20"/>
          <w:szCs w:val="24"/>
        </w:rPr>
        <w:t>Inland</w:t>
      </w:r>
      <w:r w:rsidRPr="00886C61">
        <w:rPr>
          <w:rFonts w:cs="Times New Roman"/>
          <w:color w:val="231F20"/>
          <w:spacing w:val="33"/>
          <w:szCs w:val="24"/>
        </w:rPr>
        <w:t xml:space="preserve"> </w:t>
      </w:r>
      <w:r w:rsidRPr="00886C61">
        <w:rPr>
          <w:rFonts w:cs="Times New Roman"/>
          <w:color w:val="231F20"/>
          <w:spacing w:val="-1"/>
          <w:szCs w:val="24"/>
        </w:rPr>
        <w:t>wat</w:t>
      </w:r>
      <w:r w:rsidRPr="00886C61">
        <w:rPr>
          <w:rFonts w:cs="Times New Roman"/>
          <w:color w:val="231F20"/>
          <w:spacing w:val="-2"/>
          <w:szCs w:val="24"/>
        </w:rPr>
        <w:t>er</w:t>
      </w:r>
      <w:r w:rsidRPr="00886C61">
        <w:rPr>
          <w:rFonts w:cs="Times New Roman"/>
          <w:color w:val="231F20"/>
          <w:spacing w:val="34"/>
          <w:szCs w:val="24"/>
        </w:rPr>
        <w:t xml:space="preserve"> </w:t>
      </w:r>
      <w:r w:rsidRPr="00886C61">
        <w:rPr>
          <w:rFonts w:cs="Times New Roman"/>
          <w:color w:val="231F20"/>
          <w:szCs w:val="24"/>
        </w:rPr>
        <w:t>transport</w:t>
      </w:r>
      <w:r w:rsidRPr="00886C61">
        <w:rPr>
          <w:rFonts w:cs="Times New Roman"/>
          <w:color w:val="231F20"/>
          <w:spacing w:val="34"/>
          <w:szCs w:val="24"/>
        </w:rPr>
        <w:t xml:space="preserve"> </w:t>
      </w:r>
      <w:r w:rsidRPr="00886C61">
        <w:rPr>
          <w:rFonts w:cs="Times New Roman"/>
          <w:color w:val="231F20"/>
          <w:spacing w:val="-1"/>
          <w:szCs w:val="24"/>
        </w:rPr>
        <w:t>provides</w:t>
      </w:r>
      <w:r w:rsidRPr="00886C61">
        <w:rPr>
          <w:rFonts w:cs="Times New Roman"/>
          <w:color w:val="231F20"/>
          <w:spacing w:val="33"/>
          <w:szCs w:val="24"/>
        </w:rPr>
        <w:t xml:space="preserve"> </w:t>
      </w:r>
      <w:r w:rsidRPr="00886C61">
        <w:rPr>
          <w:rFonts w:cs="Times New Roman"/>
          <w:color w:val="231F20"/>
          <w:szCs w:val="24"/>
        </w:rPr>
        <w:t>transportation</w:t>
      </w:r>
      <w:r w:rsidRPr="00886C61">
        <w:rPr>
          <w:rFonts w:cs="Times New Roman"/>
          <w:color w:val="231F20"/>
          <w:spacing w:val="34"/>
          <w:szCs w:val="24"/>
        </w:rPr>
        <w:t xml:space="preserve"> </w:t>
      </w:r>
      <w:r w:rsidRPr="00886C61">
        <w:rPr>
          <w:rFonts w:cs="Times New Roman"/>
          <w:color w:val="231F20"/>
          <w:spacing w:val="-1"/>
          <w:szCs w:val="24"/>
        </w:rPr>
        <w:t>access</w:t>
      </w:r>
      <w:r w:rsidRPr="00886C61">
        <w:rPr>
          <w:rFonts w:cs="Times New Roman"/>
          <w:color w:val="231F20"/>
          <w:spacing w:val="25"/>
          <w:w w:val="101"/>
          <w:szCs w:val="24"/>
        </w:rPr>
        <w:t xml:space="preserve"> </w:t>
      </w:r>
      <w:r w:rsidRPr="00886C61">
        <w:rPr>
          <w:rFonts w:cs="Times New Roman"/>
          <w:color w:val="231F20"/>
          <w:spacing w:val="-1"/>
          <w:szCs w:val="24"/>
        </w:rPr>
        <w:t>to</w:t>
      </w:r>
      <w:r w:rsidRPr="00886C61">
        <w:rPr>
          <w:rFonts w:cs="Times New Roman"/>
          <w:color w:val="231F20"/>
          <w:spacing w:val="43"/>
          <w:szCs w:val="24"/>
        </w:rPr>
        <w:t xml:space="preserve"> </w:t>
      </w:r>
      <w:r w:rsidRPr="00886C61">
        <w:rPr>
          <w:rFonts w:cs="Times New Roman"/>
          <w:color w:val="231F20"/>
          <w:szCs w:val="24"/>
        </w:rPr>
        <w:t>about</w:t>
      </w:r>
      <w:r w:rsidRPr="00886C61">
        <w:rPr>
          <w:rFonts w:cs="Times New Roman"/>
          <w:color w:val="231F20"/>
          <w:spacing w:val="44"/>
          <w:szCs w:val="24"/>
        </w:rPr>
        <w:t xml:space="preserve"> </w:t>
      </w:r>
      <w:r w:rsidRPr="00886C61">
        <w:rPr>
          <w:rFonts w:cs="Times New Roman"/>
          <w:color w:val="231F20"/>
          <w:szCs w:val="24"/>
        </w:rPr>
        <w:t>25%</w:t>
      </w:r>
      <w:r w:rsidRPr="00886C61">
        <w:rPr>
          <w:rFonts w:cs="Times New Roman"/>
          <w:color w:val="231F20"/>
          <w:spacing w:val="44"/>
          <w:szCs w:val="24"/>
        </w:rPr>
        <w:t xml:space="preserve"> </w:t>
      </w:r>
      <w:r w:rsidRPr="00886C61">
        <w:rPr>
          <w:rFonts w:cs="Times New Roman"/>
          <w:color w:val="231F20"/>
          <w:szCs w:val="24"/>
        </w:rPr>
        <w:t>of</w:t>
      </w:r>
      <w:r w:rsidRPr="00886C61">
        <w:rPr>
          <w:rFonts w:cs="Times New Roman"/>
          <w:color w:val="231F20"/>
          <w:spacing w:val="43"/>
          <w:szCs w:val="24"/>
        </w:rPr>
        <w:t xml:space="preserve"> </w:t>
      </w:r>
      <w:r w:rsidRPr="00886C61">
        <w:rPr>
          <w:rFonts w:cs="Times New Roman"/>
          <w:color w:val="231F20"/>
          <w:spacing w:val="-2"/>
          <w:szCs w:val="24"/>
        </w:rPr>
        <w:t>r</w:t>
      </w:r>
      <w:r w:rsidRPr="00886C61">
        <w:rPr>
          <w:rFonts w:cs="Times New Roman"/>
          <w:color w:val="231F20"/>
          <w:spacing w:val="-1"/>
          <w:szCs w:val="24"/>
        </w:rPr>
        <w:t>ural</w:t>
      </w:r>
      <w:r w:rsidRPr="00886C61">
        <w:rPr>
          <w:rFonts w:cs="Times New Roman"/>
          <w:color w:val="231F20"/>
          <w:spacing w:val="44"/>
          <w:szCs w:val="24"/>
        </w:rPr>
        <w:t xml:space="preserve"> </w:t>
      </w:r>
      <w:r w:rsidRPr="00886C61">
        <w:rPr>
          <w:rFonts w:cs="Times New Roman"/>
          <w:color w:val="231F20"/>
          <w:szCs w:val="24"/>
        </w:rPr>
        <w:t>households</w:t>
      </w:r>
      <w:r w:rsidRPr="00886C61">
        <w:rPr>
          <w:rFonts w:cs="Times New Roman"/>
          <w:color w:val="231F20"/>
          <w:spacing w:val="44"/>
          <w:szCs w:val="24"/>
        </w:rPr>
        <w:t xml:space="preserve"> </w:t>
      </w:r>
      <w:r w:rsidRPr="00886C61">
        <w:rPr>
          <w:rFonts w:cs="Times New Roman"/>
          <w:color w:val="231F20"/>
          <w:szCs w:val="24"/>
        </w:rPr>
        <w:t>in</w:t>
      </w:r>
      <w:r w:rsidRPr="00886C61">
        <w:rPr>
          <w:rFonts w:cs="Times New Roman"/>
          <w:color w:val="231F20"/>
          <w:spacing w:val="44"/>
          <w:szCs w:val="24"/>
        </w:rPr>
        <w:t xml:space="preserve"> </w:t>
      </w:r>
      <w:r w:rsidRPr="00886C61">
        <w:rPr>
          <w:rFonts w:cs="Times New Roman"/>
          <w:color w:val="231F20"/>
          <w:szCs w:val="24"/>
        </w:rPr>
        <w:t>Bangladesh.</w:t>
      </w:r>
      <w:r w:rsidRPr="00886C61">
        <w:rPr>
          <w:rFonts w:cs="Times New Roman"/>
          <w:color w:val="231F20"/>
          <w:spacing w:val="22"/>
          <w:w w:val="103"/>
          <w:szCs w:val="24"/>
        </w:rPr>
        <w:t xml:space="preserve"> </w:t>
      </w:r>
      <w:r>
        <w:rPr>
          <w:rFonts w:cs="Times New Roman"/>
          <w:color w:val="231F20"/>
          <w:spacing w:val="-1"/>
          <w:szCs w:val="24"/>
        </w:rPr>
        <w:t>River transport is highly cost effective</w:t>
      </w:r>
      <w:r w:rsidRPr="00886C61">
        <w:rPr>
          <w:rFonts w:cs="Times New Roman"/>
          <w:color w:val="231F20"/>
          <w:spacing w:val="-3"/>
          <w:szCs w:val="24"/>
        </w:rPr>
        <w:t>,</w:t>
      </w:r>
      <w:r w:rsidRPr="00886C61">
        <w:rPr>
          <w:rFonts w:cs="Times New Roman"/>
          <w:color w:val="231F20"/>
          <w:spacing w:val="34"/>
          <w:szCs w:val="24"/>
        </w:rPr>
        <w:t xml:space="preserve"> </w:t>
      </w:r>
      <w:r>
        <w:rPr>
          <w:rFonts w:cs="Times New Roman"/>
          <w:color w:val="231F20"/>
          <w:spacing w:val="34"/>
          <w:szCs w:val="24"/>
        </w:rPr>
        <w:t xml:space="preserve">as </w:t>
      </w:r>
      <w:r w:rsidRPr="00886C61">
        <w:rPr>
          <w:rFonts w:cs="Times New Roman"/>
          <w:color w:val="231F20"/>
          <w:szCs w:val="24"/>
        </w:rPr>
        <w:t>inland</w:t>
      </w:r>
      <w:r w:rsidRPr="00886C61">
        <w:rPr>
          <w:rFonts w:cs="Times New Roman"/>
          <w:color w:val="231F20"/>
          <w:spacing w:val="7"/>
          <w:szCs w:val="24"/>
        </w:rPr>
        <w:t xml:space="preserve"> </w:t>
      </w:r>
      <w:r w:rsidRPr="00886C61">
        <w:rPr>
          <w:rFonts w:cs="Times New Roman"/>
          <w:color w:val="231F20"/>
          <w:spacing w:val="-1"/>
          <w:szCs w:val="24"/>
        </w:rPr>
        <w:t>navigation</w:t>
      </w:r>
      <w:r w:rsidRPr="00886C61">
        <w:rPr>
          <w:rFonts w:cs="Times New Roman"/>
          <w:color w:val="231F20"/>
          <w:spacing w:val="26"/>
          <w:szCs w:val="24"/>
        </w:rPr>
        <w:t xml:space="preserve"> </w:t>
      </w:r>
      <w:r w:rsidRPr="00886C61">
        <w:rPr>
          <w:rFonts w:cs="Times New Roman"/>
          <w:color w:val="231F20"/>
          <w:szCs w:val="24"/>
        </w:rPr>
        <w:t>is</w:t>
      </w:r>
      <w:r w:rsidRPr="00886C61">
        <w:rPr>
          <w:rFonts w:cs="Times New Roman"/>
          <w:color w:val="231F20"/>
          <w:spacing w:val="27"/>
          <w:szCs w:val="24"/>
        </w:rPr>
        <w:t xml:space="preserve"> </w:t>
      </w:r>
      <w:r w:rsidRPr="00886C61">
        <w:rPr>
          <w:rFonts w:cs="Times New Roman"/>
          <w:color w:val="231F20"/>
          <w:spacing w:val="-1"/>
          <w:szCs w:val="24"/>
        </w:rPr>
        <w:t>comparatively</w:t>
      </w:r>
      <w:r w:rsidRPr="00886C61">
        <w:rPr>
          <w:rFonts w:cs="Times New Roman"/>
          <w:color w:val="231F20"/>
          <w:spacing w:val="27"/>
          <w:szCs w:val="24"/>
        </w:rPr>
        <w:t xml:space="preserve"> </w:t>
      </w:r>
      <w:r w:rsidRPr="00886C61">
        <w:rPr>
          <w:rFonts w:cs="Times New Roman"/>
          <w:color w:val="231F20"/>
          <w:szCs w:val="24"/>
        </w:rPr>
        <w:t>cheaper</w:t>
      </w:r>
      <w:r w:rsidRPr="00886C61">
        <w:rPr>
          <w:rFonts w:cs="Times New Roman"/>
          <w:color w:val="231F20"/>
          <w:spacing w:val="26"/>
          <w:szCs w:val="24"/>
        </w:rPr>
        <w:t xml:space="preserve"> </w:t>
      </w:r>
      <w:r w:rsidRPr="00886C61">
        <w:rPr>
          <w:rFonts w:cs="Times New Roman"/>
          <w:color w:val="231F20"/>
          <w:szCs w:val="24"/>
        </w:rPr>
        <w:t>than</w:t>
      </w:r>
      <w:r w:rsidRPr="00886C61">
        <w:rPr>
          <w:rFonts w:cs="Times New Roman"/>
          <w:color w:val="231F20"/>
          <w:spacing w:val="27"/>
          <w:szCs w:val="24"/>
        </w:rPr>
        <w:t xml:space="preserve"> </w:t>
      </w:r>
      <w:r w:rsidRPr="00886C61">
        <w:rPr>
          <w:rFonts w:cs="Times New Roman"/>
          <w:color w:val="231F20"/>
          <w:szCs w:val="24"/>
        </w:rPr>
        <w:t>the</w:t>
      </w:r>
      <w:r w:rsidRPr="00886C61">
        <w:rPr>
          <w:rFonts w:cs="Times New Roman"/>
          <w:color w:val="231F20"/>
          <w:spacing w:val="27"/>
          <w:szCs w:val="24"/>
        </w:rPr>
        <w:t xml:space="preserve"> </w:t>
      </w:r>
      <w:r w:rsidRPr="00886C61">
        <w:rPr>
          <w:rFonts w:cs="Times New Roman"/>
          <w:color w:val="231F20"/>
          <w:szCs w:val="24"/>
        </w:rPr>
        <w:t>other</w:t>
      </w:r>
      <w:r w:rsidRPr="00886C61">
        <w:rPr>
          <w:rFonts w:cs="Times New Roman"/>
          <w:color w:val="231F20"/>
          <w:spacing w:val="27"/>
          <w:w w:val="101"/>
          <w:szCs w:val="24"/>
        </w:rPr>
        <w:t xml:space="preserve"> </w:t>
      </w:r>
      <w:r w:rsidRPr="00886C61">
        <w:rPr>
          <w:rFonts w:cs="Times New Roman"/>
          <w:color w:val="231F20"/>
          <w:spacing w:val="-1"/>
          <w:szCs w:val="24"/>
        </w:rPr>
        <w:t>available</w:t>
      </w:r>
      <w:r w:rsidRPr="00886C61">
        <w:rPr>
          <w:rFonts w:cs="Times New Roman"/>
          <w:color w:val="231F20"/>
          <w:spacing w:val="6"/>
          <w:szCs w:val="24"/>
        </w:rPr>
        <w:t xml:space="preserve"> </w:t>
      </w:r>
      <w:r w:rsidRPr="00886C61">
        <w:rPr>
          <w:rFonts w:cs="Times New Roman"/>
          <w:color w:val="231F20"/>
          <w:szCs w:val="24"/>
        </w:rPr>
        <w:t>transport</w:t>
      </w:r>
      <w:r>
        <w:rPr>
          <w:rFonts w:cs="Times New Roman"/>
          <w:color w:val="231F20"/>
          <w:szCs w:val="24"/>
        </w:rPr>
        <w:t xml:space="preserve"> modes – rail and road</w:t>
      </w:r>
      <w:r w:rsidRPr="00886C61">
        <w:rPr>
          <w:rFonts w:cs="Times New Roman"/>
          <w:color w:val="231F20"/>
          <w:spacing w:val="-1"/>
          <w:szCs w:val="24"/>
        </w:rPr>
        <w:t>.</w:t>
      </w:r>
      <w:r w:rsidRPr="00886C61">
        <w:rPr>
          <w:rFonts w:cs="Times New Roman"/>
          <w:color w:val="231F20"/>
          <w:spacing w:val="-21"/>
          <w:szCs w:val="24"/>
        </w:rPr>
        <w:t xml:space="preserve"> </w:t>
      </w:r>
      <w:r w:rsidRPr="004B0A08">
        <w:rPr>
          <w:rFonts w:cs="Times New Roman"/>
          <w:i/>
          <w:color w:val="231F20"/>
          <w:spacing w:val="-1"/>
          <w:szCs w:val="24"/>
        </w:rPr>
        <w:t>The</w:t>
      </w:r>
      <w:r w:rsidRPr="004B0A08">
        <w:rPr>
          <w:rFonts w:cs="Times New Roman"/>
          <w:i/>
          <w:color w:val="231F20"/>
          <w:spacing w:val="7"/>
          <w:szCs w:val="24"/>
        </w:rPr>
        <w:t xml:space="preserve"> </w:t>
      </w:r>
      <w:r w:rsidRPr="004B0A08">
        <w:rPr>
          <w:rFonts w:cs="Times New Roman"/>
          <w:i/>
          <w:color w:val="231F20"/>
          <w:spacing w:val="-1"/>
          <w:szCs w:val="24"/>
        </w:rPr>
        <w:t>unit</w:t>
      </w:r>
      <w:r w:rsidRPr="004B0A08">
        <w:rPr>
          <w:rFonts w:cs="Times New Roman"/>
          <w:i/>
          <w:color w:val="231F20"/>
          <w:spacing w:val="7"/>
          <w:szCs w:val="24"/>
        </w:rPr>
        <w:t xml:space="preserve"> </w:t>
      </w:r>
      <w:r w:rsidRPr="004B0A08">
        <w:rPr>
          <w:rFonts w:cs="Times New Roman"/>
          <w:i/>
          <w:color w:val="231F20"/>
          <w:spacing w:val="-1"/>
          <w:szCs w:val="24"/>
        </w:rPr>
        <w:t>cost</w:t>
      </w:r>
      <w:r w:rsidRPr="004B0A08">
        <w:rPr>
          <w:rFonts w:cs="Times New Roman"/>
          <w:i/>
          <w:color w:val="231F20"/>
          <w:spacing w:val="6"/>
          <w:szCs w:val="24"/>
        </w:rPr>
        <w:t xml:space="preserve"> of cargo transport </w:t>
      </w:r>
      <w:r w:rsidRPr="004B0A08">
        <w:rPr>
          <w:rFonts w:cs="Times New Roman"/>
          <w:i/>
          <w:color w:val="231F20"/>
          <w:szCs w:val="24"/>
        </w:rPr>
        <w:t>is</w:t>
      </w:r>
      <w:r w:rsidRPr="004B0A08">
        <w:rPr>
          <w:rFonts w:cs="Times New Roman"/>
          <w:i/>
          <w:color w:val="231F20"/>
          <w:spacing w:val="7"/>
          <w:szCs w:val="24"/>
        </w:rPr>
        <w:t xml:space="preserve"> </w:t>
      </w:r>
      <w:r w:rsidRPr="004B0A08">
        <w:rPr>
          <w:rFonts w:cs="Times New Roman"/>
          <w:i/>
          <w:color w:val="231F20"/>
          <w:spacing w:val="-1"/>
          <w:szCs w:val="24"/>
        </w:rPr>
        <w:t>low</w:t>
      </w:r>
      <w:r w:rsidRPr="004B0A08">
        <w:rPr>
          <w:rFonts w:cs="Times New Roman"/>
          <w:i/>
          <w:color w:val="231F20"/>
          <w:spacing w:val="6"/>
          <w:szCs w:val="24"/>
        </w:rPr>
        <w:t xml:space="preserve"> </w:t>
      </w:r>
      <w:r w:rsidRPr="004B0A08">
        <w:rPr>
          <w:rFonts w:cs="Times New Roman"/>
          <w:i/>
          <w:color w:val="231F20"/>
          <w:szCs w:val="24"/>
        </w:rPr>
        <w:t>and</w:t>
      </w:r>
      <w:r w:rsidRPr="004B0A08">
        <w:rPr>
          <w:rFonts w:cs="Times New Roman"/>
          <w:i/>
          <w:color w:val="231F20"/>
          <w:spacing w:val="41"/>
          <w:w w:val="104"/>
          <w:szCs w:val="24"/>
        </w:rPr>
        <w:t xml:space="preserve"> </w:t>
      </w:r>
      <w:r w:rsidRPr="004B0A08">
        <w:rPr>
          <w:rFonts w:cs="Times New Roman"/>
          <w:i/>
          <w:color w:val="231F20"/>
          <w:spacing w:val="2"/>
          <w:szCs w:val="24"/>
        </w:rPr>
        <w:t>IW</w:t>
      </w:r>
      <w:r w:rsidRPr="004B0A08">
        <w:rPr>
          <w:rFonts w:cs="Times New Roman"/>
          <w:i/>
          <w:color w:val="231F20"/>
          <w:spacing w:val="1"/>
          <w:szCs w:val="24"/>
        </w:rPr>
        <w:t>T</w:t>
      </w:r>
      <w:r w:rsidRPr="004B0A08">
        <w:rPr>
          <w:rFonts w:cs="Times New Roman"/>
          <w:i/>
          <w:color w:val="231F20"/>
          <w:spacing w:val="24"/>
          <w:szCs w:val="24"/>
        </w:rPr>
        <w:t xml:space="preserve"> </w:t>
      </w:r>
      <w:r w:rsidRPr="004B0A08">
        <w:rPr>
          <w:rFonts w:cs="Times New Roman"/>
          <w:i/>
          <w:color w:val="231F20"/>
          <w:szCs w:val="24"/>
        </w:rPr>
        <w:t>is</w:t>
      </w:r>
      <w:r w:rsidRPr="004B0A08">
        <w:rPr>
          <w:rFonts w:cs="Times New Roman"/>
          <w:i/>
          <w:color w:val="231F20"/>
          <w:spacing w:val="25"/>
          <w:szCs w:val="24"/>
        </w:rPr>
        <w:t xml:space="preserve"> </w:t>
      </w:r>
      <w:r w:rsidRPr="004B0A08">
        <w:rPr>
          <w:rFonts w:cs="Times New Roman"/>
          <w:i/>
          <w:color w:val="231F20"/>
          <w:spacing w:val="-1"/>
          <w:szCs w:val="24"/>
        </w:rPr>
        <w:t>environmental</w:t>
      </w:r>
      <w:r w:rsidRPr="004B0A08">
        <w:rPr>
          <w:rFonts w:cs="Times New Roman"/>
          <w:i/>
          <w:color w:val="231F20"/>
          <w:spacing w:val="24"/>
          <w:szCs w:val="24"/>
        </w:rPr>
        <w:t xml:space="preserve"> </w:t>
      </w:r>
      <w:r w:rsidRPr="004B0A08">
        <w:rPr>
          <w:rFonts w:cs="Times New Roman"/>
          <w:i/>
          <w:color w:val="231F20"/>
          <w:spacing w:val="-3"/>
          <w:szCs w:val="24"/>
        </w:rPr>
        <w:t>fr</w:t>
      </w:r>
      <w:r w:rsidRPr="004B0A08">
        <w:rPr>
          <w:rFonts w:cs="Times New Roman"/>
          <w:i/>
          <w:color w:val="231F20"/>
          <w:spacing w:val="-2"/>
          <w:szCs w:val="24"/>
        </w:rPr>
        <w:t>iendly</w:t>
      </w:r>
      <w:r w:rsidRPr="004B0A08">
        <w:rPr>
          <w:rFonts w:cs="Times New Roman"/>
          <w:i/>
          <w:color w:val="231F20"/>
          <w:spacing w:val="-3"/>
          <w:szCs w:val="24"/>
        </w:rPr>
        <w:t>,</w:t>
      </w:r>
      <w:r w:rsidRPr="004B0A08">
        <w:rPr>
          <w:rFonts w:cs="Times New Roman"/>
          <w:i/>
          <w:color w:val="231F20"/>
          <w:spacing w:val="10"/>
          <w:szCs w:val="24"/>
        </w:rPr>
        <w:t xml:space="preserve"> </w:t>
      </w:r>
      <w:r w:rsidRPr="004B0A08">
        <w:rPr>
          <w:rFonts w:cs="Times New Roman"/>
          <w:i/>
          <w:color w:val="231F20"/>
          <w:spacing w:val="-2"/>
          <w:szCs w:val="24"/>
        </w:rPr>
        <w:t>r</w:t>
      </w:r>
      <w:r w:rsidRPr="004B0A08">
        <w:rPr>
          <w:rFonts w:cs="Times New Roman"/>
          <w:i/>
          <w:color w:val="231F20"/>
          <w:spacing w:val="-1"/>
          <w:szCs w:val="24"/>
        </w:rPr>
        <w:t>equiring</w:t>
      </w:r>
      <w:r w:rsidRPr="004B0A08">
        <w:rPr>
          <w:rFonts w:cs="Times New Roman"/>
          <w:i/>
          <w:color w:val="231F20"/>
          <w:spacing w:val="24"/>
          <w:szCs w:val="24"/>
        </w:rPr>
        <w:t xml:space="preserve"> </w:t>
      </w:r>
      <w:r w:rsidRPr="004B0A08">
        <w:rPr>
          <w:rFonts w:cs="Times New Roman"/>
          <w:i/>
          <w:color w:val="231F20"/>
          <w:szCs w:val="24"/>
        </w:rPr>
        <w:t>minimum</w:t>
      </w:r>
      <w:r w:rsidRPr="004B0A08">
        <w:rPr>
          <w:rFonts w:cs="Times New Roman"/>
          <w:i/>
          <w:color w:val="231F20"/>
          <w:spacing w:val="33"/>
          <w:w w:val="104"/>
          <w:szCs w:val="24"/>
        </w:rPr>
        <w:t xml:space="preserve"> </w:t>
      </w:r>
      <w:r w:rsidRPr="004B0A08">
        <w:rPr>
          <w:rFonts w:cs="Times New Roman"/>
          <w:i/>
          <w:color w:val="231F20"/>
          <w:spacing w:val="-1"/>
          <w:szCs w:val="24"/>
        </w:rPr>
        <w:t>maintenance</w:t>
      </w:r>
      <w:r w:rsidRPr="004B0A08">
        <w:rPr>
          <w:rFonts w:cs="Times New Roman"/>
          <w:i/>
          <w:color w:val="231F20"/>
          <w:spacing w:val="32"/>
          <w:szCs w:val="24"/>
        </w:rPr>
        <w:t xml:space="preserve"> </w:t>
      </w:r>
      <w:r w:rsidRPr="004B0A08">
        <w:rPr>
          <w:rFonts w:cs="Times New Roman"/>
          <w:i/>
          <w:color w:val="231F20"/>
          <w:szCs w:val="24"/>
        </w:rPr>
        <w:t>and</w:t>
      </w:r>
      <w:r w:rsidRPr="004B0A08">
        <w:rPr>
          <w:rFonts w:cs="Times New Roman"/>
          <w:i/>
          <w:color w:val="231F20"/>
          <w:spacing w:val="32"/>
          <w:szCs w:val="24"/>
        </w:rPr>
        <w:t xml:space="preserve"> </w:t>
      </w:r>
      <w:r w:rsidRPr="004B0A08">
        <w:rPr>
          <w:rFonts w:cs="Times New Roman"/>
          <w:i/>
          <w:color w:val="231F20"/>
          <w:szCs w:val="24"/>
        </w:rPr>
        <w:t>is</w:t>
      </w:r>
      <w:r w:rsidRPr="004B0A08">
        <w:rPr>
          <w:rFonts w:cs="Times New Roman"/>
          <w:i/>
          <w:color w:val="231F20"/>
          <w:spacing w:val="33"/>
          <w:szCs w:val="24"/>
        </w:rPr>
        <w:t xml:space="preserve"> </w:t>
      </w:r>
      <w:r w:rsidRPr="004B0A08">
        <w:rPr>
          <w:rFonts w:cs="Times New Roman"/>
          <w:i/>
          <w:color w:val="231F20"/>
          <w:szCs w:val="24"/>
        </w:rPr>
        <w:t>by and large a</w:t>
      </w:r>
      <w:r w:rsidRPr="004B0A08">
        <w:rPr>
          <w:rFonts w:cs="Times New Roman"/>
          <w:i/>
          <w:color w:val="231F20"/>
          <w:spacing w:val="32"/>
          <w:szCs w:val="24"/>
        </w:rPr>
        <w:t xml:space="preserve"> </w:t>
      </w:r>
      <w:r w:rsidRPr="004B0A08">
        <w:rPr>
          <w:rFonts w:cs="Times New Roman"/>
          <w:i/>
          <w:color w:val="231F20"/>
          <w:spacing w:val="-1"/>
          <w:szCs w:val="24"/>
        </w:rPr>
        <w:t>safe</w:t>
      </w:r>
      <w:r w:rsidRPr="004B0A08">
        <w:rPr>
          <w:rFonts w:cs="Times New Roman"/>
          <w:i/>
          <w:color w:val="231F20"/>
          <w:spacing w:val="33"/>
          <w:szCs w:val="24"/>
        </w:rPr>
        <w:t xml:space="preserve"> </w:t>
      </w:r>
      <w:r w:rsidRPr="004B0A08">
        <w:rPr>
          <w:rFonts w:cs="Times New Roman"/>
          <w:i/>
          <w:color w:val="231F20"/>
          <w:szCs w:val="24"/>
        </w:rPr>
        <w:t>transport</w:t>
      </w:r>
      <w:r w:rsidRPr="004B0A08">
        <w:rPr>
          <w:rFonts w:cs="Times New Roman"/>
          <w:i/>
          <w:color w:val="231F20"/>
          <w:spacing w:val="32"/>
          <w:szCs w:val="24"/>
        </w:rPr>
        <w:t xml:space="preserve"> </w:t>
      </w:r>
      <w:r w:rsidRPr="004B0A08">
        <w:rPr>
          <w:rFonts w:cs="Times New Roman"/>
          <w:i/>
          <w:color w:val="231F20"/>
          <w:szCs w:val="24"/>
        </w:rPr>
        <w:t>option.</w:t>
      </w:r>
    </w:p>
    <w:p w:rsidR="007F2F9C" w:rsidRPr="004B0A08" w:rsidRDefault="007F2F9C" w:rsidP="00302E67">
      <w:pPr>
        <w:spacing w:line="276" w:lineRule="auto"/>
        <w:jc w:val="both"/>
        <w:rPr>
          <w:rFonts w:cs="Times New Roman"/>
          <w:i/>
          <w:szCs w:val="24"/>
        </w:rPr>
      </w:pPr>
      <w:r w:rsidRPr="004B0A08">
        <w:rPr>
          <w:rFonts w:cs="Times New Roman"/>
          <w:i/>
          <w:szCs w:val="24"/>
        </w:rPr>
        <w:t xml:space="preserve">A number of reasons warrant the development of an efficient IWT. Modal option for development strategy of transport sector environment must be a determinant factor. IWT always remains on the top in terms of carbon saving. One liter of fuel in the river produces 100-200 </w:t>
      </w:r>
      <w:r w:rsidR="00FE6385">
        <w:rPr>
          <w:rFonts w:cs="Times New Roman"/>
          <w:i/>
          <w:szCs w:val="24"/>
        </w:rPr>
        <w:t>tonne</w:t>
      </w:r>
      <w:r w:rsidRPr="004B0A08">
        <w:rPr>
          <w:rFonts w:cs="Times New Roman"/>
          <w:i/>
          <w:szCs w:val="24"/>
        </w:rPr>
        <w:t xml:space="preserve">-km of transport output as against 25 </w:t>
      </w:r>
      <w:r w:rsidR="00FE6385">
        <w:rPr>
          <w:rFonts w:cs="Times New Roman"/>
          <w:i/>
          <w:szCs w:val="24"/>
        </w:rPr>
        <w:t>tonne</w:t>
      </w:r>
      <w:r w:rsidRPr="004B0A08">
        <w:rPr>
          <w:rFonts w:cs="Times New Roman"/>
          <w:i/>
          <w:szCs w:val="24"/>
        </w:rPr>
        <w:t xml:space="preserve">-km in road, four to eight times lower. The World Bank (2007) reports that with an estimated 1.95 billion </w:t>
      </w:r>
      <w:r w:rsidR="00FE6385">
        <w:rPr>
          <w:rFonts w:cs="Times New Roman"/>
          <w:i/>
          <w:szCs w:val="24"/>
        </w:rPr>
        <w:t>tonne</w:t>
      </w:r>
      <w:r w:rsidRPr="004B0A08">
        <w:rPr>
          <w:rFonts w:cs="Times New Roman"/>
          <w:i/>
          <w:szCs w:val="24"/>
        </w:rPr>
        <w:t xml:space="preserve">-km performed by IWT in 2005 (excluding country boats), about 58.5 million liter of fuel was saved by using IWT instead of road. Using the Integrated Pollution Prevention and Control (IPPC) conversion factors, this represents 155,000 </w:t>
      </w:r>
      <w:r w:rsidR="00FE6385">
        <w:rPr>
          <w:rFonts w:cs="Times New Roman"/>
          <w:i/>
          <w:szCs w:val="24"/>
        </w:rPr>
        <w:t>tonne</w:t>
      </w:r>
      <w:r w:rsidRPr="004B0A08">
        <w:rPr>
          <w:rFonts w:cs="Times New Roman"/>
          <w:i/>
          <w:szCs w:val="24"/>
        </w:rPr>
        <w:t xml:space="preserve">s of carbon dioxide. </w:t>
      </w:r>
    </w:p>
    <w:p w:rsidR="007F2F9C" w:rsidRPr="00924255" w:rsidRDefault="007F2F9C" w:rsidP="00302E67">
      <w:pPr>
        <w:spacing w:line="276" w:lineRule="auto"/>
        <w:jc w:val="both"/>
        <w:rPr>
          <w:rFonts w:cs="Times New Roman"/>
          <w:szCs w:val="24"/>
        </w:rPr>
      </w:pPr>
      <w:r>
        <w:rPr>
          <w:rFonts w:cs="Times New Roman"/>
          <w:szCs w:val="24"/>
        </w:rPr>
        <w:lastRenderedPageBreak/>
        <w:t xml:space="preserve">Table </w:t>
      </w:r>
      <w:r w:rsidR="005D6F28">
        <w:rPr>
          <w:rFonts w:cs="Times New Roman"/>
          <w:szCs w:val="24"/>
        </w:rPr>
        <w:t>9.</w:t>
      </w:r>
      <w:r>
        <w:rPr>
          <w:rFonts w:cs="Times New Roman"/>
          <w:szCs w:val="24"/>
        </w:rPr>
        <w:t>2 shows the financial cost of passenger and freight for different modes of transport.  The Table</w:t>
      </w:r>
      <w:r w:rsidRPr="00924255">
        <w:rPr>
          <w:rFonts w:cs="Times New Roman"/>
          <w:szCs w:val="24"/>
        </w:rPr>
        <w:t xml:space="preserve"> indicates that IWT is </w:t>
      </w:r>
      <w:r>
        <w:rPr>
          <w:rFonts w:cs="Times New Roman"/>
          <w:szCs w:val="24"/>
        </w:rPr>
        <w:t xml:space="preserve">the cheapest mode </w:t>
      </w:r>
      <w:r w:rsidR="001F504E">
        <w:rPr>
          <w:rFonts w:cs="Times New Roman"/>
          <w:szCs w:val="24"/>
        </w:rPr>
        <w:t>of transport for frei</w:t>
      </w:r>
      <w:r w:rsidR="001B086A">
        <w:rPr>
          <w:rFonts w:cs="Times New Roman"/>
          <w:szCs w:val="24"/>
        </w:rPr>
        <w:t xml:space="preserve">ght and the second </w:t>
      </w:r>
      <w:r w:rsidR="001F504E">
        <w:rPr>
          <w:rFonts w:cs="Times New Roman"/>
          <w:szCs w:val="24"/>
        </w:rPr>
        <w:t>cheap</w:t>
      </w:r>
      <w:r w:rsidR="001B086A">
        <w:rPr>
          <w:rFonts w:cs="Times New Roman"/>
          <w:szCs w:val="24"/>
        </w:rPr>
        <w:t>est</w:t>
      </w:r>
      <w:r w:rsidR="001F504E">
        <w:rPr>
          <w:rFonts w:cs="Times New Roman"/>
          <w:szCs w:val="24"/>
        </w:rPr>
        <w:t xml:space="preserve"> mode for passengers.</w:t>
      </w:r>
      <w:r>
        <w:rPr>
          <w:rFonts w:cs="Times New Roman"/>
          <w:szCs w:val="24"/>
        </w:rPr>
        <w:t xml:space="preserve">  The cost advantage for freight is especially large.</w:t>
      </w:r>
    </w:p>
    <w:p w:rsidR="007F2F9C" w:rsidRPr="00924255" w:rsidRDefault="007F2F9C" w:rsidP="0036657D">
      <w:pPr>
        <w:pStyle w:val="Heading4"/>
      </w:pPr>
      <w:bookmarkStart w:id="648" w:name="_Toc474639068"/>
      <w:r w:rsidRPr="00924255">
        <w:t>Table</w:t>
      </w:r>
      <w:r>
        <w:t xml:space="preserve"> </w:t>
      </w:r>
      <w:r w:rsidR="005D6F28">
        <w:t>9.</w:t>
      </w:r>
      <w:r>
        <w:t>2</w:t>
      </w:r>
      <w:r w:rsidR="00774FC5">
        <w:t xml:space="preserve">: Rate of Fare and Freight of Different Modes of </w:t>
      </w:r>
      <w:r w:rsidR="00EC4A4B">
        <w:t xml:space="preserve">Public </w:t>
      </w:r>
      <w:r w:rsidR="00774FC5">
        <w:t>Transport</w:t>
      </w:r>
      <w:bookmarkEnd w:id="648"/>
      <w:r w:rsidR="00774FC5">
        <w:t xml:space="preserve"> </w:t>
      </w:r>
    </w:p>
    <w:tbl>
      <w:tblPr>
        <w:tblStyle w:val="TableGrid"/>
        <w:tblW w:w="5000" w:type="pct"/>
        <w:tblLayout w:type="fixed"/>
        <w:tblLook w:val="04A0"/>
      </w:tblPr>
      <w:tblGrid>
        <w:gridCol w:w="2272"/>
        <w:gridCol w:w="810"/>
        <w:gridCol w:w="812"/>
        <w:gridCol w:w="812"/>
        <w:gridCol w:w="810"/>
        <w:gridCol w:w="812"/>
        <w:gridCol w:w="812"/>
        <w:gridCol w:w="810"/>
        <w:gridCol w:w="812"/>
        <w:gridCol w:w="814"/>
      </w:tblGrid>
      <w:tr w:rsidR="007F2F9C" w:rsidRPr="00FA2D55" w:rsidTr="00E13259">
        <w:trPr>
          <w:trHeight w:val="144"/>
          <w:tblHeader/>
        </w:trPr>
        <w:tc>
          <w:tcPr>
            <w:tcW w:w="1186" w:type="pct"/>
            <w:noWrap/>
            <w:vAlign w:val="center"/>
            <w:hideMark/>
          </w:tcPr>
          <w:p w:rsidR="007F2F9C" w:rsidRPr="00F33F64" w:rsidRDefault="00A76067" w:rsidP="00A76067">
            <w:pPr>
              <w:spacing w:after="0" w:line="276" w:lineRule="auto"/>
              <w:rPr>
                <w:rFonts w:eastAsia="Times New Roman" w:cs="Times New Roman"/>
                <w:b/>
                <w:color w:val="000000"/>
                <w:sz w:val="18"/>
                <w:szCs w:val="16"/>
              </w:rPr>
            </w:pPr>
            <w:r>
              <w:rPr>
                <w:rFonts w:eastAsia="Times New Roman" w:cs="Times New Roman"/>
                <w:b/>
                <w:color w:val="000000"/>
                <w:sz w:val="18"/>
                <w:szCs w:val="16"/>
              </w:rPr>
              <w:t>Name of Transport C</w:t>
            </w:r>
            <w:r w:rsidR="007F2F9C" w:rsidRPr="00F33F64">
              <w:rPr>
                <w:rFonts w:eastAsia="Times New Roman" w:cs="Times New Roman"/>
                <w:b/>
                <w:color w:val="000000"/>
                <w:sz w:val="18"/>
                <w:szCs w:val="16"/>
              </w:rPr>
              <w:t>orporation</w:t>
            </w:r>
          </w:p>
        </w:tc>
        <w:tc>
          <w:tcPr>
            <w:tcW w:w="423" w:type="pct"/>
            <w:noWrap/>
            <w:vAlign w:val="center"/>
            <w:hideMark/>
          </w:tcPr>
          <w:p w:rsidR="007F2F9C" w:rsidRPr="00A76067" w:rsidRDefault="00A76067" w:rsidP="00A76067">
            <w:pPr>
              <w:spacing w:after="0" w:line="276" w:lineRule="auto"/>
              <w:jc w:val="center"/>
              <w:rPr>
                <w:rFonts w:eastAsia="Times New Roman" w:cs="Times New Roman"/>
                <w:b/>
                <w:color w:val="000000"/>
                <w:sz w:val="16"/>
                <w:szCs w:val="16"/>
              </w:rPr>
            </w:pPr>
            <w:r w:rsidRPr="00A76067">
              <w:rPr>
                <w:rFonts w:eastAsia="Times New Roman" w:cs="Times New Roman"/>
                <w:b/>
                <w:color w:val="000000"/>
                <w:sz w:val="16"/>
                <w:szCs w:val="16"/>
              </w:rPr>
              <w:t>F200</w:t>
            </w:r>
            <w:r w:rsidR="007F2F9C" w:rsidRPr="00A76067">
              <w:rPr>
                <w:rFonts w:eastAsia="Times New Roman" w:cs="Times New Roman"/>
                <w:b/>
                <w:color w:val="000000"/>
                <w:sz w:val="16"/>
                <w:szCs w:val="16"/>
              </w:rPr>
              <w:t>6</w:t>
            </w:r>
          </w:p>
        </w:tc>
        <w:tc>
          <w:tcPr>
            <w:tcW w:w="424" w:type="pct"/>
            <w:noWrap/>
            <w:vAlign w:val="center"/>
            <w:hideMark/>
          </w:tcPr>
          <w:p w:rsidR="007F2F9C" w:rsidRPr="00A76067" w:rsidRDefault="00A76067" w:rsidP="00A76067">
            <w:pPr>
              <w:spacing w:after="0" w:line="276" w:lineRule="auto"/>
              <w:jc w:val="center"/>
              <w:rPr>
                <w:rFonts w:eastAsia="Times New Roman" w:cs="Times New Roman"/>
                <w:b/>
                <w:color w:val="000000"/>
                <w:sz w:val="16"/>
                <w:szCs w:val="16"/>
              </w:rPr>
            </w:pPr>
            <w:r w:rsidRPr="00A76067">
              <w:rPr>
                <w:rFonts w:eastAsia="Times New Roman" w:cs="Times New Roman"/>
                <w:b/>
                <w:color w:val="000000"/>
                <w:sz w:val="16"/>
                <w:szCs w:val="16"/>
              </w:rPr>
              <w:t>FY20</w:t>
            </w:r>
            <w:r w:rsidR="007F2F9C" w:rsidRPr="00A76067">
              <w:rPr>
                <w:rFonts w:eastAsia="Times New Roman" w:cs="Times New Roman"/>
                <w:b/>
                <w:color w:val="000000"/>
                <w:sz w:val="16"/>
                <w:szCs w:val="16"/>
              </w:rPr>
              <w:t>7</w:t>
            </w:r>
          </w:p>
        </w:tc>
        <w:tc>
          <w:tcPr>
            <w:tcW w:w="424" w:type="pct"/>
            <w:noWrap/>
            <w:vAlign w:val="center"/>
            <w:hideMark/>
          </w:tcPr>
          <w:p w:rsidR="007F2F9C" w:rsidRPr="00A76067" w:rsidRDefault="00A76067" w:rsidP="00A76067">
            <w:pPr>
              <w:spacing w:after="0" w:line="276" w:lineRule="auto"/>
              <w:jc w:val="center"/>
              <w:rPr>
                <w:rFonts w:eastAsia="Times New Roman" w:cs="Times New Roman"/>
                <w:b/>
                <w:color w:val="000000"/>
                <w:sz w:val="16"/>
                <w:szCs w:val="16"/>
              </w:rPr>
            </w:pPr>
            <w:r w:rsidRPr="00A76067">
              <w:rPr>
                <w:rFonts w:eastAsia="Times New Roman" w:cs="Times New Roman"/>
                <w:b/>
                <w:color w:val="000000"/>
                <w:sz w:val="16"/>
                <w:szCs w:val="16"/>
              </w:rPr>
              <w:t>FY2008</w:t>
            </w:r>
          </w:p>
        </w:tc>
        <w:tc>
          <w:tcPr>
            <w:tcW w:w="423" w:type="pct"/>
            <w:noWrap/>
            <w:vAlign w:val="center"/>
            <w:hideMark/>
          </w:tcPr>
          <w:p w:rsidR="007F2F9C" w:rsidRPr="00A76067" w:rsidRDefault="00A76067" w:rsidP="00A76067">
            <w:pPr>
              <w:spacing w:after="0" w:line="276" w:lineRule="auto"/>
              <w:jc w:val="center"/>
              <w:rPr>
                <w:rFonts w:eastAsia="Times New Roman" w:cs="Times New Roman"/>
                <w:b/>
                <w:color w:val="000000"/>
                <w:sz w:val="16"/>
                <w:szCs w:val="16"/>
              </w:rPr>
            </w:pPr>
            <w:r w:rsidRPr="00A76067">
              <w:rPr>
                <w:rFonts w:eastAsia="Times New Roman" w:cs="Times New Roman"/>
                <w:b/>
                <w:color w:val="000000"/>
                <w:sz w:val="16"/>
                <w:szCs w:val="16"/>
              </w:rPr>
              <w:t>FY20</w:t>
            </w:r>
            <w:r w:rsidR="007F2F9C" w:rsidRPr="00A76067">
              <w:rPr>
                <w:rFonts w:eastAsia="Times New Roman" w:cs="Times New Roman"/>
                <w:b/>
                <w:color w:val="000000"/>
                <w:sz w:val="16"/>
                <w:szCs w:val="16"/>
              </w:rPr>
              <w:t>09</w:t>
            </w:r>
          </w:p>
        </w:tc>
        <w:tc>
          <w:tcPr>
            <w:tcW w:w="424" w:type="pct"/>
            <w:noWrap/>
            <w:vAlign w:val="center"/>
            <w:hideMark/>
          </w:tcPr>
          <w:p w:rsidR="007F2F9C" w:rsidRPr="00A76067" w:rsidRDefault="00A76067" w:rsidP="00A76067">
            <w:pPr>
              <w:spacing w:after="0" w:line="276" w:lineRule="auto"/>
              <w:jc w:val="center"/>
              <w:rPr>
                <w:rFonts w:eastAsia="Times New Roman" w:cs="Times New Roman"/>
                <w:b/>
                <w:color w:val="000000"/>
                <w:sz w:val="16"/>
                <w:szCs w:val="16"/>
              </w:rPr>
            </w:pPr>
            <w:r w:rsidRPr="00A76067">
              <w:rPr>
                <w:rFonts w:eastAsia="Times New Roman" w:cs="Times New Roman"/>
                <w:b/>
                <w:color w:val="000000"/>
                <w:sz w:val="16"/>
                <w:szCs w:val="16"/>
              </w:rPr>
              <w:t>FY20</w:t>
            </w:r>
            <w:r w:rsidR="007F2F9C" w:rsidRPr="00A76067">
              <w:rPr>
                <w:rFonts w:eastAsia="Times New Roman" w:cs="Times New Roman"/>
                <w:b/>
                <w:color w:val="000000"/>
                <w:sz w:val="16"/>
                <w:szCs w:val="16"/>
              </w:rPr>
              <w:t>10</w:t>
            </w:r>
          </w:p>
        </w:tc>
        <w:tc>
          <w:tcPr>
            <w:tcW w:w="424" w:type="pct"/>
            <w:noWrap/>
            <w:vAlign w:val="center"/>
            <w:hideMark/>
          </w:tcPr>
          <w:p w:rsidR="007F2F9C" w:rsidRPr="00A76067" w:rsidRDefault="00A76067" w:rsidP="00A76067">
            <w:pPr>
              <w:spacing w:after="0" w:line="276" w:lineRule="auto"/>
              <w:jc w:val="center"/>
              <w:rPr>
                <w:rFonts w:eastAsia="Times New Roman" w:cs="Times New Roman"/>
                <w:b/>
                <w:color w:val="000000"/>
                <w:sz w:val="16"/>
                <w:szCs w:val="16"/>
              </w:rPr>
            </w:pPr>
            <w:r w:rsidRPr="00A76067">
              <w:rPr>
                <w:rFonts w:eastAsia="Times New Roman" w:cs="Times New Roman"/>
                <w:b/>
                <w:color w:val="000000"/>
                <w:sz w:val="16"/>
                <w:szCs w:val="16"/>
              </w:rPr>
              <w:t>FY20</w:t>
            </w:r>
            <w:r w:rsidR="007F2F9C" w:rsidRPr="00A76067">
              <w:rPr>
                <w:rFonts w:eastAsia="Times New Roman" w:cs="Times New Roman"/>
                <w:b/>
                <w:color w:val="000000"/>
                <w:sz w:val="16"/>
                <w:szCs w:val="16"/>
              </w:rPr>
              <w:t>11</w:t>
            </w:r>
          </w:p>
        </w:tc>
        <w:tc>
          <w:tcPr>
            <w:tcW w:w="423" w:type="pct"/>
            <w:noWrap/>
            <w:vAlign w:val="center"/>
            <w:hideMark/>
          </w:tcPr>
          <w:p w:rsidR="007F2F9C" w:rsidRPr="00A76067" w:rsidRDefault="00A76067" w:rsidP="00A76067">
            <w:pPr>
              <w:spacing w:after="0" w:line="276" w:lineRule="auto"/>
              <w:jc w:val="center"/>
              <w:rPr>
                <w:rFonts w:eastAsia="Times New Roman" w:cs="Times New Roman"/>
                <w:b/>
                <w:color w:val="000000"/>
                <w:sz w:val="16"/>
                <w:szCs w:val="16"/>
              </w:rPr>
            </w:pPr>
            <w:r w:rsidRPr="00A76067">
              <w:rPr>
                <w:rFonts w:eastAsia="Times New Roman" w:cs="Times New Roman"/>
                <w:b/>
                <w:color w:val="000000"/>
                <w:sz w:val="16"/>
                <w:szCs w:val="16"/>
              </w:rPr>
              <w:t>FY201</w:t>
            </w:r>
            <w:r w:rsidR="007F2F9C" w:rsidRPr="00A76067">
              <w:rPr>
                <w:rFonts w:eastAsia="Times New Roman" w:cs="Times New Roman"/>
                <w:b/>
                <w:color w:val="000000"/>
                <w:sz w:val="16"/>
                <w:szCs w:val="16"/>
              </w:rPr>
              <w:t>2</w:t>
            </w:r>
          </w:p>
        </w:tc>
        <w:tc>
          <w:tcPr>
            <w:tcW w:w="424" w:type="pct"/>
            <w:noWrap/>
            <w:vAlign w:val="center"/>
            <w:hideMark/>
          </w:tcPr>
          <w:p w:rsidR="007F2F9C" w:rsidRPr="00A76067" w:rsidRDefault="00A76067" w:rsidP="00A76067">
            <w:pPr>
              <w:spacing w:after="0" w:line="276" w:lineRule="auto"/>
              <w:jc w:val="center"/>
              <w:rPr>
                <w:rFonts w:eastAsia="Times New Roman" w:cs="Times New Roman"/>
                <w:b/>
                <w:color w:val="000000"/>
                <w:sz w:val="16"/>
                <w:szCs w:val="16"/>
              </w:rPr>
            </w:pPr>
            <w:r w:rsidRPr="00A76067">
              <w:rPr>
                <w:rFonts w:eastAsia="Times New Roman" w:cs="Times New Roman"/>
                <w:b/>
                <w:color w:val="000000"/>
                <w:sz w:val="16"/>
                <w:szCs w:val="16"/>
              </w:rPr>
              <w:t>FY20</w:t>
            </w:r>
            <w:r w:rsidR="007F2F9C" w:rsidRPr="00A76067">
              <w:rPr>
                <w:rFonts w:eastAsia="Times New Roman" w:cs="Times New Roman"/>
                <w:b/>
                <w:color w:val="000000"/>
                <w:sz w:val="16"/>
                <w:szCs w:val="16"/>
              </w:rPr>
              <w:t>13</w:t>
            </w:r>
          </w:p>
        </w:tc>
        <w:tc>
          <w:tcPr>
            <w:tcW w:w="424" w:type="pct"/>
            <w:noWrap/>
            <w:vAlign w:val="center"/>
            <w:hideMark/>
          </w:tcPr>
          <w:p w:rsidR="007F2F9C" w:rsidRPr="00A76067" w:rsidRDefault="00A76067" w:rsidP="00A76067">
            <w:pPr>
              <w:spacing w:after="0" w:line="276" w:lineRule="auto"/>
              <w:jc w:val="center"/>
              <w:rPr>
                <w:rFonts w:eastAsia="Times New Roman" w:cs="Times New Roman"/>
                <w:b/>
                <w:color w:val="000000"/>
                <w:sz w:val="16"/>
                <w:szCs w:val="16"/>
              </w:rPr>
            </w:pPr>
            <w:r w:rsidRPr="00A76067">
              <w:rPr>
                <w:rFonts w:eastAsia="Times New Roman" w:cs="Times New Roman"/>
                <w:b/>
                <w:color w:val="000000"/>
                <w:sz w:val="16"/>
                <w:szCs w:val="16"/>
              </w:rPr>
              <w:t>FY20</w:t>
            </w:r>
            <w:r w:rsidR="007F2F9C" w:rsidRPr="00A76067">
              <w:rPr>
                <w:rFonts w:eastAsia="Times New Roman" w:cs="Times New Roman"/>
                <w:b/>
                <w:color w:val="000000"/>
                <w:sz w:val="16"/>
                <w:szCs w:val="16"/>
              </w:rPr>
              <w:t>14</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b/>
                <w:color w:val="000000"/>
                <w:sz w:val="18"/>
                <w:szCs w:val="16"/>
              </w:rPr>
            </w:pPr>
          </w:p>
        </w:tc>
        <w:tc>
          <w:tcPr>
            <w:tcW w:w="3814" w:type="pct"/>
            <w:gridSpan w:val="9"/>
            <w:noWrap/>
            <w:vAlign w:val="center"/>
            <w:hideMark/>
          </w:tcPr>
          <w:p w:rsidR="007F2F9C" w:rsidRPr="00F33F64" w:rsidRDefault="007F2F9C" w:rsidP="00091A88">
            <w:pPr>
              <w:spacing w:after="0" w:line="276" w:lineRule="auto"/>
              <w:jc w:val="center"/>
              <w:rPr>
                <w:rFonts w:eastAsia="Times New Roman" w:cs="Times New Roman"/>
                <w:b/>
                <w:color w:val="000000"/>
                <w:sz w:val="18"/>
                <w:szCs w:val="16"/>
              </w:rPr>
            </w:pPr>
            <w:r w:rsidRPr="00F33F64">
              <w:rPr>
                <w:rFonts w:eastAsia="Times New Roman" w:cs="Times New Roman"/>
                <w:b/>
                <w:color w:val="000000"/>
                <w:sz w:val="18"/>
                <w:szCs w:val="16"/>
              </w:rPr>
              <w:t>Fare in Taka per passenger per kilometer</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color w:val="000000"/>
                <w:sz w:val="18"/>
                <w:szCs w:val="16"/>
              </w:rPr>
            </w:pPr>
            <w:r w:rsidRPr="00F33F64">
              <w:rPr>
                <w:rFonts w:eastAsia="Times New Roman" w:cs="Times New Roman"/>
                <w:color w:val="000000"/>
                <w:sz w:val="18"/>
                <w:szCs w:val="16"/>
              </w:rPr>
              <w:t>Bangladesh Railway</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0.38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0.38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0.38</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0.38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0.38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0.39</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0.39</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0.58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0.75</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color w:val="000000"/>
                <w:sz w:val="18"/>
                <w:szCs w:val="16"/>
              </w:rPr>
            </w:pPr>
            <w:r w:rsidRPr="00F33F64">
              <w:rPr>
                <w:rFonts w:eastAsia="Times New Roman" w:cs="Times New Roman"/>
                <w:color w:val="000000"/>
                <w:sz w:val="18"/>
                <w:szCs w:val="16"/>
              </w:rPr>
              <w:t>Bangladesh Road Transport Corporation</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0.78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0.87</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1.05</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1.05</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1.13</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1.48</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1.48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1.48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1.48</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color w:val="000000"/>
                <w:sz w:val="18"/>
                <w:szCs w:val="16"/>
              </w:rPr>
            </w:pPr>
            <w:r w:rsidRPr="00F33F64">
              <w:rPr>
                <w:rFonts w:eastAsia="Times New Roman" w:cs="Times New Roman"/>
                <w:color w:val="000000"/>
                <w:sz w:val="18"/>
                <w:szCs w:val="16"/>
              </w:rPr>
              <w:t>Bangladesh Inland Water Transport Corporation</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0.42</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0.42</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0.51</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0.51</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0.51</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0.71</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0.96</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0.96</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1.00</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color w:val="000000"/>
                <w:sz w:val="18"/>
                <w:szCs w:val="16"/>
              </w:rPr>
            </w:pPr>
            <w:r w:rsidRPr="00F33F64">
              <w:rPr>
                <w:rFonts w:eastAsia="Times New Roman" w:cs="Times New Roman"/>
                <w:color w:val="000000"/>
                <w:sz w:val="18"/>
                <w:szCs w:val="16"/>
              </w:rPr>
              <w:t>Bangladesh Biman</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3.98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4.55</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4.65</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4.79</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4.80</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5.22</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5.46</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4.53</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4.22</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b/>
                <w:color w:val="000000"/>
                <w:sz w:val="18"/>
                <w:szCs w:val="16"/>
              </w:rPr>
            </w:pPr>
          </w:p>
        </w:tc>
        <w:tc>
          <w:tcPr>
            <w:tcW w:w="3814" w:type="pct"/>
            <w:gridSpan w:val="9"/>
            <w:noWrap/>
            <w:vAlign w:val="center"/>
            <w:hideMark/>
          </w:tcPr>
          <w:p w:rsidR="007F2F9C" w:rsidRPr="00F33F64" w:rsidRDefault="007F2F9C" w:rsidP="00091A88">
            <w:pPr>
              <w:spacing w:after="0" w:line="276" w:lineRule="auto"/>
              <w:jc w:val="center"/>
              <w:rPr>
                <w:rFonts w:eastAsia="Times New Roman" w:cs="Times New Roman"/>
                <w:b/>
                <w:color w:val="000000"/>
                <w:sz w:val="18"/>
                <w:szCs w:val="16"/>
              </w:rPr>
            </w:pPr>
            <w:r w:rsidRPr="00F33F64">
              <w:rPr>
                <w:rFonts w:eastAsia="Times New Roman" w:cs="Times New Roman"/>
                <w:b/>
                <w:color w:val="000000"/>
                <w:sz w:val="18"/>
                <w:szCs w:val="16"/>
              </w:rPr>
              <w:t xml:space="preserve">Freight per </w:t>
            </w:r>
            <w:r w:rsidR="00FE6385">
              <w:rPr>
                <w:rFonts w:eastAsia="Times New Roman" w:cs="Times New Roman"/>
                <w:b/>
                <w:color w:val="000000"/>
                <w:sz w:val="18"/>
                <w:szCs w:val="16"/>
              </w:rPr>
              <w:t>tonne</w:t>
            </w:r>
            <w:r w:rsidRPr="00F33F64">
              <w:rPr>
                <w:rFonts w:eastAsia="Times New Roman" w:cs="Times New Roman"/>
                <w:b/>
                <w:color w:val="000000"/>
                <w:sz w:val="18"/>
                <w:szCs w:val="16"/>
              </w:rPr>
              <w:t xml:space="preserve"> per Kilometer in Taka</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color w:val="000000"/>
                <w:sz w:val="18"/>
                <w:szCs w:val="16"/>
              </w:rPr>
            </w:pPr>
            <w:r w:rsidRPr="00F33F64">
              <w:rPr>
                <w:rFonts w:eastAsia="Times New Roman" w:cs="Times New Roman"/>
                <w:color w:val="000000"/>
                <w:sz w:val="18"/>
                <w:szCs w:val="16"/>
              </w:rPr>
              <w:t>Bangladesh Railway</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1.49</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1.55</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1.56</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1.58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1.58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1.59</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1.59</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2.00</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5.65</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color w:val="000000"/>
                <w:sz w:val="18"/>
                <w:szCs w:val="16"/>
              </w:rPr>
            </w:pPr>
            <w:r w:rsidRPr="00F33F64">
              <w:rPr>
                <w:rFonts w:eastAsia="Times New Roman" w:cs="Times New Roman"/>
                <w:color w:val="000000"/>
                <w:sz w:val="18"/>
                <w:szCs w:val="16"/>
              </w:rPr>
              <w:t>Bangladesh Road Transport Corporation</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2.47</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2.58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3.04</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3.64</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3.90</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4.57</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4.57</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4.57</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6.53</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color w:val="000000"/>
                <w:sz w:val="18"/>
                <w:szCs w:val="16"/>
              </w:rPr>
            </w:pPr>
            <w:r w:rsidRPr="00F33F64">
              <w:rPr>
                <w:rFonts w:eastAsia="Times New Roman" w:cs="Times New Roman"/>
                <w:color w:val="000000"/>
                <w:sz w:val="18"/>
                <w:szCs w:val="16"/>
              </w:rPr>
              <w:t>Bangladesh Inland Water Transport Corporation</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1.25</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1.25</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1.16</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1.16</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1.16</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1.17</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1.47</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2.19</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2.19</w:t>
            </w:r>
          </w:p>
        </w:tc>
      </w:tr>
      <w:tr w:rsidR="007F2F9C" w:rsidRPr="00FA2D55" w:rsidTr="00E13259">
        <w:trPr>
          <w:trHeight w:val="144"/>
        </w:trPr>
        <w:tc>
          <w:tcPr>
            <w:tcW w:w="1186" w:type="pct"/>
            <w:noWrap/>
            <w:vAlign w:val="center"/>
            <w:hideMark/>
          </w:tcPr>
          <w:p w:rsidR="007F2F9C" w:rsidRPr="00F33F64" w:rsidRDefault="007F2F9C" w:rsidP="00091A88">
            <w:pPr>
              <w:spacing w:after="0" w:line="276" w:lineRule="auto"/>
              <w:rPr>
                <w:rFonts w:eastAsia="Times New Roman" w:cs="Times New Roman"/>
                <w:color w:val="000000"/>
                <w:sz w:val="18"/>
                <w:szCs w:val="16"/>
              </w:rPr>
            </w:pPr>
            <w:r w:rsidRPr="00F33F64">
              <w:rPr>
                <w:rFonts w:eastAsia="Times New Roman" w:cs="Times New Roman"/>
                <w:color w:val="000000"/>
                <w:sz w:val="18"/>
                <w:szCs w:val="16"/>
              </w:rPr>
              <w:t>Bangladesh Biman</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1.67</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1.71</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1.75</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1.78</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1.80</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1.00</w:t>
            </w:r>
          </w:p>
        </w:tc>
        <w:tc>
          <w:tcPr>
            <w:tcW w:w="423"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1.10</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2.06</w:t>
            </w:r>
          </w:p>
        </w:tc>
        <w:tc>
          <w:tcPr>
            <w:tcW w:w="424" w:type="pct"/>
            <w:noWrap/>
            <w:vAlign w:val="center"/>
            <w:hideMark/>
          </w:tcPr>
          <w:p w:rsidR="007F2F9C" w:rsidRPr="00F33F64" w:rsidRDefault="007F2F9C" w:rsidP="00091A88">
            <w:pPr>
              <w:spacing w:after="0" w:line="276" w:lineRule="auto"/>
              <w:jc w:val="center"/>
              <w:rPr>
                <w:rFonts w:eastAsia="Times New Roman" w:cs="Times New Roman"/>
                <w:color w:val="000000"/>
                <w:sz w:val="18"/>
                <w:szCs w:val="16"/>
              </w:rPr>
            </w:pPr>
            <w:r w:rsidRPr="00F33F64">
              <w:rPr>
                <w:rFonts w:eastAsia="Times New Roman" w:cs="Times New Roman"/>
                <w:color w:val="000000"/>
                <w:sz w:val="18"/>
                <w:szCs w:val="16"/>
              </w:rPr>
              <w:t>2.10</w:t>
            </w:r>
          </w:p>
        </w:tc>
      </w:tr>
    </w:tbl>
    <w:p w:rsidR="007F2F9C" w:rsidRPr="00924255" w:rsidRDefault="007F2F9C" w:rsidP="00E13259">
      <w:pPr>
        <w:spacing w:after="0" w:line="240" w:lineRule="auto"/>
        <w:jc w:val="both"/>
        <w:rPr>
          <w:rFonts w:cs="Times New Roman"/>
          <w:szCs w:val="24"/>
        </w:rPr>
      </w:pPr>
      <w:r w:rsidRPr="00924255">
        <w:rPr>
          <w:rFonts w:cs="Times New Roman"/>
          <w:szCs w:val="24"/>
        </w:rPr>
        <w:t xml:space="preserve">* </w:t>
      </w:r>
      <w:r w:rsidRPr="0093318C">
        <w:rPr>
          <w:rFonts w:cs="Times New Roman"/>
          <w:sz w:val="20"/>
          <w:szCs w:val="20"/>
        </w:rPr>
        <w:t>For air cargo, the fare is quoted in Kg/</w:t>
      </w:r>
      <w:r w:rsidR="00065D01" w:rsidRPr="0093318C">
        <w:rPr>
          <w:rFonts w:cs="Times New Roman"/>
          <w:sz w:val="20"/>
          <w:szCs w:val="20"/>
        </w:rPr>
        <w:t>lb.</w:t>
      </w:r>
      <w:r w:rsidRPr="0093318C">
        <w:rPr>
          <w:rFonts w:cs="Times New Roman"/>
          <w:sz w:val="20"/>
          <w:szCs w:val="20"/>
        </w:rPr>
        <w:t xml:space="preserve"> per kilometer.</w:t>
      </w:r>
    </w:p>
    <w:p w:rsidR="007F2F9C" w:rsidRPr="00230820" w:rsidRDefault="00FF2DEA" w:rsidP="00774FC5">
      <w:pPr>
        <w:spacing w:before="120" w:line="240" w:lineRule="auto"/>
        <w:jc w:val="both"/>
        <w:rPr>
          <w:rFonts w:cs="Times New Roman"/>
          <w:b/>
          <w:bCs/>
          <w:i/>
          <w:iCs/>
          <w:sz w:val="20"/>
          <w:szCs w:val="20"/>
          <w:lang w:val="en-GB"/>
        </w:rPr>
      </w:pPr>
      <w:r>
        <w:rPr>
          <w:rFonts w:cs="Times New Roman"/>
          <w:b/>
          <w:bCs/>
          <w:i/>
          <w:iCs/>
          <w:sz w:val="20"/>
          <w:szCs w:val="20"/>
          <w:lang w:val="en-GB"/>
        </w:rPr>
        <w:t xml:space="preserve">Source: </w:t>
      </w:r>
      <w:r w:rsidR="00E21381">
        <w:rPr>
          <w:rFonts w:cs="Times New Roman"/>
          <w:b/>
          <w:bCs/>
          <w:i/>
          <w:iCs/>
          <w:sz w:val="20"/>
          <w:szCs w:val="20"/>
          <w:lang w:val="en-GB"/>
        </w:rPr>
        <w:t>BBS</w:t>
      </w:r>
    </w:p>
    <w:p w:rsidR="007F2F9C" w:rsidRPr="004B0A08" w:rsidRDefault="00942622" w:rsidP="00091A88">
      <w:pPr>
        <w:spacing w:line="276" w:lineRule="auto"/>
        <w:jc w:val="both"/>
        <w:rPr>
          <w:rFonts w:cs="Times New Roman"/>
          <w:i/>
          <w:szCs w:val="24"/>
        </w:rPr>
      </w:pPr>
      <w:r w:rsidRPr="004B0A08">
        <w:rPr>
          <w:rFonts w:cs="Times New Roman"/>
          <w:i/>
          <w:szCs w:val="24"/>
        </w:rPr>
        <w:t xml:space="preserve">The </w:t>
      </w:r>
      <w:r w:rsidR="007F2F9C" w:rsidRPr="004B0A08">
        <w:rPr>
          <w:rFonts w:cs="Times New Roman"/>
          <w:i/>
          <w:szCs w:val="24"/>
        </w:rPr>
        <w:t>Wo</w:t>
      </w:r>
      <w:r w:rsidR="00915926" w:rsidRPr="004B0A08">
        <w:rPr>
          <w:rFonts w:cs="Times New Roman"/>
          <w:i/>
          <w:szCs w:val="24"/>
        </w:rPr>
        <w:t>rld Bank</w:t>
      </w:r>
      <w:r w:rsidRPr="004B0A08">
        <w:rPr>
          <w:rFonts w:cs="Times New Roman"/>
          <w:i/>
          <w:szCs w:val="24"/>
        </w:rPr>
        <w:t xml:space="preserve"> (2007)</w:t>
      </w:r>
      <w:r w:rsidR="00915926" w:rsidRPr="004B0A08">
        <w:rPr>
          <w:rFonts w:cs="Times New Roman"/>
          <w:i/>
          <w:szCs w:val="24"/>
        </w:rPr>
        <w:t xml:space="preserve"> estimated </w:t>
      </w:r>
      <w:r w:rsidR="007F2F9C" w:rsidRPr="004B0A08">
        <w:rPr>
          <w:rFonts w:cs="Times New Roman"/>
          <w:i/>
          <w:szCs w:val="24"/>
        </w:rPr>
        <w:t>savings at BDT 7.5 billion in tra</w:t>
      </w:r>
      <w:r w:rsidR="00915926" w:rsidRPr="004B0A08">
        <w:rPr>
          <w:rFonts w:cs="Times New Roman"/>
          <w:i/>
          <w:szCs w:val="24"/>
        </w:rPr>
        <w:t xml:space="preserve">nsport costs of cargo </w:t>
      </w:r>
      <w:r w:rsidR="007F2F9C" w:rsidRPr="004B0A08">
        <w:rPr>
          <w:rFonts w:cs="Times New Roman"/>
          <w:i/>
          <w:szCs w:val="24"/>
        </w:rPr>
        <w:t>from use of IWT</w:t>
      </w:r>
      <w:r w:rsidRPr="004B0A08">
        <w:rPr>
          <w:rFonts w:cs="Times New Roman"/>
          <w:i/>
          <w:szCs w:val="24"/>
        </w:rPr>
        <w:t xml:space="preserve"> instead of road</w:t>
      </w:r>
      <w:r w:rsidR="007F2F9C" w:rsidRPr="004B0A08">
        <w:rPr>
          <w:rFonts w:cs="Times New Roman"/>
          <w:i/>
          <w:szCs w:val="24"/>
        </w:rPr>
        <w:t>. Cost of dredging was estimated at 0.6 billion BDT at BDT 100 per cum. In other words, benefit of BDT 7.5 billion at the cost of BDT 0.6 billion which is economically justified.</w:t>
      </w:r>
      <w:r w:rsidR="007F2F9C" w:rsidRPr="004B0A08">
        <w:rPr>
          <w:rStyle w:val="FootnoteReference"/>
          <w:rFonts w:cs="Times New Roman"/>
          <w:i/>
          <w:szCs w:val="24"/>
        </w:rPr>
        <w:footnoteReference w:id="42"/>
      </w:r>
      <w:r w:rsidR="007F2F9C" w:rsidRPr="004B0A08">
        <w:rPr>
          <w:rFonts w:cs="Times New Roman"/>
          <w:i/>
          <w:szCs w:val="24"/>
        </w:rPr>
        <w:t xml:space="preserve"> Table </w:t>
      </w:r>
      <w:r w:rsidR="005D6F28" w:rsidRPr="004B0A08">
        <w:rPr>
          <w:rFonts w:cs="Times New Roman"/>
          <w:i/>
          <w:szCs w:val="24"/>
        </w:rPr>
        <w:t>9.</w:t>
      </w:r>
      <w:r w:rsidR="007F2F9C" w:rsidRPr="004B0A08">
        <w:rPr>
          <w:rFonts w:cs="Times New Roman"/>
          <w:i/>
          <w:szCs w:val="24"/>
        </w:rPr>
        <w:t xml:space="preserve">3 illustrates the comparative per </w:t>
      </w:r>
      <w:r w:rsidR="00FE6385">
        <w:rPr>
          <w:rFonts w:cs="Times New Roman"/>
          <w:i/>
          <w:szCs w:val="24"/>
        </w:rPr>
        <w:t>tonne</w:t>
      </w:r>
      <w:r w:rsidR="007F2F9C" w:rsidRPr="004B0A08">
        <w:rPr>
          <w:rFonts w:cs="Times New Roman"/>
          <w:i/>
          <w:szCs w:val="24"/>
        </w:rPr>
        <w:t>-km costs of each mode.</w:t>
      </w:r>
    </w:p>
    <w:p w:rsidR="007F2F9C" w:rsidRPr="00924255" w:rsidRDefault="007F2F9C" w:rsidP="00915926">
      <w:pPr>
        <w:pStyle w:val="Heading4"/>
        <w:spacing w:after="0"/>
      </w:pPr>
      <w:bookmarkStart w:id="649" w:name="_Toc474639069"/>
      <w:r>
        <w:t xml:space="preserve">Table </w:t>
      </w:r>
      <w:r w:rsidR="005D6F28">
        <w:t>9.</w:t>
      </w:r>
      <w:r>
        <w:t>3</w:t>
      </w:r>
      <w:r w:rsidRPr="00924255">
        <w:t xml:space="preserve">: Comparison of Cargo Tariff by Modes (BDT/ </w:t>
      </w:r>
      <w:r w:rsidR="00FE6385">
        <w:t>tonne</w:t>
      </w:r>
      <w:r w:rsidRPr="00924255">
        <w:t>-km)</w:t>
      </w:r>
      <w:bookmarkEnd w:id="649"/>
      <w:r w:rsidRPr="00924255">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30"/>
        <w:gridCol w:w="3963"/>
        <w:gridCol w:w="3583"/>
      </w:tblGrid>
      <w:tr w:rsidR="007F2F9C" w:rsidRPr="00924255" w:rsidTr="00051FC4">
        <w:trPr>
          <w:trHeight w:hRule="exact" w:val="288"/>
          <w:jc w:val="center"/>
        </w:trPr>
        <w:tc>
          <w:tcPr>
            <w:tcW w:w="1060" w:type="pct"/>
            <w:shd w:val="clear" w:color="auto" w:fill="auto"/>
          </w:tcPr>
          <w:p w:rsidR="007F2F9C" w:rsidRPr="00924255" w:rsidRDefault="007F2F9C" w:rsidP="00051FC4">
            <w:pPr>
              <w:spacing w:after="0" w:line="276" w:lineRule="auto"/>
              <w:jc w:val="both"/>
              <w:rPr>
                <w:rFonts w:cs="Times New Roman"/>
                <w:b/>
                <w:szCs w:val="24"/>
              </w:rPr>
            </w:pPr>
            <w:r w:rsidRPr="00924255">
              <w:rPr>
                <w:rFonts w:cs="Times New Roman"/>
                <w:b/>
                <w:szCs w:val="24"/>
              </w:rPr>
              <w:t>Mode</w:t>
            </w:r>
          </w:p>
        </w:tc>
        <w:tc>
          <w:tcPr>
            <w:tcW w:w="2069" w:type="pct"/>
            <w:shd w:val="clear" w:color="auto" w:fill="auto"/>
          </w:tcPr>
          <w:p w:rsidR="007F2F9C" w:rsidRPr="00924255" w:rsidRDefault="007F2F9C" w:rsidP="00051FC4">
            <w:pPr>
              <w:spacing w:after="0" w:line="276" w:lineRule="auto"/>
              <w:jc w:val="center"/>
              <w:rPr>
                <w:rFonts w:cs="Times New Roman"/>
                <w:b/>
                <w:szCs w:val="24"/>
              </w:rPr>
            </w:pPr>
            <w:r w:rsidRPr="00924255">
              <w:rPr>
                <w:rFonts w:cs="Times New Roman"/>
                <w:b/>
                <w:szCs w:val="24"/>
              </w:rPr>
              <w:t>Dhaka-Chittagong (264 Km)</w:t>
            </w:r>
          </w:p>
        </w:tc>
        <w:tc>
          <w:tcPr>
            <w:tcW w:w="1871" w:type="pct"/>
            <w:shd w:val="clear" w:color="auto" w:fill="auto"/>
          </w:tcPr>
          <w:p w:rsidR="007F2F9C" w:rsidRPr="00924255" w:rsidRDefault="007F2F9C" w:rsidP="00051FC4">
            <w:pPr>
              <w:spacing w:after="0" w:line="276" w:lineRule="auto"/>
              <w:jc w:val="center"/>
              <w:rPr>
                <w:rFonts w:cs="Times New Roman"/>
                <w:b/>
                <w:szCs w:val="24"/>
              </w:rPr>
            </w:pPr>
            <w:r w:rsidRPr="00924255">
              <w:rPr>
                <w:rFonts w:cs="Times New Roman"/>
                <w:b/>
                <w:szCs w:val="24"/>
              </w:rPr>
              <w:t>Dhaka-Sylhet (346 km)</w:t>
            </w:r>
          </w:p>
        </w:tc>
      </w:tr>
      <w:tr w:rsidR="007F2F9C" w:rsidRPr="00924255" w:rsidTr="00051FC4">
        <w:trPr>
          <w:trHeight w:hRule="exact" w:val="288"/>
          <w:jc w:val="center"/>
        </w:trPr>
        <w:tc>
          <w:tcPr>
            <w:tcW w:w="1060" w:type="pct"/>
            <w:shd w:val="clear" w:color="auto" w:fill="auto"/>
          </w:tcPr>
          <w:p w:rsidR="007F2F9C" w:rsidRPr="00924255" w:rsidRDefault="007F2F9C" w:rsidP="00051FC4">
            <w:pPr>
              <w:spacing w:after="0" w:line="276" w:lineRule="auto"/>
              <w:jc w:val="both"/>
              <w:rPr>
                <w:rFonts w:cs="Times New Roman"/>
                <w:bCs/>
                <w:szCs w:val="24"/>
              </w:rPr>
            </w:pPr>
            <w:r w:rsidRPr="00924255">
              <w:rPr>
                <w:rFonts w:cs="Times New Roman"/>
                <w:bCs/>
                <w:szCs w:val="24"/>
              </w:rPr>
              <w:t>Road</w:t>
            </w:r>
          </w:p>
        </w:tc>
        <w:tc>
          <w:tcPr>
            <w:tcW w:w="2069" w:type="pct"/>
            <w:shd w:val="clear" w:color="auto" w:fill="auto"/>
          </w:tcPr>
          <w:p w:rsidR="007F2F9C" w:rsidRPr="00924255" w:rsidRDefault="007F2F9C" w:rsidP="00051FC4">
            <w:pPr>
              <w:spacing w:after="0" w:line="276" w:lineRule="auto"/>
              <w:jc w:val="center"/>
              <w:rPr>
                <w:rFonts w:cs="Times New Roman"/>
                <w:szCs w:val="24"/>
              </w:rPr>
            </w:pPr>
            <w:r w:rsidRPr="00924255">
              <w:rPr>
                <w:rFonts w:cs="Times New Roman"/>
                <w:szCs w:val="24"/>
              </w:rPr>
              <w:t>4.50</w:t>
            </w:r>
          </w:p>
        </w:tc>
        <w:tc>
          <w:tcPr>
            <w:tcW w:w="1871" w:type="pct"/>
            <w:shd w:val="clear" w:color="auto" w:fill="auto"/>
          </w:tcPr>
          <w:p w:rsidR="007F2F9C" w:rsidRPr="00924255" w:rsidRDefault="007F2F9C" w:rsidP="00051FC4">
            <w:pPr>
              <w:spacing w:after="0" w:line="276" w:lineRule="auto"/>
              <w:jc w:val="center"/>
              <w:rPr>
                <w:rFonts w:cs="Times New Roman"/>
                <w:b/>
                <w:szCs w:val="24"/>
              </w:rPr>
            </w:pPr>
            <w:r w:rsidRPr="00924255">
              <w:rPr>
                <w:rFonts w:cs="Times New Roman"/>
                <w:b/>
                <w:szCs w:val="24"/>
              </w:rPr>
              <w:t>4.34</w:t>
            </w:r>
          </w:p>
        </w:tc>
      </w:tr>
      <w:tr w:rsidR="007F2F9C" w:rsidRPr="00924255" w:rsidTr="00051FC4">
        <w:trPr>
          <w:trHeight w:hRule="exact" w:val="288"/>
          <w:jc w:val="center"/>
        </w:trPr>
        <w:tc>
          <w:tcPr>
            <w:tcW w:w="1060" w:type="pct"/>
            <w:shd w:val="clear" w:color="auto" w:fill="auto"/>
          </w:tcPr>
          <w:p w:rsidR="007F2F9C" w:rsidRPr="00924255" w:rsidRDefault="007F2F9C" w:rsidP="00051FC4">
            <w:pPr>
              <w:spacing w:after="0" w:line="276" w:lineRule="auto"/>
              <w:jc w:val="both"/>
              <w:rPr>
                <w:rFonts w:cs="Times New Roman"/>
                <w:bCs/>
                <w:szCs w:val="24"/>
              </w:rPr>
            </w:pPr>
            <w:r w:rsidRPr="00924255">
              <w:rPr>
                <w:rFonts w:cs="Times New Roman"/>
                <w:bCs/>
                <w:szCs w:val="24"/>
              </w:rPr>
              <w:t xml:space="preserve">Rail </w:t>
            </w:r>
          </w:p>
        </w:tc>
        <w:tc>
          <w:tcPr>
            <w:tcW w:w="2069" w:type="pct"/>
            <w:shd w:val="clear" w:color="auto" w:fill="auto"/>
          </w:tcPr>
          <w:p w:rsidR="007F2F9C" w:rsidRPr="00924255" w:rsidRDefault="007F2F9C" w:rsidP="00051FC4">
            <w:pPr>
              <w:spacing w:after="0" w:line="276" w:lineRule="auto"/>
              <w:jc w:val="center"/>
              <w:rPr>
                <w:rFonts w:cs="Times New Roman"/>
                <w:szCs w:val="24"/>
              </w:rPr>
            </w:pPr>
            <w:r w:rsidRPr="00924255">
              <w:rPr>
                <w:rFonts w:cs="Times New Roman"/>
                <w:szCs w:val="24"/>
              </w:rPr>
              <w:t>2.74</w:t>
            </w:r>
          </w:p>
        </w:tc>
        <w:tc>
          <w:tcPr>
            <w:tcW w:w="1871" w:type="pct"/>
            <w:shd w:val="clear" w:color="auto" w:fill="auto"/>
          </w:tcPr>
          <w:p w:rsidR="007F2F9C" w:rsidRPr="00924255" w:rsidRDefault="007F2F9C" w:rsidP="00051FC4">
            <w:pPr>
              <w:spacing w:after="0" w:line="276" w:lineRule="auto"/>
              <w:jc w:val="center"/>
              <w:rPr>
                <w:rFonts w:cs="Times New Roman"/>
                <w:szCs w:val="24"/>
              </w:rPr>
            </w:pPr>
            <w:r w:rsidRPr="00924255">
              <w:rPr>
                <w:rFonts w:cs="Times New Roman"/>
                <w:szCs w:val="24"/>
              </w:rPr>
              <w:t>3.78</w:t>
            </w:r>
          </w:p>
        </w:tc>
      </w:tr>
      <w:tr w:rsidR="007F2F9C" w:rsidRPr="00924255" w:rsidTr="00051FC4">
        <w:trPr>
          <w:trHeight w:hRule="exact" w:val="288"/>
          <w:jc w:val="center"/>
        </w:trPr>
        <w:tc>
          <w:tcPr>
            <w:tcW w:w="1060" w:type="pct"/>
            <w:shd w:val="clear" w:color="auto" w:fill="auto"/>
          </w:tcPr>
          <w:p w:rsidR="007F2F9C" w:rsidRPr="00924255" w:rsidRDefault="007F2F9C" w:rsidP="00051FC4">
            <w:pPr>
              <w:spacing w:after="0" w:line="276" w:lineRule="auto"/>
              <w:jc w:val="both"/>
              <w:rPr>
                <w:rFonts w:cs="Times New Roman"/>
                <w:bCs/>
                <w:szCs w:val="24"/>
              </w:rPr>
            </w:pPr>
            <w:r w:rsidRPr="00924255">
              <w:rPr>
                <w:rFonts w:cs="Times New Roman"/>
                <w:bCs/>
                <w:szCs w:val="24"/>
              </w:rPr>
              <w:t>IWT</w:t>
            </w:r>
          </w:p>
        </w:tc>
        <w:tc>
          <w:tcPr>
            <w:tcW w:w="2069" w:type="pct"/>
            <w:shd w:val="clear" w:color="auto" w:fill="auto"/>
          </w:tcPr>
          <w:p w:rsidR="007F2F9C" w:rsidRPr="00924255" w:rsidRDefault="007F2F9C" w:rsidP="00051FC4">
            <w:pPr>
              <w:spacing w:after="0" w:line="276" w:lineRule="auto"/>
              <w:jc w:val="center"/>
              <w:rPr>
                <w:rFonts w:cs="Times New Roman"/>
                <w:szCs w:val="24"/>
              </w:rPr>
            </w:pPr>
            <w:r w:rsidRPr="00924255">
              <w:rPr>
                <w:rFonts w:cs="Times New Roman"/>
                <w:szCs w:val="24"/>
              </w:rPr>
              <w:t>0.99</w:t>
            </w:r>
          </w:p>
        </w:tc>
        <w:tc>
          <w:tcPr>
            <w:tcW w:w="1871" w:type="pct"/>
            <w:shd w:val="clear" w:color="auto" w:fill="auto"/>
          </w:tcPr>
          <w:p w:rsidR="007F2F9C" w:rsidRPr="00924255" w:rsidRDefault="007F2F9C" w:rsidP="00051FC4">
            <w:pPr>
              <w:spacing w:after="0" w:line="276" w:lineRule="auto"/>
              <w:jc w:val="center"/>
              <w:rPr>
                <w:rFonts w:cs="Times New Roman"/>
                <w:szCs w:val="24"/>
              </w:rPr>
            </w:pPr>
            <w:r w:rsidRPr="00924255">
              <w:rPr>
                <w:rFonts w:cs="Times New Roman"/>
                <w:szCs w:val="24"/>
              </w:rPr>
              <w:t>0.63</w:t>
            </w:r>
          </w:p>
        </w:tc>
      </w:tr>
    </w:tbl>
    <w:p w:rsidR="007F2F9C" w:rsidRPr="00E2663D" w:rsidRDefault="00FF2DEA" w:rsidP="009C6EA2">
      <w:pPr>
        <w:spacing w:before="120"/>
        <w:rPr>
          <w:rFonts w:cs="Times New Roman"/>
          <w:b/>
          <w:bCs/>
          <w:i/>
          <w:iCs/>
          <w:sz w:val="20"/>
          <w:szCs w:val="20"/>
        </w:rPr>
      </w:pPr>
      <w:r>
        <w:rPr>
          <w:rFonts w:cs="Times New Roman"/>
          <w:b/>
          <w:bCs/>
          <w:i/>
          <w:iCs/>
          <w:sz w:val="20"/>
          <w:szCs w:val="20"/>
        </w:rPr>
        <w:t xml:space="preserve">Source: </w:t>
      </w:r>
      <w:r w:rsidR="00942622">
        <w:rPr>
          <w:rFonts w:cs="Times New Roman"/>
          <w:b/>
          <w:bCs/>
          <w:i/>
          <w:iCs/>
          <w:sz w:val="20"/>
          <w:szCs w:val="20"/>
        </w:rPr>
        <w:t xml:space="preserve">World Bank, </w:t>
      </w:r>
      <w:r w:rsidR="007F2F9C" w:rsidRPr="00E2663D">
        <w:rPr>
          <w:rFonts w:cs="Times New Roman"/>
          <w:b/>
          <w:bCs/>
          <w:i/>
          <w:iCs/>
          <w:sz w:val="20"/>
          <w:szCs w:val="20"/>
        </w:rPr>
        <w:t>2007</w:t>
      </w:r>
    </w:p>
    <w:p w:rsidR="007F2F9C" w:rsidRDefault="007F2F9C" w:rsidP="00091A88">
      <w:pPr>
        <w:spacing w:line="276" w:lineRule="auto"/>
        <w:jc w:val="both"/>
        <w:rPr>
          <w:rFonts w:cs="Times New Roman"/>
          <w:szCs w:val="24"/>
        </w:rPr>
      </w:pPr>
      <w:r w:rsidRPr="00924255">
        <w:rPr>
          <w:rFonts w:cs="Times New Roman"/>
          <w:szCs w:val="24"/>
        </w:rPr>
        <w:lastRenderedPageBreak/>
        <w:t xml:space="preserve">The study also indicates that in terms of productivity per kilometer of network of different modes railway is the best followed by IWT and road </w:t>
      </w:r>
      <w:r>
        <w:rPr>
          <w:rFonts w:cs="Times New Roman"/>
          <w:szCs w:val="24"/>
        </w:rPr>
        <w:t>is at</w:t>
      </w:r>
      <w:r w:rsidRPr="00924255">
        <w:rPr>
          <w:rFonts w:cs="Times New Roman"/>
          <w:szCs w:val="24"/>
        </w:rPr>
        <w:t xml:space="preserve"> the bottom. IWT has more than twice the productivity of road for</w:t>
      </w:r>
      <w:r>
        <w:rPr>
          <w:rFonts w:cs="Times New Roman"/>
          <w:szCs w:val="24"/>
        </w:rPr>
        <w:t xml:space="preserve"> the carriage of cargo (Table </w:t>
      </w:r>
      <w:r w:rsidR="00A44CBF">
        <w:rPr>
          <w:rFonts w:cs="Times New Roman"/>
          <w:szCs w:val="24"/>
        </w:rPr>
        <w:t>9.</w:t>
      </w:r>
      <w:r>
        <w:rPr>
          <w:rFonts w:cs="Times New Roman"/>
          <w:szCs w:val="24"/>
        </w:rPr>
        <w:t>4</w:t>
      </w:r>
      <w:r w:rsidRPr="00924255">
        <w:rPr>
          <w:rFonts w:cs="Times New Roman"/>
          <w:szCs w:val="24"/>
        </w:rPr>
        <w:t>).</w:t>
      </w:r>
    </w:p>
    <w:p w:rsidR="007F2F9C" w:rsidRPr="00924255" w:rsidRDefault="007F2F9C" w:rsidP="0036657D">
      <w:pPr>
        <w:pStyle w:val="Heading4"/>
      </w:pPr>
      <w:bookmarkStart w:id="650" w:name="_Toc474639070"/>
      <w:r>
        <w:t xml:space="preserve">Table </w:t>
      </w:r>
      <w:r w:rsidR="00A44CBF">
        <w:t>9.</w:t>
      </w:r>
      <w:r>
        <w:t>4</w:t>
      </w:r>
      <w:r w:rsidRPr="00924255">
        <w:t>: Productivity of Different Modes</w:t>
      </w:r>
      <w:bookmarkEnd w:id="650"/>
      <w:r w:rsidRPr="00924255">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7"/>
        <w:gridCol w:w="2021"/>
        <w:gridCol w:w="2021"/>
        <w:gridCol w:w="2097"/>
      </w:tblGrid>
      <w:tr w:rsidR="007F2F9C" w:rsidRPr="00924255" w:rsidTr="00051FC4">
        <w:trPr>
          <w:trHeight w:hRule="exact" w:val="288"/>
          <w:jc w:val="center"/>
        </w:trPr>
        <w:tc>
          <w:tcPr>
            <w:tcW w:w="1795" w:type="pct"/>
            <w:shd w:val="clear" w:color="auto" w:fill="auto"/>
          </w:tcPr>
          <w:p w:rsidR="007F2F9C" w:rsidRPr="00924255" w:rsidRDefault="007F2F9C" w:rsidP="00091A88">
            <w:pPr>
              <w:spacing w:after="0" w:line="276" w:lineRule="auto"/>
              <w:jc w:val="both"/>
              <w:rPr>
                <w:rFonts w:cs="Times New Roman"/>
                <w:b/>
                <w:szCs w:val="24"/>
              </w:rPr>
            </w:pPr>
            <w:r w:rsidRPr="00924255">
              <w:rPr>
                <w:rFonts w:cs="Times New Roman"/>
                <w:b/>
                <w:szCs w:val="24"/>
              </w:rPr>
              <w:t>Comparison</w:t>
            </w:r>
          </w:p>
        </w:tc>
        <w:tc>
          <w:tcPr>
            <w:tcW w:w="1055" w:type="pct"/>
            <w:shd w:val="clear" w:color="auto" w:fill="auto"/>
          </w:tcPr>
          <w:p w:rsidR="007F2F9C" w:rsidRPr="00924255" w:rsidRDefault="007F2F9C" w:rsidP="00091A88">
            <w:pPr>
              <w:spacing w:after="0" w:line="276" w:lineRule="auto"/>
              <w:jc w:val="center"/>
              <w:rPr>
                <w:rFonts w:cs="Times New Roman"/>
                <w:b/>
                <w:szCs w:val="24"/>
              </w:rPr>
            </w:pPr>
            <w:r w:rsidRPr="00924255">
              <w:rPr>
                <w:rFonts w:cs="Times New Roman"/>
                <w:b/>
                <w:szCs w:val="24"/>
              </w:rPr>
              <w:t>Road</w:t>
            </w:r>
          </w:p>
        </w:tc>
        <w:tc>
          <w:tcPr>
            <w:tcW w:w="1055" w:type="pct"/>
            <w:shd w:val="clear" w:color="auto" w:fill="auto"/>
          </w:tcPr>
          <w:p w:rsidR="007F2F9C" w:rsidRPr="00924255" w:rsidRDefault="007F2F9C" w:rsidP="00091A88">
            <w:pPr>
              <w:spacing w:after="0" w:line="276" w:lineRule="auto"/>
              <w:jc w:val="center"/>
              <w:rPr>
                <w:rFonts w:cs="Times New Roman"/>
                <w:b/>
                <w:szCs w:val="24"/>
              </w:rPr>
            </w:pPr>
            <w:r w:rsidRPr="00924255">
              <w:rPr>
                <w:rFonts w:cs="Times New Roman"/>
                <w:b/>
                <w:szCs w:val="24"/>
              </w:rPr>
              <w:t>Rail</w:t>
            </w:r>
          </w:p>
        </w:tc>
        <w:tc>
          <w:tcPr>
            <w:tcW w:w="1095" w:type="pct"/>
            <w:shd w:val="clear" w:color="auto" w:fill="auto"/>
          </w:tcPr>
          <w:p w:rsidR="007F2F9C" w:rsidRPr="00924255" w:rsidRDefault="007F2F9C" w:rsidP="00091A88">
            <w:pPr>
              <w:spacing w:after="0" w:line="276" w:lineRule="auto"/>
              <w:jc w:val="center"/>
              <w:rPr>
                <w:rFonts w:cs="Times New Roman"/>
                <w:b/>
                <w:szCs w:val="24"/>
              </w:rPr>
            </w:pPr>
            <w:r w:rsidRPr="00924255">
              <w:rPr>
                <w:rFonts w:cs="Times New Roman"/>
                <w:b/>
                <w:szCs w:val="24"/>
              </w:rPr>
              <w:t>IWT</w:t>
            </w:r>
          </w:p>
        </w:tc>
      </w:tr>
      <w:tr w:rsidR="007F2F9C" w:rsidRPr="00924255" w:rsidTr="00051FC4">
        <w:trPr>
          <w:trHeight w:hRule="exact" w:val="288"/>
          <w:jc w:val="center"/>
        </w:trPr>
        <w:tc>
          <w:tcPr>
            <w:tcW w:w="1795" w:type="pct"/>
            <w:shd w:val="clear" w:color="auto" w:fill="auto"/>
          </w:tcPr>
          <w:p w:rsidR="007F2F9C" w:rsidRPr="00924255" w:rsidRDefault="007F2F9C" w:rsidP="00091A88">
            <w:pPr>
              <w:spacing w:after="0" w:line="276" w:lineRule="auto"/>
              <w:jc w:val="both"/>
              <w:rPr>
                <w:rFonts w:cs="Times New Roman"/>
                <w:bCs/>
                <w:szCs w:val="24"/>
              </w:rPr>
            </w:pPr>
            <w:r w:rsidRPr="00924255">
              <w:rPr>
                <w:rFonts w:cs="Times New Roman"/>
                <w:bCs/>
                <w:szCs w:val="24"/>
              </w:rPr>
              <w:t>Network</w:t>
            </w:r>
          </w:p>
        </w:tc>
        <w:tc>
          <w:tcPr>
            <w:tcW w:w="1055" w:type="pct"/>
            <w:shd w:val="clear" w:color="auto" w:fill="auto"/>
          </w:tcPr>
          <w:p w:rsidR="007F2F9C" w:rsidRPr="00924255" w:rsidRDefault="007F2F9C" w:rsidP="00091A88">
            <w:pPr>
              <w:spacing w:after="0" w:line="276" w:lineRule="auto"/>
              <w:jc w:val="center"/>
              <w:rPr>
                <w:rFonts w:cs="Times New Roman"/>
                <w:szCs w:val="24"/>
              </w:rPr>
            </w:pPr>
            <w:r w:rsidRPr="00924255">
              <w:rPr>
                <w:rFonts w:cs="Times New Roman"/>
                <w:szCs w:val="24"/>
              </w:rPr>
              <w:t>274,000</w:t>
            </w:r>
          </w:p>
        </w:tc>
        <w:tc>
          <w:tcPr>
            <w:tcW w:w="1055" w:type="pct"/>
            <w:shd w:val="clear" w:color="auto" w:fill="auto"/>
          </w:tcPr>
          <w:p w:rsidR="007F2F9C" w:rsidRPr="00924255" w:rsidRDefault="007F2F9C" w:rsidP="00091A88">
            <w:pPr>
              <w:spacing w:after="0" w:line="276" w:lineRule="auto"/>
              <w:jc w:val="center"/>
              <w:rPr>
                <w:rFonts w:cs="Times New Roman"/>
                <w:szCs w:val="24"/>
              </w:rPr>
            </w:pPr>
            <w:r w:rsidRPr="00924255">
              <w:rPr>
                <w:rFonts w:cs="Times New Roman"/>
                <w:szCs w:val="24"/>
              </w:rPr>
              <w:t>2,800</w:t>
            </w:r>
          </w:p>
        </w:tc>
        <w:tc>
          <w:tcPr>
            <w:tcW w:w="1095" w:type="pct"/>
            <w:shd w:val="clear" w:color="auto" w:fill="auto"/>
          </w:tcPr>
          <w:p w:rsidR="007F2F9C" w:rsidRPr="00924255" w:rsidRDefault="007F2F9C" w:rsidP="00091A88">
            <w:pPr>
              <w:spacing w:after="0" w:line="276" w:lineRule="auto"/>
              <w:jc w:val="center"/>
              <w:rPr>
                <w:rFonts w:cs="Times New Roman"/>
                <w:szCs w:val="24"/>
              </w:rPr>
            </w:pPr>
            <w:r w:rsidRPr="00924255">
              <w:rPr>
                <w:rFonts w:cs="Times New Roman"/>
                <w:szCs w:val="24"/>
              </w:rPr>
              <w:t>24,000</w:t>
            </w:r>
          </w:p>
        </w:tc>
      </w:tr>
      <w:tr w:rsidR="007F2F9C" w:rsidRPr="00924255" w:rsidTr="00051FC4">
        <w:trPr>
          <w:trHeight w:hRule="exact" w:val="288"/>
          <w:jc w:val="center"/>
        </w:trPr>
        <w:tc>
          <w:tcPr>
            <w:tcW w:w="1795" w:type="pct"/>
            <w:shd w:val="clear" w:color="auto" w:fill="auto"/>
          </w:tcPr>
          <w:p w:rsidR="007F2F9C" w:rsidRPr="00924255" w:rsidRDefault="007F2F9C" w:rsidP="00091A88">
            <w:pPr>
              <w:spacing w:after="0" w:line="276" w:lineRule="auto"/>
              <w:jc w:val="both"/>
              <w:rPr>
                <w:rFonts w:cs="Times New Roman"/>
                <w:bCs/>
                <w:szCs w:val="24"/>
              </w:rPr>
            </w:pPr>
            <w:r w:rsidRPr="00924255">
              <w:rPr>
                <w:rFonts w:cs="Times New Roman"/>
                <w:bCs/>
                <w:szCs w:val="24"/>
              </w:rPr>
              <w:t>Productivity Passenger-km</w:t>
            </w:r>
          </w:p>
        </w:tc>
        <w:tc>
          <w:tcPr>
            <w:tcW w:w="1055" w:type="pct"/>
            <w:shd w:val="clear" w:color="auto" w:fill="auto"/>
          </w:tcPr>
          <w:p w:rsidR="007F2F9C" w:rsidRPr="00924255" w:rsidRDefault="007F2F9C" w:rsidP="00091A88">
            <w:pPr>
              <w:spacing w:after="0" w:line="276" w:lineRule="auto"/>
              <w:jc w:val="center"/>
              <w:rPr>
                <w:rFonts w:cs="Times New Roman"/>
                <w:szCs w:val="24"/>
              </w:rPr>
            </w:pPr>
            <w:r w:rsidRPr="00924255">
              <w:rPr>
                <w:rFonts w:cs="Times New Roman"/>
                <w:szCs w:val="24"/>
              </w:rPr>
              <w:t>359,000</w:t>
            </w:r>
          </w:p>
        </w:tc>
        <w:tc>
          <w:tcPr>
            <w:tcW w:w="1055" w:type="pct"/>
            <w:shd w:val="clear" w:color="auto" w:fill="auto"/>
          </w:tcPr>
          <w:p w:rsidR="007F2F9C" w:rsidRPr="00924255" w:rsidRDefault="007F2F9C" w:rsidP="00091A88">
            <w:pPr>
              <w:spacing w:after="0" w:line="276" w:lineRule="auto"/>
              <w:jc w:val="center"/>
              <w:rPr>
                <w:rFonts w:cs="Times New Roman"/>
                <w:szCs w:val="24"/>
              </w:rPr>
            </w:pPr>
            <w:r w:rsidRPr="00924255">
              <w:rPr>
                <w:rFonts w:cs="Times New Roman"/>
                <w:szCs w:val="24"/>
              </w:rPr>
              <w:t>1,500,000</w:t>
            </w:r>
          </w:p>
        </w:tc>
        <w:tc>
          <w:tcPr>
            <w:tcW w:w="1095" w:type="pct"/>
            <w:shd w:val="clear" w:color="auto" w:fill="auto"/>
          </w:tcPr>
          <w:p w:rsidR="007F2F9C" w:rsidRPr="00924255" w:rsidRDefault="007F2F9C" w:rsidP="00091A88">
            <w:pPr>
              <w:spacing w:after="0" w:line="276" w:lineRule="auto"/>
              <w:jc w:val="center"/>
              <w:rPr>
                <w:rFonts w:cs="Times New Roman"/>
                <w:szCs w:val="24"/>
              </w:rPr>
            </w:pPr>
            <w:r w:rsidRPr="00924255">
              <w:rPr>
                <w:rFonts w:cs="Times New Roman"/>
                <w:szCs w:val="24"/>
              </w:rPr>
              <w:t>369,000</w:t>
            </w:r>
          </w:p>
        </w:tc>
      </w:tr>
      <w:tr w:rsidR="007F2F9C" w:rsidRPr="00924255" w:rsidTr="00051FC4">
        <w:trPr>
          <w:trHeight w:hRule="exact" w:val="288"/>
          <w:jc w:val="center"/>
        </w:trPr>
        <w:tc>
          <w:tcPr>
            <w:tcW w:w="1795" w:type="pct"/>
            <w:shd w:val="clear" w:color="auto" w:fill="auto"/>
          </w:tcPr>
          <w:p w:rsidR="007F2F9C" w:rsidRPr="00924255" w:rsidRDefault="007F2F9C" w:rsidP="00091A88">
            <w:pPr>
              <w:spacing w:after="0" w:line="276" w:lineRule="auto"/>
              <w:jc w:val="both"/>
              <w:rPr>
                <w:rFonts w:cs="Times New Roman"/>
                <w:bCs/>
                <w:szCs w:val="24"/>
              </w:rPr>
            </w:pPr>
            <w:r w:rsidRPr="00924255">
              <w:rPr>
                <w:rFonts w:cs="Times New Roman"/>
                <w:bCs/>
                <w:szCs w:val="24"/>
              </w:rPr>
              <w:t xml:space="preserve">Productivity </w:t>
            </w:r>
            <w:r w:rsidR="00FE6385">
              <w:rPr>
                <w:rFonts w:cs="Times New Roman"/>
                <w:bCs/>
                <w:szCs w:val="24"/>
              </w:rPr>
              <w:t>Tonne</w:t>
            </w:r>
            <w:r w:rsidRPr="00924255">
              <w:rPr>
                <w:rFonts w:cs="Times New Roman"/>
                <w:bCs/>
                <w:szCs w:val="24"/>
              </w:rPr>
              <w:t>-km</w:t>
            </w:r>
          </w:p>
        </w:tc>
        <w:tc>
          <w:tcPr>
            <w:tcW w:w="1055" w:type="pct"/>
            <w:shd w:val="clear" w:color="auto" w:fill="auto"/>
          </w:tcPr>
          <w:p w:rsidR="007F2F9C" w:rsidRPr="00924255" w:rsidRDefault="007F2F9C" w:rsidP="00091A88">
            <w:pPr>
              <w:spacing w:after="0" w:line="276" w:lineRule="auto"/>
              <w:jc w:val="center"/>
              <w:rPr>
                <w:rFonts w:cs="Times New Roman"/>
                <w:szCs w:val="24"/>
              </w:rPr>
            </w:pPr>
            <w:r w:rsidRPr="00924255">
              <w:rPr>
                <w:rFonts w:cs="Times New Roman"/>
                <w:szCs w:val="24"/>
              </w:rPr>
              <w:t>57,000</w:t>
            </w:r>
          </w:p>
        </w:tc>
        <w:tc>
          <w:tcPr>
            <w:tcW w:w="1055" w:type="pct"/>
            <w:shd w:val="clear" w:color="auto" w:fill="auto"/>
          </w:tcPr>
          <w:p w:rsidR="007F2F9C" w:rsidRPr="00924255" w:rsidRDefault="007F2F9C" w:rsidP="00091A88">
            <w:pPr>
              <w:spacing w:after="0" w:line="276" w:lineRule="auto"/>
              <w:jc w:val="center"/>
              <w:rPr>
                <w:rFonts w:cs="Times New Roman"/>
                <w:szCs w:val="24"/>
              </w:rPr>
            </w:pPr>
            <w:r w:rsidRPr="00924255">
              <w:rPr>
                <w:rFonts w:cs="Times New Roman"/>
                <w:szCs w:val="24"/>
              </w:rPr>
              <w:t>293,000</w:t>
            </w:r>
          </w:p>
        </w:tc>
        <w:tc>
          <w:tcPr>
            <w:tcW w:w="1095" w:type="pct"/>
            <w:shd w:val="clear" w:color="auto" w:fill="auto"/>
          </w:tcPr>
          <w:p w:rsidR="007F2F9C" w:rsidRPr="00924255" w:rsidRDefault="007F2F9C" w:rsidP="00091A88">
            <w:pPr>
              <w:spacing w:after="0" w:line="276" w:lineRule="auto"/>
              <w:jc w:val="center"/>
              <w:rPr>
                <w:rFonts w:cs="Times New Roman"/>
                <w:szCs w:val="24"/>
              </w:rPr>
            </w:pPr>
            <w:r w:rsidRPr="00924255">
              <w:rPr>
                <w:rFonts w:cs="Times New Roman"/>
                <w:szCs w:val="24"/>
              </w:rPr>
              <w:t>127,000</w:t>
            </w:r>
          </w:p>
        </w:tc>
      </w:tr>
    </w:tbl>
    <w:p w:rsidR="007F2F9C" w:rsidRPr="00E2663D" w:rsidRDefault="007F2F9C" w:rsidP="00B00C8E">
      <w:pPr>
        <w:spacing w:before="120" w:line="276" w:lineRule="auto"/>
        <w:rPr>
          <w:rFonts w:cs="Times New Roman"/>
          <w:b/>
          <w:bCs/>
          <w:i/>
          <w:iCs/>
          <w:sz w:val="20"/>
          <w:szCs w:val="20"/>
        </w:rPr>
      </w:pPr>
      <w:r w:rsidRPr="00E2663D">
        <w:rPr>
          <w:rFonts w:cs="Times New Roman"/>
          <w:b/>
          <w:bCs/>
          <w:i/>
          <w:iCs/>
          <w:sz w:val="20"/>
          <w:szCs w:val="20"/>
        </w:rPr>
        <w:t>Source: The World Bank</w:t>
      </w:r>
      <w:r w:rsidR="00942622">
        <w:rPr>
          <w:rFonts w:cs="Times New Roman"/>
          <w:b/>
          <w:bCs/>
          <w:i/>
          <w:iCs/>
          <w:sz w:val="20"/>
          <w:szCs w:val="20"/>
        </w:rPr>
        <w:t xml:space="preserve">, </w:t>
      </w:r>
      <w:r w:rsidR="00D03A4C">
        <w:rPr>
          <w:rFonts w:cs="Times New Roman"/>
          <w:b/>
          <w:bCs/>
          <w:i/>
          <w:iCs/>
          <w:sz w:val="20"/>
          <w:szCs w:val="20"/>
        </w:rPr>
        <w:t>2007.</w:t>
      </w:r>
    </w:p>
    <w:p w:rsidR="007F2F9C" w:rsidRPr="00A435F5" w:rsidRDefault="007F2F9C" w:rsidP="009538ED">
      <w:pPr>
        <w:autoSpaceDE w:val="0"/>
        <w:autoSpaceDN w:val="0"/>
        <w:adjustRightInd w:val="0"/>
        <w:spacing w:line="276" w:lineRule="auto"/>
        <w:jc w:val="both"/>
        <w:rPr>
          <w:rFonts w:cs="Times New Roman"/>
          <w:szCs w:val="24"/>
        </w:rPr>
      </w:pPr>
      <w:r w:rsidRPr="00924255">
        <w:rPr>
          <w:rFonts w:cs="Times New Roman"/>
          <w:szCs w:val="24"/>
        </w:rPr>
        <w:t xml:space="preserve">Moreover, from social perspectives, IWT contributes directly to social benefits nationwide by providing a relatively cheaper mode of transport and it also generates employment opportunities thereof. According to World Bank (2007) total employment in IWT sub-sector is more than 4.6 million. </w:t>
      </w:r>
      <w:r w:rsidRPr="00A435F5">
        <w:rPr>
          <w:rFonts w:cs="Times New Roman"/>
          <w:szCs w:val="24"/>
        </w:rPr>
        <w:t>A substantial portion of rural population has no access to any mode of transport other than river</w:t>
      </w:r>
      <w:r w:rsidR="007253F3" w:rsidRPr="00A435F5">
        <w:rPr>
          <w:rFonts w:cs="Times New Roman"/>
          <w:szCs w:val="24"/>
        </w:rPr>
        <w:t xml:space="preserve"> </w:t>
      </w:r>
      <w:r w:rsidR="007253F3" w:rsidRPr="00A435F5">
        <w:rPr>
          <w:rFonts w:cs="Times New Roman"/>
          <w:color w:val="000000"/>
          <w:szCs w:val="24"/>
        </w:rPr>
        <w:t>in haor, baor and in depression areas</w:t>
      </w:r>
      <w:r w:rsidRPr="00A435F5">
        <w:rPr>
          <w:rFonts w:cs="Times New Roman"/>
          <w:szCs w:val="24"/>
        </w:rPr>
        <w:t xml:space="preserve"> </w:t>
      </w:r>
    </w:p>
    <w:p w:rsidR="00F64A6A" w:rsidRDefault="00397B32" w:rsidP="00F64A6A">
      <w:pPr>
        <w:pStyle w:val="Heading2"/>
      </w:pPr>
      <w:bookmarkStart w:id="651" w:name="_Toc474638910"/>
      <w:r>
        <w:t>Present Status of Inland Water Transport (</w:t>
      </w:r>
      <w:r w:rsidR="00B00C8E">
        <w:t>IWT</w:t>
      </w:r>
      <w:r>
        <w:t>)</w:t>
      </w:r>
      <w:bookmarkEnd w:id="651"/>
    </w:p>
    <w:p w:rsidR="00EF47E9" w:rsidRPr="0056500E" w:rsidRDefault="00EF47E9" w:rsidP="00EF47E9">
      <w:pPr>
        <w:spacing w:line="276" w:lineRule="auto"/>
        <w:jc w:val="both"/>
        <w:rPr>
          <w:rFonts w:cs="Times New Roman"/>
          <w:szCs w:val="24"/>
        </w:rPr>
      </w:pPr>
      <w:r w:rsidRPr="0056500E">
        <w:rPr>
          <w:rFonts w:cs="Times New Roman"/>
          <w:szCs w:val="24"/>
        </w:rPr>
        <w:t xml:space="preserve">Bangladesh Inland Water Transport Authority (BIWTA) has established 24 inland river ports and about 400 landing stations in the country. In 2013-14, BIWTA recorded 87.40 million of passenger and 35.18 million </w:t>
      </w:r>
      <w:r w:rsidR="00FE6385">
        <w:rPr>
          <w:rFonts w:cs="Times New Roman"/>
          <w:szCs w:val="24"/>
        </w:rPr>
        <w:t>tonne</w:t>
      </w:r>
      <w:r w:rsidRPr="0056500E">
        <w:rPr>
          <w:rFonts w:cs="Times New Roman"/>
          <w:szCs w:val="24"/>
        </w:rPr>
        <w:t xml:space="preserve">s of cargo throughput the nine major river ports. IWT is mainly used for transport of bulk, dry bulk and liquid bulk of construction materials, food grains, fertilizer, clinker, petroleum product etc. A large fleet of about 10,000 inland vessels are engaged in the carriage of goods and passengers. Besides there are approximately 750,000 country boats powered by the pump engines operating mainly in the rural waterways. </w:t>
      </w:r>
    </w:p>
    <w:p w:rsidR="00EF47E9" w:rsidRPr="0056500E" w:rsidRDefault="00EF47E9" w:rsidP="00EF47E9">
      <w:pPr>
        <w:spacing w:line="276" w:lineRule="auto"/>
        <w:jc w:val="both"/>
        <w:rPr>
          <w:rFonts w:cs="Times New Roman"/>
          <w:szCs w:val="24"/>
        </w:rPr>
      </w:pPr>
      <w:r w:rsidRPr="0056500E">
        <w:rPr>
          <w:rFonts w:cs="Times New Roman"/>
          <w:szCs w:val="24"/>
        </w:rPr>
        <w:t>The two maritime ports in Bangladesh namely the Chittagong Port and the Mongla Port serve the international s</w:t>
      </w:r>
      <w:r w:rsidR="00144771">
        <w:rPr>
          <w:rFonts w:cs="Times New Roman"/>
          <w:szCs w:val="24"/>
        </w:rPr>
        <w:t xml:space="preserve">ea borne trade. In fiscal year </w:t>
      </w:r>
      <w:r w:rsidRPr="0056500E">
        <w:rPr>
          <w:rFonts w:cs="Times New Roman"/>
          <w:szCs w:val="24"/>
        </w:rPr>
        <w:t xml:space="preserve">2014-15, Chittagong Port handled 54.78 million metric </w:t>
      </w:r>
      <w:r w:rsidR="00FE6385">
        <w:rPr>
          <w:rFonts w:cs="Times New Roman"/>
          <w:szCs w:val="24"/>
        </w:rPr>
        <w:t>tonne</w:t>
      </w:r>
      <w:r w:rsidRPr="0056500E">
        <w:rPr>
          <w:rFonts w:cs="Times New Roman"/>
          <w:szCs w:val="24"/>
        </w:rPr>
        <w:t>s (MMT) of shipments (total imports and exports were 48.94 and 5.84 MMT), while Mongla Port handled about 44,000 TEU in 2012-13. A third maritime port of Payra, now under construction, has started operation very recently.</w:t>
      </w:r>
    </w:p>
    <w:p w:rsidR="00EF47E9" w:rsidRPr="0056500E" w:rsidRDefault="00EF47E9" w:rsidP="00EF47E9">
      <w:pPr>
        <w:spacing w:line="276" w:lineRule="auto"/>
        <w:jc w:val="both"/>
        <w:rPr>
          <w:rFonts w:cs="Times New Roman"/>
          <w:szCs w:val="24"/>
        </w:rPr>
      </w:pPr>
      <w:r w:rsidRPr="0056500E">
        <w:rPr>
          <w:rFonts w:cs="Times New Roman"/>
          <w:szCs w:val="24"/>
        </w:rPr>
        <w:t>According to the Report of IWT Master plan prepared by DHV Consultants in 1989 BIWTA approved classification of routes described the inland waterways of Bangladesh into four hierarchical classes as fo</w:t>
      </w:r>
      <w:r>
        <w:rPr>
          <w:rFonts w:cs="Times New Roman"/>
          <w:szCs w:val="24"/>
        </w:rPr>
        <w:t>llows (Table 9.5</w:t>
      </w:r>
      <w:r w:rsidRPr="0056500E">
        <w:rPr>
          <w:rFonts w:cs="Times New Roman"/>
          <w:szCs w:val="24"/>
        </w:rPr>
        <w:t>). In terms of network length, the classified perennial routes (class-I, II and III) amount to almost 3,600 km and seasonal routes (class-IV) to almost 2,400km, totaling about 6,000 km.</w:t>
      </w:r>
    </w:p>
    <w:p w:rsidR="00EF47E9" w:rsidRPr="0056500E" w:rsidRDefault="00EF47E9" w:rsidP="00D6486D">
      <w:pPr>
        <w:pStyle w:val="ListParagraph"/>
        <w:numPr>
          <w:ilvl w:val="0"/>
          <w:numId w:val="72"/>
        </w:numPr>
        <w:spacing w:line="276" w:lineRule="auto"/>
        <w:ind w:left="360"/>
        <w:jc w:val="both"/>
        <w:rPr>
          <w:rFonts w:cs="Times New Roman"/>
          <w:szCs w:val="24"/>
        </w:rPr>
      </w:pPr>
      <w:r w:rsidRPr="0056500E">
        <w:rPr>
          <w:rFonts w:cs="Times New Roman"/>
          <w:b/>
          <w:szCs w:val="24"/>
        </w:rPr>
        <w:t>Class-I:</w:t>
      </w:r>
      <w:r w:rsidRPr="0056500E">
        <w:rPr>
          <w:rFonts w:cs="Times New Roman"/>
          <w:szCs w:val="24"/>
        </w:rPr>
        <w:t xml:space="preserve"> Comprising the perennial Routes configuring the propeller–shaped spine of the system that interconnects Chittagong-Dhaka/ Narayanganj (and extending to </w:t>
      </w:r>
      <w:r w:rsidRPr="0056500E">
        <w:rPr>
          <w:rFonts w:cs="Times New Roman"/>
          <w:szCs w:val="24"/>
        </w:rPr>
        <w:lastRenderedPageBreak/>
        <w:t>Ashuganj/Bhairabbazar)-Khulna/Mongla via Barisal (Ilsaghat/Hizla) where the largest LAD of 3.60-3.90m is to be maintained all year round with a total length of about 685 km.</w:t>
      </w:r>
    </w:p>
    <w:p w:rsidR="00EF47E9" w:rsidRPr="0056500E" w:rsidRDefault="00EF47E9" w:rsidP="00EF47E9">
      <w:pPr>
        <w:pStyle w:val="ListParagraph"/>
        <w:spacing w:line="276" w:lineRule="auto"/>
        <w:ind w:left="360"/>
        <w:jc w:val="both"/>
        <w:rPr>
          <w:rFonts w:cs="Times New Roman"/>
          <w:szCs w:val="24"/>
        </w:rPr>
      </w:pPr>
    </w:p>
    <w:p w:rsidR="00EF47E9" w:rsidRPr="00726C06" w:rsidRDefault="00EF47E9" w:rsidP="00D6486D">
      <w:pPr>
        <w:pStyle w:val="ListParagraph"/>
        <w:numPr>
          <w:ilvl w:val="0"/>
          <w:numId w:val="72"/>
        </w:numPr>
        <w:spacing w:line="276" w:lineRule="auto"/>
        <w:ind w:left="360"/>
        <w:jc w:val="both"/>
        <w:rPr>
          <w:rFonts w:cs="Times New Roman"/>
          <w:szCs w:val="24"/>
        </w:rPr>
      </w:pPr>
      <w:r w:rsidRPr="0056500E">
        <w:rPr>
          <w:rFonts w:cs="Times New Roman"/>
          <w:b/>
          <w:szCs w:val="24"/>
        </w:rPr>
        <w:t>Class-II:</w:t>
      </w:r>
      <w:r w:rsidRPr="0056500E">
        <w:rPr>
          <w:rFonts w:cs="Times New Roman"/>
          <w:szCs w:val="24"/>
        </w:rPr>
        <w:t xml:space="preserve"> Routes (perennial) linking major inland ports for the north-west and north-east hinterlands i.e. Baghabari/ Nagarbari (and further north to Chilmari) and the Sylhet region to class-I Routes where the next highest LAD of 2.10-2.40m to be maintained all year round with a total length of 1,000km.</w:t>
      </w:r>
    </w:p>
    <w:p w:rsidR="00EF47E9" w:rsidRPr="00726C06" w:rsidRDefault="00EF47E9" w:rsidP="00D6486D">
      <w:pPr>
        <w:pStyle w:val="ListParagraph"/>
        <w:numPr>
          <w:ilvl w:val="0"/>
          <w:numId w:val="72"/>
        </w:numPr>
        <w:spacing w:line="276" w:lineRule="auto"/>
        <w:ind w:left="360"/>
        <w:jc w:val="both"/>
        <w:rPr>
          <w:rFonts w:cs="Times New Roman"/>
          <w:szCs w:val="24"/>
        </w:rPr>
      </w:pPr>
      <w:r w:rsidRPr="0056500E">
        <w:rPr>
          <w:rFonts w:cs="Times New Roman"/>
          <w:b/>
          <w:szCs w:val="24"/>
        </w:rPr>
        <w:t>Class-III:</w:t>
      </w:r>
      <w:r w:rsidRPr="0056500E">
        <w:rPr>
          <w:rFonts w:cs="Times New Roman"/>
          <w:szCs w:val="24"/>
        </w:rPr>
        <w:t xml:space="preserve"> Routes, where it is usually not feasible to maintain perennial Routes with a LAD exceeding 1.5-1.8m either transit Routes such as Zakiginj-</w:t>
      </w:r>
      <w:r w:rsidR="00345157" w:rsidRPr="0056500E">
        <w:rPr>
          <w:rFonts w:cs="Times New Roman"/>
          <w:szCs w:val="24"/>
        </w:rPr>
        <w:t>Fench</w:t>
      </w:r>
      <w:r w:rsidR="00345157">
        <w:rPr>
          <w:rFonts w:cs="Times New Roman"/>
          <w:szCs w:val="24"/>
        </w:rPr>
        <w:t>u</w:t>
      </w:r>
      <w:r w:rsidR="00345157" w:rsidRPr="0056500E">
        <w:rPr>
          <w:rFonts w:cs="Times New Roman"/>
          <w:szCs w:val="24"/>
        </w:rPr>
        <w:t>ganj</w:t>
      </w:r>
      <w:r w:rsidRPr="0056500E">
        <w:rPr>
          <w:rFonts w:cs="Times New Roman"/>
          <w:szCs w:val="24"/>
        </w:rPr>
        <w:t>-Ajmiriganj-Dilalpur (Kushiara and Kalni River) or feeder Routes connected with class-I and class-II Routes e.g. stretches of the Kangsha, Titas, Lakhya Rivers, route around Dhaka, Karnaphuli River and tidal rivers in the south-west/central region with a total length of 1,885km.</w:t>
      </w:r>
    </w:p>
    <w:p w:rsidR="00EF47E9" w:rsidRPr="00726C06" w:rsidRDefault="00EF47E9" w:rsidP="00D6486D">
      <w:pPr>
        <w:pStyle w:val="ListParagraph"/>
        <w:numPr>
          <w:ilvl w:val="0"/>
          <w:numId w:val="72"/>
        </w:numPr>
        <w:spacing w:line="276" w:lineRule="auto"/>
        <w:ind w:left="360"/>
        <w:jc w:val="both"/>
        <w:rPr>
          <w:rFonts w:cs="Times New Roman"/>
          <w:szCs w:val="24"/>
        </w:rPr>
      </w:pPr>
      <w:r w:rsidRPr="0056500E">
        <w:rPr>
          <w:rFonts w:cs="Times New Roman"/>
          <w:b/>
          <w:szCs w:val="24"/>
        </w:rPr>
        <w:t>Class-IV:</w:t>
      </w:r>
      <w:r w:rsidRPr="0056500E">
        <w:rPr>
          <w:rFonts w:cs="Times New Roman"/>
          <w:szCs w:val="24"/>
        </w:rPr>
        <w:t xml:space="preserve"> Routes basically seasonal, where it is not feasible to maintain a LAD of 1.5m in the dry season with a total length of 2,400km.</w:t>
      </w:r>
    </w:p>
    <w:p w:rsidR="007F2F9C" w:rsidRPr="00FD6B26" w:rsidRDefault="007F2F9C" w:rsidP="00432ACA">
      <w:pPr>
        <w:pStyle w:val="Caption"/>
        <w:spacing w:after="0" w:line="276" w:lineRule="auto"/>
        <w:jc w:val="center"/>
        <w:rPr>
          <w:rFonts w:cs="Times New Roman"/>
          <w:color w:val="auto"/>
          <w:sz w:val="2"/>
          <w:szCs w:val="2"/>
        </w:rPr>
      </w:pPr>
      <w:bookmarkStart w:id="652" w:name="_Toc439337351"/>
    </w:p>
    <w:p w:rsidR="007F2F9C" w:rsidRPr="00924255" w:rsidRDefault="007F2F9C" w:rsidP="0036657D">
      <w:pPr>
        <w:pStyle w:val="Heading4"/>
      </w:pPr>
      <w:bookmarkStart w:id="653" w:name="_Toc474639071"/>
      <w:r w:rsidRPr="00924255">
        <w:t xml:space="preserve">Table </w:t>
      </w:r>
      <w:r w:rsidR="00A44CBF">
        <w:t>9.</w:t>
      </w:r>
      <w:r w:rsidR="00EF47E9">
        <w:t>5</w:t>
      </w:r>
      <w:r w:rsidRPr="00924255">
        <w:t>: Inland Waterway Route Classification</w:t>
      </w:r>
      <w:bookmarkEnd w:id="652"/>
      <w:bookmarkEnd w:id="653"/>
    </w:p>
    <w:tbl>
      <w:tblPr>
        <w:tblW w:w="5000" w:type="pct"/>
        <w:tblLook w:val="04A0"/>
      </w:tblPr>
      <w:tblGrid>
        <w:gridCol w:w="1908"/>
        <w:gridCol w:w="1871"/>
        <w:gridCol w:w="2409"/>
        <w:gridCol w:w="1649"/>
        <w:gridCol w:w="1739"/>
      </w:tblGrid>
      <w:tr w:rsidR="007F2F9C" w:rsidRPr="00091A88" w:rsidTr="00091A88">
        <w:trPr>
          <w:trHeight w:val="20"/>
        </w:trPr>
        <w:tc>
          <w:tcPr>
            <w:tcW w:w="9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rPr>
                <w:rFonts w:eastAsia="Times New Roman" w:cs="Times New Roman"/>
                <w:b/>
                <w:color w:val="000000"/>
                <w:sz w:val="22"/>
              </w:rPr>
            </w:pPr>
            <w:r w:rsidRPr="00091A88">
              <w:rPr>
                <w:rFonts w:eastAsia="Times New Roman" w:cs="Times New Roman"/>
                <w:b/>
                <w:color w:val="000000"/>
                <w:sz w:val="22"/>
              </w:rPr>
              <w:t>Name of Route</w:t>
            </w:r>
          </w:p>
        </w:tc>
        <w:tc>
          <w:tcPr>
            <w:tcW w:w="977" w:type="pct"/>
            <w:tcBorders>
              <w:top w:val="single" w:sz="4" w:space="0" w:color="auto"/>
              <w:left w:val="nil"/>
              <w:bottom w:val="single" w:sz="4" w:space="0" w:color="auto"/>
              <w:right w:val="single" w:sz="4" w:space="0" w:color="auto"/>
            </w:tcBorders>
            <w:shd w:val="clear" w:color="auto" w:fill="auto"/>
            <w:vAlign w:val="center"/>
            <w:hideMark/>
          </w:tcPr>
          <w:p w:rsidR="007F2F9C" w:rsidRPr="00091A88" w:rsidRDefault="007F2F9C" w:rsidP="00091A88">
            <w:pPr>
              <w:spacing w:after="0" w:line="240" w:lineRule="auto"/>
              <w:jc w:val="center"/>
              <w:rPr>
                <w:rFonts w:eastAsia="Times New Roman" w:cs="Times New Roman"/>
                <w:b/>
                <w:color w:val="000000"/>
                <w:sz w:val="22"/>
              </w:rPr>
            </w:pPr>
            <w:r w:rsidRPr="00091A88">
              <w:rPr>
                <w:rFonts w:eastAsia="Times New Roman" w:cs="Times New Roman"/>
                <w:b/>
                <w:color w:val="000000"/>
                <w:sz w:val="22"/>
              </w:rPr>
              <w:t>Minimum Depth</w:t>
            </w:r>
          </w:p>
        </w:tc>
        <w:tc>
          <w:tcPr>
            <w:tcW w:w="1258" w:type="pct"/>
            <w:tcBorders>
              <w:top w:val="single" w:sz="4" w:space="0" w:color="auto"/>
              <w:left w:val="nil"/>
              <w:bottom w:val="single" w:sz="4" w:space="0" w:color="auto"/>
              <w:right w:val="single" w:sz="4" w:space="0" w:color="auto"/>
            </w:tcBorders>
            <w:shd w:val="clear" w:color="auto" w:fill="auto"/>
            <w:vAlign w:val="center"/>
            <w:hideMark/>
          </w:tcPr>
          <w:p w:rsidR="007F2F9C" w:rsidRPr="00091A88" w:rsidRDefault="007F2F9C" w:rsidP="00091A88">
            <w:pPr>
              <w:spacing w:after="0" w:line="240" w:lineRule="auto"/>
              <w:jc w:val="center"/>
              <w:rPr>
                <w:rFonts w:eastAsia="Times New Roman" w:cs="Times New Roman"/>
                <w:b/>
                <w:color w:val="000000"/>
                <w:sz w:val="22"/>
              </w:rPr>
            </w:pPr>
            <w:r w:rsidRPr="00091A88">
              <w:rPr>
                <w:rFonts w:eastAsia="Times New Roman" w:cs="Times New Roman"/>
                <w:b/>
                <w:color w:val="000000"/>
                <w:sz w:val="22"/>
              </w:rPr>
              <w:t>Length of Route and Percentage</w:t>
            </w:r>
          </w:p>
        </w:tc>
        <w:tc>
          <w:tcPr>
            <w:tcW w:w="861" w:type="pct"/>
            <w:tcBorders>
              <w:top w:val="single" w:sz="4" w:space="0" w:color="auto"/>
              <w:left w:val="nil"/>
              <w:bottom w:val="single" w:sz="4" w:space="0" w:color="auto"/>
              <w:right w:val="single" w:sz="4" w:space="0" w:color="auto"/>
            </w:tcBorders>
            <w:shd w:val="clear" w:color="auto" w:fill="auto"/>
            <w:vAlign w:val="center"/>
            <w:hideMark/>
          </w:tcPr>
          <w:p w:rsidR="007F2F9C" w:rsidRPr="00091A88" w:rsidRDefault="007F2F9C" w:rsidP="00091A88">
            <w:pPr>
              <w:spacing w:after="0" w:line="240" w:lineRule="auto"/>
              <w:jc w:val="center"/>
              <w:rPr>
                <w:rFonts w:eastAsia="Times New Roman" w:cs="Times New Roman"/>
                <w:b/>
                <w:color w:val="000000"/>
                <w:sz w:val="22"/>
              </w:rPr>
            </w:pPr>
            <w:r w:rsidRPr="00091A88">
              <w:rPr>
                <w:rFonts w:eastAsia="Times New Roman" w:cs="Times New Roman"/>
                <w:b/>
                <w:color w:val="000000"/>
                <w:sz w:val="22"/>
              </w:rPr>
              <w:t>Minimum Vertical Clearance</w:t>
            </w:r>
          </w:p>
        </w:tc>
        <w:tc>
          <w:tcPr>
            <w:tcW w:w="908" w:type="pct"/>
            <w:tcBorders>
              <w:top w:val="single" w:sz="4" w:space="0" w:color="auto"/>
              <w:left w:val="nil"/>
              <w:bottom w:val="single" w:sz="4" w:space="0" w:color="auto"/>
              <w:right w:val="single" w:sz="4" w:space="0" w:color="auto"/>
            </w:tcBorders>
            <w:shd w:val="clear" w:color="auto" w:fill="auto"/>
            <w:vAlign w:val="center"/>
            <w:hideMark/>
          </w:tcPr>
          <w:p w:rsidR="007F2F9C" w:rsidRPr="00091A88" w:rsidRDefault="007F2F9C" w:rsidP="00091A88">
            <w:pPr>
              <w:spacing w:after="0" w:line="240" w:lineRule="auto"/>
              <w:jc w:val="center"/>
              <w:rPr>
                <w:rFonts w:eastAsia="Times New Roman" w:cs="Times New Roman"/>
                <w:b/>
                <w:color w:val="000000"/>
                <w:sz w:val="22"/>
              </w:rPr>
            </w:pPr>
            <w:r w:rsidRPr="00091A88">
              <w:rPr>
                <w:rFonts w:eastAsia="Times New Roman" w:cs="Times New Roman"/>
                <w:b/>
                <w:color w:val="000000"/>
                <w:sz w:val="22"/>
              </w:rPr>
              <w:t>Minimum Horizontal Clearance</w:t>
            </w:r>
          </w:p>
        </w:tc>
      </w:tr>
      <w:tr w:rsidR="007F2F9C" w:rsidRPr="00091A88" w:rsidTr="00091A88">
        <w:trPr>
          <w:trHeight w:val="20"/>
        </w:trPr>
        <w:tc>
          <w:tcPr>
            <w:tcW w:w="996" w:type="pct"/>
            <w:tcBorders>
              <w:top w:val="nil"/>
              <w:left w:val="single" w:sz="4" w:space="0" w:color="auto"/>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rPr>
                <w:rFonts w:eastAsia="Times New Roman" w:cs="Times New Roman"/>
                <w:color w:val="000000"/>
                <w:sz w:val="22"/>
              </w:rPr>
            </w:pPr>
            <w:r w:rsidRPr="00091A88">
              <w:rPr>
                <w:rFonts w:eastAsia="Times New Roman" w:cs="Times New Roman"/>
                <w:color w:val="000000"/>
                <w:sz w:val="22"/>
              </w:rPr>
              <w:t>Class- I</w:t>
            </w:r>
          </w:p>
        </w:tc>
        <w:tc>
          <w:tcPr>
            <w:tcW w:w="977"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3.66 m</w:t>
            </w:r>
          </w:p>
        </w:tc>
        <w:tc>
          <w:tcPr>
            <w:tcW w:w="125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683 km (11.39%)</w:t>
            </w:r>
          </w:p>
        </w:tc>
        <w:tc>
          <w:tcPr>
            <w:tcW w:w="861"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18.30 m</w:t>
            </w:r>
          </w:p>
        </w:tc>
        <w:tc>
          <w:tcPr>
            <w:tcW w:w="90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76.22 m</w:t>
            </w:r>
          </w:p>
        </w:tc>
      </w:tr>
      <w:tr w:rsidR="007F2F9C" w:rsidRPr="00091A88" w:rsidTr="00091A88">
        <w:trPr>
          <w:trHeight w:val="20"/>
        </w:trPr>
        <w:tc>
          <w:tcPr>
            <w:tcW w:w="996" w:type="pct"/>
            <w:tcBorders>
              <w:top w:val="nil"/>
              <w:left w:val="single" w:sz="4" w:space="0" w:color="auto"/>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rPr>
                <w:rFonts w:eastAsia="Times New Roman" w:cs="Times New Roman"/>
                <w:color w:val="000000"/>
                <w:sz w:val="22"/>
              </w:rPr>
            </w:pPr>
            <w:r w:rsidRPr="00091A88">
              <w:rPr>
                <w:rFonts w:eastAsia="Times New Roman" w:cs="Times New Roman"/>
                <w:color w:val="000000"/>
                <w:sz w:val="22"/>
              </w:rPr>
              <w:t>Class- II</w:t>
            </w:r>
          </w:p>
        </w:tc>
        <w:tc>
          <w:tcPr>
            <w:tcW w:w="977"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2.13 m</w:t>
            </w:r>
          </w:p>
        </w:tc>
        <w:tc>
          <w:tcPr>
            <w:tcW w:w="125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10</w:t>
            </w:r>
            <w:r w:rsidR="00F3597F">
              <w:rPr>
                <w:rFonts w:eastAsia="Times New Roman" w:cs="Times New Roman"/>
                <w:color w:val="000000"/>
                <w:sz w:val="22"/>
              </w:rPr>
              <w:t>00</w:t>
            </w:r>
            <w:r w:rsidRPr="00091A88">
              <w:rPr>
                <w:rFonts w:eastAsia="Times New Roman" w:cs="Times New Roman"/>
                <w:color w:val="000000"/>
                <w:sz w:val="22"/>
              </w:rPr>
              <w:t xml:space="preserve"> km (17.13%)</w:t>
            </w:r>
          </w:p>
        </w:tc>
        <w:tc>
          <w:tcPr>
            <w:tcW w:w="861"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12.20 m</w:t>
            </w:r>
          </w:p>
        </w:tc>
        <w:tc>
          <w:tcPr>
            <w:tcW w:w="90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76.22 m</w:t>
            </w:r>
          </w:p>
        </w:tc>
      </w:tr>
      <w:tr w:rsidR="007F2F9C" w:rsidRPr="00091A88" w:rsidTr="00091A88">
        <w:trPr>
          <w:trHeight w:val="20"/>
        </w:trPr>
        <w:tc>
          <w:tcPr>
            <w:tcW w:w="996" w:type="pct"/>
            <w:tcBorders>
              <w:top w:val="nil"/>
              <w:left w:val="single" w:sz="4" w:space="0" w:color="auto"/>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rPr>
                <w:rFonts w:eastAsia="Times New Roman" w:cs="Times New Roman"/>
                <w:color w:val="000000"/>
                <w:sz w:val="22"/>
              </w:rPr>
            </w:pPr>
            <w:r w:rsidRPr="00091A88">
              <w:rPr>
                <w:rFonts w:eastAsia="Times New Roman" w:cs="Times New Roman"/>
                <w:color w:val="000000"/>
                <w:sz w:val="22"/>
              </w:rPr>
              <w:t>Class- III</w:t>
            </w:r>
          </w:p>
        </w:tc>
        <w:tc>
          <w:tcPr>
            <w:tcW w:w="977"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1.52 m</w:t>
            </w:r>
          </w:p>
        </w:tc>
        <w:tc>
          <w:tcPr>
            <w:tcW w:w="125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1885 km (31.44%)</w:t>
            </w:r>
          </w:p>
        </w:tc>
        <w:tc>
          <w:tcPr>
            <w:tcW w:w="861"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7.62 m</w:t>
            </w:r>
          </w:p>
        </w:tc>
        <w:tc>
          <w:tcPr>
            <w:tcW w:w="90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30.48 m</w:t>
            </w:r>
          </w:p>
        </w:tc>
      </w:tr>
      <w:tr w:rsidR="007F2F9C" w:rsidRPr="00091A88" w:rsidTr="00091A88">
        <w:trPr>
          <w:trHeight w:val="20"/>
        </w:trPr>
        <w:tc>
          <w:tcPr>
            <w:tcW w:w="996" w:type="pct"/>
            <w:tcBorders>
              <w:top w:val="nil"/>
              <w:left w:val="single" w:sz="4" w:space="0" w:color="auto"/>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rPr>
                <w:rFonts w:eastAsia="Times New Roman" w:cs="Times New Roman"/>
                <w:color w:val="000000"/>
                <w:sz w:val="22"/>
              </w:rPr>
            </w:pPr>
            <w:r w:rsidRPr="00091A88">
              <w:rPr>
                <w:rFonts w:eastAsia="Times New Roman" w:cs="Times New Roman"/>
                <w:color w:val="000000"/>
                <w:sz w:val="22"/>
              </w:rPr>
              <w:t>Class- IV</w:t>
            </w:r>
          </w:p>
        </w:tc>
        <w:tc>
          <w:tcPr>
            <w:tcW w:w="977" w:type="pct"/>
            <w:tcBorders>
              <w:top w:val="nil"/>
              <w:left w:val="nil"/>
              <w:bottom w:val="single" w:sz="4" w:space="0" w:color="auto"/>
              <w:right w:val="single" w:sz="4" w:space="0" w:color="auto"/>
            </w:tcBorders>
            <w:shd w:val="clear" w:color="auto" w:fill="auto"/>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Less than 1.52 m</w:t>
            </w:r>
          </w:p>
        </w:tc>
        <w:tc>
          <w:tcPr>
            <w:tcW w:w="125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2400 km (40.04%)</w:t>
            </w:r>
          </w:p>
        </w:tc>
        <w:tc>
          <w:tcPr>
            <w:tcW w:w="861"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5.00 m</w:t>
            </w:r>
          </w:p>
        </w:tc>
        <w:tc>
          <w:tcPr>
            <w:tcW w:w="90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20.00 m</w:t>
            </w:r>
          </w:p>
        </w:tc>
      </w:tr>
      <w:tr w:rsidR="007F2F9C" w:rsidRPr="00091A88" w:rsidTr="00091A88">
        <w:trPr>
          <w:trHeight w:val="20"/>
        </w:trPr>
        <w:tc>
          <w:tcPr>
            <w:tcW w:w="996" w:type="pct"/>
            <w:tcBorders>
              <w:top w:val="nil"/>
              <w:left w:val="single" w:sz="4" w:space="0" w:color="auto"/>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rPr>
                <w:rFonts w:eastAsia="Times New Roman" w:cs="Times New Roman"/>
                <w:color w:val="000000"/>
                <w:sz w:val="22"/>
              </w:rPr>
            </w:pPr>
            <w:r w:rsidRPr="00091A88">
              <w:rPr>
                <w:rFonts w:eastAsia="Times New Roman" w:cs="Times New Roman"/>
                <w:color w:val="000000"/>
                <w:sz w:val="22"/>
              </w:rPr>
              <w:t>Total</w:t>
            </w:r>
          </w:p>
        </w:tc>
        <w:tc>
          <w:tcPr>
            <w:tcW w:w="977"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 </w:t>
            </w:r>
          </w:p>
        </w:tc>
        <w:tc>
          <w:tcPr>
            <w:tcW w:w="125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5995 km (100%)</w:t>
            </w:r>
          </w:p>
        </w:tc>
        <w:tc>
          <w:tcPr>
            <w:tcW w:w="861"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 </w:t>
            </w:r>
          </w:p>
        </w:tc>
        <w:tc>
          <w:tcPr>
            <w:tcW w:w="908" w:type="pct"/>
            <w:tcBorders>
              <w:top w:val="nil"/>
              <w:left w:val="nil"/>
              <w:bottom w:val="single" w:sz="4" w:space="0" w:color="auto"/>
              <w:right w:val="single" w:sz="4" w:space="0" w:color="auto"/>
            </w:tcBorders>
            <w:shd w:val="clear" w:color="auto" w:fill="auto"/>
            <w:noWrap/>
            <w:vAlign w:val="center"/>
            <w:hideMark/>
          </w:tcPr>
          <w:p w:rsidR="007F2F9C" w:rsidRPr="00091A88" w:rsidRDefault="007F2F9C" w:rsidP="00091A88">
            <w:pPr>
              <w:spacing w:after="0" w:line="240" w:lineRule="auto"/>
              <w:jc w:val="center"/>
              <w:rPr>
                <w:rFonts w:eastAsia="Times New Roman" w:cs="Times New Roman"/>
                <w:color w:val="000000"/>
                <w:sz w:val="22"/>
              </w:rPr>
            </w:pPr>
            <w:r w:rsidRPr="00091A88">
              <w:rPr>
                <w:rFonts w:eastAsia="Times New Roman" w:cs="Times New Roman"/>
                <w:color w:val="000000"/>
                <w:sz w:val="22"/>
              </w:rPr>
              <w:t> </w:t>
            </w:r>
          </w:p>
        </w:tc>
      </w:tr>
    </w:tbl>
    <w:p w:rsidR="007F2F9C" w:rsidRPr="00FD6B26" w:rsidRDefault="007F2F9C" w:rsidP="00E21381">
      <w:pPr>
        <w:spacing w:before="120" w:line="360" w:lineRule="auto"/>
        <w:jc w:val="both"/>
        <w:rPr>
          <w:rFonts w:cs="Times New Roman"/>
          <w:b/>
          <w:bCs/>
          <w:i/>
          <w:iCs/>
          <w:sz w:val="20"/>
          <w:szCs w:val="20"/>
        </w:rPr>
      </w:pPr>
      <w:r w:rsidRPr="00FD6B26">
        <w:rPr>
          <w:rFonts w:cs="Times New Roman"/>
          <w:b/>
          <w:bCs/>
          <w:i/>
          <w:iCs/>
          <w:sz w:val="20"/>
          <w:szCs w:val="20"/>
        </w:rPr>
        <w:t xml:space="preserve">Source: BIWTA </w:t>
      </w:r>
      <w:r w:rsidR="00345157">
        <w:rPr>
          <w:rFonts w:cs="Times New Roman"/>
          <w:b/>
          <w:bCs/>
          <w:i/>
          <w:iCs/>
          <w:sz w:val="20"/>
          <w:szCs w:val="20"/>
        </w:rPr>
        <w:t>(year)</w:t>
      </w:r>
    </w:p>
    <w:p w:rsidR="007F2F9C" w:rsidRDefault="007F2F9C" w:rsidP="00A17BFA">
      <w:pPr>
        <w:spacing w:line="276" w:lineRule="auto"/>
        <w:jc w:val="both"/>
        <w:rPr>
          <w:rFonts w:cs="Times New Roman"/>
          <w:szCs w:val="24"/>
        </w:rPr>
      </w:pPr>
      <w:r w:rsidRPr="00924255">
        <w:rPr>
          <w:rFonts w:cs="Times New Roman"/>
          <w:szCs w:val="24"/>
        </w:rPr>
        <w:t>The number of route</w:t>
      </w:r>
      <w:r w:rsidR="00BF6AEA">
        <w:rPr>
          <w:rFonts w:cs="Times New Roman"/>
          <w:szCs w:val="24"/>
        </w:rPr>
        <w:t xml:space="preserve">s indicated by </w:t>
      </w:r>
      <w:r w:rsidR="00EF47E9">
        <w:rPr>
          <w:rFonts w:cs="Times New Roman"/>
          <w:szCs w:val="24"/>
        </w:rPr>
        <w:t xml:space="preserve">a first study in 1960 </w:t>
      </w:r>
      <w:r w:rsidR="00BF6AEA">
        <w:rPr>
          <w:rFonts w:cs="Times New Roman"/>
          <w:szCs w:val="24"/>
        </w:rPr>
        <w:t>totaled 86; about 41 are</w:t>
      </w:r>
      <w:r w:rsidRPr="00924255">
        <w:rPr>
          <w:rFonts w:cs="Times New Roman"/>
          <w:szCs w:val="24"/>
        </w:rPr>
        <w:t xml:space="preserve"> pere</w:t>
      </w:r>
      <w:r w:rsidR="00BF6AEA">
        <w:rPr>
          <w:rFonts w:cs="Times New Roman"/>
          <w:szCs w:val="24"/>
        </w:rPr>
        <w:t>nnial routes</w:t>
      </w:r>
      <w:r w:rsidRPr="00924255">
        <w:rPr>
          <w:rFonts w:cs="Times New Roman"/>
          <w:szCs w:val="24"/>
        </w:rPr>
        <w:t xml:space="preserve"> and 45 </w:t>
      </w:r>
      <w:r w:rsidR="00BF6AEA">
        <w:rPr>
          <w:rFonts w:cs="Times New Roman"/>
          <w:szCs w:val="24"/>
        </w:rPr>
        <w:t xml:space="preserve">are </w:t>
      </w:r>
      <w:r w:rsidRPr="00924255">
        <w:rPr>
          <w:rFonts w:cs="Times New Roman"/>
          <w:szCs w:val="24"/>
        </w:rPr>
        <w:t xml:space="preserve">seasonal routes (see Table </w:t>
      </w:r>
      <w:r w:rsidR="00A44CBF">
        <w:rPr>
          <w:rFonts w:cs="Times New Roman"/>
          <w:szCs w:val="24"/>
        </w:rPr>
        <w:t>9.</w:t>
      </w:r>
      <w:r>
        <w:rPr>
          <w:rFonts w:cs="Times New Roman"/>
          <w:szCs w:val="24"/>
        </w:rPr>
        <w:t>7</w:t>
      </w:r>
      <w:r w:rsidR="00EF47E9">
        <w:rPr>
          <w:rFonts w:cs="Times New Roman"/>
          <w:szCs w:val="24"/>
        </w:rPr>
        <w:t xml:space="preserve">). </w:t>
      </w:r>
      <w:r w:rsidRPr="00924255">
        <w:rPr>
          <w:rFonts w:cs="Times New Roman"/>
          <w:szCs w:val="24"/>
        </w:rPr>
        <w:t xml:space="preserve"> </w:t>
      </w:r>
    </w:p>
    <w:p w:rsidR="007F2F9C" w:rsidRPr="00FD6B26" w:rsidRDefault="007F2F9C" w:rsidP="00005EAC">
      <w:pPr>
        <w:spacing w:after="0"/>
        <w:jc w:val="both"/>
        <w:rPr>
          <w:rFonts w:cs="Times New Roman"/>
          <w:sz w:val="8"/>
          <w:szCs w:val="8"/>
        </w:rPr>
      </w:pPr>
    </w:p>
    <w:p w:rsidR="00432ACA" w:rsidRDefault="00432ACA">
      <w:pPr>
        <w:rPr>
          <w:rFonts w:cs="Times New Roman"/>
          <w:b/>
          <w:szCs w:val="24"/>
        </w:rPr>
      </w:pPr>
      <w:r>
        <w:rPr>
          <w:rFonts w:cs="Times New Roman"/>
          <w:b/>
          <w:szCs w:val="24"/>
        </w:rPr>
        <w:br w:type="page"/>
      </w:r>
    </w:p>
    <w:p w:rsidR="007F2F9C" w:rsidRPr="00924255" w:rsidRDefault="007F2F9C" w:rsidP="0036657D">
      <w:pPr>
        <w:pStyle w:val="Heading4"/>
      </w:pPr>
      <w:bookmarkStart w:id="654" w:name="_Toc474639072"/>
      <w:r w:rsidRPr="00924255">
        <w:lastRenderedPageBreak/>
        <w:t xml:space="preserve">Table </w:t>
      </w:r>
      <w:r w:rsidR="00A44CBF">
        <w:t>9.</w:t>
      </w:r>
      <w:r w:rsidR="00EF47E9">
        <w:t>6</w:t>
      </w:r>
      <w:r w:rsidRPr="00924255">
        <w:t>: Classified IWT Routes (I &amp; II)</w:t>
      </w:r>
      <w:bookmarkEnd w:id="6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
        <w:gridCol w:w="509"/>
        <w:gridCol w:w="2758"/>
        <w:gridCol w:w="4786"/>
        <w:gridCol w:w="1269"/>
      </w:tblGrid>
      <w:tr w:rsidR="007F2F9C" w:rsidRPr="00924255" w:rsidTr="00005EAC">
        <w:trPr>
          <w:jc w:val="center"/>
        </w:trPr>
        <w:tc>
          <w:tcPr>
            <w:tcW w:w="385" w:type="pct"/>
            <w:gridSpan w:val="2"/>
            <w:shd w:val="clear" w:color="auto" w:fill="EEECE1"/>
          </w:tcPr>
          <w:p w:rsidR="007F2F9C" w:rsidRPr="00FD6B26" w:rsidRDefault="007F2F9C" w:rsidP="00005EAC">
            <w:pPr>
              <w:spacing w:after="0"/>
              <w:jc w:val="center"/>
              <w:rPr>
                <w:rFonts w:cs="Times New Roman"/>
                <w:b/>
                <w:bCs/>
              </w:rPr>
            </w:pPr>
            <w:r w:rsidRPr="00FD6B26">
              <w:rPr>
                <w:rFonts w:cs="Times New Roman"/>
                <w:b/>
                <w:bCs/>
              </w:rPr>
              <w:t>Class</w:t>
            </w:r>
          </w:p>
        </w:tc>
        <w:tc>
          <w:tcPr>
            <w:tcW w:w="1445" w:type="pct"/>
            <w:shd w:val="clear" w:color="auto" w:fill="EEECE1"/>
          </w:tcPr>
          <w:p w:rsidR="007F2F9C" w:rsidRPr="00FD6B26" w:rsidRDefault="007F2F9C" w:rsidP="00005EAC">
            <w:pPr>
              <w:spacing w:after="0"/>
              <w:jc w:val="center"/>
              <w:rPr>
                <w:rFonts w:cs="Times New Roman"/>
                <w:b/>
                <w:bCs/>
              </w:rPr>
            </w:pPr>
            <w:r w:rsidRPr="00FD6B26">
              <w:rPr>
                <w:rFonts w:cs="Times New Roman"/>
                <w:b/>
                <w:bCs/>
              </w:rPr>
              <w:t>Route</w:t>
            </w:r>
          </w:p>
        </w:tc>
        <w:tc>
          <w:tcPr>
            <w:tcW w:w="2503" w:type="pct"/>
            <w:shd w:val="clear" w:color="auto" w:fill="EEECE1"/>
          </w:tcPr>
          <w:p w:rsidR="007F2F9C" w:rsidRPr="00FD6B26" w:rsidRDefault="007F2F9C" w:rsidP="00005EAC">
            <w:pPr>
              <w:spacing w:after="0"/>
              <w:jc w:val="center"/>
              <w:rPr>
                <w:rFonts w:cs="Times New Roman"/>
                <w:b/>
                <w:bCs/>
              </w:rPr>
            </w:pPr>
            <w:r w:rsidRPr="00FD6B26">
              <w:rPr>
                <w:rFonts w:cs="Times New Roman"/>
                <w:b/>
                <w:bCs/>
              </w:rPr>
              <w:t>Description (river/town)</w:t>
            </w:r>
          </w:p>
        </w:tc>
        <w:tc>
          <w:tcPr>
            <w:tcW w:w="667" w:type="pct"/>
            <w:shd w:val="clear" w:color="auto" w:fill="EEECE1"/>
          </w:tcPr>
          <w:p w:rsidR="007F2F9C" w:rsidRPr="00FD6B26" w:rsidRDefault="007F2F9C" w:rsidP="00005EAC">
            <w:pPr>
              <w:spacing w:after="0"/>
              <w:ind w:left="-108" w:right="-151"/>
              <w:jc w:val="center"/>
              <w:rPr>
                <w:rFonts w:cs="Times New Roman"/>
                <w:b/>
                <w:bCs/>
              </w:rPr>
            </w:pPr>
            <w:r w:rsidRPr="00FD6B26">
              <w:rPr>
                <w:rFonts w:cs="Times New Roman"/>
                <w:b/>
                <w:bCs/>
              </w:rPr>
              <w:t>Distance (km)</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r w:rsidRPr="00924255">
              <w:rPr>
                <w:rFonts w:cs="Times New Roman"/>
                <w:szCs w:val="24"/>
              </w:rPr>
              <w:t>I</w:t>
            </w: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1</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Dhaka-Chittagong</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Buriganga, Dhaleswari, (Lower) Meghna, Shah- bazpur, Hatia Channel, Karnafuli river</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306</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2</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Shambhupura-Demra</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Lakhya river-Narayanganj</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22</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3</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Shambhupura- Bhairab Bazar</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Upper Meghna-Ashuganj</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85</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4</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Chowkighata- Maheswarpasha</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Lower Meghna, Arial Khan, Kirtankhola, Gab Khan, Baleshwar, Mongla-Ghsiakhali Canal, Pussur, Khulna, Kazibacha, Bhairab</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270</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p>
        </w:tc>
        <w:tc>
          <w:tcPr>
            <w:tcW w:w="1445" w:type="pct"/>
            <w:shd w:val="clear" w:color="auto" w:fill="auto"/>
          </w:tcPr>
          <w:p w:rsidR="007F2F9C" w:rsidRPr="00FD6B26" w:rsidRDefault="007F2F9C" w:rsidP="00005EAC">
            <w:pPr>
              <w:spacing w:after="0"/>
              <w:jc w:val="both"/>
              <w:rPr>
                <w:rFonts w:cs="Times New Roman"/>
              </w:rPr>
            </w:pPr>
          </w:p>
        </w:tc>
        <w:tc>
          <w:tcPr>
            <w:tcW w:w="2503" w:type="pct"/>
            <w:shd w:val="clear" w:color="auto" w:fill="auto"/>
          </w:tcPr>
          <w:p w:rsidR="007F2F9C" w:rsidRPr="00FD6B26" w:rsidRDefault="007F2F9C" w:rsidP="00005EAC">
            <w:pPr>
              <w:spacing w:after="0"/>
              <w:jc w:val="right"/>
              <w:rPr>
                <w:rFonts w:cs="Times New Roman"/>
                <w:b/>
              </w:rPr>
            </w:pPr>
            <w:r w:rsidRPr="00FD6B26">
              <w:rPr>
                <w:rFonts w:cs="Times New Roman"/>
                <w:b/>
              </w:rPr>
              <w:t>Class I Total:</w:t>
            </w:r>
          </w:p>
        </w:tc>
        <w:tc>
          <w:tcPr>
            <w:tcW w:w="667" w:type="pct"/>
            <w:shd w:val="clear" w:color="auto" w:fill="auto"/>
          </w:tcPr>
          <w:p w:rsidR="007F2F9C" w:rsidRPr="00FD6B26" w:rsidRDefault="007F2F9C" w:rsidP="00005EAC">
            <w:pPr>
              <w:spacing w:after="0"/>
              <w:jc w:val="center"/>
              <w:rPr>
                <w:rFonts w:cs="Times New Roman"/>
                <w:b/>
              </w:rPr>
            </w:pPr>
            <w:r w:rsidRPr="00FD6B26">
              <w:rPr>
                <w:rFonts w:cs="Times New Roman"/>
                <w:b/>
              </w:rPr>
              <w:t>683 km</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r w:rsidRPr="00924255">
              <w:rPr>
                <w:rFonts w:cs="Times New Roman"/>
                <w:szCs w:val="24"/>
              </w:rPr>
              <w:t>II</w:t>
            </w: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1</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Bhairab Bazar-Chattak</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Upper Meghna, Kalni, Surma river</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228</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2</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Mohanpur- Daikhawa</w:t>
            </w:r>
          </w:p>
        </w:tc>
        <w:tc>
          <w:tcPr>
            <w:tcW w:w="2503" w:type="pct"/>
            <w:shd w:val="clear" w:color="auto" w:fill="auto"/>
          </w:tcPr>
          <w:p w:rsidR="007F2F9C" w:rsidRPr="007C2871" w:rsidRDefault="007F2F9C" w:rsidP="00005EAC">
            <w:pPr>
              <w:spacing w:after="0"/>
              <w:jc w:val="both"/>
              <w:rPr>
                <w:rFonts w:cs="Times New Roman"/>
                <w:lang w:val="fr-BE"/>
              </w:rPr>
            </w:pPr>
            <w:r w:rsidRPr="007C2871">
              <w:rPr>
                <w:rFonts w:cs="Times New Roman"/>
                <w:lang w:val="fr-BE"/>
              </w:rPr>
              <w:t>Meghna-Chandpur, Padma, Jamuna (Barhmaputra)</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385</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3</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Deara-Barisal Via Nandibazar</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Meghna, Jayanti, Arial Khan</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84</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 xml:space="preserve">4 </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Pussur-Chalna-Raimangal</w:t>
            </w:r>
          </w:p>
        </w:tc>
        <w:tc>
          <w:tcPr>
            <w:tcW w:w="2503" w:type="pct"/>
            <w:shd w:val="clear" w:color="auto" w:fill="auto"/>
          </w:tcPr>
          <w:p w:rsidR="007F2F9C" w:rsidRPr="007C2871" w:rsidRDefault="007F2F9C" w:rsidP="00005EAC">
            <w:pPr>
              <w:spacing w:after="0"/>
              <w:jc w:val="both"/>
              <w:rPr>
                <w:rFonts w:cs="Times New Roman"/>
                <w:lang w:val="fr-BE"/>
              </w:rPr>
            </w:pPr>
            <w:r w:rsidRPr="007C2871">
              <w:rPr>
                <w:rFonts w:cs="Times New Roman"/>
                <w:lang w:val="fr-BE"/>
              </w:rPr>
              <w:t>Sutarkhali, Sibsa, Bajboza, Sekbaria, Arpangasi, Malanchi-Border</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143</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5</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Hizla-Shaistabad</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Meghna-Azimpur/Dharmaganj, Arialkhan</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30</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6</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Sattal-Daudkandi</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Meghna</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24</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7</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Chandpur-Ichuli</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Dakatia Nullah</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7</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FD6B26" w:rsidRDefault="007F2F9C" w:rsidP="00005EAC">
            <w:pPr>
              <w:spacing w:after="0"/>
              <w:jc w:val="center"/>
              <w:rPr>
                <w:rFonts w:cs="Times New Roman"/>
              </w:rPr>
            </w:pPr>
            <w:r w:rsidRPr="00FD6B26">
              <w:rPr>
                <w:rFonts w:cs="Times New Roman"/>
              </w:rPr>
              <w:t>8</w:t>
            </w:r>
          </w:p>
        </w:tc>
        <w:tc>
          <w:tcPr>
            <w:tcW w:w="1445" w:type="pct"/>
            <w:shd w:val="clear" w:color="auto" w:fill="auto"/>
          </w:tcPr>
          <w:p w:rsidR="007F2F9C" w:rsidRPr="00FD6B26" w:rsidRDefault="007F2F9C" w:rsidP="00005EAC">
            <w:pPr>
              <w:spacing w:after="0"/>
              <w:jc w:val="both"/>
              <w:rPr>
                <w:rFonts w:cs="Times New Roman"/>
              </w:rPr>
            </w:pPr>
            <w:r w:rsidRPr="00FD6B26">
              <w:rPr>
                <w:rFonts w:cs="Times New Roman"/>
              </w:rPr>
              <w:t>Chittagong-Cox’s Bazar</w:t>
            </w:r>
          </w:p>
        </w:tc>
        <w:tc>
          <w:tcPr>
            <w:tcW w:w="2503" w:type="pct"/>
            <w:shd w:val="clear" w:color="auto" w:fill="auto"/>
          </w:tcPr>
          <w:p w:rsidR="007F2F9C" w:rsidRPr="00FD6B26" w:rsidRDefault="007F2F9C" w:rsidP="00005EAC">
            <w:pPr>
              <w:spacing w:after="0"/>
              <w:jc w:val="both"/>
              <w:rPr>
                <w:rFonts w:cs="Times New Roman"/>
              </w:rPr>
            </w:pPr>
            <w:r w:rsidRPr="00FD6B26">
              <w:rPr>
                <w:rFonts w:cs="Times New Roman"/>
              </w:rPr>
              <w:t>Karnafuli, Kutubdia &amp; Maiskhal Channels, Bagkhali</w:t>
            </w:r>
          </w:p>
        </w:tc>
        <w:tc>
          <w:tcPr>
            <w:tcW w:w="667" w:type="pct"/>
            <w:shd w:val="clear" w:color="auto" w:fill="auto"/>
          </w:tcPr>
          <w:p w:rsidR="007F2F9C" w:rsidRPr="00FD6B26" w:rsidRDefault="007F2F9C" w:rsidP="00005EAC">
            <w:pPr>
              <w:spacing w:after="0"/>
              <w:jc w:val="center"/>
              <w:rPr>
                <w:rFonts w:cs="Times New Roman"/>
              </w:rPr>
            </w:pPr>
            <w:r w:rsidRPr="00FD6B26">
              <w:rPr>
                <w:rFonts w:cs="Times New Roman"/>
              </w:rPr>
              <w:t>99</w:t>
            </w:r>
          </w:p>
        </w:tc>
      </w:tr>
      <w:tr w:rsidR="007F2F9C" w:rsidRPr="00924255" w:rsidTr="00005EAC">
        <w:trPr>
          <w:jc w:val="center"/>
        </w:trPr>
        <w:tc>
          <w:tcPr>
            <w:tcW w:w="128" w:type="pct"/>
            <w:shd w:val="clear" w:color="auto" w:fill="auto"/>
          </w:tcPr>
          <w:p w:rsidR="007F2F9C" w:rsidRPr="00924255" w:rsidRDefault="007F2F9C" w:rsidP="00005EAC">
            <w:pPr>
              <w:spacing w:after="0"/>
              <w:ind w:left="-90" w:right="-108"/>
              <w:jc w:val="center"/>
              <w:rPr>
                <w:rFonts w:cs="Times New Roman"/>
                <w:szCs w:val="24"/>
              </w:rPr>
            </w:pPr>
          </w:p>
        </w:tc>
        <w:tc>
          <w:tcPr>
            <w:tcW w:w="257" w:type="pct"/>
            <w:shd w:val="clear" w:color="auto" w:fill="auto"/>
          </w:tcPr>
          <w:p w:rsidR="007F2F9C" w:rsidRPr="00924255" w:rsidRDefault="007F2F9C" w:rsidP="00005EAC">
            <w:pPr>
              <w:spacing w:after="0"/>
              <w:jc w:val="center"/>
              <w:rPr>
                <w:rFonts w:cs="Times New Roman"/>
                <w:szCs w:val="24"/>
              </w:rPr>
            </w:pPr>
          </w:p>
        </w:tc>
        <w:tc>
          <w:tcPr>
            <w:tcW w:w="1445" w:type="pct"/>
            <w:shd w:val="clear" w:color="auto" w:fill="auto"/>
          </w:tcPr>
          <w:p w:rsidR="007F2F9C" w:rsidRPr="00924255" w:rsidRDefault="007F2F9C" w:rsidP="00005EAC">
            <w:pPr>
              <w:spacing w:after="0"/>
              <w:jc w:val="both"/>
              <w:rPr>
                <w:rFonts w:cs="Times New Roman"/>
                <w:szCs w:val="24"/>
              </w:rPr>
            </w:pPr>
          </w:p>
        </w:tc>
        <w:tc>
          <w:tcPr>
            <w:tcW w:w="2503" w:type="pct"/>
            <w:shd w:val="clear" w:color="auto" w:fill="auto"/>
          </w:tcPr>
          <w:p w:rsidR="007F2F9C" w:rsidRPr="00924255" w:rsidRDefault="007F2F9C" w:rsidP="00005EAC">
            <w:pPr>
              <w:spacing w:after="0"/>
              <w:jc w:val="right"/>
              <w:rPr>
                <w:rFonts w:cs="Times New Roman"/>
                <w:szCs w:val="24"/>
              </w:rPr>
            </w:pPr>
            <w:r w:rsidRPr="00924255">
              <w:rPr>
                <w:rFonts w:cs="Times New Roman"/>
                <w:b/>
                <w:szCs w:val="24"/>
              </w:rPr>
              <w:t>Class II Total:</w:t>
            </w:r>
          </w:p>
        </w:tc>
        <w:tc>
          <w:tcPr>
            <w:tcW w:w="667" w:type="pct"/>
            <w:shd w:val="clear" w:color="auto" w:fill="auto"/>
          </w:tcPr>
          <w:p w:rsidR="007F2F9C" w:rsidRPr="00FD6B26" w:rsidRDefault="007F2F9C" w:rsidP="00005EAC">
            <w:pPr>
              <w:spacing w:after="0"/>
              <w:jc w:val="center"/>
              <w:rPr>
                <w:rFonts w:cs="Times New Roman"/>
                <w:b/>
                <w:bCs/>
                <w:szCs w:val="24"/>
              </w:rPr>
            </w:pPr>
            <w:r w:rsidRPr="00FD6B26">
              <w:rPr>
                <w:rFonts w:cs="Times New Roman"/>
                <w:b/>
                <w:bCs/>
                <w:szCs w:val="24"/>
              </w:rPr>
              <w:t>1,000 km</w:t>
            </w:r>
          </w:p>
        </w:tc>
      </w:tr>
    </w:tbl>
    <w:p w:rsidR="007F2F9C" w:rsidRPr="009538ED" w:rsidRDefault="00F64192" w:rsidP="00F64192">
      <w:pPr>
        <w:spacing w:before="120" w:line="276" w:lineRule="auto"/>
        <w:jc w:val="both"/>
        <w:rPr>
          <w:rFonts w:cs="Times New Roman"/>
          <w:b/>
          <w:bCs/>
          <w:i/>
          <w:iCs/>
          <w:sz w:val="20"/>
          <w:szCs w:val="20"/>
        </w:rPr>
      </w:pPr>
      <w:r w:rsidRPr="009538ED">
        <w:rPr>
          <w:rFonts w:cs="Times New Roman"/>
          <w:b/>
          <w:bCs/>
          <w:i/>
          <w:iCs/>
          <w:sz w:val="20"/>
          <w:szCs w:val="20"/>
        </w:rPr>
        <w:t xml:space="preserve">Source: </w:t>
      </w:r>
      <w:r w:rsidRPr="009538ED">
        <w:rPr>
          <w:b/>
          <w:i/>
          <w:color w:val="000000"/>
          <w:sz w:val="20"/>
          <w:szCs w:val="24"/>
        </w:rPr>
        <w:t>River Systems Management Including Morphological Dynamics of Bangladesh Delta</w:t>
      </w:r>
      <w:r w:rsidR="00942622" w:rsidRPr="009538ED">
        <w:rPr>
          <w:b/>
          <w:i/>
          <w:color w:val="000000"/>
          <w:sz w:val="20"/>
          <w:szCs w:val="24"/>
        </w:rPr>
        <w:t>, Bangladesh Delta Plan Baseline Study.</w:t>
      </w:r>
    </w:p>
    <w:p w:rsidR="007F2F9C" w:rsidRPr="00924255" w:rsidRDefault="007F2F9C" w:rsidP="009538ED">
      <w:pPr>
        <w:spacing w:line="276" w:lineRule="auto"/>
        <w:jc w:val="both"/>
        <w:rPr>
          <w:rFonts w:cs="Times New Roman"/>
          <w:b/>
          <w:bCs/>
          <w:i/>
          <w:iCs/>
          <w:szCs w:val="24"/>
        </w:rPr>
      </w:pPr>
      <w:r w:rsidRPr="00924255">
        <w:rPr>
          <w:rFonts w:cs="Times New Roman"/>
          <w:b/>
          <w:bCs/>
          <w:i/>
          <w:iCs/>
          <w:szCs w:val="24"/>
        </w:rPr>
        <w:t>Priority routing</w:t>
      </w:r>
    </w:p>
    <w:p w:rsidR="007F2F9C" w:rsidRPr="00B132FC" w:rsidRDefault="007F2F9C" w:rsidP="00F5769F">
      <w:pPr>
        <w:spacing w:line="276" w:lineRule="auto"/>
        <w:jc w:val="both"/>
        <w:rPr>
          <w:rFonts w:cs="Times New Roman"/>
          <w:b/>
          <w:bCs/>
          <w:i/>
          <w:iCs/>
          <w:szCs w:val="24"/>
        </w:rPr>
      </w:pPr>
      <w:r w:rsidRPr="00924255">
        <w:rPr>
          <w:rFonts w:cs="Times New Roman"/>
          <w:szCs w:val="24"/>
        </w:rPr>
        <w:t>Maintenance of a network of 6,0</w:t>
      </w:r>
      <w:r>
        <w:rPr>
          <w:rFonts w:cs="Times New Roman"/>
          <w:szCs w:val="24"/>
        </w:rPr>
        <w:t>00 km may not be cost effective</w:t>
      </w:r>
      <w:r w:rsidRPr="007C28A2">
        <w:rPr>
          <w:rFonts w:cs="Times New Roman"/>
          <w:szCs w:val="24"/>
        </w:rPr>
        <w:t xml:space="preserve">. </w:t>
      </w:r>
      <w:r>
        <w:rPr>
          <w:rFonts w:cs="Times New Roman"/>
          <w:szCs w:val="24"/>
        </w:rPr>
        <w:t xml:space="preserve">Dredging and maintaining river navigability can be expensive and development of river navigability for transportation purposes must weigh the relative costs and benefits, including the alternative cost of land transport development.  </w:t>
      </w:r>
      <w:r w:rsidRPr="007C28A2">
        <w:rPr>
          <w:rFonts w:cs="Times New Roman"/>
          <w:szCs w:val="24"/>
        </w:rPr>
        <w:t xml:space="preserve">Economic justification </w:t>
      </w:r>
      <w:r>
        <w:rPr>
          <w:rFonts w:cs="Times New Roman"/>
          <w:szCs w:val="24"/>
        </w:rPr>
        <w:t xml:space="preserve">will normally happen when transportation involves the navigability </w:t>
      </w:r>
      <w:r w:rsidR="00BF6AEA">
        <w:rPr>
          <w:rFonts w:cs="Times New Roman"/>
          <w:szCs w:val="24"/>
        </w:rPr>
        <w:t xml:space="preserve">of </w:t>
      </w:r>
      <w:r w:rsidRPr="007C28A2">
        <w:rPr>
          <w:rFonts w:cs="Times New Roman"/>
          <w:szCs w:val="24"/>
        </w:rPr>
        <w:t xml:space="preserve">large or medium </w:t>
      </w:r>
      <w:r>
        <w:rPr>
          <w:rFonts w:cs="Times New Roman"/>
          <w:szCs w:val="24"/>
        </w:rPr>
        <w:t xml:space="preserve">inland vessels. The economic justification </w:t>
      </w:r>
      <w:r w:rsidRPr="007C28A2">
        <w:rPr>
          <w:rFonts w:cs="Times New Roman"/>
          <w:szCs w:val="24"/>
        </w:rPr>
        <w:t>to augment the navigability in thousands of kilometer used exclusively by mechanized boats and the smallest size of inland vessels</w:t>
      </w:r>
      <w:r>
        <w:rPr>
          <w:rFonts w:cs="Times New Roman"/>
          <w:szCs w:val="24"/>
        </w:rPr>
        <w:t xml:space="preserve"> will likely be difficult</w:t>
      </w:r>
      <w:r w:rsidRPr="007C28A2">
        <w:rPr>
          <w:rFonts w:cs="Times New Roman"/>
          <w:szCs w:val="24"/>
        </w:rPr>
        <w:t>. The</w:t>
      </w:r>
      <w:r w:rsidRPr="00924255">
        <w:rPr>
          <w:rFonts w:cs="Times New Roman"/>
          <w:szCs w:val="24"/>
        </w:rPr>
        <w:t xml:space="preserve"> rural waterways are being used by country boats and smaller inland vessels under existing condition</w:t>
      </w:r>
      <w:r>
        <w:rPr>
          <w:rFonts w:cs="Times New Roman"/>
          <w:szCs w:val="24"/>
        </w:rPr>
        <w:t xml:space="preserve"> and there may be the need for simple solutions for these riverways involving community participation.</w:t>
      </w:r>
      <w:r w:rsidRPr="00924255">
        <w:rPr>
          <w:rFonts w:cs="Times New Roman"/>
          <w:szCs w:val="24"/>
        </w:rPr>
        <w:t xml:space="preserve"> </w:t>
      </w:r>
    </w:p>
    <w:p w:rsidR="007F2F9C" w:rsidRPr="004B0A08" w:rsidRDefault="007F2F9C" w:rsidP="00A17BFA">
      <w:pPr>
        <w:spacing w:line="276" w:lineRule="auto"/>
        <w:jc w:val="both"/>
        <w:rPr>
          <w:rFonts w:cs="Times New Roman"/>
          <w:i/>
          <w:szCs w:val="24"/>
        </w:rPr>
      </w:pPr>
      <w:r w:rsidRPr="004B0A08">
        <w:rPr>
          <w:rFonts w:cs="Times New Roman"/>
          <w:i/>
          <w:szCs w:val="24"/>
        </w:rPr>
        <w:lastRenderedPageBreak/>
        <w:t xml:space="preserve">In recognition of these considerations, The IWT Master Plan Study, 2009 limited </w:t>
      </w:r>
      <w:r w:rsidR="00EC4A4B">
        <w:rPr>
          <w:rFonts w:cs="Times New Roman"/>
          <w:i/>
          <w:szCs w:val="24"/>
        </w:rPr>
        <w:t>public</w:t>
      </w:r>
      <w:r w:rsidRPr="004B0A08">
        <w:rPr>
          <w:rFonts w:cs="Times New Roman"/>
          <w:i/>
          <w:szCs w:val="24"/>
        </w:rPr>
        <w:t xml:space="preserve"> responsibilities of maintaining navigability to the following routes termed as core waterways network (Table </w:t>
      </w:r>
      <w:r w:rsidR="00A44CBF" w:rsidRPr="004B0A08">
        <w:rPr>
          <w:rFonts w:cs="Times New Roman"/>
          <w:i/>
          <w:szCs w:val="24"/>
        </w:rPr>
        <w:t>9.</w:t>
      </w:r>
      <w:r w:rsidR="00C463E5">
        <w:rPr>
          <w:rFonts w:cs="Times New Roman"/>
          <w:i/>
          <w:szCs w:val="24"/>
        </w:rPr>
        <w:t>7</w:t>
      </w:r>
      <w:r w:rsidRPr="004B0A08">
        <w:rPr>
          <w:rFonts w:cs="Times New Roman"/>
          <w:i/>
          <w:szCs w:val="24"/>
        </w:rPr>
        <w:t>):</w:t>
      </w:r>
      <w:bookmarkStart w:id="655" w:name="_Toc439337401"/>
    </w:p>
    <w:p w:rsidR="007F2F9C" w:rsidRPr="00924255" w:rsidRDefault="007F2F9C" w:rsidP="0036657D">
      <w:pPr>
        <w:pStyle w:val="Heading4"/>
      </w:pPr>
      <w:bookmarkStart w:id="656" w:name="_Toc474639073"/>
      <w:r w:rsidRPr="00924255">
        <w:t xml:space="preserve">Table </w:t>
      </w:r>
      <w:r w:rsidR="00A44CBF">
        <w:t>9.</w:t>
      </w:r>
      <w:r w:rsidR="00C463E5">
        <w:t>7</w:t>
      </w:r>
      <w:r w:rsidRPr="00924255">
        <w:t>: Core Waterways Network Recommended in the Master Plan, 2009</w:t>
      </w:r>
      <w:bookmarkEnd w:id="655"/>
      <w:bookmarkEnd w:id="656"/>
    </w:p>
    <w:tbl>
      <w:tblPr>
        <w:tblStyle w:val="LightShading10"/>
        <w:tblW w:w="5000" w:type="pct"/>
        <w:tblLook w:val="04A0"/>
      </w:tblPr>
      <w:tblGrid>
        <w:gridCol w:w="6102"/>
        <w:gridCol w:w="3474"/>
      </w:tblGrid>
      <w:tr w:rsidR="007F2F9C" w:rsidRPr="004D0CD9" w:rsidTr="004D0CD9">
        <w:trPr>
          <w:cnfStyle w:val="100000000000"/>
        </w:trPr>
        <w:tc>
          <w:tcPr>
            <w:cnfStyle w:val="001000000000"/>
            <w:tcW w:w="3186" w:type="pct"/>
          </w:tcPr>
          <w:p w:rsidR="007F2F9C" w:rsidRPr="00D10C92" w:rsidRDefault="007F2F9C" w:rsidP="00005EAC">
            <w:pPr>
              <w:jc w:val="both"/>
              <w:rPr>
                <w:rFonts w:ascii="Times New Roman" w:hAnsi="Times New Roman"/>
                <w:sz w:val="22"/>
                <w:szCs w:val="24"/>
              </w:rPr>
            </w:pPr>
            <w:r w:rsidRPr="00D10C92">
              <w:rPr>
                <w:rFonts w:ascii="Times New Roman" w:hAnsi="Times New Roman"/>
                <w:sz w:val="22"/>
                <w:szCs w:val="24"/>
              </w:rPr>
              <w:t>IWT Route</w:t>
            </w:r>
          </w:p>
        </w:tc>
        <w:tc>
          <w:tcPr>
            <w:tcW w:w="1814" w:type="pct"/>
          </w:tcPr>
          <w:p w:rsidR="007F2F9C" w:rsidRPr="00D10C92" w:rsidRDefault="007F2F9C" w:rsidP="00005EAC">
            <w:pPr>
              <w:jc w:val="center"/>
              <w:cnfStyle w:val="100000000000"/>
              <w:rPr>
                <w:rFonts w:ascii="Times New Roman" w:hAnsi="Times New Roman"/>
                <w:sz w:val="22"/>
                <w:szCs w:val="24"/>
              </w:rPr>
            </w:pPr>
            <w:r w:rsidRPr="00D10C92">
              <w:rPr>
                <w:rFonts w:ascii="Times New Roman" w:hAnsi="Times New Roman"/>
                <w:sz w:val="22"/>
                <w:szCs w:val="24"/>
              </w:rPr>
              <w:t>Length (km)</w:t>
            </w:r>
          </w:p>
        </w:tc>
      </w:tr>
      <w:tr w:rsidR="007F2F9C" w:rsidRPr="004D0CD9" w:rsidTr="004D0CD9">
        <w:trPr>
          <w:cnfStyle w:val="000000100000"/>
        </w:trPr>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1. Dhaka-Narayanganj-Chittagong</w:t>
            </w:r>
          </w:p>
        </w:tc>
        <w:tc>
          <w:tcPr>
            <w:tcW w:w="1814" w:type="pct"/>
          </w:tcPr>
          <w:p w:rsidR="007F2F9C" w:rsidRPr="004D0CD9" w:rsidRDefault="007F2F9C" w:rsidP="00005EAC">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306</w:t>
            </w:r>
          </w:p>
        </w:tc>
      </w:tr>
      <w:tr w:rsidR="007F2F9C" w:rsidRPr="004D0CD9" w:rsidTr="004D0CD9">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2. Dhaka-Barisal-Mongla</w:t>
            </w:r>
          </w:p>
        </w:tc>
        <w:tc>
          <w:tcPr>
            <w:tcW w:w="1814" w:type="pct"/>
          </w:tcPr>
          <w:p w:rsidR="007F2F9C" w:rsidRPr="004D0CD9" w:rsidRDefault="007F2F9C" w:rsidP="00005EAC">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418</w:t>
            </w:r>
          </w:p>
        </w:tc>
      </w:tr>
      <w:tr w:rsidR="007F2F9C" w:rsidRPr="004D0CD9" w:rsidTr="004D0CD9">
        <w:trPr>
          <w:cnfStyle w:val="000000100000"/>
        </w:trPr>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3.Chandpur-Bhairabbazar/Ashuganj</w:t>
            </w:r>
          </w:p>
        </w:tc>
        <w:tc>
          <w:tcPr>
            <w:tcW w:w="1814" w:type="pct"/>
          </w:tcPr>
          <w:p w:rsidR="007F2F9C" w:rsidRPr="004D0CD9" w:rsidRDefault="007F2F9C" w:rsidP="00005EAC">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102</w:t>
            </w:r>
          </w:p>
        </w:tc>
      </w:tr>
      <w:tr w:rsidR="007F2F9C" w:rsidRPr="004D0CD9" w:rsidTr="004D0CD9">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4. Mohonpur-Daikhawa</w:t>
            </w:r>
          </w:p>
        </w:tc>
        <w:tc>
          <w:tcPr>
            <w:tcW w:w="1814" w:type="pct"/>
          </w:tcPr>
          <w:p w:rsidR="007F2F9C" w:rsidRPr="004D0CD9" w:rsidRDefault="007F2F9C" w:rsidP="00005EAC">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385</w:t>
            </w:r>
          </w:p>
        </w:tc>
      </w:tr>
      <w:tr w:rsidR="007F2F9C" w:rsidRPr="004D0CD9" w:rsidTr="004D0CD9">
        <w:trPr>
          <w:cnfStyle w:val="000000100000"/>
        </w:trPr>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5. Bhairab-Chatak</w:t>
            </w:r>
          </w:p>
        </w:tc>
        <w:tc>
          <w:tcPr>
            <w:tcW w:w="1814" w:type="pct"/>
          </w:tcPr>
          <w:p w:rsidR="007F2F9C" w:rsidRPr="004D0CD9" w:rsidRDefault="007F2F9C" w:rsidP="00005EAC">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228</w:t>
            </w:r>
          </w:p>
        </w:tc>
      </w:tr>
      <w:tr w:rsidR="007F2F9C" w:rsidRPr="004D0CD9" w:rsidTr="004D0CD9">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6. Jamuna/Hurasagar-Baghabari</w:t>
            </w:r>
          </w:p>
        </w:tc>
        <w:tc>
          <w:tcPr>
            <w:tcW w:w="1814" w:type="pct"/>
          </w:tcPr>
          <w:p w:rsidR="007F2F9C" w:rsidRPr="004D0CD9" w:rsidRDefault="007F2F9C" w:rsidP="00005EAC">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15</w:t>
            </w:r>
          </w:p>
        </w:tc>
      </w:tr>
      <w:tr w:rsidR="007F2F9C" w:rsidRPr="004D0CD9" w:rsidTr="004D0CD9">
        <w:trPr>
          <w:cnfStyle w:val="000000100000"/>
        </w:trPr>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7. Dilalpur-Fenchuganj</w:t>
            </w:r>
          </w:p>
        </w:tc>
        <w:tc>
          <w:tcPr>
            <w:tcW w:w="1814" w:type="pct"/>
          </w:tcPr>
          <w:p w:rsidR="007F2F9C" w:rsidRPr="004D0CD9" w:rsidRDefault="007F2F9C" w:rsidP="00005EAC">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191</w:t>
            </w:r>
          </w:p>
        </w:tc>
      </w:tr>
      <w:tr w:rsidR="007F2F9C" w:rsidRPr="004D0CD9" w:rsidTr="004D0CD9">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8. Chatak-Sylhet</w:t>
            </w:r>
          </w:p>
        </w:tc>
        <w:tc>
          <w:tcPr>
            <w:tcW w:w="1814" w:type="pct"/>
          </w:tcPr>
          <w:p w:rsidR="007F2F9C" w:rsidRPr="004D0CD9" w:rsidRDefault="007F2F9C" w:rsidP="00005EAC">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53</w:t>
            </w:r>
          </w:p>
        </w:tc>
      </w:tr>
      <w:tr w:rsidR="007F2F9C" w:rsidRPr="004D0CD9" w:rsidTr="004D0CD9">
        <w:trPr>
          <w:cnfStyle w:val="000000100000"/>
        </w:trPr>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9. Mongla-Khulna-Noapara</w:t>
            </w:r>
          </w:p>
        </w:tc>
        <w:tc>
          <w:tcPr>
            <w:tcW w:w="1814" w:type="pct"/>
          </w:tcPr>
          <w:p w:rsidR="007F2F9C" w:rsidRPr="004D0CD9" w:rsidRDefault="007F2F9C" w:rsidP="00005EAC">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80</w:t>
            </w:r>
          </w:p>
        </w:tc>
      </w:tr>
      <w:tr w:rsidR="007F2F9C" w:rsidRPr="004D0CD9" w:rsidTr="004D0CD9">
        <w:tc>
          <w:tcPr>
            <w:cnfStyle w:val="001000000000"/>
            <w:tcW w:w="3186" w:type="pct"/>
          </w:tcPr>
          <w:p w:rsidR="007F2F9C" w:rsidRPr="00D10C92" w:rsidRDefault="007F2F9C" w:rsidP="00EC4A4B">
            <w:pPr>
              <w:spacing w:after="0" w:line="240" w:lineRule="auto"/>
              <w:jc w:val="both"/>
              <w:rPr>
                <w:rFonts w:ascii="Times New Roman" w:hAnsi="Times New Roman"/>
                <w:b w:val="0"/>
                <w:sz w:val="22"/>
                <w:szCs w:val="24"/>
              </w:rPr>
            </w:pPr>
            <w:r w:rsidRPr="00D10C92">
              <w:rPr>
                <w:rFonts w:ascii="Times New Roman" w:hAnsi="Times New Roman"/>
                <w:b w:val="0"/>
                <w:sz w:val="22"/>
                <w:szCs w:val="24"/>
              </w:rPr>
              <w:t>10. Dhaka-</w:t>
            </w:r>
            <w:r w:rsidR="00FE6385">
              <w:rPr>
                <w:rFonts w:ascii="Times New Roman" w:hAnsi="Times New Roman"/>
                <w:b w:val="0"/>
                <w:sz w:val="22"/>
                <w:szCs w:val="24"/>
              </w:rPr>
              <w:t>To</w:t>
            </w:r>
            <w:r w:rsidR="00EC4A4B">
              <w:rPr>
                <w:rFonts w:ascii="Times New Roman" w:hAnsi="Times New Roman"/>
                <w:b w:val="0"/>
                <w:sz w:val="22"/>
                <w:szCs w:val="24"/>
              </w:rPr>
              <w:t>n</w:t>
            </w:r>
            <w:r w:rsidRPr="00D10C92">
              <w:rPr>
                <w:rFonts w:ascii="Times New Roman" w:hAnsi="Times New Roman"/>
                <w:b w:val="0"/>
                <w:sz w:val="22"/>
                <w:szCs w:val="24"/>
              </w:rPr>
              <w:t>gi</w:t>
            </w:r>
          </w:p>
        </w:tc>
        <w:tc>
          <w:tcPr>
            <w:tcW w:w="1814" w:type="pct"/>
          </w:tcPr>
          <w:p w:rsidR="007F2F9C" w:rsidRPr="004D0CD9" w:rsidRDefault="007F2F9C" w:rsidP="00005EAC">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40</w:t>
            </w:r>
          </w:p>
        </w:tc>
      </w:tr>
      <w:tr w:rsidR="007F2F9C" w:rsidRPr="004D0CD9" w:rsidTr="004D0CD9">
        <w:trPr>
          <w:cnfStyle w:val="000000100000"/>
        </w:trPr>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11. Barisal-Patuakhali</w:t>
            </w:r>
          </w:p>
        </w:tc>
        <w:tc>
          <w:tcPr>
            <w:tcW w:w="1814" w:type="pct"/>
          </w:tcPr>
          <w:p w:rsidR="007F2F9C" w:rsidRPr="004D0CD9" w:rsidRDefault="007F2F9C" w:rsidP="00005EAC">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85</w:t>
            </w:r>
          </w:p>
        </w:tc>
      </w:tr>
      <w:tr w:rsidR="007F2F9C" w:rsidRPr="004D0CD9" w:rsidTr="004D0CD9">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12. Barisal-Barguna</w:t>
            </w:r>
          </w:p>
        </w:tc>
        <w:tc>
          <w:tcPr>
            <w:tcW w:w="1814" w:type="pct"/>
          </w:tcPr>
          <w:p w:rsidR="007F2F9C" w:rsidRPr="004D0CD9" w:rsidRDefault="007F2F9C" w:rsidP="00005EAC">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97</w:t>
            </w:r>
          </w:p>
        </w:tc>
      </w:tr>
      <w:tr w:rsidR="007F2F9C" w:rsidRPr="004D0CD9" w:rsidTr="004D0CD9">
        <w:trPr>
          <w:cnfStyle w:val="000000100000"/>
        </w:trPr>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13. Narayanganj –Narsingdi</w:t>
            </w:r>
          </w:p>
        </w:tc>
        <w:tc>
          <w:tcPr>
            <w:tcW w:w="1814" w:type="pct"/>
          </w:tcPr>
          <w:p w:rsidR="007F2F9C" w:rsidRPr="004D0CD9" w:rsidRDefault="007F2F9C" w:rsidP="00005EAC">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77</w:t>
            </w:r>
          </w:p>
        </w:tc>
      </w:tr>
      <w:tr w:rsidR="007F2F9C" w:rsidRPr="004D0CD9" w:rsidTr="004D0CD9">
        <w:tc>
          <w:tcPr>
            <w:cnfStyle w:val="001000000000"/>
            <w:tcW w:w="3186" w:type="pct"/>
          </w:tcPr>
          <w:p w:rsidR="007F2F9C" w:rsidRPr="00D10C92" w:rsidRDefault="007F2F9C" w:rsidP="00005EAC">
            <w:pPr>
              <w:spacing w:after="0" w:line="240" w:lineRule="auto"/>
              <w:jc w:val="both"/>
              <w:rPr>
                <w:rFonts w:ascii="Times New Roman" w:hAnsi="Times New Roman"/>
                <w:b w:val="0"/>
                <w:sz w:val="22"/>
                <w:szCs w:val="24"/>
              </w:rPr>
            </w:pPr>
            <w:r w:rsidRPr="00D10C92">
              <w:rPr>
                <w:rFonts w:ascii="Times New Roman" w:hAnsi="Times New Roman"/>
                <w:b w:val="0"/>
                <w:sz w:val="22"/>
                <w:szCs w:val="24"/>
              </w:rPr>
              <w:t>14. Narayanganj –Meghnaghat</w:t>
            </w:r>
          </w:p>
        </w:tc>
        <w:tc>
          <w:tcPr>
            <w:tcW w:w="1814" w:type="pct"/>
          </w:tcPr>
          <w:p w:rsidR="007F2F9C" w:rsidRPr="004D0CD9" w:rsidRDefault="007F2F9C" w:rsidP="00005EAC">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42</w:t>
            </w:r>
          </w:p>
        </w:tc>
      </w:tr>
      <w:tr w:rsidR="007F2F9C" w:rsidRPr="004D0CD9" w:rsidTr="004D0CD9">
        <w:trPr>
          <w:cnfStyle w:val="000000100000"/>
        </w:trPr>
        <w:tc>
          <w:tcPr>
            <w:cnfStyle w:val="001000000000"/>
            <w:tcW w:w="3186" w:type="pct"/>
          </w:tcPr>
          <w:p w:rsidR="007F2F9C" w:rsidRPr="004D0CD9" w:rsidRDefault="007F2F9C" w:rsidP="00005EAC">
            <w:pPr>
              <w:spacing w:after="0" w:line="240" w:lineRule="auto"/>
              <w:jc w:val="both"/>
              <w:rPr>
                <w:rFonts w:ascii="Times New Roman" w:hAnsi="Times New Roman"/>
                <w:b w:val="0"/>
                <w:sz w:val="22"/>
                <w:szCs w:val="24"/>
              </w:rPr>
            </w:pPr>
            <w:r w:rsidRPr="004D0CD9">
              <w:rPr>
                <w:rFonts w:ascii="Times New Roman" w:hAnsi="Times New Roman"/>
                <w:b w:val="0"/>
                <w:sz w:val="22"/>
                <w:szCs w:val="24"/>
              </w:rPr>
              <w:t>Total</w:t>
            </w:r>
          </w:p>
        </w:tc>
        <w:tc>
          <w:tcPr>
            <w:tcW w:w="1814" w:type="pct"/>
          </w:tcPr>
          <w:p w:rsidR="007F2F9C" w:rsidRPr="004D0CD9" w:rsidRDefault="007F2F9C" w:rsidP="00005EAC">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1,822</w:t>
            </w:r>
          </w:p>
        </w:tc>
      </w:tr>
    </w:tbl>
    <w:p w:rsidR="007F2F9C" w:rsidRPr="009538ED" w:rsidRDefault="007F2F9C" w:rsidP="00A17BFA">
      <w:pPr>
        <w:spacing w:before="120" w:line="276" w:lineRule="auto"/>
        <w:rPr>
          <w:rFonts w:cs="Times New Roman"/>
          <w:b/>
          <w:bCs/>
          <w:i/>
          <w:sz w:val="20"/>
          <w:szCs w:val="20"/>
        </w:rPr>
      </w:pPr>
      <w:r w:rsidRPr="009538ED">
        <w:rPr>
          <w:rFonts w:cs="Times New Roman"/>
          <w:b/>
          <w:bCs/>
          <w:i/>
          <w:sz w:val="20"/>
          <w:szCs w:val="20"/>
        </w:rPr>
        <w:t>Source: IWT Master Plan, Final Report, 2009</w:t>
      </w:r>
    </w:p>
    <w:p w:rsidR="00C463E5" w:rsidRPr="0056500E" w:rsidRDefault="007F2F9C" w:rsidP="00C463E5">
      <w:pPr>
        <w:spacing w:line="276" w:lineRule="auto"/>
        <w:jc w:val="both"/>
        <w:rPr>
          <w:rFonts w:cs="Times New Roman"/>
          <w:szCs w:val="24"/>
        </w:rPr>
      </w:pPr>
      <w:r w:rsidRPr="005C43A8">
        <w:rPr>
          <w:rFonts w:cs="Times New Roman"/>
          <w:szCs w:val="24"/>
        </w:rPr>
        <w:t xml:space="preserve">The waterways linking </w:t>
      </w:r>
      <w:r w:rsidR="00345157">
        <w:rPr>
          <w:rFonts w:cs="Times New Roman"/>
          <w:szCs w:val="24"/>
        </w:rPr>
        <w:t xml:space="preserve">two </w:t>
      </w:r>
      <w:r w:rsidRPr="005C43A8">
        <w:rPr>
          <w:rFonts w:cs="Times New Roman"/>
          <w:szCs w:val="24"/>
        </w:rPr>
        <w:t xml:space="preserve">maritime ports </w:t>
      </w:r>
      <w:r w:rsidR="00345157">
        <w:rPr>
          <w:rFonts w:cs="Times New Roman"/>
          <w:szCs w:val="24"/>
        </w:rPr>
        <w:t>(</w:t>
      </w:r>
      <w:r w:rsidRPr="005C43A8">
        <w:rPr>
          <w:rFonts w:cs="Times New Roman"/>
          <w:szCs w:val="24"/>
        </w:rPr>
        <w:t>Chittagong and Mongla</w:t>
      </w:r>
      <w:r w:rsidR="00345157">
        <w:rPr>
          <w:rFonts w:cs="Times New Roman"/>
          <w:szCs w:val="24"/>
        </w:rPr>
        <w:t>)</w:t>
      </w:r>
      <w:r w:rsidRPr="005C43A8">
        <w:rPr>
          <w:rFonts w:cs="Times New Roman"/>
          <w:szCs w:val="24"/>
        </w:rPr>
        <w:t xml:space="preserve"> and </w:t>
      </w:r>
      <w:r w:rsidR="00345157">
        <w:rPr>
          <w:rFonts w:cs="Times New Roman"/>
          <w:szCs w:val="24"/>
        </w:rPr>
        <w:t xml:space="preserve">river ports </w:t>
      </w:r>
      <w:r w:rsidRPr="005C43A8">
        <w:rPr>
          <w:rFonts w:cs="Times New Roman"/>
          <w:szCs w:val="24"/>
        </w:rPr>
        <w:t>Dhaka/Narayanganj area and routes under Bangladesh-India Protocol on IWT</w:t>
      </w:r>
      <w:r w:rsidRPr="005C43A8">
        <w:rPr>
          <w:rStyle w:val="FootnoteReference"/>
          <w:rFonts w:cs="Times New Roman"/>
          <w:szCs w:val="24"/>
        </w:rPr>
        <w:footnoteReference w:id="43"/>
      </w:r>
      <w:r w:rsidRPr="005C43A8">
        <w:rPr>
          <w:rFonts w:cs="Times New Roman"/>
          <w:szCs w:val="24"/>
        </w:rPr>
        <w:t xml:space="preserve"> were marked as </w:t>
      </w:r>
      <w:r>
        <w:rPr>
          <w:rFonts w:cs="Times New Roman"/>
          <w:szCs w:val="24"/>
        </w:rPr>
        <w:t xml:space="preserve">the highest </w:t>
      </w:r>
      <w:r w:rsidRPr="005C43A8">
        <w:rPr>
          <w:rFonts w:cs="Times New Roman"/>
          <w:szCs w:val="24"/>
        </w:rPr>
        <w:t>priority routes.</w:t>
      </w:r>
      <w:r>
        <w:rPr>
          <w:rFonts w:cs="Times New Roman"/>
          <w:szCs w:val="24"/>
        </w:rPr>
        <w:t xml:space="preserve"> </w:t>
      </w:r>
      <w:r w:rsidR="00C463E5" w:rsidRPr="0056500E">
        <w:rPr>
          <w:rFonts w:cs="Times New Roman"/>
          <w:szCs w:val="24"/>
        </w:rPr>
        <w:t xml:space="preserve">The IWT route between Dhaka/Narayanganj and Chittagong maritime port is a Class-I route with adequate navigational draft for most of its length. But during low water period, vessels plying along this route have to wait for high tide at some places in the lower Meghna and in estuary. Another important route (Class I) is the waterway between Narayanganj and Mongla also important for the movement of vessels of goods of inter-country and transit trade under the Bangladesh – India IWT Protocol. The route connects the divisional headquarter of Barisal also. Prior to the closure of the Mongla-Ghasiakhali Canal in 2011 due to siltation, vessels used to sail through the route Sanyasi-Ghasiakhali-Mongla with a length of 52 km. But due to deteriorating condition of navigability in the canal, at present the route operates through the Sundarbans, namely Bogi-Joymoni-Mongla with a distance of 123 km, making the length of route increased by 71 km and thus resulting in increased use of fuel which increased cost and time of transportation as well. BIWTA had to struggle to restore navigability along this important stretch and after massive dredging the canal was declared open for traffic in 2016 but with a lower draft. This stretch is negotiable only during high tide and one-way traffic. </w:t>
      </w:r>
    </w:p>
    <w:p w:rsidR="00C463E5" w:rsidRPr="0056500E" w:rsidRDefault="00C463E5" w:rsidP="00C463E5">
      <w:pPr>
        <w:spacing w:line="276" w:lineRule="auto"/>
        <w:jc w:val="both"/>
        <w:rPr>
          <w:rFonts w:cs="Times New Roman"/>
          <w:szCs w:val="24"/>
        </w:rPr>
      </w:pPr>
      <w:r w:rsidRPr="0056500E">
        <w:rPr>
          <w:rFonts w:cs="Times New Roman"/>
          <w:szCs w:val="24"/>
        </w:rPr>
        <w:lastRenderedPageBreak/>
        <w:t xml:space="preserve">Besides, the route from Dhaka/ Narayanganj to the north-eastern part of Bangladesh, especially to Chatak and Sylhet region is classified as Class-I route up to Bhairab Bazar/ Ashuganj; the depth decreases thereafter to 2.1 -1.5 m levels and further decreases during low water period. As such, vessels are compelled to sail at half or three quarter of loading capacity restricting to achieve the desired economic benefit. </w:t>
      </w:r>
    </w:p>
    <w:p w:rsidR="00C463E5" w:rsidRPr="0056500E" w:rsidRDefault="00C463E5" w:rsidP="00C463E5">
      <w:pPr>
        <w:spacing w:line="276" w:lineRule="auto"/>
        <w:jc w:val="both"/>
        <w:rPr>
          <w:rFonts w:cs="Times New Roman"/>
          <w:szCs w:val="24"/>
        </w:rPr>
      </w:pPr>
      <w:r w:rsidRPr="0056500E">
        <w:rPr>
          <w:rFonts w:cs="Times New Roman"/>
          <w:szCs w:val="24"/>
        </w:rPr>
        <w:t>The Paturia- Baghabari route (Jamuna, Baral and Hurasgar Rivers) in the northern district of Sirajganj is of national importance on account of transportation of fuel and fertilizers to the northern part of the country. In recent years, it is also behaving erratically and unpredictably in low water periods, posing problems and sometimes even a threat to uninterrupted vessel movements.</w:t>
      </w:r>
    </w:p>
    <w:p w:rsidR="00C463E5" w:rsidRDefault="00C463E5" w:rsidP="00282AE2">
      <w:pPr>
        <w:spacing w:line="276" w:lineRule="auto"/>
        <w:jc w:val="both"/>
        <w:rPr>
          <w:rFonts w:cs="Times New Roman"/>
          <w:szCs w:val="24"/>
        </w:rPr>
      </w:pPr>
      <w:r w:rsidRPr="0056500E">
        <w:rPr>
          <w:rFonts w:cs="Times New Roman"/>
          <w:szCs w:val="24"/>
        </w:rPr>
        <w:t xml:space="preserve">An IUCN Report revealed that a total of 717 km of waterways that have been considered under the classification study of 1989 as perennially navigable were no more navigable during the lean period. In the same report quoting BIWTA officials and operators, IUCN concluded that presently </w:t>
      </w:r>
      <w:r w:rsidR="00144771">
        <w:rPr>
          <w:rFonts w:cs="Times New Roman"/>
          <w:szCs w:val="24"/>
        </w:rPr>
        <w:t xml:space="preserve">the </w:t>
      </w:r>
      <w:r w:rsidRPr="0056500E">
        <w:rPr>
          <w:rFonts w:cs="Times New Roman"/>
          <w:szCs w:val="24"/>
        </w:rPr>
        <w:t>total length of navigable waterways during monsoon will not exceed 4,000 km and only 2,000-2,500 km are navigable during the low water period. (</w:t>
      </w:r>
      <w:r w:rsidRPr="0056500E">
        <w:rPr>
          <w:rFonts w:cs="Times New Roman"/>
          <w:i/>
          <w:szCs w:val="24"/>
        </w:rPr>
        <w:t>Source: Baseline Study Sustainable Transportation and Infrastructure, Vol.3 IWT, BDP (2015</w:t>
      </w:r>
      <w:r w:rsidR="00144771">
        <w:rPr>
          <w:rFonts w:cs="Times New Roman"/>
          <w:szCs w:val="24"/>
        </w:rPr>
        <w:t>))</w:t>
      </w:r>
    </w:p>
    <w:p w:rsidR="007F2F9C" w:rsidRDefault="007F2F9C" w:rsidP="00282AE2">
      <w:pPr>
        <w:spacing w:line="276" w:lineRule="auto"/>
        <w:jc w:val="both"/>
        <w:rPr>
          <w:rFonts w:cs="Times New Roman"/>
          <w:szCs w:val="24"/>
        </w:rPr>
      </w:pPr>
      <w:r>
        <w:rPr>
          <w:rFonts w:cs="Times New Roman"/>
          <w:szCs w:val="24"/>
        </w:rPr>
        <w:t>In light of emerging needs, along with the above,</w:t>
      </w:r>
      <w:r w:rsidRPr="005C43A8">
        <w:rPr>
          <w:rFonts w:cs="Times New Roman"/>
          <w:szCs w:val="24"/>
        </w:rPr>
        <w:t xml:space="preserve"> the following </w:t>
      </w:r>
      <w:r>
        <w:rPr>
          <w:rFonts w:cs="Times New Roman"/>
          <w:szCs w:val="24"/>
        </w:rPr>
        <w:t xml:space="preserve">priorities </w:t>
      </w:r>
      <w:r w:rsidRPr="005C43A8">
        <w:rPr>
          <w:rFonts w:cs="Times New Roman"/>
          <w:szCs w:val="24"/>
        </w:rPr>
        <w:t>should be included:</w:t>
      </w:r>
    </w:p>
    <w:p w:rsidR="007F2F9C" w:rsidRPr="005C43A8" w:rsidRDefault="007F2F9C" w:rsidP="00282AE2">
      <w:pPr>
        <w:pStyle w:val="ListParagraph"/>
        <w:numPr>
          <w:ilvl w:val="0"/>
          <w:numId w:val="71"/>
        </w:numPr>
        <w:spacing w:line="276" w:lineRule="auto"/>
        <w:ind w:left="360"/>
        <w:jc w:val="both"/>
        <w:rPr>
          <w:rFonts w:cs="Times New Roman"/>
          <w:szCs w:val="24"/>
        </w:rPr>
      </w:pPr>
      <w:r w:rsidRPr="005C43A8">
        <w:rPr>
          <w:rFonts w:cs="Times New Roman"/>
          <w:szCs w:val="24"/>
        </w:rPr>
        <w:t>Raimangal-Khulna-Noapara (165 km)- as route under Protocol;</w:t>
      </w:r>
    </w:p>
    <w:p w:rsidR="007F2F9C" w:rsidRPr="005C43A8" w:rsidRDefault="007F2F9C" w:rsidP="00282AE2">
      <w:pPr>
        <w:pStyle w:val="ListParagraph"/>
        <w:numPr>
          <w:ilvl w:val="0"/>
          <w:numId w:val="71"/>
        </w:numPr>
        <w:spacing w:line="276" w:lineRule="auto"/>
        <w:ind w:left="360"/>
        <w:jc w:val="both"/>
        <w:rPr>
          <w:rFonts w:cs="Times New Roman"/>
          <w:szCs w:val="24"/>
        </w:rPr>
      </w:pPr>
      <w:r w:rsidRPr="005C43A8">
        <w:rPr>
          <w:rFonts w:cs="Times New Roman"/>
          <w:szCs w:val="24"/>
        </w:rPr>
        <w:t>Rajshahi-Daulatdia (173 km)- this could be an important domestic route and a route for transit traffic;</w:t>
      </w:r>
    </w:p>
    <w:p w:rsidR="007F2F9C" w:rsidRDefault="00FE6385" w:rsidP="00282AE2">
      <w:pPr>
        <w:pStyle w:val="ListParagraph"/>
        <w:numPr>
          <w:ilvl w:val="0"/>
          <w:numId w:val="71"/>
        </w:numPr>
        <w:spacing w:line="276" w:lineRule="auto"/>
        <w:ind w:left="360"/>
        <w:jc w:val="both"/>
        <w:rPr>
          <w:rFonts w:cs="Times New Roman"/>
          <w:szCs w:val="24"/>
        </w:rPr>
      </w:pPr>
      <w:r>
        <w:rPr>
          <w:rFonts w:cs="Times New Roman"/>
          <w:szCs w:val="24"/>
        </w:rPr>
        <w:t>Ton</w:t>
      </w:r>
      <w:r w:rsidR="007F2F9C" w:rsidRPr="005C43A8">
        <w:rPr>
          <w:rFonts w:cs="Times New Roman"/>
          <w:szCs w:val="24"/>
        </w:rPr>
        <w:t>gi-Narayanganj (35 km), this route may contribute modal shift of passenger of greater Dh</w:t>
      </w:r>
      <w:r w:rsidR="00BF6AEA">
        <w:rPr>
          <w:rFonts w:cs="Times New Roman"/>
          <w:szCs w:val="24"/>
        </w:rPr>
        <w:t>aka to remove road congestion.</w:t>
      </w:r>
    </w:p>
    <w:p w:rsidR="00144A5B" w:rsidRDefault="00EC4A4B" w:rsidP="00282AE2">
      <w:pPr>
        <w:pStyle w:val="ListParagraph"/>
        <w:numPr>
          <w:ilvl w:val="0"/>
          <w:numId w:val="71"/>
        </w:numPr>
        <w:spacing w:line="276" w:lineRule="auto"/>
        <w:ind w:left="360"/>
        <w:jc w:val="both"/>
        <w:rPr>
          <w:rFonts w:cs="Times New Roman"/>
          <w:szCs w:val="24"/>
        </w:rPr>
      </w:pPr>
      <w:r>
        <w:rPr>
          <w:rFonts w:cs="Times New Roman"/>
          <w:szCs w:val="24"/>
        </w:rPr>
        <w:t>Ton</w:t>
      </w:r>
      <w:r w:rsidR="00144A5B" w:rsidRPr="00722BE3">
        <w:rPr>
          <w:rFonts w:cs="Times New Roman"/>
          <w:szCs w:val="24"/>
        </w:rPr>
        <w:t>gi-Purbachol-Kapasia-Toke (Balu River)</w:t>
      </w:r>
    </w:p>
    <w:p w:rsidR="00000000" w:rsidRDefault="00BF6AEA" w:rsidP="003D5A31">
      <w:pPr>
        <w:pStyle w:val="BodyText"/>
        <w:numPr>
          <w:ilvl w:val="2"/>
          <w:numId w:val="155"/>
        </w:numPr>
        <w:spacing w:after="240" w:line="276" w:lineRule="auto"/>
        <w:jc w:val="both"/>
        <w:rPr>
          <w:rFonts w:cs="Times New Roman"/>
          <w:b/>
          <w:szCs w:val="24"/>
        </w:rPr>
      </w:pPr>
      <w:bookmarkStart w:id="657" w:name="_Toc439337218"/>
      <w:r w:rsidRPr="001968E1">
        <w:rPr>
          <w:rFonts w:cs="Times New Roman"/>
          <w:b/>
          <w:szCs w:val="24"/>
        </w:rPr>
        <w:t>Passenger, Freight/</w:t>
      </w:r>
      <w:r w:rsidR="00345157">
        <w:rPr>
          <w:rFonts w:cs="Times New Roman"/>
          <w:b/>
          <w:szCs w:val="24"/>
        </w:rPr>
        <w:t>C</w:t>
      </w:r>
      <w:r w:rsidR="00345157" w:rsidRPr="001968E1">
        <w:rPr>
          <w:rFonts w:cs="Times New Roman"/>
          <w:b/>
          <w:szCs w:val="24"/>
        </w:rPr>
        <w:t xml:space="preserve">argo </w:t>
      </w:r>
      <w:r w:rsidRPr="001968E1">
        <w:rPr>
          <w:rFonts w:cs="Times New Roman"/>
          <w:b/>
          <w:szCs w:val="24"/>
        </w:rPr>
        <w:t>and Ferry M</w:t>
      </w:r>
      <w:r w:rsidR="007F2F9C" w:rsidRPr="001968E1">
        <w:rPr>
          <w:rFonts w:cs="Times New Roman"/>
          <w:b/>
          <w:szCs w:val="24"/>
        </w:rPr>
        <w:t>ovement</w:t>
      </w:r>
      <w:bookmarkEnd w:id="657"/>
      <w:r w:rsidRPr="001968E1">
        <w:rPr>
          <w:rFonts w:cs="Times New Roman"/>
          <w:b/>
          <w:szCs w:val="24"/>
        </w:rPr>
        <w:t>s</w:t>
      </w:r>
    </w:p>
    <w:p w:rsidR="00432ACA" w:rsidRPr="00F64192" w:rsidRDefault="007F2F9C" w:rsidP="00282AE2">
      <w:pPr>
        <w:spacing w:line="276" w:lineRule="auto"/>
        <w:jc w:val="both"/>
        <w:rPr>
          <w:rFonts w:cs="Times New Roman"/>
          <w:szCs w:val="24"/>
        </w:rPr>
      </w:pPr>
      <w:r w:rsidRPr="00924255">
        <w:rPr>
          <w:rFonts w:cs="Times New Roman"/>
          <w:szCs w:val="24"/>
        </w:rPr>
        <w:t xml:space="preserve">Passenger Service Unit of BIWTC is mainly engaged in carrying passengers in the inland waterways, coastal areas and off-shore inland. Vessels of this unit are plying in the following routes (Table </w:t>
      </w:r>
      <w:r w:rsidR="00A44CBF">
        <w:rPr>
          <w:rFonts w:cs="Times New Roman"/>
          <w:szCs w:val="24"/>
        </w:rPr>
        <w:t>9.</w:t>
      </w:r>
      <w:r w:rsidR="00C463E5">
        <w:rPr>
          <w:rFonts w:cs="Times New Roman"/>
          <w:szCs w:val="24"/>
        </w:rPr>
        <w:t>8</w:t>
      </w:r>
      <w:r w:rsidRPr="00924255">
        <w:rPr>
          <w:rFonts w:cs="Times New Roman"/>
          <w:szCs w:val="24"/>
        </w:rPr>
        <w:t xml:space="preserve">, for the list of sub routes </w:t>
      </w:r>
      <w:r w:rsidR="00345157">
        <w:rPr>
          <w:rFonts w:cs="Times New Roman"/>
          <w:szCs w:val="24"/>
        </w:rPr>
        <w:t>see</w:t>
      </w:r>
      <w:r w:rsidR="00345157" w:rsidRPr="00924255">
        <w:rPr>
          <w:rFonts w:cs="Times New Roman"/>
          <w:szCs w:val="24"/>
        </w:rPr>
        <w:t xml:space="preserve"> </w:t>
      </w:r>
      <w:r w:rsidRPr="00924255">
        <w:rPr>
          <w:rFonts w:cs="Times New Roman"/>
          <w:szCs w:val="24"/>
        </w:rPr>
        <w:t xml:space="preserve">Annex). </w:t>
      </w:r>
    </w:p>
    <w:p w:rsidR="00835763" w:rsidRDefault="00835763">
      <w:pPr>
        <w:rPr>
          <w:rFonts w:cs="Times New Roman"/>
          <w:b/>
          <w:bCs/>
          <w:szCs w:val="24"/>
        </w:rPr>
      </w:pPr>
      <w:r>
        <w:br w:type="page"/>
      </w:r>
    </w:p>
    <w:p w:rsidR="007F2F9C" w:rsidRPr="00924255" w:rsidRDefault="007F2F9C" w:rsidP="0036657D">
      <w:pPr>
        <w:pStyle w:val="Heading4"/>
      </w:pPr>
      <w:bookmarkStart w:id="658" w:name="_Toc474639074"/>
      <w:r w:rsidRPr="00924255">
        <w:lastRenderedPageBreak/>
        <w:t xml:space="preserve">Table </w:t>
      </w:r>
      <w:r w:rsidR="00A44CBF">
        <w:t>9.</w:t>
      </w:r>
      <w:r w:rsidR="00C463E5">
        <w:t>8</w:t>
      </w:r>
      <w:r w:rsidRPr="00924255">
        <w:t>: Passenger Service Routes</w:t>
      </w:r>
      <w:bookmarkEnd w:id="6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5"/>
        <w:gridCol w:w="7341"/>
      </w:tblGrid>
      <w:tr w:rsidR="007F2F9C" w:rsidRPr="00E12250" w:rsidTr="00E12250">
        <w:trPr>
          <w:trHeight w:val="288"/>
          <w:jc w:val="center"/>
        </w:trPr>
        <w:tc>
          <w:tcPr>
            <w:tcW w:w="1167" w:type="pct"/>
          </w:tcPr>
          <w:p w:rsidR="007F2F9C" w:rsidRPr="00E12250" w:rsidRDefault="007F2F9C" w:rsidP="00E12250">
            <w:pPr>
              <w:spacing w:after="0" w:line="276" w:lineRule="auto"/>
              <w:rPr>
                <w:rFonts w:cs="Times New Roman"/>
                <w:b/>
                <w:bCs/>
                <w:sz w:val="22"/>
                <w:szCs w:val="24"/>
              </w:rPr>
            </w:pPr>
            <w:r w:rsidRPr="00E12250">
              <w:rPr>
                <w:rFonts w:cs="Times New Roman"/>
                <w:b/>
                <w:bCs/>
                <w:sz w:val="22"/>
                <w:szCs w:val="24"/>
              </w:rPr>
              <w:t>Inland</w:t>
            </w:r>
          </w:p>
        </w:tc>
        <w:tc>
          <w:tcPr>
            <w:tcW w:w="3833" w:type="pct"/>
            <w:tcBorders>
              <w:bottom w:val="single" w:sz="4" w:space="0" w:color="auto"/>
            </w:tcBorders>
          </w:tcPr>
          <w:p w:rsidR="007F2F9C" w:rsidRPr="00144A5B" w:rsidRDefault="007F2F9C" w:rsidP="00E12250">
            <w:pPr>
              <w:spacing w:after="0" w:line="276" w:lineRule="auto"/>
              <w:rPr>
                <w:rFonts w:cs="Times New Roman"/>
                <w:sz w:val="22"/>
              </w:rPr>
            </w:pPr>
            <w:r w:rsidRPr="00144A5B">
              <w:rPr>
                <w:rFonts w:cs="Times New Roman"/>
                <w:sz w:val="22"/>
              </w:rPr>
              <w:t>i. Dhaka-Barisal-Morolganj-Khulna Rocket Service</w:t>
            </w:r>
          </w:p>
        </w:tc>
      </w:tr>
      <w:tr w:rsidR="007F2F9C" w:rsidRPr="00E12250" w:rsidTr="00E12250">
        <w:trPr>
          <w:trHeight w:val="288"/>
          <w:jc w:val="center"/>
        </w:trPr>
        <w:tc>
          <w:tcPr>
            <w:tcW w:w="1167" w:type="pct"/>
          </w:tcPr>
          <w:p w:rsidR="007F2F9C" w:rsidRPr="00E12250" w:rsidRDefault="007F2F9C" w:rsidP="00E12250">
            <w:pPr>
              <w:spacing w:after="0" w:line="276" w:lineRule="auto"/>
              <w:rPr>
                <w:rFonts w:cs="Times New Roman"/>
                <w:b/>
                <w:bCs/>
                <w:sz w:val="22"/>
                <w:szCs w:val="24"/>
              </w:rPr>
            </w:pPr>
          </w:p>
          <w:p w:rsidR="007F2F9C" w:rsidRPr="00E12250" w:rsidRDefault="007F2F9C" w:rsidP="00E12250">
            <w:pPr>
              <w:spacing w:after="0" w:line="276" w:lineRule="auto"/>
              <w:rPr>
                <w:rFonts w:cs="Times New Roman"/>
                <w:b/>
                <w:bCs/>
                <w:sz w:val="22"/>
                <w:szCs w:val="24"/>
              </w:rPr>
            </w:pPr>
          </w:p>
          <w:p w:rsidR="007F2F9C" w:rsidRPr="00E12250" w:rsidRDefault="007F2F9C" w:rsidP="00E12250">
            <w:pPr>
              <w:spacing w:after="0" w:line="276" w:lineRule="auto"/>
              <w:rPr>
                <w:rFonts w:cs="Times New Roman"/>
                <w:b/>
                <w:bCs/>
                <w:sz w:val="22"/>
                <w:szCs w:val="24"/>
              </w:rPr>
            </w:pPr>
          </w:p>
          <w:p w:rsidR="007F2F9C" w:rsidRPr="00E12250" w:rsidRDefault="007F2F9C" w:rsidP="00E12250">
            <w:pPr>
              <w:spacing w:after="0" w:line="276" w:lineRule="auto"/>
              <w:rPr>
                <w:rFonts w:cs="Times New Roman"/>
                <w:b/>
                <w:bCs/>
                <w:sz w:val="22"/>
                <w:szCs w:val="24"/>
              </w:rPr>
            </w:pPr>
          </w:p>
          <w:p w:rsidR="007F2F9C" w:rsidRPr="00E12250" w:rsidRDefault="007F2F9C" w:rsidP="00E12250">
            <w:pPr>
              <w:spacing w:after="0" w:line="276" w:lineRule="auto"/>
              <w:rPr>
                <w:rFonts w:cs="Times New Roman"/>
                <w:b/>
                <w:bCs/>
                <w:sz w:val="22"/>
                <w:szCs w:val="24"/>
              </w:rPr>
            </w:pPr>
          </w:p>
          <w:p w:rsidR="007F2F9C" w:rsidRPr="00E12250" w:rsidRDefault="007F2F9C" w:rsidP="00E12250">
            <w:pPr>
              <w:spacing w:after="0" w:line="276" w:lineRule="auto"/>
              <w:rPr>
                <w:rFonts w:cs="Times New Roman"/>
                <w:b/>
                <w:bCs/>
                <w:sz w:val="22"/>
                <w:szCs w:val="24"/>
              </w:rPr>
            </w:pPr>
            <w:r w:rsidRPr="00E12250">
              <w:rPr>
                <w:rFonts w:cs="Times New Roman"/>
                <w:b/>
                <w:bCs/>
                <w:sz w:val="22"/>
                <w:szCs w:val="24"/>
              </w:rPr>
              <w:t>Coastal</w:t>
            </w:r>
          </w:p>
        </w:tc>
        <w:tc>
          <w:tcPr>
            <w:tcW w:w="3833" w:type="pct"/>
            <w:tcBorders>
              <w:top w:val="single" w:sz="4" w:space="0" w:color="auto"/>
            </w:tcBorders>
          </w:tcPr>
          <w:p w:rsidR="007F2F9C" w:rsidRPr="00144A5B" w:rsidRDefault="007F2F9C" w:rsidP="00E12250">
            <w:pPr>
              <w:spacing w:after="0" w:line="276" w:lineRule="auto"/>
              <w:rPr>
                <w:rFonts w:cs="Times New Roman"/>
                <w:sz w:val="22"/>
              </w:rPr>
            </w:pPr>
            <w:r w:rsidRPr="00144A5B">
              <w:rPr>
                <w:rFonts w:cs="Times New Roman"/>
                <w:sz w:val="22"/>
              </w:rPr>
              <w:t xml:space="preserve">ii. Chittagong-Barisal Steamer Service </w:t>
            </w:r>
          </w:p>
          <w:p w:rsidR="007F2F9C" w:rsidRPr="00144A5B" w:rsidRDefault="007F2F9C" w:rsidP="00E12250">
            <w:pPr>
              <w:spacing w:after="0" w:line="276" w:lineRule="auto"/>
              <w:rPr>
                <w:rFonts w:cs="Times New Roman"/>
                <w:sz w:val="22"/>
              </w:rPr>
            </w:pPr>
            <w:r w:rsidRPr="00144A5B">
              <w:rPr>
                <w:rFonts w:cs="Times New Roman"/>
                <w:sz w:val="22"/>
              </w:rPr>
              <w:t xml:space="preserve">iii. Chittagong-Hatiya Steamer Service </w:t>
            </w:r>
          </w:p>
          <w:p w:rsidR="007F2F9C" w:rsidRPr="00144A5B" w:rsidRDefault="007F2F9C" w:rsidP="00E12250">
            <w:pPr>
              <w:spacing w:after="0" w:line="276" w:lineRule="auto"/>
              <w:rPr>
                <w:rFonts w:cs="Times New Roman"/>
                <w:sz w:val="22"/>
              </w:rPr>
            </w:pPr>
            <w:r w:rsidRPr="00144A5B">
              <w:rPr>
                <w:rFonts w:cs="Times New Roman"/>
                <w:sz w:val="22"/>
              </w:rPr>
              <w:t xml:space="preserve">iv. Kumira-Guptachara LCT Serivce </w:t>
            </w:r>
          </w:p>
          <w:p w:rsidR="007F2F9C" w:rsidRPr="00144A5B" w:rsidRDefault="007F2F9C" w:rsidP="00E12250">
            <w:pPr>
              <w:spacing w:after="0" w:line="276" w:lineRule="auto"/>
              <w:rPr>
                <w:rFonts w:cs="Times New Roman"/>
                <w:sz w:val="22"/>
              </w:rPr>
            </w:pPr>
            <w:r w:rsidRPr="00144A5B">
              <w:rPr>
                <w:rFonts w:cs="Times New Roman"/>
                <w:sz w:val="22"/>
              </w:rPr>
              <w:t xml:space="preserve">v. Hatiya-Char Bata Sea-truck Service </w:t>
            </w:r>
          </w:p>
          <w:p w:rsidR="007F2F9C" w:rsidRPr="00144A5B" w:rsidRDefault="007F2F9C" w:rsidP="00E12250">
            <w:pPr>
              <w:spacing w:after="0" w:line="276" w:lineRule="auto"/>
              <w:rPr>
                <w:rFonts w:cs="Times New Roman"/>
                <w:sz w:val="22"/>
              </w:rPr>
            </w:pPr>
            <w:r w:rsidRPr="00144A5B">
              <w:rPr>
                <w:rFonts w:cs="Times New Roman"/>
                <w:sz w:val="22"/>
              </w:rPr>
              <w:t xml:space="preserve">vi. Char Changa-Char Bata Sea-truck Service </w:t>
            </w:r>
          </w:p>
          <w:p w:rsidR="007F2F9C" w:rsidRPr="00144A5B" w:rsidRDefault="007F2F9C" w:rsidP="00E12250">
            <w:pPr>
              <w:spacing w:after="0" w:line="276" w:lineRule="auto"/>
              <w:rPr>
                <w:rFonts w:cs="Times New Roman"/>
                <w:sz w:val="22"/>
              </w:rPr>
            </w:pPr>
            <w:r w:rsidRPr="00144A5B">
              <w:rPr>
                <w:rFonts w:cs="Times New Roman"/>
                <w:sz w:val="22"/>
              </w:rPr>
              <w:t xml:space="preserve">vii. Manpura-Shashiganj Sea-truck Service. </w:t>
            </w:r>
          </w:p>
          <w:p w:rsidR="007F2F9C" w:rsidRPr="00144A5B" w:rsidRDefault="007F2F9C" w:rsidP="00E12250">
            <w:pPr>
              <w:spacing w:after="0" w:line="276" w:lineRule="auto"/>
              <w:rPr>
                <w:rFonts w:cs="Times New Roman"/>
                <w:sz w:val="22"/>
              </w:rPr>
            </w:pPr>
            <w:r w:rsidRPr="00144A5B">
              <w:rPr>
                <w:rFonts w:cs="Times New Roman"/>
                <w:sz w:val="22"/>
              </w:rPr>
              <w:t xml:space="preserve">viii. Barisal-Mozuchowdhuryhat Service. </w:t>
            </w:r>
          </w:p>
          <w:p w:rsidR="007F2F9C" w:rsidRPr="00144A5B" w:rsidRDefault="007F2F9C" w:rsidP="00E12250">
            <w:pPr>
              <w:spacing w:after="0" w:line="276" w:lineRule="auto"/>
              <w:rPr>
                <w:rFonts w:cs="Times New Roman"/>
                <w:sz w:val="22"/>
              </w:rPr>
            </w:pPr>
            <w:r w:rsidRPr="00144A5B">
              <w:rPr>
                <w:rFonts w:cs="Times New Roman"/>
                <w:sz w:val="22"/>
              </w:rPr>
              <w:t xml:space="preserve">ix. Bayarchar-Hatiya </w:t>
            </w:r>
          </w:p>
          <w:p w:rsidR="007F2F9C" w:rsidRPr="00144A5B" w:rsidRDefault="007F2F9C" w:rsidP="00E12250">
            <w:pPr>
              <w:spacing w:after="0" w:line="276" w:lineRule="auto"/>
              <w:rPr>
                <w:rFonts w:cs="Times New Roman"/>
                <w:sz w:val="22"/>
              </w:rPr>
            </w:pPr>
            <w:r w:rsidRPr="00144A5B">
              <w:rPr>
                <w:rFonts w:cs="Times New Roman"/>
                <w:sz w:val="22"/>
              </w:rPr>
              <w:t xml:space="preserve">x. Alexander-Mirjakalu Sea-truck Service. </w:t>
            </w:r>
          </w:p>
          <w:p w:rsidR="00ED418F" w:rsidRPr="00144A5B" w:rsidRDefault="00144A5B" w:rsidP="00E12250">
            <w:pPr>
              <w:spacing w:after="0" w:line="276" w:lineRule="auto"/>
              <w:rPr>
                <w:rFonts w:cs="Times New Roman"/>
                <w:sz w:val="22"/>
              </w:rPr>
            </w:pPr>
            <w:r w:rsidRPr="00144A5B">
              <w:rPr>
                <w:rFonts w:cs="Times New Roman"/>
                <w:sz w:val="22"/>
              </w:rPr>
              <w:t>xi. Teknaf-Saint Martin Tourist Sea-truck Service.</w:t>
            </w:r>
          </w:p>
        </w:tc>
      </w:tr>
    </w:tbl>
    <w:p w:rsidR="007F2F9C" w:rsidRPr="004F6F86" w:rsidRDefault="007F2F9C" w:rsidP="00A17BFA">
      <w:pPr>
        <w:spacing w:before="120" w:line="276" w:lineRule="auto"/>
        <w:rPr>
          <w:rFonts w:cs="Times New Roman"/>
          <w:b/>
          <w:bCs/>
          <w:i/>
          <w:iCs/>
          <w:sz w:val="20"/>
          <w:szCs w:val="20"/>
        </w:rPr>
      </w:pPr>
      <w:r w:rsidRPr="004F6F86">
        <w:rPr>
          <w:rFonts w:cs="Times New Roman"/>
          <w:b/>
          <w:bCs/>
          <w:i/>
          <w:iCs/>
          <w:sz w:val="20"/>
          <w:szCs w:val="20"/>
        </w:rPr>
        <w:t>Source: Ministry of Shipping</w:t>
      </w:r>
    </w:p>
    <w:p w:rsidR="007F2F9C" w:rsidRPr="00C1298E" w:rsidRDefault="007F2F9C" w:rsidP="00F5769F">
      <w:pPr>
        <w:spacing w:line="276" w:lineRule="auto"/>
        <w:jc w:val="both"/>
        <w:rPr>
          <w:rFonts w:cs="Times New Roman"/>
          <w:szCs w:val="24"/>
        </w:rPr>
      </w:pPr>
      <w:r w:rsidRPr="00924255">
        <w:rPr>
          <w:rFonts w:cs="Times New Roman"/>
          <w:szCs w:val="24"/>
        </w:rPr>
        <w:t xml:space="preserve">Different categories of vessels such as Coasters, Tankers and Self-propelled Barges are used to carry cargoes. Inland and Bay Crossing Barges and Tugs fall in the purview of Cargo Service Unit. The vessels of this unit carry various types of cargo in the inland and coastal water ways besides imported and exportable cargo in the two sea ports. Cargo Service Unit also engages its vessels for carrying cargo under Inter-country Trade Protocol between Kolkata in India and Bangladesh. Vessels of this unit are plying </w:t>
      </w:r>
      <w:r>
        <w:rPr>
          <w:rFonts w:cs="Times New Roman"/>
          <w:szCs w:val="24"/>
        </w:rPr>
        <w:t xml:space="preserve">in the following routes (Table </w:t>
      </w:r>
      <w:r w:rsidR="00A44CBF">
        <w:rPr>
          <w:rFonts w:cs="Times New Roman"/>
          <w:szCs w:val="24"/>
        </w:rPr>
        <w:t>9.</w:t>
      </w:r>
      <w:r w:rsidR="00C463E5">
        <w:rPr>
          <w:rFonts w:cs="Times New Roman"/>
          <w:szCs w:val="24"/>
        </w:rPr>
        <w:t>9</w:t>
      </w:r>
      <w:r>
        <w:rPr>
          <w:rFonts w:cs="Times New Roman"/>
          <w:szCs w:val="24"/>
        </w:rPr>
        <w:t xml:space="preserve">):   </w:t>
      </w:r>
    </w:p>
    <w:p w:rsidR="007F2F9C" w:rsidRPr="00924255" w:rsidRDefault="007F2F9C" w:rsidP="0036657D">
      <w:pPr>
        <w:pStyle w:val="Heading4"/>
      </w:pPr>
      <w:bookmarkStart w:id="659" w:name="_Toc474639075"/>
      <w:r>
        <w:t xml:space="preserve">Table </w:t>
      </w:r>
      <w:r w:rsidR="00A44CBF">
        <w:t>9.</w:t>
      </w:r>
      <w:r w:rsidR="00C463E5">
        <w:t>9</w:t>
      </w:r>
      <w:r w:rsidRPr="00924255">
        <w:t xml:space="preserve">: </w:t>
      </w:r>
      <w:r>
        <w:t xml:space="preserve">Major IWT </w:t>
      </w:r>
      <w:r w:rsidRPr="00924255">
        <w:t>Cargo Service Routes</w:t>
      </w:r>
      <w:bookmarkEnd w:id="659"/>
    </w:p>
    <w:tbl>
      <w:tblPr>
        <w:tblStyle w:val="LightShading10"/>
        <w:tblW w:w="5000" w:type="pct"/>
        <w:tblLook w:val="04A0"/>
      </w:tblPr>
      <w:tblGrid>
        <w:gridCol w:w="1457"/>
        <w:gridCol w:w="8119"/>
      </w:tblGrid>
      <w:tr w:rsidR="007F2F9C" w:rsidRPr="004D0CD9" w:rsidTr="004D0CD9">
        <w:trPr>
          <w:cnfStyle w:val="100000000000"/>
          <w:trHeight w:hRule="exact" w:val="288"/>
        </w:trPr>
        <w:tc>
          <w:tcPr>
            <w:cnfStyle w:val="001000000000"/>
            <w:tcW w:w="761" w:type="pct"/>
          </w:tcPr>
          <w:p w:rsidR="007F2F9C" w:rsidRPr="00D10C92" w:rsidRDefault="007F2F9C" w:rsidP="00005EAC">
            <w:pPr>
              <w:spacing w:after="120"/>
              <w:rPr>
                <w:rFonts w:ascii="Times New Roman" w:hAnsi="Times New Roman"/>
                <w:bCs w:val="0"/>
                <w:sz w:val="22"/>
                <w:szCs w:val="24"/>
              </w:rPr>
            </w:pPr>
            <w:r w:rsidRPr="00D10C92">
              <w:rPr>
                <w:rFonts w:ascii="Times New Roman" w:hAnsi="Times New Roman"/>
                <w:bCs w:val="0"/>
                <w:sz w:val="22"/>
                <w:szCs w:val="24"/>
              </w:rPr>
              <w:t>Serial No.</w:t>
            </w:r>
          </w:p>
        </w:tc>
        <w:tc>
          <w:tcPr>
            <w:tcW w:w="4239" w:type="pct"/>
          </w:tcPr>
          <w:p w:rsidR="007F2F9C" w:rsidRPr="00D10C92" w:rsidRDefault="007F2F9C" w:rsidP="00005EAC">
            <w:pPr>
              <w:spacing w:after="120"/>
              <w:cnfStyle w:val="100000000000"/>
              <w:rPr>
                <w:rFonts w:ascii="Times New Roman" w:hAnsi="Times New Roman"/>
                <w:bCs w:val="0"/>
                <w:sz w:val="22"/>
                <w:szCs w:val="24"/>
              </w:rPr>
            </w:pPr>
            <w:r w:rsidRPr="00D10C92">
              <w:rPr>
                <w:rFonts w:ascii="Times New Roman" w:hAnsi="Times New Roman"/>
                <w:bCs w:val="0"/>
                <w:sz w:val="22"/>
                <w:szCs w:val="24"/>
              </w:rPr>
              <w:t>Destination Routing</w:t>
            </w:r>
          </w:p>
        </w:tc>
      </w:tr>
      <w:tr w:rsidR="007F2F9C" w:rsidRPr="004D0CD9" w:rsidTr="004D0CD9">
        <w:trPr>
          <w:cnfStyle w:val="000000100000"/>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1.</w:t>
            </w:r>
          </w:p>
        </w:tc>
        <w:tc>
          <w:tcPr>
            <w:tcW w:w="4239" w:type="pct"/>
          </w:tcPr>
          <w:p w:rsidR="007F2F9C" w:rsidRPr="004D0CD9" w:rsidRDefault="007F2F9C" w:rsidP="00005EAC">
            <w:pPr>
              <w:spacing w:after="120" w:line="240" w:lineRule="auto"/>
              <w:cnfStyle w:val="000000100000"/>
              <w:rPr>
                <w:rFonts w:ascii="Times New Roman" w:hAnsi="Times New Roman"/>
                <w:sz w:val="22"/>
                <w:szCs w:val="24"/>
              </w:rPr>
            </w:pPr>
            <w:r w:rsidRPr="004D0CD9">
              <w:rPr>
                <w:rFonts w:ascii="Times New Roman" w:hAnsi="Times New Roman"/>
                <w:sz w:val="22"/>
                <w:szCs w:val="24"/>
              </w:rPr>
              <w:t xml:space="preserve">Chittagong - Dhaka </w:t>
            </w:r>
          </w:p>
        </w:tc>
      </w:tr>
      <w:tr w:rsidR="007F2F9C" w:rsidRPr="004D0CD9" w:rsidTr="004D0CD9">
        <w:trPr>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2.</w:t>
            </w:r>
          </w:p>
        </w:tc>
        <w:tc>
          <w:tcPr>
            <w:tcW w:w="4239" w:type="pct"/>
          </w:tcPr>
          <w:p w:rsidR="007F2F9C" w:rsidRPr="004D0CD9" w:rsidRDefault="007F2F9C" w:rsidP="00005EAC">
            <w:pPr>
              <w:spacing w:after="120" w:line="240" w:lineRule="auto"/>
              <w:cnfStyle w:val="000000000000"/>
              <w:rPr>
                <w:rFonts w:ascii="Times New Roman" w:hAnsi="Times New Roman"/>
                <w:sz w:val="22"/>
                <w:szCs w:val="24"/>
              </w:rPr>
            </w:pPr>
            <w:r w:rsidRPr="004D0CD9">
              <w:rPr>
                <w:rFonts w:ascii="Times New Roman" w:hAnsi="Times New Roman"/>
                <w:sz w:val="22"/>
                <w:szCs w:val="24"/>
              </w:rPr>
              <w:t xml:space="preserve">Chittagong - Narayanganj </w:t>
            </w:r>
          </w:p>
        </w:tc>
      </w:tr>
      <w:tr w:rsidR="007F2F9C" w:rsidRPr="004D0CD9" w:rsidTr="004D0CD9">
        <w:trPr>
          <w:cnfStyle w:val="000000100000"/>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3.</w:t>
            </w:r>
          </w:p>
        </w:tc>
        <w:tc>
          <w:tcPr>
            <w:tcW w:w="4239" w:type="pct"/>
          </w:tcPr>
          <w:p w:rsidR="007F2F9C" w:rsidRPr="004D0CD9" w:rsidRDefault="007F2F9C" w:rsidP="00005EAC">
            <w:pPr>
              <w:spacing w:after="120" w:line="240" w:lineRule="auto"/>
              <w:cnfStyle w:val="000000100000"/>
              <w:rPr>
                <w:rFonts w:ascii="Times New Roman" w:hAnsi="Times New Roman"/>
                <w:sz w:val="22"/>
                <w:szCs w:val="24"/>
              </w:rPr>
            </w:pPr>
            <w:r w:rsidRPr="004D0CD9">
              <w:rPr>
                <w:rFonts w:ascii="Times New Roman" w:hAnsi="Times New Roman"/>
                <w:sz w:val="22"/>
                <w:szCs w:val="24"/>
              </w:rPr>
              <w:t xml:space="preserve">Chittagong  -  Mongla/Khulna </w:t>
            </w:r>
          </w:p>
        </w:tc>
      </w:tr>
      <w:tr w:rsidR="007F2F9C" w:rsidRPr="004D0CD9" w:rsidTr="004D0CD9">
        <w:trPr>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4.</w:t>
            </w:r>
          </w:p>
        </w:tc>
        <w:tc>
          <w:tcPr>
            <w:tcW w:w="4239" w:type="pct"/>
          </w:tcPr>
          <w:p w:rsidR="007F2F9C" w:rsidRPr="004D0CD9" w:rsidRDefault="007F2F9C" w:rsidP="00005EAC">
            <w:pPr>
              <w:spacing w:after="120" w:line="240" w:lineRule="auto"/>
              <w:cnfStyle w:val="000000000000"/>
              <w:rPr>
                <w:rFonts w:ascii="Times New Roman" w:hAnsi="Times New Roman"/>
                <w:sz w:val="22"/>
                <w:szCs w:val="24"/>
              </w:rPr>
            </w:pPr>
            <w:r w:rsidRPr="004D0CD9">
              <w:rPr>
                <w:rFonts w:ascii="Times New Roman" w:hAnsi="Times New Roman"/>
                <w:sz w:val="22"/>
                <w:szCs w:val="24"/>
              </w:rPr>
              <w:t xml:space="preserve"> Dhaka  -  Mongla </w:t>
            </w:r>
          </w:p>
        </w:tc>
      </w:tr>
      <w:tr w:rsidR="007F2F9C" w:rsidRPr="004D0CD9" w:rsidTr="004D0CD9">
        <w:trPr>
          <w:cnfStyle w:val="000000100000"/>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5.</w:t>
            </w:r>
          </w:p>
        </w:tc>
        <w:tc>
          <w:tcPr>
            <w:tcW w:w="4239" w:type="pct"/>
          </w:tcPr>
          <w:p w:rsidR="007F2F9C" w:rsidRPr="004D0CD9" w:rsidRDefault="007F2F9C" w:rsidP="00005EAC">
            <w:pPr>
              <w:spacing w:after="120" w:line="240" w:lineRule="auto"/>
              <w:cnfStyle w:val="000000100000"/>
              <w:rPr>
                <w:rFonts w:ascii="Times New Roman" w:hAnsi="Times New Roman"/>
                <w:sz w:val="22"/>
                <w:szCs w:val="24"/>
              </w:rPr>
            </w:pPr>
            <w:r w:rsidRPr="004D0CD9">
              <w:rPr>
                <w:rFonts w:ascii="Times New Roman" w:hAnsi="Times New Roman"/>
                <w:sz w:val="22"/>
                <w:szCs w:val="24"/>
              </w:rPr>
              <w:t>Narayanganj  -  Mongla</w:t>
            </w:r>
          </w:p>
        </w:tc>
      </w:tr>
      <w:tr w:rsidR="007F2F9C" w:rsidRPr="004D0CD9" w:rsidTr="004D0CD9">
        <w:trPr>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6.</w:t>
            </w:r>
          </w:p>
        </w:tc>
        <w:tc>
          <w:tcPr>
            <w:tcW w:w="4239" w:type="pct"/>
          </w:tcPr>
          <w:p w:rsidR="007F2F9C" w:rsidRPr="004D0CD9" w:rsidRDefault="007F2F9C" w:rsidP="00005EAC">
            <w:pPr>
              <w:spacing w:after="120" w:line="240" w:lineRule="auto"/>
              <w:cnfStyle w:val="000000000000"/>
              <w:rPr>
                <w:rFonts w:ascii="Times New Roman" w:hAnsi="Times New Roman"/>
                <w:sz w:val="22"/>
                <w:szCs w:val="24"/>
              </w:rPr>
            </w:pPr>
            <w:r w:rsidRPr="004D0CD9">
              <w:rPr>
                <w:rFonts w:ascii="Times New Roman" w:hAnsi="Times New Roman"/>
                <w:sz w:val="22"/>
                <w:szCs w:val="24"/>
              </w:rPr>
              <w:t xml:space="preserve">Narayanganj  -  Ashuganj </w:t>
            </w:r>
          </w:p>
        </w:tc>
      </w:tr>
      <w:tr w:rsidR="007F2F9C" w:rsidRPr="004D0CD9" w:rsidTr="004D0CD9">
        <w:trPr>
          <w:cnfStyle w:val="000000100000"/>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7.</w:t>
            </w:r>
          </w:p>
        </w:tc>
        <w:tc>
          <w:tcPr>
            <w:tcW w:w="4239" w:type="pct"/>
          </w:tcPr>
          <w:p w:rsidR="007F2F9C" w:rsidRPr="004D0CD9" w:rsidRDefault="007F2F9C" w:rsidP="00005EAC">
            <w:pPr>
              <w:spacing w:after="120" w:line="240" w:lineRule="auto"/>
              <w:cnfStyle w:val="000000100000"/>
              <w:rPr>
                <w:rFonts w:ascii="Times New Roman" w:hAnsi="Times New Roman"/>
                <w:sz w:val="22"/>
                <w:szCs w:val="24"/>
              </w:rPr>
            </w:pPr>
            <w:r w:rsidRPr="004D0CD9">
              <w:rPr>
                <w:rFonts w:ascii="Times New Roman" w:hAnsi="Times New Roman"/>
                <w:sz w:val="22"/>
                <w:szCs w:val="24"/>
              </w:rPr>
              <w:t xml:space="preserve">Khulna  -  Mongla </w:t>
            </w:r>
          </w:p>
        </w:tc>
      </w:tr>
      <w:tr w:rsidR="007F2F9C" w:rsidRPr="004D0CD9" w:rsidTr="004D0CD9">
        <w:trPr>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8.</w:t>
            </w:r>
          </w:p>
        </w:tc>
        <w:tc>
          <w:tcPr>
            <w:tcW w:w="4239" w:type="pct"/>
          </w:tcPr>
          <w:p w:rsidR="007F2F9C" w:rsidRPr="004D0CD9" w:rsidRDefault="007F2F9C" w:rsidP="00005EAC">
            <w:pPr>
              <w:spacing w:after="120" w:line="240" w:lineRule="auto"/>
              <w:cnfStyle w:val="000000000000"/>
              <w:rPr>
                <w:rFonts w:ascii="Times New Roman" w:hAnsi="Times New Roman"/>
                <w:sz w:val="22"/>
                <w:szCs w:val="24"/>
              </w:rPr>
            </w:pPr>
            <w:r w:rsidRPr="004D0CD9">
              <w:rPr>
                <w:rFonts w:ascii="Times New Roman" w:hAnsi="Times New Roman"/>
                <w:sz w:val="22"/>
                <w:szCs w:val="24"/>
              </w:rPr>
              <w:t xml:space="preserve">Narayanganj  -  Kolkata (India) </w:t>
            </w:r>
          </w:p>
        </w:tc>
      </w:tr>
      <w:tr w:rsidR="007F2F9C" w:rsidRPr="004D0CD9" w:rsidTr="004D0CD9">
        <w:trPr>
          <w:cnfStyle w:val="000000100000"/>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9.</w:t>
            </w:r>
          </w:p>
        </w:tc>
        <w:tc>
          <w:tcPr>
            <w:tcW w:w="4239" w:type="pct"/>
          </w:tcPr>
          <w:p w:rsidR="007F2F9C" w:rsidRPr="004D0CD9" w:rsidRDefault="007F2F9C" w:rsidP="00005EAC">
            <w:pPr>
              <w:spacing w:after="120" w:line="240" w:lineRule="auto"/>
              <w:cnfStyle w:val="000000100000"/>
              <w:rPr>
                <w:rFonts w:ascii="Times New Roman" w:hAnsi="Times New Roman"/>
                <w:sz w:val="22"/>
                <w:szCs w:val="24"/>
              </w:rPr>
            </w:pPr>
            <w:r w:rsidRPr="004D0CD9">
              <w:rPr>
                <w:rFonts w:ascii="Times New Roman" w:hAnsi="Times New Roman"/>
                <w:sz w:val="22"/>
                <w:szCs w:val="24"/>
              </w:rPr>
              <w:t xml:space="preserve">Khulna  -  Kolkata (India) </w:t>
            </w:r>
          </w:p>
        </w:tc>
      </w:tr>
      <w:tr w:rsidR="007F2F9C" w:rsidRPr="004D0CD9" w:rsidTr="004D0CD9">
        <w:trPr>
          <w:trHeight w:hRule="exact" w:val="288"/>
        </w:trPr>
        <w:tc>
          <w:tcPr>
            <w:cnfStyle w:val="001000000000"/>
            <w:tcW w:w="761" w:type="pct"/>
          </w:tcPr>
          <w:p w:rsidR="007F2F9C" w:rsidRPr="004D0CD9" w:rsidRDefault="007F2F9C" w:rsidP="00005EAC">
            <w:pPr>
              <w:spacing w:after="120" w:line="240" w:lineRule="auto"/>
              <w:rPr>
                <w:rFonts w:ascii="Times New Roman" w:hAnsi="Times New Roman"/>
                <w:sz w:val="22"/>
                <w:szCs w:val="24"/>
              </w:rPr>
            </w:pPr>
            <w:r w:rsidRPr="004D0CD9">
              <w:rPr>
                <w:rFonts w:ascii="Times New Roman" w:hAnsi="Times New Roman"/>
                <w:sz w:val="22"/>
                <w:szCs w:val="24"/>
              </w:rPr>
              <w:t>10.</w:t>
            </w:r>
          </w:p>
        </w:tc>
        <w:tc>
          <w:tcPr>
            <w:tcW w:w="4239" w:type="pct"/>
          </w:tcPr>
          <w:p w:rsidR="007F2F9C" w:rsidRPr="004D0CD9" w:rsidRDefault="007F2F9C" w:rsidP="00005EAC">
            <w:pPr>
              <w:spacing w:after="120" w:line="240" w:lineRule="auto"/>
              <w:cnfStyle w:val="000000000000"/>
              <w:rPr>
                <w:rFonts w:ascii="Times New Roman" w:hAnsi="Times New Roman"/>
                <w:sz w:val="22"/>
                <w:szCs w:val="24"/>
              </w:rPr>
            </w:pPr>
            <w:r w:rsidRPr="004D0CD9">
              <w:rPr>
                <w:rFonts w:ascii="Times New Roman" w:hAnsi="Times New Roman"/>
                <w:sz w:val="22"/>
                <w:szCs w:val="24"/>
              </w:rPr>
              <w:t>Rajshahi   -  Dhulian (India)</w:t>
            </w:r>
          </w:p>
        </w:tc>
      </w:tr>
    </w:tbl>
    <w:p w:rsidR="007F2F9C" w:rsidRPr="004F6F86" w:rsidRDefault="007F2F9C" w:rsidP="00A17BFA">
      <w:pPr>
        <w:spacing w:before="120" w:line="276" w:lineRule="auto"/>
        <w:rPr>
          <w:rFonts w:cs="Times New Roman"/>
          <w:b/>
          <w:bCs/>
          <w:i/>
          <w:iCs/>
          <w:sz w:val="20"/>
          <w:szCs w:val="20"/>
        </w:rPr>
      </w:pPr>
      <w:r w:rsidRPr="004F6F86">
        <w:rPr>
          <w:rFonts w:cs="Times New Roman"/>
          <w:b/>
          <w:bCs/>
          <w:i/>
          <w:iCs/>
          <w:sz w:val="20"/>
          <w:szCs w:val="20"/>
        </w:rPr>
        <w:t>Source: Ministry of Shipping</w:t>
      </w:r>
    </w:p>
    <w:p w:rsidR="007F2F9C" w:rsidRDefault="007F2F9C" w:rsidP="00F5769F">
      <w:pPr>
        <w:spacing w:line="276" w:lineRule="auto"/>
        <w:jc w:val="both"/>
        <w:rPr>
          <w:rFonts w:cs="Times New Roman"/>
          <w:szCs w:val="24"/>
        </w:rPr>
      </w:pPr>
      <w:r w:rsidRPr="00924255">
        <w:rPr>
          <w:rFonts w:cs="Times New Roman"/>
          <w:szCs w:val="24"/>
        </w:rPr>
        <w:t>Over the years with the growth of private sector in inland shipping</w:t>
      </w:r>
      <w:r>
        <w:rPr>
          <w:rFonts w:cs="Times New Roman"/>
          <w:szCs w:val="24"/>
        </w:rPr>
        <w:t xml:space="preserve">, the </w:t>
      </w:r>
      <w:r w:rsidRPr="00924255">
        <w:rPr>
          <w:rFonts w:cs="Times New Roman"/>
          <w:szCs w:val="24"/>
        </w:rPr>
        <w:t>main activities of BIWTC are concentrated in providing ferry services in major river crossings and passenger services in southern region and the coastal area. BIWTC provides ferry services (day and night) in the following routes to connect Northern and Southern regions with the Eastern region of the country by bri</w:t>
      </w:r>
      <w:r>
        <w:rPr>
          <w:rFonts w:cs="Times New Roman"/>
          <w:szCs w:val="24"/>
        </w:rPr>
        <w:t xml:space="preserve">dging the road gaps (See Table </w:t>
      </w:r>
      <w:r w:rsidR="00A44CBF">
        <w:rPr>
          <w:rFonts w:cs="Times New Roman"/>
          <w:szCs w:val="24"/>
        </w:rPr>
        <w:t>9.</w:t>
      </w:r>
      <w:r>
        <w:rPr>
          <w:rFonts w:cs="Times New Roman"/>
          <w:szCs w:val="24"/>
        </w:rPr>
        <w:t>1</w:t>
      </w:r>
      <w:r w:rsidR="00644ED8">
        <w:rPr>
          <w:rFonts w:cs="Times New Roman"/>
          <w:szCs w:val="24"/>
        </w:rPr>
        <w:t>0</w:t>
      </w:r>
      <w:r w:rsidRPr="00924255">
        <w:rPr>
          <w:rFonts w:cs="Times New Roman"/>
          <w:szCs w:val="24"/>
        </w:rPr>
        <w:t>)</w:t>
      </w:r>
      <w:r>
        <w:rPr>
          <w:rFonts w:cs="Times New Roman"/>
          <w:szCs w:val="24"/>
        </w:rPr>
        <w:t>.</w:t>
      </w:r>
    </w:p>
    <w:p w:rsidR="008C008D" w:rsidRDefault="008C008D">
      <w:pPr>
        <w:rPr>
          <w:rFonts w:cs="Times New Roman"/>
          <w:b/>
          <w:bCs/>
          <w:szCs w:val="24"/>
        </w:rPr>
      </w:pPr>
      <w:r>
        <w:br w:type="page"/>
      </w:r>
    </w:p>
    <w:p w:rsidR="007F2F9C" w:rsidRPr="00924255" w:rsidRDefault="007F2F9C" w:rsidP="0036657D">
      <w:pPr>
        <w:pStyle w:val="Heading4"/>
      </w:pPr>
      <w:bookmarkStart w:id="660" w:name="_Toc474639076"/>
      <w:r>
        <w:lastRenderedPageBreak/>
        <w:t xml:space="preserve">Table </w:t>
      </w:r>
      <w:r w:rsidR="00A44CBF">
        <w:t>9.</w:t>
      </w:r>
      <w:r>
        <w:t>1</w:t>
      </w:r>
      <w:r w:rsidR="00644ED8">
        <w:t>0</w:t>
      </w:r>
      <w:r w:rsidRPr="00924255">
        <w:t>: Ferry Services Routes</w:t>
      </w:r>
      <w:bookmarkEnd w:id="660"/>
    </w:p>
    <w:tbl>
      <w:tblPr>
        <w:tblStyle w:val="LightShading10"/>
        <w:tblW w:w="5000" w:type="pct"/>
        <w:tblLook w:val="04A0"/>
      </w:tblPr>
      <w:tblGrid>
        <w:gridCol w:w="1615"/>
        <w:gridCol w:w="2503"/>
        <w:gridCol w:w="3181"/>
        <w:gridCol w:w="2277"/>
      </w:tblGrid>
      <w:tr w:rsidR="007F2F9C" w:rsidRPr="004D0CD9" w:rsidTr="004D0CD9">
        <w:trPr>
          <w:cnfStyle w:val="100000000000"/>
          <w:trHeight w:val="259"/>
        </w:trPr>
        <w:tc>
          <w:tcPr>
            <w:cnfStyle w:val="001000000000"/>
            <w:tcW w:w="843" w:type="pct"/>
            <w:noWrap/>
            <w:hideMark/>
          </w:tcPr>
          <w:p w:rsidR="007F2F9C" w:rsidRPr="00D10C92" w:rsidRDefault="007F2F9C" w:rsidP="00F5769F">
            <w:pPr>
              <w:spacing w:line="276" w:lineRule="auto"/>
              <w:jc w:val="center"/>
              <w:rPr>
                <w:rFonts w:ascii="Times New Roman" w:eastAsia="Times New Roman" w:hAnsi="Times New Roman"/>
                <w:sz w:val="22"/>
              </w:rPr>
            </w:pPr>
            <w:r w:rsidRPr="00D10C92">
              <w:rPr>
                <w:rFonts w:ascii="Times New Roman" w:eastAsia="Times New Roman" w:hAnsi="Times New Roman"/>
                <w:sz w:val="22"/>
              </w:rPr>
              <w:t>Sl. No.</w:t>
            </w:r>
          </w:p>
        </w:tc>
        <w:tc>
          <w:tcPr>
            <w:tcW w:w="2967" w:type="pct"/>
            <w:gridSpan w:val="2"/>
            <w:noWrap/>
            <w:hideMark/>
          </w:tcPr>
          <w:p w:rsidR="007F2F9C" w:rsidRPr="00D10C92" w:rsidRDefault="007F2F9C" w:rsidP="00F5769F">
            <w:pPr>
              <w:spacing w:line="276" w:lineRule="auto"/>
              <w:jc w:val="center"/>
              <w:cnfStyle w:val="100000000000"/>
              <w:rPr>
                <w:rFonts w:ascii="Times New Roman" w:eastAsia="Times New Roman" w:hAnsi="Times New Roman"/>
                <w:sz w:val="22"/>
              </w:rPr>
            </w:pPr>
            <w:r w:rsidRPr="00D10C92">
              <w:rPr>
                <w:rFonts w:ascii="Times New Roman" w:eastAsia="Times New Roman" w:hAnsi="Times New Roman"/>
                <w:sz w:val="22"/>
              </w:rPr>
              <w:t>Name of Routes/Services</w:t>
            </w:r>
          </w:p>
        </w:tc>
        <w:tc>
          <w:tcPr>
            <w:tcW w:w="1189" w:type="pct"/>
            <w:noWrap/>
            <w:hideMark/>
          </w:tcPr>
          <w:p w:rsidR="007F2F9C" w:rsidRPr="00D10C92" w:rsidRDefault="007F2F9C" w:rsidP="00F5769F">
            <w:pPr>
              <w:spacing w:line="276" w:lineRule="auto"/>
              <w:jc w:val="center"/>
              <w:cnfStyle w:val="100000000000"/>
              <w:rPr>
                <w:rFonts w:ascii="Times New Roman" w:eastAsia="Times New Roman" w:hAnsi="Times New Roman"/>
                <w:sz w:val="22"/>
              </w:rPr>
            </w:pPr>
            <w:r w:rsidRPr="00D10C92">
              <w:rPr>
                <w:rFonts w:ascii="Times New Roman" w:eastAsia="Times New Roman" w:hAnsi="Times New Roman"/>
                <w:sz w:val="22"/>
              </w:rPr>
              <w:t>Distance</w:t>
            </w:r>
          </w:p>
        </w:tc>
      </w:tr>
      <w:tr w:rsidR="007F2F9C" w:rsidRPr="004D0CD9" w:rsidTr="004D0CD9">
        <w:trPr>
          <w:cnfStyle w:val="000000100000"/>
          <w:trHeight w:val="259"/>
        </w:trPr>
        <w:tc>
          <w:tcPr>
            <w:cnfStyle w:val="001000000000"/>
            <w:tcW w:w="843" w:type="pct"/>
            <w:noWrap/>
            <w:hideMark/>
          </w:tcPr>
          <w:p w:rsidR="007F2F9C" w:rsidRPr="004D0CD9" w:rsidRDefault="007F2F9C" w:rsidP="00F5769F">
            <w:pPr>
              <w:spacing w:after="0" w:line="276" w:lineRule="auto"/>
              <w:jc w:val="center"/>
              <w:rPr>
                <w:rFonts w:ascii="Times New Roman" w:eastAsia="Times New Roman" w:hAnsi="Times New Roman"/>
                <w:sz w:val="22"/>
              </w:rPr>
            </w:pPr>
            <w:r w:rsidRPr="004D0CD9">
              <w:rPr>
                <w:rFonts w:ascii="Times New Roman" w:eastAsia="Times New Roman" w:hAnsi="Times New Roman"/>
                <w:sz w:val="22"/>
              </w:rPr>
              <w:t>1</w:t>
            </w:r>
          </w:p>
        </w:tc>
        <w:tc>
          <w:tcPr>
            <w:tcW w:w="1307" w:type="pct"/>
            <w:noWrap/>
            <w:hideMark/>
          </w:tcPr>
          <w:p w:rsidR="007F2F9C" w:rsidRPr="004D0CD9" w:rsidRDefault="007F2F9C" w:rsidP="00F5769F">
            <w:pPr>
              <w:spacing w:after="0" w:line="276" w:lineRule="auto"/>
              <w:cnfStyle w:val="000000100000"/>
              <w:rPr>
                <w:rFonts w:ascii="Times New Roman" w:eastAsia="Times New Roman" w:hAnsi="Times New Roman"/>
                <w:sz w:val="22"/>
              </w:rPr>
            </w:pPr>
            <w:r w:rsidRPr="004D0CD9">
              <w:rPr>
                <w:rFonts w:ascii="Times New Roman" w:eastAsia="Times New Roman" w:hAnsi="Times New Roman"/>
                <w:sz w:val="22"/>
              </w:rPr>
              <w:t>Paturia</w:t>
            </w:r>
          </w:p>
        </w:tc>
        <w:tc>
          <w:tcPr>
            <w:tcW w:w="1661" w:type="pct"/>
            <w:noWrap/>
            <w:hideMark/>
          </w:tcPr>
          <w:p w:rsidR="007F2F9C" w:rsidRPr="004D0CD9" w:rsidRDefault="007F2F9C" w:rsidP="00F5769F">
            <w:pPr>
              <w:spacing w:after="0" w:line="276" w:lineRule="auto"/>
              <w:cnfStyle w:val="000000100000"/>
              <w:rPr>
                <w:rFonts w:ascii="Times New Roman" w:eastAsia="Times New Roman" w:hAnsi="Times New Roman"/>
                <w:sz w:val="22"/>
              </w:rPr>
            </w:pPr>
            <w:r w:rsidRPr="004D0CD9">
              <w:rPr>
                <w:rFonts w:ascii="Times New Roman" w:eastAsia="Times New Roman" w:hAnsi="Times New Roman"/>
                <w:sz w:val="22"/>
              </w:rPr>
              <w:t>Kazirhat</w:t>
            </w:r>
          </w:p>
        </w:tc>
        <w:tc>
          <w:tcPr>
            <w:tcW w:w="1189" w:type="pct"/>
            <w:noWrap/>
            <w:hideMark/>
          </w:tcPr>
          <w:p w:rsidR="007F2F9C" w:rsidRPr="004D0CD9" w:rsidRDefault="007F2F9C" w:rsidP="00F5769F">
            <w:pPr>
              <w:spacing w:after="0" w:line="276" w:lineRule="auto"/>
              <w:jc w:val="center"/>
              <w:cnfStyle w:val="000000100000"/>
              <w:rPr>
                <w:rFonts w:ascii="Times New Roman" w:eastAsia="Times New Roman" w:hAnsi="Times New Roman"/>
                <w:sz w:val="22"/>
              </w:rPr>
            </w:pPr>
            <w:r w:rsidRPr="004D0CD9">
              <w:rPr>
                <w:rFonts w:ascii="Times New Roman" w:eastAsia="Times New Roman" w:hAnsi="Times New Roman"/>
                <w:sz w:val="22"/>
              </w:rPr>
              <w:t>19 km</w:t>
            </w:r>
          </w:p>
        </w:tc>
      </w:tr>
      <w:tr w:rsidR="007F2F9C" w:rsidRPr="004D0CD9" w:rsidTr="004D0CD9">
        <w:trPr>
          <w:trHeight w:val="259"/>
        </w:trPr>
        <w:tc>
          <w:tcPr>
            <w:cnfStyle w:val="001000000000"/>
            <w:tcW w:w="843" w:type="pct"/>
            <w:noWrap/>
            <w:hideMark/>
          </w:tcPr>
          <w:p w:rsidR="007F2F9C" w:rsidRPr="004D0CD9" w:rsidRDefault="007F2F9C" w:rsidP="00F5769F">
            <w:pPr>
              <w:spacing w:after="0" w:line="276" w:lineRule="auto"/>
              <w:jc w:val="center"/>
              <w:rPr>
                <w:rFonts w:ascii="Times New Roman" w:eastAsia="Times New Roman" w:hAnsi="Times New Roman"/>
                <w:sz w:val="22"/>
              </w:rPr>
            </w:pPr>
            <w:r w:rsidRPr="004D0CD9">
              <w:rPr>
                <w:rFonts w:ascii="Times New Roman" w:eastAsia="Times New Roman" w:hAnsi="Times New Roman"/>
                <w:sz w:val="22"/>
              </w:rPr>
              <w:t>2</w:t>
            </w:r>
          </w:p>
        </w:tc>
        <w:tc>
          <w:tcPr>
            <w:tcW w:w="1307" w:type="pct"/>
            <w:noWrap/>
            <w:hideMark/>
          </w:tcPr>
          <w:p w:rsidR="007F2F9C" w:rsidRPr="004D0CD9" w:rsidRDefault="007F2F9C" w:rsidP="00F5769F">
            <w:pPr>
              <w:spacing w:after="0" w:line="276" w:lineRule="auto"/>
              <w:cnfStyle w:val="000000000000"/>
              <w:rPr>
                <w:rFonts w:ascii="Times New Roman" w:eastAsia="Times New Roman" w:hAnsi="Times New Roman"/>
                <w:sz w:val="22"/>
              </w:rPr>
            </w:pPr>
            <w:r w:rsidRPr="004D0CD9">
              <w:rPr>
                <w:rFonts w:ascii="Times New Roman" w:eastAsia="Times New Roman" w:hAnsi="Times New Roman"/>
                <w:sz w:val="22"/>
              </w:rPr>
              <w:t>Paturia</w:t>
            </w:r>
          </w:p>
        </w:tc>
        <w:tc>
          <w:tcPr>
            <w:tcW w:w="1661" w:type="pct"/>
            <w:noWrap/>
            <w:hideMark/>
          </w:tcPr>
          <w:p w:rsidR="007F2F9C" w:rsidRPr="004D0CD9" w:rsidRDefault="007F2F9C" w:rsidP="00F5769F">
            <w:pPr>
              <w:spacing w:after="0" w:line="276" w:lineRule="auto"/>
              <w:cnfStyle w:val="000000000000"/>
              <w:rPr>
                <w:rFonts w:ascii="Times New Roman" w:eastAsia="Times New Roman" w:hAnsi="Times New Roman"/>
                <w:sz w:val="22"/>
              </w:rPr>
            </w:pPr>
            <w:r w:rsidRPr="004D0CD9">
              <w:rPr>
                <w:rFonts w:ascii="Times New Roman" w:eastAsia="Times New Roman" w:hAnsi="Times New Roman"/>
                <w:sz w:val="22"/>
              </w:rPr>
              <w:t>Daullatdia</w:t>
            </w:r>
          </w:p>
        </w:tc>
        <w:tc>
          <w:tcPr>
            <w:tcW w:w="1189" w:type="pct"/>
            <w:noWrap/>
            <w:hideMark/>
          </w:tcPr>
          <w:p w:rsidR="007F2F9C" w:rsidRPr="004D0CD9" w:rsidRDefault="007F2F9C" w:rsidP="00F5769F">
            <w:pPr>
              <w:spacing w:after="0" w:line="276" w:lineRule="auto"/>
              <w:jc w:val="center"/>
              <w:cnfStyle w:val="000000000000"/>
              <w:rPr>
                <w:rFonts w:ascii="Times New Roman" w:eastAsia="Times New Roman" w:hAnsi="Times New Roman"/>
                <w:sz w:val="22"/>
              </w:rPr>
            </w:pPr>
            <w:r w:rsidRPr="004D0CD9">
              <w:rPr>
                <w:rFonts w:ascii="Times New Roman" w:eastAsia="Times New Roman" w:hAnsi="Times New Roman"/>
                <w:sz w:val="22"/>
              </w:rPr>
              <w:t>3 km</w:t>
            </w:r>
          </w:p>
        </w:tc>
      </w:tr>
      <w:tr w:rsidR="007F2F9C" w:rsidRPr="004D0CD9" w:rsidTr="004D0CD9">
        <w:trPr>
          <w:cnfStyle w:val="000000100000"/>
          <w:trHeight w:val="259"/>
        </w:trPr>
        <w:tc>
          <w:tcPr>
            <w:cnfStyle w:val="001000000000"/>
            <w:tcW w:w="843" w:type="pct"/>
            <w:noWrap/>
            <w:hideMark/>
          </w:tcPr>
          <w:p w:rsidR="007F2F9C" w:rsidRPr="004D0CD9" w:rsidRDefault="007F2F9C" w:rsidP="00F5769F">
            <w:pPr>
              <w:spacing w:after="0" w:line="276" w:lineRule="auto"/>
              <w:jc w:val="center"/>
              <w:rPr>
                <w:rFonts w:ascii="Times New Roman" w:eastAsia="Times New Roman" w:hAnsi="Times New Roman"/>
                <w:sz w:val="22"/>
              </w:rPr>
            </w:pPr>
            <w:r w:rsidRPr="004D0CD9">
              <w:rPr>
                <w:rFonts w:ascii="Times New Roman" w:eastAsia="Times New Roman" w:hAnsi="Times New Roman"/>
                <w:sz w:val="22"/>
              </w:rPr>
              <w:t>3</w:t>
            </w:r>
          </w:p>
        </w:tc>
        <w:tc>
          <w:tcPr>
            <w:tcW w:w="1307" w:type="pct"/>
            <w:noWrap/>
            <w:hideMark/>
          </w:tcPr>
          <w:p w:rsidR="007F2F9C" w:rsidRPr="004D0CD9" w:rsidRDefault="007F2F9C" w:rsidP="00F5769F">
            <w:pPr>
              <w:spacing w:after="0" w:line="276" w:lineRule="auto"/>
              <w:cnfStyle w:val="000000100000"/>
              <w:rPr>
                <w:rFonts w:ascii="Times New Roman" w:eastAsia="Times New Roman" w:hAnsi="Times New Roman"/>
                <w:sz w:val="22"/>
              </w:rPr>
            </w:pPr>
            <w:r w:rsidRPr="004D0CD9">
              <w:rPr>
                <w:rFonts w:ascii="Times New Roman" w:eastAsia="Times New Roman" w:hAnsi="Times New Roman"/>
                <w:sz w:val="22"/>
              </w:rPr>
              <w:t>Mawa</w:t>
            </w:r>
          </w:p>
        </w:tc>
        <w:tc>
          <w:tcPr>
            <w:tcW w:w="1661" w:type="pct"/>
            <w:noWrap/>
            <w:hideMark/>
          </w:tcPr>
          <w:p w:rsidR="007F2F9C" w:rsidRPr="004D0CD9" w:rsidRDefault="007F2F9C" w:rsidP="00F5769F">
            <w:pPr>
              <w:spacing w:after="0" w:line="276" w:lineRule="auto"/>
              <w:cnfStyle w:val="000000100000"/>
              <w:rPr>
                <w:rFonts w:ascii="Times New Roman" w:eastAsia="Times New Roman" w:hAnsi="Times New Roman"/>
                <w:sz w:val="22"/>
              </w:rPr>
            </w:pPr>
            <w:r w:rsidRPr="004D0CD9">
              <w:rPr>
                <w:rFonts w:ascii="Times New Roman" w:eastAsia="Times New Roman" w:hAnsi="Times New Roman"/>
                <w:sz w:val="22"/>
              </w:rPr>
              <w:t>Charjanajat</w:t>
            </w:r>
          </w:p>
        </w:tc>
        <w:tc>
          <w:tcPr>
            <w:tcW w:w="1189" w:type="pct"/>
            <w:noWrap/>
            <w:hideMark/>
          </w:tcPr>
          <w:p w:rsidR="007F2F9C" w:rsidRPr="004D0CD9" w:rsidRDefault="007F2F9C" w:rsidP="00F5769F">
            <w:pPr>
              <w:spacing w:after="0" w:line="276" w:lineRule="auto"/>
              <w:jc w:val="center"/>
              <w:cnfStyle w:val="000000100000"/>
              <w:rPr>
                <w:rFonts w:ascii="Times New Roman" w:eastAsia="Times New Roman" w:hAnsi="Times New Roman"/>
                <w:sz w:val="22"/>
              </w:rPr>
            </w:pPr>
            <w:r w:rsidRPr="004D0CD9">
              <w:rPr>
                <w:rFonts w:ascii="Times New Roman" w:eastAsia="Times New Roman" w:hAnsi="Times New Roman"/>
                <w:sz w:val="22"/>
              </w:rPr>
              <w:t>13 km</w:t>
            </w:r>
          </w:p>
        </w:tc>
      </w:tr>
      <w:tr w:rsidR="007F2F9C" w:rsidRPr="004D0CD9" w:rsidTr="004D0CD9">
        <w:trPr>
          <w:trHeight w:val="259"/>
        </w:trPr>
        <w:tc>
          <w:tcPr>
            <w:cnfStyle w:val="001000000000"/>
            <w:tcW w:w="843" w:type="pct"/>
            <w:noWrap/>
            <w:hideMark/>
          </w:tcPr>
          <w:p w:rsidR="007F2F9C" w:rsidRPr="004D0CD9" w:rsidRDefault="007F2F9C" w:rsidP="00F5769F">
            <w:pPr>
              <w:spacing w:after="0" w:line="276" w:lineRule="auto"/>
              <w:jc w:val="center"/>
              <w:rPr>
                <w:rFonts w:ascii="Times New Roman" w:eastAsia="Times New Roman" w:hAnsi="Times New Roman"/>
                <w:sz w:val="22"/>
              </w:rPr>
            </w:pPr>
            <w:r w:rsidRPr="004D0CD9">
              <w:rPr>
                <w:rFonts w:ascii="Times New Roman" w:eastAsia="Times New Roman" w:hAnsi="Times New Roman"/>
                <w:sz w:val="22"/>
              </w:rPr>
              <w:t>4</w:t>
            </w:r>
          </w:p>
        </w:tc>
        <w:tc>
          <w:tcPr>
            <w:tcW w:w="1307" w:type="pct"/>
            <w:noWrap/>
            <w:hideMark/>
          </w:tcPr>
          <w:p w:rsidR="007F2F9C" w:rsidRPr="004D0CD9" w:rsidRDefault="007F2F9C" w:rsidP="00F5769F">
            <w:pPr>
              <w:spacing w:after="0" w:line="276" w:lineRule="auto"/>
              <w:cnfStyle w:val="000000000000"/>
              <w:rPr>
                <w:rFonts w:ascii="Times New Roman" w:eastAsia="Times New Roman" w:hAnsi="Times New Roman"/>
                <w:sz w:val="22"/>
              </w:rPr>
            </w:pPr>
            <w:r w:rsidRPr="004D0CD9">
              <w:rPr>
                <w:rFonts w:ascii="Times New Roman" w:eastAsia="Times New Roman" w:hAnsi="Times New Roman"/>
                <w:sz w:val="22"/>
              </w:rPr>
              <w:t>Mawa</w:t>
            </w:r>
          </w:p>
        </w:tc>
        <w:tc>
          <w:tcPr>
            <w:tcW w:w="1661" w:type="pct"/>
            <w:noWrap/>
            <w:hideMark/>
          </w:tcPr>
          <w:p w:rsidR="007F2F9C" w:rsidRPr="004D0CD9" w:rsidRDefault="007F2F9C" w:rsidP="00F5769F">
            <w:pPr>
              <w:spacing w:after="0" w:line="276" w:lineRule="auto"/>
              <w:cnfStyle w:val="000000000000"/>
              <w:rPr>
                <w:rFonts w:ascii="Times New Roman" w:eastAsia="Times New Roman" w:hAnsi="Times New Roman"/>
                <w:sz w:val="22"/>
              </w:rPr>
            </w:pPr>
            <w:r w:rsidRPr="004D0CD9">
              <w:rPr>
                <w:rFonts w:ascii="Times New Roman" w:eastAsia="Times New Roman" w:hAnsi="Times New Roman"/>
                <w:sz w:val="22"/>
              </w:rPr>
              <w:t>Mangal Majhi</w:t>
            </w:r>
          </w:p>
        </w:tc>
        <w:tc>
          <w:tcPr>
            <w:tcW w:w="1189" w:type="pct"/>
            <w:noWrap/>
            <w:hideMark/>
          </w:tcPr>
          <w:p w:rsidR="007F2F9C" w:rsidRPr="004D0CD9" w:rsidRDefault="007F2F9C" w:rsidP="00F5769F">
            <w:pPr>
              <w:spacing w:after="0" w:line="276" w:lineRule="auto"/>
              <w:jc w:val="center"/>
              <w:cnfStyle w:val="000000000000"/>
              <w:rPr>
                <w:rFonts w:ascii="Times New Roman" w:eastAsia="Times New Roman" w:hAnsi="Times New Roman"/>
                <w:sz w:val="22"/>
              </w:rPr>
            </w:pPr>
            <w:r w:rsidRPr="004D0CD9">
              <w:rPr>
                <w:rFonts w:ascii="Times New Roman" w:eastAsia="Times New Roman" w:hAnsi="Times New Roman"/>
                <w:sz w:val="22"/>
              </w:rPr>
              <w:t>10 km</w:t>
            </w:r>
          </w:p>
        </w:tc>
      </w:tr>
      <w:tr w:rsidR="007F2F9C" w:rsidRPr="004D0CD9" w:rsidTr="004D0CD9">
        <w:trPr>
          <w:cnfStyle w:val="000000100000"/>
          <w:trHeight w:val="259"/>
        </w:trPr>
        <w:tc>
          <w:tcPr>
            <w:cnfStyle w:val="001000000000"/>
            <w:tcW w:w="843" w:type="pct"/>
            <w:noWrap/>
            <w:hideMark/>
          </w:tcPr>
          <w:p w:rsidR="007F2F9C" w:rsidRPr="004D0CD9" w:rsidRDefault="007F2F9C" w:rsidP="00F5769F">
            <w:pPr>
              <w:spacing w:after="0" w:line="276" w:lineRule="auto"/>
              <w:jc w:val="center"/>
              <w:rPr>
                <w:rFonts w:ascii="Times New Roman" w:eastAsia="Times New Roman" w:hAnsi="Times New Roman"/>
                <w:sz w:val="22"/>
              </w:rPr>
            </w:pPr>
            <w:r w:rsidRPr="004D0CD9">
              <w:rPr>
                <w:rFonts w:ascii="Times New Roman" w:eastAsia="Times New Roman" w:hAnsi="Times New Roman"/>
                <w:sz w:val="22"/>
              </w:rPr>
              <w:t>5</w:t>
            </w:r>
          </w:p>
        </w:tc>
        <w:tc>
          <w:tcPr>
            <w:tcW w:w="1307" w:type="pct"/>
            <w:noWrap/>
            <w:hideMark/>
          </w:tcPr>
          <w:p w:rsidR="007F2F9C" w:rsidRPr="004D0CD9" w:rsidRDefault="007F2F9C" w:rsidP="00F5769F">
            <w:pPr>
              <w:spacing w:after="0" w:line="276" w:lineRule="auto"/>
              <w:cnfStyle w:val="000000100000"/>
              <w:rPr>
                <w:rFonts w:ascii="Times New Roman" w:eastAsia="Times New Roman" w:hAnsi="Times New Roman"/>
                <w:sz w:val="22"/>
              </w:rPr>
            </w:pPr>
            <w:r w:rsidRPr="004D0CD9">
              <w:rPr>
                <w:rFonts w:ascii="Times New Roman" w:eastAsia="Times New Roman" w:hAnsi="Times New Roman"/>
                <w:sz w:val="22"/>
              </w:rPr>
              <w:t>Chandpur</w:t>
            </w:r>
          </w:p>
        </w:tc>
        <w:tc>
          <w:tcPr>
            <w:tcW w:w="1661" w:type="pct"/>
            <w:noWrap/>
            <w:hideMark/>
          </w:tcPr>
          <w:p w:rsidR="007F2F9C" w:rsidRPr="004D0CD9" w:rsidRDefault="007F2F9C" w:rsidP="00F5769F">
            <w:pPr>
              <w:spacing w:after="0" w:line="276" w:lineRule="auto"/>
              <w:cnfStyle w:val="000000100000"/>
              <w:rPr>
                <w:rFonts w:ascii="Times New Roman" w:eastAsia="Times New Roman" w:hAnsi="Times New Roman"/>
                <w:sz w:val="22"/>
              </w:rPr>
            </w:pPr>
            <w:r w:rsidRPr="004D0CD9">
              <w:rPr>
                <w:rFonts w:ascii="Times New Roman" w:eastAsia="Times New Roman" w:hAnsi="Times New Roman"/>
                <w:sz w:val="22"/>
              </w:rPr>
              <w:t>Shariatpur</w:t>
            </w:r>
          </w:p>
        </w:tc>
        <w:tc>
          <w:tcPr>
            <w:tcW w:w="1189" w:type="pct"/>
            <w:noWrap/>
            <w:hideMark/>
          </w:tcPr>
          <w:p w:rsidR="007F2F9C" w:rsidRPr="004D0CD9" w:rsidRDefault="007F2F9C" w:rsidP="00F5769F">
            <w:pPr>
              <w:spacing w:after="0" w:line="276" w:lineRule="auto"/>
              <w:jc w:val="center"/>
              <w:cnfStyle w:val="000000100000"/>
              <w:rPr>
                <w:rFonts w:ascii="Times New Roman" w:eastAsia="Times New Roman" w:hAnsi="Times New Roman"/>
                <w:sz w:val="22"/>
              </w:rPr>
            </w:pPr>
            <w:r w:rsidRPr="004D0CD9">
              <w:rPr>
                <w:rFonts w:ascii="Times New Roman" w:eastAsia="Times New Roman" w:hAnsi="Times New Roman"/>
                <w:sz w:val="22"/>
              </w:rPr>
              <w:t>10 km</w:t>
            </w:r>
          </w:p>
        </w:tc>
      </w:tr>
      <w:tr w:rsidR="007F2F9C" w:rsidRPr="004D0CD9" w:rsidTr="004D0CD9">
        <w:trPr>
          <w:trHeight w:val="259"/>
        </w:trPr>
        <w:tc>
          <w:tcPr>
            <w:cnfStyle w:val="001000000000"/>
            <w:tcW w:w="843" w:type="pct"/>
            <w:noWrap/>
            <w:hideMark/>
          </w:tcPr>
          <w:p w:rsidR="007F2F9C" w:rsidRPr="004D0CD9" w:rsidRDefault="007F2F9C" w:rsidP="00F5769F">
            <w:pPr>
              <w:spacing w:after="0" w:line="276" w:lineRule="auto"/>
              <w:jc w:val="center"/>
              <w:rPr>
                <w:rFonts w:ascii="Times New Roman" w:eastAsia="Times New Roman" w:hAnsi="Times New Roman"/>
                <w:sz w:val="22"/>
              </w:rPr>
            </w:pPr>
            <w:r w:rsidRPr="004D0CD9">
              <w:rPr>
                <w:rFonts w:ascii="Times New Roman" w:eastAsia="Times New Roman" w:hAnsi="Times New Roman"/>
                <w:sz w:val="22"/>
              </w:rPr>
              <w:t>6</w:t>
            </w:r>
          </w:p>
        </w:tc>
        <w:tc>
          <w:tcPr>
            <w:tcW w:w="1307" w:type="pct"/>
            <w:noWrap/>
            <w:hideMark/>
          </w:tcPr>
          <w:p w:rsidR="007F2F9C" w:rsidRPr="004D0CD9" w:rsidRDefault="007F2F9C" w:rsidP="00F5769F">
            <w:pPr>
              <w:spacing w:after="0" w:line="276" w:lineRule="auto"/>
              <w:cnfStyle w:val="000000000000"/>
              <w:rPr>
                <w:rFonts w:ascii="Times New Roman" w:eastAsia="Times New Roman" w:hAnsi="Times New Roman"/>
                <w:sz w:val="22"/>
              </w:rPr>
            </w:pPr>
            <w:r w:rsidRPr="004D0CD9">
              <w:rPr>
                <w:rFonts w:ascii="Times New Roman" w:eastAsia="Times New Roman" w:hAnsi="Times New Roman"/>
                <w:sz w:val="22"/>
              </w:rPr>
              <w:t>Bhola</w:t>
            </w:r>
          </w:p>
        </w:tc>
        <w:tc>
          <w:tcPr>
            <w:tcW w:w="1661" w:type="pct"/>
            <w:noWrap/>
            <w:hideMark/>
          </w:tcPr>
          <w:p w:rsidR="007F2F9C" w:rsidRPr="004D0CD9" w:rsidRDefault="007F2F9C" w:rsidP="00F5769F">
            <w:pPr>
              <w:spacing w:after="0" w:line="276" w:lineRule="auto"/>
              <w:cnfStyle w:val="000000000000"/>
              <w:rPr>
                <w:rFonts w:ascii="Times New Roman" w:eastAsia="Times New Roman" w:hAnsi="Times New Roman"/>
                <w:sz w:val="22"/>
              </w:rPr>
            </w:pPr>
            <w:r w:rsidRPr="004D0CD9">
              <w:rPr>
                <w:rFonts w:ascii="Times New Roman" w:eastAsia="Times New Roman" w:hAnsi="Times New Roman"/>
                <w:sz w:val="22"/>
              </w:rPr>
              <w:t>Laxmipur</w:t>
            </w:r>
          </w:p>
        </w:tc>
        <w:tc>
          <w:tcPr>
            <w:tcW w:w="1189" w:type="pct"/>
            <w:noWrap/>
            <w:hideMark/>
          </w:tcPr>
          <w:p w:rsidR="007F2F9C" w:rsidRPr="004D0CD9" w:rsidRDefault="007F2F9C" w:rsidP="00F5769F">
            <w:pPr>
              <w:spacing w:after="0" w:line="276" w:lineRule="auto"/>
              <w:jc w:val="center"/>
              <w:cnfStyle w:val="000000000000"/>
              <w:rPr>
                <w:rFonts w:ascii="Times New Roman" w:eastAsia="Times New Roman" w:hAnsi="Times New Roman"/>
                <w:sz w:val="22"/>
              </w:rPr>
            </w:pPr>
            <w:r w:rsidRPr="004D0CD9">
              <w:rPr>
                <w:rFonts w:ascii="Times New Roman" w:eastAsia="Times New Roman" w:hAnsi="Times New Roman"/>
                <w:sz w:val="22"/>
              </w:rPr>
              <w:t>28 km</w:t>
            </w:r>
          </w:p>
        </w:tc>
      </w:tr>
      <w:tr w:rsidR="007F2F9C" w:rsidRPr="004D0CD9" w:rsidTr="004D0CD9">
        <w:trPr>
          <w:cnfStyle w:val="000000100000"/>
          <w:trHeight w:val="259"/>
        </w:trPr>
        <w:tc>
          <w:tcPr>
            <w:cnfStyle w:val="001000000000"/>
            <w:tcW w:w="843" w:type="pct"/>
            <w:noWrap/>
            <w:hideMark/>
          </w:tcPr>
          <w:p w:rsidR="007F2F9C" w:rsidRPr="004D0CD9" w:rsidRDefault="007F2F9C" w:rsidP="00F5769F">
            <w:pPr>
              <w:spacing w:after="0" w:line="276" w:lineRule="auto"/>
              <w:jc w:val="center"/>
              <w:rPr>
                <w:rFonts w:ascii="Times New Roman" w:eastAsia="Times New Roman" w:hAnsi="Times New Roman"/>
                <w:sz w:val="22"/>
              </w:rPr>
            </w:pPr>
            <w:r w:rsidRPr="004D0CD9">
              <w:rPr>
                <w:rFonts w:ascii="Times New Roman" w:eastAsia="Times New Roman" w:hAnsi="Times New Roman"/>
                <w:sz w:val="22"/>
              </w:rPr>
              <w:t>7</w:t>
            </w:r>
          </w:p>
        </w:tc>
        <w:tc>
          <w:tcPr>
            <w:tcW w:w="1307" w:type="pct"/>
            <w:noWrap/>
            <w:hideMark/>
          </w:tcPr>
          <w:p w:rsidR="007F2F9C" w:rsidRPr="004D0CD9" w:rsidRDefault="007F2F9C" w:rsidP="00F5769F">
            <w:pPr>
              <w:spacing w:after="0" w:line="276" w:lineRule="auto"/>
              <w:cnfStyle w:val="000000100000"/>
              <w:rPr>
                <w:rFonts w:ascii="Times New Roman" w:eastAsia="Times New Roman" w:hAnsi="Times New Roman"/>
                <w:sz w:val="22"/>
              </w:rPr>
            </w:pPr>
            <w:r w:rsidRPr="004D0CD9">
              <w:rPr>
                <w:rFonts w:ascii="Times New Roman" w:eastAsia="Times New Roman" w:hAnsi="Times New Roman"/>
                <w:sz w:val="22"/>
              </w:rPr>
              <w:t>Lahahat</w:t>
            </w:r>
          </w:p>
        </w:tc>
        <w:tc>
          <w:tcPr>
            <w:tcW w:w="1661" w:type="pct"/>
            <w:noWrap/>
            <w:hideMark/>
          </w:tcPr>
          <w:p w:rsidR="007F2F9C" w:rsidRPr="004D0CD9" w:rsidRDefault="007F2F9C" w:rsidP="00F5769F">
            <w:pPr>
              <w:spacing w:after="0" w:line="276" w:lineRule="auto"/>
              <w:cnfStyle w:val="000000100000"/>
              <w:rPr>
                <w:rFonts w:ascii="Times New Roman" w:eastAsia="Times New Roman" w:hAnsi="Times New Roman"/>
                <w:sz w:val="22"/>
              </w:rPr>
            </w:pPr>
            <w:r w:rsidRPr="004D0CD9">
              <w:rPr>
                <w:rFonts w:ascii="Times New Roman" w:eastAsia="Times New Roman" w:hAnsi="Times New Roman"/>
                <w:sz w:val="22"/>
              </w:rPr>
              <w:t>Bhaduria</w:t>
            </w:r>
          </w:p>
        </w:tc>
        <w:tc>
          <w:tcPr>
            <w:tcW w:w="1189" w:type="pct"/>
            <w:noWrap/>
            <w:hideMark/>
          </w:tcPr>
          <w:p w:rsidR="007F2F9C" w:rsidRPr="004D0CD9" w:rsidRDefault="007F2F9C" w:rsidP="00F5769F">
            <w:pPr>
              <w:spacing w:after="0" w:line="276" w:lineRule="auto"/>
              <w:jc w:val="center"/>
              <w:cnfStyle w:val="000000100000"/>
              <w:rPr>
                <w:rFonts w:ascii="Times New Roman" w:eastAsia="Times New Roman" w:hAnsi="Times New Roman"/>
                <w:sz w:val="22"/>
              </w:rPr>
            </w:pPr>
            <w:r w:rsidRPr="004D0CD9">
              <w:rPr>
                <w:rFonts w:ascii="Times New Roman" w:eastAsia="Times New Roman" w:hAnsi="Times New Roman"/>
                <w:sz w:val="22"/>
              </w:rPr>
              <w:t>10 km</w:t>
            </w:r>
          </w:p>
        </w:tc>
      </w:tr>
    </w:tbl>
    <w:p w:rsidR="007F2F9C" w:rsidRDefault="007F2F9C" w:rsidP="00F5769F">
      <w:pPr>
        <w:spacing w:line="276" w:lineRule="auto"/>
        <w:rPr>
          <w:rFonts w:cs="Times New Roman"/>
          <w:b/>
          <w:bCs/>
          <w:i/>
          <w:iCs/>
          <w:sz w:val="20"/>
          <w:szCs w:val="20"/>
        </w:rPr>
      </w:pPr>
      <w:r w:rsidRPr="00E6625A">
        <w:rPr>
          <w:rFonts w:cs="Times New Roman"/>
          <w:b/>
          <w:bCs/>
          <w:i/>
          <w:iCs/>
          <w:sz w:val="20"/>
          <w:szCs w:val="20"/>
        </w:rPr>
        <w:t>Source: Ministry of Shipping</w:t>
      </w:r>
    </w:p>
    <w:p w:rsidR="00644ED8" w:rsidRPr="0056500E" w:rsidRDefault="00644ED8" w:rsidP="00644ED8">
      <w:pPr>
        <w:pStyle w:val="Caption"/>
        <w:jc w:val="both"/>
        <w:rPr>
          <w:rFonts w:cs="Times New Roman"/>
          <w:i/>
          <w:color w:val="auto"/>
          <w:sz w:val="24"/>
          <w:szCs w:val="24"/>
        </w:rPr>
      </w:pPr>
      <w:r w:rsidRPr="0056500E">
        <w:rPr>
          <w:rFonts w:cs="Times New Roman"/>
          <w:i/>
          <w:color w:val="auto"/>
          <w:sz w:val="24"/>
          <w:szCs w:val="24"/>
        </w:rPr>
        <w:t xml:space="preserve">Cost and revenue of BIWTA and </w:t>
      </w:r>
      <w:r w:rsidR="003E6F2C">
        <w:rPr>
          <w:rFonts w:cs="Times New Roman"/>
          <w:i/>
          <w:color w:val="auto"/>
          <w:sz w:val="24"/>
          <w:szCs w:val="24"/>
        </w:rPr>
        <w:t>M</w:t>
      </w:r>
      <w:r w:rsidR="003E6F2C" w:rsidRPr="0056500E">
        <w:rPr>
          <w:rFonts w:cs="Times New Roman"/>
          <w:i/>
          <w:color w:val="auto"/>
          <w:sz w:val="24"/>
          <w:szCs w:val="24"/>
        </w:rPr>
        <w:t xml:space="preserve">aritime </w:t>
      </w:r>
      <w:r w:rsidR="003E6F2C">
        <w:rPr>
          <w:rFonts w:cs="Times New Roman"/>
          <w:i/>
          <w:color w:val="auto"/>
          <w:sz w:val="24"/>
          <w:szCs w:val="24"/>
        </w:rPr>
        <w:t>P</w:t>
      </w:r>
      <w:r w:rsidR="003E6F2C" w:rsidRPr="0056500E">
        <w:rPr>
          <w:rFonts w:cs="Times New Roman"/>
          <w:i/>
          <w:color w:val="auto"/>
          <w:sz w:val="24"/>
          <w:szCs w:val="24"/>
        </w:rPr>
        <w:t>orts</w:t>
      </w:r>
    </w:p>
    <w:p w:rsidR="00644ED8" w:rsidRPr="0056500E" w:rsidRDefault="00644ED8" w:rsidP="00644ED8">
      <w:pPr>
        <w:spacing w:line="276" w:lineRule="auto"/>
        <w:jc w:val="both"/>
        <w:rPr>
          <w:rFonts w:cs="Times New Roman"/>
          <w:szCs w:val="24"/>
        </w:rPr>
      </w:pPr>
      <w:r w:rsidRPr="0056500E">
        <w:rPr>
          <w:rFonts w:cs="Times New Roman"/>
          <w:szCs w:val="24"/>
        </w:rPr>
        <w:t xml:space="preserve">Of three major entities- BIWTA, Chittagong port and Mongla port- that are involved in inland waterway transport and maritime port services, Chittagong Port authority enjoys operating surplus. BIWTA incurs marked losses as the entity is unable to recover its cost from revenue. In 2014-15, for instance, its operating expenditure stood </w:t>
      </w:r>
      <w:r w:rsidR="003E6F2C">
        <w:rPr>
          <w:rFonts w:cs="Times New Roman"/>
          <w:szCs w:val="24"/>
        </w:rPr>
        <w:t xml:space="preserve">at </w:t>
      </w:r>
      <w:r w:rsidRPr="0056500E">
        <w:rPr>
          <w:rFonts w:cs="Times New Roman"/>
          <w:szCs w:val="24"/>
        </w:rPr>
        <w:t>Tk 3302 million. Government grant constituted about 34% of its operating expenditure. Its non-operating expenditure was Tk 997 million during the same period. As a result, BIWTA had to incur a deficit of Tk 243 million in 2014-15. Its financial picture is not marked</w:t>
      </w:r>
      <w:r w:rsidR="00726C06">
        <w:rPr>
          <w:rFonts w:cs="Times New Roman"/>
          <w:szCs w:val="24"/>
        </w:rPr>
        <w:t>ly</w:t>
      </w:r>
      <w:r w:rsidRPr="0056500E">
        <w:rPr>
          <w:rFonts w:cs="Times New Roman"/>
          <w:szCs w:val="24"/>
        </w:rPr>
        <w:t xml:space="preserve"> different in other periods, as depicted in Table </w:t>
      </w:r>
      <w:r>
        <w:rPr>
          <w:rFonts w:cs="Times New Roman"/>
          <w:szCs w:val="24"/>
        </w:rPr>
        <w:t>9.11</w:t>
      </w:r>
      <w:r w:rsidRPr="0056500E">
        <w:rPr>
          <w:rFonts w:cs="Times New Roman"/>
          <w:szCs w:val="24"/>
        </w:rPr>
        <w:t>.</w:t>
      </w:r>
    </w:p>
    <w:p w:rsidR="00644ED8" w:rsidRPr="008C008D" w:rsidRDefault="00644ED8" w:rsidP="008C008D">
      <w:pPr>
        <w:pStyle w:val="Heading4"/>
      </w:pPr>
      <w:bookmarkStart w:id="661" w:name="_Toc474639077"/>
      <w:r w:rsidRPr="008C008D">
        <w:t xml:space="preserve">Table 9.11: Income &amp; Expenditure of BIWTA (Figure in </w:t>
      </w:r>
      <w:r w:rsidR="003E6F2C">
        <w:t>Lac</w:t>
      </w:r>
      <w:r w:rsidR="003E6F2C" w:rsidRPr="008C008D">
        <w:t xml:space="preserve"> </w:t>
      </w:r>
      <w:r w:rsidRPr="008C008D">
        <w:t>Tk.)</w:t>
      </w:r>
      <w:bookmarkEnd w:id="661"/>
    </w:p>
    <w:tbl>
      <w:tblPr>
        <w:tblStyle w:val="TableGrid"/>
        <w:tblW w:w="5000" w:type="pct"/>
        <w:tblLook w:val="04A0"/>
      </w:tblPr>
      <w:tblGrid>
        <w:gridCol w:w="1395"/>
        <w:gridCol w:w="1189"/>
        <w:gridCol w:w="1184"/>
        <w:gridCol w:w="1005"/>
        <w:gridCol w:w="1205"/>
        <w:gridCol w:w="1030"/>
        <w:gridCol w:w="1559"/>
        <w:gridCol w:w="1009"/>
      </w:tblGrid>
      <w:tr w:rsidR="00644ED8" w:rsidRPr="0056500E" w:rsidTr="008C008D">
        <w:trPr>
          <w:trHeight w:hRule="exact" w:val="346"/>
        </w:trPr>
        <w:tc>
          <w:tcPr>
            <w:tcW w:w="728" w:type="pct"/>
            <w:vMerge w:val="restar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b/>
                <w:bCs/>
                <w:sz w:val="18"/>
              </w:rPr>
              <w:t>Financial Year</w:t>
            </w:r>
          </w:p>
        </w:tc>
        <w:tc>
          <w:tcPr>
            <w:tcW w:w="1764" w:type="pct"/>
            <w:gridSpan w:val="3"/>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b/>
                <w:bCs/>
                <w:sz w:val="18"/>
              </w:rPr>
              <w:t>Income</w:t>
            </w:r>
          </w:p>
        </w:tc>
        <w:tc>
          <w:tcPr>
            <w:tcW w:w="629" w:type="pct"/>
            <w:vMerge w:val="restart"/>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b/>
                <w:bCs/>
                <w:sz w:val="18"/>
              </w:rPr>
              <w:t>Operating Expenditure</w:t>
            </w:r>
          </w:p>
        </w:tc>
        <w:tc>
          <w:tcPr>
            <w:tcW w:w="538" w:type="pct"/>
            <w:vMerge w:val="restart"/>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b/>
                <w:bCs/>
                <w:sz w:val="18"/>
              </w:rPr>
              <w:t>Operating Surplus</w:t>
            </w:r>
          </w:p>
        </w:tc>
        <w:tc>
          <w:tcPr>
            <w:tcW w:w="814" w:type="pct"/>
            <w:vMerge w:val="restart"/>
            <w:hideMark/>
          </w:tcPr>
          <w:p w:rsidR="00644ED8" w:rsidRPr="0056500E" w:rsidRDefault="00EA4E38" w:rsidP="00937732">
            <w:pPr>
              <w:spacing w:after="0" w:line="240" w:lineRule="auto"/>
              <w:jc w:val="center"/>
              <w:rPr>
                <w:rFonts w:eastAsia="Times New Roman" w:cs="Times New Roman"/>
                <w:sz w:val="18"/>
                <w:szCs w:val="18"/>
              </w:rPr>
            </w:pPr>
            <w:r w:rsidRPr="0056500E">
              <w:rPr>
                <w:rFonts w:eastAsia="Times New Roman" w:cs="Times New Roman"/>
                <w:b/>
                <w:bCs/>
                <w:sz w:val="18"/>
              </w:rPr>
              <w:t>Non-Operating</w:t>
            </w:r>
            <w:r w:rsidR="00644ED8" w:rsidRPr="0056500E">
              <w:rPr>
                <w:rFonts w:eastAsia="Times New Roman" w:cs="Times New Roman"/>
                <w:b/>
                <w:bCs/>
                <w:sz w:val="18"/>
              </w:rPr>
              <w:t xml:space="preserve"> Expenditure (Depreciation &amp; DSL)</w:t>
            </w:r>
          </w:p>
        </w:tc>
        <w:tc>
          <w:tcPr>
            <w:tcW w:w="527" w:type="pct"/>
            <w:vMerge w:val="restart"/>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b/>
                <w:bCs/>
                <w:sz w:val="18"/>
              </w:rPr>
              <w:t>Net Surplus /(Deficit )</w:t>
            </w:r>
          </w:p>
        </w:tc>
      </w:tr>
      <w:tr w:rsidR="00644ED8" w:rsidRPr="0056500E" w:rsidTr="008C008D">
        <w:trPr>
          <w:trHeight w:val="375"/>
        </w:trPr>
        <w:tc>
          <w:tcPr>
            <w:tcW w:w="728" w:type="pct"/>
            <w:vMerge/>
            <w:hideMark/>
          </w:tcPr>
          <w:p w:rsidR="00644ED8" w:rsidRPr="0056500E" w:rsidRDefault="00644ED8" w:rsidP="00937732">
            <w:pPr>
              <w:spacing w:after="0" w:line="240" w:lineRule="auto"/>
              <w:rPr>
                <w:rFonts w:eastAsia="Times New Roman" w:cs="Times New Roman"/>
                <w:sz w:val="18"/>
                <w:szCs w:val="18"/>
              </w:rPr>
            </w:pPr>
          </w:p>
        </w:tc>
        <w:tc>
          <w:tcPr>
            <w:tcW w:w="621" w:type="pc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b/>
                <w:bCs/>
                <w:sz w:val="18"/>
              </w:rPr>
              <w:t>Own Source</w:t>
            </w:r>
          </w:p>
        </w:tc>
        <w:tc>
          <w:tcPr>
            <w:tcW w:w="618" w:type="pc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b/>
                <w:bCs/>
                <w:sz w:val="18"/>
              </w:rPr>
              <w:t>Govt. Grant</w:t>
            </w:r>
          </w:p>
        </w:tc>
        <w:tc>
          <w:tcPr>
            <w:tcW w:w="525" w:type="pc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b/>
                <w:bCs/>
                <w:sz w:val="18"/>
              </w:rPr>
              <w:t>Total</w:t>
            </w:r>
          </w:p>
        </w:tc>
        <w:tc>
          <w:tcPr>
            <w:tcW w:w="629" w:type="pct"/>
            <w:vMerge/>
            <w:hideMark/>
          </w:tcPr>
          <w:p w:rsidR="00644ED8" w:rsidRPr="0056500E" w:rsidRDefault="00644ED8" w:rsidP="00937732">
            <w:pPr>
              <w:spacing w:after="0" w:line="240" w:lineRule="auto"/>
              <w:jc w:val="center"/>
              <w:rPr>
                <w:rFonts w:eastAsia="Times New Roman" w:cs="Times New Roman"/>
                <w:sz w:val="18"/>
                <w:szCs w:val="18"/>
              </w:rPr>
            </w:pPr>
          </w:p>
        </w:tc>
        <w:tc>
          <w:tcPr>
            <w:tcW w:w="538" w:type="pct"/>
            <w:vMerge/>
            <w:hideMark/>
          </w:tcPr>
          <w:p w:rsidR="00644ED8" w:rsidRPr="0056500E" w:rsidRDefault="00644ED8" w:rsidP="00937732">
            <w:pPr>
              <w:spacing w:after="0" w:line="240" w:lineRule="auto"/>
              <w:jc w:val="center"/>
              <w:rPr>
                <w:rFonts w:eastAsia="Times New Roman" w:cs="Times New Roman"/>
                <w:sz w:val="18"/>
                <w:szCs w:val="18"/>
              </w:rPr>
            </w:pPr>
          </w:p>
        </w:tc>
        <w:tc>
          <w:tcPr>
            <w:tcW w:w="814" w:type="pct"/>
            <w:vMerge/>
            <w:hideMark/>
          </w:tcPr>
          <w:p w:rsidR="00644ED8" w:rsidRPr="0056500E" w:rsidRDefault="00644ED8" w:rsidP="00937732">
            <w:pPr>
              <w:spacing w:after="0" w:line="240" w:lineRule="auto"/>
              <w:jc w:val="center"/>
              <w:rPr>
                <w:rFonts w:eastAsia="Times New Roman" w:cs="Times New Roman"/>
                <w:sz w:val="18"/>
                <w:szCs w:val="18"/>
              </w:rPr>
            </w:pPr>
          </w:p>
        </w:tc>
        <w:tc>
          <w:tcPr>
            <w:tcW w:w="527" w:type="pct"/>
            <w:vMerge/>
            <w:hideMark/>
          </w:tcPr>
          <w:p w:rsidR="00644ED8" w:rsidRPr="0056500E" w:rsidRDefault="00644ED8" w:rsidP="00937732">
            <w:pPr>
              <w:spacing w:after="0" w:line="240" w:lineRule="auto"/>
              <w:jc w:val="center"/>
              <w:rPr>
                <w:rFonts w:eastAsia="Times New Roman" w:cs="Times New Roman"/>
                <w:sz w:val="18"/>
                <w:szCs w:val="18"/>
              </w:rPr>
            </w:pPr>
          </w:p>
        </w:tc>
      </w:tr>
      <w:tr w:rsidR="00644ED8" w:rsidRPr="0056500E" w:rsidTr="008C008D">
        <w:trPr>
          <w:trHeight w:hRule="exact" w:val="288"/>
        </w:trPr>
        <w:tc>
          <w:tcPr>
            <w:tcW w:w="728" w:type="pc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sz w:val="18"/>
                <w:szCs w:val="18"/>
              </w:rPr>
              <w:t>2009-2010</w:t>
            </w:r>
          </w:p>
        </w:tc>
        <w:tc>
          <w:tcPr>
            <w:tcW w:w="621"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7,931.11</w:t>
            </w:r>
          </w:p>
        </w:tc>
        <w:tc>
          <w:tcPr>
            <w:tcW w:w="618"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9,824.30</w:t>
            </w:r>
          </w:p>
        </w:tc>
        <w:tc>
          <w:tcPr>
            <w:tcW w:w="525"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17,755.41</w:t>
            </w:r>
          </w:p>
        </w:tc>
        <w:tc>
          <w:tcPr>
            <w:tcW w:w="629"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14,200.66</w:t>
            </w:r>
          </w:p>
        </w:tc>
        <w:tc>
          <w:tcPr>
            <w:tcW w:w="538"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3,554.75</w:t>
            </w:r>
          </w:p>
        </w:tc>
        <w:tc>
          <w:tcPr>
            <w:tcW w:w="814"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4,073.15</w:t>
            </w:r>
          </w:p>
        </w:tc>
        <w:tc>
          <w:tcPr>
            <w:tcW w:w="527"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(518.40)</w:t>
            </w:r>
          </w:p>
        </w:tc>
      </w:tr>
      <w:tr w:rsidR="00644ED8" w:rsidRPr="0056500E" w:rsidTr="008C008D">
        <w:trPr>
          <w:trHeight w:hRule="exact" w:val="288"/>
        </w:trPr>
        <w:tc>
          <w:tcPr>
            <w:tcW w:w="728" w:type="pc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sz w:val="18"/>
                <w:szCs w:val="18"/>
              </w:rPr>
              <w:t>2010-2011</w:t>
            </w:r>
          </w:p>
        </w:tc>
        <w:tc>
          <w:tcPr>
            <w:tcW w:w="621"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8,825.59</w:t>
            </w:r>
          </w:p>
        </w:tc>
        <w:tc>
          <w:tcPr>
            <w:tcW w:w="618"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13,975.32</w:t>
            </w:r>
          </w:p>
        </w:tc>
        <w:tc>
          <w:tcPr>
            <w:tcW w:w="525"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22,800.91</w:t>
            </w:r>
          </w:p>
        </w:tc>
        <w:tc>
          <w:tcPr>
            <w:tcW w:w="629"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17,667.44</w:t>
            </w:r>
          </w:p>
        </w:tc>
        <w:tc>
          <w:tcPr>
            <w:tcW w:w="538"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5,133.47</w:t>
            </w:r>
          </w:p>
        </w:tc>
        <w:tc>
          <w:tcPr>
            <w:tcW w:w="814"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5,291.00</w:t>
            </w:r>
          </w:p>
        </w:tc>
        <w:tc>
          <w:tcPr>
            <w:tcW w:w="527"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(157.53)</w:t>
            </w:r>
          </w:p>
        </w:tc>
      </w:tr>
      <w:tr w:rsidR="00644ED8" w:rsidRPr="0056500E" w:rsidTr="008C008D">
        <w:trPr>
          <w:trHeight w:hRule="exact" w:val="288"/>
        </w:trPr>
        <w:tc>
          <w:tcPr>
            <w:tcW w:w="728" w:type="pc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sz w:val="18"/>
                <w:szCs w:val="18"/>
              </w:rPr>
              <w:t>2011-2012</w:t>
            </w:r>
          </w:p>
        </w:tc>
        <w:tc>
          <w:tcPr>
            <w:tcW w:w="621"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14,301.86</w:t>
            </w:r>
          </w:p>
        </w:tc>
        <w:tc>
          <w:tcPr>
            <w:tcW w:w="618"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12,016.05</w:t>
            </w:r>
          </w:p>
        </w:tc>
        <w:tc>
          <w:tcPr>
            <w:tcW w:w="525"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26,317.91</w:t>
            </w:r>
          </w:p>
        </w:tc>
        <w:tc>
          <w:tcPr>
            <w:tcW w:w="629"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18,942.72</w:t>
            </w:r>
          </w:p>
        </w:tc>
        <w:tc>
          <w:tcPr>
            <w:tcW w:w="538"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7,375.19</w:t>
            </w:r>
          </w:p>
        </w:tc>
        <w:tc>
          <w:tcPr>
            <w:tcW w:w="814"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5,588.12</w:t>
            </w:r>
          </w:p>
        </w:tc>
        <w:tc>
          <w:tcPr>
            <w:tcW w:w="527"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1,787.07</w:t>
            </w:r>
          </w:p>
        </w:tc>
      </w:tr>
      <w:tr w:rsidR="00644ED8" w:rsidRPr="0056500E" w:rsidTr="008C008D">
        <w:trPr>
          <w:trHeight w:hRule="exact" w:val="288"/>
        </w:trPr>
        <w:tc>
          <w:tcPr>
            <w:tcW w:w="728" w:type="pc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sz w:val="18"/>
                <w:szCs w:val="18"/>
              </w:rPr>
              <w:t>2012-2013</w:t>
            </w:r>
          </w:p>
        </w:tc>
        <w:tc>
          <w:tcPr>
            <w:tcW w:w="621"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16,361.29</w:t>
            </w:r>
          </w:p>
        </w:tc>
        <w:tc>
          <w:tcPr>
            <w:tcW w:w="618"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14,041.00</w:t>
            </w:r>
          </w:p>
        </w:tc>
        <w:tc>
          <w:tcPr>
            <w:tcW w:w="525"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30,402.29</w:t>
            </w:r>
          </w:p>
        </w:tc>
        <w:tc>
          <w:tcPr>
            <w:tcW w:w="629"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22,311.91</w:t>
            </w:r>
          </w:p>
        </w:tc>
        <w:tc>
          <w:tcPr>
            <w:tcW w:w="538"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8,090.38</w:t>
            </w:r>
          </w:p>
        </w:tc>
        <w:tc>
          <w:tcPr>
            <w:tcW w:w="814"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6,121.00</w:t>
            </w:r>
          </w:p>
        </w:tc>
        <w:tc>
          <w:tcPr>
            <w:tcW w:w="527"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1,969.38</w:t>
            </w:r>
          </w:p>
        </w:tc>
      </w:tr>
      <w:tr w:rsidR="00644ED8" w:rsidRPr="0056500E" w:rsidTr="008C008D">
        <w:trPr>
          <w:trHeight w:hRule="exact" w:val="288"/>
        </w:trPr>
        <w:tc>
          <w:tcPr>
            <w:tcW w:w="728" w:type="pc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sz w:val="18"/>
                <w:szCs w:val="18"/>
              </w:rPr>
              <w:t>2013-2014</w:t>
            </w:r>
          </w:p>
        </w:tc>
        <w:tc>
          <w:tcPr>
            <w:tcW w:w="621"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12,700.49</w:t>
            </w:r>
          </w:p>
        </w:tc>
        <w:tc>
          <w:tcPr>
            <w:tcW w:w="618"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15,550.20</w:t>
            </w:r>
          </w:p>
        </w:tc>
        <w:tc>
          <w:tcPr>
            <w:tcW w:w="525"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28,250.69</w:t>
            </w:r>
          </w:p>
        </w:tc>
        <w:tc>
          <w:tcPr>
            <w:tcW w:w="629"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26,323.21</w:t>
            </w:r>
          </w:p>
        </w:tc>
        <w:tc>
          <w:tcPr>
            <w:tcW w:w="538"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1,927.48</w:t>
            </w:r>
          </w:p>
        </w:tc>
        <w:tc>
          <w:tcPr>
            <w:tcW w:w="814"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7,684.80</w:t>
            </w:r>
          </w:p>
        </w:tc>
        <w:tc>
          <w:tcPr>
            <w:tcW w:w="527"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(5,757.32)</w:t>
            </w:r>
          </w:p>
        </w:tc>
      </w:tr>
      <w:tr w:rsidR="00644ED8" w:rsidRPr="0056500E" w:rsidTr="008C008D">
        <w:trPr>
          <w:trHeight w:hRule="exact" w:val="288"/>
        </w:trPr>
        <w:tc>
          <w:tcPr>
            <w:tcW w:w="728" w:type="pct"/>
            <w:noWrap/>
            <w:hideMark/>
          </w:tcPr>
          <w:p w:rsidR="00644ED8" w:rsidRPr="0056500E" w:rsidRDefault="00644ED8" w:rsidP="00937732">
            <w:pPr>
              <w:spacing w:after="0" w:line="240" w:lineRule="auto"/>
              <w:rPr>
                <w:rFonts w:eastAsia="Times New Roman" w:cs="Times New Roman"/>
                <w:sz w:val="18"/>
                <w:szCs w:val="18"/>
              </w:rPr>
            </w:pPr>
            <w:r w:rsidRPr="0056500E">
              <w:rPr>
                <w:rFonts w:eastAsia="Times New Roman" w:cs="Times New Roman"/>
                <w:sz w:val="18"/>
                <w:szCs w:val="18"/>
              </w:rPr>
              <w:t>2014-2015</w:t>
            </w:r>
          </w:p>
        </w:tc>
        <w:tc>
          <w:tcPr>
            <w:tcW w:w="621"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21,215.68</w:t>
            </w:r>
          </w:p>
        </w:tc>
        <w:tc>
          <w:tcPr>
            <w:tcW w:w="618"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11,807.53</w:t>
            </w:r>
          </w:p>
        </w:tc>
        <w:tc>
          <w:tcPr>
            <w:tcW w:w="525"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sz w:val="18"/>
                <w:szCs w:val="18"/>
              </w:rPr>
              <w:t> 33,023.21</w:t>
            </w:r>
          </w:p>
        </w:tc>
        <w:tc>
          <w:tcPr>
            <w:tcW w:w="629"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25,477.71</w:t>
            </w:r>
          </w:p>
        </w:tc>
        <w:tc>
          <w:tcPr>
            <w:tcW w:w="538"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7,545.50</w:t>
            </w:r>
          </w:p>
        </w:tc>
        <w:tc>
          <w:tcPr>
            <w:tcW w:w="814"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9,975.26</w:t>
            </w:r>
          </w:p>
        </w:tc>
        <w:tc>
          <w:tcPr>
            <w:tcW w:w="527"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sz w:val="18"/>
                <w:szCs w:val="18"/>
              </w:rPr>
              <w:t>(2,429.76)</w:t>
            </w:r>
          </w:p>
        </w:tc>
      </w:tr>
      <w:tr w:rsidR="00644ED8" w:rsidRPr="0056500E" w:rsidTr="008C008D">
        <w:trPr>
          <w:trHeight w:hRule="exact" w:val="288"/>
        </w:trPr>
        <w:tc>
          <w:tcPr>
            <w:tcW w:w="728"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b/>
                <w:bCs/>
                <w:sz w:val="18"/>
              </w:rPr>
              <w:t>Total</w:t>
            </w:r>
          </w:p>
        </w:tc>
        <w:tc>
          <w:tcPr>
            <w:tcW w:w="621"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b/>
                <w:bCs/>
                <w:sz w:val="18"/>
              </w:rPr>
              <w:t> 81,336.02</w:t>
            </w:r>
          </w:p>
        </w:tc>
        <w:tc>
          <w:tcPr>
            <w:tcW w:w="618"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b/>
                <w:bCs/>
                <w:sz w:val="18"/>
              </w:rPr>
              <w:t>7 ,214.40</w:t>
            </w:r>
          </w:p>
        </w:tc>
        <w:tc>
          <w:tcPr>
            <w:tcW w:w="525" w:type="pct"/>
            <w:noWrap/>
            <w:hideMark/>
          </w:tcPr>
          <w:p w:rsidR="00644ED8" w:rsidRPr="0056500E" w:rsidRDefault="00644ED8" w:rsidP="00937732">
            <w:pPr>
              <w:spacing w:after="0" w:line="240" w:lineRule="auto"/>
              <w:jc w:val="right"/>
              <w:rPr>
                <w:rFonts w:eastAsia="Times New Roman" w:cs="Times New Roman"/>
                <w:sz w:val="18"/>
                <w:szCs w:val="18"/>
              </w:rPr>
            </w:pPr>
            <w:r w:rsidRPr="0056500E">
              <w:rPr>
                <w:rFonts w:eastAsia="Times New Roman" w:cs="Times New Roman"/>
                <w:b/>
                <w:bCs/>
                <w:sz w:val="18"/>
              </w:rPr>
              <w:t> 8,550.42</w:t>
            </w:r>
          </w:p>
        </w:tc>
        <w:tc>
          <w:tcPr>
            <w:tcW w:w="629"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b/>
                <w:bCs/>
                <w:sz w:val="18"/>
              </w:rPr>
              <w:t>124,923.65</w:t>
            </w:r>
          </w:p>
        </w:tc>
        <w:tc>
          <w:tcPr>
            <w:tcW w:w="538"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b/>
                <w:bCs/>
                <w:sz w:val="18"/>
              </w:rPr>
              <w:t>3,626.77</w:t>
            </w:r>
          </w:p>
        </w:tc>
        <w:tc>
          <w:tcPr>
            <w:tcW w:w="814"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b/>
                <w:bCs/>
                <w:sz w:val="18"/>
              </w:rPr>
              <w:t>38,733.33</w:t>
            </w:r>
          </w:p>
        </w:tc>
        <w:tc>
          <w:tcPr>
            <w:tcW w:w="527" w:type="pct"/>
            <w:noWrap/>
            <w:hideMark/>
          </w:tcPr>
          <w:p w:rsidR="00644ED8" w:rsidRPr="0056500E" w:rsidRDefault="00644ED8" w:rsidP="00937732">
            <w:pPr>
              <w:spacing w:after="0" w:line="240" w:lineRule="auto"/>
              <w:jc w:val="center"/>
              <w:rPr>
                <w:rFonts w:eastAsia="Times New Roman" w:cs="Times New Roman"/>
                <w:sz w:val="18"/>
                <w:szCs w:val="18"/>
              </w:rPr>
            </w:pPr>
            <w:r w:rsidRPr="0056500E">
              <w:rPr>
                <w:rFonts w:eastAsia="Times New Roman" w:cs="Times New Roman"/>
                <w:b/>
                <w:bCs/>
                <w:sz w:val="18"/>
              </w:rPr>
              <w:t>(5,106.56)</w:t>
            </w:r>
          </w:p>
        </w:tc>
      </w:tr>
    </w:tbl>
    <w:p w:rsidR="00644ED8" w:rsidRPr="00443D4B" w:rsidRDefault="00644ED8" w:rsidP="00726C06">
      <w:pPr>
        <w:spacing w:before="120" w:line="276" w:lineRule="auto"/>
        <w:jc w:val="both"/>
        <w:rPr>
          <w:rFonts w:cs="Times New Roman"/>
          <w:b/>
          <w:i/>
          <w:sz w:val="20"/>
          <w:szCs w:val="20"/>
        </w:rPr>
      </w:pPr>
      <w:r w:rsidRPr="00443D4B">
        <w:rPr>
          <w:rFonts w:cs="Times New Roman"/>
          <w:b/>
          <w:i/>
          <w:sz w:val="20"/>
          <w:szCs w:val="20"/>
        </w:rPr>
        <w:t>Source: BIWTA Website</w:t>
      </w:r>
    </w:p>
    <w:p w:rsidR="00644ED8" w:rsidRPr="0056500E" w:rsidRDefault="00644ED8" w:rsidP="00644ED8">
      <w:pPr>
        <w:spacing w:line="276" w:lineRule="auto"/>
        <w:jc w:val="both"/>
        <w:rPr>
          <w:rFonts w:cs="Times New Roman"/>
          <w:szCs w:val="24"/>
        </w:rPr>
      </w:pPr>
      <w:r w:rsidRPr="0056500E">
        <w:rPr>
          <w:rFonts w:cs="Times New Roman"/>
          <w:szCs w:val="24"/>
        </w:rPr>
        <w:t xml:space="preserve">The Chittagong Port Authority (CPA) has been enjoying the monopoly in the trade of maritime port services with significant amount of net surplus (considering both revenue expenditure and capital expenditure) every year such as Tk 5794 million surplus in </w:t>
      </w:r>
      <w:r w:rsidR="003E6F2C" w:rsidRPr="0056500E">
        <w:rPr>
          <w:rFonts w:cs="Times New Roman"/>
          <w:szCs w:val="24"/>
        </w:rPr>
        <w:t>201</w:t>
      </w:r>
      <w:r w:rsidR="003E6F2C">
        <w:rPr>
          <w:rFonts w:cs="Times New Roman"/>
          <w:szCs w:val="24"/>
        </w:rPr>
        <w:t>4</w:t>
      </w:r>
      <w:r w:rsidRPr="0056500E">
        <w:rPr>
          <w:rFonts w:cs="Times New Roman"/>
          <w:szCs w:val="24"/>
        </w:rPr>
        <w:t>-15, according to CPA’s annual report 2014-15.</w:t>
      </w:r>
    </w:p>
    <w:p w:rsidR="00644ED8" w:rsidRPr="00443D4B" w:rsidRDefault="00644ED8" w:rsidP="00443D4B">
      <w:pPr>
        <w:spacing w:line="276" w:lineRule="auto"/>
        <w:jc w:val="both"/>
        <w:rPr>
          <w:rFonts w:cs="Times New Roman"/>
          <w:szCs w:val="24"/>
        </w:rPr>
      </w:pPr>
      <w:r w:rsidRPr="0056500E">
        <w:rPr>
          <w:rFonts w:cs="Times New Roman"/>
          <w:szCs w:val="24"/>
        </w:rPr>
        <w:t>The GOB has to support the Mongla Port Authority</w:t>
      </w:r>
      <w:r w:rsidR="003E6F2C">
        <w:rPr>
          <w:rFonts w:cs="Times New Roman"/>
          <w:szCs w:val="24"/>
        </w:rPr>
        <w:t xml:space="preserve"> (MPA)</w:t>
      </w:r>
      <w:r w:rsidRPr="0056500E">
        <w:rPr>
          <w:rFonts w:cs="Times New Roman"/>
          <w:szCs w:val="24"/>
        </w:rPr>
        <w:t xml:space="preserve"> on regular basis to meet its revenue expenditures. But in recent years the financial picture of MPA looks brighter. The MPA was able </w:t>
      </w:r>
      <w:r w:rsidRPr="0056500E">
        <w:rPr>
          <w:rFonts w:cs="Times New Roman"/>
          <w:szCs w:val="24"/>
        </w:rPr>
        <w:lastRenderedPageBreak/>
        <w:t xml:space="preserve">to earn surplus of Tk 341.43, </w:t>
      </w:r>
      <w:r w:rsidR="003E6F2C">
        <w:rPr>
          <w:rFonts w:cs="Times New Roman"/>
          <w:szCs w:val="24"/>
        </w:rPr>
        <w:t xml:space="preserve">Tk </w:t>
      </w:r>
      <w:r w:rsidRPr="0056500E">
        <w:rPr>
          <w:rFonts w:cs="Times New Roman"/>
          <w:szCs w:val="24"/>
        </w:rPr>
        <w:t xml:space="preserve">433.32 and </w:t>
      </w:r>
      <w:r w:rsidR="003E6F2C">
        <w:rPr>
          <w:rFonts w:cs="Times New Roman"/>
          <w:szCs w:val="24"/>
        </w:rPr>
        <w:t xml:space="preserve">Tk </w:t>
      </w:r>
      <w:r w:rsidRPr="0056500E">
        <w:rPr>
          <w:rFonts w:cs="Times New Roman"/>
          <w:szCs w:val="24"/>
        </w:rPr>
        <w:t>480.95 million in 2011-12, 20</w:t>
      </w:r>
      <w:r w:rsidR="00443D4B">
        <w:rPr>
          <w:rFonts w:cs="Times New Roman"/>
          <w:szCs w:val="24"/>
        </w:rPr>
        <w:t>12-13 and 2013-14 respectively.</w:t>
      </w:r>
    </w:p>
    <w:p w:rsidR="00000000" w:rsidRDefault="007F2F9C" w:rsidP="003D5A31">
      <w:pPr>
        <w:pStyle w:val="BodyText"/>
        <w:numPr>
          <w:ilvl w:val="2"/>
          <w:numId w:val="155"/>
        </w:numPr>
        <w:spacing w:after="240" w:line="276" w:lineRule="auto"/>
        <w:jc w:val="both"/>
        <w:rPr>
          <w:rFonts w:cs="Times New Roman"/>
          <w:b/>
          <w:szCs w:val="24"/>
        </w:rPr>
      </w:pPr>
      <w:r w:rsidRPr="001968E1">
        <w:rPr>
          <w:rFonts w:cs="Times New Roman"/>
          <w:b/>
          <w:szCs w:val="24"/>
        </w:rPr>
        <w:t>Supply Constraints, Issues and Challenges for IWT</w:t>
      </w:r>
    </w:p>
    <w:p w:rsidR="0090049C" w:rsidRPr="0090049C" w:rsidRDefault="0090049C" w:rsidP="004B0A08">
      <w:pPr>
        <w:spacing w:line="276" w:lineRule="auto"/>
        <w:jc w:val="both"/>
        <w:rPr>
          <w:rFonts w:cs="Times New Roman"/>
          <w:szCs w:val="24"/>
          <w:lang w:val="en-GB"/>
        </w:rPr>
      </w:pPr>
      <w:r w:rsidRPr="0090049C">
        <w:rPr>
          <w:rFonts w:cs="Times New Roman"/>
          <w:szCs w:val="24"/>
        </w:rPr>
        <w:t xml:space="preserve">The case for rethinking the development role of IWT and taking steps to unleash the potential dynamizing of the IWT is substantial.  In order to understand how to unleash this true potential, it is first important to understand the underlying issues, challenges and constraints in the IWT sector. </w:t>
      </w:r>
      <w:r w:rsidR="007F3783">
        <w:rPr>
          <w:rFonts w:cs="Times New Roman"/>
          <w:szCs w:val="24"/>
          <w:lang w:val="en-GB"/>
        </w:rPr>
        <w:t>A range of constraints adversely affect the supply side of IWT including those related to river morphology and climate change; river transport infrastructure; river safety; and sector financing, investment and governance.</w:t>
      </w:r>
      <w:r w:rsidRPr="007F3783">
        <w:rPr>
          <w:rFonts w:cs="Times New Roman"/>
          <w:szCs w:val="24"/>
          <w:lang w:val="en-GB"/>
        </w:rPr>
        <w:t xml:space="preserve"> </w:t>
      </w:r>
      <w:r w:rsidR="003D2EA0">
        <w:rPr>
          <w:rFonts w:cs="Times New Roman"/>
          <w:szCs w:val="24"/>
          <w:lang w:val="en-GB"/>
        </w:rPr>
        <w:t>The most difficult challenge concerns the matter of maintaining the navigability of inland waterways that is expensive requiring major planning, investment and proper implementation.</w:t>
      </w:r>
    </w:p>
    <w:p w:rsidR="00D04218" w:rsidRDefault="0090049C">
      <w:pPr>
        <w:pStyle w:val="Heading2"/>
      </w:pPr>
      <w:bookmarkStart w:id="662" w:name="_Toc474638911"/>
      <w:r w:rsidRPr="0056500E">
        <w:t>River Morphology and Climate Change Issues</w:t>
      </w:r>
      <w:bookmarkEnd w:id="662"/>
    </w:p>
    <w:p w:rsidR="0090049C" w:rsidRPr="00CD4186" w:rsidRDefault="0090049C" w:rsidP="0090049C">
      <w:pPr>
        <w:spacing w:line="276" w:lineRule="auto"/>
        <w:jc w:val="both"/>
        <w:rPr>
          <w:rFonts w:cs="Times New Roman"/>
          <w:kern w:val="28"/>
          <w:szCs w:val="24"/>
        </w:rPr>
      </w:pPr>
      <w:r>
        <w:rPr>
          <w:rFonts w:cs="Times New Roman"/>
          <w:kern w:val="28"/>
          <w:szCs w:val="24"/>
        </w:rPr>
        <w:t xml:space="preserve">Dynamism and growth of river transportation depends largely on the navigability of our rivers and long-term sustainability of our river system, based on </w:t>
      </w:r>
      <w:r w:rsidRPr="00924255">
        <w:rPr>
          <w:rFonts w:cs="Times New Roman"/>
          <w:kern w:val="28"/>
          <w:szCs w:val="24"/>
        </w:rPr>
        <w:t>the hydrological and morphological characteristics of</w:t>
      </w:r>
      <w:r>
        <w:rPr>
          <w:rFonts w:cs="Times New Roman"/>
          <w:kern w:val="28"/>
          <w:szCs w:val="24"/>
        </w:rPr>
        <w:t xml:space="preserve"> major and minor </w:t>
      </w:r>
      <w:r w:rsidRPr="00924255">
        <w:rPr>
          <w:rFonts w:cs="Times New Roman"/>
          <w:kern w:val="28"/>
          <w:szCs w:val="24"/>
        </w:rPr>
        <w:t xml:space="preserve">rivers </w:t>
      </w:r>
      <w:r>
        <w:rPr>
          <w:rFonts w:cs="Times New Roman"/>
          <w:kern w:val="28"/>
          <w:szCs w:val="24"/>
        </w:rPr>
        <w:t xml:space="preserve">and their tributaries. Together, they constitute the navigable frontiers of our inland river transport system. </w:t>
      </w:r>
      <w:r w:rsidRPr="00924255">
        <w:rPr>
          <w:rFonts w:cs="Times New Roman"/>
          <w:kern w:val="28"/>
          <w:szCs w:val="24"/>
        </w:rPr>
        <w:t>Thus they are the main drivers which influence the overall socio-economic condition of the country. Bangladesh is tec</w:t>
      </w:r>
      <w:r w:rsidR="00FE6385">
        <w:rPr>
          <w:rFonts w:cs="Times New Roman"/>
          <w:kern w:val="28"/>
          <w:szCs w:val="24"/>
        </w:rPr>
        <w:t>ton</w:t>
      </w:r>
      <w:r w:rsidR="00EC4A4B">
        <w:rPr>
          <w:rFonts w:cs="Times New Roman"/>
          <w:kern w:val="28"/>
          <w:szCs w:val="24"/>
        </w:rPr>
        <w:t>i</w:t>
      </w:r>
      <w:r w:rsidRPr="00924255">
        <w:rPr>
          <w:rFonts w:cs="Times New Roman"/>
          <w:kern w:val="28"/>
          <w:szCs w:val="24"/>
        </w:rPr>
        <w:t>cally and seismically active and affected by different natural events and human intervention beyond the border. The huge sediment load coming from upstream is mainly carried by the major rivers of the country and thus these Rivers are morphologically very active. They are an important mode of transport and communication. They are also a significant source of water supply and irrigation. On the other hand annually they consume several thousand hectares of floodplain land leaving thousands of people homeless and damaging or destroying infrastructure.</w:t>
      </w:r>
    </w:p>
    <w:p w:rsidR="0090049C" w:rsidRPr="00F5490A" w:rsidRDefault="0090049C" w:rsidP="00282AE2">
      <w:pPr>
        <w:spacing w:line="276" w:lineRule="auto"/>
        <w:jc w:val="both"/>
        <w:rPr>
          <w:rFonts w:cs="Times New Roman"/>
          <w:szCs w:val="24"/>
        </w:rPr>
      </w:pPr>
      <w:r w:rsidRPr="00924255">
        <w:rPr>
          <w:rFonts w:cs="Times New Roman"/>
          <w:szCs w:val="24"/>
        </w:rPr>
        <w:t xml:space="preserve">Navigational constraints are major problem in developing an efficient and reliable inland water transportation system in Bangladesh. </w:t>
      </w:r>
      <w:r>
        <w:rPr>
          <w:rFonts w:cs="Times New Roman"/>
          <w:szCs w:val="24"/>
        </w:rPr>
        <w:t xml:space="preserve"> </w:t>
      </w:r>
      <w:r w:rsidRPr="00924255">
        <w:rPr>
          <w:rFonts w:cs="Times New Roman"/>
          <w:kern w:val="28"/>
          <w:szCs w:val="24"/>
        </w:rPr>
        <w:t xml:space="preserve">There are numerous factors that affect navigability of Bangladeshi Rivers associated with hydro-morphological issues. </w:t>
      </w:r>
      <w:r w:rsidRPr="004B0A08">
        <w:rPr>
          <w:rFonts w:cs="Times New Roman"/>
          <w:i/>
          <w:kern w:val="28"/>
          <w:szCs w:val="24"/>
        </w:rPr>
        <w:t xml:space="preserve">Avulsion </w:t>
      </w:r>
      <w:r w:rsidRPr="003E6F2C">
        <w:rPr>
          <w:rFonts w:cs="Times New Roman"/>
          <w:i/>
          <w:kern w:val="28"/>
          <w:szCs w:val="24"/>
        </w:rPr>
        <w:t xml:space="preserve">of </w:t>
      </w:r>
      <w:r w:rsidR="003E6F2C" w:rsidRPr="003E6F2C">
        <w:rPr>
          <w:rFonts w:cs="Times New Roman"/>
          <w:i/>
          <w:kern w:val="28"/>
          <w:szCs w:val="24"/>
        </w:rPr>
        <w:t xml:space="preserve">the </w:t>
      </w:r>
      <w:r w:rsidRPr="003E6F2C">
        <w:rPr>
          <w:rFonts w:cs="Times New Roman"/>
          <w:i/>
          <w:kern w:val="28"/>
          <w:szCs w:val="24"/>
        </w:rPr>
        <w:t xml:space="preserve">Brahmaputra and </w:t>
      </w:r>
      <w:r w:rsidR="003E6F2C" w:rsidRPr="003E6F2C">
        <w:rPr>
          <w:rFonts w:cs="Times New Roman"/>
          <w:i/>
          <w:kern w:val="28"/>
          <w:szCs w:val="24"/>
        </w:rPr>
        <w:t xml:space="preserve">the </w:t>
      </w:r>
      <w:r w:rsidRPr="003E6F2C">
        <w:rPr>
          <w:rFonts w:cs="Times New Roman"/>
          <w:i/>
          <w:kern w:val="28"/>
          <w:szCs w:val="24"/>
        </w:rPr>
        <w:t>Teesta, gradual shifting of the Ganges, tec</w:t>
      </w:r>
      <w:r w:rsidR="00F64A6A" w:rsidRPr="00F64A6A">
        <w:rPr>
          <w:rFonts w:cs="Times New Roman"/>
          <w:i/>
          <w:kern w:val="28"/>
          <w:szCs w:val="24"/>
        </w:rPr>
        <w:t>tonic subsidence and uplifting, Deltaic subsidence, and Delta progradation are the main drivers that influence the hydro-morphological development of the river systems of Bangladesh.</w:t>
      </w:r>
      <w:r w:rsidRPr="00924255">
        <w:rPr>
          <w:rFonts w:cs="Times New Roman"/>
          <w:kern w:val="28"/>
          <w:szCs w:val="24"/>
        </w:rPr>
        <w:t xml:space="preserve"> In addition, human intervention, like- construction of dams, barrage, coastal polder, flood embankment, unplanned land use changes and ground water abstraction, has also triggered the changing processes. </w:t>
      </w:r>
    </w:p>
    <w:p w:rsidR="0090049C" w:rsidRPr="00924255" w:rsidRDefault="0090049C" w:rsidP="00282AE2">
      <w:pPr>
        <w:spacing w:line="276" w:lineRule="auto"/>
        <w:jc w:val="both"/>
        <w:rPr>
          <w:rFonts w:cs="Times New Roman"/>
          <w:kern w:val="28"/>
          <w:szCs w:val="24"/>
        </w:rPr>
      </w:pPr>
      <w:r w:rsidRPr="00924255">
        <w:rPr>
          <w:rFonts w:cs="Times New Roman"/>
          <w:kern w:val="28"/>
          <w:szCs w:val="24"/>
        </w:rPr>
        <w:t>However, the active functioning of those drivers varies greatly depending on the regional physical characteristics as discussed above briefly. Moreover, seismic events, like- 1950 Assam earthquake (8.5 Richter scale) have pronounced effect on the delta building process. Huge sediment generated by the earthquake has expedited the delta building process through delta pro</w:t>
      </w:r>
      <w:r>
        <w:rPr>
          <w:rFonts w:cs="Times New Roman"/>
          <w:kern w:val="28"/>
          <w:szCs w:val="24"/>
        </w:rPr>
        <w:t>-</w:t>
      </w:r>
      <w:r w:rsidRPr="00924255">
        <w:rPr>
          <w:rFonts w:cs="Times New Roman"/>
          <w:kern w:val="28"/>
          <w:szCs w:val="24"/>
        </w:rPr>
        <w:t xml:space="preserve">gradation, which is also responsible for floodplain and tidal plain development through river </w:t>
      </w:r>
      <w:r w:rsidRPr="00924255">
        <w:rPr>
          <w:rFonts w:cs="Times New Roman"/>
          <w:kern w:val="28"/>
          <w:szCs w:val="24"/>
        </w:rPr>
        <w:lastRenderedPageBreak/>
        <w:t>morphology adjustment process. An alteration of one driver causes a series of alterations. In general, avulsion of the Brahmaputra River, tec</w:t>
      </w:r>
      <w:r w:rsidR="00FE6385">
        <w:rPr>
          <w:rFonts w:cs="Times New Roman"/>
          <w:kern w:val="28"/>
          <w:szCs w:val="24"/>
        </w:rPr>
        <w:t>ton</w:t>
      </w:r>
      <w:r w:rsidRPr="00924255">
        <w:rPr>
          <w:rFonts w:cs="Times New Roman"/>
          <w:kern w:val="28"/>
          <w:szCs w:val="24"/>
        </w:rPr>
        <w:t>ic activities, deltaic subsidence, and human intervention, along with delta pro</w:t>
      </w:r>
      <w:r>
        <w:rPr>
          <w:rFonts w:cs="Times New Roman"/>
          <w:kern w:val="28"/>
          <w:szCs w:val="24"/>
        </w:rPr>
        <w:t>-</w:t>
      </w:r>
      <w:r w:rsidRPr="00924255">
        <w:rPr>
          <w:rFonts w:cs="Times New Roman"/>
          <w:kern w:val="28"/>
          <w:szCs w:val="24"/>
        </w:rPr>
        <w:t xml:space="preserve">gradation are the main drivers which have influenced the overall river characteristics of Bangladesh in different scale. A list of drivers in different regions of Bangladesh is outlined in Table </w:t>
      </w:r>
      <w:r w:rsidR="008C008D">
        <w:rPr>
          <w:rFonts w:cs="Times New Roman"/>
          <w:kern w:val="28"/>
          <w:szCs w:val="24"/>
        </w:rPr>
        <w:t>9.12</w:t>
      </w:r>
      <w:r w:rsidRPr="00924255">
        <w:rPr>
          <w:rFonts w:cs="Times New Roman"/>
          <w:kern w:val="28"/>
          <w:szCs w:val="24"/>
        </w:rPr>
        <w:t xml:space="preserve">. </w:t>
      </w:r>
    </w:p>
    <w:p w:rsidR="0090049C" w:rsidRPr="00924255" w:rsidRDefault="0090049C" w:rsidP="0090049C">
      <w:pPr>
        <w:pStyle w:val="Heading4"/>
      </w:pPr>
      <w:bookmarkStart w:id="663" w:name="_Toc474639078"/>
      <w:r w:rsidRPr="00924255">
        <w:t xml:space="preserve">Table </w:t>
      </w:r>
      <w:r w:rsidR="008C008D">
        <w:t>9.12</w:t>
      </w:r>
      <w:r w:rsidRPr="00924255">
        <w:t>: Drivers in Different Region of Bangladesh</w:t>
      </w:r>
      <w:bookmarkEnd w:id="66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4"/>
        <w:gridCol w:w="6441"/>
      </w:tblGrid>
      <w:tr w:rsidR="0090049C" w:rsidRPr="004D0CD9" w:rsidTr="00937732">
        <w:trPr>
          <w:trHeight w:val="260"/>
          <w:tblHeader/>
          <w:jc w:val="center"/>
        </w:trPr>
        <w:tc>
          <w:tcPr>
            <w:tcW w:w="2694" w:type="dxa"/>
            <w:shd w:val="clear" w:color="auto" w:fill="D9D9D9"/>
            <w:vAlign w:val="center"/>
          </w:tcPr>
          <w:p w:rsidR="0090049C" w:rsidRPr="00C26B99" w:rsidRDefault="0090049C" w:rsidP="00937732">
            <w:pPr>
              <w:spacing w:after="0" w:line="240" w:lineRule="auto"/>
              <w:rPr>
                <w:rFonts w:cs="Times New Roman"/>
                <w:b/>
                <w:szCs w:val="24"/>
              </w:rPr>
            </w:pPr>
            <w:r w:rsidRPr="00C26B99">
              <w:rPr>
                <w:rFonts w:cs="Times New Roman"/>
                <w:b/>
                <w:szCs w:val="24"/>
              </w:rPr>
              <w:t>Region</w:t>
            </w:r>
          </w:p>
        </w:tc>
        <w:tc>
          <w:tcPr>
            <w:tcW w:w="6441" w:type="dxa"/>
            <w:shd w:val="clear" w:color="auto" w:fill="D9D9D9"/>
            <w:vAlign w:val="center"/>
          </w:tcPr>
          <w:p w:rsidR="0090049C" w:rsidRPr="00C26B99" w:rsidRDefault="0090049C" w:rsidP="00937732">
            <w:pPr>
              <w:spacing w:after="0" w:line="240" w:lineRule="auto"/>
              <w:rPr>
                <w:rFonts w:cs="Times New Roman"/>
                <w:b/>
                <w:szCs w:val="24"/>
              </w:rPr>
            </w:pPr>
            <w:r w:rsidRPr="00C26B99">
              <w:rPr>
                <w:rFonts w:cs="Times New Roman"/>
                <w:b/>
                <w:szCs w:val="24"/>
              </w:rPr>
              <w:t>Drivers</w:t>
            </w:r>
          </w:p>
        </w:tc>
      </w:tr>
      <w:tr w:rsidR="0090049C" w:rsidRPr="004D0CD9" w:rsidTr="00937732">
        <w:trPr>
          <w:jc w:val="center"/>
        </w:trPr>
        <w:tc>
          <w:tcPr>
            <w:tcW w:w="2694" w:type="dxa"/>
          </w:tcPr>
          <w:p w:rsidR="0090049C" w:rsidRPr="00C26B99" w:rsidRDefault="0090049C" w:rsidP="00937732">
            <w:pPr>
              <w:spacing w:after="0" w:line="240" w:lineRule="auto"/>
              <w:rPr>
                <w:rFonts w:cs="Times New Roman"/>
                <w:szCs w:val="24"/>
              </w:rPr>
            </w:pPr>
            <w:r w:rsidRPr="00C26B99">
              <w:rPr>
                <w:rFonts w:cs="Times New Roman"/>
                <w:szCs w:val="24"/>
              </w:rPr>
              <w:t>North-west</w:t>
            </w:r>
          </w:p>
        </w:tc>
        <w:tc>
          <w:tcPr>
            <w:tcW w:w="6441" w:type="dxa"/>
          </w:tcPr>
          <w:p w:rsidR="0090049C" w:rsidRPr="00C26B99" w:rsidRDefault="0090049C" w:rsidP="00D6486D">
            <w:pPr>
              <w:pStyle w:val="ListParagraph"/>
              <w:numPr>
                <w:ilvl w:val="0"/>
                <w:numId w:val="74"/>
              </w:numPr>
              <w:spacing w:after="0" w:line="240" w:lineRule="auto"/>
              <w:ind w:left="342"/>
              <w:jc w:val="both"/>
              <w:rPr>
                <w:rFonts w:eastAsia="Times New Roman" w:cs="Times New Roman"/>
                <w:i/>
                <w:iCs/>
                <w:color w:val="404040"/>
                <w:szCs w:val="24"/>
              </w:rPr>
            </w:pPr>
            <w:r w:rsidRPr="00C26B99">
              <w:rPr>
                <w:rFonts w:cs="Times New Roman"/>
                <w:szCs w:val="24"/>
              </w:rPr>
              <w:t>Human intervention: Teesta Barrage in India, Teesta Barrage in Bangladesh, groundwater abstraction</w:t>
            </w:r>
          </w:p>
          <w:p w:rsidR="0090049C" w:rsidRPr="00C26B99" w:rsidRDefault="0090049C" w:rsidP="00D6486D">
            <w:pPr>
              <w:pStyle w:val="ListParagraph"/>
              <w:numPr>
                <w:ilvl w:val="0"/>
                <w:numId w:val="74"/>
              </w:numPr>
              <w:spacing w:after="0" w:line="240" w:lineRule="auto"/>
              <w:ind w:left="342"/>
              <w:jc w:val="both"/>
              <w:rPr>
                <w:rFonts w:eastAsia="Times New Roman" w:cs="Times New Roman"/>
                <w:i/>
                <w:iCs/>
                <w:color w:val="404040"/>
                <w:szCs w:val="24"/>
              </w:rPr>
            </w:pPr>
            <w:r w:rsidRPr="00C26B99">
              <w:rPr>
                <w:rFonts w:cs="Times New Roman"/>
                <w:szCs w:val="24"/>
              </w:rPr>
              <w:t>Teesta avulsion/shifting</w:t>
            </w:r>
          </w:p>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Brahmaputra avulsion and westward migration of the Brahmaputra</w:t>
            </w:r>
          </w:p>
        </w:tc>
      </w:tr>
      <w:tr w:rsidR="0090049C" w:rsidRPr="004D0CD9" w:rsidTr="00937732">
        <w:trPr>
          <w:jc w:val="center"/>
        </w:trPr>
        <w:tc>
          <w:tcPr>
            <w:tcW w:w="2694" w:type="dxa"/>
          </w:tcPr>
          <w:p w:rsidR="0090049C" w:rsidRPr="00C26B99" w:rsidRDefault="0090049C" w:rsidP="00937732">
            <w:pPr>
              <w:spacing w:after="0" w:line="240" w:lineRule="auto"/>
              <w:rPr>
                <w:rFonts w:cs="Times New Roman"/>
                <w:szCs w:val="24"/>
              </w:rPr>
            </w:pPr>
            <w:r w:rsidRPr="00C26B99">
              <w:rPr>
                <w:rFonts w:cs="Times New Roman"/>
                <w:szCs w:val="24"/>
              </w:rPr>
              <w:t>North-central</w:t>
            </w:r>
          </w:p>
        </w:tc>
        <w:tc>
          <w:tcPr>
            <w:tcW w:w="6441" w:type="dxa"/>
          </w:tcPr>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Brahmaputra avulsion</w:t>
            </w:r>
          </w:p>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Changes of flow regime in distributaries</w:t>
            </w:r>
          </w:p>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Human intervention:  Unplanned settlement, industrialization along the distributary rivers in this region, Ground water extraction</w:t>
            </w:r>
          </w:p>
        </w:tc>
      </w:tr>
      <w:tr w:rsidR="0090049C" w:rsidRPr="004D0CD9" w:rsidTr="00937732">
        <w:trPr>
          <w:jc w:val="center"/>
        </w:trPr>
        <w:tc>
          <w:tcPr>
            <w:tcW w:w="2694" w:type="dxa"/>
          </w:tcPr>
          <w:p w:rsidR="0090049C" w:rsidRPr="00C26B99" w:rsidRDefault="0090049C" w:rsidP="00937732">
            <w:pPr>
              <w:spacing w:after="0" w:line="240" w:lineRule="auto"/>
              <w:rPr>
                <w:rFonts w:cs="Times New Roman"/>
                <w:szCs w:val="24"/>
              </w:rPr>
            </w:pPr>
            <w:r w:rsidRPr="00C26B99">
              <w:rPr>
                <w:rFonts w:cs="Times New Roman"/>
                <w:szCs w:val="24"/>
              </w:rPr>
              <w:t>North-east</w:t>
            </w:r>
          </w:p>
        </w:tc>
        <w:tc>
          <w:tcPr>
            <w:tcW w:w="6441" w:type="dxa"/>
          </w:tcPr>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Tec</w:t>
            </w:r>
            <w:r w:rsidR="00FE6385">
              <w:rPr>
                <w:rFonts w:cs="Times New Roman"/>
                <w:szCs w:val="24"/>
              </w:rPr>
              <w:t>ton</w:t>
            </w:r>
            <w:r w:rsidRPr="00C26B99">
              <w:rPr>
                <w:rFonts w:cs="Times New Roman"/>
                <w:szCs w:val="24"/>
              </w:rPr>
              <w:t>ic subsidence</w:t>
            </w:r>
          </w:p>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 xml:space="preserve">Brahmaputra avulsion </w:t>
            </w:r>
          </w:p>
        </w:tc>
      </w:tr>
      <w:tr w:rsidR="0090049C" w:rsidRPr="004D0CD9" w:rsidTr="00937732">
        <w:trPr>
          <w:jc w:val="center"/>
        </w:trPr>
        <w:tc>
          <w:tcPr>
            <w:tcW w:w="2694" w:type="dxa"/>
          </w:tcPr>
          <w:p w:rsidR="0090049C" w:rsidRPr="00C26B99" w:rsidRDefault="0090049C" w:rsidP="00937732">
            <w:pPr>
              <w:spacing w:after="0" w:line="240" w:lineRule="auto"/>
              <w:rPr>
                <w:rFonts w:cs="Times New Roman"/>
                <w:szCs w:val="24"/>
              </w:rPr>
            </w:pPr>
            <w:r w:rsidRPr="00C26B99">
              <w:rPr>
                <w:rFonts w:cs="Times New Roman"/>
                <w:szCs w:val="24"/>
              </w:rPr>
              <w:t>South-east</w:t>
            </w:r>
          </w:p>
        </w:tc>
        <w:tc>
          <w:tcPr>
            <w:tcW w:w="6441" w:type="dxa"/>
          </w:tcPr>
          <w:p w:rsidR="0090049C" w:rsidRPr="00C26B99" w:rsidRDefault="0090049C" w:rsidP="00EC4A4B">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Tec</w:t>
            </w:r>
            <w:r w:rsidR="00EC4A4B">
              <w:rPr>
                <w:rFonts w:cs="Times New Roman"/>
                <w:szCs w:val="24"/>
              </w:rPr>
              <w:t>ton</w:t>
            </w:r>
            <w:r w:rsidRPr="00C26B99">
              <w:rPr>
                <w:rFonts w:cs="Times New Roman"/>
                <w:szCs w:val="24"/>
              </w:rPr>
              <w:t>ic uplifting, i. e. up folding</w:t>
            </w:r>
          </w:p>
        </w:tc>
      </w:tr>
      <w:tr w:rsidR="0090049C" w:rsidRPr="004D0CD9" w:rsidTr="00937732">
        <w:trPr>
          <w:jc w:val="center"/>
        </w:trPr>
        <w:tc>
          <w:tcPr>
            <w:tcW w:w="2694" w:type="dxa"/>
          </w:tcPr>
          <w:p w:rsidR="0090049C" w:rsidRPr="00C26B99" w:rsidRDefault="0090049C" w:rsidP="00937732">
            <w:pPr>
              <w:spacing w:after="0" w:line="240" w:lineRule="auto"/>
              <w:rPr>
                <w:rFonts w:cs="Times New Roman"/>
                <w:szCs w:val="24"/>
              </w:rPr>
            </w:pPr>
            <w:r w:rsidRPr="00C26B99">
              <w:rPr>
                <w:rFonts w:cs="Times New Roman"/>
                <w:szCs w:val="24"/>
              </w:rPr>
              <w:t>South-west and south-central</w:t>
            </w:r>
          </w:p>
        </w:tc>
        <w:tc>
          <w:tcPr>
            <w:tcW w:w="6441" w:type="dxa"/>
          </w:tcPr>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Ganges shifting to the east</w:t>
            </w:r>
          </w:p>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Brahmaputra avulsion</w:t>
            </w:r>
          </w:p>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Human intervention: Farakka Barrage in India/ construction of series of dams, Coastal polders</w:t>
            </w:r>
          </w:p>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Deltaic subsidence</w:t>
            </w:r>
          </w:p>
          <w:p w:rsidR="0090049C" w:rsidRPr="00C26B99" w:rsidRDefault="0090049C" w:rsidP="00D6486D">
            <w:pPr>
              <w:pStyle w:val="ListParagraph"/>
              <w:numPr>
                <w:ilvl w:val="0"/>
                <w:numId w:val="74"/>
              </w:numPr>
              <w:spacing w:after="0" w:line="240" w:lineRule="auto"/>
              <w:ind w:left="342"/>
              <w:rPr>
                <w:rFonts w:eastAsia="Times New Roman" w:cs="Times New Roman"/>
                <w:i/>
                <w:iCs/>
                <w:color w:val="404040"/>
                <w:szCs w:val="24"/>
              </w:rPr>
            </w:pPr>
            <w:r w:rsidRPr="00C26B99">
              <w:rPr>
                <w:rFonts w:cs="Times New Roman"/>
                <w:szCs w:val="24"/>
              </w:rPr>
              <w:t>Delta progradation</w:t>
            </w:r>
          </w:p>
        </w:tc>
      </w:tr>
    </w:tbl>
    <w:p w:rsidR="0090049C" w:rsidRPr="00144771" w:rsidRDefault="0090049C" w:rsidP="00144771">
      <w:pPr>
        <w:spacing w:before="120" w:line="276" w:lineRule="auto"/>
        <w:rPr>
          <w:rFonts w:cs="Times New Roman"/>
          <w:b/>
          <w:bCs/>
          <w:i/>
          <w:iCs/>
          <w:sz w:val="20"/>
          <w:szCs w:val="20"/>
          <w:lang w:val="en-GB"/>
        </w:rPr>
      </w:pPr>
      <w:r>
        <w:rPr>
          <w:rFonts w:cs="Times New Roman"/>
          <w:b/>
          <w:bCs/>
          <w:i/>
          <w:iCs/>
          <w:sz w:val="20"/>
          <w:szCs w:val="20"/>
          <w:lang w:val="en-GB"/>
        </w:rPr>
        <w:t xml:space="preserve">Source: </w:t>
      </w:r>
      <w:r w:rsidRPr="00E04743">
        <w:rPr>
          <w:rFonts w:cs="Times New Roman"/>
          <w:b/>
          <w:bCs/>
          <w:i/>
          <w:iCs/>
          <w:sz w:val="20"/>
          <w:szCs w:val="20"/>
          <w:lang w:val="en-GB"/>
        </w:rPr>
        <w:t xml:space="preserve">River Systems Management, </w:t>
      </w:r>
      <w:r>
        <w:rPr>
          <w:rFonts w:cs="Times New Roman"/>
          <w:b/>
          <w:bCs/>
          <w:i/>
          <w:iCs/>
          <w:sz w:val="20"/>
          <w:szCs w:val="20"/>
          <w:lang w:val="en-GB"/>
        </w:rPr>
        <w:t>Delta Plan Baseline Study</w:t>
      </w:r>
    </w:p>
    <w:p w:rsidR="000E0250" w:rsidRPr="000E0250" w:rsidRDefault="00174777" w:rsidP="009538ED">
      <w:pPr>
        <w:spacing w:line="276" w:lineRule="auto"/>
        <w:jc w:val="both"/>
        <w:rPr>
          <w:rFonts w:cs="Times New Roman"/>
          <w:b/>
          <w:i/>
          <w:szCs w:val="24"/>
          <w:lang w:val="en-GB"/>
        </w:rPr>
      </w:pPr>
      <w:r>
        <w:rPr>
          <w:rFonts w:cs="Times New Roman"/>
          <w:b/>
          <w:i/>
          <w:szCs w:val="24"/>
          <w:lang w:val="en-GB"/>
        </w:rPr>
        <w:t>Deteriorating river conditions</w:t>
      </w:r>
    </w:p>
    <w:p w:rsidR="007F2F9C" w:rsidRPr="00CD4186" w:rsidRDefault="007F2F9C" w:rsidP="00F5769F">
      <w:pPr>
        <w:spacing w:line="276" w:lineRule="auto"/>
        <w:jc w:val="both"/>
        <w:rPr>
          <w:rFonts w:cs="Times New Roman"/>
          <w:szCs w:val="24"/>
        </w:rPr>
      </w:pPr>
      <w:r w:rsidRPr="00924255">
        <w:rPr>
          <w:rFonts w:cs="Times New Roman"/>
          <w:szCs w:val="24"/>
          <w:lang w:val="en-GB"/>
        </w:rPr>
        <w:t xml:space="preserve">One of the main causes of declining trend of inland water transport identified is the deteriorating condition of the river system in Bangladesh caused by both morphological and natural processes, and withdrawal of water beyond the border and within the country, </w:t>
      </w:r>
      <w:r w:rsidRPr="00924255">
        <w:rPr>
          <w:rFonts w:cs="Times New Roman"/>
          <w:szCs w:val="24"/>
        </w:rPr>
        <w:t>resulted in a decreased dry season navigability of the rivers, channel depths turned out to gradually decline</w:t>
      </w:r>
    </w:p>
    <w:p w:rsidR="007F2F9C" w:rsidRPr="00924255" w:rsidRDefault="007F2F9C" w:rsidP="00F5769F">
      <w:pPr>
        <w:spacing w:line="276" w:lineRule="auto"/>
        <w:jc w:val="both"/>
        <w:rPr>
          <w:rFonts w:cs="Times New Roman"/>
          <w:szCs w:val="24"/>
        </w:rPr>
      </w:pPr>
      <w:r w:rsidRPr="00924255">
        <w:rPr>
          <w:rFonts w:cs="Times New Roman"/>
          <w:szCs w:val="24"/>
        </w:rPr>
        <w:t>The following main causes were considered by the DHV for deterioration of waterways:</w:t>
      </w:r>
    </w:p>
    <w:p w:rsidR="007F2F9C" w:rsidRPr="00BF6AEA" w:rsidRDefault="007F2F9C" w:rsidP="00D6486D">
      <w:pPr>
        <w:pStyle w:val="ListParagraph"/>
        <w:numPr>
          <w:ilvl w:val="1"/>
          <w:numId w:val="75"/>
        </w:numPr>
        <w:spacing w:line="276" w:lineRule="auto"/>
        <w:ind w:left="360"/>
        <w:jc w:val="both"/>
        <w:rPr>
          <w:rFonts w:cs="Times New Roman"/>
          <w:iCs/>
          <w:szCs w:val="24"/>
        </w:rPr>
      </w:pPr>
      <w:r w:rsidRPr="00BF6AEA">
        <w:rPr>
          <w:rFonts w:cs="Times New Roman"/>
          <w:iCs/>
          <w:szCs w:val="24"/>
        </w:rPr>
        <w:t>Abstraction of water or stream flow reduction</w:t>
      </w:r>
    </w:p>
    <w:p w:rsidR="007F2F9C" w:rsidRPr="00BF6AEA" w:rsidRDefault="007F2F9C" w:rsidP="00D6486D">
      <w:pPr>
        <w:pStyle w:val="ListParagraph"/>
        <w:numPr>
          <w:ilvl w:val="1"/>
          <w:numId w:val="75"/>
        </w:numPr>
        <w:spacing w:line="276" w:lineRule="auto"/>
        <w:ind w:left="360"/>
        <w:jc w:val="both"/>
        <w:rPr>
          <w:rFonts w:cs="Times New Roman"/>
          <w:iCs/>
          <w:szCs w:val="24"/>
        </w:rPr>
      </w:pPr>
      <w:r w:rsidRPr="00BF6AEA">
        <w:rPr>
          <w:rFonts w:cs="Times New Roman"/>
          <w:iCs/>
          <w:szCs w:val="24"/>
        </w:rPr>
        <w:t>Reduction in cross-boundary flow</w:t>
      </w:r>
    </w:p>
    <w:p w:rsidR="007F2F9C" w:rsidRPr="00BF6AEA" w:rsidRDefault="007F2F9C" w:rsidP="00D6486D">
      <w:pPr>
        <w:pStyle w:val="ListParagraph"/>
        <w:numPr>
          <w:ilvl w:val="1"/>
          <w:numId w:val="75"/>
        </w:numPr>
        <w:spacing w:line="276" w:lineRule="auto"/>
        <w:ind w:left="360"/>
        <w:jc w:val="both"/>
        <w:rPr>
          <w:rFonts w:cs="Times New Roman"/>
          <w:iCs/>
          <w:szCs w:val="24"/>
        </w:rPr>
      </w:pPr>
      <w:r w:rsidRPr="00BF6AEA">
        <w:rPr>
          <w:rFonts w:cs="Times New Roman"/>
          <w:iCs/>
          <w:szCs w:val="24"/>
        </w:rPr>
        <w:t>Silting up of off takes</w:t>
      </w:r>
    </w:p>
    <w:p w:rsidR="007F2F9C" w:rsidRPr="00BF6AEA" w:rsidRDefault="007F2F9C" w:rsidP="00D6486D">
      <w:pPr>
        <w:pStyle w:val="ListParagraph"/>
        <w:numPr>
          <w:ilvl w:val="1"/>
          <w:numId w:val="75"/>
        </w:numPr>
        <w:spacing w:line="276" w:lineRule="auto"/>
        <w:ind w:left="360"/>
        <w:jc w:val="both"/>
        <w:rPr>
          <w:rFonts w:cs="Times New Roman"/>
          <w:iCs/>
          <w:szCs w:val="24"/>
        </w:rPr>
      </w:pPr>
      <w:r w:rsidRPr="00BF6AEA">
        <w:rPr>
          <w:rFonts w:cs="Times New Roman"/>
          <w:iCs/>
          <w:szCs w:val="24"/>
        </w:rPr>
        <w:t>Reduction in tidal volume</w:t>
      </w:r>
    </w:p>
    <w:p w:rsidR="007F2F9C" w:rsidRPr="00BF6AEA" w:rsidRDefault="007F2F9C" w:rsidP="00D6486D">
      <w:pPr>
        <w:pStyle w:val="ListParagraph"/>
        <w:numPr>
          <w:ilvl w:val="1"/>
          <w:numId w:val="75"/>
        </w:numPr>
        <w:spacing w:line="276" w:lineRule="auto"/>
        <w:ind w:left="360"/>
        <w:jc w:val="both"/>
        <w:rPr>
          <w:rFonts w:cs="Times New Roman"/>
          <w:iCs/>
          <w:szCs w:val="24"/>
        </w:rPr>
      </w:pPr>
      <w:r w:rsidRPr="00BF6AEA">
        <w:rPr>
          <w:rFonts w:cs="Times New Roman"/>
          <w:iCs/>
          <w:szCs w:val="24"/>
        </w:rPr>
        <w:t>On-going sedimentation</w:t>
      </w:r>
      <w:bookmarkStart w:id="664" w:name="_Toc439337189"/>
    </w:p>
    <w:p w:rsidR="00F5769F" w:rsidRPr="004B0A08" w:rsidRDefault="007F2F9C" w:rsidP="00F5769F">
      <w:pPr>
        <w:spacing w:line="276" w:lineRule="auto"/>
        <w:jc w:val="both"/>
        <w:rPr>
          <w:rFonts w:cs="Times New Roman"/>
          <w:i/>
          <w:szCs w:val="24"/>
        </w:rPr>
      </w:pPr>
      <w:r w:rsidRPr="004B0A08">
        <w:rPr>
          <w:rFonts w:cs="Times New Roman"/>
          <w:i/>
          <w:szCs w:val="24"/>
        </w:rPr>
        <w:lastRenderedPageBreak/>
        <w:t xml:space="preserve">Problems in waterways of Bangladesh also prevail in inland waterways in India. From River Notices issued by BIWTA, it is evident that a vessel with 3.5m draught may navigate between Rainmangal (entry/exit point at the border) and Narayanganj/ Ashuganj loaded with 1,500 </w:t>
      </w:r>
      <w:r w:rsidR="00FE6385">
        <w:rPr>
          <w:rFonts w:cs="Times New Roman"/>
          <w:i/>
          <w:szCs w:val="24"/>
        </w:rPr>
        <w:t>tonne</w:t>
      </w:r>
      <w:r w:rsidRPr="004B0A08">
        <w:rPr>
          <w:rFonts w:cs="Times New Roman"/>
          <w:i/>
          <w:szCs w:val="24"/>
        </w:rPr>
        <w:t xml:space="preserve">s of cargo. But due to navigational problems at some spots in the Protocol route in India especially downstream of Namkhana, vessels cannot load more than 1,000 </w:t>
      </w:r>
      <w:r w:rsidR="00FE6385">
        <w:rPr>
          <w:rFonts w:cs="Times New Roman"/>
          <w:i/>
          <w:szCs w:val="24"/>
        </w:rPr>
        <w:t>tonne</w:t>
      </w:r>
      <w:r w:rsidRPr="004B0A08">
        <w:rPr>
          <w:rFonts w:cs="Times New Roman"/>
          <w:i/>
          <w:szCs w:val="24"/>
        </w:rPr>
        <w:t xml:space="preserve">s. On  the other hand vessels destined for Dhubri/Pandu cannot load more than 500-600 </w:t>
      </w:r>
      <w:r w:rsidR="00FE6385">
        <w:rPr>
          <w:rFonts w:cs="Times New Roman"/>
          <w:i/>
          <w:szCs w:val="24"/>
        </w:rPr>
        <w:t>tonne</w:t>
      </w:r>
      <w:r w:rsidRPr="004B0A08">
        <w:rPr>
          <w:rFonts w:cs="Times New Roman"/>
          <w:i/>
          <w:szCs w:val="24"/>
        </w:rPr>
        <w:t>s due to navigational conditions in the route between Mohanpur/Ganga-Meghna confluence) and Saheberagla (entry/exit point at the border). The route between Ashuganj/Bhairab Bazar and Zakirganj (entry/exit point at border) can be used only during monsoon (July to October).</w:t>
      </w:r>
    </w:p>
    <w:p w:rsidR="007F2F9C" w:rsidRPr="004B0A08" w:rsidRDefault="007F2F9C" w:rsidP="00F5769F">
      <w:pPr>
        <w:spacing w:line="276" w:lineRule="auto"/>
        <w:jc w:val="both"/>
        <w:rPr>
          <w:rFonts w:cs="Times New Roman"/>
          <w:i/>
          <w:szCs w:val="24"/>
          <w:lang w:val="en-GB"/>
        </w:rPr>
      </w:pPr>
      <w:r w:rsidRPr="004B0A08">
        <w:rPr>
          <w:rFonts w:cs="Times New Roman"/>
          <w:bCs/>
          <w:i/>
          <w:szCs w:val="24"/>
          <w:lang w:val="en-GB"/>
        </w:rPr>
        <w:t>Currently,</w:t>
      </w:r>
      <w:r w:rsidRPr="004B0A08">
        <w:rPr>
          <w:rFonts w:cs="Times New Roman"/>
          <w:b/>
          <w:i/>
          <w:szCs w:val="24"/>
          <w:lang w:val="en-GB"/>
        </w:rPr>
        <w:t xml:space="preserve"> </w:t>
      </w:r>
      <w:r w:rsidRPr="004B0A08">
        <w:rPr>
          <w:rFonts w:cs="Times New Roman"/>
          <w:i/>
          <w:szCs w:val="24"/>
          <w:lang w:val="en-GB"/>
        </w:rPr>
        <w:t xml:space="preserve">some challenges identified in the IWT sector are as follows: </w:t>
      </w:r>
    </w:p>
    <w:p w:rsidR="007F2F9C" w:rsidRPr="004B0A08" w:rsidRDefault="007F2F9C" w:rsidP="003D5A31">
      <w:pPr>
        <w:pStyle w:val="ListParagraph"/>
        <w:numPr>
          <w:ilvl w:val="0"/>
          <w:numId w:val="113"/>
        </w:numPr>
        <w:spacing w:after="120" w:line="276" w:lineRule="auto"/>
        <w:ind w:left="360"/>
        <w:jc w:val="both"/>
        <w:rPr>
          <w:rFonts w:cs="Times New Roman"/>
          <w:i/>
          <w:szCs w:val="24"/>
          <w:lang w:val="en-GB"/>
        </w:rPr>
      </w:pPr>
      <w:r w:rsidRPr="004B0A08">
        <w:rPr>
          <w:rFonts w:cs="Times New Roman"/>
          <w:i/>
          <w:szCs w:val="24"/>
          <w:lang w:val="en-GB"/>
        </w:rPr>
        <w:t>incremental dredging demand to maintain navigability;</w:t>
      </w:r>
    </w:p>
    <w:p w:rsidR="007F2F9C" w:rsidRPr="004B0A08" w:rsidRDefault="007F2F9C" w:rsidP="003D5A31">
      <w:pPr>
        <w:pStyle w:val="ListParagraph"/>
        <w:numPr>
          <w:ilvl w:val="0"/>
          <w:numId w:val="113"/>
        </w:numPr>
        <w:spacing w:after="120" w:line="276" w:lineRule="auto"/>
        <w:ind w:left="360"/>
        <w:jc w:val="both"/>
        <w:rPr>
          <w:rFonts w:cs="Times New Roman"/>
          <w:i/>
          <w:szCs w:val="24"/>
          <w:lang w:val="en-GB"/>
        </w:rPr>
      </w:pPr>
      <w:r w:rsidRPr="004B0A08">
        <w:rPr>
          <w:rFonts w:cs="Times New Roman"/>
          <w:i/>
          <w:szCs w:val="24"/>
          <w:lang w:val="en-GB"/>
        </w:rPr>
        <w:t xml:space="preserve">lack of infrastructure, </w:t>
      </w:r>
      <w:r w:rsidR="00065D01" w:rsidRPr="004B0A08">
        <w:rPr>
          <w:rFonts w:cs="Times New Roman"/>
          <w:i/>
          <w:szCs w:val="24"/>
          <w:lang w:val="en-GB"/>
        </w:rPr>
        <w:t>non-compliance</w:t>
      </w:r>
      <w:r w:rsidRPr="004B0A08">
        <w:rPr>
          <w:rFonts w:cs="Times New Roman"/>
          <w:i/>
          <w:szCs w:val="24"/>
          <w:lang w:val="en-GB"/>
        </w:rPr>
        <w:t xml:space="preserve"> of guidelines for construction of bridge over the rivers, encroachment in the rivers, </w:t>
      </w:r>
    </w:p>
    <w:p w:rsidR="007F2F9C" w:rsidRPr="004B0A08" w:rsidRDefault="007F2F9C" w:rsidP="003D5A31">
      <w:pPr>
        <w:pStyle w:val="ListParagraph"/>
        <w:numPr>
          <w:ilvl w:val="0"/>
          <w:numId w:val="113"/>
        </w:numPr>
        <w:spacing w:after="120" w:line="276" w:lineRule="auto"/>
        <w:ind w:left="360"/>
        <w:jc w:val="both"/>
        <w:rPr>
          <w:rFonts w:cs="Times New Roman"/>
          <w:i/>
          <w:szCs w:val="24"/>
          <w:lang w:val="en-GB"/>
        </w:rPr>
      </w:pPr>
      <w:r w:rsidRPr="004B0A08">
        <w:rPr>
          <w:rFonts w:cs="Times New Roman"/>
          <w:i/>
          <w:szCs w:val="24"/>
          <w:lang w:val="en-GB"/>
        </w:rPr>
        <w:t xml:space="preserve">lack of safe vessels and skilled workforce, </w:t>
      </w:r>
    </w:p>
    <w:p w:rsidR="007F2F9C" w:rsidRPr="004B0A08" w:rsidRDefault="007F2F9C" w:rsidP="003D5A31">
      <w:pPr>
        <w:pStyle w:val="ListParagraph"/>
        <w:numPr>
          <w:ilvl w:val="0"/>
          <w:numId w:val="113"/>
        </w:numPr>
        <w:spacing w:after="120" w:line="276" w:lineRule="auto"/>
        <w:ind w:left="360"/>
        <w:jc w:val="both"/>
        <w:rPr>
          <w:rFonts w:cs="Times New Roman"/>
          <w:i/>
          <w:szCs w:val="24"/>
          <w:lang w:val="en-GB"/>
        </w:rPr>
      </w:pPr>
      <w:r w:rsidRPr="004B0A08">
        <w:rPr>
          <w:rFonts w:cs="Times New Roman"/>
          <w:i/>
          <w:szCs w:val="24"/>
          <w:lang w:val="en-GB"/>
        </w:rPr>
        <w:t xml:space="preserve">lack of policy guidelines, poor governance, </w:t>
      </w:r>
    </w:p>
    <w:p w:rsidR="007F2F9C" w:rsidRPr="004B0A08" w:rsidRDefault="007F2F9C" w:rsidP="003D5A31">
      <w:pPr>
        <w:pStyle w:val="ListParagraph"/>
        <w:numPr>
          <w:ilvl w:val="0"/>
          <w:numId w:val="113"/>
        </w:numPr>
        <w:spacing w:after="120" w:line="276" w:lineRule="auto"/>
        <w:ind w:left="360"/>
        <w:jc w:val="both"/>
        <w:rPr>
          <w:rFonts w:cs="Times New Roman"/>
          <w:i/>
          <w:szCs w:val="24"/>
          <w:lang w:val="en-GB"/>
        </w:rPr>
      </w:pPr>
      <w:r w:rsidRPr="004B0A08">
        <w:rPr>
          <w:rFonts w:cs="Times New Roman"/>
          <w:i/>
          <w:szCs w:val="24"/>
          <w:lang w:val="en-GB"/>
        </w:rPr>
        <w:t xml:space="preserve">inadequate budget allocation, </w:t>
      </w:r>
    </w:p>
    <w:p w:rsidR="007F2F9C" w:rsidRPr="004B0A08" w:rsidRDefault="007F2F9C" w:rsidP="003D5A31">
      <w:pPr>
        <w:pStyle w:val="ListParagraph"/>
        <w:numPr>
          <w:ilvl w:val="0"/>
          <w:numId w:val="113"/>
        </w:numPr>
        <w:spacing w:after="120" w:line="276" w:lineRule="auto"/>
        <w:ind w:left="360"/>
        <w:jc w:val="both"/>
        <w:rPr>
          <w:rFonts w:cs="Times New Roman"/>
          <w:i/>
          <w:szCs w:val="24"/>
          <w:lang w:val="en-GB"/>
        </w:rPr>
      </w:pPr>
      <w:r w:rsidRPr="004B0A08">
        <w:rPr>
          <w:rFonts w:cs="Times New Roman"/>
          <w:i/>
          <w:szCs w:val="24"/>
          <w:lang w:val="en-GB"/>
        </w:rPr>
        <w:t xml:space="preserve">lack of intermodal coordination, </w:t>
      </w:r>
    </w:p>
    <w:p w:rsidR="007F2F9C" w:rsidRPr="004B0A08" w:rsidRDefault="00915926" w:rsidP="003D5A31">
      <w:pPr>
        <w:pStyle w:val="ListParagraph"/>
        <w:numPr>
          <w:ilvl w:val="0"/>
          <w:numId w:val="113"/>
        </w:numPr>
        <w:spacing w:line="276" w:lineRule="auto"/>
        <w:ind w:left="360"/>
        <w:jc w:val="both"/>
        <w:rPr>
          <w:rFonts w:cs="Times New Roman"/>
          <w:i/>
          <w:szCs w:val="24"/>
          <w:lang w:val="en-GB"/>
        </w:rPr>
      </w:pPr>
      <w:r w:rsidRPr="004B0A08">
        <w:rPr>
          <w:rFonts w:cs="Times New Roman"/>
          <w:i/>
          <w:szCs w:val="24"/>
          <w:lang w:val="en-GB"/>
        </w:rPr>
        <w:t>inadequate progress with</w:t>
      </w:r>
      <w:r w:rsidR="00BF6AEA" w:rsidRPr="004B0A08">
        <w:rPr>
          <w:rFonts w:cs="Times New Roman"/>
          <w:i/>
          <w:szCs w:val="24"/>
          <w:lang w:val="en-GB"/>
        </w:rPr>
        <w:t xml:space="preserve"> regional cooperation</w:t>
      </w:r>
      <w:r w:rsidR="007F2F9C" w:rsidRPr="004B0A08">
        <w:rPr>
          <w:rFonts w:cs="Times New Roman"/>
          <w:i/>
          <w:szCs w:val="24"/>
          <w:lang w:val="en-GB"/>
        </w:rPr>
        <w:t xml:space="preserve">. </w:t>
      </w:r>
    </w:p>
    <w:p w:rsidR="007F2F9C" w:rsidRPr="00924255" w:rsidRDefault="007F2F9C" w:rsidP="00F5769F">
      <w:pPr>
        <w:spacing w:line="276" w:lineRule="auto"/>
        <w:jc w:val="both"/>
        <w:rPr>
          <w:rFonts w:cs="Times New Roman"/>
          <w:szCs w:val="24"/>
          <w:lang w:val="en-GB"/>
        </w:rPr>
      </w:pPr>
      <w:r w:rsidRPr="004B0A08">
        <w:rPr>
          <w:rFonts w:cs="Times New Roman"/>
          <w:i/>
          <w:szCs w:val="24"/>
          <w:lang w:val="en-GB"/>
        </w:rPr>
        <w:t>Rivers are deteriorating and the dredging demand is increasing endlessly. Annual demand of dredging of 8.9 million m</w:t>
      </w:r>
      <w:r w:rsidRPr="004B0A08">
        <w:rPr>
          <w:rFonts w:cs="Times New Roman"/>
          <w:i/>
          <w:szCs w:val="24"/>
          <w:vertAlign w:val="superscript"/>
          <w:lang w:val="en-GB"/>
        </w:rPr>
        <w:t>3</w:t>
      </w:r>
      <w:r w:rsidRPr="004B0A08">
        <w:rPr>
          <w:rFonts w:cs="Times New Roman"/>
          <w:i/>
          <w:szCs w:val="24"/>
          <w:lang w:val="en-GB"/>
        </w:rPr>
        <w:t xml:space="preserve"> as determined by expert committee in 1990s increased to the volume of 18 million m</w:t>
      </w:r>
      <w:r w:rsidRPr="004B0A08">
        <w:rPr>
          <w:rFonts w:cs="Times New Roman"/>
          <w:i/>
          <w:szCs w:val="24"/>
          <w:vertAlign w:val="superscript"/>
          <w:lang w:val="en-GB"/>
        </w:rPr>
        <w:t>3</w:t>
      </w:r>
      <w:r w:rsidRPr="004B0A08">
        <w:rPr>
          <w:rFonts w:cs="Times New Roman"/>
          <w:i/>
          <w:szCs w:val="24"/>
          <w:lang w:val="en-GB"/>
        </w:rPr>
        <w:t xml:space="preserve"> in 2009 </w:t>
      </w:r>
      <w:r w:rsidR="00BF6AEA" w:rsidRPr="004B0A08">
        <w:rPr>
          <w:rFonts w:cs="Times New Roman"/>
          <w:i/>
          <w:szCs w:val="24"/>
          <w:lang w:val="en-GB"/>
        </w:rPr>
        <w:t xml:space="preserve">as recommended </w:t>
      </w:r>
      <w:r w:rsidRPr="004B0A08">
        <w:rPr>
          <w:rFonts w:cs="Times New Roman"/>
          <w:i/>
          <w:szCs w:val="24"/>
          <w:lang w:val="en-GB"/>
        </w:rPr>
        <w:t>by the IWT Master Plan Study Report.</w:t>
      </w:r>
      <w:r w:rsidRPr="00924255">
        <w:rPr>
          <w:rFonts w:cs="Times New Roman"/>
          <w:szCs w:val="24"/>
          <w:lang w:val="en-GB"/>
        </w:rPr>
        <w:t xml:space="preserve"> </w:t>
      </w:r>
      <w:r w:rsidR="00BF6AEA">
        <w:rPr>
          <w:rFonts w:cs="Times New Roman"/>
          <w:szCs w:val="24"/>
          <w:lang w:val="en-GB"/>
        </w:rPr>
        <w:t>As opposed to this, t</w:t>
      </w:r>
      <w:r w:rsidR="000E0250">
        <w:rPr>
          <w:rFonts w:cs="Times New Roman"/>
          <w:szCs w:val="24"/>
          <w:lang w:val="en-GB"/>
        </w:rPr>
        <w:t>he IWT has not</w:t>
      </w:r>
      <w:r w:rsidRPr="00924255">
        <w:rPr>
          <w:rFonts w:cs="Times New Roman"/>
          <w:szCs w:val="24"/>
          <w:lang w:val="en-GB"/>
        </w:rPr>
        <w:t xml:space="preserve"> been able to capture the rightful place in budget allocation as it has never been a popular political choice for development in Bangladesh. Against the modal share of 8.9% and 16% respectively in passenger and freight movement, the IWT received on average less than 5% of the total ADP allocation for surface transport.</w:t>
      </w:r>
    </w:p>
    <w:p w:rsidR="007F2F9C" w:rsidRDefault="007F2F9C" w:rsidP="00F5769F">
      <w:pPr>
        <w:spacing w:line="276" w:lineRule="auto"/>
        <w:jc w:val="both"/>
        <w:rPr>
          <w:rFonts w:cs="Times New Roman"/>
          <w:szCs w:val="24"/>
          <w:lang w:val="en-GB"/>
        </w:rPr>
      </w:pPr>
      <w:r w:rsidRPr="00924255">
        <w:rPr>
          <w:rFonts w:cs="Times New Roman"/>
          <w:szCs w:val="24"/>
          <w:lang w:val="en-GB"/>
        </w:rPr>
        <w:t xml:space="preserve">Poor governance and inadequate institutional capacity and inefficiency are very much evident in </w:t>
      </w:r>
      <w:r w:rsidR="000E0250">
        <w:rPr>
          <w:rFonts w:cs="Times New Roman"/>
          <w:szCs w:val="24"/>
          <w:lang w:val="en-GB"/>
        </w:rPr>
        <w:t xml:space="preserve">the </w:t>
      </w:r>
      <w:r w:rsidRPr="00924255">
        <w:rPr>
          <w:rFonts w:cs="Times New Roman"/>
          <w:szCs w:val="24"/>
          <w:lang w:val="en-GB"/>
        </w:rPr>
        <w:t>case of construction and registration of inland vessels in terms of ship safety and in case of management and operations of inland ports and inland waterways.</w:t>
      </w:r>
    </w:p>
    <w:p w:rsidR="00000000" w:rsidRDefault="0090049C" w:rsidP="003D5A31">
      <w:pPr>
        <w:pStyle w:val="BodyText"/>
        <w:numPr>
          <w:ilvl w:val="2"/>
          <w:numId w:val="239"/>
        </w:numPr>
        <w:spacing w:after="240" w:line="276" w:lineRule="auto"/>
        <w:jc w:val="both"/>
        <w:rPr>
          <w:rFonts w:cs="Times New Roman"/>
          <w:b/>
          <w:szCs w:val="24"/>
        </w:rPr>
      </w:pPr>
      <w:r w:rsidRPr="001968E1">
        <w:rPr>
          <w:rFonts w:cs="Times New Roman"/>
          <w:b/>
          <w:szCs w:val="24"/>
        </w:rPr>
        <w:t>Impact of Climate Change on IWT</w:t>
      </w:r>
    </w:p>
    <w:p w:rsidR="0090049C" w:rsidRDefault="0090049C" w:rsidP="0090049C">
      <w:pPr>
        <w:spacing w:line="276" w:lineRule="auto"/>
        <w:jc w:val="both"/>
        <w:rPr>
          <w:rFonts w:cs="Times New Roman"/>
          <w:szCs w:val="24"/>
        </w:rPr>
      </w:pPr>
      <w:r w:rsidRPr="00924255">
        <w:rPr>
          <w:rFonts w:cs="Times New Roman"/>
          <w:szCs w:val="24"/>
        </w:rPr>
        <w:t>Gradually the flow of waterways has become alarmingly erratic causing huge siltation in the rivers. As a result inland navigation is becoming hazardous and shrinking rapidly. Rivers have become so unpredictable that dredging could not yield benefit for navigation. According to the Bangladesh Climate Change Strategy and Action Plan (2009) possible impacts in Bangladesh are the following:</w:t>
      </w:r>
    </w:p>
    <w:p w:rsidR="0090049C" w:rsidRPr="0043509F" w:rsidRDefault="0090049C" w:rsidP="00D6486D">
      <w:pPr>
        <w:pStyle w:val="ListParagraph"/>
        <w:numPr>
          <w:ilvl w:val="0"/>
          <w:numId w:val="86"/>
        </w:numPr>
        <w:spacing w:line="276" w:lineRule="auto"/>
        <w:ind w:left="360"/>
        <w:jc w:val="both"/>
        <w:rPr>
          <w:rFonts w:cs="Times New Roman"/>
          <w:szCs w:val="24"/>
        </w:rPr>
      </w:pPr>
      <w:r w:rsidRPr="0043509F">
        <w:rPr>
          <w:rFonts w:cs="Times New Roman"/>
          <w:szCs w:val="24"/>
        </w:rPr>
        <w:lastRenderedPageBreak/>
        <w:t xml:space="preserve">Increasingly frequent and severe tropical cyclones, leading to more damage in the coastal region; </w:t>
      </w:r>
    </w:p>
    <w:p w:rsidR="0090049C" w:rsidRPr="0043509F" w:rsidRDefault="0090049C" w:rsidP="00D6486D">
      <w:pPr>
        <w:pStyle w:val="ListParagraph"/>
        <w:numPr>
          <w:ilvl w:val="0"/>
          <w:numId w:val="86"/>
        </w:numPr>
        <w:spacing w:line="276" w:lineRule="auto"/>
        <w:ind w:left="360"/>
        <w:jc w:val="both"/>
        <w:rPr>
          <w:rFonts w:cs="Times New Roman"/>
          <w:szCs w:val="24"/>
        </w:rPr>
      </w:pPr>
      <w:r w:rsidRPr="0043509F">
        <w:rPr>
          <w:rFonts w:cs="Times New Roman"/>
          <w:szCs w:val="24"/>
        </w:rPr>
        <w:t xml:space="preserve">Heavier and more erratic rainfall in the </w:t>
      </w:r>
      <w:r w:rsidR="003E6F2C">
        <w:rPr>
          <w:rFonts w:cs="Times New Roman"/>
          <w:szCs w:val="24"/>
        </w:rPr>
        <w:t xml:space="preserve">the </w:t>
      </w:r>
      <w:r w:rsidRPr="0043509F">
        <w:rPr>
          <w:rFonts w:cs="Times New Roman"/>
          <w:szCs w:val="24"/>
        </w:rPr>
        <w:t>G</w:t>
      </w:r>
      <w:r w:rsidR="003E6F2C">
        <w:rPr>
          <w:rFonts w:cs="Times New Roman"/>
          <w:szCs w:val="24"/>
        </w:rPr>
        <w:t xml:space="preserve">anges-the </w:t>
      </w:r>
      <w:r w:rsidRPr="0043509F">
        <w:rPr>
          <w:rFonts w:cs="Times New Roman"/>
          <w:szCs w:val="24"/>
        </w:rPr>
        <w:t>B</w:t>
      </w:r>
      <w:r w:rsidR="003E6F2C">
        <w:rPr>
          <w:rFonts w:cs="Times New Roman"/>
          <w:szCs w:val="24"/>
        </w:rPr>
        <w:t xml:space="preserve">hramaputra-the </w:t>
      </w:r>
      <w:r w:rsidRPr="0043509F">
        <w:rPr>
          <w:rFonts w:cs="Times New Roman"/>
          <w:szCs w:val="24"/>
        </w:rPr>
        <w:t>M</w:t>
      </w:r>
      <w:r w:rsidR="003E6F2C">
        <w:rPr>
          <w:rFonts w:cs="Times New Roman"/>
          <w:szCs w:val="24"/>
        </w:rPr>
        <w:t xml:space="preserve">eghna basin </w:t>
      </w:r>
      <w:r w:rsidRPr="0043509F">
        <w:rPr>
          <w:rFonts w:cs="Times New Roman"/>
          <w:szCs w:val="24"/>
        </w:rPr>
        <w:t>system</w:t>
      </w:r>
      <w:r w:rsidR="003E6F2C">
        <w:rPr>
          <w:rFonts w:cs="Times New Roman"/>
          <w:szCs w:val="24"/>
        </w:rPr>
        <w:t>s</w:t>
      </w:r>
      <w:r w:rsidRPr="0043509F">
        <w:rPr>
          <w:rFonts w:cs="Times New Roman"/>
          <w:szCs w:val="24"/>
        </w:rPr>
        <w:t xml:space="preserve">, including Bangladesh, during the monsoon resulting in higher river flows, causing over-topping and breaching of embankments and widespread flooding; </w:t>
      </w:r>
    </w:p>
    <w:p w:rsidR="0090049C" w:rsidRPr="0043509F" w:rsidRDefault="0090049C" w:rsidP="00D6486D">
      <w:pPr>
        <w:pStyle w:val="ListParagraph"/>
        <w:numPr>
          <w:ilvl w:val="0"/>
          <w:numId w:val="86"/>
        </w:numPr>
        <w:spacing w:line="276" w:lineRule="auto"/>
        <w:ind w:left="360"/>
        <w:jc w:val="both"/>
        <w:rPr>
          <w:rFonts w:cs="Times New Roman"/>
          <w:szCs w:val="24"/>
        </w:rPr>
      </w:pPr>
      <w:r w:rsidRPr="0043509F">
        <w:rPr>
          <w:rFonts w:cs="Times New Roman"/>
          <w:szCs w:val="24"/>
        </w:rPr>
        <w:t>River bank erosion resulting in loss of homes and agricultural land to the rivers;</w:t>
      </w:r>
    </w:p>
    <w:p w:rsidR="0090049C" w:rsidRPr="0043509F" w:rsidRDefault="0090049C" w:rsidP="00D6486D">
      <w:pPr>
        <w:pStyle w:val="ListParagraph"/>
        <w:numPr>
          <w:ilvl w:val="0"/>
          <w:numId w:val="86"/>
        </w:numPr>
        <w:spacing w:line="276" w:lineRule="auto"/>
        <w:ind w:left="360"/>
        <w:jc w:val="both"/>
        <w:rPr>
          <w:rFonts w:cs="Times New Roman"/>
          <w:szCs w:val="24"/>
        </w:rPr>
      </w:pPr>
      <w:r>
        <w:rPr>
          <w:rFonts w:cs="Times New Roman"/>
          <w:szCs w:val="24"/>
        </w:rPr>
        <w:t>I</w:t>
      </w:r>
      <w:r w:rsidRPr="0043509F">
        <w:rPr>
          <w:rFonts w:cs="Times New Roman"/>
          <w:szCs w:val="24"/>
        </w:rPr>
        <w:t xml:space="preserve">ncreased sedimentation in riverbeds leading to drainage congestion and water-logging; </w:t>
      </w:r>
    </w:p>
    <w:p w:rsidR="0090049C" w:rsidRPr="0043509F" w:rsidRDefault="0090049C" w:rsidP="00D6486D">
      <w:pPr>
        <w:pStyle w:val="ListParagraph"/>
        <w:numPr>
          <w:ilvl w:val="0"/>
          <w:numId w:val="86"/>
        </w:numPr>
        <w:spacing w:line="276" w:lineRule="auto"/>
        <w:ind w:left="360"/>
        <w:jc w:val="both"/>
        <w:rPr>
          <w:rFonts w:cs="Times New Roman"/>
          <w:szCs w:val="24"/>
        </w:rPr>
      </w:pPr>
      <w:r>
        <w:rPr>
          <w:rFonts w:cs="Times New Roman"/>
          <w:szCs w:val="24"/>
        </w:rPr>
        <w:t>M</w:t>
      </w:r>
      <w:r w:rsidRPr="0043509F">
        <w:rPr>
          <w:rFonts w:cs="Times New Roman"/>
          <w:szCs w:val="24"/>
        </w:rPr>
        <w:t xml:space="preserve">elting of the Himalayan glaciers, leading to higher river flows in the warmer months of the year, followed by lower river flows and increased saline intrusion after the glaciers have shrunk or disappeared; </w:t>
      </w:r>
    </w:p>
    <w:p w:rsidR="0090049C" w:rsidRPr="0043509F" w:rsidRDefault="0090049C" w:rsidP="00D6486D">
      <w:pPr>
        <w:pStyle w:val="ListParagraph"/>
        <w:numPr>
          <w:ilvl w:val="0"/>
          <w:numId w:val="86"/>
        </w:numPr>
        <w:spacing w:line="276" w:lineRule="auto"/>
        <w:ind w:left="360"/>
        <w:jc w:val="both"/>
        <w:rPr>
          <w:rFonts w:cs="Times New Roman"/>
          <w:szCs w:val="24"/>
        </w:rPr>
      </w:pPr>
      <w:r>
        <w:rPr>
          <w:rFonts w:cs="Times New Roman"/>
          <w:szCs w:val="24"/>
        </w:rPr>
        <w:t>L</w:t>
      </w:r>
      <w:r w:rsidRPr="0043509F">
        <w:rPr>
          <w:rFonts w:cs="Times New Roman"/>
          <w:szCs w:val="24"/>
        </w:rPr>
        <w:t xml:space="preserve">ower and more erratic rainfall, resulting in increasing droughts, especially in drier northern and western regions of the country; </w:t>
      </w:r>
    </w:p>
    <w:p w:rsidR="0090049C" w:rsidRPr="0043509F" w:rsidRDefault="0090049C" w:rsidP="00D6486D">
      <w:pPr>
        <w:pStyle w:val="ListParagraph"/>
        <w:numPr>
          <w:ilvl w:val="0"/>
          <w:numId w:val="86"/>
        </w:numPr>
        <w:spacing w:line="276" w:lineRule="auto"/>
        <w:ind w:left="360"/>
        <w:jc w:val="both"/>
        <w:rPr>
          <w:rFonts w:cs="Times New Roman"/>
          <w:szCs w:val="24"/>
        </w:rPr>
      </w:pPr>
      <w:r>
        <w:rPr>
          <w:rFonts w:cs="Times New Roman"/>
          <w:szCs w:val="24"/>
        </w:rPr>
        <w:t>S</w:t>
      </w:r>
      <w:r w:rsidRPr="0043509F">
        <w:rPr>
          <w:rFonts w:cs="Times New Roman"/>
          <w:szCs w:val="24"/>
        </w:rPr>
        <w:t>ea level rise leading to submergence of low lying coastal areas and saline water intrusion up coastal rivers.</w:t>
      </w:r>
    </w:p>
    <w:p w:rsidR="0090049C" w:rsidRDefault="0090049C" w:rsidP="0090049C">
      <w:pPr>
        <w:spacing w:line="276" w:lineRule="auto"/>
        <w:jc w:val="both"/>
        <w:rPr>
          <w:rFonts w:cs="Times New Roman"/>
          <w:szCs w:val="24"/>
        </w:rPr>
      </w:pPr>
      <w:r w:rsidRPr="00924255">
        <w:rPr>
          <w:rFonts w:cs="Times New Roman"/>
          <w:szCs w:val="24"/>
        </w:rPr>
        <w:t xml:space="preserve">Some impacts on inland water transport </w:t>
      </w:r>
      <w:r>
        <w:rPr>
          <w:rFonts w:cs="Times New Roman"/>
          <w:szCs w:val="24"/>
        </w:rPr>
        <w:t>due to climate change are as follows</w:t>
      </w:r>
      <w:r w:rsidRPr="00924255">
        <w:rPr>
          <w:rFonts w:cs="Times New Roman"/>
          <w:szCs w:val="24"/>
        </w:rPr>
        <w:t xml:space="preserve">: </w:t>
      </w:r>
    </w:p>
    <w:p w:rsidR="0090049C" w:rsidRPr="00924255" w:rsidRDefault="0090049C" w:rsidP="00D6486D">
      <w:pPr>
        <w:pStyle w:val="ListParagraph"/>
        <w:numPr>
          <w:ilvl w:val="1"/>
          <w:numId w:val="70"/>
        </w:numPr>
        <w:spacing w:line="276" w:lineRule="auto"/>
        <w:ind w:left="360"/>
        <w:jc w:val="both"/>
        <w:rPr>
          <w:rFonts w:cs="Times New Roman"/>
          <w:szCs w:val="24"/>
        </w:rPr>
      </w:pPr>
      <w:r w:rsidRPr="00924255">
        <w:rPr>
          <w:rFonts w:cs="Times New Roman"/>
          <w:szCs w:val="24"/>
        </w:rPr>
        <w:t>Loss of navigability due to increase in frequency and duration of dry spell may imply higher prices and losses,</w:t>
      </w:r>
    </w:p>
    <w:p w:rsidR="0090049C" w:rsidRPr="00924255" w:rsidRDefault="0090049C" w:rsidP="00D6486D">
      <w:pPr>
        <w:pStyle w:val="ListParagraph"/>
        <w:numPr>
          <w:ilvl w:val="1"/>
          <w:numId w:val="70"/>
        </w:numPr>
        <w:spacing w:line="276" w:lineRule="auto"/>
        <w:ind w:left="360"/>
        <w:jc w:val="both"/>
        <w:rPr>
          <w:rFonts w:cs="Times New Roman"/>
          <w:szCs w:val="24"/>
        </w:rPr>
      </w:pPr>
      <w:r w:rsidRPr="00924255">
        <w:rPr>
          <w:rFonts w:cs="Times New Roman"/>
          <w:szCs w:val="24"/>
        </w:rPr>
        <w:t>Increase in frequency in wet and stormy period may imply higher costs due to weather disturbances and safety,</w:t>
      </w:r>
    </w:p>
    <w:p w:rsidR="0090049C" w:rsidRPr="00924255" w:rsidRDefault="0090049C" w:rsidP="00D6486D">
      <w:pPr>
        <w:pStyle w:val="ListParagraph"/>
        <w:numPr>
          <w:ilvl w:val="1"/>
          <w:numId w:val="70"/>
        </w:numPr>
        <w:spacing w:line="276" w:lineRule="auto"/>
        <w:ind w:left="360"/>
        <w:jc w:val="both"/>
        <w:rPr>
          <w:rFonts w:cs="Times New Roman"/>
          <w:szCs w:val="24"/>
        </w:rPr>
      </w:pPr>
      <w:r w:rsidRPr="00924255">
        <w:rPr>
          <w:rFonts w:cs="Times New Roman"/>
          <w:szCs w:val="24"/>
        </w:rPr>
        <w:t>Gradual low flow conditions and resulting economic losses,</w:t>
      </w:r>
    </w:p>
    <w:p w:rsidR="0090049C" w:rsidRPr="00924255" w:rsidRDefault="0090049C" w:rsidP="00D6486D">
      <w:pPr>
        <w:pStyle w:val="ListParagraph"/>
        <w:numPr>
          <w:ilvl w:val="1"/>
          <w:numId w:val="70"/>
        </w:numPr>
        <w:spacing w:line="276" w:lineRule="auto"/>
        <w:ind w:left="360"/>
        <w:jc w:val="both"/>
        <w:rPr>
          <w:rFonts w:cs="Times New Roman"/>
          <w:szCs w:val="24"/>
        </w:rPr>
      </w:pPr>
      <w:r w:rsidRPr="00924255">
        <w:rPr>
          <w:rFonts w:cs="Times New Roman"/>
          <w:szCs w:val="24"/>
        </w:rPr>
        <w:t>Large variations and reduced water depth,</w:t>
      </w:r>
    </w:p>
    <w:p w:rsidR="0090049C" w:rsidRPr="00924255" w:rsidRDefault="0090049C" w:rsidP="00D6486D">
      <w:pPr>
        <w:pStyle w:val="ListParagraph"/>
        <w:numPr>
          <w:ilvl w:val="1"/>
          <w:numId w:val="70"/>
        </w:numPr>
        <w:spacing w:line="276" w:lineRule="auto"/>
        <w:ind w:left="360"/>
        <w:jc w:val="both"/>
        <w:rPr>
          <w:rFonts w:cs="Times New Roman"/>
          <w:szCs w:val="24"/>
        </w:rPr>
      </w:pPr>
      <w:r w:rsidRPr="00924255">
        <w:rPr>
          <w:rFonts w:cs="Times New Roman"/>
          <w:szCs w:val="24"/>
        </w:rPr>
        <w:t>Sharp increase in frequency of extreme costs,</w:t>
      </w:r>
    </w:p>
    <w:p w:rsidR="0090049C" w:rsidRPr="00924255" w:rsidRDefault="0090049C" w:rsidP="00D6486D">
      <w:pPr>
        <w:pStyle w:val="ListParagraph"/>
        <w:numPr>
          <w:ilvl w:val="1"/>
          <w:numId w:val="70"/>
        </w:numPr>
        <w:spacing w:line="276" w:lineRule="auto"/>
        <w:ind w:left="360"/>
        <w:jc w:val="both"/>
        <w:rPr>
          <w:rFonts w:cs="Times New Roman"/>
          <w:szCs w:val="24"/>
        </w:rPr>
      </w:pPr>
      <w:r w:rsidRPr="00924255">
        <w:rPr>
          <w:rFonts w:cs="Times New Roman"/>
          <w:szCs w:val="24"/>
        </w:rPr>
        <w:t>Damage from cyclones and storm surge to IWT infrastructure.</w:t>
      </w:r>
    </w:p>
    <w:p w:rsidR="0090049C" w:rsidRPr="00924255" w:rsidRDefault="0090049C" w:rsidP="0090049C">
      <w:pPr>
        <w:spacing w:line="276" w:lineRule="auto"/>
        <w:jc w:val="both"/>
        <w:rPr>
          <w:rFonts w:cs="Times New Roman"/>
          <w:szCs w:val="24"/>
        </w:rPr>
      </w:pPr>
      <w:r w:rsidRPr="00924255">
        <w:rPr>
          <w:rFonts w:cs="Times New Roman"/>
          <w:szCs w:val="24"/>
        </w:rPr>
        <w:t xml:space="preserve">Despite BIWTA’s aid to navigation support along the channel, change of river course has become unpredictable resulting in grounding of vessels which often cause economic losses. </w:t>
      </w:r>
    </w:p>
    <w:p w:rsidR="0090049C" w:rsidRPr="00924255" w:rsidRDefault="0090049C" w:rsidP="0090049C">
      <w:pPr>
        <w:spacing w:line="276" w:lineRule="auto"/>
        <w:jc w:val="both"/>
        <w:rPr>
          <w:rFonts w:cs="Times New Roman"/>
          <w:szCs w:val="24"/>
        </w:rPr>
      </w:pPr>
      <w:r w:rsidRPr="004B0A08">
        <w:rPr>
          <w:rFonts w:cs="Times New Roman"/>
          <w:i/>
          <w:szCs w:val="24"/>
        </w:rPr>
        <w:t>The impact of climate change is very much evident in case of 24 terminals developed by BIWTA in the early 1970s also used as cyclone shelters in the coastal area. Not a single terminal is in use now as the rivers lost navigability or change their courses away from the terminal and some of the terminals disappeared due to river erosion.</w:t>
      </w:r>
      <w:r w:rsidRPr="00924255">
        <w:rPr>
          <w:rFonts w:cs="Times New Roman"/>
          <w:szCs w:val="24"/>
        </w:rPr>
        <w:t xml:space="preserve"> The equipment to navigation is vulnerable to cyclone, storm surge. This equipment is washed away regularly by onrush of flood water. SIDR, 2007 destroyed, damaged or washed away about 80% of such equipment installed in the Khulna and Barisal Divisions. Of the total 380 landing stations developed so far by BIWTA 43% are located in places registered under Divisions of Khulna and Barisal. About 35% of the landing stations in the above two divisions were completely </w:t>
      </w:r>
      <w:r w:rsidR="003E6F2C" w:rsidRPr="00924255">
        <w:rPr>
          <w:rFonts w:cs="Times New Roman"/>
          <w:szCs w:val="24"/>
        </w:rPr>
        <w:t>damaged</w:t>
      </w:r>
      <w:r w:rsidR="003E6F2C">
        <w:rPr>
          <w:rFonts w:cs="Times New Roman"/>
          <w:szCs w:val="24"/>
        </w:rPr>
        <w:t>,</w:t>
      </w:r>
      <w:r w:rsidRPr="00924255">
        <w:rPr>
          <w:rFonts w:cs="Times New Roman"/>
          <w:szCs w:val="24"/>
        </w:rPr>
        <w:t xml:space="preserve"> pontoons were displaced, damaged or capsized during SIDR in 2007. Landing stations located in the coastal area are exposed to saline intrusion. Floating pontoons, jetties or shore connections cannot last long due to salinity of water. </w:t>
      </w:r>
    </w:p>
    <w:p w:rsidR="0090049C" w:rsidRPr="00924255" w:rsidRDefault="0090049C" w:rsidP="0090049C">
      <w:pPr>
        <w:spacing w:line="276" w:lineRule="auto"/>
        <w:jc w:val="both"/>
        <w:rPr>
          <w:rFonts w:cs="Times New Roman"/>
          <w:szCs w:val="24"/>
        </w:rPr>
      </w:pPr>
      <w:r w:rsidRPr="00924255">
        <w:rPr>
          <w:rFonts w:cs="Times New Roman"/>
          <w:szCs w:val="24"/>
        </w:rPr>
        <w:lastRenderedPageBreak/>
        <w:t xml:space="preserve">Ports and landing stations were developed by BIWTA following the benchmark of </w:t>
      </w:r>
      <w:r w:rsidR="00847D39">
        <w:rPr>
          <w:rFonts w:cs="Times New Roman"/>
          <w:szCs w:val="24"/>
        </w:rPr>
        <w:t>Public</w:t>
      </w:r>
      <w:r w:rsidRPr="00924255">
        <w:rPr>
          <w:rFonts w:cs="Times New Roman"/>
          <w:szCs w:val="24"/>
        </w:rPr>
        <w:t xml:space="preserve"> Works Department (PWD) calculating the high and low water variation. As climate change factors were not considered, in some places it already can be seen that facilities developed in the past are now on the shore quite a distance away from the river or in the mid-stream of the river without any shore connection. Floating pontoons are often shifted to another place due to change of course of the river or due to erosion leaving behind the piles or spuds.</w:t>
      </w:r>
    </w:p>
    <w:p w:rsidR="0090049C" w:rsidRPr="004B0A08" w:rsidRDefault="0090049C" w:rsidP="00F5769F">
      <w:pPr>
        <w:spacing w:line="276" w:lineRule="auto"/>
        <w:jc w:val="both"/>
        <w:rPr>
          <w:rFonts w:cs="Times New Roman"/>
          <w:szCs w:val="24"/>
        </w:rPr>
      </w:pPr>
      <w:r w:rsidRPr="00924255">
        <w:rPr>
          <w:rFonts w:cs="Times New Roman"/>
          <w:szCs w:val="24"/>
        </w:rPr>
        <w:t>Moreover, in late monsoon, due to flash floods and strong current in rivers, water increases in some stretches to such an extent that navigation becomes very dangerous. One of such examples is the confluence of the Meghna and Dakatia near Chandpur where dangerous whirlpool caused at least half a dozen marine accidents during recent years and claimed thousands of liv</w:t>
      </w:r>
      <w:r>
        <w:rPr>
          <w:rFonts w:cs="Times New Roman"/>
          <w:szCs w:val="24"/>
        </w:rPr>
        <w:t>es.</w:t>
      </w:r>
    </w:p>
    <w:p w:rsidR="00D04218" w:rsidRDefault="009B1D86">
      <w:pPr>
        <w:pStyle w:val="Heading2"/>
      </w:pPr>
      <w:bookmarkStart w:id="665" w:name="_Toc474638912"/>
      <w:r w:rsidRPr="004B538C">
        <w:t>Navigability in Waterways Management Issues</w:t>
      </w:r>
      <w:bookmarkEnd w:id="665"/>
    </w:p>
    <w:p w:rsidR="00000000" w:rsidRDefault="009B1D86" w:rsidP="003D5A31">
      <w:pPr>
        <w:pStyle w:val="BodyText"/>
        <w:numPr>
          <w:ilvl w:val="2"/>
          <w:numId w:val="240"/>
        </w:numPr>
        <w:spacing w:after="240" w:line="276" w:lineRule="auto"/>
        <w:jc w:val="both"/>
        <w:rPr>
          <w:rFonts w:cs="Times New Roman"/>
          <w:b/>
          <w:szCs w:val="24"/>
        </w:rPr>
      </w:pPr>
      <w:r w:rsidRPr="004B538C">
        <w:rPr>
          <w:rFonts w:cs="Times New Roman"/>
          <w:b/>
          <w:szCs w:val="24"/>
        </w:rPr>
        <w:t>The Principle of Uninterrupted Navigability of Waterways</w:t>
      </w:r>
    </w:p>
    <w:p w:rsidR="009B1D86" w:rsidRPr="004B538C" w:rsidRDefault="009B1D86" w:rsidP="009B1D86">
      <w:pPr>
        <w:spacing w:line="276" w:lineRule="auto"/>
        <w:jc w:val="both"/>
        <w:rPr>
          <w:rFonts w:cs="Times New Roman"/>
          <w:szCs w:val="24"/>
        </w:rPr>
      </w:pPr>
      <w:r w:rsidRPr="004B538C">
        <w:rPr>
          <w:rFonts w:cs="Times New Roman"/>
          <w:szCs w:val="24"/>
        </w:rPr>
        <w:t xml:space="preserve">The development of an efficient IWT should be based on uninterrupted navigability of waterways.  Navigability is one of the major challenges to develop a sustainable inland waterway network in Bangladesh. Navigation is complicated by the braided nature of the rivers, which are characterized by high sediment delivery and - due to extremely low gradients - very low sediment throughput. This makes the rivers extremely sensitive to flooding with rapid geometry (boundary and channel) changes. Further, river systems in Bangladesh exhibits high seasonality over a year i.e. abundant of water during monsoon and scarcity of water during dry season from December to May. Navigability becomes very critical during dry season in many river routes and ferry crossing. </w:t>
      </w:r>
    </w:p>
    <w:p w:rsidR="00000000" w:rsidRDefault="009B1D86" w:rsidP="003D5A31">
      <w:pPr>
        <w:pStyle w:val="BodyText"/>
        <w:numPr>
          <w:ilvl w:val="2"/>
          <w:numId w:val="240"/>
        </w:numPr>
        <w:spacing w:after="240" w:line="276" w:lineRule="auto"/>
        <w:jc w:val="both"/>
        <w:rPr>
          <w:rFonts w:cs="Times New Roman"/>
          <w:b/>
          <w:szCs w:val="24"/>
        </w:rPr>
      </w:pPr>
      <w:r w:rsidRPr="008C008D">
        <w:rPr>
          <w:rFonts w:cs="Times New Roman"/>
          <w:b/>
          <w:szCs w:val="24"/>
        </w:rPr>
        <w:t>Incremental Dredging Demand for Maintenance of Navigability</w:t>
      </w:r>
    </w:p>
    <w:p w:rsidR="009B1D86" w:rsidRPr="004B538C" w:rsidRDefault="009B1D86" w:rsidP="009B1D86">
      <w:pPr>
        <w:spacing w:line="276" w:lineRule="auto"/>
        <w:jc w:val="both"/>
        <w:rPr>
          <w:rFonts w:cs="Times New Roman"/>
          <w:szCs w:val="24"/>
        </w:rPr>
      </w:pPr>
      <w:r w:rsidRPr="004B538C">
        <w:rPr>
          <w:rFonts w:cs="Times New Roman"/>
          <w:szCs w:val="24"/>
        </w:rPr>
        <w:t xml:space="preserve">Main morphological and hydraulic problems call for a never-ending dredging requirement. The length of navigable waterways in Bangladesh determined by a comprehensive survey in 1989 was about 6,000 km in the wet season which declines to about 3,800 km during the dry period. Hydrographic Survey, the reliable means of obtaining nautical conditions of waterways for all classified routes is not sufficiently available and updated since last 27 years, rather survey works are undertaken according to route based priority. </w:t>
      </w:r>
    </w:p>
    <w:p w:rsidR="009B1D86" w:rsidRPr="00443D4B" w:rsidRDefault="009B1D86" w:rsidP="009538ED">
      <w:pPr>
        <w:spacing w:line="276" w:lineRule="auto"/>
        <w:jc w:val="both"/>
        <w:rPr>
          <w:rFonts w:cs="Times New Roman"/>
          <w:i/>
          <w:szCs w:val="24"/>
        </w:rPr>
      </w:pPr>
      <w:r w:rsidRPr="004B538C">
        <w:rPr>
          <w:rFonts w:cs="Times New Roman"/>
          <w:szCs w:val="24"/>
        </w:rPr>
        <w:t>Rivers are deteriorating and dredging demand is increasing endlessly. Annual demand of dredging of 8.9 million m</w:t>
      </w:r>
      <w:r w:rsidRPr="004B538C">
        <w:rPr>
          <w:rFonts w:cs="Times New Roman"/>
          <w:szCs w:val="24"/>
          <w:vertAlign w:val="superscript"/>
        </w:rPr>
        <w:t>3</w:t>
      </w:r>
      <w:r w:rsidRPr="004B538C">
        <w:rPr>
          <w:rFonts w:cs="Times New Roman"/>
          <w:szCs w:val="24"/>
        </w:rPr>
        <w:t xml:space="preserve"> as determined by expert committee in 1990s increased to the volume of 18 million m</w:t>
      </w:r>
      <w:r w:rsidRPr="004B538C">
        <w:rPr>
          <w:rFonts w:cs="Times New Roman"/>
          <w:szCs w:val="24"/>
          <w:vertAlign w:val="superscript"/>
        </w:rPr>
        <w:t>3</w:t>
      </w:r>
      <w:r w:rsidRPr="004B538C">
        <w:rPr>
          <w:rFonts w:cs="Times New Roman"/>
          <w:szCs w:val="24"/>
        </w:rPr>
        <w:t xml:space="preserve"> in 2009. Very recently BIWTA prepared a long-term dredging plan with 88.2 million m</w:t>
      </w:r>
      <w:r w:rsidRPr="004B538C">
        <w:rPr>
          <w:rFonts w:cs="Times New Roman"/>
          <w:szCs w:val="24"/>
          <w:vertAlign w:val="superscript"/>
        </w:rPr>
        <w:t>3</w:t>
      </w:r>
      <w:r w:rsidRPr="004B538C">
        <w:rPr>
          <w:rFonts w:cs="Times New Roman"/>
          <w:szCs w:val="24"/>
        </w:rPr>
        <w:t xml:space="preserve"> of dredging (45.6 development and 42.6 maintenance) annually which needs a number of additional dredgers other than contributions from BWDB and private dredgers. Moreover, the capacity of each dredger is minimal and could not be utilized due to number of factors like placement efficiency, shifts of works, maintenance and repair time, reduction in </w:t>
      </w:r>
      <w:r w:rsidRPr="004B538C">
        <w:rPr>
          <w:rFonts w:cs="Times New Roman"/>
          <w:szCs w:val="24"/>
        </w:rPr>
        <w:lastRenderedPageBreak/>
        <w:t>annual working days etc. It is important to coordinate and relate the dredging activities with the BDP 2100 River Strategy and Interventions with full-fledged cooperation</w:t>
      </w:r>
      <w:r w:rsidRPr="004B538C">
        <w:rPr>
          <w:rFonts w:cs="Times New Roman"/>
          <w:b/>
          <w:i/>
          <w:szCs w:val="24"/>
        </w:rPr>
        <w:t xml:space="preserve">. </w:t>
      </w:r>
      <w:r w:rsidRPr="00443D4B">
        <w:rPr>
          <w:rFonts w:cs="Times New Roman"/>
          <w:i/>
          <w:szCs w:val="24"/>
        </w:rPr>
        <w:t xml:space="preserve">All dredging must be done with prior feasibility study for not impacting fish spawning and breeding grounds and to see capital dredging no way enhance </w:t>
      </w:r>
      <w:r w:rsidR="00443D4B" w:rsidRPr="00443D4B">
        <w:rPr>
          <w:rFonts w:cs="Times New Roman"/>
          <w:i/>
          <w:szCs w:val="24"/>
        </w:rPr>
        <w:t>river bank erosion on any site.</w:t>
      </w:r>
    </w:p>
    <w:p w:rsidR="000E0250" w:rsidRPr="000E0250" w:rsidRDefault="000E0250" w:rsidP="009538ED">
      <w:pPr>
        <w:spacing w:line="276" w:lineRule="auto"/>
        <w:jc w:val="both"/>
        <w:rPr>
          <w:rFonts w:cs="Times New Roman"/>
          <w:b/>
          <w:i/>
          <w:szCs w:val="24"/>
          <w:lang w:val="en-GB"/>
        </w:rPr>
      </w:pPr>
      <w:r w:rsidRPr="000E0250">
        <w:rPr>
          <w:rFonts w:cs="Times New Roman"/>
          <w:b/>
          <w:i/>
          <w:szCs w:val="24"/>
          <w:lang w:val="en-GB"/>
        </w:rPr>
        <w:t>Weak port capacities</w:t>
      </w:r>
    </w:p>
    <w:p w:rsidR="007F2F9C" w:rsidRPr="004B0A08" w:rsidRDefault="007F2F9C" w:rsidP="00F5769F">
      <w:pPr>
        <w:spacing w:line="276" w:lineRule="auto"/>
        <w:jc w:val="both"/>
        <w:rPr>
          <w:rFonts w:cs="Times New Roman"/>
          <w:i/>
          <w:szCs w:val="24"/>
          <w:lang w:val="en-GB"/>
        </w:rPr>
      </w:pPr>
      <w:r w:rsidRPr="00924255">
        <w:rPr>
          <w:rFonts w:cs="Times New Roman"/>
          <w:szCs w:val="24"/>
          <w:lang w:val="en-GB"/>
        </w:rPr>
        <w:t xml:space="preserve">The main challenge of </w:t>
      </w:r>
      <w:r w:rsidR="000E0250">
        <w:rPr>
          <w:rFonts w:cs="Times New Roman"/>
          <w:szCs w:val="24"/>
          <w:lang w:val="en-GB"/>
        </w:rPr>
        <w:t xml:space="preserve">the </w:t>
      </w:r>
      <w:r w:rsidRPr="00924255">
        <w:rPr>
          <w:rFonts w:cs="Times New Roman"/>
          <w:szCs w:val="24"/>
          <w:lang w:val="en-GB"/>
        </w:rPr>
        <w:t xml:space="preserve">two maritime ports is the condition of fairways between the sea and the jetty berths. </w:t>
      </w:r>
      <w:r w:rsidRPr="004B0A08">
        <w:rPr>
          <w:rFonts w:cs="Times New Roman"/>
          <w:i/>
          <w:szCs w:val="24"/>
          <w:lang w:val="en-GB"/>
        </w:rPr>
        <w:t>The Chittagong Port installations are situated along the bank of the River Karnafuli 16 km from its outfall into the Bay of Bengal. The maximum permissible draft ranges from 8.50 to 9.20 m with length restriction of vessels being 188 m. As such vessels with more than 1,200 TEU</w:t>
      </w:r>
      <w:r w:rsidR="00144A5B" w:rsidRPr="004B0A08">
        <w:rPr>
          <w:rFonts w:cs="Times New Roman"/>
          <w:i/>
          <w:szCs w:val="24"/>
          <w:lang w:val="en-GB"/>
        </w:rPr>
        <w:t xml:space="preserve"> (Twenty Feet Equivalent)</w:t>
      </w:r>
      <w:r w:rsidRPr="004B0A08">
        <w:rPr>
          <w:rFonts w:cs="Times New Roman"/>
          <w:i/>
          <w:szCs w:val="24"/>
          <w:lang w:val="en-GB"/>
        </w:rPr>
        <w:t xml:space="preserve"> cannot berth at Chittagong port, while the average capacity of the vessels calling at the South Asian ports is 3,500 TEU. The Mongla is located on the Pussur River about 130 km inland from the Bay and its permissible draft ranges from 7.00 to 8.50 m with length restriction of vessels being 225 m. </w:t>
      </w:r>
    </w:p>
    <w:p w:rsidR="000E0250" w:rsidRPr="004B0A08" w:rsidRDefault="007F2F9C" w:rsidP="003F14D1">
      <w:pPr>
        <w:spacing w:line="276" w:lineRule="auto"/>
        <w:jc w:val="both"/>
        <w:rPr>
          <w:rFonts w:cs="Times New Roman"/>
          <w:i/>
          <w:szCs w:val="24"/>
          <w:lang w:val="en-GB"/>
        </w:rPr>
      </w:pPr>
      <w:r w:rsidRPr="004B0A08">
        <w:rPr>
          <w:rFonts w:cs="Times New Roman"/>
          <w:i/>
          <w:szCs w:val="24"/>
          <w:lang w:val="en-GB"/>
        </w:rPr>
        <w:t>In the context of regional standard, maritime ports in Bangladesh also suffer from inefficiency. The average handling of boxes per crane ho</w:t>
      </w:r>
      <w:r w:rsidR="000E0250" w:rsidRPr="004B0A08">
        <w:rPr>
          <w:rFonts w:cs="Times New Roman"/>
          <w:i/>
          <w:szCs w:val="24"/>
          <w:lang w:val="en-GB"/>
        </w:rPr>
        <w:t>ur at the Chittagong Port</w:t>
      </w:r>
      <w:r w:rsidRPr="004B0A08">
        <w:rPr>
          <w:rFonts w:cs="Times New Roman"/>
          <w:i/>
          <w:szCs w:val="24"/>
          <w:lang w:val="en-GB"/>
        </w:rPr>
        <w:t xml:space="preserve"> is 12-15 as against 25 of South Asian standard. The Study a</w:t>
      </w:r>
      <w:r w:rsidR="000E0250" w:rsidRPr="004B0A08">
        <w:rPr>
          <w:rFonts w:cs="Times New Roman"/>
          <w:i/>
          <w:szCs w:val="24"/>
          <w:lang w:val="en-GB"/>
        </w:rPr>
        <w:t>lso found that dwell time at the Chittagong Port</w:t>
      </w:r>
      <w:r w:rsidRPr="004B0A08">
        <w:rPr>
          <w:rFonts w:cs="Times New Roman"/>
          <w:i/>
          <w:szCs w:val="24"/>
          <w:lang w:val="en-GB"/>
        </w:rPr>
        <w:t xml:space="preserve"> is 6-8 days while it is 3-4 days in the South Asian ports.</w:t>
      </w:r>
    </w:p>
    <w:p w:rsidR="007F2F9C" w:rsidRPr="000E0250" w:rsidRDefault="000E0250" w:rsidP="009538ED">
      <w:pPr>
        <w:spacing w:line="276" w:lineRule="auto"/>
        <w:jc w:val="both"/>
        <w:rPr>
          <w:b/>
          <w:i/>
        </w:rPr>
      </w:pPr>
      <w:r>
        <w:rPr>
          <w:b/>
          <w:i/>
        </w:rPr>
        <w:t>Inadequate intermodal c</w:t>
      </w:r>
      <w:r w:rsidR="007F2F9C" w:rsidRPr="000E0250">
        <w:rPr>
          <w:b/>
          <w:i/>
        </w:rPr>
        <w:t>onnectivity</w:t>
      </w:r>
      <w:bookmarkEnd w:id="664"/>
    </w:p>
    <w:p w:rsidR="007F2F9C" w:rsidRPr="00924255" w:rsidRDefault="007F2F9C" w:rsidP="00F5769F">
      <w:pPr>
        <w:spacing w:line="276" w:lineRule="auto"/>
        <w:jc w:val="both"/>
        <w:rPr>
          <w:rFonts w:cs="Times New Roman"/>
          <w:szCs w:val="24"/>
        </w:rPr>
      </w:pPr>
      <w:r w:rsidRPr="00924255">
        <w:rPr>
          <w:rFonts w:cs="Times New Roman"/>
          <w:szCs w:val="24"/>
        </w:rPr>
        <w:t>Due to lack of appropriate intermodal distribution system of containers, further traffic growth is restricted. In absence of a dedicated railway line for freight and container movement between Dhaka and Chittagong, container mov</w:t>
      </w:r>
      <w:r w:rsidR="00144A5B">
        <w:rPr>
          <w:rFonts w:cs="Times New Roman"/>
          <w:szCs w:val="24"/>
        </w:rPr>
        <w:t>ement by rail has</w:t>
      </w:r>
      <w:r w:rsidRPr="00924255">
        <w:rPr>
          <w:rFonts w:cs="Times New Roman"/>
          <w:szCs w:val="24"/>
        </w:rPr>
        <w:t xml:space="preserve"> to share with preferential passenger movement. The existing road does not have the bearing capacity to carry containers; presently 90 percent of the containers are stripped/ staffed in the ports of Chittagong and Mongla and transported as conventional general cargo. Only 10 percent of containers are loaded on rail and transferred to Kamlapur Inland container Depot in Dhaka, managed and operated by Chittagong port Authority.</w:t>
      </w:r>
    </w:p>
    <w:p w:rsidR="007F2F9C" w:rsidRPr="00924255" w:rsidRDefault="007F2F9C" w:rsidP="00F5769F">
      <w:pPr>
        <w:spacing w:line="276" w:lineRule="auto"/>
        <w:jc w:val="both"/>
        <w:rPr>
          <w:rFonts w:cs="Times New Roman"/>
          <w:szCs w:val="24"/>
        </w:rPr>
      </w:pPr>
      <w:r w:rsidRPr="008E7C1A">
        <w:rPr>
          <w:rFonts w:cs="Times New Roman"/>
          <w:szCs w:val="24"/>
        </w:rPr>
        <w:t>In view of the above</w:t>
      </w:r>
      <w:r w:rsidR="000E0250">
        <w:rPr>
          <w:rFonts w:cs="Times New Roman"/>
          <w:szCs w:val="24"/>
        </w:rPr>
        <w:t>,</w:t>
      </w:r>
      <w:r w:rsidRPr="008E7C1A">
        <w:rPr>
          <w:rFonts w:cs="Times New Roman"/>
          <w:szCs w:val="24"/>
        </w:rPr>
        <w:t xml:space="preserve"> a couple of studies recommended utilizing inland waterways for container traffic. In 1991 a JICA Study recommended the site of Pangaon, Dhaka on the bank of the River Buriganga to develop an Inland container terminal</w:t>
      </w:r>
      <w:r w:rsidRPr="008E7C1A">
        <w:rPr>
          <w:rFonts w:cs="Times New Roman"/>
          <w:b/>
          <w:bCs/>
          <w:szCs w:val="24"/>
        </w:rPr>
        <w:t>.</w:t>
      </w:r>
      <w:r w:rsidRPr="00924255">
        <w:rPr>
          <w:rFonts w:cs="Times New Roman"/>
          <w:szCs w:val="24"/>
        </w:rPr>
        <w:t xml:space="preserve"> The navigation channel is straight at this point with a width of 250m and provides a class-I waterway that ensures LAD of 3.6 m perennially. Accordingly, an Inland container terminal had already been developed at that site and began experimental operation in 2013. The ICT has the handing capacity of 116,000 TEUs with further scope of handling 160,000 TEUs per year. Poor or no intermodal connectivity at inland river ports and landing stations manifests the inherent inefficiency of transportation by inland waterways. A port is the interface of two or more modes of transport: this definition does not apply to river ports and landing stations in Bangladesh. </w:t>
      </w:r>
      <w:r w:rsidRPr="004B0A08">
        <w:rPr>
          <w:rFonts w:cs="Times New Roman"/>
          <w:i/>
          <w:szCs w:val="24"/>
        </w:rPr>
        <w:t xml:space="preserve">At present there are about 380 </w:t>
      </w:r>
      <w:r w:rsidRPr="004B0A08">
        <w:rPr>
          <w:rFonts w:cs="Times New Roman"/>
          <w:i/>
          <w:szCs w:val="24"/>
        </w:rPr>
        <w:lastRenderedPageBreak/>
        <w:t>landing stations developed by BIWTA in the country. Of these, two-third was developed in the rural areas with about 90 percent with no road link.</w:t>
      </w:r>
    </w:p>
    <w:p w:rsidR="007F2F9C" w:rsidRPr="00924255" w:rsidRDefault="007F2F9C" w:rsidP="00F5769F">
      <w:pPr>
        <w:spacing w:line="276" w:lineRule="auto"/>
        <w:jc w:val="both"/>
        <w:rPr>
          <w:rFonts w:cs="Times New Roman"/>
          <w:szCs w:val="24"/>
        </w:rPr>
      </w:pPr>
      <w:r w:rsidRPr="00924255">
        <w:rPr>
          <w:rFonts w:cs="Times New Roman"/>
          <w:szCs w:val="24"/>
        </w:rPr>
        <w:t xml:space="preserve">All 21 inland river ports (except Chandpur) do have road links. Only Narayanganj, Chandpur and Khulna do have a railway link. But landing points and stages in these river ports are established in such a way that cargo transfer between vessel and truck is not possible except one point at Dhaka, as well as at Narayanganj and Khulna. </w:t>
      </w:r>
      <w:r>
        <w:rPr>
          <w:rFonts w:cs="Times New Roman"/>
          <w:szCs w:val="24"/>
        </w:rPr>
        <w:t xml:space="preserve"> </w:t>
      </w:r>
      <w:r w:rsidRPr="00924255">
        <w:rPr>
          <w:rFonts w:cs="Times New Roman"/>
          <w:szCs w:val="24"/>
        </w:rPr>
        <w:t>In consultation with BIWTA officials a list of 40 major landing and shipping stations of cargo was prepared according to traffic importance. The current state of intermodal connectivity of thes</w:t>
      </w:r>
      <w:r w:rsidR="00886BFE">
        <w:rPr>
          <w:rFonts w:cs="Times New Roman"/>
          <w:szCs w:val="24"/>
        </w:rPr>
        <w:t>e stations is presented in the A</w:t>
      </w:r>
      <w:r w:rsidRPr="00924255">
        <w:rPr>
          <w:rFonts w:cs="Times New Roman"/>
          <w:szCs w:val="24"/>
        </w:rPr>
        <w:t xml:space="preserve">nnex </w:t>
      </w:r>
      <w:r w:rsidR="00886BFE">
        <w:rPr>
          <w:rFonts w:cs="Times New Roman"/>
          <w:szCs w:val="24"/>
        </w:rPr>
        <w:t xml:space="preserve">Table </w:t>
      </w:r>
      <w:r w:rsidRPr="00924255">
        <w:rPr>
          <w:rFonts w:cs="Times New Roman"/>
          <w:szCs w:val="24"/>
        </w:rPr>
        <w:t>A</w:t>
      </w:r>
      <w:r w:rsidR="00886BFE">
        <w:rPr>
          <w:rFonts w:cs="Times New Roman"/>
          <w:szCs w:val="24"/>
        </w:rPr>
        <w:t>9</w:t>
      </w:r>
      <w:r w:rsidRPr="00924255">
        <w:rPr>
          <w:rFonts w:cs="Times New Roman"/>
          <w:szCs w:val="24"/>
        </w:rPr>
        <w:t>.5.</w:t>
      </w:r>
    </w:p>
    <w:p w:rsidR="007F2F9C" w:rsidRPr="00924255" w:rsidRDefault="007F2F9C" w:rsidP="00F5769F">
      <w:pPr>
        <w:spacing w:line="276" w:lineRule="auto"/>
        <w:jc w:val="both"/>
        <w:rPr>
          <w:rFonts w:cs="Times New Roman"/>
          <w:szCs w:val="24"/>
        </w:rPr>
      </w:pPr>
      <w:r w:rsidRPr="004B0A08">
        <w:rPr>
          <w:rFonts w:cs="Times New Roman"/>
          <w:i/>
          <w:szCs w:val="24"/>
        </w:rPr>
        <w:t>The method of transshipment is only by means of head load what prevailed in the last centuries. This causes increase of transportation time and cost in case of inland waterways.</w:t>
      </w:r>
      <w:r w:rsidRPr="00013CA5">
        <w:rPr>
          <w:rFonts w:cs="Times New Roman"/>
          <w:szCs w:val="24"/>
        </w:rPr>
        <w:t xml:space="preserve"> Consequently, IWT has lost its efficiency and competitiveness compared to other modes</w:t>
      </w:r>
      <w:r w:rsidRPr="00013CA5">
        <w:rPr>
          <w:rFonts w:cs="Times New Roman"/>
          <w:b/>
          <w:bCs/>
          <w:szCs w:val="24"/>
        </w:rPr>
        <w:t>.</w:t>
      </w:r>
      <w:r w:rsidRPr="00013CA5">
        <w:rPr>
          <w:rFonts w:cs="Times New Roman"/>
          <w:szCs w:val="24"/>
        </w:rPr>
        <w:t xml:space="preserve"> The consequence of the current physical appearance of inland river ports and landing stations is that transportation by inland waterways is unimodal, segmented and to some extent isolated as well</w:t>
      </w:r>
      <w:r w:rsidRPr="00013CA5">
        <w:rPr>
          <w:rFonts w:cs="Times New Roman"/>
          <w:b/>
          <w:bCs/>
          <w:szCs w:val="24"/>
        </w:rPr>
        <w:t>.</w:t>
      </w:r>
      <w:r w:rsidRPr="00924255">
        <w:rPr>
          <w:rFonts w:cs="Times New Roman"/>
          <w:szCs w:val="24"/>
        </w:rPr>
        <w:t xml:space="preserve"> Even with the massive development of road network in Bangladesh, most of the rural people depend only on the rivers for the purpose of transport. They do not have access to actual market place due to lack of intermodal connectivity. </w:t>
      </w:r>
    </w:p>
    <w:p w:rsidR="007F2F9C" w:rsidRPr="004B0A08" w:rsidRDefault="007F2F9C" w:rsidP="00F64192">
      <w:pPr>
        <w:spacing w:line="276" w:lineRule="auto"/>
        <w:jc w:val="both"/>
        <w:rPr>
          <w:rFonts w:cs="Times New Roman"/>
          <w:i/>
          <w:szCs w:val="24"/>
        </w:rPr>
      </w:pPr>
      <w:r w:rsidRPr="004B0A08">
        <w:rPr>
          <w:rFonts w:cs="Times New Roman"/>
          <w:i/>
          <w:szCs w:val="24"/>
        </w:rPr>
        <w:t>Road, inland waterways and rail are components of surface transport sector of Bangladesh. Coordination and connectivity among these modes could provide a multimodal transport system to establish an uninterrupted transport chain for door to door services.</w:t>
      </w:r>
      <w:r w:rsidRPr="00C618A6">
        <w:rPr>
          <w:rFonts w:cs="Times New Roman"/>
          <w:szCs w:val="24"/>
        </w:rPr>
        <w:t xml:space="preserve"> Development of roads and railways and the development of inland waterways had been conducted by two separate Ministries: Ministry of Communications and the Ministry of Shipping. </w:t>
      </w:r>
      <w:r w:rsidR="008912E2">
        <w:rPr>
          <w:rFonts w:cs="Times New Roman"/>
          <w:szCs w:val="24"/>
        </w:rPr>
        <w:t>R</w:t>
      </w:r>
      <w:r w:rsidRPr="00C618A6">
        <w:rPr>
          <w:rFonts w:cs="Times New Roman"/>
          <w:szCs w:val="24"/>
        </w:rPr>
        <w:t>ecently Ministry of Communications was divided into two Ministries, namely Ministry of Road Transport</w:t>
      </w:r>
      <w:r w:rsidR="008912E2">
        <w:rPr>
          <w:rFonts w:cs="Times New Roman"/>
          <w:szCs w:val="24"/>
        </w:rPr>
        <w:t xml:space="preserve"> &amp; Bridges</w:t>
      </w:r>
      <w:r w:rsidRPr="00C618A6">
        <w:rPr>
          <w:rFonts w:cs="Times New Roman"/>
          <w:szCs w:val="24"/>
        </w:rPr>
        <w:t xml:space="preserve"> and Ministry of Railways. Proposals are submitted in parallel ways by the Ministries to the Planning Commission which has to decide against available resources. As a result decisions are often taken by restoring to political considerations. </w:t>
      </w:r>
      <w:r w:rsidRPr="004B0A08">
        <w:rPr>
          <w:rFonts w:cs="Times New Roman"/>
          <w:i/>
          <w:szCs w:val="24"/>
        </w:rPr>
        <w:t xml:space="preserve">Development of road </w:t>
      </w:r>
      <w:r w:rsidR="008912E2">
        <w:rPr>
          <w:rFonts w:cs="Times New Roman"/>
          <w:i/>
          <w:szCs w:val="24"/>
        </w:rPr>
        <w:t xml:space="preserve">network had always been a ntional </w:t>
      </w:r>
      <w:r w:rsidRPr="004B0A08">
        <w:rPr>
          <w:rFonts w:cs="Times New Roman"/>
          <w:i/>
          <w:szCs w:val="24"/>
        </w:rPr>
        <w:t xml:space="preserve"> priority choice in Bangladesh</w:t>
      </w:r>
      <w:r w:rsidR="008912E2">
        <w:rPr>
          <w:rFonts w:cs="Times New Roman"/>
          <w:i/>
          <w:szCs w:val="24"/>
        </w:rPr>
        <w:t>.</w:t>
      </w:r>
    </w:p>
    <w:p w:rsidR="007F2F9C" w:rsidRDefault="007F2F9C" w:rsidP="009538ED">
      <w:pPr>
        <w:jc w:val="both"/>
        <w:rPr>
          <w:rFonts w:cs="Times New Roman"/>
          <w:b/>
          <w:bCs/>
          <w:i/>
          <w:iCs/>
          <w:szCs w:val="24"/>
        </w:rPr>
      </w:pPr>
      <w:r w:rsidRPr="00924255">
        <w:rPr>
          <w:rFonts w:cs="Times New Roman"/>
          <w:b/>
          <w:bCs/>
          <w:i/>
          <w:iCs/>
          <w:szCs w:val="24"/>
        </w:rPr>
        <w:t>Lack of integrated transport logistics</w:t>
      </w:r>
    </w:p>
    <w:p w:rsidR="007F2F9C" w:rsidRPr="004B0A08" w:rsidRDefault="007F2F9C" w:rsidP="00A17BFA">
      <w:pPr>
        <w:spacing w:line="276" w:lineRule="auto"/>
        <w:jc w:val="both"/>
        <w:rPr>
          <w:rFonts w:cs="Times New Roman"/>
          <w:i/>
          <w:szCs w:val="24"/>
        </w:rPr>
      </w:pPr>
      <w:r w:rsidRPr="00924255">
        <w:rPr>
          <w:rFonts w:cs="Times New Roman"/>
          <w:szCs w:val="24"/>
        </w:rPr>
        <w:t xml:space="preserve">Availability of integrated logistics in the entire transport chain is the pre-condition of intermodal connectivity. Domestic traffic of cargo by waterways suffers from lack of logistics in this sub-sector. </w:t>
      </w:r>
      <w:r w:rsidRPr="004B0A08">
        <w:rPr>
          <w:rFonts w:cs="Times New Roman"/>
          <w:i/>
          <w:szCs w:val="24"/>
        </w:rPr>
        <w:t xml:space="preserve">Except a few jetties developed and operated by private sector companies on a dedicated basis, the present system of loading/unloading of cargo at </w:t>
      </w:r>
      <w:r w:rsidR="00847D39">
        <w:rPr>
          <w:rFonts w:cs="Times New Roman"/>
          <w:i/>
          <w:szCs w:val="24"/>
        </w:rPr>
        <w:t>public</w:t>
      </w:r>
      <w:r w:rsidRPr="004B0A08">
        <w:rPr>
          <w:rFonts w:cs="Times New Roman"/>
          <w:i/>
          <w:szCs w:val="24"/>
        </w:rPr>
        <w:t xml:space="preserve"> jetties is mainly by means of head load, because, inland ports and landing stations are not connected with road or rail. The distance between the jetty and the place of waiting truck is such that it restricts opportunity of direct transfer of cargo required for uninterrupted transport chain. </w:t>
      </w:r>
    </w:p>
    <w:p w:rsidR="007F2F9C" w:rsidRPr="00924255" w:rsidRDefault="007F2F9C" w:rsidP="00A17BFA">
      <w:pPr>
        <w:spacing w:line="276" w:lineRule="auto"/>
        <w:jc w:val="both"/>
        <w:rPr>
          <w:rFonts w:cs="Times New Roman"/>
          <w:szCs w:val="24"/>
        </w:rPr>
      </w:pPr>
      <w:r w:rsidRPr="00924255">
        <w:rPr>
          <w:rFonts w:cs="Times New Roman"/>
          <w:szCs w:val="24"/>
        </w:rPr>
        <w:t xml:space="preserve">For a head load method, the size of gang of about 100 laborers is high, but productivity is low about 7-10 days to load/unload a vessel of 500 to 800 DWT. The use of mechanized equipment </w:t>
      </w:r>
      <w:r w:rsidRPr="00924255">
        <w:rPr>
          <w:rFonts w:cs="Times New Roman"/>
          <w:szCs w:val="24"/>
        </w:rPr>
        <w:lastRenderedPageBreak/>
        <w:t>could reduce this time to one to two days. Long cargo handling time increases the turnaround t</w:t>
      </w:r>
      <w:r w:rsidR="00144A5B">
        <w:rPr>
          <w:rFonts w:cs="Times New Roman"/>
          <w:szCs w:val="24"/>
        </w:rPr>
        <w:t xml:space="preserve">ime of a vessel and reduces </w:t>
      </w:r>
      <w:r w:rsidRPr="00924255">
        <w:rPr>
          <w:rFonts w:cs="Times New Roman"/>
          <w:szCs w:val="24"/>
        </w:rPr>
        <w:t>productivity. The increased turnaround time decreases the number of vessel trips which has direct impact on the cost of transportati</w:t>
      </w:r>
      <w:r>
        <w:rPr>
          <w:rFonts w:cs="Times New Roman"/>
          <w:szCs w:val="24"/>
        </w:rPr>
        <w:t xml:space="preserve">on by inland waterways. Table </w:t>
      </w:r>
      <w:r w:rsidR="00A44CBF">
        <w:rPr>
          <w:rFonts w:cs="Times New Roman"/>
          <w:szCs w:val="24"/>
        </w:rPr>
        <w:t>9.</w:t>
      </w:r>
      <w:r w:rsidR="008C008D">
        <w:rPr>
          <w:rFonts w:cs="Times New Roman"/>
          <w:szCs w:val="24"/>
        </w:rPr>
        <w:t>13</w:t>
      </w:r>
      <w:r w:rsidRPr="00924255">
        <w:rPr>
          <w:rFonts w:cs="Times New Roman"/>
          <w:szCs w:val="24"/>
        </w:rPr>
        <w:t xml:space="preserve"> reveals comparative transport costs and revenues for two productivity scenarios concerning head load and mechanized equipment.</w:t>
      </w:r>
    </w:p>
    <w:p w:rsidR="007F2F9C" w:rsidRPr="00924255" w:rsidRDefault="007F2F9C" w:rsidP="0036657D">
      <w:pPr>
        <w:pStyle w:val="Heading4"/>
      </w:pPr>
      <w:bookmarkStart w:id="666" w:name="_Toc439337361"/>
      <w:bookmarkStart w:id="667" w:name="_Toc474639079"/>
      <w:r w:rsidRPr="00924255">
        <w:t xml:space="preserve">Table </w:t>
      </w:r>
      <w:r w:rsidR="00A44CBF">
        <w:t>9.</w:t>
      </w:r>
      <w:r>
        <w:t>1</w:t>
      </w:r>
      <w:r w:rsidR="008C008D">
        <w:t>3</w:t>
      </w:r>
      <w:r w:rsidR="00F64192">
        <w:t>: Cargo Transport Costs and Revenue with Head load and with E</w:t>
      </w:r>
      <w:r w:rsidRPr="00924255">
        <w:t>quipment</w:t>
      </w:r>
      <w:bookmarkEnd w:id="666"/>
      <w:bookmarkEnd w:id="667"/>
    </w:p>
    <w:tbl>
      <w:tblPr>
        <w:tblStyle w:val="LightShading10"/>
        <w:tblW w:w="0" w:type="auto"/>
        <w:tblLook w:val="04A0"/>
      </w:tblPr>
      <w:tblGrid>
        <w:gridCol w:w="2988"/>
        <w:gridCol w:w="2070"/>
        <w:gridCol w:w="2124"/>
        <w:gridCol w:w="2394"/>
      </w:tblGrid>
      <w:tr w:rsidR="007F2F9C" w:rsidRPr="004D0CD9" w:rsidTr="004D0CD9">
        <w:trPr>
          <w:cnfStyle w:val="100000000000"/>
        </w:trPr>
        <w:tc>
          <w:tcPr>
            <w:cnfStyle w:val="001000000000"/>
            <w:tcW w:w="2988" w:type="dxa"/>
          </w:tcPr>
          <w:p w:rsidR="007F2F9C" w:rsidRPr="004D0CD9" w:rsidRDefault="007F2F9C" w:rsidP="00F5769F">
            <w:pPr>
              <w:jc w:val="center"/>
              <w:rPr>
                <w:rFonts w:ascii="Times New Roman" w:hAnsi="Times New Roman"/>
                <w:sz w:val="22"/>
                <w:szCs w:val="24"/>
                <w:lang w:val="en-GB"/>
              </w:rPr>
            </w:pPr>
          </w:p>
        </w:tc>
        <w:tc>
          <w:tcPr>
            <w:tcW w:w="2070" w:type="dxa"/>
          </w:tcPr>
          <w:p w:rsidR="007F2F9C" w:rsidRPr="00D10C92" w:rsidRDefault="007F2F9C" w:rsidP="00F5769F">
            <w:pPr>
              <w:jc w:val="center"/>
              <w:cnfStyle w:val="100000000000"/>
              <w:rPr>
                <w:rFonts w:ascii="Times New Roman" w:hAnsi="Times New Roman"/>
                <w:sz w:val="22"/>
                <w:szCs w:val="24"/>
              </w:rPr>
            </w:pPr>
            <w:r w:rsidRPr="00D10C92">
              <w:rPr>
                <w:rFonts w:ascii="Times New Roman" w:hAnsi="Times New Roman"/>
                <w:sz w:val="22"/>
                <w:szCs w:val="24"/>
              </w:rPr>
              <w:t>Manual labor</w:t>
            </w:r>
          </w:p>
        </w:tc>
        <w:tc>
          <w:tcPr>
            <w:tcW w:w="2124" w:type="dxa"/>
          </w:tcPr>
          <w:p w:rsidR="007F2F9C" w:rsidRPr="00D10C92" w:rsidRDefault="007F2F9C" w:rsidP="00F5769F">
            <w:pPr>
              <w:jc w:val="center"/>
              <w:cnfStyle w:val="100000000000"/>
              <w:rPr>
                <w:rFonts w:ascii="Times New Roman" w:hAnsi="Times New Roman"/>
                <w:sz w:val="22"/>
                <w:szCs w:val="24"/>
              </w:rPr>
            </w:pPr>
            <w:r w:rsidRPr="00D10C92">
              <w:rPr>
                <w:rFonts w:ascii="Times New Roman" w:hAnsi="Times New Roman"/>
                <w:sz w:val="22"/>
                <w:szCs w:val="24"/>
              </w:rPr>
              <w:t>Mechanized equipment</w:t>
            </w:r>
          </w:p>
        </w:tc>
        <w:tc>
          <w:tcPr>
            <w:tcW w:w="2394" w:type="dxa"/>
          </w:tcPr>
          <w:p w:rsidR="007F2F9C" w:rsidRPr="00D10C92" w:rsidRDefault="007F2F9C" w:rsidP="00F5769F">
            <w:pPr>
              <w:jc w:val="center"/>
              <w:cnfStyle w:val="100000000000"/>
              <w:rPr>
                <w:rFonts w:ascii="Times New Roman" w:hAnsi="Times New Roman"/>
                <w:sz w:val="22"/>
                <w:szCs w:val="24"/>
              </w:rPr>
            </w:pPr>
            <w:r w:rsidRPr="00D10C92">
              <w:rPr>
                <w:rFonts w:ascii="Times New Roman" w:hAnsi="Times New Roman"/>
                <w:sz w:val="22"/>
                <w:szCs w:val="24"/>
              </w:rPr>
              <w:t>Variation</w:t>
            </w:r>
          </w:p>
          <w:p w:rsidR="007F2F9C" w:rsidRPr="00D10C92" w:rsidRDefault="007F2F9C" w:rsidP="00F5769F">
            <w:pPr>
              <w:jc w:val="center"/>
              <w:cnfStyle w:val="100000000000"/>
              <w:rPr>
                <w:rFonts w:ascii="Times New Roman" w:hAnsi="Times New Roman"/>
                <w:sz w:val="22"/>
                <w:szCs w:val="24"/>
              </w:rPr>
            </w:pPr>
            <w:r w:rsidRPr="00D10C92">
              <w:rPr>
                <w:rFonts w:ascii="Times New Roman" w:hAnsi="Times New Roman"/>
                <w:sz w:val="22"/>
                <w:szCs w:val="24"/>
              </w:rPr>
              <w:t>Mechanized/Manual</w:t>
            </w:r>
          </w:p>
        </w:tc>
      </w:tr>
      <w:tr w:rsidR="007F2F9C" w:rsidRPr="004D0CD9" w:rsidTr="004D0CD9">
        <w:trPr>
          <w:cnfStyle w:val="000000100000"/>
        </w:trPr>
        <w:tc>
          <w:tcPr>
            <w:cnfStyle w:val="001000000000"/>
            <w:tcW w:w="2988" w:type="dxa"/>
          </w:tcPr>
          <w:p w:rsidR="007F2F9C" w:rsidRPr="004D0CD9" w:rsidRDefault="007F2F9C" w:rsidP="00F5769F">
            <w:pPr>
              <w:spacing w:after="0" w:line="240" w:lineRule="auto"/>
              <w:rPr>
                <w:rFonts w:ascii="Times New Roman" w:hAnsi="Times New Roman"/>
                <w:sz w:val="22"/>
                <w:szCs w:val="24"/>
                <w:lang w:val="en-GB"/>
              </w:rPr>
            </w:pPr>
            <w:r w:rsidRPr="004D0CD9">
              <w:rPr>
                <w:rFonts w:ascii="Times New Roman" w:hAnsi="Times New Roman"/>
                <w:sz w:val="22"/>
                <w:szCs w:val="24"/>
                <w:lang w:val="en-GB"/>
              </w:rPr>
              <w:t>Number of annual round trips</w:t>
            </w:r>
          </w:p>
        </w:tc>
        <w:tc>
          <w:tcPr>
            <w:tcW w:w="2070" w:type="dxa"/>
          </w:tcPr>
          <w:p w:rsidR="007F2F9C" w:rsidRPr="004D0CD9" w:rsidRDefault="007F2F9C" w:rsidP="00F5769F">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12</w:t>
            </w:r>
          </w:p>
        </w:tc>
        <w:tc>
          <w:tcPr>
            <w:tcW w:w="2124" w:type="dxa"/>
          </w:tcPr>
          <w:p w:rsidR="007F2F9C" w:rsidRPr="004D0CD9" w:rsidRDefault="007F2F9C" w:rsidP="00F5769F">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26</w:t>
            </w:r>
          </w:p>
        </w:tc>
        <w:tc>
          <w:tcPr>
            <w:tcW w:w="2394" w:type="dxa"/>
          </w:tcPr>
          <w:p w:rsidR="007F2F9C" w:rsidRPr="004D0CD9" w:rsidRDefault="007F2F9C" w:rsidP="00F5769F">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+114%</w:t>
            </w:r>
          </w:p>
        </w:tc>
      </w:tr>
      <w:tr w:rsidR="007F2F9C" w:rsidRPr="004D0CD9" w:rsidTr="004D0CD9">
        <w:tc>
          <w:tcPr>
            <w:cnfStyle w:val="001000000000"/>
            <w:tcW w:w="2988" w:type="dxa"/>
          </w:tcPr>
          <w:p w:rsidR="007F2F9C" w:rsidRPr="004D0CD9" w:rsidRDefault="007F2F9C" w:rsidP="00F5769F">
            <w:pPr>
              <w:spacing w:after="0" w:line="240" w:lineRule="auto"/>
              <w:rPr>
                <w:rFonts w:ascii="Times New Roman" w:hAnsi="Times New Roman"/>
                <w:sz w:val="22"/>
                <w:szCs w:val="24"/>
                <w:lang w:val="en-GB"/>
              </w:rPr>
            </w:pPr>
            <w:r w:rsidRPr="004D0CD9">
              <w:rPr>
                <w:rFonts w:ascii="Times New Roman" w:hAnsi="Times New Roman"/>
                <w:sz w:val="22"/>
                <w:szCs w:val="24"/>
                <w:lang w:val="en-GB"/>
              </w:rPr>
              <w:t xml:space="preserve">Operating costs (Tk per </w:t>
            </w:r>
            <w:r w:rsidR="00FE6385">
              <w:rPr>
                <w:rFonts w:ascii="Times New Roman" w:hAnsi="Times New Roman"/>
                <w:sz w:val="22"/>
                <w:szCs w:val="24"/>
                <w:lang w:val="en-GB"/>
              </w:rPr>
              <w:t>tonne</w:t>
            </w:r>
            <w:r w:rsidRPr="004D0CD9">
              <w:rPr>
                <w:rFonts w:ascii="Times New Roman" w:hAnsi="Times New Roman"/>
                <w:sz w:val="22"/>
                <w:szCs w:val="24"/>
                <w:lang w:val="en-GB"/>
              </w:rPr>
              <w:t>-km)</w:t>
            </w:r>
          </w:p>
        </w:tc>
        <w:tc>
          <w:tcPr>
            <w:tcW w:w="2070" w:type="dxa"/>
          </w:tcPr>
          <w:p w:rsidR="007F2F9C" w:rsidRPr="004D0CD9" w:rsidRDefault="007F2F9C" w:rsidP="00F5769F">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0.90</w:t>
            </w:r>
          </w:p>
        </w:tc>
        <w:tc>
          <w:tcPr>
            <w:tcW w:w="2124" w:type="dxa"/>
          </w:tcPr>
          <w:p w:rsidR="007F2F9C" w:rsidRPr="004D0CD9" w:rsidRDefault="007F2F9C" w:rsidP="00F5769F">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0.67</w:t>
            </w:r>
          </w:p>
        </w:tc>
        <w:tc>
          <w:tcPr>
            <w:tcW w:w="2394" w:type="dxa"/>
          </w:tcPr>
          <w:p w:rsidR="007F2F9C" w:rsidRPr="004D0CD9" w:rsidRDefault="007F2F9C" w:rsidP="00F5769F">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-26%</w:t>
            </w:r>
          </w:p>
        </w:tc>
      </w:tr>
      <w:tr w:rsidR="007F2F9C" w:rsidRPr="004D0CD9" w:rsidTr="004D0CD9">
        <w:trPr>
          <w:cnfStyle w:val="000000100000"/>
        </w:trPr>
        <w:tc>
          <w:tcPr>
            <w:cnfStyle w:val="001000000000"/>
            <w:tcW w:w="2988" w:type="dxa"/>
          </w:tcPr>
          <w:p w:rsidR="007F2F9C" w:rsidRPr="004D0CD9" w:rsidRDefault="007F2F9C" w:rsidP="00F5769F">
            <w:pPr>
              <w:spacing w:after="0" w:line="240" w:lineRule="auto"/>
              <w:rPr>
                <w:rFonts w:ascii="Times New Roman" w:hAnsi="Times New Roman"/>
                <w:sz w:val="22"/>
                <w:szCs w:val="24"/>
                <w:lang w:val="en-GB"/>
              </w:rPr>
            </w:pPr>
            <w:r w:rsidRPr="004D0CD9">
              <w:rPr>
                <w:rFonts w:ascii="Times New Roman" w:hAnsi="Times New Roman"/>
                <w:sz w:val="22"/>
                <w:szCs w:val="24"/>
                <w:lang w:val="en-GB"/>
              </w:rPr>
              <w:t>Total annual tariff (0.92 Tk/</w:t>
            </w:r>
            <w:r w:rsidR="00FE6385">
              <w:rPr>
                <w:rFonts w:ascii="Times New Roman" w:hAnsi="Times New Roman"/>
                <w:sz w:val="22"/>
                <w:szCs w:val="24"/>
                <w:lang w:val="en-GB"/>
              </w:rPr>
              <w:t>tonne</w:t>
            </w:r>
            <w:r w:rsidRPr="004D0CD9">
              <w:rPr>
                <w:rFonts w:ascii="Times New Roman" w:hAnsi="Times New Roman"/>
                <w:sz w:val="22"/>
                <w:szCs w:val="24"/>
                <w:lang w:val="en-GB"/>
              </w:rPr>
              <w:t>-km)</w:t>
            </w:r>
          </w:p>
        </w:tc>
        <w:tc>
          <w:tcPr>
            <w:tcW w:w="2070" w:type="dxa"/>
          </w:tcPr>
          <w:p w:rsidR="007F2F9C" w:rsidRPr="004D0CD9" w:rsidRDefault="007F2F9C" w:rsidP="00F5769F">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2,7000,000</w:t>
            </w:r>
          </w:p>
        </w:tc>
        <w:tc>
          <w:tcPr>
            <w:tcW w:w="2124" w:type="dxa"/>
          </w:tcPr>
          <w:p w:rsidR="007F2F9C" w:rsidRPr="004D0CD9" w:rsidRDefault="007F2F9C" w:rsidP="00F5769F">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5,700,000</w:t>
            </w:r>
          </w:p>
        </w:tc>
        <w:tc>
          <w:tcPr>
            <w:tcW w:w="2394" w:type="dxa"/>
          </w:tcPr>
          <w:p w:rsidR="007F2F9C" w:rsidRPr="004D0CD9" w:rsidRDefault="007F2F9C" w:rsidP="00F5769F">
            <w:pPr>
              <w:spacing w:after="0" w:line="240" w:lineRule="auto"/>
              <w:jc w:val="center"/>
              <w:cnfStyle w:val="000000100000"/>
              <w:rPr>
                <w:rFonts w:ascii="Times New Roman" w:hAnsi="Times New Roman"/>
                <w:sz w:val="22"/>
                <w:szCs w:val="24"/>
              </w:rPr>
            </w:pPr>
            <w:r w:rsidRPr="004D0CD9">
              <w:rPr>
                <w:rFonts w:ascii="Times New Roman" w:hAnsi="Times New Roman"/>
                <w:sz w:val="22"/>
                <w:szCs w:val="24"/>
              </w:rPr>
              <w:t>+114%</w:t>
            </w:r>
          </w:p>
        </w:tc>
      </w:tr>
      <w:tr w:rsidR="007F2F9C" w:rsidRPr="004D0CD9" w:rsidTr="004D0CD9">
        <w:tc>
          <w:tcPr>
            <w:cnfStyle w:val="001000000000"/>
            <w:tcW w:w="2988" w:type="dxa"/>
          </w:tcPr>
          <w:p w:rsidR="007F2F9C" w:rsidRPr="004D0CD9" w:rsidRDefault="007F2F9C" w:rsidP="00F5769F">
            <w:pPr>
              <w:spacing w:after="0" w:line="240" w:lineRule="auto"/>
              <w:rPr>
                <w:rFonts w:ascii="Times New Roman" w:hAnsi="Times New Roman"/>
                <w:sz w:val="22"/>
                <w:szCs w:val="24"/>
                <w:lang w:val="en-GB"/>
              </w:rPr>
            </w:pPr>
            <w:r w:rsidRPr="004D0CD9">
              <w:rPr>
                <w:rFonts w:ascii="Times New Roman" w:hAnsi="Times New Roman"/>
                <w:sz w:val="22"/>
                <w:szCs w:val="24"/>
                <w:lang w:val="en-GB"/>
              </w:rPr>
              <w:t>Total annual profit in Tk</w:t>
            </w:r>
          </w:p>
        </w:tc>
        <w:tc>
          <w:tcPr>
            <w:tcW w:w="2070" w:type="dxa"/>
          </w:tcPr>
          <w:p w:rsidR="007F2F9C" w:rsidRPr="004D0CD9" w:rsidRDefault="007F2F9C" w:rsidP="00F5769F">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60,000</w:t>
            </w:r>
          </w:p>
        </w:tc>
        <w:tc>
          <w:tcPr>
            <w:tcW w:w="2124" w:type="dxa"/>
          </w:tcPr>
          <w:p w:rsidR="007F2F9C" w:rsidRPr="004D0CD9" w:rsidRDefault="007F2F9C" w:rsidP="00F5769F">
            <w:pPr>
              <w:spacing w:after="0" w:line="240" w:lineRule="auto"/>
              <w:jc w:val="center"/>
              <w:cnfStyle w:val="000000000000"/>
              <w:rPr>
                <w:rFonts w:ascii="Times New Roman" w:hAnsi="Times New Roman"/>
                <w:sz w:val="22"/>
                <w:szCs w:val="24"/>
              </w:rPr>
            </w:pPr>
            <w:r w:rsidRPr="004D0CD9">
              <w:rPr>
                <w:rFonts w:ascii="Times New Roman" w:hAnsi="Times New Roman"/>
                <w:sz w:val="22"/>
                <w:szCs w:val="24"/>
              </w:rPr>
              <w:t>1,600,000</w:t>
            </w:r>
          </w:p>
        </w:tc>
        <w:tc>
          <w:tcPr>
            <w:tcW w:w="2394" w:type="dxa"/>
          </w:tcPr>
          <w:p w:rsidR="007F2F9C" w:rsidRPr="004D0CD9" w:rsidRDefault="007F2F9C" w:rsidP="00F5769F">
            <w:pPr>
              <w:spacing w:after="0" w:line="240" w:lineRule="auto"/>
              <w:jc w:val="center"/>
              <w:cnfStyle w:val="000000000000"/>
              <w:rPr>
                <w:rFonts w:ascii="Times New Roman" w:hAnsi="Times New Roman"/>
                <w:sz w:val="22"/>
                <w:szCs w:val="24"/>
              </w:rPr>
            </w:pPr>
          </w:p>
        </w:tc>
      </w:tr>
    </w:tbl>
    <w:p w:rsidR="007F2F9C" w:rsidRPr="00E2663D" w:rsidRDefault="007F2F9C" w:rsidP="00F64192">
      <w:pPr>
        <w:spacing w:before="120"/>
        <w:jc w:val="both"/>
        <w:rPr>
          <w:rFonts w:cs="Times New Roman"/>
          <w:b/>
          <w:bCs/>
          <w:i/>
          <w:iCs/>
          <w:sz w:val="20"/>
          <w:szCs w:val="20"/>
        </w:rPr>
      </w:pPr>
      <w:r w:rsidRPr="00E2663D">
        <w:rPr>
          <w:rFonts w:cs="Times New Roman"/>
          <w:b/>
          <w:bCs/>
          <w:i/>
          <w:iCs/>
          <w:sz w:val="20"/>
          <w:szCs w:val="20"/>
        </w:rPr>
        <w:softHyphen/>
        <w:t>Source:</w:t>
      </w:r>
      <w:r w:rsidR="00F64192">
        <w:rPr>
          <w:rFonts w:cs="Times New Roman"/>
          <w:b/>
          <w:bCs/>
          <w:i/>
          <w:iCs/>
          <w:sz w:val="20"/>
          <w:szCs w:val="20"/>
        </w:rPr>
        <w:t xml:space="preserve"> </w:t>
      </w:r>
      <w:r w:rsidRPr="00E2663D">
        <w:rPr>
          <w:rFonts w:cs="Times New Roman"/>
          <w:b/>
          <w:bCs/>
          <w:i/>
          <w:iCs/>
          <w:sz w:val="20"/>
          <w:szCs w:val="20"/>
        </w:rPr>
        <w:t>World Bank, 2007</w:t>
      </w:r>
    </w:p>
    <w:p w:rsidR="007F2F9C" w:rsidRDefault="007F2F9C" w:rsidP="00F5769F">
      <w:pPr>
        <w:spacing w:line="276" w:lineRule="auto"/>
        <w:jc w:val="both"/>
        <w:rPr>
          <w:rFonts w:cs="Times New Roman"/>
          <w:szCs w:val="24"/>
        </w:rPr>
      </w:pPr>
      <w:r w:rsidRPr="00924255">
        <w:rPr>
          <w:rFonts w:cs="Times New Roman"/>
          <w:szCs w:val="24"/>
        </w:rPr>
        <w:t xml:space="preserve">With mechanization operating costs would be reduced by 26 percent achieved by a higher number of trips. Profit of vessel owner will increase, service will be competitive and integrated logistics costs would likely be reduced compared to present system of head load. Such mechanization of handling is only possible through establishing an uninterrupted intermodal connectivity with both growers and retailers as the beneficiaries.  </w:t>
      </w:r>
    </w:p>
    <w:p w:rsidR="007F2F9C" w:rsidRDefault="007F2F9C" w:rsidP="009538ED">
      <w:pPr>
        <w:spacing w:line="276" w:lineRule="auto"/>
        <w:jc w:val="both"/>
        <w:rPr>
          <w:rFonts w:cs="Times New Roman"/>
          <w:b/>
          <w:i/>
          <w:iCs/>
          <w:szCs w:val="24"/>
        </w:rPr>
      </w:pPr>
      <w:r w:rsidRPr="00924255">
        <w:rPr>
          <w:rFonts w:cs="Times New Roman"/>
          <w:b/>
          <w:i/>
          <w:iCs/>
          <w:szCs w:val="24"/>
        </w:rPr>
        <w:t>Higher turnaround time</w:t>
      </w:r>
    </w:p>
    <w:p w:rsidR="007F2F9C" w:rsidRDefault="007F2F9C" w:rsidP="00F5769F">
      <w:pPr>
        <w:spacing w:line="276" w:lineRule="auto"/>
        <w:jc w:val="both"/>
        <w:rPr>
          <w:rFonts w:cs="Times New Roman"/>
          <w:szCs w:val="24"/>
        </w:rPr>
      </w:pPr>
      <w:r>
        <w:rPr>
          <w:rFonts w:cs="Times New Roman"/>
          <w:szCs w:val="24"/>
        </w:rPr>
        <w:t xml:space="preserve">Table </w:t>
      </w:r>
      <w:r w:rsidR="00A44CBF">
        <w:rPr>
          <w:rFonts w:cs="Times New Roman"/>
          <w:szCs w:val="24"/>
        </w:rPr>
        <w:t>9.</w:t>
      </w:r>
      <w:r>
        <w:rPr>
          <w:rFonts w:cs="Times New Roman"/>
          <w:szCs w:val="24"/>
        </w:rPr>
        <w:t>1</w:t>
      </w:r>
      <w:r w:rsidR="008C008D">
        <w:rPr>
          <w:rFonts w:cs="Times New Roman"/>
          <w:szCs w:val="24"/>
        </w:rPr>
        <w:t>4</w:t>
      </w:r>
      <w:r w:rsidRPr="00924255">
        <w:rPr>
          <w:rFonts w:cs="Times New Roman"/>
          <w:szCs w:val="24"/>
        </w:rPr>
        <w:t xml:space="preserve"> shows the high turnaround time of a vessel operating in the main commercial routes of Bangladesh-India trans- boundary inland navigation.</w:t>
      </w:r>
    </w:p>
    <w:p w:rsidR="007F2F9C" w:rsidRPr="00924255" w:rsidRDefault="007F2F9C" w:rsidP="0036657D">
      <w:pPr>
        <w:pStyle w:val="Heading4"/>
      </w:pPr>
      <w:bookmarkStart w:id="668" w:name="_Toc439337388"/>
      <w:bookmarkStart w:id="669" w:name="_Toc474639080"/>
      <w:r>
        <w:t xml:space="preserve">Table </w:t>
      </w:r>
      <w:r w:rsidR="00A44CBF">
        <w:t>9.</w:t>
      </w:r>
      <w:r>
        <w:t>1</w:t>
      </w:r>
      <w:r w:rsidR="008C008D">
        <w:t>4</w:t>
      </w:r>
      <w:r w:rsidRPr="00924255">
        <w:t>: Average Turnaround Time</w:t>
      </w:r>
      <w:bookmarkEnd w:id="668"/>
      <w:r w:rsidRPr="00924255">
        <w:t xml:space="preserve"> in handing vessels</w:t>
      </w:r>
      <w:bookmarkEnd w:id="669"/>
    </w:p>
    <w:tbl>
      <w:tblPr>
        <w:tblStyle w:val="LightShading10"/>
        <w:tblW w:w="0" w:type="auto"/>
        <w:tblLook w:val="04A0"/>
      </w:tblPr>
      <w:tblGrid>
        <w:gridCol w:w="910"/>
        <w:gridCol w:w="3050"/>
        <w:gridCol w:w="2970"/>
        <w:gridCol w:w="2448"/>
      </w:tblGrid>
      <w:tr w:rsidR="007F2F9C" w:rsidRPr="004D0CD9" w:rsidTr="004D0CD9">
        <w:trPr>
          <w:cnfStyle w:val="100000000000"/>
        </w:trPr>
        <w:tc>
          <w:tcPr>
            <w:cnfStyle w:val="001000000000"/>
            <w:tcW w:w="910" w:type="dxa"/>
          </w:tcPr>
          <w:p w:rsidR="007F2F9C" w:rsidRPr="004D0CD9" w:rsidRDefault="007F2F9C" w:rsidP="00F5769F">
            <w:pPr>
              <w:spacing w:line="276" w:lineRule="auto"/>
              <w:jc w:val="both"/>
              <w:rPr>
                <w:rFonts w:ascii="Times New Roman" w:hAnsi="Times New Roman"/>
                <w:b w:val="0"/>
                <w:sz w:val="22"/>
                <w:szCs w:val="24"/>
              </w:rPr>
            </w:pPr>
          </w:p>
        </w:tc>
        <w:tc>
          <w:tcPr>
            <w:tcW w:w="3050" w:type="dxa"/>
          </w:tcPr>
          <w:p w:rsidR="007F2F9C" w:rsidRPr="00D10C92" w:rsidRDefault="007F2F9C" w:rsidP="00F5769F">
            <w:pPr>
              <w:spacing w:line="276" w:lineRule="auto"/>
              <w:jc w:val="both"/>
              <w:cnfStyle w:val="100000000000"/>
              <w:rPr>
                <w:rFonts w:ascii="Times New Roman" w:hAnsi="Times New Roman"/>
                <w:sz w:val="22"/>
                <w:szCs w:val="24"/>
              </w:rPr>
            </w:pPr>
            <w:r w:rsidRPr="00D10C92">
              <w:rPr>
                <w:rFonts w:ascii="Times New Roman" w:hAnsi="Times New Roman"/>
                <w:sz w:val="22"/>
                <w:szCs w:val="24"/>
              </w:rPr>
              <w:t>Route</w:t>
            </w:r>
          </w:p>
        </w:tc>
        <w:tc>
          <w:tcPr>
            <w:tcW w:w="2970" w:type="dxa"/>
          </w:tcPr>
          <w:p w:rsidR="007F2F9C" w:rsidRPr="00D10C92" w:rsidRDefault="007F2F9C" w:rsidP="00F5769F">
            <w:pPr>
              <w:spacing w:line="276" w:lineRule="auto"/>
              <w:jc w:val="both"/>
              <w:cnfStyle w:val="100000000000"/>
              <w:rPr>
                <w:rFonts w:ascii="Times New Roman" w:hAnsi="Times New Roman"/>
                <w:sz w:val="22"/>
                <w:szCs w:val="24"/>
              </w:rPr>
            </w:pPr>
            <w:r w:rsidRPr="00D10C92">
              <w:rPr>
                <w:rFonts w:ascii="Times New Roman" w:hAnsi="Times New Roman"/>
                <w:sz w:val="22"/>
                <w:szCs w:val="24"/>
              </w:rPr>
              <w:t>Mode of trade</w:t>
            </w:r>
          </w:p>
        </w:tc>
        <w:tc>
          <w:tcPr>
            <w:tcW w:w="2448" w:type="dxa"/>
          </w:tcPr>
          <w:p w:rsidR="007F2F9C" w:rsidRPr="00D10C92" w:rsidRDefault="007F2F9C" w:rsidP="00F5769F">
            <w:pPr>
              <w:spacing w:line="276" w:lineRule="auto"/>
              <w:jc w:val="both"/>
              <w:cnfStyle w:val="100000000000"/>
              <w:rPr>
                <w:rFonts w:ascii="Times New Roman" w:hAnsi="Times New Roman"/>
                <w:sz w:val="22"/>
                <w:szCs w:val="24"/>
              </w:rPr>
            </w:pPr>
            <w:r w:rsidRPr="00D10C92">
              <w:rPr>
                <w:rFonts w:ascii="Times New Roman" w:hAnsi="Times New Roman"/>
                <w:sz w:val="22"/>
                <w:szCs w:val="24"/>
              </w:rPr>
              <w:t>Time taken</w:t>
            </w:r>
          </w:p>
        </w:tc>
      </w:tr>
      <w:tr w:rsidR="007F2F9C" w:rsidRPr="004D0CD9" w:rsidTr="004D0CD9">
        <w:trPr>
          <w:cnfStyle w:val="000000100000"/>
        </w:trPr>
        <w:tc>
          <w:tcPr>
            <w:cnfStyle w:val="001000000000"/>
            <w:tcW w:w="910" w:type="dxa"/>
          </w:tcPr>
          <w:p w:rsidR="007F2F9C" w:rsidRPr="004D0CD9" w:rsidRDefault="007F2F9C" w:rsidP="00F5769F">
            <w:pPr>
              <w:spacing w:after="0" w:line="276" w:lineRule="auto"/>
              <w:jc w:val="both"/>
              <w:rPr>
                <w:rFonts w:ascii="Times New Roman" w:hAnsi="Times New Roman"/>
                <w:b w:val="0"/>
                <w:sz w:val="22"/>
                <w:szCs w:val="24"/>
              </w:rPr>
            </w:pPr>
            <w:r w:rsidRPr="004D0CD9">
              <w:rPr>
                <w:rFonts w:ascii="Times New Roman" w:hAnsi="Times New Roman"/>
                <w:b w:val="0"/>
                <w:sz w:val="22"/>
                <w:szCs w:val="24"/>
              </w:rPr>
              <w:t>1.</w:t>
            </w:r>
          </w:p>
        </w:tc>
        <w:tc>
          <w:tcPr>
            <w:tcW w:w="3050" w:type="dxa"/>
          </w:tcPr>
          <w:p w:rsidR="007F2F9C" w:rsidRPr="004D0CD9" w:rsidRDefault="007F2F9C" w:rsidP="00F5769F">
            <w:pPr>
              <w:spacing w:after="0" w:line="276" w:lineRule="auto"/>
              <w:jc w:val="both"/>
              <w:cnfStyle w:val="000000100000"/>
              <w:rPr>
                <w:rFonts w:ascii="Times New Roman" w:hAnsi="Times New Roman"/>
                <w:sz w:val="22"/>
                <w:szCs w:val="24"/>
              </w:rPr>
            </w:pPr>
            <w:r w:rsidRPr="004D0CD9">
              <w:rPr>
                <w:rFonts w:ascii="Times New Roman" w:hAnsi="Times New Roman"/>
                <w:sz w:val="22"/>
                <w:szCs w:val="24"/>
              </w:rPr>
              <w:t>Narayanganj-Kolkata</w:t>
            </w:r>
          </w:p>
        </w:tc>
        <w:tc>
          <w:tcPr>
            <w:tcW w:w="2970" w:type="dxa"/>
          </w:tcPr>
          <w:p w:rsidR="007F2F9C" w:rsidRPr="004D0CD9" w:rsidRDefault="007F2F9C" w:rsidP="00F5769F">
            <w:pPr>
              <w:spacing w:after="0" w:line="276" w:lineRule="auto"/>
              <w:jc w:val="both"/>
              <w:cnfStyle w:val="000000100000"/>
              <w:rPr>
                <w:rFonts w:ascii="Times New Roman" w:hAnsi="Times New Roman"/>
                <w:sz w:val="22"/>
                <w:szCs w:val="24"/>
              </w:rPr>
            </w:pPr>
            <w:r w:rsidRPr="004D0CD9">
              <w:rPr>
                <w:rFonts w:ascii="Times New Roman" w:hAnsi="Times New Roman"/>
                <w:sz w:val="22"/>
                <w:szCs w:val="24"/>
              </w:rPr>
              <w:t>Inter-country trade</w:t>
            </w:r>
          </w:p>
        </w:tc>
        <w:tc>
          <w:tcPr>
            <w:tcW w:w="2448" w:type="dxa"/>
          </w:tcPr>
          <w:p w:rsidR="007F2F9C" w:rsidRPr="004D0CD9" w:rsidRDefault="007F2F9C" w:rsidP="00F5769F">
            <w:pPr>
              <w:spacing w:after="0" w:line="276" w:lineRule="auto"/>
              <w:jc w:val="both"/>
              <w:cnfStyle w:val="000000100000"/>
              <w:rPr>
                <w:rFonts w:ascii="Times New Roman" w:hAnsi="Times New Roman"/>
                <w:sz w:val="22"/>
                <w:szCs w:val="24"/>
              </w:rPr>
            </w:pPr>
            <w:r w:rsidRPr="004D0CD9">
              <w:rPr>
                <w:rFonts w:ascii="Times New Roman" w:hAnsi="Times New Roman"/>
                <w:sz w:val="22"/>
                <w:szCs w:val="24"/>
              </w:rPr>
              <w:t>40 days</w:t>
            </w:r>
          </w:p>
        </w:tc>
      </w:tr>
      <w:tr w:rsidR="007F2F9C" w:rsidRPr="004D0CD9" w:rsidTr="004D0CD9">
        <w:tc>
          <w:tcPr>
            <w:cnfStyle w:val="001000000000"/>
            <w:tcW w:w="910" w:type="dxa"/>
          </w:tcPr>
          <w:p w:rsidR="007F2F9C" w:rsidRPr="004D0CD9" w:rsidRDefault="007F2F9C" w:rsidP="00F5769F">
            <w:pPr>
              <w:spacing w:after="0" w:line="276" w:lineRule="auto"/>
              <w:jc w:val="both"/>
              <w:rPr>
                <w:rFonts w:ascii="Times New Roman" w:hAnsi="Times New Roman"/>
                <w:b w:val="0"/>
                <w:sz w:val="22"/>
                <w:szCs w:val="24"/>
              </w:rPr>
            </w:pPr>
            <w:r w:rsidRPr="004D0CD9">
              <w:rPr>
                <w:rFonts w:ascii="Times New Roman" w:hAnsi="Times New Roman"/>
                <w:b w:val="0"/>
                <w:sz w:val="22"/>
                <w:szCs w:val="24"/>
              </w:rPr>
              <w:t>2.</w:t>
            </w:r>
          </w:p>
        </w:tc>
        <w:tc>
          <w:tcPr>
            <w:tcW w:w="3050" w:type="dxa"/>
          </w:tcPr>
          <w:p w:rsidR="007F2F9C" w:rsidRPr="004D0CD9" w:rsidRDefault="007F2F9C" w:rsidP="00F5769F">
            <w:pPr>
              <w:spacing w:after="0" w:line="276" w:lineRule="auto"/>
              <w:jc w:val="both"/>
              <w:cnfStyle w:val="000000000000"/>
              <w:rPr>
                <w:rFonts w:ascii="Times New Roman" w:hAnsi="Times New Roman"/>
                <w:sz w:val="22"/>
                <w:szCs w:val="24"/>
              </w:rPr>
            </w:pPr>
            <w:r w:rsidRPr="004D0CD9">
              <w:rPr>
                <w:rFonts w:ascii="Times New Roman" w:hAnsi="Times New Roman"/>
                <w:sz w:val="22"/>
                <w:szCs w:val="24"/>
              </w:rPr>
              <w:t>Kolkata-Karimganj</w:t>
            </w:r>
          </w:p>
        </w:tc>
        <w:tc>
          <w:tcPr>
            <w:tcW w:w="2970" w:type="dxa"/>
          </w:tcPr>
          <w:p w:rsidR="007F2F9C" w:rsidRPr="004D0CD9" w:rsidRDefault="007F2F9C" w:rsidP="00F5769F">
            <w:pPr>
              <w:spacing w:after="0" w:line="276" w:lineRule="auto"/>
              <w:jc w:val="both"/>
              <w:cnfStyle w:val="000000000000"/>
              <w:rPr>
                <w:rFonts w:ascii="Times New Roman" w:hAnsi="Times New Roman"/>
                <w:sz w:val="22"/>
                <w:szCs w:val="24"/>
              </w:rPr>
            </w:pPr>
            <w:r w:rsidRPr="004D0CD9">
              <w:rPr>
                <w:rFonts w:ascii="Times New Roman" w:hAnsi="Times New Roman"/>
                <w:sz w:val="22"/>
                <w:szCs w:val="24"/>
              </w:rPr>
              <w:t>Transit trade</w:t>
            </w:r>
          </w:p>
        </w:tc>
        <w:tc>
          <w:tcPr>
            <w:tcW w:w="2448" w:type="dxa"/>
          </w:tcPr>
          <w:p w:rsidR="007F2F9C" w:rsidRPr="004D0CD9" w:rsidRDefault="007F2F9C" w:rsidP="00F5769F">
            <w:pPr>
              <w:spacing w:after="0" w:line="276" w:lineRule="auto"/>
              <w:jc w:val="both"/>
              <w:cnfStyle w:val="000000000000"/>
              <w:rPr>
                <w:rFonts w:ascii="Times New Roman" w:hAnsi="Times New Roman"/>
                <w:sz w:val="22"/>
                <w:szCs w:val="24"/>
              </w:rPr>
            </w:pPr>
            <w:r w:rsidRPr="004D0CD9">
              <w:rPr>
                <w:rFonts w:ascii="Times New Roman" w:hAnsi="Times New Roman"/>
                <w:sz w:val="22"/>
                <w:szCs w:val="24"/>
              </w:rPr>
              <w:t>45 days</w:t>
            </w:r>
          </w:p>
        </w:tc>
      </w:tr>
      <w:tr w:rsidR="007F2F9C" w:rsidRPr="004D0CD9" w:rsidTr="004D0CD9">
        <w:trPr>
          <w:cnfStyle w:val="000000100000"/>
        </w:trPr>
        <w:tc>
          <w:tcPr>
            <w:cnfStyle w:val="001000000000"/>
            <w:tcW w:w="910" w:type="dxa"/>
          </w:tcPr>
          <w:p w:rsidR="007F2F9C" w:rsidRPr="004D0CD9" w:rsidRDefault="007F2F9C" w:rsidP="00F5769F">
            <w:pPr>
              <w:spacing w:after="0" w:line="276" w:lineRule="auto"/>
              <w:jc w:val="both"/>
              <w:rPr>
                <w:rFonts w:ascii="Times New Roman" w:hAnsi="Times New Roman"/>
                <w:b w:val="0"/>
                <w:sz w:val="22"/>
                <w:szCs w:val="24"/>
              </w:rPr>
            </w:pPr>
            <w:r w:rsidRPr="004D0CD9">
              <w:rPr>
                <w:rFonts w:ascii="Times New Roman" w:hAnsi="Times New Roman"/>
                <w:b w:val="0"/>
                <w:sz w:val="22"/>
                <w:szCs w:val="24"/>
              </w:rPr>
              <w:t>3.</w:t>
            </w:r>
          </w:p>
        </w:tc>
        <w:tc>
          <w:tcPr>
            <w:tcW w:w="3050" w:type="dxa"/>
          </w:tcPr>
          <w:p w:rsidR="007F2F9C" w:rsidRPr="004D0CD9" w:rsidRDefault="007F2F9C" w:rsidP="00F5769F">
            <w:pPr>
              <w:spacing w:after="0" w:line="276" w:lineRule="auto"/>
              <w:jc w:val="both"/>
              <w:cnfStyle w:val="000000100000"/>
              <w:rPr>
                <w:rFonts w:ascii="Times New Roman" w:hAnsi="Times New Roman"/>
                <w:sz w:val="22"/>
                <w:szCs w:val="24"/>
              </w:rPr>
            </w:pPr>
            <w:r w:rsidRPr="004D0CD9">
              <w:rPr>
                <w:rFonts w:ascii="Times New Roman" w:hAnsi="Times New Roman"/>
                <w:sz w:val="22"/>
                <w:szCs w:val="24"/>
              </w:rPr>
              <w:t>Kolkata-Khulna</w:t>
            </w:r>
          </w:p>
        </w:tc>
        <w:tc>
          <w:tcPr>
            <w:tcW w:w="2970" w:type="dxa"/>
          </w:tcPr>
          <w:p w:rsidR="007F2F9C" w:rsidRPr="004D0CD9" w:rsidRDefault="007F2F9C" w:rsidP="00F5769F">
            <w:pPr>
              <w:spacing w:after="0" w:line="276" w:lineRule="auto"/>
              <w:jc w:val="both"/>
              <w:cnfStyle w:val="000000100000"/>
              <w:rPr>
                <w:rFonts w:ascii="Times New Roman" w:hAnsi="Times New Roman"/>
                <w:sz w:val="22"/>
                <w:szCs w:val="24"/>
              </w:rPr>
            </w:pPr>
            <w:r w:rsidRPr="004D0CD9">
              <w:rPr>
                <w:rFonts w:ascii="Times New Roman" w:hAnsi="Times New Roman"/>
                <w:sz w:val="22"/>
                <w:szCs w:val="24"/>
              </w:rPr>
              <w:t>Inter-country trade</w:t>
            </w:r>
          </w:p>
        </w:tc>
        <w:tc>
          <w:tcPr>
            <w:tcW w:w="2448" w:type="dxa"/>
          </w:tcPr>
          <w:p w:rsidR="007F2F9C" w:rsidRPr="004D0CD9" w:rsidRDefault="007F2F9C" w:rsidP="00F5769F">
            <w:pPr>
              <w:spacing w:after="0" w:line="276" w:lineRule="auto"/>
              <w:jc w:val="both"/>
              <w:cnfStyle w:val="000000100000"/>
              <w:rPr>
                <w:rFonts w:ascii="Times New Roman" w:hAnsi="Times New Roman"/>
                <w:sz w:val="22"/>
                <w:szCs w:val="24"/>
              </w:rPr>
            </w:pPr>
            <w:r w:rsidRPr="004D0CD9">
              <w:rPr>
                <w:rFonts w:ascii="Times New Roman" w:hAnsi="Times New Roman"/>
                <w:sz w:val="22"/>
                <w:szCs w:val="24"/>
              </w:rPr>
              <w:t>25 days</w:t>
            </w:r>
          </w:p>
        </w:tc>
      </w:tr>
      <w:tr w:rsidR="007F2F9C" w:rsidRPr="004D0CD9" w:rsidTr="004D0CD9">
        <w:tc>
          <w:tcPr>
            <w:cnfStyle w:val="001000000000"/>
            <w:tcW w:w="910" w:type="dxa"/>
          </w:tcPr>
          <w:p w:rsidR="007F2F9C" w:rsidRPr="004D0CD9" w:rsidRDefault="007F2F9C" w:rsidP="00F5769F">
            <w:pPr>
              <w:spacing w:after="0" w:line="276" w:lineRule="auto"/>
              <w:jc w:val="both"/>
              <w:rPr>
                <w:rFonts w:ascii="Times New Roman" w:hAnsi="Times New Roman"/>
                <w:b w:val="0"/>
                <w:sz w:val="22"/>
                <w:szCs w:val="24"/>
              </w:rPr>
            </w:pPr>
            <w:r w:rsidRPr="004D0CD9">
              <w:rPr>
                <w:rFonts w:ascii="Times New Roman" w:hAnsi="Times New Roman"/>
                <w:b w:val="0"/>
                <w:sz w:val="22"/>
                <w:szCs w:val="24"/>
              </w:rPr>
              <w:t>4.</w:t>
            </w:r>
          </w:p>
        </w:tc>
        <w:tc>
          <w:tcPr>
            <w:tcW w:w="3050" w:type="dxa"/>
          </w:tcPr>
          <w:p w:rsidR="007F2F9C" w:rsidRPr="004D0CD9" w:rsidRDefault="007F2F9C" w:rsidP="00F5769F">
            <w:pPr>
              <w:spacing w:after="0" w:line="276" w:lineRule="auto"/>
              <w:jc w:val="both"/>
              <w:cnfStyle w:val="000000000000"/>
              <w:rPr>
                <w:rFonts w:ascii="Times New Roman" w:hAnsi="Times New Roman"/>
                <w:sz w:val="22"/>
                <w:szCs w:val="24"/>
              </w:rPr>
            </w:pPr>
            <w:r w:rsidRPr="004D0CD9">
              <w:rPr>
                <w:rFonts w:ascii="Times New Roman" w:hAnsi="Times New Roman"/>
                <w:sz w:val="22"/>
                <w:szCs w:val="24"/>
              </w:rPr>
              <w:t>Kolkata-Pandu</w:t>
            </w:r>
          </w:p>
        </w:tc>
        <w:tc>
          <w:tcPr>
            <w:tcW w:w="2970" w:type="dxa"/>
          </w:tcPr>
          <w:p w:rsidR="007F2F9C" w:rsidRPr="004D0CD9" w:rsidRDefault="007F2F9C" w:rsidP="00F5769F">
            <w:pPr>
              <w:spacing w:after="0" w:line="276" w:lineRule="auto"/>
              <w:jc w:val="both"/>
              <w:cnfStyle w:val="000000000000"/>
              <w:rPr>
                <w:rFonts w:ascii="Times New Roman" w:hAnsi="Times New Roman"/>
                <w:sz w:val="22"/>
                <w:szCs w:val="24"/>
              </w:rPr>
            </w:pPr>
            <w:r w:rsidRPr="004D0CD9">
              <w:rPr>
                <w:rFonts w:ascii="Times New Roman" w:hAnsi="Times New Roman"/>
                <w:sz w:val="22"/>
                <w:szCs w:val="24"/>
              </w:rPr>
              <w:t>Transit trade</w:t>
            </w:r>
          </w:p>
        </w:tc>
        <w:tc>
          <w:tcPr>
            <w:tcW w:w="2448" w:type="dxa"/>
          </w:tcPr>
          <w:p w:rsidR="007F2F9C" w:rsidRPr="004D0CD9" w:rsidRDefault="007F2F9C" w:rsidP="00F5769F">
            <w:pPr>
              <w:spacing w:after="0" w:line="276" w:lineRule="auto"/>
              <w:jc w:val="both"/>
              <w:cnfStyle w:val="000000000000"/>
              <w:rPr>
                <w:rFonts w:ascii="Times New Roman" w:hAnsi="Times New Roman"/>
                <w:sz w:val="22"/>
                <w:szCs w:val="24"/>
              </w:rPr>
            </w:pPr>
            <w:r w:rsidRPr="004D0CD9">
              <w:rPr>
                <w:rFonts w:ascii="Times New Roman" w:hAnsi="Times New Roman"/>
                <w:sz w:val="22"/>
                <w:szCs w:val="24"/>
              </w:rPr>
              <w:t>50 days</w:t>
            </w:r>
          </w:p>
        </w:tc>
      </w:tr>
    </w:tbl>
    <w:p w:rsidR="007F2F9C" w:rsidRPr="00593A5C" w:rsidRDefault="007F2F9C" w:rsidP="009B44EC">
      <w:pPr>
        <w:spacing w:before="120" w:line="276" w:lineRule="auto"/>
        <w:jc w:val="both"/>
        <w:rPr>
          <w:rFonts w:cs="Times New Roman"/>
          <w:b/>
          <w:bCs/>
          <w:i/>
          <w:sz w:val="20"/>
          <w:szCs w:val="20"/>
        </w:rPr>
      </w:pPr>
      <w:r w:rsidRPr="00593A5C">
        <w:rPr>
          <w:rFonts w:cs="Times New Roman"/>
          <w:b/>
          <w:bCs/>
          <w:i/>
          <w:sz w:val="20"/>
          <w:szCs w:val="20"/>
        </w:rPr>
        <w:t xml:space="preserve">Source: </w:t>
      </w:r>
      <w:r w:rsidR="00144A5B" w:rsidRPr="00593A5C">
        <w:rPr>
          <w:b/>
          <w:i/>
          <w:sz w:val="20"/>
          <w:szCs w:val="20"/>
        </w:rPr>
        <w:t>Sustainable Transportation and Infrastructure</w:t>
      </w:r>
      <w:r w:rsidR="00593A5C" w:rsidRPr="00593A5C">
        <w:rPr>
          <w:b/>
          <w:i/>
          <w:sz w:val="20"/>
          <w:szCs w:val="20"/>
        </w:rPr>
        <w:t>, Delta Plan Baseline Study</w:t>
      </w:r>
    </w:p>
    <w:p w:rsidR="007F2F9C" w:rsidRPr="00924255" w:rsidRDefault="007F2F9C" w:rsidP="00F5769F">
      <w:pPr>
        <w:spacing w:line="276" w:lineRule="auto"/>
        <w:jc w:val="both"/>
        <w:rPr>
          <w:rFonts w:cs="Times New Roman"/>
          <w:i/>
          <w:szCs w:val="24"/>
        </w:rPr>
      </w:pPr>
      <w:r w:rsidRPr="00924255">
        <w:rPr>
          <w:rFonts w:cs="Times New Roman"/>
          <w:szCs w:val="24"/>
        </w:rPr>
        <w:t>Causes for such high time for turnaround are as follows:</w:t>
      </w:r>
    </w:p>
    <w:p w:rsidR="00000000" w:rsidRDefault="007F2F9C" w:rsidP="003D5A31">
      <w:pPr>
        <w:pStyle w:val="ListParagraph"/>
        <w:numPr>
          <w:ilvl w:val="0"/>
          <w:numId w:val="172"/>
        </w:numPr>
        <w:spacing w:after="120" w:line="276" w:lineRule="auto"/>
        <w:jc w:val="both"/>
        <w:rPr>
          <w:rFonts w:cs="Times New Roman"/>
          <w:szCs w:val="24"/>
        </w:rPr>
      </w:pPr>
      <w:r w:rsidRPr="004D0CD9">
        <w:rPr>
          <w:rFonts w:cs="Times New Roman"/>
          <w:szCs w:val="24"/>
        </w:rPr>
        <w:t xml:space="preserve">Poor navigational quality in some stretches, </w:t>
      </w:r>
    </w:p>
    <w:p w:rsidR="00000000" w:rsidRDefault="007F2F9C" w:rsidP="003D5A31">
      <w:pPr>
        <w:pStyle w:val="ListParagraph"/>
        <w:numPr>
          <w:ilvl w:val="0"/>
          <w:numId w:val="172"/>
        </w:numPr>
        <w:spacing w:after="120" w:line="276" w:lineRule="auto"/>
        <w:jc w:val="both"/>
        <w:rPr>
          <w:rFonts w:cs="Times New Roman"/>
          <w:szCs w:val="24"/>
        </w:rPr>
      </w:pPr>
      <w:r w:rsidRPr="004D0CD9">
        <w:rPr>
          <w:rFonts w:cs="Times New Roman"/>
          <w:szCs w:val="24"/>
        </w:rPr>
        <w:t>High time for loading and unloading due to lack of appropriate handling facilities,</w:t>
      </w:r>
    </w:p>
    <w:p w:rsidR="00000000" w:rsidRDefault="007F2F9C" w:rsidP="003D5A31">
      <w:pPr>
        <w:pStyle w:val="ListParagraph"/>
        <w:numPr>
          <w:ilvl w:val="0"/>
          <w:numId w:val="172"/>
        </w:numPr>
        <w:spacing w:after="120" w:line="276" w:lineRule="auto"/>
        <w:jc w:val="both"/>
        <w:rPr>
          <w:rFonts w:cs="Times New Roman"/>
          <w:szCs w:val="24"/>
        </w:rPr>
      </w:pPr>
      <w:r w:rsidRPr="004D0CD9">
        <w:rPr>
          <w:rFonts w:cs="Times New Roman"/>
          <w:szCs w:val="24"/>
        </w:rPr>
        <w:t>Absence of night navigation facilities,</w:t>
      </w:r>
    </w:p>
    <w:p w:rsidR="00000000" w:rsidRDefault="007F2F9C" w:rsidP="003D5A31">
      <w:pPr>
        <w:pStyle w:val="ListParagraph"/>
        <w:numPr>
          <w:ilvl w:val="0"/>
          <w:numId w:val="172"/>
        </w:numPr>
        <w:spacing w:after="120" w:line="276" w:lineRule="auto"/>
        <w:jc w:val="both"/>
        <w:rPr>
          <w:rFonts w:cs="Times New Roman"/>
          <w:szCs w:val="24"/>
        </w:rPr>
      </w:pPr>
      <w:r w:rsidRPr="004D0CD9">
        <w:rPr>
          <w:rFonts w:cs="Times New Roman"/>
          <w:szCs w:val="24"/>
        </w:rPr>
        <w:t>Present procedures of customs and immigration,</w:t>
      </w:r>
    </w:p>
    <w:p w:rsidR="00000000" w:rsidRDefault="007F2F9C" w:rsidP="003D5A31">
      <w:pPr>
        <w:pStyle w:val="ListParagraph"/>
        <w:numPr>
          <w:ilvl w:val="0"/>
          <w:numId w:val="172"/>
        </w:numPr>
        <w:spacing w:line="276" w:lineRule="auto"/>
        <w:jc w:val="both"/>
        <w:rPr>
          <w:rFonts w:cs="Times New Roman"/>
          <w:szCs w:val="24"/>
        </w:rPr>
      </w:pPr>
      <w:r w:rsidRPr="004D0CD9">
        <w:rPr>
          <w:rFonts w:cs="Times New Roman"/>
          <w:szCs w:val="24"/>
        </w:rPr>
        <w:lastRenderedPageBreak/>
        <w:t>Efficiency of the vessel and crew.</w:t>
      </w:r>
    </w:p>
    <w:p w:rsidR="007F2F9C" w:rsidRPr="004B0A08" w:rsidRDefault="007F2F9C" w:rsidP="00F5769F">
      <w:pPr>
        <w:spacing w:line="276" w:lineRule="auto"/>
        <w:jc w:val="both"/>
        <w:rPr>
          <w:rFonts w:cs="Times New Roman"/>
          <w:i/>
          <w:szCs w:val="24"/>
        </w:rPr>
      </w:pPr>
      <w:r w:rsidRPr="004B0A08">
        <w:rPr>
          <w:rFonts w:cs="Times New Roman"/>
          <w:i/>
          <w:szCs w:val="24"/>
        </w:rPr>
        <w:t>In course of discussion with the private operators under the Protocol revealed that from total turnaround time one-third is required for actual navigation and the remaining for loading-unloading and customs and immigration formalities.</w:t>
      </w:r>
      <w:bookmarkStart w:id="670" w:name="_Toc439337193"/>
      <w:bookmarkStart w:id="671" w:name="_Toc405367244"/>
      <w:bookmarkStart w:id="672" w:name="_Toc405988368"/>
      <w:bookmarkStart w:id="673" w:name="_Toc408501571"/>
    </w:p>
    <w:bookmarkEnd w:id="670"/>
    <w:bookmarkEnd w:id="671"/>
    <w:bookmarkEnd w:id="672"/>
    <w:bookmarkEnd w:id="673"/>
    <w:p w:rsidR="00000000" w:rsidRDefault="007F2F9C" w:rsidP="003D5A31">
      <w:pPr>
        <w:pStyle w:val="BodyText"/>
        <w:numPr>
          <w:ilvl w:val="2"/>
          <w:numId w:val="240"/>
        </w:numPr>
        <w:spacing w:after="240" w:line="276" w:lineRule="auto"/>
        <w:jc w:val="both"/>
        <w:rPr>
          <w:rFonts w:cs="Times New Roman"/>
          <w:b/>
          <w:szCs w:val="24"/>
        </w:rPr>
      </w:pPr>
      <w:r w:rsidRPr="001968E1">
        <w:rPr>
          <w:rFonts w:cs="Times New Roman"/>
          <w:b/>
          <w:szCs w:val="24"/>
        </w:rPr>
        <w:t>River Safety and Other Key Issues</w:t>
      </w:r>
    </w:p>
    <w:p w:rsidR="00E12250" w:rsidRDefault="007F2F9C" w:rsidP="00700C52">
      <w:pPr>
        <w:spacing w:line="276" w:lineRule="auto"/>
        <w:jc w:val="both"/>
        <w:rPr>
          <w:rFonts w:cs="Times New Roman"/>
          <w:szCs w:val="24"/>
        </w:rPr>
      </w:pPr>
      <w:r w:rsidRPr="00924255">
        <w:rPr>
          <w:rFonts w:cs="Times New Roman"/>
          <w:szCs w:val="24"/>
        </w:rPr>
        <w:t xml:space="preserve">During the last decades substantial number of accidents happened in the inland waterways of Bangladesh and claimed thousands of lives. Such incidents created a </w:t>
      </w:r>
      <w:r w:rsidR="00847D39">
        <w:rPr>
          <w:rFonts w:cs="Times New Roman"/>
          <w:szCs w:val="24"/>
        </w:rPr>
        <w:t>public</w:t>
      </w:r>
      <w:r w:rsidRPr="00924255">
        <w:rPr>
          <w:rFonts w:cs="Times New Roman"/>
          <w:szCs w:val="24"/>
        </w:rPr>
        <w:t xml:space="preserve"> perception that waterway transport is unsafe. Despite the fact </w:t>
      </w:r>
      <w:r w:rsidRPr="00924255">
        <w:rPr>
          <w:rFonts w:cs="Times New Roman"/>
          <w:i/>
          <w:szCs w:val="24"/>
        </w:rPr>
        <w:t xml:space="preserve">the ratio of fatalities per billion of passenger-km is 158 for roads and 41 for IWT </w:t>
      </w:r>
      <w:r>
        <w:rPr>
          <w:rFonts w:cs="Times New Roman"/>
          <w:szCs w:val="24"/>
        </w:rPr>
        <w:t xml:space="preserve">(World Bank, 2007). </w:t>
      </w:r>
      <w:r w:rsidRPr="00924255">
        <w:rPr>
          <w:rFonts w:cs="Times New Roman"/>
          <w:szCs w:val="24"/>
        </w:rPr>
        <w:t xml:space="preserve"> Table </w:t>
      </w:r>
      <w:r w:rsidR="00A44CBF">
        <w:rPr>
          <w:rFonts w:cs="Times New Roman"/>
          <w:szCs w:val="24"/>
        </w:rPr>
        <w:t>9.</w:t>
      </w:r>
      <w:r w:rsidRPr="00924255">
        <w:rPr>
          <w:rFonts w:cs="Times New Roman"/>
          <w:szCs w:val="24"/>
        </w:rPr>
        <w:t>1</w:t>
      </w:r>
      <w:r>
        <w:rPr>
          <w:rFonts w:cs="Times New Roman"/>
          <w:szCs w:val="24"/>
        </w:rPr>
        <w:t>5</w:t>
      </w:r>
      <w:r w:rsidRPr="00924255">
        <w:rPr>
          <w:rFonts w:cs="Times New Roman"/>
          <w:szCs w:val="24"/>
        </w:rPr>
        <w:t xml:space="preserve"> reports </w:t>
      </w:r>
      <w:r>
        <w:rPr>
          <w:rFonts w:cs="Times New Roman"/>
          <w:szCs w:val="24"/>
        </w:rPr>
        <w:t xml:space="preserve">the </w:t>
      </w:r>
      <w:r w:rsidRPr="00924255">
        <w:rPr>
          <w:rFonts w:cs="Times New Roman"/>
          <w:szCs w:val="24"/>
        </w:rPr>
        <w:t xml:space="preserve">number of maritime accidents and fatalities between 2000 and 2014. </w:t>
      </w:r>
      <w:r>
        <w:rPr>
          <w:rFonts w:cs="Times New Roman"/>
          <w:szCs w:val="24"/>
        </w:rPr>
        <w:t xml:space="preserve"> </w:t>
      </w:r>
    </w:p>
    <w:p w:rsidR="007F2F9C" w:rsidRPr="00924255" w:rsidRDefault="007F2F9C" w:rsidP="0036657D">
      <w:pPr>
        <w:pStyle w:val="Heading4"/>
      </w:pPr>
      <w:bookmarkStart w:id="674" w:name="_Toc474639081"/>
      <w:r w:rsidRPr="00924255">
        <w:t xml:space="preserve">Table </w:t>
      </w:r>
      <w:r w:rsidR="00A44CBF">
        <w:t>9.</w:t>
      </w:r>
      <w:r w:rsidRPr="00924255">
        <w:t>1</w:t>
      </w:r>
      <w:r>
        <w:t>5</w:t>
      </w:r>
      <w:r w:rsidRPr="00924255">
        <w:t>: Marit</w:t>
      </w:r>
      <w:r w:rsidR="001E37A5">
        <w:t>ime Accidents and F</w:t>
      </w:r>
      <w:r w:rsidRPr="00924255">
        <w:t>atalities: 2000-14</w:t>
      </w:r>
      <w:bookmarkEnd w:id="674"/>
    </w:p>
    <w:p w:rsidR="007F2F9C" w:rsidRPr="00924255" w:rsidRDefault="007F2F9C" w:rsidP="00F5769F">
      <w:pPr>
        <w:spacing w:after="0" w:line="276" w:lineRule="auto"/>
        <w:jc w:val="center"/>
        <w:rPr>
          <w:rFonts w:cs="Times New Roman"/>
          <w:szCs w:val="24"/>
        </w:rPr>
      </w:pPr>
      <w:r w:rsidRPr="00924255">
        <w:rPr>
          <w:rFonts w:cs="Times New Roman"/>
          <w:noProof/>
          <w:szCs w:val="24"/>
          <w:lang w:val="en-AU" w:eastAsia="en-AU" w:bidi="bn-BD"/>
        </w:rPr>
        <w:drawing>
          <wp:inline distT="0" distB="0" distL="0" distR="0">
            <wp:extent cx="5458968" cy="2743200"/>
            <wp:effectExtent l="0" t="0" r="8890" b="0"/>
            <wp:docPr id="1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5458968" cy="2743200"/>
                    </a:xfrm>
                    <a:prstGeom prst="rect">
                      <a:avLst/>
                    </a:prstGeom>
                    <a:noFill/>
                    <a:ln w="9525">
                      <a:noFill/>
                      <a:miter lim="800000"/>
                      <a:headEnd/>
                      <a:tailEnd/>
                    </a:ln>
                  </pic:spPr>
                </pic:pic>
              </a:graphicData>
            </a:graphic>
          </wp:inline>
        </w:drawing>
      </w:r>
    </w:p>
    <w:p w:rsidR="007F2F9C" w:rsidRPr="00E2663D" w:rsidRDefault="007F2F9C" w:rsidP="00F5490A">
      <w:pPr>
        <w:spacing w:before="120" w:line="276" w:lineRule="auto"/>
        <w:rPr>
          <w:rFonts w:cs="Times New Roman"/>
          <w:b/>
          <w:bCs/>
          <w:i/>
          <w:iCs/>
          <w:sz w:val="20"/>
          <w:szCs w:val="20"/>
        </w:rPr>
      </w:pPr>
      <w:r>
        <w:rPr>
          <w:rFonts w:cs="Times New Roman"/>
          <w:i/>
          <w:iCs/>
        </w:rPr>
        <w:t xml:space="preserve">       </w:t>
      </w:r>
      <w:r w:rsidRPr="00E2663D">
        <w:rPr>
          <w:rFonts w:cs="Times New Roman"/>
          <w:b/>
          <w:bCs/>
          <w:i/>
          <w:iCs/>
          <w:sz w:val="20"/>
          <w:szCs w:val="20"/>
        </w:rPr>
        <w:t>Source: Department of Shipping and BIWTA</w:t>
      </w:r>
    </w:p>
    <w:p w:rsidR="00915926" w:rsidRPr="00BC5FDA" w:rsidRDefault="007F2F9C" w:rsidP="00BC5FDA">
      <w:pPr>
        <w:spacing w:line="276" w:lineRule="auto"/>
        <w:jc w:val="both"/>
        <w:rPr>
          <w:rFonts w:cs="Times New Roman"/>
          <w:szCs w:val="24"/>
        </w:rPr>
      </w:pPr>
      <w:r w:rsidRPr="00924255">
        <w:rPr>
          <w:rFonts w:cs="Times New Roman"/>
          <w:szCs w:val="24"/>
        </w:rPr>
        <w:t xml:space="preserve">Accident investigation reports revealed a number of causes of marine accidents. </w:t>
      </w:r>
      <w:r w:rsidR="00065D01" w:rsidRPr="00924255">
        <w:rPr>
          <w:rFonts w:cs="Times New Roman"/>
          <w:szCs w:val="24"/>
        </w:rPr>
        <w:t>They include overloading, collision, loss of balance/groundings, absence of pilots, break down, human errors, natural calamities like cyclones, storm</w:t>
      </w:r>
      <w:r w:rsidR="00065D01">
        <w:rPr>
          <w:rFonts w:cs="Times New Roman"/>
          <w:szCs w:val="24"/>
        </w:rPr>
        <w:t>, tornado etc.</w:t>
      </w:r>
      <w:r w:rsidR="00065D01" w:rsidRPr="00924255">
        <w:rPr>
          <w:rFonts w:cs="Times New Roman"/>
          <w:szCs w:val="24"/>
        </w:rPr>
        <w:t xml:space="preserve"> </w:t>
      </w:r>
      <w:r w:rsidRPr="00924255">
        <w:rPr>
          <w:rFonts w:cs="Times New Roman"/>
          <w:szCs w:val="24"/>
        </w:rPr>
        <w:t>It was found that 56% of accidents occurred due to overloading or improper loading of passenger and cargo</w:t>
      </w:r>
      <w:r>
        <w:rPr>
          <w:rFonts w:cs="Times New Roman"/>
          <w:szCs w:val="24"/>
        </w:rPr>
        <w:t xml:space="preserve"> (Figure </w:t>
      </w:r>
      <w:r w:rsidR="00DA20B3">
        <w:rPr>
          <w:rFonts w:cs="Times New Roman"/>
          <w:szCs w:val="24"/>
        </w:rPr>
        <w:t>9.</w:t>
      </w:r>
      <w:r>
        <w:rPr>
          <w:rFonts w:cs="Times New Roman"/>
          <w:szCs w:val="24"/>
        </w:rPr>
        <w:t>4)</w:t>
      </w:r>
      <w:r w:rsidRPr="00924255">
        <w:rPr>
          <w:rFonts w:cs="Times New Roman"/>
          <w:szCs w:val="24"/>
        </w:rPr>
        <w:t xml:space="preserve">. But it was also found that the main cause was combined with other causes like quality of ship, human error and natural calamities. </w:t>
      </w:r>
    </w:p>
    <w:p w:rsidR="008C008D" w:rsidRDefault="008C008D">
      <w:pPr>
        <w:rPr>
          <w:b/>
          <w:szCs w:val="24"/>
        </w:rPr>
      </w:pPr>
      <w:r>
        <w:br w:type="page"/>
      </w:r>
    </w:p>
    <w:p w:rsidR="007F2F9C" w:rsidRPr="00924255" w:rsidRDefault="007F2F9C" w:rsidP="0036657D">
      <w:pPr>
        <w:pStyle w:val="Heading5"/>
      </w:pPr>
      <w:bookmarkStart w:id="675" w:name="_Toc474639206"/>
      <w:r>
        <w:lastRenderedPageBreak/>
        <w:t xml:space="preserve">Figure </w:t>
      </w:r>
      <w:r w:rsidR="00DA20B3">
        <w:t>9.</w:t>
      </w:r>
      <w:r>
        <w:t>4</w:t>
      </w:r>
      <w:r w:rsidRPr="00924255">
        <w:t xml:space="preserve">: Causes </w:t>
      </w:r>
      <w:r w:rsidR="00435251">
        <w:t>of A</w:t>
      </w:r>
      <w:r w:rsidRPr="00924255">
        <w:t>ccidents on Inland Waterway</w:t>
      </w:r>
      <w:r w:rsidR="00915926">
        <w:t>s</w:t>
      </w:r>
      <w:bookmarkEnd w:id="675"/>
    </w:p>
    <w:p w:rsidR="007F2F9C" w:rsidRPr="00924255" w:rsidRDefault="007F2F9C" w:rsidP="00F5769F">
      <w:pPr>
        <w:spacing w:after="0" w:line="276" w:lineRule="auto"/>
        <w:jc w:val="center"/>
        <w:rPr>
          <w:rFonts w:cs="Times New Roman"/>
          <w:szCs w:val="24"/>
        </w:rPr>
      </w:pPr>
      <w:r w:rsidRPr="00924255">
        <w:rPr>
          <w:rFonts w:cs="Times New Roman"/>
          <w:noProof/>
          <w:szCs w:val="24"/>
          <w:lang w:val="en-AU" w:eastAsia="en-AU" w:bidi="bn-BD"/>
        </w:rPr>
        <w:drawing>
          <wp:inline distT="0" distB="0" distL="0" distR="0">
            <wp:extent cx="5286375" cy="2743200"/>
            <wp:effectExtent l="19050" t="19050" r="28575" b="19050"/>
            <wp:docPr id="14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srcRect/>
                    <a:stretch>
                      <a:fillRect/>
                    </a:stretch>
                  </pic:blipFill>
                  <pic:spPr bwMode="auto">
                    <a:xfrm>
                      <a:off x="0" y="0"/>
                      <a:ext cx="5289819" cy="2744987"/>
                    </a:xfrm>
                    <a:prstGeom prst="rect">
                      <a:avLst/>
                    </a:prstGeom>
                    <a:noFill/>
                    <a:ln w="12700">
                      <a:solidFill>
                        <a:schemeClr val="tx1"/>
                      </a:solidFill>
                      <a:miter lim="800000"/>
                      <a:headEnd/>
                      <a:tailEnd/>
                    </a:ln>
                  </pic:spPr>
                </pic:pic>
              </a:graphicData>
            </a:graphic>
          </wp:inline>
        </w:drawing>
      </w:r>
    </w:p>
    <w:p w:rsidR="007F2F9C" w:rsidRPr="00915926" w:rsidRDefault="00F5490A" w:rsidP="00F5769F">
      <w:pPr>
        <w:spacing w:line="276" w:lineRule="auto"/>
        <w:rPr>
          <w:rFonts w:cs="Times New Roman"/>
          <w:b/>
          <w:bCs/>
          <w:i/>
          <w:iCs/>
          <w:sz w:val="20"/>
          <w:szCs w:val="20"/>
        </w:rPr>
      </w:pPr>
      <w:r>
        <w:rPr>
          <w:rFonts w:cs="Times New Roman"/>
          <w:b/>
          <w:bCs/>
          <w:i/>
          <w:iCs/>
          <w:sz w:val="20"/>
          <w:szCs w:val="20"/>
        </w:rPr>
        <w:t xml:space="preserve">        Source: World Bank 2007.</w:t>
      </w:r>
    </w:p>
    <w:p w:rsidR="007F2F9C" w:rsidRDefault="007F2F9C" w:rsidP="00F5769F">
      <w:pPr>
        <w:spacing w:line="276" w:lineRule="auto"/>
        <w:jc w:val="both"/>
        <w:rPr>
          <w:rFonts w:cs="Times New Roman"/>
        </w:rPr>
      </w:pPr>
      <w:r>
        <w:rPr>
          <w:rFonts w:cs="Times New Roman"/>
        </w:rPr>
        <w:t xml:space="preserve">Figure </w:t>
      </w:r>
      <w:r w:rsidR="00DA20B3">
        <w:rPr>
          <w:rFonts w:cs="Times New Roman"/>
        </w:rPr>
        <w:t>9.</w:t>
      </w:r>
      <w:r>
        <w:rPr>
          <w:rFonts w:cs="Times New Roman"/>
        </w:rPr>
        <w:t>5</w:t>
      </w:r>
      <w:r w:rsidRPr="00924255">
        <w:rPr>
          <w:rFonts w:cs="Times New Roman"/>
        </w:rPr>
        <w:t xml:space="preserve"> reports the factors that causes of ferry accidents. Inclement weather, collision, overloading, among others are blamed for ferry accidents in inland waterway. </w:t>
      </w:r>
    </w:p>
    <w:p w:rsidR="007F2F9C" w:rsidRPr="00E2663D" w:rsidRDefault="007F2F9C" w:rsidP="0036657D">
      <w:pPr>
        <w:pStyle w:val="Heading5"/>
      </w:pPr>
      <w:bookmarkStart w:id="676" w:name="_Toc474639207"/>
      <w:r>
        <w:t xml:space="preserve">Figure </w:t>
      </w:r>
      <w:r w:rsidR="00DA20B3">
        <w:t>9.</w:t>
      </w:r>
      <w:r>
        <w:t>5</w:t>
      </w:r>
      <w:r w:rsidRPr="00924255">
        <w:t>: Causes of Ferry Accidents</w:t>
      </w:r>
      <w:bookmarkEnd w:id="676"/>
    </w:p>
    <w:p w:rsidR="007F2F9C" w:rsidRPr="00924255" w:rsidRDefault="00BC5FDA" w:rsidP="00F5769F">
      <w:pPr>
        <w:spacing w:after="0" w:line="276" w:lineRule="auto"/>
        <w:jc w:val="both"/>
        <w:rPr>
          <w:rFonts w:cs="Times New Roman"/>
          <w:szCs w:val="24"/>
        </w:rPr>
      </w:pPr>
      <w:r>
        <w:rPr>
          <w:rFonts w:cs="Times New Roman"/>
          <w:szCs w:val="24"/>
        </w:rPr>
        <w:t xml:space="preserve">         </w:t>
      </w:r>
      <w:r w:rsidR="007F2F9C" w:rsidRPr="00924255">
        <w:rPr>
          <w:rFonts w:cs="Times New Roman"/>
          <w:noProof/>
          <w:szCs w:val="24"/>
          <w:lang w:val="en-AU" w:eastAsia="en-AU" w:bidi="bn-BD"/>
        </w:rPr>
        <w:drawing>
          <wp:inline distT="0" distB="0" distL="0" distR="0">
            <wp:extent cx="5219700" cy="2552700"/>
            <wp:effectExtent l="19050" t="19050" r="19050" b="19050"/>
            <wp:docPr id="14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srcRect/>
                    <a:stretch>
                      <a:fillRect/>
                    </a:stretch>
                  </pic:blipFill>
                  <pic:spPr bwMode="auto">
                    <a:xfrm>
                      <a:off x="0" y="0"/>
                      <a:ext cx="5219700" cy="2552700"/>
                    </a:xfrm>
                    <a:prstGeom prst="rect">
                      <a:avLst/>
                    </a:prstGeom>
                    <a:noFill/>
                    <a:ln w="12700">
                      <a:solidFill>
                        <a:schemeClr val="tx1"/>
                      </a:solidFill>
                      <a:miter lim="800000"/>
                      <a:headEnd/>
                      <a:tailEnd/>
                    </a:ln>
                  </pic:spPr>
                </pic:pic>
              </a:graphicData>
            </a:graphic>
          </wp:inline>
        </w:drawing>
      </w:r>
    </w:p>
    <w:p w:rsidR="007F2F9C" w:rsidRPr="00435251" w:rsidRDefault="00BC5FDA" w:rsidP="00435251">
      <w:pPr>
        <w:spacing w:line="276" w:lineRule="auto"/>
        <w:rPr>
          <w:rFonts w:cs="Times New Roman"/>
          <w:b/>
          <w:bCs/>
          <w:i/>
          <w:iCs/>
          <w:sz w:val="20"/>
          <w:szCs w:val="20"/>
        </w:rPr>
      </w:pPr>
      <w:r>
        <w:rPr>
          <w:rFonts w:cs="Times New Roman"/>
          <w:b/>
          <w:bCs/>
          <w:i/>
          <w:iCs/>
          <w:sz w:val="20"/>
          <w:szCs w:val="20"/>
        </w:rPr>
        <w:t xml:space="preserve">           </w:t>
      </w:r>
      <w:r w:rsidR="00F5490A">
        <w:rPr>
          <w:rFonts w:cs="Times New Roman"/>
          <w:b/>
          <w:bCs/>
          <w:i/>
          <w:iCs/>
          <w:sz w:val="20"/>
          <w:szCs w:val="20"/>
        </w:rPr>
        <w:t>Source: World Bank 2007.</w:t>
      </w:r>
    </w:p>
    <w:p w:rsidR="007F2F9C" w:rsidRDefault="007F2F9C" w:rsidP="00F5769F">
      <w:pPr>
        <w:spacing w:line="276" w:lineRule="auto"/>
        <w:jc w:val="both"/>
        <w:rPr>
          <w:rFonts w:cs="Times New Roman"/>
          <w:szCs w:val="24"/>
        </w:rPr>
      </w:pPr>
      <w:r w:rsidRPr="00924255">
        <w:rPr>
          <w:rFonts w:cs="Times New Roman"/>
          <w:szCs w:val="24"/>
        </w:rPr>
        <w:t xml:space="preserve">The responsibility of BIWTA is to oversee the loading/unloading activities in the inland ports. For this purpose, every port has a certain number of Traffic Inspectors. </w:t>
      </w:r>
      <w:r w:rsidRPr="0013443E">
        <w:rPr>
          <w:rFonts w:cs="Times New Roman"/>
          <w:szCs w:val="24"/>
        </w:rPr>
        <w:t>However, very little resources are available to oversee vessels. Even in large ports only a few inspectors are present against the large number of vessels</w:t>
      </w:r>
      <w:r w:rsidRPr="0013443E">
        <w:rPr>
          <w:rFonts w:cs="Times New Roman"/>
          <w:b/>
          <w:bCs/>
          <w:szCs w:val="24"/>
        </w:rPr>
        <w:t>.</w:t>
      </w:r>
      <w:r w:rsidRPr="00924255">
        <w:rPr>
          <w:rFonts w:cs="Times New Roman"/>
          <w:szCs w:val="24"/>
        </w:rPr>
        <w:t xml:space="preserve"> </w:t>
      </w:r>
      <w:r>
        <w:rPr>
          <w:rFonts w:cs="Times New Roman"/>
          <w:szCs w:val="24"/>
        </w:rPr>
        <w:t xml:space="preserve"> </w:t>
      </w:r>
      <w:r w:rsidRPr="00924255">
        <w:rPr>
          <w:rFonts w:cs="Times New Roman"/>
          <w:szCs w:val="24"/>
        </w:rPr>
        <w:t xml:space="preserve">The authorities have not developed the capacity of </w:t>
      </w:r>
      <w:r w:rsidRPr="00924255">
        <w:rPr>
          <w:rFonts w:cs="Times New Roman"/>
          <w:szCs w:val="24"/>
        </w:rPr>
        <w:lastRenderedPageBreak/>
        <w:t>undertaking instant salvage. BIWTA have four salvage units for this purpose. But these units often fail to undertake immediate salvage operations after accidents.</w:t>
      </w:r>
    </w:p>
    <w:p w:rsidR="00000000" w:rsidRDefault="007F2F9C" w:rsidP="003D5A31">
      <w:pPr>
        <w:pStyle w:val="BodyText"/>
        <w:numPr>
          <w:ilvl w:val="2"/>
          <w:numId w:val="240"/>
        </w:numPr>
        <w:spacing w:after="240" w:line="276" w:lineRule="auto"/>
        <w:jc w:val="both"/>
        <w:rPr>
          <w:rFonts w:cs="Times New Roman"/>
          <w:b/>
          <w:szCs w:val="24"/>
        </w:rPr>
      </w:pPr>
      <w:r w:rsidRPr="001968E1">
        <w:rPr>
          <w:rFonts w:cs="Times New Roman"/>
          <w:b/>
          <w:szCs w:val="24"/>
        </w:rPr>
        <w:t xml:space="preserve">Non-Compliance of Guidelines for Construction of Bridge/Culvert and Cables/Wires over the River </w:t>
      </w:r>
    </w:p>
    <w:p w:rsidR="00F5490A" w:rsidRPr="00F5490A" w:rsidRDefault="007F2F9C" w:rsidP="003F14D1">
      <w:pPr>
        <w:spacing w:line="276" w:lineRule="auto"/>
        <w:jc w:val="both"/>
        <w:rPr>
          <w:rFonts w:cs="Times New Roman"/>
          <w:szCs w:val="24"/>
        </w:rPr>
      </w:pPr>
      <w:r w:rsidRPr="00924255">
        <w:rPr>
          <w:rFonts w:cs="Times New Roman"/>
          <w:szCs w:val="24"/>
        </w:rPr>
        <w:t>There exists a vertical and horizontal standard of every navigable stretch depending on the dimension of vessels ply in the stretch. But in many cases the standard were not followed in constructing Bridge or culvert over rivers</w:t>
      </w:r>
      <w:r w:rsidR="00F5490A">
        <w:rPr>
          <w:rStyle w:val="FootnoteReference"/>
          <w:rFonts w:cs="Times New Roman"/>
          <w:szCs w:val="24"/>
        </w:rPr>
        <w:footnoteReference w:id="44"/>
      </w:r>
      <w:r w:rsidRPr="00924255">
        <w:rPr>
          <w:rFonts w:cs="Times New Roman"/>
          <w:szCs w:val="24"/>
        </w:rPr>
        <w:t>. Culverts in the rural area are so constructed restricting even the movement of a tiny boat. Road bias development plan not only restricted the navigational facilities, stopped the natural flow of the river as well. At some places, sluice gates constructed by the BWDB also restricted navigation of water crafts and the natural water flow. Similar restrictions happen with overhead cables and high tension wires at some places.</w:t>
      </w:r>
      <w:bookmarkStart w:id="677" w:name="_Toc405988394"/>
      <w:bookmarkStart w:id="678" w:name="_Toc408501598"/>
      <w:bookmarkStart w:id="679" w:name="_Toc439337224"/>
    </w:p>
    <w:p w:rsidR="00000000" w:rsidRDefault="007F2F9C" w:rsidP="003D5A31">
      <w:pPr>
        <w:pStyle w:val="BodyText"/>
        <w:numPr>
          <w:ilvl w:val="2"/>
          <w:numId w:val="240"/>
        </w:numPr>
        <w:spacing w:after="240" w:line="276" w:lineRule="auto"/>
        <w:jc w:val="both"/>
        <w:rPr>
          <w:rFonts w:cs="Times New Roman"/>
          <w:b/>
          <w:szCs w:val="24"/>
        </w:rPr>
      </w:pPr>
      <w:r w:rsidRPr="001968E1">
        <w:rPr>
          <w:rFonts w:cs="Times New Roman"/>
          <w:b/>
          <w:szCs w:val="24"/>
        </w:rPr>
        <w:t>Encroachment in Rivers</w:t>
      </w:r>
      <w:bookmarkEnd w:id="677"/>
      <w:bookmarkEnd w:id="678"/>
      <w:bookmarkEnd w:id="679"/>
    </w:p>
    <w:p w:rsidR="007F2F9C" w:rsidRDefault="007F2F9C" w:rsidP="00F5769F">
      <w:pPr>
        <w:spacing w:line="276" w:lineRule="auto"/>
        <w:jc w:val="both"/>
        <w:rPr>
          <w:rFonts w:cs="Times New Roman"/>
          <w:szCs w:val="24"/>
        </w:rPr>
      </w:pPr>
      <w:r w:rsidRPr="00924255">
        <w:rPr>
          <w:rFonts w:cs="Times New Roman"/>
          <w:szCs w:val="24"/>
        </w:rPr>
        <w:t>Being a land scarce country Bangladesh has a serious problem due to encroachment of rivers. Unauthorized encroachment by a section of influential people threatens not only navigation; it has emerged as a vital issue of environment itself. River port areas are most vulnerable places of such encroachment. Port channels have been narrowed over the years restricting safe navigation. More than 5 acres of foreshore around Dhaka have been encroached. BIWTA frequently undertake evicti</w:t>
      </w:r>
      <w:r>
        <w:rPr>
          <w:rFonts w:cs="Times New Roman"/>
          <w:szCs w:val="24"/>
        </w:rPr>
        <w:t>on programs but after some time</w:t>
      </w:r>
      <w:r w:rsidRPr="00924255">
        <w:rPr>
          <w:rFonts w:cs="Times New Roman"/>
          <w:szCs w:val="24"/>
        </w:rPr>
        <w:t xml:space="preserve"> land is again occupied with encroachment.</w:t>
      </w:r>
    </w:p>
    <w:p w:rsidR="00000000" w:rsidRDefault="007F2F9C" w:rsidP="003D5A31">
      <w:pPr>
        <w:pStyle w:val="BodyText"/>
        <w:numPr>
          <w:ilvl w:val="2"/>
          <w:numId w:val="240"/>
        </w:numPr>
        <w:spacing w:after="240" w:line="276" w:lineRule="auto"/>
        <w:jc w:val="both"/>
        <w:rPr>
          <w:rFonts w:cs="Times New Roman"/>
          <w:b/>
          <w:szCs w:val="24"/>
        </w:rPr>
      </w:pPr>
      <w:bookmarkStart w:id="680" w:name="_Toc405988395"/>
      <w:bookmarkStart w:id="681" w:name="_Toc408501599"/>
      <w:bookmarkStart w:id="682" w:name="_Toc439337225"/>
      <w:r w:rsidRPr="001968E1">
        <w:rPr>
          <w:rFonts w:cs="Times New Roman"/>
          <w:b/>
          <w:szCs w:val="24"/>
        </w:rPr>
        <w:t>Lack of Safe Vessels and Lack of Skilled Work Force</w:t>
      </w:r>
      <w:bookmarkEnd w:id="680"/>
      <w:bookmarkEnd w:id="681"/>
      <w:bookmarkEnd w:id="682"/>
      <w:r w:rsidRPr="001968E1">
        <w:rPr>
          <w:rFonts w:cs="Times New Roman"/>
          <w:b/>
          <w:szCs w:val="24"/>
        </w:rPr>
        <w:t xml:space="preserve"> </w:t>
      </w:r>
    </w:p>
    <w:p w:rsidR="008912E2" w:rsidRDefault="007F2F9C" w:rsidP="00F5769F">
      <w:pPr>
        <w:spacing w:line="276" w:lineRule="auto"/>
        <w:jc w:val="both"/>
        <w:rPr>
          <w:rFonts w:cs="Times New Roman"/>
          <w:szCs w:val="24"/>
        </w:rPr>
      </w:pPr>
      <w:r w:rsidRPr="00FE6D63">
        <w:rPr>
          <w:rFonts w:cs="Times New Roman"/>
          <w:szCs w:val="24"/>
        </w:rPr>
        <w:t>There exist rules and regulation of ship design and ship construction, but these are not applied generally in case of construction.</w:t>
      </w:r>
      <w:r w:rsidRPr="00924255">
        <w:rPr>
          <w:rFonts w:cs="Times New Roman"/>
          <w:szCs w:val="24"/>
        </w:rPr>
        <w:t xml:space="preserve"> Prior to construction of a vessel</w:t>
      </w:r>
      <w:r w:rsidR="008912E2">
        <w:rPr>
          <w:rFonts w:cs="Times New Roman"/>
          <w:szCs w:val="24"/>
        </w:rPr>
        <w:t>,</w:t>
      </w:r>
      <w:r w:rsidRPr="00924255">
        <w:rPr>
          <w:rFonts w:cs="Times New Roman"/>
          <w:szCs w:val="24"/>
        </w:rPr>
        <w:t xml:space="preserve"> design prepared by registered naval architect must be approved by the Department of Shipping</w:t>
      </w:r>
      <w:r>
        <w:rPr>
          <w:rFonts w:cs="Times New Roman"/>
          <w:szCs w:val="24"/>
        </w:rPr>
        <w:t xml:space="preserve"> (DOS)</w:t>
      </w:r>
      <w:r w:rsidRPr="00924255">
        <w:rPr>
          <w:rFonts w:cs="Times New Roman"/>
          <w:szCs w:val="24"/>
        </w:rPr>
        <w:t xml:space="preserve">. </w:t>
      </w:r>
      <w:r w:rsidR="008912E2">
        <w:rPr>
          <w:rFonts w:cs="Times New Roman"/>
          <w:szCs w:val="24"/>
        </w:rPr>
        <w:t>In fact, DOS has the capacity constraints ensuring construction of vessels</w:t>
      </w:r>
      <w:r w:rsidR="008912E2" w:rsidRPr="008912E2">
        <w:rPr>
          <w:rFonts w:cs="Times New Roman"/>
          <w:szCs w:val="24"/>
        </w:rPr>
        <w:t xml:space="preserve"> </w:t>
      </w:r>
      <w:r w:rsidR="008912E2">
        <w:rPr>
          <w:rFonts w:cs="Times New Roman"/>
          <w:szCs w:val="24"/>
        </w:rPr>
        <w:t xml:space="preserve">as per standard designs. </w:t>
      </w:r>
    </w:p>
    <w:p w:rsidR="007F2F9C" w:rsidRPr="00924255" w:rsidRDefault="007F2F9C" w:rsidP="00F5769F">
      <w:pPr>
        <w:spacing w:line="276" w:lineRule="auto"/>
        <w:jc w:val="both"/>
        <w:rPr>
          <w:rFonts w:cs="Times New Roman"/>
          <w:szCs w:val="24"/>
        </w:rPr>
      </w:pPr>
      <w:r w:rsidRPr="00FE6D63">
        <w:rPr>
          <w:rFonts w:cs="Times New Roman"/>
          <w:szCs w:val="24"/>
        </w:rPr>
        <w:t>Another factor which threatens the safety is the skill of members of crew on board. Training facilities for crew available in Bangladesh are not sufficient to meet demand of such large fleet.</w:t>
      </w:r>
      <w:r w:rsidRPr="00924255">
        <w:rPr>
          <w:rFonts w:cs="Times New Roman"/>
          <w:szCs w:val="24"/>
        </w:rPr>
        <w:t xml:space="preserve"> Besides, private sectors owners are hardly interested to send their crew for training. Members of the crew only depend on experience not on education and knowledge obtained through training.</w:t>
      </w:r>
    </w:p>
    <w:p w:rsidR="007F2F9C" w:rsidRPr="00924255" w:rsidRDefault="007F2F9C" w:rsidP="00F5769F">
      <w:pPr>
        <w:spacing w:line="276" w:lineRule="auto"/>
        <w:jc w:val="both"/>
        <w:rPr>
          <w:rFonts w:cs="Times New Roman"/>
          <w:szCs w:val="24"/>
        </w:rPr>
      </w:pPr>
      <w:r w:rsidRPr="00924255">
        <w:rPr>
          <w:rFonts w:cs="Times New Roman"/>
          <w:szCs w:val="24"/>
        </w:rPr>
        <w:lastRenderedPageBreak/>
        <w:t xml:space="preserve">Investigation reports of recent passenger vessels accidents reveal that </w:t>
      </w:r>
      <w:r w:rsidR="008912E2">
        <w:rPr>
          <w:rFonts w:cs="Times New Roman"/>
          <w:szCs w:val="24"/>
        </w:rPr>
        <w:t xml:space="preserve">the major causes of the accidents are due to the inappropriate designs of the vessels </w:t>
      </w:r>
      <w:r w:rsidRPr="00924255">
        <w:rPr>
          <w:rFonts w:cs="Times New Roman"/>
          <w:szCs w:val="24"/>
        </w:rPr>
        <w:t>and in many cases lack of efficiency of the master</w:t>
      </w:r>
      <w:r w:rsidR="0001495A">
        <w:rPr>
          <w:rFonts w:cs="Times New Roman"/>
          <w:szCs w:val="24"/>
        </w:rPr>
        <w:t>s</w:t>
      </w:r>
      <w:r w:rsidRPr="00924255">
        <w:rPr>
          <w:rFonts w:cs="Times New Roman"/>
          <w:szCs w:val="24"/>
        </w:rPr>
        <w:t xml:space="preserve">. </w:t>
      </w:r>
    </w:p>
    <w:p w:rsidR="00000000" w:rsidRDefault="00B6542C" w:rsidP="003D5A31">
      <w:pPr>
        <w:pStyle w:val="BodyText"/>
        <w:numPr>
          <w:ilvl w:val="2"/>
          <w:numId w:val="240"/>
        </w:numPr>
        <w:spacing w:after="240" w:line="276" w:lineRule="auto"/>
        <w:jc w:val="both"/>
        <w:rPr>
          <w:rFonts w:cs="Times New Roman"/>
          <w:b/>
          <w:szCs w:val="24"/>
        </w:rPr>
      </w:pPr>
      <w:bookmarkStart w:id="683" w:name="_Toc405988397"/>
      <w:bookmarkStart w:id="684" w:name="_Toc408501601"/>
      <w:bookmarkStart w:id="685" w:name="_Toc439337227"/>
      <w:r w:rsidRPr="001968E1">
        <w:rPr>
          <w:rFonts w:cs="Times New Roman"/>
          <w:b/>
          <w:szCs w:val="24"/>
        </w:rPr>
        <w:t xml:space="preserve">Institutional Constraints and </w:t>
      </w:r>
      <w:r w:rsidR="0001495A">
        <w:rPr>
          <w:rFonts w:cs="Times New Roman"/>
          <w:b/>
          <w:szCs w:val="24"/>
        </w:rPr>
        <w:t>Inadequate Enforcement</w:t>
      </w:r>
      <w:r w:rsidR="007F2F9C" w:rsidRPr="001968E1">
        <w:rPr>
          <w:rFonts w:cs="Times New Roman"/>
          <w:b/>
          <w:szCs w:val="24"/>
        </w:rPr>
        <w:t xml:space="preserve"> </w:t>
      </w:r>
      <w:bookmarkEnd w:id="683"/>
      <w:bookmarkEnd w:id="684"/>
      <w:bookmarkEnd w:id="685"/>
      <w:r w:rsidRPr="001968E1">
        <w:rPr>
          <w:rFonts w:cs="Times New Roman"/>
          <w:b/>
          <w:szCs w:val="24"/>
        </w:rPr>
        <w:t>of Regulating A</w:t>
      </w:r>
      <w:r w:rsidR="007F2F9C" w:rsidRPr="001968E1">
        <w:rPr>
          <w:rFonts w:cs="Times New Roman"/>
          <w:b/>
          <w:szCs w:val="24"/>
        </w:rPr>
        <w:t>gencies</w:t>
      </w:r>
    </w:p>
    <w:p w:rsidR="007F2F9C" w:rsidRDefault="007F2F9C" w:rsidP="00F5769F">
      <w:pPr>
        <w:spacing w:line="276" w:lineRule="auto"/>
        <w:jc w:val="both"/>
        <w:rPr>
          <w:rFonts w:cs="Times New Roman"/>
          <w:szCs w:val="24"/>
        </w:rPr>
      </w:pPr>
      <w:r w:rsidRPr="00F15B6C">
        <w:rPr>
          <w:rFonts w:cs="Times New Roman"/>
          <w:szCs w:val="24"/>
        </w:rPr>
        <w:t>One of the main reasons of gradual dec</w:t>
      </w:r>
      <w:r>
        <w:rPr>
          <w:rFonts w:cs="Times New Roman"/>
          <w:szCs w:val="24"/>
        </w:rPr>
        <w:t>lining trend of IWT is lack of</w:t>
      </w:r>
      <w:r w:rsidRPr="00F15B6C">
        <w:rPr>
          <w:rFonts w:cs="Times New Roman"/>
          <w:szCs w:val="24"/>
        </w:rPr>
        <w:t xml:space="preserve"> good and efficient governance. Poor governance is apparent in almost all areas of regulations and management: approval of ship design, construction of inland ships, issuance of registration and survey certificates in favor of inland ships, port management, enforcing rules and regulations of navigation, issue of competency certificates to master and engine drivers, port revenue earning etc.</w:t>
      </w:r>
      <w:r w:rsidRPr="00924255">
        <w:rPr>
          <w:rFonts w:cs="Times New Roman"/>
          <w:szCs w:val="24"/>
        </w:rPr>
        <w:t xml:space="preserve"> </w:t>
      </w:r>
    </w:p>
    <w:p w:rsidR="007F2F9C" w:rsidRPr="00924255" w:rsidRDefault="007F2F9C" w:rsidP="00F5769F">
      <w:pPr>
        <w:spacing w:line="276" w:lineRule="auto"/>
        <w:jc w:val="both"/>
        <w:rPr>
          <w:rFonts w:cs="Times New Roman"/>
          <w:szCs w:val="24"/>
        </w:rPr>
      </w:pPr>
      <w:r w:rsidRPr="00924255">
        <w:rPr>
          <w:rFonts w:cs="Times New Roman"/>
          <w:szCs w:val="24"/>
        </w:rPr>
        <w:t>Approval of ship design, supervision of construction of inland ships, issue of registration and periodical fitness survey certificates, awarding competency certificates to members of crew and enforcing rules and regulations are responsibilities of DOS. The DOS have only 4 surveyors who issue certificates to as many as 10,000 inland ships</w:t>
      </w:r>
      <w:r w:rsidRPr="002C4C94">
        <w:rPr>
          <w:rFonts w:cs="Times New Roman"/>
          <w:szCs w:val="24"/>
        </w:rPr>
        <w:t>. It is understood that surveyors cannot supervise the construction of the ship nor they can physically inspect the ship prior to issue of certificates. A 62 member team of DOS is responsible for the whole sub-sector. There exist only 7 inspectors to exercise control of movement of vessels under rules and regulations.</w:t>
      </w:r>
      <w:r w:rsidRPr="00924255">
        <w:rPr>
          <w:rFonts w:cs="Times New Roman"/>
          <w:szCs w:val="24"/>
        </w:rPr>
        <w:t xml:space="preserve"> </w:t>
      </w:r>
    </w:p>
    <w:p w:rsidR="00544E8E" w:rsidRDefault="007F2F9C" w:rsidP="00544E8E">
      <w:pPr>
        <w:spacing w:after="0" w:line="276" w:lineRule="auto"/>
        <w:jc w:val="both"/>
        <w:rPr>
          <w:rFonts w:cs="Times New Roman"/>
          <w:szCs w:val="24"/>
        </w:rPr>
      </w:pPr>
      <w:r w:rsidRPr="00924255">
        <w:rPr>
          <w:rFonts w:cs="Times New Roman"/>
          <w:szCs w:val="24"/>
        </w:rPr>
        <w:t>BIWTA is responsible for providing services to users. Inland ports and landing stations are administered by BIWTA. Actual handling operations are performed by the lessees appointed by BIWTA. Term of lease arrangements is only one year. For such short term the lessee does not take any responsibility of maintenance of infrastructure or facilities available in his jurisdiction. Condition of lease arrangement is so ambiguous that before every year ending BIWTA regularly faces litigations from the lessees. In most cases the court of law issues an interim order of stay in favor of the lessee and he continues beyond his term. This has a serious impact on revenue earning of the port.</w:t>
      </w:r>
    </w:p>
    <w:p w:rsidR="00544E8E" w:rsidRDefault="00544E8E" w:rsidP="00544E8E">
      <w:pPr>
        <w:spacing w:after="0" w:line="276" w:lineRule="auto"/>
        <w:jc w:val="both"/>
        <w:rPr>
          <w:rFonts w:cs="Times New Roman"/>
          <w:szCs w:val="24"/>
        </w:rPr>
      </w:pPr>
    </w:p>
    <w:p w:rsidR="00915926" w:rsidRDefault="007F2F9C" w:rsidP="00F5769F">
      <w:pPr>
        <w:spacing w:line="276" w:lineRule="auto"/>
        <w:jc w:val="both"/>
        <w:rPr>
          <w:rFonts w:cs="Times New Roman"/>
          <w:szCs w:val="24"/>
        </w:rPr>
      </w:pPr>
      <w:r w:rsidRPr="00924255">
        <w:rPr>
          <w:rFonts w:cs="Times New Roman"/>
          <w:szCs w:val="24"/>
        </w:rPr>
        <w:t>Collection of tolls directly by BIWTA employees is not transparent. Generally entry fee from passengers in the terminal of the port are collected by BIWTA. Overloading is a popular allegation against passenger vessel, while total collection of BIWTA is not more than 40 percent of the registered capacity of departed vessels.</w:t>
      </w:r>
    </w:p>
    <w:p w:rsidR="00F64A6A" w:rsidRDefault="0001495A" w:rsidP="00F64A6A">
      <w:pPr>
        <w:pStyle w:val="Heading2"/>
      </w:pPr>
      <w:bookmarkStart w:id="686" w:name="_Toc474638913"/>
      <w:r w:rsidRPr="0001495A">
        <w:t xml:space="preserve">Development and </w:t>
      </w:r>
      <w:r w:rsidR="007F2F9C" w:rsidRPr="0001495A">
        <w:t xml:space="preserve">Maintenance </w:t>
      </w:r>
      <w:r w:rsidR="00F64A6A" w:rsidRPr="00F64A6A">
        <w:t xml:space="preserve">of Waterways Navigability </w:t>
      </w:r>
      <w:bookmarkEnd w:id="686"/>
    </w:p>
    <w:p w:rsidR="00F64A6A" w:rsidRDefault="007F2F9C" w:rsidP="00F64A6A">
      <w:pPr>
        <w:pStyle w:val="Heading2"/>
      </w:pPr>
      <w:r w:rsidRPr="0001495A">
        <w:t>Navigability is one of the major challenges to develop a vibrant and sustainable inland water</w:t>
      </w:r>
      <w:r w:rsidR="00F64A6A" w:rsidRPr="00F64A6A">
        <w:t xml:space="preserve">way network in Bangladesh. Regular maintenance and modernization of the river transport infrastructure is an essential prerequisite for dynamizing riverine transport within a multimodal framework. Navigation is complicated by </w:t>
      </w:r>
      <w:r w:rsidR="00F64A6A" w:rsidRPr="00F64A6A">
        <w:lastRenderedPageBreak/>
        <w:t xml:space="preserve">the braided nature of the rivers, which are characterized by high sediment delivery and - due to extremely low gradients - very low sediment throughput. This makes the rivers extremely sensitive to flooding with rapid geometry (boundary and channel) changes. Further, river systems in Bangladesh exhibit high seasonality over a year i.e. abundance of water during monsoon and scarcity of water during dry season from December to May. Navigability becomes very critical during dry season in many river routes and ferry crossing. </w:t>
      </w:r>
    </w:p>
    <w:p w:rsidR="00A76067" w:rsidRDefault="00F64A6A" w:rsidP="009B44EC">
      <w:pPr>
        <w:spacing w:line="276" w:lineRule="auto"/>
        <w:jc w:val="both"/>
        <w:rPr>
          <w:rFonts w:cs="Times New Roman"/>
          <w:szCs w:val="24"/>
        </w:rPr>
      </w:pPr>
      <w:r w:rsidRPr="00F64A6A">
        <w:rPr>
          <w:rFonts w:cs="Times New Roman"/>
          <w:szCs w:val="24"/>
        </w:rPr>
        <w:t>Problems of navigation are compounded by the growth of inland water vessel size and the IWT f</w:t>
      </w:r>
      <w:r w:rsidR="007F2F9C" w:rsidRPr="00924255">
        <w:rPr>
          <w:rFonts w:cs="Times New Roman"/>
          <w:szCs w:val="24"/>
        </w:rPr>
        <w:t>leet now comprises dry and liquid bulk ships o</w:t>
      </w:r>
      <w:r w:rsidR="007F2F9C">
        <w:rPr>
          <w:rFonts w:cs="Times New Roman"/>
          <w:szCs w:val="24"/>
        </w:rPr>
        <w:t xml:space="preserve">f up </w:t>
      </w:r>
      <w:r w:rsidR="007F2F9C" w:rsidRPr="00924255">
        <w:rPr>
          <w:rFonts w:cs="Times New Roman"/>
          <w:szCs w:val="24"/>
        </w:rPr>
        <w:t xml:space="preserve">to 3,000 deadweight </w:t>
      </w:r>
      <w:r w:rsidR="00FE6385">
        <w:rPr>
          <w:rFonts w:cs="Times New Roman"/>
          <w:szCs w:val="24"/>
        </w:rPr>
        <w:t>tonne</w:t>
      </w:r>
      <w:r w:rsidR="007F2F9C" w:rsidRPr="00924255">
        <w:rPr>
          <w:rFonts w:cs="Times New Roman"/>
          <w:szCs w:val="24"/>
        </w:rPr>
        <w:t>s, mainly trading on the class I river routes. Moreover, the size of the IWT fleet is growing and currently there are over 22,300 registered vessels which carry over 50% of all freight traffic and one quarter of all passenger traffic. In addition, there are some 750,000 country (traditional) boats, a substantial part of which have been mechanized. This warrants maintenance and improvement of inland waterway transport infrastructure.</w:t>
      </w:r>
    </w:p>
    <w:p w:rsidR="007F2F9C" w:rsidRDefault="007F2F9C" w:rsidP="009E60AD">
      <w:pPr>
        <w:spacing w:line="276" w:lineRule="auto"/>
        <w:rPr>
          <w:rFonts w:cs="Times New Roman"/>
          <w:szCs w:val="24"/>
        </w:rPr>
      </w:pPr>
      <w:r w:rsidRPr="008237EF">
        <w:rPr>
          <w:rFonts w:cs="Times New Roman"/>
          <w:szCs w:val="24"/>
        </w:rPr>
        <w:t xml:space="preserve">Consequences of non-maintenance of navigation channels are as follows: </w:t>
      </w:r>
    </w:p>
    <w:p w:rsidR="007F2F9C" w:rsidRPr="009E60AD" w:rsidRDefault="007F2F9C" w:rsidP="003D5A31">
      <w:pPr>
        <w:pStyle w:val="ListParagraph"/>
        <w:numPr>
          <w:ilvl w:val="0"/>
          <w:numId w:val="112"/>
        </w:numPr>
        <w:spacing w:line="276" w:lineRule="auto"/>
        <w:ind w:left="360"/>
        <w:rPr>
          <w:rFonts w:cs="Times New Roman"/>
          <w:szCs w:val="24"/>
        </w:rPr>
      </w:pPr>
      <w:r w:rsidRPr="009E60AD">
        <w:rPr>
          <w:rFonts w:cs="Times New Roman"/>
          <w:szCs w:val="24"/>
        </w:rPr>
        <w:t>Transportation cost and time will be increased;</w:t>
      </w:r>
    </w:p>
    <w:p w:rsidR="007F2F9C" w:rsidRPr="009E60AD" w:rsidRDefault="007F2F9C" w:rsidP="003D5A31">
      <w:pPr>
        <w:pStyle w:val="ListParagraph"/>
        <w:numPr>
          <w:ilvl w:val="0"/>
          <w:numId w:val="112"/>
        </w:numPr>
        <w:spacing w:line="276" w:lineRule="auto"/>
        <w:ind w:left="360"/>
        <w:rPr>
          <w:rFonts w:cs="Times New Roman"/>
          <w:szCs w:val="24"/>
        </w:rPr>
      </w:pPr>
      <w:r w:rsidRPr="009E60AD">
        <w:rPr>
          <w:rFonts w:cs="Times New Roman"/>
          <w:szCs w:val="24"/>
        </w:rPr>
        <w:t>Turnaround time of vessel will further increase to such extent that IWT will not remain cost-effective;</w:t>
      </w:r>
    </w:p>
    <w:p w:rsidR="007F2F9C" w:rsidRPr="009E60AD" w:rsidRDefault="007F2F9C" w:rsidP="003D5A31">
      <w:pPr>
        <w:pStyle w:val="ListParagraph"/>
        <w:numPr>
          <w:ilvl w:val="0"/>
          <w:numId w:val="112"/>
        </w:numPr>
        <w:spacing w:line="276" w:lineRule="auto"/>
        <w:ind w:left="360"/>
        <w:rPr>
          <w:rFonts w:cs="Times New Roman"/>
          <w:szCs w:val="24"/>
        </w:rPr>
      </w:pPr>
      <w:r w:rsidRPr="009E60AD">
        <w:rPr>
          <w:rFonts w:cs="Times New Roman"/>
          <w:szCs w:val="24"/>
        </w:rPr>
        <w:t>Hinterland connection of maritime ports will be disrupted and will leave ports as inefficient;</w:t>
      </w:r>
    </w:p>
    <w:p w:rsidR="007F2F9C" w:rsidRPr="009E60AD" w:rsidRDefault="007F2F9C" w:rsidP="003D5A31">
      <w:pPr>
        <w:pStyle w:val="ListParagraph"/>
        <w:numPr>
          <w:ilvl w:val="0"/>
          <w:numId w:val="112"/>
        </w:numPr>
        <w:spacing w:line="276" w:lineRule="auto"/>
        <w:ind w:left="360"/>
        <w:rPr>
          <w:rFonts w:cs="Times New Roman"/>
          <w:szCs w:val="24"/>
        </w:rPr>
      </w:pPr>
      <w:r w:rsidRPr="009E60AD">
        <w:rPr>
          <w:rFonts w:cs="Times New Roman"/>
          <w:szCs w:val="24"/>
        </w:rPr>
        <w:t>Congestions in roads and maritime ports will further increase;</w:t>
      </w:r>
    </w:p>
    <w:p w:rsidR="007F2F9C" w:rsidRPr="009E60AD" w:rsidRDefault="007F2F9C" w:rsidP="003D5A31">
      <w:pPr>
        <w:pStyle w:val="ListParagraph"/>
        <w:numPr>
          <w:ilvl w:val="0"/>
          <w:numId w:val="112"/>
        </w:numPr>
        <w:spacing w:line="276" w:lineRule="auto"/>
        <w:ind w:left="360"/>
        <w:rPr>
          <w:rFonts w:cs="Times New Roman"/>
          <w:szCs w:val="24"/>
        </w:rPr>
      </w:pPr>
      <w:r w:rsidRPr="009E60AD">
        <w:rPr>
          <w:rFonts w:cs="Times New Roman"/>
          <w:szCs w:val="24"/>
        </w:rPr>
        <w:t>Inland container transport by rivers will not be sailed;</w:t>
      </w:r>
    </w:p>
    <w:p w:rsidR="007F2F9C" w:rsidRPr="009E60AD" w:rsidRDefault="007F2F9C" w:rsidP="003D5A31">
      <w:pPr>
        <w:pStyle w:val="ListParagraph"/>
        <w:numPr>
          <w:ilvl w:val="0"/>
          <w:numId w:val="112"/>
        </w:numPr>
        <w:spacing w:line="276" w:lineRule="auto"/>
        <w:ind w:left="360"/>
        <w:rPr>
          <w:rFonts w:cs="Times New Roman"/>
          <w:szCs w:val="24"/>
        </w:rPr>
      </w:pPr>
      <w:r w:rsidRPr="009E60AD">
        <w:rPr>
          <w:rFonts w:cs="Times New Roman"/>
          <w:szCs w:val="24"/>
        </w:rPr>
        <w:t>Private investment in IWT sub-sector will be discouraged;</w:t>
      </w:r>
    </w:p>
    <w:p w:rsidR="007F2F9C" w:rsidRPr="009E60AD" w:rsidRDefault="007F2F9C" w:rsidP="003D5A31">
      <w:pPr>
        <w:pStyle w:val="ListParagraph"/>
        <w:numPr>
          <w:ilvl w:val="0"/>
          <w:numId w:val="112"/>
        </w:numPr>
        <w:spacing w:line="276" w:lineRule="auto"/>
        <w:ind w:left="360"/>
        <w:rPr>
          <w:rFonts w:cs="Times New Roman"/>
          <w:szCs w:val="24"/>
        </w:rPr>
      </w:pPr>
      <w:r w:rsidRPr="009E60AD">
        <w:rPr>
          <w:rFonts w:cs="Times New Roman"/>
          <w:szCs w:val="24"/>
        </w:rPr>
        <w:t>International sea-borne trade will not be able to meet transport demand;</w:t>
      </w:r>
    </w:p>
    <w:p w:rsidR="007F2F9C" w:rsidRPr="009E60AD" w:rsidRDefault="007F2F9C" w:rsidP="003D5A31">
      <w:pPr>
        <w:pStyle w:val="ListParagraph"/>
        <w:numPr>
          <w:ilvl w:val="0"/>
          <w:numId w:val="112"/>
        </w:numPr>
        <w:spacing w:line="276" w:lineRule="auto"/>
        <w:ind w:left="360"/>
        <w:rPr>
          <w:rFonts w:cs="Times New Roman"/>
          <w:szCs w:val="24"/>
        </w:rPr>
      </w:pPr>
      <w:r w:rsidRPr="009E60AD">
        <w:rPr>
          <w:rFonts w:cs="Times New Roman"/>
          <w:szCs w:val="24"/>
        </w:rPr>
        <w:t>Facilitation of trade and commerce will be restricted resulting unemployment; and</w:t>
      </w:r>
    </w:p>
    <w:p w:rsidR="007F2F9C" w:rsidRPr="009E60AD" w:rsidRDefault="007F2F9C" w:rsidP="003D5A31">
      <w:pPr>
        <w:pStyle w:val="ListParagraph"/>
        <w:numPr>
          <w:ilvl w:val="0"/>
          <w:numId w:val="112"/>
        </w:numPr>
        <w:spacing w:after="0" w:line="276" w:lineRule="auto"/>
        <w:ind w:left="360"/>
        <w:rPr>
          <w:rFonts w:cs="Times New Roman"/>
          <w:szCs w:val="24"/>
        </w:rPr>
      </w:pPr>
      <w:r w:rsidRPr="009E60AD">
        <w:rPr>
          <w:rFonts w:cs="Times New Roman"/>
          <w:szCs w:val="24"/>
        </w:rPr>
        <w:t xml:space="preserve">Poor people will lose opportunity of cheaper transport.  </w:t>
      </w:r>
    </w:p>
    <w:p w:rsidR="007F2F9C" w:rsidRPr="00FE5261" w:rsidRDefault="007F2F9C" w:rsidP="009E60AD">
      <w:pPr>
        <w:spacing w:line="276" w:lineRule="auto"/>
        <w:jc w:val="both"/>
        <w:rPr>
          <w:rFonts w:cs="Times New Roman"/>
          <w:sz w:val="2"/>
          <w:szCs w:val="2"/>
        </w:rPr>
      </w:pPr>
    </w:p>
    <w:p w:rsidR="007F2F9C" w:rsidRDefault="007F2F9C" w:rsidP="00AB7119">
      <w:pPr>
        <w:spacing w:line="276" w:lineRule="auto"/>
        <w:jc w:val="both"/>
        <w:rPr>
          <w:rFonts w:cs="Times New Roman"/>
          <w:szCs w:val="24"/>
        </w:rPr>
      </w:pPr>
      <w:r w:rsidRPr="004B0A08">
        <w:rPr>
          <w:rFonts w:cs="Times New Roman"/>
          <w:i/>
          <w:szCs w:val="24"/>
        </w:rPr>
        <w:t>The general means of maintaining the navigation routes are dredging and systematic river training works such as spurs and groins on both sides of the river.</w:t>
      </w:r>
      <w:r w:rsidRPr="00924255">
        <w:rPr>
          <w:rFonts w:cs="Times New Roman"/>
          <w:szCs w:val="24"/>
        </w:rPr>
        <w:t xml:space="preserve"> These spurs could help in developing the navigation channels away from the banks. However these channels also require further improvement through annual dredging. These types of river training structures may </w:t>
      </w:r>
      <w:r w:rsidR="00AB7119">
        <w:rPr>
          <w:rFonts w:cs="Times New Roman"/>
          <w:szCs w:val="24"/>
        </w:rPr>
        <w:t xml:space="preserve">be </w:t>
      </w:r>
      <w:r w:rsidRPr="00924255">
        <w:rPr>
          <w:rFonts w:cs="Times New Roman"/>
          <w:szCs w:val="24"/>
        </w:rPr>
        <w:t>useful for smaller rivers, but for mighty braider and multi-channel rivers like the Lower Meghna where the river width varies from 5 to 12 km, the river training structures are not useful. Further</w:t>
      </w:r>
      <w:r w:rsidR="00AB7119">
        <w:rPr>
          <w:rFonts w:cs="Times New Roman"/>
          <w:szCs w:val="24"/>
        </w:rPr>
        <w:t>more, river training is</w:t>
      </w:r>
      <w:r w:rsidRPr="00924255">
        <w:rPr>
          <w:rFonts w:cs="Times New Roman"/>
          <w:szCs w:val="24"/>
        </w:rPr>
        <w:t xml:space="preserve"> very expensive (about 3000 to 6000 USD per running meter) and also create</w:t>
      </w:r>
      <w:r w:rsidR="00AB7119">
        <w:rPr>
          <w:rFonts w:cs="Times New Roman"/>
          <w:szCs w:val="24"/>
        </w:rPr>
        <w:t>s</w:t>
      </w:r>
      <w:r w:rsidRPr="00924255">
        <w:rPr>
          <w:rFonts w:cs="Times New Roman"/>
          <w:szCs w:val="24"/>
        </w:rPr>
        <w:t xml:space="preserve"> lot</w:t>
      </w:r>
      <w:r w:rsidR="00AB7119">
        <w:rPr>
          <w:rFonts w:cs="Times New Roman"/>
          <w:szCs w:val="24"/>
        </w:rPr>
        <w:t>s</w:t>
      </w:r>
      <w:r w:rsidRPr="00924255">
        <w:rPr>
          <w:rFonts w:cs="Times New Roman"/>
          <w:szCs w:val="24"/>
        </w:rPr>
        <w:t xml:space="preserve"> of morphological impacts on the river regime such as erosion of river bank between two spurs. Maintenance by dredging is a preferred alternative to maintain navigability in waterways.</w:t>
      </w:r>
      <w:r w:rsidR="00AB7119">
        <w:rPr>
          <w:rFonts w:cs="Times New Roman"/>
          <w:szCs w:val="24"/>
        </w:rPr>
        <w:t xml:space="preserve">  </w:t>
      </w:r>
      <w:r w:rsidRPr="00924255">
        <w:rPr>
          <w:rFonts w:cs="Times New Roman"/>
          <w:szCs w:val="24"/>
        </w:rPr>
        <w:t xml:space="preserve">BIWTA is the main authority to maintain navigability in inland waterways of Bangladesh. </w:t>
      </w:r>
    </w:p>
    <w:p w:rsidR="006E2190" w:rsidRPr="004B0A08" w:rsidRDefault="007F2F9C" w:rsidP="00DD3984">
      <w:pPr>
        <w:spacing w:line="276" w:lineRule="auto"/>
        <w:jc w:val="both"/>
        <w:rPr>
          <w:rFonts w:cs="Times New Roman"/>
          <w:i/>
          <w:szCs w:val="24"/>
        </w:rPr>
      </w:pPr>
      <w:r w:rsidRPr="00D07BD8">
        <w:rPr>
          <w:rFonts w:cs="Times New Roman"/>
          <w:szCs w:val="24"/>
        </w:rPr>
        <w:lastRenderedPageBreak/>
        <w:t xml:space="preserve">Morphological and hydraulic problems of inland waterways demand maintenance and improvement strategies and methods. Development of shoals in navigable waterways </w:t>
      </w:r>
      <w:r w:rsidR="0001495A">
        <w:rPr>
          <w:rFonts w:cs="Times New Roman"/>
          <w:szCs w:val="24"/>
        </w:rPr>
        <w:t xml:space="preserve">is </w:t>
      </w:r>
      <w:r w:rsidRPr="00D07BD8">
        <w:rPr>
          <w:rFonts w:cs="Times New Roman"/>
          <w:szCs w:val="24"/>
        </w:rPr>
        <w:t xml:space="preserve">required to be monitored regularly </w:t>
      </w:r>
      <w:r w:rsidR="0001495A">
        <w:rPr>
          <w:rFonts w:cs="Times New Roman"/>
          <w:szCs w:val="24"/>
        </w:rPr>
        <w:t>using</w:t>
      </w:r>
      <w:r w:rsidR="0001495A" w:rsidRPr="00D07BD8">
        <w:rPr>
          <w:rFonts w:cs="Times New Roman"/>
          <w:szCs w:val="24"/>
        </w:rPr>
        <w:t xml:space="preserve"> </w:t>
      </w:r>
      <w:r w:rsidR="0001495A">
        <w:rPr>
          <w:rFonts w:cs="Times New Roman"/>
          <w:szCs w:val="24"/>
        </w:rPr>
        <w:t xml:space="preserve">sonar techniques </w:t>
      </w:r>
      <w:r w:rsidRPr="00D07BD8">
        <w:rPr>
          <w:rFonts w:cs="Times New Roman"/>
          <w:szCs w:val="24"/>
        </w:rPr>
        <w:t xml:space="preserve">followed by dredging of </w:t>
      </w:r>
      <w:r w:rsidR="0001495A">
        <w:rPr>
          <w:rFonts w:cs="Times New Roman"/>
          <w:szCs w:val="24"/>
        </w:rPr>
        <w:t>water</w:t>
      </w:r>
      <w:r w:rsidR="0001495A" w:rsidRPr="00D07BD8">
        <w:rPr>
          <w:rFonts w:cs="Times New Roman"/>
          <w:szCs w:val="24"/>
        </w:rPr>
        <w:t xml:space="preserve">ways </w:t>
      </w:r>
      <w:r w:rsidRPr="00D07BD8">
        <w:rPr>
          <w:rFonts w:cs="Times New Roman"/>
          <w:szCs w:val="24"/>
        </w:rPr>
        <w:t xml:space="preserve">and where feasible by </w:t>
      </w:r>
      <w:r w:rsidR="0001495A" w:rsidRPr="00D07BD8">
        <w:rPr>
          <w:rFonts w:cs="Times New Roman"/>
          <w:szCs w:val="24"/>
        </w:rPr>
        <w:t>app</w:t>
      </w:r>
      <w:r w:rsidR="0001495A">
        <w:rPr>
          <w:rFonts w:cs="Times New Roman"/>
          <w:szCs w:val="24"/>
        </w:rPr>
        <w:t>lying</w:t>
      </w:r>
      <w:r w:rsidR="0001495A" w:rsidRPr="00D07BD8">
        <w:rPr>
          <w:rFonts w:cs="Times New Roman"/>
          <w:szCs w:val="24"/>
        </w:rPr>
        <w:t xml:space="preserve"> </w:t>
      </w:r>
      <w:r w:rsidRPr="00D07BD8">
        <w:rPr>
          <w:rFonts w:cs="Times New Roman"/>
          <w:szCs w:val="24"/>
        </w:rPr>
        <w:t>river training. For this</w:t>
      </w:r>
      <w:r w:rsidR="0001495A">
        <w:rPr>
          <w:rFonts w:cs="Times New Roman"/>
          <w:szCs w:val="24"/>
        </w:rPr>
        <w:t>,</w:t>
      </w:r>
      <w:r w:rsidRPr="00D07BD8">
        <w:rPr>
          <w:rFonts w:cs="Times New Roman"/>
          <w:szCs w:val="24"/>
        </w:rPr>
        <w:t xml:space="preserve"> financial and logistics resources are required. Logistics resources include hydrographic survey equipment and apparatus and dredging apparatus. </w:t>
      </w:r>
      <w:r w:rsidR="00DD3984" w:rsidRPr="004B0A08">
        <w:rPr>
          <w:rFonts w:cs="Times New Roman"/>
          <w:i/>
          <w:szCs w:val="24"/>
        </w:rPr>
        <w:t>Proper m</w:t>
      </w:r>
      <w:r w:rsidRPr="004B0A08">
        <w:rPr>
          <w:rFonts w:cs="Times New Roman"/>
          <w:i/>
          <w:szCs w:val="24"/>
        </w:rPr>
        <w:t>aintenance and development of navigability in waterways management an</w:t>
      </w:r>
      <w:r w:rsidR="00DD3984" w:rsidRPr="004B0A08">
        <w:rPr>
          <w:rFonts w:cs="Times New Roman"/>
          <w:i/>
          <w:szCs w:val="24"/>
        </w:rPr>
        <w:t>d functions involve the following</w:t>
      </w:r>
      <w:r w:rsidRPr="004B0A08">
        <w:rPr>
          <w:rFonts w:cs="Times New Roman"/>
          <w:i/>
          <w:szCs w:val="24"/>
        </w:rPr>
        <w:t>:</w:t>
      </w:r>
      <w:r w:rsidR="00DD3984" w:rsidRPr="004B0A08">
        <w:rPr>
          <w:rFonts w:cs="Times New Roman"/>
          <w:i/>
          <w:szCs w:val="24"/>
        </w:rPr>
        <w:t xml:space="preserve"> </w:t>
      </w:r>
      <w:r w:rsidRPr="004B0A08">
        <w:rPr>
          <w:rFonts w:cs="Times New Roman"/>
          <w:i/>
          <w:szCs w:val="24"/>
        </w:rPr>
        <w:t>i) Hydrographic survey</w:t>
      </w:r>
      <w:r w:rsidR="00DD3984" w:rsidRPr="004B0A08">
        <w:rPr>
          <w:rFonts w:cs="Times New Roman"/>
          <w:i/>
          <w:szCs w:val="24"/>
        </w:rPr>
        <w:t xml:space="preserve">; </w:t>
      </w:r>
      <w:r w:rsidRPr="004B0A08">
        <w:rPr>
          <w:rFonts w:cs="Times New Roman"/>
          <w:i/>
          <w:szCs w:val="24"/>
        </w:rPr>
        <w:t>ii) Dredging</w:t>
      </w:r>
      <w:r w:rsidR="00DD3984" w:rsidRPr="004B0A08">
        <w:rPr>
          <w:rFonts w:cs="Times New Roman"/>
          <w:i/>
          <w:szCs w:val="24"/>
        </w:rPr>
        <w:t xml:space="preserve">; </w:t>
      </w:r>
      <w:r w:rsidRPr="004B0A08">
        <w:rPr>
          <w:rFonts w:cs="Times New Roman"/>
          <w:i/>
          <w:szCs w:val="24"/>
        </w:rPr>
        <w:t>iii) Bandalling</w:t>
      </w:r>
      <w:r w:rsidR="00DD3984" w:rsidRPr="004B0A08">
        <w:rPr>
          <w:rFonts w:cs="Times New Roman"/>
          <w:i/>
          <w:szCs w:val="24"/>
        </w:rPr>
        <w:t xml:space="preserve">; </w:t>
      </w:r>
      <w:r w:rsidRPr="004B0A08">
        <w:rPr>
          <w:rFonts w:cs="Times New Roman"/>
          <w:i/>
          <w:szCs w:val="24"/>
        </w:rPr>
        <w:t>iv) Aids to navigation</w:t>
      </w:r>
      <w:r w:rsidR="00DD3984" w:rsidRPr="004B0A08">
        <w:rPr>
          <w:rFonts w:cs="Times New Roman"/>
          <w:i/>
          <w:szCs w:val="24"/>
        </w:rPr>
        <w:t xml:space="preserve">; and </w:t>
      </w:r>
      <w:r w:rsidRPr="004B0A08">
        <w:rPr>
          <w:rFonts w:cs="Times New Roman"/>
          <w:i/>
          <w:szCs w:val="24"/>
        </w:rPr>
        <w:t>v) Pilotage and dissemination of navigational information</w:t>
      </w:r>
      <w:bookmarkStart w:id="687" w:name="_Toc405367232"/>
      <w:bookmarkStart w:id="688" w:name="_Toc405988356"/>
      <w:bookmarkStart w:id="689" w:name="_Toc408501559"/>
      <w:bookmarkStart w:id="690" w:name="_Toc439337179"/>
      <w:r w:rsidR="00DD3984" w:rsidRPr="004B0A08">
        <w:rPr>
          <w:rFonts w:cs="Times New Roman"/>
          <w:i/>
          <w:szCs w:val="24"/>
        </w:rPr>
        <w:t>.</w:t>
      </w:r>
    </w:p>
    <w:p w:rsidR="00000000" w:rsidRDefault="007F2F9C" w:rsidP="003D5A31">
      <w:pPr>
        <w:pStyle w:val="BodyText"/>
        <w:numPr>
          <w:ilvl w:val="2"/>
          <w:numId w:val="241"/>
        </w:numPr>
        <w:spacing w:after="240" w:line="276" w:lineRule="auto"/>
        <w:jc w:val="both"/>
        <w:rPr>
          <w:rFonts w:cs="Times New Roman"/>
          <w:b/>
          <w:szCs w:val="24"/>
        </w:rPr>
      </w:pPr>
      <w:r w:rsidRPr="001968E1">
        <w:rPr>
          <w:rFonts w:cs="Times New Roman"/>
          <w:b/>
          <w:szCs w:val="24"/>
        </w:rPr>
        <w:t xml:space="preserve">Hydrographic </w:t>
      </w:r>
      <w:bookmarkEnd w:id="687"/>
      <w:r w:rsidRPr="001968E1">
        <w:rPr>
          <w:rFonts w:cs="Times New Roman"/>
          <w:b/>
          <w:szCs w:val="24"/>
        </w:rPr>
        <w:t>Survey</w:t>
      </w:r>
      <w:bookmarkEnd w:id="688"/>
      <w:bookmarkEnd w:id="689"/>
      <w:bookmarkEnd w:id="690"/>
    </w:p>
    <w:p w:rsidR="004D0CD9" w:rsidRPr="00D10C92" w:rsidRDefault="007F2F9C" w:rsidP="00D10C92">
      <w:pPr>
        <w:spacing w:line="276" w:lineRule="auto"/>
        <w:jc w:val="both"/>
        <w:rPr>
          <w:rFonts w:cs="Times New Roman"/>
          <w:szCs w:val="24"/>
        </w:rPr>
      </w:pPr>
      <w:r w:rsidRPr="004B0A08">
        <w:rPr>
          <w:rFonts w:cs="Times New Roman"/>
          <w:i/>
          <w:szCs w:val="24"/>
        </w:rPr>
        <w:t>Hydrographic survey is the reliable means of obtaining nautical conditions of waterways.</w:t>
      </w:r>
      <w:r w:rsidRPr="00924255">
        <w:rPr>
          <w:rFonts w:cs="Times New Roman"/>
          <w:szCs w:val="24"/>
        </w:rPr>
        <w:t xml:space="preserve"> The available logistics and funds is not sufficient to survey all classified routes, rather survey works are undertaken according to route b</w:t>
      </w:r>
      <w:r w:rsidR="00DD3984">
        <w:rPr>
          <w:rFonts w:cs="Times New Roman"/>
          <w:szCs w:val="24"/>
        </w:rPr>
        <w:t>ased priority. I</w:t>
      </w:r>
      <w:r w:rsidRPr="00924255">
        <w:rPr>
          <w:rFonts w:cs="Times New Roman"/>
          <w:szCs w:val="24"/>
        </w:rPr>
        <w:t>f BIWTA decide</w:t>
      </w:r>
      <w:r w:rsidR="00DD3984">
        <w:rPr>
          <w:rFonts w:cs="Times New Roman"/>
          <w:szCs w:val="24"/>
        </w:rPr>
        <w:t>s</w:t>
      </w:r>
      <w:r w:rsidRPr="00924255">
        <w:rPr>
          <w:rFonts w:cs="Times New Roman"/>
          <w:szCs w:val="24"/>
        </w:rPr>
        <w:t xml:space="preserve"> to undertake dredging works</w:t>
      </w:r>
      <w:r w:rsidR="00DD3984">
        <w:rPr>
          <w:rFonts w:cs="Times New Roman"/>
          <w:szCs w:val="24"/>
        </w:rPr>
        <w:t xml:space="preserve"> based on information from the field offices and from the vessel operators regarding the navigability conditions,</w:t>
      </w:r>
      <w:r w:rsidRPr="00924255">
        <w:rPr>
          <w:rFonts w:cs="Times New Roman"/>
          <w:szCs w:val="24"/>
        </w:rPr>
        <w:t xml:space="preserve"> then the volume and shoals to be dredged are determined through hydrographic survey. The hydrographic survey carried out during 2009-2014 is shown in Table </w:t>
      </w:r>
      <w:bookmarkStart w:id="691" w:name="_Toc439337352"/>
      <w:r w:rsidR="00A44CBF">
        <w:rPr>
          <w:rFonts w:cs="Times New Roman"/>
          <w:szCs w:val="24"/>
        </w:rPr>
        <w:t>9.</w:t>
      </w:r>
      <w:r w:rsidR="00857188">
        <w:rPr>
          <w:rFonts w:cs="Times New Roman"/>
          <w:szCs w:val="24"/>
        </w:rPr>
        <w:t>16</w:t>
      </w:r>
      <w:r w:rsidR="00FE1A60">
        <w:rPr>
          <w:rFonts w:cs="Times New Roman"/>
          <w:szCs w:val="24"/>
        </w:rPr>
        <w:t>.</w:t>
      </w:r>
    </w:p>
    <w:p w:rsidR="007F2F9C" w:rsidRPr="00AB7119" w:rsidRDefault="007F2F9C" w:rsidP="0036657D">
      <w:pPr>
        <w:pStyle w:val="Heading4"/>
      </w:pPr>
      <w:bookmarkStart w:id="692" w:name="_Toc474639082"/>
      <w:r w:rsidRPr="00AB7119">
        <w:t xml:space="preserve">Table </w:t>
      </w:r>
      <w:r w:rsidR="00A44CBF" w:rsidRPr="00AB7119">
        <w:t>9.</w:t>
      </w:r>
      <w:r w:rsidR="00857188">
        <w:t>16</w:t>
      </w:r>
      <w:r w:rsidRPr="00AB7119">
        <w:t>: Hydrographic Survey of Waterways</w:t>
      </w:r>
      <w:bookmarkEnd w:id="691"/>
      <w:bookmarkEnd w:id="692"/>
    </w:p>
    <w:tbl>
      <w:tblPr>
        <w:tblStyle w:val="LightShading10"/>
        <w:tblW w:w="5000" w:type="pct"/>
        <w:tblLook w:val="04A0"/>
      </w:tblPr>
      <w:tblGrid>
        <w:gridCol w:w="2359"/>
        <w:gridCol w:w="3599"/>
        <w:gridCol w:w="3618"/>
      </w:tblGrid>
      <w:tr w:rsidR="007F2F9C" w:rsidRPr="004D0CD9" w:rsidTr="004D0CD9">
        <w:trPr>
          <w:cnfStyle w:val="100000000000"/>
          <w:trHeight w:hRule="exact" w:val="432"/>
        </w:trPr>
        <w:tc>
          <w:tcPr>
            <w:cnfStyle w:val="001000000000"/>
            <w:tcW w:w="1232" w:type="pct"/>
          </w:tcPr>
          <w:p w:rsidR="007F2F9C" w:rsidRPr="00D10C92" w:rsidRDefault="007F2F9C" w:rsidP="00D10C92">
            <w:pPr>
              <w:spacing w:line="276" w:lineRule="auto"/>
              <w:rPr>
                <w:rFonts w:ascii="Times New Roman" w:hAnsi="Times New Roman"/>
                <w:bCs w:val="0"/>
                <w:sz w:val="24"/>
                <w:szCs w:val="24"/>
              </w:rPr>
            </w:pPr>
            <w:r w:rsidRPr="00D10C92">
              <w:rPr>
                <w:rFonts w:ascii="Times New Roman" w:hAnsi="Times New Roman"/>
                <w:bCs w:val="0"/>
                <w:sz w:val="24"/>
                <w:szCs w:val="24"/>
              </w:rPr>
              <w:t>Year</w:t>
            </w:r>
          </w:p>
        </w:tc>
        <w:tc>
          <w:tcPr>
            <w:tcW w:w="1879" w:type="pct"/>
          </w:tcPr>
          <w:p w:rsidR="007F2F9C" w:rsidRPr="00D10C92" w:rsidRDefault="007F2F9C" w:rsidP="000C29E6">
            <w:pPr>
              <w:spacing w:line="276" w:lineRule="auto"/>
              <w:jc w:val="center"/>
              <w:cnfStyle w:val="100000000000"/>
              <w:rPr>
                <w:rFonts w:ascii="Times New Roman" w:hAnsi="Times New Roman"/>
                <w:bCs w:val="0"/>
                <w:sz w:val="24"/>
                <w:szCs w:val="24"/>
              </w:rPr>
            </w:pPr>
            <w:r w:rsidRPr="00D10C92">
              <w:rPr>
                <w:rFonts w:ascii="Times New Roman" w:hAnsi="Times New Roman"/>
                <w:bCs w:val="0"/>
                <w:sz w:val="24"/>
                <w:szCs w:val="24"/>
              </w:rPr>
              <w:t>Inland Waterways    (in km.)</w:t>
            </w:r>
          </w:p>
        </w:tc>
        <w:tc>
          <w:tcPr>
            <w:tcW w:w="1889" w:type="pct"/>
          </w:tcPr>
          <w:p w:rsidR="007F2F9C" w:rsidRPr="00D10C92" w:rsidRDefault="007F2F9C" w:rsidP="000C29E6">
            <w:pPr>
              <w:spacing w:line="276" w:lineRule="auto"/>
              <w:jc w:val="center"/>
              <w:cnfStyle w:val="100000000000"/>
              <w:rPr>
                <w:rFonts w:ascii="Times New Roman" w:hAnsi="Times New Roman"/>
                <w:bCs w:val="0"/>
                <w:sz w:val="24"/>
                <w:szCs w:val="24"/>
              </w:rPr>
            </w:pPr>
            <w:r w:rsidRPr="00D10C92">
              <w:rPr>
                <w:rFonts w:ascii="Times New Roman" w:hAnsi="Times New Roman"/>
                <w:bCs w:val="0"/>
                <w:sz w:val="24"/>
                <w:szCs w:val="24"/>
              </w:rPr>
              <w:t>Coastal Waterways   (in sq. km.)</w:t>
            </w:r>
          </w:p>
        </w:tc>
      </w:tr>
      <w:tr w:rsidR="007F2F9C" w:rsidRPr="004D0CD9" w:rsidTr="004D0CD9">
        <w:trPr>
          <w:cnfStyle w:val="000000100000"/>
          <w:trHeight w:hRule="exact" w:val="432"/>
        </w:trPr>
        <w:tc>
          <w:tcPr>
            <w:cnfStyle w:val="001000000000"/>
            <w:tcW w:w="1232" w:type="pct"/>
          </w:tcPr>
          <w:p w:rsidR="007F2F9C" w:rsidRPr="004D0CD9" w:rsidRDefault="00700C52" w:rsidP="000C29E6">
            <w:pPr>
              <w:spacing w:after="0" w:line="276" w:lineRule="auto"/>
              <w:ind w:left="720" w:hanging="720"/>
              <w:rPr>
                <w:rFonts w:ascii="Times New Roman" w:hAnsi="Times New Roman"/>
                <w:bCs w:val="0"/>
                <w:sz w:val="24"/>
                <w:szCs w:val="24"/>
              </w:rPr>
            </w:pPr>
            <w:r w:rsidRPr="004D0CD9">
              <w:rPr>
                <w:rFonts w:ascii="Times New Roman" w:hAnsi="Times New Roman"/>
                <w:bCs w:val="0"/>
                <w:sz w:val="24"/>
                <w:szCs w:val="24"/>
              </w:rPr>
              <w:t>FY20</w:t>
            </w:r>
            <w:r w:rsidR="007F2F9C" w:rsidRPr="004D0CD9">
              <w:rPr>
                <w:rFonts w:ascii="Times New Roman" w:hAnsi="Times New Roman"/>
                <w:bCs w:val="0"/>
                <w:sz w:val="24"/>
                <w:szCs w:val="24"/>
              </w:rPr>
              <w:t>10</w:t>
            </w:r>
          </w:p>
        </w:tc>
        <w:tc>
          <w:tcPr>
            <w:tcW w:w="1879" w:type="pct"/>
          </w:tcPr>
          <w:p w:rsidR="007F2F9C" w:rsidRPr="004D0CD9" w:rsidRDefault="007F2F9C" w:rsidP="000C29E6">
            <w:pPr>
              <w:spacing w:after="0" w:line="276" w:lineRule="auto"/>
              <w:jc w:val="center"/>
              <w:cnfStyle w:val="000000100000"/>
              <w:rPr>
                <w:rFonts w:ascii="Times New Roman" w:hAnsi="Times New Roman"/>
                <w:sz w:val="24"/>
                <w:szCs w:val="24"/>
              </w:rPr>
            </w:pPr>
            <w:r w:rsidRPr="004D0CD9">
              <w:rPr>
                <w:rFonts w:ascii="Times New Roman" w:hAnsi="Times New Roman"/>
                <w:sz w:val="24"/>
                <w:szCs w:val="24"/>
              </w:rPr>
              <w:t>2,162</w:t>
            </w:r>
          </w:p>
        </w:tc>
        <w:tc>
          <w:tcPr>
            <w:tcW w:w="1889" w:type="pct"/>
          </w:tcPr>
          <w:p w:rsidR="007F2F9C" w:rsidRPr="004D0CD9" w:rsidRDefault="007F2F9C" w:rsidP="000C29E6">
            <w:pPr>
              <w:spacing w:after="0" w:line="276" w:lineRule="auto"/>
              <w:ind w:left="720" w:hanging="720"/>
              <w:jc w:val="center"/>
              <w:cnfStyle w:val="000000100000"/>
              <w:rPr>
                <w:rFonts w:ascii="Times New Roman" w:hAnsi="Times New Roman"/>
                <w:sz w:val="24"/>
                <w:szCs w:val="24"/>
              </w:rPr>
            </w:pPr>
            <w:r w:rsidRPr="004D0CD9">
              <w:rPr>
                <w:rFonts w:ascii="Times New Roman" w:hAnsi="Times New Roman"/>
                <w:sz w:val="24"/>
                <w:szCs w:val="24"/>
              </w:rPr>
              <w:t>1,111</w:t>
            </w:r>
          </w:p>
        </w:tc>
      </w:tr>
      <w:tr w:rsidR="007F2F9C" w:rsidRPr="004D0CD9" w:rsidTr="004D0CD9">
        <w:trPr>
          <w:trHeight w:hRule="exact" w:val="432"/>
        </w:trPr>
        <w:tc>
          <w:tcPr>
            <w:cnfStyle w:val="001000000000"/>
            <w:tcW w:w="1232" w:type="pct"/>
          </w:tcPr>
          <w:p w:rsidR="007F2F9C" w:rsidRPr="004D0CD9" w:rsidRDefault="00700C52" w:rsidP="00700C52">
            <w:pPr>
              <w:spacing w:after="0" w:line="276" w:lineRule="auto"/>
              <w:rPr>
                <w:rFonts w:ascii="Times New Roman" w:hAnsi="Times New Roman"/>
                <w:bCs w:val="0"/>
                <w:sz w:val="24"/>
                <w:szCs w:val="24"/>
              </w:rPr>
            </w:pPr>
            <w:r w:rsidRPr="004D0CD9">
              <w:rPr>
                <w:rFonts w:ascii="Times New Roman" w:hAnsi="Times New Roman"/>
                <w:bCs w:val="0"/>
                <w:sz w:val="24"/>
                <w:szCs w:val="24"/>
              </w:rPr>
              <w:t>FY20</w:t>
            </w:r>
            <w:r w:rsidR="007F2F9C" w:rsidRPr="004D0CD9">
              <w:rPr>
                <w:rFonts w:ascii="Times New Roman" w:hAnsi="Times New Roman"/>
                <w:bCs w:val="0"/>
                <w:sz w:val="24"/>
                <w:szCs w:val="24"/>
              </w:rPr>
              <w:t>11</w:t>
            </w:r>
          </w:p>
        </w:tc>
        <w:tc>
          <w:tcPr>
            <w:tcW w:w="1879" w:type="pct"/>
          </w:tcPr>
          <w:p w:rsidR="007F2F9C" w:rsidRPr="004D0CD9" w:rsidRDefault="007F2F9C" w:rsidP="000C29E6">
            <w:pPr>
              <w:spacing w:after="0" w:line="276" w:lineRule="auto"/>
              <w:ind w:left="720" w:hanging="720"/>
              <w:jc w:val="center"/>
              <w:cnfStyle w:val="000000000000"/>
              <w:rPr>
                <w:rFonts w:ascii="Times New Roman" w:hAnsi="Times New Roman"/>
                <w:sz w:val="24"/>
                <w:szCs w:val="24"/>
              </w:rPr>
            </w:pPr>
            <w:r w:rsidRPr="004D0CD9">
              <w:rPr>
                <w:rFonts w:ascii="Times New Roman" w:hAnsi="Times New Roman"/>
                <w:sz w:val="24"/>
                <w:szCs w:val="24"/>
              </w:rPr>
              <w:t>1,208</w:t>
            </w:r>
          </w:p>
        </w:tc>
        <w:tc>
          <w:tcPr>
            <w:tcW w:w="1889" w:type="pct"/>
          </w:tcPr>
          <w:p w:rsidR="007F2F9C" w:rsidRPr="004D0CD9" w:rsidRDefault="007F2F9C" w:rsidP="000C29E6">
            <w:pPr>
              <w:spacing w:after="0" w:line="276" w:lineRule="auto"/>
              <w:ind w:left="720" w:hanging="720"/>
              <w:jc w:val="center"/>
              <w:cnfStyle w:val="000000000000"/>
              <w:rPr>
                <w:rFonts w:ascii="Times New Roman" w:hAnsi="Times New Roman"/>
                <w:sz w:val="24"/>
                <w:szCs w:val="24"/>
              </w:rPr>
            </w:pPr>
            <w:r w:rsidRPr="004D0CD9">
              <w:rPr>
                <w:rFonts w:ascii="Times New Roman" w:hAnsi="Times New Roman"/>
                <w:sz w:val="24"/>
                <w:szCs w:val="24"/>
              </w:rPr>
              <w:t>1,190</w:t>
            </w:r>
          </w:p>
        </w:tc>
      </w:tr>
      <w:tr w:rsidR="007F2F9C" w:rsidRPr="004D0CD9" w:rsidTr="004D0CD9">
        <w:trPr>
          <w:cnfStyle w:val="000000100000"/>
          <w:trHeight w:hRule="exact" w:val="432"/>
        </w:trPr>
        <w:tc>
          <w:tcPr>
            <w:cnfStyle w:val="001000000000"/>
            <w:tcW w:w="1232" w:type="pct"/>
          </w:tcPr>
          <w:p w:rsidR="007F2F9C" w:rsidRPr="004D0CD9" w:rsidRDefault="00700C52" w:rsidP="000C29E6">
            <w:pPr>
              <w:spacing w:after="0" w:line="276" w:lineRule="auto"/>
              <w:ind w:left="720" w:hanging="720"/>
              <w:rPr>
                <w:rFonts w:ascii="Times New Roman" w:hAnsi="Times New Roman"/>
                <w:bCs w:val="0"/>
                <w:sz w:val="24"/>
                <w:szCs w:val="24"/>
              </w:rPr>
            </w:pPr>
            <w:r w:rsidRPr="004D0CD9">
              <w:rPr>
                <w:rFonts w:ascii="Times New Roman" w:hAnsi="Times New Roman"/>
                <w:bCs w:val="0"/>
                <w:sz w:val="24"/>
                <w:szCs w:val="24"/>
              </w:rPr>
              <w:t>FY20</w:t>
            </w:r>
            <w:r w:rsidR="007F2F9C" w:rsidRPr="004D0CD9">
              <w:rPr>
                <w:rFonts w:ascii="Times New Roman" w:hAnsi="Times New Roman"/>
                <w:bCs w:val="0"/>
                <w:sz w:val="24"/>
                <w:szCs w:val="24"/>
              </w:rPr>
              <w:t>12</w:t>
            </w:r>
          </w:p>
        </w:tc>
        <w:tc>
          <w:tcPr>
            <w:tcW w:w="1879" w:type="pct"/>
          </w:tcPr>
          <w:p w:rsidR="007F2F9C" w:rsidRPr="004D0CD9" w:rsidRDefault="007F2F9C" w:rsidP="000C29E6">
            <w:pPr>
              <w:spacing w:after="0" w:line="276" w:lineRule="auto"/>
              <w:ind w:left="720" w:hanging="720"/>
              <w:jc w:val="center"/>
              <w:cnfStyle w:val="000000100000"/>
              <w:rPr>
                <w:rFonts w:ascii="Times New Roman" w:hAnsi="Times New Roman"/>
                <w:sz w:val="24"/>
                <w:szCs w:val="24"/>
              </w:rPr>
            </w:pPr>
            <w:r w:rsidRPr="004D0CD9">
              <w:rPr>
                <w:rFonts w:ascii="Times New Roman" w:hAnsi="Times New Roman"/>
                <w:sz w:val="24"/>
                <w:szCs w:val="24"/>
              </w:rPr>
              <w:t>834</w:t>
            </w:r>
          </w:p>
        </w:tc>
        <w:tc>
          <w:tcPr>
            <w:tcW w:w="1889" w:type="pct"/>
          </w:tcPr>
          <w:p w:rsidR="007F2F9C" w:rsidRPr="004D0CD9" w:rsidRDefault="007F2F9C" w:rsidP="000C29E6">
            <w:pPr>
              <w:spacing w:after="0" w:line="276" w:lineRule="auto"/>
              <w:ind w:left="720" w:hanging="720"/>
              <w:jc w:val="center"/>
              <w:cnfStyle w:val="000000100000"/>
              <w:rPr>
                <w:rFonts w:ascii="Times New Roman" w:hAnsi="Times New Roman"/>
                <w:sz w:val="24"/>
                <w:szCs w:val="24"/>
              </w:rPr>
            </w:pPr>
            <w:r w:rsidRPr="004D0CD9">
              <w:rPr>
                <w:rFonts w:ascii="Times New Roman" w:hAnsi="Times New Roman"/>
                <w:sz w:val="24"/>
                <w:szCs w:val="24"/>
              </w:rPr>
              <w:t>1,190</w:t>
            </w:r>
          </w:p>
        </w:tc>
      </w:tr>
      <w:tr w:rsidR="007F2F9C" w:rsidRPr="004D0CD9" w:rsidTr="004D0CD9">
        <w:trPr>
          <w:trHeight w:hRule="exact" w:val="432"/>
        </w:trPr>
        <w:tc>
          <w:tcPr>
            <w:cnfStyle w:val="001000000000"/>
            <w:tcW w:w="1232" w:type="pct"/>
          </w:tcPr>
          <w:p w:rsidR="007F2F9C" w:rsidRPr="004D0CD9" w:rsidRDefault="00700C52" w:rsidP="000C29E6">
            <w:pPr>
              <w:spacing w:after="0" w:line="276" w:lineRule="auto"/>
              <w:ind w:left="720" w:hanging="720"/>
              <w:rPr>
                <w:rFonts w:ascii="Times New Roman" w:hAnsi="Times New Roman"/>
                <w:bCs w:val="0"/>
                <w:sz w:val="24"/>
                <w:szCs w:val="24"/>
              </w:rPr>
            </w:pPr>
            <w:r w:rsidRPr="004D0CD9">
              <w:rPr>
                <w:rFonts w:ascii="Times New Roman" w:hAnsi="Times New Roman"/>
                <w:bCs w:val="0"/>
                <w:sz w:val="24"/>
                <w:szCs w:val="24"/>
              </w:rPr>
              <w:t>FY20</w:t>
            </w:r>
            <w:r w:rsidR="007F2F9C" w:rsidRPr="004D0CD9">
              <w:rPr>
                <w:rFonts w:ascii="Times New Roman" w:hAnsi="Times New Roman"/>
                <w:bCs w:val="0"/>
                <w:sz w:val="24"/>
                <w:szCs w:val="24"/>
              </w:rPr>
              <w:t>13</w:t>
            </w:r>
          </w:p>
        </w:tc>
        <w:tc>
          <w:tcPr>
            <w:tcW w:w="1879" w:type="pct"/>
          </w:tcPr>
          <w:p w:rsidR="007F2F9C" w:rsidRPr="004D0CD9" w:rsidRDefault="007F2F9C" w:rsidP="000C29E6">
            <w:pPr>
              <w:spacing w:after="0" w:line="276" w:lineRule="auto"/>
              <w:ind w:left="720" w:hanging="720"/>
              <w:jc w:val="center"/>
              <w:cnfStyle w:val="000000000000"/>
              <w:rPr>
                <w:rFonts w:ascii="Times New Roman" w:hAnsi="Times New Roman"/>
                <w:sz w:val="24"/>
                <w:szCs w:val="24"/>
              </w:rPr>
            </w:pPr>
            <w:r w:rsidRPr="004D0CD9">
              <w:rPr>
                <w:rFonts w:ascii="Times New Roman" w:hAnsi="Times New Roman"/>
                <w:sz w:val="24"/>
                <w:szCs w:val="24"/>
              </w:rPr>
              <w:t>2,052</w:t>
            </w:r>
          </w:p>
        </w:tc>
        <w:tc>
          <w:tcPr>
            <w:tcW w:w="1889" w:type="pct"/>
          </w:tcPr>
          <w:p w:rsidR="007F2F9C" w:rsidRPr="004D0CD9" w:rsidRDefault="007F2F9C" w:rsidP="000C29E6">
            <w:pPr>
              <w:spacing w:after="0" w:line="276" w:lineRule="auto"/>
              <w:ind w:left="720" w:hanging="720"/>
              <w:jc w:val="center"/>
              <w:cnfStyle w:val="000000000000"/>
              <w:rPr>
                <w:rFonts w:ascii="Times New Roman" w:hAnsi="Times New Roman"/>
                <w:sz w:val="24"/>
                <w:szCs w:val="24"/>
              </w:rPr>
            </w:pPr>
            <w:r w:rsidRPr="004D0CD9">
              <w:rPr>
                <w:rFonts w:ascii="Times New Roman" w:hAnsi="Times New Roman"/>
                <w:sz w:val="24"/>
                <w:szCs w:val="24"/>
              </w:rPr>
              <w:t>1,200</w:t>
            </w:r>
          </w:p>
        </w:tc>
      </w:tr>
      <w:tr w:rsidR="007F2F9C" w:rsidRPr="004D0CD9" w:rsidTr="004D0CD9">
        <w:trPr>
          <w:cnfStyle w:val="000000100000"/>
          <w:trHeight w:hRule="exact" w:val="432"/>
        </w:trPr>
        <w:tc>
          <w:tcPr>
            <w:cnfStyle w:val="001000000000"/>
            <w:tcW w:w="1232" w:type="pct"/>
          </w:tcPr>
          <w:p w:rsidR="007F2F9C" w:rsidRPr="004D0CD9" w:rsidRDefault="00700C52" w:rsidP="000C29E6">
            <w:pPr>
              <w:spacing w:after="0" w:line="276" w:lineRule="auto"/>
              <w:ind w:left="720" w:hanging="720"/>
              <w:rPr>
                <w:rFonts w:ascii="Times New Roman" w:hAnsi="Times New Roman"/>
                <w:bCs w:val="0"/>
                <w:sz w:val="24"/>
                <w:szCs w:val="24"/>
              </w:rPr>
            </w:pPr>
            <w:r w:rsidRPr="004D0CD9">
              <w:rPr>
                <w:rFonts w:ascii="Times New Roman" w:hAnsi="Times New Roman"/>
                <w:bCs w:val="0"/>
                <w:sz w:val="24"/>
                <w:szCs w:val="24"/>
              </w:rPr>
              <w:t>FY20</w:t>
            </w:r>
            <w:r w:rsidR="007F2F9C" w:rsidRPr="004D0CD9">
              <w:rPr>
                <w:rFonts w:ascii="Times New Roman" w:hAnsi="Times New Roman"/>
                <w:bCs w:val="0"/>
                <w:sz w:val="24"/>
                <w:szCs w:val="24"/>
              </w:rPr>
              <w:t>14</w:t>
            </w:r>
          </w:p>
        </w:tc>
        <w:tc>
          <w:tcPr>
            <w:tcW w:w="1879" w:type="pct"/>
          </w:tcPr>
          <w:p w:rsidR="007F2F9C" w:rsidRPr="004D0CD9" w:rsidRDefault="007F2F9C" w:rsidP="000C29E6">
            <w:pPr>
              <w:spacing w:after="0" w:line="276" w:lineRule="auto"/>
              <w:ind w:left="720" w:hanging="720"/>
              <w:jc w:val="center"/>
              <w:cnfStyle w:val="000000100000"/>
              <w:rPr>
                <w:rFonts w:ascii="Times New Roman" w:hAnsi="Times New Roman"/>
                <w:sz w:val="24"/>
                <w:szCs w:val="24"/>
              </w:rPr>
            </w:pPr>
            <w:r w:rsidRPr="004D0CD9">
              <w:rPr>
                <w:rFonts w:ascii="Times New Roman" w:hAnsi="Times New Roman"/>
                <w:sz w:val="24"/>
                <w:szCs w:val="24"/>
              </w:rPr>
              <w:t>2,770</w:t>
            </w:r>
          </w:p>
        </w:tc>
        <w:tc>
          <w:tcPr>
            <w:tcW w:w="1889" w:type="pct"/>
          </w:tcPr>
          <w:p w:rsidR="007F2F9C" w:rsidRPr="004D0CD9" w:rsidRDefault="007F2F9C" w:rsidP="000C29E6">
            <w:pPr>
              <w:spacing w:after="0" w:line="276" w:lineRule="auto"/>
              <w:ind w:left="720" w:hanging="720"/>
              <w:jc w:val="center"/>
              <w:cnfStyle w:val="000000100000"/>
              <w:rPr>
                <w:rFonts w:ascii="Times New Roman" w:hAnsi="Times New Roman"/>
                <w:sz w:val="24"/>
                <w:szCs w:val="24"/>
              </w:rPr>
            </w:pPr>
            <w:r w:rsidRPr="004D0CD9">
              <w:rPr>
                <w:rFonts w:ascii="Times New Roman" w:hAnsi="Times New Roman"/>
                <w:sz w:val="24"/>
                <w:szCs w:val="24"/>
              </w:rPr>
              <w:t>1,200</w:t>
            </w:r>
          </w:p>
        </w:tc>
      </w:tr>
    </w:tbl>
    <w:p w:rsidR="00915926" w:rsidRPr="00EF35C5" w:rsidRDefault="007F2F9C" w:rsidP="00005EAC">
      <w:pPr>
        <w:spacing w:before="120" w:after="0" w:line="360" w:lineRule="auto"/>
        <w:rPr>
          <w:rFonts w:cs="Times New Roman"/>
          <w:b/>
          <w:bCs/>
          <w:i/>
          <w:iCs/>
          <w:sz w:val="20"/>
          <w:szCs w:val="20"/>
        </w:rPr>
      </w:pPr>
      <w:r w:rsidRPr="00EF35C5">
        <w:rPr>
          <w:rFonts w:cs="Times New Roman"/>
          <w:b/>
          <w:bCs/>
          <w:i/>
          <w:iCs/>
          <w:sz w:val="20"/>
          <w:szCs w:val="20"/>
        </w:rPr>
        <w:t>Source: Hydrography Department, BIWTA</w:t>
      </w:r>
      <w:bookmarkStart w:id="693" w:name="_Toc405367233"/>
      <w:bookmarkStart w:id="694" w:name="_Toc405988357"/>
      <w:bookmarkStart w:id="695" w:name="_Toc408501560"/>
      <w:bookmarkStart w:id="696" w:name="_Toc439337180"/>
    </w:p>
    <w:p w:rsidR="00DD3984" w:rsidRPr="00DD3984" w:rsidRDefault="00DD3984" w:rsidP="003F14D1">
      <w:pPr>
        <w:spacing w:line="276" w:lineRule="auto"/>
        <w:jc w:val="both"/>
        <w:rPr>
          <w:b/>
          <w:i/>
          <w:sz w:val="6"/>
        </w:rPr>
      </w:pPr>
    </w:p>
    <w:p w:rsidR="00000000" w:rsidRDefault="007F2F9C" w:rsidP="003D5A31">
      <w:pPr>
        <w:pStyle w:val="BodyText"/>
        <w:numPr>
          <w:ilvl w:val="2"/>
          <w:numId w:val="241"/>
        </w:numPr>
        <w:spacing w:after="240" w:line="276" w:lineRule="auto"/>
        <w:jc w:val="both"/>
        <w:rPr>
          <w:rFonts w:cs="Times New Roman"/>
          <w:b/>
          <w:szCs w:val="24"/>
        </w:rPr>
      </w:pPr>
      <w:r w:rsidRPr="001968E1">
        <w:rPr>
          <w:rFonts w:cs="Times New Roman"/>
          <w:b/>
          <w:szCs w:val="24"/>
        </w:rPr>
        <w:t>Dredging</w:t>
      </w:r>
      <w:bookmarkEnd w:id="693"/>
      <w:bookmarkEnd w:id="694"/>
      <w:bookmarkEnd w:id="695"/>
      <w:bookmarkEnd w:id="696"/>
      <w:r w:rsidR="00B6542C" w:rsidRPr="001968E1">
        <w:rPr>
          <w:rFonts w:cs="Times New Roman"/>
          <w:b/>
          <w:szCs w:val="24"/>
        </w:rPr>
        <w:t>: Recent Trends/V</w:t>
      </w:r>
      <w:r w:rsidRPr="001968E1">
        <w:rPr>
          <w:rFonts w:cs="Times New Roman"/>
          <w:b/>
          <w:szCs w:val="24"/>
        </w:rPr>
        <w:t>olum</w:t>
      </w:r>
      <w:r w:rsidR="00B6542C" w:rsidRPr="001968E1">
        <w:rPr>
          <w:rFonts w:cs="Times New Roman"/>
          <w:b/>
          <w:szCs w:val="24"/>
        </w:rPr>
        <w:t>e, Demand estimation, Underutilization of C</w:t>
      </w:r>
      <w:r w:rsidRPr="001968E1">
        <w:rPr>
          <w:rFonts w:cs="Times New Roman"/>
          <w:b/>
          <w:szCs w:val="24"/>
        </w:rPr>
        <w:t xml:space="preserve">apacity </w:t>
      </w:r>
    </w:p>
    <w:p w:rsidR="007F2F9C" w:rsidRPr="00B62F1C" w:rsidRDefault="007F2F9C" w:rsidP="00005EAC">
      <w:pPr>
        <w:spacing w:after="0"/>
        <w:jc w:val="both"/>
        <w:rPr>
          <w:rFonts w:cs="Times New Roman"/>
          <w:sz w:val="4"/>
          <w:szCs w:val="24"/>
          <w:lang w:val="en-GB"/>
        </w:rPr>
      </w:pPr>
    </w:p>
    <w:p w:rsidR="007F2F9C" w:rsidRDefault="007F2F9C" w:rsidP="00587FBE">
      <w:pPr>
        <w:spacing w:after="0" w:line="276" w:lineRule="auto"/>
        <w:jc w:val="both"/>
        <w:rPr>
          <w:rFonts w:cs="Times New Roman"/>
          <w:szCs w:val="24"/>
        </w:rPr>
      </w:pPr>
      <w:r w:rsidRPr="004B0A08">
        <w:rPr>
          <w:rFonts w:cs="Times New Roman"/>
          <w:i/>
          <w:szCs w:val="24"/>
          <w:lang w:val="en-GB"/>
        </w:rPr>
        <w:t>One of the major challenges in the inland water transport sector is incremental dredging demand to maintain navigability.</w:t>
      </w:r>
      <w:r w:rsidRPr="00924255">
        <w:rPr>
          <w:rFonts w:cs="Times New Roman"/>
          <w:szCs w:val="24"/>
          <w:lang w:val="en-GB"/>
        </w:rPr>
        <w:t xml:space="preserve"> Rivers are deteriorating and the dredging demand is increasing endlessly.</w:t>
      </w:r>
      <w:r w:rsidRPr="00924255">
        <w:rPr>
          <w:rFonts w:cs="Times New Roman"/>
          <w:szCs w:val="24"/>
        </w:rPr>
        <w:t xml:space="preserve"> BIWTA receive lists of dredging requirements from </w:t>
      </w:r>
      <w:r w:rsidR="00FD072E">
        <w:rPr>
          <w:rFonts w:cs="Times New Roman"/>
          <w:szCs w:val="24"/>
        </w:rPr>
        <w:t>various parties</w:t>
      </w:r>
      <w:r w:rsidRPr="00924255">
        <w:rPr>
          <w:rFonts w:cs="Times New Roman"/>
          <w:szCs w:val="24"/>
        </w:rPr>
        <w:t xml:space="preserve">. These include field offices of BIWTA, trade organizations related to IWT operations and the </w:t>
      </w:r>
      <w:r w:rsidR="00847D39">
        <w:rPr>
          <w:rFonts w:cs="Times New Roman"/>
          <w:szCs w:val="24"/>
        </w:rPr>
        <w:t>public</w:t>
      </w:r>
      <w:r w:rsidRPr="00924255">
        <w:rPr>
          <w:rFonts w:cs="Times New Roman"/>
          <w:szCs w:val="24"/>
        </w:rPr>
        <w:t xml:space="preserve"> sector company BIWTC. </w:t>
      </w:r>
    </w:p>
    <w:p w:rsidR="007F2F9C" w:rsidRPr="00EF35C5" w:rsidRDefault="007F2F9C" w:rsidP="00587FBE">
      <w:pPr>
        <w:spacing w:after="0" w:line="276" w:lineRule="auto"/>
        <w:jc w:val="both"/>
        <w:rPr>
          <w:rFonts w:cs="Times New Roman"/>
          <w:sz w:val="6"/>
          <w:szCs w:val="6"/>
        </w:rPr>
      </w:pPr>
    </w:p>
    <w:p w:rsidR="007F2F9C" w:rsidRPr="00FE5261" w:rsidRDefault="007F2F9C" w:rsidP="00587FBE">
      <w:pPr>
        <w:spacing w:after="0" w:line="276" w:lineRule="auto"/>
        <w:jc w:val="both"/>
        <w:rPr>
          <w:rFonts w:cs="Times New Roman"/>
          <w:sz w:val="6"/>
          <w:szCs w:val="6"/>
        </w:rPr>
      </w:pPr>
    </w:p>
    <w:p w:rsidR="00DD3984" w:rsidRDefault="007F2F9C" w:rsidP="00587FBE">
      <w:pPr>
        <w:spacing w:after="120" w:line="276" w:lineRule="auto"/>
        <w:jc w:val="both"/>
        <w:rPr>
          <w:rFonts w:cs="Times New Roman"/>
          <w:szCs w:val="24"/>
        </w:rPr>
      </w:pPr>
      <w:r w:rsidRPr="00924255">
        <w:rPr>
          <w:rFonts w:cs="Times New Roman"/>
          <w:szCs w:val="24"/>
        </w:rPr>
        <w:t xml:space="preserve">The volume of both maintenance and development dredging is given in Table </w:t>
      </w:r>
      <w:r w:rsidR="009B44EC">
        <w:rPr>
          <w:rFonts w:cs="Times New Roman"/>
          <w:szCs w:val="24"/>
        </w:rPr>
        <w:t>9.</w:t>
      </w:r>
      <w:r w:rsidR="00857188">
        <w:rPr>
          <w:rFonts w:cs="Times New Roman"/>
          <w:szCs w:val="24"/>
        </w:rPr>
        <w:t>17</w:t>
      </w:r>
      <w:r w:rsidRPr="00924255">
        <w:rPr>
          <w:rFonts w:cs="Times New Roman"/>
          <w:szCs w:val="24"/>
        </w:rPr>
        <w:t xml:space="preserve">. </w:t>
      </w:r>
    </w:p>
    <w:p w:rsidR="005A3CDE" w:rsidRPr="00282AE2" w:rsidRDefault="005A3CDE">
      <w:pPr>
        <w:rPr>
          <w:rFonts w:cs="Times New Roman"/>
          <w:b/>
          <w:bCs/>
          <w:sz w:val="2"/>
          <w:szCs w:val="24"/>
        </w:rPr>
      </w:pPr>
    </w:p>
    <w:p w:rsidR="007F2F9C" w:rsidRPr="00924255" w:rsidRDefault="007F2F9C" w:rsidP="0036657D">
      <w:pPr>
        <w:pStyle w:val="Heading4"/>
      </w:pPr>
      <w:bookmarkStart w:id="697" w:name="_Toc474639083"/>
      <w:r w:rsidRPr="00924255">
        <w:lastRenderedPageBreak/>
        <w:t xml:space="preserve">Table </w:t>
      </w:r>
      <w:r w:rsidR="00A44CBF">
        <w:t>9.</w:t>
      </w:r>
      <w:r w:rsidR="00857188">
        <w:t>17</w:t>
      </w:r>
      <w:r w:rsidRPr="00924255">
        <w:t xml:space="preserve">: Total Volume of Dredging: </w:t>
      </w:r>
      <w:r w:rsidR="009B44EC">
        <w:t>FY20</w:t>
      </w:r>
      <w:r w:rsidRPr="00924255">
        <w:t>06-</w:t>
      </w:r>
      <w:r w:rsidR="009B44EC">
        <w:t>FY201</w:t>
      </w:r>
      <w:r w:rsidRPr="00924255">
        <w:t>5</w:t>
      </w:r>
      <w:bookmarkEnd w:id="697"/>
    </w:p>
    <w:tbl>
      <w:tblPr>
        <w:tblStyle w:val="LightShading10"/>
        <w:tblW w:w="5000" w:type="pct"/>
        <w:tblLook w:val="04A0"/>
      </w:tblPr>
      <w:tblGrid>
        <w:gridCol w:w="1016"/>
        <w:gridCol w:w="3148"/>
        <w:gridCol w:w="3223"/>
        <w:gridCol w:w="2189"/>
      </w:tblGrid>
      <w:tr w:rsidR="009B44EC" w:rsidRPr="004D0CD9" w:rsidTr="004D0CD9">
        <w:trPr>
          <w:cnfStyle w:val="100000000000"/>
          <w:trHeight w:hRule="exact" w:val="360"/>
        </w:trPr>
        <w:tc>
          <w:tcPr>
            <w:cnfStyle w:val="001000000000"/>
            <w:tcW w:w="527" w:type="pct"/>
            <w:noWrap/>
            <w:hideMark/>
          </w:tcPr>
          <w:p w:rsidR="007F2F9C" w:rsidRPr="00D10C92" w:rsidRDefault="007F2F9C" w:rsidP="00005EAC">
            <w:pPr>
              <w:rPr>
                <w:rFonts w:ascii="Times New Roman" w:eastAsia="Times New Roman" w:hAnsi="Times New Roman"/>
                <w:bCs w:val="0"/>
                <w:sz w:val="24"/>
                <w:szCs w:val="24"/>
              </w:rPr>
            </w:pPr>
            <w:r w:rsidRPr="00D10C92">
              <w:rPr>
                <w:rFonts w:ascii="Times New Roman" w:eastAsia="Times New Roman" w:hAnsi="Times New Roman"/>
                <w:bCs w:val="0"/>
                <w:sz w:val="24"/>
                <w:szCs w:val="24"/>
              </w:rPr>
              <w:t>Year</w:t>
            </w:r>
          </w:p>
        </w:tc>
        <w:tc>
          <w:tcPr>
            <w:tcW w:w="1645" w:type="pct"/>
            <w:noWrap/>
            <w:hideMark/>
          </w:tcPr>
          <w:p w:rsidR="007F2F9C" w:rsidRPr="00D10C92" w:rsidRDefault="007F2F9C" w:rsidP="00005EAC">
            <w:pPr>
              <w:cnfStyle w:val="100000000000"/>
              <w:rPr>
                <w:rFonts w:ascii="Times New Roman" w:eastAsia="Times New Roman" w:hAnsi="Times New Roman"/>
                <w:bCs w:val="0"/>
                <w:sz w:val="24"/>
                <w:szCs w:val="24"/>
              </w:rPr>
            </w:pPr>
            <w:r w:rsidRPr="00D10C92">
              <w:rPr>
                <w:rFonts w:ascii="Times New Roman" w:eastAsia="Times New Roman" w:hAnsi="Times New Roman"/>
                <w:bCs w:val="0"/>
                <w:sz w:val="24"/>
                <w:szCs w:val="24"/>
              </w:rPr>
              <w:t>Maintenance (million m</w:t>
            </w:r>
            <w:r w:rsidRPr="00D10C92">
              <w:rPr>
                <w:rFonts w:ascii="Times New Roman" w:eastAsia="Times New Roman" w:hAnsi="Times New Roman"/>
                <w:bCs w:val="0"/>
                <w:sz w:val="24"/>
                <w:szCs w:val="24"/>
                <w:vertAlign w:val="superscript"/>
              </w:rPr>
              <w:t>3</w:t>
            </w:r>
            <w:r w:rsidRPr="00D10C92">
              <w:rPr>
                <w:rFonts w:ascii="Times New Roman" w:eastAsia="Times New Roman" w:hAnsi="Times New Roman"/>
                <w:bCs w:val="0"/>
                <w:sz w:val="24"/>
                <w:szCs w:val="24"/>
              </w:rPr>
              <w:t>)</w:t>
            </w:r>
          </w:p>
        </w:tc>
        <w:tc>
          <w:tcPr>
            <w:tcW w:w="1684" w:type="pct"/>
            <w:noWrap/>
            <w:hideMark/>
          </w:tcPr>
          <w:p w:rsidR="007F2F9C" w:rsidRPr="00D10C92" w:rsidRDefault="007F2F9C" w:rsidP="00005EAC">
            <w:pPr>
              <w:cnfStyle w:val="100000000000"/>
              <w:rPr>
                <w:rFonts w:ascii="Times New Roman" w:eastAsia="Times New Roman" w:hAnsi="Times New Roman"/>
                <w:bCs w:val="0"/>
                <w:sz w:val="24"/>
                <w:szCs w:val="24"/>
              </w:rPr>
            </w:pPr>
            <w:r w:rsidRPr="00D10C92">
              <w:rPr>
                <w:rFonts w:ascii="Times New Roman" w:eastAsia="Times New Roman" w:hAnsi="Times New Roman"/>
                <w:bCs w:val="0"/>
                <w:sz w:val="24"/>
                <w:szCs w:val="24"/>
              </w:rPr>
              <w:t>Development (million m</w:t>
            </w:r>
            <w:r w:rsidRPr="00D10C92">
              <w:rPr>
                <w:rFonts w:ascii="Times New Roman" w:eastAsia="Times New Roman" w:hAnsi="Times New Roman"/>
                <w:bCs w:val="0"/>
                <w:sz w:val="24"/>
                <w:szCs w:val="24"/>
                <w:vertAlign w:val="superscript"/>
              </w:rPr>
              <w:t>3</w:t>
            </w:r>
            <w:r w:rsidRPr="00D10C92">
              <w:rPr>
                <w:rFonts w:ascii="Times New Roman" w:eastAsia="Times New Roman" w:hAnsi="Times New Roman"/>
                <w:bCs w:val="0"/>
                <w:sz w:val="24"/>
                <w:szCs w:val="24"/>
              </w:rPr>
              <w:t>)</w:t>
            </w:r>
          </w:p>
        </w:tc>
        <w:tc>
          <w:tcPr>
            <w:tcW w:w="1144" w:type="pct"/>
            <w:noWrap/>
            <w:hideMark/>
          </w:tcPr>
          <w:p w:rsidR="007F2F9C" w:rsidRPr="00D10C92" w:rsidRDefault="007F2F9C" w:rsidP="00005EAC">
            <w:pPr>
              <w:cnfStyle w:val="100000000000"/>
              <w:rPr>
                <w:rFonts w:ascii="Times New Roman" w:eastAsia="Times New Roman" w:hAnsi="Times New Roman"/>
                <w:bCs w:val="0"/>
                <w:sz w:val="24"/>
                <w:szCs w:val="24"/>
              </w:rPr>
            </w:pPr>
            <w:r w:rsidRPr="00D10C92">
              <w:rPr>
                <w:rFonts w:ascii="Times New Roman" w:eastAsia="Times New Roman" w:hAnsi="Times New Roman"/>
                <w:bCs w:val="0"/>
                <w:sz w:val="24"/>
                <w:szCs w:val="24"/>
              </w:rPr>
              <w:t>Total (million m</w:t>
            </w:r>
            <w:r w:rsidRPr="00D10C92">
              <w:rPr>
                <w:rFonts w:ascii="Times New Roman" w:eastAsia="Times New Roman" w:hAnsi="Times New Roman"/>
                <w:bCs w:val="0"/>
                <w:sz w:val="24"/>
                <w:szCs w:val="24"/>
                <w:vertAlign w:val="superscript"/>
              </w:rPr>
              <w:t>3</w:t>
            </w:r>
            <w:r w:rsidRPr="00D10C92">
              <w:rPr>
                <w:rFonts w:ascii="Times New Roman" w:eastAsia="Times New Roman" w:hAnsi="Times New Roman"/>
                <w:bCs w:val="0"/>
                <w:sz w:val="24"/>
                <w:szCs w:val="24"/>
              </w:rPr>
              <w:t>)</w:t>
            </w:r>
          </w:p>
        </w:tc>
      </w:tr>
      <w:tr w:rsidR="009B44EC" w:rsidRPr="004D0CD9" w:rsidTr="004D0CD9">
        <w:trPr>
          <w:cnfStyle w:val="000000100000"/>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w:t>
            </w:r>
            <w:r w:rsidR="007F2F9C" w:rsidRPr="004D0CD9">
              <w:rPr>
                <w:rFonts w:ascii="Times New Roman" w:eastAsia="Times New Roman" w:hAnsi="Times New Roman"/>
                <w:sz w:val="24"/>
                <w:szCs w:val="24"/>
              </w:rPr>
              <w:t>06</w:t>
            </w:r>
          </w:p>
        </w:tc>
        <w:tc>
          <w:tcPr>
            <w:tcW w:w="1645"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2.23</w:t>
            </w:r>
          </w:p>
        </w:tc>
        <w:tc>
          <w:tcPr>
            <w:tcW w:w="168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4.249</w:t>
            </w:r>
          </w:p>
        </w:tc>
        <w:tc>
          <w:tcPr>
            <w:tcW w:w="114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6.479</w:t>
            </w:r>
          </w:p>
        </w:tc>
      </w:tr>
      <w:tr w:rsidR="009B44EC" w:rsidRPr="004D0CD9" w:rsidTr="004D0CD9">
        <w:trPr>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w:t>
            </w:r>
            <w:r w:rsidR="007F2F9C" w:rsidRPr="004D0CD9">
              <w:rPr>
                <w:rFonts w:ascii="Times New Roman" w:eastAsia="Times New Roman" w:hAnsi="Times New Roman"/>
                <w:sz w:val="24"/>
                <w:szCs w:val="24"/>
              </w:rPr>
              <w:t>07</w:t>
            </w:r>
          </w:p>
        </w:tc>
        <w:tc>
          <w:tcPr>
            <w:tcW w:w="1645"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2.042</w:t>
            </w:r>
          </w:p>
        </w:tc>
        <w:tc>
          <w:tcPr>
            <w:tcW w:w="168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1.628</w:t>
            </w:r>
          </w:p>
        </w:tc>
        <w:tc>
          <w:tcPr>
            <w:tcW w:w="114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3.67</w:t>
            </w:r>
          </w:p>
        </w:tc>
      </w:tr>
      <w:tr w:rsidR="009B44EC" w:rsidRPr="004D0CD9" w:rsidTr="004D0CD9">
        <w:trPr>
          <w:cnfStyle w:val="000000100000"/>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FY200</w:t>
            </w:r>
            <w:r w:rsidR="007F2F9C" w:rsidRPr="004D0CD9">
              <w:rPr>
                <w:rFonts w:ascii="Times New Roman" w:eastAsia="Times New Roman" w:hAnsi="Times New Roman"/>
                <w:sz w:val="24"/>
                <w:szCs w:val="24"/>
              </w:rPr>
              <w:t>8</w:t>
            </w:r>
          </w:p>
        </w:tc>
        <w:tc>
          <w:tcPr>
            <w:tcW w:w="1645"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1.407</w:t>
            </w:r>
          </w:p>
        </w:tc>
        <w:tc>
          <w:tcPr>
            <w:tcW w:w="168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1.718</w:t>
            </w:r>
          </w:p>
        </w:tc>
        <w:tc>
          <w:tcPr>
            <w:tcW w:w="114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3.125</w:t>
            </w:r>
          </w:p>
        </w:tc>
      </w:tr>
      <w:tr w:rsidR="009B44EC" w:rsidRPr="004D0CD9" w:rsidTr="004D0CD9">
        <w:trPr>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FY200</w:t>
            </w:r>
            <w:r w:rsidR="007F2F9C" w:rsidRPr="004D0CD9">
              <w:rPr>
                <w:rFonts w:ascii="Times New Roman" w:eastAsia="Times New Roman" w:hAnsi="Times New Roman"/>
                <w:sz w:val="24"/>
                <w:szCs w:val="24"/>
              </w:rPr>
              <w:t>9</w:t>
            </w:r>
          </w:p>
        </w:tc>
        <w:tc>
          <w:tcPr>
            <w:tcW w:w="1645"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2.335</w:t>
            </w:r>
          </w:p>
        </w:tc>
        <w:tc>
          <w:tcPr>
            <w:tcW w:w="168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0.911</w:t>
            </w:r>
          </w:p>
        </w:tc>
        <w:tc>
          <w:tcPr>
            <w:tcW w:w="114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3.246</w:t>
            </w:r>
          </w:p>
        </w:tc>
      </w:tr>
      <w:tr w:rsidR="009B44EC" w:rsidRPr="004D0CD9" w:rsidTr="004D0CD9">
        <w:trPr>
          <w:cnfStyle w:val="000000100000"/>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w:t>
            </w:r>
            <w:r w:rsidR="007F2F9C" w:rsidRPr="004D0CD9">
              <w:rPr>
                <w:rFonts w:ascii="Times New Roman" w:eastAsia="Times New Roman" w:hAnsi="Times New Roman"/>
                <w:sz w:val="24"/>
                <w:szCs w:val="24"/>
              </w:rPr>
              <w:t>10</w:t>
            </w:r>
          </w:p>
        </w:tc>
        <w:tc>
          <w:tcPr>
            <w:tcW w:w="1645"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3.492</w:t>
            </w:r>
          </w:p>
        </w:tc>
        <w:tc>
          <w:tcPr>
            <w:tcW w:w="168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0.504</w:t>
            </w:r>
          </w:p>
        </w:tc>
        <w:tc>
          <w:tcPr>
            <w:tcW w:w="114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3.996</w:t>
            </w:r>
          </w:p>
        </w:tc>
      </w:tr>
      <w:tr w:rsidR="009B44EC" w:rsidRPr="004D0CD9" w:rsidTr="004D0CD9">
        <w:trPr>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w:t>
            </w:r>
            <w:r w:rsidR="007F2F9C" w:rsidRPr="004D0CD9">
              <w:rPr>
                <w:rFonts w:ascii="Times New Roman" w:eastAsia="Times New Roman" w:hAnsi="Times New Roman"/>
                <w:sz w:val="24"/>
                <w:szCs w:val="24"/>
              </w:rPr>
              <w:t>11</w:t>
            </w:r>
          </w:p>
        </w:tc>
        <w:tc>
          <w:tcPr>
            <w:tcW w:w="1645"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4.016</w:t>
            </w:r>
          </w:p>
        </w:tc>
        <w:tc>
          <w:tcPr>
            <w:tcW w:w="168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2.554</w:t>
            </w:r>
          </w:p>
        </w:tc>
        <w:tc>
          <w:tcPr>
            <w:tcW w:w="114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6.57</w:t>
            </w:r>
          </w:p>
        </w:tc>
      </w:tr>
      <w:tr w:rsidR="009B44EC" w:rsidRPr="004D0CD9" w:rsidTr="004D0CD9">
        <w:trPr>
          <w:cnfStyle w:val="000000100000"/>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w:t>
            </w:r>
            <w:r w:rsidR="007F2F9C" w:rsidRPr="004D0CD9">
              <w:rPr>
                <w:rFonts w:ascii="Times New Roman" w:eastAsia="Times New Roman" w:hAnsi="Times New Roman"/>
                <w:sz w:val="24"/>
                <w:szCs w:val="24"/>
              </w:rPr>
              <w:t>12</w:t>
            </w:r>
          </w:p>
        </w:tc>
        <w:tc>
          <w:tcPr>
            <w:tcW w:w="1645"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4.361</w:t>
            </w:r>
          </w:p>
        </w:tc>
        <w:tc>
          <w:tcPr>
            <w:tcW w:w="168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2.447</w:t>
            </w:r>
          </w:p>
        </w:tc>
        <w:tc>
          <w:tcPr>
            <w:tcW w:w="114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6.808</w:t>
            </w:r>
          </w:p>
        </w:tc>
      </w:tr>
      <w:tr w:rsidR="009B44EC" w:rsidRPr="004D0CD9" w:rsidTr="004D0CD9">
        <w:trPr>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FY201</w:t>
            </w:r>
            <w:r w:rsidR="007F2F9C" w:rsidRPr="004D0CD9">
              <w:rPr>
                <w:rFonts w:ascii="Times New Roman" w:eastAsia="Times New Roman" w:hAnsi="Times New Roman"/>
                <w:sz w:val="24"/>
                <w:szCs w:val="24"/>
              </w:rPr>
              <w:t>3</w:t>
            </w:r>
          </w:p>
        </w:tc>
        <w:tc>
          <w:tcPr>
            <w:tcW w:w="1645"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4.465</w:t>
            </w:r>
          </w:p>
        </w:tc>
        <w:tc>
          <w:tcPr>
            <w:tcW w:w="168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5.603</w:t>
            </w:r>
          </w:p>
        </w:tc>
        <w:tc>
          <w:tcPr>
            <w:tcW w:w="114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10.068</w:t>
            </w:r>
          </w:p>
        </w:tc>
      </w:tr>
      <w:tr w:rsidR="009B44EC" w:rsidRPr="004D0CD9" w:rsidTr="004D0CD9">
        <w:trPr>
          <w:cnfStyle w:val="000000100000"/>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w:t>
            </w:r>
            <w:r w:rsidR="007F2F9C" w:rsidRPr="004D0CD9">
              <w:rPr>
                <w:rFonts w:ascii="Times New Roman" w:eastAsia="Times New Roman" w:hAnsi="Times New Roman"/>
                <w:sz w:val="24"/>
                <w:szCs w:val="24"/>
              </w:rPr>
              <w:t>14</w:t>
            </w:r>
          </w:p>
        </w:tc>
        <w:tc>
          <w:tcPr>
            <w:tcW w:w="1645"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5.79</w:t>
            </w:r>
          </w:p>
        </w:tc>
        <w:tc>
          <w:tcPr>
            <w:tcW w:w="168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4.702</w:t>
            </w:r>
          </w:p>
        </w:tc>
        <w:tc>
          <w:tcPr>
            <w:tcW w:w="1144" w:type="pct"/>
            <w:noWrap/>
            <w:hideMark/>
          </w:tcPr>
          <w:p w:rsidR="007F2F9C" w:rsidRPr="004D0CD9" w:rsidRDefault="007F2F9C" w:rsidP="00005EAC">
            <w:pPr>
              <w:spacing w:after="0" w:line="240" w:lineRule="auto"/>
              <w:jc w:val="right"/>
              <w:cnfStyle w:val="000000100000"/>
              <w:rPr>
                <w:rFonts w:ascii="Times New Roman" w:eastAsia="Times New Roman" w:hAnsi="Times New Roman"/>
                <w:sz w:val="24"/>
                <w:szCs w:val="24"/>
              </w:rPr>
            </w:pPr>
            <w:r w:rsidRPr="004D0CD9">
              <w:rPr>
                <w:rFonts w:ascii="Times New Roman" w:eastAsia="Times New Roman" w:hAnsi="Times New Roman"/>
                <w:sz w:val="24"/>
                <w:szCs w:val="24"/>
              </w:rPr>
              <w:t>10.492</w:t>
            </w:r>
          </w:p>
        </w:tc>
      </w:tr>
      <w:tr w:rsidR="009B44EC" w:rsidRPr="004D0CD9" w:rsidTr="004D0CD9">
        <w:trPr>
          <w:trHeight w:hRule="exact" w:val="360"/>
        </w:trPr>
        <w:tc>
          <w:tcPr>
            <w:cnfStyle w:val="001000000000"/>
            <w:tcW w:w="527" w:type="pct"/>
            <w:noWrap/>
            <w:hideMark/>
          </w:tcPr>
          <w:p w:rsidR="007F2F9C" w:rsidRPr="004D0CD9" w:rsidRDefault="009B44EC" w:rsidP="00005EAC">
            <w:pPr>
              <w:spacing w:after="0" w:line="240" w:lineRule="auto"/>
              <w:jc w:val="center"/>
              <w:rPr>
                <w:rFonts w:ascii="Times New Roman" w:eastAsia="Times New Roman" w:hAnsi="Times New Roman"/>
                <w:sz w:val="24"/>
                <w:szCs w:val="24"/>
              </w:rPr>
            </w:pPr>
            <w:r w:rsidRPr="004D0CD9">
              <w:rPr>
                <w:rFonts w:ascii="Times New Roman" w:eastAsia="Times New Roman" w:hAnsi="Times New Roman"/>
                <w:sz w:val="24"/>
                <w:szCs w:val="24"/>
              </w:rPr>
              <w:t>FY201</w:t>
            </w:r>
            <w:r w:rsidR="007F2F9C" w:rsidRPr="004D0CD9">
              <w:rPr>
                <w:rFonts w:ascii="Times New Roman" w:eastAsia="Times New Roman" w:hAnsi="Times New Roman"/>
                <w:sz w:val="24"/>
                <w:szCs w:val="24"/>
              </w:rPr>
              <w:t>5</w:t>
            </w:r>
          </w:p>
        </w:tc>
        <w:tc>
          <w:tcPr>
            <w:tcW w:w="1645"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5.077</w:t>
            </w:r>
          </w:p>
        </w:tc>
        <w:tc>
          <w:tcPr>
            <w:tcW w:w="168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12.015</w:t>
            </w:r>
          </w:p>
        </w:tc>
        <w:tc>
          <w:tcPr>
            <w:tcW w:w="1144" w:type="pct"/>
            <w:noWrap/>
            <w:hideMark/>
          </w:tcPr>
          <w:p w:rsidR="007F2F9C" w:rsidRPr="004D0CD9" w:rsidRDefault="007F2F9C" w:rsidP="00005EAC">
            <w:pPr>
              <w:spacing w:after="0" w:line="240" w:lineRule="auto"/>
              <w:jc w:val="right"/>
              <w:cnfStyle w:val="000000000000"/>
              <w:rPr>
                <w:rFonts w:ascii="Times New Roman" w:eastAsia="Times New Roman" w:hAnsi="Times New Roman"/>
                <w:sz w:val="24"/>
                <w:szCs w:val="24"/>
              </w:rPr>
            </w:pPr>
            <w:r w:rsidRPr="004D0CD9">
              <w:rPr>
                <w:rFonts w:ascii="Times New Roman" w:eastAsia="Times New Roman" w:hAnsi="Times New Roman"/>
                <w:sz w:val="24"/>
                <w:szCs w:val="24"/>
              </w:rPr>
              <w:t>17.092</w:t>
            </w:r>
          </w:p>
        </w:tc>
      </w:tr>
    </w:tbl>
    <w:p w:rsidR="007F2F9C" w:rsidRDefault="007F2F9C" w:rsidP="00005EAC">
      <w:pPr>
        <w:spacing w:before="120" w:after="0" w:line="360" w:lineRule="auto"/>
        <w:rPr>
          <w:rFonts w:cs="Times New Roman"/>
          <w:b/>
          <w:bCs/>
          <w:i/>
          <w:iCs/>
          <w:sz w:val="20"/>
          <w:szCs w:val="20"/>
        </w:rPr>
      </w:pPr>
      <w:r w:rsidRPr="00EF35C5">
        <w:rPr>
          <w:rFonts w:cs="Times New Roman"/>
          <w:b/>
          <w:bCs/>
          <w:i/>
          <w:iCs/>
          <w:sz w:val="20"/>
          <w:szCs w:val="20"/>
        </w:rPr>
        <w:t>Source: Dredging Department, BIWTA</w:t>
      </w:r>
      <w:r w:rsidR="003251D0">
        <w:rPr>
          <w:rFonts w:cs="Times New Roman"/>
          <w:b/>
          <w:bCs/>
          <w:i/>
          <w:iCs/>
          <w:sz w:val="20"/>
          <w:szCs w:val="20"/>
        </w:rPr>
        <w:t xml:space="preserve"> &amp; </w:t>
      </w:r>
      <w:r w:rsidR="00F64A6A" w:rsidRPr="00F64A6A">
        <w:rPr>
          <w:rFonts w:cs="Tahoma"/>
          <w:b/>
          <w:i/>
          <w:color w:val="000000"/>
          <w:sz w:val="20"/>
          <w:szCs w:val="20"/>
        </w:rPr>
        <w:t>BWDB</w:t>
      </w:r>
    </w:p>
    <w:p w:rsidR="007F2F9C" w:rsidRPr="00EF35C5" w:rsidRDefault="007F2F9C" w:rsidP="00005EAC">
      <w:pPr>
        <w:spacing w:after="0" w:line="360" w:lineRule="auto"/>
        <w:rPr>
          <w:rFonts w:cs="Times New Roman"/>
          <w:b/>
          <w:bCs/>
          <w:i/>
          <w:iCs/>
          <w:sz w:val="6"/>
          <w:szCs w:val="6"/>
        </w:rPr>
      </w:pPr>
    </w:p>
    <w:p w:rsidR="007F2F9C" w:rsidRDefault="007F2F9C" w:rsidP="00587FBE">
      <w:pPr>
        <w:spacing w:after="0" w:line="276" w:lineRule="auto"/>
        <w:jc w:val="both"/>
        <w:rPr>
          <w:rFonts w:cs="Times New Roman"/>
          <w:szCs w:val="24"/>
        </w:rPr>
      </w:pPr>
      <w:r w:rsidRPr="00924255">
        <w:rPr>
          <w:rFonts w:cs="Times New Roman"/>
          <w:szCs w:val="24"/>
        </w:rPr>
        <w:t>According to BIWTA, the dredging works carried out under different schemes included the dredging of  the Padma, the Meghna, the Buriganga, the Sitalakha, the Balu, the Kumar, the Upper Kumar, the Lower Kumar, the Arialkha, the Sandha, the Shaheber Khal, and the dredging of the Modhumoti and the Goumati rivers.</w:t>
      </w:r>
      <w:r>
        <w:rPr>
          <w:rFonts w:cs="Times New Roman"/>
          <w:szCs w:val="24"/>
        </w:rPr>
        <w:t xml:space="preserve"> </w:t>
      </w:r>
      <w:r w:rsidRPr="00924255">
        <w:rPr>
          <w:rFonts w:cs="Times New Roman"/>
          <w:szCs w:val="24"/>
        </w:rPr>
        <w:t>Furthermore, BIWTA is also involved in the dredging of ferry routes across the rivers between two road-heads. In fact, the ferry (loaded with vehicles) operation across the rivers between two road heads is the responsibility of the Roads and Highway Department. But considering the complicated navigational conditions ferry operations in the following routes have become the responsibility of the Ministry of Shipping:</w:t>
      </w:r>
    </w:p>
    <w:p w:rsidR="007F2F9C" w:rsidRPr="003A3758" w:rsidRDefault="007F2F9C" w:rsidP="00005EAC">
      <w:pPr>
        <w:spacing w:after="0"/>
        <w:jc w:val="both"/>
        <w:rPr>
          <w:rFonts w:cs="Times New Roman"/>
          <w:sz w:val="12"/>
          <w:szCs w:val="12"/>
        </w:rPr>
      </w:pPr>
    </w:p>
    <w:p w:rsidR="007F2F9C" w:rsidRPr="00924255" w:rsidRDefault="007F2F9C" w:rsidP="00587FBE">
      <w:pPr>
        <w:spacing w:after="120"/>
        <w:ind w:left="360" w:hanging="360"/>
        <w:jc w:val="both"/>
        <w:rPr>
          <w:rFonts w:cs="Times New Roman"/>
          <w:szCs w:val="24"/>
        </w:rPr>
      </w:pPr>
      <w:r w:rsidRPr="00924255">
        <w:rPr>
          <w:rFonts w:cs="Times New Roman"/>
          <w:szCs w:val="24"/>
        </w:rPr>
        <w:t>i) Paturia-Daulatdia-Kazirhat,</w:t>
      </w:r>
    </w:p>
    <w:p w:rsidR="007F2F9C" w:rsidRPr="00924255" w:rsidRDefault="007F2F9C" w:rsidP="00587FBE">
      <w:pPr>
        <w:spacing w:after="120"/>
        <w:ind w:left="360" w:hanging="360"/>
        <w:jc w:val="both"/>
        <w:rPr>
          <w:rFonts w:cs="Times New Roman"/>
          <w:szCs w:val="24"/>
        </w:rPr>
      </w:pPr>
      <w:r w:rsidRPr="00924255">
        <w:rPr>
          <w:rFonts w:cs="Times New Roman"/>
          <w:szCs w:val="24"/>
        </w:rPr>
        <w:t>ii) Mawa-Charjanajat-Kathalbari,</w:t>
      </w:r>
    </w:p>
    <w:p w:rsidR="007F2F9C" w:rsidRPr="00924255" w:rsidRDefault="007F2F9C" w:rsidP="00587FBE">
      <w:pPr>
        <w:spacing w:after="120"/>
        <w:ind w:left="360" w:hanging="360"/>
        <w:jc w:val="both"/>
        <w:rPr>
          <w:rFonts w:cs="Times New Roman"/>
          <w:szCs w:val="24"/>
        </w:rPr>
      </w:pPr>
      <w:r w:rsidRPr="00924255">
        <w:rPr>
          <w:rFonts w:cs="Times New Roman"/>
          <w:szCs w:val="24"/>
        </w:rPr>
        <w:t>iii) Harinaghat-alubazar, and</w:t>
      </w:r>
    </w:p>
    <w:p w:rsidR="007F2F9C" w:rsidRPr="00924255" w:rsidRDefault="007F2F9C" w:rsidP="00587FBE">
      <w:pPr>
        <w:spacing w:after="120"/>
        <w:ind w:left="360" w:hanging="360"/>
        <w:jc w:val="both"/>
        <w:rPr>
          <w:rFonts w:cs="Times New Roman"/>
          <w:szCs w:val="24"/>
        </w:rPr>
      </w:pPr>
      <w:r w:rsidRPr="00924255">
        <w:rPr>
          <w:rFonts w:cs="Times New Roman"/>
          <w:szCs w:val="24"/>
        </w:rPr>
        <w:t>iv) Bhola-Laxmipur.</w:t>
      </w:r>
    </w:p>
    <w:p w:rsidR="007F2F9C" w:rsidRPr="003A3758" w:rsidRDefault="007F2F9C" w:rsidP="00005EAC">
      <w:pPr>
        <w:spacing w:after="120"/>
        <w:jc w:val="both"/>
        <w:rPr>
          <w:rFonts w:cs="Times New Roman"/>
          <w:sz w:val="2"/>
          <w:szCs w:val="2"/>
        </w:rPr>
      </w:pPr>
    </w:p>
    <w:p w:rsidR="007F2F9C" w:rsidRPr="00924255" w:rsidRDefault="007F2F9C" w:rsidP="006E2190">
      <w:pPr>
        <w:spacing w:after="0" w:line="276" w:lineRule="auto"/>
        <w:jc w:val="both"/>
        <w:rPr>
          <w:rFonts w:cs="Times New Roman"/>
          <w:szCs w:val="24"/>
        </w:rPr>
      </w:pPr>
      <w:r w:rsidRPr="00924255">
        <w:rPr>
          <w:rFonts w:cs="Times New Roman"/>
          <w:szCs w:val="24"/>
        </w:rPr>
        <w:t>BIWTA is responsible for maintaining navigability of the route and for maintaining embarkation/ disembark facilities for vehicles while operation of such ferry is the responsibility of BIWTC.</w:t>
      </w:r>
    </w:p>
    <w:p w:rsidR="007F2F9C" w:rsidRDefault="007F2F9C" w:rsidP="005A3CDE">
      <w:pPr>
        <w:spacing w:line="276" w:lineRule="auto"/>
        <w:jc w:val="both"/>
        <w:rPr>
          <w:rFonts w:cs="Times New Roman"/>
          <w:szCs w:val="24"/>
        </w:rPr>
      </w:pPr>
      <w:r>
        <w:rPr>
          <w:rFonts w:cs="Times New Roman"/>
          <w:szCs w:val="24"/>
        </w:rPr>
        <w:t xml:space="preserve">Table </w:t>
      </w:r>
      <w:r w:rsidR="006F301A">
        <w:rPr>
          <w:rFonts w:cs="Times New Roman"/>
          <w:szCs w:val="24"/>
        </w:rPr>
        <w:t>9.</w:t>
      </w:r>
      <w:r w:rsidR="00857188">
        <w:rPr>
          <w:rFonts w:cs="Times New Roman"/>
          <w:szCs w:val="24"/>
        </w:rPr>
        <w:t>18</w:t>
      </w:r>
      <w:r w:rsidRPr="00924255">
        <w:rPr>
          <w:rFonts w:cs="Times New Roman"/>
          <w:szCs w:val="24"/>
        </w:rPr>
        <w:t xml:space="preserve"> illustrates the dredging (maintenance) volume in priority ferry routes.</w:t>
      </w:r>
    </w:p>
    <w:p w:rsidR="005A3CDE" w:rsidRDefault="005A3CDE">
      <w:pPr>
        <w:rPr>
          <w:rFonts w:cs="Times New Roman"/>
          <w:b/>
          <w:bCs/>
          <w:szCs w:val="24"/>
        </w:rPr>
      </w:pPr>
    </w:p>
    <w:p w:rsidR="007F2F9C" w:rsidRPr="00924255" w:rsidRDefault="007F2F9C" w:rsidP="0036657D">
      <w:pPr>
        <w:pStyle w:val="Heading4"/>
      </w:pPr>
      <w:bookmarkStart w:id="698" w:name="_Toc474639084"/>
      <w:r>
        <w:t xml:space="preserve">Table </w:t>
      </w:r>
      <w:r w:rsidR="006F301A">
        <w:t>9.</w:t>
      </w:r>
      <w:r w:rsidR="00857188">
        <w:t>18</w:t>
      </w:r>
      <w:r w:rsidRPr="00924255">
        <w:t>: Dredging Volume in the Ferry Routes</w:t>
      </w:r>
      <w:bookmarkEnd w:id="698"/>
    </w:p>
    <w:tbl>
      <w:tblPr>
        <w:tblStyle w:val="LightShading10"/>
        <w:tblW w:w="5000" w:type="pct"/>
        <w:tblLook w:val="04A0"/>
      </w:tblPr>
      <w:tblGrid>
        <w:gridCol w:w="2268"/>
        <w:gridCol w:w="2700"/>
        <w:gridCol w:w="4608"/>
      </w:tblGrid>
      <w:tr w:rsidR="007F2F9C" w:rsidRPr="004D0CD9" w:rsidTr="004D0CD9">
        <w:trPr>
          <w:cnfStyle w:val="100000000000"/>
          <w:trHeight w:val="432"/>
        </w:trPr>
        <w:tc>
          <w:tcPr>
            <w:cnfStyle w:val="001000000000"/>
            <w:tcW w:w="1184" w:type="pct"/>
          </w:tcPr>
          <w:p w:rsidR="007F2F9C" w:rsidRPr="00D10C92" w:rsidRDefault="007F2F9C" w:rsidP="00D10C92">
            <w:pPr>
              <w:spacing w:line="276" w:lineRule="auto"/>
              <w:rPr>
                <w:rFonts w:ascii="Times New Roman" w:hAnsi="Times New Roman"/>
                <w:sz w:val="24"/>
                <w:szCs w:val="24"/>
              </w:rPr>
            </w:pPr>
            <w:r w:rsidRPr="00D10C92">
              <w:rPr>
                <w:rFonts w:ascii="Times New Roman" w:hAnsi="Times New Roman"/>
                <w:sz w:val="24"/>
                <w:szCs w:val="24"/>
              </w:rPr>
              <w:t>Year</w:t>
            </w:r>
          </w:p>
        </w:tc>
        <w:tc>
          <w:tcPr>
            <w:tcW w:w="1410" w:type="pct"/>
          </w:tcPr>
          <w:p w:rsidR="007F2F9C" w:rsidRPr="00D10C92" w:rsidRDefault="007F2F9C" w:rsidP="000C29E6">
            <w:pPr>
              <w:spacing w:line="276" w:lineRule="auto"/>
              <w:jc w:val="center"/>
              <w:cnfStyle w:val="100000000000"/>
              <w:rPr>
                <w:rFonts w:ascii="Times New Roman" w:hAnsi="Times New Roman"/>
                <w:sz w:val="24"/>
                <w:szCs w:val="24"/>
              </w:rPr>
            </w:pPr>
            <w:r w:rsidRPr="00D10C92">
              <w:rPr>
                <w:rFonts w:ascii="Times New Roman" w:hAnsi="Times New Roman"/>
                <w:sz w:val="24"/>
                <w:szCs w:val="24"/>
              </w:rPr>
              <w:t>Volume</w:t>
            </w:r>
            <w:r w:rsidR="00FD072E" w:rsidRPr="00D10C92">
              <w:rPr>
                <w:rFonts w:ascii="Times New Roman" w:hAnsi="Times New Roman"/>
                <w:sz w:val="24"/>
                <w:szCs w:val="24"/>
              </w:rPr>
              <w:t xml:space="preserve"> (million </w:t>
            </w:r>
            <w:r w:rsidR="00FD072E" w:rsidRPr="00D10C92">
              <w:rPr>
                <w:rFonts w:ascii="Times New Roman" w:hAnsi="Times New Roman"/>
                <w:sz w:val="24"/>
              </w:rPr>
              <w:t>m³)</w:t>
            </w:r>
          </w:p>
        </w:tc>
        <w:tc>
          <w:tcPr>
            <w:tcW w:w="2406" w:type="pct"/>
          </w:tcPr>
          <w:p w:rsidR="007F2F9C" w:rsidRPr="00D10C92" w:rsidRDefault="007F2F9C" w:rsidP="000C29E6">
            <w:pPr>
              <w:spacing w:line="276" w:lineRule="auto"/>
              <w:jc w:val="center"/>
              <w:cnfStyle w:val="100000000000"/>
              <w:rPr>
                <w:rFonts w:ascii="Times New Roman" w:hAnsi="Times New Roman"/>
                <w:sz w:val="24"/>
                <w:szCs w:val="24"/>
              </w:rPr>
            </w:pPr>
            <w:r w:rsidRPr="00D10C92">
              <w:rPr>
                <w:rFonts w:ascii="Times New Roman" w:hAnsi="Times New Roman"/>
                <w:sz w:val="24"/>
                <w:szCs w:val="24"/>
              </w:rPr>
              <w:t>Percentage of total maintenance Dredging</w:t>
            </w:r>
          </w:p>
        </w:tc>
      </w:tr>
      <w:tr w:rsidR="007F2F9C" w:rsidRPr="004D0CD9" w:rsidTr="004D0CD9">
        <w:trPr>
          <w:cnfStyle w:val="000000100000"/>
          <w:trHeight w:val="432"/>
        </w:trPr>
        <w:tc>
          <w:tcPr>
            <w:cnfStyle w:val="001000000000"/>
            <w:tcW w:w="1184" w:type="pct"/>
          </w:tcPr>
          <w:p w:rsidR="007F2F9C" w:rsidRPr="004D0CD9" w:rsidRDefault="00836B53" w:rsidP="000C29E6">
            <w:pPr>
              <w:spacing w:after="0" w:line="276" w:lineRule="auto"/>
              <w:rPr>
                <w:rFonts w:ascii="Times New Roman" w:hAnsi="Times New Roman"/>
                <w:bCs w:val="0"/>
                <w:sz w:val="24"/>
                <w:szCs w:val="24"/>
              </w:rPr>
            </w:pPr>
            <w:r w:rsidRPr="004D0CD9">
              <w:rPr>
                <w:rFonts w:ascii="Times New Roman" w:hAnsi="Times New Roman"/>
                <w:bCs w:val="0"/>
                <w:sz w:val="24"/>
                <w:szCs w:val="24"/>
              </w:rPr>
              <w:t>FY20</w:t>
            </w:r>
            <w:r w:rsidR="007F2F9C" w:rsidRPr="004D0CD9">
              <w:rPr>
                <w:rFonts w:ascii="Times New Roman" w:hAnsi="Times New Roman"/>
                <w:bCs w:val="0"/>
                <w:sz w:val="24"/>
                <w:szCs w:val="24"/>
              </w:rPr>
              <w:t>10</w:t>
            </w:r>
          </w:p>
        </w:tc>
        <w:tc>
          <w:tcPr>
            <w:tcW w:w="1410" w:type="pct"/>
          </w:tcPr>
          <w:p w:rsidR="007F2F9C" w:rsidRPr="004D0CD9" w:rsidRDefault="007F2F9C" w:rsidP="000C29E6">
            <w:pPr>
              <w:spacing w:after="0" w:line="276" w:lineRule="auto"/>
              <w:jc w:val="center"/>
              <w:cnfStyle w:val="000000100000"/>
              <w:rPr>
                <w:rFonts w:ascii="Times New Roman" w:hAnsi="Times New Roman"/>
                <w:sz w:val="24"/>
                <w:szCs w:val="24"/>
              </w:rPr>
            </w:pPr>
            <w:r w:rsidRPr="004D0CD9">
              <w:rPr>
                <w:rFonts w:ascii="Times New Roman" w:hAnsi="Times New Roman"/>
                <w:sz w:val="24"/>
                <w:szCs w:val="24"/>
              </w:rPr>
              <w:t>24.13</w:t>
            </w:r>
          </w:p>
        </w:tc>
        <w:tc>
          <w:tcPr>
            <w:tcW w:w="2406" w:type="pct"/>
          </w:tcPr>
          <w:p w:rsidR="007F2F9C" w:rsidRPr="004D0CD9" w:rsidRDefault="007F2F9C" w:rsidP="000C29E6">
            <w:pPr>
              <w:spacing w:after="0" w:line="276" w:lineRule="auto"/>
              <w:jc w:val="center"/>
              <w:cnfStyle w:val="000000100000"/>
              <w:rPr>
                <w:rFonts w:ascii="Times New Roman" w:hAnsi="Times New Roman"/>
                <w:sz w:val="24"/>
                <w:szCs w:val="24"/>
              </w:rPr>
            </w:pPr>
            <w:r w:rsidRPr="004D0CD9">
              <w:rPr>
                <w:rFonts w:ascii="Times New Roman" w:hAnsi="Times New Roman"/>
                <w:sz w:val="24"/>
                <w:szCs w:val="24"/>
              </w:rPr>
              <w:t>60.44</w:t>
            </w:r>
          </w:p>
        </w:tc>
      </w:tr>
      <w:tr w:rsidR="007F2F9C" w:rsidRPr="004D0CD9" w:rsidTr="004D0CD9">
        <w:trPr>
          <w:trHeight w:val="432"/>
        </w:trPr>
        <w:tc>
          <w:tcPr>
            <w:cnfStyle w:val="001000000000"/>
            <w:tcW w:w="1184" w:type="pct"/>
          </w:tcPr>
          <w:p w:rsidR="007F2F9C" w:rsidRPr="004D0CD9" w:rsidRDefault="00836B53" w:rsidP="000C29E6">
            <w:pPr>
              <w:spacing w:after="0" w:line="276" w:lineRule="auto"/>
              <w:rPr>
                <w:rFonts w:ascii="Times New Roman" w:hAnsi="Times New Roman"/>
                <w:bCs w:val="0"/>
                <w:sz w:val="24"/>
                <w:szCs w:val="24"/>
              </w:rPr>
            </w:pPr>
            <w:r w:rsidRPr="004D0CD9">
              <w:rPr>
                <w:rFonts w:ascii="Times New Roman" w:hAnsi="Times New Roman"/>
                <w:bCs w:val="0"/>
                <w:sz w:val="24"/>
                <w:szCs w:val="24"/>
              </w:rPr>
              <w:lastRenderedPageBreak/>
              <w:t>FY20</w:t>
            </w:r>
            <w:r w:rsidR="007F2F9C" w:rsidRPr="004D0CD9">
              <w:rPr>
                <w:rFonts w:ascii="Times New Roman" w:hAnsi="Times New Roman"/>
                <w:bCs w:val="0"/>
                <w:sz w:val="24"/>
                <w:szCs w:val="24"/>
              </w:rPr>
              <w:t>11</w:t>
            </w:r>
          </w:p>
        </w:tc>
        <w:tc>
          <w:tcPr>
            <w:tcW w:w="1410" w:type="pct"/>
          </w:tcPr>
          <w:p w:rsidR="007F2F9C" w:rsidRPr="004D0CD9" w:rsidRDefault="007F2F9C" w:rsidP="000C29E6">
            <w:pPr>
              <w:spacing w:after="0" w:line="276" w:lineRule="auto"/>
              <w:jc w:val="center"/>
              <w:cnfStyle w:val="000000000000"/>
              <w:rPr>
                <w:rFonts w:ascii="Times New Roman" w:hAnsi="Times New Roman"/>
                <w:sz w:val="24"/>
                <w:szCs w:val="24"/>
              </w:rPr>
            </w:pPr>
            <w:r w:rsidRPr="004D0CD9">
              <w:rPr>
                <w:rFonts w:ascii="Times New Roman" w:hAnsi="Times New Roman"/>
                <w:sz w:val="24"/>
                <w:szCs w:val="24"/>
              </w:rPr>
              <w:t>32.25</w:t>
            </w:r>
          </w:p>
        </w:tc>
        <w:tc>
          <w:tcPr>
            <w:tcW w:w="2406" w:type="pct"/>
          </w:tcPr>
          <w:p w:rsidR="007F2F9C" w:rsidRPr="004D0CD9" w:rsidRDefault="007F2F9C" w:rsidP="000C29E6">
            <w:pPr>
              <w:spacing w:after="0" w:line="276" w:lineRule="auto"/>
              <w:jc w:val="center"/>
              <w:cnfStyle w:val="000000000000"/>
              <w:rPr>
                <w:rFonts w:ascii="Times New Roman" w:hAnsi="Times New Roman"/>
                <w:sz w:val="24"/>
                <w:szCs w:val="24"/>
              </w:rPr>
            </w:pPr>
            <w:r w:rsidRPr="004D0CD9">
              <w:rPr>
                <w:rFonts w:ascii="Times New Roman" w:hAnsi="Times New Roman"/>
                <w:sz w:val="24"/>
                <w:szCs w:val="24"/>
              </w:rPr>
              <w:t>80.30</w:t>
            </w:r>
          </w:p>
        </w:tc>
      </w:tr>
      <w:tr w:rsidR="007F2F9C" w:rsidRPr="004D0CD9" w:rsidTr="004D0CD9">
        <w:trPr>
          <w:cnfStyle w:val="000000100000"/>
          <w:trHeight w:val="432"/>
        </w:trPr>
        <w:tc>
          <w:tcPr>
            <w:cnfStyle w:val="001000000000"/>
            <w:tcW w:w="1184" w:type="pct"/>
          </w:tcPr>
          <w:p w:rsidR="007F2F9C" w:rsidRPr="004D0CD9" w:rsidRDefault="00836B53" w:rsidP="000C29E6">
            <w:pPr>
              <w:spacing w:after="0" w:line="276" w:lineRule="auto"/>
              <w:rPr>
                <w:rFonts w:ascii="Times New Roman" w:hAnsi="Times New Roman"/>
                <w:bCs w:val="0"/>
                <w:sz w:val="24"/>
                <w:szCs w:val="24"/>
              </w:rPr>
            </w:pPr>
            <w:r w:rsidRPr="004D0CD9">
              <w:rPr>
                <w:rFonts w:ascii="Times New Roman" w:hAnsi="Times New Roman"/>
                <w:bCs w:val="0"/>
                <w:sz w:val="24"/>
                <w:szCs w:val="24"/>
              </w:rPr>
              <w:t>FY20</w:t>
            </w:r>
            <w:r w:rsidR="007F2F9C" w:rsidRPr="004D0CD9">
              <w:rPr>
                <w:rFonts w:ascii="Times New Roman" w:hAnsi="Times New Roman"/>
                <w:bCs w:val="0"/>
                <w:sz w:val="24"/>
                <w:szCs w:val="24"/>
              </w:rPr>
              <w:t>12</w:t>
            </w:r>
          </w:p>
        </w:tc>
        <w:tc>
          <w:tcPr>
            <w:tcW w:w="1410" w:type="pct"/>
          </w:tcPr>
          <w:p w:rsidR="007F2F9C" w:rsidRPr="004D0CD9" w:rsidRDefault="007F2F9C" w:rsidP="000C29E6">
            <w:pPr>
              <w:spacing w:after="0" w:line="276" w:lineRule="auto"/>
              <w:jc w:val="center"/>
              <w:cnfStyle w:val="000000100000"/>
              <w:rPr>
                <w:rFonts w:ascii="Times New Roman" w:hAnsi="Times New Roman"/>
                <w:sz w:val="24"/>
                <w:szCs w:val="24"/>
              </w:rPr>
            </w:pPr>
            <w:r w:rsidRPr="004D0CD9">
              <w:rPr>
                <w:rFonts w:ascii="Times New Roman" w:hAnsi="Times New Roman"/>
                <w:sz w:val="24"/>
                <w:szCs w:val="24"/>
              </w:rPr>
              <w:t>33.28</w:t>
            </w:r>
          </w:p>
        </w:tc>
        <w:tc>
          <w:tcPr>
            <w:tcW w:w="2406" w:type="pct"/>
          </w:tcPr>
          <w:p w:rsidR="007F2F9C" w:rsidRPr="004D0CD9" w:rsidRDefault="007F2F9C" w:rsidP="000C29E6">
            <w:pPr>
              <w:spacing w:after="0" w:line="276" w:lineRule="auto"/>
              <w:jc w:val="center"/>
              <w:cnfStyle w:val="000000100000"/>
              <w:rPr>
                <w:rFonts w:ascii="Times New Roman" w:hAnsi="Times New Roman"/>
                <w:sz w:val="24"/>
                <w:szCs w:val="24"/>
              </w:rPr>
            </w:pPr>
            <w:r w:rsidRPr="004D0CD9">
              <w:rPr>
                <w:rFonts w:ascii="Times New Roman" w:hAnsi="Times New Roman"/>
                <w:sz w:val="24"/>
                <w:szCs w:val="24"/>
              </w:rPr>
              <w:t>48.88</w:t>
            </w:r>
          </w:p>
        </w:tc>
      </w:tr>
      <w:tr w:rsidR="007F2F9C" w:rsidRPr="004D0CD9" w:rsidTr="004D0CD9">
        <w:trPr>
          <w:trHeight w:val="432"/>
        </w:trPr>
        <w:tc>
          <w:tcPr>
            <w:cnfStyle w:val="001000000000"/>
            <w:tcW w:w="1184" w:type="pct"/>
          </w:tcPr>
          <w:p w:rsidR="007F2F9C" w:rsidRPr="004D0CD9" w:rsidRDefault="00836B53" w:rsidP="000C29E6">
            <w:pPr>
              <w:spacing w:after="0" w:line="276" w:lineRule="auto"/>
              <w:rPr>
                <w:rFonts w:ascii="Times New Roman" w:hAnsi="Times New Roman"/>
                <w:bCs w:val="0"/>
                <w:sz w:val="24"/>
                <w:szCs w:val="24"/>
              </w:rPr>
            </w:pPr>
            <w:r w:rsidRPr="004D0CD9">
              <w:rPr>
                <w:rFonts w:ascii="Times New Roman" w:hAnsi="Times New Roman"/>
                <w:bCs w:val="0"/>
                <w:sz w:val="24"/>
                <w:szCs w:val="24"/>
              </w:rPr>
              <w:t>FY20</w:t>
            </w:r>
            <w:r w:rsidR="007F2F9C" w:rsidRPr="004D0CD9">
              <w:rPr>
                <w:rFonts w:ascii="Times New Roman" w:hAnsi="Times New Roman"/>
                <w:bCs w:val="0"/>
                <w:sz w:val="24"/>
                <w:szCs w:val="24"/>
              </w:rPr>
              <w:t>13</w:t>
            </w:r>
          </w:p>
        </w:tc>
        <w:tc>
          <w:tcPr>
            <w:tcW w:w="1410" w:type="pct"/>
          </w:tcPr>
          <w:p w:rsidR="007F2F9C" w:rsidRPr="004D0CD9" w:rsidRDefault="007F2F9C" w:rsidP="000C29E6">
            <w:pPr>
              <w:spacing w:after="0" w:line="276" w:lineRule="auto"/>
              <w:jc w:val="center"/>
              <w:cnfStyle w:val="000000000000"/>
              <w:rPr>
                <w:rFonts w:ascii="Times New Roman" w:hAnsi="Times New Roman"/>
                <w:sz w:val="24"/>
                <w:szCs w:val="24"/>
              </w:rPr>
            </w:pPr>
            <w:r w:rsidRPr="004D0CD9">
              <w:rPr>
                <w:rFonts w:ascii="Times New Roman" w:hAnsi="Times New Roman"/>
                <w:sz w:val="24"/>
                <w:szCs w:val="24"/>
              </w:rPr>
              <w:t>32.86</w:t>
            </w:r>
          </w:p>
        </w:tc>
        <w:tc>
          <w:tcPr>
            <w:tcW w:w="2406" w:type="pct"/>
          </w:tcPr>
          <w:p w:rsidR="007F2F9C" w:rsidRPr="004D0CD9" w:rsidRDefault="007F2F9C" w:rsidP="000C29E6">
            <w:pPr>
              <w:spacing w:after="0" w:line="276" w:lineRule="auto"/>
              <w:jc w:val="center"/>
              <w:cnfStyle w:val="000000000000"/>
              <w:rPr>
                <w:rFonts w:ascii="Times New Roman" w:hAnsi="Times New Roman"/>
                <w:sz w:val="24"/>
                <w:szCs w:val="24"/>
              </w:rPr>
            </w:pPr>
            <w:r w:rsidRPr="004D0CD9">
              <w:rPr>
                <w:rFonts w:ascii="Times New Roman" w:hAnsi="Times New Roman"/>
                <w:sz w:val="24"/>
                <w:szCs w:val="24"/>
              </w:rPr>
              <w:t>32.64</w:t>
            </w:r>
          </w:p>
        </w:tc>
      </w:tr>
      <w:tr w:rsidR="007F2F9C" w:rsidRPr="004D0CD9" w:rsidTr="004D0CD9">
        <w:trPr>
          <w:cnfStyle w:val="000000100000"/>
          <w:trHeight w:val="432"/>
        </w:trPr>
        <w:tc>
          <w:tcPr>
            <w:cnfStyle w:val="001000000000"/>
            <w:tcW w:w="1184" w:type="pct"/>
          </w:tcPr>
          <w:p w:rsidR="007F2F9C" w:rsidRPr="004D0CD9" w:rsidRDefault="00836B53" w:rsidP="000C29E6">
            <w:pPr>
              <w:spacing w:after="0" w:line="276" w:lineRule="auto"/>
              <w:rPr>
                <w:rFonts w:ascii="Times New Roman" w:hAnsi="Times New Roman"/>
                <w:bCs w:val="0"/>
                <w:sz w:val="24"/>
                <w:szCs w:val="24"/>
              </w:rPr>
            </w:pPr>
            <w:r w:rsidRPr="004D0CD9">
              <w:rPr>
                <w:rFonts w:ascii="Times New Roman" w:hAnsi="Times New Roman"/>
                <w:bCs w:val="0"/>
                <w:sz w:val="24"/>
                <w:szCs w:val="24"/>
              </w:rPr>
              <w:t>FY20</w:t>
            </w:r>
            <w:r w:rsidR="007F2F9C" w:rsidRPr="004D0CD9">
              <w:rPr>
                <w:rFonts w:ascii="Times New Roman" w:hAnsi="Times New Roman"/>
                <w:bCs w:val="0"/>
                <w:sz w:val="24"/>
                <w:szCs w:val="24"/>
              </w:rPr>
              <w:t>14</w:t>
            </w:r>
          </w:p>
        </w:tc>
        <w:tc>
          <w:tcPr>
            <w:tcW w:w="1410" w:type="pct"/>
          </w:tcPr>
          <w:p w:rsidR="007F2F9C" w:rsidRPr="004D0CD9" w:rsidRDefault="007F2F9C" w:rsidP="000C29E6">
            <w:pPr>
              <w:spacing w:after="0" w:line="276" w:lineRule="auto"/>
              <w:jc w:val="center"/>
              <w:cnfStyle w:val="000000100000"/>
              <w:rPr>
                <w:rFonts w:ascii="Times New Roman" w:hAnsi="Times New Roman"/>
                <w:sz w:val="24"/>
                <w:szCs w:val="24"/>
              </w:rPr>
            </w:pPr>
            <w:r w:rsidRPr="004D0CD9">
              <w:rPr>
                <w:rFonts w:ascii="Times New Roman" w:hAnsi="Times New Roman"/>
                <w:sz w:val="24"/>
                <w:szCs w:val="24"/>
              </w:rPr>
              <w:t>35.48</w:t>
            </w:r>
          </w:p>
        </w:tc>
        <w:tc>
          <w:tcPr>
            <w:tcW w:w="2406" w:type="pct"/>
          </w:tcPr>
          <w:p w:rsidR="007F2F9C" w:rsidRPr="004D0CD9" w:rsidRDefault="007F2F9C" w:rsidP="000C29E6">
            <w:pPr>
              <w:spacing w:after="0" w:line="276" w:lineRule="auto"/>
              <w:jc w:val="center"/>
              <w:cnfStyle w:val="000000100000"/>
              <w:rPr>
                <w:rFonts w:ascii="Times New Roman" w:hAnsi="Times New Roman"/>
                <w:sz w:val="24"/>
                <w:szCs w:val="24"/>
              </w:rPr>
            </w:pPr>
            <w:r w:rsidRPr="004D0CD9">
              <w:rPr>
                <w:rFonts w:ascii="Times New Roman" w:hAnsi="Times New Roman"/>
                <w:sz w:val="24"/>
                <w:szCs w:val="24"/>
              </w:rPr>
              <w:t>33.82</w:t>
            </w:r>
          </w:p>
        </w:tc>
      </w:tr>
    </w:tbl>
    <w:p w:rsidR="007F2F9C" w:rsidRPr="00EF35C5" w:rsidRDefault="007F2F9C" w:rsidP="006E2190">
      <w:pPr>
        <w:spacing w:before="120"/>
        <w:rPr>
          <w:rFonts w:cs="Times New Roman"/>
          <w:b/>
          <w:bCs/>
          <w:i/>
          <w:iCs/>
          <w:sz w:val="20"/>
          <w:szCs w:val="20"/>
        </w:rPr>
      </w:pPr>
      <w:r w:rsidRPr="00EF35C5">
        <w:rPr>
          <w:rFonts w:cs="Times New Roman"/>
          <w:b/>
          <w:bCs/>
          <w:i/>
          <w:iCs/>
          <w:sz w:val="20"/>
          <w:szCs w:val="20"/>
        </w:rPr>
        <w:t>Source</w:t>
      </w:r>
      <w:r w:rsidRPr="005C1C84">
        <w:rPr>
          <w:rFonts w:cs="Times New Roman"/>
          <w:bCs/>
          <w:i/>
          <w:iCs/>
          <w:sz w:val="20"/>
          <w:szCs w:val="20"/>
        </w:rPr>
        <w:t xml:space="preserve">: </w:t>
      </w:r>
      <w:r w:rsidR="003251D0" w:rsidRPr="005C1C84">
        <w:rPr>
          <w:rFonts w:cs="Times New Roman"/>
          <w:b/>
          <w:i/>
          <w:color w:val="000000"/>
          <w:sz w:val="20"/>
          <w:szCs w:val="20"/>
        </w:rPr>
        <w:t>Compiled from BIWTA data</w:t>
      </w:r>
    </w:p>
    <w:p w:rsidR="007F2F9C" w:rsidRDefault="007F2F9C" w:rsidP="00005EAC">
      <w:pPr>
        <w:spacing w:after="0"/>
        <w:jc w:val="both"/>
        <w:rPr>
          <w:rFonts w:cs="Times New Roman"/>
          <w:szCs w:val="24"/>
        </w:rPr>
      </w:pPr>
      <w:r>
        <w:rPr>
          <w:rFonts w:cs="Times New Roman"/>
          <w:szCs w:val="24"/>
        </w:rPr>
        <w:t>BIWTA has</w:t>
      </w:r>
      <w:r w:rsidRPr="00924255">
        <w:rPr>
          <w:rFonts w:cs="Times New Roman"/>
          <w:szCs w:val="24"/>
        </w:rPr>
        <w:t xml:space="preserve"> undertaken and planned three projects of navigation dredging</w:t>
      </w:r>
      <w:r w:rsidR="00FD072E">
        <w:rPr>
          <w:rFonts w:cs="Times New Roman"/>
          <w:szCs w:val="24"/>
        </w:rPr>
        <w:t xml:space="preserve"> </w:t>
      </w:r>
      <w:r w:rsidR="003251D0">
        <w:rPr>
          <w:rFonts w:cs="Times New Roman"/>
          <w:szCs w:val="24"/>
        </w:rPr>
        <w:t>as follows</w:t>
      </w:r>
      <w:r w:rsidRPr="00924255">
        <w:rPr>
          <w:rFonts w:cs="Times New Roman"/>
          <w:szCs w:val="24"/>
        </w:rPr>
        <w:t>:</w:t>
      </w:r>
    </w:p>
    <w:p w:rsidR="007F2F9C" w:rsidRPr="003A3758" w:rsidRDefault="007F2F9C" w:rsidP="00005EAC">
      <w:pPr>
        <w:spacing w:after="0"/>
        <w:jc w:val="both"/>
        <w:rPr>
          <w:rFonts w:cs="Times New Roman"/>
          <w:sz w:val="2"/>
          <w:szCs w:val="2"/>
        </w:rPr>
      </w:pPr>
    </w:p>
    <w:p w:rsidR="007F2F9C" w:rsidRPr="00924255" w:rsidRDefault="007F2F9C" w:rsidP="00587FBE">
      <w:pPr>
        <w:spacing w:after="120"/>
        <w:ind w:left="360" w:hanging="360"/>
        <w:jc w:val="both"/>
        <w:rPr>
          <w:rFonts w:cs="Times New Roman"/>
          <w:szCs w:val="24"/>
        </w:rPr>
      </w:pPr>
      <w:r w:rsidRPr="00924255">
        <w:rPr>
          <w:rFonts w:cs="Times New Roman"/>
          <w:szCs w:val="24"/>
        </w:rPr>
        <w:t xml:space="preserve"> i) Dredging of twelve important River Rout</w:t>
      </w:r>
      <w:r w:rsidR="00DD3984">
        <w:rPr>
          <w:rFonts w:cs="Times New Roman"/>
          <w:szCs w:val="24"/>
        </w:rPr>
        <w:t>e</w:t>
      </w:r>
      <w:r w:rsidRPr="00924255">
        <w:rPr>
          <w:rFonts w:cs="Times New Roman"/>
          <w:szCs w:val="24"/>
        </w:rPr>
        <w:t xml:space="preserve">s involving a total of 15.8 million </w:t>
      </w:r>
      <w:r w:rsidR="004835DC">
        <w:rPr>
          <w:rFonts w:cs="Times New Roman"/>
          <w:szCs w:val="24"/>
        </w:rPr>
        <w:t>m</w:t>
      </w:r>
      <w:r w:rsidR="00F64A6A" w:rsidRPr="00F64A6A">
        <w:rPr>
          <w:rFonts w:cs="Times New Roman"/>
          <w:szCs w:val="24"/>
          <w:vertAlign w:val="superscript"/>
        </w:rPr>
        <w:t>3</w:t>
      </w:r>
      <w:r w:rsidRPr="00924255">
        <w:rPr>
          <w:rFonts w:cs="Times New Roman"/>
          <w:szCs w:val="24"/>
        </w:rPr>
        <w:t>;</w:t>
      </w:r>
    </w:p>
    <w:p w:rsidR="007F2F9C" w:rsidRPr="00924255" w:rsidRDefault="007F2F9C" w:rsidP="00587FBE">
      <w:pPr>
        <w:spacing w:after="120"/>
        <w:ind w:left="360" w:hanging="360"/>
        <w:jc w:val="both"/>
        <w:rPr>
          <w:rFonts w:cs="Times New Roman"/>
          <w:szCs w:val="24"/>
        </w:rPr>
      </w:pPr>
      <w:r w:rsidRPr="00924255">
        <w:rPr>
          <w:rFonts w:cs="Times New Roman"/>
          <w:szCs w:val="24"/>
        </w:rPr>
        <w:t>ii) Capital Dredging of 53 River Routes (1st phase</w:t>
      </w:r>
      <w:r w:rsidR="004835DC">
        <w:rPr>
          <w:rFonts w:cs="Times New Roman"/>
          <w:szCs w:val="24"/>
        </w:rPr>
        <w:t>,</w:t>
      </w:r>
      <w:r w:rsidRPr="00924255">
        <w:rPr>
          <w:rFonts w:cs="Times New Roman"/>
          <w:szCs w:val="24"/>
        </w:rPr>
        <w:t xml:space="preserve"> 24 River Routes) involving a total of 104 million </w:t>
      </w:r>
      <w:r w:rsidR="004835DC">
        <w:rPr>
          <w:rFonts w:cs="Times New Roman"/>
          <w:szCs w:val="24"/>
        </w:rPr>
        <w:t>m</w:t>
      </w:r>
      <w:r w:rsidR="004835DC" w:rsidRPr="004835DC">
        <w:rPr>
          <w:rFonts w:cs="Times New Roman"/>
          <w:szCs w:val="24"/>
          <w:vertAlign w:val="superscript"/>
        </w:rPr>
        <w:t>3</w:t>
      </w:r>
      <w:r w:rsidRPr="00924255">
        <w:rPr>
          <w:rFonts w:cs="Times New Roman"/>
          <w:szCs w:val="24"/>
        </w:rPr>
        <w:t xml:space="preserve"> of dredging;</w:t>
      </w:r>
    </w:p>
    <w:p w:rsidR="007F2F9C" w:rsidRPr="00924255" w:rsidRDefault="007F2F9C" w:rsidP="00587FBE">
      <w:pPr>
        <w:spacing w:after="120"/>
        <w:ind w:left="360" w:hanging="360"/>
        <w:jc w:val="both"/>
        <w:rPr>
          <w:rFonts w:cs="Times New Roman"/>
          <w:szCs w:val="24"/>
        </w:rPr>
      </w:pPr>
      <w:r w:rsidRPr="00924255">
        <w:rPr>
          <w:rFonts w:cs="Times New Roman"/>
          <w:szCs w:val="24"/>
        </w:rPr>
        <w:t>iii) Capital Dredging of 53 River Routes (2nd phase</w:t>
      </w:r>
      <w:r w:rsidR="004835DC">
        <w:rPr>
          <w:rFonts w:cs="Times New Roman"/>
          <w:szCs w:val="24"/>
        </w:rPr>
        <w:t>,</w:t>
      </w:r>
      <w:r w:rsidRPr="00924255">
        <w:rPr>
          <w:rFonts w:cs="Times New Roman"/>
          <w:szCs w:val="24"/>
        </w:rPr>
        <w:t xml:space="preserve"> 24 River Routes) involving a total of 382 million </w:t>
      </w:r>
      <w:r w:rsidR="004835DC">
        <w:rPr>
          <w:rFonts w:cs="Times New Roman"/>
          <w:szCs w:val="24"/>
        </w:rPr>
        <w:t>m</w:t>
      </w:r>
      <w:r w:rsidR="004835DC" w:rsidRPr="004835DC">
        <w:rPr>
          <w:rFonts w:cs="Times New Roman"/>
          <w:szCs w:val="24"/>
          <w:vertAlign w:val="superscript"/>
        </w:rPr>
        <w:t>3</w:t>
      </w:r>
      <w:r w:rsidR="004835DC">
        <w:rPr>
          <w:rFonts w:cs="Times New Roman"/>
          <w:szCs w:val="24"/>
          <w:vertAlign w:val="superscript"/>
        </w:rPr>
        <w:t xml:space="preserve"> </w:t>
      </w:r>
      <w:r w:rsidRPr="00924255">
        <w:rPr>
          <w:rFonts w:cs="Times New Roman"/>
          <w:szCs w:val="24"/>
        </w:rPr>
        <w:t>of dredging</w:t>
      </w:r>
      <w:r w:rsidR="004835DC">
        <w:rPr>
          <w:rFonts w:cs="Times New Roman"/>
          <w:szCs w:val="24"/>
        </w:rPr>
        <w:t>.</w:t>
      </w:r>
      <w:r w:rsidRPr="00924255">
        <w:rPr>
          <w:rFonts w:cs="Times New Roman"/>
          <w:szCs w:val="24"/>
        </w:rPr>
        <w:t xml:space="preserve"> </w:t>
      </w:r>
    </w:p>
    <w:p w:rsidR="007F2F9C" w:rsidRPr="003A3758" w:rsidRDefault="007F2F9C" w:rsidP="00005EAC">
      <w:pPr>
        <w:spacing w:after="0"/>
        <w:jc w:val="both"/>
        <w:rPr>
          <w:rFonts w:cs="Times New Roman"/>
          <w:sz w:val="2"/>
          <w:szCs w:val="2"/>
        </w:rPr>
      </w:pPr>
    </w:p>
    <w:p w:rsidR="00E12250" w:rsidRDefault="007F2F9C" w:rsidP="009B44EC">
      <w:pPr>
        <w:spacing w:after="0"/>
        <w:jc w:val="both"/>
        <w:rPr>
          <w:rFonts w:cs="Times New Roman"/>
          <w:szCs w:val="24"/>
        </w:rPr>
      </w:pPr>
      <w:r>
        <w:rPr>
          <w:rFonts w:cs="Times New Roman"/>
          <w:szCs w:val="24"/>
        </w:rPr>
        <w:t>Consequently</w:t>
      </w:r>
      <w:r w:rsidRPr="00924255">
        <w:rPr>
          <w:rFonts w:cs="Times New Roman"/>
          <w:szCs w:val="24"/>
        </w:rPr>
        <w:t xml:space="preserve">, BIWTA estimated an annual dredging requirement as presented in Table </w:t>
      </w:r>
      <w:r w:rsidR="006F301A">
        <w:rPr>
          <w:rFonts w:cs="Times New Roman"/>
          <w:szCs w:val="24"/>
        </w:rPr>
        <w:t>9.</w:t>
      </w:r>
      <w:r w:rsidR="00857188">
        <w:rPr>
          <w:rFonts w:cs="Times New Roman"/>
          <w:szCs w:val="24"/>
        </w:rPr>
        <w:t>19</w:t>
      </w:r>
      <w:r>
        <w:rPr>
          <w:rFonts w:cs="Times New Roman"/>
          <w:szCs w:val="24"/>
        </w:rPr>
        <w:t>.</w:t>
      </w:r>
    </w:p>
    <w:p w:rsidR="00FD072E" w:rsidRDefault="00FD072E" w:rsidP="009B44EC">
      <w:pPr>
        <w:spacing w:after="0"/>
        <w:jc w:val="both"/>
        <w:rPr>
          <w:rFonts w:cs="Times New Roman"/>
          <w:szCs w:val="24"/>
        </w:rPr>
      </w:pPr>
    </w:p>
    <w:p w:rsidR="007F2F9C" w:rsidRPr="00924255" w:rsidRDefault="007F2F9C" w:rsidP="0036657D">
      <w:pPr>
        <w:pStyle w:val="Heading4"/>
      </w:pPr>
      <w:bookmarkStart w:id="699" w:name="_Toc474639085"/>
      <w:r w:rsidRPr="00924255">
        <w:t xml:space="preserve">Table </w:t>
      </w:r>
      <w:r w:rsidR="006F301A">
        <w:t>9.</w:t>
      </w:r>
      <w:r w:rsidR="00857188">
        <w:t>19</w:t>
      </w:r>
      <w:r w:rsidRPr="00924255">
        <w:t>: Estimated Dredging Requirement</w:t>
      </w:r>
      <w:bookmarkEnd w:id="699"/>
    </w:p>
    <w:tbl>
      <w:tblPr>
        <w:tblStyle w:val="LightShading10"/>
        <w:tblW w:w="0" w:type="auto"/>
        <w:tblLook w:val="04A0"/>
      </w:tblPr>
      <w:tblGrid>
        <w:gridCol w:w="499"/>
        <w:gridCol w:w="4181"/>
        <w:gridCol w:w="1759"/>
        <w:gridCol w:w="1291"/>
        <w:gridCol w:w="1548"/>
      </w:tblGrid>
      <w:tr w:rsidR="007F2F9C" w:rsidRPr="004D0CD9" w:rsidTr="004D0CD9">
        <w:trPr>
          <w:cnfStyle w:val="100000000000"/>
          <w:trHeight w:val="20"/>
        </w:trPr>
        <w:tc>
          <w:tcPr>
            <w:cnfStyle w:val="001000000000"/>
            <w:tcW w:w="499" w:type="dxa"/>
          </w:tcPr>
          <w:p w:rsidR="007F2F9C" w:rsidRPr="004D0CD9" w:rsidRDefault="007F2F9C" w:rsidP="00463AB1">
            <w:pPr>
              <w:spacing w:line="276" w:lineRule="auto"/>
              <w:jc w:val="both"/>
              <w:rPr>
                <w:rFonts w:ascii="Times New Roman" w:hAnsi="Times New Roman"/>
                <w:b w:val="0"/>
                <w:sz w:val="22"/>
                <w:szCs w:val="24"/>
              </w:rPr>
            </w:pPr>
          </w:p>
        </w:tc>
        <w:tc>
          <w:tcPr>
            <w:tcW w:w="4181" w:type="dxa"/>
          </w:tcPr>
          <w:p w:rsidR="007F2F9C" w:rsidRPr="00D10C92" w:rsidRDefault="007F2F9C" w:rsidP="00463AB1">
            <w:pPr>
              <w:spacing w:line="276" w:lineRule="auto"/>
              <w:jc w:val="both"/>
              <w:cnfStyle w:val="100000000000"/>
              <w:rPr>
                <w:rFonts w:ascii="Times New Roman" w:hAnsi="Times New Roman"/>
              </w:rPr>
            </w:pPr>
            <w:r w:rsidRPr="00D10C92">
              <w:rPr>
                <w:rFonts w:ascii="Times New Roman" w:hAnsi="Times New Roman"/>
              </w:rPr>
              <w:t>Item of Dredging Works</w:t>
            </w:r>
          </w:p>
        </w:tc>
        <w:tc>
          <w:tcPr>
            <w:tcW w:w="1759" w:type="dxa"/>
          </w:tcPr>
          <w:p w:rsidR="007F2F9C" w:rsidRPr="00D10C92" w:rsidRDefault="007F2F9C" w:rsidP="00463AB1">
            <w:pPr>
              <w:spacing w:line="276" w:lineRule="auto"/>
              <w:ind w:left="-53" w:right="-112"/>
              <w:jc w:val="both"/>
              <w:cnfStyle w:val="100000000000"/>
              <w:rPr>
                <w:rFonts w:ascii="Times New Roman" w:hAnsi="Times New Roman"/>
              </w:rPr>
            </w:pPr>
            <w:r w:rsidRPr="00D10C92">
              <w:rPr>
                <w:rFonts w:ascii="Times New Roman" w:hAnsi="Times New Roman"/>
              </w:rPr>
              <w:t xml:space="preserve">Estimated Volume </w:t>
            </w:r>
          </w:p>
          <w:p w:rsidR="007F2F9C" w:rsidRPr="00D10C92" w:rsidRDefault="007F2F9C" w:rsidP="00463AB1">
            <w:pPr>
              <w:spacing w:line="276" w:lineRule="auto"/>
              <w:ind w:left="-53" w:right="-112"/>
              <w:jc w:val="both"/>
              <w:cnfStyle w:val="100000000000"/>
              <w:rPr>
                <w:rFonts w:ascii="Times New Roman" w:hAnsi="Times New Roman"/>
              </w:rPr>
            </w:pPr>
            <w:r w:rsidRPr="00D10C92">
              <w:rPr>
                <w:rFonts w:ascii="Times New Roman" w:hAnsi="Times New Roman"/>
              </w:rPr>
              <w:t>(in million m</w:t>
            </w:r>
            <w:r w:rsidRPr="00D10C92">
              <w:rPr>
                <w:rFonts w:ascii="Times New Roman" w:hAnsi="Times New Roman"/>
                <w:vertAlign w:val="superscript"/>
              </w:rPr>
              <w:t>3</w:t>
            </w:r>
            <w:r w:rsidRPr="00D10C92">
              <w:rPr>
                <w:rFonts w:ascii="Times New Roman" w:hAnsi="Times New Roman"/>
              </w:rPr>
              <w:t>)</w:t>
            </w:r>
          </w:p>
        </w:tc>
        <w:tc>
          <w:tcPr>
            <w:tcW w:w="1291" w:type="dxa"/>
          </w:tcPr>
          <w:p w:rsidR="007F2F9C" w:rsidRPr="00D10C92" w:rsidRDefault="007F2F9C" w:rsidP="00463AB1">
            <w:pPr>
              <w:spacing w:line="276" w:lineRule="auto"/>
              <w:jc w:val="both"/>
              <w:cnfStyle w:val="100000000000"/>
              <w:rPr>
                <w:rFonts w:ascii="Times New Roman" w:hAnsi="Times New Roman"/>
              </w:rPr>
            </w:pPr>
            <w:r w:rsidRPr="00D10C92">
              <w:rPr>
                <w:rFonts w:ascii="Times New Roman" w:hAnsi="Times New Roman"/>
              </w:rPr>
              <w:t xml:space="preserve">No. of years Planned </w:t>
            </w:r>
          </w:p>
        </w:tc>
        <w:tc>
          <w:tcPr>
            <w:tcW w:w="1548" w:type="dxa"/>
          </w:tcPr>
          <w:p w:rsidR="007F2F9C" w:rsidRPr="00D10C92" w:rsidRDefault="007F2F9C" w:rsidP="00463AB1">
            <w:pPr>
              <w:spacing w:line="276" w:lineRule="auto"/>
              <w:jc w:val="both"/>
              <w:cnfStyle w:val="100000000000"/>
              <w:rPr>
                <w:rFonts w:ascii="Times New Roman" w:hAnsi="Times New Roman"/>
              </w:rPr>
            </w:pPr>
            <w:r w:rsidRPr="00D10C92">
              <w:rPr>
                <w:rFonts w:ascii="Times New Roman" w:hAnsi="Times New Roman"/>
              </w:rPr>
              <w:t>Volume/year (in million m</w:t>
            </w:r>
            <w:r w:rsidRPr="00D10C92">
              <w:rPr>
                <w:rFonts w:ascii="Times New Roman" w:hAnsi="Times New Roman"/>
                <w:vertAlign w:val="superscript"/>
              </w:rPr>
              <w:t>3</w:t>
            </w:r>
            <w:r w:rsidRPr="00D10C92">
              <w:rPr>
                <w:rFonts w:ascii="Times New Roman" w:hAnsi="Times New Roman"/>
              </w:rPr>
              <w:t>)</w:t>
            </w:r>
          </w:p>
        </w:tc>
      </w:tr>
      <w:tr w:rsidR="007F2F9C" w:rsidRPr="004D0CD9" w:rsidTr="004D0CD9">
        <w:trPr>
          <w:cnfStyle w:val="000000100000"/>
          <w:trHeight w:val="20"/>
        </w:trPr>
        <w:tc>
          <w:tcPr>
            <w:cnfStyle w:val="001000000000"/>
            <w:tcW w:w="499" w:type="dxa"/>
          </w:tcPr>
          <w:p w:rsidR="007F2F9C" w:rsidRPr="004D0CD9" w:rsidRDefault="007F2F9C" w:rsidP="00463AB1">
            <w:pPr>
              <w:spacing w:after="0" w:line="276" w:lineRule="auto"/>
              <w:jc w:val="both"/>
              <w:rPr>
                <w:rFonts w:ascii="Times New Roman" w:hAnsi="Times New Roman"/>
                <w:b w:val="0"/>
                <w:sz w:val="22"/>
                <w:szCs w:val="24"/>
              </w:rPr>
            </w:pPr>
            <w:r w:rsidRPr="004D0CD9">
              <w:rPr>
                <w:rFonts w:ascii="Times New Roman" w:hAnsi="Times New Roman"/>
                <w:b w:val="0"/>
                <w:sz w:val="22"/>
                <w:szCs w:val="24"/>
              </w:rPr>
              <w:t>1.</w:t>
            </w:r>
          </w:p>
        </w:tc>
        <w:tc>
          <w:tcPr>
            <w:tcW w:w="4181" w:type="dxa"/>
          </w:tcPr>
          <w:p w:rsidR="007F2F9C" w:rsidRPr="004D0CD9" w:rsidRDefault="007F2F9C" w:rsidP="004956F4">
            <w:pPr>
              <w:spacing w:after="0" w:line="276" w:lineRule="auto"/>
              <w:jc w:val="both"/>
              <w:cnfStyle w:val="000000100000"/>
              <w:rPr>
                <w:rFonts w:ascii="Times New Roman" w:hAnsi="Times New Roman"/>
                <w:sz w:val="22"/>
              </w:rPr>
            </w:pPr>
            <w:r w:rsidRPr="004D0CD9">
              <w:rPr>
                <w:rFonts w:ascii="Times New Roman" w:hAnsi="Times New Roman"/>
                <w:sz w:val="22"/>
              </w:rPr>
              <w:t xml:space="preserve">Capital Dredging of </w:t>
            </w:r>
            <w:r w:rsidR="004956F4" w:rsidRPr="004D0CD9">
              <w:rPr>
                <w:rFonts w:ascii="Times New Roman" w:hAnsi="Times New Roman"/>
                <w:sz w:val="22"/>
              </w:rPr>
              <w:t xml:space="preserve">53 </w:t>
            </w:r>
            <w:r w:rsidRPr="004D0CD9">
              <w:rPr>
                <w:rFonts w:ascii="Times New Roman" w:hAnsi="Times New Roman"/>
                <w:sz w:val="22"/>
              </w:rPr>
              <w:t>River Routes</w:t>
            </w:r>
          </w:p>
        </w:tc>
        <w:tc>
          <w:tcPr>
            <w:tcW w:w="1759" w:type="dxa"/>
          </w:tcPr>
          <w:p w:rsidR="007F2F9C" w:rsidRPr="004D0CD9" w:rsidRDefault="007F2F9C" w:rsidP="00463AB1">
            <w:pPr>
              <w:spacing w:after="0" w:line="276" w:lineRule="auto"/>
              <w:jc w:val="both"/>
              <w:cnfStyle w:val="000000100000"/>
              <w:rPr>
                <w:rFonts w:ascii="Times New Roman" w:hAnsi="Times New Roman"/>
                <w:sz w:val="22"/>
              </w:rPr>
            </w:pPr>
            <w:r w:rsidRPr="004D0CD9">
              <w:rPr>
                <w:rFonts w:ascii="Times New Roman" w:hAnsi="Times New Roman"/>
                <w:sz w:val="22"/>
              </w:rPr>
              <w:t>501.80</w:t>
            </w:r>
          </w:p>
        </w:tc>
        <w:tc>
          <w:tcPr>
            <w:tcW w:w="1291" w:type="dxa"/>
          </w:tcPr>
          <w:p w:rsidR="007F2F9C" w:rsidRPr="004D0CD9" w:rsidRDefault="007F2F9C" w:rsidP="00463AB1">
            <w:pPr>
              <w:spacing w:after="0" w:line="276" w:lineRule="auto"/>
              <w:jc w:val="both"/>
              <w:cnfStyle w:val="000000100000"/>
              <w:rPr>
                <w:rFonts w:ascii="Times New Roman" w:hAnsi="Times New Roman"/>
                <w:sz w:val="22"/>
              </w:rPr>
            </w:pPr>
            <w:r w:rsidRPr="004D0CD9">
              <w:rPr>
                <w:rFonts w:ascii="Times New Roman" w:hAnsi="Times New Roman"/>
                <w:sz w:val="22"/>
              </w:rPr>
              <w:t>11</w:t>
            </w:r>
          </w:p>
        </w:tc>
        <w:tc>
          <w:tcPr>
            <w:tcW w:w="1548" w:type="dxa"/>
          </w:tcPr>
          <w:p w:rsidR="007F2F9C" w:rsidRPr="004D0CD9" w:rsidRDefault="007F2F9C" w:rsidP="00463AB1">
            <w:pPr>
              <w:spacing w:after="0" w:line="276" w:lineRule="auto"/>
              <w:jc w:val="both"/>
              <w:cnfStyle w:val="000000100000"/>
              <w:rPr>
                <w:rFonts w:ascii="Times New Roman" w:hAnsi="Times New Roman"/>
                <w:sz w:val="22"/>
              </w:rPr>
            </w:pPr>
            <w:r w:rsidRPr="004D0CD9">
              <w:rPr>
                <w:rFonts w:ascii="Times New Roman" w:hAnsi="Times New Roman"/>
                <w:sz w:val="22"/>
              </w:rPr>
              <w:t>45.62</w:t>
            </w:r>
          </w:p>
        </w:tc>
      </w:tr>
      <w:tr w:rsidR="007F2F9C" w:rsidRPr="004D0CD9" w:rsidTr="004D0CD9">
        <w:trPr>
          <w:trHeight w:val="20"/>
        </w:trPr>
        <w:tc>
          <w:tcPr>
            <w:cnfStyle w:val="001000000000"/>
            <w:tcW w:w="499" w:type="dxa"/>
          </w:tcPr>
          <w:p w:rsidR="007F2F9C" w:rsidRPr="004D0CD9" w:rsidRDefault="007F2F9C" w:rsidP="00463AB1">
            <w:pPr>
              <w:spacing w:after="0" w:line="276" w:lineRule="auto"/>
              <w:jc w:val="both"/>
              <w:rPr>
                <w:rFonts w:ascii="Times New Roman" w:hAnsi="Times New Roman"/>
                <w:b w:val="0"/>
                <w:sz w:val="22"/>
                <w:szCs w:val="24"/>
              </w:rPr>
            </w:pPr>
            <w:r w:rsidRPr="004D0CD9">
              <w:rPr>
                <w:rFonts w:ascii="Times New Roman" w:hAnsi="Times New Roman"/>
                <w:b w:val="0"/>
                <w:sz w:val="22"/>
                <w:szCs w:val="24"/>
              </w:rPr>
              <w:t>2.</w:t>
            </w:r>
          </w:p>
        </w:tc>
        <w:tc>
          <w:tcPr>
            <w:tcW w:w="4181" w:type="dxa"/>
          </w:tcPr>
          <w:p w:rsidR="007F2F9C" w:rsidRPr="004D0CD9" w:rsidRDefault="007F2F9C" w:rsidP="00463AB1">
            <w:pPr>
              <w:spacing w:after="0" w:line="276" w:lineRule="auto"/>
              <w:jc w:val="both"/>
              <w:cnfStyle w:val="000000000000"/>
              <w:rPr>
                <w:rFonts w:ascii="Times New Roman" w:hAnsi="Times New Roman"/>
                <w:sz w:val="22"/>
              </w:rPr>
            </w:pPr>
            <w:r w:rsidRPr="004D0CD9">
              <w:rPr>
                <w:rFonts w:ascii="Times New Roman" w:hAnsi="Times New Roman"/>
                <w:sz w:val="22"/>
              </w:rPr>
              <w:t>Maintenance Dredging of River Routes after Capital Dredging (15% of Capital volume) 752.70 lakh m</w:t>
            </w:r>
            <w:r w:rsidRPr="004D0CD9">
              <w:rPr>
                <w:rFonts w:ascii="Times New Roman" w:hAnsi="Times New Roman"/>
                <w:sz w:val="22"/>
                <w:vertAlign w:val="superscript"/>
              </w:rPr>
              <w:t>3</w:t>
            </w:r>
            <w:r w:rsidRPr="004D0CD9">
              <w:rPr>
                <w:rFonts w:ascii="Times New Roman" w:hAnsi="Times New Roman"/>
                <w:sz w:val="22"/>
              </w:rPr>
              <w:t>, taken 50% of the above Volume</w:t>
            </w:r>
          </w:p>
        </w:tc>
        <w:tc>
          <w:tcPr>
            <w:tcW w:w="1759" w:type="dxa"/>
          </w:tcPr>
          <w:p w:rsidR="007F2F9C" w:rsidRPr="004D0CD9" w:rsidRDefault="007F2F9C" w:rsidP="00463AB1">
            <w:pPr>
              <w:spacing w:after="0" w:line="276" w:lineRule="auto"/>
              <w:jc w:val="both"/>
              <w:cnfStyle w:val="000000000000"/>
              <w:rPr>
                <w:rFonts w:ascii="Times New Roman" w:hAnsi="Times New Roman"/>
                <w:sz w:val="22"/>
              </w:rPr>
            </w:pPr>
          </w:p>
        </w:tc>
        <w:tc>
          <w:tcPr>
            <w:tcW w:w="1291" w:type="dxa"/>
          </w:tcPr>
          <w:p w:rsidR="007F2F9C" w:rsidRPr="004D0CD9" w:rsidRDefault="007F2F9C" w:rsidP="00463AB1">
            <w:pPr>
              <w:spacing w:after="0" w:line="276" w:lineRule="auto"/>
              <w:jc w:val="both"/>
              <w:cnfStyle w:val="000000000000"/>
              <w:rPr>
                <w:rFonts w:ascii="Times New Roman" w:hAnsi="Times New Roman"/>
                <w:sz w:val="22"/>
              </w:rPr>
            </w:pPr>
          </w:p>
        </w:tc>
        <w:tc>
          <w:tcPr>
            <w:tcW w:w="1548" w:type="dxa"/>
          </w:tcPr>
          <w:p w:rsidR="007F2F9C" w:rsidRPr="004D0CD9" w:rsidRDefault="007F2F9C" w:rsidP="00463AB1">
            <w:pPr>
              <w:spacing w:after="0" w:line="276" w:lineRule="auto"/>
              <w:jc w:val="both"/>
              <w:cnfStyle w:val="000000000000"/>
              <w:rPr>
                <w:rFonts w:ascii="Times New Roman" w:hAnsi="Times New Roman"/>
                <w:sz w:val="22"/>
              </w:rPr>
            </w:pPr>
            <w:r w:rsidRPr="004D0CD9">
              <w:rPr>
                <w:rFonts w:ascii="Times New Roman" w:hAnsi="Times New Roman"/>
                <w:sz w:val="22"/>
              </w:rPr>
              <w:t>37.60</w:t>
            </w:r>
          </w:p>
        </w:tc>
      </w:tr>
      <w:tr w:rsidR="007F2F9C" w:rsidRPr="004D0CD9" w:rsidTr="004D0CD9">
        <w:trPr>
          <w:cnfStyle w:val="000000100000"/>
          <w:trHeight w:val="20"/>
        </w:trPr>
        <w:tc>
          <w:tcPr>
            <w:cnfStyle w:val="001000000000"/>
            <w:tcW w:w="499" w:type="dxa"/>
          </w:tcPr>
          <w:p w:rsidR="007F2F9C" w:rsidRPr="004D0CD9" w:rsidRDefault="007F2F9C" w:rsidP="00463AB1">
            <w:pPr>
              <w:spacing w:after="0" w:line="276" w:lineRule="auto"/>
              <w:jc w:val="both"/>
              <w:rPr>
                <w:rFonts w:ascii="Times New Roman" w:hAnsi="Times New Roman"/>
                <w:b w:val="0"/>
                <w:sz w:val="22"/>
                <w:szCs w:val="24"/>
              </w:rPr>
            </w:pPr>
            <w:r w:rsidRPr="004D0CD9">
              <w:rPr>
                <w:rFonts w:ascii="Times New Roman" w:hAnsi="Times New Roman"/>
                <w:b w:val="0"/>
                <w:sz w:val="22"/>
                <w:szCs w:val="24"/>
              </w:rPr>
              <w:t>3.</w:t>
            </w:r>
          </w:p>
        </w:tc>
        <w:tc>
          <w:tcPr>
            <w:tcW w:w="4181" w:type="dxa"/>
          </w:tcPr>
          <w:p w:rsidR="007F2F9C" w:rsidRPr="004D0CD9" w:rsidRDefault="007F2F9C" w:rsidP="00463AB1">
            <w:pPr>
              <w:spacing w:after="0" w:line="276" w:lineRule="auto"/>
              <w:jc w:val="both"/>
              <w:cnfStyle w:val="000000100000"/>
              <w:rPr>
                <w:rFonts w:ascii="Times New Roman" w:hAnsi="Times New Roman"/>
                <w:sz w:val="22"/>
              </w:rPr>
            </w:pPr>
            <w:r w:rsidRPr="004D0CD9">
              <w:rPr>
                <w:rFonts w:ascii="Times New Roman" w:hAnsi="Times New Roman"/>
                <w:sz w:val="22"/>
              </w:rPr>
              <w:t>Maintenance of Ferry Routes and other Works</w:t>
            </w:r>
          </w:p>
        </w:tc>
        <w:tc>
          <w:tcPr>
            <w:tcW w:w="1759" w:type="dxa"/>
          </w:tcPr>
          <w:p w:rsidR="007F2F9C" w:rsidRPr="004D0CD9" w:rsidRDefault="007F2F9C" w:rsidP="00463AB1">
            <w:pPr>
              <w:spacing w:after="0" w:line="276" w:lineRule="auto"/>
              <w:jc w:val="both"/>
              <w:cnfStyle w:val="000000100000"/>
              <w:rPr>
                <w:rFonts w:ascii="Times New Roman" w:hAnsi="Times New Roman"/>
                <w:sz w:val="22"/>
              </w:rPr>
            </w:pPr>
          </w:p>
        </w:tc>
        <w:tc>
          <w:tcPr>
            <w:tcW w:w="1291" w:type="dxa"/>
          </w:tcPr>
          <w:p w:rsidR="007F2F9C" w:rsidRPr="004D0CD9" w:rsidRDefault="007F2F9C" w:rsidP="00463AB1">
            <w:pPr>
              <w:spacing w:after="0" w:line="276" w:lineRule="auto"/>
              <w:jc w:val="both"/>
              <w:cnfStyle w:val="000000100000"/>
              <w:rPr>
                <w:rFonts w:ascii="Times New Roman" w:hAnsi="Times New Roman"/>
                <w:sz w:val="22"/>
              </w:rPr>
            </w:pPr>
          </w:p>
        </w:tc>
        <w:tc>
          <w:tcPr>
            <w:tcW w:w="1548" w:type="dxa"/>
          </w:tcPr>
          <w:p w:rsidR="007F2F9C" w:rsidRPr="004D0CD9" w:rsidRDefault="007F2F9C" w:rsidP="00463AB1">
            <w:pPr>
              <w:spacing w:after="0" w:line="276" w:lineRule="auto"/>
              <w:jc w:val="both"/>
              <w:cnfStyle w:val="000000100000"/>
              <w:rPr>
                <w:rFonts w:ascii="Times New Roman" w:hAnsi="Times New Roman"/>
                <w:sz w:val="22"/>
              </w:rPr>
            </w:pPr>
            <w:r w:rsidRPr="004D0CD9">
              <w:rPr>
                <w:rFonts w:ascii="Times New Roman" w:hAnsi="Times New Roman"/>
                <w:sz w:val="22"/>
              </w:rPr>
              <w:t>5.00</w:t>
            </w:r>
          </w:p>
        </w:tc>
      </w:tr>
      <w:tr w:rsidR="007F2F9C" w:rsidRPr="004D0CD9" w:rsidTr="004D0CD9">
        <w:trPr>
          <w:trHeight w:val="20"/>
        </w:trPr>
        <w:tc>
          <w:tcPr>
            <w:cnfStyle w:val="001000000000"/>
            <w:tcW w:w="7730" w:type="dxa"/>
            <w:gridSpan w:val="4"/>
          </w:tcPr>
          <w:p w:rsidR="007F2F9C" w:rsidRPr="004D0CD9" w:rsidRDefault="007F2F9C" w:rsidP="00463AB1">
            <w:pPr>
              <w:spacing w:after="0" w:line="276" w:lineRule="auto"/>
              <w:jc w:val="both"/>
              <w:rPr>
                <w:rFonts w:ascii="Times New Roman" w:hAnsi="Times New Roman"/>
                <w:bCs w:val="0"/>
                <w:sz w:val="22"/>
              </w:rPr>
            </w:pPr>
            <w:r w:rsidRPr="004D0CD9">
              <w:rPr>
                <w:rFonts w:ascii="Times New Roman" w:hAnsi="Times New Roman"/>
                <w:bCs w:val="0"/>
                <w:sz w:val="22"/>
              </w:rPr>
              <w:t>Total Dredging Requirement /year on average</w:t>
            </w:r>
          </w:p>
        </w:tc>
        <w:tc>
          <w:tcPr>
            <w:tcW w:w="1548" w:type="dxa"/>
          </w:tcPr>
          <w:p w:rsidR="007F2F9C" w:rsidRPr="004D0CD9" w:rsidRDefault="007F2F9C" w:rsidP="00463AB1">
            <w:pPr>
              <w:spacing w:after="0" w:line="276" w:lineRule="auto"/>
              <w:jc w:val="both"/>
              <w:cnfStyle w:val="000000000000"/>
              <w:rPr>
                <w:rFonts w:ascii="Times New Roman" w:hAnsi="Times New Roman"/>
                <w:sz w:val="22"/>
              </w:rPr>
            </w:pPr>
            <w:r w:rsidRPr="004D0CD9">
              <w:rPr>
                <w:rFonts w:ascii="Times New Roman" w:hAnsi="Times New Roman"/>
                <w:sz w:val="22"/>
              </w:rPr>
              <w:t>88.22</w:t>
            </w:r>
          </w:p>
        </w:tc>
      </w:tr>
    </w:tbl>
    <w:p w:rsidR="007F2F9C" w:rsidRPr="00EF35C5" w:rsidRDefault="007F2F9C" w:rsidP="00BE31B9">
      <w:pPr>
        <w:spacing w:before="120" w:line="276" w:lineRule="auto"/>
        <w:rPr>
          <w:rFonts w:cs="Times New Roman"/>
          <w:b/>
          <w:bCs/>
          <w:i/>
        </w:rPr>
      </w:pPr>
      <w:r w:rsidRPr="00EF35C5">
        <w:rPr>
          <w:rFonts w:cs="Times New Roman"/>
          <w:b/>
          <w:bCs/>
          <w:sz w:val="20"/>
          <w:szCs w:val="20"/>
        </w:rPr>
        <w:t xml:space="preserve">Source: </w:t>
      </w:r>
      <w:r w:rsidRPr="00EF35C5">
        <w:rPr>
          <w:rFonts w:cs="Times New Roman"/>
          <w:b/>
          <w:bCs/>
          <w:i/>
          <w:sz w:val="20"/>
          <w:szCs w:val="20"/>
        </w:rPr>
        <w:t>Dredging Department, BIWTA</w:t>
      </w:r>
    </w:p>
    <w:p w:rsidR="007F2F9C" w:rsidRPr="00174777" w:rsidRDefault="007F2F9C" w:rsidP="00BE31B9">
      <w:pPr>
        <w:spacing w:line="276" w:lineRule="auto"/>
        <w:jc w:val="both"/>
        <w:rPr>
          <w:rFonts w:cs="Times New Roman"/>
          <w:b/>
          <w:i/>
          <w:iCs/>
          <w:szCs w:val="24"/>
        </w:rPr>
      </w:pPr>
      <w:r w:rsidRPr="00174777">
        <w:rPr>
          <w:rFonts w:cs="Times New Roman"/>
          <w:b/>
          <w:i/>
          <w:iCs/>
          <w:szCs w:val="24"/>
        </w:rPr>
        <w:t>Available Dredging Capacity</w:t>
      </w:r>
    </w:p>
    <w:p w:rsidR="00915926" w:rsidRPr="00FD072E" w:rsidRDefault="007F2F9C" w:rsidP="00BE31B9">
      <w:pPr>
        <w:spacing w:line="276" w:lineRule="auto"/>
        <w:jc w:val="both"/>
        <w:rPr>
          <w:rFonts w:cs="Times New Roman"/>
          <w:szCs w:val="24"/>
        </w:rPr>
      </w:pPr>
      <w:r w:rsidRPr="004B0A08">
        <w:rPr>
          <w:rFonts w:cs="Times New Roman"/>
          <w:i/>
          <w:szCs w:val="24"/>
        </w:rPr>
        <w:t>Presently BIWTA has a dredger fleet of 18 dredgers and three more dredgers are in the pipeline of delivery.</w:t>
      </w:r>
      <w:r w:rsidRPr="00924255">
        <w:rPr>
          <w:rFonts w:cs="Times New Roman"/>
          <w:szCs w:val="24"/>
        </w:rPr>
        <w:t xml:space="preserve"> Details of these dredgers are presented in Table </w:t>
      </w:r>
      <w:r w:rsidR="006F301A">
        <w:rPr>
          <w:rFonts w:cs="Times New Roman"/>
          <w:szCs w:val="24"/>
        </w:rPr>
        <w:t>9</w:t>
      </w:r>
      <w:r w:rsidR="006E2190">
        <w:rPr>
          <w:rFonts w:cs="Times New Roman"/>
          <w:szCs w:val="24"/>
        </w:rPr>
        <w:t xml:space="preserve">. </w:t>
      </w:r>
      <w:r w:rsidR="00857188">
        <w:rPr>
          <w:rFonts w:cs="Times New Roman"/>
          <w:szCs w:val="24"/>
        </w:rPr>
        <w:t>20</w:t>
      </w:r>
      <w:r w:rsidR="00FD072E">
        <w:rPr>
          <w:rFonts w:cs="Times New Roman"/>
          <w:szCs w:val="24"/>
        </w:rPr>
        <w:t>.</w:t>
      </w:r>
    </w:p>
    <w:p w:rsidR="005A3CDE" w:rsidRDefault="005A3CDE">
      <w:pPr>
        <w:rPr>
          <w:rFonts w:cs="Times New Roman"/>
          <w:b/>
          <w:bCs/>
          <w:szCs w:val="24"/>
        </w:rPr>
      </w:pPr>
      <w:r>
        <w:br w:type="page"/>
      </w:r>
    </w:p>
    <w:p w:rsidR="007F2F9C" w:rsidRPr="00924255" w:rsidRDefault="007F2F9C" w:rsidP="0036657D">
      <w:pPr>
        <w:pStyle w:val="Heading4"/>
      </w:pPr>
      <w:bookmarkStart w:id="700" w:name="_Toc474639086"/>
      <w:r w:rsidRPr="00924255">
        <w:lastRenderedPageBreak/>
        <w:t xml:space="preserve">Table </w:t>
      </w:r>
      <w:r w:rsidR="006F301A">
        <w:t>9.</w:t>
      </w:r>
      <w:r>
        <w:t>2</w:t>
      </w:r>
      <w:r w:rsidR="00857188">
        <w:t>0</w:t>
      </w:r>
      <w:r w:rsidR="00FD072E">
        <w:t>: Existing Dredger F</w:t>
      </w:r>
      <w:r w:rsidRPr="00924255">
        <w:t>leet of BIWTA</w:t>
      </w:r>
      <w:bookmarkEnd w:id="700"/>
    </w:p>
    <w:tbl>
      <w:tblPr>
        <w:tblStyle w:val="LightShading10"/>
        <w:tblW w:w="5000" w:type="pct"/>
        <w:tblLook w:val="04A0"/>
      </w:tblPr>
      <w:tblGrid>
        <w:gridCol w:w="677"/>
        <w:gridCol w:w="2465"/>
        <w:gridCol w:w="2383"/>
        <w:gridCol w:w="4051"/>
      </w:tblGrid>
      <w:tr w:rsidR="007F2F9C" w:rsidRPr="004D0CD9" w:rsidTr="004D0CD9">
        <w:trPr>
          <w:cnfStyle w:val="100000000000"/>
        </w:trPr>
        <w:tc>
          <w:tcPr>
            <w:cnfStyle w:val="001000000000"/>
            <w:tcW w:w="354" w:type="pct"/>
          </w:tcPr>
          <w:p w:rsidR="007F2F9C" w:rsidRPr="00D10C92" w:rsidRDefault="007F2F9C" w:rsidP="00463AB1">
            <w:pPr>
              <w:spacing w:line="276" w:lineRule="auto"/>
              <w:ind w:left="-90" w:right="-108"/>
              <w:jc w:val="center"/>
              <w:rPr>
                <w:rFonts w:ascii="Times New Roman" w:hAnsi="Times New Roman"/>
                <w:bCs w:val="0"/>
                <w:szCs w:val="18"/>
              </w:rPr>
            </w:pPr>
            <w:r w:rsidRPr="00D10C92">
              <w:rPr>
                <w:rFonts w:ascii="Times New Roman" w:hAnsi="Times New Roman"/>
                <w:bCs w:val="0"/>
                <w:szCs w:val="18"/>
              </w:rPr>
              <w:t>Sl. No.</w:t>
            </w:r>
          </w:p>
        </w:tc>
        <w:tc>
          <w:tcPr>
            <w:tcW w:w="1287" w:type="pct"/>
          </w:tcPr>
          <w:p w:rsidR="007F2F9C" w:rsidRPr="00D10C92" w:rsidRDefault="007F2F9C" w:rsidP="00463AB1">
            <w:pPr>
              <w:spacing w:line="276" w:lineRule="auto"/>
              <w:jc w:val="center"/>
              <w:cnfStyle w:val="100000000000"/>
              <w:rPr>
                <w:rFonts w:ascii="Times New Roman" w:hAnsi="Times New Roman"/>
                <w:bCs w:val="0"/>
                <w:szCs w:val="18"/>
              </w:rPr>
            </w:pPr>
            <w:r w:rsidRPr="00D10C92">
              <w:rPr>
                <w:rFonts w:ascii="Times New Roman" w:hAnsi="Times New Roman"/>
                <w:bCs w:val="0"/>
                <w:szCs w:val="18"/>
              </w:rPr>
              <w:t>Name of the Dredger</w:t>
            </w:r>
          </w:p>
        </w:tc>
        <w:tc>
          <w:tcPr>
            <w:tcW w:w="1244" w:type="pct"/>
          </w:tcPr>
          <w:p w:rsidR="007F2F9C" w:rsidRPr="00D10C92" w:rsidRDefault="007F2F9C" w:rsidP="00B43F90">
            <w:pPr>
              <w:spacing w:line="276" w:lineRule="auto"/>
              <w:cnfStyle w:val="100000000000"/>
              <w:rPr>
                <w:rFonts w:ascii="Times New Roman" w:hAnsi="Times New Roman"/>
                <w:bCs w:val="0"/>
                <w:szCs w:val="18"/>
              </w:rPr>
            </w:pPr>
            <w:r w:rsidRPr="00D10C92">
              <w:rPr>
                <w:rFonts w:ascii="Times New Roman" w:hAnsi="Times New Roman"/>
                <w:bCs w:val="0"/>
                <w:szCs w:val="18"/>
              </w:rPr>
              <w:t>Procurement</w:t>
            </w:r>
            <w:r w:rsidR="00B43F90" w:rsidRPr="00D10C92">
              <w:rPr>
                <w:rFonts w:ascii="Times New Roman" w:hAnsi="Times New Roman"/>
                <w:bCs w:val="0"/>
                <w:szCs w:val="18"/>
              </w:rPr>
              <w:t xml:space="preserve"> Year</w:t>
            </w:r>
          </w:p>
        </w:tc>
        <w:tc>
          <w:tcPr>
            <w:tcW w:w="2115" w:type="pct"/>
          </w:tcPr>
          <w:p w:rsidR="007F2F9C" w:rsidRPr="00D10C92" w:rsidRDefault="007F2F9C" w:rsidP="00463AB1">
            <w:pPr>
              <w:spacing w:line="276" w:lineRule="auto"/>
              <w:jc w:val="center"/>
              <w:cnfStyle w:val="100000000000"/>
              <w:rPr>
                <w:rFonts w:ascii="Times New Roman" w:hAnsi="Times New Roman"/>
                <w:bCs w:val="0"/>
                <w:szCs w:val="18"/>
              </w:rPr>
            </w:pPr>
            <w:r w:rsidRPr="00D10C92">
              <w:rPr>
                <w:rFonts w:ascii="Times New Roman" w:hAnsi="Times New Roman"/>
                <w:bCs w:val="0"/>
                <w:szCs w:val="18"/>
              </w:rPr>
              <w:t>Annual Production Capacity (In lakh m</w:t>
            </w:r>
            <w:r w:rsidRPr="00D10C92">
              <w:rPr>
                <w:rFonts w:ascii="Times New Roman" w:hAnsi="Times New Roman"/>
                <w:bCs w:val="0"/>
                <w:szCs w:val="18"/>
                <w:vertAlign w:val="superscript"/>
              </w:rPr>
              <w:t>3</w:t>
            </w:r>
            <w:r w:rsidRPr="00D10C92">
              <w:rPr>
                <w:rFonts w:ascii="Times New Roman" w:hAnsi="Times New Roman"/>
                <w:bCs w:val="0"/>
                <w:szCs w:val="18"/>
              </w:rPr>
              <w:t>)</w:t>
            </w:r>
          </w:p>
        </w:tc>
      </w:tr>
      <w:tr w:rsidR="007F2F9C" w:rsidRPr="004D0CD9" w:rsidTr="004D0CD9">
        <w:trPr>
          <w:cnfStyle w:val="000000100000"/>
        </w:trPr>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w:t>
            </w:r>
          </w:p>
        </w:tc>
        <w:tc>
          <w:tcPr>
            <w:tcW w:w="1287" w:type="pct"/>
          </w:tcPr>
          <w:p w:rsidR="007F2F9C" w:rsidRPr="004D0CD9" w:rsidRDefault="007F2F9C" w:rsidP="00463AB1">
            <w:pPr>
              <w:spacing w:after="0" w:line="276" w:lineRule="auto"/>
              <w:jc w:val="both"/>
              <w:cnfStyle w:val="000000100000"/>
              <w:rPr>
                <w:rFonts w:ascii="Times New Roman" w:hAnsi="Times New Roman"/>
                <w:sz w:val="22"/>
                <w:szCs w:val="18"/>
              </w:rPr>
            </w:pPr>
            <w:r w:rsidRPr="004D0CD9">
              <w:rPr>
                <w:rFonts w:ascii="Times New Roman" w:hAnsi="Times New Roman"/>
                <w:sz w:val="22"/>
                <w:szCs w:val="18"/>
              </w:rPr>
              <w:t>Delta-I</w:t>
            </w:r>
          </w:p>
        </w:tc>
        <w:tc>
          <w:tcPr>
            <w:tcW w:w="1244"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1972</w:t>
            </w:r>
          </w:p>
        </w:tc>
        <w:tc>
          <w:tcPr>
            <w:tcW w:w="2115"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3.00</w:t>
            </w:r>
          </w:p>
        </w:tc>
      </w:tr>
      <w:tr w:rsidR="007F2F9C" w:rsidRPr="004D0CD9" w:rsidTr="004D0CD9">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2.</w:t>
            </w:r>
          </w:p>
        </w:tc>
        <w:tc>
          <w:tcPr>
            <w:tcW w:w="1287" w:type="pct"/>
          </w:tcPr>
          <w:p w:rsidR="007F2F9C" w:rsidRPr="004D0CD9" w:rsidRDefault="007F2F9C" w:rsidP="00463AB1">
            <w:pPr>
              <w:spacing w:after="0" w:line="276" w:lineRule="auto"/>
              <w:jc w:val="both"/>
              <w:cnfStyle w:val="000000000000"/>
              <w:rPr>
                <w:rFonts w:ascii="Times New Roman" w:hAnsi="Times New Roman"/>
                <w:sz w:val="22"/>
                <w:szCs w:val="18"/>
              </w:rPr>
            </w:pPr>
            <w:r w:rsidRPr="004D0CD9">
              <w:rPr>
                <w:rFonts w:ascii="Times New Roman" w:hAnsi="Times New Roman"/>
                <w:sz w:val="22"/>
                <w:szCs w:val="18"/>
              </w:rPr>
              <w:t>Delta-II</w:t>
            </w:r>
          </w:p>
        </w:tc>
        <w:tc>
          <w:tcPr>
            <w:tcW w:w="1244"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1972</w:t>
            </w:r>
          </w:p>
        </w:tc>
        <w:tc>
          <w:tcPr>
            <w:tcW w:w="2115"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3.00</w:t>
            </w:r>
          </w:p>
        </w:tc>
      </w:tr>
      <w:tr w:rsidR="007F2F9C" w:rsidRPr="004D0CD9" w:rsidTr="004D0CD9">
        <w:trPr>
          <w:cnfStyle w:val="000000100000"/>
        </w:trPr>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3.</w:t>
            </w:r>
          </w:p>
        </w:tc>
        <w:tc>
          <w:tcPr>
            <w:tcW w:w="1287" w:type="pct"/>
          </w:tcPr>
          <w:p w:rsidR="007F2F9C" w:rsidRPr="004D0CD9" w:rsidRDefault="007F2F9C" w:rsidP="00463AB1">
            <w:pPr>
              <w:spacing w:after="0" w:line="276" w:lineRule="auto"/>
              <w:jc w:val="both"/>
              <w:cnfStyle w:val="000000100000"/>
              <w:rPr>
                <w:rFonts w:ascii="Times New Roman" w:hAnsi="Times New Roman"/>
                <w:sz w:val="22"/>
                <w:szCs w:val="18"/>
              </w:rPr>
            </w:pPr>
            <w:r w:rsidRPr="004D0CD9">
              <w:rPr>
                <w:rFonts w:ascii="Times New Roman" w:hAnsi="Times New Roman"/>
                <w:sz w:val="22"/>
                <w:szCs w:val="18"/>
              </w:rPr>
              <w:t>Delta-35</w:t>
            </w:r>
          </w:p>
        </w:tc>
        <w:tc>
          <w:tcPr>
            <w:tcW w:w="1244"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1975</w:t>
            </w:r>
          </w:p>
        </w:tc>
        <w:tc>
          <w:tcPr>
            <w:tcW w:w="2115"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4.00</w:t>
            </w:r>
          </w:p>
        </w:tc>
      </w:tr>
      <w:tr w:rsidR="007F2F9C" w:rsidRPr="004D0CD9" w:rsidTr="004D0CD9">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4.</w:t>
            </w:r>
          </w:p>
        </w:tc>
        <w:tc>
          <w:tcPr>
            <w:tcW w:w="1287" w:type="pct"/>
          </w:tcPr>
          <w:p w:rsidR="007F2F9C" w:rsidRPr="004D0CD9" w:rsidRDefault="007F2F9C" w:rsidP="00463AB1">
            <w:pPr>
              <w:spacing w:after="0" w:line="276" w:lineRule="auto"/>
              <w:jc w:val="both"/>
              <w:cnfStyle w:val="000000000000"/>
              <w:rPr>
                <w:rFonts w:ascii="Times New Roman" w:hAnsi="Times New Roman"/>
                <w:sz w:val="22"/>
                <w:szCs w:val="18"/>
              </w:rPr>
            </w:pPr>
            <w:r w:rsidRPr="004D0CD9">
              <w:rPr>
                <w:rFonts w:ascii="Times New Roman" w:hAnsi="Times New Roman"/>
                <w:sz w:val="22"/>
                <w:szCs w:val="18"/>
              </w:rPr>
              <w:t>Delta-36</w:t>
            </w:r>
          </w:p>
        </w:tc>
        <w:tc>
          <w:tcPr>
            <w:tcW w:w="1244"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1975</w:t>
            </w:r>
          </w:p>
        </w:tc>
        <w:tc>
          <w:tcPr>
            <w:tcW w:w="2115"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4.00</w:t>
            </w:r>
          </w:p>
        </w:tc>
      </w:tr>
      <w:tr w:rsidR="007F2F9C" w:rsidRPr="004D0CD9" w:rsidTr="004D0CD9">
        <w:trPr>
          <w:cnfStyle w:val="000000100000"/>
        </w:trPr>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5.</w:t>
            </w:r>
          </w:p>
        </w:tc>
        <w:tc>
          <w:tcPr>
            <w:tcW w:w="1287" w:type="pct"/>
          </w:tcPr>
          <w:p w:rsidR="007F2F9C" w:rsidRPr="004D0CD9" w:rsidRDefault="007F2F9C" w:rsidP="00463AB1">
            <w:pPr>
              <w:spacing w:after="0" w:line="276" w:lineRule="auto"/>
              <w:cnfStyle w:val="000000100000"/>
              <w:rPr>
                <w:rFonts w:ascii="Times New Roman" w:hAnsi="Times New Roman"/>
                <w:sz w:val="22"/>
                <w:szCs w:val="18"/>
              </w:rPr>
            </w:pPr>
            <w:r w:rsidRPr="004D0CD9">
              <w:rPr>
                <w:rFonts w:ascii="Times New Roman" w:hAnsi="Times New Roman"/>
                <w:sz w:val="22"/>
                <w:szCs w:val="18"/>
              </w:rPr>
              <w:t>Delta-37</w:t>
            </w:r>
          </w:p>
        </w:tc>
        <w:tc>
          <w:tcPr>
            <w:tcW w:w="1244"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1975</w:t>
            </w:r>
          </w:p>
        </w:tc>
        <w:tc>
          <w:tcPr>
            <w:tcW w:w="2115"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4.00</w:t>
            </w:r>
          </w:p>
        </w:tc>
      </w:tr>
      <w:tr w:rsidR="007F2F9C" w:rsidRPr="004D0CD9" w:rsidTr="004D0CD9">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6.</w:t>
            </w:r>
          </w:p>
        </w:tc>
        <w:tc>
          <w:tcPr>
            <w:tcW w:w="1287" w:type="pct"/>
          </w:tcPr>
          <w:p w:rsidR="007F2F9C" w:rsidRPr="004D0CD9" w:rsidRDefault="007F2F9C" w:rsidP="00463AB1">
            <w:pPr>
              <w:spacing w:after="0" w:line="276" w:lineRule="auto"/>
              <w:cnfStyle w:val="000000000000"/>
              <w:rPr>
                <w:rFonts w:ascii="Times New Roman" w:hAnsi="Times New Roman"/>
                <w:sz w:val="22"/>
                <w:szCs w:val="18"/>
              </w:rPr>
            </w:pPr>
            <w:r w:rsidRPr="004D0CD9">
              <w:rPr>
                <w:rFonts w:ascii="Times New Roman" w:hAnsi="Times New Roman"/>
                <w:sz w:val="22"/>
                <w:szCs w:val="18"/>
              </w:rPr>
              <w:t>Delta-38</w:t>
            </w:r>
          </w:p>
        </w:tc>
        <w:tc>
          <w:tcPr>
            <w:tcW w:w="1244"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1975</w:t>
            </w:r>
          </w:p>
        </w:tc>
        <w:tc>
          <w:tcPr>
            <w:tcW w:w="2115"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4.00</w:t>
            </w:r>
          </w:p>
        </w:tc>
      </w:tr>
      <w:tr w:rsidR="007F2F9C" w:rsidRPr="004D0CD9" w:rsidTr="004D0CD9">
        <w:trPr>
          <w:cnfStyle w:val="000000100000"/>
        </w:trPr>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7.</w:t>
            </w:r>
          </w:p>
        </w:tc>
        <w:tc>
          <w:tcPr>
            <w:tcW w:w="1287" w:type="pct"/>
          </w:tcPr>
          <w:p w:rsidR="007F2F9C" w:rsidRPr="004D0CD9" w:rsidRDefault="007F2F9C" w:rsidP="00463AB1">
            <w:pPr>
              <w:spacing w:after="0" w:line="276" w:lineRule="auto"/>
              <w:cnfStyle w:val="000000100000"/>
              <w:rPr>
                <w:rFonts w:ascii="Times New Roman" w:hAnsi="Times New Roman"/>
                <w:sz w:val="22"/>
                <w:szCs w:val="18"/>
              </w:rPr>
            </w:pPr>
            <w:r w:rsidRPr="004D0CD9">
              <w:rPr>
                <w:rFonts w:ascii="Times New Roman" w:hAnsi="Times New Roman"/>
                <w:sz w:val="22"/>
                <w:szCs w:val="18"/>
              </w:rPr>
              <w:t>Delta-139</w:t>
            </w:r>
          </w:p>
        </w:tc>
        <w:tc>
          <w:tcPr>
            <w:tcW w:w="1244"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1975</w:t>
            </w:r>
          </w:p>
        </w:tc>
        <w:tc>
          <w:tcPr>
            <w:tcW w:w="2115"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4.00</w:t>
            </w:r>
          </w:p>
        </w:tc>
      </w:tr>
      <w:tr w:rsidR="007F2F9C" w:rsidRPr="004D0CD9" w:rsidTr="004D0CD9">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8.</w:t>
            </w:r>
          </w:p>
        </w:tc>
        <w:tc>
          <w:tcPr>
            <w:tcW w:w="1287" w:type="pct"/>
          </w:tcPr>
          <w:p w:rsidR="007F2F9C" w:rsidRPr="004D0CD9" w:rsidRDefault="007F2F9C" w:rsidP="00463AB1">
            <w:pPr>
              <w:spacing w:after="0" w:line="276" w:lineRule="auto"/>
              <w:jc w:val="both"/>
              <w:cnfStyle w:val="000000000000"/>
              <w:rPr>
                <w:rFonts w:ascii="Times New Roman" w:hAnsi="Times New Roman"/>
                <w:sz w:val="22"/>
                <w:szCs w:val="18"/>
              </w:rPr>
            </w:pPr>
            <w:r w:rsidRPr="004D0CD9">
              <w:rPr>
                <w:rFonts w:ascii="Times New Roman" w:hAnsi="Times New Roman"/>
                <w:sz w:val="22"/>
                <w:szCs w:val="18"/>
              </w:rPr>
              <w:t>Kushiara</w:t>
            </w:r>
          </w:p>
        </w:tc>
        <w:tc>
          <w:tcPr>
            <w:tcW w:w="1244"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2011</w:t>
            </w:r>
          </w:p>
        </w:tc>
        <w:tc>
          <w:tcPr>
            <w:tcW w:w="2115"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6.00</w:t>
            </w:r>
          </w:p>
        </w:tc>
      </w:tr>
      <w:tr w:rsidR="007F2F9C" w:rsidRPr="004D0CD9" w:rsidTr="004D0CD9">
        <w:trPr>
          <w:cnfStyle w:val="000000100000"/>
        </w:trPr>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9.</w:t>
            </w:r>
          </w:p>
        </w:tc>
        <w:tc>
          <w:tcPr>
            <w:tcW w:w="1287" w:type="pct"/>
          </w:tcPr>
          <w:p w:rsidR="007F2F9C" w:rsidRPr="004D0CD9" w:rsidRDefault="007F2F9C" w:rsidP="00463AB1">
            <w:pPr>
              <w:spacing w:after="0" w:line="276" w:lineRule="auto"/>
              <w:jc w:val="both"/>
              <w:cnfStyle w:val="000000100000"/>
              <w:rPr>
                <w:rFonts w:ascii="Times New Roman" w:hAnsi="Times New Roman"/>
                <w:sz w:val="22"/>
                <w:szCs w:val="18"/>
              </w:rPr>
            </w:pPr>
            <w:r w:rsidRPr="004D0CD9">
              <w:rPr>
                <w:rFonts w:ascii="Times New Roman" w:hAnsi="Times New Roman"/>
                <w:sz w:val="22"/>
                <w:szCs w:val="18"/>
              </w:rPr>
              <w:t>Karnafuly</w:t>
            </w:r>
          </w:p>
        </w:tc>
        <w:tc>
          <w:tcPr>
            <w:tcW w:w="1244"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2011</w:t>
            </w:r>
          </w:p>
        </w:tc>
        <w:tc>
          <w:tcPr>
            <w:tcW w:w="2115"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6.00</w:t>
            </w:r>
          </w:p>
        </w:tc>
      </w:tr>
      <w:tr w:rsidR="007F2F9C" w:rsidRPr="004D0CD9" w:rsidTr="004D0CD9">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10.</w:t>
            </w:r>
          </w:p>
        </w:tc>
        <w:tc>
          <w:tcPr>
            <w:tcW w:w="1287" w:type="pct"/>
          </w:tcPr>
          <w:p w:rsidR="007F2F9C" w:rsidRPr="004D0CD9" w:rsidRDefault="007F2F9C" w:rsidP="00463AB1">
            <w:pPr>
              <w:spacing w:after="0" w:line="276" w:lineRule="auto"/>
              <w:jc w:val="both"/>
              <w:cnfStyle w:val="000000000000"/>
              <w:rPr>
                <w:rFonts w:ascii="Times New Roman" w:hAnsi="Times New Roman"/>
                <w:sz w:val="22"/>
                <w:szCs w:val="18"/>
              </w:rPr>
            </w:pPr>
            <w:r w:rsidRPr="004D0CD9">
              <w:rPr>
                <w:rFonts w:ascii="Times New Roman" w:hAnsi="Times New Roman"/>
                <w:sz w:val="22"/>
                <w:szCs w:val="18"/>
              </w:rPr>
              <w:t>Kopotakhsa</w:t>
            </w:r>
          </w:p>
        </w:tc>
        <w:tc>
          <w:tcPr>
            <w:tcW w:w="1244"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2011</w:t>
            </w:r>
          </w:p>
        </w:tc>
        <w:tc>
          <w:tcPr>
            <w:tcW w:w="2115"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6.00</w:t>
            </w:r>
          </w:p>
        </w:tc>
      </w:tr>
      <w:tr w:rsidR="007F2F9C" w:rsidRPr="004D0CD9" w:rsidTr="004D0CD9">
        <w:trPr>
          <w:cnfStyle w:val="000000100000"/>
        </w:trPr>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11.</w:t>
            </w:r>
          </w:p>
        </w:tc>
        <w:tc>
          <w:tcPr>
            <w:tcW w:w="1287" w:type="pct"/>
          </w:tcPr>
          <w:p w:rsidR="007F2F9C" w:rsidRPr="004D0CD9" w:rsidRDefault="007F2F9C" w:rsidP="00463AB1">
            <w:pPr>
              <w:spacing w:after="0" w:line="276" w:lineRule="auto"/>
              <w:cnfStyle w:val="000000100000"/>
              <w:rPr>
                <w:rFonts w:ascii="Times New Roman" w:hAnsi="Times New Roman"/>
                <w:sz w:val="22"/>
                <w:szCs w:val="18"/>
              </w:rPr>
            </w:pPr>
            <w:r w:rsidRPr="004D0CD9">
              <w:rPr>
                <w:rFonts w:ascii="Times New Roman" w:hAnsi="Times New Roman"/>
                <w:sz w:val="22"/>
                <w:szCs w:val="18"/>
              </w:rPr>
              <w:t>Delta-1420-1</w:t>
            </w:r>
          </w:p>
        </w:tc>
        <w:tc>
          <w:tcPr>
            <w:tcW w:w="1244"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2014</w:t>
            </w:r>
          </w:p>
        </w:tc>
        <w:tc>
          <w:tcPr>
            <w:tcW w:w="2115"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7.00</w:t>
            </w:r>
          </w:p>
        </w:tc>
      </w:tr>
      <w:tr w:rsidR="007F2F9C" w:rsidRPr="004D0CD9" w:rsidTr="004D0CD9">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12.</w:t>
            </w:r>
          </w:p>
        </w:tc>
        <w:tc>
          <w:tcPr>
            <w:tcW w:w="1287" w:type="pct"/>
          </w:tcPr>
          <w:p w:rsidR="007F2F9C" w:rsidRPr="004D0CD9" w:rsidRDefault="007F2F9C" w:rsidP="00463AB1">
            <w:pPr>
              <w:spacing w:after="0" w:line="276" w:lineRule="auto"/>
              <w:cnfStyle w:val="000000000000"/>
              <w:rPr>
                <w:rFonts w:ascii="Times New Roman" w:hAnsi="Times New Roman"/>
                <w:sz w:val="22"/>
                <w:szCs w:val="18"/>
              </w:rPr>
            </w:pPr>
            <w:r w:rsidRPr="004D0CD9">
              <w:rPr>
                <w:rFonts w:ascii="Times New Roman" w:hAnsi="Times New Roman"/>
                <w:sz w:val="22"/>
                <w:szCs w:val="18"/>
              </w:rPr>
              <w:t>Delta-1420-2</w:t>
            </w:r>
          </w:p>
        </w:tc>
        <w:tc>
          <w:tcPr>
            <w:tcW w:w="1244"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2014</w:t>
            </w:r>
          </w:p>
        </w:tc>
        <w:tc>
          <w:tcPr>
            <w:tcW w:w="2115"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7.00</w:t>
            </w:r>
          </w:p>
        </w:tc>
      </w:tr>
      <w:tr w:rsidR="007F2F9C" w:rsidRPr="004D0CD9" w:rsidTr="004D0CD9">
        <w:trPr>
          <w:cnfStyle w:val="000000100000"/>
        </w:trPr>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13.</w:t>
            </w:r>
          </w:p>
        </w:tc>
        <w:tc>
          <w:tcPr>
            <w:tcW w:w="1287" w:type="pct"/>
          </w:tcPr>
          <w:p w:rsidR="007F2F9C" w:rsidRPr="004D0CD9" w:rsidRDefault="007F2F9C" w:rsidP="00463AB1">
            <w:pPr>
              <w:spacing w:after="0" w:line="276" w:lineRule="auto"/>
              <w:cnfStyle w:val="000000100000"/>
              <w:rPr>
                <w:rFonts w:ascii="Times New Roman" w:hAnsi="Times New Roman"/>
                <w:sz w:val="22"/>
                <w:szCs w:val="18"/>
              </w:rPr>
            </w:pPr>
            <w:r w:rsidRPr="004D0CD9">
              <w:rPr>
                <w:rFonts w:ascii="Times New Roman" w:hAnsi="Times New Roman"/>
                <w:sz w:val="22"/>
                <w:szCs w:val="18"/>
              </w:rPr>
              <w:t>Delta-1418-1</w:t>
            </w:r>
          </w:p>
        </w:tc>
        <w:tc>
          <w:tcPr>
            <w:tcW w:w="1244"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2014</w:t>
            </w:r>
          </w:p>
        </w:tc>
        <w:tc>
          <w:tcPr>
            <w:tcW w:w="2115"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6.00</w:t>
            </w:r>
          </w:p>
        </w:tc>
      </w:tr>
      <w:tr w:rsidR="007F2F9C" w:rsidRPr="004D0CD9" w:rsidTr="004D0CD9">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14.</w:t>
            </w:r>
          </w:p>
        </w:tc>
        <w:tc>
          <w:tcPr>
            <w:tcW w:w="1287" w:type="pct"/>
          </w:tcPr>
          <w:p w:rsidR="007F2F9C" w:rsidRPr="004D0CD9" w:rsidRDefault="007F2F9C" w:rsidP="00463AB1">
            <w:pPr>
              <w:spacing w:after="0" w:line="276" w:lineRule="auto"/>
              <w:cnfStyle w:val="000000000000"/>
              <w:rPr>
                <w:rFonts w:ascii="Times New Roman" w:hAnsi="Times New Roman"/>
                <w:sz w:val="22"/>
                <w:szCs w:val="18"/>
              </w:rPr>
            </w:pPr>
            <w:r w:rsidRPr="004D0CD9">
              <w:rPr>
                <w:rFonts w:ascii="Times New Roman" w:hAnsi="Times New Roman"/>
                <w:sz w:val="22"/>
                <w:szCs w:val="18"/>
              </w:rPr>
              <w:t>Delta-1418-2</w:t>
            </w:r>
          </w:p>
        </w:tc>
        <w:tc>
          <w:tcPr>
            <w:tcW w:w="1244"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2014</w:t>
            </w:r>
          </w:p>
        </w:tc>
        <w:tc>
          <w:tcPr>
            <w:tcW w:w="2115"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6.00</w:t>
            </w:r>
          </w:p>
        </w:tc>
      </w:tr>
      <w:tr w:rsidR="007F2F9C" w:rsidRPr="004D0CD9" w:rsidTr="004D0CD9">
        <w:trPr>
          <w:cnfStyle w:val="000000100000"/>
        </w:trPr>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15.</w:t>
            </w:r>
          </w:p>
        </w:tc>
        <w:tc>
          <w:tcPr>
            <w:tcW w:w="1287" w:type="pct"/>
          </w:tcPr>
          <w:p w:rsidR="007F2F9C" w:rsidRPr="004D0CD9" w:rsidRDefault="007F2F9C" w:rsidP="00463AB1">
            <w:pPr>
              <w:spacing w:after="0" w:line="276" w:lineRule="auto"/>
              <w:cnfStyle w:val="000000100000"/>
              <w:rPr>
                <w:rFonts w:ascii="Times New Roman" w:hAnsi="Times New Roman"/>
                <w:sz w:val="22"/>
                <w:szCs w:val="18"/>
              </w:rPr>
            </w:pPr>
            <w:r w:rsidRPr="004D0CD9">
              <w:rPr>
                <w:rFonts w:ascii="Times New Roman" w:hAnsi="Times New Roman"/>
                <w:sz w:val="22"/>
                <w:szCs w:val="18"/>
              </w:rPr>
              <w:t>Delta-1418-3</w:t>
            </w:r>
          </w:p>
        </w:tc>
        <w:tc>
          <w:tcPr>
            <w:tcW w:w="1244"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2014</w:t>
            </w:r>
          </w:p>
        </w:tc>
        <w:tc>
          <w:tcPr>
            <w:tcW w:w="2115"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6.00</w:t>
            </w:r>
          </w:p>
        </w:tc>
      </w:tr>
      <w:tr w:rsidR="007F2F9C" w:rsidRPr="004D0CD9" w:rsidTr="004D0CD9">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16.</w:t>
            </w:r>
          </w:p>
        </w:tc>
        <w:tc>
          <w:tcPr>
            <w:tcW w:w="1287" w:type="pct"/>
          </w:tcPr>
          <w:p w:rsidR="007F2F9C" w:rsidRPr="004D0CD9" w:rsidRDefault="007F2F9C" w:rsidP="00463AB1">
            <w:pPr>
              <w:spacing w:after="0" w:line="276" w:lineRule="auto"/>
              <w:cnfStyle w:val="000000000000"/>
              <w:rPr>
                <w:rFonts w:ascii="Times New Roman" w:hAnsi="Times New Roman"/>
                <w:sz w:val="22"/>
                <w:szCs w:val="18"/>
              </w:rPr>
            </w:pPr>
            <w:r w:rsidRPr="004D0CD9">
              <w:rPr>
                <w:rFonts w:ascii="Times New Roman" w:hAnsi="Times New Roman"/>
                <w:sz w:val="22"/>
                <w:szCs w:val="18"/>
              </w:rPr>
              <w:t>Delta-1418-4</w:t>
            </w:r>
          </w:p>
        </w:tc>
        <w:tc>
          <w:tcPr>
            <w:tcW w:w="1244"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2014</w:t>
            </w:r>
          </w:p>
        </w:tc>
        <w:tc>
          <w:tcPr>
            <w:tcW w:w="2115"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6.00</w:t>
            </w:r>
          </w:p>
        </w:tc>
      </w:tr>
      <w:tr w:rsidR="007F2F9C" w:rsidRPr="004D0CD9" w:rsidTr="004D0CD9">
        <w:trPr>
          <w:cnfStyle w:val="000000100000"/>
        </w:trPr>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17.</w:t>
            </w:r>
          </w:p>
        </w:tc>
        <w:tc>
          <w:tcPr>
            <w:tcW w:w="1287" w:type="pct"/>
          </w:tcPr>
          <w:p w:rsidR="007F2F9C" w:rsidRPr="004D0CD9" w:rsidRDefault="007F2F9C" w:rsidP="00463AB1">
            <w:pPr>
              <w:spacing w:after="0" w:line="276" w:lineRule="auto"/>
              <w:cnfStyle w:val="000000100000"/>
              <w:rPr>
                <w:rFonts w:ascii="Times New Roman" w:hAnsi="Times New Roman"/>
                <w:sz w:val="22"/>
                <w:szCs w:val="18"/>
              </w:rPr>
            </w:pPr>
            <w:r w:rsidRPr="004D0CD9">
              <w:rPr>
                <w:rFonts w:ascii="Times New Roman" w:hAnsi="Times New Roman"/>
                <w:sz w:val="22"/>
                <w:szCs w:val="18"/>
              </w:rPr>
              <w:t>Delta-1418-5</w:t>
            </w:r>
          </w:p>
        </w:tc>
        <w:tc>
          <w:tcPr>
            <w:tcW w:w="1244"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2014</w:t>
            </w:r>
          </w:p>
        </w:tc>
        <w:tc>
          <w:tcPr>
            <w:tcW w:w="2115" w:type="pct"/>
          </w:tcPr>
          <w:p w:rsidR="007F2F9C" w:rsidRPr="004D0CD9" w:rsidRDefault="007F2F9C" w:rsidP="00463AB1">
            <w:pPr>
              <w:spacing w:after="0" w:line="276" w:lineRule="auto"/>
              <w:jc w:val="center"/>
              <w:cnfStyle w:val="000000100000"/>
              <w:rPr>
                <w:rFonts w:ascii="Times New Roman" w:hAnsi="Times New Roman"/>
                <w:sz w:val="22"/>
                <w:szCs w:val="18"/>
              </w:rPr>
            </w:pPr>
            <w:r w:rsidRPr="004D0CD9">
              <w:rPr>
                <w:rFonts w:ascii="Times New Roman" w:hAnsi="Times New Roman"/>
                <w:sz w:val="22"/>
                <w:szCs w:val="18"/>
              </w:rPr>
              <w:t>6.00</w:t>
            </w:r>
          </w:p>
        </w:tc>
      </w:tr>
      <w:tr w:rsidR="007F2F9C" w:rsidRPr="004D0CD9" w:rsidTr="004D0CD9">
        <w:tc>
          <w:tcPr>
            <w:cnfStyle w:val="001000000000"/>
            <w:tcW w:w="354" w:type="pct"/>
          </w:tcPr>
          <w:p w:rsidR="007F2F9C" w:rsidRPr="004D0CD9" w:rsidRDefault="007F2F9C" w:rsidP="00463AB1">
            <w:pPr>
              <w:spacing w:after="0" w:line="276" w:lineRule="auto"/>
              <w:jc w:val="center"/>
              <w:rPr>
                <w:rFonts w:ascii="Times New Roman" w:hAnsi="Times New Roman"/>
                <w:sz w:val="22"/>
                <w:szCs w:val="18"/>
              </w:rPr>
            </w:pPr>
            <w:r w:rsidRPr="004D0CD9">
              <w:rPr>
                <w:rFonts w:ascii="Times New Roman" w:hAnsi="Times New Roman"/>
                <w:sz w:val="22"/>
                <w:szCs w:val="18"/>
              </w:rPr>
              <w:t>18.</w:t>
            </w:r>
          </w:p>
        </w:tc>
        <w:tc>
          <w:tcPr>
            <w:tcW w:w="1287" w:type="pct"/>
          </w:tcPr>
          <w:p w:rsidR="007F2F9C" w:rsidRPr="004D0CD9" w:rsidRDefault="007F2F9C" w:rsidP="00463AB1">
            <w:pPr>
              <w:spacing w:after="0" w:line="276" w:lineRule="auto"/>
              <w:cnfStyle w:val="000000000000"/>
              <w:rPr>
                <w:rFonts w:ascii="Times New Roman" w:hAnsi="Times New Roman"/>
                <w:sz w:val="22"/>
                <w:szCs w:val="18"/>
              </w:rPr>
            </w:pPr>
            <w:r w:rsidRPr="004D0CD9">
              <w:rPr>
                <w:rFonts w:ascii="Times New Roman" w:hAnsi="Times New Roman"/>
                <w:sz w:val="22"/>
                <w:szCs w:val="18"/>
              </w:rPr>
              <w:t>Delta-1418-6</w:t>
            </w:r>
          </w:p>
        </w:tc>
        <w:tc>
          <w:tcPr>
            <w:tcW w:w="1244"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2014</w:t>
            </w:r>
          </w:p>
        </w:tc>
        <w:tc>
          <w:tcPr>
            <w:tcW w:w="2115" w:type="pct"/>
          </w:tcPr>
          <w:p w:rsidR="007F2F9C" w:rsidRPr="004D0CD9" w:rsidRDefault="007F2F9C" w:rsidP="00463AB1">
            <w:pPr>
              <w:spacing w:after="0" w:line="276" w:lineRule="auto"/>
              <w:jc w:val="center"/>
              <w:cnfStyle w:val="000000000000"/>
              <w:rPr>
                <w:rFonts w:ascii="Times New Roman" w:hAnsi="Times New Roman"/>
                <w:sz w:val="22"/>
                <w:szCs w:val="18"/>
              </w:rPr>
            </w:pPr>
            <w:r w:rsidRPr="004D0CD9">
              <w:rPr>
                <w:rFonts w:ascii="Times New Roman" w:hAnsi="Times New Roman"/>
                <w:sz w:val="22"/>
                <w:szCs w:val="18"/>
              </w:rPr>
              <w:t>6.00</w:t>
            </w:r>
          </w:p>
        </w:tc>
      </w:tr>
      <w:tr w:rsidR="007F2F9C" w:rsidRPr="004D0CD9" w:rsidTr="004D0CD9">
        <w:trPr>
          <w:cnfStyle w:val="000000100000"/>
        </w:trPr>
        <w:tc>
          <w:tcPr>
            <w:cnfStyle w:val="001000000000"/>
            <w:tcW w:w="2885" w:type="pct"/>
            <w:gridSpan w:val="3"/>
          </w:tcPr>
          <w:p w:rsidR="007F2F9C" w:rsidRPr="004D0CD9" w:rsidRDefault="007F2F9C" w:rsidP="00463AB1">
            <w:pPr>
              <w:spacing w:after="0" w:line="276" w:lineRule="auto"/>
              <w:jc w:val="right"/>
              <w:rPr>
                <w:rFonts w:ascii="Times New Roman" w:hAnsi="Times New Roman"/>
                <w:sz w:val="22"/>
                <w:szCs w:val="18"/>
              </w:rPr>
            </w:pPr>
            <w:r w:rsidRPr="004D0CD9">
              <w:rPr>
                <w:rFonts w:ascii="Times New Roman" w:hAnsi="Times New Roman"/>
                <w:sz w:val="22"/>
                <w:szCs w:val="18"/>
              </w:rPr>
              <w:t>Existing Capacity</w:t>
            </w:r>
          </w:p>
        </w:tc>
        <w:tc>
          <w:tcPr>
            <w:tcW w:w="2115" w:type="pct"/>
          </w:tcPr>
          <w:p w:rsidR="007F2F9C" w:rsidRPr="004D0CD9" w:rsidRDefault="007F2F9C" w:rsidP="00463AB1">
            <w:pPr>
              <w:spacing w:after="0" w:line="276" w:lineRule="auto"/>
              <w:jc w:val="center"/>
              <w:cnfStyle w:val="000000100000"/>
              <w:rPr>
                <w:rFonts w:ascii="Times New Roman" w:hAnsi="Times New Roman"/>
                <w:b/>
                <w:sz w:val="22"/>
                <w:szCs w:val="18"/>
              </w:rPr>
            </w:pPr>
            <w:r w:rsidRPr="004D0CD9">
              <w:rPr>
                <w:rFonts w:ascii="Times New Roman" w:hAnsi="Times New Roman"/>
                <w:b/>
                <w:sz w:val="22"/>
                <w:szCs w:val="18"/>
              </w:rPr>
              <w:t>94.00</w:t>
            </w:r>
          </w:p>
        </w:tc>
      </w:tr>
      <w:tr w:rsidR="007F2F9C" w:rsidRPr="004D0CD9" w:rsidTr="004D0CD9">
        <w:tc>
          <w:tcPr>
            <w:cnfStyle w:val="001000000000"/>
            <w:tcW w:w="2885" w:type="pct"/>
            <w:gridSpan w:val="3"/>
          </w:tcPr>
          <w:p w:rsidR="007F2F9C" w:rsidRPr="00D10C92" w:rsidRDefault="007F2F9C" w:rsidP="00463AB1">
            <w:pPr>
              <w:spacing w:after="0" w:line="276" w:lineRule="auto"/>
              <w:jc w:val="right"/>
              <w:rPr>
                <w:rFonts w:ascii="Times New Roman" w:hAnsi="Times New Roman"/>
                <w:b w:val="0"/>
                <w:sz w:val="22"/>
                <w:szCs w:val="18"/>
              </w:rPr>
            </w:pPr>
            <w:r w:rsidRPr="00D10C92">
              <w:rPr>
                <w:rFonts w:ascii="Times New Roman" w:hAnsi="Times New Roman"/>
                <w:b w:val="0"/>
                <w:sz w:val="22"/>
                <w:szCs w:val="18"/>
              </w:rPr>
              <w:t>Three dredgers being procured to be delivered in 2014</w:t>
            </w:r>
          </w:p>
        </w:tc>
        <w:tc>
          <w:tcPr>
            <w:tcW w:w="2115" w:type="pct"/>
          </w:tcPr>
          <w:p w:rsidR="007F2F9C" w:rsidRPr="00D10C92" w:rsidRDefault="007F2F9C" w:rsidP="00463AB1">
            <w:pPr>
              <w:spacing w:after="0" w:line="276" w:lineRule="auto"/>
              <w:jc w:val="center"/>
              <w:cnfStyle w:val="000000000000"/>
              <w:rPr>
                <w:rFonts w:ascii="Times New Roman" w:hAnsi="Times New Roman"/>
                <w:sz w:val="22"/>
                <w:szCs w:val="18"/>
              </w:rPr>
            </w:pPr>
            <w:r w:rsidRPr="00D10C92">
              <w:rPr>
                <w:rFonts w:ascii="Times New Roman" w:hAnsi="Times New Roman"/>
                <w:sz w:val="22"/>
                <w:szCs w:val="18"/>
              </w:rPr>
              <w:t>16.00</w:t>
            </w:r>
          </w:p>
        </w:tc>
      </w:tr>
      <w:tr w:rsidR="007F2F9C" w:rsidRPr="004D0CD9" w:rsidTr="004D0CD9">
        <w:trPr>
          <w:cnfStyle w:val="000000100000"/>
        </w:trPr>
        <w:tc>
          <w:tcPr>
            <w:cnfStyle w:val="001000000000"/>
            <w:tcW w:w="2885" w:type="pct"/>
            <w:gridSpan w:val="3"/>
          </w:tcPr>
          <w:p w:rsidR="007F2F9C" w:rsidRPr="004D0CD9" w:rsidRDefault="007F2F9C" w:rsidP="00463AB1">
            <w:pPr>
              <w:spacing w:after="0" w:line="276" w:lineRule="auto"/>
              <w:jc w:val="right"/>
              <w:rPr>
                <w:rFonts w:ascii="Times New Roman" w:hAnsi="Times New Roman"/>
                <w:b w:val="0"/>
                <w:bCs w:val="0"/>
                <w:sz w:val="22"/>
                <w:szCs w:val="18"/>
              </w:rPr>
            </w:pPr>
            <w:r w:rsidRPr="004D0CD9">
              <w:rPr>
                <w:rFonts w:ascii="Times New Roman" w:hAnsi="Times New Roman"/>
                <w:b w:val="0"/>
                <w:bCs w:val="0"/>
                <w:sz w:val="22"/>
                <w:szCs w:val="18"/>
              </w:rPr>
              <w:t>Total Annual Capacity</w:t>
            </w:r>
          </w:p>
        </w:tc>
        <w:tc>
          <w:tcPr>
            <w:tcW w:w="2115" w:type="pct"/>
          </w:tcPr>
          <w:p w:rsidR="007F2F9C" w:rsidRPr="004D0CD9" w:rsidRDefault="007F2F9C" w:rsidP="00463AB1">
            <w:pPr>
              <w:spacing w:after="0" w:line="276" w:lineRule="auto"/>
              <w:jc w:val="center"/>
              <w:cnfStyle w:val="000000100000"/>
              <w:rPr>
                <w:rFonts w:ascii="Times New Roman" w:hAnsi="Times New Roman"/>
                <w:b/>
                <w:bCs/>
                <w:sz w:val="22"/>
                <w:szCs w:val="18"/>
              </w:rPr>
            </w:pPr>
            <w:r w:rsidRPr="004D0CD9">
              <w:rPr>
                <w:rFonts w:ascii="Times New Roman" w:hAnsi="Times New Roman"/>
                <w:b/>
                <w:bCs/>
                <w:sz w:val="22"/>
                <w:szCs w:val="18"/>
              </w:rPr>
              <w:t>110.00</w:t>
            </w:r>
          </w:p>
        </w:tc>
      </w:tr>
    </w:tbl>
    <w:p w:rsidR="007F2F9C" w:rsidRPr="003A3758" w:rsidRDefault="007F2F9C" w:rsidP="00B43F90">
      <w:pPr>
        <w:spacing w:before="120"/>
        <w:rPr>
          <w:rFonts w:cs="Times New Roman"/>
          <w:b/>
          <w:bCs/>
          <w:i/>
          <w:iCs/>
          <w:sz w:val="20"/>
          <w:szCs w:val="20"/>
        </w:rPr>
      </w:pPr>
      <w:r w:rsidRPr="003A3758">
        <w:rPr>
          <w:rFonts w:cs="Times New Roman"/>
          <w:b/>
          <w:bCs/>
          <w:i/>
          <w:iCs/>
          <w:sz w:val="20"/>
          <w:szCs w:val="20"/>
        </w:rPr>
        <w:t>Source: BIWTA</w:t>
      </w:r>
    </w:p>
    <w:p w:rsidR="007F2F9C" w:rsidRPr="004835DC" w:rsidRDefault="007F2F9C" w:rsidP="006E2190">
      <w:pPr>
        <w:spacing w:line="276" w:lineRule="auto"/>
        <w:jc w:val="both"/>
        <w:rPr>
          <w:rFonts w:cs="Times New Roman"/>
          <w:szCs w:val="24"/>
        </w:rPr>
      </w:pPr>
      <w:r w:rsidRPr="00924255">
        <w:rPr>
          <w:rFonts w:cs="Times New Roman"/>
          <w:szCs w:val="24"/>
        </w:rPr>
        <w:t xml:space="preserve">With the three dredgers in pipeline of delivery total annual capacity of 21 dredgers will stand at 11.00 million </w:t>
      </w:r>
      <w:r w:rsidR="004835DC">
        <w:rPr>
          <w:rFonts w:cs="Times New Roman"/>
          <w:szCs w:val="24"/>
        </w:rPr>
        <w:t>m</w:t>
      </w:r>
      <w:r w:rsidR="004835DC" w:rsidRPr="004835DC">
        <w:rPr>
          <w:rFonts w:cs="Times New Roman"/>
          <w:szCs w:val="24"/>
          <w:vertAlign w:val="superscript"/>
        </w:rPr>
        <w:t>3</w:t>
      </w:r>
      <w:r w:rsidRPr="00924255">
        <w:rPr>
          <w:rFonts w:cs="Times New Roman"/>
          <w:szCs w:val="24"/>
        </w:rPr>
        <w:t xml:space="preserve">. </w:t>
      </w:r>
      <w:r>
        <w:rPr>
          <w:rFonts w:cs="Times New Roman"/>
          <w:szCs w:val="24"/>
        </w:rPr>
        <w:t xml:space="preserve"> </w:t>
      </w:r>
      <w:r w:rsidRPr="004835DC">
        <w:rPr>
          <w:rFonts w:cs="Times New Roman"/>
          <w:szCs w:val="24"/>
        </w:rPr>
        <w:t xml:space="preserve">The capacity of each dredger could </w:t>
      </w:r>
      <w:r w:rsidR="00F64A6A" w:rsidRPr="00F64A6A">
        <w:rPr>
          <w:rFonts w:cs="Tahoma"/>
          <w:color w:val="000000"/>
          <w:szCs w:val="24"/>
        </w:rPr>
        <w:t xml:space="preserve">not be fully </w:t>
      </w:r>
      <w:r w:rsidRPr="004835DC">
        <w:rPr>
          <w:rFonts w:cs="Times New Roman"/>
          <w:szCs w:val="24"/>
        </w:rPr>
        <w:t>utilized by BIWTA due to the following factors:</w:t>
      </w:r>
    </w:p>
    <w:p w:rsidR="007F2F9C" w:rsidRPr="00924255" w:rsidRDefault="007F2F9C" w:rsidP="006E2190">
      <w:pPr>
        <w:spacing w:line="276" w:lineRule="auto"/>
        <w:ind w:left="360" w:hanging="360"/>
        <w:jc w:val="both"/>
        <w:rPr>
          <w:rFonts w:cs="Times New Roman"/>
          <w:szCs w:val="24"/>
        </w:rPr>
      </w:pPr>
      <w:r w:rsidRPr="00924255">
        <w:rPr>
          <w:rFonts w:cs="Times New Roman"/>
          <w:szCs w:val="24"/>
        </w:rPr>
        <w:t xml:space="preserve"> i) Deployment period and placement efficiency;</w:t>
      </w:r>
    </w:p>
    <w:p w:rsidR="007F2F9C" w:rsidRPr="00924255" w:rsidRDefault="007F2F9C" w:rsidP="006E2190">
      <w:pPr>
        <w:spacing w:line="276" w:lineRule="auto"/>
        <w:ind w:left="360" w:hanging="360"/>
        <w:jc w:val="both"/>
        <w:rPr>
          <w:rFonts w:cs="Times New Roman"/>
          <w:szCs w:val="24"/>
        </w:rPr>
      </w:pPr>
      <w:r w:rsidRPr="00924255">
        <w:rPr>
          <w:rFonts w:cs="Times New Roman"/>
          <w:szCs w:val="24"/>
        </w:rPr>
        <w:t xml:space="preserve">ii) </w:t>
      </w:r>
      <w:r w:rsidR="004835DC">
        <w:rPr>
          <w:rFonts w:cs="Times New Roman"/>
          <w:szCs w:val="24"/>
        </w:rPr>
        <w:t>only t</w:t>
      </w:r>
      <w:r w:rsidRPr="00924255">
        <w:rPr>
          <w:rFonts w:cs="Times New Roman"/>
          <w:szCs w:val="24"/>
        </w:rPr>
        <w:t>wo shift of works;</w:t>
      </w:r>
    </w:p>
    <w:p w:rsidR="007F2F9C" w:rsidRPr="00924255" w:rsidRDefault="006E2190" w:rsidP="006E2190">
      <w:pPr>
        <w:spacing w:line="276" w:lineRule="auto"/>
        <w:ind w:left="360" w:hanging="360"/>
        <w:jc w:val="both"/>
        <w:rPr>
          <w:rFonts w:cs="Times New Roman"/>
          <w:szCs w:val="24"/>
        </w:rPr>
      </w:pPr>
      <w:r>
        <w:rPr>
          <w:rFonts w:cs="Times New Roman"/>
          <w:szCs w:val="24"/>
        </w:rPr>
        <w:t>i</w:t>
      </w:r>
      <w:r w:rsidR="004835DC">
        <w:rPr>
          <w:rFonts w:cs="Times New Roman"/>
          <w:szCs w:val="24"/>
        </w:rPr>
        <w:t>ii</w:t>
      </w:r>
      <w:r>
        <w:rPr>
          <w:rFonts w:cs="Times New Roman"/>
          <w:szCs w:val="24"/>
        </w:rPr>
        <w:t xml:space="preserve">) </w:t>
      </w:r>
      <w:r w:rsidR="007F2F9C" w:rsidRPr="00924255">
        <w:rPr>
          <w:rFonts w:cs="Times New Roman"/>
          <w:szCs w:val="24"/>
        </w:rPr>
        <w:t>Maintenance and repair time.</w:t>
      </w:r>
    </w:p>
    <w:p w:rsidR="007F2F9C" w:rsidRDefault="007F2F9C" w:rsidP="006E2190">
      <w:pPr>
        <w:spacing w:line="276" w:lineRule="auto"/>
        <w:jc w:val="both"/>
        <w:rPr>
          <w:rFonts w:cs="Times New Roman"/>
          <w:szCs w:val="24"/>
        </w:rPr>
      </w:pPr>
      <w:r w:rsidRPr="00924255">
        <w:rPr>
          <w:rFonts w:cs="Times New Roman"/>
          <w:szCs w:val="24"/>
        </w:rPr>
        <w:t>DHV Consultants in its Report Bangladesh Inland water Transport Master Plan (1989) suggested suitable options to increase the number of productive hours of dredgers through:</w:t>
      </w:r>
    </w:p>
    <w:p w:rsidR="007F2F9C" w:rsidRPr="00924255" w:rsidRDefault="007F2F9C" w:rsidP="006E2190">
      <w:pPr>
        <w:spacing w:line="276" w:lineRule="auto"/>
        <w:ind w:left="360" w:hanging="360"/>
        <w:jc w:val="both"/>
        <w:rPr>
          <w:rFonts w:cs="Times New Roman"/>
          <w:szCs w:val="24"/>
        </w:rPr>
      </w:pPr>
      <w:r w:rsidRPr="00924255">
        <w:rPr>
          <w:rFonts w:cs="Times New Roman"/>
          <w:szCs w:val="24"/>
        </w:rPr>
        <w:t xml:space="preserve"> i) Introducing a third (night) shift, raising productivity by about 30% and /or</w:t>
      </w:r>
    </w:p>
    <w:p w:rsidR="007F2F9C" w:rsidRPr="00924255" w:rsidRDefault="007F2F9C" w:rsidP="006E2190">
      <w:pPr>
        <w:spacing w:line="276" w:lineRule="auto"/>
        <w:ind w:left="360" w:hanging="360"/>
        <w:jc w:val="both"/>
        <w:rPr>
          <w:rFonts w:cs="Times New Roman"/>
          <w:szCs w:val="24"/>
        </w:rPr>
      </w:pPr>
      <w:r w:rsidRPr="00924255">
        <w:rPr>
          <w:rFonts w:cs="Times New Roman"/>
          <w:szCs w:val="24"/>
        </w:rPr>
        <w:t>ii) Increasing the deployment time by 30% (from 27 dredger weeks to almost 35 dredgers weeks per year).</w:t>
      </w:r>
    </w:p>
    <w:p w:rsidR="00586972" w:rsidRPr="004B0A08" w:rsidRDefault="007F2F9C" w:rsidP="006E2190">
      <w:pPr>
        <w:spacing w:line="276" w:lineRule="auto"/>
        <w:jc w:val="both"/>
        <w:rPr>
          <w:rFonts w:cs="Times New Roman"/>
          <w:i/>
          <w:szCs w:val="24"/>
        </w:rPr>
      </w:pPr>
      <w:r w:rsidRPr="004B0A08">
        <w:rPr>
          <w:rFonts w:cs="Times New Roman"/>
          <w:i/>
          <w:szCs w:val="24"/>
        </w:rPr>
        <w:lastRenderedPageBreak/>
        <w:t>Bangladesh Water Development Board (BWDB) has a dredger fleet with 8 million m3 annual capacity. But almost all BWDB dredgers are engaged for own projects.</w:t>
      </w:r>
      <w:r w:rsidRPr="00924255">
        <w:rPr>
          <w:rFonts w:cs="Times New Roman"/>
          <w:szCs w:val="24"/>
        </w:rPr>
        <w:t xml:space="preserve"> The number of projects under implementation by BWDB and projects in pipeline of approval reveal that BWDB dredgers will never be utilized for navigation dredging in the years to come</w:t>
      </w:r>
      <w:r w:rsidRPr="004B0A08">
        <w:rPr>
          <w:rFonts w:cs="Times New Roman"/>
          <w:i/>
          <w:szCs w:val="24"/>
        </w:rPr>
        <w:t xml:space="preserve">. So, only remaining alternative is to significantly involve and utilize private sector in navigation dredging. Very recently private sector is coming forward for investment in navigation dredging. Table </w:t>
      </w:r>
      <w:r w:rsidR="006F301A" w:rsidRPr="004B0A08">
        <w:rPr>
          <w:rFonts w:cs="Times New Roman"/>
          <w:i/>
          <w:szCs w:val="24"/>
        </w:rPr>
        <w:t>9.</w:t>
      </w:r>
      <w:r w:rsidRPr="004B0A08">
        <w:rPr>
          <w:rFonts w:cs="Times New Roman"/>
          <w:i/>
          <w:szCs w:val="24"/>
        </w:rPr>
        <w:t>2</w:t>
      </w:r>
      <w:r w:rsidR="00857188" w:rsidRPr="004B0A08">
        <w:rPr>
          <w:rFonts w:cs="Times New Roman"/>
          <w:i/>
          <w:szCs w:val="24"/>
        </w:rPr>
        <w:t>1</w:t>
      </w:r>
      <w:r w:rsidRPr="004B0A08">
        <w:rPr>
          <w:rFonts w:cs="Times New Roman"/>
          <w:i/>
          <w:szCs w:val="24"/>
        </w:rPr>
        <w:t xml:space="preserve"> illustrates increasing participation of private sector.</w:t>
      </w:r>
    </w:p>
    <w:p w:rsidR="007F2F9C" w:rsidRPr="00924255" w:rsidRDefault="007F2F9C" w:rsidP="0036657D">
      <w:pPr>
        <w:pStyle w:val="Heading4"/>
      </w:pPr>
      <w:bookmarkStart w:id="701" w:name="_Toc474639087"/>
      <w:r w:rsidRPr="00924255">
        <w:t xml:space="preserve">Table </w:t>
      </w:r>
      <w:r w:rsidR="00303BC9">
        <w:t>9.</w:t>
      </w:r>
      <w:r>
        <w:t>2</w:t>
      </w:r>
      <w:r w:rsidR="00857188">
        <w:t>1</w:t>
      </w:r>
      <w:r w:rsidRPr="00924255">
        <w:t>: Private Sector Participation in Navigation Dredging</w:t>
      </w:r>
      <w:bookmarkEnd w:id="701"/>
    </w:p>
    <w:tbl>
      <w:tblPr>
        <w:tblStyle w:val="LightShading10"/>
        <w:tblW w:w="5000" w:type="pct"/>
        <w:tblLook w:val="04A0"/>
      </w:tblPr>
      <w:tblGrid>
        <w:gridCol w:w="3660"/>
        <w:gridCol w:w="5916"/>
      </w:tblGrid>
      <w:tr w:rsidR="007F2F9C" w:rsidRPr="00BE31B9" w:rsidTr="00BE31B9">
        <w:trPr>
          <w:cnfStyle w:val="100000000000"/>
          <w:trHeight w:hRule="exact" w:val="360"/>
        </w:trPr>
        <w:tc>
          <w:tcPr>
            <w:cnfStyle w:val="001000000000"/>
            <w:tcW w:w="1911" w:type="pct"/>
          </w:tcPr>
          <w:p w:rsidR="007F2F9C" w:rsidRPr="00D10C92" w:rsidRDefault="007F2F9C" w:rsidP="000C29E6">
            <w:pPr>
              <w:spacing w:line="276" w:lineRule="auto"/>
              <w:jc w:val="center"/>
              <w:rPr>
                <w:rFonts w:ascii="Times New Roman" w:hAnsi="Times New Roman"/>
                <w:sz w:val="24"/>
                <w:szCs w:val="24"/>
              </w:rPr>
            </w:pPr>
            <w:r w:rsidRPr="00D10C92">
              <w:rPr>
                <w:rFonts w:ascii="Times New Roman" w:hAnsi="Times New Roman"/>
                <w:sz w:val="24"/>
                <w:szCs w:val="24"/>
              </w:rPr>
              <w:t>Year</w:t>
            </w:r>
          </w:p>
        </w:tc>
        <w:tc>
          <w:tcPr>
            <w:tcW w:w="3089" w:type="pct"/>
          </w:tcPr>
          <w:p w:rsidR="007F2F9C" w:rsidRPr="00D10C92" w:rsidRDefault="007F2F9C" w:rsidP="000C29E6">
            <w:pPr>
              <w:spacing w:line="276" w:lineRule="auto"/>
              <w:jc w:val="center"/>
              <w:cnfStyle w:val="100000000000"/>
              <w:rPr>
                <w:rFonts w:ascii="Times New Roman" w:hAnsi="Times New Roman"/>
                <w:sz w:val="24"/>
                <w:szCs w:val="24"/>
              </w:rPr>
            </w:pPr>
            <w:r w:rsidRPr="00D10C92">
              <w:rPr>
                <w:rFonts w:ascii="Times New Roman" w:hAnsi="Times New Roman"/>
                <w:sz w:val="24"/>
                <w:szCs w:val="24"/>
              </w:rPr>
              <w:t>Volume of Dredging (million m</w:t>
            </w:r>
            <w:r w:rsidRPr="00D10C92">
              <w:rPr>
                <w:rFonts w:ascii="Times New Roman" w:hAnsi="Times New Roman"/>
                <w:sz w:val="24"/>
                <w:szCs w:val="24"/>
                <w:vertAlign w:val="superscript"/>
              </w:rPr>
              <w:t>3</w:t>
            </w:r>
            <w:r w:rsidRPr="00D10C92">
              <w:rPr>
                <w:rFonts w:ascii="Times New Roman" w:hAnsi="Times New Roman"/>
                <w:sz w:val="24"/>
                <w:szCs w:val="24"/>
              </w:rPr>
              <w:t>)</w:t>
            </w:r>
          </w:p>
        </w:tc>
      </w:tr>
      <w:tr w:rsidR="007F2F9C" w:rsidRPr="00BE31B9" w:rsidTr="00BE31B9">
        <w:trPr>
          <w:cnfStyle w:val="000000100000"/>
          <w:trHeight w:hRule="exact" w:val="360"/>
        </w:trPr>
        <w:tc>
          <w:tcPr>
            <w:cnfStyle w:val="001000000000"/>
            <w:tcW w:w="1911" w:type="pct"/>
          </w:tcPr>
          <w:p w:rsidR="007F2F9C" w:rsidRPr="00BE31B9" w:rsidRDefault="009B44EC" w:rsidP="000C29E6">
            <w:pPr>
              <w:spacing w:after="0" w:line="276" w:lineRule="auto"/>
              <w:rPr>
                <w:rFonts w:ascii="Times New Roman" w:hAnsi="Times New Roman"/>
                <w:bCs w:val="0"/>
                <w:sz w:val="24"/>
                <w:szCs w:val="24"/>
              </w:rPr>
            </w:pPr>
            <w:r w:rsidRPr="00BE31B9">
              <w:rPr>
                <w:rFonts w:ascii="Times New Roman" w:hAnsi="Times New Roman"/>
                <w:bCs w:val="0"/>
                <w:sz w:val="24"/>
                <w:szCs w:val="24"/>
              </w:rPr>
              <w:t>FY20</w:t>
            </w:r>
            <w:r w:rsidR="007F2F9C" w:rsidRPr="00BE31B9">
              <w:rPr>
                <w:rFonts w:ascii="Times New Roman" w:hAnsi="Times New Roman"/>
                <w:bCs w:val="0"/>
                <w:sz w:val="24"/>
                <w:szCs w:val="24"/>
              </w:rPr>
              <w:t>10</w:t>
            </w:r>
          </w:p>
        </w:tc>
        <w:tc>
          <w:tcPr>
            <w:tcW w:w="3089" w:type="pct"/>
          </w:tcPr>
          <w:p w:rsidR="007F2F9C" w:rsidRPr="00BE31B9" w:rsidRDefault="007F2F9C" w:rsidP="000C29E6">
            <w:pPr>
              <w:spacing w:after="0" w:line="276" w:lineRule="auto"/>
              <w:jc w:val="center"/>
              <w:cnfStyle w:val="000000100000"/>
              <w:rPr>
                <w:rFonts w:ascii="Times New Roman" w:hAnsi="Times New Roman"/>
                <w:sz w:val="24"/>
                <w:szCs w:val="24"/>
              </w:rPr>
            </w:pPr>
            <w:r w:rsidRPr="00BE31B9">
              <w:rPr>
                <w:rFonts w:ascii="Times New Roman" w:hAnsi="Times New Roman"/>
                <w:sz w:val="24"/>
                <w:szCs w:val="24"/>
              </w:rPr>
              <w:t>2.03</w:t>
            </w:r>
          </w:p>
        </w:tc>
      </w:tr>
      <w:tr w:rsidR="007F2F9C" w:rsidRPr="00BE31B9" w:rsidTr="00BE31B9">
        <w:trPr>
          <w:trHeight w:hRule="exact" w:val="360"/>
        </w:trPr>
        <w:tc>
          <w:tcPr>
            <w:cnfStyle w:val="001000000000"/>
            <w:tcW w:w="1911" w:type="pct"/>
          </w:tcPr>
          <w:p w:rsidR="007F2F9C" w:rsidRPr="00BE31B9" w:rsidRDefault="009B44EC" w:rsidP="000C29E6">
            <w:pPr>
              <w:spacing w:after="0" w:line="276" w:lineRule="auto"/>
              <w:rPr>
                <w:rFonts w:ascii="Times New Roman" w:hAnsi="Times New Roman"/>
                <w:bCs w:val="0"/>
                <w:sz w:val="24"/>
                <w:szCs w:val="24"/>
              </w:rPr>
            </w:pPr>
            <w:r w:rsidRPr="00BE31B9">
              <w:rPr>
                <w:rFonts w:ascii="Times New Roman" w:hAnsi="Times New Roman"/>
                <w:bCs w:val="0"/>
                <w:sz w:val="24"/>
                <w:szCs w:val="24"/>
              </w:rPr>
              <w:t>FY</w:t>
            </w:r>
            <w:r w:rsidR="007F2F9C" w:rsidRPr="00BE31B9">
              <w:rPr>
                <w:rFonts w:ascii="Times New Roman" w:hAnsi="Times New Roman"/>
                <w:bCs w:val="0"/>
                <w:sz w:val="24"/>
                <w:szCs w:val="24"/>
              </w:rPr>
              <w:t>2011</w:t>
            </w:r>
          </w:p>
        </w:tc>
        <w:tc>
          <w:tcPr>
            <w:tcW w:w="3089" w:type="pct"/>
          </w:tcPr>
          <w:p w:rsidR="007F2F9C" w:rsidRPr="00BE31B9" w:rsidRDefault="007F2F9C" w:rsidP="000C29E6">
            <w:pPr>
              <w:spacing w:after="0" w:line="276" w:lineRule="auto"/>
              <w:jc w:val="center"/>
              <w:cnfStyle w:val="000000000000"/>
              <w:rPr>
                <w:rFonts w:ascii="Times New Roman" w:hAnsi="Times New Roman"/>
                <w:sz w:val="24"/>
                <w:szCs w:val="24"/>
              </w:rPr>
            </w:pPr>
            <w:r w:rsidRPr="00BE31B9">
              <w:rPr>
                <w:rFonts w:ascii="Times New Roman" w:hAnsi="Times New Roman"/>
                <w:sz w:val="24"/>
                <w:szCs w:val="24"/>
              </w:rPr>
              <w:t>3.86</w:t>
            </w:r>
          </w:p>
        </w:tc>
      </w:tr>
      <w:tr w:rsidR="007F2F9C" w:rsidRPr="00BE31B9" w:rsidTr="00BE31B9">
        <w:trPr>
          <w:cnfStyle w:val="000000100000"/>
          <w:trHeight w:hRule="exact" w:val="360"/>
        </w:trPr>
        <w:tc>
          <w:tcPr>
            <w:cnfStyle w:val="001000000000"/>
            <w:tcW w:w="1911" w:type="pct"/>
          </w:tcPr>
          <w:p w:rsidR="007F2F9C" w:rsidRPr="00BE31B9" w:rsidRDefault="009B44EC" w:rsidP="000C29E6">
            <w:pPr>
              <w:spacing w:after="0" w:line="276" w:lineRule="auto"/>
              <w:rPr>
                <w:rFonts w:ascii="Times New Roman" w:hAnsi="Times New Roman"/>
                <w:bCs w:val="0"/>
                <w:sz w:val="24"/>
                <w:szCs w:val="24"/>
              </w:rPr>
            </w:pPr>
            <w:r w:rsidRPr="00BE31B9">
              <w:rPr>
                <w:rFonts w:ascii="Times New Roman" w:hAnsi="Times New Roman"/>
                <w:bCs w:val="0"/>
                <w:sz w:val="24"/>
                <w:szCs w:val="24"/>
              </w:rPr>
              <w:t>FY</w:t>
            </w:r>
            <w:r w:rsidR="007F2F9C" w:rsidRPr="00BE31B9">
              <w:rPr>
                <w:rFonts w:ascii="Times New Roman" w:hAnsi="Times New Roman"/>
                <w:bCs w:val="0"/>
                <w:sz w:val="24"/>
                <w:szCs w:val="24"/>
              </w:rPr>
              <w:t>2012</w:t>
            </w:r>
          </w:p>
        </w:tc>
        <w:tc>
          <w:tcPr>
            <w:tcW w:w="3089" w:type="pct"/>
          </w:tcPr>
          <w:p w:rsidR="007F2F9C" w:rsidRPr="00BE31B9" w:rsidRDefault="007F2F9C" w:rsidP="000C29E6">
            <w:pPr>
              <w:spacing w:after="0" w:line="276" w:lineRule="auto"/>
              <w:jc w:val="center"/>
              <w:cnfStyle w:val="000000100000"/>
              <w:rPr>
                <w:rFonts w:ascii="Times New Roman" w:hAnsi="Times New Roman"/>
                <w:sz w:val="24"/>
                <w:szCs w:val="24"/>
              </w:rPr>
            </w:pPr>
            <w:r w:rsidRPr="00BE31B9">
              <w:rPr>
                <w:rFonts w:ascii="Times New Roman" w:hAnsi="Times New Roman"/>
                <w:sz w:val="24"/>
                <w:szCs w:val="24"/>
              </w:rPr>
              <w:t>3.49</w:t>
            </w:r>
          </w:p>
        </w:tc>
      </w:tr>
      <w:tr w:rsidR="007F2F9C" w:rsidRPr="00BE31B9" w:rsidTr="00BE31B9">
        <w:trPr>
          <w:trHeight w:hRule="exact" w:val="360"/>
        </w:trPr>
        <w:tc>
          <w:tcPr>
            <w:cnfStyle w:val="001000000000"/>
            <w:tcW w:w="1911" w:type="pct"/>
          </w:tcPr>
          <w:p w:rsidR="007F2F9C" w:rsidRPr="00BE31B9" w:rsidRDefault="009B44EC" w:rsidP="000C29E6">
            <w:pPr>
              <w:spacing w:after="0" w:line="276" w:lineRule="auto"/>
              <w:rPr>
                <w:rFonts w:ascii="Times New Roman" w:hAnsi="Times New Roman"/>
                <w:bCs w:val="0"/>
                <w:sz w:val="24"/>
                <w:szCs w:val="24"/>
              </w:rPr>
            </w:pPr>
            <w:r w:rsidRPr="00BE31B9">
              <w:rPr>
                <w:rFonts w:ascii="Times New Roman" w:hAnsi="Times New Roman"/>
                <w:bCs w:val="0"/>
                <w:sz w:val="24"/>
                <w:szCs w:val="24"/>
              </w:rPr>
              <w:t>FY</w:t>
            </w:r>
            <w:r w:rsidR="007F2F9C" w:rsidRPr="00BE31B9">
              <w:rPr>
                <w:rFonts w:ascii="Times New Roman" w:hAnsi="Times New Roman"/>
                <w:bCs w:val="0"/>
                <w:sz w:val="24"/>
                <w:szCs w:val="24"/>
              </w:rPr>
              <w:t>2013</w:t>
            </w:r>
          </w:p>
        </w:tc>
        <w:tc>
          <w:tcPr>
            <w:tcW w:w="3089" w:type="pct"/>
          </w:tcPr>
          <w:p w:rsidR="007F2F9C" w:rsidRPr="00BE31B9" w:rsidRDefault="007F2F9C" w:rsidP="000C29E6">
            <w:pPr>
              <w:spacing w:after="0" w:line="276" w:lineRule="auto"/>
              <w:jc w:val="center"/>
              <w:cnfStyle w:val="000000000000"/>
              <w:rPr>
                <w:rFonts w:ascii="Times New Roman" w:hAnsi="Times New Roman"/>
                <w:sz w:val="24"/>
                <w:szCs w:val="24"/>
              </w:rPr>
            </w:pPr>
            <w:r w:rsidRPr="00BE31B9">
              <w:rPr>
                <w:rFonts w:ascii="Times New Roman" w:hAnsi="Times New Roman"/>
                <w:sz w:val="24"/>
                <w:szCs w:val="24"/>
              </w:rPr>
              <w:t>6.52</w:t>
            </w:r>
          </w:p>
        </w:tc>
      </w:tr>
      <w:tr w:rsidR="007F2F9C" w:rsidRPr="00BE31B9" w:rsidTr="00BE31B9">
        <w:trPr>
          <w:cnfStyle w:val="000000100000"/>
          <w:trHeight w:hRule="exact" w:val="360"/>
        </w:trPr>
        <w:tc>
          <w:tcPr>
            <w:cnfStyle w:val="001000000000"/>
            <w:tcW w:w="1911" w:type="pct"/>
          </w:tcPr>
          <w:p w:rsidR="007F2F9C" w:rsidRPr="00BE31B9" w:rsidRDefault="009B44EC" w:rsidP="000C29E6">
            <w:pPr>
              <w:spacing w:after="0" w:line="276" w:lineRule="auto"/>
              <w:rPr>
                <w:rFonts w:ascii="Times New Roman" w:hAnsi="Times New Roman"/>
                <w:bCs w:val="0"/>
                <w:sz w:val="24"/>
                <w:szCs w:val="24"/>
              </w:rPr>
            </w:pPr>
            <w:r w:rsidRPr="00BE31B9">
              <w:rPr>
                <w:rFonts w:ascii="Times New Roman" w:hAnsi="Times New Roman"/>
                <w:bCs w:val="0"/>
                <w:sz w:val="24"/>
                <w:szCs w:val="24"/>
              </w:rPr>
              <w:t>FY</w:t>
            </w:r>
            <w:r w:rsidR="007F2F9C" w:rsidRPr="00BE31B9">
              <w:rPr>
                <w:rFonts w:ascii="Times New Roman" w:hAnsi="Times New Roman"/>
                <w:bCs w:val="0"/>
                <w:sz w:val="24"/>
                <w:szCs w:val="24"/>
              </w:rPr>
              <w:t>2014</w:t>
            </w:r>
          </w:p>
        </w:tc>
        <w:tc>
          <w:tcPr>
            <w:tcW w:w="3089" w:type="pct"/>
          </w:tcPr>
          <w:p w:rsidR="007F2F9C" w:rsidRPr="00BE31B9" w:rsidRDefault="007F2F9C" w:rsidP="000C29E6">
            <w:pPr>
              <w:spacing w:after="0" w:line="276" w:lineRule="auto"/>
              <w:jc w:val="center"/>
              <w:cnfStyle w:val="000000100000"/>
              <w:rPr>
                <w:rFonts w:ascii="Times New Roman" w:hAnsi="Times New Roman"/>
                <w:sz w:val="24"/>
                <w:szCs w:val="24"/>
              </w:rPr>
            </w:pPr>
            <w:r w:rsidRPr="00BE31B9">
              <w:rPr>
                <w:rFonts w:ascii="Times New Roman" w:hAnsi="Times New Roman"/>
                <w:sz w:val="24"/>
                <w:szCs w:val="24"/>
              </w:rPr>
              <w:t>6.72</w:t>
            </w:r>
          </w:p>
        </w:tc>
      </w:tr>
    </w:tbl>
    <w:p w:rsidR="007F2F9C" w:rsidRPr="001968E1" w:rsidRDefault="007F2F9C" w:rsidP="006E2190">
      <w:pPr>
        <w:spacing w:before="120" w:line="276" w:lineRule="auto"/>
        <w:rPr>
          <w:rFonts w:cs="Times New Roman"/>
          <w:b/>
          <w:bCs/>
          <w:i/>
          <w:iCs/>
          <w:sz w:val="20"/>
        </w:rPr>
      </w:pPr>
      <w:r w:rsidRPr="001968E1">
        <w:rPr>
          <w:rFonts w:cs="Times New Roman"/>
          <w:b/>
          <w:bCs/>
          <w:i/>
          <w:iCs/>
          <w:sz w:val="20"/>
        </w:rPr>
        <w:t>Source: Dredging Department, BIWTA</w:t>
      </w:r>
    </w:p>
    <w:p w:rsidR="00586972" w:rsidRPr="00B35BBB" w:rsidRDefault="00586972" w:rsidP="002F6E6B">
      <w:pPr>
        <w:spacing w:line="276" w:lineRule="auto"/>
        <w:jc w:val="both"/>
        <w:rPr>
          <w:rFonts w:cs="Times New Roman"/>
          <w:b/>
          <w:bCs/>
          <w:i/>
          <w:szCs w:val="24"/>
        </w:rPr>
      </w:pPr>
      <w:r w:rsidRPr="00B35BBB">
        <w:rPr>
          <w:rFonts w:cs="Times New Roman"/>
          <w:b/>
          <w:bCs/>
          <w:i/>
          <w:szCs w:val="24"/>
        </w:rPr>
        <w:t>Determinants of Dredging: Institutional and Governance Constraints</w:t>
      </w:r>
    </w:p>
    <w:p w:rsidR="00586972" w:rsidRPr="004B0A08" w:rsidRDefault="00586972" w:rsidP="00586972">
      <w:pPr>
        <w:spacing w:line="276" w:lineRule="auto"/>
        <w:jc w:val="both"/>
        <w:rPr>
          <w:rFonts w:cs="Times New Roman"/>
          <w:i/>
          <w:szCs w:val="24"/>
        </w:rPr>
      </w:pPr>
      <w:r w:rsidRPr="004B0A08">
        <w:rPr>
          <w:rFonts w:cs="Times New Roman"/>
          <w:i/>
          <w:szCs w:val="24"/>
        </w:rPr>
        <w:t>The current method of determining the Annual Dredging Program is not the result of a comprehensive hydrographic survey. In reality</w:t>
      </w:r>
      <w:r w:rsidR="005F7D3F" w:rsidRPr="004B0A08">
        <w:rPr>
          <w:rFonts w:cs="Times New Roman"/>
          <w:i/>
          <w:szCs w:val="24"/>
        </w:rPr>
        <w:t>,</w:t>
      </w:r>
      <w:r w:rsidRPr="004B0A08">
        <w:rPr>
          <w:rFonts w:cs="Times New Roman"/>
          <w:i/>
          <w:szCs w:val="24"/>
        </w:rPr>
        <w:t xml:space="preserve"> knowledge gap of current conditions of navigability of Inland waterways exists</w:t>
      </w:r>
      <w:r w:rsidR="005F7D3F" w:rsidRPr="004B0A08">
        <w:rPr>
          <w:rFonts w:cs="Times New Roman"/>
          <w:i/>
          <w:szCs w:val="24"/>
        </w:rPr>
        <w:t>,</w:t>
      </w:r>
      <w:r w:rsidRPr="004B0A08">
        <w:rPr>
          <w:rFonts w:cs="Times New Roman"/>
          <w:i/>
          <w:szCs w:val="24"/>
        </w:rPr>
        <w:t xml:space="preserve"> as data were not updated nor any comprehensive hydrographic survey could be conducted since 1989. So it is not possible to ascertain the accurate volume of dredging required for the maintenance of classified IWT Routes. However at different times different Committees indicated different volume of dredging requirement. A Committee constituted by the Ministry of Shipping indicated a volume of 7.9 million m</w:t>
      </w:r>
      <w:r w:rsidRPr="004B0A08">
        <w:rPr>
          <w:rFonts w:cs="Times New Roman"/>
          <w:i/>
          <w:szCs w:val="24"/>
          <w:vertAlign w:val="superscript"/>
        </w:rPr>
        <w:t>3</w:t>
      </w:r>
      <w:r w:rsidRPr="004B0A08">
        <w:rPr>
          <w:rFonts w:cs="Times New Roman"/>
          <w:i/>
          <w:szCs w:val="24"/>
        </w:rPr>
        <w:t xml:space="preserve"> annually.  Again in 1999 a Committee constituted by Ministry of Water Resources indicated annual volume of 8.9 million m</w:t>
      </w:r>
      <w:r w:rsidRPr="004B0A08">
        <w:rPr>
          <w:rFonts w:cs="Times New Roman"/>
          <w:i/>
          <w:szCs w:val="24"/>
          <w:vertAlign w:val="superscript"/>
        </w:rPr>
        <w:t>3</w:t>
      </w:r>
      <w:r w:rsidRPr="004B0A08">
        <w:rPr>
          <w:rFonts w:cs="Times New Roman"/>
          <w:i/>
          <w:szCs w:val="24"/>
        </w:rPr>
        <w:t>.  In 2006 BIWTA estimated annual volume of 11.1 million m</w:t>
      </w:r>
      <w:r w:rsidRPr="004B0A08">
        <w:rPr>
          <w:rFonts w:cs="Times New Roman"/>
          <w:i/>
          <w:szCs w:val="24"/>
          <w:vertAlign w:val="superscript"/>
        </w:rPr>
        <w:t>3</w:t>
      </w:r>
      <w:r w:rsidRPr="004B0A08">
        <w:rPr>
          <w:rFonts w:cs="Times New Roman"/>
          <w:i/>
          <w:szCs w:val="24"/>
        </w:rPr>
        <w:t xml:space="preserve">.  </w:t>
      </w:r>
    </w:p>
    <w:p w:rsidR="00586972" w:rsidRDefault="00586972" w:rsidP="00586972">
      <w:pPr>
        <w:spacing w:line="276" w:lineRule="auto"/>
        <w:jc w:val="both"/>
        <w:rPr>
          <w:rFonts w:cs="Times New Roman"/>
          <w:szCs w:val="24"/>
        </w:rPr>
      </w:pPr>
      <w:r w:rsidRPr="00924255">
        <w:rPr>
          <w:rFonts w:cs="Times New Roman"/>
          <w:szCs w:val="24"/>
        </w:rPr>
        <w:t xml:space="preserve">BIWTA undertakes efforts for monitoring of conditions of navigability of important IWT routes with a view to identification of morphological changes including shifting of sandbars. As such conservancy of navigability through dredging is an annual recurring necessity. BIWTA receives lists of dredging requirements from various parties and stake holders. These include field offices of BIWTA, trade organizations related to IWT operations and BIWTC. The accumulated demand is reviewed in a meeting involving major stakeholders. The Dredging Department of BIWTA separately estimates dredging related to development projects included in the ADP, then considering both development and maintenance dredging activities for the year vis-à-vis availability of resources. The works should be prioritized according to their relative merits. </w:t>
      </w:r>
    </w:p>
    <w:p w:rsidR="00586972" w:rsidRPr="00B62F1C" w:rsidRDefault="00586972" w:rsidP="00586972">
      <w:pPr>
        <w:spacing w:line="276" w:lineRule="auto"/>
        <w:jc w:val="both"/>
        <w:rPr>
          <w:rFonts w:cs="Times New Roman"/>
          <w:szCs w:val="24"/>
        </w:rPr>
      </w:pPr>
      <w:r w:rsidRPr="00924255">
        <w:rPr>
          <w:rFonts w:cs="Times New Roman"/>
          <w:szCs w:val="24"/>
        </w:rPr>
        <w:lastRenderedPageBreak/>
        <w:t xml:space="preserve">The demand of dredging supposed to </w:t>
      </w:r>
      <w:r w:rsidR="004835DC">
        <w:rPr>
          <w:rFonts w:cs="Times New Roman"/>
          <w:szCs w:val="24"/>
        </w:rPr>
        <w:t xml:space="preserve">be </w:t>
      </w:r>
      <w:r w:rsidRPr="00924255">
        <w:rPr>
          <w:rFonts w:cs="Times New Roman"/>
          <w:szCs w:val="24"/>
        </w:rPr>
        <w:t>review</w:t>
      </w:r>
      <w:r w:rsidR="004835DC">
        <w:rPr>
          <w:rFonts w:cs="Times New Roman"/>
          <w:szCs w:val="24"/>
        </w:rPr>
        <w:t>ed</w:t>
      </w:r>
      <w:r w:rsidRPr="00924255">
        <w:rPr>
          <w:rFonts w:cs="Times New Roman"/>
          <w:szCs w:val="24"/>
        </w:rPr>
        <w:t xml:space="preserve"> in a meeting chaired by the BIWTA Chairman </w:t>
      </w:r>
      <w:r w:rsidR="00EA4B6A">
        <w:rPr>
          <w:rFonts w:cs="Times New Roman"/>
          <w:szCs w:val="24"/>
        </w:rPr>
        <w:t>with participation</w:t>
      </w:r>
      <w:r w:rsidRPr="00924255">
        <w:rPr>
          <w:rFonts w:cs="Times New Roman"/>
          <w:szCs w:val="24"/>
        </w:rPr>
        <w:t xml:space="preserve"> </w:t>
      </w:r>
      <w:r w:rsidR="00EA4B6A">
        <w:rPr>
          <w:rFonts w:cs="Times New Roman"/>
          <w:szCs w:val="24"/>
        </w:rPr>
        <w:t>from</w:t>
      </w:r>
      <w:r w:rsidR="00EA4B6A" w:rsidRPr="00924255">
        <w:rPr>
          <w:rFonts w:cs="Times New Roman"/>
          <w:szCs w:val="24"/>
        </w:rPr>
        <w:t xml:space="preserve"> </w:t>
      </w:r>
      <w:r w:rsidRPr="00924255">
        <w:rPr>
          <w:rFonts w:cs="Times New Roman"/>
          <w:szCs w:val="24"/>
        </w:rPr>
        <w:t xml:space="preserve">both private and </w:t>
      </w:r>
      <w:r w:rsidR="00847D39">
        <w:rPr>
          <w:rFonts w:cs="Times New Roman"/>
          <w:szCs w:val="24"/>
        </w:rPr>
        <w:t>public</w:t>
      </w:r>
      <w:r w:rsidRPr="00924255">
        <w:rPr>
          <w:rFonts w:cs="Times New Roman"/>
          <w:szCs w:val="24"/>
        </w:rPr>
        <w:t xml:space="preserve"> stakeholders resulting in a decision </w:t>
      </w:r>
      <w:r w:rsidR="00EA4B6A">
        <w:rPr>
          <w:rFonts w:cs="Times New Roman"/>
          <w:szCs w:val="24"/>
        </w:rPr>
        <w:t xml:space="preserve">of </w:t>
      </w:r>
      <w:r w:rsidRPr="00924255">
        <w:rPr>
          <w:rFonts w:cs="Times New Roman"/>
          <w:szCs w:val="24"/>
        </w:rPr>
        <w:t xml:space="preserve">prioritizing works. But </w:t>
      </w:r>
      <w:r w:rsidR="00EA4B6A">
        <w:rPr>
          <w:rFonts w:cs="Times New Roman"/>
          <w:szCs w:val="24"/>
        </w:rPr>
        <w:t xml:space="preserve">usually </w:t>
      </w:r>
      <w:r w:rsidRPr="00924255">
        <w:rPr>
          <w:rFonts w:cs="Times New Roman"/>
          <w:szCs w:val="24"/>
        </w:rPr>
        <w:t xml:space="preserve">such meetings are </w:t>
      </w:r>
      <w:r w:rsidR="00EA4B6A">
        <w:rPr>
          <w:rFonts w:cs="Times New Roman"/>
          <w:szCs w:val="24"/>
        </w:rPr>
        <w:t>presided by</w:t>
      </w:r>
      <w:r w:rsidRPr="00924255">
        <w:rPr>
          <w:rFonts w:cs="Times New Roman"/>
          <w:szCs w:val="24"/>
        </w:rPr>
        <w:t xml:space="preserve"> Chief Engineer (Dredging) of BIWTA with no participation of private stake holders. </w:t>
      </w:r>
    </w:p>
    <w:p w:rsidR="00D10C92" w:rsidRDefault="00586972" w:rsidP="005A3CDE">
      <w:pPr>
        <w:spacing w:line="276" w:lineRule="auto"/>
        <w:jc w:val="both"/>
        <w:rPr>
          <w:rFonts w:cs="Times New Roman"/>
          <w:szCs w:val="21"/>
        </w:rPr>
      </w:pPr>
      <w:r w:rsidRPr="00924255">
        <w:rPr>
          <w:rFonts w:cs="Times New Roman"/>
          <w:szCs w:val="24"/>
        </w:rPr>
        <w:t>There exists hardly any objective manner or method for preparing an Annual Dredging Program on the basis of available resources both financial and logistics. Opinions or requirements are received and listed. However, the final dredging programs are prepared not according to any prescribed method</w:t>
      </w:r>
      <w:r w:rsidR="00EA4B6A">
        <w:rPr>
          <w:rFonts w:cs="Times New Roman"/>
          <w:szCs w:val="24"/>
        </w:rPr>
        <w:t xml:space="preserve"> and according to need</w:t>
      </w:r>
      <w:r w:rsidRPr="00924255">
        <w:rPr>
          <w:rFonts w:cs="Times New Roman"/>
          <w:szCs w:val="24"/>
        </w:rPr>
        <w:t xml:space="preserve">. </w:t>
      </w:r>
      <w:r w:rsidR="00EA4B6A">
        <w:rPr>
          <w:rFonts w:cs="Times New Roman"/>
          <w:szCs w:val="24"/>
        </w:rPr>
        <w:t xml:space="preserve">For example, </w:t>
      </w:r>
      <w:r w:rsidR="00EA4B6A">
        <w:rPr>
          <w:rFonts w:cs="Times New Roman"/>
          <w:szCs w:val="21"/>
        </w:rPr>
        <w:t>t</w:t>
      </w:r>
      <w:r w:rsidR="00587E19" w:rsidRPr="00587E19">
        <w:rPr>
          <w:rFonts w:cs="Times New Roman"/>
          <w:szCs w:val="21"/>
        </w:rPr>
        <w:t xml:space="preserve">he </w:t>
      </w:r>
      <w:r w:rsidR="00EA4B6A">
        <w:rPr>
          <w:rFonts w:cs="Times New Roman"/>
          <w:szCs w:val="21"/>
        </w:rPr>
        <w:t xml:space="preserve">Haor </w:t>
      </w:r>
      <w:r w:rsidR="00587E19" w:rsidRPr="00587E19">
        <w:rPr>
          <w:rFonts w:cs="Times New Roman"/>
          <w:szCs w:val="21"/>
        </w:rPr>
        <w:t>Master Plan estimated that the Haor area shares about 37 percent of the total nat</w:t>
      </w:r>
      <w:r w:rsidR="005F7D3F">
        <w:rPr>
          <w:rFonts w:cs="Times New Roman"/>
          <w:szCs w:val="21"/>
        </w:rPr>
        <w:t xml:space="preserve">ional IWT output. </w:t>
      </w:r>
      <w:r w:rsidR="00EA4B6A">
        <w:rPr>
          <w:rFonts w:cs="Times New Roman"/>
          <w:szCs w:val="21"/>
        </w:rPr>
        <w:t>But</w:t>
      </w:r>
      <w:r w:rsidR="00587E19" w:rsidRPr="00587E19">
        <w:rPr>
          <w:rFonts w:cs="Times New Roman"/>
          <w:szCs w:val="21"/>
        </w:rPr>
        <w:t xml:space="preserve"> inland waterways in the Haor area suffer most due to dry season navigability</w:t>
      </w:r>
      <w:r w:rsidR="00EA4B6A">
        <w:rPr>
          <w:rFonts w:cs="Times New Roman"/>
          <w:szCs w:val="21"/>
        </w:rPr>
        <w:t xml:space="preserve"> due to lack of required dredging (</w:t>
      </w:r>
      <w:r w:rsidR="00587E19" w:rsidRPr="00587E19">
        <w:rPr>
          <w:rFonts w:cs="Times New Roman"/>
          <w:szCs w:val="21"/>
        </w:rPr>
        <w:t xml:space="preserve">Table </w:t>
      </w:r>
      <w:r w:rsidR="00857188">
        <w:rPr>
          <w:rFonts w:cs="Times New Roman"/>
          <w:szCs w:val="21"/>
        </w:rPr>
        <w:t>9.</w:t>
      </w:r>
      <w:r w:rsidR="00587E19" w:rsidRPr="00587E19">
        <w:rPr>
          <w:rFonts w:cs="Times New Roman"/>
          <w:szCs w:val="21"/>
        </w:rPr>
        <w:t>2</w:t>
      </w:r>
      <w:r w:rsidR="005A3CDE">
        <w:rPr>
          <w:rFonts w:cs="Times New Roman"/>
          <w:szCs w:val="21"/>
        </w:rPr>
        <w:t>2</w:t>
      </w:r>
      <w:r w:rsidR="00EA4B6A">
        <w:rPr>
          <w:rFonts w:cs="Times New Roman"/>
          <w:szCs w:val="21"/>
        </w:rPr>
        <w:t>).</w:t>
      </w:r>
      <w:r w:rsidR="00587E19" w:rsidRPr="00587E19">
        <w:rPr>
          <w:rFonts w:cs="Times New Roman"/>
          <w:szCs w:val="21"/>
        </w:rPr>
        <w:t xml:space="preserve"> </w:t>
      </w:r>
    </w:p>
    <w:p w:rsidR="00586972" w:rsidRPr="00924255" w:rsidRDefault="00586972" w:rsidP="0036657D">
      <w:pPr>
        <w:pStyle w:val="Heading4"/>
      </w:pPr>
      <w:bookmarkStart w:id="702" w:name="_Toc474639088"/>
      <w:r w:rsidRPr="00924255">
        <w:t xml:space="preserve">Table </w:t>
      </w:r>
      <w:r w:rsidR="005A3CDE">
        <w:t>9.22</w:t>
      </w:r>
      <w:r w:rsidRPr="00924255">
        <w:t>: Dredging Volume in the Haor Area</w:t>
      </w:r>
      <w:bookmarkEnd w:id="702"/>
    </w:p>
    <w:tbl>
      <w:tblPr>
        <w:tblStyle w:val="LightShading10"/>
        <w:tblW w:w="5000" w:type="pct"/>
        <w:tblLook w:val="04A0"/>
      </w:tblPr>
      <w:tblGrid>
        <w:gridCol w:w="3232"/>
        <w:gridCol w:w="3760"/>
        <w:gridCol w:w="2584"/>
      </w:tblGrid>
      <w:tr w:rsidR="00586972" w:rsidRPr="002F6E6B" w:rsidTr="002F6E6B">
        <w:trPr>
          <w:cnfStyle w:val="100000000000"/>
          <w:trHeight w:hRule="exact" w:val="288"/>
        </w:trPr>
        <w:tc>
          <w:tcPr>
            <w:cnfStyle w:val="001000000000"/>
            <w:tcW w:w="1688" w:type="pct"/>
          </w:tcPr>
          <w:p w:rsidR="00586972" w:rsidRPr="00D10C92" w:rsidRDefault="00586972" w:rsidP="008F11A4">
            <w:pPr>
              <w:spacing w:line="360" w:lineRule="auto"/>
              <w:jc w:val="both"/>
              <w:rPr>
                <w:rFonts w:ascii="Times New Roman" w:hAnsi="Times New Roman"/>
                <w:sz w:val="24"/>
                <w:szCs w:val="24"/>
              </w:rPr>
            </w:pPr>
            <w:r w:rsidRPr="00D10C92">
              <w:rPr>
                <w:rFonts w:ascii="Times New Roman" w:hAnsi="Times New Roman"/>
                <w:sz w:val="24"/>
                <w:szCs w:val="24"/>
              </w:rPr>
              <w:t>Year</w:t>
            </w:r>
          </w:p>
        </w:tc>
        <w:tc>
          <w:tcPr>
            <w:tcW w:w="1963" w:type="pct"/>
          </w:tcPr>
          <w:p w:rsidR="00586972" w:rsidRPr="00D10C92" w:rsidRDefault="00586972" w:rsidP="008F11A4">
            <w:pPr>
              <w:spacing w:line="360" w:lineRule="auto"/>
              <w:jc w:val="center"/>
              <w:cnfStyle w:val="100000000000"/>
              <w:rPr>
                <w:rFonts w:ascii="Times New Roman" w:hAnsi="Times New Roman"/>
                <w:sz w:val="24"/>
                <w:szCs w:val="24"/>
              </w:rPr>
            </w:pPr>
            <w:r w:rsidRPr="00D10C92">
              <w:rPr>
                <w:rFonts w:ascii="Times New Roman" w:hAnsi="Times New Roman"/>
                <w:sz w:val="24"/>
                <w:szCs w:val="24"/>
              </w:rPr>
              <w:t>Volume (in lakh m</w:t>
            </w:r>
            <w:r w:rsidRPr="00D10C92">
              <w:rPr>
                <w:rFonts w:ascii="Times New Roman" w:hAnsi="Times New Roman"/>
                <w:sz w:val="24"/>
                <w:szCs w:val="24"/>
                <w:vertAlign w:val="superscript"/>
              </w:rPr>
              <w:t>3</w:t>
            </w:r>
            <w:r w:rsidRPr="00D10C92">
              <w:rPr>
                <w:rFonts w:ascii="Times New Roman" w:hAnsi="Times New Roman"/>
                <w:sz w:val="24"/>
                <w:szCs w:val="24"/>
              </w:rPr>
              <w:t>)</w:t>
            </w:r>
          </w:p>
        </w:tc>
        <w:tc>
          <w:tcPr>
            <w:tcW w:w="1349" w:type="pct"/>
          </w:tcPr>
          <w:p w:rsidR="00586972" w:rsidRPr="00D10C92" w:rsidRDefault="00586972" w:rsidP="008F11A4">
            <w:pPr>
              <w:spacing w:line="360" w:lineRule="auto"/>
              <w:jc w:val="center"/>
              <w:cnfStyle w:val="100000000000"/>
              <w:rPr>
                <w:rFonts w:ascii="Times New Roman" w:hAnsi="Times New Roman"/>
                <w:sz w:val="24"/>
                <w:szCs w:val="24"/>
              </w:rPr>
            </w:pPr>
            <w:r w:rsidRPr="00D10C92">
              <w:rPr>
                <w:rFonts w:ascii="Times New Roman" w:hAnsi="Times New Roman"/>
                <w:sz w:val="24"/>
                <w:szCs w:val="24"/>
              </w:rPr>
              <w:t>Percentage</w:t>
            </w:r>
          </w:p>
        </w:tc>
      </w:tr>
      <w:tr w:rsidR="00586972" w:rsidRPr="002F6E6B" w:rsidTr="002F6E6B">
        <w:trPr>
          <w:cnfStyle w:val="000000100000"/>
          <w:trHeight w:hRule="exact" w:val="288"/>
        </w:trPr>
        <w:tc>
          <w:tcPr>
            <w:cnfStyle w:val="001000000000"/>
            <w:tcW w:w="1688" w:type="pct"/>
          </w:tcPr>
          <w:p w:rsidR="00586972" w:rsidRPr="002F6E6B" w:rsidRDefault="009B44EC" w:rsidP="008F11A4">
            <w:pPr>
              <w:spacing w:after="0" w:line="360" w:lineRule="auto"/>
              <w:jc w:val="both"/>
              <w:rPr>
                <w:rFonts w:ascii="Times New Roman" w:hAnsi="Times New Roman"/>
                <w:bCs w:val="0"/>
                <w:sz w:val="24"/>
                <w:szCs w:val="24"/>
              </w:rPr>
            </w:pPr>
            <w:r w:rsidRPr="002F6E6B">
              <w:rPr>
                <w:rFonts w:ascii="Times New Roman" w:hAnsi="Times New Roman"/>
                <w:bCs w:val="0"/>
                <w:sz w:val="24"/>
                <w:szCs w:val="24"/>
              </w:rPr>
              <w:t>FY</w:t>
            </w:r>
            <w:r w:rsidR="00586972" w:rsidRPr="002F6E6B">
              <w:rPr>
                <w:rFonts w:ascii="Times New Roman" w:hAnsi="Times New Roman"/>
                <w:bCs w:val="0"/>
                <w:sz w:val="24"/>
                <w:szCs w:val="24"/>
              </w:rPr>
              <w:t>2010</w:t>
            </w:r>
          </w:p>
        </w:tc>
        <w:tc>
          <w:tcPr>
            <w:tcW w:w="1963" w:type="pct"/>
          </w:tcPr>
          <w:p w:rsidR="00586972" w:rsidRPr="002F6E6B" w:rsidRDefault="00586972" w:rsidP="008F11A4">
            <w:pPr>
              <w:spacing w:after="0" w:line="360" w:lineRule="auto"/>
              <w:jc w:val="center"/>
              <w:cnfStyle w:val="000000100000"/>
              <w:rPr>
                <w:rFonts w:ascii="Times New Roman" w:hAnsi="Times New Roman"/>
                <w:sz w:val="24"/>
                <w:szCs w:val="24"/>
              </w:rPr>
            </w:pPr>
            <w:r w:rsidRPr="002F6E6B">
              <w:rPr>
                <w:rFonts w:ascii="Times New Roman" w:hAnsi="Times New Roman"/>
                <w:sz w:val="24"/>
                <w:szCs w:val="24"/>
              </w:rPr>
              <w:t>3.33</w:t>
            </w:r>
          </w:p>
        </w:tc>
        <w:tc>
          <w:tcPr>
            <w:tcW w:w="1349" w:type="pct"/>
          </w:tcPr>
          <w:p w:rsidR="00586972" w:rsidRPr="002F6E6B" w:rsidRDefault="00586972" w:rsidP="008F11A4">
            <w:pPr>
              <w:spacing w:after="0" w:line="360" w:lineRule="auto"/>
              <w:jc w:val="center"/>
              <w:cnfStyle w:val="000000100000"/>
              <w:rPr>
                <w:rFonts w:ascii="Times New Roman" w:hAnsi="Times New Roman"/>
                <w:sz w:val="24"/>
                <w:szCs w:val="24"/>
              </w:rPr>
            </w:pPr>
            <w:r w:rsidRPr="002F6E6B">
              <w:rPr>
                <w:rFonts w:ascii="Times New Roman" w:hAnsi="Times New Roman"/>
                <w:sz w:val="24"/>
                <w:szCs w:val="24"/>
              </w:rPr>
              <w:t>8.34</w:t>
            </w:r>
          </w:p>
        </w:tc>
      </w:tr>
      <w:tr w:rsidR="00586972" w:rsidRPr="002F6E6B" w:rsidTr="002F6E6B">
        <w:trPr>
          <w:trHeight w:hRule="exact" w:val="288"/>
        </w:trPr>
        <w:tc>
          <w:tcPr>
            <w:cnfStyle w:val="001000000000"/>
            <w:tcW w:w="1688" w:type="pct"/>
          </w:tcPr>
          <w:p w:rsidR="00586972" w:rsidRPr="002F6E6B" w:rsidRDefault="009B44EC" w:rsidP="008F11A4">
            <w:pPr>
              <w:spacing w:after="0" w:line="360" w:lineRule="auto"/>
              <w:jc w:val="both"/>
              <w:rPr>
                <w:rFonts w:ascii="Times New Roman" w:hAnsi="Times New Roman"/>
                <w:bCs w:val="0"/>
                <w:sz w:val="24"/>
                <w:szCs w:val="24"/>
              </w:rPr>
            </w:pPr>
            <w:r w:rsidRPr="002F6E6B">
              <w:rPr>
                <w:rFonts w:ascii="Times New Roman" w:hAnsi="Times New Roman"/>
                <w:bCs w:val="0"/>
                <w:sz w:val="24"/>
                <w:szCs w:val="24"/>
              </w:rPr>
              <w:t>FY</w:t>
            </w:r>
            <w:r w:rsidR="00586972" w:rsidRPr="002F6E6B">
              <w:rPr>
                <w:rFonts w:ascii="Times New Roman" w:hAnsi="Times New Roman"/>
                <w:bCs w:val="0"/>
                <w:sz w:val="24"/>
                <w:szCs w:val="24"/>
              </w:rPr>
              <w:t>2011</w:t>
            </w:r>
          </w:p>
        </w:tc>
        <w:tc>
          <w:tcPr>
            <w:tcW w:w="1963" w:type="pct"/>
          </w:tcPr>
          <w:p w:rsidR="00586972" w:rsidRPr="002F6E6B" w:rsidRDefault="00586972" w:rsidP="008F11A4">
            <w:pPr>
              <w:spacing w:after="0" w:line="360" w:lineRule="auto"/>
              <w:jc w:val="center"/>
              <w:cnfStyle w:val="000000000000"/>
              <w:rPr>
                <w:rFonts w:ascii="Times New Roman" w:hAnsi="Times New Roman"/>
                <w:sz w:val="24"/>
                <w:szCs w:val="24"/>
              </w:rPr>
            </w:pPr>
            <w:r w:rsidRPr="002F6E6B">
              <w:rPr>
                <w:rFonts w:ascii="Times New Roman" w:hAnsi="Times New Roman"/>
                <w:sz w:val="24"/>
                <w:szCs w:val="24"/>
              </w:rPr>
              <w:t>Nil</w:t>
            </w:r>
          </w:p>
        </w:tc>
        <w:tc>
          <w:tcPr>
            <w:tcW w:w="1349" w:type="pct"/>
          </w:tcPr>
          <w:p w:rsidR="00586972" w:rsidRPr="002F6E6B" w:rsidRDefault="00586972" w:rsidP="008F11A4">
            <w:pPr>
              <w:spacing w:after="0" w:line="360" w:lineRule="auto"/>
              <w:jc w:val="center"/>
              <w:cnfStyle w:val="000000000000"/>
              <w:rPr>
                <w:rFonts w:ascii="Times New Roman" w:hAnsi="Times New Roman"/>
                <w:sz w:val="24"/>
                <w:szCs w:val="24"/>
              </w:rPr>
            </w:pPr>
            <w:r w:rsidRPr="002F6E6B">
              <w:rPr>
                <w:rFonts w:ascii="Times New Roman" w:hAnsi="Times New Roman"/>
                <w:sz w:val="24"/>
                <w:szCs w:val="24"/>
              </w:rPr>
              <w:t>-</w:t>
            </w:r>
          </w:p>
        </w:tc>
      </w:tr>
      <w:tr w:rsidR="00586972" w:rsidRPr="002F6E6B" w:rsidTr="002F6E6B">
        <w:trPr>
          <w:cnfStyle w:val="000000100000"/>
          <w:trHeight w:hRule="exact" w:val="288"/>
        </w:trPr>
        <w:tc>
          <w:tcPr>
            <w:cnfStyle w:val="001000000000"/>
            <w:tcW w:w="1688" w:type="pct"/>
          </w:tcPr>
          <w:p w:rsidR="00586972" w:rsidRPr="002F6E6B" w:rsidRDefault="009B44EC" w:rsidP="008F11A4">
            <w:pPr>
              <w:spacing w:after="0" w:line="360" w:lineRule="auto"/>
              <w:jc w:val="both"/>
              <w:rPr>
                <w:rFonts w:ascii="Times New Roman" w:hAnsi="Times New Roman"/>
                <w:bCs w:val="0"/>
                <w:sz w:val="24"/>
                <w:szCs w:val="24"/>
              </w:rPr>
            </w:pPr>
            <w:r w:rsidRPr="002F6E6B">
              <w:rPr>
                <w:rFonts w:ascii="Times New Roman" w:hAnsi="Times New Roman"/>
                <w:bCs w:val="0"/>
                <w:sz w:val="24"/>
                <w:szCs w:val="24"/>
              </w:rPr>
              <w:t>FY</w:t>
            </w:r>
            <w:r w:rsidR="00586972" w:rsidRPr="002F6E6B">
              <w:rPr>
                <w:rFonts w:ascii="Times New Roman" w:hAnsi="Times New Roman"/>
                <w:bCs w:val="0"/>
                <w:sz w:val="24"/>
                <w:szCs w:val="24"/>
              </w:rPr>
              <w:t>2012</w:t>
            </w:r>
          </w:p>
        </w:tc>
        <w:tc>
          <w:tcPr>
            <w:tcW w:w="1963" w:type="pct"/>
          </w:tcPr>
          <w:p w:rsidR="00586972" w:rsidRPr="002F6E6B" w:rsidRDefault="00586972" w:rsidP="008F11A4">
            <w:pPr>
              <w:spacing w:after="0" w:line="360" w:lineRule="auto"/>
              <w:jc w:val="center"/>
              <w:cnfStyle w:val="000000100000"/>
              <w:rPr>
                <w:rFonts w:ascii="Times New Roman" w:hAnsi="Times New Roman"/>
                <w:sz w:val="24"/>
                <w:szCs w:val="24"/>
              </w:rPr>
            </w:pPr>
            <w:r w:rsidRPr="002F6E6B">
              <w:rPr>
                <w:rFonts w:ascii="Times New Roman" w:hAnsi="Times New Roman"/>
                <w:sz w:val="24"/>
                <w:szCs w:val="24"/>
              </w:rPr>
              <w:t>Nil</w:t>
            </w:r>
          </w:p>
        </w:tc>
        <w:tc>
          <w:tcPr>
            <w:tcW w:w="1349" w:type="pct"/>
          </w:tcPr>
          <w:p w:rsidR="00586972" w:rsidRPr="002F6E6B" w:rsidRDefault="00586972" w:rsidP="008F11A4">
            <w:pPr>
              <w:spacing w:after="0" w:line="360" w:lineRule="auto"/>
              <w:jc w:val="center"/>
              <w:cnfStyle w:val="000000100000"/>
              <w:rPr>
                <w:rFonts w:ascii="Times New Roman" w:hAnsi="Times New Roman"/>
                <w:sz w:val="24"/>
                <w:szCs w:val="24"/>
              </w:rPr>
            </w:pPr>
            <w:r w:rsidRPr="002F6E6B">
              <w:rPr>
                <w:rFonts w:ascii="Times New Roman" w:hAnsi="Times New Roman"/>
                <w:sz w:val="24"/>
                <w:szCs w:val="24"/>
              </w:rPr>
              <w:t>-</w:t>
            </w:r>
          </w:p>
        </w:tc>
      </w:tr>
      <w:tr w:rsidR="00586972" w:rsidRPr="002F6E6B" w:rsidTr="002F6E6B">
        <w:trPr>
          <w:trHeight w:hRule="exact" w:val="288"/>
        </w:trPr>
        <w:tc>
          <w:tcPr>
            <w:cnfStyle w:val="001000000000"/>
            <w:tcW w:w="1688" w:type="pct"/>
          </w:tcPr>
          <w:p w:rsidR="00586972" w:rsidRPr="002F6E6B" w:rsidRDefault="009B44EC" w:rsidP="008F11A4">
            <w:pPr>
              <w:spacing w:after="0" w:line="360" w:lineRule="auto"/>
              <w:jc w:val="both"/>
              <w:rPr>
                <w:rFonts w:ascii="Times New Roman" w:hAnsi="Times New Roman"/>
                <w:bCs w:val="0"/>
                <w:sz w:val="24"/>
                <w:szCs w:val="24"/>
              </w:rPr>
            </w:pPr>
            <w:r w:rsidRPr="002F6E6B">
              <w:rPr>
                <w:rFonts w:ascii="Times New Roman" w:hAnsi="Times New Roman"/>
                <w:bCs w:val="0"/>
                <w:sz w:val="24"/>
                <w:szCs w:val="24"/>
              </w:rPr>
              <w:t>FY</w:t>
            </w:r>
            <w:r w:rsidR="00586972" w:rsidRPr="002F6E6B">
              <w:rPr>
                <w:rFonts w:ascii="Times New Roman" w:hAnsi="Times New Roman"/>
                <w:bCs w:val="0"/>
                <w:sz w:val="24"/>
                <w:szCs w:val="24"/>
              </w:rPr>
              <w:t>2013</w:t>
            </w:r>
          </w:p>
        </w:tc>
        <w:tc>
          <w:tcPr>
            <w:tcW w:w="1963" w:type="pct"/>
          </w:tcPr>
          <w:p w:rsidR="00586972" w:rsidRPr="002F6E6B" w:rsidRDefault="00586972" w:rsidP="008F11A4">
            <w:pPr>
              <w:spacing w:after="0" w:line="360" w:lineRule="auto"/>
              <w:jc w:val="center"/>
              <w:cnfStyle w:val="000000000000"/>
              <w:rPr>
                <w:rFonts w:ascii="Times New Roman" w:hAnsi="Times New Roman"/>
                <w:sz w:val="24"/>
                <w:szCs w:val="24"/>
              </w:rPr>
            </w:pPr>
            <w:r w:rsidRPr="002F6E6B">
              <w:rPr>
                <w:rFonts w:ascii="Times New Roman" w:hAnsi="Times New Roman"/>
                <w:sz w:val="24"/>
                <w:szCs w:val="24"/>
              </w:rPr>
              <w:t>2.13</w:t>
            </w:r>
          </w:p>
        </w:tc>
        <w:tc>
          <w:tcPr>
            <w:tcW w:w="1349" w:type="pct"/>
          </w:tcPr>
          <w:p w:rsidR="00586972" w:rsidRPr="002F6E6B" w:rsidRDefault="00586972" w:rsidP="008F11A4">
            <w:pPr>
              <w:spacing w:after="0" w:line="360" w:lineRule="auto"/>
              <w:jc w:val="center"/>
              <w:cnfStyle w:val="000000000000"/>
              <w:rPr>
                <w:rFonts w:ascii="Times New Roman" w:hAnsi="Times New Roman"/>
                <w:sz w:val="24"/>
                <w:szCs w:val="24"/>
              </w:rPr>
            </w:pPr>
            <w:r w:rsidRPr="002F6E6B">
              <w:rPr>
                <w:rFonts w:ascii="Times New Roman" w:hAnsi="Times New Roman"/>
                <w:sz w:val="24"/>
                <w:szCs w:val="24"/>
              </w:rPr>
              <w:t>2.12</w:t>
            </w:r>
          </w:p>
        </w:tc>
      </w:tr>
      <w:tr w:rsidR="00586972" w:rsidRPr="002F6E6B" w:rsidTr="002F6E6B">
        <w:trPr>
          <w:cnfStyle w:val="000000100000"/>
          <w:trHeight w:hRule="exact" w:val="288"/>
        </w:trPr>
        <w:tc>
          <w:tcPr>
            <w:cnfStyle w:val="001000000000"/>
            <w:tcW w:w="1688" w:type="pct"/>
          </w:tcPr>
          <w:p w:rsidR="00586972" w:rsidRPr="002F6E6B" w:rsidRDefault="009B44EC" w:rsidP="008F11A4">
            <w:pPr>
              <w:spacing w:after="0" w:line="360" w:lineRule="auto"/>
              <w:jc w:val="both"/>
              <w:rPr>
                <w:rFonts w:ascii="Times New Roman" w:hAnsi="Times New Roman"/>
                <w:bCs w:val="0"/>
                <w:sz w:val="24"/>
                <w:szCs w:val="24"/>
              </w:rPr>
            </w:pPr>
            <w:r w:rsidRPr="002F6E6B">
              <w:rPr>
                <w:rFonts w:ascii="Times New Roman" w:hAnsi="Times New Roman"/>
                <w:bCs w:val="0"/>
                <w:sz w:val="24"/>
                <w:szCs w:val="24"/>
              </w:rPr>
              <w:t>FY</w:t>
            </w:r>
            <w:r w:rsidR="00586972" w:rsidRPr="002F6E6B">
              <w:rPr>
                <w:rFonts w:ascii="Times New Roman" w:hAnsi="Times New Roman"/>
                <w:bCs w:val="0"/>
                <w:sz w:val="24"/>
                <w:szCs w:val="24"/>
              </w:rPr>
              <w:t>2014</w:t>
            </w:r>
          </w:p>
        </w:tc>
        <w:tc>
          <w:tcPr>
            <w:tcW w:w="1963" w:type="pct"/>
          </w:tcPr>
          <w:p w:rsidR="00586972" w:rsidRPr="002F6E6B" w:rsidRDefault="00586972" w:rsidP="008F11A4">
            <w:pPr>
              <w:spacing w:after="0" w:line="360" w:lineRule="auto"/>
              <w:jc w:val="center"/>
              <w:cnfStyle w:val="000000100000"/>
              <w:rPr>
                <w:rFonts w:ascii="Times New Roman" w:hAnsi="Times New Roman"/>
                <w:sz w:val="24"/>
                <w:szCs w:val="24"/>
              </w:rPr>
            </w:pPr>
            <w:r w:rsidRPr="002F6E6B">
              <w:rPr>
                <w:rFonts w:ascii="Times New Roman" w:hAnsi="Times New Roman"/>
                <w:sz w:val="24"/>
                <w:szCs w:val="24"/>
              </w:rPr>
              <w:t>3.94</w:t>
            </w:r>
          </w:p>
        </w:tc>
        <w:tc>
          <w:tcPr>
            <w:tcW w:w="1349" w:type="pct"/>
          </w:tcPr>
          <w:p w:rsidR="00586972" w:rsidRPr="002F6E6B" w:rsidRDefault="00586972" w:rsidP="008F11A4">
            <w:pPr>
              <w:spacing w:after="0" w:line="360" w:lineRule="auto"/>
              <w:jc w:val="center"/>
              <w:cnfStyle w:val="000000100000"/>
              <w:rPr>
                <w:rFonts w:ascii="Times New Roman" w:hAnsi="Times New Roman"/>
                <w:sz w:val="24"/>
                <w:szCs w:val="24"/>
              </w:rPr>
            </w:pPr>
            <w:r w:rsidRPr="002F6E6B">
              <w:rPr>
                <w:rFonts w:ascii="Times New Roman" w:hAnsi="Times New Roman"/>
                <w:sz w:val="24"/>
                <w:szCs w:val="24"/>
              </w:rPr>
              <w:t>3.75</w:t>
            </w:r>
          </w:p>
        </w:tc>
      </w:tr>
    </w:tbl>
    <w:p w:rsidR="00586972" w:rsidRPr="00587E19" w:rsidRDefault="00586972" w:rsidP="00587E19">
      <w:pPr>
        <w:spacing w:before="120"/>
        <w:rPr>
          <w:rFonts w:cs="Times New Roman"/>
          <w:b/>
          <w:bCs/>
          <w:i/>
          <w:iCs/>
          <w:sz w:val="20"/>
          <w:szCs w:val="20"/>
        </w:rPr>
      </w:pPr>
      <w:r w:rsidRPr="0085686D">
        <w:rPr>
          <w:rFonts w:cs="Times New Roman"/>
          <w:b/>
          <w:bCs/>
          <w:i/>
          <w:iCs/>
          <w:sz w:val="20"/>
          <w:szCs w:val="20"/>
        </w:rPr>
        <w:t>Source: BIWTA</w:t>
      </w:r>
    </w:p>
    <w:p w:rsidR="007F2F9C" w:rsidRPr="00B35BBB" w:rsidRDefault="007F2F9C" w:rsidP="002F6E6B">
      <w:pPr>
        <w:jc w:val="both"/>
        <w:rPr>
          <w:rFonts w:cs="Times New Roman"/>
          <w:b/>
          <w:bCs/>
          <w:i/>
          <w:iCs/>
          <w:szCs w:val="24"/>
        </w:rPr>
      </w:pPr>
      <w:r w:rsidRPr="00B35BBB">
        <w:rPr>
          <w:rFonts w:cs="Times New Roman"/>
          <w:b/>
          <w:bCs/>
          <w:i/>
          <w:iCs/>
          <w:szCs w:val="24"/>
        </w:rPr>
        <w:t>Road-biased dredging</w:t>
      </w:r>
    </w:p>
    <w:p w:rsidR="003F14D1" w:rsidRPr="006E2190" w:rsidRDefault="007F2F9C" w:rsidP="003F14D1">
      <w:pPr>
        <w:spacing w:line="276" w:lineRule="auto"/>
        <w:jc w:val="both"/>
        <w:rPr>
          <w:rFonts w:cs="Times New Roman"/>
          <w:szCs w:val="24"/>
        </w:rPr>
      </w:pPr>
      <w:r w:rsidRPr="004B0A08">
        <w:rPr>
          <w:rFonts w:cs="Times New Roman"/>
          <w:i/>
          <w:szCs w:val="24"/>
        </w:rPr>
        <w:t>It is evident that half of the fund allocated for the maintenance d</w:t>
      </w:r>
      <w:r w:rsidR="005F7D3F" w:rsidRPr="004B0A08">
        <w:rPr>
          <w:rFonts w:cs="Times New Roman"/>
          <w:i/>
          <w:szCs w:val="24"/>
        </w:rPr>
        <w:t>redging goes to the ferry route</w:t>
      </w:r>
      <w:r w:rsidRPr="004B0A08">
        <w:rPr>
          <w:rFonts w:cs="Times New Roman"/>
          <w:i/>
          <w:szCs w:val="24"/>
        </w:rPr>
        <w:t>s</w:t>
      </w:r>
      <w:r w:rsidR="005F7D3F" w:rsidRPr="004B0A08">
        <w:rPr>
          <w:rFonts w:cs="Times New Roman"/>
          <w:i/>
          <w:szCs w:val="24"/>
        </w:rPr>
        <w:t>,</w:t>
      </w:r>
      <w:r w:rsidRPr="004B0A08">
        <w:rPr>
          <w:rFonts w:cs="Times New Roman"/>
          <w:i/>
          <w:szCs w:val="24"/>
        </w:rPr>
        <w:t xml:space="preserve"> total length of which not more than 100km, </w:t>
      </w:r>
      <w:r w:rsidR="005F7D3F" w:rsidRPr="004B0A08">
        <w:rPr>
          <w:rFonts w:cs="Times New Roman"/>
          <w:i/>
          <w:szCs w:val="24"/>
        </w:rPr>
        <w:t xml:space="preserve">and </w:t>
      </w:r>
      <w:r w:rsidRPr="004B0A08">
        <w:rPr>
          <w:rFonts w:cs="Times New Roman"/>
          <w:i/>
          <w:szCs w:val="24"/>
        </w:rPr>
        <w:t xml:space="preserve">the remaining for class-I to III Routes with the length of 3600 km. </w:t>
      </w:r>
      <w:r w:rsidRPr="00924255">
        <w:rPr>
          <w:rFonts w:cs="Times New Roman"/>
          <w:szCs w:val="24"/>
        </w:rPr>
        <w:t>Final Report of the Inland Water Transport Master plan study 2009 by Transport Sector Coordination wing, Planning Commission suggested that “</w:t>
      </w:r>
      <w:r w:rsidRPr="00924255">
        <w:rPr>
          <w:rFonts w:cs="Times New Roman"/>
          <w:i/>
          <w:szCs w:val="24"/>
        </w:rPr>
        <w:t>ferry routes are in reality road links across the major rivers and relate to Roads: therefore funding should be arranged so that IWT budget meant for maintenance of waterways is not affected</w:t>
      </w:r>
      <w:r w:rsidRPr="00924255">
        <w:rPr>
          <w:rFonts w:cs="Times New Roman"/>
          <w:szCs w:val="24"/>
        </w:rPr>
        <w:t>”. Since road transport network in Bangladesh gets priority over  other modes of transport, dredging in the ferry routes between road-heads gets top priority in the Annual Dredging Program and as such scarce IWT funds go to dredging in the route which ultimately availed by road sub-sector.</w:t>
      </w:r>
    </w:p>
    <w:p w:rsidR="00000000" w:rsidRDefault="00B6542C" w:rsidP="003D5A31">
      <w:pPr>
        <w:pStyle w:val="BodyText"/>
        <w:numPr>
          <w:ilvl w:val="2"/>
          <w:numId w:val="241"/>
        </w:numPr>
        <w:spacing w:after="240" w:line="276" w:lineRule="auto"/>
        <w:jc w:val="both"/>
        <w:rPr>
          <w:rFonts w:cs="Times New Roman"/>
          <w:b/>
          <w:szCs w:val="24"/>
        </w:rPr>
      </w:pPr>
      <w:r w:rsidRPr="001968E1">
        <w:rPr>
          <w:rFonts w:cs="Times New Roman"/>
          <w:b/>
          <w:szCs w:val="24"/>
        </w:rPr>
        <w:t>Other Measures to Address Navigability P</w:t>
      </w:r>
      <w:r w:rsidR="007F2F9C" w:rsidRPr="001968E1">
        <w:rPr>
          <w:rFonts w:cs="Times New Roman"/>
          <w:b/>
          <w:szCs w:val="24"/>
        </w:rPr>
        <w:t>roblem: Aids to Navigation and Pilotage</w:t>
      </w:r>
    </w:p>
    <w:p w:rsidR="007F2F9C" w:rsidRPr="00924255" w:rsidRDefault="007F2F9C" w:rsidP="00282AE2">
      <w:pPr>
        <w:spacing w:line="276" w:lineRule="auto"/>
        <w:jc w:val="both"/>
        <w:rPr>
          <w:rFonts w:cs="Times New Roman"/>
          <w:szCs w:val="24"/>
        </w:rPr>
      </w:pPr>
      <w:r w:rsidRPr="00924255">
        <w:rPr>
          <w:rFonts w:cs="Times New Roman"/>
          <w:szCs w:val="24"/>
        </w:rPr>
        <w:t xml:space="preserve">BIWTA is responsible for installation of navigational aids indicating the channel. These are indispensable for safe negotiation of a vessel. Day to day soundings of a stretch are taken by beat pilots and marksmen using a boat and a bamboo pole or a lead line. Soundings are reported to the sectional head. The pilot inspector of the stretch can take immediate action and shift the channel </w:t>
      </w:r>
      <w:r w:rsidRPr="00924255">
        <w:rPr>
          <w:rFonts w:cs="Times New Roman"/>
          <w:szCs w:val="24"/>
        </w:rPr>
        <w:lastRenderedPageBreak/>
        <w:t xml:space="preserve">mark according to the condition of channel. List of navigational aids in waterways is presented in Table </w:t>
      </w:r>
      <w:r w:rsidR="00303BC9">
        <w:rPr>
          <w:rFonts w:cs="Times New Roman"/>
          <w:szCs w:val="24"/>
        </w:rPr>
        <w:t>9.</w:t>
      </w:r>
      <w:r w:rsidRPr="00924255">
        <w:rPr>
          <w:rFonts w:cs="Times New Roman"/>
          <w:szCs w:val="24"/>
        </w:rPr>
        <w:t>2</w:t>
      </w:r>
      <w:r w:rsidR="005A3CDE">
        <w:rPr>
          <w:rFonts w:cs="Times New Roman"/>
          <w:szCs w:val="24"/>
        </w:rPr>
        <w:t>3</w:t>
      </w:r>
      <w:r w:rsidRPr="00924255">
        <w:rPr>
          <w:rFonts w:cs="Times New Roman"/>
          <w:szCs w:val="24"/>
        </w:rPr>
        <w:t>.</w:t>
      </w:r>
    </w:p>
    <w:p w:rsidR="007F2F9C" w:rsidRPr="00924255" w:rsidRDefault="007F2F9C" w:rsidP="0036657D">
      <w:pPr>
        <w:pStyle w:val="Heading4"/>
      </w:pPr>
      <w:bookmarkStart w:id="703" w:name="_Toc474639089"/>
      <w:r w:rsidRPr="00924255">
        <w:t xml:space="preserve">Table </w:t>
      </w:r>
      <w:r w:rsidR="00303BC9">
        <w:t>9.</w:t>
      </w:r>
      <w:r w:rsidR="005A3CDE">
        <w:t>23</w:t>
      </w:r>
      <w:r w:rsidRPr="00924255">
        <w:t>: Equipment of Navigational Aids in Waterways</w:t>
      </w:r>
      <w:bookmarkEnd w:id="703"/>
    </w:p>
    <w:tbl>
      <w:tblPr>
        <w:tblStyle w:val="LightShading10"/>
        <w:tblW w:w="5000" w:type="pct"/>
        <w:tblLook w:val="04A0"/>
      </w:tblPr>
      <w:tblGrid>
        <w:gridCol w:w="5456"/>
        <w:gridCol w:w="4120"/>
      </w:tblGrid>
      <w:tr w:rsidR="007F2F9C" w:rsidRPr="002F6E6B" w:rsidTr="002F6E6B">
        <w:trPr>
          <w:cnfStyle w:val="100000000000"/>
          <w:trHeight w:hRule="exact" w:val="360"/>
        </w:trPr>
        <w:tc>
          <w:tcPr>
            <w:cnfStyle w:val="001000000000"/>
            <w:tcW w:w="2849" w:type="pct"/>
          </w:tcPr>
          <w:p w:rsidR="007F2F9C" w:rsidRPr="00D10C92" w:rsidRDefault="007F2F9C" w:rsidP="00AA6178">
            <w:pPr>
              <w:spacing w:line="276" w:lineRule="auto"/>
              <w:jc w:val="both"/>
              <w:rPr>
                <w:rFonts w:ascii="Times New Roman" w:hAnsi="Times New Roman"/>
                <w:sz w:val="24"/>
                <w:szCs w:val="24"/>
              </w:rPr>
            </w:pPr>
            <w:r w:rsidRPr="00D10C92">
              <w:rPr>
                <w:rFonts w:ascii="Times New Roman" w:hAnsi="Times New Roman"/>
                <w:sz w:val="24"/>
                <w:szCs w:val="24"/>
              </w:rPr>
              <w:t>Navigation aid Equipment</w:t>
            </w:r>
          </w:p>
        </w:tc>
        <w:tc>
          <w:tcPr>
            <w:tcW w:w="2151" w:type="pct"/>
          </w:tcPr>
          <w:p w:rsidR="007F2F9C" w:rsidRPr="00D10C92" w:rsidRDefault="007F2F9C" w:rsidP="00AA6178">
            <w:pPr>
              <w:spacing w:line="276" w:lineRule="auto"/>
              <w:jc w:val="center"/>
              <w:cnfStyle w:val="100000000000"/>
              <w:rPr>
                <w:rFonts w:ascii="Times New Roman" w:hAnsi="Times New Roman"/>
                <w:sz w:val="24"/>
                <w:szCs w:val="24"/>
              </w:rPr>
            </w:pPr>
            <w:r w:rsidRPr="00D10C92">
              <w:rPr>
                <w:rFonts w:ascii="Times New Roman" w:hAnsi="Times New Roman"/>
                <w:sz w:val="24"/>
                <w:szCs w:val="24"/>
              </w:rPr>
              <w:t>Number</w:t>
            </w:r>
          </w:p>
        </w:tc>
      </w:tr>
      <w:tr w:rsidR="007F2F9C" w:rsidRPr="002F6E6B" w:rsidTr="002F6E6B">
        <w:trPr>
          <w:cnfStyle w:val="000000100000"/>
          <w:trHeight w:hRule="exact" w:val="360"/>
        </w:trPr>
        <w:tc>
          <w:tcPr>
            <w:cnfStyle w:val="001000000000"/>
            <w:tcW w:w="2849" w:type="pct"/>
          </w:tcPr>
          <w:p w:rsidR="007F2F9C" w:rsidRPr="002F6E6B" w:rsidRDefault="007F2F9C" w:rsidP="00AA6178">
            <w:pPr>
              <w:spacing w:after="0" w:line="276" w:lineRule="auto"/>
              <w:jc w:val="both"/>
              <w:rPr>
                <w:rFonts w:ascii="Times New Roman" w:hAnsi="Times New Roman"/>
                <w:bCs w:val="0"/>
                <w:sz w:val="24"/>
                <w:szCs w:val="24"/>
              </w:rPr>
            </w:pPr>
            <w:r w:rsidRPr="002F6E6B">
              <w:rPr>
                <w:rFonts w:ascii="Times New Roman" w:hAnsi="Times New Roman"/>
                <w:bCs w:val="0"/>
                <w:sz w:val="24"/>
                <w:szCs w:val="24"/>
              </w:rPr>
              <w:t>Lighted Buoy</w:t>
            </w:r>
          </w:p>
        </w:tc>
        <w:tc>
          <w:tcPr>
            <w:tcW w:w="2151" w:type="pct"/>
          </w:tcPr>
          <w:p w:rsidR="007F2F9C" w:rsidRPr="002F6E6B" w:rsidRDefault="007F2F9C" w:rsidP="00AA6178">
            <w:pPr>
              <w:spacing w:after="0" w:line="276" w:lineRule="auto"/>
              <w:jc w:val="center"/>
              <w:cnfStyle w:val="000000100000"/>
              <w:rPr>
                <w:rFonts w:ascii="Times New Roman" w:hAnsi="Times New Roman"/>
                <w:sz w:val="24"/>
                <w:szCs w:val="24"/>
              </w:rPr>
            </w:pPr>
            <w:r w:rsidRPr="002F6E6B">
              <w:rPr>
                <w:rFonts w:ascii="Times New Roman" w:hAnsi="Times New Roman"/>
                <w:sz w:val="24"/>
                <w:szCs w:val="24"/>
              </w:rPr>
              <w:t>51</w:t>
            </w:r>
          </w:p>
        </w:tc>
      </w:tr>
      <w:tr w:rsidR="007F2F9C" w:rsidRPr="002F6E6B" w:rsidTr="002F6E6B">
        <w:trPr>
          <w:trHeight w:hRule="exact" w:val="360"/>
        </w:trPr>
        <w:tc>
          <w:tcPr>
            <w:cnfStyle w:val="001000000000"/>
            <w:tcW w:w="2849" w:type="pct"/>
          </w:tcPr>
          <w:p w:rsidR="007F2F9C" w:rsidRPr="002F6E6B" w:rsidRDefault="007F2F9C" w:rsidP="00AA6178">
            <w:pPr>
              <w:spacing w:after="0" w:line="276" w:lineRule="auto"/>
              <w:jc w:val="both"/>
              <w:rPr>
                <w:rFonts w:ascii="Times New Roman" w:hAnsi="Times New Roman"/>
                <w:bCs w:val="0"/>
                <w:sz w:val="24"/>
                <w:szCs w:val="24"/>
              </w:rPr>
            </w:pPr>
            <w:r w:rsidRPr="002F6E6B">
              <w:rPr>
                <w:rFonts w:ascii="Times New Roman" w:hAnsi="Times New Roman"/>
                <w:bCs w:val="0"/>
                <w:sz w:val="24"/>
                <w:szCs w:val="24"/>
              </w:rPr>
              <w:t>10m Tower Beacon</w:t>
            </w:r>
          </w:p>
        </w:tc>
        <w:tc>
          <w:tcPr>
            <w:tcW w:w="2151" w:type="pct"/>
          </w:tcPr>
          <w:p w:rsidR="007F2F9C" w:rsidRPr="002F6E6B" w:rsidRDefault="007F2F9C" w:rsidP="00AA6178">
            <w:pPr>
              <w:spacing w:after="0" w:line="276" w:lineRule="auto"/>
              <w:jc w:val="center"/>
              <w:cnfStyle w:val="000000000000"/>
              <w:rPr>
                <w:rFonts w:ascii="Times New Roman" w:hAnsi="Times New Roman"/>
                <w:sz w:val="24"/>
                <w:szCs w:val="24"/>
              </w:rPr>
            </w:pPr>
            <w:r w:rsidRPr="002F6E6B">
              <w:rPr>
                <w:rFonts w:ascii="Times New Roman" w:hAnsi="Times New Roman"/>
                <w:sz w:val="24"/>
                <w:szCs w:val="24"/>
              </w:rPr>
              <w:t>12</w:t>
            </w:r>
          </w:p>
        </w:tc>
      </w:tr>
      <w:tr w:rsidR="007F2F9C" w:rsidRPr="002F6E6B" w:rsidTr="002F6E6B">
        <w:trPr>
          <w:cnfStyle w:val="000000100000"/>
          <w:trHeight w:hRule="exact" w:val="360"/>
        </w:trPr>
        <w:tc>
          <w:tcPr>
            <w:cnfStyle w:val="001000000000"/>
            <w:tcW w:w="2849" w:type="pct"/>
          </w:tcPr>
          <w:p w:rsidR="007F2F9C" w:rsidRPr="002F6E6B" w:rsidRDefault="007F2F9C" w:rsidP="00AA6178">
            <w:pPr>
              <w:spacing w:after="0" w:line="276" w:lineRule="auto"/>
              <w:jc w:val="both"/>
              <w:rPr>
                <w:rFonts w:ascii="Times New Roman" w:hAnsi="Times New Roman"/>
                <w:bCs w:val="0"/>
                <w:sz w:val="24"/>
                <w:szCs w:val="24"/>
              </w:rPr>
            </w:pPr>
            <w:r w:rsidRPr="002F6E6B">
              <w:rPr>
                <w:rFonts w:ascii="Times New Roman" w:hAnsi="Times New Roman"/>
                <w:bCs w:val="0"/>
                <w:sz w:val="24"/>
                <w:szCs w:val="24"/>
              </w:rPr>
              <w:t>4.5m Tower Beacon</w:t>
            </w:r>
          </w:p>
        </w:tc>
        <w:tc>
          <w:tcPr>
            <w:tcW w:w="2151" w:type="pct"/>
          </w:tcPr>
          <w:p w:rsidR="007F2F9C" w:rsidRPr="002F6E6B" w:rsidRDefault="007F2F9C" w:rsidP="00AA6178">
            <w:pPr>
              <w:spacing w:after="0" w:line="276" w:lineRule="auto"/>
              <w:jc w:val="center"/>
              <w:cnfStyle w:val="000000100000"/>
              <w:rPr>
                <w:rFonts w:ascii="Times New Roman" w:hAnsi="Times New Roman"/>
                <w:sz w:val="24"/>
                <w:szCs w:val="24"/>
              </w:rPr>
            </w:pPr>
            <w:r w:rsidRPr="002F6E6B">
              <w:rPr>
                <w:rFonts w:ascii="Times New Roman" w:hAnsi="Times New Roman"/>
                <w:sz w:val="24"/>
                <w:szCs w:val="24"/>
              </w:rPr>
              <w:t>365</w:t>
            </w:r>
          </w:p>
        </w:tc>
      </w:tr>
      <w:tr w:rsidR="007F2F9C" w:rsidRPr="002F6E6B" w:rsidTr="002F6E6B">
        <w:trPr>
          <w:trHeight w:hRule="exact" w:val="360"/>
        </w:trPr>
        <w:tc>
          <w:tcPr>
            <w:cnfStyle w:val="001000000000"/>
            <w:tcW w:w="2849" w:type="pct"/>
          </w:tcPr>
          <w:p w:rsidR="007F2F9C" w:rsidRPr="002F6E6B" w:rsidRDefault="007F2F9C" w:rsidP="00AA6178">
            <w:pPr>
              <w:spacing w:after="0" w:line="276" w:lineRule="auto"/>
              <w:jc w:val="both"/>
              <w:rPr>
                <w:rFonts w:ascii="Times New Roman" w:hAnsi="Times New Roman"/>
                <w:bCs w:val="0"/>
                <w:sz w:val="24"/>
                <w:szCs w:val="24"/>
              </w:rPr>
            </w:pPr>
            <w:r w:rsidRPr="002F6E6B">
              <w:rPr>
                <w:rFonts w:ascii="Times New Roman" w:hAnsi="Times New Roman"/>
                <w:bCs w:val="0"/>
                <w:sz w:val="24"/>
                <w:szCs w:val="24"/>
              </w:rPr>
              <w:t>Spherical Buoy</w:t>
            </w:r>
          </w:p>
        </w:tc>
        <w:tc>
          <w:tcPr>
            <w:tcW w:w="2151" w:type="pct"/>
          </w:tcPr>
          <w:p w:rsidR="007F2F9C" w:rsidRPr="002F6E6B" w:rsidRDefault="007F2F9C" w:rsidP="00AA6178">
            <w:pPr>
              <w:spacing w:after="0" w:line="276" w:lineRule="auto"/>
              <w:jc w:val="center"/>
              <w:cnfStyle w:val="000000000000"/>
              <w:rPr>
                <w:rFonts w:ascii="Times New Roman" w:hAnsi="Times New Roman"/>
                <w:sz w:val="24"/>
                <w:szCs w:val="24"/>
              </w:rPr>
            </w:pPr>
            <w:r w:rsidRPr="002F6E6B">
              <w:rPr>
                <w:rFonts w:ascii="Times New Roman" w:hAnsi="Times New Roman"/>
                <w:sz w:val="24"/>
                <w:szCs w:val="24"/>
              </w:rPr>
              <w:t>81</w:t>
            </w:r>
          </w:p>
        </w:tc>
      </w:tr>
      <w:tr w:rsidR="007F2F9C" w:rsidRPr="002F6E6B" w:rsidTr="002F6E6B">
        <w:trPr>
          <w:cnfStyle w:val="000000100000"/>
          <w:trHeight w:hRule="exact" w:val="360"/>
        </w:trPr>
        <w:tc>
          <w:tcPr>
            <w:cnfStyle w:val="001000000000"/>
            <w:tcW w:w="2849" w:type="pct"/>
          </w:tcPr>
          <w:p w:rsidR="007F2F9C" w:rsidRPr="002F6E6B" w:rsidRDefault="007F2F9C" w:rsidP="00AA6178">
            <w:pPr>
              <w:spacing w:after="0" w:line="276" w:lineRule="auto"/>
              <w:jc w:val="both"/>
              <w:rPr>
                <w:rFonts w:ascii="Times New Roman" w:hAnsi="Times New Roman"/>
                <w:bCs w:val="0"/>
                <w:sz w:val="24"/>
                <w:szCs w:val="24"/>
              </w:rPr>
            </w:pPr>
            <w:r w:rsidRPr="002F6E6B">
              <w:rPr>
                <w:rFonts w:ascii="Times New Roman" w:hAnsi="Times New Roman"/>
                <w:bCs w:val="0"/>
                <w:sz w:val="24"/>
                <w:szCs w:val="24"/>
              </w:rPr>
              <w:t>P.C Pole Marks/Signs</w:t>
            </w:r>
          </w:p>
        </w:tc>
        <w:tc>
          <w:tcPr>
            <w:tcW w:w="2151" w:type="pct"/>
          </w:tcPr>
          <w:p w:rsidR="007F2F9C" w:rsidRPr="002F6E6B" w:rsidRDefault="007F2F9C" w:rsidP="00AA6178">
            <w:pPr>
              <w:spacing w:after="0" w:line="276" w:lineRule="auto"/>
              <w:jc w:val="center"/>
              <w:cnfStyle w:val="000000100000"/>
              <w:rPr>
                <w:rFonts w:ascii="Times New Roman" w:hAnsi="Times New Roman"/>
                <w:sz w:val="24"/>
                <w:szCs w:val="24"/>
              </w:rPr>
            </w:pPr>
            <w:r w:rsidRPr="002F6E6B">
              <w:rPr>
                <w:rFonts w:ascii="Times New Roman" w:hAnsi="Times New Roman"/>
                <w:sz w:val="24"/>
                <w:szCs w:val="24"/>
              </w:rPr>
              <w:t>427</w:t>
            </w:r>
          </w:p>
        </w:tc>
      </w:tr>
      <w:tr w:rsidR="007F2F9C" w:rsidRPr="002F6E6B" w:rsidTr="002F6E6B">
        <w:trPr>
          <w:trHeight w:hRule="exact" w:val="360"/>
        </w:trPr>
        <w:tc>
          <w:tcPr>
            <w:cnfStyle w:val="001000000000"/>
            <w:tcW w:w="2849" w:type="pct"/>
          </w:tcPr>
          <w:p w:rsidR="007F2F9C" w:rsidRPr="002F6E6B" w:rsidRDefault="007F2F9C" w:rsidP="00AA6178">
            <w:pPr>
              <w:spacing w:after="0" w:line="276" w:lineRule="auto"/>
              <w:jc w:val="both"/>
              <w:rPr>
                <w:rFonts w:ascii="Times New Roman" w:hAnsi="Times New Roman"/>
                <w:bCs w:val="0"/>
                <w:sz w:val="24"/>
                <w:szCs w:val="24"/>
              </w:rPr>
            </w:pPr>
            <w:r w:rsidRPr="002F6E6B">
              <w:rPr>
                <w:rFonts w:ascii="Times New Roman" w:hAnsi="Times New Roman"/>
                <w:bCs w:val="0"/>
                <w:sz w:val="24"/>
                <w:szCs w:val="24"/>
              </w:rPr>
              <w:t>Iron Marks/Signs</w:t>
            </w:r>
          </w:p>
        </w:tc>
        <w:tc>
          <w:tcPr>
            <w:tcW w:w="2151" w:type="pct"/>
          </w:tcPr>
          <w:p w:rsidR="007F2F9C" w:rsidRPr="002F6E6B" w:rsidRDefault="007F2F9C" w:rsidP="00AA6178">
            <w:pPr>
              <w:spacing w:after="0" w:line="276" w:lineRule="auto"/>
              <w:jc w:val="center"/>
              <w:cnfStyle w:val="000000000000"/>
              <w:rPr>
                <w:rFonts w:ascii="Times New Roman" w:hAnsi="Times New Roman"/>
                <w:sz w:val="24"/>
                <w:szCs w:val="24"/>
              </w:rPr>
            </w:pPr>
            <w:r w:rsidRPr="002F6E6B">
              <w:rPr>
                <w:rFonts w:ascii="Times New Roman" w:hAnsi="Times New Roman"/>
                <w:sz w:val="24"/>
                <w:szCs w:val="24"/>
              </w:rPr>
              <w:t>839</w:t>
            </w:r>
          </w:p>
        </w:tc>
      </w:tr>
    </w:tbl>
    <w:p w:rsidR="007F2F9C" w:rsidRPr="00E067FB" w:rsidRDefault="007F2F9C" w:rsidP="00E067FB">
      <w:pPr>
        <w:spacing w:before="120" w:after="120" w:line="276" w:lineRule="auto"/>
        <w:rPr>
          <w:rFonts w:cs="Times New Roman"/>
          <w:b/>
          <w:bCs/>
          <w:i/>
          <w:iCs/>
          <w:sz w:val="20"/>
        </w:rPr>
      </w:pPr>
      <w:r w:rsidRPr="00E067FB">
        <w:rPr>
          <w:rFonts w:cs="Times New Roman"/>
          <w:b/>
          <w:bCs/>
          <w:i/>
          <w:iCs/>
          <w:sz w:val="20"/>
        </w:rPr>
        <w:t>Source: Conservancy &amp; Pilotage Department, BIWTA</w:t>
      </w:r>
    </w:p>
    <w:p w:rsidR="00B6542C" w:rsidRPr="00494AB1" w:rsidRDefault="007F2F9C" w:rsidP="00AA6178">
      <w:pPr>
        <w:spacing w:line="276" w:lineRule="auto"/>
        <w:jc w:val="both"/>
        <w:rPr>
          <w:rFonts w:cs="Times New Roman"/>
          <w:szCs w:val="24"/>
        </w:rPr>
      </w:pPr>
      <w:r w:rsidRPr="00924255">
        <w:rPr>
          <w:rFonts w:cs="Times New Roman"/>
          <w:szCs w:val="24"/>
        </w:rPr>
        <w:t xml:space="preserve">An efficient inland waterways network enabling the vessel to steam round the clock is necessary to decrease transportation time and increase turnaround of the vessel. But so far BIWTA could provide night navigational facilities to one-fourth of the classified routes. Where no such facilities exist vessels are not allowed to ply in the night and are compelled to anchor and wait for daylight. Table </w:t>
      </w:r>
      <w:r w:rsidR="00303BC9">
        <w:rPr>
          <w:rFonts w:cs="Times New Roman"/>
          <w:szCs w:val="24"/>
        </w:rPr>
        <w:t>9.</w:t>
      </w:r>
      <w:r w:rsidR="005A3CDE">
        <w:rPr>
          <w:rFonts w:cs="Times New Roman"/>
          <w:szCs w:val="24"/>
        </w:rPr>
        <w:t>24</w:t>
      </w:r>
      <w:r w:rsidRPr="00924255">
        <w:rPr>
          <w:rFonts w:cs="Times New Roman"/>
          <w:szCs w:val="24"/>
        </w:rPr>
        <w:t xml:space="preserve"> illustrates cu</w:t>
      </w:r>
      <w:r>
        <w:rPr>
          <w:rFonts w:cs="Times New Roman"/>
          <w:szCs w:val="24"/>
        </w:rPr>
        <w:t>rrent state of night navigation.</w:t>
      </w:r>
    </w:p>
    <w:p w:rsidR="007F2F9C" w:rsidRPr="00924255" w:rsidRDefault="007F2F9C" w:rsidP="0036657D">
      <w:pPr>
        <w:pStyle w:val="Heading4"/>
      </w:pPr>
      <w:bookmarkStart w:id="704" w:name="_Toc474639090"/>
      <w:r w:rsidRPr="00924255">
        <w:t xml:space="preserve">Table </w:t>
      </w:r>
      <w:r w:rsidR="00303BC9">
        <w:t>9.</w:t>
      </w:r>
      <w:r w:rsidR="005A3CDE">
        <w:t>24</w:t>
      </w:r>
      <w:r w:rsidR="00B6542C">
        <w:t>:  Aids to day/night N</w:t>
      </w:r>
      <w:r w:rsidRPr="00924255">
        <w:t>avigation</w:t>
      </w:r>
      <w:bookmarkEnd w:id="704"/>
    </w:p>
    <w:tbl>
      <w:tblPr>
        <w:tblStyle w:val="LightShading10"/>
        <w:tblW w:w="5000" w:type="pct"/>
        <w:tblLook w:val="04A0"/>
      </w:tblPr>
      <w:tblGrid>
        <w:gridCol w:w="2898"/>
        <w:gridCol w:w="2160"/>
        <w:gridCol w:w="2160"/>
        <w:gridCol w:w="2358"/>
      </w:tblGrid>
      <w:tr w:rsidR="007F2F9C" w:rsidRPr="006B433D" w:rsidTr="006B433D">
        <w:trPr>
          <w:cnfStyle w:val="100000000000"/>
          <w:trHeight w:val="288"/>
        </w:trPr>
        <w:tc>
          <w:tcPr>
            <w:cnfStyle w:val="001000000000"/>
            <w:tcW w:w="1513" w:type="pct"/>
          </w:tcPr>
          <w:p w:rsidR="007F2F9C" w:rsidRPr="00D10C92" w:rsidRDefault="007F2F9C" w:rsidP="00AA6178">
            <w:pPr>
              <w:spacing w:line="276" w:lineRule="auto"/>
              <w:jc w:val="both"/>
              <w:rPr>
                <w:rFonts w:ascii="Times New Roman" w:hAnsi="Times New Roman"/>
                <w:sz w:val="22"/>
                <w:szCs w:val="24"/>
              </w:rPr>
            </w:pPr>
            <w:r w:rsidRPr="00D10C92">
              <w:rPr>
                <w:rFonts w:ascii="Times New Roman" w:hAnsi="Times New Roman"/>
                <w:sz w:val="22"/>
                <w:szCs w:val="24"/>
              </w:rPr>
              <w:t>Classification of Waterways</w:t>
            </w:r>
          </w:p>
        </w:tc>
        <w:tc>
          <w:tcPr>
            <w:tcW w:w="1128" w:type="pct"/>
          </w:tcPr>
          <w:p w:rsidR="007F2F9C" w:rsidRPr="00D10C92" w:rsidRDefault="007F2F9C" w:rsidP="00AA6178">
            <w:pPr>
              <w:spacing w:line="276" w:lineRule="auto"/>
              <w:jc w:val="center"/>
              <w:cnfStyle w:val="100000000000"/>
              <w:rPr>
                <w:rFonts w:ascii="Times New Roman" w:hAnsi="Times New Roman"/>
                <w:sz w:val="22"/>
                <w:szCs w:val="24"/>
              </w:rPr>
            </w:pPr>
            <w:r w:rsidRPr="00D10C92">
              <w:rPr>
                <w:rFonts w:ascii="Times New Roman" w:hAnsi="Times New Roman"/>
                <w:sz w:val="22"/>
                <w:szCs w:val="24"/>
              </w:rPr>
              <w:t>Length</w:t>
            </w:r>
          </w:p>
          <w:p w:rsidR="007F2F9C" w:rsidRPr="00D10C92" w:rsidRDefault="007F2F9C" w:rsidP="00AA6178">
            <w:pPr>
              <w:spacing w:line="276" w:lineRule="auto"/>
              <w:jc w:val="center"/>
              <w:cnfStyle w:val="100000000000"/>
              <w:rPr>
                <w:rFonts w:ascii="Times New Roman" w:hAnsi="Times New Roman"/>
                <w:sz w:val="22"/>
                <w:szCs w:val="24"/>
              </w:rPr>
            </w:pPr>
            <w:r w:rsidRPr="00D10C92">
              <w:rPr>
                <w:rFonts w:ascii="Times New Roman" w:hAnsi="Times New Roman"/>
                <w:sz w:val="22"/>
                <w:szCs w:val="24"/>
              </w:rPr>
              <w:t>(in Km)</w:t>
            </w:r>
          </w:p>
        </w:tc>
        <w:tc>
          <w:tcPr>
            <w:tcW w:w="1128" w:type="pct"/>
          </w:tcPr>
          <w:p w:rsidR="007F2F9C" w:rsidRPr="00D10C92" w:rsidRDefault="007F2F9C" w:rsidP="00AA6178">
            <w:pPr>
              <w:spacing w:line="276" w:lineRule="auto"/>
              <w:jc w:val="center"/>
              <w:cnfStyle w:val="100000000000"/>
              <w:rPr>
                <w:rFonts w:ascii="Times New Roman" w:hAnsi="Times New Roman"/>
                <w:sz w:val="22"/>
                <w:szCs w:val="24"/>
              </w:rPr>
            </w:pPr>
            <w:r w:rsidRPr="00D10C92">
              <w:rPr>
                <w:rFonts w:ascii="Times New Roman" w:hAnsi="Times New Roman"/>
                <w:sz w:val="22"/>
                <w:szCs w:val="24"/>
              </w:rPr>
              <w:t>Only Day</w:t>
            </w:r>
          </w:p>
          <w:p w:rsidR="007F2F9C" w:rsidRPr="00D10C92" w:rsidRDefault="007F2F9C" w:rsidP="00AA6178">
            <w:pPr>
              <w:spacing w:line="276" w:lineRule="auto"/>
              <w:jc w:val="center"/>
              <w:cnfStyle w:val="100000000000"/>
              <w:rPr>
                <w:rFonts w:ascii="Times New Roman" w:hAnsi="Times New Roman"/>
                <w:sz w:val="22"/>
                <w:szCs w:val="24"/>
              </w:rPr>
            </w:pPr>
            <w:r w:rsidRPr="00D10C92">
              <w:rPr>
                <w:rFonts w:ascii="Times New Roman" w:hAnsi="Times New Roman"/>
                <w:sz w:val="22"/>
                <w:szCs w:val="24"/>
              </w:rPr>
              <w:t>(in km.)</w:t>
            </w:r>
          </w:p>
        </w:tc>
        <w:tc>
          <w:tcPr>
            <w:tcW w:w="1231" w:type="pct"/>
          </w:tcPr>
          <w:p w:rsidR="007F2F9C" w:rsidRPr="00D10C92" w:rsidRDefault="007F2F9C" w:rsidP="00AA6178">
            <w:pPr>
              <w:spacing w:line="276" w:lineRule="auto"/>
              <w:jc w:val="center"/>
              <w:cnfStyle w:val="100000000000"/>
              <w:rPr>
                <w:rFonts w:ascii="Times New Roman" w:hAnsi="Times New Roman"/>
                <w:sz w:val="22"/>
                <w:szCs w:val="24"/>
              </w:rPr>
            </w:pPr>
            <w:r w:rsidRPr="00D10C92">
              <w:rPr>
                <w:rFonts w:ascii="Times New Roman" w:hAnsi="Times New Roman"/>
                <w:sz w:val="22"/>
                <w:szCs w:val="24"/>
              </w:rPr>
              <w:t>Day &amp; Night (in km.)</w:t>
            </w:r>
          </w:p>
        </w:tc>
      </w:tr>
      <w:tr w:rsidR="007F2F9C" w:rsidRPr="006B433D" w:rsidTr="006B433D">
        <w:trPr>
          <w:cnfStyle w:val="000000100000"/>
          <w:trHeight w:val="288"/>
        </w:trPr>
        <w:tc>
          <w:tcPr>
            <w:cnfStyle w:val="001000000000"/>
            <w:tcW w:w="1513" w:type="pct"/>
          </w:tcPr>
          <w:p w:rsidR="007F2F9C" w:rsidRPr="006B433D" w:rsidRDefault="007F2F9C" w:rsidP="00AA6178">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I</w:t>
            </w:r>
          </w:p>
        </w:tc>
        <w:tc>
          <w:tcPr>
            <w:tcW w:w="1128" w:type="pct"/>
          </w:tcPr>
          <w:p w:rsidR="007F2F9C" w:rsidRPr="006B433D" w:rsidRDefault="007F2F9C" w:rsidP="00AA6178">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683</w:t>
            </w:r>
          </w:p>
        </w:tc>
        <w:tc>
          <w:tcPr>
            <w:tcW w:w="1128" w:type="pct"/>
          </w:tcPr>
          <w:p w:rsidR="007F2F9C" w:rsidRPr="006B433D" w:rsidRDefault="007F2F9C" w:rsidP="00AA6178">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w:t>
            </w:r>
          </w:p>
        </w:tc>
        <w:tc>
          <w:tcPr>
            <w:tcW w:w="1231" w:type="pct"/>
          </w:tcPr>
          <w:p w:rsidR="007F2F9C" w:rsidRPr="006B433D" w:rsidRDefault="007F2F9C" w:rsidP="00AA6178">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683</w:t>
            </w:r>
          </w:p>
        </w:tc>
      </w:tr>
      <w:tr w:rsidR="007F2F9C" w:rsidRPr="006B433D" w:rsidTr="006B433D">
        <w:trPr>
          <w:trHeight w:val="288"/>
        </w:trPr>
        <w:tc>
          <w:tcPr>
            <w:cnfStyle w:val="001000000000"/>
            <w:tcW w:w="1513" w:type="pct"/>
          </w:tcPr>
          <w:p w:rsidR="007F2F9C" w:rsidRPr="006B433D" w:rsidRDefault="007F2F9C" w:rsidP="00AA6178">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Ii</w:t>
            </w:r>
          </w:p>
        </w:tc>
        <w:tc>
          <w:tcPr>
            <w:tcW w:w="1128" w:type="pct"/>
          </w:tcPr>
          <w:p w:rsidR="007F2F9C" w:rsidRPr="006B433D" w:rsidRDefault="007F2F9C" w:rsidP="00AA6178">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1,000</w:t>
            </w:r>
          </w:p>
        </w:tc>
        <w:tc>
          <w:tcPr>
            <w:tcW w:w="1128" w:type="pct"/>
          </w:tcPr>
          <w:p w:rsidR="007F2F9C" w:rsidRPr="006B433D" w:rsidRDefault="007F2F9C" w:rsidP="00AA6178">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688</w:t>
            </w:r>
          </w:p>
        </w:tc>
        <w:tc>
          <w:tcPr>
            <w:tcW w:w="1231" w:type="pct"/>
          </w:tcPr>
          <w:p w:rsidR="007F2F9C" w:rsidRPr="006B433D" w:rsidRDefault="007F2F9C" w:rsidP="00AA6178">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312</w:t>
            </w:r>
          </w:p>
        </w:tc>
      </w:tr>
      <w:tr w:rsidR="007F2F9C" w:rsidRPr="006B433D" w:rsidTr="006B433D">
        <w:trPr>
          <w:cnfStyle w:val="000000100000"/>
          <w:trHeight w:val="288"/>
        </w:trPr>
        <w:tc>
          <w:tcPr>
            <w:cnfStyle w:val="001000000000"/>
            <w:tcW w:w="1513" w:type="pct"/>
          </w:tcPr>
          <w:p w:rsidR="007F2F9C" w:rsidRPr="006B433D" w:rsidRDefault="007F2F9C" w:rsidP="00AA6178">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Iii</w:t>
            </w:r>
          </w:p>
        </w:tc>
        <w:tc>
          <w:tcPr>
            <w:tcW w:w="1128" w:type="pct"/>
          </w:tcPr>
          <w:p w:rsidR="007F2F9C" w:rsidRPr="006B433D" w:rsidRDefault="007F2F9C" w:rsidP="00AA6178">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1,885</w:t>
            </w:r>
          </w:p>
        </w:tc>
        <w:tc>
          <w:tcPr>
            <w:tcW w:w="1128" w:type="pct"/>
          </w:tcPr>
          <w:p w:rsidR="007F2F9C" w:rsidRPr="006B433D" w:rsidRDefault="007F2F9C" w:rsidP="00AA6178">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1,278</w:t>
            </w:r>
          </w:p>
        </w:tc>
        <w:tc>
          <w:tcPr>
            <w:tcW w:w="1231" w:type="pct"/>
          </w:tcPr>
          <w:p w:rsidR="007F2F9C" w:rsidRPr="006B433D" w:rsidRDefault="007F2F9C" w:rsidP="00AA6178">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523</w:t>
            </w:r>
          </w:p>
        </w:tc>
      </w:tr>
      <w:tr w:rsidR="007F2F9C" w:rsidRPr="006B433D" w:rsidTr="006B433D">
        <w:trPr>
          <w:trHeight w:val="288"/>
        </w:trPr>
        <w:tc>
          <w:tcPr>
            <w:cnfStyle w:val="001000000000"/>
            <w:tcW w:w="1513" w:type="pct"/>
          </w:tcPr>
          <w:p w:rsidR="007F2F9C" w:rsidRPr="006B433D" w:rsidRDefault="007F2F9C" w:rsidP="00AA6178">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Iv</w:t>
            </w:r>
          </w:p>
        </w:tc>
        <w:tc>
          <w:tcPr>
            <w:tcW w:w="1128" w:type="pct"/>
          </w:tcPr>
          <w:p w:rsidR="007F2F9C" w:rsidRPr="006B433D" w:rsidRDefault="007F2F9C" w:rsidP="00AA6178">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2,400</w:t>
            </w:r>
          </w:p>
        </w:tc>
        <w:tc>
          <w:tcPr>
            <w:tcW w:w="1128" w:type="pct"/>
          </w:tcPr>
          <w:p w:rsidR="007F2F9C" w:rsidRPr="006B433D" w:rsidRDefault="007F2F9C" w:rsidP="00AA6178">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1290</w:t>
            </w:r>
          </w:p>
        </w:tc>
        <w:tc>
          <w:tcPr>
            <w:tcW w:w="1231" w:type="pct"/>
          </w:tcPr>
          <w:p w:rsidR="007F2F9C" w:rsidRPr="006B433D" w:rsidRDefault="007F2F9C" w:rsidP="00AA6178">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43</w:t>
            </w:r>
          </w:p>
        </w:tc>
      </w:tr>
      <w:tr w:rsidR="007F2F9C" w:rsidRPr="006B433D" w:rsidTr="006B433D">
        <w:trPr>
          <w:cnfStyle w:val="000000100000"/>
          <w:trHeight w:val="288"/>
        </w:trPr>
        <w:tc>
          <w:tcPr>
            <w:cnfStyle w:val="001000000000"/>
            <w:tcW w:w="1513" w:type="pct"/>
          </w:tcPr>
          <w:p w:rsidR="007F2F9C" w:rsidRPr="006B433D" w:rsidRDefault="007F2F9C" w:rsidP="00AA6178">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Total</w:t>
            </w:r>
          </w:p>
        </w:tc>
        <w:tc>
          <w:tcPr>
            <w:tcW w:w="1128" w:type="pct"/>
          </w:tcPr>
          <w:p w:rsidR="007F2F9C" w:rsidRPr="006B433D" w:rsidRDefault="007F2F9C" w:rsidP="00AA6178">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5,968</w:t>
            </w:r>
          </w:p>
        </w:tc>
        <w:tc>
          <w:tcPr>
            <w:tcW w:w="1128" w:type="pct"/>
          </w:tcPr>
          <w:p w:rsidR="007F2F9C" w:rsidRPr="006B433D" w:rsidRDefault="007F2F9C" w:rsidP="00AA6178">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3,256</w:t>
            </w:r>
          </w:p>
        </w:tc>
        <w:tc>
          <w:tcPr>
            <w:tcW w:w="1231" w:type="pct"/>
          </w:tcPr>
          <w:p w:rsidR="007F2F9C" w:rsidRPr="006B433D" w:rsidRDefault="007F2F9C" w:rsidP="00AA6178">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1,561</w:t>
            </w:r>
          </w:p>
        </w:tc>
      </w:tr>
    </w:tbl>
    <w:p w:rsidR="007F2F9C" w:rsidRPr="003A3758" w:rsidRDefault="007F2F9C" w:rsidP="00B6542C">
      <w:pPr>
        <w:spacing w:before="120" w:line="276" w:lineRule="auto"/>
        <w:rPr>
          <w:rFonts w:cs="Times New Roman"/>
          <w:b/>
          <w:bCs/>
          <w:i/>
          <w:iCs/>
          <w:sz w:val="20"/>
          <w:szCs w:val="20"/>
        </w:rPr>
      </w:pPr>
      <w:r w:rsidRPr="0085686D">
        <w:rPr>
          <w:rFonts w:cs="Times New Roman"/>
          <w:b/>
          <w:bCs/>
          <w:i/>
          <w:iCs/>
          <w:sz w:val="20"/>
          <w:szCs w:val="20"/>
        </w:rPr>
        <w:t>Source: Conservancy &amp; Pilotage Department, BIWTA</w:t>
      </w:r>
    </w:p>
    <w:p w:rsidR="007F2F9C" w:rsidRPr="00924255" w:rsidRDefault="007F2F9C" w:rsidP="00AA6178">
      <w:pPr>
        <w:spacing w:line="276" w:lineRule="auto"/>
        <w:jc w:val="both"/>
        <w:rPr>
          <w:rFonts w:cs="Times New Roman"/>
          <w:szCs w:val="24"/>
        </w:rPr>
      </w:pPr>
      <w:r w:rsidRPr="00924255">
        <w:rPr>
          <w:rFonts w:cs="Times New Roman"/>
          <w:szCs w:val="24"/>
        </w:rPr>
        <w:t>Other means of assistance to navigation in waterways are providing pilotage services to vessels in operation. The master of the inland ship is not knowledgeable about the unique condition of each stretch. Pilots guide the Master to keep the vessel on the right track. Pilots are engaged in 26 stations and provide services to the vessel at their respective beats (stretch). Present system of providing pilotage services increases operational time of the vessel due to (a) a vessel in operation for a long route is required to change pilots at not less than three pilot stations resulting delay in journey, (b) if any pilot is not available at a particular station, vessel will have to wait. The requirement of such services can be minimized by disseminating navigational information to the vessel in operation and intensifying aids to navigation. Total management of installation, maintenance and shifting of navigational equipment is directly performed by BIWTA. Private participation in this regard is yet to be introduced.</w:t>
      </w:r>
    </w:p>
    <w:p w:rsidR="00000000" w:rsidRDefault="007F2F9C" w:rsidP="003D5A31">
      <w:pPr>
        <w:pStyle w:val="BodyText"/>
        <w:numPr>
          <w:ilvl w:val="2"/>
          <w:numId w:val="241"/>
        </w:numPr>
        <w:spacing w:after="240" w:line="276" w:lineRule="auto"/>
        <w:jc w:val="both"/>
        <w:rPr>
          <w:rFonts w:cs="Times New Roman"/>
          <w:b/>
          <w:szCs w:val="24"/>
        </w:rPr>
      </w:pPr>
      <w:r w:rsidRPr="00A97FE2">
        <w:rPr>
          <w:rFonts w:cs="Times New Roman"/>
          <w:b/>
          <w:szCs w:val="24"/>
        </w:rPr>
        <w:lastRenderedPageBreak/>
        <w:t>Bandalling</w:t>
      </w:r>
    </w:p>
    <w:p w:rsidR="007F2F9C" w:rsidRPr="00AA6178" w:rsidRDefault="007F2F9C" w:rsidP="00AA6178">
      <w:pPr>
        <w:spacing w:line="276" w:lineRule="auto"/>
        <w:jc w:val="both"/>
      </w:pPr>
      <w:r w:rsidRPr="00AA6178">
        <w:t>BIWTA undertakes Bandalling works in non-tidal river systems of Jamuna/ Brahmaputra and Surma – Kushiara. It represents an alternative low cost indigenous method of maintenance of navigability in some specific stretches. It is applied for deepening a single channel and closure of a secondary channel.</w:t>
      </w:r>
    </w:p>
    <w:p w:rsidR="00000000" w:rsidRDefault="007F2F9C" w:rsidP="003D5A31">
      <w:pPr>
        <w:pStyle w:val="Heading2"/>
        <w:numPr>
          <w:ilvl w:val="1"/>
          <w:numId w:val="254"/>
        </w:numPr>
      </w:pPr>
      <w:bookmarkStart w:id="705" w:name="_Toc474638914"/>
      <w:r w:rsidRPr="00143410">
        <w:t>Demand Side Development and Issues</w:t>
      </w:r>
      <w:bookmarkEnd w:id="705"/>
    </w:p>
    <w:p w:rsidR="00B6542C" w:rsidRPr="008C0909" w:rsidRDefault="007F2F9C" w:rsidP="00AA6178">
      <w:pPr>
        <w:spacing w:line="276" w:lineRule="auto"/>
        <w:jc w:val="both"/>
        <w:rPr>
          <w:rFonts w:cs="Times New Roman"/>
          <w:bCs/>
          <w:szCs w:val="24"/>
          <w:lang w:val="en-GB"/>
        </w:rPr>
      </w:pPr>
      <w:r>
        <w:rPr>
          <w:rFonts w:cs="Times New Roman"/>
          <w:bCs/>
          <w:szCs w:val="24"/>
          <w:lang w:val="en-GB"/>
        </w:rPr>
        <w:t xml:space="preserve">The demand for IWT services largely emerges from domestic demand for transport services for passenger traffic and cargo. Yet, the geography of Bangladesh, whereby it sits in-between two parts of India creates an important demand from India in the form of demand for transport to facilitate transit trade between the western and eastern parts </w:t>
      </w:r>
      <w:r w:rsidR="00EA4B6A">
        <w:rPr>
          <w:rFonts w:cs="Times New Roman"/>
          <w:bCs/>
          <w:szCs w:val="24"/>
          <w:lang w:val="en-GB"/>
        </w:rPr>
        <w:t xml:space="preserve">of </w:t>
      </w:r>
      <w:r>
        <w:rPr>
          <w:rFonts w:cs="Times New Roman"/>
          <w:bCs/>
          <w:szCs w:val="24"/>
          <w:lang w:val="en-GB"/>
        </w:rPr>
        <w:t xml:space="preserve">India through Bangladesh. This demand involves all major modes of transport but demand for river transport is particularly attractive in view of its low cost. Within domestic demand this involves both domestic trade and inland container traffic linked to international trade.  </w:t>
      </w:r>
    </w:p>
    <w:p w:rsidR="00000000" w:rsidRDefault="007F2F9C" w:rsidP="003D5A31">
      <w:pPr>
        <w:pStyle w:val="BodyText"/>
        <w:numPr>
          <w:ilvl w:val="2"/>
          <w:numId w:val="242"/>
        </w:numPr>
        <w:spacing w:after="240" w:line="276" w:lineRule="auto"/>
        <w:jc w:val="both"/>
        <w:rPr>
          <w:rFonts w:cs="Times New Roman"/>
          <w:b/>
          <w:szCs w:val="24"/>
        </w:rPr>
      </w:pPr>
      <w:r w:rsidRPr="00A97FE2">
        <w:rPr>
          <w:rFonts w:cs="Times New Roman"/>
          <w:b/>
          <w:szCs w:val="24"/>
        </w:rPr>
        <w:t>Domestic Demand</w:t>
      </w:r>
    </w:p>
    <w:p w:rsidR="00AA6178" w:rsidRPr="008C0909" w:rsidRDefault="007F2F9C" w:rsidP="008C0909">
      <w:pPr>
        <w:spacing w:line="276" w:lineRule="auto"/>
        <w:jc w:val="both"/>
        <w:rPr>
          <w:rFonts w:cs="Times New Roman"/>
          <w:szCs w:val="24"/>
          <w:lang w:val="en-GB"/>
        </w:rPr>
      </w:pPr>
      <w:r>
        <w:rPr>
          <w:rFonts w:cs="Times New Roman"/>
          <w:szCs w:val="24"/>
          <w:lang w:val="en-GB"/>
        </w:rPr>
        <w:t xml:space="preserve">The Bangladesh Bureau of Statistics provides data on the flow of passenger and freight traffic by IWT (Table </w:t>
      </w:r>
      <w:r w:rsidR="00303BC9">
        <w:rPr>
          <w:rFonts w:cs="Times New Roman"/>
          <w:szCs w:val="24"/>
          <w:lang w:val="en-GB"/>
        </w:rPr>
        <w:t>9.</w:t>
      </w:r>
      <w:r w:rsidR="005A3CDE">
        <w:rPr>
          <w:rFonts w:cs="Times New Roman"/>
          <w:szCs w:val="24"/>
          <w:lang w:val="en-GB"/>
        </w:rPr>
        <w:t>25</w:t>
      </w:r>
      <w:r>
        <w:rPr>
          <w:rFonts w:cs="Times New Roman"/>
          <w:szCs w:val="24"/>
          <w:lang w:val="en-GB"/>
        </w:rPr>
        <w:t xml:space="preserve">).  The BBS data suggest that following a period of relative stagnation between </w:t>
      </w:r>
      <w:r w:rsidR="00E25DE2">
        <w:rPr>
          <w:rFonts w:cs="Times New Roman"/>
          <w:szCs w:val="24"/>
          <w:lang w:val="en-GB"/>
        </w:rPr>
        <w:t>FY</w:t>
      </w:r>
      <w:r>
        <w:rPr>
          <w:rFonts w:cs="Times New Roman"/>
          <w:szCs w:val="24"/>
          <w:lang w:val="en-GB"/>
        </w:rPr>
        <w:t xml:space="preserve">1996 and </w:t>
      </w:r>
      <w:r w:rsidR="00E25DE2">
        <w:rPr>
          <w:rFonts w:cs="Times New Roman"/>
          <w:szCs w:val="24"/>
          <w:lang w:val="en-GB"/>
        </w:rPr>
        <w:t>FY</w:t>
      </w:r>
      <w:r>
        <w:rPr>
          <w:rFonts w:cs="Times New Roman"/>
          <w:szCs w:val="24"/>
          <w:lang w:val="en-GB"/>
        </w:rPr>
        <w:t xml:space="preserve">2005, there was a recovery in the activities of IWT for both passenger service and cargo during </w:t>
      </w:r>
      <w:r w:rsidR="00E25DE2">
        <w:rPr>
          <w:rFonts w:cs="Times New Roman"/>
          <w:szCs w:val="24"/>
          <w:lang w:val="en-GB"/>
        </w:rPr>
        <w:t>FY</w:t>
      </w:r>
      <w:r>
        <w:rPr>
          <w:rFonts w:cs="Times New Roman"/>
          <w:szCs w:val="24"/>
          <w:lang w:val="en-GB"/>
        </w:rPr>
        <w:t>2006-</w:t>
      </w:r>
      <w:r w:rsidR="00E25DE2">
        <w:rPr>
          <w:rFonts w:cs="Times New Roman"/>
          <w:szCs w:val="24"/>
          <w:lang w:val="en-GB"/>
        </w:rPr>
        <w:t>FY</w:t>
      </w:r>
      <w:r>
        <w:rPr>
          <w:rFonts w:cs="Times New Roman"/>
          <w:szCs w:val="24"/>
          <w:lang w:val="en-GB"/>
        </w:rPr>
        <w:t xml:space="preserve">2012.  However, this progress was stunted in </w:t>
      </w:r>
      <w:r w:rsidR="00E25DE2">
        <w:rPr>
          <w:rFonts w:cs="Times New Roman"/>
          <w:szCs w:val="24"/>
          <w:lang w:val="en-GB"/>
        </w:rPr>
        <w:t>FY</w:t>
      </w:r>
      <w:r>
        <w:rPr>
          <w:rFonts w:cs="Times New Roman"/>
          <w:szCs w:val="24"/>
          <w:lang w:val="en-GB"/>
        </w:rPr>
        <w:t>2012-</w:t>
      </w:r>
      <w:r w:rsidR="00E25DE2">
        <w:rPr>
          <w:rFonts w:cs="Times New Roman"/>
          <w:szCs w:val="24"/>
          <w:lang w:val="en-GB"/>
        </w:rPr>
        <w:t>FY20</w:t>
      </w:r>
      <w:r>
        <w:rPr>
          <w:rFonts w:cs="Times New Roman"/>
          <w:szCs w:val="24"/>
          <w:lang w:val="en-GB"/>
        </w:rPr>
        <w:t>14. The slowdown in IWT service demand is symptomatic of the binding constraints emerging from the supply side including poor river navigation channels, safety sta</w:t>
      </w:r>
      <w:r w:rsidR="008C0909">
        <w:rPr>
          <w:rFonts w:cs="Times New Roman"/>
          <w:szCs w:val="24"/>
          <w:lang w:val="en-GB"/>
        </w:rPr>
        <w:t>ndards and low quality service.</w:t>
      </w:r>
    </w:p>
    <w:p w:rsidR="005A3CDE" w:rsidRDefault="005A3CDE">
      <w:pPr>
        <w:rPr>
          <w:rFonts w:cs="Times New Roman"/>
          <w:b/>
          <w:bCs/>
          <w:szCs w:val="24"/>
        </w:rPr>
      </w:pPr>
      <w:r>
        <w:br w:type="page"/>
      </w:r>
    </w:p>
    <w:p w:rsidR="007F2F9C" w:rsidRDefault="007F2F9C" w:rsidP="0036657D">
      <w:pPr>
        <w:pStyle w:val="Heading4"/>
      </w:pPr>
      <w:bookmarkStart w:id="706" w:name="_Toc474639091"/>
      <w:r w:rsidRPr="00924255">
        <w:lastRenderedPageBreak/>
        <w:t>Table</w:t>
      </w:r>
      <w:r>
        <w:t xml:space="preserve"> </w:t>
      </w:r>
      <w:r w:rsidR="00901C1C">
        <w:t>9.</w:t>
      </w:r>
      <w:r w:rsidR="005A3CDE">
        <w:t>25</w:t>
      </w:r>
      <w:r w:rsidR="00E25DE2">
        <w:t>: Total Number of Passengers and Cargo Handled by Inland W</w:t>
      </w:r>
      <w:r w:rsidRPr="00924255">
        <w:t>aterway</w:t>
      </w:r>
      <w:r w:rsidR="00E25DE2">
        <w:t>s</w:t>
      </w:r>
      <w:bookmarkEnd w:id="706"/>
    </w:p>
    <w:tbl>
      <w:tblPr>
        <w:tblStyle w:val="LightShading10"/>
        <w:tblW w:w="5000" w:type="pct"/>
        <w:tblLook w:val="04A0"/>
      </w:tblPr>
      <w:tblGrid>
        <w:gridCol w:w="1370"/>
        <w:gridCol w:w="1532"/>
        <w:gridCol w:w="1588"/>
        <w:gridCol w:w="1410"/>
        <w:gridCol w:w="1362"/>
        <w:gridCol w:w="2314"/>
      </w:tblGrid>
      <w:tr w:rsidR="007F2F9C" w:rsidRPr="005A3CDE" w:rsidTr="005A3CDE">
        <w:trPr>
          <w:cnfStyle w:val="100000000000"/>
          <w:trHeight w:hRule="exact" w:val="288"/>
        </w:trPr>
        <w:tc>
          <w:tcPr>
            <w:cnfStyle w:val="001000000000"/>
            <w:tcW w:w="716" w:type="pct"/>
            <w:vMerge w:val="restart"/>
            <w:noWrap/>
            <w:hideMark/>
          </w:tcPr>
          <w:p w:rsidR="007F2F9C" w:rsidRPr="005A3CDE" w:rsidRDefault="007F2F9C" w:rsidP="005A3CDE">
            <w:pPr>
              <w:spacing w:line="20" w:lineRule="atLeast"/>
              <w:jc w:val="center"/>
              <w:rPr>
                <w:rFonts w:ascii="Times New Roman" w:hAnsi="Times New Roman"/>
                <w:szCs w:val="24"/>
              </w:rPr>
            </w:pPr>
            <w:r w:rsidRPr="005A3CDE">
              <w:rPr>
                <w:rFonts w:ascii="Times New Roman" w:hAnsi="Times New Roman"/>
                <w:szCs w:val="24"/>
              </w:rPr>
              <w:t>Year</w:t>
            </w:r>
          </w:p>
        </w:tc>
        <w:tc>
          <w:tcPr>
            <w:tcW w:w="3076" w:type="pct"/>
            <w:gridSpan w:val="4"/>
            <w:noWrap/>
            <w:hideMark/>
          </w:tcPr>
          <w:p w:rsidR="007F2F9C" w:rsidRPr="005A3CDE" w:rsidRDefault="007F2F9C" w:rsidP="005A3CDE">
            <w:pPr>
              <w:spacing w:line="20" w:lineRule="atLeast"/>
              <w:jc w:val="center"/>
              <w:cnfStyle w:val="100000000000"/>
              <w:rPr>
                <w:rFonts w:ascii="Times New Roman" w:hAnsi="Times New Roman"/>
                <w:szCs w:val="24"/>
              </w:rPr>
            </w:pPr>
            <w:r w:rsidRPr="005A3CDE">
              <w:rPr>
                <w:rFonts w:ascii="Times New Roman" w:hAnsi="Times New Roman"/>
                <w:szCs w:val="24"/>
              </w:rPr>
              <w:t>No. of passengers (in millions)</w:t>
            </w:r>
          </w:p>
        </w:tc>
        <w:tc>
          <w:tcPr>
            <w:tcW w:w="1208" w:type="pct"/>
            <w:vMerge w:val="restart"/>
            <w:hideMark/>
          </w:tcPr>
          <w:p w:rsidR="007F2F9C" w:rsidRPr="005A3CDE" w:rsidRDefault="007F2F9C" w:rsidP="005A3CDE">
            <w:pPr>
              <w:spacing w:line="20" w:lineRule="atLeast"/>
              <w:jc w:val="center"/>
              <w:cnfStyle w:val="100000000000"/>
              <w:rPr>
                <w:rFonts w:ascii="Times New Roman" w:hAnsi="Times New Roman"/>
                <w:szCs w:val="24"/>
              </w:rPr>
            </w:pPr>
            <w:r w:rsidRPr="005A3CDE">
              <w:rPr>
                <w:rFonts w:ascii="Times New Roman" w:hAnsi="Times New Roman"/>
                <w:szCs w:val="24"/>
              </w:rPr>
              <w:t xml:space="preserve">Volume of cargo handled (Million </w:t>
            </w:r>
            <w:r w:rsidR="00FE6385">
              <w:rPr>
                <w:rFonts w:ascii="Times New Roman" w:hAnsi="Times New Roman"/>
                <w:szCs w:val="24"/>
              </w:rPr>
              <w:t>Tonne</w:t>
            </w:r>
            <w:r w:rsidRPr="005A3CDE">
              <w:rPr>
                <w:rFonts w:ascii="Times New Roman" w:hAnsi="Times New Roman"/>
                <w:szCs w:val="24"/>
              </w:rPr>
              <w:t>s)</w:t>
            </w:r>
          </w:p>
        </w:tc>
      </w:tr>
      <w:tr w:rsidR="007F2F9C" w:rsidRPr="005A3CDE" w:rsidTr="005A3CDE">
        <w:trPr>
          <w:cnfStyle w:val="000000100000"/>
          <w:trHeight w:hRule="exact" w:val="288"/>
        </w:trPr>
        <w:tc>
          <w:tcPr>
            <w:cnfStyle w:val="001000000000"/>
            <w:tcW w:w="716" w:type="pct"/>
            <w:vMerge/>
            <w:hideMark/>
          </w:tcPr>
          <w:p w:rsidR="007F2F9C" w:rsidRPr="005A3CDE" w:rsidRDefault="007F2F9C" w:rsidP="005A3CDE">
            <w:pPr>
              <w:spacing w:after="0" w:line="20" w:lineRule="atLeast"/>
              <w:jc w:val="center"/>
              <w:rPr>
                <w:rFonts w:ascii="Times New Roman" w:hAnsi="Times New Roman"/>
                <w:b w:val="0"/>
                <w:szCs w:val="24"/>
              </w:rPr>
            </w:pPr>
          </w:p>
        </w:tc>
        <w:tc>
          <w:tcPr>
            <w:tcW w:w="800" w:type="pct"/>
            <w:hideMark/>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By Motor Launch</w:t>
            </w:r>
          </w:p>
        </w:tc>
        <w:tc>
          <w:tcPr>
            <w:tcW w:w="829" w:type="pct"/>
            <w:hideMark/>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By Steamer</w:t>
            </w:r>
          </w:p>
        </w:tc>
        <w:tc>
          <w:tcPr>
            <w:tcW w:w="736" w:type="pct"/>
            <w:hideMark/>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By Ferry Service</w:t>
            </w:r>
          </w:p>
        </w:tc>
        <w:tc>
          <w:tcPr>
            <w:tcW w:w="711" w:type="pct"/>
            <w:hideMark/>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Total</w:t>
            </w:r>
          </w:p>
        </w:tc>
        <w:tc>
          <w:tcPr>
            <w:tcW w:w="1208" w:type="pct"/>
            <w:vMerge/>
            <w:hideMark/>
          </w:tcPr>
          <w:p w:rsidR="007F2F9C" w:rsidRPr="005A3CDE" w:rsidRDefault="007F2F9C" w:rsidP="005A3CDE">
            <w:pPr>
              <w:spacing w:after="0" w:line="20" w:lineRule="atLeast"/>
              <w:jc w:val="center"/>
              <w:cnfStyle w:val="000000100000"/>
              <w:rPr>
                <w:rFonts w:ascii="Times New Roman" w:hAnsi="Times New Roman"/>
                <w:b/>
                <w:szCs w:val="24"/>
              </w:rPr>
            </w:pPr>
          </w:p>
        </w:tc>
      </w:tr>
      <w:tr w:rsidR="007F2F9C" w:rsidRPr="005A3CDE" w:rsidTr="005A3CDE">
        <w:trPr>
          <w:trHeight w:hRule="exact" w:val="288"/>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FY19</w:t>
            </w:r>
            <w:r w:rsidR="007F2F9C" w:rsidRPr="005A3CDE">
              <w:rPr>
                <w:rFonts w:ascii="Times New Roman" w:hAnsi="Times New Roman"/>
                <w:szCs w:val="24"/>
              </w:rPr>
              <w:t>96</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58.17</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0.95</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8.89</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68.01</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5.69</w:t>
            </w:r>
          </w:p>
        </w:tc>
      </w:tr>
      <w:tr w:rsidR="007F2F9C" w:rsidRPr="005A3CDE" w:rsidTr="005A3CDE">
        <w:trPr>
          <w:cnfStyle w:val="000000100000"/>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FY19</w:t>
            </w:r>
            <w:r w:rsidR="007F2F9C" w:rsidRPr="005A3CDE">
              <w:rPr>
                <w:rFonts w:ascii="Times New Roman" w:hAnsi="Times New Roman"/>
                <w:szCs w:val="24"/>
              </w:rPr>
              <w:t>97</w:t>
            </w:r>
          </w:p>
        </w:tc>
        <w:tc>
          <w:tcPr>
            <w:tcW w:w="800"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67.15</w:t>
            </w:r>
          </w:p>
        </w:tc>
        <w:tc>
          <w:tcPr>
            <w:tcW w:w="829"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0.77</w:t>
            </w:r>
          </w:p>
        </w:tc>
        <w:tc>
          <w:tcPr>
            <w:tcW w:w="736"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11.32</w:t>
            </w:r>
          </w:p>
        </w:tc>
        <w:tc>
          <w:tcPr>
            <w:tcW w:w="711"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79.24</w:t>
            </w:r>
          </w:p>
        </w:tc>
        <w:tc>
          <w:tcPr>
            <w:tcW w:w="1208"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5.93</w:t>
            </w:r>
          </w:p>
        </w:tc>
      </w:tr>
      <w:tr w:rsidR="007F2F9C" w:rsidRPr="005A3CDE" w:rsidTr="005A3CDE">
        <w:trPr>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FY19</w:t>
            </w:r>
            <w:r w:rsidR="007F2F9C" w:rsidRPr="005A3CDE">
              <w:rPr>
                <w:rFonts w:ascii="Times New Roman" w:hAnsi="Times New Roman"/>
                <w:szCs w:val="24"/>
              </w:rPr>
              <w:t>98</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76.03</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0.88</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10.89</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87.80</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5.58</w:t>
            </w:r>
          </w:p>
        </w:tc>
      </w:tr>
      <w:tr w:rsidR="007F2F9C" w:rsidRPr="005A3CDE" w:rsidTr="005A3CDE">
        <w:trPr>
          <w:cnfStyle w:val="000000100000"/>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FY19</w:t>
            </w:r>
            <w:r w:rsidR="007F2F9C" w:rsidRPr="005A3CDE">
              <w:rPr>
                <w:rFonts w:ascii="Times New Roman" w:hAnsi="Times New Roman"/>
                <w:szCs w:val="24"/>
              </w:rPr>
              <w:t>99</w:t>
            </w:r>
          </w:p>
        </w:tc>
        <w:tc>
          <w:tcPr>
            <w:tcW w:w="800"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65.72</w:t>
            </w:r>
          </w:p>
        </w:tc>
        <w:tc>
          <w:tcPr>
            <w:tcW w:w="829"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0.97</w:t>
            </w:r>
          </w:p>
        </w:tc>
        <w:tc>
          <w:tcPr>
            <w:tcW w:w="736"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5.39</w:t>
            </w:r>
          </w:p>
        </w:tc>
        <w:tc>
          <w:tcPr>
            <w:tcW w:w="711"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72.08</w:t>
            </w:r>
          </w:p>
        </w:tc>
        <w:tc>
          <w:tcPr>
            <w:tcW w:w="1208"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5.87</w:t>
            </w:r>
          </w:p>
        </w:tc>
      </w:tr>
      <w:tr w:rsidR="007F2F9C" w:rsidRPr="005A3CDE" w:rsidTr="005A3CDE">
        <w:trPr>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00</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66.95</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0.89</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6.52</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74.35</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5.86</w:t>
            </w:r>
          </w:p>
        </w:tc>
      </w:tr>
      <w:tr w:rsidR="007F2F9C" w:rsidRPr="005A3CDE" w:rsidTr="005A3CDE">
        <w:trPr>
          <w:cnfStyle w:val="000000100000"/>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01</w:t>
            </w:r>
          </w:p>
        </w:tc>
        <w:tc>
          <w:tcPr>
            <w:tcW w:w="800"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86.29</w:t>
            </w:r>
          </w:p>
        </w:tc>
        <w:tc>
          <w:tcPr>
            <w:tcW w:w="829"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0.85</w:t>
            </w:r>
          </w:p>
        </w:tc>
        <w:tc>
          <w:tcPr>
            <w:tcW w:w="736"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8.08</w:t>
            </w:r>
          </w:p>
        </w:tc>
        <w:tc>
          <w:tcPr>
            <w:tcW w:w="711"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95.17</w:t>
            </w:r>
          </w:p>
        </w:tc>
        <w:tc>
          <w:tcPr>
            <w:tcW w:w="1208"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5.89</w:t>
            </w:r>
          </w:p>
        </w:tc>
      </w:tr>
      <w:tr w:rsidR="007F2F9C" w:rsidRPr="005A3CDE" w:rsidTr="005A3CDE">
        <w:trPr>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02</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86.24</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0.94</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9.60</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96.79</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5.90</w:t>
            </w:r>
          </w:p>
        </w:tc>
      </w:tr>
      <w:tr w:rsidR="007F2F9C" w:rsidRPr="005A3CDE" w:rsidTr="005A3CDE">
        <w:trPr>
          <w:cnfStyle w:val="000000100000"/>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03</w:t>
            </w:r>
          </w:p>
        </w:tc>
        <w:tc>
          <w:tcPr>
            <w:tcW w:w="800"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66.56</w:t>
            </w:r>
          </w:p>
        </w:tc>
        <w:tc>
          <w:tcPr>
            <w:tcW w:w="829"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1.18</w:t>
            </w:r>
          </w:p>
        </w:tc>
        <w:tc>
          <w:tcPr>
            <w:tcW w:w="736"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11.40</w:t>
            </w:r>
          </w:p>
        </w:tc>
        <w:tc>
          <w:tcPr>
            <w:tcW w:w="711"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79.14</w:t>
            </w:r>
          </w:p>
        </w:tc>
        <w:tc>
          <w:tcPr>
            <w:tcW w:w="1208"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7.93</w:t>
            </w:r>
          </w:p>
        </w:tc>
      </w:tr>
      <w:tr w:rsidR="007F2F9C" w:rsidRPr="005A3CDE" w:rsidTr="005A3CDE">
        <w:trPr>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04</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76.16</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1.11</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13.34</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90.61</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8.08</w:t>
            </w:r>
          </w:p>
        </w:tc>
      </w:tr>
      <w:tr w:rsidR="007F2F9C" w:rsidRPr="005A3CDE" w:rsidTr="005A3CDE">
        <w:trPr>
          <w:cnfStyle w:val="000000100000"/>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05</w:t>
            </w:r>
          </w:p>
        </w:tc>
        <w:tc>
          <w:tcPr>
            <w:tcW w:w="800"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49.47</w:t>
            </w:r>
          </w:p>
        </w:tc>
        <w:tc>
          <w:tcPr>
            <w:tcW w:w="829"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1.08</w:t>
            </w:r>
          </w:p>
        </w:tc>
        <w:tc>
          <w:tcPr>
            <w:tcW w:w="736"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13.99</w:t>
            </w:r>
          </w:p>
        </w:tc>
        <w:tc>
          <w:tcPr>
            <w:tcW w:w="711"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64.54</w:t>
            </w:r>
          </w:p>
        </w:tc>
        <w:tc>
          <w:tcPr>
            <w:tcW w:w="1208"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11.59</w:t>
            </w:r>
          </w:p>
        </w:tc>
      </w:tr>
      <w:tr w:rsidR="007F2F9C" w:rsidRPr="005A3CDE" w:rsidTr="005A3CDE">
        <w:trPr>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06</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166.50</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1.11</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17.05</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184.66</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17.80</w:t>
            </w:r>
          </w:p>
        </w:tc>
      </w:tr>
      <w:tr w:rsidR="007F2F9C" w:rsidRPr="005A3CDE" w:rsidTr="005A3CDE">
        <w:trPr>
          <w:cnfStyle w:val="000000100000"/>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07</w:t>
            </w:r>
          </w:p>
        </w:tc>
        <w:tc>
          <w:tcPr>
            <w:tcW w:w="800"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177.62</w:t>
            </w:r>
          </w:p>
        </w:tc>
        <w:tc>
          <w:tcPr>
            <w:tcW w:w="829"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0.94</w:t>
            </w:r>
          </w:p>
        </w:tc>
        <w:tc>
          <w:tcPr>
            <w:tcW w:w="736"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17.84</w:t>
            </w:r>
          </w:p>
        </w:tc>
        <w:tc>
          <w:tcPr>
            <w:tcW w:w="711"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196.40</w:t>
            </w:r>
          </w:p>
        </w:tc>
        <w:tc>
          <w:tcPr>
            <w:tcW w:w="1208"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20.50</w:t>
            </w:r>
          </w:p>
        </w:tc>
      </w:tr>
      <w:tr w:rsidR="007F2F9C" w:rsidRPr="005A3CDE" w:rsidTr="005A3CDE">
        <w:trPr>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08</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190.30</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0.89</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17.80</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208.99</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25.51</w:t>
            </w:r>
          </w:p>
        </w:tc>
      </w:tr>
      <w:tr w:rsidR="007F2F9C" w:rsidRPr="005A3CDE" w:rsidTr="005A3CDE">
        <w:trPr>
          <w:cnfStyle w:val="000000100000"/>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09</w:t>
            </w:r>
          </w:p>
        </w:tc>
        <w:tc>
          <w:tcPr>
            <w:tcW w:w="800"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199.80</w:t>
            </w:r>
          </w:p>
        </w:tc>
        <w:tc>
          <w:tcPr>
            <w:tcW w:w="829"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0.80</w:t>
            </w:r>
          </w:p>
        </w:tc>
        <w:tc>
          <w:tcPr>
            <w:tcW w:w="736"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17.33</w:t>
            </w:r>
          </w:p>
        </w:tc>
        <w:tc>
          <w:tcPr>
            <w:tcW w:w="711"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217.93</w:t>
            </w:r>
          </w:p>
        </w:tc>
        <w:tc>
          <w:tcPr>
            <w:tcW w:w="1208"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26.77</w:t>
            </w:r>
          </w:p>
        </w:tc>
      </w:tr>
      <w:tr w:rsidR="007F2F9C" w:rsidRPr="005A3CDE" w:rsidTr="005A3CDE">
        <w:trPr>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10</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220.19</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0.89</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17.73</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238.79</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27.12</w:t>
            </w:r>
          </w:p>
        </w:tc>
      </w:tr>
      <w:tr w:rsidR="007F2F9C" w:rsidRPr="005A3CDE" w:rsidTr="005A3CDE">
        <w:trPr>
          <w:cnfStyle w:val="000000100000"/>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11</w:t>
            </w:r>
          </w:p>
        </w:tc>
        <w:tc>
          <w:tcPr>
            <w:tcW w:w="800"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231.52</w:t>
            </w:r>
          </w:p>
        </w:tc>
        <w:tc>
          <w:tcPr>
            <w:tcW w:w="829"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1.00</w:t>
            </w:r>
          </w:p>
        </w:tc>
        <w:tc>
          <w:tcPr>
            <w:tcW w:w="736"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17.90</w:t>
            </w:r>
          </w:p>
        </w:tc>
        <w:tc>
          <w:tcPr>
            <w:tcW w:w="711"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250.52</w:t>
            </w:r>
          </w:p>
        </w:tc>
        <w:tc>
          <w:tcPr>
            <w:tcW w:w="1208"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32.60</w:t>
            </w:r>
          </w:p>
        </w:tc>
      </w:tr>
      <w:tr w:rsidR="007F2F9C" w:rsidRPr="005A3CDE" w:rsidTr="005A3CDE">
        <w:trPr>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12</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333.09</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0.80</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17.09</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350.98</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35.86</w:t>
            </w:r>
          </w:p>
        </w:tc>
      </w:tr>
      <w:tr w:rsidR="007F2F9C" w:rsidRPr="005A3CDE" w:rsidTr="005A3CDE">
        <w:trPr>
          <w:cnfStyle w:val="000000100000"/>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13</w:t>
            </w:r>
          </w:p>
        </w:tc>
        <w:tc>
          <w:tcPr>
            <w:tcW w:w="800"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232.75</w:t>
            </w:r>
          </w:p>
        </w:tc>
        <w:tc>
          <w:tcPr>
            <w:tcW w:w="829"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0.75</w:t>
            </w:r>
          </w:p>
        </w:tc>
        <w:tc>
          <w:tcPr>
            <w:tcW w:w="736"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16.75</w:t>
            </w:r>
          </w:p>
        </w:tc>
        <w:tc>
          <w:tcPr>
            <w:tcW w:w="711"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250.25</w:t>
            </w:r>
          </w:p>
        </w:tc>
        <w:tc>
          <w:tcPr>
            <w:tcW w:w="1208" w:type="pct"/>
            <w:noWrap/>
            <w:hideMark/>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18.77</w:t>
            </w:r>
          </w:p>
        </w:tc>
      </w:tr>
      <w:tr w:rsidR="007F2F9C" w:rsidRPr="005A3CDE" w:rsidTr="005A3CDE">
        <w:trPr>
          <w:trHeight w:val="20"/>
        </w:trPr>
        <w:tc>
          <w:tcPr>
            <w:cnfStyle w:val="001000000000"/>
            <w:tcW w:w="716" w:type="pct"/>
            <w:noWrap/>
            <w:hideMark/>
          </w:tcPr>
          <w:p w:rsidR="007F2F9C" w:rsidRPr="005A3CDE" w:rsidRDefault="009B44EC" w:rsidP="005A3CDE">
            <w:pPr>
              <w:spacing w:after="0" w:line="20" w:lineRule="atLeast"/>
              <w:jc w:val="center"/>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14</w:t>
            </w:r>
          </w:p>
        </w:tc>
        <w:tc>
          <w:tcPr>
            <w:tcW w:w="800"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139.27</w:t>
            </w:r>
          </w:p>
        </w:tc>
        <w:tc>
          <w:tcPr>
            <w:tcW w:w="829"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0.60</w:t>
            </w:r>
          </w:p>
        </w:tc>
        <w:tc>
          <w:tcPr>
            <w:tcW w:w="736"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16.16</w:t>
            </w:r>
          </w:p>
        </w:tc>
        <w:tc>
          <w:tcPr>
            <w:tcW w:w="711"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156.03</w:t>
            </w:r>
          </w:p>
        </w:tc>
        <w:tc>
          <w:tcPr>
            <w:tcW w:w="1208" w:type="pct"/>
            <w:noWrap/>
            <w:hideMark/>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22.02</w:t>
            </w:r>
          </w:p>
        </w:tc>
      </w:tr>
    </w:tbl>
    <w:p w:rsidR="007F2F9C" w:rsidRPr="00A23457" w:rsidRDefault="007F2F9C" w:rsidP="00C95B76">
      <w:pPr>
        <w:spacing w:before="120" w:line="276" w:lineRule="auto"/>
        <w:jc w:val="both"/>
        <w:rPr>
          <w:rFonts w:cs="Times New Roman"/>
          <w:i/>
        </w:rPr>
      </w:pPr>
      <w:r w:rsidRPr="00E6625A">
        <w:rPr>
          <w:b/>
          <w:bCs/>
          <w:i/>
          <w:iCs/>
          <w:sz w:val="20"/>
          <w:szCs w:val="16"/>
          <w:lang w:val="en-GB"/>
        </w:rPr>
        <w:t xml:space="preserve">Source: </w:t>
      </w:r>
      <w:r w:rsidR="00E917D6">
        <w:rPr>
          <w:b/>
          <w:bCs/>
          <w:i/>
          <w:iCs/>
          <w:sz w:val="20"/>
          <w:szCs w:val="16"/>
          <w:lang w:val="en-GB"/>
        </w:rPr>
        <w:t xml:space="preserve"> BBS</w:t>
      </w:r>
    </w:p>
    <w:p w:rsidR="007F2F9C" w:rsidRPr="00AA6178" w:rsidRDefault="007F2F9C" w:rsidP="00AA6178">
      <w:pPr>
        <w:spacing w:line="276" w:lineRule="auto"/>
        <w:jc w:val="both"/>
      </w:pPr>
      <w:r w:rsidRPr="00AA6178">
        <w:t xml:space="preserve">Data on BIWTA earnings from major service routes is provided in Table </w:t>
      </w:r>
      <w:r w:rsidR="00901C1C">
        <w:t>9.</w:t>
      </w:r>
      <w:r w:rsidRPr="00AA6178">
        <w:t>2</w:t>
      </w:r>
      <w:r w:rsidR="00F37660">
        <w:t>6</w:t>
      </w:r>
      <w:r w:rsidRPr="00AA6178">
        <w:t xml:space="preserve">. The review suggests that 4 IWT ports are particularly active and significant for both passenger and cargo: Dhaka, Narayanganj, Mawa and Aricha-Daulatdia. The Dhaka and Narayanganj are full service river routes connecting this major industrial and commercial belt with the rest of the country.  On the other hand, Mawa and Aricha provide mainly ferry services for road traffic. </w:t>
      </w:r>
    </w:p>
    <w:p w:rsidR="007F2F9C" w:rsidRPr="00F37660" w:rsidRDefault="007F2F9C" w:rsidP="00F37660">
      <w:pPr>
        <w:pStyle w:val="Heading4"/>
      </w:pPr>
      <w:bookmarkStart w:id="707" w:name="_Toc474639092"/>
      <w:r w:rsidRPr="00F37660">
        <w:t xml:space="preserve">Table </w:t>
      </w:r>
      <w:r w:rsidR="00901C1C" w:rsidRPr="00F37660">
        <w:t>9.</w:t>
      </w:r>
      <w:r w:rsidRPr="00F37660">
        <w:t>2</w:t>
      </w:r>
      <w:r w:rsidR="00F37660" w:rsidRPr="00F37660">
        <w:t>6</w:t>
      </w:r>
      <w:r w:rsidRPr="00F37660">
        <w:t>: Passenger and Cargo Throughputs of River Ports (taka million)</w:t>
      </w:r>
      <w:bookmarkEnd w:id="707"/>
    </w:p>
    <w:tbl>
      <w:tblPr>
        <w:tblStyle w:val="LightShading10"/>
        <w:tblW w:w="0" w:type="auto"/>
        <w:tblLayout w:type="fixed"/>
        <w:tblLook w:val="04A0"/>
      </w:tblPr>
      <w:tblGrid>
        <w:gridCol w:w="2070"/>
        <w:gridCol w:w="1185"/>
        <w:gridCol w:w="1185"/>
        <w:gridCol w:w="1185"/>
        <w:gridCol w:w="1185"/>
        <w:gridCol w:w="1290"/>
        <w:gridCol w:w="1080"/>
      </w:tblGrid>
      <w:tr w:rsidR="007F2F9C" w:rsidRPr="005A3CDE" w:rsidTr="005A3CDE">
        <w:trPr>
          <w:cnfStyle w:val="100000000000"/>
          <w:trHeight w:hRule="exact" w:val="288"/>
        </w:trPr>
        <w:tc>
          <w:tcPr>
            <w:cnfStyle w:val="001000000000"/>
            <w:tcW w:w="2070" w:type="dxa"/>
            <w:vMerge w:val="restart"/>
          </w:tcPr>
          <w:p w:rsidR="007F2F9C" w:rsidRPr="005A3CDE" w:rsidRDefault="007F2F9C" w:rsidP="005A3CDE">
            <w:pPr>
              <w:spacing w:line="20" w:lineRule="atLeast"/>
              <w:jc w:val="center"/>
              <w:rPr>
                <w:rFonts w:ascii="Times New Roman" w:hAnsi="Times New Roman"/>
                <w:szCs w:val="24"/>
              </w:rPr>
            </w:pPr>
            <w:r w:rsidRPr="005A3CDE">
              <w:rPr>
                <w:rFonts w:ascii="Times New Roman" w:hAnsi="Times New Roman"/>
                <w:szCs w:val="24"/>
              </w:rPr>
              <w:t>Port</w:t>
            </w:r>
          </w:p>
        </w:tc>
        <w:tc>
          <w:tcPr>
            <w:tcW w:w="2370" w:type="dxa"/>
            <w:gridSpan w:val="2"/>
          </w:tcPr>
          <w:p w:rsidR="007F2F9C" w:rsidRPr="005A3CDE" w:rsidRDefault="00E25DE2" w:rsidP="005A3CDE">
            <w:pPr>
              <w:spacing w:line="20" w:lineRule="atLeast"/>
              <w:jc w:val="center"/>
              <w:cnfStyle w:val="100000000000"/>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12</w:t>
            </w:r>
          </w:p>
        </w:tc>
        <w:tc>
          <w:tcPr>
            <w:tcW w:w="2370" w:type="dxa"/>
            <w:gridSpan w:val="2"/>
          </w:tcPr>
          <w:p w:rsidR="007F2F9C" w:rsidRPr="005A3CDE" w:rsidRDefault="00E25DE2" w:rsidP="005A3CDE">
            <w:pPr>
              <w:spacing w:line="20" w:lineRule="atLeast"/>
              <w:jc w:val="center"/>
              <w:cnfStyle w:val="100000000000"/>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13</w:t>
            </w:r>
          </w:p>
        </w:tc>
        <w:tc>
          <w:tcPr>
            <w:tcW w:w="2370" w:type="dxa"/>
            <w:gridSpan w:val="2"/>
          </w:tcPr>
          <w:p w:rsidR="007F2F9C" w:rsidRPr="005A3CDE" w:rsidRDefault="00E25DE2" w:rsidP="005A3CDE">
            <w:pPr>
              <w:spacing w:line="20" w:lineRule="atLeast"/>
              <w:jc w:val="center"/>
              <w:cnfStyle w:val="100000000000"/>
              <w:rPr>
                <w:rFonts w:ascii="Times New Roman" w:hAnsi="Times New Roman"/>
                <w:szCs w:val="24"/>
              </w:rPr>
            </w:pPr>
            <w:r w:rsidRPr="005A3CDE">
              <w:rPr>
                <w:rFonts w:ascii="Times New Roman" w:hAnsi="Times New Roman"/>
                <w:szCs w:val="24"/>
              </w:rPr>
              <w:t>FY20</w:t>
            </w:r>
            <w:r w:rsidR="007F2F9C" w:rsidRPr="005A3CDE">
              <w:rPr>
                <w:rFonts w:ascii="Times New Roman" w:hAnsi="Times New Roman"/>
                <w:szCs w:val="24"/>
              </w:rPr>
              <w:t>14</w:t>
            </w:r>
          </w:p>
        </w:tc>
      </w:tr>
      <w:tr w:rsidR="007F2F9C" w:rsidRPr="005A3CDE" w:rsidTr="005A3CDE">
        <w:trPr>
          <w:cnfStyle w:val="000000100000"/>
          <w:trHeight w:hRule="exact" w:val="288"/>
        </w:trPr>
        <w:tc>
          <w:tcPr>
            <w:cnfStyle w:val="001000000000"/>
            <w:tcW w:w="2070" w:type="dxa"/>
            <w:vMerge/>
          </w:tcPr>
          <w:p w:rsidR="007F2F9C" w:rsidRPr="005A3CDE" w:rsidRDefault="007F2F9C" w:rsidP="005A3CDE">
            <w:pPr>
              <w:spacing w:after="0" w:line="20" w:lineRule="atLeast"/>
              <w:jc w:val="center"/>
              <w:rPr>
                <w:rFonts w:ascii="Times New Roman" w:hAnsi="Times New Roman"/>
                <w:b w:val="0"/>
                <w:szCs w:val="24"/>
              </w:rPr>
            </w:pPr>
          </w:p>
        </w:tc>
        <w:tc>
          <w:tcPr>
            <w:tcW w:w="1185" w:type="dxa"/>
          </w:tcPr>
          <w:p w:rsidR="007F2F9C" w:rsidRPr="005A3CDE" w:rsidRDefault="007F2F9C" w:rsidP="005A3CDE">
            <w:pPr>
              <w:spacing w:after="0" w:line="20" w:lineRule="atLeast"/>
              <w:jc w:val="center"/>
              <w:cnfStyle w:val="000000100000"/>
              <w:rPr>
                <w:rFonts w:ascii="Times New Roman" w:hAnsi="Times New Roman"/>
                <w:b/>
              </w:rPr>
            </w:pPr>
            <w:r w:rsidRPr="005A3CDE">
              <w:rPr>
                <w:rFonts w:ascii="Times New Roman" w:hAnsi="Times New Roman"/>
                <w:b/>
              </w:rPr>
              <w:t>Passengers</w:t>
            </w:r>
          </w:p>
        </w:tc>
        <w:tc>
          <w:tcPr>
            <w:tcW w:w="1185" w:type="dxa"/>
          </w:tcPr>
          <w:p w:rsidR="007F2F9C" w:rsidRPr="005A3CDE" w:rsidRDefault="007F2F9C" w:rsidP="005A3CDE">
            <w:pPr>
              <w:spacing w:after="0" w:line="20" w:lineRule="atLeast"/>
              <w:jc w:val="center"/>
              <w:cnfStyle w:val="000000100000"/>
              <w:rPr>
                <w:rFonts w:ascii="Times New Roman" w:hAnsi="Times New Roman"/>
                <w:b/>
              </w:rPr>
            </w:pPr>
            <w:r w:rsidRPr="005A3CDE">
              <w:rPr>
                <w:rFonts w:ascii="Times New Roman" w:hAnsi="Times New Roman"/>
                <w:b/>
              </w:rPr>
              <w:t>Cargo</w:t>
            </w:r>
          </w:p>
        </w:tc>
        <w:tc>
          <w:tcPr>
            <w:tcW w:w="1185" w:type="dxa"/>
          </w:tcPr>
          <w:p w:rsidR="007F2F9C" w:rsidRPr="005A3CDE" w:rsidRDefault="007F2F9C" w:rsidP="005A3CDE">
            <w:pPr>
              <w:spacing w:after="0" w:line="20" w:lineRule="atLeast"/>
              <w:jc w:val="center"/>
              <w:cnfStyle w:val="000000100000"/>
              <w:rPr>
                <w:rFonts w:ascii="Times New Roman" w:hAnsi="Times New Roman"/>
                <w:b/>
              </w:rPr>
            </w:pPr>
            <w:r w:rsidRPr="005A3CDE">
              <w:rPr>
                <w:rFonts w:ascii="Times New Roman" w:hAnsi="Times New Roman"/>
                <w:b/>
              </w:rPr>
              <w:t>Passengers</w:t>
            </w:r>
          </w:p>
        </w:tc>
        <w:tc>
          <w:tcPr>
            <w:tcW w:w="1185" w:type="dxa"/>
          </w:tcPr>
          <w:p w:rsidR="007F2F9C" w:rsidRPr="005A3CDE" w:rsidRDefault="007F2F9C" w:rsidP="005A3CDE">
            <w:pPr>
              <w:spacing w:after="0" w:line="20" w:lineRule="atLeast"/>
              <w:jc w:val="center"/>
              <w:cnfStyle w:val="000000100000"/>
              <w:rPr>
                <w:rFonts w:ascii="Times New Roman" w:hAnsi="Times New Roman"/>
                <w:b/>
              </w:rPr>
            </w:pPr>
            <w:r w:rsidRPr="005A3CDE">
              <w:rPr>
                <w:rFonts w:ascii="Times New Roman" w:hAnsi="Times New Roman"/>
                <w:b/>
              </w:rPr>
              <w:t>Cargo</w:t>
            </w:r>
          </w:p>
        </w:tc>
        <w:tc>
          <w:tcPr>
            <w:tcW w:w="1290" w:type="dxa"/>
          </w:tcPr>
          <w:p w:rsidR="007F2F9C" w:rsidRPr="005A3CDE" w:rsidRDefault="007F2F9C" w:rsidP="005A3CDE">
            <w:pPr>
              <w:spacing w:after="0" w:line="20" w:lineRule="atLeast"/>
              <w:jc w:val="center"/>
              <w:cnfStyle w:val="000000100000"/>
              <w:rPr>
                <w:rFonts w:ascii="Times New Roman" w:hAnsi="Times New Roman"/>
                <w:b/>
              </w:rPr>
            </w:pPr>
            <w:r w:rsidRPr="005A3CDE">
              <w:rPr>
                <w:rFonts w:ascii="Times New Roman" w:hAnsi="Times New Roman"/>
                <w:b/>
              </w:rPr>
              <w:t>Passengers</w:t>
            </w:r>
          </w:p>
        </w:tc>
        <w:tc>
          <w:tcPr>
            <w:tcW w:w="1080" w:type="dxa"/>
          </w:tcPr>
          <w:p w:rsidR="007F2F9C" w:rsidRPr="005A3CDE" w:rsidRDefault="007F2F9C" w:rsidP="005A3CDE">
            <w:pPr>
              <w:spacing w:after="0" w:line="20" w:lineRule="atLeast"/>
              <w:jc w:val="center"/>
              <w:cnfStyle w:val="000000100000"/>
              <w:rPr>
                <w:rFonts w:ascii="Times New Roman" w:hAnsi="Times New Roman"/>
                <w:b/>
              </w:rPr>
            </w:pPr>
            <w:r w:rsidRPr="005A3CDE">
              <w:rPr>
                <w:rFonts w:ascii="Times New Roman" w:hAnsi="Times New Roman"/>
                <w:b/>
              </w:rPr>
              <w:t>Cargo</w:t>
            </w:r>
          </w:p>
        </w:tc>
      </w:tr>
      <w:tr w:rsidR="007F2F9C" w:rsidRPr="005A3CDE" w:rsidTr="005A3CDE">
        <w:trPr>
          <w:trHeight w:hRule="exact" w:val="288"/>
        </w:trPr>
        <w:tc>
          <w:tcPr>
            <w:cnfStyle w:val="001000000000"/>
            <w:tcW w:w="2070" w:type="dxa"/>
          </w:tcPr>
          <w:p w:rsidR="007F2F9C" w:rsidRPr="005A3CDE" w:rsidRDefault="007F2F9C" w:rsidP="005A3CDE">
            <w:pPr>
              <w:spacing w:after="0" w:line="20" w:lineRule="atLeast"/>
              <w:rPr>
                <w:rFonts w:ascii="Times New Roman" w:hAnsi="Times New Roman"/>
                <w:b w:val="0"/>
                <w:szCs w:val="24"/>
              </w:rPr>
            </w:pPr>
            <w:r w:rsidRPr="005A3CDE">
              <w:rPr>
                <w:rFonts w:ascii="Times New Roman" w:hAnsi="Times New Roman"/>
                <w:b w:val="0"/>
                <w:szCs w:val="24"/>
              </w:rPr>
              <w:t>Dhaka</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19.05</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6.00</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21.11</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6.70</w:t>
            </w:r>
          </w:p>
        </w:tc>
        <w:tc>
          <w:tcPr>
            <w:tcW w:w="1290"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20.55</w:t>
            </w:r>
          </w:p>
        </w:tc>
        <w:tc>
          <w:tcPr>
            <w:tcW w:w="1080"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7.53</w:t>
            </w:r>
          </w:p>
        </w:tc>
      </w:tr>
      <w:tr w:rsidR="007F2F9C" w:rsidRPr="005A3CDE" w:rsidTr="005A3CDE">
        <w:trPr>
          <w:cnfStyle w:val="000000100000"/>
          <w:trHeight w:hRule="exact" w:val="288"/>
        </w:trPr>
        <w:tc>
          <w:tcPr>
            <w:cnfStyle w:val="001000000000"/>
            <w:tcW w:w="2070" w:type="dxa"/>
          </w:tcPr>
          <w:p w:rsidR="007F2F9C" w:rsidRPr="005A3CDE" w:rsidRDefault="007F2F9C" w:rsidP="005A3CDE">
            <w:pPr>
              <w:spacing w:after="0" w:line="20" w:lineRule="atLeast"/>
              <w:rPr>
                <w:rFonts w:ascii="Times New Roman" w:hAnsi="Times New Roman"/>
                <w:b w:val="0"/>
                <w:szCs w:val="24"/>
              </w:rPr>
            </w:pPr>
            <w:r w:rsidRPr="005A3CDE">
              <w:rPr>
                <w:rFonts w:ascii="Times New Roman" w:hAnsi="Times New Roman"/>
                <w:b w:val="0"/>
                <w:szCs w:val="24"/>
              </w:rPr>
              <w:t>Narayanganj</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23.13</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10.53</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22.72</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12.76</w:t>
            </w:r>
          </w:p>
        </w:tc>
        <w:tc>
          <w:tcPr>
            <w:tcW w:w="1290"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24.17</w:t>
            </w:r>
          </w:p>
        </w:tc>
        <w:tc>
          <w:tcPr>
            <w:tcW w:w="1080"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13.61</w:t>
            </w:r>
          </w:p>
        </w:tc>
      </w:tr>
      <w:tr w:rsidR="007F2F9C" w:rsidRPr="005A3CDE" w:rsidTr="005A3CDE">
        <w:trPr>
          <w:trHeight w:hRule="exact" w:val="288"/>
        </w:trPr>
        <w:tc>
          <w:tcPr>
            <w:cnfStyle w:val="001000000000"/>
            <w:tcW w:w="2070" w:type="dxa"/>
          </w:tcPr>
          <w:p w:rsidR="007F2F9C" w:rsidRPr="005A3CDE" w:rsidRDefault="007F2F9C" w:rsidP="005A3CDE">
            <w:pPr>
              <w:spacing w:after="0" w:line="20" w:lineRule="atLeast"/>
              <w:rPr>
                <w:rFonts w:ascii="Times New Roman" w:hAnsi="Times New Roman"/>
                <w:b w:val="0"/>
                <w:szCs w:val="24"/>
              </w:rPr>
            </w:pPr>
            <w:r w:rsidRPr="005A3CDE">
              <w:rPr>
                <w:rFonts w:ascii="Times New Roman" w:hAnsi="Times New Roman"/>
                <w:b w:val="0"/>
                <w:szCs w:val="24"/>
              </w:rPr>
              <w:t>Khulna</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0.72</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8.01</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0.65</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6.64</w:t>
            </w:r>
          </w:p>
        </w:tc>
        <w:tc>
          <w:tcPr>
            <w:tcW w:w="1290"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0.67</w:t>
            </w:r>
          </w:p>
        </w:tc>
        <w:tc>
          <w:tcPr>
            <w:tcW w:w="1080"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6.05</w:t>
            </w:r>
          </w:p>
        </w:tc>
      </w:tr>
      <w:tr w:rsidR="007F2F9C" w:rsidRPr="005A3CDE" w:rsidTr="005A3CDE">
        <w:trPr>
          <w:cnfStyle w:val="000000100000"/>
          <w:trHeight w:hRule="exact" w:val="288"/>
        </w:trPr>
        <w:tc>
          <w:tcPr>
            <w:cnfStyle w:val="001000000000"/>
            <w:tcW w:w="2070" w:type="dxa"/>
          </w:tcPr>
          <w:p w:rsidR="007F2F9C" w:rsidRPr="005A3CDE" w:rsidRDefault="007F2F9C" w:rsidP="005A3CDE">
            <w:pPr>
              <w:spacing w:after="0" w:line="20" w:lineRule="atLeast"/>
              <w:rPr>
                <w:rFonts w:ascii="Times New Roman" w:hAnsi="Times New Roman"/>
                <w:b w:val="0"/>
                <w:szCs w:val="24"/>
              </w:rPr>
            </w:pPr>
            <w:r w:rsidRPr="005A3CDE">
              <w:rPr>
                <w:rFonts w:ascii="Times New Roman" w:hAnsi="Times New Roman"/>
                <w:b w:val="0"/>
                <w:szCs w:val="24"/>
              </w:rPr>
              <w:t>Chandpur</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2.10</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0.42</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2.27</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0.47</w:t>
            </w:r>
          </w:p>
        </w:tc>
        <w:tc>
          <w:tcPr>
            <w:tcW w:w="1290"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2.28</w:t>
            </w:r>
          </w:p>
        </w:tc>
        <w:tc>
          <w:tcPr>
            <w:tcW w:w="1080"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0.50</w:t>
            </w:r>
          </w:p>
        </w:tc>
      </w:tr>
      <w:tr w:rsidR="007F2F9C" w:rsidRPr="005A3CDE" w:rsidTr="005A3CDE">
        <w:trPr>
          <w:trHeight w:hRule="exact" w:val="288"/>
        </w:trPr>
        <w:tc>
          <w:tcPr>
            <w:cnfStyle w:val="001000000000"/>
            <w:tcW w:w="2070" w:type="dxa"/>
          </w:tcPr>
          <w:p w:rsidR="007F2F9C" w:rsidRPr="005A3CDE" w:rsidRDefault="007F2F9C" w:rsidP="005A3CDE">
            <w:pPr>
              <w:spacing w:after="0" w:line="20" w:lineRule="atLeast"/>
              <w:rPr>
                <w:rFonts w:ascii="Times New Roman" w:hAnsi="Times New Roman"/>
                <w:b w:val="0"/>
                <w:szCs w:val="24"/>
              </w:rPr>
            </w:pPr>
            <w:r w:rsidRPr="005A3CDE">
              <w:rPr>
                <w:rFonts w:ascii="Times New Roman" w:hAnsi="Times New Roman"/>
                <w:b w:val="0"/>
                <w:szCs w:val="24"/>
              </w:rPr>
              <w:t>Barisal</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5.75</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0.60</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5.81</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0.66</w:t>
            </w:r>
          </w:p>
        </w:tc>
        <w:tc>
          <w:tcPr>
            <w:tcW w:w="1290"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6.47</w:t>
            </w:r>
          </w:p>
        </w:tc>
        <w:tc>
          <w:tcPr>
            <w:tcW w:w="1080"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0.68</w:t>
            </w:r>
          </w:p>
        </w:tc>
      </w:tr>
      <w:tr w:rsidR="007F2F9C" w:rsidRPr="005A3CDE" w:rsidTr="005A3CDE">
        <w:trPr>
          <w:cnfStyle w:val="000000100000"/>
          <w:trHeight w:hRule="exact" w:val="288"/>
        </w:trPr>
        <w:tc>
          <w:tcPr>
            <w:cnfStyle w:val="001000000000"/>
            <w:tcW w:w="2070" w:type="dxa"/>
          </w:tcPr>
          <w:p w:rsidR="007F2F9C" w:rsidRPr="005A3CDE" w:rsidRDefault="007F2F9C" w:rsidP="005A3CDE">
            <w:pPr>
              <w:spacing w:after="0" w:line="20" w:lineRule="atLeast"/>
              <w:rPr>
                <w:rFonts w:ascii="Times New Roman" w:hAnsi="Times New Roman"/>
                <w:b w:val="0"/>
                <w:szCs w:val="24"/>
              </w:rPr>
            </w:pPr>
            <w:r w:rsidRPr="005A3CDE">
              <w:rPr>
                <w:rFonts w:ascii="Times New Roman" w:hAnsi="Times New Roman"/>
                <w:b w:val="0"/>
                <w:szCs w:val="24"/>
              </w:rPr>
              <w:t>Patuakhali</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2.12</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0.12</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2.11</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0.12</w:t>
            </w:r>
          </w:p>
        </w:tc>
        <w:tc>
          <w:tcPr>
            <w:tcW w:w="1290"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2.32</w:t>
            </w:r>
          </w:p>
        </w:tc>
        <w:tc>
          <w:tcPr>
            <w:tcW w:w="1080"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0.18</w:t>
            </w:r>
          </w:p>
        </w:tc>
      </w:tr>
      <w:tr w:rsidR="007F2F9C" w:rsidRPr="005A3CDE" w:rsidTr="005A3CDE">
        <w:trPr>
          <w:trHeight w:hRule="exact" w:val="288"/>
        </w:trPr>
        <w:tc>
          <w:tcPr>
            <w:cnfStyle w:val="001000000000"/>
            <w:tcW w:w="2070" w:type="dxa"/>
          </w:tcPr>
          <w:p w:rsidR="007F2F9C" w:rsidRPr="005A3CDE" w:rsidRDefault="007F2F9C" w:rsidP="005A3CDE">
            <w:pPr>
              <w:spacing w:after="0" w:line="20" w:lineRule="atLeast"/>
              <w:rPr>
                <w:rFonts w:ascii="Times New Roman" w:hAnsi="Times New Roman"/>
                <w:b w:val="0"/>
                <w:szCs w:val="24"/>
              </w:rPr>
            </w:pPr>
            <w:r w:rsidRPr="005A3CDE">
              <w:rPr>
                <w:rFonts w:ascii="Times New Roman" w:hAnsi="Times New Roman"/>
                <w:b w:val="0"/>
                <w:szCs w:val="24"/>
              </w:rPr>
              <w:t>Mawa</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13.50</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14.98</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p>
        </w:tc>
        <w:tc>
          <w:tcPr>
            <w:tcW w:w="1290"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16.70</w:t>
            </w:r>
          </w:p>
        </w:tc>
        <w:tc>
          <w:tcPr>
            <w:tcW w:w="1080" w:type="dxa"/>
          </w:tcPr>
          <w:p w:rsidR="007F2F9C" w:rsidRPr="005A3CDE" w:rsidRDefault="007F2F9C" w:rsidP="005A3CDE">
            <w:pPr>
              <w:spacing w:after="0" w:line="20" w:lineRule="atLeast"/>
              <w:jc w:val="center"/>
              <w:cnfStyle w:val="000000000000"/>
              <w:rPr>
                <w:rFonts w:ascii="Times New Roman" w:hAnsi="Times New Roman"/>
                <w:szCs w:val="24"/>
              </w:rPr>
            </w:pPr>
          </w:p>
        </w:tc>
      </w:tr>
      <w:tr w:rsidR="007F2F9C" w:rsidRPr="005A3CDE" w:rsidTr="005A3CDE">
        <w:trPr>
          <w:cnfStyle w:val="000000100000"/>
          <w:trHeight w:hRule="exact" w:val="288"/>
        </w:trPr>
        <w:tc>
          <w:tcPr>
            <w:cnfStyle w:val="001000000000"/>
            <w:tcW w:w="2070" w:type="dxa"/>
          </w:tcPr>
          <w:p w:rsidR="007F2F9C" w:rsidRPr="005A3CDE" w:rsidRDefault="007F2F9C" w:rsidP="005A3CDE">
            <w:pPr>
              <w:spacing w:after="0" w:line="20" w:lineRule="atLeast"/>
              <w:rPr>
                <w:rFonts w:ascii="Times New Roman" w:hAnsi="Times New Roman"/>
                <w:b w:val="0"/>
                <w:szCs w:val="24"/>
              </w:rPr>
            </w:pPr>
            <w:r w:rsidRPr="005A3CDE">
              <w:rPr>
                <w:rFonts w:ascii="Times New Roman" w:hAnsi="Times New Roman"/>
                <w:b w:val="0"/>
                <w:szCs w:val="24"/>
              </w:rPr>
              <w:t>Aricha-Daulatdia</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11.48</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5.34</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14.88</w:t>
            </w:r>
          </w:p>
        </w:tc>
        <w:tc>
          <w:tcPr>
            <w:tcW w:w="1185"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5.35</w:t>
            </w:r>
          </w:p>
        </w:tc>
        <w:tc>
          <w:tcPr>
            <w:tcW w:w="1290"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14.24</w:t>
            </w:r>
          </w:p>
        </w:tc>
        <w:tc>
          <w:tcPr>
            <w:tcW w:w="1080" w:type="dxa"/>
          </w:tcPr>
          <w:p w:rsidR="007F2F9C" w:rsidRPr="005A3CDE" w:rsidRDefault="007F2F9C" w:rsidP="005A3CDE">
            <w:pPr>
              <w:spacing w:after="0" w:line="20" w:lineRule="atLeast"/>
              <w:jc w:val="center"/>
              <w:cnfStyle w:val="000000100000"/>
              <w:rPr>
                <w:rFonts w:ascii="Times New Roman" w:hAnsi="Times New Roman"/>
                <w:szCs w:val="24"/>
              </w:rPr>
            </w:pPr>
            <w:r w:rsidRPr="005A3CDE">
              <w:rPr>
                <w:rFonts w:ascii="Times New Roman" w:hAnsi="Times New Roman"/>
                <w:szCs w:val="24"/>
              </w:rPr>
              <w:t>5.57</w:t>
            </w:r>
          </w:p>
        </w:tc>
      </w:tr>
      <w:tr w:rsidR="007F2F9C" w:rsidRPr="005A3CDE" w:rsidTr="005A3CDE">
        <w:trPr>
          <w:trHeight w:hRule="exact" w:val="288"/>
        </w:trPr>
        <w:tc>
          <w:tcPr>
            <w:cnfStyle w:val="001000000000"/>
            <w:tcW w:w="2070" w:type="dxa"/>
          </w:tcPr>
          <w:p w:rsidR="007F2F9C" w:rsidRPr="005A3CDE" w:rsidRDefault="007F2F9C" w:rsidP="005A3CDE">
            <w:pPr>
              <w:spacing w:after="0" w:line="20" w:lineRule="atLeast"/>
              <w:rPr>
                <w:rFonts w:ascii="Times New Roman" w:hAnsi="Times New Roman"/>
                <w:b w:val="0"/>
                <w:szCs w:val="24"/>
              </w:rPr>
            </w:pPr>
            <w:r w:rsidRPr="005A3CDE">
              <w:rPr>
                <w:rFonts w:ascii="Times New Roman" w:hAnsi="Times New Roman"/>
                <w:b w:val="0"/>
                <w:szCs w:val="24"/>
              </w:rPr>
              <w:t>Baghabari</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1.13</w:t>
            </w: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p>
        </w:tc>
        <w:tc>
          <w:tcPr>
            <w:tcW w:w="1185"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1.03</w:t>
            </w:r>
          </w:p>
        </w:tc>
        <w:tc>
          <w:tcPr>
            <w:tcW w:w="1290" w:type="dxa"/>
          </w:tcPr>
          <w:p w:rsidR="007F2F9C" w:rsidRPr="005A3CDE" w:rsidRDefault="007F2F9C" w:rsidP="005A3CDE">
            <w:pPr>
              <w:spacing w:after="0" w:line="20" w:lineRule="atLeast"/>
              <w:jc w:val="center"/>
              <w:cnfStyle w:val="000000000000"/>
              <w:rPr>
                <w:rFonts w:ascii="Times New Roman" w:hAnsi="Times New Roman"/>
                <w:szCs w:val="24"/>
              </w:rPr>
            </w:pPr>
          </w:p>
        </w:tc>
        <w:tc>
          <w:tcPr>
            <w:tcW w:w="1080" w:type="dxa"/>
          </w:tcPr>
          <w:p w:rsidR="007F2F9C" w:rsidRPr="005A3CDE" w:rsidRDefault="007F2F9C" w:rsidP="005A3CDE">
            <w:pPr>
              <w:spacing w:after="0" w:line="20" w:lineRule="atLeast"/>
              <w:jc w:val="center"/>
              <w:cnfStyle w:val="000000000000"/>
              <w:rPr>
                <w:rFonts w:ascii="Times New Roman" w:hAnsi="Times New Roman"/>
                <w:szCs w:val="24"/>
              </w:rPr>
            </w:pPr>
            <w:r w:rsidRPr="005A3CDE">
              <w:rPr>
                <w:rFonts w:ascii="Times New Roman" w:hAnsi="Times New Roman"/>
                <w:szCs w:val="24"/>
              </w:rPr>
              <w:t>1.06</w:t>
            </w:r>
          </w:p>
        </w:tc>
      </w:tr>
      <w:tr w:rsidR="007F2F9C" w:rsidRPr="005A3CDE" w:rsidTr="005A3CDE">
        <w:trPr>
          <w:cnfStyle w:val="000000100000"/>
          <w:trHeight w:hRule="exact" w:val="288"/>
        </w:trPr>
        <w:tc>
          <w:tcPr>
            <w:cnfStyle w:val="001000000000"/>
            <w:tcW w:w="2070" w:type="dxa"/>
          </w:tcPr>
          <w:p w:rsidR="007F2F9C" w:rsidRPr="005A3CDE" w:rsidRDefault="007F2F9C" w:rsidP="005A3CDE">
            <w:pPr>
              <w:spacing w:after="0" w:line="20" w:lineRule="atLeast"/>
              <w:rPr>
                <w:rFonts w:ascii="Times New Roman" w:hAnsi="Times New Roman"/>
                <w:szCs w:val="24"/>
              </w:rPr>
            </w:pPr>
            <w:r w:rsidRPr="005A3CDE">
              <w:rPr>
                <w:rFonts w:ascii="Times New Roman" w:hAnsi="Times New Roman"/>
                <w:szCs w:val="24"/>
              </w:rPr>
              <w:t>Total</w:t>
            </w:r>
          </w:p>
        </w:tc>
        <w:tc>
          <w:tcPr>
            <w:tcW w:w="1185" w:type="dxa"/>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97.85</w:t>
            </w:r>
          </w:p>
        </w:tc>
        <w:tc>
          <w:tcPr>
            <w:tcW w:w="1185" w:type="dxa"/>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32.15</w:t>
            </w:r>
          </w:p>
        </w:tc>
        <w:tc>
          <w:tcPr>
            <w:tcW w:w="1185" w:type="dxa"/>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84.53</w:t>
            </w:r>
          </w:p>
        </w:tc>
        <w:tc>
          <w:tcPr>
            <w:tcW w:w="1185" w:type="dxa"/>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33.73</w:t>
            </w:r>
          </w:p>
        </w:tc>
        <w:tc>
          <w:tcPr>
            <w:tcW w:w="1290" w:type="dxa"/>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87.40</w:t>
            </w:r>
          </w:p>
        </w:tc>
        <w:tc>
          <w:tcPr>
            <w:tcW w:w="1080" w:type="dxa"/>
          </w:tcPr>
          <w:p w:rsidR="007F2F9C" w:rsidRPr="005A3CDE" w:rsidRDefault="007F2F9C" w:rsidP="005A3CDE">
            <w:pPr>
              <w:spacing w:after="0" w:line="20" w:lineRule="atLeast"/>
              <w:jc w:val="center"/>
              <w:cnfStyle w:val="000000100000"/>
              <w:rPr>
                <w:rFonts w:ascii="Times New Roman" w:hAnsi="Times New Roman"/>
                <w:b/>
                <w:szCs w:val="24"/>
              </w:rPr>
            </w:pPr>
            <w:r w:rsidRPr="005A3CDE">
              <w:rPr>
                <w:rFonts w:ascii="Times New Roman" w:hAnsi="Times New Roman"/>
                <w:b/>
                <w:szCs w:val="24"/>
              </w:rPr>
              <w:t>35.18</w:t>
            </w:r>
          </w:p>
        </w:tc>
      </w:tr>
    </w:tbl>
    <w:p w:rsidR="007F2F9C" w:rsidRPr="00A23457" w:rsidRDefault="007F2F9C" w:rsidP="00C95B76">
      <w:pPr>
        <w:tabs>
          <w:tab w:val="left" w:pos="5340"/>
        </w:tabs>
        <w:spacing w:before="120" w:line="276" w:lineRule="auto"/>
        <w:jc w:val="both"/>
        <w:rPr>
          <w:rFonts w:cs="Times New Roman"/>
          <w:b/>
          <w:bCs/>
          <w:i/>
          <w:iCs/>
          <w:sz w:val="20"/>
          <w:szCs w:val="20"/>
        </w:rPr>
      </w:pPr>
      <w:r>
        <w:rPr>
          <w:rFonts w:cs="Times New Roman"/>
          <w:b/>
          <w:bCs/>
          <w:i/>
          <w:iCs/>
          <w:sz w:val="20"/>
          <w:szCs w:val="20"/>
        </w:rPr>
        <w:t>Source: Port Department, BIWTA</w:t>
      </w:r>
      <w:r>
        <w:rPr>
          <w:rFonts w:cs="Times New Roman"/>
          <w:b/>
          <w:bCs/>
          <w:i/>
          <w:iCs/>
          <w:sz w:val="20"/>
          <w:szCs w:val="20"/>
        </w:rPr>
        <w:tab/>
      </w:r>
    </w:p>
    <w:p w:rsidR="007F2F9C" w:rsidRPr="004B0A08" w:rsidRDefault="007F2F9C" w:rsidP="0036657D">
      <w:pPr>
        <w:spacing w:after="200" w:line="276" w:lineRule="auto"/>
        <w:jc w:val="both"/>
        <w:rPr>
          <w:i/>
        </w:rPr>
      </w:pPr>
      <w:r w:rsidRPr="004B0A08">
        <w:rPr>
          <w:i/>
        </w:rPr>
        <w:lastRenderedPageBreak/>
        <w:t xml:space="preserve">A large fleet of about 10,000 inland vessels are engaged in the carriage of </w:t>
      </w:r>
      <w:r w:rsidR="00065D01" w:rsidRPr="004B0A08">
        <w:rPr>
          <w:i/>
        </w:rPr>
        <w:t>goods and</w:t>
      </w:r>
      <w:r w:rsidRPr="004B0A08">
        <w:rPr>
          <w:i/>
        </w:rPr>
        <w:t xml:space="preserve"> passengers. Besides</w:t>
      </w:r>
      <w:r w:rsidR="004F766E" w:rsidRPr="004B0A08">
        <w:rPr>
          <w:i/>
        </w:rPr>
        <w:t>,</w:t>
      </w:r>
      <w:r w:rsidRPr="004B0A08">
        <w:rPr>
          <w:i/>
        </w:rPr>
        <w:t xml:space="preserve"> there are approximately 750,000 country boats powered by the pump engines operating mainly in the rural waterways.</w:t>
      </w:r>
    </w:p>
    <w:p w:rsidR="00000000" w:rsidRDefault="007F2F9C" w:rsidP="003D5A31">
      <w:pPr>
        <w:pStyle w:val="BodyText"/>
        <w:numPr>
          <w:ilvl w:val="2"/>
          <w:numId w:val="242"/>
        </w:numPr>
        <w:spacing w:after="240" w:line="276" w:lineRule="auto"/>
        <w:jc w:val="both"/>
        <w:rPr>
          <w:rFonts w:cs="Times New Roman"/>
          <w:b/>
          <w:szCs w:val="24"/>
        </w:rPr>
      </w:pPr>
      <w:r w:rsidRPr="00A97FE2">
        <w:rPr>
          <w:rFonts w:cs="Times New Roman"/>
          <w:b/>
          <w:szCs w:val="24"/>
        </w:rPr>
        <w:t>Container Traffic in Inland Waterways</w:t>
      </w:r>
    </w:p>
    <w:p w:rsidR="007F2F9C" w:rsidRDefault="007F2F9C" w:rsidP="0036657D">
      <w:pPr>
        <w:spacing w:after="200" w:line="276" w:lineRule="auto"/>
        <w:jc w:val="both"/>
        <w:rPr>
          <w:rFonts w:cs="Times New Roman"/>
          <w:szCs w:val="24"/>
          <w:lang w:val="en-GB"/>
        </w:rPr>
      </w:pPr>
      <w:r w:rsidRPr="004B0A08">
        <w:rPr>
          <w:rFonts w:cs="Times New Roman"/>
          <w:i/>
          <w:szCs w:val="24"/>
          <w:lang w:val="en-GB"/>
        </w:rPr>
        <w:t xml:space="preserve">The international sea borne traffic in maritime ports is growing faster than the GDP growth in Bangladesh, the growth of </w:t>
      </w:r>
      <w:r w:rsidR="00FE6385">
        <w:rPr>
          <w:rFonts w:cs="Times New Roman"/>
          <w:i/>
          <w:szCs w:val="24"/>
          <w:lang w:val="en-GB"/>
        </w:rPr>
        <w:t>tonn</w:t>
      </w:r>
      <w:r w:rsidRPr="004B0A08">
        <w:rPr>
          <w:rFonts w:cs="Times New Roman"/>
          <w:i/>
          <w:szCs w:val="24"/>
          <w:lang w:val="en-GB"/>
        </w:rPr>
        <w:t>age is 10% per annum while the growth of container traffic 12% per annum.</w:t>
      </w:r>
      <w:r w:rsidRPr="00924255">
        <w:rPr>
          <w:rFonts w:cs="Times New Roman"/>
          <w:szCs w:val="24"/>
          <w:lang w:val="en-GB"/>
        </w:rPr>
        <w:t xml:space="preserve">  The Chittagong Port has a total of 41 berths including private and </w:t>
      </w:r>
      <w:r w:rsidR="00847D39">
        <w:rPr>
          <w:rFonts w:cs="Times New Roman"/>
          <w:szCs w:val="24"/>
          <w:lang w:val="en-GB"/>
        </w:rPr>
        <w:t>public</w:t>
      </w:r>
      <w:r w:rsidRPr="00924255">
        <w:rPr>
          <w:rFonts w:cs="Times New Roman"/>
          <w:szCs w:val="24"/>
          <w:lang w:val="en-GB"/>
        </w:rPr>
        <w:t xml:space="preserve"> terminals and lightering operations in the outer anchorage. At the three main terminals of the port, General Cargo Berths (quay length 2,131 m), Chittagong Container Terminal (quay length 450 m) and the New Mooring Container Terminal (quay length 1,000 m), handling is being conducted by private local terminal operators. </w:t>
      </w:r>
      <w:r w:rsidRPr="004B0A08">
        <w:rPr>
          <w:rFonts w:cs="Times New Roman"/>
          <w:i/>
          <w:szCs w:val="24"/>
          <w:lang w:val="en-GB"/>
        </w:rPr>
        <w:t>Chittagong is the gateway port, handling more than 90% of international sea borne trade cargo. At the Mongla Port, there are 5 jetties, 5 mooring buoys, 8 anchor berths and 5 private jetty berths. The length of quay wall at Mongla Port is 940 m.</w:t>
      </w:r>
      <w:r w:rsidRPr="00924255">
        <w:rPr>
          <w:rFonts w:cs="Times New Roman"/>
          <w:szCs w:val="24"/>
          <w:lang w:val="en-GB"/>
        </w:rPr>
        <w:t xml:space="preserve"> </w:t>
      </w:r>
      <w:r>
        <w:rPr>
          <w:rFonts w:cs="Times New Roman"/>
          <w:szCs w:val="24"/>
          <w:lang w:val="en-GB"/>
        </w:rPr>
        <w:t xml:space="preserve"> </w:t>
      </w:r>
      <w:r w:rsidRPr="00924255">
        <w:rPr>
          <w:rFonts w:cs="Times New Roman"/>
          <w:szCs w:val="24"/>
          <w:lang w:val="en-GB"/>
        </w:rPr>
        <w:t xml:space="preserve">In </w:t>
      </w:r>
      <w:r w:rsidR="00E25DE2">
        <w:rPr>
          <w:rFonts w:cs="Times New Roman"/>
          <w:szCs w:val="24"/>
          <w:lang w:val="en-GB"/>
        </w:rPr>
        <w:t>FY20</w:t>
      </w:r>
      <w:r w:rsidRPr="00924255">
        <w:rPr>
          <w:rFonts w:cs="Times New Roman"/>
          <w:szCs w:val="24"/>
          <w:lang w:val="en-GB"/>
        </w:rPr>
        <w:t>15, the Chittagong Port handled a total volume of 61.73 millio</w:t>
      </w:r>
      <w:r>
        <w:rPr>
          <w:rFonts w:cs="Times New Roman"/>
          <w:szCs w:val="24"/>
          <w:lang w:val="en-GB"/>
        </w:rPr>
        <w:t xml:space="preserve">n metric </w:t>
      </w:r>
      <w:r w:rsidR="00FE6385">
        <w:rPr>
          <w:rFonts w:cs="Times New Roman"/>
          <w:szCs w:val="24"/>
          <w:lang w:val="en-GB"/>
        </w:rPr>
        <w:t>tonne</w:t>
      </w:r>
      <w:r>
        <w:rPr>
          <w:rFonts w:cs="Times New Roman"/>
          <w:szCs w:val="24"/>
          <w:lang w:val="en-GB"/>
        </w:rPr>
        <w:t xml:space="preserve">s of cargo (Table </w:t>
      </w:r>
      <w:r w:rsidR="00901C1C">
        <w:rPr>
          <w:rFonts w:cs="Times New Roman"/>
          <w:szCs w:val="24"/>
          <w:lang w:val="en-GB"/>
        </w:rPr>
        <w:t>9.</w:t>
      </w:r>
      <w:r>
        <w:rPr>
          <w:rFonts w:cs="Times New Roman"/>
          <w:szCs w:val="24"/>
          <w:lang w:val="en-GB"/>
        </w:rPr>
        <w:t>2</w:t>
      </w:r>
      <w:r w:rsidR="00F37660">
        <w:rPr>
          <w:rFonts w:cs="Times New Roman"/>
          <w:szCs w:val="24"/>
          <w:lang w:val="en-GB"/>
        </w:rPr>
        <w:t>7</w:t>
      </w:r>
      <w:r w:rsidRPr="00924255">
        <w:rPr>
          <w:rFonts w:cs="Times New Roman"/>
          <w:szCs w:val="24"/>
          <w:lang w:val="en-GB"/>
        </w:rPr>
        <w:t>)</w:t>
      </w:r>
      <w:r w:rsidR="008C0909">
        <w:rPr>
          <w:rFonts w:cs="Times New Roman"/>
          <w:szCs w:val="24"/>
          <w:lang w:val="en-GB"/>
        </w:rPr>
        <w:t>.</w:t>
      </w:r>
    </w:p>
    <w:p w:rsidR="007F2F9C" w:rsidRPr="00924255" w:rsidRDefault="007F2F9C" w:rsidP="0036657D">
      <w:pPr>
        <w:pStyle w:val="Heading4"/>
        <w:rPr>
          <w:lang w:val="en-GB"/>
        </w:rPr>
      </w:pPr>
      <w:bookmarkStart w:id="708" w:name="_Toc474639093"/>
      <w:r>
        <w:rPr>
          <w:lang w:val="en-GB"/>
        </w:rPr>
        <w:t xml:space="preserve">Table </w:t>
      </w:r>
      <w:r w:rsidR="00901C1C">
        <w:rPr>
          <w:lang w:val="en-GB"/>
        </w:rPr>
        <w:t>9.</w:t>
      </w:r>
      <w:r>
        <w:rPr>
          <w:lang w:val="en-GB"/>
        </w:rPr>
        <w:t>2</w:t>
      </w:r>
      <w:r w:rsidR="00F37660">
        <w:rPr>
          <w:lang w:val="en-GB"/>
        </w:rPr>
        <w:t>7</w:t>
      </w:r>
      <w:r w:rsidR="004F766E">
        <w:rPr>
          <w:lang w:val="en-GB"/>
        </w:rPr>
        <w:t>: Cargo Handled by the Chittagong Port (</w:t>
      </w:r>
      <w:r w:rsidRPr="00924255">
        <w:rPr>
          <w:rFonts w:eastAsia="Times New Roman"/>
          <w:color w:val="000000"/>
        </w:rPr>
        <w:t xml:space="preserve">metric </w:t>
      </w:r>
      <w:r w:rsidR="00FE6385">
        <w:rPr>
          <w:rFonts w:eastAsia="Times New Roman"/>
          <w:color w:val="000000"/>
        </w:rPr>
        <w:t>tonne</w:t>
      </w:r>
      <w:r w:rsidRPr="00924255">
        <w:rPr>
          <w:rFonts w:eastAsia="Times New Roman"/>
          <w:color w:val="000000"/>
        </w:rPr>
        <w:t>s</w:t>
      </w:r>
      <w:r w:rsidR="004F766E">
        <w:rPr>
          <w:rFonts w:eastAsia="Times New Roman"/>
          <w:color w:val="000000"/>
        </w:rPr>
        <w:t>)</w:t>
      </w:r>
      <w:bookmarkEnd w:id="708"/>
    </w:p>
    <w:tbl>
      <w:tblPr>
        <w:tblStyle w:val="LightShading10"/>
        <w:tblW w:w="9350" w:type="dxa"/>
        <w:tblLook w:val="04A0"/>
      </w:tblPr>
      <w:tblGrid>
        <w:gridCol w:w="1525"/>
        <w:gridCol w:w="1261"/>
        <w:gridCol w:w="1283"/>
        <w:gridCol w:w="1283"/>
        <w:gridCol w:w="1153"/>
        <w:gridCol w:w="1476"/>
        <w:gridCol w:w="1374"/>
      </w:tblGrid>
      <w:tr w:rsidR="007F2F9C" w:rsidRPr="006B433D" w:rsidTr="006B433D">
        <w:trPr>
          <w:cnfStyle w:val="100000000000"/>
          <w:trHeight w:hRule="exact" w:val="288"/>
        </w:trPr>
        <w:tc>
          <w:tcPr>
            <w:cnfStyle w:val="001000000000"/>
            <w:tcW w:w="1525" w:type="dxa"/>
            <w:noWrap/>
            <w:hideMark/>
          </w:tcPr>
          <w:p w:rsidR="007F2F9C" w:rsidRPr="00D10C92" w:rsidRDefault="007F2F9C" w:rsidP="00005EAC">
            <w:pPr>
              <w:rPr>
                <w:rFonts w:ascii="Times New Roman" w:eastAsia="Times New Roman" w:hAnsi="Times New Roman"/>
                <w:bCs w:val="0"/>
                <w:sz w:val="22"/>
              </w:rPr>
            </w:pPr>
            <w:r w:rsidRPr="00D10C92">
              <w:rPr>
                <w:rFonts w:ascii="Times New Roman" w:eastAsia="Times New Roman" w:hAnsi="Times New Roman"/>
                <w:bCs w:val="0"/>
                <w:sz w:val="22"/>
              </w:rPr>
              <w:t>Financial Year</w:t>
            </w:r>
          </w:p>
        </w:tc>
        <w:tc>
          <w:tcPr>
            <w:tcW w:w="1256" w:type="dxa"/>
            <w:noWrap/>
            <w:hideMark/>
          </w:tcPr>
          <w:p w:rsidR="007F2F9C" w:rsidRPr="00D10C92" w:rsidRDefault="007F2F9C" w:rsidP="00005EAC">
            <w:pPr>
              <w:jc w:val="center"/>
              <w:cnfStyle w:val="100000000000"/>
              <w:rPr>
                <w:rFonts w:ascii="Times New Roman" w:eastAsia="Times New Roman" w:hAnsi="Times New Roman"/>
                <w:bCs w:val="0"/>
                <w:sz w:val="22"/>
              </w:rPr>
            </w:pPr>
            <w:r w:rsidRPr="00D10C92">
              <w:rPr>
                <w:rFonts w:ascii="Times New Roman" w:eastAsia="Times New Roman" w:hAnsi="Times New Roman"/>
                <w:bCs w:val="0"/>
                <w:sz w:val="22"/>
              </w:rPr>
              <w:t xml:space="preserve">Import </w:t>
            </w:r>
          </w:p>
        </w:tc>
        <w:tc>
          <w:tcPr>
            <w:tcW w:w="1283" w:type="dxa"/>
            <w:noWrap/>
            <w:hideMark/>
          </w:tcPr>
          <w:p w:rsidR="007F2F9C" w:rsidRPr="00D10C92" w:rsidRDefault="007F2F9C" w:rsidP="00005EAC">
            <w:pPr>
              <w:jc w:val="center"/>
              <w:cnfStyle w:val="100000000000"/>
              <w:rPr>
                <w:rFonts w:ascii="Times New Roman" w:eastAsia="Times New Roman" w:hAnsi="Times New Roman"/>
                <w:bCs w:val="0"/>
                <w:sz w:val="22"/>
              </w:rPr>
            </w:pPr>
            <w:r w:rsidRPr="00D10C92">
              <w:rPr>
                <w:rFonts w:ascii="Times New Roman" w:eastAsia="Times New Roman" w:hAnsi="Times New Roman"/>
                <w:bCs w:val="0"/>
                <w:sz w:val="22"/>
              </w:rPr>
              <w:t xml:space="preserve">Export </w:t>
            </w:r>
          </w:p>
        </w:tc>
        <w:tc>
          <w:tcPr>
            <w:tcW w:w="1283" w:type="dxa"/>
            <w:noWrap/>
            <w:hideMark/>
          </w:tcPr>
          <w:p w:rsidR="007F2F9C" w:rsidRPr="00D10C92" w:rsidRDefault="007F2F9C" w:rsidP="00005EAC">
            <w:pPr>
              <w:jc w:val="center"/>
              <w:cnfStyle w:val="100000000000"/>
              <w:rPr>
                <w:rFonts w:ascii="Times New Roman" w:eastAsia="Times New Roman" w:hAnsi="Times New Roman"/>
                <w:bCs w:val="0"/>
                <w:sz w:val="22"/>
              </w:rPr>
            </w:pPr>
            <w:r w:rsidRPr="00D10C92">
              <w:rPr>
                <w:rFonts w:ascii="Times New Roman" w:eastAsia="Times New Roman" w:hAnsi="Times New Roman"/>
                <w:bCs w:val="0"/>
                <w:sz w:val="22"/>
              </w:rPr>
              <w:t xml:space="preserve">Inland  </w:t>
            </w:r>
          </w:p>
        </w:tc>
        <w:tc>
          <w:tcPr>
            <w:tcW w:w="1153" w:type="dxa"/>
            <w:noWrap/>
            <w:hideMark/>
          </w:tcPr>
          <w:p w:rsidR="007F2F9C" w:rsidRPr="00D10C92" w:rsidRDefault="007F2F9C" w:rsidP="00005EAC">
            <w:pPr>
              <w:jc w:val="center"/>
              <w:cnfStyle w:val="100000000000"/>
              <w:rPr>
                <w:rFonts w:ascii="Times New Roman" w:eastAsia="Times New Roman" w:hAnsi="Times New Roman"/>
                <w:bCs w:val="0"/>
                <w:sz w:val="22"/>
              </w:rPr>
            </w:pPr>
            <w:r w:rsidRPr="00D10C92">
              <w:rPr>
                <w:rFonts w:ascii="Times New Roman" w:eastAsia="Times New Roman" w:hAnsi="Times New Roman"/>
                <w:bCs w:val="0"/>
                <w:sz w:val="22"/>
              </w:rPr>
              <w:t xml:space="preserve">ICD </w:t>
            </w:r>
          </w:p>
        </w:tc>
        <w:tc>
          <w:tcPr>
            <w:tcW w:w="1476" w:type="dxa"/>
            <w:noWrap/>
            <w:hideMark/>
          </w:tcPr>
          <w:p w:rsidR="007F2F9C" w:rsidRPr="00D10C92" w:rsidRDefault="007F2F9C" w:rsidP="00005EAC">
            <w:pPr>
              <w:jc w:val="center"/>
              <w:cnfStyle w:val="100000000000"/>
              <w:rPr>
                <w:rFonts w:ascii="Times New Roman" w:eastAsia="Times New Roman" w:hAnsi="Times New Roman"/>
                <w:bCs w:val="0"/>
                <w:sz w:val="22"/>
              </w:rPr>
            </w:pPr>
            <w:r w:rsidRPr="00D10C92">
              <w:rPr>
                <w:rFonts w:ascii="Times New Roman" w:eastAsia="Times New Roman" w:hAnsi="Times New Roman"/>
                <w:bCs w:val="0"/>
                <w:sz w:val="22"/>
              </w:rPr>
              <w:t xml:space="preserve">Total </w:t>
            </w:r>
          </w:p>
        </w:tc>
        <w:tc>
          <w:tcPr>
            <w:tcW w:w="1374" w:type="dxa"/>
            <w:noWrap/>
            <w:hideMark/>
          </w:tcPr>
          <w:p w:rsidR="007F2F9C" w:rsidRPr="00D10C92" w:rsidRDefault="007F2F9C" w:rsidP="00005EAC">
            <w:pPr>
              <w:jc w:val="center"/>
              <w:cnfStyle w:val="100000000000"/>
              <w:rPr>
                <w:rFonts w:ascii="Times New Roman" w:eastAsia="Times New Roman" w:hAnsi="Times New Roman"/>
                <w:bCs w:val="0"/>
                <w:sz w:val="22"/>
              </w:rPr>
            </w:pPr>
            <w:r w:rsidRPr="00D10C92">
              <w:rPr>
                <w:rFonts w:ascii="Times New Roman" w:eastAsia="Times New Roman" w:hAnsi="Times New Roman"/>
                <w:bCs w:val="0"/>
                <w:sz w:val="22"/>
              </w:rPr>
              <w:t>Growth (%)</w:t>
            </w:r>
          </w:p>
        </w:tc>
      </w:tr>
      <w:tr w:rsidR="007F2F9C" w:rsidRPr="006B433D" w:rsidTr="006B433D">
        <w:trPr>
          <w:cnfStyle w:val="000000100000"/>
          <w:trHeight w:hRule="exact" w:val="288"/>
        </w:trPr>
        <w:tc>
          <w:tcPr>
            <w:cnfStyle w:val="001000000000"/>
            <w:tcW w:w="1525" w:type="dxa"/>
            <w:noWrap/>
            <w:hideMark/>
          </w:tcPr>
          <w:p w:rsidR="007F2F9C" w:rsidRPr="006B433D" w:rsidRDefault="00E25DE2" w:rsidP="00005EAC">
            <w:pPr>
              <w:spacing w:after="0" w:line="240" w:lineRule="auto"/>
              <w:rPr>
                <w:rFonts w:ascii="Times New Roman" w:eastAsia="Times New Roman" w:hAnsi="Times New Roman"/>
                <w:sz w:val="22"/>
              </w:rPr>
            </w:pPr>
            <w:r w:rsidRPr="006B433D">
              <w:rPr>
                <w:rFonts w:ascii="Times New Roman" w:eastAsia="Times New Roman" w:hAnsi="Times New Roman"/>
                <w:sz w:val="22"/>
              </w:rPr>
              <w:t>FY20</w:t>
            </w:r>
            <w:r w:rsidR="007F2F9C" w:rsidRPr="006B433D">
              <w:rPr>
                <w:rFonts w:ascii="Times New Roman" w:eastAsia="Times New Roman" w:hAnsi="Times New Roman"/>
                <w:sz w:val="22"/>
              </w:rPr>
              <w:t>11</w:t>
            </w:r>
          </w:p>
        </w:tc>
        <w:tc>
          <w:tcPr>
            <w:tcW w:w="1256"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3,99,14,145</w:t>
            </w:r>
          </w:p>
        </w:tc>
        <w:tc>
          <w:tcPr>
            <w:tcW w:w="1283"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49,80,375</w:t>
            </w:r>
          </w:p>
        </w:tc>
        <w:tc>
          <w:tcPr>
            <w:tcW w:w="1283"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47,72,786</w:t>
            </w:r>
          </w:p>
        </w:tc>
        <w:tc>
          <w:tcPr>
            <w:tcW w:w="1153"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5,32,053</w:t>
            </w:r>
          </w:p>
        </w:tc>
        <w:tc>
          <w:tcPr>
            <w:tcW w:w="1476"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5,01,99,359</w:t>
            </w:r>
          </w:p>
        </w:tc>
        <w:tc>
          <w:tcPr>
            <w:tcW w:w="1374"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24.78</w:t>
            </w:r>
          </w:p>
        </w:tc>
      </w:tr>
      <w:tr w:rsidR="007F2F9C" w:rsidRPr="006B433D" w:rsidTr="006B433D">
        <w:trPr>
          <w:trHeight w:hRule="exact" w:val="288"/>
        </w:trPr>
        <w:tc>
          <w:tcPr>
            <w:cnfStyle w:val="001000000000"/>
            <w:tcW w:w="1525" w:type="dxa"/>
            <w:noWrap/>
            <w:hideMark/>
          </w:tcPr>
          <w:p w:rsidR="007F2F9C" w:rsidRPr="006B433D" w:rsidRDefault="00E25DE2" w:rsidP="00005EAC">
            <w:pPr>
              <w:spacing w:after="0" w:line="240" w:lineRule="auto"/>
              <w:rPr>
                <w:rFonts w:ascii="Times New Roman" w:eastAsia="Times New Roman" w:hAnsi="Times New Roman"/>
                <w:sz w:val="22"/>
              </w:rPr>
            </w:pPr>
            <w:r w:rsidRPr="006B433D">
              <w:rPr>
                <w:rFonts w:ascii="Times New Roman" w:eastAsia="Times New Roman" w:hAnsi="Times New Roman"/>
                <w:sz w:val="22"/>
              </w:rPr>
              <w:t>FY20</w:t>
            </w:r>
            <w:r w:rsidR="007F2F9C" w:rsidRPr="006B433D">
              <w:rPr>
                <w:rFonts w:ascii="Times New Roman" w:eastAsia="Times New Roman" w:hAnsi="Times New Roman"/>
                <w:sz w:val="22"/>
              </w:rPr>
              <w:t>12</w:t>
            </w:r>
          </w:p>
        </w:tc>
        <w:tc>
          <w:tcPr>
            <w:tcW w:w="1256" w:type="dxa"/>
            <w:noWrap/>
            <w:hideMark/>
          </w:tcPr>
          <w:p w:rsidR="007F3783" w:rsidRPr="00610291" w:rsidRDefault="00F64A6A" w:rsidP="00005EAC">
            <w:pPr>
              <w:shd w:val="clear" w:color="000000" w:fill="CCC0DA"/>
              <w:spacing w:before="100" w:beforeAutospacing="1" w:after="0" w:afterAutospacing="1" w:line="240" w:lineRule="auto"/>
              <w:jc w:val="center"/>
              <w:cnfStyle w:val="000000000000"/>
              <w:rPr>
                <w:rFonts w:ascii="Times New Roman" w:eastAsia="Times New Roman" w:hAnsi="Times New Roman"/>
                <w:color w:val="FF0000"/>
                <w:sz w:val="22"/>
              </w:rPr>
            </w:pPr>
            <w:r w:rsidRPr="00F64A6A">
              <w:rPr>
                <w:rFonts w:eastAsia="Times New Roman"/>
                <w:color w:val="FF0000"/>
                <w:sz w:val="22"/>
                <w:szCs w:val="22"/>
              </w:rPr>
              <w:t>3,61,8</w:t>
            </w:r>
            <w:r w:rsidR="00610291">
              <w:rPr>
                <w:rFonts w:ascii="Times New Roman" w:eastAsia="Times New Roman" w:hAnsi="Times New Roman"/>
                <w:color w:val="FF0000"/>
                <w:sz w:val="22"/>
              </w:rPr>
              <w:t xml:space="preserve"> (??)</w:t>
            </w:r>
          </w:p>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4,935</w:t>
            </w:r>
          </w:p>
        </w:tc>
        <w:tc>
          <w:tcPr>
            <w:tcW w:w="1283"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47,16,374</w:t>
            </w:r>
          </w:p>
        </w:tc>
        <w:tc>
          <w:tcPr>
            <w:tcW w:w="1283"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65,48,490</w:t>
            </w:r>
          </w:p>
        </w:tc>
        <w:tc>
          <w:tcPr>
            <w:tcW w:w="1153"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5,72,141</w:t>
            </w:r>
          </w:p>
        </w:tc>
        <w:tc>
          <w:tcPr>
            <w:tcW w:w="1476"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4,80,21,940</w:t>
            </w:r>
          </w:p>
        </w:tc>
        <w:tc>
          <w:tcPr>
            <w:tcW w:w="1374"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-4.34</w:t>
            </w:r>
          </w:p>
        </w:tc>
      </w:tr>
      <w:tr w:rsidR="007F2F9C" w:rsidRPr="006B433D" w:rsidTr="006B433D">
        <w:trPr>
          <w:cnfStyle w:val="000000100000"/>
          <w:trHeight w:hRule="exact" w:val="288"/>
        </w:trPr>
        <w:tc>
          <w:tcPr>
            <w:cnfStyle w:val="001000000000"/>
            <w:tcW w:w="1525" w:type="dxa"/>
            <w:noWrap/>
            <w:hideMark/>
          </w:tcPr>
          <w:p w:rsidR="007F2F9C" w:rsidRPr="006B433D" w:rsidRDefault="00E25DE2" w:rsidP="00005EAC">
            <w:pPr>
              <w:spacing w:after="0" w:line="240" w:lineRule="auto"/>
              <w:rPr>
                <w:rFonts w:ascii="Times New Roman" w:eastAsia="Times New Roman" w:hAnsi="Times New Roman"/>
                <w:sz w:val="22"/>
              </w:rPr>
            </w:pPr>
            <w:r w:rsidRPr="006B433D">
              <w:rPr>
                <w:rFonts w:ascii="Times New Roman" w:eastAsia="Times New Roman" w:hAnsi="Times New Roman"/>
                <w:sz w:val="22"/>
              </w:rPr>
              <w:t>FY20</w:t>
            </w:r>
            <w:r w:rsidR="007F2F9C" w:rsidRPr="006B433D">
              <w:rPr>
                <w:rFonts w:ascii="Times New Roman" w:eastAsia="Times New Roman" w:hAnsi="Times New Roman"/>
                <w:sz w:val="22"/>
              </w:rPr>
              <w:t>13</w:t>
            </w:r>
          </w:p>
        </w:tc>
        <w:tc>
          <w:tcPr>
            <w:tcW w:w="1256"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3,83,12,028</w:t>
            </w:r>
          </w:p>
        </w:tc>
        <w:tc>
          <w:tcPr>
            <w:tcW w:w="1283"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50,59,640</w:t>
            </w:r>
          </w:p>
        </w:tc>
        <w:tc>
          <w:tcPr>
            <w:tcW w:w="1283"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60,87,947</w:t>
            </w:r>
          </w:p>
        </w:tc>
        <w:tc>
          <w:tcPr>
            <w:tcW w:w="1153"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4,57,559</w:t>
            </w:r>
          </w:p>
        </w:tc>
        <w:tc>
          <w:tcPr>
            <w:tcW w:w="1476"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4,99,17,174</w:t>
            </w:r>
          </w:p>
        </w:tc>
        <w:tc>
          <w:tcPr>
            <w:tcW w:w="1374"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3.95</w:t>
            </w:r>
          </w:p>
        </w:tc>
      </w:tr>
      <w:tr w:rsidR="007F2F9C" w:rsidRPr="006B433D" w:rsidTr="006B433D">
        <w:trPr>
          <w:trHeight w:hRule="exact" w:val="288"/>
        </w:trPr>
        <w:tc>
          <w:tcPr>
            <w:cnfStyle w:val="001000000000"/>
            <w:tcW w:w="1525" w:type="dxa"/>
            <w:noWrap/>
            <w:hideMark/>
          </w:tcPr>
          <w:p w:rsidR="007F2F9C" w:rsidRPr="006B433D" w:rsidRDefault="00E25DE2" w:rsidP="00005EAC">
            <w:pPr>
              <w:spacing w:after="0" w:line="240" w:lineRule="auto"/>
              <w:rPr>
                <w:rFonts w:ascii="Times New Roman" w:eastAsia="Times New Roman" w:hAnsi="Times New Roman"/>
                <w:sz w:val="22"/>
              </w:rPr>
            </w:pPr>
            <w:r w:rsidRPr="006B433D">
              <w:rPr>
                <w:rFonts w:ascii="Times New Roman" w:eastAsia="Times New Roman" w:hAnsi="Times New Roman"/>
                <w:sz w:val="22"/>
              </w:rPr>
              <w:t>FY20</w:t>
            </w:r>
            <w:r w:rsidR="007F2F9C" w:rsidRPr="006B433D">
              <w:rPr>
                <w:rFonts w:ascii="Times New Roman" w:eastAsia="Times New Roman" w:hAnsi="Times New Roman"/>
                <w:sz w:val="22"/>
              </w:rPr>
              <w:t>14</w:t>
            </w:r>
          </w:p>
        </w:tc>
        <w:tc>
          <w:tcPr>
            <w:tcW w:w="1256"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4,19,60,170</w:t>
            </w:r>
          </w:p>
        </w:tc>
        <w:tc>
          <w:tcPr>
            <w:tcW w:w="1283"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53,38,377</w:t>
            </w:r>
          </w:p>
        </w:tc>
        <w:tc>
          <w:tcPr>
            <w:tcW w:w="1283"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58,33,786</w:t>
            </w:r>
          </w:p>
        </w:tc>
        <w:tc>
          <w:tcPr>
            <w:tcW w:w="1153"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4,45,218</w:t>
            </w:r>
          </w:p>
        </w:tc>
        <w:tc>
          <w:tcPr>
            <w:tcW w:w="1476"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5,35,77,551</w:t>
            </w:r>
          </w:p>
        </w:tc>
        <w:tc>
          <w:tcPr>
            <w:tcW w:w="1374" w:type="dxa"/>
            <w:noWrap/>
            <w:hideMark/>
          </w:tcPr>
          <w:p w:rsidR="007F2F9C" w:rsidRPr="006B433D" w:rsidRDefault="007F2F9C" w:rsidP="00005EAC">
            <w:pPr>
              <w:spacing w:after="0" w:line="240" w:lineRule="auto"/>
              <w:jc w:val="center"/>
              <w:cnfStyle w:val="000000000000"/>
              <w:rPr>
                <w:rFonts w:ascii="Times New Roman" w:eastAsia="Times New Roman" w:hAnsi="Times New Roman"/>
                <w:sz w:val="22"/>
              </w:rPr>
            </w:pPr>
            <w:r w:rsidRPr="006B433D">
              <w:rPr>
                <w:rFonts w:ascii="Times New Roman" w:eastAsia="Times New Roman" w:hAnsi="Times New Roman"/>
                <w:sz w:val="22"/>
              </w:rPr>
              <w:t>7.33</w:t>
            </w:r>
          </w:p>
        </w:tc>
      </w:tr>
      <w:tr w:rsidR="007F2F9C" w:rsidRPr="006B433D" w:rsidTr="006B433D">
        <w:trPr>
          <w:cnfStyle w:val="000000100000"/>
          <w:trHeight w:hRule="exact" w:val="288"/>
        </w:trPr>
        <w:tc>
          <w:tcPr>
            <w:cnfStyle w:val="001000000000"/>
            <w:tcW w:w="1525" w:type="dxa"/>
            <w:noWrap/>
            <w:hideMark/>
          </w:tcPr>
          <w:p w:rsidR="007F2F9C" w:rsidRPr="006B433D" w:rsidRDefault="00E25DE2" w:rsidP="00005EAC">
            <w:pPr>
              <w:spacing w:after="0" w:line="240" w:lineRule="auto"/>
              <w:rPr>
                <w:rFonts w:ascii="Times New Roman" w:eastAsia="Times New Roman" w:hAnsi="Times New Roman"/>
                <w:sz w:val="22"/>
              </w:rPr>
            </w:pPr>
            <w:r w:rsidRPr="006B433D">
              <w:rPr>
                <w:rFonts w:ascii="Times New Roman" w:eastAsia="Times New Roman" w:hAnsi="Times New Roman"/>
                <w:sz w:val="22"/>
              </w:rPr>
              <w:t>FY20</w:t>
            </w:r>
            <w:r w:rsidR="007F2F9C" w:rsidRPr="006B433D">
              <w:rPr>
                <w:rFonts w:ascii="Times New Roman" w:eastAsia="Times New Roman" w:hAnsi="Times New Roman"/>
                <w:sz w:val="22"/>
              </w:rPr>
              <w:t>15</w:t>
            </w:r>
          </w:p>
        </w:tc>
        <w:tc>
          <w:tcPr>
            <w:tcW w:w="1256"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4,89,41,406</w:t>
            </w:r>
          </w:p>
        </w:tc>
        <w:tc>
          <w:tcPr>
            <w:tcW w:w="1283"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58,39,986</w:t>
            </w:r>
          </w:p>
        </w:tc>
        <w:tc>
          <w:tcPr>
            <w:tcW w:w="1283"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64,69,673</w:t>
            </w:r>
          </w:p>
        </w:tc>
        <w:tc>
          <w:tcPr>
            <w:tcW w:w="1153"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4,74,800</w:t>
            </w:r>
          </w:p>
        </w:tc>
        <w:tc>
          <w:tcPr>
            <w:tcW w:w="1476"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6,17,25,865</w:t>
            </w:r>
          </w:p>
        </w:tc>
        <w:tc>
          <w:tcPr>
            <w:tcW w:w="1374" w:type="dxa"/>
            <w:noWrap/>
            <w:hideMark/>
          </w:tcPr>
          <w:p w:rsidR="007F2F9C" w:rsidRPr="006B433D" w:rsidRDefault="007F2F9C" w:rsidP="00005EAC">
            <w:pPr>
              <w:spacing w:after="0" w:line="240" w:lineRule="auto"/>
              <w:jc w:val="center"/>
              <w:cnfStyle w:val="000000100000"/>
              <w:rPr>
                <w:rFonts w:ascii="Times New Roman" w:eastAsia="Times New Roman" w:hAnsi="Times New Roman"/>
                <w:sz w:val="22"/>
              </w:rPr>
            </w:pPr>
            <w:r w:rsidRPr="006B433D">
              <w:rPr>
                <w:rFonts w:ascii="Times New Roman" w:eastAsia="Times New Roman" w:hAnsi="Times New Roman"/>
                <w:sz w:val="22"/>
              </w:rPr>
              <w:t>15.21</w:t>
            </w:r>
          </w:p>
        </w:tc>
      </w:tr>
    </w:tbl>
    <w:p w:rsidR="00C95B76" w:rsidRDefault="007F2F9C" w:rsidP="004F766E">
      <w:pPr>
        <w:tabs>
          <w:tab w:val="center" w:pos="4680"/>
        </w:tabs>
        <w:spacing w:before="120" w:line="276" w:lineRule="auto"/>
        <w:jc w:val="both"/>
        <w:rPr>
          <w:rFonts w:cs="Times New Roman"/>
          <w:b/>
          <w:bCs/>
          <w:i/>
          <w:iCs/>
          <w:sz w:val="20"/>
          <w:szCs w:val="20"/>
          <w:lang w:val="en-GB"/>
        </w:rPr>
      </w:pPr>
      <w:r w:rsidRPr="00E6625A">
        <w:rPr>
          <w:rFonts w:cs="Times New Roman"/>
          <w:b/>
          <w:bCs/>
          <w:i/>
          <w:iCs/>
          <w:sz w:val="20"/>
          <w:szCs w:val="20"/>
          <w:lang w:val="en-GB"/>
        </w:rPr>
        <w:t>Source: Chittagong Port Authority</w:t>
      </w:r>
    </w:p>
    <w:p w:rsidR="007F2F9C" w:rsidRPr="00C95B76" w:rsidRDefault="00C95B76" w:rsidP="00C95B76">
      <w:pPr>
        <w:spacing w:line="276" w:lineRule="auto"/>
        <w:jc w:val="both"/>
        <w:rPr>
          <w:rFonts w:cs="Times New Roman"/>
          <w:szCs w:val="24"/>
        </w:rPr>
      </w:pPr>
      <w:r w:rsidRPr="00924255">
        <w:rPr>
          <w:rFonts w:cs="Times New Roman"/>
          <w:szCs w:val="24"/>
        </w:rPr>
        <w:t xml:space="preserve">In </w:t>
      </w:r>
      <w:r w:rsidR="00E25DE2">
        <w:rPr>
          <w:rFonts w:cs="Times New Roman"/>
          <w:szCs w:val="24"/>
        </w:rPr>
        <w:t>FY20</w:t>
      </w:r>
      <w:r w:rsidRPr="00924255">
        <w:rPr>
          <w:rFonts w:cs="Times New Roman"/>
          <w:szCs w:val="24"/>
        </w:rPr>
        <w:t>13 about 70 percent of containers handled at maritime ports are destined for or originating from Dhaka/Narayanganj area being the main consumption and distribution center.</w:t>
      </w:r>
      <w:r w:rsidR="007F2F9C" w:rsidRPr="00E6625A">
        <w:rPr>
          <w:rFonts w:cs="Times New Roman"/>
          <w:b/>
          <w:bCs/>
          <w:i/>
          <w:iCs/>
          <w:lang w:val="en-GB"/>
        </w:rPr>
        <w:tab/>
      </w:r>
    </w:p>
    <w:p w:rsidR="007F2F9C" w:rsidRPr="00B35BBB" w:rsidRDefault="007F2F9C" w:rsidP="006B433D">
      <w:pPr>
        <w:spacing w:line="276" w:lineRule="auto"/>
        <w:jc w:val="both"/>
        <w:rPr>
          <w:rFonts w:cs="Times New Roman"/>
          <w:b/>
          <w:bCs/>
          <w:i/>
          <w:iCs/>
          <w:szCs w:val="24"/>
        </w:rPr>
      </w:pPr>
      <w:r w:rsidRPr="00B35BBB">
        <w:rPr>
          <w:rFonts w:cs="Times New Roman"/>
          <w:b/>
          <w:bCs/>
          <w:i/>
          <w:iCs/>
          <w:szCs w:val="24"/>
        </w:rPr>
        <w:t>Growth of container traffic</w:t>
      </w:r>
    </w:p>
    <w:p w:rsidR="007F2F9C" w:rsidRPr="00924255" w:rsidRDefault="007F2F9C" w:rsidP="00AA6178">
      <w:pPr>
        <w:spacing w:line="276" w:lineRule="auto"/>
        <w:jc w:val="both"/>
        <w:rPr>
          <w:rFonts w:cs="Times New Roman"/>
          <w:szCs w:val="24"/>
          <w:lang w:val="en-GB"/>
        </w:rPr>
      </w:pPr>
      <w:r w:rsidRPr="00924255">
        <w:rPr>
          <w:rFonts w:cs="Times New Roman"/>
          <w:szCs w:val="24"/>
          <w:lang w:val="en-GB"/>
        </w:rPr>
        <w:t>Another key factor that demands the development of IWT would be growing container traffic in inland waterways. To meet the growing demand of transporting containers between Dhaka and maritime ports, utilization of inland waterways is very crucial. Railway suffers from capacity constraint and the road does not have bearing capacity to accommodate trailers, so all the studies conducted recently recommended for inland waterways. An Inland Container Terminal has already been developed through a joint venture project of BIWTA and Chittagong Port Authority (CPA) with an annual handling capacity of 116,000 TEUs which is to be followed by another 4 inland container terminals under construction by private sector.</w:t>
      </w:r>
    </w:p>
    <w:p w:rsidR="00D04B2D" w:rsidRDefault="007F2F9C" w:rsidP="00D04B2D">
      <w:pPr>
        <w:spacing w:line="276" w:lineRule="auto"/>
        <w:jc w:val="both"/>
        <w:rPr>
          <w:rFonts w:cs="Times New Roman"/>
          <w:szCs w:val="24"/>
        </w:rPr>
      </w:pPr>
      <w:r w:rsidRPr="004B0A08">
        <w:rPr>
          <w:rFonts w:cs="Times New Roman"/>
          <w:i/>
          <w:szCs w:val="24"/>
        </w:rPr>
        <w:lastRenderedPageBreak/>
        <w:t>The Pacific International, Japan estimated container traffic volume in the ports of Bangladesh at 3.33 million TEU, 8.52 million and 19.60 million respectively in 2020, 2035 and 2055 while modal split in IWT will be 38%.</w:t>
      </w:r>
      <w:r w:rsidRPr="00924255">
        <w:rPr>
          <w:rFonts w:cs="Times New Roman"/>
          <w:szCs w:val="24"/>
        </w:rPr>
        <w:t xml:space="preserve"> The number of inland container vessels will be 55 in</w:t>
      </w:r>
      <w:r>
        <w:rPr>
          <w:rFonts w:cs="Times New Roman"/>
          <w:szCs w:val="24"/>
        </w:rPr>
        <w:t xml:space="preserve"> the short term, 152 in the mid-term and 305 in long-</w:t>
      </w:r>
      <w:r w:rsidRPr="00924255">
        <w:rPr>
          <w:rFonts w:cs="Times New Roman"/>
          <w:szCs w:val="24"/>
        </w:rPr>
        <w:t>term. Number of container terminal will</w:t>
      </w:r>
      <w:r>
        <w:rPr>
          <w:rFonts w:cs="Times New Roman"/>
          <w:szCs w:val="24"/>
        </w:rPr>
        <w:t xml:space="preserve"> be 5 in the short term, 10 mid-</w:t>
      </w:r>
      <w:r w:rsidR="00D04B2D">
        <w:rPr>
          <w:rFonts w:cs="Times New Roman"/>
          <w:szCs w:val="24"/>
        </w:rPr>
        <w:t>term and 24 in long term.</w:t>
      </w:r>
    </w:p>
    <w:p w:rsidR="008C0909" w:rsidRDefault="00D04B2D" w:rsidP="00D04B2D">
      <w:pPr>
        <w:spacing w:line="276" w:lineRule="auto"/>
        <w:jc w:val="both"/>
        <w:rPr>
          <w:rFonts w:cs="Times New Roman"/>
          <w:szCs w:val="24"/>
        </w:rPr>
      </w:pPr>
      <w:r>
        <w:rPr>
          <w:rFonts w:cs="Times New Roman"/>
          <w:szCs w:val="24"/>
        </w:rPr>
        <w:t>U</w:t>
      </w:r>
      <w:r w:rsidR="007F2F9C" w:rsidRPr="00924255">
        <w:rPr>
          <w:rFonts w:cs="Times New Roman"/>
          <w:szCs w:val="24"/>
        </w:rPr>
        <w:t>nder the Bangladesh Trade and Transport Facilitation Program</w:t>
      </w:r>
      <w:r w:rsidR="007F2F9C">
        <w:rPr>
          <w:rFonts w:cs="Times New Roman"/>
          <w:szCs w:val="24"/>
        </w:rPr>
        <w:t>,</w:t>
      </w:r>
      <w:r w:rsidR="007F2F9C" w:rsidRPr="00924255">
        <w:rPr>
          <w:rFonts w:cs="Times New Roman"/>
          <w:szCs w:val="24"/>
        </w:rPr>
        <w:t xml:space="preserve"> </w:t>
      </w:r>
      <w:r>
        <w:rPr>
          <w:rFonts w:cs="Times New Roman"/>
          <w:szCs w:val="24"/>
        </w:rPr>
        <w:t>t</w:t>
      </w:r>
      <w:r w:rsidRPr="00924255">
        <w:rPr>
          <w:rFonts w:cs="Times New Roman"/>
          <w:szCs w:val="24"/>
        </w:rPr>
        <w:t>he World Bank (2014)</w:t>
      </w:r>
      <w:r w:rsidRPr="00924255">
        <w:rPr>
          <w:rStyle w:val="FootnoteReference"/>
          <w:rFonts w:cs="Times New Roman"/>
          <w:szCs w:val="24"/>
        </w:rPr>
        <w:footnoteReference w:id="45"/>
      </w:r>
      <w:r>
        <w:rPr>
          <w:rFonts w:cs="Times New Roman"/>
          <w:szCs w:val="24"/>
        </w:rPr>
        <w:t xml:space="preserve"> </w:t>
      </w:r>
      <w:r w:rsidR="007F2F9C" w:rsidRPr="00924255">
        <w:rPr>
          <w:rFonts w:cs="Times New Roman"/>
          <w:szCs w:val="24"/>
        </w:rPr>
        <w:t>projected container traffic for the period of 2021-2030</w:t>
      </w:r>
      <w:r w:rsidR="007F2F9C">
        <w:rPr>
          <w:rFonts w:cs="Times New Roman"/>
          <w:szCs w:val="24"/>
        </w:rPr>
        <w:t xml:space="preserve">, which is shown in Table </w:t>
      </w:r>
      <w:r w:rsidR="00901C1C">
        <w:rPr>
          <w:rFonts w:cs="Times New Roman"/>
          <w:szCs w:val="24"/>
        </w:rPr>
        <w:t>9.</w:t>
      </w:r>
      <w:r w:rsidR="00F37660">
        <w:rPr>
          <w:rFonts w:cs="Times New Roman"/>
          <w:szCs w:val="24"/>
        </w:rPr>
        <w:t>28</w:t>
      </w:r>
      <w:r w:rsidR="007F2F9C">
        <w:rPr>
          <w:rFonts w:cs="Times New Roman"/>
          <w:szCs w:val="24"/>
        </w:rPr>
        <w:t>.</w:t>
      </w:r>
    </w:p>
    <w:p w:rsidR="007F2F9C" w:rsidRPr="00924255" w:rsidRDefault="007F2F9C" w:rsidP="0036657D">
      <w:pPr>
        <w:pStyle w:val="Heading4"/>
      </w:pPr>
      <w:bookmarkStart w:id="709" w:name="_Toc474639094"/>
      <w:r>
        <w:t xml:space="preserve">Table </w:t>
      </w:r>
      <w:r w:rsidR="00901C1C">
        <w:t>9.</w:t>
      </w:r>
      <w:r w:rsidR="00F37660">
        <w:t>28</w:t>
      </w:r>
      <w:r w:rsidRPr="00924255">
        <w:t>: Projection of IWT Container Traffic (000TEU)</w:t>
      </w:r>
      <w:bookmarkEnd w:id="709"/>
    </w:p>
    <w:tbl>
      <w:tblPr>
        <w:tblStyle w:val="LightShading10"/>
        <w:tblW w:w="5000" w:type="pct"/>
        <w:tblLook w:val="04A0"/>
      </w:tblPr>
      <w:tblGrid>
        <w:gridCol w:w="1962"/>
        <w:gridCol w:w="2912"/>
        <w:gridCol w:w="4702"/>
      </w:tblGrid>
      <w:tr w:rsidR="007F2F9C" w:rsidRPr="006B433D" w:rsidTr="006B433D">
        <w:trPr>
          <w:cnfStyle w:val="100000000000"/>
          <w:trHeight w:hRule="exact" w:val="288"/>
        </w:trPr>
        <w:tc>
          <w:tcPr>
            <w:cnfStyle w:val="001000000000"/>
            <w:tcW w:w="1024" w:type="pct"/>
          </w:tcPr>
          <w:p w:rsidR="007F2F9C" w:rsidRPr="00D10C92" w:rsidRDefault="007F2F9C" w:rsidP="000B1950">
            <w:pPr>
              <w:spacing w:line="276" w:lineRule="auto"/>
              <w:jc w:val="center"/>
              <w:rPr>
                <w:rFonts w:ascii="Times New Roman" w:hAnsi="Times New Roman"/>
                <w:sz w:val="22"/>
                <w:szCs w:val="24"/>
              </w:rPr>
            </w:pPr>
            <w:r w:rsidRPr="00D10C92">
              <w:rPr>
                <w:rFonts w:ascii="Times New Roman" w:hAnsi="Times New Roman"/>
                <w:sz w:val="22"/>
                <w:szCs w:val="24"/>
              </w:rPr>
              <w:t>Year</w:t>
            </w:r>
          </w:p>
        </w:tc>
        <w:tc>
          <w:tcPr>
            <w:tcW w:w="1520" w:type="pct"/>
          </w:tcPr>
          <w:p w:rsidR="007F2F9C" w:rsidRPr="00D10C92" w:rsidRDefault="007F2F9C" w:rsidP="000B1950">
            <w:pPr>
              <w:spacing w:line="276" w:lineRule="auto"/>
              <w:jc w:val="center"/>
              <w:cnfStyle w:val="100000000000"/>
              <w:rPr>
                <w:rFonts w:ascii="Times New Roman" w:hAnsi="Times New Roman"/>
                <w:sz w:val="22"/>
                <w:szCs w:val="24"/>
              </w:rPr>
            </w:pPr>
            <w:r w:rsidRPr="00D10C92">
              <w:rPr>
                <w:rFonts w:ascii="Times New Roman" w:hAnsi="Times New Roman"/>
                <w:sz w:val="22"/>
                <w:szCs w:val="24"/>
              </w:rPr>
              <w:t>Setting sail</w:t>
            </w:r>
          </w:p>
        </w:tc>
        <w:tc>
          <w:tcPr>
            <w:tcW w:w="2455" w:type="pct"/>
          </w:tcPr>
          <w:p w:rsidR="007F2F9C" w:rsidRPr="00D10C92" w:rsidRDefault="007F2F9C" w:rsidP="000B1950">
            <w:pPr>
              <w:spacing w:line="276" w:lineRule="auto"/>
              <w:jc w:val="center"/>
              <w:cnfStyle w:val="100000000000"/>
              <w:rPr>
                <w:rFonts w:ascii="Times New Roman" w:hAnsi="Times New Roman"/>
                <w:sz w:val="22"/>
                <w:szCs w:val="24"/>
              </w:rPr>
            </w:pPr>
            <w:r w:rsidRPr="00D10C92">
              <w:rPr>
                <w:rFonts w:ascii="Times New Roman" w:hAnsi="Times New Roman"/>
                <w:sz w:val="22"/>
                <w:szCs w:val="24"/>
              </w:rPr>
              <w:t>The World Wears Bangla</w:t>
            </w:r>
            <w:r w:rsidR="00610291">
              <w:rPr>
                <w:rFonts w:ascii="Times New Roman" w:hAnsi="Times New Roman"/>
                <w:sz w:val="22"/>
                <w:szCs w:val="24"/>
              </w:rPr>
              <w:t xml:space="preserve"> </w:t>
            </w:r>
          </w:p>
        </w:tc>
      </w:tr>
      <w:tr w:rsidR="007F2F9C" w:rsidRPr="006B433D" w:rsidTr="006B433D">
        <w:trPr>
          <w:cnfStyle w:val="000000100000"/>
          <w:trHeight w:hRule="exact" w:val="288"/>
        </w:trPr>
        <w:tc>
          <w:tcPr>
            <w:cnfStyle w:val="001000000000"/>
            <w:tcW w:w="1024" w:type="pct"/>
          </w:tcPr>
          <w:p w:rsidR="007F2F9C" w:rsidRPr="006B433D" w:rsidRDefault="00E25DE2" w:rsidP="000B1950">
            <w:pPr>
              <w:spacing w:after="0" w:line="276" w:lineRule="auto"/>
              <w:jc w:val="center"/>
              <w:rPr>
                <w:rFonts w:ascii="Times New Roman" w:hAnsi="Times New Roman"/>
                <w:bCs w:val="0"/>
                <w:sz w:val="22"/>
                <w:szCs w:val="24"/>
              </w:rPr>
            </w:pPr>
            <w:r w:rsidRPr="006B433D">
              <w:rPr>
                <w:rFonts w:ascii="Times New Roman" w:hAnsi="Times New Roman"/>
                <w:bCs w:val="0"/>
                <w:sz w:val="22"/>
                <w:szCs w:val="24"/>
              </w:rPr>
              <w:t>FY</w:t>
            </w:r>
            <w:r w:rsidR="007F2F9C" w:rsidRPr="006B433D">
              <w:rPr>
                <w:rFonts w:ascii="Times New Roman" w:hAnsi="Times New Roman"/>
                <w:bCs w:val="0"/>
                <w:sz w:val="22"/>
                <w:szCs w:val="24"/>
              </w:rPr>
              <w:t>2021</w:t>
            </w:r>
          </w:p>
        </w:tc>
        <w:tc>
          <w:tcPr>
            <w:tcW w:w="1520" w:type="pct"/>
          </w:tcPr>
          <w:p w:rsidR="007F2F9C" w:rsidRPr="006B433D" w:rsidRDefault="007F2F9C" w:rsidP="000B195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1,299</w:t>
            </w:r>
          </w:p>
        </w:tc>
        <w:tc>
          <w:tcPr>
            <w:tcW w:w="2455" w:type="pct"/>
          </w:tcPr>
          <w:p w:rsidR="007F2F9C" w:rsidRPr="006B433D" w:rsidRDefault="007F2F9C" w:rsidP="000B195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1,588</w:t>
            </w:r>
          </w:p>
        </w:tc>
      </w:tr>
      <w:tr w:rsidR="007F2F9C" w:rsidRPr="006B433D" w:rsidTr="006B433D">
        <w:trPr>
          <w:trHeight w:hRule="exact" w:val="288"/>
        </w:trPr>
        <w:tc>
          <w:tcPr>
            <w:cnfStyle w:val="001000000000"/>
            <w:tcW w:w="1024" w:type="pct"/>
          </w:tcPr>
          <w:p w:rsidR="007F2F9C" w:rsidRPr="006B433D" w:rsidRDefault="00E25DE2" w:rsidP="000B1950">
            <w:pPr>
              <w:spacing w:after="0" w:line="276" w:lineRule="auto"/>
              <w:jc w:val="center"/>
              <w:rPr>
                <w:rFonts w:ascii="Times New Roman" w:hAnsi="Times New Roman"/>
                <w:bCs w:val="0"/>
                <w:sz w:val="22"/>
                <w:szCs w:val="24"/>
              </w:rPr>
            </w:pPr>
            <w:r w:rsidRPr="006B433D">
              <w:rPr>
                <w:rFonts w:ascii="Times New Roman" w:hAnsi="Times New Roman"/>
                <w:bCs w:val="0"/>
                <w:sz w:val="22"/>
                <w:szCs w:val="24"/>
              </w:rPr>
              <w:t>FY</w:t>
            </w:r>
            <w:r w:rsidR="007F2F9C" w:rsidRPr="006B433D">
              <w:rPr>
                <w:rFonts w:ascii="Times New Roman" w:hAnsi="Times New Roman"/>
                <w:bCs w:val="0"/>
                <w:sz w:val="22"/>
                <w:szCs w:val="24"/>
              </w:rPr>
              <w:t>2022</w:t>
            </w:r>
          </w:p>
        </w:tc>
        <w:tc>
          <w:tcPr>
            <w:tcW w:w="1520" w:type="pct"/>
          </w:tcPr>
          <w:p w:rsidR="007F2F9C" w:rsidRPr="006B433D" w:rsidRDefault="007F2F9C" w:rsidP="000B195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1,402</w:t>
            </w:r>
          </w:p>
        </w:tc>
        <w:tc>
          <w:tcPr>
            <w:tcW w:w="2455" w:type="pct"/>
          </w:tcPr>
          <w:p w:rsidR="007F2F9C" w:rsidRPr="006B433D" w:rsidRDefault="007F2F9C" w:rsidP="000B195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1,763</w:t>
            </w:r>
          </w:p>
        </w:tc>
      </w:tr>
      <w:tr w:rsidR="007F2F9C" w:rsidRPr="006B433D" w:rsidTr="006B433D">
        <w:trPr>
          <w:cnfStyle w:val="000000100000"/>
          <w:trHeight w:hRule="exact" w:val="288"/>
        </w:trPr>
        <w:tc>
          <w:tcPr>
            <w:cnfStyle w:val="001000000000"/>
            <w:tcW w:w="1024" w:type="pct"/>
          </w:tcPr>
          <w:p w:rsidR="007F2F9C" w:rsidRPr="006B433D" w:rsidRDefault="00E25DE2" w:rsidP="000B1950">
            <w:pPr>
              <w:spacing w:after="0" w:line="276" w:lineRule="auto"/>
              <w:jc w:val="center"/>
              <w:rPr>
                <w:rFonts w:ascii="Times New Roman" w:hAnsi="Times New Roman"/>
                <w:bCs w:val="0"/>
                <w:sz w:val="22"/>
                <w:szCs w:val="24"/>
              </w:rPr>
            </w:pPr>
            <w:r w:rsidRPr="006B433D">
              <w:rPr>
                <w:rFonts w:ascii="Times New Roman" w:hAnsi="Times New Roman"/>
                <w:bCs w:val="0"/>
                <w:sz w:val="22"/>
                <w:szCs w:val="24"/>
              </w:rPr>
              <w:t>FY</w:t>
            </w:r>
            <w:r w:rsidR="007F2F9C" w:rsidRPr="006B433D">
              <w:rPr>
                <w:rFonts w:ascii="Times New Roman" w:hAnsi="Times New Roman"/>
                <w:bCs w:val="0"/>
                <w:sz w:val="22"/>
                <w:szCs w:val="24"/>
              </w:rPr>
              <w:t>2023</w:t>
            </w:r>
          </w:p>
        </w:tc>
        <w:tc>
          <w:tcPr>
            <w:tcW w:w="1520" w:type="pct"/>
          </w:tcPr>
          <w:p w:rsidR="007F2F9C" w:rsidRPr="006B433D" w:rsidRDefault="007F2F9C" w:rsidP="000B195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1,514</w:t>
            </w:r>
          </w:p>
        </w:tc>
        <w:tc>
          <w:tcPr>
            <w:tcW w:w="2455" w:type="pct"/>
          </w:tcPr>
          <w:p w:rsidR="007F2F9C" w:rsidRPr="006B433D" w:rsidRDefault="007F2F9C" w:rsidP="000B195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1,958</w:t>
            </w:r>
          </w:p>
        </w:tc>
      </w:tr>
      <w:tr w:rsidR="007F2F9C" w:rsidRPr="006B433D" w:rsidTr="006B433D">
        <w:trPr>
          <w:trHeight w:hRule="exact" w:val="288"/>
        </w:trPr>
        <w:tc>
          <w:tcPr>
            <w:cnfStyle w:val="001000000000"/>
            <w:tcW w:w="1024" w:type="pct"/>
          </w:tcPr>
          <w:p w:rsidR="007F2F9C" w:rsidRPr="006B433D" w:rsidRDefault="00E25DE2" w:rsidP="000B1950">
            <w:pPr>
              <w:spacing w:after="0" w:line="276" w:lineRule="auto"/>
              <w:jc w:val="center"/>
              <w:rPr>
                <w:rFonts w:ascii="Times New Roman" w:hAnsi="Times New Roman"/>
                <w:bCs w:val="0"/>
                <w:sz w:val="22"/>
                <w:szCs w:val="24"/>
              </w:rPr>
            </w:pPr>
            <w:r w:rsidRPr="006B433D">
              <w:rPr>
                <w:rFonts w:ascii="Times New Roman" w:hAnsi="Times New Roman"/>
                <w:bCs w:val="0"/>
                <w:sz w:val="22"/>
                <w:szCs w:val="24"/>
              </w:rPr>
              <w:t>FY</w:t>
            </w:r>
            <w:r w:rsidR="007F2F9C" w:rsidRPr="006B433D">
              <w:rPr>
                <w:rFonts w:ascii="Times New Roman" w:hAnsi="Times New Roman"/>
                <w:bCs w:val="0"/>
                <w:sz w:val="22"/>
                <w:szCs w:val="24"/>
              </w:rPr>
              <w:t>2024</w:t>
            </w:r>
          </w:p>
        </w:tc>
        <w:tc>
          <w:tcPr>
            <w:tcW w:w="1520" w:type="pct"/>
          </w:tcPr>
          <w:p w:rsidR="007F2F9C" w:rsidRPr="006B433D" w:rsidRDefault="007F2F9C" w:rsidP="000B195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1,635</w:t>
            </w:r>
          </w:p>
        </w:tc>
        <w:tc>
          <w:tcPr>
            <w:tcW w:w="2455" w:type="pct"/>
          </w:tcPr>
          <w:p w:rsidR="007F2F9C" w:rsidRPr="006B433D" w:rsidRDefault="007F2F9C" w:rsidP="000B195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2,175</w:t>
            </w:r>
          </w:p>
        </w:tc>
      </w:tr>
      <w:tr w:rsidR="007F2F9C" w:rsidRPr="006B433D" w:rsidTr="006B433D">
        <w:trPr>
          <w:cnfStyle w:val="000000100000"/>
          <w:trHeight w:hRule="exact" w:val="288"/>
        </w:trPr>
        <w:tc>
          <w:tcPr>
            <w:cnfStyle w:val="001000000000"/>
            <w:tcW w:w="1024" w:type="pct"/>
          </w:tcPr>
          <w:p w:rsidR="007F2F9C" w:rsidRPr="006B433D" w:rsidRDefault="00E25DE2" w:rsidP="000B1950">
            <w:pPr>
              <w:spacing w:after="0" w:line="276" w:lineRule="auto"/>
              <w:jc w:val="center"/>
              <w:rPr>
                <w:rFonts w:ascii="Times New Roman" w:hAnsi="Times New Roman"/>
                <w:bCs w:val="0"/>
                <w:sz w:val="22"/>
                <w:szCs w:val="24"/>
              </w:rPr>
            </w:pPr>
            <w:r w:rsidRPr="006B433D">
              <w:rPr>
                <w:rFonts w:ascii="Times New Roman" w:hAnsi="Times New Roman"/>
                <w:bCs w:val="0"/>
                <w:sz w:val="22"/>
                <w:szCs w:val="24"/>
              </w:rPr>
              <w:t>FY</w:t>
            </w:r>
            <w:r w:rsidR="007F2F9C" w:rsidRPr="006B433D">
              <w:rPr>
                <w:rFonts w:ascii="Times New Roman" w:hAnsi="Times New Roman"/>
                <w:bCs w:val="0"/>
                <w:sz w:val="22"/>
                <w:szCs w:val="24"/>
              </w:rPr>
              <w:t>2025</w:t>
            </w:r>
          </w:p>
        </w:tc>
        <w:tc>
          <w:tcPr>
            <w:tcW w:w="1520" w:type="pct"/>
          </w:tcPr>
          <w:p w:rsidR="007F2F9C" w:rsidRPr="006B433D" w:rsidRDefault="007F2F9C" w:rsidP="000B195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1,766</w:t>
            </w:r>
          </w:p>
        </w:tc>
        <w:tc>
          <w:tcPr>
            <w:tcW w:w="2455" w:type="pct"/>
          </w:tcPr>
          <w:p w:rsidR="007F2F9C" w:rsidRPr="006B433D" w:rsidRDefault="007F2F9C" w:rsidP="000B195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2,415</w:t>
            </w:r>
          </w:p>
        </w:tc>
      </w:tr>
      <w:tr w:rsidR="007F2F9C" w:rsidRPr="006B433D" w:rsidTr="006B433D">
        <w:trPr>
          <w:trHeight w:hRule="exact" w:val="288"/>
        </w:trPr>
        <w:tc>
          <w:tcPr>
            <w:cnfStyle w:val="001000000000"/>
            <w:tcW w:w="1024" w:type="pct"/>
          </w:tcPr>
          <w:p w:rsidR="007F2F9C" w:rsidRPr="006B433D" w:rsidRDefault="00E25DE2" w:rsidP="000B1950">
            <w:pPr>
              <w:spacing w:after="0" w:line="276" w:lineRule="auto"/>
              <w:jc w:val="center"/>
              <w:rPr>
                <w:rFonts w:ascii="Times New Roman" w:hAnsi="Times New Roman"/>
                <w:bCs w:val="0"/>
                <w:sz w:val="22"/>
                <w:szCs w:val="24"/>
              </w:rPr>
            </w:pPr>
            <w:r w:rsidRPr="006B433D">
              <w:rPr>
                <w:rFonts w:ascii="Times New Roman" w:hAnsi="Times New Roman"/>
                <w:bCs w:val="0"/>
                <w:sz w:val="22"/>
                <w:szCs w:val="24"/>
              </w:rPr>
              <w:t>FY</w:t>
            </w:r>
            <w:r w:rsidR="007F2F9C" w:rsidRPr="006B433D">
              <w:rPr>
                <w:rFonts w:ascii="Times New Roman" w:hAnsi="Times New Roman"/>
                <w:bCs w:val="0"/>
                <w:sz w:val="22"/>
                <w:szCs w:val="24"/>
              </w:rPr>
              <w:t>2030</w:t>
            </w:r>
          </w:p>
        </w:tc>
        <w:tc>
          <w:tcPr>
            <w:tcW w:w="1520" w:type="pct"/>
          </w:tcPr>
          <w:p w:rsidR="007F2F9C" w:rsidRPr="006B433D" w:rsidRDefault="007F2F9C" w:rsidP="000B195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2,469</w:t>
            </w:r>
          </w:p>
        </w:tc>
        <w:tc>
          <w:tcPr>
            <w:tcW w:w="2455" w:type="pct"/>
          </w:tcPr>
          <w:p w:rsidR="007F2F9C" w:rsidRPr="006B433D" w:rsidRDefault="007F2F9C" w:rsidP="000B195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3,790</w:t>
            </w:r>
          </w:p>
        </w:tc>
      </w:tr>
    </w:tbl>
    <w:p w:rsidR="007F2F9C" w:rsidRPr="00E2663D" w:rsidRDefault="007F2F9C" w:rsidP="00E25DE2">
      <w:pPr>
        <w:spacing w:before="120" w:line="276" w:lineRule="auto"/>
        <w:rPr>
          <w:rFonts w:cs="Times New Roman"/>
          <w:b/>
          <w:i/>
          <w:iCs/>
          <w:sz w:val="20"/>
          <w:szCs w:val="20"/>
        </w:rPr>
      </w:pPr>
      <w:r w:rsidRPr="00E2663D">
        <w:rPr>
          <w:rFonts w:cs="Times New Roman"/>
          <w:b/>
          <w:i/>
          <w:iCs/>
          <w:sz w:val="20"/>
          <w:szCs w:val="20"/>
        </w:rPr>
        <w:t>Source: The World Bank Study on Chittagong Port Efficiency, 2014</w:t>
      </w:r>
    </w:p>
    <w:p w:rsidR="007F2F9C" w:rsidRPr="004B0A08" w:rsidRDefault="007F2F9C" w:rsidP="000B1950">
      <w:pPr>
        <w:spacing w:line="276" w:lineRule="auto"/>
        <w:jc w:val="both"/>
        <w:rPr>
          <w:rFonts w:cs="Times New Roman"/>
          <w:i/>
          <w:szCs w:val="24"/>
        </w:rPr>
      </w:pPr>
      <w:r w:rsidRPr="00924255">
        <w:rPr>
          <w:rFonts w:cs="Times New Roman"/>
          <w:szCs w:val="24"/>
        </w:rPr>
        <w:t>Setting sail assumes growth potential of inland waterway is unlocked and modal share of IWT (containers in TEU) rises from 5 to 45 percent</w:t>
      </w:r>
      <w:r w:rsidRPr="00924255">
        <w:rPr>
          <w:rStyle w:val="FootnoteReference"/>
          <w:rFonts w:cs="Times New Roman"/>
          <w:szCs w:val="24"/>
        </w:rPr>
        <w:footnoteReference w:id="46"/>
      </w:r>
      <w:r w:rsidRPr="00924255">
        <w:rPr>
          <w:rFonts w:cs="Times New Roman"/>
          <w:szCs w:val="24"/>
        </w:rPr>
        <w:t xml:space="preserve"> over the period 2014-2018 and maintains share at that level. </w:t>
      </w:r>
      <w:r w:rsidRPr="00924255">
        <w:rPr>
          <w:rFonts w:cs="Times New Roman"/>
          <w:bCs/>
          <w:szCs w:val="24"/>
        </w:rPr>
        <w:t>The World Wears Bangla</w:t>
      </w:r>
      <w:r w:rsidRPr="00924255">
        <w:rPr>
          <w:rFonts w:cs="Times New Roman"/>
          <w:b/>
          <w:szCs w:val="24"/>
        </w:rPr>
        <w:t xml:space="preserve"> </w:t>
      </w:r>
      <w:r w:rsidRPr="00924255">
        <w:rPr>
          <w:rFonts w:cs="Times New Roman"/>
          <w:szCs w:val="24"/>
        </w:rPr>
        <w:t xml:space="preserve">allows for GDP growth to accelerate over previous trends but is below the Government of Bangladesh target of 8-10 percent. </w:t>
      </w:r>
      <w:r w:rsidRPr="004B0A08">
        <w:rPr>
          <w:rFonts w:cs="Times New Roman"/>
          <w:i/>
          <w:szCs w:val="24"/>
        </w:rPr>
        <w:t>This clearly indicates that to meet the growing container traffic there is a need for an efficient inland water transport system.</w:t>
      </w:r>
    </w:p>
    <w:p w:rsidR="00000000" w:rsidRDefault="007F2F9C" w:rsidP="003D5A31">
      <w:pPr>
        <w:pStyle w:val="BodyText"/>
        <w:numPr>
          <w:ilvl w:val="2"/>
          <w:numId w:val="242"/>
        </w:numPr>
        <w:spacing w:after="240" w:line="276" w:lineRule="auto"/>
        <w:jc w:val="both"/>
        <w:rPr>
          <w:rFonts w:cs="Times New Roman"/>
          <w:b/>
          <w:szCs w:val="24"/>
        </w:rPr>
      </w:pPr>
      <w:r w:rsidRPr="00923A06">
        <w:rPr>
          <w:rFonts w:cs="Times New Roman"/>
          <w:b/>
          <w:szCs w:val="24"/>
        </w:rPr>
        <w:t>Demand for IWT Services for Transit and India-Bangladesh Bilateral Trade</w:t>
      </w:r>
    </w:p>
    <w:p w:rsidR="007F2F9C" w:rsidRPr="00B35BBB" w:rsidRDefault="007F2F9C" w:rsidP="006B433D">
      <w:pPr>
        <w:spacing w:line="276" w:lineRule="auto"/>
        <w:rPr>
          <w:b/>
          <w:i/>
        </w:rPr>
      </w:pPr>
      <w:r w:rsidRPr="00B35BBB">
        <w:rPr>
          <w:b/>
          <w:i/>
        </w:rPr>
        <w:t>Existing Implementation of India-Bangladesh Inland Waterway Protocol</w:t>
      </w:r>
    </w:p>
    <w:p w:rsidR="007F2F9C" w:rsidRPr="004B0A08" w:rsidRDefault="007F2F9C" w:rsidP="008C0909">
      <w:pPr>
        <w:spacing w:line="276" w:lineRule="auto"/>
        <w:jc w:val="both"/>
        <w:rPr>
          <w:rFonts w:cs="Times New Roman"/>
          <w:i/>
          <w:szCs w:val="24"/>
        </w:rPr>
      </w:pPr>
      <w:r w:rsidRPr="00924255">
        <w:rPr>
          <w:rFonts w:cs="Times New Roman"/>
          <w:szCs w:val="24"/>
        </w:rPr>
        <w:t xml:space="preserve">Table </w:t>
      </w:r>
      <w:r w:rsidR="00901C1C">
        <w:rPr>
          <w:rFonts w:cs="Times New Roman"/>
          <w:szCs w:val="24"/>
        </w:rPr>
        <w:t>9.</w:t>
      </w:r>
      <w:r w:rsidR="00F37660">
        <w:rPr>
          <w:rFonts w:cs="Times New Roman"/>
          <w:szCs w:val="24"/>
        </w:rPr>
        <w:t>29</w:t>
      </w:r>
      <w:r w:rsidRPr="00924255">
        <w:rPr>
          <w:rFonts w:cs="Times New Roman"/>
          <w:szCs w:val="24"/>
        </w:rPr>
        <w:t xml:space="preserve"> presents total </w:t>
      </w:r>
      <w:r w:rsidR="00FE6385">
        <w:rPr>
          <w:rFonts w:cs="Times New Roman"/>
          <w:szCs w:val="24"/>
        </w:rPr>
        <w:t>tonn</w:t>
      </w:r>
      <w:r w:rsidRPr="00924255">
        <w:rPr>
          <w:rFonts w:cs="Times New Roman"/>
          <w:szCs w:val="24"/>
        </w:rPr>
        <w:t>age of cargo transported by Bangladeshi and Indian vessels from 2001-2002 to 2013-2014 and their shares.</w:t>
      </w:r>
      <w:r>
        <w:rPr>
          <w:rFonts w:cs="Times New Roman"/>
          <w:szCs w:val="24"/>
        </w:rPr>
        <w:t xml:space="preserve"> </w:t>
      </w:r>
      <w:r w:rsidRPr="007C28A2">
        <w:rPr>
          <w:rFonts w:cs="Times New Roman"/>
          <w:szCs w:val="24"/>
        </w:rPr>
        <w:t xml:space="preserve">The table shows a tremendous growth of </w:t>
      </w:r>
      <w:r w:rsidR="00FE6385">
        <w:rPr>
          <w:rFonts w:cs="Times New Roman"/>
          <w:szCs w:val="24"/>
        </w:rPr>
        <w:t>tonn</w:t>
      </w:r>
      <w:r w:rsidRPr="007C28A2">
        <w:rPr>
          <w:rFonts w:cs="Times New Roman"/>
          <w:szCs w:val="24"/>
        </w:rPr>
        <w:t>age of bilateral trade transported under the provisions of the Protocol along with the movement of vessels of both countries (India-BD IWP).</w:t>
      </w:r>
      <w:r w:rsidR="00ED418F">
        <w:rPr>
          <w:rFonts w:cs="Times New Roman"/>
          <w:szCs w:val="24"/>
        </w:rPr>
        <w:t xml:space="preserve"> </w:t>
      </w:r>
      <w:r w:rsidR="00ED418F" w:rsidRPr="004B0A08">
        <w:rPr>
          <w:rFonts w:cs="Times New Roman"/>
          <w:i/>
          <w:szCs w:val="24"/>
        </w:rPr>
        <w:t xml:space="preserve">From the very beginning, </w:t>
      </w:r>
      <w:r w:rsidRPr="004B0A08">
        <w:rPr>
          <w:rFonts w:cs="Times New Roman"/>
          <w:i/>
          <w:szCs w:val="24"/>
        </w:rPr>
        <w:t>participation of Bangladesh</w:t>
      </w:r>
      <w:r w:rsidR="00ED418F" w:rsidRPr="004B0A08">
        <w:rPr>
          <w:rFonts w:cs="Times New Roman"/>
          <w:i/>
          <w:szCs w:val="24"/>
        </w:rPr>
        <w:t>i vessels was few and was zero</w:t>
      </w:r>
      <w:r w:rsidRPr="004B0A08">
        <w:rPr>
          <w:rFonts w:cs="Times New Roman"/>
          <w:i/>
          <w:szCs w:val="24"/>
        </w:rPr>
        <w:t xml:space="preserve"> in most of the years up to 2000. </w:t>
      </w:r>
      <w:r w:rsidR="002B6FBB" w:rsidRPr="004B0A08">
        <w:rPr>
          <w:rFonts w:cs="Times New Roman"/>
          <w:i/>
          <w:szCs w:val="24"/>
        </w:rPr>
        <w:t>Initially, participation was limited to BIWTC. The</w:t>
      </w:r>
      <w:r w:rsidRPr="004B0A08">
        <w:rPr>
          <w:rFonts w:cs="Times New Roman"/>
          <w:i/>
          <w:szCs w:val="24"/>
        </w:rPr>
        <w:t xml:space="preserve"> private sector came forward in the carriage of goods under Protocol from 2000 and gradually Bangladesh vessels were able to outnumber the India vessels.</w:t>
      </w:r>
    </w:p>
    <w:p w:rsidR="00610291" w:rsidRDefault="007F2F9C" w:rsidP="0036657D">
      <w:pPr>
        <w:pStyle w:val="Heading4"/>
      </w:pPr>
      <w:bookmarkStart w:id="710" w:name="_Toc474639095"/>
      <w:r w:rsidRPr="00924255">
        <w:lastRenderedPageBreak/>
        <w:t xml:space="preserve">Table </w:t>
      </w:r>
      <w:r w:rsidR="00901C1C">
        <w:t>9.</w:t>
      </w:r>
      <w:r w:rsidR="00F37660">
        <w:t>29</w:t>
      </w:r>
      <w:r>
        <w:t xml:space="preserve">: </w:t>
      </w:r>
      <w:r w:rsidRPr="00924255">
        <w:t xml:space="preserve">Movements of Vessels &amp; Cargo under </w:t>
      </w:r>
      <w:r w:rsidR="00610291">
        <w:t>Protocol on Inland Water Trade &amp;</w:t>
      </w:r>
    </w:p>
    <w:p w:rsidR="007F2F9C" w:rsidRPr="00924255" w:rsidRDefault="00610291" w:rsidP="0036657D">
      <w:pPr>
        <w:pStyle w:val="Heading4"/>
      </w:pPr>
      <w:r>
        <w:t>Transit (</w:t>
      </w:r>
      <w:r w:rsidR="007F2F9C" w:rsidRPr="00924255">
        <w:t>PIWTT</w:t>
      </w:r>
      <w:bookmarkEnd w:id="710"/>
      <w: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98"/>
        <w:gridCol w:w="1614"/>
        <w:gridCol w:w="1176"/>
        <w:gridCol w:w="1084"/>
        <w:gridCol w:w="1253"/>
        <w:gridCol w:w="914"/>
        <w:gridCol w:w="1071"/>
        <w:gridCol w:w="1366"/>
      </w:tblGrid>
      <w:tr w:rsidR="007F2F9C" w:rsidRPr="000B1950" w:rsidTr="000B1950">
        <w:trPr>
          <w:cantSplit/>
          <w:trHeight w:val="20"/>
          <w:jc w:val="center"/>
        </w:trPr>
        <w:tc>
          <w:tcPr>
            <w:tcW w:w="574" w:type="pct"/>
            <w:vMerge w:val="restart"/>
            <w:shd w:val="clear" w:color="auto" w:fill="F2F2F2"/>
            <w:vAlign w:val="center"/>
          </w:tcPr>
          <w:p w:rsidR="007F2F9C" w:rsidRPr="00C323E9" w:rsidRDefault="007F2F9C" w:rsidP="000B1950">
            <w:pPr>
              <w:spacing w:after="0" w:line="240" w:lineRule="auto"/>
              <w:jc w:val="center"/>
              <w:rPr>
                <w:rFonts w:cs="Times New Roman"/>
                <w:b/>
                <w:sz w:val="20"/>
              </w:rPr>
            </w:pPr>
            <w:r w:rsidRPr="00C323E9">
              <w:rPr>
                <w:rFonts w:cs="Times New Roman"/>
                <w:b/>
                <w:sz w:val="20"/>
              </w:rPr>
              <w:t>Year</w:t>
            </w:r>
          </w:p>
        </w:tc>
        <w:tc>
          <w:tcPr>
            <w:tcW w:w="1457" w:type="pct"/>
            <w:gridSpan w:val="2"/>
            <w:shd w:val="clear" w:color="auto" w:fill="F2F2F2"/>
            <w:vAlign w:val="center"/>
          </w:tcPr>
          <w:p w:rsidR="007F2F9C" w:rsidRPr="00C323E9" w:rsidRDefault="007F2F9C" w:rsidP="000B1950">
            <w:pPr>
              <w:spacing w:after="0" w:line="240" w:lineRule="auto"/>
              <w:jc w:val="center"/>
              <w:rPr>
                <w:rFonts w:cs="Times New Roman"/>
                <w:b/>
                <w:sz w:val="20"/>
              </w:rPr>
            </w:pPr>
            <w:r w:rsidRPr="00C323E9">
              <w:rPr>
                <w:rFonts w:cs="Times New Roman"/>
                <w:b/>
                <w:sz w:val="20"/>
              </w:rPr>
              <w:t xml:space="preserve">Quantity of goods (in Mt. </w:t>
            </w:r>
            <w:r w:rsidR="00FE6385">
              <w:rPr>
                <w:rFonts w:cs="Times New Roman"/>
                <w:b/>
                <w:sz w:val="20"/>
              </w:rPr>
              <w:t>tonne</w:t>
            </w:r>
            <w:r w:rsidRPr="00C323E9">
              <w:rPr>
                <w:rFonts w:cs="Times New Roman"/>
                <w:b/>
                <w:sz w:val="20"/>
              </w:rPr>
              <w:t>)</w:t>
            </w:r>
          </w:p>
        </w:tc>
        <w:tc>
          <w:tcPr>
            <w:tcW w:w="566" w:type="pct"/>
            <w:vMerge w:val="restart"/>
            <w:shd w:val="clear" w:color="auto" w:fill="F2F2F2"/>
            <w:vAlign w:val="center"/>
          </w:tcPr>
          <w:p w:rsidR="007F2F9C" w:rsidRPr="00C323E9" w:rsidRDefault="007F2F9C" w:rsidP="000B1950">
            <w:pPr>
              <w:spacing w:after="0" w:line="240" w:lineRule="auto"/>
              <w:jc w:val="center"/>
              <w:rPr>
                <w:rFonts w:cs="Times New Roman"/>
                <w:b/>
                <w:sz w:val="20"/>
              </w:rPr>
            </w:pPr>
            <w:r w:rsidRPr="00C323E9">
              <w:rPr>
                <w:rFonts w:cs="Times New Roman"/>
                <w:b/>
                <w:sz w:val="20"/>
              </w:rPr>
              <w:t xml:space="preserve">Total (Mt. </w:t>
            </w:r>
            <w:r w:rsidR="00FE6385">
              <w:rPr>
                <w:rFonts w:cs="Times New Roman"/>
                <w:b/>
                <w:sz w:val="20"/>
              </w:rPr>
              <w:t>tonne</w:t>
            </w:r>
            <w:r w:rsidRPr="00C323E9">
              <w:rPr>
                <w:rFonts w:cs="Times New Roman"/>
                <w:b/>
                <w:sz w:val="20"/>
              </w:rPr>
              <w:t>)</w:t>
            </w:r>
          </w:p>
        </w:tc>
        <w:tc>
          <w:tcPr>
            <w:tcW w:w="654" w:type="pct"/>
            <w:vMerge w:val="restart"/>
            <w:shd w:val="clear" w:color="auto" w:fill="F2F2F2"/>
            <w:vAlign w:val="center"/>
          </w:tcPr>
          <w:p w:rsidR="007F2F9C" w:rsidRPr="00C323E9" w:rsidRDefault="007F2F9C" w:rsidP="000B1950">
            <w:pPr>
              <w:spacing w:after="0" w:line="240" w:lineRule="auto"/>
              <w:ind w:left="-84" w:right="-81"/>
              <w:jc w:val="center"/>
              <w:rPr>
                <w:rFonts w:cs="Times New Roman"/>
                <w:b/>
                <w:sz w:val="20"/>
              </w:rPr>
            </w:pPr>
            <w:r w:rsidRPr="00C323E9">
              <w:rPr>
                <w:rFonts w:cs="Times New Roman"/>
                <w:b/>
                <w:sz w:val="20"/>
              </w:rPr>
              <w:t>Number of trip by Bangladeshi vessels</w:t>
            </w:r>
          </w:p>
        </w:tc>
        <w:tc>
          <w:tcPr>
            <w:tcW w:w="477" w:type="pct"/>
            <w:vMerge w:val="restart"/>
            <w:shd w:val="clear" w:color="auto" w:fill="F2F2F2"/>
            <w:vAlign w:val="center"/>
          </w:tcPr>
          <w:p w:rsidR="007F2F9C" w:rsidRPr="00C323E9" w:rsidRDefault="007F2F9C" w:rsidP="000B1950">
            <w:pPr>
              <w:spacing w:after="0" w:line="240" w:lineRule="auto"/>
              <w:ind w:left="-72" w:right="-84"/>
              <w:jc w:val="center"/>
              <w:rPr>
                <w:rFonts w:cs="Times New Roman"/>
                <w:b/>
                <w:sz w:val="20"/>
                <w:u w:val="single"/>
              </w:rPr>
            </w:pPr>
            <w:r w:rsidRPr="00C323E9">
              <w:rPr>
                <w:rFonts w:cs="Times New Roman"/>
                <w:b/>
                <w:sz w:val="20"/>
              </w:rPr>
              <w:t>Number of trip by Indian vessels</w:t>
            </w:r>
          </w:p>
        </w:tc>
        <w:tc>
          <w:tcPr>
            <w:tcW w:w="559" w:type="pct"/>
            <w:vMerge w:val="restart"/>
            <w:shd w:val="clear" w:color="auto" w:fill="F2F2F2"/>
            <w:vAlign w:val="center"/>
          </w:tcPr>
          <w:p w:rsidR="007F2F9C" w:rsidRPr="00C323E9" w:rsidRDefault="007F2F9C" w:rsidP="000B1950">
            <w:pPr>
              <w:spacing w:after="0" w:line="240" w:lineRule="auto"/>
              <w:jc w:val="center"/>
              <w:rPr>
                <w:rFonts w:cs="Times New Roman"/>
                <w:b/>
                <w:sz w:val="20"/>
              </w:rPr>
            </w:pPr>
            <w:r w:rsidRPr="00C323E9">
              <w:rPr>
                <w:rFonts w:cs="Times New Roman"/>
                <w:b/>
                <w:sz w:val="20"/>
              </w:rPr>
              <w:t>Total trips under protocol</w:t>
            </w:r>
          </w:p>
        </w:tc>
        <w:tc>
          <w:tcPr>
            <w:tcW w:w="714" w:type="pct"/>
            <w:vMerge w:val="restart"/>
            <w:shd w:val="clear" w:color="auto" w:fill="F2F2F2"/>
            <w:vAlign w:val="center"/>
          </w:tcPr>
          <w:p w:rsidR="007F2F9C" w:rsidRPr="00C323E9" w:rsidRDefault="007F2F9C" w:rsidP="000B1950">
            <w:pPr>
              <w:spacing w:after="0" w:line="240" w:lineRule="auto"/>
              <w:ind w:left="-18" w:right="-18"/>
              <w:jc w:val="center"/>
              <w:rPr>
                <w:rFonts w:cs="Times New Roman"/>
                <w:b/>
                <w:sz w:val="20"/>
              </w:rPr>
            </w:pPr>
            <w:r w:rsidRPr="00C323E9">
              <w:rPr>
                <w:rFonts w:cs="Times New Roman"/>
                <w:b/>
                <w:sz w:val="20"/>
              </w:rPr>
              <w:t>Ratio of goods carried by Bangladesh &amp; India Vessels</w:t>
            </w:r>
          </w:p>
        </w:tc>
      </w:tr>
      <w:tr w:rsidR="007F2F9C" w:rsidRPr="000B1950" w:rsidTr="000B1950">
        <w:trPr>
          <w:cantSplit/>
          <w:trHeight w:val="20"/>
          <w:jc w:val="center"/>
        </w:trPr>
        <w:tc>
          <w:tcPr>
            <w:tcW w:w="574" w:type="pct"/>
            <w:vMerge/>
            <w:shd w:val="clear" w:color="auto" w:fill="auto"/>
            <w:vAlign w:val="center"/>
          </w:tcPr>
          <w:p w:rsidR="007F2F9C" w:rsidRPr="00C323E9" w:rsidRDefault="007F2F9C" w:rsidP="000B1950">
            <w:pPr>
              <w:spacing w:after="0" w:line="240" w:lineRule="auto"/>
              <w:jc w:val="center"/>
              <w:rPr>
                <w:rFonts w:cs="Times New Roman"/>
                <w:b/>
                <w:sz w:val="20"/>
                <w:u w:val="single"/>
              </w:rPr>
            </w:pPr>
          </w:p>
        </w:tc>
        <w:tc>
          <w:tcPr>
            <w:tcW w:w="843" w:type="pct"/>
            <w:shd w:val="clear" w:color="auto" w:fill="F2F2F2"/>
            <w:vAlign w:val="center"/>
          </w:tcPr>
          <w:p w:rsidR="007F2F9C" w:rsidRPr="00C323E9" w:rsidRDefault="007F2F9C" w:rsidP="000B1950">
            <w:pPr>
              <w:spacing w:after="0" w:line="240" w:lineRule="auto"/>
              <w:jc w:val="center"/>
              <w:rPr>
                <w:rFonts w:cs="Times New Roman"/>
                <w:b/>
                <w:sz w:val="20"/>
                <w:u w:val="single"/>
              </w:rPr>
            </w:pPr>
            <w:r w:rsidRPr="00C323E9">
              <w:rPr>
                <w:rFonts w:cs="Times New Roman"/>
                <w:b/>
                <w:sz w:val="20"/>
              </w:rPr>
              <w:t>Carried By Bangladeshi vessels</w:t>
            </w:r>
          </w:p>
        </w:tc>
        <w:tc>
          <w:tcPr>
            <w:tcW w:w="614" w:type="pct"/>
            <w:shd w:val="clear" w:color="auto" w:fill="F2F2F2"/>
            <w:vAlign w:val="center"/>
          </w:tcPr>
          <w:p w:rsidR="007F2F9C" w:rsidRPr="00C323E9" w:rsidRDefault="007F2F9C" w:rsidP="000B1950">
            <w:pPr>
              <w:spacing w:after="0" w:line="240" w:lineRule="auto"/>
              <w:jc w:val="center"/>
              <w:rPr>
                <w:rFonts w:eastAsia="Times New Roman" w:cs="Times New Roman"/>
                <w:b/>
                <w:bCs/>
                <w:sz w:val="20"/>
              </w:rPr>
            </w:pPr>
            <w:r w:rsidRPr="00C323E9">
              <w:rPr>
                <w:rFonts w:eastAsia="Times New Roman" w:cs="Times New Roman"/>
                <w:b/>
                <w:bCs/>
                <w:sz w:val="20"/>
              </w:rPr>
              <w:t>Carried By Indian vessels</w:t>
            </w:r>
          </w:p>
        </w:tc>
        <w:tc>
          <w:tcPr>
            <w:tcW w:w="566" w:type="pct"/>
            <w:vMerge/>
            <w:shd w:val="clear" w:color="auto" w:fill="auto"/>
            <w:vAlign w:val="center"/>
          </w:tcPr>
          <w:p w:rsidR="007F2F9C" w:rsidRPr="00C323E9" w:rsidRDefault="007F2F9C" w:rsidP="000B1950">
            <w:pPr>
              <w:spacing w:after="0" w:line="240" w:lineRule="auto"/>
              <w:jc w:val="center"/>
              <w:rPr>
                <w:rFonts w:cs="Times New Roman"/>
                <w:sz w:val="20"/>
                <w:u w:val="single"/>
              </w:rPr>
            </w:pPr>
          </w:p>
        </w:tc>
        <w:tc>
          <w:tcPr>
            <w:tcW w:w="654" w:type="pct"/>
            <w:vMerge/>
            <w:shd w:val="clear" w:color="auto" w:fill="auto"/>
            <w:vAlign w:val="center"/>
          </w:tcPr>
          <w:p w:rsidR="007F2F9C" w:rsidRPr="00C323E9" w:rsidRDefault="007F2F9C" w:rsidP="000B1950">
            <w:pPr>
              <w:spacing w:after="0" w:line="240" w:lineRule="auto"/>
              <w:jc w:val="center"/>
              <w:rPr>
                <w:rFonts w:cs="Times New Roman"/>
                <w:sz w:val="20"/>
                <w:u w:val="single"/>
              </w:rPr>
            </w:pPr>
          </w:p>
        </w:tc>
        <w:tc>
          <w:tcPr>
            <w:tcW w:w="477" w:type="pct"/>
            <w:vMerge/>
            <w:shd w:val="clear" w:color="auto" w:fill="auto"/>
            <w:vAlign w:val="center"/>
          </w:tcPr>
          <w:p w:rsidR="007F2F9C" w:rsidRPr="00C323E9" w:rsidRDefault="007F2F9C" w:rsidP="000B1950">
            <w:pPr>
              <w:spacing w:after="0" w:line="240" w:lineRule="auto"/>
              <w:jc w:val="center"/>
              <w:rPr>
                <w:rFonts w:cs="Times New Roman"/>
                <w:sz w:val="20"/>
                <w:u w:val="single"/>
              </w:rPr>
            </w:pPr>
          </w:p>
        </w:tc>
        <w:tc>
          <w:tcPr>
            <w:tcW w:w="559" w:type="pct"/>
            <w:vMerge/>
            <w:shd w:val="clear" w:color="auto" w:fill="auto"/>
            <w:vAlign w:val="center"/>
          </w:tcPr>
          <w:p w:rsidR="007F2F9C" w:rsidRPr="00C323E9" w:rsidRDefault="007F2F9C" w:rsidP="000B1950">
            <w:pPr>
              <w:spacing w:after="0" w:line="240" w:lineRule="auto"/>
              <w:jc w:val="center"/>
              <w:rPr>
                <w:rFonts w:cs="Times New Roman"/>
                <w:sz w:val="20"/>
                <w:u w:val="single"/>
              </w:rPr>
            </w:pPr>
          </w:p>
        </w:tc>
        <w:tc>
          <w:tcPr>
            <w:tcW w:w="714" w:type="pct"/>
            <w:vMerge/>
            <w:shd w:val="clear" w:color="auto" w:fill="auto"/>
            <w:vAlign w:val="center"/>
          </w:tcPr>
          <w:p w:rsidR="007F2F9C" w:rsidRPr="00C323E9" w:rsidRDefault="007F2F9C" w:rsidP="000B1950">
            <w:pPr>
              <w:spacing w:after="0" w:line="240" w:lineRule="auto"/>
              <w:jc w:val="center"/>
              <w:rPr>
                <w:rFonts w:cs="Times New Roman"/>
                <w:sz w:val="20"/>
                <w:u w:val="single"/>
              </w:rPr>
            </w:pPr>
          </w:p>
        </w:tc>
      </w:tr>
      <w:tr w:rsidR="007F2F9C" w:rsidRPr="000B1950" w:rsidTr="000B1950">
        <w:trPr>
          <w:trHeight w:val="20"/>
          <w:jc w:val="center"/>
        </w:trPr>
        <w:tc>
          <w:tcPr>
            <w:tcW w:w="57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w:t>
            </w:r>
          </w:p>
        </w:tc>
        <w:tc>
          <w:tcPr>
            <w:tcW w:w="843"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3</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2+3=4</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5</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6</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(5+6)=7</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w:t>
            </w:r>
            <w:r w:rsidR="007F2F9C" w:rsidRPr="00D10C92">
              <w:rPr>
                <w:rFonts w:cs="Times New Roman"/>
                <w:b/>
                <w:bCs/>
                <w:sz w:val="20"/>
              </w:rPr>
              <w:t>02</w:t>
            </w:r>
          </w:p>
        </w:tc>
        <w:tc>
          <w:tcPr>
            <w:tcW w:w="843" w:type="pct"/>
            <w:shd w:val="clear" w:color="auto" w:fill="auto"/>
            <w:vAlign w:val="center"/>
          </w:tcPr>
          <w:p w:rsidR="007F2F9C" w:rsidRPr="00C323E9" w:rsidRDefault="007F2F9C" w:rsidP="000B1950">
            <w:pPr>
              <w:spacing w:after="0" w:line="240" w:lineRule="auto"/>
              <w:jc w:val="center"/>
              <w:rPr>
                <w:rFonts w:eastAsia="Times New Roman" w:cs="Times New Roman"/>
                <w:bCs/>
                <w:sz w:val="20"/>
              </w:rPr>
            </w:pPr>
            <w:r w:rsidRPr="00C323E9">
              <w:rPr>
                <w:rFonts w:eastAsia="Times New Roman" w:cs="Times New Roman"/>
                <w:bCs/>
                <w:sz w:val="20"/>
              </w:rPr>
              <w:t>47,858</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58,170</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106,028</w:t>
            </w:r>
          </w:p>
        </w:tc>
        <w:tc>
          <w:tcPr>
            <w:tcW w:w="654" w:type="pct"/>
            <w:shd w:val="clear" w:color="auto" w:fill="auto"/>
            <w:vAlign w:val="center"/>
          </w:tcPr>
          <w:p w:rsidR="007F2F9C" w:rsidRPr="00C323E9" w:rsidRDefault="007F2F9C" w:rsidP="000B1950">
            <w:pPr>
              <w:tabs>
                <w:tab w:val="left" w:pos="330"/>
                <w:tab w:val="center" w:pos="669"/>
              </w:tabs>
              <w:spacing w:after="0" w:line="240" w:lineRule="auto"/>
              <w:jc w:val="center"/>
              <w:rPr>
                <w:rFonts w:cs="Times New Roman"/>
                <w:sz w:val="20"/>
              </w:rPr>
            </w:pPr>
            <w:r w:rsidRPr="00C323E9">
              <w:rPr>
                <w:rFonts w:cs="Times New Roman"/>
                <w:sz w:val="20"/>
              </w:rPr>
              <w:t>170</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258</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428</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45:55</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w:t>
            </w:r>
            <w:r w:rsidR="007F2F9C" w:rsidRPr="00D10C92">
              <w:rPr>
                <w:rFonts w:cs="Times New Roman"/>
                <w:b/>
                <w:bCs/>
                <w:sz w:val="20"/>
              </w:rPr>
              <w:t>03</w:t>
            </w:r>
          </w:p>
        </w:tc>
        <w:tc>
          <w:tcPr>
            <w:tcW w:w="843" w:type="pct"/>
            <w:shd w:val="clear" w:color="auto" w:fill="auto"/>
            <w:vAlign w:val="center"/>
          </w:tcPr>
          <w:p w:rsidR="007F2F9C" w:rsidRPr="00C323E9" w:rsidRDefault="007F2F9C" w:rsidP="000B1950">
            <w:pPr>
              <w:spacing w:after="0" w:line="240" w:lineRule="auto"/>
              <w:jc w:val="center"/>
              <w:rPr>
                <w:rFonts w:eastAsia="Times New Roman" w:cs="Times New Roman"/>
                <w:bCs/>
                <w:sz w:val="20"/>
              </w:rPr>
            </w:pPr>
            <w:r w:rsidRPr="00C323E9">
              <w:rPr>
                <w:rFonts w:eastAsia="Times New Roman" w:cs="Times New Roman"/>
                <w:bCs/>
                <w:sz w:val="20"/>
              </w:rPr>
              <w:t>122,335</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87,100</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209,435</w:t>
            </w:r>
          </w:p>
        </w:tc>
        <w:tc>
          <w:tcPr>
            <w:tcW w:w="654" w:type="pct"/>
            <w:shd w:val="clear" w:color="auto" w:fill="auto"/>
            <w:vAlign w:val="center"/>
          </w:tcPr>
          <w:p w:rsidR="007F2F9C" w:rsidRPr="00C323E9" w:rsidRDefault="007F2F9C" w:rsidP="000B1950">
            <w:pPr>
              <w:spacing w:after="0" w:line="240" w:lineRule="auto"/>
              <w:ind w:left="-108"/>
              <w:jc w:val="center"/>
              <w:rPr>
                <w:rFonts w:cs="Times New Roman"/>
                <w:sz w:val="20"/>
              </w:rPr>
            </w:pPr>
            <w:r w:rsidRPr="00C323E9">
              <w:rPr>
                <w:rFonts w:cs="Times New Roman"/>
                <w:sz w:val="20"/>
              </w:rPr>
              <w:t>458</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390</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848</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58:42</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FY200</w:t>
            </w:r>
            <w:r w:rsidR="007F2F9C" w:rsidRPr="00D10C92">
              <w:rPr>
                <w:rFonts w:cs="Times New Roman"/>
                <w:b/>
                <w:bCs/>
                <w:sz w:val="20"/>
              </w:rPr>
              <w:t>4</w:t>
            </w:r>
          </w:p>
        </w:tc>
        <w:tc>
          <w:tcPr>
            <w:tcW w:w="843" w:type="pct"/>
            <w:shd w:val="clear" w:color="auto" w:fill="auto"/>
            <w:vAlign w:val="center"/>
          </w:tcPr>
          <w:p w:rsidR="007F2F9C" w:rsidRPr="00C323E9" w:rsidRDefault="007F2F9C" w:rsidP="000B1950">
            <w:pPr>
              <w:spacing w:after="0" w:line="240" w:lineRule="auto"/>
              <w:jc w:val="center"/>
              <w:rPr>
                <w:rFonts w:eastAsia="Times New Roman" w:cs="Times New Roman"/>
                <w:bCs/>
                <w:sz w:val="20"/>
              </w:rPr>
            </w:pPr>
            <w:r w:rsidRPr="00C323E9">
              <w:rPr>
                <w:rFonts w:eastAsia="Times New Roman" w:cs="Times New Roman"/>
                <w:bCs/>
                <w:sz w:val="20"/>
              </w:rPr>
              <w:t>121,926</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61,627</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183,553</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372</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120</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492</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66:34</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FY200</w:t>
            </w:r>
            <w:r w:rsidR="007F2F9C" w:rsidRPr="00D10C92">
              <w:rPr>
                <w:rFonts w:cs="Times New Roman"/>
                <w:b/>
                <w:bCs/>
                <w:sz w:val="20"/>
              </w:rPr>
              <w:t>5</w:t>
            </w:r>
          </w:p>
        </w:tc>
        <w:tc>
          <w:tcPr>
            <w:tcW w:w="843"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376,839</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36,993</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413,832</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1,142</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90</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1,232</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91:09</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FY200</w:t>
            </w:r>
            <w:r w:rsidR="007F2F9C" w:rsidRPr="00D10C92">
              <w:rPr>
                <w:rFonts w:cs="Times New Roman"/>
                <w:b/>
                <w:bCs/>
                <w:sz w:val="20"/>
              </w:rPr>
              <w:t>6</w:t>
            </w:r>
          </w:p>
        </w:tc>
        <w:tc>
          <w:tcPr>
            <w:tcW w:w="843"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538,020</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538,020</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1,492</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00</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1,492</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100:00</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FY200</w:t>
            </w:r>
            <w:r w:rsidR="007F2F9C" w:rsidRPr="00D10C92">
              <w:rPr>
                <w:rFonts w:cs="Times New Roman"/>
                <w:b/>
                <w:bCs/>
                <w:sz w:val="20"/>
              </w:rPr>
              <w:t>7</w:t>
            </w:r>
          </w:p>
        </w:tc>
        <w:tc>
          <w:tcPr>
            <w:tcW w:w="843"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881,011</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881,011</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1,540</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00</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1,540</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100:00</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FY200</w:t>
            </w:r>
            <w:r w:rsidR="007F2F9C" w:rsidRPr="00D10C92">
              <w:rPr>
                <w:rFonts w:cs="Times New Roman"/>
                <w:b/>
                <w:bCs/>
                <w:sz w:val="20"/>
              </w:rPr>
              <w:t>8</w:t>
            </w:r>
          </w:p>
        </w:tc>
        <w:tc>
          <w:tcPr>
            <w:tcW w:w="843"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994,345</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1900</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996,245</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1,976</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02</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1,978</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99:01</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FY200</w:t>
            </w:r>
            <w:r w:rsidR="007F2F9C" w:rsidRPr="00D10C92">
              <w:rPr>
                <w:rFonts w:cs="Times New Roman"/>
                <w:b/>
                <w:bCs/>
                <w:sz w:val="20"/>
              </w:rPr>
              <w:t>9</w:t>
            </w:r>
          </w:p>
        </w:tc>
        <w:tc>
          <w:tcPr>
            <w:tcW w:w="843"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930,094</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14,328</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944,422</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1,329</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11</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1,340</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98:02</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w:t>
            </w:r>
            <w:r w:rsidR="007F2F9C" w:rsidRPr="00D10C92">
              <w:rPr>
                <w:rFonts w:cs="Times New Roman"/>
                <w:b/>
                <w:bCs/>
                <w:sz w:val="20"/>
              </w:rPr>
              <w:t>10</w:t>
            </w:r>
          </w:p>
        </w:tc>
        <w:tc>
          <w:tcPr>
            <w:tcW w:w="843"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127,7436</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4,474</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1,281,910</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1,918</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16</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1,934</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99:01</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w:t>
            </w:r>
            <w:r w:rsidR="007F2F9C" w:rsidRPr="00D10C92">
              <w:rPr>
                <w:rFonts w:cs="Times New Roman"/>
                <w:b/>
                <w:bCs/>
                <w:sz w:val="20"/>
              </w:rPr>
              <w:t>11</w:t>
            </w:r>
          </w:p>
        </w:tc>
        <w:tc>
          <w:tcPr>
            <w:tcW w:w="843" w:type="pct"/>
            <w:shd w:val="clear" w:color="auto" w:fill="auto"/>
            <w:vAlign w:val="center"/>
          </w:tcPr>
          <w:p w:rsidR="007F2F9C" w:rsidRPr="00C323E9" w:rsidRDefault="007F2F9C" w:rsidP="000B1950">
            <w:pPr>
              <w:spacing w:after="0" w:line="240" w:lineRule="auto"/>
              <w:ind w:left="-164"/>
              <w:jc w:val="center"/>
              <w:rPr>
                <w:rFonts w:cs="Times New Roman"/>
                <w:sz w:val="20"/>
              </w:rPr>
            </w:pPr>
            <w:r w:rsidRPr="00C323E9">
              <w:rPr>
                <w:rFonts w:cs="Times New Roman"/>
                <w:sz w:val="20"/>
              </w:rPr>
              <w:t>142,4767</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12,697</w:t>
            </w:r>
          </w:p>
        </w:tc>
        <w:tc>
          <w:tcPr>
            <w:tcW w:w="566" w:type="pct"/>
            <w:shd w:val="clear" w:color="auto" w:fill="auto"/>
            <w:vAlign w:val="center"/>
          </w:tcPr>
          <w:p w:rsidR="007F2F9C" w:rsidRPr="00C323E9" w:rsidRDefault="007F2F9C" w:rsidP="000B1950">
            <w:pPr>
              <w:spacing w:after="0" w:line="240" w:lineRule="auto"/>
              <w:ind w:left="-108"/>
              <w:jc w:val="center"/>
              <w:rPr>
                <w:rFonts w:cs="Times New Roman"/>
                <w:sz w:val="20"/>
              </w:rPr>
            </w:pPr>
            <w:r w:rsidRPr="00C323E9">
              <w:rPr>
                <w:rFonts w:cs="Times New Roman"/>
                <w:sz w:val="20"/>
              </w:rPr>
              <w:t>1,437,464</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2,063</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21</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2,084</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99:01</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jc w:val="center"/>
              <w:rPr>
                <w:rFonts w:cs="Times New Roman"/>
                <w:b/>
                <w:bCs/>
                <w:sz w:val="20"/>
              </w:rPr>
            </w:pPr>
            <w:r w:rsidRPr="00D10C92">
              <w:rPr>
                <w:rFonts w:cs="Times New Roman"/>
                <w:b/>
                <w:bCs/>
                <w:sz w:val="20"/>
              </w:rPr>
              <w:t>FY20</w:t>
            </w:r>
            <w:r w:rsidR="007F2F9C" w:rsidRPr="00D10C92">
              <w:rPr>
                <w:rFonts w:cs="Times New Roman"/>
                <w:b/>
                <w:bCs/>
                <w:sz w:val="20"/>
              </w:rPr>
              <w:t>12</w:t>
            </w:r>
          </w:p>
        </w:tc>
        <w:tc>
          <w:tcPr>
            <w:tcW w:w="843"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142,9444</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55,558</w:t>
            </w:r>
          </w:p>
        </w:tc>
        <w:tc>
          <w:tcPr>
            <w:tcW w:w="566"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1,485,002</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2,033</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36</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2,069</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96:04</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ind w:left="-108"/>
              <w:jc w:val="center"/>
              <w:rPr>
                <w:rFonts w:cs="Times New Roman"/>
                <w:b/>
                <w:bCs/>
                <w:sz w:val="20"/>
              </w:rPr>
            </w:pPr>
            <w:r w:rsidRPr="00D10C92">
              <w:rPr>
                <w:rFonts w:cs="Times New Roman"/>
                <w:b/>
                <w:bCs/>
                <w:sz w:val="20"/>
              </w:rPr>
              <w:t>FY20</w:t>
            </w:r>
            <w:r w:rsidR="007F2F9C" w:rsidRPr="00D10C92">
              <w:rPr>
                <w:rFonts w:cs="Times New Roman"/>
                <w:b/>
                <w:bCs/>
                <w:sz w:val="20"/>
              </w:rPr>
              <w:t>13</w:t>
            </w:r>
          </w:p>
        </w:tc>
        <w:tc>
          <w:tcPr>
            <w:tcW w:w="843" w:type="pct"/>
            <w:shd w:val="clear" w:color="auto" w:fill="auto"/>
            <w:vAlign w:val="center"/>
          </w:tcPr>
          <w:p w:rsidR="007F2F9C" w:rsidRPr="00C323E9" w:rsidRDefault="007F2F9C" w:rsidP="000B1950">
            <w:pPr>
              <w:spacing w:after="0" w:line="240" w:lineRule="auto"/>
              <w:ind w:left="-108"/>
              <w:jc w:val="center"/>
              <w:rPr>
                <w:rFonts w:cs="Times New Roman"/>
                <w:sz w:val="20"/>
              </w:rPr>
            </w:pPr>
            <w:r w:rsidRPr="00C323E9">
              <w:rPr>
                <w:rFonts w:cs="Times New Roman"/>
                <w:sz w:val="20"/>
              </w:rPr>
              <w:t>1,507,357</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46,661</w:t>
            </w:r>
          </w:p>
        </w:tc>
        <w:tc>
          <w:tcPr>
            <w:tcW w:w="566" w:type="pct"/>
            <w:shd w:val="clear" w:color="auto" w:fill="auto"/>
            <w:vAlign w:val="center"/>
          </w:tcPr>
          <w:p w:rsidR="007F2F9C" w:rsidRPr="00C323E9" w:rsidRDefault="007F2F9C" w:rsidP="000B1950">
            <w:pPr>
              <w:spacing w:after="0" w:line="240" w:lineRule="auto"/>
              <w:ind w:left="-52"/>
              <w:jc w:val="center"/>
              <w:rPr>
                <w:rFonts w:cs="Times New Roman"/>
                <w:bCs/>
                <w:sz w:val="20"/>
              </w:rPr>
            </w:pPr>
            <w:r w:rsidRPr="00C323E9">
              <w:rPr>
                <w:rFonts w:cs="Times New Roman"/>
                <w:bCs/>
                <w:sz w:val="20"/>
              </w:rPr>
              <w:t>1,554,018</w:t>
            </w:r>
          </w:p>
        </w:tc>
        <w:tc>
          <w:tcPr>
            <w:tcW w:w="65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1,977</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32</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2,009</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97.03</w:t>
            </w:r>
          </w:p>
        </w:tc>
      </w:tr>
      <w:tr w:rsidR="007F2F9C" w:rsidRPr="000B1950" w:rsidTr="000B1950">
        <w:trPr>
          <w:trHeight w:val="20"/>
          <w:jc w:val="center"/>
        </w:trPr>
        <w:tc>
          <w:tcPr>
            <w:tcW w:w="574" w:type="pct"/>
            <w:shd w:val="clear" w:color="auto" w:fill="auto"/>
            <w:vAlign w:val="center"/>
          </w:tcPr>
          <w:p w:rsidR="007F2F9C" w:rsidRPr="00D10C92" w:rsidRDefault="00E25DE2" w:rsidP="000B1950">
            <w:pPr>
              <w:spacing w:after="0" w:line="240" w:lineRule="auto"/>
              <w:ind w:left="-108"/>
              <w:jc w:val="center"/>
              <w:rPr>
                <w:rFonts w:cs="Times New Roman"/>
                <w:b/>
                <w:bCs/>
                <w:sz w:val="20"/>
              </w:rPr>
            </w:pPr>
            <w:r w:rsidRPr="00D10C92">
              <w:rPr>
                <w:rFonts w:cs="Times New Roman"/>
                <w:b/>
                <w:bCs/>
                <w:sz w:val="20"/>
              </w:rPr>
              <w:t>FY20</w:t>
            </w:r>
            <w:r w:rsidR="007F2F9C" w:rsidRPr="00D10C92">
              <w:rPr>
                <w:rFonts w:cs="Times New Roman"/>
                <w:b/>
                <w:bCs/>
                <w:sz w:val="20"/>
              </w:rPr>
              <w:t>14</w:t>
            </w:r>
          </w:p>
        </w:tc>
        <w:tc>
          <w:tcPr>
            <w:tcW w:w="843" w:type="pct"/>
            <w:shd w:val="clear" w:color="auto" w:fill="auto"/>
            <w:vAlign w:val="center"/>
          </w:tcPr>
          <w:p w:rsidR="007F2F9C" w:rsidRPr="00C323E9" w:rsidRDefault="007F2F9C" w:rsidP="000B1950">
            <w:pPr>
              <w:spacing w:after="0" w:line="240" w:lineRule="auto"/>
              <w:ind w:left="-108"/>
              <w:jc w:val="center"/>
              <w:rPr>
                <w:rFonts w:cs="Times New Roman"/>
                <w:sz w:val="20"/>
              </w:rPr>
            </w:pPr>
            <w:r w:rsidRPr="00C323E9">
              <w:rPr>
                <w:rFonts w:cs="Times New Roman"/>
                <w:sz w:val="20"/>
              </w:rPr>
              <w:t>1,912,622</w:t>
            </w:r>
          </w:p>
        </w:tc>
        <w:tc>
          <w:tcPr>
            <w:tcW w:w="6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bCs/>
                <w:sz w:val="20"/>
              </w:rPr>
              <w:t>21,327</w:t>
            </w:r>
          </w:p>
        </w:tc>
        <w:tc>
          <w:tcPr>
            <w:tcW w:w="566" w:type="pct"/>
            <w:shd w:val="clear" w:color="auto" w:fill="auto"/>
            <w:vAlign w:val="center"/>
          </w:tcPr>
          <w:p w:rsidR="007F2F9C" w:rsidRPr="00C323E9" w:rsidRDefault="007F2F9C" w:rsidP="000B1950">
            <w:pPr>
              <w:spacing w:after="0" w:line="240" w:lineRule="auto"/>
              <w:ind w:left="-52"/>
              <w:jc w:val="center"/>
              <w:rPr>
                <w:rFonts w:cs="Times New Roman"/>
                <w:bCs/>
                <w:sz w:val="20"/>
              </w:rPr>
            </w:pPr>
            <w:r w:rsidRPr="00C323E9">
              <w:rPr>
                <w:rFonts w:cs="Times New Roman"/>
                <w:sz w:val="20"/>
              </w:rPr>
              <w:t>1,933,949</w:t>
            </w:r>
          </w:p>
        </w:tc>
        <w:tc>
          <w:tcPr>
            <w:tcW w:w="654" w:type="pct"/>
            <w:shd w:val="clear" w:color="auto" w:fill="auto"/>
            <w:vAlign w:val="center"/>
          </w:tcPr>
          <w:p w:rsidR="007F2F9C" w:rsidRPr="00C323E9" w:rsidRDefault="007F2F9C" w:rsidP="000B1950">
            <w:pPr>
              <w:spacing w:after="0" w:line="240" w:lineRule="auto"/>
              <w:ind w:left="-52"/>
              <w:jc w:val="center"/>
              <w:rPr>
                <w:rFonts w:cs="Times New Roman"/>
                <w:bCs/>
                <w:sz w:val="20"/>
              </w:rPr>
            </w:pPr>
            <w:r w:rsidRPr="00C323E9">
              <w:rPr>
                <w:rFonts w:cs="Times New Roman"/>
                <w:sz w:val="20"/>
              </w:rPr>
              <w:t>2,332</w:t>
            </w:r>
          </w:p>
        </w:tc>
        <w:tc>
          <w:tcPr>
            <w:tcW w:w="477"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31</w:t>
            </w:r>
          </w:p>
        </w:tc>
        <w:tc>
          <w:tcPr>
            <w:tcW w:w="559"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2,363</w:t>
            </w:r>
          </w:p>
        </w:tc>
        <w:tc>
          <w:tcPr>
            <w:tcW w:w="714" w:type="pct"/>
            <w:shd w:val="clear" w:color="auto" w:fill="auto"/>
            <w:vAlign w:val="center"/>
          </w:tcPr>
          <w:p w:rsidR="007F2F9C" w:rsidRPr="00C323E9" w:rsidRDefault="007F2F9C" w:rsidP="000B1950">
            <w:pPr>
              <w:spacing w:after="0" w:line="240" w:lineRule="auto"/>
              <w:jc w:val="center"/>
              <w:rPr>
                <w:rFonts w:cs="Times New Roman"/>
                <w:sz w:val="20"/>
              </w:rPr>
            </w:pPr>
            <w:r w:rsidRPr="00C323E9">
              <w:rPr>
                <w:rFonts w:cs="Times New Roman"/>
                <w:sz w:val="20"/>
              </w:rPr>
              <w:t>99 :01</w:t>
            </w:r>
          </w:p>
        </w:tc>
      </w:tr>
    </w:tbl>
    <w:p w:rsidR="007F2F9C" w:rsidRPr="0009603E" w:rsidRDefault="007F2F9C" w:rsidP="000B1950">
      <w:pPr>
        <w:jc w:val="both"/>
        <w:rPr>
          <w:rFonts w:cs="Times New Roman"/>
          <w:b/>
          <w:bCs/>
          <w:i/>
          <w:iCs/>
        </w:rPr>
      </w:pPr>
      <w:r w:rsidRPr="00B3710D">
        <w:rPr>
          <w:rFonts w:cs="Times New Roman"/>
          <w:b/>
          <w:bCs/>
          <w:i/>
          <w:iCs/>
          <w:sz w:val="20"/>
          <w:szCs w:val="20"/>
        </w:rPr>
        <w:t>Source: Traffic Department, BIWTA</w:t>
      </w:r>
    </w:p>
    <w:p w:rsidR="007F2F9C" w:rsidRDefault="007F2F9C" w:rsidP="000B1950">
      <w:pPr>
        <w:jc w:val="both"/>
        <w:rPr>
          <w:rFonts w:cs="Times New Roman"/>
          <w:szCs w:val="24"/>
        </w:rPr>
      </w:pPr>
      <w:r>
        <w:rPr>
          <w:rFonts w:cs="Times New Roman"/>
          <w:szCs w:val="24"/>
        </w:rPr>
        <w:t xml:space="preserve">Table </w:t>
      </w:r>
      <w:r w:rsidR="00901C1C">
        <w:rPr>
          <w:rFonts w:cs="Times New Roman"/>
          <w:szCs w:val="24"/>
        </w:rPr>
        <w:t>9.</w:t>
      </w:r>
      <w:r w:rsidR="00F37660">
        <w:rPr>
          <w:rFonts w:cs="Times New Roman"/>
          <w:szCs w:val="24"/>
        </w:rPr>
        <w:t>30</w:t>
      </w:r>
      <w:r w:rsidRPr="00924255">
        <w:rPr>
          <w:rFonts w:cs="Times New Roman"/>
          <w:szCs w:val="24"/>
        </w:rPr>
        <w:t xml:space="preserve"> shows total </w:t>
      </w:r>
      <w:r w:rsidR="00FE6385">
        <w:rPr>
          <w:rFonts w:cs="Times New Roman"/>
          <w:szCs w:val="24"/>
        </w:rPr>
        <w:t>tonn</w:t>
      </w:r>
      <w:r w:rsidRPr="00924255">
        <w:rPr>
          <w:rFonts w:cs="Times New Roman"/>
          <w:szCs w:val="24"/>
        </w:rPr>
        <w:t>age of cargo of bilateral trade transported in inland waterways under provisions of PIWTT.</w:t>
      </w:r>
    </w:p>
    <w:p w:rsidR="007F2F9C" w:rsidRPr="00924255" w:rsidRDefault="007F2F9C" w:rsidP="0036657D">
      <w:pPr>
        <w:pStyle w:val="Heading4"/>
      </w:pPr>
      <w:bookmarkStart w:id="711" w:name="_Toc474639096"/>
      <w:r>
        <w:t xml:space="preserve">Table </w:t>
      </w:r>
      <w:r w:rsidR="00901C1C">
        <w:t>9.</w:t>
      </w:r>
      <w:r w:rsidR="00F37660">
        <w:t>30</w:t>
      </w:r>
      <w:r w:rsidRPr="00924255">
        <w:t xml:space="preserve">: Cargo of India-Bangladesh Bilateral Trade (in </w:t>
      </w:r>
      <w:r w:rsidR="00FE6385">
        <w:t>tonne</w:t>
      </w:r>
      <w:r w:rsidRPr="00924255">
        <w:t>)</w:t>
      </w:r>
      <w:bookmarkEnd w:id="711"/>
    </w:p>
    <w:tbl>
      <w:tblPr>
        <w:tblStyle w:val="LightShading10"/>
        <w:tblW w:w="5000" w:type="pct"/>
        <w:tblLook w:val="04A0"/>
      </w:tblPr>
      <w:tblGrid>
        <w:gridCol w:w="2189"/>
        <w:gridCol w:w="2089"/>
        <w:gridCol w:w="2649"/>
        <w:gridCol w:w="2649"/>
      </w:tblGrid>
      <w:tr w:rsidR="007F2F9C" w:rsidRPr="006B433D" w:rsidTr="006B433D">
        <w:trPr>
          <w:cnfStyle w:val="100000000000"/>
        </w:trPr>
        <w:tc>
          <w:tcPr>
            <w:cnfStyle w:val="001000000000"/>
            <w:tcW w:w="1143" w:type="pct"/>
          </w:tcPr>
          <w:p w:rsidR="007F2F9C" w:rsidRPr="00D10C92" w:rsidRDefault="007F2F9C" w:rsidP="00AE5E20">
            <w:pPr>
              <w:spacing w:line="276" w:lineRule="auto"/>
              <w:jc w:val="both"/>
              <w:rPr>
                <w:rFonts w:ascii="Times New Roman" w:hAnsi="Times New Roman"/>
                <w:sz w:val="22"/>
                <w:szCs w:val="24"/>
              </w:rPr>
            </w:pPr>
            <w:r w:rsidRPr="00D10C92">
              <w:rPr>
                <w:rFonts w:ascii="Times New Roman" w:hAnsi="Times New Roman"/>
                <w:sz w:val="22"/>
                <w:szCs w:val="24"/>
              </w:rPr>
              <w:t>Year</w:t>
            </w:r>
          </w:p>
        </w:tc>
        <w:tc>
          <w:tcPr>
            <w:tcW w:w="1091" w:type="pct"/>
          </w:tcPr>
          <w:p w:rsidR="007F2F9C" w:rsidRPr="00D10C92" w:rsidRDefault="007F2F9C" w:rsidP="00AE5E20">
            <w:pPr>
              <w:spacing w:line="276" w:lineRule="auto"/>
              <w:jc w:val="center"/>
              <w:cnfStyle w:val="100000000000"/>
              <w:rPr>
                <w:rFonts w:ascii="Times New Roman" w:hAnsi="Times New Roman"/>
                <w:sz w:val="22"/>
                <w:szCs w:val="24"/>
              </w:rPr>
            </w:pPr>
            <w:r w:rsidRPr="00D10C92">
              <w:rPr>
                <w:rFonts w:ascii="Times New Roman" w:hAnsi="Times New Roman"/>
                <w:sz w:val="22"/>
                <w:szCs w:val="24"/>
              </w:rPr>
              <w:t>Indian Vessel</w:t>
            </w:r>
          </w:p>
        </w:tc>
        <w:tc>
          <w:tcPr>
            <w:tcW w:w="1383" w:type="pct"/>
          </w:tcPr>
          <w:p w:rsidR="007F2F9C" w:rsidRPr="00D10C92" w:rsidRDefault="007F2F9C" w:rsidP="00AE5E20">
            <w:pPr>
              <w:spacing w:line="276" w:lineRule="auto"/>
              <w:jc w:val="center"/>
              <w:cnfStyle w:val="100000000000"/>
              <w:rPr>
                <w:rFonts w:ascii="Times New Roman" w:hAnsi="Times New Roman"/>
                <w:sz w:val="22"/>
                <w:szCs w:val="24"/>
              </w:rPr>
            </w:pPr>
            <w:r w:rsidRPr="00D10C92">
              <w:rPr>
                <w:rFonts w:ascii="Times New Roman" w:hAnsi="Times New Roman"/>
                <w:sz w:val="22"/>
                <w:szCs w:val="24"/>
              </w:rPr>
              <w:t>Bangladesh Vessel</w:t>
            </w:r>
          </w:p>
        </w:tc>
        <w:tc>
          <w:tcPr>
            <w:tcW w:w="1383" w:type="pct"/>
          </w:tcPr>
          <w:p w:rsidR="007F2F9C" w:rsidRPr="00D10C92" w:rsidRDefault="007F2F9C" w:rsidP="00AE5E20">
            <w:pPr>
              <w:spacing w:line="276" w:lineRule="auto"/>
              <w:jc w:val="center"/>
              <w:cnfStyle w:val="100000000000"/>
              <w:rPr>
                <w:rFonts w:ascii="Times New Roman" w:hAnsi="Times New Roman"/>
                <w:sz w:val="22"/>
                <w:szCs w:val="24"/>
              </w:rPr>
            </w:pPr>
            <w:r w:rsidRPr="00D10C92">
              <w:rPr>
                <w:rFonts w:ascii="Times New Roman" w:hAnsi="Times New Roman"/>
                <w:sz w:val="22"/>
                <w:szCs w:val="24"/>
              </w:rPr>
              <w:t>Total</w:t>
            </w:r>
          </w:p>
        </w:tc>
      </w:tr>
      <w:tr w:rsidR="007F2F9C" w:rsidRPr="006B433D" w:rsidTr="006B433D">
        <w:trPr>
          <w:cnfStyle w:val="000000100000"/>
        </w:trPr>
        <w:tc>
          <w:tcPr>
            <w:cnfStyle w:val="001000000000"/>
            <w:tcW w:w="1143"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FY200</w:t>
            </w:r>
            <w:r w:rsidR="007F2F9C" w:rsidRPr="006B433D">
              <w:rPr>
                <w:rFonts w:ascii="Times New Roman" w:hAnsi="Times New Roman"/>
                <w:bCs w:val="0"/>
                <w:sz w:val="22"/>
                <w:szCs w:val="24"/>
              </w:rPr>
              <w:t>7</w:t>
            </w:r>
          </w:p>
        </w:tc>
        <w:tc>
          <w:tcPr>
            <w:tcW w:w="1091"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w:t>
            </w:r>
          </w:p>
        </w:tc>
        <w:tc>
          <w:tcPr>
            <w:tcW w:w="1383"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881,011</w:t>
            </w:r>
          </w:p>
        </w:tc>
        <w:tc>
          <w:tcPr>
            <w:tcW w:w="1383"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881,011</w:t>
            </w:r>
          </w:p>
        </w:tc>
      </w:tr>
      <w:tr w:rsidR="007F2F9C" w:rsidRPr="006B433D" w:rsidTr="006B433D">
        <w:tc>
          <w:tcPr>
            <w:cnfStyle w:val="001000000000"/>
            <w:tcW w:w="1143"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FY200</w:t>
            </w:r>
            <w:r w:rsidR="007F2F9C" w:rsidRPr="006B433D">
              <w:rPr>
                <w:rFonts w:ascii="Times New Roman" w:hAnsi="Times New Roman"/>
                <w:bCs w:val="0"/>
                <w:sz w:val="22"/>
                <w:szCs w:val="24"/>
              </w:rPr>
              <w:t>8</w:t>
            </w:r>
          </w:p>
        </w:tc>
        <w:tc>
          <w:tcPr>
            <w:tcW w:w="1091"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1,900</w:t>
            </w:r>
          </w:p>
        </w:tc>
        <w:tc>
          <w:tcPr>
            <w:tcW w:w="1383"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994,345</w:t>
            </w:r>
          </w:p>
        </w:tc>
        <w:tc>
          <w:tcPr>
            <w:tcW w:w="1383"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996,245</w:t>
            </w:r>
          </w:p>
        </w:tc>
      </w:tr>
      <w:tr w:rsidR="007F2F9C" w:rsidRPr="006B433D" w:rsidTr="006B433D">
        <w:trPr>
          <w:cnfStyle w:val="000000100000"/>
        </w:trPr>
        <w:tc>
          <w:tcPr>
            <w:cnfStyle w:val="001000000000"/>
            <w:tcW w:w="1143"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FY200</w:t>
            </w:r>
            <w:r w:rsidR="007F2F9C" w:rsidRPr="006B433D">
              <w:rPr>
                <w:rFonts w:ascii="Times New Roman" w:hAnsi="Times New Roman"/>
                <w:bCs w:val="0"/>
                <w:sz w:val="22"/>
                <w:szCs w:val="24"/>
              </w:rPr>
              <w:t>9</w:t>
            </w:r>
          </w:p>
        </w:tc>
        <w:tc>
          <w:tcPr>
            <w:tcW w:w="1091"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w:t>
            </w:r>
          </w:p>
        </w:tc>
        <w:tc>
          <w:tcPr>
            <w:tcW w:w="1383"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930,094</w:t>
            </w:r>
          </w:p>
        </w:tc>
        <w:tc>
          <w:tcPr>
            <w:tcW w:w="1383"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930,094</w:t>
            </w:r>
          </w:p>
        </w:tc>
      </w:tr>
      <w:tr w:rsidR="007F2F9C" w:rsidRPr="006B433D" w:rsidTr="006B433D">
        <w:tc>
          <w:tcPr>
            <w:cnfStyle w:val="001000000000"/>
            <w:tcW w:w="1143"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10</w:t>
            </w:r>
          </w:p>
        </w:tc>
        <w:tc>
          <w:tcPr>
            <w:tcW w:w="1091"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w:t>
            </w:r>
          </w:p>
        </w:tc>
        <w:tc>
          <w:tcPr>
            <w:tcW w:w="1383"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1,277,436</w:t>
            </w:r>
          </w:p>
        </w:tc>
        <w:tc>
          <w:tcPr>
            <w:tcW w:w="1383"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1,277,436</w:t>
            </w:r>
          </w:p>
        </w:tc>
      </w:tr>
      <w:tr w:rsidR="007F2F9C" w:rsidRPr="006B433D" w:rsidTr="006B433D">
        <w:trPr>
          <w:cnfStyle w:val="000000100000"/>
        </w:trPr>
        <w:tc>
          <w:tcPr>
            <w:cnfStyle w:val="001000000000"/>
            <w:tcW w:w="1143"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11</w:t>
            </w:r>
          </w:p>
        </w:tc>
        <w:tc>
          <w:tcPr>
            <w:tcW w:w="1091"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12,697</w:t>
            </w:r>
          </w:p>
        </w:tc>
        <w:tc>
          <w:tcPr>
            <w:tcW w:w="1383"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1,424,176</w:t>
            </w:r>
          </w:p>
        </w:tc>
        <w:tc>
          <w:tcPr>
            <w:tcW w:w="1383"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1,4,36,873</w:t>
            </w:r>
          </w:p>
        </w:tc>
      </w:tr>
      <w:tr w:rsidR="007F2F9C" w:rsidRPr="006B433D" w:rsidTr="006B433D">
        <w:tc>
          <w:tcPr>
            <w:cnfStyle w:val="001000000000"/>
            <w:tcW w:w="1143"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12</w:t>
            </w:r>
          </w:p>
        </w:tc>
        <w:tc>
          <w:tcPr>
            <w:tcW w:w="1091"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55,558</w:t>
            </w:r>
          </w:p>
        </w:tc>
        <w:tc>
          <w:tcPr>
            <w:tcW w:w="1383"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1,429,443</w:t>
            </w:r>
          </w:p>
        </w:tc>
        <w:tc>
          <w:tcPr>
            <w:tcW w:w="1383"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1,485,001</w:t>
            </w:r>
          </w:p>
        </w:tc>
      </w:tr>
      <w:tr w:rsidR="007F2F9C" w:rsidRPr="006B433D" w:rsidTr="006B433D">
        <w:trPr>
          <w:cnfStyle w:val="000000100000"/>
        </w:trPr>
        <w:tc>
          <w:tcPr>
            <w:cnfStyle w:val="001000000000"/>
            <w:tcW w:w="1143"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13</w:t>
            </w:r>
          </w:p>
        </w:tc>
        <w:tc>
          <w:tcPr>
            <w:tcW w:w="1091"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39,256</w:t>
            </w:r>
          </w:p>
        </w:tc>
        <w:tc>
          <w:tcPr>
            <w:tcW w:w="1383"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1,507,357</w:t>
            </w:r>
          </w:p>
        </w:tc>
        <w:tc>
          <w:tcPr>
            <w:tcW w:w="1383" w:type="pct"/>
          </w:tcPr>
          <w:p w:rsidR="007F2F9C" w:rsidRPr="006B433D" w:rsidRDefault="007F2F9C" w:rsidP="00AE5E20">
            <w:pPr>
              <w:spacing w:after="0" w:line="276" w:lineRule="auto"/>
              <w:jc w:val="center"/>
              <w:cnfStyle w:val="000000100000"/>
              <w:rPr>
                <w:rFonts w:ascii="Times New Roman" w:hAnsi="Times New Roman"/>
                <w:sz w:val="22"/>
                <w:szCs w:val="24"/>
              </w:rPr>
            </w:pPr>
            <w:r w:rsidRPr="006B433D">
              <w:rPr>
                <w:rFonts w:ascii="Times New Roman" w:hAnsi="Times New Roman"/>
                <w:sz w:val="22"/>
                <w:szCs w:val="24"/>
              </w:rPr>
              <w:t>1,546,613</w:t>
            </w:r>
          </w:p>
        </w:tc>
      </w:tr>
      <w:tr w:rsidR="007F2F9C" w:rsidRPr="006B433D" w:rsidTr="006B433D">
        <w:tc>
          <w:tcPr>
            <w:cnfStyle w:val="001000000000"/>
            <w:tcW w:w="1143"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14</w:t>
            </w:r>
          </w:p>
        </w:tc>
        <w:tc>
          <w:tcPr>
            <w:tcW w:w="1091"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18,953</w:t>
            </w:r>
          </w:p>
        </w:tc>
        <w:tc>
          <w:tcPr>
            <w:tcW w:w="1383"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1,912,622</w:t>
            </w:r>
          </w:p>
        </w:tc>
        <w:tc>
          <w:tcPr>
            <w:tcW w:w="1383" w:type="pct"/>
          </w:tcPr>
          <w:p w:rsidR="007F2F9C" w:rsidRPr="006B433D" w:rsidRDefault="007F2F9C" w:rsidP="00AE5E20">
            <w:pPr>
              <w:spacing w:after="0" w:line="276" w:lineRule="auto"/>
              <w:jc w:val="center"/>
              <w:cnfStyle w:val="000000000000"/>
              <w:rPr>
                <w:rFonts w:ascii="Times New Roman" w:hAnsi="Times New Roman"/>
                <w:sz w:val="22"/>
                <w:szCs w:val="24"/>
              </w:rPr>
            </w:pPr>
            <w:r w:rsidRPr="006B433D">
              <w:rPr>
                <w:rFonts w:ascii="Times New Roman" w:hAnsi="Times New Roman"/>
                <w:sz w:val="22"/>
                <w:szCs w:val="24"/>
              </w:rPr>
              <w:t>1,931,575</w:t>
            </w:r>
          </w:p>
        </w:tc>
      </w:tr>
    </w:tbl>
    <w:p w:rsidR="007F2F9C" w:rsidRPr="0093318C" w:rsidRDefault="007F2F9C" w:rsidP="000B1950">
      <w:pPr>
        <w:rPr>
          <w:rFonts w:cs="Times New Roman"/>
          <w:b/>
          <w:bCs/>
          <w:i/>
          <w:iCs/>
          <w:sz w:val="20"/>
          <w:szCs w:val="20"/>
        </w:rPr>
      </w:pPr>
      <w:r w:rsidRPr="0093318C">
        <w:rPr>
          <w:rFonts w:cs="Times New Roman"/>
          <w:b/>
          <w:bCs/>
          <w:i/>
          <w:iCs/>
          <w:sz w:val="20"/>
          <w:szCs w:val="20"/>
        </w:rPr>
        <w:t xml:space="preserve">      Source: Traffic Department, BIWTA</w:t>
      </w:r>
    </w:p>
    <w:p w:rsidR="00C323E9" w:rsidRPr="008C0909" w:rsidRDefault="007F2F9C" w:rsidP="000B1950">
      <w:pPr>
        <w:spacing w:line="276" w:lineRule="auto"/>
        <w:jc w:val="both"/>
        <w:rPr>
          <w:rFonts w:cs="Times New Roman"/>
          <w:szCs w:val="24"/>
        </w:rPr>
      </w:pPr>
      <w:r w:rsidRPr="00C8514C">
        <w:rPr>
          <w:rFonts w:cs="Times New Roman"/>
          <w:szCs w:val="24"/>
        </w:rPr>
        <w:t>It is very apparent that growth of inter-country trade cargo is very attractive.</w:t>
      </w:r>
      <w:r w:rsidRPr="00924255">
        <w:rPr>
          <w:rFonts w:cs="Times New Roman"/>
          <w:szCs w:val="24"/>
        </w:rPr>
        <w:t xml:space="preserve"> Total </w:t>
      </w:r>
      <w:r w:rsidR="00FE6385">
        <w:rPr>
          <w:rFonts w:cs="Times New Roman"/>
          <w:szCs w:val="24"/>
        </w:rPr>
        <w:t>tonn</w:t>
      </w:r>
      <w:r w:rsidRPr="00924255">
        <w:rPr>
          <w:rFonts w:cs="Times New Roman"/>
          <w:szCs w:val="24"/>
        </w:rPr>
        <w:t xml:space="preserve">age was more than 19 </w:t>
      </w:r>
      <w:r w:rsidR="002611D1" w:rsidRPr="00924255">
        <w:rPr>
          <w:rFonts w:cs="Times New Roman"/>
          <w:szCs w:val="24"/>
        </w:rPr>
        <w:t>l</w:t>
      </w:r>
      <w:r w:rsidR="002611D1">
        <w:rPr>
          <w:rFonts w:cs="Times New Roman"/>
          <w:szCs w:val="24"/>
        </w:rPr>
        <w:t>ac</w:t>
      </w:r>
      <w:r w:rsidR="002611D1" w:rsidRPr="00924255">
        <w:rPr>
          <w:rFonts w:cs="Times New Roman"/>
          <w:szCs w:val="24"/>
        </w:rPr>
        <w:t xml:space="preserve"> </w:t>
      </w:r>
      <w:r w:rsidRPr="00924255">
        <w:rPr>
          <w:rFonts w:cs="Times New Roman"/>
          <w:szCs w:val="24"/>
        </w:rPr>
        <w:t xml:space="preserve">in 2013-2014 as against about </w:t>
      </w:r>
      <w:r w:rsidR="002611D1">
        <w:rPr>
          <w:rFonts w:cs="Times New Roman"/>
          <w:szCs w:val="24"/>
        </w:rPr>
        <w:t xml:space="preserve">nine </w:t>
      </w:r>
      <w:r w:rsidR="002611D1" w:rsidRPr="00924255">
        <w:rPr>
          <w:rFonts w:cs="Times New Roman"/>
          <w:szCs w:val="24"/>
        </w:rPr>
        <w:t>la</w:t>
      </w:r>
      <w:r w:rsidR="002611D1">
        <w:rPr>
          <w:rFonts w:cs="Times New Roman"/>
          <w:szCs w:val="24"/>
        </w:rPr>
        <w:t xml:space="preserve">c </w:t>
      </w:r>
      <w:r w:rsidRPr="00924255">
        <w:rPr>
          <w:rFonts w:cs="Times New Roman"/>
          <w:szCs w:val="24"/>
        </w:rPr>
        <w:t xml:space="preserve">in 2006-2007. </w:t>
      </w:r>
    </w:p>
    <w:p w:rsidR="007F2F9C" w:rsidRPr="00C86776" w:rsidRDefault="007F2F9C" w:rsidP="006B433D">
      <w:pPr>
        <w:spacing w:line="276" w:lineRule="auto"/>
        <w:jc w:val="both"/>
        <w:rPr>
          <w:rFonts w:cs="Times New Roman"/>
          <w:b/>
          <w:i/>
          <w:iCs/>
          <w:szCs w:val="24"/>
        </w:rPr>
      </w:pPr>
      <w:r w:rsidRPr="00C86776">
        <w:rPr>
          <w:rFonts w:cs="Times New Roman"/>
          <w:b/>
          <w:i/>
          <w:iCs/>
          <w:szCs w:val="24"/>
        </w:rPr>
        <w:t>Cargo of Transit Trade</w:t>
      </w:r>
    </w:p>
    <w:p w:rsidR="007F2F9C" w:rsidRDefault="007F2F9C" w:rsidP="000B1950">
      <w:pPr>
        <w:spacing w:line="276" w:lineRule="auto"/>
        <w:jc w:val="both"/>
        <w:rPr>
          <w:rFonts w:cs="Times New Roman"/>
          <w:szCs w:val="24"/>
        </w:rPr>
      </w:pPr>
      <w:r w:rsidRPr="00924255">
        <w:rPr>
          <w:rFonts w:cs="Times New Roman"/>
          <w:szCs w:val="24"/>
        </w:rPr>
        <w:t xml:space="preserve">There are five transit routes under the Protocol: </w:t>
      </w:r>
    </w:p>
    <w:p w:rsidR="007F2F9C" w:rsidRPr="00CD4186" w:rsidRDefault="007F2F9C" w:rsidP="00D6486D">
      <w:pPr>
        <w:pStyle w:val="ListParagraph"/>
        <w:numPr>
          <w:ilvl w:val="0"/>
          <w:numId w:val="87"/>
        </w:numPr>
        <w:spacing w:line="276" w:lineRule="auto"/>
        <w:ind w:left="360" w:hanging="360"/>
        <w:jc w:val="both"/>
        <w:rPr>
          <w:rFonts w:cs="Times New Roman"/>
          <w:szCs w:val="24"/>
        </w:rPr>
      </w:pPr>
      <w:r w:rsidRPr="00CD4186">
        <w:rPr>
          <w:rFonts w:cs="Times New Roman"/>
          <w:szCs w:val="24"/>
        </w:rPr>
        <w:t>Kolkata- Pandu</w:t>
      </w:r>
    </w:p>
    <w:p w:rsidR="007F2F9C" w:rsidRPr="00CD4186" w:rsidRDefault="007F2F9C" w:rsidP="00D6486D">
      <w:pPr>
        <w:pStyle w:val="ListParagraph"/>
        <w:numPr>
          <w:ilvl w:val="0"/>
          <w:numId w:val="87"/>
        </w:numPr>
        <w:spacing w:line="276" w:lineRule="auto"/>
        <w:ind w:left="360" w:hanging="360"/>
        <w:jc w:val="both"/>
        <w:rPr>
          <w:rFonts w:cs="Times New Roman"/>
          <w:szCs w:val="24"/>
        </w:rPr>
      </w:pPr>
      <w:r w:rsidRPr="00CD4186">
        <w:rPr>
          <w:rFonts w:cs="Times New Roman"/>
          <w:szCs w:val="24"/>
        </w:rPr>
        <w:lastRenderedPageBreak/>
        <w:t>Pandu- Kolkata</w:t>
      </w:r>
    </w:p>
    <w:p w:rsidR="007F2F9C" w:rsidRPr="00CD4186" w:rsidRDefault="007F2F9C" w:rsidP="00D6486D">
      <w:pPr>
        <w:pStyle w:val="ListParagraph"/>
        <w:numPr>
          <w:ilvl w:val="0"/>
          <w:numId w:val="87"/>
        </w:numPr>
        <w:spacing w:line="276" w:lineRule="auto"/>
        <w:ind w:left="360" w:hanging="360"/>
        <w:jc w:val="both"/>
        <w:rPr>
          <w:rFonts w:cs="Times New Roman"/>
          <w:szCs w:val="24"/>
        </w:rPr>
      </w:pPr>
      <w:r w:rsidRPr="00CD4186">
        <w:rPr>
          <w:rFonts w:cs="Times New Roman"/>
          <w:szCs w:val="24"/>
        </w:rPr>
        <w:t>Kolkata- Karimganj</w:t>
      </w:r>
    </w:p>
    <w:p w:rsidR="007F2F9C" w:rsidRPr="00CD4186" w:rsidRDefault="007F2F9C" w:rsidP="00D6486D">
      <w:pPr>
        <w:pStyle w:val="ListParagraph"/>
        <w:numPr>
          <w:ilvl w:val="0"/>
          <w:numId w:val="87"/>
        </w:numPr>
        <w:spacing w:line="276" w:lineRule="auto"/>
        <w:ind w:left="360" w:hanging="360"/>
        <w:jc w:val="both"/>
        <w:rPr>
          <w:rFonts w:cs="Times New Roman"/>
          <w:szCs w:val="24"/>
        </w:rPr>
      </w:pPr>
      <w:r w:rsidRPr="00CD4186">
        <w:rPr>
          <w:rFonts w:cs="Times New Roman"/>
          <w:szCs w:val="24"/>
        </w:rPr>
        <w:t>Karimganj- Kolkata and</w:t>
      </w:r>
    </w:p>
    <w:p w:rsidR="007F2F9C" w:rsidRPr="00CD4186" w:rsidRDefault="007F2F9C" w:rsidP="00D6486D">
      <w:pPr>
        <w:pStyle w:val="ListParagraph"/>
        <w:numPr>
          <w:ilvl w:val="0"/>
          <w:numId w:val="87"/>
        </w:numPr>
        <w:spacing w:line="276" w:lineRule="auto"/>
        <w:ind w:left="360" w:hanging="360"/>
        <w:jc w:val="both"/>
        <w:rPr>
          <w:rFonts w:cs="Times New Roman"/>
          <w:szCs w:val="24"/>
        </w:rPr>
      </w:pPr>
      <w:r w:rsidRPr="00CD4186">
        <w:rPr>
          <w:rFonts w:cs="Times New Roman"/>
          <w:szCs w:val="24"/>
        </w:rPr>
        <w:t xml:space="preserve">Karimganj- Pandu. </w:t>
      </w:r>
    </w:p>
    <w:p w:rsidR="007F2F9C" w:rsidRDefault="007F2F9C" w:rsidP="000B1950">
      <w:pPr>
        <w:spacing w:line="276" w:lineRule="auto"/>
        <w:jc w:val="both"/>
        <w:rPr>
          <w:rFonts w:cs="Times New Roman"/>
          <w:szCs w:val="24"/>
        </w:rPr>
      </w:pPr>
      <w:r w:rsidRPr="00924255">
        <w:rPr>
          <w:rFonts w:cs="Times New Roman"/>
          <w:szCs w:val="24"/>
        </w:rPr>
        <w:t>The volume of cargo of transit trade transported mainly between Kolkata and Karimganj and between Kolkata and Pandu in recen</w:t>
      </w:r>
      <w:r>
        <w:rPr>
          <w:rFonts w:cs="Times New Roman"/>
          <w:szCs w:val="24"/>
        </w:rPr>
        <w:t xml:space="preserve">t years is presented in Table </w:t>
      </w:r>
      <w:r w:rsidR="00901C1C">
        <w:rPr>
          <w:rFonts w:cs="Times New Roman"/>
          <w:szCs w:val="24"/>
        </w:rPr>
        <w:t>9.</w:t>
      </w:r>
      <w:r w:rsidR="00F37660">
        <w:rPr>
          <w:rFonts w:cs="Times New Roman"/>
          <w:szCs w:val="24"/>
        </w:rPr>
        <w:t>31</w:t>
      </w:r>
      <w:r>
        <w:rPr>
          <w:rFonts w:cs="Times New Roman"/>
          <w:szCs w:val="24"/>
        </w:rPr>
        <w:t xml:space="preserve">. </w:t>
      </w:r>
      <w:r w:rsidRPr="00924255">
        <w:rPr>
          <w:rFonts w:cs="Times New Roman"/>
          <w:szCs w:val="24"/>
        </w:rPr>
        <w:t xml:space="preserve">The </w:t>
      </w:r>
      <w:r>
        <w:rPr>
          <w:rFonts w:cs="Times New Roman"/>
          <w:szCs w:val="24"/>
        </w:rPr>
        <w:t xml:space="preserve">discontinuous pattern of transit trade through IWT </w:t>
      </w:r>
      <w:r w:rsidRPr="00924255">
        <w:rPr>
          <w:rFonts w:cs="Times New Roman"/>
          <w:szCs w:val="24"/>
        </w:rPr>
        <w:t xml:space="preserve">above Table shows </w:t>
      </w:r>
      <w:r w:rsidR="002611D1">
        <w:rPr>
          <w:rFonts w:cs="Times New Roman"/>
          <w:szCs w:val="24"/>
        </w:rPr>
        <w:t>high fluctuations</w:t>
      </w:r>
      <w:r w:rsidR="002611D1" w:rsidRPr="00924255">
        <w:rPr>
          <w:rFonts w:cs="Times New Roman"/>
          <w:szCs w:val="24"/>
        </w:rPr>
        <w:t xml:space="preserve"> </w:t>
      </w:r>
      <w:r w:rsidRPr="00924255">
        <w:rPr>
          <w:rFonts w:cs="Times New Roman"/>
          <w:szCs w:val="24"/>
        </w:rPr>
        <w:t>in transit trade</w:t>
      </w:r>
      <w:r w:rsidR="002611D1">
        <w:rPr>
          <w:rFonts w:cs="Times New Roman"/>
          <w:szCs w:val="24"/>
        </w:rPr>
        <w:t xml:space="preserve">. </w:t>
      </w:r>
    </w:p>
    <w:p w:rsidR="007F2F9C" w:rsidRPr="00924255" w:rsidRDefault="007F2F9C" w:rsidP="0036657D">
      <w:pPr>
        <w:pStyle w:val="Heading4"/>
      </w:pPr>
      <w:bookmarkStart w:id="712" w:name="_Toc474639097"/>
      <w:r>
        <w:t xml:space="preserve">Table </w:t>
      </w:r>
      <w:r w:rsidR="00901C1C">
        <w:t>9.</w:t>
      </w:r>
      <w:r w:rsidR="00F37660">
        <w:t>31</w:t>
      </w:r>
      <w:r w:rsidRPr="00924255">
        <w:t xml:space="preserve">: Volume of </w:t>
      </w:r>
      <w:r>
        <w:t xml:space="preserve">IWT </w:t>
      </w:r>
      <w:r w:rsidRPr="00924255">
        <w:t>Transit Trade</w:t>
      </w:r>
      <w:bookmarkEnd w:id="712"/>
    </w:p>
    <w:tbl>
      <w:tblPr>
        <w:tblStyle w:val="LightShading10"/>
        <w:tblW w:w="5000" w:type="pct"/>
        <w:tblLook w:val="04A0"/>
      </w:tblPr>
      <w:tblGrid>
        <w:gridCol w:w="5146"/>
        <w:gridCol w:w="4430"/>
      </w:tblGrid>
      <w:tr w:rsidR="007F2F9C" w:rsidRPr="006B433D" w:rsidTr="006B433D">
        <w:trPr>
          <w:cnfStyle w:val="100000000000"/>
        </w:trPr>
        <w:tc>
          <w:tcPr>
            <w:cnfStyle w:val="001000000000"/>
            <w:tcW w:w="2687" w:type="pct"/>
          </w:tcPr>
          <w:p w:rsidR="007F2F9C" w:rsidRPr="006B433D" w:rsidRDefault="007F2F9C" w:rsidP="00AE5E20">
            <w:pPr>
              <w:spacing w:line="276" w:lineRule="auto"/>
              <w:jc w:val="both"/>
              <w:rPr>
                <w:rFonts w:ascii="Times New Roman" w:hAnsi="Times New Roman"/>
                <w:b w:val="0"/>
                <w:sz w:val="22"/>
                <w:szCs w:val="24"/>
              </w:rPr>
            </w:pPr>
            <w:r w:rsidRPr="006B433D">
              <w:rPr>
                <w:rFonts w:ascii="Times New Roman" w:hAnsi="Times New Roman"/>
                <w:b w:val="0"/>
                <w:sz w:val="22"/>
                <w:szCs w:val="24"/>
              </w:rPr>
              <w:t>Fiscal Year</w:t>
            </w:r>
          </w:p>
        </w:tc>
        <w:tc>
          <w:tcPr>
            <w:tcW w:w="2313" w:type="pct"/>
          </w:tcPr>
          <w:p w:rsidR="007F2F9C" w:rsidRPr="006B433D" w:rsidRDefault="007F2F9C" w:rsidP="00AE5E20">
            <w:pPr>
              <w:spacing w:line="276" w:lineRule="auto"/>
              <w:jc w:val="both"/>
              <w:cnfStyle w:val="100000000000"/>
              <w:rPr>
                <w:rFonts w:ascii="Times New Roman" w:hAnsi="Times New Roman"/>
                <w:b w:val="0"/>
                <w:sz w:val="22"/>
                <w:szCs w:val="24"/>
              </w:rPr>
            </w:pPr>
            <w:r w:rsidRPr="006B433D">
              <w:rPr>
                <w:rFonts w:ascii="Times New Roman" w:hAnsi="Times New Roman"/>
                <w:b w:val="0"/>
                <w:sz w:val="22"/>
                <w:szCs w:val="24"/>
              </w:rPr>
              <w:t xml:space="preserve">Volume (in </w:t>
            </w:r>
            <w:r w:rsidR="00FE6385">
              <w:rPr>
                <w:rFonts w:ascii="Times New Roman" w:hAnsi="Times New Roman"/>
                <w:b w:val="0"/>
                <w:sz w:val="22"/>
                <w:szCs w:val="24"/>
              </w:rPr>
              <w:t>tonne</w:t>
            </w:r>
            <w:r w:rsidRPr="006B433D">
              <w:rPr>
                <w:rFonts w:ascii="Times New Roman" w:hAnsi="Times New Roman"/>
                <w:b w:val="0"/>
                <w:sz w:val="22"/>
                <w:szCs w:val="24"/>
              </w:rPr>
              <w:t>s)</w:t>
            </w:r>
          </w:p>
        </w:tc>
      </w:tr>
      <w:tr w:rsidR="007F2F9C" w:rsidRPr="006B433D" w:rsidTr="006B433D">
        <w:trPr>
          <w:cnfStyle w:val="000000100000"/>
        </w:trPr>
        <w:tc>
          <w:tcPr>
            <w:cnfStyle w:val="001000000000"/>
            <w:tcW w:w="2687"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FY200</w:t>
            </w:r>
            <w:r w:rsidR="007F2F9C" w:rsidRPr="006B433D">
              <w:rPr>
                <w:rFonts w:ascii="Times New Roman" w:hAnsi="Times New Roman"/>
                <w:bCs w:val="0"/>
                <w:sz w:val="22"/>
                <w:szCs w:val="24"/>
              </w:rPr>
              <w:t>7</w:t>
            </w:r>
          </w:p>
        </w:tc>
        <w:tc>
          <w:tcPr>
            <w:tcW w:w="2313" w:type="pct"/>
          </w:tcPr>
          <w:p w:rsidR="007F2F9C" w:rsidRPr="006B433D" w:rsidRDefault="007F2F9C" w:rsidP="00AE5E20">
            <w:pPr>
              <w:spacing w:after="0" w:line="276" w:lineRule="auto"/>
              <w:cnfStyle w:val="000000100000"/>
              <w:rPr>
                <w:rFonts w:ascii="Times New Roman" w:hAnsi="Times New Roman"/>
                <w:sz w:val="22"/>
                <w:szCs w:val="24"/>
              </w:rPr>
            </w:pPr>
            <w:r w:rsidRPr="006B433D">
              <w:rPr>
                <w:rFonts w:ascii="Times New Roman" w:hAnsi="Times New Roman"/>
                <w:sz w:val="22"/>
                <w:szCs w:val="24"/>
              </w:rPr>
              <w:t>12,557</w:t>
            </w:r>
          </w:p>
        </w:tc>
      </w:tr>
      <w:tr w:rsidR="007F2F9C" w:rsidRPr="006B433D" w:rsidTr="006B433D">
        <w:tc>
          <w:tcPr>
            <w:cnfStyle w:val="001000000000"/>
            <w:tcW w:w="2687"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FY200</w:t>
            </w:r>
            <w:r w:rsidR="007F2F9C" w:rsidRPr="006B433D">
              <w:rPr>
                <w:rFonts w:ascii="Times New Roman" w:hAnsi="Times New Roman"/>
                <w:bCs w:val="0"/>
                <w:sz w:val="22"/>
                <w:szCs w:val="24"/>
              </w:rPr>
              <w:t>8</w:t>
            </w:r>
          </w:p>
        </w:tc>
        <w:tc>
          <w:tcPr>
            <w:tcW w:w="2313" w:type="pct"/>
          </w:tcPr>
          <w:p w:rsidR="007F2F9C" w:rsidRPr="006B433D" w:rsidRDefault="007F2F9C" w:rsidP="00AE5E20">
            <w:pPr>
              <w:spacing w:after="0" w:line="276" w:lineRule="auto"/>
              <w:cnfStyle w:val="000000000000"/>
              <w:rPr>
                <w:rFonts w:ascii="Times New Roman" w:hAnsi="Times New Roman"/>
                <w:sz w:val="22"/>
                <w:szCs w:val="24"/>
              </w:rPr>
            </w:pPr>
            <w:r w:rsidRPr="006B433D">
              <w:rPr>
                <w:rFonts w:ascii="Times New Roman" w:hAnsi="Times New Roman"/>
                <w:sz w:val="22"/>
                <w:szCs w:val="24"/>
              </w:rPr>
              <w:t>8,230</w:t>
            </w:r>
          </w:p>
        </w:tc>
      </w:tr>
      <w:tr w:rsidR="007F2F9C" w:rsidRPr="006B433D" w:rsidTr="006B433D">
        <w:trPr>
          <w:cnfStyle w:val="000000100000"/>
        </w:trPr>
        <w:tc>
          <w:tcPr>
            <w:cnfStyle w:val="001000000000"/>
            <w:tcW w:w="2687"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09</w:t>
            </w:r>
          </w:p>
        </w:tc>
        <w:tc>
          <w:tcPr>
            <w:tcW w:w="2313" w:type="pct"/>
          </w:tcPr>
          <w:p w:rsidR="007F2F9C" w:rsidRPr="006B433D" w:rsidRDefault="007F2F9C" w:rsidP="00AE5E20">
            <w:pPr>
              <w:spacing w:after="0" w:line="276" w:lineRule="auto"/>
              <w:cnfStyle w:val="000000100000"/>
              <w:rPr>
                <w:rFonts w:ascii="Times New Roman" w:hAnsi="Times New Roman"/>
                <w:sz w:val="22"/>
                <w:szCs w:val="24"/>
              </w:rPr>
            </w:pPr>
            <w:r w:rsidRPr="006B433D">
              <w:rPr>
                <w:rFonts w:ascii="Times New Roman" w:hAnsi="Times New Roman"/>
                <w:sz w:val="22"/>
                <w:szCs w:val="24"/>
              </w:rPr>
              <w:t>14,628</w:t>
            </w:r>
          </w:p>
        </w:tc>
      </w:tr>
      <w:tr w:rsidR="007F2F9C" w:rsidRPr="006B433D" w:rsidTr="006B433D">
        <w:tc>
          <w:tcPr>
            <w:cnfStyle w:val="001000000000"/>
            <w:tcW w:w="2687"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10</w:t>
            </w:r>
          </w:p>
        </w:tc>
        <w:tc>
          <w:tcPr>
            <w:tcW w:w="2313" w:type="pct"/>
          </w:tcPr>
          <w:p w:rsidR="007F2F9C" w:rsidRPr="006B433D" w:rsidRDefault="007F2F9C" w:rsidP="00AE5E20">
            <w:pPr>
              <w:spacing w:after="0" w:line="276" w:lineRule="auto"/>
              <w:cnfStyle w:val="000000000000"/>
              <w:rPr>
                <w:rFonts w:ascii="Times New Roman" w:hAnsi="Times New Roman"/>
                <w:sz w:val="22"/>
                <w:szCs w:val="24"/>
              </w:rPr>
            </w:pPr>
            <w:r w:rsidRPr="006B433D">
              <w:rPr>
                <w:rFonts w:ascii="Times New Roman" w:hAnsi="Times New Roman"/>
                <w:sz w:val="22"/>
                <w:szCs w:val="24"/>
              </w:rPr>
              <w:t>4,474</w:t>
            </w:r>
          </w:p>
        </w:tc>
      </w:tr>
      <w:tr w:rsidR="007F2F9C" w:rsidRPr="006B433D" w:rsidTr="006B433D">
        <w:trPr>
          <w:cnfStyle w:val="000000100000"/>
        </w:trPr>
        <w:tc>
          <w:tcPr>
            <w:cnfStyle w:val="001000000000"/>
            <w:tcW w:w="2687"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11</w:t>
            </w:r>
          </w:p>
        </w:tc>
        <w:tc>
          <w:tcPr>
            <w:tcW w:w="2313" w:type="pct"/>
          </w:tcPr>
          <w:p w:rsidR="007F2F9C" w:rsidRPr="006B433D" w:rsidRDefault="007F2F9C" w:rsidP="00AE5E20">
            <w:pPr>
              <w:spacing w:after="0" w:line="276" w:lineRule="auto"/>
              <w:cnfStyle w:val="000000100000"/>
              <w:rPr>
                <w:rFonts w:ascii="Times New Roman" w:hAnsi="Times New Roman"/>
                <w:sz w:val="22"/>
                <w:szCs w:val="24"/>
              </w:rPr>
            </w:pPr>
            <w:r w:rsidRPr="006B433D">
              <w:rPr>
                <w:rFonts w:ascii="Times New Roman" w:hAnsi="Times New Roman"/>
                <w:sz w:val="22"/>
                <w:szCs w:val="24"/>
              </w:rPr>
              <w:t>590</w:t>
            </w:r>
          </w:p>
        </w:tc>
      </w:tr>
      <w:tr w:rsidR="007F2F9C" w:rsidRPr="006B433D" w:rsidTr="006B433D">
        <w:tc>
          <w:tcPr>
            <w:cnfStyle w:val="001000000000"/>
            <w:tcW w:w="2687"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12</w:t>
            </w:r>
          </w:p>
        </w:tc>
        <w:tc>
          <w:tcPr>
            <w:tcW w:w="2313" w:type="pct"/>
          </w:tcPr>
          <w:p w:rsidR="007F2F9C" w:rsidRPr="006B433D" w:rsidRDefault="007F2F9C" w:rsidP="00AE5E20">
            <w:pPr>
              <w:spacing w:after="0" w:line="276" w:lineRule="auto"/>
              <w:cnfStyle w:val="000000000000"/>
              <w:rPr>
                <w:rFonts w:ascii="Times New Roman" w:hAnsi="Times New Roman"/>
                <w:sz w:val="22"/>
                <w:szCs w:val="24"/>
              </w:rPr>
            </w:pPr>
            <w:r w:rsidRPr="006B433D">
              <w:rPr>
                <w:rFonts w:ascii="Times New Roman" w:hAnsi="Times New Roman"/>
                <w:sz w:val="22"/>
                <w:szCs w:val="24"/>
              </w:rPr>
              <w:t>2,695</w:t>
            </w:r>
          </w:p>
        </w:tc>
      </w:tr>
      <w:tr w:rsidR="007F2F9C" w:rsidRPr="006B433D" w:rsidTr="006B433D">
        <w:trPr>
          <w:cnfStyle w:val="000000100000"/>
        </w:trPr>
        <w:tc>
          <w:tcPr>
            <w:cnfStyle w:val="001000000000"/>
            <w:tcW w:w="2687"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13</w:t>
            </w:r>
          </w:p>
        </w:tc>
        <w:tc>
          <w:tcPr>
            <w:tcW w:w="2313" w:type="pct"/>
          </w:tcPr>
          <w:p w:rsidR="007F2F9C" w:rsidRPr="006B433D" w:rsidRDefault="007F2F9C" w:rsidP="00AE5E20">
            <w:pPr>
              <w:spacing w:after="0" w:line="276" w:lineRule="auto"/>
              <w:cnfStyle w:val="000000100000"/>
              <w:rPr>
                <w:rFonts w:ascii="Times New Roman" w:hAnsi="Times New Roman"/>
                <w:sz w:val="22"/>
                <w:szCs w:val="24"/>
              </w:rPr>
            </w:pPr>
            <w:r w:rsidRPr="006B433D">
              <w:rPr>
                <w:rFonts w:ascii="Times New Roman" w:hAnsi="Times New Roman"/>
                <w:sz w:val="22"/>
                <w:szCs w:val="24"/>
              </w:rPr>
              <w:t>18,685</w:t>
            </w:r>
          </w:p>
        </w:tc>
      </w:tr>
      <w:tr w:rsidR="007F2F9C" w:rsidRPr="006B433D" w:rsidTr="006B433D">
        <w:tc>
          <w:tcPr>
            <w:cnfStyle w:val="001000000000"/>
            <w:tcW w:w="2687" w:type="pct"/>
          </w:tcPr>
          <w:p w:rsidR="007F2F9C" w:rsidRPr="006B433D" w:rsidRDefault="00E25DE2" w:rsidP="00AE5E20">
            <w:pPr>
              <w:spacing w:after="0" w:line="276" w:lineRule="auto"/>
              <w:jc w:val="both"/>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14</w:t>
            </w:r>
          </w:p>
        </w:tc>
        <w:tc>
          <w:tcPr>
            <w:tcW w:w="2313" w:type="pct"/>
          </w:tcPr>
          <w:p w:rsidR="007F2F9C" w:rsidRPr="006B433D" w:rsidRDefault="007F2F9C" w:rsidP="00AE5E20">
            <w:pPr>
              <w:spacing w:after="0" w:line="276" w:lineRule="auto"/>
              <w:cnfStyle w:val="000000000000"/>
              <w:rPr>
                <w:rFonts w:ascii="Times New Roman" w:hAnsi="Times New Roman"/>
                <w:sz w:val="22"/>
                <w:szCs w:val="24"/>
              </w:rPr>
            </w:pPr>
            <w:r w:rsidRPr="006B433D">
              <w:rPr>
                <w:rFonts w:ascii="Times New Roman" w:hAnsi="Times New Roman"/>
                <w:sz w:val="22"/>
                <w:szCs w:val="24"/>
              </w:rPr>
              <w:t>2,373</w:t>
            </w:r>
          </w:p>
        </w:tc>
      </w:tr>
    </w:tbl>
    <w:p w:rsidR="007F2F9C" w:rsidRPr="00136349" w:rsidRDefault="007F2F9C" w:rsidP="000B1950">
      <w:pPr>
        <w:spacing w:line="276" w:lineRule="auto"/>
      </w:pPr>
      <w:r w:rsidRPr="0093318C">
        <w:rPr>
          <w:rFonts w:cs="Times New Roman"/>
          <w:b/>
          <w:bCs/>
          <w:i/>
          <w:iCs/>
          <w:sz w:val="20"/>
          <w:szCs w:val="20"/>
        </w:rPr>
        <w:t>Source: Traffic Department, BIWTA</w:t>
      </w:r>
    </w:p>
    <w:p w:rsidR="00000000" w:rsidRDefault="007F2F9C" w:rsidP="003D5A31">
      <w:pPr>
        <w:pStyle w:val="BodyText"/>
        <w:numPr>
          <w:ilvl w:val="2"/>
          <w:numId w:val="242"/>
        </w:numPr>
        <w:spacing w:after="240" w:line="276" w:lineRule="auto"/>
        <w:jc w:val="both"/>
        <w:rPr>
          <w:rFonts w:cs="Times New Roman"/>
          <w:b/>
          <w:szCs w:val="24"/>
        </w:rPr>
      </w:pPr>
      <w:r w:rsidRPr="00A97FE2">
        <w:rPr>
          <w:rFonts w:cs="Times New Roman"/>
          <w:b/>
          <w:szCs w:val="24"/>
        </w:rPr>
        <w:t xml:space="preserve">Issues and Challenges </w:t>
      </w:r>
    </w:p>
    <w:p w:rsidR="007F2F9C" w:rsidRPr="00C86776" w:rsidRDefault="00D04B2D" w:rsidP="006B433D">
      <w:pPr>
        <w:spacing w:line="276" w:lineRule="auto"/>
        <w:jc w:val="both"/>
        <w:rPr>
          <w:rFonts w:eastAsia="Times New Roman" w:cs="Times New Roman"/>
          <w:b/>
          <w:bCs/>
          <w:i/>
          <w:iCs/>
          <w:szCs w:val="24"/>
        </w:rPr>
      </w:pPr>
      <w:r w:rsidRPr="00C86776">
        <w:rPr>
          <w:rFonts w:cs="Times New Roman"/>
          <w:b/>
          <w:bCs/>
          <w:i/>
          <w:iCs/>
          <w:szCs w:val="24"/>
        </w:rPr>
        <w:t>India-Bangladesh C</w:t>
      </w:r>
      <w:r w:rsidR="007F2F9C" w:rsidRPr="00C86776">
        <w:rPr>
          <w:rFonts w:cs="Times New Roman"/>
          <w:b/>
          <w:bCs/>
          <w:i/>
          <w:iCs/>
          <w:szCs w:val="24"/>
        </w:rPr>
        <w:t xml:space="preserve">ooperation: </w:t>
      </w:r>
      <w:r w:rsidR="007F2F9C" w:rsidRPr="00C86776">
        <w:rPr>
          <w:rFonts w:eastAsia="Times New Roman" w:cs="Times New Roman"/>
          <w:b/>
          <w:bCs/>
          <w:i/>
          <w:iCs/>
          <w:szCs w:val="24"/>
        </w:rPr>
        <w:t xml:space="preserve">Protocol on Inland Water Transit and Trade (PIWTT) </w:t>
      </w:r>
    </w:p>
    <w:p w:rsidR="007F2F9C" w:rsidRPr="00924255" w:rsidRDefault="007F2F9C" w:rsidP="000B1950">
      <w:pPr>
        <w:spacing w:line="276" w:lineRule="auto"/>
        <w:jc w:val="both"/>
        <w:rPr>
          <w:rFonts w:cs="Times New Roman"/>
          <w:szCs w:val="24"/>
        </w:rPr>
      </w:pPr>
      <w:r w:rsidRPr="00924255">
        <w:rPr>
          <w:rFonts w:cs="Times New Roman"/>
          <w:szCs w:val="24"/>
        </w:rPr>
        <w:t xml:space="preserve">One of the examples that already established cooperation between India and Bangladesh is the cooperation on inland waterway transportation. IWT through Bangladesh is an important and efficient way for India to link the millions of people of the </w:t>
      </w:r>
      <w:r w:rsidR="002611D1">
        <w:rPr>
          <w:rFonts w:cs="Times New Roman"/>
          <w:szCs w:val="24"/>
        </w:rPr>
        <w:t>seven</w:t>
      </w:r>
      <w:r w:rsidR="002611D1" w:rsidRPr="00924255">
        <w:rPr>
          <w:rFonts w:cs="Times New Roman"/>
          <w:szCs w:val="24"/>
        </w:rPr>
        <w:t xml:space="preserve"> </w:t>
      </w:r>
      <w:r w:rsidRPr="00924255">
        <w:rPr>
          <w:rFonts w:cs="Times New Roman"/>
          <w:szCs w:val="24"/>
        </w:rPr>
        <w:t>north-eastern states with the rest of the country. Due to geographical conditions, India’s eastern states are only connected by a small land corridor with the rest of India. However, the north-east of India is also connected via the Brahmaputra and Barak rivers with the Bay of Bengal and consequently with the rest of India. To avoid cumbersome transport routes, India is interested in access to Bangladesh’s inland river network.</w:t>
      </w:r>
    </w:p>
    <w:p w:rsidR="007F2F9C" w:rsidRPr="00924255" w:rsidRDefault="00543BB3" w:rsidP="000B1950">
      <w:pPr>
        <w:spacing w:line="276" w:lineRule="auto"/>
        <w:jc w:val="both"/>
        <w:rPr>
          <w:rFonts w:cs="Times New Roman"/>
          <w:szCs w:val="24"/>
        </w:rPr>
      </w:pPr>
      <w:r>
        <w:rPr>
          <w:rFonts w:cs="Times New Roman"/>
          <w:szCs w:val="24"/>
        </w:rPr>
        <w:t xml:space="preserve"> </w:t>
      </w:r>
      <w:r w:rsidR="007F2F9C" w:rsidRPr="00924255">
        <w:rPr>
          <w:rFonts w:cs="Times New Roman"/>
          <w:szCs w:val="24"/>
        </w:rPr>
        <w:t>After the independence of Bangladesh</w:t>
      </w:r>
      <w:r>
        <w:rPr>
          <w:rFonts w:cs="Times New Roman"/>
          <w:szCs w:val="24"/>
        </w:rPr>
        <w:t xml:space="preserve">, </w:t>
      </w:r>
      <w:r w:rsidR="007F2F9C" w:rsidRPr="00924255">
        <w:rPr>
          <w:rFonts w:cs="Times New Roman"/>
          <w:szCs w:val="24"/>
        </w:rPr>
        <w:t xml:space="preserve">the Governments of Bangladesh and India signed a Trade Agreement on 28 March, 1972. </w:t>
      </w:r>
      <w:r w:rsidR="007F2F9C" w:rsidRPr="004B0A08">
        <w:rPr>
          <w:rFonts w:cs="Times New Roman"/>
          <w:i/>
          <w:szCs w:val="24"/>
        </w:rPr>
        <w:t xml:space="preserve">A Protocol on Inland Water Transit and Trade (PIWTT) between Bangladesh and India was signed on 01 November, 1972 and came into force from the date of the signature. </w:t>
      </w:r>
      <w:r w:rsidRPr="004B0A08">
        <w:rPr>
          <w:rFonts w:cs="Times New Roman"/>
          <w:i/>
          <w:szCs w:val="24"/>
        </w:rPr>
        <w:t xml:space="preserve">The two governments </w:t>
      </w:r>
      <w:r w:rsidR="007F2F9C" w:rsidRPr="004B0A08">
        <w:rPr>
          <w:rFonts w:cs="Times New Roman"/>
          <w:i/>
          <w:szCs w:val="24"/>
        </w:rPr>
        <w:t>have agreed to extend the protocol in 2015 for successive five year with the provision of its automatic renewal.</w:t>
      </w:r>
      <w:r w:rsidR="007F2F9C" w:rsidRPr="00924255">
        <w:rPr>
          <w:rFonts w:cs="Times New Roman"/>
          <w:szCs w:val="24"/>
        </w:rPr>
        <w:t xml:space="preserve"> Article VIII of the trade Agreement between Bangladesh &amp; India</w:t>
      </w:r>
      <w:r w:rsidR="002611D1">
        <w:rPr>
          <w:rFonts w:cs="Times New Roman"/>
          <w:szCs w:val="24"/>
        </w:rPr>
        <w:t xml:space="preserve"> and </w:t>
      </w:r>
      <w:r w:rsidR="007F2F9C" w:rsidRPr="00924255">
        <w:rPr>
          <w:rFonts w:cs="Times New Roman"/>
          <w:szCs w:val="24"/>
        </w:rPr>
        <w:t xml:space="preserve"> the features of the </w:t>
      </w:r>
      <w:r w:rsidR="007C02AF">
        <w:rPr>
          <w:rFonts w:cs="Times New Roman"/>
          <w:szCs w:val="24"/>
        </w:rPr>
        <w:t xml:space="preserve">successor </w:t>
      </w:r>
      <w:r w:rsidR="007F2F9C" w:rsidRPr="00924255">
        <w:rPr>
          <w:rFonts w:cs="Times New Roman"/>
          <w:szCs w:val="24"/>
        </w:rPr>
        <w:t>PIWTT are as follows:</w:t>
      </w:r>
    </w:p>
    <w:p w:rsidR="00000000" w:rsidRDefault="007F2F9C" w:rsidP="003D5A31">
      <w:pPr>
        <w:pStyle w:val="ListParagraph"/>
        <w:numPr>
          <w:ilvl w:val="0"/>
          <w:numId w:val="114"/>
        </w:numPr>
        <w:spacing w:line="276" w:lineRule="auto"/>
        <w:ind w:left="360"/>
        <w:jc w:val="both"/>
        <w:rPr>
          <w:rFonts w:cs="Times New Roman"/>
          <w:szCs w:val="24"/>
        </w:rPr>
      </w:pPr>
      <w:r w:rsidRPr="000B1950">
        <w:rPr>
          <w:rFonts w:cs="Times New Roman"/>
          <w:szCs w:val="24"/>
        </w:rPr>
        <w:t>Carriage of cargo of bilateral trade and transit trade.</w:t>
      </w:r>
    </w:p>
    <w:p w:rsidR="00000000" w:rsidRDefault="007F2F9C" w:rsidP="003D5A31">
      <w:pPr>
        <w:pStyle w:val="ListParagraph"/>
        <w:numPr>
          <w:ilvl w:val="0"/>
          <w:numId w:val="114"/>
        </w:numPr>
        <w:spacing w:line="276" w:lineRule="auto"/>
        <w:ind w:left="360"/>
        <w:jc w:val="both"/>
        <w:rPr>
          <w:rFonts w:cs="Times New Roman"/>
          <w:szCs w:val="24"/>
        </w:rPr>
      </w:pPr>
      <w:r w:rsidRPr="000B1950">
        <w:rPr>
          <w:rFonts w:cs="Times New Roman"/>
          <w:szCs w:val="24"/>
        </w:rPr>
        <w:lastRenderedPageBreak/>
        <w:t>Each country shall ensure smooth navigation in the route within respective jurisdiction and will extend necessary facilities required for navigation. Night navigation is allowed where such facilities exist.</w:t>
      </w:r>
    </w:p>
    <w:p w:rsidR="00000000" w:rsidRDefault="007F2F9C" w:rsidP="003D5A31">
      <w:pPr>
        <w:pStyle w:val="ListParagraph"/>
        <w:numPr>
          <w:ilvl w:val="0"/>
          <w:numId w:val="114"/>
        </w:numPr>
        <w:spacing w:line="276" w:lineRule="auto"/>
        <w:ind w:left="360"/>
        <w:jc w:val="both"/>
        <w:rPr>
          <w:rFonts w:cs="Times New Roman"/>
          <w:i/>
          <w:szCs w:val="24"/>
        </w:rPr>
      </w:pPr>
      <w:r w:rsidRPr="004B0A08">
        <w:rPr>
          <w:rFonts w:cs="Times New Roman"/>
          <w:i/>
          <w:szCs w:val="24"/>
        </w:rPr>
        <w:t>A total of eight routes are nominated in the Protocol. Main corridors are Kolkata-</w:t>
      </w:r>
      <w:r w:rsidR="00065D01" w:rsidRPr="004B0A08">
        <w:rPr>
          <w:rFonts w:cs="Times New Roman"/>
          <w:i/>
          <w:szCs w:val="24"/>
        </w:rPr>
        <w:t>Narayanganj</w:t>
      </w:r>
      <w:r w:rsidRPr="004B0A08">
        <w:rPr>
          <w:rFonts w:cs="Times New Roman"/>
          <w:i/>
          <w:szCs w:val="24"/>
        </w:rPr>
        <w:t xml:space="preserve"> (cross-border trade); Kolkata-Karimganj (transit trade), Kolkata-Pandu (transit trade) and Karimganj-Pandu (transit trade).</w:t>
      </w:r>
    </w:p>
    <w:p w:rsidR="00000000" w:rsidRDefault="007F2F9C" w:rsidP="003D5A31">
      <w:pPr>
        <w:pStyle w:val="ListParagraph"/>
        <w:numPr>
          <w:ilvl w:val="0"/>
          <w:numId w:val="114"/>
        </w:numPr>
        <w:spacing w:line="276" w:lineRule="auto"/>
        <w:ind w:left="360"/>
        <w:jc w:val="both"/>
        <w:rPr>
          <w:rFonts w:cs="Times New Roman"/>
          <w:szCs w:val="24"/>
        </w:rPr>
      </w:pPr>
      <w:r w:rsidRPr="000B1950">
        <w:rPr>
          <w:rFonts w:cs="Times New Roman"/>
          <w:szCs w:val="24"/>
        </w:rPr>
        <w:t>A total of 10 Ports of Call, five on each side; are agreed to load- unload the cargo of bilateral trade. These are on the Indian side (Kolkata, Haldia, Pandu, Silghat and Karimganj and on the Bangladesh side: Narayanganj, Mongla, Khulna, Sirajganj and Ashuganj.</w:t>
      </w:r>
    </w:p>
    <w:p w:rsidR="00000000" w:rsidRDefault="007F2F9C" w:rsidP="003D5A31">
      <w:pPr>
        <w:pStyle w:val="ListParagraph"/>
        <w:numPr>
          <w:ilvl w:val="0"/>
          <w:numId w:val="114"/>
        </w:numPr>
        <w:spacing w:line="276" w:lineRule="auto"/>
        <w:ind w:left="360"/>
        <w:jc w:val="both"/>
        <w:rPr>
          <w:rFonts w:cs="Times New Roman"/>
          <w:szCs w:val="24"/>
        </w:rPr>
      </w:pPr>
      <w:r w:rsidRPr="000B1950">
        <w:rPr>
          <w:rFonts w:cs="Times New Roman"/>
          <w:szCs w:val="24"/>
        </w:rPr>
        <w:t xml:space="preserve">The routes between Sirajganj and Daikhawa (upstream of Chilmari near Bangladesh-India border) in the Northern delta section of the River Jamuna-Brahamputra and the routes between Sherpur and Zakiganj in the North Eastern delta section of the Kushiara river are recognized by both sides as route being maintained primarily for the use of Indian transit traffic. </w:t>
      </w:r>
      <w:r w:rsidRPr="004B0A08">
        <w:rPr>
          <w:rFonts w:cs="Times New Roman"/>
          <w:i/>
          <w:szCs w:val="24"/>
        </w:rPr>
        <w:t>The Government of India shall pay an agreed amount (now 10 crore BDT annually) of money towards cost of maintenance</w:t>
      </w:r>
      <w:r w:rsidR="00A8177E">
        <w:rPr>
          <w:rFonts w:cs="Times New Roman"/>
          <w:szCs w:val="24"/>
        </w:rPr>
        <w:t>.</w:t>
      </w:r>
    </w:p>
    <w:p w:rsidR="00000000" w:rsidRDefault="007F2F9C" w:rsidP="003D5A31">
      <w:pPr>
        <w:pStyle w:val="ListParagraph"/>
        <w:numPr>
          <w:ilvl w:val="0"/>
          <w:numId w:val="114"/>
        </w:numPr>
        <w:spacing w:line="276" w:lineRule="auto"/>
        <w:ind w:left="360"/>
        <w:jc w:val="both"/>
        <w:rPr>
          <w:rFonts w:cs="Times New Roman"/>
          <w:szCs w:val="24"/>
        </w:rPr>
      </w:pPr>
      <w:r w:rsidRPr="004B0A08">
        <w:rPr>
          <w:rFonts w:cs="Times New Roman"/>
          <w:i/>
          <w:szCs w:val="24"/>
        </w:rPr>
        <w:t>Transshipment between vessel and truck is allowed at Sherpur and Ashuganj</w:t>
      </w:r>
      <w:r w:rsidR="00A8177E">
        <w:rPr>
          <w:rFonts w:cs="Times New Roman"/>
          <w:szCs w:val="24"/>
        </w:rPr>
        <w:t>.</w:t>
      </w:r>
    </w:p>
    <w:p w:rsidR="00000000" w:rsidRDefault="007F2F9C" w:rsidP="003D5A31">
      <w:pPr>
        <w:pStyle w:val="ListParagraph"/>
        <w:numPr>
          <w:ilvl w:val="0"/>
          <w:numId w:val="114"/>
        </w:numPr>
        <w:spacing w:line="276" w:lineRule="auto"/>
        <w:ind w:left="360"/>
        <w:jc w:val="both"/>
        <w:rPr>
          <w:rFonts w:cs="Times New Roman"/>
          <w:szCs w:val="24"/>
        </w:rPr>
      </w:pPr>
      <w:r w:rsidRPr="000B1950">
        <w:rPr>
          <w:rFonts w:cs="Times New Roman"/>
          <w:szCs w:val="24"/>
        </w:rPr>
        <w:t xml:space="preserve">There is one standing committee involving the representatives from Ministry of Shipping of Bangladesh and Department of Shipping, Ministry of Shipping, Road Transport and Highways of India, the Ministry of Finance of Bangladesh and India, BIWTA and BIWTC of Bangladesh and IWAI and CIWTC of India and the concerned customs officials of both countries to review the operation of the Protocol and to recommend for the development and will meet at least once in each six month. </w:t>
      </w:r>
    </w:p>
    <w:p w:rsidR="007F2F9C" w:rsidRPr="00A17BFA" w:rsidRDefault="007F2F9C" w:rsidP="00A17BFA">
      <w:pPr>
        <w:spacing w:line="276" w:lineRule="auto"/>
        <w:ind w:hanging="142"/>
        <w:jc w:val="both"/>
        <w:rPr>
          <w:rFonts w:cs="Times New Roman"/>
          <w:szCs w:val="24"/>
        </w:rPr>
      </w:pPr>
      <w:r w:rsidRPr="00924255">
        <w:rPr>
          <w:rFonts w:cs="Times New Roman"/>
          <w:szCs w:val="24"/>
        </w:rPr>
        <w:t xml:space="preserve">The routes under the </w:t>
      </w:r>
      <w:r>
        <w:rPr>
          <w:rFonts w:cs="Times New Roman"/>
          <w:szCs w:val="24"/>
        </w:rPr>
        <w:t xml:space="preserve">Protocol are reported in Table </w:t>
      </w:r>
      <w:r w:rsidR="00901C1C">
        <w:rPr>
          <w:rFonts w:cs="Times New Roman"/>
          <w:szCs w:val="24"/>
        </w:rPr>
        <w:t>9.</w:t>
      </w:r>
      <w:r w:rsidR="00857188">
        <w:rPr>
          <w:rFonts w:cs="Times New Roman"/>
          <w:szCs w:val="24"/>
        </w:rPr>
        <w:t>3</w:t>
      </w:r>
      <w:r w:rsidR="00F37660">
        <w:rPr>
          <w:rFonts w:cs="Times New Roman"/>
          <w:szCs w:val="24"/>
        </w:rPr>
        <w:t>2</w:t>
      </w:r>
      <w:r w:rsidRPr="00924255">
        <w:rPr>
          <w:rFonts w:cs="Times New Roman"/>
          <w:szCs w:val="24"/>
        </w:rPr>
        <w:t xml:space="preserve"> and Map </w:t>
      </w:r>
      <w:r w:rsidR="00901C1C">
        <w:rPr>
          <w:rFonts w:cs="Times New Roman"/>
          <w:szCs w:val="24"/>
        </w:rPr>
        <w:t>9.</w:t>
      </w:r>
      <w:r w:rsidRPr="00924255">
        <w:rPr>
          <w:rFonts w:cs="Times New Roman"/>
          <w:szCs w:val="24"/>
        </w:rPr>
        <w:t>1.</w:t>
      </w:r>
    </w:p>
    <w:p w:rsidR="007F2F9C" w:rsidRPr="00DB053D" w:rsidRDefault="007F2F9C" w:rsidP="0036657D">
      <w:pPr>
        <w:pStyle w:val="Heading4"/>
      </w:pPr>
      <w:bookmarkStart w:id="713" w:name="_Toc474639098"/>
      <w:r>
        <w:t xml:space="preserve">Table </w:t>
      </w:r>
      <w:r w:rsidR="00901C1C">
        <w:t>9.</w:t>
      </w:r>
      <w:r w:rsidR="00857188">
        <w:t>3</w:t>
      </w:r>
      <w:r w:rsidR="00F37660">
        <w:t>2</w:t>
      </w:r>
      <w:r w:rsidRPr="00924255">
        <w:t>: Key Routes of India-Bangladesh Inland Water Transit and Trade</w:t>
      </w:r>
      <w:bookmarkEnd w:id="713"/>
    </w:p>
    <w:tbl>
      <w:tblPr>
        <w:tblStyle w:val="PlainTable11"/>
        <w:tblW w:w="5128" w:type="pct"/>
        <w:tblLook w:val="04A0"/>
      </w:tblPr>
      <w:tblGrid>
        <w:gridCol w:w="1285"/>
        <w:gridCol w:w="8536"/>
      </w:tblGrid>
      <w:tr w:rsidR="007F2F9C" w:rsidRPr="00F37660" w:rsidTr="006B433D">
        <w:trPr>
          <w:cnfStyle w:val="100000000000"/>
          <w:trHeight w:val="20"/>
        </w:trPr>
        <w:tc>
          <w:tcPr>
            <w:cnfStyle w:val="001000000000"/>
            <w:tcW w:w="654" w:type="pct"/>
            <w:hideMark/>
          </w:tcPr>
          <w:p w:rsidR="007F2F9C" w:rsidRPr="00F37660" w:rsidRDefault="007F2F9C" w:rsidP="00F37660">
            <w:pPr>
              <w:spacing w:after="0" w:line="276" w:lineRule="auto"/>
              <w:jc w:val="center"/>
              <w:rPr>
                <w:rFonts w:ascii="Times New Roman" w:hAnsi="Times New Roman" w:cs="Times New Roman"/>
                <w:color w:val="000000"/>
                <w:sz w:val="20"/>
              </w:rPr>
            </w:pPr>
            <w:r w:rsidRPr="00F37660">
              <w:rPr>
                <w:rFonts w:ascii="Times New Roman" w:hAnsi="Times New Roman" w:cs="Times New Roman"/>
                <w:color w:val="000000"/>
                <w:sz w:val="20"/>
              </w:rPr>
              <w:t>1</w:t>
            </w:r>
          </w:p>
        </w:tc>
        <w:tc>
          <w:tcPr>
            <w:tcW w:w="4346" w:type="pct"/>
            <w:hideMark/>
          </w:tcPr>
          <w:p w:rsidR="007F2F9C" w:rsidRPr="00F37660" w:rsidRDefault="007F2F9C" w:rsidP="00F37660">
            <w:pPr>
              <w:spacing w:after="0" w:line="276" w:lineRule="auto"/>
              <w:ind w:left="122"/>
              <w:cnfStyle w:val="100000000000"/>
              <w:rPr>
                <w:rFonts w:ascii="Times New Roman" w:hAnsi="Times New Roman" w:cs="Times New Roman"/>
                <w:b w:val="0"/>
                <w:color w:val="000000"/>
                <w:sz w:val="20"/>
              </w:rPr>
            </w:pPr>
            <w:r w:rsidRPr="00F37660">
              <w:rPr>
                <w:rFonts w:ascii="Times New Roman" w:hAnsi="Times New Roman" w:cs="Times New Roman"/>
                <w:b w:val="0"/>
                <w:color w:val="000000"/>
                <w:sz w:val="20"/>
              </w:rPr>
              <w:t>Kolkata- Haldi - Raimongal- Chalna- Khulna- Mongla- Kawkhali- Barisal- Hizla- Chandpur- Narayanganj- Aricha- Siraganj- Bahadurabad- Chilmari- Shubri- Pandu- Shilghat</w:t>
            </w:r>
          </w:p>
        </w:tc>
      </w:tr>
      <w:tr w:rsidR="007F2F9C" w:rsidRPr="00F37660" w:rsidTr="006B433D">
        <w:trPr>
          <w:cnfStyle w:val="000000100000"/>
          <w:trHeight w:val="20"/>
        </w:trPr>
        <w:tc>
          <w:tcPr>
            <w:cnfStyle w:val="001000000000"/>
            <w:tcW w:w="654" w:type="pct"/>
            <w:hideMark/>
          </w:tcPr>
          <w:p w:rsidR="007F2F9C" w:rsidRPr="00F37660" w:rsidRDefault="007F2F9C" w:rsidP="00F37660">
            <w:pPr>
              <w:spacing w:after="0" w:line="276" w:lineRule="auto"/>
              <w:jc w:val="center"/>
              <w:rPr>
                <w:rFonts w:ascii="Times New Roman" w:hAnsi="Times New Roman" w:cs="Times New Roman"/>
                <w:color w:val="000000"/>
                <w:sz w:val="20"/>
              </w:rPr>
            </w:pPr>
            <w:r w:rsidRPr="00F37660">
              <w:rPr>
                <w:rFonts w:ascii="Times New Roman" w:hAnsi="Times New Roman" w:cs="Times New Roman"/>
                <w:color w:val="000000"/>
                <w:sz w:val="20"/>
              </w:rPr>
              <w:t>2</w:t>
            </w:r>
          </w:p>
        </w:tc>
        <w:tc>
          <w:tcPr>
            <w:tcW w:w="4346" w:type="pct"/>
            <w:hideMark/>
          </w:tcPr>
          <w:p w:rsidR="007F2F9C" w:rsidRPr="00F37660" w:rsidRDefault="007F2F9C" w:rsidP="00F37660">
            <w:pPr>
              <w:spacing w:after="0" w:line="276" w:lineRule="auto"/>
              <w:ind w:left="122"/>
              <w:cnfStyle w:val="000000100000"/>
              <w:rPr>
                <w:rFonts w:ascii="Times New Roman" w:hAnsi="Times New Roman" w:cs="Times New Roman"/>
                <w:color w:val="000000"/>
                <w:sz w:val="20"/>
              </w:rPr>
            </w:pPr>
            <w:r w:rsidRPr="00F37660">
              <w:rPr>
                <w:rFonts w:ascii="Times New Roman" w:hAnsi="Times New Roman" w:cs="Times New Roman"/>
                <w:color w:val="000000"/>
                <w:sz w:val="20"/>
              </w:rPr>
              <w:t>Shilghat- Pandu- Dhubri- Chimari- Bahadurabad- Sirajganj- Aricha- Narayanganj- Chandpur- Hizla- Barisal- Kawkhali- Mongla- Khulna- Chalna- Raimongol- Haldia- Kolkata</w:t>
            </w:r>
          </w:p>
        </w:tc>
      </w:tr>
      <w:tr w:rsidR="007F2F9C" w:rsidRPr="00F37660" w:rsidTr="006B433D">
        <w:trPr>
          <w:trHeight w:val="20"/>
        </w:trPr>
        <w:tc>
          <w:tcPr>
            <w:cnfStyle w:val="001000000000"/>
            <w:tcW w:w="654" w:type="pct"/>
            <w:hideMark/>
          </w:tcPr>
          <w:p w:rsidR="007F2F9C" w:rsidRPr="00F37660" w:rsidRDefault="007F2F9C" w:rsidP="00F37660">
            <w:pPr>
              <w:spacing w:after="0" w:line="276" w:lineRule="auto"/>
              <w:jc w:val="center"/>
              <w:rPr>
                <w:rFonts w:ascii="Times New Roman" w:hAnsi="Times New Roman" w:cs="Times New Roman"/>
                <w:color w:val="000000"/>
                <w:sz w:val="20"/>
              </w:rPr>
            </w:pPr>
            <w:r w:rsidRPr="00F37660">
              <w:rPr>
                <w:rFonts w:ascii="Times New Roman" w:hAnsi="Times New Roman" w:cs="Times New Roman"/>
                <w:color w:val="000000"/>
                <w:sz w:val="20"/>
              </w:rPr>
              <w:t>3</w:t>
            </w:r>
          </w:p>
        </w:tc>
        <w:tc>
          <w:tcPr>
            <w:tcW w:w="4346" w:type="pct"/>
            <w:hideMark/>
          </w:tcPr>
          <w:p w:rsidR="007F2F9C" w:rsidRPr="00F37660" w:rsidRDefault="007F2F9C" w:rsidP="00F37660">
            <w:pPr>
              <w:spacing w:after="0" w:line="276" w:lineRule="auto"/>
              <w:ind w:left="122"/>
              <w:cnfStyle w:val="000000000000"/>
              <w:rPr>
                <w:rFonts w:ascii="Times New Roman" w:hAnsi="Times New Roman" w:cs="Times New Roman"/>
                <w:color w:val="000000"/>
                <w:sz w:val="20"/>
              </w:rPr>
            </w:pPr>
            <w:r w:rsidRPr="00F37660">
              <w:rPr>
                <w:rFonts w:ascii="Times New Roman" w:hAnsi="Times New Roman" w:cs="Times New Roman"/>
                <w:color w:val="000000"/>
                <w:sz w:val="20"/>
              </w:rPr>
              <w:t>Kolkata- Haldi - Raimongal- Mongla- Kawkhali- Barisal- Hizla- Chandpur- Narayanganj- Bhairab Bazar- Ashuganj- Ajmiriganj- Markuli- Sherpur- Fenchuganj- Zakiganj- Karimganj</w:t>
            </w:r>
          </w:p>
        </w:tc>
      </w:tr>
      <w:tr w:rsidR="007F2F9C" w:rsidRPr="00F37660" w:rsidTr="006B433D">
        <w:trPr>
          <w:cnfStyle w:val="000000100000"/>
          <w:trHeight w:val="20"/>
        </w:trPr>
        <w:tc>
          <w:tcPr>
            <w:cnfStyle w:val="001000000000"/>
            <w:tcW w:w="654" w:type="pct"/>
            <w:hideMark/>
          </w:tcPr>
          <w:p w:rsidR="007F2F9C" w:rsidRPr="00F37660" w:rsidRDefault="007F2F9C" w:rsidP="00F37660">
            <w:pPr>
              <w:spacing w:after="0" w:line="276" w:lineRule="auto"/>
              <w:jc w:val="center"/>
              <w:rPr>
                <w:rFonts w:ascii="Times New Roman" w:hAnsi="Times New Roman" w:cs="Times New Roman"/>
                <w:color w:val="000000"/>
                <w:sz w:val="20"/>
              </w:rPr>
            </w:pPr>
            <w:r w:rsidRPr="00F37660">
              <w:rPr>
                <w:rFonts w:ascii="Times New Roman" w:hAnsi="Times New Roman" w:cs="Times New Roman"/>
                <w:color w:val="000000"/>
                <w:sz w:val="20"/>
              </w:rPr>
              <w:t>4</w:t>
            </w:r>
          </w:p>
        </w:tc>
        <w:tc>
          <w:tcPr>
            <w:tcW w:w="4346" w:type="pct"/>
            <w:hideMark/>
          </w:tcPr>
          <w:p w:rsidR="007F2F9C" w:rsidRPr="00F37660" w:rsidRDefault="007F2F9C" w:rsidP="00F37660">
            <w:pPr>
              <w:spacing w:after="0" w:line="276" w:lineRule="auto"/>
              <w:ind w:left="122"/>
              <w:cnfStyle w:val="000000100000"/>
              <w:rPr>
                <w:rFonts w:ascii="Times New Roman" w:hAnsi="Times New Roman" w:cs="Times New Roman"/>
                <w:color w:val="000000"/>
                <w:sz w:val="20"/>
              </w:rPr>
            </w:pPr>
            <w:r w:rsidRPr="00F37660">
              <w:rPr>
                <w:rFonts w:ascii="Times New Roman" w:hAnsi="Times New Roman" w:cs="Times New Roman"/>
                <w:color w:val="000000"/>
                <w:sz w:val="20"/>
              </w:rPr>
              <w:t>Karimganj- Zakiganj- Fenchuganj- Sherpur- Markuli- Ajmiriganj- Ashuganj- Bhariab Bazr- Narayanganj- Chandpur- Hizla- Barisal- Kawkhali- Mongla- Raimongal- Haldia- Kolkata</w:t>
            </w:r>
          </w:p>
        </w:tc>
      </w:tr>
      <w:tr w:rsidR="007F2F9C" w:rsidRPr="00F37660" w:rsidTr="006B433D">
        <w:trPr>
          <w:trHeight w:val="20"/>
        </w:trPr>
        <w:tc>
          <w:tcPr>
            <w:cnfStyle w:val="001000000000"/>
            <w:tcW w:w="654" w:type="pct"/>
            <w:hideMark/>
          </w:tcPr>
          <w:p w:rsidR="007F2F9C" w:rsidRPr="00F37660" w:rsidRDefault="007F2F9C" w:rsidP="00F37660">
            <w:pPr>
              <w:spacing w:after="0" w:line="276" w:lineRule="auto"/>
              <w:jc w:val="center"/>
              <w:rPr>
                <w:rFonts w:ascii="Times New Roman" w:hAnsi="Times New Roman" w:cs="Times New Roman"/>
                <w:color w:val="000000"/>
                <w:sz w:val="20"/>
              </w:rPr>
            </w:pPr>
            <w:r w:rsidRPr="00F37660">
              <w:rPr>
                <w:rFonts w:ascii="Times New Roman" w:hAnsi="Times New Roman" w:cs="Times New Roman"/>
                <w:color w:val="000000"/>
                <w:sz w:val="20"/>
              </w:rPr>
              <w:t>5</w:t>
            </w:r>
          </w:p>
        </w:tc>
        <w:tc>
          <w:tcPr>
            <w:tcW w:w="4346" w:type="pct"/>
            <w:hideMark/>
          </w:tcPr>
          <w:p w:rsidR="007F2F9C" w:rsidRPr="00F37660" w:rsidRDefault="007F2F9C" w:rsidP="00F37660">
            <w:pPr>
              <w:spacing w:after="0" w:line="276" w:lineRule="auto"/>
              <w:ind w:left="122"/>
              <w:cnfStyle w:val="000000000000"/>
              <w:rPr>
                <w:rFonts w:ascii="Times New Roman" w:hAnsi="Times New Roman" w:cs="Times New Roman"/>
                <w:color w:val="000000"/>
                <w:sz w:val="20"/>
              </w:rPr>
            </w:pPr>
            <w:r w:rsidRPr="00F37660">
              <w:rPr>
                <w:rFonts w:ascii="Times New Roman" w:hAnsi="Times New Roman" w:cs="Times New Roman"/>
                <w:color w:val="000000"/>
                <w:sz w:val="20"/>
              </w:rPr>
              <w:t>Rajshahi- Godagari- Dhulian</w:t>
            </w:r>
          </w:p>
        </w:tc>
      </w:tr>
      <w:tr w:rsidR="007F2F9C" w:rsidRPr="00F37660" w:rsidTr="006B433D">
        <w:trPr>
          <w:cnfStyle w:val="000000100000"/>
          <w:trHeight w:val="20"/>
        </w:trPr>
        <w:tc>
          <w:tcPr>
            <w:cnfStyle w:val="001000000000"/>
            <w:tcW w:w="654" w:type="pct"/>
            <w:hideMark/>
          </w:tcPr>
          <w:p w:rsidR="007F2F9C" w:rsidRPr="00F37660" w:rsidRDefault="007F2F9C" w:rsidP="00F37660">
            <w:pPr>
              <w:spacing w:after="0" w:line="276" w:lineRule="auto"/>
              <w:jc w:val="center"/>
              <w:rPr>
                <w:rFonts w:ascii="Times New Roman" w:hAnsi="Times New Roman" w:cs="Times New Roman"/>
                <w:color w:val="000000"/>
                <w:sz w:val="20"/>
              </w:rPr>
            </w:pPr>
            <w:r w:rsidRPr="00F37660">
              <w:rPr>
                <w:rFonts w:ascii="Times New Roman" w:hAnsi="Times New Roman" w:cs="Times New Roman"/>
                <w:color w:val="000000"/>
                <w:sz w:val="20"/>
              </w:rPr>
              <w:t>6</w:t>
            </w:r>
          </w:p>
        </w:tc>
        <w:tc>
          <w:tcPr>
            <w:tcW w:w="4346" w:type="pct"/>
            <w:hideMark/>
          </w:tcPr>
          <w:p w:rsidR="007F2F9C" w:rsidRPr="00F37660" w:rsidRDefault="007F2F9C" w:rsidP="00F37660">
            <w:pPr>
              <w:spacing w:after="0" w:line="276" w:lineRule="auto"/>
              <w:ind w:left="122"/>
              <w:cnfStyle w:val="000000100000"/>
              <w:rPr>
                <w:rFonts w:ascii="Times New Roman" w:hAnsi="Times New Roman" w:cs="Times New Roman"/>
                <w:color w:val="000000"/>
                <w:sz w:val="20"/>
              </w:rPr>
            </w:pPr>
            <w:r w:rsidRPr="00F37660">
              <w:rPr>
                <w:rFonts w:ascii="Times New Roman" w:hAnsi="Times New Roman" w:cs="Times New Roman"/>
                <w:color w:val="000000"/>
                <w:sz w:val="20"/>
              </w:rPr>
              <w:t>Dhulian- Godagari- Rajshahi</w:t>
            </w:r>
          </w:p>
        </w:tc>
      </w:tr>
      <w:tr w:rsidR="007F2F9C" w:rsidRPr="00F37660" w:rsidTr="006B433D">
        <w:trPr>
          <w:trHeight w:val="20"/>
        </w:trPr>
        <w:tc>
          <w:tcPr>
            <w:cnfStyle w:val="001000000000"/>
            <w:tcW w:w="654" w:type="pct"/>
            <w:hideMark/>
          </w:tcPr>
          <w:p w:rsidR="007F2F9C" w:rsidRPr="00F37660" w:rsidRDefault="007F2F9C" w:rsidP="00F37660">
            <w:pPr>
              <w:spacing w:after="0" w:line="276" w:lineRule="auto"/>
              <w:jc w:val="center"/>
              <w:rPr>
                <w:rFonts w:ascii="Times New Roman" w:hAnsi="Times New Roman" w:cs="Times New Roman"/>
                <w:color w:val="000000"/>
                <w:sz w:val="20"/>
              </w:rPr>
            </w:pPr>
            <w:r w:rsidRPr="00F37660">
              <w:rPr>
                <w:rFonts w:ascii="Times New Roman" w:hAnsi="Times New Roman" w:cs="Times New Roman"/>
                <w:color w:val="000000"/>
                <w:sz w:val="20"/>
              </w:rPr>
              <w:t>7</w:t>
            </w:r>
          </w:p>
        </w:tc>
        <w:tc>
          <w:tcPr>
            <w:tcW w:w="4346" w:type="pct"/>
            <w:hideMark/>
          </w:tcPr>
          <w:p w:rsidR="007F2F9C" w:rsidRPr="00F37660" w:rsidRDefault="007F2F9C" w:rsidP="00F37660">
            <w:pPr>
              <w:spacing w:after="0" w:line="276" w:lineRule="auto"/>
              <w:ind w:left="122"/>
              <w:cnfStyle w:val="000000000000"/>
              <w:rPr>
                <w:rFonts w:ascii="Times New Roman" w:hAnsi="Times New Roman" w:cs="Times New Roman"/>
                <w:color w:val="000000"/>
                <w:sz w:val="20"/>
              </w:rPr>
            </w:pPr>
            <w:r w:rsidRPr="00F37660">
              <w:rPr>
                <w:rFonts w:ascii="Times New Roman" w:hAnsi="Times New Roman" w:cs="Times New Roman"/>
                <w:color w:val="000000"/>
                <w:sz w:val="20"/>
              </w:rPr>
              <w:t>Karimganj- Zakiganj- Fenchuganj- Sherpur- Markuli- Ajmiriganj- Ashuganj- Bhariab Bazr- Narayanganj- Chandpur- Aricha- Sirajganj- Bahadurabad- Chilmari- Dhubri- Pandu- Shilghat</w:t>
            </w:r>
          </w:p>
        </w:tc>
      </w:tr>
      <w:tr w:rsidR="007F2F9C" w:rsidRPr="00F37660" w:rsidTr="006B433D">
        <w:trPr>
          <w:cnfStyle w:val="000000100000"/>
          <w:trHeight w:val="20"/>
        </w:trPr>
        <w:tc>
          <w:tcPr>
            <w:cnfStyle w:val="001000000000"/>
            <w:tcW w:w="654" w:type="pct"/>
            <w:hideMark/>
          </w:tcPr>
          <w:p w:rsidR="007F2F9C" w:rsidRPr="00F37660" w:rsidRDefault="007F2F9C" w:rsidP="00F37660">
            <w:pPr>
              <w:spacing w:after="0" w:line="276" w:lineRule="auto"/>
              <w:jc w:val="center"/>
              <w:rPr>
                <w:rFonts w:ascii="Times New Roman" w:hAnsi="Times New Roman" w:cs="Times New Roman"/>
                <w:color w:val="000000"/>
                <w:sz w:val="20"/>
              </w:rPr>
            </w:pPr>
            <w:r w:rsidRPr="00F37660">
              <w:rPr>
                <w:rFonts w:ascii="Times New Roman" w:hAnsi="Times New Roman" w:cs="Times New Roman"/>
                <w:color w:val="000000"/>
                <w:sz w:val="20"/>
              </w:rPr>
              <w:t>8</w:t>
            </w:r>
          </w:p>
        </w:tc>
        <w:tc>
          <w:tcPr>
            <w:tcW w:w="4346" w:type="pct"/>
            <w:hideMark/>
          </w:tcPr>
          <w:p w:rsidR="007F2F9C" w:rsidRPr="00F37660" w:rsidRDefault="007F2F9C" w:rsidP="00F37660">
            <w:pPr>
              <w:spacing w:after="0" w:line="276" w:lineRule="auto"/>
              <w:ind w:left="122"/>
              <w:cnfStyle w:val="000000100000"/>
              <w:rPr>
                <w:rFonts w:ascii="Times New Roman" w:hAnsi="Times New Roman" w:cs="Times New Roman"/>
                <w:color w:val="000000"/>
                <w:sz w:val="20"/>
              </w:rPr>
            </w:pPr>
            <w:r w:rsidRPr="00F37660">
              <w:rPr>
                <w:rFonts w:ascii="Times New Roman" w:hAnsi="Times New Roman" w:cs="Times New Roman"/>
                <w:color w:val="000000"/>
                <w:sz w:val="20"/>
              </w:rPr>
              <w:t>Shilghat- Pandu- Dhubri- Chimari- Bahadurabad- Sirajganj- Aricha- Chandpur- Narayanganj- Bhairab Bazar- Ashuganj- Ajmiriganj- Markuli- Sherpur- Fenchuganj- Zakiganj- Karimganj</w:t>
            </w:r>
          </w:p>
        </w:tc>
      </w:tr>
    </w:tbl>
    <w:p w:rsidR="007F2F9C" w:rsidRDefault="00E917D6" w:rsidP="00E917D6">
      <w:pPr>
        <w:spacing w:before="120" w:line="360" w:lineRule="auto"/>
        <w:jc w:val="both"/>
        <w:rPr>
          <w:rFonts w:cs="Times New Roman"/>
          <w:b/>
          <w:i/>
          <w:iCs/>
          <w:sz w:val="20"/>
        </w:rPr>
      </w:pPr>
      <w:r>
        <w:rPr>
          <w:rFonts w:cs="Times New Roman"/>
          <w:b/>
          <w:i/>
          <w:iCs/>
          <w:sz w:val="20"/>
        </w:rPr>
        <w:t xml:space="preserve"> Source: BIWTA</w:t>
      </w:r>
    </w:p>
    <w:p w:rsidR="007F2F9C" w:rsidRPr="004578F0" w:rsidRDefault="007F2F9C" w:rsidP="0036657D">
      <w:pPr>
        <w:pStyle w:val="Heading6"/>
      </w:pPr>
      <w:bookmarkStart w:id="714" w:name="_Toc474639323"/>
      <w:r w:rsidRPr="004578F0">
        <w:lastRenderedPageBreak/>
        <w:t xml:space="preserve">Map </w:t>
      </w:r>
      <w:r w:rsidR="00901C1C">
        <w:t>9.</w:t>
      </w:r>
      <w:r w:rsidR="002B6FBB">
        <w:t>1: India-Bangladesh P</w:t>
      </w:r>
      <w:r w:rsidRPr="004578F0">
        <w:t>rotocol Map</w:t>
      </w:r>
      <w:bookmarkEnd w:id="714"/>
    </w:p>
    <w:p w:rsidR="007F2F9C" w:rsidRDefault="007F2F9C" w:rsidP="000B1950">
      <w:pPr>
        <w:spacing w:after="0"/>
        <w:jc w:val="center"/>
        <w:rPr>
          <w:rFonts w:cs="Times New Roman"/>
          <w:szCs w:val="24"/>
        </w:rPr>
      </w:pPr>
      <w:r>
        <w:rPr>
          <w:rFonts w:cs="Times New Roman"/>
          <w:noProof/>
          <w:szCs w:val="24"/>
          <w:lang w:val="en-AU" w:eastAsia="en-AU" w:bidi="bn-BD"/>
        </w:rPr>
        <w:drawing>
          <wp:inline distT="0" distB="0" distL="0" distR="0">
            <wp:extent cx="5657850" cy="4134678"/>
            <wp:effectExtent l="19050" t="19050" r="19050" b="18415"/>
            <wp:docPr id="146" name="Picture 1" descr="C:\Users\USER\AppData\Local\Microsoft\Windows\Temporary Internet Files\Content.IE5\ZQMXRH3P\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IE5\ZQMXRH3P\map.jpg"/>
                    <pic:cNvPicPr>
                      <a:picLocks noChangeAspect="1" noChangeArrowheads="1"/>
                    </pic:cNvPicPr>
                  </pic:nvPicPr>
                  <pic:blipFill>
                    <a:blip r:embed="rId160" cstate="print"/>
                    <a:srcRect/>
                    <a:stretch>
                      <a:fillRect/>
                    </a:stretch>
                  </pic:blipFill>
                  <pic:spPr bwMode="auto">
                    <a:xfrm>
                      <a:off x="0" y="0"/>
                      <a:ext cx="5668346" cy="4142348"/>
                    </a:xfrm>
                    <a:prstGeom prst="rect">
                      <a:avLst/>
                    </a:prstGeom>
                    <a:noFill/>
                    <a:ln w="12700">
                      <a:solidFill>
                        <a:schemeClr val="tx1"/>
                      </a:solidFill>
                      <a:miter lim="800000"/>
                      <a:headEnd/>
                      <a:tailEnd/>
                    </a:ln>
                  </pic:spPr>
                </pic:pic>
              </a:graphicData>
            </a:graphic>
          </wp:inline>
        </w:drawing>
      </w:r>
    </w:p>
    <w:p w:rsidR="00725B49" w:rsidRDefault="004B78CE" w:rsidP="00725B49">
      <w:pPr>
        <w:pStyle w:val="BodyText"/>
        <w:spacing w:after="240" w:line="276" w:lineRule="auto"/>
        <w:jc w:val="both"/>
        <w:rPr>
          <w:rFonts w:cs="Times New Roman"/>
          <w:szCs w:val="24"/>
        </w:rPr>
      </w:pPr>
      <w:r>
        <w:rPr>
          <w:b/>
          <w:i/>
          <w:sz w:val="20"/>
        </w:rPr>
        <w:t>Source: BIWTA</w:t>
      </w:r>
    </w:p>
    <w:p w:rsidR="00000000" w:rsidRDefault="001674A5" w:rsidP="003D5A31">
      <w:pPr>
        <w:pStyle w:val="BodyText"/>
        <w:numPr>
          <w:ilvl w:val="2"/>
          <w:numId w:val="242"/>
        </w:numPr>
        <w:spacing w:after="240" w:line="276" w:lineRule="auto"/>
        <w:jc w:val="both"/>
        <w:rPr>
          <w:rFonts w:cs="Times New Roman"/>
          <w:b/>
          <w:szCs w:val="24"/>
        </w:rPr>
      </w:pPr>
      <w:r>
        <w:rPr>
          <w:rFonts w:cs="Times New Roman"/>
          <w:b/>
          <w:szCs w:val="24"/>
        </w:rPr>
        <w:t>Current Routes</w:t>
      </w:r>
      <w:r w:rsidR="002B6FBB">
        <w:rPr>
          <w:rFonts w:cs="Times New Roman"/>
          <w:b/>
          <w:szCs w:val="24"/>
        </w:rPr>
        <w:t xml:space="preserve"> and S</w:t>
      </w:r>
      <w:r w:rsidR="007F2F9C" w:rsidRPr="00924255">
        <w:rPr>
          <w:rFonts w:cs="Times New Roman"/>
          <w:b/>
          <w:szCs w:val="24"/>
        </w:rPr>
        <w:t>hipments</w:t>
      </w:r>
    </w:p>
    <w:p w:rsidR="007F2F9C" w:rsidRPr="00924255" w:rsidRDefault="007F2F9C" w:rsidP="000B1950">
      <w:pPr>
        <w:spacing w:line="276" w:lineRule="auto"/>
        <w:jc w:val="both"/>
        <w:rPr>
          <w:rFonts w:cs="Times New Roman"/>
          <w:szCs w:val="24"/>
        </w:rPr>
      </w:pPr>
      <w:r w:rsidRPr="004B0A08">
        <w:rPr>
          <w:rFonts w:cs="Times New Roman"/>
          <w:i/>
          <w:szCs w:val="24"/>
        </w:rPr>
        <w:t>According to the (PIWTT, there are eight agreed routes on which both countries can make cross border goods transport as well as India can use several of them as transit rout</w:t>
      </w:r>
      <w:r w:rsidR="002B6FBB" w:rsidRPr="004B0A08">
        <w:rPr>
          <w:rFonts w:cs="Times New Roman"/>
          <w:i/>
          <w:szCs w:val="24"/>
        </w:rPr>
        <w:t xml:space="preserve">es.  Recent </w:t>
      </w:r>
      <w:r w:rsidRPr="004B0A08">
        <w:rPr>
          <w:rFonts w:cs="Times New Roman"/>
          <w:i/>
          <w:szCs w:val="24"/>
        </w:rPr>
        <w:t>BIWTA</w:t>
      </w:r>
      <w:r w:rsidR="002B6FBB" w:rsidRPr="004B0A08">
        <w:rPr>
          <w:rFonts w:cs="Times New Roman"/>
          <w:i/>
          <w:szCs w:val="24"/>
        </w:rPr>
        <w:t xml:space="preserve"> data suggests </w:t>
      </w:r>
      <w:r w:rsidRPr="004B0A08">
        <w:rPr>
          <w:rFonts w:cs="Times New Roman"/>
          <w:i/>
          <w:szCs w:val="24"/>
        </w:rPr>
        <w:t xml:space="preserve">that since January 2015, a total of 2,599 shipments have been made, of them 21 shipments have used Bangladesh waterways as transit from Pandu to Kolkata. </w:t>
      </w:r>
      <w:r w:rsidRPr="00924255">
        <w:rPr>
          <w:rFonts w:cs="Times New Roman"/>
          <w:szCs w:val="24"/>
        </w:rPr>
        <w:t>These routes are mainly used for importing fly ash (inputs for cement manufacturing) from India, about 99 per cent of the above mentioned shipments have imported fly ash. Few have shipped s</w:t>
      </w:r>
      <w:r w:rsidR="00FE6385">
        <w:rPr>
          <w:rFonts w:cs="Times New Roman"/>
          <w:szCs w:val="24"/>
        </w:rPr>
        <w:t>ton</w:t>
      </w:r>
      <w:r w:rsidRPr="00924255">
        <w:rPr>
          <w:rFonts w:cs="Times New Roman"/>
          <w:szCs w:val="24"/>
        </w:rPr>
        <w:t>es, iron/steels and consumer goods. As of now, these routes have not used for exporting to India. The major reason behind this is the lack of proper port facility and road transport to the river ports. Again, custom procedure is another reason for fly ash being the only imported item. As the cement manufacturing units are basically located by the rivers, it is very convenient for them to import fly ash through rivers. Threads/yarns/cot</w:t>
      </w:r>
      <w:r w:rsidR="00FE6385">
        <w:rPr>
          <w:rFonts w:cs="Times New Roman"/>
          <w:szCs w:val="24"/>
        </w:rPr>
        <w:t>ton</w:t>
      </w:r>
      <w:r w:rsidRPr="00924255">
        <w:rPr>
          <w:rFonts w:cs="Times New Roman"/>
          <w:szCs w:val="24"/>
        </w:rPr>
        <w:t xml:space="preserve"> can also be imported through these routes, but importers have to arrange necessary transport from the river ports to their factories. Custom procedures for imported products can only be administered at Khulna, Narayanganj and Ashuganj. According to the BIWTA authorities, there are some difficulties during the dry season along some of these routes. </w:t>
      </w:r>
    </w:p>
    <w:p w:rsidR="00000000" w:rsidRDefault="00DA110E" w:rsidP="003D5A31">
      <w:pPr>
        <w:pStyle w:val="BodyText"/>
        <w:numPr>
          <w:ilvl w:val="2"/>
          <w:numId w:val="242"/>
        </w:numPr>
        <w:spacing w:after="240" w:line="276" w:lineRule="auto"/>
        <w:jc w:val="both"/>
        <w:rPr>
          <w:rFonts w:cs="Times New Roman"/>
          <w:b/>
          <w:szCs w:val="24"/>
        </w:rPr>
      </w:pPr>
      <w:r>
        <w:rPr>
          <w:rFonts w:cs="Times New Roman"/>
          <w:b/>
          <w:szCs w:val="24"/>
        </w:rPr>
        <w:lastRenderedPageBreak/>
        <w:t>The Challenge of Setting Proper Transit Fees</w:t>
      </w:r>
    </w:p>
    <w:p w:rsidR="007C02AF" w:rsidRDefault="00DA110E" w:rsidP="00E917D6">
      <w:pPr>
        <w:spacing w:line="276" w:lineRule="auto"/>
        <w:jc w:val="both"/>
        <w:rPr>
          <w:rFonts w:eastAsia="Times New Roman" w:cs="Times New Roman"/>
          <w:b/>
          <w:bCs/>
          <w:i/>
          <w:iCs/>
          <w:szCs w:val="24"/>
        </w:rPr>
      </w:pPr>
      <w:r>
        <w:rPr>
          <w:rFonts w:cs="Times New Roman"/>
          <w:szCs w:val="24"/>
        </w:rPr>
        <w:t xml:space="preserve">A panel of experts group set up by the Ministry of Commerce in 2011 advocated the proper transit fee based on cost of providing necessary infrastructure and other related services.  </w:t>
      </w:r>
      <w:r w:rsidR="006B7C27">
        <w:rPr>
          <w:rFonts w:cs="Times New Roman"/>
          <w:szCs w:val="24"/>
        </w:rPr>
        <w:t>This amounted to Tk 580/</w:t>
      </w:r>
      <w:r w:rsidR="00FE6385">
        <w:rPr>
          <w:rFonts w:cs="Times New Roman"/>
          <w:szCs w:val="24"/>
        </w:rPr>
        <w:t>tonne</w:t>
      </w:r>
      <w:r w:rsidR="006B7C27">
        <w:rPr>
          <w:rFonts w:cs="Times New Roman"/>
          <w:szCs w:val="24"/>
        </w:rPr>
        <w:t xml:space="preserve">. </w:t>
      </w:r>
      <w:r>
        <w:rPr>
          <w:rFonts w:cs="Times New Roman"/>
          <w:szCs w:val="24"/>
        </w:rPr>
        <w:t xml:space="preserve">Subsequently, the </w:t>
      </w:r>
      <w:r w:rsidR="007C02AF">
        <w:rPr>
          <w:rFonts w:cs="Times New Roman"/>
          <w:szCs w:val="24"/>
        </w:rPr>
        <w:t>G</w:t>
      </w:r>
      <w:r w:rsidR="007C02AF" w:rsidRPr="00924255">
        <w:rPr>
          <w:rFonts w:cs="Times New Roman"/>
          <w:szCs w:val="24"/>
        </w:rPr>
        <w:t xml:space="preserve">overnment </w:t>
      </w:r>
      <w:r w:rsidR="007F2F9C" w:rsidRPr="00924255">
        <w:rPr>
          <w:rFonts w:cs="Times New Roman"/>
          <w:szCs w:val="24"/>
        </w:rPr>
        <w:t>of Bangladesh proposed to have a minimum rate of Tk 282</w:t>
      </w:r>
      <w:r w:rsidR="00AC5316">
        <w:rPr>
          <w:rFonts w:cs="Times New Roman"/>
          <w:szCs w:val="24"/>
        </w:rPr>
        <w:t>/</w:t>
      </w:r>
      <w:r w:rsidR="00FE6385">
        <w:rPr>
          <w:rFonts w:cs="Times New Roman"/>
          <w:szCs w:val="24"/>
        </w:rPr>
        <w:t>tonne</w:t>
      </w:r>
      <w:r w:rsidR="00847D39">
        <w:rPr>
          <w:rFonts w:cs="Times New Roman"/>
          <w:szCs w:val="24"/>
        </w:rPr>
        <w:t>.</w:t>
      </w:r>
      <w:r w:rsidR="007F2F9C" w:rsidRPr="00924255">
        <w:rPr>
          <w:rFonts w:cs="Times New Roman"/>
          <w:szCs w:val="24"/>
        </w:rPr>
        <w:t xml:space="preserve"> </w:t>
      </w:r>
      <w:r w:rsidR="006B7C27">
        <w:rPr>
          <w:rFonts w:cs="Times New Roman"/>
          <w:szCs w:val="24"/>
        </w:rPr>
        <w:t xml:space="preserve">Finally, </w:t>
      </w:r>
      <w:r w:rsidR="007C02AF">
        <w:rPr>
          <w:rFonts w:cs="Times New Roman"/>
          <w:szCs w:val="24"/>
        </w:rPr>
        <w:t xml:space="preserve">both </w:t>
      </w:r>
      <w:r w:rsidR="006B7C27">
        <w:rPr>
          <w:rFonts w:cs="Times New Roman"/>
          <w:szCs w:val="24"/>
        </w:rPr>
        <w:t xml:space="preserve">the government agreed to set the fee at </w:t>
      </w:r>
      <w:r w:rsidR="0023761E">
        <w:rPr>
          <w:rFonts w:cs="Times New Roman"/>
          <w:szCs w:val="24"/>
        </w:rPr>
        <w:t>Tk 192/</w:t>
      </w:r>
      <w:r w:rsidR="00FE6385">
        <w:rPr>
          <w:rFonts w:cs="Times New Roman"/>
          <w:szCs w:val="24"/>
        </w:rPr>
        <w:t>tonne</w:t>
      </w:r>
      <w:r w:rsidR="006B7C27">
        <w:rPr>
          <w:rFonts w:cs="Times New Roman"/>
          <w:szCs w:val="24"/>
        </w:rPr>
        <w:t xml:space="preserve">.  </w:t>
      </w:r>
    </w:p>
    <w:p w:rsidR="007F2F9C" w:rsidRPr="006B433D" w:rsidRDefault="00E917D6" w:rsidP="00E917D6">
      <w:pPr>
        <w:spacing w:line="276" w:lineRule="auto"/>
        <w:jc w:val="both"/>
        <w:rPr>
          <w:rFonts w:eastAsia="Times New Roman" w:cs="Times New Roman"/>
          <w:b/>
          <w:bCs/>
          <w:i/>
          <w:iCs/>
          <w:szCs w:val="24"/>
        </w:rPr>
      </w:pPr>
      <w:r w:rsidRPr="006B433D">
        <w:rPr>
          <w:rFonts w:eastAsia="Times New Roman" w:cs="Times New Roman"/>
          <w:b/>
          <w:bCs/>
          <w:i/>
          <w:iCs/>
          <w:szCs w:val="24"/>
        </w:rPr>
        <w:t>Inland Waterway P</w:t>
      </w:r>
      <w:r w:rsidR="007F2F9C" w:rsidRPr="006B433D">
        <w:rPr>
          <w:rFonts w:eastAsia="Times New Roman" w:cs="Times New Roman"/>
          <w:b/>
          <w:bCs/>
          <w:i/>
          <w:iCs/>
          <w:szCs w:val="24"/>
        </w:rPr>
        <w:t>rotocol with Myanmar (Potential)</w:t>
      </w:r>
    </w:p>
    <w:p w:rsidR="0002116B" w:rsidRPr="0002116B" w:rsidRDefault="007F2F9C" w:rsidP="000B1950">
      <w:pPr>
        <w:spacing w:line="276" w:lineRule="auto"/>
        <w:jc w:val="both"/>
        <w:rPr>
          <w:rFonts w:cs="Times New Roman"/>
          <w:iCs/>
          <w:szCs w:val="24"/>
        </w:rPr>
      </w:pPr>
      <w:r w:rsidRPr="008217A0">
        <w:rPr>
          <w:rFonts w:cs="Times New Roman"/>
          <w:iCs/>
          <w:szCs w:val="24"/>
        </w:rPr>
        <w:t xml:space="preserve">Bangladesh is planning to sign an Inland Water Transport Protocol (IWTP) agreement with Myanmar to increase connectivity aimed at boosting trade between the two neighbors. As per the protocol 25 non-conventional Bangladeshi ships would be able to transport goods through the </w:t>
      </w:r>
      <w:r w:rsidR="007C02AF">
        <w:rPr>
          <w:rFonts w:cs="Times New Roman"/>
          <w:iCs/>
          <w:szCs w:val="24"/>
        </w:rPr>
        <w:t>r</w:t>
      </w:r>
      <w:r w:rsidR="007C02AF" w:rsidRPr="008217A0">
        <w:rPr>
          <w:rFonts w:cs="Times New Roman"/>
          <w:iCs/>
          <w:szCs w:val="24"/>
        </w:rPr>
        <w:t>ivers</w:t>
      </w:r>
      <w:r w:rsidRPr="008217A0">
        <w:rPr>
          <w:rFonts w:cs="Times New Roman"/>
          <w:iCs/>
          <w:szCs w:val="24"/>
        </w:rPr>
        <w:t xml:space="preserve"> </w:t>
      </w:r>
      <w:r w:rsidR="007C02AF">
        <w:rPr>
          <w:rFonts w:cs="Times New Roman"/>
          <w:iCs/>
          <w:szCs w:val="24"/>
        </w:rPr>
        <w:t xml:space="preserve">of Mayanmar </w:t>
      </w:r>
      <w:r w:rsidRPr="008217A0">
        <w:rPr>
          <w:rFonts w:cs="Times New Roman"/>
          <w:iCs/>
          <w:szCs w:val="24"/>
        </w:rPr>
        <w:t>while the same number of Myanmar ships would be</w:t>
      </w:r>
      <w:r w:rsidR="0002116B">
        <w:rPr>
          <w:rFonts w:cs="Times New Roman"/>
          <w:iCs/>
          <w:szCs w:val="24"/>
        </w:rPr>
        <w:t xml:space="preserve"> plying the </w:t>
      </w:r>
      <w:r w:rsidR="007C02AF">
        <w:rPr>
          <w:rFonts w:cs="Times New Roman"/>
          <w:iCs/>
          <w:szCs w:val="24"/>
        </w:rPr>
        <w:t xml:space="preserve">rivers of </w:t>
      </w:r>
      <w:r w:rsidR="0002116B">
        <w:rPr>
          <w:rFonts w:cs="Times New Roman"/>
          <w:iCs/>
          <w:szCs w:val="24"/>
        </w:rPr>
        <w:t>Bangladesh</w:t>
      </w:r>
      <w:r w:rsidR="007C02AF">
        <w:rPr>
          <w:rFonts w:cs="Times New Roman"/>
          <w:iCs/>
          <w:szCs w:val="24"/>
        </w:rPr>
        <w:t>.</w:t>
      </w:r>
    </w:p>
    <w:p w:rsidR="00000000" w:rsidRDefault="0002116B" w:rsidP="003D5A31">
      <w:pPr>
        <w:pStyle w:val="BodyText"/>
        <w:numPr>
          <w:ilvl w:val="2"/>
          <w:numId w:val="242"/>
        </w:numPr>
        <w:spacing w:after="240" w:line="276" w:lineRule="auto"/>
        <w:jc w:val="both"/>
        <w:rPr>
          <w:rFonts w:cs="Times New Roman"/>
          <w:b/>
          <w:szCs w:val="24"/>
        </w:rPr>
      </w:pPr>
      <w:r w:rsidRPr="00A97FE2">
        <w:rPr>
          <w:rFonts w:cs="Times New Roman"/>
          <w:b/>
          <w:szCs w:val="24"/>
        </w:rPr>
        <w:t>Agreement on Coastal S</w:t>
      </w:r>
      <w:r w:rsidR="007F2F9C" w:rsidRPr="00A97FE2">
        <w:rPr>
          <w:rFonts w:cs="Times New Roman"/>
          <w:b/>
          <w:szCs w:val="24"/>
        </w:rPr>
        <w:t>hipping</w:t>
      </w:r>
    </w:p>
    <w:p w:rsidR="007F2F9C" w:rsidRDefault="007F2F9C" w:rsidP="000B1950">
      <w:pPr>
        <w:spacing w:line="276" w:lineRule="auto"/>
        <w:jc w:val="both"/>
        <w:rPr>
          <w:rFonts w:cs="Times New Roman"/>
          <w:szCs w:val="24"/>
        </w:rPr>
      </w:pPr>
      <w:r w:rsidRPr="00924255">
        <w:rPr>
          <w:rFonts w:cs="Times New Roman"/>
          <w:szCs w:val="24"/>
        </w:rPr>
        <w:t xml:space="preserve">Rapid growth in bilateral trade between India and Bangladesh has led to congestion on the road at Indo-Bangladesh border and at the Land Custom Stations/integrated Check Posts. The traffic congestion at “Petrapole” and “Benapole” on the Bangladesh side has emerged as one of the biggest impediments to the movement of export-import (EXIM) cargo. Due to such congestion, the exporters/importers on both sides have been facing undue increase in the transportation cost.   The present connectivity through sea route with Bangladesh is through ports of Colombo and Singapore. The long sea route adds significantly to the transportation costs of EXIM trade. Several Joint Technical Committee (JTC) meetings have also taken place between India and Bangladesh on the issue of coastal shipping.  The previous engagements finally culminated in a broad understanding on coastal shipping on 24th June, 2014 in Dhaka. Thereafter, an Agreement on Coastal Shipping between Bangladesh and India was finalized and signed on 6th June, 2015. The cooperation in coastal shipping between the two countries would be based on the principles of national sovereignty, mutual benefits as per national laws and international conventions.  </w:t>
      </w:r>
    </w:p>
    <w:p w:rsidR="007F2F9C" w:rsidRDefault="007F2F9C" w:rsidP="000B1950">
      <w:pPr>
        <w:spacing w:line="276" w:lineRule="auto"/>
        <w:jc w:val="both"/>
        <w:rPr>
          <w:rFonts w:cs="Times New Roman"/>
          <w:szCs w:val="24"/>
        </w:rPr>
      </w:pPr>
      <w:r w:rsidRPr="00924255">
        <w:rPr>
          <w:rFonts w:cs="Times New Roman"/>
          <w:szCs w:val="24"/>
        </w:rPr>
        <w:t xml:space="preserve">Advantages of the Agreement:  </w:t>
      </w:r>
    </w:p>
    <w:p w:rsidR="00000000" w:rsidRDefault="007F2F9C" w:rsidP="003D5A31">
      <w:pPr>
        <w:pStyle w:val="ListParagraph"/>
        <w:numPr>
          <w:ilvl w:val="0"/>
          <w:numId w:val="115"/>
        </w:numPr>
        <w:spacing w:line="276" w:lineRule="auto"/>
        <w:ind w:left="360"/>
        <w:jc w:val="both"/>
        <w:rPr>
          <w:rFonts w:cs="Times New Roman"/>
          <w:szCs w:val="24"/>
        </w:rPr>
      </w:pPr>
      <w:r w:rsidRPr="000B1950">
        <w:rPr>
          <w:rFonts w:cs="Times New Roman"/>
          <w:szCs w:val="24"/>
        </w:rPr>
        <w:t xml:space="preserve">The opening of coastal shipping between India and Bangladesh would enable the movement of cargo to the North East through coastal shipping upto Chittagong and thereafter by road/inland waterways.  </w:t>
      </w:r>
    </w:p>
    <w:p w:rsidR="00000000" w:rsidRDefault="007F2F9C" w:rsidP="003D5A31">
      <w:pPr>
        <w:pStyle w:val="ListParagraph"/>
        <w:numPr>
          <w:ilvl w:val="0"/>
          <w:numId w:val="115"/>
        </w:numPr>
        <w:spacing w:line="276" w:lineRule="auto"/>
        <w:ind w:left="360"/>
        <w:jc w:val="both"/>
        <w:rPr>
          <w:rFonts w:cs="Times New Roman"/>
          <w:szCs w:val="24"/>
        </w:rPr>
      </w:pPr>
      <w:r w:rsidRPr="000B1950">
        <w:rPr>
          <w:rFonts w:cs="Times New Roman"/>
          <w:szCs w:val="24"/>
        </w:rPr>
        <w:t xml:space="preserve">The deep draft ports on the eastern coast of India can be ‘hub ports’ for the onward transportation of cargo to Bangladesh via the coastal mode through </w:t>
      </w:r>
      <w:r w:rsidR="0090490F">
        <w:rPr>
          <w:rFonts w:cs="Times New Roman"/>
          <w:szCs w:val="24"/>
        </w:rPr>
        <w:t>River Sea Vessel (</w:t>
      </w:r>
      <w:r w:rsidRPr="000B1950">
        <w:rPr>
          <w:rFonts w:cs="Times New Roman"/>
          <w:szCs w:val="24"/>
        </w:rPr>
        <w:t>RSV</w:t>
      </w:r>
      <w:r w:rsidR="0090490F">
        <w:rPr>
          <w:rFonts w:cs="Times New Roman"/>
          <w:szCs w:val="24"/>
        </w:rPr>
        <w:t>)</w:t>
      </w:r>
      <w:r w:rsidRPr="000B1950">
        <w:rPr>
          <w:rFonts w:cs="Times New Roman"/>
          <w:szCs w:val="24"/>
        </w:rPr>
        <w:t xml:space="preserve"> category of vessels.  </w:t>
      </w:r>
    </w:p>
    <w:p w:rsidR="00000000" w:rsidRDefault="007F2F9C" w:rsidP="003D5A31">
      <w:pPr>
        <w:pStyle w:val="ListParagraph"/>
        <w:numPr>
          <w:ilvl w:val="0"/>
          <w:numId w:val="115"/>
        </w:numPr>
        <w:spacing w:line="276" w:lineRule="auto"/>
        <w:ind w:left="360"/>
        <w:jc w:val="both"/>
        <w:rPr>
          <w:rFonts w:cs="Times New Roman"/>
          <w:szCs w:val="24"/>
        </w:rPr>
      </w:pPr>
      <w:r w:rsidRPr="000B1950">
        <w:rPr>
          <w:rFonts w:cs="Times New Roman"/>
          <w:szCs w:val="24"/>
        </w:rPr>
        <w:t xml:space="preserve">The Indian ports will attract enhanced cargo and also the overall transportation cost to Bangladesh will get reduced. </w:t>
      </w:r>
    </w:p>
    <w:p w:rsidR="00000000" w:rsidRDefault="007F2F9C" w:rsidP="003D5A31">
      <w:pPr>
        <w:pStyle w:val="ListParagraph"/>
        <w:numPr>
          <w:ilvl w:val="0"/>
          <w:numId w:val="115"/>
        </w:numPr>
        <w:spacing w:line="276" w:lineRule="auto"/>
        <w:ind w:left="360"/>
        <w:jc w:val="both"/>
        <w:rPr>
          <w:rFonts w:cs="Times New Roman"/>
          <w:szCs w:val="24"/>
        </w:rPr>
      </w:pPr>
      <w:r w:rsidRPr="000B1950">
        <w:rPr>
          <w:rFonts w:cs="Times New Roman"/>
          <w:szCs w:val="24"/>
        </w:rPr>
        <w:lastRenderedPageBreak/>
        <w:t>The Indian ports serving as trans- shipment ports for Bangladesh cargo will derive benefits by way of enhanced throughput as a result of Indo-Bangladesh coastal trade.</w:t>
      </w:r>
    </w:p>
    <w:p w:rsidR="007F2F9C" w:rsidRPr="00924255" w:rsidRDefault="007F2F9C" w:rsidP="000B1950">
      <w:pPr>
        <w:spacing w:line="276" w:lineRule="auto"/>
        <w:jc w:val="both"/>
        <w:rPr>
          <w:rFonts w:cs="Times New Roman"/>
          <w:szCs w:val="24"/>
        </w:rPr>
      </w:pPr>
      <w:r w:rsidRPr="00924255">
        <w:rPr>
          <w:rFonts w:cs="Times New Roman"/>
          <w:szCs w:val="24"/>
        </w:rPr>
        <w:t>Development of coastal shipping lines involving India</w:t>
      </w:r>
      <w:r>
        <w:rPr>
          <w:rFonts w:cs="Times New Roman"/>
          <w:szCs w:val="24"/>
        </w:rPr>
        <w:t xml:space="preserve"> and Bangladesh </w:t>
      </w:r>
      <w:r w:rsidRPr="00924255">
        <w:rPr>
          <w:rFonts w:cs="Times New Roman"/>
          <w:szCs w:val="24"/>
        </w:rPr>
        <w:t>could further heighten the importance of inland waterway between the two countries.</w:t>
      </w:r>
    </w:p>
    <w:p w:rsidR="00000000" w:rsidRDefault="007C02AF" w:rsidP="003D5A31">
      <w:pPr>
        <w:pStyle w:val="Heading2"/>
        <w:numPr>
          <w:ilvl w:val="1"/>
          <w:numId w:val="254"/>
        </w:numPr>
      </w:pPr>
      <w:bookmarkStart w:id="715" w:name="_Toc474638915"/>
      <w:r>
        <w:t xml:space="preserve"> </w:t>
      </w:r>
      <w:r w:rsidR="007F2F9C" w:rsidRPr="0072476E">
        <w:t xml:space="preserve">Governance and Institutional </w:t>
      </w:r>
      <w:r w:rsidR="00080FD6">
        <w:t>Structure</w:t>
      </w:r>
      <w:r w:rsidR="007F2F9C" w:rsidRPr="0072476E">
        <w:t xml:space="preserve"> of IWT</w:t>
      </w:r>
      <w:bookmarkEnd w:id="715"/>
    </w:p>
    <w:p w:rsidR="00000000" w:rsidRDefault="007F2F9C" w:rsidP="003D5A31">
      <w:pPr>
        <w:pStyle w:val="BodyText"/>
        <w:numPr>
          <w:ilvl w:val="2"/>
          <w:numId w:val="243"/>
        </w:numPr>
        <w:spacing w:after="240" w:line="276" w:lineRule="auto"/>
        <w:jc w:val="both"/>
        <w:rPr>
          <w:rFonts w:cs="Times New Roman"/>
          <w:b/>
          <w:szCs w:val="24"/>
        </w:rPr>
      </w:pPr>
      <w:r w:rsidRPr="00A97FE2">
        <w:rPr>
          <w:rFonts w:cs="Times New Roman"/>
          <w:b/>
          <w:szCs w:val="24"/>
        </w:rPr>
        <w:t>Institutional Structure of Inland Waterway Transport</w:t>
      </w:r>
    </w:p>
    <w:p w:rsidR="00587E19" w:rsidRDefault="00C95B76" w:rsidP="008C0909">
      <w:pPr>
        <w:spacing w:line="276" w:lineRule="auto"/>
        <w:jc w:val="both"/>
        <w:rPr>
          <w:rFonts w:cs="Times New Roman"/>
          <w:szCs w:val="24"/>
        </w:rPr>
      </w:pPr>
      <w:r>
        <w:rPr>
          <w:rFonts w:cs="Times New Roman"/>
          <w:szCs w:val="24"/>
        </w:rPr>
        <w:t xml:space="preserve">The institutional arrangements </w:t>
      </w:r>
      <w:r w:rsidR="007F2F9C" w:rsidRPr="00924255">
        <w:rPr>
          <w:rFonts w:cs="Times New Roman"/>
          <w:szCs w:val="24"/>
        </w:rPr>
        <w:t>for development, maintenance, management and operation of inland navigation and inland and maritime ports in B</w:t>
      </w:r>
      <w:r w:rsidR="00587E19">
        <w:rPr>
          <w:rFonts w:cs="Times New Roman"/>
          <w:szCs w:val="24"/>
        </w:rPr>
        <w:t>angladesh are shown in Figure 9</w:t>
      </w:r>
      <w:r w:rsidR="007F2F9C">
        <w:rPr>
          <w:rFonts w:cs="Times New Roman"/>
          <w:szCs w:val="24"/>
        </w:rPr>
        <w:t xml:space="preserve"> 6</w:t>
      </w:r>
      <w:r w:rsidR="008C0909">
        <w:rPr>
          <w:rFonts w:cs="Times New Roman"/>
          <w:szCs w:val="24"/>
        </w:rPr>
        <w:t>.</w:t>
      </w:r>
    </w:p>
    <w:p w:rsidR="007F2F9C" w:rsidRPr="00924255" w:rsidRDefault="007F2F9C" w:rsidP="0036657D">
      <w:pPr>
        <w:pStyle w:val="Heading5"/>
      </w:pPr>
      <w:bookmarkStart w:id="716" w:name="_Toc474639208"/>
      <w:r>
        <w:t xml:space="preserve">Figure </w:t>
      </w:r>
      <w:r w:rsidR="00DA20B3">
        <w:t>9.</w:t>
      </w:r>
      <w:r>
        <w:t>6</w:t>
      </w:r>
      <w:r w:rsidRPr="00924255">
        <w:t xml:space="preserve">: </w:t>
      </w:r>
      <w:r w:rsidR="00080FD6">
        <w:t xml:space="preserve">Organizational </w:t>
      </w:r>
      <w:r w:rsidRPr="00924255">
        <w:t xml:space="preserve">Structure </w:t>
      </w:r>
      <w:bookmarkEnd w:id="716"/>
    </w:p>
    <w:p w:rsidR="007F2F9C" w:rsidRPr="00924255" w:rsidRDefault="007F2F9C" w:rsidP="0072476E">
      <w:pPr>
        <w:spacing w:after="0" w:line="276" w:lineRule="auto"/>
        <w:jc w:val="center"/>
        <w:rPr>
          <w:rFonts w:cs="Times New Roman"/>
          <w:szCs w:val="24"/>
        </w:rPr>
      </w:pPr>
      <w:r w:rsidRPr="00924255">
        <w:rPr>
          <w:rFonts w:cs="Times New Roman"/>
          <w:noProof/>
          <w:szCs w:val="24"/>
          <w:lang w:val="en-AU" w:eastAsia="en-AU" w:bidi="bn-BD"/>
        </w:rPr>
        <w:drawing>
          <wp:inline distT="0" distB="0" distL="0" distR="0">
            <wp:extent cx="5486400" cy="2771775"/>
            <wp:effectExtent l="19050" t="19050" r="19050" b="28575"/>
            <wp:docPr id="14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cstate="print"/>
                    <a:srcRect/>
                    <a:stretch>
                      <a:fillRect/>
                    </a:stretch>
                  </pic:blipFill>
                  <pic:spPr bwMode="auto">
                    <a:xfrm>
                      <a:off x="0" y="0"/>
                      <a:ext cx="5486400" cy="2771775"/>
                    </a:xfrm>
                    <a:prstGeom prst="rect">
                      <a:avLst/>
                    </a:prstGeom>
                    <a:noFill/>
                    <a:ln w="12700">
                      <a:solidFill>
                        <a:schemeClr val="tx1"/>
                      </a:solidFill>
                      <a:miter lim="800000"/>
                      <a:headEnd/>
                      <a:tailEnd/>
                    </a:ln>
                  </pic:spPr>
                </pic:pic>
              </a:graphicData>
            </a:graphic>
          </wp:inline>
        </w:drawing>
      </w:r>
    </w:p>
    <w:p w:rsidR="007F2F9C" w:rsidRPr="00924255" w:rsidRDefault="004B78CE" w:rsidP="004B78CE">
      <w:pPr>
        <w:pStyle w:val="BodyText"/>
        <w:spacing w:after="240" w:line="276" w:lineRule="auto"/>
        <w:jc w:val="both"/>
        <w:rPr>
          <w:rFonts w:cs="Times New Roman"/>
          <w:szCs w:val="24"/>
        </w:rPr>
      </w:pPr>
      <w:r>
        <w:rPr>
          <w:b/>
          <w:i/>
          <w:sz w:val="20"/>
        </w:rPr>
        <w:t xml:space="preserve">       Source: Ministry of Shipping</w:t>
      </w:r>
    </w:p>
    <w:p w:rsidR="007F2F9C" w:rsidRDefault="007F2F9C" w:rsidP="0072476E">
      <w:pPr>
        <w:spacing w:line="276" w:lineRule="auto"/>
        <w:jc w:val="both"/>
        <w:rPr>
          <w:rFonts w:cs="Times New Roman"/>
          <w:szCs w:val="24"/>
        </w:rPr>
      </w:pPr>
      <w:r w:rsidRPr="00924255">
        <w:rPr>
          <w:rFonts w:cs="Times New Roman"/>
          <w:szCs w:val="24"/>
        </w:rPr>
        <w:t>Under the Ministry of Shipping, the Department of Shipping is a Government Department, while the others are semi Government au</w:t>
      </w:r>
      <w:r w:rsidR="00FE6385">
        <w:rPr>
          <w:rFonts w:cs="Times New Roman"/>
          <w:szCs w:val="24"/>
        </w:rPr>
        <w:t>to</w:t>
      </w:r>
      <w:r w:rsidR="00847D39">
        <w:rPr>
          <w:rFonts w:cs="Times New Roman"/>
          <w:szCs w:val="24"/>
        </w:rPr>
        <w:t>n</w:t>
      </w:r>
      <w:r w:rsidRPr="00924255">
        <w:rPr>
          <w:rFonts w:cs="Times New Roman"/>
          <w:szCs w:val="24"/>
        </w:rPr>
        <w:t>omous organizations and were set up according to respective laws.</w:t>
      </w:r>
    </w:p>
    <w:p w:rsidR="007F2F9C" w:rsidRDefault="007F2F9C" w:rsidP="0072476E">
      <w:pPr>
        <w:spacing w:line="276" w:lineRule="auto"/>
        <w:jc w:val="both"/>
        <w:rPr>
          <w:rFonts w:cs="Times New Roman"/>
          <w:szCs w:val="24"/>
        </w:rPr>
      </w:pPr>
      <w:r w:rsidRPr="00924255">
        <w:rPr>
          <w:rFonts w:cs="Times New Roman"/>
          <w:szCs w:val="24"/>
        </w:rPr>
        <w:t xml:space="preserve">I) </w:t>
      </w:r>
      <w:r w:rsidRPr="00924255">
        <w:rPr>
          <w:rFonts w:cs="Times New Roman"/>
          <w:i/>
          <w:szCs w:val="24"/>
        </w:rPr>
        <w:t>Department of Shipping</w:t>
      </w:r>
      <w:r w:rsidRPr="00924255">
        <w:rPr>
          <w:rFonts w:cs="Times New Roman"/>
          <w:szCs w:val="24"/>
        </w:rPr>
        <w:t>: This department (DOS) was set up under the Merchant Shipping Ordinance, 1983. But under the Inland Shipping Ordinance, 1976 the Government delegated the powers and functions of inland ship safety, ship registration and survey to the DOS. Inland Ship Safety Administration (ISSA) under DOS is responsible for enforcement of ship safety and registration and survey of inland ships.</w:t>
      </w:r>
    </w:p>
    <w:p w:rsidR="007F2F9C" w:rsidRPr="00924255" w:rsidRDefault="007F2F9C" w:rsidP="0072476E">
      <w:pPr>
        <w:spacing w:line="276" w:lineRule="auto"/>
        <w:jc w:val="both"/>
        <w:rPr>
          <w:rFonts w:cs="Times New Roman"/>
          <w:szCs w:val="24"/>
        </w:rPr>
      </w:pPr>
      <w:r w:rsidRPr="00924255">
        <w:rPr>
          <w:rFonts w:cs="Times New Roman"/>
          <w:szCs w:val="24"/>
        </w:rPr>
        <w:lastRenderedPageBreak/>
        <w:t xml:space="preserve">II) </w:t>
      </w:r>
      <w:r w:rsidRPr="00924255">
        <w:rPr>
          <w:rFonts w:cs="Times New Roman"/>
          <w:i/>
          <w:szCs w:val="24"/>
        </w:rPr>
        <w:t>Bangladesh Inland Water Transport Authority</w:t>
      </w:r>
      <w:r w:rsidRPr="00924255">
        <w:rPr>
          <w:rFonts w:cs="Times New Roman"/>
          <w:szCs w:val="24"/>
        </w:rPr>
        <w:t>: BIWTA is responsible for development, maintenance and control of inland water transport and navigable waterways. Main functions of BIWTA includ</w:t>
      </w:r>
      <w:r w:rsidR="00A32E77">
        <w:rPr>
          <w:rFonts w:cs="Times New Roman"/>
          <w:szCs w:val="24"/>
        </w:rPr>
        <w:t>e:</w:t>
      </w:r>
      <w:r w:rsidRPr="00924255">
        <w:rPr>
          <w:rFonts w:cs="Times New Roman"/>
          <w:szCs w:val="24"/>
        </w:rPr>
        <w:t xml:space="preserve"> </w:t>
      </w:r>
    </w:p>
    <w:p w:rsidR="00000000" w:rsidRDefault="007F2F9C" w:rsidP="003D5A31">
      <w:pPr>
        <w:pStyle w:val="ListParagraph"/>
        <w:numPr>
          <w:ilvl w:val="0"/>
          <w:numId w:val="160"/>
        </w:numPr>
        <w:spacing w:line="276" w:lineRule="auto"/>
        <w:jc w:val="both"/>
        <w:rPr>
          <w:rFonts w:cs="Times New Roman"/>
          <w:szCs w:val="24"/>
        </w:rPr>
      </w:pPr>
      <w:r w:rsidRPr="000C29E6">
        <w:rPr>
          <w:rFonts w:cs="Times New Roman"/>
          <w:szCs w:val="24"/>
        </w:rPr>
        <w:t>develop</w:t>
      </w:r>
      <w:r w:rsidR="0068308F">
        <w:rPr>
          <w:rFonts w:cs="Times New Roman"/>
          <w:szCs w:val="24"/>
        </w:rPr>
        <w:t>ment</w:t>
      </w:r>
      <w:r w:rsidRPr="000C29E6">
        <w:rPr>
          <w:rFonts w:cs="Times New Roman"/>
          <w:szCs w:val="24"/>
        </w:rPr>
        <w:t xml:space="preserve"> and maintenance of navigability by dredging and river training, </w:t>
      </w:r>
    </w:p>
    <w:p w:rsidR="00000000" w:rsidRDefault="007F2F9C" w:rsidP="003D5A31">
      <w:pPr>
        <w:pStyle w:val="ListParagraph"/>
        <w:numPr>
          <w:ilvl w:val="0"/>
          <w:numId w:val="160"/>
        </w:numPr>
        <w:spacing w:line="276" w:lineRule="auto"/>
        <w:jc w:val="both"/>
        <w:rPr>
          <w:rFonts w:cs="Times New Roman"/>
          <w:szCs w:val="24"/>
        </w:rPr>
      </w:pPr>
      <w:r w:rsidRPr="000C29E6">
        <w:rPr>
          <w:rFonts w:cs="Times New Roman"/>
          <w:szCs w:val="24"/>
        </w:rPr>
        <w:t xml:space="preserve">hydrographic survey, </w:t>
      </w:r>
    </w:p>
    <w:p w:rsidR="00000000" w:rsidRDefault="007F2F9C" w:rsidP="003D5A31">
      <w:pPr>
        <w:pStyle w:val="ListParagraph"/>
        <w:numPr>
          <w:ilvl w:val="0"/>
          <w:numId w:val="160"/>
        </w:numPr>
        <w:spacing w:line="276" w:lineRule="auto"/>
        <w:jc w:val="both"/>
        <w:rPr>
          <w:rFonts w:cs="Times New Roman"/>
          <w:szCs w:val="24"/>
        </w:rPr>
      </w:pPr>
      <w:r w:rsidRPr="000C29E6">
        <w:rPr>
          <w:rFonts w:cs="Times New Roman"/>
          <w:szCs w:val="24"/>
        </w:rPr>
        <w:t xml:space="preserve">provision for aids to navigation and pilotage, </w:t>
      </w:r>
    </w:p>
    <w:p w:rsidR="00000000" w:rsidRDefault="007F2F9C" w:rsidP="003D5A31">
      <w:pPr>
        <w:pStyle w:val="ListParagraph"/>
        <w:numPr>
          <w:ilvl w:val="0"/>
          <w:numId w:val="160"/>
        </w:numPr>
        <w:spacing w:line="276" w:lineRule="auto"/>
        <w:jc w:val="both"/>
        <w:rPr>
          <w:rFonts w:cs="Times New Roman"/>
          <w:szCs w:val="24"/>
        </w:rPr>
      </w:pPr>
      <w:r w:rsidRPr="000C29E6">
        <w:rPr>
          <w:rFonts w:cs="Times New Roman"/>
          <w:szCs w:val="24"/>
        </w:rPr>
        <w:t xml:space="preserve">development, maintenance and operation of inland ports and landing stations, </w:t>
      </w:r>
    </w:p>
    <w:p w:rsidR="00000000" w:rsidRDefault="007F2F9C" w:rsidP="003D5A31">
      <w:pPr>
        <w:pStyle w:val="ListParagraph"/>
        <w:numPr>
          <w:ilvl w:val="0"/>
          <w:numId w:val="160"/>
        </w:numPr>
        <w:spacing w:line="276" w:lineRule="auto"/>
        <w:jc w:val="both"/>
        <w:rPr>
          <w:rFonts w:cs="Times New Roman"/>
          <w:szCs w:val="24"/>
        </w:rPr>
      </w:pPr>
      <w:r w:rsidRPr="000C29E6">
        <w:rPr>
          <w:rFonts w:cs="Times New Roman"/>
          <w:szCs w:val="24"/>
        </w:rPr>
        <w:t xml:space="preserve">approval of time tables and fare chart for passenger launches, </w:t>
      </w:r>
    </w:p>
    <w:p w:rsidR="00000000" w:rsidRDefault="007F2F9C" w:rsidP="003D5A31">
      <w:pPr>
        <w:pStyle w:val="ListParagraph"/>
        <w:numPr>
          <w:ilvl w:val="0"/>
          <w:numId w:val="160"/>
        </w:numPr>
        <w:spacing w:line="276" w:lineRule="auto"/>
        <w:jc w:val="both"/>
        <w:rPr>
          <w:rFonts w:cs="Times New Roman"/>
          <w:szCs w:val="24"/>
        </w:rPr>
      </w:pPr>
      <w:r w:rsidRPr="000C29E6">
        <w:rPr>
          <w:rFonts w:cs="Times New Roman"/>
          <w:szCs w:val="24"/>
        </w:rPr>
        <w:t xml:space="preserve">operation of the IWT Protocol between Bangladesh and India, and </w:t>
      </w:r>
    </w:p>
    <w:p w:rsidR="00000000" w:rsidRDefault="007F2F9C" w:rsidP="003D5A31">
      <w:pPr>
        <w:pStyle w:val="ListParagraph"/>
        <w:numPr>
          <w:ilvl w:val="0"/>
          <w:numId w:val="160"/>
        </w:numPr>
        <w:spacing w:line="276" w:lineRule="auto"/>
        <w:jc w:val="both"/>
        <w:rPr>
          <w:rFonts w:cs="Times New Roman"/>
          <w:szCs w:val="24"/>
        </w:rPr>
      </w:pPr>
      <w:r w:rsidRPr="000C29E6">
        <w:rPr>
          <w:rFonts w:cs="Times New Roman"/>
          <w:szCs w:val="24"/>
        </w:rPr>
        <w:t>research and training.</w:t>
      </w:r>
    </w:p>
    <w:p w:rsidR="007F2F9C" w:rsidRPr="00924255" w:rsidRDefault="007F2F9C" w:rsidP="0072476E">
      <w:pPr>
        <w:spacing w:line="276" w:lineRule="auto"/>
        <w:jc w:val="both"/>
        <w:rPr>
          <w:rFonts w:cs="Times New Roman"/>
          <w:szCs w:val="24"/>
        </w:rPr>
      </w:pPr>
      <w:r w:rsidRPr="00924255">
        <w:rPr>
          <w:rFonts w:cs="Times New Roman"/>
          <w:szCs w:val="24"/>
        </w:rPr>
        <w:t xml:space="preserve">III) </w:t>
      </w:r>
      <w:r w:rsidRPr="00924255">
        <w:rPr>
          <w:rFonts w:cs="Times New Roman"/>
          <w:i/>
          <w:szCs w:val="24"/>
        </w:rPr>
        <w:t>Bangladesh Inland Water Transport Corporation</w:t>
      </w:r>
      <w:r w:rsidRPr="00924255">
        <w:rPr>
          <w:rFonts w:cs="Times New Roman"/>
          <w:szCs w:val="24"/>
        </w:rPr>
        <w:t>: BIWTC is a state owned corporation providing passenger and freight shipping services. Over the years with the growth of private sector in inland shipping main activities of BIWTC are concentrated in providing ferry services in major river crossings and passenger services in southern region and the coastal area.</w:t>
      </w:r>
    </w:p>
    <w:p w:rsidR="007F2F9C" w:rsidRPr="00924255" w:rsidRDefault="007F2F9C" w:rsidP="0072476E">
      <w:pPr>
        <w:spacing w:line="276" w:lineRule="auto"/>
        <w:jc w:val="both"/>
        <w:rPr>
          <w:rFonts w:cs="Times New Roman"/>
          <w:szCs w:val="24"/>
        </w:rPr>
      </w:pPr>
      <w:r w:rsidRPr="00924255">
        <w:rPr>
          <w:rFonts w:cs="Times New Roman"/>
          <w:szCs w:val="24"/>
        </w:rPr>
        <w:t xml:space="preserve">IV) </w:t>
      </w:r>
      <w:r w:rsidRPr="00924255">
        <w:rPr>
          <w:rFonts w:cs="Times New Roman"/>
          <w:i/>
          <w:szCs w:val="24"/>
        </w:rPr>
        <w:t>Chittagong Port Authority</w:t>
      </w:r>
      <w:r w:rsidRPr="00924255">
        <w:rPr>
          <w:rFonts w:cs="Times New Roman"/>
          <w:szCs w:val="24"/>
        </w:rPr>
        <w:t>: the CPA is responsible for improvement, management and operation of the main maritime port of Bangladesh: Chittagong Port.</w:t>
      </w:r>
    </w:p>
    <w:p w:rsidR="007F2F9C" w:rsidRPr="00924255" w:rsidRDefault="007F2F9C" w:rsidP="0072476E">
      <w:pPr>
        <w:spacing w:line="276" w:lineRule="auto"/>
        <w:jc w:val="both"/>
        <w:rPr>
          <w:rFonts w:cs="Times New Roman"/>
          <w:szCs w:val="24"/>
        </w:rPr>
      </w:pPr>
      <w:r w:rsidRPr="00924255">
        <w:rPr>
          <w:rFonts w:cs="Times New Roman"/>
          <w:szCs w:val="24"/>
        </w:rPr>
        <w:t xml:space="preserve">V) </w:t>
      </w:r>
      <w:r w:rsidRPr="00924255">
        <w:rPr>
          <w:rFonts w:cs="Times New Roman"/>
          <w:i/>
          <w:szCs w:val="24"/>
        </w:rPr>
        <w:t>Mongla Port Authority</w:t>
      </w:r>
      <w:r w:rsidRPr="00924255">
        <w:rPr>
          <w:rFonts w:cs="Times New Roman"/>
          <w:szCs w:val="24"/>
        </w:rPr>
        <w:t>: the MPA is responsible for development, management and operation of the second maritime port: Mongla Port.</w:t>
      </w:r>
    </w:p>
    <w:p w:rsidR="007F2F9C" w:rsidRPr="00924255" w:rsidRDefault="007F2F9C" w:rsidP="0072476E">
      <w:pPr>
        <w:spacing w:line="276" w:lineRule="auto"/>
        <w:jc w:val="both"/>
        <w:rPr>
          <w:rFonts w:cs="Times New Roman"/>
          <w:szCs w:val="24"/>
        </w:rPr>
      </w:pPr>
      <w:r w:rsidRPr="00924255">
        <w:rPr>
          <w:rFonts w:cs="Times New Roman"/>
          <w:szCs w:val="24"/>
        </w:rPr>
        <w:t xml:space="preserve">VI) </w:t>
      </w:r>
      <w:r w:rsidRPr="00924255">
        <w:rPr>
          <w:rFonts w:cs="Times New Roman"/>
          <w:i/>
          <w:szCs w:val="24"/>
        </w:rPr>
        <w:t>Payra Port Authority</w:t>
      </w:r>
      <w:r w:rsidRPr="00924255">
        <w:rPr>
          <w:rFonts w:cs="Times New Roman"/>
          <w:szCs w:val="24"/>
        </w:rPr>
        <w:t xml:space="preserve">: Payra Port will be the third maritime port located at </w:t>
      </w:r>
      <w:r w:rsidR="00756BE4">
        <w:rPr>
          <w:rFonts w:ascii="Tahoma" w:hAnsi="Tahoma" w:cs="Tahoma"/>
          <w:color w:val="000000"/>
          <w:sz w:val="20"/>
          <w:szCs w:val="20"/>
        </w:rPr>
        <w:t>Ramnabad</w:t>
      </w:r>
      <w:r w:rsidRPr="00924255">
        <w:rPr>
          <w:rFonts w:cs="Times New Roman"/>
          <w:szCs w:val="24"/>
        </w:rPr>
        <w:t xml:space="preserve"> channel in the southern Patuakhali district as decided by the Government. The</w:t>
      </w:r>
      <w:r>
        <w:rPr>
          <w:rFonts w:cs="Times New Roman"/>
          <w:szCs w:val="24"/>
        </w:rPr>
        <w:t xml:space="preserve"> </w:t>
      </w:r>
      <w:r w:rsidRPr="00924255">
        <w:rPr>
          <w:rFonts w:cs="Times New Roman"/>
          <w:szCs w:val="24"/>
        </w:rPr>
        <w:t>PPA was set up by the end of 2013. A detailed feasibility study is now underway for development of port infrastructure.</w:t>
      </w:r>
    </w:p>
    <w:p w:rsidR="007F2F9C" w:rsidRPr="00924255" w:rsidRDefault="007F2F9C" w:rsidP="0072476E">
      <w:pPr>
        <w:spacing w:line="276" w:lineRule="auto"/>
        <w:jc w:val="both"/>
        <w:rPr>
          <w:rFonts w:cs="Times New Roman"/>
          <w:szCs w:val="24"/>
        </w:rPr>
      </w:pPr>
      <w:r w:rsidRPr="00924255">
        <w:rPr>
          <w:rFonts w:cs="Times New Roman"/>
          <w:szCs w:val="24"/>
        </w:rPr>
        <w:t xml:space="preserve">Besides </w:t>
      </w:r>
      <w:r w:rsidR="00847D39">
        <w:rPr>
          <w:rFonts w:cs="Times New Roman"/>
          <w:szCs w:val="24"/>
        </w:rPr>
        <w:t>public</w:t>
      </w:r>
      <w:r w:rsidRPr="00924255">
        <w:rPr>
          <w:rFonts w:cs="Times New Roman"/>
          <w:szCs w:val="24"/>
        </w:rPr>
        <w:t xml:space="preserve"> institutions the following trade bodies in private sector are also involved in IWT sub-sector:</w:t>
      </w:r>
    </w:p>
    <w:p w:rsidR="007F2F9C" w:rsidRPr="00924255" w:rsidRDefault="007F2F9C" w:rsidP="0072476E">
      <w:pPr>
        <w:pStyle w:val="ListParagraph"/>
        <w:spacing w:line="276" w:lineRule="auto"/>
        <w:ind w:left="0"/>
        <w:rPr>
          <w:rFonts w:cs="Times New Roman"/>
          <w:szCs w:val="24"/>
        </w:rPr>
      </w:pPr>
      <w:r w:rsidRPr="00924255">
        <w:rPr>
          <w:rFonts w:cs="Times New Roman"/>
          <w:szCs w:val="24"/>
        </w:rPr>
        <w:t>Bangladesh Inland Water Passenger Carriers’ Association (BIWPCA)</w:t>
      </w:r>
    </w:p>
    <w:p w:rsidR="007F2F9C" w:rsidRPr="00924255" w:rsidRDefault="007F2F9C" w:rsidP="0072476E">
      <w:pPr>
        <w:pStyle w:val="ListParagraph"/>
        <w:spacing w:line="276" w:lineRule="auto"/>
        <w:ind w:left="0"/>
        <w:rPr>
          <w:rFonts w:cs="Times New Roman"/>
          <w:szCs w:val="24"/>
        </w:rPr>
      </w:pPr>
      <w:r w:rsidRPr="00924255">
        <w:rPr>
          <w:rFonts w:cs="Times New Roman"/>
          <w:szCs w:val="24"/>
        </w:rPr>
        <w:t>Bangladesh Launch Owners’ Association (BLOA)</w:t>
      </w:r>
    </w:p>
    <w:p w:rsidR="007F2F9C" w:rsidRPr="00924255" w:rsidRDefault="007F2F9C" w:rsidP="0072476E">
      <w:pPr>
        <w:pStyle w:val="ListParagraph"/>
        <w:spacing w:line="276" w:lineRule="auto"/>
        <w:ind w:left="0"/>
        <w:rPr>
          <w:rFonts w:cs="Times New Roman"/>
          <w:szCs w:val="24"/>
        </w:rPr>
      </w:pPr>
      <w:r w:rsidRPr="00924255">
        <w:rPr>
          <w:rFonts w:cs="Times New Roman"/>
          <w:szCs w:val="24"/>
        </w:rPr>
        <w:t>Bangladesh Cargo Vessels Owners’ Association (BCVOA)</w:t>
      </w:r>
    </w:p>
    <w:p w:rsidR="007F2F9C" w:rsidRPr="00924255" w:rsidRDefault="007F2F9C" w:rsidP="0072476E">
      <w:pPr>
        <w:pStyle w:val="ListParagraph"/>
        <w:spacing w:line="276" w:lineRule="auto"/>
        <w:ind w:left="0"/>
        <w:rPr>
          <w:rFonts w:cs="Times New Roman"/>
          <w:szCs w:val="24"/>
        </w:rPr>
      </w:pPr>
      <w:r w:rsidRPr="00924255">
        <w:rPr>
          <w:rFonts w:cs="Times New Roman"/>
          <w:szCs w:val="24"/>
        </w:rPr>
        <w:t>Bangladesh Coastal Ship Owners’ Association</w:t>
      </w:r>
    </w:p>
    <w:p w:rsidR="007F2F9C" w:rsidRPr="00924255" w:rsidRDefault="007F2F9C" w:rsidP="0072476E">
      <w:pPr>
        <w:pStyle w:val="ListParagraph"/>
        <w:spacing w:line="276" w:lineRule="auto"/>
        <w:ind w:left="0"/>
        <w:rPr>
          <w:rFonts w:cs="Times New Roman"/>
          <w:szCs w:val="24"/>
        </w:rPr>
      </w:pPr>
      <w:r w:rsidRPr="00924255">
        <w:rPr>
          <w:rFonts w:cs="Times New Roman"/>
          <w:szCs w:val="24"/>
        </w:rPr>
        <w:t>Bangladesh Oil Tankers Owners’ Association</w:t>
      </w:r>
    </w:p>
    <w:p w:rsidR="007F2F9C" w:rsidRPr="00924255" w:rsidRDefault="007F2F9C" w:rsidP="0072476E">
      <w:pPr>
        <w:pStyle w:val="ListParagraph"/>
        <w:spacing w:line="276" w:lineRule="auto"/>
        <w:ind w:left="0"/>
        <w:rPr>
          <w:rFonts w:cs="Times New Roman"/>
          <w:szCs w:val="24"/>
        </w:rPr>
      </w:pPr>
      <w:r w:rsidRPr="00924255">
        <w:rPr>
          <w:rFonts w:cs="Times New Roman"/>
          <w:szCs w:val="24"/>
        </w:rPr>
        <w:t>Bangladesh Bulk-Head and Engine Boat Owners’ Association</w:t>
      </w:r>
    </w:p>
    <w:p w:rsidR="0090490F" w:rsidRDefault="007F2F9C" w:rsidP="00A32E77">
      <w:pPr>
        <w:pStyle w:val="ListParagraph"/>
        <w:spacing w:line="276" w:lineRule="auto"/>
        <w:ind w:left="0"/>
        <w:rPr>
          <w:rFonts w:cs="Times New Roman"/>
          <w:szCs w:val="24"/>
        </w:rPr>
      </w:pPr>
      <w:r w:rsidRPr="00924255">
        <w:rPr>
          <w:rFonts w:cs="Times New Roman"/>
          <w:szCs w:val="24"/>
        </w:rPr>
        <w:t>Dredger Owners’ Association of Bangladesh</w:t>
      </w:r>
    </w:p>
    <w:p w:rsidR="00000000" w:rsidRDefault="007F2F9C" w:rsidP="003D5A31">
      <w:pPr>
        <w:pStyle w:val="BodyText"/>
        <w:numPr>
          <w:ilvl w:val="2"/>
          <w:numId w:val="243"/>
        </w:numPr>
        <w:spacing w:after="240" w:line="276" w:lineRule="auto"/>
        <w:jc w:val="both"/>
        <w:rPr>
          <w:rFonts w:cs="Times New Roman"/>
          <w:b/>
          <w:szCs w:val="24"/>
        </w:rPr>
      </w:pPr>
      <w:r w:rsidRPr="00A97FE2">
        <w:rPr>
          <w:rFonts w:cs="Times New Roman"/>
          <w:b/>
          <w:szCs w:val="24"/>
        </w:rPr>
        <w:t>Management of IWT Sub-Sector</w:t>
      </w:r>
    </w:p>
    <w:p w:rsidR="007F2F9C" w:rsidRPr="00924255" w:rsidRDefault="007F2F9C" w:rsidP="0072476E">
      <w:pPr>
        <w:spacing w:line="276" w:lineRule="auto"/>
        <w:jc w:val="both"/>
        <w:rPr>
          <w:rFonts w:cs="Times New Roman"/>
          <w:szCs w:val="24"/>
        </w:rPr>
      </w:pPr>
      <w:r w:rsidRPr="00924255">
        <w:rPr>
          <w:rFonts w:cs="Times New Roman"/>
          <w:szCs w:val="24"/>
        </w:rPr>
        <w:t xml:space="preserve">DOS is responsible for ship safety, ship registration and survey while BIWTA exercise control of movement of inland ships in waterways and also of loading-unloading of passengers and goods at inland ports and landing stations. DOS employees have the legal power to vessels committing </w:t>
      </w:r>
      <w:r w:rsidRPr="00924255">
        <w:rPr>
          <w:rFonts w:cs="Times New Roman"/>
          <w:szCs w:val="24"/>
        </w:rPr>
        <w:lastRenderedPageBreak/>
        <w:t xml:space="preserve">offence against the law. A total of 62 DOS persons are engaged in inland shipping, as such they could hardly be seen in the port. On the other hand, BIWTA personnel remain present at ports and landing stations but they do not have the judiciary power to take actions against vessels violating laws and orders. </w:t>
      </w:r>
    </w:p>
    <w:p w:rsidR="007F2F9C" w:rsidRDefault="007F2F9C" w:rsidP="0072476E">
      <w:pPr>
        <w:spacing w:line="276" w:lineRule="auto"/>
        <w:jc w:val="both"/>
        <w:rPr>
          <w:rFonts w:cs="Times New Roman"/>
          <w:szCs w:val="24"/>
        </w:rPr>
      </w:pPr>
      <w:r w:rsidRPr="00924255">
        <w:rPr>
          <w:rFonts w:cs="Times New Roman"/>
          <w:szCs w:val="24"/>
        </w:rPr>
        <w:t>DOS has got only four surveyors to exercise control of ship construction and periodical survey of inland vessels. Survey certificates issued in favor of as many as 10,000 inland vessels by four surveyors invite the issue of transparency in this matter. BIWTA undertake training programs for crew but certificate of competency to crew is awarded by DOS.</w:t>
      </w:r>
    </w:p>
    <w:p w:rsidR="007F2F9C" w:rsidRDefault="007F2F9C" w:rsidP="0072476E">
      <w:pPr>
        <w:spacing w:line="276" w:lineRule="auto"/>
        <w:jc w:val="both"/>
        <w:rPr>
          <w:rFonts w:cs="Times New Roman"/>
          <w:szCs w:val="24"/>
        </w:rPr>
      </w:pPr>
      <w:r w:rsidRPr="00924255">
        <w:rPr>
          <w:rFonts w:cs="Times New Roman"/>
          <w:szCs w:val="24"/>
        </w:rPr>
        <w:t xml:space="preserve">Though, IWT is comparatively safer than road transport in terms of fatal statistics and in terms of traffic output, it was evident from reports of various investigation committees that about 85 percent ship accidents occurred due to human error or negligence. </w:t>
      </w:r>
    </w:p>
    <w:p w:rsidR="007F2F9C" w:rsidRPr="00C86776" w:rsidRDefault="00587E19" w:rsidP="00C86776">
      <w:pPr>
        <w:spacing w:line="276" w:lineRule="auto"/>
        <w:ind w:left="720"/>
        <w:jc w:val="both"/>
        <w:rPr>
          <w:rFonts w:cs="Times New Roman"/>
          <w:b/>
          <w:bCs/>
          <w:i/>
          <w:iCs/>
          <w:szCs w:val="24"/>
        </w:rPr>
      </w:pPr>
      <w:r w:rsidRPr="00C86776">
        <w:rPr>
          <w:rFonts w:cs="Times New Roman"/>
          <w:b/>
          <w:bCs/>
          <w:i/>
          <w:iCs/>
          <w:szCs w:val="24"/>
        </w:rPr>
        <w:t>The Overlap of R</w:t>
      </w:r>
      <w:r w:rsidR="007F2F9C" w:rsidRPr="00C86776">
        <w:rPr>
          <w:rFonts w:cs="Times New Roman"/>
          <w:b/>
          <w:bCs/>
          <w:i/>
          <w:iCs/>
          <w:szCs w:val="24"/>
        </w:rPr>
        <w:t>esponsibilities between BIWTA and DOS</w:t>
      </w:r>
    </w:p>
    <w:p w:rsidR="0072476E" w:rsidRDefault="007F2F9C" w:rsidP="00A32E77">
      <w:pPr>
        <w:spacing w:line="276" w:lineRule="auto"/>
        <w:jc w:val="both"/>
        <w:rPr>
          <w:rFonts w:cs="Times New Roman"/>
          <w:szCs w:val="24"/>
        </w:rPr>
      </w:pPr>
      <w:r w:rsidRPr="00924255">
        <w:rPr>
          <w:rFonts w:cs="Times New Roman"/>
          <w:szCs w:val="24"/>
        </w:rPr>
        <w:t xml:space="preserve">BIWTA defines construction design, DOS certifies the same vessel after construction; crew members are trained by BIWTA but licensed by DOS.  BIWTA issues some classification rules for ship operations with DOS monitoring these rules.  All of these functions could be better executed by one of these two organizations. An adequate level of resources is required to ensure good sector management. Priority should be given to making enough human resources available to enforce safety regulation (controlling the technical quality of vessels design and construction, controlling overloading). An equivalent priority would be to provide the human and financial resources to monitor sector performance. Particularly important is monitoring of the waterways network as the last comprehensive hydrographic survey was carried out in 1989. Since then only surveys limited to the most important inland and coastal waterways have been carried out, and the present condition of the network of navigable waterways is unknown. As a result, planning is based on ad-hoc decisions without real sector perspective, objective information and technical and </w:t>
      </w:r>
      <w:r w:rsidR="00065D01" w:rsidRPr="00924255">
        <w:rPr>
          <w:rFonts w:cs="Times New Roman"/>
          <w:szCs w:val="24"/>
        </w:rPr>
        <w:t>economic</w:t>
      </w:r>
      <w:r w:rsidRPr="00924255">
        <w:rPr>
          <w:rFonts w:cs="Times New Roman"/>
          <w:szCs w:val="24"/>
        </w:rPr>
        <w:t xml:space="preserve"> justification, making it difficult to resist political pressure. Improved monitoring would include environment for which equipment has been purchased during the past decade but has remained unused because of lack of human and financial resources. </w:t>
      </w:r>
    </w:p>
    <w:p w:rsidR="00282AE2" w:rsidRDefault="00282AE2" w:rsidP="00A32E77">
      <w:pPr>
        <w:spacing w:line="276" w:lineRule="auto"/>
        <w:jc w:val="both"/>
        <w:rPr>
          <w:rFonts w:cs="Times New Roman"/>
          <w:szCs w:val="24"/>
        </w:rPr>
      </w:pPr>
    </w:p>
    <w:p w:rsidR="00000000" w:rsidRDefault="007F2F9C" w:rsidP="003D5A31">
      <w:pPr>
        <w:pStyle w:val="BodyText"/>
        <w:numPr>
          <w:ilvl w:val="2"/>
          <w:numId w:val="243"/>
        </w:numPr>
        <w:spacing w:after="240" w:line="276" w:lineRule="auto"/>
        <w:jc w:val="both"/>
        <w:rPr>
          <w:rFonts w:cs="Times New Roman"/>
          <w:b/>
          <w:szCs w:val="24"/>
        </w:rPr>
      </w:pPr>
      <w:r w:rsidRPr="00A97FE2">
        <w:rPr>
          <w:rFonts w:cs="Times New Roman"/>
          <w:b/>
          <w:szCs w:val="24"/>
        </w:rPr>
        <w:t>Disparity in Budget Allocation and Utilization</w:t>
      </w:r>
    </w:p>
    <w:p w:rsidR="007F2F9C" w:rsidRDefault="007F2F9C" w:rsidP="0072476E">
      <w:pPr>
        <w:spacing w:line="276" w:lineRule="auto"/>
        <w:jc w:val="both"/>
        <w:rPr>
          <w:rFonts w:cs="Times New Roman"/>
          <w:szCs w:val="24"/>
          <w:lang w:val="en-GB"/>
        </w:rPr>
      </w:pPr>
      <w:r w:rsidRPr="00924255">
        <w:rPr>
          <w:rFonts w:cs="Times New Roman"/>
          <w:szCs w:val="24"/>
          <w:lang w:val="en-GB"/>
        </w:rPr>
        <w:t xml:space="preserve">The IWT had </w:t>
      </w:r>
      <w:r w:rsidR="001D3E53">
        <w:rPr>
          <w:rFonts w:cs="Times New Roman"/>
          <w:szCs w:val="24"/>
          <w:lang w:val="en-GB"/>
        </w:rPr>
        <w:t>not</w:t>
      </w:r>
      <w:r w:rsidR="001D3E53" w:rsidRPr="00924255">
        <w:rPr>
          <w:rFonts w:cs="Times New Roman"/>
          <w:szCs w:val="24"/>
          <w:lang w:val="en-GB"/>
        </w:rPr>
        <w:t xml:space="preserve"> </w:t>
      </w:r>
      <w:r w:rsidRPr="00924255">
        <w:rPr>
          <w:rFonts w:cs="Times New Roman"/>
          <w:szCs w:val="24"/>
          <w:lang w:val="en-GB"/>
        </w:rPr>
        <w:t xml:space="preserve">been able </w:t>
      </w:r>
      <w:r w:rsidR="0068308F">
        <w:rPr>
          <w:rFonts w:cs="Times New Roman"/>
          <w:szCs w:val="24"/>
          <w:lang w:val="en-GB"/>
        </w:rPr>
        <w:t xml:space="preserve">to capture adequate </w:t>
      </w:r>
      <w:r w:rsidRPr="00924255">
        <w:rPr>
          <w:rFonts w:cs="Times New Roman"/>
          <w:szCs w:val="24"/>
          <w:lang w:val="en-GB"/>
        </w:rPr>
        <w:t xml:space="preserve">budget allocation as it has </w:t>
      </w:r>
      <w:r w:rsidR="001D3E53">
        <w:rPr>
          <w:rFonts w:cs="Times New Roman"/>
          <w:szCs w:val="24"/>
          <w:lang w:val="en-GB"/>
        </w:rPr>
        <w:t>not</w:t>
      </w:r>
      <w:r w:rsidR="001D3E53" w:rsidRPr="00924255">
        <w:rPr>
          <w:rFonts w:cs="Times New Roman"/>
          <w:szCs w:val="24"/>
          <w:lang w:val="en-GB"/>
        </w:rPr>
        <w:t xml:space="preserve"> </w:t>
      </w:r>
      <w:r w:rsidR="0068308F">
        <w:rPr>
          <w:rFonts w:cs="Times New Roman"/>
          <w:szCs w:val="24"/>
          <w:lang w:val="en-GB"/>
        </w:rPr>
        <w:t xml:space="preserve">been a priority </w:t>
      </w:r>
      <w:r w:rsidRPr="00924255">
        <w:rPr>
          <w:rFonts w:cs="Times New Roman"/>
          <w:szCs w:val="24"/>
          <w:lang w:val="en-GB"/>
        </w:rPr>
        <w:t xml:space="preserve">for development in Bangladesh. Against the modal share of 8.9% and 16% respectively in passenger and freight movement, the IWT received on average less than 5% of the total ADP allocation for surface transport (See Table </w:t>
      </w:r>
      <w:r w:rsidR="00901C1C">
        <w:rPr>
          <w:rFonts w:cs="Times New Roman"/>
          <w:szCs w:val="24"/>
          <w:lang w:val="en-GB"/>
        </w:rPr>
        <w:t>9.</w:t>
      </w:r>
      <w:r w:rsidR="00701EE6">
        <w:rPr>
          <w:rFonts w:cs="Times New Roman"/>
          <w:szCs w:val="24"/>
          <w:lang w:val="en-GB"/>
        </w:rPr>
        <w:t>33</w:t>
      </w:r>
      <w:r w:rsidRPr="00924255">
        <w:rPr>
          <w:rFonts w:cs="Times New Roman"/>
          <w:szCs w:val="24"/>
          <w:lang w:val="en-GB"/>
        </w:rPr>
        <w:t>). This seriously affects its capacity to undertake dredging and other infrastructure maintenance activities inland waterways.</w:t>
      </w:r>
    </w:p>
    <w:p w:rsidR="00521A7E" w:rsidRPr="00587E19" w:rsidRDefault="00521A7E" w:rsidP="0072476E">
      <w:pPr>
        <w:pStyle w:val="Caption"/>
        <w:spacing w:after="0"/>
        <w:jc w:val="center"/>
        <w:rPr>
          <w:rFonts w:cs="Times New Roman"/>
          <w:color w:val="auto"/>
          <w:sz w:val="2"/>
          <w:szCs w:val="24"/>
        </w:rPr>
      </w:pPr>
    </w:p>
    <w:p w:rsidR="007F2F9C" w:rsidRPr="00924255" w:rsidRDefault="007F2F9C" w:rsidP="0036657D">
      <w:pPr>
        <w:pStyle w:val="Heading4"/>
      </w:pPr>
      <w:bookmarkStart w:id="717" w:name="_Toc474639099"/>
      <w:r w:rsidRPr="00924255">
        <w:lastRenderedPageBreak/>
        <w:t xml:space="preserve">Table </w:t>
      </w:r>
      <w:r w:rsidR="00901C1C">
        <w:t>9.</w:t>
      </w:r>
      <w:r w:rsidR="0023761E">
        <w:t>3</w:t>
      </w:r>
      <w:r w:rsidR="00701EE6">
        <w:t>3</w:t>
      </w:r>
      <w:r w:rsidRPr="00924255">
        <w:t>: ADP Allocation in the Surface Transport in Percentage</w:t>
      </w:r>
      <w:bookmarkEnd w:id="717"/>
    </w:p>
    <w:tbl>
      <w:tblPr>
        <w:tblStyle w:val="LightShading10"/>
        <w:tblW w:w="5000" w:type="pct"/>
        <w:tblLook w:val="04A0"/>
      </w:tblPr>
      <w:tblGrid>
        <w:gridCol w:w="2634"/>
        <w:gridCol w:w="2314"/>
        <w:gridCol w:w="2314"/>
        <w:gridCol w:w="2314"/>
      </w:tblGrid>
      <w:tr w:rsidR="007F2F9C" w:rsidRPr="006B433D" w:rsidTr="006B433D">
        <w:trPr>
          <w:cnfStyle w:val="100000000000"/>
          <w:trHeight w:hRule="exact" w:val="360"/>
        </w:trPr>
        <w:tc>
          <w:tcPr>
            <w:cnfStyle w:val="001000000000"/>
            <w:tcW w:w="1376" w:type="pct"/>
          </w:tcPr>
          <w:p w:rsidR="007F2F9C" w:rsidRPr="006B433D" w:rsidRDefault="007F2F9C" w:rsidP="00322153">
            <w:pPr>
              <w:jc w:val="center"/>
              <w:rPr>
                <w:rFonts w:ascii="Times New Roman" w:hAnsi="Times New Roman"/>
                <w:b w:val="0"/>
                <w:sz w:val="22"/>
                <w:szCs w:val="24"/>
              </w:rPr>
            </w:pPr>
            <w:r w:rsidRPr="006B433D">
              <w:rPr>
                <w:rFonts w:ascii="Times New Roman" w:hAnsi="Times New Roman"/>
                <w:b w:val="0"/>
                <w:sz w:val="22"/>
                <w:szCs w:val="24"/>
              </w:rPr>
              <w:t>Year</w:t>
            </w:r>
          </w:p>
        </w:tc>
        <w:tc>
          <w:tcPr>
            <w:tcW w:w="1208" w:type="pct"/>
          </w:tcPr>
          <w:p w:rsidR="007F2F9C" w:rsidRPr="006B433D" w:rsidRDefault="007F2F9C" w:rsidP="00322153">
            <w:pPr>
              <w:jc w:val="center"/>
              <w:cnfStyle w:val="100000000000"/>
              <w:rPr>
                <w:rFonts w:ascii="Times New Roman" w:hAnsi="Times New Roman"/>
                <w:b w:val="0"/>
                <w:sz w:val="22"/>
                <w:szCs w:val="24"/>
              </w:rPr>
            </w:pPr>
            <w:r w:rsidRPr="006B433D">
              <w:rPr>
                <w:rFonts w:ascii="Times New Roman" w:hAnsi="Times New Roman"/>
                <w:b w:val="0"/>
                <w:sz w:val="22"/>
                <w:szCs w:val="24"/>
              </w:rPr>
              <w:t>Road</w:t>
            </w:r>
          </w:p>
        </w:tc>
        <w:tc>
          <w:tcPr>
            <w:tcW w:w="1208" w:type="pct"/>
          </w:tcPr>
          <w:p w:rsidR="007F2F9C" w:rsidRPr="006B433D" w:rsidRDefault="007F2F9C" w:rsidP="00322153">
            <w:pPr>
              <w:jc w:val="center"/>
              <w:cnfStyle w:val="100000000000"/>
              <w:rPr>
                <w:rFonts w:ascii="Times New Roman" w:hAnsi="Times New Roman"/>
                <w:b w:val="0"/>
                <w:sz w:val="22"/>
                <w:szCs w:val="24"/>
              </w:rPr>
            </w:pPr>
            <w:r w:rsidRPr="006B433D">
              <w:rPr>
                <w:rFonts w:ascii="Times New Roman" w:hAnsi="Times New Roman"/>
                <w:b w:val="0"/>
                <w:sz w:val="22"/>
                <w:szCs w:val="24"/>
              </w:rPr>
              <w:t>Rail</w:t>
            </w:r>
          </w:p>
        </w:tc>
        <w:tc>
          <w:tcPr>
            <w:tcW w:w="1208" w:type="pct"/>
          </w:tcPr>
          <w:p w:rsidR="007F2F9C" w:rsidRPr="006B433D" w:rsidRDefault="007F2F9C" w:rsidP="00322153">
            <w:pPr>
              <w:jc w:val="center"/>
              <w:cnfStyle w:val="100000000000"/>
              <w:rPr>
                <w:rFonts w:ascii="Times New Roman" w:hAnsi="Times New Roman"/>
                <w:b w:val="0"/>
                <w:sz w:val="22"/>
                <w:szCs w:val="24"/>
              </w:rPr>
            </w:pPr>
            <w:r w:rsidRPr="006B433D">
              <w:rPr>
                <w:rFonts w:ascii="Times New Roman" w:hAnsi="Times New Roman"/>
                <w:b w:val="0"/>
                <w:sz w:val="22"/>
                <w:szCs w:val="24"/>
              </w:rPr>
              <w:t>IWT</w:t>
            </w:r>
          </w:p>
        </w:tc>
      </w:tr>
      <w:tr w:rsidR="007F2F9C" w:rsidRPr="006B433D" w:rsidTr="006B433D">
        <w:trPr>
          <w:cnfStyle w:val="000000100000"/>
          <w:trHeight w:hRule="exact" w:val="360"/>
        </w:trPr>
        <w:tc>
          <w:tcPr>
            <w:cnfStyle w:val="001000000000"/>
            <w:tcW w:w="1376" w:type="pct"/>
          </w:tcPr>
          <w:p w:rsidR="007F2F9C" w:rsidRPr="006B433D" w:rsidRDefault="00E25DE2" w:rsidP="00322153">
            <w:pPr>
              <w:spacing w:after="0" w:line="240" w:lineRule="auto"/>
              <w:jc w:val="center"/>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10</w:t>
            </w:r>
          </w:p>
        </w:tc>
        <w:tc>
          <w:tcPr>
            <w:tcW w:w="1208" w:type="pct"/>
          </w:tcPr>
          <w:p w:rsidR="007F2F9C" w:rsidRPr="006B433D" w:rsidRDefault="007F2F9C" w:rsidP="00322153">
            <w:pPr>
              <w:spacing w:after="0" w:line="240" w:lineRule="auto"/>
              <w:jc w:val="center"/>
              <w:cnfStyle w:val="000000100000"/>
              <w:rPr>
                <w:rFonts w:ascii="Times New Roman" w:hAnsi="Times New Roman"/>
                <w:sz w:val="22"/>
                <w:szCs w:val="24"/>
              </w:rPr>
            </w:pPr>
            <w:r w:rsidRPr="006B433D">
              <w:rPr>
                <w:rFonts w:ascii="Times New Roman" w:hAnsi="Times New Roman"/>
                <w:sz w:val="22"/>
                <w:szCs w:val="24"/>
              </w:rPr>
              <w:t>76.20</w:t>
            </w:r>
          </w:p>
        </w:tc>
        <w:tc>
          <w:tcPr>
            <w:tcW w:w="1208" w:type="pct"/>
          </w:tcPr>
          <w:p w:rsidR="007F2F9C" w:rsidRPr="006B433D" w:rsidRDefault="007F2F9C" w:rsidP="00322153">
            <w:pPr>
              <w:spacing w:after="0" w:line="240" w:lineRule="auto"/>
              <w:jc w:val="center"/>
              <w:cnfStyle w:val="000000100000"/>
              <w:rPr>
                <w:rFonts w:ascii="Times New Roman" w:hAnsi="Times New Roman"/>
                <w:sz w:val="22"/>
                <w:szCs w:val="24"/>
              </w:rPr>
            </w:pPr>
            <w:r w:rsidRPr="006B433D">
              <w:rPr>
                <w:rFonts w:ascii="Times New Roman" w:hAnsi="Times New Roman"/>
                <w:sz w:val="22"/>
                <w:szCs w:val="24"/>
              </w:rPr>
              <w:t>20.57</w:t>
            </w:r>
          </w:p>
        </w:tc>
        <w:tc>
          <w:tcPr>
            <w:tcW w:w="1208" w:type="pct"/>
          </w:tcPr>
          <w:p w:rsidR="007F2F9C" w:rsidRPr="006B433D" w:rsidRDefault="007F2F9C" w:rsidP="00322153">
            <w:pPr>
              <w:spacing w:after="0" w:line="240" w:lineRule="auto"/>
              <w:jc w:val="center"/>
              <w:cnfStyle w:val="000000100000"/>
              <w:rPr>
                <w:rFonts w:ascii="Times New Roman" w:hAnsi="Times New Roman"/>
                <w:sz w:val="22"/>
                <w:szCs w:val="24"/>
              </w:rPr>
            </w:pPr>
            <w:r w:rsidRPr="006B433D">
              <w:rPr>
                <w:rFonts w:ascii="Times New Roman" w:hAnsi="Times New Roman"/>
                <w:sz w:val="22"/>
                <w:szCs w:val="24"/>
              </w:rPr>
              <w:t>3.33</w:t>
            </w:r>
          </w:p>
        </w:tc>
      </w:tr>
      <w:tr w:rsidR="007F2F9C" w:rsidRPr="006B433D" w:rsidTr="006B433D">
        <w:trPr>
          <w:trHeight w:hRule="exact" w:val="360"/>
        </w:trPr>
        <w:tc>
          <w:tcPr>
            <w:cnfStyle w:val="001000000000"/>
            <w:tcW w:w="1376" w:type="pct"/>
          </w:tcPr>
          <w:p w:rsidR="007F2F9C" w:rsidRPr="006B433D" w:rsidRDefault="00E25DE2" w:rsidP="00322153">
            <w:pPr>
              <w:spacing w:after="0" w:line="240" w:lineRule="auto"/>
              <w:jc w:val="center"/>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11</w:t>
            </w:r>
          </w:p>
        </w:tc>
        <w:tc>
          <w:tcPr>
            <w:tcW w:w="1208" w:type="pct"/>
          </w:tcPr>
          <w:p w:rsidR="007F2F9C" w:rsidRPr="006B433D" w:rsidRDefault="007F2F9C" w:rsidP="00322153">
            <w:pPr>
              <w:spacing w:after="0" w:line="240" w:lineRule="auto"/>
              <w:jc w:val="center"/>
              <w:cnfStyle w:val="000000000000"/>
              <w:rPr>
                <w:rFonts w:ascii="Times New Roman" w:hAnsi="Times New Roman"/>
                <w:sz w:val="22"/>
                <w:szCs w:val="24"/>
              </w:rPr>
            </w:pPr>
            <w:r w:rsidRPr="006B433D">
              <w:rPr>
                <w:rFonts w:ascii="Times New Roman" w:hAnsi="Times New Roman"/>
                <w:sz w:val="22"/>
                <w:szCs w:val="24"/>
              </w:rPr>
              <w:t>74.60</w:t>
            </w:r>
          </w:p>
        </w:tc>
        <w:tc>
          <w:tcPr>
            <w:tcW w:w="1208" w:type="pct"/>
          </w:tcPr>
          <w:p w:rsidR="007F2F9C" w:rsidRPr="006B433D" w:rsidRDefault="007F2F9C" w:rsidP="00322153">
            <w:pPr>
              <w:spacing w:after="0" w:line="240" w:lineRule="auto"/>
              <w:jc w:val="center"/>
              <w:cnfStyle w:val="000000000000"/>
              <w:rPr>
                <w:rFonts w:ascii="Times New Roman" w:hAnsi="Times New Roman"/>
                <w:sz w:val="22"/>
                <w:szCs w:val="24"/>
              </w:rPr>
            </w:pPr>
            <w:r w:rsidRPr="006B433D">
              <w:rPr>
                <w:rFonts w:ascii="Times New Roman" w:hAnsi="Times New Roman"/>
                <w:sz w:val="22"/>
                <w:szCs w:val="24"/>
              </w:rPr>
              <w:t>20.71</w:t>
            </w:r>
          </w:p>
        </w:tc>
        <w:tc>
          <w:tcPr>
            <w:tcW w:w="1208" w:type="pct"/>
          </w:tcPr>
          <w:p w:rsidR="007F2F9C" w:rsidRPr="006B433D" w:rsidRDefault="007F2F9C" w:rsidP="00322153">
            <w:pPr>
              <w:spacing w:after="0" w:line="240" w:lineRule="auto"/>
              <w:jc w:val="center"/>
              <w:cnfStyle w:val="000000000000"/>
              <w:rPr>
                <w:rFonts w:ascii="Times New Roman" w:hAnsi="Times New Roman"/>
                <w:sz w:val="22"/>
                <w:szCs w:val="24"/>
              </w:rPr>
            </w:pPr>
            <w:r w:rsidRPr="006B433D">
              <w:rPr>
                <w:rFonts w:ascii="Times New Roman" w:hAnsi="Times New Roman"/>
                <w:sz w:val="22"/>
                <w:szCs w:val="24"/>
              </w:rPr>
              <w:t>4.69</w:t>
            </w:r>
          </w:p>
        </w:tc>
      </w:tr>
      <w:tr w:rsidR="007F2F9C" w:rsidRPr="006B433D" w:rsidTr="006B433D">
        <w:trPr>
          <w:cnfStyle w:val="000000100000"/>
          <w:trHeight w:hRule="exact" w:val="360"/>
        </w:trPr>
        <w:tc>
          <w:tcPr>
            <w:cnfStyle w:val="001000000000"/>
            <w:tcW w:w="1376" w:type="pct"/>
          </w:tcPr>
          <w:p w:rsidR="007F2F9C" w:rsidRPr="006B433D" w:rsidRDefault="00E25DE2" w:rsidP="00322153">
            <w:pPr>
              <w:spacing w:after="0" w:line="240" w:lineRule="auto"/>
              <w:jc w:val="center"/>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12</w:t>
            </w:r>
          </w:p>
        </w:tc>
        <w:tc>
          <w:tcPr>
            <w:tcW w:w="1208" w:type="pct"/>
          </w:tcPr>
          <w:p w:rsidR="007F2F9C" w:rsidRPr="006B433D" w:rsidRDefault="007F2F9C" w:rsidP="00322153">
            <w:pPr>
              <w:spacing w:after="0" w:line="240" w:lineRule="auto"/>
              <w:jc w:val="center"/>
              <w:cnfStyle w:val="000000100000"/>
              <w:rPr>
                <w:rFonts w:ascii="Times New Roman" w:hAnsi="Times New Roman"/>
                <w:sz w:val="22"/>
                <w:szCs w:val="24"/>
              </w:rPr>
            </w:pPr>
            <w:r w:rsidRPr="006B433D">
              <w:rPr>
                <w:rFonts w:ascii="Times New Roman" w:hAnsi="Times New Roman"/>
                <w:sz w:val="22"/>
                <w:szCs w:val="24"/>
              </w:rPr>
              <w:t>64.55</w:t>
            </w:r>
          </w:p>
        </w:tc>
        <w:tc>
          <w:tcPr>
            <w:tcW w:w="1208" w:type="pct"/>
          </w:tcPr>
          <w:p w:rsidR="007F2F9C" w:rsidRPr="006B433D" w:rsidRDefault="007F2F9C" w:rsidP="00322153">
            <w:pPr>
              <w:spacing w:after="0" w:line="240" w:lineRule="auto"/>
              <w:jc w:val="center"/>
              <w:cnfStyle w:val="000000100000"/>
              <w:rPr>
                <w:rFonts w:ascii="Times New Roman" w:hAnsi="Times New Roman"/>
                <w:sz w:val="22"/>
                <w:szCs w:val="24"/>
              </w:rPr>
            </w:pPr>
            <w:r w:rsidRPr="006B433D">
              <w:rPr>
                <w:rFonts w:ascii="Times New Roman" w:hAnsi="Times New Roman"/>
                <w:sz w:val="22"/>
                <w:szCs w:val="24"/>
              </w:rPr>
              <w:t>31.03</w:t>
            </w:r>
          </w:p>
        </w:tc>
        <w:tc>
          <w:tcPr>
            <w:tcW w:w="1208" w:type="pct"/>
          </w:tcPr>
          <w:p w:rsidR="007F2F9C" w:rsidRPr="006B433D" w:rsidRDefault="007F2F9C" w:rsidP="00322153">
            <w:pPr>
              <w:spacing w:after="0" w:line="240" w:lineRule="auto"/>
              <w:jc w:val="center"/>
              <w:cnfStyle w:val="000000100000"/>
              <w:rPr>
                <w:rFonts w:ascii="Times New Roman" w:hAnsi="Times New Roman"/>
                <w:sz w:val="22"/>
                <w:szCs w:val="24"/>
              </w:rPr>
            </w:pPr>
            <w:r w:rsidRPr="006B433D">
              <w:rPr>
                <w:rFonts w:ascii="Times New Roman" w:hAnsi="Times New Roman"/>
                <w:sz w:val="22"/>
                <w:szCs w:val="24"/>
              </w:rPr>
              <w:t>4.42</w:t>
            </w:r>
          </w:p>
        </w:tc>
      </w:tr>
      <w:tr w:rsidR="007F2F9C" w:rsidRPr="006B433D" w:rsidTr="006B433D">
        <w:trPr>
          <w:trHeight w:hRule="exact" w:val="360"/>
        </w:trPr>
        <w:tc>
          <w:tcPr>
            <w:cnfStyle w:val="001000000000"/>
            <w:tcW w:w="1376" w:type="pct"/>
          </w:tcPr>
          <w:p w:rsidR="007F2F9C" w:rsidRPr="006B433D" w:rsidRDefault="00E25DE2" w:rsidP="00322153">
            <w:pPr>
              <w:spacing w:after="0" w:line="240" w:lineRule="auto"/>
              <w:jc w:val="center"/>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13</w:t>
            </w:r>
          </w:p>
        </w:tc>
        <w:tc>
          <w:tcPr>
            <w:tcW w:w="1208" w:type="pct"/>
          </w:tcPr>
          <w:p w:rsidR="007F2F9C" w:rsidRPr="006B433D" w:rsidRDefault="007F2F9C" w:rsidP="00322153">
            <w:pPr>
              <w:spacing w:after="0" w:line="240" w:lineRule="auto"/>
              <w:jc w:val="center"/>
              <w:cnfStyle w:val="000000000000"/>
              <w:rPr>
                <w:rFonts w:ascii="Times New Roman" w:hAnsi="Times New Roman"/>
                <w:sz w:val="22"/>
                <w:szCs w:val="24"/>
              </w:rPr>
            </w:pPr>
            <w:r w:rsidRPr="006B433D">
              <w:rPr>
                <w:rFonts w:ascii="Times New Roman" w:hAnsi="Times New Roman"/>
                <w:sz w:val="22"/>
                <w:szCs w:val="24"/>
              </w:rPr>
              <w:t>57.89</w:t>
            </w:r>
          </w:p>
        </w:tc>
        <w:tc>
          <w:tcPr>
            <w:tcW w:w="1208" w:type="pct"/>
          </w:tcPr>
          <w:p w:rsidR="007F2F9C" w:rsidRPr="006B433D" w:rsidRDefault="007F2F9C" w:rsidP="00322153">
            <w:pPr>
              <w:spacing w:after="0" w:line="240" w:lineRule="auto"/>
              <w:jc w:val="center"/>
              <w:cnfStyle w:val="000000000000"/>
              <w:rPr>
                <w:rFonts w:ascii="Times New Roman" w:hAnsi="Times New Roman"/>
                <w:sz w:val="22"/>
                <w:szCs w:val="24"/>
              </w:rPr>
            </w:pPr>
            <w:r w:rsidRPr="006B433D">
              <w:rPr>
                <w:rFonts w:ascii="Times New Roman" w:hAnsi="Times New Roman"/>
                <w:sz w:val="22"/>
                <w:szCs w:val="24"/>
              </w:rPr>
              <w:t>37.98</w:t>
            </w:r>
          </w:p>
        </w:tc>
        <w:tc>
          <w:tcPr>
            <w:tcW w:w="1208" w:type="pct"/>
          </w:tcPr>
          <w:p w:rsidR="007F2F9C" w:rsidRPr="006B433D" w:rsidRDefault="007F2F9C" w:rsidP="00322153">
            <w:pPr>
              <w:spacing w:after="0" w:line="240" w:lineRule="auto"/>
              <w:jc w:val="center"/>
              <w:cnfStyle w:val="000000000000"/>
              <w:rPr>
                <w:rFonts w:ascii="Times New Roman" w:hAnsi="Times New Roman"/>
                <w:sz w:val="22"/>
                <w:szCs w:val="24"/>
              </w:rPr>
            </w:pPr>
            <w:r w:rsidRPr="006B433D">
              <w:rPr>
                <w:rFonts w:ascii="Times New Roman" w:hAnsi="Times New Roman"/>
                <w:sz w:val="22"/>
                <w:szCs w:val="24"/>
              </w:rPr>
              <w:t>4.13</w:t>
            </w:r>
          </w:p>
        </w:tc>
      </w:tr>
      <w:tr w:rsidR="007F2F9C" w:rsidRPr="006B433D" w:rsidTr="006B433D">
        <w:trPr>
          <w:cnfStyle w:val="000000100000"/>
          <w:trHeight w:hRule="exact" w:val="360"/>
        </w:trPr>
        <w:tc>
          <w:tcPr>
            <w:cnfStyle w:val="001000000000"/>
            <w:tcW w:w="1376" w:type="pct"/>
          </w:tcPr>
          <w:p w:rsidR="007F2F9C" w:rsidRPr="006B433D" w:rsidRDefault="00E25DE2" w:rsidP="00322153">
            <w:pPr>
              <w:spacing w:after="0" w:line="240" w:lineRule="auto"/>
              <w:jc w:val="center"/>
              <w:rPr>
                <w:rFonts w:ascii="Times New Roman" w:hAnsi="Times New Roman"/>
                <w:bCs w:val="0"/>
                <w:sz w:val="22"/>
                <w:szCs w:val="24"/>
              </w:rPr>
            </w:pPr>
            <w:r w:rsidRPr="006B433D">
              <w:rPr>
                <w:rFonts w:ascii="Times New Roman" w:hAnsi="Times New Roman"/>
                <w:bCs w:val="0"/>
                <w:sz w:val="22"/>
                <w:szCs w:val="24"/>
              </w:rPr>
              <w:t>FY20</w:t>
            </w:r>
            <w:r w:rsidR="007F2F9C" w:rsidRPr="006B433D">
              <w:rPr>
                <w:rFonts w:ascii="Times New Roman" w:hAnsi="Times New Roman"/>
                <w:bCs w:val="0"/>
                <w:sz w:val="22"/>
                <w:szCs w:val="24"/>
              </w:rPr>
              <w:t>14</w:t>
            </w:r>
          </w:p>
        </w:tc>
        <w:tc>
          <w:tcPr>
            <w:tcW w:w="1208" w:type="pct"/>
          </w:tcPr>
          <w:p w:rsidR="007F2F9C" w:rsidRPr="006B433D" w:rsidRDefault="007F2F9C" w:rsidP="00322153">
            <w:pPr>
              <w:spacing w:after="0" w:line="240" w:lineRule="auto"/>
              <w:jc w:val="center"/>
              <w:cnfStyle w:val="000000100000"/>
              <w:rPr>
                <w:rFonts w:ascii="Times New Roman" w:hAnsi="Times New Roman"/>
                <w:sz w:val="22"/>
                <w:szCs w:val="24"/>
              </w:rPr>
            </w:pPr>
            <w:r w:rsidRPr="006B433D">
              <w:rPr>
                <w:rFonts w:ascii="Times New Roman" w:hAnsi="Times New Roman"/>
                <w:sz w:val="22"/>
                <w:szCs w:val="24"/>
              </w:rPr>
              <w:t>71.42</w:t>
            </w:r>
          </w:p>
        </w:tc>
        <w:tc>
          <w:tcPr>
            <w:tcW w:w="1208" w:type="pct"/>
          </w:tcPr>
          <w:p w:rsidR="007F2F9C" w:rsidRPr="006B433D" w:rsidRDefault="007F2F9C" w:rsidP="00322153">
            <w:pPr>
              <w:spacing w:after="0" w:line="240" w:lineRule="auto"/>
              <w:jc w:val="center"/>
              <w:cnfStyle w:val="000000100000"/>
              <w:rPr>
                <w:rFonts w:ascii="Times New Roman" w:hAnsi="Times New Roman"/>
                <w:sz w:val="22"/>
                <w:szCs w:val="24"/>
              </w:rPr>
            </w:pPr>
            <w:r w:rsidRPr="006B433D">
              <w:rPr>
                <w:rFonts w:ascii="Times New Roman" w:hAnsi="Times New Roman"/>
                <w:sz w:val="22"/>
                <w:szCs w:val="24"/>
              </w:rPr>
              <w:t>25.47</w:t>
            </w:r>
          </w:p>
        </w:tc>
        <w:tc>
          <w:tcPr>
            <w:tcW w:w="1208" w:type="pct"/>
          </w:tcPr>
          <w:p w:rsidR="007F2F9C" w:rsidRPr="006B433D" w:rsidRDefault="007F2F9C" w:rsidP="00322153">
            <w:pPr>
              <w:spacing w:after="0" w:line="240" w:lineRule="auto"/>
              <w:jc w:val="center"/>
              <w:cnfStyle w:val="000000100000"/>
              <w:rPr>
                <w:rFonts w:ascii="Times New Roman" w:hAnsi="Times New Roman"/>
                <w:sz w:val="22"/>
                <w:szCs w:val="24"/>
              </w:rPr>
            </w:pPr>
            <w:r w:rsidRPr="006B433D">
              <w:rPr>
                <w:rFonts w:ascii="Times New Roman" w:hAnsi="Times New Roman"/>
                <w:sz w:val="22"/>
                <w:szCs w:val="24"/>
              </w:rPr>
              <w:t>3.11</w:t>
            </w:r>
          </w:p>
        </w:tc>
      </w:tr>
    </w:tbl>
    <w:p w:rsidR="007F2F9C" w:rsidRPr="0085686D" w:rsidRDefault="007F2F9C" w:rsidP="0068308F">
      <w:pPr>
        <w:spacing w:before="120" w:line="276" w:lineRule="auto"/>
        <w:rPr>
          <w:rFonts w:cs="Times New Roman"/>
          <w:b/>
          <w:bCs/>
          <w:i/>
          <w:iCs/>
          <w:sz w:val="20"/>
          <w:szCs w:val="20"/>
        </w:rPr>
      </w:pPr>
      <w:r w:rsidRPr="0085686D">
        <w:rPr>
          <w:rFonts w:cs="Times New Roman"/>
          <w:b/>
          <w:bCs/>
          <w:i/>
          <w:iCs/>
          <w:sz w:val="20"/>
          <w:szCs w:val="20"/>
        </w:rPr>
        <w:t>Source: BIWTA Planning Department</w:t>
      </w:r>
    </w:p>
    <w:p w:rsidR="007F2F9C" w:rsidRDefault="007F2F9C" w:rsidP="00322153">
      <w:pPr>
        <w:spacing w:line="271" w:lineRule="auto"/>
        <w:jc w:val="both"/>
        <w:rPr>
          <w:rFonts w:cs="Times New Roman"/>
          <w:szCs w:val="24"/>
        </w:rPr>
      </w:pPr>
      <w:r w:rsidRPr="00924255">
        <w:rPr>
          <w:rFonts w:cs="Times New Roman"/>
          <w:szCs w:val="24"/>
        </w:rPr>
        <w:t>On average IWT received 3.9% of total ADP allocation</w:t>
      </w:r>
      <w:r w:rsidR="001D3E53">
        <w:rPr>
          <w:rFonts w:cs="Times New Roman"/>
          <w:szCs w:val="24"/>
        </w:rPr>
        <w:t xml:space="preserve"> </w:t>
      </w:r>
      <w:r w:rsidR="001D3E53">
        <w:rPr>
          <w:rFonts w:ascii="Tahoma" w:hAnsi="Tahoma" w:cs="Tahoma"/>
          <w:color w:val="000000"/>
          <w:sz w:val="20"/>
          <w:szCs w:val="20"/>
        </w:rPr>
        <w:t>of surface transport</w:t>
      </w:r>
      <w:r w:rsidRPr="00924255">
        <w:rPr>
          <w:rFonts w:cs="Times New Roman"/>
          <w:szCs w:val="24"/>
        </w:rPr>
        <w:t>. It should be mentioned that this is the best scenario in favor of IWT. Earlier IWT received on average only 1 percent of ADP allocation.</w:t>
      </w:r>
    </w:p>
    <w:p w:rsidR="007F2F9C" w:rsidRDefault="007F2F9C" w:rsidP="00322153">
      <w:pPr>
        <w:spacing w:line="271" w:lineRule="auto"/>
        <w:jc w:val="both"/>
        <w:rPr>
          <w:rFonts w:cs="Times New Roman"/>
          <w:szCs w:val="24"/>
        </w:rPr>
      </w:pPr>
      <w:r w:rsidRPr="00924255">
        <w:rPr>
          <w:rFonts w:cs="Times New Roman"/>
          <w:szCs w:val="24"/>
        </w:rPr>
        <w:t>Similarly disparity prevails in BIWTA’s expenditures. Most of BIWTA’s expenditures are allocated for the central region, next to river crossing ferry points. Haor area in the north-eastern region contributes 37 percent of national IWT output according to Haor Master Plan. But expenditures for maintenance of waterways and landing stations in the Haor area are the lowest in BIWTA’S budget.</w:t>
      </w:r>
    </w:p>
    <w:p w:rsidR="007F2F9C" w:rsidRDefault="007F2F9C" w:rsidP="00322153">
      <w:pPr>
        <w:spacing w:line="271" w:lineRule="auto"/>
        <w:jc w:val="both"/>
        <w:rPr>
          <w:rFonts w:cs="Times New Roman"/>
          <w:szCs w:val="24"/>
          <w:lang w:val="en-GB"/>
        </w:rPr>
      </w:pPr>
      <w:r w:rsidRPr="00924255">
        <w:rPr>
          <w:rFonts w:cs="Times New Roman"/>
          <w:szCs w:val="24"/>
          <w:lang w:val="en-GB"/>
        </w:rPr>
        <w:t xml:space="preserve">BIWTA </w:t>
      </w:r>
      <w:r w:rsidR="00080FD6">
        <w:rPr>
          <w:rFonts w:cs="Times New Roman"/>
          <w:szCs w:val="24"/>
          <w:lang w:val="en-GB"/>
        </w:rPr>
        <w:t xml:space="preserve">cannot always </w:t>
      </w:r>
      <w:r w:rsidRPr="00924255">
        <w:rPr>
          <w:rFonts w:cs="Times New Roman"/>
          <w:szCs w:val="24"/>
          <w:lang w:val="en-GB"/>
        </w:rPr>
        <w:t xml:space="preserve">recover its cost from revenue. </w:t>
      </w:r>
      <w:r w:rsidR="00080FD6">
        <w:rPr>
          <w:rFonts w:cs="Times New Roman"/>
          <w:szCs w:val="24"/>
          <w:lang w:val="en-GB"/>
        </w:rPr>
        <w:t>For example, i</w:t>
      </w:r>
      <w:r w:rsidRPr="00924255">
        <w:rPr>
          <w:rFonts w:cs="Times New Roman"/>
          <w:szCs w:val="24"/>
          <w:lang w:val="en-GB"/>
        </w:rPr>
        <w:t xml:space="preserve">n the FY 2013-14, the total revenue expenditure of BIWTA was Tk 3,164.06 million as against revenue earning of Tk 3,041.05 million, incurring a deficit of Tk 123.01 million. Of the total revenue earned by BIWTA, 55% on average comes from GoB grants and contribution. </w:t>
      </w:r>
    </w:p>
    <w:p w:rsidR="004B78CE" w:rsidRDefault="007F2F9C" w:rsidP="00836B53">
      <w:pPr>
        <w:spacing w:line="271" w:lineRule="auto"/>
        <w:jc w:val="both"/>
        <w:rPr>
          <w:rFonts w:cs="Times New Roman"/>
          <w:b/>
          <w:bCs/>
          <w:i/>
          <w:iCs/>
          <w:szCs w:val="24"/>
        </w:rPr>
      </w:pPr>
      <w:r w:rsidRPr="004B0A08">
        <w:rPr>
          <w:rFonts w:cs="Times New Roman"/>
          <w:i/>
          <w:szCs w:val="24"/>
          <w:lang w:val="en-GB"/>
        </w:rPr>
        <w:t>The Government has prioritized the improved development and maintenance of the Class I routes and linked Class II and III routes along the Dhaka-</w:t>
      </w:r>
      <w:r w:rsidR="00836B53" w:rsidRPr="004B0A08">
        <w:rPr>
          <w:rFonts w:cs="Times New Roman"/>
          <w:i/>
          <w:szCs w:val="24"/>
          <w:lang w:val="en-GB"/>
        </w:rPr>
        <w:t>Chittagong IWT corridor. It</w:t>
      </w:r>
      <w:r w:rsidRPr="004B0A08">
        <w:rPr>
          <w:rFonts w:cs="Times New Roman"/>
          <w:i/>
          <w:szCs w:val="24"/>
          <w:lang w:val="en-GB"/>
        </w:rPr>
        <w:t xml:space="preserve"> </w:t>
      </w:r>
      <w:r w:rsidR="00836B53" w:rsidRPr="004B0A08">
        <w:rPr>
          <w:rFonts w:cs="Times New Roman"/>
          <w:i/>
          <w:szCs w:val="24"/>
          <w:lang w:val="en-GB"/>
        </w:rPr>
        <w:t xml:space="preserve">also has plans for a </w:t>
      </w:r>
      <w:r w:rsidRPr="004B0A08">
        <w:rPr>
          <w:rFonts w:cs="Times New Roman"/>
          <w:i/>
          <w:szCs w:val="24"/>
          <w:lang w:val="en-GB"/>
        </w:rPr>
        <w:t>$100 billion investment program, Capital Dredging Project in all major rivers for sustainable river management through extensive dredging programs to control river bed siltation and aggradations, reclaim land, and improve inland navigation</w:t>
      </w:r>
      <w:r w:rsidR="0068308F" w:rsidRPr="004B0A08">
        <w:rPr>
          <w:rFonts w:cs="Times New Roman"/>
          <w:b/>
          <w:bCs/>
          <w:i/>
          <w:iCs/>
          <w:szCs w:val="24"/>
        </w:rPr>
        <w:t>.</w:t>
      </w:r>
    </w:p>
    <w:p w:rsidR="007F2F9C" w:rsidRPr="006B433D" w:rsidRDefault="0068308F" w:rsidP="00836B53">
      <w:pPr>
        <w:spacing w:line="271" w:lineRule="auto"/>
        <w:jc w:val="both"/>
        <w:rPr>
          <w:rFonts w:cs="Times New Roman"/>
          <w:b/>
          <w:i/>
          <w:szCs w:val="24"/>
        </w:rPr>
      </w:pPr>
      <w:r w:rsidRPr="006B433D">
        <w:rPr>
          <w:rFonts w:cs="Times New Roman"/>
          <w:b/>
          <w:i/>
          <w:szCs w:val="24"/>
        </w:rPr>
        <w:t>Financial Management I</w:t>
      </w:r>
      <w:r w:rsidR="007F2F9C" w:rsidRPr="006B433D">
        <w:rPr>
          <w:rFonts w:cs="Times New Roman"/>
          <w:b/>
          <w:i/>
          <w:szCs w:val="24"/>
        </w:rPr>
        <w:t>ssues</w:t>
      </w:r>
    </w:p>
    <w:p w:rsidR="007F2F9C" w:rsidRDefault="007F2F9C" w:rsidP="00322153">
      <w:pPr>
        <w:spacing w:line="271" w:lineRule="auto"/>
        <w:jc w:val="both"/>
        <w:rPr>
          <w:rFonts w:cs="Times New Roman"/>
          <w:szCs w:val="24"/>
        </w:rPr>
      </w:pPr>
      <w:r w:rsidRPr="00924255">
        <w:rPr>
          <w:rFonts w:cs="Times New Roman"/>
          <w:szCs w:val="24"/>
        </w:rPr>
        <w:t xml:space="preserve">Financial management of BIWTA needs to improve for more efficient and transparent use of resources allocated to the sector. There is uncertainty on the actual cost of dredging executed by BIWTA. BIWTA estimates this cost at Tk 98 per m3, which is in the range of unit costs in or outside Bangladesh. In view of the quantity of dredging performed by BIWTA (3.48 million m3), BIWTA would have spent TK 341 million for dredging in </w:t>
      </w:r>
      <w:r w:rsidR="00836B53">
        <w:rPr>
          <w:rFonts w:cs="Times New Roman"/>
          <w:szCs w:val="24"/>
        </w:rPr>
        <w:t>FY20</w:t>
      </w:r>
      <w:r w:rsidRPr="00924255">
        <w:rPr>
          <w:rFonts w:cs="Times New Roman"/>
          <w:szCs w:val="24"/>
        </w:rPr>
        <w:t xml:space="preserve">05, which is very low compared to BIWTA's total expenditures of Tk 1,115 million that year as dredging is supposed to be the main and most costly activity of BIWTA. The question would be then to justify the significant amount of resources that are spent on other activities than dredging, in particular administrative </w:t>
      </w:r>
      <w:r w:rsidR="00080FD6">
        <w:rPr>
          <w:rFonts w:cs="Times New Roman"/>
          <w:szCs w:val="24"/>
        </w:rPr>
        <w:t>purposes</w:t>
      </w:r>
      <w:r w:rsidRPr="00924255">
        <w:rPr>
          <w:rFonts w:cs="Times New Roman"/>
          <w:szCs w:val="24"/>
        </w:rPr>
        <w:t xml:space="preserve">.  Revision of the sector's financing structure would also contribute to the </w:t>
      </w:r>
      <w:r w:rsidRPr="00924255">
        <w:rPr>
          <w:rFonts w:cs="Times New Roman"/>
          <w:szCs w:val="24"/>
        </w:rPr>
        <w:lastRenderedPageBreak/>
        <w:t xml:space="preserve">more transparent and efficient use of sector resources. Presently, the Government finances maintenance of ferry channels without a clear view of performance and costs. On the other side, BIWTC operates ferry services with profits that are used to subsidize loss making coastal passenger services. It is proposed that coastal passenger services be subsidized only after the level and quantity of services as well as the level of subsidy have been defined, and incentives have been introduced to improve efficiency and control costs. Dredging of ferry channels executed by private contractors through contracts and financed by a fee paid by ferry users would also give a much clearer view of the costs, revenues and expenditures. Involvement of IWT users in management of resources for maintenance of navigable waterways would improve transparency in the decision-making process to allocate resources, and ensure adequacy of resources allocated to maintenance. </w:t>
      </w:r>
    </w:p>
    <w:p w:rsidR="007F2F9C" w:rsidRDefault="007F2F9C" w:rsidP="00322153">
      <w:pPr>
        <w:spacing w:line="271" w:lineRule="auto"/>
        <w:jc w:val="both"/>
        <w:rPr>
          <w:rFonts w:cs="Times New Roman"/>
          <w:szCs w:val="24"/>
        </w:rPr>
      </w:pPr>
      <w:r w:rsidRPr="00924255">
        <w:rPr>
          <w:rFonts w:cs="Times New Roman"/>
          <w:szCs w:val="24"/>
        </w:rPr>
        <w:t xml:space="preserve">An IWT Maintenance Fund is envisaged in the draft Integrated Multi-modal Transport Policy at the image of the Road Maintenance Fund that has been discussed for some time in Bangladesh. While arrangements for the management and operation of the Fund will be confirmed by the Government, using the Road Maintenance Fund as a model, IWT users would be represented in the Board of Directors of the Fund and user fees paid by IWT users would be transferred directly to the Fund. </w:t>
      </w:r>
    </w:p>
    <w:p w:rsidR="00000000" w:rsidRDefault="007F2F9C" w:rsidP="003D5A31">
      <w:pPr>
        <w:pStyle w:val="BodyText"/>
        <w:numPr>
          <w:ilvl w:val="2"/>
          <w:numId w:val="243"/>
        </w:numPr>
        <w:spacing w:after="240" w:line="276" w:lineRule="auto"/>
        <w:jc w:val="both"/>
        <w:rPr>
          <w:rFonts w:cs="Times New Roman"/>
          <w:b/>
          <w:szCs w:val="24"/>
        </w:rPr>
      </w:pPr>
      <w:r w:rsidRPr="00A97FE2">
        <w:rPr>
          <w:rFonts w:cs="Times New Roman"/>
          <w:b/>
          <w:szCs w:val="24"/>
        </w:rPr>
        <w:t>Management of the country boat sector</w:t>
      </w:r>
    </w:p>
    <w:p w:rsidR="007F2F9C" w:rsidRDefault="007F2F9C" w:rsidP="00322153">
      <w:pPr>
        <w:spacing w:line="274" w:lineRule="auto"/>
        <w:jc w:val="both"/>
        <w:rPr>
          <w:rFonts w:cs="Times New Roman"/>
          <w:szCs w:val="24"/>
        </w:rPr>
      </w:pPr>
      <w:r w:rsidRPr="00924255">
        <w:rPr>
          <w:rFonts w:cs="Times New Roman"/>
          <w:szCs w:val="24"/>
        </w:rPr>
        <w:t xml:space="preserve">Management of the country boat sector should be increasingly decentralized similarly to what exists for rural roads. Involvement of country boats owners in the decision-making process at the local level will improve the consistency between the sector investments and the needs. This has often been an issue in the past when infrastructure was not built in consultation with the users. Registration of country boats at the local level will also generate revenues, which can be used then for the benefits of the local population. </w:t>
      </w:r>
    </w:p>
    <w:p w:rsidR="00000000" w:rsidRDefault="004E1ED8" w:rsidP="003D5A31">
      <w:pPr>
        <w:pStyle w:val="BodyText"/>
        <w:numPr>
          <w:ilvl w:val="2"/>
          <w:numId w:val="243"/>
        </w:numPr>
        <w:spacing w:after="240" w:line="276" w:lineRule="auto"/>
        <w:jc w:val="both"/>
        <w:rPr>
          <w:rFonts w:cs="Times New Roman"/>
          <w:b/>
          <w:szCs w:val="24"/>
        </w:rPr>
      </w:pPr>
      <w:r>
        <w:rPr>
          <w:rFonts w:cs="Times New Roman"/>
          <w:b/>
          <w:szCs w:val="24"/>
        </w:rPr>
        <w:t>Improved sector governance</w:t>
      </w:r>
    </w:p>
    <w:p w:rsidR="00521A7E" w:rsidRPr="00587E19" w:rsidRDefault="00E579DA" w:rsidP="00322153">
      <w:pPr>
        <w:spacing w:line="271" w:lineRule="auto"/>
        <w:jc w:val="both"/>
        <w:rPr>
          <w:rFonts w:cs="Times New Roman"/>
          <w:szCs w:val="24"/>
        </w:rPr>
      </w:pPr>
      <w:r>
        <w:rPr>
          <w:rFonts w:cs="Times New Roman"/>
          <w:szCs w:val="24"/>
        </w:rPr>
        <w:t>A</w:t>
      </w:r>
      <w:r w:rsidR="007F2F9C" w:rsidRPr="00924255">
        <w:rPr>
          <w:rFonts w:cs="Times New Roman"/>
          <w:szCs w:val="24"/>
        </w:rPr>
        <w:t>nalysis of the IWT sector has identified sev</w:t>
      </w:r>
      <w:r w:rsidR="004E1ED8">
        <w:rPr>
          <w:rFonts w:cs="Times New Roman"/>
          <w:szCs w:val="24"/>
        </w:rPr>
        <w:t>eral sources of governance concerns that should</w:t>
      </w:r>
      <w:r w:rsidR="007F2F9C" w:rsidRPr="00924255">
        <w:rPr>
          <w:rFonts w:cs="Times New Roman"/>
          <w:szCs w:val="24"/>
        </w:rPr>
        <w:t xml:space="preserve"> be addressed. Clause 4(c) of the Ghat Ijara Policy should be suppressed. It has been abused as now 400 ghats have been leased out using this clause. To improve the governance, there is a need to better control dredging expenditures (fuel consumption and overtime) as well as revenues collected from the passenger terminal fees and cargo fees. In addition, the Government needs to put in place the regulatory and control mechanisms to prevent misuse of Government funds that may occur as a result of increased private sector participation in port operations or dredging.</w:t>
      </w:r>
      <w:bookmarkStart w:id="718" w:name="_Toc405367235"/>
      <w:bookmarkStart w:id="719" w:name="_Toc405988359"/>
      <w:bookmarkStart w:id="720" w:name="_Toc408501562"/>
      <w:bookmarkStart w:id="721" w:name="_Toc439337182"/>
    </w:p>
    <w:p w:rsidR="00000000" w:rsidRDefault="007F2F9C" w:rsidP="003D5A31">
      <w:pPr>
        <w:pStyle w:val="Heading2"/>
        <w:numPr>
          <w:ilvl w:val="1"/>
          <w:numId w:val="254"/>
        </w:numPr>
      </w:pPr>
      <w:bookmarkStart w:id="722" w:name="_Toc474638916"/>
      <w:bookmarkEnd w:id="718"/>
      <w:bookmarkEnd w:id="719"/>
      <w:bookmarkEnd w:id="720"/>
      <w:bookmarkEnd w:id="721"/>
      <w:r w:rsidRPr="00323DEC">
        <w:t>Developing a Dynamic Inland Water Transport System</w:t>
      </w:r>
      <w:bookmarkEnd w:id="722"/>
      <w:r w:rsidRPr="00323DEC">
        <w:t xml:space="preserve"> </w:t>
      </w:r>
    </w:p>
    <w:p w:rsidR="007F2F9C" w:rsidRPr="0068308F" w:rsidRDefault="007F2F9C" w:rsidP="0072476E">
      <w:pPr>
        <w:spacing w:line="276" w:lineRule="auto"/>
        <w:jc w:val="both"/>
        <w:rPr>
          <w:rFonts w:cs="Times New Roman"/>
          <w:szCs w:val="24"/>
          <w:lang w:val="en-GB"/>
        </w:rPr>
      </w:pPr>
      <w:r w:rsidRPr="00924255">
        <w:rPr>
          <w:rFonts w:cs="Times New Roman"/>
          <w:szCs w:val="24"/>
        </w:rPr>
        <w:t>In preceding sections a host of issues involving Bangladesh’s river transport system</w:t>
      </w:r>
      <w:r w:rsidR="0068308F">
        <w:rPr>
          <w:rFonts w:cs="Times New Roman"/>
          <w:szCs w:val="24"/>
        </w:rPr>
        <w:t xml:space="preserve"> was discussed</w:t>
      </w:r>
      <w:r w:rsidRPr="00924255">
        <w:rPr>
          <w:rFonts w:cs="Times New Roman"/>
          <w:szCs w:val="24"/>
        </w:rPr>
        <w:t xml:space="preserve">. The analysis on economics of IWT suggests that river transport system of Bangladesh is an under-explored and under-invested area. As a result, the economy has not been able to </w:t>
      </w:r>
      <w:r w:rsidRPr="00924255">
        <w:rPr>
          <w:rFonts w:cs="Times New Roman"/>
          <w:szCs w:val="24"/>
        </w:rPr>
        <w:lastRenderedPageBreak/>
        <w:t>exploit its full potential. More importantly, compared to other two modes of transport-</w:t>
      </w:r>
      <w:r>
        <w:rPr>
          <w:rFonts w:cs="Times New Roman"/>
          <w:szCs w:val="24"/>
        </w:rPr>
        <w:t xml:space="preserve"> </w:t>
      </w:r>
      <w:r w:rsidRPr="00924255">
        <w:rPr>
          <w:rFonts w:cs="Times New Roman"/>
          <w:szCs w:val="24"/>
        </w:rPr>
        <w:t>road and railway- the share of IWT is on the decline, both in terms of passengers and cargo handli</w:t>
      </w:r>
      <w:r>
        <w:rPr>
          <w:rFonts w:cs="Times New Roman"/>
          <w:szCs w:val="24"/>
        </w:rPr>
        <w:t>ng. The economics of IWT sector</w:t>
      </w:r>
      <w:r w:rsidRPr="00924255">
        <w:rPr>
          <w:rFonts w:cs="Times New Roman"/>
          <w:szCs w:val="24"/>
        </w:rPr>
        <w:t xml:space="preserve"> also provides rationale for development of an efficient IWT. IWT always remain on the top in terms of carbon saving. Moreover, from social perspectives, </w:t>
      </w:r>
      <w:r>
        <w:rPr>
          <w:rFonts w:cs="Times New Roman"/>
          <w:szCs w:val="24"/>
        </w:rPr>
        <w:t>it</w:t>
      </w:r>
      <w:r w:rsidRPr="00924255">
        <w:rPr>
          <w:rFonts w:cs="Times New Roman"/>
          <w:szCs w:val="24"/>
        </w:rPr>
        <w:t xml:space="preserve"> contributes directly to social benefits nationwide by providing a relatively cheaper mode of transport and it also generates employment opportunities. </w:t>
      </w:r>
      <w:r w:rsidRPr="00924255">
        <w:rPr>
          <w:rFonts w:cs="Times New Roman"/>
          <w:szCs w:val="24"/>
          <w:lang w:val="en-GB"/>
        </w:rPr>
        <w:t>Another key factor that demands the development of IWT would be growing container traffic in inland waterways</w:t>
      </w:r>
      <w:r>
        <w:rPr>
          <w:rFonts w:cs="Times New Roman"/>
          <w:szCs w:val="24"/>
          <w:lang w:val="en-GB"/>
        </w:rPr>
        <w:t xml:space="preserve"> in line with steady economic growth</w:t>
      </w:r>
      <w:r w:rsidRPr="00924255">
        <w:rPr>
          <w:rFonts w:cs="Times New Roman"/>
          <w:szCs w:val="24"/>
          <w:lang w:val="en-GB"/>
        </w:rPr>
        <w:t>. To meet the growing demand of transporting containers between Dhaka and maritime ports, utilization of inland waterways is very crucial. Then there are new opportunities emerging from regional initiatives, primarily through the protocol on inland waterway between India and Bangladesh. More regional initiatives could emerge involving Myanmar and other countries in the near future depending on the progress of India and Bangladesh</w:t>
      </w:r>
      <w:r w:rsidR="001D3E53">
        <w:rPr>
          <w:rFonts w:cs="Times New Roman"/>
          <w:szCs w:val="24"/>
          <w:lang w:val="en-GB"/>
        </w:rPr>
        <w:t xml:space="preserve"> </w:t>
      </w:r>
      <w:r w:rsidR="001D3E53" w:rsidRPr="0068308F">
        <w:rPr>
          <w:rFonts w:cs="Times New Roman"/>
          <w:color w:val="000000"/>
          <w:szCs w:val="24"/>
        </w:rPr>
        <w:t>on the protocol on inland waterway</w:t>
      </w:r>
      <w:r w:rsidRPr="0068308F">
        <w:rPr>
          <w:rFonts w:cs="Times New Roman"/>
          <w:szCs w:val="24"/>
          <w:lang w:val="en-GB"/>
        </w:rPr>
        <w:t xml:space="preserve">. </w:t>
      </w:r>
    </w:p>
    <w:p w:rsidR="007F2F9C" w:rsidRPr="00924255" w:rsidRDefault="007F2F9C" w:rsidP="0072476E">
      <w:pPr>
        <w:spacing w:line="276" w:lineRule="auto"/>
        <w:jc w:val="both"/>
        <w:rPr>
          <w:rFonts w:cs="Times New Roman"/>
          <w:szCs w:val="24"/>
          <w:lang w:val="en-GB"/>
        </w:rPr>
      </w:pPr>
      <w:r>
        <w:rPr>
          <w:rFonts w:cs="Times New Roman"/>
          <w:szCs w:val="24"/>
          <w:lang w:val="en-GB"/>
        </w:rPr>
        <w:t xml:space="preserve">However, as we have analysed, </w:t>
      </w:r>
      <w:r w:rsidRPr="00924255">
        <w:rPr>
          <w:rFonts w:cs="Times New Roman"/>
          <w:szCs w:val="24"/>
          <w:lang w:val="en-GB"/>
        </w:rPr>
        <w:t>development of a dynamic river transport system has been constrained by a number of issues</w:t>
      </w:r>
      <w:r>
        <w:rPr>
          <w:rFonts w:cs="Times New Roman"/>
          <w:szCs w:val="24"/>
          <w:lang w:val="en-GB"/>
        </w:rPr>
        <w:t>,</w:t>
      </w:r>
      <w:r w:rsidRPr="00924255">
        <w:rPr>
          <w:rFonts w:cs="Times New Roman"/>
          <w:szCs w:val="24"/>
          <w:lang w:val="en-GB"/>
        </w:rPr>
        <w:t xml:space="preserve"> affecting navigability of waterways adversely.</w:t>
      </w:r>
      <w:r w:rsidRPr="00924255">
        <w:rPr>
          <w:rFonts w:cs="Times New Roman"/>
          <w:bCs/>
          <w:szCs w:val="24"/>
          <w:lang w:val="en-GB"/>
        </w:rPr>
        <w:t xml:space="preserve"> S</w:t>
      </w:r>
      <w:r w:rsidRPr="00924255">
        <w:rPr>
          <w:rFonts w:cs="Times New Roman"/>
          <w:szCs w:val="24"/>
          <w:lang w:val="en-GB"/>
        </w:rPr>
        <w:t>ome challenges are incremental dredging demand to maintain navigabili</w:t>
      </w:r>
      <w:r>
        <w:rPr>
          <w:rFonts w:cs="Times New Roman"/>
          <w:szCs w:val="24"/>
          <w:lang w:val="en-GB"/>
        </w:rPr>
        <w:t>ty, lack of infrastructure, non-</w:t>
      </w:r>
      <w:r w:rsidRPr="00924255">
        <w:rPr>
          <w:rFonts w:cs="Times New Roman"/>
          <w:szCs w:val="24"/>
          <w:lang w:val="en-GB"/>
        </w:rPr>
        <w:t>compliance of guidelines for construction of bridge over the rivers, encroachment in the rivers, lack of safe vessels and skilled workforce, lack of policy guidelines, poor governance, inadequate budget allocation, lack of intermodal coordination, poor level of regional cooperation. Finally, navigability challenges further constrained by climate change</w:t>
      </w:r>
      <w:r>
        <w:rPr>
          <w:rFonts w:cs="Times New Roman"/>
          <w:szCs w:val="24"/>
          <w:lang w:val="en-GB"/>
        </w:rPr>
        <w:t xml:space="preserve"> which could exert even more pressure to maintain navigability in decades, if not years, to come</w:t>
      </w:r>
      <w:r w:rsidRPr="00924255">
        <w:rPr>
          <w:rFonts w:cs="Times New Roman"/>
          <w:szCs w:val="24"/>
          <w:lang w:val="en-GB"/>
        </w:rPr>
        <w:t xml:space="preserve">. </w:t>
      </w:r>
    </w:p>
    <w:p w:rsidR="004E1ED8" w:rsidRDefault="007F2F9C" w:rsidP="005C1C84">
      <w:pPr>
        <w:spacing w:line="276" w:lineRule="auto"/>
        <w:jc w:val="both"/>
        <w:rPr>
          <w:rFonts w:cs="Times New Roman"/>
          <w:szCs w:val="24"/>
          <w:lang w:val="en-GB"/>
        </w:rPr>
      </w:pPr>
      <w:r w:rsidRPr="00924255">
        <w:rPr>
          <w:rFonts w:cs="Times New Roman"/>
          <w:szCs w:val="24"/>
          <w:lang w:val="en-GB"/>
        </w:rPr>
        <w:t xml:space="preserve">Thus, any development plan of IWT should be based on increasing, if not uninterrupted, navigability of waterways. There are at least </w:t>
      </w:r>
      <w:r w:rsidR="001D3E53">
        <w:rPr>
          <w:rFonts w:cs="Times New Roman"/>
          <w:szCs w:val="24"/>
          <w:lang w:val="en-GB"/>
        </w:rPr>
        <w:t>four</w:t>
      </w:r>
      <w:r w:rsidR="001D3E53" w:rsidRPr="00924255">
        <w:rPr>
          <w:rFonts w:cs="Times New Roman"/>
          <w:szCs w:val="24"/>
          <w:lang w:val="en-GB"/>
        </w:rPr>
        <w:t xml:space="preserve"> </w:t>
      </w:r>
      <w:r w:rsidRPr="00924255">
        <w:rPr>
          <w:rFonts w:cs="Times New Roman"/>
          <w:szCs w:val="24"/>
          <w:lang w:val="en-GB"/>
        </w:rPr>
        <w:t xml:space="preserve">sets of issues that policymakers should consider in developing an efficient IWT: </w:t>
      </w:r>
    </w:p>
    <w:p w:rsidR="007F2F9C" w:rsidRPr="004E1ED8" w:rsidRDefault="004E1ED8" w:rsidP="004E1ED8">
      <w:pPr>
        <w:spacing w:line="276" w:lineRule="auto"/>
        <w:jc w:val="both"/>
        <w:rPr>
          <w:rFonts w:cs="Times New Roman"/>
          <w:szCs w:val="24"/>
          <w:lang w:val="en-GB"/>
        </w:rPr>
      </w:pPr>
      <w:r>
        <w:rPr>
          <w:rFonts w:cs="Times New Roman"/>
          <w:szCs w:val="24"/>
          <w:lang w:val="en-GB"/>
        </w:rPr>
        <w:t>First, a</w:t>
      </w:r>
      <w:r w:rsidR="007F2F9C" w:rsidRPr="001D3E53">
        <w:rPr>
          <w:rFonts w:cs="Times New Roman"/>
          <w:szCs w:val="24"/>
          <w:lang w:val="en-GB"/>
        </w:rPr>
        <w:t>ddressing river morphological and climate change issues. In this regard, policymakers need to address twin challenges emanating from both domestic as well as from cross b</w:t>
      </w:r>
      <w:r>
        <w:rPr>
          <w:rFonts w:cs="Times New Roman"/>
          <w:szCs w:val="24"/>
          <w:lang w:val="en-GB"/>
        </w:rPr>
        <w:t xml:space="preserve">order water management issues; </w:t>
      </w:r>
    </w:p>
    <w:p w:rsidR="004E1ED8" w:rsidRPr="004E1ED8" w:rsidRDefault="004E1ED8" w:rsidP="004E1ED8">
      <w:pPr>
        <w:spacing w:line="276" w:lineRule="auto"/>
        <w:jc w:val="both"/>
        <w:rPr>
          <w:rFonts w:cs="Times New Roman"/>
          <w:szCs w:val="24"/>
          <w:lang w:val="en-GB"/>
        </w:rPr>
      </w:pPr>
      <w:r>
        <w:rPr>
          <w:rFonts w:cs="Times New Roman"/>
          <w:szCs w:val="24"/>
          <w:lang w:val="en-GB"/>
        </w:rPr>
        <w:t>Second sets of issues relate to</w:t>
      </w:r>
      <w:r w:rsidR="007F2F9C" w:rsidRPr="004E1ED8">
        <w:rPr>
          <w:rFonts w:cs="Times New Roman"/>
          <w:szCs w:val="24"/>
          <w:lang w:val="en-GB"/>
        </w:rPr>
        <w:t xml:space="preserve"> river transport infrastructure development. In this regard, the policy should be prioritising routing based on economic viability and those priority ro</w:t>
      </w:r>
      <w:r w:rsidR="001D3E53" w:rsidRPr="004E1ED8">
        <w:rPr>
          <w:rFonts w:cs="Times New Roman"/>
          <w:szCs w:val="24"/>
          <w:lang w:val="en-GB"/>
        </w:rPr>
        <w:t>u</w:t>
      </w:r>
      <w:r w:rsidR="007F2F9C" w:rsidRPr="004E1ED8">
        <w:rPr>
          <w:rFonts w:cs="Times New Roman"/>
          <w:szCs w:val="24"/>
          <w:lang w:val="en-GB"/>
        </w:rPr>
        <w:t>tes should be modernised and integral part of multimodal connectivity, among others.</w:t>
      </w:r>
    </w:p>
    <w:p w:rsidR="007F2F9C" w:rsidRDefault="007F2F9C" w:rsidP="004E1ED8">
      <w:pPr>
        <w:pStyle w:val="ListParagraph"/>
        <w:spacing w:line="276" w:lineRule="auto"/>
        <w:ind w:left="0"/>
        <w:jc w:val="both"/>
        <w:rPr>
          <w:rFonts w:cs="Times New Roman"/>
          <w:szCs w:val="24"/>
          <w:lang w:val="en-GB"/>
        </w:rPr>
      </w:pPr>
      <w:r w:rsidRPr="002500C2">
        <w:rPr>
          <w:rFonts w:cs="Times New Roman"/>
          <w:szCs w:val="24"/>
          <w:lang w:val="en-GB"/>
        </w:rPr>
        <w:t>Third sets of issues involve governance and investment issues, the former is critical to governing the sector for better functioning the system and the latter is critical to maintain navigability and develop modern facilities and human resources.</w:t>
      </w:r>
    </w:p>
    <w:p w:rsidR="004E1ED8" w:rsidRPr="002500C2" w:rsidRDefault="004E1ED8" w:rsidP="004E1ED8">
      <w:pPr>
        <w:pStyle w:val="ListParagraph"/>
        <w:spacing w:line="276" w:lineRule="auto"/>
        <w:ind w:left="0"/>
        <w:jc w:val="both"/>
        <w:rPr>
          <w:rFonts w:cs="Times New Roman"/>
          <w:szCs w:val="24"/>
          <w:lang w:val="en-GB"/>
        </w:rPr>
      </w:pPr>
    </w:p>
    <w:p w:rsidR="007F2F9C" w:rsidRPr="002500C2" w:rsidRDefault="004E1ED8" w:rsidP="004E1ED8">
      <w:pPr>
        <w:pStyle w:val="ListParagraph"/>
        <w:spacing w:line="276" w:lineRule="auto"/>
        <w:ind w:left="0"/>
        <w:jc w:val="both"/>
        <w:rPr>
          <w:rFonts w:cs="Times New Roman"/>
          <w:szCs w:val="24"/>
          <w:lang w:val="en-GB"/>
        </w:rPr>
      </w:pPr>
      <w:r>
        <w:rPr>
          <w:rFonts w:cs="Times New Roman"/>
          <w:szCs w:val="24"/>
          <w:lang w:val="en-GB"/>
        </w:rPr>
        <w:t xml:space="preserve"> </w:t>
      </w:r>
      <w:r w:rsidR="007F2F9C" w:rsidRPr="002500C2">
        <w:rPr>
          <w:rFonts w:cs="Times New Roman"/>
          <w:szCs w:val="24"/>
          <w:lang w:val="en-GB"/>
        </w:rPr>
        <w:t>Final sets of issues should focus on economics and governance of cross-border river, aimed at making the river transport viable. In this regard, the corresponding parties should have clear roadmap on user fees, tariff rate, and joint efforts to develop infrastructure, among others.</w:t>
      </w:r>
    </w:p>
    <w:p w:rsidR="00000000" w:rsidRDefault="00CE3DA0" w:rsidP="003D5A31">
      <w:pPr>
        <w:pStyle w:val="BodyText"/>
        <w:numPr>
          <w:ilvl w:val="2"/>
          <w:numId w:val="244"/>
        </w:numPr>
        <w:spacing w:after="240" w:line="276" w:lineRule="auto"/>
        <w:jc w:val="both"/>
        <w:rPr>
          <w:rFonts w:cs="Times New Roman"/>
          <w:b/>
          <w:szCs w:val="24"/>
        </w:rPr>
      </w:pPr>
      <w:r w:rsidRPr="00A97FE2">
        <w:rPr>
          <w:rFonts w:cs="Times New Roman"/>
          <w:b/>
          <w:szCs w:val="24"/>
        </w:rPr>
        <w:lastRenderedPageBreak/>
        <w:t>Addressing River Morphological I</w:t>
      </w:r>
      <w:r w:rsidR="007F2F9C" w:rsidRPr="00A97FE2">
        <w:rPr>
          <w:rFonts w:cs="Times New Roman"/>
          <w:b/>
          <w:szCs w:val="24"/>
        </w:rPr>
        <w:t>ssues</w:t>
      </w:r>
    </w:p>
    <w:p w:rsidR="007F2F9C" w:rsidRDefault="007F2F9C" w:rsidP="0072476E">
      <w:pPr>
        <w:spacing w:line="276" w:lineRule="auto"/>
        <w:jc w:val="both"/>
        <w:rPr>
          <w:rFonts w:cs="Times New Roman"/>
          <w:szCs w:val="24"/>
          <w:lang w:val="en-GB"/>
        </w:rPr>
      </w:pPr>
      <w:r>
        <w:rPr>
          <w:rFonts w:cs="Times New Roman"/>
          <w:kern w:val="28"/>
          <w:szCs w:val="24"/>
        </w:rPr>
        <w:t xml:space="preserve">As </w:t>
      </w:r>
      <w:r w:rsidR="001D3E53">
        <w:rPr>
          <w:rFonts w:cs="Times New Roman"/>
          <w:kern w:val="28"/>
          <w:szCs w:val="24"/>
        </w:rPr>
        <w:t xml:space="preserve">it was </w:t>
      </w:r>
      <w:r>
        <w:rPr>
          <w:rFonts w:cs="Times New Roman"/>
          <w:kern w:val="28"/>
          <w:szCs w:val="24"/>
        </w:rPr>
        <w:t>discussed, t</w:t>
      </w:r>
      <w:r w:rsidRPr="00924255">
        <w:rPr>
          <w:rFonts w:cs="Times New Roman"/>
          <w:kern w:val="28"/>
          <w:szCs w:val="24"/>
        </w:rPr>
        <w:t xml:space="preserve">he major rivers of Bangladesh influence the hydrological and morphological characteristics of other rivers significantly. </w:t>
      </w:r>
      <w:r w:rsidRPr="00924255">
        <w:rPr>
          <w:rFonts w:cs="Times New Roman"/>
          <w:szCs w:val="24"/>
          <w:lang w:val="en-GB"/>
        </w:rPr>
        <w:t xml:space="preserve">One of the main causes of declining trend of inland water transport identified is the deteriorating condition of the river system in Bangladesh caused by both morphological and natural processes, and withdrawal of water beyond the border and within the country, </w:t>
      </w:r>
      <w:r w:rsidRPr="00924255">
        <w:rPr>
          <w:rFonts w:cs="Times New Roman"/>
          <w:szCs w:val="24"/>
        </w:rPr>
        <w:t>resulted in a decreased dry season navigability of the rivers, channel depths turned out to gradually decline.</w:t>
      </w:r>
      <w:r w:rsidRPr="00924255">
        <w:rPr>
          <w:rFonts w:cs="Times New Roman"/>
          <w:szCs w:val="24"/>
          <w:lang w:val="en-GB"/>
        </w:rPr>
        <w:t xml:space="preserve"> </w:t>
      </w:r>
    </w:p>
    <w:p w:rsidR="007F2F9C" w:rsidRDefault="007F2F9C" w:rsidP="0072476E">
      <w:pPr>
        <w:spacing w:line="276" w:lineRule="auto"/>
        <w:jc w:val="both"/>
        <w:rPr>
          <w:rFonts w:cs="Times New Roman"/>
          <w:szCs w:val="24"/>
        </w:rPr>
      </w:pPr>
      <w:r>
        <w:rPr>
          <w:rFonts w:cs="Times New Roman"/>
          <w:szCs w:val="24"/>
          <w:lang w:val="en-GB"/>
        </w:rPr>
        <w:t>Strategies</w:t>
      </w:r>
      <w:r w:rsidRPr="003051E7">
        <w:rPr>
          <w:rFonts w:cs="Times New Roman"/>
          <w:szCs w:val="24"/>
          <w:lang w:val="en-GB"/>
        </w:rPr>
        <w:t xml:space="preserve"> to address the aforesaid problems should take region specific problem</w:t>
      </w:r>
      <w:r>
        <w:rPr>
          <w:rFonts w:cs="Times New Roman"/>
          <w:szCs w:val="24"/>
          <w:lang w:val="en-GB"/>
        </w:rPr>
        <w:t>s</w:t>
      </w:r>
      <w:r w:rsidRPr="003051E7">
        <w:rPr>
          <w:rFonts w:cs="Times New Roman"/>
          <w:szCs w:val="24"/>
          <w:lang w:val="en-GB"/>
        </w:rPr>
        <w:t xml:space="preserve"> into account. In the </w:t>
      </w:r>
      <w:r w:rsidRPr="003051E7">
        <w:rPr>
          <w:rFonts w:cs="Times New Roman"/>
          <w:szCs w:val="24"/>
        </w:rPr>
        <w:t>North-west</w:t>
      </w:r>
      <w:r w:rsidRPr="003051E7">
        <w:rPr>
          <w:rFonts w:cs="Times New Roman"/>
          <w:szCs w:val="24"/>
          <w:lang w:val="en-GB"/>
        </w:rPr>
        <w:t xml:space="preserve"> region of the country, </w:t>
      </w:r>
      <w:r>
        <w:rPr>
          <w:rFonts w:cs="Times New Roman"/>
          <w:szCs w:val="24"/>
          <w:lang w:val="en-GB"/>
        </w:rPr>
        <w:t xml:space="preserve">for instance, </w:t>
      </w:r>
      <w:r w:rsidRPr="003051E7">
        <w:rPr>
          <w:rFonts w:cs="Times New Roman"/>
          <w:szCs w:val="24"/>
          <w:lang w:val="en-GB"/>
        </w:rPr>
        <w:t>there should be p</w:t>
      </w:r>
      <w:r>
        <w:rPr>
          <w:rFonts w:cs="Times New Roman"/>
          <w:szCs w:val="24"/>
          <w:lang w:val="en-GB"/>
        </w:rPr>
        <w:t>lan</w:t>
      </w:r>
      <w:r w:rsidRPr="003051E7">
        <w:rPr>
          <w:rFonts w:cs="Times New Roman"/>
          <w:szCs w:val="24"/>
          <w:lang w:val="en-GB"/>
        </w:rPr>
        <w:t xml:space="preserve">s to limit the impacts of </w:t>
      </w:r>
      <w:r w:rsidRPr="003051E7">
        <w:rPr>
          <w:rFonts w:cs="Times New Roman"/>
          <w:szCs w:val="24"/>
        </w:rPr>
        <w:t>human intervention such as the Teesta Barrage in India</w:t>
      </w:r>
      <w:r>
        <w:rPr>
          <w:rFonts w:cs="Times New Roman"/>
          <w:szCs w:val="24"/>
        </w:rPr>
        <w:t xml:space="preserve"> and</w:t>
      </w:r>
      <w:r w:rsidRPr="003051E7">
        <w:rPr>
          <w:rFonts w:cs="Times New Roman"/>
          <w:szCs w:val="24"/>
        </w:rPr>
        <w:t xml:space="preserve"> Bangladesh, </w:t>
      </w:r>
      <w:r>
        <w:rPr>
          <w:rFonts w:cs="Times New Roman"/>
          <w:szCs w:val="24"/>
        </w:rPr>
        <w:t xml:space="preserve">and </w:t>
      </w:r>
      <w:r w:rsidRPr="003051E7">
        <w:rPr>
          <w:rFonts w:cs="Times New Roman"/>
          <w:szCs w:val="24"/>
        </w:rPr>
        <w:t xml:space="preserve">groundwater abstraction, among others. </w:t>
      </w:r>
      <w:r w:rsidR="00065D01" w:rsidRPr="003051E7">
        <w:rPr>
          <w:rFonts w:cs="Times New Roman"/>
          <w:szCs w:val="24"/>
        </w:rPr>
        <w:t>In the North-central</w:t>
      </w:r>
      <w:r w:rsidR="00065D01">
        <w:rPr>
          <w:rFonts w:cs="Times New Roman"/>
          <w:szCs w:val="24"/>
        </w:rPr>
        <w:t xml:space="preserve"> zone</w:t>
      </w:r>
      <w:r w:rsidR="00065D01" w:rsidRPr="003051E7">
        <w:rPr>
          <w:rFonts w:cs="Times New Roman"/>
          <w:szCs w:val="24"/>
        </w:rPr>
        <w:t xml:space="preserve">, policies </w:t>
      </w:r>
      <w:r w:rsidR="00065D01">
        <w:rPr>
          <w:rFonts w:cs="Times New Roman"/>
          <w:szCs w:val="24"/>
        </w:rPr>
        <w:t xml:space="preserve">have to address </w:t>
      </w:r>
      <w:r w:rsidR="00065D01" w:rsidRPr="003051E7">
        <w:rPr>
          <w:rFonts w:cs="Times New Roman"/>
          <w:szCs w:val="24"/>
        </w:rPr>
        <w:t>h</w:t>
      </w:r>
      <w:r w:rsidR="00065D01">
        <w:rPr>
          <w:rFonts w:cs="Times New Roman"/>
          <w:szCs w:val="24"/>
        </w:rPr>
        <w:t>uman</w:t>
      </w:r>
      <w:r w:rsidR="00065D01" w:rsidRPr="003051E7">
        <w:rPr>
          <w:rFonts w:cs="Times New Roman"/>
          <w:szCs w:val="24"/>
        </w:rPr>
        <w:t xml:space="preserve">-induced problems, particularly unplanned settlement, industrialization along the </w:t>
      </w:r>
      <w:r w:rsidR="00065D01">
        <w:rPr>
          <w:rFonts w:cs="Times New Roman"/>
          <w:szCs w:val="24"/>
        </w:rPr>
        <w:t xml:space="preserve">distributary </w:t>
      </w:r>
      <w:r w:rsidR="00065D01" w:rsidRPr="003051E7">
        <w:rPr>
          <w:rFonts w:cs="Times New Roman"/>
          <w:szCs w:val="24"/>
        </w:rPr>
        <w:t xml:space="preserve">rivers in this region and ground water extraction. </w:t>
      </w:r>
      <w:r w:rsidRPr="003051E7">
        <w:rPr>
          <w:rFonts w:cs="Times New Roman"/>
          <w:szCs w:val="24"/>
        </w:rPr>
        <w:t>Similar problems exist in the South-west and south-central region</w:t>
      </w:r>
      <w:r>
        <w:rPr>
          <w:rFonts w:cs="Times New Roman"/>
          <w:szCs w:val="24"/>
        </w:rPr>
        <w:t>s</w:t>
      </w:r>
      <w:r w:rsidRPr="003051E7">
        <w:rPr>
          <w:rFonts w:cs="Times New Roman"/>
          <w:szCs w:val="24"/>
        </w:rPr>
        <w:t xml:space="preserve"> owing to Farakka Barrage in India, construction of series of dams and coastal polders.</w:t>
      </w:r>
      <w:r>
        <w:rPr>
          <w:rFonts w:cs="Times New Roman"/>
          <w:szCs w:val="24"/>
        </w:rPr>
        <w:t xml:space="preserve"> </w:t>
      </w:r>
    </w:p>
    <w:p w:rsidR="00282AE2" w:rsidRDefault="007F2F9C" w:rsidP="00282AE2">
      <w:pPr>
        <w:spacing w:line="276" w:lineRule="auto"/>
        <w:jc w:val="both"/>
        <w:rPr>
          <w:rFonts w:cs="Times New Roman"/>
          <w:szCs w:val="24"/>
          <w:lang w:val="en-GB" w:eastAsia="zh-CN"/>
        </w:rPr>
      </w:pPr>
      <w:r>
        <w:rPr>
          <w:rFonts w:cs="Times New Roman"/>
          <w:kern w:val="28"/>
          <w:szCs w:val="24"/>
          <w:lang w:val="en-GB"/>
        </w:rPr>
        <w:t>The holistic management of our water resources involves several</w:t>
      </w:r>
      <w:r w:rsidRPr="00BC4EE9">
        <w:rPr>
          <w:rFonts w:cs="Times New Roman"/>
          <w:kern w:val="28"/>
          <w:szCs w:val="24"/>
          <w:lang w:val="en-GB"/>
        </w:rPr>
        <w:t xml:space="preserve"> interlinking aspects, like Regional Cooperation, Agriculture and Food Security, Fisheries, Ecological Settings and Biodiversity, Environmental Pollution, Land Resource and Population Management, Climate Change, Disaster Management, Coastal Development, Socio-economic</w:t>
      </w:r>
      <w:r>
        <w:rPr>
          <w:rFonts w:cs="Times New Roman"/>
          <w:kern w:val="28"/>
          <w:szCs w:val="24"/>
          <w:lang w:val="en-GB"/>
        </w:rPr>
        <w:t xml:space="preserve"> implications of</w:t>
      </w:r>
      <w:r w:rsidRPr="00BC4EE9">
        <w:rPr>
          <w:rFonts w:cs="Times New Roman"/>
          <w:kern w:val="28"/>
          <w:szCs w:val="24"/>
          <w:lang w:val="en-GB"/>
        </w:rPr>
        <w:t xml:space="preserve"> </w:t>
      </w:r>
      <w:r>
        <w:rPr>
          <w:rFonts w:cs="Times New Roman"/>
          <w:kern w:val="28"/>
          <w:szCs w:val="24"/>
          <w:lang w:val="en-GB"/>
        </w:rPr>
        <w:t>water resource management</w:t>
      </w:r>
      <w:r w:rsidRPr="00BC4EE9">
        <w:rPr>
          <w:rFonts w:cs="Times New Roman"/>
          <w:kern w:val="28"/>
          <w:szCs w:val="24"/>
          <w:lang w:val="en-GB"/>
        </w:rPr>
        <w:t xml:space="preserve">, </w:t>
      </w:r>
      <w:r>
        <w:rPr>
          <w:rFonts w:cs="Times New Roman"/>
          <w:kern w:val="28"/>
          <w:szCs w:val="24"/>
          <w:lang w:val="en-GB"/>
        </w:rPr>
        <w:t xml:space="preserve">all of </w:t>
      </w:r>
      <w:r w:rsidRPr="00BC4EE9">
        <w:rPr>
          <w:rFonts w:cs="Times New Roman"/>
          <w:kern w:val="28"/>
          <w:szCs w:val="24"/>
          <w:lang w:val="en-GB"/>
        </w:rPr>
        <w:t>which are</w:t>
      </w:r>
      <w:r>
        <w:rPr>
          <w:rFonts w:cs="Times New Roman"/>
          <w:kern w:val="28"/>
          <w:szCs w:val="24"/>
          <w:lang w:val="en-GB"/>
        </w:rPr>
        <w:t xml:space="preserve"> intricately</w:t>
      </w:r>
      <w:r w:rsidRPr="00BC4EE9">
        <w:rPr>
          <w:rFonts w:cs="Times New Roman"/>
          <w:kern w:val="28"/>
          <w:szCs w:val="24"/>
          <w:lang w:val="en-GB"/>
        </w:rPr>
        <w:t xml:space="preserve"> related with the River </w:t>
      </w:r>
      <w:r>
        <w:rPr>
          <w:rFonts w:cs="Times New Roman"/>
          <w:kern w:val="28"/>
          <w:szCs w:val="24"/>
          <w:lang w:val="en-GB"/>
        </w:rPr>
        <w:t xml:space="preserve">System </w:t>
      </w:r>
      <w:r w:rsidRPr="00BC4EE9">
        <w:rPr>
          <w:rFonts w:cs="Times New Roman"/>
          <w:kern w:val="28"/>
          <w:szCs w:val="24"/>
          <w:lang w:val="en-GB"/>
        </w:rPr>
        <w:t xml:space="preserve">Management issues. The </w:t>
      </w:r>
      <w:r>
        <w:rPr>
          <w:rFonts w:cs="Times New Roman"/>
          <w:kern w:val="28"/>
          <w:szCs w:val="24"/>
          <w:lang w:val="en-GB"/>
        </w:rPr>
        <w:t xml:space="preserve">existing </w:t>
      </w:r>
      <w:r w:rsidRPr="00BC4EE9">
        <w:rPr>
          <w:rFonts w:cs="Times New Roman"/>
          <w:kern w:val="28"/>
          <w:szCs w:val="24"/>
          <w:lang w:val="en-GB"/>
        </w:rPr>
        <w:t>knowledge gaps in developing of long term plans for river management issues</w:t>
      </w:r>
      <w:r>
        <w:rPr>
          <w:rFonts w:cs="Times New Roman"/>
          <w:kern w:val="28"/>
          <w:szCs w:val="24"/>
          <w:lang w:val="en-GB"/>
        </w:rPr>
        <w:t xml:space="preserve"> appear enormous</w:t>
      </w:r>
      <w:r w:rsidRPr="00BC4EE9">
        <w:rPr>
          <w:rFonts w:cs="Times New Roman"/>
          <w:kern w:val="28"/>
          <w:szCs w:val="24"/>
          <w:lang w:val="en-GB"/>
        </w:rPr>
        <w:t xml:space="preserve">. </w:t>
      </w:r>
      <w:r w:rsidRPr="00BC4EE9">
        <w:rPr>
          <w:rFonts w:cs="Times New Roman"/>
          <w:szCs w:val="24"/>
          <w:lang w:val="en-GB"/>
        </w:rPr>
        <w:t xml:space="preserve">Training of the large rivers </w:t>
      </w:r>
      <w:r>
        <w:rPr>
          <w:rFonts w:cs="Times New Roman"/>
          <w:szCs w:val="24"/>
          <w:lang w:val="en-GB"/>
        </w:rPr>
        <w:t xml:space="preserve">to ensure </w:t>
      </w:r>
      <w:r w:rsidRPr="00BC4EE9">
        <w:rPr>
          <w:rFonts w:cs="Times New Roman"/>
          <w:szCs w:val="24"/>
          <w:lang w:val="en-GB"/>
        </w:rPr>
        <w:t xml:space="preserve">optimum utilization of river resources, </w:t>
      </w:r>
      <w:r w:rsidRPr="00BC4EE9">
        <w:rPr>
          <w:rFonts w:cs="Times New Roman"/>
          <w:szCs w:val="24"/>
          <w:lang w:val="en-GB" w:eastAsia="zh-CN"/>
        </w:rPr>
        <w:t>river responses to climate change</w:t>
      </w:r>
      <w:r>
        <w:rPr>
          <w:rFonts w:cs="Times New Roman"/>
          <w:szCs w:val="24"/>
          <w:lang w:val="en-GB" w:eastAsia="zh-CN"/>
        </w:rPr>
        <w:t xml:space="preserve"> impacts</w:t>
      </w:r>
      <w:r w:rsidRPr="00BC4EE9">
        <w:rPr>
          <w:rFonts w:cs="Times New Roman"/>
          <w:szCs w:val="24"/>
          <w:lang w:val="en-GB" w:eastAsia="zh-CN"/>
        </w:rPr>
        <w:t>,</w:t>
      </w:r>
      <w:r>
        <w:rPr>
          <w:rFonts w:cs="Times New Roman"/>
          <w:szCs w:val="24"/>
          <w:lang w:val="en-GB" w:eastAsia="zh-CN"/>
        </w:rPr>
        <w:t xml:space="preserve"> driving a</w:t>
      </w:r>
      <w:r w:rsidRPr="00BC4EE9">
        <w:rPr>
          <w:rFonts w:cs="Times New Roman"/>
          <w:szCs w:val="24"/>
          <w:lang w:val="en-GB" w:eastAsia="zh-CN"/>
        </w:rPr>
        <w:t xml:space="preserve"> balance between economic development and sustainability of the delta </w:t>
      </w:r>
      <w:r>
        <w:rPr>
          <w:rFonts w:cs="Times New Roman"/>
          <w:szCs w:val="24"/>
          <w:lang w:val="en-GB" w:eastAsia="zh-CN"/>
        </w:rPr>
        <w:t xml:space="preserve">with onset of </w:t>
      </w:r>
      <w:r w:rsidRPr="00BC4EE9">
        <w:rPr>
          <w:rFonts w:cs="Times New Roman"/>
          <w:szCs w:val="24"/>
          <w:lang w:val="en-GB" w:eastAsia="zh-CN"/>
        </w:rPr>
        <w:t>climate change, lack of information and uncertainty regarding upstream intervention and lack of sediment data</w:t>
      </w:r>
      <w:r>
        <w:rPr>
          <w:rFonts w:cs="Times New Roman"/>
          <w:szCs w:val="24"/>
          <w:lang w:val="en-GB" w:eastAsia="zh-CN"/>
        </w:rPr>
        <w:t>,</w:t>
      </w:r>
      <w:r w:rsidRPr="00BC4EE9">
        <w:rPr>
          <w:rFonts w:cs="Times New Roman"/>
          <w:szCs w:val="24"/>
          <w:lang w:val="en-GB" w:eastAsia="zh-CN"/>
        </w:rPr>
        <w:t xml:space="preserve"> </w:t>
      </w:r>
      <w:r>
        <w:rPr>
          <w:rFonts w:cs="Times New Roman"/>
          <w:szCs w:val="24"/>
          <w:lang w:val="en-GB" w:eastAsia="zh-CN"/>
        </w:rPr>
        <w:t>to name only a few, together constitute a substantial agenda for</w:t>
      </w:r>
      <w:r w:rsidRPr="00BC4EE9">
        <w:rPr>
          <w:rFonts w:cs="Times New Roman"/>
          <w:szCs w:val="24"/>
          <w:lang w:val="en-GB" w:eastAsia="zh-CN"/>
        </w:rPr>
        <w:t xml:space="preserve"> knowledge </w:t>
      </w:r>
      <w:r>
        <w:rPr>
          <w:rFonts w:cs="Times New Roman"/>
          <w:szCs w:val="24"/>
          <w:lang w:val="en-GB" w:eastAsia="zh-CN"/>
        </w:rPr>
        <w:t xml:space="preserve">development </w:t>
      </w:r>
      <w:r w:rsidRPr="00BC4EE9">
        <w:rPr>
          <w:rFonts w:cs="Times New Roman"/>
          <w:szCs w:val="24"/>
          <w:lang w:val="en-GB" w:eastAsia="zh-CN"/>
        </w:rPr>
        <w:t xml:space="preserve">in </w:t>
      </w:r>
      <w:r>
        <w:rPr>
          <w:rFonts w:cs="Times New Roman"/>
          <w:szCs w:val="24"/>
          <w:lang w:val="en-GB" w:eastAsia="zh-CN"/>
        </w:rPr>
        <w:t xml:space="preserve">the </w:t>
      </w:r>
      <w:r w:rsidRPr="00BC4EE9">
        <w:rPr>
          <w:rFonts w:cs="Times New Roman"/>
          <w:szCs w:val="24"/>
          <w:lang w:val="en-GB" w:eastAsia="zh-CN"/>
        </w:rPr>
        <w:t>river management sector.</w:t>
      </w:r>
    </w:p>
    <w:p w:rsidR="00000000" w:rsidRDefault="00CE3DA0" w:rsidP="003D5A31">
      <w:pPr>
        <w:pStyle w:val="BodyText"/>
        <w:numPr>
          <w:ilvl w:val="2"/>
          <w:numId w:val="244"/>
        </w:numPr>
        <w:spacing w:after="240" w:line="276" w:lineRule="auto"/>
        <w:jc w:val="both"/>
        <w:rPr>
          <w:rFonts w:cs="Times New Roman"/>
          <w:b/>
          <w:szCs w:val="24"/>
        </w:rPr>
      </w:pPr>
      <w:r w:rsidRPr="00D23556">
        <w:rPr>
          <w:rFonts w:cs="Times New Roman"/>
          <w:b/>
          <w:szCs w:val="24"/>
        </w:rPr>
        <w:t>Climate Change A</w:t>
      </w:r>
      <w:r w:rsidR="007F2F9C" w:rsidRPr="00D23556">
        <w:rPr>
          <w:rFonts w:cs="Times New Roman"/>
          <w:b/>
          <w:szCs w:val="24"/>
        </w:rPr>
        <w:t xml:space="preserve">daptation  </w:t>
      </w:r>
    </w:p>
    <w:p w:rsidR="007F2F9C" w:rsidRPr="00924255" w:rsidRDefault="007F2F9C" w:rsidP="0072476E">
      <w:pPr>
        <w:spacing w:line="276" w:lineRule="auto"/>
        <w:jc w:val="both"/>
        <w:rPr>
          <w:rFonts w:cs="Times New Roman"/>
          <w:szCs w:val="24"/>
        </w:rPr>
      </w:pPr>
      <w:r>
        <w:rPr>
          <w:rFonts w:cs="Times New Roman"/>
          <w:szCs w:val="24"/>
        </w:rPr>
        <w:t>As we discussed, c</w:t>
      </w:r>
      <w:r w:rsidRPr="00924255">
        <w:rPr>
          <w:rFonts w:cs="Times New Roman"/>
          <w:szCs w:val="24"/>
        </w:rPr>
        <w:t>limate change increases the cost of the maintenance of vessels and of infrastructure and allied services. The navigators of Bangladesh have adopted through experience to navigate in the deteriorating conditions of the river. Due to increased cost for maintenance of the vessels, owners have decreased the cost for safety. As a result marine accidents have become regular incidents in inland navigation. To adapt with the growing threats of climate change the followings are suggested:</w:t>
      </w:r>
    </w:p>
    <w:p w:rsidR="007F2F9C" w:rsidRDefault="007F2F9C" w:rsidP="0072476E">
      <w:pPr>
        <w:spacing w:line="276" w:lineRule="auto"/>
        <w:jc w:val="both"/>
        <w:rPr>
          <w:rFonts w:cs="Times New Roman"/>
          <w:szCs w:val="24"/>
        </w:rPr>
      </w:pPr>
      <w:r w:rsidRPr="00924255">
        <w:rPr>
          <w:rFonts w:cs="Times New Roman"/>
          <w:szCs w:val="24"/>
        </w:rPr>
        <w:t xml:space="preserve">Dredging technique and dredging method should be determined in a manner that can adapt to the erratic conditions of the rivers due to climate change. Through morphological and social studies dredge spoil may be discharged to raise the river banks. </w:t>
      </w:r>
    </w:p>
    <w:p w:rsidR="007F2F9C" w:rsidRPr="00924255" w:rsidRDefault="007F2F9C" w:rsidP="00D6486D">
      <w:pPr>
        <w:pStyle w:val="ListParagraph"/>
        <w:numPr>
          <w:ilvl w:val="0"/>
          <w:numId w:val="84"/>
        </w:numPr>
        <w:spacing w:line="276" w:lineRule="auto"/>
        <w:ind w:left="360"/>
        <w:jc w:val="both"/>
        <w:rPr>
          <w:rFonts w:cs="Times New Roman"/>
          <w:szCs w:val="24"/>
        </w:rPr>
      </w:pPr>
      <w:r w:rsidRPr="00924255">
        <w:rPr>
          <w:rFonts w:cs="Times New Roman"/>
          <w:szCs w:val="24"/>
        </w:rPr>
        <w:lastRenderedPageBreak/>
        <w:t xml:space="preserve">For sustainable navigability river training work should also be carried out as well. Through practical experience it was evident that bandalling in some stretches of rivers may develop navigability to some extent. As such bandalling programs should be carried out where feasible. </w:t>
      </w:r>
    </w:p>
    <w:p w:rsidR="007F2F9C" w:rsidRPr="00924255" w:rsidRDefault="007F2F9C" w:rsidP="00D6486D">
      <w:pPr>
        <w:pStyle w:val="ListParagraph"/>
        <w:numPr>
          <w:ilvl w:val="0"/>
          <w:numId w:val="84"/>
        </w:numPr>
        <w:spacing w:line="276" w:lineRule="auto"/>
        <w:ind w:left="360"/>
        <w:jc w:val="both"/>
        <w:rPr>
          <w:rFonts w:cs="Times New Roman"/>
          <w:szCs w:val="24"/>
        </w:rPr>
      </w:pPr>
      <w:r w:rsidRPr="00924255">
        <w:rPr>
          <w:rFonts w:cs="Times New Roman"/>
          <w:szCs w:val="24"/>
        </w:rPr>
        <w:t xml:space="preserve">Facilities in the river ports and landing station should be made flexible in a way to adjust the changing conditions of the rivers due to climate change. </w:t>
      </w:r>
    </w:p>
    <w:p w:rsidR="007F2F9C" w:rsidRDefault="007F2F9C" w:rsidP="00D6486D">
      <w:pPr>
        <w:pStyle w:val="ListParagraph"/>
        <w:numPr>
          <w:ilvl w:val="0"/>
          <w:numId w:val="84"/>
        </w:numPr>
        <w:spacing w:line="276" w:lineRule="auto"/>
        <w:ind w:left="360"/>
        <w:jc w:val="both"/>
        <w:rPr>
          <w:rFonts w:cs="Times New Roman"/>
          <w:szCs w:val="24"/>
        </w:rPr>
      </w:pPr>
      <w:r w:rsidRPr="00924255">
        <w:rPr>
          <w:rFonts w:cs="Times New Roman"/>
          <w:szCs w:val="24"/>
        </w:rPr>
        <w:t>Due to climate change river will be more meandering and bed will be raised to such extent that will restrict smooth navigation. For adapting the changing condition of the river, design and dimension of the vessel must be changed. The breadth of a vessel may remain unchanged but the draft and the Length Overall (LOA) must be changed. Deeper draft long vessels must be replaced by flat bottom with shorter LOA vessels.</w:t>
      </w:r>
    </w:p>
    <w:p w:rsidR="00282AE2" w:rsidRPr="00924255" w:rsidRDefault="00282AE2" w:rsidP="00D6486D">
      <w:pPr>
        <w:pStyle w:val="ListParagraph"/>
        <w:numPr>
          <w:ilvl w:val="0"/>
          <w:numId w:val="84"/>
        </w:numPr>
        <w:spacing w:line="276" w:lineRule="auto"/>
        <w:ind w:left="360"/>
        <w:jc w:val="both"/>
        <w:rPr>
          <w:rFonts w:cs="Times New Roman"/>
          <w:szCs w:val="24"/>
        </w:rPr>
      </w:pPr>
    </w:p>
    <w:p w:rsidR="00000000" w:rsidRDefault="007F2F9C" w:rsidP="003D5A31">
      <w:pPr>
        <w:pStyle w:val="BodyText"/>
        <w:numPr>
          <w:ilvl w:val="2"/>
          <w:numId w:val="244"/>
        </w:numPr>
        <w:spacing w:after="240" w:line="276" w:lineRule="auto"/>
        <w:jc w:val="both"/>
        <w:rPr>
          <w:rFonts w:cs="Times New Roman"/>
          <w:b/>
          <w:szCs w:val="24"/>
        </w:rPr>
      </w:pPr>
      <w:r w:rsidRPr="00D23556">
        <w:rPr>
          <w:rFonts w:cs="Times New Roman"/>
          <w:b/>
          <w:szCs w:val="24"/>
        </w:rPr>
        <w:t>River</w:t>
      </w:r>
      <w:r w:rsidR="00CE3DA0" w:rsidRPr="00D23556">
        <w:rPr>
          <w:rFonts w:cs="Times New Roman"/>
          <w:b/>
          <w:szCs w:val="24"/>
        </w:rPr>
        <w:t xml:space="preserve"> Transport: Priority R</w:t>
      </w:r>
      <w:r w:rsidRPr="00D23556">
        <w:rPr>
          <w:rFonts w:cs="Times New Roman"/>
          <w:b/>
          <w:szCs w:val="24"/>
        </w:rPr>
        <w:t xml:space="preserve">outing and </w:t>
      </w:r>
      <w:r w:rsidR="00CE3DA0" w:rsidRPr="00D23556">
        <w:rPr>
          <w:rFonts w:cs="Times New Roman"/>
          <w:b/>
          <w:szCs w:val="24"/>
        </w:rPr>
        <w:t>Infrastructure D</w:t>
      </w:r>
      <w:r w:rsidRPr="00D23556">
        <w:rPr>
          <w:rFonts w:cs="Times New Roman"/>
          <w:b/>
          <w:szCs w:val="24"/>
        </w:rPr>
        <w:t>evelopment</w:t>
      </w:r>
    </w:p>
    <w:p w:rsidR="007F2F9C" w:rsidRDefault="007F2F9C" w:rsidP="0072476E">
      <w:pPr>
        <w:spacing w:line="276" w:lineRule="auto"/>
        <w:jc w:val="both"/>
        <w:rPr>
          <w:rFonts w:cs="Times New Roman"/>
          <w:szCs w:val="24"/>
        </w:rPr>
      </w:pPr>
      <w:r>
        <w:rPr>
          <w:rFonts w:cs="Times New Roman"/>
          <w:szCs w:val="24"/>
        </w:rPr>
        <w:t xml:space="preserve">The </w:t>
      </w:r>
      <w:r w:rsidRPr="00924255">
        <w:rPr>
          <w:rFonts w:cs="Times New Roman"/>
          <w:szCs w:val="24"/>
        </w:rPr>
        <w:t xml:space="preserve">river transport system </w:t>
      </w:r>
      <w:r>
        <w:rPr>
          <w:rFonts w:cs="Times New Roman"/>
          <w:szCs w:val="24"/>
        </w:rPr>
        <w:t xml:space="preserve">of Bangladesh </w:t>
      </w:r>
      <w:r w:rsidRPr="00924255">
        <w:rPr>
          <w:rFonts w:cs="Times New Roman"/>
          <w:szCs w:val="24"/>
        </w:rPr>
        <w:t xml:space="preserve">lacks modern infrastructure. Apart from inadequate facilities there is shortage of skilled manpower.  </w:t>
      </w:r>
      <w:r>
        <w:rPr>
          <w:rFonts w:cs="Times New Roman"/>
          <w:szCs w:val="24"/>
        </w:rPr>
        <w:t xml:space="preserve">However, given the resource constraints it is not advisable to modernize the entire IWT infrastructure, particularly the routes that are subject to seasonal volatility in terms of navigability and does not generate much revenue drawing passenger and cargo. </w:t>
      </w:r>
      <w:r w:rsidRPr="00725967">
        <w:rPr>
          <w:rFonts w:cs="Times New Roman"/>
          <w:szCs w:val="24"/>
        </w:rPr>
        <w:t>Economic justification is there where large or medium inland vessels navigate. No rationale exists to augment the navigability in thousands of kilometer used exclusively by mechanized boats and the smallest size of inland vessels</w:t>
      </w:r>
      <w:r>
        <w:rPr>
          <w:rFonts w:cs="Times New Roman"/>
          <w:szCs w:val="24"/>
        </w:rPr>
        <w:t>.</w:t>
      </w:r>
    </w:p>
    <w:p w:rsidR="007F2F9C" w:rsidRDefault="007F2F9C" w:rsidP="00C323E9">
      <w:pPr>
        <w:spacing w:line="276" w:lineRule="auto"/>
        <w:jc w:val="both"/>
        <w:rPr>
          <w:rFonts w:cs="Times New Roman"/>
          <w:szCs w:val="24"/>
        </w:rPr>
      </w:pPr>
      <w:r>
        <w:rPr>
          <w:rFonts w:cs="Times New Roman"/>
          <w:szCs w:val="24"/>
        </w:rPr>
        <w:t>R</w:t>
      </w:r>
      <w:r w:rsidRPr="00C44DFB">
        <w:rPr>
          <w:rFonts w:cs="Times New Roman"/>
          <w:szCs w:val="24"/>
        </w:rPr>
        <w:t>iver corrido</w:t>
      </w:r>
      <w:r>
        <w:rPr>
          <w:rFonts w:cs="Times New Roman"/>
          <w:szCs w:val="24"/>
        </w:rPr>
        <w:t>rs between Dhaka and Chittagong</w:t>
      </w:r>
      <w:r w:rsidRPr="00C44DFB">
        <w:rPr>
          <w:rFonts w:cs="Times New Roman"/>
          <w:szCs w:val="24"/>
        </w:rPr>
        <w:t xml:space="preserve"> and between Dhaka and Ashuganj (with extensions to Narayanganj and Barisal) are identified as high priority routes for domestic trade and bilateral trade with India. About 80% of country’s IWT transport is routed through these corridors and daily about 200,000 passengers use these routes. Inland river terminals at Dhaka, Narayanganj, Chandpur and Barisal along these routes play very important role in transporting and handling passenger and cargo. </w:t>
      </w:r>
    </w:p>
    <w:p w:rsidR="007F2F9C" w:rsidRDefault="007F2F9C" w:rsidP="00C323E9">
      <w:pPr>
        <w:spacing w:line="276" w:lineRule="auto"/>
        <w:jc w:val="both"/>
        <w:rPr>
          <w:rFonts w:cs="Times New Roman"/>
          <w:szCs w:val="24"/>
        </w:rPr>
      </w:pPr>
      <w:r w:rsidRPr="00C44DFB">
        <w:rPr>
          <w:rFonts w:cs="Times New Roman"/>
          <w:szCs w:val="24"/>
        </w:rPr>
        <w:t xml:space="preserve">The cargo terminal at Ashuganj is a key terminal for Bangladesh – India trade and it is connected by road to the north eastern states of India. Cargo transport is heavily orientated towards imports and in volume terms, most is trafficked on the Class 1 river routes, primarily between Chittagong, Narayanganj and Dhaka. Given the importance of the route the Ministry of Shipping (MoS) through the BIWTA is preparing the Project to improve the IWT sector along with related infrastructure. BIWTA has approached the World Bank for financing the </w:t>
      </w:r>
      <w:r>
        <w:rPr>
          <w:rFonts w:cs="Times New Roman"/>
          <w:szCs w:val="24"/>
        </w:rPr>
        <w:t>project</w:t>
      </w:r>
      <w:r w:rsidRPr="00C44DFB">
        <w:rPr>
          <w:rFonts w:cs="Times New Roman"/>
          <w:szCs w:val="24"/>
        </w:rPr>
        <w:t>. The important works that are proposed, among others, under the Project are as follows:</w:t>
      </w:r>
    </w:p>
    <w:p w:rsidR="007F2F9C" w:rsidRPr="00B1072F" w:rsidRDefault="00C323E9" w:rsidP="00D6486D">
      <w:pPr>
        <w:numPr>
          <w:ilvl w:val="0"/>
          <w:numId w:val="77"/>
        </w:numPr>
        <w:spacing w:line="276" w:lineRule="auto"/>
        <w:ind w:left="360"/>
        <w:jc w:val="both"/>
        <w:rPr>
          <w:rFonts w:cs="Times New Roman"/>
          <w:iCs/>
          <w:szCs w:val="24"/>
        </w:rPr>
      </w:pPr>
      <w:r>
        <w:rPr>
          <w:rFonts w:cs="Times New Roman"/>
          <w:iCs/>
          <w:szCs w:val="24"/>
        </w:rPr>
        <w:t>D</w:t>
      </w:r>
      <w:r w:rsidR="007F2F9C" w:rsidRPr="00B1072F">
        <w:rPr>
          <w:rFonts w:cs="Times New Roman"/>
          <w:iCs/>
          <w:szCs w:val="24"/>
        </w:rPr>
        <w:t>redging/river maintenance and provision of visual aids between Dhaka and Chittagong Corridor, including branches to Ashuganj, Narayanganj and Barisal;</w:t>
      </w:r>
    </w:p>
    <w:p w:rsidR="007F2F9C" w:rsidRPr="00B1072F" w:rsidRDefault="00C323E9" w:rsidP="00D6486D">
      <w:pPr>
        <w:numPr>
          <w:ilvl w:val="0"/>
          <w:numId w:val="77"/>
        </w:numPr>
        <w:spacing w:line="276" w:lineRule="auto"/>
        <w:ind w:left="360"/>
        <w:jc w:val="both"/>
        <w:rPr>
          <w:rFonts w:cs="Times New Roman"/>
          <w:iCs/>
          <w:szCs w:val="24"/>
        </w:rPr>
      </w:pPr>
      <w:r>
        <w:rPr>
          <w:rFonts w:cs="Times New Roman"/>
          <w:iCs/>
          <w:szCs w:val="24"/>
        </w:rPr>
        <w:lastRenderedPageBreak/>
        <w:t>M</w:t>
      </w:r>
      <w:r w:rsidR="007F2F9C" w:rsidRPr="00B1072F">
        <w:rPr>
          <w:rFonts w:cs="Times New Roman"/>
          <w:iCs/>
          <w:szCs w:val="24"/>
        </w:rPr>
        <w:t>aintenance dredging of the main river ferry crossing routes (Chandpur and Shariatpur; Lakshmipor and Bhola; and Beduria and Laharhat).</w:t>
      </w:r>
    </w:p>
    <w:p w:rsidR="007F2F9C" w:rsidRPr="00B1072F" w:rsidRDefault="007F2F9C" w:rsidP="00D6486D">
      <w:pPr>
        <w:pStyle w:val="ListParagraph"/>
        <w:numPr>
          <w:ilvl w:val="0"/>
          <w:numId w:val="77"/>
        </w:numPr>
        <w:spacing w:line="276" w:lineRule="auto"/>
        <w:ind w:left="360"/>
        <w:jc w:val="both"/>
        <w:rPr>
          <w:rFonts w:cs="Times New Roman"/>
          <w:iCs/>
          <w:szCs w:val="24"/>
        </w:rPr>
      </w:pPr>
      <w:r w:rsidRPr="00B1072F">
        <w:rPr>
          <w:rFonts w:cs="Times New Roman"/>
          <w:iCs/>
          <w:szCs w:val="24"/>
        </w:rPr>
        <w:t>Development of facilities and skills:</w:t>
      </w:r>
    </w:p>
    <w:p w:rsidR="00000000" w:rsidRDefault="00CE3DA0" w:rsidP="003D5A31">
      <w:pPr>
        <w:pStyle w:val="BodyText"/>
        <w:numPr>
          <w:ilvl w:val="2"/>
          <w:numId w:val="244"/>
        </w:numPr>
        <w:spacing w:after="240" w:line="276" w:lineRule="auto"/>
        <w:jc w:val="both"/>
        <w:rPr>
          <w:rFonts w:cs="Times New Roman"/>
          <w:b/>
          <w:szCs w:val="24"/>
        </w:rPr>
      </w:pPr>
      <w:r w:rsidRPr="00D23556">
        <w:rPr>
          <w:rFonts w:cs="Times New Roman"/>
          <w:b/>
          <w:szCs w:val="24"/>
        </w:rPr>
        <w:t>Integration of IWT with Multimodal Transport S</w:t>
      </w:r>
      <w:r w:rsidR="007F2F9C" w:rsidRPr="00D23556">
        <w:rPr>
          <w:rFonts w:cs="Times New Roman"/>
          <w:b/>
          <w:szCs w:val="24"/>
        </w:rPr>
        <w:t>ystem</w:t>
      </w:r>
    </w:p>
    <w:p w:rsidR="007F2F9C" w:rsidRDefault="007F2F9C" w:rsidP="0072476E">
      <w:pPr>
        <w:spacing w:line="276" w:lineRule="auto"/>
        <w:jc w:val="both"/>
        <w:rPr>
          <w:rFonts w:cs="Times New Roman"/>
          <w:szCs w:val="24"/>
        </w:rPr>
      </w:pPr>
      <w:r>
        <w:rPr>
          <w:rFonts w:cs="Times New Roman"/>
          <w:szCs w:val="24"/>
        </w:rPr>
        <w:t>D</w:t>
      </w:r>
      <w:r w:rsidRPr="00924255">
        <w:rPr>
          <w:rFonts w:cs="Times New Roman"/>
          <w:szCs w:val="24"/>
        </w:rPr>
        <w:t xml:space="preserve">evelopment of a standalone waterway system is not enough. IWT has to be integrated with other transport modes.  Due to lack of appropriate intermodal distribution system of containers, further traffic growth is restricted.  Road, inland waterways and rail are components of surface transport sector of Bangladesh. Coordination and connectivity among these modes could provide a multimodal transport system to establish an uninterrupted transport chain for door to door services. </w:t>
      </w:r>
    </w:p>
    <w:p w:rsidR="007F2F9C" w:rsidRPr="0068308F" w:rsidRDefault="007F2F9C" w:rsidP="0072476E">
      <w:pPr>
        <w:spacing w:line="276" w:lineRule="auto"/>
        <w:jc w:val="both"/>
        <w:rPr>
          <w:rFonts w:cs="Times New Roman"/>
          <w:szCs w:val="24"/>
        </w:rPr>
      </w:pPr>
      <w:r w:rsidRPr="00924255">
        <w:rPr>
          <w:rFonts w:cs="Times New Roman"/>
          <w:szCs w:val="24"/>
        </w:rPr>
        <w:t xml:space="preserve">Development of roads and railways and the development of inland waterways had been conducted by </w:t>
      </w:r>
      <w:r w:rsidR="00E579DA">
        <w:rPr>
          <w:rFonts w:cs="Times New Roman"/>
          <w:szCs w:val="24"/>
        </w:rPr>
        <w:t>three</w:t>
      </w:r>
      <w:r w:rsidR="00E579DA" w:rsidRPr="00924255">
        <w:rPr>
          <w:rFonts w:cs="Times New Roman"/>
          <w:szCs w:val="24"/>
        </w:rPr>
        <w:t xml:space="preserve"> </w:t>
      </w:r>
      <w:r w:rsidRPr="00924255">
        <w:rPr>
          <w:rFonts w:cs="Times New Roman"/>
          <w:szCs w:val="24"/>
        </w:rPr>
        <w:t xml:space="preserve">separate Ministries: Ministry </w:t>
      </w:r>
      <w:r w:rsidR="00E579DA">
        <w:rPr>
          <w:rFonts w:cs="Times New Roman"/>
          <w:szCs w:val="24"/>
        </w:rPr>
        <w:t xml:space="preserve">of Roads and Bridges, Ministry of Railways </w:t>
      </w:r>
      <w:r w:rsidRPr="00924255">
        <w:rPr>
          <w:rFonts w:cs="Times New Roman"/>
          <w:szCs w:val="24"/>
        </w:rPr>
        <w:t xml:space="preserve">and the Ministry of Shipping. </w:t>
      </w:r>
      <w:r w:rsidRPr="0068308F">
        <w:rPr>
          <w:rFonts w:cs="Times New Roman"/>
          <w:iCs/>
          <w:szCs w:val="24"/>
        </w:rPr>
        <w:t xml:space="preserve">Policies within the National Integrated Multimodal Transport Policy (NIMTP) to improve safety in Inland waterway sector are: </w:t>
      </w:r>
    </w:p>
    <w:p w:rsidR="007F2F9C" w:rsidRPr="00924255" w:rsidRDefault="007F2F9C" w:rsidP="00D6486D">
      <w:pPr>
        <w:numPr>
          <w:ilvl w:val="0"/>
          <w:numId w:val="76"/>
        </w:numPr>
        <w:spacing w:after="120" w:line="276" w:lineRule="auto"/>
        <w:ind w:left="360"/>
        <w:jc w:val="both"/>
        <w:rPr>
          <w:rFonts w:cs="Times New Roman"/>
          <w:szCs w:val="24"/>
        </w:rPr>
      </w:pPr>
      <w:r w:rsidRPr="00924255">
        <w:rPr>
          <w:rFonts w:cs="Times New Roman"/>
          <w:szCs w:val="24"/>
        </w:rPr>
        <w:t xml:space="preserve">Set up Deck Engine Personnel Training Center (DEPTC) for training of engine and deck hands; </w:t>
      </w:r>
    </w:p>
    <w:p w:rsidR="007F2F9C" w:rsidRPr="00924255" w:rsidRDefault="007F2F9C" w:rsidP="00D6486D">
      <w:pPr>
        <w:numPr>
          <w:ilvl w:val="0"/>
          <w:numId w:val="76"/>
        </w:numPr>
        <w:spacing w:after="120" w:line="276" w:lineRule="auto"/>
        <w:ind w:left="360"/>
        <w:jc w:val="both"/>
        <w:rPr>
          <w:rFonts w:cs="Times New Roman"/>
          <w:szCs w:val="24"/>
        </w:rPr>
      </w:pPr>
      <w:r w:rsidRPr="00924255">
        <w:rPr>
          <w:rFonts w:cs="Times New Roman"/>
          <w:szCs w:val="24"/>
        </w:rPr>
        <w:t xml:space="preserve">Ensure that water vessels are designed and built following correct design through modernization of design checking and involvement of naval architects; </w:t>
      </w:r>
    </w:p>
    <w:p w:rsidR="007F2F9C" w:rsidRPr="00924255" w:rsidRDefault="007F2F9C" w:rsidP="00D6486D">
      <w:pPr>
        <w:numPr>
          <w:ilvl w:val="0"/>
          <w:numId w:val="76"/>
        </w:numPr>
        <w:spacing w:after="120" w:line="276" w:lineRule="auto"/>
        <w:ind w:left="360"/>
        <w:jc w:val="both"/>
        <w:rPr>
          <w:rFonts w:cs="Times New Roman"/>
          <w:szCs w:val="24"/>
        </w:rPr>
      </w:pPr>
      <w:r w:rsidRPr="00924255">
        <w:rPr>
          <w:rFonts w:cs="Times New Roman"/>
          <w:szCs w:val="24"/>
        </w:rPr>
        <w:t xml:space="preserve">Reform and improve of vessel registration system; </w:t>
      </w:r>
    </w:p>
    <w:p w:rsidR="007F2F9C" w:rsidRPr="00924255" w:rsidRDefault="007F2F9C" w:rsidP="00D6486D">
      <w:pPr>
        <w:numPr>
          <w:ilvl w:val="0"/>
          <w:numId w:val="76"/>
        </w:numPr>
        <w:spacing w:after="120" w:line="276" w:lineRule="auto"/>
        <w:ind w:left="360"/>
        <w:jc w:val="both"/>
        <w:rPr>
          <w:rFonts w:cs="Times New Roman"/>
          <w:szCs w:val="24"/>
        </w:rPr>
      </w:pPr>
      <w:r w:rsidRPr="00924255">
        <w:rPr>
          <w:rFonts w:cs="Times New Roman"/>
          <w:szCs w:val="24"/>
        </w:rPr>
        <w:t xml:space="preserve">Improve regulations and enforcement to prevent overloading of vessels; </w:t>
      </w:r>
    </w:p>
    <w:p w:rsidR="007F2F9C" w:rsidRPr="00924255" w:rsidRDefault="007F2F9C" w:rsidP="00D6486D">
      <w:pPr>
        <w:numPr>
          <w:ilvl w:val="0"/>
          <w:numId w:val="76"/>
        </w:numPr>
        <w:spacing w:after="120" w:line="276" w:lineRule="auto"/>
        <w:ind w:left="360"/>
        <w:jc w:val="both"/>
        <w:rPr>
          <w:rFonts w:cs="Times New Roman"/>
          <w:szCs w:val="24"/>
        </w:rPr>
      </w:pPr>
      <w:r w:rsidRPr="00924255">
        <w:rPr>
          <w:rFonts w:cs="Times New Roman"/>
          <w:szCs w:val="24"/>
        </w:rPr>
        <w:t xml:space="preserve">Ensure that vessels are provided with sufficient life saving devices; </w:t>
      </w:r>
    </w:p>
    <w:p w:rsidR="007F2F9C" w:rsidRPr="00924255" w:rsidRDefault="007F2F9C" w:rsidP="00D6486D">
      <w:pPr>
        <w:numPr>
          <w:ilvl w:val="0"/>
          <w:numId w:val="76"/>
        </w:numPr>
        <w:spacing w:after="120" w:line="276" w:lineRule="auto"/>
        <w:ind w:left="360"/>
        <w:jc w:val="both"/>
        <w:rPr>
          <w:rFonts w:cs="Times New Roman"/>
          <w:szCs w:val="24"/>
        </w:rPr>
      </w:pPr>
      <w:r w:rsidRPr="00924255">
        <w:rPr>
          <w:rFonts w:cs="Times New Roman"/>
          <w:szCs w:val="24"/>
        </w:rPr>
        <w:t xml:space="preserve">Ensure adequate vertical clearance in inland waterways for safe passage of vessels and providing Low Tension Lines and High Tension Lines to safe heights; </w:t>
      </w:r>
    </w:p>
    <w:p w:rsidR="007F2F9C" w:rsidRPr="00924255" w:rsidRDefault="007F2F9C" w:rsidP="00D6486D">
      <w:pPr>
        <w:numPr>
          <w:ilvl w:val="0"/>
          <w:numId w:val="76"/>
        </w:numPr>
        <w:spacing w:after="120" w:line="276" w:lineRule="auto"/>
        <w:ind w:left="360"/>
        <w:jc w:val="both"/>
        <w:rPr>
          <w:rFonts w:cs="Times New Roman"/>
          <w:szCs w:val="24"/>
        </w:rPr>
      </w:pPr>
      <w:r w:rsidRPr="00924255">
        <w:rPr>
          <w:rFonts w:cs="Times New Roman"/>
          <w:szCs w:val="24"/>
        </w:rPr>
        <w:t xml:space="preserve">Ensure addition of necessary equipment including Differential Global Positioning System to use electronic hydrographic chart; </w:t>
      </w:r>
    </w:p>
    <w:p w:rsidR="007F2F9C" w:rsidRPr="00924255" w:rsidRDefault="007F2F9C" w:rsidP="00D6486D">
      <w:pPr>
        <w:numPr>
          <w:ilvl w:val="0"/>
          <w:numId w:val="76"/>
        </w:numPr>
        <w:spacing w:after="120" w:line="276" w:lineRule="auto"/>
        <w:ind w:left="360"/>
        <w:jc w:val="both"/>
        <w:rPr>
          <w:rFonts w:cs="Times New Roman"/>
          <w:szCs w:val="24"/>
        </w:rPr>
      </w:pPr>
      <w:r w:rsidRPr="00924255">
        <w:rPr>
          <w:rFonts w:cs="Times New Roman"/>
          <w:szCs w:val="24"/>
        </w:rPr>
        <w:t xml:space="preserve">Ensure use of Digital Mobile Radio and wireless technology to ensure uninterrupted communication from bank to bank, vessel to bank and vessel to vessel; and </w:t>
      </w:r>
    </w:p>
    <w:p w:rsidR="007F2F9C" w:rsidRPr="00B802F5" w:rsidRDefault="007F2F9C" w:rsidP="00D6486D">
      <w:pPr>
        <w:numPr>
          <w:ilvl w:val="0"/>
          <w:numId w:val="76"/>
        </w:numPr>
        <w:spacing w:after="120" w:line="276" w:lineRule="auto"/>
        <w:ind w:left="360"/>
        <w:jc w:val="both"/>
        <w:rPr>
          <w:rFonts w:cs="Times New Roman"/>
          <w:szCs w:val="24"/>
        </w:rPr>
      </w:pPr>
      <w:r w:rsidRPr="00924255">
        <w:rPr>
          <w:rFonts w:cs="Times New Roman"/>
          <w:szCs w:val="24"/>
        </w:rPr>
        <w:t>Strengthen marine guards/marine police and establishing police station for waterways to ensure security of passengers and freight.</w:t>
      </w:r>
    </w:p>
    <w:p w:rsidR="00000000" w:rsidRDefault="00CE3DA0" w:rsidP="003D5A31">
      <w:pPr>
        <w:pStyle w:val="BodyText"/>
        <w:numPr>
          <w:ilvl w:val="2"/>
          <w:numId w:val="244"/>
        </w:numPr>
        <w:spacing w:after="240" w:line="276" w:lineRule="auto"/>
        <w:jc w:val="both"/>
        <w:rPr>
          <w:rFonts w:cs="Times New Roman"/>
          <w:b/>
          <w:szCs w:val="24"/>
        </w:rPr>
      </w:pPr>
      <w:r w:rsidRPr="00D23556">
        <w:rPr>
          <w:rFonts w:cs="Times New Roman"/>
          <w:b/>
          <w:szCs w:val="24"/>
        </w:rPr>
        <w:t>Integrated Transport L</w:t>
      </w:r>
      <w:r w:rsidR="007F2F9C" w:rsidRPr="00D23556">
        <w:rPr>
          <w:rFonts w:cs="Times New Roman"/>
          <w:b/>
          <w:szCs w:val="24"/>
        </w:rPr>
        <w:t>ogistics</w:t>
      </w:r>
    </w:p>
    <w:p w:rsidR="007F2F9C" w:rsidRDefault="007F2F9C" w:rsidP="0072476E">
      <w:pPr>
        <w:spacing w:line="276" w:lineRule="auto"/>
        <w:jc w:val="both"/>
        <w:rPr>
          <w:rFonts w:cs="Times New Roman"/>
          <w:szCs w:val="24"/>
        </w:rPr>
      </w:pPr>
      <w:r w:rsidRPr="00924255">
        <w:rPr>
          <w:rFonts w:cs="Times New Roman"/>
          <w:szCs w:val="24"/>
        </w:rPr>
        <w:t>Availability of integrated logistics in the entire transport chain is the pre-condition of intermodal connectivity. Domestic traffic of cargo by waterways suffers from lack of logistics in this sub-</w:t>
      </w:r>
      <w:r w:rsidRPr="00924255">
        <w:rPr>
          <w:rFonts w:cs="Times New Roman"/>
          <w:szCs w:val="24"/>
        </w:rPr>
        <w:lastRenderedPageBreak/>
        <w:t xml:space="preserve">sector. Except a few jetties developed and operated by private sector companies on a dedicated basis, the present system of loading/unloading of cargo at </w:t>
      </w:r>
      <w:r w:rsidR="00847D39">
        <w:rPr>
          <w:rFonts w:cs="Times New Roman"/>
          <w:szCs w:val="24"/>
        </w:rPr>
        <w:t>public</w:t>
      </w:r>
      <w:r w:rsidRPr="00924255">
        <w:rPr>
          <w:rFonts w:cs="Times New Roman"/>
          <w:szCs w:val="24"/>
        </w:rPr>
        <w:t xml:space="preserve"> jetties is mainly by means of head load, because, inland ports and landing stations are not connected with road or rail. The distance between the jetty and the place of waiting truck is such that it restricts opportunity of direct transfer of cargo required for uninterrupted transport chain. To address these drawbacks an integrated transport logistics</w:t>
      </w:r>
      <w:r>
        <w:rPr>
          <w:rFonts w:cs="Times New Roman"/>
          <w:szCs w:val="24"/>
        </w:rPr>
        <w:t xml:space="preserve"> has to be developed</w:t>
      </w:r>
      <w:r w:rsidRPr="00924255">
        <w:rPr>
          <w:rFonts w:cs="Times New Roman"/>
          <w:szCs w:val="24"/>
        </w:rPr>
        <w:t xml:space="preserve">. </w:t>
      </w:r>
    </w:p>
    <w:p w:rsidR="00000000" w:rsidRDefault="00CE3DA0" w:rsidP="003D5A31">
      <w:pPr>
        <w:pStyle w:val="BodyText"/>
        <w:numPr>
          <w:ilvl w:val="2"/>
          <w:numId w:val="244"/>
        </w:numPr>
        <w:spacing w:after="240" w:line="276" w:lineRule="auto"/>
        <w:jc w:val="both"/>
        <w:rPr>
          <w:rFonts w:cs="Times New Roman"/>
          <w:b/>
          <w:szCs w:val="24"/>
        </w:rPr>
      </w:pPr>
      <w:r w:rsidRPr="00D23556">
        <w:rPr>
          <w:rFonts w:cs="Times New Roman"/>
          <w:b/>
          <w:szCs w:val="24"/>
        </w:rPr>
        <w:t>Increasing I</w:t>
      </w:r>
      <w:r w:rsidR="007F2F9C" w:rsidRPr="00D23556">
        <w:rPr>
          <w:rFonts w:cs="Times New Roman"/>
          <w:b/>
          <w:szCs w:val="24"/>
        </w:rPr>
        <w:t>nvestment in IWT</w:t>
      </w:r>
    </w:p>
    <w:p w:rsidR="007F2F9C" w:rsidRPr="002B3FA0" w:rsidRDefault="007F2F9C" w:rsidP="00D738D5">
      <w:pPr>
        <w:spacing w:line="276" w:lineRule="auto"/>
        <w:jc w:val="both"/>
        <w:rPr>
          <w:rFonts w:cs="Times New Roman"/>
          <w:b/>
          <w:bCs/>
          <w:i/>
          <w:iCs/>
          <w:szCs w:val="24"/>
        </w:rPr>
      </w:pPr>
      <w:r w:rsidRPr="002B3FA0">
        <w:rPr>
          <w:rFonts w:cs="Times New Roman"/>
          <w:b/>
          <w:bCs/>
          <w:i/>
          <w:iCs/>
          <w:szCs w:val="24"/>
        </w:rPr>
        <w:t>Budgetary constraints</w:t>
      </w:r>
    </w:p>
    <w:p w:rsidR="007F2F9C" w:rsidRDefault="007F2F9C" w:rsidP="0072476E">
      <w:pPr>
        <w:spacing w:line="276" w:lineRule="auto"/>
        <w:jc w:val="both"/>
        <w:rPr>
          <w:rFonts w:cs="Times New Roman"/>
          <w:szCs w:val="24"/>
          <w:lang w:val="en-GB"/>
        </w:rPr>
      </w:pPr>
      <w:r w:rsidRPr="00924255">
        <w:rPr>
          <w:rFonts w:cs="Times New Roman"/>
          <w:szCs w:val="24"/>
          <w:lang w:val="en-GB"/>
        </w:rPr>
        <w:t xml:space="preserve">The IWT has been least priority area in budget allocation compared to roads and railway. </w:t>
      </w:r>
      <w:r>
        <w:rPr>
          <w:rFonts w:cs="Times New Roman"/>
          <w:szCs w:val="24"/>
          <w:lang w:val="en-GB"/>
        </w:rPr>
        <w:t xml:space="preserve">It does not receive adequate budgetary allocation in line with its </w:t>
      </w:r>
      <w:r w:rsidRPr="00924255">
        <w:rPr>
          <w:rFonts w:cs="Times New Roman"/>
          <w:szCs w:val="24"/>
          <w:lang w:val="en-GB"/>
        </w:rPr>
        <w:t>modal share of passenger and freight movement</w:t>
      </w:r>
      <w:r>
        <w:rPr>
          <w:rFonts w:cs="Times New Roman"/>
          <w:szCs w:val="24"/>
          <w:lang w:val="en-GB"/>
        </w:rPr>
        <w:t xml:space="preserve"> vis-a-vis the road and railway sector. </w:t>
      </w:r>
      <w:r w:rsidRPr="00924255">
        <w:rPr>
          <w:rFonts w:cs="Times New Roman"/>
          <w:szCs w:val="24"/>
          <w:lang w:val="en-GB"/>
        </w:rPr>
        <w:t xml:space="preserve">This </w:t>
      </w:r>
      <w:r>
        <w:rPr>
          <w:rFonts w:cs="Times New Roman"/>
          <w:szCs w:val="24"/>
          <w:lang w:val="en-GB"/>
        </w:rPr>
        <w:t xml:space="preserve">financial constraint </w:t>
      </w:r>
      <w:r w:rsidRPr="00924255">
        <w:rPr>
          <w:rFonts w:cs="Times New Roman"/>
          <w:szCs w:val="24"/>
          <w:lang w:val="en-GB"/>
        </w:rPr>
        <w:t>seriously affects its capacity to undertake dredging and other infrastructure maintenance activities inland waterways. Thus, budgetary allocation for IWT has to be increased to f</w:t>
      </w:r>
      <w:r>
        <w:rPr>
          <w:rFonts w:cs="Times New Roman"/>
          <w:szCs w:val="24"/>
          <w:lang w:val="en-GB"/>
        </w:rPr>
        <w:t>inancing</w:t>
      </w:r>
      <w:r w:rsidRPr="00924255">
        <w:rPr>
          <w:rFonts w:cs="Times New Roman"/>
          <w:szCs w:val="24"/>
          <w:lang w:val="en-GB"/>
        </w:rPr>
        <w:t xml:space="preserve"> dredging, infrastructure and skill development.</w:t>
      </w:r>
    </w:p>
    <w:p w:rsidR="007F2F9C" w:rsidRPr="002B3FA0" w:rsidRDefault="007F2F9C" w:rsidP="00D738D5">
      <w:pPr>
        <w:spacing w:line="276" w:lineRule="auto"/>
        <w:jc w:val="both"/>
        <w:rPr>
          <w:rFonts w:cs="Times New Roman"/>
          <w:b/>
          <w:bCs/>
          <w:i/>
          <w:iCs/>
          <w:szCs w:val="24"/>
        </w:rPr>
      </w:pPr>
      <w:r w:rsidRPr="002B3FA0">
        <w:rPr>
          <w:rFonts w:cs="Times New Roman"/>
          <w:b/>
          <w:bCs/>
          <w:i/>
          <w:iCs/>
          <w:szCs w:val="24"/>
        </w:rPr>
        <w:t>Determining dredging needs based on river morphological and economic, not political, priorities</w:t>
      </w:r>
    </w:p>
    <w:p w:rsidR="007F2F9C" w:rsidRPr="00924255" w:rsidRDefault="007F2F9C" w:rsidP="0072476E">
      <w:pPr>
        <w:spacing w:line="276" w:lineRule="auto"/>
        <w:jc w:val="both"/>
        <w:rPr>
          <w:rFonts w:cs="Times New Roman"/>
          <w:szCs w:val="24"/>
        </w:rPr>
      </w:pPr>
      <w:r w:rsidRPr="00924255">
        <w:rPr>
          <w:rFonts w:cs="Times New Roman"/>
          <w:szCs w:val="24"/>
        </w:rPr>
        <w:t xml:space="preserve">The current method of determining the Annual Dredging Program is not the result of a comprehensive hydrographic survey. In reality knowledge gap of current conditions of navigability of </w:t>
      </w:r>
      <w:r>
        <w:rPr>
          <w:rFonts w:cs="Times New Roman"/>
          <w:szCs w:val="24"/>
        </w:rPr>
        <w:t>i</w:t>
      </w:r>
      <w:r w:rsidRPr="00924255">
        <w:rPr>
          <w:rFonts w:cs="Times New Roman"/>
          <w:szCs w:val="24"/>
        </w:rPr>
        <w:t xml:space="preserve">nland waterways exists as data were not updated nor any comprehensive hydrographic survey could be conducted since 1989. So it is not possible to ascertain the accurate volume of dredging required for the maintenance of classified IWT Routes unless a fresh hydrographic survey is conducted. </w:t>
      </w:r>
    </w:p>
    <w:p w:rsidR="007F2F9C" w:rsidRDefault="007F2F9C" w:rsidP="0072476E">
      <w:pPr>
        <w:spacing w:line="276" w:lineRule="auto"/>
        <w:jc w:val="both"/>
        <w:rPr>
          <w:rFonts w:cs="Times New Roman"/>
          <w:szCs w:val="24"/>
        </w:rPr>
      </w:pPr>
      <w:r w:rsidRPr="00924255">
        <w:rPr>
          <w:rFonts w:cs="Times New Roman"/>
          <w:szCs w:val="24"/>
        </w:rPr>
        <w:t xml:space="preserve">There exists hardly any objective manner or method for preparing an Annual Dredging Program on the basis of available resources both financial and logistics. Opinions or requirements are received and listed. However, the final dredging programs are prepared not according to any prescribed method. It is apparent that political choice prevails while finalizing the program ignoring the needs of important inland waterway routes. Thus, it is imperative that given the </w:t>
      </w:r>
      <w:r>
        <w:rPr>
          <w:rFonts w:cs="Times New Roman"/>
          <w:szCs w:val="24"/>
        </w:rPr>
        <w:t>budgetary and other financial constraints</w:t>
      </w:r>
      <w:r w:rsidRPr="00924255">
        <w:rPr>
          <w:rFonts w:cs="Times New Roman"/>
          <w:szCs w:val="24"/>
        </w:rPr>
        <w:t xml:space="preserve">, dredging needs should be met based on morphological </w:t>
      </w:r>
      <w:r>
        <w:rPr>
          <w:rFonts w:cs="Times New Roman"/>
          <w:szCs w:val="24"/>
        </w:rPr>
        <w:t>needs and economic merits.</w:t>
      </w:r>
      <w:r w:rsidRPr="00924255">
        <w:rPr>
          <w:rFonts w:cs="Times New Roman"/>
          <w:szCs w:val="24"/>
        </w:rPr>
        <w:t xml:space="preserve"> Moreover, it is evident that half of the fund allocated for the maintenance dredging goes to the ferry routers total length of which not more than 100km, the remaining for class-I to III Routes with the length of 3600 km. Thus, the budget for dredging of ferry routes should come from the </w:t>
      </w:r>
      <w:r w:rsidR="00E579DA">
        <w:rPr>
          <w:rFonts w:cs="Times New Roman"/>
          <w:szCs w:val="24"/>
        </w:rPr>
        <w:t>R</w:t>
      </w:r>
      <w:r w:rsidRPr="00924255">
        <w:rPr>
          <w:rFonts w:cs="Times New Roman"/>
          <w:szCs w:val="24"/>
        </w:rPr>
        <w:t>oad</w:t>
      </w:r>
      <w:r w:rsidR="00E579DA">
        <w:rPr>
          <w:rFonts w:cs="Times New Roman"/>
          <w:szCs w:val="24"/>
        </w:rPr>
        <w:t>s</w:t>
      </w:r>
      <w:r w:rsidRPr="00924255">
        <w:rPr>
          <w:rFonts w:cs="Times New Roman"/>
          <w:szCs w:val="24"/>
        </w:rPr>
        <w:t xml:space="preserve"> and </w:t>
      </w:r>
      <w:r w:rsidR="00E579DA">
        <w:rPr>
          <w:rFonts w:cs="Times New Roman"/>
          <w:szCs w:val="24"/>
        </w:rPr>
        <w:t>H</w:t>
      </w:r>
      <w:r w:rsidRPr="00924255">
        <w:rPr>
          <w:rFonts w:cs="Times New Roman"/>
          <w:szCs w:val="24"/>
        </w:rPr>
        <w:t xml:space="preserve">ighway </w:t>
      </w:r>
      <w:r w:rsidR="00E579DA">
        <w:rPr>
          <w:rFonts w:cs="Times New Roman"/>
          <w:szCs w:val="24"/>
        </w:rPr>
        <w:t>D</w:t>
      </w:r>
      <w:r w:rsidRPr="00924255">
        <w:rPr>
          <w:rFonts w:cs="Times New Roman"/>
          <w:szCs w:val="24"/>
        </w:rPr>
        <w:t>epartment budgets.</w:t>
      </w:r>
    </w:p>
    <w:p w:rsidR="00000000" w:rsidRDefault="00CE3DA0" w:rsidP="003D5A31">
      <w:pPr>
        <w:pStyle w:val="BodyText"/>
        <w:numPr>
          <w:ilvl w:val="2"/>
          <w:numId w:val="244"/>
        </w:numPr>
        <w:spacing w:after="240" w:line="276" w:lineRule="auto"/>
        <w:jc w:val="both"/>
        <w:rPr>
          <w:rFonts w:cs="Times New Roman"/>
          <w:b/>
          <w:szCs w:val="24"/>
        </w:rPr>
      </w:pPr>
      <w:r w:rsidRPr="00EE3624">
        <w:rPr>
          <w:rFonts w:cs="Times New Roman"/>
          <w:b/>
          <w:szCs w:val="24"/>
        </w:rPr>
        <w:t>River System management and Making Cross-boundary IWT V</w:t>
      </w:r>
      <w:r w:rsidR="007F2F9C" w:rsidRPr="00EE3624">
        <w:rPr>
          <w:rFonts w:cs="Times New Roman"/>
          <w:b/>
          <w:szCs w:val="24"/>
        </w:rPr>
        <w:t>iable</w:t>
      </w:r>
    </w:p>
    <w:p w:rsidR="007F2F9C" w:rsidRPr="00924255" w:rsidRDefault="007F2F9C" w:rsidP="0072476E">
      <w:pPr>
        <w:spacing w:line="276" w:lineRule="auto"/>
        <w:jc w:val="both"/>
        <w:rPr>
          <w:rFonts w:cs="Times New Roman"/>
          <w:szCs w:val="24"/>
        </w:rPr>
      </w:pPr>
      <w:r w:rsidRPr="00924255">
        <w:rPr>
          <w:rFonts w:cs="Times New Roman"/>
          <w:iCs/>
          <w:szCs w:val="24"/>
        </w:rPr>
        <w:lastRenderedPageBreak/>
        <w:t xml:space="preserve">Sustainability of IWT is highly dependent on the availability of adequate water in concerned rivers, particularly during dry seasons. </w:t>
      </w:r>
      <w:r w:rsidRPr="00924255">
        <w:rPr>
          <w:rFonts w:cs="Times New Roman"/>
          <w:szCs w:val="24"/>
        </w:rPr>
        <w:t>As Bangladesh is located in the l</w:t>
      </w:r>
      <w:r>
        <w:rPr>
          <w:rFonts w:cs="Times New Roman"/>
          <w:szCs w:val="24"/>
        </w:rPr>
        <w:t>ow-lying delta of the G</w:t>
      </w:r>
      <w:r w:rsidR="00E579DA">
        <w:rPr>
          <w:rFonts w:cs="Times New Roman"/>
          <w:szCs w:val="24"/>
        </w:rPr>
        <w:t xml:space="preserve">anges-the </w:t>
      </w:r>
      <w:r>
        <w:rPr>
          <w:rFonts w:cs="Times New Roman"/>
          <w:szCs w:val="24"/>
        </w:rPr>
        <w:t>B</w:t>
      </w:r>
      <w:r w:rsidR="00E579DA">
        <w:rPr>
          <w:rFonts w:cs="Times New Roman"/>
          <w:szCs w:val="24"/>
        </w:rPr>
        <w:t xml:space="preserve">rahmaputra-the </w:t>
      </w:r>
      <w:r>
        <w:rPr>
          <w:rFonts w:cs="Times New Roman"/>
          <w:szCs w:val="24"/>
        </w:rPr>
        <w:t>M</w:t>
      </w:r>
      <w:r w:rsidR="00E579DA">
        <w:rPr>
          <w:rFonts w:cs="Times New Roman"/>
          <w:szCs w:val="24"/>
        </w:rPr>
        <w:t>eghna</w:t>
      </w:r>
      <w:r>
        <w:rPr>
          <w:rFonts w:cs="Times New Roman"/>
          <w:szCs w:val="24"/>
        </w:rPr>
        <w:t xml:space="preserve"> basin</w:t>
      </w:r>
      <w:r w:rsidR="00E579DA">
        <w:rPr>
          <w:rFonts w:cs="Times New Roman"/>
          <w:szCs w:val="24"/>
        </w:rPr>
        <w:t>s</w:t>
      </w:r>
      <w:r w:rsidRPr="00924255">
        <w:rPr>
          <w:rFonts w:cs="Times New Roman"/>
          <w:szCs w:val="24"/>
        </w:rPr>
        <w:t xml:space="preserve">, water resources management is complex and very much dependent on upstream developments. As discussed upstream infrastructural developments and water diversion projects are expected to have a notable impact on the dry season flow. All these plans, if implemented, will impact the water availability in Bangladesh as well as the ecological condition of the rivers. Thus the ongoing </w:t>
      </w:r>
      <w:r>
        <w:rPr>
          <w:rFonts w:cs="Times New Roman"/>
          <w:szCs w:val="24"/>
        </w:rPr>
        <w:t xml:space="preserve">or forthcoming </w:t>
      </w:r>
      <w:r w:rsidRPr="00924255">
        <w:rPr>
          <w:rFonts w:cs="Times New Roman"/>
          <w:szCs w:val="24"/>
        </w:rPr>
        <w:t>project</w:t>
      </w:r>
      <w:r>
        <w:rPr>
          <w:rFonts w:cs="Times New Roman"/>
          <w:szCs w:val="24"/>
        </w:rPr>
        <w:t xml:space="preserve">s in various parts of </w:t>
      </w:r>
      <w:r w:rsidR="00E579DA">
        <w:rPr>
          <w:rFonts w:cs="Times New Roman"/>
          <w:szCs w:val="24"/>
        </w:rPr>
        <w:t>the Ganges-the Brahmaputra-the Meghna basins</w:t>
      </w:r>
      <w:r w:rsidRPr="00924255">
        <w:rPr>
          <w:rFonts w:cs="Times New Roman"/>
          <w:szCs w:val="24"/>
        </w:rPr>
        <w:t>, particularly in upstream</w:t>
      </w:r>
      <w:r>
        <w:rPr>
          <w:rFonts w:cs="Times New Roman"/>
          <w:szCs w:val="24"/>
        </w:rPr>
        <w:t xml:space="preserve"> regions, coupled with</w:t>
      </w:r>
      <w:r w:rsidRPr="00924255">
        <w:rPr>
          <w:rFonts w:cs="Times New Roman"/>
          <w:szCs w:val="24"/>
        </w:rPr>
        <w:t xml:space="preserve"> cl</w:t>
      </w:r>
      <w:r>
        <w:rPr>
          <w:rFonts w:cs="Times New Roman"/>
          <w:szCs w:val="24"/>
        </w:rPr>
        <w:t>imate induced vulnerability imply that</w:t>
      </w:r>
      <w:r w:rsidRPr="00924255">
        <w:rPr>
          <w:rFonts w:cs="Times New Roman"/>
          <w:szCs w:val="24"/>
        </w:rPr>
        <w:t xml:space="preserve"> Bangladesh has to coopera</w:t>
      </w:r>
      <w:r>
        <w:rPr>
          <w:rFonts w:cs="Times New Roman"/>
          <w:szCs w:val="24"/>
        </w:rPr>
        <w:t>te with India and other upper riparian</w:t>
      </w:r>
      <w:r w:rsidRPr="00924255">
        <w:rPr>
          <w:rFonts w:cs="Times New Roman"/>
          <w:szCs w:val="24"/>
        </w:rPr>
        <w:t xml:space="preserve"> countries to ensure water flows during dry seasons </w:t>
      </w:r>
      <w:r>
        <w:rPr>
          <w:rFonts w:cs="Times New Roman"/>
          <w:szCs w:val="24"/>
        </w:rPr>
        <w:t>to facilitate irrigation</w:t>
      </w:r>
      <w:r w:rsidRPr="00924255">
        <w:rPr>
          <w:rFonts w:cs="Times New Roman"/>
          <w:szCs w:val="24"/>
        </w:rPr>
        <w:t xml:space="preserve"> </w:t>
      </w:r>
      <w:r>
        <w:rPr>
          <w:rFonts w:cs="Times New Roman"/>
          <w:szCs w:val="24"/>
        </w:rPr>
        <w:t xml:space="preserve">and </w:t>
      </w:r>
      <w:r w:rsidRPr="00924255">
        <w:rPr>
          <w:rFonts w:cs="Times New Roman"/>
          <w:szCs w:val="24"/>
        </w:rPr>
        <w:t>navigability, among others.</w:t>
      </w:r>
    </w:p>
    <w:p w:rsidR="007F2F9C" w:rsidRPr="00924255" w:rsidRDefault="007F2F9C" w:rsidP="0072476E">
      <w:pPr>
        <w:spacing w:line="276" w:lineRule="auto"/>
        <w:jc w:val="both"/>
        <w:rPr>
          <w:rFonts w:cs="Times New Roman"/>
          <w:szCs w:val="24"/>
        </w:rPr>
      </w:pPr>
      <w:r w:rsidRPr="00924255">
        <w:rPr>
          <w:rFonts w:cs="Times New Roman"/>
          <w:szCs w:val="24"/>
        </w:rPr>
        <w:t>Nevertheless, as mentioned, India’s growing interest in connecting its Northeastern parts with its mainland through inland waterway flowing between the country and Bangladesh opens new opportunity to devise more predictable cross-border river management mechanism</w:t>
      </w:r>
      <w:r>
        <w:rPr>
          <w:rFonts w:cs="Times New Roman"/>
          <w:szCs w:val="24"/>
        </w:rPr>
        <w:t>s</w:t>
      </w:r>
      <w:r w:rsidRPr="00924255">
        <w:rPr>
          <w:rFonts w:cs="Times New Roman"/>
          <w:szCs w:val="24"/>
        </w:rPr>
        <w:t>.</w:t>
      </w:r>
    </w:p>
    <w:p w:rsidR="007F2F9C" w:rsidRDefault="007F2F9C" w:rsidP="0072476E">
      <w:pPr>
        <w:spacing w:line="276" w:lineRule="auto"/>
        <w:jc w:val="both"/>
        <w:rPr>
          <w:rFonts w:cs="Times New Roman"/>
          <w:szCs w:val="24"/>
        </w:rPr>
      </w:pPr>
      <w:r w:rsidRPr="00924255">
        <w:rPr>
          <w:rFonts w:cs="Times New Roman"/>
          <w:szCs w:val="24"/>
        </w:rPr>
        <w:t>However, there remains knowledge gaps related to water resources and international developments. To adequately assess the potential impacts of trans-boundary development on water resources, the following knowledge gaps with relation to trans-boundary rivers have to be studied further:</w:t>
      </w:r>
    </w:p>
    <w:p w:rsidR="007F2F9C" w:rsidRPr="00F43B6D" w:rsidRDefault="007F2F9C" w:rsidP="0072476E">
      <w:pPr>
        <w:spacing w:line="276" w:lineRule="auto"/>
        <w:jc w:val="both"/>
        <w:rPr>
          <w:rFonts w:cs="Times New Roman"/>
          <w:szCs w:val="24"/>
        </w:rPr>
      </w:pPr>
      <w:r w:rsidRPr="00F43B6D">
        <w:rPr>
          <w:rFonts w:cs="Times New Roman"/>
          <w:szCs w:val="24"/>
        </w:rPr>
        <w:t>A documented understanding of the impacts of various infrastructure scenarios of the Inter River Linking Project on:</w:t>
      </w:r>
    </w:p>
    <w:p w:rsidR="007F2F9C" w:rsidRPr="00F43B6D" w:rsidRDefault="007F2F9C" w:rsidP="00D6486D">
      <w:pPr>
        <w:pStyle w:val="ListParagraph"/>
        <w:numPr>
          <w:ilvl w:val="2"/>
          <w:numId w:val="78"/>
        </w:numPr>
        <w:spacing w:line="276" w:lineRule="auto"/>
        <w:ind w:left="360"/>
        <w:jc w:val="both"/>
        <w:rPr>
          <w:rFonts w:cs="Times New Roman"/>
          <w:szCs w:val="24"/>
        </w:rPr>
      </w:pPr>
      <w:r w:rsidRPr="00F43B6D">
        <w:rPr>
          <w:rFonts w:cs="Times New Roman"/>
          <w:szCs w:val="24"/>
        </w:rPr>
        <w:t>Low and high flows in the Ganges, Brahmaputra, Teesta (and other minor) rivers</w:t>
      </w:r>
    </w:p>
    <w:p w:rsidR="007F2F9C" w:rsidRPr="00F43B6D" w:rsidRDefault="007F2F9C" w:rsidP="00D6486D">
      <w:pPr>
        <w:pStyle w:val="ListParagraph"/>
        <w:numPr>
          <w:ilvl w:val="2"/>
          <w:numId w:val="78"/>
        </w:numPr>
        <w:spacing w:line="276" w:lineRule="auto"/>
        <w:ind w:left="360"/>
        <w:jc w:val="both"/>
        <w:rPr>
          <w:rFonts w:cs="Times New Roman"/>
          <w:szCs w:val="24"/>
        </w:rPr>
      </w:pPr>
      <w:r w:rsidRPr="00F43B6D">
        <w:rPr>
          <w:rFonts w:cs="Times New Roman"/>
          <w:szCs w:val="24"/>
        </w:rPr>
        <w:t>Sediment availability and river morphology</w:t>
      </w:r>
    </w:p>
    <w:p w:rsidR="007F2F9C" w:rsidRPr="00F43B6D" w:rsidRDefault="007F2F9C" w:rsidP="00D6486D">
      <w:pPr>
        <w:pStyle w:val="ListParagraph"/>
        <w:numPr>
          <w:ilvl w:val="2"/>
          <w:numId w:val="78"/>
        </w:numPr>
        <w:spacing w:line="276" w:lineRule="auto"/>
        <w:ind w:left="360"/>
        <w:jc w:val="both"/>
        <w:rPr>
          <w:rFonts w:cs="Times New Roman"/>
          <w:szCs w:val="24"/>
        </w:rPr>
      </w:pPr>
      <w:r w:rsidRPr="00F43B6D">
        <w:rPr>
          <w:rFonts w:cs="Times New Roman"/>
          <w:szCs w:val="24"/>
        </w:rPr>
        <w:t>Groundwater recharge from cross-border aquifers and transboundary river systems</w:t>
      </w:r>
    </w:p>
    <w:p w:rsidR="007F2F9C" w:rsidRPr="00B97F9A" w:rsidRDefault="007F2F9C" w:rsidP="00D6486D">
      <w:pPr>
        <w:pStyle w:val="ListParagraph"/>
        <w:numPr>
          <w:ilvl w:val="1"/>
          <w:numId w:val="78"/>
        </w:numPr>
        <w:spacing w:line="276" w:lineRule="auto"/>
        <w:ind w:left="360"/>
        <w:jc w:val="both"/>
        <w:rPr>
          <w:rFonts w:cs="Times New Roman"/>
          <w:szCs w:val="24"/>
        </w:rPr>
      </w:pPr>
      <w:r w:rsidRPr="00B97F9A">
        <w:rPr>
          <w:rFonts w:cs="Times New Roman"/>
          <w:szCs w:val="24"/>
        </w:rPr>
        <w:t>Climate variability and climate change in the whole GBM basin, affecting e.g. rainfall-runoff patterns</w:t>
      </w:r>
    </w:p>
    <w:p w:rsidR="007F2F9C" w:rsidRPr="00B97F9A" w:rsidRDefault="007F2F9C" w:rsidP="00D6486D">
      <w:pPr>
        <w:pStyle w:val="ListParagraph"/>
        <w:numPr>
          <w:ilvl w:val="1"/>
          <w:numId w:val="78"/>
        </w:numPr>
        <w:spacing w:line="276" w:lineRule="auto"/>
        <w:ind w:left="360"/>
        <w:jc w:val="both"/>
        <w:rPr>
          <w:rFonts w:cs="Times New Roman"/>
          <w:i/>
          <w:szCs w:val="24"/>
        </w:rPr>
      </w:pPr>
      <w:r w:rsidRPr="00B97F9A">
        <w:rPr>
          <w:rFonts w:cs="Times New Roman"/>
          <w:szCs w:val="24"/>
        </w:rPr>
        <w:t>Socio-economic developments, reflected in changing water requirements, upstream storage and consumption</w:t>
      </w:r>
      <w:r w:rsidRPr="00B97F9A">
        <w:rPr>
          <w:rFonts w:cs="Times New Roman"/>
          <w:i/>
          <w:szCs w:val="24"/>
        </w:rPr>
        <w:t xml:space="preserve">; </w:t>
      </w:r>
    </w:p>
    <w:p w:rsidR="007F2F9C" w:rsidRPr="00B97F9A" w:rsidRDefault="007F2F9C" w:rsidP="00D6486D">
      <w:pPr>
        <w:pStyle w:val="ListParagraph"/>
        <w:numPr>
          <w:ilvl w:val="1"/>
          <w:numId w:val="78"/>
        </w:numPr>
        <w:spacing w:line="276" w:lineRule="auto"/>
        <w:ind w:left="360"/>
        <w:jc w:val="both"/>
        <w:rPr>
          <w:rFonts w:cs="Times New Roman"/>
          <w:szCs w:val="24"/>
        </w:rPr>
      </w:pPr>
      <w:r w:rsidRPr="00B97F9A">
        <w:rPr>
          <w:rFonts w:cs="Times New Roman"/>
          <w:szCs w:val="24"/>
        </w:rPr>
        <w:t xml:space="preserve">Quantification of the demand: to determine the impact of periods of water scarcity (low discharge and rainfall) on different sectors, requirements at national level have been assessed (in e.g. the CSIRO study). Given the variation between the hydrological regions and expected impact of external drives, the demand needs to be quantified in detail at the level of each region for each of the key sectors. </w:t>
      </w:r>
    </w:p>
    <w:p w:rsidR="007F2F9C" w:rsidRDefault="007F2F9C" w:rsidP="0072476E">
      <w:pPr>
        <w:pStyle w:val="BodyText"/>
        <w:spacing w:after="240" w:line="276" w:lineRule="auto"/>
        <w:ind w:left="117" w:right="12" w:hanging="1"/>
        <w:jc w:val="both"/>
        <w:rPr>
          <w:color w:val="231F20"/>
          <w:spacing w:val="-2"/>
          <w:w w:val="105"/>
        </w:rPr>
      </w:pPr>
      <w:r w:rsidRPr="004D0387">
        <w:rPr>
          <w:color w:val="231F20"/>
          <w:spacing w:val="1"/>
        </w:rPr>
        <w:t>What has become clear is</w:t>
      </w:r>
      <w:r w:rsidRPr="004D0387">
        <w:rPr>
          <w:color w:val="231F20"/>
          <w:spacing w:val="10"/>
        </w:rPr>
        <w:t xml:space="preserve"> </w:t>
      </w:r>
      <w:r w:rsidRPr="004D0387">
        <w:rPr>
          <w:color w:val="231F20"/>
          <w:spacing w:val="-2"/>
        </w:rPr>
        <w:t>that</w:t>
      </w:r>
      <w:r w:rsidRPr="004D0387">
        <w:rPr>
          <w:color w:val="231F20"/>
          <w:spacing w:val="11"/>
        </w:rPr>
        <w:t xml:space="preserve"> </w:t>
      </w:r>
      <w:r w:rsidRPr="004D0387">
        <w:rPr>
          <w:color w:val="231F20"/>
          <w:spacing w:val="-2"/>
        </w:rPr>
        <w:t>climate</w:t>
      </w:r>
      <w:r w:rsidRPr="004D0387">
        <w:rPr>
          <w:color w:val="231F20"/>
          <w:spacing w:val="10"/>
        </w:rPr>
        <w:t xml:space="preserve"> </w:t>
      </w:r>
      <w:r w:rsidRPr="004D0387">
        <w:rPr>
          <w:color w:val="231F20"/>
          <w:spacing w:val="-2"/>
        </w:rPr>
        <w:t>change,</w:t>
      </w:r>
      <w:r w:rsidRPr="004D0387">
        <w:rPr>
          <w:color w:val="231F20"/>
          <w:spacing w:val="1"/>
        </w:rPr>
        <w:t xml:space="preserve"> </w:t>
      </w:r>
      <w:r w:rsidRPr="004D0387">
        <w:rPr>
          <w:color w:val="231F20"/>
          <w:spacing w:val="-2"/>
        </w:rPr>
        <w:t>thr</w:t>
      </w:r>
      <w:r w:rsidRPr="004D0387">
        <w:rPr>
          <w:color w:val="231F20"/>
          <w:spacing w:val="-1"/>
        </w:rPr>
        <w:t>ough</w:t>
      </w:r>
      <w:r w:rsidRPr="004D0387">
        <w:rPr>
          <w:color w:val="231F20"/>
          <w:spacing w:val="11"/>
        </w:rPr>
        <w:t xml:space="preserve"> </w:t>
      </w:r>
      <w:r w:rsidRPr="004D0387">
        <w:rPr>
          <w:color w:val="231F20"/>
          <w:spacing w:val="-2"/>
        </w:rPr>
        <w:t>increased</w:t>
      </w:r>
      <w:r w:rsidRPr="004D0387">
        <w:rPr>
          <w:color w:val="231F20"/>
          <w:spacing w:val="10"/>
        </w:rPr>
        <w:t xml:space="preserve"> </w:t>
      </w:r>
      <w:r w:rsidRPr="004D0387">
        <w:rPr>
          <w:color w:val="231F20"/>
        </w:rPr>
        <w:t>sea</w:t>
      </w:r>
      <w:r w:rsidRPr="004D0387">
        <w:rPr>
          <w:color w:val="231F20"/>
          <w:spacing w:val="57"/>
          <w:w w:val="92"/>
        </w:rPr>
        <w:t xml:space="preserve"> </w:t>
      </w:r>
      <w:r w:rsidRPr="004D0387">
        <w:rPr>
          <w:color w:val="231F20"/>
          <w:spacing w:val="-2"/>
        </w:rPr>
        <w:t>level rise,</w:t>
      </w:r>
      <w:r w:rsidRPr="004D0387">
        <w:rPr>
          <w:color w:val="231F20"/>
          <w:spacing w:val="12"/>
        </w:rPr>
        <w:t xml:space="preserve"> </w:t>
      </w:r>
      <w:r w:rsidRPr="004D0387">
        <w:rPr>
          <w:color w:val="231F20"/>
          <w:spacing w:val="-2"/>
        </w:rPr>
        <w:t>increased</w:t>
      </w:r>
      <w:r w:rsidRPr="004D0387">
        <w:rPr>
          <w:color w:val="231F20"/>
          <w:spacing w:val="24"/>
        </w:rPr>
        <w:t xml:space="preserve"> </w:t>
      </w:r>
      <w:r w:rsidRPr="004D0387">
        <w:rPr>
          <w:color w:val="231F20"/>
        </w:rPr>
        <w:t>flooding</w:t>
      </w:r>
      <w:r w:rsidRPr="004D0387">
        <w:rPr>
          <w:color w:val="231F20"/>
          <w:spacing w:val="23"/>
        </w:rPr>
        <w:t xml:space="preserve"> </w:t>
      </w:r>
      <w:r w:rsidRPr="004D0387">
        <w:rPr>
          <w:color w:val="231F20"/>
        </w:rPr>
        <w:t>and</w:t>
      </w:r>
      <w:r w:rsidRPr="004D0387">
        <w:rPr>
          <w:color w:val="231F20"/>
          <w:spacing w:val="24"/>
        </w:rPr>
        <w:t xml:space="preserve"> </w:t>
      </w:r>
      <w:r w:rsidRPr="004D0387">
        <w:rPr>
          <w:color w:val="231F20"/>
          <w:spacing w:val="-2"/>
        </w:rPr>
        <w:t>increased</w:t>
      </w:r>
      <w:r w:rsidRPr="004D0387">
        <w:rPr>
          <w:color w:val="231F20"/>
          <w:spacing w:val="23"/>
        </w:rPr>
        <w:t xml:space="preserve"> </w:t>
      </w:r>
      <w:r w:rsidRPr="004D0387">
        <w:rPr>
          <w:color w:val="231F20"/>
          <w:spacing w:val="-2"/>
        </w:rPr>
        <w:t>sediment</w:t>
      </w:r>
      <w:r w:rsidRPr="004D0387">
        <w:rPr>
          <w:color w:val="231F20"/>
          <w:spacing w:val="43"/>
          <w:w w:val="90"/>
        </w:rPr>
        <w:t xml:space="preserve"> </w:t>
      </w:r>
      <w:r w:rsidRPr="004D0387">
        <w:rPr>
          <w:color w:val="231F20"/>
        </w:rPr>
        <w:t>deposition,</w:t>
      </w:r>
      <w:r w:rsidRPr="004D0387">
        <w:rPr>
          <w:color w:val="231F20"/>
          <w:spacing w:val="8"/>
        </w:rPr>
        <w:t xml:space="preserve"> </w:t>
      </w:r>
      <w:r w:rsidRPr="004D0387">
        <w:rPr>
          <w:color w:val="231F20"/>
        </w:rPr>
        <w:t>will</w:t>
      </w:r>
      <w:r w:rsidRPr="004D0387">
        <w:rPr>
          <w:color w:val="231F20"/>
          <w:spacing w:val="19"/>
        </w:rPr>
        <w:t xml:space="preserve"> </w:t>
      </w:r>
      <w:r w:rsidRPr="004D0387">
        <w:rPr>
          <w:color w:val="231F20"/>
        </w:rPr>
        <w:t>change</w:t>
      </w:r>
      <w:r w:rsidRPr="004D0387">
        <w:rPr>
          <w:color w:val="231F20"/>
          <w:spacing w:val="18"/>
        </w:rPr>
        <w:t xml:space="preserve"> </w:t>
      </w:r>
      <w:r w:rsidRPr="004D0387">
        <w:rPr>
          <w:color w:val="231F20"/>
        </w:rPr>
        <w:t>the</w:t>
      </w:r>
      <w:r w:rsidRPr="004D0387">
        <w:rPr>
          <w:color w:val="231F20"/>
          <w:spacing w:val="19"/>
        </w:rPr>
        <w:t xml:space="preserve"> </w:t>
      </w:r>
      <w:r w:rsidRPr="004D0387">
        <w:rPr>
          <w:color w:val="231F20"/>
          <w:spacing w:val="-2"/>
        </w:rPr>
        <w:t>paths</w:t>
      </w:r>
      <w:r w:rsidRPr="004D0387">
        <w:rPr>
          <w:color w:val="231F20"/>
          <w:spacing w:val="19"/>
        </w:rPr>
        <w:t xml:space="preserve"> </w:t>
      </w:r>
      <w:r w:rsidRPr="004D0387">
        <w:rPr>
          <w:color w:val="231F20"/>
        </w:rPr>
        <w:t>of</w:t>
      </w:r>
      <w:r w:rsidRPr="004D0387">
        <w:rPr>
          <w:color w:val="231F20"/>
          <w:spacing w:val="19"/>
        </w:rPr>
        <w:t xml:space="preserve"> </w:t>
      </w:r>
      <w:r w:rsidRPr="004D0387">
        <w:rPr>
          <w:color w:val="231F20"/>
          <w:spacing w:val="-2"/>
        </w:rPr>
        <w:t>water</w:t>
      </w:r>
      <w:r w:rsidRPr="004D0387">
        <w:rPr>
          <w:color w:val="231F20"/>
          <w:spacing w:val="19"/>
        </w:rPr>
        <w:t xml:space="preserve"> </w:t>
      </w:r>
      <w:r w:rsidRPr="004D0387">
        <w:rPr>
          <w:color w:val="231F20"/>
          <w:spacing w:val="-3"/>
        </w:rPr>
        <w:t>ways</w:t>
      </w:r>
      <w:r w:rsidRPr="004D0387">
        <w:rPr>
          <w:color w:val="231F20"/>
          <w:spacing w:val="19"/>
        </w:rPr>
        <w:t xml:space="preserve"> </w:t>
      </w:r>
      <w:r w:rsidRPr="004D0387">
        <w:rPr>
          <w:color w:val="231F20"/>
        </w:rPr>
        <w:t>in</w:t>
      </w:r>
      <w:r w:rsidRPr="004D0387">
        <w:rPr>
          <w:color w:val="231F20"/>
          <w:spacing w:val="29"/>
          <w:w w:val="96"/>
        </w:rPr>
        <w:t xml:space="preserve"> </w:t>
      </w:r>
      <w:r w:rsidRPr="004D0387">
        <w:rPr>
          <w:color w:val="231F20"/>
        </w:rPr>
        <w:t>Bangladesh.</w:t>
      </w:r>
      <w:r w:rsidRPr="004D0387">
        <w:rPr>
          <w:color w:val="231F20"/>
          <w:spacing w:val="-25"/>
        </w:rPr>
        <w:t xml:space="preserve"> </w:t>
      </w:r>
      <w:r w:rsidRPr="004D0387">
        <w:rPr>
          <w:color w:val="231F20"/>
        </w:rPr>
        <w:t>Exactly</w:t>
      </w:r>
      <w:r w:rsidRPr="004D0387">
        <w:rPr>
          <w:color w:val="231F20"/>
          <w:spacing w:val="-17"/>
        </w:rPr>
        <w:t xml:space="preserve"> </w:t>
      </w:r>
      <w:r w:rsidRPr="004D0387">
        <w:rPr>
          <w:color w:val="231F20"/>
          <w:spacing w:val="-2"/>
        </w:rPr>
        <w:t>what</w:t>
      </w:r>
      <w:r w:rsidRPr="004D0387">
        <w:rPr>
          <w:color w:val="231F20"/>
          <w:spacing w:val="-18"/>
        </w:rPr>
        <w:t xml:space="preserve"> </w:t>
      </w:r>
      <w:r w:rsidRPr="004D0387">
        <w:rPr>
          <w:color w:val="231F20"/>
        </w:rPr>
        <w:t>will</w:t>
      </w:r>
      <w:r w:rsidRPr="004D0387">
        <w:rPr>
          <w:color w:val="231F20"/>
          <w:spacing w:val="-17"/>
        </w:rPr>
        <w:t xml:space="preserve"> </w:t>
      </w:r>
      <w:r w:rsidRPr="004D0387">
        <w:rPr>
          <w:color w:val="231F20"/>
        </w:rPr>
        <w:t>happen</w:t>
      </w:r>
      <w:r w:rsidRPr="004D0387">
        <w:rPr>
          <w:color w:val="231F20"/>
          <w:spacing w:val="-18"/>
        </w:rPr>
        <w:t xml:space="preserve"> </w:t>
      </w:r>
      <w:r w:rsidRPr="004D0387">
        <w:rPr>
          <w:color w:val="231F20"/>
        </w:rPr>
        <w:t>is</w:t>
      </w:r>
      <w:r w:rsidRPr="004D0387">
        <w:rPr>
          <w:color w:val="231F20"/>
          <w:spacing w:val="-17"/>
        </w:rPr>
        <w:t xml:space="preserve"> </w:t>
      </w:r>
      <w:r w:rsidRPr="004D0387">
        <w:rPr>
          <w:color w:val="231F20"/>
        </w:rPr>
        <w:t>still</w:t>
      </w:r>
      <w:r w:rsidRPr="004D0387">
        <w:rPr>
          <w:color w:val="231F20"/>
          <w:spacing w:val="-17"/>
        </w:rPr>
        <w:t xml:space="preserve"> </w:t>
      </w:r>
      <w:r w:rsidRPr="004D0387">
        <w:rPr>
          <w:color w:val="231F20"/>
        </w:rPr>
        <w:t>unknown.</w:t>
      </w:r>
      <w:r w:rsidRPr="004D0387">
        <w:rPr>
          <w:color w:val="231F20"/>
          <w:spacing w:val="-25"/>
        </w:rPr>
        <w:t xml:space="preserve"> </w:t>
      </w:r>
      <w:r w:rsidRPr="004D0387">
        <w:rPr>
          <w:color w:val="231F20"/>
          <w:spacing w:val="1"/>
        </w:rPr>
        <w:t>It</w:t>
      </w:r>
      <w:r w:rsidRPr="004D0387">
        <w:rPr>
          <w:color w:val="231F20"/>
          <w:spacing w:val="-17"/>
        </w:rPr>
        <w:t xml:space="preserve"> </w:t>
      </w:r>
      <w:r w:rsidRPr="004D0387">
        <w:rPr>
          <w:color w:val="231F20"/>
        </w:rPr>
        <w:t>is</w:t>
      </w:r>
      <w:r w:rsidRPr="004D0387">
        <w:rPr>
          <w:color w:val="231F20"/>
          <w:spacing w:val="26"/>
          <w:w w:val="93"/>
        </w:rPr>
        <w:t xml:space="preserve"> </w:t>
      </w:r>
      <w:r w:rsidRPr="004D0387">
        <w:rPr>
          <w:color w:val="231F20"/>
          <w:spacing w:val="-1"/>
          <w:w w:val="95"/>
        </w:rPr>
        <w:t>essen</w:t>
      </w:r>
      <w:r w:rsidRPr="004D0387">
        <w:rPr>
          <w:color w:val="231F20"/>
          <w:spacing w:val="-2"/>
          <w:w w:val="95"/>
        </w:rPr>
        <w:t>tial</w:t>
      </w:r>
      <w:r w:rsidRPr="004D0387">
        <w:rPr>
          <w:color w:val="231F20"/>
          <w:spacing w:val="-15"/>
          <w:w w:val="95"/>
        </w:rPr>
        <w:t xml:space="preserve"> </w:t>
      </w:r>
      <w:r w:rsidRPr="004D0387">
        <w:rPr>
          <w:color w:val="231F20"/>
          <w:spacing w:val="-1"/>
          <w:w w:val="95"/>
        </w:rPr>
        <w:t>mor</w:t>
      </w:r>
      <w:r w:rsidRPr="004D0387">
        <w:rPr>
          <w:color w:val="231F20"/>
          <w:spacing w:val="-2"/>
          <w:w w:val="95"/>
        </w:rPr>
        <w:t>e</w:t>
      </w:r>
      <w:r w:rsidRPr="004D0387">
        <w:rPr>
          <w:color w:val="231F20"/>
          <w:spacing w:val="-14"/>
          <w:w w:val="95"/>
        </w:rPr>
        <w:t xml:space="preserve"> </w:t>
      </w:r>
      <w:r w:rsidRPr="004D0387">
        <w:rPr>
          <w:color w:val="231F20"/>
          <w:spacing w:val="-2"/>
          <w:w w:val="95"/>
        </w:rPr>
        <w:t>resear</w:t>
      </w:r>
      <w:r w:rsidRPr="004D0387">
        <w:rPr>
          <w:color w:val="231F20"/>
          <w:spacing w:val="-1"/>
          <w:w w:val="95"/>
        </w:rPr>
        <w:t>ch</w:t>
      </w:r>
      <w:r w:rsidRPr="004D0387">
        <w:rPr>
          <w:color w:val="231F20"/>
          <w:spacing w:val="-15"/>
          <w:w w:val="95"/>
        </w:rPr>
        <w:t xml:space="preserve"> </w:t>
      </w:r>
      <w:r w:rsidRPr="004D0387">
        <w:rPr>
          <w:color w:val="231F20"/>
          <w:w w:val="95"/>
        </w:rPr>
        <w:t>is</w:t>
      </w:r>
      <w:r w:rsidRPr="004D0387">
        <w:rPr>
          <w:color w:val="231F20"/>
          <w:spacing w:val="-14"/>
          <w:w w:val="95"/>
        </w:rPr>
        <w:t xml:space="preserve"> </w:t>
      </w:r>
      <w:r w:rsidRPr="004D0387">
        <w:rPr>
          <w:color w:val="231F20"/>
          <w:w w:val="95"/>
        </w:rPr>
        <w:t>done</w:t>
      </w:r>
      <w:r w:rsidRPr="004D0387">
        <w:rPr>
          <w:color w:val="231F20"/>
          <w:spacing w:val="-15"/>
          <w:w w:val="95"/>
        </w:rPr>
        <w:t xml:space="preserve"> </w:t>
      </w:r>
      <w:r w:rsidRPr="004D0387">
        <w:rPr>
          <w:color w:val="231F20"/>
          <w:spacing w:val="-2"/>
          <w:w w:val="95"/>
        </w:rPr>
        <w:t>t</w:t>
      </w:r>
      <w:r w:rsidRPr="004D0387">
        <w:rPr>
          <w:color w:val="231F20"/>
          <w:spacing w:val="-1"/>
          <w:w w:val="95"/>
        </w:rPr>
        <w:t>o</w:t>
      </w:r>
      <w:r w:rsidRPr="004D0387">
        <w:rPr>
          <w:color w:val="231F20"/>
          <w:spacing w:val="-15"/>
          <w:w w:val="95"/>
        </w:rPr>
        <w:t xml:space="preserve"> </w:t>
      </w:r>
      <w:r w:rsidRPr="004D0387">
        <w:rPr>
          <w:color w:val="231F20"/>
          <w:w w:val="95"/>
        </w:rPr>
        <w:t>ascertain</w:t>
      </w:r>
      <w:r w:rsidRPr="004D0387">
        <w:rPr>
          <w:color w:val="231F20"/>
          <w:spacing w:val="-14"/>
          <w:w w:val="95"/>
        </w:rPr>
        <w:t xml:space="preserve"> </w:t>
      </w:r>
      <w:r w:rsidRPr="004D0387">
        <w:rPr>
          <w:color w:val="231F20"/>
          <w:w w:val="95"/>
        </w:rPr>
        <w:t>likely</w:t>
      </w:r>
      <w:r w:rsidRPr="004D0387">
        <w:rPr>
          <w:color w:val="231F20"/>
          <w:spacing w:val="-15"/>
          <w:w w:val="95"/>
        </w:rPr>
        <w:t xml:space="preserve"> </w:t>
      </w:r>
      <w:r w:rsidRPr="004D0387">
        <w:rPr>
          <w:color w:val="231F20"/>
          <w:spacing w:val="-1"/>
          <w:w w:val="95"/>
        </w:rPr>
        <w:t>sc</w:t>
      </w:r>
      <w:r w:rsidRPr="004D0387">
        <w:rPr>
          <w:color w:val="231F20"/>
          <w:spacing w:val="-2"/>
          <w:w w:val="95"/>
        </w:rPr>
        <w:t>enar</w:t>
      </w:r>
      <w:r w:rsidRPr="004D0387">
        <w:rPr>
          <w:color w:val="231F20"/>
          <w:spacing w:val="-1"/>
          <w:w w:val="95"/>
        </w:rPr>
        <w:t>ios</w:t>
      </w:r>
      <w:r w:rsidRPr="004D0387">
        <w:rPr>
          <w:color w:val="231F20"/>
          <w:spacing w:val="-2"/>
          <w:w w:val="95"/>
        </w:rPr>
        <w:t xml:space="preserve">. </w:t>
      </w:r>
      <w:r w:rsidRPr="004D0387">
        <w:rPr>
          <w:color w:val="231F20"/>
          <w:spacing w:val="-8"/>
          <w:w w:val="105"/>
        </w:rPr>
        <w:t>To</w:t>
      </w:r>
      <w:r w:rsidRPr="004D0387">
        <w:rPr>
          <w:color w:val="231F20"/>
          <w:spacing w:val="33"/>
          <w:w w:val="105"/>
        </w:rPr>
        <w:t xml:space="preserve"> </w:t>
      </w:r>
      <w:r w:rsidRPr="004D0387">
        <w:rPr>
          <w:color w:val="231F20"/>
          <w:spacing w:val="-2"/>
          <w:w w:val="105"/>
        </w:rPr>
        <w:t>ensure</w:t>
      </w:r>
      <w:r w:rsidRPr="004D0387">
        <w:rPr>
          <w:color w:val="231F20"/>
          <w:spacing w:val="33"/>
          <w:w w:val="105"/>
        </w:rPr>
        <w:t xml:space="preserve"> </w:t>
      </w:r>
      <w:r w:rsidRPr="004D0387">
        <w:rPr>
          <w:color w:val="231F20"/>
          <w:spacing w:val="-1"/>
          <w:w w:val="105"/>
        </w:rPr>
        <w:t>adaptation</w:t>
      </w:r>
      <w:r w:rsidRPr="004D0387">
        <w:rPr>
          <w:color w:val="231F20"/>
          <w:spacing w:val="34"/>
          <w:w w:val="105"/>
        </w:rPr>
        <w:t xml:space="preserve"> </w:t>
      </w:r>
      <w:r w:rsidRPr="004D0387">
        <w:rPr>
          <w:color w:val="231F20"/>
          <w:spacing w:val="-2"/>
          <w:w w:val="105"/>
        </w:rPr>
        <w:t>t</w:t>
      </w:r>
      <w:r w:rsidRPr="004D0387">
        <w:rPr>
          <w:color w:val="231F20"/>
          <w:spacing w:val="-1"/>
          <w:w w:val="105"/>
        </w:rPr>
        <w:t>o</w:t>
      </w:r>
      <w:r w:rsidRPr="004D0387">
        <w:rPr>
          <w:color w:val="231F20"/>
          <w:spacing w:val="33"/>
          <w:w w:val="105"/>
        </w:rPr>
        <w:t xml:space="preserve"> </w:t>
      </w:r>
      <w:r w:rsidRPr="004D0387">
        <w:rPr>
          <w:color w:val="231F20"/>
          <w:spacing w:val="-2"/>
          <w:w w:val="105"/>
        </w:rPr>
        <w:t>r</w:t>
      </w:r>
      <w:r w:rsidRPr="004D0387">
        <w:rPr>
          <w:color w:val="231F20"/>
          <w:spacing w:val="-1"/>
          <w:w w:val="105"/>
        </w:rPr>
        <w:t>educ</w:t>
      </w:r>
      <w:r w:rsidRPr="004D0387">
        <w:rPr>
          <w:color w:val="231F20"/>
          <w:spacing w:val="-2"/>
          <w:w w:val="105"/>
        </w:rPr>
        <w:t>e</w:t>
      </w:r>
      <w:r w:rsidRPr="004D0387">
        <w:rPr>
          <w:color w:val="231F20"/>
          <w:spacing w:val="34"/>
          <w:w w:val="105"/>
        </w:rPr>
        <w:t xml:space="preserve"> </w:t>
      </w:r>
      <w:r w:rsidRPr="004D0387">
        <w:rPr>
          <w:color w:val="231F20"/>
          <w:w w:val="105"/>
        </w:rPr>
        <w:t>the</w:t>
      </w:r>
      <w:r w:rsidRPr="004D0387">
        <w:rPr>
          <w:color w:val="231F20"/>
          <w:spacing w:val="33"/>
          <w:w w:val="105"/>
        </w:rPr>
        <w:t xml:space="preserve"> </w:t>
      </w:r>
      <w:r w:rsidRPr="004D0387">
        <w:rPr>
          <w:color w:val="231F20"/>
          <w:spacing w:val="-2"/>
          <w:w w:val="105"/>
        </w:rPr>
        <w:t>vulnerabilit</w:t>
      </w:r>
      <w:r w:rsidRPr="004D0387">
        <w:rPr>
          <w:color w:val="231F20"/>
          <w:spacing w:val="-1"/>
          <w:w w:val="105"/>
        </w:rPr>
        <w:t>y</w:t>
      </w:r>
      <w:r w:rsidRPr="004D0387">
        <w:rPr>
          <w:color w:val="231F20"/>
          <w:spacing w:val="34"/>
          <w:w w:val="105"/>
        </w:rPr>
        <w:t xml:space="preserve"> </w:t>
      </w:r>
      <w:r w:rsidRPr="004D0387">
        <w:rPr>
          <w:color w:val="231F20"/>
          <w:spacing w:val="-2"/>
          <w:w w:val="105"/>
        </w:rPr>
        <w:t>t</w:t>
      </w:r>
      <w:r w:rsidRPr="004D0387">
        <w:rPr>
          <w:color w:val="231F20"/>
          <w:spacing w:val="-1"/>
          <w:w w:val="105"/>
        </w:rPr>
        <w:t>o</w:t>
      </w:r>
      <w:r w:rsidRPr="004D0387">
        <w:rPr>
          <w:color w:val="231F20"/>
          <w:spacing w:val="57"/>
          <w:w w:val="104"/>
        </w:rPr>
        <w:t xml:space="preserve"> </w:t>
      </w:r>
      <w:r w:rsidRPr="004D0387">
        <w:rPr>
          <w:color w:val="231F20"/>
          <w:spacing w:val="-1"/>
          <w:w w:val="105"/>
        </w:rPr>
        <w:t>clima</w:t>
      </w:r>
      <w:r w:rsidRPr="004D0387">
        <w:rPr>
          <w:color w:val="231F20"/>
          <w:spacing w:val="-2"/>
          <w:w w:val="105"/>
        </w:rPr>
        <w:t>te</w:t>
      </w:r>
      <w:r w:rsidRPr="004D0387">
        <w:rPr>
          <w:color w:val="231F20"/>
          <w:spacing w:val="-3"/>
          <w:w w:val="105"/>
        </w:rPr>
        <w:t xml:space="preserve"> </w:t>
      </w:r>
      <w:r w:rsidRPr="004D0387">
        <w:rPr>
          <w:color w:val="231F20"/>
          <w:w w:val="105"/>
        </w:rPr>
        <w:t>change</w:t>
      </w:r>
      <w:r w:rsidRPr="004D0387">
        <w:rPr>
          <w:color w:val="231F20"/>
          <w:spacing w:val="-3"/>
          <w:w w:val="105"/>
        </w:rPr>
        <w:t xml:space="preserve"> </w:t>
      </w:r>
      <w:r w:rsidRPr="004D0387">
        <w:rPr>
          <w:color w:val="231F20"/>
          <w:w w:val="105"/>
        </w:rPr>
        <w:t>on</w:t>
      </w:r>
      <w:r w:rsidRPr="004D0387">
        <w:rPr>
          <w:color w:val="231F20"/>
          <w:spacing w:val="-3"/>
          <w:w w:val="105"/>
        </w:rPr>
        <w:t xml:space="preserve"> </w:t>
      </w:r>
      <w:r w:rsidRPr="004D0387">
        <w:rPr>
          <w:color w:val="231F20"/>
          <w:w w:val="105"/>
        </w:rPr>
        <w:t>inland</w:t>
      </w:r>
      <w:r w:rsidRPr="004D0387">
        <w:rPr>
          <w:color w:val="231F20"/>
          <w:spacing w:val="-3"/>
          <w:w w:val="105"/>
        </w:rPr>
        <w:t xml:space="preserve"> </w:t>
      </w:r>
      <w:r w:rsidRPr="004D0387">
        <w:rPr>
          <w:color w:val="231F20"/>
          <w:spacing w:val="-1"/>
          <w:w w:val="105"/>
        </w:rPr>
        <w:t>navigation</w:t>
      </w:r>
      <w:r w:rsidRPr="004D0387">
        <w:rPr>
          <w:color w:val="231F20"/>
          <w:spacing w:val="-3"/>
          <w:w w:val="105"/>
        </w:rPr>
        <w:t xml:space="preserve"> </w:t>
      </w:r>
      <w:r w:rsidRPr="004D0387">
        <w:rPr>
          <w:color w:val="231F20"/>
          <w:w w:val="105"/>
        </w:rPr>
        <w:t>and</w:t>
      </w:r>
      <w:r w:rsidRPr="004D0387">
        <w:rPr>
          <w:color w:val="231F20"/>
          <w:spacing w:val="-3"/>
          <w:w w:val="105"/>
        </w:rPr>
        <w:t xml:space="preserve"> </w:t>
      </w:r>
      <w:r w:rsidRPr="004D0387">
        <w:rPr>
          <w:color w:val="231F20"/>
          <w:w w:val="105"/>
        </w:rPr>
        <w:t>shipping</w:t>
      </w:r>
      <w:r w:rsidRPr="004D0387">
        <w:rPr>
          <w:color w:val="231F20"/>
          <w:spacing w:val="-2"/>
          <w:w w:val="105"/>
        </w:rPr>
        <w:t>, it is critical to bridge the knowledge gaps by c</w:t>
      </w:r>
      <w:r w:rsidRPr="004D0387">
        <w:rPr>
          <w:color w:val="231F20"/>
          <w:spacing w:val="-1"/>
          <w:w w:val="105"/>
        </w:rPr>
        <w:t>onduc</w:t>
      </w:r>
      <w:r w:rsidRPr="004D0387">
        <w:rPr>
          <w:color w:val="231F20"/>
          <w:spacing w:val="-2"/>
          <w:w w:val="105"/>
        </w:rPr>
        <w:t>ting</w:t>
      </w:r>
      <w:r w:rsidRPr="004D0387">
        <w:rPr>
          <w:color w:val="231F20"/>
          <w:spacing w:val="30"/>
          <w:w w:val="105"/>
        </w:rPr>
        <w:t xml:space="preserve"> </w:t>
      </w:r>
      <w:r w:rsidRPr="004D0387">
        <w:rPr>
          <w:color w:val="231F20"/>
          <w:w w:val="105"/>
        </w:rPr>
        <w:lastRenderedPageBreak/>
        <w:t>a</w:t>
      </w:r>
      <w:r w:rsidRPr="004D0387">
        <w:rPr>
          <w:color w:val="231F20"/>
          <w:spacing w:val="30"/>
          <w:w w:val="105"/>
        </w:rPr>
        <w:t xml:space="preserve"> </w:t>
      </w:r>
      <w:r w:rsidRPr="004D0387">
        <w:rPr>
          <w:color w:val="231F20"/>
          <w:spacing w:val="-1"/>
          <w:w w:val="105"/>
        </w:rPr>
        <w:t>study</w:t>
      </w:r>
      <w:r w:rsidRPr="004D0387">
        <w:rPr>
          <w:color w:val="231F20"/>
          <w:spacing w:val="30"/>
          <w:w w:val="105"/>
        </w:rPr>
        <w:t xml:space="preserve"> </w:t>
      </w:r>
      <w:r w:rsidRPr="004D0387">
        <w:rPr>
          <w:color w:val="231F20"/>
          <w:spacing w:val="-2"/>
          <w:w w:val="105"/>
        </w:rPr>
        <w:t>t</w:t>
      </w:r>
      <w:r w:rsidRPr="004D0387">
        <w:rPr>
          <w:color w:val="231F20"/>
          <w:spacing w:val="-1"/>
          <w:w w:val="105"/>
        </w:rPr>
        <w:t>o</w:t>
      </w:r>
      <w:r w:rsidRPr="004D0387">
        <w:rPr>
          <w:color w:val="231F20"/>
          <w:spacing w:val="30"/>
          <w:w w:val="105"/>
        </w:rPr>
        <w:t xml:space="preserve"> </w:t>
      </w:r>
      <w:r w:rsidRPr="004D0387">
        <w:rPr>
          <w:color w:val="231F20"/>
          <w:w w:val="105"/>
        </w:rPr>
        <w:t>ascertain</w:t>
      </w:r>
      <w:r w:rsidRPr="004D0387">
        <w:rPr>
          <w:color w:val="231F20"/>
          <w:spacing w:val="30"/>
          <w:w w:val="105"/>
        </w:rPr>
        <w:t xml:space="preserve"> </w:t>
      </w:r>
      <w:r w:rsidRPr="004D0387">
        <w:rPr>
          <w:color w:val="231F20"/>
          <w:w w:val="105"/>
        </w:rPr>
        <w:t>the</w:t>
      </w:r>
      <w:r w:rsidRPr="004D0387">
        <w:rPr>
          <w:color w:val="231F20"/>
          <w:spacing w:val="30"/>
          <w:w w:val="105"/>
        </w:rPr>
        <w:t xml:space="preserve"> </w:t>
      </w:r>
      <w:r w:rsidRPr="004D0387">
        <w:rPr>
          <w:color w:val="231F20"/>
          <w:w w:val="105"/>
        </w:rPr>
        <w:t>impact</w:t>
      </w:r>
      <w:r w:rsidRPr="004D0387">
        <w:rPr>
          <w:color w:val="231F20"/>
          <w:spacing w:val="30"/>
          <w:w w:val="105"/>
        </w:rPr>
        <w:t xml:space="preserve"> </w:t>
      </w:r>
      <w:r w:rsidRPr="004D0387">
        <w:rPr>
          <w:color w:val="231F20"/>
          <w:w w:val="105"/>
        </w:rPr>
        <w:t>of</w:t>
      </w:r>
      <w:r w:rsidRPr="004D0387">
        <w:rPr>
          <w:color w:val="231F20"/>
          <w:spacing w:val="28"/>
          <w:w w:val="101"/>
        </w:rPr>
        <w:t xml:space="preserve"> </w:t>
      </w:r>
      <w:r w:rsidRPr="004D0387">
        <w:rPr>
          <w:color w:val="231F20"/>
          <w:spacing w:val="-1"/>
          <w:w w:val="105"/>
        </w:rPr>
        <w:t>clima</w:t>
      </w:r>
      <w:r w:rsidRPr="004D0387">
        <w:rPr>
          <w:color w:val="231F20"/>
          <w:spacing w:val="-2"/>
          <w:w w:val="105"/>
        </w:rPr>
        <w:t>te</w:t>
      </w:r>
      <w:r w:rsidRPr="004D0387">
        <w:rPr>
          <w:color w:val="231F20"/>
          <w:spacing w:val="15"/>
          <w:w w:val="105"/>
        </w:rPr>
        <w:t xml:space="preserve"> </w:t>
      </w:r>
      <w:r w:rsidRPr="004D0387">
        <w:rPr>
          <w:color w:val="231F20"/>
          <w:w w:val="105"/>
        </w:rPr>
        <w:t>change</w:t>
      </w:r>
      <w:r w:rsidRPr="004D0387">
        <w:rPr>
          <w:color w:val="231F20"/>
          <w:spacing w:val="15"/>
          <w:w w:val="105"/>
        </w:rPr>
        <w:t xml:space="preserve"> </w:t>
      </w:r>
      <w:r w:rsidRPr="004D0387">
        <w:rPr>
          <w:color w:val="231F20"/>
          <w:w w:val="105"/>
        </w:rPr>
        <w:t>on</w:t>
      </w:r>
      <w:r w:rsidRPr="004D0387">
        <w:rPr>
          <w:color w:val="231F20"/>
          <w:spacing w:val="16"/>
          <w:w w:val="105"/>
        </w:rPr>
        <w:t xml:space="preserve"> </w:t>
      </w:r>
      <w:r w:rsidRPr="004D0387">
        <w:rPr>
          <w:color w:val="231F20"/>
          <w:w w:val="105"/>
        </w:rPr>
        <w:t>inland</w:t>
      </w:r>
      <w:r w:rsidRPr="004D0387">
        <w:rPr>
          <w:color w:val="231F20"/>
          <w:spacing w:val="15"/>
          <w:w w:val="105"/>
        </w:rPr>
        <w:t xml:space="preserve"> </w:t>
      </w:r>
      <w:r w:rsidRPr="004D0387">
        <w:rPr>
          <w:color w:val="231F20"/>
          <w:spacing w:val="-2"/>
          <w:w w:val="105"/>
        </w:rPr>
        <w:t>water</w:t>
      </w:r>
      <w:r w:rsidRPr="004D0387">
        <w:rPr>
          <w:color w:val="231F20"/>
          <w:spacing w:val="16"/>
          <w:w w:val="105"/>
        </w:rPr>
        <w:t xml:space="preserve"> </w:t>
      </w:r>
      <w:r w:rsidRPr="004D0387">
        <w:rPr>
          <w:color w:val="231F20"/>
          <w:w w:val="105"/>
        </w:rPr>
        <w:t>transport</w:t>
      </w:r>
      <w:r w:rsidRPr="004D0387">
        <w:rPr>
          <w:color w:val="231F20"/>
          <w:spacing w:val="27"/>
          <w:w w:val="98"/>
        </w:rPr>
        <w:t xml:space="preserve"> </w:t>
      </w:r>
      <w:r w:rsidRPr="004D0387">
        <w:rPr>
          <w:color w:val="231F20"/>
          <w:spacing w:val="-2"/>
          <w:w w:val="105"/>
        </w:rPr>
        <w:t>(na</w:t>
      </w:r>
      <w:r w:rsidRPr="004D0387">
        <w:rPr>
          <w:color w:val="231F20"/>
          <w:spacing w:val="-1"/>
          <w:w w:val="105"/>
        </w:rPr>
        <w:t>vigability</w:t>
      </w:r>
      <w:r w:rsidRPr="004D0387">
        <w:rPr>
          <w:color w:val="231F20"/>
          <w:spacing w:val="-2"/>
          <w:w w:val="105"/>
        </w:rPr>
        <w:t>,</w:t>
      </w:r>
      <w:r w:rsidRPr="004D0387">
        <w:rPr>
          <w:color w:val="231F20"/>
          <w:spacing w:val="41"/>
          <w:w w:val="105"/>
        </w:rPr>
        <w:t xml:space="preserve"> </w:t>
      </w:r>
      <w:r w:rsidRPr="004D0387">
        <w:rPr>
          <w:color w:val="231F20"/>
          <w:w w:val="105"/>
        </w:rPr>
        <w:t>port,</w:t>
      </w:r>
      <w:r w:rsidRPr="004D0387">
        <w:rPr>
          <w:color w:val="231F20"/>
          <w:spacing w:val="42"/>
          <w:w w:val="105"/>
        </w:rPr>
        <w:t xml:space="preserve"> </w:t>
      </w:r>
      <w:r w:rsidRPr="004D0387">
        <w:rPr>
          <w:color w:val="231F20"/>
          <w:w w:val="105"/>
        </w:rPr>
        <w:t>landing</w:t>
      </w:r>
      <w:r w:rsidRPr="004D0387">
        <w:rPr>
          <w:color w:val="231F20"/>
          <w:spacing w:val="7"/>
          <w:w w:val="105"/>
        </w:rPr>
        <w:t xml:space="preserve"> </w:t>
      </w:r>
      <w:r w:rsidRPr="004D0387">
        <w:rPr>
          <w:color w:val="231F20"/>
          <w:spacing w:val="-2"/>
          <w:w w:val="105"/>
        </w:rPr>
        <w:t>stations)</w:t>
      </w:r>
      <w:r w:rsidRPr="004D0387">
        <w:rPr>
          <w:color w:val="231F20"/>
          <w:spacing w:val="7"/>
          <w:w w:val="105"/>
        </w:rPr>
        <w:t xml:space="preserve"> </w:t>
      </w:r>
      <w:r w:rsidRPr="004D0387">
        <w:rPr>
          <w:color w:val="231F20"/>
          <w:w w:val="105"/>
        </w:rPr>
        <w:t>and</w:t>
      </w:r>
      <w:r w:rsidRPr="004D0387">
        <w:rPr>
          <w:color w:val="231F20"/>
          <w:spacing w:val="7"/>
          <w:w w:val="105"/>
        </w:rPr>
        <w:t xml:space="preserve"> </w:t>
      </w:r>
      <w:r w:rsidRPr="004D0387">
        <w:rPr>
          <w:color w:val="231F20"/>
          <w:spacing w:val="-2"/>
          <w:w w:val="105"/>
        </w:rPr>
        <w:t>t</w:t>
      </w:r>
      <w:r w:rsidRPr="004D0387">
        <w:rPr>
          <w:color w:val="231F20"/>
          <w:spacing w:val="-1"/>
          <w:w w:val="105"/>
        </w:rPr>
        <w:t>o</w:t>
      </w:r>
      <w:r w:rsidRPr="004D0387">
        <w:rPr>
          <w:color w:val="231F20"/>
          <w:spacing w:val="21"/>
          <w:w w:val="104"/>
        </w:rPr>
        <w:t xml:space="preserve"> </w:t>
      </w:r>
      <w:r w:rsidRPr="004D0387">
        <w:rPr>
          <w:color w:val="231F20"/>
          <w:spacing w:val="-2"/>
          <w:w w:val="105"/>
        </w:rPr>
        <w:t>draw</w:t>
      </w:r>
      <w:r w:rsidRPr="004D0387">
        <w:rPr>
          <w:color w:val="231F20"/>
          <w:spacing w:val="-14"/>
          <w:w w:val="105"/>
        </w:rPr>
        <w:t xml:space="preserve"> </w:t>
      </w:r>
      <w:r w:rsidRPr="004D0387">
        <w:rPr>
          <w:color w:val="231F20"/>
          <w:w w:val="105"/>
        </w:rPr>
        <w:t>up</w:t>
      </w:r>
      <w:r w:rsidRPr="004D0387">
        <w:rPr>
          <w:color w:val="231F20"/>
          <w:spacing w:val="-13"/>
          <w:w w:val="105"/>
        </w:rPr>
        <w:t xml:space="preserve"> </w:t>
      </w:r>
      <w:r w:rsidRPr="004D0387">
        <w:rPr>
          <w:color w:val="231F20"/>
          <w:w w:val="105"/>
        </w:rPr>
        <w:t>an</w:t>
      </w:r>
      <w:r w:rsidRPr="004D0387">
        <w:rPr>
          <w:color w:val="231F20"/>
          <w:spacing w:val="-13"/>
          <w:w w:val="105"/>
        </w:rPr>
        <w:t xml:space="preserve"> </w:t>
      </w:r>
      <w:r w:rsidRPr="004D0387">
        <w:rPr>
          <w:color w:val="231F20"/>
          <w:w w:val="105"/>
        </w:rPr>
        <w:t>action</w:t>
      </w:r>
      <w:r w:rsidRPr="004D0387">
        <w:rPr>
          <w:color w:val="231F20"/>
          <w:spacing w:val="-13"/>
          <w:w w:val="105"/>
        </w:rPr>
        <w:t xml:space="preserve"> </w:t>
      </w:r>
      <w:r w:rsidRPr="004D0387">
        <w:rPr>
          <w:color w:val="231F20"/>
          <w:w w:val="105"/>
        </w:rPr>
        <w:t>plan</w:t>
      </w:r>
      <w:r w:rsidRPr="004D0387">
        <w:rPr>
          <w:color w:val="231F20"/>
          <w:spacing w:val="-13"/>
          <w:w w:val="105"/>
        </w:rPr>
        <w:t xml:space="preserve"> </w:t>
      </w:r>
      <w:r w:rsidRPr="004D0387">
        <w:rPr>
          <w:color w:val="231F20"/>
          <w:spacing w:val="-2"/>
          <w:w w:val="105"/>
        </w:rPr>
        <w:t>for</w:t>
      </w:r>
      <w:r w:rsidRPr="004D0387">
        <w:rPr>
          <w:color w:val="231F20"/>
          <w:spacing w:val="-13"/>
          <w:w w:val="105"/>
        </w:rPr>
        <w:t xml:space="preserve"> </w:t>
      </w:r>
      <w:r w:rsidRPr="004D0387">
        <w:rPr>
          <w:color w:val="231F20"/>
          <w:w w:val="105"/>
        </w:rPr>
        <w:t>adapting</w:t>
      </w:r>
      <w:r w:rsidRPr="004D0387">
        <w:rPr>
          <w:color w:val="231F20"/>
          <w:spacing w:val="-13"/>
          <w:w w:val="105"/>
        </w:rPr>
        <w:t xml:space="preserve"> </w:t>
      </w:r>
      <w:r w:rsidRPr="004D0387">
        <w:rPr>
          <w:color w:val="231F20"/>
          <w:spacing w:val="-2"/>
          <w:w w:val="105"/>
        </w:rPr>
        <w:t>t</w:t>
      </w:r>
      <w:r w:rsidRPr="004D0387">
        <w:rPr>
          <w:color w:val="231F20"/>
          <w:spacing w:val="-1"/>
          <w:w w:val="105"/>
        </w:rPr>
        <w:t>o</w:t>
      </w:r>
      <w:r w:rsidRPr="004D0387">
        <w:rPr>
          <w:color w:val="231F20"/>
          <w:spacing w:val="-13"/>
          <w:w w:val="105"/>
        </w:rPr>
        <w:t xml:space="preserve"> </w:t>
      </w:r>
      <w:r w:rsidRPr="004D0387">
        <w:rPr>
          <w:color w:val="231F20"/>
          <w:spacing w:val="-1"/>
          <w:w w:val="105"/>
        </w:rPr>
        <w:t>clima</w:t>
      </w:r>
      <w:r w:rsidRPr="004D0387">
        <w:rPr>
          <w:color w:val="231F20"/>
          <w:spacing w:val="-2"/>
          <w:w w:val="105"/>
        </w:rPr>
        <w:t>te</w:t>
      </w:r>
      <w:r w:rsidRPr="004D0387">
        <w:rPr>
          <w:color w:val="231F20"/>
          <w:spacing w:val="27"/>
        </w:rPr>
        <w:t xml:space="preserve"> </w:t>
      </w:r>
      <w:r w:rsidRPr="004D0387">
        <w:rPr>
          <w:color w:val="231F20"/>
          <w:w w:val="105"/>
        </w:rPr>
        <w:t>change</w:t>
      </w:r>
      <w:r w:rsidRPr="004D0387">
        <w:rPr>
          <w:color w:val="231F20"/>
          <w:spacing w:val="-11"/>
          <w:w w:val="105"/>
        </w:rPr>
        <w:t xml:space="preserve"> </w:t>
      </w:r>
      <w:r w:rsidRPr="004D0387">
        <w:rPr>
          <w:color w:val="231F20"/>
          <w:w w:val="105"/>
        </w:rPr>
        <w:t>and</w:t>
      </w:r>
      <w:r w:rsidRPr="004D0387">
        <w:rPr>
          <w:color w:val="231F20"/>
          <w:spacing w:val="-11"/>
          <w:w w:val="105"/>
        </w:rPr>
        <w:t xml:space="preserve"> taking </w:t>
      </w:r>
      <w:r w:rsidRPr="004D0387">
        <w:rPr>
          <w:color w:val="231F20"/>
          <w:spacing w:val="-1"/>
          <w:w w:val="105"/>
        </w:rPr>
        <w:t>mitiga</w:t>
      </w:r>
      <w:r w:rsidRPr="004D0387">
        <w:rPr>
          <w:color w:val="231F20"/>
          <w:spacing w:val="-2"/>
          <w:w w:val="105"/>
        </w:rPr>
        <w:t>tion options.</w:t>
      </w:r>
    </w:p>
    <w:p w:rsidR="00282AE2" w:rsidRDefault="00282AE2" w:rsidP="0072476E">
      <w:pPr>
        <w:pStyle w:val="BodyText"/>
        <w:spacing w:after="240" w:line="276" w:lineRule="auto"/>
        <w:ind w:left="117" w:right="12" w:hanging="1"/>
        <w:jc w:val="both"/>
        <w:rPr>
          <w:color w:val="231F20"/>
          <w:spacing w:val="-2"/>
          <w:w w:val="105"/>
        </w:rPr>
      </w:pPr>
    </w:p>
    <w:p w:rsidR="00000000" w:rsidRDefault="00AD6A42" w:rsidP="003D5A31">
      <w:pPr>
        <w:pStyle w:val="Heading2"/>
        <w:numPr>
          <w:ilvl w:val="1"/>
          <w:numId w:val="254"/>
        </w:numPr>
      </w:pPr>
      <w:bookmarkStart w:id="723" w:name="_Toc474638917"/>
      <w:r w:rsidRPr="0056500E">
        <w:t>IWT Strategy aligned with BDP 2100 Goals</w:t>
      </w:r>
      <w:bookmarkEnd w:id="723"/>
    </w:p>
    <w:p w:rsidR="00000000" w:rsidRDefault="00AD6A42" w:rsidP="003D5A31">
      <w:pPr>
        <w:pStyle w:val="BodyText"/>
        <w:numPr>
          <w:ilvl w:val="2"/>
          <w:numId w:val="245"/>
        </w:numPr>
        <w:spacing w:after="240" w:line="276" w:lineRule="auto"/>
        <w:jc w:val="both"/>
        <w:rPr>
          <w:rFonts w:cs="Times New Roman"/>
          <w:b/>
          <w:szCs w:val="24"/>
        </w:rPr>
      </w:pPr>
      <w:bookmarkStart w:id="724" w:name="_Toc452868712"/>
      <w:bookmarkStart w:id="725" w:name="_Toc463361217"/>
      <w:r w:rsidRPr="00056739">
        <w:rPr>
          <w:rFonts w:cs="Times New Roman"/>
          <w:b/>
          <w:szCs w:val="24"/>
        </w:rPr>
        <w:t>Overview of the Strategy</w:t>
      </w:r>
      <w:bookmarkEnd w:id="724"/>
      <w:bookmarkEnd w:id="725"/>
    </w:p>
    <w:p w:rsidR="00AD6A42" w:rsidRPr="00C960E3" w:rsidRDefault="00AD6A42" w:rsidP="004B0A08">
      <w:pPr>
        <w:jc w:val="both"/>
        <w:rPr>
          <w:rFonts w:cs="Times New Roman"/>
          <w:szCs w:val="24"/>
        </w:rPr>
      </w:pPr>
      <w:r w:rsidRPr="00C960E3">
        <w:rPr>
          <w:rFonts w:cs="Times New Roman"/>
          <w:szCs w:val="24"/>
        </w:rPr>
        <w:t>The BDP 2100 Vision and Goals indicate that a comprehensive strategy on the river transport system and navigation are required. It is clear that IWT already contributes significantly to the BDP 2100 Vision specifically on economic growth and to social demands regarding water transport. Strategy to achieve better utilization of the potentialities of the IWT network and services needs to incorporate the following strategies and sub-strategies.</w:t>
      </w:r>
    </w:p>
    <w:p w:rsidR="00000000" w:rsidRDefault="00AD6A42" w:rsidP="003D5A31">
      <w:pPr>
        <w:pStyle w:val="ListParagraph"/>
        <w:numPr>
          <w:ilvl w:val="0"/>
          <w:numId w:val="198"/>
        </w:numPr>
        <w:suppressAutoHyphens/>
        <w:spacing w:after="0" w:line="276" w:lineRule="auto"/>
        <w:ind w:left="360"/>
        <w:jc w:val="both"/>
        <w:rPr>
          <w:rFonts w:cs="Times New Roman"/>
          <w:szCs w:val="24"/>
        </w:rPr>
      </w:pPr>
      <w:r w:rsidRPr="00C960E3">
        <w:rPr>
          <w:rFonts w:cs="Times New Roman"/>
          <w:szCs w:val="24"/>
        </w:rPr>
        <w:t>Strategy to improvement and development of the physical system</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Address deteriorating conditions of rivers and natural morphological processes</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Increase productivity by innovation next to manual labor based operations</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Increase intermodal capacity, connectivity and coordination; develop road network in coherence with and support of IWT</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Improve IWT in coherence with water management at national and regional levels</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Construction of bridges and culverts in compliance with navigation standards and  requirements</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Replacement of riverside consolidation centres of cargo by Growth Center Markets (GCM) developed by LGED</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Physical measures to reduce marine accidents</w:t>
      </w:r>
    </w:p>
    <w:p w:rsidR="00AD6A42" w:rsidRPr="00C960E3" w:rsidRDefault="00AD6A42" w:rsidP="00AD6A42">
      <w:pPr>
        <w:pStyle w:val="ListParagraph"/>
        <w:suppressAutoHyphens/>
        <w:spacing w:after="0"/>
        <w:rPr>
          <w:rFonts w:cs="Times New Roman"/>
          <w:szCs w:val="24"/>
        </w:rPr>
      </w:pPr>
    </w:p>
    <w:p w:rsidR="00000000" w:rsidRDefault="00AD6A42" w:rsidP="003D5A31">
      <w:pPr>
        <w:pStyle w:val="ListParagraph"/>
        <w:numPr>
          <w:ilvl w:val="0"/>
          <w:numId w:val="198"/>
        </w:numPr>
        <w:suppressAutoHyphens/>
        <w:spacing w:after="0" w:line="276" w:lineRule="auto"/>
        <w:ind w:left="360"/>
        <w:rPr>
          <w:rFonts w:cs="Times New Roman"/>
          <w:szCs w:val="24"/>
        </w:rPr>
      </w:pPr>
      <w:r w:rsidRPr="00C960E3">
        <w:rPr>
          <w:rFonts w:cs="Times New Roman"/>
          <w:szCs w:val="24"/>
        </w:rPr>
        <w:t>Strategy on IWT related institutional strengthening</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Correct under-investment by Government compared to road and rail</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Improve management capacity</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Provide effective governance mechanism to increase efficiency and decrease corruption</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 xml:space="preserve">Increase mutual trust and respect for </w:t>
      </w:r>
      <w:r w:rsidR="00847D39">
        <w:rPr>
          <w:rFonts w:cs="Times New Roman"/>
          <w:szCs w:val="24"/>
        </w:rPr>
        <w:t>public</w:t>
      </w:r>
      <w:r w:rsidRPr="00C960E3">
        <w:rPr>
          <w:rFonts w:cs="Times New Roman"/>
          <w:szCs w:val="24"/>
        </w:rPr>
        <w:t>-private partnership</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Stimulate private sector participation in strategic and maintenance dredging</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Stimulate and develop container traffic between maritime ports</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Recognize importance of country boats and improve provisions to it</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Take measures to prevent from overloading of vessels due to unhealthy competition and regulated pricing policy</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Increase participation of development partners in investments in IWT</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Measures to reduce number of marine accidents</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Measures to reduce pollution by ships, landing places and ports</w:t>
      </w:r>
    </w:p>
    <w:p w:rsidR="00AD6A42" w:rsidRPr="00C960E3" w:rsidRDefault="00AD6A42" w:rsidP="00AD6A42">
      <w:pPr>
        <w:pStyle w:val="ListParagraph"/>
        <w:ind w:left="0"/>
        <w:rPr>
          <w:rFonts w:cs="Times New Roman"/>
          <w:szCs w:val="24"/>
        </w:rPr>
      </w:pPr>
    </w:p>
    <w:p w:rsidR="00000000" w:rsidRDefault="00AD6A42" w:rsidP="003D5A31">
      <w:pPr>
        <w:pStyle w:val="ListParagraph"/>
        <w:numPr>
          <w:ilvl w:val="0"/>
          <w:numId w:val="198"/>
        </w:numPr>
        <w:suppressAutoHyphens/>
        <w:spacing w:after="0" w:line="276" w:lineRule="auto"/>
        <w:ind w:left="360"/>
        <w:rPr>
          <w:rFonts w:cs="Times New Roman"/>
          <w:szCs w:val="24"/>
        </w:rPr>
      </w:pPr>
      <w:r w:rsidRPr="00C960E3">
        <w:rPr>
          <w:rFonts w:cs="Times New Roman"/>
          <w:szCs w:val="24"/>
        </w:rPr>
        <w:lastRenderedPageBreak/>
        <w:t>Strategy on Knowledge Management and Research</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Knowledge gaps regarding modernization of IWT e.g. future Transport Demand</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New Classification of Waterways</w:t>
      </w:r>
    </w:p>
    <w:p w:rsidR="00000000" w:rsidRDefault="00AD6A42" w:rsidP="003D5A31">
      <w:pPr>
        <w:pStyle w:val="ListParagraph"/>
        <w:numPr>
          <w:ilvl w:val="1"/>
          <w:numId w:val="198"/>
        </w:numPr>
        <w:suppressAutoHyphens/>
        <w:spacing w:after="0" w:line="276" w:lineRule="auto"/>
        <w:ind w:left="720"/>
        <w:rPr>
          <w:rFonts w:cs="Times New Roman"/>
          <w:szCs w:val="24"/>
        </w:rPr>
      </w:pPr>
      <w:r w:rsidRPr="00C960E3">
        <w:rPr>
          <w:rFonts w:cs="Times New Roman"/>
          <w:szCs w:val="24"/>
        </w:rPr>
        <w:t>IWT services with respect to new land reclamation and economic zones</w:t>
      </w:r>
    </w:p>
    <w:p w:rsidR="00AD6A42" w:rsidRPr="00C960E3" w:rsidRDefault="00AD6A42" w:rsidP="00AD6A42">
      <w:pPr>
        <w:pStyle w:val="ListParagraph"/>
        <w:suppressAutoHyphens/>
        <w:spacing w:after="0" w:line="276" w:lineRule="auto"/>
        <w:rPr>
          <w:rFonts w:cs="Times New Roman"/>
          <w:szCs w:val="24"/>
        </w:rPr>
      </w:pPr>
    </w:p>
    <w:p w:rsidR="00000000" w:rsidRDefault="00AD6A42" w:rsidP="003D5A31">
      <w:pPr>
        <w:pStyle w:val="Heading2"/>
        <w:numPr>
          <w:ilvl w:val="1"/>
          <w:numId w:val="254"/>
        </w:numPr>
      </w:pPr>
      <w:bookmarkStart w:id="726" w:name="_Toc452868713"/>
      <w:bookmarkStart w:id="727" w:name="_Toc463361218"/>
      <w:bookmarkStart w:id="728" w:name="_Toc474638918"/>
      <w:r w:rsidRPr="00C960E3">
        <w:t>Goal wise elaboration of IWT Strategies, Sub-strategies and Projects</w:t>
      </w:r>
      <w:bookmarkEnd w:id="726"/>
      <w:bookmarkEnd w:id="727"/>
      <w:bookmarkEnd w:id="728"/>
    </w:p>
    <w:p w:rsidR="00AD6A42" w:rsidRPr="00C960E3" w:rsidRDefault="00AD6A42" w:rsidP="00056739">
      <w:pPr>
        <w:jc w:val="both"/>
        <w:rPr>
          <w:rFonts w:cs="Times New Roman"/>
          <w:szCs w:val="24"/>
        </w:rPr>
      </w:pPr>
      <w:r w:rsidRPr="00C960E3">
        <w:rPr>
          <w:rFonts w:cs="Times New Roman"/>
          <w:szCs w:val="24"/>
        </w:rPr>
        <w:t>In this perspective, dynamizing IWT and port development can be achieved in relation with BDP 2100 goals as follows.</w:t>
      </w:r>
    </w:p>
    <w:p w:rsidR="00AD6A42" w:rsidRPr="00056739" w:rsidRDefault="00AD6A42" w:rsidP="00056739">
      <w:pPr>
        <w:jc w:val="both"/>
        <w:rPr>
          <w:b/>
        </w:rPr>
      </w:pPr>
      <w:r w:rsidRPr="00056739">
        <w:rPr>
          <w:b/>
        </w:rPr>
        <w:t xml:space="preserve">Goal 1: Ensure safety from floods and climate change related disasters </w:t>
      </w:r>
    </w:p>
    <w:p w:rsidR="00AD6A42" w:rsidRPr="00C960E3" w:rsidRDefault="00AD6A42" w:rsidP="00056739">
      <w:pPr>
        <w:jc w:val="both"/>
        <w:rPr>
          <w:rFonts w:cs="Times New Roman"/>
          <w:szCs w:val="24"/>
        </w:rPr>
      </w:pPr>
      <w:r w:rsidRPr="00C960E3">
        <w:rPr>
          <w:rFonts w:cs="Times New Roman"/>
          <w:szCs w:val="24"/>
        </w:rPr>
        <w:t>This goal focuses on managing the risks of floods and other climate change related disasters in the Delta at a well-defined and acceptable level. This level is set to facilitate in relation to IWT strategies and measures:</w:t>
      </w:r>
    </w:p>
    <w:p w:rsidR="00AD6A42" w:rsidRPr="00C960E3" w:rsidRDefault="00AD6A42" w:rsidP="00056739">
      <w:pPr>
        <w:jc w:val="both"/>
        <w:rPr>
          <w:rFonts w:cs="Times New Roman"/>
          <w:szCs w:val="24"/>
        </w:rPr>
      </w:pPr>
      <w:r w:rsidRPr="00C960E3">
        <w:rPr>
          <w:rFonts w:cs="Times New Roman"/>
          <w:b/>
          <w:szCs w:val="24"/>
        </w:rPr>
        <w:t>Strategy 1.1:</w:t>
      </w:r>
      <w:r w:rsidRPr="00C960E3">
        <w:rPr>
          <w:rFonts w:cs="Times New Roman"/>
          <w:szCs w:val="24"/>
        </w:rPr>
        <w:t xml:space="preserve"> Develop reliable water system conditions for long term sustainable IWT and economic development</w:t>
      </w:r>
    </w:p>
    <w:p w:rsidR="00AD6A42" w:rsidRPr="00C960E3" w:rsidRDefault="00AD6A42" w:rsidP="00056739">
      <w:pPr>
        <w:jc w:val="both"/>
        <w:rPr>
          <w:rFonts w:cs="Times New Roman"/>
          <w:b/>
          <w:szCs w:val="24"/>
        </w:rPr>
      </w:pPr>
      <w:r w:rsidRPr="00C960E3">
        <w:rPr>
          <w:rFonts w:cs="Times New Roman"/>
          <w:b/>
          <w:szCs w:val="24"/>
        </w:rPr>
        <w:t>Measures:</w:t>
      </w:r>
    </w:p>
    <w:p w:rsidR="00F64A6A" w:rsidRDefault="00AD6A42" w:rsidP="00F64A6A">
      <w:pPr>
        <w:jc w:val="both"/>
        <w:rPr>
          <w:rFonts w:cs="Times New Roman"/>
          <w:szCs w:val="24"/>
        </w:rPr>
      </w:pPr>
      <w:r w:rsidRPr="00C960E3">
        <w:rPr>
          <w:rFonts w:cs="Times New Roman"/>
          <w:i/>
          <w:szCs w:val="24"/>
        </w:rPr>
        <w:t>Short term measure:</w:t>
      </w:r>
      <w:r w:rsidR="00E579DA">
        <w:rPr>
          <w:rFonts w:cs="Times New Roman"/>
          <w:szCs w:val="24"/>
        </w:rPr>
        <w:t xml:space="preserve"> </w:t>
      </w:r>
      <w:r w:rsidRPr="00C960E3">
        <w:rPr>
          <w:rFonts w:cs="Times New Roman"/>
          <w:szCs w:val="24"/>
        </w:rPr>
        <w:t>Provide a flood and climate change resilient operational environment for shipping, ports and related facilities;</w:t>
      </w:r>
    </w:p>
    <w:p w:rsidR="00F64A6A" w:rsidRDefault="00AD6A42" w:rsidP="00F64A6A">
      <w:pPr>
        <w:jc w:val="both"/>
        <w:rPr>
          <w:rFonts w:cs="Times New Roman"/>
          <w:szCs w:val="24"/>
        </w:rPr>
      </w:pPr>
      <w:r w:rsidRPr="00C960E3">
        <w:rPr>
          <w:rFonts w:cs="Times New Roman"/>
          <w:i/>
          <w:szCs w:val="24"/>
        </w:rPr>
        <w:t>Medium term measures:</w:t>
      </w:r>
      <w:r w:rsidRPr="00C960E3">
        <w:rPr>
          <w:rFonts w:cs="Times New Roman"/>
          <w:szCs w:val="24"/>
        </w:rPr>
        <w:t>Ensure the performance of key societal and economic functions of IWT.</w:t>
      </w:r>
    </w:p>
    <w:p w:rsidR="00AD6A42" w:rsidRPr="00056739" w:rsidRDefault="00AD6A42" w:rsidP="00056739">
      <w:pPr>
        <w:jc w:val="both"/>
        <w:rPr>
          <w:b/>
        </w:rPr>
      </w:pPr>
      <w:r w:rsidRPr="00056739">
        <w:rPr>
          <w:b/>
        </w:rPr>
        <w:t xml:space="preserve">Goal 2: Enhance water security and efficiency of water usages </w:t>
      </w:r>
    </w:p>
    <w:p w:rsidR="00AD6A42" w:rsidRPr="00C960E3" w:rsidRDefault="00AD6A42" w:rsidP="00056739">
      <w:pPr>
        <w:jc w:val="both"/>
        <w:rPr>
          <w:rFonts w:cs="Times New Roman"/>
          <w:szCs w:val="24"/>
        </w:rPr>
      </w:pPr>
      <w:r w:rsidRPr="00C960E3">
        <w:rPr>
          <w:rFonts w:cs="Times New Roman"/>
          <w:szCs w:val="24"/>
        </w:rPr>
        <w:t xml:space="preserve">Maintaining a balance between economic developments, an expanding population and the need to secure water for multifaceted uses is the core of this second goal. The goal aims to ensure reliable and adequate provision of freshwater to support equitable and sustainable economic development, environmental sustainability and livelihood security. This includes with respect to river transport system and navigation: </w:t>
      </w:r>
    </w:p>
    <w:p w:rsidR="00AD6A42" w:rsidRPr="00C960E3" w:rsidRDefault="00AD6A42" w:rsidP="00056739">
      <w:pPr>
        <w:jc w:val="both"/>
        <w:rPr>
          <w:rFonts w:cs="Times New Roman"/>
          <w:szCs w:val="24"/>
        </w:rPr>
      </w:pPr>
      <w:r w:rsidRPr="00C960E3">
        <w:rPr>
          <w:rFonts w:cs="Times New Roman"/>
          <w:b/>
          <w:szCs w:val="24"/>
        </w:rPr>
        <w:t>Strategy 2.1:</w:t>
      </w:r>
      <w:r w:rsidRPr="00C960E3">
        <w:rPr>
          <w:rFonts w:cs="Times New Roman"/>
          <w:szCs w:val="24"/>
        </w:rPr>
        <w:t xml:space="preserve"> Cooperate and coordinate with BWDB to provide optimal levels of surface water for navigation</w:t>
      </w:r>
    </w:p>
    <w:p w:rsidR="00AD6A42" w:rsidRPr="00C960E3" w:rsidRDefault="00AD6A42" w:rsidP="00056739">
      <w:pPr>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Coordination on water levels and necessary measures to be taken</w:t>
      </w:r>
    </w:p>
    <w:p w:rsidR="00F64A6A" w:rsidRDefault="00AD6A42" w:rsidP="00F64A6A">
      <w:pPr>
        <w:jc w:val="both"/>
        <w:rPr>
          <w:rFonts w:cs="Times New Roman"/>
          <w:szCs w:val="24"/>
        </w:rPr>
      </w:pPr>
      <w:r w:rsidRPr="00C960E3">
        <w:rPr>
          <w:rFonts w:cs="Times New Roman"/>
          <w:i/>
          <w:szCs w:val="24"/>
        </w:rPr>
        <w:t>Medium term measures:</w:t>
      </w:r>
    </w:p>
    <w:p w:rsidR="00F64A6A" w:rsidRDefault="00E579DA" w:rsidP="00F64A6A">
      <w:pPr>
        <w:jc w:val="both"/>
        <w:rPr>
          <w:rFonts w:cs="Times New Roman"/>
          <w:szCs w:val="24"/>
        </w:rPr>
      </w:pPr>
      <w:r>
        <w:rPr>
          <w:rFonts w:cs="Times New Roman"/>
          <w:szCs w:val="24"/>
        </w:rPr>
        <w:t>-</w:t>
      </w:r>
      <w:r w:rsidR="00AD6A42" w:rsidRPr="00C960E3">
        <w:rPr>
          <w:rFonts w:cs="Times New Roman"/>
          <w:szCs w:val="24"/>
        </w:rPr>
        <w:t>Renew river classification and standards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lastRenderedPageBreak/>
        <w:t>Coordinat</w:t>
      </w:r>
      <w:r w:rsidR="005165F1">
        <w:rPr>
          <w:rFonts w:cs="Times New Roman"/>
          <w:szCs w:val="24"/>
        </w:rPr>
        <w:t>ing</w:t>
      </w:r>
      <w:r w:rsidRPr="00C960E3">
        <w:rPr>
          <w:rFonts w:cs="Times New Roman"/>
          <w:szCs w:val="24"/>
        </w:rPr>
        <w:t xml:space="preserve"> </w:t>
      </w:r>
      <w:r w:rsidR="00E579DA">
        <w:rPr>
          <w:rFonts w:cs="Times New Roman"/>
          <w:szCs w:val="24"/>
        </w:rPr>
        <w:t>maintenance of</w:t>
      </w:r>
      <w:r w:rsidRPr="00C960E3">
        <w:rPr>
          <w:rFonts w:cs="Times New Roman"/>
          <w:szCs w:val="24"/>
        </w:rPr>
        <w:t xml:space="preserve"> water levels</w:t>
      </w:r>
      <w:r w:rsidR="00E579DA">
        <w:rPr>
          <w:rFonts w:cs="Times New Roman"/>
          <w:szCs w:val="24"/>
        </w:rPr>
        <w:t>.</w:t>
      </w:r>
    </w:p>
    <w:p w:rsidR="00AD6A42" w:rsidRPr="00C960E3" w:rsidRDefault="00AD6A42" w:rsidP="00056739">
      <w:pPr>
        <w:jc w:val="both"/>
        <w:rPr>
          <w:rFonts w:cs="Times New Roman"/>
          <w:i/>
          <w:szCs w:val="24"/>
        </w:rPr>
      </w:pPr>
      <w:r w:rsidRPr="00C960E3">
        <w:rPr>
          <w:rFonts w:cs="Times New Roman"/>
          <w:i/>
          <w:szCs w:val="24"/>
        </w:rPr>
        <w:t>Long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Advanced water supply and sanitation and wastewater treatment in all ports and ships</w:t>
      </w:r>
    </w:p>
    <w:p w:rsidR="00AD6A42" w:rsidRPr="00C960E3" w:rsidRDefault="00AD6A42" w:rsidP="00056739">
      <w:pPr>
        <w:spacing w:after="40" w:line="276" w:lineRule="auto"/>
        <w:jc w:val="both"/>
        <w:rPr>
          <w:rFonts w:cs="Times New Roman"/>
          <w:szCs w:val="24"/>
        </w:rPr>
      </w:pPr>
    </w:p>
    <w:p w:rsidR="00AD6A42" w:rsidRPr="00C960E3" w:rsidRDefault="00AD6A42" w:rsidP="00056739">
      <w:pPr>
        <w:jc w:val="both"/>
        <w:rPr>
          <w:rFonts w:cs="Times New Roman"/>
          <w:szCs w:val="24"/>
        </w:rPr>
      </w:pPr>
      <w:r w:rsidRPr="00C960E3">
        <w:rPr>
          <w:rFonts w:cs="Times New Roman"/>
          <w:b/>
          <w:szCs w:val="24"/>
        </w:rPr>
        <w:t>Strategy 2.2:</w:t>
      </w:r>
      <w:r w:rsidRPr="00C960E3">
        <w:rPr>
          <w:rFonts w:cs="Times New Roman"/>
          <w:szCs w:val="24"/>
        </w:rPr>
        <w:t xml:space="preserve"> Increase water use efficiency across whole IWT sector and ensure sustainable water use</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Promote recycling and safe reuse of water with latest technology</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Small-scale water harvesting techniques at large ports including recycling / safe reuse of water</w:t>
      </w:r>
    </w:p>
    <w:p w:rsidR="00AD6A42" w:rsidRPr="00C960E3" w:rsidRDefault="00AD6A42" w:rsidP="00056739">
      <w:pPr>
        <w:jc w:val="both"/>
        <w:rPr>
          <w:rFonts w:cs="Times New Roman"/>
          <w:i/>
          <w:szCs w:val="24"/>
        </w:rPr>
      </w:pPr>
      <w:r w:rsidRPr="00C960E3">
        <w:rPr>
          <w:rFonts w:cs="Times New Roman"/>
          <w:i/>
          <w:szCs w:val="24"/>
        </w:rPr>
        <w:t>Medium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Full coverage small-scale water harvesting in all ports and landing places</w:t>
      </w:r>
    </w:p>
    <w:p w:rsidR="00AD6A42" w:rsidRPr="00C960E3" w:rsidRDefault="00AD6A42" w:rsidP="00056739">
      <w:pPr>
        <w:jc w:val="both"/>
        <w:rPr>
          <w:rFonts w:cs="Times New Roman"/>
          <w:i/>
          <w:szCs w:val="24"/>
        </w:rPr>
      </w:pPr>
      <w:r w:rsidRPr="00C960E3">
        <w:rPr>
          <w:rFonts w:cs="Times New Roman"/>
          <w:i/>
          <w:szCs w:val="24"/>
        </w:rPr>
        <w:t>Long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Advanced water supply and sanitation and wastewater treatment in all ports and ships</w:t>
      </w:r>
    </w:p>
    <w:p w:rsidR="00AD6A42" w:rsidRPr="00C960E3" w:rsidRDefault="00AD6A42" w:rsidP="00056739">
      <w:pPr>
        <w:jc w:val="both"/>
        <w:rPr>
          <w:rFonts w:cs="Times New Roman"/>
          <w:szCs w:val="24"/>
        </w:rPr>
      </w:pPr>
      <w:r w:rsidRPr="00C960E3">
        <w:rPr>
          <w:rFonts w:cs="Times New Roman"/>
          <w:b/>
          <w:szCs w:val="24"/>
        </w:rPr>
        <w:t>Strategy 2.3:</w:t>
      </w:r>
      <w:r w:rsidRPr="00C960E3">
        <w:rPr>
          <w:rFonts w:cs="Times New Roman"/>
          <w:szCs w:val="24"/>
        </w:rPr>
        <w:t xml:space="preserve"> Control pollution, ensuring water quality and provide sustainable and safe water supply and sanitation systems</w:t>
      </w:r>
    </w:p>
    <w:p w:rsidR="00AD6A42" w:rsidRPr="00C960E3" w:rsidRDefault="00AD6A42" w:rsidP="00056739">
      <w:pPr>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Improve water quality by reducing pollution</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Installation of appropriate water supply mechanism in ports to ensure safe drinking water (including gravity flow systems, water harvesting and tube wells where applicable)</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Application of sustainable water supply for boats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Motivational work on sanitation on boats</w:t>
      </w:r>
    </w:p>
    <w:p w:rsidR="00AD6A42" w:rsidRPr="00C960E3" w:rsidRDefault="00AD6A42" w:rsidP="00056739">
      <w:pPr>
        <w:jc w:val="both"/>
        <w:rPr>
          <w:rFonts w:cs="Times New Roman"/>
          <w:i/>
          <w:szCs w:val="24"/>
        </w:rPr>
      </w:pPr>
      <w:r w:rsidRPr="00C960E3">
        <w:rPr>
          <w:rFonts w:cs="Times New Roman"/>
          <w:i/>
          <w:szCs w:val="24"/>
        </w:rPr>
        <w:t>Medium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Water supply and sanitation, including solid waste management in ports, landing places and ships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Improve water quality by reducing pollution</w:t>
      </w:r>
    </w:p>
    <w:p w:rsidR="00AD6A42" w:rsidRPr="00C960E3" w:rsidRDefault="00AD6A42" w:rsidP="00056739">
      <w:pPr>
        <w:jc w:val="both"/>
        <w:rPr>
          <w:rFonts w:cs="Times New Roman"/>
          <w:i/>
          <w:szCs w:val="24"/>
        </w:rPr>
      </w:pPr>
      <w:r w:rsidRPr="00C960E3">
        <w:rPr>
          <w:rFonts w:cs="Times New Roman"/>
          <w:i/>
          <w:szCs w:val="24"/>
        </w:rPr>
        <w:t>Long term measures:</w:t>
      </w:r>
    </w:p>
    <w:p w:rsidR="00000000" w:rsidRDefault="00AD6A42" w:rsidP="003D5A31">
      <w:pPr>
        <w:pStyle w:val="ListParagraph"/>
        <w:numPr>
          <w:ilvl w:val="2"/>
          <w:numId w:val="198"/>
        </w:numPr>
        <w:spacing w:line="276" w:lineRule="auto"/>
        <w:ind w:left="630" w:hanging="630"/>
        <w:jc w:val="both"/>
        <w:rPr>
          <w:rFonts w:cs="Times New Roman"/>
          <w:szCs w:val="24"/>
        </w:rPr>
      </w:pPr>
      <w:r w:rsidRPr="00C960E3">
        <w:rPr>
          <w:rFonts w:cs="Times New Roman"/>
          <w:szCs w:val="24"/>
        </w:rPr>
        <w:t>Advanced water supply and sanitation and wastewater treatment in all ports and ships</w:t>
      </w:r>
    </w:p>
    <w:p w:rsidR="00282AE2" w:rsidRDefault="00282AE2" w:rsidP="00282AE2">
      <w:pPr>
        <w:spacing w:line="276" w:lineRule="auto"/>
        <w:jc w:val="both"/>
        <w:rPr>
          <w:rFonts w:cs="Times New Roman"/>
          <w:szCs w:val="24"/>
        </w:rPr>
      </w:pPr>
    </w:p>
    <w:p w:rsidR="00282AE2" w:rsidRPr="00282AE2" w:rsidRDefault="00282AE2" w:rsidP="00282AE2">
      <w:pPr>
        <w:spacing w:line="276" w:lineRule="auto"/>
        <w:jc w:val="both"/>
        <w:rPr>
          <w:rFonts w:cs="Times New Roman"/>
          <w:szCs w:val="24"/>
        </w:rPr>
      </w:pPr>
    </w:p>
    <w:p w:rsidR="00AD6A42" w:rsidRPr="00056739" w:rsidRDefault="00AD6A42" w:rsidP="00056739">
      <w:pPr>
        <w:jc w:val="both"/>
        <w:rPr>
          <w:b/>
        </w:rPr>
      </w:pPr>
      <w:r w:rsidRPr="00056739">
        <w:rPr>
          <w:b/>
        </w:rPr>
        <w:t>Goal 3: Ensure sustainable and integrated river systems and estuaries management</w:t>
      </w:r>
    </w:p>
    <w:p w:rsidR="00AD6A42" w:rsidRPr="00C960E3" w:rsidRDefault="00AD6A42" w:rsidP="00282AE2">
      <w:pPr>
        <w:spacing w:line="276" w:lineRule="auto"/>
        <w:jc w:val="both"/>
        <w:rPr>
          <w:rFonts w:cs="Times New Roman"/>
          <w:szCs w:val="24"/>
        </w:rPr>
      </w:pPr>
      <w:r w:rsidRPr="00C960E3">
        <w:rPr>
          <w:rFonts w:cs="Times New Roman"/>
          <w:szCs w:val="24"/>
        </w:rPr>
        <w:t>This goal considers sustainable integrated management of river systems and estuaries, considered as one of the corners</w:t>
      </w:r>
      <w:r w:rsidR="00FE6385">
        <w:rPr>
          <w:rFonts w:cs="Times New Roman"/>
          <w:szCs w:val="24"/>
        </w:rPr>
        <w:t>t</w:t>
      </w:r>
      <w:r w:rsidR="00847D39">
        <w:rPr>
          <w:rFonts w:cs="Times New Roman"/>
          <w:szCs w:val="24"/>
        </w:rPr>
        <w:t>on</w:t>
      </w:r>
      <w:r w:rsidRPr="00C960E3">
        <w:rPr>
          <w:rFonts w:cs="Times New Roman"/>
          <w:szCs w:val="24"/>
        </w:rPr>
        <w:t>es of the Bangladesh Delta. The river systems of the country offer key development ingredients for the economy, society and the environment. With respect to IWT, sustainable rivers and estuaries management as a whole should contribute to: 1. Short, medium and long term solutions for navigation, 2. Land reclamation in support of economic growth, taking into account importance of navigation routes and port development, 3. Inter-connected major and minor river systems and navigation routes for social and economic development.</w:t>
      </w:r>
    </w:p>
    <w:p w:rsidR="00AD6A42" w:rsidRPr="00282AE2" w:rsidRDefault="00AD6A42" w:rsidP="00056739">
      <w:pPr>
        <w:jc w:val="both"/>
        <w:rPr>
          <w:rFonts w:cs="Times New Roman"/>
          <w:b/>
          <w:szCs w:val="24"/>
        </w:rPr>
      </w:pPr>
      <w:r w:rsidRPr="00282AE2">
        <w:rPr>
          <w:rFonts w:cs="Times New Roman"/>
          <w:b/>
          <w:szCs w:val="24"/>
        </w:rPr>
        <w:t xml:space="preserve">Strategy </w:t>
      </w:r>
    </w:p>
    <w:p w:rsidR="00AD6A42" w:rsidRPr="00C960E3" w:rsidRDefault="00433914" w:rsidP="00056739">
      <w:pPr>
        <w:jc w:val="both"/>
        <w:rPr>
          <w:rFonts w:cs="Times New Roman"/>
          <w:szCs w:val="24"/>
        </w:rPr>
      </w:pPr>
      <w:r>
        <w:rPr>
          <w:rFonts w:cs="Times New Roman"/>
          <w:b/>
          <w:szCs w:val="24"/>
        </w:rPr>
        <w:t>Strategy 3.1:</w:t>
      </w:r>
      <w:r w:rsidR="00AD6A42" w:rsidRPr="00C960E3">
        <w:rPr>
          <w:rFonts w:cs="Times New Roman"/>
          <w:szCs w:val="24"/>
        </w:rPr>
        <w:t xml:space="preserve"> </w:t>
      </w:r>
      <w:r>
        <w:rPr>
          <w:rFonts w:cs="Times New Roman"/>
          <w:szCs w:val="24"/>
        </w:rPr>
        <w:t xml:space="preserve"> </w:t>
      </w:r>
      <w:r w:rsidR="00AD6A42" w:rsidRPr="00C960E3">
        <w:rPr>
          <w:rFonts w:cs="Times New Roman"/>
          <w:szCs w:val="24"/>
        </w:rPr>
        <w:t>Develop the navigation network according to the societal and economic demands</w:t>
      </w:r>
    </w:p>
    <w:p w:rsidR="00AD6A42" w:rsidRPr="00C960E3" w:rsidRDefault="00AD6A42" w:rsidP="00056739">
      <w:pPr>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Conduct traffic surveys to establish passenger and cargo requirements on the main rivers, feeders and creek routes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Reclassify the inland waterways network according to sustainable navigability and traffic importance. </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The core waterways should include fairways between maritime ports and central regions, economic zones and intra-regional routes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Dredging Master Plan with prioritization and phasing to be prepared</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Implementation should be done in short and medium term. The maintenance dredging is also needed during and after the dredging period. Class I and part of Class II and Class IV (especially for retention) will be completed in the short term </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Increasing the implementation capacities of BIWTA and BWDB play an important role here also in relation to PPP-opportunities.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Carry out river conservancy works including river training works for navigational purposes and for provision of aids to navigation including marks, buoys, lights and semaphore signals</w:t>
      </w:r>
      <w:r w:rsidR="00433914">
        <w:rPr>
          <w:rFonts w:cs="Times New Roman"/>
          <w:szCs w:val="24"/>
        </w:rPr>
        <w:t>.</w:t>
      </w:r>
    </w:p>
    <w:p w:rsidR="00433914" w:rsidRPr="00433914" w:rsidRDefault="00433914" w:rsidP="00056739">
      <w:pPr>
        <w:pStyle w:val="ListParagraph"/>
        <w:spacing w:after="40" w:line="276" w:lineRule="auto"/>
        <w:ind w:left="630"/>
        <w:jc w:val="both"/>
        <w:rPr>
          <w:rFonts w:cs="Times New Roman"/>
          <w:szCs w:val="24"/>
        </w:rPr>
      </w:pPr>
    </w:p>
    <w:p w:rsidR="00AD6A42" w:rsidRPr="00C960E3" w:rsidRDefault="00AD6A42" w:rsidP="00056739">
      <w:pPr>
        <w:jc w:val="both"/>
        <w:rPr>
          <w:rFonts w:cs="Times New Roman"/>
          <w:i/>
          <w:szCs w:val="24"/>
        </w:rPr>
      </w:pPr>
      <w:r w:rsidRPr="00C960E3">
        <w:rPr>
          <w:rFonts w:cs="Times New Roman"/>
          <w:i/>
          <w:szCs w:val="24"/>
        </w:rPr>
        <w:t>Medium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Conduct traffic surveys to establish passenger and cargo requirements on the main rivers, feeders and creek routes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lastRenderedPageBreak/>
        <w:t>Reclassify the inland waterways network according to sustainable navigability and traffic importance. Classify network into two categories: National and Rural. Rural waterways should include local and rural routes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The core waterways should include fairways between maritime ports and central regions, economic zones and intra-regional routes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Implementation of remaining Class II together with Class III and IV routes will be </w:t>
      </w:r>
      <w:r w:rsidR="00EA4E38" w:rsidRPr="00C960E3">
        <w:rPr>
          <w:rFonts w:cs="Times New Roman"/>
          <w:szCs w:val="24"/>
        </w:rPr>
        <w:t>completed</w:t>
      </w:r>
      <w:r w:rsidRPr="00C960E3">
        <w:rPr>
          <w:rFonts w:cs="Times New Roman"/>
          <w:szCs w:val="24"/>
        </w:rPr>
        <w:t xml:space="preserve"> in the medium term</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Carry out river conservancy works including river training works for navigational purposes and for provision of aids to navigation including marks, buoys, lights and semaphore signals</w:t>
      </w:r>
    </w:p>
    <w:p w:rsidR="00AD6A42" w:rsidRPr="00C960E3" w:rsidRDefault="00433914" w:rsidP="00056739">
      <w:pPr>
        <w:spacing w:after="40" w:line="276" w:lineRule="auto"/>
        <w:jc w:val="both"/>
        <w:rPr>
          <w:rFonts w:cs="Times New Roman"/>
          <w:szCs w:val="24"/>
        </w:rPr>
      </w:pPr>
      <w:r>
        <w:rPr>
          <w:rFonts w:cs="Times New Roman"/>
          <w:b/>
          <w:szCs w:val="24"/>
        </w:rPr>
        <w:t>Strategy 3.2:</w:t>
      </w:r>
      <w:r w:rsidR="00AD6A42" w:rsidRPr="00C960E3">
        <w:rPr>
          <w:rFonts w:cs="Times New Roman"/>
          <w:szCs w:val="24"/>
        </w:rPr>
        <w:t xml:space="preserve"> Contribute to integrated management of rivers</w:t>
      </w:r>
    </w:p>
    <w:p w:rsidR="00AD6A42" w:rsidRPr="00C960E3" w:rsidRDefault="00AD6A42" w:rsidP="00056739">
      <w:pPr>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Draw up programs of dredging requirements and priorities for efficient maintenance of existing navigable waterways and for revitalization of dead or dying rivers, channels, or canals, including development of new channels and canals for navigation</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Prepare a dredging strategy for the short term to accommodate and stimulate economic growth, to support implementation of the BDP 2100 targets of the river strategy and to justify investments (e.g. also purchasing and operation of dredgers): </w:t>
      </w:r>
    </w:p>
    <w:p w:rsidR="00000000" w:rsidRDefault="00AD6A42" w:rsidP="003D5A31">
      <w:pPr>
        <w:pStyle w:val="ListParagraph"/>
        <w:numPr>
          <w:ilvl w:val="0"/>
          <w:numId w:val="199"/>
        </w:numPr>
        <w:autoSpaceDE w:val="0"/>
        <w:autoSpaceDN w:val="0"/>
        <w:adjustRightInd w:val="0"/>
        <w:spacing w:after="0" w:line="240" w:lineRule="auto"/>
        <w:ind w:left="720"/>
        <w:jc w:val="both"/>
        <w:rPr>
          <w:rFonts w:cs="Times New Roman"/>
          <w:i/>
          <w:szCs w:val="24"/>
        </w:rPr>
      </w:pPr>
      <w:r w:rsidRPr="00C960E3">
        <w:rPr>
          <w:rFonts w:cs="Times New Roman"/>
          <w:i/>
          <w:szCs w:val="24"/>
        </w:rPr>
        <w:t xml:space="preserve">Evaluate the impact of dredging works in terms of maintenance required after the works are executed to ensure that the depth will be maintained </w:t>
      </w:r>
    </w:p>
    <w:p w:rsidR="00000000" w:rsidRDefault="00AD6A42" w:rsidP="003D5A31">
      <w:pPr>
        <w:pStyle w:val="ListParagraph"/>
        <w:numPr>
          <w:ilvl w:val="0"/>
          <w:numId w:val="199"/>
        </w:numPr>
        <w:autoSpaceDE w:val="0"/>
        <w:autoSpaceDN w:val="0"/>
        <w:adjustRightInd w:val="0"/>
        <w:spacing w:after="0" w:line="240" w:lineRule="auto"/>
        <w:ind w:left="720"/>
        <w:jc w:val="both"/>
        <w:rPr>
          <w:rFonts w:cs="Times New Roman"/>
          <w:i/>
          <w:szCs w:val="24"/>
        </w:rPr>
      </w:pPr>
      <w:r w:rsidRPr="00C960E3">
        <w:rPr>
          <w:rFonts w:cs="Times New Roman"/>
          <w:i/>
          <w:szCs w:val="24"/>
        </w:rPr>
        <w:t>As component in an integrated River Management Strategy, the main issues of IWT supporting economic development and social functions should be safeguarded in close relationship and balancing with other aspects of River Management. The need for river engineering and capital dredging for navigation (e.g. channelization) may in certain instances conflict with activities of river control works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River and khal restoration</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Integrated sediment and erosion management; local erosion control by using hard materials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Reduce silt; silt traps, remove debris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Carry out river conservancy works by river training works for navigational purposes and providing aids to navigation: install marks, buoys, lights and semaphore signals</w:t>
      </w:r>
    </w:p>
    <w:p w:rsidR="00AD6A42" w:rsidRPr="00C960E3" w:rsidRDefault="00AD6A42" w:rsidP="00056739">
      <w:pPr>
        <w:jc w:val="both"/>
        <w:rPr>
          <w:rFonts w:cs="Times New Roman"/>
          <w:i/>
          <w:szCs w:val="24"/>
        </w:rPr>
      </w:pPr>
      <w:r w:rsidRPr="00C960E3">
        <w:rPr>
          <w:rFonts w:cs="Times New Roman"/>
          <w:i/>
          <w:szCs w:val="24"/>
        </w:rPr>
        <w:t>Medium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Prepare a dredging strategy and dredging program for the medium term to accommodate and stimulate economic growth, to support implementation of the BDP 2100 targets of the river strategy and to justify investments (e.g. also purchasing and operation of dredgers)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Management sediment supply to the rivers </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lastRenderedPageBreak/>
        <w:t xml:space="preserve">Manage river beds to levels required </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River erosion control by creating green belt </w:t>
      </w:r>
    </w:p>
    <w:p w:rsidR="00AD6A42" w:rsidRPr="00C960E3" w:rsidRDefault="00433914" w:rsidP="00056739">
      <w:pPr>
        <w:spacing w:line="240" w:lineRule="auto"/>
        <w:jc w:val="both"/>
        <w:rPr>
          <w:rFonts w:cs="Times New Roman"/>
          <w:szCs w:val="24"/>
        </w:rPr>
      </w:pPr>
      <w:r>
        <w:rPr>
          <w:rFonts w:cs="Times New Roman"/>
          <w:b/>
          <w:szCs w:val="24"/>
        </w:rPr>
        <w:t xml:space="preserve">Strategy 3.3: </w:t>
      </w:r>
      <w:r w:rsidR="00AD6A42" w:rsidRPr="00C960E3">
        <w:rPr>
          <w:rFonts w:cs="Times New Roman"/>
          <w:i/>
          <w:szCs w:val="24"/>
        </w:rPr>
        <w:t xml:space="preserve"> </w:t>
      </w:r>
      <w:r w:rsidR="00AD6A42" w:rsidRPr="00C960E3">
        <w:rPr>
          <w:rFonts w:cs="Times New Roman"/>
          <w:szCs w:val="24"/>
        </w:rPr>
        <w:t>Develop, maintain and operate inland river ports, landing / ferry ghats and terminal facilities in ports or ghats.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Carry out removal of wrecks and obstruction in inland navigable waterways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Coordinate and integrate programs of BIWTA and BWDB and LGED with respect to navigability, dredging and port development</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Provide and further improve pilotage and hydrographical survey services</w:t>
      </w:r>
    </w:p>
    <w:p w:rsidR="00AD6A42" w:rsidRPr="00C960E3" w:rsidRDefault="00AD6A42" w:rsidP="00056739">
      <w:pPr>
        <w:jc w:val="both"/>
        <w:rPr>
          <w:rFonts w:cs="Times New Roman"/>
          <w:szCs w:val="24"/>
        </w:rPr>
      </w:pPr>
    </w:p>
    <w:p w:rsidR="00AD6A42" w:rsidRPr="00056739" w:rsidRDefault="00AD6A42" w:rsidP="00056739">
      <w:pPr>
        <w:jc w:val="both"/>
        <w:rPr>
          <w:b/>
        </w:rPr>
      </w:pPr>
      <w:r w:rsidRPr="00056739">
        <w:rPr>
          <w:b/>
        </w:rPr>
        <w:t>Goal 4: Conserve and preserve wetlands and ecosystems and promote their wise use</w:t>
      </w:r>
    </w:p>
    <w:p w:rsidR="00AD6A42" w:rsidRPr="00C960E3" w:rsidRDefault="00AD6A42" w:rsidP="00056739">
      <w:pPr>
        <w:spacing w:line="276" w:lineRule="auto"/>
        <w:jc w:val="both"/>
        <w:rPr>
          <w:rFonts w:cs="Times New Roman"/>
          <w:szCs w:val="24"/>
        </w:rPr>
      </w:pPr>
      <w:r w:rsidRPr="00C960E3">
        <w:rPr>
          <w:rFonts w:cs="Times New Roman"/>
          <w:b/>
          <w:szCs w:val="24"/>
        </w:rPr>
        <w:t xml:space="preserve">Strategy 4.1: </w:t>
      </w:r>
      <w:r w:rsidR="00433914">
        <w:rPr>
          <w:rFonts w:cs="Times New Roman"/>
          <w:szCs w:val="24"/>
        </w:rPr>
        <w:t>T</w:t>
      </w:r>
      <w:r w:rsidRPr="00C960E3">
        <w:rPr>
          <w:rFonts w:cs="Times New Roman"/>
          <w:szCs w:val="24"/>
        </w:rPr>
        <w:t>he long term ‘conservation’ as a more generic target to achieve to safeguard and maintain the wetlands and to that end also the quality of water in relation to pollution by shipping and ports. Some of the components to be safeguarded under the goal are mangrove forest, water and riverine ecosystems, coastal greenbelt, seasonal and perennial wetlands, tidal freshwater frontier etc.</w:t>
      </w:r>
    </w:p>
    <w:p w:rsidR="00AD6A42" w:rsidRPr="00056739" w:rsidRDefault="00AD6A42" w:rsidP="00056739">
      <w:pPr>
        <w:jc w:val="both"/>
        <w:rPr>
          <w:b/>
        </w:rPr>
      </w:pPr>
      <w:r w:rsidRPr="00056739">
        <w:rPr>
          <w:b/>
        </w:rPr>
        <w:t xml:space="preserve">Goal 5: Develop effective institutions and equitable governance for in-country and trans-boundary water resources management  </w:t>
      </w:r>
    </w:p>
    <w:p w:rsidR="00AD6A42" w:rsidRPr="00C960E3" w:rsidRDefault="00AD6A42" w:rsidP="00056739">
      <w:pPr>
        <w:jc w:val="both"/>
        <w:rPr>
          <w:rFonts w:cs="Times New Roman"/>
          <w:szCs w:val="24"/>
        </w:rPr>
      </w:pPr>
      <w:r w:rsidRPr="00C960E3">
        <w:rPr>
          <w:rFonts w:cs="Times New Roman"/>
          <w:szCs w:val="24"/>
        </w:rPr>
        <w:t xml:space="preserve">The goal aims to improve the existing governance in relation to navigation. Key strategic elements include: </w:t>
      </w:r>
    </w:p>
    <w:p w:rsidR="00AD6A42" w:rsidRPr="00C960E3" w:rsidRDefault="00AD6A42" w:rsidP="00056739">
      <w:pPr>
        <w:jc w:val="both"/>
        <w:rPr>
          <w:rFonts w:cs="Times New Roman"/>
          <w:szCs w:val="24"/>
        </w:rPr>
      </w:pPr>
      <w:r w:rsidRPr="00C960E3">
        <w:rPr>
          <w:rFonts w:cs="Times New Roman"/>
          <w:b/>
          <w:szCs w:val="24"/>
        </w:rPr>
        <w:t xml:space="preserve">Strategy 5.1: </w:t>
      </w:r>
      <w:r w:rsidRPr="00C960E3">
        <w:rPr>
          <w:rFonts w:cs="Times New Roman"/>
          <w:szCs w:val="24"/>
        </w:rPr>
        <w:t>Mainstream IWT-plans and projects in line with BDP 2100 process.</w:t>
      </w:r>
    </w:p>
    <w:p w:rsidR="00AD6A42" w:rsidRPr="00C960E3" w:rsidRDefault="00AD6A42" w:rsidP="00056739">
      <w:pPr>
        <w:spacing w:after="40" w:line="276" w:lineRule="auto"/>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Ensure adequate financing for investment, operation and maintenance by adequate short, medium and long term strategy development and sound project preparation in relation to economic and societal transport demands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The IWTA Ordinance provides for an Advisory Committee on matters relating to the development, maintenance and operation of IWT and inland waterways in Bangladesh. Since this Advisory Committee has never been formally created after 2000, the advisory, coordinating and mainstreaming function should be taken up as element of the proposed Delta Commission</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Minimizing the gaps between planning and implementation</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lastRenderedPageBreak/>
        <w:t>Support integrated water resource management at regional and local levels, taking into account the interests of all prominent water users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Disseminate navigational and meteorological information including </w:t>
      </w:r>
      <w:r w:rsidR="00847D39">
        <w:rPr>
          <w:rFonts w:cs="Times New Roman"/>
          <w:szCs w:val="24"/>
        </w:rPr>
        <w:t>public</w:t>
      </w:r>
      <w:r w:rsidRPr="00C960E3">
        <w:rPr>
          <w:rFonts w:cs="Times New Roman"/>
          <w:szCs w:val="24"/>
        </w:rPr>
        <w:t>ation of river charts. Exercise knowledge development for integrated decision-making through modeling, data and information sharing and management</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Conduct traffic surveys to establish passenger and cargo requirements on the main rivers, feeders and creek routes</w:t>
      </w:r>
    </w:p>
    <w:p w:rsidR="00AD6A42" w:rsidRPr="00C960E3" w:rsidRDefault="00AD6A42" w:rsidP="00056739">
      <w:pPr>
        <w:spacing w:after="40" w:line="276" w:lineRule="auto"/>
        <w:jc w:val="both"/>
        <w:rPr>
          <w:rFonts w:cs="Times New Roman"/>
          <w:b/>
          <w:szCs w:val="24"/>
        </w:rPr>
      </w:pPr>
    </w:p>
    <w:p w:rsidR="00AD6A42" w:rsidRPr="00C960E3" w:rsidRDefault="00AD6A42" w:rsidP="00056739">
      <w:pPr>
        <w:spacing w:after="40" w:line="276" w:lineRule="auto"/>
        <w:jc w:val="both"/>
        <w:rPr>
          <w:rFonts w:cs="Times New Roman"/>
          <w:szCs w:val="24"/>
        </w:rPr>
      </w:pPr>
      <w:r w:rsidRPr="00C960E3">
        <w:rPr>
          <w:rFonts w:cs="Times New Roman"/>
          <w:b/>
          <w:szCs w:val="24"/>
        </w:rPr>
        <w:t>Strategy 5.2:</w:t>
      </w:r>
      <w:r w:rsidRPr="00C960E3">
        <w:rPr>
          <w:rFonts w:cs="Times New Roman"/>
          <w:i/>
          <w:szCs w:val="24"/>
        </w:rPr>
        <w:t xml:space="preserve"> </w:t>
      </w:r>
      <w:r w:rsidRPr="00C960E3">
        <w:rPr>
          <w:rFonts w:cs="Times New Roman"/>
          <w:szCs w:val="24"/>
        </w:rPr>
        <w:t>Prepare and implement capacity building and institutional strengthening to professionalize IWT-performance and sector in relation to stakeholders</w:t>
      </w:r>
    </w:p>
    <w:p w:rsidR="00AD6A42" w:rsidRPr="00C960E3" w:rsidRDefault="00AD6A42" w:rsidP="00056739">
      <w:pPr>
        <w:spacing w:after="40" w:line="276" w:lineRule="auto"/>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Develop need based Capacity Building and Strengthening Program at National level, including possible proposals for reforms and restructuring</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Strengthen local and regional institutions for navigation and port management</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Involve stakeholders in participation at all relevant levels: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Involve sector stakeholders are to be involved in the preparation of the three-year ADP, especially for the definition of priorities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BIWTA and BWDB should work closely together when drawing up programs for their respective purposes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Coordinate, set and enforce standards for bridges: increase coordination of different </w:t>
      </w:r>
      <w:r w:rsidR="00847D39">
        <w:rPr>
          <w:rFonts w:cs="Times New Roman"/>
          <w:szCs w:val="24"/>
        </w:rPr>
        <w:t>public</w:t>
      </w:r>
      <w:r w:rsidRPr="00C960E3">
        <w:rPr>
          <w:rFonts w:cs="Times New Roman"/>
          <w:szCs w:val="24"/>
        </w:rPr>
        <w:t xml:space="preserve"> authorities to ensure sufficient clearance under bridges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Stimulate participation of owners of country boats in design of sluice gates and</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Encourage local authorities to develop facilities through self-financing by user charges</w:t>
      </w:r>
    </w:p>
    <w:p w:rsidR="00AD6A42" w:rsidRPr="00C960E3" w:rsidRDefault="00AD6A42" w:rsidP="00056739">
      <w:pPr>
        <w:spacing w:after="40" w:line="276" w:lineRule="auto"/>
        <w:jc w:val="both"/>
        <w:rPr>
          <w:rFonts w:cs="Times New Roman"/>
          <w:szCs w:val="24"/>
        </w:rPr>
      </w:pPr>
      <w:r w:rsidRPr="00C960E3">
        <w:rPr>
          <w:rFonts w:cs="Times New Roman"/>
          <w:b/>
          <w:szCs w:val="24"/>
        </w:rPr>
        <w:t>Strategy 5.3:</w:t>
      </w:r>
      <w:r w:rsidRPr="00C960E3">
        <w:rPr>
          <w:rFonts w:cs="Times New Roman"/>
          <w:i/>
          <w:szCs w:val="24"/>
        </w:rPr>
        <w:t xml:space="preserve"> </w:t>
      </w:r>
      <w:r w:rsidRPr="00C960E3">
        <w:rPr>
          <w:rFonts w:cs="Times New Roman"/>
          <w:szCs w:val="24"/>
        </w:rPr>
        <w:t>Ensure more private participation in the field of port management and operations, development of IWT infrastructure, dredging and maintenance of waterways, mechanization of cargo handling, development of inland container terminals and container traffic in the waterways.</w:t>
      </w:r>
    </w:p>
    <w:p w:rsidR="00AD6A42" w:rsidRPr="00C960E3" w:rsidRDefault="00AD6A42" w:rsidP="00056739">
      <w:pPr>
        <w:spacing w:after="40" w:line="276" w:lineRule="auto"/>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The existing lease arrangement should be replaced by a midterm and long term concession arrangement to private stevedores and terminal operators to encourage investment for better services to users and maintenance of facilities. BIWTA should not involve itself in toll or revenue collection, rather will monitor performance of private operators. Infrastructure at commercially attractive places should be developed and operated by private sector or on a PPP basis. BIWTA should continue to develop landing stations in rural areas and in coastal areas;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lastRenderedPageBreak/>
        <w:t>BIWTA should concentrate more in preparing dredging strategies and programs on the basis of comparative traffic importance against available resources. Actual dredging could also be performed by the private sector. BIWTA should restrict itself in procurement of dredgers, it should rather lease out the existing fleet to private sector;</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Installation of aids to navigation and maintenance in core waterways could be awarded to private sector. Pilotage service should also be awarded to private sector;</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Appropriate support should be given to private sector for construction of inland container terminals and for container traffic. Determining tariffs at such terminals should be deregulated and operators must have independence to fix an attractive and competitive tariff. Operation of Pangaon Container Terminal should be leased out to private terminal operator</w:t>
      </w:r>
    </w:p>
    <w:p w:rsidR="00AD6A42" w:rsidRPr="00C960E3" w:rsidRDefault="00AD6A42" w:rsidP="00056739">
      <w:pPr>
        <w:spacing w:after="40" w:line="276" w:lineRule="auto"/>
        <w:jc w:val="both"/>
        <w:rPr>
          <w:rFonts w:cs="Times New Roman"/>
          <w:szCs w:val="24"/>
        </w:rPr>
      </w:pPr>
      <w:r w:rsidRPr="00C960E3">
        <w:rPr>
          <w:rFonts w:cs="Times New Roman"/>
          <w:b/>
          <w:szCs w:val="24"/>
        </w:rPr>
        <w:t>Strategy 5.4:</w:t>
      </w:r>
      <w:r w:rsidRPr="00C960E3">
        <w:rPr>
          <w:rFonts w:cs="Times New Roman"/>
          <w:i/>
          <w:szCs w:val="24"/>
        </w:rPr>
        <w:t xml:space="preserve"> </w:t>
      </w:r>
      <w:r w:rsidRPr="00C960E3">
        <w:rPr>
          <w:rFonts w:cs="Times New Roman"/>
          <w:szCs w:val="24"/>
        </w:rPr>
        <w:t>Streamline the existing regulatory mechanism of inland ship safety and ship construction.</w:t>
      </w:r>
    </w:p>
    <w:p w:rsidR="00AD6A42" w:rsidRPr="00C960E3" w:rsidRDefault="00AD6A42" w:rsidP="00056739">
      <w:pPr>
        <w:spacing w:after="40" w:line="276" w:lineRule="auto"/>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Ship design, supervision of ship construction, awarding survey certificates, determining workforce required for each ship should be licensed to qualified private houses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The Department of Shipping should concentrate more on monitoring performances of such private houses appointed for the purpose. Competency certificates to different categories of crew should be awarded by training institutes after successful completion of service and training modules for each category.</w:t>
      </w:r>
    </w:p>
    <w:p w:rsidR="00AD6A42" w:rsidRPr="00C960E3" w:rsidRDefault="00AD6A42" w:rsidP="00056739">
      <w:pPr>
        <w:spacing w:after="40" w:line="276" w:lineRule="auto"/>
        <w:jc w:val="both"/>
        <w:rPr>
          <w:rFonts w:cs="Times New Roman"/>
          <w:szCs w:val="24"/>
        </w:rPr>
      </w:pPr>
      <w:r w:rsidRPr="00C960E3">
        <w:rPr>
          <w:rFonts w:cs="Times New Roman"/>
          <w:b/>
          <w:szCs w:val="24"/>
        </w:rPr>
        <w:t>Strategy 5.5:</w:t>
      </w:r>
      <w:r w:rsidRPr="00C960E3">
        <w:rPr>
          <w:rFonts w:cs="Times New Roman"/>
          <w:szCs w:val="24"/>
        </w:rPr>
        <w:t xml:space="preserve"> Contribute to dealing with trans-boundary water aspects by developing mutual understanding and cooperation to attract more regional and intra-regional traffic in the waterways of Bangladesh.</w:t>
      </w:r>
    </w:p>
    <w:p w:rsidR="00AD6A42" w:rsidRPr="00C960E3" w:rsidRDefault="00AD6A42" w:rsidP="00056739">
      <w:pPr>
        <w:spacing w:after="40" w:line="276" w:lineRule="auto"/>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Under the existing Protocol on Inland Water Transit and Trade between Bangladesh and India, the following joint initiatives and assurances should be committed by both Governments:</w:t>
      </w:r>
    </w:p>
    <w:p w:rsidR="00000000" w:rsidRDefault="00AD6A42" w:rsidP="003D5A31">
      <w:pPr>
        <w:pStyle w:val="ListParagraph"/>
        <w:numPr>
          <w:ilvl w:val="0"/>
          <w:numId w:val="200"/>
        </w:numPr>
        <w:spacing w:line="240" w:lineRule="auto"/>
        <w:jc w:val="both"/>
        <w:rPr>
          <w:rFonts w:cs="Times New Roman"/>
          <w:szCs w:val="24"/>
        </w:rPr>
      </w:pPr>
      <w:r w:rsidRPr="004B0A08">
        <w:rPr>
          <w:rFonts w:cs="Times New Roman"/>
          <w:szCs w:val="24"/>
        </w:rPr>
        <w:t>Improve navigability of existing routes and find out new routes. Upstream cooperation and commitment to maintain navigability in the downstream</w:t>
      </w:r>
    </w:p>
    <w:p w:rsidR="00000000" w:rsidRDefault="00AD6A42" w:rsidP="003D5A31">
      <w:pPr>
        <w:pStyle w:val="ListParagraph"/>
        <w:numPr>
          <w:ilvl w:val="0"/>
          <w:numId w:val="200"/>
        </w:numPr>
        <w:spacing w:line="240" w:lineRule="auto"/>
        <w:jc w:val="both"/>
        <w:rPr>
          <w:rFonts w:cs="Times New Roman"/>
          <w:szCs w:val="24"/>
        </w:rPr>
      </w:pPr>
      <w:r w:rsidRPr="004B0A08">
        <w:rPr>
          <w:rFonts w:cs="Times New Roman"/>
          <w:szCs w:val="24"/>
        </w:rPr>
        <w:t>Identify most economic and efficient transport chain and establish connectivity with other modes</w:t>
      </w:r>
    </w:p>
    <w:p w:rsidR="00000000" w:rsidRDefault="00AD6A42" w:rsidP="003D5A31">
      <w:pPr>
        <w:pStyle w:val="ListParagraph"/>
        <w:numPr>
          <w:ilvl w:val="0"/>
          <w:numId w:val="200"/>
        </w:numPr>
        <w:spacing w:line="240" w:lineRule="auto"/>
        <w:jc w:val="both"/>
        <w:rPr>
          <w:rFonts w:cs="Times New Roman"/>
          <w:szCs w:val="24"/>
        </w:rPr>
      </w:pPr>
      <w:r w:rsidRPr="004B0A08">
        <w:rPr>
          <w:rFonts w:cs="Times New Roman"/>
          <w:szCs w:val="24"/>
        </w:rPr>
        <w:t>Identify the benefits of this regional IWT on socio-economic and environmental aspects</w:t>
      </w:r>
    </w:p>
    <w:p w:rsidR="00000000" w:rsidRDefault="00AD6A42" w:rsidP="003D5A31">
      <w:pPr>
        <w:pStyle w:val="ListParagraph"/>
        <w:numPr>
          <w:ilvl w:val="0"/>
          <w:numId w:val="200"/>
        </w:numPr>
        <w:spacing w:line="240" w:lineRule="auto"/>
        <w:jc w:val="both"/>
        <w:rPr>
          <w:rFonts w:cs="Times New Roman"/>
          <w:szCs w:val="24"/>
        </w:rPr>
      </w:pPr>
      <w:r w:rsidRPr="004B0A08">
        <w:rPr>
          <w:rFonts w:cs="Times New Roman"/>
          <w:szCs w:val="24"/>
        </w:rPr>
        <w:t>Find out the appropriate technology to improve efficiency of inland navigation.</w:t>
      </w:r>
    </w:p>
    <w:p w:rsidR="00000000" w:rsidRDefault="00AD6A42" w:rsidP="003D5A31">
      <w:pPr>
        <w:pStyle w:val="ListParagraph"/>
        <w:numPr>
          <w:ilvl w:val="0"/>
          <w:numId w:val="200"/>
        </w:numPr>
        <w:spacing w:line="240" w:lineRule="auto"/>
        <w:jc w:val="both"/>
        <w:rPr>
          <w:rFonts w:cs="Times New Roman"/>
          <w:szCs w:val="24"/>
        </w:rPr>
      </w:pPr>
      <w:r w:rsidRPr="004B0A08">
        <w:rPr>
          <w:rFonts w:cs="Times New Roman"/>
          <w:szCs w:val="24"/>
        </w:rPr>
        <w:t>Identify the requirements for amendment, simplification, waiver of existing procedures</w:t>
      </w:r>
    </w:p>
    <w:p w:rsidR="00AD6A42" w:rsidRPr="00C960E3" w:rsidRDefault="00AD6A42" w:rsidP="00056739">
      <w:pPr>
        <w:spacing w:after="40" w:line="276" w:lineRule="auto"/>
        <w:jc w:val="both"/>
        <w:rPr>
          <w:rFonts w:cs="Times New Roman"/>
          <w:szCs w:val="24"/>
        </w:rPr>
      </w:pPr>
      <w:r w:rsidRPr="00C960E3">
        <w:rPr>
          <w:rFonts w:cs="Times New Roman"/>
          <w:b/>
          <w:szCs w:val="24"/>
        </w:rPr>
        <w:t>Strategy 5.6:</w:t>
      </w:r>
      <w:r w:rsidRPr="00C960E3">
        <w:rPr>
          <w:rFonts w:cs="Times New Roman"/>
          <w:szCs w:val="24"/>
        </w:rPr>
        <w:t xml:space="preserve"> Early warning, storm surge and flood risk preparedness</w:t>
      </w:r>
    </w:p>
    <w:p w:rsidR="00AD6A42" w:rsidRPr="00C960E3" w:rsidRDefault="00AD6A42" w:rsidP="00056739">
      <w:pPr>
        <w:spacing w:after="40" w:line="276" w:lineRule="auto"/>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lastRenderedPageBreak/>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Revision of cyclone / storm-surge warning systems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Harmonize flood patrolling / fighting procedures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Development of community based early warning and forecasting systems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Flood hazard zoning and building conditions (incl. flood proofing): mapping and enforcement</w:t>
      </w:r>
    </w:p>
    <w:p w:rsidR="00000000" w:rsidRDefault="00AD6A42" w:rsidP="003D5A31">
      <w:pPr>
        <w:pStyle w:val="ListParagraph"/>
        <w:numPr>
          <w:ilvl w:val="2"/>
          <w:numId w:val="198"/>
        </w:numPr>
        <w:spacing w:line="276" w:lineRule="auto"/>
        <w:ind w:left="630" w:hanging="630"/>
        <w:jc w:val="both"/>
        <w:rPr>
          <w:rFonts w:cs="Times New Roman"/>
          <w:szCs w:val="24"/>
        </w:rPr>
      </w:pPr>
      <w:r w:rsidRPr="00C960E3">
        <w:rPr>
          <w:rFonts w:cs="Times New Roman"/>
          <w:szCs w:val="24"/>
        </w:rPr>
        <w:t>Plans for shelter and evacuation optimization, Establish disaster management social group</w:t>
      </w:r>
    </w:p>
    <w:p w:rsidR="00AD6A42" w:rsidRPr="00056739" w:rsidRDefault="00AD6A42" w:rsidP="00056739">
      <w:pPr>
        <w:jc w:val="both"/>
        <w:rPr>
          <w:b/>
        </w:rPr>
      </w:pPr>
      <w:r w:rsidRPr="00056739">
        <w:rPr>
          <w:b/>
        </w:rPr>
        <w:t>Goal 6: Achieve optimal and integrated use of land and water resources</w:t>
      </w:r>
    </w:p>
    <w:p w:rsidR="00AD6A42" w:rsidRPr="00C960E3" w:rsidRDefault="00AD6A42" w:rsidP="00056739">
      <w:pPr>
        <w:jc w:val="both"/>
        <w:rPr>
          <w:rFonts w:cs="Times New Roman"/>
          <w:szCs w:val="24"/>
        </w:rPr>
      </w:pPr>
      <w:r w:rsidRPr="00C960E3">
        <w:rPr>
          <w:rFonts w:cs="Times New Roman"/>
          <w:szCs w:val="24"/>
        </w:rPr>
        <w:t>The primary quest of the goal is to ensure efficient integration and proper interaction between land and water use aspects. The goal would mainstream the inter-connected resources functions including navigation. The key topics covered by the goal are land use, water use, multi-modal transportation infrastructures, navigation network, port connectivity and utilities etc. Establishment of connectivity of water courses, and inducing integration between different modes of resources interactions are highly encouraged under this goal.</w:t>
      </w:r>
    </w:p>
    <w:p w:rsidR="00AD6A42" w:rsidRPr="00C960E3" w:rsidRDefault="00AD6A42" w:rsidP="00056739">
      <w:pPr>
        <w:spacing w:after="40" w:line="276" w:lineRule="auto"/>
        <w:jc w:val="both"/>
        <w:rPr>
          <w:rFonts w:cs="Times New Roman"/>
          <w:szCs w:val="24"/>
        </w:rPr>
      </w:pPr>
      <w:r w:rsidRPr="00C960E3">
        <w:rPr>
          <w:rFonts w:cs="Times New Roman"/>
          <w:b/>
          <w:szCs w:val="24"/>
        </w:rPr>
        <w:t>Strategy 6.1:</w:t>
      </w:r>
      <w:r w:rsidRPr="00C960E3">
        <w:rPr>
          <w:rFonts w:cs="Times New Roman"/>
          <w:szCs w:val="24"/>
        </w:rPr>
        <w:t xml:space="preserve"> Prepare and implement a sustainable IWT-vision and strategy</w:t>
      </w:r>
    </w:p>
    <w:p w:rsidR="00AD6A42" w:rsidRPr="00C960E3" w:rsidRDefault="00AD6A42" w:rsidP="00056739">
      <w:pPr>
        <w:spacing w:after="40" w:line="276" w:lineRule="auto"/>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Prepare a short term, up to 2030 vision and strategy based on sustainable navigability and traffic importance to ensure sustainable development of IWT in line with the Integrated Multimodal Transport Policy</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Develop rural water transport by stimulating modernizing and mechanizing of country crafts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Improve Trans-boundary IWT</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Ensure co-ordination of Inland Water Transport with other forms of transport, with major sea ports, and with trade and agricultural interests for the optimum utilization of the available transport capacity;</w:t>
      </w:r>
    </w:p>
    <w:p w:rsidR="00AD6A42" w:rsidRPr="00C960E3" w:rsidRDefault="00AD6A42" w:rsidP="00056739">
      <w:pPr>
        <w:jc w:val="both"/>
        <w:rPr>
          <w:rFonts w:cs="Times New Roman"/>
          <w:i/>
          <w:szCs w:val="24"/>
        </w:rPr>
      </w:pPr>
      <w:r w:rsidRPr="00C960E3">
        <w:rPr>
          <w:rFonts w:cs="Times New Roman"/>
          <w:i/>
          <w:szCs w:val="24"/>
        </w:rPr>
        <w:t>Medium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Renew IWT-vision and strategy based on economic, social and environmental advantages</w:t>
      </w:r>
    </w:p>
    <w:p w:rsidR="00AD6A42" w:rsidRPr="00C960E3" w:rsidRDefault="00AD6A42" w:rsidP="00056739">
      <w:pPr>
        <w:spacing w:after="40" w:line="276" w:lineRule="auto"/>
        <w:jc w:val="both"/>
        <w:rPr>
          <w:rFonts w:cs="Times New Roman"/>
          <w:i/>
          <w:szCs w:val="24"/>
        </w:rPr>
      </w:pPr>
    </w:p>
    <w:p w:rsidR="00AD6A42" w:rsidRPr="00C960E3" w:rsidRDefault="00AD6A42" w:rsidP="00056739">
      <w:pPr>
        <w:spacing w:after="40" w:line="276" w:lineRule="auto"/>
        <w:jc w:val="both"/>
        <w:rPr>
          <w:rFonts w:cs="Times New Roman"/>
          <w:szCs w:val="24"/>
        </w:rPr>
      </w:pPr>
      <w:r w:rsidRPr="00C960E3">
        <w:rPr>
          <w:rFonts w:cs="Times New Roman"/>
          <w:b/>
          <w:szCs w:val="24"/>
        </w:rPr>
        <w:t>Strategy 6.2:</w:t>
      </w:r>
      <w:r w:rsidRPr="00C960E3">
        <w:rPr>
          <w:rFonts w:cs="Times New Roman"/>
          <w:szCs w:val="24"/>
        </w:rPr>
        <w:t xml:space="preserve"> Promote renewal and innovation of IWT sector and fleet</w:t>
      </w:r>
    </w:p>
    <w:p w:rsidR="00AD6A42" w:rsidRPr="00C960E3" w:rsidRDefault="00AD6A42" w:rsidP="00056739">
      <w:pPr>
        <w:spacing w:after="40" w:line="276" w:lineRule="auto"/>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lastRenderedPageBreak/>
        <w:t>Maintain liaison with the shipyard and ship repair industry to meet the requirements of the Inland Water Transport fleet repairs and new constructions over time, incorporating new technologies, larger dimensions etc.;</w:t>
      </w:r>
    </w:p>
    <w:p w:rsidR="00AD6A42" w:rsidRPr="00C960E3" w:rsidRDefault="00AD6A42" w:rsidP="00056739">
      <w:pPr>
        <w:spacing w:after="40" w:line="276" w:lineRule="auto"/>
        <w:jc w:val="both"/>
        <w:rPr>
          <w:rFonts w:cs="Times New Roman"/>
          <w:szCs w:val="24"/>
        </w:rPr>
      </w:pPr>
      <w:r w:rsidRPr="00C960E3">
        <w:rPr>
          <w:rFonts w:cs="Times New Roman"/>
          <w:b/>
          <w:szCs w:val="24"/>
        </w:rPr>
        <w:t>Strategy 6.2:</w:t>
      </w:r>
      <w:r w:rsidRPr="00C960E3">
        <w:rPr>
          <w:rFonts w:cs="Times New Roman"/>
          <w:szCs w:val="24"/>
        </w:rPr>
        <w:t xml:space="preserve"> Promote development of Maritime ports</w:t>
      </w:r>
    </w:p>
    <w:p w:rsidR="00AD6A42" w:rsidRPr="00C960E3" w:rsidRDefault="00AD6A42" w:rsidP="00056739">
      <w:pPr>
        <w:spacing w:after="40" w:line="276" w:lineRule="auto"/>
        <w:jc w:val="both"/>
        <w:rPr>
          <w:rFonts w:cs="Times New Roman"/>
          <w:b/>
          <w:szCs w:val="24"/>
        </w:rPr>
      </w:pPr>
      <w:r w:rsidRPr="00C960E3">
        <w:rPr>
          <w:rFonts w:cs="Times New Roman"/>
          <w:b/>
          <w:szCs w:val="24"/>
        </w:rPr>
        <w:t>Measures:</w:t>
      </w:r>
    </w:p>
    <w:p w:rsidR="00AD6A42" w:rsidRPr="00C960E3" w:rsidRDefault="00AD6A42" w:rsidP="00056739">
      <w:pPr>
        <w:jc w:val="both"/>
        <w:rPr>
          <w:rFonts w:cs="Times New Roman"/>
          <w:i/>
          <w:szCs w:val="24"/>
        </w:rPr>
      </w:pPr>
      <w:r w:rsidRPr="00C960E3">
        <w:rPr>
          <w:rFonts w:cs="Times New Roman"/>
          <w:i/>
          <w:szCs w:val="24"/>
        </w:rPr>
        <w:t>Short term measures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Analyze the economic and financial return of port investments and apply in investment proposals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International seaborne trade in Bangladesh is growing fast. The existing maritime ports of Chittagong and Mongla have inherent limitations due to draft restrictions to accommodate larger vessels. As such, development of a deep sea port is indispensable to keep the growth moving in Bangladesh</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Efficient transport links to central region are required for development of traffic through ports of Chittagong and Mongla</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More private sector involvement should be ensured through experience worldwide that demonstrates that Bangladesh maritime ports should apply a landlord model under which </w:t>
      </w:r>
      <w:r w:rsidR="00847D39">
        <w:rPr>
          <w:rFonts w:cs="Times New Roman"/>
          <w:szCs w:val="24"/>
        </w:rPr>
        <w:t>public</w:t>
      </w:r>
      <w:r w:rsidRPr="00C960E3">
        <w:rPr>
          <w:rFonts w:cs="Times New Roman"/>
          <w:szCs w:val="24"/>
        </w:rPr>
        <w:t xml:space="preserve"> port authorities should withdraw themselves from day to day operations and focus on regulation, planning, investing and market promotion</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At all container terminals International Terminal Operators (ITO) should be engaged who will be responsible for all categories of container handling equipment</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Efficiency of maritime ports should be enhanced through the following short-term actions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Private sector involvement initiative</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Empowering port authorities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Substantial reduction in import related time</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 xml:space="preserve">Elimination stuffing/ </w:t>
      </w:r>
      <w:r w:rsidR="00EA4E38" w:rsidRPr="00C960E3">
        <w:rPr>
          <w:rFonts w:cs="Times New Roman"/>
          <w:szCs w:val="24"/>
        </w:rPr>
        <w:t>unsnuffing</w:t>
      </w:r>
      <w:r w:rsidRPr="00C960E3">
        <w:rPr>
          <w:rFonts w:cs="Times New Roman"/>
          <w:szCs w:val="24"/>
        </w:rPr>
        <w:t xml:space="preserve"> practices in ports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Increase of container storage charges</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Private ICDs used for import</w:t>
      </w:r>
    </w:p>
    <w:p w:rsidR="00000000" w:rsidRDefault="00AD6A42" w:rsidP="003D5A31">
      <w:pPr>
        <w:pStyle w:val="ListParagraph"/>
        <w:numPr>
          <w:ilvl w:val="2"/>
          <w:numId w:val="198"/>
        </w:numPr>
        <w:spacing w:after="40" w:line="276" w:lineRule="auto"/>
        <w:ind w:left="630" w:hanging="630"/>
        <w:jc w:val="both"/>
        <w:rPr>
          <w:rFonts w:cs="Times New Roman"/>
          <w:szCs w:val="24"/>
        </w:rPr>
      </w:pPr>
      <w:r w:rsidRPr="00C960E3">
        <w:rPr>
          <w:rFonts w:cs="Times New Roman"/>
          <w:szCs w:val="24"/>
        </w:rPr>
        <w:t>Introducing automated system for custom data</w:t>
      </w:r>
    </w:p>
    <w:p w:rsidR="00433914" w:rsidRPr="00433914" w:rsidRDefault="00433914" w:rsidP="00056739">
      <w:pPr>
        <w:pStyle w:val="ListParagraph"/>
        <w:spacing w:after="40" w:line="276" w:lineRule="auto"/>
        <w:ind w:left="630"/>
        <w:jc w:val="both"/>
        <w:rPr>
          <w:rFonts w:cs="Times New Roman"/>
          <w:szCs w:val="24"/>
        </w:rPr>
      </w:pPr>
    </w:p>
    <w:p w:rsidR="00056739" w:rsidRDefault="00056739">
      <w:pPr>
        <w:rPr>
          <w:rFonts w:cs="Times New Roman"/>
          <w:b/>
          <w:bCs/>
          <w:i/>
          <w:iCs/>
          <w:szCs w:val="24"/>
        </w:rPr>
      </w:pPr>
      <w:r>
        <w:rPr>
          <w:rFonts w:cs="Times New Roman"/>
          <w:b/>
          <w:bCs/>
          <w:i/>
          <w:iCs/>
          <w:szCs w:val="24"/>
        </w:rPr>
        <w:br w:type="page"/>
      </w:r>
    </w:p>
    <w:p w:rsidR="007F2F9C" w:rsidRPr="002B3FA0" w:rsidRDefault="007F2F9C" w:rsidP="00056739">
      <w:pPr>
        <w:spacing w:line="276" w:lineRule="auto"/>
        <w:ind w:left="117"/>
        <w:jc w:val="both"/>
        <w:rPr>
          <w:rFonts w:cs="Times New Roman"/>
          <w:b/>
          <w:bCs/>
          <w:i/>
          <w:iCs/>
          <w:szCs w:val="24"/>
        </w:rPr>
      </w:pPr>
      <w:r w:rsidRPr="002B3FA0">
        <w:rPr>
          <w:rFonts w:cs="Times New Roman"/>
          <w:b/>
          <w:bCs/>
          <w:i/>
          <w:iCs/>
          <w:szCs w:val="24"/>
        </w:rPr>
        <w:lastRenderedPageBreak/>
        <w:t>Addressing the River transit fees: GATT rules and best practices</w:t>
      </w:r>
    </w:p>
    <w:p w:rsidR="007F2F9C" w:rsidRPr="002B3FA0" w:rsidRDefault="00AD6A42" w:rsidP="00056739">
      <w:pPr>
        <w:spacing w:line="276" w:lineRule="auto"/>
        <w:jc w:val="both"/>
        <w:rPr>
          <w:rFonts w:cs="Times New Roman"/>
          <w:szCs w:val="24"/>
        </w:rPr>
      </w:pPr>
      <w:r>
        <w:rPr>
          <w:rFonts w:cs="Times New Roman"/>
          <w:szCs w:val="24"/>
        </w:rPr>
        <w:t xml:space="preserve">The growing importance of cross-boundary river transit suggests the need to develop a proper policy for </w:t>
      </w:r>
      <w:r w:rsidR="00EA4E38">
        <w:rPr>
          <w:rFonts w:cs="Times New Roman"/>
          <w:szCs w:val="24"/>
        </w:rPr>
        <w:t>river</w:t>
      </w:r>
      <w:r>
        <w:rPr>
          <w:rFonts w:cs="Times New Roman"/>
          <w:szCs w:val="24"/>
        </w:rPr>
        <w:t xml:space="preserve"> transit fees based on international good practice. </w:t>
      </w:r>
    </w:p>
    <w:p w:rsidR="007F2F9C" w:rsidRPr="00924255" w:rsidRDefault="007F2F9C" w:rsidP="0072476E">
      <w:pPr>
        <w:spacing w:line="276" w:lineRule="auto"/>
        <w:jc w:val="both"/>
        <w:rPr>
          <w:rFonts w:cs="Times New Roman"/>
          <w:szCs w:val="24"/>
        </w:rPr>
      </w:pPr>
      <w:r w:rsidRPr="00924255">
        <w:rPr>
          <w:rFonts w:cs="Times New Roman"/>
          <w:szCs w:val="24"/>
        </w:rPr>
        <w:t>Article V of the GATT 1994 lays down the following agreed principles governing transit trade:</w:t>
      </w:r>
    </w:p>
    <w:p w:rsidR="007F2F9C" w:rsidRPr="00924255" w:rsidRDefault="007F2F9C" w:rsidP="00D6486D">
      <w:pPr>
        <w:numPr>
          <w:ilvl w:val="0"/>
          <w:numId w:val="81"/>
        </w:numPr>
        <w:spacing w:line="276" w:lineRule="auto"/>
        <w:ind w:left="360"/>
        <w:jc w:val="both"/>
        <w:rPr>
          <w:rFonts w:cs="Times New Roman"/>
          <w:szCs w:val="24"/>
        </w:rPr>
      </w:pPr>
      <w:r w:rsidRPr="00924255">
        <w:rPr>
          <w:rFonts w:cs="Times New Roman"/>
          <w:szCs w:val="24"/>
        </w:rPr>
        <w:t>“There shall be freedom of transit through the territory of each contracting party via the routes most convenient for international transit, for traffic in transit to or from the territory of other contracting parties. No distinction shall be made which is based on the flag of vessels, the place of origin, departure, entry, exit or destination, or any circumstances relating to the ownership of goods, of vessels or any other means of transport”</w:t>
      </w:r>
    </w:p>
    <w:p w:rsidR="007F2F9C" w:rsidRPr="00924255" w:rsidRDefault="007F2F9C" w:rsidP="00D6486D">
      <w:pPr>
        <w:numPr>
          <w:ilvl w:val="0"/>
          <w:numId w:val="81"/>
        </w:numPr>
        <w:spacing w:line="276" w:lineRule="auto"/>
        <w:ind w:left="360"/>
        <w:jc w:val="both"/>
        <w:rPr>
          <w:rFonts w:cs="Times New Roman"/>
          <w:szCs w:val="24"/>
        </w:rPr>
      </w:pPr>
      <w:r w:rsidRPr="00924255">
        <w:rPr>
          <w:rFonts w:cs="Times New Roman"/>
          <w:szCs w:val="24"/>
        </w:rPr>
        <w:t>“Any contracting party may require that traffic in transit through its territory be entered at the proper custom house, but, except in cases of failure to comply with applicable customs laws and regulations, such traffic coming from or going to the territory of other contracting parties shall not be subject to any unnecessary delays or restrictions and shall be exempt from customs duties and from all transit duties or other charges imposed in respect of transit, except charges for transportation or those commensurate with administrative expenses entailed by transit or with the cost of services rendered.”</w:t>
      </w:r>
    </w:p>
    <w:p w:rsidR="007F2F9C" w:rsidRPr="00924255" w:rsidRDefault="007F2F9C" w:rsidP="00D6486D">
      <w:pPr>
        <w:numPr>
          <w:ilvl w:val="0"/>
          <w:numId w:val="81"/>
        </w:numPr>
        <w:spacing w:line="276" w:lineRule="auto"/>
        <w:ind w:left="360"/>
        <w:jc w:val="both"/>
        <w:rPr>
          <w:rFonts w:cs="Times New Roman"/>
          <w:szCs w:val="24"/>
        </w:rPr>
      </w:pPr>
      <w:r w:rsidRPr="00924255">
        <w:rPr>
          <w:rFonts w:cs="Times New Roman"/>
          <w:szCs w:val="24"/>
        </w:rPr>
        <w:t>“All charges and regulations imposed by contracting parties on traffic in transit to or from the territories of other contracting parties shall be reasonable having regard to the conditions of traffic.”</w:t>
      </w:r>
    </w:p>
    <w:p w:rsidR="007F2F9C" w:rsidRPr="00924255" w:rsidRDefault="007F2F9C" w:rsidP="00D6486D">
      <w:pPr>
        <w:numPr>
          <w:ilvl w:val="0"/>
          <w:numId w:val="81"/>
        </w:numPr>
        <w:spacing w:line="276" w:lineRule="auto"/>
        <w:ind w:left="360"/>
        <w:jc w:val="both"/>
        <w:rPr>
          <w:rFonts w:cs="Times New Roman"/>
          <w:szCs w:val="24"/>
        </w:rPr>
      </w:pPr>
      <w:r w:rsidRPr="00924255">
        <w:rPr>
          <w:rFonts w:cs="Times New Roman"/>
          <w:szCs w:val="24"/>
        </w:rPr>
        <w:t>“With respect to all charges, regulations and formalities in connection with transit, each contracting party shall accord to traffic in transit to or from the territory of any other contracting party treatment no less favorable than the treatment accorded to traffic in transit to or from any third country.”</w:t>
      </w:r>
    </w:p>
    <w:p w:rsidR="00FD4ADE" w:rsidRDefault="007F2F9C" w:rsidP="0072476E">
      <w:pPr>
        <w:spacing w:line="276" w:lineRule="auto"/>
        <w:jc w:val="both"/>
        <w:rPr>
          <w:rFonts w:cs="Times New Roman"/>
          <w:szCs w:val="24"/>
        </w:rPr>
      </w:pPr>
      <w:r w:rsidRPr="00924255">
        <w:rPr>
          <w:rFonts w:cs="Times New Roman"/>
          <w:szCs w:val="24"/>
        </w:rPr>
        <w:t>However, Article V rightly recognizes that there may be genuine costs of providing transit access by the host country that must be recognized and compensated by the guest country.  These costs are identified in Article V to include: (a) transportation services (if used); (b) administrative expenses (e.g. costs of inspections etc); and (c) charges for use of services.  Of these three categories, the third is most significant for determining transit fees. Even if guest countries use their own transport facility (ships, trucks or trains), transit may involve the use of port services, road services, or rail network services from host countries.  These are economic services the provision of which requires real resources in terms of investment in fixed assets as well as financing of operation and maintenance. Accordingly, guest countries are obliged to pay user fee for these services in the t</w:t>
      </w:r>
      <w:r w:rsidR="00F05BF2">
        <w:rPr>
          <w:rFonts w:cs="Times New Roman"/>
          <w:szCs w:val="24"/>
        </w:rPr>
        <w:t xml:space="preserve">ransit process. </w:t>
      </w:r>
    </w:p>
    <w:p w:rsidR="00056739" w:rsidRDefault="00056739" w:rsidP="0072476E">
      <w:pPr>
        <w:spacing w:line="276" w:lineRule="auto"/>
        <w:jc w:val="both"/>
        <w:rPr>
          <w:rFonts w:cs="Times New Roman"/>
          <w:b/>
          <w:i/>
          <w:szCs w:val="24"/>
        </w:rPr>
      </w:pPr>
    </w:p>
    <w:p w:rsidR="007F2F9C" w:rsidRPr="00D738D5" w:rsidRDefault="007F2F9C" w:rsidP="0072476E">
      <w:pPr>
        <w:spacing w:line="276" w:lineRule="auto"/>
        <w:jc w:val="both"/>
        <w:rPr>
          <w:rFonts w:cs="Times New Roman"/>
          <w:b/>
          <w:i/>
          <w:szCs w:val="24"/>
        </w:rPr>
      </w:pPr>
      <w:r w:rsidRPr="00D738D5">
        <w:rPr>
          <w:rFonts w:cs="Times New Roman"/>
          <w:b/>
          <w:i/>
          <w:szCs w:val="24"/>
        </w:rPr>
        <w:lastRenderedPageBreak/>
        <w:t>Best Practices</w:t>
      </w:r>
    </w:p>
    <w:p w:rsidR="007F2F9C" w:rsidRPr="00924255" w:rsidRDefault="007F2F9C" w:rsidP="0072476E">
      <w:pPr>
        <w:spacing w:line="276" w:lineRule="auto"/>
        <w:jc w:val="both"/>
        <w:rPr>
          <w:rFonts w:cs="Times New Roman"/>
          <w:szCs w:val="24"/>
        </w:rPr>
      </w:pPr>
      <w:r w:rsidRPr="00924255">
        <w:rPr>
          <w:rFonts w:cs="Times New Roman"/>
          <w:szCs w:val="24"/>
        </w:rPr>
        <w:t xml:space="preserve">There are several best practices in some countries and region for suitable transit fees but mostly based on road transits. </w:t>
      </w:r>
    </w:p>
    <w:p w:rsidR="007F2F9C" w:rsidRPr="00924255" w:rsidRDefault="007F2F9C" w:rsidP="0072476E">
      <w:pPr>
        <w:spacing w:line="276" w:lineRule="auto"/>
        <w:jc w:val="both"/>
        <w:rPr>
          <w:rFonts w:cs="Times New Roman"/>
          <w:szCs w:val="24"/>
        </w:rPr>
      </w:pPr>
      <w:r w:rsidRPr="00924255">
        <w:rPr>
          <w:rFonts w:cs="Times New Roman"/>
          <w:bCs/>
          <w:szCs w:val="24"/>
        </w:rPr>
        <w:t>The Royal Government of Cambodia and the Government of the Socialist Re</w:t>
      </w:r>
      <w:r w:rsidR="00847D39">
        <w:rPr>
          <w:rFonts w:cs="Times New Roman"/>
          <w:bCs/>
          <w:szCs w:val="24"/>
        </w:rPr>
        <w:t>public</w:t>
      </w:r>
      <w:r w:rsidRPr="00924255">
        <w:rPr>
          <w:rFonts w:cs="Times New Roman"/>
          <w:bCs/>
          <w:szCs w:val="24"/>
        </w:rPr>
        <w:t xml:space="preserve"> of Vietnam signed Waterway Transportation Agreement 2010 on </w:t>
      </w:r>
      <w:r w:rsidRPr="00924255">
        <w:rPr>
          <w:rFonts w:cs="Times New Roman"/>
          <w:szCs w:val="24"/>
        </w:rPr>
        <w:t>December 19, 2009</w:t>
      </w:r>
      <w:r w:rsidR="00291F0F">
        <w:rPr>
          <w:rStyle w:val="FootnoteReference"/>
          <w:rFonts w:cs="Times New Roman"/>
          <w:szCs w:val="24"/>
        </w:rPr>
        <w:footnoteReference w:id="47"/>
      </w:r>
      <w:r w:rsidRPr="00924255">
        <w:rPr>
          <w:rFonts w:cs="Times New Roman"/>
          <w:szCs w:val="24"/>
        </w:rPr>
        <w:t>. According to the agreement, following rules and regulations mandated on transit and other facility fees -</w:t>
      </w:r>
    </w:p>
    <w:p w:rsidR="007F2F9C" w:rsidRPr="00924255" w:rsidRDefault="007F2F9C" w:rsidP="00D6486D">
      <w:pPr>
        <w:pStyle w:val="ListParagraph"/>
        <w:numPr>
          <w:ilvl w:val="0"/>
          <w:numId w:val="82"/>
        </w:numPr>
        <w:spacing w:line="276" w:lineRule="auto"/>
        <w:ind w:left="360"/>
        <w:contextualSpacing w:val="0"/>
        <w:jc w:val="both"/>
        <w:rPr>
          <w:rFonts w:cs="Times New Roman"/>
          <w:szCs w:val="24"/>
        </w:rPr>
      </w:pPr>
      <w:r w:rsidRPr="00924255">
        <w:rPr>
          <w:rFonts w:cs="Times New Roman"/>
          <w:szCs w:val="24"/>
        </w:rPr>
        <w:t>No dues of any kind may be levied anywhere on the regulated waterways and in ports and terminals, other than proportional dues in the nature of payment for specific services effectively rendered to vessels. These dues shall be as low as possible.</w:t>
      </w:r>
    </w:p>
    <w:p w:rsidR="007F2F9C" w:rsidRPr="00924255" w:rsidRDefault="007F2F9C" w:rsidP="00D6486D">
      <w:pPr>
        <w:pStyle w:val="ListParagraph"/>
        <w:numPr>
          <w:ilvl w:val="0"/>
          <w:numId w:val="82"/>
        </w:numPr>
        <w:spacing w:line="276" w:lineRule="auto"/>
        <w:ind w:left="360"/>
        <w:contextualSpacing w:val="0"/>
        <w:jc w:val="both"/>
        <w:rPr>
          <w:rFonts w:cs="Times New Roman"/>
          <w:szCs w:val="24"/>
        </w:rPr>
      </w:pPr>
      <w:r w:rsidRPr="00924255">
        <w:rPr>
          <w:rFonts w:cs="Times New Roman"/>
          <w:szCs w:val="24"/>
        </w:rPr>
        <w:t>Without prejudice to paragraph (1), vessels engaged in transit transportation shall pay a formality fee, a channel fee and, in case pilotage services are used, a pilotage fee.</w:t>
      </w:r>
    </w:p>
    <w:p w:rsidR="007F2F9C" w:rsidRPr="00924255" w:rsidRDefault="007F2F9C" w:rsidP="00D6486D">
      <w:pPr>
        <w:pStyle w:val="ListParagraph"/>
        <w:numPr>
          <w:ilvl w:val="0"/>
          <w:numId w:val="82"/>
        </w:numPr>
        <w:spacing w:line="276" w:lineRule="auto"/>
        <w:ind w:left="360"/>
        <w:contextualSpacing w:val="0"/>
        <w:jc w:val="both"/>
        <w:rPr>
          <w:rFonts w:cs="Times New Roman"/>
          <w:szCs w:val="24"/>
        </w:rPr>
      </w:pPr>
      <w:r w:rsidRPr="00924255">
        <w:rPr>
          <w:rFonts w:cs="Times New Roman"/>
          <w:szCs w:val="24"/>
        </w:rPr>
        <w:t xml:space="preserve">Without prejudice to paragraph (1), vessels engaged in cross-border transportation shall pay a formality fee, a channel fee, a </w:t>
      </w:r>
      <w:r w:rsidR="00847D39">
        <w:rPr>
          <w:rFonts w:cs="Times New Roman"/>
          <w:szCs w:val="24"/>
        </w:rPr>
        <w:t>tonn</w:t>
      </w:r>
      <w:r w:rsidRPr="00924255">
        <w:rPr>
          <w:rFonts w:cs="Times New Roman"/>
          <w:szCs w:val="24"/>
        </w:rPr>
        <w:t>age fee, and, in case pilotage services are used, a pilotage fee.</w:t>
      </w:r>
    </w:p>
    <w:p w:rsidR="007F2F9C" w:rsidRPr="00924255" w:rsidRDefault="007F2F9C" w:rsidP="00D6486D">
      <w:pPr>
        <w:pStyle w:val="ListParagraph"/>
        <w:numPr>
          <w:ilvl w:val="0"/>
          <w:numId w:val="82"/>
        </w:numPr>
        <w:spacing w:line="276" w:lineRule="auto"/>
        <w:ind w:left="360"/>
        <w:contextualSpacing w:val="0"/>
        <w:jc w:val="both"/>
        <w:rPr>
          <w:rFonts w:cs="Times New Roman"/>
          <w:szCs w:val="24"/>
        </w:rPr>
      </w:pPr>
      <w:r w:rsidRPr="00924255">
        <w:rPr>
          <w:rFonts w:cs="Times New Roman"/>
          <w:szCs w:val="24"/>
        </w:rPr>
        <w:t xml:space="preserve">Vessels using the regulated waterways shall not be liable to pay any other due, tax or fee of any kind other than those specified under paragraphs (2) and (3). </w:t>
      </w:r>
    </w:p>
    <w:p w:rsidR="007F2F9C" w:rsidRPr="00F25789" w:rsidRDefault="007F2F9C" w:rsidP="00D6486D">
      <w:pPr>
        <w:pStyle w:val="ListParagraph"/>
        <w:numPr>
          <w:ilvl w:val="0"/>
          <w:numId w:val="82"/>
        </w:numPr>
        <w:spacing w:line="276" w:lineRule="auto"/>
        <w:ind w:left="360"/>
        <w:contextualSpacing w:val="0"/>
        <w:jc w:val="both"/>
        <w:rPr>
          <w:rFonts w:cs="Times New Roman"/>
          <w:szCs w:val="24"/>
        </w:rPr>
      </w:pPr>
      <w:r w:rsidRPr="00F25789">
        <w:rPr>
          <w:rFonts w:cs="Times New Roman"/>
          <w:szCs w:val="24"/>
        </w:rPr>
        <w:t>The tariffs of fees referred to under paragraphs (2) and (3) shall be adopted by the Competent Authorities of the Contracting Parties in conformity with the laws and regulations of the respective Contracting Parties.</w:t>
      </w:r>
    </w:p>
    <w:p w:rsidR="007F2F9C" w:rsidRPr="00924255" w:rsidRDefault="007F2F9C" w:rsidP="0072476E">
      <w:pPr>
        <w:spacing w:line="276" w:lineRule="auto"/>
        <w:jc w:val="both"/>
        <w:rPr>
          <w:rFonts w:cs="Times New Roman"/>
          <w:szCs w:val="24"/>
        </w:rPr>
      </w:pPr>
      <w:r w:rsidRPr="00924255">
        <w:rPr>
          <w:rFonts w:cs="Times New Roman"/>
          <w:szCs w:val="24"/>
        </w:rPr>
        <w:t xml:space="preserve">The agreement also mandates to form a The Mekong Navigation Facilitation Committee that will review the tariff/dues according to following decree – </w:t>
      </w:r>
    </w:p>
    <w:p w:rsidR="007F2F9C" w:rsidRPr="00924255" w:rsidRDefault="007F2F9C" w:rsidP="00D6486D">
      <w:pPr>
        <w:pStyle w:val="ListParagraph"/>
        <w:numPr>
          <w:ilvl w:val="0"/>
          <w:numId w:val="83"/>
        </w:numPr>
        <w:spacing w:line="276" w:lineRule="auto"/>
        <w:ind w:left="360"/>
        <w:contextualSpacing w:val="0"/>
        <w:jc w:val="both"/>
        <w:rPr>
          <w:rFonts w:cs="Times New Roman"/>
          <w:szCs w:val="24"/>
        </w:rPr>
      </w:pPr>
      <w:r w:rsidRPr="00924255">
        <w:rPr>
          <w:rFonts w:cs="Times New Roman"/>
          <w:szCs w:val="24"/>
        </w:rPr>
        <w:t xml:space="preserve">Regularly and at least annually review the tariffs and make proposals for harmonisation to the Contracting Parties, whereby the tariffs in force upon entry into force of the present Agreement shall serve as a basis for the first revision; </w:t>
      </w:r>
    </w:p>
    <w:p w:rsidR="007F2F9C" w:rsidRPr="00163A4F" w:rsidRDefault="007F2F9C" w:rsidP="00D6486D">
      <w:pPr>
        <w:pStyle w:val="ListParagraph"/>
        <w:numPr>
          <w:ilvl w:val="0"/>
          <w:numId w:val="83"/>
        </w:numPr>
        <w:spacing w:line="276" w:lineRule="auto"/>
        <w:ind w:left="360"/>
        <w:contextualSpacing w:val="0"/>
        <w:jc w:val="both"/>
        <w:rPr>
          <w:rFonts w:cs="Times New Roman"/>
          <w:szCs w:val="24"/>
        </w:rPr>
      </w:pPr>
      <w:r w:rsidRPr="00924255">
        <w:rPr>
          <w:rFonts w:cs="Times New Roman"/>
          <w:szCs w:val="24"/>
        </w:rPr>
        <w:lastRenderedPageBreak/>
        <w:t>Elaborate proposals for the introduction of more advantageous rates for regular users, such as reductions or fixed periodical rates.</w:t>
      </w:r>
    </w:p>
    <w:p w:rsidR="007F2F9C" w:rsidRPr="00A82566" w:rsidRDefault="00291F0F" w:rsidP="00D738D5">
      <w:pPr>
        <w:spacing w:line="276" w:lineRule="auto"/>
        <w:jc w:val="both"/>
        <w:rPr>
          <w:rFonts w:cs="Times New Roman"/>
          <w:b/>
          <w:bCs/>
          <w:i/>
          <w:iCs/>
          <w:szCs w:val="24"/>
        </w:rPr>
      </w:pPr>
      <w:r>
        <w:rPr>
          <w:rFonts w:cs="Times New Roman"/>
          <w:b/>
          <w:bCs/>
          <w:i/>
          <w:iCs/>
          <w:szCs w:val="24"/>
        </w:rPr>
        <w:t>Institutions to strength</w:t>
      </w:r>
      <w:r w:rsidR="007F2F9C" w:rsidRPr="00A82566">
        <w:rPr>
          <w:rFonts w:cs="Times New Roman"/>
          <w:b/>
          <w:bCs/>
          <w:i/>
          <w:iCs/>
          <w:szCs w:val="24"/>
        </w:rPr>
        <w:t xml:space="preserve"> cross-border IWT</w:t>
      </w:r>
    </w:p>
    <w:p w:rsidR="007F2F9C" w:rsidRPr="002519EF" w:rsidRDefault="00291F0F" w:rsidP="0072476E">
      <w:pPr>
        <w:spacing w:line="276" w:lineRule="auto"/>
        <w:jc w:val="both"/>
        <w:rPr>
          <w:rFonts w:cs="Times New Roman"/>
          <w:szCs w:val="24"/>
        </w:rPr>
      </w:pPr>
      <w:r>
        <w:rPr>
          <w:rFonts w:cs="Times New Roman"/>
          <w:szCs w:val="24"/>
        </w:rPr>
        <w:t xml:space="preserve">There has been </w:t>
      </w:r>
      <w:r w:rsidR="007F2F9C" w:rsidRPr="002519EF">
        <w:rPr>
          <w:rFonts w:cs="Times New Roman"/>
          <w:szCs w:val="24"/>
        </w:rPr>
        <w:t xml:space="preserve">a tremendous growth of </w:t>
      </w:r>
      <w:r w:rsidR="00FE6385">
        <w:rPr>
          <w:rFonts w:cs="Times New Roman"/>
          <w:szCs w:val="24"/>
        </w:rPr>
        <w:t>tonn</w:t>
      </w:r>
      <w:r w:rsidR="007F2F9C" w:rsidRPr="002519EF">
        <w:rPr>
          <w:rFonts w:cs="Times New Roman"/>
          <w:szCs w:val="24"/>
        </w:rPr>
        <w:t>age of bilateral trade transported under the provisions of the Protocol along with the movement of vessels of both countries. As India and Bangladesh further strengthen their trade relations and pledged to increase connectivity, the importance of IWT is likely to grow in years to come. However, to support bilateral and transit trade and transshipment more clearly needs to be done in terms of institutional development to govern the two-way waterborne trade and passenger movements. Experience from Europe suggests that with a comprehensive dedicated regulatory framework, active involvement of a wide range of stakeholders and adaptation of new technology, sustainable navigation is possible and can be the basis for the economic</w:t>
      </w:r>
      <w:r w:rsidR="00A32E77">
        <w:rPr>
          <w:rFonts w:cs="Times New Roman"/>
          <w:szCs w:val="24"/>
        </w:rPr>
        <w:t xml:space="preserve"> development in a river basin. </w:t>
      </w:r>
    </w:p>
    <w:p w:rsidR="007F2F9C" w:rsidRPr="002519EF" w:rsidRDefault="007F2F9C" w:rsidP="00CE5D60">
      <w:pPr>
        <w:spacing w:line="276" w:lineRule="auto"/>
        <w:jc w:val="both"/>
        <w:rPr>
          <w:rFonts w:cs="Times New Roman"/>
          <w:szCs w:val="24"/>
        </w:rPr>
      </w:pPr>
      <w:r w:rsidRPr="002519EF">
        <w:rPr>
          <w:rFonts w:cs="Times New Roman"/>
          <w:szCs w:val="24"/>
        </w:rPr>
        <w:t xml:space="preserve">The </w:t>
      </w:r>
      <w:r w:rsidRPr="002519EF">
        <w:rPr>
          <w:rFonts w:eastAsia="Times New Roman" w:cs="Times New Roman"/>
          <w:szCs w:val="24"/>
        </w:rPr>
        <w:t xml:space="preserve">Protocol on Inland Water Transit and Trade that guide </w:t>
      </w:r>
      <w:r w:rsidRPr="002519EF">
        <w:rPr>
          <w:rFonts w:cs="Times New Roman"/>
          <w:szCs w:val="24"/>
        </w:rPr>
        <w:t>India-Bangladesh waterway trade and transit has identified eight routes and 10 Ports of Call. Moreover, transshipment between vessel and truck is allowed at Sherpur and Ashuganj under the protocol. Moreover, India is paying Bangladesh to dredge its water ways. While these are some of significant achievements, there is a need for a joint institution to sustain the process as India-Bangladesh relations often affected by political changes in these countries. Moreover, given the lack of coherent policies of the centre and state in India, Dhaka often finds difficulties to deal with multiple actors as far as its Indian counterparts are concerned. An institution akin to the Central Commission for Navigation of the Rhine (CCNR) that regulates navigation on the Rhine could overcome the problems that India and Bangladesh face with regard to cross-border waterway connectivity. CCNR, for instance, regulates navigation on the Rhine, maintains good conditions for navigation, promotes ecological inland navigation and develops laws involving inland navigation.</w:t>
      </w:r>
      <w:r w:rsidR="00CE5D60">
        <w:rPr>
          <w:rFonts w:cs="Times New Roman"/>
          <w:szCs w:val="24"/>
        </w:rPr>
        <w:t xml:space="preserve"> In doing so, it has developed </w:t>
      </w:r>
      <w:r w:rsidRPr="002519EF">
        <w:rPr>
          <w:rFonts w:cs="Times New Roman"/>
          <w:szCs w:val="24"/>
        </w:rPr>
        <w:t xml:space="preserve">navigation police rules / traffic rules, formulated criteria for the vessels sailing on the Rhine, provided guidelines and rules for crews and personnel. </w:t>
      </w:r>
    </w:p>
    <w:p w:rsidR="007F2F9C" w:rsidRPr="002519EF" w:rsidRDefault="007F2F9C" w:rsidP="0072476E">
      <w:pPr>
        <w:spacing w:line="276" w:lineRule="auto"/>
        <w:jc w:val="both"/>
        <w:rPr>
          <w:rFonts w:cs="Times New Roman"/>
          <w:color w:val="222222"/>
          <w:szCs w:val="24"/>
          <w:shd w:val="clear" w:color="auto" w:fill="FFFFFF"/>
        </w:rPr>
      </w:pPr>
      <w:r w:rsidRPr="002519EF">
        <w:rPr>
          <w:rFonts w:cs="Times New Roman"/>
          <w:szCs w:val="24"/>
        </w:rPr>
        <w:t xml:space="preserve">Similarly, the Protocol can also learn from the legal framework for cross-border navigation between Viet Nam and Cambodia in the Mekong Delta. </w:t>
      </w:r>
      <w:r w:rsidRPr="002519EF">
        <w:rPr>
          <w:rFonts w:cs="Times New Roman"/>
          <w:color w:val="222222"/>
          <w:szCs w:val="24"/>
          <w:shd w:val="clear" w:color="auto" w:fill="FFFFFF"/>
        </w:rPr>
        <w:t xml:space="preserve">The Treaty signed between the two countries in 2009 legally binds Cambodia and Viet Nam to reducing the official restrictions that have existed for cross-border navigation. The agreement will also put in place a range of measures for ensuring river traffic safety and regulating the transportation of dangerous goods by river. By standardizing rules and regulations, the MRC claims that there will be a considerable improvement to the safety of the shipping of oil and hazardous liquid cargoes, port services and safe navigation. </w:t>
      </w:r>
      <w:r w:rsidRPr="002519EF">
        <w:rPr>
          <w:rFonts w:eastAsia="Times New Roman" w:cs="Times New Roman"/>
          <w:color w:val="222222"/>
          <w:szCs w:val="24"/>
        </w:rPr>
        <w:t xml:space="preserve">Both countries have agreed to grant to each other's vessels “most favoured-nation treatment”. </w:t>
      </w:r>
    </w:p>
    <w:p w:rsidR="00056739" w:rsidRDefault="00056739">
      <w:pPr>
        <w:rPr>
          <w:rFonts w:cs="Times New Roman"/>
          <w:b/>
          <w:color w:val="1F497D" w:themeColor="text2"/>
          <w:sz w:val="28"/>
        </w:rPr>
      </w:pPr>
      <w:r>
        <w:br w:type="page"/>
      </w:r>
    </w:p>
    <w:p w:rsidR="00000000" w:rsidRDefault="007F2F9C" w:rsidP="003D5A31">
      <w:pPr>
        <w:pStyle w:val="Heading2"/>
        <w:numPr>
          <w:ilvl w:val="1"/>
          <w:numId w:val="254"/>
        </w:numPr>
      </w:pPr>
      <w:bookmarkStart w:id="729" w:name="_Toc474638919"/>
      <w:r w:rsidRPr="00323DEC">
        <w:lastRenderedPageBreak/>
        <w:t>Concluding Remarks</w:t>
      </w:r>
      <w:bookmarkEnd w:id="729"/>
    </w:p>
    <w:p w:rsidR="00291F0F" w:rsidRDefault="007F2F9C" w:rsidP="0072476E">
      <w:pPr>
        <w:spacing w:line="276" w:lineRule="auto"/>
        <w:jc w:val="both"/>
        <w:rPr>
          <w:rFonts w:cs="Times New Roman"/>
          <w:color w:val="231F20"/>
          <w:w w:val="105"/>
          <w:szCs w:val="24"/>
        </w:rPr>
      </w:pPr>
      <w:r w:rsidRPr="00A42517">
        <w:rPr>
          <w:rFonts w:cs="Times New Roman"/>
          <w:szCs w:val="24"/>
        </w:rPr>
        <w:t xml:space="preserve">The preceding analysis has appropriately highlighted the critical importance of inland water navigation system as an integral part of Bangladesh’s future development agenda. </w:t>
      </w:r>
      <w:r w:rsidR="00291F0F">
        <w:rPr>
          <w:rFonts w:cs="Times New Roman"/>
          <w:szCs w:val="24"/>
        </w:rPr>
        <w:t xml:space="preserve">The growing domestic demand for inland water </w:t>
      </w:r>
      <w:r w:rsidR="00F57172">
        <w:rPr>
          <w:rFonts w:cs="Times New Roman"/>
          <w:szCs w:val="24"/>
        </w:rPr>
        <w:t>transport</w:t>
      </w:r>
      <w:r w:rsidR="00291F0F">
        <w:rPr>
          <w:rFonts w:cs="Times New Roman"/>
          <w:szCs w:val="24"/>
        </w:rPr>
        <w:t xml:space="preserve"> services which could be further accentuated by rapid growth of container traffic and greater prospects of cross-border trade and transit clearly indicates that the development of IWT is an economically viable option.</w:t>
      </w:r>
      <w:r w:rsidR="00291F0F" w:rsidRPr="00A42517">
        <w:rPr>
          <w:rFonts w:cs="Times New Roman"/>
          <w:szCs w:val="24"/>
        </w:rPr>
        <w:t xml:space="preserve"> </w:t>
      </w:r>
      <w:r w:rsidRPr="004B0A08">
        <w:rPr>
          <w:rFonts w:cs="Times New Roman"/>
          <w:i/>
          <w:color w:val="231F20"/>
          <w:spacing w:val="2"/>
          <w:szCs w:val="24"/>
        </w:rPr>
        <w:t>IW</w:t>
      </w:r>
      <w:r w:rsidRPr="004B0A08">
        <w:rPr>
          <w:rFonts w:cs="Times New Roman"/>
          <w:i/>
          <w:color w:val="231F20"/>
          <w:spacing w:val="1"/>
          <w:szCs w:val="24"/>
        </w:rPr>
        <w:t>T</w:t>
      </w:r>
      <w:r w:rsidRPr="004B0A08">
        <w:rPr>
          <w:rFonts w:cs="Times New Roman"/>
          <w:i/>
          <w:color w:val="231F20"/>
          <w:spacing w:val="42"/>
          <w:szCs w:val="24"/>
        </w:rPr>
        <w:t xml:space="preserve"> </w:t>
      </w:r>
      <w:r w:rsidRPr="004B0A08">
        <w:rPr>
          <w:rFonts w:cs="Times New Roman"/>
          <w:i/>
          <w:color w:val="231F20"/>
          <w:szCs w:val="24"/>
        </w:rPr>
        <w:t>is</w:t>
      </w:r>
      <w:r w:rsidRPr="004B0A08">
        <w:rPr>
          <w:rFonts w:cs="Times New Roman"/>
          <w:i/>
          <w:color w:val="231F20"/>
          <w:spacing w:val="42"/>
          <w:szCs w:val="24"/>
        </w:rPr>
        <w:t xml:space="preserve"> </w:t>
      </w:r>
      <w:r w:rsidR="00291F0F" w:rsidRPr="004B0A08">
        <w:rPr>
          <w:rFonts w:cs="Times New Roman"/>
          <w:i/>
          <w:color w:val="231F20"/>
          <w:spacing w:val="42"/>
          <w:szCs w:val="24"/>
        </w:rPr>
        <w:t xml:space="preserve">also </w:t>
      </w:r>
      <w:r w:rsidRPr="004B0A08">
        <w:rPr>
          <w:rFonts w:cs="Times New Roman"/>
          <w:i/>
          <w:color w:val="231F20"/>
          <w:spacing w:val="-1"/>
          <w:szCs w:val="24"/>
        </w:rPr>
        <w:t>environmentally</w:t>
      </w:r>
      <w:r w:rsidRPr="004B0A08">
        <w:rPr>
          <w:rFonts w:cs="Times New Roman"/>
          <w:i/>
          <w:color w:val="231F20"/>
          <w:spacing w:val="43"/>
          <w:szCs w:val="24"/>
        </w:rPr>
        <w:t xml:space="preserve"> </w:t>
      </w:r>
      <w:r w:rsidRPr="004B0A08">
        <w:rPr>
          <w:rFonts w:cs="Times New Roman"/>
          <w:i/>
          <w:color w:val="231F20"/>
          <w:szCs w:val="24"/>
        </w:rPr>
        <w:t>friendly</w:t>
      </w:r>
      <w:r w:rsidRPr="004B0A08">
        <w:rPr>
          <w:rFonts w:cs="Times New Roman"/>
          <w:i/>
          <w:color w:val="231F20"/>
          <w:spacing w:val="42"/>
          <w:szCs w:val="24"/>
        </w:rPr>
        <w:t xml:space="preserve"> </w:t>
      </w:r>
      <w:r w:rsidRPr="004B0A08">
        <w:rPr>
          <w:rFonts w:cs="Times New Roman"/>
          <w:i/>
          <w:color w:val="231F20"/>
          <w:szCs w:val="24"/>
        </w:rPr>
        <w:t>and</w:t>
      </w:r>
      <w:r w:rsidRPr="004B0A08">
        <w:rPr>
          <w:rFonts w:cs="Times New Roman"/>
          <w:i/>
          <w:color w:val="231F20"/>
          <w:spacing w:val="43"/>
          <w:szCs w:val="24"/>
        </w:rPr>
        <w:t xml:space="preserve"> </w:t>
      </w:r>
      <w:r w:rsidRPr="004B0A08">
        <w:rPr>
          <w:rFonts w:cs="Times New Roman"/>
          <w:i/>
          <w:color w:val="231F20"/>
          <w:spacing w:val="-1"/>
          <w:szCs w:val="24"/>
        </w:rPr>
        <w:t>consumption</w:t>
      </w:r>
      <w:r w:rsidRPr="004B0A08">
        <w:rPr>
          <w:rFonts w:cs="Times New Roman"/>
          <w:i/>
          <w:color w:val="231F20"/>
          <w:spacing w:val="42"/>
          <w:szCs w:val="24"/>
        </w:rPr>
        <w:t xml:space="preserve"> </w:t>
      </w:r>
      <w:r w:rsidRPr="004B0A08">
        <w:rPr>
          <w:rFonts w:cs="Times New Roman"/>
          <w:i/>
          <w:color w:val="231F20"/>
          <w:szCs w:val="24"/>
        </w:rPr>
        <w:t>of</w:t>
      </w:r>
      <w:r w:rsidRPr="004B0A08">
        <w:rPr>
          <w:rFonts w:cs="Times New Roman"/>
          <w:i/>
          <w:color w:val="231F20"/>
          <w:spacing w:val="37"/>
          <w:w w:val="101"/>
          <w:szCs w:val="24"/>
        </w:rPr>
        <w:t xml:space="preserve"> fossil </w:t>
      </w:r>
      <w:r w:rsidRPr="004B0A08">
        <w:rPr>
          <w:rFonts w:cs="Times New Roman"/>
          <w:i/>
          <w:color w:val="231F20"/>
          <w:szCs w:val="24"/>
        </w:rPr>
        <w:t>fuel</w:t>
      </w:r>
      <w:r w:rsidRPr="004B0A08">
        <w:rPr>
          <w:rFonts w:cs="Times New Roman"/>
          <w:i/>
          <w:color w:val="231F20"/>
          <w:spacing w:val="11"/>
          <w:szCs w:val="24"/>
        </w:rPr>
        <w:t xml:space="preserve"> </w:t>
      </w:r>
      <w:r w:rsidRPr="004B0A08">
        <w:rPr>
          <w:rFonts w:cs="Times New Roman"/>
          <w:i/>
          <w:color w:val="231F20"/>
          <w:szCs w:val="24"/>
        </w:rPr>
        <w:t>is</w:t>
      </w:r>
      <w:r w:rsidRPr="004B0A08">
        <w:rPr>
          <w:rFonts w:cs="Times New Roman"/>
          <w:i/>
          <w:color w:val="231F20"/>
          <w:spacing w:val="11"/>
          <w:szCs w:val="24"/>
        </w:rPr>
        <w:t xml:space="preserve"> </w:t>
      </w:r>
      <w:r w:rsidRPr="004B0A08">
        <w:rPr>
          <w:rFonts w:cs="Times New Roman"/>
          <w:i/>
          <w:color w:val="231F20"/>
          <w:spacing w:val="-2"/>
          <w:szCs w:val="24"/>
        </w:rPr>
        <w:t>f</w:t>
      </w:r>
      <w:r w:rsidRPr="004B0A08">
        <w:rPr>
          <w:rFonts w:cs="Times New Roman"/>
          <w:i/>
          <w:color w:val="231F20"/>
          <w:spacing w:val="-1"/>
          <w:szCs w:val="24"/>
        </w:rPr>
        <w:t>our</w:t>
      </w:r>
      <w:r w:rsidRPr="004B0A08">
        <w:rPr>
          <w:rFonts w:cs="Times New Roman"/>
          <w:i/>
          <w:color w:val="231F20"/>
          <w:spacing w:val="11"/>
          <w:szCs w:val="24"/>
        </w:rPr>
        <w:t xml:space="preserve"> </w:t>
      </w:r>
      <w:r w:rsidRPr="004B0A08">
        <w:rPr>
          <w:rFonts w:cs="Times New Roman"/>
          <w:i/>
          <w:color w:val="231F20"/>
          <w:spacing w:val="-1"/>
          <w:szCs w:val="24"/>
        </w:rPr>
        <w:t>to</w:t>
      </w:r>
      <w:r w:rsidRPr="004B0A08">
        <w:rPr>
          <w:rFonts w:cs="Times New Roman"/>
          <w:i/>
          <w:color w:val="231F20"/>
          <w:spacing w:val="11"/>
          <w:szCs w:val="24"/>
        </w:rPr>
        <w:t xml:space="preserve"> </w:t>
      </w:r>
      <w:r w:rsidRPr="004B0A08">
        <w:rPr>
          <w:rFonts w:cs="Times New Roman"/>
          <w:i/>
          <w:color w:val="231F20"/>
          <w:spacing w:val="-1"/>
          <w:szCs w:val="24"/>
        </w:rPr>
        <w:t>eight</w:t>
      </w:r>
      <w:r w:rsidRPr="004B0A08">
        <w:rPr>
          <w:rFonts w:cs="Times New Roman"/>
          <w:i/>
          <w:color w:val="231F20"/>
          <w:spacing w:val="11"/>
          <w:szCs w:val="24"/>
        </w:rPr>
        <w:t xml:space="preserve"> </w:t>
      </w:r>
      <w:r w:rsidRPr="004B0A08">
        <w:rPr>
          <w:rFonts w:cs="Times New Roman"/>
          <w:i/>
          <w:color w:val="231F20"/>
          <w:szCs w:val="24"/>
        </w:rPr>
        <w:t>times</w:t>
      </w:r>
      <w:r w:rsidRPr="004B0A08">
        <w:rPr>
          <w:rFonts w:cs="Times New Roman"/>
          <w:i/>
          <w:color w:val="231F20"/>
          <w:spacing w:val="11"/>
          <w:szCs w:val="24"/>
        </w:rPr>
        <w:t xml:space="preserve"> </w:t>
      </w:r>
      <w:r w:rsidRPr="004B0A08">
        <w:rPr>
          <w:rFonts w:cs="Times New Roman"/>
          <w:i/>
          <w:color w:val="231F20"/>
          <w:spacing w:val="-1"/>
          <w:szCs w:val="24"/>
        </w:rPr>
        <w:t>low</w:t>
      </w:r>
      <w:r w:rsidRPr="004B0A08">
        <w:rPr>
          <w:rFonts w:cs="Times New Roman"/>
          <w:i/>
          <w:color w:val="231F20"/>
          <w:spacing w:val="-2"/>
          <w:szCs w:val="24"/>
        </w:rPr>
        <w:t>er</w:t>
      </w:r>
      <w:r w:rsidRPr="004B0A08">
        <w:rPr>
          <w:rFonts w:cs="Times New Roman"/>
          <w:i/>
          <w:color w:val="231F20"/>
          <w:spacing w:val="11"/>
          <w:szCs w:val="24"/>
        </w:rPr>
        <w:t xml:space="preserve"> </w:t>
      </w:r>
      <w:r w:rsidRPr="004B0A08">
        <w:rPr>
          <w:rFonts w:cs="Times New Roman"/>
          <w:i/>
          <w:color w:val="231F20"/>
          <w:szCs w:val="24"/>
        </w:rPr>
        <w:t>than</w:t>
      </w:r>
      <w:r w:rsidRPr="004B0A08">
        <w:rPr>
          <w:rFonts w:cs="Times New Roman"/>
          <w:i/>
          <w:color w:val="231F20"/>
          <w:spacing w:val="11"/>
          <w:szCs w:val="24"/>
        </w:rPr>
        <w:t xml:space="preserve"> </w:t>
      </w:r>
      <w:r w:rsidRPr="004B0A08">
        <w:rPr>
          <w:rFonts w:cs="Times New Roman"/>
          <w:i/>
          <w:color w:val="231F20"/>
          <w:spacing w:val="-1"/>
          <w:szCs w:val="24"/>
        </w:rPr>
        <w:t>that</w:t>
      </w:r>
      <w:r w:rsidRPr="004B0A08">
        <w:rPr>
          <w:rFonts w:cs="Times New Roman"/>
          <w:i/>
          <w:color w:val="231F20"/>
          <w:spacing w:val="11"/>
          <w:szCs w:val="24"/>
        </w:rPr>
        <w:t xml:space="preserve"> </w:t>
      </w:r>
      <w:r w:rsidRPr="004B0A08">
        <w:rPr>
          <w:rFonts w:cs="Times New Roman"/>
          <w:i/>
          <w:color w:val="231F20"/>
          <w:szCs w:val="24"/>
        </w:rPr>
        <w:t>of</w:t>
      </w:r>
      <w:r w:rsidRPr="004B0A08">
        <w:rPr>
          <w:rFonts w:cs="Times New Roman"/>
          <w:i/>
          <w:color w:val="231F20"/>
          <w:spacing w:val="11"/>
          <w:szCs w:val="24"/>
        </w:rPr>
        <w:t xml:space="preserve"> </w:t>
      </w:r>
      <w:r w:rsidRPr="004B0A08">
        <w:rPr>
          <w:rFonts w:cs="Times New Roman"/>
          <w:i/>
          <w:color w:val="231F20"/>
          <w:spacing w:val="-2"/>
          <w:szCs w:val="24"/>
        </w:rPr>
        <w:t>r</w:t>
      </w:r>
      <w:r w:rsidRPr="004B0A08">
        <w:rPr>
          <w:rFonts w:cs="Times New Roman"/>
          <w:i/>
          <w:color w:val="231F20"/>
          <w:spacing w:val="-1"/>
          <w:szCs w:val="24"/>
        </w:rPr>
        <w:t>oads</w:t>
      </w:r>
      <w:r w:rsidRPr="004B0A08">
        <w:rPr>
          <w:rFonts w:cs="Times New Roman"/>
          <w:i/>
          <w:color w:val="231F20"/>
          <w:spacing w:val="-2"/>
          <w:szCs w:val="24"/>
        </w:rPr>
        <w:t>.</w:t>
      </w:r>
      <w:r w:rsidRPr="00A42517">
        <w:rPr>
          <w:rFonts w:cs="Times New Roman"/>
          <w:color w:val="231F20"/>
          <w:spacing w:val="-6"/>
          <w:szCs w:val="24"/>
        </w:rPr>
        <w:t xml:space="preserve"> </w:t>
      </w:r>
      <w:r w:rsidRPr="00A42517">
        <w:rPr>
          <w:rFonts w:cs="Times New Roman"/>
          <w:color w:val="231F20"/>
          <w:spacing w:val="-2"/>
          <w:szCs w:val="24"/>
        </w:rPr>
        <w:t xml:space="preserve">Strategic shifts towards cost-effective IWT could be a win-win proposition for sustainable development, a commitment that Bangladesh has made to the UN SDG of 2030. </w:t>
      </w:r>
      <w:r>
        <w:rPr>
          <w:rFonts w:cs="Times New Roman"/>
          <w:color w:val="231F20"/>
          <w:spacing w:val="-2"/>
          <w:szCs w:val="24"/>
        </w:rPr>
        <w:t xml:space="preserve">Clearly, </w:t>
      </w:r>
      <w:r w:rsidRPr="00A42517">
        <w:rPr>
          <w:rFonts w:cs="Times New Roman"/>
          <w:color w:val="231F20"/>
          <w:spacing w:val="2"/>
          <w:szCs w:val="24"/>
        </w:rPr>
        <w:t>IW</w:t>
      </w:r>
      <w:r w:rsidRPr="00A42517">
        <w:rPr>
          <w:rFonts w:cs="Times New Roman"/>
          <w:color w:val="231F20"/>
          <w:spacing w:val="1"/>
          <w:szCs w:val="24"/>
        </w:rPr>
        <w:t>T</w:t>
      </w:r>
      <w:r w:rsidRPr="00A42517">
        <w:rPr>
          <w:rFonts w:cs="Times New Roman"/>
          <w:color w:val="231F20"/>
          <w:spacing w:val="10"/>
          <w:szCs w:val="24"/>
        </w:rPr>
        <w:t xml:space="preserve"> </w:t>
      </w:r>
      <w:r w:rsidRPr="00A42517">
        <w:rPr>
          <w:rFonts w:cs="Times New Roman"/>
          <w:color w:val="231F20"/>
          <w:szCs w:val="24"/>
        </w:rPr>
        <w:t>is</w:t>
      </w:r>
      <w:r w:rsidRPr="00A42517">
        <w:rPr>
          <w:rFonts w:cs="Times New Roman"/>
          <w:color w:val="231F20"/>
          <w:spacing w:val="11"/>
          <w:szCs w:val="24"/>
        </w:rPr>
        <w:t xml:space="preserve"> </w:t>
      </w:r>
      <w:r w:rsidRPr="00A42517">
        <w:rPr>
          <w:rFonts w:cs="Times New Roman"/>
          <w:color w:val="231F20"/>
          <w:szCs w:val="24"/>
        </w:rPr>
        <w:t>in</w:t>
      </w:r>
      <w:r w:rsidRPr="00A42517">
        <w:rPr>
          <w:rFonts w:cs="Times New Roman"/>
          <w:color w:val="231F20"/>
          <w:spacing w:val="10"/>
          <w:szCs w:val="24"/>
        </w:rPr>
        <w:t xml:space="preserve"> </w:t>
      </w:r>
      <w:r w:rsidRPr="00A42517">
        <w:rPr>
          <w:rFonts w:cs="Times New Roman"/>
          <w:color w:val="231F20"/>
          <w:szCs w:val="24"/>
        </w:rPr>
        <w:t>a</w:t>
      </w:r>
      <w:r w:rsidRPr="00A42517">
        <w:rPr>
          <w:rFonts w:cs="Times New Roman"/>
          <w:color w:val="231F20"/>
          <w:spacing w:val="10"/>
          <w:szCs w:val="24"/>
        </w:rPr>
        <w:t xml:space="preserve"> </w:t>
      </w:r>
      <w:r w:rsidRPr="00A42517">
        <w:rPr>
          <w:rFonts w:cs="Times New Roman"/>
          <w:color w:val="231F20"/>
          <w:szCs w:val="24"/>
        </w:rPr>
        <w:t>position</w:t>
      </w:r>
      <w:r w:rsidRPr="00A42517">
        <w:rPr>
          <w:rFonts w:cs="Times New Roman"/>
          <w:color w:val="231F20"/>
          <w:spacing w:val="11"/>
          <w:szCs w:val="24"/>
        </w:rPr>
        <w:t xml:space="preserve"> </w:t>
      </w:r>
      <w:r w:rsidRPr="00A42517">
        <w:rPr>
          <w:rFonts w:cs="Times New Roman"/>
          <w:color w:val="231F20"/>
          <w:spacing w:val="-1"/>
          <w:szCs w:val="24"/>
        </w:rPr>
        <w:t>to</w:t>
      </w:r>
      <w:r w:rsidRPr="00A42517">
        <w:rPr>
          <w:rFonts w:cs="Times New Roman"/>
          <w:color w:val="231F20"/>
          <w:spacing w:val="10"/>
          <w:szCs w:val="24"/>
        </w:rPr>
        <w:t xml:space="preserve"> </w:t>
      </w:r>
      <w:r w:rsidRPr="00A42517">
        <w:rPr>
          <w:rFonts w:cs="Times New Roman"/>
          <w:color w:val="231F20"/>
          <w:spacing w:val="-1"/>
          <w:szCs w:val="24"/>
        </w:rPr>
        <w:t>con</w:t>
      </w:r>
      <w:r w:rsidRPr="00A42517">
        <w:rPr>
          <w:rFonts w:cs="Times New Roman"/>
          <w:color w:val="231F20"/>
          <w:spacing w:val="-2"/>
          <w:szCs w:val="24"/>
        </w:rPr>
        <w:t>tr</w:t>
      </w:r>
      <w:r w:rsidRPr="00A42517">
        <w:rPr>
          <w:rFonts w:cs="Times New Roman"/>
          <w:color w:val="231F20"/>
          <w:spacing w:val="-1"/>
          <w:szCs w:val="24"/>
        </w:rPr>
        <w:t>ibute</w:t>
      </w:r>
      <w:r w:rsidRPr="00A42517">
        <w:rPr>
          <w:rFonts w:cs="Times New Roman"/>
          <w:color w:val="231F20"/>
          <w:spacing w:val="29"/>
          <w:szCs w:val="24"/>
        </w:rPr>
        <w:t xml:space="preserve"> </w:t>
      </w:r>
      <w:r w:rsidRPr="00A42517">
        <w:rPr>
          <w:rFonts w:cs="Times New Roman"/>
          <w:color w:val="231F20"/>
          <w:spacing w:val="-1"/>
          <w:szCs w:val="24"/>
        </w:rPr>
        <w:t>significantly</w:t>
      </w:r>
      <w:r w:rsidRPr="00A42517">
        <w:rPr>
          <w:rFonts w:cs="Times New Roman"/>
          <w:color w:val="231F20"/>
          <w:spacing w:val="32"/>
          <w:szCs w:val="24"/>
        </w:rPr>
        <w:t xml:space="preserve"> </w:t>
      </w:r>
      <w:r w:rsidRPr="00A42517">
        <w:rPr>
          <w:rFonts w:cs="Times New Roman"/>
          <w:color w:val="231F20"/>
          <w:spacing w:val="-1"/>
          <w:szCs w:val="24"/>
        </w:rPr>
        <w:t>to</w:t>
      </w:r>
      <w:r w:rsidRPr="00A42517">
        <w:rPr>
          <w:rFonts w:cs="Times New Roman"/>
          <w:color w:val="231F20"/>
          <w:spacing w:val="32"/>
          <w:szCs w:val="24"/>
        </w:rPr>
        <w:t xml:space="preserve"> </w:t>
      </w:r>
      <w:r w:rsidRPr="00A42517">
        <w:rPr>
          <w:rFonts w:cs="Times New Roman"/>
          <w:color w:val="231F20"/>
          <w:szCs w:val="24"/>
        </w:rPr>
        <w:t>the</w:t>
      </w:r>
      <w:r w:rsidRPr="00A42517">
        <w:rPr>
          <w:rFonts w:cs="Times New Roman"/>
          <w:color w:val="231F20"/>
          <w:spacing w:val="33"/>
          <w:szCs w:val="24"/>
        </w:rPr>
        <w:t xml:space="preserve"> </w:t>
      </w:r>
      <w:r w:rsidRPr="00A42517">
        <w:rPr>
          <w:rFonts w:cs="Times New Roman"/>
          <w:color w:val="231F20"/>
          <w:spacing w:val="-1"/>
          <w:szCs w:val="24"/>
        </w:rPr>
        <w:t>Gov</w:t>
      </w:r>
      <w:r w:rsidRPr="00A42517">
        <w:rPr>
          <w:rFonts w:cs="Times New Roman"/>
          <w:color w:val="231F20"/>
          <w:spacing w:val="-2"/>
          <w:szCs w:val="24"/>
        </w:rPr>
        <w:t>er</w:t>
      </w:r>
      <w:r w:rsidRPr="00A42517">
        <w:rPr>
          <w:rFonts w:cs="Times New Roman"/>
          <w:color w:val="231F20"/>
          <w:spacing w:val="-1"/>
          <w:szCs w:val="24"/>
        </w:rPr>
        <w:t>nment</w:t>
      </w:r>
      <w:r w:rsidRPr="00A42517">
        <w:rPr>
          <w:rFonts w:cs="Times New Roman"/>
          <w:color w:val="231F20"/>
          <w:spacing w:val="32"/>
          <w:szCs w:val="24"/>
        </w:rPr>
        <w:t xml:space="preserve"> </w:t>
      </w:r>
      <w:r w:rsidRPr="00A42517">
        <w:rPr>
          <w:rFonts w:cs="Times New Roman"/>
          <w:color w:val="231F20"/>
          <w:szCs w:val="24"/>
        </w:rPr>
        <w:t>effort</w:t>
      </w:r>
      <w:r w:rsidRPr="00A42517">
        <w:rPr>
          <w:rFonts w:cs="Times New Roman"/>
          <w:color w:val="231F20"/>
          <w:spacing w:val="32"/>
          <w:szCs w:val="24"/>
        </w:rPr>
        <w:t xml:space="preserve"> </w:t>
      </w:r>
      <w:r w:rsidRPr="00A42517">
        <w:rPr>
          <w:rFonts w:cs="Times New Roman"/>
          <w:color w:val="231F20"/>
          <w:spacing w:val="-2"/>
          <w:szCs w:val="24"/>
        </w:rPr>
        <w:t>f</w:t>
      </w:r>
      <w:r w:rsidRPr="00A42517">
        <w:rPr>
          <w:rFonts w:cs="Times New Roman"/>
          <w:color w:val="231F20"/>
          <w:spacing w:val="-1"/>
          <w:szCs w:val="24"/>
        </w:rPr>
        <w:t>or</w:t>
      </w:r>
      <w:r w:rsidRPr="00A42517">
        <w:rPr>
          <w:rFonts w:cs="Times New Roman"/>
          <w:color w:val="231F20"/>
          <w:spacing w:val="33"/>
          <w:szCs w:val="24"/>
        </w:rPr>
        <w:t xml:space="preserve"> </w:t>
      </w:r>
      <w:r w:rsidRPr="00A42517">
        <w:rPr>
          <w:rFonts w:cs="Times New Roman"/>
          <w:color w:val="231F20"/>
          <w:szCs w:val="24"/>
        </w:rPr>
        <w:t xml:space="preserve">sustainable </w:t>
      </w:r>
      <w:r w:rsidRPr="00A42517">
        <w:rPr>
          <w:rFonts w:cs="Times New Roman"/>
          <w:color w:val="231F20"/>
          <w:spacing w:val="-1"/>
          <w:szCs w:val="24"/>
        </w:rPr>
        <w:t>growth</w:t>
      </w:r>
      <w:r w:rsidRPr="00A42517">
        <w:rPr>
          <w:rFonts w:cs="Times New Roman"/>
          <w:color w:val="231F20"/>
          <w:spacing w:val="41"/>
          <w:w w:val="102"/>
          <w:szCs w:val="24"/>
        </w:rPr>
        <w:t xml:space="preserve"> </w:t>
      </w:r>
      <w:r w:rsidRPr="00A42517">
        <w:rPr>
          <w:rFonts w:cs="Times New Roman"/>
          <w:color w:val="231F20"/>
          <w:szCs w:val="24"/>
        </w:rPr>
        <w:t>and</w:t>
      </w:r>
      <w:r w:rsidRPr="00A42517">
        <w:rPr>
          <w:rFonts w:cs="Times New Roman"/>
          <w:color w:val="231F20"/>
          <w:spacing w:val="5"/>
          <w:szCs w:val="24"/>
        </w:rPr>
        <w:t xml:space="preserve"> </w:t>
      </w:r>
      <w:r w:rsidRPr="00A42517">
        <w:rPr>
          <w:rFonts w:cs="Times New Roman"/>
          <w:color w:val="231F20"/>
          <w:szCs w:val="24"/>
        </w:rPr>
        <w:t>reduction</w:t>
      </w:r>
      <w:r w:rsidRPr="00A42517">
        <w:rPr>
          <w:rFonts w:cs="Times New Roman"/>
          <w:color w:val="231F20"/>
          <w:spacing w:val="6"/>
          <w:szCs w:val="24"/>
        </w:rPr>
        <w:t xml:space="preserve"> </w:t>
      </w:r>
      <w:r w:rsidRPr="00A42517">
        <w:rPr>
          <w:rFonts w:cs="Times New Roman"/>
          <w:color w:val="231F20"/>
          <w:szCs w:val="24"/>
        </w:rPr>
        <w:t>of</w:t>
      </w:r>
      <w:r w:rsidRPr="00A42517">
        <w:rPr>
          <w:rFonts w:cs="Times New Roman"/>
          <w:color w:val="231F20"/>
          <w:spacing w:val="6"/>
          <w:szCs w:val="24"/>
        </w:rPr>
        <w:t xml:space="preserve"> </w:t>
      </w:r>
      <w:r w:rsidRPr="00A42517">
        <w:rPr>
          <w:rFonts w:cs="Times New Roman"/>
          <w:color w:val="231F20"/>
          <w:spacing w:val="-2"/>
          <w:szCs w:val="24"/>
        </w:rPr>
        <w:t>pov</w:t>
      </w:r>
      <w:r w:rsidRPr="00A42517">
        <w:rPr>
          <w:rFonts w:cs="Times New Roman"/>
          <w:color w:val="231F20"/>
          <w:spacing w:val="-3"/>
          <w:szCs w:val="24"/>
        </w:rPr>
        <w:t>ert</w:t>
      </w:r>
      <w:r w:rsidRPr="00A42517">
        <w:rPr>
          <w:rFonts w:cs="Times New Roman"/>
          <w:color w:val="231F20"/>
          <w:spacing w:val="-2"/>
          <w:szCs w:val="24"/>
        </w:rPr>
        <w:t>y</w:t>
      </w:r>
      <w:r w:rsidR="00291F0F">
        <w:rPr>
          <w:rFonts w:cs="Times New Roman"/>
          <w:color w:val="231F20"/>
          <w:spacing w:val="-2"/>
          <w:szCs w:val="24"/>
        </w:rPr>
        <w:t xml:space="preserve"> given the rural people’s heavy reliance on this mode of transport</w:t>
      </w:r>
      <w:r w:rsidRPr="00A42517">
        <w:rPr>
          <w:rFonts w:cs="Times New Roman"/>
          <w:color w:val="231F20"/>
          <w:spacing w:val="-3"/>
          <w:szCs w:val="24"/>
        </w:rPr>
        <w:t>.</w:t>
      </w:r>
      <w:r>
        <w:rPr>
          <w:rFonts w:cs="Times New Roman"/>
          <w:color w:val="231F20"/>
          <w:spacing w:val="-3"/>
          <w:szCs w:val="24"/>
        </w:rPr>
        <w:t xml:space="preserve"> </w:t>
      </w:r>
      <w:r w:rsidRPr="00A42517">
        <w:rPr>
          <w:rFonts w:cs="Times New Roman"/>
          <w:color w:val="231F20"/>
          <w:spacing w:val="-3"/>
          <w:w w:val="105"/>
          <w:szCs w:val="24"/>
        </w:rPr>
        <w:t>Ho</w:t>
      </w:r>
      <w:r w:rsidRPr="00A42517">
        <w:rPr>
          <w:rFonts w:cs="Times New Roman"/>
          <w:color w:val="231F20"/>
          <w:spacing w:val="-4"/>
          <w:w w:val="105"/>
          <w:szCs w:val="24"/>
        </w:rPr>
        <w:t>we</w:t>
      </w:r>
      <w:r w:rsidRPr="00A42517">
        <w:rPr>
          <w:rFonts w:cs="Times New Roman"/>
          <w:color w:val="231F20"/>
          <w:spacing w:val="-3"/>
          <w:w w:val="105"/>
          <w:szCs w:val="24"/>
        </w:rPr>
        <w:t>v</w:t>
      </w:r>
      <w:r w:rsidRPr="00A42517">
        <w:rPr>
          <w:rFonts w:cs="Times New Roman"/>
          <w:color w:val="231F20"/>
          <w:spacing w:val="-4"/>
          <w:w w:val="105"/>
          <w:szCs w:val="24"/>
        </w:rPr>
        <w:t>er,</w:t>
      </w:r>
      <w:r w:rsidRPr="00A42517">
        <w:rPr>
          <w:rFonts w:cs="Times New Roman"/>
          <w:color w:val="231F20"/>
          <w:spacing w:val="-20"/>
          <w:w w:val="105"/>
          <w:szCs w:val="24"/>
        </w:rPr>
        <w:t xml:space="preserve"> the analysis in the present study has </w:t>
      </w:r>
      <w:r>
        <w:rPr>
          <w:rFonts w:cs="Times New Roman"/>
          <w:color w:val="231F20"/>
          <w:spacing w:val="-20"/>
          <w:w w:val="105"/>
          <w:szCs w:val="24"/>
        </w:rPr>
        <w:t xml:space="preserve">also revealed </w:t>
      </w:r>
      <w:r w:rsidRPr="00A42517">
        <w:rPr>
          <w:rFonts w:cs="Times New Roman"/>
          <w:color w:val="231F20"/>
          <w:spacing w:val="-20"/>
          <w:w w:val="105"/>
          <w:szCs w:val="24"/>
        </w:rPr>
        <w:t xml:space="preserve">that </w:t>
      </w:r>
      <w:r w:rsidRPr="00A42517">
        <w:rPr>
          <w:rFonts w:cs="Times New Roman"/>
          <w:color w:val="231F20"/>
          <w:w w:val="105"/>
          <w:szCs w:val="24"/>
        </w:rPr>
        <w:t>inland</w:t>
      </w:r>
      <w:r w:rsidRPr="00A42517">
        <w:rPr>
          <w:rFonts w:cs="Times New Roman"/>
          <w:color w:val="231F20"/>
          <w:spacing w:val="8"/>
          <w:w w:val="105"/>
          <w:szCs w:val="24"/>
        </w:rPr>
        <w:t xml:space="preserve"> </w:t>
      </w:r>
      <w:r w:rsidRPr="00A42517">
        <w:rPr>
          <w:rFonts w:cs="Times New Roman"/>
          <w:color w:val="231F20"/>
          <w:spacing w:val="-1"/>
          <w:w w:val="105"/>
          <w:szCs w:val="24"/>
        </w:rPr>
        <w:t>navigation</w:t>
      </w:r>
      <w:r w:rsidRPr="00A42517">
        <w:rPr>
          <w:rFonts w:cs="Times New Roman"/>
          <w:color w:val="231F20"/>
          <w:spacing w:val="9"/>
          <w:w w:val="105"/>
          <w:szCs w:val="24"/>
        </w:rPr>
        <w:t xml:space="preserve"> </w:t>
      </w:r>
      <w:r w:rsidRPr="00A42517">
        <w:rPr>
          <w:rFonts w:cs="Times New Roman"/>
          <w:color w:val="231F20"/>
          <w:w w:val="105"/>
          <w:szCs w:val="24"/>
        </w:rPr>
        <w:t>is</w:t>
      </w:r>
      <w:r w:rsidRPr="00A42517">
        <w:rPr>
          <w:rFonts w:cs="Times New Roman"/>
          <w:color w:val="231F20"/>
          <w:spacing w:val="8"/>
          <w:w w:val="105"/>
          <w:szCs w:val="24"/>
        </w:rPr>
        <w:t xml:space="preserve"> </w:t>
      </w:r>
      <w:r w:rsidRPr="00A42517">
        <w:rPr>
          <w:rFonts w:cs="Times New Roman"/>
          <w:color w:val="231F20"/>
          <w:spacing w:val="-1"/>
          <w:w w:val="105"/>
          <w:szCs w:val="24"/>
        </w:rPr>
        <w:t>becoming</w:t>
      </w:r>
      <w:r w:rsidRPr="00A42517">
        <w:rPr>
          <w:rFonts w:cs="Times New Roman"/>
          <w:color w:val="231F20"/>
          <w:spacing w:val="9"/>
          <w:w w:val="105"/>
          <w:szCs w:val="24"/>
        </w:rPr>
        <w:t xml:space="preserve"> </w:t>
      </w:r>
      <w:r w:rsidRPr="00A42517">
        <w:rPr>
          <w:rFonts w:cs="Times New Roman"/>
          <w:color w:val="231F20"/>
          <w:spacing w:val="-2"/>
          <w:w w:val="105"/>
          <w:szCs w:val="24"/>
        </w:rPr>
        <w:t>hazar</w:t>
      </w:r>
      <w:r w:rsidRPr="00A42517">
        <w:rPr>
          <w:rFonts w:cs="Times New Roman"/>
          <w:color w:val="231F20"/>
          <w:spacing w:val="-1"/>
          <w:w w:val="105"/>
          <w:szCs w:val="24"/>
        </w:rPr>
        <w:t>dous</w:t>
      </w:r>
      <w:r w:rsidRPr="00A42517">
        <w:rPr>
          <w:rFonts w:cs="Times New Roman"/>
          <w:color w:val="231F20"/>
          <w:spacing w:val="8"/>
          <w:w w:val="105"/>
          <w:szCs w:val="24"/>
        </w:rPr>
        <w:t xml:space="preserve"> </w:t>
      </w:r>
      <w:r w:rsidRPr="00A42517">
        <w:rPr>
          <w:rFonts w:cs="Times New Roman"/>
          <w:color w:val="231F20"/>
          <w:w w:val="105"/>
          <w:szCs w:val="24"/>
        </w:rPr>
        <w:t>and</w:t>
      </w:r>
      <w:r w:rsidRPr="00A42517">
        <w:rPr>
          <w:rFonts w:cs="Times New Roman"/>
          <w:color w:val="231F20"/>
          <w:spacing w:val="47"/>
          <w:w w:val="104"/>
          <w:szCs w:val="24"/>
        </w:rPr>
        <w:t xml:space="preserve"> </w:t>
      </w:r>
      <w:r w:rsidRPr="00A42517">
        <w:rPr>
          <w:rFonts w:cs="Times New Roman"/>
          <w:color w:val="231F20"/>
          <w:spacing w:val="-2"/>
          <w:w w:val="105"/>
          <w:szCs w:val="24"/>
        </w:rPr>
        <w:t>waterwa</w:t>
      </w:r>
      <w:r w:rsidRPr="00A42517">
        <w:rPr>
          <w:rFonts w:cs="Times New Roman"/>
          <w:color w:val="231F20"/>
          <w:spacing w:val="-1"/>
          <w:w w:val="105"/>
          <w:szCs w:val="24"/>
        </w:rPr>
        <w:t>y</w:t>
      </w:r>
      <w:r w:rsidRPr="00A42517">
        <w:rPr>
          <w:rFonts w:cs="Times New Roman"/>
          <w:color w:val="231F20"/>
          <w:spacing w:val="-2"/>
          <w:w w:val="105"/>
          <w:szCs w:val="24"/>
        </w:rPr>
        <w:t>s</w:t>
      </w:r>
      <w:r w:rsidRPr="00A42517">
        <w:rPr>
          <w:rFonts w:cs="Times New Roman"/>
          <w:color w:val="231F20"/>
          <w:spacing w:val="-5"/>
          <w:w w:val="105"/>
          <w:szCs w:val="24"/>
        </w:rPr>
        <w:t xml:space="preserve"> are </w:t>
      </w:r>
      <w:r w:rsidRPr="00A42517">
        <w:rPr>
          <w:rFonts w:cs="Times New Roman"/>
          <w:color w:val="231F20"/>
          <w:w w:val="105"/>
          <w:szCs w:val="24"/>
        </w:rPr>
        <w:t>shrinking</w:t>
      </w:r>
      <w:r w:rsidRPr="00A42517">
        <w:rPr>
          <w:rFonts w:cs="Times New Roman"/>
          <w:color w:val="231F20"/>
          <w:spacing w:val="-5"/>
          <w:w w:val="105"/>
          <w:szCs w:val="24"/>
        </w:rPr>
        <w:t xml:space="preserve"> </w:t>
      </w:r>
      <w:r w:rsidRPr="00A42517">
        <w:rPr>
          <w:rFonts w:cs="Times New Roman"/>
          <w:color w:val="231F20"/>
          <w:spacing w:val="-3"/>
          <w:w w:val="105"/>
          <w:szCs w:val="24"/>
        </w:rPr>
        <w:t>r</w:t>
      </w:r>
      <w:r w:rsidRPr="00A42517">
        <w:rPr>
          <w:rFonts w:cs="Times New Roman"/>
          <w:color w:val="231F20"/>
          <w:spacing w:val="-2"/>
          <w:w w:val="105"/>
          <w:szCs w:val="24"/>
        </w:rPr>
        <w:t>apidly</w:t>
      </w:r>
      <w:r w:rsidRPr="00A42517">
        <w:rPr>
          <w:rFonts w:cs="Times New Roman"/>
          <w:color w:val="231F20"/>
          <w:spacing w:val="-24"/>
          <w:w w:val="105"/>
          <w:szCs w:val="24"/>
        </w:rPr>
        <w:t xml:space="preserve"> </w:t>
      </w:r>
      <w:r w:rsidRPr="00A42517">
        <w:rPr>
          <w:rFonts w:cs="Times New Roman"/>
          <w:color w:val="231F20"/>
          <w:spacing w:val="-1"/>
          <w:w w:val="105"/>
          <w:szCs w:val="24"/>
        </w:rPr>
        <w:t>as</w:t>
      </w:r>
      <w:r w:rsidRPr="00A42517">
        <w:rPr>
          <w:rFonts w:cs="Times New Roman"/>
          <w:color w:val="231F20"/>
          <w:spacing w:val="-8"/>
          <w:w w:val="105"/>
          <w:szCs w:val="24"/>
        </w:rPr>
        <w:t xml:space="preserve"> </w:t>
      </w:r>
      <w:r w:rsidRPr="00A42517">
        <w:rPr>
          <w:rFonts w:cs="Times New Roman"/>
          <w:color w:val="231F20"/>
          <w:w w:val="105"/>
          <w:szCs w:val="24"/>
        </w:rPr>
        <w:t>the</w:t>
      </w:r>
      <w:r w:rsidRPr="00A42517">
        <w:rPr>
          <w:rFonts w:cs="Times New Roman"/>
          <w:color w:val="231F20"/>
          <w:spacing w:val="-9"/>
          <w:w w:val="105"/>
          <w:szCs w:val="24"/>
        </w:rPr>
        <w:t xml:space="preserve"> </w:t>
      </w:r>
      <w:r w:rsidRPr="00A42517">
        <w:rPr>
          <w:rFonts w:cs="Times New Roman"/>
          <w:color w:val="231F20"/>
          <w:spacing w:val="-2"/>
          <w:w w:val="105"/>
          <w:szCs w:val="24"/>
        </w:rPr>
        <w:t>flow</w:t>
      </w:r>
      <w:r w:rsidRPr="00A42517">
        <w:rPr>
          <w:rFonts w:cs="Times New Roman"/>
          <w:color w:val="231F20"/>
          <w:spacing w:val="-8"/>
          <w:w w:val="105"/>
          <w:szCs w:val="24"/>
        </w:rPr>
        <w:t xml:space="preserve"> </w:t>
      </w:r>
      <w:r w:rsidRPr="00A42517">
        <w:rPr>
          <w:rFonts w:cs="Times New Roman"/>
          <w:color w:val="231F20"/>
          <w:w w:val="105"/>
          <w:szCs w:val="24"/>
        </w:rPr>
        <w:t>of</w:t>
      </w:r>
      <w:r w:rsidRPr="00A42517">
        <w:rPr>
          <w:rFonts w:cs="Times New Roman"/>
          <w:color w:val="231F20"/>
          <w:spacing w:val="-9"/>
          <w:w w:val="105"/>
          <w:szCs w:val="24"/>
        </w:rPr>
        <w:t xml:space="preserve"> </w:t>
      </w:r>
      <w:r w:rsidRPr="00A42517">
        <w:rPr>
          <w:rFonts w:cs="Times New Roman"/>
          <w:color w:val="231F20"/>
          <w:spacing w:val="-2"/>
          <w:w w:val="105"/>
          <w:szCs w:val="24"/>
        </w:rPr>
        <w:t>waterwa</w:t>
      </w:r>
      <w:r w:rsidRPr="00A42517">
        <w:rPr>
          <w:rFonts w:cs="Times New Roman"/>
          <w:color w:val="231F20"/>
          <w:spacing w:val="-1"/>
          <w:w w:val="105"/>
          <w:szCs w:val="24"/>
        </w:rPr>
        <w:t>y</w:t>
      </w:r>
      <w:r w:rsidRPr="00A42517">
        <w:rPr>
          <w:rFonts w:cs="Times New Roman"/>
          <w:color w:val="231F20"/>
          <w:spacing w:val="-2"/>
          <w:w w:val="105"/>
          <w:szCs w:val="24"/>
        </w:rPr>
        <w:t>s</w:t>
      </w:r>
      <w:r w:rsidRPr="00A42517">
        <w:rPr>
          <w:rFonts w:cs="Times New Roman"/>
          <w:color w:val="231F20"/>
          <w:spacing w:val="-9"/>
          <w:w w:val="105"/>
          <w:szCs w:val="24"/>
        </w:rPr>
        <w:t xml:space="preserve"> </w:t>
      </w:r>
      <w:r w:rsidRPr="00A42517">
        <w:rPr>
          <w:rFonts w:cs="Times New Roman"/>
          <w:color w:val="231F20"/>
          <w:w w:val="105"/>
          <w:szCs w:val="24"/>
        </w:rPr>
        <w:t>has</w:t>
      </w:r>
      <w:r w:rsidRPr="00A42517">
        <w:rPr>
          <w:rFonts w:cs="Times New Roman"/>
          <w:color w:val="231F20"/>
          <w:spacing w:val="-8"/>
          <w:w w:val="105"/>
          <w:szCs w:val="24"/>
        </w:rPr>
        <w:t xml:space="preserve"> </w:t>
      </w:r>
      <w:r w:rsidRPr="00A42517">
        <w:rPr>
          <w:rFonts w:cs="Times New Roman"/>
          <w:color w:val="231F20"/>
          <w:spacing w:val="-1"/>
          <w:w w:val="105"/>
          <w:szCs w:val="24"/>
        </w:rPr>
        <w:t>become</w:t>
      </w:r>
      <w:r w:rsidRPr="00A42517">
        <w:rPr>
          <w:rFonts w:cs="Times New Roman"/>
          <w:color w:val="231F20"/>
          <w:spacing w:val="45"/>
          <w:w w:val="103"/>
          <w:szCs w:val="24"/>
        </w:rPr>
        <w:t xml:space="preserve"> </w:t>
      </w:r>
      <w:r w:rsidRPr="00A42517">
        <w:rPr>
          <w:rFonts w:cs="Times New Roman"/>
          <w:color w:val="231F20"/>
          <w:w w:val="105"/>
          <w:szCs w:val="24"/>
        </w:rPr>
        <w:t>alarmingly</w:t>
      </w:r>
      <w:r w:rsidRPr="00A42517">
        <w:rPr>
          <w:rFonts w:cs="Times New Roman"/>
          <w:color w:val="231F20"/>
          <w:spacing w:val="-21"/>
          <w:w w:val="105"/>
          <w:szCs w:val="24"/>
        </w:rPr>
        <w:t xml:space="preserve"> </w:t>
      </w:r>
      <w:r w:rsidRPr="00A42517">
        <w:rPr>
          <w:rFonts w:cs="Times New Roman"/>
          <w:color w:val="231F20"/>
          <w:spacing w:val="-2"/>
          <w:w w:val="105"/>
          <w:szCs w:val="24"/>
        </w:rPr>
        <w:t>erratic</w:t>
      </w:r>
      <w:r w:rsidRPr="00A42517">
        <w:rPr>
          <w:rFonts w:cs="Times New Roman"/>
          <w:color w:val="231F20"/>
          <w:spacing w:val="-20"/>
          <w:w w:val="105"/>
          <w:szCs w:val="24"/>
        </w:rPr>
        <w:t xml:space="preserve"> </w:t>
      </w:r>
      <w:r w:rsidRPr="00A42517">
        <w:rPr>
          <w:rFonts w:cs="Times New Roman"/>
          <w:color w:val="231F20"/>
          <w:w w:val="105"/>
          <w:szCs w:val="24"/>
        </w:rPr>
        <w:t>causing</w:t>
      </w:r>
      <w:r w:rsidRPr="00A42517">
        <w:rPr>
          <w:rFonts w:cs="Times New Roman"/>
          <w:color w:val="231F20"/>
          <w:spacing w:val="-20"/>
          <w:w w:val="105"/>
          <w:szCs w:val="24"/>
        </w:rPr>
        <w:t xml:space="preserve"> </w:t>
      </w:r>
      <w:r w:rsidRPr="00A42517">
        <w:rPr>
          <w:rFonts w:cs="Times New Roman"/>
          <w:color w:val="231F20"/>
          <w:w w:val="105"/>
          <w:szCs w:val="24"/>
        </w:rPr>
        <w:t>huge</w:t>
      </w:r>
      <w:r w:rsidRPr="00A42517">
        <w:rPr>
          <w:rFonts w:cs="Times New Roman"/>
          <w:color w:val="231F20"/>
          <w:spacing w:val="-21"/>
          <w:w w:val="105"/>
          <w:szCs w:val="24"/>
        </w:rPr>
        <w:t xml:space="preserve"> </w:t>
      </w:r>
      <w:r w:rsidRPr="00A42517">
        <w:rPr>
          <w:rFonts w:cs="Times New Roman"/>
          <w:color w:val="231F20"/>
          <w:spacing w:val="-2"/>
          <w:w w:val="105"/>
          <w:szCs w:val="24"/>
        </w:rPr>
        <w:t>silta</w:t>
      </w:r>
      <w:r w:rsidRPr="00A42517">
        <w:rPr>
          <w:rFonts w:cs="Times New Roman"/>
          <w:color w:val="231F20"/>
          <w:spacing w:val="-1"/>
          <w:w w:val="105"/>
          <w:szCs w:val="24"/>
        </w:rPr>
        <w:t>tion</w:t>
      </w:r>
      <w:r w:rsidRPr="00A42517">
        <w:rPr>
          <w:rFonts w:cs="Times New Roman"/>
          <w:color w:val="231F20"/>
          <w:spacing w:val="-21"/>
          <w:w w:val="105"/>
          <w:szCs w:val="24"/>
        </w:rPr>
        <w:t xml:space="preserve"> </w:t>
      </w:r>
      <w:r w:rsidRPr="00A42517">
        <w:rPr>
          <w:rFonts w:cs="Times New Roman"/>
          <w:color w:val="231F20"/>
          <w:w w:val="105"/>
          <w:szCs w:val="24"/>
        </w:rPr>
        <w:t>in</w:t>
      </w:r>
      <w:r w:rsidRPr="00A42517">
        <w:rPr>
          <w:rFonts w:cs="Times New Roman"/>
          <w:color w:val="231F20"/>
          <w:spacing w:val="-20"/>
          <w:w w:val="105"/>
          <w:szCs w:val="24"/>
        </w:rPr>
        <w:t xml:space="preserve"> </w:t>
      </w:r>
      <w:r w:rsidRPr="00A42517">
        <w:rPr>
          <w:rFonts w:cs="Times New Roman"/>
          <w:color w:val="231F20"/>
          <w:w w:val="105"/>
          <w:szCs w:val="24"/>
        </w:rPr>
        <w:t>the</w:t>
      </w:r>
      <w:r w:rsidRPr="00A42517">
        <w:rPr>
          <w:rFonts w:cs="Times New Roman"/>
          <w:color w:val="231F20"/>
          <w:spacing w:val="-20"/>
          <w:w w:val="105"/>
          <w:szCs w:val="24"/>
        </w:rPr>
        <w:t xml:space="preserve"> </w:t>
      </w:r>
      <w:r w:rsidRPr="00A42517">
        <w:rPr>
          <w:rFonts w:cs="Times New Roman"/>
          <w:color w:val="231F20"/>
          <w:spacing w:val="-2"/>
          <w:w w:val="105"/>
          <w:szCs w:val="24"/>
        </w:rPr>
        <w:t>r</w:t>
      </w:r>
      <w:r w:rsidRPr="00A42517">
        <w:rPr>
          <w:rFonts w:cs="Times New Roman"/>
          <w:color w:val="231F20"/>
          <w:spacing w:val="-1"/>
          <w:w w:val="105"/>
          <w:szCs w:val="24"/>
        </w:rPr>
        <w:t>iv</w:t>
      </w:r>
      <w:r w:rsidRPr="00A42517">
        <w:rPr>
          <w:rFonts w:cs="Times New Roman"/>
          <w:color w:val="231F20"/>
          <w:spacing w:val="-2"/>
          <w:w w:val="105"/>
          <w:szCs w:val="24"/>
        </w:rPr>
        <w:t>ers.</w:t>
      </w:r>
      <w:r w:rsidRPr="00A42517">
        <w:rPr>
          <w:rFonts w:cs="Times New Roman"/>
          <w:color w:val="231F20"/>
          <w:spacing w:val="-31"/>
          <w:w w:val="105"/>
          <w:szCs w:val="24"/>
        </w:rPr>
        <w:t xml:space="preserve">  </w:t>
      </w:r>
      <w:r w:rsidR="00291F0F">
        <w:rPr>
          <w:rFonts w:cs="Times New Roman"/>
          <w:color w:val="231F20"/>
          <w:spacing w:val="-31"/>
          <w:w w:val="105"/>
          <w:szCs w:val="24"/>
        </w:rPr>
        <w:t xml:space="preserve">This calls for </w:t>
      </w:r>
      <w:r w:rsidR="00291F0F">
        <w:rPr>
          <w:rFonts w:cs="Times New Roman"/>
          <w:color w:val="231F20"/>
          <w:w w:val="105"/>
          <w:szCs w:val="24"/>
        </w:rPr>
        <w:t xml:space="preserve">addressing a host of issues discussed in this study at length, in particular navigational challenges including climate induced vulnerability and unpredictability in cross-boundary water flow. Other supply side challenges namely inadequate investment, lack of multimodal transport system with modern logistics facilities, skill shortage and regulatory and </w:t>
      </w:r>
      <w:r w:rsidR="00291F0F" w:rsidRPr="00D06CA0">
        <w:rPr>
          <w:rFonts w:cs="Times New Roman"/>
          <w:color w:val="231F20"/>
          <w:w w:val="105"/>
          <w:szCs w:val="24"/>
        </w:rPr>
        <w:t xml:space="preserve">governance dearth, </w:t>
      </w:r>
      <w:r w:rsidR="00291F0F" w:rsidRPr="00ED241E">
        <w:rPr>
          <w:rFonts w:cs="Times New Roman"/>
          <w:color w:val="231F20"/>
          <w:w w:val="105"/>
          <w:szCs w:val="24"/>
        </w:rPr>
        <w:t>among others</w:t>
      </w:r>
      <w:r w:rsidR="00291F0F" w:rsidRPr="00D06CA0">
        <w:rPr>
          <w:rFonts w:cs="Times New Roman"/>
          <w:color w:val="231F20"/>
          <w:w w:val="105"/>
          <w:szCs w:val="24"/>
        </w:rPr>
        <w:t>,</w:t>
      </w:r>
      <w:r w:rsidR="00291F0F">
        <w:rPr>
          <w:rFonts w:cs="Times New Roman"/>
          <w:color w:val="231F20"/>
          <w:w w:val="105"/>
          <w:szCs w:val="24"/>
        </w:rPr>
        <w:t xml:space="preserve"> are also need to be addressed to modernise the country’s IWT system.</w:t>
      </w:r>
    </w:p>
    <w:p w:rsidR="00291F0F" w:rsidRDefault="00291F0F" w:rsidP="0072476E">
      <w:pPr>
        <w:spacing w:line="276" w:lineRule="auto"/>
        <w:jc w:val="both"/>
        <w:rPr>
          <w:rFonts w:cs="Times New Roman"/>
          <w:color w:val="231F20"/>
          <w:w w:val="105"/>
          <w:szCs w:val="24"/>
        </w:rPr>
      </w:pPr>
      <w:r>
        <w:rPr>
          <w:rFonts w:cs="Times New Roman"/>
          <w:color w:val="231F20"/>
          <w:w w:val="105"/>
          <w:szCs w:val="24"/>
        </w:rPr>
        <w:t xml:space="preserve">Budgetary resources allocated to IWT have hitherto fallen short relative to the importance of this sector in the nation’s economic activities. The current road-biased transport development strategy which is reflected in the </w:t>
      </w:r>
      <w:r w:rsidR="00F57172">
        <w:rPr>
          <w:rFonts w:cs="Times New Roman"/>
          <w:color w:val="231F20"/>
          <w:w w:val="105"/>
          <w:szCs w:val="24"/>
        </w:rPr>
        <w:t>government’s</w:t>
      </w:r>
      <w:r>
        <w:rPr>
          <w:rFonts w:cs="Times New Roman"/>
          <w:color w:val="231F20"/>
          <w:w w:val="105"/>
          <w:szCs w:val="24"/>
        </w:rPr>
        <w:t xml:space="preserve"> </w:t>
      </w:r>
      <w:r w:rsidR="00F57172">
        <w:rPr>
          <w:rFonts w:cs="Times New Roman"/>
          <w:color w:val="231F20"/>
          <w:w w:val="105"/>
          <w:szCs w:val="24"/>
        </w:rPr>
        <w:t>budgetary</w:t>
      </w:r>
      <w:r>
        <w:rPr>
          <w:rFonts w:cs="Times New Roman"/>
          <w:color w:val="231F20"/>
          <w:w w:val="105"/>
          <w:szCs w:val="24"/>
        </w:rPr>
        <w:t xml:space="preserve"> allocation needs to be rebalanced making the country’s transport sector </w:t>
      </w:r>
      <w:r w:rsidRPr="00ED241E">
        <w:rPr>
          <w:rFonts w:cs="Times New Roman"/>
          <w:i/>
          <w:iCs/>
          <w:color w:val="231F20"/>
          <w:w w:val="105"/>
          <w:szCs w:val="24"/>
        </w:rPr>
        <w:t>de facto</w:t>
      </w:r>
      <w:r>
        <w:rPr>
          <w:rFonts w:cs="Times New Roman"/>
          <w:color w:val="231F20"/>
          <w:w w:val="105"/>
          <w:szCs w:val="24"/>
        </w:rPr>
        <w:t xml:space="preserve"> multi-modal. Investment in dredging and other critical infrastructure requires sound strategies based on economic merits. The transport development strategy should take into account the rise of capacity and number of sea ports in the country which should be linked with rail and road infrastructure.  </w:t>
      </w:r>
    </w:p>
    <w:p w:rsidR="007F2F9C" w:rsidRPr="003F1C0F" w:rsidRDefault="007F2F9C" w:rsidP="0072476E">
      <w:pPr>
        <w:spacing w:line="276" w:lineRule="auto"/>
        <w:jc w:val="both"/>
        <w:rPr>
          <w:rFonts w:cs="Times New Roman"/>
          <w:bCs/>
          <w:iCs/>
          <w:szCs w:val="24"/>
        </w:rPr>
      </w:pPr>
      <w:r w:rsidRPr="003F1C0F">
        <w:rPr>
          <w:rFonts w:cs="Times New Roman"/>
          <w:color w:val="231F20"/>
          <w:spacing w:val="-2"/>
          <w:szCs w:val="24"/>
        </w:rPr>
        <w:t xml:space="preserve">Managing cross-boundary river systems for transport and trade adds complexity to the issue of riverine transport but also opens enormous opportunities through the development of cross-boundary institutions and regulatory framework. </w:t>
      </w:r>
      <w:r w:rsidRPr="004B0A08">
        <w:rPr>
          <w:rFonts w:cs="Times New Roman"/>
          <w:i/>
          <w:color w:val="231F20"/>
          <w:spacing w:val="-2"/>
          <w:szCs w:val="24"/>
        </w:rPr>
        <w:t xml:space="preserve">This </w:t>
      </w:r>
      <w:r w:rsidR="005615CE" w:rsidRPr="004B0A08">
        <w:rPr>
          <w:rFonts w:cs="Times New Roman"/>
          <w:i/>
          <w:color w:val="231F20"/>
          <w:spacing w:val="-2"/>
          <w:szCs w:val="24"/>
        </w:rPr>
        <w:t>P</w:t>
      </w:r>
      <w:r w:rsidR="00B65720" w:rsidRPr="004B0A08">
        <w:rPr>
          <w:rFonts w:cs="Times New Roman"/>
          <w:i/>
          <w:color w:val="231F20"/>
          <w:spacing w:val="-2"/>
          <w:szCs w:val="24"/>
        </w:rPr>
        <w:t xml:space="preserve">lan </w:t>
      </w:r>
      <w:r w:rsidRPr="004B0A08">
        <w:rPr>
          <w:rFonts w:cs="Times New Roman"/>
          <w:i/>
          <w:color w:val="231F20"/>
          <w:spacing w:val="-2"/>
          <w:szCs w:val="24"/>
        </w:rPr>
        <w:t xml:space="preserve">has therefore highlighted the lessons to be drawn from two promising institutional frameworks, namely, Europe’s </w:t>
      </w:r>
      <w:r w:rsidRPr="00DC5386">
        <w:rPr>
          <w:rFonts w:cs="Times New Roman"/>
          <w:i/>
          <w:iCs/>
          <w:szCs w:val="24"/>
        </w:rPr>
        <w:t xml:space="preserve">Central Commission for Navigation of the Rhine, </w:t>
      </w:r>
      <w:r w:rsidRPr="004B0A08">
        <w:rPr>
          <w:rFonts w:cs="Times New Roman"/>
          <w:i/>
          <w:iCs/>
          <w:szCs w:val="24"/>
        </w:rPr>
        <w:t xml:space="preserve">and </w:t>
      </w:r>
      <w:r w:rsidRPr="00DC5386">
        <w:rPr>
          <w:rFonts w:cs="Times New Roman"/>
          <w:i/>
          <w:iCs/>
          <w:szCs w:val="24"/>
        </w:rPr>
        <w:t xml:space="preserve">The Mekong River Commission </w:t>
      </w:r>
      <w:r w:rsidRPr="004B0A08">
        <w:rPr>
          <w:rFonts w:cs="Times New Roman"/>
          <w:i/>
          <w:iCs/>
          <w:szCs w:val="24"/>
        </w:rPr>
        <w:t>in South East Asia.</w:t>
      </w:r>
      <w:r w:rsidRPr="003F1C0F">
        <w:rPr>
          <w:rFonts w:cs="Times New Roman"/>
          <w:iCs/>
          <w:szCs w:val="24"/>
        </w:rPr>
        <w:t xml:space="preserve"> In light of the rapidly growing Bangladesh- India </w:t>
      </w:r>
      <w:r w:rsidR="005615CE">
        <w:rPr>
          <w:rFonts w:cs="Times New Roman"/>
          <w:iCs/>
          <w:szCs w:val="24"/>
        </w:rPr>
        <w:t>(</w:t>
      </w:r>
      <w:r>
        <w:rPr>
          <w:rFonts w:cs="Times New Roman"/>
          <w:iCs/>
          <w:szCs w:val="24"/>
        </w:rPr>
        <w:t>and Bangladesh-Myanmar</w:t>
      </w:r>
      <w:r w:rsidR="005615CE">
        <w:rPr>
          <w:rFonts w:cs="Times New Roman"/>
          <w:iCs/>
          <w:szCs w:val="24"/>
        </w:rPr>
        <w:t>)</w:t>
      </w:r>
      <w:r>
        <w:rPr>
          <w:rFonts w:cs="Times New Roman"/>
          <w:iCs/>
          <w:szCs w:val="24"/>
        </w:rPr>
        <w:t xml:space="preserve"> </w:t>
      </w:r>
      <w:r w:rsidRPr="003F1C0F">
        <w:rPr>
          <w:rFonts w:cs="Times New Roman"/>
          <w:iCs/>
          <w:szCs w:val="24"/>
        </w:rPr>
        <w:t xml:space="preserve">trade and the concomitant issue of river transit facilities, the development of cross-boundary inland waterways along with </w:t>
      </w:r>
      <w:r>
        <w:rPr>
          <w:rFonts w:cs="Times New Roman"/>
          <w:iCs/>
          <w:szCs w:val="24"/>
        </w:rPr>
        <w:t xml:space="preserve">effective </w:t>
      </w:r>
      <w:r w:rsidRPr="003F1C0F">
        <w:rPr>
          <w:rFonts w:cs="Times New Roman"/>
          <w:iCs/>
          <w:szCs w:val="24"/>
        </w:rPr>
        <w:t xml:space="preserve">managing institutions and proper legal framework has gained significant importance going forward. In this respect, </w:t>
      </w:r>
      <w:r w:rsidRPr="003F1C0F">
        <w:rPr>
          <w:rFonts w:cs="Times New Roman"/>
          <w:bCs/>
          <w:iCs/>
          <w:szCs w:val="24"/>
        </w:rPr>
        <w:t>the recently concluded legal framework for cross-border navigation between Viet Nam and Cambodia</w:t>
      </w:r>
      <w:r>
        <w:rPr>
          <w:rFonts w:cs="Times New Roman"/>
          <w:bCs/>
          <w:iCs/>
          <w:szCs w:val="24"/>
        </w:rPr>
        <w:t>, within the ambit of MRC,</w:t>
      </w:r>
      <w:r w:rsidRPr="003F1C0F">
        <w:rPr>
          <w:rFonts w:cs="Times New Roman"/>
          <w:bCs/>
          <w:iCs/>
          <w:szCs w:val="24"/>
        </w:rPr>
        <w:t xml:space="preserve"> is an agreement to draw from</w:t>
      </w:r>
      <w:r>
        <w:rPr>
          <w:rFonts w:cs="Times New Roman"/>
          <w:bCs/>
          <w:iCs/>
          <w:szCs w:val="24"/>
        </w:rPr>
        <w:t xml:space="preserve"> given the objective of facilitating</w:t>
      </w:r>
      <w:r w:rsidRPr="003F1C0F">
        <w:rPr>
          <w:rFonts w:cs="Times New Roman"/>
          <w:bCs/>
          <w:iCs/>
          <w:szCs w:val="24"/>
        </w:rPr>
        <w:t xml:space="preserve"> unhindered cross-border navigation for movement of goods and people. </w:t>
      </w:r>
    </w:p>
    <w:p w:rsidR="005615CE" w:rsidRPr="004B0A08" w:rsidRDefault="007F2F9C" w:rsidP="005615CE">
      <w:pPr>
        <w:pStyle w:val="BodyText"/>
        <w:spacing w:after="240" w:line="276" w:lineRule="auto"/>
        <w:ind w:right="25"/>
        <w:jc w:val="both"/>
        <w:rPr>
          <w:rFonts w:cs="Calibri"/>
          <w:i/>
        </w:rPr>
      </w:pPr>
      <w:r w:rsidRPr="004B0A08">
        <w:rPr>
          <w:rFonts w:cs="Calibri"/>
          <w:i/>
        </w:rPr>
        <w:lastRenderedPageBreak/>
        <w:t>To conclude, dynamizing Bangladesh’s river transport system for the 21</w:t>
      </w:r>
      <w:r w:rsidRPr="004B0A08">
        <w:rPr>
          <w:rFonts w:cs="Calibri"/>
          <w:i/>
          <w:vertAlign w:val="superscript"/>
        </w:rPr>
        <w:t>st</w:t>
      </w:r>
      <w:r w:rsidRPr="004B0A08">
        <w:rPr>
          <w:rFonts w:cs="Calibri"/>
          <w:i/>
        </w:rPr>
        <w:t xml:space="preserve"> century will</w:t>
      </w:r>
      <w:r w:rsidR="005615CE" w:rsidRPr="004B0A08">
        <w:rPr>
          <w:rFonts w:cs="Calibri"/>
          <w:i/>
        </w:rPr>
        <w:t xml:space="preserve"> require the confluence of four</w:t>
      </w:r>
      <w:r w:rsidRPr="004B0A08">
        <w:rPr>
          <w:rFonts w:cs="Calibri"/>
          <w:i/>
        </w:rPr>
        <w:t xml:space="preserve"> critical strategies: (a) managing the nation’s hydrological resources and the river system, (b) adapting to climate change impacts on river morphology </w:t>
      </w:r>
      <w:r w:rsidR="005615CE" w:rsidRPr="004B0A08">
        <w:rPr>
          <w:rFonts w:cs="Calibri"/>
          <w:i/>
        </w:rPr>
        <w:t xml:space="preserve">and channel configurations, </w:t>
      </w:r>
      <w:r w:rsidRPr="004B0A08">
        <w:rPr>
          <w:rFonts w:cs="Calibri"/>
          <w:i/>
        </w:rPr>
        <w:t>(c) developing institutions and establishing legal framework for cross-boundary navigation for seamle</w:t>
      </w:r>
      <w:r w:rsidR="005615CE" w:rsidRPr="004B0A08">
        <w:rPr>
          <w:rFonts w:cs="Calibri"/>
          <w:i/>
        </w:rPr>
        <w:t>ss movement of goods and people,</w:t>
      </w:r>
      <w:r w:rsidRPr="004B0A08">
        <w:rPr>
          <w:rFonts w:cs="Calibri"/>
          <w:i/>
        </w:rPr>
        <w:t xml:space="preserve"> </w:t>
      </w:r>
      <w:r w:rsidR="005615CE" w:rsidRPr="004B0A08">
        <w:rPr>
          <w:rFonts w:cs="Calibri"/>
          <w:i/>
        </w:rPr>
        <w:t xml:space="preserve">and d) adopting sound investment and financial management policies. </w:t>
      </w:r>
    </w:p>
    <w:p w:rsidR="007F2F9C" w:rsidRDefault="007F2F9C" w:rsidP="0072476E">
      <w:pPr>
        <w:pStyle w:val="BodyText"/>
        <w:spacing w:after="240" w:line="276" w:lineRule="auto"/>
        <w:ind w:right="25"/>
        <w:jc w:val="both"/>
        <w:rPr>
          <w:rFonts w:cs="Calibri"/>
        </w:rPr>
      </w:pPr>
    </w:p>
    <w:p w:rsidR="007F2F9C" w:rsidRPr="00A32E77" w:rsidRDefault="007F2F9C" w:rsidP="00005EAC">
      <w:pPr>
        <w:rPr>
          <w:rFonts w:eastAsia="Times New Roman" w:cs="Calibri"/>
          <w:bCs/>
          <w:szCs w:val="24"/>
        </w:rPr>
      </w:pPr>
      <w:r>
        <w:rPr>
          <w:rFonts w:cs="Times New Roman"/>
          <w:b/>
          <w:bCs/>
          <w:szCs w:val="24"/>
        </w:rPr>
        <w:br w:type="page"/>
      </w:r>
    </w:p>
    <w:p w:rsidR="007F2F9C" w:rsidRDefault="007F2F9C" w:rsidP="00A356FA">
      <w:pPr>
        <w:jc w:val="both"/>
        <w:rPr>
          <w:szCs w:val="24"/>
        </w:rPr>
        <w:sectPr w:rsidR="007F2F9C" w:rsidSect="00144771">
          <w:headerReference w:type="even" r:id="rId162"/>
          <w:headerReference w:type="default" r:id="rId163"/>
          <w:footerReference w:type="default" r:id="rId164"/>
          <w:headerReference w:type="first" r:id="rId165"/>
          <w:pgSz w:w="12240" w:h="15840"/>
          <w:pgMar w:top="1440" w:right="1440" w:bottom="1440" w:left="1440" w:header="720" w:footer="720" w:gutter="0"/>
          <w:cols w:space="720"/>
          <w:docGrid w:linePitch="360"/>
        </w:sectPr>
      </w:pPr>
    </w:p>
    <w:p w:rsidR="004001F5" w:rsidRPr="00715553" w:rsidRDefault="004001F5" w:rsidP="0048464B">
      <w:pPr>
        <w:spacing w:line="276" w:lineRule="auto"/>
        <w:jc w:val="both"/>
        <w:rPr>
          <w:rFonts w:cs="Times New Roman"/>
        </w:rPr>
      </w:pPr>
    </w:p>
    <w:p w:rsidR="00D47F7F" w:rsidRDefault="00D47F7F">
      <w:pPr>
        <w:rPr>
          <w:rFonts w:cs="Times New Roman"/>
          <w:b/>
        </w:rPr>
      </w:pPr>
      <w:r>
        <w:rPr>
          <w:rFonts w:cs="Times New Roman"/>
          <w:b/>
        </w:rPr>
        <w:br w:type="page"/>
      </w:r>
    </w:p>
    <w:p w:rsidR="007F2F9C" w:rsidRDefault="007F2F9C" w:rsidP="00A356FA">
      <w:pPr>
        <w:jc w:val="both"/>
        <w:rPr>
          <w:szCs w:val="24"/>
        </w:rPr>
        <w:sectPr w:rsidR="007F2F9C" w:rsidSect="00144771">
          <w:headerReference w:type="even" r:id="rId166"/>
          <w:headerReference w:type="default" r:id="rId167"/>
          <w:footerReference w:type="default" r:id="rId168"/>
          <w:headerReference w:type="first" r:id="rId169"/>
          <w:pgSz w:w="12240" w:h="15840"/>
          <w:pgMar w:top="1440" w:right="1440" w:bottom="1440" w:left="1440" w:header="720" w:footer="720" w:gutter="0"/>
          <w:cols w:space="720"/>
          <w:docGrid w:linePitch="360"/>
        </w:sectPr>
      </w:pPr>
    </w:p>
    <w:p w:rsidR="0048464B" w:rsidRPr="00620A81" w:rsidRDefault="0048464B" w:rsidP="0048464B">
      <w:pPr>
        <w:pStyle w:val="Title"/>
        <w:pBdr>
          <w:bottom w:val="single" w:sz="8" w:space="7" w:color="4F81BD"/>
        </w:pBdr>
        <w:spacing w:after="360"/>
        <w:jc w:val="center"/>
        <w:rPr>
          <w:b/>
          <w:color w:val="1F497D"/>
          <w:szCs w:val="36"/>
        </w:rPr>
      </w:pPr>
      <w:bookmarkStart w:id="730" w:name="_Toc474638928"/>
      <w:r>
        <w:rPr>
          <w:b/>
          <w:color w:val="1F497D"/>
          <w:szCs w:val="36"/>
        </w:rPr>
        <w:lastRenderedPageBreak/>
        <w:t>CHAPTER 10</w:t>
      </w:r>
    </w:p>
    <w:p w:rsidR="0048464B" w:rsidRDefault="0048464B" w:rsidP="0048464B">
      <w:pPr>
        <w:pStyle w:val="Heading1"/>
      </w:pPr>
      <w:bookmarkStart w:id="731" w:name="_Toc464328802"/>
      <w:r>
        <w:t>Urban Water</w:t>
      </w:r>
      <w:r w:rsidRPr="003412BC">
        <w:t xml:space="preserve"> Management</w:t>
      </w:r>
      <w:bookmarkEnd w:id="731"/>
    </w:p>
    <w:p w:rsidR="0048464B" w:rsidRPr="004B023B" w:rsidRDefault="0048464B" w:rsidP="0048464B">
      <w:pPr>
        <w:rPr>
          <w:sz w:val="2"/>
        </w:rPr>
      </w:pPr>
    </w:p>
    <w:p w:rsidR="0048464B" w:rsidRPr="00CC28A2" w:rsidRDefault="0048464B" w:rsidP="003D5A31">
      <w:pPr>
        <w:pStyle w:val="Heading2"/>
        <w:numPr>
          <w:ilvl w:val="1"/>
          <w:numId w:val="262"/>
        </w:numPr>
      </w:pPr>
      <w:bookmarkStart w:id="732" w:name="_Toc464328803"/>
      <w:r>
        <w:t xml:space="preserve">Urban Water </w:t>
      </w:r>
      <w:r w:rsidRPr="00CC28A2">
        <w:t>Management</w:t>
      </w:r>
      <w:r>
        <w:t xml:space="preserve"> Challenge</w:t>
      </w:r>
      <w:bookmarkEnd w:id="732"/>
    </w:p>
    <w:p w:rsidR="0048464B" w:rsidRDefault="0048464B" w:rsidP="0048464B">
      <w:pPr>
        <w:spacing w:line="276" w:lineRule="auto"/>
        <w:jc w:val="both"/>
        <w:rPr>
          <w:rFonts w:cs="Times New Roman"/>
          <w:szCs w:val="24"/>
        </w:rPr>
      </w:pPr>
      <w:r w:rsidRPr="003664FB">
        <w:rPr>
          <w:rFonts w:cs="Times New Roman"/>
          <w:szCs w:val="24"/>
        </w:rPr>
        <w:t>Bangladesh has been experiencing rapid urbanization during the last few decades. This has been accompanied by continuous increase in demand for water in cities and towns of the country.</w:t>
      </w:r>
      <w:r>
        <w:rPr>
          <w:rFonts w:cs="Times New Roman"/>
          <w:szCs w:val="24"/>
        </w:rPr>
        <w:t xml:space="preserve"> As further economic transformation happens along the lines of the growth scenarios of Chapter 5 and Bangladesh becomes more industrialized and urbanized, the demand for fresh water will grow.  Bangladesh has also been quite successful in meeting this demand to a large extent by the concerted efforts of the government, non-governmental organizations, development partners and the general public (consumers). There are, however, a number of major challenges that must be addressed if the urban water supply systems are to be sustainable. </w:t>
      </w:r>
    </w:p>
    <w:p w:rsidR="0048464B" w:rsidRDefault="0048464B" w:rsidP="0048464B">
      <w:pPr>
        <w:spacing w:line="276" w:lineRule="auto"/>
        <w:jc w:val="both"/>
        <w:rPr>
          <w:rFonts w:cs="Times New Roman"/>
          <w:szCs w:val="24"/>
        </w:rPr>
      </w:pPr>
      <w:r w:rsidRPr="0050663D">
        <w:rPr>
          <w:rFonts w:cs="Times New Roman"/>
          <w:bCs/>
          <w:i/>
          <w:szCs w:val="24"/>
        </w:rPr>
        <w:t>Around 30% of the urban population get piped water supply while the rest have to depend on household-managed hand pumped tube-wells. The source of piped water is also ground water that is extracted using deep tube-wells.</w:t>
      </w:r>
      <w:r w:rsidRPr="00316626">
        <w:rPr>
          <w:rFonts w:cs="Times New Roman"/>
          <w:b/>
          <w:bCs/>
          <w:color w:val="006600"/>
          <w:szCs w:val="24"/>
        </w:rPr>
        <w:t xml:space="preserve"> </w:t>
      </w:r>
      <w:r>
        <w:rPr>
          <w:rFonts w:cs="Times New Roman"/>
          <w:szCs w:val="24"/>
        </w:rPr>
        <w:t>This over-dependence on ground water is making tube-wells vulnerable to falling water tables. Treatment of surface water has also become difficult due to industrial and other pollution. Financial viability of existing water supply systems is also threatened by low tariff rates and huge losses of water due to leakage illegal connections etc. As noted in chapter 3</w:t>
      </w:r>
      <w:r w:rsidRPr="0050663D">
        <w:rPr>
          <w:rFonts w:cs="Times New Roman"/>
          <w:bCs/>
          <w:i/>
          <w:szCs w:val="24"/>
        </w:rPr>
        <w:t xml:space="preserve">, the issue of water quality is challenging for both urban and rural water supply. </w:t>
      </w:r>
      <w:r w:rsidRPr="0050663D">
        <w:rPr>
          <w:rFonts w:cs="Times New Roman"/>
          <w:i/>
          <w:szCs w:val="24"/>
        </w:rPr>
        <w:t xml:space="preserve"> </w:t>
      </w:r>
      <w:r>
        <w:rPr>
          <w:rFonts w:cs="Times New Roman"/>
          <w:szCs w:val="24"/>
        </w:rPr>
        <w:t>Along with water supply, the issues of urban waste management, sanitation and drainage will increasingly become chronic.  Progress in these areas has been more limited. Financial and institutional arrangements for handling these challenges are weak.  Growing urbanization pressure will further stress these institutions.</w:t>
      </w:r>
    </w:p>
    <w:p w:rsidR="0048464B" w:rsidRDefault="0048464B" w:rsidP="0048464B">
      <w:pPr>
        <w:spacing w:line="276" w:lineRule="auto"/>
        <w:jc w:val="both"/>
        <w:rPr>
          <w:rFonts w:cs="Times New Roman"/>
          <w:szCs w:val="24"/>
        </w:rPr>
      </w:pPr>
      <w:r>
        <w:rPr>
          <w:rFonts w:cs="Times New Roman"/>
          <w:szCs w:val="24"/>
        </w:rPr>
        <w:t xml:space="preserve">Overcoming these challenges would require integrated water management strategies. It will require strong resource mobilization effort along and appropriate institutional arrangements to tackle the expanding demand for basic urban services in a rapidly changing urban environment of the Bangladesh Delta. This Chapter focuses on issues of water supply, sanitation, waste management and drainage issues of the urban hotspots of the Bangladesh Delta. </w:t>
      </w:r>
    </w:p>
    <w:p w:rsidR="0048464B" w:rsidRPr="002C2396" w:rsidRDefault="0048464B" w:rsidP="003D5A31">
      <w:pPr>
        <w:pStyle w:val="Heading2"/>
        <w:numPr>
          <w:ilvl w:val="1"/>
          <w:numId w:val="262"/>
        </w:numPr>
      </w:pPr>
      <w:r w:rsidRPr="002C2396">
        <w:t xml:space="preserve">Urban </w:t>
      </w:r>
      <w:r w:rsidRPr="00A85D0C">
        <w:t>Water</w:t>
      </w:r>
      <w:r w:rsidRPr="002C2396">
        <w:t xml:space="preserve"> Management and Sustainable Development Goal</w:t>
      </w:r>
      <w:r>
        <w:t>s (SDGs)</w:t>
      </w:r>
    </w:p>
    <w:p w:rsidR="0048464B" w:rsidRPr="00271B09" w:rsidRDefault="0048464B" w:rsidP="0048464B">
      <w:pPr>
        <w:autoSpaceDE w:val="0"/>
        <w:autoSpaceDN w:val="0"/>
        <w:adjustRightInd w:val="0"/>
        <w:spacing w:after="0" w:line="276" w:lineRule="auto"/>
        <w:jc w:val="both"/>
        <w:rPr>
          <w:rFonts w:cs="Times New Roman"/>
          <w:szCs w:val="24"/>
        </w:rPr>
      </w:pPr>
      <w:r w:rsidRPr="00271B09">
        <w:rPr>
          <w:rFonts w:cs="Times New Roman"/>
          <w:color w:val="000000"/>
          <w:szCs w:val="24"/>
        </w:rPr>
        <w:t xml:space="preserve">The </w:t>
      </w:r>
      <w:r>
        <w:rPr>
          <w:rFonts w:cs="Times New Roman"/>
          <w:color w:val="000000"/>
          <w:szCs w:val="24"/>
        </w:rPr>
        <w:t xml:space="preserve">SDG 6 </w:t>
      </w:r>
      <w:r w:rsidRPr="00271B09">
        <w:rPr>
          <w:rFonts w:cs="Times New Roman"/>
          <w:color w:val="000000"/>
          <w:szCs w:val="24"/>
        </w:rPr>
        <w:t>calls</w:t>
      </w:r>
      <w:r>
        <w:rPr>
          <w:rFonts w:cs="Times New Roman"/>
          <w:color w:val="000000"/>
          <w:szCs w:val="24"/>
        </w:rPr>
        <w:t xml:space="preserve"> for ensuring the availability </w:t>
      </w:r>
      <w:r w:rsidRPr="00271B09">
        <w:rPr>
          <w:rFonts w:cs="Times New Roman"/>
          <w:szCs w:val="24"/>
        </w:rPr>
        <w:t xml:space="preserve">and sustainable management of water and sanitation for all. The targets for achieving this goal include the following: </w:t>
      </w:r>
    </w:p>
    <w:p w:rsidR="0048464B" w:rsidRPr="00271B09" w:rsidRDefault="0048464B" w:rsidP="0048464B">
      <w:pPr>
        <w:autoSpaceDE w:val="0"/>
        <w:autoSpaceDN w:val="0"/>
        <w:adjustRightInd w:val="0"/>
        <w:spacing w:after="0" w:line="276" w:lineRule="auto"/>
        <w:jc w:val="both"/>
        <w:rPr>
          <w:rFonts w:cs="Times New Roman"/>
          <w:szCs w:val="24"/>
        </w:rPr>
      </w:pPr>
    </w:p>
    <w:p w:rsidR="0048464B" w:rsidRPr="0050663D" w:rsidRDefault="0048464B" w:rsidP="003D5A31">
      <w:pPr>
        <w:numPr>
          <w:ilvl w:val="0"/>
          <w:numId w:val="162"/>
        </w:numPr>
        <w:spacing w:line="276" w:lineRule="auto"/>
        <w:ind w:left="0" w:firstLine="0"/>
        <w:jc w:val="both"/>
        <w:rPr>
          <w:rFonts w:cs="Times New Roman"/>
          <w:bCs/>
          <w:i/>
          <w:szCs w:val="24"/>
        </w:rPr>
      </w:pPr>
      <w:r w:rsidRPr="0050663D">
        <w:rPr>
          <w:rFonts w:cs="Times New Roman"/>
          <w:bCs/>
          <w:i/>
          <w:szCs w:val="24"/>
        </w:rPr>
        <w:lastRenderedPageBreak/>
        <w:t xml:space="preserve">By 2030, achieve universal and equitable access to safe and affordable drinking water for all. </w:t>
      </w:r>
    </w:p>
    <w:p w:rsidR="0048464B" w:rsidRPr="0050663D" w:rsidRDefault="0048464B" w:rsidP="003D5A31">
      <w:pPr>
        <w:numPr>
          <w:ilvl w:val="0"/>
          <w:numId w:val="162"/>
        </w:numPr>
        <w:spacing w:line="276" w:lineRule="auto"/>
        <w:ind w:left="0" w:firstLine="0"/>
        <w:jc w:val="both"/>
        <w:rPr>
          <w:rFonts w:cs="Times New Roman"/>
          <w:bCs/>
          <w:i/>
          <w:szCs w:val="24"/>
        </w:rPr>
      </w:pPr>
      <w:r w:rsidRPr="0050663D">
        <w:rPr>
          <w:rFonts w:cs="Times New Roman"/>
          <w:bCs/>
          <w:i/>
          <w:szCs w:val="24"/>
        </w:rPr>
        <w:t xml:space="preserve">By 2030, achieve access to adequate and equitable sanitation and hygiene for all and end open defecation, paying special attention to the needs of women and girls and those in vulnerable situations. </w:t>
      </w:r>
    </w:p>
    <w:p w:rsidR="0048464B" w:rsidRPr="0050663D" w:rsidRDefault="0048464B" w:rsidP="003D5A31">
      <w:pPr>
        <w:numPr>
          <w:ilvl w:val="0"/>
          <w:numId w:val="162"/>
        </w:numPr>
        <w:spacing w:line="276" w:lineRule="auto"/>
        <w:ind w:left="0" w:firstLine="0"/>
        <w:jc w:val="both"/>
        <w:rPr>
          <w:rFonts w:cs="Times New Roman"/>
          <w:bCs/>
          <w:i/>
          <w:szCs w:val="24"/>
        </w:rPr>
      </w:pPr>
      <w:r w:rsidRPr="0050663D">
        <w:rPr>
          <w:rFonts w:cs="Times New Roman"/>
          <w:bCs/>
          <w:i/>
          <w:szCs w:val="24"/>
        </w:rPr>
        <w:t>By 2030, improve water quality by reducing pollution, eliminating dumping and minimizing release of hazardous chemicals and materials, halving the proportion of untreated wastewater and substantially increasing recycling and safe reuse globally.</w:t>
      </w:r>
    </w:p>
    <w:p w:rsidR="0048464B" w:rsidRPr="00271B09" w:rsidRDefault="0048464B" w:rsidP="003D5A31">
      <w:pPr>
        <w:pStyle w:val="ListParagraph"/>
        <w:numPr>
          <w:ilvl w:val="0"/>
          <w:numId w:val="162"/>
        </w:numPr>
        <w:autoSpaceDE w:val="0"/>
        <w:autoSpaceDN w:val="0"/>
        <w:adjustRightInd w:val="0"/>
        <w:spacing w:after="0" w:line="276" w:lineRule="auto"/>
        <w:ind w:left="360"/>
        <w:jc w:val="both"/>
        <w:rPr>
          <w:rFonts w:cs="Times New Roman"/>
          <w:szCs w:val="24"/>
        </w:rPr>
      </w:pPr>
      <w:r w:rsidRPr="00271B09">
        <w:rPr>
          <w:rFonts w:cs="Times New Roman"/>
          <w:szCs w:val="24"/>
        </w:rPr>
        <w:t>By 2030, substantially increase water-use efficiency across all sectors and ensure sustainable withdrawals and supply of freshwater to address water scarcity and substantially reduce the number of people suffering from water scarcity</w:t>
      </w:r>
      <w:r>
        <w:rPr>
          <w:rFonts w:cs="Times New Roman"/>
          <w:szCs w:val="24"/>
        </w:rPr>
        <w:t>.</w:t>
      </w:r>
      <w:r w:rsidRPr="00271B09">
        <w:rPr>
          <w:rFonts w:cs="Times New Roman"/>
          <w:szCs w:val="24"/>
        </w:rPr>
        <w:t xml:space="preserve"> </w:t>
      </w:r>
    </w:p>
    <w:p w:rsidR="0048464B" w:rsidRPr="0050663D" w:rsidRDefault="0048464B" w:rsidP="003D5A31">
      <w:pPr>
        <w:numPr>
          <w:ilvl w:val="0"/>
          <w:numId w:val="162"/>
        </w:numPr>
        <w:spacing w:line="276" w:lineRule="auto"/>
        <w:ind w:left="0" w:firstLine="0"/>
        <w:jc w:val="both"/>
        <w:rPr>
          <w:rFonts w:cs="Times New Roman"/>
          <w:bCs/>
          <w:i/>
          <w:szCs w:val="24"/>
        </w:rPr>
      </w:pPr>
      <w:r w:rsidRPr="0050663D">
        <w:rPr>
          <w:rFonts w:cs="Times New Roman"/>
          <w:bCs/>
          <w:i/>
          <w:szCs w:val="24"/>
        </w:rPr>
        <w:t xml:space="preserve">By 2030, implement integrated water resources management at all levels, including through transboundary cooperation as appropriate. </w:t>
      </w:r>
    </w:p>
    <w:p w:rsidR="0048464B" w:rsidRPr="0050663D" w:rsidRDefault="0048464B" w:rsidP="003D5A31">
      <w:pPr>
        <w:numPr>
          <w:ilvl w:val="0"/>
          <w:numId w:val="162"/>
        </w:numPr>
        <w:spacing w:line="276" w:lineRule="auto"/>
        <w:ind w:left="0" w:firstLine="0"/>
        <w:jc w:val="both"/>
        <w:rPr>
          <w:rFonts w:cs="Times New Roman"/>
          <w:bCs/>
          <w:i/>
          <w:szCs w:val="24"/>
        </w:rPr>
      </w:pPr>
      <w:r w:rsidRPr="0050663D">
        <w:rPr>
          <w:rFonts w:cs="Times New Roman"/>
          <w:bCs/>
          <w:i/>
          <w:szCs w:val="24"/>
        </w:rPr>
        <w:t>By 2020, protect and restore water-related ecosystems, including mountains, forests, wetlands, rivers, aquifers and lakes.</w:t>
      </w:r>
    </w:p>
    <w:p w:rsidR="0048464B" w:rsidRPr="00271B09" w:rsidRDefault="0048464B" w:rsidP="003D5A31">
      <w:pPr>
        <w:pStyle w:val="ListParagraph"/>
        <w:numPr>
          <w:ilvl w:val="0"/>
          <w:numId w:val="162"/>
        </w:numPr>
        <w:autoSpaceDE w:val="0"/>
        <w:autoSpaceDN w:val="0"/>
        <w:adjustRightInd w:val="0"/>
        <w:spacing w:after="0" w:line="276" w:lineRule="auto"/>
        <w:ind w:left="360"/>
        <w:jc w:val="both"/>
        <w:rPr>
          <w:rFonts w:cs="Times New Roman"/>
          <w:szCs w:val="24"/>
        </w:rPr>
      </w:pPr>
      <w:r w:rsidRPr="00271B09">
        <w:rPr>
          <w:rFonts w:cs="Times New Roman"/>
          <w:szCs w:val="24"/>
        </w:rPr>
        <w:t>By 2030, expand international cooperation and capacity-building support to developing countries in water- and sanitation-related activities and programmes, including water harvesting, desalination, water efficiency, wastewater treatment, recycling and reuse technologies</w:t>
      </w:r>
      <w:r>
        <w:rPr>
          <w:rFonts w:cs="Times New Roman"/>
          <w:szCs w:val="24"/>
        </w:rPr>
        <w:t>.</w:t>
      </w:r>
      <w:r w:rsidRPr="00271B09">
        <w:rPr>
          <w:rFonts w:cs="Times New Roman"/>
          <w:szCs w:val="24"/>
        </w:rPr>
        <w:t xml:space="preserve"> </w:t>
      </w:r>
    </w:p>
    <w:p w:rsidR="0048464B" w:rsidRPr="00271B09" w:rsidRDefault="0048464B" w:rsidP="003D5A31">
      <w:pPr>
        <w:pStyle w:val="ListParagraph"/>
        <w:numPr>
          <w:ilvl w:val="0"/>
          <w:numId w:val="162"/>
        </w:numPr>
        <w:autoSpaceDE w:val="0"/>
        <w:autoSpaceDN w:val="0"/>
        <w:adjustRightInd w:val="0"/>
        <w:spacing w:after="0" w:line="276" w:lineRule="auto"/>
        <w:ind w:left="360"/>
        <w:jc w:val="both"/>
        <w:rPr>
          <w:rFonts w:cs="Times New Roman"/>
          <w:szCs w:val="24"/>
        </w:rPr>
      </w:pPr>
      <w:r w:rsidRPr="00271B09">
        <w:rPr>
          <w:rFonts w:cs="Times New Roman"/>
          <w:szCs w:val="24"/>
        </w:rPr>
        <w:t>Support and strengthen the participation of local communities in improving water and sanitation management</w:t>
      </w:r>
      <w:r>
        <w:rPr>
          <w:rFonts w:cs="Times New Roman"/>
          <w:szCs w:val="24"/>
        </w:rPr>
        <w:t>.</w:t>
      </w:r>
      <w:r w:rsidRPr="00271B09">
        <w:rPr>
          <w:rFonts w:cs="Times New Roman"/>
          <w:szCs w:val="24"/>
        </w:rPr>
        <w:t xml:space="preserve"> </w:t>
      </w:r>
    </w:p>
    <w:p w:rsidR="0048464B" w:rsidRPr="00271B09" w:rsidRDefault="0048464B" w:rsidP="0048464B">
      <w:pPr>
        <w:autoSpaceDE w:val="0"/>
        <w:autoSpaceDN w:val="0"/>
        <w:adjustRightInd w:val="0"/>
        <w:spacing w:after="0" w:line="276" w:lineRule="auto"/>
        <w:jc w:val="both"/>
        <w:rPr>
          <w:rFonts w:cs="Times New Roman"/>
          <w:szCs w:val="24"/>
        </w:rPr>
      </w:pPr>
    </w:p>
    <w:p w:rsidR="0048464B" w:rsidRDefault="0048464B" w:rsidP="0048464B">
      <w:pPr>
        <w:spacing w:line="276" w:lineRule="auto"/>
        <w:jc w:val="both"/>
        <w:rPr>
          <w:rFonts w:cs="Times New Roman"/>
          <w:b/>
          <w:color w:val="1F497D" w:themeColor="text2"/>
          <w:sz w:val="28"/>
        </w:rPr>
      </w:pPr>
      <w:r w:rsidRPr="00271B09">
        <w:rPr>
          <w:rFonts w:cs="Times New Roman"/>
          <w:szCs w:val="24"/>
        </w:rPr>
        <w:t xml:space="preserve">As one of the 193 member states involved in adopting the UN Resolution A/RES/70/1 through a deliberative process, Bangladesh is committed to work hard for reaching the </w:t>
      </w:r>
      <w:r>
        <w:rPr>
          <w:rFonts w:cs="Times New Roman"/>
          <w:szCs w:val="24"/>
        </w:rPr>
        <w:t xml:space="preserve">SDGs </w:t>
      </w:r>
      <w:r w:rsidRPr="00271B09">
        <w:rPr>
          <w:rFonts w:cs="Times New Roman"/>
          <w:szCs w:val="24"/>
        </w:rPr>
        <w:t>to “</w:t>
      </w:r>
      <w:r w:rsidRPr="00271B09">
        <w:rPr>
          <w:rFonts w:cs="Times New Roman"/>
          <w:b/>
          <w:bCs/>
          <w:szCs w:val="24"/>
        </w:rPr>
        <w:t>end poverty</w:t>
      </w:r>
      <w:r w:rsidRPr="00271B09">
        <w:rPr>
          <w:rFonts w:cs="Times New Roman"/>
          <w:szCs w:val="24"/>
        </w:rPr>
        <w:t xml:space="preserve">, </w:t>
      </w:r>
      <w:r w:rsidRPr="00271B09">
        <w:rPr>
          <w:rFonts w:cs="Times New Roman"/>
          <w:b/>
          <w:bCs/>
          <w:szCs w:val="24"/>
        </w:rPr>
        <w:t>protect the planet</w:t>
      </w:r>
      <w:r w:rsidRPr="00271B09">
        <w:rPr>
          <w:rFonts w:cs="Times New Roman"/>
          <w:szCs w:val="24"/>
        </w:rPr>
        <w:t xml:space="preserve">, and </w:t>
      </w:r>
      <w:r w:rsidRPr="00271B09">
        <w:rPr>
          <w:rFonts w:cs="Times New Roman"/>
          <w:b/>
          <w:bCs/>
          <w:szCs w:val="24"/>
        </w:rPr>
        <w:t>ensure prosperity for all”</w:t>
      </w:r>
      <w:r>
        <w:rPr>
          <w:rFonts w:cs="Times New Roman"/>
          <w:b/>
          <w:bCs/>
          <w:szCs w:val="24"/>
        </w:rPr>
        <w:t>.</w:t>
      </w:r>
      <w:r w:rsidRPr="00271B09">
        <w:rPr>
          <w:rFonts w:cs="Times New Roman"/>
          <w:szCs w:val="24"/>
        </w:rPr>
        <w:t xml:space="preserve"> In particular, the </w:t>
      </w:r>
      <w:r>
        <w:rPr>
          <w:rFonts w:cs="Times New Roman"/>
          <w:szCs w:val="24"/>
        </w:rPr>
        <w:t>SDG</w:t>
      </w:r>
      <w:r w:rsidRPr="00271B09">
        <w:rPr>
          <w:rFonts w:cs="Times New Roman"/>
          <w:szCs w:val="24"/>
        </w:rPr>
        <w:t xml:space="preserve"> 6 which is dedicated to sustainable management of water and sanitation provides an opportunity for policy makers to mobilize collective efforts to improve water management for the benefit of people and protection of environment. Reaching the water-related targets for implementation of the </w:t>
      </w:r>
      <w:r w:rsidRPr="0050663D">
        <w:rPr>
          <w:rFonts w:cs="Times New Roman"/>
          <w:bCs/>
          <w:i/>
          <w:szCs w:val="24"/>
        </w:rPr>
        <w:t>SDG 6 would require undertaking of concrete actions on a number of water topics: access to safe drinking water and sanitation, waste water and solid waste management and management of storm water.</w:t>
      </w:r>
      <w:r w:rsidRPr="0050663D">
        <w:rPr>
          <w:rFonts w:cs="Times New Roman"/>
          <w:i/>
          <w:szCs w:val="24"/>
        </w:rPr>
        <w:t xml:space="preserve"> </w:t>
      </w:r>
      <w:r w:rsidRPr="00271B09">
        <w:rPr>
          <w:rFonts w:cs="Times New Roman"/>
          <w:szCs w:val="24"/>
        </w:rPr>
        <w:t>However to do so and achieve the targets we need to analyse the current situation, identify the issues and challenges, formulate strategies and translate the strategies into concrete actions.</w:t>
      </w:r>
      <w:r>
        <w:br w:type="page"/>
      </w:r>
    </w:p>
    <w:p w:rsidR="0048464B" w:rsidRPr="00A85D0C" w:rsidRDefault="0048464B" w:rsidP="003D5A31">
      <w:pPr>
        <w:pStyle w:val="Heading2"/>
        <w:numPr>
          <w:ilvl w:val="1"/>
          <w:numId w:val="262"/>
        </w:numPr>
        <w:rPr>
          <w:color w:val="FF0000"/>
        </w:rPr>
      </w:pPr>
      <w:bookmarkStart w:id="733" w:name="_Toc464328804"/>
      <w:r w:rsidRPr="00A85D0C">
        <w:rPr>
          <w:color w:val="FF0000"/>
        </w:rPr>
        <w:lastRenderedPageBreak/>
        <w:t xml:space="preserve"> </w:t>
      </w:r>
      <w:r w:rsidRPr="00A85D0C">
        <w:t>Urban Water Supply</w:t>
      </w:r>
      <w:bookmarkEnd w:id="733"/>
    </w:p>
    <w:p w:rsidR="0048464B" w:rsidRPr="00EE6415" w:rsidRDefault="0048464B" w:rsidP="003D5A31">
      <w:pPr>
        <w:pStyle w:val="BodyText"/>
        <w:numPr>
          <w:ilvl w:val="2"/>
          <w:numId w:val="156"/>
        </w:numPr>
        <w:spacing w:after="240" w:line="276" w:lineRule="auto"/>
        <w:jc w:val="both"/>
        <w:rPr>
          <w:rFonts w:cs="Times New Roman"/>
          <w:b/>
          <w:szCs w:val="24"/>
        </w:rPr>
      </w:pPr>
      <w:r>
        <w:rPr>
          <w:rFonts w:cs="Times New Roman"/>
          <w:b/>
          <w:szCs w:val="24"/>
        </w:rPr>
        <w:t>Source of Water Supply</w:t>
      </w:r>
    </w:p>
    <w:p w:rsidR="0048464B" w:rsidRDefault="0048464B" w:rsidP="0048464B">
      <w:pPr>
        <w:spacing w:line="276" w:lineRule="auto"/>
        <w:jc w:val="both"/>
        <w:rPr>
          <w:rFonts w:cs="Times New Roman"/>
          <w:szCs w:val="24"/>
        </w:rPr>
      </w:pPr>
      <w:r w:rsidRPr="003664FB">
        <w:rPr>
          <w:rFonts w:cs="Times New Roman"/>
          <w:szCs w:val="24"/>
        </w:rPr>
        <w:t xml:space="preserve">Bangladesh has made significant progress in the supply of improved water in both urban and rural areas. </w:t>
      </w:r>
      <w:r>
        <w:rPr>
          <w:rFonts w:cs="Times New Roman"/>
          <w:szCs w:val="24"/>
        </w:rPr>
        <w:t xml:space="preserve"> According to the 2012 JMP Report, </w:t>
      </w:r>
      <w:r w:rsidRPr="0050663D">
        <w:rPr>
          <w:rFonts w:cs="Times New Roman"/>
          <w:bCs/>
          <w:i/>
          <w:szCs w:val="24"/>
        </w:rPr>
        <w:t>improved water supply coverage as percentage of total population has increased from 68% in 1990 to 85% in 2012.</w:t>
      </w:r>
      <w:r w:rsidRPr="00E0447F">
        <w:rPr>
          <w:rFonts w:cs="Times New Roman"/>
          <w:b/>
          <w:bCs/>
          <w:color w:val="006600"/>
          <w:szCs w:val="24"/>
          <w:u w:val="single"/>
        </w:rPr>
        <w:t xml:space="preserve"> </w:t>
      </w:r>
      <w:r w:rsidRPr="003664FB">
        <w:rPr>
          <w:rFonts w:cs="Times New Roman"/>
          <w:szCs w:val="24"/>
        </w:rPr>
        <w:t>The coverage is slightly higher in urban are</w:t>
      </w:r>
      <w:r>
        <w:rPr>
          <w:rFonts w:cs="Times New Roman"/>
          <w:szCs w:val="24"/>
        </w:rPr>
        <w:t>as. The JMP water supply coverage is presented in T</w:t>
      </w:r>
      <w:r w:rsidRPr="003664FB">
        <w:rPr>
          <w:rFonts w:cs="Times New Roman"/>
          <w:szCs w:val="24"/>
        </w:rPr>
        <w:t>able</w:t>
      </w:r>
      <w:r>
        <w:rPr>
          <w:rFonts w:cs="Times New Roman"/>
          <w:szCs w:val="24"/>
        </w:rPr>
        <w:t xml:space="preserve"> 10.</w:t>
      </w:r>
      <w:r w:rsidRPr="003664FB">
        <w:rPr>
          <w:rFonts w:cs="Times New Roman"/>
          <w:szCs w:val="24"/>
        </w:rPr>
        <w:t xml:space="preserve">1. </w:t>
      </w:r>
    </w:p>
    <w:p w:rsidR="0048464B" w:rsidRPr="00101CE9" w:rsidRDefault="0048464B" w:rsidP="0048464B">
      <w:pPr>
        <w:jc w:val="center"/>
        <w:rPr>
          <w:b/>
        </w:rPr>
      </w:pPr>
      <w:bookmarkStart w:id="734" w:name="_Toc464328980"/>
      <w:r w:rsidRPr="00101CE9">
        <w:rPr>
          <w:b/>
        </w:rPr>
        <w:t>Table 10.1: Water Supply Coverage, JMP Report</w:t>
      </w:r>
      <w:bookmarkEnd w:id="734"/>
      <w:r>
        <w:rPr>
          <w:b/>
        </w:rPr>
        <w:t xml:space="preserve">, </w:t>
      </w:r>
      <w:r w:rsidRPr="00E0447F">
        <w:rPr>
          <w:rFonts w:cs="Times New Roman"/>
          <w:b/>
          <w:bCs/>
          <w:color w:val="006600"/>
          <w:szCs w:val="24"/>
        </w:rPr>
        <w:t>2014</w:t>
      </w:r>
    </w:p>
    <w:tbl>
      <w:tblPr>
        <w:tblStyle w:val="LightShading10"/>
        <w:tblW w:w="0" w:type="auto"/>
        <w:tblLook w:val="04A0"/>
      </w:tblPr>
      <w:tblGrid>
        <w:gridCol w:w="1502"/>
        <w:gridCol w:w="1503"/>
        <w:gridCol w:w="1503"/>
        <w:gridCol w:w="1503"/>
        <w:gridCol w:w="1747"/>
        <w:gridCol w:w="1266"/>
      </w:tblGrid>
      <w:tr w:rsidR="0048464B" w:rsidRPr="00325137" w:rsidTr="00F83382">
        <w:trPr>
          <w:cnfStyle w:val="100000000000"/>
        </w:trPr>
        <w:tc>
          <w:tcPr>
            <w:cnfStyle w:val="001000000000"/>
            <w:tcW w:w="1502" w:type="dxa"/>
          </w:tcPr>
          <w:p w:rsidR="0048464B" w:rsidRPr="00D10C92" w:rsidRDefault="0048464B" w:rsidP="00F83382">
            <w:pPr>
              <w:spacing w:line="276" w:lineRule="auto"/>
              <w:jc w:val="center"/>
              <w:rPr>
                <w:rFonts w:ascii="Times New Roman" w:hAnsi="Times New Roman"/>
                <w:szCs w:val="24"/>
              </w:rPr>
            </w:pPr>
            <w:r w:rsidRPr="00D10C92">
              <w:rPr>
                <w:rFonts w:ascii="Times New Roman" w:hAnsi="Times New Roman"/>
                <w:szCs w:val="24"/>
              </w:rPr>
              <w:t>Year</w:t>
            </w:r>
          </w:p>
        </w:tc>
        <w:tc>
          <w:tcPr>
            <w:tcW w:w="1503" w:type="dxa"/>
          </w:tcPr>
          <w:p w:rsidR="0048464B" w:rsidRPr="00D10C92" w:rsidRDefault="0048464B" w:rsidP="00F83382">
            <w:pPr>
              <w:spacing w:line="276" w:lineRule="auto"/>
              <w:jc w:val="center"/>
              <w:cnfStyle w:val="100000000000"/>
              <w:rPr>
                <w:rFonts w:ascii="Times New Roman" w:hAnsi="Times New Roman"/>
                <w:szCs w:val="24"/>
              </w:rPr>
            </w:pPr>
            <w:r w:rsidRPr="00D10C92">
              <w:rPr>
                <w:rFonts w:ascii="Times New Roman" w:hAnsi="Times New Roman"/>
                <w:szCs w:val="24"/>
              </w:rPr>
              <w:t>Total Improved (%)</w:t>
            </w:r>
          </w:p>
        </w:tc>
        <w:tc>
          <w:tcPr>
            <w:tcW w:w="1503" w:type="dxa"/>
          </w:tcPr>
          <w:p w:rsidR="0048464B" w:rsidRPr="00D10C92" w:rsidRDefault="0048464B" w:rsidP="00F83382">
            <w:pPr>
              <w:spacing w:line="276" w:lineRule="auto"/>
              <w:jc w:val="center"/>
              <w:cnfStyle w:val="100000000000"/>
              <w:rPr>
                <w:rFonts w:ascii="Times New Roman" w:hAnsi="Times New Roman"/>
                <w:szCs w:val="24"/>
              </w:rPr>
            </w:pPr>
            <w:r w:rsidRPr="00D10C92">
              <w:rPr>
                <w:rFonts w:ascii="Times New Roman" w:hAnsi="Times New Roman"/>
                <w:szCs w:val="24"/>
              </w:rPr>
              <w:t>Piped onto Premises (%)</w:t>
            </w:r>
          </w:p>
        </w:tc>
        <w:tc>
          <w:tcPr>
            <w:tcW w:w="1503" w:type="dxa"/>
          </w:tcPr>
          <w:p w:rsidR="0048464B" w:rsidRPr="00D10C92" w:rsidRDefault="0048464B" w:rsidP="00F83382">
            <w:pPr>
              <w:spacing w:line="276" w:lineRule="auto"/>
              <w:jc w:val="center"/>
              <w:cnfStyle w:val="100000000000"/>
              <w:rPr>
                <w:rFonts w:ascii="Times New Roman" w:hAnsi="Times New Roman"/>
                <w:szCs w:val="24"/>
              </w:rPr>
            </w:pPr>
            <w:r w:rsidRPr="00D10C92">
              <w:rPr>
                <w:rFonts w:ascii="Times New Roman" w:hAnsi="Times New Roman"/>
                <w:szCs w:val="24"/>
              </w:rPr>
              <w:t>Other Improved (%)</w:t>
            </w:r>
          </w:p>
        </w:tc>
        <w:tc>
          <w:tcPr>
            <w:tcW w:w="1747" w:type="dxa"/>
          </w:tcPr>
          <w:p w:rsidR="0048464B" w:rsidRPr="00D10C92" w:rsidRDefault="0048464B" w:rsidP="00F83382">
            <w:pPr>
              <w:spacing w:line="276" w:lineRule="auto"/>
              <w:jc w:val="center"/>
              <w:cnfStyle w:val="100000000000"/>
              <w:rPr>
                <w:rFonts w:ascii="Times New Roman" w:hAnsi="Times New Roman"/>
                <w:szCs w:val="24"/>
              </w:rPr>
            </w:pPr>
            <w:r w:rsidRPr="00D10C92">
              <w:rPr>
                <w:rFonts w:ascii="Times New Roman" w:hAnsi="Times New Roman"/>
                <w:szCs w:val="24"/>
              </w:rPr>
              <w:t>Other Unimproved (%)</w:t>
            </w:r>
          </w:p>
        </w:tc>
        <w:tc>
          <w:tcPr>
            <w:tcW w:w="1266" w:type="dxa"/>
          </w:tcPr>
          <w:p w:rsidR="0048464B" w:rsidRPr="00D10C92" w:rsidRDefault="0048464B" w:rsidP="00F83382">
            <w:pPr>
              <w:spacing w:line="276" w:lineRule="auto"/>
              <w:jc w:val="center"/>
              <w:cnfStyle w:val="100000000000"/>
              <w:rPr>
                <w:rFonts w:ascii="Times New Roman" w:hAnsi="Times New Roman"/>
                <w:szCs w:val="24"/>
              </w:rPr>
            </w:pPr>
            <w:r w:rsidRPr="00D10C92">
              <w:rPr>
                <w:rFonts w:ascii="Times New Roman" w:hAnsi="Times New Roman"/>
                <w:szCs w:val="24"/>
              </w:rPr>
              <w:t>Surface Water (%)</w:t>
            </w:r>
          </w:p>
        </w:tc>
      </w:tr>
      <w:tr w:rsidR="0048464B" w:rsidRPr="00325137" w:rsidTr="00F83382">
        <w:trPr>
          <w:cnfStyle w:val="000000100000"/>
        </w:trPr>
        <w:tc>
          <w:tcPr>
            <w:cnfStyle w:val="001000000000"/>
            <w:tcW w:w="1502" w:type="dxa"/>
          </w:tcPr>
          <w:p w:rsidR="0048464B" w:rsidRPr="00325137" w:rsidRDefault="0048464B" w:rsidP="00F83382">
            <w:pPr>
              <w:spacing w:after="0" w:line="276" w:lineRule="auto"/>
              <w:jc w:val="center"/>
              <w:rPr>
                <w:rFonts w:ascii="Times New Roman" w:hAnsi="Times New Roman"/>
                <w:sz w:val="22"/>
                <w:szCs w:val="24"/>
              </w:rPr>
            </w:pPr>
            <w:r w:rsidRPr="00325137">
              <w:rPr>
                <w:rFonts w:ascii="Times New Roman" w:hAnsi="Times New Roman"/>
                <w:sz w:val="22"/>
                <w:szCs w:val="24"/>
              </w:rPr>
              <w:t>1990</w:t>
            </w:r>
          </w:p>
        </w:tc>
        <w:tc>
          <w:tcPr>
            <w:tcW w:w="1503"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81</w:t>
            </w:r>
          </w:p>
        </w:tc>
        <w:tc>
          <w:tcPr>
            <w:tcW w:w="1503"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23</w:t>
            </w:r>
          </w:p>
        </w:tc>
        <w:tc>
          <w:tcPr>
            <w:tcW w:w="1503"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58</w:t>
            </w:r>
          </w:p>
        </w:tc>
        <w:tc>
          <w:tcPr>
            <w:tcW w:w="1747"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17</w:t>
            </w:r>
          </w:p>
        </w:tc>
        <w:tc>
          <w:tcPr>
            <w:tcW w:w="1266"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2</w:t>
            </w:r>
          </w:p>
        </w:tc>
      </w:tr>
      <w:tr w:rsidR="0048464B" w:rsidRPr="00325137" w:rsidTr="00F83382">
        <w:tc>
          <w:tcPr>
            <w:cnfStyle w:val="001000000000"/>
            <w:tcW w:w="1502" w:type="dxa"/>
          </w:tcPr>
          <w:p w:rsidR="0048464B" w:rsidRPr="00325137" w:rsidRDefault="0048464B" w:rsidP="00F83382">
            <w:pPr>
              <w:spacing w:after="0" w:line="276" w:lineRule="auto"/>
              <w:jc w:val="center"/>
              <w:rPr>
                <w:rFonts w:ascii="Times New Roman" w:hAnsi="Times New Roman"/>
                <w:sz w:val="22"/>
                <w:szCs w:val="24"/>
              </w:rPr>
            </w:pPr>
            <w:r w:rsidRPr="00325137">
              <w:rPr>
                <w:rFonts w:ascii="Times New Roman" w:hAnsi="Times New Roman"/>
                <w:sz w:val="22"/>
                <w:szCs w:val="24"/>
              </w:rPr>
              <w:t>1995</w:t>
            </w:r>
          </w:p>
        </w:tc>
        <w:tc>
          <w:tcPr>
            <w:tcW w:w="1503"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82</w:t>
            </w:r>
          </w:p>
        </w:tc>
        <w:tc>
          <w:tcPr>
            <w:tcW w:w="1503"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25</w:t>
            </w:r>
          </w:p>
        </w:tc>
        <w:tc>
          <w:tcPr>
            <w:tcW w:w="1503"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57</w:t>
            </w:r>
          </w:p>
        </w:tc>
        <w:tc>
          <w:tcPr>
            <w:tcW w:w="1747"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16</w:t>
            </w:r>
          </w:p>
        </w:tc>
        <w:tc>
          <w:tcPr>
            <w:tcW w:w="1266"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2</w:t>
            </w:r>
          </w:p>
        </w:tc>
      </w:tr>
      <w:tr w:rsidR="0048464B" w:rsidRPr="00325137" w:rsidTr="00F83382">
        <w:trPr>
          <w:cnfStyle w:val="000000100000"/>
        </w:trPr>
        <w:tc>
          <w:tcPr>
            <w:cnfStyle w:val="001000000000"/>
            <w:tcW w:w="1502" w:type="dxa"/>
          </w:tcPr>
          <w:p w:rsidR="0048464B" w:rsidRPr="00325137" w:rsidRDefault="0048464B" w:rsidP="00F83382">
            <w:pPr>
              <w:spacing w:after="0" w:line="276" w:lineRule="auto"/>
              <w:jc w:val="center"/>
              <w:rPr>
                <w:rFonts w:ascii="Times New Roman" w:hAnsi="Times New Roman"/>
                <w:sz w:val="22"/>
                <w:szCs w:val="24"/>
              </w:rPr>
            </w:pPr>
            <w:r w:rsidRPr="00325137">
              <w:rPr>
                <w:rFonts w:ascii="Times New Roman" w:hAnsi="Times New Roman"/>
                <w:sz w:val="22"/>
                <w:szCs w:val="24"/>
              </w:rPr>
              <w:t>2000</w:t>
            </w:r>
          </w:p>
        </w:tc>
        <w:tc>
          <w:tcPr>
            <w:tcW w:w="1503"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83</w:t>
            </w:r>
          </w:p>
        </w:tc>
        <w:tc>
          <w:tcPr>
            <w:tcW w:w="1503"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27</w:t>
            </w:r>
          </w:p>
        </w:tc>
        <w:tc>
          <w:tcPr>
            <w:tcW w:w="1503"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56</w:t>
            </w:r>
          </w:p>
        </w:tc>
        <w:tc>
          <w:tcPr>
            <w:tcW w:w="1747"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16</w:t>
            </w:r>
          </w:p>
        </w:tc>
        <w:tc>
          <w:tcPr>
            <w:tcW w:w="1266"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1</w:t>
            </w:r>
          </w:p>
        </w:tc>
      </w:tr>
      <w:tr w:rsidR="0048464B" w:rsidRPr="00325137" w:rsidTr="00F83382">
        <w:tc>
          <w:tcPr>
            <w:cnfStyle w:val="001000000000"/>
            <w:tcW w:w="1502" w:type="dxa"/>
          </w:tcPr>
          <w:p w:rsidR="0048464B" w:rsidRPr="00325137" w:rsidRDefault="0048464B" w:rsidP="00F83382">
            <w:pPr>
              <w:spacing w:after="0" w:line="276" w:lineRule="auto"/>
              <w:jc w:val="center"/>
              <w:rPr>
                <w:rFonts w:ascii="Times New Roman" w:hAnsi="Times New Roman"/>
                <w:sz w:val="22"/>
                <w:szCs w:val="24"/>
              </w:rPr>
            </w:pPr>
            <w:r w:rsidRPr="00325137">
              <w:rPr>
                <w:rFonts w:ascii="Times New Roman" w:hAnsi="Times New Roman"/>
                <w:sz w:val="22"/>
                <w:szCs w:val="24"/>
              </w:rPr>
              <w:t>2005</w:t>
            </w:r>
          </w:p>
        </w:tc>
        <w:tc>
          <w:tcPr>
            <w:tcW w:w="1503"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84</w:t>
            </w:r>
          </w:p>
        </w:tc>
        <w:tc>
          <w:tcPr>
            <w:tcW w:w="1503"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29</w:t>
            </w:r>
          </w:p>
        </w:tc>
        <w:tc>
          <w:tcPr>
            <w:tcW w:w="1503"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55</w:t>
            </w:r>
          </w:p>
        </w:tc>
        <w:tc>
          <w:tcPr>
            <w:tcW w:w="1747"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15</w:t>
            </w:r>
          </w:p>
        </w:tc>
        <w:tc>
          <w:tcPr>
            <w:tcW w:w="1266"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1</w:t>
            </w:r>
          </w:p>
        </w:tc>
      </w:tr>
      <w:tr w:rsidR="0048464B" w:rsidRPr="00325137" w:rsidTr="00F83382">
        <w:trPr>
          <w:cnfStyle w:val="000000100000"/>
        </w:trPr>
        <w:tc>
          <w:tcPr>
            <w:cnfStyle w:val="001000000000"/>
            <w:tcW w:w="1502" w:type="dxa"/>
          </w:tcPr>
          <w:p w:rsidR="0048464B" w:rsidRPr="00325137" w:rsidRDefault="0048464B" w:rsidP="00F83382">
            <w:pPr>
              <w:spacing w:after="0" w:line="276" w:lineRule="auto"/>
              <w:jc w:val="center"/>
              <w:rPr>
                <w:rFonts w:ascii="Times New Roman" w:hAnsi="Times New Roman"/>
                <w:sz w:val="22"/>
                <w:szCs w:val="24"/>
              </w:rPr>
            </w:pPr>
            <w:r w:rsidRPr="00325137">
              <w:rPr>
                <w:rFonts w:ascii="Times New Roman" w:hAnsi="Times New Roman"/>
                <w:sz w:val="22"/>
                <w:szCs w:val="24"/>
              </w:rPr>
              <w:t>2010</w:t>
            </w:r>
          </w:p>
        </w:tc>
        <w:tc>
          <w:tcPr>
            <w:tcW w:w="1503"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85</w:t>
            </w:r>
          </w:p>
        </w:tc>
        <w:tc>
          <w:tcPr>
            <w:tcW w:w="1503"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31</w:t>
            </w:r>
          </w:p>
        </w:tc>
        <w:tc>
          <w:tcPr>
            <w:tcW w:w="1503"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54</w:t>
            </w:r>
          </w:p>
        </w:tc>
        <w:tc>
          <w:tcPr>
            <w:tcW w:w="1747"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15</w:t>
            </w:r>
          </w:p>
        </w:tc>
        <w:tc>
          <w:tcPr>
            <w:tcW w:w="1266" w:type="dxa"/>
          </w:tcPr>
          <w:p w:rsidR="0048464B" w:rsidRPr="00325137" w:rsidRDefault="0048464B" w:rsidP="00F83382">
            <w:pPr>
              <w:spacing w:after="0" w:line="276" w:lineRule="auto"/>
              <w:jc w:val="center"/>
              <w:cnfStyle w:val="000000100000"/>
              <w:rPr>
                <w:rFonts w:ascii="Times New Roman" w:hAnsi="Times New Roman"/>
                <w:sz w:val="22"/>
                <w:szCs w:val="24"/>
              </w:rPr>
            </w:pPr>
            <w:r w:rsidRPr="00325137">
              <w:rPr>
                <w:rFonts w:ascii="Times New Roman" w:hAnsi="Times New Roman"/>
                <w:sz w:val="22"/>
                <w:szCs w:val="24"/>
              </w:rPr>
              <w:t>0</w:t>
            </w:r>
          </w:p>
        </w:tc>
      </w:tr>
      <w:tr w:rsidR="0048464B" w:rsidRPr="00325137" w:rsidTr="00F83382">
        <w:tc>
          <w:tcPr>
            <w:cnfStyle w:val="001000000000"/>
            <w:tcW w:w="1502" w:type="dxa"/>
          </w:tcPr>
          <w:p w:rsidR="0048464B" w:rsidRPr="00325137" w:rsidRDefault="0048464B" w:rsidP="00F83382">
            <w:pPr>
              <w:spacing w:after="0" w:line="276" w:lineRule="auto"/>
              <w:jc w:val="center"/>
              <w:rPr>
                <w:rFonts w:ascii="Times New Roman" w:hAnsi="Times New Roman"/>
                <w:sz w:val="22"/>
                <w:szCs w:val="24"/>
              </w:rPr>
            </w:pPr>
            <w:r w:rsidRPr="00325137">
              <w:rPr>
                <w:rFonts w:ascii="Times New Roman" w:hAnsi="Times New Roman"/>
                <w:sz w:val="22"/>
                <w:szCs w:val="24"/>
              </w:rPr>
              <w:t>2012</w:t>
            </w:r>
          </w:p>
        </w:tc>
        <w:tc>
          <w:tcPr>
            <w:tcW w:w="1503"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86</w:t>
            </w:r>
          </w:p>
        </w:tc>
        <w:tc>
          <w:tcPr>
            <w:tcW w:w="1503"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32</w:t>
            </w:r>
          </w:p>
        </w:tc>
        <w:tc>
          <w:tcPr>
            <w:tcW w:w="1503"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54</w:t>
            </w:r>
          </w:p>
        </w:tc>
        <w:tc>
          <w:tcPr>
            <w:tcW w:w="1747"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14</w:t>
            </w:r>
          </w:p>
        </w:tc>
        <w:tc>
          <w:tcPr>
            <w:tcW w:w="1266" w:type="dxa"/>
          </w:tcPr>
          <w:p w:rsidR="0048464B" w:rsidRPr="00325137" w:rsidRDefault="0048464B" w:rsidP="00F83382">
            <w:pPr>
              <w:spacing w:after="0" w:line="276" w:lineRule="auto"/>
              <w:jc w:val="center"/>
              <w:cnfStyle w:val="000000000000"/>
              <w:rPr>
                <w:rFonts w:ascii="Times New Roman" w:hAnsi="Times New Roman"/>
                <w:sz w:val="22"/>
                <w:szCs w:val="24"/>
              </w:rPr>
            </w:pPr>
            <w:r w:rsidRPr="00325137">
              <w:rPr>
                <w:rFonts w:ascii="Times New Roman" w:hAnsi="Times New Roman"/>
                <w:sz w:val="22"/>
                <w:szCs w:val="24"/>
              </w:rPr>
              <w:t>0</w:t>
            </w:r>
          </w:p>
        </w:tc>
      </w:tr>
    </w:tbl>
    <w:p w:rsidR="0048464B" w:rsidRDefault="0048464B" w:rsidP="0048464B">
      <w:pPr>
        <w:spacing w:before="120"/>
        <w:rPr>
          <w:rFonts w:cs="Times New Roman"/>
          <w:b/>
          <w:i/>
          <w:sz w:val="20"/>
          <w:szCs w:val="24"/>
        </w:rPr>
      </w:pPr>
      <w:r w:rsidRPr="008C0D23">
        <w:rPr>
          <w:rFonts w:cs="Times New Roman"/>
          <w:b/>
          <w:i/>
          <w:sz w:val="20"/>
          <w:szCs w:val="24"/>
        </w:rPr>
        <w:t>Source: JMP Report, 2014.</w:t>
      </w:r>
    </w:p>
    <w:p w:rsidR="0048464B" w:rsidRPr="0050663D" w:rsidRDefault="0048464B" w:rsidP="0048464B">
      <w:pPr>
        <w:spacing w:line="276" w:lineRule="auto"/>
        <w:jc w:val="both"/>
        <w:rPr>
          <w:rFonts w:cs="Times New Roman"/>
          <w:bCs/>
          <w:i/>
          <w:szCs w:val="24"/>
        </w:rPr>
      </w:pPr>
      <w:r w:rsidRPr="003664FB">
        <w:rPr>
          <w:rFonts w:cs="Times New Roman"/>
          <w:szCs w:val="24"/>
        </w:rPr>
        <w:t>The multiple indicator cluster survey (MICS) report 2012-2013, however shows same difference in the improved wat</w:t>
      </w:r>
      <w:r>
        <w:rPr>
          <w:rFonts w:cs="Times New Roman"/>
          <w:szCs w:val="24"/>
        </w:rPr>
        <w:t>er supply coverage as shown in T</w:t>
      </w:r>
      <w:r w:rsidRPr="003664FB">
        <w:rPr>
          <w:rFonts w:cs="Times New Roman"/>
          <w:szCs w:val="24"/>
        </w:rPr>
        <w:t>able</w:t>
      </w:r>
      <w:r>
        <w:rPr>
          <w:rFonts w:cs="Times New Roman"/>
          <w:szCs w:val="24"/>
        </w:rPr>
        <w:t xml:space="preserve"> 10.</w:t>
      </w:r>
      <w:r w:rsidRPr="003664FB">
        <w:rPr>
          <w:rFonts w:cs="Times New Roman"/>
          <w:szCs w:val="24"/>
        </w:rPr>
        <w:t xml:space="preserve">2. </w:t>
      </w:r>
      <w:r w:rsidRPr="0050663D">
        <w:rPr>
          <w:rFonts w:cs="Times New Roman"/>
          <w:bCs/>
          <w:i/>
          <w:szCs w:val="24"/>
        </w:rPr>
        <w:t>In urban areas about 99% of the household are covered by improved water source.</w:t>
      </w:r>
      <w:r w:rsidRPr="003664FB">
        <w:rPr>
          <w:rFonts w:cs="Times New Roman"/>
          <w:szCs w:val="24"/>
        </w:rPr>
        <w:t xml:space="preserve"> </w:t>
      </w:r>
      <w:r>
        <w:rPr>
          <w:rFonts w:cs="Times New Roman"/>
          <w:szCs w:val="24"/>
        </w:rPr>
        <w:t>C</w:t>
      </w:r>
      <w:r w:rsidRPr="003664FB">
        <w:rPr>
          <w:rFonts w:cs="Times New Roman"/>
          <w:szCs w:val="24"/>
        </w:rPr>
        <w:t xml:space="preserve">overage of households by piped water is a little bit lower compared to JMP report. This difference may be due to the difference in the methodology adopted for estimation of the coverage. </w:t>
      </w:r>
      <w:r w:rsidRPr="0050663D">
        <w:rPr>
          <w:rFonts w:cs="Times New Roman"/>
          <w:bCs/>
          <w:i/>
          <w:szCs w:val="24"/>
        </w:rPr>
        <w:t>What is important is to observe, however, is that the coverage of population by improved water source is reasonably high.</w:t>
      </w:r>
    </w:p>
    <w:p w:rsidR="0048464B" w:rsidRDefault="0048464B" w:rsidP="0048464B">
      <w:pPr>
        <w:spacing w:before="120" w:after="0" w:line="240" w:lineRule="auto"/>
        <w:jc w:val="both"/>
        <w:rPr>
          <w:rFonts w:cs="Times New Roman"/>
          <w:b/>
          <w:i/>
          <w:sz w:val="20"/>
          <w:szCs w:val="24"/>
        </w:rPr>
      </w:pPr>
    </w:p>
    <w:p w:rsidR="0048464B" w:rsidRDefault="0048464B" w:rsidP="0048464B">
      <w:pPr>
        <w:jc w:val="center"/>
        <w:rPr>
          <w:b/>
        </w:rPr>
      </w:pPr>
      <w:bookmarkStart w:id="735" w:name="_Toc464328981"/>
      <w:r w:rsidRPr="00101CE9">
        <w:rPr>
          <w:b/>
        </w:rPr>
        <w:t>Table 10.2: Water Supply Coverage in Urban Areas, MICS Report, 2012-13</w:t>
      </w:r>
      <w:bookmarkEnd w:id="735"/>
    </w:p>
    <w:tbl>
      <w:tblPr>
        <w:tblStyle w:val="TableGrid"/>
        <w:tblW w:w="5000" w:type="pct"/>
        <w:tblLook w:val="04A0"/>
      </w:tblPr>
      <w:tblGrid>
        <w:gridCol w:w="1044"/>
        <w:gridCol w:w="1362"/>
        <w:gridCol w:w="1513"/>
        <w:gridCol w:w="2683"/>
        <w:gridCol w:w="2974"/>
      </w:tblGrid>
      <w:tr w:rsidR="0048464B" w:rsidRPr="009778D4" w:rsidTr="00F83382">
        <w:tc>
          <w:tcPr>
            <w:tcW w:w="1256" w:type="pct"/>
            <w:gridSpan w:val="2"/>
            <w:vMerge w:val="restart"/>
            <w:shd w:val="clear" w:color="auto" w:fill="EEF8E4"/>
            <w:vAlign w:val="center"/>
          </w:tcPr>
          <w:p w:rsidR="0048464B" w:rsidRPr="009778D4" w:rsidRDefault="0048464B" w:rsidP="00F83382">
            <w:pPr>
              <w:spacing w:after="0" w:line="240" w:lineRule="auto"/>
              <w:jc w:val="center"/>
              <w:rPr>
                <w:rFonts w:cs="Segoe UI"/>
                <w:b/>
                <w:sz w:val="20"/>
                <w:szCs w:val="19"/>
                <w:lang w:bidi="bn-BD"/>
              </w:rPr>
            </w:pPr>
            <w:r w:rsidRPr="009778D4">
              <w:rPr>
                <w:rFonts w:cs="Segoe UI"/>
                <w:b/>
                <w:sz w:val="20"/>
                <w:szCs w:val="19"/>
                <w:lang w:bidi="bn-BD"/>
              </w:rPr>
              <w:t>Location</w:t>
            </w:r>
          </w:p>
        </w:tc>
        <w:tc>
          <w:tcPr>
            <w:tcW w:w="2191" w:type="pct"/>
            <w:gridSpan w:val="2"/>
            <w:shd w:val="clear" w:color="auto" w:fill="EEF8E4"/>
            <w:vAlign w:val="center"/>
          </w:tcPr>
          <w:p w:rsidR="0048464B" w:rsidRPr="009778D4" w:rsidRDefault="0048464B" w:rsidP="00F83382">
            <w:pPr>
              <w:spacing w:after="0" w:line="240" w:lineRule="auto"/>
              <w:jc w:val="center"/>
              <w:rPr>
                <w:rFonts w:cs="Segoe UI"/>
                <w:b/>
                <w:sz w:val="20"/>
                <w:szCs w:val="19"/>
                <w:lang w:bidi="bn-BD"/>
              </w:rPr>
            </w:pPr>
            <w:r w:rsidRPr="009778D4">
              <w:rPr>
                <w:rFonts w:cs="Segoe UI"/>
                <w:b/>
                <w:sz w:val="20"/>
                <w:szCs w:val="19"/>
                <w:lang w:bidi="bn-BD"/>
              </w:rPr>
              <w:t>Improved water source</w:t>
            </w:r>
          </w:p>
        </w:tc>
        <w:tc>
          <w:tcPr>
            <w:tcW w:w="1553" w:type="pct"/>
            <w:vMerge w:val="restart"/>
            <w:shd w:val="clear" w:color="auto" w:fill="EEF8E4"/>
            <w:vAlign w:val="center"/>
          </w:tcPr>
          <w:p w:rsidR="0048464B" w:rsidRPr="009778D4" w:rsidRDefault="0048464B" w:rsidP="00F83382">
            <w:pPr>
              <w:spacing w:after="0" w:line="240" w:lineRule="auto"/>
              <w:jc w:val="center"/>
              <w:rPr>
                <w:rFonts w:cs="Segoe UI"/>
                <w:b/>
                <w:sz w:val="20"/>
                <w:szCs w:val="19"/>
                <w:lang w:bidi="bn-BD"/>
              </w:rPr>
            </w:pPr>
            <w:r w:rsidRPr="009778D4">
              <w:rPr>
                <w:rFonts w:cs="Segoe UI"/>
                <w:b/>
                <w:sz w:val="20"/>
                <w:szCs w:val="19"/>
                <w:lang w:bidi="bn-BD"/>
              </w:rPr>
              <w:t>Unimproved water source</w:t>
            </w:r>
          </w:p>
        </w:tc>
      </w:tr>
      <w:tr w:rsidR="0048464B" w:rsidRPr="009778D4" w:rsidTr="00F83382">
        <w:trPr>
          <w:trHeight w:val="70"/>
        </w:trPr>
        <w:tc>
          <w:tcPr>
            <w:tcW w:w="1256" w:type="pct"/>
            <w:gridSpan w:val="2"/>
            <w:vMerge/>
            <w:vAlign w:val="center"/>
          </w:tcPr>
          <w:p w:rsidR="0048464B" w:rsidRPr="009778D4" w:rsidRDefault="0048464B" w:rsidP="00F83382">
            <w:pPr>
              <w:spacing w:after="0" w:line="240" w:lineRule="auto"/>
              <w:jc w:val="center"/>
              <w:rPr>
                <w:rFonts w:cs="Segoe UI"/>
                <w:b/>
                <w:sz w:val="20"/>
                <w:szCs w:val="19"/>
                <w:lang w:bidi="bn-BD"/>
              </w:rPr>
            </w:pPr>
          </w:p>
        </w:tc>
        <w:tc>
          <w:tcPr>
            <w:tcW w:w="790" w:type="pct"/>
            <w:shd w:val="clear" w:color="auto" w:fill="EEF8E4"/>
            <w:vAlign w:val="center"/>
          </w:tcPr>
          <w:p w:rsidR="0048464B" w:rsidRPr="009778D4" w:rsidRDefault="0048464B" w:rsidP="00F83382">
            <w:pPr>
              <w:spacing w:after="0" w:line="240" w:lineRule="auto"/>
              <w:jc w:val="center"/>
              <w:rPr>
                <w:rFonts w:cs="Segoe UI"/>
                <w:b/>
                <w:sz w:val="20"/>
                <w:szCs w:val="19"/>
                <w:lang w:bidi="bn-BD"/>
              </w:rPr>
            </w:pPr>
            <w:r w:rsidRPr="009778D4">
              <w:rPr>
                <w:rFonts w:cs="Segoe UI"/>
                <w:b/>
                <w:sz w:val="20"/>
                <w:szCs w:val="19"/>
                <w:lang w:bidi="bn-BD"/>
              </w:rPr>
              <w:t>Piped water</w:t>
            </w:r>
          </w:p>
        </w:tc>
        <w:tc>
          <w:tcPr>
            <w:tcW w:w="1401" w:type="pct"/>
            <w:shd w:val="clear" w:color="auto" w:fill="EEF8E4"/>
            <w:vAlign w:val="center"/>
          </w:tcPr>
          <w:p w:rsidR="0048464B" w:rsidRPr="009778D4" w:rsidRDefault="0048464B" w:rsidP="00F83382">
            <w:pPr>
              <w:spacing w:after="0" w:line="240" w:lineRule="auto"/>
              <w:jc w:val="center"/>
              <w:rPr>
                <w:rFonts w:cs="Segoe UI"/>
                <w:b/>
                <w:sz w:val="20"/>
                <w:szCs w:val="19"/>
                <w:lang w:bidi="bn-BD"/>
              </w:rPr>
            </w:pPr>
            <w:r w:rsidRPr="009778D4">
              <w:rPr>
                <w:rFonts w:cs="Segoe UI"/>
                <w:b/>
                <w:sz w:val="20"/>
                <w:szCs w:val="19"/>
                <w:lang w:bidi="bn-BD"/>
              </w:rPr>
              <w:t>Other improved source</w:t>
            </w:r>
          </w:p>
        </w:tc>
        <w:tc>
          <w:tcPr>
            <w:tcW w:w="1553" w:type="pct"/>
            <w:vMerge/>
            <w:vAlign w:val="center"/>
          </w:tcPr>
          <w:p w:rsidR="0048464B" w:rsidRPr="009778D4" w:rsidRDefault="0048464B" w:rsidP="00F83382">
            <w:pPr>
              <w:spacing w:after="0" w:line="240" w:lineRule="auto"/>
              <w:jc w:val="center"/>
              <w:rPr>
                <w:rFonts w:cs="Segoe UI"/>
                <w:b/>
                <w:sz w:val="20"/>
                <w:szCs w:val="19"/>
                <w:lang w:bidi="bn-BD"/>
              </w:rPr>
            </w:pPr>
          </w:p>
        </w:tc>
      </w:tr>
      <w:tr w:rsidR="0048464B" w:rsidRPr="009778D4" w:rsidTr="00F83382">
        <w:trPr>
          <w:trHeight w:val="70"/>
        </w:trPr>
        <w:tc>
          <w:tcPr>
            <w:tcW w:w="545" w:type="pct"/>
            <w:vMerge w:val="restar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Division</w:t>
            </w:r>
          </w:p>
        </w:tc>
        <w:tc>
          <w:tcPr>
            <w:tcW w:w="71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Barisal</w:t>
            </w:r>
          </w:p>
        </w:tc>
        <w:tc>
          <w:tcPr>
            <w:tcW w:w="790"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0.7%</w:t>
            </w:r>
          </w:p>
        </w:tc>
        <w:tc>
          <w:tcPr>
            <w:tcW w:w="140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94.6%</w:t>
            </w:r>
          </w:p>
        </w:tc>
        <w:tc>
          <w:tcPr>
            <w:tcW w:w="1553"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4.7%</w:t>
            </w:r>
          </w:p>
        </w:tc>
      </w:tr>
      <w:tr w:rsidR="0048464B" w:rsidRPr="009778D4" w:rsidTr="00F83382">
        <w:tc>
          <w:tcPr>
            <w:tcW w:w="545" w:type="pct"/>
            <w:vMerge/>
            <w:vAlign w:val="center"/>
          </w:tcPr>
          <w:p w:rsidR="0048464B" w:rsidRPr="009778D4" w:rsidRDefault="0048464B" w:rsidP="00F83382">
            <w:pPr>
              <w:spacing w:after="0" w:line="240" w:lineRule="auto"/>
              <w:jc w:val="center"/>
              <w:rPr>
                <w:rFonts w:cs="Segoe UI"/>
                <w:sz w:val="20"/>
                <w:szCs w:val="19"/>
                <w:lang w:bidi="bn-BD"/>
              </w:rPr>
            </w:pPr>
          </w:p>
        </w:tc>
        <w:tc>
          <w:tcPr>
            <w:tcW w:w="71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Chittagong</w:t>
            </w:r>
          </w:p>
        </w:tc>
        <w:tc>
          <w:tcPr>
            <w:tcW w:w="790"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3.6%</w:t>
            </w:r>
          </w:p>
        </w:tc>
        <w:tc>
          <w:tcPr>
            <w:tcW w:w="140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93.4%</w:t>
            </w:r>
          </w:p>
        </w:tc>
        <w:tc>
          <w:tcPr>
            <w:tcW w:w="1553"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3.0%</w:t>
            </w:r>
          </w:p>
        </w:tc>
      </w:tr>
      <w:tr w:rsidR="0048464B" w:rsidRPr="009778D4" w:rsidTr="00F83382">
        <w:tc>
          <w:tcPr>
            <w:tcW w:w="545" w:type="pct"/>
            <w:vMerge/>
            <w:vAlign w:val="center"/>
          </w:tcPr>
          <w:p w:rsidR="0048464B" w:rsidRPr="009778D4" w:rsidRDefault="0048464B" w:rsidP="00F83382">
            <w:pPr>
              <w:spacing w:after="0" w:line="240" w:lineRule="auto"/>
              <w:jc w:val="center"/>
              <w:rPr>
                <w:rFonts w:cs="Segoe UI"/>
                <w:sz w:val="20"/>
                <w:szCs w:val="19"/>
                <w:lang w:bidi="bn-BD"/>
              </w:rPr>
            </w:pPr>
          </w:p>
        </w:tc>
        <w:tc>
          <w:tcPr>
            <w:tcW w:w="71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Dhaka</w:t>
            </w:r>
          </w:p>
        </w:tc>
        <w:tc>
          <w:tcPr>
            <w:tcW w:w="790"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16.5%</w:t>
            </w:r>
          </w:p>
        </w:tc>
        <w:tc>
          <w:tcPr>
            <w:tcW w:w="140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83.4%</w:t>
            </w:r>
          </w:p>
        </w:tc>
        <w:tc>
          <w:tcPr>
            <w:tcW w:w="1553"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0.1%</w:t>
            </w:r>
          </w:p>
        </w:tc>
      </w:tr>
      <w:tr w:rsidR="0048464B" w:rsidRPr="009778D4" w:rsidTr="00F83382">
        <w:tc>
          <w:tcPr>
            <w:tcW w:w="545" w:type="pct"/>
            <w:vMerge/>
            <w:vAlign w:val="center"/>
          </w:tcPr>
          <w:p w:rsidR="0048464B" w:rsidRPr="009778D4" w:rsidRDefault="0048464B" w:rsidP="00F83382">
            <w:pPr>
              <w:spacing w:after="0" w:line="240" w:lineRule="auto"/>
              <w:jc w:val="center"/>
              <w:rPr>
                <w:rFonts w:cs="Segoe UI"/>
                <w:sz w:val="20"/>
                <w:szCs w:val="19"/>
                <w:lang w:bidi="bn-BD"/>
              </w:rPr>
            </w:pPr>
          </w:p>
        </w:tc>
        <w:tc>
          <w:tcPr>
            <w:tcW w:w="71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Khulna</w:t>
            </w:r>
          </w:p>
        </w:tc>
        <w:tc>
          <w:tcPr>
            <w:tcW w:w="790"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2.3%</w:t>
            </w:r>
          </w:p>
        </w:tc>
        <w:tc>
          <w:tcPr>
            <w:tcW w:w="140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92.1%</w:t>
            </w:r>
          </w:p>
        </w:tc>
        <w:tc>
          <w:tcPr>
            <w:tcW w:w="1553"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5.6%</w:t>
            </w:r>
          </w:p>
        </w:tc>
      </w:tr>
      <w:tr w:rsidR="0048464B" w:rsidRPr="009778D4" w:rsidTr="00F83382">
        <w:tc>
          <w:tcPr>
            <w:tcW w:w="545" w:type="pct"/>
            <w:vMerge/>
            <w:vAlign w:val="center"/>
          </w:tcPr>
          <w:p w:rsidR="0048464B" w:rsidRPr="009778D4" w:rsidRDefault="0048464B" w:rsidP="00F83382">
            <w:pPr>
              <w:spacing w:after="0" w:line="240" w:lineRule="auto"/>
              <w:jc w:val="center"/>
              <w:rPr>
                <w:rFonts w:cs="Segoe UI"/>
                <w:sz w:val="20"/>
                <w:szCs w:val="19"/>
                <w:lang w:bidi="bn-BD"/>
              </w:rPr>
            </w:pPr>
          </w:p>
        </w:tc>
        <w:tc>
          <w:tcPr>
            <w:tcW w:w="71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Rajshahi</w:t>
            </w:r>
          </w:p>
        </w:tc>
        <w:tc>
          <w:tcPr>
            <w:tcW w:w="790"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4.2%</w:t>
            </w:r>
          </w:p>
        </w:tc>
        <w:tc>
          <w:tcPr>
            <w:tcW w:w="140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95.1%</w:t>
            </w:r>
          </w:p>
        </w:tc>
        <w:tc>
          <w:tcPr>
            <w:tcW w:w="1553"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0.7%</w:t>
            </w:r>
          </w:p>
        </w:tc>
      </w:tr>
      <w:tr w:rsidR="0048464B" w:rsidRPr="009778D4" w:rsidTr="00F83382">
        <w:tc>
          <w:tcPr>
            <w:tcW w:w="545" w:type="pct"/>
            <w:vMerge/>
            <w:vAlign w:val="center"/>
          </w:tcPr>
          <w:p w:rsidR="0048464B" w:rsidRPr="009778D4" w:rsidRDefault="0048464B" w:rsidP="00F83382">
            <w:pPr>
              <w:spacing w:after="0" w:line="240" w:lineRule="auto"/>
              <w:jc w:val="center"/>
              <w:rPr>
                <w:rFonts w:cs="Segoe UI"/>
                <w:sz w:val="20"/>
                <w:szCs w:val="19"/>
                <w:lang w:bidi="bn-BD"/>
              </w:rPr>
            </w:pPr>
          </w:p>
        </w:tc>
        <w:tc>
          <w:tcPr>
            <w:tcW w:w="71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Rangpur</w:t>
            </w:r>
          </w:p>
        </w:tc>
        <w:tc>
          <w:tcPr>
            <w:tcW w:w="790"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0.7%</w:t>
            </w:r>
          </w:p>
        </w:tc>
        <w:tc>
          <w:tcPr>
            <w:tcW w:w="140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99.2%</w:t>
            </w:r>
          </w:p>
        </w:tc>
        <w:tc>
          <w:tcPr>
            <w:tcW w:w="1553"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0.1%</w:t>
            </w:r>
          </w:p>
        </w:tc>
      </w:tr>
      <w:tr w:rsidR="0048464B" w:rsidRPr="009778D4" w:rsidTr="00F83382">
        <w:tc>
          <w:tcPr>
            <w:tcW w:w="545" w:type="pct"/>
            <w:vMerge/>
            <w:vAlign w:val="center"/>
          </w:tcPr>
          <w:p w:rsidR="0048464B" w:rsidRPr="009778D4" w:rsidRDefault="0048464B" w:rsidP="00F83382">
            <w:pPr>
              <w:spacing w:after="0" w:line="240" w:lineRule="auto"/>
              <w:jc w:val="center"/>
              <w:rPr>
                <w:rFonts w:cs="Segoe UI"/>
                <w:sz w:val="20"/>
                <w:szCs w:val="19"/>
                <w:lang w:bidi="bn-BD"/>
              </w:rPr>
            </w:pPr>
          </w:p>
        </w:tc>
        <w:tc>
          <w:tcPr>
            <w:tcW w:w="71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Sylhet</w:t>
            </w:r>
          </w:p>
        </w:tc>
        <w:tc>
          <w:tcPr>
            <w:tcW w:w="790"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3.5%</w:t>
            </w:r>
          </w:p>
        </w:tc>
        <w:tc>
          <w:tcPr>
            <w:tcW w:w="140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90.3%</w:t>
            </w:r>
          </w:p>
        </w:tc>
        <w:tc>
          <w:tcPr>
            <w:tcW w:w="1553"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6.2%</w:t>
            </w:r>
          </w:p>
        </w:tc>
      </w:tr>
      <w:tr w:rsidR="0048464B" w:rsidRPr="009778D4" w:rsidTr="00F83382">
        <w:tc>
          <w:tcPr>
            <w:tcW w:w="545"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Area</w:t>
            </w:r>
          </w:p>
        </w:tc>
        <w:tc>
          <w:tcPr>
            <w:tcW w:w="71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Urban</w:t>
            </w:r>
          </w:p>
        </w:tc>
        <w:tc>
          <w:tcPr>
            <w:tcW w:w="790" w:type="pct"/>
            <w:vAlign w:val="center"/>
          </w:tcPr>
          <w:p w:rsidR="0048464B" w:rsidRPr="009778D4" w:rsidRDefault="0048464B" w:rsidP="00F83382">
            <w:pPr>
              <w:spacing w:after="0" w:line="240" w:lineRule="auto"/>
              <w:jc w:val="center"/>
              <w:rPr>
                <w:rFonts w:cs="Segoe UI"/>
                <w:b/>
                <w:bCs/>
                <w:sz w:val="20"/>
                <w:szCs w:val="19"/>
                <w:lang w:bidi="bn-BD"/>
              </w:rPr>
            </w:pPr>
            <w:r w:rsidRPr="009778D4">
              <w:rPr>
                <w:rFonts w:cs="Segoe UI"/>
                <w:b/>
                <w:bCs/>
                <w:sz w:val="20"/>
                <w:szCs w:val="19"/>
                <w:lang w:bidi="bn-BD"/>
              </w:rPr>
              <w:t>28.7%</w:t>
            </w:r>
          </w:p>
        </w:tc>
        <w:tc>
          <w:tcPr>
            <w:tcW w:w="1401" w:type="pct"/>
            <w:vAlign w:val="center"/>
          </w:tcPr>
          <w:p w:rsidR="0048464B" w:rsidRPr="009778D4" w:rsidRDefault="0048464B" w:rsidP="00F83382">
            <w:pPr>
              <w:spacing w:after="0" w:line="240" w:lineRule="auto"/>
              <w:jc w:val="center"/>
              <w:rPr>
                <w:rFonts w:cs="Segoe UI"/>
                <w:b/>
                <w:bCs/>
                <w:sz w:val="20"/>
                <w:szCs w:val="19"/>
                <w:lang w:bidi="bn-BD"/>
              </w:rPr>
            </w:pPr>
            <w:r w:rsidRPr="009778D4">
              <w:rPr>
                <w:rFonts w:cs="Segoe UI"/>
                <w:b/>
                <w:bCs/>
                <w:sz w:val="20"/>
                <w:szCs w:val="19"/>
                <w:lang w:bidi="bn-BD"/>
              </w:rPr>
              <w:t>70.4%</w:t>
            </w:r>
          </w:p>
        </w:tc>
        <w:tc>
          <w:tcPr>
            <w:tcW w:w="1553" w:type="pct"/>
            <w:vAlign w:val="center"/>
          </w:tcPr>
          <w:p w:rsidR="0048464B" w:rsidRPr="009778D4" w:rsidRDefault="0048464B" w:rsidP="00F83382">
            <w:pPr>
              <w:spacing w:after="0" w:line="240" w:lineRule="auto"/>
              <w:jc w:val="center"/>
              <w:rPr>
                <w:rFonts w:cs="Segoe UI"/>
                <w:b/>
                <w:bCs/>
                <w:sz w:val="20"/>
                <w:szCs w:val="19"/>
                <w:lang w:bidi="bn-BD"/>
              </w:rPr>
            </w:pPr>
            <w:r w:rsidRPr="009778D4">
              <w:rPr>
                <w:rFonts w:cs="Segoe UI"/>
                <w:b/>
                <w:bCs/>
                <w:sz w:val="20"/>
                <w:szCs w:val="19"/>
                <w:lang w:bidi="bn-BD"/>
              </w:rPr>
              <w:t>0.9%</w:t>
            </w:r>
          </w:p>
        </w:tc>
      </w:tr>
      <w:tr w:rsidR="0048464B" w:rsidRPr="009778D4" w:rsidTr="00F83382">
        <w:tc>
          <w:tcPr>
            <w:tcW w:w="545" w:type="pct"/>
            <w:vAlign w:val="center"/>
          </w:tcPr>
          <w:p w:rsidR="0048464B" w:rsidRPr="009778D4" w:rsidRDefault="0048464B" w:rsidP="00F83382">
            <w:pPr>
              <w:spacing w:after="0" w:line="240" w:lineRule="auto"/>
              <w:jc w:val="center"/>
              <w:rPr>
                <w:rFonts w:cs="Segoe UI"/>
                <w:sz w:val="20"/>
                <w:szCs w:val="19"/>
                <w:lang w:bidi="bn-BD"/>
              </w:rPr>
            </w:pPr>
          </w:p>
        </w:tc>
        <w:tc>
          <w:tcPr>
            <w:tcW w:w="711" w:type="pct"/>
            <w:vAlign w:val="center"/>
          </w:tcPr>
          <w:p w:rsidR="0048464B" w:rsidRPr="009778D4" w:rsidRDefault="0048464B" w:rsidP="00F83382">
            <w:pPr>
              <w:spacing w:after="0" w:line="240" w:lineRule="auto"/>
              <w:jc w:val="center"/>
              <w:rPr>
                <w:rFonts w:cs="Segoe UI"/>
                <w:sz w:val="20"/>
                <w:szCs w:val="19"/>
                <w:lang w:bidi="bn-BD"/>
              </w:rPr>
            </w:pPr>
            <w:r w:rsidRPr="009778D4">
              <w:rPr>
                <w:rFonts w:cs="Segoe UI"/>
                <w:sz w:val="20"/>
                <w:szCs w:val="19"/>
                <w:lang w:bidi="bn-BD"/>
              </w:rPr>
              <w:t>Rural</w:t>
            </w:r>
          </w:p>
        </w:tc>
        <w:tc>
          <w:tcPr>
            <w:tcW w:w="790" w:type="pct"/>
            <w:vAlign w:val="center"/>
          </w:tcPr>
          <w:p w:rsidR="0048464B" w:rsidRPr="009778D4" w:rsidRDefault="0048464B" w:rsidP="00F83382">
            <w:pPr>
              <w:spacing w:after="0" w:line="240" w:lineRule="auto"/>
              <w:jc w:val="center"/>
              <w:rPr>
                <w:rFonts w:cs="Segoe UI"/>
                <w:b/>
                <w:bCs/>
                <w:sz w:val="20"/>
                <w:szCs w:val="19"/>
                <w:lang w:bidi="bn-BD"/>
              </w:rPr>
            </w:pPr>
            <w:r w:rsidRPr="009778D4">
              <w:rPr>
                <w:rFonts w:cs="Segoe UI"/>
                <w:b/>
                <w:bCs/>
                <w:sz w:val="20"/>
                <w:szCs w:val="19"/>
                <w:lang w:bidi="bn-BD"/>
              </w:rPr>
              <w:t>1.3%</w:t>
            </w:r>
          </w:p>
        </w:tc>
        <w:tc>
          <w:tcPr>
            <w:tcW w:w="1401" w:type="pct"/>
            <w:vAlign w:val="center"/>
          </w:tcPr>
          <w:p w:rsidR="0048464B" w:rsidRPr="009778D4" w:rsidRDefault="0048464B" w:rsidP="00F83382">
            <w:pPr>
              <w:spacing w:after="0" w:line="240" w:lineRule="auto"/>
              <w:jc w:val="center"/>
              <w:rPr>
                <w:rFonts w:cs="Segoe UI"/>
                <w:b/>
                <w:bCs/>
                <w:sz w:val="20"/>
                <w:szCs w:val="19"/>
                <w:lang w:bidi="bn-BD"/>
              </w:rPr>
            </w:pPr>
            <w:r w:rsidRPr="009778D4">
              <w:rPr>
                <w:rFonts w:cs="Segoe UI"/>
                <w:b/>
                <w:bCs/>
                <w:sz w:val="20"/>
                <w:szCs w:val="19"/>
                <w:lang w:bidi="bn-BD"/>
              </w:rPr>
              <w:t>96.3%</w:t>
            </w:r>
          </w:p>
        </w:tc>
        <w:tc>
          <w:tcPr>
            <w:tcW w:w="1553" w:type="pct"/>
            <w:vAlign w:val="center"/>
          </w:tcPr>
          <w:p w:rsidR="0048464B" w:rsidRPr="009778D4" w:rsidRDefault="0048464B" w:rsidP="00F83382">
            <w:pPr>
              <w:spacing w:after="0" w:line="240" w:lineRule="auto"/>
              <w:jc w:val="center"/>
              <w:rPr>
                <w:rFonts w:cs="Segoe UI"/>
                <w:b/>
                <w:bCs/>
                <w:sz w:val="20"/>
                <w:szCs w:val="19"/>
                <w:lang w:bidi="bn-BD"/>
              </w:rPr>
            </w:pPr>
            <w:r w:rsidRPr="009778D4">
              <w:rPr>
                <w:rFonts w:cs="Segoe UI"/>
                <w:b/>
                <w:bCs/>
                <w:sz w:val="20"/>
                <w:szCs w:val="19"/>
                <w:lang w:bidi="bn-BD"/>
              </w:rPr>
              <w:t>2.4%</w:t>
            </w:r>
          </w:p>
        </w:tc>
      </w:tr>
      <w:tr w:rsidR="0048464B" w:rsidRPr="009778D4" w:rsidTr="00F83382">
        <w:tc>
          <w:tcPr>
            <w:tcW w:w="545" w:type="pct"/>
            <w:vAlign w:val="center"/>
          </w:tcPr>
          <w:p w:rsidR="0048464B" w:rsidRPr="009778D4" w:rsidRDefault="0048464B" w:rsidP="00F83382">
            <w:pPr>
              <w:spacing w:after="0" w:line="240" w:lineRule="auto"/>
              <w:jc w:val="center"/>
              <w:rPr>
                <w:rFonts w:cs="Segoe UI"/>
                <w:b/>
                <w:sz w:val="20"/>
                <w:szCs w:val="19"/>
                <w:lang w:bidi="bn-BD"/>
              </w:rPr>
            </w:pPr>
            <w:r w:rsidRPr="009778D4">
              <w:rPr>
                <w:rFonts w:cs="Segoe UI"/>
                <w:b/>
                <w:sz w:val="20"/>
                <w:szCs w:val="19"/>
                <w:lang w:bidi="bn-BD"/>
              </w:rPr>
              <w:t>Total</w:t>
            </w:r>
          </w:p>
        </w:tc>
        <w:tc>
          <w:tcPr>
            <w:tcW w:w="711" w:type="pct"/>
            <w:vAlign w:val="center"/>
          </w:tcPr>
          <w:p w:rsidR="0048464B" w:rsidRPr="009778D4" w:rsidRDefault="0048464B" w:rsidP="00F83382">
            <w:pPr>
              <w:spacing w:after="0" w:line="240" w:lineRule="auto"/>
              <w:jc w:val="center"/>
              <w:rPr>
                <w:rFonts w:cs="Segoe UI"/>
                <w:b/>
                <w:sz w:val="20"/>
                <w:szCs w:val="19"/>
                <w:lang w:bidi="bn-BD"/>
              </w:rPr>
            </w:pPr>
          </w:p>
        </w:tc>
        <w:tc>
          <w:tcPr>
            <w:tcW w:w="790" w:type="pct"/>
            <w:vAlign w:val="center"/>
          </w:tcPr>
          <w:p w:rsidR="0048464B" w:rsidRPr="009778D4" w:rsidRDefault="0048464B" w:rsidP="00F83382">
            <w:pPr>
              <w:spacing w:after="0" w:line="240" w:lineRule="auto"/>
              <w:jc w:val="center"/>
              <w:rPr>
                <w:rFonts w:cs="Segoe UI"/>
                <w:b/>
                <w:sz w:val="20"/>
                <w:szCs w:val="19"/>
                <w:lang w:bidi="bn-BD"/>
              </w:rPr>
            </w:pPr>
            <w:r w:rsidRPr="009778D4">
              <w:rPr>
                <w:rFonts w:cs="Segoe UI"/>
                <w:b/>
                <w:sz w:val="20"/>
                <w:szCs w:val="19"/>
                <w:lang w:bidi="bn-BD"/>
              </w:rPr>
              <w:t>7.0%</w:t>
            </w:r>
          </w:p>
        </w:tc>
        <w:tc>
          <w:tcPr>
            <w:tcW w:w="1401" w:type="pct"/>
            <w:vAlign w:val="center"/>
          </w:tcPr>
          <w:p w:rsidR="0048464B" w:rsidRPr="009778D4" w:rsidRDefault="0048464B" w:rsidP="00F83382">
            <w:pPr>
              <w:spacing w:after="0" w:line="240" w:lineRule="auto"/>
              <w:jc w:val="center"/>
              <w:rPr>
                <w:rFonts w:cs="Segoe UI"/>
                <w:b/>
                <w:sz w:val="20"/>
                <w:szCs w:val="19"/>
                <w:lang w:bidi="bn-BD"/>
              </w:rPr>
            </w:pPr>
            <w:r w:rsidRPr="009778D4">
              <w:rPr>
                <w:rFonts w:cs="Segoe UI"/>
                <w:b/>
                <w:sz w:val="20"/>
                <w:szCs w:val="19"/>
                <w:lang w:bidi="bn-BD"/>
              </w:rPr>
              <w:t>90.9%</w:t>
            </w:r>
          </w:p>
        </w:tc>
        <w:tc>
          <w:tcPr>
            <w:tcW w:w="1553" w:type="pct"/>
            <w:vAlign w:val="center"/>
          </w:tcPr>
          <w:p w:rsidR="0048464B" w:rsidRPr="009778D4" w:rsidRDefault="0048464B" w:rsidP="00F83382">
            <w:pPr>
              <w:spacing w:after="0" w:line="240" w:lineRule="auto"/>
              <w:jc w:val="center"/>
              <w:rPr>
                <w:rFonts w:cs="Segoe UI"/>
                <w:b/>
                <w:sz w:val="20"/>
                <w:szCs w:val="19"/>
                <w:lang w:bidi="bn-BD"/>
              </w:rPr>
            </w:pPr>
            <w:r w:rsidRPr="009778D4">
              <w:rPr>
                <w:rFonts w:cs="Segoe UI"/>
                <w:b/>
                <w:sz w:val="20"/>
                <w:szCs w:val="19"/>
                <w:lang w:bidi="bn-BD"/>
              </w:rPr>
              <w:t>2.1%</w:t>
            </w:r>
          </w:p>
        </w:tc>
      </w:tr>
    </w:tbl>
    <w:p w:rsidR="0048464B" w:rsidRDefault="0048464B" w:rsidP="0048464B">
      <w:pPr>
        <w:spacing w:line="276" w:lineRule="auto"/>
        <w:jc w:val="both"/>
        <w:rPr>
          <w:rFonts w:cs="Times New Roman"/>
          <w:szCs w:val="24"/>
        </w:rPr>
      </w:pPr>
      <w:r>
        <w:rPr>
          <w:rFonts w:cs="Times New Roman"/>
          <w:szCs w:val="24"/>
        </w:rPr>
        <w:t>Source: Compiled by BDP 2100</w:t>
      </w:r>
    </w:p>
    <w:p w:rsidR="0048464B" w:rsidRPr="0050663D" w:rsidRDefault="0048464B" w:rsidP="0048464B">
      <w:pPr>
        <w:spacing w:line="276" w:lineRule="auto"/>
        <w:jc w:val="both"/>
        <w:rPr>
          <w:rFonts w:cs="Times New Roman"/>
          <w:bCs/>
          <w:i/>
          <w:szCs w:val="24"/>
        </w:rPr>
      </w:pPr>
      <w:r w:rsidRPr="003664FB">
        <w:rPr>
          <w:rFonts w:cs="Times New Roman"/>
          <w:szCs w:val="24"/>
        </w:rPr>
        <w:lastRenderedPageBreak/>
        <w:t xml:space="preserve">Coverage does not necessarily indicate the quality of service to the people. </w:t>
      </w:r>
      <w:r w:rsidRPr="0050663D">
        <w:rPr>
          <w:rFonts w:cs="Times New Roman"/>
          <w:bCs/>
          <w:i/>
          <w:szCs w:val="24"/>
        </w:rPr>
        <w:t>There are significant variations across urban centers in term of piped water supply. In Dhaka, for example direct connection coverage is 87% whereas in Sherpur, a small town, it is only 22%.</w:t>
      </w:r>
      <w:r w:rsidRPr="003664FB">
        <w:rPr>
          <w:rFonts w:cs="Times New Roman"/>
          <w:szCs w:val="24"/>
        </w:rPr>
        <w:t xml:space="preserve"> The</w:t>
      </w:r>
      <w:r>
        <w:rPr>
          <w:rFonts w:cs="Times New Roman"/>
          <w:szCs w:val="24"/>
        </w:rPr>
        <w:t>r</w:t>
      </w:r>
      <w:r w:rsidRPr="003664FB">
        <w:rPr>
          <w:rFonts w:cs="Times New Roman"/>
          <w:szCs w:val="24"/>
        </w:rPr>
        <w:t>e are also quite significant variation</w:t>
      </w:r>
      <w:r>
        <w:rPr>
          <w:rFonts w:cs="Times New Roman"/>
          <w:szCs w:val="24"/>
        </w:rPr>
        <w:t>s</w:t>
      </w:r>
      <w:r w:rsidRPr="003664FB">
        <w:rPr>
          <w:rFonts w:cs="Times New Roman"/>
          <w:szCs w:val="24"/>
        </w:rPr>
        <w:t xml:space="preserve"> across cities of different sizes in terms of water produc</w:t>
      </w:r>
      <w:r>
        <w:rPr>
          <w:rFonts w:cs="Times New Roman"/>
          <w:szCs w:val="24"/>
        </w:rPr>
        <w:t xml:space="preserve">tion and consumption. </w:t>
      </w:r>
      <w:r w:rsidRPr="0050663D">
        <w:rPr>
          <w:rFonts w:cs="Times New Roman"/>
          <w:bCs/>
          <w:i/>
          <w:szCs w:val="24"/>
        </w:rPr>
        <w:t>In Dhaka, production of water per capita per day (lpcd) is about 180 litres while in Sherpur this amount is only 85 litres. Per capita consumption of water is however, less than production due to losses. In Dhaka per capita consumption per day is 127 litres while in Sherpur this amount is 68 litres indicating that unaccounted for water is about 30% in Dhaka and 20% in Sherpur.</w:t>
      </w:r>
      <w:r w:rsidRPr="0050663D">
        <w:rPr>
          <w:rFonts w:cs="Times New Roman"/>
          <w:i/>
          <w:szCs w:val="24"/>
        </w:rPr>
        <w:t xml:space="preserve"> </w:t>
      </w:r>
      <w:r w:rsidRPr="003664FB">
        <w:rPr>
          <w:rFonts w:cs="Times New Roman"/>
          <w:szCs w:val="24"/>
        </w:rPr>
        <w:t>Existence of many illegal settlements and illegal connection in low-income communities are largely responsible for higher proportion o</w:t>
      </w:r>
      <w:r>
        <w:rPr>
          <w:rFonts w:cs="Times New Roman"/>
          <w:szCs w:val="24"/>
        </w:rPr>
        <w:t>f</w:t>
      </w:r>
      <w:r w:rsidRPr="003664FB">
        <w:rPr>
          <w:rFonts w:cs="Times New Roman"/>
          <w:szCs w:val="24"/>
        </w:rPr>
        <w:t xml:space="preserve"> unaccounted </w:t>
      </w:r>
      <w:r>
        <w:rPr>
          <w:rFonts w:cs="Times New Roman"/>
          <w:szCs w:val="24"/>
        </w:rPr>
        <w:t>for</w:t>
      </w:r>
      <w:r w:rsidRPr="003664FB">
        <w:rPr>
          <w:rFonts w:cs="Times New Roman"/>
          <w:szCs w:val="24"/>
        </w:rPr>
        <w:t xml:space="preserve"> water in Dhaka.</w:t>
      </w:r>
      <w:r>
        <w:rPr>
          <w:rFonts w:cs="Times New Roman"/>
          <w:szCs w:val="24"/>
        </w:rPr>
        <w:t xml:space="preserve"> Table 10.3 presents data on coverage of population by piped water supply, production, consumption and loss of water in 7 city corporations and 31 paurashavas grouped according to population sizes. What is important to note is that coverage of population by piped water is lower in smaller urban local bodies (ULBs) and higher in larger ULBs. </w:t>
      </w:r>
      <w:r w:rsidRPr="0050663D">
        <w:rPr>
          <w:rFonts w:cs="Times New Roman"/>
          <w:bCs/>
          <w:i/>
          <w:szCs w:val="24"/>
        </w:rPr>
        <w:t>In Paurashavas with population less than 100 thousand, only 37% of the population is covered by piped water supply while in city corporations with more than one million people (Dhaka and Chittagong) 64% of the population get piped water supply on an average.</w:t>
      </w:r>
    </w:p>
    <w:p w:rsidR="0048464B" w:rsidRPr="00101CE9" w:rsidRDefault="0048464B" w:rsidP="0048464B">
      <w:pPr>
        <w:jc w:val="center"/>
        <w:rPr>
          <w:b/>
        </w:rPr>
      </w:pPr>
      <w:bookmarkStart w:id="736" w:name="_Toc464328982"/>
      <w:r w:rsidRPr="00101CE9">
        <w:rPr>
          <w:b/>
        </w:rPr>
        <w:t>Table 10.3: Piped Water Supply – Coverage, Production, Consumption and Loss of Water</w:t>
      </w:r>
      <w:bookmarkEnd w:id="736"/>
    </w:p>
    <w:tbl>
      <w:tblPr>
        <w:tblStyle w:val="LightShading10"/>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58"/>
        <w:gridCol w:w="1530"/>
        <w:gridCol w:w="990"/>
        <w:gridCol w:w="1260"/>
        <w:gridCol w:w="1530"/>
        <w:gridCol w:w="1530"/>
        <w:gridCol w:w="1350"/>
      </w:tblGrid>
      <w:tr w:rsidR="0048464B" w:rsidRPr="009778D4" w:rsidTr="00F83382">
        <w:trPr>
          <w:cnfStyle w:val="100000000000"/>
        </w:trPr>
        <w:tc>
          <w:tcPr>
            <w:cnfStyle w:val="001000000000"/>
            <w:tcW w:w="1458" w:type="dxa"/>
            <w:tcBorders>
              <w:top w:val="none" w:sz="0" w:space="0" w:color="auto"/>
              <w:left w:val="none" w:sz="0" w:space="0" w:color="auto"/>
              <w:bottom w:val="none" w:sz="0" w:space="0" w:color="auto"/>
              <w:right w:val="none" w:sz="0" w:space="0" w:color="auto"/>
            </w:tcBorders>
          </w:tcPr>
          <w:p w:rsidR="0048464B" w:rsidRPr="009778D4" w:rsidRDefault="0048464B" w:rsidP="00F83382">
            <w:pPr>
              <w:spacing w:line="276" w:lineRule="auto"/>
              <w:jc w:val="center"/>
              <w:rPr>
                <w:rFonts w:ascii="Times New Roman" w:hAnsi="Times New Roman"/>
                <w:bCs w:val="0"/>
                <w:sz w:val="18"/>
                <w:szCs w:val="22"/>
              </w:rPr>
            </w:pPr>
            <w:r w:rsidRPr="009778D4">
              <w:rPr>
                <w:rFonts w:ascii="Times New Roman" w:hAnsi="Times New Roman"/>
                <w:bCs w:val="0"/>
                <w:sz w:val="18"/>
                <w:szCs w:val="22"/>
              </w:rPr>
              <w:t>Population Size</w:t>
            </w:r>
          </w:p>
          <w:p w:rsidR="0048464B" w:rsidRPr="009778D4" w:rsidRDefault="0048464B" w:rsidP="00F83382">
            <w:pPr>
              <w:spacing w:line="276" w:lineRule="auto"/>
              <w:jc w:val="center"/>
              <w:rPr>
                <w:rFonts w:ascii="Times New Roman" w:hAnsi="Times New Roman"/>
                <w:bCs w:val="0"/>
                <w:sz w:val="18"/>
                <w:szCs w:val="22"/>
              </w:rPr>
            </w:pPr>
            <w:r w:rsidRPr="009778D4">
              <w:rPr>
                <w:rFonts w:ascii="Times New Roman" w:hAnsi="Times New Roman"/>
                <w:bCs w:val="0"/>
                <w:sz w:val="18"/>
                <w:szCs w:val="22"/>
              </w:rPr>
              <w:t>(in thousands)</w:t>
            </w:r>
          </w:p>
        </w:tc>
        <w:tc>
          <w:tcPr>
            <w:tcW w:w="1530" w:type="dxa"/>
            <w:tcBorders>
              <w:top w:val="none" w:sz="0" w:space="0" w:color="auto"/>
              <w:left w:val="none" w:sz="0" w:space="0" w:color="auto"/>
              <w:bottom w:val="none" w:sz="0" w:space="0" w:color="auto"/>
              <w:right w:val="none" w:sz="0" w:space="0" w:color="auto"/>
            </w:tcBorders>
          </w:tcPr>
          <w:p w:rsidR="0048464B" w:rsidRPr="009778D4" w:rsidRDefault="0048464B" w:rsidP="00F83382">
            <w:pPr>
              <w:spacing w:line="276" w:lineRule="auto"/>
              <w:jc w:val="center"/>
              <w:cnfStyle w:val="100000000000"/>
              <w:rPr>
                <w:rFonts w:ascii="Times New Roman" w:hAnsi="Times New Roman"/>
                <w:bCs w:val="0"/>
                <w:sz w:val="18"/>
                <w:szCs w:val="22"/>
              </w:rPr>
            </w:pPr>
            <w:r w:rsidRPr="009778D4">
              <w:rPr>
                <w:rFonts w:ascii="Times New Roman" w:hAnsi="Times New Roman"/>
                <w:bCs w:val="0"/>
                <w:sz w:val="18"/>
                <w:szCs w:val="22"/>
              </w:rPr>
              <w:t>Type of Urban Local Government</w:t>
            </w:r>
          </w:p>
        </w:tc>
        <w:tc>
          <w:tcPr>
            <w:tcW w:w="990" w:type="dxa"/>
            <w:tcBorders>
              <w:top w:val="none" w:sz="0" w:space="0" w:color="auto"/>
              <w:left w:val="none" w:sz="0" w:space="0" w:color="auto"/>
              <w:bottom w:val="none" w:sz="0" w:space="0" w:color="auto"/>
              <w:right w:val="none" w:sz="0" w:space="0" w:color="auto"/>
            </w:tcBorders>
          </w:tcPr>
          <w:p w:rsidR="0048464B" w:rsidRPr="009778D4" w:rsidRDefault="0048464B" w:rsidP="00F83382">
            <w:pPr>
              <w:spacing w:line="276" w:lineRule="auto"/>
              <w:jc w:val="center"/>
              <w:cnfStyle w:val="100000000000"/>
              <w:rPr>
                <w:rFonts w:ascii="Times New Roman" w:hAnsi="Times New Roman"/>
                <w:bCs w:val="0"/>
                <w:sz w:val="18"/>
                <w:szCs w:val="22"/>
              </w:rPr>
            </w:pPr>
            <w:r>
              <w:rPr>
                <w:rFonts w:ascii="Times New Roman" w:hAnsi="Times New Roman"/>
                <w:bCs w:val="0"/>
                <w:sz w:val="18"/>
                <w:szCs w:val="22"/>
              </w:rPr>
              <w:t>Number</w:t>
            </w:r>
          </w:p>
        </w:tc>
        <w:tc>
          <w:tcPr>
            <w:tcW w:w="1260" w:type="dxa"/>
            <w:tcBorders>
              <w:top w:val="none" w:sz="0" w:space="0" w:color="auto"/>
              <w:left w:val="none" w:sz="0" w:space="0" w:color="auto"/>
              <w:bottom w:val="none" w:sz="0" w:space="0" w:color="auto"/>
              <w:right w:val="none" w:sz="0" w:space="0" w:color="auto"/>
            </w:tcBorders>
          </w:tcPr>
          <w:p w:rsidR="0048464B" w:rsidRPr="009778D4" w:rsidRDefault="0048464B" w:rsidP="00F83382">
            <w:pPr>
              <w:spacing w:line="276" w:lineRule="auto"/>
              <w:jc w:val="center"/>
              <w:cnfStyle w:val="100000000000"/>
              <w:rPr>
                <w:rFonts w:ascii="Times New Roman" w:hAnsi="Times New Roman"/>
                <w:bCs w:val="0"/>
                <w:sz w:val="18"/>
                <w:szCs w:val="22"/>
              </w:rPr>
            </w:pPr>
            <w:r w:rsidRPr="009778D4">
              <w:rPr>
                <w:rFonts w:ascii="Times New Roman" w:hAnsi="Times New Roman"/>
                <w:bCs w:val="0"/>
                <w:sz w:val="18"/>
                <w:szCs w:val="22"/>
              </w:rPr>
              <w:t>Average Coverage</w:t>
            </w:r>
          </w:p>
          <w:p w:rsidR="0048464B" w:rsidRPr="009778D4" w:rsidRDefault="0048464B" w:rsidP="00F83382">
            <w:pPr>
              <w:spacing w:line="276" w:lineRule="auto"/>
              <w:jc w:val="center"/>
              <w:cnfStyle w:val="100000000000"/>
              <w:rPr>
                <w:rFonts w:ascii="Times New Roman" w:hAnsi="Times New Roman"/>
                <w:bCs w:val="0"/>
                <w:sz w:val="18"/>
                <w:szCs w:val="22"/>
              </w:rPr>
            </w:pPr>
            <w:r w:rsidRPr="009778D4">
              <w:rPr>
                <w:rFonts w:ascii="Times New Roman" w:hAnsi="Times New Roman"/>
                <w:bCs w:val="0"/>
                <w:sz w:val="18"/>
                <w:szCs w:val="22"/>
              </w:rPr>
              <w:t>(% of population)</w:t>
            </w:r>
          </w:p>
        </w:tc>
        <w:tc>
          <w:tcPr>
            <w:tcW w:w="1530" w:type="dxa"/>
            <w:tcBorders>
              <w:top w:val="none" w:sz="0" w:space="0" w:color="auto"/>
              <w:left w:val="none" w:sz="0" w:space="0" w:color="auto"/>
              <w:bottom w:val="none" w:sz="0" w:space="0" w:color="auto"/>
              <w:right w:val="none" w:sz="0" w:space="0" w:color="auto"/>
            </w:tcBorders>
          </w:tcPr>
          <w:p w:rsidR="0048464B" w:rsidRPr="009778D4" w:rsidRDefault="0048464B" w:rsidP="00F83382">
            <w:pPr>
              <w:spacing w:line="276" w:lineRule="auto"/>
              <w:jc w:val="center"/>
              <w:cnfStyle w:val="100000000000"/>
              <w:rPr>
                <w:rFonts w:ascii="Times New Roman" w:hAnsi="Times New Roman"/>
                <w:bCs w:val="0"/>
                <w:sz w:val="18"/>
                <w:szCs w:val="22"/>
              </w:rPr>
            </w:pPr>
            <w:r w:rsidRPr="009778D4">
              <w:rPr>
                <w:rFonts w:ascii="Times New Roman" w:hAnsi="Times New Roman"/>
                <w:bCs w:val="0"/>
                <w:sz w:val="18"/>
                <w:szCs w:val="22"/>
              </w:rPr>
              <w:t>Average Production</w:t>
            </w:r>
          </w:p>
          <w:p w:rsidR="0048464B" w:rsidRPr="009778D4" w:rsidRDefault="0048464B" w:rsidP="00F83382">
            <w:pPr>
              <w:spacing w:line="276" w:lineRule="auto"/>
              <w:jc w:val="center"/>
              <w:cnfStyle w:val="100000000000"/>
              <w:rPr>
                <w:rFonts w:ascii="Times New Roman" w:hAnsi="Times New Roman"/>
                <w:bCs w:val="0"/>
                <w:sz w:val="18"/>
                <w:szCs w:val="22"/>
              </w:rPr>
            </w:pPr>
            <w:r w:rsidRPr="009778D4">
              <w:rPr>
                <w:rFonts w:ascii="Times New Roman" w:hAnsi="Times New Roman"/>
                <w:bCs w:val="0"/>
                <w:sz w:val="18"/>
                <w:szCs w:val="22"/>
              </w:rPr>
              <w:t>(</w:t>
            </w:r>
            <w:r>
              <w:rPr>
                <w:rFonts w:ascii="Times New Roman" w:hAnsi="Times New Roman"/>
                <w:bCs w:val="0"/>
                <w:sz w:val="18"/>
                <w:szCs w:val="22"/>
              </w:rPr>
              <w:t>liter/capita/day</w:t>
            </w:r>
            <w:r w:rsidRPr="009778D4">
              <w:rPr>
                <w:rFonts w:ascii="Times New Roman" w:hAnsi="Times New Roman"/>
                <w:bCs w:val="0"/>
                <w:sz w:val="18"/>
                <w:szCs w:val="22"/>
              </w:rPr>
              <w:t>)</w:t>
            </w:r>
          </w:p>
        </w:tc>
        <w:tc>
          <w:tcPr>
            <w:tcW w:w="1530" w:type="dxa"/>
            <w:tcBorders>
              <w:top w:val="none" w:sz="0" w:space="0" w:color="auto"/>
              <w:left w:val="none" w:sz="0" w:space="0" w:color="auto"/>
              <w:bottom w:val="none" w:sz="0" w:space="0" w:color="auto"/>
              <w:right w:val="none" w:sz="0" w:space="0" w:color="auto"/>
            </w:tcBorders>
          </w:tcPr>
          <w:p w:rsidR="0048464B" w:rsidRPr="009778D4" w:rsidRDefault="0048464B" w:rsidP="00F83382">
            <w:pPr>
              <w:spacing w:line="276" w:lineRule="auto"/>
              <w:jc w:val="center"/>
              <w:cnfStyle w:val="100000000000"/>
              <w:rPr>
                <w:rFonts w:ascii="Times New Roman" w:hAnsi="Times New Roman"/>
                <w:bCs w:val="0"/>
                <w:sz w:val="18"/>
                <w:szCs w:val="22"/>
              </w:rPr>
            </w:pPr>
            <w:r w:rsidRPr="009778D4">
              <w:rPr>
                <w:rFonts w:ascii="Times New Roman" w:hAnsi="Times New Roman"/>
                <w:bCs w:val="0"/>
                <w:sz w:val="18"/>
                <w:szCs w:val="22"/>
              </w:rPr>
              <w:t>Average Consumption</w:t>
            </w:r>
          </w:p>
          <w:p w:rsidR="0048464B" w:rsidRPr="009778D4" w:rsidRDefault="0048464B" w:rsidP="00F83382">
            <w:pPr>
              <w:spacing w:line="276" w:lineRule="auto"/>
              <w:jc w:val="center"/>
              <w:cnfStyle w:val="100000000000"/>
              <w:rPr>
                <w:rFonts w:ascii="Times New Roman" w:hAnsi="Times New Roman"/>
                <w:bCs w:val="0"/>
                <w:sz w:val="18"/>
                <w:szCs w:val="22"/>
              </w:rPr>
            </w:pPr>
            <w:r w:rsidRPr="009778D4">
              <w:rPr>
                <w:rFonts w:ascii="Times New Roman" w:hAnsi="Times New Roman"/>
                <w:bCs w:val="0"/>
                <w:sz w:val="18"/>
                <w:szCs w:val="22"/>
              </w:rPr>
              <w:t>(</w:t>
            </w:r>
            <w:r>
              <w:rPr>
                <w:rFonts w:ascii="Times New Roman" w:hAnsi="Times New Roman"/>
                <w:bCs w:val="0"/>
                <w:sz w:val="18"/>
                <w:szCs w:val="22"/>
              </w:rPr>
              <w:t>liter/capita/day</w:t>
            </w:r>
            <w:r w:rsidRPr="009778D4">
              <w:rPr>
                <w:rFonts w:ascii="Times New Roman" w:hAnsi="Times New Roman"/>
                <w:bCs w:val="0"/>
                <w:sz w:val="18"/>
                <w:szCs w:val="22"/>
              </w:rPr>
              <w:t>)</w:t>
            </w:r>
          </w:p>
        </w:tc>
        <w:tc>
          <w:tcPr>
            <w:tcW w:w="1350" w:type="dxa"/>
            <w:tcBorders>
              <w:top w:val="none" w:sz="0" w:space="0" w:color="auto"/>
              <w:left w:val="none" w:sz="0" w:space="0" w:color="auto"/>
              <w:bottom w:val="none" w:sz="0" w:space="0" w:color="auto"/>
              <w:right w:val="none" w:sz="0" w:space="0" w:color="auto"/>
            </w:tcBorders>
          </w:tcPr>
          <w:p w:rsidR="0048464B" w:rsidRPr="009778D4" w:rsidRDefault="0048464B" w:rsidP="00F83382">
            <w:pPr>
              <w:spacing w:line="276" w:lineRule="auto"/>
              <w:jc w:val="center"/>
              <w:cnfStyle w:val="100000000000"/>
              <w:rPr>
                <w:rFonts w:ascii="Times New Roman" w:hAnsi="Times New Roman"/>
                <w:bCs w:val="0"/>
                <w:sz w:val="18"/>
                <w:szCs w:val="22"/>
              </w:rPr>
            </w:pPr>
            <w:r w:rsidRPr="009778D4">
              <w:rPr>
                <w:rFonts w:ascii="Times New Roman" w:hAnsi="Times New Roman"/>
                <w:bCs w:val="0"/>
                <w:sz w:val="18"/>
                <w:szCs w:val="22"/>
              </w:rPr>
              <w:t>Loss of Water</w:t>
            </w:r>
          </w:p>
          <w:p w:rsidR="0048464B" w:rsidRPr="009778D4" w:rsidRDefault="0048464B" w:rsidP="00F83382">
            <w:pPr>
              <w:spacing w:line="276" w:lineRule="auto"/>
              <w:jc w:val="center"/>
              <w:cnfStyle w:val="100000000000"/>
              <w:rPr>
                <w:rFonts w:ascii="Times New Roman" w:hAnsi="Times New Roman"/>
                <w:bCs w:val="0"/>
                <w:sz w:val="18"/>
                <w:szCs w:val="22"/>
              </w:rPr>
            </w:pPr>
            <w:r w:rsidRPr="009778D4">
              <w:rPr>
                <w:rFonts w:ascii="Times New Roman" w:hAnsi="Times New Roman"/>
                <w:bCs w:val="0"/>
                <w:sz w:val="18"/>
                <w:szCs w:val="22"/>
              </w:rPr>
              <w:t>(Unaccounted for Water (%)</w:t>
            </w:r>
          </w:p>
        </w:tc>
      </w:tr>
      <w:tr w:rsidR="0048464B" w:rsidRPr="009778D4" w:rsidTr="00F83382">
        <w:trPr>
          <w:cnfStyle w:val="000000100000"/>
          <w:trHeight w:val="178"/>
        </w:trPr>
        <w:tc>
          <w:tcPr>
            <w:cnfStyle w:val="001000000000"/>
            <w:tcW w:w="1458" w:type="dxa"/>
            <w:tcBorders>
              <w:left w:val="none" w:sz="0" w:space="0" w:color="auto"/>
              <w:right w:val="none" w:sz="0" w:space="0" w:color="auto"/>
            </w:tcBorders>
          </w:tcPr>
          <w:p w:rsidR="0048464B" w:rsidRPr="009778D4" w:rsidRDefault="0048464B" w:rsidP="00F83382">
            <w:pPr>
              <w:spacing w:after="0" w:line="276" w:lineRule="auto"/>
              <w:rPr>
                <w:rFonts w:ascii="Times New Roman" w:hAnsi="Times New Roman"/>
                <w:bCs w:val="0"/>
                <w:sz w:val="18"/>
                <w:szCs w:val="22"/>
              </w:rPr>
            </w:pPr>
            <w:r w:rsidRPr="009778D4">
              <w:rPr>
                <w:rFonts w:ascii="Times New Roman" w:hAnsi="Times New Roman"/>
                <w:bCs w:val="0"/>
                <w:sz w:val="18"/>
                <w:szCs w:val="22"/>
              </w:rPr>
              <w:t>Less than 100</w:t>
            </w:r>
          </w:p>
        </w:tc>
        <w:tc>
          <w:tcPr>
            <w:tcW w:w="1530" w:type="dxa"/>
            <w:tcBorders>
              <w:left w:val="none" w:sz="0" w:space="0" w:color="auto"/>
              <w:right w:val="none" w:sz="0" w:space="0" w:color="auto"/>
            </w:tcBorders>
          </w:tcPr>
          <w:p w:rsidR="0048464B" w:rsidRPr="009778D4" w:rsidRDefault="0048464B" w:rsidP="00F83382">
            <w:pPr>
              <w:spacing w:after="0" w:line="276" w:lineRule="auto"/>
              <w:cnfStyle w:val="000000100000"/>
              <w:rPr>
                <w:rFonts w:ascii="Times New Roman" w:hAnsi="Times New Roman"/>
                <w:bCs/>
                <w:sz w:val="18"/>
                <w:szCs w:val="22"/>
              </w:rPr>
            </w:pPr>
            <w:r w:rsidRPr="009778D4">
              <w:rPr>
                <w:rFonts w:ascii="Times New Roman" w:hAnsi="Times New Roman"/>
                <w:bCs/>
                <w:sz w:val="18"/>
                <w:szCs w:val="22"/>
              </w:rPr>
              <w:t>Municipality</w:t>
            </w:r>
          </w:p>
        </w:tc>
        <w:tc>
          <w:tcPr>
            <w:tcW w:w="99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21</w:t>
            </w:r>
          </w:p>
        </w:tc>
        <w:tc>
          <w:tcPr>
            <w:tcW w:w="126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37</w:t>
            </w:r>
          </w:p>
        </w:tc>
        <w:tc>
          <w:tcPr>
            <w:tcW w:w="153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101</w:t>
            </w:r>
          </w:p>
        </w:tc>
        <w:tc>
          <w:tcPr>
            <w:tcW w:w="153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78</w:t>
            </w:r>
          </w:p>
        </w:tc>
        <w:tc>
          <w:tcPr>
            <w:tcW w:w="135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22</w:t>
            </w:r>
          </w:p>
        </w:tc>
      </w:tr>
      <w:tr w:rsidR="0048464B" w:rsidRPr="009778D4" w:rsidTr="00F83382">
        <w:tc>
          <w:tcPr>
            <w:cnfStyle w:val="001000000000"/>
            <w:tcW w:w="1458" w:type="dxa"/>
          </w:tcPr>
          <w:p w:rsidR="0048464B" w:rsidRPr="009778D4" w:rsidRDefault="0048464B" w:rsidP="00F83382">
            <w:pPr>
              <w:spacing w:after="0" w:line="276" w:lineRule="auto"/>
              <w:rPr>
                <w:rFonts w:ascii="Times New Roman" w:hAnsi="Times New Roman"/>
                <w:bCs w:val="0"/>
                <w:sz w:val="18"/>
                <w:szCs w:val="22"/>
              </w:rPr>
            </w:pPr>
            <w:r w:rsidRPr="009778D4">
              <w:rPr>
                <w:rFonts w:ascii="Times New Roman" w:hAnsi="Times New Roman"/>
                <w:bCs w:val="0"/>
                <w:sz w:val="18"/>
                <w:szCs w:val="22"/>
              </w:rPr>
              <w:t>100  to  299</w:t>
            </w:r>
          </w:p>
        </w:tc>
        <w:tc>
          <w:tcPr>
            <w:tcW w:w="1530" w:type="dxa"/>
          </w:tcPr>
          <w:p w:rsidR="0048464B" w:rsidRPr="009778D4" w:rsidRDefault="0048464B" w:rsidP="00F83382">
            <w:pPr>
              <w:spacing w:after="0" w:line="276" w:lineRule="auto"/>
              <w:cnfStyle w:val="000000000000"/>
              <w:rPr>
                <w:rFonts w:ascii="Times New Roman" w:hAnsi="Times New Roman"/>
                <w:bCs/>
                <w:sz w:val="18"/>
                <w:szCs w:val="22"/>
              </w:rPr>
            </w:pPr>
            <w:r w:rsidRPr="009778D4">
              <w:rPr>
                <w:rFonts w:ascii="Times New Roman" w:hAnsi="Times New Roman"/>
                <w:bCs/>
                <w:sz w:val="18"/>
                <w:szCs w:val="22"/>
              </w:rPr>
              <w:t>Municipality</w:t>
            </w:r>
          </w:p>
        </w:tc>
        <w:tc>
          <w:tcPr>
            <w:tcW w:w="99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10</w:t>
            </w:r>
          </w:p>
        </w:tc>
        <w:tc>
          <w:tcPr>
            <w:tcW w:w="126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51</w:t>
            </w:r>
          </w:p>
        </w:tc>
        <w:tc>
          <w:tcPr>
            <w:tcW w:w="153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88</w:t>
            </w:r>
          </w:p>
        </w:tc>
        <w:tc>
          <w:tcPr>
            <w:tcW w:w="153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71</w:t>
            </w:r>
          </w:p>
        </w:tc>
        <w:tc>
          <w:tcPr>
            <w:tcW w:w="135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21</w:t>
            </w:r>
          </w:p>
        </w:tc>
      </w:tr>
      <w:tr w:rsidR="0048464B" w:rsidRPr="009778D4" w:rsidTr="00F83382">
        <w:trPr>
          <w:cnfStyle w:val="000000100000"/>
        </w:trPr>
        <w:tc>
          <w:tcPr>
            <w:cnfStyle w:val="001000000000"/>
            <w:tcW w:w="1458" w:type="dxa"/>
            <w:tcBorders>
              <w:left w:val="none" w:sz="0" w:space="0" w:color="auto"/>
              <w:right w:val="none" w:sz="0" w:space="0" w:color="auto"/>
            </w:tcBorders>
          </w:tcPr>
          <w:p w:rsidR="0048464B" w:rsidRPr="009778D4" w:rsidRDefault="0048464B" w:rsidP="00F83382">
            <w:pPr>
              <w:spacing w:after="0" w:line="276" w:lineRule="auto"/>
              <w:rPr>
                <w:rFonts w:ascii="Times New Roman" w:hAnsi="Times New Roman"/>
                <w:bCs w:val="0"/>
                <w:sz w:val="18"/>
                <w:szCs w:val="22"/>
              </w:rPr>
            </w:pPr>
            <w:r w:rsidRPr="009778D4">
              <w:rPr>
                <w:rFonts w:ascii="Times New Roman" w:hAnsi="Times New Roman"/>
                <w:bCs w:val="0"/>
                <w:sz w:val="18"/>
                <w:szCs w:val="22"/>
              </w:rPr>
              <w:t>300  to  999</w:t>
            </w:r>
          </w:p>
        </w:tc>
        <w:tc>
          <w:tcPr>
            <w:tcW w:w="1530" w:type="dxa"/>
            <w:tcBorders>
              <w:left w:val="none" w:sz="0" w:space="0" w:color="auto"/>
              <w:right w:val="none" w:sz="0" w:space="0" w:color="auto"/>
            </w:tcBorders>
          </w:tcPr>
          <w:p w:rsidR="0048464B" w:rsidRPr="009778D4" w:rsidRDefault="0048464B" w:rsidP="00F83382">
            <w:pPr>
              <w:spacing w:after="0" w:line="276" w:lineRule="auto"/>
              <w:cnfStyle w:val="000000100000"/>
              <w:rPr>
                <w:rFonts w:ascii="Times New Roman" w:hAnsi="Times New Roman"/>
                <w:bCs/>
                <w:sz w:val="18"/>
                <w:szCs w:val="22"/>
              </w:rPr>
            </w:pPr>
            <w:r w:rsidRPr="009778D4">
              <w:rPr>
                <w:rFonts w:ascii="Times New Roman" w:hAnsi="Times New Roman"/>
                <w:bCs/>
                <w:sz w:val="18"/>
                <w:szCs w:val="22"/>
              </w:rPr>
              <w:t>City Corporation</w:t>
            </w:r>
          </w:p>
        </w:tc>
        <w:tc>
          <w:tcPr>
            <w:tcW w:w="99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05</w:t>
            </w:r>
          </w:p>
        </w:tc>
        <w:tc>
          <w:tcPr>
            <w:tcW w:w="126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40</w:t>
            </w:r>
          </w:p>
        </w:tc>
        <w:tc>
          <w:tcPr>
            <w:tcW w:w="153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97</w:t>
            </w:r>
          </w:p>
        </w:tc>
        <w:tc>
          <w:tcPr>
            <w:tcW w:w="153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69</w:t>
            </w:r>
          </w:p>
        </w:tc>
        <w:tc>
          <w:tcPr>
            <w:tcW w:w="135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27</w:t>
            </w:r>
          </w:p>
        </w:tc>
      </w:tr>
      <w:tr w:rsidR="0048464B" w:rsidRPr="009778D4" w:rsidTr="00F83382">
        <w:tc>
          <w:tcPr>
            <w:cnfStyle w:val="001000000000"/>
            <w:tcW w:w="1458" w:type="dxa"/>
          </w:tcPr>
          <w:p w:rsidR="0048464B" w:rsidRPr="009778D4" w:rsidRDefault="0048464B" w:rsidP="00F83382">
            <w:pPr>
              <w:spacing w:after="0" w:line="276" w:lineRule="auto"/>
              <w:rPr>
                <w:rFonts w:ascii="Times New Roman" w:hAnsi="Times New Roman"/>
                <w:bCs w:val="0"/>
                <w:sz w:val="18"/>
                <w:szCs w:val="22"/>
              </w:rPr>
            </w:pPr>
            <w:r w:rsidRPr="009778D4">
              <w:rPr>
                <w:rFonts w:ascii="Times New Roman" w:hAnsi="Times New Roman"/>
                <w:bCs w:val="0"/>
                <w:sz w:val="18"/>
                <w:szCs w:val="22"/>
              </w:rPr>
              <w:t>1000 and more</w:t>
            </w:r>
          </w:p>
        </w:tc>
        <w:tc>
          <w:tcPr>
            <w:tcW w:w="1530" w:type="dxa"/>
          </w:tcPr>
          <w:p w:rsidR="0048464B" w:rsidRPr="009778D4" w:rsidRDefault="0048464B" w:rsidP="00F83382">
            <w:pPr>
              <w:spacing w:after="0" w:line="276" w:lineRule="auto"/>
              <w:cnfStyle w:val="000000000000"/>
              <w:rPr>
                <w:rFonts w:ascii="Times New Roman" w:hAnsi="Times New Roman"/>
                <w:bCs/>
                <w:sz w:val="18"/>
                <w:szCs w:val="22"/>
              </w:rPr>
            </w:pPr>
            <w:r w:rsidRPr="009778D4">
              <w:rPr>
                <w:rFonts w:ascii="Times New Roman" w:hAnsi="Times New Roman"/>
                <w:bCs/>
                <w:sz w:val="18"/>
                <w:szCs w:val="22"/>
              </w:rPr>
              <w:t>City Corporation</w:t>
            </w:r>
          </w:p>
        </w:tc>
        <w:tc>
          <w:tcPr>
            <w:tcW w:w="99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02</w:t>
            </w:r>
          </w:p>
        </w:tc>
        <w:tc>
          <w:tcPr>
            <w:tcW w:w="126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64</w:t>
            </w:r>
          </w:p>
        </w:tc>
        <w:tc>
          <w:tcPr>
            <w:tcW w:w="153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152</w:t>
            </w:r>
          </w:p>
        </w:tc>
        <w:tc>
          <w:tcPr>
            <w:tcW w:w="153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113</w:t>
            </w:r>
          </w:p>
        </w:tc>
        <w:tc>
          <w:tcPr>
            <w:tcW w:w="1350" w:type="dxa"/>
          </w:tcPr>
          <w:p w:rsidR="0048464B" w:rsidRPr="009778D4" w:rsidRDefault="0048464B" w:rsidP="00F83382">
            <w:pPr>
              <w:spacing w:after="0" w:line="276" w:lineRule="auto"/>
              <w:jc w:val="center"/>
              <w:cnfStyle w:val="000000000000"/>
              <w:rPr>
                <w:rFonts w:ascii="Times New Roman" w:hAnsi="Times New Roman"/>
                <w:sz w:val="18"/>
                <w:szCs w:val="22"/>
              </w:rPr>
            </w:pPr>
            <w:r w:rsidRPr="009778D4">
              <w:rPr>
                <w:rFonts w:ascii="Times New Roman" w:hAnsi="Times New Roman"/>
                <w:sz w:val="18"/>
                <w:szCs w:val="22"/>
              </w:rPr>
              <w:t>25</w:t>
            </w:r>
          </w:p>
        </w:tc>
      </w:tr>
      <w:tr w:rsidR="0048464B" w:rsidRPr="009778D4" w:rsidTr="00F83382">
        <w:trPr>
          <w:cnfStyle w:val="000000100000"/>
        </w:trPr>
        <w:tc>
          <w:tcPr>
            <w:cnfStyle w:val="001000000000"/>
            <w:tcW w:w="2988" w:type="dxa"/>
            <w:gridSpan w:val="2"/>
            <w:tcBorders>
              <w:left w:val="none" w:sz="0" w:space="0" w:color="auto"/>
              <w:right w:val="none" w:sz="0" w:space="0" w:color="auto"/>
            </w:tcBorders>
          </w:tcPr>
          <w:p w:rsidR="0048464B" w:rsidRPr="009778D4" w:rsidRDefault="0048464B" w:rsidP="00F83382">
            <w:pPr>
              <w:spacing w:after="0" w:line="276" w:lineRule="auto"/>
              <w:rPr>
                <w:rFonts w:ascii="Times New Roman" w:hAnsi="Times New Roman"/>
                <w:b w:val="0"/>
                <w:bCs w:val="0"/>
                <w:sz w:val="18"/>
                <w:szCs w:val="22"/>
              </w:rPr>
            </w:pPr>
            <w:r w:rsidRPr="009778D4">
              <w:rPr>
                <w:rFonts w:ascii="Times New Roman" w:hAnsi="Times New Roman"/>
                <w:b w:val="0"/>
                <w:bCs w:val="0"/>
                <w:sz w:val="18"/>
                <w:szCs w:val="22"/>
              </w:rPr>
              <w:t>Total</w:t>
            </w:r>
          </w:p>
        </w:tc>
        <w:tc>
          <w:tcPr>
            <w:tcW w:w="99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38</w:t>
            </w:r>
          </w:p>
        </w:tc>
        <w:tc>
          <w:tcPr>
            <w:tcW w:w="126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42</w:t>
            </w:r>
          </w:p>
        </w:tc>
        <w:tc>
          <w:tcPr>
            <w:tcW w:w="153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100</w:t>
            </w:r>
          </w:p>
        </w:tc>
        <w:tc>
          <w:tcPr>
            <w:tcW w:w="153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77</w:t>
            </w:r>
          </w:p>
        </w:tc>
        <w:tc>
          <w:tcPr>
            <w:tcW w:w="1350" w:type="dxa"/>
            <w:tcBorders>
              <w:left w:val="none" w:sz="0" w:space="0" w:color="auto"/>
              <w:right w:val="none" w:sz="0" w:space="0" w:color="auto"/>
            </w:tcBorders>
          </w:tcPr>
          <w:p w:rsidR="0048464B" w:rsidRPr="009778D4" w:rsidRDefault="0048464B" w:rsidP="00F83382">
            <w:pPr>
              <w:spacing w:after="0" w:line="276" w:lineRule="auto"/>
              <w:jc w:val="center"/>
              <w:cnfStyle w:val="000000100000"/>
              <w:rPr>
                <w:rFonts w:ascii="Times New Roman" w:hAnsi="Times New Roman"/>
                <w:sz w:val="18"/>
                <w:szCs w:val="22"/>
              </w:rPr>
            </w:pPr>
            <w:r w:rsidRPr="009778D4">
              <w:rPr>
                <w:rFonts w:ascii="Times New Roman" w:hAnsi="Times New Roman"/>
                <w:sz w:val="18"/>
                <w:szCs w:val="22"/>
              </w:rPr>
              <w:t>23</w:t>
            </w:r>
          </w:p>
        </w:tc>
      </w:tr>
    </w:tbl>
    <w:p w:rsidR="0048464B" w:rsidRDefault="0048464B" w:rsidP="0048464B">
      <w:pPr>
        <w:spacing w:before="120" w:line="276" w:lineRule="auto"/>
        <w:jc w:val="both"/>
        <w:rPr>
          <w:rFonts w:cs="Times New Roman"/>
          <w:b/>
          <w:i/>
          <w:iCs/>
          <w:sz w:val="20"/>
          <w:szCs w:val="20"/>
        </w:rPr>
      </w:pPr>
      <w:r w:rsidRPr="005119A6">
        <w:rPr>
          <w:rFonts w:cs="Times New Roman"/>
          <w:b/>
          <w:i/>
          <w:iCs/>
          <w:sz w:val="20"/>
          <w:szCs w:val="20"/>
        </w:rPr>
        <w:t>Source: W</w:t>
      </w:r>
      <w:r>
        <w:rPr>
          <w:rFonts w:cs="Times New Roman"/>
          <w:b/>
          <w:i/>
          <w:iCs/>
          <w:sz w:val="20"/>
          <w:szCs w:val="20"/>
        </w:rPr>
        <w:t xml:space="preserve">orld Bank (WSP), 2014 </w:t>
      </w:r>
    </w:p>
    <w:p w:rsidR="0048464B" w:rsidRPr="00EE6415" w:rsidRDefault="0048464B" w:rsidP="003D5A31">
      <w:pPr>
        <w:pStyle w:val="BodyText"/>
        <w:numPr>
          <w:ilvl w:val="2"/>
          <w:numId w:val="156"/>
        </w:numPr>
        <w:spacing w:after="240" w:line="276" w:lineRule="auto"/>
        <w:jc w:val="both"/>
        <w:rPr>
          <w:rFonts w:cs="Times New Roman"/>
          <w:b/>
          <w:szCs w:val="24"/>
        </w:rPr>
      </w:pPr>
      <w:r w:rsidRPr="00EE6415">
        <w:rPr>
          <w:rFonts w:cs="Times New Roman"/>
          <w:b/>
          <w:szCs w:val="24"/>
        </w:rPr>
        <w:t xml:space="preserve">Adequacy of Water Supply </w:t>
      </w:r>
    </w:p>
    <w:p w:rsidR="0048464B" w:rsidRDefault="0048464B" w:rsidP="0048464B">
      <w:pPr>
        <w:spacing w:line="276" w:lineRule="auto"/>
        <w:jc w:val="both"/>
        <w:rPr>
          <w:rFonts w:cs="Times New Roman"/>
          <w:szCs w:val="24"/>
        </w:rPr>
      </w:pPr>
      <w:r w:rsidRPr="003664FB">
        <w:rPr>
          <w:rFonts w:cs="Times New Roman"/>
          <w:szCs w:val="24"/>
        </w:rPr>
        <w:t>Adequacy of water depends on the norms of water in terms of litres of water</w:t>
      </w:r>
      <w:r>
        <w:rPr>
          <w:rFonts w:cs="Times New Roman"/>
          <w:szCs w:val="24"/>
        </w:rPr>
        <w:t xml:space="preserve"> </w:t>
      </w:r>
      <w:r w:rsidRPr="003664FB">
        <w:rPr>
          <w:rFonts w:cs="Times New Roman"/>
          <w:szCs w:val="24"/>
        </w:rPr>
        <w:t>per person per day</w:t>
      </w:r>
      <w:r>
        <w:rPr>
          <w:rFonts w:cs="Times New Roman"/>
          <w:szCs w:val="24"/>
        </w:rPr>
        <w:t xml:space="preserve"> (lpcd)</w:t>
      </w:r>
      <w:r w:rsidRPr="003664FB">
        <w:rPr>
          <w:rFonts w:cs="Times New Roman"/>
          <w:szCs w:val="24"/>
        </w:rPr>
        <w:t xml:space="preserve">. </w:t>
      </w:r>
      <w:r>
        <w:rPr>
          <w:rFonts w:cs="Times New Roman"/>
          <w:szCs w:val="24"/>
        </w:rPr>
        <w:t>I</w:t>
      </w:r>
      <w:r w:rsidRPr="003664FB">
        <w:rPr>
          <w:rFonts w:cs="Times New Roman"/>
          <w:szCs w:val="24"/>
        </w:rPr>
        <w:t>n Bangladesh there is no specific norm or standard to judge the adequacy of water. Accessibility of population to an improved water source i</w:t>
      </w:r>
      <w:r>
        <w:rPr>
          <w:rFonts w:cs="Times New Roman"/>
          <w:szCs w:val="24"/>
        </w:rPr>
        <w:t>s</w:t>
      </w:r>
      <w:r w:rsidRPr="003664FB">
        <w:rPr>
          <w:rFonts w:cs="Times New Roman"/>
          <w:szCs w:val="24"/>
        </w:rPr>
        <w:t xml:space="preserve"> considered as an indicator to evaluate the performance of water supply system. In India the </w:t>
      </w:r>
      <w:r>
        <w:rPr>
          <w:rFonts w:cs="Times New Roman"/>
          <w:szCs w:val="24"/>
        </w:rPr>
        <w:t>Central Public Health a</w:t>
      </w:r>
      <w:r w:rsidRPr="003664FB">
        <w:rPr>
          <w:rFonts w:cs="Times New Roman"/>
          <w:szCs w:val="24"/>
        </w:rPr>
        <w:t>nd Environme</w:t>
      </w:r>
      <w:r>
        <w:rPr>
          <w:rFonts w:cs="Times New Roman"/>
          <w:szCs w:val="24"/>
        </w:rPr>
        <w:t>ntal Engineering Organization (C</w:t>
      </w:r>
      <w:r w:rsidRPr="003664FB">
        <w:rPr>
          <w:rFonts w:cs="Times New Roman"/>
          <w:szCs w:val="24"/>
        </w:rPr>
        <w:t>PHEEO) suggested norms for water supply that are to the followed by Indian cities and towns while designing water supply schemes. These are as follows:</w:t>
      </w:r>
    </w:p>
    <w:p w:rsidR="0048464B" w:rsidRDefault="0048464B" w:rsidP="0048464B">
      <w:pPr>
        <w:jc w:val="center"/>
        <w:rPr>
          <w:b/>
        </w:rPr>
      </w:pPr>
      <w:bookmarkStart w:id="737" w:name="_Toc464328983"/>
    </w:p>
    <w:p w:rsidR="0048464B" w:rsidRDefault="0048464B" w:rsidP="0048464B">
      <w:pPr>
        <w:jc w:val="center"/>
        <w:rPr>
          <w:b/>
        </w:rPr>
      </w:pPr>
    </w:p>
    <w:p w:rsidR="0048464B" w:rsidRPr="00101CE9" w:rsidRDefault="0048464B" w:rsidP="0048464B">
      <w:pPr>
        <w:jc w:val="center"/>
        <w:rPr>
          <w:b/>
        </w:rPr>
      </w:pPr>
      <w:r w:rsidRPr="00101CE9">
        <w:rPr>
          <w:b/>
        </w:rPr>
        <w:lastRenderedPageBreak/>
        <w:t>Table 10.4: Water Supply Norms for Indian Cities</w:t>
      </w:r>
      <w:bookmarkEnd w:id="737"/>
    </w:p>
    <w:tbl>
      <w:tblPr>
        <w:tblStyle w:val="LightShading10"/>
        <w:tblW w:w="0" w:type="auto"/>
        <w:tblLook w:val="04A0"/>
      </w:tblPr>
      <w:tblGrid>
        <w:gridCol w:w="6205"/>
        <w:gridCol w:w="3145"/>
      </w:tblGrid>
      <w:tr w:rsidR="0048464B" w:rsidRPr="00325137" w:rsidTr="00F83382">
        <w:trPr>
          <w:cnfStyle w:val="100000000000"/>
        </w:trPr>
        <w:tc>
          <w:tcPr>
            <w:cnfStyle w:val="001000000000"/>
            <w:tcW w:w="6205" w:type="dxa"/>
          </w:tcPr>
          <w:p w:rsidR="0048464B" w:rsidRPr="00D10C92" w:rsidRDefault="0048464B" w:rsidP="00F83382">
            <w:pPr>
              <w:jc w:val="center"/>
              <w:rPr>
                <w:rFonts w:ascii="Times New Roman" w:hAnsi="Times New Roman"/>
                <w:sz w:val="22"/>
                <w:szCs w:val="22"/>
              </w:rPr>
            </w:pPr>
            <w:r w:rsidRPr="00D10C92">
              <w:rPr>
                <w:rFonts w:ascii="Times New Roman" w:hAnsi="Times New Roman"/>
                <w:sz w:val="22"/>
                <w:szCs w:val="22"/>
              </w:rPr>
              <w:t>Classification of Towns/Cities</w:t>
            </w:r>
          </w:p>
        </w:tc>
        <w:tc>
          <w:tcPr>
            <w:tcW w:w="3145" w:type="dxa"/>
          </w:tcPr>
          <w:p w:rsidR="0048464B" w:rsidRPr="00D10C92" w:rsidRDefault="0048464B" w:rsidP="00F83382">
            <w:pPr>
              <w:jc w:val="center"/>
              <w:cnfStyle w:val="100000000000"/>
              <w:rPr>
                <w:rFonts w:ascii="Times New Roman" w:hAnsi="Times New Roman"/>
                <w:sz w:val="22"/>
                <w:szCs w:val="22"/>
              </w:rPr>
            </w:pPr>
            <w:r w:rsidRPr="00D10C92">
              <w:rPr>
                <w:rFonts w:ascii="Times New Roman" w:hAnsi="Times New Roman"/>
                <w:sz w:val="22"/>
                <w:szCs w:val="22"/>
              </w:rPr>
              <w:t>Recommended maximum water supply levels (lpcd)</w:t>
            </w:r>
          </w:p>
        </w:tc>
      </w:tr>
      <w:tr w:rsidR="0048464B" w:rsidRPr="00325137" w:rsidTr="00F83382">
        <w:trPr>
          <w:cnfStyle w:val="000000100000"/>
        </w:trPr>
        <w:tc>
          <w:tcPr>
            <w:cnfStyle w:val="001000000000"/>
            <w:tcW w:w="6205" w:type="dxa"/>
          </w:tcPr>
          <w:p w:rsidR="0048464B" w:rsidRPr="00D10C92" w:rsidRDefault="0048464B" w:rsidP="0048464B">
            <w:pPr>
              <w:pStyle w:val="ListParagraph"/>
              <w:numPr>
                <w:ilvl w:val="0"/>
                <w:numId w:val="88"/>
              </w:numPr>
              <w:spacing w:after="0" w:line="240" w:lineRule="auto"/>
              <w:jc w:val="both"/>
              <w:rPr>
                <w:rFonts w:ascii="Times New Roman" w:hAnsi="Times New Roman"/>
                <w:b w:val="0"/>
                <w:sz w:val="22"/>
                <w:szCs w:val="22"/>
              </w:rPr>
            </w:pPr>
            <w:r w:rsidRPr="00D10C92">
              <w:rPr>
                <w:rFonts w:ascii="Times New Roman" w:hAnsi="Times New Roman"/>
                <w:b w:val="0"/>
                <w:sz w:val="22"/>
                <w:szCs w:val="22"/>
              </w:rPr>
              <w:t xml:space="preserve">Towns provided with piped water supply but without sewerage system </w:t>
            </w:r>
          </w:p>
        </w:tc>
        <w:tc>
          <w:tcPr>
            <w:tcW w:w="3145" w:type="dxa"/>
          </w:tcPr>
          <w:p w:rsidR="0048464B" w:rsidRPr="00325137" w:rsidRDefault="0048464B" w:rsidP="00F83382">
            <w:pPr>
              <w:spacing w:after="0"/>
              <w:jc w:val="center"/>
              <w:cnfStyle w:val="000000100000"/>
              <w:rPr>
                <w:rFonts w:ascii="Times New Roman" w:hAnsi="Times New Roman"/>
                <w:sz w:val="22"/>
                <w:szCs w:val="22"/>
              </w:rPr>
            </w:pPr>
            <w:r w:rsidRPr="00325137">
              <w:rPr>
                <w:rFonts w:ascii="Times New Roman" w:hAnsi="Times New Roman"/>
                <w:sz w:val="22"/>
                <w:szCs w:val="22"/>
              </w:rPr>
              <w:t>70</w:t>
            </w:r>
          </w:p>
        </w:tc>
      </w:tr>
      <w:tr w:rsidR="0048464B" w:rsidRPr="00325137" w:rsidTr="00F83382">
        <w:tc>
          <w:tcPr>
            <w:cnfStyle w:val="001000000000"/>
            <w:tcW w:w="6205" w:type="dxa"/>
          </w:tcPr>
          <w:p w:rsidR="0048464B" w:rsidRPr="00D10C92" w:rsidRDefault="0048464B" w:rsidP="0048464B">
            <w:pPr>
              <w:pStyle w:val="ListParagraph"/>
              <w:numPr>
                <w:ilvl w:val="0"/>
                <w:numId w:val="88"/>
              </w:numPr>
              <w:spacing w:after="0" w:line="240" w:lineRule="auto"/>
              <w:jc w:val="both"/>
              <w:rPr>
                <w:rFonts w:ascii="Times New Roman" w:hAnsi="Times New Roman"/>
                <w:b w:val="0"/>
                <w:sz w:val="22"/>
                <w:szCs w:val="22"/>
              </w:rPr>
            </w:pPr>
            <w:r w:rsidRPr="00D10C92">
              <w:rPr>
                <w:rFonts w:ascii="Times New Roman" w:hAnsi="Times New Roman"/>
                <w:b w:val="0"/>
                <w:sz w:val="22"/>
                <w:szCs w:val="22"/>
              </w:rPr>
              <w:t xml:space="preserve">Cities provided with piped water supply where sewerage system is existing or contemplated </w:t>
            </w:r>
          </w:p>
        </w:tc>
        <w:tc>
          <w:tcPr>
            <w:tcW w:w="3145" w:type="dxa"/>
          </w:tcPr>
          <w:p w:rsidR="0048464B" w:rsidRPr="00325137" w:rsidRDefault="0048464B" w:rsidP="00F83382">
            <w:pPr>
              <w:spacing w:after="0"/>
              <w:jc w:val="center"/>
              <w:cnfStyle w:val="000000000000"/>
              <w:rPr>
                <w:rFonts w:ascii="Times New Roman" w:hAnsi="Times New Roman"/>
                <w:sz w:val="22"/>
                <w:szCs w:val="22"/>
              </w:rPr>
            </w:pPr>
            <w:r w:rsidRPr="00325137">
              <w:rPr>
                <w:rFonts w:ascii="Times New Roman" w:hAnsi="Times New Roman"/>
                <w:sz w:val="22"/>
                <w:szCs w:val="22"/>
              </w:rPr>
              <w:t>135</w:t>
            </w:r>
          </w:p>
        </w:tc>
      </w:tr>
      <w:tr w:rsidR="0048464B" w:rsidRPr="00325137" w:rsidTr="00F83382">
        <w:trPr>
          <w:cnfStyle w:val="000000100000"/>
        </w:trPr>
        <w:tc>
          <w:tcPr>
            <w:cnfStyle w:val="001000000000"/>
            <w:tcW w:w="6205" w:type="dxa"/>
          </w:tcPr>
          <w:p w:rsidR="0048464B" w:rsidRPr="00D10C92" w:rsidRDefault="0048464B" w:rsidP="0048464B">
            <w:pPr>
              <w:pStyle w:val="ListParagraph"/>
              <w:numPr>
                <w:ilvl w:val="0"/>
                <w:numId w:val="88"/>
              </w:numPr>
              <w:spacing w:after="0" w:line="240" w:lineRule="auto"/>
              <w:jc w:val="both"/>
              <w:rPr>
                <w:rFonts w:ascii="Times New Roman" w:hAnsi="Times New Roman"/>
                <w:b w:val="0"/>
                <w:sz w:val="22"/>
                <w:szCs w:val="22"/>
              </w:rPr>
            </w:pPr>
            <w:r w:rsidRPr="00D10C92">
              <w:rPr>
                <w:rFonts w:ascii="Times New Roman" w:hAnsi="Times New Roman"/>
                <w:b w:val="0"/>
                <w:sz w:val="22"/>
                <w:szCs w:val="22"/>
              </w:rPr>
              <w:t>Metropolitan and Megacities provided with piped water supply where sewerage system is existing/contemplated</w:t>
            </w:r>
          </w:p>
        </w:tc>
        <w:tc>
          <w:tcPr>
            <w:tcW w:w="3145" w:type="dxa"/>
          </w:tcPr>
          <w:p w:rsidR="0048464B" w:rsidRPr="00325137" w:rsidRDefault="0048464B" w:rsidP="00F83382">
            <w:pPr>
              <w:spacing w:after="0"/>
              <w:jc w:val="center"/>
              <w:cnfStyle w:val="000000100000"/>
              <w:rPr>
                <w:rFonts w:ascii="Times New Roman" w:hAnsi="Times New Roman"/>
                <w:sz w:val="22"/>
                <w:szCs w:val="22"/>
              </w:rPr>
            </w:pPr>
            <w:r w:rsidRPr="00325137">
              <w:rPr>
                <w:rFonts w:ascii="Times New Roman" w:hAnsi="Times New Roman"/>
                <w:sz w:val="22"/>
                <w:szCs w:val="22"/>
              </w:rPr>
              <w:t>150</w:t>
            </w:r>
          </w:p>
        </w:tc>
      </w:tr>
      <w:tr w:rsidR="0048464B" w:rsidRPr="00325137" w:rsidTr="00F83382">
        <w:tc>
          <w:tcPr>
            <w:cnfStyle w:val="001000000000"/>
            <w:tcW w:w="6205" w:type="dxa"/>
          </w:tcPr>
          <w:p w:rsidR="0048464B" w:rsidRPr="00D10C92" w:rsidRDefault="0048464B" w:rsidP="0048464B">
            <w:pPr>
              <w:pStyle w:val="ListParagraph"/>
              <w:numPr>
                <w:ilvl w:val="0"/>
                <w:numId w:val="88"/>
              </w:numPr>
              <w:spacing w:after="0" w:line="240" w:lineRule="auto"/>
              <w:jc w:val="both"/>
              <w:rPr>
                <w:rFonts w:ascii="Times New Roman" w:hAnsi="Times New Roman"/>
                <w:b w:val="0"/>
                <w:sz w:val="22"/>
                <w:szCs w:val="22"/>
              </w:rPr>
            </w:pPr>
            <w:r w:rsidRPr="00D10C92">
              <w:rPr>
                <w:rFonts w:ascii="Times New Roman" w:hAnsi="Times New Roman"/>
                <w:b w:val="0"/>
                <w:sz w:val="22"/>
                <w:szCs w:val="22"/>
              </w:rPr>
              <w:t>Towns with spot-sources/ stand posts</w:t>
            </w:r>
          </w:p>
        </w:tc>
        <w:tc>
          <w:tcPr>
            <w:tcW w:w="3145" w:type="dxa"/>
          </w:tcPr>
          <w:p w:rsidR="0048464B" w:rsidRPr="00325137" w:rsidRDefault="0048464B" w:rsidP="00F83382">
            <w:pPr>
              <w:spacing w:after="0"/>
              <w:jc w:val="center"/>
              <w:cnfStyle w:val="000000000000"/>
              <w:rPr>
                <w:rFonts w:ascii="Times New Roman" w:hAnsi="Times New Roman"/>
                <w:sz w:val="22"/>
                <w:szCs w:val="22"/>
              </w:rPr>
            </w:pPr>
            <w:r w:rsidRPr="00325137">
              <w:rPr>
                <w:rFonts w:ascii="Times New Roman" w:hAnsi="Times New Roman"/>
                <w:sz w:val="22"/>
                <w:szCs w:val="22"/>
              </w:rPr>
              <w:t>40</w:t>
            </w:r>
          </w:p>
        </w:tc>
      </w:tr>
    </w:tbl>
    <w:p w:rsidR="0048464B" w:rsidRPr="009C128A" w:rsidRDefault="0048464B" w:rsidP="0048464B">
      <w:pPr>
        <w:spacing w:before="120" w:line="276" w:lineRule="auto"/>
        <w:jc w:val="both"/>
        <w:rPr>
          <w:rFonts w:cs="Times New Roman"/>
          <w:i/>
          <w:sz w:val="20"/>
          <w:szCs w:val="24"/>
        </w:rPr>
      </w:pPr>
      <w:r w:rsidRPr="00FD4ADE">
        <w:rPr>
          <w:rFonts w:cs="Times New Roman"/>
          <w:b/>
          <w:i/>
          <w:sz w:val="20"/>
          <w:szCs w:val="24"/>
        </w:rPr>
        <w:t xml:space="preserve">Source: </w:t>
      </w:r>
      <w:r w:rsidRPr="003466ED">
        <w:rPr>
          <w:rFonts w:cs="Times New Roman"/>
          <w:i/>
          <w:sz w:val="20"/>
          <w:szCs w:val="24"/>
        </w:rPr>
        <w:t>CPHEEO</w:t>
      </w:r>
      <w:r>
        <w:rPr>
          <w:rFonts w:cs="Times New Roman"/>
          <w:i/>
          <w:sz w:val="20"/>
          <w:szCs w:val="24"/>
        </w:rPr>
        <w:t xml:space="preserve"> </w:t>
      </w:r>
    </w:p>
    <w:p w:rsidR="0048464B" w:rsidRPr="0050663D" w:rsidRDefault="0048464B" w:rsidP="0048464B">
      <w:pPr>
        <w:spacing w:line="276" w:lineRule="auto"/>
        <w:jc w:val="both"/>
        <w:rPr>
          <w:rFonts w:cs="Times New Roman"/>
          <w:bCs/>
          <w:i/>
          <w:szCs w:val="24"/>
        </w:rPr>
      </w:pPr>
      <w:r w:rsidRPr="003664FB">
        <w:rPr>
          <w:rFonts w:cs="Times New Roman"/>
          <w:szCs w:val="24"/>
        </w:rPr>
        <w:t xml:space="preserve">Above figures exclude “unaccounted </w:t>
      </w:r>
      <w:r>
        <w:rPr>
          <w:rFonts w:cs="Times New Roman"/>
          <w:szCs w:val="24"/>
        </w:rPr>
        <w:t>for</w:t>
      </w:r>
      <w:r w:rsidRPr="003664FB">
        <w:rPr>
          <w:rFonts w:cs="Times New Roman"/>
          <w:szCs w:val="24"/>
        </w:rPr>
        <w:t xml:space="preserve"> water (UFW) which should be limited to 15%</w:t>
      </w:r>
      <w:r>
        <w:rPr>
          <w:rFonts w:cs="Times New Roman"/>
          <w:szCs w:val="24"/>
        </w:rPr>
        <w:t>.</w:t>
      </w:r>
      <w:r w:rsidRPr="003664FB">
        <w:rPr>
          <w:rFonts w:cs="Times New Roman"/>
          <w:szCs w:val="24"/>
        </w:rPr>
        <w:t xml:space="preserve"> </w:t>
      </w:r>
      <w:r>
        <w:rPr>
          <w:rFonts w:cs="Times New Roman"/>
          <w:szCs w:val="24"/>
        </w:rPr>
        <w:t>C</w:t>
      </w:r>
      <w:r w:rsidRPr="003664FB">
        <w:rPr>
          <w:rFonts w:cs="Times New Roman"/>
          <w:szCs w:val="24"/>
        </w:rPr>
        <w:t>omparing these figures with production and consumption of water (lp</w:t>
      </w:r>
      <w:r>
        <w:rPr>
          <w:rFonts w:cs="Times New Roman"/>
          <w:szCs w:val="24"/>
        </w:rPr>
        <w:t>c</w:t>
      </w:r>
      <w:r w:rsidRPr="003664FB">
        <w:rPr>
          <w:rFonts w:cs="Times New Roman"/>
          <w:szCs w:val="24"/>
        </w:rPr>
        <w:t>d), an assessment can be made of the adequacy of water in d</w:t>
      </w:r>
      <w:r>
        <w:rPr>
          <w:rFonts w:cs="Times New Roman"/>
          <w:szCs w:val="24"/>
        </w:rPr>
        <w:t xml:space="preserve">ifferent cities and towns. </w:t>
      </w:r>
      <w:r w:rsidRPr="0050663D">
        <w:rPr>
          <w:rFonts w:cs="Times New Roman"/>
          <w:bCs/>
          <w:i/>
          <w:szCs w:val="24"/>
        </w:rPr>
        <w:t>The World Bank study (World Bank, 2014) found that nearly 45% of the cities and towns without sewerage system have supply levels lower than the recommended level.</w:t>
      </w:r>
      <w:r w:rsidRPr="00A9066A">
        <w:rPr>
          <w:rFonts w:cs="Times New Roman"/>
          <w:b/>
          <w:bCs/>
          <w:color w:val="006600"/>
          <w:szCs w:val="24"/>
        </w:rPr>
        <w:t xml:space="preserve"> </w:t>
      </w:r>
      <w:r w:rsidRPr="003664FB">
        <w:rPr>
          <w:rFonts w:cs="Times New Roman"/>
          <w:szCs w:val="24"/>
        </w:rPr>
        <w:t xml:space="preserve">This observation, however, is valid only for population </w:t>
      </w:r>
      <w:r>
        <w:rPr>
          <w:rFonts w:cs="Times New Roman"/>
          <w:szCs w:val="24"/>
        </w:rPr>
        <w:t>covered</w:t>
      </w:r>
      <w:r w:rsidRPr="003664FB">
        <w:rPr>
          <w:rFonts w:cs="Times New Roman"/>
          <w:szCs w:val="24"/>
        </w:rPr>
        <w:t xml:space="preserve"> by piped water sup</w:t>
      </w:r>
      <w:r>
        <w:rPr>
          <w:rFonts w:cs="Times New Roman"/>
          <w:szCs w:val="24"/>
        </w:rPr>
        <w:t>ply. As was noted</w:t>
      </w:r>
      <w:r w:rsidRPr="003664FB">
        <w:rPr>
          <w:rFonts w:cs="Times New Roman"/>
          <w:szCs w:val="24"/>
        </w:rPr>
        <w:t xml:space="preserve">, </w:t>
      </w:r>
      <w:r>
        <w:rPr>
          <w:rFonts w:cs="Times New Roman"/>
          <w:szCs w:val="24"/>
        </w:rPr>
        <w:t xml:space="preserve">some </w:t>
      </w:r>
      <w:r w:rsidRPr="003664FB">
        <w:rPr>
          <w:rFonts w:cs="Times New Roman"/>
          <w:szCs w:val="24"/>
        </w:rPr>
        <w:t>42% of the popul</w:t>
      </w:r>
      <w:r>
        <w:rPr>
          <w:rFonts w:cs="Times New Roman"/>
          <w:szCs w:val="24"/>
        </w:rPr>
        <w:t>ation of 31 municipalities and 7</w:t>
      </w:r>
      <w:r w:rsidRPr="003664FB">
        <w:rPr>
          <w:rFonts w:cs="Times New Roman"/>
          <w:szCs w:val="24"/>
        </w:rPr>
        <w:t xml:space="preserve"> city corporation</w:t>
      </w:r>
      <w:r>
        <w:rPr>
          <w:rFonts w:cs="Times New Roman"/>
          <w:szCs w:val="24"/>
        </w:rPr>
        <w:t>s</w:t>
      </w:r>
      <w:r w:rsidRPr="003664FB">
        <w:rPr>
          <w:rFonts w:cs="Times New Roman"/>
          <w:szCs w:val="24"/>
        </w:rPr>
        <w:t xml:space="preserve"> are covered by piped water. Moreover, nearly 66% of these ULBs supply piped water to less than 50% of their populations while the rest 34% </w:t>
      </w:r>
      <w:r>
        <w:rPr>
          <w:rFonts w:cs="Times New Roman"/>
          <w:szCs w:val="24"/>
        </w:rPr>
        <w:t>cover</w:t>
      </w:r>
      <w:r w:rsidRPr="003664FB">
        <w:rPr>
          <w:rFonts w:cs="Times New Roman"/>
          <w:szCs w:val="24"/>
        </w:rPr>
        <w:t xml:space="preserve"> more than 50% of their population</w:t>
      </w:r>
      <w:r>
        <w:rPr>
          <w:rFonts w:cs="Times New Roman"/>
          <w:szCs w:val="24"/>
        </w:rPr>
        <w:t xml:space="preserve"> .</w:t>
      </w:r>
      <w:r w:rsidRPr="0050663D">
        <w:rPr>
          <w:rFonts w:cs="Times New Roman"/>
          <w:bCs/>
          <w:i/>
          <w:szCs w:val="24"/>
        </w:rPr>
        <w:t>In municipal areas about 45% of the people get water supply from household managed hand pumped tubewells.</w:t>
      </w:r>
    </w:p>
    <w:p w:rsidR="0048464B" w:rsidRPr="005119A6" w:rsidRDefault="0048464B" w:rsidP="0048464B">
      <w:pPr>
        <w:jc w:val="center"/>
      </w:pPr>
      <w:bookmarkStart w:id="738" w:name="_Toc464328984"/>
      <w:r w:rsidRPr="00101CE9">
        <w:rPr>
          <w:b/>
        </w:rPr>
        <w:t xml:space="preserve">Table 10.5: Distribution of Urban Local </w:t>
      </w:r>
      <w:r>
        <w:rPr>
          <w:b/>
        </w:rPr>
        <w:t xml:space="preserve">Government </w:t>
      </w:r>
      <w:r w:rsidRPr="00101CE9">
        <w:rPr>
          <w:b/>
        </w:rPr>
        <w:t xml:space="preserve">Bodies </w:t>
      </w:r>
      <w:r>
        <w:rPr>
          <w:b/>
        </w:rPr>
        <w:t xml:space="preserve">(ULGBs) </w:t>
      </w:r>
      <w:r w:rsidRPr="00101CE9">
        <w:rPr>
          <w:b/>
        </w:rPr>
        <w:t>by Water Consumption</w:t>
      </w:r>
      <w:bookmarkEnd w:id="738"/>
    </w:p>
    <w:tbl>
      <w:tblPr>
        <w:tblStyle w:val="PlainTable120"/>
        <w:tblW w:w="5000" w:type="pct"/>
        <w:tblLook w:val="04A0"/>
      </w:tblPr>
      <w:tblGrid>
        <w:gridCol w:w="1627"/>
        <w:gridCol w:w="1703"/>
        <w:gridCol w:w="1136"/>
        <w:gridCol w:w="1892"/>
        <w:gridCol w:w="1988"/>
        <w:gridCol w:w="1230"/>
      </w:tblGrid>
      <w:tr w:rsidR="0048464B" w:rsidRPr="00AE5E20" w:rsidTr="00F83382">
        <w:trPr>
          <w:cnfStyle w:val="100000000000"/>
          <w:trHeight w:val="432"/>
        </w:trPr>
        <w:tc>
          <w:tcPr>
            <w:cnfStyle w:val="001000000000"/>
            <w:tcW w:w="850" w:type="pct"/>
            <w:vMerge w:val="restart"/>
          </w:tcPr>
          <w:p w:rsidR="0048464B" w:rsidRPr="00D10C92" w:rsidRDefault="0048464B" w:rsidP="00F83382">
            <w:pPr>
              <w:spacing w:line="276" w:lineRule="auto"/>
              <w:jc w:val="center"/>
              <w:rPr>
                <w:rFonts w:cs="Times New Roman"/>
                <w:bCs w:val="0"/>
                <w:sz w:val="22"/>
              </w:rPr>
            </w:pPr>
            <w:r w:rsidRPr="00D10C92">
              <w:rPr>
                <w:rFonts w:cs="Times New Roman"/>
                <w:bCs w:val="0"/>
                <w:sz w:val="22"/>
              </w:rPr>
              <w:t>Population Size</w:t>
            </w:r>
          </w:p>
          <w:p w:rsidR="0048464B" w:rsidRPr="00D10C92" w:rsidRDefault="0048464B" w:rsidP="00F83382">
            <w:pPr>
              <w:spacing w:line="276" w:lineRule="auto"/>
              <w:jc w:val="center"/>
              <w:rPr>
                <w:rFonts w:cs="Times New Roman"/>
                <w:bCs w:val="0"/>
                <w:sz w:val="22"/>
              </w:rPr>
            </w:pPr>
            <w:r w:rsidRPr="00D10C92">
              <w:rPr>
                <w:rFonts w:cs="Times New Roman"/>
                <w:bCs w:val="0"/>
                <w:sz w:val="22"/>
              </w:rPr>
              <w:t>(in thousands)</w:t>
            </w:r>
          </w:p>
        </w:tc>
        <w:tc>
          <w:tcPr>
            <w:tcW w:w="889" w:type="pct"/>
            <w:vMerge w:val="restart"/>
          </w:tcPr>
          <w:p w:rsidR="0048464B" w:rsidRPr="00D10C92" w:rsidRDefault="0048464B" w:rsidP="00F83382">
            <w:pPr>
              <w:spacing w:line="276" w:lineRule="auto"/>
              <w:jc w:val="center"/>
              <w:cnfStyle w:val="100000000000"/>
              <w:rPr>
                <w:rFonts w:cs="Times New Roman"/>
                <w:bCs w:val="0"/>
                <w:sz w:val="22"/>
              </w:rPr>
            </w:pPr>
            <w:r w:rsidRPr="00D10C92">
              <w:rPr>
                <w:rFonts w:cs="Times New Roman"/>
                <w:bCs w:val="0"/>
                <w:sz w:val="22"/>
              </w:rPr>
              <w:t xml:space="preserve">Type of </w:t>
            </w:r>
            <w:r>
              <w:rPr>
                <w:rFonts w:cs="Times New Roman"/>
                <w:bCs w:val="0"/>
                <w:sz w:val="22"/>
              </w:rPr>
              <w:t>ULGBs</w:t>
            </w:r>
          </w:p>
        </w:tc>
        <w:tc>
          <w:tcPr>
            <w:tcW w:w="593" w:type="pct"/>
            <w:vMerge w:val="restart"/>
          </w:tcPr>
          <w:p w:rsidR="0048464B" w:rsidRPr="00D10C92" w:rsidRDefault="0048464B" w:rsidP="00F83382">
            <w:pPr>
              <w:spacing w:line="276" w:lineRule="auto"/>
              <w:jc w:val="center"/>
              <w:cnfStyle w:val="100000000000"/>
              <w:rPr>
                <w:rFonts w:cs="Times New Roman"/>
                <w:bCs w:val="0"/>
                <w:sz w:val="22"/>
              </w:rPr>
            </w:pPr>
            <w:r w:rsidRPr="00D10C92">
              <w:rPr>
                <w:rFonts w:cs="Times New Roman"/>
                <w:bCs w:val="0"/>
                <w:sz w:val="22"/>
              </w:rPr>
              <w:t>Number</w:t>
            </w:r>
          </w:p>
        </w:tc>
        <w:tc>
          <w:tcPr>
            <w:tcW w:w="2668" w:type="pct"/>
            <w:gridSpan w:val="3"/>
          </w:tcPr>
          <w:p w:rsidR="0048464B" w:rsidRPr="00D10C92" w:rsidRDefault="0048464B" w:rsidP="00F83382">
            <w:pPr>
              <w:spacing w:line="276" w:lineRule="auto"/>
              <w:jc w:val="center"/>
              <w:cnfStyle w:val="100000000000"/>
              <w:rPr>
                <w:rFonts w:cs="Times New Roman"/>
                <w:bCs w:val="0"/>
                <w:sz w:val="22"/>
              </w:rPr>
            </w:pPr>
            <w:r w:rsidRPr="00D10C92">
              <w:rPr>
                <w:rFonts w:cs="Times New Roman"/>
                <w:bCs w:val="0"/>
                <w:sz w:val="22"/>
              </w:rPr>
              <w:t xml:space="preserve">Distribution of </w:t>
            </w:r>
            <w:r>
              <w:rPr>
                <w:rFonts w:cs="Times New Roman"/>
                <w:bCs w:val="0"/>
                <w:sz w:val="22"/>
              </w:rPr>
              <w:t>ULGBs</w:t>
            </w:r>
            <w:r w:rsidRPr="00D10C92">
              <w:rPr>
                <w:rFonts w:cs="Times New Roman"/>
                <w:bCs w:val="0"/>
                <w:sz w:val="22"/>
              </w:rPr>
              <w:t xml:space="preserve"> by Water Consumption</w:t>
            </w:r>
          </w:p>
        </w:tc>
      </w:tr>
      <w:tr w:rsidR="0048464B" w:rsidRPr="00AE5E20" w:rsidTr="00F83382">
        <w:trPr>
          <w:cnfStyle w:val="000000100000"/>
          <w:trHeight w:val="432"/>
        </w:trPr>
        <w:tc>
          <w:tcPr>
            <w:cnfStyle w:val="001000000000"/>
            <w:tcW w:w="850" w:type="pct"/>
            <w:vMerge/>
          </w:tcPr>
          <w:p w:rsidR="0048464B" w:rsidRPr="00D10C92" w:rsidRDefault="0048464B" w:rsidP="00F83382">
            <w:pPr>
              <w:spacing w:line="276" w:lineRule="auto"/>
              <w:jc w:val="center"/>
              <w:rPr>
                <w:rFonts w:cs="Times New Roman"/>
                <w:sz w:val="22"/>
              </w:rPr>
            </w:pPr>
          </w:p>
        </w:tc>
        <w:tc>
          <w:tcPr>
            <w:tcW w:w="889" w:type="pct"/>
            <w:vMerge/>
          </w:tcPr>
          <w:p w:rsidR="0048464B" w:rsidRPr="00D10C92" w:rsidRDefault="0048464B" w:rsidP="00F83382">
            <w:pPr>
              <w:spacing w:line="276" w:lineRule="auto"/>
              <w:jc w:val="center"/>
              <w:cnfStyle w:val="000000100000"/>
              <w:rPr>
                <w:rFonts w:cs="Times New Roman"/>
                <w:b/>
                <w:sz w:val="22"/>
              </w:rPr>
            </w:pPr>
          </w:p>
        </w:tc>
        <w:tc>
          <w:tcPr>
            <w:tcW w:w="593" w:type="pct"/>
            <w:vMerge/>
          </w:tcPr>
          <w:p w:rsidR="0048464B" w:rsidRPr="00D10C92" w:rsidRDefault="0048464B" w:rsidP="00F83382">
            <w:pPr>
              <w:spacing w:line="276" w:lineRule="auto"/>
              <w:jc w:val="center"/>
              <w:cnfStyle w:val="000000100000"/>
              <w:rPr>
                <w:rFonts w:cs="Times New Roman"/>
                <w:b/>
                <w:sz w:val="22"/>
              </w:rPr>
            </w:pPr>
          </w:p>
        </w:tc>
        <w:tc>
          <w:tcPr>
            <w:tcW w:w="988" w:type="pct"/>
          </w:tcPr>
          <w:p w:rsidR="0048464B" w:rsidRPr="00D10C92" w:rsidRDefault="0048464B" w:rsidP="00F83382">
            <w:pPr>
              <w:spacing w:line="276" w:lineRule="auto"/>
              <w:jc w:val="center"/>
              <w:cnfStyle w:val="000000100000"/>
              <w:rPr>
                <w:rFonts w:cs="Times New Roman"/>
                <w:b/>
                <w:sz w:val="22"/>
              </w:rPr>
            </w:pPr>
            <w:r w:rsidRPr="00D10C92">
              <w:rPr>
                <w:rFonts w:cs="Times New Roman"/>
                <w:b/>
                <w:sz w:val="22"/>
              </w:rPr>
              <w:t>Less than 70 lpcd</w:t>
            </w:r>
          </w:p>
        </w:tc>
        <w:tc>
          <w:tcPr>
            <w:tcW w:w="1038" w:type="pct"/>
          </w:tcPr>
          <w:p w:rsidR="0048464B" w:rsidRPr="00D10C92" w:rsidRDefault="0048464B" w:rsidP="00F83382">
            <w:pPr>
              <w:spacing w:line="276" w:lineRule="auto"/>
              <w:jc w:val="center"/>
              <w:cnfStyle w:val="000000100000"/>
              <w:rPr>
                <w:rFonts w:cs="Times New Roman"/>
                <w:b/>
                <w:sz w:val="22"/>
              </w:rPr>
            </w:pPr>
            <w:r w:rsidRPr="00D10C92">
              <w:rPr>
                <w:rFonts w:cs="Times New Roman"/>
                <w:b/>
                <w:sz w:val="22"/>
              </w:rPr>
              <w:t>More than 70 lpcd</w:t>
            </w:r>
          </w:p>
        </w:tc>
        <w:tc>
          <w:tcPr>
            <w:tcW w:w="642" w:type="pct"/>
          </w:tcPr>
          <w:p w:rsidR="0048464B" w:rsidRPr="00D10C92" w:rsidRDefault="0048464B" w:rsidP="00F83382">
            <w:pPr>
              <w:spacing w:line="276" w:lineRule="auto"/>
              <w:jc w:val="center"/>
              <w:cnfStyle w:val="000000100000"/>
              <w:rPr>
                <w:rFonts w:cs="Times New Roman"/>
                <w:b/>
                <w:sz w:val="22"/>
              </w:rPr>
            </w:pPr>
            <w:r w:rsidRPr="00D10C92">
              <w:rPr>
                <w:rFonts w:cs="Times New Roman"/>
                <w:b/>
                <w:sz w:val="22"/>
              </w:rPr>
              <w:t>Total</w:t>
            </w:r>
          </w:p>
        </w:tc>
      </w:tr>
      <w:tr w:rsidR="0048464B" w:rsidRPr="00AE5E20" w:rsidTr="00F83382">
        <w:trPr>
          <w:trHeight w:val="432"/>
        </w:trPr>
        <w:tc>
          <w:tcPr>
            <w:cnfStyle w:val="001000000000"/>
            <w:tcW w:w="850" w:type="pct"/>
          </w:tcPr>
          <w:p w:rsidR="0048464B" w:rsidRPr="00AE5E20" w:rsidRDefault="0048464B" w:rsidP="00F83382">
            <w:pPr>
              <w:spacing w:line="276" w:lineRule="auto"/>
              <w:rPr>
                <w:rFonts w:cs="Times New Roman"/>
                <w:sz w:val="22"/>
                <w:szCs w:val="20"/>
              </w:rPr>
            </w:pPr>
            <w:r w:rsidRPr="00AE5E20">
              <w:rPr>
                <w:rFonts w:cs="Times New Roman"/>
                <w:sz w:val="22"/>
                <w:szCs w:val="20"/>
              </w:rPr>
              <w:t>Less than 100</w:t>
            </w:r>
          </w:p>
        </w:tc>
        <w:tc>
          <w:tcPr>
            <w:tcW w:w="889" w:type="pct"/>
          </w:tcPr>
          <w:p w:rsidR="0048464B" w:rsidRPr="00AE5E20" w:rsidRDefault="0048464B" w:rsidP="00F83382">
            <w:pPr>
              <w:spacing w:line="276" w:lineRule="auto"/>
              <w:cnfStyle w:val="000000000000"/>
              <w:rPr>
                <w:rFonts w:cs="Times New Roman"/>
                <w:sz w:val="22"/>
              </w:rPr>
            </w:pPr>
            <w:r w:rsidRPr="00AE5E20">
              <w:rPr>
                <w:rFonts w:cs="Times New Roman"/>
                <w:sz w:val="22"/>
              </w:rPr>
              <w:t>Municipality</w:t>
            </w:r>
          </w:p>
        </w:tc>
        <w:tc>
          <w:tcPr>
            <w:tcW w:w="593" w:type="pct"/>
          </w:tcPr>
          <w:p w:rsidR="0048464B" w:rsidRPr="00AE5E20" w:rsidRDefault="0048464B" w:rsidP="00F83382">
            <w:pPr>
              <w:spacing w:line="276" w:lineRule="auto"/>
              <w:cnfStyle w:val="000000000000"/>
              <w:rPr>
                <w:rFonts w:cs="Times New Roman"/>
                <w:sz w:val="22"/>
              </w:rPr>
            </w:pPr>
            <w:r w:rsidRPr="00AE5E20">
              <w:rPr>
                <w:rFonts w:cs="Times New Roman"/>
                <w:sz w:val="22"/>
              </w:rPr>
              <w:t>21</w:t>
            </w:r>
          </w:p>
        </w:tc>
        <w:tc>
          <w:tcPr>
            <w:tcW w:w="988" w:type="pct"/>
          </w:tcPr>
          <w:p w:rsidR="0048464B" w:rsidRPr="00AE5E20" w:rsidRDefault="0048464B" w:rsidP="00F83382">
            <w:pPr>
              <w:spacing w:line="276" w:lineRule="auto"/>
              <w:cnfStyle w:val="000000000000"/>
              <w:rPr>
                <w:rFonts w:cs="Times New Roman"/>
                <w:sz w:val="22"/>
              </w:rPr>
            </w:pPr>
            <w:r w:rsidRPr="00AE5E20">
              <w:rPr>
                <w:rFonts w:cs="Times New Roman"/>
                <w:sz w:val="22"/>
              </w:rPr>
              <w:t>8 (38.1%)</w:t>
            </w:r>
          </w:p>
        </w:tc>
        <w:tc>
          <w:tcPr>
            <w:tcW w:w="1038" w:type="pct"/>
          </w:tcPr>
          <w:p w:rsidR="0048464B" w:rsidRPr="00AE5E20" w:rsidRDefault="0048464B" w:rsidP="00F83382">
            <w:pPr>
              <w:spacing w:line="276" w:lineRule="auto"/>
              <w:cnfStyle w:val="000000000000"/>
              <w:rPr>
                <w:rFonts w:cs="Times New Roman"/>
                <w:sz w:val="22"/>
              </w:rPr>
            </w:pPr>
            <w:r w:rsidRPr="00AE5E20">
              <w:rPr>
                <w:rFonts w:cs="Times New Roman"/>
                <w:sz w:val="22"/>
              </w:rPr>
              <w:t>13 (1.9%)</w:t>
            </w:r>
          </w:p>
        </w:tc>
        <w:tc>
          <w:tcPr>
            <w:tcW w:w="642" w:type="pct"/>
          </w:tcPr>
          <w:p w:rsidR="0048464B" w:rsidRPr="00AE5E20" w:rsidRDefault="0048464B" w:rsidP="00F83382">
            <w:pPr>
              <w:spacing w:line="276" w:lineRule="auto"/>
              <w:cnfStyle w:val="000000000000"/>
              <w:rPr>
                <w:rFonts w:cs="Times New Roman"/>
                <w:sz w:val="22"/>
              </w:rPr>
            </w:pPr>
            <w:r w:rsidRPr="00AE5E20">
              <w:rPr>
                <w:rFonts w:cs="Times New Roman"/>
                <w:sz w:val="22"/>
              </w:rPr>
              <w:t>21 (100%)</w:t>
            </w:r>
          </w:p>
        </w:tc>
      </w:tr>
      <w:tr w:rsidR="0048464B" w:rsidRPr="00AE5E20" w:rsidTr="00F83382">
        <w:trPr>
          <w:cnfStyle w:val="000000100000"/>
          <w:trHeight w:val="432"/>
        </w:trPr>
        <w:tc>
          <w:tcPr>
            <w:cnfStyle w:val="001000000000"/>
            <w:tcW w:w="850" w:type="pct"/>
          </w:tcPr>
          <w:p w:rsidR="0048464B" w:rsidRPr="00AE5E20" w:rsidRDefault="0048464B" w:rsidP="00F83382">
            <w:pPr>
              <w:spacing w:line="276" w:lineRule="auto"/>
              <w:rPr>
                <w:rFonts w:cs="Times New Roman"/>
                <w:sz w:val="22"/>
                <w:szCs w:val="20"/>
              </w:rPr>
            </w:pPr>
            <w:r w:rsidRPr="00AE5E20">
              <w:rPr>
                <w:rFonts w:cs="Times New Roman"/>
                <w:sz w:val="22"/>
                <w:szCs w:val="20"/>
              </w:rPr>
              <w:t>100 to 299</w:t>
            </w:r>
          </w:p>
        </w:tc>
        <w:tc>
          <w:tcPr>
            <w:tcW w:w="889" w:type="pct"/>
          </w:tcPr>
          <w:p w:rsidR="0048464B" w:rsidRPr="00AE5E20" w:rsidRDefault="0048464B" w:rsidP="00F83382">
            <w:pPr>
              <w:spacing w:line="276" w:lineRule="auto"/>
              <w:cnfStyle w:val="000000100000"/>
              <w:rPr>
                <w:rFonts w:cs="Times New Roman"/>
                <w:sz w:val="22"/>
              </w:rPr>
            </w:pPr>
            <w:r w:rsidRPr="00AE5E20">
              <w:rPr>
                <w:rFonts w:cs="Times New Roman"/>
                <w:sz w:val="22"/>
              </w:rPr>
              <w:t>Municipality</w:t>
            </w:r>
          </w:p>
        </w:tc>
        <w:tc>
          <w:tcPr>
            <w:tcW w:w="593" w:type="pct"/>
          </w:tcPr>
          <w:p w:rsidR="0048464B" w:rsidRPr="00AE5E20" w:rsidRDefault="0048464B" w:rsidP="00F83382">
            <w:pPr>
              <w:spacing w:line="276" w:lineRule="auto"/>
              <w:cnfStyle w:val="000000100000"/>
              <w:rPr>
                <w:rFonts w:cs="Times New Roman"/>
                <w:sz w:val="22"/>
              </w:rPr>
            </w:pPr>
            <w:r w:rsidRPr="00AE5E20">
              <w:rPr>
                <w:rFonts w:cs="Times New Roman"/>
                <w:sz w:val="22"/>
              </w:rPr>
              <w:t>10</w:t>
            </w:r>
          </w:p>
        </w:tc>
        <w:tc>
          <w:tcPr>
            <w:tcW w:w="988" w:type="pct"/>
          </w:tcPr>
          <w:p w:rsidR="0048464B" w:rsidRPr="00AE5E20" w:rsidRDefault="0048464B" w:rsidP="00F83382">
            <w:pPr>
              <w:spacing w:line="276" w:lineRule="auto"/>
              <w:cnfStyle w:val="000000100000"/>
              <w:rPr>
                <w:rFonts w:cs="Times New Roman"/>
                <w:sz w:val="22"/>
              </w:rPr>
            </w:pPr>
            <w:r w:rsidRPr="00AE5E20">
              <w:rPr>
                <w:rFonts w:cs="Times New Roman"/>
                <w:sz w:val="22"/>
              </w:rPr>
              <w:t>6 (60%)</w:t>
            </w:r>
          </w:p>
        </w:tc>
        <w:tc>
          <w:tcPr>
            <w:tcW w:w="1038" w:type="pct"/>
          </w:tcPr>
          <w:p w:rsidR="0048464B" w:rsidRPr="00AE5E20" w:rsidRDefault="0048464B" w:rsidP="00F83382">
            <w:pPr>
              <w:spacing w:line="276" w:lineRule="auto"/>
              <w:cnfStyle w:val="000000100000"/>
              <w:rPr>
                <w:rFonts w:cs="Times New Roman"/>
                <w:sz w:val="22"/>
              </w:rPr>
            </w:pPr>
            <w:r w:rsidRPr="00AE5E20">
              <w:rPr>
                <w:rFonts w:cs="Times New Roman"/>
                <w:sz w:val="22"/>
              </w:rPr>
              <w:t>4 (40%)</w:t>
            </w:r>
          </w:p>
        </w:tc>
        <w:tc>
          <w:tcPr>
            <w:tcW w:w="642" w:type="pct"/>
          </w:tcPr>
          <w:p w:rsidR="0048464B" w:rsidRPr="00AE5E20" w:rsidRDefault="0048464B" w:rsidP="00F83382">
            <w:pPr>
              <w:spacing w:line="276" w:lineRule="auto"/>
              <w:cnfStyle w:val="000000100000"/>
              <w:rPr>
                <w:rFonts w:cs="Times New Roman"/>
                <w:sz w:val="22"/>
              </w:rPr>
            </w:pPr>
            <w:r w:rsidRPr="00AE5E20">
              <w:rPr>
                <w:rFonts w:cs="Times New Roman"/>
                <w:sz w:val="22"/>
              </w:rPr>
              <w:t>10 (100%)</w:t>
            </w:r>
          </w:p>
        </w:tc>
      </w:tr>
      <w:tr w:rsidR="0048464B" w:rsidRPr="00AE5E20" w:rsidTr="00F83382">
        <w:trPr>
          <w:trHeight w:val="432"/>
        </w:trPr>
        <w:tc>
          <w:tcPr>
            <w:cnfStyle w:val="001000000000"/>
            <w:tcW w:w="850" w:type="pct"/>
          </w:tcPr>
          <w:p w:rsidR="0048464B" w:rsidRPr="00AE5E20" w:rsidRDefault="0048464B" w:rsidP="00F83382">
            <w:pPr>
              <w:spacing w:line="276" w:lineRule="auto"/>
              <w:rPr>
                <w:rFonts w:cs="Times New Roman"/>
                <w:sz w:val="22"/>
                <w:szCs w:val="20"/>
              </w:rPr>
            </w:pPr>
            <w:r w:rsidRPr="00AE5E20">
              <w:rPr>
                <w:rFonts w:cs="Times New Roman"/>
                <w:sz w:val="22"/>
                <w:szCs w:val="20"/>
              </w:rPr>
              <w:t>300 to 999</w:t>
            </w:r>
          </w:p>
        </w:tc>
        <w:tc>
          <w:tcPr>
            <w:tcW w:w="889" w:type="pct"/>
          </w:tcPr>
          <w:p w:rsidR="0048464B" w:rsidRPr="00AE5E20" w:rsidRDefault="0048464B" w:rsidP="00F83382">
            <w:pPr>
              <w:spacing w:line="276" w:lineRule="auto"/>
              <w:cnfStyle w:val="000000000000"/>
              <w:rPr>
                <w:rFonts w:cs="Times New Roman"/>
                <w:sz w:val="22"/>
                <w:szCs w:val="20"/>
              </w:rPr>
            </w:pPr>
            <w:r w:rsidRPr="00AE5E20">
              <w:rPr>
                <w:rFonts w:cs="Times New Roman"/>
                <w:sz w:val="22"/>
                <w:szCs w:val="20"/>
              </w:rPr>
              <w:t>City Corporation</w:t>
            </w:r>
          </w:p>
        </w:tc>
        <w:tc>
          <w:tcPr>
            <w:tcW w:w="593" w:type="pct"/>
          </w:tcPr>
          <w:p w:rsidR="0048464B" w:rsidRPr="00AE5E20" w:rsidRDefault="0048464B" w:rsidP="00F83382">
            <w:pPr>
              <w:spacing w:line="276" w:lineRule="auto"/>
              <w:cnfStyle w:val="000000000000"/>
              <w:rPr>
                <w:rFonts w:cs="Times New Roman"/>
                <w:sz w:val="22"/>
              </w:rPr>
            </w:pPr>
            <w:r w:rsidRPr="00AE5E20">
              <w:rPr>
                <w:rFonts w:cs="Times New Roman"/>
                <w:sz w:val="22"/>
              </w:rPr>
              <w:t>05</w:t>
            </w:r>
          </w:p>
        </w:tc>
        <w:tc>
          <w:tcPr>
            <w:tcW w:w="988" w:type="pct"/>
          </w:tcPr>
          <w:p w:rsidR="0048464B" w:rsidRPr="00AE5E20" w:rsidRDefault="0048464B" w:rsidP="00F83382">
            <w:pPr>
              <w:spacing w:line="276" w:lineRule="auto"/>
              <w:cnfStyle w:val="000000000000"/>
              <w:rPr>
                <w:rFonts w:cs="Times New Roman"/>
                <w:sz w:val="22"/>
              </w:rPr>
            </w:pPr>
            <w:r w:rsidRPr="00AE5E20">
              <w:rPr>
                <w:rFonts w:cs="Times New Roman"/>
                <w:sz w:val="22"/>
              </w:rPr>
              <w:t>3 (60%)</w:t>
            </w:r>
          </w:p>
        </w:tc>
        <w:tc>
          <w:tcPr>
            <w:tcW w:w="1038" w:type="pct"/>
          </w:tcPr>
          <w:p w:rsidR="0048464B" w:rsidRPr="00AE5E20" w:rsidRDefault="0048464B" w:rsidP="00F83382">
            <w:pPr>
              <w:spacing w:line="276" w:lineRule="auto"/>
              <w:cnfStyle w:val="000000000000"/>
              <w:rPr>
                <w:rFonts w:cs="Times New Roman"/>
                <w:sz w:val="22"/>
              </w:rPr>
            </w:pPr>
            <w:r w:rsidRPr="00AE5E20">
              <w:rPr>
                <w:rFonts w:cs="Times New Roman"/>
                <w:sz w:val="22"/>
              </w:rPr>
              <w:t>2 (40%)</w:t>
            </w:r>
          </w:p>
        </w:tc>
        <w:tc>
          <w:tcPr>
            <w:tcW w:w="642" w:type="pct"/>
          </w:tcPr>
          <w:p w:rsidR="0048464B" w:rsidRPr="00AE5E20" w:rsidRDefault="0048464B" w:rsidP="00F83382">
            <w:pPr>
              <w:spacing w:line="276" w:lineRule="auto"/>
              <w:cnfStyle w:val="000000000000"/>
              <w:rPr>
                <w:rFonts w:cs="Times New Roman"/>
                <w:sz w:val="22"/>
              </w:rPr>
            </w:pPr>
            <w:r w:rsidRPr="00AE5E20">
              <w:rPr>
                <w:rFonts w:cs="Times New Roman"/>
                <w:sz w:val="22"/>
              </w:rPr>
              <w:t>05 (100%)</w:t>
            </w:r>
          </w:p>
        </w:tc>
      </w:tr>
      <w:tr w:rsidR="0048464B" w:rsidRPr="00AE5E20" w:rsidTr="00F83382">
        <w:trPr>
          <w:cnfStyle w:val="000000100000"/>
          <w:trHeight w:val="432"/>
        </w:trPr>
        <w:tc>
          <w:tcPr>
            <w:cnfStyle w:val="001000000000"/>
            <w:tcW w:w="850" w:type="pct"/>
          </w:tcPr>
          <w:p w:rsidR="0048464B" w:rsidRPr="00AE5E20" w:rsidRDefault="0048464B" w:rsidP="00F83382">
            <w:pPr>
              <w:spacing w:line="276" w:lineRule="auto"/>
              <w:rPr>
                <w:rFonts w:cs="Times New Roman"/>
                <w:sz w:val="22"/>
                <w:szCs w:val="20"/>
              </w:rPr>
            </w:pPr>
            <w:r w:rsidRPr="00AE5E20">
              <w:rPr>
                <w:rFonts w:cs="Times New Roman"/>
                <w:sz w:val="22"/>
                <w:szCs w:val="20"/>
              </w:rPr>
              <w:t>1000 and more</w:t>
            </w:r>
          </w:p>
        </w:tc>
        <w:tc>
          <w:tcPr>
            <w:tcW w:w="889" w:type="pct"/>
          </w:tcPr>
          <w:p w:rsidR="0048464B" w:rsidRPr="00AE5E20" w:rsidRDefault="0048464B" w:rsidP="00F83382">
            <w:pPr>
              <w:spacing w:line="276" w:lineRule="auto"/>
              <w:cnfStyle w:val="000000100000"/>
              <w:rPr>
                <w:rFonts w:cs="Times New Roman"/>
                <w:sz w:val="22"/>
                <w:szCs w:val="20"/>
              </w:rPr>
            </w:pPr>
            <w:r w:rsidRPr="00AE5E20">
              <w:rPr>
                <w:rFonts w:cs="Times New Roman"/>
                <w:sz w:val="22"/>
                <w:szCs w:val="20"/>
              </w:rPr>
              <w:t>City Corporation</w:t>
            </w:r>
          </w:p>
        </w:tc>
        <w:tc>
          <w:tcPr>
            <w:tcW w:w="593" w:type="pct"/>
          </w:tcPr>
          <w:p w:rsidR="0048464B" w:rsidRPr="00AE5E20" w:rsidRDefault="0048464B" w:rsidP="00F83382">
            <w:pPr>
              <w:spacing w:line="276" w:lineRule="auto"/>
              <w:cnfStyle w:val="000000100000"/>
              <w:rPr>
                <w:rFonts w:cs="Times New Roman"/>
                <w:sz w:val="22"/>
              </w:rPr>
            </w:pPr>
            <w:r w:rsidRPr="00AE5E20">
              <w:rPr>
                <w:rFonts w:cs="Times New Roman"/>
                <w:sz w:val="22"/>
              </w:rPr>
              <w:t>02</w:t>
            </w:r>
          </w:p>
        </w:tc>
        <w:tc>
          <w:tcPr>
            <w:tcW w:w="988" w:type="pct"/>
          </w:tcPr>
          <w:p w:rsidR="0048464B" w:rsidRPr="00AE5E20" w:rsidRDefault="0048464B" w:rsidP="00F83382">
            <w:pPr>
              <w:spacing w:line="276" w:lineRule="auto"/>
              <w:cnfStyle w:val="000000100000"/>
              <w:rPr>
                <w:rFonts w:cs="Times New Roman"/>
                <w:sz w:val="22"/>
              </w:rPr>
            </w:pPr>
            <w:r w:rsidRPr="00AE5E20">
              <w:rPr>
                <w:rFonts w:cs="Times New Roman"/>
                <w:sz w:val="22"/>
              </w:rPr>
              <w:t>0 (0.0%)</w:t>
            </w:r>
          </w:p>
        </w:tc>
        <w:tc>
          <w:tcPr>
            <w:tcW w:w="1038" w:type="pct"/>
          </w:tcPr>
          <w:p w:rsidR="0048464B" w:rsidRPr="00AE5E20" w:rsidRDefault="0048464B" w:rsidP="00F83382">
            <w:pPr>
              <w:spacing w:line="276" w:lineRule="auto"/>
              <w:cnfStyle w:val="000000100000"/>
              <w:rPr>
                <w:rFonts w:cs="Times New Roman"/>
                <w:sz w:val="22"/>
              </w:rPr>
            </w:pPr>
            <w:r w:rsidRPr="00AE5E20">
              <w:rPr>
                <w:rFonts w:cs="Times New Roman"/>
                <w:sz w:val="22"/>
              </w:rPr>
              <w:t>2 (100%)</w:t>
            </w:r>
          </w:p>
        </w:tc>
        <w:tc>
          <w:tcPr>
            <w:tcW w:w="642" w:type="pct"/>
          </w:tcPr>
          <w:p w:rsidR="0048464B" w:rsidRPr="00AE5E20" w:rsidRDefault="0048464B" w:rsidP="00F83382">
            <w:pPr>
              <w:spacing w:line="276" w:lineRule="auto"/>
              <w:cnfStyle w:val="000000100000"/>
              <w:rPr>
                <w:rFonts w:cs="Times New Roman"/>
                <w:sz w:val="22"/>
              </w:rPr>
            </w:pPr>
            <w:r w:rsidRPr="00AE5E20">
              <w:rPr>
                <w:rFonts w:cs="Times New Roman"/>
                <w:sz w:val="22"/>
              </w:rPr>
              <w:t>02 (100%)</w:t>
            </w:r>
          </w:p>
        </w:tc>
      </w:tr>
      <w:tr w:rsidR="0048464B" w:rsidRPr="00AE5E20" w:rsidTr="00F83382">
        <w:trPr>
          <w:trHeight w:val="432"/>
        </w:trPr>
        <w:tc>
          <w:tcPr>
            <w:cnfStyle w:val="001000000000"/>
            <w:tcW w:w="1739" w:type="pct"/>
            <w:gridSpan w:val="2"/>
          </w:tcPr>
          <w:p w:rsidR="0048464B" w:rsidRPr="00AE5E20" w:rsidRDefault="0048464B" w:rsidP="00F83382">
            <w:pPr>
              <w:spacing w:line="276" w:lineRule="auto"/>
              <w:rPr>
                <w:rFonts w:cs="Times New Roman"/>
                <w:sz w:val="22"/>
              </w:rPr>
            </w:pPr>
            <w:r w:rsidRPr="00AE5E20">
              <w:rPr>
                <w:rFonts w:cs="Times New Roman"/>
                <w:sz w:val="22"/>
              </w:rPr>
              <w:t>Total</w:t>
            </w:r>
          </w:p>
        </w:tc>
        <w:tc>
          <w:tcPr>
            <w:tcW w:w="593" w:type="pct"/>
          </w:tcPr>
          <w:p w:rsidR="0048464B" w:rsidRPr="00AE5E20" w:rsidRDefault="0048464B" w:rsidP="00F83382">
            <w:pPr>
              <w:spacing w:line="276" w:lineRule="auto"/>
              <w:cnfStyle w:val="000000000000"/>
              <w:rPr>
                <w:rFonts w:cs="Times New Roman"/>
                <w:sz w:val="22"/>
              </w:rPr>
            </w:pPr>
            <w:r w:rsidRPr="00AE5E20">
              <w:rPr>
                <w:rFonts w:cs="Times New Roman"/>
                <w:sz w:val="22"/>
              </w:rPr>
              <w:t>38</w:t>
            </w:r>
          </w:p>
        </w:tc>
        <w:tc>
          <w:tcPr>
            <w:tcW w:w="988" w:type="pct"/>
          </w:tcPr>
          <w:p w:rsidR="0048464B" w:rsidRPr="00AE5E20" w:rsidRDefault="0048464B" w:rsidP="00F83382">
            <w:pPr>
              <w:spacing w:line="276" w:lineRule="auto"/>
              <w:cnfStyle w:val="000000000000"/>
              <w:rPr>
                <w:rFonts w:cs="Times New Roman"/>
                <w:sz w:val="22"/>
              </w:rPr>
            </w:pPr>
            <w:r w:rsidRPr="00AE5E20">
              <w:rPr>
                <w:rFonts w:cs="Times New Roman"/>
                <w:sz w:val="22"/>
              </w:rPr>
              <w:t>17 (44.7%)</w:t>
            </w:r>
          </w:p>
        </w:tc>
        <w:tc>
          <w:tcPr>
            <w:tcW w:w="1038" w:type="pct"/>
          </w:tcPr>
          <w:p w:rsidR="0048464B" w:rsidRPr="00AE5E20" w:rsidRDefault="0048464B" w:rsidP="00F83382">
            <w:pPr>
              <w:spacing w:line="276" w:lineRule="auto"/>
              <w:cnfStyle w:val="000000000000"/>
              <w:rPr>
                <w:rFonts w:cs="Times New Roman"/>
                <w:sz w:val="22"/>
              </w:rPr>
            </w:pPr>
            <w:r w:rsidRPr="00AE5E20">
              <w:rPr>
                <w:rFonts w:cs="Times New Roman"/>
                <w:sz w:val="22"/>
              </w:rPr>
              <w:t>21 (55.3%)</w:t>
            </w:r>
          </w:p>
        </w:tc>
        <w:tc>
          <w:tcPr>
            <w:tcW w:w="642" w:type="pct"/>
          </w:tcPr>
          <w:p w:rsidR="0048464B" w:rsidRPr="00AE5E20" w:rsidRDefault="0048464B" w:rsidP="00F83382">
            <w:pPr>
              <w:spacing w:line="276" w:lineRule="auto"/>
              <w:cnfStyle w:val="000000000000"/>
              <w:rPr>
                <w:rFonts w:cs="Times New Roman"/>
                <w:sz w:val="22"/>
              </w:rPr>
            </w:pPr>
            <w:r w:rsidRPr="00AE5E20">
              <w:rPr>
                <w:rFonts w:cs="Times New Roman"/>
                <w:sz w:val="22"/>
              </w:rPr>
              <w:t>38 (100%)</w:t>
            </w:r>
          </w:p>
        </w:tc>
      </w:tr>
    </w:tbl>
    <w:p w:rsidR="0048464B" w:rsidRDefault="0048464B" w:rsidP="0048464B">
      <w:pPr>
        <w:spacing w:before="120" w:after="0"/>
        <w:rPr>
          <w:sz w:val="20"/>
        </w:rPr>
      </w:pPr>
      <w:r>
        <w:rPr>
          <w:sz w:val="20"/>
        </w:rPr>
        <w:t xml:space="preserve">lpcd = litres per capita per day   </w:t>
      </w:r>
    </w:p>
    <w:p w:rsidR="0048464B" w:rsidRPr="004B023B" w:rsidRDefault="0048464B" w:rsidP="0048464B">
      <w:pPr>
        <w:spacing w:before="120" w:after="0"/>
        <w:rPr>
          <w:sz w:val="20"/>
        </w:rPr>
      </w:pPr>
      <w:r w:rsidRPr="00FD4ADE">
        <w:rPr>
          <w:rFonts w:cs="Times New Roman"/>
          <w:b/>
          <w:i/>
          <w:iCs/>
          <w:sz w:val="20"/>
          <w:szCs w:val="20"/>
        </w:rPr>
        <w:t>Source: World Bank (WSP), 2014</w:t>
      </w:r>
      <w:r>
        <w:rPr>
          <w:rFonts w:cs="Times New Roman"/>
          <w:b/>
          <w:i/>
          <w:iCs/>
          <w:sz w:val="20"/>
          <w:szCs w:val="20"/>
        </w:rPr>
        <w:t xml:space="preserve"> </w:t>
      </w:r>
    </w:p>
    <w:p w:rsidR="0048464B" w:rsidRDefault="0048464B" w:rsidP="0048464B">
      <w:pPr>
        <w:spacing w:line="276" w:lineRule="auto"/>
        <w:jc w:val="both"/>
        <w:rPr>
          <w:rFonts w:cs="Times New Roman"/>
          <w:b/>
          <w:sz w:val="14"/>
          <w:szCs w:val="24"/>
        </w:rPr>
      </w:pPr>
    </w:p>
    <w:p w:rsidR="0048464B" w:rsidRPr="004B023B" w:rsidRDefault="0048464B" w:rsidP="0048464B">
      <w:pPr>
        <w:spacing w:line="276" w:lineRule="auto"/>
        <w:jc w:val="both"/>
        <w:rPr>
          <w:rFonts w:cs="Times New Roman"/>
          <w:b/>
          <w:sz w:val="14"/>
          <w:szCs w:val="24"/>
        </w:rPr>
      </w:pPr>
    </w:p>
    <w:p w:rsidR="0048464B" w:rsidRPr="00EE6415" w:rsidRDefault="0048464B" w:rsidP="003D5A31">
      <w:pPr>
        <w:pStyle w:val="BodyText"/>
        <w:numPr>
          <w:ilvl w:val="2"/>
          <w:numId w:val="156"/>
        </w:numPr>
        <w:spacing w:after="240" w:line="276" w:lineRule="auto"/>
        <w:jc w:val="both"/>
        <w:rPr>
          <w:rFonts w:cs="Times New Roman"/>
          <w:b/>
          <w:szCs w:val="24"/>
        </w:rPr>
      </w:pPr>
      <w:r w:rsidRPr="00EE6415">
        <w:rPr>
          <w:rFonts w:cs="Times New Roman"/>
          <w:b/>
          <w:szCs w:val="24"/>
        </w:rPr>
        <w:lastRenderedPageBreak/>
        <w:t>Sources of Water Supply</w:t>
      </w:r>
    </w:p>
    <w:p w:rsidR="0048464B" w:rsidRDefault="0048464B" w:rsidP="0048464B">
      <w:pPr>
        <w:spacing w:line="276" w:lineRule="auto"/>
        <w:jc w:val="both"/>
        <w:rPr>
          <w:rFonts w:cs="Times New Roman"/>
          <w:szCs w:val="24"/>
        </w:rPr>
      </w:pPr>
      <w:r w:rsidRPr="0050663D">
        <w:rPr>
          <w:rFonts w:cs="Times New Roman"/>
          <w:bCs/>
          <w:i/>
          <w:szCs w:val="24"/>
        </w:rPr>
        <w:t>In Bangladesh ground water accounts for over 90% of the drinking water supply sources.</w:t>
      </w:r>
      <w:r w:rsidRPr="003664FB">
        <w:rPr>
          <w:rFonts w:cs="Times New Roman"/>
          <w:szCs w:val="24"/>
        </w:rPr>
        <w:t xml:space="preserve"> </w:t>
      </w:r>
      <w:r>
        <w:rPr>
          <w:rFonts w:cs="Times New Roman"/>
          <w:szCs w:val="24"/>
        </w:rPr>
        <w:t>Ground w</w:t>
      </w:r>
      <w:r w:rsidRPr="003664FB">
        <w:rPr>
          <w:rFonts w:cs="Times New Roman"/>
          <w:szCs w:val="24"/>
        </w:rPr>
        <w:t xml:space="preserve">ater in most </w:t>
      </w:r>
      <w:r>
        <w:rPr>
          <w:rFonts w:cs="Times New Roman"/>
          <w:szCs w:val="24"/>
        </w:rPr>
        <w:t>cases</w:t>
      </w:r>
      <w:r w:rsidRPr="003664FB">
        <w:rPr>
          <w:rFonts w:cs="Times New Roman"/>
          <w:szCs w:val="24"/>
        </w:rPr>
        <w:t xml:space="preserve"> does not need treatment while surface water cannot be used for drinking purposes without t</w:t>
      </w:r>
      <w:r>
        <w:rPr>
          <w:rFonts w:cs="Times New Roman"/>
          <w:szCs w:val="24"/>
        </w:rPr>
        <w:t>reatment because of pollution from</w:t>
      </w:r>
      <w:r w:rsidRPr="003664FB">
        <w:rPr>
          <w:rFonts w:cs="Times New Roman"/>
          <w:szCs w:val="24"/>
        </w:rPr>
        <w:t xml:space="preserve"> agricultural, industrial, domestic and municipal sources.</w:t>
      </w:r>
      <w:r>
        <w:rPr>
          <w:rFonts w:cs="Times New Roman"/>
          <w:szCs w:val="24"/>
        </w:rPr>
        <w:t xml:space="preserve"> </w:t>
      </w:r>
      <w:r w:rsidRPr="003664FB">
        <w:rPr>
          <w:rFonts w:cs="Times New Roman"/>
          <w:szCs w:val="24"/>
        </w:rPr>
        <w:t>At present</w:t>
      </w:r>
      <w:r>
        <w:rPr>
          <w:rFonts w:cs="Times New Roman"/>
          <w:szCs w:val="24"/>
        </w:rPr>
        <w:t>,</w:t>
      </w:r>
      <w:r w:rsidRPr="003664FB">
        <w:rPr>
          <w:rFonts w:cs="Times New Roman"/>
          <w:szCs w:val="24"/>
        </w:rPr>
        <w:t xml:space="preserve"> ground water accounts for about 78% of total water su</w:t>
      </w:r>
      <w:r>
        <w:rPr>
          <w:rFonts w:cs="Times New Roman"/>
          <w:szCs w:val="24"/>
        </w:rPr>
        <w:t>pply in Dhaka</w:t>
      </w:r>
      <w:r w:rsidRPr="003664FB">
        <w:rPr>
          <w:rFonts w:cs="Times New Roman"/>
          <w:szCs w:val="24"/>
        </w:rPr>
        <w:t>. Ground water is extracted by using a total of 644 deep tube wells. Surface water, which accounts for about 22% of total water supply in Dhaka</w:t>
      </w:r>
      <w:r>
        <w:rPr>
          <w:rFonts w:cs="Times New Roman"/>
          <w:szCs w:val="24"/>
        </w:rPr>
        <w:t>,</w:t>
      </w:r>
      <w:r w:rsidRPr="003664FB">
        <w:rPr>
          <w:rFonts w:cs="Times New Roman"/>
          <w:szCs w:val="24"/>
        </w:rPr>
        <w:t xml:space="preserve"> is supplied by treating water of the river Sitalakha and Buriganga through 4 water tr</w:t>
      </w:r>
      <w:r>
        <w:rPr>
          <w:rFonts w:cs="Times New Roman"/>
          <w:szCs w:val="24"/>
        </w:rPr>
        <w:t>eatment plants (Table 10.6</w:t>
      </w:r>
      <w:r w:rsidRPr="003664FB">
        <w:rPr>
          <w:rFonts w:cs="Times New Roman"/>
          <w:szCs w:val="24"/>
        </w:rPr>
        <w:t>)</w:t>
      </w:r>
    </w:p>
    <w:p w:rsidR="0048464B" w:rsidRPr="00101CE9" w:rsidRDefault="0048464B" w:rsidP="0048464B">
      <w:pPr>
        <w:jc w:val="center"/>
        <w:rPr>
          <w:b/>
        </w:rPr>
      </w:pPr>
      <w:bookmarkStart w:id="739" w:name="_Toc464328985"/>
      <w:r w:rsidRPr="00101CE9">
        <w:rPr>
          <w:b/>
        </w:rPr>
        <w:t>Table 10.6: Water Supply Status in Dhaka City</w:t>
      </w:r>
      <w:bookmarkEnd w:id="739"/>
    </w:p>
    <w:tbl>
      <w:tblPr>
        <w:tblStyle w:val="LightShading10"/>
        <w:tblW w:w="0" w:type="auto"/>
        <w:tblLayout w:type="fixed"/>
        <w:tblLook w:val="04A0"/>
      </w:tblPr>
      <w:tblGrid>
        <w:gridCol w:w="3060"/>
        <w:gridCol w:w="2160"/>
        <w:gridCol w:w="2160"/>
        <w:gridCol w:w="2070"/>
      </w:tblGrid>
      <w:tr w:rsidR="0048464B" w:rsidRPr="00325137" w:rsidTr="00F83382">
        <w:trPr>
          <w:cnfStyle w:val="100000000000"/>
          <w:trHeight w:val="432"/>
        </w:trPr>
        <w:tc>
          <w:tcPr>
            <w:cnfStyle w:val="001000000000"/>
            <w:tcW w:w="3060" w:type="dxa"/>
          </w:tcPr>
          <w:p w:rsidR="0048464B" w:rsidRPr="00D10C92" w:rsidRDefault="0048464B" w:rsidP="00F83382">
            <w:pPr>
              <w:jc w:val="center"/>
              <w:rPr>
                <w:rFonts w:ascii="Times New Roman" w:hAnsi="Times New Roman"/>
                <w:sz w:val="22"/>
                <w:szCs w:val="24"/>
              </w:rPr>
            </w:pPr>
            <w:r w:rsidRPr="00D10C92">
              <w:rPr>
                <w:rFonts w:ascii="Times New Roman" w:hAnsi="Times New Roman"/>
                <w:sz w:val="22"/>
                <w:szCs w:val="24"/>
              </w:rPr>
              <w:t>Source of Supply</w:t>
            </w:r>
          </w:p>
        </w:tc>
        <w:tc>
          <w:tcPr>
            <w:tcW w:w="2160" w:type="dxa"/>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2010 – 2011</w:t>
            </w:r>
          </w:p>
        </w:tc>
        <w:tc>
          <w:tcPr>
            <w:tcW w:w="2160" w:type="dxa"/>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2011 – 2012</w:t>
            </w:r>
          </w:p>
        </w:tc>
        <w:tc>
          <w:tcPr>
            <w:tcW w:w="2070" w:type="dxa"/>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2012 – 2013</w:t>
            </w:r>
          </w:p>
        </w:tc>
      </w:tr>
      <w:tr w:rsidR="0048464B" w:rsidRPr="00325137" w:rsidTr="00F83382">
        <w:trPr>
          <w:cnfStyle w:val="000000100000"/>
          <w:trHeight w:val="432"/>
        </w:trPr>
        <w:tc>
          <w:tcPr>
            <w:cnfStyle w:val="001000000000"/>
            <w:tcW w:w="3060" w:type="dxa"/>
          </w:tcPr>
          <w:p w:rsidR="0048464B" w:rsidRPr="00D10C92" w:rsidRDefault="0048464B" w:rsidP="00F83382">
            <w:pPr>
              <w:spacing w:after="0" w:line="240" w:lineRule="auto"/>
              <w:rPr>
                <w:rFonts w:ascii="Times New Roman" w:hAnsi="Times New Roman"/>
                <w:bCs w:val="0"/>
                <w:sz w:val="22"/>
                <w:szCs w:val="24"/>
              </w:rPr>
            </w:pPr>
            <w:r w:rsidRPr="00D10C92">
              <w:rPr>
                <w:rFonts w:ascii="Times New Roman" w:hAnsi="Times New Roman"/>
                <w:bCs w:val="0"/>
                <w:sz w:val="22"/>
                <w:szCs w:val="24"/>
              </w:rPr>
              <w:t>Deep Tubewells (No)</w:t>
            </w:r>
          </w:p>
        </w:tc>
        <w:tc>
          <w:tcPr>
            <w:tcW w:w="2160" w:type="dxa"/>
          </w:tcPr>
          <w:p w:rsidR="0048464B" w:rsidRPr="00325137" w:rsidRDefault="0048464B" w:rsidP="00F83382">
            <w:pPr>
              <w:spacing w:after="0" w:line="240" w:lineRule="auto"/>
              <w:jc w:val="center"/>
              <w:cnfStyle w:val="000000100000"/>
              <w:rPr>
                <w:rFonts w:ascii="Times New Roman" w:hAnsi="Times New Roman"/>
                <w:sz w:val="22"/>
                <w:szCs w:val="24"/>
              </w:rPr>
            </w:pPr>
            <w:r w:rsidRPr="00325137">
              <w:rPr>
                <w:rFonts w:ascii="Times New Roman" w:hAnsi="Times New Roman"/>
                <w:sz w:val="22"/>
                <w:szCs w:val="24"/>
              </w:rPr>
              <w:t>585</w:t>
            </w:r>
          </w:p>
        </w:tc>
        <w:tc>
          <w:tcPr>
            <w:tcW w:w="2160" w:type="dxa"/>
          </w:tcPr>
          <w:p w:rsidR="0048464B" w:rsidRPr="00325137" w:rsidRDefault="0048464B" w:rsidP="00F83382">
            <w:pPr>
              <w:spacing w:after="0" w:line="240" w:lineRule="auto"/>
              <w:jc w:val="center"/>
              <w:cnfStyle w:val="000000100000"/>
              <w:rPr>
                <w:rFonts w:ascii="Times New Roman" w:hAnsi="Times New Roman"/>
                <w:sz w:val="22"/>
                <w:szCs w:val="24"/>
              </w:rPr>
            </w:pPr>
            <w:r w:rsidRPr="00325137">
              <w:rPr>
                <w:rFonts w:ascii="Times New Roman" w:hAnsi="Times New Roman"/>
                <w:sz w:val="22"/>
                <w:szCs w:val="24"/>
              </w:rPr>
              <w:t>615</w:t>
            </w:r>
          </w:p>
        </w:tc>
        <w:tc>
          <w:tcPr>
            <w:tcW w:w="2070" w:type="dxa"/>
          </w:tcPr>
          <w:p w:rsidR="0048464B" w:rsidRPr="00325137" w:rsidRDefault="0048464B" w:rsidP="00F83382">
            <w:pPr>
              <w:spacing w:after="0" w:line="240" w:lineRule="auto"/>
              <w:jc w:val="center"/>
              <w:cnfStyle w:val="000000100000"/>
              <w:rPr>
                <w:rFonts w:ascii="Times New Roman" w:hAnsi="Times New Roman"/>
                <w:sz w:val="22"/>
                <w:szCs w:val="24"/>
              </w:rPr>
            </w:pPr>
            <w:r w:rsidRPr="00325137">
              <w:rPr>
                <w:rFonts w:ascii="Times New Roman" w:hAnsi="Times New Roman"/>
                <w:sz w:val="22"/>
                <w:szCs w:val="24"/>
              </w:rPr>
              <w:t>644</w:t>
            </w:r>
          </w:p>
        </w:tc>
      </w:tr>
      <w:tr w:rsidR="0048464B" w:rsidRPr="00325137" w:rsidTr="00F83382">
        <w:trPr>
          <w:trHeight w:val="432"/>
        </w:trPr>
        <w:tc>
          <w:tcPr>
            <w:cnfStyle w:val="001000000000"/>
            <w:tcW w:w="3060" w:type="dxa"/>
          </w:tcPr>
          <w:p w:rsidR="0048464B" w:rsidRPr="00D10C92" w:rsidRDefault="0048464B" w:rsidP="00F83382">
            <w:pPr>
              <w:spacing w:after="0" w:line="240" w:lineRule="auto"/>
              <w:rPr>
                <w:rFonts w:ascii="Times New Roman" w:hAnsi="Times New Roman"/>
                <w:bCs w:val="0"/>
                <w:sz w:val="22"/>
                <w:szCs w:val="24"/>
              </w:rPr>
            </w:pPr>
            <w:r w:rsidRPr="00D10C92">
              <w:rPr>
                <w:rFonts w:ascii="Times New Roman" w:hAnsi="Times New Roman"/>
                <w:bCs w:val="0"/>
                <w:sz w:val="22"/>
                <w:szCs w:val="24"/>
              </w:rPr>
              <w:t>Water Treatment Plant</w:t>
            </w:r>
          </w:p>
        </w:tc>
        <w:tc>
          <w:tcPr>
            <w:tcW w:w="2160" w:type="dxa"/>
          </w:tcPr>
          <w:p w:rsidR="0048464B" w:rsidRPr="00325137" w:rsidRDefault="0048464B" w:rsidP="00F83382">
            <w:pPr>
              <w:spacing w:after="0" w:line="240" w:lineRule="auto"/>
              <w:jc w:val="center"/>
              <w:cnfStyle w:val="000000000000"/>
              <w:rPr>
                <w:rFonts w:ascii="Times New Roman" w:hAnsi="Times New Roman"/>
                <w:sz w:val="22"/>
                <w:szCs w:val="24"/>
              </w:rPr>
            </w:pPr>
            <w:r w:rsidRPr="00325137">
              <w:rPr>
                <w:rFonts w:ascii="Times New Roman" w:hAnsi="Times New Roman"/>
                <w:sz w:val="22"/>
                <w:szCs w:val="24"/>
              </w:rPr>
              <w:t>4</w:t>
            </w:r>
          </w:p>
        </w:tc>
        <w:tc>
          <w:tcPr>
            <w:tcW w:w="2160" w:type="dxa"/>
          </w:tcPr>
          <w:p w:rsidR="0048464B" w:rsidRPr="00325137" w:rsidRDefault="0048464B" w:rsidP="00F83382">
            <w:pPr>
              <w:spacing w:after="0" w:line="240" w:lineRule="auto"/>
              <w:jc w:val="center"/>
              <w:cnfStyle w:val="000000000000"/>
              <w:rPr>
                <w:rFonts w:ascii="Times New Roman" w:hAnsi="Times New Roman"/>
                <w:sz w:val="22"/>
                <w:szCs w:val="24"/>
              </w:rPr>
            </w:pPr>
            <w:r w:rsidRPr="00325137">
              <w:rPr>
                <w:rFonts w:ascii="Times New Roman" w:hAnsi="Times New Roman"/>
                <w:sz w:val="22"/>
                <w:szCs w:val="24"/>
              </w:rPr>
              <w:t>4</w:t>
            </w:r>
          </w:p>
        </w:tc>
        <w:tc>
          <w:tcPr>
            <w:tcW w:w="2070" w:type="dxa"/>
          </w:tcPr>
          <w:p w:rsidR="0048464B" w:rsidRPr="00325137" w:rsidRDefault="0048464B" w:rsidP="00F83382">
            <w:pPr>
              <w:spacing w:after="0" w:line="240" w:lineRule="auto"/>
              <w:jc w:val="center"/>
              <w:cnfStyle w:val="000000000000"/>
              <w:rPr>
                <w:rFonts w:ascii="Times New Roman" w:hAnsi="Times New Roman"/>
                <w:sz w:val="22"/>
                <w:szCs w:val="24"/>
              </w:rPr>
            </w:pPr>
            <w:r w:rsidRPr="00325137">
              <w:rPr>
                <w:rFonts w:ascii="Times New Roman" w:hAnsi="Times New Roman"/>
                <w:sz w:val="22"/>
                <w:szCs w:val="24"/>
              </w:rPr>
              <w:t>4</w:t>
            </w:r>
          </w:p>
        </w:tc>
      </w:tr>
      <w:tr w:rsidR="0048464B" w:rsidRPr="00325137" w:rsidTr="00F83382">
        <w:trPr>
          <w:cnfStyle w:val="000000100000"/>
          <w:trHeight w:val="432"/>
        </w:trPr>
        <w:tc>
          <w:tcPr>
            <w:cnfStyle w:val="001000000000"/>
            <w:tcW w:w="3060" w:type="dxa"/>
          </w:tcPr>
          <w:p w:rsidR="0048464B" w:rsidRPr="00D10C92" w:rsidRDefault="0048464B" w:rsidP="00F83382">
            <w:pPr>
              <w:spacing w:after="0" w:line="240" w:lineRule="auto"/>
              <w:rPr>
                <w:rFonts w:ascii="Times New Roman" w:hAnsi="Times New Roman"/>
                <w:bCs w:val="0"/>
                <w:sz w:val="22"/>
                <w:szCs w:val="24"/>
              </w:rPr>
            </w:pPr>
            <w:r w:rsidRPr="00D10C92">
              <w:rPr>
                <w:rFonts w:ascii="Times New Roman" w:hAnsi="Times New Roman"/>
                <w:bCs w:val="0"/>
                <w:sz w:val="22"/>
                <w:szCs w:val="24"/>
              </w:rPr>
              <w:t>Water Production/Day</w:t>
            </w:r>
          </w:p>
        </w:tc>
        <w:tc>
          <w:tcPr>
            <w:tcW w:w="2160" w:type="dxa"/>
          </w:tcPr>
          <w:p w:rsidR="0048464B" w:rsidRPr="00325137" w:rsidRDefault="0048464B" w:rsidP="00F83382">
            <w:pPr>
              <w:spacing w:after="0" w:line="240" w:lineRule="auto"/>
              <w:jc w:val="center"/>
              <w:cnfStyle w:val="000000100000"/>
              <w:rPr>
                <w:rFonts w:ascii="Times New Roman" w:hAnsi="Times New Roman"/>
                <w:sz w:val="22"/>
                <w:szCs w:val="24"/>
              </w:rPr>
            </w:pPr>
            <w:r w:rsidRPr="00325137">
              <w:rPr>
                <w:rFonts w:ascii="Times New Roman" w:hAnsi="Times New Roman"/>
                <w:sz w:val="22"/>
                <w:szCs w:val="24"/>
              </w:rPr>
              <w:t>2150 MLD</w:t>
            </w:r>
          </w:p>
        </w:tc>
        <w:tc>
          <w:tcPr>
            <w:tcW w:w="2160" w:type="dxa"/>
          </w:tcPr>
          <w:p w:rsidR="0048464B" w:rsidRPr="00325137" w:rsidRDefault="0048464B" w:rsidP="00F83382">
            <w:pPr>
              <w:spacing w:after="0" w:line="240" w:lineRule="auto"/>
              <w:jc w:val="center"/>
              <w:cnfStyle w:val="000000100000"/>
              <w:rPr>
                <w:rFonts w:ascii="Times New Roman" w:hAnsi="Times New Roman"/>
                <w:sz w:val="22"/>
                <w:szCs w:val="24"/>
              </w:rPr>
            </w:pPr>
            <w:r w:rsidRPr="00325137">
              <w:rPr>
                <w:rFonts w:ascii="Times New Roman" w:hAnsi="Times New Roman"/>
                <w:sz w:val="22"/>
                <w:szCs w:val="24"/>
              </w:rPr>
              <w:t>2180 MLD</w:t>
            </w:r>
          </w:p>
        </w:tc>
        <w:tc>
          <w:tcPr>
            <w:tcW w:w="2070" w:type="dxa"/>
          </w:tcPr>
          <w:p w:rsidR="0048464B" w:rsidRPr="00325137" w:rsidRDefault="0048464B" w:rsidP="00F83382">
            <w:pPr>
              <w:spacing w:after="0" w:line="240" w:lineRule="auto"/>
              <w:jc w:val="center"/>
              <w:cnfStyle w:val="000000100000"/>
              <w:rPr>
                <w:rFonts w:ascii="Times New Roman" w:hAnsi="Times New Roman"/>
                <w:sz w:val="22"/>
                <w:szCs w:val="24"/>
              </w:rPr>
            </w:pPr>
            <w:r w:rsidRPr="00325137">
              <w:rPr>
                <w:rFonts w:ascii="Times New Roman" w:hAnsi="Times New Roman"/>
                <w:sz w:val="22"/>
                <w:szCs w:val="24"/>
              </w:rPr>
              <w:t>2420 MLD</w:t>
            </w:r>
          </w:p>
        </w:tc>
      </w:tr>
      <w:tr w:rsidR="0048464B" w:rsidRPr="00325137" w:rsidTr="00F83382">
        <w:trPr>
          <w:trHeight w:val="432"/>
        </w:trPr>
        <w:tc>
          <w:tcPr>
            <w:cnfStyle w:val="001000000000"/>
            <w:tcW w:w="3060" w:type="dxa"/>
          </w:tcPr>
          <w:p w:rsidR="0048464B" w:rsidRPr="00D10C92" w:rsidRDefault="0048464B" w:rsidP="00F83382">
            <w:pPr>
              <w:spacing w:after="0" w:line="240" w:lineRule="auto"/>
              <w:rPr>
                <w:rFonts w:ascii="Times New Roman" w:hAnsi="Times New Roman"/>
                <w:bCs w:val="0"/>
                <w:sz w:val="22"/>
                <w:szCs w:val="24"/>
              </w:rPr>
            </w:pPr>
            <w:r w:rsidRPr="00D10C92">
              <w:rPr>
                <w:rFonts w:ascii="Times New Roman" w:hAnsi="Times New Roman"/>
                <w:bCs w:val="0"/>
                <w:sz w:val="22"/>
                <w:szCs w:val="24"/>
              </w:rPr>
              <w:t>Water Line</w:t>
            </w:r>
          </w:p>
        </w:tc>
        <w:tc>
          <w:tcPr>
            <w:tcW w:w="2160" w:type="dxa"/>
          </w:tcPr>
          <w:p w:rsidR="0048464B" w:rsidRPr="00325137" w:rsidRDefault="0048464B" w:rsidP="00F83382">
            <w:pPr>
              <w:spacing w:after="0" w:line="240" w:lineRule="auto"/>
              <w:jc w:val="center"/>
              <w:cnfStyle w:val="000000000000"/>
              <w:rPr>
                <w:rFonts w:ascii="Times New Roman" w:hAnsi="Times New Roman"/>
                <w:bCs/>
                <w:sz w:val="22"/>
                <w:szCs w:val="24"/>
              </w:rPr>
            </w:pPr>
            <w:r w:rsidRPr="00325137">
              <w:rPr>
                <w:rFonts w:ascii="Times New Roman" w:hAnsi="Times New Roman"/>
                <w:bCs/>
                <w:sz w:val="22"/>
                <w:szCs w:val="24"/>
              </w:rPr>
              <w:t>2800 km</w:t>
            </w:r>
          </w:p>
        </w:tc>
        <w:tc>
          <w:tcPr>
            <w:tcW w:w="2160" w:type="dxa"/>
          </w:tcPr>
          <w:p w:rsidR="0048464B" w:rsidRPr="00325137" w:rsidRDefault="0048464B" w:rsidP="00F83382">
            <w:pPr>
              <w:spacing w:after="0" w:line="240" w:lineRule="auto"/>
              <w:jc w:val="center"/>
              <w:cnfStyle w:val="000000000000"/>
              <w:rPr>
                <w:rFonts w:ascii="Times New Roman" w:hAnsi="Times New Roman"/>
                <w:bCs/>
                <w:sz w:val="22"/>
                <w:szCs w:val="24"/>
              </w:rPr>
            </w:pPr>
            <w:r w:rsidRPr="00325137">
              <w:rPr>
                <w:rFonts w:ascii="Times New Roman" w:hAnsi="Times New Roman"/>
                <w:bCs/>
                <w:sz w:val="22"/>
                <w:szCs w:val="24"/>
              </w:rPr>
              <w:t>3040 km</w:t>
            </w:r>
          </w:p>
        </w:tc>
        <w:tc>
          <w:tcPr>
            <w:tcW w:w="2070" w:type="dxa"/>
          </w:tcPr>
          <w:p w:rsidR="0048464B" w:rsidRPr="00325137" w:rsidRDefault="0048464B" w:rsidP="00F83382">
            <w:pPr>
              <w:spacing w:after="0" w:line="240" w:lineRule="auto"/>
              <w:jc w:val="center"/>
              <w:cnfStyle w:val="000000000000"/>
              <w:rPr>
                <w:rFonts w:ascii="Times New Roman" w:hAnsi="Times New Roman"/>
                <w:bCs/>
                <w:sz w:val="22"/>
                <w:szCs w:val="24"/>
              </w:rPr>
            </w:pPr>
            <w:r w:rsidRPr="00325137">
              <w:rPr>
                <w:rFonts w:ascii="Times New Roman" w:hAnsi="Times New Roman"/>
                <w:bCs/>
                <w:sz w:val="22"/>
                <w:szCs w:val="24"/>
              </w:rPr>
              <w:t>3040 km</w:t>
            </w:r>
          </w:p>
        </w:tc>
      </w:tr>
      <w:tr w:rsidR="0048464B" w:rsidRPr="00325137" w:rsidTr="00F83382">
        <w:trPr>
          <w:cnfStyle w:val="000000100000"/>
          <w:trHeight w:val="432"/>
        </w:trPr>
        <w:tc>
          <w:tcPr>
            <w:cnfStyle w:val="001000000000"/>
            <w:tcW w:w="3060" w:type="dxa"/>
          </w:tcPr>
          <w:p w:rsidR="0048464B" w:rsidRPr="00D10C92" w:rsidRDefault="0048464B" w:rsidP="00F83382">
            <w:pPr>
              <w:spacing w:after="0" w:line="240" w:lineRule="auto"/>
              <w:rPr>
                <w:rFonts w:ascii="Times New Roman" w:hAnsi="Times New Roman"/>
                <w:bCs w:val="0"/>
                <w:sz w:val="22"/>
                <w:szCs w:val="24"/>
              </w:rPr>
            </w:pPr>
            <w:r w:rsidRPr="00D10C92">
              <w:rPr>
                <w:rFonts w:ascii="Times New Roman" w:hAnsi="Times New Roman"/>
                <w:bCs w:val="0"/>
                <w:sz w:val="22"/>
                <w:szCs w:val="24"/>
              </w:rPr>
              <w:t>Water Connection (No)</w:t>
            </w:r>
          </w:p>
        </w:tc>
        <w:tc>
          <w:tcPr>
            <w:tcW w:w="2160" w:type="dxa"/>
          </w:tcPr>
          <w:p w:rsidR="0048464B" w:rsidRPr="00325137" w:rsidRDefault="0048464B" w:rsidP="00F83382">
            <w:pPr>
              <w:spacing w:after="0" w:line="240" w:lineRule="auto"/>
              <w:jc w:val="center"/>
              <w:cnfStyle w:val="000000100000"/>
              <w:rPr>
                <w:rFonts w:ascii="Times New Roman" w:hAnsi="Times New Roman"/>
                <w:bCs/>
                <w:sz w:val="22"/>
                <w:szCs w:val="24"/>
              </w:rPr>
            </w:pPr>
            <w:r w:rsidRPr="00325137">
              <w:rPr>
                <w:rFonts w:ascii="Times New Roman" w:hAnsi="Times New Roman"/>
                <w:bCs/>
                <w:sz w:val="22"/>
                <w:szCs w:val="24"/>
              </w:rPr>
              <w:t>3,02,132</w:t>
            </w:r>
          </w:p>
        </w:tc>
        <w:tc>
          <w:tcPr>
            <w:tcW w:w="2160" w:type="dxa"/>
          </w:tcPr>
          <w:p w:rsidR="0048464B" w:rsidRPr="00325137" w:rsidRDefault="0048464B" w:rsidP="00F83382">
            <w:pPr>
              <w:spacing w:after="0" w:line="240" w:lineRule="auto"/>
              <w:jc w:val="center"/>
              <w:cnfStyle w:val="000000100000"/>
              <w:rPr>
                <w:rFonts w:ascii="Times New Roman" w:hAnsi="Times New Roman"/>
                <w:bCs/>
                <w:sz w:val="22"/>
                <w:szCs w:val="24"/>
              </w:rPr>
            </w:pPr>
            <w:r w:rsidRPr="00325137">
              <w:rPr>
                <w:rFonts w:ascii="Times New Roman" w:hAnsi="Times New Roman"/>
                <w:bCs/>
                <w:sz w:val="22"/>
                <w:szCs w:val="24"/>
              </w:rPr>
              <w:t>3,10,314</w:t>
            </w:r>
          </w:p>
        </w:tc>
        <w:tc>
          <w:tcPr>
            <w:tcW w:w="2070" w:type="dxa"/>
          </w:tcPr>
          <w:p w:rsidR="0048464B" w:rsidRPr="00325137" w:rsidRDefault="0048464B" w:rsidP="00F83382">
            <w:pPr>
              <w:spacing w:after="0" w:line="240" w:lineRule="auto"/>
              <w:jc w:val="center"/>
              <w:cnfStyle w:val="000000100000"/>
              <w:rPr>
                <w:rFonts w:ascii="Times New Roman" w:hAnsi="Times New Roman"/>
                <w:bCs/>
                <w:sz w:val="22"/>
                <w:szCs w:val="24"/>
              </w:rPr>
            </w:pPr>
            <w:r w:rsidRPr="00325137">
              <w:rPr>
                <w:rFonts w:ascii="Times New Roman" w:hAnsi="Times New Roman"/>
                <w:bCs/>
                <w:sz w:val="22"/>
                <w:szCs w:val="24"/>
              </w:rPr>
              <w:t>3,25,,317</w:t>
            </w:r>
          </w:p>
        </w:tc>
      </w:tr>
      <w:tr w:rsidR="0048464B" w:rsidRPr="00325137" w:rsidTr="00F83382">
        <w:trPr>
          <w:trHeight w:val="432"/>
        </w:trPr>
        <w:tc>
          <w:tcPr>
            <w:cnfStyle w:val="001000000000"/>
            <w:tcW w:w="3060" w:type="dxa"/>
          </w:tcPr>
          <w:p w:rsidR="0048464B" w:rsidRPr="00D10C92" w:rsidRDefault="0048464B" w:rsidP="00F83382">
            <w:pPr>
              <w:spacing w:after="0" w:line="240" w:lineRule="auto"/>
              <w:rPr>
                <w:rFonts w:ascii="Times New Roman" w:hAnsi="Times New Roman"/>
                <w:bCs w:val="0"/>
                <w:sz w:val="22"/>
                <w:szCs w:val="24"/>
              </w:rPr>
            </w:pPr>
            <w:r w:rsidRPr="00D10C92">
              <w:rPr>
                <w:rFonts w:ascii="Times New Roman" w:hAnsi="Times New Roman"/>
                <w:bCs w:val="0"/>
                <w:sz w:val="22"/>
                <w:szCs w:val="24"/>
              </w:rPr>
              <w:t>Hydrant (Active)</w:t>
            </w:r>
          </w:p>
        </w:tc>
        <w:tc>
          <w:tcPr>
            <w:tcW w:w="2160" w:type="dxa"/>
          </w:tcPr>
          <w:p w:rsidR="0048464B" w:rsidRPr="00325137" w:rsidRDefault="0048464B" w:rsidP="00F83382">
            <w:pPr>
              <w:spacing w:after="0" w:line="240" w:lineRule="auto"/>
              <w:jc w:val="center"/>
              <w:cnfStyle w:val="000000000000"/>
              <w:rPr>
                <w:rFonts w:ascii="Times New Roman" w:hAnsi="Times New Roman"/>
                <w:bCs/>
                <w:sz w:val="22"/>
                <w:szCs w:val="24"/>
              </w:rPr>
            </w:pPr>
            <w:r w:rsidRPr="00325137">
              <w:rPr>
                <w:rFonts w:ascii="Times New Roman" w:hAnsi="Times New Roman"/>
                <w:bCs/>
                <w:sz w:val="22"/>
                <w:szCs w:val="24"/>
              </w:rPr>
              <w:t>38</w:t>
            </w:r>
          </w:p>
        </w:tc>
        <w:tc>
          <w:tcPr>
            <w:tcW w:w="2160" w:type="dxa"/>
          </w:tcPr>
          <w:p w:rsidR="0048464B" w:rsidRPr="00325137" w:rsidRDefault="0048464B" w:rsidP="00F83382">
            <w:pPr>
              <w:spacing w:after="0" w:line="240" w:lineRule="auto"/>
              <w:jc w:val="center"/>
              <w:cnfStyle w:val="000000000000"/>
              <w:rPr>
                <w:rFonts w:ascii="Times New Roman" w:hAnsi="Times New Roman"/>
                <w:bCs/>
                <w:sz w:val="22"/>
                <w:szCs w:val="24"/>
              </w:rPr>
            </w:pPr>
            <w:r w:rsidRPr="00325137">
              <w:rPr>
                <w:rFonts w:ascii="Times New Roman" w:hAnsi="Times New Roman"/>
                <w:bCs/>
                <w:sz w:val="22"/>
                <w:szCs w:val="24"/>
              </w:rPr>
              <w:t>38</w:t>
            </w:r>
          </w:p>
        </w:tc>
        <w:tc>
          <w:tcPr>
            <w:tcW w:w="2070" w:type="dxa"/>
          </w:tcPr>
          <w:p w:rsidR="0048464B" w:rsidRPr="00325137" w:rsidRDefault="0048464B" w:rsidP="00F83382">
            <w:pPr>
              <w:spacing w:after="0" w:line="240" w:lineRule="auto"/>
              <w:jc w:val="center"/>
              <w:cnfStyle w:val="000000000000"/>
              <w:rPr>
                <w:rFonts w:ascii="Times New Roman" w:hAnsi="Times New Roman"/>
                <w:bCs/>
                <w:sz w:val="22"/>
                <w:szCs w:val="24"/>
              </w:rPr>
            </w:pPr>
            <w:r w:rsidRPr="00325137">
              <w:rPr>
                <w:rFonts w:ascii="Times New Roman" w:hAnsi="Times New Roman"/>
                <w:bCs/>
                <w:sz w:val="22"/>
                <w:szCs w:val="24"/>
              </w:rPr>
              <w:t>38</w:t>
            </w:r>
          </w:p>
        </w:tc>
      </w:tr>
      <w:tr w:rsidR="0048464B" w:rsidRPr="00325137" w:rsidTr="00F83382">
        <w:trPr>
          <w:cnfStyle w:val="000000100000"/>
          <w:trHeight w:val="432"/>
        </w:trPr>
        <w:tc>
          <w:tcPr>
            <w:cnfStyle w:val="001000000000"/>
            <w:tcW w:w="3060" w:type="dxa"/>
          </w:tcPr>
          <w:p w:rsidR="0048464B" w:rsidRPr="00D10C92" w:rsidRDefault="0048464B" w:rsidP="00F83382">
            <w:pPr>
              <w:spacing w:after="0" w:line="240" w:lineRule="auto"/>
              <w:rPr>
                <w:rFonts w:ascii="Times New Roman" w:hAnsi="Times New Roman"/>
                <w:bCs w:val="0"/>
                <w:sz w:val="22"/>
                <w:szCs w:val="24"/>
              </w:rPr>
            </w:pPr>
            <w:r w:rsidRPr="00D10C92">
              <w:rPr>
                <w:rFonts w:ascii="Times New Roman" w:hAnsi="Times New Roman"/>
                <w:bCs w:val="0"/>
                <w:sz w:val="22"/>
                <w:szCs w:val="24"/>
              </w:rPr>
              <w:t>Roadside Taps (No)</w:t>
            </w:r>
          </w:p>
        </w:tc>
        <w:tc>
          <w:tcPr>
            <w:tcW w:w="2160" w:type="dxa"/>
          </w:tcPr>
          <w:p w:rsidR="0048464B" w:rsidRPr="00325137" w:rsidRDefault="0048464B" w:rsidP="00F83382">
            <w:pPr>
              <w:spacing w:after="0" w:line="240" w:lineRule="auto"/>
              <w:jc w:val="center"/>
              <w:cnfStyle w:val="000000100000"/>
              <w:rPr>
                <w:rFonts w:ascii="Times New Roman" w:hAnsi="Times New Roman"/>
                <w:bCs/>
                <w:sz w:val="22"/>
                <w:szCs w:val="24"/>
              </w:rPr>
            </w:pPr>
            <w:r w:rsidRPr="00325137">
              <w:rPr>
                <w:rFonts w:ascii="Times New Roman" w:hAnsi="Times New Roman"/>
                <w:bCs/>
                <w:sz w:val="22"/>
                <w:szCs w:val="24"/>
              </w:rPr>
              <w:t>1643</w:t>
            </w:r>
          </w:p>
        </w:tc>
        <w:tc>
          <w:tcPr>
            <w:tcW w:w="2160" w:type="dxa"/>
          </w:tcPr>
          <w:p w:rsidR="0048464B" w:rsidRPr="00325137" w:rsidRDefault="0048464B" w:rsidP="00F83382">
            <w:pPr>
              <w:spacing w:after="0" w:line="240" w:lineRule="auto"/>
              <w:jc w:val="center"/>
              <w:cnfStyle w:val="000000100000"/>
              <w:rPr>
                <w:rFonts w:ascii="Times New Roman" w:hAnsi="Times New Roman"/>
                <w:bCs/>
                <w:sz w:val="22"/>
                <w:szCs w:val="24"/>
              </w:rPr>
            </w:pPr>
            <w:r w:rsidRPr="00325137">
              <w:rPr>
                <w:rFonts w:ascii="Times New Roman" w:hAnsi="Times New Roman"/>
                <w:bCs/>
                <w:sz w:val="22"/>
                <w:szCs w:val="24"/>
              </w:rPr>
              <w:t>1643</w:t>
            </w:r>
          </w:p>
        </w:tc>
        <w:tc>
          <w:tcPr>
            <w:tcW w:w="2070" w:type="dxa"/>
          </w:tcPr>
          <w:p w:rsidR="0048464B" w:rsidRPr="00325137" w:rsidRDefault="0048464B" w:rsidP="00F83382">
            <w:pPr>
              <w:spacing w:after="0" w:line="240" w:lineRule="auto"/>
              <w:jc w:val="center"/>
              <w:cnfStyle w:val="000000100000"/>
              <w:rPr>
                <w:rFonts w:ascii="Times New Roman" w:hAnsi="Times New Roman"/>
                <w:bCs/>
                <w:sz w:val="22"/>
                <w:szCs w:val="24"/>
              </w:rPr>
            </w:pPr>
            <w:r w:rsidRPr="00325137">
              <w:rPr>
                <w:rFonts w:ascii="Times New Roman" w:hAnsi="Times New Roman"/>
                <w:bCs/>
                <w:sz w:val="22"/>
                <w:szCs w:val="24"/>
              </w:rPr>
              <w:t>1643</w:t>
            </w:r>
          </w:p>
        </w:tc>
      </w:tr>
    </w:tbl>
    <w:p w:rsidR="0048464B" w:rsidRDefault="0048464B" w:rsidP="0048464B">
      <w:pPr>
        <w:spacing w:before="120" w:after="0" w:line="276" w:lineRule="auto"/>
        <w:jc w:val="both"/>
        <w:rPr>
          <w:b/>
          <w:i/>
          <w:sz w:val="20"/>
          <w:szCs w:val="20"/>
        </w:rPr>
      </w:pPr>
      <w:r w:rsidRPr="001179D7">
        <w:rPr>
          <w:b/>
          <w:i/>
          <w:sz w:val="20"/>
          <w:szCs w:val="20"/>
        </w:rPr>
        <w:t>MLD</w:t>
      </w:r>
      <w:r>
        <w:rPr>
          <w:b/>
          <w:i/>
          <w:sz w:val="20"/>
          <w:szCs w:val="20"/>
        </w:rPr>
        <w:t xml:space="preserve"> </w:t>
      </w:r>
      <w:r w:rsidRPr="001179D7">
        <w:rPr>
          <w:b/>
          <w:i/>
          <w:sz w:val="20"/>
          <w:szCs w:val="20"/>
        </w:rPr>
        <w:t>-</w:t>
      </w:r>
      <w:r>
        <w:rPr>
          <w:b/>
          <w:i/>
          <w:sz w:val="20"/>
          <w:szCs w:val="20"/>
        </w:rPr>
        <w:t xml:space="preserve"> </w:t>
      </w:r>
      <w:r w:rsidRPr="001179D7">
        <w:rPr>
          <w:b/>
          <w:i/>
          <w:sz w:val="20"/>
          <w:szCs w:val="20"/>
        </w:rPr>
        <w:t xml:space="preserve">Million </w:t>
      </w:r>
      <w:r>
        <w:rPr>
          <w:b/>
          <w:i/>
          <w:sz w:val="20"/>
          <w:szCs w:val="20"/>
        </w:rPr>
        <w:t xml:space="preserve">Litres per Day; km. = kilometers.  </w:t>
      </w:r>
    </w:p>
    <w:p w:rsidR="0048464B" w:rsidRPr="001179D7" w:rsidRDefault="0048464B" w:rsidP="0048464B">
      <w:pPr>
        <w:spacing w:before="120" w:line="276" w:lineRule="auto"/>
        <w:jc w:val="both"/>
        <w:rPr>
          <w:b/>
          <w:i/>
          <w:sz w:val="20"/>
          <w:szCs w:val="20"/>
        </w:rPr>
      </w:pPr>
      <w:r w:rsidRPr="00D95717">
        <w:rPr>
          <w:b/>
          <w:i/>
          <w:iCs/>
          <w:color w:val="222222"/>
          <w:sz w:val="20"/>
          <w:szCs w:val="20"/>
          <w:shd w:val="clear" w:color="auto" w:fill="FFFFFF"/>
        </w:rPr>
        <w:t>Source: Dhaka WASA</w:t>
      </w:r>
    </w:p>
    <w:p w:rsidR="0048464B" w:rsidRDefault="0048464B" w:rsidP="0048464B">
      <w:pPr>
        <w:spacing w:line="276" w:lineRule="auto"/>
        <w:jc w:val="both"/>
        <w:rPr>
          <w:rFonts w:cs="Times New Roman"/>
          <w:b/>
          <w:bCs/>
          <w:szCs w:val="24"/>
        </w:rPr>
      </w:pPr>
      <w:r w:rsidRPr="003664FB">
        <w:rPr>
          <w:rFonts w:cs="Times New Roman"/>
          <w:szCs w:val="24"/>
        </w:rPr>
        <w:t xml:space="preserve">The status of water supply of </w:t>
      </w:r>
      <w:r>
        <w:rPr>
          <w:rFonts w:cs="Times New Roman"/>
          <w:szCs w:val="24"/>
        </w:rPr>
        <w:t xml:space="preserve">other </w:t>
      </w:r>
      <w:r w:rsidRPr="003664FB">
        <w:rPr>
          <w:rFonts w:cs="Times New Roman"/>
          <w:szCs w:val="24"/>
        </w:rPr>
        <w:t>five</w:t>
      </w:r>
      <w:r>
        <w:rPr>
          <w:rFonts w:cs="Times New Roman"/>
          <w:szCs w:val="24"/>
        </w:rPr>
        <w:t xml:space="preserve"> city corporations is given in T</w:t>
      </w:r>
      <w:r w:rsidRPr="003664FB">
        <w:rPr>
          <w:rFonts w:cs="Times New Roman"/>
          <w:szCs w:val="24"/>
        </w:rPr>
        <w:t>able</w:t>
      </w:r>
      <w:r>
        <w:rPr>
          <w:rFonts w:cs="Times New Roman"/>
          <w:szCs w:val="24"/>
        </w:rPr>
        <w:t xml:space="preserve"> 10.7</w:t>
      </w:r>
      <w:r w:rsidRPr="003664FB">
        <w:rPr>
          <w:rFonts w:cs="Times New Roman"/>
          <w:szCs w:val="24"/>
        </w:rPr>
        <w:t xml:space="preserve">. Out of </w:t>
      </w:r>
      <w:r>
        <w:rPr>
          <w:rFonts w:cs="Times New Roman"/>
          <w:szCs w:val="24"/>
        </w:rPr>
        <w:t xml:space="preserve">these </w:t>
      </w:r>
      <w:r w:rsidRPr="003664FB">
        <w:rPr>
          <w:rFonts w:cs="Times New Roman"/>
          <w:szCs w:val="24"/>
        </w:rPr>
        <w:t>five city corporations</w:t>
      </w:r>
      <w:r>
        <w:rPr>
          <w:rFonts w:cs="Times New Roman"/>
          <w:szCs w:val="24"/>
        </w:rPr>
        <w:t>,</w:t>
      </w:r>
      <w:r w:rsidRPr="003664FB">
        <w:rPr>
          <w:rFonts w:cs="Times New Roman"/>
          <w:szCs w:val="24"/>
        </w:rPr>
        <w:t xml:space="preserve"> three city corporation</w:t>
      </w:r>
      <w:r>
        <w:rPr>
          <w:rFonts w:cs="Times New Roman"/>
          <w:szCs w:val="24"/>
        </w:rPr>
        <w:t>s</w:t>
      </w:r>
      <w:r w:rsidRPr="003664FB">
        <w:rPr>
          <w:rFonts w:cs="Times New Roman"/>
          <w:szCs w:val="24"/>
        </w:rPr>
        <w:t xml:space="preserve"> (Chittagong, Rajshahi and Sylhet) have treatment plants to supply a small proportion of total water demand from surface water sources. </w:t>
      </w:r>
    </w:p>
    <w:p w:rsidR="0048464B" w:rsidRPr="00101CE9" w:rsidRDefault="0048464B" w:rsidP="0048464B">
      <w:pPr>
        <w:jc w:val="center"/>
        <w:rPr>
          <w:b/>
        </w:rPr>
      </w:pPr>
      <w:bookmarkStart w:id="740" w:name="_Toc464328986"/>
      <w:r w:rsidRPr="00101CE9">
        <w:rPr>
          <w:b/>
        </w:rPr>
        <w:t xml:space="preserve">Table 10.7: Water Supply Status in Other Cities </w:t>
      </w:r>
      <w:r>
        <w:rPr>
          <w:b/>
        </w:rPr>
        <w:t>under</w:t>
      </w:r>
      <w:r w:rsidRPr="00101CE9">
        <w:rPr>
          <w:b/>
        </w:rPr>
        <w:t xml:space="preserve"> WASAs</w:t>
      </w:r>
      <w:bookmarkEnd w:id="740"/>
    </w:p>
    <w:tbl>
      <w:tblPr>
        <w:tblStyle w:val="LightShading10"/>
        <w:tblW w:w="5000" w:type="pct"/>
        <w:tblLook w:val="04A0"/>
      </w:tblPr>
      <w:tblGrid>
        <w:gridCol w:w="1277"/>
        <w:gridCol w:w="1082"/>
        <w:gridCol w:w="1105"/>
        <w:gridCol w:w="778"/>
        <w:gridCol w:w="778"/>
        <w:gridCol w:w="611"/>
        <w:gridCol w:w="1147"/>
        <w:gridCol w:w="789"/>
        <w:gridCol w:w="1002"/>
        <w:gridCol w:w="1007"/>
      </w:tblGrid>
      <w:tr w:rsidR="0048464B" w:rsidRPr="00D10C92" w:rsidTr="00F83382">
        <w:trPr>
          <w:cnfStyle w:val="100000000000"/>
          <w:trHeight w:val="20"/>
        </w:trPr>
        <w:tc>
          <w:tcPr>
            <w:cnfStyle w:val="001000000000"/>
            <w:tcW w:w="667" w:type="pct"/>
          </w:tcPr>
          <w:p w:rsidR="0048464B" w:rsidRPr="00D10C92" w:rsidRDefault="0048464B" w:rsidP="00F83382">
            <w:pPr>
              <w:spacing w:line="20" w:lineRule="atLeast"/>
              <w:contextualSpacing/>
              <w:jc w:val="center"/>
              <w:rPr>
                <w:rFonts w:ascii="Times New Roman" w:hAnsi="Times New Roman"/>
                <w:sz w:val="18"/>
              </w:rPr>
            </w:pPr>
            <w:r w:rsidRPr="00D10C92">
              <w:rPr>
                <w:rFonts w:ascii="Times New Roman" w:hAnsi="Times New Roman"/>
                <w:sz w:val="18"/>
              </w:rPr>
              <w:t>WASAs</w:t>
            </w:r>
          </w:p>
        </w:tc>
        <w:tc>
          <w:tcPr>
            <w:tcW w:w="565" w:type="pct"/>
          </w:tcPr>
          <w:p w:rsidR="0048464B" w:rsidRPr="00D10C92" w:rsidRDefault="0048464B" w:rsidP="00F83382">
            <w:pPr>
              <w:spacing w:line="20" w:lineRule="atLeast"/>
              <w:contextualSpacing/>
              <w:jc w:val="center"/>
              <w:cnfStyle w:val="100000000000"/>
              <w:rPr>
                <w:rFonts w:ascii="Times New Roman" w:hAnsi="Times New Roman"/>
                <w:sz w:val="18"/>
              </w:rPr>
            </w:pPr>
            <w:r w:rsidRPr="00D10C92">
              <w:rPr>
                <w:rFonts w:ascii="Times New Roman" w:hAnsi="Times New Roman"/>
                <w:sz w:val="18"/>
              </w:rPr>
              <w:t>Estimated Population in 2010 (million)</w:t>
            </w:r>
          </w:p>
        </w:tc>
        <w:tc>
          <w:tcPr>
            <w:tcW w:w="577" w:type="pct"/>
          </w:tcPr>
          <w:p w:rsidR="0048464B" w:rsidRPr="00D10C92" w:rsidRDefault="0048464B" w:rsidP="00F83382">
            <w:pPr>
              <w:spacing w:line="20" w:lineRule="atLeast"/>
              <w:contextualSpacing/>
              <w:jc w:val="center"/>
              <w:cnfStyle w:val="100000000000"/>
              <w:rPr>
                <w:rFonts w:ascii="Times New Roman" w:hAnsi="Times New Roman"/>
                <w:sz w:val="18"/>
              </w:rPr>
            </w:pPr>
            <w:r w:rsidRPr="00D10C92">
              <w:rPr>
                <w:rFonts w:ascii="Times New Roman" w:hAnsi="Times New Roman"/>
                <w:sz w:val="18"/>
              </w:rPr>
              <w:t>Daily Water Production (</w:t>
            </w:r>
            <w:r w:rsidRPr="00D10C92">
              <w:rPr>
                <w:rFonts w:ascii="Times New Roman" w:hAnsi="Times New Roman"/>
                <w:color w:val="222222"/>
                <w:sz w:val="18"/>
                <w:shd w:val="clear" w:color="auto" w:fill="FFFFFF"/>
              </w:rPr>
              <w:t>m</w:t>
            </w:r>
            <w:r w:rsidRPr="00D10C92">
              <w:rPr>
                <w:rFonts w:ascii="Times New Roman" w:hAnsi="Times New Roman"/>
                <w:color w:val="222222"/>
                <w:sz w:val="18"/>
                <w:shd w:val="clear" w:color="auto" w:fill="FFFFFF"/>
                <w:vertAlign w:val="superscript"/>
              </w:rPr>
              <w:t>3</w:t>
            </w:r>
            <w:r w:rsidRPr="00D10C92">
              <w:rPr>
                <w:rFonts w:ascii="Times New Roman" w:hAnsi="Times New Roman"/>
                <w:color w:val="222222"/>
                <w:sz w:val="18"/>
                <w:shd w:val="clear" w:color="auto" w:fill="FFFFFF"/>
              </w:rPr>
              <w:t>)</w:t>
            </w:r>
          </w:p>
        </w:tc>
        <w:tc>
          <w:tcPr>
            <w:tcW w:w="406" w:type="pct"/>
          </w:tcPr>
          <w:p w:rsidR="0048464B" w:rsidRPr="00D10C92" w:rsidRDefault="0048464B" w:rsidP="00F83382">
            <w:pPr>
              <w:spacing w:line="20" w:lineRule="atLeast"/>
              <w:contextualSpacing/>
              <w:jc w:val="center"/>
              <w:cnfStyle w:val="100000000000"/>
              <w:rPr>
                <w:rFonts w:ascii="Times New Roman" w:hAnsi="Times New Roman"/>
                <w:sz w:val="18"/>
              </w:rPr>
            </w:pPr>
            <w:r w:rsidRPr="00D10C92">
              <w:rPr>
                <w:rFonts w:ascii="Times New Roman" w:hAnsi="Times New Roman"/>
                <w:sz w:val="18"/>
              </w:rPr>
              <w:t>GW Source (No. of PW)</w:t>
            </w:r>
          </w:p>
        </w:tc>
        <w:tc>
          <w:tcPr>
            <w:tcW w:w="406" w:type="pct"/>
          </w:tcPr>
          <w:p w:rsidR="0048464B" w:rsidRPr="00D10C92" w:rsidRDefault="0048464B" w:rsidP="00F83382">
            <w:pPr>
              <w:spacing w:line="20" w:lineRule="atLeast"/>
              <w:contextualSpacing/>
              <w:jc w:val="center"/>
              <w:cnfStyle w:val="100000000000"/>
              <w:rPr>
                <w:rFonts w:ascii="Times New Roman" w:hAnsi="Times New Roman"/>
                <w:sz w:val="18"/>
              </w:rPr>
            </w:pPr>
            <w:r w:rsidRPr="00D10C92">
              <w:rPr>
                <w:rFonts w:ascii="Times New Roman" w:hAnsi="Times New Roman"/>
                <w:sz w:val="18"/>
              </w:rPr>
              <w:t>SW Source (No. of TP)</w:t>
            </w:r>
          </w:p>
        </w:tc>
        <w:tc>
          <w:tcPr>
            <w:tcW w:w="319" w:type="pct"/>
          </w:tcPr>
          <w:p w:rsidR="0048464B" w:rsidRPr="00D10C92" w:rsidRDefault="0048464B" w:rsidP="00F83382">
            <w:pPr>
              <w:spacing w:line="20" w:lineRule="atLeast"/>
              <w:contextualSpacing/>
              <w:jc w:val="center"/>
              <w:cnfStyle w:val="100000000000"/>
              <w:rPr>
                <w:rFonts w:ascii="Times New Roman" w:hAnsi="Times New Roman"/>
                <w:sz w:val="18"/>
              </w:rPr>
            </w:pPr>
            <w:r w:rsidRPr="00D10C92">
              <w:rPr>
                <w:rFonts w:ascii="Times New Roman" w:hAnsi="Times New Roman"/>
                <w:sz w:val="18"/>
              </w:rPr>
              <w:t>Pipe   line (km)</w:t>
            </w:r>
          </w:p>
        </w:tc>
        <w:tc>
          <w:tcPr>
            <w:tcW w:w="599" w:type="pct"/>
          </w:tcPr>
          <w:p w:rsidR="0048464B" w:rsidRPr="00D10C92" w:rsidRDefault="0048464B" w:rsidP="00F83382">
            <w:pPr>
              <w:spacing w:line="20" w:lineRule="atLeast"/>
              <w:contextualSpacing/>
              <w:jc w:val="center"/>
              <w:cnfStyle w:val="100000000000"/>
              <w:rPr>
                <w:rFonts w:ascii="Times New Roman" w:hAnsi="Times New Roman"/>
                <w:sz w:val="18"/>
              </w:rPr>
            </w:pPr>
            <w:r w:rsidRPr="00D10C92">
              <w:rPr>
                <w:rFonts w:ascii="Times New Roman" w:hAnsi="Times New Roman"/>
                <w:sz w:val="18"/>
              </w:rPr>
              <w:t>House Connection (Number)</w:t>
            </w:r>
          </w:p>
        </w:tc>
        <w:tc>
          <w:tcPr>
            <w:tcW w:w="412" w:type="pct"/>
          </w:tcPr>
          <w:p w:rsidR="0048464B" w:rsidRPr="00D10C92" w:rsidRDefault="0048464B" w:rsidP="00F83382">
            <w:pPr>
              <w:spacing w:line="20" w:lineRule="atLeast"/>
              <w:contextualSpacing/>
              <w:jc w:val="center"/>
              <w:cnfStyle w:val="100000000000"/>
              <w:rPr>
                <w:rFonts w:ascii="Times New Roman" w:hAnsi="Times New Roman"/>
                <w:sz w:val="18"/>
              </w:rPr>
            </w:pPr>
            <w:r w:rsidRPr="00D10C92">
              <w:rPr>
                <w:rFonts w:ascii="Times New Roman" w:hAnsi="Times New Roman"/>
                <w:sz w:val="18"/>
              </w:rPr>
              <w:t>Supply Hours</w:t>
            </w:r>
          </w:p>
        </w:tc>
        <w:tc>
          <w:tcPr>
            <w:tcW w:w="523" w:type="pct"/>
          </w:tcPr>
          <w:p w:rsidR="0048464B" w:rsidRPr="00D10C92" w:rsidRDefault="0048464B" w:rsidP="00F83382">
            <w:pPr>
              <w:spacing w:line="20" w:lineRule="atLeast"/>
              <w:contextualSpacing/>
              <w:jc w:val="center"/>
              <w:cnfStyle w:val="100000000000"/>
              <w:rPr>
                <w:rFonts w:ascii="Times New Roman" w:hAnsi="Times New Roman"/>
                <w:sz w:val="18"/>
              </w:rPr>
            </w:pPr>
            <w:r w:rsidRPr="00D10C92">
              <w:rPr>
                <w:rFonts w:ascii="Times New Roman" w:hAnsi="Times New Roman"/>
                <w:sz w:val="18"/>
              </w:rPr>
              <w:t>Improved Coverage by Piped Water Supply (%)</w:t>
            </w:r>
          </w:p>
        </w:tc>
        <w:tc>
          <w:tcPr>
            <w:tcW w:w="526" w:type="pct"/>
          </w:tcPr>
          <w:p w:rsidR="0048464B" w:rsidRPr="00D10C92" w:rsidRDefault="0048464B" w:rsidP="00F83382">
            <w:pPr>
              <w:spacing w:line="20" w:lineRule="atLeast"/>
              <w:contextualSpacing/>
              <w:jc w:val="center"/>
              <w:cnfStyle w:val="100000000000"/>
              <w:rPr>
                <w:rFonts w:ascii="Times New Roman" w:hAnsi="Times New Roman"/>
                <w:sz w:val="18"/>
              </w:rPr>
            </w:pPr>
            <w:r w:rsidRPr="00D10C92">
              <w:rPr>
                <w:rFonts w:ascii="Times New Roman" w:hAnsi="Times New Roman"/>
                <w:sz w:val="18"/>
              </w:rPr>
              <w:t>Basic Coverage by Piped Water Supply and Water Points (%)</w:t>
            </w:r>
          </w:p>
        </w:tc>
      </w:tr>
      <w:tr w:rsidR="0048464B" w:rsidRPr="00325137" w:rsidTr="00F83382">
        <w:trPr>
          <w:cnfStyle w:val="000000100000"/>
          <w:trHeight w:val="432"/>
        </w:trPr>
        <w:tc>
          <w:tcPr>
            <w:cnfStyle w:val="001000000000"/>
            <w:tcW w:w="667" w:type="pct"/>
          </w:tcPr>
          <w:p w:rsidR="0048464B" w:rsidRPr="00325137" w:rsidRDefault="0048464B" w:rsidP="00F83382">
            <w:pPr>
              <w:spacing w:after="0" w:line="20" w:lineRule="atLeast"/>
              <w:contextualSpacing/>
              <w:jc w:val="center"/>
              <w:rPr>
                <w:rFonts w:ascii="Times New Roman" w:hAnsi="Times New Roman"/>
              </w:rPr>
            </w:pPr>
            <w:r w:rsidRPr="00325137">
              <w:rPr>
                <w:rFonts w:ascii="Times New Roman" w:hAnsi="Times New Roman"/>
              </w:rPr>
              <w:t>Chittagong</w:t>
            </w:r>
          </w:p>
        </w:tc>
        <w:tc>
          <w:tcPr>
            <w:tcW w:w="565"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3.31</w:t>
            </w:r>
          </w:p>
        </w:tc>
        <w:tc>
          <w:tcPr>
            <w:tcW w:w="577"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200000</w:t>
            </w:r>
          </w:p>
        </w:tc>
        <w:tc>
          <w:tcPr>
            <w:tcW w:w="406"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73</w:t>
            </w:r>
          </w:p>
        </w:tc>
        <w:tc>
          <w:tcPr>
            <w:tcW w:w="406"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1</w:t>
            </w:r>
          </w:p>
        </w:tc>
        <w:tc>
          <w:tcPr>
            <w:tcW w:w="319"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556</w:t>
            </w:r>
          </w:p>
        </w:tc>
        <w:tc>
          <w:tcPr>
            <w:tcW w:w="599"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46299</w:t>
            </w:r>
          </w:p>
        </w:tc>
        <w:tc>
          <w:tcPr>
            <w:tcW w:w="412"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12</w:t>
            </w:r>
          </w:p>
        </w:tc>
        <w:tc>
          <w:tcPr>
            <w:tcW w:w="523"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41</w:t>
            </w:r>
          </w:p>
        </w:tc>
        <w:tc>
          <w:tcPr>
            <w:tcW w:w="526"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46</w:t>
            </w:r>
          </w:p>
        </w:tc>
      </w:tr>
      <w:tr w:rsidR="0048464B" w:rsidRPr="00325137" w:rsidTr="00F83382">
        <w:trPr>
          <w:trHeight w:val="432"/>
        </w:trPr>
        <w:tc>
          <w:tcPr>
            <w:cnfStyle w:val="001000000000"/>
            <w:tcW w:w="667" w:type="pct"/>
          </w:tcPr>
          <w:p w:rsidR="0048464B" w:rsidRPr="00325137" w:rsidRDefault="0048464B" w:rsidP="00F83382">
            <w:pPr>
              <w:spacing w:after="0" w:line="20" w:lineRule="atLeast"/>
              <w:contextualSpacing/>
              <w:jc w:val="center"/>
              <w:rPr>
                <w:rFonts w:ascii="Times New Roman" w:hAnsi="Times New Roman"/>
              </w:rPr>
            </w:pPr>
            <w:r w:rsidRPr="00325137">
              <w:rPr>
                <w:rFonts w:ascii="Times New Roman" w:hAnsi="Times New Roman"/>
              </w:rPr>
              <w:t>Khulna</w:t>
            </w:r>
          </w:p>
        </w:tc>
        <w:tc>
          <w:tcPr>
            <w:tcW w:w="565"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1.26</w:t>
            </w:r>
          </w:p>
        </w:tc>
        <w:tc>
          <w:tcPr>
            <w:tcW w:w="577"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35000</w:t>
            </w:r>
          </w:p>
        </w:tc>
        <w:tc>
          <w:tcPr>
            <w:tcW w:w="406"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56</w:t>
            </w:r>
          </w:p>
        </w:tc>
        <w:tc>
          <w:tcPr>
            <w:tcW w:w="406"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w:t>
            </w:r>
          </w:p>
        </w:tc>
        <w:tc>
          <w:tcPr>
            <w:tcW w:w="319"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227</w:t>
            </w:r>
          </w:p>
        </w:tc>
        <w:tc>
          <w:tcPr>
            <w:tcW w:w="599"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15300</w:t>
            </w:r>
          </w:p>
        </w:tc>
        <w:tc>
          <w:tcPr>
            <w:tcW w:w="412"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12</w:t>
            </w:r>
          </w:p>
        </w:tc>
        <w:tc>
          <w:tcPr>
            <w:tcW w:w="523"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45</w:t>
            </w:r>
          </w:p>
        </w:tc>
        <w:tc>
          <w:tcPr>
            <w:tcW w:w="526"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85</w:t>
            </w:r>
          </w:p>
        </w:tc>
      </w:tr>
      <w:tr w:rsidR="0048464B" w:rsidRPr="00325137" w:rsidTr="00F83382">
        <w:trPr>
          <w:cnfStyle w:val="000000100000"/>
          <w:trHeight w:val="432"/>
        </w:trPr>
        <w:tc>
          <w:tcPr>
            <w:cnfStyle w:val="001000000000"/>
            <w:tcW w:w="667" w:type="pct"/>
          </w:tcPr>
          <w:p w:rsidR="0048464B" w:rsidRPr="00325137" w:rsidRDefault="0048464B" w:rsidP="00F83382">
            <w:pPr>
              <w:spacing w:after="0" w:line="20" w:lineRule="atLeast"/>
              <w:contextualSpacing/>
              <w:jc w:val="center"/>
              <w:rPr>
                <w:rFonts w:ascii="Times New Roman" w:hAnsi="Times New Roman"/>
              </w:rPr>
            </w:pPr>
            <w:r w:rsidRPr="00325137">
              <w:rPr>
                <w:rFonts w:ascii="Times New Roman" w:hAnsi="Times New Roman"/>
              </w:rPr>
              <w:lastRenderedPageBreak/>
              <w:t>Rajshahi</w:t>
            </w:r>
          </w:p>
        </w:tc>
        <w:tc>
          <w:tcPr>
            <w:tcW w:w="565"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0.61</w:t>
            </w:r>
          </w:p>
        </w:tc>
        <w:tc>
          <w:tcPr>
            <w:tcW w:w="577"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75,190</w:t>
            </w:r>
          </w:p>
        </w:tc>
        <w:tc>
          <w:tcPr>
            <w:tcW w:w="406"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49</w:t>
            </w:r>
          </w:p>
        </w:tc>
        <w:tc>
          <w:tcPr>
            <w:tcW w:w="406"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1</w:t>
            </w:r>
          </w:p>
        </w:tc>
        <w:tc>
          <w:tcPr>
            <w:tcW w:w="319"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512</w:t>
            </w:r>
          </w:p>
        </w:tc>
        <w:tc>
          <w:tcPr>
            <w:tcW w:w="599"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26,000</w:t>
            </w:r>
          </w:p>
        </w:tc>
        <w:tc>
          <w:tcPr>
            <w:tcW w:w="412"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12</w:t>
            </w:r>
          </w:p>
        </w:tc>
        <w:tc>
          <w:tcPr>
            <w:tcW w:w="523" w:type="pct"/>
          </w:tcPr>
          <w:p w:rsidR="0048464B" w:rsidRPr="00325137" w:rsidRDefault="0048464B" w:rsidP="00F83382">
            <w:pPr>
              <w:spacing w:line="276" w:lineRule="auto"/>
              <w:jc w:val="both"/>
              <w:cnfStyle w:val="000000100000"/>
              <w:rPr>
                <w:rFonts w:ascii="Times New Roman" w:hAnsi="Times New Roman"/>
              </w:rPr>
            </w:pPr>
            <w:r w:rsidRPr="00E0447F">
              <w:rPr>
                <w:rFonts w:ascii="Times New Roman" w:hAnsi="Times New Roman"/>
                <w:b/>
                <w:bCs/>
                <w:color w:val="006600"/>
                <w:szCs w:val="24"/>
                <w:u w:val="single"/>
              </w:rPr>
              <w:t>73</w:t>
            </w:r>
          </w:p>
        </w:tc>
        <w:tc>
          <w:tcPr>
            <w:tcW w:w="526"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84</w:t>
            </w:r>
          </w:p>
        </w:tc>
      </w:tr>
      <w:tr w:rsidR="0048464B" w:rsidRPr="00325137" w:rsidTr="00F83382">
        <w:trPr>
          <w:trHeight w:val="432"/>
        </w:trPr>
        <w:tc>
          <w:tcPr>
            <w:cnfStyle w:val="001000000000"/>
            <w:tcW w:w="667" w:type="pct"/>
          </w:tcPr>
          <w:p w:rsidR="0048464B" w:rsidRPr="00325137" w:rsidRDefault="0048464B" w:rsidP="00F83382">
            <w:pPr>
              <w:spacing w:after="0" w:line="20" w:lineRule="atLeast"/>
              <w:contextualSpacing/>
              <w:jc w:val="center"/>
              <w:rPr>
                <w:rFonts w:ascii="Times New Roman" w:hAnsi="Times New Roman"/>
              </w:rPr>
            </w:pPr>
            <w:r w:rsidRPr="00325137">
              <w:rPr>
                <w:rFonts w:ascii="Times New Roman" w:hAnsi="Times New Roman"/>
              </w:rPr>
              <w:t>Sylhet</w:t>
            </w:r>
          </w:p>
        </w:tc>
        <w:tc>
          <w:tcPr>
            <w:tcW w:w="565"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0.42</w:t>
            </w:r>
          </w:p>
        </w:tc>
        <w:tc>
          <w:tcPr>
            <w:tcW w:w="577"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16,890</w:t>
            </w:r>
          </w:p>
        </w:tc>
        <w:tc>
          <w:tcPr>
            <w:tcW w:w="406"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18</w:t>
            </w:r>
          </w:p>
        </w:tc>
        <w:tc>
          <w:tcPr>
            <w:tcW w:w="406"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1</w:t>
            </w:r>
          </w:p>
        </w:tc>
        <w:tc>
          <w:tcPr>
            <w:tcW w:w="319"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145</w:t>
            </w:r>
          </w:p>
        </w:tc>
        <w:tc>
          <w:tcPr>
            <w:tcW w:w="599"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9,892</w:t>
            </w:r>
          </w:p>
        </w:tc>
        <w:tc>
          <w:tcPr>
            <w:tcW w:w="412"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12</w:t>
            </w:r>
          </w:p>
        </w:tc>
        <w:tc>
          <w:tcPr>
            <w:tcW w:w="523"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40</w:t>
            </w:r>
          </w:p>
        </w:tc>
        <w:tc>
          <w:tcPr>
            <w:tcW w:w="526" w:type="pct"/>
          </w:tcPr>
          <w:p w:rsidR="0048464B" w:rsidRPr="00325137" w:rsidRDefault="0048464B" w:rsidP="00F83382">
            <w:pPr>
              <w:spacing w:after="0" w:line="20" w:lineRule="atLeast"/>
              <w:contextualSpacing/>
              <w:jc w:val="center"/>
              <w:cnfStyle w:val="000000000000"/>
              <w:rPr>
                <w:rFonts w:ascii="Times New Roman" w:hAnsi="Times New Roman"/>
              </w:rPr>
            </w:pPr>
            <w:r w:rsidRPr="00325137">
              <w:rPr>
                <w:rFonts w:ascii="Times New Roman" w:hAnsi="Times New Roman"/>
              </w:rPr>
              <w:t>69</w:t>
            </w:r>
          </w:p>
        </w:tc>
      </w:tr>
      <w:tr w:rsidR="0048464B" w:rsidRPr="00325137" w:rsidTr="00F83382">
        <w:trPr>
          <w:cnfStyle w:val="000000100000"/>
          <w:trHeight w:val="432"/>
        </w:trPr>
        <w:tc>
          <w:tcPr>
            <w:cnfStyle w:val="001000000000"/>
            <w:tcW w:w="667" w:type="pct"/>
          </w:tcPr>
          <w:p w:rsidR="0048464B" w:rsidRPr="00325137" w:rsidRDefault="0048464B" w:rsidP="00F83382">
            <w:pPr>
              <w:spacing w:after="0" w:line="20" w:lineRule="atLeast"/>
              <w:contextualSpacing/>
              <w:jc w:val="center"/>
              <w:rPr>
                <w:rFonts w:ascii="Times New Roman" w:hAnsi="Times New Roman"/>
              </w:rPr>
            </w:pPr>
            <w:r w:rsidRPr="00325137">
              <w:rPr>
                <w:rFonts w:ascii="Times New Roman" w:hAnsi="Times New Roman"/>
              </w:rPr>
              <w:t>Barisal</w:t>
            </w:r>
          </w:p>
        </w:tc>
        <w:tc>
          <w:tcPr>
            <w:tcW w:w="565"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0.30</w:t>
            </w:r>
          </w:p>
        </w:tc>
        <w:tc>
          <w:tcPr>
            <w:tcW w:w="577"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10,721</w:t>
            </w:r>
          </w:p>
        </w:tc>
        <w:tc>
          <w:tcPr>
            <w:tcW w:w="406"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18</w:t>
            </w:r>
          </w:p>
        </w:tc>
        <w:tc>
          <w:tcPr>
            <w:tcW w:w="406"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w:t>
            </w:r>
          </w:p>
        </w:tc>
        <w:tc>
          <w:tcPr>
            <w:tcW w:w="319"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165</w:t>
            </w:r>
          </w:p>
        </w:tc>
        <w:tc>
          <w:tcPr>
            <w:tcW w:w="599"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9,852</w:t>
            </w:r>
          </w:p>
        </w:tc>
        <w:tc>
          <w:tcPr>
            <w:tcW w:w="412"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12</w:t>
            </w:r>
          </w:p>
        </w:tc>
        <w:tc>
          <w:tcPr>
            <w:tcW w:w="523"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40</w:t>
            </w:r>
          </w:p>
        </w:tc>
        <w:tc>
          <w:tcPr>
            <w:tcW w:w="526" w:type="pct"/>
          </w:tcPr>
          <w:p w:rsidR="0048464B" w:rsidRPr="00325137" w:rsidRDefault="0048464B" w:rsidP="00F83382">
            <w:pPr>
              <w:spacing w:after="0" w:line="20" w:lineRule="atLeast"/>
              <w:contextualSpacing/>
              <w:jc w:val="center"/>
              <w:cnfStyle w:val="000000100000"/>
              <w:rPr>
                <w:rFonts w:ascii="Times New Roman" w:hAnsi="Times New Roman"/>
              </w:rPr>
            </w:pPr>
            <w:r w:rsidRPr="00325137">
              <w:rPr>
                <w:rFonts w:ascii="Times New Roman" w:hAnsi="Times New Roman"/>
              </w:rPr>
              <w:t>45</w:t>
            </w:r>
          </w:p>
        </w:tc>
      </w:tr>
    </w:tbl>
    <w:p w:rsidR="0048464B" w:rsidRPr="00BF17E5" w:rsidRDefault="0048464B" w:rsidP="0048464B">
      <w:pPr>
        <w:spacing w:before="120" w:after="0" w:line="360" w:lineRule="auto"/>
        <w:jc w:val="both"/>
        <w:rPr>
          <w:color w:val="222222"/>
          <w:sz w:val="20"/>
          <w:szCs w:val="20"/>
          <w:shd w:val="clear" w:color="auto" w:fill="FFFFFF"/>
        </w:rPr>
      </w:pPr>
      <w:r w:rsidRPr="00BF17E5">
        <w:rPr>
          <w:sz w:val="20"/>
          <w:szCs w:val="20"/>
        </w:rPr>
        <w:t xml:space="preserve">GW- groundwater; PW- production well; TP- treatment plant; </w:t>
      </w:r>
    </w:p>
    <w:p w:rsidR="0048464B" w:rsidRPr="00BF17E5" w:rsidRDefault="0048464B" w:rsidP="0048464B">
      <w:pPr>
        <w:rPr>
          <w:b/>
          <w:i/>
          <w:iCs/>
          <w:color w:val="222222"/>
          <w:sz w:val="20"/>
          <w:szCs w:val="20"/>
          <w:shd w:val="clear" w:color="auto" w:fill="FFFFFF"/>
        </w:rPr>
      </w:pPr>
      <w:r w:rsidRPr="00BF17E5">
        <w:rPr>
          <w:b/>
          <w:i/>
          <w:iCs/>
          <w:color w:val="222222"/>
          <w:sz w:val="20"/>
          <w:szCs w:val="20"/>
          <w:shd w:val="clear" w:color="auto" w:fill="FFFFFF"/>
        </w:rPr>
        <w:t>Source: Water and Sewerage Authority (WASA), June 2009: Status Report</w:t>
      </w:r>
    </w:p>
    <w:p w:rsidR="0048464B" w:rsidRPr="0050663D" w:rsidRDefault="0048464B" w:rsidP="0048464B">
      <w:pPr>
        <w:spacing w:line="276" w:lineRule="auto"/>
        <w:jc w:val="both"/>
        <w:rPr>
          <w:rFonts w:cs="Times New Roman"/>
          <w:bCs/>
          <w:i/>
          <w:szCs w:val="24"/>
        </w:rPr>
      </w:pPr>
      <w:r w:rsidRPr="0050663D">
        <w:rPr>
          <w:rFonts w:cs="Times New Roman"/>
          <w:bCs/>
          <w:i/>
          <w:szCs w:val="24"/>
        </w:rPr>
        <w:t>The status of water supply in municipalities is given in Table 10.8. Piped water supply covers only 40% of the population while the rest 60% get water using 152,077 hand pumped tubewells in 102 paurashavas.</w:t>
      </w:r>
    </w:p>
    <w:p w:rsidR="0048464B" w:rsidRPr="00101CE9" w:rsidRDefault="0048464B" w:rsidP="0048464B">
      <w:pPr>
        <w:jc w:val="center"/>
        <w:rPr>
          <w:b/>
        </w:rPr>
      </w:pPr>
      <w:bookmarkStart w:id="741" w:name="_Toc464328987"/>
      <w:r w:rsidRPr="00101CE9">
        <w:rPr>
          <w:b/>
        </w:rPr>
        <w:t>Table 10.8: Piped Water Supply Status in Paurashavas</w:t>
      </w:r>
      <w:bookmarkEnd w:id="741"/>
    </w:p>
    <w:tbl>
      <w:tblPr>
        <w:tblStyle w:val="LightShading10"/>
        <w:tblW w:w="5000" w:type="pct"/>
        <w:tblLook w:val="04A0"/>
      </w:tblPr>
      <w:tblGrid>
        <w:gridCol w:w="7475"/>
        <w:gridCol w:w="2101"/>
      </w:tblGrid>
      <w:tr w:rsidR="0048464B" w:rsidRPr="00325137" w:rsidTr="00F83382">
        <w:trPr>
          <w:cnfStyle w:val="100000000000"/>
          <w:trHeight w:hRule="exact" w:val="360"/>
        </w:trPr>
        <w:tc>
          <w:tcPr>
            <w:cnfStyle w:val="001000000000"/>
            <w:tcW w:w="3903" w:type="pct"/>
          </w:tcPr>
          <w:p w:rsidR="0048464B" w:rsidRPr="00D10C92" w:rsidRDefault="0048464B" w:rsidP="00F83382">
            <w:pPr>
              <w:spacing w:line="360" w:lineRule="auto"/>
              <w:jc w:val="center"/>
              <w:rPr>
                <w:rFonts w:ascii="Times New Roman" w:hAnsi="Times New Roman"/>
                <w:sz w:val="22"/>
                <w:szCs w:val="24"/>
              </w:rPr>
            </w:pPr>
            <w:r w:rsidRPr="00D10C92">
              <w:rPr>
                <w:rFonts w:ascii="Times New Roman" w:hAnsi="Times New Roman"/>
                <w:sz w:val="22"/>
                <w:szCs w:val="24"/>
              </w:rPr>
              <w:t>Items</w:t>
            </w:r>
          </w:p>
        </w:tc>
        <w:tc>
          <w:tcPr>
            <w:tcW w:w="1097" w:type="pct"/>
          </w:tcPr>
          <w:p w:rsidR="0048464B" w:rsidRPr="00D10C92" w:rsidRDefault="0048464B" w:rsidP="00F83382">
            <w:pPr>
              <w:spacing w:line="360" w:lineRule="auto"/>
              <w:cnfStyle w:val="100000000000"/>
              <w:rPr>
                <w:rFonts w:ascii="Times New Roman" w:hAnsi="Times New Roman"/>
                <w:sz w:val="22"/>
                <w:szCs w:val="24"/>
              </w:rPr>
            </w:pPr>
            <w:r w:rsidRPr="00D10C92">
              <w:rPr>
                <w:rFonts w:ascii="Times New Roman" w:hAnsi="Times New Roman"/>
                <w:sz w:val="22"/>
                <w:szCs w:val="24"/>
              </w:rPr>
              <w:t>Amounts</w:t>
            </w:r>
          </w:p>
        </w:tc>
      </w:tr>
      <w:tr w:rsidR="0048464B" w:rsidRPr="00325137" w:rsidTr="00F83382">
        <w:trPr>
          <w:cnfStyle w:val="000000100000"/>
          <w:trHeight w:hRule="exact" w:val="360"/>
        </w:trPr>
        <w:tc>
          <w:tcPr>
            <w:cnfStyle w:val="001000000000"/>
            <w:tcW w:w="3903" w:type="pct"/>
          </w:tcPr>
          <w:p w:rsidR="0048464B" w:rsidRPr="00325137" w:rsidRDefault="0048464B" w:rsidP="00F83382">
            <w:pPr>
              <w:spacing w:after="0" w:line="360" w:lineRule="auto"/>
              <w:jc w:val="both"/>
              <w:rPr>
                <w:rFonts w:ascii="Times New Roman" w:hAnsi="Times New Roman"/>
                <w:sz w:val="22"/>
                <w:szCs w:val="24"/>
              </w:rPr>
            </w:pPr>
            <w:r w:rsidRPr="00325137">
              <w:rPr>
                <w:rFonts w:ascii="Times New Roman" w:hAnsi="Times New Roman"/>
                <w:sz w:val="22"/>
                <w:szCs w:val="24"/>
              </w:rPr>
              <w:t>Number of Paurashavas having Piped Water Supply</w:t>
            </w:r>
          </w:p>
        </w:tc>
        <w:tc>
          <w:tcPr>
            <w:tcW w:w="1097" w:type="pct"/>
          </w:tcPr>
          <w:p w:rsidR="0048464B" w:rsidRPr="00325137" w:rsidRDefault="0048464B" w:rsidP="00F83382">
            <w:pPr>
              <w:spacing w:after="0" w:line="360" w:lineRule="auto"/>
              <w:jc w:val="both"/>
              <w:cnfStyle w:val="000000100000"/>
              <w:rPr>
                <w:rFonts w:ascii="Times New Roman" w:hAnsi="Times New Roman"/>
                <w:sz w:val="22"/>
                <w:szCs w:val="24"/>
              </w:rPr>
            </w:pPr>
            <w:r w:rsidRPr="00325137">
              <w:rPr>
                <w:rFonts w:ascii="Times New Roman" w:hAnsi="Times New Roman"/>
                <w:sz w:val="22"/>
                <w:szCs w:val="24"/>
              </w:rPr>
              <w:t>102</w:t>
            </w:r>
          </w:p>
        </w:tc>
      </w:tr>
      <w:tr w:rsidR="0048464B" w:rsidRPr="00325137" w:rsidTr="00F83382">
        <w:trPr>
          <w:trHeight w:hRule="exact" w:val="360"/>
        </w:trPr>
        <w:tc>
          <w:tcPr>
            <w:cnfStyle w:val="001000000000"/>
            <w:tcW w:w="3903" w:type="pct"/>
          </w:tcPr>
          <w:p w:rsidR="0048464B" w:rsidRPr="00325137" w:rsidRDefault="0048464B" w:rsidP="00F83382">
            <w:pPr>
              <w:spacing w:after="0" w:line="360" w:lineRule="auto"/>
              <w:jc w:val="both"/>
              <w:rPr>
                <w:rFonts w:ascii="Times New Roman" w:hAnsi="Times New Roman"/>
                <w:sz w:val="22"/>
                <w:szCs w:val="24"/>
              </w:rPr>
            </w:pPr>
            <w:r w:rsidRPr="00325137">
              <w:rPr>
                <w:rFonts w:ascii="Times New Roman" w:hAnsi="Times New Roman"/>
                <w:sz w:val="22"/>
                <w:szCs w:val="24"/>
              </w:rPr>
              <w:t>Total Population in the 102 Paurashavas in 2009</w:t>
            </w:r>
          </w:p>
        </w:tc>
        <w:tc>
          <w:tcPr>
            <w:tcW w:w="1097" w:type="pct"/>
          </w:tcPr>
          <w:p w:rsidR="0048464B" w:rsidRPr="00325137" w:rsidRDefault="0048464B" w:rsidP="00F83382">
            <w:pPr>
              <w:spacing w:after="0" w:line="360" w:lineRule="auto"/>
              <w:jc w:val="both"/>
              <w:cnfStyle w:val="000000000000"/>
              <w:rPr>
                <w:rFonts w:ascii="Times New Roman" w:hAnsi="Times New Roman"/>
                <w:sz w:val="22"/>
                <w:szCs w:val="24"/>
              </w:rPr>
            </w:pPr>
            <w:r w:rsidRPr="00325137">
              <w:rPr>
                <w:rFonts w:ascii="Times New Roman" w:hAnsi="Times New Roman"/>
                <w:sz w:val="22"/>
                <w:szCs w:val="24"/>
              </w:rPr>
              <w:t>7.93 million</w:t>
            </w:r>
          </w:p>
        </w:tc>
      </w:tr>
      <w:tr w:rsidR="0048464B" w:rsidRPr="00325137" w:rsidTr="00F83382">
        <w:trPr>
          <w:cnfStyle w:val="000000100000"/>
          <w:trHeight w:hRule="exact" w:val="360"/>
        </w:trPr>
        <w:tc>
          <w:tcPr>
            <w:cnfStyle w:val="001000000000"/>
            <w:tcW w:w="3903" w:type="pct"/>
          </w:tcPr>
          <w:p w:rsidR="0048464B" w:rsidRPr="00325137" w:rsidRDefault="0048464B" w:rsidP="00F83382">
            <w:pPr>
              <w:spacing w:after="0" w:line="360" w:lineRule="auto"/>
              <w:jc w:val="both"/>
              <w:rPr>
                <w:rFonts w:ascii="Times New Roman" w:hAnsi="Times New Roman"/>
                <w:sz w:val="22"/>
                <w:szCs w:val="24"/>
              </w:rPr>
            </w:pPr>
            <w:r w:rsidRPr="00325137">
              <w:rPr>
                <w:rFonts w:ascii="Times New Roman" w:hAnsi="Times New Roman"/>
                <w:sz w:val="22"/>
                <w:szCs w:val="24"/>
              </w:rPr>
              <w:t>Total Water Production</w:t>
            </w:r>
          </w:p>
        </w:tc>
        <w:tc>
          <w:tcPr>
            <w:tcW w:w="1097" w:type="pct"/>
          </w:tcPr>
          <w:p w:rsidR="0048464B" w:rsidRPr="00325137" w:rsidRDefault="0048464B" w:rsidP="00F83382">
            <w:pPr>
              <w:spacing w:after="0" w:line="360" w:lineRule="auto"/>
              <w:jc w:val="both"/>
              <w:cnfStyle w:val="000000100000"/>
              <w:rPr>
                <w:rFonts w:ascii="Times New Roman" w:hAnsi="Times New Roman"/>
                <w:sz w:val="22"/>
                <w:szCs w:val="24"/>
              </w:rPr>
            </w:pPr>
            <w:r w:rsidRPr="00325137">
              <w:rPr>
                <w:rFonts w:ascii="Times New Roman" w:hAnsi="Times New Roman"/>
                <w:sz w:val="22"/>
                <w:szCs w:val="24"/>
              </w:rPr>
              <w:t xml:space="preserve">238,542 </w:t>
            </w:r>
            <w:r w:rsidRPr="00325137">
              <w:rPr>
                <w:rFonts w:ascii="Times New Roman" w:hAnsi="Times New Roman"/>
                <w:color w:val="222222"/>
                <w:sz w:val="22"/>
                <w:szCs w:val="24"/>
                <w:shd w:val="clear" w:color="auto" w:fill="FFFFFF"/>
              </w:rPr>
              <w:t>m</w:t>
            </w:r>
            <w:r w:rsidRPr="00325137">
              <w:rPr>
                <w:rFonts w:ascii="Times New Roman" w:hAnsi="Times New Roman"/>
                <w:color w:val="222222"/>
                <w:sz w:val="22"/>
                <w:szCs w:val="24"/>
                <w:shd w:val="clear" w:color="auto" w:fill="FFFFFF"/>
                <w:vertAlign w:val="superscript"/>
              </w:rPr>
              <w:t>3</w:t>
            </w:r>
            <w:r w:rsidRPr="00325137">
              <w:rPr>
                <w:rFonts w:ascii="Times New Roman" w:hAnsi="Times New Roman"/>
                <w:color w:val="222222"/>
                <w:sz w:val="22"/>
                <w:szCs w:val="24"/>
                <w:shd w:val="clear" w:color="auto" w:fill="FFFFFF"/>
              </w:rPr>
              <w:t>/day</w:t>
            </w:r>
          </w:p>
        </w:tc>
      </w:tr>
      <w:tr w:rsidR="0048464B" w:rsidRPr="00325137" w:rsidTr="00F83382">
        <w:trPr>
          <w:trHeight w:hRule="exact" w:val="360"/>
        </w:trPr>
        <w:tc>
          <w:tcPr>
            <w:cnfStyle w:val="001000000000"/>
            <w:tcW w:w="3903" w:type="pct"/>
          </w:tcPr>
          <w:p w:rsidR="0048464B" w:rsidRPr="00325137" w:rsidRDefault="0048464B" w:rsidP="00F83382">
            <w:pPr>
              <w:spacing w:after="0" w:line="360" w:lineRule="auto"/>
              <w:jc w:val="both"/>
              <w:rPr>
                <w:rFonts w:ascii="Times New Roman" w:hAnsi="Times New Roman"/>
                <w:sz w:val="22"/>
                <w:szCs w:val="24"/>
              </w:rPr>
            </w:pPr>
            <w:r w:rsidRPr="00325137">
              <w:rPr>
                <w:rFonts w:ascii="Times New Roman" w:hAnsi="Times New Roman"/>
                <w:sz w:val="22"/>
                <w:szCs w:val="24"/>
              </w:rPr>
              <w:t>Total Number of Hand pump Tubewells</w:t>
            </w:r>
          </w:p>
        </w:tc>
        <w:tc>
          <w:tcPr>
            <w:tcW w:w="1097" w:type="pct"/>
          </w:tcPr>
          <w:p w:rsidR="0048464B" w:rsidRPr="00325137" w:rsidRDefault="0048464B" w:rsidP="00F83382">
            <w:pPr>
              <w:spacing w:after="0" w:line="360" w:lineRule="auto"/>
              <w:jc w:val="both"/>
              <w:cnfStyle w:val="000000000000"/>
              <w:rPr>
                <w:rFonts w:ascii="Times New Roman" w:hAnsi="Times New Roman"/>
                <w:sz w:val="22"/>
                <w:szCs w:val="24"/>
              </w:rPr>
            </w:pPr>
            <w:r w:rsidRPr="00325137">
              <w:rPr>
                <w:rFonts w:ascii="Times New Roman" w:hAnsi="Times New Roman"/>
                <w:sz w:val="22"/>
                <w:szCs w:val="24"/>
              </w:rPr>
              <w:t>152,077</w:t>
            </w:r>
          </w:p>
        </w:tc>
      </w:tr>
      <w:tr w:rsidR="0048464B" w:rsidRPr="00325137" w:rsidTr="00F83382">
        <w:trPr>
          <w:cnfStyle w:val="000000100000"/>
          <w:trHeight w:hRule="exact" w:val="360"/>
        </w:trPr>
        <w:tc>
          <w:tcPr>
            <w:cnfStyle w:val="001000000000"/>
            <w:tcW w:w="3903" w:type="pct"/>
          </w:tcPr>
          <w:p w:rsidR="0048464B" w:rsidRPr="00325137" w:rsidRDefault="0048464B" w:rsidP="00F83382">
            <w:pPr>
              <w:spacing w:after="0" w:line="360" w:lineRule="auto"/>
              <w:jc w:val="both"/>
              <w:rPr>
                <w:rFonts w:ascii="Times New Roman" w:hAnsi="Times New Roman"/>
                <w:sz w:val="22"/>
                <w:szCs w:val="24"/>
              </w:rPr>
            </w:pPr>
            <w:r w:rsidRPr="00325137">
              <w:rPr>
                <w:rFonts w:ascii="Times New Roman" w:hAnsi="Times New Roman"/>
                <w:sz w:val="22"/>
                <w:szCs w:val="24"/>
              </w:rPr>
              <w:t>Total Number of House Connections</w:t>
            </w:r>
          </w:p>
        </w:tc>
        <w:tc>
          <w:tcPr>
            <w:tcW w:w="1097" w:type="pct"/>
          </w:tcPr>
          <w:p w:rsidR="0048464B" w:rsidRPr="00325137" w:rsidRDefault="0048464B" w:rsidP="00F83382">
            <w:pPr>
              <w:spacing w:after="0" w:line="360" w:lineRule="auto"/>
              <w:jc w:val="both"/>
              <w:cnfStyle w:val="000000100000"/>
              <w:rPr>
                <w:rFonts w:ascii="Times New Roman" w:hAnsi="Times New Roman"/>
                <w:sz w:val="22"/>
                <w:szCs w:val="24"/>
              </w:rPr>
            </w:pPr>
            <w:r w:rsidRPr="00325137">
              <w:rPr>
                <w:rFonts w:ascii="Times New Roman" w:hAnsi="Times New Roman"/>
                <w:sz w:val="22"/>
                <w:szCs w:val="24"/>
              </w:rPr>
              <w:t>175,532</w:t>
            </w:r>
          </w:p>
        </w:tc>
      </w:tr>
      <w:tr w:rsidR="0048464B" w:rsidRPr="00325137" w:rsidTr="00F83382">
        <w:trPr>
          <w:trHeight w:hRule="exact" w:val="360"/>
        </w:trPr>
        <w:tc>
          <w:tcPr>
            <w:cnfStyle w:val="001000000000"/>
            <w:tcW w:w="3903" w:type="pct"/>
          </w:tcPr>
          <w:p w:rsidR="0048464B" w:rsidRPr="00325137" w:rsidRDefault="0048464B" w:rsidP="00F83382">
            <w:pPr>
              <w:spacing w:after="0" w:line="360" w:lineRule="auto"/>
              <w:jc w:val="both"/>
              <w:rPr>
                <w:rFonts w:ascii="Times New Roman" w:hAnsi="Times New Roman"/>
                <w:sz w:val="22"/>
                <w:szCs w:val="24"/>
              </w:rPr>
            </w:pPr>
            <w:r w:rsidRPr="00325137">
              <w:rPr>
                <w:rFonts w:ascii="Times New Roman" w:hAnsi="Times New Roman"/>
                <w:sz w:val="22"/>
                <w:szCs w:val="24"/>
              </w:rPr>
              <w:t>Number of Street Hydrants</w:t>
            </w:r>
          </w:p>
        </w:tc>
        <w:tc>
          <w:tcPr>
            <w:tcW w:w="1097" w:type="pct"/>
          </w:tcPr>
          <w:p w:rsidR="0048464B" w:rsidRPr="00325137" w:rsidRDefault="0048464B" w:rsidP="00F83382">
            <w:pPr>
              <w:spacing w:after="0" w:line="360" w:lineRule="auto"/>
              <w:jc w:val="both"/>
              <w:cnfStyle w:val="000000000000"/>
              <w:rPr>
                <w:rFonts w:ascii="Times New Roman" w:hAnsi="Times New Roman"/>
                <w:sz w:val="22"/>
                <w:szCs w:val="24"/>
              </w:rPr>
            </w:pPr>
            <w:r w:rsidRPr="00325137">
              <w:rPr>
                <w:rFonts w:ascii="Times New Roman" w:hAnsi="Times New Roman"/>
                <w:sz w:val="22"/>
                <w:szCs w:val="24"/>
              </w:rPr>
              <w:t>3,355</w:t>
            </w:r>
          </w:p>
        </w:tc>
      </w:tr>
      <w:tr w:rsidR="0048464B" w:rsidRPr="00325137" w:rsidTr="00F83382">
        <w:trPr>
          <w:cnfStyle w:val="000000100000"/>
          <w:trHeight w:hRule="exact" w:val="360"/>
        </w:trPr>
        <w:tc>
          <w:tcPr>
            <w:cnfStyle w:val="001000000000"/>
            <w:tcW w:w="3903" w:type="pct"/>
          </w:tcPr>
          <w:p w:rsidR="0048464B" w:rsidRPr="00325137" w:rsidRDefault="0048464B" w:rsidP="00F83382">
            <w:pPr>
              <w:spacing w:after="0" w:line="360" w:lineRule="auto"/>
              <w:jc w:val="both"/>
              <w:rPr>
                <w:rFonts w:ascii="Times New Roman" w:hAnsi="Times New Roman"/>
                <w:sz w:val="22"/>
                <w:szCs w:val="24"/>
              </w:rPr>
            </w:pPr>
            <w:r w:rsidRPr="00325137">
              <w:rPr>
                <w:rFonts w:ascii="Times New Roman" w:hAnsi="Times New Roman"/>
                <w:sz w:val="22"/>
                <w:szCs w:val="24"/>
              </w:rPr>
              <w:t>Supply Hours</w:t>
            </w:r>
          </w:p>
        </w:tc>
        <w:tc>
          <w:tcPr>
            <w:tcW w:w="1097" w:type="pct"/>
          </w:tcPr>
          <w:p w:rsidR="0048464B" w:rsidRPr="00325137" w:rsidRDefault="0048464B" w:rsidP="00F83382">
            <w:pPr>
              <w:spacing w:after="0" w:line="360" w:lineRule="auto"/>
              <w:jc w:val="both"/>
              <w:cnfStyle w:val="000000100000"/>
              <w:rPr>
                <w:rFonts w:ascii="Times New Roman" w:hAnsi="Times New Roman"/>
                <w:sz w:val="22"/>
                <w:szCs w:val="24"/>
              </w:rPr>
            </w:pPr>
            <w:r w:rsidRPr="00325137">
              <w:rPr>
                <w:rFonts w:ascii="Times New Roman" w:hAnsi="Times New Roman"/>
                <w:sz w:val="22"/>
                <w:szCs w:val="24"/>
              </w:rPr>
              <w:t>2-12 hours</w:t>
            </w:r>
          </w:p>
        </w:tc>
      </w:tr>
      <w:tr w:rsidR="0048464B" w:rsidRPr="00325137" w:rsidTr="00F83382">
        <w:trPr>
          <w:trHeight w:hRule="exact" w:val="360"/>
        </w:trPr>
        <w:tc>
          <w:tcPr>
            <w:cnfStyle w:val="001000000000"/>
            <w:tcW w:w="3903" w:type="pct"/>
          </w:tcPr>
          <w:p w:rsidR="0048464B" w:rsidRPr="00325137" w:rsidRDefault="0048464B" w:rsidP="00F83382">
            <w:pPr>
              <w:spacing w:after="0" w:line="360" w:lineRule="auto"/>
              <w:jc w:val="both"/>
              <w:rPr>
                <w:rFonts w:ascii="Times New Roman" w:hAnsi="Times New Roman"/>
                <w:sz w:val="22"/>
                <w:szCs w:val="24"/>
              </w:rPr>
            </w:pPr>
            <w:r w:rsidRPr="00325137">
              <w:rPr>
                <w:rFonts w:ascii="Times New Roman" w:hAnsi="Times New Roman"/>
                <w:sz w:val="22"/>
                <w:szCs w:val="24"/>
              </w:rPr>
              <w:t>Population served by Piped Water Supply</w:t>
            </w:r>
          </w:p>
        </w:tc>
        <w:tc>
          <w:tcPr>
            <w:tcW w:w="1097" w:type="pct"/>
          </w:tcPr>
          <w:p w:rsidR="0048464B" w:rsidRPr="00325137" w:rsidRDefault="0048464B" w:rsidP="00F83382">
            <w:pPr>
              <w:spacing w:after="0" w:line="360" w:lineRule="auto"/>
              <w:jc w:val="both"/>
              <w:cnfStyle w:val="000000000000"/>
              <w:rPr>
                <w:rFonts w:ascii="Times New Roman" w:hAnsi="Times New Roman"/>
                <w:sz w:val="22"/>
                <w:szCs w:val="24"/>
              </w:rPr>
            </w:pPr>
            <w:r w:rsidRPr="00325137">
              <w:rPr>
                <w:rFonts w:ascii="Times New Roman" w:hAnsi="Times New Roman"/>
                <w:sz w:val="22"/>
                <w:szCs w:val="24"/>
              </w:rPr>
              <w:t>40%</w:t>
            </w:r>
          </w:p>
        </w:tc>
      </w:tr>
      <w:tr w:rsidR="0048464B" w:rsidRPr="00325137" w:rsidTr="00F83382">
        <w:trPr>
          <w:cnfStyle w:val="000000100000"/>
          <w:trHeight w:hRule="exact" w:val="360"/>
        </w:trPr>
        <w:tc>
          <w:tcPr>
            <w:cnfStyle w:val="001000000000"/>
            <w:tcW w:w="3903" w:type="pct"/>
          </w:tcPr>
          <w:p w:rsidR="0048464B" w:rsidRPr="00325137" w:rsidRDefault="0048464B" w:rsidP="00F83382">
            <w:pPr>
              <w:spacing w:after="0" w:line="360" w:lineRule="auto"/>
              <w:jc w:val="both"/>
              <w:rPr>
                <w:rFonts w:ascii="Times New Roman" w:hAnsi="Times New Roman"/>
                <w:sz w:val="22"/>
                <w:szCs w:val="24"/>
              </w:rPr>
            </w:pPr>
            <w:r w:rsidRPr="00325137">
              <w:rPr>
                <w:rFonts w:ascii="Times New Roman" w:hAnsi="Times New Roman"/>
                <w:sz w:val="22"/>
                <w:szCs w:val="24"/>
              </w:rPr>
              <w:t xml:space="preserve">Population covered by Piped Water Supply and Hand pump Tubewells </w:t>
            </w:r>
          </w:p>
        </w:tc>
        <w:tc>
          <w:tcPr>
            <w:tcW w:w="1097" w:type="pct"/>
          </w:tcPr>
          <w:p w:rsidR="0048464B" w:rsidRPr="00325137" w:rsidRDefault="0048464B" w:rsidP="00F83382">
            <w:pPr>
              <w:spacing w:after="0" w:line="360" w:lineRule="auto"/>
              <w:jc w:val="both"/>
              <w:cnfStyle w:val="000000100000"/>
              <w:rPr>
                <w:rFonts w:ascii="Times New Roman" w:hAnsi="Times New Roman"/>
                <w:sz w:val="22"/>
                <w:szCs w:val="24"/>
              </w:rPr>
            </w:pPr>
            <w:r w:rsidRPr="00325137">
              <w:rPr>
                <w:rFonts w:ascii="Times New Roman" w:hAnsi="Times New Roman"/>
                <w:sz w:val="22"/>
                <w:szCs w:val="24"/>
              </w:rPr>
              <w:t>85%</w:t>
            </w:r>
          </w:p>
        </w:tc>
      </w:tr>
    </w:tbl>
    <w:p w:rsidR="0048464B" w:rsidRPr="00F54F37" w:rsidRDefault="0048464B" w:rsidP="0048464B">
      <w:pPr>
        <w:spacing w:before="120"/>
        <w:jc w:val="both"/>
        <w:rPr>
          <w:rFonts w:cs="Times New Roman"/>
          <w:b/>
          <w:i/>
          <w:sz w:val="20"/>
          <w:szCs w:val="20"/>
        </w:rPr>
      </w:pPr>
      <w:r w:rsidRPr="00F54F37">
        <w:rPr>
          <w:rFonts w:cs="Times New Roman"/>
          <w:b/>
          <w:i/>
          <w:sz w:val="20"/>
          <w:szCs w:val="20"/>
        </w:rPr>
        <w:t>Source: WASAs</w:t>
      </w:r>
    </w:p>
    <w:p w:rsidR="0048464B" w:rsidRPr="00BB22DF" w:rsidRDefault="0048464B" w:rsidP="003D5A31">
      <w:pPr>
        <w:pStyle w:val="BodyText"/>
        <w:numPr>
          <w:ilvl w:val="2"/>
          <w:numId w:val="156"/>
        </w:numPr>
        <w:spacing w:after="240" w:line="276" w:lineRule="auto"/>
        <w:jc w:val="both"/>
        <w:rPr>
          <w:rFonts w:cs="Times New Roman"/>
          <w:b/>
          <w:szCs w:val="24"/>
        </w:rPr>
      </w:pPr>
      <w:r w:rsidRPr="00BB22DF">
        <w:rPr>
          <w:rFonts w:cs="Times New Roman"/>
          <w:b/>
          <w:szCs w:val="24"/>
        </w:rPr>
        <w:t>Water Tariff and Cost Recovery</w:t>
      </w:r>
    </w:p>
    <w:p w:rsidR="0048464B" w:rsidRDefault="0048464B" w:rsidP="0048464B">
      <w:pPr>
        <w:spacing w:after="0" w:line="276" w:lineRule="auto"/>
        <w:jc w:val="both"/>
        <w:rPr>
          <w:rFonts w:cs="Times New Roman"/>
          <w:szCs w:val="24"/>
        </w:rPr>
      </w:pPr>
      <w:r w:rsidRPr="003664FB">
        <w:rPr>
          <w:rFonts w:cs="Times New Roman"/>
          <w:szCs w:val="24"/>
        </w:rPr>
        <w:t>Tariff for water supply varies considerably between cities</w:t>
      </w:r>
      <w:r>
        <w:rPr>
          <w:rFonts w:cs="Times New Roman"/>
          <w:szCs w:val="24"/>
        </w:rPr>
        <w:t>.</w:t>
      </w:r>
      <w:r w:rsidRPr="003664FB">
        <w:rPr>
          <w:rFonts w:cs="Times New Roman"/>
          <w:szCs w:val="24"/>
        </w:rPr>
        <w:t xml:space="preserve"> </w:t>
      </w:r>
      <w:r>
        <w:rPr>
          <w:rFonts w:cs="Times New Roman"/>
          <w:szCs w:val="24"/>
        </w:rPr>
        <w:t>A</w:t>
      </w:r>
      <w:r w:rsidRPr="003664FB">
        <w:rPr>
          <w:rFonts w:cs="Times New Roman"/>
          <w:szCs w:val="24"/>
        </w:rPr>
        <w:t xml:space="preserve">lthough tariff for water should ideally cover operation and maintenance cost of the system as well as capital cost, in many cities and towns the operation and maintenance cost is not recovered. Water is provided in many urban areas at very low rates and in most cases </w:t>
      </w:r>
      <w:r>
        <w:rPr>
          <w:rFonts w:cs="Times New Roman"/>
          <w:szCs w:val="24"/>
        </w:rPr>
        <w:t xml:space="preserve">the rates </w:t>
      </w:r>
      <w:r w:rsidRPr="003664FB">
        <w:rPr>
          <w:rFonts w:cs="Times New Roman"/>
          <w:szCs w:val="24"/>
        </w:rPr>
        <w:t>are not revised regularly to reflect the prevailing cost. Table</w:t>
      </w:r>
      <w:r>
        <w:rPr>
          <w:rFonts w:cs="Times New Roman"/>
          <w:szCs w:val="24"/>
        </w:rPr>
        <w:t xml:space="preserve"> 10.9</w:t>
      </w:r>
      <w:r w:rsidRPr="003664FB">
        <w:rPr>
          <w:rFonts w:cs="Times New Roman"/>
          <w:szCs w:val="24"/>
        </w:rPr>
        <w:t xml:space="preserve"> presents average rev</w:t>
      </w:r>
      <w:r>
        <w:rPr>
          <w:rFonts w:cs="Times New Roman"/>
          <w:szCs w:val="24"/>
        </w:rPr>
        <w:t>enue, average cost and average c</w:t>
      </w:r>
      <w:r w:rsidRPr="003664FB">
        <w:rPr>
          <w:rFonts w:cs="Times New Roman"/>
          <w:szCs w:val="24"/>
        </w:rPr>
        <w:t>ost recovery (revenue-cost ratio) by municipalities and city corporations of different population sizes. Average revenu</w:t>
      </w:r>
      <w:r>
        <w:rPr>
          <w:rFonts w:cs="Times New Roman"/>
          <w:szCs w:val="24"/>
        </w:rPr>
        <w:t>e for 37 urban local bodies is T</w:t>
      </w:r>
      <w:r w:rsidRPr="003664FB">
        <w:rPr>
          <w:rFonts w:cs="Times New Roman"/>
          <w:szCs w:val="24"/>
        </w:rPr>
        <w:t xml:space="preserve">k 6.61 per cubic meter </w:t>
      </w:r>
      <w:r>
        <w:rPr>
          <w:rFonts w:cs="Times New Roman"/>
          <w:szCs w:val="24"/>
        </w:rPr>
        <w:t>of water while average operating cost is T</w:t>
      </w:r>
      <w:r w:rsidRPr="003664FB">
        <w:rPr>
          <w:rFonts w:cs="Times New Roman"/>
          <w:szCs w:val="24"/>
        </w:rPr>
        <w:t xml:space="preserve">k 5.53. </w:t>
      </w:r>
      <w:r>
        <w:rPr>
          <w:rFonts w:cs="Times New Roman"/>
          <w:szCs w:val="24"/>
        </w:rPr>
        <w:t>A</w:t>
      </w:r>
      <w:r w:rsidRPr="003664FB">
        <w:rPr>
          <w:rFonts w:cs="Times New Roman"/>
          <w:szCs w:val="24"/>
        </w:rPr>
        <w:t xml:space="preserve">s the amount of revenue is larger than cost, average cost recovery is greater than 1, that is, 1.25. </w:t>
      </w:r>
      <w:r>
        <w:rPr>
          <w:rFonts w:cs="Times New Roman"/>
          <w:szCs w:val="24"/>
        </w:rPr>
        <w:t>T</w:t>
      </w:r>
      <w:r w:rsidRPr="003664FB">
        <w:rPr>
          <w:rFonts w:cs="Times New Roman"/>
          <w:szCs w:val="24"/>
        </w:rPr>
        <w:t xml:space="preserve">his, however, does not mean that all the urban local bodies get enough revenue to cover cost. </w:t>
      </w:r>
    </w:p>
    <w:p w:rsidR="0048464B" w:rsidRPr="00AB592F" w:rsidRDefault="0048464B" w:rsidP="0048464B">
      <w:pPr>
        <w:spacing w:after="0" w:line="276" w:lineRule="auto"/>
        <w:jc w:val="both"/>
        <w:rPr>
          <w:sz w:val="12"/>
          <w:szCs w:val="12"/>
        </w:rPr>
      </w:pPr>
    </w:p>
    <w:p w:rsidR="0048464B" w:rsidRPr="00101CE9" w:rsidRDefault="0048464B" w:rsidP="0048464B">
      <w:pPr>
        <w:jc w:val="center"/>
        <w:rPr>
          <w:b/>
        </w:rPr>
      </w:pPr>
      <w:bookmarkStart w:id="742" w:name="_Toc464328988"/>
      <w:r w:rsidRPr="00101CE9">
        <w:rPr>
          <w:b/>
        </w:rPr>
        <w:t>Table 10.9: Cost of and Revenue from Water Supply</w:t>
      </w:r>
      <w:bookmarkEnd w:id="742"/>
    </w:p>
    <w:tbl>
      <w:tblPr>
        <w:tblStyle w:val="LightShading10"/>
        <w:tblW w:w="0" w:type="auto"/>
        <w:tblLayout w:type="fixed"/>
        <w:tblLook w:val="04A0"/>
      </w:tblPr>
      <w:tblGrid>
        <w:gridCol w:w="1548"/>
        <w:gridCol w:w="1800"/>
        <w:gridCol w:w="900"/>
        <w:gridCol w:w="1530"/>
        <w:gridCol w:w="1710"/>
        <w:gridCol w:w="1710"/>
      </w:tblGrid>
      <w:tr w:rsidR="0048464B" w:rsidRPr="00325137" w:rsidTr="00F83382">
        <w:trPr>
          <w:cnfStyle w:val="100000000000"/>
        </w:trPr>
        <w:tc>
          <w:tcPr>
            <w:cnfStyle w:val="001000000000"/>
            <w:tcW w:w="1548" w:type="dxa"/>
          </w:tcPr>
          <w:p w:rsidR="0048464B" w:rsidRPr="00D10C92" w:rsidRDefault="0048464B" w:rsidP="00F83382">
            <w:pPr>
              <w:rPr>
                <w:rFonts w:ascii="Times New Roman" w:hAnsi="Times New Roman"/>
                <w:bCs w:val="0"/>
                <w:sz w:val="22"/>
                <w:szCs w:val="22"/>
              </w:rPr>
            </w:pPr>
            <w:r w:rsidRPr="00D10C92">
              <w:rPr>
                <w:rFonts w:ascii="Times New Roman" w:hAnsi="Times New Roman"/>
                <w:bCs w:val="0"/>
                <w:sz w:val="22"/>
                <w:szCs w:val="22"/>
              </w:rPr>
              <w:lastRenderedPageBreak/>
              <w:t>Population Size</w:t>
            </w:r>
          </w:p>
          <w:p w:rsidR="0048464B" w:rsidRPr="00D10C92" w:rsidRDefault="0048464B" w:rsidP="00F83382">
            <w:pPr>
              <w:rPr>
                <w:rFonts w:ascii="Times New Roman" w:hAnsi="Times New Roman"/>
                <w:bCs w:val="0"/>
                <w:sz w:val="22"/>
                <w:szCs w:val="22"/>
              </w:rPr>
            </w:pPr>
            <w:r w:rsidRPr="00D10C92">
              <w:rPr>
                <w:rFonts w:ascii="Times New Roman" w:hAnsi="Times New Roman"/>
                <w:bCs w:val="0"/>
                <w:sz w:val="22"/>
                <w:szCs w:val="22"/>
              </w:rPr>
              <w:t>(in thousands)</w:t>
            </w:r>
          </w:p>
        </w:tc>
        <w:tc>
          <w:tcPr>
            <w:tcW w:w="1800" w:type="dxa"/>
          </w:tcPr>
          <w:p w:rsidR="0048464B" w:rsidRPr="00D10C92" w:rsidRDefault="0048464B" w:rsidP="00F83382">
            <w:pPr>
              <w:cnfStyle w:val="100000000000"/>
              <w:rPr>
                <w:rFonts w:ascii="Times New Roman" w:hAnsi="Times New Roman"/>
                <w:bCs w:val="0"/>
                <w:sz w:val="22"/>
                <w:szCs w:val="22"/>
              </w:rPr>
            </w:pPr>
            <w:r w:rsidRPr="00D10C92">
              <w:rPr>
                <w:rFonts w:ascii="Times New Roman" w:hAnsi="Times New Roman"/>
                <w:bCs w:val="0"/>
                <w:sz w:val="22"/>
                <w:szCs w:val="22"/>
              </w:rPr>
              <w:t xml:space="preserve">Type of </w:t>
            </w:r>
            <w:r>
              <w:rPr>
                <w:rFonts w:ascii="Times New Roman" w:hAnsi="Times New Roman"/>
                <w:bCs w:val="0"/>
                <w:sz w:val="22"/>
                <w:szCs w:val="22"/>
              </w:rPr>
              <w:t>ULGBs</w:t>
            </w:r>
            <w:r w:rsidRPr="00D10C92">
              <w:rPr>
                <w:rFonts w:ascii="Times New Roman" w:hAnsi="Times New Roman"/>
                <w:bCs w:val="0"/>
                <w:sz w:val="22"/>
                <w:szCs w:val="22"/>
              </w:rPr>
              <w:t xml:space="preserve"> </w:t>
            </w:r>
          </w:p>
        </w:tc>
        <w:tc>
          <w:tcPr>
            <w:tcW w:w="900" w:type="dxa"/>
          </w:tcPr>
          <w:p w:rsidR="0048464B" w:rsidRPr="00D10C92" w:rsidRDefault="0048464B" w:rsidP="00F83382">
            <w:pPr>
              <w:cnfStyle w:val="100000000000"/>
              <w:rPr>
                <w:rFonts w:ascii="Times New Roman" w:hAnsi="Times New Roman"/>
                <w:bCs w:val="0"/>
                <w:sz w:val="22"/>
                <w:szCs w:val="22"/>
              </w:rPr>
            </w:pPr>
            <w:r w:rsidRPr="00D10C92">
              <w:rPr>
                <w:rFonts w:ascii="Times New Roman" w:hAnsi="Times New Roman"/>
                <w:bCs w:val="0"/>
                <w:sz w:val="22"/>
                <w:szCs w:val="22"/>
              </w:rPr>
              <w:t>Nos.</w:t>
            </w:r>
          </w:p>
        </w:tc>
        <w:tc>
          <w:tcPr>
            <w:tcW w:w="1530" w:type="dxa"/>
          </w:tcPr>
          <w:p w:rsidR="0048464B" w:rsidRPr="00D10C92" w:rsidRDefault="0048464B" w:rsidP="00F83382">
            <w:pPr>
              <w:cnfStyle w:val="100000000000"/>
              <w:rPr>
                <w:rFonts w:ascii="Times New Roman" w:hAnsi="Times New Roman"/>
                <w:bCs w:val="0"/>
                <w:sz w:val="22"/>
                <w:szCs w:val="22"/>
              </w:rPr>
            </w:pPr>
            <w:r w:rsidRPr="00D10C92">
              <w:rPr>
                <w:rFonts w:ascii="Times New Roman" w:hAnsi="Times New Roman"/>
                <w:bCs w:val="0"/>
                <w:sz w:val="22"/>
                <w:szCs w:val="22"/>
              </w:rPr>
              <w:t>Average Revenue</w:t>
            </w:r>
          </w:p>
          <w:p w:rsidR="0048464B" w:rsidRPr="00D10C92" w:rsidRDefault="0048464B" w:rsidP="00F83382">
            <w:pPr>
              <w:cnfStyle w:val="100000000000"/>
              <w:rPr>
                <w:rFonts w:ascii="Times New Roman" w:hAnsi="Times New Roman"/>
                <w:bCs w:val="0"/>
                <w:sz w:val="22"/>
                <w:szCs w:val="22"/>
              </w:rPr>
            </w:pPr>
            <w:r>
              <w:rPr>
                <w:rFonts w:ascii="Times New Roman" w:hAnsi="Times New Roman"/>
                <w:bCs w:val="0"/>
                <w:sz w:val="22"/>
                <w:szCs w:val="22"/>
              </w:rPr>
              <w:t>(</w:t>
            </w:r>
            <w:r w:rsidRPr="00D10C92">
              <w:rPr>
                <w:rFonts w:ascii="Times New Roman" w:hAnsi="Times New Roman"/>
                <w:bCs w:val="0"/>
                <w:sz w:val="22"/>
                <w:szCs w:val="22"/>
              </w:rPr>
              <w:t>Taka per cubic metre)</w:t>
            </w:r>
          </w:p>
        </w:tc>
        <w:tc>
          <w:tcPr>
            <w:tcW w:w="1710" w:type="dxa"/>
          </w:tcPr>
          <w:p w:rsidR="0048464B" w:rsidRPr="00D10C92" w:rsidRDefault="0048464B" w:rsidP="00F83382">
            <w:pPr>
              <w:cnfStyle w:val="100000000000"/>
              <w:rPr>
                <w:rFonts w:ascii="Times New Roman" w:hAnsi="Times New Roman"/>
                <w:bCs w:val="0"/>
                <w:sz w:val="22"/>
                <w:szCs w:val="22"/>
              </w:rPr>
            </w:pPr>
            <w:r w:rsidRPr="00D10C92">
              <w:rPr>
                <w:rFonts w:ascii="Times New Roman" w:hAnsi="Times New Roman"/>
                <w:bCs w:val="0"/>
                <w:sz w:val="22"/>
                <w:szCs w:val="22"/>
              </w:rPr>
              <w:t>Average Cost</w:t>
            </w:r>
          </w:p>
          <w:p w:rsidR="0048464B" w:rsidRPr="00D10C92" w:rsidRDefault="0048464B" w:rsidP="00F83382">
            <w:pPr>
              <w:cnfStyle w:val="100000000000"/>
              <w:rPr>
                <w:rFonts w:ascii="Times New Roman" w:hAnsi="Times New Roman"/>
                <w:bCs w:val="0"/>
                <w:sz w:val="22"/>
                <w:szCs w:val="22"/>
              </w:rPr>
            </w:pPr>
            <w:r w:rsidRPr="00D10C92">
              <w:rPr>
                <w:rFonts w:ascii="Times New Roman" w:hAnsi="Times New Roman"/>
                <w:bCs w:val="0"/>
                <w:sz w:val="22"/>
                <w:szCs w:val="22"/>
              </w:rPr>
              <w:t>(Taka per cubic metre)</w:t>
            </w:r>
          </w:p>
        </w:tc>
        <w:tc>
          <w:tcPr>
            <w:tcW w:w="1710" w:type="dxa"/>
          </w:tcPr>
          <w:p w:rsidR="0048464B" w:rsidRPr="00D10C92" w:rsidRDefault="0048464B" w:rsidP="00F83382">
            <w:pPr>
              <w:cnfStyle w:val="100000000000"/>
              <w:rPr>
                <w:rFonts w:ascii="Times New Roman" w:hAnsi="Times New Roman"/>
                <w:bCs w:val="0"/>
                <w:sz w:val="22"/>
                <w:szCs w:val="22"/>
              </w:rPr>
            </w:pPr>
            <w:r w:rsidRPr="00D10C92">
              <w:rPr>
                <w:rFonts w:ascii="Times New Roman" w:hAnsi="Times New Roman"/>
                <w:bCs w:val="0"/>
                <w:sz w:val="22"/>
                <w:szCs w:val="22"/>
              </w:rPr>
              <w:t>Average Cost Recovery (Revenue/Cost)</w:t>
            </w:r>
          </w:p>
        </w:tc>
      </w:tr>
      <w:tr w:rsidR="0048464B" w:rsidRPr="00325137" w:rsidTr="00F83382">
        <w:trPr>
          <w:cnfStyle w:val="000000100000"/>
        </w:trPr>
        <w:tc>
          <w:tcPr>
            <w:cnfStyle w:val="001000000000"/>
            <w:tcW w:w="1548" w:type="dxa"/>
          </w:tcPr>
          <w:p w:rsidR="0048464B" w:rsidRPr="00325137" w:rsidRDefault="0048464B" w:rsidP="00F83382">
            <w:pPr>
              <w:spacing w:after="0"/>
              <w:rPr>
                <w:rFonts w:ascii="Times New Roman" w:hAnsi="Times New Roman"/>
                <w:b w:val="0"/>
                <w:bCs w:val="0"/>
                <w:sz w:val="22"/>
                <w:szCs w:val="22"/>
              </w:rPr>
            </w:pPr>
            <w:r w:rsidRPr="00325137">
              <w:rPr>
                <w:rFonts w:ascii="Times New Roman" w:hAnsi="Times New Roman"/>
                <w:b w:val="0"/>
                <w:bCs w:val="0"/>
                <w:sz w:val="22"/>
                <w:szCs w:val="22"/>
              </w:rPr>
              <w:t>Less than 100</w:t>
            </w:r>
          </w:p>
        </w:tc>
        <w:tc>
          <w:tcPr>
            <w:tcW w:w="180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Municipality</w:t>
            </w:r>
          </w:p>
        </w:tc>
        <w:tc>
          <w:tcPr>
            <w:tcW w:w="90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21</w:t>
            </w:r>
          </w:p>
        </w:tc>
        <w:tc>
          <w:tcPr>
            <w:tcW w:w="153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06.38</w:t>
            </w:r>
          </w:p>
        </w:tc>
        <w:tc>
          <w:tcPr>
            <w:tcW w:w="171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5.66</w:t>
            </w:r>
          </w:p>
        </w:tc>
        <w:tc>
          <w:tcPr>
            <w:tcW w:w="171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1.13</w:t>
            </w:r>
          </w:p>
        </w:tc>
      </w:tr>
      <w:tr w:rsidR="0048464B" w:rsidRPr="00325137" w:rsidTr="00F83382">
        <w:tc>
          <w:tcPr>
            <w:cnfStyle w:val="001000000000"/>
            <w:tcW w:w="1548" w:type="dxa"/>
          </w:tcPr>
          <w:p w:rsidR="0048464B" w:rsidRPr="00325137" w:rsidRDefault="0048464B" w:rsidP="00F83382">
            <w:pPr>
              <w:spacing w:after="0"/>
              <w:rPr>
                <w:rFonts w:ascii="Times New Roman" w:hAnsi="Times New Roman"/>
                <w:b w:val="0"/>
                <w:bCs w:val="0"/>
                <w:sz w:val="22"/>
                <w:szCs w:val="22"/>
              </w:rPr>
            </w:pPr>
            <w:r w:rsidRPr="00325137">
              <w:rPr>
                <w:rFonts w:ascii="Times New Roman" w:hAnsi="Times New Roman"/>
                <w:b w:val="0"/>
                <w:bCs w:val="0"/>
                <w:sz w:val="22"/>
                <w:szCs w:val="22"/>
              </w:rPr>
              <w:t>100 to 299</w:t>
            </w:r>
          </w:p>
        </w:tc>
        <w:tc>
          <w:tcPr>
            <w:tcW w:w="180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Municipality</w:t>
            </w:r>
          </w:p>
        </w:tc>
        <w:tc>
          <w:tcPr>
            <w:tcW w:w="90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10</w:t>
            </w:r>
          </w:p>
        </w:tc>
        <w:tc>
          <w:tcPr>
            <w:tcW w:w="153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07.15</w:t>
            </w:r>
          </w:p>
        </w:tc>
        <w:tc>
          <w:tcPr>
            <w:tcW w:w="171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5.03</w:t>
            </w:r>
          </w:p>
        </w:tc>
        <w:tc>
          <w:tcPr>
            <w:tcW w:w="171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1.42</w:t>
            </w:r>
          </w:p>
        </w:tc>
      </w:tr>
      <w:tr w:rsidR="0048464B" w:rsidRPr="00325137" w:rsidTr="00F83382">
        <w:trPr>
          <w:cnfStyle w:val="000000100000"/>
        </w:trPr>
        <w:tc>
          <w:tcPr>
            <w:cnfStyle w:val="001000000000"/>
            <w:tcW w:w="1548" w:type="dxa"/>
          </w:tcPr>
          <w:p w:rsidR="0048464B" w:rsidRPr="00325137" w:rsidRDefault="0048464B" w:rsidP="00F83382">
            <w:pPr>
              <w:spacing w:after="0"/>
              <w:rPr>
                <w:rFonts w:ascii="Times New Roman" w:hAnsi="Times New Roman"/>
                <w:b w:val="0"/>
                <w:bCs w:val="0"/>
                <w:sz w:val="22"/>
                <w:szCs w:val="22"/>
              </w:rPr>
            </w:pPr>
            <w:r w:rsidRPr="00325137">
              <w:rPr>
                <w:rFonts w:ascii="Times New Roman" w:hAnsi="Times New Roman"/>
                <w:b w:val="0"/>
                <w:bCs w:val="0"/>
                <w:sz w:val="22"/>
                <w:szCs w:val="22"/>
              </w:rPr>
              <w:t>300 to 999</w:t>
            </w:r>
          </w:p>
        </w:tc>
        <w:tc>
          <w:tcPr>
            <w:tcW w:w="180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City Corporation</w:t>
            </w:r>
          </w:p>
        </w:tc>
        <w:tc>
          <w:tcPr>
            <w:tcW w:w="90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05</w:t>
            </w:r>
          </w:p>
        </w:tc>
        <w:tc>
          <w:tcPr>
            <w:tcW w:w="153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16.60</w:t>
            </w:r>
          </w:p>
        </w:tc>
        <w:tc>
          <w:tcPr>
            <w:tcW w:w="171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4.43</w:t>
            </w:r>
          </w:p>
        </w:tc>
        <w:tc>
          <w:tcPr>
            <w:tcW w:w="171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3.75</w:t>
            </w:r>
          </w:p>
        </w:tc>
      </w:tr>
      <w:tr w:rsidR="0048464B" w:rsidRPr="00325137" w:rsidTr="00F83382">
        <w:tc>
          <w:tcPr>
            <w:cnfStyle w:val="001000000000"/>
            <w:tcW w:w="1548" w:type="dxa"/>
          </w:tcPr>
          <w:p w:rsidR="0048464B" w:rsidRPr="00325137" w:rsidRDefault="0048464B" w:rsidP="00F83382">
            <w:pPr>
              <w:spacing w:after="0"/>
              <w:rPr>
                <w:rFonts w:ascii="Times New Roman" w:hAnsi="Times New Roman"/>
                <w:b w:val="0"/>
                <w:bCs w:val="0"/>
                <w:sz w:val="22"/>
                <w:szCs w:val="22"/>
              </w:rPr>
            </w:pPr>
            <w:r w:rsidRPr="00325137">
              <w:rPr>
                <w:rFonts w:ascii="Times New Roman" w:hAnsi="Times New Roman"/>
                <w:b w:val="0"/>
                <w:bCs w:val="0"/>
                <w:sz w:val="22"/>
                <w:szCs w:val="22"/>
              </w:rPr>
              <w:t>1000 and more</w:t>
            </w:r>
          </w:p>
        </w:tc>
        <w:tc>
          <w:tcPr>
            <w:tcW w:w="180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City Corporation</w:t>
            </w:r>
          </w:p>
        </w:tc>
        <w:tc>
          <w:tcPr>
            <w:tcW w:w="90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02</w:t>
            </w:r>
          </w:p>
        </w:tc>
        <w:tc>
          <w:tcPr>
            <w:tcW w:w="153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13.70</w:t>
            </w:r>
          </w:p>
        </w:tc>
        <w:tc>
          <w:tcPr>
            <w:tcW w:w="171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8.51</w:t>
            </w:r>
          </w:p>
        </w:tc>
        <w:tc>
          <w:tcPr>
            <w:tcW w:w="1710" w:type="dxa"/>
          </w:tcPr>
          <w:p w:rsidR="0048464B" w:rsidRPr="00325137" w:rsidRDefault="0048464B" w:rsidP="00F83382">
            <w:pPr>
              <w:spacing w:after="0"/>
              <w:cnfStyle w:val="000000000000"/>
              <w:rPr>
                <w:rFonts w:ascii="Times New Roman" w:hAnsi="Times New Roman"/>
                <w:sz w:val="22"/>
                <w:szCs w:val="22"/>
              </w:rPr>
            </w:pPr>
            <w:r w:rsidRPr="00325137">
              <w:rPr>
                <w:rFonts w:ascii="Times New Roman" w:hAnsi="Times New Roman"/>
                <w:sz w:val="22"/>
                <w:szCs w:val="22"/>
              </w:rPr>
              <w:t>1.60</w:t>
            </w:r>
          </w:p>
        </w:tc>
      </w:tr>
      <w:tr w:rsidR="0048464B" w:rsidRPr="00325137" w:rsidTr="00F83382">
        <w:trPr>
          <w:cnfStyle w:val="000000100000"/>
        </w:trPr>
        <w:tc>
          <w:tcPr>
            <w:cnfStyle w:val="001000000000"/>
            <w:tcW w:w="1548" w:type="dxa"/>
          </w:tcPr>
          <w:p w:rsidR="0048464B" w:rsidRPr="00325137" w:rsidRDefault="0048464B" w:rsidP="00F83382">
            <w:pPr>
              <w:spacing w:after="0"/>
              <w:rPr>
                <w:rFonts w:ascii="Times New Roman" w:hAnsi="Times New Roman"/>
                <w:b w:val="0"/>
                <w:bCs w:val="0"/>
                <w:sz w:val="22"/>
                <w:szCs w:val="22"/>
              </w:rPr>
            </w:pPr>
            <w:r w:rsidRPr="00325137">
              <w:rPr>
                <w:rFonts w:ascii="Times New Roman" w:hAnsi="Times New Roman"/>
                <w:b w:val="0"/>
                <w:bCs w:val="0"/>
                <w:sz w:val="22"/>
                <w:szCs w:val="22"/>
              </w:rPr>
              <w:t>Total</w:t>
            </w:r>
          </w:p>
        </w:tc>
        <w:tc>
          <w:tcPr>
            <w:tcW w:w="1800" w:type="dxa"/>
          </w:tcPr>
          <w:p w:rsidR="0048464B" w:rsidRPr="00325137" w:rsidRDefault="0048464B" w:rsidP="00F83382">
            <w:pPr>
              <w:spacing w:after="0"/>
              <w:cnfStyle w:val="000000100000"/>
              <w:rPr>
                <w:rFonts w:ascii="Times New Roman" w:hAnsi="Times New Roman"/>
                <w:sz w:val="22"/>
                <w:szCs w:val="22"/>
              </w:rPr>
            </w:pPr>
          </w:p>
        </w:tc>
        <w:tc>
          <w:tcPr>
            <w:tcW w:w="900" w:type="dxa"/>
          </w:tcPr>
          <w:p w:rsidR="0048464B" w:rsidRPr="00325137" w:rsidRDefault="0048464B" w:rsidP="00F83382">
            <w:pPr>
              <w:spacing w:after="0"/>
              <w:cnfStyle w:val="000000100000"/>
              <w:rPr>
                <w:rFonts w:ascii="Times New Roman" w:hAnsi="Times New Roman"/>
                <w:sz w:val="22"/>
                <w:szCs w:val="22"/>
              </w:rPr>
            </w:pPr>
            <w:r w:rsidRPr="00325137">
              <w:rPr>
                <w:rFonts w:ascii="Times New Roman" w:hAnsi="Times New Roman"/>
                <w:sz w:val="22"/>
                <w:szCs w:val="22"/>
              </w:rPr>
              <w:t>38</w:t>
            </w:r>
          </w:p>
        </w:tc>
        <w:tc>
          <w:tcPr>
            <w:tcW w:w="1530" w:type="dxa"/>
          </w:tcPr>
          <w:p w:rsidR="0048464B" w:rsidRPr="0050663D" w:rsidRDefault="0048464B" w:rsidP="00F83382">
            <w:pPr>
              <w:spacing w:line="276" w:lineRule="auto"/>
              <w:jc w:val="both"/>
              <w:cnfStyle w:val="000000100000"/>
              <w:rPr>
                <w:rFonts w:ascii="Times New Roman" w:hAnsi="Times New Roman"/>
                <w:b/>
                <w:bCs/>
                <w:i/>
                <w:color w:val="auto"/>
                <w:sz w:val="24"/>
                <w:szCs w:val="24"/>
                <w:u w:val="single"/>
              </w:rPr>
            </w:pPr>
            <w:r w:rsidRPr="0050663D">
              <w:rPr>
                <w:rFonts w:ascii="Times New Roman" w:hAnsi="Times New Roman"/>
                <w:b/>
                <w:bCs/>
                <w:i/>
                <w:color w:val="auto"/>
                <w:sz w:val="24"/>
                <w:szCs w:val="24"/>
                <w:u w:val="single"/>
              </w:rPr>
              <w:t>08.12</w:t>
            </w:r>
          </w:p>
        </w:tc>
        <w:tc>
          <w:tcPr>
            <w:tcW w:w="1710" w:type="dxa"/>
          </w:tcPr>
          <w:p w:rsidR="0048464B" w:rsidRPr="0050663D" w:rsidRDefault="0048464B" w:rsidP="00F83382">
            <w:pPr>
              <w:spacing w:line="276" w:lineRule="auto"/>
              <w:jc w:val="both"/>
              <w:cnfStyle w:val="000000100000"/>
              <w:rPr>
                <w:rFonts w:ascii="Times New Roman" w:hAnsi="Times New Roman"/>
                <w:b/>
                <w:bCs/>
                <w:i/>
                <w:color w:val="auto"/>
                <w:sz w:val="24"/>
                <w:szCs w:val="24"/>
                <w:u w:val="single"/>
              </w:rPr>
            </w:pPr>
            <w:r w:rsidRPr="0050663D">
              <w:rPr>
                <w:rFonts w:ascii="Times New Roman" w:hAnsi="Times New Roman"/>
                <w:b/>
                <w:bCs/>
                <w:i/>
                <w:color w:val="auto"/>
                <w:sz w:val="24"/>
                <w:szCs w:val="24"/>
                <w:u w:val="single"/>
              </w:rPr>
              <w:t>05.48</w:t>
            </w:r>
          </w:p>
        </w:tc>
        <w:tc>
          <w:tcPr>
            <w:tcW w:w="1710" w:type="dxa"/>
          </w:tcPr>
          <w:p w:rsidR="0048464B" w:rsidRPr="0050663D" w:rsidRDefault="0048464B" w:rsidP="00F83382">
            <w:pPr>
              <w:spacing w:line="276" w:lineRule="auto"/>
              <w:jc w:val="both"/>
              <w:cnfStyle w:val="000000100000"/>
              <w:rPr>
                <w:rFonts w:ascii="Times New Roman" w:hAnsi="Times New Roman"/>
                <w:b/>
                <w:bCs/>
                <w:i/>
                <w:color w:val="auto"/>
                <w:sz w:val="24"/>
                <w:szCs w:val="24"/>
                <w:u w:val="single"/>
              </w:rPr>
            </w:pPr>
            <w:r w:rsidRPr="0050663D">
              <w:rPr>
                <w:rFonts w:ascii="Times New Roman" w:hAnsi="Times New Roman"/>
                <w:b/>
                <w:bCs/>
                <w:i/>
                <w:color w:val="auto"/>
                <w:sz w:val="24"/>
                <w:szCs w:val="24"/>
                <w:u w:val="single"/>
              </w:rPr>
              <w:t>1.48</w:t>
            </w:r>
          </w:p>
        </w:tc>
      </w:tr>
    </w:tbl>
    <w:p w:rsidR="0048464B" w:rsidRPr="00AB592F" w:rsidRDefault="0048464B" w:rsidP="0048464B">
      <w:pPr>
        <w:spacing w:before="120"/>
        <w:jc w:val="both"/>
        <w:rPr>
          <w:rFonts w:cs="Times New Roman"/>
          <w:b/>
          <w:i/>
          <w:iCs/>
          <w:sz w:val="20"/>
          <w:szCs w:val="20"/>
        </w:rPr>
      </w:pPr>
      <w:r w:rsidRPr="00AB592F">
        <w:rPr>
          <w:rFonts w:cs="Times New Roman"/>
          <w:b/>
          <w:i/>
          <w:iCs/>
          <w:sz w:val="20"/>
          <w:szCs w:val="20"/>
        </w:rPr>
        <w:t>Source: Wor</w:t>
      </w:r>
      <w:r>
        <w:rPr>
          <w:rFonts w:cs="Times New Roman"/>
          <w:b/>
          <w:i/>
          <w:iCs/>
          <w:sz w:val="20"/>
          <w:szCs w:val="20"/>
        </w:rPr>
        <w:t>ld Bank (WSP), 2014</w:t>
      </w:r>
    </w:p>
    <w:p w:rsidR="0048464B" w:rsidRDefault="0048464B" w:rsidP="0048464B">
      <w:pPr>
        <w:spacing w:line="276" w:lineRule="auto"/>
        <w:jc w:val="both"/>
        <w:rPr>
          <w:szCs w:val="24"/>
        </w:rPr>
      </w:pPr>
      <w:r w:rsidRPr="003664FB">
        <w:rPr>
          <w:rFonts w:cs="Times New Roman"/>
          <w:szCs w:val="24"/>
        </w:rPr>
        <w:t>Table</w:t>
      </w:r>
      <w:r>
        <w:rPr>
          <w:rFonts w:cs="Times New Roman"/>
          <w:szCs w:val="24"/>
        </w:rPr>
        <w:t xml:space="preserve"> 10.10</w:t>
      </w:r>
      <w:r w:rsidRPr="003664FB">
        <w:rPr>
          <w:rFonts w:cs="Times New Roman"/>
          <w:szCs w:val="24"/>
        </w:rPr>
        <w:t xml:space="preserve"> presents the distribution of 3</w:t>
      </w:r>
      <w:r>
        <w:rPr>
          <w:rFonts w:cs="Times New Roman"/>
          <w:szCs w:val="24"/>
        </w:rPr>
        <w:t>8</w:t>
      </w:r>
      <w:r w:rsidRPr="003664FB">
        <w:rPr>
          <w:rFonts w:cs="Times New Roman"/>
          <w:szCs w:val="24"/>
        </w:rPr>
        <w:t xml:space="preserve"> UL</w:t>
      </w:r>
      <w:r>
        <w:rPr>
          <w:rFonts w:cs="Times New Roman"/>
          <w:szCs w:val="24"/>
        </w:rPr>
        <w:t>G</w:t>
      </w:r>
      <w:r w:rsidRPr="003664FB">
        <w:rPr>
          <w:rFonts w:cs="Times New Roman"/>
          <w:szCs w:val="24"/>
        </w:rPr>
        <w:t xml:space="preserve">Bs by cost recovery. </w:t>
      </w:r>
      <w:r>
        <w:rPr>
          <w:rFonts w:cs="Times New Roman"/>
          <w:szCs w:val="24"/>
        </w:rPr>
        <w:t xml:space="preserve">Some </w:t>
      </w:r>
      <w:r w:rsidRPr="003664FB">
        <w:rPr>
          <w:rFonts w:cs="Times New Roman"/>
          <w:szCs w:val="24"/>
        </w:rPr>
        <w:t>11 UL</w:t>
      </w:r>
      <w:r>
        <w:rPr>
          <w:rFonts w:cs="Times New Roman"/>
          <w:szCs w:val="24"/>
        </w:rPr>
        <w:t>G</w:t>
      </w:r>
      <w:r w:rsidRPr="003664FB">
        <w:rPr>
          <w:rFonts w:cs="Times New Roman"/>
          <w:szCs w:val="24"/>
        </w:rPr>
        <w:t xml:space="preserve">Bs have revenue cost ratio less than 1.00 which </w:t>
      </w:r>
      <w:r>
        <w:rPr>
          <w:rFonts w:cs="Times New Roman"/>
          <w:szCs w:val="24"/>
        </w:rPr>
        <w:t>indicates</w:t>
      </w:r>
      <w:r w:rsidRPr="003664FB">
        <w:rPr>
          <w:rFonts w:cs="Times New Roman"/>
          <w:szCs w:val="24"/>
        </w:rPr>
        <w:t xml:space="preserve"> that nearly 30% of the UL</w:t>
      </w:r>
      <w:r>
        <w:rPr>
          <w:rFonts w:cs="Times New Roman"/>
          <w:szCs w:val="24"/>
        </w:rPr>
        <w:t>G</w:t>
      </w:r>
      <w:r w:rsidRPr="003664FB">
        <w:rPr>
          <w:rFonts w:cs="Times New Roman"/>
          <w:szCs w:val="24"/>
        </w:rPr>
        <w:t xml:space="preserve">Bs do not generate enough revenue to cover </w:t>
      </w:r>
      <w:r>
        <w:rPr>
          <w:rFonts w:cs="Times New Roman"/>
          <w:szCs w:val="24"/>
        </w:rPr>
        <w:t xml:space="preserve">even operating </w:t>
      </w:r>
      <w:r w:rsidRPr="003664FB">
        <w:rPr>
          <w:rFonts w:cs="Times New Roman"/>
          <w:szCs w:val="24"/>
        </w:rPr>
        <w:t>cost</w:t>
      </w:r>
      <w:r>
        <w:rPr>
          <w:rFonts w:cs="Times New Roman"/>
          <w:szCs w:val="24"/>
        </w:rPr>
        <w:t>s</w:t>
      </w:r>
      <w:r w:rsidRPr="003664FB">
        <w:rPr>
          <w:rFonts w:cs="Times New Roman"/>
          <w:szCs w:val="24"/>
        </w:rPr>
        <w:t>. Cost recovery rate for 4 city corporations and 4 paurashavas exceed 1.50 or more than 150% of the cost required for supplying water. This constitutes about 22% of the sampled UL</w:t>
      </w:r>
      <w:r>
        <w:rPr>
          <w:rFonts w:cs="Times New Roman"/>
          <w:szCs w:val="24"/>
        </w:rPr>
        <w:t>G</w:t>
      </w:r>
      <w:r w:rsidRPr="003664FB">
        <w:rPr>
          <w:rFonts w:cs="Times New Roman"/>
          <w:szCs w:val="24"/>
        </w:rPr>
        <w:t>Bs.</w:t>
      </w:r>
    </w:p>
    <w:p w:rsidR="0048464B" w:rsidRPr="00101CE9" w:rsidRDefault="0048464B" w:rsidP="0048464B">
      <w:pPr>
        <w:jc w:val="center"/>
        <w:rPr>
          <w:b/>
        </w:rPr>
      </w:pPr>
      <w:bookmarkStart w:id="743" w:name="_Toc464328989"/>
      <w:r w:rsidRPr="00101CE9">
        <w:rPr>
          <w:b/>
        </w:rPr>
        <w:t>Table 10.10: Distribution of UL</w:t>
      </w:r>
      <w:r>
        <w:rPr>
          <w:b/>
        </w:rPr>
        <w:t>G</w:t>
      </w:r>
      <w:r w:rsidRPr="00101CE9">
        <w:rPr>
          <w:b/>
        </w:rPr>
        <w:t>Bs by Cost Recovery</w:t>
      </w:r>
      <w:bookmarkEnd w:id="743"/>
    </w:p>
    <w:tbl>
      <w:tblPr>
        <w:tblStyle w:val="PlainTable120"/>
        <w:tblW w:w="0" w:type="auto"/>
        <w:tblLayout w:type="fixed"/>
        <w:tblLook w:val="04A0"/>
      </w:tblPr>
      <w:tblGrid>
        <w:gridCol w:w="1705"/>
        <w:gridCol w:w="1980"/>
        <w:gridCol w:w="720"/>
        <w:gridCol w:w="1597"/>
        <w:gridCol w:w="1463"/>
        <w:gridCol w:w="1733"/>
      </w:tblGrid>
      <w:tr w:rsidR="0048464B" w:rsidRPr="00325137" w:rsidTr="00F83382">
        <w:trPr>
          <w:cnfStyle w:val="100000000000"/>
          <w:trHeight w:val="432"/>
        </w:trPr>
        <w:tc>
          <w:tcPr>
            <w:cnfStyle w:val="001000000000"/>
            <w:tcW w:w="1705" w:type="dxa"/>
            <w:vMerge w:val="restart"/>
          </w:tcPr>
          <w:p w:rsidR="0048464B" w:rsidRPr="00325137" w:rsidRDefault="0048464B" w:rsidP="00F83382">
            <w:pPr>
              <w:jc w:val="center"/>
              <w:rPr>
                <w:rFonts w:cs="Times New Roman"/>
                <w:bCs w:val="0"/>
                <w:sz w:val="22"/>
              </w:rPr>
            </w:pPr>
            <w:r w:rsidRPr="00325137">
              <w:rPr>
                <w:rFonts w:cs="Times New Roman"/>
                <w:bCs w:val="0"/>
                <w:sz w:val="22"/>
              </w:rPr>
              <w:t>Population Size (thousand)</w:t>
            </w:r>
          </w:p>
        </w:tc>
        <w:tc>
          <w:tcPr>
            <w:tcW w:w="1980" w:type="dxa"/>
            <w:vMerge w:val="restart"/>
          </w:tcPr>
          <w:p w:rsidR="0048464B" w:rsidRPr="00325137" w:rsidRDefault="0048464B" w:rsidP="00F83382">
            <w:pPr>
              <w:jc w:val="center"/>
              <w:cnfStyle w:val="100000000000"/>
              <w:rPr>
                <w:rFonts w:cs="Times New Roman"/>
                <w:bCs w:val="0"/>
                <w:sz w:val="22"/>
              </w:rPr>
            </w:pPr>
            <w:r w:rsidRPr="00325137">
              <w:rPr>
                <w:rFonts w:cs="Times New Roman"/>
                <w:bCs w:val="0"/>
                <w:sz w:val="22"/>
              </w:rPr>
              <w:t xml:space="preserve">Type of </w:t>
            </w:r>
            <w:r>
              <w:rPr>
                <w:rFonts w:cs="Times New Roman"/>
                <w:bCs w:val="0"/>
                <w:sz w:val="22"/>
              </w:rPr>
              <w:t>ULGB</w:t>
            </w:r>
          </w:p>
        </w:tc>
        <w:tc>
          <w:tcPr>
            <w:tcW w:w="720" w:type="dxa"/>
            <w:vMerge w:val="restart"/>
          </w:tcPr>
          <w:p w:rsidR="0048464B" w:rsidRPr="00325137" w:rsidRDefault="0048464B" w:rsidP="00F83382">
            <w:pPr>
              <w:jc w:val="center"/>
              <w:cnfStyle w:val="100000000000"/>
              <w:rPr>
                <w:rFonts w:cs="Times New Roman"/>
                <w:bCs w:val="0"/>
                <w:sz w:val="22"/>
              </w:rPr>
            </w:pPr>
            <w:r w:rsidRPr="00325137">
              <w:rPr>
                <w:rFonts w:cs="Times New Roman"/>
                <w:bCs w:val="0"/>
                <w:sz w:val="22"/>
              </w:rPr>
              <w:t>Nos.</w:t>
            </w:r>
          </w:p>
        </w:tc>
        <w:tc>
          <w:tcPr>
            <w:tcW w:w="4793" w:type="dxa"/>
            <w:gridSpan w:val="3"/>
          </w:tcPr>
          <w:p w:rsidR="0048464B" w:rsidRPr="00325137" w:rsidRDefault="0048464B" w:rsidP="00F83382">
            <w:pPr>
              <w:jc w:val="center"/>
              <w:cnfStyle w:val="100000000000"/>
              <w:rPr>
                <w:rFonts w:cs="Times New Roman"/>
                <w:bCs w:val="0"/>
                <w:sz w:val="22"/>
              </w:rPr>
            </w:pPr>
            <w:r w:rsidRPr="00325137">
              <w:rPr>
                <w:rFonts w:cs="Times New Roman"/>
                <w:bCs w:val="0"/>
                <w:sz w:val="22"/>
              </w:rPr>
              <w:t>Cost Recovery (Revenue/Cost)</w:t>
            </w:r>
          </w:p>
        </w:tc>
      </w:tr>
      <w:tr w:rsidR="0048464B" w:rsidRPr="00AB592F" w:rsidTr="00F83382">
        <w:trPr>
          <w:cnfStyle w:val="000000100000"/>
          <w:trHeight w:val="432"/>
        </w:trPr>
        <w:tc>
          <w:tcPr>
            <w:cnfStyle w:val="001000000000"/>
            <w:tcW w:w="1705" w:type="dxa"/>
            <w:vMerge/>
          </w:tcPr>
          <w:p w:rsidR="0048464B" w:rsidRPr="00325137" w:rsidRDefault="0048464B" w:rsidP="00F83382">
            <w:pPr>
              <w:jc w:val="center"/>
              <w:rPr>
                <w:rFonts w:cs="Times New Roman"/>
                <w:bCs w:val="0"/>
                <w:sz w:val="22"/>
              </w:rPr>
            </w:pPr>
          </w:p>
        </w:tc>
        <w:tc>
          <w:tcPr>
            <w:tcW w:w="1980" w:type="dxa"/>
            <w:vMerge/>
          </w:tcPr>
          <w:p w:rsidR="0048464B" w:rsidRPr="00272828" w:rsidRDefault="0048464B" w:rsidP="00F83382">
            <w:pPr>
              <w:jc w:val="center"/>
              <w:cnfStyle w:val="000000100000"/>
              <w:rPr>
                <w:rFonts w:cs="Times New Roman"/>
                <w:b/>
                <w:bCs/>
                <w:sz w:val="22"/>
              </w:rPr>
            </w:pPr>
          </w:p>
        </w:tc>
        <w:tc>
          <w:tcPr>
            <w:tcW w:w="720" w:type="dxa"/>
            <w:vMerge/>
          </w:tcPr>
          <w:p w:rsidR="0048464B" w:rsidRPr="00272828" w:rsidRDefault="0048464B" w:rsidP="00F83382">
            <w:pPr>
              <w:jc w:val="center"/>
              <w:cnfStyle w:val="000000100000"/>
              <w:rPr>
                <w:rFonts w:cs="Times New Roman"/>
                <w:b/>
                <w:bCs/>
                <w:sz w:val="22"/>
              </w:rPr>
            </w:pPr>
          </w:p>
        </w:tc>
        <w:tc>
          <w:tcPr>
            <w:tcW w:w="1597" w:type="dxa"/>
          </w:tcPr>
          <w:p w:rsidR="0048464B" w:rsidRPr="00272828" w:rsidRDefault="0048464B" w:rsidP="00F83382">
            <w:pPr>
              <w:jc w:val="center"/>
              <w:cnfStyle w:val="000000100000"/>
              <w:rPr>
                <w:rFonts w:cs="Times New Roman"/>
                <w:b/>
                <w:bCs/>
                <w:sz w:val="22"/>
              </w:rPr>
            </w:pPr>
            <w:r w:rsidRPr="00272828">
              <w:rPr>
                <w:rFonts w:cs="Times New Roman"/>
                <w:b/>
                <w:bCs/>
                <w:sz w:val="22"/>
              </w:rPr>
              <w:t>Less than 1.00</w:t>
            </w:r>
          </w:p>
        </w:tc>
        <w:tc>
          <w:tcPr>
            <w:tcW w:w="1463" w:type="dxa"/>
          </w:tcPr>
          <w:p w:rsidR="0048464B" w:rsidRPr="00272828" w:rsidRDefault="0048464B" w:rsidP="00F83382">
            <w:pPr>
              <w:jc w:val="center"/>
              <w:cnfStyle w:val="000000100000"/>
              <w:rPr>
                <w:rFonts w:cs="Times New Roman"/>
                <w:b/>
                <w:bCs/>
                <w:sz w:val="22"/>
              </w:rPr>
            </w:pPr>
            <w:r w:rsidRPr="00272828">
              <w:rPr>
                <w:rFonts w:cs="Times New Roman"/>
                <w:b/>
                <w:bCs/>
                <w:sz w:val="22"/>
              </w:rPr>
              <w:t>1.00 to 1.50</w:t>
            </w:r>
          </w:p>
        </w:tc>
        <w:tc>
          <w:tcPr>
            <w:tcW w:w="1733" w:type="dxa"/>
          </w:tcPr>
          <w:p w:rsidR="0048464B" w:rsidRPr="00272828" w:rsidRDefault="0048464B" w:rsidP="00F83382">
            <w:pPr>
              <w:jc w:val="center"/>
              <w:cnfStyle w:val="000000100000"/>
              <w:rPr>
                <w:rFonts w:cs="Times New Roman"/>
                <w:b/>
                <w:bCs/>
                <w:sz w:val="22"/>
              </w:rPr>
            </w:pPr>
            <w:r w:rsidRPr="00272828">
              <w:rPr>
                <w:rFonts w:cs="Times New Roman"/>
                <w:b/>
                <w:bCs/>
                <w:sz w:val="22"/>
              </w:rPr>
              <w:t>More than 1.50</w:t>
            </w:r>
          </w:p>
        </w:tc>
      </w:tr>
      <w:tr w:rsidR="0048464B" w:rsidTr="00F83382">
        <w:trPr>
          <w:trHeight w:val="432"/>
        </w:trPr>
        <w:tc>
          <w:tcPr>
            <w:cnfStyle w:val="001000000000"/>
            <w:tcW w:w="1705" w:type="dxa"/>
          </w:tcPr>
          <w:p w:rsidR="0048464B" w:rsidRPr="00325137" w:rsidRDefault="0048464B" w:rsidP="00F83382">
            <w:pPr>
              <w:rPr>
                <w:rFonts w:cs="Times New Roman"/>
                <w:bCs w:val="0"/>
                <w:sz w:val="20"/>
                <w:szCs w:val="20"/>
              </w:rPr>
            </w:pPr>
            <w:r w:rsidRPr="00325137">
              <w:rPr>
                <w:rFonts w:cs="Times New Roman"/>
                <w:bCs w:val="0"/>
                <w:sz w:val="20"/>
                <w:szCs w:val="20"/>
              </w:rPr>
              <w:t>Less than 100</w:t>
            </w:r>
          </w:p>
        </w:tc>
        <w:tc>
          <w:tcPr>
            <w:tcW w:w="1980" w:type="dxa"/>
          </w:tcPr>
          <w:p w:rsidR="0048464B" w:rsidRPr="00AB592F" w:rsidRDefault="0048464B" w:rsidP="00F83382">
            <w:pPr>
              <w:cnfStyle w:val="000000000000"/>
              <w:rPr>
                <w:rFonts w:cs="Times New Roman"/>
              </w:rPr>
            </w:pPr>
            <w:r w:rsidRPr="00AB592F">
              <w:rPr>
                <w:rFonts w:cs="Times New Roman"/>
              </w:rPr>
              <w:t>Municipality</w:t>
            </w:r>
          </w:p>
        </w:tc>
        <w:tc>
          <w:tcPr>
            <w:tcW w:w="720" w:type="dxa"/>
          </w:tcPr>
          <w:p w:rsidR="0048464B" w:rsidRPr="00AB592F" w:rsidRDefault="0048464B" w:rsidP="00F83382">
            <w:pPr>
              <w:cnfStyle w:val="000000000000"/>
              <w:rPr>
                <w:rFonts w:cs="Times New Roman"/>
              </w:rPr>
            </w:pPr>
            <w:r w:rsidRPr="00AB592F">
              <w:rPr>
                <w:rFonts w:cs="Times New Roman"/>
              </w:rPr>
              <w:t>21</w:t>
            </w:r>
          </w:p>
        </w:tc>
        <w:tc>
          <w:tcPr>
            <w:tcW w:w="1597" w:type="dxa"/>
          </w:tcPr>
          <w:p w:rsidR="0048464B" w:rsidRPr="00AB592F" w:rsidRDefault="0048464B" w:rsidP="00F83382">
            <w:pPr>
              <w:jc w:val="center"/>
              <w:cnfStyle w:val="000000000000"/>
              <w:rPr>
                <w:rFonts w:cs="Times New Roman"/>
              </w:rPr>
            </w:pPr>
            <w:r w:rsidRPr="00AB592F">
              <w:rPr>
                <w:rFonts w:cs="Times New Roman"/>
              </w:rPr>
              <w:t>06 (28.6%)</w:t>
            </w:r>
          </w:p>
        </w:tc>
        <w:tc>
          <w:tcPr>
            <w:tcW w:w="1463" w:type="dxa"/>
          </w:tcPr>
          <w:p w:rsidR="0048464B" w:rsidRPr="00AB592F" w:rsidRDefault="0048464B" w:rsidP="00F83382">
            <w:pPr>
              <w:jc w:val="center"/>
              <w:cnfStyle w:val="000000000000"/>
              <w:rPr>
                <w:rFonts w:cs="Times New Roman"/>
              </w:rPr>
            </w:pPr>
            <w:r>
              <w:rPr>
                <w:rFonts w:cs="Times New Roman"/>
              </w:rPr>
              <w:t xml:space="preserve">12 </w:t>
            </w:r>
            <w:r w:rsidRPr="00AB592F">
              <w:rPr>
                <w:rFonts w:cs="Times New Roman"/>
              </w:rPr>
              <w:t>(57.1%)</w:t>
            </w:r>
          </w:p>
        </w:tc>
        <w:tc>
          <w:tcPr>
            <w:tcW w:w="1733" w:type="dxa"/>
          </w:tcPr>
          <w:p w:rsidR="0048464B" w:rsidRPr="00AB592F" w:rsidRDefault="0048464B" w:rsidP="00F83382">
            <w:pPr>
              <w:jc w:val="center"/>
              <w:cnfStyle w:val="000000000000"/>
              <w:rPr>
                <w:rFonts w:cs="Times New Roman"/>
              </w:rPr>
            </w:pPr>
            <w:r>
              <w:rPr>
                <w:rFonts w:cs="Times New Roman"/>
              </w:rPr>
              <w:t xml:space="preserve">03 </w:t>
            </w:r>
            <w:r w:rsidRPr="00AB592F">
              <w:rPr>
                <w:rFonts w:cs="Times New Roman"/>
              </w:rPr>
              <w:t>(14.3%)</w:t>
            </w:r>
          </w:p>
        </w:tc>
      </w:tr>
      <w:tr w:rsidR="0048464B" w:rsidTr="00F83382">
        <w:trPr>
          <w:cnfStyle w:val="000000100000"/>
          <w:trHeight w:val="432"/>
        </w:trPr>
        <w:tc>
          <w:tcPr>
            <w:cnfStyle w:val="001000000000"/>
            <w:tcW w:w="1705" w:type="dxa"/>
          </w:tcPr>
          <w:p w:rsidR="0048464B" w:rsidRPr="00325137" w:rsidRDefault="0048464B" w:rsidP="00F83382">
            <w:pPr>
              <w:rPr>
                <w:rFonts w:cs="Times New Roman"/>
                <w:bCs w:val="0"/>
                <w:sz w:val="20"/>
                <w:szCs w:val="20"/>
              </w:rPr>
            </w:pPr>
            <w:r w:rsidRPr="00325137">
              <w:rPr>
                <w:rFonts w:cs="Times New Roman"/>
                <w:bCs w:val="0"/>
                <w:sz w:val="20"/>
                <w:szCs w:val="20"/>
              </w:rPr>
              <w:t>100 to 299</w:t>
            </w:r>
          </w:p>
        </w:tc>
        <w:tc>
          <w:tcPr>
            <w:tcW w:w="1980" w:type="dxa"/>
          </w:tcPr>
          <w:p w:rsidR="0048464B" w:rsidRPr="00AB592F" w:rsidRDefault="0048464B" w:rsidP="00F83382">
            <w:pPr>
              <w:cnfStyle w:val="000000100000"/>
              <w:rPr>
                <w:rFonts w:cs="Times New Roman"/>
              </w:rPr>
            </w:pPr>
            <w:r w:rsidRPr="00AB592F">
              <w:rPr>
                <w:rFonts w:cs="Times New Roman"/>
              </w:rPr>
              <w:t>Municipality</w:t>
            </w:r>
          </w:p>
        </w:tc>
        <w:tc>
          <w:tcPr>
            <w:tcW w:w="720" w:type="dxa"/>
          </w:tcPr>
          <w:p w:rsidR="0048464B" w:rsidRPr="00AB592F" w:rsidRDefault="0048464B" w:rsidP="00F83382">
            <w:pPr>
              <w:cnfStyle w:val="000000100000"/>
              <w:rPr>
                <w:rFonts w:cs="Times New Roman"/>
              </w:rPr>
            </w:pPr>
            <w:r w:rsidRPr="00AB592F">
              <w:rPr>
                <w:rFonts w:cs="Times New Roman"/>
              </w:rPr>
              <w:t>10</w:t>
            </w:r>
          </w:p>
        </w:tc>
        <w:tc>
          <w:tcPr>
            <w:tcW w:w="1597" w:type="dxa"/>
          </w:tcPr>
          <w:p w:rsidR="0048464B" w:rsidRPr="00AB592F" w:rsidRDefault="0048464B" w:rsidP="00F83382">
            <w:pPr>
              <w:jc w:val="center"/>
              <w:cnfStyle w:val="000000100000"/>
              <w:rPr>
                <w:rFonts w:cs="Times New Roman"/>
              </w:rPr>
            </w:pPr>
            <w:r w:rsidRPr="00AB592F">
              <w:rPr>
                <w:rFonts w:cs="Times New Roman"/>
              </w:rPr>
              <w:t>03 (30.0%)</w:t>
            </w:r>
          </w:p>
        </w:tc>
        <w:tc>
          <w:tcPr>
            <w:tcW w:w="1463" w:type="dxa"/>
          </w:tcPr>
          <w:p w:rsidR="0048464B" w:rsidRPr="00AB592F" w:rsidRDefault="0048464B" w:rsidP="00F83382">
            <w:pPr>
              <w:jc w:val="center"/>
              <w:cnfStyle w:val="000000100000"/>
              <w:rPr>
                <w:rFonts w:cs="Times New Roman"/>
              </w:rPr>
            </w:pPr>
            <w:r w:rsidRPr="00AB592F">
              <w:rPr>
                <w:rFonts w:cs="Times New Roman"/>
              </w:rPr>
              <w:t>06 (60.0%)</w:t>
            </w:r>
          </w:p>
        </w:tc>
        <w:tc>
          <w:tcPr>
            <w:tcW w:w="1733" w:type="dxa"/>
          </w:tcPr>
          <w:p w:rsidR="0048464B" w:rsidRPr="00AB592F" w:rsidRDefault="0048464B" w:rsidP="00F83382">
            <w:pPr>
              <w:jc w:val="center"/>
              <w:cnfStyle w:val="000000100000"/>
              <w:rPr>
                <w:rFonts w:cs="Times New Roman"/>
              </w:rPr>
            </w:pPr>
            <w:r w:rsidRPr="00AB592F">
              <w:rPr>
                <w:rFonts w:cs="Times New Roman"/>
              </w:rPr>
              <w:t>01 (10.0%)</w:t>
            </w:r>
          </w:p>
        </w:tc>
      </w:tr>
      <w:tr w:rsidR="0048464B" w:rsidTr="00F83382">
        <w:trPr>
          <w:trHeight w:val="432"/>
        </w:trPr>
        <w:tc>
          <w:tcPr>
            <w:cnfStyle w:val="001000000000"/>
            <w:tcW w:w="1705" w:type="dxa"/>
          </w:tcPr>
          <w:p w:rsidR="0048464B" w:rsidRPr="00325137" w:rsidRDefault="0048464B" w:rsidP="00F83382">
            <w:pPr>
              <w:rPr>
                <w:rFonts w:cs="Times New Roman"/>
                <w:bCs w:val="0"/>
                <w:sz w:val="20"/>
                <w:szCs w:val="20"/>
              </w:rPr>
            </w:pPr>
            <w:r w:rsidRPr="00325137">
              <w:rPr>
                <w:rFonts w:cs="Times New Roman"/>
                <w:bCs w:val="0"/>
                <w:sz w:val="20"/>
                <w:szCs w:val="20"/>
              </w:rPr>
              <w:t>300 to 999</w:t>
            </w:r>
          </w:p>
        </w:tc>
        <w:tc>
          <w:tcPr>
            <w:tcW w:w="1980" w:type="dxa"/>
          </w:tcPr>
          <w:p w:rsidR="0048464B" w:rsidRPr="00AB592F" w:rsidRDefault="0048464B" w:rsidP="00F83382">
            <w:pPr>
              <w:cnfStyle w:val="000000000000"/>
              <w:rPr>
                <w:rFonts w:cs="Times New Roman"/>
              </w:rPr>
            </w:pPr>
            <w:r w:rsidRPr="00AB592F">
              <w:rPr>
                <w:rFonts w:cs="Times New Roman"/>
              </w:rPr>
              <w:t>City Corporation/</w:t>
            </w:r>
            <w:r>
              <w:rPr>
                <w:rFonts w:cs="Times New Roman"/>
              </w:rPr>
              <w:t xml:space="preserve"> </w:t>
            </w:r>
            <w:r w:rsidRPr="00AB592F">
              <w:rPr>
                <w:rFonts w:cs="Times New Roman"/>
              </w:rPr>
              <w:t>WASA</w:t>
            </w:r>
          </w:p>
        </w:tc>
        <w:tc>
          <w:tcPr>
            <w:tcW w:w="720" w:type="dxa"/>
          </w:tcPr>
          <w:p w:rsidR="0048464B" w:rsidRPr="00AB592F" w:rsidRDefault="0048464B" w:rsidP="00F83382">
            <w:pPr>
              <w:cnfStyle w:val="000000000000"/>
              <w:rPr>
                <w:rFonts w:cs="Times New Roman"/>
              </w:rPr>
            </w:pPr>
            <w:r w:rsidRPr="00AB592F">
              <w:rPr>
                <w:rFonts w:cs="Times New Roman"/>
              </w:rPr>
              <w:t>05</w:t>
            </w:r>
          </w:p>
        </w:tc>
        <w:tc>
          <w:tcPr>
            <w:tcW w:w="1597" w:type="dxa"/>
          </w:tcPr>
          <w:p w:rsidR="0048464B" w:rsidRPr="00AB592F" w:rsidRDefault="0048464B" w:rsidP="00F83382">
            <w:pPr>
              <w:jc w:val="center"/>
              <w:cnfStyle w:val="000000000000"/>
              <w:rPr>
                <w:rFonts w:cs="Times New Roman"/>
              </w:rPr>
            </w:pPr>
            <w:r w:rsidRPr="00AB592F">
              <w:rPr>
                <w:rFonts w:cs="Times New Roman"/>
              </w:rPr>
              <w:t>02 (40.0%)</w:t>
            </w:r>
          </w:p>
        </w:tc>
        <w:tc>
          <w:tcPr>
            <w:tcW w:w="1463" w:type="dxa"/>
          </w:tcPr>
          <w:p w:rsidR="0048464B" w:rsidRPr="00AB592F" w:rsidRDefault="0048464B" w:rsidP="00F83382">
            <w:pPr>
              <w:jc w:val="center"/>
              <w:cnfStyle w:val="000000000000"/>
              <w:rPr>
                <w:rFonts w:cs="Times New Roman"/>
              </w:rPr>
            </w:pPr>
            <w:r w:rsidRPr="00AB592F">
              <w:rPr>
                <w:rFonts w:cs="Times New Roman"/>
              </w:rPr>
              <w:t>01 (20.0%)</w:t>
            </w:r>
          </w:p>
        </w:tc>
        <w:tc>
          <w:tcPr>
            <w:tcW w:w="1733" w:type="dxa"/>
          </w:tcPr>
          <w:p w:rsidR="0048464B" w:rsidRPr="00AB592F" w:rsidRDefault="0048464B" w:rsidP="00F83382">
            <w:pPr>
              <w:jc w:val="center"/>
              <w:cnfStyle w:val="000000000000"/>
              <w:rPr>
                <w:rFonts w:cs="Times New Roman"/>
              </w:rPr>
            </w:pPr>
            <w:r w:rsidRPr="00AB592F">
              <w:rPr>
                <w:rFonts w:cs="Times New Roman"/>
              </w:rPr>
              <w:t>02 (40.0%)</w:t>
            </w:r>
          </w:p>
        </w:tc>
      </w:tr>
      <w:tr w:rsidR="0048464B" w:rsidTr="00F83382">
        <w:trPr>
          <w:cnfStyle w:val="000000100000"/>
          <w:trHeight w:val="432"/>
        </w:trPr>
        <w:tc>
          <w:tcPr>
            <w:cnfStyle w:val="001000000000"/>
            <w:tcW w:w="1705" w:type="dxa"/>
          </w:tcPr>
          <w:p w:rsidR="0048464B" w:rsidRPr="00325137" w:rsidRDefault="0048464B" w:rsidP="00F83382">
            <w:pPr>
              <w:rPr>
                <w:rFonts w:cs="Times New Roman"/>
                <w:bCs w:val="0"/>
                <w:sz w:val="20"/>
                <w:szCs w:val="20"/>
              </w:rPr>
            </w:pPr>
            <w:r w:rsidRPr="00325137">
              <w:rPr>
                <w:rFonts w:cs="Times New Roman"/>
                <w:bCs w:val="0"/>
                <w:sz w:val="20"/>
                <w:szCs w:val="20"/>
              </w:rPr>
              <w:t>1000 and more</w:t>
            </w:r>
          </w:p>
        </w:tc>
        <w:tc>
          <w:tcPr>
            <w:tcW w:w="1980" w:type="dxa"/>
          </w:tcPr>
          <w:p w:rsidR="0048464B" w:rsidRPr="00AB592F" w:rsidRDefault="0048464B" w:rsidP="00F83382">
            <w:pPr>
              <w:cnfStyle w:val="000000100000"/>
              <w:rPr>
                <w:rFonts w:cs="Times New Roman"/>
              </w:rPr>
            </w:pPr>
            <w:r w:rsidRPr="00AB592F">
              <w:rPr>
                <w:rFonts w:cs="Times New Roman"/>
              </w:rPr>
              <w:t>City Corporation/</w:t>
            </w:r>
            <w:r>
              <w:rPr>
                <w:rFonts w:cs="Times New Roman"/>
              </w:rPr>
              <w:t xml:space="preserve"> </w:t>
            </w:r>
            <w:r w:rsidRPr="00AB592F">
              <w:rPr>
                <w:rFonts w:cs="Times New Roman"/>
              </w:rPr>
              <w:t>WASA</w:t>
            </w:r>
          </w:p>
        </w:tc>
        <w:tc>
          <w:tcPr>
            <w:tcW w:w="720" w:type="dxa"/>
          </w:tcPr>
          <w:p w:rsidR="0048464B" w:rsidRPr="00AB592F" w:rsidRDefault="0048464B" w:rsidP="00F83382">
            <w:pPr>
              <w:cnfStyle w:val="000000100000"/>
              <w:rPr>
                <w:rFonts w:cs="Times New Roman"/>
              </w:rPr>
            </w:pPr>
            <w:r w:rsidRPr="00AB592F">
              <w:rPr>
                <w:rFonts w:cs="Times New Roman"/>
              </w:rPr>
              <w:t>02</w:t>
            </w:r>
          </w:p>
        </w:tc>
        <w:tc>
          <w:tcPr>
            <w:tcW w:w="1597" w:type="dxa"/>
          </w:tcPr>
          <w:p w:rsidR="0048464B" w:rsidRPr="00AB592F" w:rsidRDefault="0048464B" w:rsidP="00F83382">
            <w:pPr>
              <w:jc w:val="center"/>
              <w:cnfStyle w:val="000000100000"/>
              <w:rPr>
                <w:rFonts w:cs="Times New Roman"/>
              </w:rPr>
            </w:pPr>
            <w:r w:rsidRPr="00AB592F">
              <w:rPr>
                <w:rFonts w:cs="Times New Roman"/>
              </w:rPr>
              <w:t>00 (0.0%)</w:t>
            </w:r>
          </w:p>
        </w:tc>
        <w:tc>
          <w:tcPr>
            <w:tcW w:w="1463" w:type="dxa"/>
          </w:tcPr>
          <w:p w:rsidR="0048464B" w:rsidRPr="00AB592F" w:rsidRDefault="0048464B" w:rsidP="00F83382">
            <w:pPr>
              <w:jc w:val="center"/>
              <w:cnfStyle w:val="000000100000"/>
              <w:rPr>
                <w:rFonts w:cs="Times New Roman"/>
              </w:rPr>
            </w:pPr>
            <w:r w:rsidRPr="00AB592F">
              <w:rPr>
                <w:rFonts w:cs="Times New Roman"/>
              </w:rPr>
              <w:t>00 (0.0%)</w:t>
            </w:r>
          </w:p>
        </w:tc>
        <w:tc>
          <w:tcPr>
            <w:tcW w:w="1733" w:type="dxa"/>
          </w:tcPr>
          <w:p w:rsidR="0048464B" w:rsidRPr="00AB592F" w:rsidRDefault="0048464B" w:rsidP="00F83382">
            <w:pPr>
              <w:jc w:val="center"/>
              <w:cnfStyle w:val="000000100000"/>
              <w:rPr>
                <w:rFonts w:cs="Times New Roman"/>
              </w:rPr>
            </w:pPr>
            <w:r w:rsidRPr="00AB592F">
              <w:rPr>
                <w:rFonts w:cs="Times New Roman"/>
              </w:rPr>
              <w:t>02 (100%)</w:t>
            </w:r>
          </w:p>
        </w:tc>
      </w:tr>
      <w:tr w:rsidR="0048464B" w:rsidTr="00F83382">
        <w:trPr>
          <w:trHeight w:val="432"/>
        </w:trPr>
        <w:tc>
          <w:tcPr>
            <w:cnfStyle w:val="001000000000"/>
            <w:tcW w:w="1705" w:type="dxa"/>
          </w:tcPr>
          <w:p w:rsidR="0048464B" w:rsidRPr="00325137" w:rsidRDefault="0048464B" w:rsidP="00F83382">
            <w:pPr>
              <w:rPr>
                <w:rFonts w:cs="Times New Roman"/>
                <w:bCs w:val="0"/>
              </w:rPr>
            </w:pPr>
            <w:r w:rsidRPr="00325137">
              <w:rPr>
                <w:rFonts w:cs="Times New Roman"/>
                <w:bCs w:val="0"/>
              </w:rPr>
              <w:t>Total</w:t>
            </w:r>
          </w:p>
        </w:tc>
        <w:tc>
          <w:tcPr>
            <w:tcW w:w="1980" w:type="dxa"/>
          </w:tcPr>
          <w:p w:rsidR="0048464B" w:rsidRPr="00AB592F" w:rsidRDefault="0048464B" w:rsidP="00F83382">
            <w:pPr>
              <w:cnfStyle w:val="000000000000"/>
              <w:rPr>
                <w:rFonts w:cs="Times New Roman"/>
              </w:rPr>
            </w:pPr>
          </w:p>
        </w:tc>
        <w:tc>
          <w:tcPr>
            <w:tcW w:w="720" w:type="dxa"/>
          </w:tcPr>
          <w:p w:rsidR="0048464B" w:rsidRPr="00AB592F" w:rsidRDefault="0048464B" w:rsidP="00F83382">
            <w:pPr>
              <w:cnfStyle w:val="000000000000"/>
              <w:rPr>
                <w:rFonts w:cs="Times New Roman"/>
              </w:rPr>
            </w:pPr>
            <w:r w:rsidRPr="00AB592F">
              <w:rPr>
                <w:rFonts w:cs="Times New Roman"/>
              </w:rPr>
              <w:t>38</w:t>
            </w:r>
          </w:p>
        </w:tc>
        <w:tc>
          <w:tcPr>
            <w:tcW w:w="1597" w:type="dxa"/>
          </w:tcPr>
          <w:p w:rsidR="0048464B" w:rsidRPr="00AB592F" w:rsidRDefault="0048464B" w:rsidP="00F83382">
            <w:pPr>
              <w:jc w:val="center"/>
              <w:cnfStyle w:val="000000000000"/>
              <w:rPr>
                <w:rFonts w:cs="Times New Roman"/>
              </w:rPr>
            </w:pPr>
            <w:r w:rsidRPr="00AB592F">
              <w:rPr>
                <w:rFonts w:cs="Times New Roman"/>
              </w:rPr>
              <w:t>11 (28.9%)</w:t>
            </w:r>
          </w:p>
        </w:tc>
        <w:tc>
          <w:tcPr>
            <w:tcW w:w="1463" w:type="dxa"/>
          </w:tcPr>
          <w:p w:rsidR="0048464B" w:rsidRPr="00AB592F" w:rsidRDefault="0048464B" w:rsidP="00F83382">
            <w:pPr>
              <w:jc w:val="center"/>
              <w:cnfStyle w:val="000000000000"/>
              <w:rPr>
                <w:rFonts w:cs="Times New Roman"/>
              </w:rPr>
            </w:pPr>
            <w:r w:rsidRPr="00AB592F">
              <w:rPr>
                <w:rFonts w:cs="Times New Roman"/>
              </w:rPr>
              <w:t>19 (50.0%)</w:t>
            </w:r>
          </w:p>
        </w:tc>
        <w:tc>
          <w:tcPr>
            <w:tcW w:w="1733" w:type="dxa"/>
          </w:tcPr>
          <w:p w:rsidR="0048464B" w:rsidRPr="00AB592F" w:rsidRDefault="0048464B" w:rsidP="00F83382">
            <w:pPr>
              <w:jc w:val="center"/>
              <w:cnfStyle w:val="000000000000"/>
              <w:rPr>
                <w:rFonts w:cs="Times New Roman"/>
              </w:rPr>
            </w:pPr>
            <w:r w:rsidRPr="00AB592F">
              <w:rPr>
                <w:rFonts w:cs="Times New Roman"/>
              </w:rPr>
              <w:t>8 (21.1%)</w:t>
            </w:r>
          </w:p>
        </w:tc>
      </w:tr>
    </w:tbl>
    <w:p w:rsidR="0048464B" w:rsidRDefault="0048464B" w:rsidP="0048464B">
      <w:pPr>
        <w:spacing w:before="120"/>
        <w:jc w:val="both"/>
        <w:rPr>
          <w:rFonts w:cs="Times New Roman"/>
          <w:b/>
          <w:i/>
          <w:iCs/>
          <w:sz w:val="20"/>
          <w:szCs w:val="20"/>
        </w:rPr>
      </w:pPr>
      <w:r w:rsidRPr="00FD4ADE">
        <w:rPr>
          <w:rFonts w:cs="Times New Roman"/>
          <w:b/>
          <w:i/>
          <w:iCs/>
          <w:sz w:val="20"/>
          <w:szCs w:val="20"/>
        </w:rPr>
        <w:t xml:space="preserve">Source: World Bank (WSP), 2014 </w:t>
      </w:r>
    </w:p>
    <w:p w:rsidR="0048464B" w:rsidRDefault="0048464B" w:rsidP="0048464B">
      <w:pPr>
        <w:spacing w:before="120"/>
        <w:jc w:val="both"/>
        <w:rPr>
          <w:rFonts w:cs="Times New Roman"/>
          <w:b/>
          <w:i/>
          <w:iCs/>
          <w:sz w:val="20"/>
          <w:szCs w:val="20"/>
        </w:rPr>
      </w:pPr>
    </w:p>
    <w:p w:rsidR="0048464B" w:rsidRPr="00BB22DF" w:rsidRDefault="0048464B" w:rsidP="003D5A31">
      <w:pPr>
        <w:pStyle w:val="BodyText"/>
        <w:numPr>
          <w:ilvl w:val="2"/>
          <w:numId w:val="156"/>
        </w:numPr>
        <w:spacing w:after="240" w:line="276" w:lineRule="auto"/>
        <w:jc w:val="both"/>
        <w:rPr>
          <w:rFonts w:cs="Times New Roman"/>
          <w:b/>
          <w:szCs w:val="24"/>
        </w:rPr>
      </w:pPr>
      <w:r w:rsidRPr="00BB22DF">
        <w:rPr>
          <w:rFonts w:cs="Times New Roman"/>
          <w:b/>
          <w:szCs w:val="24"/>
        </w:rPr>
        <w:t xml:space="preserve">Capital Investment Requirements </w:t>
      </w:r>
    </w:p>
    <w:p w:rsidR="0048464B" w:rsidRPr="003664FB" w:rsidRDefault="0048464B" w:rsidP="0048464B">
      <w:pPr>
        <w:spacing w:line="276" w:lineRule="auto"/>
        <w:jc w:val="both"/>
        <w:rPr>
          <w:rFonts w:cs="Times New Roman"/>
          <w:szCs w:val="24"/>
        </w:rPr>
      </w:pPr>
      <w:r w:rsidRPr="003664FB">
        <w:rPr>
          <w:rFonts w:cs="Times New Roman"/>
          <w:szCs w:val="24"/>
        </w:rPr>
        <w:t>According to the United Nations Development Report of 2006, every US dollar invested in water and sanitation provides an economic return of eight US dollar on average. The World Health Organization estimated that the return on US$1 invested in water intervention to achieve the MD</w:t>
      </w:r>
      <w:r>
        <w:rPr>
          <w:rFonts w:cs="Times New Roman"/>
          <w:szCs w:val="24"/>
        </w:rPr>
        <w:t>Gs</w:t>
      </w:r>
      <w:r w:rsidRPr="003664FB">
        <w:rPr>
          <w:rFonts w:cs="Times New Roman"/>
          <w:szCs w:val="24"/>
        </w:rPr>
        <w:t xml:space="preserve"> would be US$3.5 while the return on </w:t>
      </w:r>
      <w:r>
        <w:rPr>
          <w:rFonts w:cs="Times New Roman"/>
          <w:szCs w:val="24"/>
        </w:rPr>
        <w:t>investment</w:t>
      </w:r>
      <w:r w:rsidRPr="003664FB">
        <w:rPr>
          <w:rFonts w:cs="Times New Roman"/>
          <w:szCs w:val="24"/>
        </w:rPr>
        <w:t xml:space="preserve"> to achieve universal coverage would be US$</w:t>
      </w:r>
      <w:r>
        <w:rPr>
          <w:rFonts w:cs="Times New Roman"/>
          <w:szCs w:val="24"/>
        </w:rPr>
        <w:t xml:space="preserve"> </w:t>
      </w:r>
      <w:r w:rsidRPr="003664FB">
        <w:rPr>
          <w:rFonts w:cs="Times New Roman"/>
          <w:szCs w:val="24"/>
        </w:rPr>
        <w:t>3.7</w:t>
      </w:r>
      <w:r>
        <w:rPr>
          <w:rFonts w:cs="Times New Roman"/>
          <w:szCs w:val="24"/>
        </w:rPr>
        <w:t xml:space="preserve">0.  The Urban Water </w:t>
      </w:r>
      <w:r w:rsidRPr="003664FB">
        <w:rPr>
          <w:rFonts w:cs="Times New Roman"/>
          <w:szCs w:val="24"/>
        </w:rPr>
        <w:t>Sector Development Plan (2011)</w:t>
      </w:r>
      <w:r>
        <w:rPr>
          <w:rFonts w:cs="Times New Roman"/>
          <w:szCs w:val="24"/>
        </w:rPr>
        <w:t xml:space="preserve"> prepared by the Local Government Division of the Government of Bangladesh </w:t>
      </w:r>
      <w:r w:rsidRPr="003664FB">
        <w:rPr>
          <w:rFonts w:cs="Times New Roman"/>
          <w:szCs w:val="24"/>
        </w:rPr>
        <w:t xml:space="preserve">determines investment requirements of </w:t>
      </w:r>
      <w:r w:rsidRPr="003664FB">
        <w:rPr>
          <w:rFonts w:cs="Times New Roman"/>
          <w:szCs w:val="24"/>
        </w:rPr>
        <w:lastRenderedPageBreak/>
        <w:t>urban wat</w:t>
      </w:r>
      <w:r>
        <w:rPr>
          <w:rFonts w:cs="Times New Roman"/>
          <w:szCs w:val="24"/>
        </w:rPr>
        <w:t>er supply for short (FY2011-2015</w:t>
      </w:r>
      <w:r w:rsidRPr="003664FB">
        <w:rPr>
          <w:rFonts w:cs="Times New Roman"/>
          <w:szCs w:val="24"/>
        </w:rPr>
        <w:t>)</w:t>
      </w:r>
      <w:r>
        <w:rPr>
          <w:rFonts w:cs="Times New Roman"/>
          <w:szCs w:val="24"/>
        </w:rPr>
        <w:t xml:space="preserve">, medium (FY 2016-2020) and long (FY 2021-2025) </w:t>
      </w:r>
      <w:r w:rsidRPr="003664FB">
        <w:rPr>
          <w:rFonts w:cs="Times New Roman"/>
          <w:szCs w:val="24"/>
        </w:rPr>
        <w:t>term targets. For calculating costs</w:t>
      </w:r>
      <w:r>
        <w:rPr>
          <w:rFonts w:cs="Times New Roman"/>
          <w:szCs w:val="24"/>
        </w:rPr>
        <w:t xml:space="preserve">, </w:t>
      </w:r>
      <w:r w:rsidRPr="003664FB">
        <w:rPr>
          <w:rFonts w:cs="Times New Roman"/>
          <w:szCs w:val="24"/>
        </w:rPr>
        <w:t>three scenarios were developed</w:t>
      </w:r>
      <w:r>
        <w:rPr>
          <w:rFonts w:cs="Times New Roman"/>
          <w:szCs w:val="24"/>
        </w:rPr>
        <w:t xml:space="preserve"> (Table 10.11)</w:t>
      </w:r>
      <w:r w:rsidRPr="003664FB">
        <w:rPr>
          <w:rFonts w:cs="Times New Roman"/>
          <w:szCs w:val="24"/>
        </w:rPr>
        <w:t>.</w:t>
      </w:r>
      <w:r>
        <w:rPr>
          <w:rFonts w:cs="Times New Roman"/>
          <w:szCs w:val="24"/>
        </w:rPr>
        <w:t xml:space="preserve"> </w:t>
      </w:r>
    </w:p>
    <w:p w:rsidR="0048464B" w:rsidRPr="0050663D" w:rsidRDefault="0048464B" w:rsidP="0048464B">
      <w:pPr>
        <w:spacing w:line="276" w:lineRule="auto"/>
        <w:jc w:val="both"/>
        <w:rPr>
          <w:rFonts w:cs="Times New Roman"/>
          <w:bCs/>
          <w:i/>
          <w:szCs w:val="24"/>
        </w:rPr>
      </w:pPr>
      <w:r w:rsidRPr="003664FB">
        <w:rPr>
          <w:rFonts w:cs="Times New Roman"/>
          <w:szCs w:val="24"/>
        </w:rPr>
        <w:t>Scenario-1 represent</w:t>
      </w:r>
      <w:r>
        <w:rPr>
          <w:rFonts w:cs="Times New Roman"/>
          <w:szCs w:val="24"/>
        </w:rPr>
        <w:t>s</w:t>
      </w:r>
      <w:r w:rsidRPr="003664FB">
        <w:rPr>
          <w:rFonts w:cs="Times New Roman"/>
          <w:szCs w:val="24"/>
        </w:rPr>
        <w:t xml:space="preserve"> the </w:t>
      </w:r>
      <w:r>
        <w:rPr>
          <w:rFonts w:cs="Times New Roman"/>
          <w:szCs w:val="24"/>
        </w:rPr>
        <w:t>current</w:t>
      </w:r>
      <w:r w:rsidRPr="003664FB">
        <w:rPr>
          <w:rFonts w:cs="Times New Roman"/>
          <w:szCs w:val="24"/>
        </w:rPr>
        <w:t xml:space="preserve"> sector condition characterized by low service level and low operating efficiency</w:t>
      </w:r>
      <w:r>
        <w:rPr>
          <w:rFonts w:cs="Times New Roman"/>
          <w:szCs w:val="24"/>
        </w:rPr>
        <w:t>. S</w:t>
      </w:r>
      <w:r w:rsidRPr="003664FB">
        <w:rPr>
          <w:rFonts w:cs="Times New Roman"/>
          <w:szCs w:val="24"/>
        </w:rPr>
        <w:t>cenario-2 shows moderate service level and moderate operating efficiency. Scenario-3 is characterized by high service le</w:t>
      </w:r>
      <w:r>
        <w:rPr>
          <w:rFonts w:cs="Times New Roman"/>
          <w:szCs w:val="24"/>
        </w:rPr>
        <w:t>v</w:t>
      </w:r>
      <w:r w:rsidRPr="003664FB">
        <w:rPr>
          <w:rFonts w:cs="Times New Roman"/>
          <w:szCs w:val="24"/>
        </w:rPr>
        <w:t>el and high operating efficiency. If the socio-economi</w:t>
      </w:r>
      <w:r>
        <w:rPr>
          <w:rFonts w:cs="Times New Roman"/>
          <w:szCs w:val="24"/>
        </w:rPr>
        <w:t>c</w:t>
      </w:r>
      <w:r w:rsidRPr="003664FB">
        <w:rPr>
          <w:rFonts w:cs="Times New Roman"/>
          <w:szCs w:val="24"/>
        </w:rPr>
        <w:t xml:space="preserve"> and institutional condition</w:t>
      </w:r>
      <w:r>
        <w:rPr>
          <w:rFonts w:cs="Times New Roman"/>
          <w:szCs w:val="24"/>
        </w:rPr>
        <w:t>s</w:t>
      </w:r>
      <w:r w:rsidRPr="003664FB">
        <w:rPr>
          <w:rFonts w:cs="Times New Roman"/>
          <w:szCs w:val="24"/>
        </w:rPr>
        <w:t xml:space="preserve"> are taken into account</w:t>
      </w:r>
      <w:r>
        <w:rPr>
          <w:rFonts w:cs="Times New Roman"/>
          <w:szCs w:val="24"/>
        </w:rPr>
        <w:t>,</w:t>
      </w:r>
      <w:r w:rsidRPr="003664FB">
        <w:rPr>
          <w:rFonts w:cs="Times New Roman"/>
          <w:szCs w:val="24"/>
        </w:rPr>
        <w:t xml:space="preserve"> then scenatio-2 appears to be a mo</w:t>
      </w:r>
      <w:r>
        <w:rPr>
          <w:rFonts w:cs="Times New Roman"/>
          <w:szCs w:val="24"/>
        </w:rPr>
        <w:t>r</w:t>
      </w:r>
      <w:r w:rsidRPr="003664FB">
        <w:rPr>
          <w:rFonts w:cs="Times New Roman"/>
          <w:szCs w:val="24"/>
        </w:rPr>
        <w:t xml:space="preserve">e realistic and achievable option during the plan period (2011-2025). </w:t>
      </w:r>
      <w:r w:rsidRPr="0050663D">
        <w:rPr>
          <w:rFonts w:cs="Times New Roman"/>
          <w:bCs/>
          <w:i/>
          <w:szCs w:val="24"/>
        </w:rPr>
        <w:t>Total investment costs of urban water supply for this scenario were estimated at BDT 714,945 million, out of which BDT 165,220 million would be required for short-term (2011-2015), BDT 280,467 medium million for term (2016-2020) and BDT 269,257 million for the long term (2021-2025).</w:t>
      </w:r>
    </w:p>
    <w:p w:rsidR="0048464B" w:rsidRPr="00101CE9" w:rsidRDefault="0048464B" w:rsidP="0048464B">
      <w:pPr>
        <w:jc w:val="center"/>
        <w:rPr>
          <w:b/>
        </w:rPr>
      </w:pPr>
      <w:bookmarkStart w:id="744" w:name="_Toc464328990"/>
      <w:r w:rsidRPr="00101CE9">
        <w:rPr>
          <w:b/>
        </w:rPr>
        <w:t>Table 10.11: Service Level and Operating Efficiency Indicators for Urban Water Supply</w:t>
      </w:r>
      <w:bookmarkEnd w:id="744"/>
    </w:p>
    <w:tbl>
      <w:tblPr>
        <w:tblStyle w:val="PlainTable120"/>
        <w:tblW w:w="5000" w:type="pct"/>
        <w:tblLook w:val="04A0"/>
      </w:tblPr>
      <w:tblGrid>
        <w:gridCol w:w="1494"/>
        <w:gridCol w:w="1218"/>
        <w:gridCol w:w="843"/>
        <w:gridCol w:w="975"/>
        <w:gridCol w:w="1088"/>
        <w:gridCol w:w="1218"/>
        <w:gridCol w:w="655"/>
        <w:gridCol w:w="1030"/>
        <w:gridCol w:w="1055"/>
      </w:tblGrid>
      <w:tr w:rsidR="0048464B" w:rsidRPr="00322153" w:rsidTr="00F83382">
        <w:trPr>
          <w:cnfStyle w:val="100000000000"/>
        </w:trPr>
        <w:tc>
          <w:tcPr>
            <w:cnfStyle w:val="001000000000"/>
            <w:tcW w:w="780" w:type="pct"/>
            <w:vMerge w:val="restart"/>
          </w:tcPr>
          <w:p w:rsidR="0048464B" w:rsidRPr="00D10C92" w:rsidRDefault="0048464B" w:rsidP="00F83382">
            <w:pPr>
              <w:jc w:val="center"/>
              <w:rPr>
                <w:sz w:val="22"/>
                <w:szCs w:val="24"/>
              </w:rPr>
            </w:pPr>
            <w:r w:rsidRPr="00D10C92">
              <w:rPr>
                <w:sz w:val="22"/>
                <w:szCs w:val="24"/>
              </w:rPr>
              <w:t>Scenario</w:t>
            </w:r>
          </w:p>
        </w:tc>
        <w:tc>
          <w:tcPr>
            <w:tcW w:w="2789" w:type="pct"/>
            <w:gridSpan w:val="5"/>
          </w:tcPr>
          <w:p w:rsidR="0048464B" w:rsidRPr="00D10C92" w:rsidRDefault="0048464B" w:rsidP="00F83382">
            <w:pPr>
              <w:jc w:val="center"/>
              <w:cnfStyle w:val="100000000000"/>
              <w:rPr>
                <w:sz w:val="22"/>
                <w:szCs w:val="24"/>
              </w:rPr>
            </w:pPr>
            <w:r w:rsidRPr="00D10C92">
              <w:rPr>
                <w:sz w:val="22"/>
                <w:szCs w:val="24"/>
              </w:rPr>
              <w:t>Service Level Indicators</w:t>
            </w:r>
          </w:p>
        </w:tc>
        <w:tc>
          <w:tcPr>
            <w:tcW w:w="1431" w:type="pct"/>
            <w:gridSpan w:val="3"/>
          </w:tcPr>
          <w:p w:rsidR="0048464B" w:rsidRPr="00D10C92" w:rsidRDefault="0048464B" w:rsidP="00F83382">
            <w:pPr>
              <w:jc w:val="center"/>
              <w:cnfStyle w:val="100000000000"/>
              <w:rPr>
                <w:sz w:val="22"/>
                <w:szCs w:val="24"/>
              </w:rPr>
            </w:pPr>
            <w:r w:rsidRPr="00D10C92">
              <w:rPr>
                <w:sz w:val="22"/>
                <w:szCs w:val="24"/>
              </w:rPr>
              <w:t>Operating Efficiency Indicators</w:t>
            </w:r>
          </w:p>
        </w:tc>
      </w:tr>
      <w:tr w:rsidR="0048464B" w:rsidRPr="00322153" w:rsidTr="00F83382">
        <w:trPr>
          <w:cnfStyle w:val="000000100000"/>
          <w:trHeight w:val="2016"/>
        </w:trPr>
        <w:tc>
          <w:tcPr>
            <w:cnfStyle w:val="001000000000"/>
            <w:tcW w:w="780" w:type="pct"/>
            <w:vMerge/>
          </w:tcPr>
          <w:p w:rsidR="0048464B" w:rsidRPr="00322153" w:rsidRDefault="0048464B" w:rsidP="00F83382">
            <w:pPr>
              <w:jc w:val="center"/>
              <w:rPr>
                <w:sz w:val="22"/>
                <w:szCs w:val="24"/>
              </w:rPr>
            </w:pPr>
          </w:p>
        </w:tc>
        <w:tc>
          <w:tcPr>
            <w:tcW w:w="636" w:type="pct"/>
            <w:textDirection w:val="btLr"/>
          </w:tcPr>
          <w:p w:rsidR="0048464B" w:rsidRPr="00322153" w:rsidRDefault="0048464B" w:rsidP="00F83382">
            <w:pPr>
              <w:ind w:left="113" w:right="113"/>
              <w:jc w:val="center"/>
              <w:cnfStyle w:val="000000100000"/>
              <w:rPr>
                <w:sz w:val="22"/>
              </w:rPr>
            </w:pPr>
            <w:r w:rsidRPr="00322153">
              <w:rPr>
                <w:sz w:val="22"/>
              </w:rPr>
              <w:t>Coverage by Piped Water Supply (% of Population)</w:t>
            </w:r>
          </w:p>
        </w:tc>
        <w:tc>
          <w:tcPr>
            <w:tcW w:w="440" w:type="pct"/>
            <w:textDirection w:val="btLr"/>
          </w:tcPr>
          <w:p w:rsidR="0048464B" w:rsidRPr="00322153" w:rsidRDefault="0048464B" w:rsidP="00F83382">
            <w:pPr>
              <w:ind w:left="113" w:right="113"/>
              <w:jc w:val="center"/>
              <w:cnfStyle w:val="000000100000"/>
              <w:rPr>
                <w:sz w:val="22"/>
              </w:rPr>
            </w:pPr>
            <w:r w:rsidRPr="00322153">
              <w:rPr>
                <w:sz w:val="22"/>
              </w:rPr>
              <w:t>Supply (hours per day)</w:t>
            </w:r>
          </w:p>
        </w:tc>
        <w:tc>
          <w:tcPr>
            <w:tcW w:w="509" w:type="pct"/>
            <w:textDirection w:val="btLr"/>
          </w:tcPr>
          <w:p w:rsidR="0048464B" w:rsidRPr="00322153" w:rsidRDefault="0048464B" w:rsidP="00F83382">
            <w:pPr>
              <w:ind w:left="113" w:right="113"/>
              <w:jc w:val="center"/>
              <w:cnfStyle w:val="000000100000"/>
              <w:rPr>
                <w:sz w:val="22"/>
              </w:rPr>
            </w:pPr>
            <w:r w:rsidRPr="00322153">
              <w:rPr>
                <w:sz w:val="22"/>
              </w:rPr>
              <w:t>Per Capita Consumption (l/day)</w:t>
            </w:r>
          </w:p>
        </w:tc>
        <w:tc>
          <w:tcPr>
            <w:tcW w:w="568" w:type="pct"/>
            <w:textDirection w:val="btLr"/>
          </w:tcPr>
          <w:p w:rsidR="0048464B" w:rsidRPr="00322153" w:rsidRDefault="0048464B" w:rsidP="00F83382">
            <w:pPr>
              <w:ind w:left="113" w:right="113"/>
              <w:jc w:val="center"/>
              <w:cnfStyle w:val="000000100000"/>
              <w:rPr>
                <w:sz w:val="22"/>
              </w:rPr>
            </w:pPr>
            <w:r w:rsidRPr="00322153">
              <w:rPr>
                <w:sz w:val="22"/>
              </w:rPr>
              <w:t>Water Quality in Terms of Arsenic (mg As/l)</w:t>
            </w:r>
          </w:p>
        </w:tc>
        <w:tc>
          <w:tcPr>
            <w:tcW w:w="636" w:type="pct"/>
            <w:textDirection w:val="btLr"/>
          </w:tcPr>
          <w:p w:rsidR="0048464B" w:rsidRPr="00322153" w:rsidRDefault="0048464B" w:rsidP="00F83382">
            <w:pPr>
              <w:ind w:left="113" w:right="113"/>
              <w:jc w:val="center"/>
              <w:cnfStyle w:val="000000100000"/>
              <w:rPr>
                <w:sz w:val="22"/>
              </w:rPr>
            </w:pPr>
            <w:r w:rsidRPr="00322153">
              <w:rPr>
                <w:sz w:val="22"/>
              </w:rPr>
              <w:t>Water Quality in Terms of Bacteria (Bacteria /100 ml)</w:t>
            </w:r>
          </w:p>
        </w:tc>
        <w:tc>
          <w:tcPr>
            <w:tcW w:w="342" w:type="pct"/>
            <w:textDirection w:val="btLr"/>
          </w:tcPr>
          <w:p w:rsidR="0048464B" w:rsidRPr="00322153" w:rsidRDefault="0048464B" w:rsidP="00F83382">
            <w:pPr>
              <w:ind w:left="113" w:right="113"/>
              <w:jc w:val="center"/>
              <w:cnfStyle w:val="000000100000"/>
              <w:rPr>
                <w:sz w:val="22"/>
              </w:rPr>
            </w:pPr>
            <w:r w:rsidRPr="00322153">
              <w:rPr>
                <w:sz w:val="22"/>
              </w:rPr>
              <w:t>UfW (%)</w:t>
            </w:r>
          </w:p>
        </w:tc>
        <w:tc>
          <w:tcPr>
            <w:tcW w:w="538" w:type="pct"/>
            <w:textDirection w:val="btLr"/>
          </w:tcPr>
          <w:p w:rsidR="0048464B" w:rsidRPr="00322153" w:rsidRDefault="0048464B" w:rsidP="00F83382">
            <w:pPr>
              <w:ind w:left="113" w:right="113"/>
              <w:jc w:val="center"/>
              <w:cnfStyle w:val="000000100000"/>
              <w:rPr>
                <w:sz w:val="22"/>
              </w:rPr>
            </w:pPr>
            <w:r w:rsidRPr="00322153">
              <w:rPr>
                <w:sz w:val="22"/>
              </w:rPr>
              <w:t>Staffing (Staff / 1000 Connection)</w:t>
            </w:r>
          </w:p>
        </w:tc>
        <w:tc>
          <w:tcPr>
            <w:tcW w:w="551" w:type="pct"/>
            <w:textDirection w:val="btLr"/>
          </w:tcPr>
          <w:p w:rsidR="0048464B" w:rsidRPr="00322153" w:rsidRDefault="0048464B" w:rsidP="00F83382">
            <w:pPr>
              <w:ind w:left="113" w:right="113"/>
              <w:jc w:val="center"/>
              <w:cnfStyle w:val="000000100000"/>
              <w:rPr>
                <w:sz w:val="22"/>
              </w:rPr>
            </w:pPr>
            <w:r w:rsidRPr="00322153">
              <w:rPr>
                <w:sz w:val="22"/>
              </w:rPr>
              <w:t>Collection Efficiency (%)</w:t>
            </w:r>
          </w:p>
        </w:tc>
      </w:tr>
      <w:tr w:rsidR="0048464B" w:rsidRPr="00322153" w:rsidTr="00F83382">
        <w:tc>
          <w:tcPr>
            <w:cnfStyle w:val="001000000000"/>
            <w:tcW w:w="780" w:type="pct"/>
          </w:tcPr>
          <w:p w:rsidR="0048464B" w:rsidRPr="00D10C92" w:rsidRDefault="0048464B" w:rsidP="00F83382">
            <w:pPr>
              <w:jc w:val="center"/>
              <w:rPr>
                <w:sz w:val="22"/>
                <w:szCs w:val="24"/>
              </w:rPr>
            </w:pPr>
            <w:r w:rsidRPr="00D10C92">
              <w:rPr>
                <w:sz w:val="22"/>
                <w:szCs w:val="24"/>
              </w:rPr>
              <w:t>Scenario 1 (Base Case)</w:t>
            </w:r>
          </w:p>
        </w:tc>
        <w:tc>
          <w:tcPr>
            <w:tcW w:w="636" w:type="pct"/>
          </w:tcPr>
          <w:p w:rsidR="0048464B" w:rsidRPr="00322153" w:rsidRDefault="0048464B" w:rsidP="00F83382">
            <w:pPr>
              <w:jc w:val="center"/>
              <w:cnfStyle w:val="000000000000"/>
              <w:rPr>
                <w:sz w:val="22"/>
              </w:rPr>
            </w:pPr>
            <w:r w:rsidRPr="00322153">
              <w:rPr>
                <w:sz w:val="22"/>
              </w:rPr>
              <w:t>45-95</w:t>
            </w:r>
          </w:p>
        </w:tc>
        <w:tc>
          <w:tcPr>
            <w:tcW w:w="440" w:type="pct"/>
          </w:tcPr>
          <w:p w:rsidR="0048464B" w:rsidRPr="00322153" w:rsidRDefault="0048464B" w:rsidP="00F83382">
            <w:pPr>
              <w:jc w:val="center"/>
              <w:cnfStyle w:val="000000000000"/>
              <w:rPr>
                <w:sz w:val="22"/>
              </w:rPr>
            </w:pPr>
            <w:r w:rsidRPr="00322153">
              <w:rPr>
                <w:sz w:val="22"/>
              </w:rPr>
              <w:t>&lt;6</w:t>
            </w:r>
          </w:p>
        </w:tc>
        <w:tc>
          <w:tcPr>
            <w:tcW w:w="509" w:type="pct"/>
          </w:tcPr>
          <w:p w:rsidR="0048464B" w:rsidRPr="00322153" w:rsidRDefault="0048464B" w:rsidP="00F83382">
            <w:pPr>
              <w:jc w:val="center"/>
              <w:cnfStyle w:val="000000000000"/>
              <w:rPr>
                <w:sz w:val="22"/>
              </w:rPr>
            </w:pPr>
            <w:r w:rsidRPr="00322153">
              <w:rPr>
                <w:sz w:val="22"/>
              </w:rPr>
              <w:t>&lt;70</w:t>
            </w:r>
          </w:p>
        </w:tc>
        <w:tc>
          <w:tcPr>
            <w:tcW w:w="568" w:type="pct"/>
          </w:tcPr>
          <w:p w:rsidR="0048464B" w:rsidRPr="00322153" w:rsidRDefault="0048464B" w:rsidP="00F83382">
            <w:pPr>
              <w:jc w:val="center"/>
              <w:cnfStyle w:val="000000000000"/>
              <w:rPr>
                <w:sz w:val="22"/>
              </w:rPr>
            </w:pPr>
            <w:r w:rsidRPr="00322153">
              <w:rPr>
                <w:sz w:val="22"/>
              </w:rPr>
              <w:t>Up to 0.05</w:t>
            </w:r>
          </w:p>
        </w:tc>
        <w:tc>
          <w:tcPr>
            <w:tcW w:w="636" w:type="pct"/>
          </w:tcPr>
          <w:p w:rsidR="0048464B" w:rsidRPr="00322153" w:rsidRDefault="0048464B" w:rsidP="00F83382">
            <w:pPr>
              <w:jc w:val="center"/>
              <w:cnfStyle w:val="000000000000"/>
              <w:rPr>
                <w:sz w:val="22"/>
              </w:rPr>
            </w:pPr>
            <w:r w:rsidRPr="00322153">
              <w:rPr>
                <w:sz w:val="22"/>
              </w:rPr>
              <w:t>&gt;10</w:t>
            </w:r>
          </w:p>
        </w:tc>
        <w:tc>
          <w:tcPr>
            <w:tcW w:w="342" w:type="pct"/>
          </w:tcPr>
          <w:p w:rsidR="0048464B" w:rsidRPr="00322153" w:rsidRDefault="0048464B" w:rsidP="00F83382">
            <w:pPr>
              <w:jc w:val="center"/>
              <w:cnfStyle w:val="000000000000"/>
              <w:rPr>
                <w:sz w:val="22"/>
              </w:rPr>
            </w:pPr>
            <w:r w:rsidRPr="00322153">
              <w:rPr>
                <w:sz w:val="22"/>
              </w:rPr>
              <w:t>&gt;35</w:t>
            </w:r>
          </w:p>
        </w:tc>
        <w:tc>
          <w:tcPr>
            <w:tcW w:w="538" w:type="pct"/>
          </w:tcPr>
          <w:p w:rsidR="0048464B" w:rsidRPr="00322153" w:rsidRDefault="0048464B" w:rsidP="00F83382">
            <w:pPr>
              <w:jc w:val="center"/>
              <w:cnfStyle w:val="000000000000"/>
              <w:rPr>
                <w:sz w:val="22"/>
              </w:rPr>
            </w:pPr>
            <w:r w:rsidRPr="00322153">
              <w:rPr>
                <w:sz w:val="22"/>
              </w:rPr>
              <w:t>&gt;13</w:t>
            </w:r>
          </w:p>
        </w:tc>
        <w:tc>
          <w:tcPr>
            <w:tcW w:w="551" w:type="pct"/>
          </w:tcPr>
          <w:p w:rsidR="0048464B" w:rsidRPr="00322153" w:rsidRDefault="0048464B" w:rsidP="00F83382">
            <w:pPr>
              <w:jc w:val="center"/>
              <w:cnfStyle w:val="000000000000"/>
              <w:rPr>
                <w:sz w:val="22"/>
              </w:rPr>
            </w:pPr>
            <w:r w:rsidRPr="00322153">
              <w:rPr>
                <w:sz w:val="22"/>
              </w:rPr>
              <w:t>&lt;75</w:t>
            </w:r>
          </w:p>
        </w:tc>
      </w:tr>
      <w:tr w:rsidR="0048464B" w:rsidRPr="00322153" w:rsidTr="00F83382">
        <w:trPr>
          <w:cnfStyle w:val="000000100000"/>
        </w:trPr>
        <w:tc>
          <w:tcPr>
            <w:cnfStyle w:val="001000000000"/>
            <w:tcW w:w="780" w:type="pct"/>
          </w:tcPr>
          <w:p w:rsidR="0048464B" w:rsidRPr="00D10C92" w:rsidRDefault="0048464B" w:rsidP="00F83382">
            <w:pPr>
              <w:jc w:val="center"/>
              <w:rPr>
                <w:sz w:val="22"/>
                <w:szCs w:val="24"/>
              </w:rPr>
            </w:pPr>
            <w:r w:rsidRPr="00D10C92">
              <w:rPr>
                <w:sz w:val="22"/>
                <w:szCs w:val="24"/>
              </w:rPr>
              <w:t>Scenario 2 (Moderate)</w:t>
            </w:r>
          </w:p>
        </w:tc>
        <w:tc>
          <w:tcPr>
            <w:tcW w:w="636" w:type="pct"/>
          </w:tcPr>
          <w:p w:rsidR="0048464B" w:rsidRPr="00322153" w:rsidRDefault="0048464B" w:rsidP="00F83382">
            <w:pPr>
              <w:jc w:val="center"/>
              <w:cnfStyle w:val="000000100000"/>
              <w:rPr>
                <w:sz w:val="22"/>
              </w:rPr>
            </w:pPr>
            <w:r w:rsidRPr="00322153">
              <w:rPr>
                <w:sz w:val="22"/>
              </w:rPr>
              <w:t>60-100</w:t>
            </w:r>
          </w:p>
        </w:tc>
        <w:tc>
          <w:tcPr>
            <w:tcW w:w="440" w:type="pct"/>
          </w:tcPr>
          <w:p w:rsidR="0048464B" w:rsidRPr="00322153" w:rsidRDefault="0048464B" w:rsidP="00F83382">
            <w:pPr>
              <w:jc w:val="center"/>
              <w:cnfStyle w:val="000000100000"/>
              <w:rPr>
                <w:sz w:val="22"/>
              </w:rPr>
            </w:pPr>
            <w:r w:rsidRPr="00322153">
              <w:rPr>
                <w:sz w:val="22"/>
              </w:rPr>
              <w:t>12-24</w:t>
            </w:r>
          </w:p>
        </w:tc>
        <w:tc>
          <w:tcPr>
            <w:tcW w:w="509" w:type="pct"/>
          </w:tcPr>
          <w:p w:rsidR="0048464B" w:rsidRPr="00322153" w:rsidRDefault="0048464B" w:rsidP="00F83382">
            <w:pPr>
              <w:jc w:val="center"/>
              <w:cnfStyle w:val="000000100000"/>
              <w:rPr>
                <w:sz w:val="22"/>
              </w:rPr>
            </w:pPr>
            <w:r w:rsidRPr="00322153">
              <w:rPr>
                <w:sz w:val="22"/>
              </w:rPr>
              <w:t>70-100</w:t>
            </w:r>
          </w:p>
        </w:tc>
        <w:tc>
          <w:tcPr>
            <w:tcW w:w="568" w:type="pct"/>
          </w:tcPr>
          <w:p w:rsidR="0048464B" w:rsidRPr="00322153" w:rsidRDefault="0048464B" w:rsidP="00F83382">
            <w:pPr>
              <w:jc w:val="center"/>
              <w:cnfStyle w:val="000000100000"/>
              <w:rPr>
                <w:sz w:val="22"/>
              </w:rPr>
            </w:pPr>
            <w:r w:rsidRPr="00322153">
              <w:rPr>
                <w:sz w:val="22"/>
              </w:rPr>
              <w:t>0.05-0.01</w:t>
            </w:r>
          </w:p>
        </w:tc>
        <w:tc>
          <w:tcPr>
            <w:tcW w:w="636" w:type="pct"/>
          </w:tcPr>
          <w:p w:rsidR="0048464B" w:rsidRPr="00322153" w:rsidRDefault="0048464B" w:rsidP="00F83382">
            <w:pPr>
              <w:jc w:val="center"/>
              <w:cnfStyle w:val="000000100000"/>
              <w:rPr>
                <w:sz w:val="22"/>
              </w:rPr>
            </w:pPr>
            <w:r w:rsidRPr="00322153">
              <w:rPr>
                <w:sz w:val="22"/>
              </w:rPr>
              <w:t>&gt;0-10</w:t>
            </w:r>
          </w:p>
        </w:tc>
        <w:tc>
          <w:tcPr>
            <w:tcW w:w="342" w:type="pct"/>
          </w:tcPr>
          <w:p w:rsidR="0048464B" w:rsidRPr="00322153" w:rsidRDefault="0048464B" w:rsidP="00F83382">
            <w:pPr>
              <w:jc w:val="center"/>
              <w:cnfStyle w:val="000000100000"/>
              <w:rPr>
                <w:sz w:val="22"/>
              </w:rPr>
            </w:pPr>
            <w:r w:rsidRPr="00322153">
              <w:rPr>
                <w:sz w:val="22"/>
              </w:rPr>
              <w:t>20-35</w:t>
            </w:r>
          </w:p>
        </w:tc>
        <w:tc>
          <w:tcPr>
            <w:tcW w:w="538" w:type="pct"/>
          </w:tcPr>
          <w:p w:rsidR="0048464B" w:rsidRPr="00322153" w:rsidRDefault="0048464B" w:rsidP="00F83382">
            <w:pPr>
              <w:jc w:val="center"/>
              <w:cnfStyle w:val="000000100000"/>
              <w:rPr>
                <w:sz w:val="22"/>
              </w:rPr>
            </w:pPr>
            <w:r w:rsidRPr="00322153">
              <w:rPr>
                <w:sz w:val="22"/>
              </w:rPr>
              <w:t>10-13</w:t>
            </w:r>
          </w:p>
        </w:tc>
        <w:tc>
          <w:tcPr>
            <w:tcW w:w="551" w:type="pct"/>
          </w:tcPr>
          <w:p w:rsidR="0048464B" w:rsidRPr="00322153" w:rsidRDefault="0048464B" w:rsidP="00F83382">
            <w:pPr>
              <w:jc w:val="center"/>
              <w:cnfStyle w:val="000000100000"/>
              <w:rPr>
                <w:sz w:val="22"/>
              </w:rPr>
            </w:pPr>
            <w:r w:rsidRPr="00322153">
              <w:rPr>
                <w:sz w:val="22"/>
              </w:rPr>
              <w:t>75-95</w:t>
            </w:r>
          </w:p>
        </w:tc>
      </w:tr>
      <w:tr w:rsidR="0048464B" w:rsidRPr="00322153" w:rsidTr="00F83382">
        <w:tc>
          <w:tcPr>
            <w:cnfStyle w:val="001000000000"/>
            <w:tcW w:w="780" w:type="pct"/>
          </w:tcPr>
          <w:p w:rsidR="0048464B" w:rsidRPr="00D10C92" w:rsidRDefault="0048464B" w:rsidP="00F83382">
            <w:pPr>
              <w:jc w:val="center"/>
              <w:rPr>
                <w:sz w:val="22"/>
                <w:szCs w:val="24"/>
              </w:rPr>
            </w:pPr>
            <w:r w:rsidRPr="00D10C92">
              <w:rPr>
                <w:sz w:val="22"/>
                <w:szCs w:val="24"/>
              </w:rPr>
              <w:t>Scenario 3 (High)</w:t>
            </w:r>
          </w:p>
        </w:tc>
        <w:tc>
          <w:tcPr>
            <w:tcW w:w="636" w:type="pct"/>
          </w:tcPr>
          <w:p w:rsidR="0048464B" w:rsidRPr="00322153" w:rsidRDefault="0048464B" w:rsidP="00F83382">
            <w:pPr>
              <w:jc w:val="center"/>
              <w:cnfStyle w:val="000000000000"/>
              <w:rPr>
                <w:sz w:val="22"/>
              </w:rPr>
            </w:pPr>
            <w:r w:rsidRPr="00322153">
              <w:rPr>
                <w:sz w:val="22"/>
              </w:rPr>
              <w:t>75-100</w:t>
            </w:r>
          </w:p>
        </w:tc>
        <w:tc>
          <w:tcPr>
            <w:tcW w:w="440" w:type="pct"/>
          </w:tcPr>
          <w:p w:rsidR="0048464B" w:rsidRPr="00322153" w:rsidRDefault="0048464B" w:rsidP="00F83382">
            <w:pPr>
              <w:jc w:val="center"/>
              <w:cnfStyle w:val="000000000000"/>
              <w:rPr>
                <w:sz w:val="22"/>
              </w:rPr>
            </w:pPr>
            <w:r w:rsidRPr="00322153">
              <w:rPr>
                <w:sz w:val="22"/>
              </w:rPr>
              <w:t>24</w:t>
            </w:r>
          </w:p>
        </w:tc>
        <w:tc>
          <w:tcPr>
            <w:tcW w:w="509" w:type="pct"/>
          </w:tcPr>
          <w:p w:rsidR="0048464B" w:rsidRPr="00322153" w:rsidRDefault="0048464B" w:rsidP="00F83382">
            <w:pPr>
              <w:jc w:val="center"/>
              <w:cnfStyle w:val="000000000000"/>
              <w:rPr>
                <w:sz w:val="22"/>
              </w:rPr>
            </w:pPr>
            <w:r w:rsidRPr="00322153">
              <w:rPr>
                <w:sz w:val="22"/>
              </w:rPr>
              <w:t>&gt;100</w:t>
            </w:r>
          </w:p>
        </w:tc>
        <w:tc>
          <w:tcPr>
            <w:tcW w:w="568" w:type="pct"/>
          </w:tcPr>
          <w:p w:rsidR="0048464B" w:rsidRPr="00322153" w:rsidRDefault="0048464B" w:rsidP="00F83382">
            <w:pPr>
              <w:jc w:val="center"/>
              <w:cnfStyle w:val="000000000000"/>
              <w:rPr>
                <w:sz w:val="22"/>
              </w:rPr>
            </w:pPr>
            <w:r w:rsidRPr="00322153">
              <w:rPr>
                <w:sz w:val="22"/>
              </w:rPr>
              <w:t>&lt;0.01</w:t>
            </w:r>
          </w:p>
        </w:tc>
        <w:tc>
          <w:tcPr>
            <w:tcW w:w="636" w:type="pct"/>
          </w:tcPr>
          <w:p w:rsidR="0048464B" w:rsidRPr="00322153" w:rsidRDefault="0048464B" w:rsidP="00F83382">
            <w:pPr>
              <w:jc w:val="center"/>
              <w:cnfStyle w:val="000000000000"/>
              <w:rPr>
                <w:sz w:val="22"/>
              </w:rPr>
            </w:pPr>
            <w:r w:rsidRPr="00322153">
              <w:rPr>
                <w:sz w:val="22"/>
              </w:rPr>
              <w:t>0</w:t>
            </w:r>
          </w:p>
        </w:tc>
        <w:tc>
          <w:tcPr>
            <w:tcW w:w="342" w:type="pct"/>
          </w:tcPr>
          <w:p w:rsidR="0048464B" w:rsidRPr="00322153" w:rsidRDefault="0048464B" w:rsidP="00F83382">
            <w:pPr>
              <w:jc w:val="center"/>
              <w:cnfStyle w:val="000000000000"/>
              <w:rPr>
                <w:sz w:val="22"/>
              </w:rPr>
            </w:pPr>
            <w:r w:rsidRPr="00322153">
              <w:rPr>
                <w:sz w:val="22"/>
              </w:rPr>
              <w:t>&lt;20</w:t>
            </w:r>
          </w:p>
        </w:tc>
        <w:tc>
          <w:tcPr>
            <w:tcW w:w="538" w:type="pct"/>
          </w:tcPr>
          <w:p w:rsidR="0048464B" w:rsidRPr="00322153" w:rsidRDefault="0048464B" w:rsidP="00F83382">
            <w:pPr>
              <w:jc w:val="center"/>
              <w:cnfStyle w:val="000000000000"/>
              <w:rPr>
                <w:sz w:val="22"/>
              </w:rPr>
            </w:pPr>
            <w:r w:rsidRPr="00322153">
              <w:rPr>
                <w:sz w:val="22"/>
              </w:rPr>
              <w:t>&lt;10</w:t>
            </w:r>
          </w:p>
        </w:tc>
        <w:tc>
          <w:tcPr>
            <w:tcW w:w="551" w:type="pct"/>
          </w:tcPr>
          <w:p w:rsidR="0048464B" w:rsidRPr="00322153" w:rsidRDefault="0048464B" w:rsidP="00F83382">
            <w:pPr>
              <w:jc w:val="center"/>
              <w:cnfStyle w:val="000000000000"/>
              <w:rPr>
                <w:sz w:val="22"/>
              </w:rPr>
            </w:pPr>
            <w:r w:rsidRPr="00322153">
              <w:rPr>
                <w:sz w:val="22"/>
              </w:rPr>
              <w:t>&gt;95</w:t>
            </w:r>
          </w:p>
        </w:tc>
      </w:tr>
    </w:tbl>
    <w:p w:rsidR="0048464B" w:rsidRDefault="0048464B" w:rsidP="0048464B">
      <w:pPr>
        <w:spacing w:before="120" w:line="276" w:lineRule="auto"/>
        <w:jc w:val="both"/>
        <w:rPr>
          <w:b/>
          <w:i/>
          <w:sz w:val="20"/>
          <w:szCs w:val="24"/>
        </w:rPr>
      </w:pPr>
      <w:r w:rsidRPr="007B4595">
        <w:rPr>
          <w:b/>
          <w:i/>
          <w:sz w:val="20"/>
          <w:szCs w:val="24"/>
        </w:rPr>
        <w:t>Source: L</w:t>
      </w:r>
      <w:r>
        <w:rPr>
          <w:b/>
          <w:i/>
          <w:sz w:val="20"/>
          <w:szCs w:val="24"/>
        </w:rPr>
        <w:t>ocal Government Division</w:t>
      </w:r>
    </w:p>
    <w:p w:rsidR="0048464B" w:rsidRPr="00BB22DF" w:rsidRDefault="0048464B" w:rsidP="003D5A31">
      <w:pPr>
        <w:pStyle w:val="BodyText"/>
        <w:numPr>
          <w:ilvl w:val="2"/>
          <w:numId w:val="156"/>
        </w:numPr>
        <w:spacing w:after="240" w:line="276" w:lineRule="auto"/>
        <w:jc w:val="both"/>
        <w:rPr>
          <w:rFonts w:cs="Times New Roman"/>
          <w:b/>
          <w:szCs w:val="24"/>
        </w:rPr>
      </w:pPr>
      <w:r w:rsidRPr="00BB22DF">
        <w:rPr>
          <w:rFonts w:cs="Times New Roman"/>
          <w:b/>
          <w:szCs w:val="24"/>
        </w:rPr>
        <w:t xml:space="preserve">Institutional Arrangements for Urban Water Supply </w:t>
      </w:r>
    </w:p>
    <w:p w:rsidR="0048464B" w:rsidRPr="007E1182" w:rsidRDefault="0048464B" w:rsidP="0048464B">
      <w:pPr>
        <w:spacing w:line="276" w:lineRule="auto"/>
        <w:jc w:val="both"/>
        <w:rPr>
          <w:rFonts w:cs="Times New Roman"/>
          <w:color w:val="000000"/>
          <w:szCs w:val="24"/>
        </w:rPr>
      </w:pPr>
      <w:r w:rsidRPr="007E1182">
        <w:rPr>
          <w:rFonts w:cs="Times New Roman"/>
          <w:color w:val="000000" w:themeColor="text1"/>
          <w:szCs w:val="24"/>
        </w:rPr>
        <w:t xml:space="preserve">In Bangladesh, the constitutional responsibility of the Water Supply and Sanitation (WSS) lies mainly in government’s hand. Predominantly, this responsibility is bestowed in the Ministry of Local Government, Rural Development and Cooperatives (MoLGRD&amp;C). </w:t>
      </w:r>
      <w:r w:rsidRPr="007E1182">
        <w:rPr>
          <w:rFonts w:cs="Times New Roman"/>
          <w:color w:val="000000"/>
          <w:szCs w:val="24"/>
        </w:rPr>
        <w:t xml:space="preserve">It remains accountable for a large portion of the main implementation and supervision responsibilities regarding public sector WSS in the country, mainly through its subordinate departments. </w:t>
      </w:r>
      <w:r w:rsidRPr="007E1182">
        <w:rPr>
          <w:rFonts w:cs="Times New Roman"/>
          <w:color w:val="000000" w:themeColor="text1"/>
          <w:szCs w:val="24"/>
        </w:rPr>
        <w:t xml:space="preserve">But the tasks of policy making, decision assembling, sectoral allocation and funding, as well as project appraisals, approval, evaluation and monitoring are shared with the Ministry of Planning and the Ministry of Finance. </w:t>
      </w:r>
    </w:p>
    <w:p w:rsidR="0048464B" w:rsidRPr="007E1182" w:rsidRDefault="0048464B" w:rsidP="0048464B">
      <w:pPr>
        <w:spacing w:line="276" w:lineRule="auto"/>
        <w:jc w:val="both"/>
        <w:rPr>
          <w:rFonts w:cs="Times New Roman"/>
          <w:color w:val="000000" w:themeColor="text1"/>
          <w:szCs w:val="24"/>
        </w:rPr>
      </w:pPr>
      <w:r w:rsidRPr="007E1182">
        <w:rPr>
          <w:rFonts w:cs="Times New Roman"/>
          <w:color w:val="000000" w:themeColor="text1"/>
          <w:szCs w:val="24"/>
        </w:rPr>
        <w:t>For major infrastructure development and operations, th</w:t>
      </w:r>
      <w:r>
        <w:rPr>
          <w:rFonts w:cs="Times New Roman"/>
          <w:color w:val="000000" w:themeColor="text1"/>
          <w:szCs w:val="24"/>
        </w:rPr>
        <w:t xml:space="preserve">e functional responsibility is assigned </w:t>
      </w:r>
      <w:r w:rsidRPr="007E1182">
        <w:rPr>
          <w:rFonts w:cs="Times New Roman"/>
          <w:color w:val="000000" w:themeColor="text1"/>
          <w:szCs w:val="24"/>
        </w:rPr>
        <w:t xml:space="preserve">to the Department of Public Health Engineering (DPHE) </w:t>
      </w:r>
      <w:r>
        <w:rPr>
          <w:rFonts w:cs="Times New Roman"/>
          <w:color w:val="000000" w:themeColor="text1"/>
          <w:szCs w:val="24"/>
        </w:rPr>
        <w:t xml:space="preserve">of the local government ministry </w:t>
      </w:r>
      <w:r w:rsidRPr="007E1182">
        <w:rPr>
          <w:rFonts w:cs="Times New Roman"/>
          <w:color w:val="000000" w:themeColor="text1"/>
          <w:szCs w:val="24"/>
        </w:rPr>
        <w:t xml:space="preserve">in all </w:t>
      </w:r>
      <w:r w:rsidRPr="007E1182">
        <w:rPr>
          <w:rFonts w:cs="Times New Roman"/>
          <w:color w:val="000000" w:themeColor="text1"/>
          <w:szCs w:val="24"/>
        </w:rPr>
        <w:lastRenderedPageBreak/>
        <w:t>urban and rural areas, exce</w:t>
      </w:r>
      <w:r>
        <w:rPr>
          <w:rFonts w:cs="Times New Roman"/>
          <w:color w:val="000000" w:themeColor="text1"/>
          <w:szCs w:val="24"/>
        </w:rPr>
        <w:t xml:space="preserve">pt Dhaka, Chittagong, Khulna and Rajshahi.  In these large cities, </w:t>
      </w:r>
      <w:r w:rsidRPr="007E1182">
        <w:rPr>
          <w:rFonts w:cs="Times New Roman"/>
          <w:color w:val="000000" w:themeColor="text1"/>
          <w:szCs w:val="24"/>
        </w:rPr>
        <w:t xml:space="preserve">separate Water Supply and Sewerage Authorities (WASAs) are accountable for the connection and conservation of services facilities. </w:t>
      </w:r>
      <w:r>
        <w:rPr>
          <w:rFonts w:cs="Times New Roman"/>
          <w:color w:val="000000" w:themeColor="text1"/>
          <w:szCs w:val="24"/>
        </w:rPr>
        <w:t xml:space="preserve">The Dhaka WASA also provides services to the city of Narayanganj, while </w:t>
      </w:r>
      <w:r w:rsidRPr="0050663D">
        <w:rPr>
          <w:rFonts w:cs="Times New Roman"/>
          <w:bCs/>
          <w:i/>
          <w:szCs w:val="24"/>
        </w:rPr>
        <w:t>Rajshahi WASA also serves the city of Rangpur.  All WSS outside WASA areas are covered by the DPHE.</w:t>
      </w:r>
      <w:r>
        <w:rPr>
          <w:rFonts w:cs="Times New Roman"/>
          <w:color w:val="000000" w:themeColor="text1"/>
          <w:szCs w:val="24"/>
        </w:rPr>
        <w:t xml:space="preserve">  </w:t>
      </w:r>
      <w:r w:rsidRPr="007E1182">
        <w:rPr>
          <w:rFonts w:cs="Times New Roman"/>
          <w:color w:val="000000"/>
          <w:szCs w:val="24"/>
        </w:rPr>
        <w:t xml:space="preserve">It constructs water supply facilities for the municipalities and transfers ownership of infrastructure to the </w:t>
      </w:r>
      <w:r>
        <w:rPr>
          <w:rFonts w:cs="Times New Roman"/>
          <w:color w:val="000000"/>
          <w:szCs w:val="24"/>
        </w:rPr>
        <w:t>concerned municipality</w:t>
      </w:r>
      <w:r w:rsidRPr="007E1182">
        <w:rPr>
          <w:rFonts w:cs="Times New Roman"/>
          <w:color w:val="000000"/>
          <w:szCs w:val="24"/>
        </w:rPr>
        <w:t xml:space="preserve"> after three years of joint operation without any charge for the capital cost recovery. Non-recovery of capital </w:t>
      </w:r>
      <w:r>
        <w:rPr>
          <w:rFonts w:cs="Times New Roman"/>
          <w:color w:val="000000"/>
          <w:szCs w:val="24"/>
        </w:rPr>
        <w:t xml:space="preserve">cost </w:t>
      </w:r>
      <w:r w:rsidRPr="007E1182">
        <w:rPr>
          <w:rFonts w:cs="Times New Roman"/>
          <w:color w:val="000000"/>
          <w:szCs w:val="24"/>
        </w:rPr>
        <w:t>leads to low tariff charge by the municipalities for the service.</w:t>
      </w:r>
      <w:r>
        <w:rPr>
          <w:rFonts w:cs="Times New Roman"/>
          <w:color w:val="000000"/>
          <w:szCs w:val="24"/>
        </w:rPr>
        <w:t xml:space="preserve"> DPHE</w:t>
      </w:r>
      <w:r w:rsidRPr="007E1182">
        <w:rPr>
          <w:rFonts w:cs="Times New Roman"/>
          <w:color w:val="000000"/>
          <w:szCs w:val="24"/>
        </w:rPr>
        <w:t xml:space="preserve"> also provides low cost sanitary materials to poor households for the construction of sanitary latrines with the vision of ensuring 100% sanitation coverage in the country. </w:t>
      </w:r>
      <w:r w:rsidRPr="007E1182">
        <w:rPr>
          <w:rFonts w:cs="Times New Roman"/>
          <w:color w:val="000000" w:themeColor="text1"/>
          <w:szCs w:val="24"/>
        </w:rPr>
        <w:t xml:space="preserve">Provision of technical assistance to the local bodies like Pourashavas and City Corporations (except WASA areas) is also considered to be its foremost concern. </w:t>
      </w:r>
    </w:p>
    <w:p w:rsidR="0048464B" w:rsidRPr="007E1182" w:rsidRDefault="0048464B" w:rsidP="0048464B">
      <w:pPr>
        <w:spacing w:line="276" w:lineRule="auto"/>
        <w:jc w:val="both"/>
        <w:rPr>
          <w:rFonts w:cs="Times New Roman"/>
          <w:color w:val="000000" w:themeColor="text1"/>
          <w:szCs w:val="24"/>
        </w:rPr>
      </w:pPr>
      <w:r w:rsidRPr="007E1182">
        <w:rPr>
          <w:rFonts w:cs="Times New Roman"/>
          <w:color w:val="000000" w:themeColor="text1"/>
          <w:szCs w:val="24"/>
        </w:rPr>
        <w:t>Relevant WASAs are responsible to undertake necessary water supply and sanitation programs in Dhaka, Chittagong, Narayanganj, Khulna, Rangpur and Rajshahi city areas. Any type of program like infrastructure development, installation and maintenance of water and sanitation management system in the respective areas becomes their primary vision. The activities of the Pourashavas Water Supply Sections (PWSS) are mostly confined to the operation of pumps and reactive maintenance of the existing systems. These agencies only remain project and hardware-based lacking orientation in process-based approaches.</w:t>
      </w:r>
    </w:p>
    <w:p w:rsidR="0048464B" w:rsidRPr="007E1182" w:rsidRDefault="0048464B" w:rsidP="0048464B">
      <w:pPr>
        <w:spacing w:line="276" w:lineRule="auto"/>
        <w:jc w:val="both"/>
        <w:rPr>
          <w:rFonts w:cs="Times New Roman"/>
          <w:color w:val="000000" w:themeColor="text1"/>
          <w:szCs w:val="24"/>
        </w:rPr>
      </w:pPr>
      <w:r w:rsidRPr="007E1182">
        <w:rPr>
          <w:rFonts w:cs="Times New Roman"/>
          <w:color w:val="000000" w:themeColor="text1"/>
          <w:szCs w:val="24"/>
        </w:rPr>
        <w:t xml:space="preserve">The City Corporations in Dhaka, Chittagong, Khulna, Sylhet and Rajshahi as well as municipalities in other urban centers have responsibilities also in the management, operation and treatment of wastewater and maintaining a sanitary environment within their boundary. </w:t>
      </w:r>
    </w:p>
    <w:p w:rsidR="0048464B" w:rsidRPr="007E1182" w:rsidRDefault="0048464B" w:rsidP="0048464B">
      <w:pPr>
        <w:spacing w:line="276" w:lineRule="auto"/>
        <w:jc w:val="both"/>
        <w:rPr>
          <w:rFonts w:cs="Times New Roman"/>
          <w:color w:val="000000"/>
          <w:szCs w:val="24"/>
        </w:rPr>
      </w:pPr>
      <w:r>
        <w:rPr>
          <w:rFonts w:cs="Times New Roman"/>
          <w:color w:val="000000" w:themeColor="text1"/>
          <w:szCs w:val="24"/>
        </w:rPr>
        <w:t>LGED</w:t>
      </w:r>
      <w:r w:rsidRPr="007E1182">
        <w:rPr>
          <w:rFonts w:cs="Times New Roman"/>
          <w:color w:val="000000" w:themeColor="text1"/>
          <w:szCs w:val="24"/>
        </w:rPr>
        <w:t xml:space="preserve"> shares its responsibilities in some urban centers with DPHE for water supply and sanitation services. To be specific, foreign aided projects where overall infrastructure package is explicitly required, there LGED plays a significant role in collaboration with DPHE. In such externally supported integrated project-based cases, LGED provides vivacious assistance to the concerned municipalities in their execution activities and provides required technical assistance. </w:t>
      </w:r>
    </w:p>
    <w:p w:rsidR="0048464B" w:rsidRPr="007E1182" w:rsidRDefault="0048464B" w:rsidP="0048464B">
      <w:pPr>
        <w:spacing w:line="276" w:lineRule="auto"/>
        <w:jc w:val="both"/>
        <w:rPr>
          <w:rFonts w:cs="Times New Roman"/>
          <w:color w:val="000000" w:themeColor="text1"/>
          <w:szCs w:val="24"/>
        </w:rPr>
      </w:pPr>
      <w:r w:rsidRPr="007E1182">
        <w:rPr>
          <w:rFonts w:cs="Times New Roman"/>
          <w:color w:val="000000" w:themeColor="text1"/>
          <w:szCs w:val="24"/>
        </w:rPr>
        <w:t>There are many NGOs who are working as active stakeholders in water and sanitation programs. They finance and implement a variety of water and sanitation programs in both urban and rural areas. They provide hardware support, advocacy, networking, institution building, training, information, research, evaluation and monitoring service. Private sector response in WSS service provisions is very promising since private hand pumps comprise almost 88% of total urban hand pumps. NGOs and private s</w:t>
      </w:r>
      <w:r>
        <w:rPr>
          <w:rFonts w:cs="Times New Roman"/>
          <w:color w:val="000000" w:themeColor="text1"/>
          <w:szCs w:val="24"/>
        </w:rPr>
        <w:t xml:space="preserve">ector investment is </w:t>
      </w:r>
      <w:r w:rsidRPr="007E1182">
        <w:rPr>
          <w:rFonts w:cs="Times New Roman"/>
          <w:color w:val="000000" w:themeColor="text1"/>
          <w:szCs w:val="24"/>
        </w:rPr>
        <w:t xml:space="preserve">mostly </w:t>
      </w:r>
      <w:r>
        <w:rPr>
          <w:rFonts w:cs="Times New Roman"/>
          <w:color w:val="000000" w:themeColor="text1"/>
          <w:szCs w:val="24"/>
        </w:rPr>
        <w:t xml:space="preserve">concentrated </w:t>
      </w:r>
      <w:r w:rsidRPr="007E1182">
        <w:rPr>
          <w:rFonts w:cs="Times New Roman"/>
          <w:color w:val="000000" w:themeColor="text1"/>
          <w:szCs w:val="24"/>
        </w:rPr>
        <w:t>in the manufacturing, sale and distribution of different types of WSS compone</w:t>
      </w:r>
      <w:r>
        <w:rPr>
          <w:rFonts w:cs="Times New Roman"/>
          <w:color w:val="000000" w:themeColor="text1"/>
          <w:szCs w:val="24"/>
        </w:rPr>
        <w:t>nts. They also contribute to</w:t>
      </w:r>
      <w:r w:rsidRPr="007E1182">
        <w:rPr>
          <w:rFonts w:cs="Times New Roman"/>
          <w:color w:val="000000" w:themeColor="text1"/>
          <w:szCs w:val="24"/>
        </w:rPr>
        <w:t xml:space="preserve"> the installation of piped water </w:t>
      </w:r>
      <w:r>
        <w:rPr>
          <w:rFonts w:cs="Times New Roman"/>
          <w:color w:val="000000" w:themeColor="text1"/>
          <w:szCs w:val="24"/>
        </w:rPr>
        <w:t xml:space="preserve">supply system, wherever </w:t>
      </w:r>
      <w:r w:rsidRPr="007E1182">
        <w:rPr>
          <w:rFonts w:cs="Times New Roman"/>
          <w:color w:val="000000" w:themeColor="text1"/>
          <w:szCs w:val="24"/>
        </w:rPr>
        <w:t xml:space="preserve">feasible. DPHE, NGOs, private sectors and CBOs frequently collaborate with one another for the provision of better services in the WSS sector. </w:t>
      </w:r>
    </w:p>
    <w:p w:rsidR="0048464B" w:rsidRDefault="0048464B" w:rsidP="0048464B">
      <w:pPr>
        <w:spacing w:line="276" w:lineRule="auto"/>
        <w:jc w:val="both"/>
        <w:rPr>
          <w:rFonts w:cs="Times New Roman"/>
          <w:color w:val="000000"/>
          <w:szCs w:val="24"/>
        </w:rPr>
      </w:pPr>
      <w:r w:rsidRPr="007E1182">
        <w:rPr>
          <w:rFonts w:cs="Times New Roman"/>
          <w:color w:val="000000" w:themeColor="text1"/>
          <w:szCs w:val="24"/>
        </w:rPr>
        <w:lastRenderedPageBreak/>
        <w:t>Most often, urban water supply and sanitation programs are comprehensively reinforced by the</w:t>
      </w:r>
      <w:r>
        <w:rPr>
          <w:rFonts w:cs="Times New Roman"/>
          <w:color w:val="000000" w:themeColor="text1"/>
          <w:szCs w:val="24"/>
        </w:rPr>
        <w:t xml:space="preserve"> external support agencies</w:t>
      </w:r>
      <w:r w:rsidRPr="007E1182">
        <w:rPr>
          <w:rFonts w:cs="Times New Roman"/>
          <w:color w:val="000000" w:themeColor="text1"/>
          <w:szCs w:val="24"/>
        </w:rPr>
        <w:t xml:space="preserve"> like UNICEF, UNDP, World Bank, ADB and so on. </w:t>
      </w:r>
      <w:r w:rsidRPr="007E1182">
        <w:rPr>
          <w:rFonts w:cs="Times New Roman"/>
          <w:color w:val="000000"/>
          <w:szCs w:val="24"/>
        </w:rPr>
        <w:t>In 2000s, some new stakeholders have arrived in the scene, notably the Bangladesh Municipal Development Fund (BMDF) and the Hygiene, Sanitation and Water Services (HYSAWA) Fund. These funds are registered as government-owned companies but so far have received financing and funding only from the international agencies.</w:t>
      </w:r>
    </w:p>
    <w:p w:rsidR="0048464B" w:rsidRPr="00BB22DF" w:rsidRDefault="0048464B" w:rsidP="003D5A31">
      <w:pPr>
        <w:pStyle w:val="BodyText"/>
        <w:numPr>
          <w:ilvl w:val="2"/>
          <w:numId w:val="156"/>
        </w:numPr>
        <w:spacing w:after="240" w:line="276" w:lineRule="auto"/>
        <w:jc w:val="both"/>
        <w:rPr>
          <w:rFonts w:cs="Times New Roman"/>
          <w:b/>
          <w:szCs w:val="24"/>
        </w:rPr>
      </w:pPr>
      <w:r w:rsidRPr="00BB22DF">
        <w:rPr>
          <w:rFonts w:cs="Times New Roman"/>
          <w:b/>
          <w:szCs w:val="24"/>
        </w:rPr>
        <w:t>Existing National Policies and Plans for Urban Water Supply</w:t>
      </w:r>
    </w:p>
    <w:p w:rsidR="0048464B" w:rsidRPr="00F607EC" w:rsidRDefault="0048464B" w:rsidP="0048464B">
      <w:pPr>
        <w:spacing w:line="276" w:lineRule="auto"/>
        <w:jc w:val="both"/>
        <w:rPr>
          <w:rFonts w:cs="Times New Roman"/>
          <w:color w:val="000000" w:themeColor="text1"/>
          <w:szCs w:val="24"/>
        </w:rPr>
      </w:pPr>
      <w:r w:rsidRPr="0050663D">
        <w:rPr>
          <w:rFonts w:cs="Times New Roman"/>
          <w:bCs/>
          <w:i/>
          <w:szCs w:val="24"/>
        </w:rPr>
        <w:t>National Policy for Safe Water Supply and Sanitation initiated at 1998 mainly focuses upon the water supply procedure in urban and rural area.</w:t>
      </w:r>
      <w:r w:rsidRPr="00F607EC">
        <w:rPr>
          <w:rFonts w:cs="Times New Roman"/>
          <w:color w:val="000000" w:themeColor="text1"/>
          <w:szCs w:val="24"/>
        </w:rPr>
        <w:t xml:space="preserve"> It states that in order to make the water supply system sustainable, water would be supplied at cost instead of being free and water tariff should be determined according to the cost of water production, operation and maintenance, administration and depreciation. Although it states that WASAs and </w:t>
      </w:r>
      <w:r>
        <w:rPr>
          <w:rFonts w:cs="Times New Roman"/>
          <w:color w:val="000000" w:themeColor="text1"/>
          <w:szCs w:val="24"/>
        </w:rPr>
        <w:t>Pourashavas</w:t>
      </w:r>
      <w:r w:rsidRPr="00F607EC">
        <w:rPr>
          <w:rFonts w:cs="Times New Roman"/>
          <w:color w:val="000000" w:themeColor="text1"/>
          <w:szCs w:val="24"/>
        </w:rPr>
        <w:t xml:space="preserve"> shall be mainly responsible for operational and financial manag</w:t>
      </w:r>
      <w:r>
        <w:rPr>
          <w:rFonts w:cs="Times New Roman"/>
          <w:color w:val="000000" w:themeColor="text1"/>
          <w:szCs w:val="24"/>
        </w:rPr>
        <w:t>ement, it promotes the role</w:t>
      </w:r>
      <w:r w:rsidRPr="00F607EC">
        <w:rPr>
          <w:rFonts w:cs="Times New Roman"/>
          <w:color w:val="000000" w:themeColor="text1"/>
          <w:szCs w:val="24"/>
        </w:rPr>
        <w:t xml:space="preserve"> of the private sector and NGOs in urban water management. This policy also specified that WASAs and relevant agencies shall support the collective initiative of slums or squatters in accessing water supply services on payment. Finally, it articulates that efforts shall be made to upgrade the capacity of the Pourashavas and WASAs for planning, designing, implementation, management and human resource development and the DPHE shall have appropriate institutional linkage for this purpose.</w:t>
      </w:r>
    </w:p>
    <w:p w:rsidR="0048464B" w:rsidRPr="00F607EC" w:rsidRDefault="0048464B" w:rsidP="0048464B">
      <w:pPr>
        <w:spacing w:line="276" w:lineRule="auto"/>
        <w:jc w:val="both"/>
        <w:rPr>
          <w:rFonts w:cs="Times New Roman"/>
          <w:color w:val="000000" w:themeColor="text1"/>
          <w:szCs w:val="24"/>
        </w:rPr>
      </w:pPr>
      <w:r w:rsidRPr="00F607EC">
        <w:rPr>
          <w:rFonts w:cs="Times New Roman"/>
          <w:color w:val="000000" w:themeColor="text1"/>
          <w:szCs w:val="24"/>
        </w:rPr>
        <w:t xml:space="preserve">National Policy for Arsenic Mitigation established in 2014 provides a guideline for the mitigation of the effects of arsenic on people and environment in a sustainable and all-inclusive way. It ensures the access to safe water for drinking and cooking through implementation of alternative water supply options in all arsenic affected areas. It accentuates that all arsenic-prone areas shall be analyzed, brought under an effective management system and impact of arsenic on agricultural environment shall be assessed thoroughly. </w:t>
      </w:r>
    </w:p>
    <w:p w:rsidR="0048464B" w:rsidRPr="00F607EC" w:rsidRDefault="0048464B" w:rsidP="0048464B">
      <w:pPr>
        <w:spacing w:line="276" w:lineRule="auto"/>
        <w:jc w:val="both"/>
        <w:rPr>
          <w:rFonts w:cs="Times New Roman"/>
          <w:color w:val="000000" w:themeColor="text1"/>
          <w:szCs w:val="24"/>
        </w:rPr>
      </w:pPr>
      <w:r w:rsidRPr="00F607EC">
        <w:rPr>
          <w:rFonts w:cs="Times New Roman"/>
          <w:color w:val="000000" w:themeColor="text1"/>
          <w:szCs w:val="24"/>
        </w:rPr>
        <w:t xml:space="preserve">The WASA Act of 1996 demonstrates the nature of WASAs as public corporations and their responsibility to deliver water supply, sewerage, and storm-water drainage services. It provides for autonomous corporate management structures of WASAs which are accountable to their Board of Directors representing a range of stakeholders. This act safeguards financial control over the authority by the Government of Bangladesh and allows WASAs to increase tariffs to a maximum of 5% every year which is subjected to the approval of the Government. </w:t>
      </w:r>
    </w:p>
    <w:p w:rsidR="0048464B" w:rsidRDefault="0048464B" w:rsidP="0048464B">
      <w:pPr>
        <w:spacing w:line="276" w:lineRule="auto"/>
        <w:jc w:val="both"/>
        <w:rPr>
          <w:rFonts w:cs="Times New Roman"/>
          <w:color w:val="000000" w:themeColor="text1"/>
          <w:szCs w:val="24"/>
        </w:rPr>
      </w:pPr>
      <w:r w:rsidRPr="0050663D">
        <w:rPr>
          <w:rFonts w:cs="Times New Roman"/>
          <w:bCs/>
          <w:i/>
          <w:szCs w:val="24"/>
        </w:rPr>
        <w:t>The Water Sector Development Plan (2011-25) of Bangladesh is considered as the strategic and planning document for the sectors to achieve their national goals and targets.</w:t>
      </w:r>
      <w:r w:rsidRPr="0050663D">
        <w:rPr>
          <w:rFonts w:cs="Times New Roman"/>
          <w:i/>
          <w:szCs w:val="24"/>
        </w:rPr>
        <w:t xml:space="preserve"> </w:t>
      </w:r>
      <w:r w:rsidRPr="00F607EC">
        <w:rPr>
          <w:rFonts w:cs="Times New Roman"/>
          <w:color w:val="000000" w:themeColor="text1"/>
          <w:szCs w:val="24"/>
        </w:rPr>
        <w:t xml:space="preserve">In the revised </w:t>
      </w:r>
      <w:r>
        <w:rPr>
          <w:rFonts w:cs="Times New Roman"/>
          <w:color w:val="000000" w:themeColor="text1"/>
          <w:szCs w:val="24"/>
        </w:rPr>
        <w:t>W</w:t>
      </w:r>
      <w:r w:rsidRPr="00F607EC">
        <w:rPr>
          <w:rFonts w:cs="Times New Roman"/>
          <w:color w:val="000000" w:themeColor="text1"/>
          <w:szCs w:val="24"/>
        </w:rPr>
        <w:t xml:space="preserve">SDP, a broader consensus has been built through a series of stakeholder consultation on a set of principles related to cost recovery, which include: a) operation and maintenance of the water supply and sanitation systems, b) adoption of cost recovery measures for WSS services in the shortest possible time, c) ensuring fairness and social justice among the customers and service </w:t>
      </w:r>
      <w:r w:rsidRPr="00F607EC">
        <w:rPr>
          <w:rFonts w:cs="Times New Roman"/>
          <w:color w:val="000000" w:themeColor="text1"/>
          <w:szCs w:val="24"/>
        </w:rPr>
        <w:lastRenderedPageBreak/>
        <w:t>providers, d) providing safety net for the poor and address the needs of women, children and</w:t>
      </w:r>
      <w:r>
        <w:rPr>
          <w:rFonts w:cs="Times New Roman"/>
          <w:color w:val="000000" w:themeColor="text1"/>
          <w:szCs w:val="24"/>
        </w:rPr>
        <w:t xml:space="preserve"> people with disability. </w:t>
      </w:r>
    </w:p>
    <w:p w:rsidR="0048464B" w:rsidRPr="00BB22DF" w:rsidRDefault="0048464B" w:rsidP="003D5A31">
      <w:pPr>
        <w:pStyle w:val="BodyText"/>
        <w:numPr>
          <w:ilvl w:val="2"/>
          <w:numId w:val="156"/>
        </w:numPr>
        <w:spacing w:after="240" w:line="276" w:lineRule="auto"/>
        <w:jc w:val="both"/>
        <w:rPr>
          <w:rFonts w:cs="Times New Roman"/>
          <w:b/>
          <w:szCs w:val="24"/>
        </w:rPr>
      </w:pPr>
      <w:r w:rsidRPr="00BB22DF">
        <w:rPr>
          <w:rFonts w:cs="Times New Roman"/>
          <w:b/>
          <w:szCs w:val="24"/>
        </w:rPr>
        <w:t>Issues and challenges</w:t>
      </w:r>
    </w:p>
    <w:p w:rsidR="0048464B" w:rsidRPr="00C81AAD" w:rsidRDefault="0048464B" w:rsidP="0048464B">
      <w:pPr>
        <w:spacing w:line="276" w:lineRule="auto"/>
        <w:jc w:val="both"/>
        <w:rPr>
          <w:rFonts w:cs="Times New Roman"/>
          <w:b/>
          <w:i/>
          <w:szCs w:val="24"/>
        </w:rPr>
      </w:pPr>
      <w:r w:rsidRPr="00C81AAD">
        <w:rPr>
          <w:rFonts w:cs="Times New Roman"/>
          <w:b/>
          <w:i/>
          <w:szCs w:val="24"/>
        </w:rPr>
        <w:t>Rapid urbanization and urban poverty</w:t>
      </w:r>
    </w:p>
    <w:p w:rsidR="0048464B" w:rsidRDefault="0048464B" w:rsidP="0048464B">
      <w:pPr>
        <w:spacing w:line="276" w:lineRule="auto"/>
        <w:jc w:val="both"/>
        <w:rPr>
          <w:rFonts w:cs="Times New Roman"/>
          <w:szCs w:val="24"/>
        </w:rPr>
      </w:pPr>
      <w:r w:rsidRPr="003664FB">
        <w:rPr>
          <w:rFonts w:cs="Times New Roman"/>
          <w:szCs w:val="24"/>
        </w:rPr>
        <w:t>Rapid growth of urban population poses a serious challenge for the u</w:t>
      </w:r>
      <w:r>
        <w:rPr>
          <w:rFonts w:cs="Times New Roman"/>
          <w:szCs w:val="24"/>
        </w:rPr>
        <w:t>rban institutions responsible</w:t>
      </w:r>
      <w:r w:rsidRPr="003664FB">
        <w:rPr>
          <w:rFonts w:cs="Times New Roman"/>
          <w:szCs w:val="24"/>
        </w:rPr>
        <w:t xml:space="preserve"> for the supply of water. Piped water suppl</w:t>
      </w:r>
      <w:r>
        <w:rPr>
          <w:rFonts w:cs="Times New Roman"/>
          <w:szCs w:val="24"/>
        </w:rPr>
        <w:t>y</w:t>
      </w:r>
      <w:r w:rsidRPr="003664FB">
        <w:rPr>
          <w:rFonts w:cs="Times New Roman"/>
          <w:szCs w:val="24"/>
        </w:rPr>
        <w:t xml:space="preserve"> is a</w:t>
      </w:r>
      <w:r>
        <w:rPr>
          <w:rFonts w:cs="Times New Roman"/>
          <w:szCs w:val="24"/>
        </w:rPr>
        <w:t>v</w:t>
      </w:r>
      <w:r w:rsidRPr="003664FB">
        <w:rPr>
          <w:rFonts w:cs="Times New Roman"/>
          <w:szCs w:val="24"/>
        </w:rPr>
        <w:t>ailable only in urban areas but the coverage reaches only about 30% of the urban population. As a consequence</w:t>
      </w:r>
      <w:r>
        <w:rPr>
          <w:rFonts w:cs="Times New Roman"/>
          <w:szCs w:val="24"/>
        </w:rPr>
        <w:t>,</w:t>
      </w:r>
      <w:r w:rsidRPr="003664FB">
        <w:rPr>
          <w:rFonts w:cs="Times New Roman"/>
          <w:szCs w:val="24"/>
        </w:rPr>
        <w:t xml:space="preserve"> people have to depend on shallow hand pumps connected to each household for drinking water. In most of the city corporations and paurashavas a significant proportion of household</w:t>
      </w:r>
      <w:r>
        <w:rPr>
          <w:rFonts w:cs="Times New Roman"/>
          <w:szCs w:val="24"/>
        </w:rPr>
        <w:t>s</w:t>
      </w:r>
      <w:r w:rsidRPr="003664FB">
        <w:rPr>
          <w:rFonts w:cs="Times New Roman"/>
          <w:szCs w:val="24"/>
        </w:rPr>
        <w:t xml:space="preserve"> who are connected to piped water also rely on hand pumps for drinking water as the supply </w:t>
      </w:r>
      <w:r>
        <w:rPr>
          <w:rFonts w:cs="Times New Roman"/>
          <w:szCs w:val="24"/>
        </w:rPr>
        <w:t xml:space="preserve">of </w:t>
      </w:r>
      <w:r w:rsidRPr="003664FB">
        <w:rPr>
          <w:rFonts w:cs="Times New Roman"/>
          <w:szCs w:val="24"/>
        </w:rPr>
        <w:t>piped water is intermittent and unreliable. The poor people especially the slum dwellers are the worst sufferers</w:t>
      </w:r>
      <w:r>
        <w:rPr>
          <w:rFonts w:cs="Times New Roman"/>
          <w:szCs w:val="24"/>
        </w:rPr>
        <w:t xml:space="preserve">.  </w:t>
      </w:r>
    </w:p>
    <w:p w:rsidR="0048464B" w:rsidRDefault="0048464B" w:rsidP="0048464B">
      <w:pPr>
        <w:spacing w:line="276" w:lineRule="auto"/>
        <w:jc w:val="both"/>
        <w:rPr>
          <w:rFonts w:cs="Times New Roman"/>
          <w:szCs w:val="24"/>
        </w:rPr>
      </w:pPr>
      <w:r>
        <w:rPr>
          <w:rFonts w:cs="Times New Roman"/>
          <w:szCs w:val="24"/>
        </w:rPr>
        <w:t xml:space="preserve">As Figure 10.1 shows, </w:t>
      </w:r>
      <w:r w:rsidRPr="0050663D">
        <w:rPr>
          <w:rFonts w:cs="Times New Roman"/>
          <w:bCs/>
          <w:i/>
          <w:szCs w:val="24"/>
        </w:rPr>
        <w:t>people with lowest income (bottom quintile) depend entirely on tube-wells for drinking water. The situation is precarious in slums and squatter settlements. Slum dwellers in Dhaka reported paying per bucket of water (20 litres) several times the price paid by those who had the legal piped connection.</w:t>
      </w:r>
      <w:r w:rsidRPr="003664FB">
        <w:rPr>
          <w:rFonts w:cs="Times New Roman"/>
          <w:szCs w:val="24"/>
        </w:rPr>
        <w:t xml:space="preserve"> In addition</w:t>
      </w:r>
      <w:r>
        <w:rPr>
          <w:rFonts w:cs="Times New Roman"/>
          <w:szCs w:val="24"/>
        </w:rPr>
        <w:t>,</w:t>
      </w:r>
      <w:r w:rsidRPr="003664FB">
        <w:rPr>
          <w:rFonts w:cs="Times New Roman"/>
          <w:szCs w:val="24"/>
        </w:rPr>
        <w:t xml:space="preserve"> the quantity of water the poor get is also </w:t>
      </w:r>
      <w:r>
        <w:rPr>
          <w:rFonts w:cs="Times New Roman"/>
          <w:szCs w:val="24"/>
        </w:rPr>
        <w:t>i</w:t>
      </w:r>
      <w:r w:rsidRPr="003664FB">
        <w:rPr>
          <w:rFonts w:cs="Times New Roman"/>
          <w:szCs w:val="24"/>
        </w:rPr>
        <w:t>nsufficient. A study (</w:t>
      </w:r>
      <w:r>
        <w:rPr>
          <w:rFonts w:cs="Times New Roman"/>
          <w:szCs w:val="24"/>
        </w:rPr>
        <w:t>Baseline Survey, 2009)</w:t>
      </w:r>
      <w:r w:rsidRPr="003664FB">
        <w:rPr>
          <w:rFonts w:cs="Times New Roman"/>
          <w:szCs w:val="24"/>
        </w:rPr>
        <w:t xml:space="preserve"> conducted by Human Development Research Centre (HDRC) as part of the urban component of the GOB-UNICEF Water and Sanitation Project revealed that in smaller cities and towns, most people (79%) </w:t>
      </w:r>
      <w:r>
        <w:rPr>
          <w:rFonts w:cs="Times New Roman"/>
          <w:szCs w:val="24"/>
        </w:rPr>
        <w:t>use</w:t>
      </w:r>
      <w:r w:rsidRPr="003664FB">
        <w:rPr>
          <w:rFonts w:cs="Times New Roman"/>
          <w:szCs w:val="24"/>
        </w:rPr>
        <w:t xml:space="preserve"> shallow tube-wells and 41% are not tested for arsenic. Only 10% of the households have access to municipal piped water. Households have to carry water for household consum</w:t>
      </w:r>
      <w:r>
        <w:rPr>
          <w:rFonts w:cs="Times New Roman"/>
          <w:szCs w:val="24"/>
        </w:rPr>
        <w:t>p</w:t>
      </w:r>
      <w:r w:rsidRPr="003664FB">
        <w:rPr>
          <w:rFonts w:cs="Times New Roman"/>
          <w:szCs w:val="24"/>
        </w:rPr>
        <w:t>tion and different other purposes from an average distance of 156 feet. Only 40% of the households indi</w:t>
      </w:r>
      <w:r>
        <w:rPr>
          <w:rFonts w:cs="Times New Roman"/>
          <w:szCs w:val="24"/>
        </w:rPr>
        <w:t>v</w:t>
      </w:r>
      <w:r w:rsidRPr="003664FB">
        <w:rPr>
          <w:rFonts w:cs="Times New Roman"/>
          <w:szCs w:val="24"/>
        </w:rPr>
        <w:t xml:space="preserve">idually or </w:t>
      </w:r>
      <w:r>
        <w:rPr>
          <w:rFonts w:cs="Times New Roman"/>
          <w:szCs w:val="24"/>
        </w:rPr>
        <w:t>jointly</w:t>
      </w:r>
      <w:r w:rsidRPr="003664FB">
        <w:rPr>
          <w:rFonts w:cs="Times New Roman"/>
          <w:szCs w:val="24"/>
        </w:rPr>
        <w:t xml:space="preserve"> own the water source. </w:t>
      </w:r>
    </w:p>
    <w:p w:rsidR="0048464B" w:rsidRDefault="0048464B" w:rsidP="0048464B">
      <w:pPr>
        <w:jc w:val="center"/>
        <w:rPr>
          <w:b/>
        </w:rPr>
      </w:pPr>
      <w:bookmarkStart w:id="745" w:name="_Toc464329088"/>
    </w:p>
    <w:p w:rsidR="0048464B" w:rsidRDefault="0048464B" w:rsidP="0048464B">
      <w:pPr>
        <w:jc w:val="center"/>
        <w:rPr>
          <w:b/>
        </w:rPr>
      </w:pPr>
    </w:p>
    <w:p w:rsidR="0048464B" w:rsidRPr="00101CE9" w:rsidRDefault="0048464B" w:rsidP="0048464B">
      <w:pPr>
        <w:jc w:val="center"/>
        <w:rPr>
          <w:b/>
        </w:rPr>
      </w:pPr>
      <w:r w:rsidRPr="00101CE9">
        <w:rPr>
          <w:b/>
        </w:rPr>
        <w:t>Figure 10.1: Access to Urban Water in Bangladesh by Income Quintile, 1995 and 2008 (%)</w:t>
      </w:r>
      <w:bookmarkEnd w:id="745"/>
    </w:p>
    <w:p w:rsidR="0048464B" w:rsidRPr="003664FB" w:rsidRDefault="0048464B" w:rsidP="0048464B">
      <w:pPr>
        <w:spacing w:after="0"/>
        <w:jc w:val="center"/>
        <w:rPr>
          <w:rFonts w:cs="Times New Roman"/>
          <w:szCs w:val="24"/>
        </w:rPr>
      </w:pPr>
      <w:r>
        <w:rPr>
          <w:rFonts w:cs="Times New Roman"/>
          <w:noProof/>
          <w:szCs w:val="24"/>
          <w:lang w:val="en-AU" w:eastAsia="en-AU" w:bidi="bn-BD"/>
        </w:rPr>
        <w:lastRenderedPageBreak/>
        <w:drawing>
          <wp:inline distT="0" distB="0" distL="0" distR="0">
            <wp:extent cx="5324475" cy="2705100"/>
            <wp:effectExtent l="19050" t="19050" r="28575" b="1905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srcRect/>
                    <a:stretch>
                      <a:fillRect/>
                    </a:stretch>
                  </pic:blipFill>
                  <pic:spPr bwMode="auto">
                    <a:xfrm>
                      <a:off x="0" y="0"/>
                      <a:ext cx="5340845" cy="2713417"/>
                    </a:xfrm>
                    <a:prstGeom prst="rect">
                      <a:avLst/>
                    </a:prstGeom>
                    <a:noFill/>
                    <a:ln w="12700">
                      <a:solidFill>
                        <a:schemeClr val="tx1"/>
                      </a:solidFill>
                      <a:miter lim="800000"/>
                      <a:headEnd/>
                      <a:tailEnd/>
                    </a:ln>
                  </pic:spPr>
                </pic:pic>
              </a:graphicData>
            </a:graphic>
          </wp:inline>
        </w:drawing>
      </w:r>
    </w:p>
    <w:p w:rsidR="0048464B" w:rsidRPr="00FD4ADE" w:rsidRDefault="0048464B" w:rsidP="0048464B">
      <w:pPr>
        <w:spacing w:before="120" w:line="276" w:lineRule="auto"/>
        <w:jc w:val="both"/>
        <w:rPr>
          <w:b/>
          <w:i/>
          <w:sz w:val="4"/>
          <w:szCs w:val="24"/>
        </w:rPr>
      </w:pPr>
      <w:r>
        <w:rPr>
          <w:rFonts w:cs="Times New Roman"/>
          <w:b/>
          <w:szCs w:val="24"/>
        </w:rPr>
        <w:t xml:space="preserve"> </w:t>
      </w:r>
    </w:p>
    <w:p w:rsidR="0048464B" w:rsidRDefault="0048464B" w:rsidP="003D5A31">
      <w:pPr>
        <w:pStyle w:val="BodyText"/>
        <w:numPr>
          <w:ilvl w:val="2"/>
          <w:numId w:val="156"/>
        </w:numPr>
        <w:spacing w:after="240" w:line="276" w:lineRule="auto"/>
        <w:jc w:val="both"/>
        <w:rPr>
          <w:rFonts w:cs="Times New Roman"/>
          <w:b/>
          <w:szCs w:val="24"/>
        </w:rPr>
      </w:pPr>
      <w:r>
        <w:rPr>
          <w:rFonts w:cs="Times New Roman"/>
          <w:b/>
          <w:szCs w:val="24"/>
        </w:rPr>
        <w:t>Hard to Reach Areas (H</w:t>
      </w:r>
      <w:r w:rsidRPr="003664FB">
        <w:rPr>
          <w:rFonts w:cs="Times New Roman"/>
          <w:b/>
          <w:szCs w:val="24"/>
        </w:rPr>
        <w:t>R</w:t>
      </w:r>
      <w:r>
        <w:rPr>
          <w:rFonts w:cs="Times New Roman"/>
          <w:b/>
          <w:szCs w:val="24"/>
        </w:rPr>
        <w:t>A</w:t>
      </w:r>
      <w:r w:rsidRPr="003664FB">
        <w:rPr>
          <w:rFonts w:cs="Times New Roman"/>
          <w:b/>
          <w:szCs w:val="24"/>
        </w:rPr>
        <w:t>)</w:t>
      </w:r>
    </w:p>
    <w:p w:rsidR="0048464B" w:rsidRDefault="0048464B" w:rsidP="0048464B">
      <w:pPr>
        <w:spacing w:line="276" w:lineRule="auto"/>
        <w:jc w:val="both"/>
        <w:rPr>
          <w:rFonts w:cs="Times New Roman"/>
          <w:b/>
          <w:szCs w:val="24"/>
        </w:rPr>
      </w:pPr>
      <w:r>
        <w:rPr>
          <w:color w:val="000000"/>
          <w:szCs w:val="24"/>
        </w:rPr>
        <w:t xml:space="preserve">According to </w:t>
      </w:r>
      <w:r w:rsidRPr="00AF1CE9">
        <w:rPr>
          <w:color w:val="000000"/>
          <w:szCs w:val="24"/>
        </w:rPr>
        <w:t>the National Strategy for Water and Sanitation in Hard to Reach Areas of Bangladesh (2011)</w:t>
      </w:r>
      <w:r>
        <w:rPr>
          <w:color w:val="000000"/>
          <w:szCs w:val="24"/>
        </w:rPr>
        <w:t xml:space="preserve"> </w:t>
      </w:r>
      <w:r w:rsidRPr="0050663D">
        <w:rPr>
          <w:rFonts w:cs="Times New Roman"/>
          <w:bCs/>
          <w:i/>
          <w:szCs w:val="24"/>
        </w:rPr>
        <w:t>about 21 percent of the total unions in the country have been identified as HRAs. These unions again have been categorized as extremely (582 unions), very (532 unions) and moderately (30 unions) HRAs.</w:t>
      </w:r>
      <w:r w:rsidRPr="00E0447F">
        <w:rPr>
          <w:rFonts w:cs="Times New Roman"/>
          <w:b/>
          <w:bCs/>
          <w:color w:val="006600"/>
          <w:szCs w:val="24"/>
          <w:u w:val="single"/>
        </w:rPr>
        <w:t xml:space="preserve"> </w:t>
      </w:r>
      <w:r>
        <w:rPr>
          <w:color w:val="000000"/>
          <w:szCs w:val="24"/>
        </w:rPr>
        <w:t xml:space="preserve">These are mainly </w:t>
      </w:r>
      <w:r w:rsidRPr="00AF1CE9">
        <w:rPr>
          <w:color w:val="000000"/>
          <w:szCs w:val="24"/>
        </w:rPr>
        <w:t xml:space="preserve">hilly regions, islands (chars), </w:t>
      </w:r>
      <w:r>
        <w:rPr>
          <w:color w:val="000000"/>
          <w:szCs w:val="24"/>
        </w:rPr>
        <w:t xml:space="preserve">coastal areas, </w:t>
      </w:r>
      <w:r w:rsidRPr="00AF1CE9">
        <w:rPr>
          <w:color w:val="000000"/>
          <w:szCs w:val="24"/>
        </w:rPr>
        <w:t>beels and haors, tea gardens and water scarce areas</w:t>
      </w:r>
      <w:r>
        <w:rPr>
          <w:color w:val="000000"/>
          <w:szCs w:val="24"/>
        </w:rPr>
        <w:t>.</w:t>
      </w:r>
    </w:p>
    <w:p w:rsidR="0048464B" w:rsidRPr="0050663D" w:rsidRDefault="0048464B" w:rsidP="0048464B">
      <w:pPr>
        <w:spacing w:line="276" w:lineRule="auto"/>
        <w:jc w:val="both"/>
        <w:rPr>
          <w:rFonts w:cs="Times New Roman"/>
          <w:bCs/>
          <w:i/>
          <w:szCs w:val="24"/>
        </w:rPr>
      </w:pPr>
      <w:r w:rsidRPr="003664FB">
        <w:rPr>
          <w:rFonts w:cs="Times New Roman"/>
          <w:szCs w:val="24"/>
        </w:rPr>
        <w:t xml:space="preserve">Problems of water supply vary across </w:t>
      </w:r>
      <w:r>
        <w:rPr>
          <w:rFonts w:cs="Times New Roman"/>
          <w:szCs w:val="24"/>
        </w:rPr>
        <w:t>v</w:t>
      </w:r>
      <w:r w:rsidRPr="003664FB">
        <w:rPr>
          <w:rFonts w:cs="Times New Roman"/>
          <w:szCs w:val="24"/>
        </w:rPr>
        <w:t>a</w:t>
      </w:r>
      <w:r>
        <w:rPr>
          <w:rFonts w:cs="Times New Roman"/>
          <w:szCs w:val="24"/>
        </w:rPr>
        <w:t>rious types of H</w:t>
      </w:r>
      <w:r w:rsidRPr="003664FB">
        <w:rPr>
          <w:rFonts w:cs="Times New Roman"/>
          <w:szCs w:val="24"/>
        </w:rPr>
        <w:t>R</w:t>
      </w:r>
      <w:r>
        <w:rPr>
          <w:rFonts w:cs="Times New Roman"/>
          <w:szCs w:val="24"/>
        </w:rPr>
        <w:t>As</w:t>
      </w:r>
      <w:r w:rsidRPr="003664FB">
        <w:rPr>
          <w:rFonts w:cs="Times New Roman"/>
          <w:szCs w:val="24"/>
        </w:rPr>
        <w:t xml:space="preserve">. In coastal areas salinity of water and damage of water infrastructures due to cyclone, tidal surge and </w:t>
      </w:r>
      <w:r>
        <w:rPr>
          <w:rFonts w:cs="Times New Roman"/>
          <w:szCs w:val="24"/>
        </w:rPr>
        <w:t xml:space="preserve">inundation </w:t>
      </w:r>
      <w:r w:rsidRPr="003664FB">
        <w:rPr>
          <w:rFonts w:cs="Times New Roman"/>
          <w:szCs w:val="24"/>
        </w:rPr>
        <w:t>of low lands are major problems</w:t>
      </w:r>
      <w:r>
        <w:rPr>
          <w:rFonts w:cs="Times New Roman"/>
          <w:szCs w:val="24"/>
        </w:rPr>
        <w:t>,</w:t>
      </w:r>
      <w:r w:rsidRPr="003664FB">
        <w:rPr>
          <w:rFonts w:cs="Times New Roman"/>
          <w:szCs w:val="24"/>
        </w:rPr>
        <w:t xml:space="preserve"> while in char areas and we</w:t>
      </w:r>
      <w:r>
        <w:rPr>
          <w:rFonts w:cs="Times New Roman"/>
          <w:szCs w:val="24"/>
        </w:rPr>
        <w:t>t</w:t>
      </w:r>
      <w:r w:rsidRPr="003664FB">
        <w:rPr>
          <w:rFonts w:cs="Times New Roman"/>
          <w:szCs w:val="24"/>
        </w:rPr>
        <w:t xml:space="preserve">lands people face natural disasters like monsoon floods, flush floods and river erosion on a regular basis washing away or damaging and polluting water infrastructures. Arsenic contamination of ground water is also widespread. </w:t>
      </w:r>
      <w:r>
        <w:rPr>
          <w:rFonts w:cs="Times New Roman"/>
          <w:szCs w:val="24"/>
        </w:rPr>
        <w:t>Barind</w:t>
      </w:r>
      <w:r w:rsidRPr="003664FB">
        <w:rPr>
          <w:rFonts w:cs="Times New Roman"/>
          <w:szCs w:val="24"/>
        </w:rPr>
        <w:t xml:space="preserve"> areas are drought prone and face severe water </w:t>
      </w:r>
      <w:r>
        <w:rPr>
          <w:rFonts w:cs="Times New Roman"/>
          <w:szCs w:val="24"/>
        </w:rPr>
        <w:t xml:space="preserve">scarcity </w:t>
      </w:r>
      <w:r w:rsidRPr="003664FB">
        <w:rPr>
          <w:rFonts w:cs="Times New Roman"/>
          <w:szCs w:val="24"/>
        </w:rPr>
        <w:t>during 4-5 dry months a year. Surface water sources (ponds, canals etc) in many cases dry up and ground water level declin</w:t>
      </w:r>
      <w:r>
        <w:rPr>
          <w:rFonts w:cs="Times New Roman"/>
          <w:szCs w:val="24"/>
        </w:rPr>
        <w:t>e</w:t>
      </w:r>
      <w:r w:rsidRPr="003664FB">
        <w:rPr>
          <w:rFonts w:cs="Times New Roman"/>
          <w:szCs w:val="24"/>
        </w:rPr>
        <w:t xml:space="preserve">s during dry season. In hilly areas extraction of ground water becomes difficult due to </w:t>
      </w:r>
      <w:r>
        <w:rPr>
          <w:rFonts w:cs="Times New Roman"/>
          <w:szCs w:val="24"/>
        </w:rPr>
        <w:t>varying</w:t>
      </w:r>
      <w:r w:rsidRPr="003664FB">
        <w:rPr>
          <w:rFonts w:cs="Times New Roman"/>
          <w:szCs w:val="24"/>
        </w:rPr>
        <w:t xml:space="preserve"> altitude and rocky formation. Water level also </w:t>
      </w:r>
      <w:r>
        <w:rPr>
          <w:rFonts w:cs="Times New Roman"/>
          <w:szCs w:val="24"/>
        </w:rPr>
        <w:t xml:space="preserve">fluctuates seasonally. </w:t>
      </w:r>
      <w:r w:rsidRPr="0050663D">
        <w:rPr>
          <w:rFonts w:cs="Times New Roman"/>
          <w:bCs/>
          <w:i/>
          <w:szCs w:val="24"/>
        </w:rPr>
        <w:t>In HRAs a large part of the population is poor and hardcore poor and therefore cannot afford to have expensive options. Inaccessibility to services is further compounded by the absence of adequate road communication network.</w:t>
      </w:r>
    </w:p>
    <w:p w:rsidR="0048464B" w:rsidRPr="00C81AAD" w:rsidRDefault="0048464B" w:rsidP="0048464B">
      <w:pPr>
        <w:spacing w:line="276" w:lineRule="auto"/>
        <w:jc w:val="both"/>
        <w:rPr>
          <w:rFonts w:cs="Times New Roman"/>
          <w:b/>
          <w:i/>
          <w:szCs w:val="24"/>
        </w:rPr>
      </w:pPr>
      <w:r w:rsidRPr="00C81AAD">
        <w:rPr>
          <w:rFonts w:cs="Times New Roman"/>
          <w:b/>
          <w:i/>
          <w:szCs w:val="24"/>
        </w:rPr>
        <w:t>Climate change impact</w:t>
      </w:r>
    </w:p>
    <w:p w:rsidR="0048464B" w:rsidRDefault="0048464B" w:rsidP="0048464B">
      <w:pPr>
        <w:spacing w:line="276" w:lineRule="auto"/>
        <w:jc w:val="both"/>
        <w:rPr>
          <w:rFonts w:cs="Times New Roman"/>
          <w:szCs w:val="24"/>
        </w:rPr>
      </w:pPr>
      <w:r w:rsidRPr="003664FB">
        <w:rPr>
          <w:rFonts w:cs="Times New Roman"/>
          <w:szCs w:val="24"/>
        </w:rPr>
        <w:t xml:space="preserve">People in Bangladesh are already experiencing climate-related shocks and stresses. Climate </w:t>
      </w:r>
      <w:r>
        <w:rPr>
          <w:rFonts w:cs="Times New Roman"/>
          <w:szCs w:val="24"/>
        </w:rPr>
        <w:t>c</w:t>
      </w:r>
      <w:r w:rsidRPr="003664FB">
        <w:rPr>
          <w:rFonts w:cs="Times New Roman"/>
          <w:szCs w:val="24"/>
        </w:rPr>
        <w:t>hange is raising average temperatures and is likely to exacerbate extremes as we</w:t>
      </w:r>
      <w:r>
        <w:rPr>
          <w:rFonts w:cs="Times New Roman"/>
          <w:szCs w:val="24"/>
        </w:rPr>
        <w:t>l</w:t>
      </w:r>
      <w:r w:rsidRPr="003664FB">
        <w:rPr>
          <w:rFonts w:cs="Times New Roman"/>
          <w:szCs w:val="24"/>
        </w:rPr>
        <w:t>l as causing new hazards such as sea-level rise. Poor people in particular are vulnerable to floods and cyclones to drought cond</w:t>
      </w:r>
      <w:r>
        <w:rPr>
          <w:rFonts w:cs="Times New Roman"/>
          <w:szCs w:val="24"/>
        </w:rPr>
        <w:t>itions and water scarcity. T</w:t>
      </w:r>
      <w:r w:rsidRPr="003664FB">
        <w:rPr>
          <w:rFonts w:cs="Times New Roman"/>
          <w:szCs w:val="24"/>
        </w:rPr>
        <w:t>able</w:t>
      </w:r>
      <w:r>
        <w:rPr>
          <w:rFonts w:cs="Times New Roman"/>
          <w:szCs w:val="24"/>
        </w:rPr>
        <w:t xml:space="preserve"> 10.12</w:t>
      </w:r>
      <w:r w:rsidRPr="003664FB">
        <w:rPr>
          <w:rFonts w:cs="Times New Roman"/>
          <w:szCs w:val="24"/>
        </w:rPr>
        <w:t xml:space="preserve"> belo</w:t>
      </w:r>
      <w:r>
        <w:rPr>
          <w:rFonts w:cs="Times New Roman"/>
          <w:szCs w:val="24"/>
        </w:rPr>
        <w:t>w</w:t>
      </w:r>
      <w:r w:rsidRPr="003664FB">
        <w:rPr>
          <w:rFonts w:cs="Times New Roman"/>
          <w:szCs w:val="24"/>
        </w:rPr>
        <w:t xml:space="preserve"> summarizes the different </w:t>
      </w:r>
      <w:r w:rsidRPr="003664FB">
        <w:rPr>
          <w:rFonts w:cs="Times New Roman"/>
          <w:szCs w:val="24"/>
        </w:rPr>
        <w:lastRenderedPageBreak/>
        <w:t>climate change hazards and the impac</w:t>
      </w:r>
      <w:r>
        <w:rPr>
          <w:rFonts w:cs="Times New Roman"/>
          <w:szCs w:val="24"/>
        </w:rPr>
        <w:t>t</w:t>
      </w:r>
      <w:r w:rsidRPr="003664FB">
        <w:rPr>
          <w:rFonts w:cs="Times New Roman"/>
          <w:szCs w:val="24"/>
        </w:rPr>
        <w:t xml:space="preserve"> on the water supply infrastructures in different ecological/ hydrological zones.</w:t>
      </w:r>
      <w:r>
        <w:rPr>
          <w:rFonts w:cs="Times New Roman"/>
          <w:szCs w:val="24"/>
        </w:rPr>
        <w:t xml:space="preserve"> </w:t>
      </w:r>
    </w:p>
    <w:p w:rsidR="0048464B" w:rsidRDefault="0048464B" w:rsidP="0048464B">
      <w:pPr>
        <w:spacing w:line="276" w:lineRule="auto"/>
        <w:jc w:val="both"/>
        <w:rPr>
          <w:rFonts w:cs="Times New Roman"/>
          <w:szCs w:val="24"/>
        </w:rPr>
      </w:pPr>
      <w:r w:rsidRPr="003664FB">
        <w:rPr>
          <w:rFonts w:cs="Times New Roman"/>
          <w:szCs w:val="24"/>
        </w:rPr>
        <w:t xml:space="preserve">Gradual change phenomena such as temperature rise and erratic behavior of rainfall will cause major changes in the patterns of water cycle. Water sector in Bangladesh is already experiencing significant stresses of the natural hazards. Climate change related extreme events such as cyclone will damage water supply infrastructure while sea level rise and salinity intrusion will deteriorate water </w:t>
      </w:r>
      <w:r>
        <w:rPr>
          <w:rFonts w:cs="Times New Roman"/>
          <w:szCs w:val="24"/>
        </w:rPr>
        <w:t>q</w:t>
      </w:r>
      <w:r w:rsidRPr="003664FB">
        <w:rPr>
          <w:rFonts w:cs="Times New Roman"/>
          <w:szCs w:val="24"/>
        </w:rPr>
        <w:t>uality in the coastal regions (</w:t>
      </w:r>
      <w:r>
        <w:rPr>
          <w:rFonts w:cs="Times New Roman"/>
          <w:szCs w:val="24"/>
        </w:rPr>
        <w:t>W</w:t>
      </w:r>
      <w:r w:rsidRPr="003664FB">
        <w:rPr>
          <w:rFonts w:cs="Times New Roman"/>
          <w:szCs w:val="24"/>
        </w:rPr>
        <w:t>SDP working document number 17)</w:t>
      </w:r>
    </w:p>
    <w:p w:rsidR="0048464B" w:rsidRPr="0050663D" w:rsidRDefault="0048464B" w:rsidP="0048464B">
      <w:pPr>
        <w:spacing w:line="276" w:lineRule="auto"/>
        <w:jc w:val="both"/>
        <w:rPr>
          <w:rFonts w:cs="Times New Roman"/>
          <w:bCs/>
          <w:i/>
          <w:szCs w:val="24"/>
        </w:rPr>
      </w:pPr>
      <w:bookmarkStart w:id="746" w:name="_Toc464328991"/>
      <w:r w:rsidRPr="0050663D">
        <w:rPr>
          <w:rFonts w:cs="Times New Roman"/>
          <w:bCs/>
          <w:i/>
          <w:szCs w:val="24"/>
        </w:rPr>
        <w:t>Table 10.12: Main Climate Change Hazards and Impacts on Water Supply Installation in Different Zones</w:t>
      </w:r>
      <w:bookmarkEnd w:id="746"/>
    </w:p>
    <w:tbl>
      <w:tblPr>
        <w:tblStyle w:val="LightShading10"/>
        <w:tblW w:w="0" w:type="auto"/>
        <w:tblLook w:val="04A0"/>
      </w:tblPr>
      <w:tblGrid>
        <w:gridCol w:w="2642"/>
        <w:gridCol w:w="3060"/>
        <w:gridCol w:w="3541"/>
      </w:tblGrid>
      <w:tr w:rsidR="0048464B" w:rsidRPr="00240ED3" w:rsidTr="00F83382">
        <w:trPr>
          <w:cnfStyle w:val="100000000000"/>
          <w:trHeight w:val="683"/>
        </w:trPr>
        <w:tc>
          <w:tcPr>
            <w:cnfStyle w:val="001000000000"/>
            <w:tcW w:w="2642" w:type="dxa"/>
          </w:tcPr>
          <w:p w:rsidR="0048464B" w:rsidRPr="00D10C92" w:rsidRDefault="0048464B" w:rsidP="00F83382">
            <w:pPr>
              <w:jc w:val="center"/>
              <w:rPr>
                <w:rFonts w:ascii="Times New Roman" w:hAnsi="Times New Roman"/>
                <w:sz w:val="22"/>
                <w:szCs w:val="24"/>
              </w:rPr>
            </w:pPr>
            <w:r w:rsidRPr="00D10C92">
              <w:rPr>
                <w:rFonts w:ascii="Times New Roman" w:hAnsi="Times New Roman"/>
                <w:sz w:val="22"/>
                <w:szCs w:val="24"/>
              </w:rPr>
              <w:t>Ecological / Hydro-geological Zones</w:t>
            </w:r>
          </w:p>
        </w:tc>
        <w:tc>
          <w:tcPr>
            <w:tcW w:w="3060" w:type="dxa"/>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Main Climate Change Hazard</w:t>
            </w:r>
          </w:p>
        </w:tc>
        <w:tc>
          <w:tcPr>
            <w:tcW w:w="3541" w:type="dxa"/>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Impact on Water Supply Installations</w:t>
            </w:r>
          </w:p>
        </w:tc>
      </w:tr>
      <w:tr w:rsidR="0048464B" w:rsidRPr="00240ED3" w:rsidTr="00F83382">
        <w:trPr>
          <w:cnfStyle w:val="000000100000"/>
        </w:trPr>
        <w:tc>
          <w:tcPr>
            <w:cnfStyle w:val="001000000000"/>
            <w:tcW w:w="2642" w:type="dxa"/>
          </w:tcPr>
          <w:p w:rsidR="0048464B" w:rsidRPr="00240ED3" w:rsidRDefault="0048464B" w:rsidP="00F83382">
            <w:pPr>
              <w:spacing w:after="0" w:line="240" w:lineRule="auto"/>
              <w:rPr>
                <w:rFonts w:ascii="Times New Roman" w:hAnsi="Times New Roman"/>
                <w:sz w:val="22"/>
                <w:szCs w:val="24"/>
              </w:rPr>
            </w:pPr>
            <w:r w:rsidRPr="00240ED3">
              <w:rPr>
                <w:rFonts w:ascii="Times New Roman" w:hAnsi="Times New Roman"/>
                <w:sz w:val="22"/>
                <w:szCs w:val="24"/>
              </w:rPr>
              <w:t>Flood plain</w:t>
            </w:r>
          </w:p>
        </w:tc>
        <w:tc>
          <w:tcPr>
            <w:tcW w:w="3060" w:type="dxa"/>
          </w:tcPr>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-Water logging</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-Inundation</w:t>
            </w:r>
          </w:p>
        </w:tc>
        <w:tc>
          <w:tcPr>
            <w:tcW w:w="3541" w:type="dxa"/>
          </w:tcPr>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-Contamination of water sources</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-Damage of infrastructure</w:t>
            </w:r>
          </w:p>
        </w:tc>
      </w:tr>
      <w:tr w:rsidR="0048464B" w:rsidRPr="00240ED3" w:rsidTr="00F83382">
        <w:tc>
          <w:tcPr>
            <w:cnfStyle w:val="001000000000"/>
            <w:tcW w:w="2642" w:type="dxa"/>
          </w:tcPr>
          <w:p w:rsidR="0048464B" w:rsidRPr="00240ED3" w:rsidRDefault="0048464B" w:rsidP="00F83382">
            <w:pPr>
              <w:spacing w:after="0" w:line="240" w:lineRule="auto"/>
              <w:rPr>
                <w:rFonts w:ascii="Times New Roman" w:hAnsi="Times New Roman"/>
                <w:sz w:val="22"/>
                <w:szCs w:val="24"/>
              </w:rPr>
            </w:pPr>
            <w:r w:rsidRPr="00240ED3">
              <w:rPr>
                <w:rFonts w:ascii="Times New Roman" w:hAnsi="Times New Roman"/>
                <w:sz w:val="22"/>
                <w:szCs w:val="24"/>
              </w:rPr>
              <w:t>Low water table area</w:t>
            </w:r>
          </w:p>
        </w:tc>
        <w:tc>
          <w:tcPr>
            <w:tcW w:w="3060" w:type="dxa"/>
          </w:tcPr>
          <w:p w:rsidR="0048464B" w:rsidRPr="00240ED3" w:rsidRDefault="0048464B" w:rsidP="00F83382">
            <w:pPr>
              <w:spacing w:after="0" w:line="240" w:lineRule="auto"/>
              <w:cnfStyle w:val="000000000000"/>
              <w:rPr>
                <w:rFonts w:ascii="Times New Roman" w:hAnsi="Times New Roman"/>
                <w:sz w:val="22"/>
                <w:szCs w:val="24"/>
              </w:rPr>
            </w:pPr>
            <w:r w:rsidRPr="00240ED3">
              <w:rPr>
                <w:rFonts w:ascii="Times New Roman" w:hAnsi="Times New Roman"/>
                <w:sz w:val="22"/>
                <w:szCs w:val="24"/>
              </w:rPr>
              <w:t>-Excessive decline of ground water</w:t>
            </w:r>
          </w:p>
          <w:p w:rsidR="0048464B" w:rsidRPr="00240ED3" w:rsidRDefault="0048464B" w:rsidP="00F83382">
            <w:pPr>
              <w:spacing w:after="0" w:line="240" w:lineRule="auto"/>
              <w:cnfStyle w:val="000000000000"/>
              <w:rPr>
                <w:rFonts w:ascii="Times New Roman" w:hAnsi="Times New Roman"/>
                <w:sz w:val="22"/>
                <w:szCs w:val="24"/>
              </w:rPr>
            </w:pPr>
            <w:r w:rsidRPr="00240ED3">
              <w:rPr>
                <w:rFonts w:ascii="Times New Roman" w:hAnsi="Times New Roman"/>
                <w:sz w:val="22"/>
                <w:szCs w:val="24"/>
              </w:rPr>
              <w:t>-Drought</w:t>
            </w:r>
          </w:p>
        </w:tc>
        <w:tc>
          <w:tcPr>
            <w:tcW w:w="3541" w:type="dxa"/>
          </w:tcPr>
          <w:p w:rsidR="0048464B" w:rsidRPr="00240ED3" w:rsidRDefault="0048464B" w:rsidP="00F83382">
            <w:pPr>
              <w:spacing w:after="0" w:line="240" w:lineRule="auto"/>
              <w:cnfStyle w:val="000000000000"/>
              <w:rPr>
                <w:rFonts w:ascii="Times New Roman" w:hAnsi="Times New Roman"/>
                <w:sz w:val="22"/>
                <w:szCs w:val="24"/>
              </w:rPr>
            </w:pPr>
            <w:r w:rsidRPr="00240ED3">
              <w:rPr>
                <w:rFonts w:ascii="Times New Roman" w:hAnsi="Times New Roman"/>
                <w:sz w:val="22"/>
                <w:szCs w:val="24"/>
              </w:rPr>
              <w:t>-Depleted water resources</w:t>
            </w:r>
          </w:p>
          <w:p w:rsidR="0048464B" w:rsidRPr="00240ED3" w:rsidRDefault="0048464B" w:rsidP="00F83382">
            <w:pPr>
              <w:spacing w:after="0" w:line="240" w:lineRule="auto"/>
              <w:cnfStyle w:val="000000000000"/>
              <w:rPr>
                <w:rFonts w:ascii="Times New Roman" w:hAnsi="Times New Roman"/>
                <w:sz w:val="22"/>
                <w:szCs w:val="24"/>
              </w:rPr>
            </w:pPr>
            <w:r w:rsidRPr="00240ED3">
              <w:rPr>
                <w:rFonts w:ascii="Times New Roman" w:hAnsi="Times New Roman"/>
                <w:sz w:val="22"/>
                <w:szCs w:val="24"/>
              </w:rPr>
              <w:t>-Increase in repair and maintenance of water installations</w:t>
            </w:r>
          </w:p>
        </w:tc>
      </w:tr>
      <w:tr w:rsidR="0048464B" w:rsidRPr="00240ED3" w:rsidTr="00F83382">
        <w:trPr>
          <w:cnfStyle w:val="000000100000"/>
        </w:trPr>
        <w:tc>
          <w:tcPr>
            <w:cnfStyle w:val="001000000000"/>
            <w:tcW w:w="2642" w:type="dxa"/>
          </w:tcPr>
          <w:p w:rsidR="0048464B" w:rsidRPr="00240ED3" w:rsidRDefault="0048464B" w:rsidP="00F83382">
            <w:pPr>
              <w:spacing w:after="0" w:line="240" w:lineRule="auto"/>
              <w:rPr>
                <w:rFonts w:ascii="Times New Roman" w:hAnsi="Times New Roman"/>
                <w:sz w:val="22"/>
                <w:szCs w:val="24"/>
              </w:rPr>
            </w:pPr>
            <w:r w:rsidRPr="00240ED3">
              <w:rPr>
                <w:rFonts w:ascii="Times New Roman" w:hAnsi="Times New Roman"/>
                <w:sz w:val="22"/>
                <w:szCs w:val="24"/>
              </w:rPr>
              <w:t>Coastal zone</w:t>
            </w:r>
          </w:p>
        </w:tc>
        <w:tc>
          <w:tcPr>
            <w:tcW w:w="3060" w:type="dxa"/>
          </w:tcPr>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-Saline intrusion</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-Tidal/storm surge</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-Inundation</w:t>
            </w:r>
          </w:p>
        </w:tc>
        <w:tc>
          <w:tcPr>
            <w:tcW w:w="3541" w:type="dxa"/>
          </w:tcPr>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-Damage of water installations</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-Increased salinity of ground water abstracted by hand pumps or other means sources</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 xml:space="preserve">-Drainage congestion </w:t>
            </w:r>
          </w:p>
        </w:tc>
      </w:tr>
      <w:tr w:rsidR="0048464B" w:rsidRPr="00240ED3" w:rsidTr="00F83382">
        <w:tc>
          <w:tcPr>
            <w:cnfStyle w:val="001000000000"/>
            <w:tcW w:w="2642" w:type="dxa"/>
          </w:tcPr>
          <w:p w:rsidR="0048464B" w:rsidRPr="00240ED3" w:rsidRDefault="0048464B" w:rsidP="00F83382">
            <w:pPr>
              <w:spacing w:after="0" w:line="240" w:lineRule="auto"/>
              <w:rPr>
                <w:rFonts w:ascii="Times New Roman" w:hAnsi="Times New Roman"/>
                <w:sz w:val="22"/>
                <w:szCs w:val="24"/>
              </w:rPr>
            </w:pPr>
            <w:r w:rsidRPr="00240ED3">
              <w:rPr>
                <w:rFonts w:ascii="Times New Roman" w:hAnsi="Times New Roman"/>
                <w:sz w:val="22"/>
                <w:szCs w:val="24"/>
              </w:rPr>
              <w:t>Haor Basin/ Low lying area</w:t>
            </w:r>
          </w:p>
        </w:tc>
        <w:tc>
          <w:tcPr>
            <w:tcW w:w="3060" w:type="dxa"/>
          </w:tcPr>
          <w:p w:rsidR="0048464B" w:rsidRPr="00240ED3" w:rsidRDefault="0048464B" w:rsidP="00F83382">
            <w:pPr>
              <w:spacing w:after="0" w:line="240" w:lineRule="auto"/>
              <w:cnfStyle w:val="000000000000"/>
              <w:rPr>
                <w:rFonts w:ascii="Times New Roman" w:hAnsi="Times New Roman"/>
                <w:sz w:val="22"/>
                <w:szCs w:val="24"/>
              </w:rPr>
            </w:pPr>
            <w:r w:rsidRPr="00240ED3">
              <w:rPr>
                <w:rFonts w:ascii="Times New Roman" w:hAnsi="Times New Roman"/>
                <w:sz w:val="22"/>
                <w:szCs w:val="24"/>
              </w:rPr>
              <w:t>-Water logging</w:t>
            </w:r>
          </w:p>
          <w:p w:rsidR="0048464B" w:rsidRPr="00240ED3" w:rsidRDefault="0048464B" w:rsidP="00F83382">
            <w:pPr>
              <w:spacing w:after="0" w:line="240" w:lineRule="auto"/>
              <w:cnfStyle w:val="000000000000"/>
              <w:rPr>
                <w:rFonts w:ascii="Times New Roman" w:hAnsi="Times New Roman"/>
                <w:sz w:val="22"/>
                <w:szCs w:val="24"/>
              </w:rPr>
            </w:pPr>
            <w:r w:rsidRPr="00240ED3">
              <w:rPr>
                <w:rFonts w:ascii="Times New Roman" w:hAnsi="Times New Roman"/>
                <w:sz w:val="22"/>
                <w:szCs w:val="24"/>
              </w:rPr>
              <w:t>-Inundation</w:t>
            </w:r>
          </w:p>
        </w:tc>
        <w:tc>
          <w:tcPr>
            <w:tcW w:w="3541" w:type="dxa"/>
          </w:tcPr>
          <w:p w:rsidR="0048464B" w:rsidRPr="00240ED3" w:rsidRDefault="0048464B" w:rsidP="00F83382">
            <w:pPr>
              <w:spacing w:after="0" w:line="240" w:lineRule="auto"/>
              <w:cnfStyle w:val="000000000000"/>
              <w:rPr>
                <w:rFonts w:ascii="Times New Roman" w:hAnsi="Times New Roman"/>
                <w:sz w:val="22"/>
                <w:szCs w:val="24"/>
              </w:rPr>
            </w:pPr>
            <w:r w:rsidRPr="00240ED3">
              <w:rPr>
                <w:rFonts w:ascii="Times New Roman" w:hAnsi="Times New Roman"/>
                <w:sz w:val="22"/>
                <w:szCs w:val="24"/>
              </w:rPr>
              <w:t>-Damage of infrastructure</w:t>
            </w:r>
          </w:p>
          <w:p w:rsidR="0048464B" w:rsidRPr="00240ED3" w:rsidRDefault="0048464B" w:rsidP="00F83382">
            <w:pPr>
              <w:spacing w:after="0" w:line="240" w:lineRule="auto"/>
              <w:cnfStyle w:val="000000000000"/>
              <w:rPr>
                <w:rFonts w:ascii="Times New Roman" w:hAnsi="Times New Roman"/>
                <w:sz w:val="22"/>
                <w:szCs w:val="24"/>
              </w:rPr>
            </w:pPr>
            <w:r w:rsidRPr="00240ED3">
              <w:rPr>
                <w:rFonts w:ascii="Times New Roman" w:hAnsi="Times New Roman"/>
                <w:sz w:val="22"/>
                <w:szCs w:val="24"/>
              </w:rPr>
              <w:t>-Contamination of surface water sources</w:t>
            </w:r>
          </w:p>
        </w:tc>
      </w:tr>
      <w:tr w:rsidR="0048464B" w:rsidRPr="00240ED3" w:rsidTr="00F83382">
        <w:trPr>
          <w:cnfStyle w:val="000000100000"/>
        </w:trPr>
        <w:tc>
          <w:tcPr>
            <w:cnfStyle w:val="001000000000"/>
            <w:tcW w:w="2642" w:type="dxa"/>
          </w:tcPr>
          <w:p w:rsidR="0048464B" w:rsidRPr="00240ED3" w:rsidRDefault="0048464B" w:rsidP="00F83382">
            <w:pPr>
              <w:spacing w:after="0" w:line="240" w:lineRule="auto"/>
              <w:rPr>
                <w:rFonts w:ascii="Times New Roman" w:hAnsi="Times New Roman"/>
                <w:sz w:val="22"/>
                <w:szCs w:val="24"/>
              </w:rPr>
            </w:pPr>
            <w:r w:rsidRPr="00240ED3">
              <w:rPr>
                <w:rFonts w:ascii="Times New Roman" w:hAnsi="Times New Roman"/>
                <w:sz w:val="22"/>
                <w:szCs w:val="24"/>
              </w:rPr>
              <w:t>Chittagong Hill Tracts/ Hilly regions</w:t>
            </w:r>
          </w:p>
        </w:tc>
        <w:tc>
          <w:tcPr>
            <w:tcW w:w="3060" w:type="dxa"/>
          </w:tcPr>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-Drought</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-Excessive lowering of ground water level</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-Increased rainfall</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-Land slide</w:t>
            </w:r>
          </w:p>
        </w:tc>
        <w:tc>
          <w:tcPr>
            <w:tcW w:w="3541" w:type="dxa"/>
          </w:tcPr>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-Depleted water resources</w:t>
            </w:r>
          </w:p>
          <w:p w:rsidR="0048464B" w:rsidRPr="00240ED3" w:rsidRDefault="0048464B" w:rsidP="00F83382">
            <w:pPr>
              <w:spacing w:after="0" w:line="240" w:lineRule="auto"/>
              <w:cnfStyle w:val="000000100000"/>
              <w:rPr>
                <w:rFonts w:ascii="Times New Roman" w:hAnsi="Times New Roman"/>
                <w:sz w:val="22"/>
                <w:szCs w:val="24"/>
              </w:rPr>
            </w:pPr>
            <w:r w:rsidRPr="00240ED3">
              <w:rPr>
                <w:rFonts w:ascii="Times New Roman" w:hAnsi="Times New Roman"/>
                <w:sz w:val="22"/>
                <w:szCs w:val="24"/>
              </w:rPr>
              <w:t>-Damage due to land slides</w:t>
            </w:r>
          </w:p>
        </w:tc>
      </w:tr>
    </w:tbl>
    <w:p w:rsidR="0048464B" w:rsidRPr="005119A6" w:rsidRDefault="0048464B" w:rsidP="0048464B">
      <w:pPr>
        <w:spacing w:before="120" w:line="276" w:lineRule="auto"/>
        <w:jc w:val="both"/>
        <w:rPr>
          <w:b/>
          <w:i/>
          <w:iCs/>
          <w:sz w:val="20"/>
          <w:szCs w:val="20"/>
        </w:rPr>
      </w:pPr>
      <w:r w:rsidRPr="005119A6">
        <w:rPr>
          <w:b/>
          <w:i/>
          <w:iCs/>
          <w:sz w:val="20"/>
          <w:szCs w:val="20"/>
        </w:rPr>
        <w:t xml:space="preserve">Source: </w:t>
      </w:r>
      <w:r>
        <w:rPr>
          <w:b/>
          <w:i/>
          <w:iCs/>
          <w:sz w:val="20"/>
          <w:szCs w:val="20"/>
        </w:rPr>
        <w:t>W</w:t>
      </w:r>
      <w:r w:rsidRPr="005119A6">
        <w:rPr>
          <w:b/>
          <w:i/>
          <w:iCs/>
          <w:sz w:val="20"/>
          <w:szCs w:val="20"/>
        </w:rPr>
        <w:t>SDP Working Document No. 17</w:t>
      </w:r>
    </w:p>
    <w:p w:rsidR="0048464B" w:rsidRPr="003664FB" w:rsidRDefault="0048464B" w:rsidP="0048464B">
      <w:pPr>
        <w:spacing w:line="276" w:lineRule="auto"/>
        <w:jc w:val="both"/>
        <w:rPr>
          <w:rFonts w:cs="Times New Roman"/>
          <w:szCs w:val="24"/>
        </w:rPr>
      </w:pPr>
      <w:r w:rsidRPr="003664FB">
        <w:rPr>
          <w:rFonts w:cs="Times New Roman"/>
          <w:szCs w:val="24"/>
        </w:rPr>
        <w:t xml:space="preserve">The impacts of climate change should also be viewed in relation to other factors that will affect water demand and quality. </w:t>
      </w:r>
      <w:r w:rsidRPr="0050663D">
        <w:rPr>
          <w:rFonts w:cs="Times New Roman"/>
          <w:bCs/>
          <w:i/>
          <w:szCs w:val="24"/>
        </w:rPr>
        <w:t>Urbanization will place greater stress in water resources.</w:t>
      </w:r>
      <w:r w:rsidRPr="003664FB">
        <w:rPr>
          <w:rFonts w:cs="Times New Roman"/>
          <w:szCs w:val="24"/>
        </w:rPr>
        <w:t xml:space="preserve"> When this will be combined with increase in summer temperature, water demand in urban areas for drinking and bathing as well as demand for water from industry, power, recreation and the environment will put tremendous stress on urban water supply systems. Economic growth will also increase water demand for all uses and far higher levels of services through piped water. Climate change will interact with these factors and in many cases magnify their impact.</w:t>
      </w:r>
    </w:p>
    <w:p w:rsidR="0048464B" w:rsidRDefault="0048464B" w:rsidP="0048464B">
      <w:pPr>
        <w:rPr>
          <w:rFonts w:cs="Times New Roman"/>
          <w:b/>
          <w:i/>
          <w:szCs w:val="24"/>
        </w:rPr>
      </w:pPr>
      <w:r>
        <w:rPr>
          <w:rFonts w:cs="Times New Roman"/>
          <w:b/>
          <w:i/>
          <w:szCs w:val="24"/>
        </w:rPr>
        <w:br w:type="page"/>
      </w:r>
    </w:p>
    <w:p w:rsidR="0048464B" w:rsidRPr="00C81AAD" w:rsidRDefault="0048464B" w:rsidP="0048464B">
      <w:pPr>
        <w:spacing w:line="276" w:lineRule="auto"/>
        <w:jc w:val="both"/>
        <w:rPr>
          <w:rFonts w:cs="Times New Roman"/>
          <w:b/>
          <w:i/>
          <w:szCs w:val="24"/>
        </w:rPr>
      </w:pPr>
      <w:r>
        <w:rPr>
          <w:rFonts w:cs="Times New Roman"/>
          <w:b/>
          <w:i/>
          <w:szCs w:val="24"/>
        </w:rPr>
        <w:lastRenderedPageBreak/>
        <w:t>Ground Water I</w:t>
      </w:r>
      <w:r w:rsidRPr="00C81AAD">
        <w:rPr>
          <w:rFonts w:cs="Times New Roman"/>
          <w:b/>
          <w:i/>
          <w:szCs w:val="24"/>
        </w:rPr>
        <w:t>ssues</w:t>
      </w:r>
    </w:p>
    <w:p w:rsidR="0048464B" w:rsidRPr="003664FB" w:rsidRDefault="0048464B" w:rsidP="0048464B">
      <w:pPr>
        <w:spacing w:line="276" w:lineRule="auto"/>
        <w:jc w:val="both"/>
        <w:rPr>
          <w:rFonts w:cs="Times New Roman"/>
          <w:szCs w:val="24"/>
        </w:rPr>
      </w:pPr>
      <w:r w:rsidRPr="003664FB">
        <w:rPr>
          <w:rFonts w:cs="Times New Roman"/>
          <w:szCs w:val="24"/>
        </w:rPr>
        <w:t>It has already been indicated that ground water is the main source of water supply accounting for about 90% of the total supply of drinking water</w:t>
      </w:r>
      <w:r>
        <w:rPr>
          <w:rFonts w:cs="Times New Roman"/>
          <w:szCs w:val="24"/>
        </w:rPr>
        <w:t xml:space="preserve"> in the country</w:t>
      </w:r>
      <w:r w:rsidRPr="003664FB">
        <w:rPr>
          <w:rFonts w:cs="Times New Roman"/>
          <w:szCs w:val="24"/>
        </w:rPr>
        <w:t xml:space="preserve">. Most sources of water supply are tube wells with hand pumps and motorized pumps sunk by households, water utilities and local governments. Over abstraction of ground water is making tube wells vulnerable to falling water tables.  The water levels of deep </w:t>
      </w:r>
      <w:r>
        <w:rPr>
          <w:rFonts w:cs="Times New Roman"/>
          <w:szCs w:val="24"/>
        </w:rPr>
        <w:t>aquifers</w:t>
      </w:r>
      <w:r w:rsidRPr="003664FB">
        <w:rPr>
          <w:rFonts w:cs="Times New Roman"/>
          <w:szCs w:val="24"/>
        </w:rPr>
        <w:t xml:space="preserve"> are dropping in many towns, especially in larger industrial areas in and around Dhaka</w:t>
      </w:r>
      <w:r w:rsidRPr="0050663D">
        <w:rPr>
          <w:rFonts w:cs="Times New Roman"/>
          <w:i/>
          <w:szCs w:val="24"/>
        </w:rPr>
        <w:t xml:space="preserve">. </w:t>
      </w:r>
      <w:r w:rsidRPr="0050663D">
        <w:rPr>
          <w:rFonts w:cs="Times New Roman"/>
          <w:bCs/>
          <w:i/>
          <w:szCs w:val="24"/>
        </w:rPr>
        <w:t>In Dhaka ground water level is declining by 2-3 metres per year due to continuous abstraction of water.</w:t>
      </w:r>
      <w:r w:rsidRPr="003664FB">
        <w:rPr>
          <w:rFonts w:cs="Times New Roman"/>
          <w:szCs w:val="24"/>
        </w:rPr>
        <w:t xml:space="preserve"> As a consequence</w:t>
      </w:r>
      <w:r>
        <w:rPr>
          <w:rFonts w:cs="Times New Roman"/>
          <w:szCs w:val="24"/>
        </w:rPr>
        <w:t xml:space="preserve">, Dhaka WASA </w:t>
      </w:r>
      <w:r w:rsidRPr="003664FB">
        <w:rPr>
          <w:rFonts w:cs="Times New Roman"/>
          <w:szCs w:val="24"/>
        </w:rPr>
        <w:t xml:space="preserve">has now started collecting water from the deep </w:t>
      </w:r>
      <w:r>
        <w:rPr>
          <w:rFonts w:cs="Times New Roman"/>
          <w:szCs w:val="24"/>
        </w:rPr>
        <w:t>aquifer</w:t>
      </w:r>
      <w:r w:rsidRPr="003664FB">
        <w:rPr>
          <w:rFonts w:cs="Times New Roman"/>
          <w:szCs w:val="24"/>
        </w:rPr>
        <w:t xml:space="preserve"> having depth equal </w:t>
      </w:r>
      <w:r>
        <w:rPr>
          <w:rFonts w:cs="Times New Roman"/>
          <w:szCs w:val="24"/>
        </w:rPr>
        <w:t>to or greater than 1000 feet.</w:t>
      </w:r>
      <w:r w:rsidRPr="003664FB">
        <w:rPr>
          <w:rFonts w:cs="Times New Roman"/>
          <w:szCs w:val="24"/>
        </w:rPr>
        <w:t xml:space="preserve"> </w:t>
      </w:r>
      <w:r>
        <w:rPr>
          <w:rFonts w:cs="Times New Roman"/>
          <w:szCs w:val="24"/>
        </w:rPr>
        <w:t>T</w:t>
      </w:r>
      <w:r w:rsidRPr="003664FB">
        <w:rPr>
          <w:rFonts w:cs="Times New Roman"/>
          <w:szCs w:val="24"/>
        </w:rPr>
        <w:t>he qualit</w:t>
      </w:r>
      <w:r>
        <w:rPr>
          <w:rFonts w:cs="Times New Roman"/>
          <w:szCs w:val="24"/>
        </w:rPr>
        <w:t>y of the water is also an issue;</w:t>
      </w:r>
      <w:r w:rsidRPr="003664FB">
        <w:rPr>
          <w:rFonts w:cs="Times New Roman"/>
          <w:szCs w:val="24"/>
        </w:rPr>
        <w:t xml:space="preserve"> many of the wells are contaminated with arsenic and bacteria. A study by international training network (ITN) of BUET and DFID found that 29% of shallow tube wells and </w:t>
      </w:r>
      <w:r w:rsidRPr="0050663D">
        <w:rPr>
          <w:rFonts w:cs="Times New Roman"/>
          <w:bCs/>
          <w:i/>
          <w:szCs w:val="24"/>
        </w:rPr>
        <w:t>9% of deep tube wells are contaminated with bacteria (WSDP 2011).</w:t>
      </w:r>
      <w:r w:rsidRPr="003664FB">
        <w:rPr>
          <w:rFonts w:cs="Times New Roman"/>
          <w:szCs w:val="24"/>
        </w:rPr>
        <w:t xml:space="preserve"> Poor maintenance of tube</w:t>
      </w:r>
      <w:r>
        <w:rPr>
          <w:rFonts w:cs="Times New Roman"/>
          <w:szCs w:val="24"/>
        </w:rPr>
        <w:t>-</w:t>
      </w:r>
      <w:r w:rsidRPr="003664FB">
        <w:rPr>
          <w:rFonts w:cs="Times New Roman"/>
          <w:szCs w:val="24"/>
        </w:rPr>
        <w:t>wells and their surroundings and poor h</w:t>
      </w:r>
      <w:r>
        <w:rPr>
          <w:rFonts w:cs="Times New Roman"/>
          <w:szCs w:val="24"/>
        </w:rPr>
        <w:t>y</w:t>
      </w:r>
      <w:r w:rsidRPr="003664FB">
        <w:rPr>
          <w:rFonts w:cs="Times New Roman"/>
          <w:szCs w:val="24"/>
        </w:rPr>
        <w:t xml:space="preserve">giene practice were found to be responsible for such a situation. </w:t>
      </w:r>
    </w:p>
    <w:p w:rsidR="0048464B" w:rsidRPr="00C81AAD" w:rsidRDefault="0048464B" w:rsidP="0048464B">
      <w:pPr>
        <w:spacing w:line="276" w:lineRule="auto"/>
        <w:jc w:val="both"/>
        <w:rPr>
          <w:rFonts w:cs="Times New Roman"/>
          <w:b/>
          <w:i/>
          <w:szCs w:val="24"/>
        </w:rPr>
      </w:pPr>
      <w:r w:rsidRPr="00C81AAD">
        <w:rPr>
          <w:rFonts w:cs="Times New Roman"/>
          <w:b/>
          <w:i/>
          <w:szCs w:val="24"/>
        </w:rPr>
        <w:t>Management of water supply system issues</w:t>
      </w:r>
    </w:p>
    <w:p w:rsidR="0048464B" w:rsidRDefault="0048464B" w:rsidP="0048464B">
      <w:pPr>
        <w:spacing w:line="276" w:lineRule="auto"/>
        <w:jc w:val="both"/>
        <w:rPr>
          <w:rFonts w:cs="Times New Roman"/>
          <w:szCs w:val="24"/>
        </w:rPr>
      </w:pPr>
      <w:r w:rsidRPr="003664FB">
        <w:rPr>
          <w:rFonts w:cs="Times New Roman"/>
          <w:szCs w:val="24"/>
        </w:rPr>
        <w:t xml:space="preserve">Poor management of water utilities (WASAS and ULBs) as reflected in high water losses is also an important issue. Unaccounted for water averages 25% for Dhaka and Chittagong city Corporations and this </w:t>
      </w:r>
      <w:r>
        <w:rPr>
          <w:rFonts w:cs="Times New Roman"/>
          <w:szCs w:val="24"/>
        </w:rPr>
        <w:t>proportion is</w:t>
      </w:r>
      <w:r w:rsidRPr="003664FB">
        <w:rPr>
          <w:rFonts w:cs="Times New Roman"/>
          <w:szCs w:val="24"/>
        </w:rPr>
        <w:t xml:space="preserve"> even higher for other city corporations. The benchmarking study of water and sanitation program (WSP) of the World Bank (2014) showed that out of 37 ULBs only 10 had metered connections and that too varied between 2% and 99%. Discontinuity of service is also a major problem of the water utilities. Service varies between 1.50 hours to 22.5 hours. 24% of the ULBs supply water for upto 5 hours while about 54% of the ULBs supply water between 5 to10 hours. Collection of revenue is also a major problem for many of the ULBs. About 19% of the ULBs can collect upto 60% of the revenue while about 40% of the ULBs can collect</w:t>
      </w:r>
      <w:r>
        <w:rPr>
          <w:rFonts w:cs="Times New Roman"/>
          <w:szCs w:val="24"/>
        </w:rPr>
        <w:t xml:space="preserve"> between 61% and 80%</w:t>
      </w:r>
      <w:r w:rsidRPr="003664FB">
        <w:rPr>
          <w:rFonts w:cs="Times New Roman"/>
          <w:szCs w:val="24"/>
        </w:rPr>
        <w:t xml:space="preserve">. </w:t>
      </w:r>
      <w:r>
        <w:rPr>
          <w:rFonts w:cs="Times New Roman"/>
          <w:szCs w:val="24"/>
        </w:rPr>
        <w:t>C</w:t>
      </w:r>
      <w:r w:rsidRPr="003664FB">
        <w:rPr>
          <w:rFonts w:cs="Times New Roman"/>
          <w:szCs w:val="24"/>
        </w:rPr>
        <w:t xml:space="preserve">ollection rate for </w:t>
      </w:r>
      <w:r>
        <w:rPr>
          <w:rFonts w:cs="Times New Roman"/>
          <w:szCs w:val="24"/>
        </w:rPr>
        <w:t>upper</w:t>
      </w:r>
      <w:r w:rsidRPr="003664FB">
        <w:rPr>
          <w:rFonts w:cs="Times New Roman"/>
          <w:szCs w:val="24"/>
        </w:rPr>
        <w:t xml:space="preserve"> 40% of ULBs is between 81% and 98%. Periodic maintenance of the s</w:t>
      </w:r>
      <w:r>
        <w:rPr>
          <w:rFonts w:cs="Times New Roman"/>
          <w:szCs w:val="24"/>
        </w:rPr>
        <w:t>y</w:t>
      </w:r>
      <w:r w:rsidRPr="003664FB">
        <w:rPr>
          <w:rFonts w:cs="Times New Roman"/>
          <w:szCs w:val="24"/>
        </w:rPr>
        <w:t>stems in most ULBs is also poor. As a consequence</w:t>
      </w:r>
      <w:r>
        <w:rPr>
          <w:rFonts w:cs="Times New Roman"/>
          <w:szCs w:val="24"/>
        </w:rPr>
        <w:t>,</w:t>
      </w:r>
      <w:r w:rsidRPr="003664FB">
        <w:rPr>
          <w:rFonts w:cs="Times New Roman"/>
          <w:szCs w:val="24"/>
        </w:rPr>
        <w:t xml:space="preserve"> leakages in pipelines are frequent and the conditions of pipes, wells and machineries deteriorate quite early. The problem is compounded by inability of ULBs to fix water rates commensurate with cost.</w:t>
      </w:r>
    </w:p>
    <w:p w:rsidR="0048464B" w:rsidRPr="0050663D" w:rsidRDefault="0048464B" w:rsidP="003D5A31">
      <w:pPr>
        <w:pStyle w:val="BodyText"/>
        <w:numPr>
          <w:ilvl w:val="2"/>
          <w:numId w:val="156"/>
        </w:numPr>
        <w:spacing w:after="240" w:line="276" w:lineRule="auto"/>
        <w:ind w:left="540" w:hanging="540"/>
        <w:jc w:val="both"/>
        <w:rPr>
          <w:rFonts w:cs="Times New Roman"/>
          <w:szCs w:val="24"/>
        </w:rPr>
      </w:pPr>
      <w:r w:rsidRPr="0050663D">
        <w:rPr>
          <w:rFonts w:cs="Times New Roman"/>
          <w:b/>
          <w:szCs w:val="24"/>
        </w:rPr>
        <w:t xml:space="preserve"> Water Supply Management Strategy </w:t>
      </w:r>
    </w:p>
    <w:p w:rsidR="0048464B" w:rsidRPr="0050663D" w:rsidRDefault="0048464B" w:rsidP="0048464B">
      <w:pPr>
        <w:pStyle w:val="BodyText"/>
        <w:spacing w:after="240" w:line="276" w:lineRule="auto"/>
        <w:jc w:val="both"/>
        <w:rPr>
          <w:rFonts w:cs="Times New Roman"/>
          <w:szCs w:val="24"/>
        </w:rPr>
      </w:pPr>
      <w:r w:rsidRPr="0050663D">
        <w:rPr>
          <w:rFonts w:cs="Times New Roman"/>
          <w:szCs w:val="24"/>
        </w:rPr>
        <w:t xml:space="preserve">An integrated approach to water supply management is a better alternative to conventional water supply management. In the integrated approach, the gap between supply and demand is addressed through demand management, use of alternative water sources and use of soft measures to improve treatment while in the conventional approach the main emphasis is on increasing supply and treatment capacities. An integrated approach also takes into account the linkages between water supply and other urban management sectors such as health, energy, waste management, transport, parks and recreation etc. Thus, the shift in approach from </w:t>
      </w:r>
      <w:r w:rsidRPr="0050663D">
        <w:rPr>
          <w:rFonts w:cs="Times New Roman"/>
          <w:szCs w:val="24"/>
        </w:rPr>
        <w:lastRenderedPageBreak/>
        <w:t>conventional to integrated water supply management can open up plenty of opportunities for a city to start developing a more sustainable water supply system. Some of the important integrated water supply management (IUWSM) strategies include</w:t>
      </w:r>
      <w:r>
        <w:rPr>
          <w:rFonts w:cs="Times New Roman"/>
          <w:szCs w:val="24"/>
        </w:rPr>
        <w:t xml:space="preserve"> the followings</w:t>
      </w:r>
      <w:r w:rsidRPr="0050663D">
        <w:rPr>
          <w:rFonts w:cs="Times New Roman"/>
          <w:szCs w:val="24"/>
        </w:rPr>
        <w:t>:</w:t>
      </w:r>
    </w:p>
    <w:p w:rsidR="0048464B" w:rsidRPr="00BB4F07" w:rsidRDefault="0048464B" w:rsidP="0048464B">
      <w:pPr>
        <w:pStyle w:val="Heading4"/>
        <w:jc w:val="both"/>
        <w:rPr>
          <w:i/>
        </w:rPr>
      </w:pPr>
      <w:r w:rsidRPr="00BB4F07">
        <w:rPr>
          <w:i/>
        </w:rPr>
        <w:t>Strategy WSS 1: Ensure improved governance and increased financial sustainability in water supply sector.</w:t>
      </w:r>
    </w:p>
    <w:p w:rsidR="0048464B" w:rsidRPr="00BB4F07" w:rsidRDefault="0048464B" w:rsidP="0048464B">
      <w:pPr>
        <w:jc w:val="both"/>
        <w:rPr>
          <w:szCs w:val="24"/>
        </w:rPr>
      </w:pPr>
      <w:r w:rsidRPr="00BB4F07">
        <w:rPr>
          <w:szCs w:val="24"/>
        </w:rPr>
        <w:t>Ineffective governance, poor operations, inadequate public service, and revenues far below sustainability needs, frustrate successful operations in the water supply sector. Investment programmes must be paired or even preceded by some institutional restructuring and improved financial performance.</w:t>
      </w:r>
    </w:p>
    <w:p w:rsidR="0048464B" w:rsidRPr="00BB4F07" w:rsidRDefault="0048464B" w:rsidP="0048464B">
      <w:pPr>
        <w:jc w:val="both"/>
        <w:rPr>
          <w:i/>
          <w:iCs/>
          <w:szCs w:val="24"/>
        </w:rPr>
      </w:pPr>
      <w:r w:rsidRPr="00BB4F07">
        <w:rPr>
          <w:i/>
          <w:iCs/>
          <w:szCs w:val="24"/>
        </w:rPr>
        <w:t xml:space="preserve">Sub-Strategy WSS 1.1: </w:t>
      </w:r>
      <w:r>
        <w:rPr>
          <w:i/>
          <w:iCs/>
          <w:szCs w:val="24"/>
        </w:rPr>
        <w:t>Provide e</w:t>
      </w:r>
      <w:r w:rsidRPr="00BB4F07">
        <w:rPr>
          <w:i/>
          <w:iCs/>
          <w:szCs w:val="24"/>
        </w:rPr>
        <w:t>ffective water service</w:t>
      </w:r>
      <w:r>
        <w:rPr>
          <w:i/>
          <w:iCs/>
          <w:szCs w:val="24"/>
        </w:rPr>
        <w:t>s</w:t>
      </w:r>
      <w:r w:rsidRPr="00BB4F07">
        <w:rPr>
          <w:i/>
          <w:iCs/>
          <w:szCs w:val="24"/>
        </w:rPr>
        <w:t xml:space="preserve"> </w:t>
      </w:r>
    </w:p>
    <w:p w:rsidR="0048464B" w:rsidRPr="00BB4F07" w:rsidRDefault="0048464B" w:rsidP="0048464B">
      <w:pPr>
        <w:jc w:val="both"/>
        <w:rPr>
          <w:szCs w:val="24"/>
        </w:rPr>
      </w:pPr>
      <w:r w:rsidRPr="00BB4F07">
        <w:rPr>
          <w:szCs w:val="24"/>
        </w:rPr>
        <w:t>While the public need of suitable water supply service may impose public ‘ownership’ and authority (as is, for instance, the stipulation by law in The Netherlands), the service providers need to function effectively and efficiently. It is important that water operators have sufficient and predicable revenues to bear their expenses. In this regard it will be important that water supply revenue serves the purpose of water supply operations and capital investments, and is segregated from parallel municipal expenditure (roads, drainage, solid waste, etc.).</w:t>
      </w:r>
    </w:p>
    <w:p w:rsidR="0048464B" w:rsidRPr="00BB4F07" w:rsidRDefault="0048464B" w:rsidP="0048464B">
      <w:pPr>
        <w:jc w:val="both"/>
        <w:rPr>
          <w:szCs w:val="24"/>
        </w:rPr>
      </w:pPr>
      <w:r w:rsidRPr="00BB4F07">
        <w:rPr>
          <w:szCs w:val="24"/>
        </w:rPr>
        <w:t>While GoB policy to introduce a regulatory authority for independent tariff setting could well be paired to corporatization, the sector needs would benefit from increased progress in its formalization and implementation;</w:t>
      </w:r>
    </w:p>
    <w:p w:rsidR="0048464B" w:rsidRPr="00BB4F07" w:rsidRDefault="0048464B" w:rsidP="0048464B">
      <w:pPr>
        <w:jc w:val="both"/>
        <w:rPr>
          <w:i/>
          <w:iCs/>
          <w:szCs w:val="24"/>
        </w:rPr>
      </w:pPr>
      <w:r w:rsidRPr="00BB4F07">
        <w:rPr>
          <w:i/>
          <w:iCs/>
          <w:szCs w:val="24"/>
        </w:rPr>
        <w:t xml:space="preserve">Sub-Strategy WSS 1.2: </w:t>
      </w:r>
      <w:r>
        <w:rPr>
          <w:i/>
          <w:iCs/>
          <w:szCs w:val="24"/>
        </w:rPr>
        <w:t xml:space="preserve">Achieve Sustainable Water Supply </w:t>
      </w:r>
    </w:p>
    <w:p w:rsidR="0048464B" w:rsidRPr="00BB4F07" w:rsidRDefault="0048464B" w:rsidP="0048464B">
      <w:pPr>
        <w:jc w:val="both"/>
        <w:rPr>
          <w:szCs w:val="24"/>
        </w:rPr>
      </w:pPr>
      <w:r w:rsidRPr="00BB4F07">
        <w:rPr>
          <w:szCs w:val="24"/>
        </w:rPr>
        <w:t>At present the water supply sector is not self-sustainable. In (almost) all cases revenue is insufficient to bear the full cost of both Operations and Maintenance and capital expenditure. In many cases revenue is insufficient to even allow for satisfactory Operations and Maintenance performance (paying for energy/chemicals for 24/7 service, allowing for budgets for leak repairs and meter replacements, etcetera). It is required that the revenue position of water operators improves to enable them to offer a satisfactory service. We need to find the spiral up (consumers are willing to pay (more) for good service), rather than going down further (consumers are unwilling to pay, and legislation is not keen to increase tariffs, while service is poor);</w:t>
      </w:r>
    </w:p>
    <w:p w:rsidR="0048464B" w:rsidRPr="00BB4F07" w:rsidRDefault="0048464B" w:rsidP="0048464B">
      <w:pPr>
        <w:jc w:val="both"/>
        <w:rPr>
          <w:i/>
          <w:iCs/>
          <w:szCs w:val="24"/>
        </w:rPr>
      </w:pPr>
      <w:r w:rsidRPr="00BB4F07">
        <w:rPr>
          <w:i/>
          <w:iCs/>
          <w:szCs w:val="24"/>
        </w:rPr>
        <w:t>Sub-Strategy WSS 1.3: Include incentives for sustainable performance on sectoral funding</w:t>
      </w:r>
    </w:p>
    <w:p w:rsidR="0048464B" w:rsidRPr="00BB4F07" w:rsidRDefault="0048464B" w:rsidP="0048464B">
      <w:pPr>
        <w:jc w:val="both"/>
        <w:rPr>
          <w:szCs w:val="24"/>
        </w:rPr>
      </w:pPr>
      <w:r w:rsidRPr="00BB4F07">
        <w:rPr>
          <w:szCs w:val="24"/>
        </w:rPr>
        <w:t>BDP2100 recommends that sector funding includes incentives for sustainable performance. GoB and IFI funding to water supply projects could be made conditional to sustainable operations: water operators applying for funds should prove effective Operations and Maintenance performance, or provide evidence of confirmed tariff adjustments to ensure financial sustainability.</w:t>
      </w:r>
    </w:p>
    <w:p w:rsidR="0048464B" w:rsidRPr="00BB4F07" w:rsidRDefault="0048464B" w:rsidP="0048464B">
      <w:pPr>
        <w:jc w:val="both"/>
        <w:rPr>
          <w:i/>
          <w:szCs w:val="24"/>
        </w:rPr>
      </w:pPr>
      <w:r w:rsidRPr="00BB4F07">
        <w:rPr>
          <w:i/>
          <w:szCs w:val="24"/>
        </w:rPr>
        <w:t xml:space="preserve">Sub-Strategy WSS 1.4: </w:t>
      </w:r>
      <w:r>
        <w:rPr>
          <w:i/>
          <w:szCs w:val="24"/>
        </w:rPr>
        <w:t>Adopt s</w:t>
      </w:r>
      <w:r w:rsidRPr="00BB4F07">
        <w:rPr>
          <w:i/>
          <w:szCs w:val="24"/>
        </w:rPr>
        <w:t>afety net tariff policy with suitable focus</w:t>
      </w:r>
    </w:p>
    <w:p w:rsidR="0048464B" w:rsidRPr="00BB4F07" w:rsidRDefault="0048464B" w:rsidP="0048464B">
      <w:pPr>
        <w:jc w:val="both"/>
        <w:rPr>
          <w:rFonts w:cs="Segoe UI"/>
          <w:i/>
          <w:szCs w:val="24"/>
        </w:rPr>
      </w:pPr>
      <w:r w:rsidRPr="00BB4F07">
        <w:rPr>
          <w:szCs w:val="24"/>
        </w:rPr>
        <w:lastRenderedPageBreak/>
        <w:t>Social concern (basic human needs) has prevented financial sustainability. To mitigate this restriction, block tariff systems with subsidized initial (low) consumption have been proposed. This is a sensible compromise to improve financial sustainability while ‘protecting’ low income user groups. The system must be focused however; in specifically serving low consumption categories (the Dhaka preposition with the initial monthly block of 24 m</w:t>
      </w:r>
      <w:r w:rsidRPr="00BB4F07">
        <w:rPr>
          <w:szCs w:val="24"/>
          <w:vertAlign w:val="superscript"/>
        </w:rPr>
        <w:t>3</w:t>
      </w:r>
      <w:r w:rsidRPr="00BB4F07">
        <w:rPr>
          <w:szCs w:val="24"/>
        </w:rPr>
        <w:t xml:space="preserve"> is well above PSU proposed categories of 3 (poor) to 10.5 (low income) m</w:t>
      </w:r>
      <w:r w:rsidRPr="00BB4F07">
        <w:rPr>
          <w:szCs w:val="24"/>
          <w:vertAlign w:val="superscript"/>
        </w:rPr>
        <w:t>3</w:t>
      </w:r>
      <w:r w:rsidRPr="00BB4F07">
        <w:rPr>
          <w:szCs w:val="24"/>
        </w:rPr>
        <w:t>/month categories.</w:t>
      </w:r>
    </w:p>
    <w:p w:rsidR="0048464B" w:rsidRPr="00BB4F07" w:rsidRDefault="0048464B" w:rsidP="0048464B">
      <w:pPr>
        <w:pStyle w:val="Heading4"/>
        <w:jc w:val="both"/>
        <w:rPr>
          <w:i/>
        </w:rPr>
      </w:pPr>
      <w:r w:rsidRPr="00BB4F07">
        <w:t>Strategy WSS 2: Maximize sustainable exploitation of groundwater for domestic water supply</w:t>
      </w:r>
    </w:p>
    <w:p w:rsidR="0048464B" w:rsidRPr="00BB4F07" w:rsidRDefault="0048464B" w:rsidP="0048464B">
      <w:pPr>
        <w:jc w:val="both"/>
        <w:rPr>
          <w:szCs w:val="24"/>
        </w:rPr>
      </w:pPr>
      <w:r w:rsidRPr="00BB4F07">
        <w:rPr>
          <w:szCs w:val="24"/>
        </w:rPr>
        <w:t>Groundwater will continue to be the preferred and obvious choice for water supply systems. Bangladesh will need to proceed on its policies to maximize its sustainable exploitation, and to ensure prioritized allocation to drinking water needs.</w:t>
      </w:r>
    </w:p>
    <w:p w:rsidR="0048464B" w:rsidRPr="00BB4F07" w:rsidRDefault="0048464B" w:rsidP="0048464B">
      <w:pPr>
        <w:jc w:val="both"/>
        <w:rPr>
          <w:i/>
          <w:iCs/>
          <w:szCs w:val="24"/>
        </w:rPr>
      </w:pPr>
      <w:r w:rsidRPr="00BB4F07">
        <w:rPr>
          <w:i/>
          <w:iCs/>
          <w:szCs w:val="24"/>
        </w:rPr>
        <w:t xml:space="preserve">Sub-Strategy WSS 2.1: Develop Hydrogeological knowledge base </w:t>
      </w:r>
    </w:p>
    <w:p w:rsidR="0048464B" w:rsidRPr="00BB4F07" w:rsidRDefault="0048464B" w:rsidP="0048464B">
      <w:pPr>
        <w:jc w:val="both"/>
        <w:rPr>
          <w:szCs w:val="24"/>
        </w:rPr>
      </w:pPr>
      <w:r w:rsidRPr="00BB4F07">
        <w:rPr>
          <w:szCs w:val="24"/>
        </w:rPr>
        <w:t>Good understanding of Bangladesh’ groundwater resources require to be augmented. Presence, quality, flow patterns, recharge quantification, and hydro-geo-chemistry mechanisms need to be better understood and mapped. If funds for development and maintenance of this knowledge base cannot be released from central budget, financial arrangements need to be ensured in water resources exploitation to accommodate for this expense.</w:t>
      </w:r>
    </w:p>
    <w:p w:rsidR="0048464B" w:rsidRPr="00BB4F07" w:rsidRDefault="0048464B" w:rsidP="0048464B">
      <w:pPr>
        <w:jc w:val="both"/>
        <w:rPr>
          <w:szCs w:val="24"/>
        </w:rPr>
      </w:pPr>
      <w:r w:rsidRPr="00BB4F07">
        <w:rPr>
          <w:szCs w:val="24"/>
        </w:rPr>
        <w:t>A particular field of further study is the hydro-geological behaviour of Arsenic. Current policy is to shift to alternative, low arsenic aquifers (deeper). We need to better understand the mechanisms of arsenic migration, as well as possibilities of its (en route) immobilization. These insights will substantially improve predictable safe yield applications;</w:t>
      </w:r>
    </w:p>
    <w:p w:rsidR="0048464B" w:rsidRPr="00BB4F07" w:rsidRDefault="0048464B" w:rsidP="0048464B">
      <w:pPr>
        <w:jc w:val="both"/>
        <w:rPr>
          <w:i/>
          <w:szCs w:val="24"/>
        </w:rPr>
      </w:pPr>
      <w:r w:rsidRPr="00BB4F07">
        <w:rPr>
          <w:i/>
          <w:szCs w:val="24"/>
        </w:rPr>
        <w:t xml:space="preserve">Sub-Strategy WSS 2.2: </w:t>
      </w:r>
      <w:r>
        <w:rPr>
          <w:i/>
          <w:szCs w:val="24"/>
        </w:rPr>
        <w:t xml:space="preserve">Ensure sustainable </w:t>
      </w:r>
      <w:r w:rsidRPr="00BB4F07">
        <w:rPr>
          <w:i/>
          <w:szCs w:val="24"/>
        </w:rPr>
        <w:t>allocation of groundwater amongst sectors</w:t>
      </w:r>
    </w:p>
    <w:p w:rsidR="0048464B" w:rsidRPr="00BB4F07" w:rsidRDefault="0048464B" w:rsidP="0048464B">
      <w:pPr>
        <w:jc w:val="both"/>
        <w:rPr>
          <w:szCs w:val="24"/>
        </w:rPr>
      </w:pPr>
      <w:r w:rsidRPr="00BB4F07">
        <w:rPr>
          <w:szCs w:val="24"/>
        </w:rPr>
        <w:t xml:space="preserve">Initiatives must </w:t>
      </w:r>
      <w:r>
        <w:rPr>
          <w:szCs w:val="24"/>
        </w:rPr>
        <w:t>be taken</w:t>
      </w:r>
      <w:r w:rsidRPr="00BB4F07">
        <w:rPr>
          <w:szCs w:val="24"/>
        </w:rPr>
        <w:t xml:space="preserve"> to apply </w:t>
      </w:r>
      <w:r>
        <w:rPr>
          <w:szCs w:val="24"/>
        </w:rPr>
        <w:t>rightful share</w:t>
      </w:r>
      <w:r w:rsidRPr="00BB4F07">
        <w:rPr>
          <w:szCs w:val="24"/>
        </w:rPr>
        <w:t xml:space="preserve"> policy in water resources allocation, and to enforce its practice by levies, monitoring and sanctions</w:t>
      </w:r>
      <w:r>
        <w:rPr>
          <w:szCs w:val="24"/>
        </w:rPr>
        <w:t xml:space="preserve"> among sectors</w:t>
      </w:r>
      <w:r w:rsidRPr="00BB4F07">
        <w:rPr>
          <w:szCs w:val="24"/>
        </w:rPr>
        <w:t>;</w:t>
      </w:r>
    </w:p>
    <w:p w:rsidR="0048464B" w:rsidRPr="00BB4F07" w:rsidRDefault="0048464B" w:rsidP="0048464B">
      <w:pPr>
        <w:jc w:val="both"/>
        <w:rPr>
          <w:i/>
          <w:iCs/>
          <w:szCs w:val="24"/>
        </w:rPr>
      </w:pPr>
      <w:r w:rsidRPr="00BB4F07">
        <w:rPr>
          <w:i/>
          <w:iCs/>
          <w:szCs w:val="24"/>
        </w:rPr>
        <w:t xml:space="preserve">Sub-Strategy WSS 2.3: Develop technology to remove Arsenic </w:t>
      </w:r>
      <w:r>
        <w:rPr>
          <w:i/>
          <w:iCs/>
          <w:szCs w:val="24"/>
        </w:rPr>
        <w:t>contamination</w:t>
      </w:r>
    </w:p>
    <w:p w:rsidR="0048464B" w:rsidRPr="00BB4F07" w:rsidRDefault="0048464B" w:rsidP="0048464B">
      <w:pPr>
        <w:jc w:val="both"/>
        <w:rPr>
          <w:rFonts w:cs="Segoe UI"/>
          <w:szCs w:val="24"/>
        </w:rPr>
      </w:pPr>
      <w:r w:rsidRPr="00BB4F07">
        <w:rPr>
          <w:szCs w:val="24"/>
        </w:rPr>
        <w:t>Arsenic is and will be part of Bangladesh’ groundwater reality. Bangladesh will need to continue its participation in arsenic removal technology for both on site and centralized systems. In view of mid-term to long-term development towards increased service levels (increased coverage by piped systems), ongoing trends towards centralized systems will accelerate in the years to come. In most cases IRP’s will effectively remove arsenic content to acceptably low levels. An area that needs further improvement is effective and safe (environmental) handling and disposal of arsenic sludge.  It is important that both the sector, as well as the general public, is aware that arsenic removal is a manageable technology. While being a challenge, involving additional technology and cost, arsenic groundwater will be ranked preferential over surface water (posing higher risks and involving higher costs).</w:t>
      </w:r>
    </w:p>
    <w:p w:rsidR="0048464B" w:rsidRPr="00BB4F07" w:rsidRDefault="0048464B" w:rsidP="0048464B">
      <w:pPr>
        <w:pStyle w:val="Heading4"/>
        <w:jc w:val="both"/>
        <w:rPr>
          <w:i/>
        </w:rPr>
      </w:pPr>
      <w:r w:rsidRPr="00BB4F07">
        <w:lastRenderedPageBreak/>
        <w:t>Strategy WSS 3: Shift</w:t>
      </w:r>
      <w:r>
        <w:t xml:space="preserve">ing towards alternative water </w:t>
      </w:r>
      <w:r w:rsidRPr="00BB4F07">
        <w:t>sources</w:t>
      </w:r>
    </w:p>
    <w:p w:rsidR="0048464B" w:rsidRPr="00BB4F07" w:rsidRDefault="0048464B" w:rsidP="0048464B">
      <w:pPr>
        <w:jc w:val="both"/>
        <w:rPr>
          <w:szCs w:val="24"/>
        </w:rPr>
      </w:pPr>
      <w:r w:rsidRPr="00BB4F07">
        <w:rPr>
          <w:szCs w:val="24"/>
        </w:rPr>
        <w:t>Groundwater being the preferred source for drinking water, it is quite apparent that its limited (regional) availability, will require a partial shift to alternative sources. For Bangladesh the obvious alternative in most instances will be surface water. Even apart from pollution/contamination, surface water poses a more complex technical challenge for safe drinking water production. Moreover, infrastructure lay out will result in larger, centralized systems as compared to small/medium scale groundwater systems. Effective and successful sector shift towards surface water (or even other sources like seawater and wastewater re-use) will only be feasible with improved professional capabilities, and effective governance within the sector. The higher cost level of surface water systems will underline the need for increased financial sustainability.</w:t>
      </w:r>
    </w:p>
    <w:p w:rsidR="0048464B" w:rsidRPr="00BB4F07" w:rsidRDefault="0048464B" w:rsidP="0048464B">
      <w:pPr>
        <w:jc w:val="both"/>
        <w:rPr>
          <w:i/>
          <w:iCs/>
          <w:szCs w:val="24"/>
        </w:rPr>
      </w:pPr>
      <w:r w:rsidRPr="00BB4F07">
        <w:rPr>
          <w:i/>
          <w:iCs/>
          <w:szCs w:val="24"/>
        </w:rPr>
        <w:t xml:space="preserve">Sub-Strategy WSS 3.1: </w:t>
      </w:r>
      <w:r>
        <w:rPr>
          <w:i/>
          <w:iCs/>
          <w:szCs w:val="24"/>
        </w:rPr>
        <w:t>Develop s</w:t>
      </w:r>
      <w:r w:rsidRPr="00BB4F07">
        <w:rPr>
          <w:i/>
          <w:iCs/>
          <w:szCs w:val="24"/>
        </w:rPr>
        <w:t xml:space="preserve">urface water based </w:t>
      </w:r>
      <w:r>
        <w:rPr>
          <w:i/>
          <w:iCs/>
          <w:szCs w:val="24"/>
        </w:rPr>
        <w:t xml:space="preserve">supply </w:t>
      </w:r>
      <w:r w:rsidRPr="00BB4F07">
        <w:rPr>
          <w:i/>
          <w:iCs/>
          <w:szCs w:val="24"/>
        </w:rPr>
        <w:t>systems for major cities</w:t>
      </w:r>
    </w:p>
    <w:p w:rsidR="0048464B" w:rsidRPr="00BB4F07" w:rsidRDefault="0048464B" w:rsidP="0048464B">
      <w:pPr>
        <w:jc w:val="both"/>
        <w:rPr>
          <w:szCs w:val="24"/>
        </w:rPr>
      </w:pPr>
      <w:r w:rsidRPr="00BB4F07">
        <w:rPr>
          <w:szCs w:val="24"/>
        </w:rPr>
        <w:t>Starting with Dhaka and Chittagong, Bangladesh will proceed on its (partial) shift towards surface water systems. This is inevitable, and desirable to cater for increasing municipal demand, while avoiding over exploitation of limited groundwater resources. The shift towards surface water systems needs to be supported by adequate technical, institutional and financial competence within the sector and its stakeholders;</w:t>
      </w:r>
    </w:p>
    <w:p w:rsidR="0048464B" w:rsidRPr="00BB4F07" w:rsidRDefault="0048464B" w:rsidP="0048464B">
      <w:pPr>
        <w:jc w:val="both"/>
        <w:rPr>
          <w:i/>
          <w:iCs/>
          <w:szCs w:val="24"/>
        </w:rPr>
      </w:pPr>
      <w:r w:rsidRPr="00BB4F07">
        <w:rPr>
          <w:i/>
          <w:iCs/>
          <w:szCs w:val="24"/>
        </w:rPr>
        <w:t xml:space="preserve">Sub-Strategy WSS 3.2: </w:t>
      </w:r>
      <w:r>
        <w:rPr>
          <w:i/>
          <w:iCs/>
          <w:szCs w:val="24"/>
        </w:rPr>
        <w:t xml:space="preserve">Promote </w:t>
      </w:r>
      <w:r w:rsidRPr="00BB4F07">
        <w:rPr>
          <w:i/>
          <w:iCs/>
          <w:szCs w:val="24"/>
        </w:rPr>
        <w:t>Desalination and wastewater re-use</w:t>
      </w:r>
    </w:p>
    <w:p w:rsidR="0048464B" w:rsidRPr="00BB4F07" w:rsidRDefault="0048464B" w:rsidP="0048464B">
      <w:pPr>
        <w:jc w:val="both"/>
        <w:rPr>
          <w:szCs w:val="24"/>
        </w:rPr>
      </w:pPr>
      <w:r w:rsidRPr="00BB4F07">
        <w:rPr>
          <w:szCs w:val="24"/>
        </w:rPr>
        <w:t>In the water supply sector, current revenue position awkwardly compares to unit costs required for advanced technology applications. However, specific regions (coast/salinity, Barind/scarcity) are recognized to pose resource challenges where advanced applications are required. Already small scale desalination is applied in coastal areas at effective unit prices that very much exceed common benchmarks in urban Bangladesh. Municipal need for (drinking) water will show the willingness to pay for being served.</w:t>
      </w:r>
    </w:p>
    <w:p w:rsidR="0048464B" w:rsidRPr="00BB4F07" w:rsidRDefault="0048464B" w:rsidP="0048464B">
      <w:pPr>
        <w:jc w:val="both"/>
        <w:rPr>
          <w:szCs w:val="24"/>
        </w:rPr>
      </w:pPr>
      <w:r w:rsidRPr="00BB4F07">
        <w:rPr>
          <w:szCs w:val="24"/>
        </w:rPr>
        <w:t>While wastewater re-use may find some scope of application in Bangladesh, it is likely (as elsewhere in the world) that its application will be towards non-potable use purpose (industry, agriculture, non-potable municipal).</w:t>
      </w:r>
    </w:p>
    <w:p w:rsidR="0048464B" w:rsidRPr="00BB4F07" w:rsidRDefault="0048464B" w:rsidP="0048464B">
      <w:pPr>
        <w:pStyle w:val="Heading4"/>
        <w:jc w:val="both"/>
      </w:pPr>
      <w:r w:rsidRPr="00BB4F07">
        <w:t>Strategy WSS 4: Stepping up the service ladder</w:t>
      </w:r>
    </w:p>
    <w:p w:rsidR="0048464B" w:rsidRPr="00BB4F07" w:rsidRDefault="0048464B" w:rsidP="0048464B">
      <w:pPr>
        <w:jc w:val="both"/>
        <w:rPr>
          <w:szCs w:val="24"/>
        </w:rPr>
      </w:pPr>
      <w:r w:rsidRPr="00BB4F07">
        <w:rPr>
          <w:szCs w:val="24"/>
        </w:rPr>
        <w:t xml:space="preserve">Bangladesh has shown successful development of water supply provision. Over 95% of Bangladesh population is reported to be served by improved water supply (although major improvement is still required with regard to arsenic exposure and faecal pollution). However, in furthering its SDG ambitions, and in line with economic development (towards middle income status), GoB is expected to aim for further service development. In water supply this may typically be constituted by a shift towards piped systems: the comfort of showers, flushed toilets, washing machines and other modern life amenities involves household water consumption levels that are not easily nor economically provided from on-site systems. Gradually coverage by piped water supply systems will increase (cities </w:t>
      </w:r>
      <w:r w:rsidRPr="00BB4F07">
        <w:rPr>
          <w:szCs w:val="24"/>
        </w:rPr>
        <w:sym w:font="Wingdings" w:char="F0E0"/>
      </w:r>
      <w:r w:rsidRPr="00BB4F07">
        <w:rPr>
          <w:szCs w:val="24"/>
        </w:rPr>
        <w:t xml:space="preserve"> towns </w:t>
      </w:r>
      <w:r w:rsidRPr="00BB4F07">
        <w:rPr>
          <w:szCs w:val="24"/>
        </w:rPr>
        <w:sym w:font="Wingdings" w:char="F0E0"/>
      </w:r>
      <w:r w:rsidRPr="00BB4F07">
        <w:rPr>
          <w:szCs w:val="24"/>
        </w:rPr>
        <w:t xml:space="preserve"> villages </w:t>
      </w:r>
      <w:r w:rsidRPr="00BB4F07">
        <w:rPr>
          <w:szCs w:val="24"/>
        </w:rPr>
        <w:sym w:font="Wingdings" w:char="F0E0"/>
      </w:r>
      <w:r w:rsidRPr="00BB4F07">
        <w:rPr>
          <w:szCs w:val="24"/>
        </w:rPr>
        <w:t xml:space="preserve"> rural areas).</w:t>
      </w:r>
    </w:p>
    <w:p w:rsidR="0048464B" w:rsidRPr="00BB4F07" w:rsidRDefault="0048464B" w:rsidP="0048464B">
      <w:pPr>
        <w:jc w:val="both"/>
        <w:rPr>
          <w:szCs w:val="24"/>
        </w:rPr>
      </w:pPr>
      <w:r w:rsidRPr="00BB4F07">
        <w:rPr>
          <w:szCs w:val="24"/>
        </w:rPr>
        <w:lastRenderedPageBreak/>
        <w:t xml:space="preserve">Sub-Strategy WSS 4.1: </w:t>
      </w:r>
      <w:r>
        <w:rPr>
          <w:szCs w:val="24"/>
        </w:rPr>
        <w:t>Expand</w:t>
      </w:r>
      <w:r w:rsidRPr="00BB4F07">
        <w:rPr>
          <w:szCs w:val="24"/>
        </w:rPr>
        <w:t xml:space="preserve"> piped system coverage </w:t>
      </w:r>
    </w:p>
    <w:p w:rsidR="0048464B" w:rsidRPr="00BB4F07" w:rsidRDefault="0048464B" w:rsidP="0048464B">
      <w:pPr>
        <w:jc w:val="both"/>
        <w:rPr>
          <w:szCs w:val="24"/>
        </w:rPr>
      </w:pPr>
      <w:r>
        <w:rPr>
          <w:szCs w:val="24"/>
        </w:rPr>
        <w:t>Piped system coverage</w:t>
      </w:r>
      <w:r w:rsidRPr="00BB4F07">
        <w:rPr>
          <w:szCs w:val="24"/>
        </w:rPr>
        <w:t xml:space="preserve"> needs to </w:t>
      </w:r>
      <w:r>
        <w:rPr>
          <w:szCs w:val="24"/>
        </w:rPr>
        <w:t xml:space="preserve">expand </w:t>
      </w:r>
      <w:r w:rsidRPr="00BB4F07">
        <w:rPr>
          <w:szCs w:val="24"/>
        </w:rPr>
        <w:t xml:space="preserve">gradually in coming years </w:t>
      </w:r>
      <w:r>
        <w:rPr>
          <w:szCs w:val="24"/>
        </w:rPr>
        <w:t>from cities</w:t>
      </w:r>
      <w:r w:rsidRPr="00BB4F07">
        <w:rPr>
          <w:szCs w:val="24"/>
        </w:rPr>
        <w:t xml:space="preserve"> to towns, </w:t>
      </w:r>
      <w:r>
        <w:rPr>
          <w:szCs w:val="24"/>
        </w:rPr>
        <w:t>towns to rural areas</w:t>
      </w:r>
      <w:r w:rsidRPr="00BB4F07">
        <w:rPr>
          <w:szCs w:val="24"/>
        </w:rPr>
        <w:t>. This requires competent, mandated service providers of suitable size and scale. The strategy to establish WASAs for major cities fits very well with this development. For towns (Pourashava’s) similar arrangements need to be accelerated. For smaller villages, and rural areas, a regional service provider, possibly by extension from Pourashava providers, needs to be established;</w:t>
      </w:r>
    </w:p>
    <w:p w:rsidR="0048464B" w:rsidRPr="00BB4F07" w:rsidRDefault="0048464B" w:rsidP="0048464B">
      <w:pPr>
        <w:jc w:val="both"/>
        <w:rPr>
          <w:szCs w:val="24"/>
        </w:rPr>
      </w:pPr>
      <w:r w:rsidRPr="00BB4F07">
        <w:rPr>
          <w:szCs w:val="24"/>
        </w:rPr>
        <w:t>S</w:t>
      </w:r>
      <w:r>
        <w:rPr>
          <w:szCs w:val="24"/>
        </w:rPr>
        <w:t>ub-Strategy WSS 4.2: Accelerate</w:t>
      </w:r>
      <w:r w:rsidRPr="00BB4F07">
        <w:rPr>
          <w:szCs w:val="24"/>
        </w:rPr>
        <w:t xml:space="preserve"> application of meter</w:t>
      </w:r>
      <w:r>
        <w:rPr>
          <w:szCs w:val="24"/>
        </w:rPr>
        <w:t xml:space="preserve"> system in water supply</w:t>
      </w:r>
    </w:p>
    <w:p w:rsidR="0048464B" w:rsidRPr="00BB4F07" w:rsidRDefault="0048464B" w:rsidP="0048464B">
      <w:pPr>
        <w:jc w:val="both"/>
        <w:rPr>
          <w:szCs w:val="24"/>
        </w:rPr>
      </w:pPr>
      <w:r>
        <w:rPr>
          <w:szCs w:val="24"/>
        </w:rPr>
        <w:t>Low</w:t>
      </w:r>
      <w:r w:rsidRPr="00BB4F07">
        <w:rPr>
          <w:szCs w:val="24"/>
        </w:rPr>
        <w:t xml:space="preserve"> revenue </w:t>
      </w:r>
      <w:r>
        <w:rPr>
          <w:szCs w:val="24"/>
        </w:rPr>
        <w:t xml:space="preserve">collection, </w:t>
      </w:r>
      <w:r w:rsidRPr="00BB4F07">
        <w:rPr>
          <w:szCs w:val="24"/>
        </w:rPr>
        <w:t xml:space="preserve">poor water quality and </w:t>
      </w:r>
      <w:r>
        <w:rPr>
          <w:szCs w:val="24"/>
        </w:rPr>
        <w:t xml:space="preserve">lack of regular </w:t>
      </w:r>
      <w:r w:rsidRPr="00BB4F07">
        <w:rPr>
          <w:szCs w:val="24"/>
        </w:rPr>
        <w:t>O&amp;M have restrained metering campaigns</w:t>
      </w:r>
      <w:r>
        <w:rPr>
          <w:szCs w:val="24"/>
        </w:rPr>
        <w:t xml:space="preserve"> in Bangladesh. In BDP2100, </w:t>
      </w:r>
      <w:r w:rsidRPr="00BB4F07">
        <w:rPr>
          <w:szCs w:val="24"/>
        </w:rPr>
        <w:t>strategies to increase metering</w:t>
      </w:r>
      <w:r>
        <w:rPr>
          <w:szCs w:val="24"/>
        </w:rPr>
        <w:t xml:space="preserve"> system </w:t>
      </w:r>
      <w:r w:rsidRPr="00BB4F07">
        <w:rPr>
          <w:szCs w:val="24"/>
        </w:rPr>
        <w:t>need to be amongst the high priorities to improve the status and sustainability of the sector.</w:t>
      </w:r>
    </w:p>
    <w:p w:rsidR="0048464B" w:rsidRDefault="0048464B" w:rsidP="0048464B">
      <w:pPr>
        <w:jc w:val="both"/>
        <w:rPr>
          <w:szCs w:val="24"/>
        </w:rPr>
      </w:pPr>
      <w:r w:rsidRPr="00BB4F07">
        <w:rPr>
          <w:szCs w:val="24"/>
        </w:rPr>
        <w:t>Sub-Stra</w:t>
      </w:r>
      <w:r>
        <w:rPr>
          <w:szCs w:val="24"/>
        </w:rPr>
        <w:t>tegy WSS 4.3: Reduction of Non-r</w:t>
      </w:r>
      <w:r w:rsidRPr="00BB4F07">
        <w:rPr>
          <w:szCs w:val="24"/>
        </w:rPr>
        <w:t>evenue Water</w:t>
      </w:r>
    </w:p>
    <w:p w:rsidR="0048464B" w:rsidRDefault="0048464B" w:rsidP="0048464B">
      <w:pPr>
        <w:jc w:val="both"/>
        <w:rPr>
          <w:szCs w:val="24"/>
        </w:rPr>
      </w:pPr>
      <w:r>
        <w:rPr>
          <w:szCs w:val="24"/>
        </w:rPr>
        <w:t xml:space="preserve">Reduce non-revenue water </w:t>
      </w:r>
      <w:r w:rsidRPr="00BB4F07">
        <w:rPr>
          <w:szCs w:val="24"/>
        </w:rPr>
        <w:t xml:space="preserve">portion </w:t>
      </w:r>
      <w:r>
        <w:rPr>
          <w:szCs w:val="24"/>
        </w:rPr>
        <w:t>to less than 10% by</w:t>
      </w:r>
      <w:r w:rsidRPr="00BB4F07">
        <w:rPr>
          <w:szCs w:val="24"/>
        </w:rPr>
        <w:t xml:space="preserve"> 2050</w:t>
      </w:r>
      <w:r w:rsidRPr="00DF53A3">
        <w:rPr>
          <w:szCs w:val="24"/>
        </w:rPr>
        <w:t xml:space="preserve"> </w:t>
      </w:r>
      <w:r>
        <w:rPr>
          <w:szCs w:val="24"/>
        </w:rPr>
        <w:t>by adopting full</w:t>
      </w:r>
      <w:r w:rsidRPr="00BB4F07">
        <w:rPr>
          <w:szCs w:val="24"/>
        </w:rPr>
        <w:t xml:space="preserve"> metering</w:t>
      </w:r>
      <w:r>
        <w:rPr>
          <w:szCs w:val="24"/>
        </w:rPr>
        <w:t xml:space="preserve"> system, technological</w:t>
      </w:r>
      <w:r w:rsidRPr="00BB4F07">
        <w:rPr>
          <w:szCs w:val="24"/>
        </w:rPr>
        <w:t xml:space="preserve"> improvements, and </w:t>
      </w:r>
      <w:r>
        <w:rPr>
          <w:szCs w:val="24"/>
        </w:rPr>
        <w:t xml:space="preserve">building institutional capacity. </w:t>
      </w:r>
      <w:r w:rsidRPr="00BB4F07">
        <w:rPr>
          <w:szCs w:val="24"/>
        </w:rPr>
        <w:t xml:space="preserve"> </w:t>
      </w:r>
    </w:p>
    <w:p w:rsidR="0048464B" w:rsidRPr="00BB4F07" w:rsidRDefault="0048464B" w:rsidP="0048464B">
      <w:pPr>
        <w:jc w:val="both"/>
        <w:rPr>
          <w:szCs w:val="24"/>
        </w:rPr>
      </w:pPr>
      <w:r w:rsidRPr="00BB4F07">
        <w:rPr>
          <w:szCs w:val="24"/>
        </w:rPr>
        <w:t>.</w:t>
      </w:r>
    </w:p>
    <w:p w:rsidR="0048464B" w:rsidRPr="00BB4F07" w:rsidRDefault="0048464B" w:rsidP="0048464B">
      <w:pPr>
        <w:pStyle w:val="Heading4"/>
        <w:jc w:val="both"/>
        <w:rPr>
          <w:b w:val="0"/>
          <w:bCs w:val="0"/>
          <w:i/>
        </w:rPr>
      </w:pPr>
      <w:r w:rsidRPr="00BB4F07">
        <w:t>Strategy WSS 5: Strengthening of institutional capacity for sustainable water supply</w:t>
      </w:r>
    </w:p>
    <w:p w:rsidR="0048464B" w:rsidRPr="00BB4F07" w:rsidRDefault="0048464B" w:rsidP="0048464B">
      <w:pPr>
        <w:jc w:val="both"/>
        <w:rPr>
          <w:szCs w:val="24"/>
        </w:rPr>
      </w:pPr>
      <w:r w:rsidRPr="00BB4F07">
        <w:rPr>
          <w:szCs w:val="24"/>
        </w:rPr>
        <w:t xml:space="preserve">Institutional responsibilities in the sanitation sector need to become more firm. The mandate, the institutional responsibilities, the O&amp;M roles and capabilities, and the cycle of costs, and revenues, have not yet sufficiently materialized in major cities, in towns and in villages and rural areas. The implementation of infrastructure needs to be combined with interventions to enable and develop executive institutions and a legislative framework. </w:t>
      </w:r>
    </w:p>
    <w:p w:rsidR="0048464B" w:rsidRPr="00BB4F07" w:rsidRDefault="0048464B" w:rsidP="0048464B">
      <w:pPr>
        <w:jc w:val="both"/>
        <w:rPr>
          <w:szCs w:val="24"/>
        </w:rPr>
      </w:pPr>
      <w:r w:rsidRPr="00BB4F07">
        <w:rPr>
          <w:i/>
          <w:iCs/>
          <w:szCs w:val="24"/>
        </w:rPr>
        <w:t>Sub-Strategy WSS 5.1:</w:t>
      </w:r>
      <w:r>
        <w:rPr>
          <w:i/>
          <w:iCs/>
          <w:szCs w:val="24"/>
        </w:rPr>
        <w:t xml:space="preserve">Ensure </w:t>
      </w:r>
      <w:r w:rsidRPr="00BB4F07">
        <w:rPr>
          <w:i/>
          <w:iCs/>
          <w:szCs w:val="24"/>
        </w:rPr>
        <w:t xml:space="preserve"> </w:t>
      </w:r>
      <w:r>
        <w:rPr>
          <w:i/>
          <w:iCs/>
          <w:szCs w:val="24"/>
        </w:rPr>
        <w:t>p</w:t>
      </w:r>
      <w:r w:rsidRPr="00BB4F07">
        <w:rPr>
          <w:i/>
          <w:iCs/>
          <w:szCs w:val="24"/>
        </w:rPr>
        <w:t>lanned</w:t>
      </w:r>
      <w:r>
        <w:rPr>
          <w:i/>
          <w:iCs/>
          <w:szCs w:val="24"/>
        </w:rPr>
        <w:t xml:space="preserve"> m</w:t>
      </w:r>
      <w:r w:rsidRPr="00BB4F07">
        <w:rPr>
          <w:i/>
          <w:iCs/>
          <w:szCs w:val="24"/>
        </w:rPr>
        <w:t>aintenance</w:t>
      </w:r>
      <w:r>
        <w:rPr>
          <w:i/>
          <w:iCs/>
          <w:szCs w:val="24"/>
        </w:rPr>
        <w:t xml:space="preserve"> and proper m</w:t>
      </w:r>
      <w:r w:rsidRPr="00BB4F07">
        <w:rPr>
          <w:i/>
          <w:iCs/>
          <w:szCs w:val="24"/>
        </w:rPr>
        <w:t>anagemen</w:t>
      </w:r>
      <w:r>
        <w:rPr>
          <w:i/>
          <w:iCs/>
          <w:szCs w:val="24"/>
        </w:rPr>
        <w:t>t</w:t>
      </w:r>
      <w:r w:rsidRPr="00BB4F07">
        <w:rPr>
          <w:i/>
          <w:iCs/>
          <w:szCs w:val="24"/>
        </w:rPr>
        <w:t xml:space="preserve"> </w:t>
      </w:r>
      <w:r>
        <w:rPr>
          <w:i/>
          <w:iCs/>
          <w:szCs w:val="24"/>
        </w:rPr>
        <w:t>of assets</w:t>
      </w:r>
    </w:p>
    <w:p w:rsidR="0048464B" w:rsidRPr="00BB4F07" w:rsidRDefault="0048464B" w:rsidP="0048464B">
      <w:pPr>
        <w:jc w:val="both"/>
        <w:rPr>
          <w:rFonts w:cs="Times New Roman"/>
          <w:szCs w:val="24"/>
        </w:rPr>
      </w:pPr>
      <w:r w:rsidRPr="00BB4F07">
        <w:rPr>
          <w:rFonts w:cs="Times New Roman"/>
          <w:szCs w:val="24"/>
        </w:rPr>
        <w:t xml:space="preserve">In order to keep the system functioning at optimum efficiency, it is necessary to develop a time bound plan for retrofitting and replacement of existing infrastructure. However, sustainability of water supply system requires that the existing infrastructure needs to be replaced or rehabilitated in a phased manner. It is also necessary to realize the significance of planned maintenance. The water agency should have a system of regular monitoring and planned maintenance with adequate resources allocated to the activity. </w:t>
      </w:r>
    </w:p>
    <w:p w:rsidR="0048464B" w:rsidRPr="00BB4F07" w:rsidRDefault="0048464B" w:rsidP="0048464B">
      <w:pPr>
        <w:jc w:val="both"/>
        <w:rPr>
          <w:szCs w:val="24"/>
        </w:rPr>
      </w:pPr>
      <w:r w:rsidRPr="00BB4F07">
        <w:rPr>
          <w:i/>
          <w:iCs/>
          <w:szCs w:val="24"/>
        </w:rPr>
        <w:t>Sub-Strategy WSS 5.2:</w:t>
      </w:r>
      <w:r>
        <w:rPr>
          <w:i/>
          <w:iCs/>
          <w:szCs w:val="24"/>
        </w:rPr>
        <w:t xml:space="preserve"> Build awareness through education</w:t>
      </w:r>
    </w:p>
    <w:p w:rsidR="0048464B" w:rsidRPr="00BB4F07" w:rsidRDefault="0048464B" w:rsidP="0048464B">
      <w:pPr>
        <w:jc w:val="both"/>
        <w:rPr>
          <w:rFonts w:cs="Times New Roman"/>
          <w:szCs w:val="24"/>
        </w:rPr>
      </w:pPr>
      <w:r w:rsidRPr="00BB4F07">
        <w:rPr>
          <w:rFonts w:cs="Times New Roman"/>
          <w:szCs w:val="24"/>
        </w:rPr>
        <w:t xml:space="preserve">People tend to think water </w:t>
      </w:r>
      <w:r>
        <w:rPr>
          <w:rFonts w:cs="Times New Roman"/>
          <w:szCs w:val="24"/>
        </w:rPr>
        <w:t>i</w:t>
      </w:r>
      <w:r w:rsidRPr="00BB4F07">
        <w:rPr>
          <w:rFonts w:cs="Times New Roman"/>
          <w:szCs w:val="24"/>
        </w:rPr>
        <w:t xml:space="preserve">s a </w:t>
      </w:r>
      <w:r>
        <w:rPr>
          <w:rFonts w:cs="Times New Roman"/>
          <w:szCs w:val="24"/>
        </w:rPr>
        <w:t>public</w:t>
      </w:r>
      <w:r w:rsidRPr="00BB4F07">
        <w:rPr>
          <w:rFonts w:cs="Times New Roman"/>
          <w:szCs w:val="24"/>
        </w:rPr>
        <w:t xml:space="preserve"> good</w:t>
      </w:r>
      <w:r>
        <w:rPr>
          <w:rFonts w:cs="Times New Roman"/>
          <w:szCs w:val="24"/>
        </w:rPr>
        <w:t xml:space="preserve"> with</w:t>
      </w:r>
      <w:r w:rsidRPr="00BB4F07">
        <w:rPr>
          <w:rFonts w:cs="Times New Roman"/>
          <w:szCs w:val="24"/>
        </w:rPr>
        <w:t xml:space="preserve"> unlimited supply. This often leads to wastage of water. Education and publicity campaigns can go a long way to convince people that clean water is a scarce resource which is costly to produce and therefore needs to be paid for accordingly.</w:t>
      </w:r>
    </w:p>
    <w:p w:rsidR="0048464B" w:rsidRDefault="0048464B" w:rsidP="0048464B">
      <w:pPr>
        <w:jc w:val="both"/>
        <w:rPr>
          <w:i/>
          <w:iCs/>
          <w:szCs w:val="24"/>
        </w:rPr>
      </w:pPr>
    </w:p>
    <w:p w:rsidR="0048464B" w:rsidRPr="00BB4F07" w:rsidRDefault="0048464B" w:rsidP="0048464B">
      <w:pPr>
        <w:jc w:val="both"/>
        <w:rPr>
          <w:i/>
          <w:iCs/>
          <w:szCs w:val="24"/>
        </w:rPr>
      </w:pPr>
      <w:r w:rsidRPr="00BB4F07">
        <w:rPr>
          <w:i/>
          <w:iCs/>
          <w:szCs w:val="24"/>
        </w:rPr>
        <w:lastRenderedPageBreak/>
        <w:t>Sub-Strategy WSS 5.3: Involvement of Stakeholders</w:t>
      </w:r>
    </w:p>
    <w:p w:rsidR="0048464B" w:rsidRPr="00BB4F07" w:rsidRDefault="0048464B" w:rsidP="0048464B">
      <w:pPr>
        <w:jc w:val="both"/>
        <w:rPr>
          <w:rFonts w:cs="Times New Roman"/>
          <w:szCs w:val="24"/>
        </w:rPr>
      </w:pPr>
      <w:r w:rsidRPr="00BB4F07">
        <w:rPr>
          <w:rFonts w:cs="Times New Roman"/>
          <w:szCs w:val="24"/>
        </w:rPr>
        <w:t>Sustainability of water supply management largely depends on the involvement of stakeholders in decision-making and implementation processes. Planners, developers, consultants, businesses, utilities and most importantly, users are among the stakeholders that have large influence in the success or failure of interventions designed to develop integrated water supply management system.</w:t>
      </w:r>
    </w:p>
    <w:p w:rsidR="0048464B" w:rsidRDefault="0048464B" w:rsidP="0048464B">
      <w:pPr>
        <w:jc w:val="both"/>
      </w:pPr>
    </w:p>
    <w:p w:rsidR="0048464B" w:rsidRPr="00EE4E55" w:rsidRDefault="0048464B" w:rsidP="003D5A31">
      <w:pPr>
        <w:pStyle w:val="Heading2"/>
        <w:numPr>
          <w:ilvl w:val="1"/>
          <w:numId w:val="262"/>
        </w:numPr>
        <w:rPr>
          <w:color w:val="FF0000"/>
        </w:rPr>
      </w:pPr>
      <w:bookmarkStart w:id="747" w:name="_Toc464328805"/>
      <w:r w:rsidRPr="00EE4E55">
        <w:t>Urban Sanitation and Waste Water Management</w:t>
      </w:r>
      <w:bookmarkEnd w:id="747"/>
    </w:p>
    <w:p w:rsidR="0048464B" w:rsidRPr="0050663D" w:rsidRDefault="0048464B" w:rsidP="0048464B">
      <w:pPr>
        <w:spacing w:line="276" w:lineRule="auto"/>
        <w:jc w:val="both"/>
        <w:rPr>
          <w:rFonts w:cs="Times New Roman"/>
          <w:bCs/>
          <w:i/>
          <w:szCs w:val="24"/>
        </w:rPr>
      </w:pPr>
      <w:r w:rsidRPr="00AF1CE9">
        <w:rPr>
          <w:color w:val="000000"/>
          <w:szCs w:val="24"/>
        </w:rPr>
        <w:t>Bangladesh has made significant progress in sanitation in terms of population coverage. The progress in sanitation started mainly in 1990</w:t>
      </w:r>
      <w:r>
        <w:rPr>
          <w:color w:val="000000"/>
          <w:szCs w:val="24"/>
        </w:rPr>
        <w:t>’s. The government</w:t>
      </w:r>
      <w:r w:rsidRPr="00AF1CE9">
        <w:rPr>
          <w:color w:val="000000"/>
          <w:szCs w:val="24"/>
        </w:rPr>
        <w:t xml:space="preserve"> conducted a baseline survey in 2003 which revealed that one-third of the population (33 percent) was using hygienic latrines while about one-fourth of the population (25 percent) was using unhygienic hanging latrines. The remaining </w:t>
      </w:r>
      <w:r w:rsidRPr="0050663D">
        <w:rPr>
          <w:rFonts w:cs="Times New Roman"/>
          <w:bCs/>
          <w:i/>
          <w:szCs w:val="24"/>
        </w:rPr>
        <w:t>42 percent was reported to open defecation</w:t>
      </w:r>
      <w:r w:rsidRPr="0050663D">
        <w:rPr>
          <w:i/>
          <w:szCs w:val="24"/>
        </w:rPr>
        <w:t xml:space="preserve">, </w:t>
      </w:r>
      <w:r w:rsidRPr="00AF1CE9">
        <w:rPr>
          <w:color w:val="000000"/>
          <w:szCs w:val="24"/>
        </w:rPr>
        <w:t xml:space="preserve">as they did not have access to any kind of latrine facility. </w:t>
      </w:r>
      <w:r w:rsidRPr="0050663D">
        <w:rPr>
          <w:rFonts w:cs="Times New Roman"/>
          <w:bCs/>
          <w:i/>
          <w:szCs w:val="24"/>
        </w:rPr>
        <w:t xml:space="preserve">This led the government to launch the national level sanitation campaign. The government also set a national sanitation goal of “100 percent sanitation by 2010”. Realizing the practical difficulties, this goal was revised in 2009 and the government set 2013 as the year for achieving “100 percent sanitation”. </w:t>
      </w:r>
    </w:p>
    <w:p w:rsidR="0048464B" w:rsidRPr="00AB592F" w:rsidRDefault="0048464B" w:rsidP="0048464B">
      <w:pPr>
        <w:spacing w:after="0"/>
        <w:jc w:val="both"/>
        <w:rPr>
          <w:color w:val="000000"/>
          <w:sz w:val="2"/>
          <w:szCs w:val="8"/>
        </w:rPr>
      </w:pPr>
    </w:p>
    <w:p w:rsidR="0048464B" w:rsidRPr="00C42A87" w:rsidRDefault="0048464B" w:rsidP="003D5A31">
      <w:pPr>
        <w:pStyle w:val="BodyText"/>
        <w:numPr>
          <w:ilvl w:val="2"/>
          <w:numId w:val="263"/>
        </w:numPr>
        <w:spacing w:after="240" w:line="276" w:lineRule="auto"/>
        <w:jc w:val="both"/>
        <w:rPr>
          <w:rFonts w:cs="Times New Roman"/>
          <w:b/>
          <w:szCs w:val="24"/>
        </w:rPr>
      </w:pPr>
      <w:r w:rsidRPr="00C42A87">
        <w:rPr>
          <w:rFonts w:cs="Times New Roman"/>
          <w:b/>
          <w:szCs w:val="24"/>
        </w:rPr>
        <w:t>Types of Sanitation Facilities</w:t>
      </w:r>
    </w:p>
    <w:p w:rsidR="0048464B" w:rsidRPr="00AF1CE9" w:rsidRDefault="0048464B" w:rsidP="0048464B">
      <w:pPr>
        <w:spacing w:line="276" w:lineRule="auto"/>
        <w:jc w:val="both"/>
        <w:rPr>
          <w:color w:val="000000"/>
          <w:szCs w:val="24"/>
        </w:rPr>
      </w:pPr>
      <w:r w:rsidRPr="00AF1CE9">
        <w:rPr>
          <w:color w:val="000000"/>
          <w:szCs w:val="24"/>
        </w:rPr>
        <w:t>JMP categorized sanitation facilities into improved, unimproved and shared. JMP definitions of these facilities are given below:</w:t>
      </w:r>
    </w:p>
    <w:p w:rsidR="0048464B" w:rsidRPr="00C81AAD" w:rsidRDefault="0048464B" w:rsidP="0048464B">
      <w:pPr>
        <w:spacing w:line="276" w:lineRule="auto"/>
        <w:jc w:val="both"/>
        <w:rPr>
          <w:b/>
          <w:i/>
          <w:color w:val="000000"/>
          <w:szCs w:val="24"/>
        </w:rPr>
      </w:pPr>
      <w:r w:rsidRPr="00C81AAD">
        <w:rPr>
          <w:b/>
          <w:i/>
          <w:color w:val="000000"/>
          <w:szCs w:val="24"/>
        </w:rPr>
        <w:t>Improved Sanitation Facilities</w:t>
      </w:r>
    </w:p>
    <w:p w:rsidR="0048464B" w:rsidRDefault="0048464B" w:rsidP="0048464B">
      <w:pPr>
        <w:spacing w:line="276" w:lineRule="auto"/>
        <w:jc w:val="both"/>
        <w:rPr>
          <w:color w:val="000000"/>
          <w:szCs w:val="24"/>
        </w:rPr>
      </w:pPr>
      <w:r w:rsidRPr="00AF1CE9">
        <w:rPr>
          <w:color w:val="000000"/>
          <w:szCs w:val="24"/>
        </w:rPr>
        <w:t>Sanitation facility that hygienically separates human excreta from human contact through the use of</w:t>
      </w:r>
    </w:p>
    <w:p w:rsidR="0048464B" w:rsidRPr="00AF1CE9" w:rsidRDefault="0048464B" w:rsidP="003D5A31">
      <w:pPr>
        <w:pStyle w:val="ListParagraph"/>
        <w:numPr>
          <w:ilvl w:val="0"/>
          <w:numId w:val="89"/>
        </w:numPr>
        <w:spacing w:line="276" w:lineRule="auto"/>
        <w:jc w:val="both"/>
        <w:rPr>
          <w:color w:val="000000"/>
          <w:szCs w:val="24"/>
        </w:rPr>
      </w:pPr>
      <w:r w:rsidRPr="00AF1CE9">
        <w:rPr>
          <w:color w:val="000000"/>
          <w:szCs w:val="24"/>
        </w:rPr>
        <w:t>Flush toilet</w:t>
      </w:r>
    </w:p>
    <w:p w:rsidR="0048464B" w:rsidRPr="00AF1CE9" w:rsidRDefault="0048464B" w:rsidP="003D5A31">
      <w:pPr>
        <w:pStyle w:val="ListParagraph"/>
        <w:numPr>
          <w:ilvl w:val="0"/>
          <w:numId w:val="89"/>
        </w:numPr>
        <w:spacing w:line="276" w:lineRule="auto"/>
        <w:jc w:val="both"/>
        <w:rPr>
          <w:color w:val="000000"/>
          <w:szCs w:val="24"/>
        </w:rPr>
      </w:pPr>
      <w:r w:rsidRPr="00AF1CE9">
        <w:rPr>
          <w:color w:val="000000"/>
          <w:szCs w:val="24"/>
        </w:rPr>
        <w:t>Piped sewer system</w:t>
      </w:r>
    </w:p>
    <w:p w:rsidR="0048464B" w:rsidRPr="00AF1CE9" w:rsidRDefault="0048464B" w:rsidP="003D5A31">
      <w:pPr>
        <w:pStyle w:val="ListParagraph"/>
        <w:numPr>
          <w:ilvl w:val="0"/>
          <w:numId w:val="89"/>
        </w:numPr>
        <w:spacing w:line="276" w:lineRule="auto"/>
        <w:jc w:val="both"/>
        <w:rPr>
          <w:color w:val="000000"/>
          <w:szCs w:val="24"/>
        </w:rPr>
      </w:pPr>
      <w:r w:rsidRPr="00AF1CE9">
        <w:rPr>
          <w:color w:val="000000"/>
          <w:szCs w:val="24"/>
        </w:rPr>
        <w:t>Septic tank</w:t>
      </w:r>
    </w:p>
    <w:p w:rsidR="0048464B" w:rsidRPr="00AF1CE9" w:rsidRDefault="0048464B" w:rsidP="003D5A31">
      <w:pPr>
        <w:pStyle w:val="ListParagraph"/>
        <w:numPr>
          <w:ilvl w:val="0"/>
          <w:numId w:val="89"/>
        </w:numPr>
        <w:spacing w:line="276" w:lineRule="auto"/>
        <w:jc w:val="both"/>
        <w:rPr>
          <w:color w:val="000000"/>
          <w:szCs w:val="24"/>
        </w:rPr>
      </w:pPr>
      <w:r w:rsidRPr="00AF1CE9">
        <w:rPr>
          <w:color w:val="000000"/>
          <w:szCs w:val="24"/>
        </w:rPr>
        <w:t xml:space="preserve">Ventilated improved pit latrine </w:t>
      </w:r>
    </w:p>
    <w:p w:rsidR="0048464B" w:rsidRPr="00AF1CE9" w:rsidRDefault="0048464B" w:rsidP="003D5A31">
      <w:pPr>
        <w:pStyle w:val="ListParagraph"/>
        <w:numPr>
          <w:ilvl w:val="0"/>
          <w:numId w:val="89"/>
        </w:numPr>
        <w:spacing w:line="276" w:lineRule="auto"/>
        <w:jc w:val="both"/>
        <w:rPr>
          <w:color w:val="000000"/>
          <w:szCs w:val="24"/>
        </w:rPr>
      </w:pPr>
      <w:r w:rsidRPr="00AF1CE9">
        <w:rPr>
          <w:color w:val="000000"/>
          <w:szCs w:val="24"/>
        </w:rPr>
        <w:t>Pit latrine with slab</w:t>
      </w:r>
    </w:p>
    <w:p w:rsidR="0048464B" w:rsidRPr="00C95B76" w:rsidRDefault="0048464B" w:rsidP="003D5A31">
      <w:pPr>
        <w:pStyle w:val="ListParagraph"/>
        <w:numPr>
          <w:ilvl w:val="0"/>
          <w:numId w:val="89"/>
        </w:numPr>
        <w:spacing w:line="276" w:lineRule="auto"/>
        <w:jc w:val="both"/>
        <w:rPr>
          <w:color w:val="000000"/>
          <w:szCs w:val="24"/>
        </w:rPr>
      </w:pPr>
      <w:r w:rsidRPr="00AF1CE9">
        <w:rPr>
          <w:color w:val="000000"/>
          <w:szCs w:val="24"/>
        </w:rPr>
        <w:t xml:space="preserve">Composting toilet </w:t>
      </w:r>
    </w:p>
    <w:p w:rsidR="0048464B" w:rsidRPr="00C81AAD" w:rsidRDefault="0048464B" w:rsidP="0048464B">
      <w:pPr>
        <w:spacing w:line="276" w:lineRule="auto"/>
        <w:jc w:val="both"/>
        <w:rPr>
          <w:b/>
          <w:i/>
          <w:color w:val="000000"/>
          <w:szCs w:val="24"/>
        </w:rPr>
      </w:pPr>
      <w:r w:rsidRPr="00C81AAD">
        <w:rPr>
          <w:b/>
          <w:i/>
          <w:color w:val="000000"/>
          <w:szCs w:val="24"/>
        </w:rPr>
        <w:t>Unimproved Sanitation Facilities</w:t>
      </w:r>
    </w:p>
    <w:p w:rsidR="0048464B" w:rsidRDefault="0048464B" w:rsidP="0048464B">
      <w:pPr>
        <w:spacing w:line="276" w:lineRule="auto"/>
        <w:jc w:val="both"/>
        <w:rPr>
          <w:color w:val="000000"/>
          <w:szCs w:val="24"/>
        </w:rPr>
      </w:pPr>
      <w:r w:rsidRPr="00AF1CE9">
        <w:rPr>
          <w:color w:val="000000"/>
          <w:szCs w:val="24"/>
        </w:rPr>
        <w:t>Unimproved sanitation facilities include the following:</w:t>
      </w:r>
    </w:p>
    <w:p w:rsidR="0048464B" w:rsidRPr="00AF1CE9" w:rsidRDefault="0048464B" w:rsidP="003D5A31">
      <w:pPr>
        <w:pStyle w:val="ListParagraph"/>
        <w:numPr>
          <w:ilvl w:val="0"/>
          <w:numId w:val="90"/>
        </w:numPr>
        <w:spacing w:line="276" w:lineRule="auto"/>
        <w:jc w:val="both"/>
        <w:rPr>
          <w:color w:val="000000"/>
          <w:szCs w:val="24"/>
        </w:rPr>
      </w:pPr>
      <w:r w:rsidRPr="00AF1CE9">
        <w:rPr>
          <w:color w:val="000000"/>
          <w:szCs w:val="24"/>
        </w:rPr>
        <w:lastRenderedPageBreak/>
        <w:t>Flush or pour flush to elsewhere (excreta are flushed to open sewer, a ditch, a drainage way or other location)</w:t>
      </w:r>
    </w:p>
    <w:p w:rsidR="0048464B" w:rsidRPr="00AF1CE9" w:rsidRDefault="0048464B" w:rsidP="003D5A31">
      <w:pPr>
        <w:pStyle w:val="ListParagraph"/>
        <w:numPr>
          <w:ilvl w:val="0"/>
          <w:numId w:val="90"/>
        </w:numPr>
        <w:spacing w:line="276" w:lineRule="auto"/>
        <w:jc w:val="both"/>
        <w:rPr>
          <w:color w:val="000000"/>
          <w:szCs w:val="24"/>
        </w:rPr>
      </w:pPr>
      <w:r w:rsidRPr="00AF1CE9">
        <w:rPr>
          <w:color w:val="000000"/>
          <w:szCs w:val="24"/>
        </w:rPr>
        <w:t>Pit latrine without slab or open pit</w:t>
      </w:r>
    </w:p>
    <w:p w:rsidR="0048464B" w:rsidRPr="00AF1CE9" w:rsidRDefault="0048464B" w:rsidP="003D5A31">
      <w:pPr>
        <w:pStyle w:val="ListParagraph"/>
        <w:numPr>
          <w:ilvl w:val="0"/>
          <w:numId w:val="90"/>
        </w:numPr>
        <w:spacing w:line="276" w:lineRule="auto"/>
        <w:jc w:val="both"/>
        <w:rPr>
          <w:color w:val="000000"/>
          <w:szCs w:val="24"/>
        </w:rPr>
      </w:pPr>
      <w:r w:rsidRPr="00AF1CE9">
        <w:rPr>
          <w:color w:val="000000"/>
          <w:szCs w:val="24"/>
        </w:rPr>
        <w:t>Bucket</w:t>
      </w:r>
    </w:p>
    <w:p w:rsidR="0048464B" w:rsidRPr="00AF1CE9" w:rsidRDefault="0048464B" w:rsidP="003D5A31">
      <w:pPr>
        <w:pStyle w:val="ListParagraph"/>
        <w:numPr>
          <w:ilvl w:val="0"/>
          <w:numId w:val="90"/>
        </w:numPr>
        <w:spacing w:line="276" w:lineRule="auto"/>
        <w:jc w:val="both"/>
        <w:rPr>
          <w:color w:val="000000"/>
          <w:szCs w:val="24"/>
        </w:rPr>
      </w:pPr>
      <w:r w:rsidRPr="00AF1CE9">
        <w:rPr>
          <w:color w:val="000000"/>
          <w:szCs w:val="24"/>
        </w:rPr>
        <w:t xml:space="preserve">Hanging latrine </w:t>
      </w:r>
    </w:p>
    <w:p w:rsidR="0048464B" w:rsidRPr="00C81AAD" w:rsidRDefault="0048464B" w:rsidP="0048464B">
      <w:pPr>
        <w:spacing w:line="276" w:lineRule="auto"/>
        <w:jc w:val="both"/>
        <w:rPr>
          <w:b/>
          <w:i/>
          <w:color w:val="000000"/>
          <w:szCs w:val="24"/>
        </w:rPr>
      </w:pPr>
      <w:r w:rsidRPr="00C81AAD">
        <w:rPr>
          <w:b/>
          <w:i/>
          <w:color w:val="000000"/>
          <w:szCs w:val="24"/>
        </w:rPr>
        <w:t>Shared Sanitation Facilities</w:t>
      </w:r>
    </w:p>
    <w:p w:rsidR="0048464B" w:rsidRPr="00AF1CE9" w:rsidRDefault="0048464B" w:rsidP="0048464B">
      <w:pPr>
        <w:spacing w:line="276" w:lineRule="auto"/>
        <w:jc w:val="both"/>
        <w:rPr>
          <w:color w:val="000000"/>
          <w:szCs w:val="24"/>
        </w:rPr>
      </w:pPr>
      <w:r w:rsidRPr="00AF1CE9">
        <w:rPr>
          <w:color w:val="000000"/>
          <w:szCs w:val="24"/>
        </w:rPr>
        <w:t>Shared sanitation facilities refer to all public toilet facilities and sanitation facilities (although of an unimproved kind), which are shared b</w:t>
      </w:r>
      <w:r>
        <w:rPr>
          <w:color w:val="000000"/>
          <w:szCs w:val="24"/>
        </w:rPr>
        <w:t xml:space="preserve">etween two or more households. </w:t>
      </w:r>
      <w:r w:rsidRPr="00AF1CE9">
        <w:rPr>
          <w:color w:val="000000"/>
          <w:szCs w:val="24"/>
        </w:rPr>
        <w:t>Types of sanitation facilities in Bangladesh can also be summarized in the form</w:t>
      </w:r>
      <w:r>
        <w:rPr>
          <w:color w:val="000000"/>
          <w:szCs w:val="24"/>
        </w:rPr>
        <w:t xml:space="preserve"> of a ladder as shown in F</w:t>
      </w:r>
      <w:r w:rsidRPr="00AF1CE9">
        <w:rPr>
          <w:color w:val="000000"/>
          <w:szCs w:val="24"/>
        </w:rPr>
        <w:t xml:space="preserve">igure </w:t>
      </w:r>
      <w:r>
        <w:rPr>
          <w:color w:val="000000"/>
          <w:szCs w:val="24"/>
        </w:rPr>
        <w:t>10.2</w:t>
      </w:r>
      <w:r w:rsidRPr="00AF1CE9">
        <w:rPr>
          <w:color w:val="000000"/>
          <w:szCs w:val="24"/>
        </w:rPr>
        <w:t xml:space="preserve">. </w:t>
      </w:r>
      <w:r>
        <w:rPr>
          <w:color w:val="000000"/>
          <w:szCs w:val="24"/>
        </w:rPr>
        <w:t xml:space="preserve"> </w:t>
      </w:r>
    </w:p>
    <w:p w:rsidR="0048464B" w:rsidRPr="00101CE9" w:rsidRDefault="0048464B" w:rsidP="0048464B">
      <w:pPr>
        <w:jc w:val="center"/>
        <w:rPr>
          <w:b/>
        </w:rPr>
      </w:pPr>
      <w:bookmarkStart w:id="748" w:name="_Toc464329089"/>
      <w:r w:rsidRPr="00101CE9">
        <w:rPr>
          <w:b/>
        </w:rPr>
        <w:t>Figure 10.2: Sanitation Ladder in Bangladesh</w:t>
      </w:r>
      <w:bookmarkEnd w:id="748"/>
      <w:r w:rsidRPr="00101CE9">
        <w:rPr>
          <w:b/>
        </w:rPr>
        <w:t xml:space="preserve"> </w:t>
      </w:r>
    </w:p>
    <w:p w:rsidR="0048464B" w:rsidRPr="00985A09" w:rsidRDefault="0048464B" w:rsidP="0048464B">
      <w:pPr>
        <w:ind w:left="720"/>
        <w:rPr>
          <w:szCs w:val="24"/>
        </w:rPr>
      </w:pPr>
      <w:r w:rsidRPr="0088636C">
        <w:rPr>
          <w:noProof/>
          <w:szCs w:val="24"/>
        </w:rPr>
      </w:r>
      <w:r>
        <w:rPr>
          <w:noProof/>
          <w:szCs w:val="24"/>
        </w:rPr>
        <w:pict>
          <v:group id="Group 16" o:spid="_x0000_s1216" style="width:403.5pt;height:250.9pt;mso-position-horizontal-relative:char;mso-position-vertical-relative:line" coordsize="45339,39147">
            <v:group id="Group 9" o:spid="_x0000_s1217" style="position:absolute;left:12573;width:32766;height:38481" coordsize="32766,38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shape id="AutoShape 150" o:spid="_x0000_s1218" type="#_x0000_t32" style="position:absolute;left:666;width:32100;height:3810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LwhMMAAADcAAAADwAAAGRycy9kb3ducmV2LnhtbESPTWvCQBCG7wX/wzKCt7qxiB/RVUQo&#10;ePBSayG9DdkxCWZnw+6q8d87h0JvM8z78cx627tW3SnExrOByTgDRVx623Bl4Pz9+b4AFROyxdYz&#10;GXhShO1m8LbG3PoHf9H9lColIRxzNFCn1OVax7Imh3HsO2K5XXxwmGQNlbYBHxLuWv2RZTPtsGFp&#10;qLGjfU3l9XRzUtLNf+2s2AX9cy7szc2n/rgsjBkN+90KVKI+/Yv/3Acr+AuhlWdkAr1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8ITDAAAA3AAAAA8AAAAAAAAAAAAA&#10;AAAAoQIAAGRycy9kb3ducmV2LnhtbFBLBQYAAAAABAAEAPkAAACRAwAAAAA=&#10;" strokeweight="1pt">
                <v:stroke endarrow="block" joinstyle="miter"/>
              </v:shape>
              <v:oval id="Oval 151" o:spid="_x0000_s1219" style="position:absolute;top:36861;width:1619;height:16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eSTsYA&#10;AADcAAAADwAAAGRycy9kb3ducmV2LnhtbESPQWvCQBCF74L/YRnBm25aSonRVWyh1Npe1FKv0+yY&#10;DWZnQ3ZN4r93hUJvM7w373uzWPW2Ei01vnSs4GGagCDOnS65UPB9eJukIHxA1lg5JgVX8rBaDgcL&#10;zLTreEftPhQihrDPUIEJoc6k9Lkhi37qauKonVxjMcS1KaRusIvhtpKPSfIsLZYcCQZrejWUn/cX&#10;GyFfv++f29Nm/WJ+0u7pePhoz7ZWajzq13MQgfrwb/673uhYP53B/Zk4gV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eSTsYAAADcAAAADwAAAAAAAAAAAAAAAACYAgAAZHJz&#10;L2Rvd25yZXYueG1sUEsFBgAAAAAEAAQA9QAAAIsDAAAAAA==&#10;" fillcolor="#4f81bd" strokeweight="1pt">
                <v:stroke joinstyle="miter"/>
              </v:oval>
              <v:oval id="Oval 4" o:spid="_x0000_s1220" style="position:absolute;left:6096;top:30003;width:1619;height:16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StDsUA&#10;AADcAAAADwAAAGRycy9kb3ducmV2LnhtbESPTU/CQBCG7yb+h82YcJOtxhAsLARNjKBcBALXsTt0&#10;G7qzTXdp6793DibeZjLvxzPz5eBr1VEbq8AGHsYZKOIi2IpLA4f92/0UVEzIFuvAZOCHIiwXtzdz&#10;zG3o+Yu6XSqVhHDM0YBLqcm1joUjj3EcGmK5nUPrMcnaltq22Eu4r/Vjlk20x4qlwWFDr46Ky+7q&#10;pWT7/f75cV6vXtxx2j+d9pvu4htjRnfDagYq0ZD+xX/utRX8Z8GXZ2QC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lK0OxQAAANwAAAAPAAAAAAAAAAAAAAAAAJgCAABkcnMv&#10;ZG93bnJldi54bWxQSwUGAAAAAAQABAD1AAAAigMAAAAA&#10;" fillcolor="#4f81bd" strokeweight="1pt">
                <v:stroke joinstyle="miter"/>
              </v:oval>
              <v:oval id="Oval 5" o:spid="_x0000_s1221" style="position:absolute;left:11525;top:23336;width:1619;height:16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gIlcYA&#10;AADcAAAADwAAAGRycy9kb3ducmV2LnhtbESPQWvCQBCF70L/wzIFb7qxlGKjq6hQaq2XatHrmB2z&#10;wexsyK5J/PeuUOhthvfmfW+m886WoqHaF44VjIYJCOLM6YJzBb/7j8EYhA/IGkvHpOBGHuazp94U&#10;U+1a/qFmF3IRQ9inqMCEUKVS+syQRT90FXHUzq62GOJa51LX2MZwW8qXJHmTFguOBIMVrQxll93V&#10;Rsj29Pm9Oa8XS3MYt6/H/VdzsZVS/eduMQERqAv/5r/rtY7130fweCZO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gIlcYAAADcAAAADwAAAAAAAAAAAAAAAACYAgAAZHJz&#10;L2Rvd25yZXYueG1sUEsFBgAAAAAEAAQA9QAAAIsDAAAAAA==&#10;" fillcolor="#4f81bd" strokeweight="1pt">
                <v:stroke joinstyle="miter"/>
              </v:oval>
              <v:oval id="Oval 6" o:spid="_x0000_s1222" style="position:absolute;left:16859;top:16954;width:1619;height:16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GQ4cYA&#10;AADcAAAADwAAAGRycy9kb3ducmV2LnhtbESPQWvCQBCF7wX/wzJCb3VjKaLRVbRQatVLVfQ6Zsds&#10;MDsbstsk/vtuQehthvfmfW9mi86WoqHaF44VDAcJCOLM6YJzBcfDx8sYhA/IGkvHpOBOHhbz3tMM&#10;U+1a/qZmH3IRQ9inqMCEUKVS+syQRT9wFXHUrq62GOJa51LX2MZwW8rXJBlJiwVHgsGK3g1lt/2P&#10;jZDd5XO7ua6XK3Mat2/nw1dzs5VSz/1uOQURqAv/5sf1Wsf6kxH8PRMn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GQ4cYAAADcAAAADwAAAAAAAAAAAAAAAACYAgAAZHJz&#10;L2Rvd25yZXYueG1sUEsFBgAAAAAEAAQA9QAAAIsDAAAAAA==&#10;" fillcolor="#4f81bd" strokeweight="1pt">
                <v:stroke joinstyle="miter"/>
              </v:oval>
              <v:oval id="Oval 7" o:spid="_x0000_s1223" style="position:absolute;left:22193;top:10668;width:1619;height:16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01escA&#10;AADcAAAADwAAAGRycy9kb3ducmV2LnhtbESPT2vCQBDF7wW/wzJCb3VjKVWjq9hCqa29+Ae9jtkx&#10;G8zOhuw2id/eLQi9zfDevN+b2aKzpWio9oVjBcNBAoI4c7rgXMF+9/E0BuEDssbSMSm4kofFvPcw&#10;w1S7ljfUbEMuYgj7FBWYEKpUSp8ZsugHriKO2tnVFkNc61zqGtsYbkv5nCSv0mLBkWCwondD2WX7&#10;ayPk5/S5/j6vlm/mMG5fjruv5mIrpR773XIKIlAX/s3365WO9Scj+HsmTi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9NXrHAAAA3AAAAA8AAAAAAAAAAAAAAAAAmAIAAGRy&#10;cy9kb3ducmV2LnhtbFBLBQYAAAAABAAEAPUAAACMAwAAAAA=&#10;" fillcolor="#4f81bd" strokeweight="1pt">
                <v:stroke joinstyle="miter"/>
              </v:oval>
              <v:oval id="Oval 8" o:spid="_x0000_s1224" style="position:absolute;left:28003;top:4000;width:1619;height:161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KhCMUA&#10;AADcAAAADwAAAGRycy9kb3ducmV2LnhtbESPTU/CQBCG7yb+h82YcJOtxhAsLARNjKBcBALXsTt0&#10;G7qzTXdp6793DibeZjLvxzPz5eBr1VEbq8AGHsYZKOIi2IpLA4f92/0UVEzIFuvAZOCHIiwXtzdz&#10;zG3o+Yu6XSqVhHDM0YBLqcm1joUjj3EcGmK5nUPrMcnaltq22Eu4r/Vjlk20x4qlwWFDr46Ky+7q&#10;pWT7/f75cV6vXtxx2j+d9pvu4htjRnfDagYq0ZD+xX/utRX8Z6GVZ2QC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4qEIxQAAANwAAAAPAAAAAAAAAAAAAAAAAJgCAABkcnMv&#10;ZG93bnJldi54bWxQSwUGAAAAAAQABAD1AAAAigMAAAAA&#10;" fillcolor="#4f81bd" strokeweight="1pt">
                <v:stroke joinstyle="miter"/>
              </v:oval>
            </v:group>
            <v:rect id="Rectangle 10" o:spid="_x0000_s1225" style="position:absolute;top:36195;width:14192;height:29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oIMMA&#10;AADcAAAADwAAAGRycy9kb3ducmV2LnhtbERPS2vCQBC+F/wPywjedNOiotFVSkpBqSA+Lt6G7DRJ&#10;m50Nu2uS/vtuQehtPr7nrLe9qUVLzleWFTxPEhDEudUVFwqul/fxAoQPyBpry6TghzxsN4OnNaba&#10;dnyi9hwKEUPYp6igDKFJpfR5SQb9xDbEkfu0zmCI0BVSO+xiuKnlS5LMpcGKY0OJDWUl5d/nu1Fw&#10;m33JY5V1eD/s3z5mrbNJNrVKjYb96wpEoD78ix/unY7zl0v4eyZe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CoIMMAAADcAAAADwAAAAAAAAAAAAAAAACYAgAAZHJzL2Rv&#10;d25yZXYueG1sUEsFBgAAAAAEAAQA9QAAAIgDAAAAAA==&#10;" filled="f" strokeweight="1pt">
              <v:textbox>
                <w:txbxContent>
                  <w:p w:rsidR="0048464B" w:rsidRPr="000E2FE0" w:rsidRDefault="0048464B" w:rsidP="0048464B">
                    <w:pPr>
                      <w:jc w:val="center"/>
                      <w:rPr>
                        <w:color w:val="000000"/>
                        <w:sz w:val="20"/>
                        <w:szCs w:val="20"/>
                      </w:rPr>
                    </w:pPr>
                    <w:r w:rsidRPr="000E2FE0">
                      <w:rPr>
                        <w:color w:val="000000"/>
                        <w:sz w:val="20"/>
                        <w:szCs w:val="20"/>
                      </w:rPr>
                      <w:t xml:space="preserve"> Defecation </w:t>
                    </w:r>
                  </w:p>
                  <w:p w:rsidR="0048464B" w:rsidRDefault="0048464B" w:rsidP="0048464B"/>
                  <w:p w:rsidR="0048464B" w:rsidRDefault="0048464B" w:rsidP="0048464B">
                    <w:r w:rsidRPr="000E2FE0">
                      <w:rPr>
                        <w:color w:val="000000"/>
                        <w:sz w:val="20"/>
                        <w:szCs w:val="24"/>
                      </w:rPr>
                      <w:t xml:space="preserve">Pit </w:t>
                    </w:r>
                  </w:p>
                </w:txbxContent>
              </v:textbox>
            </v:rect>
            <v:rect id="Rectangle 11" o:spid="_x0000_s1226" style="position:absolute;left:2476;top:28575;width:17431;height:29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1RsQA&#10;AADcAAAADwAAAGRycy9kb3ducmV2LnhtbESPT2vCQBTE70K/w/IK3urGokWia5CUQqUFUXvp7ZF9&#10;Jmmzb8Pu5o/fvlsQPA4z8xtmk42mET05X1tWMJ8lIIgLq2suFXyd355WIHxA1thYJgVX8pBtHyYb&#10;TLUd+Ej9KZQiQtinqKAKoU2l9EVFBv3MtsTRu1hnMETpSqkdDhFuGvmcJC/SYM1xocKW8oqK31Nn&#10;FHwvf+ShzgfsPvevH8ve2SRfWKWmj+NuDSLQGO7hW/tdK4hE+D8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V9UbEAAAA3AAAAA8AAAAAAAAAAAAAAAAAmAIAAGRycy9k&#10;b3ducmV2LnhtbFBLBQYAAAAABAAEAPUAAACJAwAAAAA=&#10;" filled="f" strokeweight="1pt">
              <v:textbox>
                <w:txbxContent>
                  <w:p w:rsidR="0048464B" w:rsidRPr="000E2FE0" w:rsidRDefault="0048464B" w:rsidP="0048464B">
                    <w:pPr>
                      <w:jc w:val="center"/>
                      <w:rPr>
                        <w:color w:val="000000"/>
                        <w:sz w:val="20"/>
                        <w:szCs w:val="24"/>
                      </w:rPr>
                    </w:pPr>
                    <w:r w:rsidRPr="000E2FE0">
                      <w:rPr>
                        <w:color w:val="000000"/>
                        <w:sz w:val="20"/>
                        <w:szCs w:val="24"/>
                      </w:rPr>
                      <w:t xml:space="preserve">Latrine without Slab </w:t>
                    </w:r>
                  </w:p>
                  <w:p w:rsidR="0048464B" w:rsidRDefault="0048464B" w:rsidP="0048464B"/>
                  <w:p w:rsidR="0048464B" w:rsidRDefault="0048464B" w:rsidP="0048464B">
                    <w:r w:rsidRPr="000E2FE0">
                      <w:rPr>
                        <w:color w:val="000000"/>
                        <w:sz w:val="20"/>
                        <w:szCs w:val="24"/>
                      </w:rPr>
                      <w:t>Pour</w:t>
                    </w:r>
                  </w:p>
                </w:txbxContent>
              </v:textbox>
            </v:rect>
            <v:rect id="Rectangle 12" o:spid="_x0000_s1227" style="position:absolute;left:666;top:21717;width:24480;height:48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OIksUA&#10;AADcAAAADwAAAGRycy9kb3ducmV2LnhtbESPQWvCQBSE74X+h+UVetONUrWkriKRQqVCaeylt0f2&#10;mUSzb8PumsR/3xWEHoeZ+YZZrgfTiI6cry0rmIwTEMSF1TWXCn4O76NXED4ga2wsk4IreVivHh+W&#10;mGrb8zd1eShFhLBPUUEVQptK6YuKDPqxbYmjd7TOYIjSlVI77CPcNHKaJHNpsOa4UGFLWUXFOb8Y&#10;Bb+zk/yqsx4v+932c9Y5m2QvVqnnp2HzBiLQEP7D9/aHVjCdL+B2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44iSxQAAANwAAAAPAAAAAAAAAAAAAAAAAJgCAABkcnMv&#10;ZG93bnJldi54bWxQSwUGAAAAAAQABAD1AAAAigMAAAAA&#10;" filled="f" strokeweight="1pt">
              <v:textbox>
                <w:txbxContent>
                  <w:p w:rsidR="0048464B" w:rsidRPr="000E2FE0" w:rsidRDefault="0048464B" w:rsidP="0048464B">
                    <w:pPr>
                      <w:jc w:val="center"/>
                      <w:rPr>
                        <w:color w:val="000000"/>
                        <w:sz w:val="20"/>
                        <w:szCs w:val="24"/>
                      </w:rPr>
                    </w:pPr>
                    <w:r w:rsidRPr="000E2FE0">
                      <w:rPr>
                        <w:color w:val="000000"/>
                        <w:sz w:val="20"/>
                        <w:szCs w:val="24"/>
                      </w:rPr>
                      <w:t xml:space="preserve"> Flush Pit Latrine with Slab but No Water Seal </w:t>
                    </w:r>
                  </w:p>
                  <w:p w:rsidR="0048464B" w:rsidRDefault="0048464B" w:rsidP="0048464B"/>
                  <w:p w:rsidR="0048464B" w:rsidRDefault="0048464B" w:rsidP="0048464B">
                    <w:r w:rsidRPr="000E2FE0">
                      <w:rPr>
                        <w:color w:val="000000"/>
                        <w:sz w:val="20"/>
                        <w:szCs w:val="20"/>
                      </w:rPr>
                      <w:t>Pour</w:t>
                    </w:r>
                  </w:p>
                </w:txbxContent>
              </v:textbox>
            </v:rect>
            <v:rect id="Rectangle 13" o:spid="_x0000_s1228" style="position:absolute;left:8286;top:15144;width:21908;height:4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wc4MIA&#10;AADcAAAADwAAAGRycy9kb3ducmV2LnhtbERPy2rCQBTdF/yH4Qrd1YmhikRHKZFCSwvF6MbdJXNN&#10;YjN3wszk0b/vLApdHs57d5hMKwZyvrGsYLlIQBCXVjdcKbicX582IHxA1thaJgU/5OGwnz3sMNN2&#10;5BMNRahEDGGfoYI6hC6T0pc1GfQL2xFH7madwRChq6R2OMZw08o0SdbSYMOxocaO8prK76I3Cq6r&#10;u/xq8hH7z/fjx2pwNsmfrVKP8+llCyLQFP7Ff+43rSBdx7XxTD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fBzgwgAAANwAAAAPAAAAAAAAAAAAAAAAAJgCAABkcnMvZG93&#10;bnJldi54bWxQSwUGAAAAAAQABAD1AAAAhwMAAAAA&#10;" filled="f" strokeweight="1pt">
              <v:textbox>
                <w:txbxContent>
                  <w:p w:rsidR="0048464B" w:rsidRPr="000E2FE0" w:rsidRDefault="0048464B" w:rsidP="0048464B">
                    <w:pPr>
                      <w:jc w:val="center"/>
                      <w:rPr>
                        <w:color w:val="000000"/>
                        <w:sz w:val="20"/>
                        <w:szCs w:val="20"/>
                      </w:rPr>
                    </w:pPr>
                    <w:r w:rsidRPr="000E2FE0">
                      <w:rPr>
                        <w:color w:val="000000"/>
                        <w:sz w:val="20"/>
                        <w:szCs w:val="20"/>
                      </w:rPr>
                      <w:t xml:space="preserve"> Flush Pit Latrine with Slab and Water Seal </w:t>
                    </w:r>
                  </w:p>
                  <w:p w:rsidR="0048464B" w:rsidRDefault="0048464B" w:rsidP="0048464B"/>
                  <w:p w:rsidR="0048464B" w:rsidRDefault="0048464B" w:rsidP="0048464B">
                    <w:r w:rsidRPr="000E2FE0">
                      <w:rPr>
                        <w:color w:val="000000"/>
                        <w:sz w:val="20"/>
                        <w:szCs w:val="20"/>
                      </w:rPr>
                      <w:t>Flus</w:t>
                    </w:r>
                  </w:p>
                </w:txbxContent>
              </v:textbox>
            </v:rect>
            <v:rect id="Rectangle 14" o:spid="_x0000_s1229" style="position:absolute;left:14001;top:9525;width:21908;height:31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C5e8UA&#10;AADcAAAADwAAAGRycy9kb3ducmV2LnhtbESPQWvCQBSE74X+h+UVetONUsWmriKRQqVCaeylt0f2&#10;mUSzb8PumsR/3xWEHoeZ+YZZrgfTiI6cry0rmIwTEMSF1TWXCn4O76MFCB+QNTaWScGVPKxXjw9L&#10;TLXt+Zu6PJQiQtinqKAKoU2l9EVFBv3YtsTRO1pnMETpSqkd9hFuGjlNkrk0WHNcqLClrKLinF+M&#10;gt/ZSX7VWY+X/W77OeucTbIXq9Tz07B5AxFoCP/he/tDK5jOX+F2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MLl7xQAAANwAAAAPAAAAAAAAAAAAAAAAAJgCAABkcnMv&#10;ZG93bnJldi54bWxQSwUGAAAAAAQABAD1AAAAigMAAAAA&#10;" filled="f" strokeweight="1pt">
              <v:textbox>
                <w:txbxContent>
                  <w:p w:rsidR="0048464B" w:rsidRPr="000E2FE0" w:rsidRDefault="0048464B" w:rsidP="0048464B">
                    <w:pPr>
                      <w:jc w:val="center"/>
                      <w:rPr>
                        <w:color w:val="000000"/>
                        <w:sz w:val="20"/>
                        <w:szCs w:val="24"/>
                      </w:rPr>
                    </w:pPr>
                    <w:r w:rsidRPr="000E2FE0">
                      <w:rPr>
                        <w:color w:val="000000"/>
                        <w:sz w:val="20"/>
                        <w:szCs w:val="20"/>
                      </w:rPr>
                      <w:t>h L</w:t>
                    </w:r>
                    <w:r w:rsidRPr="000E2FE0">
                      <w:rPr>
                        <w:color w:val="000000"/>
                        <w:sz w:val="20"/>
                        <w:szCs w:val="24"/>
                      </w:rPr>
                      <w:t xml:space="preserve">atrines to Septic Tank </w:t>
                    </w:r>
                  </w:p>
                  <w:p w:rsidR="0048464B" w:rsidRDefault="0048464B" w:rsidP="0048464B"/>
                  <w:p w:rsidR="0048464B" w:rsidRDefault="0048464B" w:rsidP="0048464B">
                    <w:r w:rsidRPr="000E2FE0">
                      <w:rPr>
                        <w:color w:val="000000"/>
                        <w:sz w:val="20"/>
                        <w:szCs w:val="24"/>
                      </w:rPr>
                      <w:t>Flus</w:t>
                    </w:r>
                  </w:p>
                </w:txbxContent>
              </v:textbox>
            </v:rect>
            <v:rect id="Rectangle 15" o:spid="_x0000_s1230" style="position:absolute;left:17240;top:2667;width:24574;height:31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OGO8IA&#10;AADcAAAADwAAAGRycy9kb3ducmV2LnhtbERPz2vCMBS+C/sfwht403Qy3ahNZXQMHAqi28Xbo3lr&#10;uzUvJYlt99+bg+Dx4/udbUbTip6cbywreJonIIhLqxuuFHx/fcxeQfiArLG1TAr+ycMmf5hkmGo7&#10;8JH6U6hEDGGfooI6hC6V0pc1GfRz2xFH7sc6gyFCV0ntcIjhppWLJFlJgw3Hhho7Kmoq/04Xo+C8&#10;/JWHphjwsv983y17Z5Pi2So1fRzf1iACjeEuvrm3WsHiJc6PZ+IRkP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04Y7wgAAANwAAAAPAAAAAAAAAAAAAAAAAJgCAABkcnMvZG93&#10;bnJldi54bWxQSwUGAAAAAAQABAD1AAAAhwMAAAAA&#10;" filled="f" strokeweight="1pt">
              <v:textbox>
                <w:txbxContent>
                  <w:p w:rsidR="0048464B" w:rsidRPr="000E2FE0" w:rsidRDefault="0048464B" w:rsidP="0048464B">
                    <w:pPr>
                      <w:spacing w:after="0"/>
                      <w:jc w:val="center"/>
                      <w:rPr>
                        <w:color w:val="000000"/>
                        <w:sz w:val="20"/>
                        <w:szCs w:val="24"/>
                      </w:rPr>
                    </w:pPr>
                    <w:r w:rsidRPr="000E2FE0">
                      <w:rPr>
                        <w:color w:val="000000"/>
                        <w:sz w:val="20"/>
                        <w:szCs w:val="24"/>
                      </w:rPr>
                      <w:t>h Latrines to Sewerage System</w:t>
                    </w:r>
                  </w:p>
                  <w:p w:rsidR="0048464B" w:rsidRDefault="0048464B" w:rsidP="0048464B"/>
                  <w:p w:rsidR="0048464B" w:rsidRDefault="0048464B" w:rsidP="0048464B">
                    <w:r>
                      <w:rPr>
                        <w:rFonts w:cs="Times New Roman"/>
                        <w:b/>
                        <w:szCs w:val="28"/>
                      </w:rPr>
                      <w:t xml:space="preserve">Box </w:t>
                    </w:r>
                  </w:p>
                </w:txbxContent>
              </v:textbox>
            </v:rect>
            <w10:wrap type="none"/>
            <w10:anchorlock/>
          </v:group>
        </w:pict>
      </w:r>
    </w:p>
    <w:p w:rsidR="0048464B" w:rsidRPr="007B4595" w:rsidRDefault="0048464B" w:rsidP="0048464B">
      <w:pPr>
        <w:spacing w:before="120" w:line="276" w:lineRule="auto"/>
        <w:jc w:val="both"/>
        <w:rPr>
          <w:b/>
          <w:i/>
          <w:sz w:val="20"/>
          <w:szCs w:val="24"/>
        </w:rPr>
      </w:pPr>
      <w:r>
        <w:rPr>
          <w:b/>
          <w:i/>
          <w:sz w:val="20"/>
          <w:szCs w:val="24"/>
        </w:rPr>
        <w:t xml:space="preserve">          Source: BDP 2100 analysis</w:t>
      </w:r>
    </w:p>
    <w:p w:rsidR="0048464B" w:rsidRDefault="0048464B" w:rsidP="0048464B">
      <w:pPr>
        <w:spacing w:line="276" w:lineRule="auto"/>
        <w:jc w:val="both"/>
        <w:rPr>
          <w:color w:val="000000"/>
          <w:szCs w:val="24"/>
        </w:rPr>
      </w:pPr>
      <w:r w:rsidRPr="00AF1CE9">
        <w:rPr>
          <w:color w:val="000000"/>
          <w:szCs w:val="24"/>
        </w:rPr>
        <w:t>Open defecation is on the bottom ring of the ladder while flush latrines to sewerage system is on the top. Quality of sanitatio</w:t>
      </w:r>
      <w:r>
        <w:rPr>
          <w:color w:val="000000"/>
          <w:szCs w:val="24"/>
        </w:rPr>
        <w:t>n facility improves as one move</w:t>
      </w:r>
      <w:r w:rsidRPr="00AF1CE9">
        <w:rPr>
          <w:color w:val="000000"/>
          <w:szCs w:val="24"/>
        </w:rPr>
        <w:t xml:space="preserve"> up the ladder. In Bangladesh, </w:t>
      </w:r>
      <w:r w:rsidRPr="00E0447F">
        <w:rPr>
          <w:rFonts w:cs="Times New Roman"/>
          <w:b/>
          <w:bCs/>
          <w:color w:val="006600"/>
          <w:szCs w:val="24"/>
          <w:u w:val="single"/>
        </w:rPr>
        <w:t>sewerage system is available in only Dhaka city and that serves only 20 percent of the city’s households, mostly high income groups.</w:t>
      </w:r>
      <w:r w:rsidRPr="00AF1CE9">
        <w:rPr>
          <w:color w:val="000000"/>
          <w:szCs w:val="24"/>
        </w:rPr>
        <w:t xml:space="preserve"> The rest of the households use different kinds of onsite systems from basic pit latrines to septic tanks. While good progress has been achieved in sanitation coverage, </w:t>
      </w:r>
      <w:r w:rsidRPr="00E0447F">
        <w:rPr>
          <w:rFonts w:cs="Times New Roman"/>
          <w:b/>
          <w:bCs/>
          <w:color w:val="006600"/>
          <w:szCs w:val="24"/>
          <w:u w:val="single"/>
        </w:rPr>
        <w:t xml:space="preserve">quality of sanitation still remains a problem. </w:t>
      </w:r>
      <w:r w:rsidRPr="00AF1CE9">
        <w:rPr>
          <w:color w:val="000000"/>
          <w:szCs w:val="24"/>
        </w:rPr>
        <w:t>Providing better quality sanitation service would depend on how fast we can c</w:t>
      </w:r>
      <w:r>
        <w:rPr>
          <w:color w:val="000000"/>
          <w:szCs w:val="24"/>
        </w:rPr>
        <w:t>limb up the sanitation ladder.</w:t>
      </w:r>
    </w:p>
    <w:p w:rsidR="0048464B" w:rsidRPr="00A46D7F" w:rsidRDefault="0048464B" w:rsidP="003D5A31">
      <w:pPr>
        <w:pStyle w:val="BodyText"/>
        <w:numPr>
          <w:ilvl w:val="2"/>
          <w:numId w:val="263"/>
        </w:numPr>
        <w:spacing w:after="240" w:line="276" w:lineRule="auto"/>
        <w:jc w:val="both"/>
        <w:rPr>
          <w:rFonts w:cs="Times New Roman"/>
          <w:b/>
          <w:szCs w:val="24"/>
        </w:rPr>
      </w:pPr>
      <w:bookmarkStart w:id="749" w:name="_Toc464386361"/>
      <w:bookmarkStart w:id="750" w:name="_Toc464400456"/>
      <w:r w:rsidRPr="00A46D7F">
        <w:rPr>
          <w:rFonts w:cs="Times New Roman"/>
          <w:b/>
          <w:szCs w:val="24"/>
        </w:rPr>
        <w:t>The State of Sanitation Coverage in Bangladesh</w:t>
      </w:r>
      <w:bookmarkEnd w:id="749"/>
      <w:bookmarkEnd w:id="750"/>
    </w:p>
    <w:p w:rsidR="0048464B" w:rsidRPr="00A46D7F" w:rsidRDefault="0048464B" w:rsidP="0048464B">
      <w:pPr>
        <w:jc w:val="both"/>
      </w:pPr>
      <w:r w:rsidRPr="00A46D7F">
        <w:lastRenderedPageBreak/>
        <w:t>Since independence, Bangladesh has seen significant economic growth. In the last five years the GDP growth rate had been steady above 6%. It is envisaged that the trend will continue. The seventh five year plan (FY2015/16 – FY2019/20) predicts a GDP growth of above 7%. The per capita income has increased from US$619 in 2008 to US$1314 in 2015 and is likely to be around US$1450 in FY2016/17. Standard of living of the populace is also increasing due to growth in income and manageable inflation rate, which is around 6.2% in 2015/16.</w:t>
      </w:r>
    </w:p>
    <w:p w:rsidR="0048464B" w:rsidRPr="00A46D7F" w:rsidRDefault="0048464B" w:rsidP="0048464B">
      <w:pPr>
        <w:jc w:val="both"/>
        <w:rPr>
          <w:szCs w:val="19"/>
        </w:rPr>
      </w:pPr>
      <w:r w:rsidRPr="00A46D7F">
        <w:rPr>
          <w:szCs w:val="19"/>
        </w:rPr>
        <w:t>Population growth and its distribution are also taking an interesting shape. According to the census of 2011 the population of the country was around 152 million. Of this, 24% people were living in the urban areas and the rest in rural areas. Recent studies predict that the population of the country will be 215 million in 2050. Around 56% people will live in urban areas and the rest in rural areas. This means that the share of population between urban and rural areas is reversing. By around 2040 equal number of people will be living in urban and rural areas. This trend is also pointing to a demand for better standard of living.</w:t>
      </w:r>
    </w:p>
    <w:p w:rsidR="0048464B" w:rsidRPr="00A46D7F" w:rsidRDefault="0048464B" w:rsidP="0048464B">
      <w:pPr>
        <w:jc w:val="both"/>
        <w:rPr>
          <w:b/>
          <w:i/>
          <w:szCs w:val="19"/>
        </w:rPr>
      </w:pPr>
      <w:r w:rsidRPr="00A46D7F">
        <w:rPr>
          <w:b/>
          <w:i/>
          <w:szCs w:val="19"/>
        </w:rPr>
        <w:t>Major cities</w:t>
      </w:r>
    </w:p>
    <w:p w:rsidR="0048464B" w:rsidRPr="00A46D7F" w:rsidRDefault="0048464B" w:rsidP="0048464B">
      <w:pPr>
        <w:jc w:val="both"/>
        <w:rPr>
          <w:szCs w:val="19"/>
        </w:rPr>
      </w:pPr>
      <w:r w:rsidRPr="00A46D7F">
        <w:rPr>
          <w:szCs w:val="19"/>
        </w:rPr>
        <w:t>Of the seven major cities, Dhaka, Chittagong, Sylhet, Khulna, Barisal, Rajshahi and Rangpur, only Dhaka has a limited separate sewerage system and a conventional Sewage Treatment Plant (STP) of capacity 120,000 m</w:t>
      </w:r>
      <w:r w:rsidRPr="00A46D7F">
        <w:rPr>
          <w:szCs w:val="19"/>
          <w:vertAlign w:val="superscript"/>
        </w:rPr>
        <w:t>3</w:t>
      </w:r>
      <w:r w:rsidRPr="00A46D7F">
        <w:rPr>
          <w:szCs w:val="19"/>
        </w:rPr>
        <w:t xml:space="preserve">/d. This STP can serve 20% of the Dhaka population. However, dysfunctional collection system in many parts due to sedimentation or damage to sewer lines only allows about 10% of generated load to reach the Pagla STP. The sewage which cannot reach the STP is spilled and accumulates in various city areas causing major concern to public health. Around 33% of household in Dhaka city dispose their sewage/waste water by connecting to storm water drainage network and water bodies. This untreated sewage/waste water flows directly to the surrounding river system causing major deterioration of water quality. These rivers are presently the main sources of surface water treatment plants in Dhaka and Narayanganj. Therefore, this cannot be considered as an improved sanitation system because of its potential threat to public health. Improved on-site sanitation system (flush or pour-flush toilets to septic tanks or pit latrines) is utilized by 25% of the population. Faecal Sludge Management (FSM) is practically absent in these areas. It is estimated that 22% of the population are still using unhygienic on-site sanitation means. </w:t>
      </w:r>
    </w:p>
    <w:p w:rsidR="0048464B" w:rsidRPr="00A46D7F" w:rsidRDefault="0048464B" w:rsidP="0048464B">
      <w:pPr>
        <w:jc w:val="both"/>
        <w:rPr>
          <w:szCs w:val="19"/>
        </w:rPr>
      </w:pPr>
      <w:r w:rsidRPr="00A46D7F">
        <w:rPr>
          <w:szCs w:val="19"/>
        </w:rPr>
        <w:t xml:space="preserve">There is absolutely no formal sewage collection system in other major cities. Inhabitants of the cities discharge sewage directly into inadequate surface drains while retaining (often partially) faecal sludge in septic tanks. Systematic faecal sludge management is practically absent. Occasionally some of the septic tanks are cleaned and sludge is disposed into drains which ultimately discharge into water bodies, khals and rivers. A significant number of the population in these cities use shared sanitation (18%) and unimproved sanitation (22%) measures, while open defecation is also practiced by 5% population.    </w:t>
      </w:r>
    </w:p>
    <w:p w:rsidR="0048464B" w:rsidRPr="00A46D7F" w:rsidRDefault="0048464B" w:rsidP="0048464B">
      <w:pPr>
        <w:jc w:val="both"/>
        <w:rPr>
          <w:szCs w:val="19"/>
        </w:rPr>
      </w:pPr>
      <w:r w:rsidRPr="00A46D7F">
        <w:rPr>
          <w:szCs w:val="19"/>
        </w:rPr>
        <w:t xml:space="preserve"> Therefore, it is evident that the major cities of Bangladesh lack sanitation facilities proper for metropolitan areas. Also the current sanitation practice totally ignores the environmental consequences which are already demonstrated by significant pollution of the surface water </w:t>
      </w:r>
      <w:r w:rsidRPr="00A46D7F">
        <w:rPr>
          <w:szCs w:val="19"/>
        </w:rPr>
        <w:lastRenderedPageBreak/>
        <w:t>bodies and rivers. The problem with inadequate sanitation and sewerage in the major cities will increase with the growth of the city areas and its population. Predictions from various studies shows that the population in the major cities will increase from 30 million in 2011 to 42 million in 2030 and 57 million in 2050. With demand for better living conditions the demand for improved sewerage system and sanitation will increase. This will be major challenge which needs to be tackled head-on.</w:t>
      </w:r>
    </w:p>
    <w:p w:rsidR="0048464B" w:rsidRPr="00A46D7F" w:rsidRDefault="0048464B" w:rsidP="0048464B">
      <w:pPr>
        <w:jc w:val="both"/>
        <w:rPr>
          <w:b/>
          <w:i/>
          <w:szCs w:val="19"/>
        </w:rPr>
      </w:pPr>
      <w:r w:rsidRPr="00A46D7F">
        <w:rPr>
          <w:b/>
          <w:i/>
          <w:szCs w:val="19"/>
        </w:rPr>
        <w:t>Pourashavas/Municipalities/Towns</w:t>
      </w:r>
    </w:p>
    <w:p w:rsidR="0048464B" w:rsidRPr="00A46D7F" w:rsidRDefault="0048464B" w:rsidP="0048464B">
      <w:pPr>
        <w:jc w:val="both"/>
        <w:rPr>
          <w:szCs w:val="19"/>
        </w:rPr>
      </w:pPr>
      <w:r w:rsidRPr="00A46D7F">
        <w:rPr>
          <w:szCs w:val="19"/>
        </w:rPr>
        <w:t>Apart from the major cities other urban areas includes 359 pourashavas/municipalities/towns in Bangladesh. With economic development in the country which is associated with industrialisation and growth of service sector significant migration from the rural to the urban centres are very evident. Recent projections shows that the growth of population from the 2011 figure of 18 million will be around 30 million in 2030 and 64 million in 2050. As the present pourashavas/municipalities are taking shape of more formalised modern urban centres, demand for improved sewerage and sanitation facilities are becoming a general requirement. Unfortunately, statistics reveals that only around 59% population are within the so-called improved sanitation coverage. The rest are either using shared or unimproved sanitation facilities. As is the case for major cities, improved sanitation here means on-site flush or pour-flush toilet to septic tanks, pits or unknown places, pit latrines with slab or ventilated improved pit latrines. Faecal sludge management is a major problem in all the urban centres. Disposal of sludge remains an issue much neglected which is causing significant health, economic and environmental damages. In the long run the situation seems unsustainable.</w:t>
      </w:r>
    </w:p>
    <w:p w:rsidR="0048464B" w:rsidRPr="00A46D7F" w:rsidRDefault="0048464B" w:rsidP="0048464B">
      <w:pPr>
        <w:jc w:val="both"/>
        <w:rPr>
          <w:b/>
          <w:i/>
          <w:szCs w:val="19"/>
        </w:rPr>
      </w:pPr>
      <w:r w:rsidRPr="00A46D7F">
        <w:rPr>
          <w:b/>
          <w:i/>
          <w:szCs w:val="19"/>
        </w:rPr>
        <w:t>Rural areas</w:t>
      </w:r>
    </w:p>
    <w:p w:rsidR="0048464B" w:rsidRPr="00A46D7F" w:rsidRDefault="0048464B" w:rsidP="0048464B">
      <w:pPr>
        <w:jc w:val="both"/>
        <w:rPr>
          <w:szCs w:val="19"/>
        </w:rPr>
      </w:pPr>
      <w:r w:rsidRPr="00A46D7F">
        <w:rPr>
          <w:szCs w:val="19"/>
        </w:rPr>
        <w:t>Rural areas may be divided into areas which are having piped water supply and secondly those which are using point sources for water supply. In recent times DPHE is implementing rural piped water supply schemes in 37 rural areas where population density in sufficient for such schemes. DPHE has carried out pre-feasibility studies of 200 of such schemes and feasibility study of 150 schemes. It is envisaged that 9500 such rural piped water supply schemes will be implemented by 2050 covering around 50% of rural population. Piped water supply schemes will allow flush toilets to sewers or septic tanks. In areas which are having point water sources, it is likely that the inhabitants would go for pour flush toilets to septic tanks or pits. At present, 55% of the rural population uses improved sanitation means and 40% shared or unimproved sanitation. Around 5% are still opting for open defecation. The challenge is big, although it is understood that rural areas will have limited piped sewerage facilities and will mainly depend on flush or pour-flush toilets to septic tanks on pits.</w:t>
      </w:r>
    </w:p>
    <w:p w:rsidR="0048464B" w:rsidRPr="00A46D7F" w:rsidRDefault="0048464B" w:rsidP="0048464B">
      <w:pPr>
        <w:jc w:val="both"/>
        <w:rPr>
          <w:b/>
          <w:i/>
          <w:szCs w:val="19"/>
        </w:rPr>
      </w:pPr>
      <w:r w:rsidRPr="00A46D7F">
        <w:rPr>
          <w:b/>
          <w:i/>
          <w:szCs w:val="19"/>
        </w:rPr>
        <w:t>Hard-to-reach areas</w:t>
      </w:r>
    </w:p>
    <w:p w:rsidR="0048464B" w:rsidRPr="00A46D7F" w:rsidRDefault="0048464B" w:rsidP="0048464B">
      <w:pPr>
        <w:jc w:val="both"/>
        <w:rPr>
          <w:szCs w:val="19"/>
        </w:rPr>
      </w:pPr>
      <w:r w:rsidRPr="00A46D7F">
        <w:rPr>
          <w:szCs w:val="19"/>
        </w:rPr>
        <w:t xml:space="preserve">The National Strategy for WSS in Hard to Reach Areas of Bangladesh (2012) defined hard-to-reach (HtR) areas as “areas having poor water and sanitation coverage due to adverse hydro-geological condition, having poor and inadequate communication network, and frequent </w:t>
      </w:r>
      <w:r w:rsidRPr="00A46D7F">
        <w:rPr>
          <w:szCs w:val="19"/>
        </w:rPr>
        <w:lastRenderedPageBreak/>
        <w:t>occurrence of natural calamities which in turn results in higher rate of child mortality and accelerates the vicious circle of poverty.”  The HtR areas are usually geographically remote and the people living there are least likely to have access to benefits from mainstream development activities. The Strategy divided HtR areas into six different geographical categories. They are: (1) Barind, (2) Beel, (3) Char, (4) Coast, offshore Islands and Saline areas,  (5) Haor and (6) Hilly areas. The National Strategy for WSS (2014) identified 1,144 unions as hard-to-reach unions for water supply &amp; sanitation in 257 upazilas of 50 districts. About 21% of the total geographical areas of Bangladesh are found to be hard-to-reach with about 28.62 million people living in these areas. The strategy provided directions for separate development projects or separate components within development projects specifically for the hard-to-reach areas and for the vulnerable people and to adopt different approaches considering the local infrastructure, cultural values and socio-economic status. It emphasised on addressing area specific needs when considering and developing technologies, such as sanitation technology requiring less flushing water and light weight construction materials for hilly areas.</w:t>
      </w:r>
    </w:p>
    <w:p w:rsidR="0048464B" w:rsidRPr="00A46D7F" w:rsidRDefault="0048464B" w:rsidP="0048464B">
      <w:pPr>
        <w:jc w:val="both"/>
        <w:rPr>
          <w:b/>
          <w:i/>
          <w:szCs w:val="19"/>
        </w:rPr>
      </w:pPr>
      <w:r w:rsidRPr="00A46D7F">
        <w:rPr>
          <w:b/>
          <w:i/>
          <w:szCs w:val="19"/>
        </w:rPr>
        <w:t>Urban Slums and squatter Settlements</w:t>
      </w:r>
    </w:p>
    <w:p w:rsidR="0048464B" w:rsidRPr="00A46D7F" w:rsidRDefault="0048464B" w:rsidP="0048464B">
      <w:pPr>
        <w:jc w:val="both"/>
        <w:rPr>
          <w:szCs w:val="19"/>
        </w:rPr>
      </w:pPr>
      <w:r w:rsidRPr="00A46D7F">
        <w:rPr>
          <w:szCs w:val="19"/>
        </w:rPr>
        <w:t xml:space="preserve">As migration from rural to urban centres are increasing at a rapid pace due to economic reasons, so does the urban slums and squatter settlements growing to accommodate the large influx of marginalised poor and vulnerable people from disaster prone areas. Most of the latrines in slum areas are unhygienic, families use mainly shared latrines, which are unhygienic; also many practice open defecation. In many slums open defecation is practiced by as much as 20% of slum population (OXFAM and ITN-BUET 2014) According to Appropriate sanitation in urban areas, especially in the low income communities, is a burning issue, yet to be resolved. Main problems of facilitating improved sanitation in urban slums are (1) most of the slums are on private lands in mainly low lands or wetlands without proper running water or good drainage facilities; (2) authorities are oblivious of the needs for better living conditions of the slum dwellers on the plea of illegal construction/occupation; (3) lack of understanding and knowledge about the ill effects of unsafe water and unhygienic sanitation.  The National Strategy for WSS in HtR areas (2012) focussed on formulation and implementation of appropriate policy and strategies for water supply and sanitation improvement. It emphasised that basic services including water and sanitation must be made accessible to slum dweller irrespective of legal status of lands. It stressed on community water points and community sanitation blocks to be managed by community based organizations (CBO). </w:t>
      </w:r>
    </w:p>
    <w:p w:rsidR="0048464B" w:rsidRPr="00C42A87" w:rsidRDefault="0048464B" w:rsidP="003D5A31">
      <w:pPr>
        <w:pStyle w:val="BodyText"/>
        <w:numPr>
          <w:ilvl w:val="2"/>
          <w:numId w:val="263"/>
        </w:numPr>
        <w:spacing w:after="240" w:line="276" w:lineRule="auto"/>
        <w:jc w:val="both"/>
        <w:rPr>
          <w:rFonts w:cs="Times New Roman"/>
          <w:b/>
          <w:szCs w:val="24"/>
        </w:rPr>
      </w:pPr>
      <w:r w:rsidRPr="00C42A87">
        <w:rPr>
          <w:rFonts w:cs="Times New Roman"/>
          <w:b/>
          <w:szCs w:val="24"/>
        </w:rPr>
        <w:t>Wastewater Management</w:t>
      </w:r>
    </w:p>
    <w:p w:rsidR="0048464B" w:rsidRDefault="0048464B" w:rsidP="0048464B">
      <w:pPr>
        <w:spacing w:line="276" w:lineRule="auto"/>
        <w:jc w:val="both"/>
        <w:rPr>
          <w:color w:val="000000" w:themeColor="text1"/>
          <w:szCs w:val="24"/>
        </w:rPr>
      </w:pPr>
      <w:r w:rsidRPr="00985A09">
        <w:rPr>
          <w:rFonts w:cs="Times New Roman"/>
          <w:color w:val="000000" w:themeColor="text1"/>
          <w:szCs w:val="24"/>
        </w:rPr>
        <w:t xml:space="preserve">Wastewater disposal is a major problem in most cities in Bangladesh. Only Dhaka city has a sewerage system but the coverage is partial. </w:t>
      </w:r>
      <w:r w:rsidRPr="00985A09">
        <w:rPr>
          <w:color w:val="000000" w:themeColor="text1"/>
          <w:szCs w:val="24"/>
        </w:rPr>
        <w:t>In view of heavy capital requirement and requirement of fund for regular maintenance, providing sewerage system to all urban cent</w:t>
      </w:r>
      <w:r>
        <w:rPr>
          <w:color w:val="000000" w:themeColor="text1"/>
          <w:szCs w:val="24"/>
        </w:rPr>
        <w:t>ers is not feasible</w:t>
      </w:r>
      <w:r w:rsidRPr="00985A09">
        <w:rPr>
          <w:color w:val="000000" w:themeColor="text1"/>
          <w:szCs w:val="24"/>
        </w:rPr>
        <w:t xml:space="preserve">. Poor state of municipal finance and shortage of water also make it difficult to choose this option. Therefore, the urban centers that do not have sewerage system and cannot provide one, usually opt for low cost solutions. Septic tanks and low cost sanitations are the </w:t>
      </w:r>
      <w:r w:rsidRPr="00985A09">
        <w:rPr>
          <w:color w:val="000000" w:themeColor="text1"/>
          <w:szCs w:val="24"/>
        </w:rPr>
        <w:lastRenderedPageBreak/>
        <w:t>solutions for providing safe sanitation facilities for most of the urban centers including those that have partial coverage by sewerage system.</w:t>
      </w:r>
    </w:p>
    <w:p w:rsidR="0048464B" w:rsidRPr="00985A09" w:rsidRDefault="0048464B" w:rsidP="0048464B">
      <w:pPr>
        <w:spacing w:line="276" w:lineRule="auto"/>
        <w:jc w:val="both"/>
        <w:rPr>
          <w:color w:val="000000" w:themeColor="text1"/>
          <w:szCs w:val="24"/>
        </w:rPr>
      </w:pPr>
    </w:p>
    <w:p w:rsidR="0048464B" w:rsidRPr="00C42A87" w:rsidRDefault="0048464B" w:rsidP="003D5A31">
      <w:pPr>
        <w:pStyle w:val="BodyText"/>
        <w:numPr>
          <w:ilvl w:val="2"/>
          <w:numId w:val="263"/>
        </w:numPr>
        <w:spacing w:after="240" w:line="276" w:lineRule="auto"/>
        <w:jc w:val="both"/>
        <w:rPr>
          <w:rFonts w:cs="Times New Roman"/>
          <w:b/>
          <w:szCs w:val="24"/>
        </w:rPr>
      </w:pPr>
      <w:r w:rsidRPr="00C42A87">
        <w:rPr>
          <w:rFonts w:cs="Times New Roman"/>
          <w:b/>
          <w:szCs w:val="24"/>
        </w:rPr>
        <w:t>Waste Water Management Systems</w:t>
      </w:r>
    </w:p>
    <w:p w:rsidR="0048464B" w:rsidRPr="00985A09" w:rsidRDefault="0048464B" w:rsidP="0048464B">
      <w:pPr>
        <w:spacing w:line="276" w:lineRule="auto"/>
        <w:jc w:val="both"/>
        <w:rPr>
          <w:rFonts w:cs="Times New Roman"/>
          <w:color w:val="000000" w:themeColor="text1"/>
          <w:szCs w:val="24"/>
        </w:rPr>
      </w:pPr>
      <w:r w:rsidRPr="00985A09">
        <w:rPr>
          <w:rFonts w:cs="Times New Roman"/>
          <w:color w:val="000000" w:themeColor="text1"/>
          <w:szCs w:val="24"/>
        </w:rPr>
        <w:t xml:space="preserve">There are two basic wastewater management systems: on-site (or non-sewered) and off-site (generally sewered with centralised treatment). </w:t>
      </w:r>
      <w:r>
        <w:rPr>
          <w:rFonts w:cs="Times New Roman"/>
          <w:color w:val="000000" w:themeColor="text1"/>
          <w:szCs w:val="24"/>
        </w:rPr>
        <w:t>In sewered systems the removal/</w:t>
      </w:r>
      <w:r w:rsidRPr="00985A09">
        <w:rPr>
          <w:rFonts w:cs="Times New Roman"/>
          <w:color w:val="000000" w:themeColor="text1"/>
          <w:szCs w:val="24"/>
        </w:rPr>
        <w:t>transport part of the service chain is performed by the sewer; water washes the waste through a pipe system. This may require the use of pumping stations to ensure that the waste reaches the treatment or dis</w:t>
      </w:r>
      <w:r>
        <w:rPr>
          <w:rFonts w:cs="Times New Roman"/>
          <w:color w:val="000000" w:themeColor="text1"/>
          <w:szCs w:val="24"/>
        </w:rPr>
        <w:t>-</w:t>
      </w:r>
      <w:r w:rsidRPr="00985A09">
        <w:rPr>
          <w:rFonts w:cs="Times New Roman"/>
          <w:color w:val="000000" w:themeColor="text1"/>
          <w:szCs w:val="24"/>
        </w:rPr>
        <w:t xml:space="preserve">posal point. In on-site systems, waste accumulates on-site in a pit or septic tank, which requires periodic emptying or re-siting; in the case of emptying, waste is taken by road for treatment and/or dis- posal. Dumping of untreated septic tank/pit contents into rivers, lakes and the sea is, in many low- and middle-in- come countries, a regular practice. </w:t>
      </w:r>
    </w:p>
    <w:p w:rsidR="0048464B" w:rsidRPr="00985A09" w:rsidRDefault="0048464B" w:rsidP="0048464B">
      <w:pPr>
        <w:spacing w:line="276" w:lineRule="auto"/>
        <w:jc w:val="both"/>
        <w:rPr>
          <w:rFonts w:cs="Times New Roman"/>
          <w:color w:val="000000" w:themeColor="text1"/>
          <w:szCs w:val="24"/>
        </w:rPr>
      </w:pPr>
      <w:r w:rsidRPr="00985A09">
        <w:rPr>
          <w:rFonts w:cs="Times New Roman"/>
          <w:color w:val="000000" w:themeColor="text1"/>
          <w:szCs w:val="24"/>
        </w:rPr>
        <w:t xml:space="preserve">Broadly speaking there are two types of ‘conventional’ sewerage networks that have been developed and introduced over time; the ‘combined’ system and the ‘separate’ system. In the combined system both surface run-off and foul sewage are conveyed in the same pipe, while in the separate system different pipes are used to transport the sewage and the surface run-off. When properly installed, operated and controlled the separate system is most effective, as it reduces the amount of sewage to be treated, avoids the problems of discharges from combined sewer overflows  and deals more effectively with periodic and potentially large volumes of urban runoff which occur under storm conditions. </w:t>
      </w:r>
    </w:p>
    <w:p w:rsidR="0048464B" w:rsidRDefault="0048464B" w:rsidP="0048464B">
      <w:pPr>
        <w:spacing w:after="0" w:line="276" w:lineRule="auto"/>
        <w:jc w:val="both"/>
        <w:rPr>
          <w:rFonts w:cs="Times New Roman"/>
          <w:color w:val="FF0000"/>
          <w:szCs w:val="24"/>
        </w:rPr>
      </w:pPr>
      <w:r w:rsidRPr="00985A09">
        <w:rPr>
          <w:rFonts w:cs="Times New Roman"/>
          <w:color w:val="000000" w:themeColor="text1"/>
          <w:szCs w:val="24"/>
        </w:rPr>
        <w:t>Effective collection systems are a key for good waste-water management where off-site centralised treatment is chosen; they are also the most expensive element of total capital cost of good operational management. However, in Bangladesh only Dhaka has a collection (sewer) system while in other cities and towns the sanitation/wastewater management system is o</w:t>
      </w:r>
      <w:r>
        <w:rPr>
          <w:rFonts w:cs="Times New Roman"/>
          <w:color w:val="000000" w:themeColor="text1"/>
          <w:szCs w:val="24"/>
        </w:rPr>
        <w:t>n-site (non-sewered).  Figure 10.</w:t>
      </w:r>
      <w:r w:rsidRPr="00985A09">
        <w:rPr>
          <w:rFonts w:cs="Times New Roman"/>
          <w:color w:val="000000" w:themeColor="text1"/>
          <w:szCs w:val="24"/>
        </w:rPr>
        <w:t>3 below shows the sanitation systems in Dhaka city</w:t>
      </w:r>
      <w:r w:rsidRPr="00924167">
        <w:rPr>
          <w:rFonts w:cs="Times New Roman"/>
          <w:color w:val="FF0000"/>
          <w:szCs w:val="24"/>
        </w:rPr>
        <w:t xml:space="preserve">. </w:t>
      </w:r>
    </w:p>
    <w:p w:rsidR="0048464B" w:rsidRPr="00101CE9" w:rsidRDefault="0048464B" w:rsidP="0048464B">
      <w:pPr>
        <w:jc w:val="center"/>
        <w:rPr>
          <w:b/>
        </w:rPr>
      </w:pPr>
      <w:bookmarkStart w:id="751" w:name="_Toc464329090"/>
      <w:r w:rsidRPr="00101CE9">
        <w:rPr>
          <w:b/>
        </w:rPr>
        <w:t>Figure 10.3: Waste Water Management in Dhaka (% of people covered)</w:t>
      </w:r>
      <w:bookmarkEnd w:id="751"/>
    </w:p>
    <w:p w:rsidR="0048464B" w:rsidRPr="00924167" w:rsidRDefault="0048464B" w:rsidP="0048464B">
      <w:pPr>
        <w:spacing w:after="0"/>
        <w:jc w:val="both"/>
        <w:rPr>
          <w:rFonts w:cs="Times New Roman"/>
          <w:color w:val="FF0000"/>
          <w:szCs w:val="24"/>
        </w:rPr>
      </w:pPr>
      <w:r w:rsidRPr="00924167">
        <w:rPr>
          <w:rFonts w:cs="Times New Roman"/>
          <w:noProof/>
          <w:color w:val="FF0000"/>
          <w:szCs w:val="24"/>
          <w:lang w:val="en-AU" w:eastAsia="en-AU" w:bidi="bn-BD"/>
        </w:rPr>
        <w:lastRenderedPageBreak/>
        <w:drawing>
          <wp:inline distT="0" distB="0" distL="0" distR="0">
            <wp:extent cx="5741035" cy="2476500"/>
            <wp:effectExtent l="0" t="0" r="12065" b="0"/>
            <wp:docPr id="1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48464B" w:rsidRDefault="0048464B" w:rsidP="0048464B">
      <w:pPr>
        <w:spacing w:before="120"/>
        <w:jc w:val="both"/>
        <w:rPr>
          <w:rFonts w:cs="Times New Roman"/>
          <w:b/>
          <w:i/>
          <w:sz w:val="20"/>
          <w:szCs w:val="24"/>
        </w:rPr>
      </w:pPr>
      <w:r w:rsidRPr="00985A09">
        <w:rPr>
          <w:rFonts w:cs="Times New Roman"/>
          <w:b/>
          <w:i/>
          <w:sz w:val="20"/>
          <w:szCs w:val="24"/>
        </w:rPr>
        <w:t>Source: Gener</w:t>
      </w:r>
      <w:r>
        <w:rPr>
          <w:rFonts w:cs="Times New Roman"/>
          <w:b/>
          <w:i/>
          <w:sz w:val="20"/>
          <w:szCs w:val="24"/>
        </w:rPr>
        <w:t xml:space="preserve">BDP 2100 analysis </w:t>
      </w:r>
    </w:p>
    <w:p w:rsidR="0048464B" w:rsidRPr="00985A09" w:rsidRDefault="0048464B" w:rsidP="0048464B">
      <w:pPr>
        <w:spacing w:before="120"/>
        <w:jc w:val="both"/>
        <w:rPr>
          <w:rFonts w:cs="Times New Roman"/>
          <w:b/>
          <w:i/>
          <w:sz w:val="20"/>
          <w:szCs w:val="24"/>
        </w:rPr>
      </w:pPr>
    </w:p>
    <w:p w:rsidR="0048464B" w:rsidRPr="00C42A87" w:rsidRDefault="0048464B" w:rsidP="003D5A31">
      <w:pPr>
        <w:pStyle w:val="BodyText"/>
        <w:numPr>
          <w:ilvl w:val="2"/>
          <w:numId w:val="263"/>
        </w:numPr>
        <w:spacing w:after="240" w:line="276" w:lineRule="auto"/>
        <w:jc w:val="both"/>
        <w:rPr>
          <w:rFonts w:cs="Times New Roman"/>
          <w:b/>
          <w:szCs w:val="24"/>
        </w:rPr>
      </w:pPr>
      <w:r w:rsidRPr="00985A09">
        <w:rPr>
          <w:rFonts w:cs="Times New Roman"/>
          <w:b/>
          <w:szCs w:val="24"/>
        </w:rPr>
        <w:t>Waste Water Generation</w:t>
      </w:r>
    </w:p>
    <w:p w:rsidR="0048464B" w:rsidRPr="00985A09" w:rsidRDefault="0048464B" w:rsidP="0048464B">
      <w:pPr>
        <w:autoSpaceDE w:val="0"/>
        <w:autoSpaceDN w:val="0"/>
        <w:adjustRightInd w:val="0"/>
        <w:spacing w:line="276" w:lineRule="auto"/>
        <w:jc w:val="both"/>
        <w:rPr>
          <w:rFonts w:cs="Times New Roman"/>
          <w:szCs w:val="24"/>
        </w:rPr>
      </w:pPr>
      <w:r w:rsidRPr="00985A09">
        <w:rPr>
          <w:rFonts w:cs="Times New Roman"/>
          <w:szCs w:val="24"/>
        </w:rPr>
        <w:t xml:space="preserve">The quantity of wastewater generated depends largely on the quantity of water supplied. In urban centres where the formal supply does not cover the entire population, informal sources of water supply would also contribute </w:t>
      </w:r>
      <w:r>
        <w:rPr>
          <w:rFonts w:cs="Times New Roman"/>
          <w:szCs w:val="24"/>
        </w:rPr>
        <w:t xml:space="preserve">to waste water generation. Table 10.15 </w:t>
      </w:r>
      <w:r w:rsidRPr="00985A09">
        <w:rPr>
          <w:rFonts w:cs="Times New Roman"/>
          <w:szCs w:val="24"/>
        </w:rPr>
        <w:t xml:space="preserve">presents the volumes of waste water generated by households in three cities. </w:t>
      </w:r>
      <w:r w:rsidRPr="0050663D">
        <w:rPr>
          <w:rFonts w:cs="Times New Roman"/>
          <w:bCs/>
          <w:i/>
          <w:szCs w:val="24"/>
        </w:rPr>
        <w:t xml:space="preserve">In Dhaka 20% of the waste water generated in the city is covered by a sewerage network and a treatment plant, while 70 percent pits/septic tanks in the areas that are not under sewerage coverage is connected to storm drainage system or other types of drains or water bodies. </w:t>
      </w:r>
      <w:r w:rsidRPr="00985A09">
        <w:rPr>
          <w:rFonts w:cs="Times New Roman"/>
          <w:szCs w:val="24"/>
        </w:rPr>
        <w:t>In Khulna and Faridpur 98.23%, and 98.50% of the on-site sanitation facilities respectively need emptying, safe transportation and treatment.</w:t>
      </w:r>
    </w:p>
    <w:p w:rsidR="0048464B" w:rsidRPr="00101CE9" w:rsidRDefault="0048464B" w:rsidP="0048464B">
      <w:pPr>
        <w:jc w:val="center"/>
        <w:rPr>
          <w:b/>
        </w:rPr>
      </w:pPr>
      <w:bookmarkStart w:id="752" w:name="_Toc464328994"/>
      <w:r w:rsidRPr="00101CE9">
        <w:rPr>
          <w:b/>
        </w:rPr>
        <w:t xml:space="preserve">Table 10.15:  Estimated Volume of Waste Water in </w:t>
      </w:r>
      <w:bookmarkEnd w:id="752"/>
      <w:r>
        <w:rPr>
          <w:b/>
        </w:rPr>
        <w:t>Dhaka, Khulna and Faridpur</w:t>
      </w:r>
    </w:p>
    <w:tbl>
      <w:tblPr>
        <w:tblStyle w:val="LightShading10"/>
        <w:tblW w:w="5000" w:type="pct"/>
        <w:tblLook w:val="04A0"/>
      </w:tblPr>
      <w:tblGrid>
        <w:gridCol w:w="3348"/>
        <w:gridCol w:w="1620"/>
        <w:gridCol w:w="1350"/>
        <w:gridCol w:w="1710"/>
        <w:gridCol w:w="1548"/>
      </w:tblGrid>
      <w:tr w:rsidR="0048464B" w:rsidRPr="00240ED3" w:rsidTr="00F83382">
        <w:trPr>
          <w:cnfStyle w:val="100000000000"/>
        </w:trPr>
        <w:tc>
          <w:tcPr>
            <w:cnfStyle w:val="001000000000"/>
            <w:tcW w:w="3348" w:type="dxa"/>
            <w:tcBorders>
              <w:left w:val="single" w:sz="8" w:space="0" w:color="000000"/>
              <w:right w:val="single" w:sz="6" w:space="0" w:color="000000"/>
            </w:tcBorders>
          </w:tcPr>
          <w:p w:rsidR="0048464B" w:rsidRPr="00D10C92" w:rsidRDefault="0048464B" w:rsidP="00F83382">
            <w:pPr>
              <w:pStyle w:val="ListParagraph"/>
              <w:tabs>
                <w:tab w:val="left" w:pos="1440"/>
              </w:tabs>
              <w:ind w:left="0"/>
              <w:rPr>
                <w:rFonts w:ascii="Times New Roman" w:hAnsi="Times New Roman"/>
              </w:rPr>
            </w:pPr>
            <w:r w:rsidRPr="00D10C92">
              <w:rPr>
                <w:rFonts w:ascii="Times New Roman" w:hAnsi="Times New Roman"/>
              </w:rPr>
              <w:t>Description</w:t>
            </w:r>
          </w:p>
        </w:tc>
        <w:tc>
          <w:tcPr>
            <w:tcW w:w="1620" w:type="dxa"/>
            <w:tcBorders>
              <w:left w:val="single" w:sz="6" w:space="0" w:color="000000"/>
              <w:right w:val="single" w:sz="6" w:space="0" w:color="000000"/>
            </w:tcBorders>
          </w:tcPr>
          <w:p w:rsidR="0048464B" w:rsidRPr="00D10C92" w:rsidRDefault="0048464B" w:rsidP="00F83382">
            <w:pPr>
              <w:pStyle w:val="ListParagraph"/>
              <w:tabs>
                <w:tab w:val="left" w:pos="1440"/>
              </w:tabs>
              <w:ind w:left="0"/>
              <w:jc w:val="center"/>
              <w:cnfStyle w:val="100000000000"/>
              <w:rPr>
                <w:rFonts w:ascii="Times New Roman" w:hAnsi="Times New Roman"/>
              </w:rPr>
            </w:pPr>
            <w:r w:rsidRPr="00D10C92">
              <w:rPr>
                <w:rFonts w:ascii="Times New Roman" w:hAnsi="Times New Roman"/>
              </w:rPr>
              <w:t>Unit</w:t>
            </w:r>
          </w:p>
        </w:tc>
        <w:tc>
          <w:tcPr>
            <w:tcW w:w="1350" w:type="dxa"/>
            <w:tcBorders>
              <w:left w:val="single" w:sz="6" w:space="0" w:color="000000"/>
              <w:right w:val="single" w:sz="6" w:space="0" w:color="000000"/>
            </w:tcBorders>
          </w:tcPr>
          <w:p w:rsidR="0048464B" w:rsidRPr="00D10C92" w:rsidRDefault="0048464B" w:rsidP="00F83382">
            <w:pPr>
              <w:pStyle w:val="ListParagraph"/>
              <w:tabs>
                <w:tab w:val="left" w:pos="1440"/>
              </w:tabs>
              <w:ind w:left="0"/>
              <w:jc w:val="center"/>
              <w:cnfStyle w:val="100000000000"/>
              <w:rPr>
                <w:rFonts w:ascii="Times New Roman" w:hAnsi="Times New Roman"/>
              </w:rPr>
            </w:pPr>
            <w:r w:rsidRPr="00D10C92">
              <w:rPr>
                <w:rFonts w:ascii="Times New Roman" w:hAnsi="Times New Roman"/>
              </w:rPr>
              <w:t>Dhaka</w:t>
            </w:r>
          </w:p>
        </w:tc>
        <w:tc>
          <w:tcPr>
            <w:tcW w:w="1710" w:type="dxa"/>
            <w:tcBorders>
              <w:left w:val="single" w:sz="6" w:space="0" w:color="000000"/>
              <w:right w:val="single" w:sz="6" w:space="0" w:color="000000"/>
            </w:tcBorders>
          </w:tcPr>
          <w:p w:rsidR="0048464B" w:rsidRPr="00D10C92" w:rsidRDefault="0048464B" w:rsidP="00F83382">
            <w:pPr>
              <w:pStyle w:val="ListParagraph"/>
              <w:tabs>
                <w:tab w:val="left" w:pos="1440"/>
              </w:tabs>
              <w:ind w:left="0"/>
              <w:jc w:val="center"/>
              <w:cnfStyle w:val="100000000000"/>
              <w:rPr>
                <w:rFonts w:ascii="Times New Roman" w:hAnsi="Times New Roman"/>
              </w:rPr>
            </w:pPr>
            <w:r w:rsidRPr="00D10C92">
              <w:rPr>
                <w:rFonts w:ascii="Times New Roman" w:hAnsi="Times New Roman"/>
              </w:rPr>
              <w:t>Khulna</w:t>
            </w:r>
          </w:p>
        </w:tc>
        <w:tc>
          <w:tcPr>
            <w:tcW w:w="1548" w:type="dxa"/>
            <w:tcBorders>
              <w:left w:val="single" w:sz="6" w:space="0" w:color="000000"/>
              <w:right w:val="single" w:sz="8" w:space="0" w:color="000000"/>
            </w:tcBorders>
          </w:tcPr>
          <w:p w:rsidR="0048464B" w:rsidRPr="00D10C92" w:rsidRDefault="0048464B" w:rsidP="00F83382">
            <w:pPr>
              <w:pStyle w:val="ListParagraph"/>
              <w:tabs>
                <w:tab w:val="left" w:pos="1440"/>
              </w:tabs>
              <w:ind w:left="0"/>
              <w:jc w:val="center"/>
              <w:cnfStyle w:val="100000000000"/>
              <w:rPr>
                <w:rFonts w:ascii="Times New Roman" w:hAnsi="Times New Roman"/>
              </w:rPr>
            </w:pPr>
            <w:r w:rsidRPr="00D10C92">
              <w:rPr>
                <w:rFonts w:ascii="Times New Roman" w:hAnsi="Times New Roman"/>
              </w:rPr>
              <w:t>Faridpur</w:t>
            </w:r>
          </w:p>
        </w:tc>
      </w:tr>
      <w:tr w:rsidR="0048464B" w:rsidRPr="00240ED3" w:rsidTr="00F83382">
        <w:trPr>
          <w:cnfStyle w:val="000000100000"/>
          <w:trHeight w:hRule="exact" w:val="288"/>
        </w:trPr>
        <w:tc>
          <w:tcPr>
            <w:cnfStyle w:val="001000000000"/>
            <w:tcW w:w="3348" w:type="dxa"/>
          </w:tcPr>
          <w:p w:rsidR="0048464B" w:rsidRPr="00240ED3" w:rsidRDefault="0048464B" w:rsidP="00F83382">
            <w:pPr>
              <w:pStyle w:val="ListParagraph"/>
              <w:tabs>
                <w:tab w:val="left" w:pos="1440"/>
              </w:tabs>
              <w:spacing w:after="0"/>
              <w:ind w:left="0"/>
              <w:rPr>
                <w:rFonts w:ascii="Times New Roman" w:hAnsi="Times New Roman"/>
              </w:rPr>
            </w:pPr>
            <w:r w:rsidRPr="00240ED3">
              <w:rPr>
                <w:rFonts w:ascii="Times New Roman" w:hAnsi="Times New Roman"/>
              </w:rPr>
              <w:t>Total population (in 2011)</w:t>
            </w:r>
          </w:p>
        </w:tc>
        <w:tc>
          <w:tcPr>
            <w:tcW w:w="162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Number</w:t>
            </w:r>
          </w:p>
        </w:tc>
        <w:tc>
          <w:tcPr>
            <w:tcW w:w="1350" w:type="dxa"/>
          </w:tcPr>
          <w:p w:rsidR="0048464B" w:rsidRPr="00240ED3" w:rsidRDefault="0048464B" w:rsidP="00F83382">
            <w:pPr>
              <w:jc w:val="center"/>
              <w:cnfStyle w:val="000000100000"/>
              <w:rPr>
                <w:rFonts w:ascii="Times New Roman" w:hAnsi="Times New Roman"/>
              </w:rPr>
            </w:pPr>
            <w:r w:rsidRPr="00240ED3">
              <w:rPr>
                <w:rFonts w:ascii="Times New Roman" w:hAnsi="Times New Roman"/>
              </w:rPr>
              <w:t>15,018,594</w:t>
            </w:r>
          </w:p>
        </w:tc>
        <w:tc>
          <w:tcPr>
            <w:tcW w:w="1710" w:type="dxa"/>
          </w:tcPr>
          <w:p w:rsidR="0048464B" w:rsidRPr="00240ED3" w:rsidRDefault="0048464B" w:rsidP="00F83382">
            <w:pPr>
              <w:jc w:val="center"/>
              <w:cnfStyle w:val="000000100000"/>
              <w:rPr>
                <w:rFonts w:ascii="Times New Roman" w:hAnsi="Times New Roman"/>
              </w:rPr>
            </w:pPr>
            <w:r w:rsidRPr="00240ED3">
              <w:rPr>
                <w:rFonts w:ascii="Times New Roman" w:hAnsi="Times New Roman"/>
              </w:rPr>
              <w:t>1,728,760</w:t>
            </w:r>
          </w:p>
        </w:tc>
        <w:tc>
          <w:tcPr>
            <w:tcW w:w="1548"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eastAsia="Arial" w:hAnsi="Times New Roman"/>
                <w:kern w:val="1"/>
              </w:rPr>
              <w:t>146,667</w:t>
            </w:r>
          </w:p>
        </w:tc>
      </w:tr>
      <w:tr w:rsidR="0048464B" w:rsidRPr="00240ED3" w:rsidTr="00F83382">
        <w:trPr>
          <w:trHeight w:hRule="exact" w:val="288"/>
        </w:trPr>
        <w:tc>
          <w:tcPr>
            <w:cnfStyle w:val="001000000000"/>
            <w:tcW w:w="3348" w:type="dxa"/>
          </w:tcPr>
          <w:p w:rsidR="0048464B" w:rsidRPr="00240ED3" w:rsidRDefault="0048464B" w:rsidP="00F83382">
            <w:pPr>
              <w:pStyle w:val="ListParagraph"/>
              <w:tabs>
                <w:tab w:val="left" w:pos="1440"/>
              </w:tabs>
              <w:spacing w:after="0"/>
              <w:ind w:left="0"/>
              <w:rPr>
                <w:rFonts w:ascii="Times New Roman" w:hAnsi="Times New Roman"/>
              </w:rPr>
            </w:pPr>
            <w:r w:rsidRPr="00240ED3">
              <w:rPr>
                <w:rFonts w:ascii="Times New Roman" w:hAnsi="Times New Roman"/>
              </w:rPr>
              <w:t>Total Household (in 2011)</w:t>
            </w:r>
          </w:p>
        </w:tc>
        <w:tc>
          <w:tcPr>
            <w:tcW w:w="162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Number</w:t>
            </w:r>
          </w:p>
        </w:tc>
        <w:tc>
          <w:tcPr>
            <w:tcW w:w="1350" w:type="dxa"/>
          </w:tcPr>
          <w:p w:rsidR="0048464B" w:rsidRPr="00240ED3" w:rsidRDefault="0048464B" w:rsidP="00F83382">
            <w:pPr>
              <w:jc w:val="center"/>
              <w:cnfStyle w:val="000000000000"/>
              <w:rPr>
                <w:rFonts w:ascii="Times New Roman" w:hAnsi="Times New Roman"/>
              </w:rPr>
            </w:pPr>
            <w:r w:rsidRPr="00240ED3">
              <w:rPr>
                <w:rFonts w:ascii="Times New Roman" w:hAnsi="Times New Roman"/>
              </w:rPr>
              <w:t>3,337,470</w:t>
            </w:r>
          </w:p>
        </w:tc>
        <w:tc>
          <w:tcPr>
            <w:tcW w:w="1710" w:type="dxa"/>
          </w:tcPr>
          <w:p w:rsidR="0048464B" w:rsidRPr="00240ED3" w:rsidRDefault="0048464B" w:rsidP="00F83382">
            <w:pPr>
              <w:jc w:val="center"/>
              <w:cnfStyle w:val="000000000000"/>
              <w:rPr>
                <w:rFonts w:ascii="Times New Roman" w:hAnsi="Times New Roman"/>
              </w:rPr>
            </w:pPr>
            <w:r w:rsidRPr="00240ED3">
              <w:rPr>
                <w:rFonts w:ascii="Times New Roman" w:hAnsi="Times New Roman"/>
              </w:rPr>
              <w:t>384,169</w:t>
            </w:r>
          </w:p>
        </w:tc>
        <w:tc>
          <w:tcPr>
            <w:tcW w:w="1548"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24,840</w:t>
            </w:r>
          </w:p>
        </w:tc>
      </w:tr>
      <w:tr w:rsidR="0048464B" w:rsidRPr="00240ED3" w:rsidTr="00F83382">
        <w:trPr>
          <w:cnfStyle w:val="000000100000"/>
        </w:trPr>
        <w:tc>
          <w:tcPr>
            <w:cnfStyle w:val="001000000000"/>
            <w:tcW w:w="3348" w:type="dxa"/>
          </w:tcPr>
          <w:p w:rsidR="0048464B" w:rsidRPr="00240ED3" w:rsidRDefault="0048464B" w:rsidP="00F83382">
            <w:pPr>
              <w:pStyle w:val="ListParagraph"/>
              <w:tabs>
                <w:tab w:val="left" w:pos="1440"/>
              </w:tabs>
              <w:spacing w:after="0"/>
              <w:ind w:left="0"/>
              <w:rPr>
                <w:rFonts w:ascii="Times New Roman" w:hAnsi="Times New Roman"/>
              </w:rPr>
            </w:pPr>
            <w:r w:rsidRPr="00240ED3">
              <w:rPr>
                <w:rFonts w:ascii="Times New Roman" w:hAnsi="Times New Roman"/>
              </w:rPr>
              <w:t>Total production of Waste Water (Faecal Sludge and Grey Water)</w:t>
            </w:r>
          </w:p>
        </w:tc>
        <w:tc>
          <w:tcPr>
            <w:tcW w:w="162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vertAlign w:val="superscript"/>
              </w:rPr>
            </w:pPr>
            <w:r w:rsidRPr="00240ED3">
              <w:rPr>
                <w:rFonts w:ascii="Times New Roman" w:hAnsi="Times New Roman"/>
              </w:rPr>
              <w:t>m</w:t>
            </w:r>
            <w:r w:rsidRPr="00240ED3">
              <w:rPr>
                <w:rFonts w:ascii="Times New Roman" w:hAnsi="Times New Roman"/>
                <w:vertAlign w:val="superscript"/>
              </w:rPr>
              <w:t>3</w:t>
            </w:r>
          </w:p>
        </w:tc>
        <w:tc>
          <w:tcPr>
            <w:tcW w:w="135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2,740,893</w:t>
            </w:r>
          </w:p>
        </w:tc>
        <w:tc>
          <w:tcPr>
            <w:tcW w:w="171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315,499</w:t>
            </w:r>
          </w:p>
        </w:tc>
        <w:tc>
          <w:tcPr>
            <w:tcW w:w="1548"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26,767</w:t>
            </w:r>
          </w:p>
        </w:tc>
      </w:tr>
      <w:tr w:rsidR="0048464B" w:rsidRPr="00240ED3" w:rsidTr="00F83382">
        <w:tc>
          <w:tcPr>
            <w:cnfStyle w:val="001000000000"/>
            <w:tcW w:w="3348" w:type="dxa"/>
          </w:tcPr>
          <w:p w:rsidR="0048464B" w:rsidRPr="00240ED3" w:rsidRDefault="0048464B" w:rsidP="00F83382">
            <w:pPr>
              <w:pStyle w:val="ListParagraph"/>
              <w:tabs>
                <w:tab w:val="left" w:pos="1440"/>
              </w:tabs>
              <w:spacing w:after="0"/>
              <w:ind w:left="0"/>
              <w:rPr>
                <w:rFonts w:ascii="Times New Roman" w:hAnsi="Times New Roman"/>
              </w:rPr>
            </w:pPr>
            <w:r w:rsidRPr="00240ED3">
              <w:rPr>
                <w:rFonts w:ascii="Times New Roman" w:hAnsi="Times New Roman"/>
              </w:rPr>
              <w:t>Coverage under sewerage system</w:t>
            </w:r>
          </w:p>
        </w:tc>
        <w:tc>
          <w:tcPr>
            <w:tcW w:w="162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w:t>
            </w:r>
          </w:p>
        </w:tc>
        <w:tc>
          <w:tcPr>
            <w:tcW w:w="135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20.00</w:t>
            </w:r>
          </w:p>
        </w:tc>
        <w:tc>
          <w:tcPr>
            <w:tcW w:w="171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0.00</w:t>
            </w:r>
          </w:p>
        </w:tc>
        <w:tc>
          <w:tcPr>
            <w:tcW w:w="1548"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0.00</w:t>
            </w:r>
          </w:p>
        </w:tc>
      </w:tr>
      <w:tr w:rsidR="0048464B" w:rsidRPr="00240ED3" w:rsidTr="00F83382">
        <w:trPr>
          <w:cnfStyle w:val="000000100000"/>
        </w:trPr>
        <w:tc>
          <w:tcPr>
            <w:cnfStyle w:val="001000000000"/>
            <w:tcW w:w="3348" w:type="dxa"/>
          </w:tcPr>
          <w:p w:rsidR="0048464B" w:rsidRPr="00240ED3" w:rsidRDefault="0048464B" w:rsidP="00F83382">
            <w:pPr>
              <w:pStyle w:val="ListParagraph"/>
              <w:tabs>
                <w:tab w:val="left" w:pos="1440"/>
              </w:tabs>
              <w:spacing w:after="0"/>
              <w:ind w:left="0"/>
              <w:rPr>
                <w:rFonts w:ascii="Times New Roman" w:hAnsi="Times New Roman"/>
              </w:rPr>
            </w:pPr>
            <w:r w:rsidRPr="00240ED3">
              <w:rPr>
                <w:rFonts w:ascii="Times New Roman" w:hAnsi="Times New Roman"/>
              </w:rPr>
              <w:t>Coverage under drainage</w:t>
            </w:r>
          </w:p>
        </w:tc>
        <w:tc>
          <w:tcPr>
            <w:tcW w:w="162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w:t>
            </w:r>
          </w:p>
        </w:tc>
        <w:tc>
          <w:tcPr>
            <w:tcW w:w="135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69.23</w:t>
            </w:r>
          </w:p>
        </w:tc>
        <w:tc>
          <w:tcPr>
            <w:tcW w:w="171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0.00</w:t>
            </w:r>
          </w:p>
        </w:tc>
        <w:tc>
          <w:tcPr>
            <w:tcW w:w="1548"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0.00</w:t>
            </w:r>
          </w:p>
        </w:tc>
      </w:tr>
      <w:tr w:rsidR="0048464B" w:rsidRPr="00240ED3" w:rsidTr="00F83382">
        <w:tc>
          <w:tcPr>
            <w:cnfStyle w:val="001000000000"/>
            <w:tcW w:w="3348" w:type="dxa"/>
          </w:tcPr>
          <w:p w:rsidR="0048464B" w:rsidRPr="00240ED3" w:rsidRDefault="0048464B" w:rsidP="00F83382">
            <w:pPr>
              <w:pStyle w:val="ListParagraph"/>
              <w:tabs>
                <w:tab w:val="left" w:pos="1440"/>
              </w:tabs>
              <w:spacing w:after="0"/>
              <w:ind w:left="0"/>
              <w:rPr>
                <w:rFonts w:ascii="Times New Roman" w:hAnsi="Times New Roman"/>
              </w:rPr>
            </w:pPr>
            <w:r w:rsidRPr="00240ED3">
              <w:rPr>
                <w:rFonts w:ascii="Times New Roman" w:hAnsi="Times New Roman"/>
              </w:rPr>
              <w:t>Open defecation, hanging, etc.</w:t>
            </w:r>
          </w:p>
        </w:tc>
        <w:tc>
          <w:tcPr>
            <w:tcW w:w="162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w:t>
            </w:r>
          </w:p>
        </w:tc>
        <w:tc>
          <w:tcPr>
            <w:tcW w:w="135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0.77</w:t>
            </w:r>
          </w:p>
        </w:tc>
        <w:tc>
          <w:tcPr>
            <w:tcW w:w="171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0.77</w:t>
            </w:r>
          </w:p>
        </w:tc>
        <w:tc>
          <w:tcPr>
            <w:tcW w:w="1548"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1.50</w:t>
            </w:r>
          </w:p>
        </w:tc>
      </w:tr>
      <w:tr w:rsidR="0048464B" w:rsidRPr="00240ED3" w:rsidTr="00F83382">
        <w:trPr>
          <w:cnfStyle w:val="000000100000"/>
        </w:trPr>
        <w:tc>
          <w:tcPr>
            <w:cnfStyle w:val="001000000000"/>
            <w:tcW w:w="3348" w:type="dxa"/>
          </w:tcPr>
          <w:p w:rsidR="0048464B" w:rsidRPr="00240ED3" w:rsidRDefault="0048464B" w:rsidP="00F83382">
            <w:pPr>
              <w:pStyle w:val="ListParagraph"/>
              <w:tabs>
                <w:tab w:val="left" w:pos="1440"/>
              </w:tabs>
              <w:spacing w:after="0"/>
              <w:ind w:left="0"/>
              <w:rPr>
                <w:rFonts w:ascii="Times New Roman" w:hAnsi="Times New Roman"/>
              </w:rPr>
            </w:pPr>
            <w:r w:rsidRPr="00240ED3">
              <w:rPr>
                <w:rFonts w:ascii="Times New Roman" w:hAnsi="Times New Roman"/>
              </w:rPr>
              <w:t>Coverage under OSS</w:t>
            </w:r>
          </w:p>
        </w:tc>
        <w:tc>
          <w:tcPr>
            <w:tcW w:w="162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w:t>
            </w:r>
          </w:p>
        </w:tc>
        <w:tc>
          <w:tcPr>
            <w:tcW w:w="135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10.00</w:t>
            </w:r>
          </w:p>
        </w:tc>
        <w:tc>
          <w:tcPr>
            <w:tcW w:w="1710"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98.23</w:t>
            </w:r>
          </w:p>
        </w:tc>
        <w:tc>
          <w:tcPr>
            <w:tcW w:w="1548" w:type="dxa"/>
          </w:tcPr>
          <w:p w:rsidR="0048464B" w:rsidRPr="00240ED3" w:rsidRDefault="0048464B" w:rsidP="00F83382">
            <w:pPr>
              <w:pStyle w:val="ListParagraph"/>
              <w:tabs>
                <w:tab w:val="left" w:pos="1440"/>
              </w:tabs>
              <w:spacing w:after="0"/>
              <w:ind w:left="0"/>
              <w:jc w:val="center"/>
              <w:cnfStyle w:val="000000100000"/>
              <w:rPr>
                <w:rFonts w:ascii="Times New Roman" w:hAnsi="Times New Roman"/>
              </w:rPr>
            </w:pPr>
            <w:r w:rsidRPr="00240ED3">
              <w:rPr>
                <w:rFonts w:ascii="Times New Roman" w:hAnsi="Times New Roman"/>
              </w:rPr>
              <w:t>98.50</w:t>
            </w:r>
          </w:p>
        </w:tc>
      </w:tr>
      <w:tr w:rsidR="0048464B" w:rsidRPr="00240ED3" w:rsidTr="00F83382">
        <w:tc>
          <w:tcPr>
            <w:cnfStyle w:val="001000000000"/>
            <w:tcW w:w="3348" w:type="dxa"/>
          </w:tcPr>
          <w:p w:rsidR="0048464B" w:rsidRPr="00240ED3" w:rsidRDefault="0048464B" w:rsidP="00F83382">
            <w:pPr>
              <w:pStyle w:val="ListParagraph"/>
              <w:tabs>
                <w:tab w:val="left" w:pos="1440"/>
              </w:tabs>
              <w:spacing w:after="0"/>
              <w:ind w:left="0"/>
              <w:rPr>
                <w:rFonts w:ascii="Times New Roman" w:hAnsi="Times New Roman"/>
              </w:rPr>
            </w:pPr>
            <w:r w:rsidRPr="00240ED3">
              <w:rPr>
                <w:rFonts w:ascii="Times New Roman" w:hAnsi="Times New Roman"/>
              </w:rPr>
              <w:t>Coverage under OSS</w:t>
            </w:r>
          </w:p>
        </w:tc>
        <w:tc>
          <w:tcPr>
            <w:tcW w:w="162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vertAlign w:val="superscript"/>
              </w:rPr>
            </w:pPr>
            <w:r w:rsidRPr="00240ED3">
              <w:rPr>
                <w:rFonts w:ascii="Times New Roman" w:hAnsi="Times New Roman"/>
              </w:rPr>
              <w:t>m</w:t>
            </w:r>
            <w:r w:rsidRPr="00240ED3">
              <w:rPr>
                <w:rFonts w:ascii="Times New Roman" w:hAnsi="Times New Roman"/>
                <w:vertAlign w:val="superscript"/>
              </w:rPr>
              <w:t>3</w:t>
            </w:r>
          </w:p>
        </w:tc>
        <w:tc>
          <w:tcPr>
            <w:tcW w:w="135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541,585</w:t>
            </w:r>
          </w:p>
        </w:tc>
        <w:tc>
          <w:tcPr>
            <w:tcW w:w="1710"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815,276</w:t>
            </w:r>
          </w:p>
        </w:tc>
        <w:tc>
          <w:tcPr>
            <w:tcW w:w="1548" w:type="dxa"/>
          </w:tcPr>
          <w:p w:rsidR="0048464B" w:rsidRPr="00240ED3" w:rsidRDefault="0048464B" w:rsidP="00F83382">
            <w:pPr>
              <w:pStyle w:val="ListParagraph"/>
              <w:tabs>
                <w:tab w:val="left" w:pos="1440"/>
              </w:tabs>
              <w:spacing w:after="0"/>
              <w:ind w:left="0"/>
              <w:jc w:val="center"/>
              <w:cnfStyle w:val="000000000000"/>
              <w:rPr>
                <w:rFonts w:ascii="Times New Roman" w:hAnsi="Times New Roman"/>
              </w:rPr>
            </w:pPr>
            <w:r w:rsidRPr="00240ED3">
              <w:rPr>
                <w:rFonts w:ascii="Times New Roman" w:hAnsi="Times New Roman"/>
              </w:rPr>
              <w:t>25,434</w:t>
            </w:r>
          </w:p>
        </w:tc>
      </w:tr>
    </w:tbl>
    <w:p w:rsidR="0048464B" w:rsidRPr="00985A09" w:rsidRDefault="0048464B" w:rsidP="0048464B">
      <w:pPr>
        <w:pStyle w:val="ColorfulList-Accent11"/>
        <w:spacing w:after="0"/>
        <w:ind w:left="0"/>
        <w:rPr>
          <w:rFonts w:ascii="Arial" w:hAnsi="Arial" w:cs="Arial"/>
          <w:sz w:val="18"/>
          <w:szCs w:val="18"/>
          <w:lang w:val="en-GB"/>
        </w:rPr>
      </w:pPr>
      <w:r w:rsidRPr="00985A09">
        <w:rPr>
          <w:rFonts w:ascii="Arial" w:hAnsi="Arial" w:cs="Arial"/>
          <w:sz w:val="18"/>
          <w:szCs w:val="18"/>
          <w:lang w:val="en-GB"/>
        </w:rPr>
        <w:t>*</w:t>
      </w:r>
      <w:r w:rsidRPr="00FD4ADE">
        <w:rPr>
          <w:rFonts w:ascii="Times New Roman" w:hAnsi="Times New Roman"/>
          <w:sz w:val="18"/>
          <w:szCs w:val="18"/>
          <w:lang w:val="en-GB"/>
        </w:rPr>
        <w:t>0.5 ltr per person per day including grey water</w:t>
      </w:r>
    </w:p>
    <w:p w:rsidR="0048464B" w:rsidRPr="00CC0A1A" w:rsidRDefault="0048464B" w:rsidP="0048464B">
      <w:pPr>
        <w:pStyle w:val="ColorfulList-Accent11"/>
        <w:spacing w:before="120" w:after="240"/>
        <w:ind w:left="0"/>
        <w:rPr>
          <w:rFonts w:ascii="Times New Roman" w:hAnsi="Times New Roman"/>
          <w:b/>
          <w:i/>
          <w:sz w:val="20"/>
          <w:szCs w:val="24"/>
          <w:lang w:val="en-GB"/>
        </w:rPr>
      </w:pPr>
      <w:r w:rsidRPr="00FD4ADE">
        <w:rPr>
          <w:rFonts w:ascii="Times New Roman" w:hAnsi="Times New Roman"/>
          <w:b/>
          <w:i/>
          <w:sz w:val="20"/>
          <w:szCs w:val="24"/>
          <w:lang w:val="en-GB"/>
        </w:rPr>
        <w:t>Source: Opel, Bashar and Ahmed, 2012</w:t>
      </w:r>
    </w:p>
    <w:p w:rsidR="0048464B" w:rsidRPr="00985A09" w:rsidRDefault="0048464B" w:rsidP="0048464B">
      <w:pPr>
        <w:spacing w:line="271" w:lineRule="auto"/>
        <w:jc w:val="both"/>
        <w:rPr>
          <w:rFonts w:cs="Times New Roman"/>
          <w:szCs w:val="24"/>
        </w:rPr>
      </w:pPr>
      <w:r>
        <w:rPr>
          <w:rFonts w:cs="Times New Roman"/>
          <w:szCs w:val="24"/>
        </w:rPr>
        <w:t xml:space="preserve">Table 10.16 </w:t>
      </w:r>
      <w:r w:rsidRPr="00985A09">
        <w:rPr>
          <w:rFonts w:cs="Times New Roman"/>
          <w:szCs w:val="24"/>
        </w:rPr>
        <w:t xml:space="preserve">presents the volume of industrial wastewater from industrial clusters in Dhaka. </w:t>
      </w:r>
      <w:r w:rsidRPr="0050663D">
        <w:rPr>
          <w:rFonts w:cs="Times New Roman"/>
          <w:bCs/>
          <w:i/>
          <w:szCs w:val="24"/>
        </w:rPr>
        <w:t xml:space="preserve">Highest volume of industrial wastewater is produced by textile industries followed by leather and </w:t>
      </w:r>
      <w:r w:rsidRPr="0050663D">
        <w:rPr>
          <w:rFonts w:cs="Times New Roman"/>
          <w:bCs/>
          <w:i/>
          <w:szCs w:val="24"/>
        </w:rPr>
        <w:lastRenderedPageBreak/>
        <w:t>chemical.</w:t>
      </w:r>
      <w:r w:rsidRPr="00985A09">
        <w:rPr>
          <w:rFonts w:cs="Times New Roman"/>
          <w:szCs w:val="24"/>
        </w:rPr>
        <w:t xml:space="preserve"> Leather industries are concent</w:t>
      </w:r>
      <w:r>
        <w:rPr>
          <w:rFonts w:cs="Times New Roman"/>
          <w:szCs w:val="24"/>
        </w:rPr>
        <w:t>rated in Hazaribagh and produce</w:t>
      </w:r>
      <w:r w:rsidRPr="00985A09">
        <w:rPr>
          <w:rFonts w:cs="Times New Roman"/>
          <w:szCs w:val="24"/>
        </w:rPr>
        <w:t xml:space="preserve"> about 16 thousand cubic metres of waste water per day</w:t>
      </w:r>
      <w:r>
        <w:rPr>
          <w:rFonts w:cs="Times New Roman"/>
          <w:szCs w:val="24"/>
        </w:rPr>
        <w:t>,</w:t>
      </w:r>
      <w:r w:rsidRPr="00985A09">
        <w:rPr>
          <w:rFonts w:cs="Times New Roman"/>
          <w:szCs w:val="24"/>
        </w:rPr>
        <w:t xml:space="preserve"> which is </w:t>
      </w:r>
      <w:r>
        <w:rPr>
          <w:rFonts w:cs="Times New Roman"/>
          <w:szCs w:val="24"/>
        </w:rPr>
        <w:t xml:space="preserve">the </w:t>
      </w:r>
      <w:r w:rsidRPr="00985A09">
        <w:rPr>
          <w:rFonts w:cs="Times New Roman"/>
          <w:szCs w:val="24"/>
        </w:rPr>
        <w:t>highest in terms of pr</w:t>
      </w:r>
      <w:r>
        <w:rPr>
          <w:rFonts w:cs="Times New Roman"/>
          <w:szCs w:val="24"/>
        </w:rPr>
        <w:t>oduction of waste water by area</w:t>
      </w:r>
      <w:r w:rsidRPr="00985A09">
        <w:rPr>
          <w:rFonts w:cs="Times New Roman"/>
          <w:szCs w:val="24"/>
        </w:rPr>
        <w:t>. Textile industries are dispersed throughout the city and the volumes of waste water produc</w:t>
      </w:r>
      <w:r>
        <w:rPr>
          <w:rFonts w:cs="Times New Roman"/>
          <w:szCs w:val="24"/>
        </w:rPr>
        <w:t>ed by these industries vary by location</w:t>
      </w:r>
      <w:r w:rsidRPr="00985A09">
        <w:rPr>
          <w:rFonts w:cs="Times New Roman"/>
          <w:szCs w:val="24"/>
        </w:rPr>
        <w:t>.</w:t>
      </w:r>
    </w:p>
    <w:p w:rsidR="0048464B" w:rsidRPr="00101CE9" w:rsidRDefault="0048464B" w:rsidP="0048464B">
      <w:pPr>
        <w:jc w:val="center"/>
        <w:rPr>
          <w:b/>
        </w:rPr>
      </w:pPr>
      <w:bookmarkStart w:id="753" w:name="_Toc464328995"/>
      <w:r w:rsidRPr="00101CE9">
        <w:rPr>
          <w:b/>
        </w:rPr>
        <w:t>Table 10.16: Volume of Industrial Wastewater in Dhaka</w:t>
      </w:r>
      <w:bookmarkEnd w:id="753"/>
    </w:p>
    <w:tbl>
      <w:tblPr>
        <w:tblStyle w:val="LightShading10"/>
        <w:tblW w:w="5000" w:type="pct"/>
        <w:tblLook w:val="04A0"/>
      </w:tblPr>
      <w:tblGrid>
        <w:gridCol w:w="1614"/>
        <w:gridCol w:w="1615"/>
        <w:gridCol w:w="1615"/>
        <w:gridCol w:w="2093"/>
        <w:gridCol w:w="2639"/>
      </w:tblGrid>
      <w:tr w:rsidR="0048464B" w:rsidRPr="00240ED3" w:rsidTr="00F83382">
        <w:trPr>
          <w:cnfStyle w:val="100000000000"/>
          <w:trHeight w:hRule="exact" w:val="576"/>
        </w:trPr>
        <w:tc>
          <w:tcPr>
            <w:cnfStyle w:val="001000000000"/>
            <w:tcW w:w="843" w:type="pct"/>
          </w:tcPr>
          <w:p w:rsidR="0048464B" w:rsidRPr="00D10C92" w:rsidRDefault="0048464B" w:rsidP="00F83382">
            <w:pPr>
              <w:spacing w:line="276" w:lineRule="auto"/>
              <w:rPr>
                <w:rFonts w:ascii="Times New Roman" w:hAnsi="Times New Roman"/>
                <w:color w:val="auto"/>
                <w:sz w:val="22"/>
                <w:szCs w:val="24"/>
              </w:rPr>
            </w:pPr>
            <w:r w:rsidRPr="00D10C92">
              <w:rPr>
                <w:rFonts w:ascii="Times New Roman" w:hAnsi="Times New Roman"/>
                <w:color w:val="auto"/>
                <w:sz w:val="22"/>
                <w:szCs w:val="24"/>
              </w:rPr>
              <w:t>Cluster Name</w:t>
            </w:r>
          </w:p>
        </w:tc>
        <w:tc>
          <w:tcPr>
            <w:tcW w:w="843" w:type="pct"/>
          </w:tcPr>
          <w:p w:rsidR="0048464B" w:rsidRPr="00D10C92" w:rsidRDefault="0048464B" w:rsidP="00F83382">
            <w:pPr>
              <w:spacing w:line="276" w:lineRule="auto"/>
              <w:cnfStyle w:val="100000000000"/>
              <w:rPr>
                <w:rFonts w:ascii="Times New Roman" w:hAnsi="Times New Roman"/>
                <w:color w:val="auto"/>
                <w:sz w:val="22"/>
                <w:szCs w:val="24"/>
              </w:rPr>
            </w:pPr>
            <w:r w:rsidRPr="00D10C92">
              <w:rPr>
                <w:rFonts w:ascii="Times New Roman" w:hAnsi="Times New Roman"/>
                <w:color w:val="auto"/>
                <w:sz w:val="22"/>
                <w:szCs w:val="24"/>
              </w:rPr>
              <w:t>Type of Industries</w:t>
            </w:r>
          </w:p>
        </w:tc>
        <w:tc>
          <w:tcPr>
            <w:tcW w:w="843" w:type="pct"/>
          </w:tcPr>
          <w:p w:rsidR="0048464B" w:rsidRPr="00D10C92" w:rsidRDefault="0048464B" w:rsidP="00F83382">
            <w:pPr>
              <w:spacing w:line="276" w:lineRule="auto"/>
              <w:cnfStyle w:val="100000000000"/>
              <w:rPr>
                <w:rFonts w:ascii="Times New Roman" w:hAnsi="Times New Roman"/>
                <w:color w:val="auto"/>
                <w:sz w:val="22"/>
                <w:szCs w:val="24"/>
              </w:rPr>
            </w:pPr>
            <w:r w:rsidRPr="00D10C92">
              <w:rPr>
                <w:rFonts w:ascii="Times New Roman" w:hAnsi="Times New Roman"/>
                <w:color w:val="auto"/>
                <w:sz w:val="22"/>
                <w:szCs w:val="24"/>
              </w:rPr>
              <w:t>Number of Industries</w:t>
            </w:r>
          </w:p>
        </w:tc>
        <w:tc>
          <w:tcPr>
            <w:tcW w:w="1093" w:type="pct"/>
          </w:tcPr>
          <w:p w:rsidR="0048464B" w:rsidRPr="00D10C92" w:rsidRDefault="0048464B" w:rsidP="00F83382">
            <w:pPr>
              <w:spacing w:line="276" w:lineRule="auto"/>
              <w:cnfStyle w:val="100000000000"/>
              <w:rPr>
                <w:rFonts w:ascii="Times New Roman" w:hAnsi="Times New Roman"/>
                <w:color w:val="auto"/>
                <w:sz w:val="22"/>
                <w:szCs w:val="24"/>
              </w:rPr>
            </w:pPr>
            <w:r w:rsidRPr="00D10C92">
              <w:rPr>
                <w:rFonts w:ascii="Times New Roman" w:hAnsi="Times New Roman"/>
                <w:color w:val="auto"/>
                <w:sz w:val="22"/>
                <w:szCs w:val="24"/>
              </w:rPr>
              <w:t>Total Waste Water Discharge (m</w:t>
            </w:r>
            <w:r w:rsidRPr="00D10C92">
              <w:rPr>
                <w:rFonts w:ascii="Times New Roman" w:hAnsi="Times New Roman"/>
                <w:color w:val="auto"/>
                <w:sz w:val="22"/>
                <w:szCs w:val="24"/>
                <w:vertAlign w:val="superscript"/>
              </w:rPr>
              <w:t>3</w:t>
            </w:r>
            <w:r w:rsidRPr="00D10C92">
              <w:rPr>
                <w:rFonts w:ascii="Times New Roman" w:hAnsi="Times New Roman"/>
                <w:color w:val="auto"/>
                <w:sz w:val="22"/>
                <w:szCs w:val="24"/>
              </w:rPr>
              <w:t>/d)</w:t>
            </w:r>
          </w:p>
        </w:tc>
        <w:tc>
          <w:tcPr>
            <w:tcW w:w="1378" w:type="pct"/>
          </w:tcPr>
          <w:p w:rsidR="0048464B" w:rsidRPr="00D10C92" w:rsidRDefault="0048464B" w:rsidP="00F83382">
            <w:pPr>
              <w:spacing w:line="276" w:lineRule="auto"/>
              <w:cnfStyle w:val="100000000000"/>
              <w:rPr>
                <w:rFonts w:ascii="Times New Roman" w:hAnsi="Times New Roman"/>
                <w:color w:val="auto"/>
                <w:sz w:val="22"/>
                <w:szCs w:val="24"/>
              </w:rPr>
            </w:pPr>
            <w:r w:rsidRPr="00D10C92">
              <w:rPr>
                <w:rFonts w:ascii="Times New Roman" w:hAnsi="Times New Roman"/>
                <w:color w:val="auto"/>
                <w:sz w:val="22"/>
                <w:szCs w:val="24"/>
              </w:rPr>
              <w:t>Discharge Point</w:t>
            </w:r>
          </w:p>
        </w:tc>
      </w:tr>
      <w:tr w:rsidR="0048464B" w:rsidRPr="00240ED3" w:rsidTr="00F83382">
        <w:trPr>
          <w:cnfStyle w:val="000000100000"/>
          <w:trHeight w:hRule="exact" w:val="288"/>
        </w:trPr>
        <w:tc>
          <w:tcPr>
            <w:cnfStyle w:val="001000000000"/>
            <w:tcW w:w="843" w:type="pct"/>
          </w:tcPr>
          <w:p w:rsidR="0048464B" w:rsidRPr="00240ED3" w:rsidRDefault="0048464B" w:rsidP="00F83382">
            <w:pPr>
              <w:spacing w:after="0" w:line="276" w:lineRule="auto"/>
              <w:rPr>
                <w:rFonts w:ascii="Times New Roman" w:hAnsi="Times New Roman"/>
                <w:b w:val="0"/>
                <w:sz w:val="22"/>
                <w:szCs w:val="24"/>
              </w:rPr>
            </w:pPr>
            <w:r w:rsidRPr="00240ED3">
              <w:rPr>
                <w:rFonts w:ascii="Times New Roman" w:hAnsi="Times New Roman"/>
                <w:b w:val="0"/>
                <w:sz w:val="22"/>
                <w:szCs w:val="24"/>
              </w:rPr>
              <w:t>Hazaribagh</w:t>
            </w:r>
          </w:p>
        </w:tc>
        <w:tc>
          <w:tcPr>
            <w:tcW w:w="843"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Leather</w:t>
            </w:r>
          </w:p>
        </w:tc>
        <w:tc>
          <w:tcPr>
            <w:tcW w:w="843"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136</w:t>
            </w:r>
          </w:p>
        </w:tc>
        <w:tc>
          <w:tcPr>
            <w:tcW w:w="1093"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15,800</w:t>
            </w:r>
          </w:p>
        </w:tc>
        <w:tc>
          <w:tcPr>
            <w:tcW w:w="1378"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Turag river</w:t>
            </w:r>
          </w:p>
        </w:tc>
      </w:tr>
      <w:tr w:rsidR="0048464B" w:rsidRPr="00240ED3" w:rsidTr="00F83382">
        <w:trPr>
          <w:trHeight w:hRule="exact" w:val="288"/>
        </w:trPr>
        <w:tc>
          <w:tcPr>
            <w:cnfStyle w:val="001000000000"/>
            <w:tcW w:w="843" w:type="pct"/>
          </w:tcPr>
          <w:p w:rsidR="0048464B" w:rsidRPr="00240ED3" w:rsidRDefault="0048464B" w:rsidP="00F83382">
            <w:pPr>
              <w:spacing w:after="0" w:line="276" w:lineRule="auto"/>
              <w:rPr>
                <w:rFonts w:ascii="Times New Roman" w:hAnsi="Times New Roman"/>
                <w:b w:val="0"/>
                <w:sz w:val="22"/>
                <w:szCs w:val="24"/>
              </w:rPr>
            </w:pPr>
            <w:r w:rsidRPr="00240ED3">
              <w:rPr>
                <w:rFonts w:ascii="Times New Roman" w:hAnsi="Times New Roman"/>
                <w:b w:val="0"/>
                <w:sz w:val="22"/>
                <w:szCs w:val="24"/>
              </w:rPr>
              <w:t>Tongi BSCIC</w:t>
            </w:r>
          </w:p>
        </w:tc>
        <w:tc>
          <w:tcPr>
            <w:tcW w:w="843"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Textiles</w:t>
            </w:r>
          </w:p>
        </w:tc>
        <w:tc>
          <w:tcPr>
            <w:tcW w:w="843"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13</w:t>
            </w:r>
          </w:p>
        </w:tc>
        <w:tc>
          <w:tcPr>
            <w:tcW w:w="1093"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4,300</w:t>
            </w:r>
          </w:p>
        </w:tc>
        <w:tc>
          <w:tcPr>
            <w:tcW w:w="1378"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Tongi khal</w:t>
            </w:r>
          </w:p>
        </w:tc>
      </w:tr>
      <w:tr w:rsidR="0048464B" w:rsidRPr="00240ED3" w:rsidTr="00F83382">
        <w:trPr>
          <w:cnfStyle w:val="000000100000"/>
          <w:trHeight w:hRule="exact" w:val="288"/>
        </w:trPr>
        <w:tc>
          <w:tcPr>
            <w:cnfStyle w:val="001000000000"/>
            <w:tcW w:w="843" w:type="pct"/>
          </w:tcPr>
          <w:p w:rsidR="0048464B" w:rsidRPr="00240ED3" w:rsidRDefault="0048464B" w:rsidP="00F83382">
            <w:pPr>
              <w:spacing w:after="0" w:line="276" w:lineRule="auto"/>
              <w:rPr>
                <w:rFonts w:ascii="Times New Roman" w:hAnsi="Times New Roman"/>
                <w:b w:val="0"/>
                <w:sz w:val="22"/>
                <w:szCs w:val="24"/>
              </w:rPr>
            </w:pPr>
            <w:r w:rsidRPr="00240ED3">
              <w:rPr>
                <w:rFonts w:ascii="Times New Roman" w:hAnsi="Times New Roman"/>
                <w:b w:val="0"/>
                <w:sz w:val="22"/>
                <w:szCs w:val="24"/>
              </w:rPr>
              <w:t>Fatulla</w:t>
            </w:r>
          </w:p>
        </w:tc>
        <w:tc>
          <w:tcPr>
            <w:tcW w:w="843"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Textiles</w:t>
            </w:r>
          </w:p>
        </w:tc>
        <w:tc>
          <w:tcPr>
            <w:tcW w:w="843"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6</w:t>
            </w:r>
          </w:p>
        </w:tc>
        <w:tc>
          <w:tcPr>
            <w:tcW w:w="1093"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3,400</w:t>
            </w:r>
          </w:p>
        </w:tc>
        <w:tc>
          <w:tcPr>
            <w:tcW w:w="1378"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Buriganga river</w:t>
            </w:r>
          </w:p>
        </w:tc>
      </w:tr>
      <w:tr w:rsidR="0048464B" w:rsidRPr="00240ED3" w:rsidTr="00F83382">
        <w:trPr>
          <w:trHeight w:hRule="exact" w:val="288"/>
        </w:trPr>
        <w:tc>
          <w:tcPr>
            <w:cnfStyle w:val="001000000000"/>
            <w:tcW w:w="843" w:type="pct"/>
          </w:tcPr>
          <w:p w:rsidR="0048464B" w:rsidRPr="00240ED3" w:rsidRDefault="0048464B" w:rsidP="00F83382">
            <w:pPr>
              <w:spacing w:after="0" w:line="276" w:lineRule="auto"/>
              <w:rPr>
                <w:rFonts w:ascii="Times New Roman" w:hAnsi="Times New Roman"/>
                <w:b w:val="0"/>
                <w:sz w:val="22"/>
                <w:szCs w:val="24"/>
              </w:rPr>
            </w:pPr>
            <w:r w:rsidRPr="00240ED3">
              <w:rPr>
                <w:rFonts w:ascii="Times New Roman" w:hAnsi="Times New Roman"/>
                <w:b w:val="0"/>
                <w:sz w:val="22"/>
                <w:szCs w:val="24"/>
              </w:rPr>
              <w:t>Tejgaon</w:t>
            </w:r>
          </w:p>
        </w:tc>
        <w:tc>
          <w:tcPr>
            <w:tcW w:w="843"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Textiles</w:t>
            </w:r>
          </w:p>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 xml:space="preserve"> Chemical</w:t>
            </w:r>
          </w:p>
        </w:tc>
        <w:tc>
          <w:tcPr>
            <w:tcW w:w="843"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16</w:t>
            </w:r>
          </w:p>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27</w:t>
            </w:r>
          </w:p>
        </w:tc>
        <w:tc>
          <w:tcPr>
            <w:tcW w:w="1093"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3,350</w:t>
            </w:r>
          </w:p>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535</w:t>
            </w:r>
          </w:p>
        </w:tc>
        <w:tc>
          <w:tcPr>
            <w:tcW w:w="1378"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Begunbari khal</w:t>
            </w:r>
          </w:p>
        </w:tc>
      </w:tr>
      <w:tr w:rsidR="0048464B" w:rsidRPr="00240ED3" w:rsidTr="00F83382">
        <w:trPr>
          <w:cnfStyle w:val="000000100000"/>
          <w:trHeight w:hRule="exact" w:val="288"/>
        </w:trPr>
        <w:tc>
          <w:tcPr>
            <w:cnfStyle w:val="001000000000"/>
            <w:tcW w:w="843" w:type="pct"/>
          </w:tcPr>
          <w:p w:rsidR="0048464B" w:rsidRPr="00240ED3" w:rsidRDefault="0048464B" w:rsidP="00F83382">
            <w:pPr>
              <w:spacing w:after="0" w:line="276" w:lineRule="auto"/>
              <w:rPr>
                <w:rFonts w:ascii="Times New Roman" w:hAnsi="Times New Roman"/>
                <w:b w:val="0"/>
                <w:sz w:val="22"/>
                <w:szCs w:val="24"/>
              </w:rPr>
            </w:pPr>
            <w:r w:rsidRPr="00240ED3">
              <w:rPr>
                <w:rFonts w:ascii="Times New Roman" w:hAnsi="Times New Roman"/>
                <w:b w:val="0"/>
                <w:sz w:val="22"/>
                <w:szCs w:val="24"/>
              </w:rPr>
              <w:t>Kachpur</w:t>
            </w:r>
          </w:p>
        </w:tc>
        <w:tc>
          <w:tcPr>
            <w:tcW w:w="843"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Textiles</w:t>
            </w:r>
          </w:p>
        </w:tc>
        <w:tc>
          <w:tcPr>
            <w:tcW w:w="843"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9</w:t>
            </w:r>
          </w:p>
        </w:tc>
        <w:tc>
          <w:tcPr>
            <w:tcW w:w="1093"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4,300</w:t>
            </w:r>
          </w:p>
        </w:tc>
        <w:tc>
          <w:tcPr>
            <w:tcW w:w="1378" w:type="pct"/>
          </w:tcPr>
          <w:p w:rsidR="0048464B" w:rsidRPr="00240ED3" w:rsidRDefault="0048464B" w:rsidP="00F83382">
            <w:pPr>
              <w:spacing w:after="0" w:line="276" w:lineRule="auto"/>
              <w:cnfStyle w:val="000000100000"/>
              <w:rPr>
                <w:rFonts w:ascii="Times New Roman" w:hAnsi="Times New Roman"/>
                <w:sz w:val="22"/>
                <w:szCs w:val="24"/>
              </w:rPr>
            </w:pPr>
            <w:r w:rsidRPr="00240ED3">
              <w:rPr>
                <w:rFonts w:ascii="Times New Roman" w:hAnsi="Times New Roman"/>
                <w:sz w:val="22"/>
                <w:szCs w:val="24"/>
              </w:rPr>
              <w:t>Lakhya river</w:t>
            </w:r>
          </w:p>
        </w:tc>
      </w:tr>
      <w:tr w:rsidR="0048464B" w:rsidRPr="00240ED3" w:rsidTr="00F83382">
        <w:trPr>
          <w:trHeight w:hRule="exact" w:val="288"/>
        </w:trPr>
        <w:tc>
          <w:tcPr>
            <w:cnfStyle w:val="001000000000"/>
            <w:tcW w:w="843" w:type="pct"/>
          </w:tcPr>
          <w:p w:rsidR="0048464B" w:rsidRPr="00240ED3" w:rsidRDefault="0048464B" w:rsidP="00F83382">
            <w:pPr>
              <w:spacing w:after="0" w:line="276" w:lineRule="auto"/>
              <w:rPr>
                <w:rFonts w:ascii="Times New Roman" w:hAnsi="Times New Roman"/>
                <w:b w:val="0"/>
                <w:sz w:val="22"/>
                <w:szCs w:val="24"/>
              </w:rPr>
            </w:pPr>
            <w:r w:rsidRPr="00240ED3">
              <w:rPr>
                <w:rFonts w:ascii="Times New Roman" w:hAnsi="Times New Roman"/>
                <w:b w:val="0"/>
                <w:sz w:val="22"/>
                <w:szCs w:val="24"/>
              </w:rPr>
              <w:t>Tarabo</w:t>
            </w:r>
          </w:p>
        </w:tc>
        <w:tc>
          <w:tcPr>
            <w:tcW w:w="843"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Textiles</w:t>
            </w:r>
          </w:p>
        </w:tc>
        <w:tc>
          <w:tcPr>
            <w:tcW w:w="843"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14</w:t>
            </w:r>
          </w:p>
        </w:tc>
        <w:tc>
          <w:tcPr>
            <w:tcW w:w="1093"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1,150</w:t>
            </w:r>
          </w:p>
        </w:tc>
        <w:tc>
          <w:tcPr>
            <w:tcW w:w="1378" w:type="pct"/>
          </w:tcPr>
          <w:p w:rsidR="0048464B" w:rsidRPr="00240ED3" w:rsidRDefault="0048464B" w:rsidP="00F83382">
            <w:pPr>
              <w:spacing w:after="0" w:line="276" w:lineRule="auto"/>
              <w:cnfStyle w:val="000000000000"/>
              <w:rPr>
                <w:rFonts w:ascii="Times New Roman" w:hAnsi="Times New Roman"/>
                <w:sz w:val="22"/>
                <w:szCs w:val="24"/>
              </w:rPr>
            </w:pPr>
            <w:r w:rsidRPr="00240ED3">
              <w:rPr>
                <w:rFonts w:ascii="Times New Roman" w:hAnsi="Times New Roman"/>
                <w:sz w:val="22"/>
                <w:szCs w:val="24"/>
              </w:rPr>
              <w:t>Lakhya river</w:t>
            </w:r>
          </w:p>
        </w:tc>
      </w:tr>
    </w:tbl>
    <w:p w:rsidR="0048464B" w:rsidRDefault="0048464B" w:rsidP="0048464B">
      <w:pPr>
        <w:pStyle w:val="Default"/>
        <w:spacing w:line="23" w:lineRule="atLeast"/>
        <w:rPr>
          <w:rFonts w:ascii="Times New Roman" w:hAnsi="Times New Roman" w:cs="Times New Roman"/>
          <w:b/>
          <w:i/>
          <w:color w:val="auto"/>
          <w:sz w:val="20"/>
        </w:rPr>
      </w:pPr>
      <w:r w:rsidRPr="00985A09">
        <w:rPr>
          <w:rFonts w:ascii="Times New Roman" w:hAnsi="Times New Roman" w:cs="Times New Roman"/>
          <w:b/>
          <w:i/>
          <w:color w:val="auto"/>
          <w:sz w:val="20"/>
        </w:rPr>
        <w:t xml:space="preserve">Source: </w:t>
      </w:r>
      <w:r>
        <w:rPr>
          <w:rFonts w:ascii="Times New Roman" w:hAnsi="Times New Roman" w:cs="Times New Roman"/>
          <w:b/>
          <w:i/>
          <w:color w:val="auto"/>
          <w:sz w:val="20"/>
        </w:rPr>
        <w:t>BDP 2100 analysis</w:t>
      </w:r>
    </w:p>
    <w:p w:rsidR="0048464B" w:rsidRPr="00985A09" w:rsidRDefault="0048464B" w:rsidP="0048464B">
      <w:pPr>
        <w:pStyle w:val="Default"/>
        <w:spacing w:line="23" w:lineRule="atLeast"/>
        <w:rPr>
          <w:b/>
          <w:i/>
          <w:color w:val="auto"/>
          <w:sz w:val="20"/>
        </w:rPr>
      </w:pPr>
    </w:p>
    <w:p w:rsidR="0048464B" w:rsidRPr="00C42A87" w:rsidRDefault="0048464B" w:rsidP="003D5A31">
      <w:pPr>
        <w:pStyle w:val="BodyText"/>
        <w:numPr>
          <w:ilvl w:val="2"/>
          <w:numId w:val="263"/>
        </w:numPr>
        <w:spacing w:after="240" w:line="276" w:lineRule="auto"/>
        <w:jc w:val="both"/>
        <w:rPr>
          <w:rFonts w:cs="Times New Roman"/>
          <w:b/>
          <w:szCs w:val="24"/>
        </w:rPr>
      </w:pPr>
      <w:r w:rsidRPr="00C42A87">
        <w:rPr>
          <w:rFonts w:cs="Times New Roman"/>
          <w:b/>
          <w:szCs w:val="24"/>
        </w:rPr>
        <w:t>Waste Water Discharge</w:t>
      </w:r>
    </w:p>
    <w:p w:rsidR="0048464B" w:rsidRPr="003113F7" w:rsidRDefault="0048464B" w:rsidP="0048464B">
      <w:pPr>
        <w:spacing w:line="276" w:lineRule="auto"/>
        <w:jc w:val="both"/>
        <w:rPr>
          <w:rFonts w:ascii="Arial" w:eastAsia="Calibri" w:hAnsi="Arial" w:cs="Arial"/>
          <w:szCs w:val="24"/>
        </w:rPr>
      </w:pPr>
      <w:r w:rsidRPr="003113F7">
        <w:rPr>
          <w:szCs w:val="24"/>
        </w:rPr>
        <w:t>In Bangladesh, the dominant sanitation technology currently used by urban households is the onsite system that consists of a toilet and a storage infrastructure such as lined or unlined pit or septic tank. Although majority of the urban households have improved toilet facilities within premises, collected sewerage are discharged directly into open drains, water-bodies (canals, lakes, rivers etc.) or undesignated places that result in pollution and health hazards for the people. Table 10.1</w:t>
      </w:r>
      <w:r>
        <w:rPr>
          <w:szCs w:val="24"/>
        </w:rPr>
        <w:t>7</w:t>
      </w:r>
      <w:r w:rsidRPr="003113F7">
        <w:rPr>
          <w:szCs w:val="24"/>
        </w:rPr>
        <w:t xml:space="preserve"> shows the destination of extracted sludge in three cities, Dhaka, Khulna and Faridpur. </w:t>
      </w:r>
      <w:r w:rsidRPr="0050663D">
        <w:rPr>
          <w:rFonts w:cs="Times New Roman"/>
          <w:i/>
        </w:rPr>
        <w:t>It is a great environmental concern that in most cases collected sludge is not managed in an environmentally safe way.</w:t>
      </w:r>
      <w:r w:rsidRPr="003113F7">
        <w:rPr>
          <w:rStyle w:val="BodyChar"/>
          <w:rFonts w:eastAsia="MS ??"/>
          <w:color w:val="auto"/>
          <w:sz w:val="24"/>
          <w:szCs w:val="24"/>
        </w:rPr>
        <w:t xml:space="preserve"> Sludge is released randomly (‘here and there’) or dumped into open drains or water-bodies which contaminate surface water. In 18.2</w:t>
      </w:r>
      <w:r>
        <w:rPr>
          <w:rStyle w:val="BodyChar"/>
          <w:rFonts w:eastAsia="MS ??"/>
          <w:color w:val="auto"/>
          <w:sz w:val="24"/>
          <w:szCs w:val="24"/>
        </w:rPr>
        <w:t xml:space="preserve">% </w:t>
      </w:r>
      <w:r w:rsidRPr="003113F7">
        <w:rPr>
          <w:rStyle w:val="BodyChar"/>
          <w:rFonts w:eastAsia="MS ??"/>
          <w:color w:val="auto"/>
          <w:sz w:val="24"/>
          <w:szCs w:val="24"/>
        </w:rPr>
        <w:t>of the cases in Far</w:t>
      </w:r>
      <w:r>
        <w:rPr>
          <w:rStyle w:val="BodyChar"/>
          <w:rFonts w:eastAsia="MS ??"/>
          <w:color w:val="auto"/>
          <w:sz w:val="24"/>
          <w:szCs w:val="24"/>
        </w:rPr>
        <w:t>idpur, 30.6%</w:t>
      </w:r>
      <w:r w:rsidRPr="003113F7">
        <w:rPr>
          <w:rStyle w:val="BodyChar"/>
          <w:rFonts w:eastAsia="MS ??"/>
          <w:color w:val="auto"/>
          <w:sz w:val="24"/>
          <w:szCs w:val="24"/>
        </w:rPr>
        <w:t xml:space="preserve"> in Dhaka and 24.5</w:t>
      </w:r>
      <w:r>
        <w:rPr>
          <w:rStyle w:val="BodyChar"/>
          <w:rFonts w:eastAsia="MS ??"/>
          <w:color w:val="auto"/>
          <w:sz w:val="24"/>
          <w:szCs w:val="24"/>
        </w:rPr>
        <w:t>%</w:t>
      </w:r>
      <w:r w:rsidRPr="003113F7">
        <w:rPr>
          <w:rStyle w:val="BodyChar"/>
          <w:rFonts w:eastAsia="MS ??"/>
          <w:color w:val="auto"/>
          <w:sz w:val="24"/>
          <w:szCs w:val="24"/>
        </w:rPr>
        <w:t xml:space="preserve"> in Khulna, collected sludge is dumped in a particular place which is a designated site to d</w:t>
      </w:r>
      <w:r>
        <w:rPr>
          <w:rStyle w:val="BodyChar"/>
          <w:rFonts w:eastAsia="MS ??"/>
          <w:color w:val="auto"/>
          <w:sz w:val="24"/>
          <w:szCs w:val="24"/>
        </w:rPr>
        <w:t>ump solid waste. Yet,</w:t>
      </w:r>
      <w:r w:rsidRPr="003113F7">
        <w:rPr>
          <w:rStyle w:val="BodyChar"/>
          <w:rFonts w:eastAsia="MS ??"/>
          <w:color w:val="auto"/>
          <w:sz w:val="24"/>
          <w:szCs w:val="24"/>
        </w:rPr>
        <w:t xml:space="preserve"> does this prevent sludge from contaminating surface water (Opel, Bashar and Ahmed, 2012).</w:t>
      </w:r>
      <w:r w:rsidRPr="003113F7">
        <w:rPr>
          <w:rFonts w:ascii="Arial" w:eastAsia="Calibri" w:hAnsi="Arial" w:cs="Arial"/>
          <w:szCs w:val="24"/>
        </w:rPr>
        <w:t xml:space="preserve"> </w:t>
      </w:r>
    </w:p>
    <w:p w:rsidR="0048464B" w:rsidRPr="00101CE9" w:rsidRDefault="0048464B" w:rsidP="0048464B">
      <w:pPr>
        <w:jc w:val="center"/>
        <w:rPr>
          <w:b/>
        </w:rPr>
      </w:pPr>
      <w:bookmarkStart w:id="754" w:name="_Toc464328996"/>
      <w:r w:rsidRPr="00101CE9">
        <w:rPr>
          <w:b/>
        </w:rPr>
        <w:t>Table 10.17: Destination of Extracted Sludge</w:t>
      </w:r>
      <w:bookmarkEnd w:id="754"/>
    </w:p>
    <w:tbl>
      <w:tblPr>
        <w:tblStyle w:val="TableGridAppendixlist1"/>
        <w:tblW w:w="5000" w:type="pct"/>
        <w:tblLook w:val="0000"/>
      </w:tblPr>
      <w:tblGrid>
        <w:gridCol w:w="4963"/>
        <w:gridCol w:w="1385"/>
        <w:gridCol w:w="1615"/>
        <w:gridCol w:w="1613"/>
      </w:tblGrid>
      <w:tr w:rsidR="0048464B" w:rsidRPr="00240ED3" w:rsidTr="00F83382">
        <w:trPr>
          <w:trHeight w:val="273"/>
        </w:trPr>
        <w:tc>
          <w:tcPr>
            <w:tcW w:w="2592" w:type="pct"/>
          </w:tcPr>
          <w:p w:rsidR="0048464B" w:rsidRPr="00240ED3" w:rsidRDefault="0048464B" w:rsidP="00F83382">
            <w:pPr>
              <w:spacing w:after="0" w:line="240" w:lineRule="auto"/>
              <w:rPr>
                <w:rFonts w:ascii="Times New Roman" w:eastAsia="Calibri" w:hAnsi="Times New Roman" w:cs="Times New Roman"/>
                <w:b/>
                <w:szCs w:val="24"/>
                <w:lang w:eastAsia="en-GB"/>
              </w:rPr>
            </w:pPr>
            <w:r w:rsidRPr="00240ED3">
              <w:rPr>
                <w:rFonts w:ascii="Times New Roman" w:hAnsi="Times New Roman" w:cs="Times New Roman"/>
                <w:b/>
                <w:szCs w:val="24"/>
                <w:lang w:eastAsia="en-GB"/>
              </w:rPr>
              <w:t>Places Where Dumped</w:t>
            </w:r>
          </w:p>
        </w:tc>
        <w:tc>
          <w:tcPr>
            <w:tcW w:w="723" w:type="pct"/>
          </w:tcPr>
          <w:p w:rsidR="0048464B" w:rsidRPr="00240ED3" w:rsidRDefault="0048464B" w:rsidP="00F83382">
            <w:pPr>
              <w:spacing w:after="0" w:line="240" w:lineRule="auto"/>
              <w:jc w:val="center"/>
              <w:rPr>
                <w:rFonts w:ascii="Times New Roman" w:eastAsia="Calibri" w:hAnsi="Times New Roman" w:cs="Times New Roman"/>
                <w:b/>
                <w:szCs w:val="24"/>
                <w:lang w:eastAsia="en-GB"/>
              </w:rPr>
            </w:pPr>
            <w:r w:rsidRPr="00240ED3">
              <w:rPr>
                <w:rFonts w:ascii="Times New Roman" w:eastAsia="Calibri" w:hAnsi="Times New Roman" w:cs="Times New Roman"/>
                <w:b/>
                <w:szCs w:val="24"/>
                <w:lang w:eastAsia="en-GB"/>
              </w:rPr>
              <w:t>Dhaka (%)</w:t>
            </w:r>
          </w:p>
        </w:tc>
        <w:tc>
          <w:tcPr>
            <w:tcW w:w="843" w:type="pct"/>
          </w:tcPr>
          <w:p w:rsidR="0048464B" w:rsidRPr="00240ED3" w:rsidRDefault="0048464B" w:rsidP="00F83382">
            <w:pPr>
              <w:spacing w:after="0" w:line="240" w:lineRule="auto"/>
              <w:jc w:val="center"/>
              <w:rPr>
                <w:rFonts w:ascii="Times New Roman" w:eastAsia="Calibri" w:hAnsi="Times New Roman" w:cs="Times New Roman"/>
                <w:b/>
                <w:szCs w:val="24"/>
                <w:lang w:eastAsia="en-GB"/>
              </w:rPr>
            </w:pPr>
            <w:r w:rsidRPr="00240ED3">
              <w:rPr>
                <w:rFonts w:ascii="Times New Roman" w:eastAsia="Calibri" w:hAnsi="Times New Roman" w:cs="Times New Roman"/>
                <w:b/>
                <w:szCs w:val="24"/>
                <w:lang w:eastAsia="en-GB"/>
              </w:rPr>
              <w:t>Faridpur (%)</w:t>
            </w:r>
          </w:p>
        </w:tc>
        <w:tc>
          <w:tcPr>
            <w:tcW w:w="842" w:type="pct"/>
          </w:tcPr>
          <w:p w:rsidR="0048464B" w:rsidRPr="00240ED3" w:rsidRDefault="0048464B" w:rsidP="00F83382">
            <w:pPr>
              <w:spacing w:after="0" w:line="240" w:lineRule="auto"/>
              <w:jc w:val="center"/>
              <w:rPr>
                <w:rFonts w:ascii="Times New Roman" w:eastAsia="Calibri" w:hAnsi="Times New Roman" w:cs="Times New Roman"/>
                <w:b/>
                <w:szCs w:val="24"/>
                <w:lang w:eastAsia="en-GB"/>
              </w:rPr>
            </w:pPr>
            <w:r w:rsidRPr="00240ED3">
              <w:rPr>
                <w:rFonts w:ascii="Times New Roman" w:eastAsia="Calibri" w:hAnsi="Times New Roman" w:cs="Times New Roman"/>
                <w:b/>
                <w:szCs w:val="24"/>
                <w:lang w:eastAsia="en-GB"/>
              </w:rPr>
              <w:t>Khulna (%)</w:t>
            </w:r>
          </w:p>
        </w:tc>
      </w:tr>
      <w:tr w:rsidR="0048464B" w:rsidRPr="00240ED3" w:rsidTr="00F83382">
        <w:trPr>
          <w:trHeight w:val="273"/>
        </w:trPr>
        <w:tc>
          <w:tcPr>
            <w:tcW w:w="2592" w:type="pct"/>
          </w:tcPr>
          <w:p w:rsidR="0048464B" w:rsidRPr="00240ED3" w:rsidRDefault="0048464B" w:rsidP="00F83382">
            <w:pPr>
              <w:spacing w:after="0" w:line="240" w:lineRule="auto"/>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Dumped here and there</w:t>
            </w:r>
          </w:p>
        </w:tc>
        <w:tc>
          <w:tcPr>
            <w:tcW w:w="72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2.3</w:t>
            </w:r>
          </w:p>
        </w:tc>
        <w:tc>
          <w:tcPr>
            <w:tcW w:w="84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0.3</w:t>
            </w:r>
          </w:p>
        </w:tc>
        <w:tc>
          <w:tcPr>
            <w:tcW w:w="842"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2.4</w:t>
            </w:r>
          </w:p>
        </w:tc>
      </w:tr>
      <w:tr w:rsidR="0048464B" w:rsidRPr="00240ED3" w:rsidTr="00F83382">
        <w:trPr>
          <w:trHeight w:val="273"/>
        </w:trPr>
        <w:tc>
          <w:tcPr>
            <w:tcW w:w="2592" w:type="pct"/>
          </w:tcPr>
          <w:p w:rsidR="0048464B" w:rsidRPr="00240ED3" w:rsidRDefault="0048464B" w:rsidP="00F83382">
            <w:pPr>
              <w:spacing w:after="0" w:line="240" w:lineRule="auto"/>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Dumped into open drain</w:t>
            </w:r>
          </w:p>
        </w:tc>
        <w:tc>
          <w:tcPr>
            <w:tcW w:w="72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43.5</w:t>
            </w:r>
          </w:p>
        </w:tc>
        <w:tc>
          <w:tcPr>
            <w:tcW w:w="84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4.2</w:t>
            </w:r>
          </w:p>
        </w:tc>
        <w:tc>
          <w:tcPr>
            <w:tcW w:w="842"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30.0</w:t>
            </w:r>
          </w:p>
        </w:tc>
      </w:tr>
      <w:tr w:rsidR="0048464B" w:rsidRPr="00240ED3" w:rsidTr="00F83382">
        <w:trPr>
          <w:trHeight w:val="282"/>
        </w:trPr>
        <w:tc>
          <w:tcPr>
            <w:tcW w:w="2592" w:type="pct"/>
          </w:tcPr>
          <w:p w:rsidR="0048464B" w:rsidRPr="00240ED3" w:rsidRDefault="0048464B" w:rsidP="00F83382">
            <w:pPr>
              <w:spacing w:after="0" w:line="240" w:lineRule="auto"/>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 xml:space="preserve">Dumped in a undesignated place </w:t>
            </w:r>
          </w:p>
        </w:tc>
        <w:tc>
          <w:tcPr>
            <w:tcW w:w="72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30.6</w:t>
            </w:r>
          </w:p>
        </w:tc>
        <w:tc>
          <w:tcPr>
            <w:tcW w:w="84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18.2</w:t>
            </w:r>
          </w:p>
        </w:tc>
        <w:tc>
          <w:tcPr>
            <w:tcW w:w="842"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24.5</w:t>
            </w:r>
          </w:p>
        </w:tc>
      </w:tr>
      <w:tr w:rsidR="0048464B" w:rsidRPr="00240ED3" w:rsidTr="00F83382">
        <w:trPr>
          <w:trHeight w:val="300"/>
        </w:trPr>
        <w:tc>
          <w:tcPr>
            <w:tcW w:w="2592" w:type="pct"/>
          </w:tcPr>
          <w:p w:rsidR="0048464B" w:rsidRPr="00240ED3" w:rsidRDefault="0048464B" w:rsidP="00F83382">
            <w:pPr>
              <w:spacing w:after="0" w:line="240" w:lineRule="auto"/>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Put into a mud-hole and covered with mud</w:t>
            </w:r>
          </w:p>
        </w:tc>
        <w:tc>
          <w:tcPr>
            <w:tcW w:w="72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8.3</w:t>
            </w:r>
          </w:p>
        </w:tc>
        <w:tc>
          <w:tcPr>
            <w:tcW w:w="84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75.2</w:t>
            </w:r>
          </w:p>
        </w:tc>
        <w:tc>
          <w:tcPr>
            <w:tcW w:w="842"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39.7</w:t>
            </w:r>
          </w:p>
        </w:tc>
      </w:tr>
      <w:tr w:rsidR="0048464B" w:rsidRPr="00240ED3" w:rsidTr="00F83382">
        <w:trPr>
          <w:trHeight w:val="273"/>
        </w:trPr>
        <w:tc>
          <w:tcPr>
            <w:tcW w:w="2592" w:type="pct"/>
          </w:tcPr>
          <w:p w:rsidR="0048464B" w:rsidRPr="00240ED3" w:rsidRDefault="0048464B" w:rsidP="00F83382">
            <w:pPr>
              <w:spacing w:after="0" w:line="240" w:lineRule="auto"/>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Open Water Body</w:t>
            </w:r>
          </w:p>
        </w:tc>
        <w:tc>
          <w:tcPr>
            <w:tcW w:w="72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15.3</w:t>
            </w:r>
          </w:p>
        </w:tc>
        <w:tc>
          <w:tcPr>
            <w:tcW w:w="84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2.1</w:t>
            </w:r>
          </w:p>
        </w:tc>
        <w:tc>
          <w:tcPr>
            <w:tcW w:w="842"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3.4</w:t>
            </w:r>
          </w:p>
        </w:tc>
      </w:tr>
      <w:tr w:rsidR="0048464B" w:rsidRPr="00240ED3" w:rsidTr="00F83382">
        <w:trPr>
          <w:trHeight w:val="273"/>
        </w:trPr>
        <w:tc>
          <w:tcPr>
            <w:tcW w:w="2592" w:type="pct"/>
          </w:tcPr>
          <w:p w:rsidR="0048464B" w:rsidRPr="00240ED3" w:rsidRDefault="0048464B" w:rsidP="00F83382">
            <w:pPr>
              <w:spacing w:after="0" w:line="240" w:lineRule="auto"/>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Total</w:t>
            </w:r>
          </w:p>
        </w:tc>
        <w:tc>
          <w:tcPr>
            <w:tcW w:w="72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100.0</w:t>
            </w:r>
          </w:p>
        </w:tc>
        <w:tc>
          <w:tcPr>
            <w:tcW w:w="843"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100.0</w:t>
            </w:r>
          </w:p>
        </w:tc>
        <w:tc>
          <w:tcPr>
            <w:tcW w:w="842" w:type="pct"/>
          </w:tcPr>
          <w:p w:rsidR="0048464B" w:rsidRPr="00240ED3" w:rsidRDefault="0048464B" w:rsidP="00F83382">
            <w:pPr>
              <w:spacing w:after="0" w:line="240" w:lineRule="auto"/>
              <w:jc w:val="center"/>
              <w:rPr>
                <w:rFonts w:ascii="Times New Roman" w:eastAsia="Calibri" w:hAnsi="Times New Roman" w:cs="Times New Roman"/>
                <w:szCs w:val="24"/>
                <w:lang w:eastAsia="en-GB"/>
              </w:rPr>
            </w:pPr>
            <w:r w:rsidRPr="00240ED3">
              <w:rPr>
                <w:rFonts w:ascii="Times New Roman" w:eastAsia="Calibri" w:hAnsi="Times New Roman" w:cs="Times New Roman"/>
                <w:szCs w:val="24"/>
                <w:lang w:eastAsia="en-GB"/>
              </w:rPr>
              <w:t>100.0</w:t>
            </w:r>
          </w:p>
        </w:tc>
      </w:tr>
    </w:tbl>
    <w:p w:rsidR="0048464B" w:rsidRPr="007116C2" w:rsidRDefault="0048464B" w:rsidP="0048464B">
      <w:pPr>
        <w:spacing w:before="120"/>
        <w:rPr>
          <w:rFonts w:eastAsia="Calibri" w:cs="Times New Roman"/>
          <w:b/>
          <w:i/>
          <w:sz w:val="20"/>
          <w:szCs w:val="24"/>
        </w:rPr>
      </w:pPr>
      <w:r w:rsidRPr="00A22D3B">
        <w:rPr>
          <w:rFonts w:cs="Times New Roman"/>
          <w:b/>
          <w:i/>
          <w:sz w:val="20"/>
          <w:szCs w:val="24"/>
        </w:rPr>
        <w:t>Source: Opel, Bashar and Ahmed, 2012</w:t>
      </w:r>
    </w:p>
    <w:p w:rsidR="0048464B" w:rsidRPr="00A46D7F" w:rsidRDefault="0048464B" w:rsidP="0048464B">
      <w:pPr>
        <w:spacing w:line="276" w:lineRule="auto"/>
        <w:jc w:val="both"/>
        <w:rPr>
          <w:rFonts w:cs="Times New Roman"/>
          <w:i/>
          <w:iCs/>
          <w:szCs w:val="24"/>
        </w:rPr>
      </w:pPr>
      <w:r>
        <w:rPr>
          <w:rFonts w:eastAsia="Calibri" w:cs="Times New Roman"/>
          <w:bCs/>
          <w:szCs w:val="24"/>
        </w:rPr>
        <w:lastRenderedPageBreak/>
        <w:t>Figure 10.</w:t>
      </w:r>
      <w:r w:rsidRPr="00985A09">
        <w:rPr>
          <w:rFonts w:eastAsia="Calibri" w:cs="Times New Roman"/>
          <w:bCs/>
          <w:szCs w:val="24"/>
        </w:rPr>
        <w:t xml:space="preserve">4 presents the fecal waste flow matrix in Dhaka. </w:t>
      </w:r>
      <w:r w:rsidRPr="00985A09">
        <w:rPr>
          <w:rFonts w:cs="Times New Roman"/>
          <w:szCs w:val="24"/>
        </w:rPr>
        <w:t xml:space="preserve">The width of the arrows and the percentages shown represent the proportion of the population whose fecal waste takes each route. Although nearly all waste is effectively contained at the household level, unsafe management of on-site facilities combined with highly inadequate sewerage and wastewater treatment mean that fecal waste is distributed throughout the urban environment. </w:t>
      </w:r>
      <w:r w:rsidRPr="00A46D7F">
        <w:rPr>
          <w:rFonts w:cs="Times New Roman"/>
          <w:i/>
          <w:iCs/>
          <w:szCs w:val="24"/>
        </w:rPr>
        <w:t>Although 20% of the population of the city is connected to the sewerage system, only 2% of the sewage reaches the treatment plant and is effectively treated while the rest 18% ends up in drains and water bodies.</w:t>
      </w:r>
    </w:p>
    <w:p w:rsidR="0048464B" w:rsidRPr="00E0447F" w:rsidRDefault="0048464B" w:rsidP="0048464B">
      <w:pPr>
        <w:spacing w:line="276" w:lineRule="auto"/>
        <w:jc w:val="both"/>
        <w:rPr>
          <w:rFonts w:cs="Times New Roman"/>
          <w:b/>
          <w:bCs/>
          <w:color w:val="006600"/>
          <w:szCs w:val="24"/>
          <w:u w:val="single"/>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Pr="002B6FBB" w:rsidRDefault="0048464B" w:rsidP="0048464B">
      <w:pPr>
        <w:autoSpaceDE w:val="0"/>
        <w:autoSpaceDN w:val="0"/>
        <w:adjustRightInd w:val="0"/>
        <w:spacing w:after="0" w:line="276" w:lineRule="auto"/>
        <w:jc w:val="both"/>
        <w:rPr>
          <w:rFonts w:eastAsia="Calibri" w:cs="Times New Roman"/>
          <w:bCs/>
          <w:sz w:val="10"/>
          <w:szCs w:val="24"/>
        </w:rPr>
      </w:pPr>
    </w:p>
    <w:p w:rsidR="0048464B" w:rsidRPr="00101CE9" w:rsidRDefault="0048464B" w:rsidP="0048464B">
      <w:pPr>
        <w:jc w:val="center"/>
        <w:rPr>
          <w:b/>
        </w:rPr>
      </w:pPr>
      <w:bookmarkStart w:id="755" w:name="_Toc464329091"/>
      <w:r w:rsidRPr="00101CE9">
        <w:rPr>
          <w:b/>
        </w:rPr>
        <w:t>Figure 10.4: Fecal Waste Flow Matrix in Dhaka</w:t>
      </w:r>
      <w:bookmarkEnd w:id="755"/>
    </w:p>
    <w:p w:rsidR="0048464B" w:rsidRDefault="0048464B" w:rsidP="0048464B">
      <w:pPr>
        <w:spacing w:line="276" w:lineRule="auto"/>
        <w:jc w:val="both"/>
        <w:rPr>
          <w:rFonts w:cs="Times New Roman"/>
          <w:szCs w:val="24"/>
        </w:rPr>
      </w:pPr>
      <w:r w:rsidRPr="00924167">
        <w:rPr>
          <w:noProof/>
          <w:color w:val="FF0000"/>
          <w:sz w:val="18"/>
          <w:szCs w:val="18"/>
          <w:lang w:val="en-AU" w:eastAsia="en-AU" w:bidi="bn-BD"/>
        </w:rPr>
        <w:drawing>
          <wp:inline distT="0" distB="0" distL="0" distR="0">
            <wp:extent cx="5939723" cy="3057525"/>
            <wp:effectExtent l="19050" t="19050" r="23495" b="952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srcRect/>
                    <a:stretch>
                      <a:fillRect/>
                    </a:stretch>
                  </pic:blipFill>
                  <pic:spPr bwMode="auto">
                    <a:xfrm>
                      <a:off x="0" y="0"/>
                      <a:ext cx="5943600" cy="3059521"/>
                    </a:xfrm>
                    <a:prstGeom prst="rect">
                      <a:avLst/>
                    </a:prstGeom>
                    <a:noFill/>
                    <a:ln w="12700">
                      <a:solidFill>
                        <a:schemeClr val="tx1"/>
                      </a:solidFill>
                      <a:miter lim="800000"/>
                      <a:headEnd/>
                      <a:tailEnd/>
                    </a:ln>
                  </pic:spPr>
                </pic:pic>
              </a:graphicData>
            </a:graphic>
          </wp:inline>
        </w:drawing>
      </w:r>
    </w:p>
    <w:p w:rsidR="0048464B" w:rsidRPr="00770182" w:rsidRDefault="0048464B" w:rsidP="0048464B">
      <w:pPr>
        <w:spacing w:line="276" w:lineRule="auto"/>
        <w:jc w:val="both"/>
        <w:rPr>
          <w:rFonts w:cs="Times New Roman"/>
          <w:b/>
          <w:i/>
          <w:sz w:val="20"/>
          <w:szCs w:val="24"/>
        </w:rPr>
      </w:pPr>
      <w:r w:rsidRPr="00770182">
        <w:rPr>
          <w:rFonts w:cs="Times New Roman"/>
          <w:b/>
          <w:i/>
          <w:sz w:val="20"/>
          <w:szCs w:val="24"/>
        </w:rPr>
        <w:t>Source: GED Analysis</w:t>
      </w:r>
    </w:p>
    <w:p w:rsidR="0048464B" w:rsidRPr="00A46D7F" w:rsidRDefault="0048464B" w:rsidP="003D5A31">
      <w:pPr>
        <w:pStyle w:val="BodyText"/>
        <w:numPr>
          <w:ilvl w:val="2"/>
          <w:numId w:val="263"/>
        </w:numPr>
        <w:spacing w:after="240" w:line="276" w:lineRule="auto"/>
        <w:jc w:val="both"/>
        <w:rPr>
          <w:rFonts w:cs="Times New Roman"/>
          <w:b/>
          <w:szCs w:val="24"/>
        </w:rPr>
      </w:pPr>
      <w:bookmarkStart w:id="756" w:name="_Toc453143166"/>
      <w:bookmarkStart w:id="757" w:name="_Toc464386366"/>
      <w:bookmarkStart w:id="758" w:name="_Toc464400461"/>
      <w:r w:rsidRPr="00A46D7F">
        <w:rPr>
          <w:rFonts w:cs="Times New Roman"/>
          <w:b/>
          <w:szCs w:val="24"/>
        </w:rPr>
        <w:lastRenderedPageBreak/>
        <w:t>Faecal Sludge Management</w:t>
      </w:r>
      <w:bookmarkEnd w:id="756"/>
      <w:bookmarkEnd w:id="757"/>
      <w:bookmarkEnd w:id="758"/>
    </w:p>
    <w:p w:rsidR="0048464B" w:rsidRPr="00A46D7F" w:rsidRDefault="0048464B" w:rsidP="0048464B">
      <w:pPr>
        <w:spacing w:after="0"/>
        <w:jc w:val="both"/>
        <w:rPr>
          <w:szCs w:val="19"/>
        </w:rPr>
      </w:pPr>
      <w:r w:rsidRPr="00A46D7F">
        <w:rPr>
          <w:szCs w:val="19"/>
        </w:rPr>
        <w:t>Sanitation in Bangladesh is on-site based (latrines and septic tanks). Even when sewerage may gain momentum in the coming years, the on-site sanitation will be part of the sanitation sector for the next 30 years or more. FSM facilities are urgently required, and will be needed for the foreseeable future. Internationally, many FSM concepts have been, and are being, developed. In Bangladesh several FSM options are presently explored and implemented by both NGO’s and public authorities. The major issues for faecal sludge management are:</w:t>
      </w:r>
    </w:p>
    <w:p w:rsidR="0048464B" w:rsidRPr="00A46D7F" w:rsidRDefault="0048464B" w:rsidP="003D5A31">
      <w:pPr>
        <w:pStyle w:val="ListParagraph"/>
        <w:numPr>
          <w:ilvl w:val="0"/>
          <w:numId w:val="270"/>
        </w:numPr>
        <w:spacing w:after="0"/>
        <w:jc w:val="both"/>
        <w:rPr>
          <w:szCs w:val="19"/>
        </w:rPr>
      </w:pPr>
      <w:r w:rsidRPr="00A46D7F">
        <w:rPr>
          <w:szCs w:val="19"/>
        </w:rPr>
        <w:t>Lack of coordination</w:t>
      </w:r>
    </w:p>
    <w:p w:rsidR="0048464B" w:rsidRPr="00A46D7F" w:rsidRDefault="0048464B" w:rsidP="003D5A31">
      <w:pPr>
        <w:pStyle w:val="ListParagraph"/>
        <w:numPr>
          <w:ilvl w:val="0"/>
          <w:numId w:val="270"/>
        </w:numPr>
        <w:spacing w:after="0"/>
        <w:jc w:val="both"/>
        <w:rPr>
          <w:szCs w:val="19"/>
        </w:rPr>
      </w:pPr>
      <w:r w:rsidRPr="00A46D7F">
        <w:rPr>
          <w:szCs w:val="19"/>
        </w:rPr>
        <w:t>Absence of financial stability</w:t>
      </w:r>
    </w:p>
    <w:p w:rsidR="0048464B" w:rsidRPr="00A46D7F" w:rsidRDefault="0048464B" w:rsidP="003D5A31">
      <w:pPr>
        <w:pStyle w:val="ListParagraph"/>
        <w:numPr>
          <w:ilvl w:val="0"/>
          <w:numId w:val="270"/>
        </w:numPr>
        <w:spacing w:after="0"/>
        <w:jc w:val="both"/>
        <w:rPr>
          <w:szCs w:val="19"/>
        </w:rPr>
      </w:pPr>
      <w:r w:rsidRPr="00A46D7F">
        <w:rPr>
          <w:szCs w:val="19"/>
        </w:rPr>
        <w:t>Absence of environmental legislation and enforcement.</w:t>
      </w:r>
    </w:p>
    <w:p w:rsidR="0048464B" w:rsidRPr="00A46D7F" w:rsidRDefault="0048464B" w:rsidP="0048464B">
      <w:pPr>
        <w:rPr>
          <w:rFonts w:cs="Times New Roman"/>
          <w:b/>
          <w:szCs w:val="24"/>
        </w:rPr>
      </w:pPr>
    </w:p>
    <w:p w:rsidR="0048464B" w:rsidRPr="00A46D7F" w:rsidRDefault="0048464B" w:rsidP="003D5A31">
      <w:pPr>
        <w:pStyle w:val="BodyText"/>
        <w:numPr>
          <w:ilvl w:val="2"/>
          <w:numId w:val="263"/>
        </w:numPr>
        <w:spacing w:after="240" w:line="276" w:lineRule="auto"/>
        <w:jc w:val="both"/>
        <w:rPr>
          <w:rFonts w:cs="Times New Roman"/>
          <w:b/>
          <w:szCs w:val="24"/>
        </w:rPr>
      </w:pPr>
      <w:bookmarkStart w:id="759" w:name="_Toc453143168"/>
      <w:bookmarkStart w:id="760" w:name="_Toc464386368"/>
      <w:bookmarkStart w:id="761" w:name="_Toc464400463"/>
      <w:r w:rsidRPr="00A46D7F">
        <w:rPr>
          <w:rFonts w:cs="Times New Roman"/>
          <w:b/>
          <w:szCs w:val="24"/>
        </w:rPr>
        <w:t>Wastewater Re-use</w:t>
      </w:r>
      <w:bookmarkEnd w:id="759"/>
      <w:bookmarkEnd w:id="760"/>
      <w:bookmarkEnd w:id="761"/>
    </w:p>
    <w:p w:rsidR="0048464B" w:rsidRPr="00A46D7F" w:rsidRDefault="0048464B" w:rsidP="0048464B">
      <w:pPr>
        <w:jc w:val="both"/>
        <w:rPr>
          <w:szCs w:val="19"/>
        </w:rPr>
      </w:pPr>
      <w:r w:rsidRPr="00A46D7F">
        <w:rPr>
          <w:szCs w:val="19"/>
        </w:rPr>
        <w:t>Technically drinking water quality (or better) can be produced from any feed water. In areas of water scarcity, wastewater re-use is being implemented. Singapore (lack of own water resources) and Australia (arid areas) are typical examples. In view of public opinion wastewater re-use is not preferably targeted for drinking water, but rather may be more acceptable as ‘process water’ for industries or agriculture.</w:t>
      </w:r>
    </w:p>
    <w:p w:rsidR="0048464B" w:rsidRPr="00A46D7F" w:rsidRDefault="0048464B" w:rsidP="0048464B">
      <w:pPr>
        <w:jc w:val="both"/>
        <w:rPr>
          <w:szCs w:val="19"/>
        </w:rPr>
      </w:pPr>
      <w:r w:rsidRPr="00A46D7F">
        <w:rPr>
          <w:szCs w:val="19"/>
        </w:rPr>
        <w:t>Despite trends of climate change and population growth, in general terms (future) Bangladesh will have adequate freshwater resources (both groundwater and surface water combined). Wherever, alternative freshwater resources are available, wastewater reuse is not likely to be economic.</w:t>
      </w:r>
    </w:p>
    <w:p w:rsidR="0048464B" w:rsidRPr="00A46D7F" w:rsidRDefault="0048464B" w:rsidP="0048464B">
      <w:pPr>
        <w:jc w:val="both"/>
        <w:rPr>
          <w:szCs w:val="19"/>
        </w:rPr>
      </w:pPr>
      <w:r w:rsidRPr="00A46D7F">
        <w:rPr>
          <w:szCs w:val="19"/>
        </w:rPr>
        <w:t>Some notions on perspectives on future wastewater re-use in Bangladesh:</w:t>
      </w:r>
    </w:p>
    <w:p w:rsidR="0048464B" w:rsidRPr="00A46D7F" w:rsidRDefault="0048464B" w:rsidP="003D5A31">
      <w:pPr>
        <w:numPr>
          <w:ilvl w:val="0"/>
          <w:numId w:val="264"/>
        </w:numPr>
        <w:suppressAutoHyphens/>
        <w:spacing w:before="120" w:after="0" w:line="252" w:lineRule="atLeast"/>
        <w:jc w:val="both"/>
        <w:rPr>
          <w:szCs w:val="19"/>
        </w:rPr>
      </w:pPr>
      <w:r w:rsidRPr="00A46D7F">
        <w:rPr>
          <w:szCs w:val="19"/>
        </w:rPr>
        <w:t>In coastal areas freshwater resources are scarce. In this context wastewater re-use may be applicable;</w:t>
      </w:r>
    </w:p>
    <w:p w:rsidR="0048464B" w:rsidRPr="00A46D7F" w:rsidRDefault="0048464B" w:rsidP="003D5A31">
      <w:pPr>
        <w:numPr>
          <w:ilvl w:val="0"/>
          <w:numId w:val="264"/>
        </w:numPr>
        <w:suppressAutoHyphens/>
        <w:spacing w:before="120" w:after="0" w:line="252" w:lineRule="atLeast"/>
        <w:jc w:val="both"/>
        <w:rPr>
          <w:szCs w:val="19"/>
        </w:rPr>
      </w:pPr>
      <w:r w:rsidRPr="00A46D7F">
        <w:rPr>
          <w:szCs w:val="19"/>
        </w:rPr>
        <w:t>As in most places, re-use for drinking water application will not be preferable (Public Health, social acceptance);</w:t>
      </w:r>
    </w:p>
    <w:p w:rsidR="0048464B" w:rsidRPr="00A46D7F" w:rsidRDefault="0048464B" w:rsidP="003D5A31">
      <w:pPr>
        <w:numPr>
          <w:ilvl w:val="0"/>
          <w:numId w:val="264"/>
        </w:numPr>
        <w:suppressAutoHyphens/>
        <w:spacing w:before="120" w:after="0" w:line="252" w:lineRule="atLeast"/>
        <w:jc w:val="both"/>
        <w:rPr>
          <w:szCs w:val="19"/>
        </w:rPr>
      </w:pPr>
      <w:r w:rsidRPr="00A46D7F">
        <w:rPr>
          <w:szCs w:val="19"/>
        </w:rPr>
        <w:t>In surface water “Re-use” is indirectly practiced in upstream wastewater treatment, and downstream intake/abstraction. With conventional WWTP effluent (perhaps after further polishing or disinfection) re-use in aquaculture or other agricultural application can be considered;</w:t>
      </w:r>
    </w:p>
    <w:p w:rsidR="0048464B" w:rsidRPr="00A46D7F" w:rsidRDefault="0048464B" w:rsidP="003D5A31">
      <w:pPr>
        <w:numPr>
          <w:ilvl w:val="0"/>
          <w:numId w:val="264"/>
        </w:numPr>
        <w:suppressAutoHyphens/>
        <w:spacing w:before="120" w:after="0" w:line="252" w:lineRule="atLeast"/>
        <w:jc w:val="both"/>
        <w:rPr>
          <w:szCs w:val="19"/>
        </w:rPr>
      </w:pPr>
      <w:r w:rsidRPr="00A46D7F">
        <w:rPr>
          <w:szCs w:val="19"/>
        </w:rPr>
        <w:t>Industries can be encouraged to apply internal recirculation (=re-use) of water. By increasing cost for both supply (private abstraction) and wastewater discharge, an incentive can be created for water recycling.</w:t>
      </w:r>
    </w:p>
    <w:p w:rsidR="0048464B" w:rsidRPr="00A46D7F" w:rsidRDefault="0048464B" w:rsidP="0048464B">
      <w:pPr>
        <w:suppressAutoHyphens/>
        <w:spacing w:before="120" w:after="0" w:line="252" w:lineRule="atLeast"/>
        <w:jc w:val="both"/>
        <w:rPr>
          <w:szCs w:val="19"/>
        </w:rPr>
      </w:pPr>
    </w:p>
    <w:p w:rsidR="0048464B" w:rsidRPr="00A46D7F" w:rsidRDefault="0048464B" w:rsidP="003D5A31">
      <w:pPr>
        <w:pStyle w:val="BodyText"/>
        <w:numPr>
          <w:ilvl w:val="2"/>
          <w:numId w:val="263"/>
        </w:numPr>
        <w:spacing w:after="240" w:line="276" w:lineRule="auto"/>
        <w:jc w:val="both"/>
        <w:rPr>
          <w:rFonts w:cs="Times New Roman"/>
          <w:b/>
          <w:szCs w:val="24"/>
        </w:rPr>
      </w:pPr>
      <w:r w:rsidRPr="00A46D7F">
        <w:rPr>
          <w:rFonts w:cs="Times New Roman"/>
          <w:b/>
          <w:szCs w:val="24"/>
        </w:rPr>
        <w:t>Industrial Water Supply and Wastewater Treatment Perspectives</w:t>
      </w:r>
    </w:p>
    <w:p w:rsidR="0048464B" w:rsidRPr="00A46D7F" w:rsidRDefault="0048464B" w:rsidP="0048464B">
      <w:pPr>
        <w:jc w:val="both"/>
      </w:pPr>
      <w:r w:rsidRPr="00A46D7F">
        <w:rPr>
          <w:rFonts w:cs="Segoe UI"/>
        </w:rPr>
        <w:lastRenderedPageBreak/>
        <w:t xml:space="preserve">While domestic wastewater can be typically characterized by its BOD/COD content and nutrient loading, industrial wastewater will vary in chemical composition according to the type of industry, and may contain serious environmental threats. </w:t>
      </w:r>
      <w:r w:rsidRPr="00A46D7F">
        <w:t xml:space="preserve">Similar to domestic and municipal water supply and sanitation, industrial water supply and wastewater treatment can also be both centralized and decentralized. Centralized industrial water supply and wastewater treatment follow the same process as centralized domestic and municipal water supply and wastewater treatment and is, as a matter of principle, integrated in the previous chapters. Decentralized water supply and waste water treatment is common for industries in Bangladesh. These are individual, private (or clustered) water supply and water treatment systems with both regulated and illegal practices. </w:t>
      </w:r>
    </w:p>
    <w:p w:rsidR="0048464B" w:rsidRPr="00A46D7F" w:rsidRDefault="0048464B" w:rsidP="0048464B">
      <w:pPr>
        <w:jc w:val="both"/>
        <w:rPr>
          <w:rFonts w:cs="Segoe UI"/>
        </w:rPr>
      </w:pPr>
      <w:r w:rsidRPr="00A46D7F">
        <w:rPr>
          <w:rFonts w:cs="Segoe UI"/>
        </w:rPr>
        <w:t>The challenges for industrial wastewater include:</w:t>
      </w:r>
    </w:p>
    <w:p w:rsidR="0048464B" w:rsidRPr="00A46D7F" w:rsidRDefault="0048464B" w:rsidP="003D5A31">
      <w:pPr>
        <w:numPr>
          <w:ilvl w:val="0"/>
          <w:numId w:val="265"/>
        </w:numPr>
        <w:spacing w:before="120" w:after="0" w:line="276" w:lineRule="auto"/>
        <w:jc w:val="both"/>
        <w:rPr>
          <w:rFonts w:cs="Segoe UI"/>
        </w:rPr>
      </w:pPr>
      <w:r w:rsidRPr="00A46D7F">
        <w:rPr>
          <w:rFonts w:cs="Segoe UI"/>
        </w:rPr>
        <w:t>Ensure effective zoning of industrial activities;</w:t>
      </w:r>
    </w:p>
    <w:p w:rsidR="0048464B" w:rsidRPr="00A46D7F" w:rsidRDefault="0048464B" w:rsidP="003D5A31">
      <w:pPr>
        <w:numPr>
          <w:ilvl w:val="0"/>
          <w:numId w:val="265"/>
        </w:numPr>
        <w:spacing w:before="120" w:after="0" w:line="276" w:lineRule="auto"/>
        <w:jc w:val="both"/>
        <w:rPr>
          <w:rFonts w:cs="Segoe UI"/>
        </w:rPr>
      </w:pPr>
      <w:r w:rsidRPr="00A46D7F">
        <w:rPr>
          <w:rFonts w:cs="Segoe UI"/>
        </w:rPr>
        <w:t>Prepare inventory of current practice in industrial wastewater;</w:t>
      </w:r>
    </w:p>
    <w:p w:rsidR="0048464B" w:rsidRPr="00A46D7F" w:rsidRDefault="0048464B" w:rsidP="003D5A31">
      <w:pPr>
        <w:numPr>
          <w:ilvl w:val="0"/>
          <w:numId w:val="265"/>
        </w:numPr>
        <w:spacing w:before="120" w:after="0" w:line="276" w:lineRule="auto"/>
        <w:jc w:val="both"/>
        <w:rPr>
          <w:rFonts w:cs="Segoe UI"/>
        </w:rPr>
      </w:pPr>
      <w:r w:rsidRPr="00A46D7F">
        <w:rPr>
          <w:rFonts w:cs="Segoe UI"/>
        </w:rPr>
        <w:t>Categorize principal fields of industry in occurrence, and wastewater characterization, including inventory of suitable treatment technology;</w:t>
      </w:r>
    </w:p>
    <w:p w:rsidR="0048464B" w:rsidRPr="00A46D7F" w:rsidRDefault="0048464B" w:rsidP="003D5A31">
      <w:pPr>
        <w:numPr>
          <w:ilvl w:val="0"/>
          <w:numId w:val="265"/>
        </w:numPr>
        <w:spacing w:before="120" w:after="0" w:line="276" w:lineRule="auto"/>
        <w:jc w:val="both"/>
        <w:rPr>
          <w:rFonts w:cs="Segoe UI"/>
        </w:rPr>
      </w:pPr>
      <w:r w:rsidRPr="00A46D7F">
        <w:rPr>
          <w:rFonts w:cs="Segoe UI"/>
        </w:rPr>
        <w:t>Inventory of governance principles to improve industrial compliance to environmentally sustainable practice;</w:t>
      </w:r>
    </w:p>
    <w:p w:rsidR="0048464B" w:rsidRPr="00A46D7F" w:rsidRDefault="0048464B" w:rsidP="0048464B">
      <w:pPr>
        <w:jc w:val="both"/>
      </w:pPr>
      <w:r w:rsidRPr="00A46D7F">
        <w:t xml:space="preserve">Industrial water demand is rather extensive (especially for textile manufacturing processing and dying industries). The private water abstraction (both by industries, communities and households) represents a substantial percentage of the total groundwater abstraction, putting pressure on domestic consumptions and stress upon groundwater resources. In addition, industries are considered to be the biggest polluters of surface water bodies. There are cases where effluents, heavy on hazardous chemical and biological agents are uncontrollably discharged untreated into surrounding rivers or water bodies which further create pressure on SWTPs. </w:t>
      </w:r>
    </w:p>
    <w:p w:rsidR="0048464B" w:rsidRPr="00A46D7F" w:rsidRDefault="0048464B" w:rsidP="0048464B">
      <w:pPr>
        <w:jc w:val="both"/>
      </w:pPr>
      <w:r w:rsidRPr="00A46D7F">
        <w:t>While industries are expected to operate their own ‘Effluent Treatment Plants’ (ETP’s) according to the Department of Environment’s directives for treatment at ETP’s, it is widely recognized that both the installation and operation of ETP’s is often inadequate or non-existent. Authorities fail to impose compliance on industries and expertise in industrial wastewater treatment and thus operational skills are limited.</w:t>
      </w:r>
    </w:p>
    <w:p w:rsidR="0048464B" w:rsidRPr="00A46D7F" w:rsidRDefault="0048464B" w:rsidP="0048464B">
      <w:pPr>
        <w:rPr>
          <w:rFonts w:cs="Times New Roman"/>
          <w:b/>
          <w:szCs w:val="24"/>
        </w:rPr>
      </w:pPr>
      <w:r w:rsidRPr="00A46D7F">
        <w:rPr>
          <w:rFonts w:cs="Times New Roman"/>
          <w:b/>
          <w:szCs w:val="24"/>
        </w:rPr>
        <w:br w:type="page"/>
      </w:r>
    </w:p>
    <w:p w:rsidR="0048464B" w:rsidRPr="00E03AFA" w:rsidRDefault="0048464B" w:rsidP="003D5A31">
      <w:pPr>
        <w:pStyle w:val="BodyText"/>
        <w:numPr>
          <w:ilvl w:val="2"/>
          <w:numId w:val="263"/>
        </w:numPr>
        <w:spacing w:after="240" w:line="276" w:lineRule="auto"/>
        <w:jc w:val="both"/>
        <w:rPr>
          <w:rFonts w:cs="Times New Roman"/>
          <w:b/>
          <w:szCs w:val="24"/>
        </w:rPr>
      </w:pPr>
      <w:r w:rsidRPr="00E03AFA">
        <w:rPr>
          <w:rFonts w:cs="Times New Roman"/>
          <w:b/>
          <w:szCs w:val="24"/>
        </w:rPr>
        <w:lastRenderedPageBreak/>
        <w:t>Investment Requirements</w:t>
      </w:r>
    </w:p>
    <w:p w:rsidR="0048464B" w:rsidRPr="00AF1CE9" w:rsidRDefault="0048464B" w:rsidP="0048464B">
      <w:pPr>
        <w:spacing w:line="276" w:lineRule="auto"/>
        <w:jc w:val="both"/>
        <w:rPr>
          <w:color w:val="000000"/>
          <w:szCs w:val="24"/>
        </w:rPr>
      </w:pPr>
      <w:r w:rsidRPr="00AF1CE9">
        <w:rPr>
          <w:color w:val="000000"/>
          <w:szCs w:val="24"/>
        </w:rPr>
        <w:t>The economic benefits from safe water supply and sanitation are substantial. The return from investment in these sectors is quite high, ranging from about US$5 to US$35 for every US$1 investmen</w:t>
      </w:r>
      <w:r>
        <w:rPr>
          <w:color w:val="000000"/>
          <w:szCs w:val="24"/>
        </w:rPr>
        <w:t>t</w:t>
      </w:r>
      <w:r w:rsidRPr="00AF1CE9">
        <w:rPr>
          <w:color w:val="000000"/>
          <w:szCs w:val="24"/>
        </w:rPr>
        <w:t xml:space="preserve">. </w:t>
      </w:r>
      <w:r w:rsidRPr="0050663D">
        <w:rPr>
          <w:rFonts w:cs="Times New Roman"/>
          <w:bCs/>
          <w:i/>
          <w:szCs w:val="24"/>
        </w:rPr>
        <w:t>The return on US$1 invested in water and sanitation interventions in Bangladesh was estimated to be US$5.4.</w:t>
      </w:r>
      <w:r w:rsidRPr="00E0447F">
        <w:rPr>
          <w:rFonts w:cs="Times New Roman"/>
          <w:b/>
          <w:bCs/>
          <w:color w:val="006600"/>
          <w:szCs w:val="24"/>
          <w:u w:val="single"/>
        </w:rPr>
        <w:t xml:space="preserve"> </w:t>
      </w:r>
      <w:r w:rsidRPr="00AF1CE9">
        <w:rPr>
          <w:color w:val="000000"/>
          <w:szCs w:val="24"/>
        </w:rPr>
        <w:t>For sanitation, this ratio is even higher and stan</w:t>
      </w:r>
      <w:r>
        <w:rPr>
          <w:color w:val="000000"/>
          <w:szCs w:val="24"/>
        </w:rPr>
        <w:t>ds at 6.4.</w:t>
      </w:r>
    </w:p>
    <w:p w:rsidR="0048464B" w:rsidRPr="00AB592F" w:rsidRDefault="0048464B" w:rsidP="0048464B">
      <w:pPr>
        <w:spacing w:line="276" w:lineRule="auto"/>
        <w:jc w:val="both"/>
        <w:rPr>
          <w:color w:val="000000"/>
          <w:szCs w:val="24"/>
        </w:rPr>
      </w:pPr>
      <w:r w:rsidRPr="00AF1CE9">
        <w:rPr>
          <w:color w:val="000000"/>
          <w:szCs w:val="24"/>
        </w:rPr>
        <w:t>The Sector Investment Plan (SIP) of Sector Development Plan (SDP, 2011) determined investment requirement for short (FY 2011-15), medium (FY 2016-20) and long (FY 2021-25) term targets. For calculating costs, three scen</w:t>
      </w:r>
      <w:r>
        <w:rPr>
          <w:color w:val="000000"/>
          <w:szCs w:val="24"/>
        </w:rPr>
        <w:t>arios were developed (Table 10.18).</w:t>
      </w:r>
    </w:p>
    <w:p w:rsidR="0048464B" w:rsidRPr="00101CE9" w:rsidRDefault="0048464B" w:rsidP="0048464B">
      <w:pPr>
        <w:jc w:val="center"/>
        <w:rPr>
          <w:b/>
        </w:rPr>
      </w:pPr>
      <w:bookmarkStart w:id="762" w:name="_Toc464328997"/>
      <w:r w:rsidRPr="00101CE9">
        <w:rPr>
          <w:b/>
        </w:rPr>
        <w:t>Table 10.18: Service Level and Operating Efficiency Indicators for Urban Sanitation</w:t>
      </w:r>
      <w:bookmarkEnd w:id="762"/>
    </w:p>
    <w:tbl>
      <w:tblPr>
        <w:tblStyle w:val="PlainTable120"/>
        <w:tblW w:w="0" w:type="auto"/>
        <w:tblLook w:val="04A0"/>
      </w:tblPr>
      <w:tblGrid>
        <w:gridCol w:w="1349"/>
        <w:gridCol w:w="1402"/>
        <w:gridCol w:w="2520"/>
        <w:gridCol w:w="1260"/>
        <w:gridCol w:w="1530"/>
        <w:gridCol w:w="1215"/>
      </w:tblGrid>
      <w:tr w:rsidR="0048464B" w:rsidRPr="00240ED3" w:rsidTr="00F83382">
        <w:trPr>
          <w:cnfStyle w:val="100000000000"/>
          <w:trHeight w:val="20"/>
        </w:trPr>
        <w:tc>
          <w:tcPr>
            <w:cnfStyle w:val="001000000000"/>
            <w:tcW w:w="1349" w:type="dxa"/>
            <w:vMerge w:val="restart"/>
          </w:tcPr>
          <w:p w:rsidR="0048464B" w:rsidRPr="00240ED3" w:rsidRDefault="0048464B" w:rsidP="00F83382">
            <w:pPr>
              <w:jc w:val="both"/>
              <w:rPr>
                <w:b w:val="0"/>
                <w:color w:val="000000"/>
                <w:sz w:val="22"/>
                <w:szCs w:val="24"/>
              </w:rPr>
            </w:pPr>
            <w:r w:rsidRPr="00240ED3">
              <w:rPr>
                <w:b w:val="0"/>
                <w:color w:val="000000"/>
                <w:sz w:val="22"/>
                <w:szCs w:val="24"/>
              </w:rPr>
              <w:t>Scenario</w:t>
            </w:r>
          </w:p>
        </w:tc>
        <w:tc>
          <w:tcPr>
            <w:tcW w:w="5149" w:type="dxa"/>
            <w:gridSpan w:val="3"/>
          </w:tcPr>
          <w:p w:rsidR="0048464B" w:rsidRPr="00240ED3" w:rsidRDefault="0048464B" w:rsidP="00F83382">
            <w:pPr>
              <w:jc w:val="both"/>
              <w:cnfStyle w:val="100000000000"/>
              <w:rPr>
                <w:b w:val="0"/>
                <w:color w:val="000000"/>
                <w:sz w:val="22"/>
                <w:szCs w:val="24"/>
              </w:rPr>
            </w:pPr>
            <w:r w:rsidRPr="00240ED3">
              <w:rPr>
                <w:b w:val="0"/>
                <w:color w:val="000000"/>
                <w:sz w:val="22"/>
                <w:szCs w:val="24"/>
              </w:rPr>
              <w:t>Service Level Indicators</w:t>
            </w:r>
          </w:p>
        </w:tc>
        <w:tc>
          <w:tcPr>
            <w:tcW w:w="2745" w:type="dxa"/>
            <w:gridSpan w:val="2"/>
          </w:tcPr>
          <w:p w:rsidR="0048464B" w:rsidRPr="00240ED3" w:rsidRDefault="0048464B" w:rsidP="00F83382">
            <w:pPr>
              <w:jc w:val="both"/>
              <w:cnfStyle w:val="100000000000"/>
              <w:rPr>
                <w:b w:val="0"/>
                <w:color w:val="000000"/>
                <w:sz w:val="22"/>
                <w:szCs w:val="24"/>
              </w:rPr>
            </w:pPr>
            <w:r w:rsidRPr="00240ED3">
              <w:rPr>
                <w:b w:val="0"/>
                <w:color w:val="000000"/>
                <w:sz w:val="22"/>
                <w:szCs w:val="24"/>
              </w:rPr>
              <w:t>Operating Efficiency Indicators</w:t>
            </w:r>
          </w:p>
        </w:tc>
      </w:tr>
      <w:tr w:rsidR="0048464B" w:rsidRPr="00240ED3" w:rsidTr="00F83382">
        <w:trPr>
          <w:cnfStyle w:val="000000100000"/>
          <w:trHeight w:val="20"/>
        </w:trPr>
        <w:tc>
          <w:tcPr>
            <w:cnfStyle w:val="001000000000"/>
            <w:tcW w:w="1349" w:type="dxa"/>
            <w:vMerge/>
          </w:tcPr>
          <w:p w:rsidR="0048464B" w:rsidRPr="00240ED3" w:rsidRDefault="0048464B" w:rsidP="00F83382">
            <w:pPr>
              <w:jc w:val="both"/>
              <w:rPr>
                <w:bCs w:val="0"/>
                <w:color w:val="000000"/>
                <w:sz w:val="22"/>
                <w:szCs w:val="24"/>
              </w:rPr>
            </w:pPr>
          </w:p>
        </w:tc>
        <w:tc>
          <w:tcPr>
            <w:tcW w:w="1369" w:type="dxa"/>
          </w:tcPr>
          <w:p w:rsidR="0048464B" w:rsidRPr="00240ED3" w:rsidRDefault="0048464B" w:rsidP="00F83382">
            <w:pPr>
              <w:jc w:val="both"/>
              <w:cnfStyle w:val="000000100000"/>
              <w:rPr>
                <w:bCs/>
                <w:color w:val="000000"/>
                <w:sz w:val="22"/>
                <w:szCs w:val="20"/>
              </w:rPr>
            </w:pPr>
            <w:r w:rsidRPr="00240ED3">
              <w:rPr>
                <w:bCs/>
                <w:color w:val="000000"/>
                <w:sz w:val="22"/>
                <w:szCs w:val="20"/>
              </w:rPr>
              <w:t>Coverage by Technologies (% of Urban Population)</w:t>
            </w:r>
          </w:p>
        </w:tc>
        <w:tc>
          <w:tcPr>
            <w:tcW w:w="2520" w:type="dxa"/>
          </w:tcPr>
          <w:p w:rsidR="0048464B" w:rsidRPr="00240ED3" w:rsidRDefault="0048464B" w:rsidP="00F83382">
            <w:pPr>
              <w:jc w:val="both"/>
              <w:cnfStyle w:val="000000100000"/>
              <w:rPr>
                <w:bCs/>
                <w:color w:val="000000"/>
                <w:sz w:val="22"/>
                <w:szCs w:val="20"/>
              </w:rPr>
            </w:pPr>
            <w:r w:rsidRPr="00240ED3">
              <w:rPr>
                <w:bCs/>
                <w:color w:val="000000"/>
                <w:sz w:val="22"/>
                <w:szCs w:val="20"/>
              </w:rPr>
              <w:t>Technology / Options Used</w:t>
            </w:r>
          </w:p>
        </w:tc>
        <w:tc>
          <w:tcPr>
            <w:tcW w:w="1260" w:type="dxa"/>
          </w:tcPr>
          <w:p w:rsidR="0048464B" w:rsidRPr="00240ED3" w:rsidRDefault="0048464B" w:rsidP="00F83382">
            <w:pPr>
              <w:jc w:val="both"/>
              <w:cnfStyle w:val="000000100000"/>
              <w:rPr>
                <w:bCs/>
                <w:color w:val="000000"/>
                <w:sz w:val="22"/>
                <w:szCs w:val="20"/>
              </w:rPr>
            </w:pPr>
            <w:r w:rsidRPr="00240ED3">
              <w:rPr>
                <w:bCs/>
                <w:color w:val="000000"/>
                <w:sz w:val="22"/>
                <w:szCs w:val="20"/>
              </w:rPr>
              <w:t>O&amp;M Status of Toilet Facilities</w:t>
            </w:r>
          </w:p>
        </w:tc>
        <w:tc>
          <w:tcPr>
            <w:tcW w:w="1530" w:type="dxa"/>
          </w:tcPr>
          <w:p w:rsidR="0048464B" w:rsidRPr="00240ED3" w:rsidRDefault="0048464B" w:rsidP="00F83382">
            <w:pPr>
              <w:jc w:val="both"/>
              <w:cnfStyle w:val="000000100000"/>
              <w:rPr>
                <w:bCs/>
                <w:color w:val="000000"/>
                <w:sz w:val="22"/>
                <w:szCs w:val="20"/>
              </w:rPr>
            </w:pPr>
            <w:r w:rsidRPr="00240ED3">
              <w:rPr>
                <w:bCs/>
                <w:color w:val="000000"/>
                <w:sz w:val="22"/>
                <w:szCs w:val="20"/>
              </w:rPr>
              <w:t>Sludge from Onsite Sanitation Safely Managed</w:t>
            </w:r>
          </w:p>
        </w:tc>
        <w:tc>
          <w:tcPr>
            <w:tcW w:w="1215" w:type="dxa"/>
          </w:tcPr>
          <w:p w:rsidR="0048464B" w:rsidRPr="00240ED3" w:rsidRDefault="0048464B" w:rsidP="00F83382">
            <w:pPr>
              <w:jc w:val="both"/>
              <w:cnfStyle w:val="000000100000"/>
              <w:rPr>
                <w:bCs/>
                <w:color w:val="000000"/>
                <w:sz w:val="22"/>
                <w:szCs w:val="20"/>
              </w:rPr>
            </w:pPr>
            <w:r w:rsidRPr="00240ED3">
              <w:rPr>
                <w:bCs/>
                <w:color w:val="000000"/>
                <w:sz w:val="22"/>
                <w:szCs w:val="20"/>
              </w:rPr>
              <w:t>O&amp;M Cost Recovery</w:t>
            </w:r>
          </w:p>
        </w:tc>
      </w:tr>
      <w:tr w:rsidR="0048464B" w:rsidRPr="00240ED3" w:rsidTr="00F83382">
        <w:trPr>
          <w:trHeight w:val="20"/>
        </w:trPr>
        <w:tc>
          <w:tcPr>
            <w:cnfStyle w:val="001000000000"/>
            <w:tcW w:w="1349" w:type="dxa"/>
          </w:tcPr>
          <w:p w:rsidR="0048464B" w:rsidRPr="00240ED3" w:rsidRDefault="0048464B" w:rsidP="00F83382">
            <w:pPr>
              <w:jc w:val="both"/>
              <w:rPr>
                <w:bCs w:val="0"/>
                <w:color w:val="000000"/>
                <w:sz w:val="22"/>
                <w:szCs w:val="20"/>
              </w:rPr>
            </w:pPr>
            <w:r w:rsidRPr="00240ED3">
              <w:rPr>
                <w:bCs w:val="0"/>
                <w:color w:val="000000"/>
                <w:sz w:val="22"/>
                <w:szCs w:val="20"/>
              </w:rPr>
              <w:t>Scenario 1 (Base Case)</w:t>
            </w:r>
          </w:p>
        </w:tc>
        <w:tc>
          <w:tcPr>
            <w:tcW w:w="1369" w:type="dxa"/>
          </w:tcPr>
          <w:p w:rsidR="0048464B" w:rsidRPr="00240ED3" w:rsidRDefault="0048464B" w:rsidP="00F83382">
            <w:pPr>
              <w:jc w:val="both"/>
              <w:cnfStyle w:val="000000000000"/>
              <w:rPr>
                <w:bCs/>
                <w:color w:val="000000"/>
                <w:sz w:val="22"/>
                <w:szCs w:val="20"/>
              </w:rPr>
            </w:pPr>
            <w:r w:rsidRPr="00240ED3">
              <w:rPr>
                <w:bCs/>
                <w:color w:val="000000"/>
                <w:sz w:val="22"/>
                <w:szCs w:val="20"/>
              </w:rPr>
              <w:t>50-80</w:t>
            </w:r>
          </w:p>
        </w:tc>
        <w:tc>
          <w:tcPr>
            <w:tcW w:w="2520" w:type="dxa"/>
          </w:tcPr>
          <w:p w:rsidR="0048464B" w:rsidRPr="00240ED3" w:rsidRDefault="0048464B" w:rsidP="00F83382">
            <w:pPr>
              <w:cnfStyle w:val="000000000000"/>
              <w:rPr>
                <w:bCs/>
                <w:color w:val="000000"/>
                <w:sz w:val="22"/>
                <w:szCs w:val="20"/>
              </w:rPr>
            </w:pPr>
            <w:r w:rsidRPr="00240ED3">
              <w:rPr>
                <w:bCs/>
                <w:color w:val="000000"/>
                <w:sz w:val="22"/>
                <w:szCs w:val="20"/>
              </w:rPr>
              <w:t>Conventional and small bore sewer with treatment and septic tank with safe desludging and disposal up to Paurashavas levels</w:t>
            </w:r>
          </w:p>
        </w:tc>
        <w:tc>
          <w:tcPr>
            <w:tcW w:w="1260" w:type="dxa"/>
          </w:tcPr>
          <w:p w:rsidR="0048464B" w:rsidRPr="00240ED3" w:rsidRDefault="0048464B" w:rsidP="00F83382">
            <w:pPr>
              <w:jc w:val="both"/>
              <w:cnfStyle w:val="000000000000"/>
              <w:rPr>
                <w:bCs/>
                <w:color w:val="000000"/>
                <w:sz w:val="22"/>
                <w:szCs w:val="24"/>
              </w:rPr>
            </w:pPr>
            <w:r w:rsidRPr="00240ED3">
              <w:rPr>
                <w:bCs/>
                <w:color w:val="000000"/>
                <w:sz w:val="22"/>
                <w:szCs w:val="24"/>
              </w:rPr>
              <w:t>Poorly maintained</w:t>
            </w:r>
          </w:p>
        </w:tc>
        <w:tc>
          <w:tcPr>
            <w:tcW w:w="1530" w:type="dxa"/>
          </w:tcPr>
          <w:p w:rsidR="0048464B" w:rsidRPr="00240ED3" w:rsidRDefault="0048464B" w:rsidP="00F83382">
            <w:pPr>
              <w:jc w:val="both"/>
              <w:cnfStyle w:val="000000000000"/>
              <w:rPr>
                <w:bCs/>
                <w:color w:val="000000"/>
                <w:sz w:val="22"/>
                <w:szCs w:val="24"/>
              </w:rPr>
            </w:pPr>
            <w:r w:rsidRPr="00240ED3">
              <w:rPr>
                <w:bCs/>
                <w:color w:val="000000"/>
                <w:sz w:val="22"/>
                <w:szCs w:val="24"/>
              </w:rPr>
              <w:t xml:space="preserve">Low </w:t>
            </w:r>
          </w:p>
        </w:tc>
        <w:tc>
          <w:tcPr>
            <w:tcW w:w="1215" w:type="dxa"/>
          </w:tcPr>
          <w:p w:rsidR="0048464B" w:rsidRPr="00240ED3" w:rsidRDefault="0048464B" w:rsidP="00F83382">
            <w:pPr>
              <w:jc w:val="both"/>
              <w:cnfStyle w:val="000000000000"/>
              <w:rPr>
                <w:bCs/>
                <w:color w:val="000000"/>
                <w:sz w:val="22"/>
                <w:szCs w:val="24"/>
              </w:rPr>
            </w:pPr>
            <w:r w:rsidRPr="00240ED3">
              <w:rPr>
                <w:bCs/>
                <w:color w:val="000000"/>
                <w:sz w:val="22"/>
                <w:szCs w:val="24"/>
              </w:rPr>
              <w:t xml:space="preserve">Low </w:t>
            </w:r>
          </w:p>
        </w:tc>
      </w:tr>
      <w:tr w:rsidR="0048464B" w:rsidRPr="00240ED3" w:rsidTr="00F83382">
        <w:trPr>
          <w:cnfStyle w:val="000000100000"/>
          <w:trHeight w:val="20"/>
        </w:trPr>
        <w:tc>
          <w:tcPr>
            <w:cnfStyle w:val="001000000000"/>
            <w:tcW w:w="1349" w:type="dxa"/>
          </w:tcPr>
          <w:p w:rsidR="0048464B" w:rsidRPr="00240ED3" w:rsidRDefault="0048464B" w:rsidP="00F83382">
            <w:pPr>
              <w:jc w:val="both"/>
              <w:rPr>
                <w:bCs w:val="0"/>
                <w:color w:val="000000"/>
                <w:sz w:val="22"/>
                <w:szCs w:val="20"/>
              </w:rPr>
            </w:pPr>
            <w:r w:rsidRPr="00240ED3">
              <w:rPr>
                <w:bCs w:val="0"/>
                <w:color w:val="000000"/>
                <w:sz w:val="22"/>
                <w:szCs w:val="20"/>
              </w:rPr>
              <w:t>Scenario 2 (Moderate)</w:t>
            </w:r>
          </w:p>
        </w:tc>
        <w:tc>
          <w:tcPr>
            <w:tcW w:w="1369" w:type="dxa"/>
          </w:tcPr>
          <w:p w:rsidR="0048464B" w:rsidRPr="00240ED3" w:rsidRDefault="0048464B" w:rsidP="00F83382">
            <w:pPr>
              <w:jc w:val="both"/>
              <w:cnfStyle w:val="000000100000"/>
              <w:rPr>
                <w:bCs/>
                <w:color w:val="000000"/>
                <w:sz w:val="22"/>
                <w:szCs w:val="20"/>
              </w:rPr>
            </w:pPr>
            <w:r w:rsidRPr="00240ED3">
              <w:rPr>
                <w:bCs/>
                <w:color w:val="000000"/>
                <w:sz w:val="22"/>
                <w:szCs w:val="20"/>
              </w:rPr>
              <w:t>35-95</w:t>
            </w:r>
          </w:p>
        </w:tc>
        <w:tc>
          <w:tcPr>
            <w:tcW w:w="2520" w:type="dxa"/>
          </w:tcPr>
          <w:p w:rsidR="0048464B" w:rsidRPr="00240ED3" w:rsidRDefault="0048464B" w:rsidP="00F83382">
            <w:pPr>
              <w:cnfStyle w:val="000000100000"/>
              <w:rPr>
                <w:bCs/>
                <w:color w:val="000000"/>
                <w:sz w:val="22"/>
                <w:szCs w:val="20"/>
              </w:rPr>
            </w:pPr>
            <w:r w:rsidRPr="00240ED3">
              <w:rPr>
                <w:bCs/>
                <w:color w:val="000000"/>
                <w:sz w:val="22"/>
                <w:szCs w:val="20"/>
              </w:rPr>
              <w:t>Conventional and small bore sewer with treatment and septic tank with safe desludging and disposal up to Paurashavas levels</w:t>
            </w:r>
          </w:p>
        </w:tc>
        <w:tc>
          <w:tcPr>
            <w:tcW w:w="1260" w:type="dxa"/>
          </w:tcPr>
          <w:p w:rsidR="0048464B" w:rsidRPr="00240ED3" w:rsidRDefault="0048464B" w:rsidP="00F83382">
            <w:pPr>
              <w:jc w:val="both"/>
              <w:cnfStyle w:val="000000100000"/>
              <w:rPr>
                <w:bCs/>
                <w:color w:val="000000"/>
                <w:sz w:val="22"/>
                <w:szCs w:val="24"/>
              </w:rPr>
            </w:pPr>
            <w:r w:rsidRPr="00240ED3">
              <w:rPr>
                <w:bCs/>
                <w:color w:val="000000"/>
                <w:sz w:val="22"/>
                <w:szCs w:val="24"/>
              </w:rPr>
              <w:t>Moderately maintained</w:t>
            </w:r>
          </w:p>
        </w:tc>
        <w:tc>
          <w:tcPr>
            <w:tcW w:w="1530" w:type="dxa"/>
          </w:tcPr>
          <w:p w:rsidR="0048464B" w:rsidRPr="00240ED3" w:rsidRDefault="0048464B" w:rsidP="00F83382">
            <w:pPr>
              <w:jc w:val="both"/>
              <w:cnfStyle w:val="000000100000"/>
              <w:rPr>
                <w:bCs/>
                <w:color w:val="000000"/>
                <w:sz w:val="22"/>
                <w:szCs w:val="24"/>
              </w:rPr>
            </w:pPr>
            <w:r w:rsidRPr="00240ED3">
              <w:rPr>
                <w:bCs/>
                <w:color w:val="000000"/>
                <w:sz w:val="22"/>
                <w:szCs w:val="24"/>
              </w:rPr>
              <w:t>Medium</w:t>
            </w:r>
          </w:p>
        </w:tc>
        <w:tc>
          <w:tcPr>
            <w:tcW w:w="1215" w:type="dxa"/>
          </w:tcPr>
          <w:p w:rsidR="0048464B" w:rsidRPr="00240ED3" w:rsidRDefault="0048464B" w:rsidP="00F83382">
            <w:pPr>
              <w:jc w:val="both"/>
              <w:cnfStyle w:val="000000100000"/>
              <w:rPr>
                <w:bCs/>
                <w:color w:val="000000"/>
                <w:sz w:val="22"/>
                <w:szCs w:val="24"/>
              </w:rPr>
            </w:pPr>
            <w:r w:rsidRPr="00240ED3">
              <w:rPr>
                <w:bCs/>
                <w:color w:val="000000"/>
                <w:sz w:val="22"/>
                <w:szCs w:val="24"/>
              </w:rPr>
              <w:t>Medium</w:t>
            </w:r>
          </w:p>
        </w:tc>
      </w:tr>
      <w:tr w:rsidR="0048464B" w:rsidRPr="00240ED3" w:rsidTr="00F83382">
        <w:trPr>
          <w:trHeight w:val="20"/>
        </w:trPr>
        <w:tc>
          <w:tcPr>
            <w:cnfStyle w:val="001000000000"/>
            <w:tcW w:w="1349" w:type="dxa"/>
          </w:tcPr>
          <w:p w:rsidR="0048464B" w:rsidRPr="00240ED3" w:rsidRDefault="0048464B" w:rsidP="00F83382">
            <w:pPr>
              <w:jc w:val="both"/>
              <w:rPr>
                <w:bCs w:val="0"/>
                <w:color w:val="000000"/>
                <w:sz w:val="22"/>
                <w:szCs w:val="20"/>
              </w:rPr>
            </w:pPr>
            <w:r w:rsidRPr="00240ED3">
              <w:rPr>
                <w:bCs w:val="0"/>
                <w:color w:val="000000"/>
                <w:sz w:val="22"/>
                <w:szCs w:val="20"/>
              </w:rPr>
              <w:t>Scenario 3 (High)</w:t>
            </w:r>
          </w:p>
        </w:tc>
        <w:tc>
          <w:tcPr>
            <w:tcW w:w="1369" w:type="dxa"/>
          </w:tcPr>
          <w:p w:rsidR="0048464B" w:rsidRPr="00240ED3" w:rsidRDefault="0048464B" w:rsidP="00F83382">
            <w:pPr>
              <w:jc w:val="both"/>
              <w:cnfStyle w:val="000000000000"/>
              <w:rPr>
                <w:bCs/>
                <w:color w:val="000000"/>
                <w:sz w:val="22"/>
                <w:szCs w:val="20"/>
              </w:rPr>
            </w:pPr>
            <w:r w:rsidRPr="00240ED3">
              <w:rPr>
                <w:bCs/>
                <w:color w:val="000000"/>
                <w:sz w:val="22"/>
                <w:szCs w:val="20"/>
              </w:rPr>
              <w:t>20-100</w:t>
            </w:r>
          </w:p>
        </w:tc>
        <w:tc>
          <w:tcPr>
            <w:tcW w:w="2520" w:type="dxa"/>
          </w:tcPr>
          <w:p w:rsidR="0048464B" w:rsidRPr="00240ED3" w:rsidRDefault="0048464B" w:rsidP="00F83382">
            <w:pPr>
              <w:cnfStyle w:val="000000000000"/>
              <w:rPr>
                <w:bCs/>
                <w:color w:val="000000"/>
                <w:sz w:val="22"/>
                <w:szCs w:val="20"/>
              </w:rPr>
            </w:pPr>
            <w:r w:rsidRPr="00240ED3">
              <w:rPr>
                <w:bCs/>
                <w:color w:val="000000"/>
                <w:sz w:val="22"/>
                <w:szCs w:val="20"/>
              </w:rPr>
              <w:t>Conventional and small bore sewer with treatment and septic tank with safe desludging and disposal up to Paurashavas levels</w:t>
            </w:r>
          </w:p>
        </w:tc>
        <w:tc>
          <w:tcPr>
            <w:tcW w:w="1260" w:type="dxa"/>
          </w:tcPr>
          <w:p w:rsidR="0048464B" w:rsidRPr="00240ED3" w:rsidRDefault="0048464B" w:rsidP="00F83382">
            <w:pPr>
              <w:jc w:val="both"/>
              <w:cnfStyle w:val="000000000000"/>
              <w:rPr>
                <w:bCs/>
                <w:color w:val="000000"/>
                <w:sz w:val="22"/>
                <w:szCs w:val="24"/>
              </w:rPr>
            </w:pPr>
            <w:r w:rsidRPr="00240ED3">
              <w:rPr>
                <w:bCs/>
                <w:color w:val="000000"/>
                <w:sz w:val="22"/>
                <w:szCs w:val="24"/>
              </w:rPr>
              <w:t xml:space="preserve">Well maintained </w:t>
            </w:r>
          </w:p>
        </w:tc>
        <w:tc>
          <w:tcPr>
            <w:tcW w:w="1530" w:type="dxa"/>
          </w:tcPr>
          <w:p w:rsidR="0048464B" w:rsidRPr="00240ED3" w:rsidRDefault="0048464B" w:rsidP="00F83382">
            <w:pPr>
              <w:jc w:val="both"/>
              <w:cnfStyle w:val="000000000000"/>
              <w:rPr>
                <w:bCs/>
                <w:color w:val="000000"/>
                <w:sz w:val="22"/>
                <w:szCs w:val="24"/>
              </w:rPr>
            </w:pPr>
            <w:r w:rsidRPr="00240ED3">
              <w:rPr>
                <w:bCs/>
                <w:color w:val="000000"/>
                <w:sz w:val="22"/>
                <w:szCs w:val="24"/>
              </w:rPr>
              <w:t>High</w:t>
            </w:r>
          </w:p>
        </w:tc>
        <w:tc>
          <w:tcPr>
            <w:tcW w:w="1215" w:type="dxa"/>
          </w:tcPr>
          <w:p w:rsidR="0048464B" w:rsidRPr="00240ED3" w:rsidRDefault="0048464B" w:rsidP="00F83382">
            <w:pPr>
              <w:jc w:val="both"/>
              <w:cnfStyle w:val="000000000000"/>
              <w:rPr>
                <w:bCs/>
                <w:color w:val="000000"/>
                <w:sz w:val="22"/>
                <w:szCs w:val="24"/>
              </w:rPr>
            </w:pPr>
            <w:r w:rsidRPr="00240ED3">
              <w:rPr>
                <w:bCs/>
                <w:color w:val="000000"/>
                <w:sz w:val="22"/>
                <w:szCs w:val="24"/>
              </w:rPr>
              <w:t>High</w:t>
            </w:r>
          </w:p>
        </w:tc>
      </w:tr>
    </w:tbl>
    <w:p w:rsidR="0048464B" w:rsidRPr="00AB592F" w:rsidRDefault="0048464B" w:rsidP="0048464B">
      <w:pPr>
        <w:spacing w:before="120"/>
        <w:rPr>
          <w:b/>
          <w:i/>
          <w:iCs/>
          <w:color w:val="000000"/>
          <w:sz w:val="20"/>
          <w:szCs w:val="20"/>
        </w:rPr>
      </w:pPr>
      <w:r w:rsidRPr="00AB592F">
        <w:rPr>
          <w:b/>
          <w:i/>
          <w:iCs/>
          <w:color w:val="000000"/>
          <w:sz w:val="20"/>
          <w:szCs w:val="20"/>
        </w:rPr>
        <w:t>Source: Sector Development Plan, 2011</w:t>
      </w:r>
    </w:p>
    <w:p w:rsidR="0048464B" w:rsidRPr="000D4755" w:rsidRDefault="0048464B" w:rsidP="0048464B">
      <w:pPr>
        <w:spacing w:line="276" w:lineRule="auto"/>
        <w:jc w:val="both"/>
        <w:rPr>
          <w:rFonts w:cs="Times New Roman"/>
          <w:bCs/>
          <w:i/>
          <w:szCs w:val="24"/>
        </w:rPr>
      </w:pPr>
      <w:r w:rsidRPr="00AF1CE9">
        <w:rPr>
          <w:color w:val="000000"/>
          <w:szCs w:val="24"/>
        </w:rPr>
        <w:t xml:space="preserve">Scenario 1 represents the current sector condition characterized by low service level and low operating efficiency, while scenario 2 shows moderate service level and moderate operating efficiency. Scenario 3 is characterized by high service level and high operating efficiency. If socio-economic and institutional conditions are taken into account, then scenario 2 appears to be a more realistic </w:t>
      </w:r>
      <w:r w:rsidRPr="00581B13">
        <w:rPr>
          <w:rFonts w:cs="Times New Roman"/>
          <w:b/>
          <w:bCs/>
          <w:color w:val="006600"/>
          <w:szCs w:val="24"/>
        </w:rPr>
        <w:t>at the stage of economic development</w:t>
      </w:r>
      <w:r>
        <w:rPr>
          <w:color w:val="000000"/>
          <w:szCs w:val="24"/>
        </w:rPr>
        <w:t xml:space="preserve"> </w:t>
      </w:r>
      <w:r w:rsidRPr="00AF1CE9">
        <w:rPr>
          <w:color w:val="000000"/>
          <w:szCs w:val="24"/>
        </w:rPr>
        <w:t xml:space="preserve">and achievable option during the plan period (2011-2025). </w:t>
      </w:r>
      <w:r w:rsidRPr="000D4755">
        <w:rPr>
          <w:rFonts w:cs="Times New Roman"/>
          <w:bCs/>
          <w:i/>
          <w:szCs w:val="24"/>
        </w:rPr>
        <w:t xml:space="preserve">Total investment costs of urban sanitation for scenario 2 were estimated at BDT 335,891 million out of which BDT 93, 513 would be required for short term (2010-2015), BDT 107, 555 million for medium term (2016-2020) and BDT 134,823 million for the long term (2021-26). </w:t>
      </w:r>
    </w:p>
    <w:p w:rsidR="0048464B" w:rsidRPr="00E03AFA" w:rsidRDefault="0048464B" w:rsidP="003D5A31">
      <w:pPr>
        <w:pStyle w:val="BodyText"/>
        <w:numPr>
          <w:ilvl w:val="2"/>
          <w:numId w:val="263"/>
        </w:numPr>
        <w:spacing w:after="240" w:line="276" w:lineRule="auto"/>
        <w:jc w:val="both"/>
        <w:rPr>
          <w:rFonts w:cs="Times New Roman"/>
          <w:b/>
          <w:szCs w:val="24"/>
        </w:rPr>
      </w:pPr>
      <w:r w:rsidRPr="00E03AFA">
        <w:rPr>
          <w:rFonts w:cs="Times New Roman"/>
          <w:b/>
          <w:szCs w:val="24"/>
        </w:rPr>
        <w:lastRenderedPageBreak/>
        <w:t xml:space="preserve">Existing National Policies and Strategies for Sanitation </w:t>
      </w:r>
    </w:p>
    <w:p w:rsidR="0048464B" w:rsidRDefault="0048464B" w:rsidP="0048464B">
      <w:pPr>
        <w:spacing w:line="276" w:lineRule="auto"/>
        <w:jc w:val="both"/>
      </w:pPr>
      <w:r w:rsidRPr="000D4755">
        <w:rPr>
          <w:rFonts w:cs="Times New Roman"/>
          <w:bCs/>
          <w:i/>
          <w:szCs w:val="24"/>
        </w:rPr>
        <w:t>National Policy for Safe Water Supply and Sanitation initiated in 1998 explicitly emphasizes upon the self-sufficiency and self- sustainability of urban sanitation system.</w:t>
      </w:r>
      <w:r w:rsidRPr="000D4755">
        <w:rPr>
          <w:i/>
        </w:rPr>
        <w:t xml:space="preserve"> </w:t>
      </w:r>
      <w:r w:rsidRPr="000535CD">
        <w:t xml:space="preserve">It works for the promotion of sanitary latrines in every household and along with individual sanitation, public and community latrines are to be set-up by City Corporation or Pourashavas. According to it, the City Corporations and Pourashavas shall be empowered to set tariffs, by-laws, appointment of staffs etc. according to their needs and in accordance with the guidelines laid down by the government. It highly encourages the participation of private sector and NGO in sanitation and states that behavioral development and changes in users shall be brought about through social mobilization and hygiene education in alliance with the Ministries of Health, Education, Social Welfare, Information, Women &amp; Children Affairs, DPHE, NGOs, CBOs, local government bodies and other related agencies. </w:t>
      </w:r>
    </w:p>
    <w:p w:rsidR="0048464B" w:rsidRPr="00F607EC" w:rsidRDefault="0048464B" w:rsidP="0048464B">
      <w:pPr>
        <w:spacing w:line="276" w:lineRule="auto"/>
        <w:jc w:val="both"/>
        <w:rPr>
          <w:color w:val="000000" w:themeColor="text1"/>
          <w:szCs w:val="24"/>
        </w:rPr>
      </w:pPr>
      <w:r w:rsidRPr="00F607EC">
        <w:rPr>
          <w:color w:val="000000" w:themeColor="text1"/>
          <w:szCs w:val="24"/>
        </w:rPr>
        <w:t xml:space="preserve">The National Sanitation Strategy of 2005 has been established by completely following the previously mentioned policy. The strategy identifies the nonappearance of mechanism for ensuring effective utilization of government subsidies at all levels. It has emphasized on sustainability of the service delivery and directs that the ownership of the facilities and the responsibility for operation and maintenance shall be that of the households and the communities. It compatibly focuses upon awareness promotion for increased mobilization of community resources which is essential for 100% sanitation coverage. </w:t>
      </w:r>
    </w:p>
    <w:p w:rsidR="0048464B" w:rsidRPr="00E03AFA" w:rsidRDefault="0048464B" w:rsidP="003D5A31">
      <w:pPr>
        <w:pStyle w:val="BodyText"/>
        <w:numPr>
          <w:ilvl w:val="2"/>
          <w:numId w:val="263"/>
        </w:numPr>
        <w:spacing w:after="240" w:line="276" w:lineRule="auto"/>
        <w:jc w:val="both"/>
        <w:rPr>
          <w:rFonts w:cs="Times New Roman"/>
          <w:b/>
          <w:szCs w:val="24"/>
        </w:rPr>
      </w:pPr>
      <w:r w:rsidRPr="00E03AFA">
        <w:rPr>
          <w:rFonts w:cs="Times New Roman"/>
          <w:b/>
          <w:szCs w:val="24"/>
        </w:rPr>
        <w:t xml:space="preserve">Issues and Challenges </w:t>
      </w:r>
    </w:p>
    <w:p w:rsidR="0048464B" w:rsidRPr="00EF7637" w:rsidRDefault="0048464B" w:rsidP="0048464B">
      <w:pPr>
        <w:spacing w:line="276" w:lineRule="auto"/>
        <w:jc w:val="both"/>
        <w:rPr>
          <w:b/>
          <w:i/>
          <w:color w:val="000000"/>
          <w:szCs w:val="24"/>
        </w:rPr>
      </w:pPr>
      <w:r w:rsidRPr="00EF7637">
        <w:rPr>
          <w:b/>
          <w:i/>
          <w:color w:val="000000"/>
          <w:szCs w:val="24"/>
        </w:rPr>
        <w:t>Urbanization and Poverty</w:t>
      </w:r>
    </w:p>
    <w:p w:rsidR="0048464B" w:rsidRPr="00AF1CE9" w:rsidRDefault="0048464B" w:rsidP="0048464B">
      <w:pPr>
        <w:spacing w:line="276" w:lineRule="auto"/>
        <w:jc w:val="both"/>
        <w:rPr>
          <w:color w:val="000000"/>
          <w:szCs w:val="24"/>
        </w:rPr>
      </w:pPr>
      <w:r w:rsidRPr="00AF1CE9">
        <w:rPr>
          <w:color w:val="000000"/>
          <w:szCs w:val="24"/>
        </w:rPr>
        <w:t xml:space="preserve">Urban sanitation remains a major challenge in Bangladesh as urban scenario </w:t>
      </w:r>
      <w:r>
        <w:rPr>
          <w:color w:val="000000"/>
          <w:szCs w:val="24"/>
        </w:rPr>
        <w:t xml:space="preserve">is more complex and challenging. </w:t>
      </w:r>
      <w:r w:rsidRPr="00AF1CE9">
        <w:rPr>
          <w:color w:val="000000"/>
          <w:szCs w:val="24"/>
        </w:rPr>
        <w:t xml:space="preserve">Due to high rates of urban migration, cities are unable to meet the demand for sanitation services especially in low income areas. </w:t>
      </w:r>
      <w:r w:rsidRPr="000D4755">
        <w:rPr>
          <w:rFonts w:cs="Times New Roman"/>
          <w:bCs/>
          <w:i/>
          <w:szCs w:val="24"/>
        </w:rPr>
        <w:t xml:space="preserve">In urban slums, population density is extremely high and in some areas, population density is 200 times higher than the Bangladesh’s average population. </w:t>
      </w:r>
      <w:r w:rsidRPr="00AF1CE9">
        <w:rPr>
          <w:color w:val="000000"/>
          <w:szCs w:val="24"/>
        </w:rPr>
        <w:t xml:space="preserve">Consequently, in most slums, space to construct individual household latrines is impossible. Although </w:t>
      </w:r>
      <w:r w:rsidRPr="000D4755">
        <w:rPr>
          <w:rFonts w:cs="Times New Roman"/>
          <w:bCs/>
          <w:i/>
          <w:szCs w:val="24"/>
        </w:rPr>
        <w:t>national figure for shared latrines is about 28 percent in urban areas, in slum areas about 80 percent of the residents use shared latrines.</w:t>
      </w:r>
      <w:r w:rsidRPr="00AF1CE9">
        <w:rPr>
          <w:color w:val="000000"/>
          <w:szCs w:val="24"/>
        </w:rPr>
        <w:t xml:space="preserve"> A significant proportion of slum dwellers also use drains, open fields or roadsides for defecation. </w:t>
      </w:r>
    </w:p>
    <w:p w:rsidR="0048464B" w:rsidRPr="00A71FE0" w:rsidRDefault="0048464B" w:rsidP="0048464B">
      <w:pPr>
        <w:spacing w:line="276" w:lineRule="auto"/>
        <w:jc w:val="both"/>
        <w:rPr>
          <w:color w:val="000000"/>
          <w:szCs w:val="24"/>
        </w:rPr>
      </w:pPr>
      <w:r w:rsidRPr="00AF1CE9">
        <w:rPr>
          <w:color w:val="000000"/>
          <w:szCs w:val="24"/>
        </w:rPr>
        <w:t xml:space="preserve">Although slums are found in most of the urban areas, the majority of the slums are concentrated in the city corporations. The census of slum, 2014 identified 13938 slums in urban areas of the country. 65.38 percent of those slums are found in the city corporations with largest concentration in Dhaka North and South City Corporation (24.39%) areas. According to the </w:t>
      </w:r>
      <w:r>
        <w:rPr>
          <w:color w:val="000000"/>
          <w:szCs w:val="24"/>
        </w:rPr>
        <w:t xml:space="preserve">BBS-UNICEF 2009 </w:t>
      </w:r>
      <w:r w:rsidRPr="00AF1CE9">
        <w:rPr>
          <w:color w:val="000000"/>
          <w:szCs w:val="24"/>
        </w:rPr>
        <w:t>Multiple Indicators C</w:t>
      </w:r>
      <w:r>
        <w:rPr>
          <w:color w:val="000000"/>
          <w:szCs w:val="24"/>
        </w:rPr>
        <w:t>luster Survey</w:t>
      </w:r>
      <w:r w:rsidRPr="00AF1CE9">
        <w:rPr>
          <w:color w:val="000000"/>
          <w:szCs w:val="24"/>
        </w:rPr>
        <w:t xml:space="preserve">, only 9 percent of the slum dwellers had access to improved sanitation facilities while the rest had access to unhygienic toilets only. </w:t>
      </w:r>
    </w:p>
    <w:p w:rsidR="0048464B" w:rsidRPr="00EF7637" w:rsidRDefault="0048464B" w:rsidP="0048464B">
      <w:pPr>
        <w:spacing w:line="276" w:lineRule="auto"/>
        <w:jc w:val="both"/>
        <w:rPr>
          <w:b/>
          <w:i/>
          <w:color w:val="000000"/>
          <w:szCs w:val="24"/>
        </w:rPr>
      </w:pPr>
      <w:r w:rsidRPr="00EF7637">
        <w:rPr>
          <w:b/>
          <w:i/>
          <w:color w:val="000000"/>
          <w:szCs w:val="24"/>
        </w:rPr>
        <w:lastRenderedPageBreak/>
        <w:t>Hard to Reach Areas (HRA)</w:t>
      </w:r>
    </w:p>
    <w:p w:rsidR="0048464B" w:rsidRPr="00AF1CE9" w:rsidRDefault="0048464B" w:rsidP="0048464B">
      <w:pPr>
        <w:spacing w:line="276" w:lineRule="auto"/>
        <w:jc w:val="both"/>
        <w:rPr>
          <w:color w:val="000000"/>
          <w:szCs w:val="24"/>
        </w:rPr>
      </w:pPr>
      <w:r w:rsidRPr="00AF1CE9">
        <w:rPr>
          <w:color w:val="000000"/>
          <w:szCs w:val="24"/>
        </w:rPr>
        <w:t>Despite significant progress in sanitation coverage nationwide, the sanitation sector faces challenges in terms quality of service a</w:t>
      </w:r>
      <w:r>
        <w:rPr>
          <w:color w:val="000000"/>
          <w:szCs w:val="24"/>
        </w:rPr>
        <w:t xml:space="preserve">nd coverage in the HRAs. </w:t>
      </w:r>
      <w:r w:rsidRPr="003664FB">
        <w:rPr>
          <w:rFonts w:cs="Times New Roman"/>
          <w:szCs w:val="24"/>
        </w:rPr>
        <w:t>I</w:t>
      </w:r>
      <w:r>
        <w:rPr>
          <w:rFonts w:cs="Times New Roman"/>
          <w:szCs w:val="24"/>
        </w:rPr>
        <w:t xml:space="preserve">n extreme </w:t>
      </w:r>
      <w:r w:rsidRPr="003664FB">
        <w:rPr>
          <w:rFonts w:cs="Times New Roman"/>
          <w:szCs w:val="24"/>
        </w:rPr>
        <w:t>areas</w:t>
      </w:r>
      <w:r>
        <w:rPr>
          <w:rFonts w:cs="Times New Roman"/>
          <w:szCs w:val="24"/>
        </w:rPr>
        <w:t>, service level is deplorably poor while in very H</w:t>
      </w:r>
      <w:r w:rsidRPr="003664FB">
        <w:rPr>
          <w:rFonts w:cs="Times New Roman"/>
          <w:szCs w:val="24"/>
        </w:rPr>
        <w:t>R</w:t>
      </w:r>
      <w:r>
        <w:rPr>
          <w:rFonts w:cs="Times New Roman"/>
          <w:szCs w:val="24"/>
        </w:rPr>
        <w:t xml:space="preserve">A </w:t>
      </w:r>
      <w:r w:rsidRPr="003664FB">
        <w:rPr>
          <w:rFonts w:cs="Times New Roman"/>
          <w:szCs w:val="24"/>
        </w:rPr>
        <w:t>service level is much low</w:t>
      </w:r>
      <w:r>
        <w:rPr>
          <w:rFonts w:cs="Times New Roman"/>
          <w:szCs w:val="24"/>
        </w:rPr>
        <w:t>er than standard. Even in moderate H</w:t>
      </w:r>
      <w:r w:rsidRPr="003664FB">
        <w:rPr>
          <w:rFonts w:cs="Times New Roman"/>
          <w:szCs w:val="24"/>
        </w:rPr>
        <w:t>R</w:t>
      </w:r>
      <w:r>
        <w:rPr>
          <w:rFonts w:cs="Times New Roman"/>
          <w:szCs w:val="24"/>
        </w:rPr>
        <w:t>A,</w:t>
      </w:r>
      <w:r w:rsidRPr="003664FB">
        <w:rPr>
          <w:rFonts w:cs="Times New Roman"/>
          <w:szCs w:val="24"/>
        </w:rPr>
        <w:t xml:space="preserve"> service level is lower than standard. </w:t>
      </w:r>
      <w:r>
        <w:rPr>
          <w:color w:val="000000"/>
          <w:szCs w:val="24"/>
        </w:rPr>
        <w:t>In HA</w:t>
      </w:r>
      <w:r w:rsidRPr="00AF1CE9">
        <w:rPr>
          <w:color w:val="000000"/>
          <w:szCs w:val="24"/>
        </w:rPr>
        <w:t>R areas, only 35.8 percent families have</w:t>
      </w:r>
      <w:r>
        <w:rPr>
          <w:color w:val="000000"/>
          <w:szCs w:val="24"/>
        </w:rPr>
        <w:t xml:space="preserve"> improved sanitation facilities</w:t>
      </w:r>
      <w:r w:rsidRPr="00AF1CE9">
        <w:rPr>
          <w:color w:val="000000"/>
          <w:szCs w:val="24"/>
        </w:rPr>
        <w:t>. Sanitation crisis in these areas result mainly from extreme poverty, poor infrastructure- road communication network in particular and vulnerability to various types of natural disasters (flood, cyclone, water</w:t>
      </w:r>
      <w:r>
        <w:rPr>
          <w:color w:val="000000"/>
          <w:szCs w:val="24"/>
        </w:rPr>
        <w:t>-</w:t>
      </w:r>
      <w:r w:rsidRPr="00AF1CE9">
        <w:rPr>
          <w:color w:val="000000"/>
          <w:szCs w:val="24"/>
        </w:rPr>
        <w:t>logging etc.).</w:t>
      </w:r>
    </w:p>
    <w:p w:rsidR="0048464B" w:rsidRPr="00EF7637" w:rsidRDefault="0048464B" w:rsidP="0048464B">
      <w:pPr>
        <w:spacing w:line="276" w:lineRule="auto"/>
        <w:jc w:val="both"/>
        <w:rPr>
          <w:b/>
          <w:i/>
          <w:color w:val="000000"/>
          <w:szCs w:val="24"/>
        </w:rPr>
      </w:pPr>
      <w:r>
        <w:rPr>
          <w:b/>
          <w:i/>
          <w:color w:val="000000"/>
          <w:szCs w:val="24"/>
        </w:rPr>
        <w:t>Climate c</w:t>
      </w:r>
      <w:r w:rsidRPr="00EF7637">
        <w:rPr>
          <w:b/>
          <w:i/>
          <w:color w:val="000000"/>
          <w:szCs w:val="24"/>
        </w:rPr>
        <w:t>hange</w:t>
      </w:r>
    </w:p>
    <w:p w:rsidR="0048464B" w:rsidRDefault="0048464B" w:rsidP="0048464B">
      <w:pPr>
        <w:spacing w:after="0" w:line="276" w:lineRule="auto"/>
        <w:jc w:val="both"/>
        <w:rPr>
          <w:color w:val="000000"/>
          <w:szCs w:val="24"/>
        </w:rPr>
      </w:pPr>
      <w:r w:rsidRPr="00AF1CE9">
        <w:rPr>
          <w:color w:val="000000"/>
          <w:szCs w:val="24"/>
        </w:rPr>
        <w:t>Floods pose major risks for sanitation facilities in urban areas. The main threat arises from the possible inundation of domestic and public toilets, especially in low lying areas. This would create many problems with damage to infrastructure and additional public health problems that may arise. Also, groundwater contamination may result from increased flood, where untreated waste is dumped. Thus, severe flooding may cause not only break in services, but also may distribute untreated waste including human excreta and its attendant health risks across entire neighborhoods and communities.</w:t>
      </w:r>
    </w:p>
    <w:p w:rsidR="0048464B" w:rsidRDefault="0048464B" w:rsidP="0048464B">
      <w:pPr>
        <w:spacing w:after="0" w:line="276" w:lineRule="auto"/>
        <w:jc w:val="both"/>
        <w:rPr>
          <w:b/>
          <w:color w:val="000000"/>
          <w:szCs w:val="24"/>
        </w:rPr>
      </w:pPr>
    </w:p>
    <w:p w:rsidR="0048464B" w:rsidRDefault="0048464B" w:rsidP="0048464B">
      <w:pPr>
        <w:spacing w:after="0" w:line="276" w:lineRule="auto"/>
        <w:jc w:val="both"/>
        <w:rPr>
          <w:color w:val="000000"/>
          <w:szCs w:val="24"/>
        </w:rPr>
      </w:pPr>
      <w:r w:rsidRPr="00EF7637">
        <w:rPr>
          <w:b/>
          <w:i/>
          <w:color w:val="000000"/>
          <w:szCs w:val="24"/>
        </w:rPr>
        <w:t>Technology issues</w:t>
      </w:r>
    </w:p>
    <w:p w:rsidR="0048464B" w:rsidRDefault="0048464B" w:rsidP="0048464B">
      <w:pPr>
        <w:spacing w:after="0" w:line="276" w:lineRule="auto"/>
        <w:jc w:val="both"/>
        <w:rPr>
          <w:color w:val="000000"/>
          <w:szCs w:val="24"/>
        </w:rPr>
      </w:pPr>
    </w:p>
    <w:p w:rsidR="0048464B" w:rsidRDefault="0048464B" w:rsidP="0048464B">
      <w:pPr>
        <w:spacing w:line="276" w:lineRule="auto"/>
        <w:jc w:val="both"/>
        <w:rPr>
          <w:color w:val="000000"/>
          <w:szCs w:val="24"/>
        </w:rPr>
      </w:pPr>
      <w:r w:rsidRPr="00AF1CE9">
        <w:rPr>
          <w:color w:val="000000"/>
          <w:szCs w:val="24"/>
        </w:rPr>
        <w:t xml:space="preserve">Urban sanitation is mostly managed by households and is provided by various forms of improved latrine (as estimated 58%). The predominant household managed (onsite) sanitation options are different forms of pit or pour flush latrines with direct or offset pit and septic tank system with or without soak pit. Utility managed (offsite) sanitation is dominated by sewerage. Except for a small portion (20%) of Dhaka city, the entire country is covered by onsite sanitation facilities. Onsite sanitation technology suffers from problem related to emptying and disposal of pit contents. Septic tanks are also not properly designed and maintained. Septic tanks and pits are not desludged regularly to keep them functional. These are occasionally emptied manually and dumped into the nearby drainage system, low lands, surface waters and into open environment. With the increase in urban population and the coverage of population by onsite sanitation system, volume of faecal sludge will increase significantly in the coming years. This may lead to serious environmental degradation unless faecal sludge collection and disposal systems are developed. </w:t>
      </w:r>
    </w:p>
    <w:p w:rsidR="0048464B" w:rsidRDefault="0048464B" w:rsidP="0048464B">
      <w:pPr>
        <w:spacing w:line="276" w:lineRule="auto"/>
        <w:jc w:val="both"/>
        <w:rPr>
          <w:color w:val="000000"/>
          <w:szCs w:val="24"/>
        </w:rPr>
      </w:pPr>
    </w:p>
    <w:p w:rsidR="0048464B" w:rsidRDefault="0048464B" w:rsidP="0048464B">
      <w:pPr>
        <w:spacing w:line="276" w:lineRule="auto"/>
        <w:jc w:val="both"/>
        <w:rPr>
          <w:color w:val="000000"/>
          <w:szCs w:val="24"/>
        </w:rPr>
      </w:pPr>
    </w:p>
    <w:p w:rsidR="0048464B" w:rsidRDefault="0048464B" w:rsidP="0048464B">
      <w:pPr>
        <w:spacing w:line="276" w:lineRule="auto"/>
        <w:jc w:val="both"/>
        <w:rPr>
          <w:color w:val="000000"/>
          <w:szCs w:val="24"/>
        </w:rPr>
      </w:pPr>
    </w:p>
    <w:p w:rsidR="0048464B" w:rsidRPr="00BD195F" w:rsidRDefault="0048464B" w:rsidP="0048464B">
      <w:pPr>
        <w:autoSpaceDE w:val="0"/>
        <w:autoSpaceDN w:val="0"/>
        <w:adjustRightInd w:val="0"/>
        <w:spacing w:line="276" w:lineRule="auto"/>
        <w:jc w:val="both"/>
        <w:rPr>
          <w:rFonts w:cs="Times New Roman"/>
          <w:szCs w:val="24"/>
        </w:rPr>
      </w:pPr>
    </w:p>
    <w:p w:rsidR="0048464B" w:rsidRPr="00BD195F" w:rsidRDefault="0048464B" w:rsidP="003D5A31">
      <w:pPr>
        <w:pStyle w:val="BodyText"/>
        <w:numPr>
          <w:ilvl w:val="2"/>
          <w:numId w:val="263"/>
        </w:numPr>
        <w:spacing w:after="240" w:line="276" w:lineRule="auto"/>
        <w:jc w:val="both"/>
        <w:rPr>
          <w:rFonts w:cs="Times New Roman"/>
          <w:b/>
          <w:szCs w:val="24"/>
        </w:rPr>
      </w:pPr>
      <w:r w:rsidRPr="00BD195F">
        <w:rPr>
          <w:rFonts w:cs="Times New Roman"/>
          <w:b/>
          <w:szCs w:val="24"/>
        </w:rPr>
        <w:t>The Need for Integrated and Sustainable Waste Water Management</w:t>
      </w:r>
    </w:p>
    <w:p w:rsidR="0048464B" w:rsidRDefault="0048464B" w:rsidP="0048464B">
      <w:pPr>
        <w:autoSpaceDE w:val="0"/>
        <w:autoSpaceDN w:val="0"/>
        <w:adjustRightInd w:val="0"/>
        <w:spacing w:after="0" w:line="276" w:lineRule="auto"/>
        <w:jc w:val="both"/>
        <w:rPr>
          <w:sz w:val="23"/>
          <w:szCs w:val="23"/>
        </w:rPr>
      </w:pPr>
      <w:r w:rsidRPr="00BD195F">
        <w:rPr>
          <w:rFonts w:cs="Times New Roman"/>
          <w:szCs w:val="24"/>
        </w:rPr>
        <w:t>Wastewater is made up of different streams including urine, faeces, flushwater, greywater and stormwater. These streams can be recycled for productive use. This, however, requires an integrated approach to waste water management that recognizes the links between wastewater, the urban water cycle and city development as a whole. The conventional wastewater management is characterized by centralized technology and disposal oriented approach and focuses mainly on protecting human health and the environment. An integrated approach, on the other hand, reveals the benefits of recycling the different wastewater streams thereby encouraging a cyclical wastewater management process rather than a linear one based on disposal. To achieve this, alternative options are required. Quite a large variety of options are available to assist with the implementation of more sustainable wastewater management. These are alternatives to conventional wastewater management solutions, although each of them has the potential to be integrated into existing infrastructure. Followings are some of the options from the collection, treatment and disposal/reuse sectors of wastewater management</w:t>
      </w:r>
      <w:r>
        <w:rPr>
          <w:rFonts w:cs="Times New Roman"/>
          <w:szCs w:val="24"/>
        </w:rPr>
        <w:t xml:space="preserve"> </w:t>
      </w:r>
      <w:r>
        <w:rPr>
          <w:sz w:val="23"/>
          <w:szCs w:val="23"/>
        </w:rPr>
        <w:t>(ICLEI European Secretariat, 2011b):</w:t>
      </w:r>
    </w:p>
    <w:p w:rsidR="0048464B" w:rsidRPr="001001A9" w:rsidRDefault="0048464B" w:rsidP="0048464B">
      <w:pPr>
        <w:autoSpaceDE w:val="0"/>
        <w:autoSpaceDN w:val="0"/>
        <w:adjustRightInd w:val="0"/>
        <w:spacing w:after="0" w:line="276" w:lineRule="auto"/>
        <w:jc w:val="both"/>
        <w:rPr>
          <w:rFonts w:cs="Times New Roman"/>
          <w:szCs w:val="24"/>
        </w:rPr>
      </w:pPr>
    </w:p>
    <w:p w:rsidR="0048464B" w:rsidRPr="00BD195F" w:rsidRDefault="0048464B" w:rsidP="0048464B">
      <w:pPr>
        <w:autoSpaceDE w:val="0"/>
        <w:autoSpaceDN w:val="0"/>
        <w:adjustRightInd w:val="0"/>
        <w:spacing w:after="0" w:line="276" w:lineRule="auto"/>
        <w:jc w:val="both"/>
        <w:rPr>
          <w:rFonts w:cs="Times New Roman"/>
          <w:szCs w:val="24"/>
        </w:rPr>
      </w:pPr>
      <w:r w:rsidRPr="00BD195F">
        <w:rPr>
          <w:rFonts w:cs="Times New Roman"/>
          <w:b/>
          <w:szCs w:val="24"/>
        </w:rPr>
        <w:t>Collection:</w:t>
      </w:r>
      <w:r w:rsidRPr="00BD195F">
        <w:rPr>
          <w:rFonts w:cs="Times New Roman"/>
          <w:szCs w:val="24"/>
        </w:rPr>
        <w:t xml:space="preserve">   Urine Diversion Toilets</w:t>
      </w:r>
    </w:p>
    <w:p w:rsidR="0048464B" w:rsidRPr="00BD195F" w:rsidRDefault="0048464B" w:rsidP="0048464B">
      <w:pPr>
        <w:autoSpaceDE w:val="0"/>
        <w:autoSpaceDN w:val="0"/>
        <w:adjustRightInd w:val="0"/>
        <w:spacing w:after="0" w:line="276" w:lineRule="auto"/>
        <w:jc w:val="both"/>
        <w:rPr>
          <w:rFonts w:cs="Times New Roman"/>
          <w:szCs w:val="24"/>
        </w:rPr>
      </w:pPr>
      <w:r w:rsidRPr="00BD195F">
        <w:rPr>
          <w:rFonts w:cs="Times New Roman"/>
          <w:b/>
          <w:szCs w:val="24"/>
        </w:rPr>
        <w:t>Treatment:</w:t>
      </w:r>
      <w:r w:rsidRPr="00BD195F">
        <w:rPr>
          <w:rFonts w:cs="Times New Roman"/>
          <w:szCs w:val="24"/>
        </w:rPr>
        <w:t xml:space="preserve">  Soil Aquifer Treatment</w:t>
      </w:r>
    </w:p>
    <w:p w:rsidR="0048464B" w:rsidRPr="00BD195F" w:rsidRDefault="0048464B" w:rsidP="0048464B">
      <w:pPr>
        <w:autoSpaceDE w:val="0"/>
        <w:autoSpaceDN w:val="0"/>
        <w:adjustRightInd w:val="0"/>
        <w:spacing w:after="0" w:line="276" w:lineRule="auto"/>
        <w:jc w:val="both"/>
        <w:rPr>
          <w:rFonts w:cs="Times New Roman"/>
          <w:szCs w:val="24"/>
        </w:rPr>
      </w:pPr>
      <w:r w:rsidRPr="00BD195F">
        <w:rPr>
          <w:rFonts w:cs="Times New Roman"/>
          <w:b/>
          <w:szCs w:val="24"/>
        </w:rPr>
        <w:t>Treatment:</w:t>
      </w:r>
      <w:r w:rsidRPr="00BD195F">
        <w:rPr>
          <w:rFonts w:cs="Times New Roman"/>
          <w:szCs w:val="24"/>
        </w:rPr>
        <w:t xml:space="preserve">  Constructed wetlands</w:t>
      </w:r>
    </w:p>
    <w:p w:rsidR="0048464B" w:rsidRPr="00BD195F" w:rsidRDefault="0048464B" w:rsidP="0048464B">
      <w:pPr>
        <w:autoSpaceDE w:val="0"/>
        <w:autoSpaceDN w:val="0"/>
        <w:adjustRightInd w:val="0"/>
        <w:spacing w:after="0" w:line="276" w:lineRule="auto"/>
        <w:jc w:val="both"/>
        <w:rPr>
          <w:rFonts w:cs="Times New Roman"/>
          <w:szCs w:val="24"/>
        </w:rPr>
      </w:pPr>
      <w:r w:rsidRPr="00BD195F">
        <w:rPr>
          <w:rFonts w:cs="Times New Roman"/>
          <w:b/>
          <w:szCs w:val="24"/>
        </w:rPr>
        <w:t>Treatment:</w:t>
      </w:r>
      <w:r w:rsidRPr="00BD195F">
        <w:rPr>
          <w:rFonts w:cs="Times New Roman"/>
          <w:szCs w:val="24"/>
        </w:rPr>
        <w:t xml:space="preserve">  Waste Stabilisation Ponds</w:t>
      </w:r>
    </w:p>
    <w:p w:rsidR="0048464B" w:rsidRPr="00BD195F" w:rsidRDefault="0048464B" w:rsidP="0048464B">
      <w:pPr>
        <w:autoSpaceDE w:val="0"/>
        <w:autoSpaceDN w:val="0"/>
        <w:adjustRightInd w:val="0"/>
        <w:spacing w:after="0" w:line="276" w:lineRule="auto"/>
        <w:jc w:val="both"/>
        <w:rPr>
          <w:rFonts w:cs="Times New Roman"/>
          <w:szCs w:val="24"/>
        </w:rPr>
      </w:pPr>
      <w:r w:rsidRPr="00BD195F">
        <w:rPr>
          <w:rFonts w:cs="Times New Roman"/>
          <w:b/>
          <w:szCs w:val="24"/>
        </w:rPr>
        <w:t>Treatment:</w:t>
      </w:r>
      <w:r w:rsidRPr="00BD195F">
        <w:rPr>
          <w:rFonts w:cs="Times New Roman"/>
          <w:szCs w:val="24"/>
        </w:rPr>
        <w:t xml:space="preserve">  Biogas production</w:t>
      </w:r>
    </w:p>
    <w:p w:rsidR="0048464B" w:rsidRPr="00BD195F" w:rsidRDefault="0048464B" w:rsidP="0048464B">
      <w:pPr>
        <w:autoSpaceDE w:val="0"/>
        <w:autoSpaceDN w:val="0"/>
        <w:adjustRightInd w:val="0"/>
        <w:spacing w:after="0" w:line="276" w:lineRule="auto"/>
        <w:jc w:val="both"/>
        <w:rPr>
          <w:rFonts w:cs="Times New Roman"/>
          <w:szCs w:val="24"/>
        </w:rPr>
      </w:pPr>
      <w:r w:rsidRPr="00BD195F">
        <w:rPr>
          <w:rFonts w:cs="Times New Roman"/>
          <w:b/>
          <w:szCs w:val="24"/>
        </w:rPr>
        <w:t>Reuse:</w:t>
      </w:r>
      <w:r w:rsidRPr="00BD195F">
        <w:rPr>
          <w:rFonts w:cs="Times New Roman"/>
          <w:szCs w:val="24"/>
        </w:rPr>
        <w:t xml:space="preserve">          Sludge reuse</w:t>
      </w:r>
    </w:p>
    <w:p w:rsidR="0048464B" w:rsidRPr="00BD195F" w:rsidRDefault="0048464B" w:rsidP="0048464B">
      <w:pPr>
        <w:autoSpaceDE w:val="0"/>
        <w:autoSpaceDN w:val="0"/>
        <w:adjustRightInd w:val="0"/>
        <w:spacing w:after="0" w:line="276" w:lineRule="auto"/>
        <w:jc w:val="both"/>
        <w:rPr>
          <w:rFonts w:cs="Times New Roman"/>
          <w:szCs w:val="24"/>
        </w:rPr>
      </w:pPr>
      <w:r w:rsidRPr="00BD195F">
        <w:rPr>
          <w:rFonts w:cs="Times New Roman"/>
          <w:b/>
          <w:szCs w:val="24"/>
        </w:rPr>
        <w:t xml:space="preserve">Reuse: </w:t>
      </w:r>
      <w:r w:rsidRPr="00BD195F">
        <w:rPr>
          <w:rFonts w:cs="Times New Roman"/>
          <w:szCs w:val="24"/>
        </w:rPr>
        <w:t xml:space="preserve">         Greywater reuse</w:t>
      </w:r>
    </w:p>
    <w:p w:rsidR="0048464B" w:rsidRPr="00BD195F"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r w:rsidRPr="00BD195F">
        <w:rPr>
          <w:rFonts w:cs="Times New Roman"/>
          <w:szCs w:val="24"/>
        </w:rPr>
        <w:t xml:space="preserve">These are typically flexible, decentralized solutions which make use of natural systems such as ponds, wetlands and soils that provide multi-purpose benefits and are less likely to result in unexpected impacts. It is, thus, clear that wastewater needs to be more fully recognized within the overall water cycle, as one of the greatest untapped opportunities to enhance sustainable development. There is now a growing realization that the opportunities that effective wastewater treatment and reuse could bring to sustainable development could be achieved with a concerted </w:t>
      </w:r>
      <w:r>
        <w:rPr>
          <w:rFonts w:cs="Times New Roman"/>
          <w:szCs w:val="24"/>
        </w:rPr>
        <w:t>effort and more political will.</w:t>
      </w: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Default="0048464B" w:rsidP="0048464B">
      <w:pPr>
        <w:autoSpaceDE w:val="0"/>
        <w:autoSpaceDN w:val="0"/>
        <w:adjustRightInd w:val="0"/>
        <w:spacing w:after="0" w:line="276" w:lineRule="auto"/>
        <w:jc w:val="both"/>
        <w:rPr>
          <w:rFonts w:cs="Times New Roman"/>
          <w:szCs w:val="24"/>
        </w:rPr>
      </w:pPr>
    </w:p>
    <w:p w:rsidR="0048464B" w:rsidRPr="00A46D7F" w:rsidRDefault="0048464B" w:rsidP="003D5A31">
      <w:pPr>
        <w:pStyle w:val="BodyText"/>
        <w:numPr>
          <w:ilvl w:val="2"/>
          <w:numId w:val="263"/>
        </w:numPr>
        <w:spacing w:after="240" w:line="276" w:lineRule="auto"/>
        <w:jc w:val="both"/>
        <w:rPr>
          <w:rFonts w:cs="Times New Roman"/>
          <w:b/>
          <w:szCs w:val="24"/>
        </w:rPr>
      </w:pPr>
      <w:r w:rsidRPr="00A46D7F">
        <w:rPr>
          <w:rFonts w:cs="Times New Roman"/>
          <w:b/>
          <w:szCs w:val="24"/>
        </w:rPr>
        <w:t xml:space="preserve">Urban Sanitation and Waste Water Management Strategies </w:t>
      </w:r>
    </w:p>
    <w:p w:rsidR="0048464B" w:rsidRPr="00A46D7F" w:rsidRDefault="0048464B" w:rsidP="0048464B">
      <w:pPr>
        <w:pStyle w:val="Heading4"/>
        <w:jc w:val="both"/>
        <w:rPr>
          <w:b w:val="0"/>
          <w:bCs w:val="0"/>
          <w:i/>
        </w:rPr>
      </w:pPr>
      <w:r w:rsidRPr="00A46D7F">
        <w:t>Strategy WSS 7: Strengthening governance framework</w:t>
      </w:r>
    </w:p>
    <w:p w:rsidR="0048464B" w:rsidRPr="00A46D7F" w:rsidRDefault="0048464B" w:rsidP="0048464B">
      <w:pPr>
        <w:jc w:val="both"/>
        <w:rPr>
          <w:i/>
          <w:iCs/>
        </w:rPr>
      </w:pPr>
      <w:r w:rsidRPr="00A46D7F">
        <w:rPr>
          <w:rFonts w:cs="Segoe UI"/>
          <w:szCs w:val="19"/>
        </w:rPr>
        <w:lastRenderedPageBreak/>
        <w:t>Institutional responsibilities in the sanitation sector need to become more firm. The mandate, the institutional responsibilities, the O&amp;M roles and capabilities, and the cycle of costs, and revenues, have not yet sufficiently materialized in major cities, in towns and in villages and rural areas. The implementation of infrastructure needs to be combined with interventions to enable and develop executive institutions and a legislative framework.</w:t>
      </w:r>
    </w:p>
    <w:p w:rsidR="0048464B" w:rsidRPr="00A46D7F" w:rsidRDefault="0048464B" w:rsidP="0048464B">
      <w:pPr>
        <w:jc w:val="both"/>
        <w:rPr>
          <w:i/>
          <w:iCs/>
        </w:rPr>
      </w:pPr>
      <w:r w:rsidRPr="00A46D7F">
        <w:rPr>
          <w:i/>
          <w:iCs/>
        </w:rPr>
        <w:t xml:space="preserve">Sub-Strategy WSS 7.1: Polluter pay principles </w:t>
      </w:r>
    </w:p>
    <w:p w:rsidR="0048464B" w:rsidRPr="00A46D7F" w:rsidRDefault="0048464B" w:rsidP="0048464B">
      <w:pPr>
        <w:jc w:val="both"/>
      </w:pPr>
      <w:r w:rsidRPr="00A46D7F">
        <w:t>Polluter pay principles should be adopted as philosophy for sector finance, and incorporated in legislative framework (sanctions). This should also be a basic enhancement mechanism against illegal dumping of faecal sludge;</w:t>
      </w:r>
    </w:p>
    <w:p w:rsidR="0048464B" w:rsidRPr="00A46D7F" w:rsidRDefault="0048464B" w:rsidP="0048464B">
      <w:pPr>
        <w:jc w:val="both"/>
        <w:rPr>
          <w:i/>
          <w:iCs/>
        </w:rPr>
      </w:pPr>
      <w:r w:rsidRPr="00A46D7F">
        <w:rPr>
          <w:i/>
          <w:iCs/>
        </w:rPr>
        <w:t>Sub-Strategy WSS 7.2: NGO engagement</w:t>
      </w:r>
    </w:p>
    <w:p w:rsidR="0048464B" w:rsidRPr="00A46D7F" w:rsidRDefault="0048464B" w:rsidP="0048464B">
      <w:pPr>
        <w:jc w:val="both"/>
        <w:rPr>
          <w:rFonts w:cs="Segoe UI"/>
          <w:szCs w:val="19"/>
        </w:rPr>
      </w:pPr>
      <w:r w:rsidRPr="00A46D7F">
        <w:rPr>
          <w:rFonts w:cs="Segoe UI"/>
          <w:szCs w:val="19"/>
        </w:rPr>
        <w:t xml:space="preserve">It must be </w:t>
      </w:r>
      <w:r w:rsidRPr="00A46D7F">
        <w:t>noted</w:t>
      </w:r>
      <w:r w:rsidRPr="00A46D7F">
        <w:rPr>
          <w:rFonts w:cs="Segoe UI"/>
          <w:szCs w:val="19"/>
        </w:rPr>
        <w:t xml:space="preserve"> that NGO’s are participating at the development front of the sanitation sector. Governance principles where NGO engagement is accommodated or facilitated would be appreciated at least in the short to mid-term perspective;</w:t>
      </w:r>
    </w:p>
    <w:p w:rsidR="0048464B" w:rsidRPr="00A46D7F" w:rsidRDefault="0048464B" w:rsidP="0048464B">
      <w:pPr>
        <w:jc w:val="both"/>
        <w:rPr>
          <w:rFonts w:cs="Segoe UI"/>
          <w:i/>
          <w:iCs/>
          <w:szCs w:val="19"/>
        </w:rPr>
      </w:pPr>
      <w:r w:rsidRPr="00A46D7F">
        <w:rPr>
          <w:i/>
          <w:iCs/>
        </w:rPr>
        <w:t xml:space="preserve">Sub-Strategy WSS 7.3: </w:t>
      </w:r>
      <w:r w:rsidRPr="00A46D7F">
        <w:rPr>
          <w:rFonts w:cs="Segoe UI"/>
          <w:i/>
          <w:iCs/>
          <w:szCs w:val="19"/>
        </w:rPr>
        <w:t>PPP encouragement</w:t>
      </w:r>
    </w:p>
    <w:p w:rsidR="0048464B" w:rsidRPr="00A46D7F" w:rsidRDefault="0048464B" w:rsidP="0048464B">
      <w:pPr>
        <w:jc w:val="both"/>
      </w:pPr>
      <w:r w:rsidRPr="00A46D7F">
        <w:t>Private initiative is likely to be part of the further development of the sanitation sector: emptying of septic tanks, treatment of faecal sludge, resource recovery and marketing. It must be stressed that PPP initiatives are no ‘golden bullet’: FSM comes at a public cost and revenue will need to be ensured (not being the exclusive “problem” of the private stakeholder);</w:t>
      </w:r>
    </w:p>
    <w:p w:rsidR="0048464B" w:rsidRPr="00A46D7F" w:rsidRDefault="0048464B" w:rsidP="0048464B">
      <w:pPr>
        <w:pStyle w:val="Heading4"/>
        <w:jc w:val="both"/>
        <w:rPr>
          <w:b w:val="0"/>
          <w:bCs w:val="0"/>
          <w:i/>
        </w:rPr>
      </w:pPr>
      <w:r w:rsidRPr="00A46D7F">
        <w:t>Strategy WSS 8: Institutionalize cost recovery principles</w:t>
      </w:r>
    </w:p>
    <w:p w:rsidR="0048464B" w:rsidRPr="00A46D7F" w:rsidRDefault="0048464B" w:rsidP="0048464B">
      <w:pPr>
        <w:jc w:val="both"/>
      </w:pPr>
      <w:r w:rsidRPr="00A46D7F">
        <w:t>In the sanitation sector the cost recovery has not yet been suitably established. It is acceptable for house owners to pay for emptying their septic tanks. And in major cities (i.e. Dhaka) there is an arrangement where house owners pay for sewer connection, or for the vicinity of available sewerage. However, full service re-payment either by direct billing or through municipal tax levies requires further development.</w:t>
      </w:r>
    </w:p>
    <w:p w:rsidR="0048464B" w:rsidRPr="00A46D7F" w:rsidRDefault="0048464B" w:rsidP="0048464B">
      <w:pPr>
        <w:jc w:val="both"/>
        <w:rPr>
          <w:i/>
          <w:iCs/>
        </w:rPr>
      </w:pPr>
      <w:r w:rsidRPr="00A46D7F">
        <w:rPr>
          <w:i/>
          <w:iCs/>
        </w:rPr>
        <w:t>Sub-Strategy WSS 8.1: Municipal tax development</w:t>
      </w:r>
    </w:p>
    <w:p w:rsidR="0048464B" w:rsidRPr="00A46D7F" w:rsidRDefault="0048464B" w:rsidP="0048464B">
      <w:pPr>
        <w:jc w:val="both"/>
      </w:pPr>
      <w:r w:rsidRPr="00A46D7F">
        <w:t>Both in terms of executive mandate in the urban environment (storm water drainage, sewerage, solid waste) and regarding revenue collection, the institutional framework in Bangladesh needs to be strengthened. Even if environmental health services (continue to) be subsidized, it is relevant for (partial) household contributions to be applied. Evidence has shown that the introduction of these principles, enable and facilitate transition towards full cost recovery;</w:t>
      </w:r>
    </w:p>
    <w:p w:rsidR="0048464B" w:rsidRPr="00A46D7F" w:rsidRDefault="0048464B" w:rsidP="0048464B">
      <w:pPr>
        <w:jc w:val="both"/>
        <w:rPr>
          <w:i/>
          <w:iCs/>
        </w:rPr>
      </w:pPr>
      <w:r w:rsidRPr="00A46D7F">
        <w:rPr>
          <w:i/>
          <w:iCs/>
        </w:rPr>
        <w:t>Sub-Strategy WSS 8.2: Flywheel fund considerations</w:t>
      </w:r>
    </w:p>
    <w:p w:rsidR="0048464B" w:rsidRPr="00A46D7F" w:rsidRDefault="0048464B" w:rsidP="0048464B">
      <w:pPr>
        <w:jc w:val="both"/>
      </w:pPr>
      <w:r w:rsidRPr="00A46D7F">
        <w:t xml:space="preserve">Septic tank emptying constitutes an accepted cost. Safe environmental disposal of sludge represents a cost that can be ‘avoided’ by illegal dumping. Contrary to true cost economics, a </w:t>
      </w:r>
      <w:r w:rsidRPr="00A46D7F">
        <w:lastRenderedPageBreak/>
        <w:t>premium could (temporarily) be awarded for sludge disposal at FSM locations. This temporary incentive may stimulate a flywheel towards sustainable practice;</w:t>
      </w:r>
    </w:p>
    <w:p w:rsidR="0048464B" w:rsidRPr="00A46D7F" w:rsidRDefault="0048464B" w:rsidP="0048464B">
      <w:pPr>
        <w:jc w:val="both"/>
        <w:rPr>
          <w:i/>
          <w:iCs/>
        </w:rPr>
      </w:pPr>
      <w:r w:rsidRPr="00A46D7F">
        <w:rPr>
          <w:i/>
          <w:iCs/>
        </w:rPr>
        <w:t xml:space="preserve">Sub-Strategy WSS 8.3: </w:t>
      </w:r>
      <w:r>
        <w:rPr>
          <w:i/>
          <w:iCs/>
        </w:rPr>
        <w:t xml:space="preserve">Efforts for </w:t>
      </w:r>
      <w:r w:rsidRPr="00A46D7F">
        <w:rPr>
          <w:i/>
          <w:iCs/>
        </w:rPr>
        <w:t xml:space="preserve"> </w:t>
      </w:r>
      <w:r>
        <w:rPr>
          <w:i/>
          <w:iCs/>
        </w:rPr>
        <w:t>energy</w:t>
      </w:r>
      <w:r w:rsidRPr="00A46D7F">
        <w:rPr>
          <w:i/>
          <w:iCs/>
        </w:rPr>
        <w:t xml:space="preserve"> recovery</w:t>
      </w:r>
    </w:p>
    <w:p w:rsidR="0048464B" w:rsidRPr="00A46D7F" w:rsidRDefault="0048464B" w:rsidP="0048464B">
      <w:pPr>
        <w:jc w:val="both"/>
      </w:pPr>
      <w:r w:rsidRPr="00A46D7F">
        <w:t>Energy and other resources may be recovered from sludge. While recovery will not earns the full cost of FSM, it may reduce its cost and adds to sustainable practice. GoB will need to encourage its application, and facilitate an enabling institutional context (permits, monitoring, licences, quality protocols for recovered materials);</w:t>
      </w:r>
    </w:p>
    <w:p w:rsidR="0048464B" w:rsidRPr="00A46D7F" w:rsidRDefault="0048464B" w:rsidP="0048464B">
      <w:pPr>
        <w:pStyle w:val="Heading4"/>
        <w:jc w:val="both"/>
        <w:rPr>
          <w:b w:val="0"/>
          <w:bCs w:val="0"/>
          <w:i/>
        </w:rPr>
      </w:pPr>
      <w:r w:rsidRPr="00A46D7F">
        <w:t>Strategy WSS 9: Increase application of FSM</w:t>
      </w:r>
    </w:p>
    <w:p w:rsidR="0048464B" w:rsidRPr="00A46D7F" w:rsidRDefault="0048464B" w:rsidP="0048464B">
      <w:pPr>
        <w:jc w:val="both"/>
      </w:pPr>
      <w:r w:rsidRPr="00A46D7F">
        <w:t>The ongoing sectoral initiatives are applauded and need to proceed, with some sub strategies to be considered:</w:t>
      </w:r>
    </w:p>
    <w:p w:rsidR="0048464B" w:rsidRPr="00A46D7F" w:rsidRDefault="0048464B" w:rsidP="0048464B">
      <w:pPr>
        <w:jc w:val="both"/>
        <w:rPr>
          <w:i/>
          <w:iCs/>
        </w:rPr>
      </w:pPr>
      <w:r w:rsidRPr="00A46D7F">
        <w:rPr>
          <w:i/>
          <w:iCs/>
        </w:rPr>
        <w:t xml:space="preserve">Sub-Strategy WSS 9.1: </w:t>
      </w:r>
      <w:r>
        <w:rPr>
          <w:i/>
          <w:iCs/>
        </w:rPr>
        <w:t>Strengthening sectoral coordination</w:t>
      </w:r>
    </w:p>
    <w:p w:rsidR="0048464B" w:rsidRPr="00A46D7F" w:rsidRDefault="0048464B" w:rsidP="0048464B">
      <w:pPr>
        <w:jc w:val="both"/>
      </w:pPr>
      <w:r w:rsidRPr="00A46D7F">
        <w:t>Sector co-ordination may need to be further developed (technical exchange, institutional mandate, registration and permitting on the application of recovered resources (like compost), guidance of further technology development);</w:t>
      </w:r>
    </w:p>
    <w:p w:rsidR="0048464B" w:rsidRPr="00A46D7F" w:rsidRDefault="0048464B" w:rsidP="0048464B">
      <w:pPr>
        <w:jc w:val="both"/>
        <w:rPr>
          <w:rFonts w:cs="Segoe UI"/>
          <w:i/>
          <w:szCs w:val="19"/>
        </w:rPr>
      </w:pPr>
      <w:r w:rsidRPr="00A46D7F">
        <w:rPr>
          <w:i/>
          <w:iCs/>
        </w:rPr>
        <w:t xml:space="preserve">Sub-Strategy WSS 9.2: </w:t>
      </w:r>
      <w:r>
        <w:rPr>
          <w:i/>
          <w:iCs/>
        </w:rPr>
        <w:t>Targeting f</w:t>
      </w:r>
      <w:r w:rsidRPr="00A46D7F">
        <w:rPr>
          <w:rFonts w:cs="Segoe UI"/>
          <w:i/>
          <w:szCs w:val="19"/>
        </w:rPr>
        <w:t>inanci</w:t>
      </w:r>
      <w:r>
        <w:rPr>
          <w:rFonts w:cs="Segoe UI"/>
          <w:i/>
          <w:szCs w:val="19"/>
        </w:rPr>
        <w:t>al sustainability</w:t>
      </w:r>
    </w:p>
    <w:p w:rsidR="0048464B" w:rsidRPr="00A46D7F" w:rsidRDefault="0048464B" w:rsidP="0048464B">
      <w:pPr>
        <w:jc w:val="both"/>
      </w:pPr>
      <w:r w:rsidRPr="00A46D7F">
        <w:t>Cost recovery is presently insufficiently embedded. While resource recovery may (and should!) generate some revenue, it is presently not enough to recover the cost of FSM. While there is an accepted practice where house owners pay for emptying of their septic tanks, the costs of suitable treatment are not presently recovered. Moreover, in an aim to ‘save costs’, septic tanks may not be emptied on a suitably regular basis, resulting in over flow to the environment. Cost recovery principles may need to impose through municipal tax, where everybody is paying, and where FSM services specifically may be subsidized from this tax revenue;</w:t>
      </w:r>
    </w:p>
    <w:p w:rsidR="0048464B" w:rsidRPr="00A46D7F" w:rsidRDefault="0048464B" w:rsidP="0048464B">
      <w:pPr>
        <w:jc w:val="both"/>
        <w:rPr>
          <w:rFonts w:cs="Segoe UI"/>
          <w:szCs w:val="19"/>
        </w:rPr>
      </w:pPr>
      <w:r w:rsidRPr="00A46D7F">
        <w:rPr>
          <w:i/>
          <w:iCs/>
        </w:rPr>
        <w:t xml:space="preserve">Sub-Strategy WSS 9.3: </w:t>
      </w:r>
      <w:r>
        <w:rPr>
          <w:i/>
          <w:iCs/>
        </w:rPr>
        <w:t>Enforce  l</w:t>
      </w:r>
      <w:r w:rsidRPr="00A46D7F">
        <w:rPr>
          <w:rFonts w:cs="Segoe UI"/>
          <w:i/>
          <w:szCs w:val="19"/>
        </w:rPr>
        <w:t xml:space="preserve">egislative </w:t>
      </w:r>
      <w:r>
        <w:rPr>
          <w:rFonts w:cs="Segoe UI"/>
          <w:i/>
          <w:szCs w:val="19"/>
        </w:rPr>
        <w:t>provisions</w:t>
      </w:r>
    </w:p>
    <w:p w:rsidR="0048464B" w:rsidRPr="00A46D7F" w:rsidRDefault="0048464B" w:rsidP="0048464B">
      <w:pPr>
        <w:jc w:val="both"/>
        <w:rPr>
          <w:rFonts w:cs="Segoe UI"/>
          <w:szCs w:val="19"/>
        </w:rPr>
      </w:pPr>
      <w:r w:rsidRPr="00A46D7F">
        <w:t>Environmental</w:t>
      </w:r>
      <w:r w:rsidRPr="00A46D7F">
        <w:rPr>
          <w:rFonts w:cs="Segoe UI"/>
          <w:szCs w:val="19"/>
        </w:rPr>
        <w:t xml:space="preserve"> legislation and enforcement needs to be increased. There is both a lack of technical/ institutional capacity, as well as a lack of social context, where environmental pollution needs to be reduced. Dumping of waste in any form should become socially unacceptable and punishable by legal enforcement;</w:t>
      </w:r>
    </w:p>
    <w:p w:rsidR="0048464B" w:rsidRPr="00A46D7F" w:rsidRDefault="0048464B" w:rsidP="0048464B">
      <w:pPr>
        <w:jc w:val="both"/>
        <w:rPr>
          <w:rFonts w:cs="Segoe UI"/>
          <w:szCs w:val="19"/>
        </w:rPr>
      </w:pPr>
      <w:r w:rsidRPr="00A46D7F">
        <w:rPr>
          <w:i/>
          <w:iCs/>
        </w:rPr>
        <w:t xml:space="preserve">Sub-Strategy WSS 9.4: </w:t>
      </w:r>
      <w:r>
        <w:rPr>
          <w:rFonts w:cs="Segoe UI"/>
          <w:i/>
          <w:szCs w:val="19"/>
        </w:rPr>
        <w:t>Accelerate</w:t>
      </w:r>
      <w:r w:rsidRPr="00A46D7F">
        <w:rPr>
          <w:rFonts w:cs="Segoe UI"/>
          <w:i/>
          <w:szCs w:val="19"/>
        </w:rPr>
        <w:t xml:space="preserve"> implementation of FSM</w:t>
      </w:r>
    </w:p>
    <w:p w:rsidR="0048464B" w:rsidRPr="00A46D7F" w:rsidRDefault="0048464B" w:rsidP="0048464B">
      <w:pPr>
        <w:autoSpaceDE w:val="0"/>
        <w:autoSpaceDN w:val="0"/>
        <w:adjustRightInd w:val="0"/>
        <w:spacing w:after="0"/>
        <w:jc w:val="both"/>
        <w:rPr>
          <w:rFonts w:cs="Segoe UI"/>
          <w:szCs w:val="19"/>
        </w:rPr>
      </w:pPr>
      <w:r w:rsidRPr="00A46D7F">
        <w:rPr>
          <w:rFonts w:cs="Segoe UI"/>
          <w:szCs w:val="19"/>
        </w:rPr>
        <w:t>Presently FSM application needs to be subsidized. The social benefit in improving quality of life, protecting the environment, and safeguarding public health will outnumber the (subsidized) cost. While the n</w:t>
      </w:r>
      <w:r>
        <w:rPr>
          <w:rFonts w:cs="Segoe UI"/>
          <w:szCs w:val="19"/>
        </w:rPr>
        <w:t>eed for increased FSM in urban</w:t>
      </w:r>
      <w:r w:rsidRPr="00A46D7F">
        <w:rPr>
          <w:rFonts w:cs="Segoe UI"/>
          <w:szCs w:val="19"/>
        </w:rPr>
        <w:t xml:space="preserve"> Bangladesh has been advocated for many years, it is of importance that GoB and </w:t>
      </w:r>
      <w:r>
        <w:rPr>
          <w:rFonts w:cs="Segoe UI"/>
          <w:szCs w:val="19"/>
        </w:rPr>
        <w:t>development</w:t>
      </w:r>
      <w:r w:rsidRPr="00A46D7F">
        <w:rPr>
          <w:rFonts w:cs="Segoe UI"/>
          <w:szCs w:val="19"/>
        </w:rPr>
        <w:t xml:space="preserve"> partners accelerate its implementation, and facilitate/encourage its actual use and operations.</w:t>
      </w:r>
    </w:p>
    <w:p w:rsidR="0048464B" w:rsidRDefault="0048464B" w:rsidP="0048464B">
      <w:pPr>
        <w:pStyle w:val="Heading4"/>
        <w:jc w:val="both"/>
      </w:pPr>
    </w:p>
    <w:p w:rsidR="0048464B" w:rsidRPr="00A46D7F" w:rsidRDefault="0048464B" w:rsidP="0048464B">
      <w:pPr>
        <w:pStyle w:val="Heading4"/>
        <w:jc w:val="both"/>
        <w:rPr>
          <w:b w:val="0"/>
          <w:i/>
        </w:rPr>
      </w:pPr>
      <w:r w:rsidRPr="00A46D7F">
        <w:lastRenderedPageBreak/>
        <w:t>Strategy WSS 10: Urban sewerage and wastewater treatment</w:t>
      </w:r>
    </w:p>
    <w:p w:rsidR="0048464B" w:rsidRPr="00A46D7F" w:rsidRDefault="0048464B" w:rsidP="0048464B">
      <w:pPr>
        <w:autoSpaceDE w:val="0"/>
        <w:autoSpaceDN w:val="0"/>
        <w:adjustRightInd w:val="0"/>
        <w:spacing w:after="0"/>
        <w:jc w:val="both"/>
        <w:rPr>
          <w:rFonts w:cs="Segoe UI"/>
          <w:szCs w:val="19"/>
        </w:rPr>
      </w:pPr>
      <w:r w:rsidRPr="00A46D7F">
        <w:rPr>
          <w:rFonts w:cs="Segoe UI"/>
          <w:szCs w:val="19"/>
        </w:rPr>
        <w:t>For the major cities of Bangladesh, sewerage and centralized wastewater treatment are presently the ‘best available technology concept’. While it will serve Bangladesh to stay abreast with emerging urban sanitation concepts, it is understandable that Dhaka and other major cities proceed on planning and implementation of sewerage and wastewater treatment facilities.</w:t>
      </w:r>
    </w:p>
    <w:p w:rsidR="0048464B" w:rsidRDefault="0048464B" w:rsidP="0048464B">
      <w:pPr>
        <w:pStyle w:val="Heading4"/>
        <w:jc w:val="both"/>
      </w:pPr>
      <w:bookmarkStart w:id="763" w:name="_Toc464386380"/>
      <w:bookmarkStart w:id="764" w:name="_Toc464400475"/>
    </w:p>
    <w:p w:rsidR="0048464B" w:rsidRPr="00A46D7F" w:rsidRDefault="0048464B" w:rsidP="0048464B">
      <w:pPr>
        <w:pStyle w:val="Heading4"/>
        <w:jc w:val="both"/>
        <w:rPr>
          <w:b w:val="0"/>
          <w:bCs w:val="0"/>
          <w:i/>
        </w:rPr>
      </w:pPr>
      <w:r w:rsidRPr="00A46D7F">
        <w:t xml:space="preserve">Strategy WSS 11: </w:t>
      </w:r>
      <w:bookmarkEnd w:id="763"/>
      <w:bookmarkEnd w:id="764"/>
      <w:r w:rsidRPr="00A46D7F">
        <w:t>Ensure freshwater supply and waste water treatment to enhance the industrial growth</w:t>
      </w:r>
    </w:p>
    <w:p w:rsidR="0048464B" w:rsidRPr="00A46D7F" w:rsidRDefault="0048464B" w:rsidP="0048464B">
      <w:pPr>
        <w:jc w:val="both"/>
        <w:rPr>
          <w:szCs w:val="19"/>
        </w:rPr>
      </w:pPr>
      <w:r w:rsidRPr="00A46D7F">
        <w:rPr>
          <w:szCs w:val="19"/>
        </w:rPr>
        <w:t>Industries are both renowned for, often, ill regulated water abstraction, and illegal or uncontrolled disposal of waste and wastewater. Industry needs to a priority area for strategies towards environmental health and improved water quality.</w:t>
      </w:r>
    </w:p>
    <w:p w:rsidR="0048464B" w:rsidRPr="00A46D7F" w:rsidRDefault="0048464B" w:rsidP="0048464B">
      <w:pPr>
        <w:jc w:val="both"/>
        <w:rPr>
          <w:szCs w:val="19"/>
        </w:rPr>
      </w:pPr>
      <w:r w:rsidRPr="00A46D7F">
        <w:rPr>
          <w:szCs w:val="19"/>
        </w:rPr>
        <w:t>Sub-strategies for industrial water supply and wastewater treatment:</w:t>
      </w:r>
    </w:p>
    <w:p w:rsidR="0048464B" w:rsidRPr="00A46D7F" w:rsidRDefault="0048464B" w:rsidP="0048464B">
      <w:pPr>
        <w:jc w:val="both"/>
        <w:rPr>
          <w:i/>
        </w:rPr>
      </w:pPr>
      <w:r w:rsidRPr="00A46D7F">
        <w:rPr>
          <w:i/>
          <w:iCs/>
        </w:rPr>
        <w:t xml:space="preserve">Sub-Strategy WSS 11.1: </w:t>
      </w:r>
      <w:r w:rsidRPr="00A46D7F">
        <w:rPr>
          <w:i/>
        </w:rPr>
        <w:t>Zoning</w:t>
      </w:r>
    </w:p>
    <w:p w:rsidR="0048464B" w:rsidRPr="00A46D7F" w:rsidRDefault="0048464B" w:rsidP="0048464B">
      <w:pPr>
        <w:jc w:val="both"/>
      </w:pPr>
      <w:r w:rsidRPr="00A46D7F">
        <w:t>In clustering industries, services (including water) can be provided effectively and be dedicated towards particular needs. Environmental nuisance (noise, odour, traffic) can be contained. And wastewater discharge can be treated collectively. Bangladesh will need to continue its effort to cluster industries, and proceed on imposing or incentivising existing industries to move to these clusters;</w:t>
      </w:r>
    </w:p>
    <w:p w:rsidR="0048464B" w:rsidRPr="00A46D7F" w:rsidRDefault="0048464B" w:rsidP="0048464B">
      <w:pPr>
        <w:jc w:val="both"/>
        <w:rPr>
          <w:szCs w:val="19"/>
        </w:rPr>
      </w:pPr>
      <w:r w:rsidRPr="00A46D7F">
        <w:rPr>
          <w:i/>
          <w:iCs/>
        </w:rPr>
        <w:t xml:space="preserve">Sub-Strategy WSS 11.2: </w:t>
      </w:r>
      <w:r w:rsidRPr="00A46D7F">
        <w:rPr>
          <w:i/>
          <w:szCs w:val="19"/>
        </w:rPr>
        <w:t>Enforce restrictions on water abstraction</w:t>
      </w:r>
    </w:p>
    <w:p w:rsidR="0048464B" w:rsidRPr="00A46D7F" w:rsidRDefault="0048464B" w:rsidP="0048464B">
      <w:pPr>
        <w:jc w:val="both"/>
        <w:rPr>
          <w:szCs w:val="19"/>
        </w:rPr>
      </w:pPr>
      <w:r w:rsidRPr="00A46D7F">
        <w:rPr>
          <w:szCs w:val="19"/>
        </w:rPr>
        <w:t xml:space="preserve">Water </w:t>
      </w:r>
      <w:r w:rsidRPr="00A46D7F">
        <w:t>abstraction</w:t>
      </w:r>
      <w:r w:rsidRPr="00A46D7F">
        <w:rPr>
          <w:szCs w:val="19"/>
        </w:rPr>
        <w:t xml:space="preserve"> should be primarily left to public water operators. Private abstraction must be discouraged, and pricing on these abstractions substantially increased. This strategy requires that public water supply is available and reliable. Meanwhile, regulated water abstraction permits, full metering and monitoring of industrial abstractions along with enforcement of restrictions is advised while taking the necessary steps towards available and reliable water supply by public water operators...</w:t>
      </w:r>
    </w:p>
    <w:p w:rsidR="0048464B" w:rsidRPr="00A46D7F" w:rsidRDefault="0048464B" w:rsidP="0048464B">
      <w:pPr>
        <w:jc w:val="both"/>
        <w:rPr>
          <w:szCs w:val="19"/>
        </w:rPr>
      </w:pPr>
      <w:r w:rsidRPr="00A46D7F">
        <w:rPr>
          <w:i/>
          <w:iCs/>
        </w:rPr>
        <w:t xml:space="preserve">Sub-Strategy WSS 11.3: </w:t>
      </w:r>
      <w:r w:rsidRPr="00A46D7F">
        <w:rPr>
          <w:i/>
          <w:szCs w:val="19"/>
        </w:rPr>
        <w:t>Enforce restrictions on wastewater disposal</w:t>
      </w:r>
    </w:p>
    <w:p w:rsidR="0048464B" w:rsidRPr="00A46D7F" w:rsidRDefault="0048464B" w:rsidP="0048464B">
      <w:pPr>
        <w:jc w:val="both"/>
        <w:rPr>
          <w:szCs w:val="19"/>
        </w:rPr>
      </w:pPr>
      <w:r w:rsidRPr="00A46D7F">
        <w:rPr>
          <w:szCs w:val="19"/>
        </w:rPr>
        <w:t>Legislation on wastewater disposal needs to be made effective by intensified monitoring and effective sanctioning of defaulting industries.</w:t>
      </w:r>
    </w:p>
    <w:p w:rsidR="0048464B" w:rsidRPr="00A46D7F" w:rsidRDefault="0048464B" w:rsidP="0048464B">
      <w:pPr>
        <w:jc w:val="both"/>
        <w:rPr>
          <w:szCs w:val="19"/>
        </w:rPr>
      </w:pPr>
      <w:r w:rsidRPr="00A46D7F">
        <w:rPr>
          <w:i/>
          <w:iCs/>
        </w:rPr>
        <w:t xml:space="preserve">Sub-Strategy WSS 11.4: </w:t>
      </w:r>
      <w:r w:rsidRPr="00A46D7F">
        <w:rPr>
          <w:i/>
          <w:szCs w:val="19"/>
        </w:rPr>
        <w:t>Increase legislative capacity and capability</w:t>
      </w:r>
    </w:p>
    <w:p w:rsidR="0048464B" w:rsidRPr="00A46D7F" w:rsidRDefault="0048464B" w:rsidP="0048464B">
      <w:pPr>
        <w:jc w:val="both"/>
        <w:rPr>
          <w:szCs w:val="19"/>
        </w:rPr>
      </w:pPr>
      <w:r w:rsidRPr="00A46D7F">
        <w:rPr>
          <w:szCs w:val="19"/>
        </w:rPr>
        <w:t xml:space="preserve">For effective </w:t>
      </w:r>
      <w:r w:rsidRPr="00A46D7F">
        <w:t>monitoring</w:t>
      </w:r>
      <w:r w:rsidRPr="00A46D7F">
        <w:rPr>
          <w:szCs w:val="19"/>
        </w:rPr>
        <w:t xml:space="preserve"> and enforcement of regulations, increased government capacity and institutional capability needs to be prioritized.</w:t>
      </w:r>
    </w:p>
    <w:p w:rsidR="0048464B" w:rsidRPr="00A46D7F" w:rsidRDefault="0048464B" w:rsidP="0048464B">
      <w:pPr>
        <w:jc w:val="both"/>
        <w:rPr>
          <w:szCs w:val="19"/>
        </w:rPr>
      </w:pPr>
      <w:r w:rsidRPr="00A46D7F">
        <w:rPr>
          <w:i/>
          <w:iCs/>
        </w:rPr>
        <w:t xml:space="preserve">Sub-Strategy WSS 11.5: </w:t>
      </w:r>
      <w:r w:rsidRPr="00A46D7F">
        <w:rPr>
          <w:i/>
          <w:szCs w:val="19"/>
        </w:rPr>
        <w:t>Incentive programs towards good practice</w:t>
      </w:r>
    </w:p>
    <w:p w:rsidR="0048464B" w:rsidRPr="00A46D7F" w:rsidRDefault="0048464B" w:rsidP="0048464B">
      <w:pPr>
        <w:autoSpaceDE w:val="0"/>
        <w:autoSpaceDN w:val="0"/>
        <w:adjustRightInd w:val="0"/>
        <w:spacing w:after="0"/>
        <w:jc w:val="both"/>
        <w:rPr>
          <w:rFonts w:cs="Times New Roman"/>
          <w:szCs w:val="24"/>
        </w:rPr>
      </w:pPr>
      <w:r w:rsidRPr="00A46D7F">
        <w:rPr>
          <w:szCs w:val="19"/>
        </w:rPr>
        <w:lastRenderedPageBreak/>
        <w:t>GoB needs to proceed on programs where incentives are provided to industries in reducing water abstraction, in increasing water &amp; energy (internal) efficiency, and in improving effluent disposal (reduced volume, improved effluent quality, (internal) re-use).</w:t>
      </w:r>
    </w:p>
    <w:p w:rsidR="0048464B" w:rsidRPr="00A46D7F" w:rsidRDefault="0048464B" w:rsidP="0048464B">
      <w:r w:rsidRPr="00A46D7F">
        <w:br w:type="page"/>
      </w:r>
    </w:p>
    <w:p w:rsidR="0048464B" w:rsidRPr="00EE4E55" w:rsidRDefault="0048464B" w:rsidP="003D5A31">
      <w:pPr>
        <w:pStyle w:val="Heading2"/>
        <w:numPr>
          <w:ilvl w:val="1"/>
          <w:numId w:val="262"/>
        </w:numPr>
        <w:rPr>
          <w:color w:val="FF0000"/>
        </w:rPr>
      </w:pPr>
      <w:bookmarkStart w:id="765" w:name="_Toc464328806"/>
      <w:r w:rsidRPr="00EE4E55">
        <w:lastRenderedPageBreak/>
        <w:t>Solid Waste Management</w:t>
      </w:r>
      <w:bookmarkEnd w:id="765"/>
    </w:p>
    <w:p w:rsidR="0048464B" w:rsidRDefault="0048464B" w:rsidP="0048464B">
      <w:pPr>
        <w:spacing w:line="276" w:lineRule="auto"/>
        <w:jc w:val="both"/>
        <w:rPr>
          <w:rFonts w:cs="Times New Roman"/>
          <w:szCs w:val="24"/>
        </w:rPr>
      </w:pPr>
      <w:r w:rsidRPr="00AB592F">
        <w:rPr>
          <w:rFonts w:cs="Times New Roman"/>
          <w:szCs w:val="24"/>
        </w:rPr>
        <w:t>Management of solid waste is a major problem for the city corporations and pourashavas of the country.</w:t>
      </w:r>
      <w:r>
        <w:rPr>
          <w:rFonts w:cs="Times New Roman"/>
          <w:szCs w:val="24"/>
        </w:rPr>
        <w:t xml:space="preserve"> These ULBs</w:t>
      </w:r>
      <w:r w:rsidRPr="00AB592F">
        <w:rPr>
          <w:rFonts w:cs="Times New Roman"/>
          <w:szCs w:val="24"/>
        </w:rPr>
        <w:t xml:space="preserve"> find it difficult to cope with the challenging task of collection, transportation and disposal of solid waste generated every day. The situation is compounded by rapid urbanization and rising income as well as non-availability of required open spaces for land filling. Lack of awareness of the people about safe disposal of solid waste and weak management systems of the ULBs are largely responsible for the accumulation of wastes in streets, open spaces, drains, canals and even stagnant water bodies causing serious health and environmental problems. Such a situation also creates problems for safe water supply as uncollected wastes pollute </w:t>
      </w:r>
      <w:r>
        <w:rPr>
          <w:rFonts w:cs="Times New Roman"/>
          <w:szCs w:val="24"/>
        </w:rPr>
        <w:t xml:space="preserve">ground water </w:t>
      </w:r>
      <w:r w:rsidRPr="00AB592F">
        <w:rPr>
          <w:rFonts w:cs="Times New Roman"/>
          <w:szCs w:val="24"/>
        </w:rPr>
        <w:t>and surface wat</w:t>
      </w:r>
      <w:r>
        <w:rPr>
          <w:rFonts w:cs="Times New Roman"/>
          <w:szCs w:val="24"/>
        </w:rPr>
        <w:t>er. While creation</w:t>
      </w:r>
      <w:r w:rsidRPr="00AB592F">
        <w:rPr>
          <w:rFonts w:cs="Times New Roman"/>
          <w:szCs w:val="24"/>
        </w:rPr>
        <w:t xml:space="preserve"> of solid waste c</w:t>
      </w:r>
      <w:r>
        <w:rPr>
          <w:rFonts w:cs="Times New Roman"/>
          <w:szCs w:val="24"/>
        </w:rPr>
        <w:t>ontinues to increase</w:t>
      </w:r>
      <w:r w:rsidRPr="00AB592F">
        <w:rPr>
          <w:rFonts w:cs="Times New Roman"/>
          <w:szCs w:val="24"/>
        </w:rPr>
        <w:t>, capacity of ULBs to manage solid waste in an environmentally sustainabl</w:t>
      </w:r>
      <w:r>
        <w:rPr>
          <w:rFonts w:cs="Times New Roman"/>
          <w:szCs w:val="24"/>
        </w:rPr>
        <w:t>e manner has not improved commensurately</w:t>
      </w:r>
      <w:r w:rsidRPr="00AB592F">
        <w:rPr>
          <w:rFonts w:cs="Times New Roman"/>
          <w:szCs w:val="24"/>
        </w:rPr>
        <w:t>. Without improvement in efficiency and substantial financial support, significant changes in the management of solid waste cannot be expected.</w:t>
      </w:r>
    </w:p>
    <w:p w:rsidR="0048464B" w:rsidRPr="00BD195F" w:rsidRDefault="0048464B" w:rsidP="0048464B">
      <w:pPr>
        <w:spacing w:line="276" w:lineRule="auto"/>
        <w:jc w:val="both"/>
        <w:rPr>
          <w:rFonts w:cs="Times New Roman"/>
          <w:szCs w:val="24"/>
        </w:rPr>
      </w:pPr>
    </w:p>
    <w:p w:rsidR="0048464B" w:rsidRPr="00E03AFA" w:rsidRDefault="0048464B" w:rsidP="003D5A31">
      <w:pPr>
        <w:pStyle w:val="BodyText"/>
        <w:numPr>
          <w:ilvl w:val="2"/>
          <w:numId w:val="266"/>
        </w:numPr>
        <w:spacing w:after="240" w:line="276" w:lineRule="auto"/>
        <w:jc w:val="both"/>
        <w:rPr>
          <w:rFonts w:cs="Times New Roman"/>
          <w:b/>
          <w:szCs w:val="24"/>
        </w:rPr>
      </w:pPr>
      <w:r w:rsidRPr="00E03AFA">
        <w:rPr>
          <w:rFonts w:cs="Times New Roman"/>
          <w:b/>
          <w:szCs w:val="24"/>
        </w:rPr>
        <w:t>Solid Waste Generation</w:t>
      </w:r>
    </w:p>
    <w:p w:rsidR="0048464B" w:rsidRDefault="0048464B" w:rsidP="0048464B">
      <w:pPr>
        <w:spacing w:line="276" w:lineRule="auto"/>
        <w:jc w:val="both"/>
        <w:rPr>
          <w:rFonts w:cs="Times New Roman"/>
          <w:szCs w:val="24"/>
        </w:rPr>
      </w:pPr>
      <w:r w:rsidRPr="00AB592F">
        <w:rPr>
          <w:rFonts w:cs="Times New Roman"/>
          <w:szCs w:val="24"/>
        </w:rPr>
        <w:t>Table</w:t>
      </w:r>
      <w:r>
        <w:rPr>
          <w:rFonts w:cs="Times New Roman"/>
          <w:szCs w:val="24"/>
        </w:rPr>
        <w:t xml:space="preserve"> 10.19</w:t>
      </w:r>
      <w:r w:rsidRPr="00AB592F">
        <w:rPr>
          <w:rFonts w:cs="Times New Roman"/>
          <w:szCs w:val="24"/>
        </w:rPr>
        <w:t xml:space="preserve"> below shows the growth in solid waste generation in Bangladesh since 1991. It is quite clear that generation of solid waste in urban areas of Bangladesh has been increasing commensurate with increase in urban population despite the fact that the amount of solid waste generated per capita per day is lower compared to developed countries.</w:t>
      </w:r>
    </w:p>
    <w:p w:rsidR="0048464B" w:rsidRPr="00101CE9" w:rsidRDefault="0048464B" w:rsidP="0048464B">
      <w:pPr>
        <w:jc w:val="center"/>
        <w:rPr>
          <w:b/>
        </w:rPr>
      </w:pPr>
      <w:bookmarkStart w:id="766" w:name="_Toc464328998"/>
      <w:r w:rsidRPr="00101CE9">
        <w:rPr>
          <w:b/>
        </w:rPr>
        <w:t>Table 10.19: Growth in Solid Waste Generation in Bangladesh since 1991</w:t>
      </w:r>
      <w:bookmarkEnd w:id="766"/>
    </w:p>
    <w:tbl>
      <w:tblPr>
        <w:tblStyle w:val="LightShading10"/>
        <w:tblW w:w="0" w:type="auto"/>
        <w:tblLook w:val="04A0"/>
      </w:tblPr>
      <w:tblGrid>
        <w:gridCol w:w="1098"/>
        <w:gridCol w:w="1710"/>
        <w:gridCol w:w="2250"/>
        <w:gridCol w:w="1980"/>
        <w:gridCol w:w="2538"/>
      </w:tblGrid>
      <w:tr w:rsidR="0048464B" w:rsidRPr="00240ED3" w:rsidTr="00F83382">
        <w:trPr>
          <w:cnfStyle w:val="100000000000"/>
          <w:trHeight w:hRule="exact" w:val="576"/>
        </w:trPr>
        <w:tc>
          <w:tcPr>
            <w:cnfStyle w:val="001000000000"/>
            <w:tcW w:w="1098" w:type="dxa"/>
          </w:tcPr>
          <w:p w:rsidR="0048464B" w:rsidRPr="00D10C92" w:rsidRDefault="0048464B" w:rsidP="00F83382">
            <w:pPr>
              <w:spacing w:line="276" w:lineRule="auto"/>
              <w:jc w:val="center"/>
              <w:rPr>
                <w:rFonts w:ascii="Times New Roman" w:hAnsi="Times New Roman"/>
                <w:sz w:val="22"/>
              </w:rPr>
            </w:pPr>
            <w:r w:rsidRPr="00D10C92">
              <w:rPr>
                <w:rFonts w:ascii="Times New Roman" w:hAnsi="Times New Roman"/>
                <w:sz w:val="22"/>
              </w:rPr>
              <w:t>Year</w:t>
            </w:r>
          </w:p>
        </w:tc>
        <w:tc>
          <w:tcPr>
            <w:tcW w:w="1710" w:type="dxa"/>
          </w:tcPr>
          <w:p w:rsidR="0048464B" w:rsidRPr="00D10C92" w:rsidRDefault="0048464B" w:rsidP="00F83382">
            <w:pPr>
              <w:spacing w:line="276" w:lineRule="auto"/>
              <w:jc w:val="center"/>
              <w:cnfStyle w:val="100000000000"/>
              <w:rPr>
                <w:rFonts w:ascii="Times New Roman" w:hAnsi="Times New Roman"/>
                <w:sz w:val="22"/>
              </w:rPr>
            </w:pPr>
            <w:r w:rsidRPr="00D10C92">
              <w:rPr>
                <w:rFonts w:ascii="Times New Roman" w:hAnsi="Times New Roman"/>
                <w:sz w:val="22"/>
              </w:rPr>
              <w:t>Total Urban Population</w:t>
            </w:r>
          </w:p>
        </w:tc>
        <w:tc>
          <w:tcPr>
            <w:tcW w:w="2250" w:type="dxa"/>
          </w:tcPr>
          <w:p w:rsidR="0048464B" w:rsidRPr="00D10C92" w:rsidRDefault="0048464B" w:rsidP="00F83382">
            <w:pPr>
              <w:spacing w:line="276" w:lineRule="auto"/>
              <w:jc w:val="center"/>
              <w:cnfStyle w:val="100000000000"/>
              <w:rPr>
                <w:rFonts w:ascii="Times New Roman" w:hAnsi="Times New Roman"/>
                <w:sz w:val="22"/>
              </w:rPr>
            </w:pPr>
            <w:r w:rsidRPr="00D10C92">
              <w:rPr>
                <w:rFonts w:ascii="Times New Roman" w:hAnsi="Times New Roman"/>
                <w:sz w:val="22"/>
              </w:rPr>
              <w:t>Urban Population (in percent)</w:t>
            </w:r>
          </w:p>
        </w:tc>
        <w:tc>
          <w:tcPr>
            <w:tcW w:w="1980" w:type="dxa"/>
          </w:tcPr>
          <w:p w:rsidR="0048464B" w:rsidRPr="00D10C92" w:rsidRDefault="0048464B" w:rsidP="00F83382">
            <w:pPr>
              <w:spacing w:line="276" w:lineRule="auto"/>
              <w:jc w:val="center"/>
              <w:cnfStyle w:val="100000000000"/>
              <w:rPr>
                <w:rFonts w:ascii="Times New Roman" w:hAnsi="Times New Roman"/>
                <w:sz w:val="22"/>
              </w:rPr>
            </w:pPr>
            <w:r w:rsidRPr="00D10C92">
              <w:rPr>
                <w:rFonts w:ascii="Times New Roman" w:hAnsi="Times New Roman"/>
                <w:sz w:val="22"/>
              </w:rPr>
              <w:t>Waste Generation (kg/cap</w:t>
            </w:r>
            <w:r>
              <w:rPr>
                <w:rFonts w:ascii="Times New Roman" w:hAnsi="Times New Roman"/>
                <w:sz w:val="22"/>
              </w:rPr>
              <w:t>ut</w:t>
            </w:r>
            <w:r w:rsidRPr="00D10C92">
              <w:rPr>
                <w:rFonts w:ascii="Times New Roman" w:hAnsi="Times New Roman"/>
                <w:sz w:val="22"/>
              </w:rPr>
              <w:t>/day)</w:t>
            </w:r>
          </w:p>
        </w:tc>
        <w:tc>
          <w:tcPr>
            <w:tcW w:w="2538" w:type="dxa"/>
          </w:tcPr>
          <w:p w:rsidR="0048464B" w:rsidRPr="00D10C92" w:rsidRDefault="0048464B" w:rsidP="00F83382">
            <w:pPr>
              <w:spacing w:line="276" w:lineRule="auto"/>
              <w:jc w:val="center"/>
              <w:cnfStyle w:val="100000000000"/>
              <w:rPr>
                <w:rFonts w:ascii="Times New Roman" w:hAnsi="Times New Roman"/>
                <w:sz w:val="22"/>
              </w:rPr>
            </w:pPr>
            <w:r w:rsidRPr="00D10C92">
              <w:rPr>
                <w:rFonts w:ascii="Times New Roman" w:hAnsi="Times New Roman"/>
                <w:sz w:val="22"/>
              </w:rPr>
              <w:t>Total Waste Generation (tonne</w:t>
            </w:r>
            <w:r>
              <w:rPr>
                <w:rFonts w:ascii="Times New Roman" w:hAnsi="Times New Roman"/>
                <w:sz w:val="22"/>
              </w:rPr>
              <w:t>s</w:t>
            </w:r>
            <w:r w:rsidRPr="00D10C92">
              <w:rPr>
                <w:rFonts w:ascii="Times New Roman" w:hAnsi="Times New Roman"/>
                <w:sz w:val="22"/>
              </w:rPr>
              <w:t>/day)</w:t>
            </w:r>
          </w:p>
        </w:tc>
      </w:tr>
      <w:tr w:rsidR="0048464B" w:rsidRPr="00240ED3" w:rsidTr="00F83382">
        <w:trPr>
          <w:cnfStyle w:val="000000100000"/>
          <w:trHeight w:hRule="exact" w:val="432"/>
        </w:trPr>
        <w:tc>
          <w:tcPr>
            <w:cnfStyle w:val="001000000000"/>
            <w:tcW w:w="1098" w:type="dxa"/>
          </w:tcPr>
          <w:p w:rsidR="0048464B" w:rsidRPr="00240ED3" w:rsidRDefault="0048464B" w:rsidP="00F83382">
            <w:pPr>
              <w:spacing w:after="0" w:line="276" w:lineRule="auto"/>
              <w:jc w:val="center"/>
              <w:rPr>
                <w:rFonts w:ascii="Times New Roman" w:hAnsi="Times New Roman"/>
                <w:b w:val="0"/>
                <w:bCs w:val="0"/>
                <w:sz w:val="22"/>
              </w:rPr>
            </w:pPr>
            <w:r w:rsidRPr="00240ED3">
              <w:rPr>
                <w:rFonts w:ascii="Times New Roman" w:hAnsi="Times New Roman"/>
                <w:b w:val="0"/>
                <w:bCs w:val="0"/>
                <w:sz w:val="22"/>
              </w:rPr>
              <w:t>1991</w:t>
            </w:r>
          </w:p>
        </w:tc>
        <w:tc>
          <w:tcPr>
            <w:tcW w:w="1710" w:type="dxa"/>
          </w:tcPr>
          <w:p w:rsidR="0048464B" w:rsidRPr="00240ED3" w:rsidRDefault="0048464B" w:rsidP="00F83382">
            <w:pPr>
              <w:spacing w:after="0" w:line="276" w:lineRule="auto"/>
              <w:jc w:val="center"/>
              <w:cnfStyle w:val="000000100000"/>
              <w:rPr>
                <w:rFonts w:ascii="Times New Roman" w:hAnsi="Times New Roman"/>
                <w:sz w:val="22"/>
              </w:rPr>
            </w:pPr>
            <w:r w:rsidRPr="00240ED3">
              <w:rPr>
                <w:rFonts w:ascii="Times New Roman" w:hAnsi="Times New Roman"/>
                <w:sz w:val="22"/>
              </w:rPr>
              <w:t>20872204</w:t>
            </w:r>
          </w:p>
        </w:tc>
        <w:tc>
          <w:tcPr>
            <w:tcW w:w="2250" w:type="dxa"/>
          </w:tcPr>
          <w:p w:rsidR="0048464B" w:rsidRPr="00240ED3" w:rsidRDefault="0048464B" w:rsidP="00F83382">
            <w:pPr>
              <w:spacing w:after="0" w:line="276" w:lineRule="auto"/>
              <w:jc w:val="center"/>
              <w:cnfStyle w:val="000000100000"/>
              <w:rPr>
                <w:rFonts w:ascii="Times New Roman" w:hAnsi="Times New Roman"/>
                <w:sz w:val="22"/>
              </w:rPr>
            </w:pPr>
            <w:r w:rsidRPr="00240ED3">
              <w:rPr>
                <w:rFonts w:ascii="Times New Roman" w:hAnsi="Times New Roman"/>
                <w:sz w:val="22"/>
              </w:rPr>
              <w:t>20.15</w:t>
            </w:r>
          </w:p>
        </w:tc>
        <w:tc>
          <w:tcPr>
            <w:tcW w:w="1980" w:type="dxa"/>
          </w:tcPr>
          <w:p w:rsidR="0048464B" w:rsidRPr="00240ED3" w:rsidRDefault="0048464B" w:rsidP="00F83382">
            <w:pPr>
              <w:spacing w:after="0" w:line="276" w:lineRule="auto"/>
              <w:jc w:val="center"/>
              <w:cnfStyle w:val="000000100000"/>
              <w:rPr>
                <w:rFonts w:ascii="Times New Roman" w:hAnsi="Times New Roman"/>
                <w:sz w:val="22"/>
              </w:rPr>
            </w:pPr>
            <w:r w:rsidRPr="00240ED3">
              <w:rPr>
                <w:rFonts w:ascii="Times New Roman" w:hAnsi="Times New Roman"/>
                <w:sz w:val="22"/>
              </w:rPr>
              <w:t>0.49</w:t>
            </w:r>
          </w:p>
        </w:tc>
        <w:tc>
          <w:tcPr>
            <w:tcW w:w="2538" w:type="dxa"/>
          </w:tcPr>
          <w:p w:rsidR="0048464B" w:rsidRPr="00240ED3" w:rsidRDefault="0048464B" w:rsidP="00F83382">
            <w:pPr>
              <w:spacing w:after="0" w:line="276" w:lineRule="auto"/>
              <w:jc w:val="center"/>
              <w:cnfStyle w:val="000000100000"/>
              <w:rPr>
                <w:rFonts w:ascii="Times New Roman" w:hAnsi="Times New Roman"/>
                <w:sz w:val="22"/>
              </w:rPr>
            </w:pPr>
            <w:r w:rsidRPr="00240ED3">
              <w:rPr>
                <w:rFonts w:ascii="Times New Roman" w:hAnsi="Times New Roman"/>
                <w:sz w:val="22"/>
              </w:rPr>
              <w:t>9873.5</w:t>
            </w:r>
          </w:p>
        </w:tc>
      </w:tr>
      <w:tr w:rsidR="0048464B" w:rsidRPr="00240ED3" w:rsidTr="00F83382">
        <w:trPr>
          <w:trHeight w:hRule="exact" w:val="432"/>
        </w:trPr>
        <w:tc>
          <w:tcPr>
            <w:cnfStyle w:val="001000000000"/>
            <w:tcW w:w="1098" w:type="dxa"/>
          </w:tcPr>
          <w:p w:rsidR="0048464B" w:rsidRPr="00240ED3" w:rsidRDefault="0048464B" w:rsidP="00F83382">
            <w:pPr>
              <w:spacing w:after="0" w:line="276" w:lineRule="auto"/>
              <w:jc w:val="center"/>
              <w:rPr>
                <w:rFonts w:ascii="Times New Roman" w:hAnsi="Times New Roman"/>
                <w:b w:val="0"/>
                <w:bCs w:val="0"/>
                <w:sz w:val="22"/>
              </w:rPr>
            </w:pPr>
            <w:r w:rsidRPr="00240ED3">
              <w:rPr>
                <w:rFonts w:ascii="Times New Roman" w:hAnsi="Times New Roman"/>
                <w:b w:val="0"/>
                <w:bCs w:val="0"/>
                <w:sz w:val="22"/>
              </w:rPr>
              <w:t>2001</w:t>
            </w:r>
          </w:p>
        </w:tc>
        <w:tc>
          <w:tcPr>
            <w:tcW w:w="1710" w:type="dxa"/>
          </w:tcPr>
          <w:p w:rsidR="0048464B" w:rsidRPr="00240ED3" w:rsidRDefault="0048464B" w:rsidP="00F83382">
            <w:pPr>
              <w:spacing w:after="0" w:line="276" w:lineRule="auto"/>
              <w:jc w:val="center"/>
              <w:cnfStyle w:val="000000000000"/>
              <w:rPr>
                <w:rFonts w:ascii="Times New Roman" w:hAnsi="Times New Roman"/>
                <w:sz w:val="22"/>
              </w:rPr>
            </w:pPr>
            <w:r w:rsidRPr="00240ED3">
              <w:rPr>
                <w:rFonts w:ascii="Times New Roman" w:hAnsi="Times New Roman"/>
                <w:sz w:val="22"/>
              </w:rPr>
              <w:t>28808477</w:t>
            </w:r>
          </w:p>
        </w:tc>
        <w:tc>
          <w:tcPr>
            <w:tcW w:w="2250" w:type="dxa"/>
          </w:tcPr>
          <w:p w:rsidR="0048464B" w:rsidRPr="00240ED3" w:rsidRDefault="0048464B" w:rsidP="00F83382">
            <w:pPr>
              <w:spacing w:after="0" w:line="276" w:lineRule="auto"/>
              <w:jc w:val="center"/>
              <w:cnfStyle w:val="000000000000"/>
              <w:rPr>
                <w:rFonts w:ascii="Times New Roman" w:hAnsi="Times New Roman"/>
                <w:sz w:val="22"/>
              </w:rPr>
            </w:pPr>
            <w:r w:rsidRPr="00240ED3">
              <w:rPr>
                <w:rFonts w:ascii="Times New Roman" w:hAnsi="Times New Roman"/>
                <w:sz w:val="22"/>
              </w:rPr>
              <w:t>23.39</w:t>
            </w:r>
          </w:p>
        </w:tc>
        <w:tc>
          <w:tcPr>
            <w:tcW w:w="1980" w:type="dxa"/>
          </w:tcPr>
          <w:p w:rsidR="0048464B" w:rsidRPr="00240ED3" w:rsidRDefault="0048464B" w:rsidP="00F83382">
            <w:pPr>
              <w:spacing w:after="0" w:line="276" w:lineRule="auto"/>
              <w:jc w:val="center"/>
              <w:cnfStyle w:val="000000000000"/>
              <w:rPr>
                <w:rFonts w:ascii="Times New Roman" w:hAnsi="Times New Roman"/>
                <w:sz w:val="22"/>
              </w:rPr>
            </w:pPr>
            <w:r w:rsidRPr="00240ED3">
              <w:rPr>
                <w:rFonts w:ascii="Times New Roman" w:hAnsi="Times New Roman"/>
                <w:sz w:val="22"/>
              </w:rPr>
              <w:t>0.50</w:t>
            </w:r>
          </w:p>
        </w:tc>
        <w:tc>
          <w:tcPr>
            <w:tcW w:w="2538" w:type="dxa"/>
          </w:tcPr>
          <w:p w:rsidR="0048464B" w:rsidRPr="00240ED3" w:rsidRDefault="0048464B" w:rsidP="00F83382">
            <w:pPr>
              <w:spacing w:after="0" w:line="276" w:lineRule="auto"/>
              <w:jc w:val="center"/>
              <w:cnfStyle w:val="000000000000"/>
              <w:rPr>
                <w:rFonts w:ascii="Times New Roman" w:hAnsi="Times New Roman"/>
                <w:sz w:val="22"/>
              </w:rPr>
            </w:pPr>
            <w:r w:rsidRPr="00240ED3">
              <w:rPr>
                <w:rFonts w:ascii="Times New Roman" w:hAnsi="Times New Roman"/>
                <w:sz w:val="22"/>
              </w:rPr>
              <w:t>11695</w:t>
            </w:r>
          </w:p>
        </w:tc>
      </w:tr>
      <w:tr w:rsidR="0048464B" w:rsidRPr="00240ED3" w:rsidTr="00F83382">
        <w:trPr>
          <w:cnfStyle w:val="000000100000"/>
          <w:trHeight w:hRule="exact" w:val="432"/>
        </w:trPr>
        <w:tc>
          <w:tcPr>
            <w:cnfStyle w:val="001000000000"/>
            <w:tcW w:w="1098" w:type="dxa"/>
          </w:tcPr>
          <w:p w:rsidR="0048464B" w:rsidRPr="00240ED3" w:rsidRDefault="0048464B" w:rsidP="00F83382">
            <w:pPr>
              <w:spacing w:after="0" w:line="276" w:lineRule="auto"/>
              <w:jc w:val="center"/>
              <w:rPr>
                <w:rFonts w:ascii="Times New Roman" w:hAnsi="Times New Roman"/>
                <w:b w:val="0"/>
                <w:bCs w:val="0"/>
                <w:sz w:val="22"/>
              </w:rPr>
            </w:pPr>
            <w:r w:rsidRPr="00240ED3">
              <w:rPr>
                <w:rFonts w:ascii="Times New Roman" w:hAnsi="Times New Roman"/>
                <w:b w:val="0"/>
                <w:bCs w:val="0"/>
                <w:sz w:val="22"/>
              </w:rPr>
              <w:t>2005</w:t>
            </w:r>
          </w:p>
        </w:tc>
        <w:tc>
          <w:tcPr>
            <w:tcW w:w="1710" w:type="dxa"/>
          </w:tcPr>
          <w:p w:rsidR="0048464B" w:rsidRPr="00240ED3" w:rsidRDefault="0048464B" w:rsidP="00F83382">
            <w:pPr>
              <w:spacing w:after="0" w:line="276" w:lineRule="auto"/>
              <w:jc w:val="center"/>
              <w:cnfStyle w:val="000000100000"/>
              <w:rPr>
                <w:rFonts w:ascii="Times New Roman" w:hAnsi="Times New Roman"/>
                <w:sz w:val="22"/>
              </w:rPr>
            </w:pPr>
            <w:r w:rsidRPr="00240ED3">
              <w:rPr>
                <w:rFonts w:ascii="Times New Roman" w:hAnsi="Times New Roman"/>
                <w:sz w:val="22"/>
              </w:rPr>
              <w:t>32765516</w:t>
            </w:r>
          </w:p>
        </w:tc>
        <w:tc>
          <w:tcPr>
            <w:tcW w:w="2250" w:type="dxa"/>
          </w:tcPr>
          <w:p w:rsidR="0048464B" w:rsidRPr="00240ED3" w:rsidRDefault="0048464B" w:rsidP="00F83382">
            <w:pPr>
              <w:spacing w:after="0" w:line="276" w:lineRule="auto"/>
              <w:jc w:val="center"/>
              <w:cnfStyle w:val="000000100000"/>
              <w:rPr>
                <w:rFonts w:ascii="Times New Roman" w:hAnsi="Times New Roman"/>
                <w:sz w:val="22"/>
              </w:rPr>
            </w:pPr>
            <w:r w:rsidRPr="00240ED3">
              <w:rPr>
                <w:rFonts w:ascii="Times New Roman" w:hAnsi="Times New Roman"/>
                <w:sz w:val="22"/>
              </w:rPr>
              <w:t>25.08</w:t>
            </w:r>
          </w:p>
        </w:tc>
        <w:tc>
          <w:tcPr>
            <w:tcW w:w="1980" w:type="dxa"/>
          </w:tcPr>
          <w:p w:rsidR="0048464B" w:rsidRPr="00240ED3" w:rsidRDefault="0048464B" w:rsidP="00F83382">
            <w:pPr>
              <w:spacing w:after="0" w:line="276" w:lineRule="auto"/>
              <w:jc w:val="center"/>
              <w:cnfStyle w:val="000000100000"/>
              <w:rPr>
                <w:rFonts w:ascii="Times New Roman" w:hAnsi="Times New Roman"/>
                <w:sz w:val="22"/>
              </w:rPr>
            </w:pPr>
            <w:r w:rsidRPr="00240ED3">
              <w:rPr>
                <w:rFonts w:ascii="Times New Roman" w:hAnsi="Times New Roman"/>
                <w:sz w:val="22"/>
              </w:rPr>
              <w:t>0.56</w:t>
            </w:r>
          </w:p>
        </w:tc>
        <w:tc>
          <w:tcPr>
            <w:tcW w:w="2538" w:type="dxa"/>
          </w:tcPr>
          <w:p w:rsidR="0048464B" w:rsidRPr="00240ED3" w:rsidRDefault="0048464B" w:rsidP="00F83382">
            <w:pPr>
              <w:spacing w:after="0" w:line="276" w:lineRule="auto"/>
              <w:jc w:val="center"/>
              <w:cnfStyle w:val="000000100000"/>
              <w:rPr>
                <w:rFonts w:ascii="Times New Roman" w:hAnsi="Times New Roman"/>
                <w:sz w:val="22"/>
              </w:rPr>
            </w:pPr>
            <w:r w:rsidRPr="00240ED3">
              <w:rPr>
                <w:rFonts w:ascii="Times New Roman" w:hAnsi="Times New Roman"/>
                <w:sz w:val="22"/>
              </w:rPr>
              <w:t>16382</w:t>
            </w:r>
          </w:p>
        </w:tc>
      </w:tr>
      <w:tr w:rsidR="0048464B" w:rsidRPr="00240ED3" w:rsidTr="00F83382">
        <w:trPr>
          <w:trHeight w:hRule="exact" w:val="432"/>
        </w:trPr>
        <w:tc>
          <w:tcPr>
            <w:cnfStyle w:val="001000000000"/>
            <w:tcW w:w="1098" w:type="dxa"/>
          </w:tcPr>
          <w:p w:rsidR="0048464B" w:rsidRPr="00240ED3" w:rsidRDefault="0048464B" w:rsidP="00F83382">
            <w:pPr>
              <w:spacing w:after="0" w:line="276" w:lineRule="auto"/>
              <w:jc w:val="center"/>
              <w:rPr>
                <w:rFonts w:ascii="Times New Roman" w:hAnsi="Times New Roman"/>
                <w:b w:val="0"/>
                <w:bCs w:val="0"/>
                <w:sz w:val="22"/>
              </w:rPr>
            </w:pPr>
            <w:r w:rsidRPr="00240ED3">
              <w:rPr>
                <w:rFonts w:ascii="Times New Roman" w:hAnsi="Times New Roman"/>
                <w:b w:val="0"/>
                <w:bCs w:val="0"/>
                <w:sz w:val="22"/>
              </w:rPr>
              <w:t>2025</w:t>
            </w:r>
          </w:p>
        </w:tc>
        <w:tc>
          <w:tcPr>
            <w:tcW w:w="1710" w:type="dxa"/>
          </w:tcPr>
          <w:p w:rsidR="0048464B" w:rsidRPr="00240ED3" w:rsidRDefault="0048464B" w:rsidP="00F83382">
            <w:pPr>
              <w:spacing w:after="0" w:line="276" w:lineRule="auto"/>
              <w:jc w:val="center"/>
              <w:cnfStyle w:val="000000000000"/>
              <w:rPr>
                <w:rFonts w:ascii="Times New Roman" w:hAnsi="Times New Roman"/>
                <w:sz w:val="22"/>
              </w:rPr>
            </w:pPr>
            <w:r w:rsidRPr="00240ED3">
              <w:rPr>
                <w:rFonts w:ascii="Times New Roman" w:hAnsi="Times New Roman"/>
                <w:sz w:val="22"/>
              </w:rPr>
              <w:t>78440000</w:t>
            </w:r>
          </w:p>
        </w:tc>
        <w:tc>
          <w:tcPr>
            <w:tcW w:w="2250" w:type="dxa"/>
          </w:tcPr>
          <w:p w:rsidR="0048464B" w:rsidRPr="00240ED3" w:rsidRDefault="0048464B" w:rsidP="00F83382">
            <w:pPr>
              <w:spacing w:after="0" w:line="276" w:lineRule="auto"/>
              <w:jc w:val="center"/>
              <w:cnfStyle w:val="000000000000"/>
              <w:rPr>
                <w:rFonts w:ascii="Times New Roman" w:hAnsi="Times New Roman"/>
                <w:sz w:val="22"/>
              </w:rPr>
            </w:pPr>
            <w:r w:rsidRPr="00240ED3">
              <w:rPr>
                <w:rFonts w:ascii="Times New Roman" w:hAnsi="Times New Roman"/>
                <w:sz w:val="22"/>
              </w:rPr>
              <w:t>40.00</w:t>
            </w:r>
          </w:p>
        </w:tc>
        <w:tc>
          <w:tcPr>
            <w:tcW w:w="1980" w:type="dxa"/>
          </w:tcPr>
          <w:p w:rsidR="0048464B" w:rsidRPr="00240ED3" w:rsidRDefault="0048464B" w:rsidP="00F83382">
            <w:pPr>
              <w:spacing w:after="0" w:line="276" w:lineRule="auto"/>
              <w:jc w:val="center"/>
              <w:cnfStyle w:val="000000000000"/>
              <w:rPr>
                <w:rFonts w:ascii="Times New Roman" w:hAnsi="Times New Roman"/>
                <w:sz w:val="22"/>
              </w:rPr>
            </w:pPr>
            <w:r w:rsidRPr="00240ED3">
              <w:rPr>
                <w:rFonts w:ascii="Times New Roman" w:hAnsi="Times New Roman"/>
                <w:sz w:val="22"/>
              </w:rPr>
              <w:t>0.60</w:t>
            </w:r>
          </w:p>
        </w:tc>
        <w:tc>
          <w:tcPr>
            <w:tcW w:w="2538" w:type="dxa"/>
          </w:tcPr>
          <w:p w:rsidR="0048464B" w:rsidRPr="00240ED3" w:rsidRDefault="0048464B" w:rsidP="00F83382">
            <w:pPr>
              <w:spacing w:after="0" w:line="276" w:lineRule="auto"/>
              <w:jc w:val="center"/>
              <w:cnfStyle w:val="000000000000"/>
              <w:rPr>
                <w:rFonts w:ascii="Times New Roman" w:hAnsi="Times New Roman"/>
                <w:sz w:val="22"/>
              </w:rPr>
            </w:pPr>
            <w:r w:rsidRPr="00240ED3">
              <w:rPr>
                <w:rFonts w:ascii="Times New Roman" w:hAnsi="Times New Roman"/>
                <w:sz w:val="22"/>
              </w:rPr>
              <w:t>47064</w:t>
            </w:r>
          </w:p>
        </w:tc>
      </w:tr>
    </w:tbl>
    <w:p w:rsidR="0048464B" w:rsidRPr="00AB592F" w:rsidRDefault="0048464B" w:rsidP="0048464B">
      <w:pPr>
        <w:spacing w:before="120" w:line="276" w:lineRule="auto"/>
        <w:jc w:val="both"/>
        <w:rPr>
          <w:rFonts w:cs="Times New Roman"/>
          <w:b/>
          <w:bCs/>
          <w:i/>
          <w:iCs/>
          <w:sz w:val="20"/>
          <w:szCs w:val="20"/>
        </w:rPr>
      </w:pPr>
      <w:r>
        <w:rPr>
          <w:rFonts w:cs="Times New Roman"/>
        </w:rPr>
        <w:t xml:space="preserve"> </w:t>
      </w:r>
      <w:r w:rsidRPr="00AB592F">
        <w:rPr>
          <w:rFonts w:cs="Times New Roman"/>
          <w:b/>
          <w:bCs/>
          <w:i/>
          <w:iCs/>
          <w:sz w:val="20"/>
          <w:szCs w:val="20"/>
        </w:rPr>
        <w:t>Source: DOE, 2004;</w:t>
      </w:r>
      <w:r>
        <w:rPr>
          <w:rFonts w:cs="Times New Roman"/>
          <w:b/>
          <w:bCs/>
          <w:i/>
          <w:iCs/>
          <w:sz w:val="20"/>
          <w:szCs w:val="20"/>
        </w:rPr>
        <w:t xml:space="preserve"> Waste C</w:t>
      </w:r>
      <w:r w:rsidRPr="00AB592F">
        <w:rPr>
          <w:rFonts w:cs="Times New Roman"/>
          <w:b/>
          <w:bCs/>
          <w:i/>
          <w:iCs/>
          <w:sz w:val="20"/>
          <w:szCs w:val="20"/>
        </w:rPr>
        <w:t>oncern, 2005</w:t>
      </w:r>
    </w:p>
    <w:p w:rsidR="0048464B" w:rsidRDefault="0048464B" w:rsidP="0048464B">
      <w:pPr>
        <w:spacing w:line="276" w:lineRule="auto"/>
        <w:jc w:val="both"/>
        <w:rPr>
          <w:rFonts w:cs="Times New Roman"/>
          <w:szCs w:val="24"/>
        </w:rPr>
      </w:pPr>
      <w:r w:rsidRPr="00B40996">
        <w:rPr>
          <w:rFonts w:cs="Times New Roman"/>
          <w:szCs w:val="24"/>
        </w:rPr>
        <w:t xml:space="preserve">There are however variations across the cities and towns within the country in terms of solid waste generation. Table </w:t>
      </w:r>
      <w:r>
        <w:rPr>
          <w:rFonts w:cs="Times New Roman"/>
          <w:szCs w:val="24"/>
        </w:rPr>
        <w:t>10.20</w:t>
      </w:r>
      <w:r w:rsidRPr="00B40996">
        <w:rPr>
          <w:rFonts w:cs="Times New Roman"/>
          <w:szCs w:val="24"/>
        </w:rPr>
        <w:t xml:space="preserve"> presents information on solid waste generation in Dhaka city. Total amount of solid waste generated in 2005 was estimated at 3200 tons per day by JICA (2005) while the amount was 4866 tons per day according to Waste Concern (2005). BIGD estimated the amount of solid waste generated per day in Dhaka in 2015 as 6110 tons (BIGD, 2015).  The amount of solid waste generated per capita per day was estimated at 0.34 kg by JICA, 0.40 kg by Waste Concern and 0.38 kg by BIGD.</w:t>
      </w:r>
    </w:p>
    <w:p w:rsidR="0048464B" w:rsidRPr="00101CE9" w:rsidRDefault="0048464B" w:rsidP="0048464B">
      <w:pPr>
        <w:jc w:val="center"/>
        <w:rPr>
          <w:b/>
        </w:rPr>
      </w:pPr>
      <w:bookmarkStart w:id="767" w:name="_Toc464328999"/>
      <w:r w:rsidRPr="00101CE9">
        <w:rPr>
          <w:b/>
        </w:rPr>
        <w:lastRenderedPageBreak/>
        <w:t>Table 10.20: Dhaka Solid Waste Comparative Scenario: BIGD and other Studies</w:t>
      </w:r>
      <w:bookmarkEnd w:id="767"/>
    </w:p>
    <w:tbl>
      <w:tblPr>
        <w:tblStyle w:val="PlainTable120"/>
        <w:tblW w:w="9558" w:type="dxa"/>
        <w:tblLayout w:type="fixed"/>
        <w:tblLook w:val="04A0"/>
      </w:tblPr>
      <w:tblGrid>
        <w:gridCol w:w="2425"/>
        <w:gridCol w:w="1890"/>
        <w:gridCol w:w="1048"/>
        <w:gridCol w:w="1049"/>
        <w:gridCol w:w="1048"/>
        <w:gridCol w:w="1049"/>
        <w:gridCol w:w="1049"/>
      </w:tblGrid>
      <w:tr w:rsidR="0048464B" w:rsidRPr="00FB2DBA" w:rsidTr="00F83382">
        <w:trPr>
          <w:cnfStyle w:val="100000000000"/>
          <w:trHeight w:val="20"/>
        </w:trPr>
        <w:tc>
          <w:tcPr>
            <w:cnfStyle w:val="001000000000"/>
            <w:tcW w:w="2425" w:type="dxa"/>
            <w:vMerge w:val="restart"/>
          </w:tcPr>
          <w:p w:rsidR="0048464B" w:rsidRPr="00D10C92" w:rsidRDefault="0048464B" w:rsidP="00F83382">
            <w:pPr>
              <w:spacing w:line="276" w:lineRule="auto"/>
              <w:jc w:val="center"/>
              <w:rPr>
                <w:sz w:val="22"/>
              </w:rPr>
            </w:pPr>
            <w:r w:rsidRPr="00D10C92">
              <w:rPr>
                <w:sz w:val="22"/>
              </w:rPr>
              <w:t>Waste (tonnes per day)</w:t>
            </w:r>
          </w:p>
        </w:tc>
        <w:tc>
          <w:tcPr>
            <w:tcW w:w="1890" w:type="dxa"/>
            <w:vMerge w:val="restart"/>
          </w:tcPr>
          <w:p w:rsidR="0048464B" w:rsidRPr="00D10C92" w:rsidRDefault="0048464B" w:rsidP="00F83382">
            <w:pPr>
              <w:spacing w:line="276" w:lineRule="auto"/>
              <w:jc w:val="center"/>
              <w:cnfStyle w:val="100000000000"/>
              <w:rPr>
                <w:sz w:val="22"/>
              </w:rPr>
            </w:pPr>
            <w:r w:rsidRPr="00D10C92">
              <w:rPr>
                <w:sz w:val="22"/>
              </w:rPr>
              <w:t>Composition of Waste</w:t>
            </w:r>
          </w:p>
        </w:tc>
        <w:tc>
          <w:tcPr>
            <w:tcW w:w="5243" w:type="dxa"/>
            <w:gridSpan w:val="5"/>
          </w:tcPr>
          <w:p w:rsidR="0048464B" w:rsidRPr="00D10C92" w:rsidRDefault="0048464B" w:rsidP="00F83382">
            <w:pPr>
              <w:spacing w:line="276" w:lineRule="auto"/>
              <w:jc w:val="center"/>
              <w:cnfStyle w:val="100000000000"/>
              <w:rPr>
                <w:sz w:val="22"/>
              </w:rPr>
            </w:pPr>
            <w:r w:rsidRPr="00D10C92">
              <w:rPr>
                <w:sz w:val="22"/>
              </w:rPr>
              <w:t>Results from Different Studies</w:t>
            </w:r>
          </w:p>
        </w:tc>
      </w:tr>
      <w:tr w:rsidR="0048464B" w:rsidRPr="00FB2DBA" w:rsidTr="00F83382">
        <w:trPr>
          <w:cnfStyle w:val="000000100000"/>
          <w:trHeight w:val="1296"/>
        </w:trPr>
        <w:tc>
          <w:tcPr>
            <w:cnfStyle w:val="001000000000"/>
            <w:tcW w:w="2425" w:type="dxa"/>
            <w:vMerge/>
          </w:tcPr>
          <w:p w:rsidR="0048464B" w:rsidRPr="00FB2DBA" w:rsidRDefault="0048464B" w:rsidP="00F83382">
            <w:pPr>
              <w:spacing w:line="276" w:lineRule="auto"/>
              <w:jc w:val="center"/>
              <w:rPr>
                <w:b w:val="0"/>
                <w:sz w:val="22"/>
              </w:rPr>
            </w:pPr>
          </w:p>
        </w:tc>
        <w:tc>
          <w:tcPr>
            <w:tcW w:w="1890" w:type="dxa"/>
            <w:vMerge/>
          </w:tcPr>
          <w:p w:rsidR="0048464B" w:rsidRPr="00FB2DBA" w:rsidRDefault="0048464B" w:rsidP="00F83382">
            <w:pPr>
              <w:spacing w:line="276" w:lineRule="auto"/>
              <w:jc w:val="center"/>
              <w:cnfStyle w:val="000000100000"/>
              <w:rPr>
                <w:b/>
                <w:sz w:val="22"/>
              </w:rPr>
            </w:pPr>
          </w:p>
        </w:tc>
        <w:tc>
          <w:tcPr>
            <w:tcW w:w="1048" w:type="dxa"/>
            <w:textDirection w:val="btLr"/>
          </w:tcPr>
          <w:p w:rsidR="0048464B" w:rsidRPr="00FB2DBA" w:rsidRDefault="0048464B" w:rsidP="00F83382">
            <w:pPr>
              <w:spacing w:line="276" w:lineRule="auto"/>
              <w:jc w:val="center"/>
              <w:cnfStyle w:val="000000100000"/>
              <w:rPr>
                <w:b/>
                <w:sz w:val="22"/>
              </w:rPr>
            </w:pPr>
            <w:r w:rsidRPr="00FB2DBA">
              <w:rPr>
                <w:b/>
                <w:sz w:val="22"/>
              </w:rPr>
              <w:t>JICA (2005)</w:t>
            </w:r>
          </w:p>
        </w:tc>
        <w:tc>
          <w:tcPr>
            <w:tcW w:w="1049" w:type="dxa"/>
            <w:textDirection w:val="btLr"/>
          </w:tcPr>
          <w:p w:rsidR="0048464B" w:rsidRPr="00FB2DBA" w:rsidRDefault="0048464B" w:rsidP="00F83382">
            <w:pPr>
              <w:spacing w:line="276" w:lineRule="auto"/>
              <w:jc w:val="center"/>
              <w:cnfStyle w:val="000000100000"/>
              <w:rPr>
                <w:b/>
                <w:sz w:val="22"/>
              </w:rPr>
            </w:pPr>
            <w:r w:rsidRPr="00FB2DBA">
              <w:rPr>
                <w:b/>
                <w:sz w:val="22"/>
              </w:rPr>
              <w:t>Waste Concern (2005)</w:t>
            </w:r>
          </w:p>
        </w:tc>
        <w:tc>
          <w:tcPr>
            <w:tcW w:w="1048" w:type="dxa"/>
            <w:textDirection w:val="btLr"/>
          </w:tcPr>
          <w:p w:rsidR="0048464B" w:rsidRPr="00FB2DBA" w:rsidRDefault="0048464B" w:rsidP="00F83382">
            <w:pPr>
              <w:spacing w:line="276" w:lineRule="auto"/>
              <w:jc w:val="center"/>
              <w:cnfStyle w:val="000000100000"/>
              <w:rPr>
                <w:b/>
                <w:sz w:val="22"/>
              </w:rPr>
            </w:pPr>
            <w:r w:rsidRPr="00FB2DBA">
              <w:rPr>
                <w:b/>
                <w:sz w:val="22"/>
              </w:rPr>
              <w:t>BIGD</w:t>
            </w:r>
          </w:p>
        </w:tc>
        <w:tc>
          <w:tcPr>
            <w:tcW w:w="1049" w:type="dxa"/>
            <w:textDirection w:val="btLr"/>
          </w:tcPr>
          <w:p w:rsidR="0048464B" w:rsidRPr="00FB2DBA" w:rsidRDefault="0048464B" w:rsidP="00F83382">
            <w:pPr>
              <w:spacing w:line="276" w:lineRule="auto"/>
              <w:jc w:val="center"/>
              <w:cnfStyle w:val="000000100000"/>
              <w:rPr>
                <w:b/>
                <w:sz w:val="22"/>
              </w:rPr>
            </w:pPr>
            <w:r w:rsidRPr="00FB2DBA">
              <w:rPr>
                <w:b/>
                <w:sz w:val="22"/>
              </w:rPr>
              <w:t>City Corporation (2015)</w:t>
            </w:r>
          </w:p>
        </w:tc>
        <w:tc>
          <w:tcPr>
            <w:tcW w:w="1049" w:type="dxa"/>
            <w:textDirection w:val="btLr"/>
          </w:tcPr>
          <w:p w:rsidR="0048464B" w:rsidRPr="00FB2DBA" w:rsidRDefault="0048464B" w:rsidP="00F83382">
            <w:pPr>
              <w:spacing w:line="276" w:lineRule="auto"/>
              <w:jc w:val="center"/>
              <w:cnfStyle w:val="000000100000"/>
              <w:rPr>
                <w:b/>
                <w:sz w:val="22"/>
              </w:rPr>
            </w:pPr>
            <w:r w:rsidRPr="00FB2DBA">
              <w:rPr>
                <w:b/>
                <w:sz w:val="22"/>
              </w:rPr>
              <w:t>JICA Projection 2015</w:t>
            </w:r>
          </w:p>
        </w:tc>
      </w:tr>
      <w:tr w:rsidR="0048464B" w:rsidRPr="00FB2DBA" w:rsidTr="00F83382">
        <w:trPr>
          <w:trHeight w:val="20"/>
        </w:trPr>
        <w:tc>
          <w:tcPr>
            <w:cnfStyle w:val="001000000000"/>
            <w:tcW w:w="2425" w:type="dxa"/>
            <w:vMerge w:val="restart"/>
          </w:tcPr>
          <w:p w:rsidR="0048464B" w:rsidRPr="00FB2DBA" w:rsidRDefault="0048464B" w:rsidP="00F83382">
            <w:pPr>
              <w:spacing w:line="276" w:lineRule="auto"/>
              <w:rPr>
                <w:sz w:val="22"/>
              </w:rPr>
            </w:pPr>
            <w:r w:rsidRPr="00FB2DBA">
              <w:rPr>
                <w:sz w:val="22"/>
              </w:rPr>
              <w:t>Source wise Generation</w:t>
            </w:r>
          </w:p>
        </w:tc>
        <w:tc>
          <w:tcPr>
            <w:tcW w:w="1890" w:type="dxa"/>
          </w:tcPr>
          <w:p w:rsidR="0048464B" w:rsidRPr="00FB2DBA" w:rsidRDefault="0048464B" w:rsidP="00F83382">
            <w:pPr>
              <w:spacing w:line="276" w:lineRule="auto"/>
              <w:cnfStyle w:val="000000000000"/>
              <w:rPr>
                <w:sz w:val="22"/>
              </w:rPr>
            </w:pPr>
            <w:r w:rsidRPr="00FB2DBA">
              <w:rPr>
                <w:sz w:val="22"/>
              </w:rPr>
              <w:t>Domestic</w:t>
            </w:r>
          </w:p>
        </w:tc>
        <w:tc>
          <w:tcPr>
            <w:tcW w:w="1048" w:type="dxa"/>
          </w:tcPr>
          <w:p w:rsidR="0048464B" w:rsidRPr="00FB2DBA" w:rsidRDefault="0048464B" w:rsidP="00F83382">
            <w:pPr>
              <w:spacing w:line="276" w:lineRule="auto"/>
              <w:cnfStyle w:val="000000000000"/>
              <w:rPr>
                <w:sz w:val="22"/>
              </w:rPr>
            </w:pPr>
            <w:r w:rsidRPr="00FB2DBA">
              <w:rPr>
                <w:sz w:val="22"/>
              </w:rPr>
              <w:t>1950</w:t>
            </w:r>
          </w:p>
        </w:tc>
        <w:tc>
          <w:tcPr>
            <w:tcW w:w="1049" w:type="dxa"/>
          </w:tcPr>
          <w:p w:rsidR="0048464B" w:rsidRPr="00FB2DBA" w:rsidRDefault="0048464B" w:rsidP="00F83382">
            <w:pPr>
              <w:spacing w:line="276" w:lineRule="auto"/>
              <w:cnfStyle w:val="000000000000"/>
              <w:rPr>
                <w:sz w:val="22"/>
              </w:rPr>
            </w:pPr>
          </w:p>
        </w:tc>
        <w:tc>
          <w:tcPr>
            <w:tcW w:w="1048" w:type="dxa"/>
          </w:tcPr>
          <w:p w:rsidR="0048464B" w:rsidRPr="00FB2DBA" w:rsidRDefault="0048464B" w:rsidP="00F83382">
            <w:pPr>
              <w:spacing w:line="276" w:lineRule="auto"/>
              <w:cnfStyle w:val="000000000000"/>
              <w:rPr>
                <w:sz w:val="22"/>
              </w:rPr>
            </w:pPr>
            <w:r w:rsidRPr="00FB2DBA">
              <w:rPr>
                <w:sz w:val="22"/>
              </w:rPr>
              <w:t>3070.71</w:t>
            </w:r>
          </w:p>
        </w:tc>
        <w:tc>
          <w:tcPr>
            <w:tcW w:w="1049" w:type="dxa"/>
          </w:tcPr>
          <w:p w:rsidR="0048464B" w:rsidRPr="00FB2DBA" w:rsidRDefault="0048464B" w:rsidP="00F83382">
            <w:pPr>
              <w:spacing w:line="276" w:lineRule="auto"/>
              <w:cnfStyle w:val="000000000000"/>
              <w:rPr>
                <w:sz w:val="22"/>
              </w:rPr>
            </w:pPr>
          </w:p>
        </w:tc>
        <w:tc>
          <w:tcPr>
            <w:tcW w:w="1049" w:type="dxa"/>
          </w:tcPr>
          <w:p w:rsidR="0048464B" w:rsidRPr="00FB2DBA" w:rsidRDefault="0048464B" w:rsidP="00F83382">
            <w:pPr>
              <w:spacing w:line="276" w:lineRule="auto"/>
              <w:cnfStyle w:val="000000000000"/>
              <w:rPr>
                <w:sz w:val="22"/>
              </w:rPr>
            </w:pPr>
          </w:p>
        </w:tc>
      </w:tr>
      <w:tr w:rsidR="0048464B" w:rsidRPr="00FB2DBA" w:rsidTr="00F83382">
        <w:trPr>
          <w:cnfStyle w:val="000000100000"/>
          <w:trHeight w:val="20"/>
        </w:trPr>
        <w:tc>
          <w:tcPr>
            <w:cnfStyle w:val="001000000000"/>
            <w:tcW w:w="2425" w:type="dxa"/>
            <w:vMerge/>
          </w:tcPr>
          <w:p w:rsidR="0048464B" w:rsidRPr="00FB2DBA" w:rsidRDefault="0048464B" w:rsidP="00F83382">
            <w:pPr>
              <w:spacing w:line="276" w:lineRule="auto"/>
              <w:rPr>
                <w:sz w:val="22"/>
              </w:rPr>
            </w:pPr>
          </w:p>
        </w:tc>
        <w:tc>
          <w:tcPr>
            <w:tcW w:w="1890" w:type="dxa"/>
          </w:tcPr>
          <w:p w:rsidR="0048464B" w:rsidRPr="00FB2DBA" w:rsidRDefault="0048464B" w:rsidP="00F83382">
            <w:pPr>
              <w:spacing w:line="276" w:lineRule="auto"/>
              <w:cnfStyle w:val="000000100000"/>
              <w:rPr>
                <w:sz w:val="22"/>
              </w:rPr>
            </w:pPr>
            <w:r w:rsidRPr="00FB2DBA">
              <w:rPr>
                <w:sz w:val="22"/>
              </w:rPr>
              <w:t>Business /commercial</w:t>
            </w:r>
          </w:p>
        </w:tc>
        <w:tc>
          <w:tcPr>
            <w:tcW w:w="1048" w:type="dxa"/>
          </w:tcPr>
          <w:p w:rsidR="0048464B" w:rsidRPr="00FB2DBA" w:rsidRDefault="0048464B" w:rsidP="00F83382">
            <w:pPr>
              <w:spacing w:line="276" w:lineRule="auto"/>
              <w:cnfStyle w:val="000000100000"/>
              <w:rPr>
                <w:sz w:val="22"/>
              </w:rPr>
            </w:pPr>
            <w:r w:rsidRPr="00FB2DBA">
              <w:rPr>
                <w:sz w:val="22"/>
              </w:rPr>
              <w:t>1050</w:t>
            </w:r>
          </w:p>
        </w:tc>
        <w:tc>
          <w:tcPr>
            <w:tcW w:w="1049" w:type="dxa"/>
          </w:tcPr>
          <w:p w:rsidR="0048464B" w:rsidRPr="00FB2DBA" w:rsidRDefault="0048464B" w:rsidP="00F83382">
            <w:pPr>
              <w:spacing w:line="276" w:lineRule="auto"/>
              <w:cnfStyle w:val="000000100000"/>
              <w:rPr>
                <w:sz w:val="22"/>
              </w:rPr>
            </w:pPr>
          </w:p>
        </w:tc>
        <w:tc>
          <w:tcPr>
            <w:tcW w:w="1048" w:type="dxa"/>
          </w:tcPr>
          <w:p w:rsidR="0048464B" w:rsidRPr="00FB2DBA" w:rsidRDefault="0048464B" w:rsidP="00F83382">
            <w:pPr>
              <w:spacing w:line="276" w:lineRule="auto"/>
              <w:cnfStyle w:val="000000100000"/>
              <w:rPr>
                <w:sz w:val="22"/>
              </w:rPr>
            </w:pPr>
            <w:r w:rsidRPr="00FB2DBA">
              <w:rPr>
                <w:sz w:val="22"/>
              </w:rPr>
              <w:t>1983.92</w:t>
            </w:r>
          </w:p>
        </w:tc>
        <w:tc>
          <w:tcPr>
            <w:tcW w:w="1049" w:type="dxa"/>
          </w:tcPr>
          <w:p w:rsidR="0048464B" w:rsidRPr="00FB2DBA" w:rsidRDefault="0048464B" w:rsidP="00F83382">
            <w:pPr>
              <w:spacing w:line="276" w:lineRule="auto"/>
              <w:cnfStyle w:val="000000100000"/>
              <w:rPr>
                <w:sz w:val="22"/>
              </w:rPr>
            </w:pPr>
          </w:p>
        </w:tc>
        <w:tc>
          <w:tcPr>
            <w:tcW w:w="1049" w:type="dxa"/>
          </w:tcPr>
          <w:p w:rsidR="0048464B" w:rsidRPr="00FB2DBA" w:rsidRDefault="0048464B" w:rsidP="00F83382">
            <w:pPr>
              <w:spacing w:line="276" w:lineRule="auto"/>
              <w:cnfStyle w:val="000000100000"/>
              <w:rPr>
                <w:sz w:val="22"/>
              </w:rPr>
            </w:pPr>
          </w:p>
        </w:tc>
      </w:tr>
      <w:tr w:rsidR="0048464B" w:rsidRPr="00FB2DBA" w:rsidTr="00F83382">
        <w:trPr>
          <w:trHeight w:val="20"/>
        </w:trPr>
        <w:tc>
          <w:tcPr>
            <w:cnfStyle w:val="001000000000"/>
            <w:tcW w:w="2425" w:type="dxa"/>
            <w:vMerge/>
          </w:tcPr>
          <w:p w:rsidR="0048464B" w:rsidRPr="00FB2DBA" w:rsidRDefault="0048464B" w:rsidP="00F83382">
            <w:pPr>
              <w:spacing w:line="276" w:lineRule="auto"/>
              <w:rPr>
                <w:sz w:val="22"/>
              </w:rPr>
            </w:pPr>
          </w:p>
        </w:tc>
        <w:tc>
          <w:tcPr>
            <w:tcW w:w="1890" w:type="dxa"/>
          </w:tcPr>
          <w:p w:rsidR="0048464B" w:rsidRPr="00FB2DBA" w:rsidRDefault="0048464B" w:rsidP="00F83382">
            <w:pPr>
              <w:spacing w:line="276" w:lineRule="auto"/>
              <w:cnfStyle w:val="000000000000"/>
              <w:rPr>
                <w:sz w:val="22"/>
              </w:rPr>
            </w:pPr>
            <w:r w:rsidRPr="00FB2DBA">
              <w:rPr>
                <w:sz w:val="22"/>
              </w:rPr>
              <w:t>Street</w:t>
            </w:r>
          </w:p>
        </w:tc>
        <w:tc>
          <w:tcPr>
            <w:tcW w:w="1048" w:type="dxa"/>
          </w:tcPr>
          <w:p w:rsidR="0048464B" w:rsidRPr="00FB2DBA" w:rsidRDefault="0048464B" w:rsidP="00F83382">
            <w:pPr>
              <w:spacing w:line="276" w:lineRule="auto"/>
              <w:cnfStyle w:val="000000000000"/>
              <w:rPr>
                <w:sz w:val="22"/>
              </w:rPr>
            </w:pPr>
            <w:r w:rsidRPr="00FB2DBA">
              <w:rPr>
                <w:sz w:val="22"/>
              </w:rPr>
              <w:t>200</w:t>
            </w:r>
          </w:p>
        </w:tc>
        <w:tc>
          <w:tcPr>
            <w:tcW w:w="1049" w:type="dxa"/>
          </w:tcPr>
          <w:p w:rsidR="0048464B" w:rsidRPr="00FB2DBA" w:rsidRDefault="0048464B" w:rsidP="00F83382">
            <w:pPr>
              <w:spacing w:line="276" w:lineRule="auto"/>
              <w:cnfStyle w:val="000000000000"/>
              <w:rPr>
                <w:sz w:val="22"/>
              </w:rPr>
            </w:pPr>
          </w:p>
        </w:tc>
        <w:tc>
          <w:tcPr>
            <w:tcW w:w="1048" w:type="dxa"/>
          </w:tcPr>
          <w:p w:rsidR="0048464B" w:rsidRPr="00FB2DBA" w:rsidRDefault="0048464B" w:rsidP="00F83382">
            <w:pPr>
              <w:spacing w:line="276" w:lineRule="auto"/>
              <w:cnfStyle w:val="000000000000"/>
              <w:rPr>
                <w:sz w:val="22"/>
              </w:rPr>
            </w:pPr>
            <w:r w:rsidRPr="00FB2DBA">
              <w:rPr>
                <w:sz w:val="22"/>
              </w:rPr>
              <w:t>1055.83</w:t>
            </w:r>
          </w:p>
        </w:tc>
        <w:tc>
          <w:tcPr>
            <w:tcW w:w="1049" w:type="dxa"/>
          </w:tcPr>
          <w:p w:rsidR="0048464B" w:rsidRPr="00FB2DBA" w:rsidRDefault="0048464B" w:rsidP="00F83382">
            <w:pPr>
              <w:spacing w:line="276" w:lineRule="auto"/>
              <w:cnfStyle w:val="000000000000"/>
              <w:rPr>
                <w:sz w:val="22"/>
              </w:rPr>
            </w:pPr>
          </w:p>
        </w:tc>
        <w:tc>
          <w:tcPr>
            <w:tcW w:w="1049" w:type="dxa"/>
          </w:tcPr>
          <w:p w:rsidR="0048464B" w:rsidRPr="00FB2DBA" w:rsidRDefault="0048464B" w:rsidP="00F83382">
            <w:pPr>
              <w:spacing w:line="276" w:lineRule="auto"/>
              <w:cnfStyle w:val="000000000000"/>
              <w:rPr>
                <w:sz w:val="22"/>
              </w:rPr>
            </w:pPr>
          </w:p>
        </w:tc>
      </w:tr>
      <w:tr w:rsidR="0048464B" w:rsidRPr="00FB2DBA" w:rsidTr="00F83382">
        <w:trPr>
          <w:cnfStyle w:val="000000100000"/>
          <w:trHeight w:val="20"/>
        </w:trPr>
        <w:tc>
          <w:tcPr>
            <w:cnfStyle w:val="001000000000"/>
            <w:tcW w:w="2425" w:type="dxa"/>
            <w:vMerge/>
          </w:tcPr>
          <w:p w:rsidR="0048464B" w:rsidRPr="00FB2DBA" w:rsidRDefault="0048464B" w:rsidP="00F83382">
            <w:pPr>
              <w:spacing w:line="276" w:lineRule="auto"/>
              <w:rPr>
                <w:sz w:val="22"/>
              </w:rPr>
            </w:pPr>
          </w:p>
        </w:tc>
        <w:tc>
          <w:tcPr>
            <w:tcW w:w="1890" w:type="dxa"/>
          </w:tcPr>
          <w:p w:rsidR="0048464B" w:rsidRPr="00FB2DBA" w:rsidRDefault="0048464B" w:rsidP="00F83382">
            <w:pPr>
              <w:spacing w:line="276" w:lineRule="auto"/>
              <w:cnfStyle w:val="000000100000"/>
              <w:rPr>
                <w:sz w:val="22"/>
              </w:rPr>
            </w:pPr>
            <w:r w:rsidRPr="00FB2DBA">
              <w:rPr>
                <w:sz w:val="22"/>
              </w:rPr>
              <w:t>Others</w:t>
            </w:r>
          </w:p>
        </w:tc>
        <w:tc>
          <w:tcPr>
            <w:tcW w:w="1048" w:type="dxa"/>
          </w:tcPr>
          <w:p w:rsidR="0048464B" w:rsidRPr="00FB2DBA" w:rsidRDefault="0048464B" w:rsidP="00F83382">
            <w:pPr>
              <w:spacing w:line="276" w:lineRule="auto"/>
              <w:cnfStyle w:val="000000100000"/>
              <w:rPr>
                <w:sz w:val="22"/>
              </w:rPr>
            </w:pPr>
          </w:p>
        </w:tc>
        <w:tc>
          <w:tcPr>
            <w:tcW w:w="1049" w:type="dxa"/>
          </w:tcPr>
          <w:p w:rsidR="0048464B" w:rsidRPr="00FB2DBA" w:rsidRDefault="0048464B" w:rsidP="00F83382">
            <w:pPr>
              <w:spacing w:line="276" w:lineRule="auto"/>
              <w:cnfStyle w:val="000000100000"/>
              <w:rPr>
                <w:sz w:val="22"/>
              </w:rPr>
            </w:pPr>
          </w:p>
        </w:tc>
        <w:tc>
          <w:tcPr>
            <w:tcW w:w="1048" w:type="dxa"/>
          </w:tcPr>
          <w:p w:rsidR="0048464B" w:rsidRPr="00FB2DBA" w:rsidRDefault="0048464B" w:rsidP="00F83382">
            <w:pPr>
              <w:spacing w:line="276" w:lineRule="auto"/>
              <w:cnfStyle w:val="000000100000"/>
              <w:rPr>
                <w:sz w:val="22"/>
              </w:rPr>
            </w:pPr>
          </w:p>
        </w:tc>
        <w:tc>
          <w:tcPr>
            <w:tcW w:w="1049" w:type="dxa"/>
          </w:tcPr>
          <w:p w:rsidR="0048464B" w:rsidRPr="00FB2DBA" w:rsidRDefault="0048464B" w:rsidP="00F83382">
            <w:pPr>
              <w:spacing w:line="276" w:lineRule="auto"/>
              <w:cnfStyle w:val="000000100000"/>
              <w:rPr>
                <w:sz w:val="22"/>
              </w:rPr>
            </w:pPr>
          </w:p>
        </w:tc>
        <w:tc>
          <w:tcPr>
            <w:tcW w:w="1049" w:type="dxa"/>
          </w:tcPr>
          <w:p w:rsidR="0048464B" w:rsidRPr="00FB2DBA" w:rsidRDefault="0048464B" w:rsidP="00F83382">
            <w:pPr>
              <w:spacing w:line="276" w:lineRule="auto"/>
              <w:cnfStyle w:val="000000100000"/>
              <w:rPr>
                <w:sz w:val="22"/>
              </w:rPr>
            </w:pPr>
          </w:p>
        </w:tc>
      </w:tr>
      <w:tr w:rsidR="0048464B" w:rsidRPr="00FB2DBA" w:rsidTr="00F83382">
        <w:trPr>
          <w:trHeight w:val="20"/>
        </w:trPr>
        <w:tc>
          <w:tcPr>
            <w:cnfStyle w:val="001000000000"/>
            <w:tcW w:w="2425" w:type="dxa"/>
          </w:tcPr>
          <w:p w:rsidR="0048464B" w:rsidRPr="00FB2DBA" w:rsidRDefault="0048464B" w:rsidP="00F83382">
            <w:pPr>
              <w:spacing w:line="276" w:lineRule="auto"/>
              <w:rPr>
                <w:sz w:val="22"/>
              </w:rPr>
            </w:pPr>
            <w:r w:rsidRPr="00FB2DBA">
              <w:rPr>
                <w:sz w:val="22"/>
              </w:rPr>
              <w:t>Total Generated</w:t>
            </w:r>
          </w:p>
        </w:tc>
        <w:tc>
          <w:tcPr>
            <w:tcW w:w="1890" w:type="dxa"/>
          </w:tcPr>
          <w:p w:rsidR="0048464B" w:rsidRPr="00FB2DBA" w:rsidRDefault="0048464B" w:rsidP="00F83382">
            <w:pPr>
              <w:spacing w:line="276" w:lineRule="auto"/>
              <w:cnfStyle w:val="000000000000"/>
              <w:rPr>
                <w:sz w:val="22"/>
              </w:rPr>
            </w:pPr>
          </w:p>
        </w:tc>
        <w:tc>
          <w:tcPr>
            <w:tcW w:w="1048" w:type="dxa"/>
          </w:tcPr>
          <w:p w:rsidR="0048464B" w:rsidRPr="00FB2DBA" w:rsidRDefault="0048464B" w:rsidP="00F83382">
            <w:pPr>
              <w:spacing w:line="276" w:lineRule="auto"/>
              <w:cnfStyle w:val="000000000000"/>
              <w:rPr>
                <w:sz w:val="22"/>
              </w:rPr>
            </w:pPr>
            <w:r w:rsidRPr="00FB2DBA">
              <w:rPr>
                <w:sz w:val="22"/>
              </w:rPr>
              <w:t>3200</w:t>
            </w:r>
          </w:p>
        </w:tc>
        <w:tc>
          <w:tcPr>
            <w:tcW w:w="1049" w:type="dxa"/>
          </w:tcPr>
          <w:p w:rsidR="0048464B" w:rsidRPr="00FB2DBA" w:rsidRDefault="0048464B" w:rsidP="00F83382">
            <w:pPr>
              <w:spacing w:line="276" w:lineRule="auto"/>
              <w:cnfStyle w:val="000000000000"/>
              <w:rPr>
                <w:sz w:val="22"/>
              </w:rPr>
            </w:pPr>
            <w:r w:rsidRPr="00FB2DBA">
              <w:rPr>
                <w:sz w:val="22"/>
              </w:rPr>
              <w:t>4866.50</w:t>
            </w:r>
          </w:p>
        </w:tc>
        <w:tc>
          <w:tcPr>
            <w:tcW w:w="1048" w:type="dxa"/>
          </w:tcPr>
          <w:p w:rsidR="0048464B" w:rsidRPr="00FB2DBA" w:rsidRDefault="0048464B" w:rsidP="00F83382">
            <w:pPr>
              <w:spacing w:line="276" w:lineRule="auto"/>
              <w:cnfStyle w:val="000000000000"/>
              <w:rPr>
                <w:sz w:val="22"/>
              </w:rPr>
            </w:pPr>
            <w:r w:rsidRPr="00FB2DBA">
              <w:rPr>
                <w:sz w:val="22"/>
              </w:rPr>
              <w:t>6110.47</w:t>
            </w:r>
          </w:p>
        </w:tc>
        <w:tc>
          <w:tcPr>
            <w:tcW w:w="1049" w:type="dxa"/>
          </w:tcPr>
          <w:p w:rsidR="0048464B" w:rsidRPr="00FB2DBA" w:rsidRDefault="0048464B" w:rsidP="00F83382">
            <w:pPr>
              <w:spacing w:line="276" w:lineRule="auto"/>
              <w:cnfStyle w:val="000000000000"/>
              <w:rPr>
                <w:sz w:val="22"/>
              </w:rPr>
            </w:pPr>
          </w:p>
        </w:tc>
        <w:tc>
          <w:tcPr>
            <w:tcW w:w="1049" w:type="dxa"/>
          </w:tcPr>
          <w:p w:rsidR="0048464B" w:rsidRPr="00FB2DBA" w:rsidRDefault="0048464B" w:rsidP="00F83382">
            <w:pPr>
              <w:spacing w:line="276" w:lineRule="auto"/>
              <w:cnfStyle w:val="000000000000"/>
              <w:rPr>
                <w:sz w:val="22"/>
              </w:rPr>
            </w:pPr>
            <w:r w:rsidRPr="00FB2DBA">
              <w:rPr>
                <w:sz w:val="22"/>
              </w:rPr>
              <w:t>4624</w:t>
            </w:r>
          </w:p>
        </w:tc>
      </w:tr>
      <w:tr w:rsidR="0048464B" w:rsidRPr="00FB2DBA" w:rsidTr="00F83382">
        <w:trPr>
          <w:cnfStyle w:val="000000100000"/>
          <w:trHeight w:val="20"/>
        </w:trPr>
        <w:tc>
          <w:tcPr>
            <w:cnfStyle w:val="001000000000"/>
            <w:tcW w:w="2425" w:type="dxa"/>
          </w:tcPr>
          <w:p w:rsidR="0048464B" w:rsidRPr="00FB2DBA" w:rsidRDefault="0048464B" w:rsidP="00F83382">
            <w:pPr>
              <w:spacing w:line="276" w:lineRule="auto"/>
              <w:rPr>
                <w:sz w:val="22"/>
              </w:rPr>
            </w:pPr>
            <w:r w:rsidRPr="00FB2DBA">
              <w:rPr>
                <w:sz w:val="22"/>
              </w:rPr>
              <w:t>Collected by City Corporation</w:t>
            </w:r>
          </w:p>
        </w:tc>
        <w:tc>
          <w:tcPr>
            <w:tcW w:w="1890" w:type="dxa"/>
          </w:tcPr>
          <w:p w:rsidR="0048464B" w:rsidRPr="00FB2DBA" w:rsidRDefault="0048464B" w:rsidP="00F83382">
            <w:pPr>
              <w:spacing w:line="276" w:lineRule="auto"/>
              <w:cnfStyle w:val="000000100000"/>
              <w:rPr>
                <w:sz w:val="22"/>
              </w:rPr>
            </w:pPr>
          </w:p>
        </w:tc>
        <w:tc>
          <w:tcPr>
            <w:tcW w:w="1048" w:type="dxa"/>
          </w:tcPr>
          <w:p w:rsidR="0048464B" w:rsidRPr="00FB2DBA" w:rsidRDefault="0048464B" w:rsidP="00F83382">
            <w:pPr>
              <w:spacing w:line="276" w:lineRule="auto"/>
              <w:cnfStyle w:val="000000100000"/>
              <w:rPr>
                <w:sz w:val="22"/>
              </w:rPr>
            </w:pPr>
            <w:r w:rsidRPr="00FB2DBA">
              <w:rPr>
                <w:sz w:val="22"/>
              </w:rPr>
              <w:t>1400</w:t>
            </w:r>
          </w:p>
        </w:tc>
        <w:tc>
          <w:tcPr>
            <w:tcW w:w="1049" w:type="dxa"/>
          </w:tcPr>
          <w:p w:rsidR="0048464B" w:rsidRPr="00FB2DBA" w:rsidRDefault="0048464B" w:rsidP="00F83382">
            <w:pPr>
              <w:spacing w:line="276" w:lineRule="auto"/>
              <w:cnfStyle w:val="000000100000"/>
              <w:rPr>
                <w:sz w:val="22"/>
              </w:rPr>
            </w:pPr>
          </w:p>
        </w:tc>
        <w:tc>
          <w:tcPr>
            <w:tcW w:w="1048" w:type="dxa"/>
          </w:tcPr>
          <w:p w:rsidR="0048464B" w:rsidRPr="00FB2DBA" w:rsidRDefault="0048464B" w:rsidP="00F83382">
            <w:pPr>
              <w:spacing w:line="276" w:lineRule="auto"/>
              <w:cnfStyle w:val="000000100000"/>
              <w:rPr>
                <w:sz w:val="22"/>
              </w:rPr>
            </w:pPr>
          </w:p>
        </w:tc>
        <w:tc>
          <w:tcPr>
            <w:tcW w:w="1049" w:type="dxa"/>
          </w:tcPr>
          <w:p w:rsidR="0048464B" w:rsidRPr="00FB2DBA" w:rsidRDefault="0048464B" w:rsidP="00F83382">
            <w:pPr>
              <w:spacing w:line="276" w:lineRule="auto"/>
              <w:cnfStyle w:val="000000100000"/>
              <w:rPr>
                <w:sz w:val="22"/>
              </w:rPr>
            </w:pPr>
            <w:r w:rsidRPr="00FB2DBA">
              <w:rPr>
                <w:sz w:val="22"/>
              </w:rPr>
              <w:t>4653</w:t>
            </w:r>
          </w:p>
        </w:tc>
        <w:tc>
          <w:tcPr>
            <w:tcW w:w="1049" w:type="dxa"/>
          </w:tcPr>
          <w:p w:rsidR="0048464B" w:rsidRPr="00FB2DBA" w:rsidRDefault="0048464B" w:rsidP="00F83382">
            <w:pPr>
              <w:spacing w:line="276" w:lineRule="auto"/>
              <w:cnfStyle w:val="000000100000"/>
              <w:rPr>
                <w:sz w:val="22"/>
              </w:rPr>
            </w:pPr>
          </w:p>
        </w:tc>
      </w:tr>
      <w:tr w:rsidR="0048464B" w:rsidRPr="00FB2DBA" w:rsidTr="00F83382">
        <w:trPr>
          <w:trHeight w:val="20"/>
        </w:trPr>
        <w:tc>
          <w:tcPr>
            <w:cnfStyle w:val="001000000000"/>
            <w:tcW w:w="2425" w:type="dxa"/>
          </w:tcPr>
          <w:p w:rsidR="0048464B" w:rsidRPr="00FB2DBA" w:rsidRDefault="0048464B" w:rsidP="00F83382">
            <w:pPr>
              <w:spacing w:line="276" w:lineRule="auto"/>
              <w:rPr>
                <w:sz w:val="22"/>
              </w:rPr>
            </w:pPr>
            <w:r w:rsidRPr="00FB2DBA">
              <w:rPr>
                <w:sz w:val="22"/>
              </w:rPr>
              <w:t>Per Capita Waste Generated</w:t>
            </w:r>
          </w:p>
        </w:tc>
        <w:tc>
          <w:tcPr>
            <w:tcW w:w="1890" w:type="dxa"/>
          </w:tcPr>
          <w:p w:rsidR="0048464B" w:rsidRPr="00FB2DBA" w:rsidRDefault="0048464B" w:rsidP="00F83382">
            <w:pPr>
              <w:spacing w:line="276" w:lineRule="auto"/>
              <w:cnfStyle w:val="000000000000"/>
              <w:rPr>
                <w:sz w:val="22"/>
              </w:rPr>
            </w:pPr>
          </w:p>
        </w:tc>
        <w:tc>
          <w:tcPr>
            <w:tcW w:w="1048" w:type="dxa"/>
          </w:tcPr>
          <w:p w:rsidR="0048464B" w:rsidRPr="00FB2DBA" w:rsidRDefault="0048464B" w:rsidP="00F83382">
            <w:pPr>
              <w:spacing w:line="276" w:lineRule="auto"/>
              <w:cnfStyle w:val="000000000000"/>
              <w:rPr>
                <w:sz w:val="22"/>
              </w:rPr>
            </w:pPr>
            <w:r w:rsidRPr="00FB2DBA">
              <w:rPr>
                <w:sz w:val="22"/>
              </w:rPr>
              <w:t>0.34</w:t>
            </w:r>
          </w:p>
        </w:tc>
        <w:tc>
          <w:tcPr>
            <w:tcW w:w="1049" w:type="dxa"/>
          </w:tcPr>
          <w:p w:rsidR="0048464B" w:rsidRPr="00FB2DBA" w:rsidRDefault="0048464B" w:rsidP="00F83382">
            <w:pPr>
              <w:spacing w:line="276" w:lineRule="auto"/>
              <w:cnfStyle w:val="000000000000"/>
              <w:rPr>
                <w:sz w:val="22"/>
              </w:rPr>
            </w:pPr>
            <w:r w:rsidRPr="00FB2DBA">
              <w:rPr>
                <w:sz w:val="22"/>
              </w:rPr>
              <w:t>0.41</w:t>
            </w:r>
          </w:p>
        </w:tc>
        <w:tc>
          <w:tcPr>
            <w:tcW w:w="1048" w:type="dxa"/>
          </w:tcPr>
          <w:p w:rsidR="0048464B" w:rsidRPr="00FB2DBA" w:rsidRDefault="0048464B" w:rsidP="00F83382">
            <w:pPr>
              <w:spacing w:line="276" w:lineRule="auto"/>
              <w:cnfStyle w:val="000000000000"/>
              <w:rPr>
                <w:sz w:val="22"/>
              </w:rPr>
            </w:pPr>
            <w:r w:rsidRPr="00FB2DBA">
              <w:rPr>
                <w:sz w:val="22"/>
              </w:rPr>
              <w:t>0.38</w:t>
            </w:r>
          </w:p>
        </w:tc>
        <w:tc>
          <w:tcPr>
            <w:tcW w:w="1049" w:type="dxa"/>
          </w:tcPr>
          <w:p w:rsidR="0048464B" w:rsidRPr="00FB2DBA" w:rsidRDefault="0048464B" w:rsidP="00F83382">
            <w:pPr>
              <w:spacing w:line="276" w:lineRule="auto"/>
              <w:cnfStyle w:val="000000000000"/>
              <w:rPr>
                <w:sz w:val="22"/>
              </w:rPr>
            </w:pPr>
          </w:p>
        </w:tc>
        <w:tc>
          <w:tcPr>
            <w:tcW w:w="1049" w:type="dxa"/>
          </w:tcPr>
          <w:p w:rsidR="0048464B" w:rsidRPr="00FB2DBA" w:rsidRDefault="0048464B" w:rsidP="00F83382">
            <w:pPr>
              <w:spacing w:line="276" w:lineRule="auto"/>
              <w:cnfStyle w:val="000000000000"/>
              <w:rPr>
                <w:sz w:val="22"/>
              </w:rPr>
            </w:pPr>
          </w:p>
        </w:tc>
      </w:tr>
      <w:tr w:rsidR="0048464B" w:rsidRPr="00FB2DBA" w:rsidTr="00F83382">
        <w:trPr>
          <w:cnfStyle w:val="000000100000"/>
          <w:trHeight w:val="20"/>
        </w:trPr>
        <w:tc>
          <w:tcPr>
            <w:cnfStyle w:val="001000000000"/>
            <w:tcW w:w="2425" w:type="dxa"/>
          </w:tcPr>
          <w:p w:rsidR="0048464B" w:rsidRPr="00FB2DBA" w:rsidRDefault="0048464B" w:rsidP="00F83382">
            <w:pPr>
              <w:spacing w:line="276" w:lineRule="auto"/>
              <w:rPr>
                <w:sz w:val="22"/>
              </w:rPr>
            </w:pPr>
            <w:r w:rsidRPr="00FB2DBA">
              <w:rPr>
                <w:sz w:val="22"/>
              </w:rPr>
              <w:t>Collected Waste as Percentage of Generated</w:t>
            </w:r>
          </w:p>
        </w:tc>
        <w:tc>
          <w:tcPr>
            <w:tcW w:w="1890" w:type="dxa"/>
          </w:tcPr>
          <w:p w:rsidR="0048464B" w:rsidRPr="00FB2DBA" w:rsidRDefault="0048464B" w:rsidP="00F83382">
            <w:pPr>
              <w:spacing w:line="276" w:lineRule="auto"/>
              <w:cnfStyle w:val="000000100000"/>
              <w:rPr>
                <w:sz w:val="22"/>
              </w:rPr>
            </w:pPr>
          </w:p>
        </w:tc>
        <w:tc>
          <w:tcPr>
            <w:tcW w:w="1048" w:type="dxa"/>
          </w:tcPr>
          <w:p w:rsidR="0048464B" w:rsidRPr="00FB2DBA" w:rsidRDefault="0048464B" w:rsidP="00F83382">
            <w:pPr>
              <w:spacing w:line="276" w:lineRule="auto"/>
              <w:cnfStyle w:val="000000100000"/>
              <w:rPr>
                <w:sz w:val="22"/>
              </w:rPr>
            </w:pPr>
            <w:r w:rsidRPr="00FB2DBA">
              <w:rPr>
                <w:sz w:val="22"/>
              </w:rPr>
              <w:t>43%</w:t>
            </w:r>
          </w:p>
        </w:tc>
        <w:tc>
          <w:tcPr>
            <w:tcW w:w="1049" w:type="dxa"/>
          </w:tcPr>
          <w:p w:rsidR="0048464B" w:rsidRPr="00FB2DBA" w:rsidRDefault="0048464B" w:rsidP="00F83382">
            <w:pPr>
              <w:spacing w:line="276" w:lineRule="auto"/>
              <w:cnfStyle w:val="000000100000"/>
              <w:rPr>
                <w:sz w:val="22"/>
              </w:rPr>
            </w:pPr>
          </w:p>
        </w:tc>
        <w:tc>
          <w:tcPr>
            <w:tcW w:w="1048" w:type="dxa"/>
          </w:tcPr>
          <w:p w:rsidR="0048464B" w:rsidRPr="00FB2DBA" w:rsidRDefault="0048464B" w:rsidP="00F83382">
            <w:pPr>
              <w:spacing w:line="276" w:lineRule="auto"/>
              <w:cnfStyle w:val="000000100000"/>
              <w:rPr>
                <w:sz w:val="22"/>
              </w:rPr>
            </w:pPr>
            <w:r w:rsidRPr="00FB2DBA">
              <w:rPr>
                <w:sz w:val="22"/>
              </w:rPr>
              <w:t>75.98%</w:t>
            </w:r>
          </w:p>
        </w:tc>
        <w:tc>
          <w:tcPr>
            <w:tcW w:w="1049" w:type="dxa"/>
          </w:tcPr>
          <w:p w:rsidR="0048464B" w:rsidRPr="00FB2DBA" w:rsidRDefault="0048464B" w:rsidP="00F83382">
            <w:pPr>
              <w:spacing w:line="276" w:lineRule="auto"/>
              <w:cnfStyle w:val="000000100000"/>
              <w:rPr>
                <w:sz w:val="22"/>
              </w:rPr>
            </w:pPr>
          </w:p>
        </w:tc>
        <w:tc>
          <w:tcPr>
            <w:tcW w:w="1049" w:type="dxa"/>
          </w:tcPr>
          <w:p w:rsidR="0048464B" w:rsidRPr="00FB2DBA" w:rsidRDefault="0048464B" w:rsidP="00F83382">
            <w:pPr>
              <w:spacing w:line="276" w:lineRule="auto"/>
              <w:cnfStyle w:val="000000100000"/>
              <w:rPr>
                <w:sz w:val="22"/>
              </w:rPr>
            </w:pPr>
          </w:p>
        </w:tc>
      </w:tr>
    </w:tbl>
    <w:p w:rsidR="0048464B" w:rsidRPr="00B40996" w:rsidRDefault="0048464B" w:rsidP="0048464B">
      <w:pPr>
        <w:spacing w:before="120" w:line="276" w:lineRule="auto"/>
        <w:jc w:val="both"/>
        <w:rPr>
          <w:rFonts w:cs="Times New Roman"/>
          <w:b/>
          <w:i/>
          <w:iCs/>
          <w:sz w:val="20"/>
          <w:szCs w:val="20"/>
        </w:rPr>
      </w:pPr>
      <w:r w:rsidRPr="00B40996">
        <w:rPr>
          <w:rFonts w:cs="Times New Roman"/>
          <w:b/>
          <w:i/>
          <w:iCs/>
          <w:sz w:val="20"/>
          <w:szCs w:val="20"/>
        </w:rPr>
        <w:t>Source: BIGD, 2015</w:t>
      </w:r>
    </w:p>
    <w:p w:rsidR="0048464B" w:rsidRPr="00BD195F" w:rsidRDefault="0048464B" w:rsidP="0048464B">
      <w:pPr>
        <w:spacing w:line="276" w:lineRule="auto"/>
        <w:jc w:val="both"/>
        <w:rPr>
          <w:rFonts w:cs="Times New Roman"/>
          <w:szCs w:val="24"/>
        </w:rPr>
      </w:pPr>
      <w:r w:rsidRPr="00B40996">
        <w:rPr>
          <w:rFonts w:cs="Times New Roman"/>
          <w:szCs w:val="24"/>
        </w:rPr>
        <w:t>Table</w:t>
      </w:r>
      <w:r>
        <w:rPr>
          <w:rFonts w:cs="Times New Roman"/>
          <w:szCs w:val="24"/>
        </w:rPr>
        <w:t>s 10.21 and 10.22</w:t>
      </w:r>
      <w:r w:rsidRPr="00B40996">
        <w:rPr>
          <w:rFonts w:cs="Times New Roman"/>
          <w:szCs w:val="24"/>
        </w:rPr>
        <w:t xml:space="preserve"> present per capita waste generation in </w:t>
      </w:r>
      <w:r>
        <w:rPr>
          <w:rFonts w:cs="Times New Roman"/>
          <w:szCs w:val="24"/>
        </w:rPr>
        <w:t xml:space="preserve">other </w:t>
      </w:r>
      <w:r w:rsidRPr="00B40996">
        <w:rPr>
          <w:rFonts w:cs="Times New Roman"/>
          <w:szCs w:val="24"/>
        </w:rPr>
        <w:t>six city corporations and six paurashavas respectively in 2012. For city corporations</w:t>
      </w:r>
      <w:r>
        <w:rPr>
          <w:rFonts w:cs="Times New Roman"/>
          <w:szCs w:val="24"/>
        </w:rPr>
        <w:t>,</w:t>
      </w:r>
      <w:r w:rsidRPr="00B40996">
        <w:rPr>
          <w:rFonts w:cs="Times New Roman"/>
          <w:szCs w:val="24"/>
        </w:rPr>
        <w:t xml:space="preserve"> the amount varied between 0.16 and 0.34 kg/capita/day while in </w:t>
      </w:r>
      <w:r>
        <w:rPr>
          <w:rFonts w:cs="Times New Roman"/>
          <w:szCs w:val="24"/>
        </w:rPr>
        <w:t xml:space="preserve">the </w:t>
      </w:r>
      <w:r w:rsidRPr="00B40996">
        <w:rPr>
          <w:rFonts w:cs="Times New Roman"/>
          <w:szCs w:val="24"/>
        </w:rPr>
        <w:t>case of paurashavas the amount varied between 0.19 and 0.36 kg/capita/day indicating that the pattern of solid waste generation was more or less similar across city</w:t>
      </w:r>
      <w:r>
        <w:rPr>
          <w:rFonts w:cs="Times New Roman"/>
          <w:szCs w:val="24"/>
        </w:rPr>
        <w:t xml:space="preserve"> corporations and paurashavas. </w:t>
      </w:r>
    </w:p>
    <w:p w:rsidR="0048464B" w:rsidRPr="00101CE9" w:rsidRDefault="0048464B" w:rsidP="0048464B">
      <w:pPr>
        <w:jc w:val="center"/>
        <w:rPr>
          <w:b/>
        </w:rPr>
      </w:pPr>
      <w:bookmarkStart w:id="768" w:name="_Toc464329000"/>
      <w:r w:rsidRPr="00101CE9">
        <w:rPr>
          <w:b/>
        </w:rPr>
        <w:t>Table 10.21: Waste Generation Rate of Four City Corporations</w:t>
      </w:r>
      <w:bookmarkEnd w:id="768"/>
    </w:p>
    <w:tbl>
      <w:tblPr>
        <w:tblStyle w:val="PlainTable120"/>
        <w:tblW w:w="0" w:type="auto"/>
        <w:tblLook w:val="04A0"/>
      </w:tblPr>
      <w:tblGrid>
        <w:gridCol w:w="3005"/>
        <w:gridCol w:w="3006"/>
        <w:gridCol w:w="3006"/>
      </w:tblGrid>
      <w:tr w:rsidR="0048464B" w:rsidRPr="002F5670" w:rsidTr="00F83382">
        <w:trPr>
          <w:cnfStyle w:val="100000000000"/>
          <w:trHeight w:val="360"/>
        </w:trPr>
        <w:tc>
          <w:tcPr>
            <w:cnfStyle w:val="001000000000"/>
            <w:tcW w:w="3005" w:type="dxa"/>
            <w:vMerge w:val="restart"/>
          </w:tcPr>
          <w:p w:rsidR="0048464B" w:rsidRPr="00D10C92" w:rsidRDefault="0048464B" w:rsidP="00F83382">
            <w:pPr>
              <w:jc w:val="center"/>
              <w:rPr>
                <w:rFonts w:cs="Times New Roman"/>
                <w:szCs w:val="24"/>
              </w:rPr>
            </w:pPr>
            <w:r w:rsidRPr="00D10C92">
              <w:rPr>
                <w:rFonts w:cs="Times New Roman"/>
                <w:szCs w:val="24"/>
              </w:rPr>
              <w:t>City Corporations</w:t>
            </w:r>
          </w:p>
        </w:tc>
        <w:tc>
          <w:tcPr>
            <w:tcW w:w="6012" w:type="dxa"/>
            <w:gridSpan w:val="2"/>
          </w:tcPr>
          <w:p w:rsidR="0048464B" w:rsidRPr="00D10C92" w:rsidRDefault="0048464B" w:rsidP="00F83382">
            <w:pPr>
              <w:jc w:val="center"/>
              <w:cnfStyle w:val="100000000000"/>
              <w:rPr>
                <w:rFonts w:cs="Times New Roman"/>
                <w:szCs w:val="24"/>
              </w:rPr>
            </w:pPr>
            <w:r w:rsidRPr="00D10C92">
              <w:rPr>
                <w:rFonts w:cs="Times New Roman"/>
                <w:szCs w:val="24"/>
              </w:rPr>
              <w:t>Waste Generation Rate (Weighted Average)</w:t>
            </w:r>
          </w:p>
        </w:tc>
      </w:tr>
      <w:tr w:rsidR="0048464B" w:rsidRPr="002F5670" w:rsidTr="00F83382">
        <w:trPr>
          <w:cnfStyle w:val="000000100000"/>
          <w:trHeight w:val="360"/>
        </w:trPr>
        <w:tc>
          <w:tcPr>
            <w:cnfStyle w:val="001000000000"/>
            <w:tcW w:w="3005" w:type="dxa"/>
            <w:vMerge/>
          </w:tcPr>
          <w:p w:rsidR="0048464B" w:rsidRPr="002F5670" w:rsidRDefault="0048464B" w:rsidP="00F83382">
            <w:pPr>
              <w:jc w:val="center"/>
              <w:rPr>
                <w:rFonts w:cs="Times New Roman"/>
                <w:b w:val="0"/>
                <w:szCs w:val="24"/>
              </w:rPr>
            </w:pPr>
          </w:p>
        </w:tc>
        <w:tc>
          <w:tcPr>
            <w:tcW w:w="3006" w:type="dxa"/>
          </w:tcPr>
          <w:p w:rsidR="0048464B" w:rsidRPr="002F5670" w:rsidRDefault="0048464B" w:rsidP="00F83382">
            <w:pPr>
              <w:jc w:val="center"/>
              <w:cnfStyle w:val="000000100000"/>
              <w:rPr>
                <w:rFonts w:cs="Times New Roman"/>
                <w:b/>
                <w:szCs w:val="24"/>
              </w:rPr>
            </w:pPr>
            <w:r w:rsidRPr="002F5670">
              <w:rPr>
                <w:rFonts w:cs="Times New Roman"/>
                <w:b/>
                <w:szCs w:val="24"/>
              </w:rPr>
              <w:t>Kg/hh/day</w:t>
            </w:r>
          </w:p>
        </w:tc>
        <w:tc>
          <w:tcPr>
            <w:tcW w:w="3006" w:type="dxa"/>
          </w:tcPr>
          <w:p w:rsidR="0048464B" w:rsidRPr="002F5670" w:rsidRDefault="0048464B" w:rsidP="00F83382">
            <w:pPr>
              <w:jc w:val="center"/>
              <w:cnfStyle w:val="000000100000"/>
              <w:rPr>
                <w:rFonts w:cs="Times New Roman"/>
                <w:b/>
                <w:szCs w:val="24"/>
              </w:rPr>
            </w:pPr>
            <w:r w:rsidRPr="002F5670">
              <w:rPr>
                <w:rFonts w:cs="Times New Roman"/>
                <w:b/>
                <w:szCs w:val="24"/>
              </w:rPr>
              <w:t>Kg/capita/day</w:t>
            </w:r>
          </w:p>
        </w:tc>
      </w:tr>
      <w:tr w:rsidR="0048464B" w:rsidRPr="002F5670" w:rsidTr="00F83382">
        <w:trPr>
          <w:trHeight w:val="360"/>
        </w:trPr>
        <w:tc>
          <w:tcPr>
            <w:cnfStyle w:val="001000000000"/>
            <w:tcW w:w="3005" w:type="dxa"/>
          </w:tcPr>
          <w:p w:rsidR="0048464B" w:rsidRPr="002F5670" w:rsidRDefault="0048464B" w:rsidP="00F83382">
            <w:pPr>
              <w:jc w:val="center"/>
              <w:rPr>
                <w:rFonts w:cs="Times New Roman"/>
                <w:szCs w:val="24"/>
              </w:rPr>
            </w:pPr>
            <w:r w:rsidRPr="002F5670">
              <w:rPr>
                <w:rFonts w:cs="Times New Roman"/>
                <w:szCs w:val="24"/>
              </w:rPr>
              <w:t>Barisal</w:t>
            </w:r>
          </w:p>
        </w:tc>
        <w:tc>
          <w:tcPr>
            <w:tcW w:w="3006" w:type="dxa"/>
          </w:tcPr>
          <w:p w:rsidR="0048464B" w:rsidRPr="002F5670" w:rsidRDefault="0048464B" w:rsidP="00F83382">
            <w:pPr>
              <w:jc w:val="center"/>
              <w:cnfStyle w:val="000000000000"/>
              <w:rPr>
                <w:rFonts w:cs="Times New Roman"/>
                <w:szCs w:val="24"/>
              </w:rPr>
            </w:pPr>
            <w:r w:rsidRPr="002F5670">
              <w:rPr>
                <w:rFonts w:cs="Times New Roman"/>
                <w:szCs w:val="24"/>
              </w:rPr>
              <w:t>0.80</w:t>
            </w:r>
          </w:p>
        </w:tc>
        <w:tc>
          <w:tcPr>
            <w:tcW w:w="3006" w:type="dxa"/>
          </w:tcPr>
          <w:p w:rsidR="0048464B" w:rsidRPr="002F5670" w:rsidRDefault="0048464B" w:rsidP="00F83382">
            <w:pPr>
              <w:jc w:val="center"/>
              <w:cnfStyle w:val="000000000000"/>
              <w:rPr>
                <w:rFonts w:cs="Times New Roman"/>
                <w:szCs w:val="24"/>
              </w:rPr>
            </w:pPr>
            <w:r w:rsidRPr="002F5670">
              <w:rPr>
                <w:rFonts w:cs="Times New Roman"/>
                <w:szCs w:val="24"/>
              </w:rPr>
              <w:t>0.16</w:t>
            </w:r>
          </w:p>
        </w:tc>
      </w:tr>
      <w:tr w:rsidR="0048464B" w:rsidRPr="002F5670" w:rsidTr="00F83382">
        <w:trPr>
          <w:cnfStyle w:val="000000100000"/>
          <w:trHeight w:val="360"/>
        </w:trPr>
        <w:tc>
          <w:tcPr>
            <w:cnfStyle w:val="001000000000"/>
            <w:tcW w:w="3005" w:type="dxa"/>
          </w:tcPr>
          <w:p w:rsidR="0048464B" w:rsidRPr="002F5670" w:rsidRDefault="0048464B" w:rsidP="00F83382">
            <w:pPr>
              <w:jc w:val="center"/>
              <w:rPr>
                <w:rFonts w:cs="Times New Roman"/>
                <w:szCs w:val="24"/>
              </w:rPr>
            </w:pPr>
            <w:r w:rsidRPr="002F5670">
              <w:rPr>
                <w:rFonts w:cs="Times New Roman"/>
                <w:szCs w:val="24"/>
              </w:rPr>
              <w:t>Gazipur</w:t>
            </w:r>
          </w:p>
        </w:tc>
        <w:tc>
          <w:tcPr>
            <w:tcW w:w="3006" w:type="dxa"/>
          </w:tcPr>
          <w:p w:rsidR="0048464B" w:rsidRPr="002F5670" w:rsidRDefault="0048464B" w:rsidP="00F83382">
            <w:pPr>
              <w:jc w:val="center"/>
              <w:cnfStyle w:val="000000100000"/>
              <w:rPr>
                <w:rFonts w:cs="Times New Roman"/>
                <w:szCs w:val="24"/>
              </w:rPr>
            </w:pPr>
            <w:r w:rsidRPr="002F5670">
              <w:rPr>
                <w:rFonts w:cs="Times New Roman"/>
                <w:szCs w:val="24"/>
              </w:rPr>
              <w:t>0.88</w:t>
            </w:r>
          </w:p>
        </w:tc>
        <w:tc>
          <w:tcPr>
            <w:tcW w:w="3006" w:type="dxa"/>
          </w:tcPr>
          <w:p w:rsidR="0048464B" w:rsidRPr="002F5670" w:rsidRDefault="0048464B" w:rsidP="00F83382">
            <w:pPr>
              <w:jc w:val="center"/>
              <w:cnfStyle w:val="000000100000"/>
              <w:rPr>
                <w:rFonts w:cs="Times New Roman"/>
                <w:szCs w:val="24"/>
              </w:rPr>
            </w:pPr>
            <w:r w:rsidRPr="002F5670">
              <w:rPr>
                <w:rFonts w:cs="Times New Roman"/>
                <w:szCs w:val="24"/>
              </w:rPr>
              <w:t>0.20</w:t>
            </w:r>
          </w:p>
        </w:tc>
      </w:tr>
      <w:tr w:rsidR="0048464B" w:rsidRPr="002F5670" w:rsidTr="00F83382">
        <w:trPr>
          <w:trHeight w:val="360"/>
        </w:trPr>
        <w:tc>
          <w:tcPr>
            <w:cnfStyle w:val="001000000000"/>
            <w:tcW w:w="3005" w:type="dxa"/>
          </w:tcPr>
          <w:p w:rsidR="0048464B" w:rsidRPr="002F5670" w:rsidRDefault="0048464B" w:rsidP="00F83382">
            <w:pPr>
              <w:jc w:val="center"/>
              <w:rPr>
                <w:rFonts w:cs="Times New Roman"/>
                <w:szCs w:val="24"/>
              </w:rPr>
            </w:pPr>
            <w:r w:rsidRPr="002F5670">
              <w:rPr>
                <w:rFonts w:cs="Times New Roman"/>
                <w:szCs w:val="24"/>
              </w:rPr>
              <w:t>Narayanganj</w:t>
            </w:r>
          </w:p>
        </w:tc>
        <w:tc>
          <w:tcPr>
            <w:tcW w:w="3006" w:type="dxa"/>
          </w:tcPr>
          <w:p w:rsidR="0048464B" w:rsidRPr="002F5670" w:rsidRDefault="0048464B" w:rsidP="00F83382">
            <w:pPr>
              <w:jc w:val="center"/>
              <w:cnfStyle w:val="000000000000"/>
              <w:rPr>
                <w:rFonts w:cs="Times New Roman"/>
                <w:szCs w:val="24"/>
              </w:rPr>
            </w:pPr>
            <w:r w:rsidRPr="002F5670">
              <w:rPr>
                <w:rFonts w:cs="Times New Roman"/>
                <w:szCs w:val="24"/>
              </w:rPr>
              <w:t>1.29</w:t>
            </w:r>
          </w:p>
        </w:tc>
        <w:tc>
          <w:tcPr>
            <w:tcW w:w="3006" w:type="dxa"/>
          </w:tcPr>
          <w:p w:rsidR="0048464B" w:rsidRPr="002F5670" w:rsidRDefault="0048464B" w:rsidP="00F83382">
            <w:pPr>
              <w:jc w:val="center"/>
              <w:cnfStyle w:val="000000000000"/>
              <w:rPr>
                <w:rFonts w:cs="Times New Roman"/>
                <w:szCs w:val="24"/>
              </w:rPr>
            </w:pPr>
            <w:r w:rsidRPr="002F5670">
              <w:rPr>
                <w:rFonts w:cs="Times New Roman"/>
                <w:szCs w:val="24"/>
              </w:rPr>
              <w:t>0.29</w:t>
            </w:r>
          </w:p>
        </w:tc>
      </w:tr>
      <w:tr w:rsidR="0048464B" w:rsidRPr="002F5670" w:rsidTr="00F83382">
        <w:trPr>
          <w:cnfStyle w:val="000000100000"/>
          <w:trHeight w:val="360"/>
        </w:trPr>
        <w:tc>
          <w:tcPr>
            <w:cnfStyle w:val="001000000000"/>
            <w:tcW w:w="3005" w:type="dxa"/>
          </w:tcPr>
          <w:p w:rsidR="0048464B" w:rsidRPr="002F5670" w:rsidRDefault="0048464B" w:rsidP="00F83382">
            <w:pPr>
              <w:jc w:val="center"/>
              <w:rPr>
                <w:rFonts w:cs="Times New Roman"/>
                <w:szCs w:val="24"/>
              </w:rPr>
            </w:pPr>
            <w:r w:rsidRPr="002F5670">
              <w:rPr>
                <w:rFonts w:cs="Times New Roman"/>
                <w:szCs w:val="24"/>
              </w:rPr>
              <w:t>Sylhet</w:t>
            </w:r>
          </w:p>
        </w:tc>
        <w:tc>
          <w:tcPr>
            <w:tcW w:w="3006" w:type="dxa"/>
          </w:tcPr>
          <w:p w:rsidR="0048464B" w:rsidRPr="002F5670" w:rsidRDefault="0048464B" w:rsidP="00F83382">
            <w:pPr>
              <w:jc w:val="center"/>
              <w:cnfStyle w:val="000000100000"/>
              <w:rPr>
                <w:rFonts w:cs="Times New Roman"/>
                <w:szCs w:val="24"/>
              </w:rPr>
            </w:pPr>
            <w:r w:rsidRPr="002F5670">
              <w:rPr>
                <w:rFonts w:cs="Times New Roman"/>
                <w:szCs w:val="24"/>
              </w:rPr>
              <w:t>1.36</w:t>
            </w:r>
          </w:p>
        </w:tc>
        <w:tc>
          <w:tcPr>
            <w:tcW w:w="3006" w:type="dxa"/>
          </w:tcPr>
          <w:p w:rsidR="0048464B" w:rsidRPr="002F5670" w:rsidRDefault="0048464B" w:rsidP="00F83382">
            <w:pPr>
              <w:jc w:val="center"/>
              <w:cnfStyle w:val="000000100000"/>
              <w:rPr>
                <w:rFonts w:cs="Times New Roman"/>
                <w:szCs w:val="24"/>
              </w:rPr>
            </w:pPr>
            <w:r w:rsidRPr="002F5670">
              <w:rPr>
                <w:rFonts w:cs="Times New Roman"/>
                <w:szCs w:val="24"/>
              </w:rPr>
              <w:t>0.28</w:t>
            </w:r>
          </w:p>
        </w:tc>
      </w:tr>
      <w:tr w:rsidR="0048464B" w:rsidRPr="002F5670" w:rsidTr="00F83382">
        <w:trPr>
          <w:trHeight w:val="360"/>
        </w:trPr>
        <w:tc>
          <w:tcPr>
            <w:cnfStyle w:val="001000000000"/>
            <w:tcW w:w="3005" w:type="dxa"/>
          </w:tcPr>
          <w:p w:rsidR="0048464B" w:rsidRPr="002F5670" w:rsidRDefault="0048464B" w:rsidP="00F83382">
            <w:pPr>
              <w:jc w:val="center"/>
              <w:rPr>
                <w:rFonts w:cs="Times New Roman"/>
                <w:szCs w:val="24"/>
              </w:rPr>
            </w:pPr>
            <w:r w:rsidRPr="002F5670">
              <w:rPr>
                <w:rFonts w:cs="Times New Roman"/>
                <w:szCs w:val="24"/>
              </w:rPr>
              <w:t>Chittagong</w:t>
            </w:r>
          </w:p>
        </w:tc>
        <w:tc>
          <w:tcPr>
            <w:tcW w:w="3006" w:type="dxa"/>
          </w:tcPr>
          <w:p w:rsidR="0048464B" w:rsidRPr="002F5670" w:rsidRDefault="0048464B" w:rsidP="00F83382">
            <w:pPr>
              <w:jc w:val="center"/>
              <w:cnfStyle w:val="000000000000"/>
              <w:rPr>
                <w:rFonts w:cs="Times New Roman"/>
                <w:szCs w:val="24"/>
              </w:rPr>
            </w:pPr>
          </w:p>
        </w:tc>
        <w:tc>
          <w:tcPr>
            <w:tcW w:w="3006" w:type="dxa"/>
          </w:tcPr>
          <w:p w:rsidR="0048464B" w:rsidRPr="002F5670" w:rsidRDefault="0048464B" w:rsidP="00F83382">
            <w:pPr>
              <w:jc w:val="center"/>
              <w:cnfStyle w:val="000000000000"/>
              <w:rPr>
                <w:rFonts w:cs="Times New Roman"/>
                <w:szCs w:val="24"/>
              </w:rPr>
            </w:pPr>
            <w:r w:rsidRPr="002F5670">
              <w:rPr>
                <w:rFonts w:cs="Times New Roman"/>
                <w:szCs w:val="24"/>
              </w:rPr>
              <w:t>0.34</w:t>
            </w:r>
          </w:p>
        </w:tc>
      </w:tr>
      <w:tr w:rsidR="0048464B" w:rsidRPr="002F5670" w:rsidTr="00F83382">
        <w:trPr>
          <w:cnfStyle w:val="000000100000"/>
          <w:trHeight w:val="360"/>
        </w:trPr>
        <w:tc>
          <w:tcPr>
            <w:cnfStyle w:val="001000000000"/>
            <w:tcW w:w="3005" w:type="dxa"/>
          </w:tcPr>
          <w:p w:rsidR="0048464B" w:rsidRPr="002F5670" w:rsidRDefault="0048464B" w:rsidP="00F83382">
            <w:pPr>
              <w:jc w:val="center"/>
              <w:rPr>
                <w:rFonts w:cs="Times New Roman"/>
                <w:szCs w:val="24"/>
              </w:rPr>
            </w:pPr>
            <w:r w:rsidRPr="002F5670">
              <w:rPr>
                <w:rFonts w:cs="Times New Roman"/>
                <w:szCs w:val="24"/>
              </w:rPr>
              <w:t>Rajshahi</w:t>
            </w:r>
          </w:p>
        </w:tc>
        <w:tc>
          <w:tcPr>
            <w:tcW w:w="3006" w:type="dxa"/>
          </w:tcPr>
          <w:p w:rsidR="0048464B" w:rsidRPr="002F5670" w:rsidRDefault="0048464B" w:rsidP="00F83382">
            <w:pPr>
              <w:jc w:val="center"/>
              <w:cnfStyle w:val="000000100000"/>
              <w:rPr>
                <w:rFonts w:cs="Times New Roman"/>
                <w:szCs w:val="24"/>
              </w:rPr>
            </w:pPr>
          </w:p>
        </w:tc>
        <w:tc>
          <w:tcPr>
            <w:tcW w:w="3006" w:type="dxa"/>
          </w:tcPr>
          <w:p w:rsidR="0048464B" w:rsidRPr="002F5670" w:rsidRDefault="0048464B" w:rsidP="00F83382">
            <w:pPr>
              <w:jc w:val="center"/>
              <w:cnfStyle w:val="000000100000"/>
              <w:rPr>
                <w:rFonts w:cs="Times New Roman"/>
                <w:szCs w:val="24"/>
              </w:rPr>
            </w:pPr>
            <w:r w:rsidRPr="002F5670">
              <w:rPr>
                <w:rFonts w:cs="Times New Roman"/>
                <w:szCs w:val="24"/>
              </w:rPr>
              <w:t>0.25</w:t>
            </w:r>
          </w:p>
        </w:tc>
      </w:tr>
    </w:tbl>
    <w:p w:rsidR="0048464B" w:rsidRDefault="0048464B" w:rsidP="0048464B">
      <w:pPr>
        <w:spacing w:before="120" w:line="360" w:lineRule="auto"/>
        <w:jc w:val="both"/>
        <w:rPr>
          <w:rFonts w:cs="Times New Roman"/>
          <w:b/>
          <w:i/>
          <w:iCs/>
          <w:sz w:val="20"/>
          <w:szCs w:val="20"/>
        </w:rPr>
      </w:pPr>
      <w:r w:rsidRPr="00B40996">
        <w:rPr>
          <w:rFonts w:cs="Times New Roman"/>
          <w:b/>
          <w:i/>
          <w:iCs/>
          <w:sz w:val="20"/>
          <w:szCs w:val="20"/>
        </w:rPr>
        <w:t>Source: CEGIS, 2012</w:t>
      </w:r>
    </w:p>
    <w:p w:rsidR="0048464B" w:rsidRDefault="0048464B" w:rsidP="0048464B">
      <w:pPr>
        <w:spacing w:before="120" w:line="360" w:lineRule="auto"/>
        <w:jc w:val="both"/>
        <w:rPr>
          <w:rFonts w:cs="Times New Roman"/>
          <w:b/>
          <w:i/>
          <w:iCs/>
          <w:sz w:val="20"/>
          <w:szCs w:val="20"/>
        </w:rPr>
      </w:pPr>
    </w:p>
    <w:p w:rsidR="0048464B" w:rsidRPr="00101CE9" w:rsidRDefault="0048464B" w:rsidP="0048464B">
      <w:pPr>
        <w:jc w:val="center"/>
        <w:rPr>
          <w:b/>
        </w:rPr>
      </w:pPr>
      <w:bookmarkStart w:id="769" w:name="_Toc464329001"/>
      <w:r w:rsidRPr="00101CE9">
        <w:rPr>
          <w:b/>
        </w:rPr>
        <w:lastRenderedPageBreak/>
        <w:t>Table 10.22: Waste Generation Rate of 6 Paurashavas (Class A)</w:t>
      </w:r>
      <w:bookmarkEnd w:id="769"/>
    </w:p>
    <w:tbl>
      <w:tblPr>
        <w:tblStyle w:val="PlainTable120"/>
        <w:tblW w:w="0" w:type="auto"/>
        <w:tblLook w:val="04A0"/>
      </w:tblPr>
      <w:tblGrid>
        <w:gridCol w:w="3005"/>
        <w:gridCol w:w="3006"/>
        <w:gridCol w:w="3006"/>
      </w:tblGrid>
      <w:tr w:rsidR="0048464B" w:rsidRPr="002F5670" w:rsidTr="00F83382">
        <w:trPr>
          <w:cnfStyle w:val="100000000000"/>
          <w:trHeight w:val="360"/>
        </w:trPr>
        <w:tc>
          <w:tcPr>
            <w:cnfStyle w:val="001000000000"/>
            <w:tcW w:w="3005" w:type="dxa"/>
            <w:vMerge w:val="restart"/>
          </w:tcPr>
          <w:p w:rsidR="0048464B" w:rsidRPr="00D10C92" w:rsidRDefault="0048464B" w:rsidP="00F83382">
            <w:pPr>
              <w:spacing w:line="276" w:lineRule="auto"/>
              <w:jc w:val="center"/>
              <w:rPr>
                <w:rFonts w:cs="Times New Roman"/>
                <w:szCs w:val="24"/>
              </w:rPr>
            </w:pPr>
            <w:r w:rsidRPr="00D10C92">
              <w:rPr>
                <w:rFonts w:cs="Times New Roman"/>
                <w:szCs w:val="24"/>
              </w:rPr>
              <w:t>Paurashava Name</w:t>
            </w:r>
          </w:p>
        </w:tc>
        <w:tc>
          <w:tcPr>
            <w:tcW w:w="6012" w:type="dxa"/>
            <w:gridSpan w:val="2"/>
          </w:tcPr>
          <w:p w:rsidR="0048464B" w:rsidRPr="00D10C92" w:rsidRDefault="0048464B" w:rsidP="00F83382">
            <w:pPr>
              <w:spacing w:line="276" w:lineRule="auto"/>
              <w:jc w:val="center"/>
              <w:cnfStyle w:val="100000000000"/>
              <w:rPr>
                <w:rFonts w:cs="Times New Roman"/>
                <w:szCs w:val="24"/>
              </w:rPr>
            </w:pPr>
            <w:r w:rsidRPr="00D10C92">
              <w:rPr>
                <w:rFonts w:cs="Times New Roman"/>
                <w:szCs w:val="24"/>
              </w:rPr>
              <w:t>Waste Generation Rate (Weighted Average)</w:t>
            </w:r>
          </w:p>
        </w:tc>
      </w:tr>
      <w:tr w:rsidR="0048464B" w:rsidRPr="002F5670" w:rsidTr="00F83382">
        <w:trPr>
          <w:cnfStyle w:val="000000100000"/>
          <w:trHeight w:val="360"/>
        </w:trPr>
        <w:tc>
          <w:tcPr>
            <w:cnfStyle w:val="001000000000"/>
            <w:tcW w:w="3005" w:type="dxa"/>
            <w:vMerge/>
          </w:tcPr>
          <w:p w:rsidR="0048464B" w:rsidRPr="002F5670" w:rsidRDefault="0048464B" w:rsidP="00F83382">
            <w:pPr>
              <w:spacing w:line="276" w:lineRule="auto"/>
              <w:jc w:val="center"/>
              <w:rPr>
                <w:rFonts w:cs="Times New Roman"/>
                <w:b w:val="0"/>
                <w:szCs w:val="24"/>
              </w:rPr>
            </w:pPr>
          </w:p>
        </w:tc>
        <w:tc>
          <w:tcPr>
            <w:tcW w:w="3006" w:type="dxa"/>
          </w:tcPr>
          <w:p w:rsidR="0048464B" w:rsidRPr="002F5670" w:rsidRDefault="0048464B" w:rsidP="00F83382">
            <w:pPr>
              <w:spacing w:line="276" w:lineRule="auto"/>
              <w:jc w:val="center"/>
              <w:cnfStyle w:val="000000100000"/>
              <w:rPr>
                <w:rFonts w:cs="Times New Roman"/>
                <w:b/>
                <w:szCs w:val="24"/>
              </w:rPr>
            </w:pPr>
            <w:r w:rsidRPr="002F5670">
              <w:rPr>
                <w:rFonts w:cs="Times New Roman"/>
                <w:b/>
                <w:szCs w:val="24"/>
              </w:rPr>
              <w:t>Kg/hh/day</w:t>
            </w:r>
          </w:p>
        </w:tc>
        <w:tc>
          <w:tcPr>
            <w:tcW w:w="3006" w:type="dxa"/>
          </w:tcPr>
          <w:p w:rsidR="0048464B" w:rsidRPr="002F5670" w:rsidRDefault="0048464B" w:rsidP="00F83382">
            <w:pPr>
              <w:spacing w:line="276" w:lineRule="auto"/>
              <w:jc w:val="center"/>
              <w:cnfStyle w:val="000000100000"/>
              <w:rPr>
                <w:rFonts w:cs="Times New Roman"/>
                <w:b/>
                <w:szCs w:val="24"/>
              </w:rPr>
            </w:pPr>
            <w:r w:rsidRPr="002F5670">
              <w:rPr>
                <w:rFonts w:cs="Times New Roman"/>
                <w:b/>
                <w:szCs w:val="24"/>
              </w:rPr>
              <w:t>Kg/capita/day</w:t>
            </w:r>
          </w:p>
        </w:tc>
      </w:tr>
      <w:tr w:rsidR="0048464B" w:rsidRPr="002F5670" w:rsidTr="00F83382">
        <w:trPr>
          <w:trHeight w:val="360"/>
        </w:trPr>
        <w:tc>
          <w:tcPr>
            <w:cnfStyle w:val="001000000000"/>
            <w:tcW w:w="3005" w:type="dxa"/>
          </w:tcPr>
          <w:p w:rsidR="0048464B" w:rsidRPr="002F5670" w:rsidRDefault="0048464B" w:rsidP="00F83382">
            <w:pPr>
              <w:spacing w:line="276" w:lineRule="auto"/>
              <w:jc w:val="center"/>
              <w:rPr>
                <w:rFonts w:cs="Times New Roman"/>
                <w:szCs w:val="24"/>
              </w:rPr>
            </w:pPr>
            <w:r w:rsidRPr="002F5670">
              <w:rPr>
                <w:rFonts w:cs="Times New Roman"/>
                <w:szCs w:val="24"/>
              </w:rPr>
              <w:t>Mymensingh</w:t>
            </w:r>
          </w:p>
        </w:tc>
        <w:tc>
          <w:tcPr>
            <w:tcW w:w="3006" w:type="dxa"/>
          </w:tcPr>
          <w:p w:rsidR="0048464B" w:rsidRPr="002F5670" w:rsidRDefault="0048464B" w:rsidP="00F83382">
            <w:pPr>
              <w:spacing w:line="276" w:lineRule="auto"/>
              <w:jc w:val="center"/>
              <w:cnfStyle w:val="000000000000"/>
              <w:rPr>
                <w:rFonts w:cs="Times New Roman"/>
                <w:szCs w:val="24"/>
              </w:rPr>
            </w:pPr>
            <w:r w:rsidRPr="002F5670">
              <w:rPr>
                <w:rFonts w:cs="Times New Roman"/>
                <w:szCs w:val="24"/>
              </w:rPr>
              <w:t>1.50</w:t>
            </w:r>
          </w:p>
        </w:tc>
        <w:tc>
          <w:tcPr>
            <w:tcW w:w="3006" w:type="dxa"/>
          </w:tcPr>
          <w:p w:rsidR="0048464B" w:rsidRPr="002F5670" w:rsidRDefault="0048464B" w:rsidP="00F83382">
            <w:pPr>
              <w:spacing w:line="276" w:lineRule="auto"/>
              <w:jc w:val="center"/>
              <w:cnfStyle w:val="000000000000"/>
              <w:rPr>
                <w:rFonts w:cs="Times New Roman"/>
                <w:szCs w:val="24"/>
              </w:rPr>
            </w:pPr>
            <w:r w:rsidRPr="002F5670">
              <w:rPr>
                <w:rFonts w:cs="Times New Roman"/>
                <w:szCs w:val="24"/>
              </w:rPr>
              <w:t>0.29</w:t>
            </w:r>
          </w:p>
        </w:tc>
      </w:tr>
      <w:tr w:rsidR="0048464B" w:rsidRPr="002F5670" w:rsidTr="00F83382">
        <w:trPr>
          <w:cnfStyle w:val="000000100000"/>
          <w:trHeight w:val="360"/>
        </w:trPr>
        <w:tc>
          <w:tcPr>
            <w:cnfStyle w:val="001000000000"/>
            <w:tcW w:w="3005" w:type="dxa"/>
          </w:tcPr>
          <w:p w:rsidR="0048464B" w:rsidRPr="002F5670" w:rsidRDefault="0048464B" w:rsidP="00F83382">
            <w:pPr>
              <w:spacing w:line="276" w:lineRule="auto"/>
              <w:jc w:val="center"/>
              <w:rPr>
                <w:rFonts w:cs="Times New Roman"/>
                <w:szCs w:val="24"/>
              </w:rPr>
            </w:pPr>
            <w:r w:rsidRPr="002F5670">
              <w:rPr>
                <w:rFonts w:cs="Times New Roman"/>
                <w:szCs w:val="24"/>
              </w:rPr>
              <w:t>Cox’ Bazar</w:t>
            </w:r>
          </w:p>
        </w:tc>
        <w:tc>
          <w:tcPr>
            <w:tcW w:w="3006" w:type="dxa"/>
          </w:tcPr>
          <w:p w:rsidR="0048464B" w:rsidRPr="002F5670" w:rsidRDefault="0048464B" w:rsidP="00F83382">
            <w:pPr>
              <w:spacing w:line="276" w:lineRule="auto"/>
              <w:jc w:val="center"/>
              <w:cnfStyle w:val="000000100000"/>
              <w:rPr>
                <w:rFonts w:cs="Times New Roman"/>
                <w:szCs w:val="24"/>
              </w:rPr>
            </w:pPr>
            <w:r w:rsidRPr="002F5670">
              <w:rPr>
                <w:rFonts w:cs="Times New Roman"/>
                <w:szCs w:val="24"/>
              </w:rPr>
              <w:t>1.19</w:t>
            </w:r>
          </w:p>
        </w:tc>
        <w:tc>
          <w:tcPr>
            <w:tcW w:w="3006" w:type="dxa"/>
          </w:tcPr>
          <w:p w:rsidR="0048464B" w:rsidRPr="002F5670" w:rsidRDefault="0048464B" w:rsidP="00F83382">
            <w:pPr>
              <w:spacing w:line="276" w:lineRule="auto"/>
              <w:jc w:val="center"/>
              <w:cnfStyle w:val="000000100000"/>
              <w:rPr>
                <w:rFonts w:cs="Times New Roman"/>
                <w:szCs w:val="24"/>
              </w:rPr>
            </w:pPr>
            <w:r w:rsidRPr="002F5670">
              <w:rPr>
                <w:rFonts w:cs="Times New Roman"/>
                <w:szCs w:val="24"/>
              </w:rPr>
              <w:t>0.29</w:t>
            </w:r>
          </w:p>
        </w:tc>
      </w:tr>
      <w:tr w:rsidR="0048464B" w:rsidRPr="002F5670" w:rsidTr="00F83382">
        <w:trPr>
          <w:trHeight w:val="360"/>
        </w:trPr>
        <w:tc>
          <w:tcPr>
            <w:cnfStyle w:val="001000000000"/>
            <w:tcW w:w="3005" w:type="dxa"/>
          </w:tcPr>
          <w:p w:rsidR="0048464B" w:rsidRPr="002F5670" w:rsidRDefault="0048464B" w:rsidP="00F83382">
            <w:pPr>
              <w:spacing w:line="276" w:lineRule="auto"/>
              <w:jc w:val="center"/>
              <w:rPr>
                <w:rFonts w:cs="Times New Roman"/>
                <w:szCs w:val="24"/>
              </w:rPr>
            </w:pPr>
            <w:r w:rsidRPr="002F5670">
              <w:rPr>
                <w:rFonts w:cs="Times New Roman"/>
                <w:szCs w:val="24"/>
              </w:rPr>
              <w:t>Nawabganj</w:t>
            </w:r>
          </w:p>
        </w:tc>
        <w:tc>
          <w:tcPr>
            <w:tcW w:w="3006" w:type="dxa"/>
          </w:tcPr>
          <w:p w:rsidR="0048464B" w:rsidRPr="002F5670" w:rsidRDefault="0048464B" w:rsidP="00F83382">
            <w:pPr>
              <w:spacing w:line="276" w:lineRule="auto"/>
              <w:jc w:val="center"/>
              <w:cnfStyle w:val="000000000000"/>
              <w:rPr>
                <w:rFonts w:cs="Times New Roman"/>
                <w:szCs w:val="24"/>
              </w:rPr>
            </w:pPr>
            <w:r w:rsidRPr="002F5670">
              <w:rPr>
                <w:rFonts w:cs="Times New Roman"/>
                <w:szCs w:val="24"/>
              </w:rPr>
              <w:t>1.66</w:t>
            </w:r>
          </w:p>
        </w:tc>
        <w:tc>
          <w:tcPr>
            <w:tcW w:w="3006" w:type="dxa"/>
          </w:tcPr>
          <w:p w:rsidR="0048464B" w:rsidRPr="002F5670" w:rsidRDefault="0048464B" w:rsidP="00F83382">
            <w:pPr>
              <w:spacing w:line="276" w:lineRule="auto"/>
              <w:jc w:val="center"/>
              <w:cnfStyle w:val="000000000000"/>
              <w:rPr>
                <w:rFonts w:cs="Times New Roman"/>
                <w:szCs w:val="24"/>
              </w:rPr>
            </w:pPr>
            <w:r w:rsidRPr="002F5670">
              <w:rPr>
                <w:rFonts w:cs="Times New Roman"/>
                <w:szCs w:val="24"/>
              </w:rPr>
              <w:t>0.32</w:t>
            </w:r>
          </w:p>
        </w:tc>
      </w:tr>
      <w:tr w:rsidR="0048464B" w:rsidRPr="002F5670" w:rsidTr="00F83382">
        <w:trPr>
          <w:cnfStyle w:val="000000100000"/>
          <w:trHeight w:val="360"/>
        </w:trPr>
        <w:tc>
          <w:tcPr>
            <w:cnfStyle w:val="001000000000"/>
            <w:tcW w:w="3005" w:type="dxa"/>
          </w:tcPr>
          <w:p w:rsidR="0048464B" w:rsidRPr="002F5670" w:rsidRDefault="0048464B" w:rsidP="00F83382">
            <w:pPr>
              <w:spacing w:line="276" w:lineRule="auto"/>
              <w:jc w:val="center"/>
              <w:rPr>
                <w:rFonts w:cs="Times New Roman"/>
                <w:szCs w:val="24"/>
              </w:rPr>
            </w:pPr>
            <w:r w:rsidRPr="002F5670">
              <w:rPr>
                <w:rFonts w:cs="Times New Roman"/>
                <w:szCs w:val="24"/>
              </w:rPr>
              <w:t>Dinajpur</w:t>
            </w:r>
          </w:p>
        </w:tc>
        <w:tc>
          <w:tcPr>
            <w:tcW w:w="3006" w:type="dxa"/>
          </w:tcPr>
          <w:p w:rsidR="0048464B" w:rsidRPr="002F5670" w:rsidRDefault="0048464B" w:rsidP="00F83382">
            <w:pPr>
              <w:spacing w:line="276" w:lineRule="auto"/>
              <w:jc w:val="center"/>
              <w:cnfStyle w:val="000000100000"/>
              <w:rPr>
                <w:rFonts w:cs="Times New Roman"/>
                <w:szCs w:val="24"/>
              </w:rPr>
            </w:pPr>
            <w:r w:rsidRPr="002F5670">
              <w:rPr>
                <w:rFonts w:cs="Times New Roman"/>
                <w:szCs w:val="24"/>
              </w:rPr>
              <w:t>1.69</w:t>
            </w:r>
          </w:p>
        </w:tc>
        <w:tc>
          <w:tcPr>
            <w:tcW w:w="3006" w:type="dxa"/>
          </w:tcPr>
          <w:p w:rsidR="0048464B" w:rsidRPr="002F5670" w:rsidRDefault="0048464B" w:rsidP="00F83382">
            <w:pPr>
              <w:spacing w:line="276" w:lineRule="auto"/>
              <w:jc w:val="center"/>
              <w:cnfStyle w:val="000000100000"/>
              <w:rPr>
                <w:rFonts w:cs="Times New Roman"/>
                <w:szCs w:val="24"/>
              </w:rPr>
            </w:pPr>
            <w:r w:rsidRPr="002F5670">
              <w:rPr>
                <w:rFonts w:cs="Times New Roman"/>
                <w:szCs w:val="24"/>
              </w:rPr>
              <w:t>0.36</w:t>
            </w:r>
          </w:p>
        </w:tc>
      </w:tr>
      <w:tr w:rsidR="0048464B" w:rsidRPr="002F5670" w:rsidTr="00F83382">
        <w:trPr>
          <w:trHeight w:val="360"/>
        </w:trPr>
        <w:tc>
          <w:tcPr>
            <w:cnfStyle w:val="001000000000"/>
            <w:tcW w:w="3005" w:type="dxa"/>
          </w:tcPr>
          <w:p w:rsidR="0048464B" w:rsidRPr="002F5670" w:rsidRDefault="0048464B" w:rsidP="00F83382">
            <w:pPr>
              <w:spacing w:line="276" w:lineRule="auto"/>
              <w:jc w:val="center"/>
              <w:rPr>
                <w:rFonts w:cs="Times New Roman"/>
                <w:szCs w:val="24"/>
              </w:rPr>
            </w:pPr>
            <w:r w:rsidRPr="002F5670">
              <w:rPr>
                <w:rFonts w:cs="Times New Roman"/>
                <w:szCs w:val="24"/>
              </w:rPr>
              <w:t>Patiya</w:t>
            </w:r>
          </w:p>
        </w:tc>
        <w:tc>
          <w:tcPr>
            <w:tcW w:w="3006" w:type="dxa"/>
          </w:tcPr>
          <w:p w:rsidR="0048464B" w:rsidRPr="002F5670" w:rsidRDefault="0048464B" w:rsidP="00F83382">
            <w:pPr>
              <w:spacing w:line="276" w:lineRule="auto"/>
              <w:jc w:val="center"/>
              <w:cnfStyle w:val="000000000000"/>
              <w:rPr>
                <w:rFonts w:cs="Times New Roman"/>
                <w:szCs w:val="24"/>
              </w:rPr>
            </w:pPr>
            <w:r w:rsidRPr="002F5670">
              <w:rPr>
                <w:rFonts w:cs="Times New Roman"/>
                <w:szCs w:val="24"/>
              </w:rPr>
              <w:t>1.13</w:t>
            </w:r>
          </w:p>
        </w:tc>
        <w:tc>
          <w:tcPr>
            <w:tcW w:w="3006" w:type="dxa"/>
          </w:tcPr>
          <w:p w:rsidR="0048464B" w:rsidRPr="002F5670" w:rsidRDefault="0048464B" w:rsidP="00F83382">
            <w:pPr>
              <w:spacing w:line="276" w:lineRule="auto"/>
              <w:jc w:val="center"/>
              <w:cnfStyle w:val="000000000000"/>
              <w:rPr>
                <w:rFonts w:cs="Times New Roman"/>
                <w:szCs w:val="24"/>
              </w:rPr>
            </w:pPr>
            <w:r w:rsidRPr="002F5670">
              <w:rPr>
                <w:rFonts w:cs="Times New Roman"/>
                <w:szCs w:val="24"/>
              </w:rPr>
              <w:t>0.24</w:t>
            </w:r>
          </w:p>
        </w:tc>
      </w:tr>
      <w:tr w:rsidR="0048464B" w:rsidRPr="002F5670" w:rsidTr="00F83382">
        <w:trPr>
          <w:cnfStyle w:val="000000100000"/>
          <w:trHeight w:val="360"/>
        </w:trPr>
        <w:tc>
          <w:tcPr>
            <w:cnfStyle w:val="001000000000"/>
            <w:tcW w:w="3005" w:type="dxa"/>
          </w:tcPr>
          <w:p w:rsidR="0048464B" w:rsidRPr="002F5670" w:rsidRDefault="0048464B" w:rsidP="00F83382">
            <w:pPr>
              <w:spacing w:line="276" w:lineRule="auto"/>
              <w:jc w:val="center"/>
              <w:rPr>
                <w:rFonts w:cs="Times New Roman"/>
                <w:szCs w:val="24"/>
              </w:rPr>
            </w:pPr>
            <w:r w:rsidRPr="002F5670">
              <w:rPr>
                <w:rFonts w:cs="Times New Roman"/>
                <w:szCs w:val="24"/>
              </w:rPr>
              <w:t>Jessore</w:t>
            </w:r>
          </w:p>
        </w:tc>
        <w:tc>
          <w:tcPr>
            <w:tcW w:w="3006" w:type="dxa"/>
          </w:tcPr>
          <w:p w:rsidR="0048464B" w:rsidRPr="002F5670" w:rsidRDefault="0048464B" w:rsidP="00F83382">
            <w:pPr>
              <w:spacing w:line="276" w:lineRule="auto"/>
              <w:jc w:val="center"/>
              <w:cnfStyle w:val="000000100000"/>
              <w:rPr>
                <w:rFonts w:cs="Times New Roman"/>
                <w:szCs w:val="24"/>
              </w:rPr>
            </w:pPr>
            <w:r w:rsidRPr="002F5670">
              <w:rPr>
                <w:rFonts w:cs="Times New Roman"/>
                <w:szCs w:val="24"/>
              </w:rPr>
              <w:t>0.86</w:t>
            </w:r>
          </w:p>
        </w:tc>
        <w:tc>
          <w:tcPr>
            <w:tcW w:w="3006" w:type="dxa"/>
          </w:tcPr>
          <w:p w:rsidR="0048464B" w:rsidRPr="002F5670" w:rsidRDefault="0048464B" w:rsidP="00F83382">
            <w:pPr>
              <w:spacing w:line="276" w:lineRule="auto"/>
              <w:jc w:val="center"/>
              <w:cnfStyle w:val="000000100000"/>
              <w:rPr>
                <w:rFonts w:cs="Times New Roman"/>
                <w:szCs w:val="24"/>
              </w:rPr>
            </w:pPr>
            <w:r w:rsidRPr="002F5670">
              <w:rPr>
                <w:rFonts w:cs="Times New Roman"/>
                <w:szCs w:val="24"/>
              </w:rPr>
              <w:t>0.19</w:t>
            </w:r>
          </w:p>
        </w:tc>
      </w:tr>
    </w:tbl>
    <w:p w:rsidR="0048464B" w:rsidRPr="00B40996" w:rsidRDefault="0048464B" w:rsidP="0048464B">
      <w:pPr>
        <w:spacing w:before="120" w:line="276" w:lineRule="auto"/>
        <w:jc w:val="both"/>
        <w:rPr>
          <w:rFonts w:cs="Times New Roman"/>
          <w:b/>
          <w:i/>
          <w:iCs/>
          <w:sz w:val="20"/>
          <w:szCs w:val="20"/>
        </w:rPr>
      </w:pPr>
      <w:r w:rsidRPr="00B40996">
        <w:rPr>
          <w:rFonts w:cs="Times New Roman"/>
          <w:b/>
          <w:i/>
          <w:iCs/>
          <w:sz w:val="20"/>
          <w:szCs w:val="20"/>
        </w:rPr>
        <w:t>Source: CEGIS, 2012</w:t>
      </w:r>
    </w:p>
    <w:p w:rsidR="0048464B" w:rsidRPr="00BD195F" w:rsidRDefault="0048464B" w:rsidP="0048464B">
      <w:pPr>
        <w:spacing w:line="276" w:lineRule="auto"/>
        <w:jc w:val="both"/>
        <w:rPr>
          <w:rFonts w:cs="Times New Roman"/>
          <w:szCs w:val="24"/>
        </w:rPr>
      </w:pPr>
      <w:r w:rsidRPr="00B40996">
        <w:rPr>
          <w:rFonts w:cs="Times New Roman"/>
          <w:szCs w:val="24"/>
        </w:rPr>
        <w:t xml:space="preserve">An analysis of the composition of solid waste shows the overwhelming </w:t>
      </w:r>
      <w:r>
        <w:rPr>
          <w:rFonts w:cs="Times New Roman"/>
          <w:szCs w:val="24"/>
        </w:rPr>
        <w:t xml:space="preserve">dominance of food waste. </w:t>
      </w:r>
      <w:r w:rsidRPr="000D4755">
        <w:rPr>
          <w:rFonts w:cs="Times New Roman"/>
          <w:bCs/>
          <w:i/>
          <w:szCs w:val="24"/>
        </w:rPr>
        <w:t>Figure 10.5 shows that food waste accounts for around 80% of the solid waste in Barisal, Gazipur, Narayanganj and Sylhet city corporations.</w:t>
      </w:r>
      <w:r w:rsidRPr="00B40996">
        <w:rPr>
          <w:rFonts w:cs="Times New Roman"/>
          <w:szCs w:val="24"/>
        </w:rPr>
        <w:t xml:space="preserve"> Table</w:t>
      </w:r>
      <w:r>
        <w:rPr>
          <w:rFonts w:cs="Times New Roman"/>
          <w:szCs w:val="24"/>
        </w:rPr>
        <w:t xml:space="preserve"> 10.23</w:t>
      </w:r>
      <w:r w:rsidRPr="00B40996">
        <w:rPr>
          <w:rFonts w:cs="Times New Roman"/>
          <w:szCs w:val="24"/>
        </w:rPr>
        <w:t xml:space="preserve"> presents the composition of household waste in Dhaka. Organic waste accounts for about 97% of the household waste. About </w:t>
      </w:r>
      <w:r w:rsidRPr="000855C4">
        <w:rPr>
          <w:rFonts w:cs="Times New Roman"/>
          <w:bCs/>
          <w:szCs w:val="24"/>
        </w:rPr>
        <w:t>72% of organic wastes are vegetables, fish and meat while about 28% of organic wastes are</w:t>
      </w:r>
      <w:r w:rsidRPr="00581B13">
        <w:rPr>
          <w:rFonts w:cs="Times New Roman"/>
          <w:b/>
          <w:color w:val="FF0000"/>
          <w:szCs w:val="24"/>
        </w:rPr>
        <w:t xml:space="preserve"> </w:t>
      </w:r>
      <w:r w:rsidRPr="000855C4">
        <w:rPr>
          <w:rFonts w:cs="Times New Roman"/>
          <w:bCs/>
          <w:szCs w:val="24"/>
        </w:rPr>
        <w:t>paper, plastic</w:t>
      </w:r>
      <w:r w:rsidRPr="00B40996">
        <w:rPr>
          <w:rFonts w:cs="Times New Roman"/>
          <w:szCs w:val="24"/>
        </w:rPr>
        <w:t xml:space="preserve"> and polythene</w:t>
      </w:r>
      <w:r>
        <w:rPr>
          <w:rFonts w:cs="Times New Roman"/>
          <w:szCs w:val="24"/>
        </w:rPr>
        <w:t>.</w:t>
      </w:r>
    </w:p>
    <w:p w:rsidR="0048464B" w:rsidRPr="00101CE9" w:rsidRDefault="0048464B" w:rsidP="0048464B">
      <w:pPr>
        <w:jc w:val="center"/>
        <w:rPr>
          <w:b/>
        </w:rPr>
      </w:pPr>
      <w:bookmarkStart w:id="770" w:name="_Toc464329092"/>
      <w:r w:rsidRPr="00101CE9">
        <w:rPr>
          <w:b/>
        </w:rPr>
        <w:t>Figure 10.5: Physical Composition of Household Waste in 4 City Corporations</w:t>
      </w:r>
      <w:bookmarkEnd w:id="770"/>
    </w:p>
    <w:p w:rsidR="0048464B" w:rsidRDefault="0048464B" w:rsidP="0048464B">
      <w:pPr>
        <w:spacing w:after="120"/>
        <w:jc w:val="center"/>
        <w:rPr>
          <w:rFonts w:cs="Times New Roman"/>
          <w:b/>
          <w:sz w:val="26"/>
          <w:szCs w:val="26"/>
        </w:rPr>
      </w:pPr>
      <w:r w:rsidRPr="00CD48CD">
        <w:rPr>
          <w:rFonts w:cs="Times New Roman"/>
          <w:b/>
          <w:noProof/>
          <w:szCs w:val="26"/>
          <w:lang w:val="en-AU" w:eastAsia="en-AU" w:bidi="bn-BD"/>
        </w:rPr>
        <w:drawing>
          <wp:inline distT="0" distB="0" distL="0" distR="0">
            <wp:extent cx="5565913" cy="3431462"/>
            <wp:effectExtent l="0" t="0" r="0" b="0"/>
            <wp:docPr id="29"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print"/>
                    <a:srcRect/>
                    <a:stretch>
                      <a:fillRect/>
                    </a:stretch>
                  </pic:blipFill>
                  <pic:spPr bwMode="auto">
                    <a:xfrm>
                      <a:off x="0" y="0"/>
                      <a:ext cx="5569565" cy="3433713"/>
                    </a:xfrm>
                    <a:prstGeom prst="rect">
                      <a:avLst/>
                    </a:prstGeom>
                    <a:noFill/>
                    <a:ln w="9525">
                      <a:noFill/>
                      <a:miter lim="800000"/>
                      <a:headEnd/>
                      <a:tailEnd/>
                    </a:ln>
                  </pic:spPr>
                </pic:pic>
              </a:graphicData>
            </a:graphic>
          </wp:inline>
        </w:drawing>
      </w:r>
    </w:p>
    <w:p w:rsidR="0048464B" w:rsidRDefault="0048464B" w:rsidP="0048464B">
      <w:pPr>
        <w:spacing w:before="120" w:line="276" w:lineRule="auto"/>
        <w:jc w:val="both"/>
        <w:rPr>
          <w:rFonts w:cs="Times New Roman"/>
          <w:b/>
          <w:i/>
          <w:iCs/>
          <w:sz w:val="20"/>
          <w:szCs w:val="20"/>
        </w:rPr>
      </w:pPr>
      <w:r>
        <w:rPr>
          <w:rFonts w:cs="Times New Roman"/>
          <w:b/>
          <w:i/>
          <w:iCs/>
          <w:sz w:val="20"/>
          <w:szCs w:val="20"/>
        </w:rPr>
        <w:t xml:space="preserve">             Source: BIGD 2015</w:t>
      </w:r>
    </w:p>
    <w:p w:rsidR="0048464B" w:rsidRPr="00B40996" w:rsidRDefault="0048464B" w:rsidP="0048464B">
      <w:pPr>
        <w:spacing w:before="120" w:line="276" w:lineRule="auto"/>
        <w:jc w:val="both"/>
        <w:rPr>
          <w:rFonts w:cs="Times New Roman"/>
          <w:b/>
          <w:i/>
          <w:iCs/>
          <w:sz w:val="20"/>
          <w:szCs w:val="20"/>
        </w:rPr>
      </w:pPr>
    </w:p>
    <w:p w:rsidR="0048464B" w:rsidRPr="00101CE9" w:rsidRDefault="0048464B" w:rsidP="0048464B">
      <w:pPr>
        <w:jc w:val="center"/>
        <w:rPr>
          <w:b/>
        </w:rPr>
      </w:pPr>
      <w:bookmarkStart w:id="771" w:name="_Toc464329002"/>
      <w:r w:rsidRPr="00101CE9">
        <w:rPr>
          <w:b/>
        </w:rPr>
        <w:t>Table 10.23: Households’ Waste Generation (daily): Volume and Composition</w:t>
      </w:r>
      <w:bookmarkEnd w:id="771"/>
    </w:p>
    <w:tbl>
      <w:tblPr>
        <w:tblStyle w:val="PlainTable120"/>
        <w:tblW w:w="5000" w:type="pct"/>
        <w:tblLook w:val="04A0"/>
      </w:tblPr>
      <w:tblGrid>
        <w:gridCol w:w="4403"/>
        <w:gridCol w:w="2478"/>
        <w:gridCol w:w="2695"/>
      </w:tblGrid>
      <w:tr w:rsidR="0048464B" w:rsidRPr="00FB2DBA" w:rsidTr="00F83382">
        <w:trPr>
          <w:cnfStyle w:val="100000000000"/>
        </w:trPr>
        <w:tc>
          <w:tcPr>
            <w:cnfStyle w:val="001000000000"/>
            <w:tcW w:w="2299" w:type="pct"/>
          </w:tcPr>
          <w:p w:rsidR="0048464B" w:rsidRPr="00D10C92" w:rsidRDefault="0048464B" w:rsidP="00F83382">
            <w:pPr>
              <w:spacing w:line="276" w:lineRule="auto"/>
              <w:jc w:val="center"/>
              <w:rPr>
                <w:rFonts w:cs="Times New Roman"/>
                <w:sz w:val="22"/>
              </w:rPr>
            </w:pPr>
            <w:r w:rsidRPr="00D10C92">
              <w:rPr>
                <w:rFonts w:cs="Times New Roman"/>
                <w:sz w:val="22"/>
              </w:rPr>
              <w:t>Volume of Waste</w:t>
            </w:r>
          </w:p>
        </w:tc>
        <w:tc>
          <w:tcPr>
            <w:tcW w:w="2701" w:type="pct"/>
            <w:gridSpan w:val="2"/>
          </w:tcPr>
          <w:p w:rsidR="0048464B" w:rsidRPr="00D10C92" w:rsidRDefault="0048464B" w:rsidP="00F83382">
            <w:pPr>
              <w:spacing w:line="276" w:lineRule="auto"/>
              <w:jc w:val="center"/>
              <w:cnfStyle w:val="100000000000"/>
              <w:rPr>
                <w:rFonts w:cs="Times New Roman"/>
                <w:sz w:val="22"/>
              </w:rPr>
            </w:pPr>
            <w:r w:rsidRPr="00D10C92">
              <w:rPr>
                <w:rFonts w:cs="Times New Roman"/>
                <w:sz w:val="22"/>
              </w:rPr>
              <w:t>Total Waste Generated (kg): 1058.794</w:t>
            </w:r>
          </w:p>
          <w:p w:rsidR="0048464B" w:rsidRPr="00D10C92" w:rsidRDefault="0048464B" w:rsidP="00F83382">
            <w:pPr>
              <w:spacing w:line="276" w:lineRule="auto"/>
              <w:jc w:val="center"/>
              <w:cnfStyle w:val="100000000000"/>
              <w:rPr>
                <w:rFonts w:cs="Times New Roman"/>
                <w:sz w:val="22"/>
              </w:rPr>
            </w:pPr>
            <w:r w:rsidRPr="00D10C92">
              <w:rPr>
                <w:rFonts w:cs="Times New Roman"/>
                <w:sz w:val="22"/>
              </w:rPr>
              <w:t>Average per Capita Waste (kg): 0.377</w:t>
            </w:r>
          </w:p>
        </w:tc>
      </w:tr>
      <w:tr w:rsidR="0048464B" w:rsidRPr="00FB2DBA" w:rsidTr="00F83382">
        <w:trPr>
          <w:cnfStyle w:val="000000100000"/>
          <w:trHeight w:hRule="exact" w:val="360"/>
        </w:trPr>
        <w:tc>
          <w:tcPr>
            <w:cnfStyle w:val="001000000000"/>
            <w:tcW w:w="2299" w:type="pct"/>
          </w:tcPr>
          <w:p w:rsidR="0048464B" w:rsidRPr="00FB2DBA" w:rsidRDefault="0048464B" w:rsidP="00F83382">
            <w:pPr>
              <w:spacing w:line="276" w:lineRule="auto"/>
              <w:jc w:val="center"/>
              <w:rPr>
                <w:rFonts w:cs="Times New Roman"/>
                <w:sz w:val="22"/>
              </w:rPr>
            </w:pPr>
            <w:r w:rsidRPr="00FB2DBA">
              <w:rPr>
                <w:rFonts w:cs="Times New Roman"/>
                <w:sz w:val="22"/>
              </w:rPr>
              <w:t>Types of waste</w:t>
            </w:r>
          </w:p>
        </w:tc>
        <w:tc>
          <w:tcPr>
            <w:tcW w:w="1294" w:type="pct"/>
          </w:tcPr>
          <w:p w:rsidR="0048464B" w:rsidRPr="00FB2DBA" w:rsidRDefault="0048464B" w:rsidP="00F83382">
            <w:pPr>
              <w:spacing w:line="276" w:lineRule="auto"/>
              <w:jc w:val="center"/>
              <w:cnfStyle w:val="000000100000"/>
              <w:rPr>
                <w:rFonts w:cs="Times New Roman"/>
                <w:b/>
                <w:sz w:val="22"/>
              </w:rPr>
            </w:pPr>
            <w:r w:rsidRPr="00FB2DBA">
              <w:rPr>
                <w:rFonts w:cs="Times New Roman"/>
                <w:b/>
                <w:sz w:val="22"/>
              </w:rPr>
              <w:t>Organic</w:t>
            </w:r>
          </w:p>
        </w:tc>
        <w:tc>
          <w:tcPr>
            <w:tcW w:w="1407" w:type="pct"/>
          </w:tcPr>
          <w:p w:rsidR="0048464B" w:rsidRPr="00FB2DBA" w:rsidRDefault="0048464B" w:rsidP="00F83382">
            <w:pPr>
              <w:spacing w:line="276" w:lineRule="auto"/>
              <w:jc w:val="center"/>
              <w:cnfStyle w:val="000000100000"/>
              <w:rPr>
                <w:rFonts w:cs="Times New Roman"/>
                <w:b/>
                <w:sz w:val="22"/>
              </w:rPr>
            </w:pPr>
            <w:r w:rsidRPr="00FB2DBA">
              <w:rPr>
                <w:rFonts w:cs="Times New Roman"/>
                <w:b/>
                <w:sz w:val="22"/>
              </w:rPr>
              <w:t>Inorganic</w:t>
            </w:r>
          </w:p>
        </w:tc>
      </w:tr>
      <w:tr w:rsidR="0048464B" w:rsidRPr="00FB2DBA" w:rsidTr="00F83382">
        <w:trPr>
          <w:trHeight w:hRule="exact" w:val="360"/>
        </w:trPr>
        <w:tc>
          <w:tcPr>
            <w:cnfStyle w:val="001000000000"/>
            <w:tcW w:w="2299" w:type="pct"/>
          </w:tcPr>
          <w:p w:rsidR="0048464B" w:rsidRPr="00FB2DBA" w:rsidRDefault="0048464B" w:rsidP="00F83382">
            <w:pPr>
              <w:spacing w:line="276" w:lineRule="auto"/>
              <w:jc w:val="center"/>
              <w:rPr>
                <w:rFonts w:cs="Times New Roman"/>
                <w:sz w:val="22"/>
              </w:rPr>
            </w:pPr>
            <w:r w:rsidRPr="00FB2DBA">
              <w:rPr>
                <w:rFonts w:cs="Times New Roman"/>
                <w:sz w:val="22"/>
              </w:rPr>
              <w:t>Total waste</w:t>
            </w:r>
          </w:p>
        </w:tc>
        <w:tc>
          <w:tcPr>
            <w:tcW w:w="1294" w:type="pct"/>
          </w:tcPr>
          <w:p w:rsidR="0048464B" w:rsidRPr="00FB2DBA" w:rsidRDefault="0048464B" w:rsidP="00F83382">
            <w:pPr>
              <w:spacing w:line="276" w:lineRule="auto"/>
              <w:jc w:val="center"/>
              <w:cnfStyle w:val="000000000000"/>
              <w:rPr>
                <w:rFonts w:cs="Times New Roman"/>
                <w:sz w:val="22"/>
              </w:rPr>
            </w:pPr>
            <w:r w:rsidRPr="00FB2DBA">
              <w:rPr>
                <w:rFonts w:cs="Times New Roman"/>
                <w:sz w:val="22"/>
              </w:rPr>
              <w:t>1028.2</w:t>
            </w:r>
          </w:p>
        </w:tc>
        <w:tc>
          <w:tcPr>
            <w:tcW w:w="1407" w:type="pct"/>
          </w:tcPr>
          <w:p w:rsidR="0048464B" w:rsidRPr="00FB2DBA" w:rsidRDefault="0048464B" w:rsidP="00F83382">
            <w:pPr>
              <w:spacing w:line="276" w:lineRule="auto"/>
              <w:jc w:val="center"/>
              <w:cnfStyle w:val="000000000000"/>
              <w:rPr>
                <w:rFonts w:cs="Times New Roman"/>
                <w:sz w:val="22"/>
              </w:rPr>
            </w:pPr>
            <w:r w:rsidRPr="00FB2DBA">
              <w:rPr>
                <w:rFonts w:cs="Times New Roman"/>
                <w:sz w:val="22"/>
              </w:rPr>
              <w:t>30.1</w:t>
            </w:r>
          </w:p>
        </w:tc>
      </w:tr>
      <w:tr w:rsidR="0048464B" w:rsidRPr="00FB2DBA" w:rsidTr="00F83382">
        <w:trPr>
          <w:cnfStyle w:val="000000100000"/>
          <w:trHeight w:hRule="exact" w:val="360"/>
        </w:trPr>
        <w:tc>
          <w:tcPr>
            <w:cnfStyle w:val="001000000000"/>
            <w:tcW w:w="2299" w:type="pct"/>
          </w:tcPr>
          <w:p w:rsidR="0048464B" w:rsidRPr="00FB2DBA" w:rsidRDefault="0048464B" w:rsidP="00F83382">
            <w:pPr>
              <w:spacing w:line="276" w:lineRule="auto"/>
              <w:jc w:val="center"/>
              <w:rPr>
                <w:rFonts w:cs="Times New Roman"/>
                <w:sz w:val="22"/>
              </w:rPr>
            </w:pPr>
            <w:r w:rsidRPr="00FB2DBA">
              <w:rPr>
                <w:rFonts w:cs="Times New Roman"/>
                <w:sz w:val="22"/>
              </w:rPr>
              <w:t>Percentage of total waste</w:t>
            </w:r>
          </w:p>
        </w:tc>
        <w:tc>
          <w:tcPr>
            <w:tcW w:w="1294" w:type="pct"/>
          </w:tcPr>
          <w:p w:rsidR="0048464B" w:rsidRPr="00FB2DBA" w:rsidRDefault="0048464B" w:rsidP="00F83382">
            <w:pPr>
              <w:spacing w:line="276" w:lineRule="auto"/>
              <w:jc w:val="center"/>
              <w:cnfStyle w:val="000000100000"/>
              <w:rPr>
                <w:rFonts w:cs="Times New Roman"/>
                <w:sz w:val="22"/>
              </w:rPr>
            </w:pPr>
            <w:r w:rsidRPr="00FB2DBA">
              <w:rPr>
                <w:rFonts w:cs="Times New Roman"/>
                <w:sz w:val="22"/>
              </w:rPr>
              <w:t>97.15%</w:t>
            </w:r>
          </w:p>
        </w:tc>
        <w:tc>
          <w:tcPr>
            <w:tcW w:w="1407" w:type="pct"/>
          </w:tcPr>
          <w:p w:rsidR="0048464B" w:rsidRPr="00FB2DBA" w:rsidRDefault="0048464B" w:rsidP="00F83382">
            <w:pPr>
              <w:spacing w:line="276" w:lineRule="auto"/>
              <w:jc w:val="center"/>
              <w:cnfStyle w:val="000000100000"/>
              <w:rPr>
                <w:rFonts w:cs="Times New Roman"/>
                <w:sz w:val="22"/>
              </w:rPr>
            </w:pPr>
            <w:r w:rsidRPr="00FB2DBA">
              <w:rPr>
                <w:rFonts w:cs="Times New Roman"/>
                <w:sz w:val="22"/>
              </w:rPr>
              <w:t>2.85%</w:t>
            </w:r>
          </w:p>
        </w:tc>
      </w:tr>
      <w:tr w:rsidR="0048464B" w:rsidRPr="00FB2DBA" w:rsidTr="00F83382">
        <w:trPr>
          <w:trHeight w:hRule="exact" w:val="360"/>
        </w:trPr>
        <w:tc>
          <w:tcPr>
            <w:cnfStyle w:val="001000000000"/>
            <w:tcW w:w="2299" w:type="pct"/>
          </w:tcPr>
          <w:p w:rsidR="0048464B" w:rsidRPr="00FB2DBA" w:rsidRDefault="0048464B" w:rsidP="00F83382">
            <w:pPr>
              <w:spacing w:line="276" w:lineRule="auto"/>
              <w:jc w:val="center"/>
              <w:rPr>
                <w:rFonts w:cs="Times New Roman"/>
                <w:sz w:val="22"/>
              </w:rPr>
            </w:pPr>
            <w:r w:rsidRPr="00FB2DBA">
              <w:rPr>
                <w:rFonts w:cs="Times New Roman"/>
                <w:sz w:val="22"/>
              </w:rPr>
              <w:t>Average per capita waste generated (kg)</w:t>
            </w:r>
          </w:p>
        </w:tc>
        <w:tc>
          <w:tcPr>
            <w:tcW w:w="1294" w:type="pct"/>
          </w:tcPr>
          <w:p w:rsidR="0048464B" w:rsidRPr="00FB2DBA" w:rsidRDefault="0048464B" w:rsidP="00F83382">
            <w:pPr>
              <w:spacing w:line="276" w:lineRule="auto"/>
              <w:jc w:val="center"/>
              <w:cnfStyle w:val="000000000000"/>
              <w:rPr>
                <w:rFonts w:cs="Times New Roman"/>
                <w:sz w:val="22"/>
              </w:rPr>
            </w:pPr>
            <w:r w:rsidRPr="00FB2DBA">
              <w:rPr>
                <w:rFonts w:cs="Times New Roman"/>
                <w:sz w:val="22"/>
              </w:rPr>
              <w:t>0.366</w:t>
            </w:r>
          </w:p>
        </w:tc>
        <w:tc>
          <w:tcPr>
            <w:tcW w:w="1407" w:type="pct"/>
          </w:tcPr>
          <w:p w:rsidR="0048464B" w:rsidRPr="00FB2DBA" w:rsidRDefault="0048464B" w:rsidP="00F83382">
            <w:pPr>
              <w:spacing w:line="276" w:lineRule="auto"/>
              <w:jc w:val="center"/>
              <w:cnfStyle w:val="000000000000"/>
              <w:rPr>
                <w:rFonts w:cs="Times New Roman"/>
                <w:sz w:val="22"/>
              </w:rPr>
            </w:pPr>
            <w:r w:rsidRPr="00FB2DBA">
              <w:rPr>
                <w:rFonts w:cs="Times New Roman"/>
                <w:sz w:val="22"/>
              </w:rPr>
              <w:t>0.011</w:t>
            </w:r>
          </w:p>
        </w:tc>
      </w:tr>
    </w:tbl>
    <w:p w:rsidR="0048464B" w:rsidRPr="00B40996" w:rsidRDefault="0048464B" w:rsidP="0048464B">
      <w:pPr>
        <w:spacing w:before="120" w:line="276" w:lineRule="auto"/>
        <w:jc w:val="both"/>
        <w:rPr>
          <w:rFonts w:cs="Times New Roman"/>
          <w:b/>
          <w:i/>
          <w:iCs/>
          <w:sz w:val="20"/>
          <w:szCs w:val="20"/>
        </w:rPr>
      </w:pPr>
      <w:r w:rsidRPr="00B40996">
        <w:rPr>
          <w:rFonts w:cs="Times New Roman"/>
          <w:b/>
          <w:i/>
          <w:iCs/>
          <w:sz w:val="20"/>
          <w:szCs w:val="20"/>
        </w:rPr>
        <w:t>Source: BIGD, 2015</w:t>
      </w:r>
    </w:p>
    <w:p w:rsidR="0048464B" w:rsidRPr="00E03AFA" w:rsidRDefault="0048464B" w:rsidP="003D5A31">
      <w:pPr>
        <w:pStyle w:val="BodyText"/>
        <w:numPr>
          <w:ilvl w:val="2"/>
          <w:numId w:val="266"/>
        </w:numPr>
        <w:spacing w:after="240" w:line="276" w:lineRule="auto"/>
        <w:jc w:val="both"/>
        <w:rPr>
          <w:rFonts w:cs="Times New Roman"/>
          <w:b/>
          <w:szCs w:val="24"/>
        </w:rPr>
      </w:pPr>
      <w:r w:rsidRPr="00E03AFA">
        <w:rPr>
          <w:rFonts w:cs="Times New Roman"/>
          <w:b/>
          <w:szCs w:val="24"/>
        </w:rPr>
        <w:t>Solid Waste Collection and Disposal</w:t>
      </w:r>
    </w:p>
    <w:p w:rsidR="0048464B" w:rsidRDefault="0048464B" w:rsidP="0048464B">
      <w:pPr>
        <w:spacing w:line="276" w:lineRule="auto"/>
        <w:jc w:val="both"/>
        <w:rPr>
          <w:rFonts w:cs="Times New Roman"/>
          <w:szCs w:val="24"/>
        </w:rPr>
      </w:pPr>
      <w:r w:rsidRPr="00B40996">
        <w:rPr>
          <w:rFonts w:cs="Times New Roman"/>
          <w:szCs w:val="24"/>
        </w:rPr>
        <w:t>Collecting and disposing huge quantities of solid waste generated daily in urban areas is indeed a daunting task for the urban local governments. It requires organizing the staff for collection, arranging transportation and funding ways of disposing t</w:t>
      </w:r>
      <w:r>
        <w:rPr>
          <w:rFonts w:cs="Times New Roman"/>
          <w:szCs w:val="24"/>
        </w:rPr>
        <w:t>he waste collected. Figure 10.6</w:t>
      </w:r>
      <w:r w:rsidRPr="00B40996">
        <w:rPr>
          <w:rFonts w:cs="Times New Roman"/>
          <w:szCs w:val="24"/>
        </w:rPr>
        <w:t xml:space="preserve"> shows the waste collection and d</w:t>
      </w:r>
      <w:r>
        <w:rPr>
          <w:rFonts w:cs="Times New Roman"/>
          <w:szCs w:val="24"/>
        </w:rPr>
        <w:t xml:space="preserve">isposal process in Dhaka city. </w:t>
      </w:r>
      <w:r w:rsidRPr="00B40996">
        <w:rPr>
          <w:rFonts w:cs="Times New Roman"/>
          <w:szCs w:val="24"/>
        </w:rPr>
        <w:t>The waste collected from households using house to house waste collection system is disposed in demountable containers. In some areas collected waste from households is disposed in open concrete/brick bins or dustbins. The waste collected through street sweeping is heaped at various points and then transferred into dustbins/containers. The containers and the waste from dustbins/transfer stations in transported to the disposal point by waste transportation vehicles.</w:t>
      </w: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Pr="00B40996" w:rsidRDefault="0048464B" w:rsidP="0048464B">
      <w:pPr>
        <w:spacing w:line="276" w:lineRule="auto"/>
        <w:jc w:val="both"/>
        <w:rPr>
          <w:rFonts w:cs="Times New Roman"/>
          <w:szCs w:val="24"/>
        </w:rPr>
      </w:pPr>
    </w:p>
    <w:p w:rsidR="0048464B" w:rsidRPr="00101CE9" w:rsidRDefault="0048464B" w:rsidP="0048464B">
      <w:pPr>
        <w:jc w:val="center"/>
        <w:rPr>
          <w:b/>
        </w:rPr>
      </w:pPr>
      <w:bookmarkStart w:id="772" w:name="_Toc464329093"/>
      <w:r w:rsidRPr="00101CE9">
        <w:rPr>
          <w:b/>
        </w:rPr>
        <w:lastRenderedPageBreak/>
        <w:t>Figure 10.6: Waste Collection and Disposal Process in Dhaka City</w:t>
      </w:r>
      <w:bookmarkEnd w:id="772"/>
      <w:r w:rsidRPr="00101CE9">
        <w:rPr>
          <w:b/>
        </w:rPr>
        <w:t xml:space="preserve"> </w:t>
      </w:r>
    </w:p>
    <w:p w:rsidR="0048464B" w:rsidRDefault="0048464B" w:rsidP="0048464B">
      <w:pPr>
        <w:spacing w:line="276" w:lineRule="auto"/>
        <w:ind w:left="576"/>
        <w:jc w:val="both"/>
        <w:rPr>
          <w:rFonts w:cs="Times New Roman"/>
          <w:szCs w:val="24"/>
        </w:rPr>
      </w:pPr>
      <w:r w:rsidRPr="00767379">
        <w:rPr>
          <w:rFonts w:cs="Times New Roman"/>
          <w:noProof/>
          <w:szCs w:val="24"/>
          <w:lang w:val="en-AU" w:eastAsia="en-AU" w:bidi="bn-BD"/>
        </w:rPr>
        <w:drawing>
          <wp:inline distT="0" distB="0" distL="0" distR="0">
            <wp:extent cx="5161915" cy="3297380"/>
            <wp:effectExtent l="19050" t="19050" r="19685" b="1778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srcRect/>
                    <a:stretch>
                      <a:fillRect/>
                    </a:stretch>
                  </pic:blipFill>
                  <pic:spPr bwMode="auto">
                    <a:xfrm>
                      <a:off x="0" y="0"/>
                      <a:ext cx="5165330" cy="3299561"/>
                    </a:xfrm>
                    <a:prstGeom prst="rect">
                      <a:avLst/>
                    </a:prstGeom>
                    <a:noFill/>
                    <a:ln w="12700">
                      <a:solidFill>
                        <a:schemeClr val="tx1"/>
                      </a:solidFill>
                      <a:miter lim="800000"/>
                      <a:headEnd/>
                      <a:tailEnd/>
                    </a:ln>
                  </pic:spPr>
                </pic:pic>
              </a:graphicData>
            </a:graphic>
          </wp:inline>
        </w:drawing>
      </w:r>
    </w:p>
    <w:p w:rsidR="0048464B" w:rsidRPr="005C1C84" w:rsidRDefault="0048464B" w:rsidP="0048464B">
      <w:pPr>
        <w:spacing w:before="120" w:line="276" w:lineRule="auto"/>
        <w:jc w:val="both"/>
        <w:rPr>
          <w:rFonts w:cs="Times New Roman"/>
          <w:b/>
          <w:i/>
          <w:iCs/>
          <w:color w:val="000000" w:themeColor="text1"/>
          <w:sz w:val="20"/>
          <w:szCs w:val="20"/>
        </w:rPr>
      </w:pPr>
      <w:r w:rsidRPr="00A22D3B">
        <w:rPr>
          <w:rFonts w:cs="Times New Roman"/>
          <w:b/>
          <w:i/>
          <w:iCs/>
          <w:sz w:val="20"/>
          <w:szCs w:val="20"/>
        </w:rPr>
        <w:t xml:space="preserve">Source: </w:t>
      </w:r>
      <w:r w:rsidRPr="00A22D3B">
        <w:rPr>
          <w:rFonts w:cs="Times New Roman"/>
          <w:b/>
          <w:i/>
          <w:iCs/>
          <w:color w:val="000000" w:themeColor="text1"/>
          <w:sz w:val="20"/>
          <w:szCs w:val="20"/>
        </w:rPr>
        <w:t>Report</w:t>
      </w:r>
      <w:r>
        <w:rPr>
          <w:rFonts w:cs="Times New Roman"/>
          <w:b/>
          <w:i/>
          <w:iCs/>
          <w:color w:val="000000" w:themeColor="text1"/>
          <w:sz w:val="20"/>
          <w:szCs w:val="20"/>
        </w:rPr>
        <w:t xml:space="preserve"> on Solid Waste </w:t>
      </w:r>
      <w:r w:rsidRPr="004C7568">
        <w:rPr>
          <w:rFonts w:cs="Times New Roman"/>
          <w:b/>
          <w:i/>
          <w:iCs/>
          <w:color w:val="000000" w:themeColor="text1"/>
          <w:sz w:val="20"/>
          <w:szCs w:val="20"/>
        </w:rPr>
        <w:t>Management Project</w:t>
      </w:r>
      <w:r>
        <w:rPr>
          <w:rFonts w:cs="Times New Roman"/>
          <w:b/>
          <w:i/>
          <w:iCs/>
          <w:color w:val="000000" w:themeColor="text1"/>
          <w:sz w:val="20"/>
          <w:szCs w:val="20"/>
        </w:rPr>
        <w:t xml:space="preserve"> by JICA &amp; DCC Experts </w:t>
      </w:r>
    </w:p>
    <w:p w:rsidR="0048464B" w:rsidRPr="000D4755" w:rsidRDefault="0048464B" w:rsidP="0048464B">
      <w:pPr>
        <w:spacing w:line="276" w:lineRule="auto"/>
        <w:jc w:val="both"/>
        <w:rPr>
          <w:rFonts w:cs="Times New Roman"/>
          <w:bCs/>
          <w:i/>
          <w:szCs w:val="24"/>
        </w:rPr>
      </w:pPr>
      <w:r w:rsidRPr="00B40996">
        <w:rPr>
          <w:rFonts w:cs="Times New Roman"/>
          <w:szCs w:val="24"/>
        </w:rPr>
        <w:t xml:space="preserve">Waste collection efficiency, defined as the proportion of generated waste collected and transported to disposal site, varies widely across cities and towns. </w:t>
      </w:r>
      <w:r w:rsidRPr="000D4755">
        <w:rPr>
          <w:rFonts w:cs="Times New Roman"/>
          <w:bCs/>
          <w:i/>
          <w:szCs w:val="24"/>
        </w:rPr>
        <w:t>In Dhaka waste collection efficiency was 43% in 2005 which increased to about 76% in 2015</w:t>
      </w:r>
      <w:r>
        <w:rPr>
          <w:rFonts w:cs="Times New Roman"/>
          <w:szCs w:val="24"/>
        </w:rPr>
        <w:t xml:space="preserve"> (Table 10.20)</w:t>
      </w:r>
      <w:r w:rsidRPr="00B40996">
        <w:rPr>
          <w:rFonts w:cs="Times New Roman"/>
          <w:szCs w:val="24"/>
        </w:rPr>
        <w:t>. Waste collection efficiency in six other city corporations and six paurashavas are presented in Table</w:t>
      </w:r>
      <w:r>
        <w:rPr>
          <w:rFonts w:cs="Times New Roman"/>
          <w:szCs w:val="24"/>
        </w:rPr>
        <w:t xml:space="preserve"> 10.24</w:t>
      </w:r>
      <w:r w:rsidRPr="00B40996">
        <w:rPr>
          <w:rFonts w:cs="Times New Roman"/>
          <w:szCs w:val="24"/>
        </w:rPr>
        <w:t xml:space="preserve"> and Table</w:t>
      </w:r>
      <w:r>
        <w:rPr>
          <w:rFonts w:cs="Times New Roman"/>
          <w:szCs w:val="24"/>
        </w:rPr>
        <w:t xml:space="preserve"> 10.25</w:t>
      </w:r>
      <w:r w:rsidRPr="00B40996">
        <w:rPr>
          <w:rFonts w:cs="Times New Roman"/>
          <w:szCs w:val="24"/>
        </w:rPr>
        <w:t xml:space="preserve">. Barisal and Rajshahi city corporations perform much better than other city corporations. </w:t>
      </w:r>
      <w:r w:rsidRPr="000D4755">
        <w:rPr>
          <w:rFonts w:cs="Times New Roman"/>
          <w:bCs/>
          <w:i/>
          <w:szCs w:val="24"/>
        </w:rPr>
        <w:t>Waste collection efficiency of Barisal is about 100% while it is about 74% for Rajshahi City Corporation</w:t>
      </w:r>
      <w:r w:rsidRPr="000D4755">
        <w:rPr>
          <w:rFonts w:cs="Times New Roman"/>
          <w:i/>
          <w:szCs w:val="24"/>
        </w:rPr>
        <w:t>.</w:t>
      </w:r>
      <w:r w:rsidRPr="00B40996">
        <w:rPr>
          <w:rFonts w:cs="Times New Roman"/>
          <w:szCs w:val="24"/>
        </w:rPr>
        <w:t xml:space="preserve"> For other city corporations waste collection gap (proportion of waste not collected) is quite high and varies between </w:t>
      </w:r>
      <w:r>
        <w:rPr>
          <w:rFonts w:ascii="Tahoma" w:hAnsi="Tahoma" w:cs="Tahoma"/>
          <w:color w:val="000000"/>
          <w:sz w:val="20"/>
          <w:szCs w:val="20"/>
        </w:rPr>
        <w:t>44% to 51%</w:t>
      </w:r>
      <w:r w:rsidRPr="00B40996">
        <w:rPr>
          <w:rFonts w:cs="Times New Roman"/>
          <w:szCs w:val="24"/>
        </w:rPr>
        <w:t xml:space="preserve">. In case of paurashavas waste collection rate varies widely. </w:t>
      </w:r>
      <w:r w:rsidRPr="000D4755">
        <w:rPr>
          <w:rFonts w:cs="Times New Roman"/>
          <w:bCs/>
          <w:i/>
          <w:szCs w:val="24"/>
        </w:rPr>
        <w:t>Dinajpur Paurashava collects only 11.25% of the waste while Mymensingh collects about 85% of the waste. Such variations in waste collection efficiency actually reflect the financial and management capacity of local government bodies.</w:t>
      </w:r>
    </w:p>
    <w:p w:rsidR="0048464B" w:rsidRPr="00101CE9" w:rsidRDefault="0048464B" w:rsidP="0048464B">
      <w:pPr>
        <w:jc w:val="center"/>
        <w:rPr>
          <w:b/>
        </w:rPr>
      </w:pPr>
      <w:bookmarkStart w:id="773" w:name="_Toc464329003"/>
      <w:r w:rsidRPr="00101CE9">
        <w:rPr>
          <w:b/>
        </w:rPr>
        <w:t>Table 10.24: Waste Collection Efficiency of City Corporations</w:t>
      </w:r>
      <w:bookmarkEnd w:id="773"/>
    </w:p>
    <w:tbl>
      <w:tblPr>
        <w:tblStyle w:val="LightShading10"/>
        <w:tblW w:w="9018" w:type="dxa"/>
        <w:tblLook w:val="04A0"/>
      </w:tblPr>
      <w:tblGrid>
        <w:gridCol w:w="1502"/>
        <w:gridCol w:w="2116"/>
        <w:gridCol w:w="1800"/>
        <w:gridCol w:w="1710"/>
        <w:gridCol w:w="1890"/>
      </w:tblGrid>
      <w:tr w:rsidR="0048464B" w:rsidRPr="00961739" w:rsidTr="00F83382">
        <w:trPr>
          <w:cnfStyle w:val="100000000000"/>
          <w:trHeight w:val="432"/>
        </w:trPr>
        <w:tc>
          <w:tcPr>
            <w:cnfStyle w:val="001000000000"/>
            <w:tcW w:w="1502" w:type="dxa"/>
          </w:tcPr>
          <w:p w:rsidR="0048464B" w:rsidRPr="00D10C92" w:rsidRDefault="0048464B" w:rsidP="00F83382">
            <w:pPr>
              <w:jc w:val="center"/>
              <w:rPr>
                <w:rFonts w:ascii="Times New Roman" w:hAnsi="Times New Roman"/>
                <w:sz w:val="22"/>
              </w:rPr>
            </w:pPr>
            <w:r w:rsidRPr="00D10C92">
              <w:rPr>
                <w:rFonts w:ascii="Times New Roman" w:hAnsi="Times New Roman"/>
                <w:sz w:val="22"/>
              </w:rPr>
              <w:t>City Corporation</w:t>
            </w:r>
          </w:p>
        </w:tc>
        <w:tc>
          <w:tcPr>
            <w:tcW w:w="2116" w:type="dxa"/>
          </w:tcPr>
          <w:p w:rsidR="0048464B" w:rsidRPr="00D10C92" w:rsidRDefault="0048464B" w:rsidP="00F83382">
            <w:pPr>
              <w:jc w:val="center"/>
              <w:cnfStyle w:val="100000000000"/>
              <w:rPr>
                <w:rFonts w:ascii="Times New Roman" w:hAnsi="Times New Roman"/>
                <w:sz w:val="22"/>
              </w:rPr>
            </w:pPr>
            <w:r w:rsidRPr="00D10C92">
              <w:rPr>
                <w:rFonts w:ascii="Times New Roman" w:hAnsi="Times New Roman"/>
                <w:sz w:val="22"/>
              </w:rPr>
              <w:t>Daily Total Waste Generations (m.Ton)</w:t>
            </w:r>
          </w:p>
        </w:tc>
        <w:tc>
          <w:tcPr>
            <w:tcW w:w="1800" w:type="dxa"/>
          </w:tcPr>
          <w:p w:rsidR="0048464B" w:rsidRPr="00D10C92" w:rsidRDefault="0048464B" w:rsidP="00F83382">
            <w:pPr>
              <w:jc w:val="center"/>
              <w:cnfStyle w:val="100000000000"/>
              <w:rPr>
                <w:rFonts w:ascii="Times New Roman" w:hAnsi="Times New Roman"/>
                <w:sz w:val="22"/>
              </w:rPr>
            </w:pPr>
            <w:r w:rsidRPr="00D10C92">
              <w:rPr>
                <w:rFonts w:ascii="Times New Roman" w:hAnsi="Times New Roman"/>
                <w:sz w:val="22"/>
              </w:rPr>
              <w:t>Daily Total Waste Disposed at Landfill Site (m. Ton)</w:t>
            </w:r>
          </w:p>
        </w:tc>
        <w:tc>
          <w:tcPr>
            <w:tcW w:w="1710" w:type="dxa"/>
          </w:tcPr>
          <w:p w:rsidR="0048464B" w:rsidRPr="00D10C92" w:rsidRDefault="0048464B" w:rsidP="00F83382">
            <w:pPr>
              <w:jc w:val="center"/>
              <w:cnfStyle w:val="100000000000"/>
              <w:rPr>
                <w:rFonts w:ascii="Times New Roman" w:hAnsi="Times New Roman"/>
                <w:sz w:val="22"/>
              </w:rPr>
            </w:pPr>
            <w:r w:rsidRPr="00D10C92">
              <w:rPr>
                <w:rFonts w:ascii="Times New Roman" w:hAnsi="Times New Roman"/>
                <w:sz w:val="22"/>
              </w:rPr>
              <w:t>Collection Gap (m. Ton)</w:t>
            </w:r>
          </w:p>
        </w:tc>
        <w:tc>
          <w:tcPr>
            <w:tcW w:w="1890" w:type="dxa"/>
          </w:tcPr>
          <w:p w:rsidR="0048464B" w:rsidRPr="00D10C92" w:rsidRDefault="0048464B" w:rsidP="00F83382">
            <w:pPr>
              <w:jc w:val="center"/>
              <w:cnfStyle w:val="100000000000"/>
              <w:rPr>
                <w:rFonts w:ascii="Times New Roman" w:hAnsi="Times New Roman"/>
                <w:sz w:val="22"/>
              </w:rPr>
            </w:pPr>
            <w:r w:rsidRPr="00D10C92">
              <w:rPr>
                <w:rFonts w:ascii="Times New Roman" w:hAnsi="Times New Roman"/>
                <w:sz w:val="22"/>
              </w:rPr>
              <w:t>Collection Efficiency</w:t>
            </w:r>
          </w:p>
          <w:p w:rsidR="0048464B" w:rsidRPr="00D10C92" w:rsidRDefault="0048464B" w:rsidP="00F83382">
            <w:pPr>
              <w:jc w:val="center"/>
              <w:cnfStyle w:val="100000000000"/>
              <w:rPr>
                <w:rFonts w:ascii="Times New Roman" w:hAnsi="Times New Roman"/>
                <w:sz w:val="22"/>
              </w:rPr>
            </w:pPr>
            <w:r w:rsidRPr="00D10C92">
              <w:rPr>
                <w:rFonts w:ascii="Times New Roman" w:hAnsi="Times New Roman"/>
                <w:sz w:val="22"/>
              </w:rPr>
              <w:t>(percent)</w:t>
            </w:r>
          </w:p>
        </w:tc>
      </w:tr>
      <w:tr w:rsidR="0048464B" w:rsidRPr="00961739" w:rsidTr="00F83382">
        <w:trPr>
          <w:cnfStyle w:val="000000100000"/>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Barisal</w:t>
            </w:r>
          </w:p>
        </w:tc>
        <w:tc>
          <w:tcPr>
            <w:tcW w:w="2116"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54.0</w:t>
            </w:r>
          </w:p>
        </w:tc>
        <w:tc>
          <w:tcPr>
            <w:tcW w:w="180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60</w:t>
            </w:r>
          </w:p>
        </w:tc>
        <w:tc>
          <w:tcPr>
            <w:tcW w:w="171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60.0</w:t>
            </w:r>
          </w:p>
        </w:tc>
        <w:tc>
          <w:tcPr>
            <w:tcW w:w="189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100.00</w:t>
            </w:r>
          </w:p>
        </w:tc>
      </w:tr>
      <w:tr w:rsidR="0048464B" w:rsidRPr="00961739" w:rsidTr="00F83382">
        <w:trPr>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Gazipur</w:t>
            </w:r>
          </w:p>
        </w:tc>
        <w:tc>
          <w:tcPr>
            <w:tcW w:w="2116"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35.4</w:t>
            </w:r>
          </w:p>
        </w:tc>
        <w:tc>
          <w:tcPr>
            <w:tcW w:w="180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18</w:t>
            </w:r>
          </w:p>
        </w:tc>
        <w:tc>
          <w:tcPr>
            <w:tcW w:w="171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-17.4</w:t>
            </w:r>
          </w:p>
        </w:tc>
        <w:tc>
          <w:tcPr>
            <w:tcW w:w="189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50.84</w:t>
            </w:r>
          </w:p>
        </w:tc>
      </w:tr>
      <w:tr w:rsidR="0048464B" w:rsidRPr="00961739" w:rsidTr="00F83382">
        <w:trPr>
          <w:cnfStyle w:val="000000100000"/>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lastRenderedPageBreak/>
              <w:t>Narayanganj</w:t>
            </w:r>
          </w:p>
        </w:tc>
        <w:tc>
          <w:tcPr>
            <w:tcW w:w="2116"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86.9</w:t>
            </w:r>
          </w:p>
        </w:tc>
        <w:tc>
          <w:tcPr>
            <w:tcW w:w="180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39</w:t>
            </w:r>
          </w:p>
        </w:tc>
        <w:tc>
          <w:tcPr>
            <w:tcW w:w="171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-47.9</w:t>
            </w:r>
          </w:p>
        </w:tc>
        <w:tc>
          <w:tcPr>
            <w:tcW w:w="189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44.88</w:t>
            </w:r>
          </w:p>
        </w:tc>
      </w:tr>
      <w:tr w:rsidR="0048464B" w:rsidRPr="00961739" w:rsidTr="00F83382">
        <w:trPr>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Sylhet</w:t>
            </w:r>
          </w:p>
        </w:tc>
        <w:tc>
          <w:tcPr>
            <w:tcW w:w="2116"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147.2</w:t>
            </w:r>
          </w:p>
        </w:tc>
        <w:tc>
          <w:tcPr>
            <w:tcW w:w="180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66</w:t>
            </w:r>
          </w:p>
        </w:tc>
        <w:tc>
          <w:tcPr>
            <w:tcW w:w="171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-81.2</w:t>
            </w:r>
          </w:p>
        </w:tc>
        <w:tc>
          <w:tcPr>
            <w:tcW w:w="189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44.84</w:t>
            </w:r>
          </w:p>
        </w:tc>
      </w:tr>
      <w:tr w:rsidR="0048464B" w:rsidRPr="00961739" w:rsidTr="00F83382">
        <w:trPr>
          <w:cnfStyle w:val="000000100000"/>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Chittagong</w:t>
            </w:r>
          </w:p>
        </w:tc>
        <w:tc>
          <w:tcPr>
            <w:tcW w:w="2116"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1049.91</w:t>
            </w:r>
          </w:p>
        </w:tc>
        <w:tc>
          <w:tcPr>
            <w:tcW w:w="180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490.5</w:t>
            </w:r>
          </w:p>
        </w:tc>
        <w:tc>
          <w:tcPr>
            <w:tcW w:w="171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-559.5</w:t>
            </w:r>
          </w:p>
        </w:tc>
        <w:tc>
          <w:tcPr>
            <w:tcW w:w="189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46.72</w:t>
            </w:r>
          </w:p>
        </w:tc>
      </w:tr>
      <w:tr w:rsidR="0048464B" w:rsidRPr="00961739" w:rsidTr="00F83382">
        <w:trPr>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Rajshahi</w:t>
            </w:r>
          </w:p>
        </w:tc>
        <w:tc>
          <w:tcPr>
            <w:tcW w:w="2116"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194.60</w:t>
            </w:r>
          </w:p>
        </w:tc>
        <w:tc>
          <w:tcPr>
            <w:tcW w:w="180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144.5</w:t>
            </w:r>
          </w:p>
        </w:tc>
        <w:tc>
          <w:tcPr>
            <w:tcW w:w="171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-50.10</w:t>
            </w:r>
          </w:p>
        </w:tc>
        <w:tc>
          <w:tcPr>
            <w:tcW w:w="189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74.25</w:t>
            </w:r>
          </w:p>
        </w:tc>
      </w:tr>
    </w:tbl>
    <w:p w:rsidR="0048464B" w:rsidRPr="00B40996" w:rsidRDefault="0048464B" w:rsidP="0048464B">
      <w:pPr>
        <w:spacing w:before="120" w:line="276" w:lineRule="auto"/>
        <w:jc w:val="both"/>
        <w:rPr>
          <w:rFonts w:cs="Times New Roman"/>
          <w:b/>
          <w:i/>
          <w:iCs/>
          <w:sz w:val="20"/>
          <w:szCs w:val="20"/>
        </w:rPr>
      </w:pPr>
      <w:r w:rsidRPr="00B40996">
        <w:rPr>
          <w:rFonts w:cs="Times New Roman"/>
          <w:b/>
          <w:i/>
          <w:iCs/>
          <w:sz w:val="20"/>
          <w:szCs w:val="20"/>
        </w:rPr>
        <w:t>Source: CEGIS, 2012</w:t>
      </w:r>
    </w:p>
    <w:p w:rsidR="0048464B" w:rsidRPr="00B40996" w:rsidRDefault="0048464B" w:rsidP="0048464B">
      <w:pPr>
        <w:spacing w:after="0" w:line="276" w:lineRule="auto"/>
        <w:jc w:val="both"/>
        <w:rPr>
          <w:rFonts w:cs="Times New Roman"/>
          <w:i/>
          <w:sz w:val="10"/>
          <w:szCs w:val="10"/>
        </w:rPr>
      </w:pPr>
    </w:p>
    <w:p w:rsidR="0048464B" w:rsidRPr="00101CE9" w:rsidRDefault="0048464B" w:rsidP="0048464B">
      <w:pPr>
        <w:jc w:val="center"/>
        <w:rPr>
          <w:b/>
        </w:rPr>
      </w:pPr>
      <w:bookmarkStart w:id="774" w:name="_Toc464329004"/>
      <w:r w:rsidRPr="00101CE9">
        <w:rPr>
          <w:b/>
        </w:rPr>
        <w:t>Table 10.25: Waste Collection Efficiency of A-Class Paurashava</w:t>
      </w:r>
      <w:bookmarkEnd w:id="774"/>
    </w:p>
    <w:tbl>
      <w:tblPr>
        <w:tblStyle w:val="LightShading10"/>
        <w:tblW w:w="0" w:type="auto"/>
        <w:tblLook w:val="04A0"/>
      </w:tblPr>
      <w:tblGrid>
        <w:gridCol w:w="1502"/>
        <w:gridCol w:w="2026"/>
        <w:gridCol w:w="1980"/>
        <w:gridCol w:w="1620"/>
        <w:gridCol w:w="1890"/>
      </w:tblGrid>
      <w:tr w:rsidR="0048464B" w:rsidRPr="00961739" w:rsidTr="00F83382">
        <w:trPr>
          <w:cnfStyle w:val="100000000000"/>
          <w:trHeight w:val="432"/>
        </w:trPr>
        <w:tc>
          <w:tcPr>
            <w:cnfStyle w:val="001000000000"/>
            <w:tcW w:w="1502" w:type="dxa"/>
          </w:tcPr>
          <w:p w:rsidR="0048464B" w:rsidRPr="00D10C92" w:rsidRDefault="0048464B" w:rsidP="00F83382">
            <w:pPr>
              <w:jc w:val="center"/>
              <w:rPr>
                <w:rFonts w:ascii="Times New Roman" w:hAnsi="Times New Roman"/>
                <w:sz w:val="22"/>
                <w:szCs w:val="24"/>
              </w:rPr>
            </w:pPr>
            <w:r w:rsidRPr="00D10C92">
              <w:rPr>
                <w:rFonts w:ascii="Times New Roman" w:hAnsi="Times New Roman"/>
                <w:sz w:val="22"/>
                <w:szCs w:val="24"/>
              </w:rPr>
              <w:t>A class Paurashava</w:t>
            </w:r>
          </w:p>
        </w:tc>
        <w:tc>
          <w:tcPr>
            <w:tcW w:w="2026" w:type="dxa"/>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Daily Total Waste Generations (m.Ton)</w:t>
            </w:r>
          </w:p>
        </w:tc>
        <w:tc>
          <w:tcPr>
            <w:tcW w:w="1980" w:type="dxa"/>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Daily Total Waste Disposed at Landfill Site (m. Ton)</w:t>
            </w:r>
          </w:p>
        </w:tc>
        <w:tc>
          <w:tcPr>
            <w:tcW w:w="1620" w:type="dxa"/>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Collection Gap (m. Ton)</w:t>
            </w:r>
          </w:p>
        </w:tc>
        <w:tc>
          <w:tcPr>
            <w:tcW w:w="1890" w:type="dxa"/>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Collection Efficiency</w:t>
            </w:r>
          </w:p>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(percent)</w:t>
            </w:r>
          </w:p>
        </w:tc>
      </w:tr>
      <w:tr w:rsidR="0048464B" w:rsidRPr="00961739" w:rsidTr="00F83382">
        <w:trPr>
          <w:cnfStyle w:val="000000100000"/>
          <w:trHeight w:val="268"/>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Cox’s Bazar</w:t>
            </w:r>
          </w:p>
        </w:tc>
        <w:tc>
          <w:tcPr>
            <w:tcW w:w="2026"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39</w:t>
            </w:r>
          </w:p>
        </w:tc>
        <w:tc>
          <w:tcPr>
            <w:tcW w:w="1980" w:type="dxa"/>
          </w:tcPr>
          <w:p w:rsidR="0048464B" w:rsidRPr="00961739" w:rsidRDefault="0048464B" w:rsidP="00F83382">
            <w:pPr>
              <w:spacing w:after="0" w:line="240" w:lineRule="auto"/>
              <w:cnfStyle w:val="000000100000"/>
              <w:rPr>
                <w:rFonts w:ascii="Times New Roman" w:hAnsi="Times New Roman"/>
                <w:sz w:val="22"/>
                <w:szCs w:val="24"/>
              </w:rPr>
            </w:pPr>
            <w:r w:rsidRPr="00961739">
              <w:rPr>
                <w:rFonts w:ascii="Times New Roman" w:hAnsi="Times New Roman"/>
                <w:sz w:val="22"/>
                <w:szCs w:val="24"/>
              </w:rPr>
              <w:t xml:space="preserve">       21.07</w:t>
            </w:r>
          </w:p>
        </w:tc>
        <w:tc>
          <w:tcPr>
            <w:tcW w:w="162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-18</w:t>
            </w:r>
          </w:p>
        </w:tc>
        <w:tc>
          <w:tcPr>
            <w:tcW w:w="189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54.02</w:t>
            </w:r>
          </w:p>
        </w:tc>
      </w:tr>
      <w:tr w:rsidR="0048464B" w:rsidRPr="00961739" w:rsidTr="00F83382">
        <w:trPr>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Dinajpur</w:t>
            </w:r>
          </w:p>
        </w:tc>
        <w:tc>
          <w:tcPr>
            <w:tcW w:w="2026"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72</w:t>
            </w:r>
          </w:p>
        </w:tc>
        <w:tc>
          <w:tcPr>
            <w:tcW w:w="198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8.16</w:t>
            </w:r>
          </w:p>
        </w:tc>
        <w:tc>
          <w:tcPr>
            <w:tcW w:w="162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-64</w:t>
            </w:r>
          </w:p>
        </w:tc>
        <w:tc>
          <w:tcPr>
            <w:tcW w:w="189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11.25</w:t>
            </w:r>
          </w:p>
        </w:tc>
      </w:tr>
      <w:tr w:rsidR="0048464B" w:rsidRPr="00961739" w:rsidTr="00F83382">
        <w:trPr>
          <w:cnfStyle w:val="000000100000"/>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Jessore</w:t>
            </w:r>
          </w:p>
        </w:tc>
        <w:tc>
          <w:tcPr>
            <w:tcW w:w="2026"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39</w:t>
            </w:r>
          </w:p>
        </w:tc>
        <w:tc>
          <w:tcPr>
            <w:tcW w:w="1980" w:type="dxa"/>
          </w:tcPr>
          <w:p w:rsidR="0048464B" w:rsidRPr="00961739" w:rsidRDefault="0048464B" w:rsidP="00F83382">
            <w:pPr>
              <w:spacing w:after="0" w:line="240" w:lineRule="auto"/>
              <w:cnfStyle w:val="000000100000"/>
              <w:rPr>
                <w:rFonts w:ascii="Times New Roman" w:hAnsi="Times New Roman"/>
                <w:sz w:val="22"/>
                <w:szCs w:val="24"/>
              </w:rPr>
            </w:pPr>
            <w:r w:rsidRPr="00961739">
              <w:rPr>
                <w:rFonts w:ascii="Times New Roman" w:hAnsi="Times New Roman"/>
                <w:sz w:val="22"/>
                <w:szCs w:val="24"/>
              </w:rPr>
              <w:t xml:space="preserve">         18</w:t>
            </w:r>
          </w:p>
        </w:tc>
        <w:tc>
          <w:tcPr>
            <w:tcW w:w="1620" w:type="dxa"/>
          </w:tcPr>
          <w:p w:rsidR="0048464B" w:rsidRPr="00961739" w:rsidRDefault="0048464B" w:rsidP="00F83382">
            <w:pPr>
              <w:spacing w:after="0" w:line="240" w:lineRule="auto"/>
              <w:cnfStyle w:val="000000100000"/>
              <w:rPr>
                <w:rFonts w:ascii="Times New Roman" w:hAnsi="Times New Roman"/>
                <w:sz w:val="22"/>
                <w:szCs w:val="24"/>
              </w:rPr>
            </w:pPr>
            <w:r w:rsidRPr="00961739">
              <w:rPr>
                <w:rFonts w:ascii="Times New Roman" w:hAnsi="Times New Roman"/>
                <w:sz w:val="22"/>
                <w:szCs w:val="24"/>
              </w:rPr>
              <w:t xml:space="preserve">         -21</w:t>
            </w:r>
          </w:p>
        </w:tc>
        <w:tc>
          <w:tcPr>
            <w:tcW w:w="189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4.15</w:t>
            </w:r>
          </w:p>
        </w:tc>
      </w:tr>
      <w:tr w:rsidR="0048464B" w:rsidRPr="00961739" w:rsidTr="00F83382">
        <w:trPr>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Mymensingh</w:t>
            </w:r>
          </w:p>
        </w:tc>
        <w:tc>
          <w:tcPr>
            <w:tcW w:w="2026"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79</w:t>
            </w:r>
          </w:p>
        </w:tc>
        <w:tc>
          <w:tcPr>
            <w:tcW w:w="198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67.2</w:t>
            </w:r>
          </w:p>
        </w:tc>
        <w:tc>
          <w:tcPr>
            <w:tcW w:w="162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-12</w:t>
            </w:r>
          </w:p>
        </w:tc>
        <w:tc>
          <w:tcPr>
            <w:tcW w:w="189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85.06</w:t>
            </w:r>
          </w:p>
        </w:tc>
      </w:tr>
      <w:tr w:rsidR="0048464B" w:rsidRPr="00961739" w:rsidTr="00F83382">
        <w:trPr>
          <w:cnfStyle w:val="000000100000"/>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Nawabganj</w:t>
            </w:r>
          </w:p>
        </w:tc>
        <w:tc>
          <w:tcPr>
            <w:tcW w:w="2026"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64</w:t>
            </w:r>
          </w:p>
        </w:tc>
        <w:tc>
          <w:tcPr>
            <w:tcW w:w="198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7.7</w:t>
            </w:r>
          </w:p>
        </w:tc>
        <w:tc>
          <w:tcPr>
            <w:tcW w:w="162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-56</w:t>
            </w:r>
          </w:p>
        </w:tc>
        <w:tc>
          <w:tcPr>
            <w:tcW w:w="1890" w:type="dxa"/>
          </w:tcPr>
          <w:p w:rsidR="0048464B" w:rsidRPr="00961739" w:rsidRDefault="0048464B" w:rsidP="00F83382">
            <w:pPr>
              <w:spacing w:after="0" w:line="240" w:lineRule="auto"/>
              <w:jc w:val="center"/>
              <w:cnfStyle w:val="000000100000"/>
              <w:rPr>
                <w:rFonts w:ascii="Times New Roman" w:hAnsi="Times New Roman"/>
                <w:sz w:val="22"/>
                <w:szCs w:val="24"/>
              </w:rPr>
            </w:pPr>
            <w:r w:rsidRPr="00961739">
              <w:rPr>
                <w:rFonts w:ascii="Times New Roman" w:hAnsi="Times New Roman"/>
                <w:sz w:val="22"/>
                <w:szCs w:val="24"/>
              </w:rPr>
              <w:t>12.03</w:t>
            </w:r>
          </w:p>
        </w:tc>
      </w:tr>
      <w:tr w:rsidR="0048464B" w:rsidRPr="00961739" w:rsidTr="00F83382">
        <w:trPr>
          <w:trHeight w:val="432"/>
        </w:trPr>
        <w:tc>
          <w:tcPr>
            <w:cnfStyle w:val="001000000000"/>
            <w:tcW w:w="1502" w:type="dxa"/>
          </w:tcPr>
          <w:p w:rsidR="0048464B" w:rsidRPr="00961739" w:rsidRDefault="0048464B" w:rsidP="00F83382">
            <w:pPr>
              <w:spacing w:after="0" w:line="240" w:lineRule="auto"/>
              <w:rPr>
                <w:rFonts w:ascii="Times New Roman" w:hAnsi="Times New Roman"/>
                <w:sz w:val="22"/>
                <w:szCs w:val="24"/>
              </w:rPr>
            </w:pPr>
            <w:r w:rsidRPr="00961739">
              <w:rPr>
                <w:rFonts w:ascii="Times New Roman" w:hAnsi="Times New Roman"/>
                <w:sz w:val="22"/>
                <w:szCs w:val="24"/>
              </w:rPr>
              <w:t>Patiya</w:t>
            </w:r>
          </w:p>
        </w:tc>
        <w:tc>
          <w:tcPr>
            <w:tcW w:w="2026"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14</w:t>
            </w:r>
          </w:p>
        </w:tc>
        <w:tc>
          <w:tcPr>
            <w:tcW w:w="198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1.78</w:t>
            </w:r>
          </w:p>
        </w:tc>
        <w:tc>
          <w:tcPr>
            <w:tcW w:w="162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-12</w:t>
            </w:r>
          </w:p>
        </w:tc>
        <w:tc>
          <w:tcPr>
            <w:tcW w:w="1890" w:type="dxa"/>
          </w:tcPr>
          <w:p w:rsidR="0048464B" w:rsidRPr="00961739" w:rsidRDefault="0048464B" w:rsidP="00F83382">
            <w:pPr>
              <w:spacing w:after="0" w:line="240" w:lineRule="auto"/>
              <w:jc w:val="center"/>
              <w:cnfStyle w:val="000000000000"/>
              <w:rPr>
                <w:rFonts w:ascii="Times New Roman" w:hAnsi="Times New Roman"/>
                <w:sz w:val="22"/>
                <w:szCs w:val="24"/>
              </w:rPr>
            </w:pPr>
            <w:r w:rsidRPr="00961739">
              <w:rPr>
                <w:rFonts w:ascii="Times New Roman" w:hAnsi="Times New Roman"/>
                <w:sz w:val="22"/>
                <w:szCs w:val="24"/>
              </w:rPr>
              <w:t>12.71</w:t>
            </w:r>
          </w:p>
        </w:tc>
      </w:tr>
    </w:tbl>
    <w:p w:rsidR="0048464B" w:rsidRDefault="0048464B" w:rsidP="0048464B">
      <w:pPr>
        <w:spacing w:before="120" w:line="360" w:lineRule="auto"/>
        <w:jc w:val="both"/>
        <w:rPr>
          <w:rFonts w:cs="Times New Roman"/>
          <w:b/>
          <w:i/>
          <w:iCs/>
          <w:sz w:val="20"/>
          <w:szCs w:val="20"/>
        </w:rPr>
      </w:pPr>
      <w:r w:rsidRPr="00B40996">
        <w:rPr>
          <w:rFonts w:cs="Times New Roman"/>
          <w:b/>
          <w:i/>
          <w:iCs/>
          <w:sz w:val="20"/>
          <w:szCs w:val="20"/>
        </w:rPr>
        <w:t>Source: CEGIS, 2012</w:t>
      </w:r>
    </w:p>
    <w:p w:rsidR="0048464B" w:rsidRPr="00E03AFA" w:rsidRDefault="0048464B" w:rsidP="003D5A31">
      <w:pPr>
        <w:pStyle w:val="BodyText"/>
        <w:numPr>
          <w:ilvl w:val="2"/>
          <w:numId w:val="266"/>
        </w:numPr>
        <w:spacing w:after="240" w:line="276" w:lineRule="auto"/>
        <w:jc w:val="both"/>
        <w:rPr>
          <w:rFonts w:cs="Times New Roman"/>
          <w:b/>
          <w:szCs w:val="24"/>
        </w:rPr>
      </w:pPr>
      <w:r w:rsidRPr="00E03AFA">
        <w:rPr>
          <w:rFonts w:cs="Times New Roman"/>
          <w:b/>
          <w:szCs w:val="24"/>
        </w:rPr>
        <w:t>Service Cost and Revenue Generated</w:t>
      </w:r>
    </w:p>
    <w:p w:rsidR="0048464B" w:rsidRPr="00D169FA" w:rsidRDefault="0048464B" w:rsidP="0048464B">
      <w:pPr>
        <w:spacing w:line="276" w:lineRule="auto"/>
        <w:jc w:val="both"/>
        <w:rPr>
          <w:rFonts w:cs="Times New Roman"/>
          <w:szCs w:val="24"/>
        </w:rPr>
      </w:pPr>
      <w:r w:rsidRPr="00D169FA">
        <w:rPr>
          <w:rFonts w:cs="Times New Roman"/>
          <w:szCs w:val="24"/>
        </w:rPr>
        <w:t>City corporations and paurashavas carry out waste management activities as obligatory functions. These activities take up a significant proportion of total budget of these local government bodies. Waste management cost (WMC) varies quite significantly across city corp</w:t>
      </w:r>
      <w:r>
        <w:rPr>
          <w:rFonts w:cs="Times New Roman"/>
          <w:szCs w:val="24"/>
        </w:rPr>
        <w:t>orations and paurashavas. Table 10.26</w:t>
      </w:r>
      <w:r w:rsidRPr="00D169FA">
        <w:rPr>
          <w:rFonts w:cs="Times New Roman"/>
          <w:szCs w:val="24"/>
        </w:rPr>
        <w:t xml:space="preserve"> presents waste management cost per ton fo</w:t>
      </w:r>
      <w:r>
        <w:rPr>
          <w:rFonts w:cs="Times New Roman"/>
          <w:szCs w:val="24"/>
        </w:rPr>
        <w:t>r four city corporations while Table 10.27</w:t>
      </w:r>
      <w:r w:rsidRPr="00D169FA">
        <w:rPr>
          <w:rFonts w:cs="Times New Roman"/>
          <w:szCs w:val="24"/>
        </w:rPr>
        <w:t xml:space="preserve"> presents waste management cost per ton of waste in six paurashavas. There are significant variations in WMC amongst city corporations as well as paurashavas. WMC in Barisal and Gazipur city corporations is twice the WMC per ton in Narayanganj and Sylhet City Corporations. In paurashavas the WMC is lower but the variation is quite large. In Mymensingh WMC per ton is Tk 0.3 thousand while in Nawabganj it is Tk 1.2 thousand.</w:t>
      </w:r>
    </w:p>
    <w:p w:rsidR="0048464B" w:rsidRPr="00101CE9" w:rsidRDefault="0048464B" w:rsidP="0048464B">
      <w:pPr>
        <w:jc w:val="center"/>
        <w:rPr>
          <w:b/>
        </w:rPr>
      </w:pPr>
      <w:bookmarkStart w:id="775" w:name="_Toc464329005"/>
      <w:r w:rsidRPr="00101CE9">
        <w:rPr>
          <w:b/>
        </w:rPr>
        <w:t>Table 10.26: Waste Management Cost Analysis of Four City Corporation Areas</w:t>
      </w:r>
      <w:bookmarkEnd w:id="775"/>
    </w:p>
    <w:tbl>
      <w:tblPr>
        <w:tblStyle w:val="LightShading10"/>
        <w:tblW w:w="5000" w:type="pct"/>
        <w:tblLook w:val="04A0"/>
      </w:tblPr>
      <w:tblGrid>
        <w:gridCol w:w="1916"/>
        <w:gridCol w:w="1915"/>
        <w:gridCol w:w="1915"/>
        <w:gridCol w:w="1915"/>
        <w:gridCol w:w="1915"/>
      </w:tblGrid>
      <w:tr w:rsidR="0048464B" w:rsidRPr="00961739" w:rsidTr="00F83382">
        <w:trPr>
          <w:cnfStyle w:val="100000000000"/>
          <w:trHeight w:val="432"/>
        </w:trPr>
        <w:tc>
          <w:tcPr>
            <w:cnfStyle w:val="001000000000"/>
            <w:tcW w:w="1000" w:type="pct"/>
          </w:tcPr>
          <w:p w:rsidR="0048464B" w:rsidRPr="00D10C92" w:rsidRDefault="0048464B" w:rsidP="00F83382">
            <w:pPr>
              <w:spacing w:line="276" w:lineRule="auto"/>
              <w:jc w:val="center"/>
              <w:rPr>
                <w:rFonts w:ascii="Times New Roman" w:hAnsi="Times New Roman"/>
                <w:sz w:val="22"/>
                <w:szCs w:val="24"/>
              </w:rPr>
            </w:pPr>
            <w:r w:rsidRPr="00D10C92">
              <w:rPr>
                <w:rFonts w:ascii="Times New Roman" w:hAnsi="Times New Roman"/>
                <w:sz w:val="22"/>
                <w:szCs w:val="24"/>
              </w:rPr>
              <w:t>City Corporation</w:t>
            </w:r>
          </w:p>
        </w:tc>
        <w:tc>
          <w:tcPr>
            <w:tcW w:w="1000" w:type="pct"/>
          </w:tcPr>
          <w:p w:rsidR="0048464B" w:rsidRPr="00D10C92" w:rsidRDefault="0048464B" w:rsidP="00F83382">
            <w:pPr>
              <w:spacing w:line="276" w:lineRule="auto"/>
              <w:jc w:val="center"/>
              <w:cnfStyle w:val="100000000000"/>
              <w:rPr>
                <w:rFonts w:ascii="Times New Roman" w:hAnsi="Times New Roman"/>
                <w:sz w:val="22"/>
                <w:szCs w:val="24"/>
              </w:rPr>
            </w:pPr>
            <w:r w:rsidRPr="00D10C92">
              <w:rPr>
                <w:rFonts w:ascii="Times New Roman" w:hAnsi="Times New Roman"/>
                <w:sz w:val="22"/>
                <w:szCs w:val="24"/>
              </w:rPr>
              <w:t>Total Yearly Budget- Fiscal Year (2012-13)</w:t>
            </w:r>
          </w:p>
        </w:tc>
        <w:tc>
          <w:tcPr>
            <w:tcW w:w="1000" w:type="pct"/>
          </w:tcPr>
          <w:p w:rsidR="0048464B" w:rsidRPr="00D10C92" w:rsidRDefault="0048464B" w:rsidP="00F83382">
            <w:pPr>
              <w:spacing w:line="276" w:lineRule="auto"/>
              <w:jc w:val="center"/>
              <w:cnfStyle w:val="100000000000"/>
              <w:rPr>
                <w:rFonts w:ascii="Times New Roman" w:hAnsi="Times New Roman"/>
                <w:sz w:val="22"/>
                <w:szCs w:val="24"/>
              </w:rPr>
            </w:pPr>
            <w:r w:rsidRPr="00D10C92">
              <w:rPr>
                <w:rFonts w:ascii="Times New Roman" w:hAnsi="Times New Roman"/>
                <w:sz w:val="22"/>
                <w:szCs w:val="24"/>
              </w:rPr>
              <w:t>Daily Waste Management Budget</w:t>
            </w:r>
          </w:p>
        </w:tc>
        <w:tc>
          <w:tcPr>
            <w:tcW w:w="1000" w:type="pct"/>
          </w:tcPr>
          <w:p w:rsidR="0048464B" w:rsidRPr="00D10C92" w:rsidRDefault="0048464B" w:rsidP="00F83382">
            <w:pPr>
              <w:spacing w:line="276" w:lineRule="auto"/>
              <w:jc w:val="center"/>
              <w:cnfStyle w:val="100000000000"/>
              <w:rPr>
                <w:rFonts w:ascii="Times New Roman" w:hAnsi="Times New Roman"/>
                <w:sz w:val="22"/>
                <w:szCs w:val="24"/>
              </w:rPr>
            </w:pPr>
            <w:r w:rsidRPr="00D10C92">
              <w:rPr>
                <w:rFonts w:ascii="Times New Roman" w:hAnsi="Times New Roman"/>
                <w:sz w:val="22"/>
                <w:szCs w:val="24"/>
              </w:rPr>
              <w:t xml:space="preserve">Daily Waste Generation at the Base Year (m. </w:t>
            </w:r>
            <w:r w:rsidRPr="00D10C92">
              <w:rPr>
                <w:rFonts w:ascii="Times New Roman" w:hAnsi="Times New Roman"/>
                <w:sz w:val="22"/>
                <w:szCs w:val="24"/>
              </w:rPr>
              <w:lastRenderedPageBreak/>
              <w:t>Ton)</w:t>
            </w:r>
          </w:p>
        </w:tc>
        <w:tc>
          <w:tcPr>
            <w:tcW w:w="1000" w:type="pct"/>
          </w:tcPr>
          <w:p w:rsidR="0048464B" w:rsidRPr="00D10C92" w:rsidRDefault="0048464B" w:rsidP="00F83382">
            <w:pPr>
              <w:spacing w:line="276" w:lineRule="auto"/>
              <w:jc w:val="center"/>
              <w:cnfStyle w:val="100000000000"/>
              <w:rPr>
                <w:rFonts w:ascii="Times New Roman" w:hAnsi="Times New Roman"/>
                <w:sz w:val="22"/>
                <w:szCs w:val="24"/>
              </w:rPr>
            </w:pPr>
            <w:r w:rsidRPr="00D10C92">
              <w:rPr>
                <w:rFonts w:ascii="Times New Roman" w:hAnsi="Times New Roman"/>
                <w:sz w:val="22"/>
                <w:szCs w:val="24"/>
              </w:rPr>
              <w:lastRenderedPageBreak/>
              <w:t>Waste Management Cost (Tk. /m/Ton)</w:t>
            </w:r>
          </w:p>
        </w:tc>
      </w:tr>
      <w:tr w:rsidR="0048464B" w:rsidRPr="00961739" w:rsidTr="00F83382">
        <w:trPr>
          <w:cnfStyle w:val="000000100000"/>
          <w:trHeight w:val="432"/>
        </w:trPr>
        <w:tc>
          <w:tcPr>
            <w:cnfStyle w:val="001000000000"/>
            <w:tcW w:w="1000" w:type="pct"/>
          </w:tcPr>
          <w:p w:rsidR="0048464B" w:rsidRPr="00961739" w:rsidRDefault="0048464B" w:rsidP="00F83382">
            <w:pPr>
              <w:spacing w:after="0" w:line="276" w:lineRule="auto"/>
              <w:jc w:val="both"/>
              <w:rPr>
                <w:rFonts w:ascii="Times New Roman" w:hAnsi="Times New Roman"/>
                <w:sz w:val="22"/>
                <w:szCs w:val="24"/>
              </w:rPr>
            </w:pPr>
            <w:r w:rsidRPr="00961739">
              <w:rPr>
                <w:rFonts w:ascii="Times New Roman" w:hAnsi="Times New Roman"/>
                <w:sz w:val="22"/>
                <w:szCs w:val="24"/>
              </w:rPr>
              <w:lastRenderedPageBreak/>
              <w:t>Barisal</w:t>
            </w:r>
          </w:p>
        </w:tc>
        <w:tc>
          <w:tcPr>
            <w:tcW w:w="1000" w:type="pct"/>
          </w:tcPr>
          <w:p w:rsidR="0048464B" w:rsidRPr="00961739" w:rsidRDefault="0048464B" w:rsidP="00F83382">
            <w:pPr>
              <w:spacing w:after="0" w:line="276" w:lineRule="auto"/>
              <w:jc w:val="right"/>
              <w:cnfStyle w:val="000000100000"/>
              <w:rPr>
                <w:rFonts w:ascii="Times New Roman" w:hAnsi="Times New Roman"/>
                <w:sz w:val="22"/>
                <w:szCs w:val="24"/>
              </w:rPr>
            </w:pPr>
            <w:r w:rsidRPr="00961739">
              <w:rPr>
                <w:rFonts w:ascii="Times New Roman" w:hAnsi="Times New Roman"/>
                <w:sz w:val="22"/>
                <w:szCs w:val="24"/>
              </w:rPr>
              <w:t>34700242</w:t>
            </w:r>
          </w:p>
        </w:tc>
        <w:tc>
          <w:tcPr>
            <w:tcW w:w="1000" w:type="pct"/>
          </w:tcPr>
          <w:p w:rsidR="0048464B" w:rsidRPr="00961739" w:rsidRDefault="0048464B" w:rsidP="00F83382">
            <w:pPr>
              <w:spacing w:after="0" w:line="276" w:lineRule="auto"/>
              <w:jc w:val="right"/>
              <w:cnfStyle w:val="000000100000"/>
              <w:rPr>
                <w:rFonts w:ascii="Times New Roman" w:hAnsi="Times New Roman"/>
                <w:sz w:val="22"/>
                <w:szCs w:val="24"/>
              </w:rPr>
            </w:pPr>
            <w:r w:rsidRPr="00961739">
              <w:rPr>
                <w:rFonts w:ascii="Times New Roman" w:hAnsi="Times New Roman"/>
                <w:sz w:val="22"/>
                <w:szCs w:val="24"/>
              </w:rPr>
              <w:t>95069</w:t>
            </w:r>
          </w:p>
        </w:tc>
        <w:tc>
          <w:tcPr>
            <w:tcW w:w="1000" w:type="pct"/>
          </w:tcPr>
          <w:p w:rsidR="0048464B" w:rsidRPr="00961739" w:rsidRDefault="0048464B" w:rsidP="00F83382">
            <w:pPr>
              <w:spacing w:after="0" w:line="276" w:lineRule="auto"/>
              <w:jc w:val="right"/>
              <w:cnfStyle w:val="000000100000"/>
              <w:rPr>
                <w:rFonts w:ascii="Times New Roman" w:hAnsi="Times New Roman"/>
                <w:sz w:val="22"/>
                <w:szCs w:val="24"/>
              </w:rPr>
            </w:pPr>
            <w:r w:rsidRPr="00961739">
              <w:rPr>
                <w:rFonts w:ascii="Times New Roman" w:hAnsi="Times New Roman"/>
                <w:sz w:val="22"/>
                <w:szCs w:val="24"/>
              </w:rPr>
              <w:t>53</w:t>
            </w:r>
          </w:p>
        </w:tc>
        <w:tc>
          <w:tcPr>
            <w:tcW w:w="1000" w:type="pct"/>
          </w:tcPr>
          <w:p w:rsidR="0048464B" w:rsidRPr="00961739" w:rsidRDefault="0048464B" w:rsidP="00F83382">
            <w:pPr>
              <w:spacing w:after="0" w:line="276" w:lineRule="auto"/>
              <w:jc w:val="right"/>
              <w:cnfStyle w:val="000000100000"/>
              <w:rPr>
                <w:rFonts w:ascii="Times New Roman" w:hAnsi="Times New Roman"/>
                <w:sz w:val="22"/>
                <w:szCs w:val="24"/>
              </w:rPr>
            </w:pPr>
            <w:r w:rsidRPr="00961739">
              <w:rPr>
                <w:rFonts w:ascii="Times New Roman" w:hAnsi="Times New Roman"/>
                <w:sz w:val="22"/>
                <w:szCs w:val="24"/>
              </w:rPr>
              <w:t>2</w:t>
            </w:r>
          </w:p>
        </w:tc>
      </w:tr>
      <w:tr w:rsidR="0048464B" w:rsidRPr="00961739" w:rsidTr="00F83382">
        <w:trPr>
          <w:trHeight w:val="432"/>
        </w:trPr>
        <w:tc>
          <w:tcPr>
            <w:cnfStyle w:val="001000000000"/>
            <w:tcW w:w="1000" w:type="pct"/>
          </w:tcPr>
          <w:p w:rsidR="0048464B" w:rsidRPr="00961739" w:rsidRDefault="0048464B" w:rsidP="00F83382">
            <w:pPr>
              <w:spacing w:after="0" w:line="276" w:lineRule="auto"/>
              <w:jc w:val="both"/>
              <w:rPr>
                <w:rFonts w:ascii="Times New Roman" w:hAnsi="Times New Roman"/>
                <w:sz w:val="22"/>
                <w:szCs w:val="24"/>
              </w:rPr>
            </w:pPr>
            <w:r w:rsidRPr="00961739">
              <w:rPr>
                <w:rFonts w:ascii="Times New Roman" w:hAnsi="Times New Roman"/>
                <w:sz w:val="22"/>
                <w:szCs w:val="24"/>
              </w:rPr>
              <w:t>Gazipur</w:t>
            </w:r>
          </w:p>
        </w:tc>
        <w:tc>
          <w:tcPr>
            <w:tcW w:w="1000" w:type="pct"/>
          </w:tcPr>
          <w:p w:rsidR="0048464B" w:rsidRPr="00961739" w:rsidRDefault="0048464B" w:rsidP="00F83382">
            <w:pPr>
              <w:spacing w:after="0" w:line="276" w:lineRule="auto"/>
              <w:jc w:val="right"/>
              <w:cnfStyle w:val="000000000000"/>
              <w:rPr>
                <w:rFonts w:ascii="Times New Roman" w:hAnsi="Times New Roman"/>
                <w:sz w:val="22"/>
                <w:szCs w:val="24"/>
              </w:rPr>
            </w:pPr>
            <w:r w:rsidRPr="00961739">
              <w:rPr>
                <w:rFonts w:ascii="Times New Roman" w:hAnsi="Times New Roman"/>
                <w:sz w:val="22"/>
                <w:szCs w:val="24"/>
              </w:rPr>
              <w:t>23000000</w:t>
            </w:r>
          </w:p>
        </w:tc>
        <w:tc>
          <w:tcPr>
            <w:tcW w:w="1000" w:type="pct"/>
          </w:tcPr>
          <w:p w:rsidR="0048464B" w:rsidRPr="00961739" w:rsidRDefault="0048464B" w:rsidP="00F83382">
            <w:pPr>
              <w:spacing w:after="0" w:line="276" w:lineRule="auto"/>
              <w:jc w:val="right"/>
              <w:cnfStyle w:val="000000000000"/>
              <w:rPr>
                <w:rFonts w:ascii="Times New Roman" w:hAnsi="Times New Roman"/>
                <w:sz w:val="22"/>
                <w:szCs w:val="24"/>
              </w:rPr>
            </w:pPr>
            <w:r w:rsidRPr="00961739">
              <w:rPr>
                <w:rFonts w:ascii="Times New Roman" w:hAnsi="Times New Roman"/>
                <w:sz w:val="22"/>
                <w:szCs w:val="24"/>
              </w:rPr>
              <w:t>63014</w:t>
            </w:r>
          </w:p>
        </w:tc>
        <w:tc>
          <w:tcPr>
            <w:tcW w:w="1000" w:type="pct"/>
          </w:tcPr>
          <w:p w:rsidR="0048464B" w:rsidRPr="00961739" w:rsidRDefault="0048464B" w:rsidP="00F83382">
            <w:pPr>
              <w:spacing w:after="0" w:line="276" w:lineRule="auto"/>
              <w:jc w:val="right"/>
              <w:cnfStyle w:val="000000000000"/>
              <w:rPr>
                <w:rFonts w:ascii="Times New Roman" w:hAnsi="Times New Roman"/>
                <w:sz w:val="22"/>
                <w:szCs w:val="24"/>
              </w:rPr>
            </w:pPr>
            <w:r w:rsidRPr="00961739">
              <w:rPr>
                <w:rFonts w:ascii="Times New Roman" w:hAnsi="Times New Roman"/>
                <w:sz w:val="22"/>
                <w:szCs w:val="24"/>
              </w:rPr>
              <w:t>35</w:t>
            </w:r>
          </w:p>
        </w:tc>
        <w:tc>
          <w:tcPr>
            <w:tcW w:w="1000" w:type="pct"/>
          </w:tcPr>
          <w:p w:rsidR="0048464B" w:rsidRPr="00961739" w:rsidRDefault="0048464B" w:rsidP="00F83382">
            <w:pPr>
              <w:spacing w:after="0" w:line="276" w:lineRule="auto"/>
              <w:jc w:val="right"/>
              <w:cnfStyle w:val="000000000000"/>
              <w:rPr>
                <w:rFonts w:ascii="Times New Roman" w:hAnsi="Times New Roman"/>
                <w:sz w:val="22"/>
                <w:szCs w:val="24"/>
              </w:rPr>
            </w:pPr>
            <w:r w:rsidRPr="00961739">
              <w:rPr>
                <w:rFonts w:ascii="Times New Roman" w:hAnsi="Times New Roman"/>
                <w:sz w:val="22"/>
                <w:szCs w:val="24"/>
              </w:rPr>
              <w:t>2</w:t>
            </w:r>
          </w:p>
        </w:tc>
      </w:tr>
      <w:tr w:rsidR="0048464B" w:rsidRPr="00961739" w:rsidTr="00F83382">
        <w:trPr>
          <w:cnfStyle w:val="000000100000"/>
          <w:trHeight w:val="432"/>
        </w:trPr>
        <w:tc>
          <w:tcPr>
            <w:cnfStyle w:val="001000000000"/>
            <w:tcW w:w="1000" w:type="pct"/>
          </w:tcPr>
          <w:p w:rsidR="0048464B" w:rsidRPr="00961739" w:rsidRDefault="0048464B" w:rsidP="00F83382">
            <w:pPr>
              <w:spacing w:after="0" w:line="276" w:lineRule="auto"/>
              <w:jc w:val="both"/>
              <w:rPr>
                <w:rFonts w:ascii="Times New Roman" w:hAnsi="Times New Roman"/>
                <w:sz w:val="22"/>
                <w:szCs w:val="24"/>
              </w:rPr>
            </w:pPr>
            <w:r w:rsidRPr="00961739">
              <w:rPr>
                <w:rFonts w:ascii="Times New Roman" w:hAnsi="Times New Roman"/>
                <w:sz w:val="22"/>
                <w:szCs w:val="24"/>
              </w:rPr>
              <w:t>Narayanganj</w:t>
            </w:r>
          </w:p>
        </w:tc>
        <w:tc>
          <w:tcPr>
            <w:tcW w:w="1000" w:type="pct"/>
          </w:tcPr>
          <w:p w:rsidR="0048464B" w:rsidRPr="00961739" w:rsidRDefault="0048464B" w:rsidP="00F83382">
            <w:pPr>
              <w:spacing w:after="0" w:line="276" w:lineRule="auto"/>
              <w:jc w:val="right"/>
              <w:cnfStyle w:val="000000100000"/>
              <w:rPr>
                <w:rFonts w:ascii="Times New Roman" w:hAnsi="Times New Roman"/>
                <w:sz w:val="22"/>
                <w:szCs w:val="24"/>
              </w:rPr>
            </w:pPr>
            <w:r w:rsidRPr="00961739">
              <w:rPr>
                <w:rFonts w:ascii="Times New Roman" w:hAnsi="Times New Roman"/>
                <w:sz w:val="22"/>
                <w:szCs w:val="24"/>
              </w:rPr>
              <w:t>36000000</w:t>
            </w:r>
          </w:p>
        </w:tc>
        <w:tc>
          <w:tcPr>
            <w:tcW w:w="1000" w:type="pct"/>
          </w:tcPr>
          <w:p w:rsidR="0048464B" w:rsidRPr="00961739" w:rsidRDefault="0048464B" w:rsidP="00F83382">
            <w:pPr>
              <w:spacing w:after="0" w:line="276" w:lineRule="auto"/>
              <w:jc w:val="right"/>
              <w:cnfStyle w:val="000000100000"/>
              <w:rPr>
                <w:rFonts w:ascii="Times New Roman" w:hAnsi="Times New Roman"/>
                <w:sz w:val="22"/>
                <w:szCs w:val="24"/>
              </w:rPr>
            </w:pPr>
            <w:r w:rsidRPr="00961739">
              <w:rPr>
                <w:rFonts w:ascii="Times New Roman" w:hAnsi="Times New Roman"/>
                <w:sz w:val="22"/>
                <w:szCs w:val="24"/>
              </w:rPr>
              <w:t>98630</w:t>
            </w:r>
          </w:p>
        </w:tc>
        <w:tc>
          <w:tcPr>
            <w:tcW w:w="1000" w:type="pct"/>
          </w:tcPr>
          <w:p w:rsidR="0048464B" w:rsidRPr="00961739" w:rsidRDefault="0048464B" w:rsidP="00F83382">
            <w:pPr>
              <w:spacing w:after="0" w:line="276" w:lineRule="auto"/>
              <w:jc w:val="right"/>
              <w:cnfStyle w:val="000000100000"/>
              <w:rPr>
                <w:rFonts w:ascii="Times New Roman" w:hAnsi="Times New Roman"/>
                <w:sz w:val="22"/>
                <w:szCs w:val="24"/>
              </w:rPr>
            </w:pPr>
            <w:r w:rsidRPr="00961739">
              <w:rPr>
                <w:rFonts w:ascii="Times New Roman" w:hAnsi="Times New Roman"/>
                <w:sz w:val="22"/>
                <w:szCs w:val="24"/>
              </w:rPr>
              <w:t>84</w:t>
            </w:r>
          </w:p>
        </w:tc>
        <w:tc>
          <w:tcPr>
            <w:tcW w:w="1000" w:type="pct"/>
          </w:tcPr>
          <w:p w:rsidR="0048464B" w:rsidRPr="00961739" w:rsidRDefault="0048464B" w:rsidP="00F83382">
            <w:pPr>
              <w:spacing w:after="0" w:line="276" w:lineRule="auto"/>
              <w:jc w:val="right"/>
              <w:cnfStyle w:val="000000100000"/>
              <w:rPr>
                <w:rFonts w:ascii="Times New Roman" w:hAnsi="Times New Roman"/>
                <w:sz w:val="22"/>
                <w:szCs w:val="24"/>
              </w:rPr>
            </w:pPr>
            <w:r w:rsidRPr="00961739">
              <w:rPr>
                <w:rFonts w:ascii="Times New Roman" w:hAnsi="Times New Roman"/>
                <w:sz w:val="22"/>
                <w:szCs w:val="24"/>
              </w:rPr>
              <w:t>1</w:t>
            </w:r>
          </w:p>
        </w:tc>
      </w:tr>
      <w:tr w:rsidR="0048464B" w:rsidRPr="00961739" w:rsidTr="00F83382">
        <w:trPr>
          <w:trHeight w:val="432"/>
        </w:trPr>
        <w:tc>
          <w:tcPr>
            <w:cnfStyle w:val="001000000000"/>
            <w:tcW w:w="1000" w:type="pct"/>
          </w:tcPr>
          <w:p w:rsidR="0048464B" w:rsidRPr="00961739" w:rsidRDefault="0048464B" w:rsidP="00F83382">
            <w:pPr>
              <w:spacing w:after="0" w:line="276" w:lineRule="auto"/>
              <w:jc w:val="both"/>
              <w:rPr>
                <w:rFonts w:ascii="Times New Roman" w:hAnsi="Times New Roman"/>
                <w:sz w:val="22"/>
                <w:szCs w:val="24"/>
              </w:rPr>
            </w:pPr>
            <w:r w:rsidRPr="00961739">
              <w:rPr>
                <w:rFonts w:ascii="Times New Roman" w:hAnsi="Times New Roman"/>
                <w:sz w:val="22"/>
                <w:szCs w:val="24"/>
              </w:rPr>
              <w:t>Sylhet</w:t>
            </w:r>
          </w:p>
        </w:tc>
        <w:tc>
          <w:tcPr>
            <w:tcW w:w="1000" w:type="pct"/>
          </w:tcPr>
          <w:p w:rsidR="0048464B" w:rsidRPr="00961739" w:rsidRDefault="0048464B" w:rsidP="00F83382">
            <w:pPr>
              <w:spacing w:after="0" w:line="276" w:lineRule="auto"/>
              <w:jc w:val="right"/>
              <w:cnfStyle w:val="000000000000"/>
              <w:rPr>
                <w:rFonts w:ascii="Times New Roman" w:hAnsi="Times New Roman"/>
                <w:sz w:val="22"/>
                <w:szCs w:val="24"/>
              </w:rPr>
            </w:pPr>
            <w:r w:rsidRPr="00961739">
              <w:rPr>
                <w:rFonts w:ascii="Times New Roman" w:hAnsi="Times New Roman"/>
                <w:sz w:val="22"/>
                <w:szCs w:val="24"/>
              </w:rPr>
              <w:t>40000000</w:t>
            </w:r>
          </w:p>
        </w:tc>
        <w:tc>
          <w:tcPr>
            <w:tcW w:w="1000" w:type="pct"/>
          </w:tcPr>
          <w:p w:rsidR="0048464B" w:rsidRPr="00961739" w:rsidRDefault="0048464B" w:rsidP="00F83382">
            <w:pPr>
              <w:spacing w:after="0" w:line="276" w:lineRule="auto"/>
              <w:jc w:val="right"/>
              <w:cnfStyle w:val="000000000000"/>
              <w:rPr>
                <w:rFonts w:ascii="Times New Roman" w:hAnsi="Times New Roman"/>
                <w:sz w:val="22"/>
                <w:szCs w:val="24"/>
              </w:rPr>
            </w:pPr>
            <w:r w:rsidRPr="00961739">
              <w:rPr>
                <w:rFonts w:ascii="Times New Roman" w:hAnsi="Times New Roman"/>
                <w:sz w:val="22"/>
                <w:szCs w:val="24"/>
              </w:rPr>
              <w:t>109589</w:t>
            </w:r>
          </w:p>
        </w:tc>
        <w:tc>
          <w:tcPr>
            <w:tcW w:w="1000" w:type="pct"/>
          </w:tcPr>
          <w:p w:rsidR="0048464B" w:rsidRPr="00961739" w:rsidRDefault="0048464B" w:rsidP="00F83382">
            <w:pPr>
              <w:spacing w:after="0" w:line="276" w:lineRule="auto"/>
              <w:jc w:val="right"/>
              <w:cnfStyle w:val="000000000000"/>
              <w:rPr>
                <w:rFonts w:ascii="Times New Roman" w:hAnsi="Times New Roman"/>
                <w:sz w:val="22"/>
                <w:szCs w:val="24"/>
              </w:rPr>
            </w:pPr>
            <w:r w:rsidRPr="00961739">
              <w:rPr>
                <w:rFonts w:ascii="Times New Roman" w:hAnsi="Times New Roman"/>
                <w:sz w:val="22"/>
                <w:szCs w:val="24"/>
              </w:rPr>
              <w:t>135</w:t>
            </w:r>
          </w:p>
        </w:tc>
        <w:tc>
          <w:tcPr>
            <w:tcW w:w="1000" w:type="pct"/>
          </w:tcPr>
          <w:p w:rsidR="0048464B" w:rsidRPr="00961739" w:rsidRDefault="0048464B" w:rsidP="00F83382">
            <w:pPr>
              <w:spacing w:after="0" w:line="276" w:lineRule="auto"/>
              <w:jc w:val="right"/>
              <w:cnfStyle w:val="000000000000"/>
              <w:rPr>
                <w:rFonts w:ascii="Times New Roman" w:hAnsi="Times New Roman"/>
                <w:sz w:val="22"/>
                <w:szCs w:val="24"/>
              </w:rPr>
            </w:pPr>
            <w:r w:rsidRPr="00961739">
              <w:rPr>
                <w:rFonts w:ascii="Times New Roman" w:hAnsi="Times New Roman"/>
                <w:sz w:val="22"/>
                <w:szCs w:val="24"/>
              </w:rPr>
              <w:t>1</w:t>
            </w:r>
          </w:p>
        </w:tc>
      </w:tr>
    </w:tbl>
    <w:p w:rsidR="0048464B" w:rsidRPr="00D169FA" w:rsidRDefault="0048464B" w:rsidP="0048464B">
      <w:pPr>
        <w:spacing w:line="360" w:lineRule="auto"/>
        <w:jc w:val="both"/>
        <w:rPr>
          <w:rFonts w:cs="Times New Roman"/>
          <w:b/>
          <w:i/>
          <w:iCs/>
          <w:sz w:val="20"/>
          <w:szCs w:val="20"/>
        </w:rPr>
      </w:pPr>
      <w:r w:rsidRPr="00D169FA">
        <w:rPr>
          <w:rFonts w:cs="Times New Roman"/>
          <w:b/>
          <w:i/>
          <w:iCs/>
          <w:sz w:val="20"/>
          <w:szCs w:val="20"/>
        </w:rPr>
        <w:t>Source: CEGIS, 2012</w:t>
      </w:r>
    </w:p>
    <w:p w:rsidR="0048464B" w:rsidRPr="00101CE9" w:rsidRDefault="0048464B" w:rsidP="0048464B">
      <w:pPr>
        <w:jc w:val="center"/>
        <w:rPr>
          <w:b/>
        </w:rPr>
      </w:pPr>
      <w:bookmarkStart w:id="776" w:name="_Toc464329006"/>
      <w:r w:rsidRPr="00101CE9">
        <w:rPr>
          <w:b/>
        </w:rPr>
        <w:t>Table 10.27: Waste Management Cost Analysis of High Waste Generating Paurashavas</w:t>
      </w:r>
      <w:bookmarkEnd w:id="776"/>
      <w:r w:rsidRPr="000855C4">
        <w:rPr>
          <w:b/>
        </w:rPr>
        <w:t xml:space="preserve"> </w:t>
      </w:r>
      <w:r>
        <w:rPr>
          <w:b/>
        </w:rPr>
        <w:t>(</w:t>
      </w:r>
      <w:r w:rsidRPr="00101CE9">
        <w:rPr>
          <w:b/>
        </w:rPr>
        <w:t>Class A</w:t>
      </w:r>
      <w:r>
        <w:rPr>
          <w:b/>
        </w:rPr>
        <w:t>)</w:t>
      </w:r>
    </w:p>
    <w:tbl>
      <w:tblPr>
        <w:tblStyle w:val="LightShading10"/>
        <w:tblW w:w="5000" w:type="pct"/>
        <w:tblLook w:val="04A0"/>
      </w:tblPr>
      <w:tblGrid>
        <w:gridCol w:w="1915"/>
        <w:gridCol w:w="1915"/>
        <w:gridCol w:w="1829"/>
        <w:gridCol w:w="2199"/>
        <w:gridCol w:w="1718"/>
      </w:tblGrid>
      <w:tr w:rsidR="0048464B" w:rsidRPr="00D10C92" w:rsidTr="00F83382">
        <w:trPr>
          <w:cnfStyle w:val="100000000000"/>
          <w:trHeight w:val="432"/>
        </w:trPr>
        <w:tc>
          <w:tcPr>
            <w:cnfStyle w:val="001000000000"/>
            <w:tcW w:w="1000" w:type="pct"/>
          </w:tcPr>
          <w:p w:rsidR="0048464B" w:rsidRPr="00D10C92" w:rsidRDefault="0048464B" w:rsidP="00F83382">
            <w:pPr>
              <w:jc w:val="center"/>
              <w:rPr>
                <w:rFonts w:ascii="Times New Roman" w:hAnsi="Times New Roman"/>
                <w:sz w:val="22"/>
                <w:szCs w:val="24"/>
              </w:rPr>
            </w:pPr>
            <w:r w:rsidRPr="00D10C92">
              <w:rPr>
                <w:rFonts w:ascii="Times New Roman" w:hAnsi="Times New Roman"/>
                <w:sz w:val="22"/>
                <w:szCs w:val="24"/>
              </w:rPr>
              <w:t>Class A Paurashava (High)</w:t>
            </w:r>
          </w:p>
        </w:tc>
        <w:tc>
          <w:tcPr>
            <w:tcW w:w="1000" w:type="pct"/>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Total Yearly Budget- Fiscal Year (2012-13)</w:t>
            </w:r>
          </w:p>
        </w:tc>
        <w:tc>
          <w:tcPr>
            <w:tcW w:w="955" w:type="pct"/>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Daily Waste Management Budget</w:t>
            </w:r>
          </w:p>
        </w:tc>
        <w:tc>
          <w:tcPr>
            <w:tcW w:w="1148" w:type="pct"/>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Daily Waste Generation at the (Base Year) (m. Ton)</w:t>
            </w:r>
          </w:p>
        </w:tc>
        <w:tc>
          <w:tcPr>
            <w:tcW w:w="898" w:type="pct"/>
          </w:tcPr>
          <w:p w:rsidR="0048464B" w:rsidRPr="00D10C92" w:rsidRDefault="0048464B" w:rsidP="00F83382">
            <w:pPr>
              <w:jc w:val="center"/>
              <w:cnfStyle w:val="100000000000"/>
              <w:rPr>
                <w:rFonts w:ascii="Times New Roman" w:hAnsi="Times New Roman"/>
                <w:sz w:val="22"/>
                <w:szCs w:val="24"/>
              </w:rPr>
            </w:pPr>
            <w:r w:rsidRPr="00D10C92">
              <w:rPr>
                <w:rFonts w:ascii="Times New Roman" w:hAnsi="Times New Roman"/>
                <w:sz w:val="22"/>
                <w:szCs w:val="24"/>
              </w:rPr>
              <w:t>Waste Management Cost (th./m/Ton)</w:t>
            </w:r>
          </w:p>
        </w:tc>
      </w:tr>
      <w:tr w:rsidR="0048464B" w:rsidRPr="00961739" w:rsidTr="00F83382">
        <w:trPr>
          <w:cnfStyle w:val="000000100000"/>
          <w:trHeight w:hRule="exact" w:val="360"/>
        </w:trPr>
        <w:tc>
          <w:tcPr>
            <w:cnfStyle w:val="001000000000"/>
            <w:tcW w:w="1000" w:type="pct"/>
          </w:tcPr>
          <w:p w:rsidR="0048464B" w:rsidRPr="00961739" w:rsidRDefault="0048464B" w:rsidP="00F83382">
            <w:pPr>
              <w:spacing w:after="0" w:line="240" w:lineRule="auto"/>
              <w:jc w:val="both"/>
              <w:rPr>
                <w:rFonts w:ascii="Times New Roman" w:hAnsi="Times New Roman"/>
                <w:sz w:val="22"/>
                <w:szCs w:val="24"/>
              </w:rPr>
            </w:pPr>
            <w:r w:rsidRPr="00961739">
              <w:rPr>
                <w:rFonts w:ascii="Times New Roman" w:hAnsi="Times New Roman"/>
                <w:sz w:val="22"/>
                <w:szCs w:val="24"/>
              </w:rPr>
              <w:t>Mymensingh</w:t>
            </w:r>
          </w:p>
        </w:tc>
        <w:tc>
          <w:tcPr>
            <w:tcW w:w="1000"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9600000</w:t>
            </w:r>
          </w:p>
        </w:tc>
        <w:tc>
          <w:tcPr>
            <w:tcW w:w="955"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26301</w:t>
            </w:r>
          </w:p>
        </w:tc>
        <w:tc>
          <w:tcPr>
            <w:tcW w:w="1148"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76</w:t>
            </w:r>
          </w:p>
        </w:tc>
        <w:tc>
          <w:tcPr>
            <w:tcW w:w="898"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0.3</w:t>
            </w:r>
          </w:p>
        </w:tc>
      </w:tr>
      <w:tr w:rsidR="0048464B" w:rsidRPr="00961739" w:rsidTr="00F83382">
        <w:trPr>
          <w:trHeight w:hRule="exact" w:val="360"/>
        </w:trPr>
        <w:tc>
          <w:tcPr>
            <w:cnfStyle w:val="001000000000"/>
            <w:tcW w:w="1000" w:type="pct"/>
          </w:tcPr>
          <w:p w:rsidR="0048464B" w:rsidRPr="00961739" w:rsidRDefault="0048464B" w:rsidP="00F83382">
            <w:pPr>
              <w:spacing w:after="0" w:line="240" w:lineRule="auto"/>
              <w:jc w:val="both"/>
              <w:rPr>
                <w:rFonts w:ascii="Times New Roman" w:hAnsi="Times New Roman"/>
                <w:sz w:val="22"/>
                <w:szCs w:val="24"/>
              </w:rPr>
            </w:pPr>
            <w:r w:rsidRPr="00961739">
              <w:rPr>
                <w:rFonts w:ascii="Times New Roman" w:hAnsi="Times New Roman"/>
                <w:sz w:val="22"/>
                <w:szCs w:val="24"/>
              </w:rPr>
              <w:t>Cox’s Bazar</w:t>
            </w:r>
          </w:p>
        </w:tc>
        <w:tc>
          <w:tcPr>
            <w:tcW w:w="1000"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8300000</w:t>
            </w:r>
          </w:p>
        </w:tc>
        <w:tc>
          <w:tcPr>
            <w:tcW w:w="955"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22740</w:t>
            </w:r>
          </w:p>
        </w:tc>
        <w:tc>
          <w:tcPr>
            <w:tcW w:w="1148"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35</w:t>
            </w:r>
          </w:p>
        </w:tc>
        <w:tc>
          <w:tcPr>
            <w:tcW w:w="898"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0.6</w:t>
            </w:r>
          </w:p>
        </w:tc>
      </w:tr>
      <w:tr w:rsidR="0048464B" w:rsidRPr="00961739" w:rsidTr="00F83382">
        <w:trPr>
          <w:cnfStyle w:val="000000100000"/>
          <w:trHeight w:hRule="exact" w:val="360"/>
        </w:trPr>
        <w:tc>
          <w:tcPr>
            <w:cnfStyle w:val="001000000000"/>
            <w:tcW w:w="1000" w:type="pct"/>
          </w:tcPr>
          <w:p w:rsidR="0048464B" w:rsidRPr="00961739" w:rsidRDefault="0048464B" w:rsidP="00F83382">
            <w:pPr>
              <w:spacing w:after="0" w:line="240" w:lineRule="auto"/>
              <w:jc w:val="both"/>
              <w:rPr>
                <w:rFonts w:ascii="Times New Roman" w:hAnsi="Times New Roman"/>
                <w:sz w:val="22"/>
                <w:szCs w:val="24"/>
              </w:rPr>
            </w:pPr>
            <w:r w:rsidRPr="00961739">
              <w:rPr>
                <w:rFonts w:ascii="Times New Roman" w:hAnsi="Times New Roman"/>
                <w:sz w:val="22"/>
                <w:szCs w:val="24"/>
              </w:rPr>
              <w:t>Nawabganj</w:t>
            </w:r>
          </w:p>
        </w:tc>
        <w:tc>
          <w:tcPr>
            <w:tcW w:w="1000"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25000000</w:t>
            </w:r>
          </w:p>
        </w:tc>
        <w:tc>
          <w:tcPr>
            <w:tcW w:w="955"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68493</w:t>
            </w:r>
          </w:p>
        </w:tc>
        <w:tc>
          <w:tcPr>
            <w:tcW w:w="1148"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58</w:t>
            </w:r>
          </w:p>
        </w:tc>
        <w:tc>
          <w:tcPr>
            <w:tcW w:w="898"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1.2</w:t>
            </w:r>
          </w:p>
        </w:tc>
      </w:tr>
      <w:tr w:rsidR="0048464B" w:rsidRPr="00961739" w:rsidTr="00F83382">
        <w:trPr>
          <w:trHeight w:hRule="exact" w:val="360"/>
        </w:trPr>
        <w:tc>
          <w:tcPr>
            <w:cnfStyle w:val="001000000000"/>
            <w:tcW w:w="1000" w:type="pct"/>
          </w:tcPr>
          <w:p w:rsidR="0048464B" w:rsidRPr="00961739" w:rsidRDefault="0048464B" w:rsidP="00F83382">
            <w:pPr>
              <w:spacing w:after="0" w:line="240" w:lineRule="auto"/>
              <w:jc w:val="both"/>
              <w:rPr>
                <w:rFonts w:ascii="Times New Roman" w:hAnsi="Times New Roman"/>
                <w:sz w:val="22"/>
                <w:szCs w:val="24"/>
              </w:rPr>
            </w:pPr>
            <w:r w:rsidRPr="00961739">
              <w:rPr>
                <w:rFonts w:ascii="Times New Roman" w:hAnsi="Times New Roman"/>
                <w:sz w:val="22"/>
                <w:szCs w:val="24"/>
              </w:rPr>
              <w:t>Dinajpur</w:t>
            </w:r>
          </w:p>
        </w:tc>
        <w:tc>
          <w:tcPr>
            <w:tcW w:w="1000"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7600000</w:t>
            </w:r>
          </w:p>
        </w:tc>
        <w:tc>
          <w:tcPr>
            <w:tcW w:w="955"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20822</w:t>
            </w:r>
          </w:p>
        </w:tc>
        <w:tc>
          <w:tcPr>
            <w:tcW w:w="1148"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68</w:t>
            </w:r>
          </w:p>
        </w:tc>
        <w:tc>
          <w:tcPr>
            <w:tcW w:w="898"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0.3</w:t>
            </w:r>
          </w:p>
        </w:tc>
      </w:tr>
      <w:tr w:rsidR="0048464B" w:rsidRPr="00961739" w:rsidTr="00F83382">
        <w:trPr>
          <w:cnfStyle w:val="000000100000"/>
          <w:trHeight w:hRule="exact" w:val="360"/>
        </w:trPr>
        <w:tc>
          <w:tcPr>
            <w:cnfStyle w:val="001000000000"/>
            <w:tcW w:w="1000" w:type="pct"/>
          </w:tcPr>
          <w:p w:rsidR="0048464B" w:rsidRPr="00961739" w:rsidRDefault="0048464B" w:rsidP="00F83382">
            <w:pPr>
              <w:spacing w:after="0" w:line="240" w:lineRule="auto"/>
              <w:jc w:val="both"/>
              <w:rPr>
                <w:rFonts w:ascii="Times New Roman" w:hAnsi="Times New Roman"/>
                <w:sz w:val="22"/>
                <w:szCs w:val="24"/>
              </w:rPr>
            </w:pPr>
            <w:r w:rsidRPr="00961739">
              <w:rPr>
                <w:rFonts w:ascii="Times New Roman" w:hAnsi="Times New Roman"/>
                <w:sz w:val="22"/>
                <w:szCs w:val="24"/>
              </w:rPr>
              <w:t>Jessore</w:t>
            </w:r>
          </w:p>
        </w:tc>
        <w:tc>
          <w:tcPr>
            <w:tcW w:w="1000"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7250000</w:t>
            </w:r>
          </w:p>
        </w:tc>
        <w:tc>
          <w:tcPr>
            <w:tcW w:w="955"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19863</w:t>
            </w:r>
          </w:p>
        </w:tc>
        <w:tc>
          <w:tcPr>
            <w:tcW w:w="1148"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39</w:t>
            </w:r>
          </w:p>
        </w:tc>
        <w:tc>
          <w:tcPr>
            <w:tcW w:w="898" w:type="pct"/>
          </w:tcPr>
          <w:p w:rsidR="0048464B" w:rsidRPr="00961739" w:rsidRDefault="0048464B" w:rsidP="00F83382">
            <w:pPr>
              <w:spacing w:after="0" w:line="240" w:lineRule="auto"/>
              <w:jc w:val="right"/>
              <w:cnfStyle w:val="000000100000"/>
              <w:rPr>
                <w:rFonts w:ascii="Times New Roman" w:hAnsi="Times New Roman"/>
                <w:sz w:val="22"/>
                <w:szCs w:val="24"/>
              </w:rPr>
            </w:pPr>
            <w:r w:rsidRPr="00961739">
              <w:rPr>
                <w:rFonts w:ascii="Times New Roman" w:hAnsi="Times New Roman"/>
                <w:sz w:val="22"/>
                <w:szCs w:val="24"/>
              </w:rPr>
              <w:t>0.5</w:t>
            </w:r>
          </w:p>
        </w:tc>
      </w:tr>
      <w:tr w:rsidR="0048464B" w:rsidRPr="00961739" w:rsidTr="00F83382">
        <w:trPr>
          <w:trHeight w:hRule="exact" w:val="360"/>
        </w:trPr>
        <w:tc>
          <w:tcPr>
            <w:cnfStyle w:val="001000000000"/>
            <w:tcW w:w="1000" w:type="pct"/>
          </w:tcPr>
          <w:p w:rsidR="0048464B" w:rsidRPr="00961739" w:rsidRDefault="0048464B" w:rsidP="00F83382">
            <w:pPr>
              <w:spacing w:after="0" w:line="240" w:lineRule="auto"/>
              <w:jc w:val="both"/>
              <w:rPr>
                <w:rFonts w:ascii="Times New Roman" w:hAnsi="Times New Roman"/>
                <w:sz w:val="22"/>
                <w:szCs w:val="24"/>
              </w:rPr>
            </w:pPr>
            <w:r w:rsidRPr="00961739">
              <w:rPr>
                <w:rFonts w:ascii="Times New Roman" w:hAnsi="Times New Roman"/>
                <w:sz w:val="22"/>
                <w:szCs w:val="24"/>
              </w:rPr>
              <w:t>Patiya</w:t>
            </w:r>
          </w:p>
        </w:tc>
        <w:tc>
          <w:tcPr>
            <w:tcW w:w="1000"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2725462</w:t>
            </w:r>
          </w:p>
        </w:tc>
        <w:tc>
          <w:tcPr>
            <w:tcW w:w="955"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7467</w:t>
            </w:r>
          </w:p>
        </w:tc>
        <w:tc>
          <w:tcPr>
            <w:tcW w:w="1148"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13</w:t>
            </w:r>
          </w:p>
        </w:tc>
        <w:tc>
          <w:tcPr>
            <w:tcW w:w="898" w:type="pct"/>
          </w:tcPr>
          <w:p w:rsidR="0048464B" w:rsidRPr="00961739" w:rsidRDefault="0048464B" w:rsidP="00F83382">
            <w:pPr>
              <w:spacing w:after="0" w:line="240" w:lineRule="auto"/>
              <w:jc w:val="right"/>
              <w:cnfStyle w:val="000000000000"/>
              <w:rPr>
                <w:rFonts w:ascii="Times New Roman" w:hAnsi="Times New Roman"/>
                <w:sz w:val="22"/>
                <w:szCs w:val="24"/>
              </w:rPr>
            </w:pPr>
            <w:r w:rsidRPr="00961739">
              <w:rPr>
                <w:rFonts w:ascii="Times New Roman" w:hAnsi="Times New Roman"/>
                <w:sz w:val="22"/>
                <w:szCs w:val="24"/>
              </w:rPr>
              <w:t>0.6</w:t>
            </w:r>
          </w:p>
        </w:tc>
      </w:tr>
    </w:tbl>
    <w:p w:rsidR="0048464B" w:rsidRPr="0097147F" w:rsidRDefault="0048464B" w:rsidP="0048464B">
      <w:pPr>
        <w:spacing w:before="120" w:line="360" w:lineRule="auto"/>
        <w:jc w:val="both"/>
        <w:rPr>
          <w:rFonts w:cs="Times New Roman"/>
          <w:b/>
          <w:i/>
          <w:iCs/>
          <w:sz w:val="20"/>
          <w:szCs w:val="24"/>
        </w:rPr>
      </w:pPr>
      <w:r w:rsidRPr="0097147F">
        <w:rPr>
          <w:rFonts w:cs="Times New Roman"/>
          <w:b/>
          <w:i/>
          <w:iCs/>
          <w:sz w:val="20"/>
          <w:szCs w:val="24"/>
        </w:rPr>
        <w:t>Source: CEGIS, 2012</w:t>
      </w:r>
    </w:p>
    <w:p w:rsidR="0048464B" w:rsidRPr="00D169FA" w:rsidRDefault="0048464B" w:rsidP="0048464B">
      <w:pPr>
        <w:spacing w:line="276" w:lineRule="auto"/>
        <w:jc w:val="both"/>
        <w:rPr>
          <w:rFonts w:cs="Times New Roman"/>
        </w:rPr>
      </w:pPr>
      <w:r w:rsidRPr="00D169FA">
        <w:rPr>
          <w:rFonts w:cs="Times New Roman"/>
          <w:szCs w:val="24"/>
        </w:rPr>
        <w:t xml:space="preserve">Solid waste management (SWM) cost of Dhaka South and North City Corporations </w:t>
      </w:r>
      <w:r>
        <w:rPr>
          <w:rFonts w:cs="Times New Roman"/>
          <w:szCs w:val="24"/>
        </w:rPr>
        <w:t>(combined) is presented in T</w:t>
      </w:r>
      <w:r w:rsidRPr="00D169FA">
        <w:rPr>
          <w:rFonts w:cs="Times New Roman"/>
          <w:szCs w:val="24"/>
        </w:rPr>
        <w:t>able</w:t>
      </w:r>
      <w:r>
        <w:rPr>
          <w:rFonts w:cs="Times New Roman"/>
          <w:szCs w:val="24"/>
        </w:rPr>
        <w:t xml:space="preserve"> 10.28</w:t>
      </w:r>
      <w:r w:rsidRPr="00D169FA">
        <w:rPr>
          <w:rFonts w:cs="Times New Roman"/>
          <w:szCs w:val="24"/>
        </w:rPr>
        <w:t xml:space="preserve"> below. </w:t>
      </w:r>
      <w:r w:rsidRPr="002F5670">
        <w:rPr>
          <w:rFonts w:cs="Times New Roman"/>
        </w:rPr>
        <w:t>SWM cost per ton was 0.95 thousand taka in 2004-5. It is estimated as 1.45 thousand tak</w:t>
      </w:r>
      <w:r>
        <w:rPr>
          <w:rFonts w:cs="Times New Roman"/>
        </w:rPr>
        <w:t>a</w:t>
      </w:r>
      <w:r w:rsidRPr="002F5670">
        <w:rPr>
          <w:rFonts w:cs="Times New Roman"/>
        </w:rPr>
        <w:t xml:space="preserve"> per ton in 2014-15</w:t>
      </w:r>
      <w:r>
        <w:rPr>
          <w:rFonts w:cs="Times New Roman"/>
        </w:rPr>
        <w:t>,</w:t>
      </w:r>
      <w:r w:rsidRPr="002F5670">
        <w:rPr>
          <w:rFonts w:cs="Times New Roman"/>
        </w:rPr>
        <w:t xml:space="preserve"> indicating an increase of about 52 percent in a decade.</w:t>
      </w:r>
    </w:p>
    <w:p w:rsidR="0048464B" w:rsidRPr="00101CE9" w:rsidRDefault="0048464B" w:rsidP="0048464B">
      <w:pPr>
        <w:jc w:val="center"/>
        <w:rPr>
          <w:b/>
        </w:rPr>
      </w:pPr>
      <w:bookmarkStart w:id="777" w:name="_Toc464329007"/>
      <w:r w:rsidRPr="00101CE9">
        <w:rPr>
          <w:b/>
        </w:rPr>
        <w:t>Table 10.28: DCC North and South – SWM Cost per Ton</w:t>
      </w:r>
      <w:bookmarkEnd w:id="777"/>
      <w:r>
        <w:rPr>
          <w:b/>
        </w:rPr>
        <w:t>ne</w:t>
      </w:r>
    </w:p>
    <w:tbl>
      <w:tblPr>
        <w:tblStyle w:val="PlainTable120"/>
        <w:tblW w:w="0" w:type="auto"/>
        <w:tblLook w:val="04A0"/>
      </w:tblPr>
      <w:tblGrid>
        <w:gridCol w:w="2391"/>
        <w:gridCol w:w="1947"/>
        <w:gridCol w:w="2340"/>
        <w:gridCol w:w="2886"/>
      </w:tblGrid>
      <w:tr w:rsidR="0048464B" w:rsidRPr="002F5670" w:rsidTr="00F83382">
        <w:trPr>
          <w:cnfStyle w:val="100000000000"/>
          <w:trHeight w:val="512"/>
        </w:trPr>
        <w:tc>
          <w:tcPr>
            <w:cnfStyle w:val="001000000000"/>
            <w:tcW w:w="2391" w:type="dxa"/>
          </w:tcPr>
          <w:p w:rsidR="0048464B" w:rsidRPr="002F5670" w:rsidRDefault="0048464B" w:rsidP="00F83382">
            <w:pPr>
              <w:spacing w:line="276" w:lineRule="auto"/>
              <w:rPr>
                <w:rFonts w:cs="Times New Roman"/>
              </w:rPr>
            </w:pPr>
          </w:p>
        </w:tc>
        <w:tc>
          <w:tcPr>
            <w:tcW w:w="1947" w:type="dxa"/>
          </w:tcPr>
          <w:p w:rsidR="0048464B" w:rsidRPr="002F5670" w:rsidRDefault="0048464B" w:rsidP="00F83382">
            <w:pPr>
              <w:spacing w:line="276" w:lineRule="auto"/>
              <w:cnfStyle w:val="100000000000"/>
              <w:rPr>
                <w:rFonts w:cs="Times New Roman"/>
              </w:rPr>
            </w:pPr>
            <w:r w:rsidRPr="002F5670">
              <w:rPr>
                <w:rFonts w:cs="Times New Roman"/>
              </w:rPr>
              <w:t>Unit</w:t>
            </w:r>
          </w:p>
        </w:tc>
        <w:tc>
          <w:tcPr>
            <w:tcW w:w="2340" w:type="dxa"/>
          </w:tcPr>
          <w:p w:rsidR="0048464B" w:rsidRPr="002F5670" w:rsidRDefault="0048464B" w:rsidP="00F83382">
            <w:pPr>
              <w:spacing w:line="276" w:lineRule="auto"/>
              <w:cnfStyle w:val="100000000000"/>
              <w:rPr>
                <w:rFonts w:cs="Times New Roman"/>
              </w:rPr>
            </w:pPr>
            <w:r>
              <w:rPr>
                <w:rFonts w:cs="Times New Roman"/>
              </w:rPr>
              <w:t xml:space="preserve">Actual* </w:t>
            </w:r>
            <w:r w:rsidRPr="002F5670">
              <w:rPr>
                <w:rFonts w:cs="Times New Roman"/>
              </w:rPr>
              <w:t>(2004-2005)</w:t>
            </w:r>
          </w:p>
        </w:tc>
        <w:tc>
          <w:tcPr>
            <w:tcW w:w="2886" w:type="dxa"/>
          </w:tcPr>
          <w:p w:rsidR="0048464B" w:rsidRPr="002F5670" w:rsidRDefault="0048464B" w:rsidP="00F83382">
            <w:pPr>
              <w:spacing w:line="276" w:lineRule="auto"/>
              <w:cnfStyle w:val="100000000000"/>
              <w:rPr>
                <w:rFonts w:cs="Times New Roman"/>
              </w:rPr>
            </w:pPr>
            <w:r>
              <w:rPr>
                <w:rFonts w:cs="Times New Roman"/>
              </w:rPr>
              <w:t xml:space="preserve">Estimated** </w:t>
            </w:r>
            <w:r w:rsidRPr="002F5670">
              <w:rPr>
                <w:rFonts w:cs="Times New Roman"/>
              </w:rPr>
              <w:t>(2014-2015)</w:t>
            </w:r>
          </w:p>
        </w:tc>
      </w:tr>
      <w:tr w:rsidR="0048464B" w:rsidRPr="002F5670" w:rsidTr="00F83382">
        <w:trPr>
          <w:cnfStyle w:val="000000100000"/>
          <w:trHeight w:val="52"/>
        </w:trPr>
        <w:tc>
          <w:tcPr>
            <w:cnfStyle w:val="001000000000"/>
            <w:tcW w:w="2391" w:type="dxa"/>
          </w:tcPr>
          <w:p w:rsidR="0048464B" w:rsidRPr="002F5670" w:rsidRDefault="0048464B" w:rsidP="00F83382">
            <w:pPr>
              <w:spacing w:line="276" w:lineRule="auto"/>
              <w:rPr>
                <w:rFonts w:cs="Times New Roman"/>
              </w:rPr>
            </w:pPr>
            <w:r w:rsidRPr="002F5670">
              <w:rPr>
                <w:rFonts w:cs="Times New Roman"/>
              </w:rPr>
              <w:t xml:space="preserve">SWM O &amp;M Cost </w:t>
            </w:r>
          </w:p>
          <w:p w:rsidR="0048464B" w:rsidRPr="002F5670" w:rsidRDefault="0048464B" w:rsidP="00F83382">
            <w:pPr>
              <w:spacing w:line="276" w:lineRule="auto"/>
              <w:rPr>
                <w:rFonts w:cs="Times New Roman"/>
              </w:rPr>
            </w:pPr>
            <w:r w:rsidRPr="002F5670">
              <w:rPr>
                <w:rFonts w:cs="Times New Roman"/>
              </w:rPr>
              <w:t>Collected Solid Waste</w:t>
            </w:r>
          </w:p>
          <w:p w:rsidR="0048464B" w:rsidRPr="002F5670" w:rsidRDefault="0048464B" w:rsidP="00F83382">
            <w:pPr>
              <w:spacing w:line="276" w:lineRule="auto"/>
              <w:rPr>
                <w:rFonts w:cs="Times New Roman"/>
              </w:rPr>
            </w:pPr>
            <w:r w:rsidRPr="002F5670">
              <w:rPr>
                <w:rFonts w:cs="Times New Roman"/>
              </w:rPr>
              <w:t>Taka/Ton</w:t>
            </w:r>
            <w:r>
              <w:rPr>
                <w:rFonts w:cs="Times New Roman"/>
              </w:rPr>
              <w:t>ne</w:t>
            </w:r>
          </w:p>
        </w:tc>
        <w:tc>
          <w:tcPr>
            <w:tcW w:w="1947" w:type="dxa"/>
          </w:tcPr>
          <w:p w:rsidR="0048464B" w:rsidRPr="002F5670" w:rsidRDefault="0048464B" w:rsidP="00F83382">
            <w:pPr>
              <w:spacing w:line="276" w:lineRule="auto"/>
              <w:cnfStyle w:val="000000100000"/>
              <w:rPr>
                <w:rFonts w:cs="Times New Roman"/>
              </w:rPr>
            </w:pPr>
            <w:r w:rsidRPr="002F5670">
              <w:rPr>
                <w:rFonts w:cs="Times New Roman"/>
              </w:rPr>
              <w:t>Million Taka</w:t>
            </w:r>
          </w:p>
          <w:p w:rsidR="0048464B" w:rsidRPr="002F5670" w:rsidRDefault="0048464B" w:rsidP="00F83382">
            <w:pPr>
              <w:spacing w:line="276" w:lineRule="auto"/>
              <w:cnfStyle w:val="000000100000"/>
              <w:rPr>
                <w:rFonts w:cs="Times New Roman"/>
              </w:rPr>
            </w:pPr>
            <w:r w:rsidRPr="002F5670">
              <w:rPr>
                <w:rFonts w:cs="Times New Roman"/>
              </w:rPr>
              <w:t>1000 Ton/Year</w:t>
            </w:r>
          </w:p>
          <w:p w:rsidR="0048464B" w:rsidRPr="002F5670" w:rsidRDefault="0048464B" w:rsidP="00F83382">
            <w:pPr>
              <w:spacing w:line="276" w:lineRule="auto"/>
              <w:cnfStyle w:val="000000100000"/>
              <w:rPr>
                <w:rFonts w:cs="Times New Roman"/>
              </w:rPr>
            </w:pPr>
            <w:r w:rsidRPr="002F5670">
              <w:rPr>
                <w:rFonts w:cs="Times New Roman"/>
              </w:rPr>
              <w:t>Taka</w:t>
            </w:r>
          </w:p>
        </w:tc>
        <w:tc>
          <w:tcPr>
            <w:tcW w:w="2340" w:type="dxa"/>
          </w:tcPr>
          <w:p w:rsidR="0048464B" w:rsidRPr="002F5670" w:rsidRDefault="0048464B" w:rsidP="00F83382">
            <w:pPr>
              <w:spacing w:line="276" w:lineRule="auto"/>
              <w:cnfStyle w:val="000000100000"/>
              <w:rPr>
                <w:rFonts w:cs="Times New Roman"/>
              </w:rPr>
            </w:pPr>
            <w:r w:rsidRPr="002F5670">
              <w:rPr>
                <w:rFonts w:cs="Times New Roman"/>
              </w:rPr>
              <w:t>487</w:t>
            </w:r>
          </w:p>
          <w:p w:rsidR="0048464B" w:rsidRPr="002F5670" w:rsidRDefault="0048464B" w:rsidP="00F83382">
            <w:pPr>
              <w:spacing w:line="276" w:lineRule="auto"/>
              <w:cnfStyle w:val="000000100000"/>
              <w:rPr>
                <w:rFonts w:cs="Times New Roman"/>
              </w:rPr>
            </w:pPr>
            <w:r w:rsidRPr="002F5670">
              <w:rPr>
                <w:rFonts w:cs="Times New Roman"/>
              </w:rPr>
              <w:t>511</w:t>
            </w:r>
          </w:p>
          <w:p w:rsidR="0048464B" w:rsidRPr="002F5670" w:rsidRDefault="0048464B" w:rsidP="00F83382">
            <w:pPr>
              <w:spacing w:line="276" w:lineRule="auto"/>
              <w:cnfStyle w:val="000000100000"/>
              <w:rPr>
                <w:rFonts w:cs="Times New Roman"/>
              </w:rPr>
            </w:pPr>
            <w:r w:rsidRPr="002F5670">
              <w:rPr>
                <w:rFonts w:cs="Times New Roman"/>
              </w:rPr>
              <w:t>953</w:t>
            </w:r>
          </w:p>
        </w:tc>
        <w:tc>
          <w:tcPr>
            <w:tcW w:w="2886" w:type="dxa"/>
          </w:tcPr>
          <w:p w:rsidR="0048464B" w:rsidRPr="002F5670" w:rsidRDefault="0048464B" w:rsidP="00F83382">
            <w:pPr>
              <w:spacing w:line="276" w:lineRule="auto"/>
              <w:cnfStyle w:val="000000100000"/>
              <w:rPr>
                <w:rFonts w:cs="Times New Roman"/>
              </w:rPr>
            </w:pPr>
            <w:r w:rsidRPr="002F5670">
              <w:rPr>
                <w:rFonts w:cs="Times New Roman"/>
              </w:rPr>
              <w:t>2467</w:t>
            </w:r>
          </w:p>
          <w:p w:rsidR="0048464B" w:rsidRPr="002F5670" w:rsidRDefault="0048464B" w:rsidP="00F83382">
            <w:pPr>
              <w:spacing w:line="276" w:lineRule="auto"/>
              <w:cnfStyle w:val="000000100000"/>
              <w:rPr>
                <w:rFonts w:cs="Times New Roman"/>
              </w:rPr>
            </w:pPr>
            <w:r w:rsidRPr="002F5670">
              <w:rPr>
                <w:rFonts w:cs="Times New Roman"/>
              </w:rPr>
              <w:t>1695</w:t>
            </w:r>
          </w:p>
          <w:p w:rsidR="0048464B" w:rsidRPr="002F5670" w:rsidRDefault="0048464B" w:rsidP="00F83382">
            <w:pPr>
              <w:spacing w:line="276" w:lineRule="auto"/>
              <w:cnfStyle w:val="000000100000"/>
              <w:rPr>
                <w:rFonts w:cs="Times New Roman"/>
              </w:rPr>
            </w:pPr>
            <w:r w:rsidRPr="002F5670">
              <w:rPr>
                <w:rFonts w:cs="Times New Roman"/>
              </w:rPr>
              <w:t>1455</w:t>
            </w:r>
          </w:p>
        </w:tc>
      </w:tr>
    </w:tbl>
    <w:p w:rsidR="0048464B" w:rsidRPr="00D169FA" w:rsidRDefault="0048464B" w:rsidP="0048464B">
      <w:pPr>
        <w:spacing w:before="120" w:line="276" w:lineRule="auto"/>
        <w:rPr>
          <w:rFonts w:cs="Times New Roman"/>
          <w:b/>
          <w:bCs/>
          <w:i/>
          <w:iCs/>
          <w:sz w:val="20"/>
          <w:szCs w:val="20"/>
        </w:rPr>
      </w:pPr>
      <w:r>
        <w:rPr>
          <w:rFonts w:cs="Times New Roman"/>
          <w:b/>
          <w:bCs/>
          <w:i/>
          <w:iCs/>
          <w:sz w:val="20"/>
          <w:szCs w:val="20"/>
        </w:rPr>
        <w:t>Source: JICA, 2005 ** BDP 2100 estimate</w:t>
      </w:r>
    </w:p>
    <w:p w:rsidR="0048464B" w:rsidRPr="00D169FA" w:rsidRDefault="0048464B" w:rsidP="0048464B">
      <w:pPr>
        <w:spacing w:line="276" w:lineRule="auto"/>
        <w:jc w:val="both"/>
        <w:rPr>
          <w:rFonts w:cs="Times New Roman"/>
          <w:szCs w:val="24"/>
        </w:rPr>
      </w:pPr>
      <w:r w:rsidRPr="00D169FA">
        <w:rPr>
          <w:rFonts w:cs="Times New Roman"/>
          <w:szCs w:val="24"/>
        </w:rPr>
        <w:t xml:space="preserve">Solid waste management is a service that is low on revenue generation. The service either generates no revenue or the revenue generated is not very significant. Revenue from this service mainly comes in the form of tax which is a certain percentage of the holding tax. The cost </w:t>
      </w:r>
      <w:r w:rsidRPr="00D169FA">
        <w:rPr>
          <w:rFonts w:cs="Times New Roman"/>
          <w:szCs w:val="24"/>
        </w:rPr>
        <w:lastRenderedPageBreak/>
        <w:t>recovery in this service, therefore, is very low. Table</w:t>
      </w:r>
      <w:r>
        <w:rPr>
          <w:rFonts w:cs="Times New Roman"/>
          <w:szCs w:val="24"/>
        </w:rPr>
        <w:t xml:space="preserve"> 10.29 and T</w:t>
      </w:r>
      <w:r w:rsidRPr="00D169FA">
        <w:rPr>
          <w:rFonts w:cs="Times New Roman"/>
          <w:szCs w:val="24"/>
        </w:rPr>
        <w:t>able</w:t>
      </w:r>
      <w:r>
        <w:rPr>
          <w:rFonts w:cs="Times New Roman"/>
          <w:szCs w:val="24"/>
        </w:rPr>
        <w:t xml:space="preserve"> 10.30 present</w:t>
      </w:r>
      <w:r w:rsidRPr="00D169FA">
        <w:rPr>
          <w:rFonts w:cs="Times New Roman"/>
          <w:szCs w:val="24"/>
        </w:rPr>
        <w:t xml:space="preserve"> the income from and expenditure for solid waste management in Chittagong and</w:t>
      </w:r>
      <w:r>
        <w:rPr>
          <w:rFonts w:cs="Times New Roman"/>
          <w:szCs w:val="24"/>
        </w:rPr>
        <w:t xml:space="preserve"> Rajshahi City Corporation and Rangpur and P</w:t>
      </w:r>
      <w:r w:rsidRPr="00D169FA">
        <w:rPr>
          <w:rFonts w:cs="Times New Roman"/>
          <w:szCs w:val="24"/>
        </w:rPr>
        <w:t>atuakhali paurashavas.</w:t>
      </w:r>
    </w:p>
    <w:p w:rsidR="0048464B" w:rsidRPr="00101CE9" w:rsidRDefault="0048464B" w:rsidP="0048464B">
      <w:pPr>
        <w:jc w:val="center"/>
        <w:rPr>
          <w:b/>
        </w:rPr>
      </w:pPr>
      <w:bookmarkStart w:id="778" w:name="_Toc464329008"/>
      <w:r w:rsidRPr="00101CE9">
        <w:rPr>
          <w:b/>
        </w:rPr>
        <w:t>Table 10.29: Income from Solid Waste Management</w:t>
      </w:r>
      <w:bookmarkEnd w:id="778"/>
    </w:p>
    <w:tbl>
      <w:tblPr>
        <w:tblStyle w:val="PlainTable120"/>
        <w:tblW w:w="0" w:type="auto"/>
        <w:tblLook w:val="04A0"/>
      </w:tblPr>
      <w:tblGrid>
        <w:gridCol w:w="2628"/>
        <w:gridCol w:w="1530"/>
        <w:gridCol w:w="1857"/>
        <w:gridCol w:w="1563"/>
        <w:gridCol w:w="1665"/>
      </w:tblGrid>
      <w:tr w:rsidR="0048464B" w:rsidRPr="00961739" w:rsidTr="00F83382">
        <w:trPr>
          <w:cnfStyle w:val="100000000000"/>
        </w:trPr>
        <w:tc>
          <w:tcPr>
            <w:cnfStyle w:val="001000000000"/>
            <w:tcW w:w="2628" w:type="dxa"/>
            <w:vMerge w:val="restart"/>
          </w:tcPr>
          <w:p w:rsidR="0048464B" w:rsidRPr="00D10C92" w:rsidRDefault="0048464B" w:rsidP="00F83382">
            <w:pPr>
              <w:spacing w:line="276" w:lineRule="auto"/>
              <w:jc w:val="center"/>
              <w:rPr>
                <w:rFonts w:cs="Times New Roman"/>
                <w:sz w:val="20"/>
                <w:szCs w:val="24"/>
              </w:rPr>
            </w:pPr>
            <w:r w:rsidRPr="00D10C92">
              <w:rPr>
                <w:rFonts w:cs="Times New Roman"/>
                <w:sz w:val="20"/>
                <w:szCs w:val="24"/>
              </w:rPr>
              <w:t>Local Government Unit</w:t>
            </w:r>
          </w:p>
        </w:tc>
        <w:tc>
          <w:tcPr>
            <w:tcW w:w="1530" w:type="dxa"/>
            <w:vMerge w:val="restart"/>
          </w:tcPr>
          <w:p w:rsidR="0048464B" w:rsidRPr="00D10C92" w:rsidRDefault="0048464B" w:rsidP="00F83382">
            <w:pPr>
              <w:spacing w:line="276" w:lineRule="auto"/>
              <w:jc w:val="center"/>
              <w:cnfStyle w:val="100000000000"/>
              <w:rPr>
                <w:rFonts w:cs="Times New Roman"/>
                <w:sz w:val="20"/>
                <w:szCs w:val="24"/>
              </w:rPr>
            </w:pPr>
            <w:r w:rsidRPr="00D10C92">
              <w:rPr>
                <w:rFonts w:cs="Times New Roman"/>
                <w:sz w:val="20"/>
                <w:szCs w:val="24"/>
              </w:rPr>
              <w:t>Total Waste Disposed (Ton</w:t>
            </w:r>
            <w:r>
              <w:rPr>
                <w:rFonts w:cs="Times New Roman"/>
                <w:sz w:val="20"/>
                <w:szCs w:val="24"/>
              </w:rPr>
              <w:t>ne</w:t>
            </w:r>
            <w:r w:rsidRPr="00D10C92">
              <w:rPr>
                <w:rFonts w:cs="Times New Roman"/>
                <w:sz w:val="20"/>
                <w:szCs w:val="24"/>
              </w:rPr>
              <w:t>)</w:t>
            </w:r>
          </w:p>
        </w:tc>
        <w:tc>
          <w:tcPr>
            <w:tcW w:w="1857" w:type="dxa"/>
            <w:vMerge w:val="restart"/>
          </w:tcPr>
          <w:p w:rsidR="0048464B" w:rsidRPr="00D10C92" w:rsidRDefault="0048464B" w:rsidP="00F83382">
            <w:pPr>
              <w:spacing w:line="276" w:lineRule="auto"/>
              <w:jc w:val="center"/>
              <w:cnfStyle w:val="100000000000"/>
              <w:rPr>
                <w:rFonts w:cs="Times New Roman"/>
                <w:sz w:val="20"/>
                <w:szCs w:val="24"/>
              </w:rPr>
            </w:pPr>
            <w:r w:rsidRPr="00D10C92">
              <w:rPr>
                <w:rFonts w:cs="Times New Roman"/>
                <w:sz w:val="20"/>
                <w:szCs w:val="24"/>
              </w:rPr>
              <w:t>Income from Solid Waste Management (Million Taka)</w:t>
            </w:r>
          </w:p>
        </w:tc>
        <w:tc>
          <w:tcPr>
            <w:tcW w:w="3228" w:type="dxa"/>
            <w:gridSpan w:val="2"/>
          </w:tcPr>
          <w:p w:rsidR="0048464B" w:rsidRPr="00D10C92" w:rsidRDefault="0048464B" w:rsidP="00F83382">
            <w:pPr>
              <w:spacing w:line="276" w:lineRule="auto"/>
              <w:jc w:val="center"/>
              <w:cnfStyle w:val="100000000000"/>
              <w:rPr>
                <w:rFonts w:cs="Times New Roman"/>
                <w:sz w:val="20"/>
                <w:szCs w:val="24"/>
              </w:rPr>
            </w:pPr>
            <w:r w:rsidRPr="00D10C92">
              <w:rPr>
                <w:rFonts w:cs="Times New Roman"/>
                <w:sz w:val="20"/>
                <w:szCs w:val="24"/>
              </w:rPr>
              <w:t>Income from Solid Waste Management</w:t>
            </w:r>
          </w:p>
        </w:tc>
      </w:tr>
      <w:tr w:rsidR="0048464B" w:rsidRPr="00961739" w:rsidTr="00F83382">
        <w:trPr>
          <w:cnfStyle w:val="000000100000"/>
        </w:trPr>
        <w:tc>
          <w:tcPr>
            <w:cnfStyle w:val="001000000000"/>
            <w:tcW w:w="2628" w:type="dxa"/>
            <w:vMerge/>
          </w:tcPr>
          <w:p w:rsidR="0048464B" w:rsidRPr="00961739" w:rsidRDefault="0048464B" w:rsidP="00F83382">
            <w:pPr>
              <w:spacing w:line="276" w:lineRule="auto"/>
              <w:jc w:val="both"/>
              <w:rPr>
                <w:rFonts w:cs="Times New Roman"/>
                <w:bCs w:val="0"/>
                <w:sz w:val="20"/>
                <w:szCs w:val="24"/>
              </w:rPr>
            </w:pPr>
          </w:p>
        </w:tc>
        <w:tc>
          <w:tcPr>
            <w:tcW w:w="1530" w:type="dxa"/>
            <w:vMerge/>
          </w:tcPr>
          <w:p w:rsidR="0048464B" w:rsidRPr="00961739" w:rsidRDefault="0048464B" w:rsidP="00F83382">
            <w:pPr>
              <w:spacing w:line="276" w:lineRule="auto"/>
              <w:jc w:val="both"/>
              <w:cnfStyle w:val="000000100000"/>
              <w:rPr>
                <w:rFonts w:cs="Times New Roman"/>
                <w:bCs/>
                <w:sz w:val="20"/>
                <w:szCs w:val="24"/>
              </w:rPr>
            </w:pPr>
          </w:p>
        </w:tc>
        <w:tc>
          <w:tcPr>
            <w:tcW w:w="1857" w:type="dxa"/>
            <w:vMerge/>
          </w:tcPr>
          <w:p w:rsidR="0048464B" w:rsidRPr="00961739" w:rsidRDefault="0048464B" w:rsidP="00F83382">
            <w:pPr>
              <w:spacing w:line="276" w:lineRule="auto"/>
              <w:jc w:val="both"/>
              <w:cnfStyle w:val="000000100000"/>
              <w:rPr>
                <w:rFonts w:cs="Times New Roman"/>
                <w:bCs/>
                <w:sz w:val="20"/>
                <w:szCs w:val="24"/>
              </w:rPr>
            </w:pPr>
          </w:p>
        </w:tc>
        <w:tc>
          <w:tcPr>
            <w:tcW w:w="1563" w:type="dxa"/>
          </w:tcPr>
          <w:p w:rsidR="0048464B" w:rsidRPr="00961739" w:rsidRDefault="0048464B" w:rsidP="00F83382">
            <w:pPr>
              <w:spacing w:line="276" w:lineRule="auto"/>
              <w:jc w:val="center"/>
              <w:cnfStyle w:val="000000100000"/>
              <w:rPr>
                <w:rFonts w:cs="Times New Roman"/>
                <w:b/>
                <w:sz w:val="20"/>
                <w:szCs w:val="24"/>
              </w:rPr>
            </w:pPr>
            <w:r w:rsidRPr="00961739">
              <w:rPr>
                <w:rFonts w:cs="Times New Roman"/>
                <w:b/>
                <w:sz w:val="20"/>
                <w:szCs w:val="24"/>
              </w:rPr>
              <w:t>Taka per ton</w:t>
            </w:r>
            <w:r>
              <w:rPr>
                <w:rFonts w:cs="Times New Roman"/>
                <w:b/>
                <w:sz w:val="20"/>
                <w:szCs w:val="24"/>
              </w:rPr>
              <w:t>ne</w:t>
            </w:r>
          </w:p>
        </w:tc>
        <w:tc>
          <w:tcPr>
            <w:tcW w:w="1665" w:type="dxa"/>
          </w:tcPr>
          <w:p w:rsidR="0048464B" w:rsidRPr="00961739" w:rsidRDefault="0048464B" w:rsidP="00F83382">
            <w:pPr>
              <w:spacing w:line="276" w:lineRule="auto"/>
              <w:jc w:val="center"/>
              <w:cnfStyle w:val="000000100000"/>
              <w:rPr>
                <w:rFonts w:cs="Times New Roman"/>
                <w:b/>
                <w:sz w:val="20"/>
                <w:szCs w:val="24"/>
              </w:rPr>
            </w:pPr>
            <w:r w:rsidRPr="00961739">
              <w:rPr>
                <w:rFonts w:cs="Times New Roman"/>
                <w:b/>
                <w:sz w:val="20"/>
                <w:szCs w:val="24"/>
              </w:rPr>
              <w:t>Per capita income in taka per year</w:t>
            </w:r>
          </w:p>
        </w:tc>
      </w:tr>
      <w:tr w:rsidR="0048464B" w:rsidRPr="00961739" w:rsidTr="00F83382">
        <w:trPr>
          <w:trHeight w:hRule="exact" w:val="432"/>
        </w:trPr>
        <w:tc>
          <w:tcPr>
            <w:cnfStyle w:val="001000000000"/>
            <w:tcW w:w="2628" w:type="dxa"/>
          </w:tcPr>
          <w:p w:rsidR="0048464B" w:rsidRPr="00961739" w:rsidRDefault="0048464B" w:rsidP="00F83382">
            <w:pPr>
              <w:spacing w:line="276" w:lineRule="auto"/>
              <w:rPr>
                <w:rFonts w:cs="Times New Roman"/>
                <w:bCs w:val="0"/>
                <w:sz w:val="20"/>
                <w:szCs w:val="24"/>
              </w:rPr>
            </w:pPr>
            <w:r w:rsidRPr="00961739">
              <w:rPr>
                <w:rFonts w:cs="Times New Roman"/>
                <w:bCs w:val="0"/>
                <w:sz w:val="20"/>
                <w:szCs w:val="24"/>
              </w:rPr>
              <w:t>Chittagong City Corp.</w:t>
            </w:r>
          </w:p>
        </w:tc>
        <w:tc>
          <w:tcPr>
            <w:tcW w:w="1530" w:type="dxa"/>
          </w:tcPr>
          <w:p w:rsidR="0048464B" w:rsidRPr="00961739" w:rsidRDefault="0048464B" w:rsidP="00F83382">
            <w:pPr>
              <w:spacing w:line="276" w:lineRule="auto"/>
              <w:jc w:val="right"/>
              <w:cnfStyle w:val="000000000000"/>
              <w:rPr>
                <w:rFonts w:cs="Times New Roman"/>
                <w:bCs/>
                <w:sz w:val="20"/>
                <w:szCs w:val="24"/>
              </w:rPr>
            </w:pPr>
            <w:r w:rsidRPr="00961739">
              <w:rPr>
                <w:rFonts w:cs="Times New Roman"/>
                <w:bCs/>
                <w:sz w:val="20"/>
                <w:szCs w:val="24"/>
              </w:rPr>
              <w:t>490.5</w:t>
            </w:r>
          </w:p>
        </w:tc>
        <w:tc>
          <w:tcPr>
            <w:tcW w:w="1857" w:type="dxa"/>
          </w:tcPr>
          <w:p w:rsidR="0048464B" w:rsidRPr="00961739" w:rsidRDefault="0048464B" w:rsidP="00F83382">
            <w:pPr>
              <w:spacing w:line="276" w:lineRule="auto"/>
              <w:jc w:val="right"/>
              <w:cnfStyle w:val="000000000000"/>
              <w:rPr>
                <w:rFonts w:cs="Times New Roman"/>
                <w:bCs/>
                <w:sz w:val="20"/>
                <w:szCs w:val="24"/>
              </w:rPr>
            </w:pPr>
            <w:r w:rsidRPr="00961739">
              <w:rPr>
                <w:rFonts w:cs="Times New Roman"/>
                <w:bCs/>
                <w:sz w:val="20"/>
                <w:szCs w:val="24"/>
              </w:rPr>
              <w:t>202.87</w:t>
            </w:r>
          </w:p>
        </w:tc>
        <w:tc>
          <w:tcPr>
            <w:tcW w:w="1563" w:type="dxa"/>
          </w:tcPr>
          <w:p w:rsidR="0048464B" w:rsidRPr="00961739" w:rsidRDefault="0048464B" w:rsidP="00F83382">
            <w:pPr>
              <w:spacing w:line="276" w:lineRule="auto"/>
              <w:jc w:val="right"/>
              <w:cnfStyle w:val="000000000000"/>
              <w:rPr>
                <w:rFonts w:cs="Times New Roman"/>
                <w:bCs/>
                <w:sz w:val="20"/>
                <w:szCs w:val="24"/>
              </w:rPr>
            </w:pPr>
            <w:r w:rsidRPr="00961739">
              <w:rPr>
                <w:rFonts w:cs="Times New Roman"/>
                <w:bCs/>
                <w:sz w:val="20"/>
                <w:szCs w:val="24"/>
              </w:rPr>
              <w:t>1133.15</w:t>
            </w:r>
          </w:p>
        </w:tc>
        <w:tc>
          <w:tcPr>
            <w:tcW w:w="1665" w:type="dxa"/>
          </w:tcPr>
          <w:p w:rsidR="0048464B" w:rsidRPr="00961739" w:rsidRDefault="0048464B" w:rsidP="00F83382">
            <w:pPr>
              <w:spacing w:line="276" w:lineRule="auto"/>
              <w:jc w:val="right"/>
              <w:cnfStyle w:val="000000000000"/>
              <w:rPr>
                <w:rFonts w:cs="Times New Roman"/>
                <w:bCs/>
                <w:sz w:val="20"/>
                <w:szCs w:val="24"/>
              </w:rPr>
            </w:pPr>
            <w:r w:rsidRPr="00961739">
              <w:rPr>
                <w:rFonts w:cs="Times New Roman"/>
                <w:bCs/>
                <w:sz w:val="20"/>
                <w:szCs w:val="24"/>
              </w:rPr>
              <w:t>61.60</w:t>
            </w:r>
          </w:p>
        </w:tc>
      </w:tr>
      <w:tr w:rsidR="0048464B" w:rsidRPr="00961739" w:rsidTr="00F83382">
        <w:trPr>
          <w:cnfStyle w:val="000000100000"/>
          <w:trHeight w:hRule="exact" w:val="432"/>
        </w:trPr>
        <w:tc>
          <w:tcPr>
            <w:cnfStyle w:val="001000000000"/>
            <w:tcW w:w="2628" w:type="dxa"/>
          </w:tcPr>
          <w:p w:rsidR="0048464B" w:rsidRPr="00961739" w:rsidRDefault="0048464B" w:rsidP="00F83382">
            <w:pPr>
              <w:spacing w:line="276" w:lineRule="auto"/>
              <w:rPr>
                <w:rFonts w:cs="Times New Roman"/>
                <w:bCs w:val="0"/>
                <w:sz w:val="20"/>
                <w:szCs w:val="24"/>
              </w:rPr>
            </w:pPr>
            <w:r w:rsidRPr="00961739">
              <w:rPr>
                <w:rFonts w:cs="Times New Roman"/>
                <w:bCs w:val="0"/>
                <w:sz w:val="20"/>
                <w:szCs w:val="24"/>
              </w:rPr>
              <w:t>Rajshahi City Corp.</w:t>
            </w:r>
          </w:p>
        </w:tc>
        <w:tc>
          <w:tcPr>
            <w:tcW w:w="1530" w:type="dxa"/>
          </w:tcPr>
          <w:p w:rsidR="0048464B" w:rsidRPr="00961739" w:rsidRDefault="0048464B" w:rsidP="00F83382">
            <w:pPr>
              <w:spacing w:line="276" w:lineRule="auto"/>
              <w:jc w:val="right"/>
              <w:cnfStyle w:val="000000100000"/>
              <w:rPr>
                <w:rFonts w:cs="Times New Roman"/>
                <w:bCs/>
                <w:sz w:val="20"/>
                <w:szCs w:val="24"/>
              </w:rPr>
            </w:pPr>
            <w:r w:rsidRPr="00961739">
              <w:rPr>
                <w:rFonts w:cs="Times New Roman"/>
                <w:bCs/>
                <w:sz w:val="20"/>
                <w:szCs w:val="24"/>
              </w:rPr>
              <w:t>144.5</w:t>
            </w:r>
          </w:p>
        </w:tc>
        <w:tc>
          <w:tcPr>
            <w:tcW w:w="1857" w:type="dxa"/>
          </w:tcPr>
          <w:p w:rsidR="0048464B" w:rsidRPr="00961739" w:rsidRDefault="0048464B" w:rsidP="00F83382">
            <w:pPr>
              <w:spacing w:line="276" w:lineRule="auto"/>
              <w:jc w:val="right"/>
              <w:cnfStyle w:val="000000100000"/>
              <w:rPr>
                <w:rFonts w:cs="Times New Roman"/>
                <w:bCs/>
                <w:sz w:val="20"/>
                <w:szCs w:val="24"/>
              </w:rPr>
            </w:pPr>
            <w:r w:rsidRPr="00961739">
              <w:rPr>
                <w:rFonts w:cs="Times New Roman"/>
                <w:bCs/>
                <w:sz w:val="20"/>
                <w:szCs w:val="24"/>
              </w:rPr>
              <w:t>28.08</w:t>
            </w:r>
          </w:p>
        </w:tc>
        <w:tc>
          <w:tcPr>
            <w:tcW w:w="1563" w:type="dxa"/>
          </w:tcPr>
          <w:p w:rsidR="0048464B" w:rsidRPr="00961739" w:rsidRDefault="0048464B" w:rsidP="00F83382">
            <w:pPr>
              <w:spacing w:line="276" w:lineRule="auto"/>
              <w:jc w:val="right"/>
              <w:cnfStyle w:val="000000100000"/>
              <w:rPr>
                <w:rFonts w:cs="Times New Roman"/>
                <w:bCs/>
                <w:sz w:val="20"/>
                <w:szCs w:val="24"/>
              </w:rPr>
            </w:pPr>
            <w:r w:rsidRPr="00961739">
              <w:rPr>
                <w:rFonts w:cs="Times New Roman"/>
                <w:bCs/>
                <w:sz w:val="20"/>
                <w:szCs w:val="24"/>
              </w:rPr>
              <w:t>532.47</w:t>
            </w:r>
          </w:p>
        </w:tc>
        <w:tc>
          <w:tcPr>
            <w:tcW w:w="1665" w:type="dxa"/>
          </w:tcPr>
          <w:p w:rsidR="0048464B" w:rsidRPr="00961739" w:rsidRDefault="0048464B" w:rsidP="00F83382">
            <w:pPr>
              <w:spacing w:line="276" w:lineRule="auto"/>
              <w:jc w:val="right"/>
              <w:cnfStyle w:val="000000100000"/>
              <w:rPr>
                <w:rFonts w:cs="Times New Roman"/>
                <w:bCs/>
                <w:sz w:val="20"/>
                <w:szCs w:val="24"/>
              </w:rPr>
            </w:pPr>
            <w:r w:rsidRPr="00961739">
              <w:rPr>
                <w:rFonts w:cs="Times New Roman"/>
                <w:bCs/>
                <w:sz w:val="20"/>
                <w:szCs w:val="24"/>
              </w:rPr>
              <w:t>35.31</w:t>
            </w:r>
          </w:p>
        </w:tc>
      </w:tr>
      <w:tr w:rsidR="0048464B" w:rsidRPr="00961739" w:rsidTr="00F83382">
        <w:trPr>
          <w:trHeight w:hRule="exact" w:val="432"/>
        </w:trPr>
        <w:tc>
          <w:tcPr>
            <w:cnfStyle w:val="001000000000"/>
            <w:tcW w:w="2628" w:type="dxa"/>
          </w:tcPr>
          <w:p w:rsidR="0048464B" w:rsidRPr="00961739" w:rsidRDefault="0048464B" w:rsidP="00F83382">
            <w:pPr>
              <w:spacing w:line="276" w:lineRule="auto"/>
              <w:rPr>
                <w:rFonts w:cs="Times New Roman"/>
                <w:bCs w:val="0"/>
                <w:sz w:val="20"/>
                <w:szCs w:val="24"/>
              </w:rPr>
            </w:pPr>
            <w:r w:rsidRPr="00961739">
              <w:rPr>
                <w:rFonts w:cs="Times New Roman"/>
                <w:bCs w:val="0"/>
                <w:sz w:val="20"/>
                <w:szCs w:val="24"/>
              </w:rPr>
              <w:t>Rangpur Municipality</w:t>
            </w:r>
          </w:p>
        </w:tc>
        <w:tc>
          <w:tcPr>
            <w:tcW w:w="1530" w:type="dxa"/>
          </w:tcPr>
          <w:p w:rsidR="0048464B" w:rsidRPr="00961739" w:rsidRDefault="0048464B" w:rsidP="00F83382">
            <w:pPr>
              <w:spacing w:line="276" w:lineRule="auto"/>
              <w:jc w:val="right"/>
              <w:cnfStyle w:val="000000000000"/>
              <w:rPr>
                <w:rFonts w:cs="Times New Roman"/>
                <w:bCs/>
                <w:sz w:val="20"/>
                <w:szCs w:val="24"/>
              </w:rPr>
            </w:pPr>
            <w:r w:rsidRPr="00961739">
              <w:rPr>
                <w:rFonts w:cs="Times New Roman"/>
                <w:bCs/>
                <w:sz w:val="20"/>
                <w:szCs w:val="24"/>
              </w:rPr>
              <w:t>31.1</w:t>
            </w:r>
          </w:p>
        </w:tc>
        <w:tc>
          <w:tcPr>
            <w:tcW w:w="1857" w:type="dxa"/>
          </w:tcPr>
          <w:p w:rsidR="0048464B" w:rsidRPr="00961739" w:rsidRDefault="0048464B" w:rsidP="00F83382">
            <w:pPr>
              <w:spacing w:line="276" w:lineRule="auto"/>
              <w:jc w:val="right"/>
              <w:cnfStyle w:val="000000000000"/>
              <w:rPr>
                <w:rFonts w:cs="Times New Roman"/>
                <w:bCs/>
                <w:sz w:val="20"/>
                <w:szCs w:val="24"/>
              </w:rPr>
            </w:pPr>
            <w:r w:rsidRPr="00961739">
              <w:rPr>
                <w:rFonts w:cs="Times New Roman"/>
                <w:bCs/>
                <w:sz w:val="20"/>
                <w:szCs w:val="24"/>
              </w:rPr>
              <w:t>10.16</w:t>
            </w:r>
          </w:p>
        </w:tc>
        <w:tc>
          <w:tcPr>
            <w:tcW w:w="1563" w:type="dxa"/>
          </w:tcPr>
          <w:p w:rsidR="0048464B" w:rsidRPr="00961739" w:rsidRDefault="0048464B" w:rsidP="00F83382">
            <w:pPr>
              <w:spacing w:line="276" w:lineRule="auto"/>
              <w:jc w:val="right"/>
              <w:cnfStyle w:val="000000000000"/>
              <w:rPr>
                <w:rFonts w:cs="Times New Roman"/>
                <w:bCs/>
                <w:sz w:val="20"/>
                <w:szCs w:val="24"/>
              </w:rPr>
            </w:pPr>
            <w:r w:rsidRPr="00961739">
              <w:rPr>
                <w:rFonts w:cs="Times New Roman"/>
                <w:bCs/>
                <w:sz w:val="20"/>
                <w:szCs w:val="24"/>
              </w:rPr>
              <w:t>894.68</w:t>
            </w:r>
          </w:p>
        </w:tc>
        <w:tc>
          <w:tcPr>
            <w:tcW w:w="1665" w:type="dxa"/>
          </w:tcPr>
          <w:p w:rsidR="0048464B" w:rsidRPr="00961739" w:rsidRDefault="0048464B" w:rsidP="00F83382">
            <w:pPr>
              <w:spacing w:line="276" w:lineRule="auto"/>
              <w:jc w:val="right"/>
              <w:cnfStyle w:val="000000000000"/>
              <w:rPr>
                <w:rFonts w:cs="Times New Roman"/>
                <w:bCs/>
                <w:sz w:val="20"/>
                <w:szCs w:val="24"/>
              </w:rPr>
            </w:pPr>
            <w:r w:rsidRPr="00961739">
              <w:rPr>
                <w:rFonts w:cs="Times New Roman"/>
                <w:bCs/>
                <w:sz w:val="20"/>
                <w:szCs w:val="24"/>
              </w:rPr>
              <w:t>24.87</w:t>
            </w:r>
          </w:p>
        </w:tc>
      </w:tr>
      <w:tr w:rsidR="0048464B" w:rsidRPr="00961739" w:rsidTr="00F83382">
        <w:trPr>
          <w:cnfStyle w:val="000000100000"/>
          <w:trHeight w:hRule="exact" w:val="432"/>
        </w:trPr>
        <w:tc>
          <w:tcPr>
            <w:cnfStyle w:val="001000000000"/>
            <w:tcW w:w="2628" w:type="dxa"/>
          </w:tcPr>
          <w:p w:rsidR="0048464B" w:rsidRPr="00961739" w:rsidRDefault="0048464B" w:rsidP="00F83382">
            <w:pPr>
              <w:spacing w:line="276" w:lineRule="auto"/>
              <w:rPr>
                <w:rFonts w:cs="Times New Roman"/>
                <w:bCs w:val="0"/>
                <w:sz w:val="20"/>
                <w:szCs w:val="24"/>
              </w:rPr>
            </w:pPr>
            <w:r w:rsidRPr="00961739">
              <w:rPr>
                <w:rFonts w:cs="Times New Roman"/>
                <w:bCs w:val="0"/>
                <w:sz w:val="20"/>
                <w:szCs w:val="24"/>
              </w:rPr>
              <w:t>Patuakhali Municipality</w:t>
            </w:r>
          </w:p>
        </w:tc>
        <w:tc>
          <w:tcPr>
            <w:tcW w:w="1530" w:type="dxa"/>
          </w:tcPr>
          <w:p w:rsidR="0048464B" w:rsidRPr="00961739" w:rsidRDefault="0048464B" w:rsidP="00F83382">
            <w:pPr>
              <w:spacing w:line="276" w:lineRule="auto"/>
              <w:jc w:val="right"/>
              <w:cnfStyle w:val="000000100000"/>
              <w:rPr>
                <w:rFonts w:cs="Times New Roman"/>
                <w:bCs/>
                <w:sz w:val="20"/>
                <w:szCs w:val="24"/>
              </w:rPr>
            </w:pPr>
            <w:r w:rsidRPr="00961739">
              <w:rPr>
                <w:rFonts w:cs="Times New Roman"/>
                <w:bCs/>
                <w:sz w:val="20"/>
                <w:szCs w:val="24"/>
              </w:rPr>
              <w:t>10.84</w:t>
            </w:r>
          </w:p>
        </w:tc>
        <w:tc>
          <w:tcPr>
            <w:tcW w:w="1857" w:type="dxa"/>
          </w:tcPr>
          <w:p w:rsidR="0048464B" w:rsidRPr="00961739" w:rsidRDefault="0048464B" w:rsidP="00F83382">
            <w:pPr>
              <w:spacing w:line="276" w:lineRule="auto"/>
              <w:jc w:val="right"/>
              <w:cnfStyle w:val="000000100000"/>
              <w:rPr>
                <w:rFonts w:cs="Times New Roman"/>
                <w:bCs/>
                <w:sz w:val="20"/>
                <w:szCs w:val="24"/>
              </w:rPr>
            </w:pPr>
            <w:r w:rsidRPr="00961739">
              <w:rPr>
                <w:rFonts w:cs="Times New Roman"/>
                <w:bCs/>
                <w:sz w:val="20"/>
                <w:szCs w:val="24"/>
              </w:rPr>
              <w:t>2.65</w:t>
            </w:r>
          </w:p>
        </w:tc>
        <w:tc>
          <w:tcPr>
            <w:tcW w:w="1563" w:type="dxa"/>
          </w:tcPr>
          <w:p w:rsidR="0048464B" w:rsidRPr="00961739" w:rsidRDefault="0048464B" w:rsidP="00F83382">
            <w:pPr>
              <w:spacing w:line="276" w:lineRule="auto"/>
              <w:jc w:val="right"/>
              <w:cnfStyle w:val="000000100000"/>
              <w:rPr>
                <w:rFonts w:cs="Times New Roman"/>
                <w:bCs/>
                <w:sz w:val="20"/>
                <w:szCs w:val="24"/>
              </w:rPr>
            </w:pPr>
            <w:r w:rsidRPr="00961739">
              <w:rPr>
                <w:rFonts w:cs="Times New Roman"/>
                <w:bCs/>
                <w:sz w:val="20"/>
                <w:szCs w:val="24"/>
              </w:rPr>
              <w:t>670.27</w:t>
            </w:r>
          </w:p>
        </w:tc>
        <w:tc>
          <w:tcPr>
            <w:tcW w:w="1665" w:type="dxa"/>
          </w:tcPr>
          <w:p w:rsidR="0048464B" w:rsidRPr="00961739" w:rsidRDefault="0048464B" w:rsidP="00F83382">
            <w:pPr>
              <w:spacing w:line="276" w:lineRule="auto"/>
              <w:jc w:val="right"/>
              <w:cnfStyle w:val="000000100000"/>
              <w:rPr>
                <w:rFonts w:cs="Times New Roman"/>
                <w:bCs/>
                <w:sz w:val="20"/>
                <w:szCs w:val="24"/>
              </w:rPr>
            </w:pPr>
            <w:r w:rsidRPr="00961739">
              <w:rPr>
                <w:rFonts w:cs="Times New Roman"/>
                <w:bCs/>
                <w:sz w:val="20"/>
                <w:szCs w:val="24"/>
              </w:rPr>
              <w:t>32.20</w:t>
            </w:r>
          </w:p>
        </w:tc>
      </w:tr>
    </w:tbl>
    <w:p w:rsidR="0048464B" w:rsidRPr="00C333BF" w:rsidRDefault="0048464B" w:rsidP="0048464B">
      <w:pPr>
        <w:spacing w:before="120"/>
        <w:rPr>
          <w:b/>
          <w:i/>
          <w:iCs/>
          <w:sz w:val="18"/>
          <w:szCs w:val="18"/>
        </w:rPr>
      </w:pPr>
      <w:r w:rsidRPr="00D169FA">
        <w:rPr>
          <w:b/>
          <w:i/>
          <w:iCs/>
          <w:sz w:val="18"/>
          <w:szCs w:val="18"/>
        </w:rPr>
        <w:t xml:space="preserve">Source: </w:t>
      </w:r>
      <w:r w:rsidRPr="00D169FA">
        <w:rPr>
          <w:rFonts w:cs="Times New Roman"/>
          <w:b/>
          <w:i/>
          <w:iCs/>
          <w:sz w:val="20"/>
          <w:szCs w:val="20"/>
        </w:rPr>
        <w:t>BMDF, 2012</w:t>
      </w:r>
    </w:p>
    <w:p w:rsidR="0048464B" w:rsidRPr="00101CE9" w:rsidRDefault="0048464B" w:rsidP="0048464B">
      <w:pPr>
        <w:jc w:val="center"/>
        <w:rPr>
          <w:b/>
        </w:rPr>
      </w:pPr>
      <w:bookmarkStart w:id="779" w:name="_Toc464329009"/>
      <w:r w:rsidRPr="00101CE9">
        <w:rPr>
          <w:b/>
        </w:rPr>
        <w:t>Table 10.30: Solid Waste Management Expenditure</w:t>
      </w:r>
      <w:bookmarkEnd w:id="779"/>
    </w:p>
    <w:tbl>
      <w:tblPr>
        <w:tblStyle w:val="PlainTable120"/>
        <w:tblW w:w="0" w:type="auto"/>
        <w:tblLook w:val="04A0"/>
      </w:tblPr>
      <w:tblGrid>
        <w:gridCol w:w="2718"/>
        <w:gridCol w:w="1530"/>
        <w:gridCol w:w="1767"/>
        <w:gridCol w:w="1383"/>
        <w:gridCol w:w="1845"/>
      </w:tblGrid>
      <w:tr w:rsidR="0048464B" w:rsidRPr="002F5670" w:rsidTr="00F83382">
        <w:trPr>
          <w:cnfStyle w:val="100000000000"/>
          <w:trHeight w:val="432"/>
        </w:trPr>
        <w:tc>
          <w:tcPr>
            <w:cnfStyle w:val="001000000000"/>
            <w:tcW w:w="2718" w:type="dxa"/>
            <w:vMerge w:val="restart"/>
          </w:tcPr>
          <w:p w:rsidR="0048464B" w:rsidRPr="00D10C92" w:rsidRDefault="0048464B" w:rsidP="00F83382">
            <w:pPr>
              <w:jc w:val="center"/>
              <w:rPr>
                <w:rFonts w:cs="Times New Roman"/>
                <w:sz w:val="20"/>
                <w:szCs w:val="24"/>
              </w:rPr>
            </w:pPr>
            <w:r w:rsidRPr="00D10C92">
              <w:rPr>
                <w:rFonts w:cs="Times New Roman"/>
                <w:sz w:val="20"/>
                <w:szCs w:val="24"/>
              </w:rPr>
              <w:t>Local Government Unit</w:t>
            </w:r>
          </w:p>
        </w:tc>
        <w:tc>
          <w:tcPr>
            <w:tcW w:w="1530" w:type="dxa"/>
            <w:vMerge w:val="restart"/>
          </w:tcPr>
          <w:p w:rsidR="0048464B" w:rsidRPr="00D10C92" w:rsidRDefault="0048464B" w:rsidP="00F83382">
            <w:pPr>
              <w:jc w:val="center"/>
              <w:cnfStyle w:val="100000000000"/>
              <w:rPr>
                <w:rFonts w:cs="Times New Roman"/>
                <w:sz w:val="20"/>
                <w:szCs w:val="24"/>
              </w:rPr>
            </w:pPr>
            <w:r w:rsidRPr="00D10C92">
              <w:rPr>
                <w:rFonts w:cs="Times New Roman"/>
                <w:sz w:val="20"/>
                <w:szCs w:val="24"/>
              </w:rPr>
              <w:t>Total Waste Disposed (Ton)</w:t>
            </w:r>
          </w:p>
        </w:tc>
        <w:tc>
          <w:tcPr>
            <w:tcW w:w="1767" w:type="dxa"/>
            <w:vMerge w:val="restart"/>
          </w:tcPr>
          <w:p w:rsidR="0048464B" w:rsidRPr="00D10C92" w:rsidRDefault="0048464B" w:rsidP="00F83382">
            <w:pPr>
              <w:jc w:val="center"/>
              <w:cnfStyle w:val="100000000000"/>
              <w:rPr>
                <w:rFonts w:cs="Times New Roman"/>
                <w:sz w:val="20"/>
                <w:szCs w:val="24"/>
              </w:rPr>
            </w:pPr>
            <w:r w:rsidRPr="00D10C92">
              <w:rPr>
                <w:rFonts w:cs="Times New Roman"/>
                <w:sz w:val="20"/>
                <w:szCs w:val="24"/>
              </w:rPr>
              <w:t>Expenditure for Solid Waste Management (Million Taka)</w:t>
            </w:r>
          </w:p>
        </w:tc>
        <w:tc>
          <w:tcPr>
            <w:tcW w:w="3228" w:type="dxa"/>
            <w:gridSpan w:val="2"/>
          </w:tcPr>
          <w:p w:rsidR="0048464B" w:rsidRPr="00D10C92" w:rsidRDefault="0048464B" w:rsidP="00F83382">
            <w:pPr>
              <w:jc w:val="center"/>
              <w:cnfStyle w:val="100000000000"/>
              <w:rPr>
                <w:rFonts w:cs="Times New Roman"/>
                <w:sz w:val="20"/>
                <w:szCs w:val="24"/>
              </w:rPr>
            </w:pPr>
            <w:r w:rsidRPr="00D10C92">
              <w:rPr>
                <w:rFonts w:cs="Times New Roman"/>
                <w:sz w:val="20"/>
                <w:szCs w:val="24"/>
              </w:rPr>
              <w:t>Solid Waste Management Cost</w:t>
            </w:r>
          </w:p>
        </w:tc>
      </w:tr>
      <w:tr w:rsidR="0048464B" w:rsidRPr="002F5670" w:rsidTr="00F83382">
        <w:trPr>
          <w:cnfStyle w:val="000000100000"/>
          <w:trHeight w:val="432"/>
        </w:trPr>
        <w:tc>
          <w:tcPr>
            <w:cnfStyle w:val="001000000000"/>
            <w:tcW w:w="2718" w:type="dxa"/>
            <w:vMerge/>
          </w:tcPr>
          <w:p w:rsidR="0048464B" w:rsidRPr="00183DB9" w:rsidRDefault="0048464B" w:rsidP="00F83382">
            <w:pPr>
              <w:jc w:val="center"/>
              <w:rPr>
                <w:rFonts w:cs="Times New Roman"/>
                <w:bCs w:val="0"/>
                <w:sz w:val="20"/>
                <w:szCs w:val="24"/>
              </w:rPr>
            </w:pPr>
          </w:p>
        </w:tc>
        <w:tc>
          <w:tcPr>
            <w:tcW w:w="1530" w:type="dxa"/>
            <w:vMerge/>
          </w:tcPr>
          <w:p w:rsidR="0048464B" w:rsidRPr="00183DB9" w:rsidRDefault="0048464B" w:rsidP="00F83382">
            <w:pPr>
              <w:jc w:val="center"/>
              <w:cnfStyle w:val="000000100000"/>
              <w:rPr>
                <w:rFonts w:cs="Times New Roman"/>
                <w:bCs/>
                <w:sz w:val="20"/>
                <w:szCs w:val="24"/>
              </w:rPr>
            </w:pPr>
          </w:p>
        </w:tc>
        <w:tc>
          <w:tcPr>
            <w:tcW w:w="1767" w:type="dxa"/>
            <w:vMerge/>
          </w:tcPr>
          <w:p w:rsidR="0048464B" w:rsidRPr="00183DB9" w:rsidRDefault="0048464B" w:rsidP="00F83382">
            <w:pPr>
              <w:jc w:val="center"/>
              <w:cnfStyle w:val="000000100000"/>
              <w:rPr>
                <w:rFonts w:cs="Times New Roman"/>
                <w:bCs/>
                <w:sz w:val="20"/>
                <w:szCs w:val="24"/>
              </w:rPr>
            </w:pPr>
          </w:p>
        </w:tc>
        <w:tc>
          <w:tcPr>
            <w:tcW w:w="1383" w:type="dxa"/>
          </w:tcPr>
          <w:p w:rsidR="0048464B" w:rsidRPr="00183DB9" w:rsidRDefault="0048464B" w:rsidP="00F83382">
            <w:pPr>
              <w:jc w:val="center"/>
              <w:cnfStyle w:val="000000100000"/>
              <w:rPr>
                <w:rFonts w:cs="Times New Roman"/>
                <w:b/>
                <w:sz w:val="20"/>
                <w:szCs w:val="24"/>
              </w:rPr>
            </w:pPr>
            <w:r w:rsidRPr="00183DB9">
              <w:rPr>
                <w:rFonts w:cs="Times New Roman"/>
                <w:b/>
                <w:sz w:val="20"/>
                <w:szCs w:val="24"/>
              </w:rPr>
              <w:t>Taka per ton</w:t>
            </w:r>
          </w:p>
        </w:tc>
        <w:tc>
          <w:tcPr>
            <w:tcW w:w="1845" w:type="dxa"/>
          </w:tcPr>
          <w:p w:rsidR="0048464B" w:rsidRPr="00183DB9" w:rsidRDefault="0048464B" w:rsidP="00F83382">
            <w:pPr>
              <w:jc w:val="center"/>
              <w:cnfStyle w:val="000000100000"/>
              <w:rPr>
                <w:rFonts w:cs="Times New Roman"/>
                <w:b/>
                <w:sz w:val="20"/>
                <w:szCs w:val="24"/>
              </w:rPr>
            </w:pPr>
            <w:r w:rsidRPr="00183DB9">
              <w:rPr>
                <w:rFonts w:cs="Times New Roman"/>
                <w:b/>
                <w:sz w:val="20"/>
                <w:szCs w:val="24"/>
              </w:rPr>
              <w:t>Per capita expenditure in taka per year</w:t>
            </w:r>
          </w:p>
        </w:tc>
      </w:tr>
      <w:tr w:rsidR="0048464B" w:rsidRPr="002F5670" w:rsidTr="00F83382">
        <w:trPr>
          <w:trHeight w:val="432"/>
        </w:trPr>
        <w:tc>
          <w:tcPr>
            <w:cnfStyle w:val="001000000000"/>
            <w:tcW w:w="2718" w:type="dxa"/>
          </w:tcPr>
          <w:p w:rsidR="0048464B" w:rsidRPr="00183DB9" w:rsidRDefault="0048464B" w:rsidP="00F83382">
            <w:pPr>
              <w:rPr>
                <w:rFonts w:cs="Times New Roman"/>
                <w:bCs w:val="0"/>
                <w:sz w:val="20"/>
                <w:szCs w:val="24"/>
              </w:rPr>
            </w:pPr>
            <w:r w:rsidRPr="00183DB9">
              <w:rPr>
                <w:rFonts w:cs="Times New Roman"/>
                <w:bCs w:val="0"/>
                <w:sz w:val="20"/>
                <w:szCs w:val="24"/>
              </w:rPr>
              <w:t>Chittagong City Corp.</w:t>
            </w:r>
          </w:p>
        </w:tc>
        <w:tc>
          <w:tcPr>
            <w:tcW w:w="1530" w:type="dxa"/>
          </w:tcPr>
          <w:p w:rsidR="0048464B" w:rsidRPr="00183DB9" w:rsidRDefault="0048464B" w:rsidP="00F83382">
            <w:pPr>
              <w:jc w:val="right"/>
              <w:cnfStyle w:val="000000000000"/>
              <w:rPr>
                <w:rFonts w:cs="Times New Roman"/>
                <w:bCs/>
                <w:sz w:val="20"/>
                <w:szCs w:val="24"/>
              </w:rPr>
            </w:pPr>
            <w:r w:rsidRPr="00183DB9">
              <w:rPr>
                <w:rFonts w:cs="Times New Roman"/>
                <w:bCs/>
                <w:sz w:val="20"/>
                <w:szCs w:val="24"/>
              </w:rPr>
              <w:t>490.5</w:t>
            </w:r>
          </w:p>
        </w:tc>
        <w:tc>
          <w:tcPr>
            <w:tcW w:w="1767" w:type="dxa"/>
          </w:tcPr>
          <w:p w:rsidR="0048464B" w:rsidRPr="00183DB9" w:rsidRDefault="0048464B" w:rsidP="00F83382">
            <w:pPr>
              <w:jc w:val="right"/>
              <w:cnfStyle w:val="000000000000"/>
              <w:rPr>
                <w:rFonts w:cs="Times New Roman"/>
                <w:bCs/>
                <w:sz w:val="20"/>
                <w:szCs w:val="24"/>
              </w:rPr>
            </w:pPr>
            <w:r w:rsidRPr="00183DB9">
              <w:rPr>
                <w:rFonts w:cs="Times New Roman"/>
                <w:bCs/>
                <w:sz w:val="20"/>
                <w:szCs w:val="24"/>
              </w:rPr>
              <w:t>465.00</w:t>
            </w:r>
          </w:p>
        </w:tc>
        <w:tc>
          <w:tcPr>
            <w:tcW w:w="1383" w:type="dxa"/>
          </w:tcPr>
          <w:p w:rsidR="0048464B" w:rsidRPr="00183DB9" w:rsidRDefault="0048464B" w:rsidP="00F83382">
            <w:pPr>
              <w:jc w:val="right"/>
              <w:cnfStyle w:val="000000000000"/>
              <w:rPr>
                <w:rFonts w:cs="Times New Roman"/>
                <w:bCs/>
                <w:sz w:val="20"/>
                <w:szCs w:val="24"/>
              </w:rPr>
            </w:pPr>
            <w:r w:rsidRPr="00183DB9">
              <w:rPr>
                <w:rFonts w:cs="Times New Roman"/>
                <w:bCs/>
                <w:sz w:val="20"/>
                <w:szCs w:val="24"/>
              </w:rPr>
              <w:t>2597.33</w:t>
            </w:r>
          </w:p>
        </w:tc>
        <w:tc>
          <w:tcPr>
            <w:tcW w:w="1845" w:type="dxa"/>
          </w:tcPr>
          <w:p w:rsidR="0048464B" w:rsidRPr="00183DB9" w:rsidRDefault="0048464B" w:rsidP="00F83382">
            <w:pPr>
              <w:jc w:val="right"/>
              <w:cnfStyle w:val="000000000000"/>
              <w:rPr>
                <w:rFonts w:cs="Times New Roman"/>
                <w:bCs/>
                <w:sz w:val="20"/>
                <w:szCs w:val="24"/>
              </w:rPr>
            </w:pPr>
            <w:r w:rsidRPr="00183DB9">
              <w:rPr>
                <w:rFonts w:cs="Times New Roman"/>
                <w:bCs/>
                <w:sz w:val="20"/>
                <w:szCs w:val="24"/>
              </w:rPr>
              <w:t>141.19</w:t>
            </w:r>
          </w:p>
        </w:tc>
      </w:tr>
      <w:tr w:rsidR="0048464B" w:rsidRPr="002F5670" w:rsidTr="00F83382">
        <w:trPr>
          <w:cnfStyle w:val="000000100000"/>
          <w:trHeight w:val="432"/>
        </w:trPr>
        <w:tc>
          <w:tcPr>
            <w:cnfStyle w:val="001000000000"/>
            <w:tcW w:w="2718" w:type="dxa"/>
          </w:tcPr>
          <w:p w:rsidR="0048464B" w:rsidRPr="00183DB9" w:rsidRDefault="0048464B" w:rsidP="00F83382">
            <w:pPr>
              <w:rPr>
                <w:rFonts w:cs="Times New Roman"/>
                <w:bCs w:val="0"/>
                <w:sz w:val="20"/>
                <w:szCs w:val="24"/>
              </w:rPr>
            </w:pPr>
            <w:r w:rsidRPr="00183DB9">
              <w:rPr>
                <w:rFonts w:cs="Times New Roman"/>
                <w:bCs w:val="0"/>
                <w:sz w:val="20"/>
                <w:szCs w:val="24"/>
              </w:rPr>
              <w:t>Rajshahi City Corp.</w:t>
            </w:r>
          </w:p>
        </w:tc>
        <w:tc>
          <w:tcPr>
            <w:tcW w:w="1530" w:type="dxa"/>
          </w:tcPr>
          <w:p w:rsidR="0048464B" w:rsidRPr="00183DB9" w:rsidRDefault="0048464B" w:rsidP="00F83382">
            <w:pPr>
              <w:jc w:val="right"/>
              <w:cnfStyle w:val="000000100000"/>
              <w:rPr>
                <w:rFonts w:cs="Times New Roman"/>
                <w:bCs/>
                <w:sz w:val="20"/>
                <w:szCs w:val="24"/>
              </w:rPr>
            </w:pPr>
            <w:r w:rsidRPr="00183DB9">
              <w:rPr>
                <w:rFonts w:cs="Times New Roman"/>
                <w:bCs/>
                <w:sz w:val="20"/>
                <w:szCs w:val="24"/>
              </w:rPr>
              <w:t>144.5</w:t>
            </w:r>
          </w:p>
        </w:tc>
        <w:tc>
          <w:tcPr>
            <w:tcW w:w="1767" w:type="dxa"/>
          </w:tcPr>
          <w:p w:rsidR="0048464B" w:rsidRPr="00183DB9" w:rsidRDefault="0048464B" w:rsidP="00F83382">
            <w:pPr>
              <w:jc w:val="right"/>
              <w:cnfStyle w:val="000000100000"/>
              <w:rPr>
                <w:rFonts w:cs="Times New Roman"/>
                <w:bCs/>
                <w:sz w:val="20"/>
                <w:szCs w:val="24"/>
              </w:rPr>
            </w:pPr>
            <w:r w:rsidRPr="00183DB9">
              <w:rPr>
                <w:rFonts w:cs="Times New Roman"/>
                <w:bCs/>
                <w:sz w:val="20"/>
                <w:szCs w:val="24"/>
              </w:rPr>
              <w:t>91.05</w:t>
            </w:r>
          </w:p>
        </w:tc>
        <w:tc>
          <w:tcPr>
            <w:tcW w:w="1383" w:type="dxa"/>
          </w:tcPr>
          <w:p w:rsidR="0048464B" w:rsidRPr="00183DB9" w:rsidRDefault="0048464B" w:rsidP="00F83382">
            <w:pPr>
              <w:jc w:val="right"/>
              <w:cnfStyle w:val="000000100000"/>
              <w:rPr>
                <w:rFonts w:cs="Times New Roman"/>
                <w:bCs/>
                <w:sz w:val="20"/>
                <w:szCs w:val="24"/>
              </w:rPr>
            </w:pPr>
            <w:r w:rsidRPr="00183DB9">
              <w:rPr>
                <w:rFonts w:cs="Times New Roman"/>
                <w:bCs/>
                <w:sz w:val="20"/>
                <w:szCs w:val="24"/>
              </w:rPr>
              <w:t>1726.41</w:t>
            </w:r>
          </w:p>
        </w:tc>
        <w:tc>
          <w:tcPr>
            <w:tcW w:w="1845" w:type="dxa"/>
          </w:tcPr>
          <w:p w:rsidR="0048464B" w:rsidRPr="00183DB9" w:rsidRDefault="0048464B" w:rsidP="00F83382">
            <w:pPr>
              <w:jc w:val="right"/>
              <w:cnfStyle w:val="000000100000"/>
              <w:rPr>
                <w:rFonts w:cs="Times New Roman"/>
                <w:bCs/>
                <w:sz w:val="20"/>
                <w:szCs w:val="24"/>
              </w:rPr>
            </w:pPr>
            <w:r w:rsidRPr="00183DB9">
              <w:rPr>
                <w:rFonts w:cs="Times New Roman"/>
                <w:bCs/>
                <w:sz w:val="20"/>
                <w:szCs w:val="24"/>
              </w:rPr>
              <w:t>114.47</w:t>
            </w:r>
          </w:p>
        </w:tc>
      </w:tr>
      <w:tr w:rsidR="0048464B" w:rsidRPr="002F5670" w:rsidTr="00F83382">
        <w:trPr>
          <w:trHeight w:val="432"/>
        </w:trPr>
        <w:tc>
          <w:tcPr>
            <w:cnfStyle w:val="001000000000"/>
            <w:tcW w:w="2718" w:type="dxa"/>
          </w:tcPr>
          <w:p w:rsidR="0048464B" w:rsidRPr="00183DB9" w:rsidRDefault="0048464B" w:rsidP="00F83382">
            <w:pPr>
              <w:rPr>
                <w:rFonts w:cs="Times New Roman"/>
                <w:bCs w:val="0"/>
                <w:sz w:val="20"/>
                <w:szCs w:val="24"/>
              </w:rPr>
            </w:pPr>
            <w:r w:rsidRPr="00183DB9">
              <w:rPr>
                <w:rFonts w:cs="Times New Roman"/>
                <w:bCs w:val="0"/>
                <w:sz w:val="20"/>
                <w:szCs w:val="24"/>
              </w:rPr>
              <w:t>Rangpur Municipality</w:t>
            </w:r>
          </w:p>
        </w:tc>
        <w:tc>
          <w:tcPr>
            <w:tcW w:w="1530" w:type="dxa"/>
          </w:tcPr>
          <w:p w:rsidR="0048464B" w:rsidRPr="00183DB9" w:rsidRDefault="0048464B" w:rsidP="00F83382">
            <w:pPr>
              <w:jc w:val="right"/>
              <w:cnfStyle w:val="000000000000"/>
              <w:rPr>
                <w:rFonts w:cs="Times New Roman"/>
                <w:bCs/>
                <w:sz w:val="20"/>
                <w:szCs w:val="24"/>
              </w:rPr>
            </w:pPr>
            <w:r w:rsidRPr="00183DB9">
              <w:rPr>
                <w:rFonts w:cs="Times New Roman"/>
                <w:bCs/>
                <w:sz w:val="20"/>
                <w:szCs w:val="24"/>
              </w:rPr>
              <w:t>31.1</w:t>
            </w:r>
          </w:p>
        </w:tc>
        <w:tc>
          <w:tcPr>
            <w:tcW w:w="1767" w:type="dxa"/>
          </w:tcPr>
          <w:p w:rsidR="0048464B" w:rsidRPr="00183DB9" w:rsidRDefault="0048464B" w:rsidP="00F83382">
            <w:pPr>
              <w:jc w:val="right"/>
              <w:cnfStyle w:val="000000000000"/>
              <w:rPr>
                <w:rFonts w:cs="Times New Roman"/>
                <w:bCs/>
                <w:sz w:val="20"/>
                <w:szCs w:val="24"/>
              </w:rPr>
            </w:pPr>
            <w:r w:rsidRPr="00183DB9">
              <w:rPr>
                <w:rFonts w:cs="Times New Roman"/>
                <w:bCs/>
                <w:sz w:val="20"/>
                <w:szCs w:val="24"/>
              </w:rPr>
              <w:t>16.64</w:t>
            </w:r>
          </w:p>
        </w:tc>
        <w:tc>
          <w:tcPr>
            <w:tcW w:w="1383" w:type="dxa"/>
          </w:tcPr>
          <w:p w:rsidR="0048464B" w:rsidRPr="00183DB9" w:rsidRDefault="0048464B" w:rsidP="00F83382">
            <w:pPr>
              <w:jc w:val="right"/>
              <w:cnfStyle w:val="000000000000"/>
              <w:rPr>
                <w:rFonts w:cs="Times New Roman"/>
                <w:bCs/>
                <w:sz w:val="20"/>
                <w:szCs w:val="24"/>
              </w:rPr>
            </w:pPr>
            <w:r w:rsidRPr="00183DB9">
              <w:rPr>
                <w:rFonts w:cs="Times New Roman"/>
                <w:bCs/>
                <w:sz w:val="20"/>
                <w:szCs w:val="24"/>
              </w:rPr>
              <w:t>1465.80</w:t>
            </w:r>
          </w:p>
        </w:tc>
        <w:tc>
          <w:tcPr>
            <w:tcW w:w="1845" w:type="dxa"/>
          </w:tcPr>
          <w:p w:rsidR="0048464B" w:rsidRPr="00183DB9" w:rsidRDefault="0048464B" w:rsidP="00F83382">
            <w:pPr>
              <w:jc w:val="right"/>
              <w:cnfStyle w:val="000000000000"/>
              <w:rPr>
                <w:rFonts w:cs="Times New Roman"/>
                <w:bCs/>
                <w:sz w:val="20"/>
                <w:szCs w:val="24"/>
              </w:rPr>
            </w:pPr>
            <w:r w:rsidRPr="00183DB9">
              <w:rPr>
                <w:rFonts w:cs="Times New Roman"/>
                <w:bCs/>
                <w:sz w:val="20"/>
                <w:szCs w:val="24"/>
              </w:rPr>
              <w:t>40.75</w:t>
            </w:r>
          </w:p>
        </w:tc>
      </w:tr>
      <w:tr w:rsidR="0048464B" w:rsidRPr="002F5670" w:rsidTr="00F83382">
        <w:trPr>
          <w:cnfStyle w:val="000000100000"/>
          <w:trHeight w:val="432"/>
        </w:trPr>
        <w:tc>
          <w:tcPr>
            <w:cnfStyle w:val="001000000000"/>
            <w:tcW w:w="2718" w:type="dxa"/>
          </w:tcPr>
          <w:p w:rsidR="0048464B" w:rsidRPr="00183DB9" w:rsidRDefault="0048464B" w:rsidP="00F83382">
            <w:pPr>
              <w:rPr>
                <w:rFonts w:cs="Times New Roman"/>
                <w:bCs w:val="0"/>
                <w:sz w:val="20"/>
                <w:szCs w:val="24"/>
              </w:rPr>
            </w:pPr>
            <w:r w:rsidRPr="00183DB9">
              <w:rPr>
                <w:rFonts w:cs="Times New Roman"/>
                <w:bCs w:val="0"/>
                <w:sz w:val="20"/>
                <w:szCs w:val="24"/>
              </w:rPr>
              <w:t>Patuakhali Municipality</w:t>
            </w:r>
          </w:p>
        </w:tc>
        <w:tc>
          <w:tcPr>
            <w:tcW w:w="1530" w:type="dxa"/>
          </w:tcPr>
          <w:p w:rsidR="0048464B" w:rsidRPr="00183DB9" w:rsidRDefault="0048464B" w:rsidP="00F83382">
            <w:pPr>
              <w:jc w:val="right"/>
              <w:cnfStyle w:val="000000100000"/>
              <w:rPr>
                <w:rFonts w:cs="Times New Roman"/>
                <w:bCs/>
                <w:sz w:val="20"/>
                <w:szCs w:val="24"/>
              </w:rPr>
            </w:pPr>
            <w:r w:rsidRPr="00183DB9">
              <w:rPr>
                <w:rFonts w:cs="Times New Roman"/>
                <w:bCs/>
                <w:sz w:val="20"/>
                <w:szCs w:val="24"/>
              </w:rPr>
              <w:t>10.84</w:t>
            </w:r>
          </w:p>
        </w:tc>
        <w:tc>
          <w:tcPr>
            <w:tcW w:w="1767" w:type="dxa"/>
          </w:tcPr>
          <w:p w:rsidR="0048464B" w:rsidRPr="00183DB9" w:rsidRDefault="0048464B" w:rsidP="00F83382">
            <w:pPr>
              <w:jc w:val="right"/>
              <w:cnfStyle w:val="000000100000"/>
              <w:rPr>
                <w:rFonts w:cs="Times New Roman"/>
                <w:bCs/>
                <w:sz w:val="20"/>
                <w:szCs w:val="24"/>
              </w:rPr>
            </w:pPr>
            <w:r w:rsidRPr="00183DB9">
              <w:rPr>
                <w:rFonts w:cs="Times New Roman"/>
                <w:bCs/>
                <w:sz w:val="20"/>
                <w:szCs w:val="24"/>
              </w:rPr>
              <w:t>14.97</w:t>
            </w:r>
          </w:p>
        </w:tc>
        <w:tc>
          <w:tcPr>
            <w:tcW w:w="1383" w:type="dxa"/>
          </w:tcPr>
          <w:p w:rsidR="0048464B" w:rsidRPr="00183DB9" w:rsidRDefault="0048464B" w:rsidP="00F83382">
            <w:pPr>
              <w:jc w:val="right"/>
              <w:cnfStyle w:val="000000100000"/>
              <w:rPr>
                <w:rFonts w:cs="Times New Roman"/>
                <w:bCs/>
                <w:sz w:val="20"/>
                <w:szCs w:val="24"/>
              </w:rPr>
            </w:pPr>
            <w:r w:rsidRPr="00183DB9">
              <w:rPr>
                <w:rFonts w:cs="Times New Roman"/>
                <w:bCs/>
                <w:sz w:val="20"/>
                <w:szCs w:val="24"/>
              </w:rPr>
              <w:t>3783.55</w:t>
            </w:r>
          </w:p>
        </w:tc>
        <w:tc>
          <w:tcPr>
            <w:tcW w:w="1845" w:type="dxa"/>
          </w:tcPr>
          <w:p w:rsidR="0048464B" w:rsidRPr="00183DB9" w:rsidRDefault="0048464B" w:rsidP="00F83382">
            <w:pPr>
              <w:jc w:val="right"/>
              <w:cnfStyle w:val="000000100000"/>
              <w:rPr>
                <w:rFonts w:cs="Times New Roman"/>
                <w:bCs/>
                <w:sz w:val="20"/>
                <w:szCs w:val="24"/>
              </w:rPr>
            </w:pPr>
            <w:r w:rsidRPr="00183DB9">
              <w:rPr>
                <w:rFonts w:cs="Times New Roman"/>
                <w:bCs/>
                <w:sz w:val="20"/>
                <w:szCs w:val="24"/>
              </w:rPr>
              <w:t>181.78</w:t>
            </w:r>
          </w:p>
        </w:tc>
      </w:tr>
    </w:tbl>
    <w:p w:rsidR="0048464B" w:rsidRDefault="0048464B" w:rsidP="0048464B">
      <w:pPr>
        <w:spacing w:before="120" w:line="276" w:lineRule="auto"/>
        <w:rPr>
          <w:b/>
          <w:i/>
          <w:iCs/>
          <w:sz w:val="20"/>
          <w:szCs w:val="20"/>
        </w:rPr>
      </w:pPr>
      <w:r w:rsidRPr="00D169FA">
        <w:rPr>
          <w:b/>
          <w:i/>
          <w:iCs/>
          <w:sz w:val="20"/>
          <w:szCs w:val="20"/>
        </w:rPr>
        <w:t xml:space="preserve">Source: </w:t>
      </w:r>
      <w:r w:rsidRPr="00D169FA">
        <w:rPr>
          <w:rFonts w:cs="Times New Roman"/>
          <w:b/>
          <w:i/>
          <w:iCs/>
          <w:sz w:val="20"/>
          <w:szCs w:val="20"/>
        </w:rPr>
        <w:t>BMDF, 2012</w:t>
      </w:r>
    </w:p>
    <w:p w:rsidR="0048464B" w:rsidRPr="00581B13" w:rsidRDefault="0048464B" w:rsidP="0048464B">
      <w:pPr>
        <w:spacing w:line="276" w:lineRule="auto"/>
        <w:jc w:val="both"/>
        <w:rPr>
          <w:rFonts w:cs="Times New Roman"/>
          <w:b/>
          <w:bCs/>
          <w:color w:val="006600"/>
          <w:szCs w:val="24"/>
          <w:u w:val="single"/>
        </w:rPr>
      </w:pPr>
      <w:r w:rsidRPr="00581B13">
        <w:rPr>
          <w:rFonts w:cs="Times New Roman"/>
          <w:b/>
          <w:bCs/>
          <w:color w:val="006600"/>
          <w:szCs w:val="24"/>
          <w:u w:val="single"/>
        </w:rPr>
        <w:t xml:space="preserve">There are significant variations in income from and expenditure for solid waste management amongst these local government bodies. </w:t>
      </w:r>
      <w:r>
        <w:rPr>
          <w:rFonts w:cs="Times New Roman"/>
          <w:szCs w:val="24"/>
        </w:rPr>
        <w:t>A comparison of T</w:t>
      </w:r>
      <w:r w:rsidRPr="00D169FA">
        <w:rPr>
          <w:rFonts w:cs="Times New Roman"/>
          <w:szCs w:val="24"/>
        </w:rPr>
        <w:t>able</w:t>
      </w:r>
      <w:r>
        <w:rPr>
          <w:rFonts w:cs="Times New Roman"/>
          <w:szCs w:val="24"/>
        </w:rPr>
        <w:t xml:space="preserve"> 10.27 and T</w:t>
      </w:r>
      <w:r w:rsidRPr="00D169FA">
        <w:rPr>
          <w:rFonts w:cs="Times New Roman"/>
          <w:szCs w:val="24"/>
        </w:rPr>
        <w:t>able</w:t>
      </w:r>
      <w:r>
        <w:rPr>
          <w:rFonts w:cs="Times New Roman"/>
          <w:szCs w:val="24"/>
        </w:rPr>
        <w:t xml:space="preserve"> 10.28</w:t>
      </w:r>
      <w:r w:rsidRPr="00D169FA">
        <w:rPr>
          <w:rFonts w:cs="Times New Roman"/>
          <w:szCs w:val="24"/>
        </w:rPr>
        <w:t xml:space="preserve"> shows that per capita annual income from solid waste management is much lower than per capita annual expenditure for solid</w:t>
      </w:r>
      <w:r>
        <w:rPr>
          <w:rFonts w:cs="Times New Roman"/>
          <w:szCs w:val="24"/>
        </w:rPr>
        <w:t xml:space="preserve"> waste management</w:t>
      </w:r>
      <w:r w:rsidRPr="00581B13">
        <w:rPr>
          <w:rFonts w:cs="Times New Roman"/>
          <w:b/>
          <w:bCs/>
          <w:color w:val="006600"/>
          <w:szCs w:val="24"/>
          <w:u w:val="single"/>
        </w:rPr>
        <w:t xml:space="preserve">. Per capita annual income in Chittagong City Corporation is only 43.63% of per capita annual expenditure for SWM, while in Rajshahi City Corporation, it is only 30.84%. </w:t>
      </w:r>
      <w:r>
        <w:rPr>
          <w:rFonts w:cs="Times New Roman"/>
          <w:szCs w:val="24"/>
        </w:rPr>
        <w:t xml:space="preserve">The difference is even higher between Rangpur and Patuakhali municipalities. In Rangpur municipality, per capita income is about 61% of per capita expenditure for SWM, while in Patuakhali municipality, per capita income is only 17.71% of per capita expenditure on SWM. What </w:t>
      </w:r>
      <w:r w:rsidRPr="00581B13">
        <w:rPr>
          <w:rFonts w:cs="Times New Roman"/>
          <w:b/>
          <w:bCs/>
          <w:color w:val="006600"/>
          <w:szCs w:val="24"/>
          <w:u w:val="single"/>
        </w:rPr>
        <w:t xml:space="preserve">is apparent is that per capita income from SWM is higher in city corporations or large cities but per capita expenditure may be </w:t>
      </w:r>
      <w:r w:rsidRPr="00581B13">
        <w:rPr>
          <w:rFonts w:cs="Times New Roman"/>
          <w:b/>
          <w:bCs/>
          <w:color w:val="006600"/>
          <w:szCs w:val="24"/>
          <w:u w:val="single"/>
        </w:rPr>
        <w:lastRenderedPageBreak/>
        <w:t xml:space="preserve">higher or lower irrespective of whether the local government unit is City Corporation or Paurashava.  </w:t>
      </w:r>
    </w:p>
    <w:p w:rsidR="0048464B" w:rsidRPr="00E03AFA" w:rsidRDefault="0048464B" w:rsidP="003D5A31">
      <w:pPr>
        <w:pStyle w:val="BodyText"/>
        <w:numPr>
          <w:ilvl w:val="2"/>
          <w:numId w:val="266"/>
        </w:numPr>
        <w:spacing w:after="240" w:line="276" w:lineRule="auto"/>
        <w:jc w:val="both"/>
        <w:rPr>
          <w:rFonts w:cs="Times New Roman"/>
          <w:b/>
          <w:szCs w:val="24"/>
        </w:rPr>
      </w:pPr>
      <w:r w:rsidRPr="00E03AFA">
        <w:rPr>
          <w:rFonts w:cs="Times New Roman"/>
          <w:b/>
          <w:szCs w:val="24"/>
        </w:rPr>
        <w:t>Capital Investment Requirements</w:t>
      </w:r>
    </w:p>
    <w:p w:rsidR="0048464B" w:rsidRPr="00D169FA" w:rsidRDefault="0048464B" w:rsidP="0048464B">
      <w:pPr>
        <w:spacing w:line="276" w:lineRule="auto"/>
        <w:jc w:val="both"/>
        <w:rPr>
          <w:rFonts w:cs="Times New Roman"/>
          <w:szCs w:val="24"/>
        </w:rPr>
      </w:pPr>
      <w:r w:rsidRPr="00D169FA">
        <w:rPr>
          <w:rFonts w:cs="Times New Roman"/>
          <w:szCs w:val="24"/>
        </w:rPr>
        <w:t xml:space="preserve">It has already been observed that solid waste collection efficiency is quite low in most of the urban centers under study. </w:t>
      </w:r>
      <w:r w:rsidRPr="00581B13">
        <w:rPr>
          <w:rFonts w:cs="Times New Roman"/>
          <w:b/>
          <w:bCs/>
          <w:color w:val="006600"/>
          <w:szCs w:val="24"/>
          <w:u w:val="single"/>
        </w:rPr>
        <w:t xml:space="preserve">Except for Dhaka and Rajshahi, collection efficiency in the urban centers including Chittagong is around 50% or lower. </w:t>
      </w:r>
      <w:r w:rsidRPr="00D169FA">
        <w:rPr>
          <w:rFonts w:cs="Times New Roman"/>
          <w:szCs w:val="24"/>
        </w:rPr>
        <w:t xml:space="preserve">In some urban centers, collection efficiency is less than 15%. </w:t>
      </w:r>
      <w:r w:rsidRPr="00581B13">
        <w:rPr>
          <w:rFonts w:cs="Times New Roman"/>
          <w:b/>
          <w:bCs/>
          <w:color w:val="006600"/>
          <w:szCs w:val="24"/>
          <w:u w:val="single"/>
        </w:rPr>
        <w:t xml:space="preserve">Even in Dhaka and Rajshahi, around 25% of solid waste remains uncollected. </w:t>
      </w:r>
      <w:r w:rsidRPr="00D169FA">
        <w:rPr>
          <w:rFonts w:cs="Times New Roman"/>
          <w:szCs w:val="24"/>
        </w:rPr>
        <w:t xml:space="preserve">Achieving 100% collection efficiency is obviously a daunting task and would require considerable investment. </w:t>
      </w:r>
    </w:p>
    <w:p w:rsidR="0048464B" w:rsidRPr="00D169FA" w:rsidRDefault="0048464B" w:rsidP="0048464B">
      <w:pPr>
        <w:spacing w:line="276" w:lineRule="auto"/>
        <w:jc w:val="both"/>
        <w:rPr>
          <w:rFonts w:cs="Times New Roman"/>
          <w:szCs w:val="24"/>
        </w:rPr>
      </w:pPr>
      <w:r w:rsidRPr="00D169FA">
        <w:rPr>
          <w:rFonts w:cs="Times New Roman"/>
          <w:szCs w:val="24"/>
        </w:rPr>
        <w:t xml:space="preserve">The Study on Municipal Solid Waste Management (BMDF, 2012) estimated additional investment requirements for two city corporations (Chittagong and Rajshahi) and two paurashavas (Rangpur and Patuakhali). The main objectives were to improve solid waste management system in these cities over the next three to five years so as to make the cities clean and healthy. Specific objectives were as follows: </w:t>
      </w:r>
    </w:p>
    <w:p w:rsidR="0048464B" w:rsidRPr="00922FCF" w:rsidRDefault="0048464B" w:rsidP="003D5A31">
      <w:pPr>
        <w:pStyle w:val="ListParagraph"/>
        <w:numPr>
          <w:ilvl w:val="0"/>
          <w:numId w:val="114"/>
        </w:numPr>
        <w:spacing w:line="276" w:lineRule="auto"/>
        <w:jc w:val="both"/>
        <w:rPr>
          <w:rFonts w:cs="Times New Roman"/>
          <w:szCs w:val="24"/>
        </w:rPr>
      </w:pPr>
      <w:r w:rsidRPr="00922FCF">
        <w:rPr>
          <w:rFonts w:cs="Times New Roman"/>
          <w:szCs w:val="24"/>
        </w:rPr>
        <w:t>Institutional strengthening of solid waste management section of local government bodies;</w:t>
      </w:r>
    </w:p>
    <w:p w:rsidR="0048464B" w:rsidRPr="00922FCF" w:rsidRDefault="0048464B" w:rsidP="003D5A31">
      <w:pPr>
        <w:pStyle w:val="ListParagraph"/>
        <w:numPr>
          <w:ilvl w:val="0"/>
          <w:numId w:val="114"/>
        </w:numPr>
        <w:spacing w:line="276" w:lineRule="auto"/>
        <w:jc w:val="both"/>
        <w:rPr>
          <w:rFonts w:cs="Times New Roman"/>
          <w:szCs w:val="24"/>
        </w:rPr>
      </w:pPr>
      <w:r w:rsidRPr="00922FCF">
        <w:rPr>
          <w:rFonts w:cs="Times New Roman"/>
          <w:szCs w:val="24"/>
        </w:rPr>
        <w:t>Improving financial performance by cost recovery;</w:t>
      </w:r>
    </w:p>
    <w:p w:rsidR="0048464B" w:rsidRPr="00922FCF" w:rsidRDefault="0048464B" w:rsidP="003D5A31">
      <w:pPr>
        <w:pStyle w:val="ListParagraph"/>
        <w:numPr>
          <w:ilvl w:val="0"/>
          <w:numId w:val="114"/>
        </w:numPr>
        <w:spacing w:line="276" w:lineRule="auto"/>
        <w:jc w:val="both"/>
        <w:rPr>
          <w:rFonts w:cs="Times New Roman"/>
          <w:szCs w:val="24"/>
        </w:rPr>
      </w:pPr>
      <w:r w:rsidRPr="00922FCF">
        <w:rPr>
          <w:rFonts w:cs="Times New Roman"/>
          <w:szCs w:val="24"/>
        </w:rPr>
        <w:t xml:space="preserve">Promoting source separation of waste; </w:t>
      </w:r>
    </w:p>
    <w:p w:rsidR="0048464B" w:rsidRPr="00922FCF" w:rsidRDefault="0048464B" w:rsidP="003D5A31">
      <w:pPr>
        <w:pStyle w:val="ListParagraph"/>
        <w:numPr>
          <w:ilvl w:val="0"/>
          <w:numId w:val="114"/>
        </w:numPr>
        <w:spacing w:line="276" w:lineRule="auto"/>
        <w:jc w:val="both"/>
        <w:rPr>
          <w:rFonts w:cs="Times New Roman"/>
          <w:szCs w:val="24"/>
        </w:rPr>
      </w:pPr>
      <w:r w:rsidRPr="00922FCF">
        <w:rPr>
          <w:rFonts w:cs="Times New Roman"/>
          <w:szCs w:val="24"/>
        </w:rPr>
        <w:t xml:space="preserve">Improving waste collection and transportation; </w:t>
      </w:r>
    </w:p>
    <w:p w:rsidR="0048464B" w:rsidRPr="00922FCF" w:rsidRDefault="0048464B" w:rsidP="003D5A31">
      <w:pPr>
        <w:pStyle w:val="ListParagraph"/>
        <w:numPr>
          <w:ilvl w:val="0"/>
          <w:numId w:val="114"/>
        </w:numPr>
        <w:spacing w:line="276" w:lineRule="auto"/>
        <w:jc w:val="both"/>
        <w:rPr>
          <w:rFonts w:cs="Times New Roman"/>
          <w:szCs w:val="24"/>
        </w:rPr>
      </w:pPr>
      <w:r w:rsidRPr="00922FCF">
        <w:rPr>
          <w:rFonts w:cs="Times New Roman"/>
          <w:szCs w:val="24"/>
        </w:rPr>
        <w:t xml:space="preserve">Promoting recycling and resource recovery; </w:t>
      </w:r>
    </w:p>
    <w:p w:rsidR="0048464B" w:rsidRPr="00922FCF" w:rsidRDefault="0048464B" w:rsidP="003D5A31">
      <w:pPr>
        <w:pStyle w:val="ListParagraph"/>
        <w:numPr>
          <w:ilvl w:val="0"/>
          <w:numId w:val="114"/>
        </w:numPr>
        <w:spacing w:line="276" w:lineRule="auto"/>
        <w:jc w:val="both"/>
        <w:rPr>
          <w:rFonts w:cs="Times New Roman"/>
          <w:szCs w:val="24"/>
        </w:rPr>
      </w:pPr>
      <w:r w:rsidRPr="00922FCF">
        <w:rPr>
          <w:rFonts w:cs="Times New Roman"/>
          <w:szCs w:val="24"/>
        </w:rPr>
        <w:t xml:space="preserve">Promoting controlled final disposal of waste; </w:t>
      </w:r>
    </w:p>
    <w:p w:rsidR="0048464B" w:rsidRPr="00922FCF" w:rsidRDefault="0048464B" w:rsidP="003D5A31">
      <w:pPr>
        <w:pStyle w:val="ListParagraph"/>
        <w:numPr>
          <w:ilvl w:val="0"/>
          <w:numId w:val="114"/>
        </w:numPr>
        <w:spacing w:line="276" w:lineRule="auto"/>
        <w:jc w:val="both"/>
        <w:rPr>
          <w:rFonts w:cs="Times New Roman"/>
          <w:szCs w:val="24"/>
        </w:rPr>
      </w:pPr>
      <w:r w:rsidRPr="00922FCF">
        <w:rPr>
          <w:rFonts w:cs="Times New Roman"/>
          <w:szCs w:val="24"/>
        </w:rPr>
        <w:t xml:space="preserve">Improving public education and awareness; and </w:t>
      </w:r>
    </w:p>
    <w:p w:rsidR="0048464B" w:rsidRPr="00922FCF" w:rsidRDefault="0048464B" w:rsidP="003D5A31">
      <w:pPr>
        <w:pStyle w:val="ListParagraph"/>
        <w:numPr>
          <w:ilvl w:val="0"/>
          <w:numId w:val="114"/>
        </w:numPr>
        <w:spacing w:line="276" w:lineRule="auto"/>
        <w:jc w:val="both"/>
        <w:rPr>
          <w:rFonts w:cs="Times New Roman"/>
          <w:szCs w:val="24"/>
        </w:rPr>
      </w:pPr>
      <w:r w:rsidRPr="00922FCF">
        <w:rPr>
          <w:rFonts w:cs="Times New Roman"/>
          <w:szCs w:val="24"/>
        </w:rPr>
        <w:t>Promoting private sector participation in waste collection and treatment/recycling;</w:t>
      </w:r>
    </w:p>
    <w:p w:rsidR="0048464B" w:rsidRPr="00D169FA" w:rsidRDefault="0048464B" w:rsidP="0048464B">
      <w:pPr>
        <w:spacing w:line="276" w:lineRule="auto"/>
        <w:jc w:val="both"/>
        <w:rPr>
          <w:rFonts w:cs="Times New Roman"/>
          <w:szCs w:val="24"/>
        </w:rPr>
      </w:pPr>
      <w:r>
        <w:rPr>
          <w:rFonts w:cs="Times New Roman"/>
          <w:szCs w:val="24"/>
        </w:rPr>
        <w:t>Table 10.31</w:t>
      </w:r>
      <w:r w:rsidRPr="00D169FA">
        <w:rPr>
          <w:rFonts w:cs="Times New Roman"/>
          <w:szCs w:val="24"/>
        </w:rPr>
        <w:t xml:space="preserve"> presents the investment requirements for various activities in four cities and towns in terms</w:t>
      </w:r>
      <w:r>
        <w:rPr>
          <w:rFonts w:cs="Times New Roman"/>
          <w:szCs w:val="24"/>
        </w:rPr>
        <w:t xml:space="preserve"> of US Dollars. </w:t>
      </w:r>
      <w:r w:rsidRPr="00997582">
        <w:rPr>
          <w:rFonts w:cs="Times New Roman"/>
          <w:szCs w:val="24"/>
        </w:rPr>
        <w:t>Investment requirements for four cities vary depending on population size and local conditions. Total investment req</w:t>
      </w:r>
      <w:r>
        <w:rPr>
          <w:rFonts w:cs="Times New Roman"/>
          <w:szCs w:val="24"/>
        </w:rPr>
        <w:t>uirement for two city corporations and two paurashavas is Taka 1815 million (US Dollar 22.68 millions). Per capita investment also varies between Taka 330 and Taka 940. Average per capita investment requirement for four cities combined is Taka 396.</w:t>
      </w:r>
    </w:p>
    <w:p w:rsidR="0048464B" w:rsidRPr="00101CE9" w:rsidRDefault="0048464B" w:rsidP="0048464B">
      <w:pPr>
        <w:jc w:val="center"/>
        <w:rPr>
          <w:b/>
        </w:rPr>
      </w:pPr>
      <w:bookmarkStart w:id="780" w:name="_Toc464329010"/>
      <w:r w:rsidRPr="00101CE9">
        <w:rPr>
          <w:b/>
        </w:rPr>
        <w:t>Table 10.31: Investment Requirements for Various SWM Activities</w:t>
      </w:r>
      <w:bookmarkEnd w:id="780"/>
    </w:p>
    <w:tbl>
      <w:tblPr>
        <w:tblStyle w:val="table-style-blauw-070-none"/>
        <w:tblW w:w="0" w:type="auto"/>
        <w:tblLook w:val="04A0"/>
      </w:tblPr>
      <w:tblGrid>
        <w:gridCol w:w="2448"/>
        <w:gridCol w:w="1890"/>
        <w:gridCol w:w="1800"/>
        <w:gridCol w:w="1620"/>
        <w:gridCol w:w="1484"/>
      </w:tblGrid>
      <w:tr w:rsidR="0048464B" w:rsidTr="00F83382">
        <w:trPr>
          <w:cnfStyle w:val="100000000000"/>
          <w:trHeight w:val="144"/>
        </w:trPr>
        <w:tc>
          <w:tcPr>
            <w:tcW w:w="2448" w:type="dxa"/>
            <w:vMerge w:val="restart"/>
          </w:tcPr>
          <w:p w:rsidR="0048464B" w:rsidRPr="00183DB9" w:rsidRDefault="0048464B" w:rsidP="00F83382">
            <w:pPr>
              <w:spacing w:line="276" w:lineRule="auto"/>
              <w:rPr>
                <w:b w:val="0"/>
                <w:bCs/>
                <w:sz w:val="20"/>
              </w:rPr>
            </w:pPr>
            <w:r w:rsidRPr="00183DB9">
              <w:rPr>
                <w:b w:val="0"/>
                <w:bCs/>
                <w:sz w:val="20"/>
              </w:rPr>
              <w:t>SWM Activities</w:t>
            </w:r>
          </w:p>
        </w:tc>
        <w:tc>
          <w:tcPr>
            <w:tcW w:w="1890" w:type="dxa"/>
          </w:tcPr>
          <w:p w:rsidR="0048464B" w:rsidRPr="00183DB9" w:rsidRDefault="0048464B" w:rsidP="00F83382">
            <w:pPr>
              <w:spacing w:line="276" w:lineRule="auto"/>
              <w:jc w:val="center"/>
              <w:rPr>
                <w:b w:val="0"/>
                <w:bCs/>
                <w:sz w:val="20"/>
              </w:rPr>
            </w:pPr>
            <w:r w:rsidRPr="00183DB9">
              <w:rPr>
                <w:b w:val="0"/>
                <w:bCs/>
                <w:sz w:val="20"/>
              </w:rPr>
              <w:t>Chittagong City Corporation</w:t>
            </w:r>
          </w:p>
        </w:tc>
        <w:tc>
          <w:tcPr>
            <w:tcW w:w="1800" w:type="dxa"/>
          </w:tcPr>
          <w:p w:rsidR="0048464B" w:rsidRPr="00183DB9" w:rsidRDefault="0048464B" w:rsidP="00F83382">
            <w:pPr>
              <w:spacing w:line="276" w:lineRule="auto"/>
              <w:jc w:val="center"/>
              <w:rPr>
                <w:b w:val="0"/>
                <w:bCs/>
                <w:sz w:val="20"/>
              </w:rPr>
            </w:pPr>
            <w:r w:rsidRPr="00183DB9">
              <w:rPr>
                <w:b w:val="0"/>
                <w:bCs/>
                <w:sz w:val="20"/>
              </w:rPr>
              <w:t>Rajshahi City Corporation</w:t>
            </w:r>
          </w:p>
        </w:tc>
        <w:tc>
          <w:tcPr>
            <w:tcW w:w="1620" w:type="dxa"/>
          </w:tcPr>
          <w:p w:rsidR="0048464B" w:rsidRPr="00183DB9" w:rsidRDefault="0048464B" w:rsidP="00F83382">
            <w:pPr>
              <w:spacing w:line="276" w:lineRule="auto"/>
              <w:jc w:val="center"/>
              <w:rPr>
                <w:b w:val="0"/>
                <w:bCs/>
                <w:sz w:val="20"/>
              </w:rPr>
            </w:pPr>
            <w:r w:rsidRPr="00183DB9">
              <w:rPr>
                <w:b w:val="0"/>
                <w:bCs/>
                <w:sz w:val="20"/>
              </w:rPr>
              <w:t>Rangpur Paurashava</w:t>
            </w:r>
          </w:p>
        </w:tc>
        <w:tc>
          <w:tcPr>
            <w:tcW w:w="1484" w:type="dxa"/>
          </w:tcPr>
          <w:p w:rsidR="0048464B" w:rsidRPr="00183DB9" w:rsidRDefault="0048464B" w:rsidP="00F83382">
            <w:pPr>
              <w:spacing w:line="276" w:lineRule="auto"/>
              <w:jc w:val="center"/>
              <w:rPr>
                <w:b w:val="0"/>
                <w:bCs/>
                <w:sz w:val="20"/>
              </w:rPr>
            </w:pPr>
            <w:r w:rsidRPr="00183DB9">
              <w:rPr>
                <w:b w:val="0"/>
                <w:bCs/>
                <w:sz w:val="20"/>
              </w:rPr>
              <w:t>Patuakhali Paurashava</w:t>
            </w:r>
          </w:p>
        </w:tc>
      </w:tr>
      <w:tr w:rsidR="0048464B" w:rsidTr="00F83382">
        <w:trPr>
          <w:cnfStyle w:val="000000100000"/>
          <w:trHeight w:val="144"/>
        </w:trPr>
        <w:tc>
          <w:tcPr>
            <w:tcW w:w="2448" w:type="dxa"/>
            <w:vMerge/>
          </w:tcPr>
          <w:p w:rsidR="0048464B" w:rsidRPr="00183DB9" w:rsidRDefault="0048464B" w:rsidP="00F83382">
            <w:pPr>
              <w:spacing w:line="276" w:lineRule="auto"/>
              <w:rPr>
                <w:b/>
                <w:bCs/>
                <w:sz w:val="20"/>
              </w:rPr>
            </w:pPr>
          </w:p>
        </w:tc>
        <w:tc>
          <w:tcPr>
            <w:tcW w:w="1890" w:type="dxa"/>
          </w:tcPr>
          <w:p w:rsidR="0048464B" w:rsidRPr="00183DB9" w:rsidRDefault="0048464B" w:rsidP="00F83382">
            <w:pPr>
              <w:spacing w:line="276" w:lineRule="auto"/>
              <w:jc w:val="center"/>
              <w:rPr>
                <w:b/>
                <w:bCs/>
                <w:sz w:val="20"/>
              </w:rPr>
            </w:pPr>
            <w:r w:rsidRPr="00183DB9">
              <w:rPr>
                <w:b/>
                <w:bCs/>
                <w:sz w:val="20"/>
              </w:rPr>
              <w:t>US Dollar</w:t>
            </w:r>
          </w:p>
        </w:tc>
        <w:tc>
          <w:tcPr>
            <w:tcW w:w="1800" w:type="dxa"/>
          </w:tcPr>
          <w:p w:rsidR="0048464B" w:rsidRPr="00183DB9" w:rsidRDefault="0048464B" w:rsidP="00F83382">
            <w:pPr>
              <w:spacing w:line="276" w:lineRule="auto"/>
              <w:jc w:val="center"/>
              <w:rPr>
                <w:b/>
                <w:bCs/>
                <w:sz w:val="20"/>
              </w:rPr>
            </w:pPr>
            <w:r w:rsidRPr="00183DB9">
              <w:rPr>
                <w:b/>
                <w:bCs/>
                <w:sz w:val="20"/>
              </w:rPr>
              <w:t>US Dollar</w:t>
            </w:r>
          </w:p>
        </w:tc>
        <w:tc>
          <w:tcPr>
            <w:tcW w:w="1620" w:type="dxa"/>
          </w:tcPr>
          <w:p w:rsidR="0048464B" w:rsidRPr="00183DB9" w:rsidRDefault="0048464B" w:rsidP="00F83382">
            <w:pPr>
              <w:spacing w:line="276" w:lineRule="auto"/>
              <w:jc w:val="center"/>
              <w:rPr>
                <w:b/>
                <w:bCs/>
                <w:sz w:val="20"/>
              </w:rPr>
            </w:pPr>
            <w:r w:rsidRPr="00183DB9">
              <w:rPr>
                <w:b/>
                <w:bCs/>
                <w:sz w:val="20"/>
              </w:rPr>
              <w:t>US Dollar</w:t>
            </w:r>
          </w:p>
        </w:tc>
        <w:tc>
          <w:tcPr>
            <w:tcW w:w="1484" w:type="dxa"/>
          </w:tcPr>
          <w:p w:rsidR="0048464B" w:rsidRPr="00183DB9" w:rsidRDefault="0048464B" w:rsidP="00F83382">
            <w:pPr>
              <w:spacing w:line="276" w:lineRule="auto"/>
              <w:jc w:val="center"/>
              <w:rPr>
                <w:b/>
                <w:bCs/>
                <w:sz w:val="20"/>
              </w:rPr>
            </w:pPr>
            <w:r w:rsidRPr="00183DB9">
              <w:rPr>
                <w:b/>
                <w:bCs/>
                <w:sz w:val="20"/>
              </w:rPr>
              <w:t>US Dollar</w:t>
            </w:r>
          </w:p>
        </w:tc>
      </w:tr>
      <w:tr w:rsidR="0048464B" w:rsidTr="00F83382">
        <w:trPr>
          <w:cnfStyle w:val="000000010000"/>
          <w:trHeight w:val="144"/>
        </w:trPr>
        <w:tc>
          <w:tcPr>
            <w:tcW w:w="2448" w:type="dxa"/>
          </w:tcPr>
          <w:p w:rsidR="0048464B" w:rsidRPr="00183DB9" w:rsidRDefault="0048464B" w:rsidP="00F83382">
            <w:pPr>
              <w:spacing w:line="276" w:lineRule="auto"/>
              <w:rPr>
                <w:sz w:val="20"/>
                <w:szCs w:val="24"/>
              </w:rPr>
            </w:pPr>
            <w:r w:rsidRPr="00183DB9">
              <w:rPr>
                <w:sz w:val="20"/>
                <w:szCs w:val="24"/>
              </w:rPr>
              <w:t>Human resource development</w:t>
            </w:r>
          </w:p>
        </w:tc>
        <w:tc>
          <w:tcPr>
            <w:tcW w:w="1890" w:type="dxa"/>
          </w:tcPr>
          <w:p w:rsidR="0048464B" w:rsidRPr="00183DB9" w:rsidRDefault="0048464B" w:rsidP="00F83382">
            <w:pPr>
              <w:spacing w:line="276" w:lineRule="auto"/>
              <w:jc w:val="right"/>
              <w:rPr>
                <w:sz w:val="20"/>
              </w:rPr>
            </w:pPr>
            <w:r w:rsidRPr="00183DB9">
              <w:rPr>
                <w:sz w:val="20"/>
              </w:rPr>
              <w:t>450000</w:t>
            </w:r>
          </w:p>
        </w:tc>
        <w:tc>
          <w:tcPr>
            <w:tcW w:w="1800" w:type="dxa"/>
          </w:tcPr>
          <w:p w:rsidR="0048464B" w:rsidRPr="00183DB9" w:rsidRDefault="0048464B" w:rsidP="00F83382">
            <w:pPr>
              <w:spacing w:line="276" w:lineRule="auto"/>
              <w:jc w:val="right"/>
              <w:rPr>
                <w:sz w:val="20"/>
              </w:rPr>
            </w:pPr>
            <w:r w:rsidRPr="00183DB9">
              <w:rPr>
                <w:sz w:val="20"/>
              </w:rPr>
              <w:t>225000</w:t>
            </w:r>
          </w:p>
        </w:tc>
        <w:tc>
          <w:tcPr>
            <w:tcW w:w="1620" w:type="dxa"/>
          </w:tcPr>
          <w:p w:rsidR="0048464B" w:rsidRPr="00183DB9" w:rsidRDefault="0048464B" w:rsidP="00F83382">
            <w:pPr>
              <w:spacing w:line="276" w:lineRule="auto"/>
              <w:jc w:val="right"/>
              <w:rPr>
                <w:sz w:val="20"/>
              </w:rPr>
            </w:pPr>
            <w:r w:rsidRPr="00183DB9">
              <w:rPr>
                <w:sz w:val="20"/>
              </w:rPr>
              <w:t>195000</w:t>
            </w:r>
          </w:p>
        </w:tc>
        <w:tc>
          <w:tcPr>
            <w:tcW w:w="1484" w:type="dxa"/>
          </w:tcPr>
          <w:p w:rsidR="0048464B" w:rsidRPr="00183DB9" w:rsidRDefault="0048464B" w:rsidP="00F83382">
            <w:pPr>
              <w:spacing w:line="276" w:lineRule="auto"/>
              <w:jc w:val="right"/>
              <w:rPr>
                <w:sz w:val="20"/>
              </w:rPr>
            </w:pPr>
            <w:r w:rsidRPr="00183DB9">
              <w:rPr>
                <w:sz w:val="20"/>
              </w:rPr>
              <w:t>65000</w:t>
            </w:r>
          </w:p>
        </w:tc>
      </w:tr>
      <w:tr w:rsidR="0048464B" w:rsidTr="00F83382">
        <w:trPr>
          <w:cnfStyle w:val="000000100000"/>
          <w:trHeight w:val="144"/>
        </w:trPr>
        <w:tc>
          <w:tcPr>
            <w:tcW w:w="2448" w:type="dxa"/>
          </w:tcPr>
          <w:p w:rsidR="0048464B" w:rsidRPr="00183DB9" w:rsidRDefault="0048464B" w:rsidP="00F83382">
            <w:pPr>
              <w:spacing w:line="276" w:lineRule="auto"/>
              <w:rPr>
                <w:sz w:val="20"/>
                <w:szCs w:val="24"/>
              </w:rPr>
            </w:pPr>
            <w:r w:rsidRPr="00183DB9">
              <w:rPr>
                <w:sz w:val="20"/>
                <w:szCs w:val="24"/>
              </w:rPr>
              <w:t>Source Separation</w:t>
            </w:r>
          </w:p>
        </w:tc>
        <w:tc>
          <w:tcPr>
            <w:tcW w:w="1890" w:type="dxa"/>
          </w:tcPr>
          <w:p w:rsidR="0048464B" w:rsidRPr="00183DB9" w:rsidRDefault="0048464B" w:rsidP="00F83382">
            <w:pPr>
              <w:spacing w:line="276" w:lineRule="auto"/>
              <w:jc w:val="right"/>
              <w:rPr>
                <w:sz w:val="20"/>
              </w:rPr>
            </w:pPr>
            <w:r w:rsidRPr="00183DB9">
              <w:rPr>
                <w:sz w:val="20"/>
              </w:rPr>
              <w:t>1930000</w:t>
            </w:r>
          </w:p>
        </w:tc>
        <w:tc>
          <w:tcPr>
            <w:tcW w:w="1800" w:type="dxa"/>
          </w:tcPr>
          <w:p w:rsidR="0048464B" w:rsidRPr="00183DB9" w:rsidRDefault="0048464B" w:rsidP="00F83382">
            <w:pPr>
              <w:spacing w:line="276" w:lineRule="auto"/>
              <w:jc w:val="right"/>
              <w:rPr>
                <w:sz w:val="20"/>
              </w:rPr>
            </w:pPr>
            <w:r w:rsidRPr="00183DB9">
              <w:rPr>
                <w:sz w:val="20"/>
              </w:rPr>
              <w:t>630000</w:t>
            </w:r>
          </w:p>
        </w:tc>
        <w:tc>
          <w:tcPr>
            <w:tcW w:w="1620" w:type="dxa"/>
          </w:tcPr>
          <w:p w:rsidR="0048464B" w:rsidRPr="00183DB9" w:rsidRDefault="0048464B" w:rsidP="00F83382">
            <w:pPr>
              <w:spacing w:line="276" w:lineRule="auto"/>
              <w:jc w:val="right"/>
              <w:rPr>
                <w:sz w:val="20"/>
              </w:rPr>
            </w:pPr>
            <w:r w:rsidRPr="00183DB9">
              <w:rPr>
                <w:sz w:val="20"/>
              </w:rPr>
              <w:t>282500</w:t>
            </w:r>
          </w:p>
        </w:tc>
        <w:tc>
          <w:tcPr>
            <w:tcW w:w="1484" w:type="dxa"/>
          </w:tcPr>
          <w:p w:rsidR="0048464B" w:rsidRPr="00183DB9" w:rsidRDefault="0048464B" w:rsidP="00F83382">
            <w:pPr>
              <w:spacing w:line="276" w:lineRule="auto"/>
              <w:jc w:val="right"/>
              <w:rPr>
                <w:sz w:val="20"/>
              </w:rPr>
            </w:pPr>
            <w:r w:rsidRPr="00183DB9">
              <w:rPr>
                <w:sz w:val="20"/>
              </w:rPr>
              <w:t>87250</w:t>
            </w:r>
          </w:p>
        </w:tc>
      </w:tr>
      <w:tr w:rsidR="0048464B" w:rsidTr="00F83382">
        <w:trPr>
          <w:cnfStyle w:val="000000010000"/>
          <w:trHeight w:val="144"/>
        </w:trPr>
        <w:tc>
          <w:tcPr>
            <w:tcW w:w="2448" w:type="dxa"/>
          </w:tcPr>
          <w:p w:rsidR="0048464B" w:rsidRPr="00183DB9" w:rsidRDefault="0048464B" w:rsidP="00F83382">
            <w:pPr>
              <w:spacing w:line="276" w:lineRule="auto"/>
              <w:rPr>
                <w:sz w:val="20"/>
                <w:szCs w:val="24"/>
              </w:rPr>
            </w:pPr>
            <w:r w:rsidRPr="00183DB9">
              <w:rPr>
                <w:sz w:val="20"/>
                <w:szCs w:val="24"/>
              </w:rPr>
              <w:lastRenderedPageBreak/>
              <w:t>Achieving 100% collection efficiency</w:t>
            </w:r>
          </w:p>
        </w:tc>
        <w:tc>
          <w:tcPr>
            <w:tcW w:w="1890" w:type="dxa"/>
          </w:tcPr>
          <w:p w:rsidR="0048464B" w:rsidRPr="00183DB9" w:rsidRDefault="0048464B" w:rsidP="00F83382">
            <w:pPr>
              <w:spacing w:line="276" w:lineRule="auto"/>
              <w:jc w:val="right"/>
              <w:rPr>
                <w:sz w:val="20"/>
              </w:rPr>
            </w:pPr>
            <w:r w:rsidRPr="00183DB9">
              <w:rPr>
                <w:sz w:val="20"/>
              </w:rPr>
              <w:t>1475000</w:t>
            </w:r>
          </w:p>
        </w:tc>
        <w:tc>
          <w:tcPr>
            <w:tcW w:w="1800" w:type="dxa"/>
          </w:tcPr>
          <w:p w:rsidR="0048464B" w:rsidRPr="00183DB9" w:rsidRDefault="0048464B" w:rsidP="00F83382">
            <w:pPr>
              <w:spacing w:line="276" w:lineRule="auto"/>
              <w:jc w:val="right"/>
              <w:rPr>
                <w:sz w:val="20"/>
              </w:rPr>
            </w:pPr>
            <w:r w:rsidRPr="00183DB9">
              <w:rPr>
                <w:sz w:val="20"/>
              </w:rPr>
              <w:t>1650000</w:t>
            </w:r>
          </w:p>
        </w:tc>
        <w:tc>
          <w:tcPr>
            <w:tcW w:w="1620" w:type="dxa"/>
          </w:tcPr>
          <w:p w:rsidR="0048464B" w:rsidRPr="00183DB9" w:rsidRDefault="0048464B" w:rsidP="00F83382">
            <w:pPr>
              <w:spacing w:line="276" w:lineRule="auto"/>
              <w:jc w:val="right"/>
              <w:rPr>
                <w:sz w:val="20"/>
              </w:rPr>
            </w:pPr>
            <w:r w:rsidRPr="00183DB9">
              <w:rPr>
                <w:sz w:val="20"/>
              </w:rPr>
              <w:t>540000</w:t>
            </w:r>
          </w:p>
        </w:tc>
        <w:tc>
          <w:tcPr>
            <w:tcW w:w="1484" w:type="dxa"/>
          </w:tcPr>
          <w:p w:rsidR="0048464B" w:rsidRPr="00183DB9" w:rsidRDefault="0048464B" w:rsidP="00F83382">
            <w:pPr>
              <w:spacing w:line="276" w:lineRule="auto"/>
              <w:jc w:val="right"/>
              <w:rPr>
                <w:sz w:val="20"/>
              </w:rPr>
            </w:pPr>
            <w:r w:rsidRPr="00183DB9">
              <w:rPr>
                <w:sz w:val="20"/>
              </w:rPr>
              <w:t>515000</w:t>
            </w:r>
          </w:p>
        </w:tc>
      </w:tr>
      <w:tr w:rsidR="0048464B" w:rsidTr="00F83382">
        <w:trPr>
          <w:cnfStyle w:val="000000100000"/>
          <w:trHeight w:val="144"/>
        </w:trPr>
        <w:tc>
          <w:tcPr>
            <w:tcW w:w="2448" w:type="dxa"/>
          </w:tcPr>
          <w:p w:rsidR="0048464B" w:rsidRPr="00183DB9" w:rsidRDefault="0048464B" w:rsidP="00F83382">
            <w:pPr>
              <w:spacing w:line="276" w:lineRule="auto"/>
              <w:rPr>
                <w:sz w:val="20"/>
                <w:szCs w:val="24"/>
              </w:rPr>
            </w:pPr>
            <w:r w:rsidRPr="00183DB9">
              <w:rPr>
                <w:sz w:val="20"/>
                <w:szCs w:val="24"/>
              </w:rPr>
              <w:t>Developing controlled landfill</w:t>
            </w:r>
          </w:p>
        </w:tc>
        <w:tc>
          <w:tcPr>
            <w:tcW w:w="1890" w:type="dxa"/>
          </w:tcPr>
          <w:p w:rsidR="0048464B" w:rsidRPr="00183DB9" w:rsidRDefault="0048464B" w:rsidP="00F83382">
            <w:pPr>
              <w:spacing w:line="276" w:lineRule="auto"/>
              <w:jc w:val="right"/>
              <w:rPr>
                <w:sz w:val="20"/>
              </w:rPr>
            </w:pPr>
            <w:r w:rsidRPr="00183DB9">
              <w:rPr>
                <w:sz w:val="20"/>
              </w:rPr>
              <w:t>9500000</w:t>
            </w:r>
          </w:p>
        </w:tc>
        <w:tc>
          <w:tcPr>
            <w:tcW w:w="1800" w:type="dxa"/>
          </w:tcPr>
          <w:p w:rsidR="0048464B" w:rsidRPr="00183DB9" w:rsidRDefault="0048464B" w:rsidP="00F83382">
            <w:pPr>
              <w:spacing w:line="276" w:lineRule="auto"/>
              <w:jc w:val="right"/>
              <w:rPr>
                <w:sz w:val="20"/>
              </w:rPr>
            </w:pPr>
            <w:r w:rsidRPr="00183DB9">
              <w:rPr>
                <w:sz w:val="20"/>
              </w:rPr>
              <w:t>3750000</w:t>
            </w:r>
          </w:p>
        </w:tc>
        <w:tc>
          <w:tcPr>
            <w:tcW w:w="1620" w:type="dxa"/>
          </w:tcPr>
          <w:p w:rsidR="0048464B" w:rsidRPr="00183DB9" w:rsidRDefault="0048464B" w:rsidP="00F83382">
            <w:pPr>
              <w:spacing w:line="276" w:lineRule="auto"/>
              <w:jc w:val="right"/>
              <w:rPr>
                <w:sz w:val="20"/>
              </w:rPr>
            </w:pPr>
            <w:r w:rsidRPr="00183DB9">
              <w:rPr>
                <w:sz w:val="20"/>
              </w:rPr>
              <w:t>625000</w:t>
            </w:r>
          </w:p>
        </w:tc>
        <w:tc>
          <w:tcPr>
            <w:tcW w:w="1484" w:type="dxa"/>
          </w:tcPr>
          <w:p w:rsidR="0048464B" w:rsidRPr="00183DB9" w:rsidRDefault="0048464B" w:rsidP="00F83382">
            <w:pPr>
              <w:spacing w:line="276" w:lineRule="auto"/>
              <w:jc w:val="right"/>
              <w:rPr>
                <w:sz w:val="20"/>
              </w:rPr>
            </w:pPr>
            <w:r w:rsidRPr="00183DB9">
              <w:rPr>
                <w:sz w:val="20"/>
              </w:rPr>
              <w:t>250000</w:t>
            </w:r>
          </w:p>
        </w:tc>
      </w:tr>
      <w:tr w:rsidR="0048464B" w:rsidTr="00F83382">
        <w:trPr>
          <w:cnfStyle w:val="000000010000"/>
          <w:trHeight w:val="144"/>
        </w:trPr>
        <w:tc>
          <w:tcPr>
            <w:tcW w:w="2448" w:type="dxa"/>
          </w:tcPr>
          <w:p w:rsidR="0048464B" w:rsidRPr="00183DB9" w:rsidRDefault="0048464B" w:rsidP="00F83382">
            <w:pPr>
              <w:spacing w:line="276" w:lineRule="auto"/>
              <w:rPr>
                <w:sz w:val="20"/>
                <w:szCs w:val="24"/>
              </w:rPr>
            </w:pPr>
            <w:r w:rsidRPr="00183DB9">
              <w:rPr>
                <w:sz w:val="20"/>
                <w:szCs w:val="24"/>
              </w:rPr>
              <w:t>Establishing resource recovery centre</w:t>
            </w:r>
          </w:p>
        </w:tc>
        <w:tc>
          <w:tcPr>
            <w:tcW w:w="1890" w:type="dxa"/>
          </w:tcPr>
          <w:p w:rsidR="0048464B" w:rsidRPr="00183DB9" w:rsidRDefault="0048464B" w:rsidP="00F83382">
            <w:pPr>
              <w:spacing w:line="276" w:lineRule="auto"/>
              <w:jc w:val="right"/>
              <w:rPr>
                <w:sz w:val="20"/>
              </w:rPr>
            </w:pPr>
            <w:r w:rsidRPr="00183DB9">
              <w:rPr>
                <w:sz w:val="20"/>
              </w:rPr>
              <w:t>260000</w:t>
            </w:r>
          </w:p>
        </w:tc>
        <w:tc>
          <w:tcPr>
            <w:tcW w:w="1800" w:type="dxa"/>
          </w:tcPr>
          <w:p w:rsidR="0048464B" w:rsidRPr="00183DB9" w:rsidRDefault="0048464B" w:rsidP="00F83382">
            <w:pPr>
              <w:spacing w:line="276" w:lineRule="auto"/>
              <w:jc w:val="right"/>
              <w:rPr>
                <w:sz w:val="20"/>
              </w:rPr>
            </w:pPr>
            <w:r w:rsidRPr="00183DB9">
              <w:rPr>
                <w:sz w:val="20"/>
              </w:rPr>
              <w:t>140000</w:t>
            </w:r>
          </w:p>
        </w:tc>
        <w:tc>
          <w:tcPr>
            <w:tcW w:w="1620" w:type="dxa"/>
          </w:tcPr>
          <w:p w:rsidR="0048464B" w:rsidRPr="00183DB9" w:rsidRDefault="0048464B" w:rsidP="00F83382">
            <w:pPr>
              <w:spacing w:line="276" w:lineRule="auto"/>
              <w:jc w:val="right"/>
              <w:rPr>
                <w:sz w:val="20"/>
              </w:rPr>
            </w:pPr>
            <w:r w:rsidRPr="00183DB9">
              <w:rPr>
                <w:sz w:val="20"/>
              </w:rPr>
              <w:t>65000</w:t>
            </w:r>
          </w:p>
        </w:tc>
        <w:tc>
          <w:tcPr>
            <w:tcW w:w="1484" w:type="dxa"/>
          </w:tcPr>
          <w:p w:rsidR="0048464B" w:rsidRPr="00183DB9" w:rsidRDefault="0048464B" w:rsidP="00F83382">
            <w:pPr>
              <w:spacing w:line="276" w:lineRule="auto"/>
              <w:jc w:val="right"/>
              <w:rPr>
                <w:sz w:val="20"/>
              </w:rPr>
            </w:pPr>
            <w:r w:rsidRPr="00183DB9">
              <w:rPr>
                <w:sz w:val="20"/>
              </w:rPr>
              <w:t>50000</w:t>
            </w:r>
          </w:p>
        </w:tc>
      </w:tr>
      <w:tr w:rsidR="0048464B" w:rsidTr="00F83382">
        <w:trPr>
          <w:cnfStyle w:val="000000100000"/>
          <w:trHeight w:val="144"/>
        </w:trPr>
        <w:tc>
          <w:tcPr>
            <w:tcW w:w="2448" w:type="dxa"/>
          </w:tcPr>
          <w:p w:rsidR="0048464B" w:rsidRPr="00183DB9" w:rsidRDefault="0048464B" w:rsidP="00F83382">
            <w:pPr>
              <w:spacing w:line="276" w:lineRule="auto"/>
              <w:rPr>
                <w:b/>
                <w:bCs/>
                <w:sz w:val="20"/>
                <w:szCs w:val="24"/>
              </w:rPr>
            </w:pPr>
            <w:r w:rsidRPr="00183DB9">
              <w:rPr>
                <w:b/>
                <w:bCs/>
                <w:sz w:val="20"/>
                <w:szCs w:val="24"/>
              </w:rPr>
              <w:t>Total US$</w:t>
            </w:r>
          </w:p>
        </w:tc>
        <w:tc>
          <w:tcPr>
            <w:tcW w:w="1890" w:type="dxa"/>
          </w:tcPr>
          <w:p w:rsidR="0048464B" w:rsidRPr="00183DB9" w:rsidRDefault="0048464B" w:rsidP="00F83382">
            <w:pPr>
              <w:spacing w:line="276" w:lineRule="auto"/>
              <w:jc w:val="right"/>
              <w:rPr>
                <w:b/>
                <w:bCs/>
                <w:sz w:val="20"/>
              </w:rPr>
            </w:pPr>
            <w:r w:rsidRPr="00183DB9">
              <w:rPr>
                <w:b/>
                <w:bCs/>
                <w:sz w:val="20"/>
              </w:rPr>
              <w:t>13615000</w:t>
            </w:r>
          </w:p>
        </w:tc>
        <w:tc>
          <w:tcPr>
            <w:tcW w:w="1800" w:type="dxa"/>
          </w:tcPr>
          <w:p w:rsidR="0048464B" w:rsidRPr="00183DB9" w:rsidRDefault="0048464B" w:rsidP="00F83382">
            <w:pPr>
              <w:spacing w:line="276" w:lineRule="auto"/>
              <w:jc w:val="right"/>
              <w:rPr>
                <w:b/>
                <w:bCs/>
                <w:sz w:val="20"/>
              </w:rPr>
            </w:pPr>
            <w:r w:rsidRPr="00183DB9">
              <w:rPr>
                <w:b/>
                <w:bCs/>
                <w:sz w:val="20"/>
              </w:rPr>
              <w:t>6395000</w:t>
            </w:r>
          </w:p>
        </w:tc>
        <w:tc>
          <w:tcPr>
            <w:tcW w:w="1620" w:type="dxa"/>
          </w:tcPr>
          <w:p w:rsidR="0048464B" w:rsidRPr="00183DB9" w:rsidRDefault="0048464B" w:rsidP="00F83382">
            <w:pPr>
              <w:spacing w:line="276" w:lineRule="auto"/>
              <w:jc w:val="right"/>
              <w:rPr>
                <w:b/>
                <w:bCs/>
                <w:sz w:val="20"/>
              </w:rPr>
            </w:pPr>
            <w:r w:rsidRPr="00183DB9">
              <w:rPr>
                <w:b/>
                <w:bCs/>
                <w:sz w:val="20"/>
              </w:rPr>
              <w:t>1707500</w:t>
            </w:r>
          </w:p>
        </w:tc>
        <w:tc>
          <w:tcPr>
            <w:tcW w:w="1484" w:type="dxa"/>
          </w:tcPr>
          <w:p w:rsidR="0048464B" w:rsidRPr="00183DB9" w:rsidRDefault="0048464B" w:rsidP="00F83382">
            <w:pPr>
              <w:spacing w:line="276" w:lineRule="auto"/>
              <w:jc w:val="right"/>
              <w:rPr>
                <w:b/>
                <w:bCs/>
                <w:sz w:val="20"/>
              </w:rPr>
            </w:pPr>
            <w:r w:rsidRPr="00183DB9">
              <w:rPr>
                <w:b/>
                <w:bCs/>
                <w:sz w:val="20"/>
              </w:rPr>
              <w:t>967250</w:t>
            </w:r>
          </w:p>
        </w:tc>
      </w:tr>
      <w:tr w:rsidR="0048464B" w:rsidTr="00F83382">
        <w:trPr>
          <w:cnfStyle w:val="000000010000"/>
          <w:trHeight w:val="144"/>
        </w:trPr>
        <w:tc>
          <w:tcPr>
            <w:tcW w:w="2448" w:type="dxa"/>
          </w:tcPr>
          <w:p w:rsidR="0048464B" w:rsidRPr="00183DB9" w:rsidRDefault="0048464B" w:rsidP="00F83382">
            <w:pPr>
              <w:spacing w:line="276" w:lineRule="auto"/>
              <w:rPr>
                <w:b/>
                <w:bCs/>
                <w:sz w:val="20"/>
                <w:szCs w:val="24"/>
              </w:rPr>
            </w:pPr>
            <w:r w:rsidRPr="00183DB9">
              <w:rPr>
                <w:b/>
                <w:bCs/>
                <w:sz w:val="20"/>
                <w:szCs w:val="24"/>
              </w:rPr>
              <w:t>Total Million US$</w:t>
            </w:r>
          </w:p>
        </w:tc>
        <w:tc>
          <w:tcPr>
            <w:tcW w:w="1890" w:type="dxa"/>
          </w:tcPr>
          <w:p w:rsidR="0048464B" w:rsidRPr="00183DB9" w:rsidRDefault="0048464B" w:rsidP="00F83382">
            <w:pPr>
              <w:spacing w:line="276" w:lineRule="auto"/>
              <w:jc w:val="right"/>
              <w:rPr>
                <w:b/>
                <w:bCs/>
                <w:sz w:val="20"/>
              </w:rPr>
            </w:pPr>
            <w:r w:rsidRPr="00183DB9">
              <w:rPr>
                <w:b/>
                <w:bCs/>
                <w:sz w:val="20"/>
              </w:rPr>
              <w:t>13.615</w:t>
            </w:r>
          </w:p>
        </w:tc>
        <w:tc>
          <w:tcPr>
            <w:tcW w:w="1800" w:type="dxa"/>
          </w:tcPr>
          <w:p w:rsidR="0048464B" w:rsidRPr="00183DB9" w:rsidRDefault="0048464B" w:rsidP="00F83382">
            <w:pPr>
              <w:spacing w:line="276" w:lineRule="auto"/>
              <w:jc w:val="right"/>
              <w:rPr>
                <w:b/>
                <w:bCs/>
                <w:sz w:val="20"/>
              </w:rPr>
            </w:pPr>
            <w:r w:rsidRPr="00183DB9">
              <w:rPr>
                <w:b/>
                <w:bCs/>
                <w:sz w:val="20"/>
              </w:rPr>
              <w:t>6.395</w:t>
            </w:r>
          </w:p>
        </w:tc>
        <w:tc>
          <w:tcPr>
            <w:tcW w:w="1620" w:type="dxa"/>
          </w:tcPr>
          <w:p w:rsidR="0048464B" w:rsidRPr="00183DB9" w:rsidRDefault="0048464B" w:rsidP="00F83382">
            <w:pPr>
              <w:spacing w:line="276" w:lineRule="auto"/>
              <w:jc w:val="right"/>
              <w:rPr>
                <w:b/>
                <w:bCs/>
                <w:sz w:val="20"/>
              </w:rPr>
            </w:pPr>
            <w:r w:rsidRPr="00183DB9">
              <w:rPr>
                <w:b/>
                <w:bCs/>
                <w:sz w:val="20"/>
              </w:rPr>
              <w:t>1.7075</w:t>
            </w:r>
          </w:p>
        </w:tc>
        <w:tc>
          <w:tcPr>
            <w:tcW w:w="1484" w:type="dxa"/>
          </w:tcPr>
          <w:p w:rsidR="0048464B" w:rsidRPr="00183DB9" w:rsidRDefault="0048464B" w:rsidP="00F83382">
            <w:pPr>
              <w:spacing w:line="276" w:lineRule="auto"/>
              <w:jc w:val="right"/>
              <w:rPr>
                <w:b/>
                <w:bCs/>
                <w:sz w:val="20"/>
              </w:rPr>
            </w:pPr>
            <w:r w:rsidRPr="00183DB9">
              <w:rPr>
                <w:b/>
                <w:bCs/>
                <w:sz w:val="20"/>
              </w:rPr>
              <w:t>0.96725</w:t>
            </w:r>
          </w:p>
        </w:tc>
      </w:tr>
      <w:tr w:rsidR="0048464B" w:rsidTr="00F83382">
        <w:trPr>
          <w:cnfStyle w:val="000000100000"/>
          <w:trHeight w:val="144"/>
        </w:trPr>
        <w:tc>
          <w:tcPr>
            <w:tcW w:w="2448" w:type="dxa"/>
          </w:tcPr>
          <w:p w:rsidR="0048464B" w:rsidRPr="00183DB9" w:rsidRDefault="0048464B" w:rsidP="00F83382">
            <w:pPr>
              <w:spacing w:line="276" w:lineRule="auto"/>
              <w:rPr>
                <w:b/>
                <w:bCs/>
                <w:sz w:val="20"/>
                <w:szCs w:val="24"/>
              </w:rPr>
            </w:pPr>
            <w:r w:rsidRPr="00183DB9">
              <w:rPr>
                <w:b/>
                <w:bCs/>
                <w:sz w:val="20"/>
                <w:szCs w:val="24"/>
              </w:rPr>
              <w:t>Total Million Taka</w:t>
            </w:r>
          </w:p>
        </w:tc>
        <w:tc>
          <w:tcPr>
            <w:tcW w:w="1890" w:type="dxa"/>
          </w:tcPr>
          <w:p w:rsidR="0048464B" w:rsidRPr="00183DB9" w:rsidRDefault="0048464B" w:rsidP="00F83382">
            <w:pPr>
              <w:spacing w:line="276" w:lineRule="auto"/>
              <w:jc w:val="right"/>
              <w:rPr>
                <w:b/>
                <w:bCs/>
                <w:sz w:val="20"/>
              </w:rPr>
            </w:pPr>
            <w:r w:rsidRPr="00183DB9">
              <w:rPr>
                <w:b/>
                <w:bCs/>
                <w:sz w:val="20"/>
              </w:rPr>
              <w:t>1089.2</w:t>
            </w:r>
          </w:p>
        </w:tc>
        <w:tc>
          <w:tcPr>
            <w:tcW w:w="1800" w:type="dxa"/>
          </w:tcPr>
          <w:p w:rsidR="0048464B" w:rsidRPr="00183DB9" w:rsidRDefault="0048464B" w:rsidP="00F83382">
            <w:pPr>
              <w:spacing w:line="276" w:lineRule="auto"/>
              <w:jc w:val="right"/>
              <w:rPr>
                <w:b/>
                <w:bCs/>
                <w:sz w:val="20"/>
              </w:rPr>
            </w:pPr>
            <w:r w:rsidRPr="00183DB9">
              <w:rPr>
                <w:b/>
                <w:bCs/>
                <w:sz w:val="20"/>
              </w:rPr>
              <w:t>511.6</w:t>
            </w:r>
          </w:p>
        </w:tc>
        <w:tc>
          <w:tcPr>
            <w:tcW w:w="1620" w:type="dxa"/>
          </w:tcPr>
          <w:p w:rsidR="0048464B" w:rsidRPr="00183DB9" w:rsidRDefault="0048464B" w:rsidP="00F83382">
            <w:pPr>
              <w:spacing w:line="276" w:lineRule="auto"/>
              <w:jc w:val="right"/>
              <w:rPr>
                <w:b/>
                <w:bCs/>
                <w:sz w:val="20"/>
              </w:rPr>
            </w:pPr>
            <w:r w:rsidRPr="00183DB9">
              <w:rPr>
                <w:b/>
                <w:bCs/>
                <w:sz w:val="20"/>
              </w:rPr>
              <w:t>136.6</w:t>
            </w:r>
          </w:p>
        </w:tc>
        <w:tc>
          <w:tcPr>
            <w:tcW w:w="1484" w:type="dxa"/>
          </w:tcPr>
          <w:p w:rsidR="0048464B" w:rsidRPr="00183DB9" w:rsidRDefault="0048464B" w:rsidP="00F83382">
            <w:pPr>
              <w:spacing w:line="276" w:lineRule="auto"/>
              <w:jc w:val="right"/>
              <w:rPr>
                <w:b/>
                <w:bCs/>
                <w:sz w:val="20"/>
              </w:rPr>
            </w:pPr>
            <w:r w:rsidRPr="00183DB9">
              <w:rPr>
                <w:b/>
                <w:bCs/>
                <w:sz w:val="20"/>
              </w:rPr>
              <w:t>77.38</w:t>
            </w:r>
          </w:p>
        </w:tc>
      </w:tr>
      <w:tr w:rsidR="0048464B" w:rsidTr="00F83382">
        <w:trPr>
          <w:cnfStyle w:val="000000010000"/>
          <w:trHeight w:val="144"/>
        </w:trPr>
        <w:tc>
          <w:tcPr>
            <w:tcW w:w="2448" w:type="dxa"/>
          </w:tcPr>
          <w:p w:rsidR="0048464B" w:rsidRPr="00183DB9" w:rsidRDefault="0048464B" w:rsidP="00F83382">
            <w:pPr>
              <w:spacing w:line="276" w:lineRule="auto"/>
              <w:rPr>
                <w:b/>
                <w:bCs/>
                <w:sz w:val="20"/>
                <w:szCs w:val="24"/>
              </w:rPr>
            </w:pPr>
            <w:r w:rsidRPr="00183DB9">
              <w:rPr>
                <w:b/>
                <w:bCs/>
                <w:sz w:val="20"/>
                <w:szCs w:val="24"/>
              </w:rPr>
              <w:t>Per Capita  (Taka)</w:t>
            </w:r>
          </w:p>
        </w:tc>
        <w:tc>
          <w:tcPr>
            <w:tcW w:w="1890" w:type="dxa"/>
          </w:tcPr>
          <w:p w:rsidR="0048464B" w:rsidRPr="00183DB9" w:rsidRDefault="0048464B" w:rsidP="00F83382">
            <w:pPr>
              <w:spacing w:line="276" w:lineRule="auto"/>
              <w:jc w:val="right"/>
              <w:rPr>
                <w:b/>
                <w:bCs/>
                <w:sz w:val="20"/>
              </w:rPr>
            </w:pPr>
            <w:r w:rsidRPr="00183DB9">
              <w:rPr>
                <w:b/>
                <w:bCs/>
                <w:sz w:val="20"/>
              </w:rPr>
              <w:t>330</w:t>
            </w:r>
          </w:p>
        </w:tc>
        <w:tc>
          <w:tcPr>
            <w:tcW w:w="1800" w:type="dxa"/>
          </w:tcPr>
          <w:p w:rsidR="0048464B" w:rsidRPr="00183DB9" w:rsidRDefault="0048464B" w:rsidP="00F83382">
            <w:pPr>
              <w:spacing w:line="276" w:lineRule="auto"/>
              <w:jc w:val="right"/>
              <w:rPr>
                <w:b/>
                <w:bCs/>
                <w:sz w:val="20"/>
              </w:rPr>
            </w:pPr>
            <w:r w:rsidRPr="00183DB9">
              <w:rPr>
                <w:b/>
                <w:bCs/>
                <w:sz w:val="20"/>
              </w:rPr>
              <w:t>643</w:t>
            </w:r>
          </w:p>
        </w:tc>
        <w:tc>
          <w:tcPr>
            <w:tcW w:w="1620" w:type="dxa"/>
          </w:tcPr>
          <w:p w:rsidR="0048464B" w:rsidRPr="00183DB9" w:rsidRDefault="0048464B" w:rsidP="00F83382">
            <w:pPr>
              <w:spacing w:line="276" w:lineRule="auto"/>
              <w:jc w:val="right"/>
              <w:rPr>
                <w:b/>
                <w:bCs/>
                <w:sz w:val="20"/>
              </w:rPr>
            </w:pPr>
            <w:r w:rsidRPr="00183DB9">
              <w:rPr>
                <w:b/>
                <w:bCs/>
                <w:sz w:val="20"/>
              </w:rPr>
              <w:t>335</w:t>
            </w:r>
          </w:p>
        </w:tc>
        <w:tc>
          <w:tcPr>
            <w:tcW w:w="1484" w:type="dxa"/>
          </w:tcPr>
          <w:p w:rsidR="0048464B" w:rsidRPr="00183DB9" w:rsidRDefault="0048464B" w:rsidP="00F83382">
            <w:pPr>
              <w:spacing w:line="276" w:lineRule="auto"/>
              <w:jc w:val="right"/>
              <w:rPr>
                <w:b/>
                <w:bCs/>
                <w:sz w:val="20"/>
              </w:rPr>
            </w:pPr>
            <w:r w:rsidRPr="00183DB9">
              <w:rPr>
                <w:b/>
                <w:bCs/>
                <w:sz w:val="20"/>
              </w:rPr>
              <w:t>940</w:t>
            </w:r>
          </w:p>
        </w:tc>
      </w:tr>
      <w:tr w:rsidR="0048464B" w:rsidTr="00F83382">
        <w:trPr>
          <w:cnfStyle w:val="000000100000"/>
          <w:trHeight w:val="144"/>
        </w:trPr>
        <w:tc>
          <w:tcPr>
            <w:tcW w:w="9242" w:type="dxa"/>
            <w:gridSpan w:val="5"/>
          </w:tcPr>
          <w:p w:rsidR="0048464B" w:rsidRPr="00183DB9" w:rsidRDefault="0048464B" w:rsidP="00F83382">
            <w:pPr>
              <w:spacing w:line="276" w:lineRule="auto"/>
              <w:jc w:val="center"/>
              <w:rPr>
                <w:b/>
                <w:bCs/>
                <w:sz w:val="20"/>
              </w:rPr>
            </w:pPr>
            <w:r w:rsidRPr="00183DB9">
              <w:rPr>
                <w:b/>
                <w:bCs/>
                <w:sz w:val="20"/>
              </w:rPr>
              <w:t>Average per capita investment requirement for four cities combined (in Taka) = 396</w:t>
            </w:r>
          </w:p>
        </w:tc>
      </w:tr>
    </w:tbl>
    <w:p w:rsidR="0048464B" w:rsidRPr="005119A6" w:rsidRDefault="0048464B" w:rsidP="0048464B">
      <w:pPr>
        <w:spacing w:before="120" w:line="276" w:lineRule="auto"/>
        <w:jc w:val="both"/>
        <w:rPr>
          <w:rFonts w:cs="Times New Roman"/>
          <w:b/>
          <w:i/>
          <w:iCs/>
          <w:sz w:val="20"/>
          <w:szCs w:val="20"/>
        </w:rPr>
      </w:pPr>
      <w:r w:rsidRPr="005119A6">
        <w:rPr>
          <w:rFonts w:cs="Times New Roman"/>
          <w:b/>
          <w:i/>
          <w:iCs/>
          <w:sz w:val="20"/>
          <w:szCs w:val="20"/>
        </w:rPr>
        <w:t>Source: BMDF, 2012</w:t>
      </w:r>
    </w:p>
    <w:p w:rsidR="0048464B" w:rsidRDefault="0048464B" w:rsidP="0048464B">
      <w:pPr>
        <w:spacing w:line="276" w:lineRule="auto"/>
        <w:jc w:val="both"/>
        <w:rPr>
          <w:rFonts w:cs="Times New Roman"/>
          <w:szCs w:val="24"/>
        </w:rPr>
      </w:pPr>
      <w:r>
        <w:rPr>
          <w:rFonts w:cs="Times New Roman"/>
          <w:szCs w:val="24"/>
        </w:rPr>
        <w:t>It was expected that the implementation of the programme would achieve the following:</w:t>
      </w:r>
    </w:p>
    <w:p w:rsidR="0048464B" w:rsidRDefault="0048464B" w:rsidP="0048464B">
      <w:pPr>
        <w:spacing w:line="276" w:lineRule="auto"/>
        <w:jc w:val="both"/>
        <w:rPr>
          <w:rFonts w:cs="Times New Roman"/>
          <w:szCs w:val="24"/>
        </w:rPr>
      </w:pPr>
      <w:r w:rsidRPr="00997582">
        <w:rPr>
          <w:rFonts w:cs="Times New Roman"/>
          <w:b/>
          <w:bCs/>
          <w:szCs w:val="24"/>
        </w:rPr>
        <w:t>Human resource development</w:t>
      </w:r>
      <w:r>
        <w:rPr>
          <w:rFonts w:cs="Times New Roman"/>
          <w:b/>
          <w:bCs/>
          <w:szCs w:val="24"/>
        </w:rPr>
        <w:t xml:space="preserve">: </w:t>
      </w:r>
      <w:r w:rsidRPr="0071048A">
        <w:rPr>
          <w:rFonts w:cs="Times New Roman"/>
          <w:szCs w:val="24"/>
        </w:rPr>
        <w:t xml:space="preserve">The project </w:t>
      </w:r>
      <w:r>
        <w:rPr>
          <w:rFonts w:cs="Times New Roman"/>
          <w:szCs w:val="24"/>
        </w:rPr>
        <w:t>would</w:t>
      </w:r>
      <w:r w:rsidRPr="0071048A">
        <w:rPr>
          <w:rFonts w:cs="Times New Roman"/>
          <w:szCs w:val="24"/>
        </w:rPr>
        <w:t xml:space="preserve"> alleviate chronic shortage of properly trained professionals and other staff in the conservancy section.</w:t>
      </w:r>
    </w:p>
    <w:p w:rsidR="0048464B" w:rsidRPr="0071048A" w:rsidRDefault="0048464B" w:rsidP="0048464B">
      <w:pPr>
        <w:spacing w:line="276" w:lineRule="auto"/>
        <w:jc w:val="both"/>
        <w:rPr>
          <w:rFonts w:cs="Times New Roman"/>
          <w:szCs w:val="24"/>
        </w:rPr>
      </w:pPr>
      <w:r>
        <w:rPr>
          <w:rFonts w:cs="Times New Roman"/>
          <w:b/>
          <w:bCs/>
          <w:szCs w:val="24"/>
        </w:rPr>
        <w:t>S</w:t>
      </w:r>
      <w:r w:rsidRPr="001C5D31">
        <w:rPr>
          <w:rFonts w:cs="Times New Roman"/>
          <w:b/>
          <w:bCs/>
          <w:szCs w:val="24"/>
        </w:rPr>
        <w:t>ource separation</w:t>
      </w:r>
      <w:r>
        <w:rPr>
          <w:rFonts w:cs="Times New Roman"/>
          <w:b/>
          <w:bCs/>
          <w:szCs w:val="24"/>
        </w:rPr>
        <w:t xml:space="preserve">: </w:t>
      </w:r>
      <w:r w:rsidRPr="0071048A">
        <w:rPr>
          <w:rFonts w:cs="Times New Roman"/>
          <w:szCs w:val="24"/>
        </w:rPr>
        <w:t>This project w</w:t>
      </w:r>
      <w:r>
        <w:rPr>
          <w:rFonts w:cs="Times New Roman"/>
          <w:szCs w:val="24"/>
        </w:rPr>
        <w:t>ould</w:t>
      </w:r>
      <w:r w:rsidRPr="0071048A">
        <w:rPr>
          <w:rFonts w:cs="Times New Roman"/>
          <w:szCs w:val="24"/>
        </w:rPr>
        <w:t xml:space="preserve"> help to promote resource recovery of waste, reduce disposal of waste in landfill and assist to reach national goal for 3R. Reducing waste from landfill and recycling of waste will help to reduce GHG emission and promote low carbon</w:t>
      </w:r>
      <w:r>
        <w:rPr>
          <w:rFonts w:cs="Times New Roman"/>
          <w:szCs w:val="24"/>
        </w:rPr>
        <w:t>.</w:t>
      </w:r>
    </w:p>
    <w:p w:rsidR="0048464B" w:rsidRPr="0071048A" w:rsidRDefault="0048464B" w:rsidP="0048464B">
      <w:pPr>
        <w:spacing w:line="276" w:lineRule="auto"/>
        <w:jc w:val="both"/>
        <w:rPr>
          <w:rFonts w:cs="Times New Roman"/>
          <w:szCs w:val="24"/>
        </w:rPr>
      </w:pPr>
      <w:r w:rsidRPr="001C5D31">
        <w:rPr>
          <w:rFonts w:cs="Times New Roman"/>
          <w:b/>
          <w:bCs/>
          <w:szCs w:val="24"/>
        </w:rPr>
        <w:t>Achieving 100% waste collection efficiency</w:t>
      </w:r>
      <w:r>
        <w:rPr>
          <w:rFonts w:cs="Times New Roman"/>
          <w:b/>
          <w:bCs/>
          <w:szCs w:val="24"/>
        </w:rPr>
        <w:t xml:space="preserve">: </w:t>
      </w:r>
      <w:r w:rsidRPr="0071048A">
        <w:rPr>
          <w:rFonts w:cs="Times New Roman"/>
          <w:szCs w:val="24"/>
        </w:rPr>
        <w:t>The project w</w:t>
      </w:r>
      <w:r>
        <w:rPr>
          <w:rFonts w:cs="Times New Roman"/>
          <w:szCs w:val="24"/>
        </w:rPr>
        <w:t>ould</w:t>
      </w:r>
      <w:r w:rsidRPr="0071048A">
        <w:rPr>
          <w:rFonts w:cs="Times New Roman"/>
          <w:szCs w:val="24"/>
        </w:rPr>
        <w:t xml:space="preserve"> establish appropriate primary and secondary collection of waste system in City Corporation</w:t>
      </w:r>
      <w:r>
        <w:rPr>
          <w:rFonts w:cs="Times New Roman"/>
          <w:szCs w:val="24"/>
        </w:rPr>
        <w:t>s</w:t>
      </w:r>
      <w:r w:rsidRPr="0071048A">
        <w:rPr>
          <w:rFonts w:cs="Times New Roman"/>
          <w:szCs w:val="24"/>
        </w:rPr>
        <w:t>/</w:t>
      </w:r>
      <w:r>
        <w:rPr>
          <w:rFonts w:cs="Times New Roman"/>
          <w:szCs w:val="24"/>
        </w:rPr>
        <w:t>Municipalities and operationaliz</w:t>
      </w:r>
      <w:r w:rsidRPr="0071048A">
        <w:rPr>
          <w:rFonts w:cs="Times New Roman"/>
          <w:szCs w:val="24"/>
        </w:rPr>
        <w:t xml:space="preserve">e </w:t>
      </w:r>
      <w:r w:rsidRPr="000855C4">
        <w:rPr>
          <w:rFonts w:cs="Times New Roman"/>
          <w:i/>
          <w:iCs/>
          <w:szCs w:val="24"/>
        </w:rPr>
        <w:t>it. It will improve the waste collection efficiency by 100 percent, synchronize the both primary and secondary waste collection and replace open waste collection bin with closed containers. Improvement in secondary waste collection system will reduce the fuel consumption</w:t>
      </w:r>
      <w:r w:rsidRPr="0071048A">
        <w:rPr>
          <w:rFonts w:cs="Times New Roman"/>
          <w:szCs w:val="24"/>
        </w:rPr>
        <w:t xml:space="preserve"> and thus reduce greenhouse gas emissions.</w:t>
      </w:r>
    </w:p>
    <w:p w:rsidR="0048464B" w:rsidRPr="0071048A" w:rsidRDefault="0048464B" w:rsidP="0048464B">
      <w:pPr>
        <w:spacing w:line="276" w:lineRule="auto"/>
        <w:jc w:val="both"/>
        <w:rPr>
          <w:rFonts w:cs="Times New Roman"/>
          <w:szCs w:val="24"/>
        </w:rPr>
      </w:pPr>
      <w:r>
        <w:rPr>
          <w:rFonts w:cs="Times New Roman"/>
          <w:b/>
          <w:bCs/>
          <w:szCs w:val="24"/>
        </w:rPr>
        <w:t>D</w:t>
      </w:r>
      <w:r w:rsidRPr="001C5D31">
        <w:rPr>
          <w:rFonts w:cs="Times New Roman"/>
          <w:b/>
          <w:bCs/>
          <w:szCs w:val="24"/>
        </w:rPr>
        <w:t>eveloping controlled landfill site</w:t>
      </w:r>
      <w:r>
        <w:rPr>
          <w:rFonts w:cs="Times New Roman"/>
          <w:b/>
          <w:bCs/>
          <w:szCs w:val="24"/>
        </w:rPr>
        <w:t xml:space="preserve">: </w:t>
      </w:r>
      <w:r w:rsidRPr="0071048A">
        <w:rPr>
          <w:rFonts w:cs="Times New Roman"/>
          <w:szCs w:val="24"/>
        </w:rPr>
        <w:t>The project w</w:t>
      </w:r>
      <w:r>
        <w:rPr>
          <w:rFonts w:cs="Times New Roman"/>
          <w:szCs w:val="24"/>
        </w:rPr>
        <w:t>ould establish</w:t>
      </w:r>
      <w:r w:rsidRPr="0071048A">
        <w:rPr>
          <w:rFonts w:cs="Times New Roman"/>
          <w:szCs w:val="24"/>
        </w:rPr>
        <w:t xml:space="preserve"> appropriate procedures for the operation of waste disposal sites and train conservancy staff on operational procedure of controlled landfill. The project is in line with GoB’s 3R strategy to eliminate open dumping of waste by 2015.</w:t>
      </w:r>
    </w:p>
    <w:p w:rsidR="0048464B" w:rsidRDefault="0048464B" w:rsidP="0048464B">
      <w:pPr>
        <w:spacing w:line="276" w:lineRule="auto"/>
        <w:jc w:val="both"/>
        <w:rPr>
          <w:rFonts w:cs="Times New Roman"/>
          <w:szCs w:val="24"/>
        </w:rPr>
      </w:pPr>
      <w:r w:rsidRPr="00D169FA">
        <w:rPr>
          <w:rFonts w:cs="Times New Roman"/>
          <w:b/>
          <w:bCs/>
          <w:szCs w:val="24"/>
        </w:rPr>
        <w:t xml:space="preserve">Establishing resource recovery centre: </w:t>
      </w:r>
      <w:r w:rsidRPr="00D169FA">
        <w:rPr>
          <w:rFonts w:cs="Times New Roman"/>
          <w:szCs w:val="24"/>
        </w:rPr>
        <w:t>The project would help to promote resource recovery of waste, reduce disposal of waste in landfill and assist to reach national goal of 3R by diverting waste from landfill to recycling as well as assist to implement GoB’s national climate change strategy for low carbon development in waste sector.</w:t>
      </w: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Default="0048464B" w:rsidP="0048464B">
      <w:pPr>
        <w:spacing w:line="276" w:lineRule="auto"/>
        <w:jc w:val="both"/>
        <w:rPr>
          <w:rFonts w:cs="Times New Roman"/>
          <w:szCs w:val="24"/>
        </w:rPr>
      </w:pPr>
    </w:p>
    <w:p w:rsidR="0048464B" w:rsidRPr="000855C4" w:rsidRDefault="0048464B" w:rsidP="003D5A31">
      <w:pPr>
        <w:pStyle w:val="BodyText"/>
        <w:numPr>
          <w:ilvl w:val="2"/>
          <w:numId w:val="266"/>
        </w:numPr>
        <w:spacing w:after="240" w:line="276" w:lineRule="auto"/>
        <w:jc w:val="both"/>
        <w:rPr>
          <w:rFonts w:cs="Times New Roman"/>
          <w:b/>
          <w:szCs w:val="24"/>
        </w:rPr>
      </w:pPr>
      <w:r w:rsidRPr="000855C4">
        <w:rPr>
          <w:rFonts w:cs="Times New Roman"/>
          <w:b/>
          <w:szCs w:val="24"/>
        </w:rPr>
        <w:t xml:space="preserve">E-waste and Hazardous Waste Management </w:t>
      </w:r>
    </w:p>
    <w:p w:rsidR="0048464B" w:rsidRPr="000855C4" w:rsidRDefault="0048464B" w:rsidP="0048464B">
      <w:pPr>
        <w:jc w:val="both"/>
        <w:rPr>
          <w:rFonts w:cs="Segoe UI"/>
          <w:szCs w:val="19"/>
        </w:rPr>
      </w:pPr>
      <w:r w:rsidRPr="000855C4">
        <w:rPr>
          <w:rFonts w:cs="Segoe UI"/>
          <w:szCs w:val="19"/>
        </w:rPr>
        <w:t xml:space="preserve">Every year, 20 to 50 million tonnes of electrical and electronic equipment waste ("e-waste") are generated world-wide, usually contains hazardous materials such as lead, mercury, and hexavalent chromium which is highly hazardous for the environment. Not much is known about the extent of e-waste and hazardous waste generation and management system of Bangladesh as no inventory has been done yet on these issues. Though some initiatives were taken by some private sectors to know the generation rate of e-waste, in many cases the methodology of their study was not scientifically strong and clear. A number of informal sector is related in the recycling process of e-waste. There are very less formal facilities related in the sector of e-waste recycling. No separate policy/rules/acts exist for guiding the management of e-waste till date. Only the National 3R Strategy for waste management mentions the issue of e-waste management and suggests starting the practice of extended producer responsibility (EPR) in the country. </w:t>
      </w:r>
    </w:p>
    <w:p w:rsidR="0048464B" w:rsidRPr="000855C4" w:rsidRDefault="0048464B" w:rsidP="0048464B">
      <w:pPr>
        <w:jc w:val="both"/>
        <w:rPr>
          <w:rFonts w:cs="Segoe UI"/>
          <w:szCs w:val="19"/>
        </w:rPr>
      </w:pPr>
      <w:r w:rsidRPr="000855C4">
        <w:rPr>
          <w:rFonts w:cs="Segoe UI"/>
          <w:szCs w:val="19"/>
        </w:rPr>
        <w:t xml:space="preserve">Besides, an inventory of hazardous waste management was published by Department of Environment, in 2010 where textile dying industries, hospitals and clinics, tannery, pesticides, fertilizers and oil refinery etc were enlisted as possible sources of hazardous waste in Bangladesh. Only recently (2011) a rule titled “Hazardous Waste and Ship Breaking Waste Management Rules, 2011” was gazetted. However, there is no clear information on the generation and management of hazardous waste management in Bangladesh and the law enforcement is very weak in this regard. Consequently, the environment, especially the surface water of Bangladesh is severely degrading. </w:t>
      </w:r>
    </w:p>
    <w:p w:rsidR="0048464B" w:rsidRPr="000855C4" w:rsidRDefault="0048464B" w:rsidP="003D5A31">
      <w:pPr>
        <w:pStyle w:val="BodyText"/>
        <w:numPr>
          <w:ilvl w:val="2"/>
          <w:numId w:val="266"/>
        </w:numPr>
        <w:spacing w:after="240" w:line="276" w:lineRule="auto"/>
        <w:jc w:val="both"/>
        <w:rPr>
          <w:rFonts w:cs="Times New Roman"/>
          <w:b/>
          <w:szCs w:val="24"/>
        </w:rPr>
      </w:pPr>
      <w:r w:rsidRPr="000855C4">
        <w:rPr>
          <w:rFonts w:cs="Times New Roman"/>
          <w:b/>
          <w:szCs w:val="24"/>
        </w:rPr>
        <w:t xml:space="preserve">Radioactive Waste Management </w:t>
      </w:r>
    </w:p>
    <w:p w:rsidR="0048464B" w:rsidRPr="000855C4" w:rsidRDefault="0048464B" w:rsidP="0048464B">
      <w:pPr>
        <w:jc w:val="both"/>
        <w:rPr>
          <w:rFonts w:cs="Segoe UI"/>
          <w:szCs w:val="19"/>
        </w:rPr>
      </w:pPr>
      <w:r w:rsidRPr="000855C4">
        <w:rPr>
          <w:rFonts w:cs="Segoe UI"/>
          <w:szCs w:val="19"/>
        </w:rPr>
        <w:t>Radioactive wastes arising in Bangladesh comes from the use of radionuclides in medicine, industry, research and agriculture works. In Bangladesh, presently there are 15 Nuclear Medicine Centres (NMC) and one Nuclear Medicine Institute (NMI). Out of these 16 facilities, two are private organization and rest belong to Bangladesh Atomic Energy Commission (BAEC). Radioactive wastes are produced from different sources such as nuclear medicine practices, industrial radiography practice, nucleonic gauge practices, radiotherapy practices and gamma irradiator etc. all of these facilities have serious lack of radiation protection and waste management tasks.</w:t>
      </w:r>
    </w:p>
    <w:p w:rsidR="0048464B" w:rsidRPr="000855C4" w:rsidRDefault="0048464B" w:rsidP="0048464B">
      <w:pPr>
        <w:jc w:val="both"/>
        <w:rPr>
          <w:rFonts w:cs="Segoe UI"/>
          <w:szCs w:val="19"/>
        </w:rPr>
      </w:pPr>
      <w:r w:rsidRPr="000855C4">
        <w:rPr>
          <w:rFonts w:cs="Segoe UI"/>
          <w:szCs w:val="19"/>
        </w:rPr>
        <w:t xml:space="preserve">However, radioactive waste emits radiation, which makes it a particular hazard for human health and the environment. Producers and users of radioactive materials must be sure that a waste management strategy exists prior to the start of waste generation. A well-developed waste management includes the handling, pre-treatment, treatment, conditioning, storage, transportation and disposal of conditioned radioactive waste, as well as the release and discharge of decontaminated materials. The strategy should consider the entire sequence of waste management operations, with various regulatory, socio-political and economic issues taking into </w:t>
      </w:r>
      <w:r w:rsidRPr="000855C4">
        <w:rPr>
          <w:rFonts w:cs="Segoe UI"/>
          <w:szCs w:val="19"/>
        </w:rPr>
        <w:lastRenderedPageBreak/>
        <w:t xml:space="preserve">considerations. Regulatory arrangement to manage radioactive wastes in Bangladesh has been established through promulgation of nuclear safety and radiation control rules-1997. </w:t>
      </w:r>
    </w:p>
    <w:p w:rsidR="0048464B" w:rsidRPr="000855C4" w:rsidRDefault="0048464B" w:rsidP="0048464B">
      <w:pPr>
        <w:jc w:val="both"/>
        <w:rPr>
          <w:rFonts w:cs="Segoe UI"/>
          <w:i/>
          <w:szCs w:val="19"/>
        </w:rPr>
      </w:pPr>
      <w:r w:rsidRPr="000855C4">
        <w:rPr>
          <w:rFonts w:cs="Segoe UI"/>
          <w:i/>
          <w:szCs w:val="19"/>
        </w:rPr>
        <w:t>Rooppur Nuclear Power Plant in Bangladesh</w:t>
      </w:r>
    </w:p>
    <w:p w:rsidR="0048464B" w:rsidRPr="000855C4" w:rsidRDefault="0048464B" w:rsidP="0048464B">
      <w:pPr>
        <w:jc w:val="both"/>
        <w:rPr>
          <w:rFonts w:cs="Segoe UI"/>
          <w:szCs w:val="19"/>
        </w:rPr>
      </w:pPr>
      <w:r w:rsidRPr="000855C4">
        <w:rPr>
          <w:rFonts w:cs="Segoe UI"/>
          <w:szCs w:val="19"/>
        </w:rPr>
        <w:t>Bangladesh and Russia have signed a contract Rooppur Nuclear Power Plant, Pabna in 2013. The Bangladesh Atomic Energy Commission (BAEC), under the science and technology ministry, is implementing the project. The Uranium-235, which would be the reactor fuel at the proposed plant, is one of the most common fissile nuclear fuels used in power production, manufactured as small round fuel pellets. A single pellet is less than an inch long, but is said to produce energy equivalent to a ton of coal. Harmful radio-isotopes can build up to dangerous and fatal levels of radiation that, if not properly contained, can kill a person. The nuclear waste disposal issues are of great concerns here as the country does not have any technical expertise or skilled manpower to undertake such a project nor the quality-assured high-grade components required to build and operate a nuclear reactor. So, according to the contract, Russia will take care of the burnt nuclear fuel and will dispose the nuclear wastage.</w:t>
      </w:r>
    </w:p>
    <w:p w:rsidR="0048464B" w:rsidRPr="000855C4" w:rsidRDefault="0048464B" w:rsidP="0048464B">
      <w:pPr>
        <w:spacing w:line="276" w:lineRule="auto"/>
        <w:jc w:val="both"/>
        <w:rPr>
          <w:rFonts w:cs="Times New Roman"/>
          <w:szCs w:val="24"/>
        </w:rPr>
      </w:pPr>
      <w:r w:rsidRPr="000855C4">
        <w:rPr>
          <w:rFonts w:cs="Segoe UI"/>
          <w:szCs w:val="19"/>
        </w:rPr>
        <w:t>It must therefore be managed with special care, from production to final disposal. Finding suitable waste disposal solutions is a major challenge for all stakeholders, industry, regulatory authorities, public authorities and local communities.</w:t>
      </w:r>
    </w:p>
    <w:p w:rsidR="0048464B" w:rsidRPr="000855C4" w:rsidRDefault="0048464B" w:rsidP="0048464B">
      <w:r w:rsidRPr="000855C4">
        <w:br w:type="page"/>
      </w:r>
    </w:p>
    <w:p w:rsidR="0048464B" w:rsidRPr="00E03AFA" w:rsidRDefault="0048464B" w:rsidP="003D5A31">
      <w:pPr>
        <w:pStyle w:val="BodyText"/>
        <w:numPr>
          <w:ilvl w:val="2"/>
          <w:numId w:val="266"/>
        </w:numPr>
        <w:spacing w:after="240" w:line="276" w:lineRule="auto"/>
        <w:jc w:val="both"/>
        <w:rPr>
          <w:rFonts w:cs="Times New Roman"/>
          <w:b/>
          <w:szCs w:val="24"/>
        </w:rPr>
      </w:pPr>
      <w:r w:rsidRPr="00E03AFA">
        <w:rPr>
          <w:rFonts w:cs="Times New Roman"/>
          <w:b/>
          <w:szCs w:val="24"/>
        </w:rPr>
        <w:lastRenderedPageBreak/>
        <w:t>Issues and Challenges</w:t>
      </w:r>
    </w:p>
    <w:p w:rsidR="0048464B" w:rsidRPr="0099534A" w:rsidRDefault="0048464B" w:rsidP="0048464B">
      <w:pPr>
        <w:spacing w:line="276" w:lineRule="auto"/>
        <w:jc w:val="both"/>
        <w:rPr>
          <w:rFonts w:cs="Times New Roman"/>
          <w:b/>
          <w:i/>
          <w:szCs w:val="24"/>
        </w:rPr>
      </w:pPr>
      <w:r>
        <w:rPr>
          <w:rFonts w:cs="Times New Roman"/>
          <w:b/>
          <w:i/>
          <w:szCs w:val="24"/>
        </w:rPr>
        <w:t>Rapid U</w:t>
      </w:r>
      <w:r w:rsidRPr="0099534A">
        <w:rPr>
          <w:rFonts w:cs="Times New Roman"/>
          <w:b/>
          <w:i/>
          <w:szCs w:val="24"/>
        </w:rPr>
        <w:t>rbanization</w:t>
      </w:r>
    </w:p>
    <w:p w:rsidR="0048464B" w:rsidRDefault="0048464B" w:rsidP="0048464B">
      <w:pPr>
        <w:spacing w:line="276" w:lineRule="auto"/>
        <w:jc w:val="both"/>
        <w:rPr>
          <w:rFonts w:cs="Times New Roman"/>
          <w:szCs w:val="24"/>
        </w:rPr>
      </w:pPr>
      <w:r>
        <w:rPr>
          <w:rFonts w:cs="Times New Roman"/>
          <w:szCs w:val="24"/>
        </w:rPr>
        <w:t xml:space="preserve">The generation of solid waste will continue to increase with the increase of population and urbanization. There are more than 500 cities and towns in the country, which are hubs of rapid economic development and population growth. These urban areas generate thousands of tons of waste from domestic, industrial, commercial, health care facilities that must be managed daily. The production of urban solid waste approximates 16,015 tons everyday which adds up to over 5.84 million tons annually. This is projected to reach 17.16 million per year by 2025. The overall waste collection situation is not at all satisfactory. Huge amount of the uncollected waste, a high proportion of which is organic, finds its way into roadside drains or canals or incidental spaces or in vacant plots in between settlements. This makes the urban living hazardous creating problem of water logging in different areas and polluting local environment. </w:t>
      </w:r>
    </w:p>
    <w:p w:rsidR="0048464B" w:rsidRPr="00E406A5" w:rsidRDefault="0048464B" w:rsidP="0048464B">
      <w:pPr>
        <w:spacing w:line="276" w:lineRule="auto"/>
        <w:jc w:val="both"/>
        <w:rPr>
          <w:rFonts w:cs="Times New Roman"/>
          <w:b/>
          <w:i/>
          <w:szCs w:val="24"/>
        </w:rPr>
      </w:pPr>
      <w:r>
        <w:rPr>
          <w:rFonts w:cs="Times New Roman"/>
          <w:b/>
          <w:i/>
          <w:szCs w:val="24"/>
        </w:rPr>
        <w:t>Climate C</w:t>
      </w:r>
      <w:r w:rsidRPr="00E406A5">
        <w:rPr>
          <w:rFonts w:cs="Times New Roman"/>
          <w:b/>
          <w:i/>
          <w:szCs w:val="24"/>
        </w:rPr>
        <w:t>hange</w:t>
      </w:r>
    </w:p>
    <w:p w:rsidR="0048464B" w:rsidRDefault="0048464B" w:rsidP="0048464B">
      <w:pPr>
        <w:spacing w:line="276" w:lineRule="auto"/>
        <w:jc w:val="both"/>
        <w:rPr>
          <w:rFonts w:cs="Times New Roman"/>
          <w:szCs w:val="24"/>
        </w:rPr>
      </w:pPr>
      <w:r>
        <w:rPr>
          <w:rFonts w:cs="Times New Roman"/>
          <w:szCs w:val="24"/>
        </w:rPr>
        <w:t xml:space="preserve">Climate change will also have a substantial impact on solid waste management practices, underlining the need for urgent action on these. The major threat of rising temperature will be to augment the role of decay of solid waste that is dumped on land without treatment and safe disposal. This will lead to </w:t>
      </w:r>
      <w:r w:rsidRPr="00581B13">
        <w:rPr>
          <w:rFonts w:cs="Times New Roman"/>
          <w:b/>
          <w:bCs/>
          <w:color w:val="006600"/>
          <w:szCs w:val="24"/>
          <w:u w:val="single"/>
        </w:rPr>
        <w:t>increased emission of methane gas, which is 21 times more powerful than carbon dioxide in term of its impact on climate change.</w:t>
      </w:r>
      <w:r>
        <w:rPr>
          <w:rFonts w:cs="Times New Roman"/>
          <w:szCs w:val="24"/>
        </w:rPr>
        <w:t xml:space="preserve"> The main threat arises from flood and consequent inundation of landfill site. There is thus a risk of contamination causing diseases such as diarrhea, dysentery, cholera, typhoid and so on. Also, ground water and river water can be contaminated by flood water.</w:t>
      </w:r>
    </w:p>
    <w:p w:rsidR="0048464B" w:rsidRPr="0099534A" w:rsidRDefault="0048464B" w:rsidP="0048464B">
      <w:pPr>
        <w:spacing w:line="276" w:lineRule="auto"/>
        <w:jc w:val="both"/>
        <w:rPr>
          <w:rFonts w:cs="Times New Roman"/>
          <w:b/>
          <w:i/>
          <w:szCs w:val="24"/>
        </w:rPr>
      </w:pPr>
      <w:r>
        <w:rPr>
          <w:rFonts w:cs="Times New Roman"/>
          <w:b/>
          <w:i/>
          <w:szCs w:val="24"/>
        </w:rPr>
        <w:t>Changing Composition of Solid W</w:t>
      </w:r>
      <w:r w:rsidRPr="0099534A">
        <w:rPr>
          <w:rFonts w:cs="Times New Roman"/>
          <w:b/>
          <w:i/>
          <w:szCs w:val="24"/>
        </w:rPr>
        <w:t>aste</w:t>
      </w:r>
    </w:p>
    <w:p w:rsidR="0048464B" w:rsidRDefault="0048464B" w:rsidP="0048464B">
      <w:pPr>
        <w:spacing w:line="276" w:lineRule="auto"/>
        <w:jc w:val="both"/>
        <w:rPr>
          <w:rFonts w:cs="Times New Roman"/>
          <w:szCs w:val="24"/>
        </w:rPr>
      </w:pPr>
      <w:r>
        <w:rPr>
          <w:rFonts w:cs="Times New Roman"/>
          <w:szCs w:val="24"/>
        </w:rPr>
        <w:t xml:space="preserve">Increase in income or statement of living is associated with changes in characteristics or composition of solid waste. Urban centers in Bangladesh, as in other low income cities of the world have a large proportion of organic waste. As income and standard of living increase, waste also becomes diversified with larger shares of plastic and paper. In </w:t>
      </w:r>
      <w:r w:rsidRPr="00581B13">
        <w:rPr>
          <w:rFonts w:cs="Times New Roman"/>
          <w:b/>
          <w:bCs/>
          <w:color w:val="006600"/>
          <w:szCs w:val="24"/>
          <w:u w:val="single"/>
        </w:rPr>
        <w:t>Dhaka city, percentage of plastic in solid waste has increased from only 1.74% in 1992 to about 4.1% in 2005.</w:t>
      </w:r>
      <w:r>
        <w:rPr>
          <w:rFonts w:cs="Times New Roman"/>
          <w:szCs w:val="24"/>
        </w:rPr>
        <w:t xml:space="preserve"> Thus, there has been a 28.13% increase in the growth of plastic as a solid waste.</w:t>
      </w:r>
    </w:p>
    <w:p w:rsidR="0048464B" w:rsidRDefault="0048464B" w:rsidP="0048464B">
      <w:pPr>
        <w:spacing w:line="276" w:lineRule="auto"/>
        <w:jc w:val="both"/>
        <w:rPr>
          <w:rFonts w:cs="Times New Roman"/>
          <w:szCs w:val="24"/>
        </w:rPr>
      </w:pPr>
      <w:r w:rsidRPr="00581B13">
        <w:rPr>
          <w:rFonts w:cs="Times New Roman"/>
          <w:b/>
          <w:bCs/>
          <w:color w:val="006600"/>
          <w:szCs w:val="24"/>
          <w:u w:val="single"/>
        </w:rPr>
        <w:t xml:space="preserve">Apart from plastic, electric and electronic wastes (e-waste) are also rapidly growing forms of waste, which pose a health hazard to human beings as they contain metals such as mercury, cadmium and lead. </w:t>
      </w:r>
      <w:r>
        <w:rPr>
          <w:rFonts w:cs="Times New Roman"/>
          <w:szCs w:val="24"/>
        </w:rPr>
        <w:t>UNEP (2005) estimated that e-waste from used computers in emerging economies (such as India) would increase by 200 to 500 percent in 2020. In Bangladesh, also e-waste from used computers and mobiles is likely to increase manifold during the next few years.</w:t>
      </w:r>
    </w:p>
    <w:p w:rsidR="0048464B" w:rsidRPr="0099534A" w:rsidRDefault="0048464B" w:rsidP="0048464B">
      <w:pPr>
        <w:spacing w:line="276" w:lineRule="auto"/>
        <w:jc w:val="both"/>
        <w:rPr>
          <w:rFonts w:cs="Times New Roman"/>
          <w:b/>
          <w:i/>
          <w:szCs w:val="24"/>
        </w:rPr>
      </w:pPr>
      <w:r>
        <w:rPr>
          <w:rFonts w:cs="Times New Roman"/>
          <w:b/>
          <w:i/>
          <w:szCs w:val="24"/>
        </w:rPr>
        <w:lastRenderedPageBreak/>
        <w:t>Waste Management in Urban S</w:t>
      </w:r>
      <w:r w:rsidRPr="0099534A">
        <w:rPr>
          <w:rFonts w:cs="Times New Roman"/>
          <w:b/>
          <w:i/>
          <w:szCs w:val="24"/>
        </w:rPr>
        <w:t>lums</w:t>
      </w:r>
    </w:p>
    <w:p w:rsidR="0048464B" w:rsidRDefault="0048464B" w:rsidP="0048464B">
      <w:pPr>
        <w:spacing w:line="276" w:lineRule="auto"/>
        <w:jc w:val="both"/>
        <w:rPr>
          <w:rFonts w:cs="Times New Roman"/>
          <w:szCs w:val="24"/>
        </w:rPr>
      </w:pPr>
      <w:r>
        <w:rPr>
          <w:rFonts w:cs="Times New Roman"/>
          <w:szCs w:val="24"/>
        </w:rPr>
        <w:t xml:space="preserve">Most of these slums are deprived of proper waste collection services. In fact, urban slums area the worst victims of inadequate provisions of public health services due to their illegal settlement and a high density of population in a limited area. Most of the slum households dispose garbage in open spaces. An ADB study (ADB, 2008) found that in Dhaka slums, only 25% of the households uses the fixed places for garbage disposal, while about 58% of the households throw garbage down into the water through gaps in the floors of their houses or into any nearby open spaces. Exposure of slum dwellers to wastes disposed of improperly makes their living condition and health status even worse. </w:t>
      </w:r>
    </w:p>
    <w:p w:rsidR="0048464B" w:rsidRPr="00E03AFA" w:rsidRDefault="0048464B" w:rsidP="003D5A31">
      <w:pPr>
        <w:pStyle w:val="BodyText"/>
        <w:numPr>
          <w:ilvl w:val="2"/>
          <w:numId w:val="266"/>
        </w:numPr>
        <w:spacing w:after="240" w:line="276" w:lineRule="auto"/>
        <w:jc w:val="both"/>
        <w:rPr>
          <w:rFonts w:cs="Times New Roman"/>
          <w:b/>
          <w:szCs w:val="24"/>
        </w:rPr>
      </w:pPr>
      <w:r w:rsidRPr="00E03AFA">
        <w:rPr>
          <w:rFonts w:cs="Times New Roman"/>
          <w:b/>
          <w:szCs w:val="24"/>
        </w:rPr>
        <w:t>Solid Waste Management Strategies under the Delta Plan</w:t>
      </w:r>
    </w:p>
    <w:p w:rsidR="0048464B" w:rsidRDefault="0048464B" w:rsidP="0048464B">
      <w:pPr>
        <w:spacing w:line="276" w:lineRule="auto"/>
        <w:jc w:val="both"/>
        <w:rPr>
          <w:rFonts w:cs="Times New Roman"/>
          <w:szCs w:val="24"/>
        </w:rPr>
      </w:pPr>
      <w:r>
        <w:rPr>
          <w:rFonts w:cs="Times New Roman"/>
          <w:szCs w:val="24"/>
        </w:rPr>
        <w:t>It is now acknowledged that conventional SWM is not sustainable and too costly. It is a centralized management approach, characterized by poor efficiencies, undesirable health impacts, environmental problems and undesirable social consequences (such as informal communities or waste pickers working in unsafe working condition). Integrated Solid Waste Management (ISWM) is the preferred alternative to conventional SWM.  The ISWM refers to “the strategic approach to sustainable management of solid waste covering all sources and all aspects, covering generation, segregation, transfer, sorting, treatment, recovery and disposal in an integrated manner, with an emphasis on maximizing resource use efficiency” (United Nations Environmental Programme). The primary elements of ISWM are shown in Figure 10.7.</w:t>
      </w:r>
    </w:p>
    <w:p w:rsidR="0048464B" w:rsidRDefault="0048464B" w:rsidP="0048464B">
      <w:pPr>
        <w:spacing w:line="276" w:lineRule="auto"/>
        <w:jc w:val="both"/>
        <w:rPr>
          <w:rFonts w:cs="Times New Roman"/>
          <w:szCs w:val="24"/>
        </w:rPr>
      </w:pPr>
      <w:r>
        <w:rPr>
          <w:rFonts w:cs="Times New Roman"/>
          <w:szCs w:val="24"/>
        </w:rPr>
        <w:t>While there is no disagreement about the ISWM hierarchy, management methods need to be selected carefully as the local condition and needs and means of local governments may vary. Other important factors that may influence the selection of management methods include environmental policies and regulations, availability of markets for composts and recyclables, and the process or technology for handling various types of wastes. Effective waste management, therefore, would depend on selection of appropriate management methods. Successful implementation of ISWM would depend on the factors described below.</w:t>
      </w:r>
    </w:p>
    <w:p w:rsidR="0048464B" w:rsidRDefault="0048464B" w:rsidP="0048464B">
      <w:pPr>
        <w:rPr>
          <w:rFonts w:cs="Times New Roman"/>
          <w:b/>
          <w:bCs/>
          <w:szCs w:val="24"/>
        </w:rPr>
      </w:pPr>
      <w:r>
        <w:rPr>
          <w:rFonts w:cs="Times New Roman"/>
          <w:b/>
          <w:bCs/>
          <w:szCs w:val="24"/>
        </w:rPr>
        <w:br w:type="page"/>
      </w:r>
    </w:p>
    <w:p w:rsidR="0048464B" w:rsidRDefault="0048464B" w:rsidP="0048464B">
      <w:pPr>
        <w:rPr>
          <w:rFonts w:cs="Times New Roman"/>
          <w:b/>
          <w:bCs/>
          <w:szCs w:val="24"/>
        </w:rPr>
      </w:pPr>
    </w:p>
    <w:p w:rsidR="0048464B" w:rsidRPr="000855C4" w:rsidRDefault="0048464B" w:rsidP="0048464B">
      <w:pPr>
        <w:jc w:val="both"/>
        <w:rPr>
          <w:b/>
          <w:bCs/>
        </w:rPr>
      </w:pPr>
      <w:r w:rsidRPr="000855C4">
        <w:rPr>
          <w:b/>
          <w:bCs/>
        </w:rPr>
        <w:t>Strategy WSS 12: Integrated Wastewater and Solid Waste Management</w:t>
      </w:r>
    </w:p>
    <w:p w:rsidR="0048464B" w:rsidRPr="000855C4" w:rsidRDefault="0048464B" w:rsidP="0048464B">
      <w:pPr>
        <w:jc w:val="both"/>
        <w:rPr>
          <w:szCs w:val="24"/>
        </w:rPr>
      </w:pPr>
      <w:r w:rsidRPr="000855C4">
        <w:rPr>
          <w:szCs w:val="24"/>
        </w:rPr>
        <w:t xml:space="preserve">The conventional SWM is now a centralized management approach, characterized by poor efficiencies, undesirable health impacts, environmental problems and undesirable social consequences (such as informal communities or waste pickers working in unsafe </w:t>
      </w:r>
      <w:r w:rsidRPr="000855C4">
        <w:t>working</w:t>
      </w:r>
      <w:r w:rsidRPr="000855C4">
        <w:rPr>
          <w:szCs w:val="24"/>
        </w:rPr>
        <w:t xml:space="preserve"> condition. Integrated Solid Waste Management (ISWM) is the preferred alternative to conventional SWM. The ISWM refers to “the strategic approach to sustainable management of solid waste covering all sources and all aspects, covering generation, segregation, transfer, sorting, treatment, recovery and disposal in an integrated manner, with an emphasis on maximizing resource use efficiency”. </w:t>
      </w:r>
    </w:p>
    <w:p w:rsidR="0048464B" w:rsidRPr="000855C4" w:rsidRDefault="0048464B" w:rsidP="0048464B">
      <w:pPr>
        <w:jc w:val="both"/>
        <w:rPr>
          <w:rFonts w:cs="Times New Roman"/>
          <w:bCs/>
          <w:i/>
          <w:szCs w:val="24"/>
        </w:rPr>
      </w:pPr>
      <w:r w:rsidRPr="000855C4">
        <w:rPr>
          <w:rFonts w:cs="Times New Roman"/>
          <w:bCs/>
          <w:i/>
          <w:szCs w:val="24"/>
        </w:rPr>
        <w:t>Sub-strategy WSS 12.1: Strengthen institutional capacity</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 xml:space="preserve">Enactment of Solid Waste Management Act specifying waste management standards, practices, institutional structure etc. </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 xml:space="preserve">Roles and responsibilities of each level of government should be clearly identified and proper coordination mechanism should be developed. </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As the local governments are primarily responsible for SWM, it is necessary to ensure that they have the authority and required resources to implement wastewater and SWM.</w:t>
      </w:r>
    </w:p>
    <w:p w:rsidR="0048464B" w:rsidRPr="000855C4" w:rsidRDefault="0048464B" w:rsidP="0048464B">
      <w:pPr>
        <w:jc w:val="both"/>
        <w:rPr>
          <w:bCs/>
          <w:szCs w:val="24"/>
        </w:rPr>
      </w:pPr>
      <w:r w:rsidRPr="000855C4">
        <w:rPr>
          <w:rFonts w:cs="Times New Roman"/>
          <w:bCs/>
          <w:i/>
          <w:szCs w:val="24"/>
        </w:rPr>
        <w:t>Sub-strategy WSS 12.2: Increase community participation</w:t>
      </w:r>
    </w:p>
    <w:p w:rsidR="0048464B" w:rsidRPr="000855C4" w:rsidRDefault="0048464B" w:rsidP="0048464B">
      <w:pPr>
        <w:jc w:val="both"/>
        <w:rPr>
          <w:rFonts w:cs="Times New Roman"/>
          <w:b/>
          <w:i/>
          <w:szCs w:val="24"/>
        </w:rPr>
      </w:pPr>
      <w:r w:rsidRPr="000855C4">
        <w:rPr>
          <w:rFonts w:cs="Times New Roman"/>
          <w:szCs w:val="24"/>
        </w:rPr>
        <w:t>Community participation in all phases of waste management is essential for implementation of ISWM. A sustainable community-wide education and partnership program will play a significant and long term role in reinforcing the importance of waste reduction, re-use and recycling. The local government authority should work with community organization, non-governmental organization and other stakeholders in order to understand and respond to community priorities in solid waste management. This will include facilitating two-way communication, in which information and ideas are exchanged, public awareness programs etc.</w:t>
      </w:r>
    </w:p>
    <w:p w:rsidR="0048464B" w:rsidRPr="000855C4" w:rsidRDefault="0048464B" w:rsidP="0048464B">
      <w:pPr>
        <w:jc w:val="both"/>
        <w:rPr>
          <w:rFonts w:cs="Times New Roman"/>
          <w:bCs/>
          <w:i/>
          <w:szCs w:val="24"/>
        </w:rPr>
      </w:pPr>
      <w:r w:rsidRPr="000855C4">
        <w:rPr>
          <w:rFonts w:cs="Times New Roman"/>
          <w:bCs/>
          <w:i/>
          <w:szCs w:val="24"/>
        </w:rPr>
        <w:t>Sub-strategy WSS 12.3: Cost recovery and private sector invelvement</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 xml:space="preserve">The local authority can generate revenue through implementation of ‘Polluters Pay’ Principle. The authority can apply user charges to recover a portion of the costs of solid waste management services from waste generators. </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Private sector has the capacity to bring additional and much needed finance to the waste management system. For this it is necessary to identify the services to create viable and profitable businesses. Steps, therefore, should be taken to develop procedures and administrative arrangements necessary to implement participation of private sector in waste management.</w:t>
      </w:r>
    </w:p>
    <w:p w:rsidR="0048464B" w:rsidRPr="000855C4" w:rsidRDefault="0048464B" w:rsidP="0048464B">
      <w:pPr>
        <w:jc w:val="both"/>
        <w:rPr>
          <w:bCs/>
          <w:szCs w:val="24"/>
        </w:rPr>
      </w:pPr>
      <w:r w:rsidRPr="000855C4">
        <w:rPr>
          <w:rFonts w:cs="Times New Roman"/>
          <w:bCs/>
          <w:i/>
          <w:szCs w:val="24"/>
        </w:rPr>
        <w:t xml:space="preserve">Sub-strategy WSS 12.4: increase </w:t>
      </w:r>
      <w:r w:rsidRPr="000855C4">
        <w:rPr>
          <w:bCs/>
          <w:i/>
          <w:szCs w:val="24"/>
        </w:rPr>
        <w:t>technical capacity with technology</w:t>
      </w:r>
    </w:p>
    <w:p w:rsidR="0048464B" w:rsidRPr="000855C4" w:rsidRDefault="0048464B" w:rsidP="0048464B">
      <w:pPr>
        <w:jc w:val="both"/>
        <w:rPr>
          <w:rFonts w:cs="Times New Roman"/>
          <w:szCs w:val="24"/>
        </w:rPr>
      </w:pPr>
      <w:r w:rsidRPr="000855C4">
        <w:rPr>
          <w:rFonts w:cs="Times New Roman"/>
          <w:szCs w:val="24"/>
        </w:rPr>
        <w:lastRenderedPageBreak/>
        <w:t>Technical capacity needs will include (but not limited to) the following aspects:</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Knowledge of the factors in siting and design considerations of collection and disposal facilities.</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Conduct of waste characterization studies</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Standards, compliance and enforcement techniques.</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Developing waste minimization and diversion programs.</w:t>
      </w:r>
    </w:p>
    <w:p w:rsidR="0048464B" w:rsidRPr="000855C4" w:rsidRDefault="0048464B" w:rsidP="003D5A31">
      <w:pPr>
        <w:pStyle w:val="ListParagraph"/>
        <w:numPr>
          <w:ilvl w:val="0"/>
          <w:numId w:val="116"/>
        </w:numPr>
        <w:spacing w:line="276" w:lineRule="auto"/>
        <w:ind w:left="360"/>
        <w:jc w:val="both"/>
        <w:rPr>
          <w:szCs w:val="24"/>
        </w:rPr>
      </w:pPr>
      <w:r w:rsidRPr="000855C4">
        <w:rPr>
          <w:szCs w:val="24"/>
        </w:rPr>
        <w:t>Assessing waste treatment and recycling technologies, etc.</w:t>
      </w:r>
    </w:p>
    <w:p w:rsidR="0048464B" w:rsidRPr="000855C4" w:rsidRDefault="0048464B" w:rsidP="0048464B">
      <w:pPr>
        <w:jc w:val="both"/>
        <w:rPr>
          <w:rFonts w:cs="Times New Roman"/>
          <w:bCs/>
          <w:i/>
          <w:szCs w:val="24"/>
        </w:rPr>
      </w:pPr>
      <w:r w:rsidRPr="000855C4">
        <w:rPr>
          <w:rFonts w:cs="Times New Roman"/>
          <w:bCs/>
          <w:i/>
          <w:szCs w:val="24"/>
        </w:rPr>
        <w:t>Sub-strategy WSS 12.5: Land Use Planning</w:t>
      </w:r>
    </w:p>
    <w:p w:rsidR="0048464B" w:rsidRPr="000855C4" w:rsidRDefault="0048464B" w:rsidP="0048464B">
      <w:pPr>
        <w:jc w:val="both"/>
      </w:pPr>
      <w:r w:rsidRPr="000855C4">
        <w:t>Waste water and solid waste management should be recognized as an integral part of land use or urban development planning. Land use or urban development plans should incorporate the objectives of solid waste management policy and address the issue of space requirements for carrying out various SWM activities including space for collection and transfer stations, landfill sites, sites for recycling and energy production activities etc</w:t>
      </w:r>
    </w:p>
    <w:p w:rsidR="0048464B" w:rsidRPr="000855C4" w:rsidRDefault="0048464B" w:rsidP="0048464B">
      <w:pPr>
        <w:jc w:val="both"/>
        <w:rPr>
          <w:b/>
          <w:bCs/>
        </w:rPr>
      </w:pPr>
      <w:r w:rsidRPr="000855C4">
        <w:rPr>
          <w:b/>
          <w:bCs/>
        </w:rPr>
        <w:t>Strategy WSS 13: Radioactive Waste Management</w:t>
      </w:r>
    </w:p>
    <w:p w:rsidR="0048464B" w:rsidRPr="000855C4" w:rsidRDefault="0048464B" w:rsidP="003D5A31">
      <w:pPr>
        <w:pStyle w:val="ListParagraph"/>
        <w:numPr>
          <w:ilvl w:val="0"/>
          <w:numId w:val="267"/>
        </w:numPr>
        <w:autoSpaceDE w:val="0"/>
        <w:autoSpaceDN w:val="0"/>
        <w:adjustRightInd w:val="0"/>
        <w:spacing w:after="0" w:line="276" w:lineRule="auto"/>
        <w:ind w:left="450" w:hanging="450"/>
        <w:jc w:val="both"/>
        <w:rPr>
          <w:rFonts w:cs="Segoe UI"/>
          <w:szCs w:val="19"/>
        </w:rPr>
      </w:pPr>
      <w:r w:rsidRPr="000855C4">
        <w:rPr>
          <w:rFonts w:cs="Segoe UI"/>
          <w:szCs w:val="19"/>
        </w:rPr>
        <w:t>The national waste management policy should form the basis for legislation and regulation of waste management activities. The policy may state preference for one management option over another (e.g. storage for decay then disposal as nonradioactive waste, versus immediate disposal as radioactive waste) and define the funding and management responsibilities for the programmes and the legal/jurisdictional roles for various government departments.</w:t>
      </w:r>
    </w:p>
    <w:p w:rsidR="0048464B" w:rsidRPr="000855C4" w:rsidRDefault="0048464B" w:rsidP="0048464B">
      <w:pPr>
        <w:autoSpaceDE w:val="0"/>
        <w:autoSpaceDN w:val="0"/>
        <w:adjustRightInd w:val="0"/>
        <w:spacing w:after="0" w:line="240" w:lineRule="auto"/>
        <w:jc w:val="both"/>
        <w:rPr>
          <w:rFonts w:cs="Segoe UI"/>
          <w:szCs w:val="19"/>
        </w:rPr>
      </w:pPr>
    </w:p>
    <w:p w:rsidR="0048464B" w:rsidRPr="000855C4" w:rsidRDefault="0048464B" w:rsidP="003D5A31">
      <w:pPr>
        <w:pStyle w:val="ListParagraph"/>
        <w:numPr>
          <w:ilvl w:val="0"/>
          <w:numId w:val="267"/>
        </w:numPr>
        <w:autoSpaceDE w:val="0"/>
        <w:autoSpaceDN w:val="0"/>
        <w:adjustRightInd w:val="0"/>
        <w:spacing w:after="0" w:line="276" w:lineRule="auto"/>
        <w:ind w:left="450" w:hanging="450"/>
        <w:jc w:val="both"/>
        <w:rPr>
          <w:rFonts w:cs="Segoe UI"/>
          <w:szCs w:val="19"/>
        </w:rPr>
      </w:pPr>
      <w:r w:rsidRPr="000855C4">
        <w:rPr>
          <w:rFonts w:cs="Segoe UI"/>
          <w:szCs w:val="19"/>
        </w:rPr>
        <w:t>Planning, implementing, managing and enforcing a waste management programme requires careful thought. Several factors must be taken into consideration:</w:t>
      </w:r>
    </w:p>
    <w:p w:rsidR="0048464B" w:rsidRPr="000855C4" w:rsidRDefault="0048464B" w:rsidP="0048464B">
      <w:pPr>
        <w:autoSpaceDE w:val="0"/>
        <w:autoSpaceDN w:val="0"/>
        <w:adjustRightInd w:val="0"/>
        <w:spacing w:after="0"/>
        <w:jc w:val="both"/>
        <w:rPr>
          <w:rFonts w:cs="Segoe UI"/>
          <w:szCs w:val="19"/>
        </w:rPr>
      </w:pPr>
      <w:r w:rsidRPr="000855C4">
        <w:rPr>
          <w:rFonts w:cs="Segoe UI"/>
          <w:szCs w:val="19"/>
        </w:rPr>
        <w:t>— Care should be taken to minimize risk both to the natural environment and to the public.</w:t>
      </w:r>
    </w:p>
    <w:p w:rsidR="0048464B" w:rsidRPr="000855C4" w:rsidRDefault="0048464B" w:rsidP="0048464B">
      <w:pPr>
        <w:autoSpaceDE w:val="0"/>
        <w:autoSpaceDN w:val="0"/>
        <w:adjustRightInd w:val="0"/>
        <w:spacing w:after="0"/>
        <w:jc w:val="both"/>
        <w:rPr>
          <w:rFonts w:cs="Segoe UI"/>
          <w:szCs w:val="19"/>
        </w:rPr>
      </w:pPr>
      <w:r w:rsidRPr="000855C4">
        <w:rPr>
          <w:rFonts w:cs="Segoe UI"/>
          <w:szCs w:val="19"/>
        </w:rPr>
        <w:t>— Where it is not yet possible to undertake all of the management steps from waste origination to final disposal, it is advisable that steps be taken to avoid closing off later options, since some may require substantial additional cost and radiation dose penalties.</w:t>
      </w:r>
    </w:p>
    <w:p w:rsidR="0048464B" w:rsidRPr="000855C4" w:rsidRDefault="0048464B" w:rsidP="0048464B">
      <w:pPr>
        <w:autoSpaceDE w:val="0"/>
        <w:autoSpaceDN w:val="0"/>
        <w:adjustRightInd w:val="0"/>
        <w:spacing w:after="0"/>
        <w:jc w:val="both"/>
        <w:rPr>
          <w:rFonts w:cs="Segoe UI"/>
          <w:szCs w:val="19"/>
        </w:rPr>
      </w:pPr>
      <w:r w:rsidRPr="000855C4">
        <w:rPr>
          <w:rFonts w:cs="Segoe UI"/>
          <w:szCs w:val="19"/>
        </w:rPr>
        <w:t>— If the dilute and disperse option open for some aqueous and gaseous wastes is not appropriate, strategies incorporating confinement and concentration of the waste should be considered.</w:t>
      </w:r>
    </w:p>
    <w:p w:rsidR="0048464B" w:rsidRPr="000855C4" w:rsidRDefault="0048464B" w:rsidP="0048464B">
      <w:pPr>
        <w:autoSpaceDE w:val="0"/>
        <w:autoSpaceDN w:val="0"/>
        <w:adjustRightInd w:val="0"/>
        <w:spacing w:after="0"/>
        <w:jc w:val="both"/>
        <w:rPr>
          <w:rFonts w:cs="Segoe UI"/>
          <w:szCs w:val="19"/>
        </w:rPr>
      </w:pPr>
      <w:r w:rsidRPr="000855C4">
        <w:rPr>
          <w:rFonts w:cs="Segoe UI"/>
          <w:szCs w:val="19"/>
        </w:rPr>
        <w:t>— The preferred processes should be considered taking into consideration the local availability of equipment and resources. This is especially true in developing countries, where highly sophisticated equipment may be difficult to obtain and maintain in a proper working condition.</w:t>
      </w:r>
    </w:p>
    <w:p w:rsidR="0048464B" w:rsidRPr="000855C4" w:rsidRDefault="0048464B" w:rsidP="003D5A31">
      <w:pPr>
        <w:pStyle w:val="ListParagraph"/>
        <w:numPr>
          <w:ilvl w:val="0"/>
          <w:numId w:val="267"/>
        </w:numPr>
        <w:autoSpaceDE w:val="0"/>
        <w:autoSpaceDN w:val="0"/>
        <w:adjustRightInd w:val="0"/>
        <w:spacing w:after="0" w:line="276" w:lineRule="auto"/>
        <w:ind w:left="450" w:hanging="450"/>
        <w:jc w:val="both"/>
        <w:rPr>
          <w:rFonts w:cs="Segoe UI"/>
          <w:szCs w:val="19"/>
        </w:rPr>
      </w:pPr>
      <w:r w:rsidRPr="000855C4">
        <w:rPr>
          <w:rFonts w:cs="Segoe UI"/>
          <w:szCs w:val="19"/>
        </w:rPr>
        <w:t>Minimization of radioactive waste generation is a vital requirement that must be addressed at all stages of the design and operation of facilities</w:t>
      </w:r>
    </w:p>
    <w:p w:rsidR="0048464B" w:rsidRPr="000855C4" w:rsidRDefault="0048464B" w:rsidP="003D5A31">
      <w:pPr>
        <w:pStyle w:val="ListParagraph"/>
        <w:numPr>
          <w:ilvl w:val="0"/>
          <w:numId w:val="267"/>
        </w:numPr>
        <w:autoSpaceDE w:val="0"/>
        <w:autoSpaceDN w:val="0"/>
        <w:adjustRightInd w:val="0"/>
        <w:spacing w:after="0" w:line="276" w:lineRule="auto"/>
        <w:ind w:left="450" w:hanging="450"/>
        <w:jc w:val="both"/>
        <w:rPr>
          <w:rFonts w:cs="Times New Roman"/>
          <w:szCs w:val="24"/>
        </w:rPr>
      </w:pPr>
      <w:r w:rsidRPr="000855C4">
        <w:rPr>
          <w:rFonts w:cs="Segoe UI"/>
          <w:szCs w:val="19"/>
        </w:rPr>
        <w:t>Decay is the only natural way of reducing radioactivity. Since radionuclides have decay rates ranging from days to thousands of years, proper segregation of wastes depending on their half-lives, and separate treatment and conditioning of these wastes, is an important factor in the overall scheme of radioactive.</w:t>
      </w:r>
    </w:p>
    <w:p w:rsidR="0048464B" w:rsidRDefault="0048464B" w:rsidP="0048464B">
      <w:pPr>
        <w:rPr>
          <w:rFonts w:cs="Times New Roman"/>
          <w:szCs w:val="24"/>
        </w:rPr>
      </w:pPr>
      <w:r>
        <w:rPr>
          <w:rFonts w:cs="Times New Roman"/>
          <w:szCs w:val="24"/>
        </w:rPr>
        <w:lastRenderedPageBreak/>
        <w:br w:type="page"/>
      </w:r>
    </w:p>
    <w:p w:rsidR="0048464B" w:rsidRPr="00EE4E55" w:rsidRDefault="0048464B" w:rsidP="003D5A31">
      <w:pPr>
        <w:pStyle w:val="Heading2"/>
        <w:numPr>
          <w:ilvl w:val="1"/>
          <w:numId w:val="262"/>
        </w:numPr>
        <w:rPr>
          <w:color w:val="FF0000"/>
        </w:rPr>
      </w:pPr>
      <w:bookmarkStart w:id="781" w:name="_Toc464328807"/>
      <w:r w:rsidRPr="00EE4E55">
        <w:rPr>
          <w:color w:val="FF0000"/>
        </w:rPr>
        <w:lastRenderedPageBreak/>
        <w:t xml:space="preserve"> </w:t>
      </w:r>
      <w:r w:rsidRPr="00EE4E55">
        <w:t>Storm-Water and Urban Drainage Management</w:t>
      </w:r>
      <w:bookmarkEnd w:id="781"/>
    </w:p>
    <w:p w:rsidR="0048464B" w:rsidRPr="00CF00E1" w:rsidRDefault="0048464B" w:rsidP="0048464B">
      <w:pPr>
        <w:spacing w:line="276" w:lineRule="auto"/>
        <w:jc w:val="both"/>
        <w:rPr>
          <w:rFonts w:cs="Times New Roman"/>
        </w:rPr>
      </w:pPr>
      <w:r w:rsidRPr="00CF00E1">
        <w:rPr>
          <w:rFonts w:cs="Times New Roman"/>
        </w:rPr>
        <w:t>Apart from flooding, water-logging has also become a major problem of urban areas, especially the big cities. The problem becomes quite serious during annual monsoon with widespread and lengthy disruption of roads, telecommunications, electricity supply and water supply. In September, 2004 continuous rainfall for about 48 hours inundated most parts of Dhaka city. A record 315 millimeters of rainfall in the city on 12</w:t>
      </w:r>
      <w:r w:rsidRPr="00CF00E1">
        <w:rPr>
          <w:rFonts w:cs="Times New Roman"/>
          <w:vertAlign w:val="superscript"/>
        </w:rPr>
        <w:t>th</w:t>
      </w:r>
      <w:r w:rsidRPr="00CF00E1">
        <w:rPr>
          <w:rFonts w:cs="Times New Roman"/>
        </w:rPr>
        <w:t xml:space="preserve"> and 13</w:t>
      </w:r>
      <w:r w:rsidRPr="00CF00E1">
        <w:rPr>
          <w:rFonts w:cs="Times New Roman"/>
          <w:vertAlign w:val="superscript"/>
        </w:rPr>
        <w:t>th</w:t>
      </w:r>
      <w:r w:rsidRPr="00CF00E1">
        <w:rPr>
          <w:rFonts w:cs="Times New Roman"/>
        </w:rPr>
        <w:t xml:space="preserve"> September disrupted business and economic activities and forced the suspension of Dhaka’s Stock Exchange. A report by Dhaka’s Water and Sewerage Authority (DWASA) indicated that the heavy downpour affected 250 schools and 681 garment factories in addition to shopping malls, business houses and various other factories.</w:t>
      </w:r>
    </w:p>
    <w:p w:rsidR="0048464B" w:rsidRPr="00CF00E1" w:rsidRDefault="0048464B" w:rsidP="0048464B">
      <w:pPr>
        <w:spacing w:line="276" w:lineRule="auto"/>
        <w:jc w:val="both"/>
        <w:rPr>
          <w:rFonts w:cs="Times New Roman"/>
        </w:rPr>
      </w:pPr>
      <w:r w:rsidRPr="00CF00E1">
        <w:rPr>
          <w:rFonts w:cs="Times New Roman"/>
          <w:bCs/>
        </w:rPr>
        <w:t>Hazard potential of urban areas will also significantly increase due to climate change. Adaptation will require policies and investments to make urban areas resilient to the effects of climate change including loss of property, habitat, and infrastructure. Formulation of effective adaptation measures, however, would require a better understanding of the factors responsible for flooding and water-logging in urban areas, urban drainage systems and their performances, and the issues and challenges that should be addressed to develop sustainable urban drainage systems in the country.</w:t>
      </w:r>
    </w:p>
    <w:p w:rsidR="0048464B" w:rsidRPr="00E03AFA" w:rsidRDefault="0048464B" w:rsidP="003D5A31">
      <w:pPr>
        <w:pStyle w:val="BodyText"/>
        <w:numPr>
          <w:ilvl w:val="2"/>
          <w:numId w:val="268"/>
        </w:numPr>
        <w:spacing w:after="240" w:line="276" w:lineRule="auto"/>
        <w:jc w:val="both"/>
        <w:rPr>
          <w:rFonts w:cs="Times New Roman"/>
          <w:b/>
          <w:szCs w:val="24"/>
        </w:rPr>
      </w:pPr>
      <w:r w:rsidRPr="00E03AFA">
        <w:rPr>
          <w:rFonts w:cs="Times New Roman"/>
          <w:b/>
          <w:szCs w:val="24"/>
        </w:rPr>
        <w:t>Causes of Water-logging</w:t>
      </w:r>
    </w:p>
    <w:p w:rsidR="0048464B" w:rsidRPr="00CF00E1" w:rsidRDefault="0048464B" w:rsidP="0048464B">
      <w:pPr>
        <w:spacing w:line="276" w:lineRule="auto"/>
        <w:jc w:val="both"/>
        <w:rPr>
          <w:rFonts w:cs="Times New Roman"/>
        </w:rPr>
      </w:pPr>
      <w:r w:rsidRPr="00CF00E1">
        <w:rPr>
          <w:rFonts w:cs="Times New Roman"/>
        </w:rPr>
        <w:t>There are two types of city inundation namely urban floods and river floods. Urban flo</w:t>
      </w:r>
      <w:r>
        <w:rPr>
          <w:rFonts w:cs="Times New Roman"/>
        </w:rPr>
        <w:t xml:space="preserve">ods are classified as the city </w:t>
      </w:r>
      <w:r w:rsidRPr="00CF00E1">
        <w:rPr>
          <w:rFonts w:cs="Times New Roman"/>
        </w:rPr>
        <w:t>inundation caused by drainage congestion and water logging.  And river floods are classified as the city inundation caused by river floods. Urban flooding in the built areas of Dhaka city is a major concern and a matter of serious discussion among the city dwellers. It causes unbearable sufferi</w:t>
      </w:r>
      <w:r>
        <w:rPr>
          <w:rFonts w:cs="Times New Roman"/>
        </w:rPr>
        <w:t xml:space="preserve">ngs for the people by creating </w:t>
      </w:r>
      <w:r w:rsidRPr="00CF00E1">
        <w:rPr>
          <w:rFonts w:cs="Times New Roman"/>
        </w:rPr>
        <w:t>difficult situation for traffic movement as well as unhy</w:t>
      </w:r>
      <w:r>
        <w:rPr>
          <w:rFonts w:cs="Times New Roman"/>
        </w:rPr>
        <w:t xml:space="preserve">gienic environment </w:t>
      </w:r>
      <w:r w:rsidRPr="00CF00E1">
        <w:rPr>
          <w:rFonts w:cs="Times New Roman"/>
        </w:rPr>
        <w:t xml:space="preserve">that has long lasting   consequences.  Following are the main reasons for urban flooding in Dhaka city: </w:t>
      </w:r>
    </w:p>
    <w:p w:rsidR="0048464B" w:rsidRPr="00CF00E1" w:rsidRDefault="0048464B" w:rsidP="0048464B">
      <w:pPr>
        <w:spacing w:after="120" w:line="276" w:lineRule="auto"/>
        <w:rPr>
          <w:rFonts w:cs="Times New Roman"/>
        </w:rPr>
      </w:pPr>
      <w:r w:rsidRPr="00CF00E1">
        <w:rPr>
          <w:rFonts w:cs="Times New Roman"/>
        </w:rPr>
        <w:t xml:space="preserve">    •     Increase in covered areas causing higher rainfall run-off volume; </w:t>
      </w:r>
    </w:p>
    <w:p w:rsidR="0048464B" w:rsidRPr="00CF00E1" w:rsidRDefault="0048464B" w:rsidP="0048464B">
      <w:pPr>
        <w:spacing w:after="120" w:line="276" w:lineRule="auto"/>
        <w:rPr>
          <w:rFonts w:cs="Times New Roman"/>
        </w:rPr>
      </w:pPr>
      <w:r w:rsidRPr="00CF00E1">
        <w:rPr>
          <w:rFonts w:cs="Times New Roman"/>
        </w:rPr>
        <w:t xml:space="preserve">    •     Unplanned and uncoordinated development of the city; </w:t>
      </w:r>
    </w:p>
    <w:p w:rsidR="0048464B" w:rsidRPr="00CF00E1" w:rsidRDefault="0048464B" w:rsidP="0048464B">
      <w:pPr>
        <w:spacing w:after="120" w:line="276" w:lineRule="auto"/>
        <w:ind w:left="630" w:hanging="540"/>
        <w:rPr>
          <w:rFonts w:cs="Times New Roman"/>
        </w:rPr>
      </w:pPr>
      <w:r w:rsidRPr="00CF00E1">
        <w:rPr>
          <w:rFonts w:cs="Times New Roman"/>
        </w:rPr>
        <w:t xml:space="preserve">  •    Continuous filling of wet lands for expansion of the </w:t>
      </w:r>
      <w:r>
        <w:rPr>
          <w:rFonts w:cs="Times New Roman"/>
        </w:rPr>
        <w:t xml:space="preserve">city both by the public sector </w:t>
      </w:r>
      <w:r w:rsidRPr="00CF00E1">
        <w:rPr>
          <w:rFonts w:cs="Times New Roman"/>
        </w:rPr>
        <w:t xml:space="preserve">and private organizations; </w:t>
      </w:r>
    </w:p>
    <w:p w:rsidR="0048464B" w:rsidRPr="00CF00E1" w:rsidRDefault="0048464B" w:rsidP="0048464B">
      <w:pPr>
        <w:spacing w:after="120" w:line="276" w:lineRule="auto"/>
        <w:ind w:left="630" w:hanging="630"/>
        <w:rPr>
          <w:rFonts w:cs="Times New Roman"/>
        </w:rPr>
      </w:pPr>
      <w:r w:rsidRPr="00CF00E1">
        <w:rPr>
          <w:rFonts w:cs="Times New Roman"/>
        </w:rPr>
        <w:t xml:space="preserve">    •   Unauthorized and illegal occupation and destruction of natural drainage system and      retention basins; </w:t>
      </w:r>
    </w:p>
    <w:p w:rsidR="0048464B" w:rsidRPr="00CF00E1" w:rsidRDefault="0048464B" w:rsidP="0048464B">
      <w:pPr>
        <w:spacing w:after="120" w:line="276" w:lineRule="auto"/>
        <w:rPr>
          <w:rFonts w:cs="Times New Roman"/>
        </w:rPr>
      </w:pPr>
      <w:r w:rsidRPr="00CF00E1">
        <w:rPr>
          <w:rFonts w:cs="Times New Roman"/>
        </w:rPr>
        <w:t xml:space="preserve">    •     Inadequate storm water drainage facilities; </w:t>
      </w:r>
    </w:p>
    <w:p w:rsidR="0048464B" w:rsidRPr="00CF00E1" w:rsidRDefault="0048464B" w:rsidP="0048464B">
      <w:pPr>
        <w:spacing w:after="120" w:line="276" w:lineRule="auto"/>
        <w:ind w:left="630" w:hanging="630"/>
        <w:rPr>
          <w:rFonts w:cs="Times New Roman"/>
        </w:rPr>
      </w:pPr>
      <w:r w:rsidRPr="00CF00E1">
        <w:rPr>
          <w:rFonts w:cs="Times New Roman"/>
        </w:rPr>
        <w:t xml:space="preserve">    •     Clogging of drainage channels and sewer lines due to indiscriminate dumping of solid wastes and inadequate cleaning of sewers, catch pits, etc.; and </w:t>
      </w:r>
    </w:p>
    <w:p w:rsidR="0048464B" w:rsidRPr="00CF00E1" w:rsidRDefault="0048464B" w:rsidP="0048464B">
      <w:pPr>
        <w:spacing w:after="120" w:line="276" w:lineRule="auto"/>
        <w:rPr>
          <w:rFonts w:cs="Times New Roman"/>
        </w:rPr>
      </w:pPr>
      <w:r w:rsidRPr="00CF00E1">
        <w:rPr>
          <w:rFonts w:cs="Times New Roman"/>
        </w:rPr>
        <w:lastRenderedPageBreak/>
        <w:t xml:space="preserve">    •     High water level in the peripheral river system. </w:t>
      </w:r>
    </w:p>
    <w:p w:rsidR="0048464B" w:rsidRPr="00CF00E1" w:rsidRDefault="0048464B" w:rsidP="0048464B">
      <w:pPr>
        <w:spacing w:line="276" w:lineRule="auto"/>
        <w:jc w:val="both"/>
        <w:rPr>
          <w:rFonts w:cs="Times New Roman"/>
        </w:rPr>
      </w:pPr>
      <w:r w:rsidRPr="00CF00E1">
        <w:rPr>
          <w:rFonts w:cs="Times New Roman"/>
        </w:rPr>
        <w:t>The disappearance of the natural drainage system is one of the main causes for water logging. Rapid population growth and unplanned development, unplanned land filling to develop new residential areas, uncontrolled and haphazard disposal of solid wastes and garbage into the existing drainage system, and encroachment on lakes, khals/canals and rivers with unauthorized construction are the main activities that can be linked to the disappearance of natural drainage system.</w:t>
      </w:r>
    </w:p>
    <w:p w:rsidR="0048464B" w:rsidRPr="00E03AFA" w:rsidRDefault="0048464B" w:rsidP="003D5A31">
      <w:pPr>
        <w:pStyle w:val="BodyText"/>
        <w:numPr>
          <w:ilvl w:val="2"/>
          <w:numId w:val="268"/>
        </w:numPr>
        <w:spacing w:after="240" w:line="276" w:lineRule="auto"/>
        <w:jc w:val="both"/>
        <w:rPr>
          <w:rFonts w:cs="Times New Roman"/>
          <w:b/>
          <w:szCs w:val="24"/>
        </w:rPr>
      </w:pPr>
      <w:r w:rsidRPr="00E03AFA">
        <w:rPr>
          <w:rFonts w:cs="Times New Roman"/>
          <w:b/>
          <w:szCs w:val="24"/>
        </w:rPr>
        <w:t>Drainage Network</w:t>
      </w:r>
    </w:p>
    <w:p w:rsidR="0048464B" w:rsidRPr="00CF00E1" w:rsidRDefault="0048464B" w:rsidP="0048464B">
      <w:pPr>
        <w:spacing w:line="276" w:lineRule="auto"/>
        <w:jc w:val="both"/>
        <w:rPr>
          <w:rFonts w:cs="Times New Roman"/>
        </w:rPr>
      </w:pPr>
      <w:r w:rsidRPr="00CF00E1">
        <w:rPr>
          <w:rFonts w:cs="Times New Roman"/>
        </w:rPr>
        <w:t>Drainage is defined as “the removable of unwanted water from human settlement”. Unwanted water such as storm runoff and flood water from seasonal rains, and the used domestic waste water (sullage) need to be removed from human settlements because of their potential impact on health and well-being of the people. Such water, if not removed properly would cause inconvenience, water-logging and health risks.</w:t>
      </w:r>
    </w:p>
    <w:p w:rsidR="0048464B" w:rsidRPr="00CF00E1" w:rsidRDefault="0048464B" w:rsidP="0048464B">
      <w:pPr>
        <w:shd w:val="clear" w:color="auto" w:fill="FFFFFF"/>
        <w:spacing w:line="276" w:lineRule="auto"/>
        <w:ind w:right="250"/>
        <w:jc w:val="both"/>
        <w:rPr>
          <w:rFonts w:eastAsia="Times New Roman" w:cs="Times New Roman"/>
          <w:color w:val="000000"/>
          <w:lang w:eastAsia="en-GB"/>
        </w:rPr>
      </w:pPr>
      <w:r w:rsidRPr="00CF00E1">
        <w:rPr>
          <w:rFonts w:eastAsia="Times New Roman" w:cs="Times New Roman"/>
          <w:color w:val="000000"/>
          <w:lang w:eastAsia="en-GB"/>
        </w:rPr>
        <w:t>Drainage can be either natural or artificial. Many areas have some natural drainage which means the excess water flow to the lakes and rivers. Natural drainage, however, is often inadequate and artificial or man-made drainage is required. There are two types of artificial drainage: surface drainage and subsurface drainage.</w:t>
      </w:r>
    </w:p>
    <w:p w:rsidR="0048464B" w:rsidRDefault="0048464B" w:rsidP="0048464B">
      <w:pPr>
        <w:shd w:val="clear" w:color="auto" w:fill="FFFFFF"/>
        <w:spacing w:line="276" w:lineRule="auto"/>
        <w:ind w:right="250"/>
        <w:jc w:val="both"/>
        <w:rPr>
          <w:rFonts w:eastAsia="Times New Roman" w:cs="Times New Roman"/>
          <w:color w:val="000000"/>
          <w:lang w:eastAsia="en-GB"/>
        </w:rPr>
      </w:pPr>
      <w:r w:rsidRPr="00CF00E1">
        <w:rPr>
          <w:rFonts w:eastAsia="Times New Roman" w:cs="Times New Roman"/>
          <w:color w:val="000000"/>
          <w:lang w:eastAsia="en-GB"/>
        </w:rPr>
        <w:t>Surface drainage is the removal of excess water from the surface of the land. This is normally accomplished by shallow ditches, also called open drains. The shallow ditches discharge into larger and deeper collector drains. In order to facilitate the flow of excess water toward the drains an artificial slope is maintained throughout the planned area. Subsurface drainage is the removal of water from the root zone. It is accomplished by deep open drains or buried pipe drains.</w:t>
      </w:r>
    </w:p>
    <w:p w:rsidR="0048464B" w:rsidRPr="00E03AFA" w:rsidRDefault="0048464B" w:rsidP="003D5A31">
      <w:pPr>
        <w:pStyle w:val="BodyText"/>
        <w:numPr>
          <w:ilvl w:val="2"/>
          <w:numId w:val="268"/>
        </w:numPr>
        <w:spacing w:after="240" w:line="276" w:lineRule="auto"/>
        <w:jc w:val="both"/>
        <w:rPr>
          <w:rFonts w:cs="Times New Roman"/>
          <w:b/>
          <w:szCs w:val="24"/>
        </w:rPr>
      </w:pPr>
      <w:r>
        <w:rPr>
          <w:rFonts w:cs="Times New Roman"/>
          <w:b/>
          <w:szCs w:val="24"/>
        </w:rPr>
        <w:t xml:space="preserve"> </w:t>
      </w:r>
      <w:r w:rsidRPr="00E03AFA">
        <w:rPr>
          <w:rFonts w:cs="Times New Roman"/>
          <w:b/>
          <w:szCs w:val="24"/>
        </w:rPr>
        <w:t>Drainage Network of Dhaka</w:t>
      </w:r>
    </w:p>
    <w:p w:rsidR="0048464B" w:rsidRPr="0099534A" w:rsidRDefault="0048464B" w:rsidP="0048464B">
      <w:pPr>
        <w:spacing w:line="276" w:lineRule="auto"/>
        <w:rPr>
          <w:rFonts w:cs="Times New Roman"/>
          <w:b/>
          <w:i/>
        </w:rPr>
      </w:pPr>
      <w:r>
        <w:rPr>
          <w:rFonts w:cs="Times New Roman"/>
          <w:b/>
          <w:bCs/>
          <w:i/>
        </w:rPr>
        <w:t>Natural Drainage S</w:t>
      </w:r>
      <w:r w:rsidRPr="0099534A">
        <w:rPr>
          <w:rFonts w:cs="Times New Roman"/>
          <w:b/>
          <w:bCs/>
          <w:i/>
        </w:rPr>
        <w:t>ystem</w:t>
      </w:r>
    </w:p>
    <w:p w:rsidR="0048464B" w:rsidRPr="00CF00E1" w:rsidRDefault="0048464B" w:rsidP="0048464B">
      <w:pPr>
        <w:spacing w:line="276" w:lineRule="auto"/>
        <w:jc w:val="both"/>
        <w:rPr>
          <w:rFonts w:eastAsia="Times New Roman" w:cs="Times New Roman"/>
          <w:color w:val="000000"/>
          <w:lang w:eastAsia="en-GB"/>
        </w:rPr>
      </w:pPr>
      <w:r w:rsidRPr="00CF00E1">
        <w:rPr>
          <w:rFonts w:eastAsia="Times New Roman" w:cs="Times New Roman"/>
          <w:color w:val="000000"/>
          <w:lang w:eastAsia="en-GB"/>
        </w:rPr>
        <w:t>Natural water bodies play an important role in the drainage system of any area. The water body performs the functions of water reservoir and the discharge sites of artificial drains. The natural drainage system can be divided into two types-Channel and Storage area. Dhaka had an extensive system of rivers, canals, lakes and ponds scattered and crisscrossing the city. Water channels like the Dholai Khal, the Gerani Khal, the Segunbagich</w:t>
      </w:r>
      <w:r>
        <w:rPr>
          <w:rFonts w:eastAsia="Times New Roman" w:cs="Times New Roman"/>
          <w:color w:val="000000"/>
          <w:lang w:eastAsia="en-GB"/>
        </w:rPr>
        <w:t>a Khal or the Begun Bari Khal (Table 10.32</w:t>
      </w:r>
      <w:r w:rsidRPr="00CF00E1">
        <w:rPr>
          <w:rFonts w:eastAsia="Times New Roman" w:cs="Times New Roman"/>
          <w:color w:val="000000"/>
          <w:lang w:eastAsia="en-GB"/>
        </w:rPr>
        <w:t xml:space="preserve">) played an important role in the indigenous city life. These channels not only served as drainage networks but also served as good means of transportation. Khals and wetlands served as the backbone of the gravity drainage system of the city. But the pressure of urban development and consequent filling up of water bodies and flood plains drastically reduced the </w:t>
      </w:r>
      <w:r w:rsidRPr="00CF00E1">
        <w:rPr>
          <w:rFonts w:eastAsia="Times New Roman" w:cs="Times New Roman"/>
          <w:color w:val="000000"/>
          <w:lang w:eastAsia="en-GB"/>
        </w:rPr>
        <w:lastRenderedPageBreak/>
        <w:t>natural water retention and water carrying capacity and aggravated the problems of water-logging in the city.</w:t>
      </w:r>
    </w:p>
    <w:p w:rsidR="0048464B" w:rsidRPr="00101CE9" w:rsidRDefault="0048464B" w:rsidP="0048464B">
      <w:pPr>
        <w:jc w:val="center"/>
        <w:rPr>
          <w:b/>
        </w:rPr>
      </w:pPr>
      <w:bookmarkStart w:id="782" w:name="_Toc464329011"/>
      <w:r w:rsidRPr="00101CE9">
        <w:rPr>
          <w:b/>
        </w:rPr>
        <w:t>Table 10.32: Characteristics of Major Khals in Dhaka City</w:t>
      </w:r>
      <w:bookmarkEnd w:id="782"/>
    </w:p>
    <w:tbl>
      <w:tblPr>
        <w:tblStyle w:val="TableGrid"/>
        <w:tblW w:w="0" w:type="auto"/>
        <w:tblLook w:val="04A0"/>
      </w:tblPr>
      <w:tblGrid>
        <w:gridCol w:w="3080"/>
        <w:gridCol w:w="3081"/>
        <w:gridCol w:w="3081"/>
      </w:tblGrid>
      <w:tr w:rsidR="0048464B" w:rsidRPr="00CF00E1" w:rsidTr="00F83382">
        <w:tc>
          <w:tcPr>
            <w:tcW w:w="3080" w:type="dxa"/>
          </w:tcPr>
          <w:p w:rsidR="0048464B" w:rsidRPr="00CC0A1A" w:rsidRDefault="0048464B" w:rsidP="00F83382">
            <w:pPr>
              <w:spacing w:after="0"/>
              <w:jc w:val="both"/>
              <w:rPr>
                <w:rFonts w:eastAsia="Times New Roman" w:cs="Times New Roman"/>
                <w:b/>
                <w:color w:val="000000"/>
                <w:lang w:eastAsia="en-GB"/>
              </w:rPr>
            </w:pPr>
            <w:r w:rsidRPr="00CC0A1A">
              <w:rPr>
                <w:rFonts w:eastAsia="Times New Roman" w:cs="Times New Roman"/>
                <w:b/>
                <w:color w:val="000000"/>
                <w:lang w:eastAsia="en-GB"/>
              </w:rPr>
              <w:t>Name of the Khal</w:t>
            </w:r>
          </w:p>
        </w:tc>
        <w:tc>
          <w:tcPr>
            <w:tcW w:w="3081" w:type="dxa"/>
          </w:tcPr>
          <w:p w:rsidR="0048464B" w:rsidRPr="00CC0A1A" w:rsidRDefault="0048464B" w:rsidP="00F83382">
            <w:pPr>
              <w:spacing w:after="0"/>
              <w:jc w:val="both"/>
              <w:rPr>
                <w:rFonts w:eastAsia="Times New Roman" w:cs="Times New Roman"/>
                <w:b/>
                <w:color w:val="000000"/>
                <w:lang w:eastAsia="en-GB"/>
              </w:rPr>
            </w:pPr>
            <w:r w:rsidRPr="00CC0A1A">
              <w:rPr>
                <w:rFonts w:eastAsia="Times New Roman" w:cs="Times New Roman"/>
                <w:b/>
                <w:color w:val="000000"/>
                <w:lang w:eastAsia="en-GB"/>
              </w:rPr>
              <w:t>Length (Km)</w:t>
            </w:r>
          </w:p>
        </w:tc>
        <w:tc>
          <w:tcPr>
            <w:tcW w:w="3081" w:type="dxa"/>
          </w:tcPr>
          <w:p w:rsidR="0048464B" w:rsidRPr="00CC0A1A" w:rsidRDefault="0048464B" w:rsidP="00F83382">
            <w:pPr>
              <w:spacing w:after="0"/>
              <w:jc w:val="both"/>
              <w:rPr>
                <w:rFonts w:eastAsia="Times New Roman" w:cs="Times New Roman"/>
                <w:b/>
                <w:color w:val="000000"/>
                <w:lang w:eastAsia="en-GB"/>
              </w:rPr>
            </w:pPr>
            <w:r w:rsidRPr="00CC0A1A">
              <w:rPr>
                <w:rFonts w:eastAsia="Times New Roman" w:cs="Times New Roman"/>
                <w:b/>
                <w:color w:val="000000"/>
                <w:lang w:eastAsia="en-GB"/>
              </w:rPr>
              <w:t>Catchment Area (Sq. Km)</w:t>
            </w:r>
          </w:p>
        </w:tc>
      </w:tr>
      <w:tr w:rsidR="0048464B" w:rsidRPr="00CF00E1" w:rsidTr="00F83382">
        <w:tc>
          <w:tcPr>
            <w:tcW w:w="3080"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Dholai Khal</w:t>
            </w:r>
          </w:p>
        </w:tc>
        <w:tc>
          <w:tcPr>
            <w:tcW w:w="3081"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4.0</w:t>
            </w:r>
          </w:p>
        </w:tc>
        <w:tc>
          <w:tcPr>
            <w:tcW w:w="3081"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16.8</w:t>
            </w:r>
          </w:p>
        </w:tc>
      </w:tr>
      <w:tr w:rsidR="0048464B" w:rsidRPr="00CF00E1" w:rsidTr="00F83382">
        <w:tc>
          <w:tcPr>
            <w:tcW w:w="3080"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Gerani Khal</w:t>
            </w:r>
          </w:p>
        </w:tc>
        <w:tc>
          <w:tcPr>
            <w:tcW w:w="3081"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3.4</w:t>
            </w:r>
          </w:p>
        </w:tc>
        <w:tc>
          <w:tcPr>
            <w:tcW w:w="3081"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6.7</w:t>
            </w:r>
          </w:p>
        </w:tc>
      </w:tr>
      <w:tr w:rsidR="0048464B" w:rsidRPr="00CF00E1" w:rsidTr="00F83382">
        <w:tc>
          <w:tcPr>
            <w:tcW w:w="3080"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Segun Bagicha Khal</w:t>
            </w:r>
          </w:p>
        </w:tc>
        <w:tc>
          <w:tcPr>
            <w:tcW w:w="3081"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3.5</w:t>
            </w:r>
          </w:p>
        </w:tc>
        <w:tc>
          <w:tcPr>
            <w:tcW w:w="3081"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8.3</w:t>
            </w:r>
          </w:p>
        </w:tc>
      </w:tr>
      <w:tr w:rsidR="0048464B" w:rsidRPr="00CF00E1" w:rsidTr="00F83382">
        <w:tc>
          <w:tcPr>
            <w:tcW w:w="3080"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Begunbari Khal</w:t>
            </w:r>
          </w:p>
        </w:tc>
        <w:tc>
          <w:tcPr>
            <w:tcW w:w="3081"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6.5</w:t>
            </w:r>
          </w:p>
        </w:tc>
        <w:tc>
          <w:tcPr>
            <w:tcW w:w="3081" w:type="dxa"/>
          </w:tcPr>
          <w:p w:rsidR="0048464B" w:rsidRPr="00CF00E1" w:rsidRDefault="0048464B" w:rsidP="00F83382">
            <w:pPr>
              <w:spacing w:after="0"/>
              <w:jc w:val="both"/>
              <w:rPr>
                <w:rFonts w:eastAsia="Times New Roman" w:cs="Times New Roman"/>
                <w:color w:val="000000"/>
                <w:lang w:eastAsia="en-GB"/>
              </w:rPr>
            </w:pPr>
            <w:r w:rsidRPr="00CF00E1">
              <w:rPr>
                <w:rFonts w:eastAsia="Times New Roman" w:cs="Times New Roman"/>
                <w:color w:val="000000"/>
                <w:lang w:eastAsia="en-GB"/>
              </w:rPr>
              <w:t>37.7</w:t>
            </w:r>
          </w:p>
        </w:tc>
      </w:tr>
    </w:tbl>
    <w:p w:rsidR="0048464B" w:rsidRPr="00F35272" w:rsidRDefault="0048464B" w:rsidP="0048464B">
      <w:pPr>
        <w:spacing w:before="120"/>
        <w:jc w:val="both"/>
        <w:rPr>
          <w:rFonts w:eastAsia="Times New Roman" w:cs="Times New Roman"/>
          <w:b/>
          <w:i/>
          <w:color w:val="000000"/>
          <w:sz w:val="20"/>
          <w:lang w:eastAsia="en-GB"/>
        </w:rPr>
      </w:pPr>
      <w:r w:rsidRPr="00F35272">
        <w:rPr>
          <w:rFonts w:eastAsia="Times New Roman" w:cs="Times New Roman"/>
          <w:b/>
          <w:i/>
          <w:color w:val="000000"/>
          <w:sz w:val="20"/>
          <w:lang w:eastAsia="en-GB"/>
        </w:rPr>
        <w:t>Source: Tawhid, 2004</w:t>
      </w:r>
    </w:p>
    <w:p w:rsidR="0048464B" w:rsidRPr="00A46672" w:rsidRDefault="0048464B" w:rsidP="0048464B">
      <w:pPr>
        <w:spacing w:line="276" w:lineRule="auto"/>
        <w:jc w:val="both"/>
        <w:rPr>
          <w:rFonts w:cs="Times New Roman"/>
        </w:rPr>
      </w:pPr>
      <w:r w:rsidRPr="00CF00E1">
        <w:rPr>
          <w:rFonts w:cs="Times New Roman"/>
        </w:rPr>
        <w:t>Dhaka is surrounded by a number of rivers that include Buriganga, Tongi, Turag, Balu and Sitalakhya.  In earlier centuries the city was criss-crossed by many drainage channels which carried away run-off to the surrounding rivers. Dhaka had 43 natural canals, 17 of which no longer exist. Dhaka WASA, however, has been able to bring the rest 26 canals under its control. Eleven canals are being rehabilitated under the Removal of Water-logging Project phase-2 while the rehabilitation works of eight canals are being carried out under a World Bank Project. With increased urbanization most of these canals have been filled up. Low-lying areas which work as retention areas for rain water are also becoming filled up with residential, industrial and other urban land uses. Consequently</w:t>
      </w:r>
      <w:r>
        <w:rPr>
          <w:rFonts w:cs="Times New Roman"/>
        </w:rPr>
        <w:t>,</w:t>
      </w:r>
      <w:r w:rsidRPr="00CF00E1">
        <w:rPr>
          <w:rFonts w:cs="Times New Roman"/>
        </w:rPr>
        <w:t xml:space="preserve"> drainage is impeded and many parts of the city become impassable or inaccessible after normal rains. Even after an hour long rainfall many parts of the city including low and middle class residences go under water because of poor condition of drainage channels, many of which had been encroached, filled, silted and blocked due to garbage disposal. With the expansion of the city, remaining open spaces and low-lying areas are likely to face intense pressure from private land development companies and the situation would become worse if protective measures are not taken to save these lands from further encroachment.</w:t>
      </w:r>
    </w:p>
    <w:p w:rsidR="0048464B" w:rsidRPr="0099534A" w:rsidRDefault="0048464B" w:rsidP="0048464B">
      <w:pPr>
        <w:spacing w:line="276" w:lineRule="auto"/>
        <w:rPr>
          <w:rFonts w:cs="Times New Roman"/>
          <w:b/>
          <w:bCs/>
          <w:i/>
        </w:rPr>
      </w:pPr>
      <w:r w:rsidRPr="0099534A">
        <w:rPr>
          <w:rFonts w:cs="Times New Roman"/>
          <w:b/>
          <w:bCs/>
          <w:i/>
        </w:rPr>
        <w:t>Man-made Drainage System</w:t>
      </w:r>
    </w:p>
    <w:p w:rsidR="0048464B" w:rsidRPr="00A22D3B" w:rsidRDefault="0048464B" w:rsidP="0048464B">
      <w:pPr>
        <w:shd w:val="clear" w:color="auto" w:fill="FFFFFF"/>
        <w:spacing w:line="276" w:lineRule="auto"/>
        <w:ind w:right="250"/>
        <w:jc w:val="both"/>
        <w:rPr>
          <w:rFonts w:eastAsia="Times New Roman" w:cs="Times New Roman"/>
          <w:i/>
          <w:color w:val="000000"/>
          <w:lang w:eastAsia="en-GB"/>
        </w:rPr>
      </w:pPr>
      <w:r w:rsidRPr="00A22D3B">
        <w:rPr>
          <w:rFonts w:eastAsia="Times New Roman" w:cs="Times New Roman"/>
          <w:bCs/>
          <w:i/>
          <w:color w:val="000000"/>
          <w:lang w:eastAsia="en-GB"/>
        </w:rPr>
        <w:t>Surface Drainage</w:t>
      </w:r>
    </w:p>
    <w:p w:rsidR="0048464B" w:rsidRDefault="0048464B" w:rsidP="0048464B">
      <w:pPr>
        <w:shd w:val="clear" w:color="auto" w:fill="FFFFFF"/>
        <w:spacing w:line="276" w:lineRule="auto"/>
        <w:ind w:right="250"/>
        <w:jc w:val="both"/>
        <w:rPr>
          <w:rFonts w:eastAsia="Times New Roman" w:cs="Times New Roman"/>
          <w:color w:val="000000"/>
          <w:lang w:eastAsia="en-GB"/>
        </w:rPr>
      </w:pPr>
      <w:r w:rsidRPr="00CF00E1">
        <w:rPr>
          <w:rFonts w:eastAsia="Times New Roman" w:cs="Times New Roman"/>
          <w:color w:val="000000"/>
          <w:lang w:eastAsia="en-GB"/>
        </w:rPr>
        <w:t xml:space="preserve">Dhaka City Corporation is responsible authority for the surface water drainage of the Dhaka city. Surface drainage is the removal of excess water from the surface of the road. This is normally at the side of the road accomplished by shallow ditches, also called open drains. The roads are sloped toward the surface drain and the surface drain is connected with the storm drainage network. The storm water and other water that fall on roads are run off to the surface drain and descent to the storm drain. </w:t>
      </w:r>
      <w:r w:rsidRPr="00581B13">
        <w:rPr>
          <w:rFonts w:eastAsia="Times New Roman" w:cs="Times New Roman"/>
          <w:b/>
          <w:bCs/>
          <w:color w:val="006600"/>
          <w:u w:val="single"/>
          <w:lang w:eastAsia="en-GB"/>
        </w:rPr>
        <w:t>The city corporation has some 1100 km. of surface drains.</w:t>
      </w:r>
      <w:r w:rsidRPr="00CF00E1">
        <w:rPr>
          <w:rFonts w:eastAsia="Times New Roman" w:cs="Times New Roman"/>
          <w:color w:val="000000"/>
          <w:lang w:eastAsia="en-GB"/>
        </w:rPr>
        <w:t xml:space="preserve"> The responsibility of development, operation and maintenance of surface drainage system in Dhaka City lies with the Dhaka city corporation.</w:t>
      </w:r>
    </w:p>
    <w:p w:rsidR="0048464B" w:rsidRDefault="0048464B" w:rsidP="0048464B">
      <w:pPr>
        <w:shd w:val="clear" w:color="auto" w:fill="FFFFFF"/>
        <w:spacing w:line="276" w:lineRule="auto"/>
        <w:ind w:right="250"/>
        <w:jc w:val="both"/>
        <w:rPr>
          <w:rFonts w:eastAsia="Times New Roman" w:cs="Times New Roman"/>
          <w:bCs/>
          <w:i/>
          <w:color w:val="000000"/>
          <w:lang w:eastAsia="en-GB"/>
        </w:rPr>
      </w:pPr>
    </w:p>
    <w:p w:rsidR="0048464B" w:rsidRPr="00A22D3B" w:rsidRDefault="0048464B" w:rsidP="0048464B">
      <w:pPr>
        <w:shd w:val="clear" w:color="auto" w:fill="FFFFFF"/>
        <w:spacing w:line="276" w:lineRule="auto"/>
        <w:ind w:right="250"/>
        <w:jc w:val="both"/>
        <w:rPr>
          <w:rFonts w:eastAsia="Times New Roman" w:cs="Times New Roman"/>
          <w:i/>
          <w:color w:val="000000"/>
          <w:lang w:eastAsia="en-GB"/>
        </w:rPr>
      </w:pPr>
      <w:r w:rsidRPr="00A22D3B">
        <w:rPr>
          <w:rFonts w:eastAsia="Times New Roman" w:cs="Times New Roman"/>
          <w:bCs/>
          <w:i/>
          <w:color w:val="000000"/>
          <w:lang w:eastAsia="en-GB"/>
        </w:rPr>
        <w:lastRenderedPageBreak/>
        <w:t>Storm Water Drainage</w:t>
      </w:r>
    </w:p>
    <w:p w:rsidR="0048464B" w:rsidRPr="00CF00E1" w:rsidRDefault="0048464B" w:rsidP="0048464B">
      <w:pPr>
        <w:shd w:val="clear" w:color="auto" w:fill="FFFFFF"/>
        <w:spacing w:line="276" w:lineRule="auto"/>
        <w:ind w:right="250"/>
        <w:jc w:val="both"/>
        <w:rPr>
          <w:rFonts w:eastAsia="Times New Roman" w:cs="Times New Roman"/>
          <w:color w:val="000000"/>
          <w:lang w:eastAsia="en-GB"/>
        </w:rPr>
      </w:pPr>
      <w:r w:rsidRPr="00CF00E1">
        <w:rPr>
          <w:rFonts w:eastAsia="Times New Roman" w:cs="Times New Roman"/>
          <w:color w:val="000000"/>
          <w:lang w:eastAsia="en-GB"/>
        </w:rPr>
        <w:t>All the Sullage and storm water are carried by the storm drain. Dhaka WASA</w:t>
      </w:r>
      <w:r>
        <w:rPr>
          <w:rFonts w:eastAsia="Times New Roman" w:cs="Times New Roman"/>
          <w:color w:val="000000"/>
          <w:lang w:eastAsia="en-GB"/>
        </w:rPr>
        <w:t xml:space="preserve"> (DWASA)</w:t>
      </w:r>
      <w:r w:rsidRPr="00CF00E1">
        <w:rPr>
          <w:rFonts w:eastAsia="Times New Roman" w:cs="Times New Roman"/>
          <w:color w:val="000000"/>
          <w:lang w:eastAsia="en-GB"/>
        </w:rPr>
        <w:t xml:space="preserve"> is responsible for the storm water drainage of Dhaka city. The operation and maintenance of the storm water drainage system is organized by DWASA). For the better management of the city drainage system</w:t>
      </w:r>
      <w:r>
        <w:rPr>
          <w:rFonts w:eastAsia="Times New Roman" w:cs="Times New Roman"/>
          <w:color w:val="000000"/>
          <w:lang w:eastAsia="en-GB"/>
        </w:rPr>
        <w:t>,</w:t>
      </w:r>
      <w:r w:rsidRPr="00CF00E1">
        <w:rPr>
          <w:rFonts w:eastAsia="Times New Roman" w:cs="Times New Roman"/>
          <w:color w:val="000000"/>
          <w:lang w:eastAsia="en-GB"/>
        </w:rPr>
        <w:t xml:space="preserve"> DWASA divided the whole storm water </w:t>
      </w:r>
      <w:r>
        <w:rPr>
          <w:rFonts w:eastAsia="Times New Roman" w:cs="Times New Roman"/>
          <w:color w:val="000000"/>
          <w:lang w:eastAsia="en-GB"/>
        </w:rPr>
        <w:t>drainage into 11 zones</w:t>
      </w:r>
      <w:r w:rsidRPr="00CF00E1">
        <w:rPr>
          <w:rFonts w:eastAsia="Times New Roman" w:cs="Times New Roman"/>
          <w:color w:val="000000"/>
          <w:lang w:eastAsia="en-GB"/>
        </w:rPr>
        <w:t xml:space="preserve">. </w:t>
      </w:r>
      <w:r>
        <w:rPr>
          <w:rFonts w:eastAsia="Times New Roman" w:cs="Times New Roman"/>
          <w:color w:val="000000"/>
          <w:lang w:eastAsia="en-GB"/>
        </w:rPr>
        <w:t xml:space="preserve">Some </w:t>
      </w:r>
      <w:r w:rsidRPr="00CF00E1">
        <w:rPr>
          <w:rFonts w:eastAsia="Times New Roman" w:cs="Times New Roman"/>
          <w:color w:val="000000"/>
          <w:lang w:eastAsia="en-GB"/>
        </w:rPr>
        <w:t>10 zones are within Dhaka city and one zone in Narayanganj city. Important components of storm drainage network are briefly summarized below:</w:t>
      </w:r>
    </w:p>
    <w:p w:rsidR="0048464B" w:rsidRPr="00CF00E1" w:rsidRDefault="0048464B" w:rsidP="003D5A31">
      <w:pPr>
        <w:pStyle w:val="ListParagraph"/>
        <w:numPr>
          <w:ilvl w:val="0"/>
          <w:numId w:val="123"/>
        </w:numPr>
        <w:shd w:val="clear" w:color="auto" w:fill="FFFFFF"/>
        <w:spacing w:line="276" w:lineRule="auto"/>
        <w:ind w:left="360" w:right="245"/>
        <w:jc w:val="both"/>
        <w:rPr>
          <w:rFonts w:eastAsia="Times New Roman" w:cs="Times New Roman"/>
          <w:color w:val="000000"/>
          <w:szCs w:val="24"/>
          <w:lang w:eastAsia="en-GB"/>
        </w:rPr>
      </w:pPr>
      <w:r w:rsidRPr="00CF00E1">
        <w:rPr>
          <w:rFonts w:eastAsia="Times New Roman" w:cs="Times New Roman"/>
          <w:color w:val="000000"/>
          <w:szCs w:val="24"/>
          <w:lang w:eastAsia="en-GB"/>
        </w:rPr>
        <w:t>22 open canals having width of 10 to 30 m and total length of approximately 65 km (Rabbi, 2001).</w:t>
      </w:r>
    </w:p>
    <w:p w:rsidR="0048464B" w:rsidRPr="00CF00E1" w:rsidRDefault="0048464B" w:rsidP="003D5A31">
      <w:pPr>
        <w:pStyle w:val="ListParagraph"/>
        <w:numPr>
          <w:ilvl w:val="0"/>
          <w:numId w:val="123"/>
        </w:numPr>
        <w:shd w:val="clear" w:color="auto" w:fill="FFFFFF"/>
        <w:spacing w:line="276" w:lineRule="auto"/>
        <w:ind w:left="360" w:right="245"/>
        <w:jc w:val="both"/>
        <w:rPr>
          <w:rFonts w:eastAsia="Times New Roman" w:cs="Times New Roman"/>
          <w:color w:val="000000"/>
          <w:szCs w:val="24"/>
          <w:lang w:eastAsia="en-GB"/>
        </w:rPr>
      </w:pPr>
      <w:r w:rsidRPr="00CF00E1">
        <w:rPr>
          <w:rFonts w:eastAsia="Times New Roman" w:cs="Times New Roman"/>
          <w:color w:val="000000"/>
          <w:szCs w:val="24"/>
          <w:lang w:eastAsia="en-GB"/>
        </w:rPr>
        <w:t>315 km. of underground pipes having diameter ranging between 450 to 3000 mm. (Rahman, 2004).</w:t>
      </w:r>
    </w:p>
    <w:p w:rsidR="0048464B" w:rsidRPr="00CF00E1" w:rsidRDefault="0048464B" w:rsidP="003D5A31">
      <w:pPr>
        <w:pStyle w:val="ListParagraph"/>
        <w:numPr>
          <w:ilvl w:val="0"/>
          <w:numId w:val="123"/>
        </w:numPr>
        <w:shd w:val="clear" w:color="auto" w:fill="FFFFFF"/>
        <w:spacing w:line="276" w:lineRule="auto"/>
        <w:ind w:left="360" w:right="245"/>
        <w:jc w:val="both"/>
        <w:rPr>
          <w:rFonts w:eastAsia="Times New Roman" w:cs="Times New Roman"/>
          <w:color w:val="000000"/>
          <w:szCs w:val="24"/>
          <w:lang w:eastAsia="en-GB"/>
        </w:rPr>
      </w:pPr>
      <w:r w:rsidRPr="00CF00E1">
        <w:rPr>
          <w:rFonts w:eastAsia="Times New Roman" w:cs="Times New Roman"/>
          <w:color w:val="000000"/>
          <w:szCs w:val="24"/>
          <w:lang w:eastAsia="en-GB"/>
        </w:rPr>
        <w:t xml:space="preserve">10 km. of box culvert of sizes between 2.5 m * 3.4 </w:t>
      </w:r>
      <w:r>
        <w:rPr>
          <w:rFonts w:eastAsia="Times New Roman" w:cs="Times New Roman"/>
          <w:color w:val="000000"/>
          <w:szCs w:val="24"/>
          <w:lang w:eastAsia="en-GB"/>
        </w:rPr>
        <w:t>m to 6 m * 4.1 m</w:t>
      </w:r>
      <w:r w:rsidRPr="00CF00E1">
        <w:rPr>
          <w:rFonts w:eastAsia="Times New Roman" w:cs="Times New Roman"/>
          <w:color w:val="000000"/>
          <w:szCs w:val="24"/>
          <w:lang w:eastAsia="en-GB"/>
        </w:rPr>
        <w:t>.</w:t>
      </w:r>
    </w:p>
    <w:p w:rsidR="0048464B" w:rsidRPr="00CF00E1" w:rsidRDefault="0048464B" w:rsidP="003D5A31">
      <w:pPr>
        <w:pStyle w:val="ListParagraph"/>
        <w:numPr>
          <w:ilvl w:val="0"/>
          <w:numId w:val="123"/>
        </w:numPr>
        <w:shd w:val="clear" w:color="auto" w:fill="FFFFFF"/>
        <w:spacing w:line="276" w:lineRule="auto"/>
        <w:ind w:left="360" w:right="245"/>
        <w:jc w:val="both"/>
        <w:rPr>
          <w:rFonts w:eastAsia="Times New Roman" w:cs="Times New Roman"/>
          <w:color w:val="000000"/>
          <w:szCs w:val="24"/>
          <w:lang w:eastAsia="en-GB"/>
        </w:rPr>
      </w:pPr>
      <w:r w:rsidRPr="00CF00E1">
        <w:rPr>
          <w:rFonts w:eastAsia="Times New Roman" w:cs="Times New Roman"/>
          <w:color w:val="000000"/>
          <w:szCs w:val="24"/>
          <w:lang w:eastAsia="en-GB"/>
        </w:rPr>
        <w:t>2 storm water-pump</w:t>
      </w:r>
      <w:r>
        <w:rPr>
          <w:rFonts w:eastAsia="Times New Roman" w:cs="Times New Roman"/>
          <w:color w:val="000000"/>
          <w:szCs w:val="24"/>
          <w:lang w:eastAsia="en-GB"/>
        </w:rPr>
        <w:t xml:space="preserve">ing stations, of capacity of 22 </w:t>
      </w:r>
      <w:r w:rsidRPr="00CF00E1">
        <w:rPr>
          <w:rFonts w:eastAsia="Times New Roman" w:cs="Times New Roman"/>
          <w:color w:val="000000"/>
          <w:szCs w:val="24"/>
          <w:lang w:eastAsia="en-GB"/>
        </w:rPr>
        <w:t>m</w:t>
      </w:r>
      <w:r w:rsidRPr="00CF00E1">
        <w:rPr>
          <w:rFonts w:eastAsia="Times New Roman" w:cs="Times New Roman"/>
          <w:color w:val="000000"/>
          <w:szCs w:val="24"/>
          <w:vertAlign w:val="superscript"/>
          <w:lang w:eastAsia="en-GB"/>
        </w:rPr>
        <w:t>3</w:t>
      </w:r>
      <w:r w:rsidRPr="00CF00E1">
        <w:rPr>
          <w:rFonts w:eastAsia="Times New Roman" w:cs="Times New Roman"/>
          <w:color w:val="000000"/>
          <w:szCs w:val="24"/>
          <w:lang w:eastAsia="en-GB"/>
        </w:rPr>
        <w:t>/s and 20 m</w:t>
      </w:r>
      <w:r w:rsidRPr="00CF00E1">
        <w:rPr>
          <w:rFonts w:eastAsia="Times New Roman" w:cs="Times New Roman"/>
          <w:color w:val="000000"/>
          <w:szCs w:val="24"/>
          <w:vertAlign w:val="superscript"/>
          <w:lang w:eastAsia="en-GB"/>
        </w:rPr>
        <w:t>3</w:t>
      </w:r>
      <w:r w:rsidRPr="00CF00E1">
        <w:rPr>
          <w:rFonts w:eastAsia="Times New Roman" w:cs="Times New Roman"/>
          <w:color w:val="000000"/>
          <w:szCs w:val="24"/>
          <w:lang w:eastAsia="en-GB"/>
        </w:rPr>
        <w:t>/s at Dholaikhal and Kallyanpur respectively</w:t>
      </w:r>
      <w:r w:rsidRPr="00CF00E1">
        <w:rPr>
          <w:rFonts w:eastAsia="Times New Roman" w:cs="Times New Roman"/>
          <w:b/>
          <w:bCs/>
          <w:color w:val="000000"/>
          <w:szCs w:val="24"/>
          <w:lang w:eastAsia="en-GB"/>
        </w:rPr>
        <w:t>.</w:t>
      </w:r>
    </w:p>
    <w:p w:rsidR="0048464B" w:rsidRPr="00CF00E1" w:rsidRDefault="0048464B" w:rsidP="0048464B">
      <w:pPr>
        <w:shd w:val="clear" w:color="auto" w:fill="FFFFFF"/>
        <w:spacing w:line="276" w:lineRule="auto"/>
        <w:ind w:right="250"/>
        <w:jc w:val="both"/>
        <w:rPr>
          <w:rFonts w:eastAsia="Times New Roman" w:cs="Times New Roman"/>
          <w:color w:val="000000"/>
          <w:lang w:eastAsia="en-GB"/>
        </w:rPr>
      </w:pPr>
      <w:r w:rsidRPr="00CF00E1">
        <w:rPr>
          <w:rFonts w:eastAsia="Times New Roman" w:cs="Times New Roman"/>
          <w:color w:val="000000"/>
          <w:lang w:eastAsia="en-GB"/>
        </w:rPr>
        <w:t xml:space="preserve">Bangladesh Water Development Board (BWDB) has also constructed one pumping station (capacity 22 m3/s) at the northwestern part (Goran Chadbari at the outfall of the Degun khal into the Turag River) of the city. There are also 65 small pumps with individual capacities of 0.142 cumec, installed temporarily by DWASA to drain out storm water from various locations. </w:t>
      </w:r>
      <w:r w:rsidRPr="00581B13">
        <w:rPr>
          <w:rFonts w:eastAsia="Times New Roman" w:cs="Times New Roman"/>
          <w:b/>
          <w:bCs/>
          <w:color w:val="006600"/>
          <w:u w:val="single"/>
          <w:lang w:eastAsia="en-GB"/>
        </w:rPr>
        <w:t>Moreover, DCCs have constructed and maintains at least 130 km small diameter underground drains which carry storm water to the main sewer lines.</w:t>
      </w:r>
      <w:r w:rsidRPr="00CF00E1">
        <w:rPr>
          <w:rFonts w:eastAsia="Times New Roman" w:cs="Times New Roman"/>
          <w:color w:val="000000"/>
          <w:lang w:eastAsia="en-GB"/>
        </w:rPr>
        <w:t xml:space="preserve"> RAJUK also constructs roadside underground drainage lines during the construction of new roads. The responsibility of development, operation and maintenance of drainage system in Dhaka City lies with the DWASA. But several agencies are working for development of the city drainage system, with little or no coordination among them.</w:t>
      </w:r>
    </w:p>
    <w:p w:rsidR="0048464B" w:rsidRPr="00E03AFA" w:rsidRDefault="0048464B" w:rsidP="003D5A31">
      <w:pPr>
        <w:pStyle w:val="BodyText"/>
        <w:numPr>
          <w:ilvl w:val="2"/>
          <w:numId w:val="268"/>
        </w:numPr>
        <w:spacing w:after="240" w:line="276" w:lineRule="auto"/>
        <w:jc w:val="both"/>
        <w:rPr>
          <w:rFonts w:cs="Times New Roman"/>
          <w:b/>
          <w:szCs w:val="24"/>
        </w:rPr>
      </w:pPr>
      <w:r w:rsidRPr="00D126C9">
        <w:rPr>
          <w:rFonts w:cs="Times New Roman"/>
          <w:b/>
          <w:strike/>
          <w:szCs w:val="24"/>
          <w:highlight w:val="yellow"/>
        </w:rPr>
        <w:t>10.5.4</w:t>
      </w:r>
      <w:r>
        <w:rPr>
          <w:rFonts w:cs="Times New Roman"/>
          <w:b/>
          <w:szCs w:val="24"/>
        </w:rPr>
        <w:t xml:space="preserve"> </w:t>
      </w:r>
      <w:r w:rsidRPr="00E03AFA">
        <w:rPr>
          <w:rFonts w:cs="Times New Roman"/>
          <w:b/>
          <w:szCs w:val="24"/>
        </w:rPr>
        <w:t>Drainage System of Chittagong</w:t>
      </w:r>
    </w:p>
    <w:p w:rsidR="0048464B" w:rsidRPr="00CF00E1" w:rsidRDefault="0048464B" w:rsidP="0048464B">
      <w:pPr>
        <w:autoSpaceDE w:val="0"/>
        <w:autoSpaceDN w:val="0"/>
        <w:adjustRightInd w:val="0"/>
        <w:spacing w:line="276" w:lineRule="auto"/>
        <w:jc w:val="both"/>
        <w:rPr>
          <w:rFonts w:cs="Times New Roman"/>
        </w:rPr>
      </w:pPr>
      <w:r w:rsidRPr="00CF00E1">
        <w:rPr>
          <w:rFonts w:cs="Times New Roman"/>
        </w:rPr>
        <w:t>Drainage system of Chittagong consists of natural and artificial drains. Natural drains are open channels (khals and rivers). Khals and rivers are natural water bodies that serve as storm as well as sanitary sewers with a total length of about 144 kms. Major khals include the Chaktai, Chakti diversion, Mohesh Kali, Rajakhali and Mirza khal – all eventually reach the Karnaphuli River or Bay of Bengal. Mohesh Kali khal contributes to draining the western and southern area of the city. Chakti khal contributes to draining the eastern and central part of the city. The catchment area is large and inflow is too high for Chakti khal to accommodate all. Therefore, ChCC has developed the Chakti diversion khal to reduce the burden on the Chakti khal.</w:t>
      </w:r>
    </w:p>
    <w:p w:rsidR="0048464B" w:rsidRPr="00CF00E1" w:rsidRDefault="0048464B" w:rsidP="0048464B">
      <w:pPr>
        <w:spacing w:line="276" w:lineRule="auto"/>
        <w:rPr>
          <w:rFonts w:cs="Times New Roman"/>
        </w:rPr>
      </w:pPr>
      <w:r w:rsidRPr="00CF00E1">
        <w:rPr>
          <w:rFonts w:cs="Times New Roman"/>
        </w:rPr>
        <w:t>Th</w:t>
      </w:r>
      <w:r>
        <w:rPr>
          <w:rFonts w:cs="Times New Roman"/>
        </w:rPr>
        <w:t xml:space="preserve">e artificial drains consist of </w:t>
      </w:r>
      <w:r w:rsidRPr="00CF00E1">
        <w:rPr>
          <w:rFonts w:cs="Times New Roman"/>
        </w:rPr>
        <w:t>tertiary, secondary and primary drains of various sizes which flow into open channels like Khals (or canals) and rivers. These are described below.</w:t>
      </w:r>
    </w:p>
    <w:p w:rsidR="0048464B" w:rsidRPr="00CF00E1" w:rsidRDefault="0048464B" w:rsidP="0048464B">
      <w:pPr>
        <w:autoSpaceDE w:val="0"/>
        <w:autoSpaceDN w:val="0"/>
        <w:adjustRightInd w:val="0"/>
        <w:spacing w:line="276" w:lineRule="auto"/>
        <w:jc w:val="both"/>
        <w:rPr>
          <w:rFonts w:cs="Times New Roman"/>
        </w:rPr>
      </w:pPr>
      <w:r>
        <w:rPr>
          <w:rFonts w:cs="Times New Roman"/>
          <w:b/>
        </w:rPr>
        <w:lastRenderedPageBreak/>
        <w:t>Primary d</w:t>
      </w:r>
      <w:r w:rsidRPr="00CF00E1">
        <w:rPr>
          <w:rFonts w:cs="Times New Roman"/>
          <w:b/>
        </w:rPr>
        <w:t>rains:</w:t>
      </w:r>
      <w:r w:rsidRPr="00CF00E1">
        <w:rPr>
          <w:rFonts w:cs="Times New Roman"/>
        </w:rPr>
        <w:t xml:space="preserve"> Primary drains are artificial drains usually constructed along major roads, often made of brick masonry and or concrete. Total length is around 70 km. Primary drains are the main collector to collect discharge from secondary drains and discharge loads to khals. The drain size is related to the width of the adjacent road. Drain wide varies from 10-20 feet depending on the width of the road. Primary drains are open drains, so citizens placed crossing plates made of wood or steel by themselves.</w:t>
      </w:r>
    </w:p>
    <w:p w:rsidR="0048464B" w:rsidRPr="00CF00E1" w:rsidRDefault="0048464B" w:rsidP="0048464B">
      <w:pPr>
        <w:autoSpaceDE w:val="0"/>
        <w:autoSpaceDN w:val="0"/>
        <w:adjustRightInd w:val="0"/>
        <w:spacing w:line="276" w:lineRule="auto"/>
        <w:jc w:val="both"/>
        <w:rPr>
          <w:rFonts w:cs="Times New Roman"/>
        </w:rPr>
      </w:pPr>
      <w:r>
        <w:rPr>
          <w:rFonts w:cs="Times New Roman"/>
          <w:b/>
        </w:rPr>
        <w:t xml:space="preserve"> Secondary d</w:t>
      </w:r>
      <w:r w:rsidRPr="00CF00E1">
        <w:rPr>
          <w:rFonts w:cs="Times New Roman"/>
          <w:b/>
        </w:rPr>
        <w:t>rains:</w:t>
      </w:r>
      <w:r w:rsidRPr="00CF00E1">
        <w:rPr>
          <w:rFonts w:cs="Times New Roman"/>
        </w:rPr>
        <w:t xml:space="preserve"> Secondary drains flow into primary drains and usually run alongside local distributor roads. The structure is typically comprised of masonry and/or concrete, and collects discharge from tertiary drains. Secondary drains have a width of around 8 feet. Some secondary drains are constructed underneath and covered by footpaths along the road. The total length of secondary drains is around 90 km</w:t>
      </w:r>
    </w:p>
    <w:p w:rsidR="0048464B" w:rsidRPr="00CF00E1" w:rsidRDefault="0048464B" w:rsidP="0048464B">
      <w:pPr>
        <w:autoSpaceDE w:val="0"/>
        <w:autoSpaceDN w:val="0"/>
        <w:adjustRightInd w:val="0"/>
        <w:spacing w:line="276" w:lineRule="auto"/>
        <w:jc w:val="both"/>
        <w:rPr>
          <w:rFonts w:cs="Times New Roman"/>
        </w:rPr>
      </w:pPr>
      <w:r>
        <w:rPr>
          <w:rFonts w:cs="Times New Roman"/>
          <w:b/>
        </w:rPr>
        <w:t>Tertiary d</w:t>
      </w:r>
      <w:r w:rsidRPr="00CF00E1">
        <w:rPr>
          <w:rFonts w:cs="Times New Roman"/>
          <w:b/>
        </w:rPr>
        <w:t>rains:</w:t>
      </w:r>
      <w:r w:rsidRPr="00CF00E1">
        <w:rPr>
          <w:rFonts w:cs="Times New Roman"/>
        </w:rPr>
        <w:t xml:space="preserve"> Tertiary drains rank fourth in the drainage hierarchy, and are constructed running parallel to access roads. They have width of 1.5–3.5 feet and are made of masonry and/or concrete just like primary and secondary drains. The total length is around 130 km.</w:t>
      </w:r>
    </w:p>
    <w:p w:rsidR="0048464B" w:rsidRPr="00E03AFA" w:rsidRDefault="0048464B" w:rsidP="003D5A31">
      <w:pPr>
        <w:pStyle w:val="BodyText"/>
        <w:numPr>
          <w:ilvl w:val="2"/>
          <w:numId w:val="268"/>
        </w:numPr>
        <w:spacing w:after="240" w:line="276" w:lineRule="auto"/>
        <w:jc w:val="both"/>
        <w:rPr>
          <w:rFonts w:cs="Times New Roman"/>
          <w:b/>
          <w:szCs w:val="24"/>
        </w:rPr>
      </w:pPr>
      <w:r>
        <w:rPr>
          <w:rFonts w:cs="Times New Roman"/>
          <w:b/>
          <w:szCs w:val="24"/>
        </w:rPr>
        <w:t xml:space="preserve"> </w:t>
      </w:r>
      <w:r w:rsidRPr="00E03AFA">
        <w:rPr>
          <w:rFonts w:cs="Times New Roman"/>
          <w:b/>
          <w:szCs w:val="24"/>
        </w:rPr>
        <w:t>Drainage System of Khulna</w:t>
      </w:r>
    </w:p>
    <w:p w:rsidR="0048464B" w:rsidRPr="00CF00E1" w:rsidRDefault="0048464B" w:rsidP="0048464B">
      <w:pPr>
        <w:autoSpaceDE w:val="0"/>
        <w:autoSpaceDN w:val="0"/>
        <w:adjustRightInd w:val="0"/>
        <w:spacing w:line="276" w:lineRule="auto"/>
        <w:jc w:val="both"/>
        <w:rPr>
          <w:rFonts w:cs="Times New Roman"/>
        </w:rPr>
      </w:pPr>
      <w:r w:rsidRPr="00CF00E1">
        <w:rPr>
          <w:rFonts w:cs="Times New Roman"/>
        </w:rPr>
        <w:t xml:space="preserve">There is about 667.07 kilometers of drainage network in </w:t>
      </w:r>
      <w:r>
        <w:rPr>
          <w:rFonts w:cs="Times New Roman"/>
        </w:rPr>
        <w:t>Khulna City Corporation (</w:t>
      </w:r>
      <w:r w:rsidRPr="00CF00E1">
        <w:rPr>
          <w:rFonts w:cs="Times New Roman"/>
        </w:rPr>
        <w:t>KCC</w:t>
      </w:r>
      <w:r>
        <w:rPr>
          <w:rFonts w:cs="Times New Roman"/>
        </w:rPr>
        <w:t>)</w:t>
      </w:r>
      <w:r w:rsidRPr="00CF00E1">
        <w:rPr>
          <w:rFonts w:cs="Times New Roman"/>
        </w:rPr>
        <w:t xml:space="preserve"> area, of this about 638.73 km is pucca including the covered drains, and 28.33 km katcha. The existing drains in KCC areas discharge water into the nea</w:t>
      </w:r>
      <w:r>
        <w:rPr>
          <w:rFonts w:cs="Times New Roman"/>
        </w:rPr>
        <w:t xml:space="preserve">rby khals, </w:t>
      </w:r>
      <w:r w:rsidRPr="00CF00E1">
        <w:rPr>
          <w:rFonts w:cs="Times New Roman"/>
        </w:rPr>
        <w:t>rivers, low-lying areas and beels. There is no underground storm water drainage system in Khulna City. Concrete box and pipe culverts are used for road crossing only. The existing drainage facilities in the fringe and semi-core areas are inadequate and unsatisfactory. The major part of the KCC areas in the town is not subject to direct flooding from the Bhairab-Rupsha River, but the low-lying areas situated on the western and southern part are flooded during heavy rain and tidal effect during monsoon season. §According to the drainage Master Plan of (Survey to Mitigate Water Logging Problem of Khulna City, 2011, Khulna City Corporation) KCC the man made drains have width ranging from less than 0.1 meter to 9.0 meter. Within city 155 km pucca drains have width less than 0.5 meter. About 1.16 km of pucca drains have width greater than 5 meters.</w:t>
      </w:r>
    </w:p>
    <w:p w:rsidR="0048464B" w:rsidRDefault="0048464B" w:rsidP="0048464B">
      <w:pPr>
        <w:autoSpaceDE w:val="0"/>
        <w:autoSpaceDN w:val="0"/>
        <w:adjustRightInd w:val="0"/>
        <w:spacing w:line="276" w:lineRule="auto"/>
        <w:jc w:val="both"/>
        <w:rPr>
          <w:rFonts w:cs="Times New Roman"/>
        </w:rPr>
      </w:pPr>
      <w:r w:rsidRPr="00CF00E1">
        <w:rPr>
          <w:rFonts w:cs="Times New Roman"/>
        </w:rPr>
        <w:t xml:space="preserve">There are 6 regulators and 8 sluice gates to drain out storm water from KCC area. </w:t>
      </w:r>
      <w:r w:rsidRPr="00581B13">
        <w:rPr>
          <w:rFonts w:eastAsia="Times New Roman" w:cs="Times New Roman"/>
          <w:b/>
          <w:bCs/>
          <w:color w:val="006600"/>
          <w:u w:val="single"/>
          <w:lang w:eastAsia="en-GB"/>
        </w:rPr>
        <w:t xml:space="preserve">At Alutala a 10-vent sluice gate serves as major drainage function of the Khulna City. </w:t>
      </w:r>
      <w:r w:rsidRPr="00CF00E1">
        <w:rPr>
          <w:rFonts w:cs="Times New Roman"/>
        </w:rPr>
        <w:t>There are four regulators that drain out storm water into the Rupsha River and the other two regulators drain water into the Khudir Khal, the upstream part of the Mayur River.</w:t>
      </w:r>
    </w:p>
    <w:p w:rsidR="0048464B" w:rsidRPr="00E03AFA" w:rsidRDefault="0048464B" w:rsidP="003D5A31">
      <w:pPr>
        <w:pStyle w:val="BodyText"/>
        <w:numPr>
          <w:ilvl w:val="2"/>
          <w:numId w:val="268"/>
        </w:numPr>
        <w:spacing w:after="240" w:line="276" w:lineRule="auto"/>
        <w:jc w:val="both"/>
        <w:rPr>
          <w:rFonts w:cs="Times New Roman"/>
          <w:b/>
          <w:szCs w:val="24"/>
        </w:rPr>
      </w:pPr>
      <w:r w:rsidRPr="00D126C9">
        <w:rPr>
          <w:rFonts w:cs="Times New Roman"/>
          <w:b/>
          <w:strike/>
          <w:szCs w:val="24"/>
          <w:highlight w:val="yellow"/>
        </w:rPr>
        <w:t>10.5.6</w:t>
      </w:r>
      <w:r>
        <w:rPr>
          <w:rFonts w:cs="Times New Roman"/>
          <w:b/>
          <w:szCs w:val="24"/>
        </w:rPr>
        <w:t xml:space="preserve"> </w:t>
      </w:r>
      <w:r w:rsidRPr="00E03AFA">
        <w:rPr>
          <w:rFonts w:cs="Times New Roman"/>
          <w:b/>
          <w:szCs w:val="24"/>
        </w:rPr>
        <w:t>Operational Performance and Maintenance of Drainage Systems</w:t>
      </w:r>
    </w:p>
    <w:p w:rsidR="0048464B" w:rsidRPr="00CF00E1" w:rsidRDefault="0048464B" w:rsidP="0048464B">
      <w:pPr>
        <w:spacing w:line="276" w:lineRule="auto"/>
        <w:jc w:val="both"/>
        <w:rPr>
          <w:rFonts w:cs="Times New Roman"/>
        </w:rPr>
      </w:pPr>
      <w:r w:rsidRPr="00CF00E1">
        <w:rPr>
          <w:rFonts w:cs="Times New Roman"/>
        </w:rPr>
        <w:t xml:space="preserve">Operation and maintenance of Dhaka’s drainage system is very poor which is often linked to the problems of water-logging in the city. Operation and maintenance of the drainage system is affected by inadequate maintenance of natural canals and storm water and surface drains, lack of </w:t>
      </w:r>
      <w:r w:rsidRPr="00CF00E1">
        <w:rPr>
          <w:rFonts w:cs="Times New Roman"/>
        </w:rPr>
        <w:lastRenderedPageBreak/>
        <w:t>cleaning equipment, inadequate budget and staffing, lack of proper monitoring programme, and poor coordination among the institutions responsible for operation and maintenance of the drainage system of the city.</w:t>
      </w:r>
    </w:p>
    <w:p w:rsidR="0048464B" w:rsidRPr="00CF00E1" w:rsidRDefault="0048464B" w:rsidP="0048464B">
      <w:pPr>
        <w:spacing w:line="276" w:lineRule="auto"/>
        <w:jc w:val="both"/>
        <w:rPr>
          <w:rFonts w:cs="Times New Roman"/>
        </w:rPr>
      </w:pPr>
      <w:r w:rsidRPr="00CF00E1">
        <w:rPr>
          <w:rFonts w:cs="Times New Roman"/>
        </w:rPr>
        <w:t>Clogging of surface and storm water drains with solid waste is a major reason for frequent water-logging in Dhaka city. Every year about one meter of sludge is deposited in Dhaka’s khals and box cu</w:t>
      </w:r>
      <w:r>
        <w:rPr>
          <w:rFonts w:cs="Times New Roman"/>
        </w:rPr>
        <w:t>lverts</w:t>
      </w:r>
      <w:r w:rsidRPr="00CF00E1">
        <w:rPr>
          <w:rFonts w:cs="Times New Roman"/>
        </w:rPr>
        <w:t>. Further, rainwater carries the uncollected solid wastes into the drainage system that slows down the rainwater runoff from the affected areas. Lack of awareness of the people further aggravates the situation. They often use the khals and drains for dumping garbage. As a consequence, drainage capacity of drains, khals and box culverts is reduced drastically. The problem is compounded by the lack of capacity of WASA and DCCs in terms of financial resources for routine cleaning, availability of vacuum machines, remote-controlled excavators etc.</w:t>
      </w:r>
    </w:p>
    <w:p w:rsidR="0048464B" w:rsidRPr="00CF00E1" w:rsidRDefault="0048464B" w:rsidP="0048464B">
      <w:pPr>
        <w:spacing w:line="276" w:lineRule="auto"/>
        <w:jc w:val="both"/>
        <w:rPr>
          <w:rFonts w:cs="Times New Roman"/>
          <w:color w:val="000000"/>
        </w:rPr>
      </w:pPr>
      <w:r w:rsidRPr="00CF00E1">
        <w:rPr>
          <w:rFonts w:cs="Times New Roman"/>
          <w:color w:val="000000"/>
        </w:rPr>
        <w:t>Usually, pumping stations are used to pump out the storm water from inner side of the encircling embankment of Dhaka City. But there are only two storm water pumping stations located at Dholaikhal and Kallyanpur. Dhaka WASA has the responsibility for operation and maintenance of these pumping stations. These are very much insufficient in respect of demand for timely pumping out the storm water.</w:t>
      </w:r>
    </w:p>
    <w:p w:rsidR="0048464B" w:rsidRPr="00CF00E1" w:rsidRDefault="0048464B" w:rsidP="0048464B">
      <w:pPr>
        <w:autoSpaceDE w:val="0"/>
        <w:autoSpaceDN w:val="0"/>
        <w:adjustRightInd w:val="0"/>
        <w:spacing w:line="276" w:lineRule="auto"/>
        <w:jc w:val="both"/>
        <w:rPr>
          <w:rFonts w:cs="Times New Roman"/>
        </w:rPr>
      </w:pPr>
      <w:r w:rsidRPr="00CF00E1">
        <w:rPr>
          <w:rFonts w:cs="Times New Roman"/>
          <w:color w:val="000000"/>
        </w:rPr>
        <w:t>In Chittagong the drainage system consists of natural canals and man-made surface drains.</w:t>
      </w:r>
      <w:r w:rsidRPr="00CF00E1">
        <w:rPr>
          <w:rFonts w:cs="Times New Roman"/>
        </w:rPr>
        <w:t xml:space="preserve"> The reason of long lasting water logging situation in the city is mainly due to inadequate drainage capacity. Lack of enough drains and their reduced water holding capacity helps in creating drainage congestion due to heavy rainfall. The width and depth of almost all the drains have decreased from their initial width and depth at the time of constructions mainly due to encroachment and dumping of garbage. As the width and depth of the drains decreased the water carrying capacity of the drains also decreased. The water carrying capacity of primary drains decreased to about 28.25 m</w:t>
      </w:r>
      <w:r w:rsidRPr="00CF00E1">
        <w:rPr>
          <w:rFonts w:cs="Times New Roman"/>
          <w:vertAlign w:val="superscript"/>
        </w:rPr>
        <w:t>3</w:t>
      </w:r>
      <w:r w:rsidRPr="00CF00E1">
        <w:rPr>
          <w:rFonts w:cs="Times New Roman"/>
        </w:rPr>
        <w:t xml:space="preserve"> to 31.64 m</w:t>
      </w:r>
      <w:r w:rsidRPr="00CF00E1">
        <w:rPr>
          <w:rFonts w:cs="Times New Roman"/>
          <w:vertAlign w:val="superscript"/>
        </w:rPr>
        <w:t>3</w:t>
      </w:r>
      <w:r w:rsidRPr="00CF00E1">
        <w:rPr>
          <w:rFonts w:cs="Times New Roman"/>
        </w:rPr>
        <w:t xml:space="preserve"> from their initial capacity i.e. 45.30 m</w:t>
      </w:r>
      <w:r w:rsidRPr="00CF00E1">
        <w:rPr>
          <w:rFonts w:cs="Times New Roman"/>
          <w:vertAlign w:val="superscript"/>
        </w:rPr>
        <w:t>3</w:t>
      </w:r>
      <w:r w:rsidRPr="00CF00E1">
        <w:rPr>
          <w:rFonts w:cs="Times New Roman"/>
        </w:rPr>
        <w:t xml:space="preserve"> at the time of construction. The capacity of secondary drains decreased to about 15.867 m</w:t>
      </w:r>
      <w:r w:rsidRPr="00CF00E1">
        <w:rPr>
          <w:rFonts w:cs="Times New Roman"/>
          <w:vertAlign w:val="superscript"/>
        </w:rPr>
        <w:t>3</w:t>
      </w:r>
      <w:r w:rsidRPr="00CF00E1">
        <w:rPr>
          <w:rFonts w:cs="Times New Roman"/>
        </w:rPr>
        <w:t xml:space="preserve"> to 18.98 m</w:t>
      </w:r>
      <w:r w:rsidRPr="00CF00E1">
        <w:rPr>
          <w:rFonts w:cs="Times New Roman"/>
          <w:vertAlign w:val="superscript"/>
        </w:rPr>
        <w:t>3</w:t>
      </w:r>
      <w:r w:rsidRPr="00CF00E1">
        <w:rPr>
          <w:rFonts w:cs="Times New Roman"/>
        </w:rPr>
        <w:t xml:space="preserve"> from their initial capacity of 27.17 m</w:t>
      </w:r>
      <w:r w:rsidRPr="00CF00E1">
        <w:rPr>
          <w:rFonts w:cs="Times New Roman"/>
          <w:vertAlign w:val="superscript"/>
        </w:rPr>
        <w:t>3</w:t>
      </w:r>
      <w:r w:rsidRPr="00CF00E1">
        <w:rPr>
          <w:rFonts w:cs="Times New Roman"/>
        </w:rPr>
        <w:t xml:space="preserve"> at the time of construction while water carrying capacity of tertiary drains decreased to about 3.95 m</w:t>
      </w:r>
      <w:r w:rsidRPr="00CF00E1">
        <w:rPr>
          <w:rFonts w:cs="Times New Roman"/>
          <w:vertAlign w:val="superscript"/>
        </w:rPr>
        <w:t>3</w:t>
      </w:r>
      <w:r w:rsidRPr="00CF00E1">
        <w:rPr>
          <w:rFonts w:cs="Times New Roman"/>
        </w:rPr>
        <w:t xml:space="preserve"> to 6.91 m</w:t>
      </w:r>
      <w:r w:rsidRPr="00CF00E1">
        <w:rPr>
          <w:rFonts w:cs="Times New Roman"/>
          <w:vertAlign w:val="superscript"/>
        </w:rPr>
        <w:t>3</w:t>
      </w:r>
      <w:r w:rsidRPr="00CF00E1">
        <w:rPr>
          <w:rFonts w:cs="Times New Roman"/>
        </w:rPr>
        <w:t xml:space="preserve"> from their initial capacity of 9.06 m</w:t>
      </w:r>
      <w:r w:rsidRPr="00CF00E1">
        <w:rPr>
          <w:rFonts w:cs="Times New Roman"/>
          <w:vertAlign w:val="superscript"/>
        </w:rPr>
        <w:t>3</w:t>
      </w:r>
      <w:r w:rsidRPr="00CF00E1">
        <w:rPr>
          <w:rFonts w:cs="Times New Roman"/>
        </w:rPr>
        <w:t xml:space="preserve"> at the time of construction.</w:t>
      </w:r>
    </w:p>
    <w:p w:rsidR="0048464B" w:rsidRPr="00CF00E1" w:rsidRDefault="0048464B" w:rsidP="0048464B">
      <w:pPr>
        <w:autoSpaceDE w:val="0"/>
        <w:autoSpaceDN w:val="0"/>
        <w:adjustRightInd w:val="0"/>
        <w:spacing w:line="276" w:lineRule="auto"/>
        <w:jc w:val="both"/>
        <w:rPr>
          <w:rFonts w:cs="Times New Roman"/>
          <w:color w:val="000000"/>
        </w:rPr>
      </w:pPr>
      <w:r w:rsidRPr="00CF00E1">
        <w:rPr>
          <w:rFonts w:cs="Times New Roman"/>
        </w:rPr>
        <w:t>One of the biggest challenges for Chittagong City Corporation in managing the drainage system is to deal with the illegal occupation of the canals. Many of the primary canals have disappeared and several secondary canals are either completely or partially occupied. The occupiers are very powerful and several attempts to reclaim the natural canals, especially the Chaktai Khal, which is the backbone of the natural drainage, have not been successful.</w:t>
      </w:r>
    </w:p>
    <w:p w:rsidR="0048464B" w:rsidRPr="00CF00E1" w:rsidRDefault="0048464B" w:rsidP="0048464B">
      <w:pPr>
        <w:spacing w:line="276" w:lineRule="auto"/>
        <w:jc w:val="both"/>
        <w:rPr>
          <w:rFonts w:cs="Times New Roman"/>
          <w:color w:val="000000"/>
        </w:rPr>
      </w:pPr>
      <w:r w:rsidRPr="00CF00E1">
        <w:rPr>
          <w:rFonts w:cs="Times New Roman"/>
        </w:rPr>
        <w:t>In Khulna City Corporation area</w:t>
      </w:r>
      <w:r>
        <w:rPr>
          <w:rFonts w:cs="Times New Roman"/>
        </w:rPr>
        <w:t>,</w:t>
      </w:r>
      <w:r w:rsidRPr="00CF00E1">
        <w:rPr>
          <w:rFonts w:cs="Times New Roman"/>
        </w:rPr>
        <w:t xml:space="preserve"> the existing drainage network is not adequate to meet the present need of the city. Most of Wards have less than the desired drainage length. According to KCC Drainage Master Plan (2011), three Wards have maximum drainage coverage while one </w:t>
      </w:r>
      <w:r w:rsidRPr="00CF00E1">
        <w:rPr>
          <w:rFonts w:cs="Times New Roman"/>
        </w:rPr>
        <w:lastRenderedPageBreak/>
        <w:t>Ward has no man-made drains. In most of the other Wards the drainage coverage is very low. It has been identified in the KCC Drainage Master Plan that the capacity and gravity of most existing drainage channels is not sufficient to carry out the excessive rainwater. In natural khals the flow of water is hampered due to inadequate drainage section, absence of inlets and outlets and lack of proper maintenance of drainage structures. Water logging occurs at many places. There are katcha drains in KCC area that have no outlets.</w:t>
      </w:r>
    </w:p>
    <w:p w:rsidR="0048464B" w:rsidRPr="00E03AFA" w:rsidRDefault="0048464B" w:rsidP="003D5A31">
      <w:pPr>
        <w:pStyle w:val="BodyText"/>
        <w:numPr>
          <w:ilvl w:val="2"/>
          <w:numId w:val="268"/>
        </w:numPr>
        <w:spacing w:after="240" w:line="276" w:lineRule="auto"/>
        <w:jc w:val="both"/>
        <w:rPr>
          <w:rFonts w:cs="Times New Roman"/>
          <w:b/>
          <w:szCs w:val="24"/>
        </w:rPr>
      </w:pPr>
      <w:r w:rsidRPr="00E03AFA">
        <w:rPr>
          <w:rFonts w:cs="Times New Roman"/>
          <w:b/>
          <w:szCs w:val="24"/>
        </w:rPr>
        <w:t xml:space="preserve">Capital Investment Requirements </w:t>
      </w:r>
    </w:p>
    <w:p w:rsidR="0048464B" w:rsidRPr="00581B13" w:rsidRDefault="0048464B" w:rsidP="0048464B">
      <w:pPr>
        <w:spacing w:line="276" w:lineRule="auto"/>
        <w:jc w:val="both"/>
        <w:rPr>
          <w:rFonts w:eastAsia="Times New Roman" w:cs="Times New Roman"/>
          <w:b/>
          <w:bCs/>
          <w:color w:val="006600"/>
          <w:u w:val="single"/>
          <w:lang w:eastAsia="en-GB"/>
        </w:rPr>
      </w:pPr>
      <w:r w:rsidRPr="00CF00E1">
        <w:rPr>
          <w:rFonts w:cs="Times New Roman"/>
        </w:rPr>
        <w:t>When the capacity of the natural drainage system shrinks due to the pressure of urban development the artificial drainage system needs to meet the drainage requirements of a city. This did not happen in Dhaka. The man-made drainage system has not been able to keep pace with the rapid urbanization of the city. Even the capacity of the existing system cannot be fully utilized due to lack o</w:t>
      </w:r>
      <w:r>
        <w:rPr>
          <w:rFonts w:cs="Times New Roman"/>
        </w:rPr>
        <w:t xml:space="preserve">f proper maintenance. Dasgupta, </w:t>
      </w:r>
      <w:r w:rsidRPr="00CF00E1">
        <w:rPr>
          <w:rFonts w:cs="Times New Roman"/>
        </w:rPr>
        <w:t>et.al. (2015) carried out a hydrological modeling exercise to assess the capacity of the existing drainage system of Dhaka. For this purpose</w:t>
      </w:r>
      <w:r>
        <w:rPr>
          <w:rFonts w:cs="Times New Roman"/>
        </w:rPr>
        <w:t>,</w:t>
      </w:r>
      <w:r w:rsidRPr="00CF00E1">
        <w:rPr>
          <w:rFonts w:cs="Times New Roman"/>
        </w:rPr>
        <w:t xml:space="preserve"> Dhaka metropolitan area was divided into seven modeled zones- Old Dhaka, Central Dhaka, Kallayanpur, Goranchatbari, Eastern Dha</w:t>
      </w:r>
      <w:r>
        <w:rPr>
          <w:rFonts w:cs="Times New Roman"/>
        </w:rPr>
        <w:t>ka, DND and Narayanganj (Map 10.1</w:t>
      </w:r>
      <w:r w:rsidRPr="00CF00E1">
        <w:rPr>
          <w:rFonts w:cs="Times New Roman"/>
        </w:rPr>
        <w:t xml:space="preserve">). The study has identified the deficit in the structural measures that have been adapted so far. On that basis the study recommended measures to address current adaptation deficit. The recommended additional investments include </w:t>
      </w:r>
      <w:r w:rsidRPr="00581B13">
        <w:rPr>
          <w:rFonts w:eastAsia="Times New Roman" w:cs="Times New Roman"/>
          <w:b/>
          <w:bCs/>
          <w:color w:val="006600"/>
          <w:u w:val="single"/>
          <w:lang w:eastAsia="en-GB"/>
        </w:rPr>
        <w:t>installing new permanent and temporary pump stations, increasing the capacities of existing pump stations, laying new drainage pipes, deepening existing water bodies, and installing automatic sluice gates to prevent backflow in box culverts. The study also analysed the impacts of climate change on the city’s water-logging problem and identified adaptation deficit due to climate change.</w:t>
      </w:r>
    </w:p>
    <w:p w:rsidR="0048464B" w:rsidRPr="00CF00E1" w:rsidRDefault="0048464B" w:rsidP="0048464B">
      <w:pPr>
        <w:spacing w:after="0" w:line="276" w:lineRule="auto"/>
        <w:jc w:val="both"/>
        <w:rPr>
          <w:rFonts w:cs="Times New Roman"/>
        </w:rPr>
      </w:pPr>
    </w:p>
    <w:p w:rsidR="0048464B" w:rsidRDefault="0048464B" w:rsidP="0048464B">
      <w:pPr>
        <w:rPr>
          <w:rFonts w:cs="Times New Roman"/>
          <w:b/>
        </w:rPr>
      </w:pPr>
      <w:r>
        <w:rPr>
          <w:rFonts w:cs="Times New Roman"/>
          <w:b/>
        </w:rPr>
        <w:br w:type="page"/>
      </w:r>
    </w:p>
    <w:p w:rsidR="0048464B" w:rsidRPr="00101CE9" w:rsidRDefault="0048464B" w:rsidP="0048464B">
      <w:pPr>
        <w:jc w:val="center"/>
        <w:rPr>
          <w:b/>
        </w:rPr>
      </w:pPr>
      <w:bookmarkStart w:id="783" w:name="_Toc464329149"/>
      <w:r w:rsidRPr="00101CE9">
        <w:rPr>
          <w:b/>
        </w:rPr>
        <w:lastRenderedPageBreak/>
        <w:t>Map 10.1: Zoning of Dhaka for Hydrological Study</w:t>
      </w:r>
      <w:bookmarkEnd w:id="783"/>
    </w:p>
    <w:p w:rsidR="0048464B" w:rsidRPr="00CF00E1" w:rsidRDefault="0048464B" w:rsidP="0048464B">
      <w:pPr>
        <w:spacing w:after="120"/>
        <w:ind w:left="432"/>
        <w:jc w:val="both"/>
        <w:rPr>
          <w:rFonts w:cs="Times New Roman"/>
        </w:rPr>
      </w:pPr>
      <w:r w:rsidRPr="00D723C2">
        <w:rPr>
          <w:rFonts w:cs="Times New Roman"/>
          <w:noProof/>
          <w:lang w:val="en-AU" w:eastAsia="en-AU" w:bidi="bn-BD"/>
        </w:rPr>
        <w:drawing>
          <wp:inline distT="0" distB="0" distL="0" distR="0">
            <wp:extent cx="5543550" cy="6543675"/>
            <wp:effectExtent l="0" t="0" r="0" b="9525"/>
            <wp:docPr id="31" name="Picture 6"/>
            <wp:cNvGraphicFramePr/>
            <a:graphic xmlns:a="http://schemas.openxmlformats.org/drawingml/2006/main">
              <a:graphicData uri="http://schemas.openxmlformats.org/drawingml/2006/picture">
                <pic:pic xmlns:pic="http://schemas.openxmlformats.org/drawingml/2006/picture">
                  <pic:nvPicPr>
                    <pic:cNvPr id="59393" name="Picture 1"/>
                    <pic:cNvPicPr>
                      <a:picLocks noChangeAspect="1" noChangeArrowheads="1"/>
                    </pic:cNvPicPr>
                  </pic:nvPicPr>
                  <pic:blipFill>
                    <a:blip r:embed="rId175" cstate="screen"/>
                    <a:srcRect/>
                    <a:stretch>
                      <a:fillRect/>
                    </a:stretch>
                  </pic:blipFill>
                  <pic:spPr bwMode="auto">
                    <a:xfrm>
                      <a:off x="0" y="0"/>
                      <a:ext cx="5554180" cy="6556223"/>
                    </a:xfrm>
                    <a:prstGeom prst="rect">
                      <a:avLst/>
                    </a:prstGeom>
                    <a:noFill/>
                    <a:ln w="9525">
                      <a:noFill/>
                      <a:miter lim="800000"/>
                      <a:headEnd/>
                      <a:tailEnd/>
                    </a:ln>
                    <a:effectLst/>
                  </pic:spPr>
                </pic:pic>
              </a:graphicData>
            </a:graphic>
          </wp:inline>
        </w:drawing>
      </w:r>
    </w:p>
    <w:p w:rsidR="0048464B" w:rsidRPr="00FC38EA" w:rsidRDefault="0048464B" w:rsidP="0048464B">
      <w:pPr>
        <w:spacing w:line="240" w:lineRule="auto"/>
        <w:jc w:val="both"/>
        <w:rPr>
          <w:rFonts w:cs="Times New Roman"/>
          <w:b/>
          <w:i/>
        </w:rPr>
      </w:pPr>
      <w:r w:rsidRPr="00FC38EA">
        <w:rPr>
          <w:rFonts w:cs="Times New Roman"/>
          <w:b/>
          <w:i/>
        </w:rPr>
        <w:t xml:space="preserve">         </w:t>
      </w:r>
      <w:r w:rsidRPr="00FC38EA">
        <w:rPr>
          <w:rFonts w:cs="Times New Roman"/>
          <w:b/>
          <w:i/>
          <w:sz w:val="20"/>
        </w:rPr>
        <w:t>Source: Dasgupta et al, 2015</w:t>
      </w:r>
    </w:p>
    <w:p w:rsidR="0048464B" w:rsidRPr="00CF00E1" w:rsidRDefault="0048464B" w:rsidP="0048464B">
      <w:pPr>
        <w:spacing w:after="0" w:line="276" w:lineRule="auto"/>
        <w:jc w:val="both"/>
        <w:rPr>
          <w:rFonts w:cs="Times New Roman"/>
        </w:rPr>
      </w:pPr>
      <w:r w:rsidRPr="00CF00E1">
        <w:rPr>
          <w:rFonts w:cs="Times New Roman"/>
        </w:rPr>
        <w:t>Table</w:t>
      </w:r>
      <w:r>
        <w:rPr>
          <w:rFonts w:cs="Times New Roman"/>
        </w:rPr>
        <w:t xml:space="preserve"> 10.33</w:t>
      </w:r>
      <w:r w:rsidRPr="00CF00E1">
        <w:rPr>
          <w:rFonts w:cs="Times New Roman"/>
        </w:rPr>
        <w:t xml:space="preserve"> </w:t>
      </w:r>
      <w:r w:rsidRPr="00581B13">
        <w:rPr>
          <w:rFonts w:cs="Times New Roman"/>
          <w:b/>
          <w:strike/>
          <w:color w:val="00B050"/>
        </w:rPr>
        <w:t>below</w:t>
      </w:r>
      <w:r w:rsidRPr="00CF00E1">
        <w:rPr>
          <w:rFonts w:cs="Times New Roman"/>
        </w:rPr>
        <w:t xml:space="preserve"> shows the total estimated cost of adaptation of structural measures for the five modeled zones. Structural measures were not recommended for rural portions of Narayanganj and Eastern Dhaka. Adaptation of non-structural measures was recommended for these areas. It was suggested that in Narayanganj all water bodies identified in the Detailed Area Plan (DAP) of </w:t>
      </w:r>
      <w:r w:rsidRPr="00CF00E1">
        <w:rPr>
          <w:rFonts w:cs="Times New Roman"/>
        </w:rPr>
        <w:lastRenderedPageBreak/>
        <w:t>Rajuk need protection, and khals and drains should be protected from solid waste. In Eastern Dhaka, planned land use as identified in the DAP must be enforced, water retention ponds require protection, and khals should be protected from encroachment and solid waste.</w:t>
      </w:r>
    </w:p>
    <w:p w:rsidR="0048464B" w:rsidRPr="004001F5" w:rsidRDefault="0048464B" w:rsidP="0048464B">
      <w:pPr>
        <w:spacing w:after="0" w:line="276" w:lineRule="auto"/>
        <w:jc w:val="both"/>
        <w:rPr>
          <w:rFonts w:cs="Times New Roman"/>
        </w:rPr>
      </w:pPr>
    </w:p>
    <w:p w:rsidR="0048464B" w:rsidRPr="00101CE9" w:rsidRDefault="0048464B" w:rsidP="0048464B">
      <w:pPr>
        <w:jc w:val="center"/>
        <w:rPr>
          <w:b/>
        </w:rPr>
      </w:pPr>
      <w:bookmarkStart w:id="784" w:name="_Toc464329012"/>
      <w:r w:rsidRPr="00101CE9">
        <w:rPr>
          <w:b/>
        </w:rPr>
        <w:t>Table 10.33: Total Estimated Cost of Adaptation of Structural Measures for Five Zones</w:t>
      </w:r>
      <w:bookmarkEnd w:id="784"/>
    </w:p>
    <w:tbl>
      <w:tblPr>
        <w:tblStyle w:val="LightShading10"/>
        <w:tblW w:w="0" w:type="auto"/>
        <w:tblLook w:val="04A0"/>
      </w:tblPr>
      <w:tblGrid>
        <w:gridCol w:w="1590"/>
        <w:gridCol w:w="1398"/>
        <w:gridCol w:w="1440"/>
        <w:gridCol w:w="1350"/>
        <w:gridCol w:w="1710"/>
        <w:gridCol w:w="1754"/>
      </w:tblGrid>
      <w:tr w:rsidR="0048464B" w:rsidRPr="00961739" w:rsidTr="00F83382">
        <w:trPr>
          <w:cnfStyle w:val="100000000000"/>
        </w:trPr>
        <w:tc>
          <w:tcPr>
            <w:cnfStyle w:val="001000000000"/>
            <w:tcW w:w="1590" w:type="dxa"/>
          </w:tcPr>
          <w:p w:rsidR="0048464B" w:rsidRPr="00961739" w:rsidRDefault="0048464B" w:rsidP="00F83382">
            <w:pPr>
              <w:jc w:val="center"/>
              <w:rPr>
                <w:rFonts w:ascii="Times New Roman" w:hAnsi="Times New Roman"/>
              </w:rPr>
            </w:pPr>
            <w:r w:rsidRPr="00961739">
              <w:rPr>
                <w:rFonts w:ascii="Times New Roman" w:hAnsi="Times New Roman"/>
              </w:rPr>
              <w:t>Modeled zone</w:t>
            </w:r>
          </w:p>
        </w:tc>
        <w:tc>
          <w:tcPr>
            <w:tcW w:w="1398" w:type="dxa"/>
          </w:tcPr>
          <w:p w:rsidR="0048464B" w:rsidRPr="00961739" w:rsidRDefault="0048464B" w:rsidP="00F83382">
            <w:pPr>
              <w:jc w:val="center"/>
              <w:cnfStyle w:val="100000000000"/>
              <w:rPr>
                <w:rFonts w:ascii="Times New Roman" w:hAnsi="Times New Roman"/>
              </w:rPr>
            </w:pPr>
            <w:r w:rsidRPr="00961739">
              <w:rPr>
                <w:rFonts w:ascii="Times New Roman" w:hAnsi="Times New Roman"/>
              </w:rPr>
              <w:t>Current adaptation deficit</w:t>
            </w:r>
          </w:p>
          <w:p w:rsidR="0048464B" w:rsidRPr="00961739" w:rsidRDefault="0048464B" w:rsidP="00F83382">
            <w:pPr>
              <w:jc w:val="center"/>
              <w:cnfStyle w:val="100000000000"/>
              <w:rPr>
                <w:rFonts w:ascii="Times New Roman" w:hAnsi="Times New Roman"/>
              </w:rPr>
            </w:pPr>
            <w:r w:rsidRPr="00961739">
              <w:rPr>
                <w:rFonts w:ascii="Times New Roman" w:hAnsi="Times New Roman"/>
              </w:rPr>
              <w:t>(Million Tk.)</w:t>
            </w:r>
          </w:p>
        </w:tc>
        <w:tc>
          <w:tcPr>
            <w:tcW w:w="1440" w:type="dxa"/>
          </w:tcPr>
          <w:p w:rsidR="0048464B" w:rsidRPr="00961739" w:rsidRDefault="0048464B" w:rsidP="00F83382">
            <w:pPr>
              <w:jc w:val="center"/>
              <w:cnfStyle w:val="100000000000"/>
              <w:rPr>
                <w:rFonts w:ascii="Times New Roman" w:hAnsi="Times New Roman"/>
              </w:rPr>
            </w:pPr>
            <w:r w:rsidRPr="00961739">
              <w:rPr>
                <w:rFonts w:ascii="Times New Roman" w:hAnsi="Times New Roman"/>
              </w:rPr>
              <w:t>Climate change deficit</w:t>
            </w:r>
          </w:p>
          <w:p w:rsidR="0048464B" w:rsidRPr="00961739" w:rsidRDefault="0048464B" w:rsidP="00F83382">
            <w:pPr>
              <w:jc w:val="center"/>
              <w:cnfStyle w:val="100000000000"/>
              <w:rPr>
                <w:rFonts w:ascii="Times New Roman" w:hAnsi="Times New Roman"/>
              </w:rPr>
            </w:pPr>
            <w:r w:rsidRPr="00961739">
              <w:rPr>
                <w:rFonts w:ascii="Times New Roman" w:hAnsi="Times New Roman"/>
              </w:rPr>
              <w:t>(Million Tk.)</w:t>
            </w:r>
          </w:p>
        </w:tc>
        <w:tc>
          <w:tcPr>
            <w:tcW w:w="1350" w:type="dxa"/>
          </w:tcPr>
          <w:p w:rsidR="0048464B" w:rsidRPr="00961739" w:rsidRDefault="0048464B" w:rsidP="00F83382">
            <w:pPr>
              <w:jc w:val="center"/>
              <w:cnfStyle w:val="100000000000"/>
              <w:rPr>
                <w:rFonts w:ascii="Times New Roman" w:hAnsi="Times New Roman"/>
              </w:rPr>
            </w:pPr>
            <w:r w:rsidRPr="00961739">
              <w:rPr>
                <w:rFonts w:ascii="Times New Roman" w:hAnsi="Times New Roman"/>
              </w:rPr>
              <w:t>Total cost</w:t>
            </w:r>
          </w:p>
          <w:p w:rsidR="0048464B" w:rsidRPr="00961739" w:rsidRDefault="0048464B" w:rsidP="00F83382">
            <w:pPr>
              <w:jc w:val="center"/>
              <w:cnfStyle w:val="100000000000"/>
              <w:rPr>
                <w:rFonts w:ascii="Times New Roman" w:hAnsi="Times New Roman"/>
              </w:rPr>
            </w:pPr>
            <w:r w:rsidRPr="00961739">
              <w:rPr>
                <w:rFonts w:ascii="Times New Roman" w:hAnsi="Times New Roman"/>
              </w:rPr>
              <w:t>(Million Tk.)</w:t>
            </w:r>
          </w:p>
        </w:tc>
        <w:tc>
          <w:tcPr>
            <w:tcW w:w="1710" w:type="dxa"/>
          </w:tcPr>
          <w:p w:rsidR="0048464B" w:rsidRPr="00961739" w:rsidRDefault="0048464B" w:rsidP="00F83382">
            <w:pPr>
              <w:jc w:val="center"/>
              <w:cnfStyle w:val="100000000000"/>
              <w:rPr>
                <w:rFonts w:ascii="Times New Roman" w:hAnsi="Times New Roman"/>
              </w:rPr>
            </w:pPr>
            <w:r w:rsidRPr="00961739">
              <w:rPr>
                <w:rFonts w:ascii="Times New Roman" w:hAnsi="Times New Roman"/>
              </w:rPr>
              <w:t>Damage avoided in 2050</w:t>
            </w:r>
          </w:p>
          <w:p w:rsidR="0048464B" w:rsidRPr="00961739" w:rsidRDefault="0048464B" w:rsidP="00F83382">
            <w:pPr>
              <w:jc w:val="center"/>
              <w:cnfStyle w:val="100000000000"/>
              <w:rPr>
                <w:rFonts w:ascii="Times New Roman" w:hAnsi="Times New Roman"/>
              </w:rPr>
            </w:pPr>
            <w:r w:rsidRPr="00961739">
              <w:rPr>
                <w:rFonts w:ascii="Times New Roman" w:hAnsi="Times New Roman"/>
              </w:rPr>
              <w:t>(Million Tk.)</w:t>
            </w:r>
          </w:p>
        </w:tc>
        <w:tc>
          <w:tcPr>
            <w:tcW w:w="1754" w:type="dxa"/>
          </w:tcPr>
          <w:p w:rsidR="0048464B" w:rsidRPr="00961739" w:rsidRDefault="0048464B" w:rsidP="00F83382">
            <w:pPr>
              <w:jc w:val="center"/>
              <w:cnfStyle w:val="100000000000"/>
              <w:rPr>
                <w:rFonts w:ascii="Times New Roman" w:hAnsi="Times New Roman"/>
              </w:rPr>
            </w:pPr>
            <w:r w:rsidRPr="00961739">
              <w:rPr>
                <w:rFonts w:ascii="Times New Roman" w:hAnsi="Times New Roman"/>
              </w:rPr>
              <w:t>Cumulative damage avoided to 2050</w:t>
            </w:r>
          </w:p>
          <w:p w:rsidR="0048464B" w:rsidRPr="00961739" w:rsidRDefault="0048464B" w:rsidP="00F83382">
            <w:pPr>
              <w:jc w:val="center"/>
              <w:cnfStyle w:val="100000000000"/>
              <w:rPr>
                <w:rFonts w:ascii="Times New Roman" w:hAnsi="Times New Roman"/>
              </w:rPr>
            </w:pPr>
            <w:r w:rsidRPr="00961739">
              <w:rPr>
                <w:rFonts w:ascii="Times New Roman" w:hAnsi="Times New Roman"/>
              </w:rPr>
              <w:t>(Million Tk.)</w:t>
            </w:r>
          </w:p>
        </w:tc>
      </w:tr>
      <w:tr w:rsidR="0048464B" w:rsidRPr="00961739" w:rsidTr="00F83382">
        <w:trPr>
          <w:cnfStyle w:val="000000100000"/>
        </w:trPr>
        <w:tc>
          <w:tcPr>
            <w:cnfStyle w:val="001000000000"/>
            <w:tcW w:w="1590" w:type="dxa"/>
          </w:tcPr>
          <w:p w:rsidR="0048464B" w:rsidRPr="00961739" w:rsidRDefault="0048464B" w:rsidP="00F83382">
            <w:pPr>
              <w:spacing w:after="0"/>
              <w:jc w:val="both"/>
              <w:rPr>
                <w:rFonts w:ascii="Times New Roman" w:hAnsi="Times New Roman"/>
              </w:rPr>
            </w:pPr>
            <w:r w:rsidRPr="00961739">
              <w:rPr>
                <w:rFonts w:ascii="Times New Roman" w:hAnsi="Times New Roman"/>
              </w:rPr>
              <w:t>Old Dhaka</w:t>
            </w:r>
          </w:p>
        </w:tc>
        <w:tc>
          <w:tcPr>
            <w:tcW w:w="1398"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64.8</w:t>
            </w:r>
          </w:p>
        </w:tc>
        <w:tc>
          <w:tcPr>
            <w:tcW w:w="1440"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34.3</w:t>
            </w:r>
          </w:p>
        </w:tc>
        <w:tc>
          <w:tcPr>
            <w:tcW w:w="1350"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99.1</w:t>
            </w:r>
          </w:p>
        </w:tc>
        <w:tc>
          <w:tcPr>
            <w:tcW w:w="1710"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1,002</w:t>
            </w:r>
          </w:p>
        </w:tc>
        <w:tc>
          <w:tcPr>
            <w:tcW w:w="1754"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13,915</w:t>
            </w:r>
          </w:p>
        </w:tc>
      </w:tr>
      <w:tr w:rsidR="0048464B" w:rsidRPr="00961739" w:rsidTr="00F83382">
        <w:tc>
          <w:tcPr>
            <w:cnfStyle w:val="001000000000"/>
            <w:tcW w:w="1590" w:type="dxa"/>
          </w:tcPr>
          <w:p w:rsidR="0048464B" w:rsidRPr="00961739" w:rsidRDefault="0048464B" w:rsidP="00F83382">
            <w:pPr>
              <w:spacing w:after="0"/>
              <w:jc w:val="both"/>
              <w:rPr>
                <w:rFonts w:ascii="Times New Roman" w:hAnsi="Times New Roman"/>
              </w:rPr>
            </w:pPr>
            <w:r w:rsidRPr="00961739">
              <w:rPr>
                <w:rFonts w:ascii="Times New Roman" w:hAnsi="Times New Roman"/>
              </w:rPr>
              <w:t>Central Dhaka</w:t>
            </w:r>
          </w:p>
        </w:tc>
        <w:tc>
          <w:tcPr>
            <w:tcW w:w="1398"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1,449.5</w:t>
            </w:r>
          </w:p>
        </w:tc>
        <w:tc>
          <w:tcPr>
            <w:tcW w:w="1440"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91.1</w:t>
            </w:r>
          </w:p>
        </w:tc>
        <w:tc>
          <w:tcPr>
            <w:tcW w:w="1350"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1,540.6</w:t>
            </w:r>
          </w:p>
        </w:tc>
        <w:tc>
          <w:tcPr>
            <w:tcW w:w="1710"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3,888</w:t>
            </w:r>
          </w:p>
        </w:tc>
        <w:tc>
          <w:tcPr>
            <w:tcW w:w="1754"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53,387</w:t>
            </w:r>
          </w:p>
        </w:tc>
      </w:tr>
      <w:tr w:rsidR="0048464B" w:rsidRPr="00961739" w:rsidTr="00F83382">
        <w:trPr>
          <w:cnfStyle w:val="000000100000"/>
        </w:trPr>
        <w:tc>
          <w:tcPr>
            <w:cnfStyle w:val="001000000000"/>
            <w:tcW w:w="1590" w:type="dxa"/>
          </w:tcPr>
          <w:p w:rsidR="0048464B" w:rsidRPr="00961739" w:rsidRDefault="0048464B" w:rsidP="00F83382">
            <w:pPr>
              <w:spacing w:after="0"/>
              <w:jc w:val="both"/>
              <w:rPr>
                <w:rFonts w:ascii="Times New Roman" w:hAnsi="Times New Roman"/>
              </w:rPr>
            </w:pPr>
            <w:r w:rsidRPr="00961739">
              <w:rPr>
                <w:rFonts w:ascii="Times New Roman" w:hAnsi="Times New Roman"/>
              </w:rPr>
              <w:t>Kollyanpur</w:t>
            </w:r>
          </w:p>
        </w:tc>
        <w:tc>
          <w:tcPr>
            <w:tcW w:w="1398"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345.4</w:t>
            </w:r>
          </w:p>
        </w:tc>
        <w:tc>
          <w:tcPr>
            <w:tcW w:w="1440"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16.2</w:t>
            </w:r>
          </w:p>
        </w:tc>
        <w:tc>
          <w:tcPr>
            <w:tcW w:w="1350"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361.6</w:t>
            </w:r>
          </w:p>
        </w:tc>
        <w:tc>
          <w:tcPr>
            <w:tcW w:w="1710"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1,410</w:t>
            </w:r>
          </w:p>
        </w:tc>
        <w:tc>
          <w:tcPr>
            <w:tcW w:w="1754"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19,562</w:t>
            </w:r>
          </w:p>
        </w:tc>
      </w:tr>
      <w:tr w:rsidR="0048464B" w:rsidRPr="00961739" w:rsidTr="00F83382">
        <w:tc>
          <w:tcPr>
            <w:cnfStyle w:val="001000000000"/>
            <w:tcW w:w="1590" w:type="dxa"/>
          </w:tcPr>
          <w:p w:rsidR="0048464B" w:rsidRPr="00961739" w:rsidRDefault="0048464B" w:rsidP="00F83382">
            <w:pPr>
              <w:spacing w:after="0"/>
              <w:jc w:val="both"/>
              <w:rPr>
                <w:rFonts w:ascii="Times New Roman" w:hAnsi="Times New Roman"/>
              </w:rPr>
            </w:pPr>
            <w:r w:rsidRPr="00961739">
              <w:rPr>
                <w:rFonts w:ascii="Times New Roman" w:hAnsi="Times New Roman"/>
              </w:rPr>
              <w:t>Goranchatbari</w:t>
            </w:r>
          </w:p>
        </w:tc>
        <w:tc>
          <w:tcPr>
            <w:tcW w:w="1398"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302.4</w:t>
            </w:r>
          </w:p>
        </w:tc>
        <w:tc>
          <w:tcPr>
            <w:tcW w:w="1440"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50.8</w:t>
            </w:r>
          </w:p>
        </w:tc>
        <w:tc>
          <w:tcPr>
            <w:tcW w:w="1350"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353.2</w:t>
            </w:r>
          </w:p>
        </w:tc>
        <w:tc>
          <w:tcPr>
            <w:tcW w:w="1710"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359</w:t>
            </w:r>
          </w:p>
        </w:tc>
        <w:tc>
          <w:tcPr>
            <w:tcW w:w="1754" w:type="dxa"/>
          </w:tcPr>
          <w:p w:rsidR="0048464B" w:rsidRPr="00961739" w:rsidRDefault="0048464B" w:rsidP="00F83382">
            <w:pPr>
              <w:spacing w:after="0"/>
              <w:jc w:val="right"/>
              <w:cnfStyle w:val="000000000000"/>
              <w:rPr>
                <w:rFonts w:ascii="Times New Roman" w:hAnsi="Times New Roman"/>
              </w:rPr>
            </w:pPr>
            <w:r w:rsidRPr="00961739">
              <w:rPr>
                <w:rFonts w:ascii="Times New Roman" w:hAnsi="Times New Roman"/>
              </w:rPr>
              <w:t>5,062</w:t>
            </w:r>
          </w:p>
        </w:tc>
      </w:tr>
      <w:tr w:rsidR="0048464B" w:rsidRPr="00961739" w:rsidTr="00F83382">
        <w:trPr>
          <w:cnfStyle w:val="000000100000"/>
        </w:trPr>
        <w:tc>
          <w:tcPr>
            <w:cnfStyle w:val="001000000000"/>
            <w:tcW w:w="1590" w:type="dxa"/>
          </w:tcPr>
          <w:p w:rsidR="0048464B" w:rsidRPr="00961739" w:rsidRDefault="0048464B" w:rsidP="00F83382">
            <w:pPr>
              <w:spacing w:after="0"/>
              <w:jc w:val="both"/>
              <w:rPr>
                <w:rFonts w:ascii="Times New Roman" w:hAnsi="Times New Roman"/>
              </w:rPr>
            </w:pPr>
            <w:r w:rsidRPr="00961739">
              <w:rPr>
                <w:rFonts w:ascii="Times New Roman" w:hAnsi="Times New Roman"/>
              </w:rPr>
              <w:t>DND</w:t>
            </w:r>
          </w:p>
        </w:tc>
        <w:tc>
          <w:tcPr>
            <w:tcW w:w="1398"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544.6</w:t>
            </w:r>
          </w:p>
        </w:tc>
        <w:tc>
          <w:tcPr>
            <w:tcW w:w="1440"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1,105.4</w:t>
            </w:r>
          </w:p>
        </w:tc>
        <w:tc>
          <w:tcPr>
            <w:tcW w:w="1350"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1,650.0</w:t>
            </w:r>
          </w:p>
        </w:tc>
        <w:tc>
          <w:tcPr>
            <w:tcW w:w="1710"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352</w:t>
            </w:r>
          </w:p>
        </w:tc>
        <w:tc>
          <w:tcPr>
            <w:tcW w:w="1754" w:type="dxa"/>
          </w:tcPr>
          <w:p w:rsidR="0048464B" w:rsidRPr="00961739" w:rsidRDefault="0048464B" w:rsidP="00F83382">
            <w:pPr>
              <w:spacing w:after="0"/>
              <w:jc w:val="right"/>
              <w:cnfStyle w:val="000000100000"/>
              <w:rPr>
                <w:rFonts w:ascii="Times New Roman" w:hAnsi="Times New Roman"/>
              </w:rPr>
            </w:pPr>
            <w:r w:rsidRPr="00961739">
              <w:rPr>
                <w:rFonts w:ascii="Times New Roman" w:hAnsi="Times New Roman"/>
              </w:rPr>
              <w:t>4,868</w:t>
            </w:r>
          </w:p>
        </w:tc>
      </w:tr>
      <w:tr w:rsidR="0048464B" w:rsidRPr="00961739" w:rsidTr="00F83382">
        <w:tc>
          <w:tcPr>
            <w:cnfStyle w:val="001000000000"/>
            <w:tcW w:w="1590" w:type="dxa"/>
          </w:tcPr>
          <w:p w:rsidR="0048464B" w:rsidRPr="00961739" w:rsidRDefault="0048464B" w:rsidP="00F83382">
            <w:pPr>
              <w:spacing w:after="0"/>
              <w:jc w:val="both"/>
              <w:rPr>
                <w:rFonts w:ascii="Times New Roman" w:hAnsi="Times New Roman"/>
                <w:b w:val="0"/>
              </w:rPr>
            </w:pPr>
            <w:r w:rsidRPr="00961739">
              <w:rPr>
                <w:rFonts w:ascii="Times New Roman" w:hAnsi="Times New Roman"/>
                <w:b w:val="0"/>
              </w:rPr>
              <w:t>Total cost</w:t>
            </w:r>
          </w:p>
        </w:tc>
        <w:tc>
          <w:tcPr>
            <w:tcW w:w="1398" w:type="dxa"/>
          </w:tcPr>
          <w:p w:rsidR="0048464B" w:rsidRPr="00961739" w:rsidRDefault="0048464B" w:rsidP="00F83382">
            <w:pPr>
              <w:spacing w:after="0"/>
              <w:jc w:val="right"/>
              <w:cnfStyle w:val="000000000000"/>
              <w:rPr>
                <w:rFonts w:ascii="Times New Roman" w:hAnsi="Times New Roman"/>
                <w:b/>
              </w:rPr>
            </w:pPr>
            <w:r w:rsidRPr="00961739">
              <w:rPr>
                <w:rFonts w:ascii="Times New Roman" w:hAnsi="Times New Roman"/>
                <w:b/>
              </w:rPr>
              <w:t>2,706.7</w:t>
            </w:r>
          </w:p>
        </w:tc>
        <w:tc>
          <w:tcPr>
            <w:tcW w:w="1440" w:type="dxa"/>
          </w:tcPr>
          <w:p w:rsidR="0048464B" w:rsidRPr="00961739" w:rsidRDefault="0048464B" w:rsidP="00F83382">
            <w:pPr>
              <w:spacing w:after="0"/>
              <w:jc w:val="right"/>
              <w:cnfStyle w:val="000000000000"/>
              <w:rPr>
                <w:rFonts w:ascii="Times New Roman" w:hAnsi="Times New Roman"/>
                <w:b/>
              </w:rPr>
            </w:pPr>
            <w:r w:rsidRPr="00961739">
              <w:rPr>
                <w:rFonts w:ascii="Times New Roman" w:hAnsi="Times New Roman"/>
                <w:b/>
              </w:rPr>
              <w:t>1,297.8</w:t>
            </w:r>
          </w:p>
        </w:tc>
        <w:tc>
          <w:tcPr>
            <w:tcW w:w="1350" w:type="dxa"/>
          </w:tcPr>
          <w:p w:rsidR="0048464B" w:rsidRPr="00961739" w:rsidRDefault="0048464B" w:rsidP="00F83382">
            <w:pPr>
              <w:spacing w:after="0"/>
              <w:jc w:val="right"/>
              <w:cnfStyle w:val="000000000000"/>
              <w:rPr>
                <w:rFonts w:ascii="Times New Roman" w:hAnsi="Times New Roman"/>
                <w:b/>
              </w:rPr>
            </w:pPr>
            <w:r w:rsidRPr="00961739">
              <w:rPr>
                <w:rFonts w:ascii="Times New Roman" w:hAnsi="Times New Roman"/>
                <w:b/>
              </w:rPr>
              <w:t>4,004.5</w:t>
            </w:r>
          </w:p>
        </w:tc>
        <w:tc>
          <w:tcPr>
            <w:tcW w:w="1710" w:type="dxa"/>
          </w:tcPr>
          <w:p w:rsidR="0048464B" w:rsidRPr="00961739" w:rsidRDefault="0048464B" w:rsidP="00F83382">
            <w:pPr>
              <w:spacing w:after="0"/>
              <w:jc w:val="right"/>
              <w:cnfStyle w:val="000000000000"/>
              <w:rPr>
                <w:rFonts w:ascii="Times New Roman" w:hAnsi="Times New Roman"/>
                <w:b/>
              </w:rPr>
            </w:pPr>
            <w:r w:rsidRPr="00961739">
              <w:rPr>
                <w:rFonts w:ascii="Times New Roman" w:hAnsi="Times New Roman"/>
                <w:b/>
              </w:rPr>
              <w:t>7,011</w:t>
            </w:r>
          </w:p>
        </w:tc>
        <w:tc>
          <w:tcPr>
            <w:tcW w:w="1754" w:type="dxa"/>
          </w:tcPr>
          <w:p w:rsidR="0048464B" w:rsidRPr="00961739" w:rsidRDefault="0048464B" w:rsidP="00F83382">
            <w:pPr>
              <w:spacing w:after="0"/>
              <w:jc w:val="right"/>
              <w:cnfStyle w:val="000000000000"/>
              <w:rPr>
                <w:rFonts w:ascii="Times New Roman" w:hAnsi="Times New Roman"/>
                <w:b/>
              </w:rPr>
            </w:pPr>
            <w:r w:rsidRPr="00961739">
              <w:rPr>
                <w:rFonts w:ascii="Times New Roman" w:hAnsi="Times New Roman"/>
                <w:b/>
              </w:rPr>
              <w:t>96,794</w:t>
            </w:r>
          </w:p>
        </w:tc>
      </w:tr>
    </w:tbl>
    <w:p w:rsidR="0048464B" w:rsidRPr="00CC323A" w:rsidRDefault="0048464B" w:rsidP="0048464B">
      <w:pPr>
        <w:spacing w:before="120" w:line="240" w:lineRule="auto"/>
        <w:jc w:val="both"/>
        <w:rPr>
          <w:rFonts w:cs="Times New Roman"/>
          <w:b/>
          <w:i/>
          <w:sz w:val="20"/>
        </w:rPr>
      </w:pPr>
      <w:r w:rsidRPr="00CC323A">
        <w:rPr>
          <w:rFonts w:cs="Times New Roman"/>
          <w:b/>
          <w:i/>
          <w:sz w:val="20"/>
        </w:rPr>
        <w:t>Source: Dasgupta, et.al. (2015)</w:t>
      </w:r>
    </w:p>
    <w:p w:rsidR="0048464B" w:rsidRDefault="0048464B" w:rsidP="0048464B">
      <w:pPr>
        <w:spacing w:line="276" w:lineRule="auto"/>
        <w:jc w:val="both"/>
        <w:rPr>
          <w:rFonts w:cs="Times New Roman"/>
        </w:rPr>
      </w:pPr>
      <w:r w:rsidRPr="00CF00E1">
        <w:rPr>
          <w:rFonts w:cs="Times New Roman"/>
        </w:rPr>
        <w:t>For a total estimated cost of Tk. 4.0 billion, it would be possible to meet the current adaptation deficit and also meet the adaptation measures to address climate change. The table shows that once the current adaptation deficit of approximately Tk. 2.7 billion is addressed, the added cost of closing the climate change gap would require another Tk. 1.3 billion. Central Dhaka would require the largest investment to meet its current adaptation deficits, at about Tk. 1.4 billion, while Old Dhaka would require the least, that is, Tk. 65 mi</w:t>
      </w:r>
      <w:r>
        <w:rPr>
          <w:rFonts w:cs="Times New Roman"/>
        </w:rPr>
        <w:t>llion only. All this investment</w:t>
      </w:r>
      <w:r w:rsidRPr="00CF00E1">
        <w:rPr>
          <w:rFonts w:cs="Times New Roman"/>
        </w:rPr>
        <w:t xml:space="preserve"> would help to avoid damage totaling Tk. 7.0 billion in 2050 while the cumulative damage saving between 2014 and 2050 would be around Tk. 96.8 billion.</w:t>
      </w:r>
    </w:p>
    <w:p w:rsidR="0048464B" w:rsidRPr="00CF00E1" w:rsidRDefault="0048464B" w:rsidP="0048464B">
      <w:pPr>
        <w:spacing w:line="276" w:lineRule="auto"/>
        <w:jc w:val="both"/>
        <w:rPr>
          <w:rFonts w:cs="Times New Roman"/>
        </w:rPr>
      </w:pPr>
      <w:r w:rsidRPr="00581B13">
        <w:rPr>
          <w:rFonts w:eastAsia="Times New Roman" w:cs="Times New Roman"/>
          <w:b/>
          <w:bCs/>
          <w:color w:val="006600"/>
          <w:u w:val="single"/>
          <w:lang w:eastAsia="en-GB"/>
        </w:rPr>
        <w:t>Water Sector Development Plan (WSDP, 2011)</w:t>
      </w:r>
      <w:r w:rsidRPr="00CF00E1">
        <w:rPr>
          <w:rFonts w:cs="Times New Roman"/>
        </w:rPr>
        <w:t xml:space="preserve"> estimated the investment requirements for improvement of urban drainage systems in different cities and towns of the country for short (2011-15), medium (2016-20) and long (2021-2025) terms. For this purpose, three scenarios were developed as shown below:</w:t>
      </w:r>
    </w:p>
    <w:p w:rsidR="0048464B" w:rsidRPr="00CF00E1" w:rsidRDefault="0048464B" w:rsidP="003D5A31">
      <w:pPr>
        <w:pStyle w:val="ListParagraph"/>
        <w:numPr>
          <w:ilvl w:val="0"/>
          <w:numId w:val="124"/>
        </w:numPr>
        <w:spacing w:after="200" w:line="276" w:lineRule="auto"/>
        <w:jc w:val="both"/>
        <w:rPr>
          <w:rFonts w:cs="Times New Roman"/>
          <w:szCs w:val="24"/>
        </w:rPr>
      </w:pPr>
      <w:r w:rsidRPr="00CF00E1">
        <w:rPr>
          <w:rFonts w:cs="Times New Roman"/>
          <w:b/>
          <w:szCs w:val="24"/>
        </w:rPr>
        <w:t>Scenario-1 (Base case)</w:t>
      </w:r>
      <w:r w:rsidRPr="00CF00E1">
        <w:rPr>
          <w:rFonts w:cs="Times New Roman"/>
          <w:szCs w:val="24"/>
        </w:rPr>
        <w:t xml:space="preserve"> – which is the present sector condition characterized by low service level and low operating efficiency</w:t>
      </w:r>
    </w:p>
    <w:p w:rsidR="0048464B" w:rsidRPr="00CF00E1" w:rsidRDefault="0048464B" w:rsidP="003D5A31">
      <w:pPr>
        <w:pStyle w:val="ListParagraph"/>
        <w:numPr>
          <w:ilvl w:val="0"/>
          <w:numId w:val="124"/>
        </w:numPr>
        <w:spacing w:after="200" w:line="276" w:lineRule="auto"/>
        <w:jc w:val="both"/>
        <w:rPr>
          <w:rFonts w:cs="Times New Roman"/>
          <w:szCs w:val="24"/>
        </w:rPr>
      </w:pPr>
      <w:r w:rsidRPr="00CF00E1">
        <w:rPr>
          <w:rFonts w:cs="Times New Roman"/>
          <w:b/>
          <w:szCs w:val="24"/>
        </w:rPr>
        <w:t>Scenario-2 (Moderate)</w:t>
      </w:r>
      <w:r w:rsidRPr="00CF00E1">
        <w:rPr>
          <w:rFonts w:cs="Times New Roman"/>
          <w:szCs w:val="24"/>
        </w:rPr>
        <w:t xml:space="preserve"> – moderate service level and moderate operating efficiency</w:t>
      </w:r>
    </w:p>
    <w:p w:rsidR="0048464B" w:rsidRPr="00CF00E1" w:rsidRDefault="0048464B" w:rsidP="003D5A31">
      <w:pPr>
        <w:pStyle w:val="ListParagraph"/>
        <w:numPr>
          <w:ilvl w:val="0"/>
          <w:numId w:val="124"/>
        </w:numPr>
        <w:spacing w:after="200" w:line="276" w:lineRule="auto"/>
        <w:jc w:val="both"/>
        <w:rPr>
          <w:rFonts w:cs="Times New Roman"/>
          <w:szCs w:val="24"/>
        </w:rPr>
      </w:pPr>
      <w:r w:rsidRPr="00CF00E1">
        <w:rPr>
          <w:rFonts w:cs="Times New Roman"/>
          <w:b/>
          <w:szCs w:val="24"/>
        </w:rPr>
        <w:t>Scenario-3 (High)</w:t>
      </w:r>
      <w:r w:rsidRPr="00CF00E1">
        <w:rPr>
          <w:rFonts w:cs="Times New Roman"/>
          <w:szCs w:val="24"/>
        </w:rPr>
        <w:t xml:space="preserve"> -- high service level and high operating efficiency</w:t>
      </w:r>
    </w:p>
    <w:p w:rsidR="0048464B" w:rsidRPr="00715553" w:rsidRDefault="0048464B" w:rsidP="0048464B">
      <w:pPr>
        <w:spacing w:line="276" w:lineRule="auto"/>
        <w:jc w:val="both"/>
        <w:rPr>
          <w:rFonts w:cs="Times New Roman"/>
        </w:rPr>
      </w:pPr>
      <w:r w:rsidRPr="00CF00E1">
        <w:rPr>
          <w:rFonts w:cs="Times New Roman"/>
        </w:rPr>
        <w:t>Physical targets of urban drainage</w:t>
      </w:r>
      <w:r>
        <w:rPr>
          <w:rFonts w:cs="Times New Roman"/>
        </w:rPr>
        <w:t xml:space="preserve"> for each scenario are shown in Table 10.34 below:</w:t>
      </w:r>
    </w:p>
    <w:p w:rsidR="0048464B" w:rsidRDefault="0048464B" w:rsidP="0048464B">
      <w:pPr>
        <w:rPr>
          <w:rFonts w:cs="Times New Roman"/>
          <w:b/>
        </w:rPr>
      </w:pPr>
      <w:r>
        <w:rPr>
          <w:rFonts w:cs="Times New Roman"/>
          <w:b/>
        </w:rPr>
        <w:br w:type="page"/>
      </w:r>
    </w:p>
    <w:p w:rsidR="0048464B" w:rsidRPr="00101CE9" w:rsidRDefault="0048464B" w:rsidP="0048464B">
      <w:pPr>
        <w:jc w:val="center"/>
        <w:rPr>
          <w:b/>
        </w:rPr>
      </w:pPr>
      <w:bookmarkStart w:id="785" w:name="_Toc464329013"/>
      <w:r w:rsidRPr="00101CE9">
        <w:rPr>
          <w:b/>
        </w:rPr>
        <w:lastRenderedPageBreak/>
        <w:t>Table 10.34: Coverage Percentage by Urban Drainage</w:t>
      </w:r>
      <w:bookmarkEnd w:id="785"/>
    </w:p>
    <w:tbl>
      <w:tblPr>
        <w:tblStyle w:val="PlainTable120"/>
        <w:tblW w:w="5000" w:type="pct"/>
        <w:tblLook w:val="04A0"/>
      </w:tblPr>
      <w:tblGrid>
        <w:gridCol w:w="1522"/>
        <w:gridCol w:w="955"/>
        <w:gridCol w:w="911"/>
        <w:gridCol w:w="774"/>
        <w:gridCol w:w="774"/>
        <w:gridCol w:w="774"/>
        <w:gridCol w:w="774"/>
        <w:gridCol w:w="774"/>
        <w:gridCol w:w="774"/>
        <w:gridCol w:w="774"/>
        <w:gridCol w:w="770"/>
      </w:tblGrid>
      <w:tr w:rsidR="0048464B" w:rsidRPr="00CF00E1" w:rsidTr="00F83382">
        <w:trPr>
          <w:cnfStyle w:val="100000000000"/>
        </w:trPr>
        <w:tc>
          <w:tcPr>
            <w:cnfStyle w:val="001000000000"/>
            <w:tcW w:w="795" w:type="pct"/>
            <w:vMerge w:val="restart"/>
          </w:tcPr>
          <w:p w:rsidR="0048464B" w:rsidRPr="003D0135" w:rsidRDefault="0048464B" w:rsidP="00F83382">
            <w:pPr>
              <w:jc w:val="both"/>
              <w:rPr>
                <w:rFonts w:cs="Times New Roman"/>
                <w:b w:val="0"/>
                <w:sz w:val="22"/>
              </w:rPr>
            </w:pPr>
            <w:r w:rsidRPr="003D0135">
              <w:rPr>
                <w:rFonts w:cs="Times New Roman"/>
                <w:b w:val="0"/>
                <w:sz w:val="22"/>
              </w:rPr>
              <w:t>Planning Areas</w:t>
            </w:r>
          </w:p>
        </w:tc>
        <w:tc>
          <w:tcPr>
            <w:tcW w:w="499" w:type="pct"/>
            <w:vMerge w:val="restart"/>
          </w:tcPr>
          <w:p w:rsidR="0048464B" w:rsidRPr="003D0135" w:rsidRDefault="0048464B" w:rsidP="00F83382">
            <w:pPr>
              <w:jc w:val="center"/>
              <w:cnfStyle w:val="100000000000"/>
              <w:rPr>
                <w:rFonts w:cs="Times New Roman"/>
                <w:b w:val="0"/>
                <w:sz w:val="22"/>
              </w:rPr>
            </w:pPr>
            <w:r w:rsidRPr="003D0135">
              <w:rPr>
                <w:rFonts w:cs="Times New Roman"/>
                <w:b w:val="0"/>
                <w:sz w:val="22"/>
              </w:rPr>
              <w:t>Present</w:t>
            </w:r>
          </w:p>
        </w:tc>
        <w:tc>
          <w:tcPr>
            <w:tcW w:w="1283" w:type="pct"/>
            <w:gridSpan w:val="3"/>
          </w:tcPr>
          <w:p w:rsidR="0048464B" w:rsidRPr="003D0135" w:rsidRDefault="0048464B" w:rsidP="00F83382">
            <w:pPr>
              <w:jc w:val="center"/>
              <w:cnfStyle w:val="100000000000"/>
              <w:rPr>
                <w:rFonts w:cs="Times New Roman"/>
                <w:b w:val="0"/>
                <w:sz w:val="22"/>
              </w:rPr>
            </w:pPr>
            <w:r w:rsidRPr="003D0135">
              <w:rPr>
                <w:rFonts w:cs="Times New Roman"/>
                <w:b w:val="0"/>
                <w:sz w:val="22"/>
              </w:rPr>
              <w:t>Scenario-1</w:t>
            </w:r>
          </w:p>
        </w:tc>
        <w:tc>
          <w:tcPr>
            <w:tcW w:w="1211" w:type="pct"/>
            <w:gridSpan w:val="3"/>
          </w:tcPr>
          <w:p w:rsidR="0048464B" w:rsidRPr="003D0135" w:rsidRDefault="0048464B" w:rsidP="00F83382">
            <w:pPr>
              <w:jc w:val="center"/>
              <w:cnfStyle w:val="100000000000"/>
              <w:rPr>
                <w:rFonts w:cs="Times New Roman"/>
                <w:b w:val="0"/>
                <w:sz w:val="22"/>
              </w:rPr>
            </w:pPr>
            <w:r w:rsidRPr="003D0135">
              <w:rPr>
                <w:rFonts w:cs="Times New Roman"/>
                <w:b w:val="0"/>
                <w:sz w:val="22"/>
              </w:rPr>
              <w:t>Scenario-2</w:t>
            </w:r>
          </w:p>
        </w:tc>
        <w:tc>
          <w:tcPr>
            <w:tcW w:w="1211" w:type="pct"/>
            <w:gridSpan w:val="3"/>
          </w:tcPr>
          <w:p w:rsidR="0048464B" w:rsidRPr="003D0135" w:rsidRDefault="0048464B" w:rsidP="00F83382">
            <w:pPr>
              <w:jc w:val="center"/>
              <w:cnfStyle w:val="100000000000"/>
              <w:rPr>
                <w:rFonts w:cs="Times New Roman"/>
                <w:b w:val="0"/>
                <w:sz w:val="22"/>
              </w:rPr>
            </w:pPr>
            <w:r w:rsidRPr="003D0135">
              <w:rPr>
                <w:rFonts w:cs="Times New Roman"/>
                <w:b w:val="0"/>
                <w:sz w:val="22"/>
              </w:rPr>
              <w:t>Scenario-3</w:t>
            </w:r>
          </w:p>
        </w:tc>
      </w:tr>
      <w:tr w:rsidR="0048464B" w:rsidRPr="00CF00E1" w:rsidTr="00F83382">
        <w:trPr>
          <w:cnfStyle w:val="000000100000"/>
        </w:trPr>
        <w:tc>
          <w:tcPr>
            <w:cnfStyle w:val="001000000000"/>
            <w:tcW w:w="795" w:type="pct"/>
            <w:vMerge/>
          </w:tcPr>
          <w:p w:rsidR="0048464B" w:rsidRPr="003D0135" w:rsidRDefault="0048464B" w:rsidP="00F83382">
            <w:pPr>
              <w:jc w:val="both"/>
              <w:rPr>
                <w:rFonts w:cs="Times New Roman"/>
                <w:b w:val="0"/>
                <w:sz w:val="22"/>
              </w:rPr>
            </w:pPr>
          </w:p>
        </w:tc>
        <w:tc>
          <w:tcPr>
            <w:tcW w:w="499" w:type="pct"/>
            <w:vMerge/>
          </w:tcPr>
          <w:p w:rsidR="0048464B" w:rsidRPr="003D0135" w:rsidRDefault="0048464B" w:rsidP="00F83382">
            <w:pPr>
              <w:jc w:val="center"/>
              <w:cnfStyle w:val="000000100000"/>
              <w:rPr>
                <w:rFonts w:cs="Times New Roman"/>
                <w:b/>
                <w:sz w:val="22"/>
              </w:rPr>
            </w:pPr>
          </w:p>
        </w:tc>
        <w:tc>
          <w:tcPr>
            <w:tcW w:w="476" w:type="pct"/>
          </w:tcPr>
          <w:p w:rsidR="0048464B" w:rsidRPr="003D0135" w:rsidRDefault="0048464B" w:rsidP="00F83382">
            <w:pPr>
              <w:jc w:val="center"/>
              <w:cnfStyle w:val="000000100000"/>
              <w:rPr>
                <w:rFonts w:cs="Times New Roman"/>
                <w:b/>
                <w:sz w:val="22"/>
              </w:rPr>
            </w:pPr>
            <w:r w:rsidRPr="003D0135">
              <w:rPr>
                <w:rFonts w:cs="Times New Roman"/>
                <w:b/>
                <w:sz w:val="22"/>
              </w:rPr>
              <w:t>Short Term</w:t>
            </w:r>
          </w:p>
        </w:tc>
        <w:tc>
          <w:tcPr>
            <w:tcW w:w="404" w:type="pct"/>
          </w:tcPr>
          <w:p w:rsidR="0048464B" w:rsidRPr="003D0135" w:rsidRDefault="0048464B" w:rsidP="00F83382">
            <w:pPr>
              <w:jc w:val="center"/>
              <w:cnfStyle w:val="000000100000"/>
              <w:rPr>
                <w:rFonts w:cs="Times New Roman"/>
                <w:b/>
                <w:sz w:val="22"/>
              </w:rPr>
            </w:pPr>
            <w:r w:rsidRPr="003D0135">
              <w:rPr>
                <w:rFonts w:cs="Times New Roman"/>
                <w:b/>
                <w:sz w:val="22"/>
              </w:rPr>
              <w:t>Med</w:t>
            </w:r>
          </w:p>
          <w:p w:rsidR="0048464B" w:rsidRPr="003D0135" w:rsidRDefault="0048464B" w:rsidP="00F83382">
            <w:pPr>
              <w:jc w:val="center"/>
              <w:cnfStyle w:val="000000100000"/>
              <w:rPr>
                <w:rFonts w:cs="Times New Roman"/>
                <w:b/>
                <w:sz w:val="22"/>
              </w:rPr>
            </w:pPr>
            <w:r w:rsidRPr="003D0135">
              <w:rPr>
                <w:rFonts w:cs="Times New Roman"/>
                <w:b/>
                <w:sz w:val="22"/>
              </w:rPr>
              <w:t>Term</w:t>
            </w:r>
          </w:p>
        </w:tc>
        <w:tc>
          <w:tcPr>
            <w:tcW w:w="404" w:type="pct"/>
          </w:tcPr>
          <w:p w:rsidR="0048464B" w:rsidRPr="003D0135" w:rsidRDefault="0048464B" w:rsidP="00F83382">
            <w:pPr>
              <w:jc w:val="center"/>
              <w:cnfStyle w:val="000000100000"/>
              <w:rPr>
                <w:rFonts w:cs="Times New Roman"/>
                <w:b/>
                <w:sz w:val="22"/>
              </w:rPr>
            </w:pPr>
            <w:r w:rsidRPr="003D0135">
              <w:rPr>
                <w:rFonts w:cs="Times New Roman"/>
                <w:b/>
                <w:sz w:val="22"/>
              </w:rPr>
              <w:t>Long Term</w:t>
            </w:r>
          </w:p>
        </w:tc>
        <w:tc>
          <w:tcPr>
            <w:tcW w:w="404" w:type="pct"/>
          </w:tcPr>
          <w:p w:rsidR="0048464B" w:rsidRPr="003D0135" w:rsidRDefault="0048464B" w:rsidP="00F83382">
            <w:pPr>
              <w:jc w:val="center"/>
              <w:cnfStyle w:val="000000100000"/>
              <w:rPr>
                <w:rFonts w:cs="Times New Roman"/>
                <w:b/>
                <w:sz w:val="22"/>
              </w:rPr>
            </w:pPr>
            <w:r w:rsidRPr="003D0135">
              <w:rPr>
                <w:rFonts w:cs="Times New Roman"/>
                <w:b/>
                <w:sz w:val="22"/>
              </w:rPr>
              <w:t>Short Term</w:t>
            </w:r>
          </w:p>
        </w:tc>
        <w:tc>
          <w:tcPr>
            <w:tcW w:w="404" w:type="pct"/>
          </w:tcPr>
          <w:p w:rsidR="0048464B" w:rsidRPr="003D0135" w:rsidRDefault="0048464B" w:rsidP="00F83382">
            <w:pPr>
              <w:jc w:val="center"/>
              <w:cnfStyle w:val="000000100000"/>
              <w:rPr>
                <w:rFonts w:cs="Times New Roman"/>
                <w:b/>
                <w:sz w:val="22"/>
              </w:rPr>
            </w:pPr>
            <w:r w:rsidRPr="003D0135">
              <w:rPr>
                <w:rFonts w:cs="Times New Roman"/>
                <w:b/>
                <w:sz w:val="22"/>
              </w:rPr>
              <w:t>Med</w:t>
            </w:r>
          </w:p>
          <w:p w:rsidR="0048464B" w:rsidRPr="003D0135" w:rsidRDefault="0048464B" w:rsidP="00F83382">
            <w:pPr>
              <w:jc w:val="center"/>
              <w:cnfStyle w:val="000000100000"/>
              <w:rPr>
                <w:rFonts w:cs="Times New Roman"/>
                <w:b/>
                <w:sz w:val="22"/>
              </w:rPr>
            </w:pPr>
            <w:r w:rsidRPr="003D0135">
              <w:rPr>
                <w:rFonts w:cs="Times New Roman"/>
                <w:b/>
                <w:sz w:val="22"/>
              </w:rPr>
              <w:t>Term</w:t>
            </w:r>
          </w:p>
        </w:tc>
        <w:tc>
          <w:tcPr>
            <w:tcW w:w="404" w:type="pct"/>
          </w:tcPr>
          <w:p w:rsidR="0048464B" w:rsidRPr="003D0135" w:rsidRDefault="0048464B" w:rsidP="00F83382">
            <w:pPr>
              <w:jc w:val="center"/>
              <w:cnfStyle w:val="000000100000"/>
              <w:rPr>
                <w:rFonts w:cs="Times New Roman"/>
                <w:b/>
                <w:sz w:val="22"/>
              </w:rPr>
            </w:pPr>
            <w:r w:rsidRPr="003D0135">
              <w:rPr>
                <w:rFonts w:cs="Times New Roman"/>
                <w:b/>
                <w:sz w:val="22"/>
              </w:rPr>
              <w:t>Long Term</w:t>
            </w:r>
          </w:p>
        </w:tc>
        <w:tc>
          <w:tcPr>
            <w:tcW w:w="404" w:type="pct"/>
          </w:tcPr>
          <w:p w:rsidR="0048464B" w:rsidRPr="003D0135" w:rsidRDefault="0048464B" w:rsidP="00F83382">
            <w:pPr>
              <w:jc w:val="center"/>
              <w:cnfStyle w:val="000000100000"/>
              <w:rPr>
                <w:rFonts w:cs="Times New Roman"/>
                <w:b/>
                <w:sz w:val="22"/>
              </w:rPr>
            </w:pPr>
            <w:r w:rsidRPr="003D0135">
              <w:rPr>
                <w:rFonts w:cs="Times New Roman"/>
                <w:b/>
                <w:sz w:val="22"/>
              </w:rPr>
              <w:t>Short Term</w:t>
            </w:r>
          </w:p>
        </w:tc>
        <w:tc>
          <w:tcPr>
            <w:tcW w:w="404" w:type="pct"/>
          </w:tcPr>
          <w:p w:rsidR="0048464B" w:rsidRPr="003D0135" w:rsidRDefault="0048464B" w:rsidP="00F83382">
            <w:pPr>
              <w:jc w:val="center"/>
              <w:cnfStyle w:val="000000100000"/>
              <w:rPr>
                <w:rFonts w:cs="Times New Roman"/>
                <w:b/>
                <w:sz w:val="22"/>
              </w:rPr>
            </w:pPr>
            <w:r w:rsidRPr="003D0135">
              <w:rPr>
                <w:rFonts w:cs="Times New Roman"/>
                <w:b/>
                <w:sz w:val="22"/>
              </w:rPr>
              <w:t>Med</w:t>
            </w:r>
          </w:p>
          <w:p w:rsidR="0048464B" w:rsidRPr="003D0135" w:rsidRDefault="0048464B" w:rsidP="00F83382">
            <w:pPr>
              <w:jc w:val="center"/>
              <w:cnfStyle w:val="000000100000"/>
              <w:rPr>
                <w:rFonts w:cs="Times New Roman"/>
                <w:b/>
                <w:sz w:val="22"/>
              </w:rPr>
            </w:pPr>
            <w:r w:rsidRPr="003D0135">
              <w:rPr>
                <w:rFonts w:cs="Times New Roman"/>
                <w:b/>
                <w:sz w:val="22"/>
              </w:rPr>
              <w:t>Term</w:t>
            </w:r>
          </w:p>
        </w:tc>
        <w:tc>
          <w:tcPr>
            <w:tcW w:w="404" w:type="pct"/>
          </w:tcPr>
          <w:p w:rsidR="0048464B" w:rsidRPr="003D0135" w:rsidRDefault="0048464B" w:rsidP="00F83382">
            <w:pPr>
              <w:jc w:val="center"/>
              <w:cnfStyle w:val="000000100000"/>
              <w:rPr>
                <w:rFonts w:cs="Times New Roman"/>
                <w:b/>
                <w:sz w:val="22"/>
              </w:rPr>
            </w:pPr>
            <w:r w:rsidRPr="003D0135">
              <w:rPr>
                <w:rFonts w:cs="Times New Roman"/>
                <w:b/>
                <w:sz w:val="22"/>
              </w:rPr>
              <w:t>Long Term</w:t>
            </w:r>
          </w:p>
        </w:tc>
      </w:tr>
      <w:tr w:rsidR="0048464B" w:rsidRPr="00CF00E1" w:rsidTr="00F83382">
        <w:tc>
          <w:tcPr>
            <w:cnfStyle w:val="001000000000"/>
            <w:tcW w:w="795" w:type="pct"/>
          </w:tcPr>
          <w:p w:rsidR="0048464B" w:rsidRPr="003D0135" w:rsidRDefault="0048464B" w:rsidP="00F83382">
            <w:pPr>
              <w:rPr>
                <w:rFonts w:cs="Times New Roman"/>
                <w:b w:val="0"/>
                <w:sz w:val="22"/>
              </w:rPr>
            </w:pPr>
            <w:r w:rsidRPr="003D0135">
              <w:rPr>
                <w:rFonts w:cs="Times New Roman"/>
                <w:b w:val="0"/>
                <w:sz w:val="22"/>
              </w:rPr>
              <w:t>Dhaka</w:t>
            </w:r>
          </w:p>
        </w:tc>
        <w:tc>
          <w:tcPr>
            <w:tcW w:w="499" w:type="pct"/>
          </w:tcPr>
          <w:p w:rsidR="0048464B" w:rsidRPr="003D0135" w:rsidRDefault="0048464B" w:rsidP="00F83382">
            <w:pPr>
              <w:jc w:val="center"/>
              <w:cnfStyle w:val="000000000000"/>
              <w:rPr>
                <w:rFonts w:cs="Times New Roman"/>
                <w:sz w:val="22"/>
              </w:rPr>
            </w:pPr>
            <w:r w:rsidRPr="003D0135">
              <w:rPr>
                <w:rFonts w:cs="Times New Roman"/>
                <w:sz w:val="22"/>
              </w:rPr>
              <w:t>35</w:t>
            </w:r>
          </w:p>
        </w:tc>
        <w:tc>
          <w:tcPr>
            <w:tcW w:w="476" w:type="pct"/>
          </w:tcPr>
          <w:p w:rsidR="0048464B" w:rsidRPr="003D0135" w:rsidRDefault="0048464B" w:rsidP="00F83382">
            <w:pPr>
              <w:jc w:val="center"/>
              <w:cnfStyle w:val="000000000000"/>
              <w:rPr>
                <w:rFonts w:cs="Times New Roman"/>
                <w:sz w:val="22"/>
              </w:rPr>
            </w:pPr>
            <w:r w:rsidRPr="003D0135">
              <w:rPr>
                <w:rFonts w:cs="Times New Roman"/>
                <w:sz w:val="22"/>
              </w:rPr>
              <w:t>60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80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60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80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70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100</w:t>
            </w:r>
          </w:p>
        </w:tc>
      </w:tr>
      <w:tr w:rsidR="0048464B" w:rsidRPr="00CF00E1" w:rsidTr="00F83382">
        <w:trPr>
          <w:cnfStyle w:val="000000100000"/>
        </w:trPr>
        <w:tc>
          <w:tcPr>
            <w:cnfStyle w:val="001000000000"/>
            <w:tcW w:w="795" w:type="pct"/>
          </w:tcPr>
          <w:p w:rsidR="0048464B" w:rsidRPr="003D0135" w:rsidRDefault="0048464B" w:rsidP="00F83382">
            <w:pPr>
              <w:rPr>
                <w:rFonts w:cs="Times New Roman"/>
                <w:b w:val="0"/>
                <w:sz w:val="22"/>
              </w:rPr>
            </w:pPr>
            <w:r w:rsidRPr="003D0135">
              <w:rPr>
                <w:rFonts w:cs="Times New Roman"/>
                <w:b w:val="0"/>
                <w:sz w:val="22"/>
              </w:rPr>
              <w:t>Chittagong</w:t>
            </w:r>
          </w:p>
        </w:tc>
        <w:tc>
          <w:tcPr>
            <w:tcW w:w="499" w:type="pct"/>
          </w:tcPr>
          <w:p w:rsidR="0048464B" w:rsidRPr="003D0135" w:rsidRDefault="0048464B" w:rsidP="00F83382">
            <w:pPr>
              <w:jc w:val="center"/>
              <w:cnfStyle w:val="000000100000"/>
              <w:rPr>
                <w:rFonts w:cs="Times New Roman"/>
                <w:sz w:val="22"/>
              </w:rPr>
            </w:pPr>
            <w:r w:rsidRPr="003D0135">
              <w:rPr>
                <w:rFonts w:cs="Times New Roman"/>
                <w:sz w:val="22"/>
              </w:rPr>
              <w:t>30</w:t>
            </w:r>
          </w:p>
        </w:tc>
        <w:tc>
          <w:tcPr>
            <w:tcW w:w="476" w:type="pct"/>
          </w:tcPr>
          <w:p w:rsidR="0048464B" w:rsidRPr="003D0135" w:rsidRDefault="0048464B" w:rsidP="00F83382">
            <w:pPr>
              <w:jc w:val="center"/>
              <w:cnfStyle w:val="000000100000"/>
              <w:rPr>
                <w:rFonts w:cs="Times New Roman"/>
                <w:sz w:val="22"/>
              </w:rPr>
            </w:pPr>
            <w:r w:rsidRPr="003D0135">
              <w:rPr>
                <w:rFonts w:cs="Times New Roman"/>
                <w:sz w:val="22"/>
              </w:rPr>
              <w:t>60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80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60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80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70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100</w:t>
            </w:r>
          </w:p>
        </w:tc>
      </w:tr>
      <w:tr w:rsidR="0048464B" w:rsidRPr="00CF00E1" w:rsidTr="00F83382">
        <w:tc>
          <w:tcPr>
            <w:cnfStyle w:val="001000000000"/>
            <w:tcW w:w="795" w:type="pct"/>
          </w:tcPr>
          <w:p w:rsidR="0048464B" w:rsidRPr="003D0135" w:rsidRDefault="0048464B" w:rsidP="00F83382">
            <w:pPr>
              <w:rPr>
                <w:rFonts w:cs="Times New Roman"/>
                <w:b w:val="0"/>
                <w:sz w:val="22"/>
              </w:rPr>
            </w:pPr>
            <w:r w:rsidRPr="003D0135">
              <w:rPr>
                <w:rFonts w:cs="Times New Roman"/>
                <w:b w:val="0"/>
                <w:sz w:val="22"/>
              </w:rPr>
              <w:t>Khulna</w:t>
            </w:r>
          </w:p>
        </w:tc>
        <w:tc>
          <w:tcPr>
            <w:tcW w:w="499" w:type="pct"/>
          </w:tcPr>
          <w:p w:rsidR="0048464B" w:rsidRPr="003D0135" w:rsidRDefault="0048464B" w:rsidP="00F83382">
            <w:pPr>
              <w:jc w:val="center"/>
              <w:cnfStyle w:val="000000000000"/>
              <w:rPr>
                <w:rFonts w:cs="Times New Roman"/>
                <w:sz w:val="22"/>
              </w:rPr>
            </w:pPr>
            <w:r w:rsidRPr="003D0135">
              <w:rPr>
                <w:rFonts w:cs="Times New Roman"/>
                <w:sz w:val="22"/>
              </w:rPr>
              <w:t>30</w:t>
            </w:r>
          </w:p>
        </w:tc>
        <w:tc>
          <w:tcPr>
            <w:tcW w:w="476" w:type="pct"/>
          </w:tcPr>
          <w:p w:rsidR="0048464B" w:rsidRPr="003D0135" w:rsidRDefault="0048464B" w:rsidP="00F83382">
            <w:pPr>
              <w:jc w:val="center"/>
              <w:cnfStyle w:val="000000000000"/>
              <w:rPr>
                <w:rFonts w:cs="Times New Roman"/>
                <w:sz w:val="22"/>
              </w:rPr>
            </w:pPr>
            <w:r w:rsidRPr="003D0135">
              <w:rPr>
                <w:rFonts w:cs="Times New Roman"/>
                <w:sz w:val="22"/>
              </w:rPr>
              <w:t>60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80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60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80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70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100</w:t>
            </w:r>
          </w:p>
        </w:tc>
      </w:tr>
      <w:tr w:rsidR="0048464B" w:rsidRPr="00CF00E1" w:rsidTr="00F83382">
        <w:trPr>
          <w:cnfStyle w:val="000000100000"/>
        </w:trPr>
        <w:tc>
          <w:tcPr>
            <w:cnfStyle w:val="001000000000"/>
            <w:tcW w:w="795" w:type="pct"/>
          </w:tcPr>
          <w:p w:rsidR="0048464B" w:rsidRPr="003D0135" w:rsidRDefault="0048464B" w:rsidP="00F83382">
            <w:pPr>
              <w:rPr>
                <w:rFonts w:cs="Times New Roman"/>
                <w:b w:val="0"/>
                <w:sz w:val="22"/>
              </w:rPr>
            </w:pPr>
            <w:r w:rsidRPr="003D0135">
              <w:rPr>
                <w:rFonts w:cs="Times New Roman"/>
                <w:b w:val="0"/>
                <w:sz w:val="22"/>
              </w:rPr>
              <w:t>Other City Corporations</w:t>
            </w:r>
          </w:p>
        </w:tc>
        <w:tc>
          <w:tcPr>
            <w:tcW w:w="499" w:type="pct"/>
          </w:tcPr>
          <w:p w:rsidR="0048464B" w:rsidRPr="003D0135" w:rsidRDefault="0048464B" w:rsidP="00F83382">
            <w:pPr>
              <w:jc w:val="center"/>
              <w:cnfStyle w:val="000000100000"/>
              <w:rPr>
                <w:rFonts w:cs="Times New Roman"/>
                <w:sz w:val="22"/>
              </w:rPr>
            </w:pPr>
            <w:r w:rsidRPr="003D0135">
              <w:rPr>
                <w:rFonts w:cs="Times New Roman"/>
                <w:sz w:val="22"/>
              </w:rPr>
              <w:t>30</w:t>
            </w:r>
          </w:p>
        </w:tc>
        <w:tc>
          <w:tcPr>
            <w:tcW w:w="476" w:type="pct"/>
          </w:tcPr>
          <w:p w:rsidR="0048464B" w:rsidRPr="003D0135" w:rsidRDefault="0048464B" w:rsidP="00F83382">
            <w:pPr>
              <w:jc w:val="center"/>
              <w:cnfStyle w:val="000000100000"/>
              <w:rPr>
                <w:rFonts w:cs="Times New Roman"/>
                <w:sz w:val="22"/>
              </w:rPr>
            </w:pPr>
            <w:r w:rsidRPr="003D0135">
              <w:rPr>
                <w:rFonts w:cs="Times New Roman"/>
                <w:sz w:val="22"/>
              </w:rPr>
              <w:t>60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80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60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80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70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100000"/>
              <w:rPr>
                <w:rFonts w:cs="Times New Roman"/>
                <w:sz w:val="22"/>
              </w:rPr>
            </w:pPr>
            <w:r w:rsidRPr="003D0135">
              <w:rPr>
                <w:rFonts w:cs="Times New Roman"/>
                <w:sz w:val="22"/>
              </w:rPr>
              <w:t>100</w:t>
            </w:r>
          </w:p>
        </w:tc>
      </w:tr>
      <w:tr w:rsidR="0048464B" w:rsidRPr="00CF00E1" w:rsidTr="00F83382">
        <w:tc>
          <w:tcPr>
            <w:cnfStyle w:val="001000000000"/>
            <w:tcW w:w="795" w:type="pct"/>
          </w:tcPr>
          <w:p w:rsidR="0048464B" w:rsidRPr="003D0135" w:rsidRDefault="0048464B" w:rsidP="00F83382">
            <w:pPr>
              <w:rPr>
                <w:rFonts w:cs="Times New Roman"/>
                <w:b w:val="0"/>
                <w:sz w:val="22"/>
              </w:rPr>
            </w:pPr>
            <w:r w:rsidRPr="003D0135">
              <w:rPr>
                <w:rFonts w:cs="Times New Roman"/>
                <w:b w:val="0"/>
                <w:sz w:val="22"/>
              </w:rPr>
              <w:t>Large Paurashavas</w:t>
            </w:r>
          </w:p>
        </w:tc>
        <w:tc>
          <w:tcPr>
            <w:tcW w:w="499" w:type="pct"/>
          </w:tcPr>
          <w:p w:rsidR="0048464B" w:rsidRPr="003D0135" w:rsidRDefault="0048464B" w:rsidP="00F83382">
            <w:pPr>
              <w:jc w:val="center"/>
              <w:cnfStyle w:val="000000000000"/>
              <w:rPr>
                <w:rFonts w:cs="Times New Roman"/>
                <w:sz w:val="22"/>
              </w:rPr>
            </w:pPr>
            <w:r w:rsidRPr="003D0135">
              <w:rPr>
                <w:rFonts w:cs="Times New Roman"/>
                <w:sz w:val="22"/>
              </w:rPr>
              <w:t>25</w:t>
            </w:r>
          </w:p>
        </w:tc>
        <w:tc>
          <w:tcPr>
            <w:tcW w:w="476" w:type="pct"/>
          </w:tcPr>
          <w:p w:rsidR="0048464B" w:rsidRPr="003D0135" w:rsidRDefault="0048464B" w:rsidP="00F83382">
            <w:pPr>
              <w:jc w:val="center"/>
              <w:cnfStyle w:val="000000000000"/>
              <w:rPr>
                <w:rFonts w:cs="Times New Roman"/>
                <w:sz w:val="22"/>
              </w:rPr>
            </w:pPr>
            <w:r w:rsidRPr="003D0135">
              <w:rPr>
                <w:rFonts w:cs="Times New Roman"/>
                <w:sz w:val="22"/>
              </w:rPr>
              <w:t>50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75</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50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75</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60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90</w:t>
            </w:r>
          </w:p>
        </w:tc>
        <w:tc>
          <w:tcPr>
            <w:tcW w:w="404" w:type="pct"/>
          </w:tcPr>
          <w:p w:rsidR="0048464B" w:rsidRPr="003D0135" w:rsidRDefault="0048464B" w:rsidP="00F83382">
            <w:pPr>
              <w:jc w:val="center"/>
              <w:cnfStyle w:val="000000000000"/>
              <w:rPr>
                <w:rFonts w:cs="Times New Roman"/>
                <w:sz w:val="22"/>
              </w:rPr>
            </w:pPr>
            <w:r w:rsidRPr="003D0135">
              <w:rPr>
                <w:rFonts w:cs="Times New Roman"/>
                <w:sz w:val="22"/>
              </w:rPr>
              <w:t>100</w:t>
            </w:r>
          </w:p>
        </w:tc>
      </w:tr>
    </w:tbl>
    <w:p w:rsidR="0048464B" w:rsidRPr="008F11A4" w:rsidRDefault="0048464B" w:rsidP="0048464B">
      <w:pPr>
        <w:spacing w:before="120"/>
        <w:jc w:val="both"/>
        <w:rPr>
          <w:rFonts w:cs="Times New Roman"/>
          <w:b/>
          <w:i/>
          <w:sz w:val="20"/>
        </w:rPr>
      </w:pPr>
      <w:r w:rsidRPr="008F11A4">
        <w:rPr>
          <w:rFonts w:cs="Times New Roman"/>
          <w:b/>
          <w:i/>
          <w:sz w:val="20"/>
        </w:rPr>
        <w:t xml:space="preserve">Source: </w:t>
      </w:r>
      <w:r>
        <w:rPr>
          <w:rFonts w:cs="Times New Roman"/>
          <w:b/>
          <w:i/>
          <w:sz w:val="20"/>
        </w:rPr>
        <w:t>W</w:t>
      </w:r>
      <w:r w:rsidRPr="008F11A4">
        <w:rPr>
          <w:rFonts w:cs="Times New Roman"/>
          <w:b/>
          <w:i/>
          <w:sz w:val="20"/>
        </w:rPr>
        <w:t>SDP, 2011</w:t>
      </w:r>
    </w:p>
    <w:p w:rsidR="0048464B" w:rsidRPr="00CF00E1" w:rsidRDefault="0048464B" w:rsidP="0048464B">
      <w:pPr>
        <w:spacing w:line="276" w:lineRule="auto"/>
        <w:jc w:val="both"/>
        <w:rPr>
          <w:rFonts w:cs="Times New Roman"/>
        </w:rPr>
      </w:pPr>
      <w:r w:rsidRPr="00CF00E1">
        <w:rPr>
          <w:rFonts w:cs="Times New Roman"/>
        </w:rPr>
        <w:t xml:space="preserve">If the socio-economic and institutional conditions, and country economic trends are taken into account then </w:t>
      </w:r>
      <w:r w:rsidRPr="00581B13">
        <w:rPr>
          <w:rFonts w:eastAsia="Times New Roman" w:cs="Times New Roman"/>
          <w:b/>
          <w:bCs/>
          <w:color w:val="006600"/>
          <w:u w:val="single"/>
          <w:lang w:eastAsia="en-GB"/>
        </w:rPr>
        <w:t>scenatio-2 appears to be a more realistic and achievable option during the plan period (2011-2025).</w:t>
      </w:r>
      <w:r w:rsidRPr="00CF00E1">
        <w:rPr>
          <w:rFonts w:cs="Times New Roman"/>
        </w:rPr>
        <w:t xml:space="preserve"> Total investment costs of urban drainage for this scenario were estimated at BDT 180,472 million, out of which BDT 40,485 million would be required for short-term (2011-2015), BDT 65,449 million for medium term (2016-2020) and BDT 74,538 million for the long term (2021-2025).</w:t>
      </w:r>
    </w:p>
    <w:p w:rsidR="0048464B" w:rsidRPr="00E03AFA" w:rsidRDefault="0048464B" w:rsidP="003D5A31">
      <w:pPr>
        <w:pStyle w:val="BodyText"/>
        <w:numPr>
          <w:ilvl w:val="2"/>
          <w:numId w:val="268"/>
        </w:numPr>
        <w:spacing w:after="240" w:line="276" w:lineRule="auto"/>
        <w:jc w:val="both"/>
        <w:rPr>
          <w:rFonts w:cs="Times New Roman"/>
          <w:b/>
          <w:szCs w:val="24"/>
        </w:rPr>
      </w:pPr>
      <w:r w:rsidRPr="00D126C9">
        <w:rPr>
          <w:rFonts w:cs="Times New Roman"/>
          <w:b/>
          <w:strike/>
          <w:szCs w:val="24"/>
          <w:highlight w:val="yellow"/>
        </w:rPr>
        <w:t>10.5.8</w:t>
      </w:r>
      <w:r>
        <w:rPr>
          <w:rFonts w:cs="Times New Roman"/>
          <w:b/>
          <w:szCs w:val="24"/>
        </w:rPr>
        <w:t xml:space="preserve"> </w:t>
      </w:r>
      <w:r w:rsidRPr="00E03AFA">
        <w:rPr>
          <w:rFonts w:cs="Times New Roman"/>
          <w:b/>
          <w:szCs w:val="24"/>
        </w:rPr>
        <w:t>Issues and Challenges</w:t>
      </w:r>
    </w:p>
    <w:p w:rsidR="0048464B" w:rsidRPr="0099534A" w:rsidRDefault="0048464B" w:rsidP="0048464B">
      <w:pPr>
        <w:autoSpaceDE w:val="0"/>
        <w:autoSpaceDN w:val="0"/>
        <w:adjustRightInd w:val="0"/>
        <w:spacing w:line="276" w:lineRule="auto"/>
        <w:jc w:val="both"/>
        <w:rPr>
          <w:rFonts w:cs="Times New Roman"/>
          <w:b/>
          <w:i/>
        </w:rPr>
      </w:pPr>
      <w:r>
        <w:rPr>
          <w:rFonts w:cs="Times New Roman"/>
          <w:b/>
          <w:i/>
        </w:rPr>
        <w:t>Rapid Urbanization and Urban P</w:t>
      </w:r>
      <w:r w:rsidRPr="0099534A">
        <w:rPr>
          <w:rFonts w:cs="Times New Roman"/>
          <w:b/>
          <w:i/>
        </w:rPr>
        <w:t>overty</w:t>
      </w:r>
    </w:p>
    <w:p w:rsidR="0048464B" w:rsidRPr="00CF00E1" w:rsidRDefault="0048464B" w:rsidP="0048464B">
      <w:pPr>
        <w:autoSpaceDE w:val="0"/>
        <w:autoSpaceDN w:val="0"/>
        <w:adjustRightInd w:val="0"/>
        <w:spacing w:line="276" w:lineRule="auto"/>
        <w:jc w:val="both"/>
        <w:rPr>
          <w:rFonts w:cs="Times New Roman"/>
        </w:rPr>
      </w:pPr>
      <w:r w:rsidRPr="00CF00E1">
        <w:rPr>
          <w:rFonts w:cs="Times New Roman"/>
        </w:rPr>
        <w:t>Rapid urbanization is a major challenge for developing sustainable urban drainage systems. With the growth of urbanization, the proportion of the land covered by impervious surface (roads, parking areas, roofs, driveways and pavements) increases, preventing the natural infiltration of rainfall into the ground. Often the remaining open ground cannot accept water as rapidly as it did in its natural state. The increase of built up areas thus causes obstruction to the natural water flow.</w:t>
      </w:r>
    </w:p>
    <w:p w:rsidR="0048464B" w:rsidRPr="00CF00E1" w:rsidRDefault="0048464B" w:rsidP="0048464B">
      <w:pPr>
        <w:autoSpaceDE w:val="0"/>
        <w:autoSpaceDN w:val="0"/>
        <w:adjustRightInd w:val="0"/>
        <w:spacing w:line="276" w:lineRule="auto"/>
        <w:jc w:val="both"/>
        <w:rPr>
          <w:rFonts w:cs="Times New Roman"/>
        </w:rPr>
      </w:pPr>
      <w:r w:rsidRPr="00CF00E1">
        <w:rPr>
          <w:rFonts w:cs="Times New Roman"/>
        </w:rPr>
        <w:t xml:space="preserve">Bangladesh being mostly a flat country, drainage is an inherent problem. Moreover, concentration of heavy rainfall during the monsoons, the cities and towns are regularly flooded. The average annual rainfall is about 2,540 millimeter (mm), of which about 80 percent falls in the monsoon period from May to September. The carrying capacity of the rivers is being reduced due to siltation, causing serious drainage congestion, especially in the coastal areas. Construction of drainage systems in the urban areas is expensive and has not kept pace with urban development. This problem is compounded by the fact that many natural canals are being blocked by construction or are being filled up for housing and other purposes. </w:t>
      </w:r>
    </w:p>
    <w:p w:rsidR="0048464B" w:rsidRPr="00CF00E1" w:rsidRDefault="0048464B" w:rsidP="0048464B">
      <w:pPr>
        <w:autoSpaceDE w:val="0"/>
        <w:autoSpaceDN w:val="0"/>
        <w:adjustRightInd w:val="0"/>
        <w:spacing w:line="276" w:lineRule="auto"/>
        <w:jc w:val="both"/>
        <w:rPr>
          <w:rFonts w:cs="Times New Roman"/>
        </w:rPr>
      </w:pPr>
      <w:r w:rsidRPr="00CF00E1">
        <w:rPr>
          <w:rFonts w:cs="Times New Roman"/>
        </w:rPr>
        <w:t xml:space="preserve">Encroachment of natural drainage system is a common practice in Bangladesh. Most of the natural drainages of Dhaka City, for example, have disappeared or about to lose their existence due to illegal encroachment. Encroachment on the rivers and khals/drains through unauthorized </w:t>
      </w:r>
      <w:r w:rsidRPr="00CF00E1">
        <w:rPr>
          <w:rFonts w:cs="Times New Roman"/>
        </w:rPr>
        <w:lastRenderedPageBreak/>
        <w:t>construction and the lack of efforts to prevent encroachments are making the drains ineffective to drain out the run off.</w:t>
      </w:r>
    </w:p>
    <w:p w:rsidR="0048464B" w:rsidRPr="00CF00E1" w:rsidRDefault="0048464B" w:rsidP="0048464B">
      <w:pPr>
        <w:autoSpaceDE w:val="0"/>
        <w:autoSpaceDN w:val="0"/>
        <w:adjustRightInd w:val="0"/>
        <w:spacing w:line="276" w:lineRule="auto"/>
        <w:jc w:val="both"/>
        <w:rPr>
          <w:rFonts w:cs="Times New Roman"/>
        </w:rPr>
      </w:pPr>
      <w:r w:rsidRPr="00CF00E1">
        <w:rPr>
          <w:rFonts w:cs="Times New Roman"/>
        </w:rPr>
        <w:t>Urban poverty also has significant impact on urban drainage system. Rapid growth of urban population creates pressure on the housing market. Increased demand for housing again creates pressure on the land market and the land value rises. As the housing cost increases within the central city, the poor people are forced to settle on marginal lands which usually serve as storage areas for rain water. Encroachment on these areas badly affects the natural drainage system. They also settle in risky areas such as hill slopes (as in Chittagong) which are vulnerable to land-slides due to hill-cutting. Land-slides resulting from heavy rains lead to increased sedimentation of downstream drainage. Squatter settlements may also develop on public open spaces or green areas which may increase rainwater runoff and hinder ground water recharge.</w:t>
      </w:r>
    </w:p>
    <w:p w:rsidR="0048464B" w:rsidRPr="0099534A" w:rsidRDefault="0048464B" w:rsidP="0048464B">
      <w:pPr>
        <w:autoSpaceDE w:val="0"/>
        <w:autoSpaceDN w:val="0"/>
        <w:adjustRightInd w:val="0"/>
        <w:spacing w:line="276" w:lineRule="auto"/>
        <w:jc w:val="both"/>
        <w:rPr>
          <w:rFonts w:cs="Times New Roman"/>
          <w:b/>
          <w:i/>
        </w:rPr>
      </w:pPr>
      <w:r>
        <w:rPr>
          <w:rFonts w:cs="Times New Roman"/>
          <w:b/>
          <w:i/>
        </w:rPr>
        <w:t>Waste M</w:t>
      </w:r>
      <w:r w:rsidRPr="0099534A">
        <w:rPr>
          <w:rFonts w:cs="Times New Roman"/>
          <w:b/>
          <w:i/>
        </w:rPr>
        <w:t>anagement</w:t>
      </w:r>
    </w:p>
    <w:p w:rsidR="0048464B" w:rsidRDefault="0048464B" w:rsidP="0048464B">
      <w:pPr>
        <w:autoSpaceDE w:val="0"/>
        <w:autoSpaceDN w:val="0"/>
        <w:adjustRightInd w:val="0"/>
        <w:spacing w:line="276" w:lineRule="auto"/>
        <w:jc w:val="both"/>
        <w:rPr>
          <w:rFonts w:cs="Times New Roman"/>
          <w:color w:val="000000"/>
        </w:rPr>
      </w:pPr>
      <w:r w:rsidRPr="00581B13">
        <w:rPr>
          <w:rFonts w:eastAsia="Times New Roman" w:cs="Times New Roman"/>
          <w:b/>
          <w:bCs/>
          <w:color w:val="006600"/>
          <w:u w:val="single"/>
          <w:lang w:eastAsia="en-GB"/>
        </w:rPr>
        <w:t>Urban areas generate huge quantity of waste every day from various sources. The major sources of solid waste are residences, streets, market places, commercial and industrial establishments, and hospitals.</w:t>
      </w:r>
      <w:r w:rsidRPr="00CF00E1">
        <w:rPr>
          <w:rFonts w:cs="Times New Roman"/>
          <w:color w:val="000000"/>
        </w:rPr>
        <w:t xml:space="preserve"> Due to urban development, population growth, and consumption increase, the volume of solid waste generation in a city increases every year. </w:t>
      </w:r>
      <w:r w:rsidRPr="00581B13">
        <w:rPr>
          <w:rFonts w:eastAsia="Times New Roman" w:cs="Times New Roman"/>
          <w:b/>
          <w:bCs/>
          <w:color w:val="006600"/>
          <w:u w:val="single"/>
          <w:lang w:eastAsia="en-GB"/>
        </w:rPr>
        <w:t xml:space="preserve">At present Dhaka City generates about 6000 tons of solid waste per day, with a per capita generation of about 0.38 kg per day. </w:t>
      </w:r>
      <w:r w:rsidRPr="00CF00E1">
        <w:rPr>
          <w:rFonts w:cs="Times New Roman"/>
        </w:rPr>
        <w:t>The</w:t>
      </w:r>
      <w:r w:rsidRPr="00CF00E1">
        <w:rPr>
          <w:rFonts w:cs="Times New Roman"/>
          <w:color w:val="000000"/>
        </w:rPr>
        <w:t xml:space="preserve"> composition of solid waste varies according to location, standard of living, energy sources and season. The quantity of waste generation increases during rainy season when many vegetables and fruits, especially mango and jackfruit, are available. Solid waste in Dhaka mainly consists of food, grass and plants, brick, dirt, paper and polythene materials. </w:t>
      </w:r>
    </w:p>
    <w:p w:rsidR="0048464B" w:rsidRDefault="0048464B" w:rsidP="0048464B">
      <w:pPr>
        <w:autoSpaceDE w:val="0"/>
        <w:autoSpaceDN w:val="0"/>
        <w:adjustRightInd w:val="0"/>
        <w:spacing w:line="276" w:lineRule="auto"/>
        <w:jc w:val="both"/>
        <w:rPr>
          <w:rFonts w:cs="Times New Roman"/>
          <w:color w:val="000000"/>
        </w:rPr>
      </w:pPr>
      <w:r w:rsidRPr="00CF00E1">
        <w:rPr>
          <w:rFonts w:cs="Times New Roman"/>
          <w:color w:val="000000"/>
        </w:rPr>
        <w:t>Management of solid waste is the responsibility of the city corporations and Paurashavas. These local bodies are not able to collect and dispose properly a significant proportion of solid waste generated daily. In Dhaka nearly 25% of the solid waste generated every day cannot be collected and disposed off. In some city corporations and paurashavas, more than 50% of the solid waste generated daily cannot be collected. Most of the uncollected waste is visible on the streets, open spaces and in the drains. Uncollected solid waste often finds its way into the drainage system with rain water, restricting its passage and thus slowing the evacuation of rainwater run-off from the affected areas. The clogging of storm-water drains and manholes with solid waste is a primary reason for frequent, localized flooding in Dhaka. Similar is the situation in other cities and towns of the country. Performance of the drainage system of a city, therefore, largely depends on how the solid waste generated ev</w:t>
      </w:r>
      <w:r>
        <w:rPr>
          <w:rFonts w:cs="Times New Roman"/>
          <w:color w:val="000000"/>
        </w:rPr>
        <w:t>ery day in the city is managed.</w:t>
      </w:r>
    </w:p>
    <w:p w:rsidR="0048464B" w:rsidRPr="0099534A" w:rsidRDefault="0048464B" w:rsidP="0048464B">
      <w:pPr>
        <w:autoSpaceDE w:val="0"/>
        <w:autoSpaceDN w:val="0"/>
        <w:adjustRightInd w:val="0"/>
        <w:spacing w:line="276" w:lineRule="auto"/>
        <w:jc w:val="both"/>
        <w:rPr>
          <w:rFonts w:cs="Times New Roman"/>
          <w:b/>
          <w:i/>
        </w:rPr>
      </w:pPr>
      <w:r>
        <w:rPr>
          <w:rFonts w:cs="Times New Roman"/>
          <w:b/>
          <w:i/>
        </w:rPr>
        <w:t>Climate C</w:t>
      </w:r>
      <w:r w:rsidRPr="0099534A">
        <w:rPr>
          <w:rFonts w:cs="Times New Roman"/>
          <w:b/>
          <w:i/>
        </w:rPr>
        <w:t>hange</w:t>
      </w:r>
    </w:p>
    <w:p w:rsidR="0048464B" w:rsidRPr="008F11A4" w:rsidRDefault="0048464B" w:rsidP="0048464B">
      <w:pPr>
        <w:spacing w:line="276" w:lineRule="auto"/>
        <w:jc w:val="both"/>
        <w:rPr>
          <w:rFonts w:cs="Times New Roman"/>
          <w:bCs/>
        </w:rPr>
      </w:pPr>
      <w:r>
        <w:rPr>
          <w:rFonts w:cs="Times New Roman"/>
          <w:bCs/>
        </w:rPr>
        <w:t>As with water shortages and increased pressure on sanitation, the solid waste h</w:t>
      </w:r>
      <w:r w:rsidRPr="00CF00E1">
        <w:rPr>
          <w:rFonts w:cs="Times New Roman"/>
          <w:bCs/>
        </w:rPr>
        <w:t>azard potential of urban areas will significantly</w:t>
      </w:r>
      <w:r>
        <w:rPr>
          <w:rFonts w:cs="Times New Roman"/>
          <w:bCs/>
        </w:rPr>
        <w:t xml:space="preserve"> increase due to climate change</w:t>
      </w:r>
      <w:r w:rsidRPr="00CF00E1">
        <w:rPr>
          <w:rFonts w:cs="Times New Roman"/>
          <w:bCs/>
        </w:rPr>
        <w:t xml:space="preserve"> </w:t>
      </w:r>
      <w:r>
        <w:rPr>
          <w:rFonts w:cs="Times New Roman"/>
          <w:bCs/>
        </w:rPr>
        <w:t xml:space="preserve">because </w:t>
      </w:r>
      <w:r w:rsidRPr="00CF00E1">
        <w:rPr>
          <w:rFonts w:cs="Times New Roman"/>
          <w:bCs/>
        </w:rPr>
        <w:t xml:space="preserve">the frequency and intensity of flooding and water logging are likely to increase. This will threaten the critical infrastructure </w:t>
      </w:r>
      <w:r w:rsidRPr="00CF00E1">
        <w:rPr>
          <w:rFonts w:cs="Times New Roman"/>
          <w:bCs/>
        </w:rPr>
        <w:lastRenderedPageBreak/>
        <w:t>that supplies the city dwellers with essential services such as electricity, water, waste disposal, transportation, telecommunication etc. This underlines the need for addressing adequately the problems of flooding and water logging in cities and towns of the country.</w:t>
      </w:r>
    </w:p>
    <w:p w:rsidR="0048464B" w:rsidRPr="0099534A" w:rsidRDefault="0048464B" w:rsidP="0048464B">
      <w:pPr>
        <w:spacing w:line="276" w:lineRule="auto"/>
        <w:jc w:val="both"/>
        <w:rPr>
          <w:rFonts w:cs="Times New Roman"/>
          <w:b/>
          <w:bCs/>
          <w:i/>
        </w:rPr>
      </w:pPr>
      <w:r>
        <w:rPr>
          <w:rFonts w:cs="Times New Roman"/>
          <w:b/>
          <w:bCs/>
          <w:i/>
        </w:rPr>
        <w:t>Institutional I</w:t>
      </w:r>
      <w:r w:rsidRPr="0099534A">
        <w:rPr>
          <w:rFonts w:cs="Times New Roman"/>
          <w:b/>
          <w:bCs/>
          <w:i/>
        </w:rPr>
        <w:t>ssues</w:t>
      </w:r>
    </w:p>
    <w:p w:rsidR="0048464B" w:rsidRPr="00CF00E1" w:rsidRDefault="0048464B" w:rsidP="0048464B">
      <w:pPr>
        <w:spacing w:line="276" w:lineRule="auto"/>
        <w:jc w:val="both"/>
        <w:rPr>
          <w:rFonts w:cs="Times New Roman"/>
          <w:bCs/>
        </w:rPr>
      </w:pPr>
      <w:r w:rsidRPr="00CF00E1">
        <w:rPr>
          <w:rFonts w:cs="Times New Roman"/>
          <w:bCs/>
        </w:rPr>
        <w:t xml:space="preserve">Planning, construction and maintenance of drainage system in a city may be shared by a number of agencies. In Dhaka, for example, Development and maintenance of drainage system are shared by DWASA, DNCC, DSCC, BWDB, RAJUK and Cantonment Board. </w:t>
      </w:r>
      <w:r w:rsidRPr="00581B13">
        <w:rPr>
          <w:rFonts w:eastAsia="Times New Roman" w:cs="Times New Roman"/>
          <w:b/>
          <w:bCs/>
          <w:color w:val="006600"/>
          <w:u w:val="single"/>
          <w:lang w:eastAsia="en-GB"/>
        </w:rPr>
        <w:t xml:space="preserve">Lack of capacity and poor coordination among these agencies are often cited as one of the major reasons for poor performance of Dhaka’s drainage system. </w:t>
      </w:r>
      <w:r w:rsidRPr="00CF00E1">
        <w:rPr>
          <w:rFonts w:cs="Times New Roman"/>
          <w:bCs/>
        </w:rPr>
        <w:t>Dhaka’s two DCCs are responsible for development and maintenance of the surface drains and roadside inlets. DWASA, on the other hand, is responsible for development and maintenance of the underground storm-water drainage system. As the performances of surface drains and storm-water drains are dependent on each other, strong coordination among these authorities is essential.</w:t>
      </w:r>
    </w:p>
    <w:p w:rsidR="0048464B" w:rsidRPr="00CF00E1" w:rsidRDefault="0048464B" w:rsidP="0048464B">
      <w:pPr>
        <w:spacing w:line="276" w:lineRule="auto"/>
        <w:jc w:val="both"/>
        <w:rPr>
          <w:rFonts w:cs="Times New Roman"/>
        </w:rPr>
      </w:pPr>
      <w:r w:rsidRPr="00CF00E1">
        <w:rPr>
          <w:rFonts w:cs="Times New Roman"/>
        </w:rPr>
        <w:t>In Chittagong also governance of drainage systems does not belong to any particular authority. Several authoritative bodies are responsible for managing the drainage system of the city. The core responsibility for storm water drainage and sewerage belongs to CWASA. However, CWASA has neither developed any sewerage system nor storm water drainage infrastructure till date. CCC is mainly working on the local and tertiary drainage development and construction and is also responsible to keep the drains clean. CDA's role is to incorporate drains in land-use and structural plans and allot space in city designs. The Bangladesh Water Development Board (BWDB), another statutory body, is responsible to plan the flood management of CCC and they are both involved in linking embankment with the drainage system. Lack of capacity and coordination among these authorities are also cited as one of the major reasons for poor performance of the drainage system in Chittagong.</w:t>
      </w:r>
    </w:p>
    <w:p w:rsidR="0048464B" w:rsidRPr="00AE62B0" w:rsidRDefault="0048464B" w:rsidP="0048464B">
      <w:pPr>
        <w:spacing w:line="276" w:lineRule="auto"/>
        <w:jc w:val="both"/>
        <w:rPr>
          <w:rFonts w:cs="Times New Roman"/>
        </w:rPr>
      </w:pPr>
      <w:r w:rsidRPr="00CF00E1">
        <w:rPr>
          <w:rFonts w:cs="Times New Roman"/>
        </w:rPr>
        <w:t xml:space="preserve">Apart from institutional coordination, </w:t>
      </w:r>
      <w:r w:rsidRPr="00581B13">
        <w:rPr>
          <w:rFonts w:eastAsia="Times New Roman" w:cs="Times New Roman"/>
          <w:b/>
          <w:bCs/>
          <w:color w:val="006600"/>
          <w:u w:val="single"/>
          <w:lang w:eastAsia="en-GB"/>
        </w:rPr>
        <w:t>there is also lack of involvement of civil society – local community, NGOs, private sector and academia in the planning, development and management of the drainage systems.</w:t>
      </w:r>
      <w:r w:rsidRPr="00CF00E1">
        <w:rPr>
          <w:rFonts w:cs="Times New Roman"/>
        </w:rPr>
        <w:t xml:space="preserve"> The institutional arrangements are week and the management organization lacks incentives for giving better outputs. The organizations function more like bureaucratic organizations rather than customer driven organizations and lack a hol</w:t>
      </w:r>
      <w:r>
        <w:rPr>
          <w:rFonts w:cs="Times New Roman"/>
        </w:rPr>
        <w:t>istic view of their management.</w:t>
      </w:r>
    </w:p>
    <w:p w:rsidR="0048464B" w:rsidRDefault="0048464B" w:rsidP="003D5A31">
      <w:pPr>
        <w:pStyle w:val="BodyText"/>
        <w:numPr>
          <w:ilvl w:val="2"/>
          <w:numId w:val="268"/>
        </w:numPr>
        <w:spacing w:after="240" w:line="276" w:lineRule="auto"/>
        <w:jc w:val="both"/>
        <w:rPr>
          <w:rFonts w:cs="Times New Roman"/>
          <w:b/>
          <w:szCs w:val="24"/>
        </w:rPr>
      </w:pPr>
      <w:r w:rsidRPr="001E5657">
        <w:rPr>
          <w:rFonts w:cs="Times New Roman"/>
          <w:b/>
          <w:szCs w:val="24"/>
        </w:rPr>
        <w:t xml:space="preserve">Strategies for Sustainable Stormwater and Urban Drainage Management </w:t>
      </w:r>
    </w:p>
    <w:p w:rsidR="0048464B" w:rsidRPr="001E5657" w:rsidRDefault="0048464B" w:rsidP="0048464B">
      <w:pPr>
        <w:pStyle w:val="BodyText"/>
        <w:spacing w:after="240" w:line="276" w:lineRule="auto"/>
        <w:ind w:left="864"/>
        <w:jc w:val="both"/>
        <w:rPr>
          <w:rFonts w:cs="Times New Roman"/>
          <w:b/>
          <w:szCs w:val="24"/>
        </w:rPr>
      </w:pPr>
      <w:r>
        <w:rPr>
          <w:rFonts w:cs="Times New Roman"/>
          <w:szCs w:val="24"/>
        </w:rPr>
        <w:t>S</w:t>
      </w:r>
      <w:r w:rsidRPr="001E5657">
        <w:rPr>
          <w:rFonts w:cs="Times New Roman"/>
          <w:szCs w:val="24"/>
        </w:rPr>
        <w:t xml:space="preserve">pace requirements of natural drainage systems such as rivers, canals, lakes, wetlands and ponds limit urban development, while urban development disrupts and pollutes natural run-off regimes. Consequently, the development of cities is found to be associated with the destruction of natural drainage systems and construction of vast drainage networks designed to remove rain water from the urban environment as rapidly </w:t>
      </w:r>
      <w:r w:rsidRPr="001E5657">
        <w:rPr>
          <w:rFonts w:cs="Times New Roman"/>
          <w:szCs w:val="24"/>
        </w:rPr>
        <w:lastRenderedPageBreak/>
        <w:t>as possible. In recent years, there has been a shift in approach towards a sustainable storm water management. While the conventional approach to drainage is based on the perception that storm water is a “nuisance that should be removed’, the approach to sustainable storm water management is based on the idea that storm water is a “resource that should be utilized’. This underlines the importance of natural drainage systems side by side with man-made systems. The difference between a conventional approach and the alternative approach is shown below:</w:t>
      </w:r>
      <w:r w:rsidRPr="001E5657">
        <w:rPr>
          <w:rFonts w:cs="Times New Roman"/>
          <w:b/>
          <w:szCs w:val="24"/>
        </w:rPr>
        <w:t xml:space="preserve">  </w:t>
      </w:r>
    </w:p>
    <w:p w:rsidR="0048464B" w:rsidRPr="00101CE9" w:rsidRDefault="0048464B" w:rsidP="0048464B">
      <w:pPr>
        <w:jc w:val="center"/>
        <w:rPr>
          <w:b/>
        </w:rPr>
      </w:pPr>
      <w:bookmarkStart w:id="786" w:name="_Toc464329014"/>
      <w:r w:rsidRPr="00101CE9">
        <w:rPr>
          <w:b/>
        </w:rPr>
        <w:t>Table 10.35: Conventional and Alternative Approaches to Stormwater Management</w:t>
      </w:r>
      <w:bookmarkEnd w:id="786"/>
    </w:p>
    <w:tbl>
      <w:tblPr>
        <w:tblStyle w:val="LightList-Accent5"/>
        <w:tblW w:w="0" w:type="auto"/>
        <w:tblLook w:val="04A0"/>
      </w:tblPr>
      <w:tblGrid>
        <w:gridCol w:w="1908"/>
        <w:gridCol w:w="3690"/>
        <w:gridCol w:w="3978"/>
      </w:tblGrid>
      <w:tr w:rsidR="0048464B" w:rsidRPr="00CF00E1" w:rsidTr="00F83382">
        <w:trPr>
          <w:cnfStyle w:val="100000000000"/>
        </w:trPr>
        <w:tc>
          <w:tcPr>
            <w:cnfStyle w:val="001000000000"/>
            <w:tcW w:w="1908" w:type="dxa"/>
          </w:tcPr>
          <w:p w:rsidR="0048464B" w:rsidRPr="00CF00E1" w:rsidRDefault="0048464B" w:rsidP="00F83382">
            <w:pPr>
              <w:rPr>
                <w:szCs w:val="24"/>
              </w:rPr>
            </w:pPr>
            <w:r w:rsidRPr="00CF00E1">
              <w:rPr>
                <w:b w:val="0"/>
                <w:bCs w:val="0"/>
                <w:color w:val="FFFFFF"/>
                <w:szCs w:val="24"/>
              </w:rPr>
              <w:t>Aspect of stormwater</w:t>
            </w:r>
          </w:p>
        </w:tc>
        <w:tc>
          <w:tcPr>
            <w:tcW w:w="3690" w:type="dxa"/>
          </w:tcPr>
          <w:p w:rsidR="0048464B" w:rsidRPr="00CF00E1" w:rsidRDefault="0048464B" w:rsidP="00F83382">
            <w:pPr>
              <w:autoSpaceDE w:val="0"/>
              <w:autoSpaceDN w:val="0"/>
              <w:adjustRightInd w:val="0"/>
              <w:cnfStyle w:val="100000000000"/>
              <w:rPr>
                <w:b w:val="0"/>
                <w:bCs w:val="0"/>
                <w:color w:val="FFFFFF"/>
                <w:szCs w:val="24"/>
              </w:rPr>
            </w:pPr>
            <w:r w:rsidRPr="00CF00E1">
              <w:rPr>
                <w:b w:val="0"/>
                <w:bCs w:val="0"/>
                <w:color w:val="FFFFFF"/>
                <w:szCs w:val="24"/>
              </w:rPr>
              <w:t>Conventional approach –</w:t>
            </w:r>
          </w:p>
          <w:p w:rsidR="0048464B" w:rsidRPr="00CF00E1" w:rsidRDefault="0048464B" w:rsidP="00F83382">
            <w:pPr>
              <w:jc w:val="both"/>
              <w:cnfStyle w:val="100000000000"/>
              <w:rPr>
                <w:szCs w:val="24"/>
              </w:rPr>
            </w:pPr>
            <w:r w:rsidRPr="00CF00E1">
              <w:rPr>
                <w:b w:val="0"/>
                <w:bCs w:val="0"/>
                <w:color w:val="FFFFFF"/>
                <w:szCs w:val="24"/>
              </w:rPr>
              <w:t xml:space="preserve">stormwater as a </w:t>
            </w:r>
            <w:r w:rsidRPr="00CF00E1">
              <w:rPr>
                <w:i/>
                <w:iCs/>
                <w:color w:val="FFFFFF"/>
                <w:szCs w:val="24"/>
              </w:rPr>
              <w:t>‘nuisance’</w:t>
            </w:r>
          </w:p>
        </w:tc>
        <w:tc>
          <w:tcPr>
            <w:tcW w:w="3978" w:type="dxa"/>
          </w:tcPr>
          <w:p w:rsidR="0048464B" w:rsidRPr="00CF00E1" w:rsidRDefault="0048464B" w:rsidP="00F83382">
            <w:pPr>
              <w:autoSpaceDE w:val="0"/>
              <w:autoSpaceDN w:val="0"/>
              <w:adjustRightInd w:val="0"/>
              <w:cnfStyle w:val="100000000000"/>
              <w:rPr>
                <w:b w:val="0"/>
                <w:bCs w:val="0"/>
                <w:color w:val="FFFFFF"/>
                <w:szCs w:val="24"/>
              </w:rPr>
            </w:pPr>
            <w:r w:rsidRPr="00CF00E1">
              <w:rPr>
                <w:b w:val="0"/>
                <w:bCs w:val="0"/>
                <w:color w:val="FFFFFF"/>
                <w:szCs w:val="24"/>
              </w:rPr>
              <w:t>Alternative approach –</w:t>
            </w:r>
          </w:p>
          <w:p w:rsidR="0048464B" w:rsidRPr="00CF00E1" w:rsidRDefault="0048464B" w:rsidP="00F83382">
            <w:pPr>
              <w:jc w:val="both"/>
              <w:cnfStyle w:val="100000000000"/>
              <w:rPr>
                <w:szCs w:val="24"/>
              </w:rPr>
            </w:pPr>
            <w:r w:rsidRPr="00CF00E1">
              <w:rPr>
                <w:b w:val="0"/>
                <w:bCs w:val="0"/>
                <w:color w:val="FFFFFF"/>
                <w:szCs w:val="24"/>
              </w:rPr>
              <w:t xml:space="preserve">stormwater as a </w:t>
            </w:r>
            <w:r w:rsidRPr="00CF00E1">
              <w:rPr>
                <w:i/>
                <w:iCs/>
                <w:color w:val="FFFFFF"/>
                <w:szCs w:val="24"/>
              </w:rPr>
              <w:t>‘resource’</w:t>
            </w:r>
          </w:p>
        </w:tc>
      </w:tr>
      <w:tr w:rsidR="0048464B" w:rsidRPr="00CF00E1" w:rsidTr="00F83382">
        <w:trPr>
          <w:cnfStyle w:val="000000100000"/>
        </w:trPr>
        <w:tc>
          <w:tcPr>
            <w:cnfStyle w:val="001000000000"/>
            <w:tcW w:w="1908" w:type="dxa"/>
          </w:tcPr>
          <w:p w:rsidR="0048464B" w:rsidRPr="00B84B58" w:rsidRDefault="0048464B" w:rsidP="00F83382">
            <w:pPr>
              <w:spacing w:after="0"/>
              <w:jc w:val="both"/>
              <w:rPr>
                <w:sz w:val="22"/>
              </w:rPr>
            </w:pPr>
          </w:p>
          <w:p w:rsidR="0048464B" w:rsidRPr="00B84B58" w:rsidRDefault="0048464B" w:rsidP="00F83382">
            <w:pPr>
              <w:spacing w:after="0"/>
              <w:jc w:val="both"/>
              <w:rPr>
                <w:sz w:val="22"/>
              </w:rPr>
            </w:pPr>
            <w:r w:rsidRPr="00B84B58">
              <w:rPr>
                <w:b w:val="0"/>
                <w:sz w:val="22"/>
              </w:rPr>
              <w:t>Quantity</w:t>
            </w:r>
          </w:p>
        </w:tc>
        <w:tc>
          <w:tcPr>
            <w:tcW w:w="3690" w:type="dxa"/>
          </w:tcPr>
          <w:p w:rsidR="0048464B" w:rsidRPr="00B84B58" w:rsidRDefault="0048464B" w:rsidP="00F83382">
            <w:pPr>
              <w:autoSpaceDE w:val="0"/>
              <w:autoSpaceDN w:val="0"/>
              <w:adjustRightInd w:val="0"/>
              <w:spacing w:after="0" w:line="276" w:lineRule="auto"/>
              <w:cnfStyle w:val="000000100000"/>
              <w:rPr>
                <w:sz w:val="22"/>
              </w:rPr>
            </w:pPr>
          </w:p>
          <w:p w:rsidR="0048464B" w:rsidRPr="00B84B58" w:rsidRDefault="0048464B" w:rsidP="00F83382">
            <w:pPr>
              <w:autoSpaceDE w:val="0"/>
              <w:autoSpaceDN w:val="0"/>
              <w:adjustRightInd w:val="0"/>
              <w:spacing w:after="0" w:line="276" w:lineRule="auto"/>
              <w:cnfStyle w:val="000000100000"/>
              <w:rPr>
                <w:sz w:val="22"/>
              </w:rPr>
            </w:pPr>
            <w:r w:rsidRPr="00B84B58">
              <w:rPr>
                <w:sz w:val="22"/>
              </w:rPr>
              <w:t>Stormwater is conveyed away from urban areas as rapidly as possible.</w:t>
            </w:r>
          </w:p>
        </w:tc>
        <w:tc>
          <w:tcPr>
            <w:tcW w:w="3978" w:type="dxa"/>
          </w:tcPr>
          <w:p w:rsidR="0048464B" w:rsidRPr="00B84B58" w:rsidRDefault="0048464B" w:rsidP="00F83382">
            <w:pPr>
              <w:autoSpaceDE w:val="0"/>
              <w:autoSpaceDN w:val="0"/>
              <w:adjustRightInd w:val="0"/>
              <w:spacing w:after="0" w:line="276" w:lineRule="auto"/>
              <w:cnfStyle w:val="000000100000"/>
              <w:rPr>
                <w:sz w:val="22"/>
              </w:rPr>
            </w:pPr>
          </w:p>
          <w:p w:rsidR="0048464B" w:rsidRPr="00B84B58" w:rsidRDefault="0048464B" w:rsidP="00F83382">
            <w:pPr>
              <w:autoSpaceDE w:val="0"/>
              <w:autoSpaceDN w:val="0"/>
              <w:adjustRightInd w:val="0"/>
              <w:spacing w:after="0" w:line="276" w:lineRule="auto"/>
              <w:cnfStyle w:val="000000100000"/>
              <w:rPr>
                <w:sz w:val="22"/>
              </w:rPr>
            </w:pPr>
            <w:r w:rsidRPr="00B84B58">
              <w:rPr>
                <w:sz w:val="22"/>
              </w:rPr>
              <w:t>Stormwater is attenuated and retained at source allowing it to infiltrate into aquifers and flow gradually into receiving water bodies</w:t>
            </w:r>
          </w:p>
        </w:tc>
      </w:tr>
      <w:tr w:rsidR="0048464B" w:rsidRPr="00CF00E1" w:rsidTr="00F83382">
        <w:tc>
          <w:tcPr>
            <w:cnfStyle w:val="001000000000"/>
            <w:tcW w:w="1908" w:type="dxa"/>
          </w:tcPr>
          <w:p w:rsidR="0048464B" w:rsidRPr="00B84B58" w:rsidRDefault="0048464B" w:rsidP="00F83382">
            <w:pPr>
              <w:spacing w:after="0"/>
              <w:jc w:val="both"/>
              <w:rPr>
                <w:sz w:val="22"/>
              </w:rPr>
            </w:pPr>
          </w:p>
          <w:p w:rsidR="0048464B" w:rsidRPr="00B84B58" w:rsidRDefault="0048464B" w:rsidP="00F83382">
            <w:pPr>
              <w:spacing w:after="0"/>
              <w:jc w:val="both"/>
              <w:rPr>
                <w:sz w:val="22"/>
              </w:rPr>
            </w:pPr>
            <w:r w:rsidRPr="00B84B58">
              <w:rPr>
                <w:b w:val="0"/>
                <w:sz w:val="22"/>
              </w:rPr>
              <w:t>Quality</w:t>
            </w:r>
          </w:p>
        </w:tc>
        <w:tc>
          <w:tcPr>
            <w:tcW w:w="3690" w:type="dxa"/>
          </w:tcPr>
          <w:p w:rsidR="0048464B" w:rsidRPr="00B84B58" w:rsidRDefault="0048464B" w:rsidP="00F83382">
            <w:pPr>
              <w:autoSpaceDE w:val="0"/>
              <w:autoSpaceDN w:val="0"/>
              <w:adjustRightInd w:val="0"/>
              <w:spacing w:after="0" w:line="276" w:lineRule="auto"/>
              <w:cnfStyle w:val="000000000000"/>
              <w:rPr>
                <w:sz w:val="22"/>
              </w:rPr>
            </w:pPr>
            <w:r w:rsidRPr="00B84B58">
              <w:rPr>
                <w:sz w:val="22"/>
              </w:rPr>
              <w:t>Stormwater is treated together with human waste at centralised wastewater treatment plants or discharged untreated into receiving water bodies.</w:t>
            </w:r>
          </w:p>
        </w:tc>
        <w:tc>
          <w:tcPr>
            <w:tcW w:w="3978" w:type="dxa"/>
          </w:tcPr>
          <w:p w:rsidR="0048464B" w:rsidRPr="00B84B58" w:rsidRDefault="0048464B" w:rsidP="00F83382">
            <w:pPr>
              <w:autoSpaceDE w:val="0"/>
              <w:autoSpaceDN w:val="0"/>
              <w:adjustRightInd w:val="0"/>
              <w:spacing w:after="0" w:line="276" w:lineRule="auto"/>
              <w:cnfStyle w:val="000000000000"/>
              <w:rPr>
                <w:sz w:val="22"/>
              </w:rPr>
            </w:pPr>
            <w:r w:rsidRPr="00B84B58">
              <w:rPr>
                <w:sz w:val="22"/>
              </w:rPr>
              <w:t>Stormwater is treated using decentralized natural systems such as soils, vegetation and ponds</w:t>
            </w:r>
          </w:p>
        </w:tc>
      </w:tr>
      <w:tr w:rsidR="0048464B" w:rsidRPr="00CF00E1" w:rsidTr="00F83382">
        <w:trPr>
          <w:cnfStyle w:val="000000100000"/>
        </w:trPr>
        <w:tc>
          <w:tcPr>
            <w:cnfStyle w:val="001000000000"/>
            <w:tcW w:w="1908" w:type="dxa"/>
          </w:tcPr>
          <w:p w:rsidR="0048464B" w:rsidRPr="00B84B58" w:rsidRDefault="0048464B" w:rsidP="00F83382">
            <w:pPr>
              <w:spacing w:after="0"/>
              <w:rPr>
                <w:b w:val="0"/>
                <w:sz w:val="22"/>
              </w:rPr>
            </w:pPr>
            <w:r w:rsidRPr="00B84B58">
              <w:rPr>
                <w:b w:val="0"/>
                <w:sz w:val="22"/>
              </w:rPr>
              <w:t>Recreation</w:t>
            </w:r>
            <w:r w:rsidRPr="00B84B58">
              <w:rPr>
                <w:sz w:val="22"/>
              </w:rPr>
              <w:t xml:space="preserve"> </w:t>
            </w:r>
            <w:r w:rsidRPr="00B84B58">
              <w:rPr>
                <w:b w:val="0"/>
                <w:sz w:val="22"/>
              </w:rPr>
              <w:t xml:space="preserve">and </w:t>
            </w:r>
          </w:p>
          <w:p w:rsidR="0048464B" w:rsidRPr="00B84B58" w:rsidRDefault="0048464B" w:rsidP="00F83382">
            <w:pPr>
              <w:spacing w:after="0"/>
              <w:rPr>
                <w:sz w:val="22"/>
              </w:rPr>
            </w:pPr>
            <w:r w:rsidRPr="00B84B58">
              <w:rPr>
                <w:b w:val="0"/>
                <w:sz w:val="22"/>
              </w:rPr>
              <w:t>amenity value</w:t>
            </w:r>
          </w:p>
        </w:tc>
        <w:tc>
          <w:tcPr>
            <w:tcW w:w="3690" w:type="dxa"/>
          </w:tcPr>
          <w:p w:rsidR="0048464B" w:rsidRPr="00B84B58" w:rsidRDefault="0048464B" w:rsidP="00F83382">
            <w:pPr>
              <w:spacing w:after="0" w:line="276" w:lineRule="auto"/>
              <w:jc w:val="both"/>
              <w:cnfStyle w:val="000000100000"/>
              <w:rPr>
                <w:sz w:val="22"/>
              </w:rPr>
            </w:pPr>
          </w:p>
          <w:p w:rsidR="0048464B" w:rsidRPr="00B84B58" w:rsidRDefault="0048464B" w:rsidP="00F83382">
            <w:pPr>
              <w:spacing w:after="0" w:line="276" w:lineRule="auto"/>
              <w:jc w:val="both"/>
              <w:cnfStyle w:val="000000100000"/>
              <w:rPr>
                <w:sz w:val="22"/>
              </w:rPr>
            </w:pPr>
            <w:r w:rsidRPr="00B84B58">
              <w:rPr>
                <w:sz w:val="22"/>
              </w:rPr>
              <w:t>Not considered</w:t>
            </w:r>
          </w:p>
        </w:tc>
        <w:tc>
          <w:tcPr>
            <w:tcW w:w="3978" w:type="dxa"/>
          </w:tcPr>
          <w:p w:rsidR="0048464B" w:rsidRPr="00B84B58" w:rsidRDefault="0048464B" w:rsidP="00F83382">
            <w:pPr>
              <w:autoSpaceDE w:val="0"/>
              <w:autoSpaceDN w:val="0"/>
              <w:adjustRightInd w:val="0"/>
              <w:spacing w:after="0" w:line="276" w:lineRule="auto"/>
              <w:cnfStyle w:val="000000100000"/>
              <w:rPr>
                <w:sz w:val="22"/>
              </w:rPr>
            </w:pPr>
            <w:r w:rsidRPr="00B84B58">
              <w:rPr>
                <w:sz w:val="22"/>
              </w:rPr>
              <w:t>Stormwater infrastructure is designed to enhance the urban landscape and provide recreational opportunities</w:t>
            </w:r>
          </w:p>
        </w:tc>
      </w:tr>
      <w:tr w:rsidR="0048464B" w:rsidRPr="00CF00E1" w:rsidTr="00F83382">
        <w:tc>
          <w:tcPr>
            <w:cnfStyle w:val="001000000000"/>
            <w:tcW w:w="1908" w:type="dxa"/>
          </w:tcPr>
          <w:p w:rsidR="0048464B" w:rsidRPr="00B84B58" w:rsidRDefault="0048464B" w:rsidP="00F83382">
            <w:pPr>
              <w:spacing w:after="0"/>
              <w:jc w:val="both"/>
              <w:rPr>
                <w:sz w:val="22"/>
              </w:rPr>
            </w:pPr>
          </w:p>
          <w:p w:rsidR="0048464B" w:rsidRPr="00B84B58" w:rsidRDefault="0048464B" w:rsidP="00F83382">
            <w:pPr>
              <w:spacing w:after="0"/>
              <w:jc w:val="both"/>
              <w:rPr>
                <w:sz w:val="22"/>
              </w:rPr>
            </w:pPr>
            <w:r w:rsidRPr="00B84B58">
              <w:rPr>
                <w:b w:val="0"/>
                <w:sz w:val="22"/>
              </w:rPr>
              <w:t>Biodiversity</w:t>
            </w:r>
          </w:p>
        </w:tc>
        <w:tc>
          <w:tcPr>
            <w:tcW w:w="3690" w:type="dxa"/>
          </w:tcPr>
          <w:p w:rsidR="0048464B" w:rsidRPr="00B84B58" w:rsidRDefault="0048464B" w:rsidP="00F83382">
            <w:pPr>
              <w:spacing w:after="0" w:line="276" w:lineRule="auto"/>
              <w:jc w:val="both"/>
              <w:cnfStyle w:val="000000000000"/>
              <w:rPr>
                <w:sz w:val="22"/>
              </w:rPr>
            </w:pPr>
          </w:p>
          <w:p w:rsidR="0048464B" w:rsidRPr="00B84B58" w:rsidRDefault="0048464B" w:rsidP="00F83382">
            <w:pPr>
              <w:spacing w:after="0" w:line="276" w:lineRule="auto"/>
              <w:jc w:val="both"/>
              <w:cnfStyle w:val="000000000000"/>
              <w:rPr>
                <w:sz w:val="22"/>
              </w:rPr>
            </w:pPr>
            <w:r w:rsidRPr="00B84B58">
              <w:rPr>
                <w:sz w:val="22"/>
              </w:rPr>
              <w:t>Not considered</w:t>
            </w:r>
          </w:p>
        </w:tc>
        <w:tc>
          <w:tcPr>
            <w:tcW w:w="3978" w:type="dxa"/>
          </w:tcPr>
          <w:p w:rsidR="0048464B" w:rsidRPr="00B84B58" w:rsidRDefault="0048464B" w:rsidP="00F83382">
            <w:pPr>
              <w:autoSpaceDE w:val="0"/>
              <w:autoSpaceDN w:val="0"/>
              <w:adjustRightInd w:val="0"/>
              <w:spacing w:after="0" w:line="276" w:lineRule="auto"/>
              <w:cnfStyle w:val="000000000000"/>
              <w:rPr>
                <w:sz w:val="22"/>
              </w:rPr>
            </w:pPr>
            <w:r w:rsidRPr="00B84B58">
              <w:rPr>
                <w:sz w:val="22"/>
              </w:rPr>
              <w:t>Urban ecosystems are restored and</w:t>
            </w:r>
          </w:p>
          <w:p w:rsidR="0048464B" w:rsidRPr="00B84B58" w:rsidRDefault="0048464B" w:rsidP="00F83382">
            <w:pPr>
              <w:autoSpaceDE w:val="0"/>
              <w:autoSpaceDN w:val="0"/>
              <w:adjustRightInd w:val="0"/>
              <w:spacing w:after="0" w:line="276" w:lineRule="auto"/>
              <w:cnfStyle w:val="000000000000"/>
              <w:rPr>
                <w:sz w:val="22"/>
              </w:rPr>
            </w:pPr>
            <w:r w:rsidRPr="00B84B58">
              <w:rPr>
                <w:sz w:val="22"/>
              </w:rPr>
              <w:t>protected through the use of stormwater to maintain and enhance natural habitats</w:t>
            </w:r>
          </w:p>
        </w:tc>
      </w:tr>
      <w:tr w:rsidR="0048464B" w:rsidRPr="00CF00E1" w:rsidTr="00F83382">
        <w:trPr>
          <w:cnfStyle w:val="000000100000"/>
        </w:trPr>
        <w:tc>
          <w:tcPr>
            <w:cnfStyle w:val="001000000000"/>
            <w:tcW w:w="1908" w:type="dxa"/>
          </w:tcPr>
          <w:p w:rsidR="0048464B" w:rsidRPr="00B84B58" w:rsidRDefault="0048464B" w:rsidP="00F83382">
            <w:pPr>
              <w:spacing w:after="0"/>
              <w:jc w:val="both"/>
              <w:rPr>
                <w:sz w:val="22"/>
              </w:rPr>
            </w:pPr>
          </w:p>
          <w:p w:rsidR="0048464B" w:rsidRPr="00B84B58" w:rsidRDefault="0048464B" w:rsidP="00F83382">
            <w:pPr>
              <w:spacing w:after="0"/>
              <w:jc w:val="both"/>
              <w:rPr>
                <w:b w:val="0"/>
                <w:sz w:val="22"/>
              </w:rPr>
            </w:pPr>
            <w:r w:rsidRPr="00B84B58">
              <w:rPr>
                <w:b w:val="0"/>
                <w:sz w:val="22"/>
              </w:rPr>
              <w:t>Potential resource</w:t>
            </w:r>
          </w:p>
        </w:tc>
        <w:tc>
          <w:tcPr>
            <w:tcW w:w="3690" w:type="dxa"/>
          </w:tcPr>
          <w:p w:rsidR="0048464B" w:rsidRPr="00B84B58" w:rsidRDefault="0048464B" w:rsidP="00F83382">
            <w:pPr>
              <w:spacing w:after="0" w:line="276" w:lineRule="auto"/>
              <w:jc w:val="both"/>
              <w:cnfStyle w:val="000000100000"/>
              <w:rPr>
                <w:sz w:val="22"/>
              </w:rPr>
            </w:pPr>
          </w:p>
          <w:p w:rsidR="0048464B" w:rsidRPr="00B84B58" w:rsidRDefault="0048464B" w:rsidP="00F83382">
            <w:pPr>
              <w:spacing w:after="0" w:line="276" w:lineRule="auto"/>
              <w:jc w:val="both"/>
              <w:cnfStyle w:val="000000100000"/>
              <w:rPr>
                <w:sz w:val="22"/>
              </w:rPr>
            </w:pPr>
            <w:r w:rsidRPr="00B84B58">
              <w:rPr>
                <w:sz w:val="22"/>
              </w:rPr>
              <w:t>Not considered</w:t>
            </w:r>
          </w:p>
        </w:tc>
        <w:tc>
          <w:tcPr>
            <w:tcW w:w="3978" w:type="dxa"/>
          </w:tcPr>
          <w:p w:rsidR="0048464B" w:rsidRPr="00B84B58" w:rsidRDefault="0048464B" w:rsidP="00F83382">
            <w:pPr>
              <w:autoSpaceDE w:val="0"/>
              <w:autoSpaceDN w:val="0"/>
              <w:adjustRightInd w:val="0"/>
              <w:spacing w:after="0" w:line="276" w:lineRule="auto"/>
              <w:cnfStyle w:val="000000100000"/>
              <w:rPr>
                <w:sz w:val="22"/>
              </w:rPr>
            </w:pPr>
            <w:r w:rsidRPr="00B84B58">
              <w:rPr>
                <w:sz w:val="22"/>
              </w:rPr>
              <w:t>Stormwater is harvested for water supply and retained to support aquifers, waterways and vegetation</w:t>
            </w:r>
          </w:p>
        </w:tc>
      </w:tr>
    </w:tbl>
    <w:p w:rsidR="0048464B" w:rsidRDefault="0048464B" w:rsidP="0048464B">
      <w:pPr>
        <w:jc w:val="both"/>
        <w:rPr>
          <w:rFonts w:cs="Times New Roman"/>
          <w:szCs w:val="24"/>
        </w:rPr>
      </w:pPr>
    </w:p>
    <w:p w:rsidR="0048464B" w:rsidRDefault="0048464B" w:rsidP="0048464B">
      <w:pPr>
        <w:jc w:val="both"/>
        <w:rPr>
          <w:rFonts w:cs="Times New Roman"/>
          <w:szCs w:val="24"/>
        </w:rPr>
      </w:pPr>
    </w:p>
    <w:p w:rsidR="0048464B" w:rsidRDefault="0048464B" w:rsidP="0048464B">
      <w:pPr>
        <w:jc w:val="both"/>
        <w:rPr>
          <w:rFonts w:cs="Times New Roman"/>
          <w:szCs w:val="24"/>
        </w:rPr>
      </w:pPr>
    </w:p>
    <w:p w:rsidR="0048464B" w:rsidRDefault="0048464B" w:rsidP="0048464B">
      <w:pPr>
        <w:jc w:val="both"/>
        <w:rPr>
          <w:rFonts w:cs="Times New Roman"/>
          <w:szCs w:val="24"/>
        </w:rPr>
      </w:pPr>
    </w:p>
    <w:p w:rsidR="0048464B" w:rsidRDefault="0048464B" w:rsidP="0048464B">
      <w:pPr>
        <w:jc w:val="both"/>
        <w:rPr>
          <w:rFonts w:cs="Times New Roman"/>
          <w:szCs w:val="24"/>
        </w:rPr>
      </w:pPr>
    </w:p>
    <w:p w:rsidR="0048464B" w:rsidRDefault="0048464B" w:rsidP="0048464B">
      <w:pPr>
        <w:jc w:val="both"/>
        <w:rPr>
          <w:rFonts w:cs="Times New Roman"/>
          <w:szCs w:val="24"/>
        </w:rPr>
      </w:pPr>
    </w:p>
    <w:p w:rsidR="0048464B" w:rsidRDefault="0048464B" w:rsidP="0048464B">
      <w:pPr>
        <w:jc w:val="both"/>
        <w:rPr>
          <w:rFonts w:cs="Times New Roman"/>
          <w:szCs w:val="24"/>
        </w:rPr>
      </w:pPr>
    </w:p>
    <w:p w:rsidR="0048464B" w:rsidRPr="001E5657" w:rsidRDefault="0048464B" w:rsidP="0048464B">
      <w:pPr>
        <w:pStyle w:val="Heading4"/>
        <w:jc w:val="both"/>
        <w:rPr>
          <w:b w:val="0"/>
          <w:bCs w:val="0"/>
          <w:i/>
        </w:rPr>
      </w:pPr>
      <w:r w:rsidRPr="001E5657">
        <w:lastRenderedPageBreak/>
        <w:t xml:space="preserve">Strategy WSS 6: </w:t>
      </w:r>
      <w:r w:rsidRPr="001E5657">
        <w:rPr>
          <w:rFonts w:cs="Segoe UI"/>
          <w:szCs w:val="19"/>
        </w:rPr>
        <w:t xml:space="preserve">Strategies on </w:t>
      </w:r>
      <w:r w:rsidRPr="001E5657">
        <w:t>Storm-Water and Urban Drainage Management</w:t>
      </w:r>
    </w:p>
    <w:p w:rsidR="0048464B" w:rsidRPr="001E5657" w:rsidRDefault="0048464B" w:rsidP="0048464B">
      <w:pPr>
        <w:jc w:val="both"/>
        <w:rPr>
          <w:rFonts w:cs="Times New Roman"/>
        </w:rPr>
      </w:pPr>
      <w:r w:rsidRPr="001E5657">
        <w:rPr>
          <w:rFonts w:cs="Times New Roman"/>
        </w:rPr>
        <w:t>Apart from flooding, water-logging has also become a major problem of urban areas, especially the big cities. The problem becomes quite serious during annual monsoon with widespread and lengthy disruption of roads, telecommunications, electricity supply and water supply. In September, 2004 continuous rainfall for about 48 hours inundated most parts of Dhaka city. A record 315 millimeters of rainfall in the city on 12</w:t>
      </w:r>
      <w:r w:rsidRPr="001E5657">
        <w:rPr>
          <w:rFonts w:cs="Times New Roman"/>
          <w:vertAlign w:val="superscript"/>
        </w:rPr>
        <w:t>th</w:t>
      </w:r>
      <w:r w:rsidRPr="001E5657">
        <w:rPr>
          <w:rFonts w:cs="Times New Roman"/>
        </w:rPr>
        <w:t xml:space="preserve"> and 13</w:t>
      </w:r>
      <w:r w:rsidRPr="001E5657">
        <w:rPr>
          <w:rFonts w:cs="Times New Roman"/>
          <w:vertAlign w:val="superscript"/>
        </w:rPr>
        <w:t>th</w:t>
      </w:r>
      <w:r w:rsidRPr="001E5657">
        <w:rPr>
          <w:rFonts w:cs="Times New Roman"/>
        </w:rPr>
        <w:t xml:space="preserve"> September disrupted business and economic activities and forced the suspension of Dhaka’s Stock Exchange. A report by Dhaka’s Water and Sewerage Authority (DWASA) indicated that the heavy downpour affected 250 schools and 681 garment factories in addition to shopping malls, business houses and various other factories.</w:t>
      </w:r>
    </w:p>
    <w:p w:rsidR="0048464B" w:rsidRPr="001E5657" w:rsidRDefault="0048464B" w:rsidP="0048464B">
      <w:pPr>
        <w:jc w:val="both"/>
        <w:rPr>
          <w:i/>
          <w:iCs/>
        </w:rPr>
      </w:pPr>
      <w:r w:rsidRPr="001E5657">
        <w:rPr>
          <w:i/>
          <w:iCs/>
        </w:rPr>
        <w:t xml:space="preserve">Sub-Strategy WSS 6.1: Develop Green Infrastructure </w:t>
      </w:r>
    </w:p>
    <w:p w:rsidR="0048464B" w:rsidRPr="001E5657" w:rsidRDefault="0048464B" w:rsidP="0048464B">
      <w:pPr>
        <w:spacing w:after="0"/>
        <w:jc w:val="both"/>
        <w:rPr>
          <w:rFonts w:cs="Times New Roman"/>
          <w:szCs w:val="24"/>
        </w:rPr>
      </w:pPr>
      <w:r w:rsidRPr="001E5657">
        <w:rPr>
          <w:rFonts w:cs="Times New Roman"/>
          <w:szCs w:val="24"/>
        </w:rPr>
        <w:t>In recent years, there has been a shift in approach towards a sustainable storm water management. In such case Green infrastructure which refers to interconnected network of waterways, wetlands, woodlands, wildlife habitats and other natural areas that maintain natural ecological processes, can be used to restore vegetation and green space in highly impervious city areas. When linked together through an urban environment, it facilitates storm water management by letting the environment manage water naturally. It can be a useful tool for the city to protect its natural water resources and storm water management systems from the impacts of development and urbanization. Necessary steps that must be taken to   preserve the natural beauty and save water bodies, parks, lakes and urban greenery are as follows:</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Designate all ponds/water bodies in Detailed Area Plan Map and protect them according to the ecological importance and public interest.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Stop housing estate, industries and other development work in wetlands through earth filling.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Protect the ponds/water bodies as per regulatory framework of DAP.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Strictly implement Wetland Conversation Act, 2000.</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Create public awareness about the importance of ponds and its role in culture fisheries, bathing and water reservoir for surface run-off during monsoon.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Avoid water bodies during planning of roads, housing and industrial estates.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Practice good architectural/engineering design during planning of housing estates, buildings and the intersections of main roads.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Enhance plantation and gardening to increase the natural beauty of the city.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Preserve the wetlands like ponds, beels, khals demarking buffer distance as lakes.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Avoid critical ecological area and refuge sites from development works.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Aware people for keeping some trees and bushes around the homesteads.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Increase tree plantation in roadsides and homesteads. </w:t>
      </w:r>
    </w:p>
    <w:p w:rsidR="0048464B" w:rsidRPr="001E5657" w:rsidRDefault="0048464B" w:rsidP="003D5A31">
      <w:pPr>
        <w:pStyle w:val="ListParagraph"/>
        <w:numPr>
          <w:ilvl w:val="0"/>
          <w:numId w:val="125"/>
        </w:numPr>
        <w:spacing w:after="0" w:line="276" w:lineRule="auto"/>
        <w:ind w:left="360" w:firstLine="0"/>
        <w:jc w:val="both"/>
        <w:rPr>
          <w:szCs w:val="24"/>
        </w:rPr>
      </w:pPr>
      <w:r w:rsidRPr="001E5657">
        <w:rPr>
          <w:szCs w:val="24"/>
        </w:rPr>
        <w:t xml:space="preserve">Restrict private land development activities in and around low -lying areas. </w:t>
      </w:r>
    </w:p>
    <w:p w:rsidR="0048464B" w:rsidRPr="001E5657" w:rsidRDefault="0048464B" w:rsidP="0048464B">
      <w:pPr>
        <w:jc w:val="both"/>
        <w:rPr>
          <w:i/>
          <w:iCs/>
        </w:rPr>
      </w:pPr>
      <w:r w:rsidRPr="001E5657">
        <w:rPr>
          <w:i/>
          <w:iCs/>
        </w:rPr>
        <w:t>Sub-Strategy WSS 6.2: Rain Water Harvesting</w:t>
      </w:r>
    </w:p>
    <w:p w:rsidR="0048464B" w:rsidRPr="001E5657" w:rsidRDefault="0048464B" w:rsidP="0048464B">
      <w:pPr>
        <w:pStyle w:val="NormalWeb"/>
        <w:shd w:val="clear" w:color="auto" w:fill="FFFFFF"/>
        <w:spacing w:before="0" w:beforeAutospacing="0" w:after="240" w:afterAutospacing="0" w:line="276" w:lineRule="auto"/>
        <w:textAlignment w:val="baseline"/>
      </w:pPr>
      <w:r w:rsidRPr="001E5657">
        <w:lastRenderedPageBreak/>
        <w:t>Rainwater harvesting is an innovative alternative for water supply approach. It is a process involving collection and storage of rain water (with the help of artificially designed system) that runs off natural or man-made catchment areas e.g. roof top, compounds, rock surface or hill slopes or artificially repaired impervious/semi-pervious land surface. It reduces demand on existing water supply as well as run-off, erosion, and contamination of surface water. These include landscape use, storm-water control, wildlife and livestock watering, in-home use, and fire protection. A rainwater harvesting system can range in size and complexity. All systems have basics components, which include a catchment surface, conveyance system, storage, distribution, and treatment.</w:t>
      </w:r>
    </w:p>
    <w:p w:rsidR="0048464B" w:rsidRPr="00E03AFA" w:rsidRDefault="0048464B" w:rsidP="003D5A31">
      <w:pPr>
        <w:pStyle w:val="BodyText"/>
        <w:numPr>
          <w:ilvl w:val="2"/>
          <w:numId w:val="268"/>
        </w:numPr>
        <w:spacing w:after="240" w:line="276" w:lineRule="auto"/>
        <w:jc w:val="both"/>
        <w:rPr>
          <w:rFonts w:cs="Times New Roman"/>
          <w:b/>
          <w:szCs w:val="24"/>
        </w:rPr>
      </w:pPr>
      <w:r>
        <w:rPr>
          <w:rFonts w:cs="Times New Roman"/>
          <w:b/>
          <w:szCs w:val="24"/>
        </w:rPr>
        <w:t xml:space="preserve"> </w:t>
      </w:r>
      <w:r w:rsidRPr="00CF00E1">
        <w:rPr>
          <w:rFonts w:cs="Times New Roman"/>
          <w:b/>
          <w:szCs w:val="24"/>
        </w:rPr>
        <w:t>Integrated Approach to Solid Waste Management</w:t>
      </w:r>
    </w:p>
    <w:p w:rsidR="0048464B" w:rsidRPr="00CF00E1" w:rsidRDefault="0048464B" w:rsidP="0048464B">
      <w:pPr>
        <w:spacing w:line="276" w:lineRule="auto"/>
        <w:jc w:val="both"/>
        <w:rPr>
          <w:rFonts w:cs="Times New Roman"/>
          <w:szCs w:val="24"/>
        </w:rPr>
      </w:pPr>
      <w:r w:rsidRPr="00CF00E1">
        <w:rPr>
          <w:rFonts w:cs="Times New Roman"/>
          <w:szCs w:val="24"/>
        </w:rPr>
        <w:t>A sound system for managing solid waste disposal is an important determinant of the satisfactory performance of a city’s drainage system. Lack of awareness of the people about safe disposal of solid waste and weak management systems of the Urban Local Bodies are largely responsible for the accumulation of wastes in streets, open spaces, drains, canals and even stagnant water bodies causing serious drainage, health and environmental problems. To adequately address the issue of solid waste management, an integrated approach is recommended that focus on community participation in waste management, along with a recycling strategy to reduce the need for primary and secondary solid waste collection.</w:t>
      </w:r>
    </w:p>
    <w:p w:rsidR="0048464B" w:rsidRPr="00CF00E1" w:rsidRDefault="0048464B" w:rsidP="0048464B">
      <w:pPr>
        <w:spacing w:line="276" w:lineRule="auto"/>
        <w:jc w:val="both"/>
        <w:rPr>
          <w:rFonts w:cs="Times New Roman"/>
          <w:szCs w:val="24"/>
        </w:rPr>
      </w:pPr>
      <w:r w:rsidRPr="00CF00E1">
        <w:rPr>
          <w:rFonts w:cs="Times New Roman"/>
          <w:szCs w:val="24"/>
        </w:rPr>
        <w:t xml:space="preserve">A National 3R (Reduce, Reuse, Recycle) Strategy was passed in 2010 establishing a 3R Wing at the Ministry of Environment and Forests to implement waste prevention activities, and an inter-ministerial committee to coordinate activities across ministries. To stimulate private sector investment in waste recycling and treatment plants, the strategy calls for the government to provide tax holidays, soft loans, and land to site the facilities. It also calls for research and development of resource-efficient products and processes that minimize chemical and energy waste. The strategy proposes public grants for educational and research institutions; and tax incentives, green industrial parks, and business incubators for industry. </w:t>
      </w:r>
    </w:p>
    <w:p w:rsidR="0048464B" w:rsidRPr="00CF00E1" w:rsidRDefault="0048464B" w:rsidP="0048464B">
      <w:pPr>
        <w:spacing w:after="0" w:line="276" w:lineRule="auto"/>
        <w:jc w:val="both"/>
        <w:rPr>
          <w:rFonts w:cs="Times New Roman"/>
          <w:szCs w:val="24"/>
        </w:rPr>
      </w:pPr>
      <w:r w:rsidRPr="00CF00E1">
        <w:rPr>
          <w:rFonts w:cs="Times New Roman"/>
          <w:szCs w:val="24"/>
        </w:rPr>
        <w:t>Collected waste is usually disposed of in land fill sites, which operate as open dumps. Only a very small proportion is currently being recycled by scavengers who sift through wastes and identify items that can be sold to used-material merchants. This informal system appears to offer great benefits not only to the merchants selling used products but also to the recycling industries by supplying needed raw materials. Quite a good number of recycling plastic industries can be found in Dhaka which depends in this informal system for the supply of raw materials.</w:t>
      </w:r>
    </w:p>
    <w:p w:rsidR="0048464B" w:rsidRPr="00CF00E1" w:rsidRDefault="0048464B" w:rsidP="0048464B">
      <w:pPr>
        <w:spacing w:after="0" w:line="276" w:lineRule="auto"/>
        <w:rPr>
          <w:rFonts w:cs="Times New Roman"/>
          <w:szCs w:val="24"/>
        </w:rPr>
      </w:pPr>
    </w:p>
    <w:p w:rsidR="0048464B" w:rsidRDefault="0048464B" w:rsidP="0048464B">
      <w:pPr>
        <w:spacing w:after="0" w:line="276" w:lineRule="auto"/>
        <w:jc w:val="both"/>
        <w:rPr>
          <w:rFonts w:cs="Times New Roman"/>
          <w:szCs w:val="24"/>
        </w:rPr>
      </w:pPr>
      <w:r w:rsidRPr="00CF00E1">
        <w:rPr>
          <w:rFonts w:cs="Times New Roman"/>
          <w:szCs w:val="24"/>
        </w:rPr>
        <w:t xml:space="preserve">Another area that has been attracting attention in recent years is composting of organic materials. Such materials constitute the major share of the solid waste. With a simple technology this huge waste can be transformed into quality natural fertilizer. It effectively saves us from the adverse effect of chemical fertilizer and raises agricultural production in </w:t>
      </w:r>
      <w:r>
        <w:rPr>
          <w:rFonts w:cs="Times New Roman"/>
          <w:szCs w:val="24"/>
        </w:rPr>
        <w:t xml:space="preserve">a very eco-friendly way. It is </w:t>
      </w:r>
      <w:r>
        <w:rPr>
          <w:rFonts w:cs="Times New Roman"/>
          <w:szCs w:val="24"/>
        </w:rPr>
        <w:lastRenderedPageBreak/>
        <w:t xml:space="preserve">recommended </w:t>
      </w:r>
      <w:r w:rsidRPr="00CF00E1">
        <w:rPr>
          <w:rFonts w:cs="Times New Roman"/>
          <w:szCs w:val="24"/>
        </w:rPr>
        <w:t>that there should be no more dumping of solid waste in the low lying areas as is practiced presently causing huge pollution, filling out low lying natural water retention areas and so forth. Instead, entire solid waste management should focus on recycling and composting of such waste to capture above benefits. Estimates suggest that up-to one-half of wastes could be handled this way. Government support for recycling through imposing user fees for waste disposal, encouraging composting, and formalizing the function of scavengers, can lead to considerable savings in the cost of processing solid wastes.</w:t>
      </w:r>
    </w:p>
    <w:p w:rsidR="0048464B" w:rsidRDefault="0048464B" w:rsidP="0048464B">
      <w:pPr>
        <w:spacing w:after="0" w:line="276" w:lineRule="auto"/>
        <w:jc w:val="both"/>
        <w:rPr>
          <w:rFonts w:cs="Times New Roman"/>
          <w:szCs w:val="24"/>
        </w:rPr>
      </w:pPr>
    </w:p>
    <w:p w:rsidR="0048464B" w:rsidRDefault="0048464B" w:rsidP="0048464B">
      <w:pPr>
        <w:spacing w:after="0" w:line="276" w:lineRule="auto"/>
        <w:jc w:val="both"/>
        <w:rPr>
          <w:rFonts w:cs="Times New Roman"/>
          <w:szCs w:val="24"/>
        </w:rPr>
      </w:pPr>
      <w:r>
        <w:rPr>
          <w:rFonts w:cs="Times New Roman"/>
          <w:szCs w:val="24"/>
        </w:rPr>
        <w:t xml:space="preserve">Another major factor is the need for institutional coordination. </w:t>
      </w:r>
      <w:r w:rsidRPr="00CF00E1">
        <w:rPr>
          <w:rFonts w:cs="Times New Roman"/>
          <w:szCs w:val="24"/>
        </w:rPr>
        <w:t xml:space="preserve">Storm water management is hugely influenced by </w:t>
      </w:r>
      <w:r>
        <w:rPr>
          <w:rFonts w:cs="Times New Roman"/>
          <w:szCs w:val="24"/>
        </w:rPr>
        <w:t xml:space="preserve">many </w:t>
      </w:r>
      <w:r w:rsidRPr="00CF00E1">
        <w:rPr>
          <w:rFonts w:cs="Times New Roman"/>
          <w:szCs w:val="24"/>
        </w:rPr>
        <w:t>urban development activities. Due to such activities</w:t>
      </w:r>
      <w:r>
        <w:rPr>
          <w:rFonts w:cs="Times New Roman"/>
          <w:szCs w:val="24"/>
        </w:rPr>
        <w:t>,</w:t>
      </w:r>
      <w:r w:rsidRPr="00CF00E1">
        <w:rPr>
          <w:rFonts w:cs="Times New Roman"/>
          <w:szCs w:val="24"/>
        </w:rPr>
        <w:t xml:space="preserve"> natural landscapes are being converted into buildings and paved surfaces. The linkages between storm water management and other urban management sectors are described below:</w:t>
      </w:r>
    </w:p>
    <w:p w:rsidR="0048464B" w:rsidRPr="00CF00E1" w:rsidRDefault="0048464B" w:rsidP="0048464B">
      <w:pPr>
        <w:spacing w:after="0" w:line="276" w:lineRule="auto"/>
        <w:jc w:val="both"/>
        <w:rPr>
          <w:rFonts w:cs="Times New Roman"/>
          <w:szCs w:val="24"/>
        </w:rPr>
      </w:pPr>
    </w:p>
    <w:p w:rsidR="0048464B" w:rsidRPr="00CF00E1" w:rsidRDefault="0048464B" w:rsidP="0048464B">
      <w:pPr>
        <w:autoSpaceDE w:val="0"/>
        <w:autoSpaceDN w:val="0"/>
        <w:adjustRightInd w:val="0"/>
        <w:spacing w:after="0" w:line="276" w:lineRule="auto"/>
        <w:jc w:val="both"/>
        <w:rPr>
          <w:rFonts w:cs="Times New Roman"/>
          <w:szCs w:val="24"/>
        </w:rPr>
      </w:pPr>
      <w:r w:rsidRPr="00CF00E1">
        <w:rPr>
          <w:rFonts w:cs="Times New Roman"/>
          <w:b/>
          <w:szCs w:val="24"/>
        </w:rPr>
        <w:t>Roads and transport</w:t>
      </w:r>
      <w:r w:rsidRPr="00CF00E1">
        <w:rPr>
          <w:rFonts w:cs="Times New Roman"/>
          <w:color w:val="005EAA"/>
          <w:szCs w:val="24"/>
        </w:rPr>
        <w:t xml:space="preserve">: </w:t>
      </w:r>
      <w:r w:rsidRPr="00CF00E1">
        <w:rPr>
          <w:rFonts w:cs="Times New Roman"/>
          <w:color w:val="000000"/>
          <w:szCs w:val="24"/>
        </w:rPr>
        <w:t>The construction of roads expands the area of impermeable paving causing an increase in surface runoff. Roads are also a source of stormwater pollutants such as oils, heavy metals and sediment.</w:t>
      </w:r>
    </w:p>
    <w:p w:rsidR="0048464B" w:rsidRPr="00CF00E1" w:rsidRDefault="0048464B" w:rsidP="0048464B">
      <w:pPr>
        <w:spacing w:after="0" w:line="276" w:lineRule="auto"/>
        <w:jc w:val="both"/>
        <w:rPr>
          <w:rFonts w:cs="Times New Roman"/>
          <w:szCs w:val="24"/>
        </w:rPr>
      </w:pPr>
    </w:p>
    <w:p w:rsidR="0048464B" w:rsidRPr="00CF00E1" w:rsidRDefault="0048464B" w:rsidP="0048464B">
      <w:pPr>
        <w:autoSpaceDE w:val="0"/>
        <w:autoSpaceDN w:val="0"/>
        <w:adjustRightInd w:val="0"/>
        <w:spacing w:line="276" w:lineRule="auto"/>
        <w:jc w:val="both"/>
        <w:rPr>
          <w:rFonts w:cs="Times New Roman"/>
          <w:color w:val="000000"/>
          <w:szCs w:val="24"/>
        </w:rPr>
      </w:pPr>
      <w:r w:rsidRPr="00CF00E1">
        <w:rPr>
          <w:rFonts w:cs="Times New Roman"/>
          <w:b/>
          <w:szCs w:val="24"/>
        </w:rPr>
        <w:t>Waste management</w:t>
      </w:r>
      <w:r w:rsidRPr="00CF00E1">
        <w:rPr>
          <w:rFonts w:cs="Times New Roman"/>
          <w:color w:val="000000"/>
          <w:szCs w:val="24"/>
        </w:rPr>
        <w:t>: Urban waste can block drainage channels creating localised flooding. Pollutants from land-fill sites can also be dispersed through stormwater runoff.</w:t>
      </w:r>
    </w:p>
    <w:p w:rsidR="0048464B" w:rsidRPr="00CF00E1" w:rsidRDefault="0048464B" w:rsidP="0048464B">
      <w:pPr>
        <w:autoSpaceDE w:val="0"/>
        <w:autoSpaceDN w:val="0"/>
        <w:adjustRightInd w:val="0"/>
        <w:spacing w:after="0" w:line="276" w:lineRule="auto"/>
        <w:jc w:val="both"/>
        <w:rPr>
          <w:rFonts w:cs="Times New Roman"/>
          <w:color w:val="000000"/>
          <w:szCs w:val="24"/>
        </w:rPr>
      </w:pPr>
      <w:r w:rsidRPr="00CF00E1">
        <w:rPr>
          <w:rFonts w:cs="Times New Roman"/>
          <w:b/>
          <w:szCs w:val="24"/>
        </w:rPr>
        <w:t>Housing:</w:t>
      </w:r>
      <w:r w:rsidRPr="00CF00E1">
        <w:rPr>
          <w:rFonts w:cs="Times New Roman"/>
          <w:color w:val="005EAA"/>
          <w:szCs w:val="24"/>
        </w:rPr>
        <w:t xml:space="preserve"> </w:t>
      </w:r>
      <w:r w:rsidRPr="00CF00E1">
        <w:rPr>
          <w:rFonts w:cs="Times New Roman"/>
          <w:color w:val="000000"/>
          <w:szCs w:val="24"/>
        </w:rPr>
        <w:t>New residential developments create an increase in impermeable surfaces through roof area and paving. This alters the hydrological characteristics of the site resulting in larger volumes of rainfall runoff that need to be managed.</w:t>
      </w:r>
    </w:p>
    <w:p w:rsidR="0048464B" w:rsidRPr="00CF00E1" w:rsidRDefault="0048464B" w:rsidP="0048464B">
      <w:pPr>
        <w:autoSpaceDE w:val="0"/>
        <w:autoSpaceDN w:val="0"/>
        <w:adjustRightInd w:val="0"/>
        <w:spacing w:after="0" w:line="276" w:lineRule="auto"/>
        <w:rPr>
          <w:rFonts w:cs="Times New Roman"/>
          <w:color w:val="000000"/>
          <w:szCs w:val="24"/>
        </w:rPr>
      </w:pPr>
    </w:p>
    <w:p w:rsidR="0048464B" w:rsidRPr="00CF00E1" w:rsidRDefault="0048464B" w:rsidP="0048464B">
      <w:pPr>
        <w:autoSpaceDE w:val="0"/>
        <w:autoSpaceDN w:val="0"/>
        <w:adjustRightInd w:val="0"/>
        <w:spacing w:after="0" w:line="276" w:lineRule="auto"/>
        <w:jc w:val="both"/>
        <w:rPr>
          <w:rFonts w:cs="Times New Roman"/>
          <w:color w:val="000000"/>
          <w:szCs w:val="24"/>
        </w:rPr>
      </w:pPr>
      <w:r w:rsidRPr="00CF00E1">
        <w:rPr>
          <w:rFonts w:cs="Times New Roman"/>
          <w:b/>
          <w:szCs w:val="24"/>
        </w:rPr>
        <w:t>Economic development</w:t>
      </w:r>
      <w:r w:rsidRPr="00CF00E1">
        <w:rPr>
          <w:rFonts w:cs="Times New Roman"/>
          <w:color w:val="005EAA"/>
          <w:szCs w:val="24"/>
        </w:rPr>
        <w:t xml:space="preserve">: </w:t>
      </w:r>
      <w:r w:rsidRPr="00CF00E1">
        <w:rPr>
          <w:rFonts w:cs="Times New Roman"/>
          <w:color w:val="000000"/>
          <w:szCs w:val="24"/>
        </w:rPr>
        <w:t>Construction sites, quarrying and certain types of industry produce pollutants and high levels of sediment that are dispersed into receiving water bodies through stormwater runoff.</w:t>
      </w:r>
    </w:p>
    <w:p w:rsidR="0048464B" w:rsidRPr="00CF00E1" w:rsidRDefault="0048464B" w:rsidP="0048464B">
      <w:pPr>
        <w:autoSpaceDE w:val="0"/>
        <w:autoSpaceDN w:val="0"/>
        <w:adjustRightInd w:val="0"/>
        <w:spacing w:after="0" w:line="276" w:lineRule="auto"/>
        <w:rPr>
          <w:rFonts w:cs="Times New Roman"/>
          <w:color w:val="005EAA"/>
          <w:szCs w:val="24"/>
        </w:rPr>
      </w:pPr>
    </w:p>
    <w:p w:rsidR="0048464B" w:rsidRPr="00CF00E1" w:rsidRDefault="0048464B" w:rsidP="0048464B">
      <w:pPr>
        <w:autoSpaceDE w:val="0"/>
        <w:autoSpaceDN w:val="0"/>
        <w:adjustRightInd w:val="0"/>
        <w:spacing w:after="0" w:line="276" w:lineRule="auto"/>
        <w:jc w:val="both"/>
        <w:rPr>
          <w:rFonts w:cs="Times New Roman"/>
          <w:color w:val="000000"/>
          <w:szCs w:val="24"/>
        </w:rPr>
      </w:pPr>
      <w:r w:rsidRPr="00CF00E1">
        <w:rPr>
          <w:rFonts w:cs="Times New Roman"/>
          <w:b/>
          <w:szCs w:val="24"/>
        </w:rPr>
        <w:t>Parks and recreation</w:t>
      </w:r>
      <w:r w:rsidRPr="00CF00E1">
        <w:rPr>
          <w:rFonts w:cs="Times New Roman"/>
          <w:color w:val="005EAA"/>
          <w:szCs w:val="24"/>
        </w:rPr>
        <w:t xml:space="preserve">: </w:t>
      </w:r>
      <w:r w:rsidRPr="00CF00E1">
        <w:rPr>
          <w:rFonts w:cs="Times New Roman"/>
          <w:color w:val="000000"/>
          <w:szCs w:val="24"/>
        </w:rPr>
        <w:t>The management of parks and gardens impact on stormwater quality through the diffusion of fertiliser and pesticides as well as sediment and organic matter.</w:t>
      </w:r>
    </w:p>
    <w:p w:rsidR="0048464B" w:rsidRPr="00CF00E1" w:rsidRDefault="0048464B" w:rsidP="0048464B">
      <w:pPr>
        <w:spacing w:after="0" w:line="276" w:lineRule="auto"/>
        <w:jc w:val="both"/>
        <w:rPr>
          <w:rFonts w:cs="Times New Roman"/>
          <w:szCs w:val="24"/>
        </w:rPr>
      </w:pPr>
    </w:p>
    <w:p w:rsidR="0048464B" w:rsidRDefault="0048464B" w:rsidP="0048464B">
      <w:pPr>
        <w:spacing w:after="0" w:line="276" w:lineRule="auto"/>
        <w:jc w:val="both"/>
        <w:rPr>
          <w:rFonts w:cs="Times New Roman"/>
          <w:szCs w:val="24"/>
        </w:rPr>
      </w:pPr>
      <w:r w:rsidRPr="00CF00E1">
        <w:rPr>
          <w:rFonts w:cs="Times New Roman"/>
          <w:szCs w:val="24"/>
        </w:rPr>
        <w:t xml:space="preserve">Various types of organizations are involved in urban development activities as mentioned above. In Dhaka, for example, development and management of drainage system is shared by DWASA, DCCs, BWDB, RAJUK and Cantonment Board. In addition, quite a large number of public agencies and ministries are involved in urban development and management activities that </w:t>
      </w:r>
      <w:r>
        <w:rPr>
          <w:rFonts w:cs="Times New Roman"/>
          <w:szCs w:val="24"/>
        </w:rPr>
        <w:t>significantly influence</w:t>
      </w:r>
      <w:r w:rsidRPr="00CF00E1">
        <w:rPr>
          <w:rFonts w:cs="Times New Roman"/>
          <w:szCs w:val="24"/>
        </w:rPr>
        <w:t xml:space="preserve"> stormwater management of Dhaka. Cooperation among these organizations is essential for effective performance of Dhaka’s stormwater management.</w:t>
      </w:r>
    </w:p>
    <w:p w:rsidR="0048464B" w:rsidRDefault="0048464B" w:rsidP="0048464B">
      <w:pPr>
        <w:rPr>
          <w:rFonts w:cs="Times New Roman"/>
          <w:szCs w:val="24"/>
        </w:rPr>
      </w:pPr>
      <w:r>
        <w:rPr>
          <w:rFonts w:cs="Times New Roman"/>
          <w:szCs w:val="24"/>
        </w:rPr>
        <w:br w:type="page"/>
      </w:r>
    </w:p>
    <w:p w:rsidR="0048464B" w:rsidRPr="00EE4E55" w:rsidRDefault="0048464B" w:rsidP="003D5A31">
      <w:pPr>
        <w:pStyle w:val="Heading2"/>
        <w:numPr>
          <w:ilvl w:val="1"/>
          <w:numId w:val="262"/>
        </w:numPr>
        <w:rPr>
          <w:color w:val="FF0000"/>
        </w:rPr>
      </w:pPr>
      <w:bookmarkStart w:id="787" w:name="_Toc464328808"/>
      <w:r>
        <w:rPr>
          <w:strike/>
          <w:color w:val="FF0000"/>
          <w:highlight w:val="yellow"/>
        </w:rPr>
        <w:lastRenderedPageBreak/>
        <w:t xml:space="preserve"> </w:t>
      </w:r>
      <w:r w:rsidRPr="00EE4E55">
        <w:rPr>
          <w:strike/>
          <w:highlight w:val="yellow"/>
        </w:rPr>
        <w:t>10.6</w:t>
      </w:r>
      <w:r w:rsidRPr="00EE4E55">
        <w:rPr>
          <w:strike/>
        </w:rPr>
        <w:t xml:space="preserve"> </w:t>
      </w:r>
      <w:r w:rsidRPr="00EE4E55">
        <w:t>Institutional Reforms in Urban Water Management</w:t>
      </w:r>
      <w:bookmarkEnd w:id="787"/>
    </w:p>
    <w:p w:rsidR="0048464B" w:rsidRDefault="0048464B" w:rsidP="0048464B">
      <w:pPr>
        <w:autoSpaceDE w:val="0"/>
        <w:autoSpaceDN w:val="0"/>
        <w:adjustRightInd w:val="0"/>
        <w:spacing w:line="276" w:lineRule="auto"/>
        <w:jc w:val="both"/>
        <w:rPr>
          <w:rFonts w:cs="Times New Roman"/>
          <w:szCs w:val="24"/>
        </w:rPr>
      </w:pPr>
      <w:r>
        <w:rPr>
          <w:rFonts w:cs="Times New Roman"/>
          <w:szCs w:val="24"/>
        </w:rPr>
        <w:t>Integrated urban water management requires strong institutions with well-defined responsibilities, financial autonomy, solid service delivery capacity, sound investment decisions and accountability to the residents. Financial autonomy and accountability are inter-linked. Basic urban services like water supply, sanitation and waste management for a rapidly growing urban population requires considerable financial resources for operations and maintenance (O&amp;M) as well as new investments.  There are several areas where institutional reforms are needed to allow the implementation of integrated urban water management strategy.</w:t>
      </w:r>
    </w:p>
    <w:p w:rsidR="0048464B" w:rsidRPr="00E5101B" w:rsidRDefault="0048464B" w:rsidP="003D5A31">
      <w:pPr>
        <w:pStyle w:val="BodyText"/>
        <w:numPr>
          <w:ilvl w:val="2"/>
          <w:numId w:val="269"/>
        </w:numPr>
        <w:spacing w:after="240" w:line="276" w:lineRule="auto"/>
        <w:jc w:val="both"/>
        <w:rPr>
          <w:rFonts w:cs="Times New Roman"/>
          <w:b/>
          <w:szCs w:val="24"/>
        </w:rPr>
      </w:pPr>
      <w:r w:rsidRPr="00E5101B">
        <w:rPr>
          <w:rFonts w:cs="Times New Roman"/>
          <w:b/>
          <w:szCs w:val="24"/>
        </w:rPr>
        <w:t>Multiple Agency Service Coordination</w:t>
      </w:r>
    </w:p>
    <w:p w:rsidR="0048464B" w:rsidRPr="00581B13" w:rsidRDefault="0048464B" w:rsidP="0048464B">
      <w:pPr>
        <w:autoSpaceDE w:val="0"/>
        <w:autoSpaceDN w:val="0"/>
        <w:adjustRightInd w:val="0"/>
        <w:spacing w:line="276" w:lineRule="auto"/>
        <w:jc w:val="both"/>
        <w:rPr>
          <w:rFonts w:eastAsia="Times New Roman" w:cs="Times New Roman"/>
          <w:b/>
          <w:bCs/>
          <w:color w:val="006600"/>
          <w:u w:val="single"/>
          <w:lang w:eastAsia="en-GB"/>
        </w:rPr>
      </w:pPr>
      <w:r>
        <w:rPr>
          <w:rFonts w:cs="Times New Roman"/>
          <w:szCs w:val="24"/>
        </w:rPr>
        <w:t xml:space="preserve">Integrated urban water management requires strong coordination between the multiple service providers. </w:t>
      </w:r>
      <w:r w:rsidRPr="00CF00E1">
        <w:rPr>
          <w:rFonts w:cs="Times New Roman"/>
          <w:szCs w:val="24"/>
        </w:rPr>
        <w:t xml:space="preserve">Collaboration between managers and planners from these organizations is necessary to identify solutions that achieve synergies between urban and landscape design, water management, ecological protection and social enhancement. The cooperation between different urban development and management sectors not only increases the likelihood of Water Sensitive Urban Design solutions being successfully implemented but also paves the way for increased integrated planning in urban development as a whole. Achieving such cooperation, however, is not that easy. Efforts were made in the past to coordinate activities of various organizations through high-powered committees. These efforts were not successful. </w:t>
      </w:r>
      <w:r w:rsidRPr="00581B13">
        <w:rPr>
          <w:rFonts w:eastAsia="Times New Roman" w:cs="Times New Roman"/>
          <w:b/>
          <w:bCs/>
          <w:color w:val="006600"/>
          <w:u w:val="single"/>
          <w:lang w:eastAsia="en-GB"/>
        </w:rPr>
        <w:t>Experts now believe that formation of city government and bringing the organizations involved in service provision and urban development under the city government would be necessary to achieve the needed coordination for sustainable water management in big cities.</w:t>
      </w:r>
    </w:p>
    <w:p w:rsidR="0048464B" w:rsidRPr="00CF00E1" w:rsidRDefault="0048464B" w:rsidP="003D5A31">
      <w:pPr>
        <w:pStyle w:val="BodyText"/>
        <w:numPr>
          <w:ilvl w:val="2"/>
          <w:numId w:val="269"/>
        </w:numPr>
        <w:spacing w:after="240" w:line="276" w:lineRule="auto"/>
        <w:jc w:val="both"/>
        <w:rPr>
          <w:rFonts w:cs="Times New Roman"/>
          <w:b/>
          <w:szCs w:val="24"/>
        </w:rPr>
      </w:pPr>
      <w:r w:rsidRPr="00CF00E1">
        <w:rPr>
          <w:rFonts w:cs="Times New Roman"/>
          <w:b/>
          <w:szCs w:val="24"/>
        </w:rPr>
        <w:t>Involving Local Stakeholders in Urban Water Management</w:t>
      </w:r>
    </w:p>
    <w:p w:rsidR="0048464B" w:rsidRPr="00581B13" w:rsidRDefault="0048464B" w:rsidP="0048464B">
      <w:pPr>
        <w:spacing w:line="276" w:lineRule="auto"/>
        <w:jc w:val="both"/>
        <w:rPr>
          <w:rFonts w:eastAsia="Times New Roman" w:cs="Times New Roman"/>
          <w:b/>
          <w:bCs/>
          <w:color w:val="006600"/>
          <w:u w:val="single"/>
          <w:lang w:eastAsia="en-GB"/>
        </w:rPr>
      </w:pPr>
      <w:r w:rsidRPr="00CF00E1">
        <w:rPr>
          <w:rFonts w:cs="Times New Roman"/>
          <w:szCs w:val="24"/>
        </w:rPr>
        <w:t xml:space="preserve">Effective partnerships between local governments and the private sector can generate considerable benefits. Private companies, informal sector enterprises, CBOs, and NGOs can provide urban services, mobilize finance (or voluntary labour), introduce innovative technologies and undertake </w:t>
      </w:r>
      <w:r>
        <w:rPr>
          <w:rFonts w:cs="Times New Roman"/>
          <w:szCs w:val="24"/>
        </w:rPr>
        <w:t xml:space="preserve">infrastructure </w:t>
      </w:r>
      <w:r w:rsidRPr="00CF00E1">
        <w:rPr>
          <w:rFonts w:cs="Times New Roman"/>
          <w:szCs w:val="24"/>
        </w:rPr>
        <w:t xml:space="preserve">development activities. </w:t>
      </w:r>
      <w:r w:rsidRPr="00581B13">
        <w:rPr>
          <w:rFonts w:eastAsia="Times New Roman" w:cs="Times New Roman"/>
          <w:b/>
          <w:bCs/>
          <w:color w:val="006600"/>
          <w:u w:val="single"/>
          <w:lang w:eastAsia="en-GB"/>
        </w:rPr>
        <w:t>For involving private sector in urban water management activities supportive legal framework should be developed and institutional setting should be ensured. Private sector actors with whom partnership arrangements can be made include the following:</w:t>
      </w:r>
    </w:p>
    <w:p w:rsidR="0048464B" w:rsidRPr="00CF00E1" w:rsidRDefault="0048464B" w:rsidP="0048464B">
      <w:pPr>
        <w:spacing w:line="276" w:lineRule="auto"/>
        <w:jc w:val="both"/>
        <w:rPr>
          <w:rFonts w:cs="Times New Roman"/>
          <w:szCs w:val="24"/>
        </w:rPr>
      </w:pPr>
    </w:p>
    <w:p w:rsidR="0048464B" w:rsidRPr="006B413E" w:rsidRDefault="0048464B" w:rsidP="0048464B">
      <w:pPr>
        <w:spacing w:line="276" w:lineRule="auto"/>
        <w:rPr>
          <w:rFonts w:cs="Times New Roman"/>
          <w:b/>
          <w:i/>
          <w:szCs w:val="24"/>
        </w:rPr>
      </w:pPr>
      <w:r w:rsidRPr="006B413E">
        <w:rPr>
          <w:rFonts w:cs="Times New Roman"/>
          <w:b/>
          <w:i/>
          <w:szCs w:val="24"/>
        </w:rPr>
        <w:t>Community-based organizations (CBOs)</w:t>
      </w:r>
    </w:p>
    <w:p w:rsidR="0048464B" w:rsidRPr="00CF00E1" w:rsidRDefault="0048464B" w:rsidP="0048464B">
      <w:pPr>
        <w:spacing w:line="276" w:lineRule="auto"/>
        <w:jc w:val="both"/>
        <w:rPr>
          <w:rFonts w:cs="Times New Roman"/>
          <w:szCs w:val="24"/>
        </w:rPr>
      </w:pPr>
      <w:r w:rsidRPr="00CF00E1">
        <w:rPr>
          <w:rFonts w:cs="Times New Roman"/>
          <w:szCs w:val="24"/>
        </w:rPr>
        <w:t xml:space="preserve">These organizations are formed when neighbourhood residents get organized and join forces to improve local security, housing quality, basic utilities, social services and neighbourhood environment. Municipal-community partnership (MCP) has now emerged as an innovative </w:t>
      </w:r>
      <w:r w:rsidRPr="00CF00E1">
        <w:rPr>
          <w:rFonts w:cs="Times New Roman"/>
          <w:szCs w:val="24"/>
        </w:rPr>
        <w:lastRenderedPageBreak/>
        <w:t>institutional model. MCPs are particularly suitable for delivering specific goods and services, e.g. sanitation, refuse collection, drainage improvement, environmental maintenance etc. MCPs should be developed as part of an overall municipal strategy.</w:t>
      </w:r>
    </w:p>
    <w:p w:rsidR="0048464B" w:rsidRPr="006B413E" w:rsidRDefault="0048464B" w:rsidP="0048464B">
      <w:pPr>
        <w:spacing w:line="276" w:lineRule="auto"/>
        <w:rPr>
          <w:rFonts w:cs="Times New Roman"/>
          <w:b/>
          <w:i/>
          <w:szCs w:val="24"/>
        </w:rPr>
      </w:pPr>
      <w:r w:rsidRPr="006B413E">
        <w:rPr>
          <w:rFonts w:cs="Times New Roman"/>
          <w:b/>
          <w:i/>
          <w:szCs w:val="24"/>
        </w:rPr>
        <w:t>Non-governmental Organization (NGOs)</w:t>
      </w:r>
    </w:p>
    <w:p w:rsidR="0048464B" w:rsidRDefault="0048464B" w:rsidP="0048464B">
      <w:pPr>
        <w:spacing w:line="276" w:lineRule="auto"/>
        <w:jc w:val="both"/>
        <w:rPr>
          <w:rFonts w:cs="Times New Roman"/>
          <w:szCs w:val="24"/>
        </w:rPr>
      </w:pPr>
      <w:r w:rsidRPr="00CF00E1">
        <w:rPr>
          <w:rFonts w:cs="Times New Roman"/>
          <w:szCs w:val="24"/>
        </w:rPr>
        <w:t>Unlike CBOS, non-governmental organizations usually originate outside of the communities with which they work. NGOs may be understood as a “third system” between the public and private, concentrating their support at the community level while at the same time mediating between the community and the government. NGOs are effective agents for building local awareness, for mobilizing community action, strengthening CBOs etc. In the context of vast needs, limited capacity and constrained financial resources, the local governments should recognize the role of NGOs as partners in urban develop</w:t>
      </w:r>
      <w:r>
        <w:rPr>
          <w:rFonts w:cs="Times New Roman"/>
          <w:szCs w:val="24"/>
        </w:rPr>
        <w:t>ment and management activities.</w:t>
      </w:r>
    </w:p>
    <w:p w:rsidR="0048464B" w:rsidRPr="001C622A" w:rsidRDefault="0048464B" w:rsidP="003D5A31">
      <w:pPr>
        <w:pStyle w:val="BodyText"/>
        <w:numPr>
          <w:ilvl w:val="2"/>
          <w:numId w:val="269"/>
        </w:numPr>
        <w:spacing w:after="240" w:line="276" w:lineRule="auto"/>
        <w:jc w:val="both"/>
        <w:rPr>
          <w:rFonts w:cs="Times New Roman"/>
          <w:b/>
          <w:szCs w:val="24"/>
        </w:rPr>
      </w:pPr>
      <w:r w:rsidRPr="00D126C9">
        <w:rPr>
          <w:rFonts w:cs="Times New Roman"/>
          <w:b/>
          <w:strike/>
          <w:szCs w:val="24"/>
          <w:highlight w:val="yellow"/>
        </w:rPr>
        <w:t>10.6.3</w:t>
      </w:r>
      <w:r>
        <w:rPr>
          <w:rFonts w:cs="Times New Roman"/>
          <w:b/>
          <w:szCs w:val="24"/>
        </w:rPr>
        <w:t xml:space="preserve"> Strengthening the Role of Private Sectors</w:t>
      </w:r>
    </w:p>
    <w:p w:rsidR="0048464B" w:rsidRDefault="0048464B" w:rsidP="0048464B">
      <w:pPr>
        <w:spacing w:line="276" w:lineRule="auto"/>
        <w:jc w:val="both"/>
        <w:rPr>
          <w:rFonts w:cs="Times New Roman"/>
          <w:szCs w:val="24"/>
        </w:rPr>
      </w:pPr>
      <w:r>
        <w:rPr>
          <w:rFonts w:cs="Times New Roman"/>
          <w:szCs w:val="24"/>
        </w:rPr>
        <w:t xml:space="preserve">The challenge for providing the range of urban water management services to a rapidly growing urban population in an environment of already yawning supply gap calls for a strategic rethinking of supply options.  ULBs alone cannot handle the daunting task. A strong role of the private sector is necessary.  There is already an increasing presence of private provision of rural water and sanitation services. The scope for private provision of urban water </w:t>
      </w:r>
      <w:r w:rsidRPr="00581B13">
        <w:rPr>
          <w:rFonts w:cs="Times New Roman"/>
          <w:b/>
          <w:color w:val="00B050"/>
          <w:szCs w:val="24"/>
        </w:rPr>
        <w:t>and cleaning</w:t>
      </w:r>
      <w:r>
        <w:rPr>
          <w:rFonts w:cs="Times New Roman"/>
          <w:szCs w:val="24"/>
        </w:rPr>
        <w:t xml:space="preserve">  services is large.</w:t>
      </w:r>
    </w:p>
    <w:p w:rsidR="0048464B" w:rsidRDefault="0048464B" w:rsidP="0048464B">
      <w:pPr>
        <w:spacing w:line="276" w:lineRule="auto"/>
        <w:jc w:val="both"/>
        <w:rPr>
          <w:rFonts w:cs="Times New Roman"/>
          <w:szCs w:val="24"/>
        </w:rPr>
      </w:pPr>
      <w:r>
        <w:rPr>
          <w:rFonts w:cs="Times New Roman"/>
          <w:szCs w:val="24"/>
        </w:rPr>
        <w:t xml:space="preserve">Private sector role can take various forms. </w:t>
      </w:r>
      <w:r w:rsidRPr="00CF00E1">
        <w:rPr>
          <w:rFonts w:cs="Times New Roman"/>
          <w:szCs w:val="24"/>
        </w:rPr>
        <w:t>These include informal workers</w:t>
      </w:r>
      <w:r>
        <w:rPr>
          <w:rFonts w:cs="Times New Roman"/>
          <w:szCs w:val="24"/>
        </w:rPr>
        <w:t xml:space="preserve"> at the community based waste management services, </w:t>
      </w:r>
      <w:r w:rsidRPr="00CF00E1">
        <w:rPr>
          <w:rFonts w:cs="Times New Roman"/>
          <w:szCs w:val="24"/>
        </w:rPr>
        <w:t xml:space="preserve">small-scale enterprises as well as large-scale business firms that may be entrusted with the task of operating or developing </w:t>
      </w:r>
      <w:r>
        <w:rPr>
          <w:rFonts w:cs="Times New Roman"/>
          <w:szCs w:val="24"/>
        </w:rPr>
        <w:t xml:space="preserve">water and waste related </w:t>
      </w:r>
      <w:r w:rsidRPr="00CF00E1">
        <w:rPr>
          <w:rFonts w:cs="Times New Roman"/>
          <w:szCs w:val="24"/>
        </w:rPr>
        <w:t>infrastructu</w:t>
      </w:r>
      <w:r>
        <w:rPr>
          <w:rFonts w:cs="Times New Roman"/>
          <w:szCs w:val="24"/>
        </w:rPr>
        <w:t>re facilities</w:t>
      </w:r>
      <w:r w:rsidRPr="00CF00E1">
        <w:rPr>
          <w:rFonts w:cs="Times New Roman"/>
          <w:szCs w:val="24"/>
        </w:rPr>
        <w:t xml:space="preserve">. Because of their ability to introduce innovative ideas in management, supply investable resources and adopt cost effective technologies, participation of the private sector organizations in urban water management activities could bring about desired improvement in the sector. </w:t>
      </w:r>
    </w:p>
    <w:p w:rsidR="0048464B" w:rsidRDefault="0048464B" w:rsidP="0048464B">
      <w:pPr>
        <w:spacing w:line="276" w:lineRule="auto"/>
        <w:jc w:val="both"/>
        <w:rPr>
          <w:rFonts w:cs="Times New Roman"/>
          <w:szCs w:val="24"/>
        </w:rPr>
      </w:pPr>
      <w:r>
        <w:rPr>
          <w:rFonts w:cs="Times New Roman"/>
          <w:szCs w:val="24"/>
        </w:rPr>
        <w:t xml:space="preserve">The private role can take various forms. For commercial activities like supply of water, private enterprise can be spurred through proper regulatory policies and water concessions.  For sanitation and waste management, where full cost recovery can be difficult, it can be a public private partnership where private supply is funded by public resources financed by property taxes and service charges.  </w:t>
      </w:r>
    </w:p>
    <w:p w:rsidR="0048464B" w:rsidRDefault="0048464B" w:rsidP="0048464B">
      <w:pPr>
        <w:spacing w:line="276" w:lineRule="auto"/>
        <w:jc w:val="both"/>
        <w:rPr>
          <w:rFonts w:cs="Times New Roman"/>
          <w:szCs w:val="24"/>
        </w:rPr>
      </w:pPr>
    </w:p>
    <w:p w:rsidR="0048464B" w:rsidRDefault="0048464B" w:rsidP="003D5A31">
      <w:pPr>
        <w:pStyle w:val="BodyText"/>
        <w:numPr>
          <w:ilvl w:val="2"/>
          <w:numId w:val="269"/>
        </w:numPr>
        <w:spacing w:after="240" w:line="276" w:lineRule="auto"/>
        <w:jc w:val="both"/>
        <w:rPr>
          <w:rFonts w:cs="Times New Roman"/>
          <w:b/>
          <w:szCs w:val="24"/>
        </w:rPr>
      </w:pPr>
      <w:r w:rsidRPr="00B10829">
        <w:rPr>
          <w:rFonts w:cs="Times New Roman"/>
          <w:b/>
          <w:szCs w:val="24"/>
        </w:rPr>
        <w:t>Cost Recovery Policies</w:t>
      </w:r>
    </w:p>
    <w:p w:rsidR="0048464B" w:rsidRPr="000345DC" w:rsidRDefault="0048464B" w:rsidP="0048464B">
      <w:pPr>
        <w:spacing w:line="276" w:lineRule="auto"/>
        <w:jc w:val="both"/>
        <w:rPr>
          <w:rFonts w:cs="Times New Roman"/>
          <w:szCs w:val="24"/>
        </w:rPr>
      </w:pPr>
      <w:r>
        <w:rPr>
          <w:rFonts w:cs="Times New Roman"/>
          <w:szCs w:val="24"/>
        </w:rPr>
        <w:t xml:space="preserve">Given the large magnitude of unmet and growing demand, the financing constraint in the national budget will remain strong.  Good practice international experience shows that the </w:t>
      </w:r>
      <w:r>
        <w:rPr>
          <w:rFonts w:cs="Times New Roman"/>
          <w:szCs w:val="24"/>
        </w:rPr>
        <w:lastRenderedPageBreak/>
        <w:t xml:space="preserve">application of the beneficiary pays principle is of fundamental importance to finance adequate amount of basic urban services including water supply, sewerage and solid waste.  Typically, water supply is financed through cost recovery. The cost recovery should be determined on the basis of full O&amp;M </w:t>
      </w:r>
      <w:r w:rsidRPr="00581B13">
        <w:rPr>
          <w:rFonts w:cs="Times New Roman"/>
          <w:b/>
          <w:color w:val="00B050"/>
          <w:szCs w:val="24"/>
        </w:rPr>
        <w:t xml:space="preserve">and </w:t>
      </w:r>
      <w:r>
        <w:rPr>
          <w:rFonts w:cs="Times New Roman"/>
          <w:szCs w:val="24"/>
        </w:rPr>
        <w:t xml:space="preserve">cost capital cost.  Within this broad principle, some degree of cost subsidy for the poor may be possible. Also, implementation of capital cost recovery principle may be spread over a number of years.  For sewerage and waste management, direct cost </w:t>
      </w:r>
      <w:r>
        <w:rPr>
          <w:color w:val="000000"/>
          <w:szCs w:val="24"/>
        </w:rPr>
        <w:t xml:space="preserve">recovery may be difficult.  These services may be funded through a well-designed property tax combined with limited service charges collected as a part of the property tax bill.  </w:t>
      </w:r>
    </w:p>
    <w:p w:rsidR="0048464B" w:rsidRDefault="0048464B" w:rsidP="0048464B">
      <w:pPr>
        <w:jc w:val="both"/>
        <w:rPr>
          <w:szCs w:val="24"/>
        </w:rPr>
        <w:sectPr w:rsidR="0048464B" w:rsidSect="00005EAC">
          <w:footerReference w:type="default" r:id="rId176"/>
          <w:pgSz w:w="12240" w:h="15840"/>
          <w:pgMar w:top="1440" w:right="1440" w:bottom="1440" w:left="1440" w:header="720" w:footer="720" w:gutter="0"/>
          <w:cols w:space="720"/>
          <w:docGrid w:linePitch="360"/>
        </w:sectPr>
      </w:pPr>
    </w:p>
    <w:p w:rsidR="0048464B" w:rsidRPr="00620A81" w:rsidRDefault="0048464B" w:rsidP="0048464B">
      <w:pPr>
        <w:pStyle w:val="Title"/>
        <w:pBdr>
          <w:bottom w:val="none" w:sz="0" w:space="0" w:color="auto"/>
        </w:pBdr>
        <w:spacing w:after="360"/>
        <w:rPr>
          <w:b/>
          <w:color w:val="1F497D"/>
          <w:szCs w:val="36"/>
        </w:rPr>
      </w:pPr>
    </w:p>
    <w:p w:rsidR="00160DF7" w:rsidRPr="00620A81" w:rsidRDefault="00160DF7" w:rsidP="00160DF7">
      <w:pPr>
        <w:pStyle w:val="Title"/>
        <w:pBdr>
          <w:bottom w:val="single" w:sz="8" w:space="7" w:color="4F81BD"/>
        </w:pBdr>
        <w:spacing w:after="360"/>
        <w:jc w:val="center"/>
        <w:rPr>
          <w:b/>
          <w:color w:val="1F497D"/>
          <w:szCs w:val="36"/>
        </w:rPr>
      </w:pPr>
      <w:r w:rsidRPr="00620A81">
        <w:rPr>
          <w:b/>
          <w:color w:val="1F497D"/>
          <w:szCs w:val="36"/>
        </w:rPr>
        <w:t>CHAPTER 11</w:t>
      </w:r>
      <w:bookmarkEnd w:id="730"/>
    </w:p>
    <w:p w:rsidR="00160DF7" w:rsidRDefault="00160DF7" w:rsidP="008C0601">
      <w:pPr>
        <w:pStyle w:val="Heading1"/>
      </w:pPr>
      <w:bookmarkStart w:id="788" w:name="_Toc474638929"/>
      <w:r w:rsidRPr="00595FA6">
        <w:t>Investment Planning, Financing and Implementation Strategy</w:t>
      </w:r>
      <w:bookmarkEnd w:id="788"/>
    </w:p>
    <w:p w:rsidR="000760DC" w:rsidRPr="000760DC" w:rsidRDefault="000760DC" w:rsidP="000760DC">
      <w:pPr>
        <w:rPr>
          <w:sz w:val="2"/>
        </w:rPr>
      </w:pPr>
    </w:p>
    <w:p w:rsidR="00F64A6A" w:rsidRDefault="00160DF7" w:rsidP="00F64A6A">
      <w:pPr>
        <w:pStyle w:val="Heading2"/>
        <w:numPr>
          <w:ilvl w:val="0"/>
          <w:numId w:val="0"/>
        </w:numPr>
        <w:ind w:left="1080"/>
      </w:pPr>
      <w:bookmarkStart w:id="789" w:name="_Toc453889894"/>
      <w:bookmarkStart w:id="790" w:name="_Toc474638930"/>
      <w:r w:rsidRPr="00595FA6">
        <w:t>Background</w:t>
      </w:r>
      <w:bookmarkEnd w:id="789"/>
      <w:bookmarkEnd w:id="790"/>
    </w:p>
    <w:p w:rsidR="00B360AB" w:rsidRDefault="00B360AB" w:rsidP="00B360AB">
      <w:pPr>
        <w:spacing w:line="276" w:lineRule="auto"/>
        <w:jc w:val="both"/>
      </w:pPr>
      <w:r>
        <w:t>As discussed in Chapter 5, Bangladesh’s long-term socio-economic performance would critically depend on how it manages the effects of climate change and other environmental changes. It was indicated that in the absence of proactive adaptation to mitigate the adverse impacts, Bangladesh economy may lose about 1.6% of GDP every year through loss of physical assets and economic activities and the consequent loss of income. It was also noted in that chapter that the adaptation measures will require massive amounts of investment in new projects and will also require spending of sizable resources to properly maintain the existing and new projects</w:t>
      </w:r>
      <w:r w:rsidR="00303F4A">
        <w:t xml:space="preserve"> and infrastrutures</w:t>
      </w:r>
      <w:r>
        <w:t>.</w:t>
      </w:r>
    </w:p>
    <w:p w:rsidR="00B360AB" w:rsidRDefault="00B360AB" w:rsidP="00B360AB">
      <w:pPr>
        <w:spacing w:line="276" w:lineRule="auto"/>
        <w:jc w:val="both"/>
      </w:pPr>
      <w:r>
        <w:t>Bangladesh currently invests very little (0.8 percent of GDP) in water related projects. Due to lack of maintenance and inadequate investment in upgrading of existing projects, much of the investments made in the water sector in the form of embankments, polders and to improve inland waterways navigation are not in good shape and will require massive new investment to upgrade the existing delta-related infrastructure to withstand the challenges arising from the shifting river estuaries and the unfolding climate change induced future challenges. As discussed in Chapter 5, total spending on interventions through new projects and maintenance of new and old projects will require about 2.5% of GDP per annum. In current prices and using the prevailing GDP, total required spending on delta plan related projects would be about US$3.5 billion in FY</w:t>
      </w:r>
      <w:r w:rsidR="00A27862">
        <w:t>20</w:t>
      </w:r>
      <w:r>
        <w:t xml:space="preserve">17 and will increase to </w:t>
      </w:r>
      <w:r w:rsidRPr="00A27862">
        <w:t>US$ 29.6 billion by FY</w:t>
      </w:r>
      <w:r w:rsidR="00A27862">
        <w:t>20</w:t>
      </w:r>
      <w:r w:rsidRPr="00A27862">
        <w:t xml:space="preserve">31.  </w:t>
      </w:r>
    </w:p>
    <w:p w:rsidR="00B360AB" w:rsidRDefault="00B360AB" w:rsidP="00B360AB">
      <w:pPr>
        <w:spacing w:line="276" w:lineRule="auto"/>
        <w:jc w:val="both"/>
      </w:pPr>
      <w:r>
        <w:t>This Chapter analyzes the scope for mobilizing such a large amount of resources for financing the Delta Plan related investment, how such a large investment program should be planned to realize the best possible outcome, and the related implementation strategy for the Delta Plan.</w:t>
      </w:r>
    </w:p>
    <w:p w:rsidR="00F64A6A" w:rsidRDefault="00B360AB" w:rsidP="00F64A6A">
      <w:pPr>
        <w:pStyle w:val="Heading2"/>
        <w:numPr>
          <w:ilvl w:val="0"/>
          <w:numId w:val="0"/>
        </w:numPr>
        <w:ind w:left="1080"/>
      </w:pPr>
      <w:bookmarkStart w:id="791" w:name="_Toc453889895"/>
      <w:bookmarkStart w:id="792" w:name="_Toc460496904"/>
      <w:bookmarkStart w:id="793" w:name="_Toc474638931"/>
      <w:r w:rsidRPr="00595FA6">
        <w:t>Macroeconomic Outlook</w:t>
      </w:r>
      <w:bookmarkEnd w:id="791"/>
      <w:r w:rsidRPr="00595FA6">
        <w:t xml:space="preserve"> and the Delta Specific Investment Plan</w:t>
      </w:r>
      <w:bookmarkEnd w:id="792"/>
      <w:bookmarkEnd w:id="793"/>
    </w:p>
    <w:p w:rsidR="00B360AB" w:rsidRDefault="00B360AB" w:rsidP="00B360AB">
      <w:pPr>
        <w:spacing w:line="276" w:lineRule="auto"/>
        <w:jc w:val="both"/>
        <w:rPr>
          <w:rFonts w:eastAsia="Times New Roman"/>
        </w:rPr>
      </w:pPr>
      <w:r>
        <w:rPr>
          <w:rFonts w:eastAsia="Times New Roman"/>
        </w:rPr>
        <w:t>Bangladesh strives to become an Upper Middle Income Country (UMIC) by FY</w:t>
      </w:r>
      <w:r w:rsidR="00A27862">
        <w:rPr>
          <w:rFonts w:eastAsia="Times New Roman"/>
        </w:rPr>
        <w:t>20</w:t>
      </w:r>
      <w:r>
        <w:rPr>
          <w:rFonts w:eastAsia="Times New Roman"/>
        </w:rPr>
        <w:t xml:space="preserve">31 and eradicate absolute poverty from the country by that year. It has a solid macroeconomic foundation with stable real GDP growth of about 7%, solid track record of macroeconomic stability, declining inflation, high level of foreign exchange reserves (more than 8 months of import payments) and strong overall balance of payments outlook.  At the same time, it has to </w:t>
      </w:r>
      <w:r>
        <w:rPr>
          <w:rFonts w:eastAsia="Times New Roman"/>
        </w:rPr>
        <w:lastRenderedPageBreak/>
        <w:t xml:space="preserve">overcome a host of challenges in order to sustain and further accelerate the growth momentum and poverty reduction efforts. The economy suffers from acute infrastructure gap (in power, transport and land, in particular) and inadequate levels of investment by the private and </w:t>
      </w:r>
      <w:r w:rsidR="008E1191">
        <w:rPr>
          <w:rFonts w:eastAsia="Times New Roman"/>
        </w:rPr>
        <w:t>public</w:t>
      </w:r>
      <w:r>
        <w:rPr>
          <w:rFonts w:eastAsia="Times New Roman"/>
        </w:rPr>
        <w:t xml:space="preserve"> sectors. Impacts of Climate Change in the form of rising sea level, increasing salinity in the coastal southern districts and host of other challenges in hotspots like river estuaries, drought prone Barind region and Haor region will also require special attention and adaptation measures in the form of </w:t>
      </w:r>
      <w:r w:rsidR="00C678A9">
        <w:rPr>
          <w:rFonts w:eastAsia="Times New Roman"/>
        </w:rPr>
        <w:t xml:space="preserve">BDP2100 </w:t>
      </w:r>
      <w:r>
        <w:rPr>
          <w:rFonts w:eastAsia="Times New Roman"/>
        </w:rPr>
        <w:t xml:space="preserve">Investment Plan (IP). Growing population and industrialization pressures in the urban centres and the resulting water and sewerage problems also call for higher investment in the context of IP. </w:t>
      </w:r>
    </w:p>
    <w:p w:rsidR="00B360AB" w:rsidRDefault="00303F4A" w:rsidP="00B360AB">
      <w:pPr>
        <w:spacing w:line="276" w:lineRule="auto"/>
        <w:jc w:val="both"/>
        <w:rPr>
          <w:rFonts w:eastAsia="Times New Roman"/>
        </w:rPr>
      </w:pPr>
      <w:r>
        <w:rPr>
          <w:rFonts w:eastAsia="Times New Roman"/>
          <w:i/>
        </w:rPr>
        <w:t>The BDP2100</w:t>
      </w:r>
      <w:r w:rsidR="00B360AB" w:rsidRPr="004B0A08">
        <w:rPr>
          <w:rFonts w:eastAsia="Times New Roman"/>
          <w:i/>
        </w:rPr>
        <w:t xml:space="preserve"> </w:t>
      </w:r>
      <w:r w:rsidR="00554AA1" w:rsidRPr="004B0A08">
        <w:rPr>
          <w:rFonts w:eastAsia="Times New Roman"/>
          <w:i/>
        </w:rPr>
        <w:t>policy option analyzed in depth in Chapter 5</w:t>
      </w:r>
      <w:r w:rsidR="00A27862" w:rsidRPr="004B0A08">
        <w:rPr>
          <w:rFonts w:eastAsia="Times New Roman"/>
          <w:i/>
        </w:rPr>
        <w:t>, which is</w:t>
      </w:r>
      <w:r w:rsidR="00B360AB" w:rsidRPr="004B0A08">
        <w:rPr>
          <w:rFonts w:eastAsia="Times New Roman"/>
          <w:i/>
        </w:rPr>
        <w:t xml:space="preserve"> consistent with the </w:t>
      </w:r>
      <w:r w:rsidR="00A27862" w:rsidRPr="004B0A08">
        <w:rPr>
          <w:rFonts w:eastAsia="Times New Roman"/>
          <w:i/>
        </w:rPr>
        <w:t xml:space="preserve">above </w:t>
      </w:r>
      <w:r w:rsidR="00B360AB" w:rsidRPr="004B0A08">
        <w:rPr>
          <w:rFonts w:eastAsia="Times New Roman"/>
          <w:i/>
        </w:rPr>
        <w:t>economic objecti</w:t>
      </w:r>
      <w:r w:rsidR="00A27862" w:rsidRPr="004B0A08">
        <w:rPr>
          <w:rFonts w:eastAsia="Times New Roman"/>
          <w:i/>
        </w:rPr>
        <w:t xml:space="preserve">ves and </w:t>
      </w:r>
      <w:r w:rsidR="00B360AB" w:rsidRPr="004B0A08">
        <w:rPr>
          <w:rFonts w:eastAsia="Times New Roman"/>
          <w:i/>
        </w:rPr>
        <w:t xml:space="preserve">with </w:t>
      </w:r>
      <w:r w:rsidR="00A27862" w:rsidRPr="004B0A08">
        <w:rPr>
          <w:rFonts w:eastAsia="Times New Roman"/>
          <w:i/>
        </w:rPr>
        <w:t>the Seventh</w:t>
      </w:r>
      <w:r w:rsidR="00B360AB" w:rsidRPr="004B0A08">
        <w:rPr>
          <w:rFonts w:eastAsia="Times New Roman"/>
          <w:i/>
        </w:rPr>
        <w:t xml:space="preserve"> FYP</w:t>
      </w:r>
      <w:r w:rsidR="00A27862" w:rsidRPr="004B0A08">
        <w:rPr>
          <w:rFonts w:eastAsia="Times New Roman"/>
          <w:i/>
        </w:rPr>
        <w:t>,</w:t>
      </w:r>
      <w:r w:rsidR="00B360AB" w:rsidRPr="004B0A08">
        <w:rPr>
          <w:rFonts w:eastAsia="Times New Roman"/>
          <w:i/>
        </w:rPr>
        <w:t xml:space="preserve"> indicate</w:t>
      </w:r>
      <w:r w:rsidR="00A27862" w:rsidRPr="004B0A08">
        <w:rPr>
          <w:rFonts w:eastAsia="Times New Roman"/>
          <w:i/>
        </w:rPr>
        <w:t>s</w:t>
      </w:r>
      <w:r w:rsidR="00B360AB" w:rsidRPr="004B0A08">
        <w:rPr>
          <w:rFonts w:eastAsia="Times New Roman"/>
          <w:i/>
        </w:rPr>
        <w:t xml:space="preserve"> that </w:t>
      </w:r>
      <w:r w:rsidR="00554AA1" w:rsidRPr="004B0A08">
        <w:rPr>
          <w:rFonts w:eastAsia="Times New Roman"/>
          <w:i/>
        </w:rPr>
        <w:t xml:space="preserve">the </w:t>
      </w:r>
      <w:r w:rsidR="00B360AB" w:rsidRPr="004B0A08">
        <w:rPr>
          <w:rFonts w:eastAsia="Times New Roman"/>
          <w:i/>
        </w:rPr>
        <w:t>gross dom</w:t>
      </w:r>
      <w:r w:rsidR="00A27862" w:rsidRPr="004B0A08">
        <w:rPr>
          <w:rFonts w:eastAsia="Times New Roman"/>
          <w:i/>
        </w:rPr>
        <w:t xml:space="preserve">estic investment </w:t>
      </w:r>
      <w:r w:rsidR="00554AA1" w:rsidRPr="004B0A08">
        <w:rPr>
          <w:rFonts w:eastAsia="Times New Roman"/>
          <w:i/>
        </w:rPr>
        <w:t xml:space="preserve">rate </w:t>
      </w:r>
      <w:r w:rsidR="00B360AB" w:rsidRPr="004B0A08">
        <w:rPr>
          <w:rFonts w:eastAsia="Times New Roman"/>
          <w:i/>
        </w:rPr>
        <w:t xml:space="preserve">would need to increase to more than </w:t>
      </w:r>
      <w:r w:rsidR="00A27862" w:rsidRPr="004B0A08">
        <w:rPr>
          <w:rFonts w:eastAsia="Times New Roman"/>
          <w:i/>
        </w:rPr>
        <w:t xml:space="preserve">37 </w:t>
      </w:r>
      <w:r w:rsidR="00B360AB" w:rsidRPr="004B0A08">
        <w:rPr>
          <w:rFonts w:eastAsia="Times New Roman"/>
          <w:i/>
        </w:rPr>
        <w:t xml:space="preserve">percent of GDP in order to </w:t>
      </w:r>
      <w:r w:rsidR="00554AA1" w:rsidRPr="004B0A08">
        <w:rPr>
          <w:rFonts w:eastAsia="Times New Roman"/>
          <w:i/>
        </w:rPr>
        <w:t xml:space="preserve">offset the adverse effects of climate change and </w:t>
      </w:r>
      <w:r w:rsidR="00B360AB" w:rsidRPr="004B0A08">
        <w:rPr>
          <w:rFonts w:eastAsia="Times New Roman"/>
          <w:i/>
        </w:rPr>
        <w:t>sustain economic growth at around 8 percent per annum</w:t>
      </w:r>
      <w:r w:rsidR="00A27862" w:rsidRPr="004B0A08">
        <w:rPr>
          <w:rFonts w:eastAsia="Times New Roman"/>
          <w:i/>
        </w:rPr>
        <w:t xml:space="preserve"> until FY2041</w:t>
      </w:r>
      <w:r w:rsidR="00B360AB">
        <w:rPr>
          <w:rFonts w:eastAsia="Times New Roman"/>
        </w:rPr>
        <w:t xml:space="preserve">. </w:t>
      </w:r>
      <w:r w:rsidR="00A27862">
        <w:rPr>
          <w:rFonts w:eastAsia="Times New Roman"/>
        </w:rPr>
        <w:t xml:space="preserve">As in the </w:t>
      </w:r>
      <w:r w:rsidR="00C678A9">
        <w:rPr>
          <w:rFonts w:eastAsia="Times New Roman"/>
        </w:rPr>
        <w:t>7FYP</w:t>
      </w:r>
      <w:r w:rsidR="00A27862">
        <w:rPr>
          <w:rFonts w:eastAsia="Times New Roman"/>
        </w:rPr>
        <w:t>, m</w:t>
      </w:r>
      <w:r w:rsidR="00B360AB">
        <w:rPr>
          <w:rFonts w:eastAsia="Times New Roman"/>
        </w:rPr>
        <w:t xml:space="preserve">uch of the increase would need to come from the private sector. The role of </w:t>
      </w:r>
      <w:r w:rsidR="008E1191">
        <w:rPr>
          <w:rFonts w:eastAsia="Times New Roman"/>
        </w:rPr>
        <w:t>public</w:t>
      </w:r>
      <w:r w:rsidR="00B360AB">
        <w:rPr>
          <w:rFonts w:eastAsia="Times New Roman"/>
        </w:rPr>
        <w:t xml:space="preserve"> sector investment would essentially be to support private sector expansion and crowd-in private investment in the domestic economy. </w:t>
      </w:r>
    </w:p>
    <w:p w:rsidR="00B360AB" w:rsidRDefault="00B360AB" w:rsidP="00A27862">
      <w:pPr>
        <w:pStyle w:val="Heading5"/>
        <w:spacing w:after="0"/>
      </w:pPr>
      <w:bookmarkStart w:id="794" w:name="_Toc460497193"/>
      <w:bookmarkStart w:id="795" w:name="_Toc474639216"/>
      <w:r w:rsidRPr="0087603D">
        <w:t xml:space="preserve">Figure </w:t>
      </w:r>
      <w:r>
        <w:t>11.</w:t>
      </w:r>
      <w:r w:rsidRPr="0087603D">
        <w:t>1</w:t>
      </w:r>
      <w:r>
        <w:t>a</w:t>
      </w:r>
      <w:r w:rsidRPr="0087603D">
        <w:t>: Water Related Expenditures</w:t>
      </w:r>
      <w:bookmarkEnd w:id="794"/>
      <w:bookmarkEnd w:id="795"/>
    </w:p>
    <w:p w:rsidR="00B360AB" w:rsidRPr="0087603D" w:rsidRDefault="00B360AB" w:rsidP="00B360AB">
      <w:pPr>
        <w:spacing w:after="120"/>
        <w:jc w:val="center"/>
        <w:rPr>
          <w:rFonts w:eastAsia="Times New Roman"/>
          <w:b/>
        </w:rPr>
      </w:pPr>
      <w:r>
        <w:rPr>
          <w:rFonts w:eastAsia="Times New Roman"/>
          <w:noProof/>
          <w:lang w:val="en-AU" w:eastAsia="en-AU" w:bidi="bn-BD"/>
        </w:rPr>
        <w:drawing>
          <wp:inline distT="0" distB="0" distL="0" distR="0">
            <wp:extent cx="5391150" cy="2105025"/>
            <wp:effectExtent l="0" t="0" r="19050" b="9525"/>
            <wp:docPr id="194"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B360AB" w:rsidRPr="003D3B00" w:rsidRDefault="00B360AB" w:rsidP="00A27862">
      <w:pPr>
        <w:spacing w:line="240" w:lineRule="auto"/>
        <w:rPr>
          <w:b/>
          <w:bCs/>
          <w:i/>
          <w:color w:val="000000"/>
          <w:sz w:val="20"/>
          <w:szCs w:val="16"/>
        </w:rPr>
      </w:pPr>
      <w:r>
        <w:rPr>
          <w:b/>
          <w:bCs/>
          <w:i/>
          <w:color w:val="000000"/>
          <w:sz w:val="20"/>
          <w:szCs w:val="16"/>
        </w:rPr>
        <w:t xml:space="preserve">        </w:t>
      </w:r>
      <w:r w:rsidRPr="003D3B00">
        <w:rPr>
          <w:b/>
          <w:bCs/>
          <w:i/>
          <w:color w:val="000000"/>
          <w:sz w:val="20"/>
          <w:szCs w:val="16"/>
        </w:rPr>
        <w:t>Source: Ministry of Planning and Budget Documents of Ministry of Planning, Bangladesh.</w:t>
      </w:r>
    </w:p>
    <w:p w:rsidR="00B360AB" w:rsidRDefault="00B360AB" w:rsidP="00A27862">
      <w:pPr>
        <w:pStyle w:val="Heading5"/>
        <w:spacing w:after="0"/>
      </w:pPr>
      <w:bookmarkStart w:id="796" w:name="_Toc460497194"/>
      <w:bookmarkStart w:id="797" w:name="_Toc474639217"/>
      <w:r w:rsidRPr="0087603D">
        <w:t xml:space="preserve">Figure </w:t>
      </w:r>
      <w:r>
        <w:t>11.1b</w:t>
      </w:r>
      <w:r w:rsidRPr="0087603D">
        <w:t>: Water Related Expendit</w:t>
      </w:r>
      <w:r>
        <w:t>ures</w:t>
      </w:r>
      <w:bookmarkEnd w:id="796"/>
      <w:bookmarkEnd w:id="797"/>
    </w:p>
    <w:p w:rsidR="00B360AB" w:rsidRDefault="00B360AB" w:rsidP="00B360AB">
      <w:pPr>
        <w:spacing w:after="120" w:line="276" w:lineRule="auto"/>
        <w:jc w:val="center"/>
        <w:rPr>
          <w:rFonts w:eastAsia="Times New Roman"/>
        </w:rPr>
      </w:pPr>
      <w:r>
        <w:rPr>
          <w:rFonts w:eastAsia="Times New Roman"/>
          <w:noProof/>
          <w:lang w:val="en-AU" w:eastAsia="en-AU" w:bidi="bn-BD"/>
        </w:rPr>
        <w:lastRenderedPageBreak/>
        <w:drawing>
          <wp:inline distT="0" distB="0" distL="0" distR="0">
            <wp:extent cx="5353050" cy="1962150"/>
            <wp:effectExtent l="0" t="0" r="19050" b="19050"/>
            <wp:docPr id="177"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B360AB" w:rsidRPr="00BD3C16" w:rsidRDefault="00B360AB" w:rsidP="00B360AB">
      <w:pPr>
        <w:spacing w:line="276" w:lineRule="auto"/>
        <w:rPr>
          <w:rFonts w:eastAsia="Times New Roman"/>
        </w:rPr>
      </w:pPr>
      <w:r>
        <w:rPr>
          <w:b/>
          <w:bCs/>
          <w:i/>
          <w:color w:val="000000"/>
          <w:sz w:val="20"/>
          <w:szCs w:val="16"/>
        </w:rPr>
        <w:t xml:space="preserve">        </w:t>
      </w:r>
      <w:r w:rsidRPr="003D3B00">
        <w:rPr>
          <w:b/>
          <w:bCs/>
          <w:i/>
          <w:color w:val="000000"/>
          <w:sz w:val="20"/>
          <w:szCs w:val="16"/>
        </w:rPr>
        <w:t>Source: Ministry of Planning and Budget Documents of Ministry of Planning, Bangladesh.</w:t>
      </w:r>
    </w:p>
    <w:p w:rsidR="00B360AB" w:rsidRPr="004B0A08" w:rsidRDefault="00B360AB" w:rsidP="00B360AB">
      <w:pPr>
        <w:spacing w:line="276" w:lineRule="auto"/>
        <w:jc w:val="both"/>
        <w:rPr>
          <w:rFonts w:eastAsia="Times New Roman"/>
          <w:i/>
        </w:rPr>
      </w:pPr>
      <w:r>
        <w:rPr>
          <w:rFonts w:eastAsia="Times New Roman"/>
        </w:rPr>
        <w:t>Water related spending in Bangladesh in recent years ranged between 0.6-0.8 percent of GDP</w:t>
      </w:r>
      <w:r w:rsidR="00C678A9">
        <w:rPr>
          <w:rFonts w:eastAsia="Times New Roman"/>
        </w:rPr>
        <w:t xml:space="preserve"> (Figure 11.1a)</w:t>
      </w:r>
      <w:r>
        <w:rPr>
          <w:rFonts w:eastAsia="Times New Roman"/>
        </w:rPr>
        <w:t xml:space="preserve">. The </w:t>
      </w:r>
      <w:r w:rsidR="00C678A9">
        <w:rPr>
          <w:rFonts w:eastAsia="Times New Roman"/>
        </w:rPr>
        <w:t xml:space="preserve">Business As Usual </w:t>
      </w:r>
      <w:r w:rsidR="00A27862">
        <w:rPr>
          <w:rFonts w:eastAsia="Times New Roman"/>
        </w:rPr>
        <w:t>(B</w:t>
      </w:r>
      <w:r>
        <w:rPr>
          <w:rFonts w:eastAsia="Times New Roman"/>
        </w:rPr>
        <w:t>AU</w:t>
      </w:r>
      <w:r w:rsidR="00A27862">
        <w:rPr>
          <w:rFonts w:eastAsia="Times New Roman"/>
        </w:rPr>
        <w:t>)</w:t>
      </w:r>
      <w:r>
        <w:rPr>
          <w:rFonts w:eastAsia="Times New Roman"/>
        </w:rPr>
        <w:t xml:space="preserve"> </w:t>
      </w:r>
      <w:r w:rsidR="00554AA1">
        <w:rPr>
          <w:rFonts w:eastAsia="Times New Roman"/>
        </w:rPr>
        <w:t xml:space="preserve">policy option of the present </w:t>
      </w:r>
      <w:r w:rsidR="00EA4E38">
        <w:rPr>
          <w:rFonts w:eastAsia="Times New Roman"/>
        </w:rPr>
        <w:t>time,</w:t>
      </w:r>
      <w:r>
        <w:rPr>
          <w:rFonts w:eastAsia="Times New Roman"/>
        </w:rPr>
        <w:t xml:space="preserve"> implicitly includes similar amounts of water related resource allocations of about 0.8 percent of GDP, which are to be executed through the </w:t>
      </w:r>
      <w:r w:rsidR="00C678A9">
        <w:rPr>
          <w:rFonts w:eastAsia="Times New Roman"/>
        </w:rPr>
        <w:t>Bangladesh W</w:t>
      </w:r>
      <w:r>
        <w:rPr>
          <w:rFonts w:eastAsia="Times New Roman"/>
        </w:rPr>
        <w:t>ater Development Board under the Ministry of Water</w:t>
      </w:r>
      <w:r w:rsidR="00C678A9">
        <w:rPr>
          <w:rFonts w:eastAsia="Times New Roman"/>
        </w:rPr>
        <w:t xml:space="preserve"> Resources</w:t>
      </w:r>
      <w:r>
        <w:rPr>
          <w:rFonts w:eastAsia="Times New Roman"/>
        </w:rPr>
        <w:t xml:space="preserve">, Dhaka </w:t>
      </w:r>
      <w:r w:rsidR="00C678A9">
        <w:rPr>
          <w:rFonts w:eastAsia="Times New Roman"/>
        </w:rPr>
        <w:t xml:space="preserve">WASA </w:t>
      </w:r>
      <w:r>
        <w:rPr>
          <w:rFonts w:eastAsia="Times New Roman"/>
        </w:rPr>
        <w:t xml:space="preserve">and Chittagong </w:t>
      </w:r>
      <w:r w:rsidR="00C678A9">
        <w:rPr>
          <w:rFonts w:eastAsia="Times New Roman"/>
        </w:rPr>
        <w:t xml:space="preserve">WASA , </w:t>
      </w:r>
      <w:r>
        <w:rPr>
          <w:rFonts w:eastAsia="Times New Roman"/>
        </w:rPr>
        <w:t>and Local Government Engineering Department (LGED) under the Ministry of LGRD</w:t>
      </w:r>
      <w:r w:rsidR="00C678A9">
        <w:rPr>
          <w:rFonts w:eastAsia="Times New Roman"/>
        </w:rPr>
        <w:t>&amp;C</w:t>
      </w:r>
      <w:r>
        <w:rPr>
          <w:rFonts w:eastAsia="Times New Roman"/>
        </w:rPr>
        <w:t xml:space="preserve"> for small irrigation projects. </w:t>
      </w:r>
      <w:r w:rsidRPr="004B0A08">
        <w:rPr>
          <w:rFonts w:eastAsia="Times New Roman"/>
          <w:i/>
        </w:rPr>
        <w:t>Water related expenditure as percent of total budgetary spending have increased in recent years and stood at 4.9% of total budgetary spending in FY</w:t>
      </w:r>
      <w:r w:rsidR="00A27862" w:rsidRPr="004B0A08">
        <w:rPr>
          <w:rFonts w:eastAsia="Times New Roman"/>
          <w:i/>
        </w:rPr>
        <w:t>20</w:t>
      </w:r>
      <w:r w:rsidRPr="004B0A08">
        <w:rPr>
          <w:rFonts w:eastAsia="Times New Roman"/>
          <w:i/>
        </w:rPr>
        <w:t>16</w:t>
      </w:r>
      <w:r w:rsidR="00A27862" w:rsidRPr="004B0A08">
        <w:rPr>
          <w:rFonts w:eastAsia="Times New Roman"/>
          <w:i/>
        </w:rPr>
        <w:t xml:space="preserve"> </w:t>
      </w:r>
      <w:r w:rsidR="00C678A9">
        <w:rPr>
          <w:rFonts w:eastAsia="Times New Roman"/>
          <w:i/>
        </w:rPr>
        <w:t>(Figure 11.1b)</w:t>
      </w:r>
      <w:r w:rsidRPr="004B0A08">
        <w:rPr>
          <w:rFonts w:eastAsia="Times New Roman"/>
          <w:i/>
        </w:rPr>
        <w:t xml:space="preserve">  </w:t>
      </w:r>
    </w:p>
    <w:p w:rsidR="00B360AB" w:rsidRDefault="00B360AB" w:rsidP="00B360AB">
      <w:pPr>
        <w:spacing w:line="276" w:lineRule="auto"/>
        <w:jc w:val="both"/>
        <w:rPr>
          <w:rFonts w:eastAsia="Times New Roman"/>
        </w:rPr>
      </w:pPr>
      <w:r>
        <w:rPr>
          <w:rFonts w:eastAsia="Times New Roman"/>
        </w:rPr>
        <w:t xml:space="preserve">As discussed in Chapter 5, significant downside risks posed by the climate change and environmental shocks impacting delta hotspots, if not addressed through investment in climate change and other forms of adaptations, would severely limit the growth prospects. </w:t>
      </w:r>
      <w:r w:rsidRPr="004B0A08">
        <w:rPr>
          <w:rFonts w:eastAsia="Times New Roman"/>
          <w:i/>
        </w:rPr>
        <w:t>Faced with these difficult challenges and without proper adaptation against these risks, Bangladesh will not be able to become an UMIC by FY</w:t>
      </w:r>
      <w:r w:rsidR="00CA5B96" w:rsidRPr="004B0A08">
        <w:rPr>
          <w:rFonts w:eastAsia="Times New Roman"/>
          <w:i/>
        </w:rPr>
        <w:t>20</w:t>
      </w:r>
      <w:r w:rsidRPr="004B0A08">
        <w:rPr>
          <w:rFonts w:eastAsia="Times New Roman"/>
          <w:i/>
        </w:rPr>
        <w:t>31.</w:t>
      </w:r>
      <w:r>
        <w:rPr>
          <w:rFonts w:eastAsia="Times New Roman"/>
        </w:rPr>
        <w:t xml:space="preserve"> Total amount of spending in climate change and other environmental and water related projects and maintenance is conservatively estimated to be about 2-2.5 percent of GDP per annum. Realization of the </w:t>
      </w:r>
      <w:r w:rsidR="00CA5B96">
        <w:rPr>
          <w:rFonts w:eastAsia="Times New Roman"/>
        </w:rPr>
        <w:t>DP</w:t>
      </w:r>
      <w:r>
        <w:rPr>
          <w:rFonts w:eastAsia="Times New Roman"/>
        </w:rPr>
        <w:t xml:space="preserve"> </w:t>
      </w:r>
      <w:r w:rsidR="00554AA1">
        <w:rPr>
          <w:rFonts w:eastAsia="Times New Roman"/>
        </w:rPr>
        <w:t xml:space="preserve">Option </w:t>
      </w:r>
      <w:r>
        <w:rPr>
          <w:rFonts w:eastAsia="Times New Roman"/>
        </w:rPr>
        <w:t>—and thereby achieving the objectives of UMIC status and eradication of absolute poverty</w:t>
      </w:r>
      <w:r w:rsidR="00CA5B96">
        <w:rPr>
          <w:rFonts w:eastAsia="Times New Roman"/>
        </w:rPr>
        <w:t xml:space="preserve"> by FY2031</w:t>
      </w:r>
      <w:r>
        <w:rPr>
          <w:rFonts w:eastAsia="Times New Roman"/>
        </w:rPr>
        <w:t xml:space="preserve">-is predicated upon this 2-2.5 percent of GDP spending on </w:t>
      </w:r>
      <w:r w:rsidR="00C678A9">
        <w:rPr>
          <w:rFonts w:eastAsia="Times New Roman"/>
        </w:rPr>
        <w:t xml:space="preserve">BDP2100 IP </w:t>
      </w:r>
      <w:r>
        <w:rPr>
          <w:rFonts w:eastAsia="Times New Roman"/>
        </w:rPr>
        <w:t xml:space="preserve">and operations and maintenance (O&amp;M) of water and climate change adaptation related projects. However, increasing </w:t>
      </w:r>
      <w:r w:rsidR="008E1191">
        <w:rPr>
          <w:rFonts w:eastAsia="Times New Roman"/>
        </w:rPr>
        <w:t xml:space="preserve">public </w:t>
      </w:r>
      <w:r>
        <w:rPr>
          <w:rFonts w:eastAsia="Times New Roman"/>
        </w:rPr>
        <w:t xml:space="preserve">spending on water related projects by more than 3 times in relation to GDP to 2.5 percent would be extremely difficult and will require creative financing arrangements, including involvement of the private sector. </w:t>
      </w:r>
    </w:p>
    <w:p w:rsidR="00B360AB" w:rsidRDefault="00B360AB" w:rsidP="00B360AB">
      <w:pPr>
        <w:spacing w:line="276" w:lineRule="auto"/>
        <w:jc w:val="both"/>
      </w:pPr>
      <w:r w:rsidRPr="004B0A08">
        <w:rPr>
          <w:i/>
        </w:rPr>
        <w:t>Given that the estimated resource requirement for mitigating the negative impacts of climate change at around 2.5 percent of GDP and current allocation of 0.8 percent for the water sector and disaster management purpose, the estimated resource gap is thus 1.7 percent of GDP.</w:t>
      </w:r>
      <w:r>
        <w:t xml:space="preserve"> The key question – how will this resource be financed? Although the current tax effort in Bangladesh is low – it is expected to rise by 4 to 5 percentage points of GDP </w:t>
      </w:r>
      <w:r w:rsidR="00CA5B96">
        <w:t xml:space="preserve">over the Seventh </w:t>
      </w:r>
      <w:r>
        <w:t xml:space="preserve">FYP period and increase further over the long term. It is anticipated that with increased tax effort, the </w:t>
      </w:r>
      <w:r>
        <w:lastRenderedPageBreak/>
        <w:t xml:space="preserve">demand for </w:t>
      </w:r>
      <w:r w:rsidR="008E1191">
        <w:t>public</w:t>
      </w:r>
      <w:r>
        <w:t xml:space="preserve"> sector resources by other sectors (especially in transport logistics, power and social sectors) would also continue to rise leaving relatively modest amounts for the water sector.  </w:t>
      </w:r>
      <w:r w:rsidRPr="004B0A08">
        <w:rPr>
          <w:i/>
        </w:rPr>
        <w:t xml:space="preserve">Good practice experience from other deltas show that a substantial part of water investments can be funded through a </w:t>
      </w:r>
      <w:r w:rsidR="00F57172" w:rsidRPr="004B0A08">
        <w:rPr>
          <w:i/>
        </w:rPr>
        <w:t>well-structured</w:t>
      </w:r>
      <w:r w:rsidRPr="004B0A08">
        <w:rPr>
          <w:i/>
        </w:rPr>
        <w:t xml:space="preserve"> cost recovery policy based on the beneficiary pays principle.</w:t>
      </w:r>
      <w:r>
        <w:t xml:space="preserve">  In Bangladesh, application of this will take time, but this policy must be pursued vigorously.  Additionally, it is thus suggested that a significant part of the resource gap estimated for the water sector would need to be financed from the private sector and the global fund for climate adaptation.</w:t>
      </w:r>
    </w:p>
    <w:p w:rsidR="00B360AB" w:rsidRDefault="00B360AB" w:rsidP="00B360AB">
      <w:pPr>
        <w:spacing w:line="276" w:lineRule="auto"/>
        <w:jc w:val="both"/>
      </w:pPr>
      <w:r w:rsidRPr="00D06466">
        <w:rPr>
          <w:rFonts w:eastAsia="Times New Roman"/>
        </w:rPr>
        <w:t>Bangladesh has had a solid track record of expenditure control and debt management. It has consistently adhered to prudent fiscal and debt management strategy under which fiscal deficits have been contained within 3.5-4.5 percent of GDP. While this conservative approach has served Bangladesh very well during 1970s through 2000s, it is time to re-evaluate certain aspects of the strategy. Total debt has come down from 45% of GDP in FY</w:t>
      </w:r>
      <w:r w:rsidR="00CA5B96">
        <w:rPr>
          <w:rFonts w:eastAsia="Times New Roman"/>
        </w:rPr>
        <w:t>20</w:t>
      </w:r>
      <w:r w:rsidRPr="00D06466">
        <w:rPr>
          <w:rFonts w:eastAsia="Times New Roman"/>
        </w:rPr>
        <w:t>05 to 34% in FY</w:t>
      </w:r>
      <w:r w:rsidR="00CA5B96">
        <w:rPr>
          <w:rFonts w:eastAsia="Times New Roman"/>
        </w:rPr>
        <w:t>20</w:t>
      </w:r>
      <w:r w:rsidRPr="00D06466">
        <w:rPr>
          <w:rFonts w:eastAsia="Times New Roman"/>
        </w:rPr>
        <w:t xml:space="preserve">15, which is entirely attributable to a decline in the foreign debt. </w:t>
      </w:r>
      <w:r>
        <w:rPr>
          <w:rFonts w:eastAsia="Times New Roman"/>
        </w:rPr>
        <w:t>In particular, the level of low-cost foreign debt has declined to only 13% of GDP in FY</w:t>
      </w:r>
      <w:r w:rsidR="00CA5B96">
        <w:rPr>
          <w:rFonts w:eastAsia="Times New Roman"/>
        </w:rPr>
        <w:t>20</w:t>
      </w:r>
      <w:r>
        <w:rPr>
          <w:rFonts w:eastAsia="Times New Roman"/>
        </w:rPr>
        <w:t>15, and likely to have declined further in FY</w:t>
      </w:r>
      <w:r w:rsidR="00CA5B96">
        <w:rPr>
          <w:rFonts w:eastAsia="Times New Roman"/>
        </w:rPr>
        <w:t>20</w:t>
      </w:r>
      <w:r>
        <w:rPr>
          <w:rFonts w:eastAsia="Times New Roman"/>
        </w:rPr>
        <w:t xml:space="preserve">16. </w:t>
      </w:r>
      <w:r w:rsidRPr="00D06466">
        <w:rPr>
          <w:rFonts w:eastAsia="Times New Roman"/>
        </w:rPr>
        <w:t>Financing of the fiscal deficit has been excessively tilted to high cost domestic borrowing while the foreign aid pipeline now exceeds $2</w:t>
      </w:r>
      <w:r>
        <w:rPr>
          <w:rFonts w:eastAsia="Times New Roman"/>
        </w:rPr>
        <w:t>3</w:t>
      </w:r>
      <w:r w:rsidRPr="00D06466">
        <w:rPr>
          <w:rFonts w:eastAsia="Times New Roman"/>
        </w:rPr>
        <w:t xml:space="preserve"> billion.</w:t>
      </w:r>
      <w:r>
        <w:rPr>
          <w:rFonts w:eastAsia="Times New Roman"/>
        </w:rPr>
        <w:t xml:space="preserve"> These</w:t>
      </w:r>
      <w:r w:rsidRPr="00D06466">
        <w:rPr>
          <w:rFonts w:eastAsia="Times New Roman"/>
        </w:rPr>
        <w:t xml:space="preserve"> </w:t>
      </w:r>
      <w:r>
        <w:rPr>
          <w:rFonts w:eastAsia="Times New Roman"/>
        </w:rPr>
        <w:t xml:space="preserve">issues will also be taken into account in developing the </w:t>
      </w:r>
      <w:r w:rsidR="00C678A9">
        <w:rPr>
          <w:rFonts w:eastAsia="Times New Roman"/>
        </w:rPr>
        <w:t xml:space="preserve">BDP 2100 IP </w:t>
      </w:r>
      <w:r>
        <w:rPr>
          <w:rFonts w:eastAsia="Times New Roman"/>
        </w:rPr>
        <w:t xml:space="preserve">financing strategy. </w:t>
      </w:r>
    </w:p>
    <w:p w:rsidR="00F64A6A" w:rsidRDefault="00B360AB" w:rsidP="00F64A6A">
      <w:pPr>
        <w:pStyle w:val="Heading2"/>
        <w:numPr>
          <w:ilvl w:val="0"/>
          <w:numId w:val="0"/>
        </w:numPr>
        <w:ind w:left="1080"/>
      </w:pPr>
      <w:bookmarkStart w:id="798" w:name="_Toc453889896"/>
      <w:bookmarkStart w:id="799" w:name="_Toc460496905"/>
      <w:bookmarkStart w:id="800" w:name="_Toc474638932"/>
      <w:r w:rsidRPr="00C94276">
        <w:t>Climate Change Impact Assessment and Investment Requirements</w:t>
      </w:r>
      <w:bookmarkEnd w:id="798"/>
      <w:bookmarkEnd w:id="799"/>
      <w:bookmarkEnd w:id="800"/>
    </w:p>
    <w:p w:rsidR="00B360AB" w:rsidRDefault="00B360AB" w:rsidP="00B360AB">
      <w:pPr>
        <w:spacing w:line="276" w:lineRule="auto"/>
        <w:jc w:val="both"/>
      </w:pPr>
      <w:r w:rsidRPr="001C690D">
        <w:rPr>
          <w:szCs w:val="28"/>
        </w:rPr>
        <w:t>A</w:t>
      </w:r>
      <w:r>
        <w:rPr>
          <w:szCs w:val="28"/>
        </w:rPr>
        <w:t xml:space="preserve">s described in Chapter 5, a </w:t>
      </w:r>
      <w:r w:rsidRPr="001C690D">
        <w:rPr>
          <w:szCs w:val="28"/>
        </w:rPr>
        <w:t xml:space="preserve">consistent macroeconomic framework has been used to generate the delta scenarios. </w:t>
      </w:r>
      <w:r>
        <w:rPr>
          <w:szCs w:val="28"/>
        </w:rPr>
        <w:t>T</w:t>
      </w:r>
      <w:r w:rsidRPr="001C690D">
        <w:rPr>
          <w:szCs w:val="28"/>
        </w:rPr>
        <w:t xml:space="preserve">he analytical framework </w:t>
      </w:r>
      <w:r>
        <w:rPr>
          <w:szCs w:val="28"/>
        </w:rPr>
        <w:t xml:space="preserve">for BDP2100 has been developed </w:t>
      </w:r>
      <w:r w:rsidRPr="001C690D">
        <w:rPr>
          <w:szCs w:val="28"/>
        </w:rPr>
        <w:t xml:space="preserve">to quantify economic impacts of climate change by linking the real side (i.e. economic variables) to the environment or climate change parameters. </w:t>
      </w:r>
      <w:r w:rsidRPr="002223F2">
        <w:rPr>
          <w:szCs w:val="28"/>
        </w:rPr>
        <w:t>Using</w:t>
      </w:r>
      <w:r>
        <w:t xml:space="preserve"> this framework</w:t>
      </w:r>
      <w:r w:rsidR="00EF61D0">
        <w:t>,</w:t>
      </w:r>
      <w:r w:rsidRPr="009E2C0D">
        <w:t xml:space="preserve"> an attempt has been made to capture all possible environmental risks which Bangladesh </w:t>
      </w:r>
      <w:r w:rsidRPr="005C78FC">
        <w:rPr>
          <w:szCs w:val="28"/>
        </w:rPr>
        <w:t>might</w:t>
      </w:r>
      <w:r w:rsidRPr="009E2C0D">
        <w:t xml:space="preserve"> be facing and their impacts on all major economic indicators are estimated for </w:t>
      </w:r>
      <w:r w:rsidR="00EF61D0">
        <w:t>FY</w:t>
      </w:r>
      <w:r w:rsidRPr="009E2C0D">
        <w:t>2016-</w:t>
      </w:r>
      <w:r>
        <w:t>31</w:t>
      </w:r>
      <w:r w:rsidRPr="009E2C0D">
        <w:t xml:space="preserve"> period. </w:t>
      </w:r>
      <w:r w:rsidRPr="001C690D">
        <w:t>T</w:t>
      </w:r>
      <w:r>
        <w:t>he two</w:t>
      </w:r>
      <w:r w:rsidRPr="001C690D">
        <w:t xml:space="preserve"> </w:t>
      </w:r>
      <w:r w:rsidR="00554AA1">
        <w:t xml:space="preserve">policy options </w:t>
      </w:r>
      <w:r w:rsidRPr="001C690D">
        <w:t>considered</w:t>
      </w:r>
      <w:r>
        <w:t xml:space="preserve"> in this exercise are along the following lines:</w:t>
      </w:r>
    </w:p>
    <w:p w:rsidR="00B360AB" w:rsidRDefault="00B360AB" w:rsidP="00A631E1">
      <w:pPr>
        <w:pStyle w:val="ListParagraph"/>
        <w:numPr>
          <w:ilvl w:val="0"/>
          <w:numId w:val="24"/>
        </w:numPr>
        <w:spacing w:line="276" w:lineRule="auto"/>
        <w:ind w:left="360"/>
        <w:jc w:val="both"/>
      </w:pPr>
      <w:r>
        <w:rPr>
          <w:i/>
        </w:rPr>
        <w:t>The</w:t>
      </w:r>
      <w:r w:rsidR="00EF61D0">
        <w:rPr>
          <w:i/>
        </w:rPr>
        <w:t xml:space="preserve"> </w:t>
      </w:r>
      <w:r>
        <w:rPr>
          <w:i/>
        </w:rPr>
        <w:t>first</w:t>
      </w:r>
      <w:r w:rsidRPr="00404C1D">
        <w:t xml:space="preserve"> </w:t>
      </w:r>
      <w:r w:rsidR="00554AA1">
        <w:t xml:space="preserve">option </w:t>
      </w:r>
      <w:r w:rsidRPr="00404C1D">
        <w:t xml:space="preserve">outlines the </w:t>
      </w:r>
      <w:r w:rsidR="00554AA1">
        <w:t xml:space="preserve">policy environment </w:t>
      </w:r>
      <w:r w:rsidR="00BF524B">
        <w:t xml:space="preserve">of the present situation where there is no Delta Plan to offset the </w:t>
      </w:r>
      <w:r w:rsidRPr="00404C1D">
        <w:t xml:space="preserve">economic impact of intensified environmental and climate change, and accordingly </w:t>
      </w:r>
      <w:r>
        <w:t xml:space="preserve">it </w:t>
      </w:r>
      <w:r w:rsidR="00BF524B">
        <w:t xml:space="preserve">is </w:t>
      </w:r>
      <w:r>
        <w:t xml:space="preserve">denoted as the </w:t>
      </w:r>
      <w:r w:rsidR="00C678A9">
        <w:t>B</w:t>
      </w:r>
      <w:r>
        <w:t xml:space="preserve">usiness </w:t>
      </w:r>
      <w:r w:rsidR="00C678A9">
        <w:t>A</w:t>
      </w:r>
      <w:r>
        <w:t xml:space="preserve">s </w:t>
      </w:r>
      <w:r w:rsidR="00C678A9">
        <w:t>U</w:t>
      </w:r>
      <w:r>
        <w:t xml:space="preserve">sual (BAU) </w:t>
      </w:r>
      <w:r w:rsidR="00BF524B">
        <w:t xml:space="preserve"> policy option  </w:t>
      </w:r>
      <w:r>
        <w:t>.</w:t>
      </w:r>
    </w:p>
    <w:p w:rsidR="00B360AB" w:rsidRPr="00CD2412" w:rsidRDefault="00B360AB" w:rsidP="00B360AB">
      <w:pPr>
        <w:pStyle w:val="ListParagraph"/>
        <w:spacing w:line="276" w:lineRule="auto"/>
        <w:ind w:left="360" w:hanging="360"/>
        <w:rPr>
          <w:sz w:val="8"/>
        </w:rPr>
      </w:pPr>
    </w:p>
    <w:p w:rsidR="00B360AB" w:rsidRPr="00404C1D" w:rsidRDefault="00B360AB" w:rsidP="00A631E1">
      <w:pPr>
        <w:pStyle w:val="ListParagraph"/>
        <w:numPr>
          <w:ilvl w:val="0"/>
          <w:numId w:val="24"/>
        </w:numPr>
        <w:spacing w:line="276" w:lineRule="auto"/>
        <w:ind w:left="360"/>
        <w:jc w:val="both"/>
      </w:pPr>
      <w:r>
        <w:rPr>
          <w:i/>
        </w:rPr>
        <w:t>The second</w:t>
      </w:r>
      <w:r w:rsidR="00C8459E">
        <w:t xml:space="preserve"> </w:t>
      </w:r>
      <w:r w:rsidR="00BF524B">
        <w:t xml:space="preserve">option </w:t>
      </w:r>
      <w:r w:rsidR="00C8459E">
        <w:t xml:space="preserve">is the </w:t>
      </w:r>
      <w:r w:rsidR="00C678A9">
        <w:t xml:space="preserve">BDP2100 </w:t>
      </w:r>
      <w:r w:rsidR="00547F61">
        <w:t>policy option</w:t>
      </w:r>
      <w:r w:rsidRPr="00404C1D">
        <w:t xml:space="preserve">, requiring strong climate change and other delta related adaptation measures to </w:t>
      </w:r>
      <w:r w:rsidR="00BF524B">
        <w:t xml:space="preserve">offset the negative consequences of climate change and </w:t>
      </w:r>
      <w:r w:rsidRPr="00404C1D">
        <w:t>achieve higher and sustainable growth trajectories</w:t>
      </w:r>
      <w:r w:rsidR="00BF524B">
        <w:t>,</w:t>
      </w:r>
      <w:r w:rsidRPr="00404C1D">
        <w:t xml:space="preserve"> thereby ensuring the government’s long-</w:t>
      </w:r>
      <w:r>
        <w:t>term objective of achieving upper</w:t>
      </w:r>
      <w:r w:rsidRPr="00404C1D">
        <w:t xml:space="preserve"> middle income status by </w:t>
      </w:r>
      <w:r>
        <w:t>FY</w:t>
      </w:r>
      <w:r w:rsidR="00C8459E">
        <w:t>2031</w:t>
      </w:r>
      <w:r w:rsidRPr="00404C1D">
        <w:t xml:space="preserve">. </w:t>
      </w:r>
    </w:p>
    <w:p w:rsidR="00B360AB" w:rsidRPr="004B0A08" w:rsidRDefault="00B360AB" w:rsidP="00B360AB">
      <w:pPr>
        <w:spacing w:line="276" w:lineRule="auto"/>
        <w:jc w:val="both"/>
        <w:rPr>
          <w:i/>
        </w:rPr>
      </w:pPr>
      <w:r>
        <w:rPr>
          <w:b/>
        </w:rPr>
        <w:t xml:space="preserve">Per capita real GDP: </w:t>
      </w:r>
      <w:r w:rsidRPr="009E2C0D">
        <w:t xml:space="preserve">Incorporating environmental loss and subsequent loss in income due to environmental hazards provides a dire scenario compared to the baseline. </w:t>
      </w:r>
      <w:r w:rsidRPr="004B0A08">
        <w:rPr>
          <w:i/>
        </w:rPr>
        <w:t>Without any change in the implementation of adaptation and mitigation measures</w:t>
      </w:r>
      <w:r w:rsidR="00C8459E" w:rsidRPr="004B0A08">
        <w:rPr>
          <w:i/>
        </w:rPr>
        <w:t xml:space="preserve"> per capita nominal GNI</w:t>
      </w:r>
      <w:r w:rsidRPr="004B0A08">
        <w:rPr>
          <w:i/>
        </w:rPr>
        <w:t xml:space="preserve"> would reach </w:t>
      </w:r>
      <w:r w:rsidRPr="004B0A08">
        <w:rPr>
          <w:i/>
        </w:rPr>
        <w:lastRenderedPageBreak/>
        <w:t>USD</w:t>
      </w:r>
      <w:r w:rsidR="00C8459E" w:rsidRPr="004B0A08">
        <w:rPr>
          <w:i/>
        </w:rPr>
        <w:t xml:space="preserve"> 4858</w:t>
      </w:r>
      <w:r w:rsidRPr="004B0A08">
        <w:rPr>
          <w:i/>
        </w:rPr>
        <w:t xml:space="preserve"> in FY</w:t>
      </w:r>
      <w:r w:rsidR="00C8459E" w:rsidRPr="004B0A08">
        <w:rPr>
          <w:i/>
        </w:rPr>
        <w:t>20</w:t>
      </w:r>
      <w:r w:rsidRPr="004B0A08">
        <w:rPr>
          <w:i/>
        </w:rPr>
        <w:t xml:space="preserve">31, which </w:t>
      </w:r>
      <w:r w:rsidR="00C8459E" w:rsidRPr="004B0A08">
        <w:rPr>
          <w:i/>
        </w:rPr>
        <w:t>would be significantly</w:t>
      </w:r>
      <w:r w:rsidRPr="004B0A08">
        <w:rPr>
          <w:i/>
        </w:rPr>
        <w:t xml:space="preserve"> below the entry level threshold of upper middle income.</w:t>
      </w:r>
    </w:p>
    <w:p w:rsidR="00B360AB" w:rsidRPr="003D3B00" w:rsidRDefault="00B360AB" w:rsidP="00B360AB">
      <w:pPr>
        <w:spacing w:line="276" w:lineRule="auto"/>
        <w:jc w:val="both"/>
        <w:rPr>
          <w:szCs w:val="28"/>
        </w:rPr>
      </w:pPr>
      <w:r w:rsidRPr="009E2C0D">
        <w:rPr>
          <w:b/>
          <w:szCs w:val="16"/>
        </w:rPr>
        <w:t>Employment</w:t>
      </w:r>
      <w:r>
        <w:rPr>
          <w:b/>
          <w:szCs w:val="16"/>
        </w:rPr>
        <w:t xml:space="preserve">: </w:t>
      </w:r>
      <w:r w:rsidRPr="009E2C0D">
        <w:rPr>
          <w:szCs w:val="16"/>
        </w:rPr>
        <w:t xml:space="preserve">New job creation depends on economic expansion. </w:t>
      </w:r>
      <w:r w:rsidRPr="004B0A08">
        <w:rPr>
          <w:i/>
          <w:szCs w:val="16"/>
        </w:rPr>
        <w:t>As a result of lower economic expansion the level of unemployment would rise at a faster rate.</w:t>
      </w:r>
      <w:r w:rsidRPr="003D3B00">
        <w:rPr>
          <w:szCs w:val="16"/>
        </w:rPr>
        <w:t xml:space="preserve"> </w:t>
      </w:r>
      <w:r w:rsidRPr="004B0A08">
        <w:rPr>
          <w:i/>
          <w:szCs w:val="28"/>
        </w:rPr>
        <w:t xml:space="preserve">Additional </w:t>
      </w:r>
      <w:r w:rsidR="00C678A9" w:rsidRPr="004B0A08">
        <w:rPr>
          <w:i/>
          <w:szCs w:val="28"/>
        </w:rPr>
        <w:t>unemploy</w:t>
      </w:r>
      <w:r w:rsidR="00C678A9">
        <w:rPr>
          <w:i/>
          <w:szCs w:val="28"/>
        </w:rPr>
        <w:t xml:space="preserve">ment </w:t>
      </w:r>
      <w:r w:rsidRPr="004B0A08">
        <w:rPr>
          <w:i/>
          <w:szCs w:val="28"/>
        </w:rPr>
        <w:t xml:space="preserve">in the country would increase to </w:t>
      </w:r>
      <w:r w:rsidRPr="004B0A08">
        <w:rPr>
          <w:i/>
        </w:rPr>
        <w:t>10</w:t>
      </w:r>
      <w:r w:rsidRPr="004B0A08">
        <w:rPr>
          <w:i/>
          <w:szCs w:val="28"/>
        </w:rPr>
        <w:t>.3 million in FY</w:t>
      </w:r>
      <w:r w:rsidR="00C8459E" w:rsidRPr="004B0A08">
        <w:rPr>
          <w:i/>
          <w:szCs w:val="28"/>
        </w:rPr>
        <w:t>20</w:t>
      </w:r>
      <w:r w:rsidRPr="004B0A08">
        <w:rPr>
          <w:i/>
          <w:szCs w:val="28"/>
        </w:rPr>
        <w:t>31.</w:t>
      </w:r>
      <w:r w:rsidRPr="003D3B00">
        <w:rPr>
          <w:szCs w:val="28"/>
        </w:rPr>
        <w:t xml:space="preserve"> Almost one third of this additional unemployment would generate from the coastal area because of its environmental vulnerability.</w:t>
      </w:r>
    </w:p>
    <w:p w:rsidR="00B360AB" w:rsidRPr="007438D6" w:rsidRDefault="00B360AB" w:rsidP="00B360AB">
      <w:pPr>
        <w:spacing w:line="276" w:lineRule="auto"/>
        <w:jc w:val="both"/>
      </w:pPr>
      <w:r w:rsidRPr="003D3B00">
        <w:rPr>
          <w:b/>
          <w:sz w:val="22"/>
        </w:rPr>
        <w:t xml:space="preserve">Poverty: </w:t>
      </w:r>
      <w:r w:rsidR="00CF435C">
        <w:t xml:space="preserve">In the BAU </w:t>
      </w:r>
      <w:r w:rsidR="00547F61">
        <w:t>option</w:t>
      </w:r>
      <w:r w:rsidRPr="003D3B00">
        <w:t>, the head cou</w:t>
      </w:r>
      <w:r w:rsidR="00CF435C">
        <w:t xml:space="preserve">nt poverty ratio would be </w:t>
      </w:r>
      <w:r w:rsidR="00CD5C3B">
        <w:t>about 4</w:t>
      </w:r>
      <w:r w:rsidRPr="003D3B00">
        <w:t xml:space="preserve"> percentage </w:t>
      </w:r>
      <w:r w:rsidRPr="00C63A6A">
        <w:t xml:space="preserve">points </w:t>
      </w:r>
      <w:r w:rsidR="00CF435C">
        <w:t xml:space="preserve">higher than the </w:t>
      </w:r>
      <w:r w:rsidR="00C678A9">
        <w:t>BDP2100</w:t>
      </w:r>
      <w:r w:rsidR="00C678A9" w:rsidRPr="00C63A6A">
        <w:t xml:space="preserve"> </w:t>
      </w:r>
      <w:r w:rsidR="00EA4E38">
        <w:t xml:space="preserve">option. </w:t>
      </w:r>
      <w:r w:rsidRPr="00C63A6A">
        <w:t>The key reason behind the higher poverty inci</w:t>
      </w:r>
      <w:r w:rsidR="00CF435C">
        <w:t xml:space="preserve">dence in the BAU </w:t>
      </w:r>
      <w:r w:rsidR="00BF524B">
        <w:t xml:space="preserve">option </w:t>
      </w:r>
      <w:r w:rsidRPr="00C63A6A">
        <w:t xml:space="preserve">is lower per capita income growth. </w:t>
      </w:r>
      <w:r w:rsidR="00CD5C3B">
        <w:t xml:space="preserve">Most importantly, Bangladesh will fail to eliminate extreme poverty by FY2031 in the BAU </w:t>
      </w:r>
      <w:r w:rsidR="00BF524B">
        <w:t>option</w:t>
      </w:r>
      <w:r w:rsidR="00CD5C3B">
        <w:t xml:space="preserve">, whereas this will be comfortably secured under the </w:t>
      </w:r>
      <w:r w:rsidR="00C678A9">
        <w:t xml:space="preserve">BDP2100 </w:t>
      </w:r>
      <w:r w:rsidR="00BF524B">
        <w:t>option</w:t>
      </w:r>
      <w:r w:rsidR="00CD5C3B">
        <w:t>. The</w:t>
      </w:r>
      <w:r w:rsidRPr="00C63A6A">
        <w:t xml:space="preserve"> analysis </w:t>
      </w:r>
      <w:r>
        <w:t xml:space="preserve">also </w:t>
      </w:r>
      <w:r w:rsidR="00CD5C3B">
        <w:t>suggests that</w:t>
      </w:r>
      <w:r w:rsidRPr="00C63A6A">
        <w:t xml:space="preserve"> urban migration would increase more under the </w:t>
      </w:r>
      <w:r>
        <w:t>BAU</w:t>
      </w:r>
      <w:r w:rsidRPr="00C63A6A">
        <w:t xml:space="preserve"> </w:t>
      </w:r>
      <w:r w:rsidR="00EA4E38">
        <w:t>option,</w:t>
      </w:r>
      <w:r w:rsidRPr="00C63A6A">
        <w:t xml:space="preserve"> as additional people would become unemployed in disaster prone areas</w:t>
      </w:r>
      <w:r w:rsidR="00CD5C3B">
        <w:t xml:space="preserve"> and migrate to urban centers</w:t>
      </w:r>
      <w:r w:rsidRPr="00C63A6A">
        <w:t>.</w:t>
      </w:r>
    </w:p>
    <w:p w:rsidR="00CD5C3B" w:rsidRDefault="00B360AB" w:rsidP="00B360AB">
      <w:pPr>
        <w:spacing w:line="276" w:lineRule="auto"/>
        <w:jc w:val="both"/>
        <w:rPr>
          <w:szCs w:val="16"/>
        </w:rPr>
      </w:pPr>
      <w:r w:rsidRPr="0007045D">
        <w:rPr>
          <w:b/>
        </w:rPr>
        <w:t xml:space="preserve">Investment Requirements: </w:t>
      </w:r>
      <w:r w:rsidRPr="0007045D">
        <w:t xml:space="preserve">Aggressive investment policy is required to counter the negative </w:t>
      </w:r>
      <w:r w:rsidRPr="009E2C0D">
        <w:rPr>
          <w:szCs w:val="16"/>
        </w:rPr>
        <w:t xml:space="preserve">impact of environment. </w:t>
      </w:r>
      <w:r>
        <w:rPr>
          <w:szCs w:val="16"/>
        </w:rPr>
        <w:t>With appropriate investments and policies to counter the impact of climate change and associated natural disasters, Bangladesh can become an UMIC</w:t>
      </w:r>
      <w:r w:rsidRPr="009E2C0D">
        <w:rPr>
          <w:szCs w:val="16"/>
        </w:rPr>
        <w:t xml:space="preserve"> by</w:t>
      </w:r>
      <w:r>
        <w:rPr>
          <w:szCs w:val="16"/>
        </w:rPr>
        <w:t xml:space="preserve"> FY</w:t>
      </w:r>
      <w:r w:rsidR="00EF61D0">
        <w:rPr>
          <w:szCs w:val="16"/>
        </w:rPr>
        <w:t>20</w:t>
      </w:r>
      <w:r>
        <w:rPr>
          <w:szCs w:val="16"/>
        </w:rPr>
        <w:t xml:space="preserve">31. </w:t>
      </w:r>
      <w:r w:rsidRPr="004B0A08">
        <w:rPr>
          <w:i/>
          <w:szCs w:val="16"/>
        </w:rPr>
        <w:t>It is estimated that</w:t>
      </w:r>
      <w:r w:rsidRPr="004B0A08">
        <w:rPr>
          <w:b/>
          <w:i/>
          <w:szCs w:val="16"/>
        </w:rPr>
        <w:t xml:space="preserve"> </w:t>
      </w:r>
      <w:r w:rsidRPr="004B0A08">
        <w:rPr>
          <w:i/>
          <w:szCs w:val="16"/>
        </w:rPr>
        <w:t>additional investment of about 1.7 percent of GDP each year will be required for the purpose of adaptation against climate change and other environmental impacts</w:t>
      </w:r>
      <w:r>
        <w:rPr>
          <w:szCs w:val="16"/>
        </w:rPr>
        <w:t xml:space="preserve"> (Table 11.1). </w:t>
      </w:r>
    </w:p>
    <w:p w:rsidR="00B360AB" w:rsidRDefault="00B360AB" w:rsidP="00B360AB">
      <w:pPr>
        <w:pStyle w:val="Heading4"/>
        <w:rPr>
          <w:szCs w:val="16"/>
        </w:rPr>
      </w:pPr>
      <w:bookmarkStart w:id="801" w:name="_Toc460497110"/>
      <w:bookmarkStart w:id="802" w:name="_Toc474639135"/>
      <w:r>
        <w:t>Table 11.1: Investment Requirem</w:t>
      </w:r>
      <w:r w:rsidR="00547F61">
        <w:t xml:space="preserve">ents for Adaptation to Climate Change </w:t>
      </w:r>
      <w:r>
        <w:t>(% of GDP)</w:t>
      </w:r>
      <w:bookmarkEnd w:id="801"/>
      <w:bookmarkEnd w:id="80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396"/>
        <w:gridCol w:w="795"/>
        <w:gridCol w:w="795"/>
        <w:gridCol w:w="795"/>
        <w:gridCol w:w="795"/>
      </w:tblGrid>
      <w:tr w:rsidR="00B360AB" w:rsidRPr="00497F5B" w:rsidTr="00CA5B96">
        <w:trPr>
          <w:trHeight w:val="144"/>
        </w:trPr>
        <w:tc>
          <w:tcPr>
            <w:tcW w:w="3340" w:type="pct"/>
            <w:noWrap/>
            <w:hideMark/>
          </w:tcPr>
          <w:p w:rsidR="00B360AB" w:rsidRPr="00497F5B" w:rsidRDefault="00B360AB" w:rsidP="00CA5B96">
            <w:pPr>
              <w:spacing w:after="0" w:line="240" w:lineRule="auto"/>
              <w:rPr>
                <w:rFonts w:eastAsia="Times New Roman"/>
                <w:b/>
                <w:bCs/>
                <w:color w:val="000000"/>
                <w:szCs w:val="24"/>
              </w:rPr>
            </w:pPr>
            <w:r w:rsidRPr="00497F5B">
              <w:rPr>
                <w:rFonts w:eastAsia="Times New Roman"/>
                <w:b/>
                <w:bCs/>
                <w:color w:val="000000"/>
                <w:szCs w:val="24"/>
              </w:rPr>
              <w:t>Investment Components</w:t>
            </w:r>
          </w:p>
        </w:tc>
        <w:tc>
          <w:tcPr>
            <w:tcW w:w="415" w:type="pct"/>
            <w:noWrap/>
            <w:hideMark/>
          </w:tcPr>
          <w:p w:rsidR="00B360AB" w:rsidRPr="00497F5B" w:rsidRDefault="00B360AB" w:rsidP="00CA5B96">
            <w:pPr>
              <w:spacing w:after="0" w:line="240" w:lineRule="auto"/>
              <w:jc w:val="right"/>
              <w:rPr>
                <w:rFonts w:eastAsia="Times New Roman"/>
                <w:b/>
                <w:bCs/>
                <w:color w:val="000000"/>
                <w:szCs w:val="24"/>
              </w:rPr>
            </w:pPr>
            <w:r w:rsidRPr="00497F5B">
              <w:rPr>
                <w:rFonts w:eastAsia="Times New Roman"/>
                <w:b/>
                <w:bCs/>
                <w:color w:val="000000"/>
                <w:szCs w:val="24"/>
              </w:rPr>
              <w:t>FY16</w:t>
            </w:r>
          </w:p>
        </w:tc>
        <w:tc>
          <w:tcPr>
            <w:tcW w:w="415" w:type="pct"/>
            <w:noWrap/>
            <w:hideMark/>
          </w:tcPr>
          <w:p w:rsidR="00B360AB" w:rsidRPr="00497F5B" w:rsidRDefault="00B360AB" w:rsidP="00CA5B96">
            <w:pPr>
              <w:spacing w:after="0" w:line="240" w:lineRule="auto"/>
              <w:jc w:val="right"/>
              <w:rPr>
                <w:rFonts w:eastAsia="Times New Roman"/>
                <w:b/>
                <w:bCs/>
                <w:color w:val="000000"/>
                <w:szCs w:val="24"/>
              </w:rPr>
            </w:pPr>
            <w:r w:rsidRPr="00497F5B">
              <w:rPr>
                <w:rFonts w:eastAsia="Times New Roman"/>
                <w:b/>
                <w:bCs/>
                <w:color w:val="000000"/>
                <w:szCs w:val="24"/>
              </w:rPr>
              <w:t>FY20</w:t>
            </w:r>
          </w:p>
        </w:tc>
        <w:tc>
          <w:tcPr>
            <w:tcW w:w="415" w:type="pct"/>
            <w:noWrap/>
            <w:hideMark/>
          </w:tcPr>
          <w:p w:rsidR="00B360AB" w:rsidRPr="00497F5B" w:rsidRDefault="00B360AB" w:rsidP="00CA5B96">
            <w:pPr>
              <w:spacing w:after="0" w:line="240" w:lineRule="auto"/>
              <w:jc w:val="right"/>
              <w:rPr>
                <w:rFonts w:eastAsia="Times New Roman"/>
                <w:b/>
                <w:bCs/>
                <w:color w:val="000000"/>
                <w:szCs w:val="24"/>
              </w:rPr>
            </w:pPr>
            <w:r w:rsidRPr="00497F5B">
              <w:rPr>
                <w:rFonts w:eastAsia="Times New Roman"/>
                <w:b/>
                <w:bCs/>
                <w:color w:val="000000"/>
                <w:szCs w:val="24"/>
              </w:rPr>
              <w:t>FY25</w:t>
            </w:r>
          </w:p>
        </w:tc>
        <w:tc>
          <w:tcPr>
            <w:tcW w:w="415" w:type="pct"/>
            <w:noWrap/>
            <w:hideMark/>
          </w:tcPr>
          <w:p w:rsidR="00B360AB" w:rsidRPr="00497F5B" w:rsidRDefault="00B360AB" w:rsidP="00CA5B96">
            <w:pPr>
              <w:spacing w:after="0" w:line="240" w:lineRule="auto"/>
              <w:jc w:val="right"/>
              <w:rPr>
                <w:rFonts w:eastAsia="Times New Roman"/>
                <w:b/>
                <w:bCs/>
                <w:color w:val="000000"/>
                <w:szCs w:val="24"/>
              </w:rPr>
            </w:pPr>
            <w:r w:rsidRPr="00497F5B">
              <w:rPr>
                <w:rFonts w:eastAsia="Times New Roman"/>
                <w:b/>
                <w:bCs/>
                <w:color w:val="000000"/>
                <w:szCs w:val="24"/>
              </w:rPr>
              <w:t>FY31</w:t>
            </w:r>
          </w:p>
        </w:tc>
      </w:tr>
      <w:tr w:rsidR="00B360AB" w:rsidRPr="00497F5B" w:rsidTr="00CA5B96">
        <w:trPr>
          <w:trHeight w:val="144"/>
        </w:trPr>
        <w:tc>
          <w:tcPr>
            <w:tcW w:w="3340" w:type="pct"/>
            <w:noWrap/>
            <w:hideMark/>
          </w:tcPr>
          <w:p w:rsidR="00B360AB" w:rsidRPr="00497F5B" w:rsidRDefault="00B360AB" w:rsidP="00CA5B96">
            <w:pPr>
              <w:spacing w:after="0" w:line="240" w:lineRule="auto"/>
              <w:rPr>
                <w:rFonts w:eastAsia="Times New Roman"/>
                <w:b/>
                <w:bCs/>
                <w:color w:val="000000"/>
                <w:szCs w:val="24"/>
              </w:rPr>
            </w:pPr>
            <w:r w:rsidRPr="00497F5B">
              <w:rPr>
                <w:rFonts w:eastAsia="Times New Roman"/>
                <w:b/>
                <w:bCs/>
                <w:color w:val="000000"/>
                <w:szCs w:val="24"/>
              </w:rPr>
              <w:t>Total Delta Investment (Water and water-related)</w:t>
            </w:r>
          </w:p>
        </w:tc>
        <w:tc>
          <w:tcPr>
            <w:tcW w:w="415" w:type="pct"/>
            <w:noWrap/>
            <w:hideMark/>
          </w:tcPr>
          <w:p w:rsidR="00B360AB" w:rsidRPr="00497F5B" w:rsidRDefault="00B360AB" w:rsidP="00CA5B96">
            <w:pPr>
              <w:spacing w:after="0" w:line="240" w:lineRule="auto"/>
              <w:jc w:val="right"/>
              <w:rPr>
                <w:rFonts w:eastAsia="Times New Roman"/>
                <w:b/>
                <w:bCs/>
                <w:color w:val="000000"/>
                <w:szCs w:val="24"/>
              </w:rPr>
            </w:pPr>
            <w:r w:rsidRPr="00497F5B">
              <w:rPr>
                <w:rFonts w:eastAsia="Times New Roman"/>
                <w:b/>
                <w:bCs/>
                <w:color w:val="000000"/>
                <w:szCs w:val="24"/>
              </w:rPr>
              <w:t>0.8</w:t>
            </w:r>
          </w:p>
        </w:tc>
        <w:tc>
          <w:tcPr>
            <w:tcW w:w="415" w:type="pct"/>
            <w:noWrap/>
            <w:hideMark/>
          </w:tcPr>
          <w:p w:rsidR="00B360AB" w:rsidRPr="00497F5B" w:rsidRDefault="00B360AB" w:rsidP="00CA5B96">
            <w:pPr>
              <w:spacing w:after="0" w:line="240" w:lineRule="auto"/>
              <w:jc w:val="right"/>
              <w:rPr>
                <w:rFonts w:eastAsia="Times New Roman"/>
                <w:b/>
                <w:bCs/>
                <w:color w:val="000000"/>
                <w:szCs w:val="24"/>
              </w:rPr>
            </w:pPr>
            <w:r w:rsidRPr="00497F5B">
              <w:rPr>
                <w:rFonts w:eastAsia="Times New Roman"/>
                <w:b/>
                <w:bCs/>
                <w:color w:val="000000"/>
                <w:szCs w:val="24"/>
              </w:rPr>
              <w:t>1.8</w:t>
            </w:r>
          </w:p>
        </w:tc>
        <w:tc>
          <w:tcPr>
            <w:tcW w:w="415" w:type="pct"/>
            <w:noWrap/>
            <w:hideMark/>
          </w:tcPr>
          <w:p w:rsidR="00B360AB" w:rsidRPr="00497F5B" w:rsidRDefault="00B360AB" w:rsidP="00CA5B96">
            <w:pPr>
              <w:spacing w:after="0" w:line="240" w:lineRule="auto"/>
              <w:jc w:val="right"/>
              <w:rPr>
                <w:rFonts w:eastAsia="Times New Roman"/>
                <w:b/>
                <w:bCs/>
                <w:color w:val="000000"/>
                <w:szCs w:val="24"/>
              </w:rPr>
            </w:pPr>
            <w:r w:rsidRPr="00497F5B">
              <w:rPr>
                <w:rFonts w:eastAsia="Times New Roman"/>
                <w:b/>
                <w:bCs/>
                <w:color w:val="000000"/>
                <w:szCs w:val="24"/>
              </w:rPr>
              <w:t>2.5</w:t>
            </w:r>
          </w:p>
        </w:tc>
        <w:tc>
          <w:tcPr>
            <w:tcW w:w="415" w:type="pct"/>
            <w:noWrap/>
            <w:hideMark/>
          </w:tcPr>
          <w:p w:rsidR="00B360AB" w:rsidRPr="00497F5B" w:rsidRDefault="00B360AB" w:rsidP="00CA5B96">
            <w:pPr>
              <w:spacing w:after="0" w:line="240" w:lineRule="auto"/>
              <w:jc w:val="right"/>
              <w:rPr>
                <w:rFonts w:eastAsia="Times New Roman"/>
                <w:b/>
                <w:bCs/>
                <w:color w:val="000000"/>
                <w:szCs w:val="24"/>
              </w:rPr>
            </w:pPr>
            <w:r w:rsidRPr="00497F5B">
              <w:rPr>
                <w:rFonts w:eastAsia="Times New Roman"/>
                <w:b/>
                <w:bCs/>
                <w:color w:val="000000"/>
                <w:szCs w:val="24"/>
              </w:rPr>
              <w:t>2.5</w:t>
            </w:r>
          </w:p>
        </w:tc>
      </w:tr>
      <w:tr w:rsidR="00B360AB" w:rsidRPr="00497F5B" w:rsidTr="00CA5B96">
        <w:trPr>
          <w:trHeight w:val="144"/>
        </w:trPr>
        <w:tc>
          <w:tcPr>
            <w:tcW w:w="3340" w:type="pct"/>
            <w:noWrap/>
            <w:hideMark/>
          </w:tcPr>
          <w:p w:rsidR="00B360AB" w:rsidRPr="00497F5B" w:rsidRDefault="00B360AB" w:rsidP="00CA5B96">
            <w:pPr>
              <w:spacing w:after="0" w:line="240" w:lineRule="auto"/>
              <w:rPr>
                <w:rFonts w:eastAsia="Times New Roman"/>
                <w:color w:val="000000"/>
                <w:szCs w:val="24"/>
              </w:rPr>
            </w:pPr>
            <w:r w:rsidRPr="00497F5B">
              <w:rPr>
                <w:rFonts w:eastAsia="Times New Roman"/>
                <w:color w:val="000000"/>
                <w:szCs w:val="24"/>
              </w:rPr>
              <w:t>of which:</w:t>
            </w:r>
          </w:p>
        </w:tc>
        <w:tc>
          <w:tcPr>
            <w:tcW w:w="415" w:type="pct"/>
            <w:noWrap/>
            <w:hideMark/>
          </w:tcPr>
          <w:p w:rsidR="00B360AB" w:rsidRPr="00497F5B" w:rsidRDefault="00B360AB" w:rsidP="00CA5B96">
            <w:pPr>
              <w:spacing w:after="0" w:line="240" w:lineRule="auto"/>
              <w:rPr>
                <w:rFonts w:ascii="Cambria" w:eastAsia="Times New Roman" w:hAnsi="Cambria" w:cs="Calibri"/>
                <w:color w:val="000000"/>
              </w:rPr>
            </w:pPr>
            <w:r w:rsidRPr="00497F5B">
              <w:rPr>
                <w:rFonts w:ascii="Cambria" w:eastAsia="Times New Roman" w:hAnsi="Cambria" w:cs="Calibri"/>
                <w:color w:val="000000"/>
              </w:rPr>
              <w:t> </w:t>
            </w:r>
          </w:p>
        </w:tc>
        <w:tc>
          <w:tcPr>
            <w:tcW w:w="415" w:type="pct"/>
            <w:noWrap/>
            <w:hideMark/>
          </w:tcPr>
          <w:p w:rsidR="00B360AB" w:rsidRPr="00497F5B" w:rsidRDefault="00B360AB" w:rsidP="00CA5B96">
            <w:pPr>
              <w:spacing w:after="0" w:line="240" w:lineRule="auto"/>
              <w:rPr>
                <w:rFonts w:ascii="Cambria" w:eastAsia="Times New Roman" w:hAnsi="Cambria" w:cs="Calibri"/>
                <w:color w:val="000000"/>
              </w:rPr>
            </w:pPr>
            <w:r w:rsidRPr="00497F5B">
              <w:rPr>
                <w:rFonts w:ascii="Cambria" w:eastAsia="Times New Roman" w:hAnsi="Cambria" w:cs="Calibri"/>
                <w:color w:val="000000"/>
              </w:rPr>
              <w:t> </w:t>
            </w:r>
          </w:p>
        </w:tc>
        <w:tc>
          <w:tcPr>
            <w:tcW w:w="415" w:type="pct"/>
            <w:noWrap/>
            <w:hideMark/>
          </w:tcPr>
          <w:p w:rsidR="00B360AB" w:rsidRPr="00497F5B" w:rsidRDefault="00B360AB" w:rsidP="00CA5B96">
            <w:pPr>
              <w:spacing w:after="0" w:line="240" w:lineRule="auto"/>
              <w:rPr>
                <w:rFonts w:ascii="Cambria" w:eastAsia="Times New Roman" w:hAnsi="Cambria" w:cs="Calibri"/>
                <w:color w:val="000000"/>
              </w:rPr>
            </w:pPr>
            <w:r w:rsidRPr="00497F5B">
              <w:rPr>
                <w:rFonts w:ascii="Cambria" w:eastAsia="Times New Roman" w:hAnsi="Cambria" w:cs="Calibri"/>
                <w:color w:val="000000"/>
              </w:rPr>
              <w:t> </w:t>
            </w:r>
          </w:p>
        </w:tc>
        <w:tc>
          <w:tcPr>
            <w:tcW w:w="415" w:type="pct"/>
            <w:noWrap/>
            <w:hideMark/>
          </w:tcPr>
          <w:p w:rsidR="00B360AB" w:rsidRPr="00497F5B" w:rsidRDefault="00B360AB" w:rsidP="00CA5B96">
            <w:pPr>
              <w:spacing w:after="0" w:line="240" w:lineRule="auto"/>
              <w:rPr>
                <w:rFonts w:ascii="Cambria" w:eastAsia="Times New Roman" w:hAnsi="Cambria" w:cs="Calibri"/>
                <w:color w:val="000000"/>
              </w:rPr>
            </w:pPr>
            <w:r w:rsidRPr="00497F5B">
              <w:rPr>
                <w:rFonts w:ascii="Cambria" w:eastAsia="Times New Roman" w:hAnsi="Cambria" w:cs="Calibri"/>
                <w:color w:val="000000"/>
              </w:rPr>
              <w:t> </w:t>
            </w:r>
          </w:p>
        </w:tc>
      </w:tr>
      <w:tr w:rsidR="00B360AB" w:rsidRPr="00497F5B" w:rsidTr="00CA5B96">
        <w:trPr>
          <w:trHeight w:val="144"/>
        </w:trPr>
        <w:tc>
          <w:tcPr>
            <w:tcW w:w="3340" w:type="pct"/>
            <w:noWrap/>
            <w:hideMark/>
          </w:tcPr>
          <w:p w:rsidR="00B360AB" w:rsidRPr="00497F5B" w:rsidRDefault="00B360AB" w:rsidP="00CA5B96">
            <w:pPr>
              <w:spacing w:after="0" w:line="240" w:lineRule="auto"/>
              <w:rPr>
                <w:rFonts w:eastAsia="Times New Roman"/>
                <w:color w:val="000000"/>
                <w:szCs w:val="24"/>
              </w:rPr>
            </w:pPr>
            <w:r w:rsidRPr="00497F5B">
              <w:rPr>
                <w:rFonts w:eastAsia="Times New Roman"/>
                <w:color w:val="000000"/>
                <w:szCs w:val="24"/>
              </w:rPr>
              <w:t xml:space="preserve">    Additional </w:t>
            </w:r>
            <w:r w:rsidR="008E1191">
              <w:rPr>
                <w:rFonts w:eastAsia="Times New Roman"/>
                <w:color w:val="000000"/>
                <w:szCs w:val="24"/>
              </w:rPr>
              <w:t>Public</w:t>
            </w:r>
            <w:r w:rsidRPr="00497F5B">
              <w:rPr>
                <w:rFonts w:eastAsia="Times New Roman"/>
                <w:color w:val="000000"/>
                <w:szCs w:val="24"/>
              </w:rPr>
              <w:t xml:space="preserve"> Investment</w:t>
            </w:r>
          </w:p>
        </w:tc>
        <w:tc>
          <w:tcPr>
            <w:tcW w:w="415" w:type="pct"/>
            <w:noWrap/>
            <w:hideMark/>
          </w:tcPr>
          <w:p w:rsidR="00B360AB" w:rsidRPr="00497F5B" w:rsidRDefault="00B360AB" w:rsidP="00CA5B96">
            <w:pPr>
              <w:spacing w:after="0" w:line="240" w:lineRule="auto"/>
              <w:jc w:val="right"/>
              <w:rPr>
                <w:rFonts w:eastAsia="Times New Roman" w:cs="Calibri"/>
                <w:color w:val="000000"/>
              </w:rPr>
            </w:pPr>
            <w:r w:rsidRPr="00497F5B">
              <w:rPr>
                <w:rFonts w:eastAsia="Times New Roman" w:cs="Calibri"/>
                <w:color w:val="000000"/>
              </w:rPr>
              <w:t>--</w:t>
            </w:r>
          </w:p>
        </w:tc>
        <w:tc>
          <w:tcPr>
            <w:tcW w:w="415" w:type="pct"/>
            <w:noWrap/>
            <w:hideMark/>
          </w:tcPr>
          <w:p w:rsidR="00B360AB" w:rsidRPr="00497F5B" w:rsidRDefault="00B360AB" w:rsidP="0068440C">
            <w:pPr>
              <w:spacing w:after="0" w:line="240" w:lineRule="auto"/>
              <w:jc w:val="right"/>
              <w:rPr>
                <w:rFonts w:eastAsia="Times New Roman"/>
                <w:color w:val="000000"/>
                <w:szCs w:val="24"/>
              </w:rPr>
            </w:pPr>
            <w:r w:rsidRPr="00497F5B">
              <w:rPr>
                <w:rFonts w:eastAsia="Times New Roman"/>
                <w:color w:val="000000"/>
                <w:szCs w:val="24"/>
              </w:rPr>
              <w:t>0.</w:t>
            </w:r>
            <w:r w:rsidR="0068440C">
              <w:rPr>
                <w:rFonts w:eastAsia="Times New Roman"/>
                <w:color w:val="000000"/>
                <w:szCs w:val="24"/>
              </w:rPr>
              <w:t>5</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0.7</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0.7</w:t>
            </w:r>
          </w:p>
        </w:tc>
      </w:tr>
      <w:tr w:rsidR="00B360AB" w:rsidRPr="00497F5B" w:rsidTr="00CA5B96">
        <w:trPr>
          <w:trHeight w:val="144"/>
        </w:trPr>
        <w:tc>
          <w:tcPr>
            <w:tcW w:w="3340" w:type="pct"/>
            <w:noWrap/>
            <w:hideMark/>
          </w:tcPr>
          <w:p w:rsidR="00B360AB" w:rsidRPr="00497F5B" w:rsidRDefault="00B360AB" w:rsidP="00CA5B96">
            <w:pPr>
              <w:spacing w:after="0" w:line="240" w:lineRule="auto"/>
              <w:rPr>
                <w:rFonts w:eastAsia="Times New Roman"/>
                <w:color w:val="000000"/>
                <w:szCs w:val="24"/>
              </w:rPr>
            </w:pPr>
            <w:r w:rsidRPr="00497F5B">
              <w:rPr>
                <w:rFonts w:eastAsia="Times New Roman"/>
                <w:color w:val="000000"/>
                <w:szCs w:val="24"/>
              </w:rPr>
              <w:t xml:space="preserve">    </w:t>
            </w:r>
            <w:r w:rsidR="008B7627">
              <w:rPr>
                <w:rFonts w:eastAsia="Times New Roman"/>
                <w:color w:val="000000"/>
                <w:szCs w:val="24"/>
              </w:rPr>
              <w:t>Public</w:t>
            </w:r>
            <w:r w:rsidRPr="00497F5B">
              <w:rPr>
                <w:rFonts w:eastAsia="Times New Roman"/>
                <w:color w:val="000000"/>
                <w:szCs w:val="24"/>
              </w:rPr>
              <w:t xml:space="preserve"> Investment (Baseline)</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0.8</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0.8</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0.8</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0.8</w:t>
            </w:r>
          </w:p>
        </w:tc>
      </w:tr>
      <w:tr w:rsidR="00B360AB" w:rsidRPr="00497F5B" w:rsidTr="00CA5B96">
        <w:trPr>
          <w:trHeight w:val="144"/>
        </w:trPr>
        <w:tc>
          <w:tcPr>
            <w:tcW w:w="3340" w:type="pct"/>
            <w:noWrap/>
            <w:hideMark/>
          </w:tcPr>
          <w:p w:rsidR="00B360AB" w:rsidRPr="00497F5B" w:rsidRDefault="00B360AB" w:rsidP="00CA5B96">
            <w:pPr>
              <w:spacing w:after="0" w:line="240" w:lineRule="auto"/>
              <w:rPr>
                <w:rFonts w:eastAsia="Times New Roman"/>
                <w:color w:val="000000"/>
                <w:szCs w:val="24"/>
              </w:rPr>
            </w:pPr>
            <w:r w:rsidRPr="00497F5B">
              <w:rPr>
                <w:rFonts w:eastAsia="Times New Roman"/>
                <w:color w:val="000000"/>
                <w:szCs w:val="24"/>
              </w:rPr>
              <w:t xml:space="preserve">    Total </w:t>
            </w:r>
            <w:r w:rsidR="008B7627">
              <w:rPr>
                <w:rFonts w:eastAsia="Times New Roman"/>
                <w:color w:val="000000"/>
                <w:szCs w:val="24"/>
              </w:rPr>
              <w:t>Public</w:t>
            </w:r>
            <w:r w:rsidRPr="00497F5B">
              <w:rPr>
                <w:rFonts w:eastAsia="Times New Roman"/>
                <w:color w:val="000000"/>
                <w:szCs w:val="24"/>
              </w:rPr>
              <w:t xml:space="preserve"> Investment (Water</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0.8</w:t>
            </w:r>
          </w:p>
        </w:tc>
        <w:tc>
          <w:tcPr>
            <w:tcW w:w="415" w:type="pct"/>
            <w:noWrap/>
            <w:hideMark/>
          </w:tcPr>
          <w:p w:rsidR="00B360AB" w:rsidRPr="00497F5B" w:rsidRDefault="0068440C" w:rsidP="0068440C">
            <w:pPr>
              <w:spacing w:after="0" w:line="240" w:lineRule="auto"/>
              <w:jc w:val="right"/>
              <w:rPr>
                <w:rFonts w:eastAsia="Times New Roman"/>
                <w:color w:val="000000"/>
                <w:szCs w:val="24"/>
              </w:rPr>
            </w:pPr>
            <w:r>
              <w:rPr>
                <w:rFonts w:eastAsia="Times New Roman"/>
                <w:color w:val="000000"/>
                <w:szCs w:val="24"/>
              </w:rPr>
              <w:t>1.3</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1.5</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1.5</w:t>
            </w:r>
          </w:p>
        </w:tc>
      </w:tr>
      <w:tr w:rsidR="00B360AB" w:rsidRPr="00497F5B" w:rsidTr="00CA5B96">
        <w:trPr>
          <w:trHeight w:val="144"/>
        </w:trPr>
        <w:tc>
          <w:tcPr>
            <w:tcW w:w="3340" w:type="pct"/>
            <w:noWrap/>
            <w:hideMark/>
          </w:tcPr>
          <w:p w:rsidR="00B360AB" w:rsidRPr="00497F5B" w:rsidRDefault="00B360AB" w:rsidP="00CA5B96">
            <w:pPr>
              <w:spacing w:after="0" w:line="240" w:lineRule="auto"/>
              <w:rPr>
                <w:rFonts w:eastAsia="Times New Roman"/>
                <w:color w:val="000000"/>
                <w:szCs w:val="24"/>
              </w:rPr>
            </w:pPr>
            <w:r w:rsidRPr="00497F5B">
              <w:rPr>
                <w:rFonts w:eastAsia="Times New Roman"/>
                <w:color w:val="000000"/>
                <w:szCs w:val="24"/>
              </w:rPr>
              <w:t xml:space="preserve">    Maintenance cost (Recurrent Budget)</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0.3</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0.5</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0.5</w:t>
            </w:r>
          </w:p>
        </w:tc>
      </w:tr>
      <w:tr w:rsidR="00B360AB" w:rsidRPr="00497F5B" w:rsidTr="00CA5B96">
        <w:trPr>
          <w:trHeight w:val="144"/>
        </w:trPr>
        <w:tc>
          <w:tcPr>
            <w:tcW w:w="3340" w:type="pct"/>
            <w:noWrap/>
            <w:hideMark/>
          </w:tcPr>
          <w:p w:rsidR="00B360AB" w:rsidRPr="00497F5B" w:rsidRDefault="00B360AB" w:rsidP="00CA5B96">
            <w:pPr>
              <w:spacing w:after="0" w:line="240" w:lineRule="auto"/>
              <w:rPr>
                <w:rFonts w:eastAsia="Times New Roman"/>
                <w:color w:val="000000"/>
                <w:szCs w:val="24"/>
              </w:rPr>
            </w:pPr>
            <w:r w:rsidRPr="00497F5B">
              <w:rPr>
                <w:rFonts w:eastAsia="Times New Roman"/>
                <w:color w:val="000000"/>
                <w:szCs w:val="24"/>
              </w:rPr>
              <w:t xml:space="preserve">    Private Investment</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0.2</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0.5</w:t>
            </w:r>
          </w:p>
        </w:tc>
        <w:tc>
          <w:tcPr>
            <w:tcW w:w="415" w:type="pct"/>
            <w:noWrap/>
            <w:hideMark/>
          </w:tcPr>
          <w:p w:rsidR="00B360AB" w:rsidRPr="00497F5B" w:rsidRDefault="00B360AB" w:rsidP="00CA5B96">
            <w:pPr>
              <w:spacing w:after="0" w:line="240" w:lineRule="auto"/>
              <w:jc w:val="right"/>
              <w:rPr>
                <w:rFonts w:eastAsia="Times New Roman"/>
                <w:color w:val="000000"/>
                <w:szCs w:val="24"/>
              </w:rPr>
            </w:pPr>
            <w:r w:rsidRPr="00497F5B">
              <w:rPr>
                <w:rFonts w:eastAsia="Times New Roman"/>
                <w:color w:val="000000"/>
                <w:szCs w:val="24"/>
              </w:rPr>
              <w:t>0.5</w:t>
            </w:r>
          </w:p>
        </w:tc>
      </w:tr>
    </w:tbl>
    <w:p w:rsidR="00B360AB" w:rsidRPr="0092456C" w:rsidRDefault="00EF61D0" w:rsidP="00B360AB">
      <w:pPr>
        <w:spacing w:before="120"/>
        <w:rPr>
          <w:b/>
          <w:i/>
          <w:sz w:val="20"/>
        </w:rPr>
      </w:pPr>
      <w:r>
        <w:rPr>
          <w:b/>
          <w:i/>
          <w:sz w:val="20"/>
        </w:rPr>
        <w:t>Source: GED</w:t>
      </w:r>
      <w:r w:rsidR="00B360AB" w:rsidRPr="0092456C">
        <w:rPr>
          <w:b/>
          <w:i/>
          <w:sz w:val="20"/>
        </w:rPr>
        <w:t xml:space="preserve"> Projections</w:t>
      </w:r>
    </w:p>
    <w:p w:rsidR="00B360AB" w:rsidRDefault="00B360AB" w:rsidP="00B360AB">
      <w:pPr>
        <w:spacing w:line="276" w:lineRule="auto"/>
        <w:jc w:val="both"/>
        <w:rPr>
          <w:szCs w:val="16"/>
        </w:rPr>
      </w:pPr>
      <w:r>
        <w:rPr>
          <w:szCs w:val="16"/>
        </w:rPr>
        <w:t xml:space="preserve">Accommodating this size of investment (about 2.5% of GDP) in the government budget will not be an easy task, despite the envisaged increase in the overall size of the government (as measured in terms of spending).  Out of the 2.5% of GDP, only about 0.8% of GDP is currently accommodated in the budget. We believe that about 0.5% of GDP will be needed to maintain properly the existing investments in the water sector. </w:t>
      </w:r>
      <w:r w:rsidRPr="004B0A08">
        <w:rPr>
          <w:i/>
          <w:szCs w:val="16"/>
        </w:rPr>
        <w:t>At present operations and maintenance (O&amp;M) is the most neglected part of water sector spending and in most cases once existing embankments/polders are near the point of collapse projects rare undertaken to rehabilitate those infrastructures th</w:t>
      </w:r>
      <w:r w:rsidR="00EF61D0" w:rsidRPr="004B0A08">
        <w:rPr>
          <w:i/>
          <w:szCs w:val="16"/>
        </w:rPr>
        <w:t>rough ADP</w:t>
      </w:r>
      <w:r w:rsidR="00EF61D0">
        <w:rPr>
          <w:szCs w:val="16"/>
        </w:rPr>
        <w:t>. Primary focus of water investments</w:t>
      </w:r>
      <w:r>
        <w:rPr>
          <w:szCs w:val="16"/>
        </w:rPr>
        <w:t xml:space="preserve"> is on undertaking new </w:t>
      </w:r>
      <w:r>
        <w:rPr>
          <w:szCs w:val="16"/>
        </w:rPr>
        <w:lastRenderedPageBreak/>
        <w:t>projects or rehabilitation of old projects while not paying much attention to regular maintenance of existing facilities. Thus</w:t>
      </w:r>
      <w:r w:rsidR="00EF61D0">
        <w:rPr>
          <w:szCs w:val="16"/>
        </w:rPr>
        <w:t>,</w:t>
      </w:r>
      <w:r>
        <w:rPr>
          <w:szCs w:val="16"/>
        </w:rPr>
        <w:t xml:space="preserve"> explicit provision has been mad</w:t>
      </w:r>
      <w:r w:rsidR="00EF61D0">
        <w:rPr>
          <w:szCs w:val="16"/>
        </w:rPr>
        <w:t>e for O&amp;M</w:t>
      </w:r>
      <w:r>
        <w:rPr>
          <w:szCs w:val="16"/>
        </w:rPr>
        <w:t xml:space="preserve"> of water related projects in the </w:t>
      </w:r>
      <w:r w:rsidR="0068440C">
        <w:rPr>
          <w:szCs w:val="16"/>
        </w:rPr>
        <w:t xml:space="preserve">BDP2100 IP </w:t>
      </w:r>
      <w:r>
        <w:rPr>
          <w:szCs w:val="16"/>
        </w:rPr>
        <w:t xml:space="preserve">and administrative arrangements will also be made through </w:t>
      </w:r>
      <w:r w:rsidR="00EF61D0">
        <w:rPr>
          <w:szCs w:val="16"/>
        </w:rPr>
        <w:t>proper restructuring of the water governance</w:t>
      </w:r>
      <w:r>
        <w:rPr>
          <w:szCs w:val="16"/>
        </w:rPr>
        <w:t xml:space="preserve"> to ensure appropriate focus on O&amp;M of existing and future projects with a view to extending their productive life and enhancing operational efficiency of all existing and new projects.</w:t>
      </w:r>
    </w:p>
    <w:p w:rsidR="00B360AB" w:rsidRDefault="00B360AB" w:rsidP="00B360AB">
      <w:pPr>
        <w:spacing w:line="276" w:lineRule="auto"/>
        <w:jc w:val="both"/>
        <w:rPr>
          <w:szCs w:val="16"/>
        </w:rPr>
      </w:pPr>
      <w:r w:rsidRPr="004B0A08">
        <w:rPr>
          <w:i/>
          <w:szCs w:val="16"/>
        </w:rPr>
        <w:t>Although the overall budget size will increase by about 10 percentage points to reach 25% of GDP by FY</w:t>
      </w:r>
      <w:r w:rsidR="00EF61D0" w:rsidRPr="004B0A08">
        <w:rPr>
          <w:i/>
          <w:szCs w:val="16"/>
        </w:rPr>
        <w:t>20</w:t>
      </w:r>
      <w:r w:rsidRPr="004B0A08">
        <w:rPr>
          <w:i/>
          <w:szCs w:val="16"/>
        </w:rPr>
        <w:t>31</w:t>
      </w:r>
      <w:r>
        <w:rPr>
          <w:szCs w:val="16"/>
        </w:rPr>
        <w:t xml:space="preserve"> there will be strong pressures for increased resource allocation for various social sectors like education, health and social protection (Figure 11.2). In particular, consisten</w:t>
      </w:r>
      <w:r w:rsidR="00EF61D0">
        <w:rPr>
          <w:szCs w:val="16"/>
        </w:rPr>
        <w:t xml:space="preserve">t with the thrust given in the Seventh </w:t>
      </w:r>
      <w:r>
        <w:rPr>
          <w:szCs w:val="16"/>
        </w:rPr>
        <w:t>FYP, allocations for education, health and social expenditure will be almost doubled in relation GDP. Significantly increased budgetary allocations t</w:t>
      </w:r>
      <w:r w:rsidR="00EF61D0">
        <w:rPr>
          <w:szCs w:val="16"/>
        </w:rPr>
        <w:t>hrough ADP (excluding DIP</w:t>
      </w:r>
      <w:r>
        <w:rPr>
          <w:szCs w:val="16"/>
        </w:rPr>
        <w:t xml:space="preserve">) will also be needed for infrastructure investment in power, highways/roads and bridges, and railways. Although there may be some scope for involving the private sector for some of the </w:t>
      </w:r>
      <w:r w:rsidR="0068440C">
        <w:rPr>
          <w:szCs w:val="16"/>
        </w:rPr>
        <w:t>BDP2100 IP</w:t>
      </w:r>
      <w:r>
        <w:rPr>
          <w:szCs w:val="16"/>
        </w:rPr>
        <w:t xml:space="preserve"> projects, it is also true that </w:t>
      </w:r>
      <w:r w:rsidR="0068440C">
        <w:rPr>
          <w:szCs w:val="16"/>
        </w:rPr>
        <w:t xml:space="preserve">BDP2100 IP </w:t>
      </w:r>
      <w:r>
        <w:rPr>
          <w:szCs w:val="16"/>
        </w:rPr>
        <w:t xml:space="preserve">related expenditure would need to be mostly funded through the budget. </w:t>
      </w:r>
    </w:p>
    <w:p w:rsidR="00B360AB" w:rsidRPr="00AB239E" w:rsidRDefault="00B360AB" w:rsidP="00B360AB">
      <w:pPr>
        <w:pStyle w:val="Heading5"/>
      </w:pPr>
      <w:bookmarkStart w:id="803" w:name="_Toc460497195"/>
      <w:bookmarkStart w:id="804" w:name="_Toc474639218"/>
      <w:r>
        <w:t>Figure 11.2</w:t>
      </w:r>
      <w:r w:rsidRPr="00AB239E">
        <w:t xml:space="preserve">: </w:t>
      </w:r>
      <w:r w:rsidR="008B7627">
        <w:t>Public</w:t>
      </w:r>
      <w:r w:rsidR="00547F61">
        <w:t xml:space="preserve"> </w:t>
      </w:r>
      <w:r w:rsidRPr="00AB239E">
        <w:t>E</w:t>
      </w:r>
      <w:r w:rsidR="00547F61">
        <w:t>xpenditure Composition in Delta</w:t>
      </w:r>
      <w:r w:rsidR="00EF61D0">
        <w:t xml:space="preserve"> </w:t>
      </w:r>
      <w:r w:rsidRPr="00AB239E">
        <w:t>Plan</w:t>
      </w:r>
      <w:bookmarkEnd w:id="803"/>
      <w:r w:rsidR="00547F61">
        <w:t xml:space="preserve"> Policy Option</w:t>
      </w:r>
      <w:bookmarkEnd w:id="804"/>
    </w:p>
    <w:p w:rsidR="00B360AB" w:rsidRPr="00BC399F" w:rsidRDefault="00B360AB" w:rsidP="00B360AB">
      <w:pPr>
        <w:spacing w:after="120"/>
        <w:jc w:val="center"/>
      </w:pPr>
      <w:r>
        <w:rPr>
          <w:noProof/>
          <w:lang w:val="en-AU" w:eastAsia="en-AU" w:bidi="bn-BD"/>
        </w:rPr>
        <w:drawing>
          <wp:inline distT="0" distB="0" distL="0" distR="0">
            <wp:extent cx="5428615" cy="2875915"/>
            <wp:effectExtent l="0" t="0" r="635" b="63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8615" cy="2875915"/>
                    </a:xfrm>
                    <a:prstGeom prst="rect">
                      <a:avLst/>
                    </a:prstGeom>
                    <a:noFill/>
                  </pic:spPr>
                </pic:pic>
              </a:graphicData>
            </a:graphic>
          </wp:inline>
        </w:drawing>
      </w:r>
    </w:p>
    <w:p w:rsidR="00B360AB" w:rsidRPr="00045B6E" w:rsidRDefault="001A3E66" w:rsidP="00B360AB">
      <w:pPr>
        <w:spacing w:line="276" w:lineRule="auto"/>
        <w:ind w:firstLine="720"/>
        <w:rPr>
          <w:b/>
          <w:i/>
          <w:sz w:val="20"/>
          <w:szCs w:val="16"/>
        </w:rPr>
      </w:pPr>
      <w:r>
        <w:rPr>
          <w:b/>
          <w:i/>
          <w:sz w:val="20"/>
          <w:szCs w:val="16"/>
        </w:rPr>
        <w:t>Source: GED</w:t>
      </w:r>
      <w:r w:rsidR="00B360AB">
        <w:rPr>
          <w:b/>
          <w:i/>
          <w:sz w:val="20"/>
          <w:szCs w:val="16"/>
        </w:rPr>
        <w:t xml:space="preserve"> Projections</w:t>
      </w:r>
    </w:p>
    <w:p w:rsidR="00B360AB" w:rsidRDefault="00B360AB" w:rsidP="00B360AB">
      <w:pPr>
        <w:spacing w:line="276" w:lineRule="auto"/>
        <w:jc w:val="both"/>
        <w:rPr>
          <w:szCs w:val="16"/>
        </w:rPr>
      </w:pPr>
      <w:r>
        <w:rPr>
          <w:szCs w:val="16"/>
        </w:rPr>
        <w:t>Based on thes</w:t>
      </w:r>
      <w:r w:rsidR="00EF61D0">
        <w:rPr>
          <w:szCs w:val="16"/>
        </w:rPr>
        <w:t xml:space="preserve">e considerations, the </w:t>
      </w:r>
      <w:r w:rsidR="0068440C">
        <w:rPr>
          <w:szCs w:val="16"/>
        </w:rPr>
        <w:t>BDP2100 IP</w:t>
      </w:r>
      <w:r>
        <w:rPr>
          <w:szCs w:val="16"/>
        </w:rPr>
        <w:t xml:space="preserve"> envisages that out of the total 2.5% of GDP required, some 0.5% of GDP could be funded by the private sector under various initiatives discussed below and about 2% of GDP would need to be executed through the </w:t>
      </w:r>
      <w:r w:rsidR="008B7627">
        <w:rPr>
          <w:szCs w:val="16"/>
        </w:rPr>
        <w:t>public</w:t>
      </w:r>
      <w:r>
        <w:rPr>
          <w:szCs w:val="16"/>
        </w:rPr>
        <w:t xml:space="preserve"> sector. Out of this 2% of GDP financed from the Budget, about 0.5% of GDP would need to be spent on O&amp;M activities and the remaining 1.5% of GDP should come under the D</w:t>
      </w:r>
      <w:r w:rsidR="00EF61D0">
        <w:rPr>
          <w:szCs w:val="16"/>
        </w:rPr>
        <w:t>IP</w:t>
      </w:r>
      <w:r>
        <w:rPr>
          <w:szCs w:val="16"/>
        </w:rPr>
        <w:t xml:space="preserve">. It may be noted that at present O&amp;M is very much neglected and the actual amount may not even be more than </w:t>
      </w:r>
      <w:r>
        <w:rPr>
          <w:szCs w:val="16"/>
        </w:rPr>
        <w:lastRenderedPageBreak/>
        <w:t xml:space="preserve">0.1% of GDP.  The practice of not maintaining delta related investment leads to rapid deterioration in the quality of infrastructure and leading to complete rebuilding of the same at much higher costs. Thus, for quality maintenance of new and old infrastructure, dedicated funds will be made available in the amount of about 0.5% of GDP under the </w:t>
      </w:r>
      <w:r w:rsidR="0068440C">
        <w:rPr>
          <w:szCs w:val="16"/>
        </w:rPr>
        <w:t>BDP2100 IP</w:t>
      </w:r>
      <w:r>
        <w:rPr>
          <w:szCs w:val="16"/>
        </w:rPr>
        <w:t xml:space="preserve"> over time. This component of </w:t>
      </w:r>
      <w:r w:rsidR="0068440C">
        <w:rPr>
          <w:szCs w:val="16"/>
        </w:rPr>
        <w:t>BDP2100 IP</w:t>
      </w:r>
      <w:r>
        <w:rPr>
          <w:szCs w:val="16"/>
        </w:rPr>
        <w:t xml:space="preserve"> spending will come under the recurrent budget of the national government. </w:t>
      </w:r>
    </w:p>
    <w:p w:rsidR="00B360AB" w:rsidRDefault="00B360AB" w:rsidP="00B360AB">
      <w:pPr>
        <w:spacing w:line="276" w:lineRule="auto"/>
        <w:jc w:val="both"/>
        <w:rPr>
          <w:szCs w:val="16"/>
        </w:rPr>
      </w:pPr>
      <w:r>
        <w:rPr>
          <w:szCs w:val="16"/>
        </w:rPr>
        <w:t>Currently about 0.</w:t>
      </w:r>
      <w:r w:rsidR="0068440C">
        <w:rPr>
          <w:szCs w:val="16"/>
        </w:rPr>
        <w:t>8</w:t>
      </w:r>
      <w:r>
        <w:rPr>
          <w:szCs w:val="16"/>
        </w:rPr>
        <w:t xml:space="preserve">% of GDP is spent on water related projects which is a part of the ADP and may be considered as a part of the DIP. This amount will more than double in relation to GDP to 1.5% of GDP under the </w:t>
      </w:r>
      <w:r w:rsidR="0068440C">
        <w:rPr>
          <w:szCs w:val="16"/>
        </w:rPr>
        <w:t>BDP2100 IP</w:t>
      </w:r>
      <w:r>
        <w:rPr>
          <w:szCs w:val="16"/>
        </w:rPr>
        <w:t xml:space="preserve"> by FY</w:t>
      </w:r>
      <w:r w:rsidR="00EF61D0">
        <w:rPr>
          <w:szCs w:val="16"/>
        </w:rPr>
        <w:t>20</w:t>
      </w:r>
      <w:r>
        <w:rPr>
          <w:szCs w:val="16"/>
        </w:rPr>
        <w:t xml:space="preserve">25 and sustained at this elevated level thereafter. Allocations for O&amp;M must also increase significantly to ensure proper O&amp;M of existing and future projects. The increased allocation for O&amp;M under the DP should be part of the recurrent expenditure or Revenue Budget and should be financed entirely out of government’s internally mobilized resources. </w:t>
      </w:r>
      <w:r w:rsidRPr="004B0A08">
        <w:rPr>
          <w:i/>
          <w:szCs w:val="16"/>
        </w:rPr>
        <w:t xml:space="preserve">Fiscal sustainability requires that all recurrent outlays including O&amp;M spending should be part of recurrent budget and not to be funded through </w:t>
      </w:r>
      <w:r w:rsidR="008B7627">
        <w:rPr>
          <w:i/>
          <w:szCs w:val="16"/>
        </w:rPr>
        <w:t>public</w:t>
      </w:r>
      <w:r w:rsidRPr="004B0A08">
        <w:rPr>
          <w:i/>
          <w:szCs w:val="16"/>
        </w:rPr>
        <w:t xml:space="preserve"> borrowing</w:t>
      </w:r>
      <w:r>
        <w:rPr>
          <w:szCs w:val="16"/>
        </w:rPr>
        <w:t xml:space="preserve">. </w:t>
      </w:r>
    </w:p>
    <w:p w:rsidR="00B360AB" w:rsidRPr="00045B6E" w:rsidRDefault="00B360AB" w:rsidP="00B360AB">
      <w:pPr>
        <w:pStyle w:val="Heading5"/>
      </w:pPr>
      <w:bookmarkStart w:id="805" w:name="_Toc460497196"/>
      <w:bookmarkStart w:id="806" w:name="_Toc474639219"/>
      <w:r>
        <w:t>Figure 11.3</w:t>
      </w:r>
      <w:r w:rsidRPr="00045B6E">
        <w:t xml:space="preserve">: Sources of Delta </w:t>
      </w:r>
      <w:r w:rsidR="004611CE">
        <w:t xml:space="preserve">Plan </w:t>
      </w:r>
      <w:r w:rsidRPr="00045B6E">
        <w:t>Investment</w:t>
      </w:r>
      <w:r w:rsidR="00EF61D0">
        <w:t>s</w:t>
      </w:r>
      <w:r>
        <w:t xml:space="preserve"> (% of GDP)</w:t>
      </w:r>
      <w:bookmarkEnd w:id="805"/>
      <w:bookmarkEnd w:id="806"/>
    </w:p>
    <w:p w:rsidR="00B360AB" w:rsidRPr="006030F3" w:rsidRDefault="00B360AB" w:rsidP="00B360AB">
      <w:pPr>
        <w:spacing w:after="120" w:line="276" w:lineRule="auto"/>
        <w:jc w:val="center"/>
        <w:rPr>
          <w:color w:val="C00000"/>
          <w:szCs w:val="16"/>
        </w:rPr>
      </w:pPr>
      <w:r>
        <w:rPr>
          <w:noProof/>
          <w:color w:val="C00000"/>
          <w:szCs w:val="16"/>
          <w:lang w:val="en-AU" w:eastAsia="en-AU" w:bidi="bn-BD"/>
        </w:rPr>
        <w:drawing>
          <wp:inline distT="0" distB="0" distL="0" distR="0">
            <wp:extent cx="5361940" cy="28473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1940" cy="2847340"/>
                    </a:xfrm>
                    <a:prstGeom prst="rect">
                      <a:avLst/>
                    </a:prstGeom>
                    <a:noFill/>
                  </pic:spPr>
                </pic:pic>
              </a:graphicData>
            </a:graphic>
          </wp:inline>
        </w:drawing>
      </w:r>
    </w:p>
    <w:p w:rsidR="00B360AB" w:rsidRPr="00045B6E" w:rsidRDefault="00EF61D0" w:rsidP="00B360AB">
      <w:pPr>
        <w:spacing w:line="276" w:lineRule="auto"/>
        <w:ind w:firstLine="360"/>
        <w:jc w:val="both"/>
        <w:rPr>
          <w:b/>
          <w:i/>
          <w:sz w:val="20"/>
          <w:szCs w:val="16"/>
        </w:rPr>
      </w:pPr>
      <w:r>
        <w:rPr>
          <w:b/>
          <w:i/>
          <w:sz w:val="20"/>
          <w:szCs w:val="16"/>
        </w:rPr>
        <w:t>Source: GED</w:t>
      </w:r>
      <w:r w:rsidR="00B360AB">
        <w:rPr>
          <w:b/>
          <w:i/>
          <w:sz w:val="20"/>
          <w:szCs w:val="16"/>
        </w:rPr>
        <w:t xml:space="preserve"> Projections</w:t>
      </w:r>
    </w:p>
    <w:p w:rsidR="00B360AB" w:rsidRDefault="00B360AB" w:rsidP="00B360AB">
      <w:pPr>
        <w:spacing w:line="276" w:lineRule="auto"/>
        <w:jc w:val="both"/>
        <w:rPr>
          <w:szCs w:val="16"/>
        </w:rPr>
      </w:pPr>
      <w:r>
        <w:rPr>
          <w:szCs w:val="16"/>
        </w:rPr>
        <w:t>The fiscal framework prepared in the context of the Delta Plan and consistent with the 7FYP macroeconomic and fiscal framework, indicate that if properly executed the much higher level of D</w:t>
      </w:r>
      <w:r w:rsidR="00EF61D0">
        <w:rPr>
          <w:szCs w:val="16"/>
        </w:rPr>
        <w:t>I</w:t>
      </w:r>
      <w:r>
        <w:rPr>
          <w:szCs w:val="16"/>
        </w:rPr>
        <w:t>P spending can be accommodated within the revised macroeconomic and fiscal frameworks in a sustainable manner. The fiscal framework has been updated taking into account the fiscal outturns for FY</w:t>
      </w:r>
      <w:r w:rsidR="008B2C74">
        <w:rPr>
          <w:szCs w:val="16"/>
        </w:rPr>
        <w:t>20</w:t>
      </w:r>
      <w:r>
        <w:rPr>
          <w:szCs w:val="16"/>
        </w:rPr>
        <w:t>16, the first ye</w:t>
      </w:r>
      <w:r w:rsidR="00EF61D0">
        <w:rPr>
          <w:szCs w:val="16"/>
        </w:rPr>
        <w:t xml:space="preserve">ar of the </w:t>
      </w:r>
      <w:r w:rsidR="0068440C">
        <w:rPr>
          <w:szCs w:val="16"/>
        </w:rPr>
        <w:t>7</w:t>
      </w:r>
      <w:r w:rsidR="00EF61D0">
        <w:rPr>
          <w:szCs w:val="16"/>
        </w:rPr>
        <w:t>FYP</w:t>
      </w:r>
      <w:r>
        <w:rPr>
          <w:szCs w:val="16"/>
        </w:rPr>
        <w:t xml:space="preserve"> and the budget for FY</w:t>
      </w:r>
      <w:r w:rsidR="00EF61D0">
        <w:rPr>
          <w:szCs w:val="16"/>
        </w:rPr>
        <w:t>20</w:t>
      </w:r>
      <w:r>
        <w:rPr>
          <w:szCs w:val="16"/>
        </w:rPr>
        <w:t xml:space="preserve">17. The fiscal framework does not call for additional revenue mobilization since the revenue mobilization targets </w:t>
      </w:r>
      <w:r w:rsidR="008B2C74">
        <w:rPr>
          <w:szCs w:val="16"/>
        </w:rPr>
        <w:t xml:space="preserve">under the </w:t>
      </w:r>
      <w:r w:rsidR="0068440C">
        <w:rPr>
          <w:szCs w:val="16"/>
        </w:rPr>
        <w:t>7</w:t>
      </w:r>
      <w:r w:rsidR="008B2C74">
        <w:rPr>
          <w:szCs w:val="16"/>
        </w:rPr>
        <w:t>FYP</w:t>
      </w:r>
      <w:r>
        <w:rPr>
          <w:szCs w:val="16"/>
        </w:rPr>
        <w:t xml:space="preserve"> are already quite challenging. It also lowers both the revenue and </w:t>
      </w:r>
      <w:r>
        <w:rPr>
          <w:szCs w:val="16"/>
        </w:rPr>
        <w:lastRenderedPageBreak/>
        <w:t xml:space="preserve">expenditure targets </w:t>
      </w:r>
      <w:r w:rsidR="008B2C74">
        <w:rPr>
          <w:szCs w:val="16"/>
        </w:rPr>
        <w:t xml:space="preserve">under the </w:t>
      </w:r>
      <w:r w:rsidR="0068440C">
        <w:rPr>
          <w:szCs w:val="16"/>
        </w:rPr>
        <w:t>7</w:t>
      </w:r>
      <w:r w:rsidR="008B2C74">
        <w:rPr>
          <w:szCs w:val="16"/>
        </w:rPr>
        <w:t>FYP</w:t>
      </w:r>
      <w:r>
        <w:rPr>
          <w:szCs w:val="16"/>
        </w:rPr>
        <w:t xml:space="preserve"> in view of the shortfall in revenue experienced in FY</w:t>
      </w:r>
      <w:r w:rsidR="008B2C74">
        <w:rPr>
          <w:szCs w:val="16"/>
        </w:rPr>
        <w:t>20</w:t>
      </w:r>
      <w:r>
        <w:rPr>
          <w:szCs w:val="16"/>
        </w:rPr>
        <w:t xml:space="preserve">16 and the lower ADP spending due to slower implementation of projects. </w:t>
      </w:r>
    </w:p>
    <w:p w:rsidR="00B360AB" w:rsidRDefault="004611CE" w:rsidP="00B360AB">
      <w:pPr>
        <w:spacing w:line="276" w:lineRule="auto"/>
        <w:jc w:val="both"/>
        <w:rPr>
          <w:szCs w:val="16"/>
        </w:rPr>
      </w:pPr>
      <w:r>
        <w:rPr>
          <w:szCs w:val="16"/>
        </w:rPr>
        <w:t xml:space="preserve">The </w:t>
      </w:r>
      <w:r w:rsidR="008B2C74">
        <w:rPr>
          <w:szCs w:val="16"/>
        </w:rPr>
        <w:t>fiscal financing strategy</w:t>
      </w:r>
      <w:r w:rsidR="00B360AB">
        <w:rPr>
          <w:szCs w:val="16"/>
        </w:rPr>
        <w:t xml:space="preserve"> </w:t>
      </w:r>
      <w:r>
        <w:rPr>
          <w:szCs w:val="16"/>
        </w:rPr>
        <w:t xml:space="preserve">for </w:t>
      </w:r>
      <w:r w:rsidR="0068440C">
        <w:rPr>
          <w:szCs w:val="16"/>
        </w:rPr>
        <w:t>BDP2100 IP</w:t>
      </w:r>
      <w:r>
        <w:rPr>
          <w:szCs w:val="16"/>
        </w:rPr>
        <w:t xml:space="preserve"> </w:t>
      </w:r>
      <w:r w:rsidR="00B360AB">
        <w:rPr>
          <w:szCs w:val="16"/>
        </w:rPr>
        <w:t>envisages that all allocations for O&amp;M will be accommodated within the overall government budget for recurrent outlays (in the revenue budget). In the remaind</w:t>
      </w:r>
      <w:r w:rsidR="008B2C74">
        <w:rPr>
          <w:szCs w:val="16"/>
        </w:rPr>
        <w:t xml:space="preserve">er of the </w:t>
      </w:r>
      <w:r w:rsidR="0068440C">
        <w:rPr>
          <w:szCs w:val="16"/>
        </w:rPr>
        <w:t>7</w:t>
      </w:r>
      <w:r w:rsidR="008B2C74">
        <w:rPr>
          <w:szCs w:val="16"/>
        </w:rPr>
        <w:t>FYP</w:t>
      </w:r>
      <w:r w:rsidR="00B360AB">
        <w:rPr>
          <w:szCs w:val="16"/>
        </w:rPr>
        <w:t xml:space="preserve"> period, since the increase in revenue budget is envisaged to be 2.8 percentage points to 12.2 percent of GDP, the estimated 0.2 percent of GDP in additional O&amp;M spending can be accommodated within the growing size of the overall recurrent budget. Over the longer term (through FY</w:t>
      </w:r>
      <w:r w:rsidR="008B2C74">
        <w:rPr>
          <w:szCs w:val="16"/>
        </w:rPr>
        <w:t>20</w:t>
      </w:r>
      <w:r w:rsidR="00B360AB">
        <w:rPr>
          <w:szCs w:val="16"/>
        </w:rPr>
        <w:t>31), since the increase in revenue budget will be additional 6 percentage points to 15.4% of GDP by FY</w:t>
      </w:r>
      <w:r w:rsidR="008B2C74">
        <w:rPr>
          <w:szCs w:val="16"/>
        </w:rPr>
        <w:t>20</w:t>
      </w:r>
      <w:r w:rsidR="00B360AB">
        <w:rPr>
          <w:szCs w:val="16"/>
        </w:rPr>
        <w:t xml:space="preserve">31, it would be easier for the government to accommodate the 0.5% of </w:t>
      </w:r>
      <w:r w:rsidR="0068440C">
        <w:rPr>
          <w:szCs w:val="16"/>
        </w:rPr>
        <w:t>BDP2100 IP</w:t>
      </w:r>
      <w:r w:rsidR="00B360AB">
        <w:rPr>
          <w:szCs w:val="16"/>
        </w:rPr>
        <w:t xml:space="preserve"> related O&amp;M spending in the recurrent budget. </w:t>
      </w:r>
    </w:p>
    <w:p w:rsidR="001A3E66" w:rsidRDefault="001A3E66">
      <w:pPr>
        <w:rPr>
          <w:rFonts w:cs="Times New Roman"/>
          <w:b/>
          <w:bCs/>
          <w:szCs w:val="24"/>
        </w:rPr>
      </w:pPr>
      <w:bookmarkStart w:id="807" w:name="_Toc460497111"/>
      <w:r>
        <w:br w:type="page"/>
      </w:r>
    </w:p>
    <w:p w:rsidR="00B360AB" w:rsidRPr="001C6783" w:rsidRDefault="00B360AB" w:rsidP="00B360AB">
      <w:pPr>
        <w:pStyle w:val="Heading4"/>
      </w:pPr>
      <w:bookmarkStart w:id="808" w:name="_Toc474639136"/>
      <w:r>
        <w:lastRenderedPageBreak/>
        <w:t xml:space="preserve">Table 11.2: </w:t>
      </w:r>
      <w:r w:rsidRPr="001C6783">
        <w:t xml:space="preserve">Fiscal </w:t>
      </w:r>
      <w:r w:rsidR="004611CE">
        <w:t xml:space="preserve">Framework for </w:t>
      </w:r>
      <w:r w:rsidR="008B2C74">
        <w:t>Delta</w:t>
      </w:r>
      <w:r w:rsidR="004611CE">
        <w:t xml:space="preserve"> Investment Plan Financing</w:t>
      </w:r>
      <w:r w:rsidRPr="001C6783">
        <w:t>, FY</w:t>
      </w:r>
      <w:r w:rsidR="008B2C74">
        <w:t>20</w:t>
      </w:r>
      <w:r w:rsidR="004611CE">
        <w:t>16-</w:t>
      </w:r>
      <w:r w:rsidRPr="001C6783">
        <w:t xml:space="preserve"> </w:t>
      </w:r>
      <w:bookmarkEnd w:id="807"/>
      <w:r w:rsidRPr="001C6783">
        <w:t>FY</w:t>
      </w:r>
      <w:r w:rsidR="008B2C74">
        <w:t>20</w:t>
      </w:r>
      <w:r w:rsidRPr="001C6783">
        <w:t>3</w:t>
      </w:r>
      <w:r>
        <w:t>1</w:t>
      </w:r>
      <w:bookmarkEnd w:id="808"/>
    </w:p>
    <w:p w:rsidR="00B360AB" w:rsidRDefault="00B360AB" w:rsidP="00B360AB">
      <w:pPr>
        <w:spacing w:after="200" w:line="276" w:lineRule="auto"/>
        <w:jc w:val="center"/>
        <w:rPr>
          <w:szCs w:val="16"/>
        </w:rPr>
      </w:pPr>
      <w:r w:rsidRPr="0068307D">
        <w:rPr>
          <w:noProof/>
          <w:lang w:val="en-AU" w:eastAsia="en-AU" w:bidi="bn-BD"/>
        </w:rPr>
        <w:drawing>
          <wp:inline distT="0" distB="0" distL="0" distR="0">
            <wp:extent cx="6257925" cy="3990975"/>
            <wp:effectExtent l="0" t="0" r="9525"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8419" cy="3991290"/>
                    </a:xfrm>
                    <a:prstGeom prst="rect">
                      <a:avLst/>
                    </a:prstGeom>
                    <a:noFill/>
                    <a:ln>
                      <a:noFill/>
                    </a:ln>
                  </pic:spPr>
                </pic:pic>
              </a:graphicData>
            </a:graphic>
          </wp:inline>
        </w:drawing>
      </w:r>
    </w:p>
    <w:p w:rsidR="00B360AB" w:rsidRDefault="00B360AB" w:rsidP="00296E41">
      <w:pPr>
        <w:spacing w:line="276" w:lineRule="auto"/>
        <w:ind w:left="-576" w:firstLine="576"/>
        <w:rPr>
          <w:b/>
          <w:i/>
          <w:sz w:val="20"/>
          <w:szCs w:val="16"/>
        </w:rPr>
      </w:pPr>
      <w:r w:rsidRPr="006248DD">
        <w:rPr>
          <w:b/>
          <w:i/>
          <w:sz w:val="20"/>
          <w:szCs w:val="16"/>
        </w:rPr>
        <w:t xml:space="preserve">Source: </w:t>
      </w:r>
      <w:r w:rsidR="008B2C74">
        <w:rPr>
          <w:b/>
          <w:i/>
          <w:sz w:val="20"/>
          <w:szCs w:val="16"/>
        </w:rPr>
        <w:t>GED</w:t>
      </w:r>
      <w:r w:rsidRPr="006248DD">
        <w:rPr>
          <w:b/>
          <w:i/>
          <w:sz w:val="20"/>
          <w:szCs w:val="16"/>
        </w:rPr>
        <w:t xml:space="preserve"> Projections</w:t>
      </w:r>
    </w:p>
    <w:p w:rsidR="00B360AB" w:rsidRDefault="00B360AB" w:rsidP="00B360AB">
      <w:pPr>
        <w:spacing w:line="276" w:lineRule="auto"/>
        <w:jc w:val="both"/>
        <w:rPr>
          <w:szCs w:val="16"/>
        </w:rPr>
      </w:pPr>
      <w:r>
        <w:rPr>
          <w:szCs w:val="16"/>
        </w:rPr>
        <w:t xml:space="preserve">The </w:t>
      </w:r>
      <w:r w:rsidR="008B7627">
        <w:rPr>
          <w:szCs w:val="16"/>
        </w:rPr>
        <w:t>public</w:t>
      </w:r>
      <w:r>
        <w:rPr>
          <w:szCs w:val="16"/>
        </w:rPr>
        <w:t xml:space="preserve"> spending plan envisages </w:t>
      </w:r>
      <w:r w:rsidRPr="00C92456">
        <w:rPr>
          <w:b/>
          <w:szCs w:val="16"/>
        </w:rPr>
        <w:t xml:space="preserve">an additional </w:t>
      </w:r>
      <w:r w:rsidR="0068440C">
        <w:rPr>
          <w:szCs w:val="16"/>
        </w:rPr>
        <w:t>BDP2100 IP</w:t>
      </w:r>
      <w:r>
        <w:rPr>
          <w:b/>
          <w:szCs w:val="16"/>
        </w:rPr>
        <w:t xml:space="preserve"> related spending of up to 1.2</w:t>
      </w:r>
      <w:r w:rsidRPr="00C92456">
        <w:rPr>
          <w:b/>
          <w:szCs w:val="16"/>
        </w:rPr>
        <w:t xml:space="preserve"> percent of GDP over the long term</w:t>
      </w:r>
      <w:r>
        <w:rPr>
          <w:b/>
          <w:szCs w:val="16"/>
        </w:rPr>
        <w:t xml:space="preserve"> (FY</w:t>
      </w:r>
      <w:r w:rsidR="008B2C74">
        <w:rPr>
          <w:b/>
          <w:szCs w:val="16"/>
        </w:rPr>
        <w:t>20</w:t>
      </w:r>
      <w:r>
        <w:rPr>
          <w:b/>
          <w:szCs w:val="16"/>
        </w:rPr>
        <w:t>31)</w:t>
      </w:r>
      <w:r>
        <w:rPr>
          <w:szCs w:val="16"/>
        </w:rPr>
        <w:t xml:space="preserve"> since the amount that the government is currently spending (about 0.8 percent of GDP) on water management is not adequate for adaptation in the face of climate change and other environmental impacts. Some 0.5% of GDP will be for O&amp;M and will be included in the current spending plan of the government. Total </w:t>
      </w:r>
      <w:r w:rsidR="008B7627">
        <w:rPr>
          <w:szCs w:val="16"/>
        </w:rPr>
        <w:t>public</w:t>
      </w:r>
      <w:r>
        <w:rPr>
          <w:szCs w:val="16"/>
        </w:rPr>
        <w:t xml:space="preserve"> investment will accordingly increase by 0.7 percentage point to 9.6 percent of GDP. The envisage</w:t>
      </w:r>
      <w:r w:rsidR="008B2C74">
        <w:rPr>
          <w:szCs w:val="16"/>
        </w:rPr>
        <w:t>d</w:t>
      </w:r>
      <w:r>
        <w:rPr>
          <w:szCs w:val="16"/>
        </w:rPr>
        <w:t xml:space="preserve"> expansion of the size of </w:t>
      </w:r>
      <w:r w:rsidR="008B7627">
        <w:rPr>
          <w:szCs w:val="16"/>
        </w:rPr>
        <w:t xml:space="preserve"> public</w:t>
      </w:r>
      <w:r>
        <w:rPr>
          <w:szCs w:val="16"/>
        </w:rPr>
        <w:t xml:space="preserve"> investment over the mediumand long term will enable the government to undertake DIP spending without cutting the planned large scale infrastructure projects in the priority power and transport sectors. </w:t>
      </w:r>
    </w:p>
    <w:p w:rsidR="00B360AB" w:rsidRDefault="00B360AB" w:rsidP="00B360AB">
      <w:pPr>
        <w:spacing w:line="276" w:lineRule="auto"/>
        <w:jc w:val="both"/>
        <w:rPr>
          <w:szCs w:val="16"/>
        </w:rPr>
      </w:pPr>
      <w:r>
        <w:rPr>
          <w:szCs w:val="16"/>
        </w:rPr>
        <w:t>The financing plan for D</w:t>
      </w:r>
      <w:r w:rsidR="008B2C74">
        <w:rPr>
          <w:szCs w:val="16"/>
        </w:rPr>
        <w:t>I</w:t>
      </w:r>
      <w:r>
        <w:rPr>
          <w:szCs w:val="16"/>
        </w:rPr>
        <w:t xml:space="preserve">P related </w:t>
      </w:r>
      <w:r w:rsidR="008B7627">
        <w:rPr>
          <w:szCs w:val="16"/>
        </w:rPr>
        <w:t>public</w:t>
      </w:r>
      <w:r>
        <w:rPr>
          <w:szCs w:val="16"/>
        </w:rPr>
        <w:t xml:space="preserve"> sector spending amounting about 2% of GDP at its highest point will be financed along the lines outlined in Table 11.3. Since about 0.8 percent of GDP is already being financ</w:t>
      </w:r>
      <w:r w:rsidR="008B2C74">
        <w:rPr>
          <w:szCs w:val="16"/>
        </w:rPr>
        <w:t>ed out of the government budget;</w:t>
      </w:r>
      <w:r>
        <w:rPr>
          <w:szCs w:val="16"/>
        </w:rPr>
        <w:t xml:space="preserve"> </w:t>
      </w:r>
      <w:r w:rsidR="008B2C74">
        <w:rPr>
          <w:szCs w:val="16"/>
        </w:rPr>
        <w:t xml:space="preserve">so </w:t>
      </w:r>
      <w:r>
        <w:rPr>
          <w:szCs w:val="16"/>
        </w:rPr>
        <w:t>the required additional funding will amount to 1.2 percent of GDP. Expenditures related to O&amp;M</w:t>
      </w:r>
      <w:r w:rsidR="008B2C74">
        <w:rPr>
          <w:szCs w:val="16"/>
        </w:rPr>
        <w:t xml:space="preserve"> (0.5% of GDP)</w:t>
      </w:r>
      <w:r>
        <w:rPr>
          <w:szCs w:val="16"/>
        </w:rPr>
        <w:t xml:space="preserve">, would need to be financed out of the recurrent budget with domestic revenue to ensure sustainability of the whole operation and also recognizing the fact that development partners are generally not supportive of financing O&amp;M spending through donor funding. </w:t>
      </w:r>
      <w:r w:rsidR="008B2C74">
        <w:rPr>
          <w:szCs w:val="16"/>
        </w:rPr>
        <w:t xml:space="preserve">This leaves an </w:t>
      </w:r>
      <w:r w:rsidR="00F57172">
        <w:rPr>
          <w:szCs w:val="16"/>
        </w:rPr>
        <w:t>additional</w:t>
      </w:r>
      <w:r w:rsidR="008B2C74">
        <w:rPr>
          <w:szCs w:val="16"/>
        </w:rPr>
        <w:t xml:space="preserve"> 0.7 </w:t>
      </w:r>
      <w:r w:rsidR="008B2C74">
        <w:rPr>
          <w:szCs w:val="16"/>
        </w:rPr>
        <w:lastRenderedPageBreak/>
        <w:t>percent of GDP.  The financing strategy is that</w:t>
      </w:r>
      <w:r>
        <w:rPr>
          <w:szCs w:val="16"/>
        </w:rPr>
        <w:t xml:space="preserve"> </w:t>
      </w:r>
      <w:r w:rsidR="008B6F0C">
        <w:rPr>
          <w:szCs w:val="16"/>
        </w:rPr>
        <w:t xml:space="preserve">additional </w:t>
      </w:r>
      <w:r>
        <w:rPr>
          <w:szCs w:val="16"/>
        </w:rPr>
        <w:t xml:space="preserve">externally financed </w:t>
      </w:r>
      <w:r w:rsidR="008B2C74">
        <w:rPr>
          <w:szCs w:val="16"/>
        </w:rPr>
        <w:t>DIP spending would amount to 0.5</w:t>
      </w:r>
      <w:r>
        <w:rPr>
          <w:szCs w:val="16"/>
        </w:rPr>
        <w:t xml:space="preserve"> percent of GDP when </w:t>
      </w:r>
      <w:r w:rsidR="008B6F0C">
        <w:rPr>
          <w:szCs w:val="16"/>
        </w:rPr>
        <w:t xml:space="preserve">the Delta Plan is </w:t>
      </w:r>
      <w:r>
        <w:rPr>
          <w:szCs w:val="16"/>
        </w:rPr>
        <w:t xml:space="preserve">fully operational. A small part of this external financing may be secured in the form of grants and the rest as concessional loans with very limited impact on external debt servicing burden for the country. </w:t>
      </w:r>
      <w:r w:rsidR="008B2C74">
        <w:rPr>
          <w:szCs w:val="16"/>
        </w:rPr>
        <w:t xml:space="preserve"> </w:t>
      </w:r>
    </w:p>
    <w:p w:rsidR="00B360AB" w:rsidRDefault="00B360AB" w:rsidP="00B360AB">
      <w:pPr>
        <w:pStyle w:val="Heading4"/>
      </w:pPr>
      <w:bookmarkStart w:id="809" w:name="_Toc474639137"/>
      <w:bookmarkStart w:id="810" w:name="_Toc460497112"/>
      <w:r>
        <w:t xml:space="preserve">Table 11.3: Sources of </w:t>
      </w:r>
      <w:r w:rsidR="008B7627">
        <w:t>Public</w:t>
      </w:r>
      <w:r>
        <w:t xml:space="preserve"> Sector Financing for the D</w:t>
      </w:r>
      <w:r w:rsidR="008B2C74">
        <w:t>I</w:t>
      </w:r>
      <w:r>
        <w:t>P</w:t>
      </w:r>
      <w:bookmarkEnd w:id="809"/>
      <w:r>
        <w:t xml:space="preserve"> </w:t>
      </w:r>
      <w:bookmarkEnd w:id="81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660"/>
        <w:gridCol w:w="979"/>
        <w:gridCol w:w="979"/>
        <w:gridCol w:w="979"/>
        <w:gridCol w:w="979"/>
      </w:tblGrid>
      <w:tr w:rsidR="00C471BC" w:rsidRPr="00336044" w:rsidTr="00B86FDD">
        <w:trPr>
          <w:trHeight w:hRule="exact" w:val="432"/>
        </w:trPr>
        <w:tc>
          <w:tcPr>
            <w:tcW w:w="2956"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rPr>
                <w:sz w:val="22"/>
              </w:rPr>
            </w:pP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b/>
                <w:sz w:val="22"/>
              </w:rPr>
            </w:pPr>
            <w:r w:rsidRPr="00B6500F">
              <w:rPr>
                <w:rFonts w:eastAsia="Times New Roman"/>
                <w:b/>
                <w:sz w:val="22"/>
              </w:rPr>
              <w:t>FY</w:t>
            </w:r>
            <w:r w:rsidR="00E930AF">
              <w:rPr>
                <w:rFonts w:eastAsia="Times New Roman"/>
                <w:b/>
                <w:sz w:val="22"/>
              </w:rPr>
              <w:t>20</w:t>
            </w:r>
            <w:r w:rsidRPr="00B6500F">
              <w:rPr>
                <w:rFonts w:eastAsia="Times New Roman"/>
                <w:b/>
                <w:sz w:val="22"/>
              </w:rPr>
              <w:t>19</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b/>
                <w:sz w:val="22"/>
              </w:rPr>
            </w:pPr>
            <w:r w:rsidRPr="00B6500F">
              <w:rPr>
                <w:rFonts w:eastAsia="Times New Roman"/>
                <w:b/>
                <w:sz w:val="22"/>
              </w:rPr>
              <w:t>FY20</w:t>
            </w:r>
            <w:r w:rsidR="00E930AF">
              <w:rPr>
                <w:rFonts w:eastAsia="Times New Roman"/>
                <w:b/>
                <w:sz w:val="22"/>
              </w:rPr>
              <w:t>20</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b/>
                <w:sz w:val="22"/>
              </w:rPr>
            </w:pPr>
            <w:r w:rsidRPr="00B6500F">
              <w:rPr>
                <w:rFonts w:eastAsia="Times New Roman"/>
                <w:b/>
                <w:sz w:val="22"/>
              </w:rPr>
              <w:t>FY</w:t>
            </w:r>
            <w:r w:rsidR="00E930AF">
              <w:rPr>
                <w:rFonts w:eastAsia="Times New Roman"/>
                <w:b/>
                <w:sz w:val="22"/>
              </w:rPr>
              <w:t>20</w:t>
            </w:r>
            <w:r w:rsidRPr="00B6500F">
              <w:rPr>
                <w:rFonts w:eastAsia="Times New Roman"/>
                <w:b/>
                <w:sz w:val="22"/>
              </w:rPr>
              <w:t>25</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b/>
                <w:sz w:val="22"/>
              </w:rPr>
            </w:pPr>
            <w:r w:rsidRPr="00B6500F">
              <w:rPr>
                <w:rFonts w:eastAsia="Times New Roman"/>
                <w:b/>
                <w:sz w:val="22"/>
              </w:rPr>
              <w:t>FY</w:t>
            </w:r>
            <w:r w:rsidR="00E930AF">
              <w:rPr>
                <w:rFonts w:eastAsia="Times New Roman"/>
                <w:b/>
                <w:sz w:val="22"/>
              </w:rPr>
              <w:t>20</w:t>
            </w:r>
            <w:r w:rsidRPr="00B6500F">
              <w:rPr>
                <w:rFonts w:eastAsia="Times New Roman"/>
                <w:b/>
                <w:sz w:val="22"/>
              </w:rPr>
              <w:t>31</w:t>
            </w:r>
          </w:p>
          <w:p w:rsidR="00C471BC" w:rsidRPr="00B6500F" w:rsidRDefault="00C471BC" w:rsidP="00C471BC">
            <w:pPr>
              <w:spacing w:after="0"/>
              <w:rPr>
                <w:rFonts w:eastAsia="Times New Roman"/>
                <w:b/>
                <w:sz w:val="22"/>
              </w:rPr>
            </w:pPr>
          </w:p>
        </w:tc>
      </w:tr>
      <w:tr w:rsidR="00B360AB" w:rsidRPr="00336044" w:rsidTr="00B86FDD">
        <w:trPr>
          <w:trHeight w:val="300"/>
        </w:trPr>
        <w:tc>
          <w:tcPr>
            <w:tcW w:w="2956" w:type="pct"/>
            <w:tcBorders>
              <w:top w:val="single" w:sz="4" w:space="0" w:color="000000"/>
              <w:left w:val="single" w:sz="4" w:space="0" w:color="000000"/>
              <w:bottom w:val="single" w:sz="4" w:space="0" w:color="000000"/>
              <w:right w:val="single" w:sz="4" w:space="0" w:color="000000"/>
            </w:tcBorders>
            <w:noWrap/>
            <w:hideMark/>
          </w:tcPr>
          <w:p w:rsidR="00B360AB" w:rsidRPr="00B6500F" w:rsidRDefault="00B360AB" w:rsidP="00CA5B96">
            <w:pPr>
              <w:spacing w:after="0"/>
              <w:rPr>
                <w:rFonts w:eastAsia="Times New Roman"/>
                <w:b/>
                <w:sz w:val="22"/>
              </w:rPr>
            </w:pPr>
            <w:r w:rsidRPr="00B6500F">
              <w:rPr>
                <w:rFonts w:eastAsia="Times New Roman"/>
                <w:b/>
                <w:sz w:val="22"/>
              </w:rPr>
              <w:t>Components:</w:t>
            </w:r>
          </w:p>
        </w:tc>
        <w:tc>
          <w:tcPr>
            <w:tcW w:w="2044" w:type="pct"/>
            <w:gridSpan w:val="4"/>
            <w:tcBorders>
              <w:top w:val="single" w:sz="4" w:space="0" w:color="000000"/>
              <w:left w:val="single" w:sz="4" w:space="0" w:color="000000"/>
              <w:bottom w:val="single" w:sz="4" w:space="0" w:color="000000"/>
              <w:right w:val="single" w:sz="4" w:space="0" w:color="000000"/>
            </w:tcBorders>
            <w:noWrap/>
            <w:hideMark/>
          </w:tcPr>
          <w:p w:rsidR="00B360AB" w:rsidRPr="00B6500F" w:rsidRDefault="00B360AB" w:rsidP="00CA5B96">
            <w:pPr>
              <w:spacing w:after="0"/>
              <w:jc w:val="center"/>
              <w:rPr>
                <w:rFonts w:eastAsia="Times New Roman"/>
                <w:sz w:val="22"/>
              </w:rPr>
            </w:pPr>
            <w:r w:rsidRPr="00B6500F">
              <w:rPr>
                <w:rFonts w:eastAsia="Times New Roman"/>
                <w:sz w:val="20"/>
              </w:rPr>
              <w:t>( As % of GDP)</w:t>
            </w:r>
          </w:p>
        </w:tc>
      </w:tr>
      <w:tr w:rsidR="00C471BC" w:rsidRPr="00336044" w:rsidTr="00B86FDD">
        <w:trPr>
          <w:trHeight w:hRule="exact" w:val="432"/>
        </w:trPr>
        <w:tc>
          <w:tcPr>
            <w:tcW w:w="2956"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rPr>
                <w:rFonts w:eastAsia="Times New Roman"/>
                <w:sz w:val="22"/>
              </w:rPr>
            </w:pPr>
            <w:r w:rsidRPr="00B6500F">
              <w:rPr>
                <w:rFonts w:eastAsia="Times New Roman"/>
                <w:sz w:val="22"/>
              </w:rPr>
              <w:t>A. Total DP related spending through budget(B+C+D)</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1.2</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1.5</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2.0</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2.0</w:t>
            </w:r>
          </w:p>
          <w:p w:rsidR="00C471BC" w:rsidRPr="00B6500F" w:rsidRDefault="00C471BC" w:rsidP="00CA5B96">
            <w:pPr>
              <w:spacing w:after="0"/>
              <w:jc w:val="right"/>
              <w:rPr>
                <w:rFonts w:eastAsia="Times New Roman"/>
                <w:sz w:val="22"/>
              </w:rPr>
            </w:pPr>
          </w:p>
        </w:tc>
      </w:tr>
      <w:tr w:rsidR="00C471BC" w:rsidRPr="00336044" w:rsidTr="00B86FDD">
        <w:trPr>
          <w:trHeight w:hRule="exact" w:val="432"/>
        </w:trPr>
        <w:tc>
          <w:tcPr>
            <w:tcW w:w="2956"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rPr>
                <w:rFonts w:eastAsia="Times New Roman"/>
                <w:sz w:val="22"/>
              </w:rPr>
            </w:pPr>
            <w:r w:rsidRPr="00B6500F">
              <w:rPr>
                <w:rFonts w:eastAsia="Times New Roman"/>
                <w:sz w:val="22"/>
              </w:rPr>
              <w:t>B. Current level of investment in DP type projects--Baseline</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0.8</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0.8</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0.8</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0.8</w:t>
            </w:r>
          </w:p>
          <w:p w:rsidR="00C471BC" w:rsidRPr="00B6500F" w:rsidRDefault="00C471BC" w:rsidP="00CA5B96">
            <w:pPr>
              <w:spacing w:after="0"/>
              <w:jc w:val="right"/>
              <w:rPr>
                <w:rFonts w:eastAsia="Times New Roman"/>
                <w:sz w:val="22"/>
              </w:rPr>
            </w:pPr>
          </w:p>
        </w:tc>
      </w:tr>
      <w:tr w:rsidR="00C471BC" w:rsidRPr="00336044" w:rsidTr="00B86FDD">
        <w:trPr>
          <w:trHeight w:hRule="exact" w:val="432"/>
        </w:trPr>
        <w:tc>
          <w:tcPr>
            <w:tcW w:w="2956"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rPr>
                <w:rFonts w:eastAsia="Times New Roman"/>
                <w:sz w:val="22"/>
              </w:rPr>
            </w:pPr>
            <w:r w:rsidRPr="00B6500F">
              <w:rPr>
                <w:rFonts w:eastAsia="Times New Roman"/>
                <w:sz w:val="22"/>
              </w:rPr>
              <w:t>C. Recurrent budget(Domestic Resource Mobilization)</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0.1</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0.2</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0.5</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0.5</w:t>
            </w:r>
          </w:p>
          <w:p w:rsidR="00C471BC" w:rsidRPr="00B6500F" w:rsidRDefault="00C471BC" w:rsidP="00CA5B96">
            <w:pPr>
              <w:spacing w:after="0"/>
              <w:jc w:val="right"/>
              <w:rPr>
                <w:rFonts w:eastAsia="Times New Roman"/>
                <w:sz w:val="22"/>
              </w:rPr>
            </w:pPr>
          </w:p>
        </w:tc>
      </w:tr>
      <w:tr w:rsidR="00C471BC" w:rsidRPr="00336044" w:rsidTr="00B86FDD">
        <w:trPr>
          <w:trHeight w:hRule="exact" w:val="432"/>
        </w:trPr>
        <w:tc>
          <w:tcPr>
            <w:tcW w:w="2956"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rPr>
                <w:rFonts w:eastAsia="Times New Roman"/>
                <w:sz w:val="22"/>
              </w:rPr>
            </w:pPr>
            <w:r w:rsidRPr="00B6500F">
              <w:rPr>
                <w:rFonts w:eastAsia="Times New Roman"/>
                <w:sz w:val="22"/>
              </w:rPr>
              <w:t>D. New DIP related spending (E+F)</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0.2</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0.4</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0.7</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0.7</w:t>
            </w:r>
          </w:p>
          <w:p w:rsidR="00C471BC" w:rsidRPr="00B6500F" w:rsidRDefault="00C471BC" w:rsidP="00CA5B96">
            <w:pPr>
              <w:spacing w:after="0"/>
              <w:jc w:val="right"/>
              <w:rPr>
                <w:rFonts w:eastAsia="Times New Roman"/>
                <w:sz w:val="22"/>
              </w:rPr>
            </w:pPr>
          </w:p>
        </w:tc>
      </w:tr>
      <w:tr w:rsidR="00C471BC" w:rsidRPr="00336044" w:rsidTr="00B86FDD">
        <w:trPr>
          <w:trHeight w:hRule="exact" w:val="432"/>
        </w:trPr>
        <w:tc>
          <w:tcPr>
            <w:tcW w:w="2956"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rPr>
                <w:rFonts w:eastAsia="Times New Roman"/>
                <w:sz w:val="22"/>
              </w:rPr>
            </w:pPr>
            <w:r w:rsidRPr="00B6500F">
              <w:rPr>
                <w:rFonts w:eastAsia="Times New Roman"/>
                <w:sz w:val="22"/>
              </w:rPr>
              <w:t xml:space="preserve">   E. Foreign Financed (Including Climate Fund)(a+b)</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0.2</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0.3</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0.5</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0.5</w:t>
            </w:r>
          </w:p>
          <w:p w:rsidR="00C471BC" w:rsidRPr="00B6500F" w:rsidRDefault="00C471BC" w:rsidP="00CA5B96">
            <w:pPr>
              <w:spacing w:after="0"/>
              <w:jc w:val="right"/>
              <w:rPr>
                <w:rFonts w:eastAsia="Times New Roman"/>
                <w:sz w:val="22"/>
              </w:rPr>
            </w:pPr>
          </w:p>
        </w:tc>
      </w:tr>
      <w:tr w:rsidR="00C471BC" w:rsidRPr="00336044" w:rsidTr="00B86FDD">
        <w:trPr>
          <w:trHeight w:hRule="exact" w:val="432"/>
        </w:trPr>
        <w:tc>
          <w:tcPr>
            <w:tcW w:w="2956"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rPr>
                <w:rFonts w:eastAsia="Times New Roman"/>
                <w:sz w:val="22"/>
              </w:rPr>
            </w:pPr>
            <w:r w:rsidRPr="00B6500F">
              <w:rPr>
                <w:rFonts w:eastAsia="Times New Roman"/>
                <w:sz w:val="22"/>
              </w:rPr>
              <w:t xml:space="preserve">          a. Grant</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0.05</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0.1</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0.1</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0.1</w:t>
            </w:r>
          </w:p>
          <w:p w:rsidR="00C471BC" w:rsidRPr="00B6500F" w:rsidRDefault="00C471BC" w:rsidP="00CA5B96">
            <w:pPr>
              <w:spacing w:after="0"/>
              <w:jc w:val="right"/>
              <w:rPr>
                <w:rFonts w:eastAsia="Times New Roman"/>
                <w:sz w:val="22"/>
              </w:rPr>
            </w:pPr>
          </w:p>
        </w:tc>
      </w:tr>
      <w:tr w:rsidR="00C471BC" w:rsidRPr="00336044" w:rsidTr="00B86FDD">
        <w:trPr>
          <w:trHeight w:hRule="exact" w:val="432"/>
        </w:trPr>
        <w:tc>
          <w:tcPr>
            <w:tcW w:w="2956"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rPr>
                <w:rFonts w:eastAsia="Times New Roman"/>
                <w:sz w:val="22"/>
              </w:rPr>
            </w:pPr>
            <w:r w:rsidRPr="00B6500F">
              <w:rPr>
                <w:rFonts w:eastAsia="Times New Roman"/>
                <w:sz w:val="22"/>
              </w:rPr>
              <w:t xml:space="preserve">          b. External Source including Climate Fund</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0.15</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0.2</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0.4</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0.4</w:t>
            </w:r>
          </w:p>
          <w:p w:rsidR="00C471BC" w:rsidRPr="00B6500F" w:rsidRDefault="00C471BC" w:rsidP="00CA5B96">
            <w:pPr>
              <w:spacing w:after="0"/>
              <w:jc w:val="right"/>
              <w:rPr>
                <w:rFonts w:eastAsia="Times New Roman"/>
                <w:sz w:val="22"/>
              </w:rPr>
            </w:pPr>
          </w:p>
        </w:tc>
      </w:tr>
      <w:tr w:rsidR="00C471BC" w:rsidRPr="00336044" w:rsidTr="00B86FDD">
        <w:trPr>
          <w:trHeight w:hRule="exact" w:val="432"/>
        </w:trPr>
        <w:tc>
          <w:tcPr>
            <w:tcW w:w="2956"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rPr>
                <w:rFonts w:eastAsia="Times New Roman"/>
                <w:sz w:val="22"/>
              </w:rPr>
            </w:pPr>
            <w:r w:rsidRPr="00B6500F">
              <w:rPr>
                <w:rFonts w:eastAsia="Times New Roman"/>
                <w:sz w:val="22"/>
              </w:rPr>
              <w:t xml:space="preserve">  F. Domestic borrowing</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0.1</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0.2</w:t>
            </w:r>
          </w:p>
        </w:tc>
        <w:tc>
          <w:tcPr>
            <w:tcW w:w="511" w:type="pct"/>
            <w:tcBorders>
              <w:top w:val="single" w:sz="4" w:space="0" w:color="000000"/>
              <w:left w:val="single" w:sz="4" w:space="0" w:color="000000"/>
              <w:bottom w:val="single" w:sz="4" w:space="0" w:color="000000"/>
              <w:right w:val="single" w:sz="4" w:space="0" w:color="000000"/>
            </w:tcBorders>
            <w:noWrap/>
            <w:hideMark/>
          </w:tcPr>
          <w:p w:rsidR="00C471BC" w:rsidRPr="00B6500F" w:rsidRDefault="00C471BC" w:rsidP="00CA5B96">
            <w:pPr>
              <w:spacing w:after="0"/>
              <w:jc w:val="right"/>
              <w:rPr>
                <w:rFonts w:eastAsia="Times New Roman"/>
                <w:sz w:val="22"/>
              </w:rPr>
            </w:pPr>
            <w:r w:rsidRPr="00B6500F">
              <w:rPr>
                <w:rFonts w:eastAsia="Times New Roman"/>
                <w:sz w:val="22"/>
              </w:rPr>
              <w:t>0.2</w:t>
            </w:r>
          </w:p>
          <w:p w:rsidR="00C471BC" w:rsidRPr="00B6500F" w:rsidRDefault="00C471BC" w:rsidP="00CA5B96">
            <w:pPr>
              <w:spacing w:after="0"/>
              <w:jc w:val="right"/>
              <w:rPr>
                <w:rFonts w:eastAsia="Times New Roman"/>
                <w:sz w:val="22"/>
              </w:rPr>
            </w:pPr>
          </w:p>
        </w:tc>
      </w:tr>
    </w:tbl>
    <w:p w:rsidR="00B360AB" w:rsidRPr="008C010D" w:rsidRDefault="00B360AB" w:rsidP="00B360AB">
      <w:pPr>
        <w:spacing w:before="120"/>
        <w:rPr>
          <w:rFonts w:ascii="Calibri" w:hAnsi="Calibri"/>
          <w:b/>
          <w:i/>
          <w:sz w:val="18"/>
        </w:rPr>
      </w:pPr>
      <w:r>
        <w:rPr>
          <w:b/>
          <w:i/>
          <w:sz w:val="20"/>
        </w:rPr>
        <w:t>Source: BDP2100 projections</w:t>
      </w:r>
    </w:p>
    <w:p w:rsidR="00B360AB" w:rsidRDefault="00B360AB" w:rsidP="00B360AB">
      <w:pPr>
        <w:spacing w:line="276" w:lineRule="auto"/>
        <w:jc w:val="both"/>
        <w:rPr>
          <w:szCs w:val="16"/>
        </w:rPr>
      </w:pPr>
      <w:r>
        <w:rPr>
          <w:szCs w:val="16"/>
        </w:rPr>
        <w:t xml:space="preserve">Government believes that the fiscal plan accommodating the increased spending envisaged under the DP, as outlined above, is sustainable. While fiscal deficit excluding grants may exceed the 5% of GDP in certain years, the fiscal deficit (including grants)—i.e., the debt creating deficit—will still be limited to 5% of GDP or below over the medium and long term.  Total </w:t>
      </w:r>
      <w:r w:rsidR="008B7627">
        <w:rPr>
          <w:szCs w:val="16"/>
        </w:rPr>
        <w:t>public</w:t>
      </w:r>
      <w:r>
        <w:rPr>
          <w:szCs w:val="16"/>
        </w:rPr>
        <w:t xml:space="preserve"> debt to GDP ratio would accordingly increase by only 6 percentage points to 42.9 percent of GDP over the 15-year period through FY</w:t>
      </w:r>
      <w:r w:rsidR="00C8459E">
        <w:rPr>
          <w:szCs w:val="16"/>
        </w:rPr>
        <w:t>20</w:t>
      </w:r>
      <w:r>
        <w:rPr>
          <w:szCs w:val="16"/>
        </w:rPr>
        <w:t xml:space="preserve">31. </w:t>
      </w:r>
    </w:p>
    <w:p w:rsidR="00B360AB" w:rsidRDefault="00B360AB" w:rsidP="00B360AB">
      <w:pPr>
        <w:rPr>
          <w:b/>
          <w:bCs/>
          <w:szCs w:val="16"/>
        </w:rPr>
      </w:pPr>
      <w:r>
        <w:rPr>
          <w:b/>
          <w:bCs/>
          <w:szCs w:val="16"/>
        </w:rPr>
        <w:br w:type="page"/>
      </w:r>
    </w:p>
    <w:p w:rsidR="00B360AB" w:rsidRDefault="00B360AB" w:rsidP="00B360AB">
      <w:pPr>
        <w:pStyle w:val="Heading5"/>
      </w:pPr>
      <w:bookmarkStart w:id="811" w:name="_Toc460497197"/>
      <w:bookmarkStart w:id="812" w:name="_Toc474639220"/>
      <w:r>
        <w:lastRenderedPageBreak/>
        <w:t>Figure 11.4</w:t>
      </w:r>
      <w:r w:rsidRPr="00B465F9">
        <w:t>: Bangladesh: Debt Dynamics</w:t>
      </w:r>
      <w:bookmarkEnd w:id="811"/>
      <w:bookmarkEnd w:id="812"/>
    </w:p>
    <w:p w:rsidR="00B360AB" w:rsidRDefault="00B360AB" w:rsidP="00B360AB">
      <w:pPr>
        <w:spacing w:before="120" w:after="120" w:line="276" w:lineRule="auto"/>
        <w:jc w:val="center"/>
        <w:rPr>
          <w:b/>
          <w:i/>
          <w:sz w:val="20"/>
          <w:szCs w:val="16"/>
        </w:rPr>
      </w:pPr>
      <w:r>
        <w:rPr>
          <w:b/>
          <w:i/>
          <w:noProof/>
          <w:sz w:val="20"/>
          <w:szCs w:val="16"/>
          <w:lang w:val="en-AU" w:eastAsia="en-AU" w:bidi="bn-BD"/>
        </w:rPr>
        <w:drawing>
          <wp:inline distT="0" distB="0" distL="0" distR="0">
            <wp:extent cx="4599940" cy="276161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9940" cy="2761615"/>
                    </a:xfrm>
                    <a:prstGeom prst="rect">
                      <a:avLst/>
                    </a:prstGeom>
                    <a:noFill/>
                  </pic:spPr>
                </pic:pic>
              </a:graphicData>
            </a:graphic>
          </wp:inline>
        </w:drawing>
      </w:r>
    </w:p>
    <w:p w:rsidR="00B360AB" w:rsidRPr="001C4F1F" w:rsidRDefault="00E930AF" w:rsidP="00B360AB">
      <w:pPr>
        <w:spacing w:before="120" w:line="276" w:lineRule="auto"/>
        <w:jc w:val="both"/>
        <w:rPr>
          <w:b/>
          <w:i/>
          <w:sz w:val="20"/>
          <w:szCs w:val="16"/>
        </w:rPr>
      </w:pPr>
      <w:r>
        <w:rPr>
          <w:b/>
          <w:i/>
          <w:sz w:val="20"/>
          <w:szCs w:val="16"/>
        </w:rPr>
        <w:t xml:space="preserve">                      </w:t>
      </w:r>
      <w:r w:rsidR="00B360AB" w:rsidRPr="001C4F1F">
        <w:rPr>
          <w:b/>
          <w:i/>
          <w:sz w:val="20"/>
          <w:szCs w:val="16"/>
        </w:rPr>
        <w:t xml:space="preserve">Source: </w:t>
      </w:r>
      <w:r>
        <w:rPr>
          <w:b/>
          <w:i/>
          <w:sz w:val="20"/>
          <w:szCs w:val="16"/>
        </w:rPr>
        <w:t>GED</w:t>
      </w:r>
      <w:r w:rsidR="00B360AB" w:rsidRPr="001C4F1F">
        <w:rPr>
          <w:b/>
          <w:i/>
          <w:sz w:val="20"/>
          <w:szCs w:val="16"/>
        </w:rPr>
        <w:t xml:space="preserve"> Projections</w:t>
      </w:r>
    </w:p>
    <w:p w:rsidR="00B360AB" w:rsidRDefault="00B360AB" w:rsidP="00B360AB">
      <w:pPr>
        <w:pStyle w:val="Heading5"/>
      </w:pPr>
      <w:bookmarkStart w:id="813" w:name="_Toc460497198"/>
      <w:bookmarkStart w:id="814" w:name="_Toc474639221"/>
      <w:r>
        <w:t>Figure 11.5</w:t>
      </w:r>
      <w:r w:rsidRPr="00B465F9">
        <w:t>: Debt Services in Delta Plan</w:t>
      </w:r>
      <w:bookmarkEnd w:id="813"/>
      <w:bookmarkEnd w:id="814"/>
    </w:p>
    <w:p w:rsidR="00B360AB" w:rsidRPr="00B465F9" w:rsidRDefault="00B360AB" w:rsidP="00B360AB">
      <w:pPr>
        <w:spacing w:after="120" w:line="276" w:lineRule="auto"/>
        <w:jc w:val="center"/>
        <w:rPr>
          <w:szCs w:val="16"/>
        </w:rPr>
      </w:pPr>
      <w:r>
        <w:rPr>
          <w:noProof/>
          <w:szCs w:val="16"/>
          <w:lang w:val="en-AU" w:eastAsia="en-AU" w:bidi="bn-BD"/>
        </w:rPr>
        <w:drawing>
          <wp:inline distT="0" distB="0" distL="0" distR="0">
            <wp:extent cx="4599940" cy="2761615"/>
            <wp:effectExtent l="0" t="0" r="0"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9940" cy="2761615"/>
                    </a:xfrm>
                    <a:prstGeom prst="rect">
                      <a:avLst/>
                    </a:prstGeom>
                    <a:noFill/>
                  </pic:spPr>
                </pic:pic>
              </a:graphicData>
            </a:graphic>
          </wp:inline>
        </w:drawing>
      </w:r>
    </w:p>
    <w:p w:rsidR="00B360AB" w:rsidRPr="008C010D" w:rsidRDefault="00E930AF" w:rsidP="00B360AB">
      <w:pPr>
        <w:spacing w:line="276" w:lineRule="auto"/>
        <w:jc w:val="both"/>
        <w:rPr>
          <w:b/>
          <w:i/>
          <w:sz w:val="20"/>
          <w:szCs w:val="16"/>
        </w:rPr>
      </w:pPr>
      <w:r>
        <w:rPr>
          <w:b/>
          <w:i/>
          <w:sz w:val="20"/>
          <w:szCs w:val="16"/>
        </w:rPr>
        <w:t xml:space="preserve">                     Source: GED</w:t>
      </w:r>
      <w:r w:rsidR="00B360AB">
        <w:rPr>
          <w:b/>
          <w:i/>
          <w:sz w:val="20"/>
          <w:szCs w:val="16"/>
        </w:rPr>
        <w:t xml:space="preserve"> Projections</w:t>
      </w:r>
    </w:p>
    <w:p w:rsidR="00B360AB" w:rsidRPr="003C63BB" w:rsidRDefault="00B360AB" w:rsidP="00B360AB">
      <w:pPr>
        <w:spacing w:after="120" w:line="276" w:lineRule="auto"/>
        <w:jc w:val="both"/>
        <w:rPr>
          <w:szCs w:val="16"/>
        </w:rPr>
      </w:pPr>
      <w:r w:rsidRPr="004B0A08">
        <w:rPr>
          <w:i/>
          <w:szCs w:val="16"/>
        </w:rPr>
        <w:t xml:space="preserve">In preparing the financing plan for the BDP2100, care has been taken to minimize the stress on domestic money market with a view to avoid crowding out of the private sector credit. Accordingly, effort has been made to ensure that much of the additional financing requirement is mobilized from external sources. As shown in Figure 11.2, there will be very limited recourse to additional domestic financing of the budget for implementing the BDP2100 compared with the BAU </w:t>
      </w:r>
      <w:r w:rsidR="00B20A9E">
        <w:rPr>
          <w:i/>
          <w:szCs w:val="16"/>
        </w:rPr>
        <w:t xml:space="preserve">option </w:t>
      </w:r>
      <w:r w:rsidRPr="004B0A08">
        <w:rPr>
          <w:i/>
          <w:szCs w:val="16"/>
        </w:rPr>
        <w:t>without the Delta Plan spending</w:t>
      </w:r>
      <w:r>
        <w:rPr>
          <w:szCs w:val="16"/>
        </w:rPr>
        <w:t xml:space="preserve">. In the current global environment, there are plenty </w:t>
      </w:r>
      <w:r>
        <w:rPr>
          <w:szCs w:val="16"/>
        </w:rPr>
        <w:lastRenderedPageBreak/>
        <w:t>of low-cost private foreign financing sources available.  Additionally, there are many sources of multilateral and bilateral official financing for projects associated with climate change adaptation at concessional terms and in the form of grants. Bangladesh will make best efforts to access such financing available under various international climate change and other initiatives. As a result, the debt servicing will not change (Figure 11.5).</w:t>
      </w:r>
    </w:p>
    <w:p w:rsidR="00F64A6A" w:rsidRDefault="00B360AB" w:rsidP="00F64A6A">
      <w:pPr>
        <w:pStyle w:val="Heading2"/>
        <w:numPr>
          <w:ilvl w:val="0"/>
          <w:numId w:val="0"/>
        </w:numPr>
        <w:ind w:left="1080"/>
      </w:pPr>
      <w:bookmarkStart w:id="815" w:name="_Toc453889897"/>
      <w:bookmarkStart w:id="816" w:name="_Toc460496906"/>
      <w:bookmarkStart w:id="817" w:name="_Toc474638933"/>
      <w:r w:rsidRPr="00C94276">
        <w:t>Current Patterns of Resource Allocation and Estimated Resource Gap</w:t>
      </w:r>
      <w:bookmarkEnd w:id="815"/>
      <w:bookmarkEnd w:id="816"/>
      <w:bookmarkEnd w:id="817"/>
    </w:p>
    <w:p w:rsidR="00B360AB" w:rsidRPr="00F926B1" w:rsidRDefault="00B360AB" w:rsidP="00B360AB">
      <w:pPr>
        <w:spacing w:line="276" w:lineRule="auto"/>
        <w:jc w:val="both"/>
      </w:pPr>
      <w:r w:rsidRPr="002D7C47">
        <w:t>Expenditure patterns by the budget lines for the main ministries/sectors over the last five years and the budget for FY</w:t>
      </w:r>
      <w:r w:rsidR="004346FF">
        <w:t>20</w:t>
      </w:r>
      <w:r w:rsidRPr="002D7C47">
        <w:t>17 (i.e. FY</w:t>
      </w:r>
      <w:r w:rsidR="004346FF">
        <w:t>20</w:t>
      </w:r>
      <w:r w:rsidRPr="002D7C47">
        <w:t>12 – FY</w:t>
      </w:r>
      <w:r w:rsidR="004346FF">
        <w:t>20</w:t>
      </w:r>
      <w:r w:rsidRPr="002D7C47">
        <w:t xml:space="preserve">17) </w:t>
      </w:r>
      <w:r>
        <w:t>have been summarized in Table 11.4</w:t>
      </w:r>
      <w:r w:rsidRPr="002D7C47">
        <w:t xml:space="preserve">. In the </w:t>
      </w:r>
    </w:p>
    <w:p w:rsidR="00B360AB" w:rsidRPr="00F926B1" w:rsidRDefault="00B360AB" w:rsidP="00B360AB">
      <w:pPr>
        <w:pStyle w:val="Heading4"/>
      </w:pPr>
      <w:bookmarkStart w:id="818" w:name="_Toc460497113"/>
      <w:bookmarkStart w:id="819" w:name="_Toc474639138"/>
      <w:r w:rsidRPr="00F926B1">
        <w:t>Table 11.4:</w:t>
      </w:r>
      <w:r w:rsidR="00AF0CDC">
        <w:t xml:space="preserve"> </w:t>
      </w:r>
      <w:r w:rsidR="008B7627">
        <w:t>Public</w:t>
      </w:r>
      <w:r w:rsidR="00AF0CDC">
        <w:t xml:space="preserve"> Sector Allocation for</w:t>
      </w:r>
      <w:r w:rsidRPr="00F926B1">
        <w:t xml:space="preserve"> </w:t>
      </w:r>
      <w:bookmarkEnd w:id="818"/>
      <w:r w:rsidR="004611CE">
        <w:t>Delta-related Programmes</w:t>
      </w:r>
      <w:bookmarkEnd w:id="819"/>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57"/>
        <w:gridCol w:w="750"/>
        <w:gridCol w:w="750"/>
        <w:gridCol w:w="750"/>
        <w:gridCol w:w="750"/>
        <w:gridCol w:w="848"/>
        <w:gridCol w:w="771"/>
      </w:tblGrid>
      <w:tr w:rsidR="00B360AB" w:rsidRPr="00336044" w:rsidTr="00AF0CDC">
        <w:trPr>
          <w:trHeight w:hRule="exact" w:val="576"/>
          <w:jc w:val="center"/>
        </w:trPr>
        <w:tc>
          <w:tcPr>
            <w:tcW w:w="2478" w:type="pct"/>
            <w:tcBorders>
              <w:top w:val="single" w:sz="4" w:space="0" w:color="000000"/>
              <w:left w:val="single" w:sz="4" w:space="0" w:color="000000"/>
              <w:bottom w:val="single" w:sz="4" w:space="0" w:color="000000"/>
              <w:right w:val="single" w:sz="4" w:space="0" w:color="000000"/>
            </w:tcBorders>
            <w:noWrap/>
            <w:vAlign w:val="center"/>
            <w:hideMark/>
          </w:tcPr>
          <w:p w:rsidR="00B360AB" w:rsidRPr="00DF392C" w:rsidRDefault="00B360AB" w:rsidP="00CA5B96">
            <w:pPr>
              <w:spacing w:after="0" w:line="20" w:lineRule="atLeast"/>
              <w:jc w:val="center"/>
              <w:rPr>
                <w:sz w:val="20"/>
              </w:rPr>
            </w:pP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E930AF" w:rsidRDefault="00B360AB" w:rsidP="00CA5B96">
            <w:pPr>
              <w:spacing w:after="0" w:line="20" w:lineRule="atLeast"/>
              <w:jc w:val="center"/>
              <w:rPr>
                <w:rFonts w:eastAsia="Times New Roman"/>
                <w:b/>
                <w:color w:val="000000"/>
                <w:sz w:val="16"/>
                <w:szCs w:val="20"/>
              </w:rPr>
            </w:pPr>
            <w:r w:rsidRPr="00E930AF">
              <w:rPr>
                <w:rFonts w:eastAsia="Times New Roman"/>
                <w:b/>
                <w:color w:val="000000"/>
                <w:sz w:val="16"/>
                <w:szCs w:val="20"/>
              </w:rPr>
              <w:t>FY</w:t>
            </w:r>
            <w:r w:rsidR="00E930AF" w:rsidRPr="00E930AF">
              <w:rPr>
                <w:rFonts w:eastAsia="Times New Roman"/>
                <w:b/>
                <w:color w:val="000000"/>
                <w:sz w:val="16"/>
                <w:szCs w:val="20"/>
              </w:rPr>
              <w:t>20</w:t>
            </w:r>
            <w:r w:rsidRPr="00E930AF">
              <w:rPr>
                <w:rFonts w:eastAsia="Times New Roman"/>
                <w:b/>
                <w:color w:val="000000"/>
                <w:sz w:val="16"/>
                <w:szCs w:val="20"/>
              </w:rPr>
              <w:t>12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E930AF" w:rsidRDefault="00B360AB" w:rsidP="00CA5B96">
            <w:pPr>
              <w:spacing w:after="0" w:line="20" w:lineRule="atLeast"/>
              <w:jc w:val="center"/>
              <w:rPr>
                <w:rFonts w:eastAsia="Times New Roman"/>
                <w:b/>
                <w:color w:val="000000"/>
                <w:sz w:val="16"/>
                <w:szCs w:val="20"/>
              </w:rPr>
            </w:pPr>
            <w:r w:rsidRPr="00E930AF">
              <w:rPr>
                <w:rFonts w:eastAsia="Times New Roman"/>
                <w:b/>
                <w:color w:val="000000"/>
                <w:sz w:val="16"/>
                <w:szCs w:val="20"/>
              </w:rPr>
              <w:t>FY</w:t>
            </w:r>
            <w:r w:rsidR="00E930AF" w:rsidRPr="00E930AF">
              <w:rPr>
                <w:rFonts w:eastAsia="Times New Roman"/>
                <w:b/>
                <w:color w:val="000000"/>
                <w:sz w:val="16"/>
                <w:szCs w:val="20"/>
              </w:rPr>
              <w:t>20</w:t>
            </w:r>
            <w:r w:rsidRPr="00E930AF">
              <w:rPr>
                <w:rFonts w:eastAsia="Times New Roman"/>
                <w:b/>
                <w:color w:val="000000"/>
                <w:sz w:val="16"/>
                <w:szCs w:val="20"/>
              </w:rPr>
              <w:t>13</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E930AF" w:rsidRDefault="00B360AB" w:rsidP="00CA5B96">
            <w:pPr>
              <w:spacing w:after="0" w:line="20" w:lineRule="atLeast"/>
              <w:jc w:val="center"/>
              <w:rPr>
                <w:rFonts w:eastAsia="Times New Roman"/>
                <w:b/>
                <w:color w:val="000000"/>
                <w:sz w:val="16"/>
                <w:szCs w:val="20"/>
              </w:rPr>
            </w:pPr>
            <w:r w:rsidRPr="00E930AF">
              <w:rPr>
                <w:rFonts w:eastAsia="Times New Roman"/>
                <w:b/>
                <w:color w:val="000000"/>
                <w:sz w:val="16"/>
                <w:szCs w:val="20"/>
              </w:rPr>
              <w:t>FY</w:t>
            </w:r>
            <w:r w:rsidR="00E930AF" w:rsidRPr="00E930AF">
              <w:rPr>
                <w:rFonts w:eastAsia="Times New Roman"/>
                <w:b/>
                <w:color w:val="000000"/>
                <w:sz w:val="16"/>
                <w:szCs w:val="20"/>
              </w:rPr>
              <w:t>20</w:t>
            </w:r>
            <w:r w:rsidRPr="00E930AF">
              <w:rPr>
                <w:rFonts w:eastAsia="Times New Roman"/>
                <w:b/>
                <w:color w:val="000000"/>
                <w:sz w:val="16"/>
                <w:szCs w:val="20"/>
              </w:rPr>
              <w:t>14</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E930AF" w:rsidRDefault="00B360AB" w:rsidP="00CA5B96">
            <w:pPr>
              <w:spacing w:after="0" w:line="20" w:lineRule="atLeast"/>
              <w:jc w:val="center"/>
              <w:rPr>
                <w:rFonts w:eastAsia="Times New Roman"/>
                <w:b/>
                <w:color w:val="000000"/>
                <w:sz w:val="16"/>
                <w:szCs w:val="20"/>
              </w:rPr>
            </w:pPr>
            <w:r w:rsidRPr="00E930AF">
              <w:rPr>
                <w:rFonts w:eastAsia="Times New Roman"/>
                <w:b/>
                <w:color w:val="000000"/>
                <w:sz w:val="16"/>
                <w:szCs w:val="20"/>
              </w:rPr>
              <w:t>FY</w:t>
            </w:r>
            <w:r w:rsidR="00E930AF" w:rsidRPr="00E930AF">
              <w:rPr>
                <w:rFonts w:eastAsia="Times New Roman"/>
                <w:b/>
                <w:color w:val="000000"/>
                <w:sz w:val="16"/>
                <w:szCs w:val="20"/>
              </w:rPr>
              <w:t>20</w:t>
            </w:r>
            <w:r w:rsidRPr="00E930AF">
              <w:rPr>
                <w:rFonts w:eastAsia="Times New Roman"/>
                <w:b/>
                <w:color w:val="000000"/>
                <w:sz w:val="16"/>
                <w:szCs w:val="20"/>
              </w:rPr>
              <w:t>15</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E930AF" w:rsidRDefault="00B360AB" w:rsidP="00CA5B96">
            <w:pPr>
              <w:spacing w:after="0" w:line="20" w:lineRule="atLeast"/>
              <w:jc w:val="center"/>
              <w:rPr>
                <w:rFonts w:eastAsia="Times New Roman"/>
                <w:b/>
                <w:color w:val="000000"/>
                <w:sz w:val="16"/>
                <w:szCs w:val="20"/>
              </w:rPr>
            </w:pPr>
            <w:r w:rsidRPr="00E930AF">
              <w:rPr>
                <w:rFonts w:eastAsia="Times New Roman"/>
                <w:b/>
                <w:color w:val="000000"/>
                <w:sz w:val="16"/>
                <w:szCs w:val="20"/>
              </w:rPr>
              <w:t>FY</w:t>
            </w:r>
            <w:r w:rsidR="00E930AF" w:rsidRPr="00E930AF">
              <w:rPr>
                <w:rFonts w:eastAsia="Times New Roman"/>
                <w:b/>
                <w:color w:val="000000"/>
                <w:sz w:val="16"/>
                <w:szCs w:val="20"/>
              </w:rPr>
              <w:t>20</w:t>
            </w:r>
            <w:r w:rsidRPr="00E930AF">
              <w:rPr>
                <w:rFonts w:eastAsia="Times New Roman"/>
                <w:b/>
                <w:color w:val="000000"/>
                <w:sz w:val="16"/>
                <w:szCs w:val="20"/>
              </w:rPr>
              <w:t>16</w:t>
            </w:r>
          </w:p>
          <w:p w:rsidR="00B360AB" w:rsidRPr="00E930AF" w:rsidRDefault="00B360AB" w:rsidP="00CA5B96">
            <w:pPr>
              <w:spacing w:after="0" w:line="20" w:lineRule="atLeast"/>
              <w:jc w:val="center"/>
              <w:rPr>
                <w:rFonts w:eastAsia="Times New Roman"/>
                <w:b/>
                <w:color w:val="000000"/>
                <w:sz w:val="16"/>
                <w:szCs w:val="20"/>
              </w:rPr>
            </w:pPr>
            <w:r w:rsidRPr="00E930AF">
              <w:rPr>
                <w:rFonts w:eastAsia="Times New Roman"/>
                <w:b/>
                <w:color w:val="000000"/>
                <w:sz w:val="16"/>
                <w:szCs w:val="20"/>
              </w:rPr>
              <w:t>(RB)</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E930AF" w:rsidRDefault="00B360AB" w:rsidP="00CA5B96">
            <w:pPr>
              <w:spacing w:after="0" w:line="20" w:lineRule="atLeast"/>
              <w:jc w:val="center"/>
              <w:rPr>
                <w:rFonts w:eastAsia="Times New Roman"/>
                <w:b/>
                <w:color w:val="000000"/>
                <w:sz w:val="16"/>
                <w:szCs w:val="20"/>
              </w:rPr>
            </w:pPr>
            <w:r w:rsidRPr="00E930AF">
              <w:rPr>
                <w:rFonts w:eastAsia="Times New Roman"/>
                <w:b/>
                <w:color w:val="000000"/>
                <w:sz w:val="16"/>
                <w:szCs w:val="20"/>
              </w:rPr>
              <w:t>FY</w:t>
            </w:r>
            <w:r w:rsidR="00E930AF" w:rsidRPr="00E930AF">
              <w:rPr>
                <w:rFonts w:eastAsia="Times New Roman"/>
                <w:b/>
                <w:color w:val="000000"/>
                <w:sz w:val="16"/>
                <w:szCs w:val="20"/>
              </w:rPr>
              <w:t>20</w:t>
            </w:r>
            <w:r w:rsidRPr="00E930AF">
              <w:rPr>
                <w:rFonts w:eastAsia="Times New Roman"/>
                <w:b/>
                <w:color w:val="000000"/>
                <w:sz w:val="16"/>
                <w:szCs w:val="20"/>
              </w:rPr>
              <w:t>17</w:t>
            </w:r>
          </w:p>
          <w:p w:rsidR="00B360AB" w:rsidRPr="00E930AF" w:rsidRDefault="00B360AB" w:rsidP="00CA5B96">
            <w:pPr>
              <w:spacing w:after="0" w:line="20" w:lineRule="atLeast"/>
              <w:jc w:val="center"/>
              <w:rPr>
                <w:rFonts w:eastAsia="Times New Roman"/>
                <w:b/>
                <w:color w:val="000000"/>
                <w:sz w:val="16"/>
                <w:szCs w:val="20"/>
              </w:rPr>
            </w:pPr>
            <w:r w:rsidRPr="00E930AF">
              <w:rPr>
                <w:rFonts w:eastAsia="Times New Roman"/>
                <w:b/>
                <w:color w:val="000000"/>
                <w:sz w:val="16"/>
                <w:szCs w:val="20"/>
              </w:rPr>
              <w:t>(B)</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b/>
                <w:color w:val="000000"/>
                <w:sz w:val="22"/>
                <w:szCs w:val="20"/>
              </w:rPr>
            </w:pPr>
            <w:r w:rsidRPr="00835365">
              <w:rPr>
                <w:rFonts w:eastAsia="Times New Roman"/>
                <w:b/>
                <w:color w:val="000000"/>
                <w:sz w:val="22"/>
                <w:szCs w:val="20"/>
              </w:rPr>
              <w:t>Total expenditure</w:t>
            </w:r>
            <w:r w:rsidR="004611CE">
              <w:rPr>
                <w:rFonts w:eastAsia="Times New Roman"/>
                <w:b/>
                <w:color w:val="000000"/>
                <w:sz w:val="22"/>
                <w:szCs w:val="20"/>
              </w:rPr>
              <w:t xml:space="preserve"> (% of GDP)</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14.4</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14.5</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14.0</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13.5</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15.3</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17.3</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b/>
                <w:color w:val="000000"/>
                <w:sz w:val="22"/>
                <w:szCs w:val="20"/>
              </w:rPr>
            </w:pPr>
            <w:r w:rsidRPr="00835365">
              <w:rPr>
                <w:rFonts w:eastAsia="Times New Roman"/>
                <w:b/>
                <w:color w:val="000000"/>
                <w:sz w:val="22"/>
                <w:szCs w:val="20"/>
              </w:rPr>
              <w:t xml:space="preserve">     of which: Water resource development</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0.5</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0.6</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0.6</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0.6</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0.8</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0.8</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Agriculture</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1.4</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1.6</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1.3</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1.1</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1.1</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1.2</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412D13">
            <w:pPr>
              <w:spacing w:after="0" w:line="20" w:lineRule="atLeast"/>
              <w:rPr>
                <w:rFonts w:eastAsia="Times New Roman"/>
                <w:color w:val="000000"/>
                <w:sz w:val="22"/>
                <w:szCs w:val="20"/>
              </w:rPr>
            </w:pPr>
            <w:r>
              <w:rPr>
                <w:rFonts w:eastAsia="Times New Roman"/>
                <w:color w:val="000000"/>
                <w:sz w:val="22"/>
                <w:szCs w:val="20"/>
              </w:rPr>
              <w:t xml:space="preserve">     Of which: Water Resource (</w:t>
            </w:r>
            <w:r w:rsidRPr="00835365">
              <w:rPr>
                <w:rFonts w:eastAsia="Times New Roman"/>
                <w:color w:val="000000"/>
                <w:sz w:val="22"/>
                <w:szCs w:val="20"/>
              </w:rPr>
              <w:t xml:space="preserve">Irrigation, </w:t>
            </w:r>
            <w:r w:rsidR="00412D13" w:rsidRPr="00835365">
              <w:rPr>
                <w:rFonts w:eastAsia="Times New Roman"/>
                <w:color w:val="000000"/>
                <w:sz w:val="22"/>
                <w:szCs w:val="20"/>
              </w:rPr>
              <w:t>F</w:t>
            </w:r>
            <w:r w:rsidR="00412D13">
              <w:rPr>
                <w:rFonts w:eastAsia="Times New Roman"/>
                <w:color w:val="000000"/>
                <w:sz w:val="22"/>
                <w:szCs w:val="20"/>
              </w:rPr>
              <w:t>M</w:t>
            </w:r>
            <w:r w:rsidR="00412D13" w:rsidRPr="00835365">
              <w:rPr>
                <w:rFonts w:eastAsia="Times New Roman"/>
                <w:color w:val="000000"/>
                <w:sz w:val="22"/>
                <w:szCs w:val="20"/>
              </w:rPr>
              <w:t>D</w:t>
            </w:r>
            <w:r w:rsidR="00412D13">
              <w:rPr>
                <w:rFonts w:eastAsia="Times New Roman"/>
                <w:color w:val="000000"/>
                <w:sz w:val="22"/>
                <w:szCs w:val="20"/>
              </w:rPr>
              <w:t>I</w:t>
            </w:r>
            <w:r w:rsidRPr="00835365">
              <w:rPr>
                <w:rFonts w:eastAsia="Times New Roman"/>
                <w:color w:val="000000"/>
                <w:sz w:val="22"/>
                <w:szCs w:val="20"/>
              </w:rPr>
              <w:t>, etc</w:t>
            </w:r>
            <w:r>
              <w:rPr>
                <w:rFonts w:eastAsia="Times New Roman"/>
                <w:color w:val="000000"/>
                <w:sz w:val="22"/>
                <w:szCs w:val="20"/>
              </w:rPr>
              <w:t>.</w:t>
            </w:r>
            <w:r w:rsidRPr="00835365">
              <w:rPr>
                <w:rFonts w:eastAsia="Times New Roman"/>
                <w:color w:val="000000"/>
                <w:sz w:val="22"/>
                <w:szCs w:val="20"/>
              </w:rPr>
              <w:t>)</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Social security and welfare</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0.9</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0.8</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0.8</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0.7</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1.0</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1.0</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b/>
                <w:color w:val="000000"/>
                <w:sz w:val="22"/>
                <w:szCs w:val="20"/>
              </w:rPr>
            </w:pPr>
            <w:r w:rsidRPr="00835365">
              <w:rPr>
                <w:rFonts w:eastAsia="Times New Roman"/>
                <w:b/>
                <w:color w:val="000000"/>
                <w:sz w:val="22"/>
                <w:szCs w:val="20"/>
              </w:rPr>
              <w:t xml:space="preserve">   Of which: Relief and Disaster Management</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0.4</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0.4</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0.4</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0.3</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0.4</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0.4</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Transport and communication</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0.9</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1.0</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1.1</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1.3</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1.5</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1.9</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 xml:space="preserve">     of which: Inland Water Transport</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0.1</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0.1</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Local government and rural development</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1.0</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1.1</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1.2</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1.2</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1.2</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 xml:space="preserve">      of which: Water supply and sanitation</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0.3</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0.3</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0.3</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sz w:val="22"/>
              </w:rPr>
            </w:pPr>
          </w:p>
        </w:tc>
        <w:tc>
          <w:tcPr>
            <w:tcW w:w="2522" w:type="pct"/>
            <w:gridSpan w:val="6"/>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center"/>
              <w:rPr>
                <w:rFonts w:eastAsia="Times New Roman"/>
                <w:b/>
                <w:color w:val="000000"/>
                <w:sz w:val="22"/>
                <w:szCs w:val="20"/>
              </w:rPr>
            </w:pPr>
            <w:r w:rsidRPr="00835365">
              <w:rPr>
                <w:rFonts w:eastAsia="Times New Roman"/>
                <w:b/>
                <w:color w:val="000000"/>
                <w:sz w:val="22"/>
                <w:szCs w:val="20"/>
              </w:rPr>
              <w:t>(% of Total Expenditure)</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412D13" w:rsidRDefault="008D578F" w:rsidP="00CA5B96">
            <w:pPr>
              <w:spacing w:after="0" w:line="20" w:lineRule="atLeast"/>
              <w:rPr>
                <w:rFonts w:eastAsia="Times New Roman"/>
                <w:i/>
                <w:color w:val="000000"/>
                <w:sz w:val="22"/>
                <w:szCs w:val="20"/>
              </w:rPr>
            </w:pPr>
            <w:r>
              <w:rPr>
                <w:rFonts w:eastAsia="Times New Roman"/>
                <w:i/>
                <w:color w:val="000000"/>
                <w:sz w:val="22"/>
                <w:szCs w:val="20"/>
              </w:rPr>
              <w:t>Agriculture</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9.6</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11.3</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9.2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7.8</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7.0</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6.7</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 xml:space="preserve">           Of which: Water Resource</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1.4</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1.4</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1.5</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1.4</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1.4</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1.4</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412D13" w:rsidRDefault="008D578F" w:rsidP="00CA5B96">
            <w:pPr>
              <w:spacing w:after="0" w:line="20" w:lineRule="atLeast"/>
              <w:rPr>
                <w:rFonts w:eastAsia="Times New Roman"/>
                <w:i/>
                <w:color w:val="000000"/>
                <w:sz w:val="22"/>
                <w:szCs w:val="20"/>
              </w:rPr>
            </w:pPr>
            <w:r>
              <w:rPr>
                <w:rFonts w:eastAsia="Times New Roman"/>
                <w:i/>
                <w:color w:val="000000"/>
                <w:sz w:val="22"/>
                <w:szCs w:val="20"/>
              </w:rPr>
              <w:t>Social security and welfare</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5.9</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5.8</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6.0</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5.5</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6.4</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5.8</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 xml:space="preserve">     Of which: Relief and Disaster Management</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2.8</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3.0</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3.1</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2.3</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2.9</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2.3</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412D13" w:rsidRDefault="008D578F" w:rsidP="00CA5B96">
            <w:pPr>
              <w:spacing w:after="0" w:line="20" w:lineRule="atLeast"/>
              <w:rPr>
                <w:rFonts w:eastAsia="Times New Roman"/>
                <w:i/>
                <w:color w:val="000000"/>
                <w:sz w:val="22"/>
                <w:szCs w:val="20"/>
              </w:rPr>
            </w:pPr>
            <w:r>
              <w:rPr>
                <w:rFonts w:eastAsia="Times New Roman"/>
                <w:i/>
                <w:color w:val="000000"/>
                <w:sz w:val="22"/>
                <w:szCs w:val="20"/>
              </w:rPr>
              <w:t>Transport and communication</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6.2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7.2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7.6</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9.3</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10.1</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11.0</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 xml:space="preserve">     of which: Inland Water Transport</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0.7</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0.9</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1.3</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1.4</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1.3</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1.2</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412D13" w:rsidRDefault="008D578F" w:rsidP="00CA5B96">
            <w:pPr>
              <w:spacing w:after="0" w:line="20" w:lineRule="atLeast"/>
              <w:rPr>
                <w:rFonts w:eastAsia="Times New Roman"/>
                <w:i/>
                <w:color w:val="000000"/>
                <w:sz w:val="22"/>
                <w:szCs w:val="20"/>
              </w:rPr>
            </w:pPr>
            <w:r>
              <w:rPr>
                <w:rFonts w:eastAsia="Times New Roman"/>
                <w:i/>
                <w:color w:val="000000"/>
                <w:sz w:val="22"/>
                <w:szCs w:val="20"/>
              </w:rPr>
              <w:t>Local government and rural development</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7.2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8.1</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7.7</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8.7</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8.1</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6.9</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 xml:space="preserve">      of which: Water supply and sanitation</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1.6</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1.6</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1.6</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1.9</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2.2</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color w:val="000000"/>
                <w:sz w:val="22"/>
                <w:szCs w:val="20"/>
              </w:rPr>
            </w:pPr>
            <w:r w:rsidRPr="00835365">
              <w:rPr>
                <w:rFonts w:eastAsia="Times New Roman"/>
                <w:color w:val="000000"/>
                <w:sz w:val="22"/>
                <w:szCs w:val="20"/>
              </w:rPr>
              <w:t>2.0</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b/>
                <w:color w:val="000000"/>
                <w:sz w:val="22"/>
                <w:szCs w:val="20"/>
              </w:rPr>
            </w:pPr>
            <w:r w:rsidRPr="00835365">
              <w:rPr>
                <w:rFonts w:eastAsia="Times New Roman"/>
                <w:b/>
                <w:color w:val="000000"/>
                <w:sz w:val="22"/>
                <w:szCs w:val="20"/>
              </w:rPr>
              <w:t>Total Investme</w:t>
            </w:r>
            <w:r>
              <w:rPr>
                <w:rFonts w:eastAsia="Times New Roman"/>
                <w:b/>
                <w:color w:val="000000"/>
                <w:sz w:val="22"/>
                <w:szCs w:val="20"/>
              </w:rPr>
              <w:t>nt in Water Resources</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3.7</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3.9</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4.4</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4.7</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4.9</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835365" w:rsidRDefault="00B360AB" w:rsidP="00CA5B96">
            <w:pPr>
              <w:spacing w:after="0" w:line="20" w:lineRule="atLeast"/>
              <w:jc w:val="right"/>
              <w:rPr>
                <w:rFonts w:eastAsia="Times New Roman"/>
                <w:b/>
                <w:color w:val="000000"/>
                <w:sz w:val="22"/>
                <w:szCs w:val="20"/>
              </w:rPr>
            </w:pPr>
            <w:r w:rsidRPr="00835365">
              <w:rPr>
                <w:rFonts w:eastAsia="Times New Roman"/>
                <w:b/>
                <w:color w:val="000000"/>
                <w:sz w:val="22"/>
                <w:szCs w:val="20"/>
              </w:rPr>
              <w:t>4.6</w:t>
            </w:r>
          </w:p>
        </w:tc>
      </w:tr>
      <w:tr w:rsidR="00B360AB" w:rsidRPr="00336044" w:rsidTr="00AF0CDC">
        <w:trPr>
          <w:trHeight w:val="300"/>
          <w:jc w:val="center"/>
        </w:trPr>
        <w:tc>
          <w:tcPr>
            <w:tcW w:w="2478" w:type="pct"/>
            <w:tcBorders>
              <w:top w:val="single" w:sz="4" w:space="0" w:color="000000"/>
              <w:left w:val="single" w:sz="4" w:space="0" w:color="000000"/>
              <w:bottom w:val="single" w:sz="4" w:space="0" w:color="000000"/>
              <w:right w:val="single" w:sz="4" w:space="0" w:color="000000"/>
            </w:tcBorders>
            <w:noWrap/>
            <w:hideMark/>
          </w:tcPr>
          <w:p w:rsidR="00B360AB" w:rsidRPr="00835365" w:rsidRDefault="00B360AB" w:rsidP="00CA5B96">
            <w:pPr>
              <w:spacing w:after="0" w:line="20" w:lineRule="atLeast"/>
              <w:rPr>
                <w:rFonts w:eastAsia="Times New Roman"/>
                <w:color w:val="000000"/>
                <w:sz w:val="22"/>
                <w:szCs w:val="20"/>
              </w:rPr>
            </w:pPr>
            <w:r w:rsidRPr="00835365">
              <w:rPr>
                <w:rFonts w:eastAsia="Times New Roman"/>
                <w:color w:val="000000"/>
                <w:sz w:val="22"/>
                <w:szCs w:val="20"/>
              </w:rPr>
              <w:t>Nominal GDP</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412D13" w:rsidRDefault="00F64A6A" w:rsidP="00CA5B96">
            <w:pPr>
              <w:shd w:val="clear" w:color="000000" w:fill="CCC0DA"/>
              <w:spacing w:before="100" w:beforeAutospacing="1" w:after="0" w:afterAutospacing="1" w:line="20" w:lineRule="atLeast"/>
              <w:jc w:val="right"/>
              <w:rPr>
                <w:rFonts w:eastAsia="Times New Roman"/>
                <w:b/>
                <w:color w:val="000000"/>
                <w:sz w:val="20"/>
                <w:szCs w:val="20"/>
              </w:rPr>
            </w:pPr>
            <w:r w:rsidRPr="00F64A6A">
              <w:rPr>
                <w:rFonts w:eastAsia="Times New Roman"/>
                <w:b/>
                <w:color w:val="000000"/>
                <w:sz w:val="20"/>
                <w:szCs w:val="20"/>
              </w:rPr>
              <w:t>10552</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412D13" w:rsidRDefault="00F64A6A" w:rsidP="00CA5B96">
            <w:pPr>
              <w:shd w:val="clear" w:color="000000" w:fill="CCC0DA"/>
              <w:spacing w:before="100" w:beforeAutospacing="1" w:after="0" w:afterAutospacing="1" w:line="20" w:lineRule="atLeast"/>
              <w:jc w:val="right"/>
              <w:rPr>
                <w:rFonts w:eastAsia="Times New Roman"/>
                <w:b/>
                <w:color w:val="000000"/>
                <w:sz w:val="20"/>
                <w:szCs w:val="20"/>
              </w:rPr>
            </w:pPr>
            <w:r w:rsidRPr="00F64A6A">
              <w:rPr>
                <w:rFonts w:eastAsia="Times New Roman"/>
                <w:b/>
                <w:color w:val="000000"/>
                <w:sz w:val="20"/>
                <w:szCs w:val="20"/>
              </w:rPr>
              <w:t>11989</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412D13" w:rsidRDefault="00F64A6A" w:rsidP="00CA5B96">
            <w:pPr>
              <w:shd w:val="clear" w:color="000000" w:fill="CCC0DA"/>
              <w:spacing w:before="100" w:beforeAutospacing="1" w:after="0" w:afterAutospacing="1" w:line="20" w:lineRule="atLeast"/>
              <w:jc w:val="right"/>
              <w:rPr>
                <w:rFonts w:eastAsia="Times New Roman"/>
                <w:b/>
                <w:color w:val="000000"/>
                <w:sz w:val="20"/>
                <w:szCs w:val="20"/>
              </w:rPr>
            </w:pPr>
            <w:r w:rsidRPr="00F64A6A">
              <w:rPr>
                <w:rFonts w:eastAsia="Times New Roman"/>
                <w:b/>
                <w:color w:val="000000"/>
                <w:sz w:val="20"/>
                <w:szCs w:val="20"/>
              </w:rPr>
              <w:t>13437</w:t>
            </w:r>
          </w:p>
        </w:tc>
        <w:tc>
          <w:tcPr>
            <w:tcW w:w="404" w:type="pct"/>
            <w:tcBorders>
              <w:top w:val="single" w:sz="4" w:space="0" w:color="000000"/>
              <w:left w:val="single" w:sz="4" w:space="0" w:color="000000"/>
              <w:bottom w:val="single" w:sz="4" w:space="0" w:color="000000"/>
              <w:right w:val="single" w:sz="4" w:space="0" w:color="000000"/>
            </w:tcBorders>
            <w:noWrap/>
            <w:vAlign w:val="center"/>
            <w:hideMark/>
          </w:tcPr>
          <w:p w:rsidR="00B360AB" w:rsidRPr="00412D13" w:rsidRDefault="00F64A6A" w:rsidP="00CA5B96">
            <w:pPr>
              <w:shd w:val="clear" w:color="000000" w:fill="CCC0DA"/>
              <w:spacing w:before="100" w:beforeAutospacing="1" w:after="0" w:afterAutospacing="1" w:line="20" w:lineRule="atLeast"/>
              <w:jc w:val="right"/>
              <w:rPr>
                <w:rFonts w:eastAsia="Times New Roman"/>
                <w:b/>
                <w:color w:val="000000"/>
                <w:sz w:val="20"/>
                <w:szCs w:val="20"/>
              </w:rPr>
            </w:pPr>
            <w:r w:rsidRPr="00F64A6A">
              <w:rPr>
                <w:rFonts w:eastAsia="Times New Roman"/>
                <w:b/>
                <w:color w:val="000000"/>
                <w:sz w:val="20"/>
                <w:szCs w:val="20"/>
              </w:rPr>
              <w:t>15158</w:t>
            </w:r>
          </w:p>
        </w:tc>
        <w:tc>
          <w:tcPr>
            <w:tcW w:w="485" w:type="pct"/>
            <w:tcBorders>
              <w:top w:val="single" w:sz="4" w:space="0" w:color="000000"/>
              <w:left w:val="single" w:sz="4" w:space="0" w:color="000000"/>
              <w:bottom w:val="single" w:sz="4" w:space="0" w:color="000000"/>
              <w:right w:val="single" w:sz="4" w:space="0" w:color="000000"/>
            </w:tcBorders>
            <w:noWrap/>
            <w:vAlign w:val="center"/>
            <w:hideMark/>
          </w:tcPr>
          <w:p w:rsidR="00B360AB" w:rsidRPr="00412D13" w:rsidRDefault="00F64A6A" w:rsidP="00CA5B96">
            <w:pPr>
              <w:shd w:val="clear" w:color="000000" w:fill="CCC0DA"/>
              <w:spacing w:before="100" w:beforeAutospacing="1" w:after="0" w:afterAutospacing="1" w:line="20" w:lineRule="atLeast"/>
              <w:jc w:val="right"/>
              <w:rPr>
                <w:rFonts w:eastAsia="Times New Roman"/>
                <w:b/>
                <w:color w:val="000000"/>
                <w:sz w:val="20"/>
                <w:szCs w:val="20"/>
              </w:rPr>
            </w:pPr>
            <w:r w:rsidRPr="00F64A6A">
              <w:rPr>
                <w:rFonts w:eastAsia="Times New Roman"/>
                <w:b/>
                <w:color w:val="000000"/>
                <w:sz w:val="20"/>
                <w:szCs w:val="20"/>
              </w:rPr>
              <w:t>17296</w:t>
            </w:r>
          </w:p>
        </w:tc>
        <w:tc>
          <w:tcPr>
            <w:tcW w:w="422" w:type="pct"/>
            <w:tcBorders>
              <w:top w:val="single" w:sz="4" w:space="0" w:color="000000"/>
              <w:left w:val="single" w:sz="4" w:space="0" w:color="000000"/>
              <w:bottom w:val="single" w:sz="4" w:space="0" w:color="000000"/>
              <w:right w:val="single" w:sz="4" w:space="0" w:color="000000"/>
            </w:tcBorders>
            <w:noWrap/>
            <w:vAlign w:val="center"/>
            <w:hideMark/>
          </w:tcPr>
          <w:p w:rsidR="00B360AB" w:rsidRPr="00412D13" w:rsidRDefault="00F64A6A" w:rsidP="00CA5B96">
            <w:pPr>
              <w:shd w:val="clear" w:color="000000" w:fill="CCC0DA"/>
              <w:spacing w:before="100" w:beforeAutospacing="1" w:after="0" w:afterAutospacing="1" w:line="20" w:lineRule="atLeast"/>
              <w:jc w:val="right"/>
              <w:rPr>
                <w:rFonts w:eastAsia="Times New Roman"/>
                <w:b/>
                <w:color w:val="000000"/>
                <w:sz w:val="20"/>
                <w:szCs w:val="20"/>
              </w:rPr>
            </w:pPr>
            <w:r w:rsidRPr="00F64A6A">
              <w:rPr>
                <w:rFonts w:eastAsia="Times New Roman"/>
                <w:b/>
                <w:color w:val="000000"/>
                <w:sz w:val="20"/>
                <w:szCs w:val="20"/>
              </w:rPr>
              <w:t>19681</w:t>
            </w:r>
          </w:p>
        </w:tc>
      </w:tr>
    </w:tbl>
    <w:p w:rsidR="00AF0CDC" w:rsidRDefault="00B360AB" w:rsidP="00AF0CDC">
      <w:pPr>
        <w:tabs>
          <w:tab w:val="left" w:pos="7353"/>
        </w:tabs>
        <w:spacing w:before="120"/>
        <w:rPr>
          <w:b/>
          <w:i/>
          <w:sz w:val="20"/>
        </w:rPr>
      </w:pPr>
      <w:r w:rsidRPr="002D7C47">
        <w:rPr>
          <w:b/>
          <w:i/>
          <w:sz w:val="20"/>
        </w:rPr>
        <w:t xml:space="preserve">      Source: Various Budget Documents, Ministry of Finance, Bangladesh</w:t>
      </w:r>
    </w:p>
    <w:p w:rsidR="00B360AB" w:rsidRDefault="00B360AB" w:rsidP="00AF0CDC">
      <w:pPr>
        <w:tabs>
          <w:tab w:val="left" w:pos="7353"/>
        </w:tabs>
        <w:spacing w:before="120" w:line="276" w:lineRule="auto"/>
        <w:jc w:val="both"/>
      </w:pPr>
      <w:r w:rsidRPr="002D7C47">
        <w:t xml:space="preserve">summary presentation only total allocations by major ministries are provided without the explicit allocations for the water related investment and environmental disaster mitigation. Investment allocations for water development/management projects in the agriculture, transport and communications, LGRD, and MOEF have been derived by reviewing the ADP allocations for all the ministries. Water and environment related sectors consist of water resources, inland water </w:t>
      </w:r>
      <w:r w:rsidRPr="002D7C47">
        <w:lastRenderedPageBreak/>
        <w:t>transport and water supply and sanitation, environment and forest projects, and disaster management.  A review of the budgetary allocations indicates that the total allocation for environment and water resource development has been increasing over time and reached a high of 0.8 percent of GDP in FY</w:t>
      </w:r>
      <w:r w:rsidR="00AF0CDC">
        <w:t>20</w:t>
      </w:r>
      <w:r w:rsidRPr="002D7C47">
        <w:t>16. It is also worth noting that almost half of the total allocation for social security and welfare is on account of Relief and Disaster Management (0.4 percent of GDP), which may be considered as the recurrent cost of adaptation due to floods and cyclones. Total budgetary allocation for water resource management and development and relief and disaster management accounts for 1.2 percent of GDP in FY</w:t>
      </w:r>
      <w:r w:rsidR="00AF0CDC">
        <w:t>20</w:t>
      </w:r>
      <w:r w:rsidRPr="002D7C47">
        <w:t>16.</w:t>
      </w:r>
    </w:p>
    <w:p w:rsidR="00256C53" w:rsidRPr="00AF0CDC" w:rsidRDefault="00256C53" w:rsidP="00AF0CDC">
      <w:pPr>
        <w:tabs>
          <w:tab w:val="left" w:pos="7353"/>
        </w:tabs>
        <w:spacing w:before="120" w:line="276" w:lineRule="auto"/>
        <w:jc w:val="both"/>
        <w:rPr>
          <w:b/>
          <w:i/>
          <w:sz w:val="20"/>
        </w:rPr>
      </w:pPr>
      <w:r>
        <w:t>As against this reality, the D</w:t>
      </w:r>
      <w:r w:rsidR="004611CE">
        <w:t xml:space="preserve">elta </w:t>
      </w:r>
      <w:r>
        <w:t>P</w:t>
      </w:r>
      <w:r w:rsidR="004611CE">
        <w:t>lan</w:t>
      </w:r>
      <w:r>
        <w:t xml:space="preserve"> Policy Option projections suggest the need for a major push in increasing resources for water and other delta-related investment spending that amounts to a three-fold increase in total DIP from 0.8% of GDP now to 2.5% of GDP by 2021. Furthermore, the pattern of investment allocation across the delta sectors indicated in Table 11.4 appear uncoordinated and not well-linked to achieving the core objectives and targets of the D</w:t>
      </w:r>
      <w:r w:rsidR="004611CE">
        <w:t xml:space="preserve">elta </w:t>
      </w:r>
      <w:r>
        <w:t>P</w:t>
      </w:r>
      <w:r w:rsidR="004611CE">
        <w:t>lan</w:t>
      </w:r>
      <w:r>
        <w:t xml:space="preserve">.  A major downside is the absence of an O&amp;M strategy for the water sector. It is obvious that a sea change is needed in </w:t>
      </w:r>
      <w:r w:rsidR="00EA4E38">
        <w:t>strengthening</w:t>
      </w:r>
      <w:r w:rsidR="004611CE">
        <w:t xml:space="preserve"> reso</w:t>
      </w:r>
      <w:r>
        <w:t>urce mobilization for the D</w:t>
      </w:r>
      <w:r w:rsidR="004611CE">
        <w:t xml:space="preserve">elta </w:t>
      </w:r>
      <w:r>
        <w:t>P</w:t>
      </w:r>
      <w:r w:rsidR="004611CE">
        <w:t>lan</w:t>
      </w:r>
      <w:r>
        <w:t xml:space="preserve"> and ensuring that the DIP is well coordinated and linked with the achievements of the </w:t>
      </w:r>
      <w:r w:rsidR="003F0F39">
        <w:t>majo</w:t>
      </w:r>
      <w:r w:rsidR="007C60FC">
        <w:t>r goals and objectives of the Delta Plan</w:t>
      </w:r>
      <w:r w:rsidR="003F0F39">
        <w:t>.</w:t>
      </w:r>
      <w:r>
        <w:t xml:space="preserve">  </w:t>
      </w:r>
    </w:p>
    <w:p w:rsidR="00296E41" w:rsidRPr="00296E41" w:rsidRDefault="00296E41" w:rsidP="00296E41">
      <w:bookmarkStart w:id="820" w:name="_Toc450215289"/>
      <w:bookmarkStart w:id="821" w:name="_Toc462850193"/>
      <w:bookmarkStart w:id="822" w:name="_Toc470264370"/>
      <w:bookmarkStart w:id="823" w:name="_Toc453889899"/>
      <w:r w:rsidRPr="00296E41">
        <w:br w:type="page"/>
      </w:r>
    </w:p>
    <w:p w:rsidR="00F64A6A" w:rsidRDefault="003F0F39" w:rsidP="00F64A6A">
      <w:pPr>
        <w:pStyle w:val="Heading2"/>
        <w:numPr>
          <w:ilvl w:val="0"/>
          <w:numId w:val="0"/>
        </w:numPr>
        <w:ind w:left="1080"/>
      </w:pPr>
      <w:bookmarkStart w:id="824" w:name="_Toc474638935"/>
      <w:r w:rsidRPr="00296E41">
        <w:lastRenderedPageBreak/>
        <w:t>Innovative financing arrangements and financial mechanisms</w:t>
      </w:r>
      <w:bookmarkEnd w:id="820"/>
      <w:bookmarkEnd w:id="821"/>
      <w:bookmarkEnd w:id="822"/>
      <w:bookmarkEnd w:id="824"/>
    </w:p>
    <w:p w:rsidR="00000000" w:rsidRDefault="003F0F39" w:rsidP="003D5A31">
      <w:pPr>
        <w:pStyle w:val="BodyText"/>
        <w:numPr>
          <w:ilvl w:val="2"/>
          <w:numId w:val="246"/>
        </w:numPr>
        <w:spacing w:after="240" w:line="276" w:lineRule="auto"/>
        <w:jc w:val="both"/>
        <w:rPr>
          <w:rFonts w:cs="Times New Roman"/>
          <w:b/>
          <w:szCs w:val="24"/>
        </w:rPr>
      </w:pPr>
      <w:bookmarkStart w:id="825" w:name="_Toc450215290"/>
      <w:bookmarkStart w:id="826" w:name="_Toc462850194"/>
      <w:r w:rsidRPr="007C60FC">
        <w:rPr>
          <w:rFonts w:cs="Times New Roman"/>
          <w:b/>
          <w:szCs w:val="24"/>
        </w:rPr>
        <w:t>Introduction</w:t>
      </w:r>
      <w:bookmarkEnd w:id="825"/>
      <w:bookmarkEnd w:id="826"/>
    </w:p>
    <w:p w:rsidR="003F0F39" w:rsidRPr="007C60FC" w:rsidRDefault="003F0F39" w:rsidP="003F0F39">
      <w:pPr>
        <w:spacing w:line="276" w:lineRule="auto"/>
        <w:jc w:val="both"/>
        <w:rPr>
          <w:szCs w:val="24"/>
        </w:rPr>
      </w:pPr>
      <w:r w:rsidRPr="007C60FC">
        <w:rPr>
          <w:szCs w:val="24"/>
        </w:rPr>
        <w:t xml:space="preserve">To provide potential options for future funding of water </w:t>
      </w:r>
      <w:r w:rsidR="00233F89">
        <w:rPr>
          <w:szCs w:val="24"/>
        </w:rPr>
        <w:t xml:space="preserve">resource management </w:t>
      </w:r>
      <w:r w:rsidRPr="007C60FC">
        <w:rPr>
          <w:szCs w:val="24"/>
        </w:rPr>
        <w:t>in Bangladesh</w:t>
      </w:r>
      <w:r w:rsidR="00233F89">
        <w:rPr>
          <w:szCs w:val="24"/>
        </w:rPr>
        <w:t>,</w:t>
      </w:r>
      <w:r w:rsidRPr="007C60FC">
        <w:rPr>
          <w:szCs w:val="24"/>
        </w:rPr>
        <w:t xml:space="preserve"> a number of practices from other countries have been explored and discussed. </w:t>
      </w:r>
    </w:p>
    <w:p w:rsidR="00000000" w:rsidRDefault="003F0F39" w:rsidP="003D5A31">
      <w:pPr>
        <w:pStyle w:val="BodyText"/>
        <w:numPr>
          <w:ilvl w:val="2"/>
          <w:numId w:val="246"/>
        </w:numPr>
        <w:spacing w:after="240" w:line="276" w:lineRule="auto"/>
        <w:jc w:val="both"/>
        <w:rPr>
          <w:rFonts w:cs="Times New Roman"/>
          <w:b/>
          <w:szCs w:val="24"/>
        </w:rPr>
      </w:pPr>
      <w:bookmarkStart w:id="827" w:name="_Toc450215291"/>
      <w:bookmarkStart w:id="828" w:name="_Toc462850195"/>
      <w:r w:rsidRPr="007C60FC">
        <w:rPr>
          <w:rFonts w:cs="Times New Roman"/>
          <w:b/>
          <w:szCs w:val="24"/>
        </w:rPr>
        <w:t>Categories of potential funding and financing arrangements</w:t>
      </w:r>
      <w:bookmarkEnd w:id="827"/>
      <w:bookmarkEnd w:id="828"/>
    </w:p>
    <w:p w:rsidR="003F0F39" w:rsidRPr="007C60FC" w:rsidRDefault="003F0F39" w:rsidP="003F0F39">
      <w:pPr>
        <w:spacing w:line="276" w:lineRule="auto"/>
        <w:jc w:val="both"/>
        <w:rPr>
          <w:szCs w:val="24"/>
        </w:rPr>
      </w:pPr>
      <w:r w:rsidRPr="007C60FC">
        <w:rPr>
          <w:szCs w:val="24"/>
        </w:rPr>
        <w:t xml:space="preserve">In the diagram below the relation between the funding needs for water services, potential funding arrangements and financing mechanisms is illustrated. First the investment and annual revenue budget needed for </w:t>
      </w:r>
      <w:r w:rsidR="00233F89">
        <w:rPr>
          <w:szCs w:val="24"/>
        </w:rPr>
        <w:t xml:space="preserve">O&amp;M </w:t>
      </w:r>
      <w:r w:rsidRPr="007C60FC">
        <w:rPr>
          <w:szCs w:val="24"/>
        </w:rPr>
        <w:t>of the relevant water service needs to be specified</w:t>
      </w:r>
      <w:r w:rsidR="00233F89">
        <w:rPr>
          <w:szCs w:val="24"/>
        </w:rPr>
        <w:t>:</w:t>
      </w:r>
      <w:r w:rsidRPr="007C60FC">
        <w:rPr>
          <w:szCs w:val="24"/>
        </w:rPr>
        <w:t xml:space="preserve"> </w:t>
      </w:r>
      <w:r w:rsidR="00233F89">
        <w:rPr>
          <w:szCs w:val="24"/>
        </w:rPr>
        <w:t>(a) b</w:t>
      </w:r>
      <w:r w:rsidR="00233F89" w:rsidRPr="007C60FC">
        <w:rPr>
          <w:szCs w:val="24"/>
        </w:rPr>
        <w:t xml:space="preserve">ased </w:t>
      </w:r>
      <w:r w:rsidRPr="007C60FC">
        <w:rPr>
          <w:szCs w:val="24"/>
        </w:rPr>
        <w:t>on budget funding arrangements (</w:t>
      </w:r>
      <w:r w:rsidR="00233F89">
        <w:rPr>
          <w:szCs w:val="24"/>
        </w:rPr>
        <w:t>b</w:t>
      </w:r>
      <w:r w:rsidRPr="007C60FC">
        <w:rPr>
          <w:szCs w:val="24"/>
        </w:rPr>
        <w:t xml:space="preserve">) to recover both investment and annual </w:t>
      </w:r>
      <w:r w:rsidR="00233F89">
        <w:rPr>
          <w:szCs w:val="24"/>
        </w:rPr>
        <w:t xml:space="preserve">O&amp;M </w:t>
      </w:r>
      <w:r w:rsidRPr="007C60FC">
        <w:rPr>
          <w:szCs w:val="24"/>
        </w:rPr>
        <w:t xml:space="preserve">costs of the relevant water services. </w:t>
      </w:r>
    </w:p>
    <w:p w:rsidR="003F0F39" w:rsidRPr="007C60FC" w:rsidRDefault="003F0F39" w:rsidP="003F0F39">
      <w:pPr>
        <w:spacing w:line="276" w:lineRule="auto"/>
        <w:jc w:val="both"/>
        <w:rPr>
          <w:szCs w:val="24"/>
        </w:rPr>
      </w:pPr>
      <w:r w:rsidRPr="007C60FC">
        <w:rPr>
          <w:szCs w:val="24"/>
        </w:rPr>
        <w:t>The first potential set of funding arrangements (</w:t>
      </w:r>
      <w:r w:rsidR="00233F89">
        <w:rPr>
          <w:szCs w:val="24"/>
        </w:rPr>
        <w:t>a</w:t>
      </w:r>
      <w:r w:rsidRPr="007C60FC">
        <w:rPr>
          <w:szCs w:val="24"/>
        </w:rPr>
        <w:t xml:space="preserve">) consists of pricing mechanisms: optimising user charges and payments and billing systems in order to recover the costs (as much as possible aimed at full cost recovery). This is often easier for drinking water provision (where clear individual users or consumers can be identified) compared to water resources management (where it can be harder to identify clear individual users or consumers) and where externalities (such as lives saved, health benefits etc.) are more present. Cost optimization can be part of the possible options in the first set. </w:t>
      </w:r>
    </w:p>
    <w:p w:rsidR="003F0F39" w:rsidRPr="007C60FC" w:rsidRDefault="003F0F39" w:rsidP="003F0F39">
      <w:pPr>
        <w:spacing w:line="276" w:lineRule="auto"/>
        <w:jc w:val="both"/>
        <w:rPr>
          <w:szCs w:val="24"/>
        </w:rPr>
      </w:pPr>
      <w:r w:rsidRPr="007C60FC">
        <w:rPr>
          <w:szCs w:val="24"/>
        </w:rPr>
        <w:t>The next set of potential funding arrangements (</w:t>
      </w:r>
      <w:r w:rsidR="00850B88">
        <w:rPr>
          <w:szCs w:val="24"/>
        </w:rPr>
        <w:t>b</w:t>
      </w:r>
      <w:r w:rsidRPr="007C60FC">
        <w:rPr>
          <w:szCs w:val="24"/>
        </w:rPr>
        <w:t xml:space="preserve">) is in the area of institutional arrangements. Examples can be the setting up of dedicated funds fed by taxes, special levies or reallocation of existing government budgets. </w:t>
      </w:r>
      <w:r w:rsidR="008B7627" w:rsidRPr="008B7627">
        <w:t xml:space="preserve"> </w:t>
      </w:r>
      <w:r w:rsidR="008B7627">
        <w:t>Public</w:t>
      </w:r>
      <w:r w:rsidRPr="007C60FC">
        <w:rPr>
          <w:szCs w:val="24"/>
        </w:rPr>
        <w:t xml:space="preserve"> Private Partnership models or scope extension adding income from other functions (such as land reclamation or urban development) can be part of these options. </w:t>
      </w:r>
    </w:p>
    <w:p w:rsidR="003F0F39" w:rsidRPr="007C60FC" w:rsidRDefault="003F0F39" w:rsidP="003F0F39">
      <w:pPr>
        <w:spacing w:line="276" w:lineRule="auto"/>
        <w:jc w:val="both"/>
        <w:rPr>
          <w:szCs w:val="24"/>
        </w:rPr>
      </w:pPr>
      <w:r w:rsidRPr="007C60FC">
        <w:rPr>
          <w:szCs w:val="24"/>
        </w:rPr>
        <w:t xml:space="preserve">After some kind of funding model is chosen, the financing mechanisms (III) consisting of a set of financing instruments (private equity, loans, </w:t>
      </w:r>
      <w:r w:rsidR="008B7627" w:rsidRPr="008B7627">
        <w:t xml:space="preserve"> </w:t>
      </w:r>
      <w:r w:rsidR="008B7627">
        <w:t>public</w:t>
      </w:r>
      <w:r w:rsidRPr="007C60FC">
        <w:rPr>
          <w:szCs w:val="24"/>
        </w:rPr>
        <w:t xml:space="preserve"> grants etc.) will be determined. The mixture or </w:t>
      </w:r>
      <w:r w:rsidR="008B7627">
        <w:t>public</w:t>
      </w:r>
      <w:r w:rsidRPr="007C60FC">
        <w:rPr>
          <w:szCs w:val="24"/>
        </w:rPr>
        <w:t xml:space="preserve"> finance (such as government or donor grants) versus private repayable finance (equity, loans) depends on the funding (cost recovery) pattern and structure. The more private is revenue, the higher the possibilities for private finance. Moreover, this financing structure will be different in the development, implementation and operational phases of water services (depending on the risk-return pattern in each phase).</w:t>
      </w:r>
    </w:p>
    <w:p w:rsidR="003F0F39" w:rsidRPr="00296E41" w:rsidRDefault="003F0F39" w:rsidP="00296E41"/>
    <w:p w:rsidR="003F0F39" w:rsidRPr="00296E41" w:rsidRDefault="003F0F39" w:rsidP="00296E41"/>
    <w:p w:rsidR="003F0F39" w:rsidRPr="00C94F2E" w:rsidRDefault="003F0F39" w:rsidP="007C60FC">
      <w:pPr>
        <w:spacing w:line="264" w:lineRule="auto"/>
        <w:jc w:val="center"/>
        <w:rPr>
          <w:color w:val="FF0000"/>
        </w:rPr>
      </w:pPr>
      <w:r w:rsidRPr="00C94F2E">
        <w:rPr>
          <w:noProof/>
          <w:color w:val="FF0000"/>
          <w:lang w:val="en-AU" w:eastAsia="en-AU" w:bidi="bn-BD"/>
        </w:rPr>
        <w:lastRenderedPageBreak/>
        <w:drawing>
          <wp:inline distT="0" distB="0" distL="0" distR="0">
            <wp:extent cx="5329237" cy="4248150"/>
            <wp:effectExtent l="0" t="0" r="508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Picture 19"/>
                    <pic:cNvPicPr>
                      <a:picLocks noChangeAspect="1"/>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9237" cy="424815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pic:spPr>
                </pic:pic>
              </a:graphicData>
            </a:graphic>
          </wp:inline>
        </w:drawing>
      </w:r>
    </w:p>
    <w:p w:rsidR="003F0F39" w:rsidRPr="007C60FC" w:rsidRDefault="003F0F39" w:rsidP="00296E41">
      <w:pPr>
        <w:spacing w:line="276" w:lineRule="auto"/>
        <w:jc w:val="both"/>
      </w:pPr>
      <w:r w:rsidRPr="007C60FC">
        <w:t xml:space="preserve">More than 40 cases on funding and financing arrangements </w:t>
      </w:r>
      <w:r w:rsidR="00850B88" w:rsidRPr="007C60FC">
        <w:t>have</w:t>
      </w:r>
      <w:r w:rsidRPr="007C60FC">
        <w:t xml:space="preserve"> been investigated from about 30 countries all over the world (including some cases already in place in Bangladesh). The international practices show a number of examples which might also be relevant for Bangladesh; a few examples are mentioned below. For more information on the various financing and funding mechanisms possibilities including some examples of cases is referred to BDP2100 report on </w:t>
      </w:r>
      <w:r w:rsidRPr="007C60FC">
        <w:rPr>
          <w:i/>
        </w:rPr>
        <w:t>“Financing and Funding Arrangements, part 2: international cases in core water services”.</w:t>
      </w:r>
    </w:p>
    <w:p w:rsidR="00000000" w:rsidRDefault="003F0F39" w:rsidP="003D5A31">
      <w:pPr>
        <w:pStyle w:val="BodyText"/>
        <w:numPr>
          <w:ilvl w:val="2"/>
          <w:numId w:val="246"/>
        </w:numPr>
        <w:spacing w:after="240" w:line="276" w:lineRule="auto"/>
        <w:jc w:val="both"/>
        <w:rPr>
          <w:rFonts w:cs="Times New Roman"/>
          <w:b/>
          <w:szCs w:val="24"/>
        </w:rPr>
      </w:pPr>
      <w:bookmarkStart w:id="829" w:name="_Toc450215292"/>
      <w:bookmarkStart w:id="830" w:name="_Toc462850196"/>
      <w:r w:rsidRPr="007C60FC">
        <w:rPr>
          <w:rFonts w:cs="Times New Roman"/>
          <w:b/>
          <w:szCs w:val="24"/>
        </w:rPr>
        <w:t>International practices</w:t>
      </w:r>
      <w:r w:rsidR="00850B88">
        <w:rPr>
          <w:rFonts w:cs="Times New Roman"/>
          <w:b/>
          <w:szCs w:val="24"/>
        </w:rPr>
        <w:t xml:space="preserve"> for </w:t>
      </w:r>
      <w:r w:rsidRPr="007C60FC">
        <w:rPr>
          <w:rFonts w:cs="Times New Roman"/>
          <w:b/>
          <w:szCs w:val="24"/>
        </w:rPr>
        <w:t>funding and financing arrangements</w:t>
      </w:r>
      <w:bookmarkEnd w:id="829"/>
      <w:bookmarkEnd w:id="830"/>
    </w:p>
    <w:p w:rsidR="003F0F39" w:rsidRPr="00296E41" w:rsidRDefault="003F0F39" w:rsidP="00D136BB">
      <w:pPr>
        <w:spacing w:before="120" w:after="120"/>
        <w:rPr>
          <w:i/>
        </w:rPr>
      </w:pPr>
      <w:r w:rsidRPr="00296E41">
        <w:rPr>
          <w:i/>
        </w:rPr>
        <w:t>Flood protection and water security</w:t>
      </w:r>
    </w:p>
    <w:p w:rsidR="003F0F39" w:rsidRPr="007C60FC" w:rsidRDefault="003F0F39" w:rsidP="00296E41">
      <w:pPr>
        <w:spacing w:line="276" w:lineRule="auto"/>
        <w:jc w:val="both"/>
      </w:pPr>
      <w:r w:rsidRPr="007C60FC">
        <w:t xml:space="preserve">In a number of countries </w:t>
      </w:r>
      <w:r w:rsidRPr="007C60FC">
        <w:rPr>
          <w:i/>
        </w:rPr>
        <w:t>dedicated funds</w:t>
      </w:r>
      <w:r w:rsidRPr="007C60FC">
        <w:t xml:space="preserve"> have been set up to allocate resources for specific purposes in the climate or water sector. Recently especially in the field of climate change a number of funds have been established earmarking financial resources for specific aims and types of projects. Examples are the Green Climate Fund (GCF –Section 15.3.10) or the Sustainable Water Fund or in the Netherlands the </w:t>
      </w:r>
      <w:r w:rsidRPr="007C60FC">
        <w:rPr>
          <w:i/>
        </w:rPr>
        <w:t>Delta Fund</w:t>
      </w:r>
      <w:r w:rsidRPr="007C60FC">
        <w:t xml:space="preserve">. </w:t>
      </w:r>
    </w:p>
    <w:p w:rsidR="003F0F39" w:rsidRPr="007C60FC" w:rsidRDefault="003F0F39" w:rsidP="003F0F39">
      <w:pPr>
        <w:spacing w:after="120" w:line="276" w:lineRule="auto"/>
        <w:jc w:val="both"/>
      </w:pPr>
      <w:r w:rsidRPr="007C60FC">
        <w:t xml:space="preserve">In countries such as UK or Nigeria examples are shown of </w:t>
      </w:r>
      <w:r w:rsidR="00F64A6A" w:rsidRPr="00F64A6A">
        <w:rPr>
          <w:i/>
        </w:rPr>
        <w:t>Public</w:t>
      </w:r>
      <w:r w:rsidRPr="008B7627">
        <w:rPr>
          <w:i/>
        </w:rPr>
        <w:t xml:space="preserve"> </w:t>
      </w:r>
      <w:r w:rsidRPr="007C60FC">
        <w:rPr>
          <w:i/>
        </w:rPr>
        <w:t>Private Partnership (PPP) models</w:t>
      </w:r>
      <w:r w:rsidRPr="007C60FC">
        <w:t xml:space="preserve"> for flood protection. Often scope extension - combining water protection with land </w:t>
      </w:r>
      <w:r w:rsidRPr="007C60FC">
        <w:lastRenderedPageBreak/>
        <w:t>reclamation or urban development - is used to tap into new revenue streams. This could be most relevant in the medium and long term for coastal zones and urban areas in Bangladesh. In the UK PPP models with availability payments</w:t>
      </w:r>
      <w:r w:rsidRPr="007C60FC">
        <w:rPr>
          <w:vertAlign w:val="superscript"/>
        </w:rPr>
        <w:footnoteReference w:id="48"/>
      </w:r>
      <w:r w:rsidRPr="007C60FC">
        <w:t xml:space="preserve"> for flood protection infrastructure have been started. </w:t>
      </w:r>
    </w:p>
    <w:p w:rsidR="003F0F39" w:rsidRPr="00296E41" w:rsidRDefault="003F0F39" w:rsidP="00D136BB">
      <w:pPr>
        <w:spacing w:before="120" w:after="120"/>
        <w:rPr>
          <w:i/>
        </w:rPr>
      </w:pPr>
      <w:r w:rsidRPr="00296E41">
        <w:rPr>
          <w:i/>
        </w:rPr>
        <w:t>Water availability and river transport</w:t>
      </w:r>
    </w:p>
    <w:p w:rsidR="003F0F39" w:rsidRPr="007C60FC" w:rsidRDefault="003F0F39" w:rsidP="00296E41">
      <w:pPr>
        <w:spacing w:line="276" w:lineRule="auto"/>
        <w:jc w:val="both"/>
      </w:pPr>
      <w:r w:rsidRPr="007C60FC">
        <w:t xml:space="preserve">The report mentioned above shows interesting </w:t>
      </w:r>
      <w:r w:rsidRPr="007C60FC">
        <w:rPr>
          <w:i/>
        </w:rPr>
        <w:t>water pricing systems in irrigation</w:t>
      </w:r>
      <w:r w:rsidRPr="007C60FC">
        <w:t xml:space="preserve"> from Israel, irrigation PPP model from Morocco and a combined system from South Africa. Some of these private irrigation schemes and water pricing models could be relevant for application for new irrigation projects in Bangladesh. </w:t>
      </w:r>
    </w:p>
    <w:p w:rsidR="003F0F39" w:rsidRPr="00296E41" w:rsidRDefault="003F0F39" w:rsidP="00D136BB">
      <w:pPr>
        <w:spacing w:before="120" w:after="120"/>
        <w:rPr>
          <w:i/>
        </w:rPr>
      </w:pPr>
      <w:r w:rsidRPr="00296E41">
        <w:rPr>
          <w:i/>
        </w:rPr>
        <w:t xml:space="preserve">Water supply and sanitation </w:t>
      </w:r>
    </w:p>
    <w:p w:rsidR="003F0F39" w:rsidRPr="007C60FC" w:rsidRDefault="003F0F39" w:rsidP="003F0F39">
      <w:pPr>
        <w:spacing w:after="120" w:line="276" w:lineRule="auto"/>
        <w:jc w:val="both"/>
      </w:pPr>
      <w:r w:rsidRPr="007C60FC">
        <w:t>In this sector a range of market based arrangements has been found which all aim to improve cost recovery:</w:t>
      </w:r>
    </w:p>
    <w:p w:rsidR="00000000" w:rsidRDefault="003F0F39" w:rsidP="003D5A31">
      <w:pPr>
        <w:numPr>
          <w:ilvl w:val="0"/>
          <w:numId w:val="229"/>
        </w:numPr>
        <w:spacing w:after="40" w:line="264" w:lineRule="auto"/>
        <w:jc w:val="both"/>
      </w:pPr>
      <w:r w:rsidRPr="007C60FC">
        <w:t>Optimal tariff setting (gradual increase scheme tariffs in Senegal, block tariffs in Fiji etc.);</w:t>
      </w:r>
    </w:p>
    <w:p w:rsidR="00000000" w:rsidRDefault="003F0F39" w:rsidP="003D5A31">
      <w:pPr>
        <w:numPr>
          <w:ilvl w:val="0"/>
          <w:numId w:val="229"/>
        </w:numPr>
        <w:spacing w:after="40" w:line="264" w:lineRule="auto"/>
        <w:jc w:val="both"/>
      </w:pPr>
      <w:r w:rsidRPr="007C60FC">
        <w:t>Smart metering and innovative payment and billing systems (cases from Africa);</w:t>
      </w:r>
    </w:p>
    <w:p w:rsidR="00000000" w:rsidRDefault="003F0F39" w:rsidP="003D5A31">
      <w:pPr>
        <w:numPr>
          <w:ilvl w:val="0"/>
          <w:numId w:val="229"/>
        </w:numPr>
        <w:spacing w:after="40" w:line="264" w:lineRule="auto"/>
        <w:jc w:val="both"/>
      </w:pPr>
      <w:r w:rsidRPr="007C60FC">
        <w:t xml:space="preserve">Innovative leak detection in order to reduce non-revenue water (Mozambique); </w:t>
      </w:r>
    </w:p>
    <w:p w:rsidR="00000000" w:rsidRDefault="003F0F39" w:rsidP="003D5A31">
      <w:pPr>
        <w:numPr>
          <w:ilvl w:val="0"/>
          <w:numId w:val="229"/>
        </w:numPr>
        <w:spacing w:after="40" w:line="264" w:lineRule="auto"/>
        <w:jc w:val="both"/>
      </w:pPr>
      <w:r w:rsidRPr="007C60FC">
        <w:t>Introduction of benefit charging and polluters pay principle (example water extraction in the Baltics);</w:t>
      </w:r>
    </w:p>
    <w:p w:rsidR="003F0F39" w:rsidRPr="007C60FC" w:rsidRDefault="003F0F39" w:rsidP="003F0F39">
      <w:pPr>
        <w:spacing w:line="264" w:lineRule="auto"/>
      </w:pPr>
      <w:r w:rsidRPr="007C60FC">
        <w:t>Apart from market based arrangements a number of institutional developments are interesting:</w:t>
      </w:r>
    </w:p>
    <w:p w:rsidR="00000000" w:rsidRDefault="003F0F39" w:rsidP="003D5A31">
      <w:pPr>
        <w:numPr>
          <w:ilvl w:val="0"/>
          <w:numId w:val="230"/>
        </w:numPr>
        <w:spacing w:after="40" w:line="264" w:lineRule="auto"/>
        <w:jc w:val="both"/>
      </w:pPr>
      <w:r w:rsidRPr="007C60FC">
        <w:t>Small scale plug and play water purification stations operated by private sector (rural areas or peri-urban areas);</w:t>
      </w:r>
    </w:p>
    <w:p w:rsidR="00000000" w:rsidRDefault="003F0F39" w:rsidP="003D5A31">
      <w:pPr>
        <w:numPr>
          <w:ilvl w:val="0"/>
          <w:numId w:val="230"/>
        </w:numPr>
        <w:spacing w:after="40" w:line="264" w:lineRule="auto"/>
        <w:jc w:val="both"/>
      </w:pPr>
      <w:r w:rsidRPr="007C60FC">
        <w:t>Community or private operation of small drinking water operations (rural areas Haiti);</w:t>
      </w:r>
    </w:p>
    <w:p w:rsidR="00000000" w:rsidRDefault="003F0F39" w:rsidP="003D5A31">
      <w:pPr>
        <w:numPr>
          <w:ilvl w:val="0"/>
          <w:numId w:val="230"/>
        </w:numPr>
        <w:spacing w:line="264" w:lineRule="auto"/>
        <w:jc w:val="both"/>
      </w:pPr>
      <w:r w:rsidRPr="007C60FC">
        <w:t>PPP and privatization (Manila Water, Chile, Netherlands PPP Waste Water Treatment).</w:t>
      </w:r>
    </w:p>
    <w:p w:rsidR="003F0F39" w:rsidRPr="007C60FC" w:rsidRDefault="003F0F39" w:rsidP="00296E41">
      <w:pPr>
        <w:spacing w:line="276" w:lineRule="auto"/>
        <w:jc w:val="both"/>
      </w:pPr>
      <w:r w:rsidRPr="007C60FC">
        <w:t xml:space="preserve">Finally, a number of innovative financing instruments have been investigated based upon principles of revolving funds, blending grants and/or guarantees with repayable finance and pooling. </w:t>
      </w:r>
    </w:p>
    <w:p w:rsidR="003F0F39" w:rsidRPr="007C60FC" w:rsidRDefault="003F0F39" w:rsidP="00296E41">
      <w:pPr>
        <w:spacing w:line="276" w:lineRule="auto"/>
        <w:jc w:val="both"/>
      </w:pPr>
      <w:r w:rsidRPr="007C60FC">
        <w:t>Based on the above a summary table is presented with a selection of international practices.</w:t>
      </w:r>
    </w:p>
    <w:p w:rsidR="003F0F39" w:rsidRPr="007C60FC" w:rsidRDefault="003F0F39" w:rsidP="003F0F39">
      <w:pPr>
        <w:rPr>
          <w:rFonts w:cs="Times New Roman"/>
          <w:b/>
          <w:bCs/>
          <w:szCs w:val="24"/>
        </w:rPr>
      </w:pPr>
      <w:bookmarkStart w:id="831" w:name="cursor"/>
      <w:bookmarkStart w:id="832" w:name="_Toc462850243"/>
      <w:bookmarkStart w:id="833" w:name="_Toc470264403"/>
      <w:bookmarkEnd w:id="831"/>
      <w:r w:rsidRPr="007C60FC">
        <w:br w:type="page"/>
      </w:r>
    </w:p>
    <w:p w:rsidR="003F0F39" w:rsidRPr="007C60FC" w:rsidRDefault="003F0F39" w:rsidP="003F0F39">
      <w:pPr>
        <w:pStyle w:val="Heading4"/>
      </w:pPr>
      <w:bookmarkStart w:id="834" w:name="_Toc474639141"/>
      <w:r w:rsidRPr="007C60FC">
        <w:lastRenderedPageBreak/>
        <w:t xml:space="preserve">Table </w:t>
      </w:r>
      <w:r w:rsidR="001A12B2" w:rsidRPr="001A12B2">
        <w:rPr>
          <w:noProof/>
        </w:rPr>
        <w:pict>
          <v:shape id="Text Box 52236" o:spid="_x0000_s1136" type="#_x0000_t202" style="position:absolute;left:0;text-align:left;margin-left:-99.25pt;margin-top:-49.45pt;width:0;height:0;z-index:251782144;visibility:hidden;mso-wrap-distance-left:3.17494mm;mso-wrap-distance-top:-6e-5mm;mso-wrap-distance-right:3.17494mm;mso-wrap-distance-bottom:-6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" filled="f" strokeweight=".5pt">
            <v:path arrowok="t"/>
            <v:textbox style="layout-flow:vertical;mso-layout-flow-alt:bottom-to-top;mso-next-textbox:#Text Box 52236">
              <w:txbxContent>
                <w:p w:rsidR="009D3B38" w:rsidRDefault="009D3B38" w:rsidP="003F0F39"/>
              </w:txbxContent>
            </v:textbox>
          </v:shape>
        </w:pict>
      </w:r>
      <w:r w:rsidRPr="007C60FC">
        <w:t>11.</w:t>
      </w:r>
      <w:r w:rsidR="00D136BB">
        <w:t>7</w:t>
      </w:r>
      <w:r w:rsidRPr="007C60FC">
        <w:t>: Selection of international practices on Innovative Finance for Water</w:t>
      </w:r>
      <w:bookmarkEnd w:id="832"/>
      <w:bookmarkEnd w:id="833"/>
      <w:bookmarkEnd w:id="834"/>
    </w:p>
    <w:tbl>
      <w:tblPr>
        <w:tblStyle w:val="MediumShading1-Accent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4"/>
        <w:gridCol w:w="2300"/>
        <w:gridCol w:w="5522"/>
      </w:tblGrid>
      <w:tr w:rsidR="003F0F39" w:rsidRPr="007C60FC" w:rsidTr="001B62D7">
        <w:trPr>
          <w:cnfStyle w:val="100000000000"/>
        </w:trPr>
        <w:tc>
          <w:tcPr>
            <w:cnfStyle w:val="001000000000"/>
            <w:tcW w:w="916" w:type="pct"/>
            <w:shd w:val="clear" w:color="auto" w:fill="auto"/>
          </w:tcPr>
          <w:p w:rsidR="003F0F39" w:rsidRPr="007C60FC" w:rsidRDefault="003F0F39" w:rsidP="001B62D7">
            <w:pPr>
              <w:rPr>
                <w:rFonts w:ascii="Times New Roman" w:hAnsi="Times New Roman" w:cs="Times New Roman"/>
                <w:color w:val="auto"/>
                <w:sz w:val="18"/>
                <w:szCs w:val="24"/>
              </w:rPr>
            </w:pPr>
            <w:r w:rsidRPr="007C60FC">
              <w:rPr>
                <w:rFonts w:ascii="Times New Roman" w:hAnsi="Times New Roman" w:cs="Times New Roman"/>
                <w:color w:val="auto"/>
                <w:sz w:val="18"/>
                <w:szCs w:val="24"/>
              </w:rPr>
              <w:t>Water sub-sector &amp; funding category</w:t>
            </w:r>
          </w:p>
        </w:tc>
        <w:tc>
          <w:tcPr>
            <w:tcW w:w="1201" w:type="pct"/>
            <w:shd w:val="clear" w:color="auto" w:fill="auto"/>
          </w:tcPr>
          <w:p w:rsidR="003F0F39" w:rsidRPr="007C60FC" w:rsidRDefault="003F0F39" w:rsidP="001B62D7">
            <w:pPr>
              <w:cnfStyle w:val="100000000000"/>
              <w:rPr>
                <w:rFonts w:ascii="Times New Roman" w:hAnsi="Times New Roman" w:cs="Times New Roman"/>
                <w:color w:val="auto"/>
                <w:sz w:val="18"/>
                <w:szCs w:val="24"/>
              </w:rPr>
            </w:pPr>
            <w:r w:rsidRPr="007C60FC">
              <w:rPr>
                <w:rFonts w:ascii="Times New Roman" w:hAnsi="Times New Roman" w:cs="Times New Roman"/>
                <w:color w:val="auto"/>
                <w:sz w:val="18"/>
                <w:szCs w:val="24"/>
              </w:rPr>
              <w:t>Practice title</w:t>
            </w:r>
          </w:p>
        </w:tc>
        <w:tc>
          <w:tcPr>
            <w:tcW w:w="2883" w:type="pct"/>
            <w:shd w:val="clear" w:color="auto" w:fill="auto"/>
          </w:tcPr>
          <w:p w:rsidR="003F0F39" w:rsidRPr="007C60FC" w:rsidRDefault="003F0F39" w:rsidP="001B62D7">
            <w:pPr>
              <w:cnfStyle w:val="100000000000"/>
              <w:rPr>
                <w:rFonts w:ascii="Times New Roman" w:hAnsi="Times New Roman" w:cs="Times New Roman"/>
                <w:color w:val="auto"/>
                <w:sz w:val="18"/>
                <w:szCs w:val="24"/>
              </w:rPr>
            </w:pPr>
            <w:r w:rsidRPr="007C60FC">
              <w:rPr>
                <w:rFonts w:ascii="Times New Roman" w:hAnsi="Times New Roman" w:cs="Times New Roman"/>
                <w:color w:val="auto"/>
                <w:sz w:val="18"/>
                <w:szCs w:val="24"/>
              </w:rPr>
              <w:t>Innovative financial aspects</w:t>
            </w:r>
          </w:p>
        </w:tc>
      </w:tr>
      <w:tr w:rsidR="003F0F39" w:rsidRPr="007C60FC" w:rsidTr="001B62D7">
        <w:trPr>
          <w:cnfStyle w:val="000000100000"/>
        </w:trPr>
        <w:tc>
          <w:tcPr>
            <w:cnfStyle w:val="001000000000"/>
            <w:tcW w:w="2117" w:type="pct"/>
            <w:gridSpan w:val="2"/>
            <w:shd w:val="clear" w:color="auto" w:fill="auto"/>
          </w:tcPr>
          <w:p w:rsidR="003F0F39" w:rsidRPr="007C60FC" w:rsidRDefault="003F0F39" w:rsidP="001B62D7">
            <w:pPr>
              <w:rPr>
                <w:rFonts w:ascii="Times New Roman" w:hAnsi="Times New Roman" w:cs="Times New Roman"/>
                <w:sz w:val="18"/>
                <w:szCs w:val="24"/>
              </w:rPr>
            </w:pPr>
            <w:r w:rsidRPr="007C60FC">
              <w:rPr>
                <w:rFonts w:ascii="Times New Roman" w:hAnsi="Times New Roman" w:cs="Times New Roman"/>
                <w:sz w:val="18"/>
                <w:szCs w:val="24"/>
              </w:rPr>
              <w:t>Flood Protection</w:t>
            </w:r>
          </w:p>
        </w:tc>
        <w:tc>
          <w:tcPr>
            <w:tcW w:w="2883" w:type="pct"/>
            <w:shd w:val="clear" w:color="auto" w:fill="auto"/>
          </w:tcPr>
          <w:p w:rsidR="003F0F39" w:rsidRPr="007C60FC" w:rsidRDefault="003F0F39" w:rsidP="001B62D7">
            <w:pPr>
              <w:cnfStyle w:val="000000100000"/>
              <w:rPr>
                <w:rFonts w:ascii="Times New Roman" w:hAnsi="Times New Roman" w:cs="Times New Roman"/>
                <w:sz w:val="18"/>
                <w:szCs w:val="24"/>
              </w:rPr>
            </w:pPr>
          </w:p>
        </w:tc>
      </w:tr>
      <w:tr w:rsidR="003F0F39" w:rsidRPr="007C60FC" w:rsidTr="001B62D7">
        <w:trPr>
          <w:cnfStyle w:val="000000010000"/>
        </w:trPr>
        <w:tc>
          <w:tcPr>
            <w:cnfStyle w:val="001000000000"/>
            <w:tcW w:w="916" w:type="pct"/>
            <w:shd w:val="clear" w:color="auto" w:fill="auto"/>
          </w:tcPr>
          <w:p w:rsidR="003F0F39" w:rsidRPr="007C60FC" w:rsidRDefault="003F0F39" w:rsidP="001B62D7">
            <w:pPr>
              <w:rPr>
                <w:rFonts w:ascii="Times New Roman" w:hAnsi="Times New Roman" w:cs="Times New Roman"/>
                <w:i/>
                <w:sz w:val="18"/>
                <w:szCs w:val="24"/>
              </w:rPr>
            </w:pPr>
            <w:r w:rsidRPr="007C60FC">
              <w:rPr>
                <w:rFonts w:ascii="Times New Roman" w:hAnsi="Times New Roman" w:cs="Times New Roman"/>
                <w:i/>
                <w:sz w:val="18"/>
                <w:szCs w:val="24"/>
              </w:rPr>
              <w:t>Institutional arrangements</w:t>
            </w:r>
          </w:p>
        </w:tc>
        <w:tc>
          <w:tcPr>
            <w:tcW w:w="1201" w:type="pct"/>
            <w:shd w:val="clear" w:color="auto" w:fill="auto"/>
          </w:tcPr>
          <w:p w:rsidR="003F0F39" w:rsidRPr="007C60FC" w:rsidRDefault="003F0F39" w:rsidP="001B62D7">
            <w:pPr>
              <w:cnfStyle w:val="000000010000"/>
              <w:rPr>
                <w:rFonts w:ascii="Times New Roman" w:hAnsi="Times New Roman" w:cs="Times New Roman"/>
                <w:sz w:val="18"/>
                <w:szCs w:val="24"/>
              </w:rPr>
            </w:pPr>
            <w:r w:rsidRPr="007C60FC">
              <w:rPr>
                <w:rFonts w:ascii="Times New Roman" w:eastAsia="Times New Roman" w:hAnsi="Times New Roman" w:cs="Times New Roman"/>
                <w:b/>
                <w:bCs/>
                <w:sz w:val="18"/>
                <w:szCs w:val="19"/>
              </w:rPr>
              <w:t xml:space="preserve">1% ‘extra penny’ tax </w:t>
            </w:r>
            <w:r w:rsidRPr="007C60FC">
              <w:rPr>
                <w:rFonts w:ascii="Times New Roman" w:eastAsia="Times New Roman" w:hAnsi="Times New Roman" w:cs="Times New Roman"/>
                <w:sz w:val="18"/>
                <w:szCs w:val="19"/>
              </w:rPr>
              <w:t>– USA</w:t>
            </w:r>
          </w:p>
        </w:tc>
        <w:tc>
          <w:tcPr>
            <w:tcW w:w="2883" w:type="pct"/>
            <w:shd w:val="clear" w:color="auto" w:fill="auto"/>
          </w:tcPr>
          <w:p w:rsidR="003F0F39" w:rsidRPr="007C60FC" w:rsidRDefault="003F0F39" w:rsidP="001B62D7">
            <w:pPr>
              <w:cnfStyle w:val="000000010000"/>
              <w:rPr>
                <w:rFonts w:ascii="Times New Roman" w:hAnsi="Times New Roman" w:cs="Times New Roman"/>
                <w:sz w:val="18"/>
                <w:szCs w:val="24"/>
              </w:rPr>
            </w:pPr>
            <w:r w:rsidRPr="007C60FC">
              <w:rPr>
                <w:rFonts w:ascii="Times New Roman" w:eastAsia="Times New Roman" w:hAnsi="Times New Roman" w:cs="Times New Roman"/>
                <w:sz w:val="18"/>
                <w:szCs w:val="19"/>
              </w:rPr>
              <w:t>To ensure funding for infrastructure and storm water projects, an 1% additional sales tax is imposed.</w:t>
            </w:r>
          </w:p>
        </w:tc>
      </w:tr>
      <w:tr w:rsidR="003F0F39" w:rsidRPr="007C60FC" w:rsidTr="001B62D7">
        <w:trPr>
          <w:cnfStyle w:val="000000100000"/>
          <w:trHeight w:val="1093"/>
        </w:trPr>
        <w:tc>
          <w:tcPr>
            <w:cnfStyle w:val="001000000000"/>
            <w:tcW w:w="916" w:type="pct"/>
            <w:shd w:val="clear" w:color="auto" w:fill="auto"/>
          </w:tcPr>
          <w:p w:rsidR="003F0F39" w:rsidRPr="007C60FC" w:rsidRDefault="003F0F39" w:rsidP="001B62D7">
            <w:pPr>
              <w:rPr>
                <w:rFonts w:ascii="Times New Roman" w:hAnsi="Times New Roman" w:cs="Times New Roman"/>
                <w:i/>
                <w:sz w:val="18"/>
                <w:szCs w:val="24"/>
              </w:rPr>
            </w:pPr>
          </w:p>
        </w:tc>
        <w:tc>
          <w:tcPr>
            <w:tcW w:w="1201" w:type="pct"/>
            <w:shd w:val="clear" w:color="auto" w:fill="auto"/>
          </w:tcPr>
          <w:p w:rsidR="003F0F39" w:rsidRPr="007C60FC" w:rsidRDefault="003F0F39" w:rsidP="001B62D7">
            <w:pPr>
              <w:cnfStyle w:val="000000100000"/>
              <w:rPr>
                <w:rFonts w:ascii="Times New Roman" w:hAnsi="Times New Roman" w:cs="Times New Roman"/>
                <w:b/>
                <w:bCs/>
                <w:sz w:val="18"/>
                <w:szCs w:val="19"/>
              </w:rPr>
            </w:pPr>
            <w:r w:rsidRPr="007C60FC">
              <w:rPr>
                <w:rFonts w:ascii="Times New Roman" w:eastAsia="Times New Roman" w:hAnsi="Times New Roman" w:cs="Times New Roman"/>
                <w:b/>
                <w:bCs/>
                <w:sz w:val="18"/>
                <w:szCs w:val="19"/>
              </w:rPr>
              <w:t>Pevensey Bay</w:t>
            </w:r>
            <w:r w:rsidRPr="007C60FC">
              <w:rPr>
                <w:rFonts w:ascii="Times New Roman" w:eastAsia="Times New Roman" w:hAnsi="Times New Roman" w:cs="Times New Roman"/>
                <w:b/>
                <w:sz w:val="18"/>
                <w:szCs w:val="19"/>
              </w:rPr>
              <w:t xml:space="preserve">PPP </w:t>
            </w:r>
            <w:r w:rsidRPr="007C60FC">
              <w:rPr>
                <w:rFonts w:ascii="Times New Roman" w:eastAsia="Times New Roman" w:hAnsi="Times New Roman" w:cs="Times New Roman"/>
                <w:sz w:val="18"/>
                <w:szCs w:val="19"/>
              </w:rPr>
              <w:t>– UK</w:t>
            </w:r>
          </w:p>
        </w:tc>
        <w:tc>
          <w:tcPr>
            <w:tcW w:w="2883" w:type="pct"/>
            <w:shd w:val="clear" w:color="auto" w:fill="auto"/>
          </w:tcPr>
          <w:p w:rsidR="003F0F39" w:rsidRPr="007C60FC" w:rsidRDefault="003F0F39" w:rsidP="001B62D7">
            <w:pPr>
              <w:cnfStyle w:val="000000100000"/>
              <w:rPr>
                <w:rFonts w:ascii="Times New Roman" w:hAnsi="Times New Roman" w:cs="Times New Roman"/>
                <w:sz w:val="18"/>
                <w:szCs w:val="19"/>
              </w:rPr>
            </w:pPr>
            <w:r w:rsidRPr="007C60FC">
              <w:rPr>
                <w:rFonts w:ascii="Times New Roman" w:eastAsia="Times New Roman" w:hAnsi="Times New Roman" w:cs="Times New Roman"/>
                <w:sz w:val="18"/>
                <w:szCs w:val="19"/>
              </w:rPr>
              <w:t xml:space="preserve">The Pevensey Bay Sea Defence is a sea defence project funded as a </w:t>
            </w:r>
            <w:r w:rsidR="008B7627">
              <w:t xml:space="preserve">Public </w:t>
            </w:r>
            <w:r w:rsidRPr="007C60FC">
              <w:rPr>
                <w:rFonts w:ascii="Times New Roman" w:eastAsia="Times New Roman" w:hAnsi="Times New Roman" w:cs="Times New Roman"/>
                <w:sz w:val="18"/>
                <w:szCs w:val="19"/>
              </w:rPr>
              <w:t>Private Partnership (PPP). The Agency signed a PPP contract with PCDL a special purpose company.</w:t>
            </w:r>
          </w:p>
        </w:tc>
      </w:tr>
      <w:tr w:rsidR="003F0F39" w:rsidRPr="007C60FC" w:rsidTr="001B62D7">
        <w:trPr>
          <w:cnfStyle w:val="000000010000"/>
        </w:trPr>
        <w:tc>
          <w:tcPr>
            <w:cnfStyle w:val="001000000000"/>
            <w:tcW w:w="916" w:type="pct"/>
            <w:shd w:val="clear" w:color="auto" w:fill="auto"/>
          </w:tcPr>
          <w:p w:rsidR="003F0F39" w:rsidRPr="007C60FC" w:rsidRDefault="003F0F39" w:rsidP="001B62D7">
            <w:pPr>
              <w:rPr>
                <w:rFonts w:ascii="Times New Roman" w:hAnsi="Times New Roman" w:cs="Times New Roman"/>
                <w:i/>
                <w:sz w:val="18"/>
                <w:szCs w:val="24"/>
              </w:rPr>
            </w:pPr>
          </w:p>
        </w:tc>
        <w:tc>
          <w:tcPr>
            <w:tcW w:w="1201" w:type="pct"/>
            <w:shd w:val="clear" w:color="auto" w:fill="auto"/>
          </w:tcPr>
          <w:p w:rsidR="003F0F39" w:rsidRPr="007C60FC" w:rsidRDefault="003F0F39" w:rsidP="001B62D7">
            <w:pPr>
              <w:cnfStyle w:val="000000010000"/>
              <w:rPr>
                <w:rFonts w:ascii="Times New Roman" w:eastAsia="Times New Roman" w:hAnsi="Times New Roman" w:cs="Times New Roman"/>
                <w:b/>
                <w:bCs/>
                <w:sz w:val="18"/>
                <w:szCs w:val="19"/>
              </w:rPr>
            </w:pPr>
            <w:r w:rsidRPr="007C60FC">
              <w:rPr>
                <w:rFonts w:ascii="Times New Roman" w:eastAsia="Times New Roman" w:hAnsi="Times New Roman" w:cs="Times New Roman"/>
                <w:b/>
                <w:bCs/>
                <w:sz w:val="18"/>
                <w:szCs w:val="19"/>
              </w:rPr>
              <w:t xml:space="preserve">Eko Atlantic – </w:t>
            </w:r>
            <w:r w:rsidRPr="007C60FC">
              <w:rPr>
                <w:rFonts w:ascii="Times New Roman" w:eastAsia="Times New Roman" w:hAnsi="Times New Roman" w:cs="Times New Roman"/>
                <w:sz w:val="18"/>
                <w:szCs w:val="19"/>
              </w:rPr>
              <w:t>Nigeria</w:t>
            </w:r>
          </w:p>
        </w:tc>
        <w:tc>
          <w:tcPr>
            <w:tcW w:w="2883" w:type="pct"/>
            <w:shd w:val="clear" w:color="auto" w:fill="auto"/>
          </w:tcPr>
          <w:p w:rsidR="003F0F39" w:rsidRPr="007C60FC" w:rsidRDefault="003F0F39" w:rsidP="001B62D7">
            <w:pPr>
              <w:jc w:val="both"/>
              <w:cnfStyle w:val="000000010000"/>
              <w:rPr>
                <w:rFonts w:ascii="Times New Roman" w:eastAsia="Times New Roman" w:hAnsi="Times New Roman" w:cs="Times New Roman"/>
                <w:sz w:val="18"/>
                <w:szCs w:val="19"/>
              </w:rPr>
            </w:pPr>
            <w:r w:rsidRPr="007C60FC">
              <w:rPr>
                <w:rFonts w:ascii="Times New Roman" w:eastAsia="Times New Roman" w:hAnsi="Times New Roman" w:cs="Times New Roman"/>
                <w:sz w:val="18"/>
                <w:szCs w:val="19"/>
              </w:rPr>
              <w:t>The plan in Lagos is to combine flood protection together with residential, commercial, financial and tourist developments. Commercial developments(land sales) can be used to cross subsidise the flood protection measures.</w:t>
            </w:r>
          </w:p>
        </w:tc>
      </w:tr>
      <w:tr w:rsidR="003F0F39" w:rsidRPr="007C60FC" w:rsidTr="001B62D7">
        <w:trPr>
          <w:cnfStyle w:val="000000100000"/>
        </w:trPr>
        <w:tc>
          <w:tcPr>
            <w:cnfStyle w:val="001000000000"/>
            <w:tcW w:w="916" w:type="pct"/>
            <w:shd w:val="clear" w:color="auto" w:fill="auto"/>
          </w:tcPr>
          <w:p w:rsidR="003F0F39" w:rsidRPr="007C60FC" w:rsidRDefault="003F0F39" w:rsidP="001B62D7">
            <w:pPr>
              <w:rPr>
                <w:rFonts w:ascii="Times New Roman" w:hAnsi="Times New Roman" w:cs="Times New Roman"/>
                <w:i/>
                <w:sz w:val="18"/>
                <w:szCs w:val="24"/>
              </w:rPr>
            </w:pPr>
          </w:p>
        </w:tc>
        <w:tc>
          <w:tcPr>
            <w:tcW w:w="1201" w:type="pct"/>
            <w:shd w:val="clear" w:color="auto" w:fill="auto"/>
          </w:tcPr>
          <w:p w:rsidR="003F0F39" w:rsidRPr="007C60FC" w:rsidRDefault="003F0F39" w:rsidP="001B62D7">
            <w:pPr>
              <w:cnfStyle w:val="000000100000"/>
              <w:rPr>
                <w:rFonts w:ascii="Times New Roman" w:hAnsi="Times New Roman" w:cs="Times New Roman"/>
                <w:b/>
                <w:bCs/>
                <w:sz w:val="18"/>
                <w:szCs w:val="19"/>
              </w:rPr>
            </w:pPr>
            <w:r w:rsidRPr="007C60FC">
              <w:rPr>
                <w:rFonts w:ascii="Times New Roman" w:hAnsi="Times New Roman" w:cs="Times New Roman"/>
                <w:b/>
                <w:bCs/>
                <w:sz w:val="18"/>
                <w:szCs w:val="19"/>
              </w:rPr>
              <w:t xml:space="preserve">Delta Fund - </w:t>
            </w:r>
            <w:r w:rsidRPr="007C60FC">
              <w:rPr>
                <w:rFonts w:ascii="Times New Roman" w:hAnsi="Times New Roman" w:cs="Times New Roman"/>
                <w:bCs/>
                <w:sz w:val="18"/>
                <w:szCs w:val="19"/>
              </w:rPr>
              <w:t>Netherlands</w:t>
            </w:r>
          </w:p>
        </w:tc>
        <w:tc>
          <w:tcPr>
            <w:tcW w:w="2883" w:type="pct"/>
            <w:shd w:val="clear" w:color="auto" w:fill="auto"/>
          </w:tcPr>
          <w:p w:rsidR="003F0F39" w:rsidRPr="007C60FC" w:rsidRDefault="003F0F39" w:rsidP="001B62D7">
            <w:pPr>
              <w:jc w:val="both"/>
              <w:cnfStyle w:val="000000100000"/>
              <w:rPr>
                <w:rFonts w:ascii="Times New Roman" w:hAnsi="Times New Roman" w:cs="Times New Roman"/>
                <w:sz w:val="18"/>
                <w:szCs w:val="19"/>
              </w:rPr>
            </w:pPr>
            <w:r w:rsidRPr="007C60FC">
              <w:rPr>
                <w:rFonts w:ascii="Times New Roman" w:hAnsi="Times New Roman" w:cs="Times New Roman"/>
                <w:sz w:val="18"/>
                <w:szCs w:val="19"/>
              </w:rPr>
              <w:t xml:space="preserve">A dedicated multi-annual fund for investments and maintenance of flood protection and fresh water supply related to the national Delta Program. The fund is fed from Ministry budget and other resources. </w:t>
            </w:r>
          </w:p>
        </w:tc>
      </w:tr>
      <w:tr w:rsidR="003F0F39" w:rsidRPr="007C60FC" w:rsidTr="001B62D7">
        <w:trPr>
          <w:cnfStyle w:val="000000010000"/>
        </w:trPr>
        <w:tc>
          <w:tcPr>
            <w:cnfStyle w:val="001000000000"/>
            <w:tcW w:w="916" w:type="pct"/>
            <w:shd w:val="clear" w:color="auto" w:fill="auto"/>
          </w:tcPr>
          <w:p w:rsidR="003F0F39" w:rsidRPr="007C60FC" w:rsidRDefault="003F0F39" w:rsidP="001B62D7">
            <w:pPr>
              <w:rPr>
                <w:rFonts w:ascii="Times New Roman" w:hAnsi="Times New Roman" w:cs="Times New Roman"/>
                <w:i/>
                <w:sz w:val="18"/>
                <w:szCs w:val="24"/>
              </w:rPr>
            </w:pPr>
            <w:r w:rsidRPr="007C60FC">
              <w:rPr>
                <w:rFonts w:ascii="Times New Roman" w:hAnsi="Times New Roman" w:cs="Times New Roman"/>
                <w:i/>
                <w:sz w:val="18"/>
                <w:szCs w:val="24"/>
              </w:rPr>
              <w:t>Market based mechanism</w:t>
            </w:r>
          </w:p>
        </w:tc>
        <w:tc>
          <w:tcPr>
            <w:tcW w:w="1201" w:type="pct"/>
            <w:shd w:val="clear" w:color="auto" w:fill="auto"/>
          </w:tcPr>
          <w:p w:rsidR="003F0F39" w:rsidRPr="007C60FC" w:rsidRDefault="003F0F39" w:rsidP="001B62D7">
            <w:pPr>
              <w:cnfStyle w:val="000000010000"/>
              <w:rPr>
                <w:rFonts w:ascii="Times New Roman" w:hAnsi="Times New Roman" w:cs="Times New Roman"/>
                <w:sz w:val="18"/>
                <w:szCs w:val="24"/>
              </w:rPr>
            </w:pPr>
            <w:r w:rsidRPr="007C60FC">
              <w:rPr>
                <w:rFonts w:ascii="Times New Roman" w:eastAsia="Times New Roman" w:hAnsi="Times New Roman" w:cs="Times New Roman"/>
                <w:b/>
                <w:bCs/>
                <w:sz w:val="18"/>
                <w:szCs w:val="19"/>
              </w:rPr>
              <w:t xml:space="preserve">Flood RE – </w:t>
            </w:r>
            <w:r w:rsidRPr="007C60FC">
              <w:rPr>
                <w:rFonts w:ascii="Times New Roman" w:eastAsia="Times New Roman" w:hAnsi="Times New Roman" w:cs="Times New Roman"/>
                <w:sz w:val="18"/>
                <w:szCs w:val="19"/>
              </w:rPr>
              <w:t>United Kingdom</w:t>
            </w:r>
          </w:p>
        </w:tc>
        <w:tc>
          <w:tcPr>
            <w:tcW w:w="2883" w:type="pct"/>
            <w:shd w:val="clear" w:color="auto" w:fill="auto"/>
          </w:tcPr>
          <w:p w:rsidR="003F0F39" w:rsidRPr="007C60FC" w:rsidRDefault="003F0F39" w:rsidP="001B62D7">
            <w:pPr>
              <w:cnfStyle w:val="000000010000"/>
              <w:rPr>
                <w:rFonts w:ascii="Times New Roman" w:hAnsi="Times New Roman" w:cs="Times New Roman"/>
                <w:sz w:val="18"/>
                <w:szCs w:val="24"/>
              </w:rPr>
            </w:pPr>
            <w:r w:rsidRPr="007C60FC">
              <w:rPr>
                <w:rFonts w:ascii="Times New Roman" w:eastAsia="Times New Roman" w:hAnsi="Times New Roman" w:cs="Times New Roman"/>
                <w:sz w:val="18"/>
                <w:szCs w:val="19"/>
              </w:rPr>
              <w:t xml:space="preserve">Flood Re is an industry owned insurance pool in the UK for flood risks (damage insurance scheme). </w:t>
            </w:r>
          </w:p>
        </w:tc>
      </w:tr>
      <w:tr w:rsidR="003F0F39" w:rsidRPr="007C60FC" w:rsidTr="001B62D7">
        <w:trPr>
          <w:cnfStyle w:val="000000100000"/>
        </w:trPr>
        <w:tc>
          <w:tcPr>
            <w:cnfStyle w:val="001000000000"/>
            <w:tcW w:w="916" w:type="pct"/>
            <w:shd w:val="clear" w:color="auto" w:fill="auto"/>
          </w:tcPr>
          <w:p w:rsidR="003F0F39" w:rsidRPr="007C60FC" w:rsidRDefault="003F0F39" w:rsidP="001B62D7">
            <w:pPr>
              <w:rPr>
                <w:rFonts w:ascii="Times New Roman" w:hAnsi="Times New Roman" w:cs="Times New Roman"/>
                <w:sz w:val="18"/>
                <w:szCs w:val="24"/>
              </w:rPr>
            </w:pPr>
            <w:r w:rsidRPr="007C60FC">
              <w:rPr>
                <w:rFonts w:ascii="Times New Roman" w:hAnsi="Times New Roman" w:cs="Times New Roman"/>
                <w:sz w:val="18"/>
                <w:szCs w:val="24"/>
              </w:rPr>
              <w:t>Water availability &amp; navigation</w:t>
            </w:r>
          </w:p>
        </w:tc>
        <w:tc>
          <w:tcPr>
            <w:tcW w:w="1201" w:type="pct"/>
            <w:shd w:val="clear" w:color="auto" w:fill="auto"/>
          </w:tcPr>
          <w:p w:rsidR="003F0F39" w:rsidRPr="007C60FC" w:rsidRDefault="003F0F39" w:rsidP="001B62D7">
            <w:pPr>
              <w:cnfStyle w:val="000000100000"/>
              <w:rPr>
                <w:rFonts w:ascii="Times New Roman" w:hAnsi="Times New Roman" w:cs="Times New Roman"/>
                <w:sz w:val="18"/>
                <w:szCs w:val="24"/>
              </w:rPr>
            </w:pPr>
          </w:p>
        </w:tc>
        <w:tc>
          <w:tcPr>
            <w:tcW w:w="2883" w:type="pct"/>
            <w:shd w:val="clear" w:color="auto" w:fill="auto"/>
          </w:tcPr>
          <w:p w:rsidR="003F0F39" w:rsidRPr="007C60FC" w:rsidRDefault="003F0F39" w:rsidP="001B62D7">
            <w:pPr>
              <w:cnfStyle w:val="000000100000"/>
              <w:rPr>
                <w:rFonts w:ascii="Times New Roman" w:hAnsi="Times New Roman" w:cs="Times New Roman"/>
                <w:sz w:val="18"/>
                <w:szCs w:val="24"/>
              </w:rPr>
            </w:pPr>
          </w:p>
        </w:tc>
      </w:tr>
      <w:tr w:rsidR="003F0F39" w:rsidRPr="007C60FC" w:rsidTr="001B62D7">
        <w:trPr>
          <w:cnfStyle w:val="000000010000"/>
        </w:trPr>
        <w:tc>
          <w:tcPr>
            <w:cnfStyle w:val="001000000000"/>
            <w:tcW w:w="916" w:type="pct"/>
            <w:shd w:val="clear" w:color="auto" w:fill="auto"/>
          </w:tcPr>
          <w:p w:rsidR="003F0F39" w:rsidRPr="007C60FC" w:rsidRDefault="003F0F39" w:rsidP="001B62D7">
            <w:pPr>
              <w:rPr>
                <w:rFonts w:ascii="Times New Roman" w:hAnsi="Times New Roman" w:cs="Times New Roman"/>
                <w:sz w:val="18"/>
                <w:szCs w:val="24"/>
              </w:rPr>
            </w:pPr>
          </w:p>
        </w:tc>
        <w:tc>
          <w:tcPr>
            <w:tcW w:w="1201" w:type="pct"/>
            <w:shd w:val="clear" w:color="auto" w:fill="auto"/>
          </w:tcPr>
          <w:p w:rsidR="003F0F39" w:rsidRPr="007C60FC" w:rsidRDefault="003F0F39" w:rsidP="001B62D7">
            <w:pPr>
              <w:cnfStyle w:val="000000010000"/>
              <w:rPr>
                <w:rFonts w:ascii="Times New Roman" w:hAnsi="Times New Roman" w:cs="Times New Roman"/>
                <w:sz w:val="18"/>
                <w:szCs w:val="24"/>
              </w:rPr>
            </w:pPr>
            <w:r w:rsidRPr="007C60FC">
              <w:rPr>
                <w:rFonts w:ascii="Times New Roman" w:eastAsia="Times New Roman" w:hAnsi="Times New Roman" w:cs="Times New Roman"/>
                <w:b/>
                <w:bCs/>
                <w:sz w:val="18"/>
                <w:szCs w:val="19"/>
              </w:rPr>
              <w:t xml:space="preserve">El Guerdane Irrigation system PPP – </w:t>
            </w:r>
            <w:r w:rsidRPr="007C60FC">
              <w:rPr>
                <w:rFonts w:ascii="Times New Roman" w:eastAsia="Times New Roman" w:hAnsi="Times New Roman" w:cs="Times New Roman"/>
                <w:sz w:val="18"/>
                <w:szCs w:val="19"/>
              </w:rPr>
              <w:t>Morocco</w:t>
            </w:r>
          </w:p>
        </w:tc>
        <w:tc>
          <w:tcPr>
            <w:tcW w:w="2883" w:type="pct"/>
            <w:shd w:val="clear" w:color="auto" w:fill="auto"/>
          </w:tcPr>
          <w:p w:rsidR="003F0F39" w:rsidRPr="007C60FC" w:rsidRDefault="003F0F39" w:rsidP="001B62D7">
            <w:pPr>
              <w:jc w:val="both"/>
              <w:cnfStyle w:val="000000010000"/>
              <w:rPr>
                <w:rFonts w:ascii="Times New Roman" w:hAnsi="Times New Roman" w:cs="Times New Roman"/>
                <w:sz w:val="18"/>
                <w:szCs w:val="24"/>
              </w:rPr>
            </w:pPr>
            <w:r w:rsidRPr="007C60FC">
              <w:rPr>
                <w:rFonts w:ascii="Times New Roman" w:eastAsia="Times New Roman" w:hAnsi="Times New Roman" w:cs="Times New Roman"/>
                <w:sz w:val="18"/>
                <w:szCs w:val="19"/>
              </w:rPr>
              <w:t>The El Guerdane PPP irrigation project is about private design, construction and operation of an irrigation infrastructure in an area of 10,000 ha. Farmers co-finance (8% of investments) and pay a single amount to be connected to the irrigation system and additionally a fixed price per cubic metre of water they use.</w:t>
            </w:r>
          </w:p>
        </w:tc>
      </w:tr>
      <w:tr w:rsidR="003F0F39" w:rsidRPr="007C60FC" w:rsidTr="001B62D7">
        <w:trPr>
          <w:cnfStyle w:val="000000100000"/>
        </w:trPr>
        <w:tc>
          <w:tcPr>
            <w:cnfStyle w:val="001000000000"/>
            <w:tcW w:w="916" w:type="pct"/>
            <w:shd w:val="clear" w:color="auto" w:fill="auto"/>
          </w:tcPr>
          <w:p w:rsidR="003F0F39" w:rsidRPr="007C60FC" w:rsidRDefault="003F0F39" w:rsidP="001B62D7">
            <w:pPr>
              <w:rPr>
                <w:rFonts w:ascii="Times New Roman" w:hAnsi="Times New Roman" w:cs="Times New Roman"/>
                <w:sz w:val="18"/>
                <w:szCs w:val="24"/>
              </w:rPr>
            </w:pPr>
          </w:p>
        </w:tc>
        <w:tc>
          <w:tcPr>
            <w:tcW w:w="1201" w:type="pct"/>
            <w:shd w:val="clear" w:color="auto" w:fill="auto"/>
          </w:tcPr>
          <w:p w:rsidR="003F0F39" w:rsidRPr="007C60FC" w:rsidRDefault="003F0F39" w:rsidP="001B62D7">
            <w:pPr>
              <w:cnfStyle w:val="000000100000"/>
              <w:rPr>
                <w:rFonts w:ascii="Times New Roman" w:eastAsia="Times New Roman" w:hAnsi="Times New Roman" w:cs="Times New Roman"/>
                <w:b/>
                <w:bCs/>
                <w:sz w:val="18"/>
                <w:szCs w:val="19"/>
              </w:rPr>
            </w:pPr>
            <w:r w:rsidRPr="007C60FC">
              <w:rPr>
                <w:rFonts w:ascii="Times New Roman" w:eastAsia="Times New Roman" w:hAnsi="Times New Roman" w:cs="Times New Roman"/>
                <w:b/>
                <w:bCs/>
                <w:sz w:val="18"/>
                <w:szCs w:val="19"/>
              </w:rPr>
              <w:t xml:space="preserve">Danube Black Sea Canal - </w:t>
            </w:r>
            <w:r w:rsidRPr="007C60FC">
              <w:rPr>
                <w:rFonts w:ascii="Times New Roman" w:eastAsia="Times New Roman" w:hAnsi="Times New Roman" w:cs="Times New Roman"/>
                <w:sz w:val="18"/>
                <w:szCs w:val="19"/>
              </w:rPr>
              <w:t>Romania</w:t>
            </w:r>
          </w:p>
        </w:tc>
        <w:tc>
          <w:tcPr>
            <w:tcW w:w="2883" w:type="pct"/>
            <w:shd w:val="clear" w:color="auto" w:fill="auto"/>
          </w:tcPr>
          <w:p w:rsidR="003F0F39" w:rsidRPr="007C60FC" w:rsidRDefault="003F0F39" w:rsidP="001B62D7">
            <w:pPr>
              <w:jc w:val="both"/>
              <w:cnfStyle w:val="000000100000"/>
              <w:rPr>
                <w:rFonts w:ascii="Times New Roman" w:eastAsia="Times New Roman" w:hAnsi="Times New Roman" w:cs="Times New Roman"/>
                <w:sz w:val="18"/>
                <w:szCs w:val="19"/>
              </w:rPr>
            </w:pPr>
            <w:r w:rsidRPr="007C60FC">
              <w:rPr>
                <w:rFonts w:ascii="Times New Roman" w:eastAsia="Times New Roman" w:hAnsi="Times New Roman" w:cs="Times New Roman"/>
                <w:sz w:val="18"/>
                <w:szCs w:val="19"/>
              </w:rPr>
              <w:t>Ships navigating the canal pay a fixed tariff to the ANC, a Romanian national company which operates under the Ministry of Transport and Infrastructure. Tariffs depend on the capacity of the ship and the number of days the canal is used.</w:t>
            </w:r>
          </w:p>
        </w:tc>
      </w:tr>
      <w:tr w:rsidR="003F0F39" w:rsidRPr="007C60FC" w:rsidTr="001B62D7">
        <w:trPr>
          <w:cnfStyle w:val="000000010000"/>
        </w:trPr>
        <w:tc>
          <w:tcPr>
            <w:cnfStyle w:val="001000000000"/>
            <w:tcW w:w="916" w:type="pct"/>
            <w:shd w:val="clear" w:color="auto" w:fill="auto"/>
          </w:tcPr>
          <w:p w:rsidR="003F0F39" w:rsidRPr="007C60FC" w:rsidRDefault="003F0F39" w:rsidP="001B62D7">
            <w:pPr>
              <w:rPr>
                <w:rFonts w:ascii="Times New Roman" w:hAnsi="Times New Roman" w:cs="Times New Roman"/>
                <w:sz w:val="18"/>
                <w:szCs w:val="24"/>
              </w:rPr>
            </w:pPr>
            <w:r w:rsidRPr="007C60FC">
              <w:rPr>
                <w:rFonts w:ascii="Times New Roman" w:hAnsi="Times New Roman" w:cs="Times New Roman"/>
                <w:sz w:val="18"/>
                <w:szCs w:val="24"/>
              </w:rPr>
              <w:t>Water supply &amp; sanitation</w:t>
            </w:r>
          </w:p>
        </w:tc>
        <w:tc>
          <w:tcPr>
            <w:tcW w:w="1201" w:type="pct"/>
            <w:shd w:val="clear" w:color="auto" w:fill="auto"/>
          </w:tcPr>
          <w:p w:rsidR="003F0F39" w:rsidRPr="007C60FC" w:rsidRDefault="003F0F39" w:rsidP="001B62D7">
            <w:pPr>
              <w:cnfStyle w:val="000000010000"/>
              <w:rPr>
                <w:rFonts w:ascii="Times New Roman" w:hAnsi="Times New Roman" w:cs="Times New Roman"/>
                <w:sz w:val="18"/>
                <w:szCs w:val="24"/>
              </w:rPr>
            </w:pPr>
          </w:p>
        </w:tc>
        <w:tc>
          <w:tcPr>
            <w:tcW w:w="2883" w:type="pct"/>
            <w:shd w:val="clear" w:color="auto" w:fill="auto"/>
          </w:tcPr>
          <w:p w:rsidR="003F0F39" w:rsidRPr="007C60FC" w:rsidRDefault="003F0F39" w:rsidP="001B62D7">
            <w:pPr>
              <w:cnfStyle w:val="000000010000"/>
              <w:rPr>
                <w:rFonts w:ascii="Times New Roman" w:hAnsi="Times New Roman" w:cs="Times New Roman"/>
                <w:sz w:val="18"/>
                <w:szCs w:val="24"/>
              </w:rPr>
            </w:pPr>
          </w:p>
        </w:tc>
      </w:tr>
      <w:tr w:rsidR="003F0F39" w:rsidRPr="007C60FC" w:rsidTr="001B62D7">
        <w:trPr>
          <w:cnfStyle w:val="000000100000"/>
        </w:trPr>
        <w:tc>
          <w:tcPr>
            <w:cnfStyle w:val="001000000000"/>
            <w:tcW w:w="916" w:type="pct"/>
            <w:shd w:val="clear" w:color="auto" w:fill="auto"/>
          </w:tcPr>
          <w:p w:rsidR="003F0F39" w:rsidRPr="007C60FC" w:rsidRDefault="003F0F39" w:rsidP="001B62D7">
            <w:pPr>
              <w:rPr>
                <w:rFonts w:ascii="Times New Roman" w:hAnsi="Times New Roman" w:cs="Times New Roman"/>
                <w:sz w:val="18"/>
                <w:szCs w:val="24"/>
              </w:rPr>
            </w:pPr>
          </w:p>
        </w:tc>
        <w:tc>
          <w:tcPr>
            <w:tcW w:w="1201" w:type="pct"/>
            <w:shd w:val="clear" w:color="auto" w:fill="auto"/>
          </w:tcPr>
          <w:p w:rsidR="003F0F39" w:rsidRPr="007C60FC" w:rsidRDefault="003F0F39" w:rsidP="001B62D7">
            <w:pPr>
              <w:cnfStyle w:val="000000100000"/>
              <w:rPr>
                <w:rFonts w:ascii="Times New Roman" w:eastAsia="Times New Roman" w:hAnsi="Times New Roman" w:cs="Times New Roman"/>
                <w:b/>
                <w:bCs/>
                <w:sz w:val="18"/>
                <w:szCs w:val="19"/>
              </w:rPr>
            </w:pPr>
            <w:r w:rsidRPr="007C60FC">
              <w:rPr>
                <w:rFonts w:ascii="Times New Roman" w:eastAsia="Times New Roman" w:hAnsi="Times New Roman" w:cs="Times New Roman"/>
                <w:b/>
                <w:bCs/>
                <w:sz w:val="18"/>
                <w:szCs w:val="19"/>
              </w:rPr>
              <w:t xml:space="preserve">Cost recovery water supply - </w:t>
            </w:r>
            <w:r w:rsidRPr="007C60FC">
              <w:rPr>
                <w:rFonts w:ascii="Times New Roman" w:eastAsia="Times New Roman" w:hAnsi="Times New Roman" w:cs="Times New Roman"/>
                <w:sz w:val="18"/>
                <w:szCs w:val="19"/>
              </w:rPr>
              <w:t>Fiji Islands</w:t>
            </w:r>
          </w:p>
        </w:tc>
        <w:tc>
          <w:tcPr>
            <w:tcW w:w="2883" w:type="pct"/>
            <w:shd w:val="clear" w:color="auto" w:fill="auto"/>
          </w:tcPr>
          <w:p w:rsidR="003F0F39" w:rsidRPr="007C60FC" w:rsidRDefault="003F0F39" w:rsidP="001B62D7">
            <w:pPr>
              <w:jc w:val="both"/>
              <w:cnfStyle w:val="000000100000"/>
              <w:rPr>
                <w:rFonts w:ascii="Times New Roman" w:eastAsia="Times New Roman" w:hAnsi="Times New Roman" w:cs="Times New Roman"/>
                <w:sz w:val="18"/>
                <w:szCs w:val="19"/>
              </w:rPr>
            </w:pPr>
            <w:r w:rsidRPr="007C60FC">
              <w:rPr>
                <w:rFonts w:ascii="Times New Roman" w:eastAsia="Times New Roman" w:hAnsi="Times New Roman" w:cs="Times New Roman"/>
                <w:sz w:val="18"/>
                <w:szCs w:val="19"/>
              </w:rPr>
              <w:t xml:space="preserve">Cost recovery will be improved through a commercial approach to management and billing. Costs will be reduced through reduction of water losses (leakages, illegal tapping etc.). The water supply and sewerage agency will recover the cost by an optimized tariff system. </w:t>
            </w:r>
          </w:p>
        </w:tc>
      </w:tr>
      <w:tr w:rsidR="003F0F39" w:rsidRPr="007C60FC" w:rsidTr="001B62D7">
        <w:trPr>
          <w:cnfStyle w:val="000000010000"/>
        </w:trPr>
        <w:tc>
          <w:tcPr>
            <w:cnfStyle w:val="001000000000"/>
            <w:tcW w:w="916" w:type="pct"/>
            <w:shd w:val="clear" w:color="auto" w:fill="auto"/>
          </w:tcPr>
          <w:p w:rsidR="003F0F39" w:rsidRPr="007C60FC" w:rsidRDefault="003F0F39" w:rsidP="001B62D7">
            <w:pPr>
              <w:rPr>
                <w:rFonts w:ascii="Times New Roman" w:hAnsi="Times New Roman" w:cs="Times New Roman"/>
                <w:sz w:val="18"/>
                <w:szCs w:val="24"/>
                <w:highlight w:val="yellow"/>
              </w:rPr>
            </w:pPr>
          </w:p>
        </w:tc>
        <w:tc>
          <w:tcPr>
            <w:tcW w:w="1201" w:type="pct"/>
            <w:shd w:val="clear" w:color="auto" w:fill="auto"/>
          </w:tcPr>
          <w:p w:rsidR="003F0F39" w:rsidRPr="007C60FC" w:rsidRDefault="003F0F39" w:rsidP="001B62D7">
            <w:pPr>
              <w:cnfStyle w:val="000000010000"/>
              <w:rPr>
                <w:rFonts w:ascii="Times New Roman" w:eastAsia="Times New Roman" w:hAnsi="Times New Roman" w:cs="Times New Roman"/>
                <w:b/>
                <w:bCs/>
                <w:sz w:val="18"/>
                <w:szCs w:val="19"/>
              </w:rPr>
            </w:pPr>
            <w:r w:rsidRPr="007C60FC">
              <w:rPr>
                <w:rFonts w:ascii="Times New Roman" w:eastAsia="Times New Roman" w:hAnsi="Times New Roman" w:cs="Times New Roman"/>
                <w:b/>
                <w:bCs/>
                <w:sz w:val="18"/>
                <w:szCs w:val="19"/>
              </w:rPr>
              <w:t>Viability gap funding of PPP Kolkata Salt Lake Water Supply And Sewerage Network –</w:t>
            </w:r>
            <w:r w:rsidRPr="007C60FC">
              <w:rPr>
                <w:rFonts w:ascii="Times New Roman" w:eastAsia="Times New Roman" w:hAnsi="Times New Roman" w:cs="Times New Roman"/>
                <w:sz w:val="18"/>
                <w:szCs w:val="19"/>
              </w:rPr>
              <w:t xml:space="preserve"> India </w:t>
            </w:r>
          </w:p>
        </w:tc>
        <w:tc>
          <w:tcPr>
            <w:tcW w:w="2883" w:type="pct"/>
            <w:shd w:val="clear" w:color="auto" w:fill="auto"/>
          </w:tcPr>
          <w:p w:rsidR="003F0F39" w:rsidRPr="007C60FC" w:rsidRDefault="003F0F39" w:rsidP="001B62D7">
            <w:pPr>
              <w:jc w:val="both"/>
              <w:cnfStyle w:val="000000010000"/>
              <w:rPr>
                <w:rFonts w:ascii="Times New Roman" w:eastAsia="Times New Roman" w:hAnsi="Times New Roman" w:cs="Times New Roman"/>
                <w:sz w:val="18"/>
                <w:szCs w:val="19"/>
              </w:rPr>
            </w:pPr>
            <w:r w:rsidRPr="007C60FC">
              <w:rPr>
                <w:rFonts w:ascii="Times New Roman" w:eastAsia="Times New Roman" w:hAnsi="Times New Roman" w:cs="Times New Roman"/>
                <w:sz w:val="18"/>
                <w:szCs w:val="19"/>
              </w:rPr>
              <w:t xml:space="preserve">Salt lake water supply is a combined water supply and sewerage project. The project was implemented under a Built-Operate-Transfer (BOT) PPP arrangement with viability funding, provided by the central government’s scheme. </w:t>
            </w:r>
          </w:p>
        </w:tc>
      </w:tr>
    </w:tbl>
    <w:p w:rsidR="003F0F39" w:rsidRPr="007C60FC" w:rsidRDefault="003F0F39" w:rsidP="003F0F39">
      <w:pPr>
        <w:spacing w:after="120" w:line="276" w:lineRule="auto"/>
        <w:jc w:val="both"/>
      </w:pPr>
      <w:r w:rsidRPr="007C60FC">
        <w:t xml:space="preserve">Potential pathways for Bangladesh are presented below based upon the lessons from the international practices. </w:t>
      </w:r>
    </w:p>
    <w:p w:rsidR="00000000" w:rsidRDefault="003F0F39" w:rsidP="003D5A31">
      <w:pPr>
        <w:pStyle w:val="BodyText"/>
        <w:numPr>
          <w:ilvl w:val="2"/>
          <w:numId w:val="246"/>
        </w:numPr>
        <w:spacing w:after="240" w:line="276" w:lineRule="auto"/>
        <w:jc w:val="both"/>
        <w:rPr>
          <w:rFonts w:cs="Times New Roman"/>
          <w:b/>
          <w:szCs w:val="24"/>
        </w:rPr>
      </w:pPr>
      <w:bookmarkStart w:id="835" w:name="_Toc450215293"/>
      <w:bookmarkStart w:id="836" w:name="_Toc462850197"/>
      <w:r w:rsidRPr="007C60FC">
        <w:rPr>
          <w:rFonts w:cs="Times New Roman"/>
          <w:b/>
          <w:szCs w:val="24"/>
        </w:rPr>
        <w:t>Lessons learned from international practices</w:t>
      </w:r>
      <w:bookmarkEnd w:id="835"/>
      <w:bookmarkEnd w:id="836"/>
    </w:p>
    <w:p w:rsidR="003F0F39" w:rsidRPr="00296E41" w:rsidRDefault="003F0F39" w:rsidP="00296E41">
      <w:pPr>
        <w:spacing w:before="120" w:after="120"/>
        <w:rPr>
          <w:i/>
        </w:rPr>
      </w:pPr>
      <w:r w:rsidRPr="00296E41">
        <w:rPr>
          <w:i/>
        </w:rPr>
        <w:t>Market based instruments</w:t>
      </w:r>
    </w:p>
    <w:p w:rsidR="003F0F39" w:rsidRPr="007C60FC" w:rsidRDefault="003F0F39" w:rsidP="003F0F39">
      <w:pPr>
        <w:spacing w:after="120" w:line="276" w:lineRule="auto"/>
        <w:jc w:val="both"/>
      </w:pPr>
      <w:r w:rsidRPr="007C60FC">
        <w:t>The dominant finance and funding instruments within the international practices of market based mechanisms are based on cost recovery and several forms of benefit charging, all aimed to improve the financial performance of the water services delivery. What is clear is that especially for flood protection projects governments always play an important role, whereas in the other subsectors more mixed arrangements can be seen. Important reoccurring lessons learned from practices regarding market based mechanisms include:</w:t>
      </w:r>
    </w:p>
    <w:p w:rsidR="00000000" w:rsidRDefault="003F0F39" w:rsidP="003D5A31">
      <w:pPr>
        <w:numPr>
          <w:ilvl w:val="0"/>
          <w:numId w:val="227"/>
        </w:numPr>
        <w:spacing w:after="40" w:line="264" w:lineRule="auto"/>
        <w:jc w:val="both"/>
      </w:pPr>
      <w:r w:rsidRPr="007C60FC">
        <w:lastRenderedPageBreak/>
        <w:t>Willing governance, political commitment and leadership;</w:t>
      </w:r>
    </w:p>
    <w:p w:rsidR="00000000" w:rsidRDefault="003F0F39" w:rsidP="003D5A31">
      <w:pPr>
        <w:numPr>
          <w:ilvl w:val="0"/>
          <w:numId w:val="227"/>
        </w:numPr>
        <w:spacing w:after="40" w:line="264" w:lineRule="auto"/>
        <w:jc w:val="both"/>
      </w:pPr>
      <w:r w:rsidRPr="007C60FC">
        <w:t>Registration systems and water metering are important conditions;</w:t>
      </w:r>
    </w:p>
    <w:p w:rsidR="00000000" w:rsidRDefault="003F0F39" w:rsidP="003D5A31">
      <w:pPr>
        <w:numPr>
          <w:ilvl w:val="0"/>
          <w:numId w:val="227"/>
        </w:numPr>
        <w:spacing w:after="40" w:line="264" w:lineRule="auto"/>
        <w:jc w:val="both"/>
      </w:pPr>
      <w:r w:rsidRPr="007C60FC">
        <w:t>Sufficient and fair monitoring is in place;</w:t>
      </w:r>
    </w:p>
    <w:p w:rsidR="00000000" w:rsidRDefault="003F0F39" w:rsidP="003D5A31">
      <w:pPr>
        <w:numPr>
          <w:ilvl w:val="0"/>
          <w:numId w:val="227"/>
        </w:numPr>
        <w:spacing w:after="40" w:line="264" w:lineRule="auto"/>
        <w:jc w:val="both"/>
      </w:pPr>
      <w:r w:rsidRPr="007C60FC">
        <w:t>Proper stakeholder communication and participation; and</w:t>
      </w:r>
    </w:p>
    <w:p w:rsidR="00000000" w:rsidRDefault="003F0F39" w:rsidP="003D5A31">
      <w:pPr>
        <w:numPr>
          <w:ilvl w:val="0"/>
          <w:numId w:val="227"/>
        </w:numPr>
        <w:spacing w:after="40" w:line="264" w:lineRule="auto"/>
        <w:jc w:val="both"/>
      </w:pPr>
      <w:r w:rsidRPr="007C60FC">
        <w:t>Sufficient and realistic charges and incentives.</w:t>
      </w:r>
    </w:p>
    <w:p w:rsidR="003F0F39" w:rsidRPr="00296E41" w:rsidRDefault="003F0F39" w:rsidP="00296E41">
      <w:pPr>
        <w:spacing w:before="120" w:after="120"/>
        <w:rPr>
          <w:i/>
        </w:rPr>
      </w:pPr>
      <w:r w:rsidRPr="00296E41">
        <w:rPr>
          <w:i/>
        </w:rPr>
        <w:t>Institutional arrangements</w:t>
      </w:r>
    </w:p>
    <w:p w:rsidR="003F0F39" w:rsidRPr="007C60FC" w:rsidRDefault="003F0F39" w:rsidP="003F0F39">
      <w:pPr>
        <w:spacing w:after="120" w:line="276" w:lineRule="auto"/>
        <w:jc w:val="both"/>
      </w:pPr>
      <w:r w:rsidRPr="007C60FC">
        <w:t xml:space="preserve">Internationally, there are many cases involving private actors and private capital in water service delivery. The fact that </w:t>
      </w:r>
      <w:r w:rsidR="008B7627">
        <w:t>Public</w:t>
      </w:r>
      <w:r w:rsidRPr="007C60FC">
        <w:t xml:space="preserve">-Private Partnerships (PPP) take up a large share of the cases indicates that PPP is widely recognised as a promising contracting or funding arrangement in the water sector, both in developed and developing countries. Scope extension projects are innovative arrangements which extent the provision of water services by including revenues from non-water services such as land development, land reclamation, transport, urban development, and energy production. </w:t>
      </w:r>
    </w:p>
    <w:p w:rsidR="003F0F39" w:rsidRPr="007C60FC" w:rsidRDefault="003F0F39" w:rsidP="003F0F39">
      <w:pPr>
        <w:spacing w:after="120" w:line="276" w:lineRule="auto"/>
        <w:jc w:val="both"/>
      </w:pPr>
      <w:r w:rsidRPr="007C60FC">
        <w:t xml:space="preserve">Consequently, private stakeholders are more and more involved in institutional arrangements that seek additional funding sources and revenue, especially in the scope extension and PPP arrangements. Governments are still involved in these projects, but often take on the role of process facilitator, rather than process driver. Development Partners (DPs) and NGOs also engage in scoping by aiming for integrated development approaches. </w:t>
      </w:r>
    </w:p>
    <w:p w:rsidR="003F0F39" w:rsidRPr="007C60FC" w:rsidRDefault="003F0F39" w:rsidP="003F0F39">
      <w:pPr>
        <w:spacing w:after="120" w:line="276" w:lineRule="auto"/>
        <w:jc w:val="both"/>
      </w:pPr>
      <w:r w:rsidRPr="007C60FC">
        <w:t>Securing the involvement of private capital is the main recurring theme throughout the lessons learned of the institutional arrangements. Cooperation with private partners can lead to significant (</w:t>
      </w:r>
      <w:r w:rsidR="008B7627">
        <w:t>public</w:t>
      </w:r>
      <w:r w:rsidRPr="007C60FC">
        <w:t>) cost reductions and efficient management. However, the downside of cooperation with private actors is that private actors do exactly what they are paid for, but no more than that. Lessons learned therefore additionally include:</w:t>
      </w:r>
    </w:p>
    <w:p w:rsidR="00000000" w:rsidRDefault="003F0F39" w:rsidP="003D5A31">
      <w:pPr>
        <w:numPr>
          <w:ilvl w:val="0"/>
          <w:numId w:val="228"/>
        </w:numPr>
        <w:spacing w:after="40" w:line="264" w:lineRule="auto"/>
        <w:jc w:val="both"/>
      </w:pPr>
      <w:r w:rsidRPr="007C60FC">
        <w:t>Strong monitoring mechanisms, sound performance indicators of quality specifications, and decent contracts;</w:t>
      </w:r>
    </w:p>
    <w:p w:rsidR="00000000" w:rsidRDefault="003F0F39" w:rsidP="003D5A31">
      <w:pPr>
        <w:numPr>
          <w:ilvl w:val="0"/>
          <w:numId w:val="227"/>
        </w:numPr>
        <w:spacing w:after="40" w:line="264" w:lineRule="auto"/>
        <w:jc w:val="both"/>
      </w:pPr>
      <w:r w:rsidRPr="007C60FC">
        <w:t>Active multi-stakeholder engagement and capable and solid governance and governments;</w:t>
      </w:r>
    </w:p>
    <w:p w:rsidR="00000000" w:rsidRDefault="003F0F39" w:rsidP="003D5A31">
      <w:pPr>
        <w:numPr>
          <w:ilvl w:val="0"/>
          <w:numId w:val="227"/>
        </w:numPr>
        <w:spacing w:after="40" w:line="264" w:lineRule="auto"/>
        <w:jc w:val="both"/>
      </w:pPr>
      <w:r w:rsidRPr="007C60FC">
        <w:t>Sufficient demand for the project’s additional revenue sources (land demand, toll road traffic, urban development, tourism).</w:t>
      </w:r>
    </w:p>
    <w:p w:rsidR="003F0F39" w:rsidRPr="00296E41" w:rsidRDefault="003F0F39" w:rsidP="00296E41">
      <w:pPr>
        <w:spacing w:before="120" w:after="120"/>
        <w:rPr>
          <w:i/>
        </w:rPr>
      </w:pPr>
      <w:r w:rsidRPr="00296E41">
        <w:rPr>
          <w:i/>
        </w:rPr>
        <w:t>Financing mechanisms</w:t>
      </w:r>
    </w:p>
    <w:p w:rsidR="003F0F39" w:rsidRPr="007C60FC" w:rsidRDefault="003F0F39" w:rsidP="003F0F39">
      <w:pPr>
        <w:spacing w:after="120" w:line="276" w:lineRule="auto"/>
        <w:jc w:val="both"/>
      </w:pPr>
      <w:r w:rsidRPr="007C60FC">
        <w:t xml:space="preserve">Financing mechanisms aim to attract more private finance in the water sector through innovative financing mechanisms aiming at reducing risks or losses, decrease transaction costs and diversification of risks. Mechanisms include viability gap funding, match funding, revolving funds, blending instruments and pooled funds. The main actors in these arrangements are aid and development banks, private banks, governments, and (local) NGOs. The (local) NGOs, take the role to connect the funds to local actors. These often use micro-credit like mechanisms to ensure </w:t>
      </w:r>
      <w:r w:rsidRPr="007C60FC">
        <w:lastRenderedPageBreak/>
        <w:t>sustainable development projects. Reoccurring lessons learned from international practices related to institutional arrangements include:</w:t>
      </w:r>
    </w:p>
    <w:p w:rsidR="00000000" w:rsidRDefault="003F0F39" w:rsidP="003D5A31">
      <w:pPr>
        <w:numPr>
          <w:ilvl w:val="0"/>
          <w:numId w:val="227"/>
        </w:numPr>
        <w:spacing w:after="40" w:line="264" w:lineRule="auto"/>
        <w:jc w:val="both"/>
      </w:pPr>
      <w:r w:rsidRPr="007C60FC">
        <w:t xml:space="preserve">A sufficient level of private sector and financing expertise is required to develop and sustain blending and pooling mechanisms. </w:t>
      </w:r>
    </w:p>
    <w:p w:rsidR="00000000" w:rsidRDefault="003F0F39" w:rsidP="003D5A31">
      <w:pPr>
        <w:numPr>
          <w:ilvl w:val="0"/>
          <w:numId w:val="227"/>
        </w:numPr>
        <w:spacing w:after="40" w:line="264" w:lineRule="auto"/>
        <w:jc w:val="both"/>
      </w:pPr>
      <w:r w:rsidRPr="007C60FC">
        <w:t xml:space="preserve">Government or donor grants or guarantee mechanisms are often important in order to attract private finance. </w:t>
      </w:r>
    </w:p>
    <w:p w:rsidR="003F0F39" w:rsidRPr="00296E41" w:rsidRDefault="003F0F39" w:rsidP="00296E41">
      <w:pPr>
        <w:spacing w:before="120" w:after="120"/>
        <w:rPr>
          <w:i/>
        </w:rPr>
      </w:pPr>
      <w:r w:rsidRPr="00296E41">
        <w:rPr>
          <w:i/>
        </w:rPr>
        <w:t>Specific lessons from the Netherlands and the UK</w:t>
      </w:r>
    </w:p>
    <w:p w:rsidR="00850B88" w:rsidRPr="007C60FC" w:rsidRDefault="003F0F39" w:rsidP="00850B88">
      <w:pPr>
        <w:spacing w:line="264" w:lineRule="auto"/>
      </w:pPr>
      <w:r w:rsidRPr="007C60FC">
        <w:t>In the Netherlands semi-</w:t>
      </w:r>
      <w:r w:rsidR="008B7627">
        <w:t>public</w:t>
      </w:r>
      <w:r w:rsidRPr="007C60FC">
        <w:t xml:space="preserve"> drinking water companies and a set of regional water boards operate regional drinking water &amp; sewerage systems and regional water management systems at full cost recovery level based upon a system of water tariffs and levies. The Netherlands tends to ensure strategic, long-term expenditures on flood protection and water supply by the realisation of the Delta programme, the Delta Commissioner and a specific Delta Fund. The Delta Commissioner’s task is to promote the development and implementation of the Delta Programme and the financing of future measures is invested in the Delta Fund. The Delta Fund has been established to ensure that in the long-run sufficient funds are available to ensure realization of necessary national measures regarding flood protection and freshwater supplies in the Netherlands. The Delta Fund has its own budget which is an independent part of the national budget. </w:t>
      </w:r>
      <w:r w:rsidR="00850B88" w:rsidRPr="007C60FC">
        <w:t>In section 12.4 Box 12.1 the Dutch system is discussed in more detail.</w:t>
      </w:r>
    </w:p>
    <w:p w:rsidR="003F0F39" w:rsidRPr="007C60FC" w:rsidRDefault="003F0F39" w:rsidP="003F0F39">
      <w:pPr>
        <w:spacing w:after="120" w:line="276" w:lineRule="auto"/>
        <w:jc w:val="both"/>
      </w:pPr>
    </w:p>
    <w:p w:rsidR="003F0F39" w:rsidRPr="00AB2780" w:rsidRDefault="003F0F39" w:rsidP="007C60FC">
      <w:pPr>
        <w:spacing w:after="120" w:line="276" w:lineRule="auto"/>
        <w:jc w:val="both"/>
      </w:pPr>
      <w:r w:rsidRPr="007C60FC">
        <w:t xml:space="preserve">In the UK system the burden of drinking water and sanitation services for the </w:t>
      </w:r>
      <w:r w:rsidR="008B7627">
        <w:t>public</w:t>
      </w:r>
      <w:r w:rsidRPr="007C60FC">
        <w:t xml:space="preserve"> budget is minimised. Private water utilities and sewage companies are full cost recovery based and can attract capital from private banks or capital markets. A lesson from the UK is that private operations of water and sewerage can be efficient, but needs a proper regulator. This is a system where Bangladesh could aim for in the long run after improving financial performance of water ut</w:t>
      </w:r>
      <w:r w:rsidR="007C60FC">
        <w:t xml:space="preserve">ilities in the next decade(s). </w:t>
      </w:r>
    </w:p>
    <w:p w:rsidR="00000000" w:rsidRDefault="00B360AB" w:rsidP="003D5A31">
      <w:pPr>
        <w:pStyle w:val="BodyText"/>
        <w:numPr>
          <w:ilvl w:val="2"/>
          <w:numId w:val="246"/>
        </w:numPr>
        <w:spacing w:after="240" w:line="276" w:lineRule="auto"/>
        <w:jc w:val="both"/>
        <w:rPr>
          <w:rFonts w:cs="Times New Roman"/>
          <w:b/>
          <w:szCs w:val="24"/>
        </w:rPr>
      </w:pPr>
      <w:bookmarkStart w:id="837" w:name="_Toc453889905"/>
      <w:bookmarkEnd w:id="823"/>
      <w:r w:rsidRPr="00EA6825">
        <w:rPr>
          <w:rFonts w:cs="Times New Roman"/>
          <w:b/>
          <w:szCs w:val="24"/>
        </w:rPr>
        <w:t>The Green Climate Fund (GCF</w:t>
      </w:r>
      <w:r w:rsidR="00850B88" w:rsidRPr="00EA6825">
        <w:rPr>
          <w:rFonts w:cs="Times New Roman"/>
          <w:b/>
          <w:szCs w:val="24"/>
        </w:rPr>
        <w:t>)</w:t>
      </w:r>
      <w:r w:rsidR="00850B88">
        <w:rPr>
          <w:rFonts w:cs="Times New Roman"/>
          <w:b/>
          <w:szCs w:val="24"/>
        </w:rPr>
        <w:t>-</w:t>
      </w:r>
      <w:r w:rsidRPr="00EA6825">
        <w:rPr>
          <w:rFonts w:cs="Times New Roman"/>
          <w:b/>
          <w:szCs w:val="24"/>
        </w:rPr>
        <w:t>A Potential Major Source of Funding for Climate Change Adaptation</w:t>
      </w:r>
    </w:p>
    <w:p w:rsidR="00B360AB" w:rsidRPr="00920AD2" w:rsidRDefault="00B360AB" w:rsidP="00B360AB">
      <w:pPr>
        <w:spacing w:line="276" w:lineRule="auto"/>
        <w:jc w:val="both"/>
      </w:pPr>
      <w:r w:rsidRPr="00920AD2">
        <w:t>The GCF has been established with the objective to mobilize climate finance to support scaled-up mitigation and adaptation action in developing countries. It was first mentioned in the Copenhagen Accord in 2009 and was formally established one year later during the COP 16 held in Cancun, Mexico. In 2011 the GCF adopted its governing instrument, in which it recognized its objective to ‘promote the paradigm shift towards low emission and climate-resilient development pathways by providing support to developing countries to limit or reduce their greenhouse gas emissions and to adapt to the impacts of climate change’.</w:t>
      </w:r>
    </w:p>
    <w:p w:rsidR="00B360AB" w:rsidRPr="00920AD2" w:rsidRDefault="00B360AB" w:rsidP="00B360AB">
      <w:pPr>
        <w:spacing w:line="276" w:lineRule="auto"/>
        <w:jc w:val="both"/>
        <w:rPr>
          <w:rFonts w:eastAsia="Times New Roman"/>
          <w:color w:val="000000"/>
        </w:rPr>
      </w:pPr>
      <w:r w:rsidRPr="00920AD2">
        <w:rPr>
          <w:rFonts w:eastAsia="Times New Roman"/>
          <w:color w:val="000000"/>
        </w:rPr>
        <w:t>The Fund has identified 5 investment priorities which will deliver major mitigation and adaptation benefits:</w:t>
      </w:r>
    </w:p>
    <w:p w:rsidR="00000000" w:rsidRDefault="00B360AB" w:rsidP="003D5A31">
      <w:pPr>
        <w:pStyle w:val="ListParagraph"/>
        <w:numPr>
          <w:ilvl w:val="0"/>
          <w:numId w:val="122"/>
        </w:numPr>
        <w:spacing w:line="276" w:lineRule="auto"/>
        <w:ind w:left="360"/>
        <w:jc w:val="both"/>
        <w:rPr>
          <w:rFonts w:eastAsia="Times New Roman"/>
          <w:color w:val="000000"/>
        </w:rPr>
      </w:pPr>
      <w:r w:rsidRPr="00920AD2">
        <w:rPr>
          <w:rFonts w:eastAsia="Times New Roman"/>
          <w:color w:val="000000"/>
        </w:rPr>
        <w:lastRenderedPageBreak/>
        <w:t>Transforming energy generation and access</w:t>
      </w:r>
    </w:p>
    <w:p w:rsidR="00000000" w:rsidRDefault="00B360AB" w:rsidP="003D5A31">
      <w:pPr>
        <w:pStyle w:val="ListParagraph"/>
        <w:numPr>
          <w:ilvl w:val="0"/>
          <w:numId w:val="122"/>
        </w:numPr>
        <w:spacing w:line="276" w:lineRule="auto"/>
        <w:ind w:left="360"/>
        <w:jc w:val="both"/>
        <w:rPr>
          <w:rFonts w:eastAsia="Times New Roman"/>
          <w:color w:val="000000"/>
        </w:rPr>
      </w:pPr>
      <w:r w:rsidRPr="00920AD2">
        <w:rPr>
          <w:rFonts w:eastAsia="Times New Roman"/>
          <w:color w:val="000000"/>
        </w:rPr>
        <w:t>Creating climate-compatible cities</w:t>
      </w:r>
    </w:p>
    <w:p w:rsidR="00000000" w:rsidRDefault="00B360AB" w:rsidP="003D5A31">
      <w:pPr>
        <w:pStyle w:val="ListParagraph"/>
        <w:numPr>
          <w:ilvl w:val="0"/>
          <w:numId w:val="122"/>
        </w:numPr>
        <w:spacing w:line="276" w:lineRule="auto"/>
        <w:ind w:left="360"/>
        <w:jc w:val="both"/>
        <w:rPr>
          <w:rFonts w:eastAsia="Times New Roman"/>
          <w:color w:val="000000"/>
        </w:rPr>
      </w:pPr>
      <w:r w:rsidRPr="00920AD2">
        <w:rPr>
          <w:rFonts w:eastAsia="Times New Roman"/>
          <w:color w:val="000000"/>
        </w:rPr>
        <w:t>Encouraging low-emission and climate-resilient agriculture</w:t>
      </w:r>
    </w:p>
    <w:p w:rsidR="00000000" w:rsidRDefault="00B360AB" w:rsidP="003D5A31">
      <w:pPr>
        <w:pStyle w:val="ListParagraph"/>
        <w:numPr>
          <w:ilvl w:val="0"/>
          <w:numId w:val="122"/>
        </w:numPr>
        <w:spacing w:line="276" w:lineRule="auto"/>
        <w:ind w:left="360"/>
        <w:jc w:val="both"/>
        <w:rPr>
          <w:rFonts w:eastAsia="Times New Roman"/>
          <w:color w:val="000000"/>
        </w:rPr>
      </w:pPr>
      <w:r w:rsidRPr="00920AD2">
        <w:rPr>
          <w:rFonts w:eastAsia="Times New Roman"/>
          <w:color w:val="000000"/>
        </w:rPr>
        <w:t>Scaling up finance for forests and climate change</w:t>
      </w:r>
    </w:p>
    <w:p w:rsidR="00000000" w:rsidRDefault="00B360AB" w:rsidP="003D5A31">
      <w:pPr>
        <w:pStyle w:val="ListParagraph"/>
        <w:numPr>
          <w:ilvl w:val="0"/>
          <w:numId w:val="122"/>
        </w:numPr>
        <w:spacing w:line="276" w:lineRule="auto"/>
        <w:ind w:left="360"/>
        <w:jc w:val="both"/>
        <w:rPr>
          <w:rFonts w:eastAsia="Times New Roman"/>
          <w:color w:val="000000"/>
        </w:rPr>
      </w:pPr>
      <w:r w:rsidRPr="00920AD2">
        <w:rPr>
          <w:rFonts w:eastAsia="Times New Roman"/>
          <w:color w:val="000000"/>
        </w:rPr>
        <w:t>Enhancing resilience in Small Island Developing States (SIDS)</w:t>
      </w:r>
    </w:p>
    <w:p w:rsidR="00B360AB" w:rsidRPr="00920AD2" w:rsidRDefault="00B360AB" w:rsidP="00B360AB">
      <w:pPr>
        <w:spacing w:line="276" w:lineRule="auto"/>
        <w:jc w:val="both"/>
        <w:rPr>
          <w:color w:val="000000"/>
        </w:rPr>
      </w:pPr>
      <w:r w:rsidRPr="00920AD2">
        <w:rPr>
          <w:color w:val="000000"/>
        </w:rPr>
        <w:t xml:space="preserve">Adopted as an operating entity of the Financial Mechanism of the UNFCCC and confirmed in this function for </w:t>
      </w:r>
      <w:r w:rsidRPr="00920AD2">
        <w:t>the</w:t>
      </w:r>
      <w:r w:rsidRPr="00920AD2">
        <w:rPr>
          <w:color w:val="000000"/>
        </w:rPr>
        <w:t xml:space="preserve"> Paris Agreement, the fund has the ambition to channel a significant portion of future climate finance from both the </w:t>
      </w:r>
      <w:r w:rsidR="008B7627">
        <w:t>public</w:t>
      </w:r>
      <w:r w:rsidRPr="00920AD2">
        <w:rPr>
          <w:color w:val="000000"/>
        </w:rPr>
        <w:t xml:space="preserve"> and private sector.</w:t>
      </w:r>
    </w:p>
    <w:p w:rsidR="00B360AB" w:rsidRPr="00920AD2" w:rsidRDefault="00B360AB" w:rsidP="00B360AB">
      <w:pPr>
        <w:spacing w:line="276" w:lineRule="auto"/>
        <w:jc w:val="both"/>
        <w:rPr>
          <w:color w:val="000000"/>
        </w:rPr>
      </w:pPr>
      <w:r w:rsidRPr="00920AD2">
        <w:rPr>
          <w:color w:val="000000"/>
        </w:rPr>
        <w:t xml:space="preserve">With </w:t>
      </w:r>
      <w:r w:rsidR="00850B88">
        <w:rPr>
          <w:color w:val="000000"/>
        </w:rPr>
        <w:t>$</w:t>
      </w:r>
      <w:r w:rsidR="00850B88" w:rsidRPr="00920AD2">
        <w:rPr>
          <w:color w:val="000000"/>
        </w:rPr>
        <w:t xml:space="preserve"> </w:t>
      </w:r>
      <w:r w:rsidRPr="00920AD2">
        <w:rPr>
          <w:color w:val="000000"/>
        </w:rPr>
        <w:t xml:space="preserve">10.2 billion of climate finance pledged to the GCF and </w:t>
      </w:r>
      <w:r w:rsidR="00850B88">
        <w:rPr>
          <w:color w:val="000000"/>
        </w:rPr>
        <w:t>$</w:t>
      </w:r>
      <w:r w:rsidR="00850B88" w:rsidRPr="00920AD2">
        <w:rPr>
          <w:color w:val="000000"/>
        </w:rPr>
        <w:t xml:space="preserve"> </w:t>
      </w:r>
      <w:r w:rsidRPr="00920AD2">
        <w:rPr>
          <w:color w:val="000000"/>
        </w:rPr>
        <w:t xml:space="preserve">5.9 billion confirmed as of January 2016, </w:t>
      </w:r>
      <w:r w:rsidRPr="00920AD2">
        <w:t>the</w:t>
      </w:r>
      <w:r w:rsidRPr="00920AD2">
        <w:rPr>
          <w:color w:val="000000"/>
        </w:rPr>
        <w:t xml:space="preserve"> GCF and its funders still have a long way to go to get close to the climate finance target of </w:t>
      </w:r>
      <w:r w:rsidR="00850B88">
        <w:rPr>
          <w:color w:val="000000"/>
        </w:rPr>
        <w:t>$</w:t>
      </w:r>
      <w:r w:rsidR="00850B88" w:rsidRPr="00920AD2">
        <w:rPr>
          <w:color w:val="000000"/>
        </w:rPr>
        <w:t xml:space="preserve"> </w:t>
      </w:r>
      <w:r w:rsidRPr="00920AD2">
        <w:rPr>
          <w:color w:val="000000"/>
        </w:rPr>
        <w:t xml:space="preserve">100 billion annually. The fund has however come a long way since its conceptualization in 2009 – it has found its home in South Korea, defined its scope of activities and its mission, developed proposal templates, investment criteria and approval procedures, initiated readiness programs and accredited 20 international and domestic entities through which disbursements can be channeled. Just before the COP in Paris, the GCF approved funding for the first set of eight projects for a total of </w:t>
      </w:r>
      <w:r w:rsidR="00850B88">
        <w:rPr>
          <w:color w:val="000000"/>
        </w:rPr>
        <w:t>$</w:t>
      </w:r>
      <w:r w:rsidR="00850B88" w:rsidRPr="00920AD2">
        <w:rPr>
          <w:color w:val="000000"/>
        </w:rPr>
        <w:t xml:space="preserve"> </w:t>
      </w:r>
      <w:r w:rsidRPr="00920AD2">
        <w:rPr>
          <w:color w:val="000000"/>
        </w:rPr>
        <w:t xml:space="preserve">168 million. The fund is ready to scale-up its funding allocations and intends to award up to </w:t>
      </w:r>
      <w:r w:rsidR="00850B88">
        <w:rPr>
          <w:color w:val="000000"/>
        </w:rPr>
        <w:t>$</w:t>
      </w:r>
      <w:r w:rsidRPr="00920AD2">
        <w:rPr>
          <w:color w:val="000000"/>
        </w:rPr>
        <w:t>2.5 billion in 2016.</w:t>
      </w:r>
    </w:p>
    <w:p w:rsidR="00B360AB" w:rsidRPr="00920AD2" w:rsidRDefault="00B360AB" w:rsidP="00B360AB">
      <w:pPr>
        <w:spacing w:line="276" w:lineRule="auto"/>
        <w:jc w:val="both"/>
        <w:rPr>
          <w:color w:val="000000"/>
        </w:rPr>
      </w:pPr>
      <w:r w:rsidRPr="00920AD2">
        <w:rPr>
          <w:color w:val="000000"/>
        </w:rPr>
        <w:t>The outcome of Paris is relevant to the modus operandi of the GCF as it reiterates the key role the fund is to have in a post-2020 framework, highlighting the fund as a key provider of predictable financial resources</w:t>
      </w:r>
      <w:r w:rsidR="004168CF">
        <w:rPr>
          <w:color w:val="000000"/>
        </w:rPr>
        <w:t xml:space="preserve"> (Box 11.1</w:t>
      </w:r>
      <w:r>
        <w:rPr>
          <w:color w:val="000000"/>
        </w:rPr>
        <w:t>)</w:t>
      </w:r>
      <w:r w:rsidRPr="00920AD2">
        <w:rPr>
          <w:color w:val="000000"/>
        </w:rPr>
        <w:t>. The Paris Agreement and the accompanying Decision provide additional provisions on finance those are relevant to the GCF, including on funding ambitions, its contributors, earmarking of funds and its subsequent accounting and reporting.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hemeFill="background1" w:themeFillShade="F2"/>
        <w:tblLook w:val="04A0"/>
      </w:tblPr>
      <w:tblGrid>
        <w:gridCol w:w="9350"/>
      </w:tblGrid>
      <w:tr w:rsidR="00B360AB" w:rsidRPr="001772E3" w:rsidTr="00CF720E">
        <w:trPr>
          <w:trHeight w:val="12500"/>
        </w:trPr>
        <w:tc>
          <w:tcPr>
            <w:tcW w:w="9350" w:type="dxa"/>
            <w:shd w:val="clear" w:color="auto" w:fill="F2F2F2" w:themeFill="background1" w:themeFillShade="F2"/>
          </w:tcPr>
          <w:p w:rsidR="00B360AB" w:rsidRDefault="004168CF" w:rsidP="00CA5B96">
            <w:pPr>
              <w:pStyle w:val="Heading7"/>
            </w:pPr>
            <w:bookmarkStart w:id="838" w:name="_Toc460497255"/>
            <w:bookmarkStart w:id="839" w:name="_Toc474639329"/>
            <w:bookmarkEnd w:id="837"/>
            <w:r>
              <w:lastRenderedPageBreak/>
              <w:t>Box 11.1</w:t>
            </w:r>
            <w:r w:rsidR="00B360AB">
              <w:t>: Green Climate Fund for Climate Change Adaptation in Developing Countries</w:t>
            </w:r>
            <w:bookmarkEnd w:id="838"/>
            <w:bookmarkEnd w:id="839"/>
          </w:p>
          <w:p w:rsidR="00B360AB" w:rsidRPr="003A0B73" w:rsidRDefault="00B360AB" w:rsidP="00CA5B96">
            <w:pPr>
              <w:spacing w:after="120"/>
              <w:jc w:val="both"/>
              <w:rPr>
                <w:b/>
                <w:sz w:val="20"/>
              </w:rPr>
            </w:pPr>
            <w:r w:rsidRPr="003A0B73">
              <w:rPr>
                <w:b/>
                <w:sz w:val="20"/>
              </w:rPr>
              <w:t>Green Climate Fund and the Paris Agreement</w:t>
            </w:r>
          </w:p>
          <w:p w:rsidR="00000000" w:rsidRDefault="00B360AB" w:rsidP="003D5A31">
            <w:pPr>
              <w:pStyle w:val="ListParagraph"/>
              <w:numPr>
                <w:ilvl w:val="0"/>
                <w:numId w:val="121"/>
              </w:numPr>
              <w:spacing w:after="0" w:line="276" w:lineRule="auto"/>
              <w:jc w:val="both"/>
              <w:rPr>
                <w:sz w:val="16"/>
              </w:rPr>
            </w:pPr>
            <w:r w:rsidRPr="001772E3">
              <w:rPr>
                <w:sz w:val="16"/>
              </w:rPr>
              <w:t>The Paris Agreement and the supporting Decision include provisions on finance that both directly and indirectly relate to the role and operation of the Green Climate Fund (GCF).</w:t>
            </w:r>
          </w:p>
          <w:p w:rsidR="00000000" w:rsidRDefault="00B360AB" w:rsidP="003D5A31">
            <w:pPr>
              <w:pStyle w:val="ListParagraph"/>
              <w:numPr>
                <w:ilvl w:val="0"/>
                <w:numId w:val="120"/>
              </w:numPr>
              <w:spacing w:after="200" w:line="276" w:lineRule="auto"/>
              <w:jc w:val="both"/>
              <w:rPr>
                <w:sz w:val="16"/>
              </w:rPr>
            </w:pPr>
            <w:r w:rsidRPr="001772E3">
              <w:rPr>
                <w:sz w:val="16"/>
              </w:rPr>
              <w:t>The Agreement emphasizes the GCF’s role as a key provider of predictable financial resources in the post-2020 framework.</w:t>
            </w:r>
          </w:p>
          <w:p w:rsidR="00000000" w:rsidRDefault="00B360AB" w:rsidP="003D5A31">
            <w:pPr>
              <w:pStyle w:val="ListParagraph"/>
              <w:numPr>
                <w:ilvl w:val="0"/>
                <w:numId w:val="120"/>
              </w:numPr>
              <w:spacing w:after="200" w:line="276" w:lineRule="auto"/>
              <w:jc w:val="both"/>
              <w:rPr>
                <w:sz w:val="16"/>
              </w:rPr>
            </w:pPr>
            <w:r w:rsidRPr="001772E3">
              <w:rPr>
                <w:sz w:val="16"/>
              </w:rPr>
              <w:t>The introduction of a floor of USD 100 billion annually on the level of climate finance going forward post-2025 acknowledges that climate finance needs to be further scaled-up.</w:t>
            </w:r>
          </w:p>
          <w:p w:rsidR="00000000" w:rsidRDefault="00B360AB" w:rsidP="003D5A31">
            <w:pPr>
              <w:pStyle w:val="ListParagraph"/>
              <w:numPr>
                <w:ilvl w:val="0"/>
                <w:numId w:val="120"/>
              </w:numPr>
              <w:spacing w:after="200" w:line="276" w:lineRule="auto"/>
              <w:jc w:val="both"/>
              <w:rPr>
                <w:sz w:val="16"/>
              </w:rPr>
            </w:pPr>
            <w:r w:rsidRPr="001772E3">
              <w:rPr>
                <w:sz w:val="16"/>
              </w:rPr>
              <w:t>A roadmap to achieve this funding level is expected to introduce clarity on Parties’ pledges, supporting the GCF in making future funding decisions.</w:t>
            </w:r>
          </w:p>
          <w:p w:rsidR="00000000" w:rsidRDefault="00B360AB" w:rsidP="003D5A31">
            <w:pPr>
              <w:pStyle w:val="ListParagraph"/>
              <w:numPr>
                <w:ilvl w:val="0"/>
                <w:numId w:val="120"/>
              </w:numPr>
              <w:spacing w:after="200" w:line="276" w:lineRule="auto"/>
              <w:jc w:val="both"/>
              <w:rPr>
                <w:sz w:val="16"/>
              </w:rPr>
            </w:pPr>
            <w:r w:rsidRPr="001772E3">
              <w:rPr>
                <w:sz w:val="16"/>
              </w:rPr>
              <w:t>Development of modalities for the accounting of financial resources and the requirement to provide biannual reporting will introduce further transparency to the funding and operating of the GCF.</w:t>
            </w:r>
          </w:p>
          <w:p w:rsidR="00000000" w:rsidRDefault="00B360AB" w:rsidP="003D5A31">
            <w:pPr>
              <w:pStyle w:val="ListParagraph"/>
              <w:numPr>
                <w:ilvl w:val="0"/>
                <w:numId w:val="120"/>
              </w:numPr>
              <w:spacing w:after="200" w:line="276" w:lineRule="auto"/>
              <w:jc w:val="both"/>
              <w:rPr>
                <w:sz w:val="16"/>
              </w:rPr>
            </w:pPr>
            <w:r w:rsidRPr="001772E3">
              <w:rPr>
                <w:sz w:val="16"/>
              </w:rPr>
              <w:t>Develop</w:t>
            </w:r>
            <w:r>
              <w:rPr>
                <w:sz w:val="16"/>
              </w:rPr>
              <w:t xml:space="preserve">ed </w:t>
            </w:r>
            <w:r w:rsidRPr="001772E3">
              <w:rPr>
                <w:sz w:val="16"/>
              </w:rPr>
              <w:t>countries are to continue taking a leading role in mobilizing climate finance, which is already reflected in the contributions made into the GCF to date.</w:t>
            </w:r>
          </w:p>
          <w:p w:rsidR="00000000" w:rsidRDefault="00B360AB" w:rsidP="003D5A31">
            <w:pPr>
              <w:pStyle w:val="ListParagraph"/>
              <w:numPr>
                <w:ilvl w:val="0"/>
                <w:numId w:val="120"/>
              </w:numPr>
              <w:spacing w:after="200" w:line="276" w:lineRule="auto"/>
              <w:jc w:val="both"/>
              <w:rPr>
                <w:sz w:val="16"/>
              </w:rPr>
            </w:pPr>
            <w:r w:rsidRPr="001772E3">
              <w:rPr>
                <w:sz w:val="16"/>
              </w:rPr>
              <w:t>Funding is to be balanced between mitigation and adaptation initiatives, acknowledging the importance of sustainable development co-benefits and prioritizing action in least developed countries (LDCs) and Small Island Developing States (SIDS).</w:t>
            </w:r>
          </w:p>
          <w:p w:rsidR="00B360AB" w:rsidRPr="003A0B73" w:rsidRDefault="00B360AB" w:rsidP="00CA5B96">
            <w:pPr>
              <w:spacing w:after="120" w:line="276" w:lineRule="auto"/>
              <w:jc w:val="both"/>
              <w:rPr>
                <w:sz w:val="18"/>
              </w:rPr>
            </w:pPr>
            <w:r w:rsidRPr="003A0B73">
              <w:rPr>
                <w:b/>
                <w:sz w:val="18"/>
              </w:rPr>
              <w:t>Funding ambitions</w:t>
            </w:r>
          </w:p>
          <w:p w:rsidR="00B360AB" w:rsidRPr="001772E3" w:rsidRDefault="00B360AB" w:rsidP="00CA5B96">
            <w:pPr>
              <w:spacing w:line="276" w:lineRule="auto"/>
              <w:jc w:val="both"/>
              <w:rPr>
                <w:sz w:val="16"/>
              </w:rPr>
            </w:pPr>
            <w:r w:rsidRPr="001772E3">
              <w:rPr>
                <w:sz w:val="16"/>
              </w:rPr>
              <w:t>The Paris Agreement does not explicitly refer to the GCF and the amount of funding that it is to mobilize. The text recognizes however that ‘the Financial Mechanism of the Convention, including its operating entities, shall serve as the financial mechanism of this Agreement’ (Art. 9.8). The Financial Mechanism was established under the Convention (Art. 11) to formalize and streamline efforts to provide concessional financial resources to developing country Parties. Designated bodies – the operating entities – are entrusted to realize the goals of the Mechanism. The GCF, together with the GEF, are the two operating entities of the Financial Mechanism of the Convention and the Paris Agreement and as such represent the main channels through which future sources of international climate finance are expecte</w:t>
            </w:r>
            <w:r>
              <w:rPr>
                <w:sz w:val="16"/>
              </w:rPr>
              <w:t>d to flow in the years to come.</w:t>
            </w:r>
          </w:p>
          <w:p w:rsidR="00B360AB" w:rsidRPr="001772E3" w:rsidRDefault="00B360AB" w:rsidP="00CA5B96">
            <w:pPr>
              <w:spacing w:after="120" w:line="276" w:lineRule="auto"/>
              <w:jc w:val="both"/>
              <w:rPr>
                <w:sz w:val="16"/>
              </w:rPr>
            </w:pPr>
            <w:r w:rsidRPr="001772E3">
              <w:rPr>
                <w:sz w:val="16"/>
              </w:rPr>
              <w:t>The Paris Decision, serving as guidance for the implementation of the Paris Agreement and pre-2020 action, ‘strongly urges developed country Parties to scale up their level of financial support, with a concrete roadmap to achieve the goal of jointly providing USD 100 billion annually by 2020 for mitigation and adaptation’ (para 115). The Decision furthermore mentions that prior to 2025 the COP shall set a new ‘collective quantified goal from a floor of USD 100 billion per year’ (para 54). The reason both quantitative targets are missing from the actual Agreement is a pragmatic one – in doing so the COP has enabled the US President to adopt the Agreement as a ‘sole-executive agreement’ under the US law, without the requiremen</w:t>
            </w:r>
            <w:r>
              <w:rPr>
                <w:sz w:val="16"/>
              </w:rPr>
              <w:t>t for the US Senate to approve.</w:t>
            </w:r>
          </w:p>
          <w:p w:rsidR="00B360AB" w:rsidRPr="00CF720E" w:rsidRDefault="00B360AB" w:rsidP="00CF720E">
            <w:pPr>
              <w:pStyle w:val="Heading5"/>
            </w:pPr>
            <w:bookmarkStart w:id="840" w:name="_Toc474639222"/>
            <w:r w:rsidRPr="00CF720E">
              <w:t>Figure 11.6: Overview of Current and Foreseen Climate Finance Flows</w:t>
            </w:r>
            <w:bookmarkEnd w:id="840"/>
          </w:p>
          <w:p w:rsidR="00B360AB" w:rsidRPr="001772E3" w:rsidRDefault="00B360AB" w:rsidP="00CA5B96">
            <w:pPr>
              <w:jc w:val="both"/>
              <w:rPr>
                <w:sz w:val="16"/>
              </w:rPr>
            </w:pPr>
            <w:r>
              <w:rPr>
                <w:noProof/>
                <w:sz w:val="16"/>
                <w:lang w:val="en-AU" w:eastAsia="en-AU" w:bidi="bn-BD"/>
              </w:rPr>
              <w:drawing>
                <wp:inline distT="0" distB="0" distL="0" distR="0">
                  <wp:extent cx="5756031" cy="2038350"/>
                  <wp:effectExtent l="0" t="0" r="0" b="0"/>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srcRect/>
                          <a:stretch>
                            <a:fillRect/>
                          </a:stretch>
                        </pic:blipFill>
                        <pic:spPr bwMode="auto">
                          <a:xfrm>
                            <a:off x="0" y="0"/>
                            <a:ext cx="5757876" cy="2039003"/>
                          </a:xfrm>
                          <a:prstGeom prst="rect">
                            <a:avLst/>
                          </a:prstGeom>
                          <a:noFill/>
                          <a:ln w="9525">
                            <a:noFill/>
                            <a:miter lim="800000"/>
                            <a:headEnd/>
                            <a:tailEnd/>
                          </a:ln>
                        </pic:spPr>
                      </pic:pic>
                    </a:graphicData>
                  </a:graphic>
                </wp:inline>
              </w:drawing>
            </w:r>
          </w:p>
          <w:p w:rsidR="00B360AB" w:rsidRPr="001772E3" w:rsidRDefault="00B360AB" w:rsidP="00CA5B96">
            <w:pPr>
              <w:spacing w:after="0" w:line="276" w:lineRule="auto"/>
              <w:jc w:val="both"/>
              <w:rPr>
                <w:sz w:val="16"/>
              </w:rPr>
            </w:pPr>
            <w:r w:rsidRPr="001772E3">
              <w:rPr>
                <w:sz w:val="16"/>
              </w:rPr>
              <w:t xml:space="preserve">From the perspective of the GCF, while the annual target of USD 100 billion is in itself not new, the introduction of a floor on the level of climate finance going forward post-2025 presents an acknowledgment that climate finance needs to be further scaled-up in order for the Agreement’s objectives to be realized (see Figure </w:t>
            </w:r>
            <w:r>
              <w:rPr>
                <w:sz w:val="16"/>
              </w:rPr>
              <w:t>11.6</w:t>
            </w:r>
            <w:r w:rsidRPr="001772E3">
              <w:rPr>
                <w:sz w:val="16"/>
              </w:rPr>
              <w:t>). The GCF is explicitly recognized in the Decision as a key multilateral funding source that is to support the flow of ‘adequate and predictable financial resources’ (para 55). The urge to develop a roadmap for reaching the stated financing target by 2020 and beyond is also a significant development given the current ambiguity revolving around the magnitude and origin of future finance flows. More certainly and clarity on Parties’ future funding pledges and its underlying terms and conditions will support the GCF in making funding decisions going forward.</w:t>
            </w:r>
          </w:p>
        </w:tc>
      </w:tr>
    </w:tbl>
    <w:p w:rsidR="00B360AB" w:rsidRDefault="00B360AB" w:rsidP="00B360AB">
      <w:pPr>
        <w:spacing w:line="276" w:lineRule="auto"/>
        <w:jc w:val="both"/>
        <w:rPr>
          <w:b/>
          <w:color w:val="000000"/>
        </w:rPr>
      </w:pPr>
    </w:p>
    <w:p w:rsidR="00000000" w:rsidRDefault="00B360AB" w:rsidP="003D5A31">
      <w:pPr>
        <w:pStyle w:val="BodyText"/>
        <w:numPr>
          <w:ilvl w:val="2"/>
          <w:numId w:val="246"/>
        </w:numPr>
        <w:spacing w:after="240" w:line="276" w:lineRule="auto"/>
        <w:jc w:val="both"/>
        <w:rPr>
          <w:rFonts w:cs="Times New Roman"/>
          <w:b/>
          <w:szCs w:val="24"/>
        </w:rPr>
      </w:pPr>
      <w:r w:rsidRPr="00EA6825">
        <w:rPr>
          <w:rFonts w:cs="Times New Roman"/>
          <w:b/>
          <w:szCs w:val="24"/>
        </w:rPr>
        <w:lastRenderedPageBreak/>
        <w:t>Bangladesh Perspective</w:t>
      </w:r>
    </w:p>
    <w:p w:rsidR="00B360AB" w:rsidRPr="00920AD2" w:rsidRDefault="00B360AB" w:rsidP="00B360AB">
      <w:pPr>
        <w:spacing w:line="276" w:lineRule="auto"/>
        <w:jc w:val="both"/>
        <w:rPr>
          <w:rFonts w:eastAsia="Times New Roman"/>
          <w:color w:val="000000"/>
        </w:rPr>
      </w:pPr>
      <w:r w:rsidRPr="00920AD2">
        <w:rPr>
          <w:rFonts w:eastAsia="Times New Roman"/>
          <w:color w:val="000000"/>
        </w:rPr>
        <w:t xml:space="preserve">The </w:t>
      </w:r>
      <w:r w:rsidRPr="00920AD2">
        <w:rPr>
          <w:color w:val="000000"/>
        </w:rPr>
        <w:t>GCF</w:t>
      </w:r>
      <w:r w:rsidRPr="00920AD2">
        <w:rPr>
          <w:rFonts w:eastAsia="Times New Roman"/>
          <w:color w:val="000000"/>
        </w:rPr>
        <w:t xml:space="preserve"> is split between two pots of funding: mitigation and adaptation. Half of the adaptation funding will go to Least Developed Countries (LDCs). Upon request, governments can access grants or concessional loans for both adaptation and mitigation, and to finance the cost of overcoming policy barriers, address information gaps, and capacity constraints that impede local private sector activity.</w:t>
      </w:r>
    </w:p>
    <w:p w:rsidR="00B360AB" w:rsidRPr="00920AD2" w:rsidRDefault="00B360AB" w:rsidP="00B360AB">
      <w:pPr>
        <w:spacing w:line="276" w:lineRule="auto"/>
        <w:jc w:val="both"/>
        <w:rPr>
          <w:rFonts w:eastAsia="Times New Roman"/>
          <w:color w:val="000000"/>
        </w:rPr>
      </w:pPr>
      <w:r w:rsidRPr="00920AD2">
        <w:rPr>
          <w:rFonts w:eastAsia="Times New Roman"/>
          <w:color w:val="000000"/>
        </w:rPr>
        <w:t>The fund also seeks to minimise the transaction costs of working with SMEs by having accredited entities originate, approve, administer, and manage financing on behalf of the GCF through a programmatic approach. The accredited entities can be national, regional or international intermediaries that are accredited by the GCF for project management purposes and for the purpose of approving grants and loans.</w:t>
      </w:r>
    </w:p>
    <w:p w:rsidR="00000000" w:rsidRDefault="00B360AB" w:rsidP="003D5A31">
      <w:pPr>
        <w:pStyle w:val="BodyText"/>
        <w:numPr>
          <w:ilvl w:val="2"/>
          <w:numId w:val="246"/>
        </w:numPr>
        <w:spacing w:after="240" w:line="276" w:lineRule="auto"/>
        <w:jc w:val="both"/>
        <w:rPr>
          <w:rFonts w:cs="Times New Roman"/>
          <w:b/>
          <w:szCs w:val="24"/>
        </w:rPr>
      </w:pPr>
      <w:r w:rsidRPr="00EA6825">
        <w:rPr>
          <w:rFonts w:cs="Times New Roman"/>
          <w:b/>
          <w:szCs w:val="24"/>
        </w:rPr>
        <w:t>How can Bangladesh harness its already established domestic financial innovations?</w:t>
      </w:r>
    </w:p>
    <w:p w:rsidR="00B360AB" w:rsidRPr="00920AD2" w:rsidRDefault="00B360AB" w:rsidP="00B360AB">
      <w:pPr>
        <w:spacing w:line="276" w:lineRule="auto"/>
        <w:jc w:val="both"/>
        <w:rPr>
          <w:rFonts w:eastAsia="Times New Roman"/>
          <w:color w:val="000000"/>
        </w:rPr>
      </w:pPr>
      <w:r w:rsidRPr="00920AD2">
        <w:rPr>
          <w:rFonts w:eastAsia="Times New Roman"/>
          <w:color w:val="000000"/>
        </w:rPr>
        <w:t xml:space="preserve">Bangladesh has had significant success in using its </w:t>
      </w:r>
      <w:r w:rsidR="008B7627">
        <w:t>public</w:t>
      </w:r>
      <w:r w:rsidRPr="00920AD2">
        <w:rPr>
          <w:rFonts w:eastAsia="Times New Roman"/>
          <w:color w:val="000000"/>
        </w:rPr>
        <w:t xml:space="preserve"> sector intermediaries to incentivize the private sector, particularly in the renewable energy industry. The Bangladesh Bank launched an initiative that gives incentives to the financial sector to lend to SMEs and micro finance institutions (MFIs) aiming to invest in green technologies such as solar home systems, irrigation pumps, etc. The “policy guidelines for green banking,” introduced by the </w:t>
      </w:r>
      <w:r w:rsidR="00850B88">
        <w:rPr>
          <w:rFonts w:eastAsia="Times New Roman"/>
          <w:color w:val="000000"/>
        </w:rPr>
        <w:t>C</w:t>
      </w:r>
      <w:r w:rsidR="00850B88" w:rsidRPr="00920AD2">
        <w:rPr>
          <w:rFonts w:eastAsia="Times New Roman"/>
          <w:color w:val="000000"/>
        </w:rPr>
        <w:t xml:space="preserve">entral </w:t>
      </w:r>
      <w:r w:rsidR="00850B88">
        <w:rPr>
          <w:rFonts w:eastAsia="Times New Roman"/>
          <w:color w:val="000000"/>
        </w:rPr>
        <w:t>B</w:t>
      </w:r>
      <w:r w:rsidR="00850B88" w:rsidRPr="00920AD2">
        <w:rPr>
          <w:rFonts w:eastAsia="Times New Roman"/>
          <w:color w:val="000000"/>
        </w:rPr>
        <w:t xml:space="preserve">ank </w:t>
      </w:r>
      <w:r w:rsidRPr="00920AD2">
        <w:rPr>
          <w:rFonts w:eastAsia="Times New Roman"/>
          <w:color w:val="000000"/>
        </w:rPr>
        <w:t>in 2011, requires every bank to allocate a specific budget to finance green projects. This includes direct or wholesale lending for renewable energy projects. Banks are expected to set achievable targets and strategies and disclose these in their annual reports. Banks are also required to establish a green branch in the second phase.</w:t>
      </w:r>
    </w:p>
    <w:p w:rsidR="00B360AB" w:rsidRPr="00920AD2" w:rsidRDefault="00B360AB" w:rsidP="00B360AB">
      <w:pPr>
        <w:spacing w:line="276" w:lineRule="auto"/>
        <w:jc w:val="both"/>
        <w:rPr>
          <w:rFonts w:eastAsia="Times New Roman"/>
          <w:color w:val="000000"/>
        </w:rPr>
      </w:pPr>
      <w:r w:rsidRPr="00920AD2">
        <w:rPr>
          <w:rFonts w:eastAsia="Times New Roman"/>
          <w:color w:val="000000"/>
        </w:rPr>
        <w:t>More recently, Bangladesh Bank has also established a USD 200 million Green Transformation Fund (GTF) to help textile and leather sector firms to adopt environmentally frien</w:t>
      </w:r>
      <w:r>
        <w:rPr>
          <w:rFonts w:eastAsia="Times New Roman"/>
          <w:color w:val="000000"/>
        </w:rPr>
        <w:t>dly green technologies. The GTF</w:t>
      </w:r>
      <w:r w:rsidRPr="00920AD2">
        <w:rPr>
          <w:rFonts w:eastAsia="Times New Roman"/>
          <w:color w:val="000000"/>
        </w:rPr>
        <w:t xml:space="preserve"> established in January 2016 following extensive consultat</w:t>
      </w:r>
      <w:r>
        <w:rPr>
          <w:rFonts w:eastAsia="Times New Roman"/>
          <w:color w:val="000000"/>
        </w:rPr>
        <w:t>ions with relevant stakeholders</w:t>
      </w:r>
      <w:r w:rsidRPr="00920AD2">
        <w:rPr>
          <w:rFonts w:eastAsia="Times New Roman"/>
          <w:color w:val="000000"/>
        </w:rPr>
        <w:t xml:space="preserve"> will provide fund at very subsidized rates to the textile and leather industries in order to increase water efficiency and reduce chemical pollution by these firms through adoption of better technologies and green practices. </w:t>
      </w:r>
    </w:p>
    <w:p w:rsidR="00B360AB" w:rsidRPr="00920AD2" w:rsidRDefault="00B360AB" w:rsidP="00B360AB">
      <w:pPr>
        <w:spacing w:line="276" w:lineRule="auto"/>
        <w:jc w:val="both"/>
        <w:rPr>
          <w:rFonts w:eastAsia="Times New Roman"/>
          <w:color w:val="000000"/>
        </w:rPr>
      </w:pPr>
      <w:r w:rsidRPr="00920AD2">
        <w:rPr>
          <w:rFonts w:eastAsia="Times New Roman"/>
          <w:color w:val="000000"/>
        </w:rPr>
        <w:t xml:space="preserve">Under these initiatives, compliant participating banks receive preferential treatment through a refinancing model that provides access to low-cost finance.  Bangladesh Bank is one such example of a central bank, but national development banks of a few other countries are also investing to provide adequate and appropriate finance through green credit lines. </w:t>
      </w:r>
    </w:p>
    <w:p w:rsidR="00B360AB" w:rsidRPr="00920AD2" w:rsidRDefault="00B360AB" w:rsidP="00B360AB">
      <w:pPr>
        <w:spacing w:line="276" w:lineRule="auto"/>
        <w:jc w:val="both"/>
        <w:rPr>
          <w:rFonts w:eastAsia="Times New Roman"/>
          <w:color w:val="000000"/>
        </w:rPr>
      </w:pPr>
      <w:r w:rsidRPr="00920AD2">
        <w:rPr>
          <w:rFonts w:eastAsia="Times New Roman"/>
          <w:color w:val="000000"/>
        </w:rPr>
        <w:t xml:space="preserve">The Infrastructure Development Company Limited (IDCOL) is another example of a government-owned financial intermediary that channels donor and government finance to decentralized climate-friendly energy projects. IDCOL has supported the setup of more than 3 </w:t>
      </w:r>
      <w:r w:rsidRPr="00920AD2">
        <w:rPr>
          <w:rFonts w:eastAsia="Times New Roman"/>
          <w:color w:val="000000"/>
        </w:rPr>
        <w:lastRenderedPageBreak/>
        <w:t>million solar home systems in Bangladesh, and its business model is now being replicated in several countries in Africa. The success of IDCOL lies in its one stop shop model. The model includes supporting the delivery of energy access projects, offering an end-to-end package that incentivizes market creation, delivery networks, access to capital, quality assurance, after sales service, training, and institutional strengthening support for partnering organizations and SMEs, etc.</w:t>
      </w:r>
    </w:p>
    <w:p w:rsidR="00B360AB" w:rsidRPr="00920AD2" w:rsidRDefault="00B360AB" w:rsidP="00B360AB">
      <w:pPr>
        <w:spacing w:line="276" w:lineRule="auto"/>
        <w:jc w:val="both"/>
        <w:rPr>
          <w:rFonts w:eastAsia="Times New Roman"/>
          <w:color w:val="000000"/>
        </w:rPr>
      </w:pPr>
      <w:r w:rsidRPr="00920AD2">
        <w:rPr>
          <w:rFonts w:eastAsia="Times New Roman"/>
          <w:color w:val="000000"/>
        </w:rPr>
        <w:t xml:space="preserve">These existing institutions and policies provide evidence of tried and tested models of how local financial intermediaries can be instrumental in promoting the participation of private sector actors in Bangladesh.  Such entities can also become accredited GCF intermediaries, fitting with the fund’s ambition to ensure country ownership and direct access. Accessing GCF funds directly through Bangladeshi organizations is an opportunity for more SMEs to access finance. </w:t>
      </w:r>
      <w:r w:rsidRPr="00920AD2">
        <w:rPr>
          <w:color w:val="000000"/>
        </w:rPr>
        <w:t>However</w:t>
      </w:r>
      <w:r w:rsidRPr="00920AD2">
        <w:rPr>
          <w:rFonts w:eastAsia="Times New Roman"/>
          <w:color w:val="000000"/>
        </w:rPr>
        <w:t>, a lot more needs to be done to ensure private enterprises fulfil their crucial role in the fight against climate change.</w:t>
      </w:r>
    </w:p>
    <w:p w:rsidR="00000000" w:rsidRDefault="00B360AB" w:rsidP="003D5A31">
      <w:pPr>
        <w:pStyle w:val="BodyText"/>
        <w:numPr>
          <w:ilvl w:val="2"/>
          <w:numId w:val="246"/>
        </w:numPr>
        <w:spacing w:after="240" w:line="276" w:lineRule="auto"/>
        <w:jc w:val="both"/>
        <w:rPr>
          <w:rFonts w:cs="Times New Roman"/>
          <w:b/>
          <w:szCs w:val="24"/>
        </w:rPr>
      </w:pPr>
      <w:r w:rsidRPr="00EA6825">
        <w:rPr>
          <w:rFonts w:cs="Times New Roman"/>
          <w:b/>
          <w:szCs w:val="24"/>
        </w:rPr>
        <w:t>Bangladesh’s Readiness</w:t>
      </w:r>
      <w:r w:rsidR="00850B88">
        <w:rPr>
          <w:rFonts w:cs="Times New Roman"/>
          <w:b/>
          <w:szCs w:val="24"/>
        </w:rPr>
        <w:t xml:space="preserve"> (</w:t>
      </w:r>
      <w:r w:rsidR="00850B88" w:rsidRPr="00850B88">
        <w:rPr>
          <w:rFonts w:cs="Times New Roman"/>
          <w:b/>
          <w:szCs w:val="24"/>
        </w:rPr>
        <w:t>http://www.greenclimate.fund/-/climate-resilient-infrastructure-mainstreaming-in-bangladesh</w:t>
      </w:r>
      <w:r w:rsidR="00850B88">
        <w:rPr>
          <w:rFonts w:cs="Times New Roman"/>
          <w:b/>
          <w:szCs w:val="24"/>
        </w:rPr>
        <w:t>)</w:t>
      </w:r>
    </w:p>
    <w:p w:rsidR="00B360AB" w:rsidRPr="00920AD2" w:rsidRDefault="00B360AB" w:rsidP="00B360AB">
      <w:pPr>
        <w:spacing w:line="276" w:lineRule="auto"/>
        <w:jc w:val="both"/>
        <w:rPr>
          <w:color w:val="000000"/>
        </w:rPr>
      </w:pPr>
      <w:r w:rsidRPr="00920AD2">
        <w:rPr>
          <w:color w:val="000000"/>
        </w:rPr>
        <w:t xml:space="preserve">To access to the GCF the recipient countries have to ready themselves by meeting certain criteria and standards. Necessarily countries have to appoint a National Designated Authority (NDA) to operate the Fund and criteria based </w:t>
      </w:r>
      <w:r>
        <w:rPr>
          <w:color w:val="000000"/>
        </w:rPr>
        <w:t>National Implementation Entity (</w:t>
      </w:r>
      <w:r w:rsidRPr="00920AD2">
        <w:rPr>
          <w:color w:val="000000"/>
        </w:rPr>
        <w:t>NIE</w:t>
      </w:r>
      <w:r>
        <w:rPr>
          <w:color w:val="000000"/>
        </w:rPr>
        <w:t>)</w:t>
      </w:r>
      <w:r w:rsidRPr="00920AD2">
        <w:rPr>
          <w:color w:val="000000"/>
        </w:rPr>
        <w:t>/</w:t>
      </w:r>
      <w:r>
        <w:rPr>
          <w:color w:val="000000"/>
        </w:rPr>
        <w:t>Multilateral Implementation Entity (MIE)</w:t>
      </w:r>
      <w:r w:rsidRPr="00920AD2">
        <w:rPr>
          <w:color w:val="000000"/>
        </w:rPr>
        <w:t xml:space="preserve"> to access to the Fund.</w:t>
      </w:r>
    </w:p>
    <w:p w:rsidR="00B360AB" w:rsidRPr="00920AD2" w:rsidRDefault="00B360AB" w:rsidP="00B360AB">
      <w:pPr>
        <w:spacing w:line="276" w:lineRule="auto"/>
        <w:jc w:val="both"/>
        <w:rPr>
          <w:color w:val="000000"/>
        </w:rPr>
      </w:pPr>
      <w:r w:rsidRPr="00920AD2">
        <w:rPr>
          <w:color w:val="000000"/>
        </w:rPr>
        <w:t>As of 6th February 2015, the GCF has received 96 initial NDAs or Focal Point Designations (GCF 2015), where Bangladesh has nominated its Economic Relations Division (ERD) of the Ministry of Finance as NDA or Focal Point, the apex body to facilitate access to the Fund.</w:t>
      </w:r>
    </w:p>
    <w:p w:rsidR="00B360AB" w:rsidRPr="00920AD2" w:rsidRDefault="00B360AB" w:rsidP="00B360AB">
      <w:pPr>
        <w:spacing w:line="276" w:lineRule="auto"/>
        <w:jc w:val="both"/>
        <w:rPr>
          <w:color w:val="000000"/>
        </w:rPr>
      </w:pPr>
      <w:r w:rsidRPr="00920AD2">
        <w:rPr>
          <w:color w:val="000000"/>
        </w:rPr>
        <w:t>Meantime, the NDA in Bangladesh launched an inclusive consultation process and short-listed 14 national institutions considering them potential of being NIE/NIEs while meeting basic and specialized standards set by the GCF. The NDA also completed a ‘self-assessment’ process to identify strengths, gaps of the prioritized institutions. To help out the selection process Bangladesh Government, in close partnership with GIZ, appointed an international consultant who meantime completed ‘one to one’ meeting sessions with the potential institutions (UNDP Press release; 2015).</w:t>
      </w:r>
    </w:p>
    <w:p w:rsidR="00B360AB" w:rsidRPr="00920AD2" w:rsidRDefault="00B360AB" w:rsidP="00B360AB">
      <w:pPr>
        <w:spacing w:line="276" w:lineRule="auto"/>
        <w:jc w:val="both"/>
        <w:rPr>
          <w:color w:val="000000"/>
        </w:rPr>
      </w:pPr>
      <w:r w:rsidRPr="00920AD2">
        <w:rPr>
          <w:color w:val="000000"/>
        </w:rPr>
        <w:t>Following the self-assessment process, during 28-29 January 2015, country’s NDA focal point, (Senior Secretary of Economic Relations Division of the Ministry of Finance) organized a consultation workshop titled “NIE Accreditation Process: Getting Bangladesh Ready for the Gre</w:t>
      </w:r>
      <w:r>
        <w:rPr>
          <w:color w:val="000000"/>
        </w:rPr>
        <w:t xml:space="preserve">en Climate Fund”. The workshop </w:t>
      </w:r>
      <w:r w:rsidRPr="00920AD2">
        <w:rPr>
          <w:color w:val="000000"/>
        </w:rPr>
        <w:t>discussed the outcomes of the self-assessment process; discussed capacity/eligibility gaps of the positional institutions and explored required technical assistance to make Bangladesh ready for gaining access to GCF</w:t>
      </w:r>
      <w:r>
        <w:rPr>
          <w:color w:val="000000"/>
        </w:rPr>
        <w:t>.</w:t>
      </w:r>
      <w:r w:rsidRPr="00920AD2">
        <w:rPr>
          <w:color w:val="000000"/>
        </w:rPr>
        <w:t xml:space="preserve"> </w:t>
      </w:r>
    </w:p>
    <w:p w:rsidR="00B360AB" w:rsidRDefault="00B360AB" w:rsidP="00B360AB">
      <w:pPr>
        <w:spacing w:line="276" w:lineRule="auto"/>
        <w:jc w:val="both"/>
        <w:rPr>
          <w:color w:val="000000"/>
        </w:rPr>
      </w:pPr>
      <w:r w:rsidRPr="00920AD2">
        <w:rPr>
          <w:color w:val="000000"/>
        </w:rPr>
        <w:lastRenderedPageBreak/>
        <w:t>In fact, the requirement of establishing of NIE comes whenever the concept of direct access comes. While multilateral institutions (e.g. intermediaries) do play a major role in implementing other climate funds (e.g. Least Developed Countries Fund, Special Climate Change Fund) the GCF put significant concern to channel fund directly to the eligible countries. Hence, it is crucial for the country to “expedite the process” of selecting its national entity or entities and facilitate their engagement with the GCF.</w:t>
      </w:r>
    </w:p>
    <w:p w:rsidR="00F64A6A" w:rsidRDefault="003F0F39" w:rsidP="00F64A6A">
      <w:pPr>
        <w:pStyle w:val="Heading2"/>
        <w:numPr>
          <w:ilvl w:val="0"/>
          <w:numId w:val="0"/>
        </w:numPr>
        <w:ind w:left="1080"/>
      </w:pPr>
      <w:bookmarkStart w:id="841" w:name="_Toc474638936"/>
      <w:r w:rsidRPr="00D136BB">
        <w:t>Private Sector Involvement in BDP2100</w:t>
      </w:r>
      <w:bookmarkEnd w:id="841"/>
    </w:p>
    <w:p w:rsidR="003F0F39" w:rsidRPr="007C60FC" w:rsidRDefault="003F0F39" w:rsidP="003F0F39">
      <w:pPr>
        <w:spacing w:after="120" w:line="276" w:lineRule="auto"/>
        <w:jc w:val="both"/>
      </w:pPr>
      <w:bookmarkStart w:id="842" w:name="_Toc393718281"/>
      <w:bookmarkStart w:id="843" w:name="_Toc393711074"/>
      <w:r w:rsidRPr="007C60FC">
        <w:t xml:space="preserve">Delta management in Bangladesh has been predominately led by the </w:t>
      </w:r>
      <w:r w:rsidR="008B7627">
        <w:t>public</w:t>
      </w:r>
      <w:r w:rsidRPr="007C60FC">
        <w:t xml:space="preserve"> sector. With increasing needs of the country, and growing gaps in </w:t>
      </w:r>
      <w:r w:rsidR="008B7627">
        <w:t>public</w:t>
      </w:r>
      <w:r w:rsidRPr="007C60FC">
        <w:t xml:space="preserve"> expenditure, the role of private sector has become significant. However, the private sector growth is constrained by a less than satisfactory investment climate as doing business in Bangladesh remains costly and lacks an effective structure of </w:t>
      </w:r>
      <w:r w:rsidR="008B7627">
        <w:t>public</w:t>
      </w:r>
      <w:r w:rsidRPr="007C60FC">
        <w:t xml:space="preserve"> private partnership. In recent times there has been a growing realization that involvement of the private sector in infrastructure investments and operations, including in the delta management, needs to be increased if the country is to meet the demands it faces in establishing strong infrastructure facilities. </w:t>
      </w:r>
    </w:p>
    <w:p w:rsidR="003F0F39" w:rsidRPr="007C60FC" w:rsidRDefault="003F0F39" w:rsidP="003F0F39">
      <w:pPr>
        <w:spacing w:after="120" w:line="276" w:lineRule="auto"/>
        <w:jc w:val="both"/>
      </w:pPr>
      <w:r w:rsidRPr="007C60FC">
        <w:t xml:space="preserve">Despite significant challenges in doing business, Bangladesh consists of large private sector entities who are already engaged in development of private economic zones, container terminals, carriers, cargo, ships and others. The sector covers a range of different markets and themes, coupled by enormous opportunities. </w:t>
      </w:r>
    </w:p>
    <w:p w:rsidR="003F0F39" w:rsidRPr="007C60FC" w:rsidRDefault="003F0F39" w:rsidP="003F0F39">
      <w:pPr>
        <w:spacing w:after="120" w:line="276" w:lineRule="auto"/>
        <w:jc w:val="both"/>
      </w:pPr>
      <w:r w:rsidRPr="007C60FC">
        <w:t xml:space="preserve">The Bangladesh economy has been growing at an average rate of 6.5% in the last decade. Growth of the manufacturing and services sectors is increasingly altering the structure of the economy. This growth has been driven by the private sector through the continued robust performance of exports in the face of a global economic crisis, particularly textile and apparel sector and remittances. In addition to this, the private sector has been engaged in large scale investments chiefly in Economic Zones, and other non-traditional sectors such as water markets. With a growing gap in </w:t>
      </w:r>
      <w:r w:rsidR="008B7627">
        <w:t>public</w:t>
      </w:r>
      <w:r w:rsidRPr="007C60FC">
        <w:t xml:space="preserve"> expenditure, there is a significant scope for private sector engagement through technology, financing and investment in the broader Delta Management scheme. </w:t>
      </w:r>
    </w:p>
    <w:p w:rsidR="00000000" w:rsidRDefault="003F0F39" w:rsidP="003D5A31">
      <w:pPr>
        <w:pStyle w:val="BodyText"/>
        <w:numPr>
          <w:ilvl w:val="2"/>
          <w:numId w:val="247"/>
        </w:numPr>
        <w:spacing w:after="240" w:line="276" w:lineRule="auto"/>
        <w:jc w:val="both"/>
        <w:rPr>
          <w:rFonts w:cs="Times New Roman"/>
          <w:b/>
          <w:szCs w:val="24"/>
        </w:rPr>
      </w:pPr>
      <w:bookmarkStart w:id="844" w:name="_Toc454983685"/>
      <w:bookmarkStart w:id="845" w:name="_Ref443990160"/>
      <w:bookmarkStart w:id="846" w:name="_Toc449969733"/>
      <w:r w:rsidRPr="007C60FC">
        <w:rPr>
          <w:rFonts w:cs="Times New Roman"/>
          <w:b/>
          <w:szCs w:val="24"/>
        </w:rPr>
        <w:t>Opportunities for Private Sector in Delta Management</w:t>
      </w:r>
      <w:bookmarkEnd w:id="844"/>
      <w:bookmarkEnd w:id="845"/>
      <w:bookmarkEnd w:id="846"/>
    </w:p>
    <w:p w:rsidR="003F0F39" w:rsidRPr="007C60FC" w:rsidRDefault="003F0F39" w:rsidP="003F0F39">
      <w:pPr>
        <w:spacing w:after="120" w:line="276" w:lineRule="auto"/>
        <w:jc w:val="both"/>
      </w:pPr>
      <w:r w:rsidRPr="007C60FC">
        <w:t xml:space="preserve">This section details out the key segments that have a direct link with large scale interventions. These sectors, due to their characteristics, high levels of investment, present the strongest opportunities for private sector and possible long-term PPP arrangements.  </w:t>
      </w:r>
    </w:p>
    <w:p w:rsidR="003F0F39" w:rsidRPr="00850B88" w:rsidRDefault="00F64A6A" w:rsidP="00D136BB">
      <w:pPr>
        <w:spacing w:before="120" w:after="120"/>
        <w:rPr>
          <w:b/>
          <w:i/>
        </w:rPr>
      </w:pPr>
      <w:bookmarkStart w:id="847" w:name="_Toc449969735"/>
      <w:r w:rsidRPr="00F64A6A">
        <w:rPr>
          <w:b/>
          <w:i/>
        </w:rPr>
        <w:t>Dredging</w:t>
      </w:r>
      <w:bookmarkEnd w:id="847"/>
    </w:p>
    <w:p w:rsidR="003F0F39" w:rsidRPr="007C60FC" w:rsidRDefault="003F0F39" w:rsidP="003F0F39">
      <w:pPr>
        <w:spacing w:after="120" w:line="276" w:lineRule="auto"/>
        <w:jc w:val="both"/>
      </w:pPr>
      <w:r w:rsidRPr="007C60FC">
        <w:t xml:space="preserve">Dredging has an important role in all works connected with flood control, drainage and irrigation. The survey revealed significant levels of private sector engagement in this area. Dredging has only received due importance from 2010. The proposal of Bangladesh Inland </w:t>
      </w:r>
      <w:r w:rsidRPr="007C60FC">
        <w:lastRenderedPageBreak/>
        <w:t xml:space="preserve">Water Transport Authority (BIWTA) titled Capital Dredging on Inland Waterways was approved for implementation in two phases. </w:t>
      </w:r>
      <w:r w:rsidRPr="007C60FC">
        <w:rPr>
          <w:rFonts w:eastAsia="Times New Roman"/>
          <w:szCs w:val="18"/>
        </w:rPr>
        <w:t xml:space="preserve">The first phase concluded by December 2013, marked 24 routes for dredging at an estimated cost of Tk 4,201 crore (€440 million). The second phase, to be concluded in December 2018, planned to dredge 30 river routes at an estimated cost of Tk 7,271 crore (€770 million). With this significant pipeline of projects, it was estimated that at least 100 dredgers are needed. The government itself has approximately 18 dredgers, while the private dredgers have a total of twelve dredgers.  In 2013, the private companies operating in the dredging market were expecting business worth BDT 15,000 crore (€1,590 million) in the coming years, as mentioned by the large private sector groups.  In response to this expected expansion, a number of companies bought a fleet of dredgers from Netherlands and USA. </w:t>
      </w:r>
    </w:p>
    <w:p w:rsidR="003F0F39" w:rsidRPr="00850B88" w:rsidRDefault="00F64A6A" w:rsidP="00D136BB">
      <w:pPr>
        <w:spacing w:before="120" w:after="120"/>
        <w:rPr>
          <w:b/>
          <w:i/>
        </w:rPr>
      </w:pPr>
      <w:bookmarkStart w:id="848" w:name="_Toc449969736"/>
      <w:r w:rsidRPr="00F64A6A">
        <w:rPr>
          <w:b/>
          <w:i/>
        </w:rPr>
        <w:t>Flood Protection and Drainage</w:t>
      </w:r>
      <w:bookmarkEnd w:id="848"/>
    </w:p>
    <w:p w:rsidR="003F0F39" w:rsidRPr="007C60FC" w:rsidRDefault="003F0F39" w:rsidP="003F0F39">
      <w:pPr>
        <w:spacing w:after="120" w:line="276" w:lineRule="auto"/>
        <w:jc w:val="both"/>
      </w:pPr>
      <w:r w:rsidRPr="007C60FC">
        <w:t xml:space="preserve">Flooding is a perennial problem and the urban areas are more prone to economic and human losses due to high density of population and industrial sites. </w:t>
      </w:r>
      <w:bookmarkStart w:id="849" w:name="_Toc449969737"/>
      <w:r w:rsidRPr="007C60FC">
        <w:t>Engagement of private sector, as contractors, in construction of flood embankments, urban storm sewerage are on-going. Operation and maintenance of embankments are neglected and often managed through very small scale operations. There is potential for private sector engagements for maintenance of embankments.</w:t>
      </w:r>
    </w:p>
    <w:p w:rsidR="003F0F39" w:rsidRPr="00850B88" w:rsidRDefault="00F64A6A" w:rsidP="00D136BB">
      <w:pPr>
        <w:spacing w:before="120" w:after="120"/>
        <w:rPr>
          <w:b/>
          <w:i/>
        </w:rPr>
      </w:pPr>
      <w:bookmarkStart w:id="850" w:name="_Toc449969734"/>
      <w:r w:rsidRPr="00F64A6A">
        <w:rPr>
          <w:b/>
          <w:i/>
        </w:rPr>
        <w:t>Water Supply</w:t>
      </w:r>
      <w:bookmarkEnd w:id="850"/>
    </w:p>
    <w:p w:rsidR="003F0F39" w:rsidRPr="007C60FC" w:rsidRDefault="003F0F39" w:rsidP="003F0F39">
      <w:pPr>
        <w:spacing w:after="120" w:line="276" w:lineRule="auto"/>
        <w:jc w:val="both"/>
      </w:pPr>
      <w:r w:rsidRPr="007C60FC">
        <w:t>Water supply technology used in rural water supply are: shallow tube well, deep set pump tube wells, deep tube wells, dug wells, pond sand filters, rain water harvesting, arsenic removal technology &amp; iron removal technology. Private sector is already operating in provisions for these technologies.</w:t>
      </w:r>
    </w:p>
    <w:p w:rsidR="003F0F39" w:rsidRPr="00850B88" w:rsidRDefault="00F64A6A" w:rsidP="00D136BB">
      <w:pPr>
        <w:spacing w:before="120" w:after="120"/>
        <w:rPr>
          <w:b/>
          <w:i/>
        </w:rPr>
      </w:pPr>
      <w:r w:rsidRPr="00F64A6A">
        <w:rPr>
          <w:b/>
          <w:i/>
        </w:rPr>
        <w:t>Ship</w:t>
      </w:r>
      <w:r w:rsidR="00850B88">
        <w:rPr>
          <w:b/>
          <w:i/>
        </w:rPr>
        <w:t xml:space="preserve"> </w:t>
      </w:r>
      <w:r w:rsidRPr="00F64A6A">
        <w:rPr>
          <w:b/>
          <w:i/>
        </w:rPr>
        <w:t>building</w:t>
      </w:r>
      <w:bookmarkEnd w:id="849"/>
    </w:p>
    <w:p w:rsidR="003F0F39" w:rsidRPr="007C60FC" w:rsidRDefault="003F0F39" w:rsidP="003F0F39">
      <w:pPr>
        <w:spacing w:after="120" w:line="276" w:lineRule="auto"/>
        <w:jc w:val="both"/>
      </w:pPr>
      <w:r w:rsidRPr="007C60FC">
        <w:t xml:space="preserve">There are some 124 registered shipbuilding and repairing yards in various locations in the country. Much of these shipbuilding yards are engaged in building and repairing small inland and costal vessels up to 3,500 deadweight </w:t>
      </w:r>
      <w:r w:rsidR="00FE6385">
        <w:t>tonn</w:t>
      </w:r>
      <w:r w:rsidRPr="007C60FC">
        <w:t xml:space="preserve">age (DWT.), while several modern and internationally standard shipyards are building small-sized ships for exports. </w:t>
      </w:r>
    </w:p>
    <w:p w:rsidR="003F0F39" w:rsidRPr="007C60FC" w:rsidRDefault="003F0F39" w:rsidP="003F0F39">
      <w:pPr>
        <w:spacing w:after="120" w:line="276" w:lineRule="auto"/>
        <w:jc w:val="both"/>
      </w:pPr>
      <w:r w:rsidRPr="007C60FC">
        <w:t xml:space="preserve">The major players in the industry are: Ananda Shipyard and Slipways Limited, Western Marine Shipyard Limited, High Speed Shipbuilding &amp; Engineering Co, Khan Brothers Shipbuilding Ltd, Meghna Ship Builders and Dockyard and finally Dockyard &amp; Engineering Works Limited. In addition to the above, a key new entrant in the market is the AK KHAN Transport and Logistics that is set to engage in large levels of investments in inland water-ways. </w:t>
      </w:r>
    </w:p>
    <w:p w:rsidR="003F0F39" w:rsidRPr="007C60FC" w:rsidRDefault="003F0F39" w:rsidP="003F0F39">
      <w:pPr>
        <w:spacing w:after="120" w:line="276" w:lineRule="auto"/>
        <w:jc w:val="both"/>
      </w:pPr>
      <w:r w:rsidRPr="007C60FC">
        <w:t>During the past decades local shipyards, Ananda Shipyard, Slipways Limited and Western Marine Shipyards Limited, developed shipyards with the ability to manufacture ships of 10,000 DWT and they are expanding their facilities to upgrade to 25,000 DWT. Currently, About 7 percent of the 124 shipyards have the capability to entertain quality shipbuilding. With growth in the global economy and the domestic market it is expected that investments in shipyards will be robust in the near future.</w:t>
      </w:r>
    </w:p>
    <w:p w:rsidR="003F0F39" w:rsidRPr="00850B88" w:rsidRDefault="00F64A6A" w:rsidP="00215182">
      <w:pPr>
        <w:spacing w:before="120" w:after="120"/>
        <w:rPr>
          <w:b/>
          <w:i/>
        </w:rPr>
      </w:pPr>
      <w:bookmarkStart w:id="851" w:name="_Toc449969738"/>
      <w:r w:rsidRPr="00F64A6A">
        <w:rPr>
          <w:b/>
          <w:i/>
        </w:rPr>
        <w:lastRenderedPageBreak/>
        <w:t>Other Modes in Inland Water Ways</w:t>
      </w:r>
      <w:bookmarkEnd w:id="851"/>
    </w:p>
    <w:p w:rsidR="003F0F39" w:rsidRPr="007C60FC" w:rsidRDefault="003F0F39" w:rsidP="003F0F39">
      <w:pPr>
        <w:spacing w:after="120" w:line="276" w:lineRule="auto"/>
        <w:jc w:val="both"/>
        <w:rPr>
          <w:b/>
        </w:rPr>
      </w:pPr>
      <w:r w:rsidRPr="007C60FC">
        <w:t>Considering the facts of low land-man ratio and scarcity of land for further expansion of road networks in the country, IWT will gain importance. A report by the Asian Development Bank (ADB) also stated that Bangladesh could raise its GDP by 1% and foreign trade by 20% if the inland water transport logistics systems are made efficient and competitive.</w:t>
      </w:r>
    </w:p>
    <w:p w:rsidR="003F0F39" w:rsidRPr="007C60FC" w:rsidRDefault="003F0F39" w:rsidP="003F0F39">
      <w:pPr>
        <w:spacing w:after="120" w:line="276" w:lineRule="auto"/>
        <w:jc w:val="both"/>
      </w:pPr>
      <w:r w:rsidRPr="007C60FC">
        <w:rPr>
          <w:rFonts w:ascii="Calibri" w:hAnsi="Calibri" w:cs="Times New Roman"/>
        </w:rPr>
        <w:t> </w:t>
      </w:r>
      <w:r w:rsidRPr="007C60FC">
        <w:t xml:space="preserve">Assessments reveal that BIWTC currently operates 47 ferries in different routes, and ocean shipping performs 80% of the export-import trade. Inland ports have been inadequate and in poor condition, while rural landing facilities - pontoons and jetties – are scarce compared to the needs. The private sector plays a dominant role in the country boat sector and passenger and freight services on the main river ways, but the </w:t>
      </w:r>
      <w:r w:rsidR="008B7627">
        <w:t xml:space="preserve">public </w:t>
      </w:r>
      <w:r w:rsidRPr="007C60FC">
        <w:t>sector has a virtual monopoly for ferry services. There is ample scope for private sector participation in providing ferry services.</w:t>
      </w:r>
    </w:p>
    <w:p w:rsidR="003F0F39" w:rsidRPr="00850B88" w:rsidRDefault="00F64A6A" w:rsidP="00215182">
      <w:pPr>
        <w:spacing w:before="120" w:after="120"/>
        <w:rPr>
          <w:b/>
          <w:i/>
        </w:rPr>
      </w:pPr>
      <w:bookmarkStart w:id="852" w:name="_Toc449969740"/>
      <w:r w:rsidRPr="00F64A6A">
        <w:rPr>
          <w:b/>
          <w:i/>
        </w:rPr>
        <w:t>Land Reclamation</w:t>
      </w:r>
      <w:bookmarkEnd w:id="852"/>
    </w:p>
    <w:p w:rsidR="003F0F39" w:rsidRPr="007C60FC" w:rsidRDefault="003F0F39" w:rsidP="003F0F39">
      <w:pPr>
        <w:spacing w:after="120" w:line="276" w:lineRule="auto"/>
        <w:jc w:val="both"/>
      </w:pPr>
      <w:r w:rsidRPr="007C60FC">
        <w:t xml:space="preserve">It is in this context that land reclamation is gaining high attention and is </w:t>
      </w:r>
      <w:r w:rsidR="00EA4E38" w:rsidRPr="007C60FC">
        <w:t>being discussed</w:t>
      </w:r>
      <w:r w:rsidRPr="007C60FC">
        <w:t xml:space="preserve"> as a significant prospect for future exploration. There are promising opportunities for land reclamation within the geographical areas of Bangladesh port cities and other coastal and river areas, which are fast becoming centres of economic activity and can act as motors for national pros</w:t>
      </w:r>
      <w:r w:rsidRPr="007C60FC">
        <w:softHyphen/>
        <w:t>perity.  While water resources, morphological and engineering aspects are crucial in the improved navigation and land reclamation process, there is a heavy requirement on a business case for economic benefits- this can only be realised through active engagement of the private sector who can balance off the high costs against the ultimate economic utilisation and net revenues. Our assessments in land reclamation opportunities reveal a strong linkage with economic zones (which ensure start of productive use of reclaimed land).</w:t>
      </w:r>
    </w:p>
    <w:p w:rsidR="003F0F39" w:rsidRPr="007C60FC" w:rsidRDefault="00054D63" w:rsidP="003F0F39">
      <w:pPr>
        <w:spacing w:after="120" w:line="276" w:lineRule="auto"/>
        <w:jc w:val="both"/>
      </w:pPr>
      <w:r>
        <w:t>A</w:t>
      </w:r>
      <w:r w:rsidRPr="007C60FC">
        <w:t xml:space="preserve">s </w:t>
      </w:r>
      <w:r w:rsidR="003F0F39" w:rsidRPr="007C60FC">
        <w:t xml:space="preserve">of </w:t>
      </w:r>
      <w:r>
        <w:t xml:space="preserve">April, </w:t>
      </w:r>
      <w:r w:rsidRPr="007C60FC">
        <w:t>201</w:t>
      </w:r>
      <w:r>
        <w:t>7</w:t>
      </w:r>
      <w:r w:rsidR="003F0F39" w:rsidRPr="007C60FC">
        <w:t xml:space="preserve">, the </w:t>
      </w:r>
      <w:r>
        <w:t xml:space="preserve">eight </w:t>
      </w:r>
      <w:r w:rsidR="003F0F39" w:rsidRPr="007C60FC">
        <w:t xml:space="preserve">locations have been approved </w:t>
      </w:r>
      <w:r>
        <w:t xml:space="preserve">for </w:t>
      </w:r>
      <w:r w:rsidR="003F0F39" w:rsidRPr="007C60FC">
        <w:t xml:space="preserve">economic zones sites, within which </w:t>
      </w:r>
      <w:r>
        <w:t>three</w:t>
      </w:r>
      <w:r w:rsidRPr="007C60FC">
        <w:t xml:space="preserve"> </w:t>
      </w:r>
      <w:r w:rsidR="003F0F39" w:rsidRPr="007C60FC">
        <w:t xml:space="preserve">are being privately invested by the large </w:t>
      </w:r>
      <w:r w:rsidRPr="007C60FC">
        <w:t>P</w:t>
      </w:r>
      <w:r>
        <w:t>rivate Sector</w:t>
      </w:r>
      <w:r w:rsidRPr="007C60FC">
        <w:t xml:space="preserve"> </w:t>
      </w:r>
      <w:r w:rsidR="003F0F39" w:rsidRPr="007C60FC">
        <w:t>players in Bangladesh. The opportunities in land reclamation and EZ development are immense in Bangladesh, and there are strategic opportunities in engaging private sector both in the medium and long term</w:t>
      </w:r>
      <w:bookmarkStart w:id="853" w:name="_Toc449969741"/>
      <w:r w:rsidR="003F0F39" w:rsidRPr="007C60FC">
        <w:t xml:space="preserve">. </w:t>
      </w:r>
    </w:p>
    <w:p w:rsidR="003F0F39" w:rsidRPr="00054D63" w:rsidRDefault="00F64A6A" w:rsidP="00215182">
      <w:pPr>
        <w:spacing w:before="120" w:after="120"/>
        <w:rPr>
          <w:b/>
          <w:i/>
        </w:rPr>
      </w:pPr>
      <w:r w:rsidRPr="00F64A6A">
        <w:rPr>
          <w:b/>
          <w:i/>
        </w:rPr>
        <w:t>Agriculture</w:t>
      </w:r>
      <w:bookmarkEnd w:id="853"/>
    </w:p>
    <w:p w:rsidR="003F0F39" w:rsidRPr="007C60FC" w:rsidRDefault="003F0F39" w:rsidP="003F0F39">
      <w:pPr>
        <w:spacing w:after="120" w:line="276" w:lineRule="auto"/>
        <w:jc w:val="both"/>
      </w:pPr>
      <w:r w:rsidRPr="007C60FC">
        <w:t xml:space="preserve">Although agriculture is not a large market segment in terms of investment, it remains to be closely connected with water and also is the lifeblood of the economy. For this purpose, the team interviewed large players and covered specific segments of this sector. This included seeds and irrigation, green house technology, storage facilities, agro-product processing, due to its linkage with technology transfer and investment. </w:t>
      </w:r>
    </w:p>
    <w:p w:rsidR="003F0F39" w:rsidRPr="007C60FC" w:rsidRDefault="003F0F39" w:rsidP="003F0F39">
      <w:pPr>
        <w:spacing w:after="120" w:line="276" w:lineRule="auto"/>
        <w:jc w:val="both"/>
      </w:pPr>
      <w:r w:rsidRPr="007C60FC">
        <w:t>The private sector in seed business is comprised of multinational corporations as well as local companies, with more than 100 companies involved and over 5,000 registered seed dealers operating across the country. The biggest private companies in the market are Getco, Lal Teer, and Syngenta. Among the local companies, only Lal Teer produces seeds locally while the other private companies import from India, Pakistan and China.</w:t>
      </w:r>
    </w:p>
    <w:p w:rsidR="003F0F39" w:rsidRPr="007C60FC" w:rsidRDefault="003F0F39" w:rsidP="003F0F39">
      <w:pPr>
        <w:spacing w:after="120" w:line="276" w:lineRule="auto"/>
        <w:jc w:val="both"/>
      </w:pPr>
      <w:r w:rsidRPr="007C60FC">
        <w:lastRenderedPageBreak/>
        <w:t xml:space="preserve">To facilitate local seed production, the Government provides financial incentives in the form of Government backed loans for research and development and a 5% incentive on agricultural produce. The seed producing companies are also eligible for funds from the Equity and Entrepreneurship Fund provided by the Investment Corporation of Bangladesh. Under this fund’s terms and conditions, a project worth at least BDT 2 million may receive 49 percent financial aid if it invests the remainder from its own funds. Given the importance of the sector, for both food security and livelihood, PS engagement must continue and be strengthened to realise long term benefits. </w:t>
      </w:r>
      <w:bookmarkStart w:id="854" w:name="_Toc449969742"/>
    </w:p>
    <w:p w:rsidR="003F0F39" w:rsidRPr="00054D63" w:rsidRDefault="00F64A6A" w:rsidP="00215182">
      <w:pPr>
        <w:spacing w:before="120" w:after="120"/>
        <w:rPr>
          <w:b/>
          <w:i/>
        </w:rPr>
      </w:pPr>
      <w:r w:rsidRPr="00F64A6A">
        <w:rPr>
          <w:b/>
          <w:i/>
        </w:rPr>
        <w:t>Irrigation</w:t>
      </w:r>
    </w:p>
    <w:p w:rsidR="003F0F39" w:rsidRPr="007C60FC" w:rsidRDefault="003F0F39" w:rsidP="003F0F39">
      <w:pPr>
        <w:spacing w:after="120" w:line="276" w:lineRule="auto"/>
        <w:jc w:val="both"/>
      </w:pPr>
      <w:r w:rsidRPr="007C60FC">
        <w:t xml:space="preserve">Widespread availability of dry-season-irrigation-facilities played a vital role to this development. Currently out of 8.42 million hectares of cultivable land, 65% is irrigated. Agriculture uses more than 70% of all the fresh water extracted in Bangladesh. Farmers generally use manual labour or diesel powered pumps to divert the water from various water bodies to their farmlands. Diesel pumps can often require expensive diesel fuel and regular maintenance to run. Rahimafrooz Renewable Energy Limited, a company that sells solar panels, recently started a pilot program aimed to alleviate the operational costs regarding the diesel powered irrigation schemes. Instead of diesel, its irrigations scheme is powered by solar panels. With a cooperative consisting of 83 farmers, this irrigation scheme has successfully run on renewable energy without the need for diesel-powered pumps. They are now piloting five more of these solar powered irrigation programs in the north western region of Bangladesh. The Bangladesh Bank facilitates in the financing of renewable energy schemes with a BDT </w:t>
      </w:r>
      <w:r w:rsidR="00054D63">
        <w:t>2000 million</w:t>
      </w:r>
      <w:r w:rsidR="00054D63" w:rsidRPr="007C60FC">
        <w:t xml:space="preserve"> </w:t>
      </w:r>
      <w:r w:rsidRPr="007C60FC">
        <w:t>fund which banks can avail at a 5% interest rate. Banks then can provide loans for projects of such nature at 8-9% interest, which is lower than the 13% they normally charge.</w:t>
      </w:r>
    </w:p>
    <w:p w:rsidR="003F0F39" w:rsidRPr="00054D63" w:rsidRDefault="00F64A6A" w:rsidP="00215182">
      <w:pPr>
        <w:spacing w:before="120" w:after="120"/>
        <w:rPr>
          <w:rFonts w:eastAsia="Times New Roman" w:cs="Times New Roman"/>
          <w:b/>
          <w:bCs/>
          <w:i/>
          <w:iCs/>
        </w:rPr>
      </w:pPr>
      <w:bookmarkStart w:id="855" w:name="_Toc449969743"/>
      <w:r w:rsidRPr="00F64A6A">
        <w:rPr>
          <w:b/>
          <w:i/>
        </w:rPr>
        <w:t>Blue Economy</w:t>
      </w:r>
      <w:bookmarkEnd w:id="855"/>
    </w:p>
    <w:p w:rsidR="003F0F39" w:rsidRPr="007C60FC" w:rsidRDefault="003F0F39" w:rsidP="003F0F39">
      <w:pPr>
        <w:spacing w:after="120" w:line="276" w:lineRule="auto"/>
        <w:jc w:val="both"/>
      </w:pPr>
      <w:r w:rsidRPr="007C60FC">
        <w:rPr>
          <w:szCs w:val="20"/>
        </w:rPr>
        <w:t xml:space="preserve">The Blue Economy conceptualizes oceans and seas as a “development space” where spatial planning integrates conservation, </w:t>
      </w:r>
      <w:r w:rsidRPr="007C60FC">
        <w:t>sustainable</w:t>
      </w:r>
      <w:r w:rsidRPr="007C60FC">
        <w:rPr>
          <w:szCs w:val="20"/>
        </w:rPr>
        <w:t xml:space="preserve"> use of living resources, oil and mineral wealth extraction, bio-prospecting, sustainable energy production and marine transport. Given Bangladesh’s rapid growth and recent favourable resolutions of long standing maritime boundary disputes, this ocean and water resource centric approach will provide the basis for enormous economic development in the near future.</w:t>
      </w:r>
    </w:p>
    <w:bookmarkEnd w:id="854"/>
    <w:p w:rsidR="003F0F39" w:rsidRPr="007C60FC" w:rsidRDefault="003F0F39" w:rsidP="003F0F39">
      <w:pPr>
        <w:spacing w:after="120" w:line="276" w:lineRule="auto"/>
        <w:jc w:val="both"/>
      </w:pPr>
      <w:r w:rsidRPr="007C60FC">
        <w:rPr>
          <w:szCs w:val="20"/>
        </w:rPr>
        <w:t xml:space="preserve">In the context of the </w:t>
      </w:r>
      <w:r w:rsidR="00054D63">
        <w:rPr>
          <w:szCs w:val="20"/>
        </w:rPr>
        <w:t>BDP</w:t>
      </w:r>
      <w:r w:rsidRPr="007C60FC">
        <w:rPr>
          <w:szCs w:val="20"/>
        </w:rPr>
        <w:t xml:space="preserve"> 2100, the engagement of the private sector in the Blue Economy is vital. The necessary capital investments, technology development and deployment and effective operations and management that will be required to leverage the future opportunities can only be met with significant participation from the private sector. </w:t>
      </w:r>
      <w:r w:rsidRPr="007C60FC">
        <w:t xml:space="preserve">Particularly the introduction of modern deep sea fishing vessels fitted with effective communication and signalling arrays coupled with satellite navigation and tracking will be essential in boosting production. Optimizing resource use, i.e. introducing additional value adding processing technologies would be another important market where private sector engagement will be highly beneficial. Aside from oil and gas prospecting in the Bay of Bengal not much work has been done in the investigating the potential </w:t>
      </w:r>
      <w:r w:rsidRPr="007C60FC">
        <w:lastRenderedPageBreak/>
        <w:t xml:space="preserve">for these hydrogenous minerals in the context of developing a sustainable submarine mining industry. Opportunities exist for the private sector to engage in these surveys and investigations, which will require significant partnerships with international firms as well. </w:t>
      </w:r>
    </w:p>
    <w:p w:rsidR="00F64A6A" w:rsidRDefault="003F0F39" w:rsidP="00F64A6A">
      <w:pPr>
        <w:pStyle w:val="Heading2"/>
        <w:numPr>
          <w:ilvl w:val="0"/>
          <w:numId w:val="0"/>
        </w:numPr>
        <w:ind w:left="1080"/>
      </w:pPr>
      <w:bookmarkStart w:id="856" w:name="_Toc470264372"/>
      <w:bookmarkStart w:id="857" w:name="_Toc474638937"/>
      <w:bookmarkEnd w:id="842"/>
      <w:bookmarkEnd w:id="843"/>
      <w:r w:rsidRPr="00D136BB">
        <w:t>Framework of Investment Planning</w:t>
      </w:r>
      <w:bookmarkEnd w:id="856"/>
      <w:bookmarkEnd w:id="857"/>
    </w:p>
    <w:p w:rsidR="003F0F39" w:rsidRPr="007C60FC" w:rsidRDefault="003F0F39" w:rsidP="00FD74AE">
      <w:pPr>
        <w:spacing w:after="120" w:line="276" w:lineRule="auto"/>
        <w:jc w:val="both"/>
      </w:pPr>
      <w:r w:rsidRPr="007C60FC">
        <w:t xml:space="preserve">During preparation of the Bangladesh Delta Plan, the Adaptive Delta Management principle is followed all the way. Adaptive Delta Management is a process to develop alternative adaptive strategies, delta management plans and measures to the uncertainties of future. The vision, goals, scenarios and strategies have been formulated in this regard which </w:t>
      </w:r>
      <w:r w:rsidR="00054D63" w:rsidRPr="007C60FC">
        <w:t>is</w:t>
      </w:r>
      <w:r w:rsidRPr="007C60FC">
        <w:t xml:space="preserve"> detailed out in Chapter 5 and 6. </w:t>
      </w:r>
    </w:p>
    <w:p w:rsidR="003F0F39" w:rsidRDefault="003F0F39" w:rsidP="00FD74AE">
      <w:pPr>
        <w:spacing w:after="120" w:line="276" w:lineRule="auto"/>
        <w:jc w:val="both"/>
      </w:pPr>
      <w:r w:rsidRPr="007C60FC">
        <w:t xml:space="preserve">The translation of the formulated strategies into implementation level requires an Investment and Implementation plan. So the detailed review of the issues and challenges, delta vision, goals, future scenarios and preferred strategies has been done. Based on this review, a set of programs has been identified and selected. </w:t>
      </w:r>
      <w:r w:rsidR="00054D63">
        <w:t xml:space="preserve">A total of </w:t>
      </w:r>
      <w:r w:rsidRPr="007C60FC">
        <w:t xml:space="preserve">146 projects were selected with measures. Based on having related studies, some projects have detailed concept notes and some are idea related concept notes. These projects are the building blocks for achieving the BDP2100 vision and goals. The route to the Investment Plan is presented in the following </w:t>
      </w:r>
      <w:fldSimple w:instr=" REF _Ref462654153 \h  \* MERGEFORMAT ">
        <w:r w:rsidR="00AF29C3" w:rsidRPr="007C60FC">
          <w:t xml:space="preserve">Figure </w:t>
        </w:r>
      </w:fldSimple>
      <w:r w:rsidRPr="007C60FC">
        <w:t>11.7.</w:t>
      </w:r>
    </w:p>
    <w:p w:rsidR="00FD74AE" w:rsidRDefault="00FD74AE" w:rsidP="00FD74AE">
      <w:pPr>
        <w:spacing w:after="120" w:line="276" w:lineRule="auto"/>
        <w:jc w:val="both"/>
      </w:pPr>
    </w:p>
    <w:p w:rsidR="00FD74AE" w:rsidRDefault="00FD74AE" w:rsidP="00FD74AE">
      <w:pPr>
        <w:spacing w:after="120" w:line="276" w:lineRule="auto"/>
        <w:jc w:val="both"/>
      </w:pPr>
    </w:p>
    <w:p w:rsidR="00FD74AE" w:rsidRDefault="00FD74AE" w:rsidP="00FD74AE">
      <w:pPr>
        <w:spacing w:after="120" w:line="276" w:lineRule="auto"/>
        <w:jc w:val="both"/>
      </w:pPr>
    </w:p>
    <w:p w:rsidR="00FD74AE" w:rsidRDefault="00FD74AE" w:rsidP="00FD74AE">
      <w:pPr>
        <w:spacing w:after="120" w:line="276" w:lineRule="auto"/>
        <w:jc w:val="both"/>
      </w:pPr>
    </w:p>
    <w:p w:rsidR="00FD74AE" w:rsidRDefault="00FD74AE" w:rsidP="00FD74AE">
      <w:pPr>
        <w:spacing w:after="120" w:line="276" w:lineRule="auto"/>
        <w:jc w:val="both"/>
      </w:pPr>
    </w:p>
    <w:p w:rsidR="00FD74AE" w:rsidRDefault="00FD74AE" w:rsidP="00FD74AE">
      <w:pPr>
        <w:spacing w:after="120" w:line="276" w:lineRule="auto"/>
        <w:jc w:val="both"/>
      </w:pPr>
    </w:p>
    <w:p w:rsidR="00FD74AE" w:rsidRDefault="00FD74AE" w:rsidP="00FD74AE">
      <w:pPr>
        <w:spacing w:after="120" w:line="276" w:lineRule="auto"/>
        <w:jc w:val="both"/>
      </w:pPr>
    </w:p>
    <w:p w:rsidR="00FD74AE" w:rsidRPr="007C60FC" w:rsidRDefault="00FD74AE" w:rsidP="00FD74AE">
      <w:pPr>
        <w:spacing w:after="120" w:line="276" w:lineRule="auto"/>
        <w:jc w:val="both"/>
      </w:pPr>
    </w:p>
    <w:p w:rsidR="003F0F39" w:rsidRPr="007C60FC" w:rsidRDefault="003F0F39" w:rsidP="003F0F39">
      <w:pPr>
        <w:pStyle w:val="Heading5"/>
      </w:pPr>
      <w:bookmarkStart w:id="858" w:name="_Ref462654153"/>
      <w:bookmarkStart w:id="859" w:name="_Toc457985770"/>
      <w:bookmarkStart w:id="860" w:name="_Toc470264452"/>
      <w:bookmarkStart w:id="861" w:name="_Toc474639223"/>
      <w:r w:rsidRPr="007C60FC">
        <w:t xml:space="preserve">Figure </w:t>
      </w:r>
      <w:bookmarkEnd w:id="858"/>
      <w:r w:rsidRPr="007C60FC">
        <w:t xml:space="preserve">11.7: </w:t>
      </w:r>
      <w:bookmarkEnd w:id="859"/>
      <w:r w:rsidRPr="007C60FC">
        <w:t>Framework of Investment Plan</w:t>
      </w:r>
      <w:bookmarkEnd w:id="860"/>
      <w:bookmarkEnd w:id="861"/>
    </w:p>
    <w:p w:rsidR="003F0F39" w:rsidRPr="00C94F2E" w:rsidRDefault="003F0F39" w:rsidP="003F0F39">
      <w:pPr>
        <w:jc w:val="center"/>
        <w:rPr>
          <w:color w:val="FF0000"/>
        </w:rPr>
      </w:pPr>
      <w:r w:rsidRPr="00C94F2E">
        <w:rPr>
          <w:noProof/>
          <w:color w:val="FF0000"/>
          <w:lang w:val="en-AU" w:eastAsia="en-AU" w:bidi="bn-BD"/>
        </w:rPr>
        <w:lastRenderedPageBreak/>
        <w:drawing>
          <wp:inline distT="0" distB="0" distL="0" distR="0">
            <wp:extent cx="4297680" cy="3150409"/>
            <wp:effectExtent l="0" t="0" r="7620" b="0"/>
            <wp:docPr id="90" name="Picture 90" descr="E:\Detailed review_MTZ\Slid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etailed review_MTZ\Slide1.GIF"/>
                    <pic:cNvPicPr>
                      <a:picLocks noChangeAspect="1" noChangeArrowheads="1"/>
                    </pic:cNvPicPr>
                  </pic:nvPicPr>
                  <pic:blipFill rotWithShape="1">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63" t="2487" r="1850" b="3297"/>
                    <a:stretch/>
                  </pic:blipFill>
                  <pic:spPr bwMode="auto">
                    <a:xfrm>
                      <a:off x="0" y="0"/>
                      <a:ext cx="4297680" cy="31504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0F39" w:rsidRPr="007C60FC" w:rsidRDefault="00FD74AE" w:rsidP="003F0F39">
      <w:pPr>
        <w:pStyle w:val="Heading5"/>
      </w:pPr>
      <w:bookmarkStart w:id="862" w:name="_Toc462850262"/>
      <w:bookmarkStart w:id="863" w:name="_Toc474639224"/>
      <w:r>
        <w:t>Figure 11.8: Aspirations for Composition of Water S</w:t>
      </w:r>
      <w:r w:rsidR="003F0F39" w:rsidRPr="007C60FC">
        <w:t>ector funding in Bangladesh, 2010-2100</w:t>
      </w:r>
      <w:bookmarkEnd w:id="862"/>
      <w:bookmarkEnd w:id="863"/>
    </w:p>
    <w:p w:rsidR="003F0F39" w:rsidRPr="00EC35A0" w:rsidRDefault="003F0F39" w:rsidP="003F0F39">
      <w:pPr>
        <w:spacing w:line="264" w:lineRule="auto"/>
        <w:rPr>
          <w:b/>
          <w:color w:val="FF0000"/>
        </w:rPr>
      </w:pPr>
      <w:r w:rsidRPr="00EC35A0">
        <w:rPr>
          <w:b/>
          <w:noProof/>
          <w:color w:val="FF0000"/>
          <w:lang w:val="en-AU" w:eastAsia="en-AU" w:bidi="bn-BD"/>
        </w:rPr>
        <w:drawing>
          <wp:inline distT="0" distB="0" distL="0" distR="0">
            <wp:extent cx="5972175" cy="3124200"/>
            <wp:effectExtent l="19050" t="19050" r="9525" b="190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6456" cy="3126440"/>
                    </a:xfrm>
                    <a:prstGeom prst="rect">
                      <a:avLst/>
                    </a:prstGeom>
                    <a:noFill/>
                    <a:ln w="12700">
                      <a:solidFill>
                        <a:schemeClr val="tx1"/>
                      </a:solidFill>
                    </a:ln>
                  </pic:spPr>
                </pic:pic>
              </a:graphicData>
            </a:graphic>
          </wp:inline>
        </w:drawing>
      </w:r>
    </w:p>
    <w:p w:rsidR="003F0F39" w:rsidRDefault="003F0F39" w:rsidP="00FD74AE">
      <w:pPr>
        <w:spacing w:line="276" w:lineRule="auto"/>
        <w:contextualSpacing/>
        <w:jc w:val="both"/>
      </w:pPr>
      <w:r w:rsidRPr="007C60FC">
        <w:t>In the water supply</w:t>
      </w:r>
      <w:r w:rsidR="00054D63">
        <w:t>,</w:t>
      </w:r>
      <w:r w:rsidRPr="007C60FC">
        <w:t>sanitation</w:t>
      </w:r>
      <w:r w:rsidR="00054D63">
        <w:t xml:space="preserve"> and health</w:t>
      </w:r>
      <w:r w:rsidRPr="007C60FC">
        <w:t xml:space="preserve"> (</w:t>
      </w:r>
      <w:r w:rsidR="00054D63" w:rsidRPr="007C60FC">
        <w:t>WA</w:t>
      </w:r>
      <w:r w:rsidR="00054D63">
        <w:t>SH</w:t>
      </w:r>
      <w:r w:rsidRPr="007C60FC">
        <w:t>) sector specific levies (through a tariff system) already exist</w:t>
      </w:r>
      <w:r w:rsidR="00054D63">
        <w:t>.</w:t>
      </w:r>
      <w:r w:rsidRPr="007C60FC">
        <w:t xml:space="preserve"> Although currently (2015) cost recovery levels in this sector are low, as well as their service levels, </w:t>
      </w:r>
      <w:r w:rsidR="00054D63">
        <w:t>WASH</w:t>
      </w:r>
      <w:r w:rsidR="00054D63" w:rsidRPr="007C60FC">
        <w:t xml:space="preserve"> </w:t>
      </w:r>
      <w:r w:rsidRPr="007C60FC">
        <w:t xml:space="preserve">is gradually improving their business. First, big improvements would be realized in the major cities (Dhaka, Chittagong). Both WASAs are gradually operating in a more sustainable way, significantly upgrading their service level (including drinking water </w:t>
      </w:r>
      <w:r w:rsidRPr="007C60FC">
        <w:lastRenderedPageBreak/>
        <w:t xml:space="preserve">quality) and applying more affordable (block) tariffs aimed at full cost recovery in a 10-years period. A Regulatory Commission is supposed to be established </w:t>
      </w:r>
      <w:r w:rsidR="00381A89">
        <w:t xml:space="preserve">for regulating </w:t>
      </w:r>
      <w:r w:rsidRPr="007C60FC">
        <w:t>tariffs for drinking water and sanitation</w:t>
      </w:r>
      <w:r w:rsidR="00381A89">
        <w:t>.</w:t>
      </w:r>
      <w:r w:rsidRPr="007C60FC">
        <w:t xml:space="preserve"> In short term this process would also be started in cities where City Corporations are responsible for these services. Dependency on the GoB’s budget for investments in this </w:t>
      </w:r>
      <w:r w:rsidR="00054D63">
        <w:t>WASH</w:t>
      </w:r>
      <w:r w:rsidR="00054D63" w:rsidRPr="007C60FC">
        <w:t xml:space="preserve"> </w:t>
      </w:r>
      <w:r w:rsidRPr="007C60FC">
        <w:t xml:space="preserve">sector will slowly come down as full cost recovery principles would be introduced gradually. In Pourashavas, where huge investments in water supply systems and sanitation would be realised, spread over a period of 15 to 20 years (aimed at fulfilling the SDGs for water and sanitation), full cost recovery targets will take much longer. After 2030, when in a number of cities </w:t>
      </w:r>
      <w:r w:rsidR="00054D63">
        <w:t>WASH</w:t>
      </w:r>
      <w:r w:rsidR="00054D63" w:rsidRPr="007C60FC">
        <w:t xml:space="preserve"> </w:t>
      </w:r>
      <w:r w:rsidRPr="007C60FC">
        <w:t xml:space="preserve">is technically and financially sustainable, the private sector will start to participate leading to a number of PPPs in this sector or even private entities. Such a development would mean that the central </w:t>
      </w:r>
      <w:r w:rsidR="00054D63" w:rsidRPr="007C60FC">
        <w:t>government grants</w:t>
      </w:r>
      <w:r w:rsidRPr="007C60FC">
        <w:t xml:space="preserve"> funding responsibility might be faded out.</w:t>
      </w:r>
    </w:p>
    <w:p w:rsidR="00FD74AE" w:rsidRPr="007C60FC" w:rsidRDefault="00FD74AE" w:rsidP="00FD74AE">
      <w:pPr>
        <w:spacing w:line="276" w:lineRule="auto"/>
        <w:contextualSpacing/>
        <w:jc w:val="both"/>
      </w:pPr>
    </w:p>
    <w:p w:rsidR="003F0F39" w:rsidRDefault="003F0F39" w:rsidP="00FD74AE">
      <w:pPr>
        <w:spacing w:line="276" w:lineRule="auto"/>
        <w:contextualSpacing/>
        <w:jc w:val="both"/>
      </w:pPr>
      <w:r w:rsidRPr="007C60FC">
        <w:t>The same process might happen in the irrigation sector, in which large scale irrigation investment projects will implement sustainable operations in the next 10 to 15 years. This would be realised through PPPs and cost recovery principles being applied, based on tariffs to be paid by the farmers.</w:t>
      </w:r>
    </w:p>
    <w:p w:rsidR="00FD74AE" w:rsidRPr="007C60FC" w:rsidRDefault="00FD74AE" w:rsidP="00FD74AE">
      <w:pPr>
        <w:spacing w:line="276" w:lineRule="auto"/>
        <w:contextualSpacing/>
        <w:jc w:val="both"/>
      </w:pPr>
    </w:p>
    <w:p w:rsidR="00FD74AE" w:rsidRDefault="003F0F39" w:rsidP="00FD74AE">
      <w:pPr>
        <w:spacing w:line="276" w:lineRule="auto"/>
        <w:contextualSpacing/>
        <w:jc w:val="both"/>
      </w:pPr>
      <w:r w:rsidRPr="007C60FC">
        <w:t>A</w:t>
      </w:r>
      <w:r w:rsidR="00381A89">
        <w:t>Another example is, for r</w:t>
      </w:r>
      <w:r w:rsidRPr="007C60FC">
        <w:t>iver operations and maintenance</w:t>
      </w:r>
      <w:r w:rsidR="00381A89">
        <w:t xml:space="preserve">, a River Authority might be established to offer </w:t>
      </w:r>
      <w:r w:rsidRPr="007C60FC">
        <w:t xml:space="preserve"> large contracts with private firms through PPP, and</w:t>
      </w:r>
      <w:r w:rsidR="00381A89">
        <w:t xml:space="preserve"> </w:t>
      </w:r>
      <w:r w:rsidR="00381A89" w:rsidRPr="007C60FC">
        <w:t>introduc</w:t>
      </w:r>
      <w:r w:rsidR="00381A89">
        <w:t>e</w:t>
      </w:r>
      <w:r w:rsidR="00381A89" w:rsidRPr="007C60FC">
        <w:t xml:space="preserve"> </w:t>
      </w:r>
      <w:r w:rsidRPr="007C60FC">
        <w:t xml:space="preserve">a specific levy for dredging activities to be paid by all vessels using the </w:t>
      </w:r>
      <w:r w:rsidR="00381A89">
        <w:t xml:space="preserve">dredged </w:t>
      </w:r>
      <w:r w:rsidRPr="007C60FC">
        <w:t>river system.</w:t>
      </w:r>
    </w:p>
    <w:p w:rsidR="003F0F39" w:rsidRPr="007C60FC" w:rsidRDefault="003F0F39" w:rsidP="00FD74AE">
      <w:pPr>
        <w:spacing w:line="276" w:lineRule="auto"/>
        <w:contextualSpacing/>
        <w:jc w:val="both"/>
      </w:pPr>
      <w:r w:rsidRPr="007C60FC">
        <w:t xml:space="preserve"> </w:t>
      </w:r>
    </w:p>
    <w:p w:rsidR="003F0F39" w:rsidRPr="007C60FC" w:rsidRDefault="003F0F39" w:rsidP="00FD74AE">
      <w:pPr>
        <w:spacing w:line="276" w:lineRule="auto"/>
        <w:contextualSpacing/>
        <w:jc w:val="both"/>
      </w:pPr>
      <w:r w:rsidRPr="007C60FC">
        <w:t>Summarising, a tendency is observed in which due to a significant improvement in income status in Bangladesh, DP funding (and GCF funding) is expected to slowly fade out in the medium term. At the same time, the GoB’s Annual Budget could be increased significantly as % of GDP and would be better targeted, and as a consequence sufficient budgets would be made available for investments in infrastructure as well as for proper operations and maintenance. Due to higher average incomes, people and businesses would be willing to pay specific levies for specific services for flood protection tailored to the regional situation and charges for river maintenance to sustain the major inland waterways network. Next, participation of the private sector would become stronger through PPPs (in WATSAN operations, through huge maintenance contracts for flood protection, and through river maintenance).</w:t>
      </w:r>
    </w:p>
    <w:p w:rsidR="003F0F39" w:rsidRPr="00215182" w:rsidRDefault="003F0F39" w:rsidP="00FD74AE">
      <w:pPr>
        <w:spacing w:before="120" w:after="120" w:line="276" w:lineRule="auto"/>
        <w:contextualSpacing/>
        <w:rPr>
          <w:i/>
        </w:rPr>
      </w:pPr>
      <w:r w:rsidRPr="00215182">
        <w:rPr>
          <w:i/>
        </w:rPr>
        <w:t>Aspirations of water sector funding and a Bangladesh Delta Fund</w:t>
      </w:r>
    </w:p>
    <w:p w:rsidR="003F0F39" w:rsidRDefault="003F0F39" w:rsidP="00FD74AE">
      <w:pPr>
        <w:spacing w:line="276" w:lineRule="auto"/>
        <w:contextualSpacing/>
        <w:jc w:val="both"/>
      </w:pPr>
      <w:r w:rsidRPr="007C60FC">
        <w:t xml:space="preserve">The above outlined aspiration developments for water sector funding in Bangladesh can also be viewed from a slightly different perspective, representing the evolving composition of the proposed Bangladesh Delta Fund. An important addition is the distinction between capital and revenue budget allocations, in which the revenue component grows substantially over time. We will show the resource allocation potential in three stages. </w:t>
      </w:r>
    </w:p>
    <w:p w:rsidR="00FD74AE" w:rsidRPr="007C60FC" w:rsidRDefault="00FD74AE" w:rsidP="00FD74AE">
      <w:pPr>
        <w:spacing w:line="276" w:lineRule="auto"/>
        <w:contextualSpacing/>
        <w:jc w:val="both"/>
      </w:pPr>
    </w:p>
    <w:p w:rsidR="003F0F39" w:rsidRPr="007C60FC" w:rsidRDefault="003F0F39" w:rsidP="003F0F39">
      <w:pPr>
        <w:pStyle w:val="Heading5"/>
      </w:pPr>
      <w:bookmarkStart w:id="864" w:name="_Toc462850263"/>
      <w:bookmarkStart w:id="865" w:name="_Toc474639225"/>
      <w:r w:rsidRPr="007C60FC">
        <w:t>Figure 11.9: Re</w:t>
      </w:r>
      <w:r w:rsidR="00FD74AE">
        <w:t>sources Mobilization P</w:t>
      </w:r>
      <w:r w:rsidRPr="007C60FC">
        <w:t xml:space="preserve">otential for </w:t>
      </w:r>
      <w:r w:rsidR="00FD74AE">
        <w:t xml:space="preserve">Water Sector Funding: </w:t>
      </w:r>
      <w:r w:rsidRPr="007C60FC">
        <w:t xml:space="preserve"> 2016-2030</w:t>
      </w:r>
      <w:bookmarkEnd w:id="864"/>
      <w:bookmarkEnd w:id="865"/>
    </w:p>
    <w:p w:rsidR="003F0F39" w:rsidRPr="00EC35A0" w:rsidRDefault="003F0F39" w:rsidP="003F0F39">
      <w:pPr>
        <w:spacing w:line="264" w:lineRule="auto"/>
        <w:jc w:val="center"/>
        <w:rPr>
          <w:color w:val="FF0000"/>
        </w:rPr>
      </w:pPr>
      <w:r w:rsidRPr="00EC35A0">
        <w:rPr>
          <w:noProof/>
          <w:color w:val="FF0000"/>
          <w:lang w:val="en-AU" w:eastAsia="en-AU" w:bidi="bn-BD"/>
        </w:rPr>
        <w:lastRenderedPageBreak/>
        <w:drawing>
          <wp:inline distT="0" distB="0" distL="0" distR="0">
            <wp:extent cx="5715000" cy="2543175"/>
            <wp:effectExtent l="19050" t="19050" r="19050" b="285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9685" cy="2545260"/>
                    </a:xfrm>
                    <a:prstGeom prst="rect">
                      <a:avLst/>
                    </a:prstGeom>
                    <a:noFill/>
                    <a:ln w="12700">
                      <a:solidFill>
                        <a:schemeClr val="tx1"/>
                      </a:solidFill>
                    </a:ln>
                  </pic:spPr>
                </pic:pic>
              </a:graphicData>
            </a:graphic>
          </wp:inline>
        </w:drawing>
      </w:r>
    </w:p>
    <w:p w:rsidR="003F0F39" w:rsidRDefault="00FD74AE" w:rsidP="00FD74AE">
      <w:pPr>
        <w:spacing w:line="276" w:lineRule="auto"/>
        <w:jc w:val="both"/>
      </w:pPr>
      <w:r>
        <w:t>Figure 11.9 envisages a possible resource mobilization environment over 2016-2030</w:t>
      </w:r>
      <w:r w:rsidR="003F0F39" w:rsidRPr="007C60FC">
        <w:t xml:space="preserve">. A division is made between investments on the one hand and operations and maintenance (O&amp;M) of these investments on the other. Up to 2030, huge investments in BDP2100 core sectors would be foreseen and therefore a large proportion of the total available budget of the Delta Fund would be allocated for these investment needs. Apart from the general budget the majority of these budget needs would come from DPs, although their contribution is likely to decline in the coming decades. However, the upcoming Green Climate Fund (GCF) would fully compensate the gap through loans (mainly concessional) and grants. Involvement of the private sector would be still very low and specific levies hardly exist. The budget allocation needed for sustainable O&amp;M activities would come from the general budget as DPs and GCF are generally not financing these activities. Apart from the general budget, only in the </w:t>
      </w:r>
      <w:r w:rsidR="00381A89">
        <w:t>WASH</w:t>
      </w:r>
      <w:r w:rsidR="00381A89" w:rsidRPr="007C60FC">
        <w:t xml:space="preserve"> </w:t>
      </w:r>
      <w:r w:rsidR="003F0F39" w:rsidRPr="007C60FC">
        <w:t>sector</w:t>
      </w:r>
      <w:r w:rsidR="00381A89">
        <w:t>, the</w:t>
      </w:r>
      <w:r w:rsidR="003F0F39" w:rsidRPr="007C60FC">
        <w:t xml:space="preserve"> revenues </w:t>
      </w:r>
      <w:r w:rsidR="00381A89">
        <w:t xml:space="preserve">will </w:t>
      </w:r>
      <w:r w:rsidR="003F0F39" w:rsidRPr="007C60FC">
        <w:t xml:space="preserve">be generated (through tariffs) to finance O&amp;M costs of their facilities as well as a part of their capital investments. </w:t>
      </w:r>
    </w:p>
    <w:p w:rsidR="00FD74AE" w:rsidRDefault="00FD74AE" w:rsidP="00FD74AE">
      <w:pPr>
        <w:spacing w:line="276" w:lineRule="auto"/>
        <w:jc w:val="both"/>
      </w:pPr>
    </w:p>
    <w:p w:rsidR="00FD74AE" w:rsidRDefault="00FD74AE" w:rsidP="00FD74AE">
      <w:pPr>
        <w:spacing w:line="276" w:lineRule="auto"/>
        <w:jc w:val="both"/>
      </w:pPr>
    </w:p>
    <w:p w:rsidR="00FD74AE" w:rsidRDefault="00FD74AE" w:rsidP="00FD74AE">
      <w:pPr>
        <w:spacing w:line="276" w:lineRule="auto"/>
        <w:jc w:val="both"/>
      </w:pPr>
    </w:p>
    <w:p w:rsidR="00FD74AE" w:rsidRDefault="00FD74AE" w:rsidP="00FD74AE">
      <w:pPr>
        <w:spacing w:line="276" w:lineRule="auto"/>
        <w:jc w:val="both"/>
      </w:pPr>
    </w:p>
    <w:p w:rsidR="00FD74AE" w:rsidRDefault="00FD74AE" w:rsidP="003F0F39">
      <w:pPr>
        <w:pStyle w:val="Heading5"/>
      </w:pPr>
    </w:p>
    <w:p w:rsidR="003F0F39" w:rsidRPr="007C60FC" w:rsidRDefault="00FD74AE" w:rsidP="003F0F39">
      <w:pPr>
        <w:pStyle w:val="Heading5"/>
      </w:pPr>
      <w:bookmarkStart w:id="866" w:name="_Toc474639226"/>
      <w:r>
        <w:t>Figure 11.10: Resource Mobilization P</w:t>
      </w:r>
      <w:r w:rsidR="003F0F39" w:rsidRPr="007C60FC">
        <w:t>otentia</w:t>
      </w:r>
      <w:r>
        <w:t xml:space="preserve">l for Water Sector, </w:t>
      </w:r>
      <w:r w:rsidR="003F0F39" w:rsidRPr="007C60FC">
        <w:t>2030-2050</w:t>
      </w:r>
      <w:bookmarkEnd w:id="866"/>
    </w:p>
    <w:p w:rsidR="003F0F39" w:rsidRPr="00EC35A0" w:rsidRDefault="003F0F39" w:rsidP="003F0F39">
      <w:pPr>
        <w:spacing w:line="264" w:lineRule="auto"/>
        <w:jc w:val="center"/>
        <w:rPr>
          <w:color w:val="FF0000"/>
        </w:rPr>
      </w:pPr>
      <w:r w:rsidRPr="00EC35A0">
        <w:rPr>
          <w:noProof/>
          <w:color w:val="FF0000"/>
          <w:lang w:val="en-AU" w:eastAsia="en-AU" w:bidi="bn-BD"/>
        </w:rPr>
        <w:lastRenderedPageBreak/>
        <w:drawing>
          <wp:inline distT="0" distB="0" distL="0" distR="0">
            <wp:extent cx="5676900" cy="2543175"/>
            <wp:effectExtent l="19050" t="19050" r="19050" b="285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8391" cy="2543843"/>
                    </a:xfrm>
                    <a:prstGeom prst="rect">
                      <a:avLst/>
                    </a:prstGeom>
                    <a:noFill/>
                    <a:ln w="12700">
                      <a:solidFill>
                        <a:schemeClr val="tx1"/>
                      </a:solidFill>
                    </a:ln>
                  </pic:spPr>
                </pic:pic>
              </a:graphicData>
            </a:graphic>
          </wp:inline>
        </w:drawing>
      </w:r>
    </w:p>
    <w:p w:rsidR="00FD74AE" w:rsidRDefault="00FD74AE" w:rsidP="00FD74AE">
      <w:pPr>
        <w:spacing w:line="276" w:lineRule="auto"/>
        <w:jc w:val="both"/>
      </w:pPr>
    </w:p>
    <w:p w:rsidR="003F0F39" w:rsidRPr="007C60FC" w:rsidRDefault="00FD74AE" w:rsidP="00FD74AE">
      <w:pPr>
        <w:spacing w:line="276" w:lineRule="auto"/>
        <w:jc w:val="both"/>
      </w:pPr>
      <w:r>
        <w:t>In the second period (</w:t>
      </w:r>
      <w:r w:rsidR="003F0F39" w:rsidRPr="007C60FC">
        <w:t>2030-2050) the envisaged composition will change significantly. First budget needs for investments relative to O&amp;M activities would decline, because ensuring high levels of sustainability of expensive BDP2100 measures is key. DP’s contribution for funding investments would be declining further (and if still present mainly at non-concessional terms and conditions). GCF funding would also be declining and the GoB’s contribution through general tax revenues as well as specific levies would increase. Private sector funding is expected to increase (through PPPs) based on positive institutional developments and lower risks. etc. O&amp;M activities (for regular annual maintenance as well as major overhauls every 5 year) with a significantly growing share in total budget needs, would remain to be financed by the general budget and for a minor part by specific levies (e.g. through the introduction of a river maintenance charge). The WATSAN sector would have achieved full cost recovery by the end of this period and would be able to finance its capital and revenue expenditures.</w:t>
      </w:r>
    </w:p>
    <w:p w:rsidR="003F0F39" w:rsidRPr="00EC35A0" w:rsidRDefault="003F0F39" w:rsidP="003F0F39">
      <w:pPr>
        <w:rPr>
          <w:b/>
          <w:color w:val="FF0000"/>
          <w:szCs w:val="24"/>
        </w:rPr>
      </w:pPr>
      <w:r w:rsidRPr="00EC35A0">
        <w:rPr>
          <w:color w:val="FF0000"/>
        </w:rPr>
        <w:br w:type="page"/>
      </w:r>
    </w:p>
    <w:p w:rsidR="003F0F39" w:rsidRPr="007C60FC" w:rsidRDefault="003F0F39" w:rsidP="003F0F39">
      <w:pPr>
        <w:pStyle w:val="Heading5"/>
      </w:pPr>
      <w:bookmarkStart w:id="867" w:name="_Toc474639227"/>
      <w:r w:rsidRPr="007C60FC">
        <w:lastRenderedPageBreak/>
        <w:t>Fi</w:t>
      </w:r>
      <w:r w:rsidR="00FD74AE">
        <w:t xml:space="preserve">gure 11.11: Resource Mobilization Potential for Water Sector, </w:t>
      </w:r>
      <w:r w:rsidRPr="007C60FC">
        <w:t>2050-2100</w:t>
      </w:r>
      <w:bookmarkEnd w:id="867"/>
    </w:p>
    <w:p w:rsidR="003F0F39" w:rsidRPr="00EC35A0" w:rsidRDefault="003F0F39" w:rsidP="003F0F39">
      <w:pPr>
        <w:spacing w:line="264" w:lineRule="auto"/>
        <w:rPr>
          <w:color w:val="FF0000"/>
        </w:rPr>
      </w:pPr>
      <w:r w:rsidRPr="00EC35A0">
        <w:rPr>
          <w:noProof/>
          <w:color w:val="FF0000"/>
          <w:lang w:val="en-AU" w:eastAsia="en-AU" w:bidi="bn-BD"/>
        </w:rPr>
        <w:drawing>
          <wp:inline distT="0" distB="0" distL="0" distR="0">
            <wp:extent cx="6067425" cy="2324100"/>
            <wp:effectExtent l="19050" t="19050" r="28575"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7425" cy="2324100"/>
                    </a:xfrm>
                    <a:prstGeom prst="rect">
                      <a:avLst/>
                    </a:prstGeom>
                    <a:noFill/>
                    <a:ln w="12700">
                      <a:solidFill>
                        <a:schemeClr val="tx1"/>
                      </a:solidFill>
                    </a:ln>
                  </pic:spPr>
                </pic:pic>
              </a:graphicData>
            </a:graphic>
          </wp:inline>
        </w:drawing>
      </w:r>
    </w:p>
    <w:p w:rsidR="003F0F39" w:rsidRPr="007C60FC" w:rsidRDefault="00FD74AE" w:rsidP="00571B7D">
      <w:pPr>
        <w:spacing w:line="276" w:lineRule="auto"/>
        <w:jc w:val="both"/>
      </w:pPr>
      <w:r>
        <w:t>Figure 11.11 envisages</w:t>
      </w:r>
      <w:r w:rsidR="003F0F39" w:rsidRPr="007C60FC">
        <w:t xml:space="preserve"> </w:t>
      </w:r>
      <w:r>
        <w:t xml:space="preserve">resource mobilization poetential for water sector over the very </w:t>
      </w:r>
      <w:r w:rsidR="00571B7D">
        <w:t xml:space="preserve">long term (2050 </w:t>
      </w:r>
      <w:r w:rsidR="003F0F39" w:rsidRPr="007C60FC">
        <w:t>to 2100</w:t>
      </w:r>
      <w:r w:rsidR="00381A89">
        <w:t>)</w:t>
      </w:r>
      <w:r w:rsidR="003F0F39" w:rsidRPr="007C60FC">
        <w:t xml:space="preserve">. </w:t>
      </w:r>
      <w:r w:rsidR="00EA4E38" w:rsidRPr="007C60FC">
        <w:t>It</w:t>
      </w:r>
      <w:r w:rsidR="003F0F39" w:rsidRPr="007C60FC">
        <w:t xml:space="preserve"> indicates budget needs for investments and O&amp;M activities to be more or less in balance. By this time, most major infrastructural works would be already in place and require high maintenance. General budget as well as specific levies would be in place for both activities. Also the private sector’s share in contributing to these activities would be substantial. The WATSAN sector has already achieved full cost recovery in the previous time period, and by the second part of this century the GoB would be able to levy a national water system tax, possibly customised at the local level, for flood infrastructure. DPs as well as GCF have completely disappeared, as Bangladesh would be a full-fledged middle income country aiming to develop into a high income country in the second half of this century.</w:t>
      </w:r>
    </w:p>
    <w:p w:rsidR="003F0F39" w:rsidRPr="007C60FC" w:rsidRDefault="003F0F39" w:rsidP="00571B7D">
      <w:pPr>
        <w:spacing w:line="276" w:lineRule="auto"/>
        <w:jc w:val="both"/>
        <w:rPr>
          <w:rFonts w:cs="Segoe UI"/>
          <w:szCs w:val="19"/>
        </w:rPr>
      </w:pPr>
      <w:bookmarkStart w:id="868" w:name="_Toc450215296"/>
      <w:r w:rsidRPr="007C60FC">
        <w:rPr>
          <w:rFonts w:cs="Segoe UI"/>
          <w:szCs w:val="19"/>
        </w:rPr>
        <w:t xml:space="preserve">At the same time DP funding declines as Bangladesh consolidates its middle income status and DPs redistribute their resources to poorer countries. In addition rich nations channel their climate adaptation funds increasingly through GCF. DP share of financing the BDP2100 investment budget declines from 50% in FY2015 to 17% in FY2030. </w:t>
      </w:r>
    </w:p>
    <w:p w:rsidR="003F0F39" w:rsidRPr="007C60FC" w:rsidRDefault="003F0F39" w:rsidP="00571B7D">
      <w:pPr>
        <w:spacing w:line="276" w:lineRule="auto"/>
        <w:jc w:val="both"/>
        <w:rPr>
          <w:rFonts w:cs="Segoe UI"/>
          <w:szCs w:val="19"/>
        </w:rPr>
      </w:pPr>
      <w:r w:rsidRPr="007C60FC">
        <w:rPr>
          <w:rFonts w:cs="Segoe UI"/>
          <w:szCs w:val="19"/>
        </w:rPr>
        <w:t xml:space="preserve">From 2020 onwards GCF finance a major share of the BDP2100 budget, from 0.4% GDP (or 23% of BDP2100 investment budget) to 0.5% of GDP (or 33% of BDP2100 investment budget).The formulation of a GCF strategy and facility towards gearing BDP2100 investment projects for GCF is an important pre-condition for reaching these ambitions (see also the recommendations in section 15.5.4). </w:t>
      </w:r>
    </w:p>
    <w:p w:rsidR="003F0F39" w:rsidRPr="007C60FC" w:rsidRDefault="003F0F39" w:rsidP="00571B7D">
      <w:pPr>
        <w:spacing w:line="276" w:lineRule="auto"/>
        <w:jc w:val="both"/>
        <w:rPr>
          <w:rFonts w:cs="Segoe UI"/>
          <w:szCs w:val="19"/>
        </w:rPr>
      </w:pPr>
      <w:r w:rsidRPr="007C60FC">
        <w:rPr>
          <w:rFonts w:cs="Segoe UI"/>
          <w:szCs w:val="19"/>
        </w:rPr>
        <w:t xml:space="preserve">From 2025/2030 onwards other </w:t>
      </w:r>
      <w:r w:rsidR="000B096E">
        <w:t xml:space="preserve">public </w:t>
      </w:r>
      <w:r w:rsidRPr="007C60FC">
        <w:rPr>
          <w:rFonts w:cs="Segoe UI"/>
          <w:szCs w:val="19"/>
        </w:rPr>
        <w:t xml:space="preserve">finance sources will need to increasingly play a role in funding Delta Plan related investments (see previous section). These other </w:t>
      </w:r>
      <w:r w:rsidR="000B096E">
        <w:t>public</w:t>
      </w:r>
      <w:r w:rsidRPr="007C60FC">
        <w:rPr>
          <w:rFonts w:cs="Segoe UI"/>
          <w:szCs w:val="19"/>
        </w:rPr>
        <w:t xml:space="preserve"> finance sources will be composed of (</w:t>
      </w:r>
      <w:r w:rsidR="000B096E">
        <w:t>public</w:t>
      </w:r>
      <w:r w:rsidRPr="007C60FC">
        <w:rPr>
          <w:rFonts w:cs="Segoe UI"/>
          <w:szCs w:val="19"/>
        </w:rPr>
        <w:t xml:space="preserve">) revenues generated from beneficiary payment principles (water management levies, user charges for drinking water &amp; sanitation etc.). These </w:t>
      </w:r>
      <w:r w:rsidR="000B096E">
        <w:rPr>
          <w:rFonts w:cs="Segoe UI"/>
          <w:szCs w:val="19"/>
        </w:rPr>
        <w:t>public</w:t>
      </w:r>
      <w:r w:rsidRPr="007C60FC">
        <w:rPr>
          <w:rFonts w:cs="Segoe UI"/>
          <w:szCs w:val="19"/>
        </w:rPr>
        <w:t xml:space="preserve"> financial sources could be generated from different government budget accounts or </w:t>
      </w:r>
      <w:r w:rsidR="000B096E">
        <w:rPr>
          <w:rFonts w:cs="Segoe UI"/>
          <w:szCs w:val="19"/>
        </w:rPr>
        <w:t>public</w:t>
      </w:r>
      <w:r w:rsidRPr="007C60FC">
        <w:rPr>
          <w:rFonts w:cs="Segoe UI"/>
          <w:szCs w:val="19"/>
        </w:rPr>
        <w:t xml:space="preserve"> funds and at </w:t>
      </w:r>
      <w:r w:rsidRPr="007C60FC">
        <w:rPr>
          <w:rFonts w:cs="Segoe UI"/>
          <w:szCs w:val="19"/>
        </w:rPr>
        <w:lastRenderedPageBreak/>
        <w:t xml:space="preserve">various levels: local, regional and national. Various financial instruments could be used such as budget support, domestic loans, </w:t>
      </w:r>
      <w:r w:rsidR="000B096E">
        <w:rPr>
          <w:rFonts w:cs="Segoe UI"/>
          <w:szCs w:val="19"/>
        </w:rPr>
        <w:t>public</w:t>
      </w:r>
      <w:r w:rsidRPr="007C60FC">
        <w:rPr>
          <w:rFonts w:cs="Segoe UI"/>
          <w:szCs w:val="19"/>
        </w:rPr>
        <w:t xml:space="preserve"> guarantees etc.      </w:t>
      </w:r>
    </w:p>
    <w:p w:rsidR="003F0F39" w:rsidRPr="007C60FC" w:rsidRDefault="003F0F39" w:rsidP="00571B7D">
      <w:pPr>
        <w:spacing w:line="276" w:lineRule="auto"/>
        <w:jc w:val="both"/>
        <w:rPr>
          <w:rFonts w:cs="Segoe UI"/>
          <w:szCs w:val="19"/>
        </w:rPr>
      </w:pPr>
      <w:r w:rsidRPr="007C60FC">
        <w:rPr>
          <w:rFonts w:cs="Segoe UI"/>
          <w:szCs w:val="19"/>
        </w:rPr>
        <w:t xml:space="preserve">After 2030, private sector funding should become increasingly important as source for funding of Delta Plan related investments. </w:t>
      </w:r>
      <w:r w:rsidR="00EA4E38" w:rsidRPr="007C60FC">
        <w:rPr>
          <w:rFonts w:cs="Segoe UI"/>
          <w:szCs w:val="19"/>
        </w:rPr>
        <w:t>The s</w:t>
      </w:r>
      <w:r w:rsidR="00EA4E38">
        <w:rPr>
          <w:rFonts w:cs="Segoe UI"/>
          <w:szCs w:val="19"/>
        </w:rPr>
        <w:t>hare could increase from 0.</w:t>
      </w:r>
      <w:r w:rsidR="00EA4E38" w:rsidRPr="007C60FC">
        <w:rPr>
          <w:rFonts w:cs="Segoe UI"/>
          <w:szCs w:val="19"/>
        </w:rPr>
        <w:t>1% of GDP in</w:t>
      </w:r>
      <w:r w:rsidR="00EA4E38">
        <w:rPr>
          <w:rFonts w:cs="Segoe UI"/>
          <w:szCs w:val="19"/>
        </w:rPr>
        <w:t xml:space="preserve"> 2030 to higher levels around 0.2% and 0.</w:t>
      </w:r>
      <w:r w:rsidR="00EA4E38" w:rsidRPr="007C60FC">
        <w:rPr>
          <w:rFonts w:cs="Segoe UI"/>
          <w:szCs w:val="19"/>
        </w:rPr>
        <w:t xml:space="preserve">4% of GDP until 2050. </w:t>
      </w:r>
      <w:r w:rsidRPr="007C60FC">
        <w:rPr>
          <w:rFonts w:cs="Segoe UI"/>
          <w:szCs w:val="19"/>
        </w:rPr>
        <w:t xml:space="preserve">As was shown in the previous paragraph improvement of cost recovery, roll out of PPP schemes and special financing instruments (revolving funds etc.) should enable reaching these levels of private sector funding.   </w:t>
      </w:r>
    </w:p>
    <w:p w:rsidR="00000000" w:rsidRDefault="003F0F39" w:rsidP="003D5A31">
      <w:pPr>
        <w:pStyle w:val="BodyText"/>
        <w:numPr>
          <w:ilvl w:val="2"/>
          <w:numId w:val="248"/>
        </w:numPr>
        <w:spacing w:after="240" w:line="276" w:lineRule="auto"/>
        <w:jc w:val="both"/>
        <w:rPr>
          <w:rFonts w:cs="Times New Roman"/>
          <w:b/>
          <w:szCs w:val="24"/>
        </w:rPr>
      </w:pPr>
      <w:bookmarkStart w:id="869" w:name="_Toc462850200"/>
      <w:r w:rsidRPr="007C60FC">
        <w:rPr>
          <w:rFonts w:cs="Times New Roman"/>
          <w:b/>
          <w:szCs w:val="24"/>
        </w:rPr>
        <w:t>Policy directions / strategy</w:t>
      </w:r>
      <w:bookmarkEnd w:id="868"/>
      <w:bookmarkEnd w:id="869"/>
    </w:p>
    <w:p w:rsidR="003F0F39" w:rsidRPr="007C60FC" w:rsidRDefault="003F0F39" w:rsidP="003F0F39">
      <w:pPr>
        <w:spacing w:line="264" w:lineRule="auto"/>
      </w:pPr>
      <w:r w:rsidRPr="007C60FC">
        <w:t xml:space="preserve">In order to achieve the envisaged funding structure for the water sector a number of policy directions are necessary. </w:t>
      </w:r>
    </w:p>
    <w:p w:rsidR="003F0F39" w:rsidRPr="007C60FC" w:rsidRDefault="003F0F39" w:rsidP="003F0F39">
      <w:pPr>
        <w:spacing w:line="264" w:lineRule="auto"/>
        <w:rPr>
          <w:b/>
        </w:rPr>
      </w:pPr>
      <w:r w:rsidRPr="007C60FC">
        <w:t>These policy directions are shown per subsector in the picture below.</w:t>
      </w:r>
    </w:p>
    <w:p w:rsidR="003F0F39" w:rsidRPr="007C60FC" w:rsidRDefault="003F0F39" w:rsidP="003F0F39">
      <w:pPr>
        <w:pStyle w:val="Heading5"/>
      </w:pPr>
      <w:bookmarkStart w:id="870" w:name="_Toc462850264"/>
      <w:bookmarkStart w:id="871" w:name="_Toc474639228"/>
      <w:r w:rsidRPr="007C60FC">
        <w:t>Figure 11.12: Dir</w:t>
      </w:r>
      <w:r w:rsidR="007C60FC">
        <w:t xml:space="preserve">ections and potential </w:t>
      </w:r>
      <w:r w:rsidRPr="007C60FC">
        <w:t>for the future funding and operation of Bangladesh</w:t>
      </w:r>
      <w:bookmarkEnd w:id="870"/>
      <w:r w:rsidR="007C60FC" w:rsidRPr="007C60FC">
        <w:t xml:space="preserve"> water services</w:t>
      </w:r>
      <w:bookmarkEnd w:id="871"/>
    </w:p>
    <w:p w:rsidR="003F0F39" w:rsidRPr="00536A39" w:rsidRDefault="003F0F39" w:rsidP="003F0F39">
      <w:pPr>
        <w:spacing w:line="264" w:lineRule="auto"/>
        <w:jc w:val="center"/>
        <w:rPr>
          <w:color w:val="FF0000"/>
        </w:rPr>
      </w:pPr>
      <w:r w:rsidRPr="00536A39">
        <w:rPr>
          <w:noProof/>
          <w:color w:val="FF0000"/>
          <w:lang w:val="en-AU" w:eastAsia="en-AU" w:bidi="bn-BD"/>
        </w:rPr>
        <w:drawing>
          <wp:inline distT="0" distB="0" distL="0" distR="0">
            <wp:extent cx="5381625" cy="4648200"/>
            <wp:effectExtent l="19050" t="19050" r="2857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9055" cy="4654617"/>
                    </a:xfrm>
                    <a:prstGeom prst="rect">
                      <a:avLst/>
                    </a:prstGeom>
                    <a:noFill/>
                    <a:ln w="12700">
                      <a:solidFill>
                        <a:schemeClr val="tx1"/>
                      </a:solidFill>
                    </a:ln>
                  </pic:spPr>
                </pic:pic>
              </a:graphicData>
            </a:graphic>
          </wp:inline>
        </w:drawing>
      </w:r>
    </w:p>
    <w:p w:rsidR="00F64A6A" w:rsidRDefault="00254285" w:rsidP="00F64A6A">
      <w:pPr>
        <w:pStyle w:val="Heading2"/>
        <w:numPr>
          <w:ilvl w:val="0"/>
          <w:numId w:val="0"/>
        </w:numPr>
        <w:ind w:left="1080"/>
      </w:pPr>
      <w:bookmarkStart w:id="872" w:name="_Toc474638938"/>
      <w:r w:rsidRPr="00A34583">
        <w:lastRenderedPageBreak/>
        <w:t>Resource Constraints and Resource Allocation</w:t>
      </w:r>
      <w:bookmarkEnd w:id="872"/>
    </w:p>
    <w:p w:rsidR="00254285" w:rsidRPr="00A07191" w:rsidRDefault="00254285" w:rsidP="00254285">
      <w:pPr>
        <w:spacing w:line="276" w:lineRule="auto"/>
        <w:jc w:val="both"/>
      </w:pPr>
      <w:r w:rsidRPr="00A07191">
        <w:t xml:space="preserve">The </w:t>
      </w:r>
      <w:r>
        <w:t xml:space="preserve">water strategy developed in Chapter 6 suggested that the </w:t>
      </w:r>
      <w:r w:rsidRPr="00A07191">
        <w:t xml:space="preserve">list of </w:t>
      </w:r>
      <w:r>
        <w:t xml:space="preserve">water-related </w:t>
      </w:r>
      <w:r w:rsidRPr="00A07191">
        <w:t xml:space="preserve">investment priorities is long.  The list is all inclusive and is meant to be implemented over the longer term. Despite the projected significant increase in </w:t>
      </w:r>
      <w:r w:rsidR="000B096E">
        <w:t>public</w:t>
      </w:r>
      <w:r w:rsidRPr="00A07191">
        <w:t xml:space="preserve"> sector investment under the BDP over the medium and long term, there will be need for prioritization of the investment plans and projects and outline a distribution of resources among competing priorities. Many of the investments will be heavily capital intensive. Additionally, implementation capacity constraints will limit the ability to design, prepare and implement large projects.</w:t>
      </w:r>
    </w:p>
    <w:p w:rsidR="00254285" w:rsidRPr="00A07191" w:rsidRDefault="00254285" w:rsidP="00254285">
      <w:pPr>
        <w:spacing w:line="276" w:lineRule="auto"/>
        <w:jc w:val="both"/>
      </w:pPr>
      <w:r w:rsidRPr="00A07191">
        <w:t xml:space="preserve">Delta projects are not just physical investments. There is major research, knowledge and institutional gaps that will require complementary capacity building investments.  These gaps are discussed in detail in Chapters 12-14. The investment priorities will have to be converted into specific investment projects with identification of project components and detailed costing by components.  This exercise is being done another team with technical assistance from the World Bank. </w:t>
      </w:r>
    </w:p>
    <w:p w:rsidR="00CF1D2B" w:rsidRPr="00A07191" w:rsidRDefault="00CF1D2B" w:rsidP="00CF1D2B">
      <w:pPr>
        <w:spacing w:line="276" w:lineRule="auto"/>
        <w:jc w:val="both"/>
      </w:pPr>
      <w:r w:rsidRPr="00A07191">
        <w:t>Table 11.</w:t>
      </w:r>
      <w:r>
        <w:t>15</w:t>
      </w:r>
      <w:r w:rsidRPr="00A07191">
        <w:t xml:space="preserve"> provides some indicative magnitudes of the relative programme priorities based on the detailed investment programme done under the National Water Management Plan of 2001-4.  The priorities of the NWMP are adjusted to reflect the emphasis of BDP2100 and these are applied to total </w:t>
      </w:r>
      <w:r>
        <w:t xml:space="preserve">public </w:t>
      </w:r>
      <w:r w:rsidRPr="00A07191">
        <w:t xml:space="preserve">investment estimates of the Delta Plan. The main adjustments are flood and river management, </w:t>
      </w:r>
      <w:r>
        <w:t xml:space="preserve">water management in dry season, </w:t>
      </w:r>
      <w:r w:rsidRPr="00A07191">
        <w:t>environment and ecology, enabling environment and institutions</w:t>
      </w:r>
      <w:r>
        <w:t xml:space="preserve"> according to priorities</w:t>
      </w:r>
      <w:r w:rsidRPr="00A07191">
        <w:t xml:space="preserve">. .  Total amount of </w:t>
      </w:r>
      <w:r>
        <w:t>delta-related public</w:t>
      </w:r>
      <w:r w:rsidRPr="00A07191">
        <w:t xml:space="preserve"> investment in FY</w:t>
      </w:r>
      <w:r>
        <w:t>20</w:t>
      </w:r>
      <w:r w:rsidRPr="00A07191">
        <w:t>16</w:t>
      </w:r>
      <w:r>
        <w:t xml:space="preserve"> prices is projected to be TK.7.27</w:t>
      </w:r>
      <w:r w:rsidRPr="00A07191">
        <w:t xml:space="preserve"> trillion for the pe</w:t>
      </w:r>
      <w:r>
        <w:t>riod FY2019-31</w:t>
      </w:r>
      <w:r w:rsidRPr="00A07191">
        <w:t>. This projection does not include budgetary spending on account of O&amp;M in the amount of 0.5% of GDP per annum. Private sector investment in BDP</w:t>
      </w:r>
      <w:r>
        <w:t>2100</w:t>
      </w:r>
      <w:r w:rsidRPr="00A07191">
        <w:t xml:space="preserve"> related projects—projected to be about 0.5% of GDP per annum by FY</w:t>
      </w:r>
      <w:r>
        <w:t>2031-</w:t>
      </w:r>
      <w:r w:rsidRPr="00A07191">
        <w:t xml:space="preserve">is also not part a of this projection. </w:t>
      </w:r>
    </w:p>
    <w:p w:rsidR="00CF1D2B" w:rsidRPr="00A34583" w:rsidRDefault="00CF1D2B" w:rsidP="00CF1D2B">
      <w:pPr>
        <w:pStyle w:val="Heading4"/>
      </w:pPr>
      <w:r>
        <w:t xml:space="preserve">Table 11.15: Indicative Composition of Public </w:t>
      </w:r>
      <w:r w:rsidRPr="00A34583">
        <w:t>Investment under the BDP</w:t>
      </w:r>
      <w:r>
        <w:t xml:space="preserve">2100 during </w:t>
      </w:r>
      <w:r w:rsidRPr="00A34583">
        <w:t>FY</w:t>
      </w:r>
      <w:r>
        <w:t>20</w:t>
      </w:r>
      <w:r w:rsidRPr="00A34583">
        <w:t>19-</w:t>
      </w:r>
      <w:r>
        <w:t>FY20</w:t>
      </w:r>
      <w:r w:rsidRPr="00A34583">
        <w:t>3</w:t>
      </w:r>
      <w:r>
        <w:t>1</w:t>
      </w:r>
    </w:p>
    <w:p w:rsidR="00CF1D2B" w:rsidRPr="00A34583" w:rsidRDefault="00CF1D2B" w:rsidP="00CF1D2B">
      <w:pPr>
        <w:spacing w:after="120" w:line="276" w:lineRule="auto"/>
        <w:jc w:val="center"/>
        <w:rPr>
          <w:rFonts w:ascii="Times New Roman Bold" w:hAnsi="Times New Roman Bold"/>
          <w:b/>
          <w:sz w:val="20"/>
        </w:rPr>
      </w:pPr>
      <w:r>
        <w:rPr>
          <w:rFonts w:ascii="Times New Roman Bold" w:hAnsi="Times New Roman Bold"/>
          <w:b/>
          <w:sz w:val="20"/>
        </w:rPr>
        <w:t xml:space="preserve">(Taka billion; </w:t>
      </w:r>
      <w:r w:rsidRPr="00A34583">
        <w:rPr>
          <w:rFonts w:ascii="Times New Roman Bold" w:hAnsi="Times New Roman Bold"/>
          <w:b/>
          <w:sz w:val="20"/>
        </w:rPr>
        <w:t>FY</w:t>
      </w:r>
      <w:r>
        <w:rPr>
          <w:rFonts w:ascii="Times New Roman Bold" w:hAnsi="Times New Roman Bold"/>
          <w:b/>
          <w:sz w:val="20"/>
        </w:rPr>
        <w:t>20</w:t>
      </w:r>
      <w:r w:rsidRPr="00A34583">
        <w:rPr>
          <w:rFonts w:ascii="Times New Roman Bold" w:hAnsi="Times New Roman Bold"/>
          <w:b/>
          <w:sz w:val="20"/>
        </w:rPr>
        <w:t>16 Constant Price</w:t>
      </w:r>
      <w:r>
        <w:rPr>
          <w:rFonts w:ascii="Times New Roman Bold" w:hAnsi="Times New Roman Bold"/>
          <w:b/>
          <w:sz w:val="20"/>
        </w:rPr>
        <w:t>s</w:t>
      </w:r>
      <w:r w:rsidRPr="00A34583">
        <w:rPr>
          <w:rFonts w:ascii="Times New Roman Bold" w:hAnsi="Times New Roman Bold"/>
          <w:b/>
          <w:sz w:val="20"/>
        </w:rPr>
        <w:t>)</w:t>
      </w:r>
    </w:p>
    <w:tbl>
      <w:tblPr>
        <w:tblStyle w:val="LightShading10"/>
        <w:tblW w:w="5000" w:type="pct"/>
        <w:tblLayout w:type="fixed"/>
        <w:tblLook w:val="04A0"/>
      </w:tblPr>
      <w:tblGrid>
        <w:gridCol w:w="3621"/>
        <w:gridCol w:w="1620"/>
        <w:gridCol w:w="1618"/>
        <w:gridCol w:w="1080"/>
        <w:gridCol w:w="1637"/>
      </w:tblGrid>
      <w:tr w:rsidR="00CF1D2B" w:rsidRPr="001A3E66" w:rsidTr="00704A22">
        <w:trPr>
          <w:cnfStyle w:val="100000000000"/>
          <w:trHeight w:val="20"/>
        </w:trPr>
        <w:tc>
          <w:tcPr>
            <w:cnfStyle w:val="001000000000"/>
            <w:tcW w:w="1890" w:type="pct"/>
            <w:noWrap/>
            <w:hideMark/>
          </w:tcPr>
          <w:p w:rsidR="00CF1D2B" w:rsidRPr="00FD74AE" w:rsidRDefault="00CF1D2B" w:rsidP="00704A22">
            <w:pPr>
              <w:spacing w:line="276" w:lineRule="auto"/>
              <w:jc w:val="center"/>
              <w:rPr>
                <w:rFonts w:ascii="Times New Roman" w:eastAsia="Times New Roman" w:hAnsi="Times New Roman"/>
                <w:bCs w:val="0"/>
                <w:sz w:val="22"/>
                <w:szCs w:val="22"/>
              </w:rPr>
            </w:pPr>
            <w:r w:rsidRPr="00FD74AE">
              <w:rPr>
                <w:rFonts w:ascii="Times New Roman" w:eastAsia="Times New Roman" w:hAnsi="Times New Roman"/>
                <w:bCs w:val="0"/>
                <w:sz w:val="22"/>
                <w:szCs w:val="22"/>
              </w:rPr>
              <w:t>Investment Components</w:t>
            </w:r>
          </w:p>
        </w:tc>
        <w:tc>
          <w:tcPr>
            <w:tcW w:w="846" w:type="pct"/>
            <w:hideMark/>
          </w:tcPr>
          <w:p w:rsidR="00CF1D2B" w:rsidRPr="00FD74AE" w:rsidRDefault="00CF1D2B" w:rsidP="00704A22">
            <w:pPr>
              <w:spacing w:line="276" w:lineRule="auto"/>
              <w:jc w:val="center"/>
              <w:cnfStyle w:val="100000000000"/>
              <w:rPr>
                <w:rFonts w:ascii="Times New Roman" w:eastAsia="Times New Roman" w:hAnsi="Times New Roman"/>
                <w:bCs w:val="0"/>
                <w:sz w:val="22"/>
                <w:szCs w:val="22"/>
              </w:rPr>
            </w:pPr>
            <w:r w:rsidRPr="00FD74AE">
              <w:rPr>
                <w:rFonts w:ascii="Times New Roman" w:eastAsia="Times New Roman" w:hAnsi="Times New Roman"/>
                <w:bCs w:val="0"/>
                <w:sz w:val="22"/>
                <w:szCs w:val="22"/>
              </w:rPr>
              <w:t>Short-term (FY2019-FY2021)</w:t>
            </w:r>
          </w:p>
        </w:tc>
        <w:tc>
          <w:tcPr>
            <w:tcW w:w="845" w:type="pct"/>
            <w:hideMark/>
          </w:tcPr>
          <w:p w:rsidR="00CF1D2B" w:rsidRPr="00FD74AE" w:rsidRDefault="00CF1D2B" w:rsidP="00704A22">
            <w:pPr>
              <w:spacing w:line="276" w:lineRule="auto"/>
              <w:jc w:val="center"/>
              <w:cnfStyle w:val="100000000000"/>
              <w:rPr>
                <w:rFonts w:ascii="Times New Roman" w:eastAsia="Times New Roman" w:hAnsi="Times New Roman"/>
                <w:bCs w:val="0"/>
                <w:sz w:val="22"/>
                <w:szCs w:val="22"/>
              </w:rPr>
            </w:pPr>
            <w:r w:rsidRPr="00FD74AE">
              <w:rPr>
                <w:rFonts w:ascii="Times New Roman" w:eastAsia="Times New Roman" w:hAnsi="Times New Roman"/>
                <w:bCs w:val="0"/>
                <w:sz w:val="22"/>
                <w:szCs w:val="22"/>
              </w:rPr>
              <w:t>Medium-term (FY2022-FY2031)</w:t>
            </w:r>
          </w:p>
        </w:tc>
        <w:tc>
          <w:tcPr>
            <w:tcW w:w="564" w:type="pct"/>
            <w:noWrap/>
            <w:hideMark/>
          </w:tcPr>
          <w:p w:rsidR="00CF1D2B" w:rsidRPr="00FD74AE" w:rsidRDefault="00CF1D2B" w:rsidP="00704A22">
            <w:pPr>
              <w:spacing w:line="276" w:lineRule="auto"/>
              <w:jc w:val="center"/>
              <w:cnfStyle w:val="100000000000"/>
              <w:rPr>
                <w:rFonts w:ascii="Times New Roman" w:eastAsia="Times New Roman" w:hAnsi="Times New Roman"/>
                <w:bCs w:val="0"/>
                <w:sz w:val="22"/>
                <w:szCs w:val="22"/>
              </w:rPr>
            </w:pPr>
            <w:r w:rsidRPr="00FD74AE">
              <w:rPr>
                <w:rFonts w:ascii="Times New Roman" w:eastAsia="Times New Roman" w:hAnsi="Times New Roman"/>
                <w:bCs w:val="0"/>
                <w:sz w:val="22"/>
                <w:szCs w:val="22"/>
              </w:rPr>
              <w:t>Total</w:t>
            </w:r>
          </w:p>
        </w:tc>
        <w:tc>
          <w:tcPr>
            <w:tcW w:w="855" w:type="pct"/>
            <w:hideMark/>
          </w:tcPr>
          <w:p w:rsidR="00CF1D2B" w:rsidRPr="00FD74AE" w:rsidRDefault="00CF1D2B" w:rsidP="00704A22">
            <w:pPr>
              <w:spacing w:line="276" w:lineRule="auto"/>
              <w:jc w:val="center"/>
              <w:cnfStyle w:val="100000000000"/>
              <w:rPr>
                <w:rFonts w:ascii="Times New Roman" w:eastAsia="Times New Roman" w:hAnsi="Times New Roman"/>
                <w:bCs w:val="0"/>
                <w:sz w:val="22"/>
                <w:szCs w:val="22"/>
              </w:rPr>
            </w:pPr>
            <w:r>
              <w:rPr>
                <w:rFonts w:ascii="Times New Roman" w:eastAsia="Times New Roman" w:hAnsi="Times New Roman"/>
                <w:bCs w:val="0"/>
                <w:sz w:val="22"/>
                <w:szCs w:val="22"/>
              </w:rPr>
              <w:t>% of Overall Investment</w:t>
            </w:r>
          </w:p>
        </w:tc>
      </w:tr>
      <w:tr w:rsidR="00CF1D2B" w:rsidRPr="001A3E66" w:rsidTr="00704A22">
        <w:trPr>
          <w:cnfStyle w:val="000000100000"/>
          <w:trHeight w:val="20"/>
        </w:trPr>
        <w:tc>
          <w:tcPr>
            <w:cnfStyle w:val="001000000000"/>
            <w:tcW w:w="1890" w:type="pct"/>
            <w:noWrap/>
            <w:hideMark/>
          </w:tcPr>
          <w:p w:rsidR="00CF1D2B" w:rsidRPr="001A3E66" w:rsidRDefault="00CF1D2B" w:rsidP="00704A22">
            <w:pPr>
              <w:spacing w:after="0" w:line="276" w:lineRule="auto"/>
              <w:jc w:val="both"/>
              <w:rPr>
                <w:rFonts w:ascii="Times New Roman" w:eastAsia="Times New Roman" w:hAnsi="Times New Roman"/>
                <w:sz w:val="22"/>
                <w:szCs w:val="22"/>
              </w:rPr>
            </w:pPr>
            <w:r w:rsidRPr="001A3E66">
              <w:rPr>
                <w:rFonts w:ascii="Times New Roman" w:eastAsia="Times New Roman" w:hAnsi="Times New Roman"/>
                <w:sz w:val="22"/>
                <w:szCs w:val="22"/>
              </w:rPr>
              <w:t>Institutional Development</w:t>
            </w:r>
          </w:p>
        </w:tc>
        <w:tc>
          <w:tcPr>
            <w:tcW w:w="846"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42</w:t>
            </w:r>
          </w:p>
        </w:tc>
        <w:tc>
          <w:tcPr>
            <w:tcW w:w="845"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322</w:t>
            </w:r>
          </w:p>
        </w:tc>
        <w:tc>
          <w:tcPr>
            <w:tcW w:w="564"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364</w:t>
            </w:r>
          </w:p>
        </w:tc>
        <w:tc>
          <w:tcPr>
            <w:tcW w:w="855"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5</w:t>
            </w:r>
          </w:p>
        </w:tc>
      </w:tr>
      <w:tr w:rsidR="00CF1D2B" w:rsidRPr="001A3E66" w:rsidTr="00704A22">
        <w:trPr>
          <w:trHeight w:val="20"/>
        </w:trPr>
        <w:tc>
          <w:tcPr>
            <w:cnfStyle w:val="001000000000"/>
            <w:tcW w:w="1890" w:type="pct"/>
            <w:noWrap/>
            <w:hideMark/>
          </w:tcPr>
          <w:p w:rsidR="00CF1D2B" w:rsidRPr="001A3E66" w:rsidRDefault="00CF1D2B" w:rsidP="00704A22">
            <w:pPr>
              <w:spacing w:after="0" w:line="276" w:lineRule="auto"/>
              <w:jc w:val="both"/>
              <w:rPr>
                <w:rFonts w:ascii="Times New Roman" w:eastAsia="Times New Roman" w:hAnsi="Times New Roman"/>
                <w:sz w:val="22"/>
                <w:szCs w:val="22"/>
              </w:rPr>
            </w:pPr>
            <w:r w:rsidRPr="001A3E66">
              <w:rPr>
                <w:rFonts w:ascii="Times New Roman" w:eastAsia="Times New Roman" w:hAnsi="Times New Roman"/>
                <w:sz w:val="22"/>
                <w:szCs w:val="22"/>
              </w:rPr>
              <w:t>Enabling Environment</w:t>
            </w:r>
          </w:p>
        </w:tc>
        <w:tc>
          <w:tcPr>
            <w:tcW w:w="846"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20</w:t>
            </w:r>
          </w:p>
        </w:tc>
        <w:tc>
          <w:tcPr>
            <w:tcW w:w="845"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125</w:t>
            </w:r>
          </w:p>
        </w:tc>
        <w:tc>
          <w:tcPr>
            <w:tcW w:w="564"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145</w:t>
            </w:r>
          </w:p>
        </w:tc>
        <w:tc>
          <w:tcPr>
            <w:tcW w:w="855"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2</w:t>
            </w:r>
          </w:p>
        </w:tc>
      </w:tr>
      <w:tr w:rsidR="00CF1D2B" w:rsidRPr="001A3E66" w:rsidTr="00704A22">
        <w:trPr>
          <w:cnfStyle w:val="000000100000"/>
          <w:trHeight w:val="20"/>
        </w:trPr>
        <w:tc>
          <w:tcPr>
            <w:cnfStyle w:val="001000000000"/>
            <w:tcW w:w="1890" w:type="pct"/>
            <w:noWrap/>
            <w:hideMark/>
          </w:tcPr>
          <w:p w:rsidR="00CF1D2B" w:rsidRPr="001A3E66" w:rsidRDefault="00CF1D2B" w:rsidP="00704A22">
            <w:pPr>
              <w:spacing w:after="0" w:line="276" w:lineRule="auto"/>
              <w:jc w:val="both"/>
              <w:rPr>
                <w:rFonts w:ascii="Times New Roman" w:eastAsia="Times New Roman" w:hAnsi="Times New Roman"/>
                <w:sz w:val="22"/>
                <w:szCs w:val="22"/>
              </w:rPr>
            </w:pPr>
            <w:r w:rsidRPr="001A3E66">
              <w:rPr>
                <w:rFonts w:ascii="Times New Roman" w:eastAsia="Times New Roman" w:hAnsi="Times New Roman"/>
                <w:sz w:val="22"/>
                <w:szCs w:val="22"/>
              </w:rPr>
              <w:t>Rivers</w:t>
            </w:r>
            <w:r>
              <w:rPr>
                <w:rFonts w:ascii="Times New Roman" w:eastAsia="Times New Roman" w:hAnsi="Times New Roman"/>
                <w:sz w:val="22"/>
                <w:szCs w:val="22"/>
              </w:rPr>
              <w:t xml:space="preserve"> and adjoining areas &amp;</w:t>
            </w:r>
            <w:r w:rsidRPr="001A3E66">
              <w:rPr>
                <w:rFonts w:ascii="Times New Roman" w:eastAsia="Times New Roman" w:hAnsi="Times New Roman"/>
                <w:sz w:val="22"/>
                <w:szCs w:val="22"/>
              </w:rPr>
              <w:t xml:space="preserve"> Coastal Protection (including inland water transport) </w:t>
            </w:r>
          </w:p>
        </w:tc>
        <w:tc>
          <w:tcPr>
            <w:tcW w:w="846"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255</w:t>
            </w:r>
          </w:p>
        </w:tc>
        <w:tc>
          <w:tcPr>
            <w:tcW w:w="845"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2291</w:t>
            </w:r>
          </w:p>
        </w:tc>
        <w:tc>
          <w:tcPr>
            <w:tcW w:w="564"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2546</w:t>
            </w:r>
          </w:p>
        </w:tc>
        <w:tc>
          <w:tcPr>
            <w:tcW w:w="855"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35</w:t>
            </w:r>
          </w:p>
        </w:tc>
      </w:tr>
      <w:tr w:rsidR="00CF1D2B" w:rsidRPr="001A3E66" w:rsidTr="00704A22">
        <w:trPr>
          <w:trHeight w:val="20"/>
        </w:trPr>
        <w:tc>
          <w:tcPr>
            <w:cnfStyle w:val="001000000000"/>
            <w:tcW w:w="1890" w:type="pct"/>
            <w:noWrap/>
            <w:hideMark/>
          </w:tcPr>
          <w:p w:rsidR="00CF1D2B" w:rsidRPr="001A3E66" w:rsidRDefault="00CF1D2B" w:rsidP="00704A22">
            <w:pPr>
              <w:spacing w:after="0" w:line="276" w:lineRule="auto"/>
              <w:jc w:val="both"/>
              <w:rPr>
                <w:rFonts w:ascii="Times New Roman" w:eastAsia="Times New Roman" w:hAnsi="Times New Roman"/>
                <w:sz w:val="22"/>
                <w:szCs w:val="22"/>
              </w:rPr>
            </w:pPr>
            <w:r w:rsidRPr="001A3E66">
              <w:rPr>
                <w:rFonts w:ascii="Times New Roman" w:eastAsia="Times New Roman" w:hAnsi="Times New Roman"/>
                <w:sz w:val="22"/>
                <w:szCs w:val="22"/>
              </w:rPr>
              <w:t>Towns and Rural Areas</w:t>
            </w:r>
          </w:p>
        </w:tc>
        <w:tc>
          <w:tcPr>
            <w:tcW w:w="846"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159</w:t>
            </w:r>
          </w:p>
        </w:tc>
        <w:tc>
          <w:tcPr>
            <w:tcW w:w="845"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1368</w:t>
            </w:r>
          </w:p>
        </w:tc>
        <w:tc>
          <w:tcPr>
            <w:tcW w:w="564"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1527</w:t>
            </w:r>
          </w:p>
        </w:tc>
        <w:tc>
          <w:tcPr>
            <w:tcW w:w="855"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21</w:t>
            </w:r>
          </w:p>
        </w:tc>
      </w:tr>
      <w:tr w:rsidR="00CF1D2B" w:rsidRPr="001A3E66" w:rsidTr="00704A22">
        <w:trPr>
          <w:cnfStyle w:val="000000100000"/>
          <w:trHeight w:val="20"/>
        </w:trPr>
        <w:tc>
          <w:tcPr>
            <w:cnfStyle w:val="001000000000"/>
            <w:tcW w:w="1890" w:type="pct"/>
            <w:noWrap/>
            <w:hideMark/>
          </w:tcPr>
          <w:p w:rsidR="00CF1D2B" w:rsidRPr="001A3E66" w:rsidRDefault="00CF1D2B" w:rsidP="00704A22">
            <w:pPr>
              <w:spacing w:after="0" w:line="276" w:lineRule="auto"/>
              <w:jc w:val="both"/>
              <w:rPr>
                <w:rFonts w:ascii="Times New Roman" w:eastAsia="Times New Roman" w:hAnsi="Times New Roman"/>
                <w:sz w:val="22"/>
                <w:szCs w:val="22"/>
              </w:rPr>
            </w:pPr>
            <w:r w:rsidRPr="001A3E66">
              <w:rPr>
                <w:rFonts w:ascii="Times New Roman" w:eastAsia="Times New Roman" w:hAnsi="Times New Roman"/>
                <w:sz w:val="22"/>
                <w:szCs w:val="22"/>
              </w:rPr>
              <w:t xml:space="preserve">Major Cities (water supply, </w:t>
            </w:r>
            <w:r w:rsidRPr="001A3E66">
              <w:rPr>
                <w:rFonts w:ascii="Times New Roman" w:eastAsia="Times New Roman" w:hAnsi="Times New Roman"/>
                <w:sz w:val="22"/>
                <w:szCs w:val="22"/>
              </w:rPr>
              <w:lastRenderedPageBreak/>
              <w:t>sanitation, flood control and drainage)</w:t>
            </w:r>
          </w:p>
        </w:tc>
        <w:tc>
          <w:tcPr>
            <w:tcW w:w="846"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lastRenderedPageBreak/>
              <w:t>190</w:t>
            </w:r>
          </w:p>
        </w:tc>
        <w:tc>
          <w:tcPr>
            <w:tcW w:w="845"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1628</w:t>
            </w:r>
          </w:p>
        </w:tc>
        <w:tc>
          <w:tcPr>
            <w:tcW w:w="564"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1818</w:t>
            </w:r>
          </w:p>
        </w:tc>
        <w:tc>
          <w:tcPr>
            <w:tcW w:w="855"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25</w:t>
            </w:r>
          </w:p>
        </w:tc>
      </w:tr>
      <w:tr w:rsidR="00CF1D2B" w:rsidRPr="001A3E66" w:rsidTr="00704A22">
        <w:trPr>
          <w:trHeight w:val="20"/>
        </w:trPr>
        <w:tc>
          <w:tcPr>
            <w:cnfStyle w:val="001000000000"/>
            <w:tcW w:w="1890" w:type="pct"/>
            <w:noWrap/>
            <w:hideMark/>
          </w:tcPr>
          <w:p w:rsidR="00CF1D2B" w:rsidRPr="001A3E66" w:rsidRDefault="00CF1D2B" w:rsidP="00704A22">
            <w:pPr>
              <w:spacing w:after="0" w:line="276" w:lineRule="auto"/>
              <w:jc w:val="both"/>
              <w:rPr>
                <w:rFonts w:ascii="Times New Roman" w:eastAsia="Times New Roman" w:hAnsi="Times New Roman"/>
                <w:sz w:val="22"/>
                <w:szCs w:val="22"/>
              </w:rPr>
            </w:pPr>
            <w:r w:rsidRPr="001A3E66">
              <w:rPr>
                <w:rFonts w:ascii="Times New Roman" w:eastAsia="Times New Roman" w:hAnsi="Times New Roman"/>
                <w:sz w:val="22"/>
                <w:szCs w:val="22"/>
              </w:rPr>
              <w:lastRenderedPageBreak/>
              <w:t>Disaster Management</w:t>
            </w:r>
          </w:p>
        </w:tc>
        <w:tc>
          <w:tcPr>
            <w:tcW w:w="846"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23</w:t>
            </w:r>
          </w:p>
        </w:tc>
        <w:tc>
          <w:tcPr>
            <w:tcW w:w="845"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195</w:t>
            </w:r>
          </w:p>
        </w:tc>
        <w:tc>
          <w:tcPr>
            <w:tcW w:w="564"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218</w:t>
            </w:r>
          </w:p>
        </w:tc>
        <w:tc>
          <w:tcPr>
            <w:tcW w:w="855"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3</w:t>
            </w:r>
          </w:p>
        </w:tc>
      </w:tr>
      <w:tr w:rsidR="00CF1D2B" w:rsidRPr="001A3E66" w:rsidTr="00704A22">
        <w:trPr>
          <w:cnfStyle w:val="000000100000"/>
          <w:trHeight w:val="20"/>
        </w:trPr>
        <w:tc>
          <w:tcPr>
            <w:cnfStyle w:val="001000000000"/>
            <w:tcW w:w="1890" w:type="pct"/>
            <w:noWrap/>
            <w:hideMark/>
          </w:tcPr>
          <w:p w:rsidR="00CF1D2B" w:rsidRPr="001A3E66" w:rsidRDefault="00CF1D2B" w:rsidP="00704A22">
            <w:pPr>
              <w:spacing w:after="0" w:line="276" w:lineRule="auto"/>
              <w:jc w:val="both"/>
              <w:rPr>
                <w:rFonts w:ascii="Times New Roman" w:eastAsia="Times New Roman" w:hAnsi="Times New Roman"/>
                <w:sz w:val="22"/>
                <w:szCs w:val="22"/>
              </w:rPr>
            </w:pPr>
            <w:r w:rsidRPr="001A3E66">
              <w:rPr>
                <w:rFonts w:ascii="Times New Roman" w:eastAsia="Times New Roman" w:hAnsi="Times New Roman"/>
                <w:sz w:val="22"/>
                <w:szCs w:val="22"/>
              </w:rPr>
              <w:t>Agriculture Water Management</w:t>
            </w:r>
          </w:p>
        </w:tc>
        <w:tc>
          <w:tcPr>
            <w:tcW w:w="846"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40</w:t>
            </w:r>
          </w:p>
        </w:tc>
        <w:tc>
          <w:tcPr>
            <w:tcW w:w="845"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251</w:t>
            </w:r>
          </w:p>
        </w:tc>
        <w:tc>
          <w:tcPr>
            <w:tcW w:w="564"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291</w:t>
            </w:r>
          </w:p>
        </w:tc>
        <w:tc>
          <w:tcPr>
            <w:tcW w:w="855" w:type="pct"/>
            <w:noWrap/>
            <w:hideMark/>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4</w:t>
            </w:r>
          </w:p>
        </w:tc>
      </w:tr>
      <w:tr w:rsidR="00CF1D2B" w:rsidRPr="001A3E66" w:rsidTr="00704A22">
        <w:trPr>
          <w:trHeight w:val="20"/>
        </w:trPr>
        <w:tc>
          <w:tcPr>
            <w:cnfStyle w:val="001000000000"/>
            <w:tcW w:w="1890" w:type="pct"/>
            <w:noWrap/>
            <w:hideMark/>
          </w:tcPr>
          <w:p w:rsidR="00CF1D2B" w:rsidRPr="001A3E66" w:rsidRDefault="00CF1D2B" w:rsidP="00704A22">
            <w:pPr>
              <w:spacing w:after="0" w:line="276" w:lineRule="auto"/>
              <w:jc w:val="both"/>
              <w:rPr>
                <w:rFonts w:ascii="Times New Roman" w:eastAsia="Times New Roman" w:hAnsi="Times New Roman"/>
                <w:sz w:val="22"/>
                <w:szCs w:val="22"/>
              </w:rPr>
            </w:pPr>
            <w:r w:rsidRPr="001A3E66">
              <w:rPr>
                <w:rFonts w:ascii="Times New Roman" w:eastAsia="Times New Roman" w:hAnsi="Times New Roman"/>
                <w:sz w:val="22"/>
                <w:szCs w:val="22"/>
              </w:rPr>
              <w:t>Environment and Ecology</w:t>
            </w:r>
          </w:p>
        </w:tc>
        <w:tc>
          <w:tcPr>
            <w:tcW w:w="846"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35</w:t>
            </w:r>
          </w:p>
        </w:tc>
        <w:tc>
          <w:tcPr>
            <w:tcW w:w="845"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329</w:t>
            </w:r>
          </w:p>
        </w:tc>
        <w:tc>
          <w:tcPr>
            <w:tcW w:w="564"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364</w:t>
            </w:r>
          </w:p>
        </w:tc>
        <w:tc>
          <w:tcPr>
            <w:tcW w:w="855" w:type="pct"/>
            <w:noWrap/>
            <w:hideMark/>
          </w:tcPr>
          <w:p w:rsidR="00CF1D2B" w:rsidRPr="001A3E66" w:rsidRDefault="00CF1D2B" w:rsidP="00704A22">
            <w:pPr>
              <w:spacing w:after="0" w:line="276" w:lineRule="auto"/>
              <w:jc w:val="right"/>
              <w:cnfStyle w:val="000000000000"/>
              <w:rPr>
                <w:rFonts w:ascii="Times New Roman" w:eastAsia="Times New Roman" w:hAnsi="Times New Roman"/>
                <w:sz w:val="22"/>
                <w:szCs w:val="22"/>
              </w:rPr>
            </w:pPr>
            <w:r w:rsidRPr="001A3E66">
              <w:rPr>
                <w:rFonts w:ascii="Times New Roman" w:eastAsia="Times New Roman" w:hAnsi="Times New Roman"/>
                <w:sz w:val="22"/>
                <w:szCs w:val="22"/>
              </w:rPr>
              <w:t>5</w:t>
            </w:r>
          </w:p>
        </w:tc>
      </w:tr>
      <w:tr w:rsidR="00CF1D2B" w:rsidRPr="001A3E66" w:rsidTr="00704A22">
        <w:trPr>
          <w:cnfStyle w:val="000000100000"/>
          <w:trHeight w:val="20"/>
        </w:trPr>
        <w:tc>
          <w:tcPr>
            <w:cnfStyle w:val="001000000000"/>
            <w:tcW w:w="1890" w:type="pct"/>
            <w:noWrap/>
          </w:tcPr>
          <w:p w:rsidR="00CF1D2B" w:rsidRPr="001A3E66" w:rsidRDefault="00CF1D2B" w:rsidP="00704A22">
            <w:pPr>
              <w:spacing w:after="0" w:line="276" w:lineRule="auto"/>
              <w:jc w:val="both"/>
              <w:rPr>
                <w:rFonts w:ascii="Times New Roman" w:eastAsia="Times New Roman" w:hAnsi="Times New Roman"/>
                <w:sz w:val="22"/>
                <w:szCs w:val="22"/>
              </w:rPr>
            </w:pPr>
            <w:r w:rsidRPr="001A3E66">
              <w:rPr>
                <w:rFonts w:ascii="Times New Roman" w:eastAsia="Times New Roman" w:hAnsi="Times New Roman"/>
                <w:sz w:val="22"/>
                <w:szCs w:val="22"/>
              </w:rPr>
              <w:t>Total</w:t>
            </w:r>
          </w:p>
        </w:tc>
        <w:tc>
          <w:tcPr>
            <w:tcW w:w="846" w:type="pct"/>
            <w:noWrap/>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764</w:t>
            </w:r>
          </w:p>
        </w:tc>
        <w:tc>
          <w:tcPr>
            <w:tcW w:w="845" w:type="pct"/>
            <w:noWrap/>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6509</w:t>
            </w:r>
          </w:p>
        </w:tc>
        <w:tc>
          <w:tcPr>
            <w:tcW w:w="564" w:type="pct"/>
            <w:noWrap/>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7273</w:t>
            </w:r>
          </w:p>
        </w:tc>
        <w:tc>
          <w:tcPr>
            <w:tcW w:w="855" w:type="pct"/>
            <w:noWrap/>
          </w:tcPr>
          <w:p w:rsidR="00CF1D2B" w:rsidRPr="001A3E66" w:rsidRDefault="00CF1D2B" w:rsidP="00704A22">
            <w:pPr>
              <w:spacing w:after="0" w:line="276" w:lineRule="auto"/>
              <w:jc w:val="right"/>
              <w:cnfStyle w:val="000000100000"/>
              <w:rPr>
                <w:rFonts w:ascii="Times New Roman" w:eastAsia="Times New Roman" w:hAnsi="Times New Roman"/>
                <w:sz w:val="22"/>
                <w:szCs w:val="22"/>
              </w:rPr>
            </w:pPr>
            <w:r w:rsidRPr="001A3E66">
              <w:rPr>
                <w:rFonts w:ascii="Times New Roman" w:eastAsia="Times New Roman" w:hAnsi="Times New Roman"/>
                <w:sz w:val="22"/>
                <w:szCs w:val="22"/>
              </w:rPr>
              <w:t>100</w:t>
            </w:r>
          </w:p>
        </w:tc>
      </w:tr>
    </w:tbl>
    <w:p w:rsidR="00CF1D2B" w:rsidRDefault="00CF1D2B" w:rsidP="00CF1D2B">
      <w:pPr>
        <w:spacing w:before="120" w:line="276" w:lineRule="auto"/>
        <w:jc w:val="both"/>
        <w:rPr>
          <w:rFonts w:eastAsia="Times New Roman"/>
          <w:b/>
          <w:i/>
          <w:sz w:val="20"/>
          <w:szCs w:val="20"/>
        </w:rPr>
      </w:pPr>
      <w:r>
        <w:rPr>
          <w:rFonts w:eastAsia="Times New Roman"/>
          <w:b/>
          <w:i/>
          <w:sz w:val="20"/>
          <w:szCs w:val="20"/>
        </w:rPr>
        <w:t>Source:  BDP estimates based on National Water Management Plan 2001/2004</w:t>
      </w:r>
    </w:p>
    <w:p w:rsidR="00CF1D2B" w:rsidRDefault="00CF1D2B" w:rsidP="00CF1D2B">
      <w:pPr>
        <w:spacing w:before="120" w:line="276" w:lineRule="auto"/>
        <w:jc w:val="both"/>
        <w:rPr>
          <w:rFonts w:eastAsia="Times New Roman"/>
          <w:szCs w:val="20"/>
        </w:rPr>
      </w:pPr>
      <w:r w:rsidRPr="00034DA4">
        <w:rPr>
          <w:rFonts w:eastAsia="Times New Roman"/>
          <w:szCs w:val="20"/>
        </w:rPr>
        <w:t xml:space="preserve">Much </w:t>
      </w:r>
      <w:r>
        <w:rPr>
          <w:rFonts w:eastAsia="Times New Roman"/>
          <w:szCs w:val="20"/>
        </w:rPr>
        <w:t xml:space="preserve">of the </w:t>
      </w:r>
      <w:r>
        <w:t>public</w:t>
      </w:r>
      <w:r>
        <w:rPr>
          <w:rFonts w:eastAsia="Times New Roman"/>
          <w:szCs w:val="20"/>
        </w:rPr>
        <w:t xml:space="preserve"> funding of BDP2100 will go to flood protection, river erosion control, river management including river training and navigability, urban and rural water supply and waste management, and urban flood control and drainage.  These are highly capital intensive investments.  The priority accorded to flood control, river erosion, river management including training and navigability is obvious.  These are amongst the highest priority investments in today’s Bangladesh and can no longer be neglected in order to avoid the downside risks posed by natural hazards and climate change.  Secondly, the back-log of demand for urban water, sanitation, waste management and drainage in major cities coupled with rapidly growing concentration of population and economic density in these areas suggest that this category will absorb at least a quarter of all delta investments. Thirdly, the lack of water and sanitation services in small towns and rural areas suggest that the need to achieve the government’s targets for safe water supply and sanitation for these areas will call for massive investments in these services. This category may absorb as much as 20% of total BDP2100 investment upto FY2031. </w:t>
      </w:r>
      <w:r w:rsidRPr="008B7627">
        <w:t xml:space="preserve"> </w:t>
      </w:r>
      <w:r>
        <w:t>Public</w:t>
      </w:r>
      <w:r>
        <w:rPr>
          <w:rFonts w:eastAsia="Times New Roman"/>
          <w:szCs w:val="20"/>
        </w:rPr>
        <w:t xml:space="preserve"> investment alone will not be enough.  This is new area, in addition to agriculture water management where the scope for private participation is large.   </w:t>
      </w:r>
    </w:p>
    <w:p w:rsidR="00CF1D2B" w:rsidRDefault="00CF1D2B" w:rsidP="00CF1D2B">
      <w:pPr>
        <w:rPr>
          <w:rFonts w:eastAsia="Times New Roman"/>
          <w:szCs w:val="20"/>
        </w:rPr>
      </w:pPr>
      <w:r>
        <w:rPr>
          <w:rFonts w:eastAsia="Times New Roman"/>
          <w:szCs w:val="20"/>
        </w:rPr>
        <w:t xml:space="preserve">Based on the analysis of this Chapter, the top 15 BDP2100 projects are listed in Table 11.9. </w:t>
      </w:r>
    </w:p>
    <w:p w:rsidR="00CF1D2B" w:rsidRPr="00BA2D74" w:rsidRDefault="00CF1D2B" w:rsidP="00CF1D2B">
      <w:pPr>
        <w:pStyle w:val="Heading4"/>
      </w:pPr>
      <w:r w:rsidRPr="00BA2D74">
        <w:t>Table</w:t>
      </w:r>
      <w:r>
        <w:t xml:space="preserve"> 11.9</w:t>
      </w:r>
      <w:r w:rsidRPr="00BA2D74">
        <w:t xml:space="preserve">: </w:t>
      </w:r>
      <w:r>
        <w:t>Delta Plan Top 15 Investment Projects</w:t>
      </w:r>
    </w:p>
    <w:tbl>
      <w:tblPr>
        <w:tblStyle w:val="LightShading10"/>
        <w:tblW w:w="5000" w:type="pct"/>
        <w:tblBorders>
          <w:left w:val="single" w:sz="8" w:space="0" w:color="000000"/>
          <w:right w:val="single" w:sz="8" w:space="0" w:color="000000"/>
          <w:insideH w:val="single" w:sz="6" w:space="0" w:color="000000"/>
          <w:insideV w:val="single" w:sz="6" w:space="0" w:color="000000"/>
        </w:tblBorders>
        <w:tblLayout w:type="fixed"/>
        <w:tblLook w:val="04A0"/>
      </w:tblPr>
      <w:tblGrid>
        <w:gridCol w:w="1458"/>
        <w:gridCol w:w="2880"/>
        <w:gridCol w:w="5238"/>
      </w:tblGrid>
      <w:tr w:rsidR="00CF1D2B" w:rsidRPr="001A3E66" w:rsidTr="00704A22">
        <w:trPr>
          <w:cnfStyle w:val="100000000000"/>
          <w:trHeight w:hRule="exact" w:val="317"/>
        </w:trPr>
        <w:tc>
          <w:tcPr>
            <w:cnfStyle w:val="001000000000"/>
            <w:tcW w:w="761" w:type="pct"/>
            <w:tcBorders>
              <w:top w:val="none" w:sz="0" w:space="0" w:color="auto"/>
              <w:left w:val="none" w:sz="0" w:space="0" w:color="auto"/>
              <w:bottom w:val="none" w:sz="0" w:space="0" w:color="auto"/>
              <w:right w:val="none" w:sz="0" w:space="0" w:color="auto"/>
            </w:tcBorders>
          </w:tcPr>
          <w:p w:rsidR="00CF1D2B" w:rsidRPr="004D7FB5" w:rsidRDefault="00CF1D2B" w:rsidP="00704A22">
            <w:pPr>
              <w:jc w:val="center"/>
              <w:rPr>
                <w:rFonts w:ascii="Times New Roman" w:hAnsi="Times New Roman"/>
                <w:sz w:val="22"/>
              </w:rPr>
            </w:pPr>
            <w:r w:rsidRPr="004D7FB5">
              <w:rPr>
                <w:rFonts w:ascii="Times New Roman" w:hAnsi="Times New Roman"/>
                <w:sz w:val="22"/>
              </w:rPr>
              <w:t>Hotspot</w:t>
            </w:r>
          </w:p>
        </w:tc>
        <w:tc>
          <w:tcPr>
            <w:tcW w:w="1504" w:type="pct"/>
            <w:tcBorders>
              <w:top w:val="none" w:sz="0" w:space="0" w:color="auto"/>
              <w:left w:val="none" w:sz="0" w:space="0" w:color="auto"/>
              <w:bottom w:val="none" w:sz="0" w:space="0" w:color="auto"/>
              <w:right w:val="none" w:sz="0" w:space="0" w:color="auto"/>
            </w:tcBorders>
          </w:tcPr>
          <w:p w:rsidR="00CF1D2B" w:rsidRPr="004D7FB5" w:rsidRDefault="00CF1D2B" w:rsidP="00704A22">
            <w:pPr>
              <w:jc w:val="center"/>
              <w:cnfStyle w:val="100000000000"/>
              <w:rPr>
                <w:rFonts w:ascii="Times New Roman" w:hAnsi="Times New Roman"/>
                <w:sz w:val="22"/>
              </w:rPr>
            </w:pPr>
            <w:r w:rsidRPr="004D7FB5">
              <w:rPr>
                <w:rFonts w:ascii="Times New Roman" w:hAnsi="Times New Roman"/>
                <w:sz w:val="22"/>
              </w:rPr>
              <w:t>Investment Name</w:t>
            </w:r>
          </w:p>
        </w:tc>
        <w:tc>
          <w:tcPr>
            <w:tcW w:w="2735" w:type="pct"/>
            <w:tcBorders>
              <w:top w:val="none" w:sz="0" w:space="0" w:color="auto"/>
              <w:left w:val="none" w:sz="0" w:space="0" w:color="auto"/>
              <w:bottom w:val="none" w:sz="0" w:space="0" w:color="auto"/>
              <w:right w:val="none" w:sz="0" w:space="0" w:color="auto"/>
            </w:tcBorders>
          </w:tcPr>
          <w:p w:rsidR="00CF1D2B" w:rsidRPr="004D7FB5" w:rsidRDefault="00CF1D2B" w:rsidP="00704A22">
            <w:pPr>
              <w:jc w:val="center"/>
              <w:cnfStyle w:val="100000000000"/>
              <w:rPr>
                <w:rFonts w:ascii="Times New Roman" w:hAnsi="Times New Roman"/>
                <w:sz w:val="22"/>
              </w:rPr>
            </w:pPr>
            <w:r w:rsidRPr="004D7FB5">
              <w:rPr>
                <w:rFonts w:ascii="Times New Roman" w:hAnsi="Times New Roman"/>
                <w:sz w:val="22"/>
              </w:rPr>
              <w:t>Problems Addressed</w:t>
            </w:r>
          </w:p>
        </w:tc>
      </w:tr>
      <w:tr w:rsidR="00CF1D2B" w:rsidRPr="001A3E66" w:rsidTr="00704A22">
        <w:trPr>
          <w:cnfStyle w:val="000000100000"/>
        </w:trPr>
        <w:tc>
          <w:tcPr>
            <w:cnfStyle w:val="001000000000"/>
            <w:tcW w:w="761" w:type="pct"/>
            <w:tcBorders>
              <w:left w:val="none" w:sz="0" w:space="0" w:color="auto"/>
              <w:right w:val="none" w:sz="0" w:space="0" w:color="auto"/>
            </w:tcBorders>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Barind Area</w:t>
            </w:r>
          </w:p>
        </w:tc>
        <w:tc>
          <w:tcPr>
            <w:tcW w:w="1504"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Ganges Barrage Project</w:t>
            </w:r>
          </w:p>
        </w:tc>
        <w:tc>
          <w:tcPr>
            <w:tcW w:w="2735"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 xml:space="preserve">Flood </w:t>
            </w:r>
            <w:r>
              <w:rPr>
                <w:rFonts w:ascii="Times New Roman" w:hAnsi="Times New Roman"/>
              </w:rPr>
              <w:t>management</w:t>
            </w:r>
            <w:r w:rsidRPr="004D7FB5">
              <w:rPr>
                <w:rFonts w:ascii="Times New Roman" w:hAnsi="Times New Roman"/>
              </w:rPr>
              <w:t xml:space="preserve"> in the monsoon season; surface water shortage in the dry period</w:t>
            </w:r>
          </w:p>
        </w:tc>
      </w:tr>
      <w:tr w:rsidR="00CF1D2B" w:rsidRPr="001A3E66" w:rsidTr="00704A22">
        <w:tc>
          <w:tcPr>
            <w:cnfStyle w:val="001000000000"/>
            <w:tcW w:w="761" w:type="pct"/>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Barind Area</w:t>
            </w:r>
          </w:p>
        </w:tc>
        <w:tc>
          <w:tcPr>
            <w:tcW w:w="1504"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Restoration of the Chalan Beel</w:t>
            </w:r>
          </w:p>
        </w:tc>
        <w:tc>
          <w:tcPr>
            <w:tcW w:w="2735"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Wetland preservation; water reservoir for dry period</w:t>
            </w:r>
          </w:p>
        </w:tc>
      </w:tr>
      <w:tr w:rsidR="00CF1D2B" w:rsidRPr="001A3E66" w:rsidTr="00704A22">
        <w:trPr>
          <w:cnfStyle w:val="000000100000"/>
        </w:trPr>
        <w:tc>
          <w:tcPr>
            <w:cnfStyle w:val="001000000000"/>
            <w:tcW w:w="761" w:type="pct"/>
            <w:tcBorders>
              <w:left w:val="none" w:sz="0" w:space="0" w:color="auto"/>
              <w:right w:val="none" w:sz="0" w:space="0" w:color="auto"/>
            </w:tcBorders>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River and Estuary</w:t>
            </w:r>
          </w:p>
        </w:tc>
        <w:tc>
          <w:tcPr>
            <w:tcW w:w="1504"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Brahmaputra Barrage Project</w:t>
            </w:r>
          </w:p>
        </w:tc>
        <w:tc>
          <w:tcPr>
            <w:tcW w:w="2735"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 xml:space="preserve">Flood </w:t>
            </w:r>
            <w:r>
              <w:rPr>
                <w:rFonts w:ascii="Times New Roman" w:hAnsi="Times New Roman"/>
              </w:rPr>
              <w:t>Managment</w:t>
            </w:r>
            <w:r w:rsidRPr="004D7FB5">
              <w:rPr>
                <w:rFonts w:ascii="Times New Roman" w:hAnsi="Times New Roman"/>
              </w:rPr>
              <w:t xml:space="preserve">; river erosion; restoration of the old Brahmaputra </w:t>
            </w:r>
            <w:r>
              <w:rPr>
                <w:rFonts w:ascii="Times New Roman" w:hAnsi="Times New Roman"/>
              </w:rPr>
              <w:t>R</w:t>
            </w:r>
            <w:r w:rsidRPr="004D7FB5">
              <w:rPr>
                <w:rFonts w:ascii="Times New Roman" w:hAnsi="Times New Roman"/>
              </w:rPr>
              <w:t>iver</w:t>
            </w:r>
          </w:p>
        </w:tc>
      </w:tr>
      <w:tr w:rsidR="00CF1D2B" w:rsidRPr="001A3E66" w:rsidTr="00704A22">
        <w:tc>
          <w:tcPr>
            <w:cnfStyle w:val="001000000000"/>
            <w:tcW w:w="761" w:type="pct"/>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River and Estuary/</w:t>
            </w:r>
            <w:r>
              <w:rPr>
                <w:rFonts w:ascii="Times New Roman" w:hAnsi="Times New Roman"/>
              </w:rPr>
              <w:t xml:space="preserve"> </w:t>
            </w:r>
            <w:r w:rsidRPr="004D7FB5">
              <w:rPr>
                <w:rFonts w:ascii="Times New Roman" w:hAnsi="Times New Roman"/>
              </w:rPr>
              <w:t>Coastal</w:t>
            </w:r>
          </w:p>
        </w:tc>
        <w:tc>
          <w:tcPr>
            <w:tcW w:w="1504"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Char Protection and Development Project (s)</w:t>
            </w:r>
          </w:p>
        </w:tc>
        <w:tc>
          <w:tcPr>
            <w:tcW w:w="2735"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Protection and development opportunities to the poorest of the poor population living in the char areas against flood inundation (e.g. Kurigram, Gaibandha, Bhola, Patuakhali, Laxmipur)</w:t>
            </w:r>
          </w:p>
        </w:tc>
      </w:tr>
      <w:tr w:rsidR="00CF1D2B" w:rsidRPr="001A3E66" w:rsidTr="00704A22">
        <w:trPr>
          <w:cnfStyle w:val="000000100000"/>
        </w:trPr>
        <w:tc>
          <w:tcPr>
            <w:cnfStyle w:val="001000000000"/>
            <w:tcW w:w="761" w:type="pct"/>
            <w:tcBorders>
              <w:left w:val="none" w:sz="0" w:space="0" w:color="auto"/>
              <w:right w:val="none" w:sz="0" w:space="0" w:color="auto"/>
            </w:tcBorders>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Coastal Belt</w:t>
            </w:r>
          </w:p>
        </w:tc>
        <w:tc>
          <w:tcPr>
            <w:tcW w:w="1504"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Coastal Embankment Project (s)</w:t>
            </w:r>
          </w:p>
        </w:tc>
        <w:tc>
          <w:tcPr>
            <w:tcW w:w="2735"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Redesigning of all coastal polders and improved O&amp;M</w:t>
            </w:r>
          </w:p>
        </w:tc>
      </w:tr>
      <w:tr w:rsidR="00CF1D2B" w:rsidRPr="001A3E66" w:rsidTr="00704A22">
        <w:tc>
          <w:tcPr>
            <w:cnfStyle w:val="001000000000"/>
            <w:tcW w:w="761" w:type="pct"/>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Coastal Belt</w:t>
            </w:r>
          </w:p>
        </w:tc>
        <w:tc>
          <w:tcPr>
            <w:tcW w:w="1504"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Restoration of the Gorai River Project</w:t>
            </w:r>
          </w:p>
        </w:tc>
        <w:tc>
          <w:tcPr>
            <w:tcW w:w="2735"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Supply fresh water to the salinity prone areas of Khulna, Jessore, Bagerhat and Narail. Protect the Sundarbans</w:t>
            </w:r>
          </w:p>
        </w:tc>
      </w:tr>
      <w:tr w:rsidR="00CF1D2B" w:rsidRPr="001A3E66" w:rsidTr="00704A22">
        <w:trPr>
          <w:cnfStyle w:val="000000100000"/>
        </w:trPr>
        <w:tc>
          <w:tcPr>
            <w:cnfStyle w:val="001000000000"/>
            <w:tcW w:w="761" w:type="pct"/>
            <w:tcBorders>
              <w:left w:val="none" w:sz="0" w:space="0" w:color="auto"/>
              <w:right w:val="none" w:sz="0" w:space="0" w:color="auto"/>
            </w:tcBorders>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Haor Area</w:t>
            </w:r>
          </w:p>
        </w:tc>
        <w:tc>
          <w:tcPr>
            <w:tcW w:w="1504"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Haor Flood Management Project (s)</w:t>
            </w:r>
          </w:p>
        </w:tc>
        <w:tc>
          <w:tcPr>
            <w:tcW w:w="2735"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Provide pre and post monsoon flood protection to Haor areas.</w:t>
            </w:r>
          </w:p>
        </w:tc>
      </w:tr>
      <w:tr w:rsidR="00CF1D2B" w:rsidRPr="001A3E66" w:rsidTr="00704A22">
        <w:trPr>
          <w:trHeight w:hRule="exact" w:val="735"/>
        </w:trPr>
        <w:tc>
          <w:tcPr>
            <w:cnfStyle w:val="001000000000"/>
            <w:tcW w:w="761" w:type="pct"/>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Urban Areas</w:t>
            </w:r>
          </w:p>
        </w:tc>
        <w:tc>
          <w:tcPr>
            <w:tcW w:w="1504"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 xml:space="preserve">Dhaka-Narayanganj-Demra (DND) Flood </w:t>
            </w:r>
            <w:r>
              <w:rPr>
                <w:rFonts w:ascii="Times New Roman" w:hAnsi="Times New Roman"/>
              </w:rPr>
              <w:t>Managment</w:t>
            </w:r>
            <w:r w:rsidRPr="004D7FB5">
              <w:rPr>
                <w:rFonts w:ascii="Times New Roman" w:hAnsi="Times New Roman"/>
              </w:rPr>
              <w:t xml:space="preserve"> and Drainage Project</w:t>
            </w:r>
          </w:p>
          <w:p w:rsidR="00CF1D2B" w:rsidRPr="004D7FB5" w:rsidRDefault="00CF1D2B" w:rsidP="00704A22">
            <w:pPr>
              <w:spacing w:after="0" w:line="240" w:lineRule="auto"/>
              <w:jc w:val="both"/>
              <w:cnfStyle w:val="000000000000"/>
              <w:rPr>
                <w:rFonts w:ascii="Times New Roman" w:hAnsi="Times New Roman"/>
              </w:rPr>
            </w:pPr>
          </w:p>
        </w:tc>
        <w:tc>
          <w:tcPr>
            <w:tcW w:w="2735"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 xml:space="preserve">Flood </w:t>
            </w:r>
            <w:r>
              <w:rPr>
                <w:rFonts w:ascii="Times New Roman" w:hAnsi="Times New Roman"/>
              </w:rPr>
              <w:t>Managment</w:t>
            </w:r>
            <w:r w:rsidRPr="004D7FB5">
              <w:rPr>
                <w:rFonts w:ascii="Times New Roman" w:hAnsi="Times New Roman"/>
              </w:rPr>
              <w:t xml:space="preserve"> and drainage for a high economic density area</w:t>
            </w:r>
          </w:p>
        </w:tc>
      </w:tr>
      <w:tr w:rsidR="00CF1D2B" w:rsidRPr="001A3E66" w:rsidTr="00704A22">
        <w:trPr>
          <w:cnfStyle w:val="000000100000"/>
          <w:trHeight w:val="440"/>
        </w:trPr>
        <w:tc>
          <w:tcPr>
            <w:cnfStyle w:val="001000000000"/>
            <w:tcW w:w="761" w:type="pct"/>
            <w:tcBorders>
              <w:left w:val="none" w:sz="0" w:space="0" w:color="auto"/>
              <w:right w:val="none" w:sz="0" w:space="0" w:color="auto"/>
            </w:tcBorders>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lastRenderedPageBreak/>
              <w:t>Urban Areas</w:t>
            </w:r>
          </w:p>
        </w:tc>
        <w:tc>
          <w:tcPr>
            <w:tcW w:w="1504"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Improved Water Supply and Drainage Project (s)</w:t>
            </w:r>
          </w:p>
        </w:tc>
        <w:tc>
          <w:tcPr>
            <w:tcW w:w="2735"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All WASAs and City Corporations</w:t>
            </w:r>
          </w:p>
        </w:tc>
      </w:tr>
      <w:tr w:rsidR="00CF1D2B" w:rsidRPr="001A3E66" w:rsidTr="00704A22">
        <w:trPr>
          <w:trHeight w:val="1152"/>
        </w:trPr>
        <w:tc>
          <w:tcPr>
            <w:cnfStyle w:val="001000000000"/>
            <w:tcW w:w="761" w:type="pct"/>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 xml:space="preserve">Chittagong City and </w:t>
            </w:r>
            <w:r>
              <w:rPr>
                <w:rFonts w:ascii="Times New Roman" w:hAnsi="Times New Roman"/>
              </w:rPr>
              <w:t>Chittagong Hill Tracts (</w:t>
            </w:r>
            <w:r w:rsidRPr="004D7FB5">
              <w:rPr>
                <w:rFonts w:ascii="Times New Roman" w:hAnsi="Times New Roman"/>
              </w:rPr>
              <w:t>CHT</w:t>
            </w:r>
            <w:r>
              <w:rPr>
                <w:rFonts w:ascii="Times New Roman" w:hAnsi="Times New Roman"/>
              </w:rPr>
              <w:t>)</w:t>
            </w:r>
          </w:p>
        </w:tc>
        <w:tc>
          <w:tcPr>
            <w:tcW w:w="1504"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 xml:space="preserve">Chittagong City and CHT Flood </w:t>
            </w:r>
            <w:r>
              <w:rPr>
                <w:rFonts w:ascii="Times New Roman" w:hAnsi="Times New Roman"/>
              </w:rPr>
              <w:t>Managment</w:t>
            </w:r>
            <w:r w:rsidRPr="004D7FB5" w:rsidDel="00233F89">
              <w:rPr>
                <w:rFonts w:ascii="Times New Roman" w:hAnsi="Times New Roman"/>
              </w:rPr>
              <w:t xml:space="preserve"> </w:t>
            </w:r>
            <w:r w:rsidRPr="004D7FB5">
              <w:rPr>
                <w:rFonts w:ascii="Times New Roman" w:hAnsi="Times New Roman"/>
              </w:rPr>
              <w:t>Project</w:t>
            </w:r>
          </w:p>
        </w:tc>
        <w:tc>
          <w:tcPr>
            <w:tcW w:w="2735"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eastAsia="Times New Roman" w:hAnsi="Times New Roman"/>
                <w:bCs/>
              </w:rPr>
              <w:t xml:space="preserve">Protection of floodplains and towns from the flash floods of Chengi, Karnafuli, Sangu, </w:t>
            </w:r>
            <w:r w:rsidRPr="004D7FB5">
              <w:rPr>
                <w:rFonts w:ascii="Times New Roman" w:hAnsi="Times New Roman"/>
              </w:rPr>
              <w:t xml:space="preserve">Matamhuri, Bakkhali rivers and hilly streams through development of new embankments /water control infrastructure for floods and flash floods in the hills and Flood control structures for </w:t>
            </w:r>
            <w:r>
              <w:rPr>
                <w:rFonts w:ascii="Times New Roman" w:hAnsi="Times New Roman"/>
              </w:rPr>
              <w:t>canals</w:t>
            </w:r>
          </w:p>
        </w:tc>
      </w:tr>
      <w:tr w:rsidR="00CF1D2B" w:rsidRPr="001A3E66" w:rsidTr="00704A22">
        <w:trPr>
          <w:cnfStyle w:val="000000100000"/>
          <w:trHeight w:val="287"/>
        </w:trPr>
        <w:tc>
          <w:tcPr>
            <w:cnfStyle w:val="001000000000"/>
            <w:tcW w:w="761" w:type="pct"/>
            <w:tcBorders>
              <w:left w:val="none" w:sz="0" w:space="0" w:color="auto"/>
              <w:right w:val="none" w:sz="0" w:space="0" w:color="auto"/>
            </w:tcBorders>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CHT</w:t>
            </w:r>
          </w:p>
        </w:tc>
        <w:tc>
          <w:tcPr>
            <w:tcW w:w="1504"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CHT Water Supply Project</w:t>
            </w:r>
          </w:p>
        </w:tc>
        <w:tc>
          <w:tcPr>
            <w:tcW w:w="2735"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eastAsia="Times New Roman" w:hAnsi="Times New Roman"/>
                <w:bCs/>
              </w:rPr>
            </w:pPr>
            <w:r w:rsidRPr="004D7FB5">
              <w:rPr>
                <w:rFonts w:ascii="Times New Roman" w:eastAsia="Times New Roman" w:hAnsi="Times New Roman"/>
                <w:bCs/>
              </w:rPr>
              <w:t>Provide safe drinking water supply to CHT</w:t>
            </w:r>
          </w:p>
        </w:tc>
      </w:tr>
      <w:tr w:rsidR="00CF1D2B" w:rsidRPr="001A3E66" w:rsidTr="00704A22">
        <w:trPr>
          <w:trHeight w:val="728"/>
        </w:trPr>
        <w:tc>
          <w:tcPr>
            <w:cnfStyle w:val="001000000000"/>
            <w:tcW w:w="761" w:type="pct"/>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National</w:t>
            </w:r>
          </w:p>
        </w:tc>
        <w:tc>
          <w:tcPr>
            <w:tcW w:w="1504"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 xml:space="preserve">National Flood </w:t>
            </w:r>
            <w:r>
              <w:rPr>
                <w:rFonts w:ascii="Times New Roman" w:hAnsi="Times New Roman"/>
              </w:rPr>
              <w:t>Managment</w:t>
            </w:r>
            <w:r w:rsidRPr="004D7FB5" w:rsidDel="00233F89">
              <w:rPr>
                <w:rFonts w:ascii="Times New Roman" w:hAnsi="Times New Roman"/>
              </w:rPr>
              <w:t xml:space="preserve"> </w:t>
            </w:r>
            <w:r w:rsidRPr="004D7FB5">
              <w:rPr>
                <w:rFonts w:ascii="Times New Roman" w:hAnsi="Times New Roman"/>
              </w:rPr>
              <w:t>Strengthening and Maintenance Project</w:t>
            </w:r>
          </w:p>
        </w:tc>
        <w:tc>
          <w:tcPr>
            <w:tcW w:w="2735"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 xml:space="preserve">All flood </w:t>
            </w:r>
            <w:r>
              <w:rPr>
                <w:rFonts w:ascii="Times New Roman" w:hAnsi="Times New Roman"/>
              </w:rPr>
              <w:t>Managment</w:t>
            </w:r>
            <w:r w:rsidRPr="004D7FB5" w:rsidDel="00233F89">
              <w:rPr>
                <w:rFonts w:ascii="Times New Roman" w:hAnsi="Times New Roman"/>
              </w:rPr>
              <w:t xml:space="preserve"> </w:t>
            </w:r>
            <w:r w:rsidRPr="004D7FB5">
              <w:rPr>
                <w:rFonts w:ascii="Times New Roman" w:hAnsi="Times New Roman"/>
              </w:rPr>
              <w:t>projects outside the polder system</w:t>
            </w:r>
          </w:p>
        </w:tc>
      </w:tr>
      <w:tr w:rsidR="00CF1D2B" w:rsidRPr="001A3E66" w:rsidTr="00704A22">
        <w:trPr>
          <w:cnfStyle w:val="000000100000"/>
          <w:trHeight w:hRule="exact" w:val="1901"/>
        </w:trPr>
        <w:tc>
          <w:tcPr>
            <w:cnfStyle w:val="001000000000"/>
            <w:tcW w:w="761" w:type="pct"/>
            <w:tcBorders>
              <w:left w:val="none" w:sz="0" w:space="0" w:color="auto"/>
              <w:right w:val="none" w:sz="0" w:space="0" w:color="auto"/>
            </w:tcBorders>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National</w:t>
            </w:r>
          </w:p>
        </w:tc>
        <w:tc>
          <w:tcPr>
            <w:tcW w:w="1504"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IWT Navigability Project (s)</w:t>
            </w:r>
          </w:p>
        </w:tc>
        <w:tc>
          <w:tcPr>
            <w:tcW w:w="2735" w:type="pct"/>
            <w:tcBorders>
              <w:left w:val="none" w:sz="0" w:space="0" w:color="auto"/>
              <w:right w:val="none" w:sz="0" w:space="0" w:color="auto"/>
            </w:tcBorders>
          </w:tcPr>
          <w:p w:rsidR="00CF1D2B" w:rsidRPr="004D7FB5" w:rsidRDefault="00CF1D2B" w:rsidP="00704A22">
            <w:pPr>
              <w:spacing w:after="0" w:line="240" w:lineRule="auto"/>
              <w:jc w:val="both"/>
              <w:cnfStyle w:val="000000100000"/>
              <w:rPr>
                <w:rFonts w:ascii="Times New Roman" w:hAnsi="Times New Roman"/>
              </w:rPr>
            </w:pPr>
            <w:r w:rsidRPr="004D7FB5">
              <w:rPr>
                <w:rFonts w:ascii="Times New Roman" w:hAnsi="Times New Roman"/>
              </w:rPr>
              <w:t>Improvement of navigability by strategic dredging &amp; river training of following routes: Route A. Dhaka-Munshiganj-Gajaria-Chandpur- Chittagong Route (Lower Meghna); Route B. Chandpur-Paturia-Sirajganj-Chilmari- Doikhawa Route (Padma - Jamuna);  Route C. Paturia-Pakshi-Rajshahi-Godagori Route (Ganges); Route D. Karnaphuli river and Kaptai Lake (Chittagong); Route E. Regional rivers in Chittagong: Matamuhuri, Sangu and Bakkhali.</w:t>
            </w:r>
          </w:p>
          <w:p w:rsidR="00CF1D2B" w:rsidRPr="004D7FB5" w:rsidRDefault="00CF1D2B" w:rsidP="00704A22">
            <w:pPr>
              <w:spacing w:after="0" w:line="240" w:lineRule="auto"/>
              <w:jc w:val="both"/>
              <w:cnfStyle w:val="000000100000"/>
              <w:rPr>
                <w:rFonts w:ascii="Times New Roman" w:eastAsia="Times New Roman" w:hAnsi="Times New Roman"/>
                <w:bCs/>
              </w:rPr>
            </w:pPr>
          </w:p>
        </w:tc>
      </w:tr>
      <w:tr w:rsidR="00CF1D2B" w:rsidRPr="001A3E66" w:rsidTr="00704A22">
        <w:trPr>
          <w:trHeight w:val="422"/>
        </w:trPr>
        <w:tc>
          <w:tcPr>
            <w:cnfStyle w:val="001000000000"/>
            <w:tcW w:w="761" w:type="pct"/>
          </w:tcPr>
          <w:p w:rsidR="00CF1D2B" w:rsidRPr="004D7FB5" w:rsidRDefault="00CF1D2B" w:rsidP="00704A22">
            <w:pPr>
              <w:spacing w:after="0" w:line="240" w:lineRule="auto"/>
              <w:jc w:val="both"/>
              <w:rPr>
                <w:rFonts w:ascii="Times New Roman" w:hAnsi="Times New Roman"/>
              </w:rPr>
            </w:pPr>
            <w:r w:rsidRPr="004D7FB5">
              <w:rPr>
                <w:rFonts w:ascii="Times New Roman" w:hAnsi="Times New Roman"/>
              </w:rPr>
              <w:t>National</w:t>
            </w:r>
          </w:p>
        </w:tc>
        <w:tc>
          <w:tcPr>
            <w:tcW w:w="1504"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Restoration of National Watersheds</w:t>
            </w:r>
          </w:p>
        </w:tc>
        <w:tc>
          <w:tcPr>
            <w:tcW w:w="2735" w:type="pct"/>
          </w:tcPr>
          <w:p w:rsidR="00CF1D2B" w:rsidRPr="004D7FB5" w:rsidRDefault="00CF1D2B" w:rsidP="00704A22">
            <w:pPr>
              <w:spacing w:after="0" w:line="240" w:lineRule="auto"/>
              <w:jc w:val="both"/>
              <w:cnfStyle w:val="000000000000"/>
              <w:rPr>
                <w:rFonts w:ascii="Times New Roman" w:hAnsi="Times New Roman"/>
              </w:rPr>
            </w:pPr>
            <w:r w:rsidRPr="004D7FB5">
              <w:rPr>
                <w:rFonts w:ascii="Times New Roman" w:hAnsi="Times New Roman"/>
              </w:rPr>
              <w:t>Improve ecological balance by preserving bio-diversity; strengthening fresh water fishing; establishing eco-tourism</w:t>
            </w:r>
          </w:p>
        </w:tc>
      </w:tr>
    </w:tbl>
    <w:p w:rsidR="00CF1D2B" w:rsidRDefault="00CF1D2B" w:rsidP="00CF1D2B">
      <w:pPr>
        <w:spacing w:before="120" w:line="276" w:lineRule="auto"/>
        <w:jc w:val="both"/>
        <w:rPr>
          <w:rFonts w:cs="Times New Roman"/>
          <w:b/>
          <w:i/>
          <w:iCs/>
          <w:sz w:val="20"/>
          <w:szCs w:val="20"/>
        </w:rPr>
      </w:pPr>
      <w:r>
        <w:rPr>
          <w:rFonts w:eastAsia="Times New Roman"/>
          <w:szCs w:val="20"/>
        </w:rPr>
        <w:t xml:space="preserve"> </w:t>
      </w:r>
    </w:p>
    <w:p w:rsidR="00F64A6A" w:rsidRDefault="00B360AB" w:rsidP="00F64A6A">
      <w:pPr>
        <w:pStyle w:val="Heading2"/>
        <w:numPr>
          <w:ilvl w:val="0"/>
          <w:numId w:val="0"/>
        </w:numPr>
        <w:ind w:left="1080"/>
      </w:pPr>
      <w:bookmarkStart w:id="873" w:name="_Toc453889916"/>
      <w:bookmarkStart w:id="874" w:name="_Toc460496911"/>
      <w:bookmarkStart w:id="875" w:name="_Toc474638939"/>
      <w:r w:rsidRPr="002660A7">
        <w:t xml:space="preserve">Concluding </w:t>
      </w:r>
      <w:r w:rsidR="00CF1D2B">
        <w:t>Remarks</w:t>
      </w:r>
      <w:bookmarkEnd w:id="873"/>
      <w:bookmarkEnd w:id="874"/>
      <w:bookmarkEnd w:id="875"/>
    </w:p>
    <w:p w:rsidR="00F64A6A" w:rsidRDefault="00B360AB" w:rsidP="00F64A6A">
      <w:pPr>
        <w:pStyle w:val="ListParagraph"/>
        <w:spacing w:line="276" w:lineRule="auto"/>
        <w:ind w:left="360"/>
        <w:jc w:val="both"/>
      </w:pPr>
      <w:r w:rsidRPr="00FC0E8B">
        <w:t>Bangladesh’s long-term socio-economic performance would critically depend on how it manages the effects of climate change and other environmental changes. It is indicated that in the absence of proactive adaptation to mitigate the adverse impacts, Bangladesh economy may lose about 1</w:t>
      </w:r>
      <w:r>
        <w:t>.6</w:t>
      </w:r>
      <w:r w:rsidRPr="00FC0E8B">
        <w:t xml:space="preserve">% of GDP every year through loss of economic activity and the consequent loss of income. </w:t>
      </w:r>
    </w:p>
    <w:p w:rsidR="00B360AB" w:rsidRPr="007E3096" w:rsidRDefault="00B360AB" w:rsidP="00B360AB">
      <w:pPr>
        <w:pStyle w:val="ListParagraph"/>
        <w:spacing w:line="276" w:lineRule="auto"/>
        <w:ind w:left="360"/>
        <w:jc w:val="both"/>
      </w:pPr>
    </w:p>
    <w:p w:rsidR="00F64A6A" w:rsidRDefault="00B360AB" w:rsidP="00F64A6A">
      <w:pPr>
        <w:pStyle w:val="ListParagraph"/>
        <w:spacing w:line="276" w:lineRule="auto"/>
        <w:ind w:left="360"/>
        <w:jc w:val="both"/>
      </w:pPr>
      <w:r w:rsidRPr="00FC0E8B">
        <w:t xml:space="preserve">It has been estimated that investment for adaptation to mitigation tasks would require about 2.5% of GDP per year. More specifically, total spending on interventions through new projects and maintenance of new and old projects will require about 2.5% of GDP per annum. </w:t>
      </w:r>
      <w:r w:rsidRPr="004B0A08">
        <w:rPr>
          <w:i/>
        </w:rPr>
        <w:t>However, currently Bangladesh has been investing only around 0.8 percent of GDP in water related projects.</w:t>
      </w:r>
      <w:r w:rsidRPr="00FC0E8B">
        <w:t xml:space="preserve"> The key issue is how to bridge the resource gap. This </w:t>
      </w:r>
      <w:r>
        <w:t>chapter</w:t>
      </w:r>
      <w:r w:rsidRPr="00FC0E8B">
        <w:t xml:space="preserve"> discusses several options including PPP and global climate fund. </w:t>
      </w:r>
    </w:p>
    <w:p w:rsidR="00B360AB" w:rsidRPr="00FC0E8B" w:rsidRDefault="00B360AB" w:rsidP="00B360AB">
      <w:pPr>
        <w:pStyle w:val="ListParagraph"/>
        <w:spacing w:line="276" w:lineRule="auto"/>
      </w:pPr>
    </w:p>
    <w:p w:rsidR="00F64A6A" w:rsidRDefault="00B360AB" w:rsidP="00F64A6A">
      <w:pPr>
        <w:pStyle w:val="ListParagraph"/>
        <w:spacing w:line="276" w:lineRule="auto"/>
        <w:ind w:left="360"/>
        <w:jc w:val="both"/>
      </w:pPr>
      <w:r>
        <w:t>As mentioned above, f</w:t>
      </w:r>
      <w:r w:rsidRPr="00FC0E8B">
        <w:t xml:space="preserve">inancing the </w:t>
      </w:r>
      <w:r>
        <w:t>DIP</w:t>
      </w:r>
      <w:r w:rsidRPr="00FC0E8B">
        <w:t xml:space="preserve"> in the amount of 2.5% of GDP per annum will be challenging and will require new and innovative arrangements to encourage private sector participation in certain areas. It is also true that while there are areas where private sector may pay an important role, involving private sector in DIP financing will not be an easy task. Much of DIP investment including O&amp;M expenses would need to be financed by the </w:t>
      </w:r>
      <w:r w:rsidR="000B096E">
        <w:t>public</w:t>
      </w:r>
      <w:r w:rsidRPr="00FC0E8B">
        <w:t xml:space="preserve"> sector. </w:t>
      </w:r>
      <w:r w:rsidRPr="004B0A08">
        <w:rPr>
          <w:i/>
        </w:rPr>
        <w:t>Accordingly, the Plan envisages private sector involvement in the total DIP operations of about 20% of the overall DP spending, equivalent to 0.5 percent of GDP.</w:t>
      </w:r>
      <w:r w:rsidRPr="00FC0E8B">
        <w:t xml:space="preserve"> </w:t>
      </w:r>
      <w:r>
        <w:t xml:space="preserve">In </w:t>
      </w:r>
      <w:r>
        <w:lastRenderedPageBreak/>
        <w:t>line with the global and regional experiences the private sector funds may be attracted to following few areas:</w:t>
      </w:r>
    </w:p>
    <w:p w:rsidR="00B360AB" w:rsidRPr="00681FDB" w:rsidRDefault="00B360AB" w:rsidP="00B360AB">
      <w:pPr>
        <w:pStyle w:val="ListParagraph"/>
        <w:spacing w:line="276" w:lineRule="auto"/>
        <w:rPr>
          <w:sz w:val="18"/>
        </w:rPr>
      </w:pPr>
    </w:p>
    <w:p w:rsidR="00000000" w:rsidRDefault="00B360AB" w:rsidP="003D5A31">
      <w:pPr>
        <w:pStyle w:val="ListParagraph"/>
        <w:numPr>
          <w:ilvl w:val="1"/>
          <w:numId w:val="255"/>
        </w:numPr>
        <w:spacing w:line="276" w:lineRule="auto"/>
        <w:jc w:val="both"/>
      </w:pPr>
      <w:r>
        <w:t>Water treatment, supply, and sewage treatment</w:t>
      </w:r>
    </w:p>
    <w:p w:rsidR="00000000" w:rsidRDefault="00B360AB" w:rsidP="003D5A31">
      <w:pPr>
        <w:pStyle w:val="ListParagraph"/>
        <w:numPr>
          <w:ilvl w:val="1"/>
          <w:numId w:val="255"/>
        </w:numPr>
        <w:spacing w:line="276" w:lineRule="auto"/>
        <w:jc w:val="both"/>
      </w:pPr>
      <w:r>
        <w:t>Irrigation</w:t>
      </w:r>
    </w:p>
    <w:p w:rsidR="00000000" w:rsidRDefault="00B360AB" w:rsidP="003D5A31">
      <w:pPr>
        <w:pStyle w:val="ListParagraph"/>
        <w:numPr>
          <w:ilvl w:val="1"/>
          <w:numId w:val="255"/>
        </w:numPr>
        <w:spacing w:line="276" w:lineRule="auto"/>
        <w:jc w:val="both"/>
      </w:pPr>
      <w:r>
        <w:t>Dredging</w:t>
      </w:r>
    </w:p>
    <w:p w:rsidR="00000000" w:rsidRDefault="00B360AB" w:rsidP="003D5A31">
      <w:pPr>
        <w:pStyle w:val="ListParagraph"/>
        <w:numPr>
          <w:ilvl w:val="1"/>
          <w:numId w:val="255"/>
        </w:numPr>
        <w:spacing w:line="276" w:lineRule="auto"/>
        <w:jc w:val="both"/>
      </w:pPr>
      <w:r>
        <w:t>Land reclamation</w:t>
      </w:r>
    </w:p>
    <w:p w:rsidR="00000000" w:rsidRDefault="00B360AB" w:rsidP="003D5A31">
      <w:pPr>
        <w:pStyle w:val="ListParagraph"/>
        <w:numPr>
          <w:ilvl w:val="1"/>
          <w:numId w:val="255"/>
        </w:numPr>
        <w:spacing w:line="276" w:lineRule="auto"/>
        <w:jc w:val="both"/>
      </w:pPr>
      <w:r>
        <w:t>Inland water transport</w:t>
      </w:r>
    </w:p>
    <w:p w:rsidR="00B360AB" w:rsidRPr="007E3096" w:rsidRDefault="00B360AB" w:rsidP="00B360AB">
      <w:pPr>
        <w:pStyle w:val="ListParagraph"/>
        <w:spacing w:line="276" w:lineRule="auto"/>
        <w:ind w:left="1440"/>
        <w:jc w:val="both"/>
      </w:pPr>
    </w:p>
    <w:p w:rsidR="00F64A6A" w:rsidRDefault="00B360AB" w:rsidP="00F64A6A">
      <w:pPr>
        <w:pStyle w:val="ListParagraph"/>
        <w:spacing w:line="276" w:lineRule="auto"/>
        <w:ind w:left="360"/>
        <w:jc w:val="both"/>
      </w:pPr>
      <w:r>
        <w:t>An important but yet unexplored funding source could be the ‘Green Climate Funds’ agree under the Paris Agreement. If Bangladesh can pursue her case effectively, there is bright possibility that Bangladesh may receive fund as large as USD 2 billion per year from the ‘Green Climate Fund’.</w:t>
      </w:r>
      <w:bookmarkStart w:id="876" w:name="_Toc453889917"/>
    </w:p>
    <w:p w:rsidR="005D6BCE" w:rsidRDefault="005D6BCE" w:rsidP="005D6BCE">
      <w:r>
        <w:br w:type="page"/>
      </w:r>
    </w:p>
    <w:p w:rsidR="007D367A" w:rsidRPr="00154D24" w:rsidRDefault="007D367A" w:rsidP="007D367A">
      <w:pPr>
        <w:pStyle w:val="Title"/>
        <w:pBdr>
          <w:bottom w:val="single" w:sz="8" w:space="7" w:color="4F81BD" w:themeColor="accent1"/>
        </w:pBdr>
        <w:spacing w:after="360"/>
        <w:jc w:val="center"/>
        <w:rPr>
          <w:rFonts w:cs="Times New Roman"/>
          <w:b/>
          <w:color w:val="1F497D" w:themeColor="text2"/>
          <w:szCs w:val="36"/>
        </w:rPr>
      </w:pPr>
      <w:bookmarkStart w:id="877" w:name="_Toc474638940"/>
      <w:bookmarkEnd w:id="876"/>
      <w:r>
        <w:rPr>
          <w:rFonts w:cs="Times New Roman"/>
          <w:b/>
          <w:color w:val="1F497D" w:themeColor="text2"/>
          <w:szCs w:val="36"/>
        </w:rPr>
        <w:lastRenderedPageBreak/>
        <w:t>CHAPTER 12</w:t>
      </w:r>
      <w:bookmarkEnd w:id="877"/>
    </w:p>
    <w:p w:rsidR="007F2F9C" w:rsidRDefault="007F2F9C" w:rsidP="008C0601">
      <w:pPr>
        <w:pStyle w:val="Heading1"/>
      </w:pPr>
      <w:bookmarkStart w:id="878" w:name="_Toc474638941"/>
      <w:r w:rsidRPr="00382381">
        <w:t>Governance and Institutional Issues</w:t>
      </w:r>
      <w:bookmarkEnd w:id="878"/>
    </w:p>
    <w:p w:rsidR="00F64A6A" w:rsidRDefault="007F2F9C" w:rsidP="00F64A6A">
      <w:pPr>
        <w:pStyle w:val="Heading2"/>
        <w:numPr>
          <w:ilvl w:val="0"/>
          <w:numId w:val="0"/>
        </w:numPr>
        <w:ind w:left="1080"/>
      </w:pPr>
      <w:bookmarkStart w:id="879" w:name="_Toc474638942"/>
      <w:r w:rsidRPr="001B60DA">
        <w:t>Introduction</w:t>
      </w:r>
      <w:bookmarkEnd w:id="879"/>
    </w:p>
    <w:p w:rsidR="007F2F9C" w:rsidRDefault="007F2F9C" w:rsidP="00443CFB">
      <w:pPr>
        <w:spacing w:line="276" w:lineRule="auto"/>
        <w:jc w:val="both"/>
      </w:pPr>
      <w:r>
        <w:t xml:space="preserve">Sound implementation of </w:t>
      </w:r>
      <w:r w:rsidR="000B096E">
        <w:t>public</w:t>
      </w:r>
      <w:r>
        <w:t xml:space="preserve"> policies and programmes depends upon the prevailing governance environment and underlying institutional arrangements. These requirements gain added significance when policies and programmes are cross-sectoral in nature and involve multiple line agencies. </w:t>
      </w:r>
      <w:r w:rsidRPr="004B0A08">
        <w:rPr>
          <w:i/>
        </w:rPr>
        <w:t>The Delta Plan agenda is essentially cross-sectoral and implementation arrangements involve multiple line ministries, local government institutions, communities and private sector.</w:t>
      </w:r>
      <w:r>
        <w:t xml:space="preserve"> Clarity of role, interdependence of actions and a coordinated approach are essential requirements of the institutional set up for Delta Plan implementation. The stakes are large and so are the resource requirements. Yet, resources are limited and there are competing demands.  How resources are allocated among competing demands, how trade-offs are made and how effectively programmes are implemented to get the best results from limited resources are major political economy issues that depend critically upon the prevailing governance environment</w:t>
      </w:r>
      <w:r w:rsidR="00403A7D">
        <w:t xml:space="preserve"> and institutional setup</w:t>
      </w:r>
    </w:p>
    <w:p w:rsidR="007F2F9C" w:rsidRDefault="007F2F9C" w:rsidP="00443CFB">
      <w:pPr>
        <w:spacing w:line="276" w:lineRule="auto"/>
        <w:jc w:val="both"/>
      </w:pPr>
      <w:r>
        <w:t xml:space="preserve">Bangladesh is not alone in managing a delta plan.  Globally there are many other delta experiences and Bangladesh can learn from these experiences with a view to avoiding their mistakes and adapting the positive experiences to the Bangladesh situation. Importantly, Bangladesh itself has a long experience in dealing with the delta issues and challenges. A solid review of these experiences, identifying areas of success and areas where there are major gaps can provide useful lessons for building the </w:t>
      </w:r>
      <w:r w:rsidR="00403A7D">
        <w:t xml:space="preserve">supportive </w:t>
      </w:r>
      <w:r>
        <w:t>institutional arrangements for the implementation of the Delta Plan.</w:t>
      </w:r>
      <w:r w:rsidR="00403A7D">
        <w:t xml:space="preserve"> </w:t>
      </w:r>
    </w:p>
    <w:p w:rsidR="007F2F9C" w:rsidRDefault="007F2F9C" w:rsidP="00443CFB">
      <w:pPr>
        <w:spacing w:line="276" w:lineRule="auto"/>
        <w:jc w:val="both"/>
      </w:pPr>
      <w:r>
        <w:t xml:space="preserve">Institutions are not static.  They are dynamic in the sense that they evolve over time.  Starting with a thoughtful design that involves pragmatic solutions based on the present socio-political realities of Bangladesh and working within the umbrella of the overall capacity constraints in </w:t>
      </w:r>
      <w:r w:rsidR="000B096E">
        <w:t>public</w:t>
      </w:r>
      <w:r>
        <w:t xml:space="preserve"> administration, institutional changes can further evolve as implementation progress</w:t>
      </w:r>
      <w:r w:rsidR="00505845">
        <w:t xml:space="preserve"> is made. </w:t>
      </w:r>
      <w:r w:rsidR="00505845" w:rsidRPr="004B0A08">
        <w:rPr>
          <w:i/>
        </w:rPr>
        <w:t>As noted earlier</w:t>
      </w:r>
      <w:r w:rsidRPr="004B0A08">
        <w:rPr>
          <w:i/>
        </w:rPr>
        <w:t xml:space="preserve">, in view of considerable future uncertainties the Delta Plan is essentially </w:t>
      </w:r>
      <w:r w:rsidR="00403A7D">
        <w:rPr>
          <w:i/>
        </w:rPr>
        <w:t xml:space="preserve">technical and </w:t>
      </w:r>
      <w:r w:rsidRPr="004B0A08">
        <w:rPr>
          <w:i/>
        </w:rPr>
        <w:t>adaptive in nature.</w:t>
      </w:r>
      <w:r>
        <w:t xml:space="preserve"> This flexible approach to investment planning can also be applied to institutions.   The challenge is to develop a basic minimum core arrangements now without which the implementation of the Delta </w:t>
      </w:r>
      <w:r w:rsidR="00403A7D">
        <w:t xml:space="preserve">Plan </w:t>
      </w:r>
      <w:r>
        <w:t>will falter.</w:t>
      </w:r>
    </w:p>
    <w:p w:rsidR="007F2F9C" w:rsidRPr="00AB64BE" w:rsidRDefault="007F2F9C" w:rsidP="00443CFB">
      <w:pPr>
        <w:spacing w:line="276" w:lineRule="auto"/>
        <w:jc w:val="both"/>
      </w:pPr>
      <w:r>
        <w:t>Against the backdrop of the above, this chapter develops the structure of the basic core institutional arrangement that must underlay the implementation of the Delta</w:t>
      </w:r>
      <w:r w:rsidR="00463F45">
        <w:t xml:space="preserve"> Plan</w:t>
      </w:r>
      <w:r>
        <w:t xml:space="preserve">. The suggested institutional framework draws on the lessons of both international and Bangladesh own </w:t>
      </w:r>
      <w:r>
        <w:lastRenderedPageBreak/>
        <w:t xml:space="preserve">experiences. It recognizes the socio-political environment of Bangladesh and suggests institutional set up that is realistic and will likely work in Bangladesh.   </w:t>
      </w:r>
    </w:p>
    <w:p w:rsidR="00F64A6A" w:rsidRDefault="007F2F9C" w:rsidP="00F64A6A">
      <w:pPr>
        <w:pStyle w:val="Heading2"/>
        <w:numPr>
          <w:ilvl w:val="0"/>
          <w:numId w:val="0"/>
        </w:numPr>
        <w:ind w:left="1080"/>
      </w:pPr>
      <w:bookmarkStart w:id="880" w:name="_Toc474638943"/>
      <w:r w:rsidRPr="00A802C3">
        <w:t>Lessons of International Experiences</w:t>
      </w:r>
      <w:bookmarkEnd w:id="880"/>
    </w:p>
    <w:p w:rsidR="007F2F9C" w:rsidRDefault="007F2F9C" w:rsidP="00443CFB">
      <w:pPr>
        <w:spacing w:line="276" w:lineRule="auto"/>
        <w:jc w:val="both"/>
        <w:rPr>
          <w:rFonts w:eastAsia="Times New Roman" w:cs="Times New Roman"/>
          <w:szCs w:val="24"/>
        </w:rPr>
      </w:pPr>
      <w:r w:rsidRPr="009B7BD5">
        <w:rPr>
          <w:rFonts w:eastAsia="Times New Roman" w:cs="Times New Roman"/>
          <w:szCs w:val="24"/>
        </w:rPr>
        <w:t>Throughout human history river deltas have attracted people. Today deltas belong to the most densely populated areas in</w:t>
      </w:r>
      <w:r>
        <w:rPr>
          <w:rFonts w:eastAsia="Times New Roman" w:cs="Times New Roman"/>
          <w:szCs w:val="24"/>
        </w:rPr>
        <w:t xml:space="preserve"> the world. Deltas provide</w:t>
      </w:r>
      <w:r w:rsidRPr="009B7BD5">
        <w:rPr>
          <w:rFonts w:eastAsia="Times New Roman" w:cs="Times New Roman"/>
          <w:szCs w:val="24"/>
        </w:rPr>
        <w:t xml:space="preserve"> food for their inhabitants because</w:t>
      </w:r>
      <w:r>
        <w:rPr>
          <w:rFonts w:eastAsia="Times New Roman" w:cs="Times New Roman"/>
          <w:szCs w:val="24"/>
        </w:rPr>
        <w:t xml:space="preserve"> the soil in deltas is very fertile that supports</w:t>
      </w:r>
      <w:r w:rsidRPr="009B7BD5">
        <w:rPr>
          <w:rFonts w:eastAsia="Times New Roman" w:cs="Times New Roman"/>
          <w:szCs w:val="24"/>
        </w:rPr>
        <w:t xml:space="preserve"> agricult</w:t>
      </w:r>
      <w:r>
        <w:rPr>
          <w:rFonts w:eastAsia="Times New Roman" w:cs="Times New Roman"/>
          <w:szCs w:val="24"/>
        </w:rPr>
        <w:t>ure. In addition, deltas allow</w:t>
      </w:r>
      <w:r w:rsidRPr="009B7BD5">
        <w:rPr>
          <w:rFonts w:eastAsia="Times New Roman" w:cs="Times New Roman"/>
          <w:szCs w:val="24"/>
        </w:rPr>
        <w:t xml:space="preserve"> </w:t>
      </w:r>
      <w:r>
        <w:rPr>
          <w:rFonts w:eastAsia="Times New Roman" w:cs="Times New Roman"/>
          <w:szCs w:val="24"/>
        </w:rPr>
        <w:t xml:space="preserve">easy </w:t>
      </w:r>
      <w:r w:rsidRPr="009B7BD5">
        <w:rPr>
          <w:rFonts w:eastAsia="Times New Roman" w:cs="Times New Roman"/>
          <w:szCs w:val="24"/>
        </w:rPr>
        <w:t xml:space="preserve">access to fishing. Deltas often have large ports and harbours and therefore become hubs of industry and trade. </w:t>
      </w:r>
      <w:r>
        <w:rPr>
          <w:rFonts w:eastAsia="Times New Roman" w:cs="Times New Roman"/>
          <w:szCs w:val="24"/>
        </w:rPr>
        <w:t xml:space="preserve"> </w:t>
      </w:r>
    </w:p>
    <w:p w:rsidR="007F2F9C" w:rsidRPr="009B7BD5" w:rsidRDefault="007F2F9C" w:rsidP="00443CFB">
      <w:pPr>
        <w:spacing w:line="276" w:lineRule="auto"/>
        <w:jc w:val="both"/>
        <w:rPr>
          <w:rFonts w:eastAsia="Times New Roman" w:cs="Times New Roman"/>
          <w:szCs w:val="24"/>
        </w:rPr>
      </w:pPr>
      <w:r w:rsidRPr="009B7BD5">
        <w:rPr>
          <w:rFonts w:eastAsia="Times New Roman" w:cs="Times New Roman"/>
          <w:szCs w:val="24"/>
        </w:rPr>
        <w:t>On the other hand, deltas, with la</w:t>
      </w:r>
      <w:r>
        <w:rPr>
          <w:rFonts w:eastAsia="Times New Roman" w:cs="Times New Roman"/>
          <w:szCs w:val="24"/>
        </w:rPr>
        <w:t>nd hardly above sea level or</w:t>
      </w:r>
      <w:r w:rsidRPr="009B7BD5">
        <w:rPr>
          <w:rFonts w:eastAsia="Times New Roman" w:cs="Times New Roman"/>
          <w:szCs w:val="24"/>
        </w:rPr>
        <w:t xml:space="preserve"> often below it, are quite vulnerable to natural disa</w:t>
      </w:r>
      <w:r>
        <w:rPr>
          <w:rFonts w:eastAsia="Times New Roman" w:cs="Times New Roman"/>
          <w:szCs w:val="24"/>
        </w:rPr>
        <w:t xml:space="preserve">sters. Land subsidence can also </w:t>
      </w:r>
      <w:r w:rsidRPr="009B7BD5">
        <w:rPr>
          <w:rFonts w:eastAsia="Times New Roman" w:cs="Times New Roman"/>
          <w:szCs w:val="24"/>
        </w:rPr>
        <w:t xml:space="preserve">be threatening. Studies indicate that subsidence or sinking is worsened by the impacts of human activity, such as upstream sediment collection caused by reservoirs, dams, accelerated sediment compaction, and control of river channels. Under these circumstances deltas are often subject to flooding and require frequent attention to their sea </w:t>
      </w:r>
      <w:r>
        <w:rPr>
          <w:rFonts w:eastAsia="Times New Roman" w:cs="Times New Roman"/>
          <w:szCs w:val="24"/>
        </w:rPr>
        <w:t>defenses</w:t>
      </w:r>
      <w:r w:rsidRPr="009B7BD5">
        <w:rPr>
          <w:rFonts w:eastAsia="Times New Roman" w:cs="Times New Roman"/>
          <w:szCs w:val="24"/>
        </w:rPr>
        <w:t xml:space="preserve">. In the future, as a result of climate change and rising sea levels, this vulnerability will most likely become more acute and cause severe impacts on the natural processes in deltas. The lives of the millions of people living there will be affected dramatically. </w:t>
      </w:r>
    </w:p>
    <w:p w:rsidR="007F2F9C" w:rsidRDefault="007F2F9C" w:rsidP="00443CFB">
      <w:pPr>
        <w:spacing w:line="276" w:lineRule="auto"/>
        <w:jc w:val="both"/>
        <w:rPr>
          <w:rFonts w:eastAsia="Times New Roman" w:cs="Times New Roman"/>
          <w:szCs w:val="24"/>
        </w:rPr>
      </w:pPr>
      <w:r>
        <w:rPr>
          <w:rFonts w:eastAsia="Times New Roman" w:cs="Times New Roman"/>
          <w:szCs w:val="24"/>
        </w:rPr>
        <w:t>There are an estimated 33 major river deltas prevailing worldwide</w:t>
      </w:r>
      <w:r w:rsidRPr="000B4214">
        <w:rPr>
          <w:rFonts w:eastAsia="Times New Roman" w:cs="Times New Roman"/>
          <w:szCs w:val="24"/>
        </w:rPr>
        <w:t>. The Ganges</w:t>
      </w:r>
      <w:r w:rsidR="00403A7D">
        <w:rPr>
          <w:rFonts w:eastAsia="Times New Roman" w:cs="Times New Roman"/>
          <w:szCs w:val="24"/>
        </w:rPr>
        <w:t xml:space="preserve">the </w:t>
      </w:r>
      <w:r w:rsidRPr="000B4214">
        <w:rPr>
          <w:rFonts w:eastAsia="Times New Roman" w:cs="Times New Roman"/>
          <w:szCs w:val="24"/>
        </w:rPr>
        <w:t>Brahmaputra</w:t>
      </w:r>
      <w:r w:rsidR="00403A7D">
        <w:rPr>
          <w:rFonts w:eastAsia="Times New Roman" w:cs="Times New Roman"/>
          <w:szCs w:val="24"/>
        </w:rPr>
        <w:t>-the Meghna D</w:t>
      </w:r>
      <w:r w:rsidR="00403A7D" w:rsidRPr="000B4214">
        <w:rPr>
          <w:rFonts w:eastAsia="Times New Roman" w:cs="Times New Roman"/>
          <w:szCs w:val="24"/>
        </w:rPr>
        <w:t xml:space="preserve">elta </w:t>
      </w:r>
      <w:r w:rsidRPr="000B4214">
        <w:rPr>
          <w:rFonts w:eastAsia="Times New Roman" w:cs="Times New Roman"/>
          <w:szCs w:val="24"/>
        </w:rPr>
        <w:t>(</w:t>
      </w:r>
      <w:r w:rsidR="00403A7D">
        <w:rPr>
          <w:rFonts w:eastAsia="Times New Roman" w:cs="Times New Roman"/>
          <w:szCs w:val="24"/>
        </w:rPr>
        <w:t>Bangladesh-</w:t>
      </w:r>
      <w:r w:rsidRPr="000B4214">
        <w:rPr>
          <w:rFonts w:eastAsia="Times New Roman" w:cs="Times New Roman"/>
          <w:szCs w:val="24"/>
        </w:rPr>
        <w:t>India) is considered to be the largest in the world. Other famous large deltas are the Chao Phraya (Thailand), Danube (Eastern Europe), Fly (New Guinea), Fraser (Canada), Godavari (India), Krishna (India), Lena (Siberia), Mackenzie (Canada), Mahakam (Kalimantan), Mekong (Vietnam), Mississippi (USA), Niger (Western Africa), Nile (Eastern Africa), Orinoco (Venezuela), Parana (Argentina), Po (Italy), Shatt-el-Arab (Iraq/Iran), Volga (Russia),Yangtze-Klang (China), Yukon (Canada) and the Rhine-Meuse-Scheldt deltaic complex (Western Europe).</w:t>
      </w:r>
      <w:r w:rsidRPr="000B4214">
        <w:rPr>
          <w:rFonts w:eastAsia="Times New Roman" w:cs="Times New Roman"/>
          <w:sz w:val="20"/>
          <w:szCs w:val="20"/>
        </w:rPr>
        <w:t xml:space="preserve"> </w:t>
      </w:r>
      <w:r>
        <w:rPr>
          <w:rFonts w:eastAsia="Times New Roman" w:cs="Times New Roman"/>
          <w:sz w:val="20"/>
          <w:szCs w:val="20"/>
        </w:rPr>
        <w:t xml:space="preserve"> </w:t>
      </w:r>
      <w:r>
        <w:rPr>
          <w:rFonts w:eastAsia="Times New Roman" w:cs="Times New Roman"/>
          <w:szCs w:val="24"/>
        </w:rPr>
        <w:t xml:space="preserve">Some 500 million people inhabit the delta areas of the world. </w:t>
      </w:r>
    </w:p>
    <w:p w:rsidR="007F2F9C" w:rsidRDefault="007F2F9C" w:rsidP="00443CFB">
      <w:pPr>
        <w:pStyle w:val="NormalWeb"/>
        <w:spacing w:before="0" w:beforeAutospacing="0" w:after="240" w:afterAutospacing="0" w:line="276" w:lineRule="auto"/>
      </w:pPr>
      <w:r w:rsidRPr="009B7BD5">
        <w:t>According to recent scientific studies</w:t>
      </w:r>
      <w:r>
        <w:t xml:space="preserve"> of the 33 major river deltas, 24 are sinking due to flood-control efforts and other human-caused changes to the river systems. The combination of sinking deltas and rising seas will increase the damages caused by hurricanes and other flooding events</w:t>
      </w:r>
      <w:r>
        <w:rPr>
          <w:rStyle w:val="FootnoteReference"/>
        </w:rPr>
        <w:footnoteReference w:id="49"/>
      </w:r>
      <w:r w:rsidRPr="009B7BD5">
        <w:t>. The inhabitants in t</w:t>
      </w:r>
      <w:r>
        <w:t xml:space="preserve">hese deltas are caught </w:t>
      </w:r>
      <w:r w:rsidRPr="009B7BD5">
        <w:t xml:space="preserve">between land subsidence – caused both by dams and dikes upstream that hinder the natural flow of sediment to the delta as well as by ground water extraction in combination with soft soils – and sea level rise caused by climate change. </w:t>
      </w:r>
      <w:r>
        <w:t>The study warned that the Chao Phraya River, which runs through Bangkok, Thailand, may be the worst affected by delta loss.  Parts of the delta have sunk 1.5 meters below sea level.  M</w:t>
      </w:r>
      <w:r w:rsidRPr="009B7BD5">
        <w:t>ore than one-</w:t>
      </w:r>
      <w:r w:rsidRPr="009B7BD5">
        <w:lastRenderedPageBreak/>
        <w:t>third of the Mekong delta</w:t>
      </w:r>
      <w:r>
        <w:t xml:space="preserve"> in Vietnam</w:t>
      </w:r>
      <w:r w:rsidRPr="009B7BD5">
        <w:t>, where 17 million people live and nearly half the country’s rice is grown, could be submerged if sea levels rise by three feet in the coming decades.</w:t>
      </w:r>
      <w:r>
        <w:t xml:space="preserve">  In North Africa, </w:t>
      </w:r>
      <w:r w:rsidR="00505845">
        <w:t>Egypt i</w:t>
      </w:r>
      <w:r w:rsidRPr="009B7BD5">
        <w:t>s particularly vulnerable t</w:t>
      </w:r>
      <w:r>
        <w:t>o the effects of global warming. With a 3 feet rise in the sea level, much of the Nile Delta will be inundated, submerging the city of Alexandria, displacing more than 9% of the population and destroying some 6% of the GDP. O</w:t>
      </w:r>
      <w:r w:rsidRPr="009B7BD5">
        <w:t>n the border between India and Bangladesh at the Sundarbans islands</w:t>
      </w:r>
      <w:r>
        <w:t>, n</w:t>
      </w:r>
      <w:r w:rsidRPr="009B7BD5">
        <w:t xml:space="preserve">early 31 square miles of the Sundarbans have </w:t>
      </w:r>
      <w:r>
        <w:t xml:space="preserve">already </w:t>
      </w:r>
      <w:r w:rsidRPr="009B7BD5">
        <w:t>vanished entirely</w:t>
      </w:r>
      <w:r>
        <w:t xml:space="preserve">. </w:t>
      </w:r>
      <w:r w:rsidRPr="009B7BD5">
        <w:t xml:space="preserve"> </w:t>
      </w:r>
      <w:r>
        <w:t>Millions of people on both side of the Sundarbans, in Bangladesh and India, will be displaced by a 3 feet rise in the sea level.</w:t>
      </w:r>
    </w:p>
    <w:p w:rsidR="007F2F9C" w:rsidRDefault="007F2F9C" w:rsidP="00443CFB">
      <w:pPr>
        <w:spacing w:line="276" w:lineRule="auto"/>
        <w:jc w:val="both"/>
        <w:rPr>
          <w:rFonts w:cs="Times New Roman"/>
          <w:szCs w:val="24"/>
        </w:rPr>
      </w:pPr>
      <w:r>
        <w:rPr>
          <w:rFonts w:eastAsia="Times New Roman" w:cs="Times New Roman"/>
          <w:szCs w:val="24"/>
        </w:rPr>
        <w:t>Armed with knowledge of these risks, authorities responsible for managing specific deltas have taken actions to mitigate these risks where possible or help the population adapt to these risks.  These actions have emerged in the context of several institutional framework and approaches based on the specific delta profile, issues and risks and the s</w:t>
      </w:r>
      <w:r>
        <w:rPr>
          <w:rFonts w:cs="Times New Roman"/>
          <w:szCs w:val="24"/>
        </w:rPr>
        <w:t xml:space="preserve">ocio-political-economic environment of the concerned delta.  Many of the institutional experiences have evolved over a long period time, sometimes in response to specific emergencies faced from climate change and natural environment, but also based on learning by doing. While not all positive institutional experiences are replicable in the specific form they have shaped in a particular delta, the organizing principles, the safeguards, the things that did not work, and the adaptive features of these experiences can provide useful insights for Bangladesh in developing its own institutions for the Bangladesh Delta management. </w:t>
      </w:r>
    </w:p>
    <w:p w:rsidR="007F2F9C" w:rsidRDefault="007F2F9C" w:rsidP="00443CFB">
      <w:pPr>
        <w:spacing w:line="276" w:lineRule="auto"/>
        <w:jc w:val="both"/>
        <w:rPr>
          <w:rFonts w:cs="Times New Roman"/>
          <w:szCs w:val="24"/>
        </w:rPr>
      </w:pPr>
      <w:r>
        <w:rPr>
          <w:rFonts w:cs="Times New Roman"/>
          <w:szCs w:val="24"/>
        </w:rPr>
        <w:t xml:space="preserve">Some of the broad principles and features of the global institutional practices in delta management can be summarized as follows:  </w:t>
      </w:r>
    </w:p>
    <w:p w:rsidR="007F2F9C" w:rsidRDefault="007F2F9C" w:rsidP="003D5A31">
      <w:pPr>
        <w:pStyle w:val="ListParagraph"/>
        <w:numPr>
          <w:ilvl w:val="0"/>
          <w:numId w:val="91"/>
        </w:numPr>
        <w:spacing w:line="276" w:lineRule="auto"/>
        <w:jc w:val="both"/>
        <w:rPr>
          <w:rFonts w:cs="Times New Roman"/>
          <w:szCs w:val="24"/>
        </w:rPr>
      </w:pPr>
      <w:r w:rsidRPr="00C909F9">
        <w:rPr>
          <w:rFonts w:cs="Times New Roman"/>
          <w:b/>
          <w:szCs w:val="24"/>
        </w:rPr>
        <w:t>Integrated water management:</w:t>
      </w:r>
      <w:r>
        <w:rPr>
          <w:rFonts w:cs="Times New Roman"/>
          <w:szCs w:val="24"/>
        </w:rPr>
        <w:t xml:space="preserve">  Perhaps the most notable institutional dimension emerging</w:t>
      </w:r>
      <w:r w:rsidRPr="00930936">
        <w:rPr>
          <w:rFonts w:cs="Times New Roman"/>
          <w:szCs w:val="24"/>
        </w:rPr>
        <w:t xml:space="preserve"> from global good practice experiences is the need for integrated water management. Water has multiple uses and competing demands can often create conflict</w:t>
      </w:r>
      <w:r>
        <w:rPr>
          <w:rFonts w:cs="Times New Roman"/>
          <w:szCs w:val="24"/>
        </w:rPr>
        <w:t>s</w:t>
      </w:r>
      <w:r w:rsidRPr="00930936">
        <w:rPr>
          <w:rFonts w:cs="Times New Roman"/>
          <w:szCs w:val="24"/>
        </w:rPr>
        <w:t xml:space="preserve"> spatially as well as within a specific area. Depending upon </w:t>
      </w:r>
      <w:r>
        <w:rPr>
          <w:rFonts w:cs="Times New Roman"/>
          <w:szCs w:val="24"/>
        </w:rPr>
        <w:t>the source</w:t>
      </w:r>
      <w:r w:rsidRPr="00930936">
        <w:rPr>
          <w:rFonts w:cs="Times New Roman"/>
          <w:szCs w:val="24"/>
        </w:rPr>
        <w:t xml:space="preserve"> of demand for water, </w:t>
      </w:r>
      <w:r>
        <w:rPr>
          <w:rFonts w:cs="Times New Roman"/>
          <w:szCs w:val="24"/>
        </w:rPr>
        <w:t xml:space="preserve">responsibility for managing that particular demand might lie with a specific agency of the government.  Consequently, more often than not, multiple </w:t>
      </w:r>
      <w:r w:rsidR="000B096E">
        <w:t>public</w:t>
      </w:r>
      <w:r>
        <w:rPr>
          <w:rFonts w:cs="Times New Roman"/>
          <w:szCs w:val="24"/>
        </w:rPr>
        <w:t xml:space="preserve"> agencies are involved in managing water internally. Without an integrated approach to water management, the risks for conflicting policies, competing water development programmes and inefficient use of water are high.</w:t>
      </w:r>
    </w:p>
    <w:p w:rsidR="007F2F9C" w:rsidRDefault="007F2F9C" w:rsidP="00443CFB">
      <w:pPr>
        <w:pStyle w:val="ListParagraph"/>
        <w:spacing w:line="276" w:lineRule="auto"/>
        <w:ind w:left="360"/>
        <w:jc w:val="both"/>
        <w:rPr>
          <w:rFonts w:cs="Times New Roman"/>
          <w:szCs w:val="24"/>
        </w:rPr>
      </w:pPr>
    </w:p>
    <w:p w:rsidR="007F2F9C" w:rsidRPr="00CC0A1A" w:rsidRDefault="007F2F9C" w:rsidP="00CC0A1A">
      <w:pPr>
        <w:pStyle w:val="ListParagraph"/>
        <w:spacing w:line="276" w:lineRule="auto"/>
        <w:ind w:left="360"/>
        <w:jc w:val="both"/>
        <w:rPr>
          <w:rFonts w:cs="Times New Roman"/>
          <w:szCs w:val="24"/>
        </w:rPr>
      </w:pPr>
      <w:r>
        <w:rPr>
          <w:rFonts w:cs="Times New Roman"/>
          <w:szCs w:val="24"/>
        </w:rPr>
        <w:t>Institutions of integrated water management have emerged in different forms in various river deltas. A good practice example of this integrated approach to water institutions is the Delta Programme in the Netherlands (Box 1</w:t>
      </w:r>
      <w:r w:rsidR="005374AE">
        <w:rPr>
          <w:rFonts w:cs="Times New Roman"/>
          <w:szCs w:val="24"/>
        </w:rPr>
        <w:t>2.1</w:t>
      </w:r>
      <w:r>
        <w:rPr>
          <w:rFonts w:cs="Times New Roman"/>
          <w:szCs w:val="24"/>
        </w:rPr>
        <w:t xml:space="preserve">). Through the Delta Programme the Dutch government not only signaled the top priority attached to water but it also instituted a holistic approach to water management.  All aspects of water management including planning, investments, operations and maintenance, and research are handled by the Delta Programme and implemented in the framework of a highly decentralized water management agencies.    </w:t>
      </w:r>
    </w:p>
    <w:p w:rsidR="004A28FA" w:rsidRDefault="001A12B2" w:rsidP="00CC0A1A">
      <w:pPr>
        <w:pStyle w:val="ListParagraph"/>
        <w:spacing w:line="276" w:lineRule="auto"/>
        <w:ind w:left="0"/>
        <w:jc w:val="both"/>
        <w:rPr>
          <w:rFonts w:cs="Times New Roman"/>
          <w:b/>
          <w:szCs w:val="24"/>
        </w:rPr>
      </w:pPr>
      <w:r w:rsidRPr="001A12B2">
        <w:rPr>
          <w:rFonts w:cs="Times New Roman"/>
          <w:noProof/>
          <w:szCs w:val="24"/>
        </w:rPr>
      </w:r>
      <w:r w:rsidRPr="001A12B2">
        <w:rPr>
          <w:rFonts w:cs="Times New Roman"/>
          <w:noProof/>
          <w:szCs w:val="24"/>
        </w:rPr>
        <w:pict>
          <v:shape id="Text Box 150" o:spid="_x0000_s1212" type="#_x0000_t202" style="width:487.45pt;height:617.75pt;visibility:visible;mso-position-horizontal-relative:char;mso-position-vertical-relative:line" fillcolor="#f2f2f2 [3052]">
            <v:textbox style="mso-next-textbox:#Text Box 150">
              <w:txbxContent>
                <w:p w:rsidR="009D3B38" w:rsidRPr="005E5367" w:rsidRDefault="009D3B38" w:rsidP="005E5367">
                  <w:pPr>
                    <w:pStyle w:val="Heading7"/>
                  </w:pPr>
                  <w:bookmarkStart w:id="881" w:name="_Toc474639330"/>
                  <w:r w:rsidRPr="005E5367">
                    <w:t>Box 12.1: The Dutch Delta Management</w:t>
                  </w:r>
                  <w:bookmarkEnd w:id="881"/>
                </w:p>
                <w:p w:rsidR="009D3B38" w:rsidRPr="0026408B" w:rsidRDefault="009D3B38" w:rsidP="00443CFB">
                  <w:pPr>
                    <w:spacing w:after="0" w:line="240" w:lineRule="auto"/>
                    <w:jc w:val="both"/>
                    <w:rPr>
                      <w:rFonts w:eastAsia="Times New Roman" w:cs="Times New Roman"/>
                      <w:sz w:val="18"/>
                      <w:szCs w:val="18"/>
                    </w:rPr>
                  </w:pPr>
                  <w:r w:rsidRPr="0026408B">
                    <w:rPr>
                      <w:rFonts w:eastAsia="Times New Roman" w:cs="Times New Roman"/>
                      <w:sz w:val="18"/>
                      <w:szCs w:val="18"/>
                    </w:rPr>
                    <w:t>The Netherlands is located in a delta where the rivers Rhine, Meuse, Scheldt and E</w:t>
                  </w:r>
                  <w:r>
                    <w:rPr>
                      <w:rFonts w:eastAsia="Times New Roman" w:cs="Times New Roman"/>
                      <w:sz w:val="18"/>
                      <w:szCs w:val="18"/>
                    </w:rPr>
                    <w:t xml:space="preserve">ems drain into the </w:t>
                  </w:r>
                  <w:r w:rsidRPr="0026408B">
                    <w:rPr>
                      <w:rFonts w:eastAsia="Times New Roman" w:cs="Times New Roman"/>
                      <w:sz w:val="18"/>
                      <w:szCs w:val="18"/>
                    </w:rPr>
                    <w:t>North Sea. Over the centuries floods have happened, caused by high river discharges, storms, and ice dams.  In view of the changing climate, the probability of flooding has increased.  A</w:t>
                  </w:r>
                  <w:r>
                    <w:rPr>
                      <w:rFonts w:eastAsia="Times New Roman" w:cs="Times New Roman"/>
                      <w:sz w:val="18"/>
                      <w:szCs w:val="18"/>
                    </w:rPr>
                    <w:t>s the socio-</w:t>
                  </w:r>
                  <w:r w:rsidRPr="0026408B">
                    <w:rPr>
                      <w:rFonts w:eastAsia="Times New Roman" w:cs="Times New Roman"/>
                      <w:sz w:val="18"/>
                      <w:szCs w:val="18"/>
                    </w:rPr>
                    <w:t xml:space="preserve">economic developments in the Netherlands </w:t>
                  </w:r>
                  <w:r>
                    <w:rPr>
                      <w:rFonts w:eastAsia="Times New Roman" w:cs="Times New Roman"/>
                      <w:sz w:val="18"/>
                      <w:szCs w:val="18"/>
                    </w:rPr>
                    <w:t>have enabled the country</w:t>
                  </w:r>
                  <w:r w:rsidRPr="0026408B">
                    <w:rPr>
                      <w:rFonts w:eastAsia="Times New Roman" w:cs="Times New Roman"/>
                      <w:sz w:val="18"/>
                      <w:szCs w:val="18"/>
                    </w:rPr>
                    <w:t xml:space="preserve"> to accumulate substantial income and wealth, the possible damage as </w:t>
                  </w:r>
                  <w:r>
                    <w:rPr>
                      <w:rFonts w:eastAsia="Times New Roman" w:cs="Times New Roman"/>
                      <w:sz w:val="18"/>
                      <w:szCs w:val="18"/>
                    </w:rPr>
                    <w:t>a result of flooding has grown.</w:t>
                  </w:r>
                </w:p>
                <w:p w:rsidR="009D3B38" w:rsidRPr="004F2DF6" w:rsidRDefault="009D3B38" w:rsidP="00443CFB">
                  <w:pPr>
                    <w:spacing w:after="0" w:line="240" w:lineRule="auto"/>
                    <w:jc w:val="both"/>
                    <w:rPr>
                      <w:rFonts w:eastAsia="Times New Roman" w:cs="Times New Roman"/>
                      <w:sz w:val="10"/>
                      <w:szCs w:val="18"/>
                    </w:rPr>
                  </w:pPr>
                </w:p>
                <w:p w:rsidR="009D3B38" w:rsidRPr="0026408B" w:rsidRDefault="009D3B38" w:rsidP="00443CFB">
                  <w:pPr>
                    <w:spacing w:after="0" w:line="240" w:lineRule="auto"/>
                    <w:jc w:val="both"/>
                    <w:rPr>
                      <w:rFonts w:eastAsia="Times New Roman" w:cs="Times New Roman"/>
                      <w:sz w:val="18"/>
                      <w:szCs w:val="18"/>
                    </w:rPr>
                  </w:pPr>
                  <w:r>
                    <w:rPr>
                      <w:rFonts w:eastAsia="Times New Roman" w:cs="Times New Roman"/>
                      <w:sz w:val="18"/>
                      <w:szCs w:val="18"/>
                    </w:rPr>
                    <w:t>The Dutch have more than</w:t>
                  </w:r>
                  <w:r w:rsidRPr="0026408B">
                    <w:rPr>
                      <w:rFonts w:eastAsia="Times New Roman" w:cs="Times New Roman"/>
                      <w:sz w:val="18"/>
                      <w:szCs w:val="18"/>
                    </w:rPr>
                    <w:t xml:space="preserve"> a thousand years of experience with flood mitigation and adaptation measures. Historically, the fight against floods basically involved a combination of dikes (polders) to keep sea/river water out and water pumps including those based on windmills to drain excess water from the dikes. The fight against flood and the adaptation measures grew bottom up with strong participation by the people most affected by the flood. So a rich tradition of participatory water ma</w:t>
                  </w:r>
                  <w:r>
                    <w:rPr>
                      <w:rFonts w:eastAsia="Times New Roman" w:cs="Times New Roman"/>
                      <w:sz w:val="18"/>
                      <w:szCs w:val="18"/>
                    </w:rPr>
                    <w:t xml:space="preserve">nagement has prevailed </w:t>
                  </w:r>
                  <w:r w:rsidRPr="0026408B">
                    <w:rPr>
                      <w:rFonts w:eastAsia="Times New Roman" w:cs="Times New Roman"/>
                      <w:sz w:val="18"/>
                      <w:szCs w:val="18"/>
                    </w:rPr>
                    <w:t xml:space="preserve">in the Netherlands and is a striking feature of the Dutch Delta Management. </w:t>
                  </w:r>
                </w:p>
                <w:p w:rsidR="009D3B38" w:rsidRPr="004F2DF6" w:rsidRDefault="009D3B38" w:rsidP="00443CFB">
                  <w:pPr>
                    <w:spacing w:after="0" w:line="240" w:lineRule="auto"/>
                    <w:jc w:val="both"/>
                    <w:rPr>
                      <w:rFonts w:eastAsia="Times New Roman" w:cs="Times New Roman"/>
                      <w:sz w:val="10"/>
                      <w:szCs w:val="18"/>
                    </w:rPr>
                  </w:pPr>
                </w:p>
                <w:p w:rsidR="009D3B38" w:rsidRPr="0026408B" w:rsidRDefault="009D3B38" w:rsidP="00443CFB">
                  <w:pPr>
                    <w:spacing w:after="0" w:line="240" w:lineRule="auto"/>
                    <w:jc w:val="both"/>
                    <w:rPr>
                      <w:rFonts w:eastAsia="Times New Roman" w:cs="Times New Roman"/>
                      <w:sz w:val="18"/>
                      <w:szCs w:val="18"/>
                    </w:rPr>
                  </w:pPr>
                  <w:r w:rsidRPr="0026408B">
                    <w:rPr>
                      <w:rFonts w:eastAsia="Times New Roman" w:cs="Times New Roman"/>
                      <w:sz w:val="18"/>
                      <w:szCs w:val="18"/>
                    </w:rPr>
                    <w:t xml:space="preserve">The devastating 1953 flood was </w:t>
                  </w:r>
                  <w:r>
                    <w:rPr>
                      <w:rFonts w:eastAsia="Times New Roman" w:cs="Times New Roman"/>
                      <w:sz w:val="18"/>
                      <w:szCs w:val="18"/>
                    </w:rPr>
                    <w:t xml:space="preserve">a </w:t>
                  </w:r>
                  <w:r w:rsidRPr="0026408B">
                    <w:rPr>
                      <w:rFonts w:eastAsia="Times New Roman" w:cs="Times New Roman"/>
                      <w:sz w:val="18"/>
                      <w:szCs w:val="18"/>
                    </w:rPr>
                    <w:t xml:space="preserve">turning point in Dutch water management. The Dutch as a nation agreed that the risk of </w:t>
                  </w:r>
                  <w:r>
                    <w:rPr>
                      <w:rFonts w:eastAsia="Times New Roman" w:cs="Times New Roman"/>
                      <w:sz w:val="18"/>
                      <w:szCs w:val="18"/>
                    </w:rPr>
                    <w:t xml:space="preserve">a </w:t>
                  </w:r>
                  <w:r w:rsidRPr="0026408B">
                    <w:rPr>
                      <w:rFonts w:eastAsia="Times New Roman" w:cs="Times New Roman"/>
                      <w:sz w:val="18"/>
                      <w:szCs w:val="18"/>
                    </w:rPr>
                    <w:t xml:space="preserve">similar flood </w:t>
                  </w:r>
                  <w:r>
                    <w:rPr>
                      <w:rFonts w:eastAsia="Times New Roman" w:cs="Times New Roman"/>
                      <w:sz w:val="18"/>
                      <w:szCs w:val="18"/>
                    </w:rPr>
                    <w:t xml:space="preserve">even </w:t>
                  </w:r>
                  <w:r w:rsidRPr="0026408B">
                    <w:rPr>
                      <w:rFonts w:eastAsia="Times New Roman" w:cs="Times New Roman"/>
                      <w:sz w:val="18"/>
                      <w:szCs w:val="18"/>
                    </w:rPr>
                    <w:t>over a 1000 year plus was no longer acceptable.  This culminated in the development of the First Dutch Delta Commission</w:t>
                  </w:r>
                  <w:r>
                    <w:rPr>
                      <w:rFonts w:eastAsia="Times New Roman" w:cs="Times New Roman"/>
                      <w:sz w:val="18"/>
                      <w:szCs w:val="18"/>
                    </w:rPr>
                    <w:t xml:space="preserve">, the enactment of the Delta Law and the adaption of the </w:t>
                  </w:r>
                  <w:r w:rsidRPr="0026408B">
                    <w:rPr>
                      <w:rFonts w:eastAsia="Times New Roman" w:cs="Times New Roman"/>
                      <w:sz w:val="18"/>
                      <w:szCs w:val="18"/>
                    </w:rPr>
                    <w:t xml:space="preserve">Delta Plan.  The plan aimed at reinforcing the water defenses and to shorten the coastline by closing estuaries with large dams. This huge project aimed at protecting the coast in a manner that reduced the risk of a disaster such as the 1953 flood to a probability of one in 3000 years. </w:t>
                  </w:r>
                </w:p>
                <w:p w:rsidR="009D3B38" w:rsidRPr="004F2DF6" w:rsidRDefault="009D3B38" w:rsidP="00443CFB">
                  <w:pPr>
                    <w:spacing w:after="0" w:line="240" w:lineRule="auto"/>
                    <w:jc w:val="both"/>
                    <w:rPr>
                      <w:rFonts w:eastAsia="Times New Roman" w:cs="Times New Roman"/>
                      <w:sz w:val="14"/>
                      <w:szCs w:val="18"/>
                    </w:rPr>
                  </w:pPr>
                </w:p>
                <w:p w:rsidR="009D3B38" w:rsidRDefault="009D3B38" w:rsidP="00443CFB">
                  <w:pPr>
                    <w:pStyle w:val="NormalWeb"/>
                    <w:spacing w:before="0" w:beforeAutospacing="0" w:after="0" w:afterAutospacing="0"/>
                    <w:rPr>
                      <w:sz w:val="18"/>
                      <w:szCs w:val="18"/>
                    </w:rPr>
                  </w:pPr>
                  <w:r w:rsidRPr="0026408B">
                    <w:rPr>
                      <w:sz w:val="18"/>
                      <w:szCs w:val="18"/>
                    </w:rPr>
                    <w:t>A striking feature of the Delta Plan was the adoption of the Delta Works Program</w:t>
                  </w:r>
                  <w:r>
                    <w:rPr>
                      <w:sz w:val="18"/>
                      <w:szCs w:val="18"/>
                    </w:rPr>
                    <w:t>me</w:t>
                  </w:r>
                  <w:r w:rsidRPr="0026408B">
                    <w:rPr>
                      <w:sz w:val="18"/>
                      <w:szCs w:val="18"/>
                    </w:rPr>
                    <w:t xml:space="preserve"> as the engineering and technology response to realize the objectives of reinforcing and modernizing water defenses and shortening the coastline.  The Delta Works is a massive, multi-billion dollar decades-long project to build and update the country’s dams, dikes, locks, and sluices. Today, the Delta Works represents a coordinated engineering marvel. The American Society of Civil Engineers went so far as to deem the Delta Works one of seven modern wonders of the wo</w:t>
                  </w:r>
                  <w:r>
                    <w:rPr>
                      <w:sz w:val="18"/>
                      <w:szCs w:val="18"/>
                    </w:rPr>
                    <w:t>rld. The project started in 1958 and completed some 40 years later in 1997</w:t>
                  </w:r>
                  <w:r w:rsidRPr="0026408B">
                    <w:rPr>
                      <w:sz w:val="18"/>
                      <w:szCs w:val="18"/>
                    </w:rPr>
                    <w:t>, costing a total of US$ 15 billion. As a result of this project, Netherlands is now considered as the safest delta in the world.</w:t>
                  </w:r>
                </w:p>
                <w:p w:rsidR="009D3B38" w:rsidRPr="004F2DF6" w:rsidRDefault="009D3B38" w:rsidP="00443CFB">
                  <w:pPr>
                    <w:pStyle w:val="NormalWeb"/>
                    <w:spacing w:before="0" w:beforeAutospacing="0" w:after="0" w:afterAutospacing="0"/>
                    <w:rPr>
                      <w:sz w:val="8"/>
                      <w:szCs w:val="18"/>
                    </w:rPr>
                  </w:pPr>
                </w:p>
                <w:p w:rsidR="009D3B38" w:rsidRPr="0026408B" w:rsidRDefault="009D3B38" w:rsidP="00443CFB">
                  <w:pPr>
                    <w:spacing w:after="0" w:line="240" w:lineRule="auto"/>
                    <w:jc w:val="both"/>
                    <w:rPr>
                      <w:rFonts w:eastAsia="Times New Roman" w:cs="Times New Roman"/>
                      <w:sz w:val="18"/>
                      <w:szCs w:val="18"/>
                    </w:rPr>
                  </w:pPr>
                  <w:r>
                    <w:rPr>
                      <w:rFonts w:eastAsia="Times New Roman" w:cs="Times New Roman"/>
                      <w:sz w:val="18"/>
                      <w:szCs w:val="18"/>
                    </w:rPr>
                    <w:t xml:space="preserve">Despite this solid </w:t>
                  </w:r>
                  <w:r w:rsidRPr="0026408B">
                    <w:rPr>
                      <w:rFonts w:eastAsia="Times New Roman" w:cs="Times New Roman"/>
                      <w:sz w:val="18"/>
                      <w:szCs w:val="18"/>
                    </w:rPr>
                    <w:t>progress with institut</w:t>
                  </w:r>
                  <w:r>
                    <w:rPr>
                      <w:rFonts w:eastAsia="Times New Roman" w:cs="Times New Roman"/>
                      <w:sz w:val="18"/>
                      <w:szCs w:val="18"/>
                    </w:rPr>
                    <w:t>ions (Delta Commission, Delta Law</w:t>
                  </w:r>
                  <w:r w:rsidRPr="0026408B">
                    <w:rPr>
                      <w:rFonts w:eastAsia="Times New Roman" w:cs="Times New Roman"/>
                      <w:sz w:val="18"/>
                      <w:szCs w:val="18"/>
                    </w:rPr>
                    <w:t xml:space="preserve"> and the Delta Plan)</w:t>
                  </w:r>
                  <w:r>
                    <w:rPr>
                      <w:rFonts w:eastAsia="Times New Roman" w:cs="Times New Roman"/>
                      <w:sz w:val="18"/>
                      <w:szCs w:val="18"/>
                    </w:rPr>
                    <w:t xml:space="preserve"> and</w:t>
                  </w:r>
                  <w:r w:rsidRPr="0026408B">
                    <w:rPr>
                      <w:rFonts w:eastAsia="Times New Roman" w:cs="Times New Roman"/>
                      <w:sz w:val="18"/>
                      <w:szCs w:val="18"/>
                    </w:rPr>
                    <w:t xml:space="preserve"> the implementation of state of the art flood prevention infrastructure through the Delta Works, the Dutch did not rest on these laurels and become complacent.  Armed with the evidence of global climate change and the projected effects on the Netherlands especially in term of rising sea level, the Dutch government instituted the</w:t>
                  </w:r>
                  <w:r>
                    <w:rPr>
                      <w:rFonts w:eastAsia="Times New Roman" w:cs="Times New Roman"/>
                      <w:sz w:val="18"/>
                      <w:szCs w:val="18"/>
                    </w:rPr>
                    <w:t xml:space="preserve"> second Delta Commission in 2008.  B</w:t>
                  </w:r>
                  <w:r w:rsidRPr="0026408B">
                    <w:rPr>
                      <w:rFonts w:eastAsia="Times New Roman" w:cs="Times New Roman"/>
                      <w:sz w:val="18"/>
                      <w:szCs w:val="18"/>
                    </w:rPr>
                    <w:t>ased on its recommendations</w:t>
                  </w:r>
                  <w:r>
                    <w:rPr>
                      <w:rFonts w:eastAsia="Times New Roman" w:cs="Times New Roman"/>
                      <w:sz w:val="18"/>
                      <w:szCs w:val="18"/>
                    </w:rPr>
                    <w:t>, it</w:t>
                  </w:r>
                  <w:r w:rsidRPr="0026408B">
                    <w:rPr>
                      <w:rFonts w:eastAsia="Times New Roman" w:cs="Times New Roman"/>
                      <w:sz w:val="18"/>
                      <w:szCs w:val="18"/>
                    </w:rPr>
                    <w:t xml:space="preserve"> adopted the Delta </w:t>
                  </w:r>
                  <w:r>
                    <w:rPr>
                      <w:rFonts w:eastAsia="Times New Roman" w:cs="Times New Roman"/>
                      <w:sz w:val="18"/>
                      <w:szCs w:val="18"/>
                    </w:rPr>
                    <w:t>Act in 2011</w:t>
                  </w:r>
                  <w:r w:rsidRPr="0026408B">
                    <w:rPr>
                      <w:rFonts w:eastAsia="Times New Roman" w:cs="Times New Roman"/>
                      <w:sz w:val="18"/>
                      <w:szCs w:val="18"/>
                    </w:rPr>
                    <w:t>, established the Delta Commission</w:t>
                  </w:r>
                  <w:r>
                    <w:rPr>
                      <w:rFonts w:eastAsia="Times New Roman" w:cs="Times New Roman"/>
                      <w:sz w:val="18"/>
                      <w:szCs w:val="18"/>
                    </w:rPr>
                    <w:t>er to manage the Delta Programme and set up</w:t>
                  </w:r>
                  <w:r w:rsidRPr="0026408B">
                    <w:rPr>
                      <w:rFonts w:eastAsia="Times New Roman" w:cs="Times New Roman"/>
                      <w:sz w:val="18"/>
                      <w:szCs w:val="18"/>
                    </w:rPr>
                    <w:t xml:space="preserve"> the Delta Fund</w:t>
                  </w:r>
                  <w:r>
                    <w:rPr>
                      <w:rFonts w:eastAsia="Times New Roman" w:cs="Times New Roman"/>
                      <w:sz w:val="18"/>
                      <w:szCs w:val="18"/>
                    </w:rPr>
                    <w:t xml:space="preserve"> to provide annual funding on a long-term basis</w:t>
                  </w:r>
                  <w:r w:rsidRPr="0026408B">
                    <w:rPr>
                      <w:rFonts w:eastAsia="Times New Roman" w:cs="Times New Roman"/>
                      <w:sz w:val="18"/>
                      <w:szCs w:val="18"/>
                    </w:rPr>
                    <w:t xml:space="preserve">. The </w:t>
                  </w:r>
                  <w:r>
                    <w:rPr>
                      <w:rFonts w:eastAsia="Times New Roman" w:cs="Times New Roman"/>
                      <w:sz w:val="18"/>
                      <w:szCs w:val="18"/>
                    </w:rPr>
                    <w:t>new</w:t>
                  </w:r>
                  <w:r w:rsidRPr="0026408B">
                    <w:rPr>
                      <w:rFonts w:eastAsia="Times New Roman" w:cs="Times New Roman"/>
                      <w:sz w:val="18"/>
                      <w:szCs w:val="18"/>
                    </w:rPr>
                    <w:t xml:space="preserve"> Delta Programme is a national programme in which the Dutch government, provinces, municipalities and water authorities work together in collaboration with civil society organisations, the business community and research institutes under the direction of the appointed commissioner for the Delta Programme (the Delta Commissioner). The Delta Programme is aimed at maintaining the Netherlands as a safe and attractive country. The current Delta Programme has three national programmes (fresh water supply, new safety standards for flood risk and reconstruction and development) and six regional programmes (the Coastal zone (mainly dunes), the Wadden Sea Area, the South Western Delta (Scheldt Delta), the Rhine and Meuse Delta, the lake IJsselmeer Area and the two major rivers Rhine and Meuse). The programme aims at supporting the Delta Decisions on five major issues related to water management in the Netherlands, by providing long-term analyses that cover the period from 2015 to 2100.</w:t>
                  </w:r>
                </w:p>
                <w:p w:rsidR="009D3B38" w:rsidRPr="004F2DF6" w:rsidRDefault="009D3B38" w:rsidP="00443CFB">
                  <w:pPr>
                    <w:spacing w:after="0" w:line="240" w:lineRule="auto"/>
                    <w:jc w:val="both"/>
                    <w:rPr>
                      <w:rFonts w:eastAsia="Times New Roman" w:cs="Times New Roman"/>
                      <w:sz w:val="10"/>
                      <w:szCs w:val="18"/>
                    </w:rPr>
                  </w:pPr>
                </w:p>
                <w:p w:rsidR="009D3B38" w:rsidRDefault="009D3B38" w:rsidP="00443CFB">
                  <w:pPr>
                    <w:spacing w:after="0" w:line="240" w:lineRule="auto"/>
                    <w:jc w:val="both"/>
                    <w:rPr>
                      <w:rFonts w:eastAsia="Times New Roman" w:cs="Times New Roman"/>
                      <w:sz w:val="18"/>
                      <w:szCs w:val="18"/>
                    </w:rPr>
                  </w:pPr>
                  <w:r w:rsidRPr="0026408B">
                    <w:rPr>
                      <w:rFonts w:eastAsia="Times New Roman" w:cs="Times New Roman"/>
                      <w:sz w:val="18"/>
                      <w:szCs w:val="18"/>
                    </w:rPr>
                    <w:t>The three Ds of the new Delta Programme: the Delta Act, the Delta Commission</w:t>
                  </w:r>
                  <w:r>
                    <w:rPr>
                      <w:rFonts w:eastAsia="Times New Roman" w:cs="Times New Roman"/>
                      <w:sz w:val="18"/>
                      <w:szCs w:val="18"/>
                    </w:rPr>
                    <w:t>er</w:t>
                  </w:r>
                  <w:r w:rsidRPr="0026408B">
                    <w:rPr>
                      <w:rFonts w:eastAsia="Times New Roman" w:cs="Times New Roman"/>
                      <w:sz w:val="18"/>
                      <w:szCs w:val="18"/>
                    </w:rPr>
                    <w:t xml:space="preserve"> and the Delta Fund together constitute a most comprehensive and well thought Delta management programme. The three D's</w:t>
                  </w:r>
                  <w:r>
                    <w:rPr>
                      <w:rFonts w:eastAsia="Times New Roman" w:cs="Times New Roman"/>
                      <w:sz w:val="18"/>
                      <w:szCs w:val="18"/>
                    </w:rPr>
                    <w:t xml:space="preserve"> are essentially institutions for </w:t>
                  </w:r>
                  <w:r w:rsidRPr="0026408B">
                    <w:rPr>
                      <w:rFonts w:eastAsia="Times New Roman" w:cs="Times New Roman"/>
                      <w:sz w:val="18"/>
                      <w:szCs w:val="18"/>
                    </w:rPr>
                    <w:t>coordinating the efforts of a large number of water institutions working at the central level, at the provincial level, at the municipal level and at the lev</w:t>
                  </w:r>
                  <w:r>
                    <w:rPr>
                      <w:rFonts w:eastAsia="Times New Roman" w:cs="Times New Roman"/>
                      <w:sz w:val="18"/>
                      <w:szCs w:val="18"/>
                    </w:rPr>
                    <w:t xml:space="preserve">el of water user authorities. The </w:t>
                  </w:r>
                  <w:r w:rsidRPr="0026408B">
                    <w:rPr>
                      <w:rFonts w:eastAsia="Times New Roman" w:cs="Times New Roman"/>
                      <w:sz w:val="18"/>
                      <w:szCs w:val="18"/>
                    </w:rPr>
                    <w:t xml:space="preserve">Dutch Delta management is heavily decentralized and the Delta Programme plays an essential coordination role with emphasis on research, modeling, long-term planning, policy and regulatory support and financial assistance. The implementation of actual water investments and other programs are done by the decentralized agencies at the various levels.  </w:t>
                  </w:r>
                </w:p>
                <w:p w:rsidR="009D3B38" w:rsidRPr="004F2DF6" w:rsidRDefault="009D3B38" w:rsidP="00443CFB">
                  <w:pPr>
                    <w:spacing w:after="0" w:line="240" w:lineRule="auto"/>
                    <w:jc w:val="both"/>
                    <w:rPr>
                      <w:rFonts w:eastAsia="Times New Roman" w:cs="Times New Roman"/>
                      <w:sz w:val="12"/>
                      <w:szCs w:val="18"/>
                    </w:rPr>
                  </w:pPr>
                </w:p>
                <w:p w:rsidR="009D3B38" w:rsidRPr="00B339AF" w:rsidRDefault="009D3B38" w:rsidP="00443CFB">
                  <w:pPr>
                    <w:spacing w:after="0" w:line="240" w:lineRule="auto"/>
                    <w:jc w:val="both"/>
                    <w:rPr>
                      <w:rFonts w:eastAsia="Times New Roman" w:cs="Times New Roman"/>
                      <w:sz w:val="18"/>
                      <w:szCs w:val="18"/>
                    </w:rPr>
                  </w:pPr>
                  <w:r w:rsidRPr="00B339AF">
                    <w:rPr>
                      <w:rFonts w:eastAsia="Times New Roman" w:cs="Times New Roman"/>
                      <w:sz w:val="18"/>
                      <w:szCs w:val="18"/>
                    </w:rPr>
                    <w:t xml:space="preserve">Much of the funding for water programs come from the resources of the decentralized water institutions. </w:t>
                  </w:r>
                  <w:r>
                    <w:rPr>
                      <w:rFonts w:eastAsia="Times New Roman" w:cs="Times New Roman"/>
                      <w:sz w:val="18"/>
                      <w:szCs w:val="18"/>
                    </w:rPr>
                    <w:t xml:space="preserve">Data available for 2010 show that a total of Euro 5.2 billion was spent on water programmes, of which Euro (€)1.1 billion came from the National Budget (21%); €2.6 billion (50%) from regional water boards; €1.3 billion from municipalities (25%) and €300 million from provinces (4%).  </w:t>
                  </w:r>
                  <w:r w:rsidRPr="00B339AF">
                    <w:rPr>
                      <w:rFonts w:eastAsia="Times New Roman" w:cs="Times New Roman"/>
                      <w:sz w:val="18"/>
                      <w:szCs w:val="18"/>
                    </w:rPr>
                    <w:t xml:space="preserve">Programmes supported at the national level are funded by the National Budget. With much of the capital spending required for flood safety out of the </w:t>
                  </w:r>
                  <w:r>
                    <w:rPr>
                      <w:rFonts w:eastAsia="Times New Roman" w:cs="Times New Roman"/>
                      <w:sz w:val="18"/>
                      <w:szCs w:val="18"/>
                    </w:rPr>
                    <w:t xml:space="preserve">way </w:t>
                  </w:r>
                  <w:r w:rsidRPr="00B339AF">
                    <w:rPr>
                      <w:rFonts w:eastAsia="Times New Roman" w:cs="Times New Roman"/>
                      <w:sz w:val="18"/>
                      <w:szCs w:val="18"/>
                    </w:rPr>
                    <w:t>owing to the Delta Works, yearly resources are n</w:t>
                  </w:r>
                  <w:r>
                    <w:rPr>
                      <w:rFonts w:eastAsia="Times New Roman" w:cs="Times New Roman"/>
                      <w:sz w:val="18"/>
                      <w:szCs w:val="18"/>
                    </w:rPr>
                    <w:t>eeded for research, modeling, an</w:t>
                  </w:r>
                  <w:r w:rsidRPr="00B339AF">
                    <w:rPr>
                      <w:rFonts w:eastAsia="Times New Roman" w:cs="Times New Roman"/>
                      <w:sz w:val="18"/>
                      <w:szCs w:val="18"/>
                    </w:rPr>
                    <w:t>d maintenance and upgrading of individual infrastructure. To ensure that critical water programmes are adequately funded, the Delta Act established the Delta Fund</w:t>
                  </w:r>
                  <w:r>
                    <w:rPr>
                      <w:rFonts w:eastAsia="Times New Roman" w:cs="Times New Roman"/>
                      <w:sz w:val="18"/>
                      <w:szCs w:val="18"/>
                    </w:rPr>
                    <w:t xml:space="preserve">, dedicated to finance the needs of the Delta Programme. </w:t>
                  </w:r>
                  <w:r w:rsidRPr="00B339AF">
                    <w:rPr>
                      <w:rFonts w:eastAsia="Times New Roman" w:cs="Times New Roman"/>
                      <w:sz w:val="18"/>
                      <w:szCs w:val="18"/>
                    </w:rPr>
                    <w:t xml:space="preserve"> Cur</w:t>
                  </w:r>
                  <w:r>
                    <w:rPr>
                      <w:rFonts w:eastAsia="Times New Roman" w:cs="Times New Roman"/>
                      <w:sz w:val="18"/>
                      <w:szCs w:val="18"/>
                    </w:rPr>
                    <w:t>rently this amounts to about €</w:t>
                  </w:r>
                  <w:r w:rsidRPr="00B339AF">
                    <w:rPr>
                      <w:rFonts w:eastAsia="Times New Roman" w:cs="Times New Roman"/>
                      <w:sz w:val="18"/>
                      <w:szCs w:val="18"/>
                    </w:rPr>
                    <w:t xml:space="preserve">1.0 billion per year, which is 0.15% of the Dutch GDP.  This relatively small amount of money is ear-marked at the disposal of the Delta Commission and managed by the Delta Commissioner. Spending priorities are agreed consultatively with </w:t>
                  </w:r>
                  <w:r>
                    <w:rPr>
                      <w:rFonts w:eastAsia="Times New Roman" w:cs="Times New Roman"/>
                      <w:sz w:val="18"/>
                      <w:szCs w:val="18"/>
                    </w:rPr>
                    <w:t xml:space="preserve">the </w:t>
                  </w:r>
                  <w:r w:rsidRPr="00B339AF">
                    <w:rPr>
                      <w:rFonts w:eastAsia="Times New Roman" w:cs="Times New Roman"/>
                      <w:sz w:val="18"/>
                      <w:szCs w:val="18"/>
                    </w:rPr>
                    <w:t xml:space="preserve">participation of all decentralized water institutions, the national government and the parliament.  </w:t>
                  </w:r>
                  <w:r>
                    <w:rPr>
                      <w:rFonts w:eastAsia="Times New Roman" w:cs="Times New Roman"/>
                      <w:sz w:val="18"/>
                      <w:szCs w:val="18"/>
                    </w:rPr>
                    <w:t xml:space="preserve">These resources are mainly used for the national level projects but are also available for co-financing priority projects managed by the decentralized water agencies. </w:t>
                  </w:r>
                  <w:r w:rsidRPr="00B339AF">
                    <w:rPr>
                      <w:rFonts w:eastAsia="Times New Roman" w:cs="Times New Roman"/>
                      <w:sz w:val="18"/>
                      <w:szCs w:val="18"/>
                    </w:rPr>
                    <w:t xml:space="preserve"> </w:t>
                  </w:r>
                  <w:r>
                    <w:rPr>
                      <w:rFonts w:eastAsia="Times New Roman" w:cs="Times New Roman"/>
                      <w:sz w:val="18"/>
                      <w:szCs w:val="18"/>
                    </w:rPr>
                    <w:t xml:space="preserve">Knowledge management and research gets a top priority in the Delta Programme that allows the Netherlands to remain at the cutting edge of climate change and water management technologies. </w:t>
                  </w:r>
                  <w:r w:rsidRPr="00B339AF">
                    <w:rPr>
                      <w:rFonts w:eastAsia="Times New Roman" w:cs="Times New Roman"/>
                      <w:sz w:val="18"/>
                      <w:szCs w:val="18"/>
                    </w:rPr>
                    <w:t xml:space="preserve">   </w:t>
                  </w:r>
                </w:p>
                <w:p w:rsidR="009D3B38" w:rsidRPr="00B339AF" w:rsidRDefault="009D3B38" w:rsidP="00443CFB">
                  <w:pPr>
                    <w:jc w:val="both"/>
                    <w:rPr>
                      <w:sz w:val="18"/>
                      <w:szCs w:val="18"/>
                    </w:rPr>
                  </w:pPr>
                </w:p>
                <w:p w:rsidR="009D3B38" w:rsidRDefault="009D3B38"/>
                <w:p w:rsidR="009D3B38" w:rsidRDefault="009D3B38">
                  <w:r w:rsidRPr="00134A06">
                    <w:t xml:space="preserve">Box </w:t>
                  </w:r>
                </w:p>
              </w:txbxContent>
            </v:textbox>
            <w10:wrap type="none"/>
            <w10:anchorlock/>
          </v:shape>
        </w:pict>
      </w:r>
    </w:p>
    <w:p w:rsidR="00566D85" w:rsidRDefault="00566D85" w:rsidP="003D5A31">
      <w:pPr>
        <w:pStyle w:val="ListParagraph"/>
        <w:numPr>
          <w:ilvl w:val="0"/>
          <w:numId w:val="91"/>
        </w:numPr>
        <w:spacing w:after="0" w:line="276" w:lineRule="auto"/>
        <w:jc w:val="both"/>
        <w:rPr>
          <w:rFonts w:cs="Times New Roman"/>
          <w:szCs w:val="24"/>
        </w:rPr>
      </w:pPr>
      <w:r w:rsidRPr="00C909F9">
        <w:rPr>
          <w:rFonts w:cs="Times New Roman"/>
          <w:b/>
          <w:szCs w:val="24"/>
        </w:rPr>
        <w:lastRenderedPageBreak/>
        <w:t xml:space="preserve">Regional water cooperation: </w:t>
      </w:r>
      <w:r>
        <w:rPr>
          <w:rFonts w:cs="Times New Roman"/>
          <w:szCs w:val="24"/>
        </w:rPr>
        <w:t xml:space="preserve"> A second major lesson from the global delta experiences is the importance of water cooperation agreements among riparians. Many rivers originate in one country, travel through several other countries and finally drain out to the sea in another country. These rivers are a common resource for all riparians. </w:t>
      </w:r>
      <w:r>
        <w:t>More than half the world’s population depends daily upon water resources shared by more than one country. Some 40% of the world’s population live</w:t>
      </w:r>
      <w:r w:rsidR="009F73C1">
        <w:t>s</w:t>
      </w:r>
      <w:r>
        <w:t xml:space="preserve"> in river and lake basins that comprise two or more countries and 90% live in countries that share basins.</w:t>
      </w:r>
      <w:r>
        <w:rPr>
          <w:rFonts w:cs="Times New Roman"/>
          <w:szCs w:val="24"/>
        </w:rPr>
        <w:t xml:space="preserve"> Yet adverse developments resulting from non-cooperative behavior of an upstream country could create havoc in terms of water shortages and or flooding for downstream countries.  Rather than go to </w:t>
      </w:r>
      <w:r w:rsidR="00403A7D">
        <w:rPr>
          <w:rFonts w:cs="Times New Roman"/>
          <w:szCs w:val="24"/>
        </w:rPr>
        <w:t xml:space="preserve">conflict </w:t>
      </w:r>
      <w:r>
        <w:rPr>
          <w:rFonts w:cs="Times New Roman"/>
          <w:szCs w:val="24"/>
        </w:rPr>
        <w:t xml:space="preserve">and end up in a lose-lose situation, many delta countries sharing a common river have agreed to share the water as a common resource. </w:t>
      </w:r>
    </w:p>
    <w:p w:rsidR="00566D85" w:rsidRDefault="00566D85" w:rsidP="00566D85">
      <w:pPr>
        <w:pStyle w:val="ListParagraph"/>
        <w:spacing w:after="0"/>
        <w:ind w:left="360"/>
        <w:jc w:val="both"/>
        <w:rPr>
          <w:rFonts w:cs="Times New Roman"/>
          <w:szCs w:val="24"/>
        </w:rPr>
      </w:pPr>
    </w:p>
    <w:p w:rsidR="00566D85" w:rsidRPr="009F73C1" w:rsidRDefault="00566D85" w:rsidP="00566D85">
      <w:pPr>
        <w:spacing w:after="0" w:line="276" w:lineRule="auto"/>
        <w:ind w:left="360"/>
        <w:jc w:val="both"/>
        <w:rPr>
          <w:rStyle w:val="apple-converted-space"/>
          <w:rFonts w:cs="Times New Roman"/>
          <w:szCs w:val="24"/>
          <w:shd w:val="clear" w:color="auto" w:fill="FFFFFF"/>
        </w:rPr>
      </w:pPr>
      <w:r w:rsidRPr="00566D85">
        <w:rPr>
          <w:rFonts w:cs="Times New Roman"/>
          <w:szCs w:val="24"/>
        </w:rPr>
        <w:t>The usual approach is to take a river basin view and reach specific agreements about water rights and responsibilities among the riparians.  Good examples include the Indus Basin Treaty (India and Pakistan); the Nile Basin Initiative (</w:t>
      </w:r>
      <w:hyperlink r:id="rId192" w:tooltip="Egypt" w:history="1">
        <w:r w:rsidRPr="009F73C1">
          <w:rPr>
            <w:rStyle w:val="Hyperlink"/>
            <w:rFonts w:cs="Times New Roman"/>
            <w:color w:val="auto"/>
            <w:szCs w:val="24"/>
            <w:u w:val="none"/>
          </w:rPr>
          <w:t>Egypt</w:t>
        </w:r>
      </w:hyperlink>
      <w:r w:rsidRPr="009F73C1">
        <w:rPr>
          <w:rFonts w:cs="Times New Roman"/>
          <w:szCs w:val="24"/>
        </w:rPr>
        <w:t xml:space="preserve">, </w:t>
      </w:r>
      <w:hyperlink r:id="rId193" w:tooltip="Sudan" w:history="1">
        <w:r w:rsidRPr="009F73C1">
          <w:rPr>
            <w:rStyle w:val="Hyperlink"/>
            <w:rFonts w:cs="Times New Roman"/>
            <w:color w:val="auto"/>
            <w:szCs w:val="24"/>
            <w:u w:val="none"/>
          </w:rPr>
          <w:t>Sudan</w:t>
        </w:r>
      </w:hyperlink>
      <w:r w:rsidRPr="009F73C1">
        <w:rPr>
          <w:rFonts w:cs="Times New Roman"/>
          <w:szCs w:val="24"/>
        </w:rPr>
        <w:t xml:space="preserve">, </w:t>
      </w:r>
      <w:hyperlink r:id="rId194" w:tooltip="Ethiopia" w:history="1">
        <w:r w:rsidRPr="009F73C1">
          <w:rPr>
            <w:rStyle w:val="Hyperlink"/>
            <w:rFonts w:cs="Times New Roman"/>
            <w:color w:val="auto"/>
            <w:szCs w:val="24"/>
            <w:u w:val="none"/>
          </w:rPr>
          <w:t>Ethiopia</w:t>
        </w:r>
      </w:hyperlink>
      <w:r w:rsidRPr="009F73C1">
        <w:rPr>
          <w:rFonts w:cs="Times New Roman"/>
          <w:szCs w:val="24"/>
        </w:rPr>
        <w:t xml:space="preserve">, </w:t>
      </w:r>
      <w:hyperlink r:id="rId195" w:tooltip="Uganda" w:history="1">
        <w:r w:rsidRPr="009F73C1">
          <w:rPr>
            <w:rStyle w:val="Hyperlink"/>
            <w:rFonts w:cs="Times New Roman"/>
            <w:color w:val="auto"/>
            <w:szCs w:val="24"/>
            <w:u w:val="none"/>
          </w:rPr>
          <w:t>Uganda</w:t>
        </w:r>
      </w:hyperlink>
      <w:r w:rsidRPr="009F73C1">
        <w:rPr>
          <w:rFonts w:cs="Times New Roman"/>
          <w:szCs w:val="24"/>
        </w:rPr>
        <w:t xml:space="preserve">, </w:t>
      </w:r>
      <w:hyperlink r:id="rId196" w:tooltip="Kenya" w:history="1">
        <w:r w:rsidRPr="009F73C1">
          <w:rPr>
            <w:rStyle w:val="Hyperlink"/>
            <w:rFonts w:cs="Times New Roman"/>
            <w:color w:val="auto"/>
            <w:szCs w:val="24"/>
            <w:u w:val="none"/>
          </w:rPr>
          <w:t>Kenya</w:t>
        </w:r>
      </w:hyperlink>
      <w:r w:rsidRPr="009F73C1">
        <w:rPr>
          <w:rFonts w:cs="Times New Roman"/>
          <w:szCs w:val="24"/>
        </w:rPr>
        <w:t xml:space="preserve">, </w:t>
      </w:r>
      <w:hyperlink r:id="rId197" w:tooltip="Tanzania" w:history="1">
        <w:r w:rsidRPr="009F73C1">
          <w:rPr>
            <w:rStyle w:val="Hyperlink"/>
            <w:rFonts w:cs="Times New Roman"/>
            <w:color w:val="auto"/>
            <w:szCs w:val="24"/>
            <w:u w:val="none"/>
          </w:rPr>
          <w:t>Tanzania</w:t>
        </w:r>
      </w:hyperlink>
      <w:r w:rsidRPr="009F73C1">
        <w:rPr>
          <w:rFonts w:cs="Times New Roman"/>
          <w:szCs w:val="24"/>
        </w:rPr>
        <w:t xml:space="preserve">, </w:t>
      </w:r>
      <w:hyperlink r:id="rId198" w:tooltip="Burundi" w:history="1">
        <w:r w:rsidRPr="009F73C1">
          <w:rPr>
            <w:rStyle w:val="Hyperlink"/>
            <w:rFonts w:cs="Times New Roman"/>
            <w:color w:val="auto"/>
            <w:szCs w:val="24"/>
            <w:u w:val="none"/>
          </w:rPr>
          <w:t>Burundi</w:t>
        </w:r>
      </w:hyperlink>
      <w:r w:rsidRPr="009F73C1">
        <w:rPr>
          <w:rFonts w:cs="Times New Roman"/>
          <w:szCs w:val="24"/>
        </w:rPr>
        <w:t xml:space="preserve">, </w:t>
      </w:r>
      <w:hyperlink r:id="rId199" w:tooltip="Rwanda" w:history="1">
        <w:r w:rsidRPr="009F73C1">
          <w:rPr>
            <w:rStyle w:val="Hyperlink"/>
            <w:rFonts w:cs="Times New Roman"/>
            <w:color w:val="auto"/>
            <w:szCs w:val="24"/>
            <w:u w:val="none"/>
          </w:rPr>
          <w:t>Rwanda</w:t>
        </w:r>
      </w:hyperlink>
      <w:r w:rsidRPr="009F73C1">
        <w:rPr>
          <w:rFonts w:cs="Times New Roman"/>
          <w:szCs w:val="24"/>
        </w:rPr>
        <w:t xml:space="preserve">, the </w:t>
      </w:r>
      <w:hyperlink r:id="rId200" w:tooltip="Democratic Republic of Congo" w:history="1">
        <w:r w:rsidRPr="009F73C1">
          <w:rPr>
            <w:rStyle w:val="Hyperlink"/>
            <w:rFonts w:cs="Times New Roman"/>
            <w:color w:val="auto"/>
            <w:szCs w:val="24"/>
            <w:u w:val="none"/>
          </w:rPr>
          <w:t>Democratic Re</w:t>
        </w:r>
        <w:r w:rsidR="000B096E">
          <w:rPr>
            <w:rStyle w:val="Hyperlink"/>
            <w:rFonts w:cs="Times New Roman"/>
            <w:color w:val="auto"/>
            <w:szCs w:val="24"/>
            <w:u w:val="none"/>
          </w:rPr>
          <w:t>public</w:t>
        </w:r>
        <w:r w:rsidRPr="009F73C1">
          <w:rPr>
            <w:rStyle w:val="Hyperlink"/>
            <w:rFonts w:cs="Times New Roman"/>
            <w:color w:val="auto"/>
            <w:szCs w:val="24"/>
            <w:u w:val="none"/>
          </w:rPr>
          <w:t xml:space="preserve"> of Congo</w:t>
        </w:r>
      </w:hyperlink>
      <w:r w:rsidRPr="009F73C1">
        <w:rPr>
          <w:rFonts w:cs="Times New Roman"/>
          <w:szCs w:val="24"/>
        </w:rPr>
        <w:t xml:space="preserve"> (DRC)); the Mekong Basin Commission (Vietnam, Cambodia, Laos and Thailand);  the Niger River Basin Authority </w:t>
      </w:r>
      <w:r w:rsidRPr="009F73C1">
        <w:rPr>
          <w:rStyle w:val="apple-converted-space"/>
          <w:rFonts w:cs="Times New Roman"/>
          <w:szCs w:val="24"/>
          <w:shd w:val="clear" w:color="auto" w:fill="FFFFFF"/>
        </w:rPr>
        <w:t>(</w:t>
      </w:r>
      <w:hyperlink r:id="rId201" w:tooltip="Benin" w:history="1">
        <w:r w:rsidRPr="009F73C1">
          <w:rPr>
            <w:rStyle w:val="Hyperlink"/>
            <w:rFonts w:cs="Times New Roman"/>
            <w:color w:val="auto"/>
            <w:szCs w:val="24"/>
            <w:u w:val="none"/>
            <w:shd w:val="clear" w:color="auto" w:fill="FFFFFF"/>
          </w:rPr>
          <w:t>Benin</w:t>
        </w:r>
      </w:hyperlink>
      <w:r w:rsidRPr="009F73C1">
        <w:rPr>
          <w:rFonts w:cs="Times New Roman"/>
          <w:szCs w:val="24"/>
          <w:shd w:val="clear" w:color="auto" w:fill="FFFFFF"/>
        </w:rPr>
        <w:t>,</w:t>
      </w:r>
      <w:r w:rsidRPr="009F73C1">
        <w:rPr>
          <w:rStyle w:val="apple-converted-space"/>
          <w:rFonts w:cs="Times New Roman"/>
          <w:szCs w:val="24"/>
          <w:shd w:val="clear" w:color="auto" w:fill="FFFFFF"/>
        </w:rPr>
        <w:t> </w:t>
      </w:r>
      <w:hyperlink r:id="rId202" w:tooltip="Burkina Faso" w:history="1">
        <w:r w:rsidRPr="009F73C1">
          <w:rPr>
            <w:rStyle w:val="Hyperlink"/>
            <w:rFonts w:cs="Times New Roman"/>
            <w:color w:val="auto"/>
            <w:szCs w:val="24"/>
            <w:u w:val="none"/>
            <w:shd w:val="clear" w:color="auto" w:fill="FFFFFF"/>
          </w:rPr>
          <w:t>Burkina Faso</w:t>
        </w:r>
      </w:hyperlink>
      <w:r w:rsidRPr="009F73C1">
        <w:rPr>
          <w:rFonts w:cs="Times New Roman"/>
          <w:szCs w:val="24"/>
          <w:shd w:val="clear" w:color="auto" w:fill="FFFFFF"/>
        </w:rPr>
        <w:t>,</w:t>
      </w:r>
      <w:r w:rsidRPr="009F73C1">
        <w:rPr>
          <w:rStyle w:val="apple-converted-space"/>
          <w:rFonts w:cs="Times New Roman"/>
          <w:szCs w:val="24"/>
          <w:shd w:val="clear" w:color="auto" w:fill="FFFFFF"/>
        </w:rPr>
        <w:t> </w:t>
      </w:r>
      <w:hyperlink r:id="rId203" w:tooltip="Cameroon" w:history="1">
        <w:r w:rsidRPr="009F73C1">
          <w:rPr>
            <w:rStyle w:val="Hyperlink"/>
            <w:rFonts w:cs="Times New Roman"/>
            <w:color w:val="auto"/>
            <w:szCs w:val="24"/>
            <w:u w:val="none"/>
            <w:shd w:val="clear" w:color="auto" w:fill="FFFFFF"/>
          </w:rPr>
          <w:t>Cameroon</w:t>
        </w:r>
      </w:hyperlink>
      <w:r w:rsidRPr="009F73C1">
        <w:rPr>
          <w:rFonts w:cs="Times New Roman"/>
          <w:szCs w:val="24"/>
          <w:shd w:val="clear" w:color="auto" w:fill="FFFFFF"/>
        </w:rPr>
        <w:t>,</w:t>
      </w:r>
      <w:r w:rsidRPr="009F73C1">
        <w:rPr>
          <w:rStyle w:val="apple-converted-space"/>
          <w:rFonts w:cs="Times New Roman"/>
          <w:szCs w:val="24"/>
          <w:shd w:val="clear" w:color="auto" w:fill="FFFFFF"/>
        </w:rPr>
        <w:t> </w:t>
      </w:r>
      <w:hyperlink r:id="rId204" w:tooltip="Chad" w:history="1">
        <w:r w:rsidRPr="009F73C1">
          <w:rPr>
            <w:rStyle w:val="Hyperlink"/>
            <w:rFonts w:cs="Times New Roman"/>
            <w:color w:val="auto"/>
            <w:szCs w:val="24"/>
            <w:u w:val="none"/>
            <w:shd w:val="clear" w:color="auto" w:fill="FFFFFF"/>
          </w:rPr>
          <w:t>Chad</w:t>
        </w:r>
      </w:hyperlink>
      <w:r w:rsidRPr="009F73C1">
        <w:rPr>
          <w:rFonts w:cs="Times New Roman"/>
          <w:szCs w:val="24"/>
          <w:shd w:val="clear" w:color="auto" w:fill="FFFFFF"/>
        </w:rPr>
        <w:t xml:space="preserve">, </w:t>
      </w:r>
      <w:hyperlink r:id="rId205" w:tooltip="Côte d'Ivoire" w:history="1">
        <w:r w:rsidRPr="009F73C1">
          <w:rPr>
            <w:rStyle w:val="Hyperlink"/>
            <w:rFonts w:cs="Times New Roman"/>
            <w:color w:val="auto"/>
            <w:szCs w:val="24"/>
            <w:u w:val="none"/>
            <w:shd w:val="clear" w:color="auto" w:fill="FFFFFF"/>
          </w:rPr>
          <w:t>Côte d'Ivoire</w:t>
        </w:r>
      </w:hyperlink>
      <w:r w:rsidRPr="009F73C1">
        <w:rPr>
          <w:rFonts w:cs="Times New Roman"/>
          <w:szCs w:val="24"/>
          <w:shd w:val="clear" w:color="auto" w:fill="FFFFFF"/>
        </w:rPr>
        <w:t>,</w:t>
      </w:r>
      <w:r w:rsidRPr="009F73C1">
        <w:rPr>
          <w:rStyle w:val="apple-converted-space"/>
          <w:rFonts w:cs="Times New Roman"/>
          <w:szCs w:val="24"/>
          <w:shd w:val="clear" w:color="auto" w:fill="FFFFFF"/>
        </w:rPr>
        <w:t> </w:t>
      </w:r>
      <w:hyperlink r:id="rId206" w:tooltip="Guinea" w:history="1">
        <w:r w:rsidRPr="009F73C1">
          <w:rPr>
            <w:rStyle w:val="Hyperlink"/>
            <w:rFonts w:cs="Times New Roman"/>
            <w:color w:val="auto"/>
            <w:szCs w:val="24"/>
            <w:u w:val="none"/>
            <w:shd w:val="clear" w:color="auto" w:fill="FFFFFF"/>
          </w:rPr>
          <w:t>Guinea</w:t>
        </w:r>
      </w:hyperlink>
      <w:r w:rsidRPr="009F73C1">
        <w:rPr>
          <w:rFonts w:cs="Times New Roman"/>
          <w:szCs w:val="24"/>
          <w:shd w:val="clear" w:color="auto" w:fill="FFFFFF"/>
        </w:rPr>
        <w:t>,</w:t>
      </w:r>
      <w:r w:rsidRPr="009F73C1">
        <w:rPr>
          <w:rStyle w:val="apple-converted-space"/>
          <w:rFonts w:cs="Times New Roman"/>
          <w:szCs w:val="24"/>
          <w:shd w:val="clear" w:color="auto" w:fill="FFFFFF"/>
        </w:rPr>
        <w:t> </w:t>
      </w:r>
      <w:hyperlink r:id="rId207" w:tooltip="Mali" w:history="1">
        <w:r w:rsidRPr="009F73C1">
          <w:rPr>
            <w:rStyle w:val="Hyperlink"/>
            <w:rFonts w:cs="Times New Roman"/>
            <w:color w:val="auto"/>
            <w:szCs w:val="24"/>
            <w:u w:val="none"/>
            <w:shd w:val="clear" w:color="auto" w:fill="FFFFFF"/>
          </w:rPr>
          <w:t>Mali</w:t>
        </w:r>
      </w:hyperlink>
      <w:r w:rsidRPr="009F73C1">
        <w:rPr>
          <w:rFonts w:cs="Times New Roman"/>
          <w:szCs w:val="24"/>
          <w:shd w:val="clear" w:color="auto" w:fill="FFFFFF"/>
        </w:rPr>
        <w:t>,</w:t>
      </w:r>
      <w:r w:rsidRPr="009F73C1">
        <w:rPr>
          <w:rStyle w:val="apple-converted-space"/>
          <w:rFonts w:cs="Times New Roman"/>
          <w:szCs w:val="24"/>
          <w:shd w:val="clear" w:color="auto" w:fill="FFFFFF"/>
        </w:rPr>
        <w:t> </w:t>
      </w:r>
      <w:hyperlink r:id="rId208" w:tooltip="Niger" w:history="1">
        <w:r w:rsidRPr="009F73C1">
          <w:rPr>
            <w:rStyle w:val="Hyperlink"/>
            <w:rFonts w:cs="Times New Roman"/>
            <w:color w:val="auto"/>
            <w:szCs w:val="24"/>
            <w:u w:val="none"/>
            <w:shd w:val="clear" w:color="auto" w:fill="FFFFFF"/>
          </w:rPr>
          <w:t>Niger</w:t>
        </w:r>
      </w:hyperlink>
      <w:r w:rsidRPr="009F73C1">
        <w:rPr>
          <w:rStyle w:val="apple-converted-space"/>
          <w:rFonts w:cs="Times New Roman"/>
          <w:szCs w:val="24"/>
          <w:shd w:val="clear" w:color="auto" w:fill="FFFFFF"/>
        </w:rPr>
        <w:t> </w:t>
      </w:r>
      <w:r w:rsidRPr="009F73C1">
        <w:rPr>
          <w:rFonts w:cs="Times New Roman"/>
          <w:szCs w:val="24"/>
          <w:shd w:val="clear" w:color="auto" w:fill="FFFFFF"/>
        </w:rPr>
        <w:t>and</w:t>
      </w:r>
      <w:r w:rsidRPr="009F73C1">
        <w:rPr>
          <w:rStyle w:val="apple-converted-space"/>
          <w:rFonts w:cs="Times New Roman"/>
          <w:szCs w:val="24"/>
          <w:shd w:val="clear" w:color="auto" w:fill="FFFFFF"/>
        </w:rPr>
        <w:t> </w:t>
      </w:r>
    </w:p>
    <w:p w:rsidR="00566D85" w:rsidRPr="00566D85" w:rsidRDefault="001A12B2" w:rsidP="00566D85">
      <w:pPr>
        <w:spacing w:after="0" w:line="276" w:lineRule="auto"/>
        <w:ind w:left="360"/>
        <w:jc w:val="both"/>
        <w:rPr>
          <w:rFonts w:cs="Times New Roman"/>
          <w:szCs w:val="24"/>
        </w:rPr>
      </w:pPr>
      <w:hyperlink r:id="rId209" w:tooltip="Nigeria" w:history="1">
        <w:r w:rsidR="00566D85" w:rsidRPr="009F73C1">
          <w:rPr>
            <w:rStyle w:val="Hyperlink"/>
            <w:rFonts w:cs="Times New Roman"/>
            <w:color w:val="auto"/>
            <w:szCs w:val="24"/>
            <w:u w:val="none"/>
            <w:shd w:val="clear" w:color="auto" w:fill="FFFFFF"/>
          </w:rPr>
          <w:t>Nigeria</w:t>
        </w:r>
      </w:hyperlink>
      <w:r w:rsidR="00566D85" w:rsidRPr="009F73C1">
        <w:rPr>
          <w:rFonts w:cs="Times New Roman"/>
          <w:szCs w:val="24"/>
        </w:rPr>
        <w:t>)</w:t>
      </w:r>
      <w:r w:rsidR="00566D85" w:rsidRPr="009F73C1">
        <w:rPr>
          <w:rFonts w:cs="Times New Roman"/>
          <w:szCs w:val="24"/>
          <w:shd w:val="clear" w:color="auto" w:fill="FFFFFF"/>
        </w:rPr>
        <w:t xml:space="preserve"> </w:t>
      </w:r>
      <w:r w:rsidR="00566D85" w:rsidRPr="009F73C1">
        <w:rPr>
          <w:rFonts w:cs="Times New Roman"/>
          <w:szCs w:val="24"/>
        </w:rPr>
        <w:t>and the Rhine River Basin Cooperation Agreements (</w:t>
      </w:r>
      <w:r w:rsidR="009F73C1">
        <w:rPr>
          <w:rFonts w:cs="Times New Roman"/>
          <w:szCs w:val="24"/>
        </w:rPr>
        <w:t xml:space="preserve">Austria, Belgium, France, </w:t>
      </w:r>
      <w:r w:rsidR="00566D85" w:rsidRPr="009F73C1">
        <w:rPr>
          <w:rFonts w:cs="Times New Roman"/>
          <w:szCs w:val="24"/>
        </w:rPr>
        <w:t xml:space="preserve">Germany, Italy, Luxembourg, Netherlands and Switzerland). </w:t>
      </w:r>
      <w:r w:rsidR="00566D85" w:rsidRPr="00566D85">
        <w:rPr>
          <w:rFonts w:cs="Times New Roman"/>
          <w:szCs w:val="24"/>
        </w:rPr>
        <w:t>There is no standard model of cooperat</w:t>
      </w:r>
      <w:r w:rsidR="009F73C1">
        <w:rPr>
          <w:rFonts w:cs="Times New Roman"/>
          <w:szCs w:val="24"/>
        </w:rPr>
        <w:t>ion.  Each of the agreement is</w:t>
      </w:r>
      <w:r w:rsidR="00566D85" w:rsidRPr="00566D85">
        <w:rPr>
          <w:rFonts w:cs="Times New Roman"/>
          <w:szCs w:val="24"/>
        </w:rPr>
        <w:t xml:space="preserve"> specific to the needs and interests of the concerned riparian countries and the commonality of interests.  Nevertheless, the Rhine Ri</w:t>
      </w:r>
      <w:r w:rsidR="009F73C1">
        <w:rPr>
          <w:rFonts w:cs="Times New Roman"/>
          <w:szCs w:val="24"/>
        </w:rPr>
        <w:t>ver Basin Cooperation Agreement is</w:t>
      </w:r>
      <w:r w:rsidR="00566D85" w:rsidRPr="00566D85">
        <w:rPr>
          <w:rFonts w:cs="Times New Roman"/>
          <w:szCs w:val="24"/>
        </w:rPr>
        <w:t xml:space="preserve"> the most comprehensive water cooperation involving multiple agreements and encompassing all water dimensions including navigation, water sharing for consumption, and water pollution control. In a way, this sets the global best practice example of water cooperation.</w:t>
      </w:r>
    </w:p>
    <w:p w:rsidR="00566D85" w:rsidRDefault="00566D85" w:rsidP="00566D85">
      <w:pPr>
        <w:pStyle w:val="ListParagraph"/>
        <w:spacing w:after="0"/>
        <w:ind w:left="360" w:hanging="360"/>
        <w:jc w:val="both"/>
        <w:rPr>
          <w:rFonts w:cs="Times New Roman"/>
          <w:szCs w:val="24"/>
        </w:rPr>
      </w:pPr>
    </w:p>
    <w:p w:rsidR="00000000" w:rsidRDefault="00566D85" w:rsidP="003D5A31">
      <w:pPr>
        <w:pStyle w:val="ListParagraph"/>
        <w:numPr>
          <w:ilvl w:val="0"/>
          <w:numId w:val="126"/>
        </w:numPr>
        <w:spacing w:after="0" w:line="276" w:lineRule="auto"/>
        <w:ind w:left="360"/>
        <w:jc w:val="both"/>
        <w:rPr>
          <w:rFonts w:cs="Times New Roman"/>
          <w:szCs w:val="24"/>
          <w:shd w:val="clear" w:color="auto" w:fill="FFFFFF"/>
        </w:rPr>
      </w:pPr>
      <w:r>
        <w:rPr>
          <w:rFonts w:cs="Times New Roman"/>
          <w:b/>
          <w:szCs w:val="24"/>
          <w:shd w:val="clear" w:color="auto" w:fill="FFFFFF"/>
        </w:rPr>
        <w:t>Institutions for i</w:t>
      </w:r>
      <w:r w:rsidRPr="00C909F9">
        <w:rPr>
          <w:rFonts w:cs="Times New Roman"/>
          <w:b/>
          <w:szCs w:val="24"/>
          <w:shd w:val="clear" w:color="auto" w:fill="FFFFFF"/>
        </w:rPr>
        <w:t>nternal water cooperation:</w:t>
      </w:r>
      <w:r>
        <w:rPr>
          <w:rFonts w:cs="Times New Roman"/>
          <w:szCs w:val="24"/>
          <w:shd w:val="clear" w:color="auto" w:fill="FFFFFF"/>
        </w:rPr>
        <w:t xml:space="preserve">  Similar to the role of regional cooperation, the cooperation between various actors within a country dealing with water and other aspects of the delta (land use, environment, bio-diversity) is an extremely important feature of successful delta management. In water alone, managing multiple uses, shortages and trade-offs on the demand side and multiple agencies providing and or managing the water resources on the supply side must be involved in making decisions that take into account the private interests of each group of users and the social interest of ensuring sustainable use of clean and safe water. While integrated water management takes care of supply side coordination, on the demand side cooperation among users is necessary to manage water shortages, conflicts and trade-offs.  </w:t>
      </w:r>
    </w:p>
    <w:p w:rsidR="00566D85" w:rsidRPr="001431C0" w:rsidRDefault="00566D85" w:rsidP="00566D85">
      <w:pPr>
        <w:pStyle w:val="ListParagraph"/>
        <w:spacing w:after="0"/>
        <w:ind w:left="360"/>
        <w:jc w:val="both"/>
        <w:rPr>
          <w:rFonts w:cs="Times New Roman"/>
          <w:sz w:val="16"/>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r>
        <w:rPr>
          <w:rFonts w:cs="Times New Roman"/>
          <w:szCs w:val="24"/>
          <w:shd w:val="clear" w:color="auto" w:fill="FFFFFF"/>
        </w:rPr>
        <w:t xml:space="preserve">Internal water conflicts arise in both urban and rural areas, although in developing economies rural water conflicts are more serious in nature. This is partly because local voices are not well represented in national institutions dealing with rural water issues. Consequently, rural </w:t>
      </w:r>
      <w:r>
        <w:rPr>
          <w:rFonts w:cs="Times New Roman"/>
          <w:szCs w:val="24"/>
          <w:shd w:val="clear" w:color="auto" w:fill="FFFFFF"/>
        </w:rPr>
        <w:lastRenderedPageBreak/>
        <w:t xml:space="preserve">water investments and allocations often tend to bypass the priorities and interests of communities.  Two good practice examples of </w:t>
      </w:r>
      <w:r w:rsidR="00065D01">
        <w:rPr>
          <w:rFonts w:cs="Times New Roman"/>
          <w:szCs w:val="24"/>
          <w:shd w:val="clear" w:color="auto" w:fill="FFFFFF"/>
        </w:rPr>
        <w:t>well-coordinated</w:t>
      </w:r>
      <w:r>
        <w:rPr>
          <w:rFonts w:cs="Times New Roman"/>
          <w:szCs w:val="24"/>
          <w:shd w:val="clear" w:color="auto" w:fill="FFFFFF"/>
        </w:rPr>
        <w:t xml:space="preserve"> internal water cooperation are the Dutch delta management and the Spanish delta management (Box </w:t>
      </w:r>
      <w:r w:rsidR="009F73C1">
        <w:rPr>
          <w:rFonts w:cs="Times New Roman"/>
          <w:szCs w:val="24"/>
          <w:shd w:val="clear" w:color="auto" w:fill="FFFFFF"/>
        </w:rPr>
        <w:t>12.</w:t>
      </w:r>
      <w:r>
        <w:rPr>
          <w:rFonts w:cs="Times New Roman"/>
          <w:szCs w:val="24"/>
          <w:shd w:val="clear" w:color="auto" w:fill="FFFFFF"/>
        </w:rPr>
        <w:t xml:space="preserve">2). </w:t>
      </w:r>
      <w:r w:rsidRPr="003B74CE">
        <w:rPr>
          <w:rFonts w:cs="Times New Roman"/>
          <w:szCs w:val="24"/>
          <w:shd w:val="clear" w:color="auto" w:fill="FFFFFF"/>
        </w:rPr>
        <w:t xml:space="preserve"> </w:t>
      </w:r>
      <w:r>
        <w:rPr>
          <w:rFonts w:cs="Times New Roman"/>
          <w:szCs w:val="24"/>
          <w:shd w:val="clear" w:color="auto" w:fill="FFFFFF"/>
        </w:rPr>
        <w:t>In both cases, local water groups have emerged as important players in resolving water conflicts and trade-offs nationwide. More generally, active participation of user groups is an essential requirement for an effective delta management.</w:t>
      </w:r>
    </w:p>
    <w:p w:rsidR="00566D85" w:rsidRDefault="001A12B2" w:rsidP="00566D85">
      <w:pPr>
        <w:pStyle w:val="ListParagraph"/>
        <w:spacing w:after="0"/>
        <w:ind w:left="360"/>
        <w:jc w:val="both"/>
        <w:rPr>
          <w:rFonts w:cs="Times New Roman"/>
          <w:szCs w:val="24"/>
          <w:shd w:val="clear" w:color="auto" w:fill="FFFFFF"/>
        </w:rPr>
      </w:pPr>
      <w:r w:rsidRPr="001A12B2">
        <w:rPr>
          <w:rFonts w:cs="Times New Roman"/>
          <w:noProof/>
          <w:szCs w:val="24"/>
        </w:rPr>
        <w:pict>
          <v:shape id="Text Box 4" o:spid="_x0000_s1138" type="#_x0000_t202" style="position:absolute;left:0;text-align:left;margin-left:6pt;margin-top:12.65pt;width:463.3pt;height:363pt;z-index:251751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" fillcolor="#f2f2f2 [3052]">
            <v:textbox style="mso-next-textbox:#Text Box 4">
              <w:txbxContent>
                <w:p w:rsidR="009D3B38" w:rsidRPr="00134A06" w:rsidRDefault="009D3B38" w:rsidP="00FD7FD3">
                  <w:pPr>
                    <w:pStyle w:val="Heading7"/>
                  </w:pPr>
                  <w:bookmarkStart w:id="882" w:name="_Toc474639331"/>
                  <w:r>
                    <w:t>Box 1</w:t>
                  </w:r>
                  <w:r w:rsidRPr="00134A06">
                    <w:t>2</w:t>
                  </w:r>
                  <w:r>
                    <w:t>.2:</w:t>
                  </w:r>
                  <w:r w:rsidRPr="00134A06">
                    <w:t xml:space="preserve"> Decentralized Water Management</w:t>
                  </w:r>
                  <w:r>
                    <w:t xml:space="preserve"> in the Netherlands</w:t>
                  </w:r>
                  <w:bookmarkEnd w:id="882"/>
                </w:p>
                <w:p w:rsidR="009D3B38" w:rsidRPr="001431C0" w:rsidRDefault="009D3B38" w:rsidP="00566D85">
                  <w:pPr>
                    <w:spacing w:line="240" w:lineRule="auto"/>
                    <w:jc w:val="both"/>
                    <w:rPr>
                      <w:sz w:val="20"/>
                      <w:szCs w:val="20"/>
                    </w:rPr>
                  </w:pPr>
                  <w:r w:rsidRPr="001431C0">
                    <w:rPr>
                      <w:sz w:val="20"/>
                      <w:szCs w:val="20"/>
                    </w:rPr>
                    <w:t>The Netherlands arguably is one of the most vulnerable delta</w:t>
                  </w:r>
                  <w:r>
                    <w:rPr>
                      <w:sz w:val="20"/>
                      <w:szCs w:val="20"/>
                    </w:rPr>
                    <w:t>s</w:t>
                  </w:r>
                  <w:r w:rsidRPr="001431C0">
                    <w:rPr>
                      <w:sz w:val="20"/>
                      <w:szCs w:val="20"/>
                    </w:rPr>
                    <w:t xml:space="preserve"> o</w:t>
                  </w:r>
                  <w:r>
                    <w:rPr>
                      <w:sz w:val="20"/>
                      <w:szCs w:val="20"/>
                    </w:rPr>
                    <w:t xml:space="preserve">f the world in geographical terms. </w:t>
                  </w:r>
                  <w:r w:rsidRPr="001431C0">
                    <w:rPr>
                      <w:sz w:val="20"/>
                      <w:szCs w:val="20"/>
                    </w:rPr>
                    <w:t xml:space="preserve"> Yet</w:t>
                  </w:r>
                  <w:r>
                    <w:rPr>
                      <w:sz w:val="20"/>
                      <w:szCs w:val="20"/>
                    </w:rPr>
                    <w:t>,</w:t>
                  </w:r>
                  <w:r w:rsidRPr="001431C0">
                    <w:rPr>
                      <w:sz w:val="20"/>
                      <w:szCs w:val="20"/>
                    </w:rPr>
                    <w:t xml:space="preserve"> with determined efforts, it is now considered the safest Delta. A combination of sound planning, solid investment and good management based on decentralized water management has made this possible. Historically, water safety efforts emerged from the land-owners fighting for survival from recurring sea and river flooding. These land owners formed water management associations and funded investments from own resources.  Over time as the country developed the role of state in flood safety and other water management expanded.  Yet, this expanding state role preserved the historical decentralized approach and the result is the modern participatory flood control and water management institutions.</w:t>
                  </w:r>
                </w:p>
                <w:p w:rsidR="009D3B38" w:rsidRPr="001431C0" w:rsidRDefault="009D3B38" w:rsidP="00566D85">
                  <w:pPr>
                    <w:spacing w:line="240" w:lineRule="auto"/>
                    <w:jc w:val="both"/>
                    <w:rPr>
                      <w:sz w:val="20"/>
                      <w:szCs w:val="20"/>
                    </w:rPr>
                  </w:pPr>
                  <w:r w:rsidRPr="001431C0">
                    <w:rPr>
                      <w:sz w:val="20"/>
                      <w:szCs w:val="20"/>
                    </w:rPr>
                    <w:t>There are four main actors in water management: the national government; the provincial governments; the municipalities and the water boards (regional water authorities). While the relative roles and forms of the different actors have evolved over a 1000 y</w:t>
                  </w:r>
                  <w:r>
                    <w:rPr>
                      <w:sz w:val="20"/>
                      <w:szCs w:val="20"/>
                    </w:rPr>
                    <w:t>ears of experience, the roles at</w:t>
                  </w:r>
                  <w:r w:rsidRPr="001431C0">
                    <w:rPr>
                      <w:sz w:val="20"/>
                      <w:szCs w:val="20"/>
                    </w:rPr>
                    <w:t xml:space="preserve"> the present time are as follows:</w:t>
                  </w:r>
                </w:p>
                <w:p w:rsidR="009D3B38" w:rsidRPr="001431C0" w:rsidRDefault="009D3B38" w:rsidP="00566D85">
                  <w:pPr>
                    <w:spacing w:after="0" w:line="240" w:lineRule="auto"/>
                    <w:jc w:val="both"/>
                    <w:rPr>
                      <w:sz w:val="20"/>
                      <w:szCs w:val="20"/>
                    </w:rPr>
                  </w:pPr>
                  <w:r w:rsidRPr="001431C0">
                    <w:rPr>
                      <w:sz w:val="20"/>
                      <w:szCs w:val="20"/>
                    </w:rPr>
                    <w:t>1) National level:  There are two main institutions.  Fi</w:t>
                  </w:r>
                  <w:r>
                    <w:rPr>
                      <w:sz w:val="20"/>
                      <w:szCs w:val="20"/>
                    </w:rPr>
                    <w:t xml:space="preserve">rst, the Delta Commissioner </w:t>
                  </w:r>
                  <w:r w:rsidRPr="001431C0">
                    <w:rPr>
                      <w:sz w:val="20"/>
                      <w:szCs w:val="20"/>
                    </w:rPr>
                    <w:t>oversees the Delta Programme and coordinates strategy, planning, knowledge management and core investment decisions.  Second, the Ministry for the development of water and spatial planning (Rijkswaterstaat) is responsible for the following: Lake, river and coastal management; and maintenance and construction of dams and structures, large navigational waterways and inspection.</w:t>
                  </w:r>
                </w:p>
                <w:p w:rsidR="009D3B38" w:rsidRPr="001431C0" w:rsidRDefault="009D3B38" w:rsidP="00566D85">
                  <w:pPr>
                    <w:spacing w:after="0" w:line="240" w:lineRule="auto"/>
                    <w:jc w:val="both"/>
                    <w:rPr>
                      <w:sz w:val="20"/>
                      <w:szCs w:val="20"/>
                    </w:rPr>
                  </w:pPr>
                  <w:r w:rsidRPr="001431C0">
                    <w:rPr>
                      <w:sz w:val="20"/>
                      <w:szCs w:val="20"/>
                    </w:rPr>
                    <w:t>2) Provinces: Spatial planning, water management planning at the regional level, maintenance of provincial navigational waterways, inspections, permits for dike reconstruction.</w:t>
                  </w:r>
                </w:p>
                <w:p w:rsidR="009D3B38" w:rsidRPr="001431C0" w:rsidRDefault="009D3B38" w:rsidP="00566D85">
                  <w:pPr>
                    <w:spacing w:after="0" w:line="240" w:lineRule="auto"/>
                    <w:jc w:val="both"/>
                    <w:rPr>
                      <w:sz w:val="20"/>
                      <w:szCs w:val="20"/>
                    </w:rPr>
                  </w:pPr>
                  <w:r w:rsidRPr="001431C0">
                    <w:rPr>
                      <w:sz w:val="20"/>
                      <w:szCs w:val="20"/>
                    </w:rPr>
                    <w:t>3) Water boards "regional water authorities": Management of 55,000 kilometers of waterways, 18,000 kilometers of dikes, 360 sewage treatment plants</w:t>
                  </w:r>
                </w:p>
                <w:p w:rsidR="009D3B38" w:rsidRPr="001431C0" w:rsidRDefault="009D3B38" w:rsidP="00566D85">
                  <w:pPr>
                    <w:spacing w:after="0" w:line="240" w:lineRule="auto"/>
                    <w:jc w:val="both"/>
                    <w:rPr>
                      <w:sz w:val="20"/>
                      <w:szCs w:val="20"/>
                    </w:rPr>
                  </w:pPr>
                  <w:r w:rsidRPr="001431C0">
                    <w:rPr>
                      <w:sz w:val="20"/>
                      <w:szCs w:val="20"/>
                    </w:rPr>
                    <w:t>4) Municipalities: Sewer systems and some local waterways.</w:t>
                  </w:r>
                </w:p>
                <w:p w:rsidR="009D3B38" w:rsidRPr="001431C0" w:rsidRDefault="009D3B38" w:rsidP="00566D85">
                  <w:pPr>
                    <w:spacing w:after="0" w:line="240" w:lineRule="auto"/>
                    <w:rPr>
                      <w:sz w:val="20"/>
                      <w:szCs w:val="20"/>
                    </w:rPr>
                  </w:pPr>
                </w:p>
                <w:p w:rsidR="009D3B38" w:rsidRPr="001431C0" w:rsidRDefault="009D3B38" w:rsidP="00566D85">
                  <w:pPr>
                    <w:spacing w:after="0" w:line="240" w:lineRule="auto"/>
                    <w:jc w:val="both"/>
                    <w:rPr>
                      <w:sz w:val="20"/>
                      <w:szCs w:val="20"/>
                    </w:rPr>
                  </w:pPr>
                  <w:r w:rsidRPr="001431C0">
                    <w:rPr>
                      <w:sz w:val="20"/>
                      <w:szCs w:val="20"/>
                    </w:rPr>
                    <w:t>Clearly</w:t>
                  </w:r>
                  <w:r>
                    <w:rPr>
                      <w:sz w:val="20"/>
                      <w:szCs w:val="20"/>
                    </w:rPr>
                    <w:t>,</w:t>
                  </w:r>
                  <w:r w:rsidRPr="001431C0">
                    <w:rPr>
                      <w:sz w:val="20"/>
                      <w:szCs w:val="20"/>
                    </w:rPr>
                    <w:t xml:space="preserve"> while planning and strategy and river and c</w:t>
                  </w:r>
                  <w:r>
                    <w:rPr>
                      <w:sz w:val="20"/>
                      <w:szCs w:val="20"/>
                    </w:rPr>
                    <w:t xml:space="preserve">oastal management </w:t>
                  </w:r>
                  <w:r w:rsidRPr="001431C0">
                    <w:rPr>
                      <w:sz w:val="20"/>
                      <w:szCs w:val="20"/>
                    </w:rPr>
                    <w:t>are the primary responsibility of the national government, the local water board</w:t>
                  </w:r>
                  <w:r>
                    <w:rPr>
                      <w:sz w:val="20"/>
                      <w:szCs w:val="20"/>
                    </w:rPr>
                    <w:t>s</w:t>
                  </w:r>
                  <w:r w:rsidRPr="001431C0">
                    <w:rPr>
                      <w:sz w:val="20"/>
                      <w:szCs w:val="20"/>
                    </w:rPr>
                    <w:t xml:space="preserve"> manage the bulk of the inland waterways. Not surprisingly, as earlier noted, these water boards accounted for about 50% of total water spending in 2010. These are indicative of the highly decentralized management of water and are a key factor for the successful management of the Dutch</w:t>
                  </w:r>
                  <w:r>
                    <w:rPr>
                      <w:sz w:val="20"/>
                      <w:szCs w:val="20"/>
                    </w:rPr>
                    <w:t xml:space="preserve"> Delta.</w:t>
                  </w:r>
                  <w:r w:rsidRPr="001431C0">
                    <w:rPr>
                      <w:sz w:val="20"/>
                      <w:szCs w:val="20"/>
                    </w:rPr>
                    <w:t xml:space="preserve"> </w:t>
                  </w:r>
                </w:p>
                <w:p w:rsidR="009D3B38" w:rsidRDefault="009D3B38"/>
                <w:p w:rsidR="009D3B38" w:rsidRDefault="009D3B38">
                  <w:r w:rsidRPr="00180AA9">
                    <w:rPr>
                      <w:rFonts w:cs="Times New Roman"/>
                      <w:b/>
                      <w:sz w:val="20"/>
                    </w:rPr>
                    <w:t xml:space="preserve">BDP </w:t>
                  </w:r>
                </w:p>
              </w:txbxContent>
            </v:textbox>
          </v:shape>
        </w:pict>
      </w: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Default="00566D85" w:rsidP="00566D85">
      <w:pPr>
        <w:pStyle w:val="ListParagraph"/>
        <w:spacing w:after="0"/>
        <w:ind w:left="360"/>
        <w:jc w:val="both"/>
        <w:rPr>
          <w:rFonts w:cs="Times New Roman"/>
          <w:szCs w:val="24"/>
          <w:shd w:val="clear" w:color="auto" w:fill="FFFFFF"/>
        </w:rPr>
      </w:pPr>
    </w:p>
    <w:p w:rsidR="00566D85" w:rsidRPr="00BC56FC" w:rsidRDefault="00566D85" w:rsidP="00BC56FC">
      <w:pPr>
        <w:spacing w:after="0"/>
        <w:jc w:val="both"/>
        <w:rPr>
          <w:rFonts w:cs="Times New Roman"/>
          <w:szCs w:val="24"/>
          <w:shd w:val="clear" w:color="auto" w:fill="FFFFFF"/>
        </w:rPr>
      </w:pPr>
    </w:p>
    <w:p w:rsidR="00566D85" w:rsidRPr="00C5316E" w:rsidRDefault="00566D85" w:rsidP="00566D85">
      <w:pPr>
        <w:pStyle w:val="ListParagraph"/>
        <w:spacing w:after="0"/>
        <w:ind w:left="360"/>
        <w:jc w:val="both"/>
        <w:rPr>
          <w:rFonts w:cs="Times New Roman"/>
          <w:szCs w:val="24"/>
          <w:shd w:val="clear" w:color="auto" w:fill="FFFFFF"/>
        </w:rPr>
      </w:pPr>
    </w:p>
    <w:p w:rsidR="00566D85" w:rsidRPr="001431C0" w:rsidRDefault="00566D85" w:rsidP="00566D85">
      <w:pPr>
        <w:pStyle w:val="ListParagraph"/>
        <w:spacing w:after="0"/>
        <w:ind w:left="360"/>
        <w:jc w:val="both"/>
        <w:rPr>
          <w:rFonts w:cs="Times New Roman"/>
          <w:szCs w:val="24"/>
          <w:shd w:val="clear" w:color="auto" w:fill="FFFFFF"/>
        </w:rPr>
      </w:pPr>
    </w:p>
    <w:p w:rsidR="00566D85" w:rsidRDefault="00566D85" w:rsidP="00566D85">
      <w:pPr>
        <w:spacing w:after="0"/>
        <w:jc w:val="both"/>
        <w:rPr>
          <w:rFonts w:cs="Times New Roman"/>
          <w:szCs w:val="24"/>
          <w:shd w:val="clear" w:color="auto" w:fill="FFFFFF"/>
        </w:rPr>
      </w:pPr>
    </w:p>
    <w:p w:rsidR="007E120A" w:rsidRDefault="007E120A" w:rsidP="00566D85">
      <w:pPr>
        <w:spacing w:after="0"/>
        <w:jc w:val="both"/>
        <w:rPr>
          <w:rFonts w:cs="Times New Roman"/>
          <w:szCs w:val="24"/>
          <w:shd w:val="clear" w:color="auto" w:fill="FFFFFF"/>
        </w:rPr>
      </w:pPr>
    </w:p>
    <w:p w:rsidR="007E120A" w:rsidRDefault="007E120A" w:rsidP="00566D85">
      <w:pPr>
        <w:spacing w:after="0"/>
        <w:jc w:val="both"/>
        <w:rPr>
          <w:rFonts w:cs="Times New Roman"/>
          <w:szCs w:val="24"/>
          <w:shd w:val="clear" w:color="auto" w:fill="FFFFFF"/>
        </w:rPr>
      </w:pPr>
    </w:p>
    <w:p w:rsidR="00000000" w:rsidRDefault="00566D85" w:rsidP="003D5A31">
      <w:pPr>
        <w:pStyle w:val="ListParagraph"/>
        <w:numPr>
          <w:ilvl w:val="0"/>
          <w:numId w:val="126"/>
        </w:numPr>
        <w:spacing w:after="0" w:line="276" w:lineRule="auto"/>
        <w:ind w:left="360"/>
        <w:jc w:val="both"/>
        <w:rPr>
          <w:rFonts w:cs="Times New Roman"/>
          <w:szCs w:val="24"/>
          <w:shd w:val="clear" w:color="auto" w:fill="FFFFFF"/>
        </w:rPr>
      </w:pPr>
      <w:r>
        <w:rPr>
          <w:rFonts w:cs="Times New Roman"/>
          <w:b/>
          <w:szCs w:val="24"/>
          <w:shd w:val="clear" w:color="auto" w:fill="FFFFFF"/>
        </w:rPr>
        <w:t>Knowledge</w:t>
      </w:r>
      <w:r w:rsidRPr="00C909F9">
        <w:rPr>
          <w:rFonts w:cs="Times New Roman"/>
          <w:b/>
          <w:szCs w:val="24"/>
          <w:shd w:val="clear" w:color="auto" w:fill="FFFFFF"/>
        </w:rPr>
        <w:t xml:space="preserve"> for adaptive delta management:</w:t>
      </w:r>
      <w:r>
        <w:rPr>
          <w:rFonts w:cs="Times New Roman"/>
          <w:szCs w:val="24"/>
          <w:shd w:val="clear" w:color="auto" w:fill="FFFFFF"/>
        </w:rPr>
        <w:t xml:space="preserve">  In view of the uncertainties of river course movements, sea behavior, climate pattern and climate change, adaptive delta planning is an essential element of effective delta management.  This planning requires strong monitoring and evaluation of river courses, sea level rise, silt and sediment deposits, and climate behavior. Development of appropriate knowledge bank, research and modeling efforts, and data collection, storage and use are an essential element of adaptive delta institutions. There are several good practice examples of this, including the Dutch experience, the experience in Spain, and the several delta examples from the USA (e.g. the Mississippi Delta authority, the Colorado River Basin, and the San Francisco River Basin). Yet, arguably, the approach to knowledge management in the Netherlands is perhaps the most comprehensive approach.</w:t>
      </w:r>
    </w:p>
    <w:p w:rsidR="00000000" w:rsidRDefault="00F64A6A" w:rsidP="003D5A31">
      <w:pPr>
        <w:pStyle w:val="ListParagraph"/>
        <w:numPr>
          <w:ilvl w:val="0"/>
          <w:numId w:val="126"/>
        </w:numPr>
        <w:spacing w:after="0" w:line="276" w:lineRule="auto"/>
        <w:ind w:left="360"/>
        <w:jc w:val="both"/>
        <w:rPr>
          <w:rFonts w:cs="Times New Roman"/>
          <w:szCs w:val="24"/>
          <w:shd w:val="clear" w:color="auto" w:fill="FFFFFF"/>
        </w:rPr>
      </w:pPr>
      <w:r w:rsidRPr="00F64A6A">
        <w:rPr>
          <w:b/>
        </w:rPr>
        <w:lastRenderedPageBreak/>
        <w:t>Public</w:t>
      </w:r>
      <w:r w:rsidR="00566D85" w:rsidRPr="00C909F9">
        <w:rPr>
          <w:rFonts w:cs="Times New Roman"/>
          <w:b/>
          <w:szCs w:val="24"/>
          <w:shd w:val="clear" w:color="auto" w:fill="FFFFFF"/>
        </w:rPr>
        <w:t>-private partnerships:</w:t>
      </w:r>
      <w:r w:rsidR="00566D85">
        <w:rPr>
          <w:rFonts w:cs="Times New Roman"/>
          <w:szCs w:val="24"/>
          <w:shd w:val="clear" w:color="auto" w:fill="FFFFFF"/>
        </w:rPr>
        <w:t xml:space="preserve"> Although in any typical delta the </w:t>
      </w:r>
      <w:r w:rsidR="000B096E">
        <w:t>public</w:t>
      </w:r>
      <w:r w:rsidR="00566D85">
        <w:rPr>
          <w:rFonts w:cs="Times New Roman"/>
          <w:szCs w:val="24"/>
          <w:shd w:val="clear" w:color="auto" w:fill="FFFFFF"/>
        </w:rPr>
        <w:t xml:space="preserve"> sector takes the lead in managing the river delta in view of the </w:t>
      </w:r>
      <w:r w:rsidR="000B096E">
        <w:t>public</w:t>
      </w:r>
      <w:r w:rsidR="00566D85">
        <w:rPr>
          <w:rFonts w:cs="Times New Roman"/>
          <w:szCs w:val="24"/>
          <w:shd w:val="clear" w:color="auto" w:fill="FFFFFF"/>
        </w:rPr>
        <w:t xml:space="preserve"> goods nature of the issues and challenges, good practice examples show the solid value of well-crafted </w:t>
      </w:r>
      <w:r w:rsidR="000B096E">
        <w:t>public</w:t>
      </w:r>
      <w:r w:rsidR="00566D85">
        <w:rPr>
          <w:rFonts w:cs="Times New Roman"/>
          <w:szCs w:val="24"/>
          <w:shd w:val="clear" w:color="auto" w:fill="FFFFFF"/>
        </w:rPr>
        <w:t xml:space="preserve">-private partnerships in delta management.  These partnerships can take a range of shapes and involve many areas of delta management.   The most obvious and common example is in the area of knowledge management, especially related to delta research. Another common example is water partnerships for pollution control.  A third oft-seen example is operation and maintenance of water courses and polders/dikes by water user groups at the community level. At the institutional level, private provision of water in both urban and rural areas based on </w:t>
      </w:r>
      <w:r w:rsidR="00065D01">
        <w:rPr>
          <w:rFonts w:cs="Times New Roman"/>
          <w:szCs w:val="24"/>
          <w:shd w:val="clear" w:color="auto" w:fill="FFFFFF"/>
        </w:rPr>
        <w:t>well-developed</w:t>
      </w:r>
      <w:r w:rsidR="00566D85">
        <w:rPr>
          <w:rFonts w:cs="Times New Roman"/>
          <w:szCs w:val="24"/>
          <w:shd w:val="clear" w:color="auto" w:fill="FFFFFF"/>
        </w:rPr>
        <w:t xml:space="preserve"> water markets hold the most promise in terms of mobilizing private resources for water services.</w:t>
      </w:r>
    </w:p>
    <w:p w:rsidR="00566D85" w:rsidRPr="001B60DA" w:rsidRDefault="00566D85" w:rsidP="00566D85">
      <w:pPr>
        <w:pStyle w:val="ListParagraph"/>
        <w:spacing w:after="0"/>
        <w:jc w:val="both"/>
        <w:rPr>
          <w:rFonts w:cs="Times New Roman"/>
          <w:sz w:val="16"/>
          <w:szCs w:val="24"/>
          <w:shd w:val="clear" w:color="auto" w:fill="FFFFFF"/>
        </w:rPr>
      </w:pPr>
    </w:p>
    <w:p w:rsidR="00000000" w:rsidRDefault="00566D85" w:rsidP="003D5A31">
      <w:pPr>
        <w:pStyle w:val="ListParagraph"/>
        <w:numPr>
          <w:ilvl w:val="0"/>
          <w:numId w:val="126"/>
        </w:numPr>
        <w:spacing w:after="0" w:line="276" w:lineRule="auto"/>
        <w:ind w:left="360"/>
        <w:jc w:val="both"/>
        <w:rPr>
          <w:rFonts w:cs="Times New Roman"/>
          <w:b/>
          <w:szCs w:val="24"/>
          <w:shd w:val="clear" w:color="auto" w:fill="FFFFFF"/>
        </w:rPr>
      </w:pPr>
      <w:r w:rsidRPr="00C909F9">
        <w:rPr>
          <w:rFonts w:cs="Times New Roman"/>
          <w:b/>
          <w:szCs w:val="24"/>
          <w:shd w:val="clear" w:color="auto" w:fill="FFFFFF"/>
        </w:rPr>
        <w:t>Coordinated approach to delta financing:</w:t>
      </w:r>
      <w:r>
        <w:rPr>
          <w:rFonts w:cs="Times New Roman"/>
          <w:b/>
          <w:szCs w:val="24"/>
          <w:shd w:val="clear" w:color="auto" w:fill="FFFFFF"/>
        </w:rPr>
        <w:t xml:space="preserve"> </w:t>
      </w:r>
      <w:r>
        <w:rPr>
          <w:rFonts w:cs="Times New Roman"/>
          <w:szCs w:val="24"/>
          <w:shd w:val="clear" w:color="auto" w:fill="FFFFFF"/>
        </w:rPr>
        <w:t xml:space="preserve">The adequacy of the financing arrangements is critical to the success of the implementation of the delta strategy.  This has several dimensions.  First concerns the adequacy of total allocations.  The second concerns the proper balance between the different components of the delta investment strategy: navigation; water supply management overall and by uses; investments for mitigation and adaptation (polders; dams; embankments; river training etc); operations and maintenance expenditures; and water cleaning and pollution control.  A third issue is investment in adaptive delta management: water and climate knowledge bank; delta modeling and research; data collection, storage and use. A fourth issue is investment in delta institutions like water user groups; </w:t>
      </w:r>
      <w:r w:rsidR="000B096E">
        <w:t>public</w:t>
      </w:r>
      <w:r>
        <w:rPr>
          <w:rFonts w:cs="Times New Roman"/>
          <w:szCs w:val="24"/>
          <w:shd w:val="clear" w:color="auto" w:fill="FFFFFF"/>
        </w:rPr>
        <w:t xml:space="preserve">-private partnerships; and stake-holder consultations.  </w:t>
      </w:r>
    </w:p>
    <w:p w:rsidR="00566D85" w:rsidRPr="001B60DA" w:rsidRDefault="00566D85" w:rsidP="00566D85">
      <w:pPr>
        <w:pStyle w:val="ListParagraph"/>
        <w:spacing w:after="0"/>
        <w:ind w:left="360"/>
        <w:jc w:val="both"/>
        <w:rPr>
          <w:rFonts w:cs="Times New Roman"/>
          <w:b/>
          <w:sz w:val="16"/>
          <w:szCs w:val="24"/>
          <w:shd w:val="clear" w:color="auto" w:fill="FFFFFF"/>
        </w:rPr>
      </w:pPr>
    </w:p>
    <w:p w:rsidR="00566D85" w:rsidRPr="00403A7D" w:rsidRDefault="00566D85" w:rsidP="00566D85">
      <w:pPr>
        <w:pStyle w:val="ListParagraph"/>
        <w:spacing w:after="0" w:line="276" w:lineRule="auto"/>
        <w:ind w:left="360"/>
        <w:jc w:val="both"/>
        <w:rPr>
          <w:rFonts w:cs="Times New Roman"/>
          <w:i/>
          <w:szCs w:val="24"/>
          <w:shd w:val="clear" w:color="auto" w:fill="FFFFFF"/>
        </w:rPr>
      </w:pPr>
      <w:r w:rsidRPr="00B72C32">
        <w:rPr>
          <w:rFonts w:cs="Times New Roman"/>
          <w:szCs w:val="24"/>
          <w:shd w:val="clear" w:color="auto" w:fill="FFFFFF"/>
        </w:rPr>
        <w:t xml:space="preserve">In a typical developing economy </w:t>
      </w:r>
      <w:r w:rsidR="000B096E">
        <w:t>public</w:t>
      </w:r>
      <w:r w:rsidRPr="00B72C32">
        <w:rPr>
          <w:rFonts w:cs="Times New Roman"/>
          <w:szCs w:val="24"/>
          <w:shd w:val="clear" w:color="auto" w:fill="FFFFFF"/>
        </w:rPr>
        <w:t xml:space="preserve"> resources are limited.  Political economy considerations often short-serve the needs of preserving the delta that are a long-term challenge while other priorities appear more near term.   Some delta authorities have tended to address this financing constraint by creating a special dedicated fund for funding the needs of the delta strategy.  </w:t>
      </w:r>
      <w:r w:rsidR="00F64A6A" w:rsidRPr="00F64A6A">
        <w:rPr>
          <w:rFonts w:cs="Times New Roman"/>
          <w:i/>
          <w:szCs w:val="24"/>
          <w:shd w:val="clear" w:color="auto" w:fill="FFFFFF"/>
        </w:rPr>
        <w:t xml:space="preserve">The most notable example of this is the Delta Fund created by the Netherlands government to finance the delta programmes.  This Fund was created in 2012 and is managed by the Delta Commission. Presently, this amounts to about €1 billion per year.  This is a small sum of money in relation to the GDP of the Netherlands (0.15% of GDP) and about a quarter of the total spending on water in the Netherlands but it signifies a commitment by the government to protect core investments related to the preservation of the Dutch Delta over a long period of time.         </w:t>
      </w:r>
    </w:p>
    <w:p w:rsidR="00566D85" w:rsidRPr="003B74CE" w:rsidRDefault="00566D85" w:rsidP="00566D85">
      <w:pPr>
        <w:spacing w:after="0"/>
        <w:jc w:val="both"/>
        <w:rPr>
          <w:rFonts w:cs="Times New Roman"/>
          <w:szCs w:val="24"/>
          <w:shd w:val="clear" w:color="auto" w:fill="FFFFFF"/>
        </w:rPr>
      </w:pPr>
    </w:p>
    <w:p w:rsidR="00F64A6A" w:rsidRDefault="00566D85" w:rsidP="00F64A6A">
      <w:pPr>
        <w:pStyle w:val="Heading2"/>
        <w:numPr>
          <w:ilvl w:val="0"/>
          <w:numId w:val="0"/>
        </w:numPr>
        <w:ind w:left="1080"/>
      </w:pPr>
      <w:bookmarkStart w:id="883" w:name="_Toc474638944"/>
      <w:r w:rsidRPr="00A802C3">
        <w:t>Existing Policy and Institutional Framework for Water Management in Bangladesh</w:t>
      </w:r>
      <w:bookmarkEnd w:id="883"/>
    </w:p>
    <w:p w:rsidR="00566D85" w:rsidRPr="00403A7D" w:rsidRDefault="00566D85" w:rsidP="00DF6547">
      <w:pPr>
        <w:spacing w:line="276" w:lineRule="auto"/>
        <w:jc w:val="both"/>
        <w:rPr>
          <w:rFonts w:cs="Times New Roman"/>
          <w:i/>
        </w:rPr>
      </w:pPr>
      <w:r>
        <w:rPr>
          <w:rFonts w:cs="Times New Roman"/>
        </w:rPr>
        <w:t xml:space="preserve">Bangladesh has a long history of water management. Related water policies, regulations and institutions have emerged over time, partly in response to water-related natural hazards. Nevertheless, the main focus of water management has been </w:t>
      </w:r>
      <w:r w:rsidR="00C00DFE">
        <w:rPr>
          <w:rFonts w:cs="Times New Roman"/>
        </w:rPr>
        <w:t xml:space="preserve">the </w:t>
      </w:r>
      <w:r>
        <w:rPr>
          <w:rFonts w:cs="Times New Roman"/>
        </w:rPr>
        <w:t xml:space="preserve">protection of agriculture.  This </w:t>
      </w:r>
      <w:r>
        <w:rPr>
          <w:rFonts w:cs="Times New Roman"/>
        </w:rPr>
        <w:lastRenderedPageBreak/>
        <w:t xml:space="preserve">is understandable in view of the dominant role of agriculture for food security and livelihood for the poor. </w:t>
      </w:r>
      <w:r w:rsidR="00F64A6A" w:rsidRPr="00F64A6A">
        <w:rPr>
          <w:rFonts w:cs="Times New Roman"/>
          <w:i/>
        </w:rPr>
        <w:t>One negative consequence of this primal focus has been the relative neglect of issues emerging from climate change, river transport, urban water, urban drainage and water quality issues including pollution of river and other water bodies.  These later issues have now gained added significance in the context of integrated delta management.</w:t>
      </w:r>
    </w:p>
    <w:p w:rsidR="00566D85" w:rsidRDefault="00566D85" w:rsidP="00DF6547">
      <w:pPr>
        <w:spacing w:line="276" w:lineRule="auto"/>
        <w:jc w:val="both"/>
        <w:rPr>
          <w:rFonts w:cs="Times New Roman"/>
        </w:rPr>
      </w:pPr>
      <w:r w:rsidRPr="006860A8">
        <w:rPr>
          <w:rFonts w:cs="Times New Roman"/>
          <w:b/>
        </w:rPr>
        <w:t>Legal framework for water management:</w:t>
      </w:r>
      <w:r>
        <w:rPr>
          <w:rFonts w:cs="Times New Roman"/>
          <w:b/>
        </w:rPr>
        <w:t xml:space="preserve"> </w:t>
      </w:r>
      <w:r>
        <w:rPr>
          <w:rFonts w:cs="Times New Roman"/>
        </w:rPr>
        <w:t>The legal framework for water management is provided by the Water Act 2013.  This is a comprehensive Act and covers well all aspects of water management as an integrated resource. According to the Act, the main objective is to “make provisions for integrated development, management, abstraction, distribution, use, protection and conservation of water resources"</w:t>
      </w:r>
      <w:r>
        <w:rPr>
          <w:rStyle w:val="FootnoteReference"/>
        </w:rPr>
        <w:footnoteReference w:id="50"/>
      </w:r>
      <w:r>
        <w:rPr>
          <w:rFonts w:cs="Times New Roman"/>
        </w:rPr>
        <w:t xml:space="preserve">. Since the Act is of recent origin, the associated regulatory policies and institutions have not fully taken shape.  But the Act provides a strong basis for moving forward.  </w:t>
      </w:r>
    </w:p>
    <w:p w:rsidR="00566D85" w:rsidRDefault="00566D85" w:rsidP="00DF6547">
      <w:pPr>
        <w:spacing w:line="276" w:lineRule="auto"/>
        <w:jc w:val="both"/>
        <w:rPr>
          <w:rFonts w:cs="Times New Roman"/>
        </w:rPr>
      </w:pPr>
      <w:r>
        <w:rPr>
          <w:rFonts w:cs="Times New Roman"/>
        </w:rPr>
        <w:t>The Water Act 2013 currently operates through the use of a number of operating principles defined by the National Water Policy of 1999 and the National Water Resource Management document of 2001(adopted in 2004)</w:t>
      </w:r>
      <w:r w:rsidR="00F926B1">
        <w:rPr>
          <w:rFonts w:cs="Times New Roman"/>
        </w:rPr>
        <w:t>.  The institutional responsibilities are</w:t>
      </w:r>
      <w:r>
        <w:rPr>
          <w:rFonts w:cs="Times New Roman"/>
        </w:rPr>
        <w:t xml:space="preserve"> as follows: </w:t>
      </w:r>
    </w:p>
    <w:p w:rsidR="00000000" w:rsidRDefault="00566D85" w:rsidP="003D5A31">
      <w:pPr>
        <w:pStyle w:val="ListParagraph"/>
        <w:numPr>
          <w:ilvl w:val="0"/>
          <w:numId w:val="127"/>
        </w:numPr>
        <w:spacing w:line="276" w:lineRule="auto"/>
        <w:ind w:left="360"/>
        <w:jc w:val="both"/>
        <w:rPr>
          <w:rFonts w:cs="Times New Roman"/>
        </w:rPr>
      </w:pPr>
      <w:r w:rsidRPr="00113378">
        <w:rPr>
          <w:rFonts w:cs="Times New Roman"/>
        </w:rPr>
        <w:t>The National Wat</w:t>
      </w:r>
      <w:r w:rsidR="00DF6547">
        <w:rPr>
          <w:rFonts w:cs="Times New Roman"/>
        </w:rPr>
        <w:t>er Resources Council (NWRC)</w:t>
      </w:r>
      <w:r w:rsidRPr="00113378">
        <w:rPr>
          <w:rFonts w:cs="Times New Roman"/>
        </w:rPr>
        <w:t xml:space="preserve"> coordinate</w:t>
      </w:r>
      <w:r w:rsidR="00DF6547">
        <w:rPr>
          <w:rFonts w:cs="Times New Roman"/>
        </w:rPr>
        <w:t>s</w:t>
      </w:r>
      <w:r w:rsidRPr="00113378">
        <w:rPr>
          <w:rFonts w:cs="Times New Roman"/>
        </w:rPr>
        <w:t xml:space="preserve"> all water resources management activities in the country. </w:t>
      </w:r>
    </w:p>
    <w:p w:rsidR="00000000" w:rsidRDefault="00566D85" w:rsidP="003D5A31">
      <w:pPr>
        <w:pStyle w:val="ListParagraph"/>
        <w:numPr>
          <w:ilvl w:val="0"/>
          <w:numId w:val="127"/>
        </w:numPr>
        <w:spacing w:line="276" w:lineRule="auto"/>
        <w:ind w:left="360"/>
        <w:jc w:val="both"/>
        <w:rPr>
          <w:rFonts w:cs="Times New Roman"/>
        </w:rPr>
      </w:pPr>
      <w:r w:rsidRPr="00113378">
        <w:rPr>
          <w:rFonts w:cs="Times New Roman"/>
        </w:rPr>
        <w:t>The Executive Committee of the National Water Resources Council (ECNWRC) will guide water management institutions at the national, regional, and local levels in the formulation and implementation of policies and plans for improved water management and investment.</w:t>
      </w:r>
    </w:p>
    <w:p w:rsidR="00000000" w:rsidRDefault="00566D85" w:rsidP="003D5A31">
      <w:pPr>
        <w:pStyle w:val="ListParagraph"/>
        <w:numPr>
          <w:ilvl w:val="0"/>
          <w:numId w:val="127"/>
        </w:numPr>
        <w:spacing w:line="276" w:lineRule="auto"/>
        <w:ind w:left="360"/>
        <w:jc w:val="both"/>
        <w:rPr>
          <w:rFonts w:cs="Times New Roman"/>
        </w:rPr>
      </w:pPr>
      <w:r>
        <w:rPr>
          <w:rFonts w:cs="Times New Roman"/>
        </w:rPr>
        <w:t xml:space="preserve">The Ministry of Water Resources </w:t>
      </w:r>
      <w:r w:rsidRPr="00113378">
        <w:rPr>
          <w:rFonts w:cs="Times New Roman"/>
        </w:rPr>
        <w:t>(MoWR) will formulate a framework for institutional reforms to guide all water sector related activities. It will periodically review the mandates of all water sector institutions and redefine their respective roles, as necessary, to ensure efficient and effective institutions commensurate with changing needs and priorities.</w:t>
      </w:r>
    </w:p>
    <w:p w:rsidR="00000000" w:rsidRDefault="00566D85" w:rsidP="003D5A31">
      <w:pPr>
        <w:pStyle w:val="ListParagraph"/>
        <w:numPr>
          <w:ilvl w:val="0"/>
          <w:numId w:val="127"/>
        </w:numPr>
        <w:spacing w:line="276" w:lineRule="auto"/>
        <w:ind w:left="360"/>
        <w:jc w:val="both"/>
        <w:rPr>
          <w:rFonts w:cs="Times New Roman"/>
        </w:rPr>
      </w:pPr>
      <w:r w:rsidRPr="00113378">
        <w:rPr>
          <w:rFonts w:cs="Times New Roman"/>
        </w:rPr>
        <w:t xml:space="preserve">The Water Resources Planning Organization (WARPO) will be the exclusive government institution for macro-level water resource planning. </w:t>
      </w:r>
      <w:r w:rsidR="00F64A6A" w:rsidRPr="00F64A6A">
        <w:rPr>
          <w:rFonts w:cs="Times New Roman"/>
          <w:i/>
        </w:rPr>
        <w:t>It will act as a clearing house for all water sector projects. It will also serve as the Executive Secretariat of the ECNWRC.</w:t>
      </w:r>
      <w:r w:rsidRPr="00113378">
        <w:rPr>
          <w:rFonts w:cs="Times New Roman"/>
        </w:rPr>
        <w:t xml:space="preserve"> </w:t>
      </w:r>
    </w:p>
    <w:p w:rsidR="00000000" w:rsidRDefault="00566D85" w:rsidP="003D5A31">
      <w:pPr>
        <w:pStyle w:val="ListParagraph"/>
        <w:numPr>
          <w:ilvl w:val="0"/>
          <w:numId w:val="127"/>
        </w:numPr>
        <w:spacing w:line="276" w:lineRule="auto"/>
        <w:ind w:left="360"/>
        <w:jc w:val="both"/>
        <w:rPr>
          <w:rFonts w:cs="Times New Roman"/>
        </w:rPr>
      </w:pPr>
      <w:r w:rsidRPr="00113378">
        <w:rPr>
          <w:rFonts w:cs="Times New Roman"/>
        </w:rPr>
        <w:t xml:space="preserve">The Bangladesh Water Development Board (BWDB) will implement all major surface water development projects and other Flood </w:t>
      </w:r>
      <w:r w:rsidR="00403A7D">
        <w:rPr>
          <w:rFonts w:cs="Times New Roman"/>
        </w:rPr>
        <w:t>Management</w:t>
      </w:r>
      <w:r w:rsidRPr="00113378">
        <w:rPr>
          <w:rFonts w:cs="Times New Roman"/>
        </w:rPr>
        <w:t>, Drainage and Irrigation (</w:t>
      </w:r>
      <w:r w:rsidR="00403A7D" w:rsidRPr="00113378">
        <w:rPr>
          <w:rFonts w:cs="Times New Roman"/>
        </w:rPr>
        <w:t>F</w:t>
      </w:r>
      <w:r w:rsidR="00403A7D">
        <w:rPr>
          <w:rFonts w:cs="Times New Roman"/>
        </w:rPr>
        <w:t>M</w:t>
      </w:r>
      <w:r w:rsidR="00403A7D" w:rsidRPr="00113378">
        <w:rPr>
          <w:rFonts w:cs="Times New Roman"/>
        </w:rPr>
        <w:t>DI</w:t>
      </w:r>
      <w:r w:rsidRPr="00113378">
        <w:rPr>
          <w:rFonts w:cs="Times New Roman"/>
        </w:rPr>
        <w:t xml:space="preserve">) projects with command area above 1,000 hectares. </w:t>
      </w:r>
    </w:p>
    <w:p w:rsidR="00000000" w:rsidRDefault="00566D85" w:rsidP="003D5A31">
      <w:pPr>
        <w:pStyle w:val="ListParagraph"/>
        <w:numPr>
          <w:ilvl w:val="0"/>
          <w:numId w:val="127"/>
        </w:numPr>
        <w:spacing w:line="276" w:lineRule="auto"/>
        <w:ind w:left="360"/>
        <w:jc w:val="both"/>
        <w:rPr>
          <w:rFonts w:cs="Times New Roman"/>
        </w:rPr>
      </w:pPr>
      <w:r w:rsidRPr="00113378">
        <w:rPr>
          <w:rFonts w:cs="Times New Roman"/>
        </w:rPr>
        <w:t>The Local Government Engineering Department (LGED) will implement FCDI projects having a command area of 1,000 hectares or less after identification and appraisal through an interagency Project Appraisal Committee. Local Governments (Parishads) will be the principal agencies for coordinating these efforts.</w:t>
      </w:r>
    </w:p>
    <w:p w:rsidR="00000000" w:rsidRDefault="00566D85" w:rsidP="003D5A31">
      <w:pPr>
        <w:pStyle w:val="ListParagraph"/>
        <w:numPr>
          <w:ilvl w:val="0"/>
          <w:numId w:val="127"/>
        </w:numPr>
        <w:spacing w:line="276" w:lineRule="auto"/>
        <w:ind w:left="360"/>
        <w:jc w:val="both"/>
        <w:rPr>
          <w:rFonts w:cs="Times New Roman"/>
        </w:rPr>
      </w:pPr>
      <w:r>
        <w:rPr>
          <w:rFonts w:cs="Times New Roman"/>
        </w:rPr>
        <w:lastRenderedPageBreak/>
        <w:t xml:space="preserve">The </w:t>
      </w:r>
      <w:r w:rsidR="006C0770">
        <w:rPr>
          <w:rFonts w:cs="Times New Roman"/>
        </w:rPr>
        <w:t xml:space="preserve">Bangladesh </w:t>
      </w:r>
      <w:r>
        <w:rPr>
          <w:rFonts w:cs="Times New Roman"/>
        </w:rPr>
        <w:t xml:space="preserve">Inland Water Transport </w:t>
      </w:r>
      <w:r w:rsidR="006C0770">
        <w:rPr>
          <w:rFonts w:cs="Times New Roman"/>
        </w:rPr>
        <w:t xml:space="preserve">Authority (BIWTA) </w:t>
      </w:r>
      <w:r>
        <w:rPr>
          <w:rFonts w:cs="Times New Roman"/>
        </w:rPr>
        <w:t>will be responsible for river transport including river dredging to maintain river navigation.</w:t>
      </w:r>
    </w:p>
    <w:p w:rsidR="00FD7FD3" w:rsidRPr="00DF6547" w:rsidRDefault="00566D85" w:rsidP="00DF6547">
      <w:pPr>
        <w:spacing w:line="276" w:lineRule="auto"/>
        <w:jc w:val="both"/>
        <w:rPr>
          <w:rFonts w:cs="Times New Roman"/>
        </w:rPr>
      </w:pPr>
      <w:r>
        <w:rPr>
          <w:rFonts w:cs="Times New Roman"/>
          <w:b/>
        </w:rPr>
        <w:t xml:space="preserve">Progress with water policies and programmes: </w:t>
      </w:r>
      <w:r>
        <w:rPr>
          <w:rFonts w:cs="Times New Roman"/>
        </w:rPr>
        <w:t>Bangladesh has 50 plus years of experience in managing water resources that is reflected in numerous water policies and water programmes. a chronological list of the major init</w:t>
      </w:r>
      <w:r w:rsidR="00BC56FC">
        <w:rPr>
          <w:rFonts w:cs="Times New Roman"/>
        </w:rPr>
        <w:t>iatives are provided in Table 12</w:t>
      </w:r>
      <w:r w:rsidR="00DF6547">
        <w:rPr>
          <w:rFonts w:cs="Times New Roman"/>
        </w:rPr>
        <w:t>.1</w:t>
      </w:r>
    </w:p>
    <w:p w:rsidR="00566D85" w:rsidRPr="006E6AFE" w:rsidRDefault="00BC56FC" w:rsidP="006E68DA">
      <w:pPr>
        <w:pStyle w:val="Heading4"/>
        <w:spacing w:after="60"/>
      </w:pPr>
      <w:bookmarkStart w:id="884" w:name="_Toc474639144"/>
      <w:r>
        <w:t>Table 12</w:t>
      </w:r>
      <w:r w:rsidR="00566D85">
        <w:t>.1</w:t>
      </w:r>
      <w:r w:rsidR="00566D85" w:rsidRPr="006E6AFE">
        <w:t>: Chronological List of Major Water Policies and Programmes</w:t>
      </w:r>
      <w:bookmarkEnd w:id="884"/>
    </w:p>
    <w:tbl>
      <w:tblPr>
        <w:tblStyle w:val="LightList-Accent5"/>
        <w:tblW w:w="9630" w:type="dxa"/>
        <w:tblInd w:w="18" w:type="dxa"/>
        <w:tblLook w:val="04A0"/>
      </w:tblPr>
      <w:tblGrid>
        <w:gridCol w:w="450"/>
        <w:gridCol w:w="5040"/>
        <w:gridCol w:w="4140"/>
      </w:tblGrid>
      <w:tr w:rsidR="006E68DA" w:rsidRPr="00BB29CB" w:rsidTr="000920A9">
        <w:trPr>
          <w:cnfStyle w:val="100000000000"/>
          <w:trHeight w:hRule="exact" w:val="288"/>
        </w:trPr>
        <w:tc>
          <w:tcPr>
            <w:cnfStyle w:val="001000000000"/>
            <w:tcW w:w="450" w:type="dxa"/>
            <w:tcBorders>
              <w:top w:val="single" w:sz="6" w:space="0" w:color="4BACC6" w:themeColor="accent5"/>
              <w:bottom w:val="single" w:sz="6" w:space="0" w:color="4BACC6" w:themeColor="accent5"/>
              <w:right w:val="single" w:sz="6" w:space="0" w:color="4BACC6" w:themeColor="accent5"/>
            </w:tcBorders>
          </w:tcPr>
          <w:p w:rsidR="006E68DA" w:rsidRPr="00BB29CB" w:rsidRDefault="006E68DA"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tcPr>
          <w:p w:rsidR="006E68DA" w:rsidRPr="006E68DA" w:rsidRDefault="006E68DA" w:rsidP="000920A9">
            <w:pPr>
              <w:spacing w:line="235" w:lineRule="auto"/>
              <w:cnfStyle w:val="100000000000"/>
              <w:rPr>
                <w:rFonts w:eastAsia="Times New Roman"/>
                <w:sz w:val="20"/>
                <w:szCs w:val="20"/>
              </w:rPr>
            </w:pPr>
            <w:r>
              <w:rPr>
                <w:rFonts w:eastAsia="Times New Roman"/>
                <w:sz w:val="20"/>
                <w:szCs w:val="20"/>
              </w:rPr>
              <w:t>Policies/ Programmes</w:t>
            </w:r>
          </w:p>
        </w:tc>
        <w:tc>
          <w:tcPr>
            <w:tcW w:w="4140" w:type="dxa"/>
            <w:tcBorders>
              <w:top w:val="single" w:sz="6" w:space="0" w:color="4BACC6" w:themeColor="accent5"/>
              <w:left w:val="single" w:sz="6" w:space="0" w:color="4BACC6" w:themeColor="accent5"/>
              <w:bottom w:val="single" w:sz="6" w:space="0" w:color="4BACC6" w:themeColor="accent5"/>
            </w:tcBorders>
          </w:tcPr>
          <w:p w:rsidR="006E68DA" w:rsidRPr="006E68DA" w:rsidRDefault="006E68DA" w:rsidP="000920A9">
            <w:pPr>
              <w:spacing w:line="235" w:lineRule="auto"/>
              <w:cnfStyle w:val="100000000000"/>
              <w:rPr>
                <w:rFonts w:eastAsia="Times New Roman"/>
                <w:color w:val="000000" w:themeColor="text1"/>
                <w:sz w:val="20"/>
                <w:szCs w:val="20"/>
              </w:rPr>
            </w:pPr>
            <w:r>
              <w:rPr>
                <w:rFonts w:eastAsia="Times New Roman"/>
                <w:sz w:val="20"/>
                <w:szCs w:val="20"/>
              </w:rPr>
              <w:t xml:space="preserve"> </w:t>
            </w:r>
            <w:r>
              <w:rPr>
                <w:rFonts w:eastAsia="Times New Roman"/>
                <w:color w:val="000000" w:themeColor="text1"/>
                <w:sz w:val="20"/>
                <w:szCs w:val="20"/>
              </w:rPr>
              <w:t>Responsible Agency / Ministry</w:t>
            </w:r>
          </w:p>
        </w:tc>
      </w:tr>
      <w:tr w:rsidR="00566D85" w:rsidRPr="00BB29CB" w:rsidTr="006E68DA">
        <w:trPr>
          <w:cnfStyle w:val="000000100000"/>
          <w:trHeight w:hRule="exact" w:val="240"/>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The IECO Master Plan (1964)</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Bangladesh Water Development Board (BWDB)</w:t>
            </w:r>
          </w:p>
        </w:tc>
      </w:tr>
      <w:tr w:rsidR="00566D85" w:rsidRPr="00BB29CB" w:rsidTr="006E68DA">
        <w:trPr>
          <w:trHeight w:hRule="exact" w:val="267"/>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The National Water Plan I (1986)</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Master Plan Organization (MPO)</w:t>
            </w:r>
          </w:p>
        </w:tc>
      </w:tr>
      <w:tr w:rsidR="00566D85" w:rsidRPr="00BB29CB" w:rsidTr="006E68DA">
        <w:trPr>
          <w:cnfStyle w:val="000000100000"/>
          <w:trHeight w:hRule="exact" w:val="267"/>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 xml:space="preserve">The National Water Plan II (1991) </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Master Plan Organization (MPO)</w:t>
            </w:r>
          </w:p>
        </w:tc>
      </w:tr>
      <w:tr w:rsidR="00566D85" w:rsidRPr="00BB29CB" w:rsidTr="006E68DA">
        <w:trPr>
          <w:trHeight w:hRule="exact" w:val="267"/>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Floodplain Management Pilot Project</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Pr>
                <w:rFonts w:eastAsia="Times New Roman"/>
                <w:sz w:val="20"/>
                <w:szCs w:val="20"/>
              </w:rPr>
              <w:t>Ministry of Water Resources</w:t>
            </w:r>
          </w:p>
        </w:tc>
      </w:tr>
      <w:tr w:rsidR="00566D85" w:rsidRPr="00BB29CB" w:rsidTr="00C00DFE">
        <w:trPr>
          <w:cnfStyle w:val="000000100000"/>
          <w:trHeight w:val="453"/>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566D85">
            <w:pPr>
              <w:spacing w:after="0" w:line="235" w:lineRule="auto"/>
              <w:cnfStyle w:val="000000100000"/>
              <w:rPr>
                <w:rFonts w:eastAsia="Times New Roman"/>
                <w:sz w:val="20"/>
                <w:szCs w:val="20"/>
              </w:rPr>
            </w:pPr>
            <w:r w:rsidRPr="00BB29CB">
              <w:rPr>
                <w:rFonts w:eastAsia="Times New Roman"/>
                <w:sz w:val="20"/>
                <w:szCs w:val="20"/>
              </w:rPr>
              <w:t>Flood Action Plan FAP (1990/95) with 11 main studies and 15 supporting Components:</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Pr>
                <w:rFonts w:eastAsia="Times New Roman"/>
                <w:sz w:val="20"/>
                <w:szCs w:val="20"/>
              </w:rPr>
              <w:t>Ministry of Water Resources</w:t>
            </w:r>
          </w:p>
        </w:tc>
      </w:tr>
      <w:tr w:rsidR="00566D85" w:rsidRPr="00BB29CB" w:rsidTr="000920A9">
        <w:trPr>
          <w:trHeight w:hRule="exact" w:val="288"/>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FAP 1: River Training Studies of the Brahmaputra River</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p>
        </w:tc>
      </w:tr>
      <w:tr w:rsidR="00566D85" w:rsidRPr="00BB29CB" w:rsidTr="000920A9">
        <w:trPr>
          <w:cnfStyle w:val="000000100000"/>
          <w:trHeight w:hRule="exact" w:val="288"/>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FAP2: North West Regional Study</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p>
        </w:tc>
      </w:tr>
      <w:tr w:rsidR="00566D85" w:rsidRPr="00BB29CB" w:rsidTr="00C00DFE">
        <w:trPr>
          <w:trHeight w:hRule="exact" w:val="240"/>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FAP 3: North Central Regio</w:t>
            </w:r>
            <w:r>
              <w:rPr>
                <w:rFonts w:eastAsia="Times New Roman"/>
                <w:sz w:val="20"/>
                <w:szCs w:val="20"/>
              </w:rPr>
              <w:t>nal Flood Control/Drainage Std</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p>
        </w:tc>
      </w:tr>
      <w:tr w:rsidR="00566D85" w:rsidRPr="00BB29CB" w:rsidTr="000920A9">
        <w:trPr>
          <w:cnfStyle w:val="000000100000"/>
          <w:trHeight w:hRule="exact" w:val="432"/>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FAP 4: Southwest Area Water Resources Management Project (1993)</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p>
        </w:tc>
      </w:tr>
      <w:tr w:rsidR="00566D85" w:rsidRPr="00BB29CB" w:rsidTr="006E68DA">
        <w:trPr>
          <w:trHeight w:hRule="exact" w:val="240"/>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FAP 5: South East Regional Study</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p>
        </w:tc>
      </w:tr>
      <w:tr w:rsidR="00566D85" w:rsidRPr="00BB29CB" w:rsidTr="006E68DA">
        <w:trPr>
          <w:cnfStyle w:val="000000100000"/>
          <w:trHeight w:hRule="exact" w:val="267"/>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 xml:space="preserve">FAP 6: </w:t>
            </w:r>
            <w:r>
              <w:rPr>
                <w:rFonts w:eastAsia="Times New Roman"/>
                <w:sz w:val="20"/>
                <w:szCs w:val="20"/>
              </w:rPr>
              <w:t xml:space="preserve">North East Regional Study </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p>
        </w:tc>
      </w:tr>
      <w:tr w:rsidR="00566D85" w:rsidRPr="00BB29CB" w:rsidTr="006E68DA">
        <w:trPr>
          <w:trHeight w:hRule="exact" w:val="213"/>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FAP 7: Cyclone Protection Study</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p>
        </w:tc>
      </w:tr>
      <w:tr w:rsidR="00566D85" w:rsidRPr="00BB29CB" w:rsidTr="006E68DA">
        <w:trPr>
          <w:cnfStyle w:val="000000100000"/>
          <w:trHeight w:hRule="exact" w:val="285"/>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FAP 8: Dhaka Town Protection</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p>
        </w:tc>
      </w:tr>
      <w:tr w:rsidR="00566D85" w:rsidRPr="00BB29CB" w:rsidTr="006E68DA">
        <w:trPr>
          <w:trHeight w:hRule="exact" w:val="267"/>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FAP 9: Other Town Protection</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p>
        </w:tc>
      </w:tr>
      <w:tr w:rsidR="00566D85" w:rsidRPr="00BB29CB" w:rsidTr="006E68DA">
        <w:trPr>
          <w:cnfStyle w:val="000000100000"/>
          <w:trHeight w:hRule="exact" w:val="258"/>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FAP 10: Flood Foreca</w:t>
            </w:r>
            <w:r>
              <w:rPr>
                <w:rFonts w:eastAsia="Times New Roman"/>
                <w:sz w:val="20"/>
                <w:szCs w:val="20"/>
              </w:rPr>
              <w:t xml:space="preserve">sting and Warning Project </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p>
        </w:tc>
      </w:tr>
      <w:tr w:rsidR="00566D85" w:rsidRPr="00BB29CB" w:rsidTr="00C00DFE">
        <w:trPr>
          <w:trHeight w:hRule="exact" w:val="267"/>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National Minor Irrigat</w:t>
            </w:r>
            <w:r>
              <w:rPr>
                <w:rFonts w:eastAsia="Times New Roman"/>
                <w:sz w:val="20"/>
                <w:szCs w:val="20"/>
              </w:rPr>
              <w:t xml:space="preserve">ion Development Project </w:t>
            </w:r>
            <w:r w:rsidRPr="00BB29CB">
              <w:rPr>
                <w:rFonts w:eastAsia="Times New Roman"/>
                <w:sz w:val="20"/>
                <w:szCs w:val="20"/>
              </w:rPr>
              <w:t xml:space="preserve">(1996) </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Pr>
                <w:rFonts w:eastAsia="Times New Roman"/>
                <w:sz w:val="20"/>
                <w:szCs w:val="20"/>
              </w:rPr>
              <w:t>Ministry of Agriculture</w:t>
            </w:r>
          </w:p>
        </w:tc>
      </w:tr>
      <w:tr w:rsidR="00566D85" w:rsidRPr="00BB29CB" w:rsidTr="006C0770">
        <w:trPr>
          <w:cnfStyle w:val="000000100000"/>
          <w:trHeight w:hRule="exact" w:val="762"/>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cnfStyle w:val="000000100000"/>
              <w:rPr>
                <w:rFonts w:eastAsia="Times New Roman"/>
                <w:color w:val="000000"/>
                <w:sz w:val="20"/>
                <w:szCs w:val="20"/>
              </w:rPr>
            </w:pPr>
            <w:r w:rsidRPr="00BB29CB">
              <w:rPr>
                <w:rFonts w:eastAsia="Times New Roman"/>
                <w:sz w:val="20"/>
                <w:szCs w:val="20"/>
              </w:rPr>
              <w:t xml:space="preserve">National Policy for Safe Water </w:t>
            </w:r>
            <w:r>
              <w:rPr>
                <w:rFonts w:eastAsia="Times New Roman"/>
                <w:sz w:val="20"/>
                <w:szCs w:val="20"/>
              </w:rPr>
              <w:t>Supply and Sanitation 1998</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6C0770">
            <w:pPr>
              <w:cnfStyle w:val="000000100000"/>
              <w:rPr>
                <w:rFonts w:eastAsia="Times New Roman"/>
                <w:color w:val="000000"/>
                <w:sz w:val="20"/>
                <w:szCs w:val="20"/>
              </w:rPr>
            </w:pPr>
            <w:r w:rsidRPr="00BB29CB">
              <w:rPr>
                <w:rFonts w:eastAsia="Times New Roman"/>
                <w:sz w:val="20"/>
                <w:szCs w:val="20"/>
              </w:rPr>
              <w:t>Ministry of Local Government, Rural</w:t>
            </w:r>
            <w:r w:rsidR="006C0770">
              <w:rPr>
                <w:rFonts w:eastAsia="Times New Roman"/>
                <w:sz w:val="20"/>
                <w:szCs w:val="20"/>
              </w:rPr>
              <w:t xml:space="preserve"> Deveopment and Cooperatives</w:t>
            </w:r>
            <w:r w:rsidRPr="00BB29CB">
              <w:rPr>
                <w:rFonts w:eastAsia="Times New Roman"/>
                <w:sz w:val="20"/>
                <w:szCs w:val="20"/>
              </w:rPr>
              <w:t xml:space="preserve"> </w:t>
            </w:r>
          </w:p>
        </w:tc>
      </w:tr>
      <w:tr w:rsidR="00566D85" w:rsidRPr="00BB29CB" w:rsidTr="000920A9">
        <w:trPr>
          <w:trHeight w:hRule="exact" w:val="259"/>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Meghna Estuary  Study, Master Plan (1998)</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Bangladesh Water Development Board (BWDB)</w:t>
            </w:r>
          </w:p>
        </w:tc>
      </w:tr>
      <w:tr w:rsidR="00566D85" w:rsidRPr="00BB29CB" w:rsidTr="000920A9">
        <w:trPr>
          <w:cnfStyle w:val="000000100000"/>
          <w:trHeight w:hRule="exact" w:val="259"/>
        </w:trPr>
        <w:tc>
          <w:tcPr>
            <w:cnfStyle w:val="001000000000"/>
            <w:tcW w:w="450" w:type="dxa"/>
            <w:tcBorders>
              <w:top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right w:val="single" w:sz="6" w:space="0" w:color="4BACC6" w:themeColor="accent5"/>
            </w:tcBorders>
            <w:hideMark/>
          </w:tcPr>
          <w:p w:rsidR="00566D85" w:rsidRPr="00BB29CB" w:rsidRDefault="00566D85" w:rsidP="000920A9">
            <w:pPr>
              <w:cnfStyle w:val="000000100000"/>
              <w:rPr>
                <w:rFonts w:eastAsia="Times New Roman"/>
                <w:color w:val="000000"/>
                <w:sz w:val="20"/>
                <w:szCs w:val="20"/>
              </w:rPr>
            </w:pPr>
            <w:r w:rsidRPr="00BB29CB">
              <w:rPr>
                <w:rFonts w:eastAsia="Times New Roman"/>
                <w:sz w:val="20"/>
                <w:szCs w:val="20"/>
              </w:rPr>
              <w:t>National Water Policy (1999)</w:t>
            </w:r>
          </w:p>
        </w:tc>
        <w:tc>
          <w:tcPr>
            <w:tcW w:w="4140" w:type="dxa"/>
            <w:tcBorders>
              <w:top w:val="single" w:sz="6" w:space="0" w:color="4BACC6" w:themeColor="accent5"/>
              <w:left w:val="single" w:sz="6" w:space="0" w:color="4BACC6" w:themeColor="accent5"/>
            </w:tcBorders>
            <w:hideMark/>
          </w:tcPr>
          <w:p w:rsidR="00566D85" w:rsidRPr="00BB29CB" w:rsidRDefault="00566D85" w:rsidP="000920A9">
            <w:pPr>
              <w:cnfStyle w:val="000000100000"/>
              <w:rPr>
                <w:rFonts w:eastAsia="Times New Roman"/>
                <w:color w:val="000000"/>
                <w:sz w:val="20"/>
                <w:szCs w:val="20"/>
              </w:rPr>
            </w:pPr>
            <w:r>
              <w:rPr>
                <w:rFonts w:eastAsia="Times New Roman"/>
                <w:sz w:val="20"/>
                <w:szCs w:val="20"/>
              </w:rPr>
              <w:t>Ministry of Water Resources</w:t>
            </w:r>
          </w:p>
        </w:tc>
      </w:tr>
      <w:tr w:rsidR="00566D85" w:rsidRPr="00BB29CB" w:rsidTr="00A57144">
        <w:trPr>
          <w:trHeight w:hRule="exact" w:val="290"/>
        </w:trPr>
        <w:tc>
          <w:tcPr>
            <w:cnfStyle w:val="001000000000"/>
            <w:tcW w:w="450" w:type="dxa"/>
            <w:tcBorders>
              <w:top w:val="single" w:sz="6" w:space="0" w:color="4BACC6" w:themeColor="accent5"/>
              <w:bottom w:val="single" w:sz="8"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8"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Pr>
                <w:rFonts w:eastAsia="Times New Roman"/>
                <w:sz w:val="20"/>
                <w:szCs w:val="20"/>
              </w:rPr>
              <w:t>Guidelines for Participatory Water Management (2000)</w:t>
            </w:r>
          </w:p>
        </w:tc>
        <w:tc>
          <w:tcPr>
            <w:tcW w:w="4140" w:type="dxa"/>
            <w:tcBorders>
              <w:top w:val="single" w:sz="6" w:space="0" w:color="4BACC6" w:themeColor="accent5"/>
              <w:left w:val="single" w:sz="6" w:space="0" w:color="4BACC6" w:themeColor="accent5"/>
              <w:bottom w:val="single" w:sz="8"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Pr>
                <w:rFonts w:eastAsia="Times New Roman"/>
                <w:sz w:val="20"/>
                <w:szCs w:val="20"/>
              </w:rPr>
              <w:t>Ministry of Water Resources (WARPO)</w:t>
            </w:r>
          </w:p>
        </w:tc>
      </w:tr>
      <w:tr w:rsidR="00566D85" w:rsidRPr="00BB29CB" w:rsidTr="006C0770">
        <w:trPr>
          <w:cnfStyle w:val="000000100000"/>
          <w:trHeight w:hRule="exact" w:val="452"/>
        </w:trPr>
        <w:tc>
          <w:tcPr>
            <w:cnfStyle w:val="001000000000"/>
            <w:tcW w:w="450" w:type="dxa"/>
            <w:tcBorders>
              <w:top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The National Wa</w:t>
            </w:r>
            <w:r>
              <w:rPr>
                <w:rFonts w:eastAsia="Times New Roman"/>
                <w:sz w:val="20"/>
                <w:szCs w:val="20"/>
              </w:rPr>
              <w:t>ter Management Plan (NWMP) (2001</w:t>
            </w:r>
            <w:r w:rsidRPr="00BB29CB">
              <w:rPr>
                <w:rFonts w:eastAsia="Times New Roman"/>
                <w:sz w:val="20"/>
                <w:szCs w:val="20"/>
              </w:rPr>
              <w:t>)</w:t>
            </w:r>
          </w:p>
        </w:tc>
        <w:tc>
          <w:tcPr>
            <w:tcW w:w="4140" w:type="dxa"/>
            <w:tcBorders>
              <w:top w:val="single" w:sz="6" w:space="0" w:color="4BACC6" w:themeColor="accent5"/>
              <w:lef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Water Resources Planning Organization (WARPO)</w:t>
            </w:r>
          </w:p>
        </w:tc>
      </w:tr>
      <w:tr w:rsidR="00566D85" w:rsidRPr="00BB29CB" w:rsidTr="000920A9">
        <w:trPr>
          <w:trHeight w:hRule="exact" w:val="288"/>
        </w:trPr>
        <w:tc>
          <w:tcPr>
            <w:cnfStyle w:val="001000000000"/>
            <w:tcW w:w="450" w:type="dxa"/>
            <w:tcBorders>
              <w:top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Action Plan for Solid Waste Mana</w:t>
            </w:r>
            <w:r>
              <w:rPr>
                <w:rFonts w:eastAsia="Times New Roman"/>
                <w:sz w:val="20"/>
                <w:szCs w:val="20"/>
              </w:rPr>
              <w:t xml:space="preserve">gement in 19 towns </w:t>
            </w:r>
            <w:r w:rsidRPr="00BB29CB">
              <w:rPr>
                <w:rFonts w:eastAsia="Times New Roman"/>
                <w:sz w:val="20"/>
                <w:szCs w:val="20"/>
              </w:rPr>
              <w:t xml:space="preserve"> </w:t>
            </w:r>
          </w:p>
        </w:tc>
        <w:tc>
          <w:tcPr>
            <w:tcW w:w="4140" w:type="dxa"/>
            <w:tcBorders>
              <w:top w:val="single" w:sz="6" w:space="0" w:color="4BACC6" w:themeColor="accent5"/>
              <w:lef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 xml:space="preserve">Department of </w:t>
            </w:r>
            <w:r w:rsidR="00B57B81">
              <w:rPr>
                <w:rFonts w:eastAsia="Times New Roman"/>
                <w:sz w:val="20"/>
                <w:szCs w:val="20"/>
              </w:rPr>
              <w:t>Canals</w:t>
            </w:r>
            <w:r w:rsidRPr="00BB29CB">
              <w:rPr>
                <w:rFonts w:eastAsia="Times New Roman"/>
                <w:sz w:val="20"/>
                <w:szCs w:val="20"/>
              </w:rPr>
              <w:t xml:space="preserve"> Health Engineering</w:t>
            </w:r>
          </w:p>
        </w:tc>
      </w:tr>
      <w:tr w:rsidR="00566D85" w:rsidRPr="00BB29CB" w:rsidTr="000920A9">
        <w:trPr>
          <w:cnfStyle w:val="000000100000"/>
          <w:trHeight w:hRule="exact" w:val="259"/>
        </w:trPr>
        <w:tc>
          <w:tcPr>
            <w:cnfStyle w:val="001000000000"/>
            <w:tcW w:w="450" w:type="dxa"/>
            <w:tcBorders>
              <w:top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District Development Plan of</w:t>
            </w:r>
            <w:r>
              <w:rPr>
                <w:rFonts w:eastAsia="Times New Roman"/>
                <w:sz w:val="20"/>
                <w:szCs w:val="20"/>
              </w:rPr>
              <w:t xml:space="preserve"> </w:t>
            </w:r>
            <w:r w:rsidRPr="00BB29CB">
              <w:rPr>
                <w:rFonts w:eastAsia="Times New Roman"/>
                <w:sz w:val="20"/>
                <w:szCs w:val="20"/>
              </w:rPr>
              <w:t xml:space="preserve"> WARPO (2005)</w:t>
            </w:r>
          </w:p>
        </w:tc>
        <w:tc>
          <w:tcPr>
            <w:tcW w:w="4140" w:type="dxa"/>
            <w:tcBorders>
              <w:top w:val="single" w:sz="6" w:space="0" w:color="4BACC6" w:themeColor="accent5"/>
              <w:lef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Ministry of Water Resources</w:t>
            </w:r>
            <w:r>
              <w:rPr>
                <w:rFonts w:eastAsia="Times New Roman"/>
                <w:sz w:val="20"/>
                <w:szCs w:val="20"/>
              </w:rPr>
              <w:t xml:space="preserve"> (WARPO)</w:t>
            </w:r>
          </w:p>
        </w:tc>
      </w:tr>
      <w:tr w:rsidR="00566D85" w:rsidRPr="00BB29CB" w:rsidTr="000920A9">
        <w:trPr>
          <w:trHeight w:hRule="exact" w:val="259"/>
        </w:trPr>
        <w:tc>
          <w:tcPr>
            <w:cnfStyle w:val="001000000000"/>
            <w:tcW w:w="450" w:type="dxa"/>
            <w:tcBorders>
              <w:top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Pr>
                <w:rFonts w:eastAsia="Times New Roman"/>
                <w:sz w:val="20"/>
                <w:szCs w:val="20"/>
              </w:rPr>
              <w:t>The Coastal Zone Policy (2005)</w:t>
            </w:r>
          </w:p>
        </w:tc>
        <w:tc>
          <w:tcPr>
            <w:tcW w:w="4140" w:type="dxa"/>
            <w:tcBorders>
              <w:top w:val="single" w:sz="6" w:space="0" w:color="4BACC6" w:themeColor="accent5"/>
              <w:lef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Pr>
                <w:rFonts w:eastAsia="Times New Roman"/>
                <w:sz w:val="20"/>
                <w:szCs w:val="20"/>
              </w:rPr>
              <w:t>Ministry of Water Resources</w:t>
            </w:r>
          </w:p>
        </w:tc>
      </w:tr>
      <w:tr w:rsidR="00566D85" w:rsidRPr="00BB29CB" w:rsidTr="00A57144">
        <w:trPr>
          <w:cnfStyle w:val="000000100000"/>
          <w:trHeight w:hRule="exact" w:val="447"/>
        </w:trPr>
        <w:tc>
          <w:tcPr>
            <w:cnfStyle w:val="001000000000"/>
            <w:tcW w:w="450" w:type="dxa"/>
            <w:tcBorders>
              <w:top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right w:val="single" w:sz="6" w:space="0" w:color="4BACC6" w:themeColor="accent5"/>
            </w:tcBorders>
            <w:hideMark/>
          </w:tcPr>
          <w:p w:rsidR="00566D85" w:rsidRPr="00BB29CB" w:rsidRDefault="00566D85" w:rsidP="00566D85">
            <w:pPr>
              <w:spacing w:after="0" w:line="235" w:lineRule="auto"/>
              <w:cnfStyle w:val="000000100000"/>
              <w:rPr>
                <w:rFonts w:eastAsia="Times New Roman"/>
                <w:sz w:val="20"/>
                <w:szCs w:val="20"/>
              </w:rPr>
            </w:pPr>
            <w:r w:rsidRPr="00BB29CB">
              <w:rPr>
                <w:rFonts w:eastAsia="Times New Roman"/>
                <w:sz w:val="20"/>
                <w:szCs w:val="20"/>
              </w:rPr>
              <w:t>District Perspective Plan for Development and</w:t>
            </w:r>
          </w:p>
          <w:p w:rsidR="00566D85" w:rsidRPr="00BB29CB" w:rsidRDefault="00566D85" w:rsidP="00566D85">
            <w:pPr>
              <w:spacing w:after="0" w:line="235" w:lineRule="auto"/>
              <w:cnfStyle w:val="000000100000"/>
              <w:rPr>
                <w:rFonts w:eastAsia="Times New Roman"/>
                <w:sz w:val="20"/>
                <w:szCs w:val="20"/>
              </w:rPr>
            </w:pPr>
            <w:r w:rsidRPr="00BB29CB">
              <w:rPr>
                <w:rFonts w:eastAsia="Times New Roman"/>
                <w:sz w:val="20"/>
                <w:szCs w:val="20"/>
              </w:rPr>
              <w:t>Management of Water Resources (2005-06)</w:t>
            </w:r>
          </w:p>
        </w:tc>
        <w:tc>
          <w:tcPr>
            <w:tcW w:w="4140" w:type="dxa"/>
            <w:tcBorders>
              <w:top w:val="single" w:sz="6" w:space="0" w:color="4BACC6" w:themeColor="accent5"/>
              <w:left w:val="single" w:sz="6" w:space="0" w:color="4BACC6" w:themeColor="accent5"/>
            </w:tcBorders>
            <w:hideMark/>
          </w:tcPr>
          <w:p w:rsidR="00566D85" w:rsidRPr="00BB29CB" w:rsidRDefault="00566D85" w:rsidP="00566D85">
            <w:pPr>
              <w:spacing w:after="0" w:line="235" w:lineRule="auto"/>
              <w:cnfStyle w:val="000000100000"/>
              <w:rPr>
                <w:rFonts w:eastAsia="Times New Roman"/>
                <w:sz w:val="20"/>
                <w:szCs w:val="20"/>
              </w:rPr>
            </w:pPr>
            <w:r w:rsidRPr="00BB29CB">
              <w:rPr>
                <w:rFonts w:eastAsia="Times New Roman"/>
                <w:sz w:val="20"/>
                <w:szCs w:val="20"/>
              </w:rPr>
              <w:t>Local Government Engineering Department</w:t>
            </w:r>
          </w:p>
        </w:tc>
      </w:tr>
      <w:tr w:rsidR="00566D85" w:rsidRPr="00BB29CB" w:rsidTr="006C0770">
        <w:trPr>
          <w:trHeight w:hRule="exact" w:val="443"/>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The Master Plan for Haor Areas (2010)</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6C0770">
            <w:pPr>
              <w:spacing w:line="235" w:lineRule="auto"/>
              <w:cnfStyle w:val="000000000000"/>
              <w:rPr>
                <w:rFonts w:eastAsia="Times New Roman"/>
                <w:sz w:val="20"/>
                <w:szCs w:val="20"/>
              </w:rPr>
            </w:pPr>
            <w:r w:rsidRPr="00BB29CB">
              <w:rPr>
                <w:rFonts w:eastAsia="Times New Roman"/>
                <w:sz w:val="20"/>
                <w:szCs w:val="20"/>
              </w:rPr>
              <w:t xml:space="preserve">Bangladesh Haor and Wetland Development </w:t>
            </w:r>
            <w:r w:rsidR="006C0770">
              <w:rPr>
                <w:rFonts w:eastAsia="Times New Roman"/>
                <w:sz w:val="20"/>
                <w:szCs w:val="20"/>
              </w:rPr>
              <w:t>Department</w:t>
            </w:r>
          </w:p>
        </w:tc>
      </w:tr>
      <w:tr w:rsidR="00566D85" w:rsidRPr="00BB29CB" w:rsidTr="006C0770">
        <w:trPr>
          <w:cnfStyle w:val="000000100000"/>
          <w:trHeight w:hRule="exact" w:val="627"/>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100000"/>
              <w:rPr>
                <w:rFonts w:eastAsia="Times New Roman"/>
                <w:sz w:val="20"/>
                <w:szCs w:val="20"/>
              </w:rPr>
            </w:pPr>
            <w:r w:rsidRPr="00BB29CB">
              <w:rPr>
                <w:rFonts w:eastAsia="Times New Roman"/>
                <w:sz w:val="20"/>
                <w:szCs w:val="20"/>
              </w:rPr>
              <w:t>Dredging Plan</w:t>
            </w:r>
            <w:r>
              <w:rPr>
                <w:rFonts w:eastAsia="Times New Roman"/>
                <w:sz w:val="20"/>
                <w:szCs w:val="20"/>
              </w:rPr>
              <w:t xml:space="preserve"> 2012</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6C0770">
            <w:pPr>
              <w:spacing w:line="235" w:lineRule="auto"/>
              <w:cnfStyle w:val="000000100000"/>
              <w:rPr>
                <w:rFonts w:eastAsia="Times New Roman"/>
                <w:sz w:val="20"/>
                <w:szCs w:val="20"/>
              </w:rPr>
            </w:pPr>
            <w:r>
              <w:rPr>
                <w:rFonts w:eastAsia="Times New Roman"/>
                <w:sz w:val="20"/>
                <w:szCs w:val="20"/>
              </w:rPr>
              <w:t xml:space="preserve">Ministry of Shipping </w:t>
            </w:r>
          </w:p>
        </w:tc>
      </w:tr>
      <w:tr w:rsidR="00566D85" w:rsidRPr="00BB29CB" w:rsidTr="006C0770">
        <w:trPr>
          <w:trHeight w:hRule="exact" w:val="825"/>
        </w:trPr>
        <w:tc>
          <w:tcPr>
            <w:cnfStyle w:val="001000000000"/>
            <w:tcW w:w="450" w:type="dxa"/>
            <w:tcBorders>
              <w:top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rPr>
                <w:rFonts w:eastAsia="Times New Roman"/>
                <w:color w:val="000000"/>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Sector Development Plan (SDP) for Water Supply and Sanitation Sector in Bangladesh (FY 2011-25)</w:t>
            </w:r>
          </w:p>
        </w:tc>
        <w:tc>
          <w:tcPr>
            <w:tcW w:w="4140" w:type="dxa"/>
            <w:tcBorders>
              <w:top w:val="single" w:sz="6" w:space="0" w:color="4BACC6" w:themeColor="accent5"/>
              <w:left w:val="single" w:sz="6" w:space="0" w:color="4BACC6" w:themeColor="accent5"/>
              <w:bottom w:val="single" w:sz="6" w:space="0" w:color="4BACC6" w:themeColor="accent5"/>
            </w:tcBorders>
            <w:hideMark/>
          </w:tcPr>
          <w:p w:rsidR="00566D85" w:rsidRPr="00BB29CB" w:rsidRDefault="00566D85" w:rsidP="000920A9">
            <w:pPr>
              <w:spacing w:line="235" w:lineRule="auto"/>
              <w:cnfStyle w:val="000000000000"/>
              <w:rPr>
                <w:rFonts w:eastAsia="Times New Roman"/>
                <w:sz w:val="20"/>
                <w:szCs w:val="20"/>
              </w:rPr>
            </w:pPr>
            <w:r w:rsidRPr="00BB29CB">
              <w:rPr>
                <w:rFonts w:eastAsia="Times New Roman"/>
                <w:sz w:val="20"/>
                <w:szCs w:val="20"/>
              </w:rPr>
              <w:t>Local Government Division</w:t>
            </w:r>
            <w:r w:rsidR="006C0770">
              <w:rPr>
                <w:rFonts w:eastAsia="Times New Roman"/>
                <w:sz w:val="20"/>
                <w:szCs w:val="20"/>
              </w:rPr>
              <w:t>,</w:t>
            </w:r>
            <w:r w:rsidRPr="00BB29CB">
              <w:rPr>
                <w:rFonts w:eastAsia="Times New Roman"/>
                <w:sz w:val="20"/>
                <w:szCs w:val="20"/>
              </w:rPr>
              <w:t xml:space="preserve"> Ministry of Local Government, Rural Development and Cooperatives</w:t>
            </w:r>
          </w:p>
        </w:tc>
      </w:tr>
      <w:tr w:rsidR="00463F45" w:rsidRPr="00430A50" w:rsidTr="004B0A08">
        <w:trPr>
          <w:cnfStyle w:val="000000100000"/>
          <w:trHeight w:hRule="exact" w:val="330"/>
        </w:trPr>
        <w:tc>
          <w:tcPr>
            <w:cnfStyle w:val="001000000000"/>
            <w:tcW w:w="450" w:type="dxa"/>
            <w:tcBorders>
              <w:top w:val="single" w:sz="6" w:space="0" w:color="4BACC6" w:themeColor="accent5"/>
              <w:bottom w:val="single" w:sz="6" w:space="0" w:color="4BACC6" w:themeColor="accent5"/>
              <w:right w:val="single" w:sz="6" w:space="0" w:color="4BACC6" w:themeColor="accent5"/>
            </w:tcBorders>
          </w:tcPr>
          <w:p w:rsidR="00463F45" w:rsidRPr="00430A50" w:rsidRDefault="00463F45" w:rsidP="000920A9">
            <w:pPr>
              <w:rPr>
                <w:rFonts w:eastAsia="Times New Roman"/>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tcPr>
          <w:p w:rsidR="00463F45" w:rsidRPr="00430A50" w:rsidRDefault="00463F45" w:rsidP="000920A9">
            <w:pPr>
              <w:spacing w:line="235" w:lineRule="auto"/>
              <w:cnfStyle w:val="000000100000"/>
              <w:rPr>
                <w:rFonts w:eastAsia="Times New Roman"/>
                <w:sz w:val="20"/>
                <w:szCs w:val="20"/>
              </w:rPr>
            </w:pPr>
            <w:r w:rsidRPr="00430A50">
              <w:rPr>
                <w:rFonts w:eastAsia="Times New Roman"/>
                <w:sz w:val="20"/>
                <w:szCs w:val="20"/>
              </w:rPr>
              <w:t>The National Water Act (2013)</w:t>
            </w:r>
          </w:p>
        </w:tc>
        <w:tc>
          <w:tcPr>
            <w:tcW w:w="4140" w:type="dxa"/>
            <w:tcBorders>
              <w:top w:val="single" w:sz="6" w:space="0" w:color="4BACC6" w:themeColor="accent5"/>
              <w:left w:val="single" w:sz="6" w:space="0" w:color="4BACC6" w:themeColor="accent5"/>
              <w:bottom w:val="single" w:sz="6" w:space="0" w:color="4BACC6" w:themeColor="accent5"/>
            </w:tcBorders>
          </w:tcPr>
          <w:p w:rsidR="00463F45" w:rsidRPr="00430A50" w:rsidRDefault="00463F45" w:rsidP="000920A9">
            <w:pPr>
              <w:spacing w:line="235" w:lineRule="auto"/>
              <w:cnfStyle w:val="000000100000"/>
              <w:rPr>
                <w:rFonts w:eastAsia="Times New Roman"/>
                <w:sz w:val="20"/>
                <w:szCs w:val="20"/>
              </w:rPr>
            </w:pPr>
            <w:r w:rsidRPr="00430A50">
              <w:rPr>
                <w:rFonts w:eastAsia="Times New Roman"/>
                <w:sz w:val="20"/>
                <w:szCs w:val="20"/>
              </w:rPr>
              <w:t>Ministry of Water Resources</w:t>
            </w:r>
          </w:p>
        </w:tc>
      </w:tr>
      <w:tr w:rsidR="00463F45" w:rsidRPr="00430A50" w:rsidTr="004B0A08">
        <w:trPr>
          <w:trHeight w:hRule="exact" w:val="375"/>
        </w:trPr>
        <w:tc>
          <w:tcPr>
            <w:cnfStyle w:val="001000000000"/>
            <w:tcW w:w="450" w:type="dxa"/>
            <w:tcBorders>
              <w:top w:val="single" w:sz="6" w:space="0" w:color="4BACC6" w:themeColor="accent5"/>
              <w:bottom w:val="single" w:sz="6" w:space="0" w:color="4BACC6" w:themeColor="accent5"/>
              <w:right w:val="single" w:sz="6" w:space="0" w:color="4BACC6" w:themeColor="accent5"/>
            </w:tcBorders>
          </w:tcPr>
          <w:p w:rsidR="00463F45" w:rsidRPr="00430A50" w:rsidRDefault="00463F45" w:rsidP="000920A9">
            <w:pPr>
              <w:rPr>
                <w:rFonts w:eastAsia="Times New Roman"/>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tcPr>
          <w:p w:rsidR="00463F45" w:rsidRPr="00430A50" w:rsidRDefault="00463F45" w:rsidP="000920A9">
            <w:pPr>
              <w:spacing w:line="235" w:lineRule="auto"/>
              <w:cnfStyle w:val="000000000000"/>
              <w:rPr>
                <w:rFonts w:eastAsia="Times New Roman"/>
                <w:sz w:val="20"/>
                <w:szCs w:val="20"/>
              </w:rPr>
            </w:pPr>
            <w:r w:rsidRPr="00430A50">
              <w:rPr>
                <w:rFonts w:eastAsia="Times New Roman"/>
                <w:sz w:val="20"/>
                <w:szCs w:val="20"/>
              </w:rPr>
              <w:t>Bangladesh Water Development Board Act (2013)</w:t>
            </w:r>
          </w:p>
        </w:tc>
        <w:tc>
          <w:tcPr>
            <w:tcW w:w="4140" w:type="dxa"/>
            <w:tcBorders>
              <w:top w:val="single" w:sz="6" w:space="0" w:color="4BACC6" w:themeColor="accent5"/>
              <w:left w:val="single" w:sz="6" w:space="0" w:color="4BACC6" w:themeColor="accent5"/>
              <w:bottom w:val="single" w:sz="6" w:space="0" w:color="4BACC6" w:themeColor="accent5"/>
            </w:tcBorders>
          </w:tcPr>
          <w:p w:rsidR="00463F45" w:rsidRPr="00430A50" w:rsidRDefault="00463F45" w:rsidP="000920A9">
            <w:pPr>
              <w:spacing w:line="235" w:lineRule="auto"/>
              <w:cnfStyle w:val="000000000000"/>
              <w:rPr>
                <w:rFonts w:eastAsia="Times New Roman"/>
                <w:sz w:val="20"/>
                <w:szCs w:val="20"/>
              </w:rPr>
            </w:pPr>
            <w:r w:rsidRPr="00430A50">
              <w:rPr>
                <w:rFonts w:eastAsia="Times New Roman"/>
                <w:sz w:val="20"/>
                <w:szCs w:val="20"/>
              </w:rPr>
              <w:t>Ministry of Water Resources</w:t>
            </w:r>
          </w:p>
        </w:tc>
      </w:tr>
      <w:tr w:rsidR="00463F45" w:rsidRPr="00430A50" w:rsidTr="004B0A08">
        <w:trPr>
          <w:cnfStyle w:val="000000100000"/>
          <w:trHeight w:hRule="exact" w:val="465"/>
        </w:trPr>
        <w:tc>
          <w:tcPr>
            <w:cnfStyle w:val="001000000000"/>
            <w:tcW w:w="450" w:type="dxa"/>
            <w:tcBorders>
              <w:top w:val="single" w:sz="6" w:space="0" w:color="4BACC6" w:themeColor="accent5"/>
              <w:bottom w:val="single" w:sz="6" w:space="0" w:color="4BACC6" w:themeColor="accent5"/>
              <w:right w:val="single" w:sz="6" w:space="0" w:color="4BACC6" w:themeColor="accent5"/>
            </w:tcBorders>
          </w:tcPr>
          <w:p w:rsidR="00463F45" w:rsidRPr="00430A50" w:rsidRDefault="00463F45" w:rsidP="000920A9">
            <w:pPr>
              <w:rPr>
                <w:rFonts w:eastAsia="Times New Roman"/>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tcPr>
          <w:p w:rsidR="00463F45" w:rsidRPr="00430A50" w:rsidRDefault="00463F45" w:rsidP="000920A9">
            <w:pPr>
              <w:spacing w:line="235" w:lineRule="auto"/>
              <w:cnfStyle w:val="000000100000"/>
              <w:rPr>
                <w:rFonts w:eastAsia="Times New Roman"/>
                <w:sz w:val="20"/>
                <w:szCs w:val="20"/>
              </w:rPr>
            </w:pPr>
            <w:r w:rsidRPr="00430A50">
              <w:rPr>
                <w:rFonts w:eastAsia="Times New Roman"/>
                <w:sz w:val="20"/>
                <w:szCs w:val="20"/>
              </w:rPr>
              <w:t>Bangladesh Haor &amp; Water Bodies Development Board Act (2014)</w:t>
            </w:r>
          </w:p>
        </w:tc>
        <w:tc>
          <w:tcPr>
            <w:tcW w:w="4140" w:type="dxa"/>
            <w:tcBorders>
              <w:top w:val="single" w:sz="6" w:space="0" w:color="4BACC6" w:themeColor="accent5"/>
              <w:left w:val="single" w:sz="6" w:space="0" w:color="4BACC6" w:themeColor="accent5"/>
              <w:bottom w:val="single" w:sz="6" w:space="0" w:color="4BACC6" w:themeColor="accent5"/>
            </w:tcBorders>
          </w:tcPr>
          <w:p w:rsidR="00463F45" w:rsidRPr="00430A50" w:rsidRDefault="00463F45" w:rsidP="000920A9">
            <w:pPr>
              <w:spacing w:line="235" w:lineRule="auto"/>
              <w:cnfStyle w:val="000000100000"/>
              <w:rPr>
                <w:rFonts w:eastAsia="Times New Roman"/>
                <w:sz w:val="20"/>
                <w:szCs w:val="20"/>
              </w:rPr>
            </w:pPr>
            <w:r w:rsidRPr="00430A50">
              <w:rPr>
                <w:rFonts w:eastAsia="Times New Roman"/>
                <w:sz w:val="20"/>
                <w:szCs w:val="20"/>
              </w:rPr>
              <w:t>Ministry of Water Resources</w:t>
            </w:r>
          </w:p>
        </w:tc>
      </w:tr>
      <w:tr w:rsidR="00463F45" w:rsidRPr="00430A50" w:rsidTr="004B0A08">
        <w:trPr>
          <w:trHeight w:hRule="exact" w:val="357"/>
        </w:trPr>
        <w:tc>
          <w:tcPr>
            <w:cnfStyle w:val="001000000000"/>
            <w:tcW w:w="450" w:type="dxa"/>
            <w:tcBorders>
              <w:top w:val="single" w:sz="6" w:space="0" w:color="4BACC6" w:themeColor="accent5"/>
              <w:bottom w:val="single" w:sz="6" w:space="0" w:color="4BACC6" w:themeColor="accent5"/>
              <w:right w:val="single" w:sz="6" w:space="0" w:color="4BACC6" w:themeColor="accent5"/>
            </w:tcBorders>
          </w:tcPr>
          <w:p w:rsidR="00463F45" w:rsidRPr="00430A50" w:rsidRDefault="00463F45" w:rsidP="000920A9">
            <w:pPr>
              <w:rPr>
                <w:rFonts w:eastAsia="Times New Roman"/>
                <w:sz w:val="20"/>
                <w:szCs w:val="20"/>
              </w:rPr>
            </w:pPr>
          </w:p>
        </w:tc>
        <w:tc>
          <w:tcPr>
            <w:tcW w:w="5040" w:type="dxa"/>
            <w:tcBorders>
              <w:top w:val="single" w:sz="6" w:space="0" w:color="4BACC6" w:themeColor="accent5"/>
              <w:left w:val="single" w:sz="6" w:space="0" w:color="4BACC6" w:themeColor="accent5"/>
              <w:bottom w:val="single" w:sz="6" w:space="0" w:color="4BACC6" w:themeColor="accent5"/>
              <w:right w:val="single" w:sz="6" w:space="0" w:color="4BACC6" w:themeColor="accent5"/>
            </w:tcBorders>
          </w:tcPr>
          <w:p w:rsidR="00463F45" w:rsidRPr="00430A50" w:rsidRDefault="00463F45" w:rsidP="000920A9">
            <w:pPr>
              <w:spacing w:line="235" w:lineRule="auto"/>
              <w:cnfStyle w:val="000000000000"/>
              <w:rPr>
                <w:rFonts w:eastAsia="Times New Roman"/>
                <w:sz w:val="20"/>
                <w:szCs w:val="20"/>
              </w:rPr>
            </w:pPr>
            <w:r w:rsidRPr="00430A50">
              <w:rPr>
                <w:rFonts w:eastAsia="Times New Roman"/>
                <w:sz w:val="20"/>
                <w:szCs w:val="20"/>
              </w:rPr>
              <w:t>Participatory Water Management Rules (2014)</w:t>
            </w:r>
          </w:p>
        </w:tc>
        <w:tc>
          <w:tcPr>
            <w:tcW w:w="4140" w:type="dxa"/>
            <w:tcBorders>
              <w:top w:val="single" w:sz="6" w:space="0" w:color="4BACC6" w:themeColor="accent5"/>
              <w:left w:val="single" w:sz="6" w:space="0" w:color="4BACC6" w:themeColor="accent5"/>
              <w:bottom w:val="single" w:sz="6" w:space="0" w:color="4BACC6" w:themeColor="accent5"/>
            </w:tcBorders>
          </w:tcPr>
          <w:p w:rsidR="00463F45" w:rsidRPr="00430A50" w:rsidRDefault="00463F45" w:rsidP="000920A9">
            <w:pPr>
              <w:spacing w:line="235" w:lineRule="auto"/>
              <w:cnfStyle w:val="000000000000"/>
              <w:rPr>
                <w:rFonts w:eastAsia="Times New Roman"/>
                <w:sz w:val="20"/>
                <w:szCs w:val="20"/>
              </w:rPr>
            </w:pPr>
            <w:r w:rsidRPr="00430A50">
              <w:rPr>
                <w:rFonts w:eastAsia="Times New Roman"/>
                <w:sz w:val="20"/>
                <w:szCs w:val="20"/>
              </w:rPr>
              <w:t xml:space="preserve">Ministry of Water Resources </w:t>
            </w:r>
          </w:p>
        </w:tc>
      </w:tr>
    </w:tbl>
    <w:p w:rsidR="00566D85" w:rsidRPr="00932A1C" w:rsidRDefault="00566D85" w:rsidP="00566D85">
      <w:pPr>
        <w:spacing w:before="120" w:after="0"/>
        <w:jc w:val="both"/>
        <w:rPr>
          <w:rFonts w:cs="Times New Roman"/>
          <w:b/>
          <w:i/>
          <w:sz w:val="20"/>
          <w:szCs w:val="20"/>
        </w:rPr>
      </w:pPr>
      <w:r w:rsidRPr="00932A1C">
        <w:rPr>
          <w:rFonts w:cs="Times New Roman"/>
          <w:b/>
          <w:i/>
          <w:sz w:val="20"/>
          <w:szCs w:val="20"/>
        </w:rPr>
        <w:t>Source: Compiled from government sources</w:t>
      </w:r>
    </w:p>
    <w:p w:rsidR="00566D85" w:rsidRDefault="00566D85" w:rsidP="00566D85">
      <w:pPr>
        <w:spacing w:before="120" w:after="0" w:line="276" w:lineRule="auto"/>
        <w:jc w:val="both"/>
        <w:rPr>
          <w:rFonts w:cs="Times New Roman"/>
          <w:szCs w:val="24"/>
        </w:rPr>
      </w:pPr>
      <w:r>
        <w:rPr>
          <w:rFonts w:cs="Times New Roman"/>
          <w:szCs w:val="24"/>
        </w:rPr>
        <w:t>This</w:t>
      </w:r>
      <w:r w:rsidRPr="00467BC3">
        <w:rPr>
          <w:rFonts w:cs="Times New Roman"/>
          <w:szCs w:val="24"/>
        </w:rPr>
        <w:t xml:space="preserve"> is an impressive list of policies and programmes</w:t>
      </w:r>
      <w:r>
        <w:rPr>
          <w:rFonts w:cs="Times New Roman"/>
          <w:szCs w:val="24"/>
        </w:rPr>
        <w:t xml:space="preserve"> covering most aspects of water management. Evaluation studies of implementation of these policies and programmes suggest some common issues and challenges.</w:t>
      </w:r>
    </w:p>
    <w:p w:rsidR="00566D85" w:rsidRDefault="00566D85" w:rsidP="00566D85">
      <w:pPr>
        <w:spacing w:before="120" w:after="0" w:line="276" w:lineRule="auto"/>
        <w:jc w:val="both"/>
        <w:rPr>
          <w:rFonts w:cs="Times New Roman"/>
          <w:szCs w:val="24"/>
        </w:rPr>
      </w:pPr>
      <w:r>
        <w:rPr>
          <w:rFonts w:cs="Times New Roman"/>
          <w:szCs w:val="24"/>
        </w:rPr>
        <w:t xml:space="preserve">First, in the area of policy, the most comprehensive policy is the 1999 Water Policy. It is a well thought out policy paper that provided guidance on regulations as well as institutions such as emphasizing the need for local level representation in water management.  The main problem area is in implementation. Many of the recommendations have not been implemented, including participatory water management. </w:t>
      </w:r>
    </w:p>
    <w:p w:rsidR="00566D85" w:rsidRDefault="00566D85" w:rsidP="00566D85">
      <w:pPr>
        <w:spacing w:before="120" w:after="0" w:line="276" w:lineRule="auto"/>
        <w:jc w:val="both"/>
        <w:rPr>
          <w:rFonts w:cs="Times New Roman"/>
          <w:szCs w:val="24"/>
        </w:rPr>
      </w:pPr>
      <w:r>
        <w:rPr>
          <w:rFonts w:cs="Times New Roman"/>
          <w:szCs w:val="24"/>
        </w:rPr>
        <w:t>Second, the most ambitious project was the adoption of the 1990-95 Flood Action Plan that was prepared with the help of the World Bank. The FAP involved 26 studies and pilot projects to be supported by 17 donors. The project was the first attempt to have a coordinated approach to flood management involving the government and the donor community. However, the project came under strong scrutiny and criticism on a number of weak links including weak institutional capacity and coordination, lack of involvement of stakeholders, inadequate impact assessment with possible negative effects on fisheries and the natural environment, and inadequate attention to operations and maintenance arrangements including financing.  Consequently, the project was only partially implemented with the main focus on the studies.</w:t>
      </w:r>
    </w:p>
    <w:p w:rsidR="00566D85" w:rsidRPr="00215182" w:rsidRDefault="00566D85" w:rsidP="00566D85">
      <w:pPr>
        <w:spacing w:before="120" w:after="0" w:line="276" w:lineRule="auto"/>
        <w:jc w:val="both"/>
        <w:rPr>
          <w:rFonts w:cs="Times New Roman"/>
          <w:szCs w:val="24"/>
        </w:rPr>
      </w:pPr>
      <w:r w:rsidRPr="00215182">
        <w:rPr>
          <w:rFonts w:cs="Times New Roman"/>
          <w:szCs w:val="24"/>
        </w:rPr>
        <w:t xml:space="preserve">Third, coordination of water investments have been attempted through a number of rounds of national water plans (NWMP 1986, NWMP 1991 and NWMP 20(adopted in 2004)). A common feature of these plans has been the development of ambitious investments plans that is not based on a realistic assessment of available resources and implementation arrangements.  Additionally, these plans were all prepared by the Ministry of Water Resources and did not have the buy-in of all line ministries dealing with water resources.  In the absence of a coordinating mechanism, the programmes have remained on the shelves and did not have much impact on actual investments by line ministries done through the </w:t>
      </w:r>
      <w:r w:rsidR="001547EF" w:rsidRPr="00215182">
        <w:rPr>
          <w:rFonts w:cs="Times New Roman"/>
          <w:szCs w:val="24"/>
        </w:rPr>
        <w:t>A</w:t>
      </w:r>
      <w:r w:rsidRPr="00215182">
        <w:rPr>
          <w:rFonts w:cs="Times New Roman"/>
          <w:szCs w:val="24"/>
        </w:rPr>
        <w:t xml:space="preserve">nnual </w:t>
      </w:r>
      <w:r w:rsidR="001547EF" w:rsidRPr="00215182">
        <w:rPr>
          <w:rFonts w:cs="Times New Roman"/>
          <w:szCs w:val="24"/>
        </w:rPr>
        <w:t>D</w:t>
      </w:r>
      <w:r w:rsidRPr="00215182">
        <w:rPr>
          <w:rFonts w:cs="Times New Roman"/>
          <w:szCs w:val="24"/>
        </w:rPr>
        <w:t xml:space="preserve">evelopment </w:t>
      </w:r>
      <w:r w:rsidR="006C0770">
        <w:rPr>
          <w:rFonts w:cs="Times New Roman"/>
          <w:szCs w:val="24"/>
        </w:rPr>
        <w:t xml:space="preserve">Programme </w:t>
      </w:r>
      <w:r w:rsidRPr="00215182">
        <w:rPr>
          <w:rFonts w:cs="Times New Roman"/>
          <w:szCs w:val="24"/>
        </w:rPr>
        <w:t xml:space="preserve">(ADP) process. Inadequate coordination between water policies and programmes prepared by the Ministry </w:t>
      </w:r>
      <w:r w:rsidR="004B1796" w:rsidRPr="00215182">
        <w:rPr>
          <w:rFonts w:cs="Times New Roman"/>
          <w:szCs w:val="24"/>
        </w:rPr>
        <w:t xml:space="preserve">of Water Resources </w:t>
      </w:r>
      <w:r w:rsidRPr="00215182">
        <w:rPr>
          <w:rFonts w:cs="Times New Roman"/>
          <w:szCs w:val="24"/>
        </w:rPr>
        <w:t xml:space="preserve">and actual decisions in other water-related line ministries has been a perennial concern that led to the 2013 Water Act and the establishment of the NWRC and ECNWRC.  </w:t>
      </w:r>
    </w:p>
    <w:p w:rsidR="00566D85" w:rsidRDefault="00566D85" w:rsidP="0066508C">
      <w:pPr>
        <w:spacing w:before="120" w:after="0" w:line="276" w:lineRule="auto"/>
        <w:jc w:val="both"/>
        <w:rPr>
          <w:rFonts w:cs="Times New Roman"/>
          <w:szCs w:val="24"/>
        </w:rPr>
      </w:pPr>
      <w:r w:rsidRPr="00215182">
        <w:rPr>
          <w:rFonts w:cs="Times New Roman"/>
          <w:szCs w:val="24"/>
        </w:rPr>
        <w:t xml:space="preserve">Fifth, the plethora of specialized area studies done so far, such as the regional area studies, the individual city protection plans, the Master plans for Southern Area and the Haor Area, the District Water Development Plans, etc.  have all remained as shelf life studies.  Implementation has not happened. </w:t>
      </w:r>
      <w:r>
        <w:rPr>
          <w:rFonts w:cs="Times New Roman"/>
          <w:szCs w:val="24"/>
        </w:rPr>
        <w:t xml:space="preserve"> This is a generic problem in Bangladesh, where many donor-funded technical studies are done with little or no serious government ownership or any realistic assessment of whether these will actually be implemented.</w:t>
      </w:r>
    </w:p>
    <w:p w:rsidR="00566D85" w:rsidRPr="00467BC3" w:rsidRDefault="00566D85" w:rsidP="00566D85">
      <w:pPr>
        <w:spacing w:before="120" w:line="276" w:lineRule="auto"/>
        <w:jc w:val="both"/>
        <w:rPr>
          <w:rFonts w:cs="Times New Roman"/>
          <w:szCs w:val="24"/>
        </w:rPr>
      </w:pPr>
      <w:r>
        <w:rPr>
          <w:rFonts w:cs="Times New Roman"/>
          <w:szCs w:val="24"/>
        </w:rPr>
        <w:lastRenderedPageBreak/>
        <w:t>Finally, policies, studies and plans have tended to be done piece meal with single line ministry (usually the Ministry</w:t>
      </w:r>
      <w:r w:rsidR="004B1796">
        <w:rPr>
          <w:rFonts w:cs="Times New Roman"/>
          <w:szCs w:val="24"/>
        </w:rPr>
        <w:t xml:space="preserve"> of Water Resources</w:t>
      </w:r>
      <w:r>
        <w:rPr>
          <w:rFonts w:cs="Times New Roman"/>
          <w:szCs w:val="24"/>
        </w:rPr>
        <w:t xml:space="preserve">) involvement. They do not take a holistic approach to water as a cross-sectoral issue. Neither do they look at the demand side and/or based a careful assessment of their socio-economic impact if these policies or programmes are adopted.  The institutional aspects of water management tend to be side-tracked or weakly covered.  Implementation capacity constraints are not well understood and integrated.  Most importantly, the implications for resources and how they will be funded in the context of a tight budget constraint and conflicting priorities is seldom reviewed or discussed.   </w:t>
      </w:r>
    </w:p>
    <w:p w:rsidR="00566D85" w:rsidRDefault="00566D85" w:rsidP="00566D85">
      <w:pPr>
        <w:spacing w:before="120" w:line="276" w:lineRule="auto"/>
        <w:jc w:val="both"/>
        <w:rPr>
          <w:rFonts w:cs="Times New Roman"/>
          <w:szCs w:val="24"/>
        </w:rPr>
      </w:pPr>
      <w:r>
        <w:rPr>
          <w:rFonts w:cs="Times New Roman"/>
          <w:b/>
          <w:szCs w:val="24"/>
        </w:rPr>
        <w:t xml:space="preserve">Legal framework for environmental protection: </w:t>
      </w:r>
      <w:r>
        <w:rPr>
          <w:rFonts w:cs="Times New Roman"/>
          <w:szCs w:val="24"/>
        </w:rPr>
        <w:t xml:space="preserve">As in the case of water, a number of legislation and rules have been established to protect the natural environment. These are summarized in Table </w:t>
      </w:r>
      <w:r w:rsidR="00BC56FC">
        <w:rPr>
          <w:rFonts w:cs="Times New Roman"/>
          <w:szCs w:val="24"/>
        </w:rPr>
        <w:t>12</w:t>
      </w:r>
      <w:r w:rsidRPr="0066508C">
        <w:rPr>
          <w:rFonts w:cs="Times New Roman"/>
          <w:szCs w:val="24"/>
        </w:rPr>
        <w:t xml:space="preserve">.2. </w:t>
      </w:r>
      <w:r w:rsidRPr="004B0A08">
        <w:rPr>
          <w:rFonts w:cs="Times New Roman"/>
          <w:i/>
          <w:szCs w:val="24"/>
        </w:rPr>
        <w:t>The main issues are limited implementation capacity and inadequate application of these laws to integrated delta management.</w:t>
      </w:r>
      <w:r>
        <w:rPr>
          <w:rFonts w:cs="Times New Roman"/>
          <w:szCs w:val="24"/>
        </w:rPr>
        <w:t xml:space="preserve">  The capacity of the </w:t>
      </w:r>
      <w:r w:rsidR="001547EF">
        <w:rPr>
          <w:rFonts w:cs="Times New Roman"/>
          <w:szCs w:val="24"/>
        </w:rPr>
        <w:t xml:space="preserve">Ministry of Environment and </w:t>
      </w:r>
      <w:r w:rsidR="006C0770">
        <w:rPr>
          <w:rFonts w:cs="Times New Roman"/>
          <w:szCs w:val="24"/>
        </w:rPr>
        <w:t xml:space="preserve">Forests </w:t>
      </w:r>
      <w:r>
        <w:rPr>
          <w:rFonts w:cs="Times New Roman"/>
          <w:szCs w:val="24"/>
        </w:rPr>
        <w:t xml:space="preserve">is </w:t>
      </w:r>
      <w:r w:rsidR="006C0770">
        <w:rPr>
          <w:rFonts w:cs="Times New Roman"/>
          <w:szCs w:val="24"/>
        </w:rPr>
        <w:t xml:space="preserve">required to be further enhanced in the areas of </w:t>
      </w:r>
      <w:r w:rsidR="00EA4E38">
        <w:rPr>
          <w:rFonts w:cs="Times New Roman"/>
          <w:szCs w:val="24"/>
        </w:rPr>
        <w:t xml:space="preserve"> </w:t>
      </w:r>
      <w:r>
        <w:rPr>
          <w:rFonts w:cs="Times New Roman"/>
          <w:szCs w:val="24"/>
        </w:rPr>
        <w:t>knowledge</w:t>
      </w:r>
      <w:r w:rsidR="006C0770">
        <w:rPr>
          <w:rFonts w:cs="Times New Roman"/>
          <w:szCs w:val="24"/>
        </w:rPr>
        <w:t xml:space="preserve">, data generation, implementation, monitoring and evaluation </w:t>
      </w:r>
      <w:r>
        <w:rPr>
          <w:rFonts w:cs="Times New Roman"/>
          <w:szCs w:val="24"/>
        </w:rPr>
        <w:t xml:space="preserve"> of the environmental laws and regulations</w:t>
      </w:r>
      <w:r w:rsidR="006C0770">
        <w:rPr>
          <w:rFonts w:cs="Times New Roman"/>
          <w:szCs w:val="24"/>
        </w:rPr>
        <w:t>.</w:t>
      </w:r>
    </w:p>
    <w:p w:rsidR="00566D85" w:rsidRPr="00012C22" w:rsidRDefault="00566D85" w:rsidP="00566D85">
      <w:pPr>
        <w:spacing w:before="120" w:after="0"/>
        <w:jc w:val="both"/>
        <w:rPr>
          <w:rFonts w:cs="Times New Roman"/>
          <w:sz w:val="10"/>
          <w:szCs w:val="24"/>
        </w:rPr>
      </w:pPr>
      <w:r>
        <w:rPr>
          <w:rFonts w:cs="Times New Roman"/>
          <w:szCs w:val="24"/>
        </w:rPr>
        <w:t xml:space="preserve"> </w:t>
      </w:r>
    </w:p>
    <w:p w:rsidR="00566D85" w:rsidRPr="00571588" w:rsidRDefault="00BC56FC" w:rsidP="00FD7FD3">
      <w:pPr>
        <w:pStyle w:val="Heading4"/>
      </w:pPr>
      <w:bookmarkStart w:id="885" w:name="_Toc474639145"/>
      <w:r>
        <w:t>Table 12</w:t>
      </w:r>
      <w:r w:rsidR="00566D85">
        <w:t>.2:</w:t>
      </w:r>
      <w:r w:rsidR="00566D85" w:rsidRPr="00571588">
        <w:t xml:space="preserve"> Legal Framework for Environmental Management</w:t>
      </w:r>
      <w:bookmarkEnd w:id="885"/>
    </w:p>
    <w:tbl>
      <w:tblPr>
        <w:tblStyle w:val="LightList-Accent5"/>
        <w:tblW w:w="6750" w:type="dxa"/>
        <w:tblInd w:w="1458" w:type="dxa"/>
        <w:tblLook w:val="04A0"/>
      </w:tblPr>
      <w:tblGrid>
        <w:gridCol w:w="720"/>
        <w:gridCol w:w="6030"/>
      </w:tblGrid>
      <w:tr w:rsidR="00566D85" w:rsidRPr="00BB29CB" w:rsidTr="000920A9">
        <w:trPr>
          <w:cnfStyle w:val="100000000000"/>
          <w:trHeight w:val="144"/>
        </w:trPr>
        <w:tc>
          <w:tcPr>
            <w:cnfStyle w:val="001000000000"/>
            <w:tcW w:w="720" w:type="dxa"/>
            <w:hideMark/>
          </w:tcPr>
          <w:p w:rsidR="00566D85" w:rsidRPr="00571588" w:rsidRDefault="00566D85" w:rsidP="000920A9">
            <w:pPr>
              <w:rPr>
                <w:rFonts w:eastAsia="Times New Roman"/>
                <w:b w:val="0"/>
                <w:color w:val="000000"/>
              </w:rPr>
            </w:pPr>
            <w:r w:rsidRPr="00571588">
              <w:rPr>
                <w:rFonts w:eastAsia="Times New Roman"/>
                <w:b w:val="0"/>
              </w:rPr>
              <w:t xml:space="preserve"> </w:t>
            </w:r>
          </w:p>
        </w:tc>
        <w:tc>
          <w:tcPr>
            <w:tcW w:w="6030" w:type="dxa"/>
            <w:tcBorders>
              <w:bottom w:val="single" w:sz="8" w:space="0" w:color="4BACC6" w:themeColor="accent5"/>
            </w:tcBorders>
            <w:hideMark/>
          </w:tcPr>
          <w:p w:rsidR="00566D85" w:rsidRPr="00571588" w:rsidRDefault="006C0770" w:rsidP="000920A9">
            <w:pPr>
              <w:jc w:val="center"/>
              <w:cnfStyle w:val="100000000000"/>
              <w:rPr>
                <w:rFonts w:eastAsia="Times New Roman"/>
                <w:b w:val="0"/>
              </w:rPr>
            </w:pPr>
            <w:r>
              <w:rPr>
                <w:rFonts w:eastAsia="Times New Roman"/>
                <w:b w:val="0"/>
              </w:rPr>
              <w:t>Act/Rules</w:t>
            </w:r>
            <w:r w:rsidR="00566D85" w:rsidRPr="00571588">
              <w:rPr>
                <w:rFonts w:eastAsia="Times New Roman"/>
                <w:b w:val="0"/>
              </w:rPr>
              <w:t xml:space="preserve"> (Year)</w:t>
            </w:r>
          </w:p>
        </w:tc>
      </w:tr>
      <w:tr w:rsidR="00566D85" w:rsidRPr="00BB29CB" w:rsidTr="000920A9">
        <w:trPr>
          <w:cnfStyle w:val="000000100000"/>
          <w:trHeight w:hRule="exact" w:val="432"/>
        </w:trPr>
        <w:tc>
          <w:tcPr>
            <w:cnfStyle w:val="001000000000"/>
            <w:tcW w:w="720" w:type="dxa"/>
            <w:tcBorders>
              <w:right w:val="single" w:sz="8" w:space="0" w:color="4BACC6" w:themeColor="accent5"/>
            </w:tcBorders>
            <w:hideMark/>
          </w:tcPr>
          <w:p w:rsidR="00566D85" w:rsidRPr="00571588" w:rsidRDefault="00566D85" w:rsidP="000920A9">
            <w:pPr>
              <w:rPr>
                <w:rFonts w:eastAsia="Times New Roman"/>
                <w:color w:val="000000"/>
              </w:rPr>
            </w:pPr>
            <w:r w:rsidRPr="00571588">
              <w:rPr>
                <w:rFonts w:eastAsia="Times New Roman"/>
                <w:color w:val="000000"/>
              </w:rPr>
              <w:t>1</w:t>
            </w:r>
          </w:p>
        </w:tc>
        <w:tc>
          <w:tcPr>
            <w:tcW w:w="6030" w:type="dxa"/>
            <w:tcBorders>
              <w:left w:val="single" w:sz="8" w:space="0" w:color="4BACC6" w:themeColor="accent5"/>
            </w:tcBorders>
            <w:hideMark/>
          </w:tcPr>
          <w:p w:rsidR="00566D85" w:rsidRPr="00571588" w:rsidRDefault="00566D85" w:rsidP="000920A9">
            <w:pPr>
              <w:cnfStyle w:val="000000100000"/>
              <w:rPr>
                <w:rFonts w:eastAsia="Times New Roman"/>
              </w:rPr>
            </w:pPr>
            <w:r w:rsidRPr="00571588">
              <w:rPr>
                <w:rFonts w:eastAsia="Times New Roman"/>
              </w:rPr>
              <w:t>The Bangladesh Environment Conservation Act (1995)</w:t>
            </w:r>
          </w:p>
        </w:tc>
      </w:tr>
      <w:tr w:rsidR="00566D85" w:rsidRPr="00BB29CB" w:rsidTr="000920A9">
        <w:trPr>
          <w:trHeight w:hRule="exact" w:val="432"/>
        </w:trPr>
        <w:tc>
          <w:tcPr>
            <w:cnfStyle w:val="001000000000"/>
            <w:tcW w:w="720" w:type="dxa"/>
            <w:tcBorders>
              <w:right w:val="single" w:sz="8" w:space="0" w:color="4BACC6" w:themeColor="accent5"/>
            </w:tcBorders>
            <w:hideMark/>
          </w:tcPr>
          <w:p w:rsidR="00566D85" w:rsidRPr="00571588" w:rsidRDefault="00566D85" w:rsidP="000920A9">
            <w:pPr>
              <w:rPr>
                <w:rFonts w:eastAsia="Times New Roman"/>
                <w:color w:val="000000"/>
              </w:rPr>
            </w:pPr>
            <w:r w:rsidRPr="00571588">
              <w:rPr>
                <w:rFonts w:eastAsia="Times New Roman"/>
                <w:color w:val="000000"/>
              </w:rPr>
              <w:t>2</w:t>
            </w:r>
          </w:p>
        </w:tc>
        <w:tc>
          <w:tcPr>
            <w:tcW w:w="603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66D85" w:rsidRPr="00571588" w:rsidRDefault="00566D85" w:rsidP="000920A9">
            <w:pPr>
              <w:cnfStyle w:val="000000000000"/>
              <w:rPr>
                <w:rFonts w:eastAsia="Times New Roman"/>
              </w:rPr>
            </w:pPr>
            <w:r w:rsidRPr="00571588">
              <w:rPr>
                <w:rFonts w:eastAsia="Times New Roman"/>
              </w:rPr>
              <w:t>The Bangladesh Environment Conservation Rules (1997)</w:t>
            </w:r>
          </w:p>
        </w:tc>
      </w:tr>
      <w:tr w:rsidR="00566D85" w:rsidRPr="00BB29CB" w:rsidTr="000920A9">
        <w:trPr>
          <w:cnfStyle w:val="000000100000"/>
          <w:trHeight w:hRule="exact" w:val="432"/>
        </w:trPr>
        <w:tc>
          <w:tcPr>
            <w:cnfStyle w:val="001000000000"/>
            <w:tcW w:w="720" w:type="dxa"/>
            <w:tcBorders>
              <w:right w:val="single" w:sz="8" w:space="0" w:color="4BACC6" w:themeColor="accent5"/>
            </w:tcBorders>
            <w:hideMark/>
          </w:tcPr>
          <w:p w:rsidR="00566D85" w:rsidRPr="00571588" w:rsidRDefault="00566D85" w:rsidP="000920A9">
            <w:pPr>
              <w:rPr>
                <w:rFonts w:eastAsia="Times New Roman"/>
                <w:color w:val="000000"/>
              </w:rPr>
            </w:pPr>
            <w:r w:rsidRPr="00571588">
              <w:rPr>
                <w:rFonts w:eastAsia="Times New Roman"/>
                <w:color w:val="000000"/>
              </w:rPr>
              <w:t>3</w:t>
            </w:r>
          </w:p>
        </w:tc>
        <w:tc>
          <w:tcPr>
            <w:tcW w:w="6030" w:type="dxa"/>
            <w:tcBorders>
              <w:left w:val="single" w:sz="8" w:space="0" w:color="4BACC6" w:themeColor="accent5"/>
            </w:tcBorders>
            <w:hideMark/>
          </w:tcPr>
          <w:p w:rsidR="00566D85" w:rsidRPr="00571588" w:rsidRDefault="00566D85" w:rsidP="000920A9">
            <w:pPr>
              <w:cnfStyle w:val="000000100000"/>
              <w:rPr>
                <w:rFonts w:eastAsia="Times New Roman"/>
              </w:rPr>
            </w:pPr>
            <w:r w:rsidRPr="00571588">
              <w:rPr>
                <w:rFonts w:eastAsia="Times New Roman"/>
              </w:rPr>
              <w:t>The Brick Burning (Control)</w:t>
            </w:r>
            <w:r>
              <w:rPr>
                <w:rFonts w:eastAsia="Times New Roman"/>
              </w:rPr>
              <w:t xml:space="preserve"> </w:t>
            </w:r>
            <w:r w:rsidRPr="00571588">
              <w:rPr>
                <w:rFonts w:eastAsia="Times New Roman"/>
              </w:rPr>
              <w:t>(Amendment) Acts (2001)</w:t>
            </w:r>
          </w:p>
        </w:tc>
      </w:tr>
      <w:tr w:rsidR="00566D85" w:rsidRPr="00BB29CB" w:rsidTr="000920A9">
        <w:trPr>
          <w:trHeight w:hRule="exact" w:val="432"/>
        </w:trPr>
        <w:tc>
          <w:tcPr>
            <w:cnfStyle w:val="001000000000"/>
            <w:tcW w:w="720" w:type="dxa"/>
            <w:tcBorders>
              <w:right w:val="single" w:sz="8" w:space="0" w:color="4BACC6" w:themeColor="accent5"/>
            </w:tcBorders>
            <w:hideMark/>
          </w:tcPr>
          <w:p w:rsidR="00566D85" w:rsidRPr="00571588" w:rsidRDefault="00566D85" w:rsidP="000920A9">
            <w:pPr>
              <w:rPr>
                <w:rFonts w:eastAsia="Times New Roman"/>
                <w:color w:val="000000"/>
              </w:rPr>
            </w:pPr>
            <w:r>
              <w:rPr>
                <w:rFonts w:eastAsia="Times New Roman"/>
                <w:color w:val="000000"/>
              </w:rPr>
              <w:t>4</w:t>
            </w:r>
          </w:p>
        </w:tc>
        <w:tc>
          <w:tcPr>
            <w:tcW w:w="603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66D85" w:rsidRPr="00571588" w:rsidRDefault="00566D85" w:rsidP="000920A9">
            <w:pPr>
              <w:cnfStyle w:val="000000000000"/>
              <w:rPr>
                <w:rFonts w:eastAsia="Times New Roman"/>
              </w:rPr>
            </w:pPr>
            <w:r>
              <w:rPr>
                <w:rFonts w:eastAsia="Times New Roman"/>
              </w:rPr>
              <w:t>The Clean Dhaka Master Plan (2005)</w:t>
            </w:r>
          </w:p>
        </w:tc>
      </w:tr>
      <w:tr w:rsidR="00566D85" w:rsidRPr="00BB29CB" w:rsidTr="000920A9">
        <w:trPr>
          <w:cnfStyle w:val="000000100000"/>
          <w:trHeight w:hRule="exact" w:val="432"/>
        </w:trPr>
        <w:tc>
          <w:tcPr>
            <w:cnfStyle w:val="001000000000"/>
            <w:tcW w:w="720" w:type="dxa"/>
            <w:tcBorders>
              <w:right w:val="single" w:sz="8" w:space="0" w:color="4BACC6" w:themeColor="accent5"/>
            </w:tcBorders>
            <w:hideMark/>
          </w:tcPr>
          <w:p w:rsidR="00566D85" w:rsidRPr="00571588" w:rsidRDefault="00566D85" w:rsidP="000920A9">
            <w:pPr>
              <w:rPr>
                <w:rFonts w:eastAsia="Times New Roman"/>
                <w:color w:val="000000"/>
              </w:rPr>
            </w:pPr>
            <w:r>
              <w:rPr>
                <w:rFonts w:eastAsia="Times New Roman"/>
                <w:color w:val="000000"/>
              </w:rPr>
              <w:t>5</w:t>
            </w:r>
          </w:p>
        </w:tc>
        <w:tc>
          <w:tcPr>
            <w:tcW w:w="6030" w:type="dxa"/>
            <w:tcBorders>
              <w:left w:val="single" w:sz="8" w:space="0" w:color="4BACC6" w:themeColor="accent5"/>
            </w:tcBorders>
            <w:hideMark/>
          </w:tcPr>
          <w:p w:rsidR="00566D85" w:rsidRPr="00571588" w:rsidRDefault="00566D85" w:rsidP="000920A9">
            <w:pPr>
              <w:cnfStyle w:val="000000100000"/>
              <w:rPr>
                <w:rFonts w:eastAsia="Times New Roman"/>
              </w:rPr>
            </w:pPr>
            <w:r w:rsidRPr="00571588">
              <w:rPr>
                <w:rFonts w:eastAsia="Times New Roman"/>
              </w:rPr>
              <w:t xml:space="preserve">Noise Pollution (control) Rules (2006) </w:t>
            </w:r>
          </w:p>
        </w:tc>
      </w:tr>
      <w:tr w:rsidR="00566D85" w:rsidRPr="00BB29CB" w:rsidTr="000920A9">
        <w:trPr>
          <w:trHeight w:hRule="exact" w:val="432"/>
        </w:trPr>
        <w:tc>
          <w:tcPr>
            <w:cnfStyle w:val="001000000000"/>
            <w:tcW w:w="720" w:type="dxa"/>
            <w:tcBorders>
              <w:right w:val="single" w:sz="8" w:space="0" w:color="4BACC6" w:themeColor="accent5"/>
            </w:tcBorders>
            <w:hideMark/>
          </w:tcPr>
          <w:p w:rsidR="00566D85" w:rsidRPr="00571588" w:rsidRDefault="00566D85" w:rsidP="000920A9">
            <w:pPr>
              <w:rPr>
                <w:rFonts w:eastAsia="Times New Roman"/>
                <w:color w:val="000000"/>
              </w:rPr>
            </w:pPr>
            <w:r>
              <w:rPr>
                <w:rFonts w:eastAsia="Times New Roman"/>
                <w:color w:val="000000"/>
              </w:rPr>
              <w:t>6</w:t>
            </w:r>
          </w:p>
        </w:tc>
        <w:tc>
          <w:tcPr>
            <w:tcW w:w="6030" w:type="dxa"/>
            <w:tcBorders>
              <w:left w:val="single" w:sz="8" w:space="0" w:color="4BACC6" w:themeColor="accent5"/>
            </w:tcBorders>
            <w:hideMark/>
          </w:tcPr>
          <w:p w:rsidR="00566D85" w:rsidRPr="00571588" w:rsidRDefault="00566D85" w:rsidP="000920A9">
            <w:pPr>
              <w:cnfStyle w:val="000000000000"/>
              <w:rPr>
                <w:rFonts w:eastAsia="Times New Roman"/>
              </w:rPr>
            </w:pPr>
            <w:r w:rsidRPr="00571588">
              <w:rPr>
                <w:rFonts w:eastAsia="Times New Roman"/>
              </w:rPr>
              <w:t>The Environment Court (Amendment) Act (2010)</w:t>
            </w:r>
          </w:p>
        </w:tc>
      </w:tr>
      <w:tr w:rsidR="00566D85" w:rsidRPr="00BB29CB" w:rsidTr="000920A9">
        <w:trPr>
          <w:cnfStyle w:val="000000100000"/>
          <w:trHeight w:hRule="exact" w:val="576"/>
        </w:trPr>
        <w:tc>
          <w:tcPr>
            <w:cnfStyle w:val="001000000000"/>
            <w:tcW w:w="720" w:type="dxa"/>
            <w:tcBorders>
              <w:right w:val="single" w:sz="8" w:space="0" w:color="4BACC6" w:themeColor="accent5"/>
            </w:tcBorders>
            <w:hideMark/>
          </w:tcPr>
          <w:p w:rsidR="00566D85" w:rsidRPr="00571588" w:rsidRDefault="00566D85" w:rsidP="000920A9">
            <w:pPr>
              <w:rPr>
                <w:rFonts w:eastAsia="Times New Roman"/>
                <w:color w:val="000000"/>
              </w:rPr>
            </w:pPr>
            <w:r>
              <w:rPr>
                <w:rFonts w:eastAsia="Times New Roman"/>
                <w:color w:val="000000"/>
              </w:rPr>
              <w:t>7</w:t>
            </w:r>
          </w:p>
        </w:tc>
        <w:tc>
          <w:tcPr>
            <w:tcW w:w="6030" w:type="dxa"/>
            <w:tcBorders>
              <w:left w:val="single" w:sz="8" w:space="0" w:color="4BACC6" w:themeColor="accent5"/>
            </w:tcBorders>
            <w:hideMark/>
          </w:tcPr>
          <w:p w:rsidR="00566D85" w:rsidRPr="00571588" w:rsidRDefault="00566D85" w:rsidP="000920A9">
            <w:pPr>
              <w:cnfStyle w:val="000000100000"/>
              <w:rPr>
                <w:rFonts w:eastAsia="Times New Roman"/>
              </w:rPr>
            </w:pPr>
            <w:r w:rsidRPr="00571588">
              <w:rPr>
                <w:rFonts w:eastAsia="Times New Roman"/>
              </w:rPr>
              <w:t>Hazardous Waste and Ship Breaking Waste Management Rules (2011)</w:t>
            </w:r>
          </w:p>
        </w:tc>
      </w:tr>
    </w:tbl>
    <w:p w:rsidR="00566D85" w:rsidRPr="00571588" w:rsidRDefault="00566D85" w:rsidP="00566D85">
      <w:pPr>
        <w:spacing w:before="120" w:after="0"/>
        <w:jc w:val="both"/>
        <w:rPr>
          <w:rFonts w:cs="Times New Roman"/>
          <w:b/>
          <w:i/>
          <w:sz w:val="20"/>
          <w:szCs w:val="20"/>
        </w:rPr>
      </w:pPr>
      <w:r>
        <w:rPr>
          <w:rFonts w:cs="Times New Roman"/>
          <w:szCs w:val="24"/>
        </w:rPr>
        <w:tab/>
      </w:r>
      <w:r>
        <w:rPr>
          <w:rFonts w:cs="Times New Roman"/>
          <w:szCs w:val="24"/>
        </w:rPr>
        <w:tab/>
      </w:r>
      <w:r w:rsidRPr="00571588">
        <w:rPr>
          <w:rFonts w:cs="Times New Roman"/>
          <w:b/>
          <w:i/>
          <w:sz w:val="20"/>
          <w:szCs w:val="20"/>
        </w:rPr>
        <w:t xml:space="preserve">Source: Ministry of Environment and </w:t>
      </w:r>
      <w:r w:rsidR="006C0770" w:rsidRPr="00571588">
        <w:rPr>
          <w:rFonts w:cs="Times New Roman"/>
          <w:b/>
          <w:i/>
          <w:sz w:val="20"/>
          <w:szCs w:val="20"/>
        </w:rPr>
        <w:t>Forest</w:t>
      </w:r>
      <w:r w:rsidR="006C0770">
        <w:rPr>
          <w:rFonts w:cs="Times New Roman"/>
          <w:b/>
          <w:i/>
          <w:sz w:val="20"/>
          <w:szCs w:val="20"/>
        </w:rPr>
        <w:t>s</w:t>
      </w:r>
    </w:p>
    <w:p w:rsidR="00566D85" w:rsidRDefault="00566D85" w:rsidP="00566D85">
      <w:pPr>
        <w:spacing w:before="120" w:after="0"/>
        <w:jc w:val="both"/>
        <w:rPr>
          <w:rFonts w:cs="Times New Roman"/>
          <w:b/>
          <w:szCs w:val="24"/>
        </w:rPr>
      </w:pPr>
    </w:p>
    <w:p w:rsidR="00566D85" w:rsidRDefault="00566D85" w:rsidP="00566D85">
      <w:pPr>
        <w:spacing w:before="120" w:after="0" w:line="276" w:lineRule="auto"/>
        <w:jc w:val="both"/>
        <w:rPr>
          <w:rFonts w:cs="Times New Roman"/>
          <w:szCs w:val="24"/>
        </w:rPr>
      </w:pPr>
      <w:r w:rsidRPr="00AE1AFB">
        <w:rPr>
          <w:rFonts w:cs="Times New Roman"/>
          <w:b/>
          <w:szCs w:val="24"/>
        </w:rPr>
        <w:t>Policies and programs in other Delta</w:t>
      </w:r>
      <w:r w:rsidR="001547EF">
        <w:rPr>
          <w:rFonts w:cs="Times New Roman"/>
          <w:b/>
          <w:szCs w:val="24"/>
        </w:rPr>
        <w:t>-related ministries</w:t>
      </w:r>
      <w:r>
        <w:rPr>
          <w:rFonts w:cs="Times New Roman"/>
          <w:b/>
          <w:szCs w:val="24"/>
        </w:rPr>
        <w:t xml:space="preserve">: </w:t>
      </w:r>
      <w:r>
        <w:rPr>
          <w:rFonts w:cs="Times New Roman"/>
          <w:szCs w:val="24"/>
        </w:rPr>
        <w:t xml:space="preserve">As in the case of water, there is a range of policies and programmes in related delta management areas of climate change, environment, land, agriculture, fisheries and forestry.  </w:t>
      </w:r>
      <w:r w:rsidR="00480C4D">
        <w:rPr>
          <w:rFonts w:cs="Times New Roman"/>
          <w:szCs w:val="24"/>
        </w:rPr>
        <w:t>These are summarized in Table 12</w:t>
      </w:r>
      <w:r>
        <w:rPr>
          <w:rFonts w:cs="Times New Roman"/>
          <w:szCs w:val="24"/>
        </w:rPr>
        <w:t>.3. A broad range of topics are covered here that are of relevance to proper delta management,  As in the case of water, policies and programmes have emerged in isolation in individual ministries without proper integration with the different parts of the delta. The possible impact of each of these policies taken in isolation upon integrate</w:t>
      </w:r>
      <w:r w:rsidR="00DF6547">
        <w:rPr>
          <w:rFonts w:cs="Times New Roman"/>
          <w:szCs w:val="24"/>
        </w:rPr>
        <w:t>d water resource management has</w:t>
      </w:r>
      <w:r>
        <w:rPr>
          <w:rFonts w:cs="Times New Roman"/>
          <w:szCs w:val="24"/>
        </w:rPr>
        <w:t xml:space="preserve"> not been done. Implementation capacities are weak and implementation has been uneven.</w:t>
      </w:r>
    </w:p>
    <w:p w:rsidR="00566D85" w:rsidRDefault="00566D85" w:rsidP="00566D85">
      <w:pPr>
        <w:spacing w:after="0"/>
        <w:rPr>
          <w:rFonts w:cs="Times New Roman"/>
          <w:b/>
          <w:szCs w:val="24"/>
        </w:rPr>
      </w:pPr>
    </w:p>
    <w:p w:rsidR="009A4EB2" w:rsidRDefault="009A4EB2">
      <w:pPr>
        <w:rPr>
          <w:rFonts w:cs="Times New Roman"/>
          <w:b/>
          <w:szCs w:val="24"/>
        </w:rPr>
      </w:pPr>
      <w:r>
        <w:rPr>
          <w:rFonts w:cs="Times New Roman"/>
          <w:b/>
          <w:szCs w:val="24"/>
        </w:rPr>
        <w:br w:type="page"/>
      </w:r>
    </w:p>
    <w:p w:rsidR="007F2F9C" w:rsidRPr="004F1521" w:rsidRDefault="007F2F9C" w:rsidP="00FD7FD3">
      <w:pPr>
        <w:pStyle w:val="Heading4"/>
      </w:pPr>
      <w:bookmarkStart w:id="886" w:name="_Toc474639146"/>
      <w:r>
        <w:lastRenderedPageBreak/>
        <w:t xml:space="preserve">Table </w:t>
      </w:r>
      <w:r w:rsidR="00A650CE">
        <w:t>12</w:t>
      </w:r>
      <w:r>
        <w:t>.3</w:t>
      </w:r>
      <w:r w:rsidRPr="004F1521">
        <w:t>: List of Important Policies and Programmes in other Delta</w:t>
      </w:r>
      <w:r w:rsidR="001547EF">
        <w:t>-related</w:t>
      </w:r>
      <w:r w:rsidRPr="004F1521">
        <w:t xml:space="preserve"> Ministries</w:t>
      </w:r>
      <w:bookmarkEnd w:id="886"/>
      <w:r w:rsidRPr="004F1521">
        <w:t xml:space="preserve"> </w:t>
      </w:r>
    </w:p>
    <w:tbl>
      <w:tblPr>
        <w:tblStyle w:val="LightList-Accent5"/>
        <w:tblW w:w="9468" w:type="dxa"/>
        <w:tblLook w:val="04A0"/>
      </w:tblPr>
      <w:tblGrid>
        <w:gridCol w:w="455"/>
        <w:gridCol w:w="4475"/>
        <w:gridCol w:w="4538"/>
      </w:tblGrid>
      <w:tr w:rsidR="00DF6547" w:rsidRPr="004534E0" w:rsidTr="006E68DA">
        <w:trPr>
          <w:cnfStyle w:val="100000000000"/>
          <w:trHeight w:val="313"/>
        </w:trPr>
        <w:tc>
          <w:tcPr>
            <w:cnfStyle w:val="001000000000"/>
            <w:tcW w:w="455" w:type="dxa"/>
            <w:tcBorders>
              <w:right w:val="single" w:sz="8" w:space="0" w:color="4BACC6" w:themeColor="accent5"/>
            </w:tcBorders>
          </w:tcPr>
          <w:p w:rsidR="00DF6547" w:rsidRPr="004534E0" w:rsidRDefault="00DF6547" w:rsidP="004534E0">
            <w:pPr>
              <w:spacing w:line="276" w:lineRule="auto"/>
              <w:rPr>
                <w:rFonts w:eastAsia="Times New Roman"/>
                <w:color w:val="000000"/>
                <w:sz w:val="22"/>
              </w:rPr>
            </w:pPr>
          </w:p>
        </w:tc>
        <w:tc>
          <w:tcPr>
            <w:tcW w:w="4475" w:type="dxa"/>
            <w:tcBorders>
              <w:left w:val="single" w:sz="8" w:space="0" w:color="4BACC6" w:themeColor="accent5"/>
              <w:right w:val="single" w:sz="8" w:space="0" w:color="4BACC6" w:themeColor="accent5"/>
            </w:tcBorders>
          </w:tcPr>
          <w:p w:rsidR="00DF6547" w:rsidRPr="004534E0" w:rsidRDefault="00DF6547" w:rsidP="004534E0">
            <w:pPr>
              <w:spacing w:line="276" w:lineRule="auto"/>
              <w:cnfStyle w:val="100000000000"/>
              <w:rPr>
                <w:rFonts w:eastAsia="Times New Roman"/>
                <w:b w:val="0"/>
                <w:sz w:val="22"/>
              </w:rPr>
            </w:pPr>
            <w:r>
              <w:rPr>
                <w:rFonts w:eastAsia="Times New Roman"/>
                <w:b w:val="0"/>
                <w:sz w:val="22"/>
              </w:rPr>
              <w:t>Policies and Programmes</w:t>
            </w:r>
          </w:p>
        </w:tc>
        <w:tc>
          <w:tcPr>
            <w:tcW w:w="4538" w:type="dxa"/>
            <w:tcBorders>
              <w:left w:val="single" w:sz="8" w:space="0" w:color="4BACC6" w:themeColor="accent5"/>
            </w:tcBorders>
          </w:tcPr>
          <w:p w:rsidR="00DF6547" w:rsidRPr="006E68DA" w:rsidRDefault="006E68DA" w:rsidP="004534E0">
            <w:pPr>
              <w:spacing w:line="276" w:lineRule="auto"/>
              <w:cnfStyle w:val="100000000000"/>
              <w:rPr>
                <w:rFonts w:eastAsia="Times New Roman"/>
                <w:b w:val="0"/>
                <w:sz w:val="22"/>
              </w:rPr>
            </w:pPr>
            <w:r w:rsidRPr="006E68DA">
              <w:rPr>
                <w:rFonts w:eastAsia="Times New Roman"/>
                <w:b w:val="0"/>
                <w:sz w:val="22"/>
              </w:rPr>
              <w:t>Responsible Ministry</w:t>
            </w:r>
          </w:p>
        </w:tc>
      </w:tr>
      <w:tr w:rsidR="007F2F9C" w:rsidRPr="004534E0" w:rsidTr="006E68DA">
        <w:trPr>
          <w:cnfStyle w:val="000000100000"/>
          <w:trHeight w:val="313"/>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A.</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100000"/>
              <w:rPr>
                <w:rFonts w:eastAsia="Times New Roman"/>
                <w:b/>
                <w:sz w:val="22"/>
              </w:rPr>
            </w:pPr>
            <w:r w:rsidRPr="004534E0">
              <w:rPr>
                <w:rFonts w:eastAsia="Times New Roman"/>
                <w:b/>
                <w:sz w:val="22"/>
              </w:rPr>
              <w:t>Agriculture, Fisheries and Livestock</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p>
        </w:tc>
      </w:tr>
      <w:tr w:rsidR="007F2F9C" w:rsidRPr="004534E0" w:rsidTr="006E68DA">
        <w:trPr>
          <w:trHeight w:val="313"/>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1</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Master Plan for Agriculture for the Southern Region</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Ministry of Agriculture</w:t>
            </w:r>
          </w:p>
        </w:tc>
      </w:tr>
      <w:tr w:rsidR="007F2F9C" w:rsidRPr="004534E0" w:rsidTr="006E68DA">
        <w:trPr>
          <w:cnfStyle w:val="000000100000"/>
          <w:trHeight w:val="313"/>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2</w:t>
            </w:r>
          </w:p>
        </w:tc>
        <w:tc>
          <w:tcPr>
            <w:tcW w:w="4475" w:type="dxa"/>
            <w:tcBorders>
              <w:left w:val="single" w:sz="8" w:space="0" w:color="4BACC6" w:themeColor="accent5"/>
              <w:right w:val="single" w:sz="8" w:space="0" w:color="4BACC6" w:themeColor="accent5"/>
            </w:tcBorders>
            <w:hideMark/>
          </w:tcPr>
          <w:p w:rsidR="007F2F9C" w:rsidRPr="004534E0" w:rsidRDefault="007F2F9C" w:rsidP="006C0770">
            <w:pPr>
              <w:spacing w:after="0" w:line="276" w:lineRule="auto"/>
              <w:cnfStyle w:val="000000100000"/>
              <w:rPr>
                <w:rFonts w:eastAsia="Times New Roman"/>
                <w:color w:val="000000"/>
                <w:sz w:val="22"/>
              </w:rPr>
            </w:pPr>
            <w:r w:rsidRPr="004534E0">
              <w:rPr>
                <w:rFonts w:eastAsia="Times New Roman"/>
                <w:sz w:val="22"/>
              </w:rPr>
              <w:t>National Agriculture Policy (</w:t>
            </w:r>
            <w:r w:rsidR="006C0770" w:rsidRPr="004534E0">
              <w:rPr>
                <w:rFonts w:eastAsia="Times New Roman"/>
                <w:sz w:val="22"/>
              </w:rPr>
              <w:t>20</w:t>
            </w:r>
            <w:r w:rsidR="006C0770">
              <w:rPr>
                <w:rFonts w:eastAsia="Times New Roman"/>
                <w:sz w:val="22"/>
              </w:rPr>
              <w:t>13</w:t>
            </w:r>
            <w:r w:rsidRPr="004534E0">
              <w:rPr>
                <w:rFonts w:eastAsia="Times New Roman"/>
                <w:sz w:val="22"/>
              </w:rPr>
              <w:t>)</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Ministry of Agriculture</w:t>
            </w:r>
          </w:p>
        </w:tc>
      </w:tr>
      <w:tr w:rsidR="007F2F9C" w:rsidRPr="004534E0" w:rsidTr="006E68DA">
        <w:trPr>
          <w:trHeight w:val="300"/>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3</w:t>
            </w:r>
          </w:p>
        </w:tc>
        <w:tc>
          <w:tcPr>
            <w:tcW w:w="4475" w:type="dxa"/>
            <w:tcBorders>
              <w:left w:val="single" w:sz="8" w:space="0" w:color="4BACC6" w:themeColor="accent5"/>
              <w:right w:val="single" w:sz="8" w:space="0" w:color="4BACC6" w:themeColor="accent5"/>
            </w:tcBorders>
            <w:hideMark/>
          </w:tcPr>
          <w:p w:rsidR="007F2F9C" w:rsidRPr="004534E0" w:rsidRDefault="006C0770" w:rsidP="006C0770">
            <w:pPr>
              <w:spacing w:after="0" w:line="276" w:lineRule="auto"/>
              <w:cnfStyle w:val="000000000000"/>
              <w:rPr>
                <w:rFonts w:eastAsia="Times New Roman"/>
                <w:sz w:val="22"/>
              </w:rPr>
            </w:pPr>
            <w:r>
              <w:rPr>
                <w:rFonts w:eastAsia="Times New Roman"/>
                <w:sz w:val="22"/>
              </w:rPr>
              <w:t xml:space="preserve">National </w:t>
            </w:r>
            <w:r w:rsidR="007F2F9C" w:rsidRPr="004534E0">
              <w:rPr>
                <w:rFonts w:eastAsia="Times New Roman"/>
                <w:sz w:val="22"/>
              </w:rPr>
              <w:t>Agricultural Extension Policy (</w:t>
            </w:r>
            <w:r>
              <w:rPr>
                <w:rFonts w:eastAsia="Times New Roman"/>
                <w:sz w:val="22"/>
              </w:rPr>
              <w:t>2012</w:t>
            </w:r>
            <w:r w:rsidR="007F2F9C" w:rsidRPr="004534E0">
              <w:rPr>
                <w:rFonts w:eastAsia="Times New Roman"/>
                <w:sz w:val="22"/>
              </w:rPr>
              <w:t>)</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Ministry of Agriculture</w:t>
            </w:r>
          </w:p>
        </w:tc>
      </w:tr>
      <w:tr w:rsidR="007F2F9C" w:rsidRPr="004534E0" w:rsidTr="006E68DA">
        <w:trPr>
          <w:cnfStyle w:val="000000100000"/>
          <w:trHeight w:val="282"/>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4</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National Seed Policy (1993)</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Ministry of Agriculture</w:t>
            </w:r>
          </w:p>
        </w:tc>
      </w:tr>
      <w:tr w:rsidR="007F2F9C" w:rsidRPr="004534E0" w:rsidTr="006E68DA">
        <w:trPr>
          <w:trHeight w:val="282"/>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5</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Seed Rules (1998)</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Ministry of Agriculture</w:t>
            </w:r>
          </w:p>
        </w:tc>
      </w:tr>
      <w:tr w:rsidR="007F2F9C" w:rsidRPr="004534E0" w:rsidTr="006E68DA">
        <w:trPr>
          <w:cnfStyle w:val="000000100000"/>
          <w:trHeight w:val="282"/>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6</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National Integrated Pest Management Policy (2002)</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Ministry of Agriculture</w:t>
            </w:r>
          </w:p>
        </w:tc>
      </w:tr>
      <w:tr w:rsidR="007F2F9C" w:rsidRPr="004534E0" w:rsidTr="006E68DA">
        <w:trPr>
          <w:trHeight w:val="282"/>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7</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National Fisheries Policy (1998)</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Ministry of Fisheries and Livestock</w:t>
            </w:r>
          </w:p>
        </w:tc>
      </w:tr>
      <w:tr w:rsidR="007F2F9C" w:rsidRPr="004534E0" w:rsidTr="006E68DA">
        <w:trPr>
          <w:cnfStyle w:val="000000100000"/>
          <w:trHeight w:val="282"/>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8</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National Livestock Development Policy (2007)</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Ministry of Fisheries and Livestock</w:t>
            </w:r>
          </w:p>
        </w:tc>
      </w:tr>
      <w:tr w:rsidR="007F2F9C" w:rsidRPr="004534E0" w:rsidTr="006E68DA">
        <w:trPr>
          <w:trHeight w:val="300"/>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B.</w:t>
            </w:r>
          </w:p>
        </w:tc>
        <w:tc>
          <w:tcPr>
            <w:tcW w:w="4475" w:type="dxa"/>
            <w:tcBorders>
              <w:left w:val="single" w:sz="8" w:space="0" w:color="4BACC6" w:themeColor="accent5"/>
              <w:right w:val="single" w:sz="8" w:space="0" w:color="4BACC6" w:themeColor="accent5"/>
            </w:tcBorders>
            <w:hideMark/>
          </w:tcPr>
          <w:p w:rsidR="007F2F9C" w:rsidRPr="004534E0" w:rsidRDefault="007F2F9C" w:rsidP="006C0770">
            <w:pPr>
              <w:spacing w:after="0" w:line="276" w:lineRule="auto"/>
              <w:cnfStyle w:val="000000000000"/>
              <w:rPr>
                <w:rFonts w:eastAsia="Times New Roman"/>
                <w:b/>
                <w:sz w:val="22"/>
              </w:rPr>
            </w:pPr>
            <w:r w:rsidRPr="004534E0">
              <w:rPr>
                <w:rFonts w:eastAsia="Times New Roman"/>
                <w:b/>
                <w:sz w:val="22"/>
              </w:rPr>
              <w:t>Environment and Fores</w:t>
            </w:r>
            <w:r w:rsidR="006C0770">
              <w:rPr>
                <w:rFonts w:eastAsia="Times New Roman"/>
                <w:b/>
                <w:sz w:val="22"/>
              </w:rPr>
              <w:t xml:space="preserve">ts </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p>
        </w:tc>
      </w:tr>
      <w:tr w:rsidR="007F2F9C" w:rsidRPr="004534E0" w:rsidTr="006E68DA">
        <w:trPr>
          <w:cnfStyle w:val="000000100000"/>
          <w:trHeight w:val="300"/>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1</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National Environment Policy and Implementation Plan (1992)</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Ministry of Environment and Forest</w:t>
            </w:r>
            <w:r w:rsidR="000A42D5">
              <w:rPr>
                <w:rFonts w:eastAsia="Times New Roman"/>
                <w:sz w:val="22"/>
              </w:rPr>
              <w:t>s</w:t>
            </w:r>
          </w:p>
        </w:tc>
      </w:tr>
      <w:tr w:rsidR="007F2F9C" w:rsidRPr="004534E0" w:rsidTr="006E68DA">
        <w:trPr>
          <w:trHeight w:val="300"/>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2</w:t>
            </w:r>
          </w:p>
        </w:tc>
        <w:tc>
          <w:tcPr>
            <w:tcW w:w="4475" w:type="dxa"/>
            <w:tcBorders>
              <w:left w:val="single" w:sz="8" w:space="0" w:color="4BACC6" w:themeColor="accent5"/>
              <w:right w:val="single" w:sz="8" w:space="0" w:color="4BACC6" w:themeColor="accent5"/>
            </w:tcBorders>
            <w:hideMark/>
          </w:tcPr>
          <w:p w:rsidR="007F2F9C" w:rsidRPr="004534E0" w:rsidRDefault="007F2F9C" w:rsidP="006C0770">
            <w:pPr>
              <w:spacing w:after="0" w:line="276" w:lineRule="auto"/>
              <w:cnfStyle w:val="000000000000"/>
              <w:rPr>
                <w:rFonts w:eastAsia="Times New Roman"/>
                <w:sz w:val="22"/>
              </w:rPr>
            </w:pPr>
            <w:r w:rsidRPr="004534E0">
              <w:rPr>
                <w:rFonts w:eastAsia="Times New Roman"/>
                <w:sz w:val="22"/>
              </w:rPr>
              <w:t>National Forest</w:t>
            </w:r>
            <w:r w:rsidR="006C0770">
              <w:rPr>
                <w:rFonts w:eastAsia="Times New Roman"/>
                <w:sz w:val="22"/>
              </w:rPr>
              <w:t>ry</w:t>
            </w:r>
            <w:r w:rsidRPr="004534E0">
              <w:rPr>
                <w:rFonts w:eastAsia="Times New Roman"/>
                <w:sz w:val="22"/>
              </w:rPr>
              <w:t xml:space="preserve"> Policy (1994)</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Ministry of Environment and Forest</w:t>
            </w:r>
            <w:r w:rsidR="000A42D5">
              <w:rPr>
                <w:rFonts w:eastAsia="Times New Roman"/>
                <w:sz w:val="22"/>
              </w:rPr>
              <w:t>s</w:t>
            </w:r>
          </w:p>
        </w:tc>
      </w:tr>
      <w:tr w:rsidR="007F2F9C" w:rsidRPr="004534E0" w:rsidTr="006C0770">
        <w:trPr>
          <w:cnfStyle w:val="000000100000"/>
          <w:trHeight w:val="457"/>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3</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100000"/>
              <w:rPr>
                <w:rFonts w:eastAsia="Times New Roman"/>
                <w:color w:val="000000"/>
                <w:sz w:val="22"/>
              </w:rPr>
            </w:pPr>
            <w:r w:rsidRPr="004534E0">
              <w:rPr>
                <w:rFonts w:eastAsia="Times New Roman"/>
                <w:sz w:val="22"/>
              </w:rPr>
              <w:t>National Wetland Policy-Draft</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100000"/>
              <w:rPr>
                <w:rFonts w:eastAsia="Times New Roman"/>
                <w:color w:val="000000"/>
                <w:sz w:val="22"/>
              </w:rPr>
            </w:pPr>
            <w:r w:rsidRPr="004534E0">
              <w:rPr>
                <w:rFonts w:eastAsia="Times New Roman"/>
                <w:sz w:val="22"/>
              </w:rPr>
              <w:t>Ministry of Environment and Forest</w:t>
            </w:r>
            <w:r w:rsidR="000A42D5">
              <w:rPr>
                <w:rFonts w:eastAsia="Times New Roman"/>
                <w:sz w:val="22"/>
              </w:rPr>
              <w:t>s</w:t>
            </w:r>
          </w:p>
        </w:tc>
      </w:tr>
      <w:tr w:rsidR="007F2F9C" w:rsidRPr="004534E0" w:rsidTr="006E68DA">
        <w:trPr>
          <w:trHeight w:val="300"/>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C.</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000000"/>
              <w:rPr>
                <w:rFonts w:eastAsia="Times New Roman"/>
                <w:b/>
                <w:sz w:val="22"/>
              </w:rPr>
            </w:pPr>
            <w:r w:rsidRPr="004534E0">
              <w:rPr>
                <w:rFonts w:eastAsia="Times New Roman"/>
                <w:b/>
                <w:sz w:val="22"/>
              </w:rPr>
              <w:t>Land Management</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p>
        </w:tc>
      </w:tr>
      <w:tr w:rsidR="007F2F9C" w:rsidRPr="004534E0" w:rsidTr="006E68DA">
        <w:trPr>
          <w:cnfStyle w:val="000000100000"/>
          <w:trHeight w:val="300"/>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1</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National Land Use Policy (2001)</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100000"/>
              <w:rPr>
                <w:rFonts w:eastAsia="Times New Roman"/>
                <w:sz w:val="22"/>
              </w:rPr>
            </w:pPr>
            <w:r w:rsidRPr="004534E0">
              <w:rPr>
                <w:rFonts w:eastAsia="Times New Roman"/>
                <w:sz w:val="22"/>
              </w:rPr>
              <w:t>Ministry of Land</w:t>
            </w:r>
          </w:p>
        </w:tc>
      </w:tr>
      <w:tr w:rsidR="007F2F9C" w:rsidRPr="004534E0" w:rsidTr="006E68DA">
        <w:trPr>
          <w:trHeight w:val="300"/>
        </w:trPr>
        <w:tc>
          <w:tcPr>
            <w:cnfStyle w:val="001000000000"/>
            <w:tcW w:w="455" w:type="dxa"/>
            <w:tcBorders>
              <w:right w:val="single" w:sz="8" w:space="0" w:color="4BACC6" w:themeColor="accent5"/>
            </w:tcBorders>
            <w:hideMark/>
          </w:tcPr>
          <w:p w:rsidR="007F2F9C" w:rsidRPr="004534E0" w:rsidRDefault="007F2F9C" w:rsidP="004534E0">
            <w:pPr>
              <w:spacing w:after="0" w:line="276" w:lineRule="auto"/>
              <w:rPr>
                <w:rFonts w:eastAsia="Times New Roman"/>
                <w:color w:val="000000"/>
                <w:sz w:val="22"/>
              </w:rPr>
            </w:pPr>
            <w:r w:rsidRPr="004534E0">
              <w:rPr>
                <w:rFonts w:eastAsia="Times New Roman"/>
                <w:color w:val="000000"/>
                <w:sz w:val="22"/>
              </w:rPr>
              <w:t>2</w:t>
            </w:r>
          </w:p>
        </w:tc>
        <w:tc>
          <w:tcPr>
            <w:tcW w:w="4475" w:type="dxa"/>
            <w:tcBorders>
              <w:left w:val="single" w:sz="8" w:space="0" w:color="4BACC6" w:themeColor="accent5"/>
              <w:righ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Jalmohal Management Policy (2009)</w:t>
            </w:r>
          </w:p>
        </w:tc>
        <w:tc>
          <w:tcPr>
            <w:tcW w:w="4538" w:type="dxa"/>
            <w:tcBorders>
              <w:left w:val="single" w:sz="8" w:space="0" w:color="4BACC6" w:themeColor="accent5"/>
            </w:tcBorders>
            <w:hideMark/>
          </w:tcPr>
          <w:p w:rsidR="007F2F9C" w:rsidRPr="004534E0" w:rsidRDefault="007F2F9C" w:rsidP="004534E0">
            <w:pPr>
              <w:spacing w:after="0" w:line="276" w:lineRule="auto"/>
              <w:cnfStyle w:val="000000000000"/>
              <w:rPr>
                <w:rFonts w:eastAsia="Times New Roman"/>
                <w:sz w:val="22"/>
              </w:rPr>
            </w:pPr>
            <w:r w:rsidRPr="004534E0">
              <w:rPr>
                <w:rFonts w:eastAsia="Times New Roman"/>
                <w:sz w:val="22"/>
              </w:rPr>
              <w:t>Ministry of Land</w:t>
            </w:r>
          </w:p>
        </w:tc>
      </w:tr>
    </w:tbl>
    <w:p w:rsidR="007F2F9C" w:rsidRPr="0032179C" w:rsidRDefault="007F2F9C" w:rsidP="0066508C">
      <w:pPr>
        <w:spacing w:before="120" w:line="276" w:lineRule="auto"/>
        <w:jc w:val="both"/>
        <w:rPr>
          <w:rFonts w:cs="Times New Roman"/>
          <w:b/>
          <w:i/>
          <w:sz w:val="20"/>
          <w:szCs w:val="20"/>
        </w:rPr>
      </w:pPr>
      <w:r w:rsidRPr="004F1521">
        <w:rPr>
          <w:rFonts w:cs="Times New Roman"/>
          <w:b/>
          <w:i/>
          <w:sz w:val="20"/>
          <w:szCs w:val="20"/>
        </w:rPr>
        <w:t>Source: Compiled from various government sources</w:t>
      </w:r>
    </w:p>
    <w:p w:rsidR="007F2F9C" w:rsidRDefault="007F2F9C" w:rsidP="004534E0">
      <w:pPr>
        <w:spacing w:line="276" w:lineRule="auto"/>
        <w:jc w:val="both"/>
        <w:rPr>
          <w:rFonts w:cs="Times New Roman"/>
        </w:rPr>
      </w:pPr>
      <w:r w:rsidRPr="00115731">
        <w:rPr>
          <w:rFonts w:cs="Times New Roman"/>
          <w:b/>
        </w:rPr>
        <w:t>Administrative arrangements for water management:</w:t>
      </w:r>
      <w:r>
        <w:rPr>
          <w:rFonts w:cs="Times New Roman"/>
        </w:rPr>
        <w:t xml:space="preserve"> Given the multiple dimensions of water supply and demand</w:t>
      </w:r>
      <w:r w:rsidRPr="00CD1027">
        <w:rPr>
          <w:rFonts w:cs="Times New Roman"/>
        </w:rPr>
        <w:t xml:space="preserve">, </w:t>
      </w:r>
      <w:r>
        <w:rPr>
          <w:rFonts w:cs="Times New Roman"/>
        </w:rPr>
        <w:t xml:space="preserve">cross-boundary water issues and multiple sources of water related risks and hazards, </w:t>
      </w:r>
      <w:r w:rsidRPr="00CD1027">
        <w:rPr>
          <w:rFonts w:cs="Times New Roman"/>
        </w:rPr>
        <w:t>many government agencies are involved in the sector.</w:t>
      </w:r>
      <w:r>
        <w:rPr>
          <w:rFonts w:cs="Times New Roman"/>
        </w:rPr>
        <w:t xml:space="preserve"> However, 3 key ministries dominate in the actual implementation of water programs.  These are: the Ministry of Water Resources (MoWR); the Ministry of Local Government</w:t>
      </w:r>
      <w:r w:rsidR="00967224">
        <w:rPr>
          <w:rFonts w:cs="Times New Roman"/>
        </w:rPr>
        <w:t>,</w:t>
      </w:r>
      <w:r>
        <w:rPr>
          <w:rFonts w:cs="Times New Roman"/>
        </w:rPr>
        <w:t xml:space="preserve"> Rural Development</w:t>
      </w:r>
      <w:r w:rsidR="00967224">
        <w:rPr>
          <w:rFonts w:cs="Times New Roman"/>
        </w:rPr>
        <w:t xml:space="preserve"> and Cooperatives</w:t>
      </w:r>
      <w:r>
        <w:rPr>
          <w:rFonts w:cs="Times New Roman"/>
        </w:rPr>
        <w:t xml:space="preserve"> (LGRD</w:t>
      </w:r>
      <w:r w:rsidR="00967224">
        <w:rPr>
          <w:rFonts w:cs="Times New Roman"/>
        </w:rPr>
        <w:t>&amp;C</w:t>
      </w:r>
      <w:r>
        <w:rPr>
          <w:rFonts w:cs="Times New Roman"/>
        </w:rPr>
        <w:t xml:space="preserve">); and the Ministry of Shipping. </w:t>
      </w:r>
    </w:p>
    <w:p w:rsidR="007F2F9C" w:rsidRDefault="007F2F9C" w:rsidP="004534E0">
      <w:pPr>
        <w:spacing w:line="276" w:lineRule="auto"/>
        <w:jc w:val="both"/>
        <w:rPr>
          <w:rFonts w:cs="Times New Roman"/>
        </w:rPr>
      </w:pPr>
      <w:r>
        <w:rPr>
          <w:rFonts w:cs="Times New Roman"/>
        </w:rPr>
        <w:t xml:space="preserve">So far as water management is concerned, the MoWR is the largest and most important player.  In recognition of this, The Water Act 2013 assigns the Minister of MoWR the </w:t>
      </w:r>
      <w:r w:rsidR="00065D01">
        <w:rPr>
          <w:rFonts w:cs="Times New Roman"/>
        </w:rPr>
        <w:t>all-important</w:t>
      </w:r>
      <w:r>
        <w:rPr>
          <w:rFonts w:cs="Times New Roman"/>
        </w:rPr>
        <w:t xml:space="preserve"> role of serving as the chair of ECNWRC.  Similarly, the secretariat role to the NWRC is assigned to the Secretary Ministry of Water and for ECNWRC the secretariat role is given to WARPO, which is a specialized agency of the MoWR.</w:t>
      </w:r>
    </w:p>
    <w:p w:rsidR="007F2F9C" w:rsidRDefault="007F2F9C" w:rsidP="004534E0">
      <w:pPr>
        <w:spacing w:line="276" w:lineRule="auto"/>
        <w:jc w:val="both"/>
        <w:rPr>
          <w:rFonts w:cs="Times New Roman"/>
        </w:rPr>
      </w:pPr>
      <w:r w:rsidRPr="004B0A08">
        <w:rPr>
          <w:rFonts w:cs="Times New Roman"/>
          <w:i/>
        </w:rPr>
        <w:t xml:space="preserve">Within the MoWR, the main implementation arm is the Bangladesh Water Development Board (BWDB) established in 1959 and mandated for managing of </w:t>
      </w:r>
      <w:r w:rsidR="00967224">
        <w:rPr>
          <w:rFonts w:cs="Times New Roman"/>
          <w:i/>
        </w:rPr>
        <w:t>about</w:t>
      </w:r>
      <w:r w:rsidRPr="004B0A08">
        <w:rPr>
          <w:rFonts w:cs="Times New Roman"/>
          <w:i/>
        </w:rPr>
        <w:t xml:space="preserve"> </w:t>
      </w:r>
      <w:r w:rsidR="00967224">
        <w:rPr>
          <w:rFonts w:cs="Times New Roman"/>
          <w:i/>
        </w:rPr>
        <w:t>700</w:t>
      </w:r>
      <w:r w:rsidR="00967224" w:rsidRPr="004B0A08">
        <w:rPr>
          <w:rFonts w:cs="Times New Roman"/>
          <w:i/>
        </w:rPr>
        <w:t xml:space="preserve"> </w:t>
      </w:r>
      <w:r w:rsidRPr="004B0A08">
        <w:rPr>
          <w:rFonts w:cs="Times New Roman"/>
          <w:i/>
        </w:rPr>
        <w:t>rivers of total approximate length of 24,</w:t>
      </w:r>
      <w:r w:rsidR="00967224">
        <w:rPr>
          <w:rFonts w:cs="Times New Roman"/>
          <w:i/>
        </w:rPr>
        <w:t>140</w:t>
      </w:r>
      <w:r w:rsidR="00967224" w:rsidRPr="004B0A08">
        <w:rPr>
          <w:rFonts w:cs="Times New Roman"/>
          <w:i/>
        </w:rPr>
        <w:t xml:space="preserve"> </w:t>
      </w:r>
      <w:r w:rsidRPr="004B0A08">
        <w:rPr>
          <w:rFonts w:cs="Times New Roman"/>
          <w:i/>
        </w:rPr>
        <w:t>km,</w:t>
      </w:r>
      <w:r w:rsidR="00967224">
        <w:rPr>
          <w:rFonts w:cs="Times New Roman"/>
          <w:i/>
        </w:rPr>
        <w:t>.</w:t>
      </w:r>
      <w:r w:rsidRPr="004B0A08">
        <w:rPr>
          <w:rFonts w:cs="Times New Roman"/>
          <w:i/>
        </w:rPr>
        <w:t xml:space="preserve"> </w:t>
      </w:r>
      <w:r>
        <w:rPr>
          <w:rFonts w:cs="Times New Roman"/>
        </w:rPr>
        <w:t xml:space="preserve">The BWDB </w:t>
      </w:r>
      <w:r w:rsidRPr="00CD1027">
        <w:rPr>
          <w:rFonts w:cs="Times New Roman"/>
        </w:rPr>
        <w:t>is the</w:t>
      </w:r>
      <w:r>
        <w:rPr>
          <w:rFonts w:cs="Times New Roman"/>
        </w:rPr>
        <w:t xml:space="preserve"> most significant water management organization in Bangladesh.  It also handles a substantial amount </w:t>
      </w:r>
      <w:r w:rsidRPr="00CD1027">
        <w:rPr>
          <w:rFonts w:cs="Times New Roman"/>
        </w:rPr>
        <w:t xml:space="preserve">of the </w:t>
      </w:r>
      <w:r>
        <w:rPr>
          <w:rFonts w:cs="Times New Roman"/>
        </w:rPr>
        <w:t xml:space="preserve">budget </w:t>
      </w:r>
      <w:r w:rsidRPr="00CD1027">
        <w:rPr>
          <w:rFonts w:cs="Times New Roman"/>
        </w:rPr>
        <w:t xml:space="preserve">expenditure in the </w:t>
      </w:r>
      <w:r w:rsidRPr="00CD1027">
        <w:rPr>
          <w:rFonts w:cs="Times New Roman"/>
        </w:rPr>
        <w:lastRenderedPageBreak/>
        <w:t>water sector.</w:t>
      </w:r>
      <w:r>
        <w:rPr>
          <w:rFonts w:cs="Times New Roman"/>
        </w:rPr>
        <w:t xml:space="preserve"> The BWDB </w:t>
      </w:r>
      <w:r w:rsidRPr="00CD1027">
        <w:rPr>
          <w:rFonts w:cs="Times New Roman"/>
        </w:rPr>
        <w:t>is responsible for preparing and implementing development projects related to flood control, drainage and irrigation, riverbank erosion, coastal development, and land reclamation. It is also responsible for the collection and dissemination of hydrologic</w:t>
      </w:r>
      <w:r w:rsidR="00967224">
        <w:rPr>
          <w:rFonts w:cs="Times New Roman"/>
        </w:rPr>
        <w:t>al</w:t>
      </w:r>
      <w:r w:rsidRPr="00CD1027">
        <w:rPr>
          <w:rFonts w:cs="Times New Roman"/>
        </w:rPr>
        <w:t xml:space="preserve"> and hydraulic data</w:t>
      </w:r>
      <w:r>
        <w:rPr>
          <w:rFonts w:cs="Times New Roman"/>
        </w:rPr>
        <w:t xml:space="preserve"> </w:t>
      </w:r>
      <w:r w:rsidR="00967224">
        <w:rPr>
          <w:rFonts w:cs="Times New Roman"/>
        </w:rPr>
        <w:t xml:space="preserve">and </w:t>
      </w:r>
      <w:r>
        <w:rPr>
          <w:rFonts w:cs="Times New Roman"/>
        </w:rPr>
        <w:t>provides flood forecasting and warning information through the</w:t>
      </w:r>
      <w:r w:rsidRPr="00CD1027">
        <w:rPr>
          <w:rFonts w:cs="Times New Roman"/>
        </w:rPr>
        <w:t xml:space="preserve"> management of the Flood Forecasting and Warning Center</w:t>
      </w:r>
      <w:r>
        <w:rPr>
          <w:rFonts w:cs="Times New Roman"/>
        </w:rPr>
        <w:t xml:space="preserve"> (FFWC)</w:t>
      </w:r>
      <w:r w:rsidRPr="00CD1027">
        <w:rPr>
          <w:rFonts w:cs="Times New Roman"/>
        </w:rPr>
        <w:t>.</w:t>
      </w:r>
      <w:r w:rsidRPr="001F671E">
        <w:rPr>
          <w:rFonts w:cs="Times New Roman"/>
        </w:rPr>
        <w:t xml:space="preserve"> </w:t>
      </w:r>
    </w:p>
    <w:p w:rsidR="007F2F9C" w:rsidRDefault="007F2F9C" w:rsidP="004534E0">
      <w:pPr>
        <w:spacing w:line="276" w:lineRule="auto"/>
        <w:jc w:val="both"/>
        <w:rPr>
          <w:rFonts w:cs="Times New Roman"/>
        </w:rPr>
      </w:pPr>
      <w:r w:rsidRPr="00CD1027">
        <w:rPr>
          <w:rFonts w:cs="Times New Roman"/>
        </w:rPr>
        <w:t>While the BWDB is the implementing arm of MoWR, the Water Resources Planning Organization (WARPO) is the strategic and macro-planning arm. WARPO formulates policies, plans, strategies, guidelines, instructions, acts, and rules relating to the development and management of water resources. It has been involved in formulating the National Water Policy (1999), a Coastal Zone Policy (2005), the National Water Management Plan (200</w:t>
      </w:r>
      <w:r>
        <w:rPr>
          <w:rFonts w:cs="Times New Roman"/>
        </w:rPr>
        <w:t>1/</w:t>
      </w:r>
      <w:r w:rsidRPr="00CD1027">
        <w:rPr>
          <w:rFonts w:cs="Times New Roman"/>
        </w:rPr>
        <w:t>4), and the more recent Bangladesh Water Act (2013).</w:t>
      </w:r>
    </w:p>
    <w:p w:rsidR="007F2F9C" w:rsidRPr="004B0A08" w:rsidRDefault="007F2F9C" w:rsidP="004534E0">
      <w:pPr>
        <w:pStyle w:val="ListParagraph"/>
        <w:spacing w:line="276" w:lineRule="auto"/>
        <w:ind w:left="0"/>
        <w:contextualSpacing w:val="0"/>
        <w:jc w:val="both"/>
        <w:rPr>
          <w:rFonts w:cs="Times New Roman"/>
          <w:i/>
        </w:rPr>
      </w:pPr>
      <w:r>
        <w:rPr>
          <w:rFonts w:cs="Times New Roman"/>
        </w:rPr>
        <w:t xml:space="preserve">Additionally there are a number of specialized institutions in MoWR that deal with specific areas of surface water management including coordination and research.  The specialized institutions fall under three broad categories: </w:t>
      </w:r>
      <w:r w:rsidRPr="004B0A08">
        <w:rPr>
          <w:rFonts w:cs="Times New Roman"/>
          <w:i/>
        </w:rPr>
        <w:t>First, concerns institutions responsible for coordination of specific areas of water management: the Haor Development Board</w:t>
      </w:r>
      <w:r>
        <w:rPr>
          <w:rFonts w:cs="Times New Roman"/>
        </w:rPr>
        <w:t xml:space="preserve">.  The second relates to the coordination of policy dialogue and information on cross boundary water issues.  </w:t>
      </w:r>
      <w:r w:rsidRPr="004B0A08">
        <w:rPr>
          <w:rFonts w:cs="Times New Roman"/>
          <w:i/>
        </w:rPr>
        <w:t>The concerned institution is the Joint River Commission (JRC) that serves as the secretariat of the Ministry for dealing with cross-boundary water issues</w:t>
      </w:r>
      <w:r>
        <w:rPr>
          <w:rFonts w:cs="Times New Roman"/>
        </w:rPr>
        <w:t xml:space="preserve">. The third relate to institutions that support policy through research.  These include: </w:t>
      </w:r>
      <w:r w:rsidRPr="004B0A08">
        <w:rPr>
          <w:rFonts w:cs="Times New Roman"/>
          <w:i/>
        </w:rPr>
        <w:t xml:space="preserve">the River Research Institute (RRI) that deals with physical and mathematical water modeling; the Institute of Water </w:t>
      </w:r>
      <w:r w:rsidR="00967224">
        <w:rPr>
          <w:rFonts w:cs="Times New Roman"/>
          <w:i/>
        </w:rPr>
        <w:t>Modeling</w:t>
      </w:r>
      <w:r w:rsidR="00967224" w:rsidRPr="004B0A08">
        <w:rPr>
          <w:rFonts w:cs="Times New Roman"/>
          <w:i/>
        </w:rPr>
        <w:t xml:space="preserve"> </w:t>
      </w:r>
      <w:r w:rsidRPr="004B0A08">
        <w:rPr>
          <w:rFonts w:cs="Times New Roman"/>
          <w:i/>
        </w:rPr>
        <w:t xml:space="preserve">(IWM) which does mathematical water modeling; the Centre for Environmental and Geographic Information Services (CEGIS) which provides integrated environmental analysis involving GIS, remote sensing, IT and database.     </w:t>
      </w:r>
    </w:p>
    <w:p w:rsidR="007F2F9C" w:rsidRDefault="007F2F9C" w:rsidP="004534E0">
      <w:pPr>
        <w:pStyle w:val="ListParagraph"/>
        <w:spacing w:line="276" w:lineRule="auto"/>
        <w:ind w:left="0"/>
        <w:contextualSpacing w:val="0"/>
        <w:jc w:val="both"/>
        <w:rPr>
          <w:rFonts w:cs="Times New Roman"/>
        </w:rPr>
      </w:pPr>
      <w:r>
        <w:rPr>
          <w:rFonts w:cs="Times New Roman"/>
        </w:rPr>
        <w:t>As far as water supply and sanitation is concerned, the r</w:t>
      </w:r>
      <w:r w:rsidRPr="00BB181A">
        <w:rPr>
          <w:rFonts w:cs="Times New Roman"/>
        </w:rPr>
        <w:t xml:space="preserve">esponsibility </w:t>
      </w:r>
      <w:r>
        <w:rPr>
          <w:rFonts w:cs="Times New Roman"/>
        </w:rPr>
        <w:t xml:space="preserve">lies with </w:t>
      </w:r>
      <w:r w:rsidRPr="00BB181A">
        <w:rPr>
          <w:rFonts w:cs="Times New Roman"/>
        </w:rPr>
        <w:t xml:space="preserve">the Ministry of Local Government, Rural </w:t>
      </w:r>
      <w:r>
        <w:rPr>
          <w:rFonts w:cs="Times New Roman"/>
        </w:rPr>
        <w:t>Development and Cooperatives (LGRD</w:t>
      </w:r>
      <w:r w:rsidR="00967224">
        <w:rPr>
          <w:rFonts w:cs="Times New Roman"/>
        </w:rPr>
        <w:t>&amp;C</w:t>
      </w:r>
      <w:r>
        <w:rPr>
          <w:rFonts w:cs="Times New Roman"/>
        </w:rPr>
        <w:t xml:space="preserve">). Much of the effort is focused on urban </w:t>
      </w:r>
      <w:r w:rsidRPr="00BB181A">
        <w:rPr>
          <w:rFonts w:cs="Times New Roman"/>
        </w:rPr>
        <w:t>water</w:t>
      </w:r>
      <w:r>
        <w:rPr>
          <w:rFonts w:cs="Times New Roman"/>
        </w:rPr>
        <w:t xml:space="preserve"> supply and sanitation.   There </w:t>
      </w:r>
      <w:r w:rsidR="00967224">
        <w:rPr>
          <w:rFonts w:cs="Times New Roman"/>
        </w:rPr>
        <w:t xml:space="preserve">are </w:t>
      </w:r>
      <w:r>
        <w:rPr>
          <w:rFonts w:cs="Times New Roman"/>
        </w:rPr>
        <w:t>very little institutionalized water and sanitation services in the rural areas. Piped water and sanitary toilet facilities are generally no</w:t>
      </w:r>
      <w:r w:rsidRPr="00BB181A">
        <w:rPr>
          <w:rFonts w:cs="Times New Roman"/>
        </w:rPr>
        <w:t>t</w:t>
      </w:r>
      <w:r>
        <w:rPr>
          <w:rFonts w:cs="Times New Roman"/>
        </w:rPr>
        <w:t xml:space="preserve"> available in rural areas.  The main effort is to address rural drinking water safety concerns emerging from soil-based arsenic poisoning carried t</w:t>
      </w:r>
      <w:r w:rsidRPr="00BB181A">
        <w:rPr>
          <w:rFonts w:cs="Times New Roman"/>
        </w:rPr>
        <w:t xml:space="preserve">hrough </w:t>
      </w:r>
      <w:r>
        <w:rPr>
          <w:rFonts w:cs="Times New Roman"/>
        </w:rPr>
        <w:t>tube wells and developing pilot rural sanitation schemes in partnership with NGOs.</w:t>
      </w:r>
    </w:p>
    <w:p w:rsidR="007F2F9C" w:rsidRPr="00423184" w:rsidRDefault="007F2F9C" w:rsidP="004534E0">
      <w:pPr>
        <w:pStyle w:val="ListParagraph"/>
        <w:spacing w:line="276" w:lineRule="auto"/>
        <w:ind w:left="0"/>
        <w:contextualSpacing w:val="0"/>
        <w:jc w:val="both"/>
        <w:rPr>
          <w:rFonts w:cs="Times New Roman"/>
        </w:rPr>
      </w:pPr>
      <w:r>
        <w:rPr>
          <w:rFonts w:cs="Times New Roman"/>
        </w:rPr>
        <w:t xml:space="preserve">Urban water and sanitation is provided through a range of institutional arrangements.  They involve:  </w:t>
      </w:r>
      <w:r w:rsidRPr="00BB181A">
        <w:rPr>
          <w:rFonts w:cs="Times New Roman"/>
        </w:rPr>
        <w:t xml:space="preserve">Water and Sewerage Authorities (WASAs), city corporations, municipalities and the Department of </w:t>
      </w:r>
      <w:r w:rsidR="000B096E">
        <w:t>Public</w:t>
      </w:r>
      <w:r w:rsidRPr="00BB181A">
        <w:rPr>
          <w:rFonts w:cs="Times New Roman"/>
        </w:rPr>
        <w:t xml:space="preserve"> Health Engineering (DPHE). The four WASAs </w:t>
      </w:r>
      <w:r>
        <w:rPr>
          <w:rFonts w:cs="Times New Roman"/>
        </w:rPr>
        <w:t xml:space="preserve">are: Dhaka WASA, Chittagong WASA; Khulna WASA and the Rajshahi WASA.  The Dhaka WASA </w:t>
      </w:r>
      <w:r w:rsidR="00967224">
        <w:rPr>
          <w:rFonts w:cs="Times New Roman"/>
        </w:rPr>
        <w:t xml:space="preserve">has </w:t>
      </w:r>
      <w:r>
        <w:rPr>
          <w:rFonts w:cs="Times New Roman"/>
        </w:rPr>
        <w:t>the largest urban water supply and sanitation program and its service has been extended to cover Narayanganj. Typically, WASAs have received substantial international assistance,</w:t>
      </w:r>
      <w:r w:rsidRPr="00BB181A">
        <w:rPr>
          <w:rFonts w:cs="Times New Roman"/>
        </w:rPr>
        <w:t xml:space="preserve"> are relatively well staffed and provide relatively high levels of service compared to the city corporations and </w:t>
      </w:r>
      <w:r w:rsidRPr="00BB181A">
        <w:rPr>
          <w:rFonts w:cs="Times New Roman"/>
        </w:rPr>
        <w:lastRenderedPageBreak/>
        <w:t>municipalities. Many of the medium sized cities are experiencing very high rates of p</w:t>
      </w:r>
      <w:r>
        <w:rPr>
          <w:rFonts w:cs="Times New Roman"/>
        </w:rPr>
        <w:t>opulation and industrial growth. Yet, urban water and sanitation management institutions are</w:t>
      </w:r>
      <w:r w:rsidRPr="00BB181A">
        <w:rPr>
          <w:rFonts w:cs="Times New Roman"/>
        </w:rPr>
        <w:t xml:space="preserve"> desperately understaffed and receive only modest support from central organizations. Their capacity for planning and enforcement of the few regulations that exist and those that are planned is especially weak.</w:t>
      </w:r>
    </w:p>
    <w:p w:rsidR="007F2F9C" w:rsidRDefault="007F2F9C" w:rsidP="004534E0">
      <w:pPr>
        <w:spacing w:line="276" w:lineRule="auto"/>
        <w:jc w:val="both"/>
        <w:rPr>
          <w:rFonts w:cs="Times New Roman"/>
        </w:rPr>
      </w:pPr>
      <w:r>
        <w:rPr>
          <w:rFonts w:cs="Times New Roman"/>
        </w:rPr>
        <w:t>Efforts to decentralize irriga</w:t>
      </w:r>
      <w:r w:rsidR="00A46672">
        <w:rPr>
          <w:rFonts w:cs="Times New Roman"/>
        </w:rPr>
        <w:t>tion and drainage management have</w:t>
      </w:r>
      <w:r>
        <w:rPr>
          <w:rFonts w:cs="Times New Roman"/>
        </w:rPr>
        <w:t xml:space="preserve"> led the government to distinguish between large and small schemes based on area of coverage of the schemes.  Large schemes are those that encompass service for 1000 hectares or more; small schemes are less than 1000 hectares.  The large schemes are managed by BWDB; the small schemes are managed by LGRD through the </w:t>
      </w:r>
      <w:r w:rsidR="00967224">
        <w:rPr>
          <w:rFonts w:cs="Times New Roman"/>
        </w:rPr>
        <w:t xml:space="preserve">Local Government Engineering Department </w:t>
      </w:r>
      <w:r>
        <w:rPr>
          <w:rFonts w:cs="Times New Roman"/>
        </w:rPr>
        <w:t>(LGED).  The aim is to eventually transfer the operation and maintenance (O&amp;M) of these smaller schemes to the community organizations.</w:t>
      </w:r>
    </w:p>
    <w:p w:rsidR="007F2F9C" w:rsidRDefault="007F2F9C" w:rsidP="004534E0">
      <w:pPr>
        <w:spacing w:line="276" w:lineRule="auto"/>
        <w:jc w:val="both"/>
        <w:rPr>
          <w:rFonts w:cs="Times New Roman"/>
        </w:rPr>
      </w:pPr>
      <w:r>
        <w:rPr>
          <w:rFonts w:cs="Times New Roman"/>
        </w:rPr>
        <w:t xml:space="preserve">Inland water transport is the accountability of the Ministry of Shipping and Inland Water Transport through the Inland Water Transport (IWT) Division.  The IWT has two major institutions: the Inland Water Transport Authority (IWTA) and the Inland Water Transport Corporation.  The IWTA is responsible for river dredging, river maintenance, river port facilities and river transport regulations including safety standards.  The IWTC is responsible for running the river transport facilities for cargo and passengers. </w:t>
      </w:r>
    </w:p>
    <w:p w:rsidR="007F2F9C" w:rsidRDefault="007F2F9C" w:rsidP="004534E0">
      <w:pPr>
        <w:spacing w:line="276" w:lineRule="auto"/>
        <w:jc w:val="both"/>
        <w:rPr>
          <w:rFonts w:cs="Times New Roman"/>
        </w:rPr>
      </w:pPr>
      <w:r>
        <w:rPr>
          <w:rFonts w:cs="Times New Roman"/>
        </w:rPr>
        <w:t xml:space="preserve">In the earlier days the Ministry of Agriculture had responsibility for managing small scale mechanized irrigation facilities (deep tube wells) through the Bangladesh Agricultural Development Corporation (BADC) and the Barind Multipurpose Development Authority (BMDA).  The BADC role has diminished as private provision of minor irrigation schemes emerged and largely took over the BADC role in irrigation.  Overall, the Agriculture ministry's role in water management has diminished over time.   </w:t>
      </w:r>
    </w:p>
    <w:p w:rsidR="00F64A6A" w:rsidRDefault="007F2F9C" w:rsidP="00F64A6A">
      <w:pPr>
        <w:pStyle w:val="Heading2"/>
        <w:numPr>
          <w:ilvl w:val="0"/>
          <w:numId w:val="0"/>
        </w:numPr>
        <w:ind w:left="1080"/>
      </w:pPr>
      <w:bookmarkStart w:id="887" w:name="_Toc474638945"/>
      <w:r w:rsidRPr="00A802C3">
        <w:t>Issues and Challenges in Integrated Water Management</w:t>
      </w:r>
      <w:bookmarkEnd w:id="887"/>
    </w:p>
    <w:p w:rsidR="001547EF" w:rsidRDefault="007F2F9C" w:rsidP="006330C6">
      <w:pPr>
        <w:spacing w:line="276" w:lineRule="auto"/>
        <w:jc w:val="both"/>
        <w:rPr>
          <w:rFonts w:cs="Times New Roman"/>
          <w:szCs w:val="24"/>
        </w:rPr>
      </w:pPr>
      <w:r>
        <w:rPr>
          <w:rFonts w:cs="Times New Roman"/>
        </w:rPr>
        <w:t xml:space="preserve">The adoption of the 2013 Water Act and the formalization of the associated institutions (NWRC and ECNWRC) have in principle provided an adequate governance and institutional structure for integrated water management in Bangladesh.  As noted above, by incorporating the 1999 NWP, the National Water Act also streamlines individual areas of responsibilities for water. </w:t>
      </w:r>
      <w:r w:rsidR="006330C6" w:rsidRPr="0030221A">
        <w:rPr>
          <w:rFonts w:cs="Times New Roman"/>
          <w:szCs w:val="24"/>
        </w:rPr>
        <w:t>The main challenge</w:t>
      </w:r>
      <w:r w:rsidR="001547EF">
        <w:rPr>
          <w:rFonts w:cs="Times New Roman"/>
          <w:szCs w:val="24"/>
        </w:rPr>
        <w:t>s</w:t>
      </w:r>
      <w:r w:rsidR="006330C6" w:rsidRPr="0030221A">
        <w:rPr>
          <w:rFonts w:cs="Times New Roman"/>
          <w:szCs w:val="24"/>
        </w:rPr>
        <w:t xml:space="preserve"> lie in: </w:t>
      </w:r>
    </w:p>
    <w:p w:rsidR="00000000" w:rsidRDefault="006330C6" w:rsidP="003D5A31">
      <w:pPr>
        <w:pStyle w:val="ListParagraph"/>
        <w:numPr>
          <w:ilvl w:val="0"/>
          <w:numId w:val="173"/>
        </w:numPr>
        <w:spacing w:line="276" w:lineRule="auto"/>
        <w:jc w:val="both"/>
        <w:rPr>
          <w:rFonts w:cs="Times New Roman"/>
          <w:szCs w:val="24"/>
        </w:rPr>
      </w:pPr>
      <w:r w:rsidRPr="001547EF">
        <w:rPr>
          <w:rFonts w:cs="Times New Roman"/>
          <w:szCs w:val="24"/>
        </w:rPr>
        <w:t>first, properly implementing the provisions of the Act by making NWRC and ECNWRC effective institutions of inter-sectoral planning</w:t>
      </w:r>
      <w:r w:rsidRPr="00C80DD4">
        <w:rPr>
          <w:rFonts w:cs="Times New Roman"/>
          <w:szCs w:val="24"/>
        </w:rPr>
        <w:t>, financing, decision-making</w:t>
      </w:r>
      <w:r w:rsidRPr="008013B7">
        <w:rPr>
          <w:rFonts w:cs="Times New Roman"/>
          <w:szCs w:val="24"/>
        </w:rPr>
        <w:t xml:space="preserve"> and coordination; </w:t>
      </w:r>
    </w:p>
    <w:p w:rsidR="00000000" w:rsidRDefault="006330C6" w:rsidP="003D5A31">
      <w:pPr>
        <w:pStyle w:val="ListParagraph"/>
        <w:numPr>
          <w:ilvl w:val="0"/>
          <w:numId w:val="173"/>
        </w:numPr>
        <w:spacing w:line="276" w:lineRule="auto"/>
        <w:jc w:val="both"/>
        <w:rPr>
          <w:rFonts w:cs="Times New Roman"/>
          <w:szCs w:val="24"/>
        </w:rPr>
      </w:pPr>
      <w:r w:rsidRPr="001547EF">
        <w:rPr>
          <w:rFonts w:cs="Times New Roman"/>
          <w:szCs w:val="24"/>
        </w:rPr>
        <w:t>second, incorporating issues of climate change, environment, bio-diversity, agriculture, fisheries, forestry, inland water transport and land manage</w:t>
      </w:r>
      <w:r w:rsidRPr="00C80DD4">
        <w:rPr>
          <w:rFonts w:cs="Times New Roman"/>
          <w:szCs w:val="24"/>
        </w:rPr>
        <w:t xml:space="preserve">ment and their interaction with water to develop a comprehensive view of the delta issues and challenges; and </w:t>
      </w:r>
    </w:p>
    <w:p w:rsidR="00000000" w:rsidRDefault="006330C6" w:rsidP="003D5A31">
      <w:pPr>
        <w:pStyle w:val="ListParagraph"/>
        <w:numPr>
          <w:ilvl w:val="0"/>
          <w:numId w:val="173"/>
        </w:numPr>
        <w:spacing w:line="276" w:lineRule="auto"/>
        <w:jc w:val="both"/>
        <w:rPr>
          <w:rFonts w:cs="Times New Roman"/>
          <w:szCs w:val="24"/>
        </w:rPr>
      </w:pPr>
      <w:r w:rsidRPr="001547EF">
        <w:rPr>
          <w:rFonts w:cs="Times New Roman"/>
          <w:szCs w:val="24"/>
        </w:rPr>
        <w:lastRenderedPageBreak/>
        <w:t>third, converting each of the related institutions of water, climate change and environment management, agriculture and land management</w:t>
      </w:r>
      <w:r w:rsidRPr="00C80DD4">
        <w:rPr>
          <w:rFonts w:cs="Times New Roman"/>
          <w:szCs w:val="24"/>
        </w:rPr>
        <w:t>, and inlan</w:t>
      </w:r>
      <w:r w:rsidRPr="008013B7">
        <w:rPr>
          <w:rFonts w:cs="Times New Roman"/>
          <w:szCs w:val="24"/>
        </w:rPr>
        <w:t xml:space="preserve">d water transport management into strong institutions with adequate technical skills including in the areas of economic management, financing, institution building, monitoring and </w:t>
      </w:r>
      <w:r w:rsidR="00F57172" w:rsidRPr="00724C6C">
        <w:rPr>
          <w:rFonts w:cs="Times New Roman"/>
          <w:szCs w:val="24"/>
        </w:rPr>
        <w:t>evaluation</w:t>
      </w:r>
      <w:r w:rsidRPr="00724C6C">
        <w:rPr>
          <w:rFonts w:cs="Times New Roman"/>
          <w:szCs w:val="24"/>
        </w:rPr>
        <w:t xml:space="preserve"> and knowledge management. </w:t>
      </w:r>
    </w:p>
    <w:p w:rsidR="006330C6" w:rsidRDefault="006330C6" w:rsidP="004B0A08">
      <w:pPr>
        <w:spacing w:line="276" w:lineRule="auto"/>
        <w:ind w:left="360"/>
        <w:jc w:val="both"/>
        <w:rPr>
          <w:rFonts w:cs="Times New Roman"/>
          <w:szCs w:val="24"/>
        </w:rPr>
      </w:pPr>
      <w:r w:rsidRPr="001547EF">
        <w:rPr>
          <w:rFonts w:cs="Times New Roman"/>
          <w:szCs w:val="24"/>
        </w:rPr>
        <w:t xml:space="preserve">All three factors are essential for having an effective institutional framework for Delta Management.   </w:t>
      </w:r>
    </w:p>
    <w:p w:rsidR="001547EF" w:rsidRPr="00215182" w:rsidRDefault="001547EF" w:rsidP="001547EF">
      <w:pPr>
        <w:spacing w:line="276" w:lineRule="auto"/>
        <w:jc w:val="both"/>
        <w:rPr>
          <w:rFonts w:cs="Times New Roman"/>
          <w:b/>
          <w:i/>
        </w:rPr>
      </w:pPr>
      <w:r w:rsidRPr="00215182">
        <w:rPr>
          <w:rFonts w:cs="Times New Roman"/>
          <w:b/>
          <w:i/>
        </w:rPr>
        <w:t>Fragmentation of tasks and agencies</w:t>
      </w:r>
    </w:p>
    <w:p w:rsidR="007F2F9C" w:rsidRDefault="007F2F9C" w:rsidP="004534E0">
      <w:pPr>
        <w:spacing w:line="276" w:lineRule="auto"/>
        <w:jc w:val="both"/>
        <w:rPr>
          <w:rFonts w:cs="Times New Roman"/>
        </w:rPr>
      </w:pPr>
      <w:r>
        <w:rPr>
          <w:rFonts w:cs="Times New Roman"/>
        </w:rPr>
        <w:t xml:space="preserve"> </w:t>
      </w:r>
      <w:r w:rsidR="001547EF">
        <w:rPr>
          <w:rFonts w:cs="Times New Roman"/>
        </w:rPr>
        <w:t>I</w:t>
      </w:r>
      <w:r>
        <w:rPr>
          <w:rFonts w:cs="Times New Roman"/>
        </w:rPr>
        <w:t>nstitutions responsible for water management in Bangladesh are fragmented and characterized by multiple inefficiencies and capacity constraint</w:t>
      </w:r>
      <w:r w:rsidR="001D71BD">
        <w:rPr>
          <w:rFonts w:cs="Times New Roman"/>
        </w:rPr>
        <w:t>s. Although the responsibility</w:t>
      </w:r>
      <w:r>
        <w:rPr>
          <w:rFonts w:cs="Times New Roman"/>
        </w:rPr>
        <w:t xml:space="preserve"> for water management is vested among three ministries, only the MoWR is a dedicated water ministry; the other two, especially the LGRD Ministry, have multiple areas of accountability. Importantly, the number of individual entities under each Ministry is large and diverse.  The interests are similarly diverse and inter-ministerial coordination is a tough challenge.   Competition for limited funding is substantial causing institutional rivalry and unsustainably larg</w:t>
      </w:r>
      <w:r w:rsidR="001D71BD">
        <w:rPr>
          <w:rFonts w:cs="Times New Roman"/>
        </w:rPr>
        <w:t>e project portfolio.  Incentive</w:t>
      </w:r>
      <w:r>
        <w:rPr>
          <w:rFonts w:cs="Times New Roman"/>
        </w:rPr>
        <w:t xml:space="preserve"> for new investments is paramount and attention to O&amp;M is highly deficient.  </w:t>
      </w:r>
      <w:r w:rsidRPr="004B0A08">
        <w:rPr>
          <w:rFonts w:cs="Times New Roman"/>
          <w:i/>
        </w:rPr>
        <w:t>Consequently, water is managed more as an individual service in each entity rather than an integrated service.</w:t>
      </w:r>
      <w:r>
        <w:rPr>
          <w:rFonts w:cs="Times New Roman"/>
        </w:rPr>
        <w:t xml:space="preserve"> </w:t>
      </w:r>
    </w:p>
    <w:p w:rsidR="001547EF" w:rsidRDefault="001547EF" w:rsidP="004534E0">
      <w:pPr>
        <w:spacing w:line="276" w:lineRule="auto"/>
        <w:jc w:val="both"/>
        <w:rPr>
          <w:rFonts w:cs="Times New Roman"/>
        </w:rPr>
      </w:pPr>
      <w:r w:rsidRPr="004B0A08">
        <w:rPr>
          <w:rFonts w:cs="Times New Roman"/>
          <w:b/>
          <w:i/>
        </w:rPr>
        <w:t>A</w:t>
      </w:r>
      <w:r w:rsidR="007F2F9C" w:rsidRPr="004B0A08">
        <w:rPr>
          <w:rFonts w:cs="Times New Roman"/>
          <w:b/>
          <w:i/>
        </w:rPr>
        <w:t>dministrative and technical capabilities of water institutions are seriously constrained.</w:t>
      </w:r>
      <w:r w:rsidR="007F2F9C">
        <w:rPr>
          <w:rFonts w:cs="Times New Roman"/>
        </w:rPr>
        <w:t xml:space="preserve"> </w:t>
      </w:r>
    </w:p>
    <w:p w:rsidR="007F2F9C" w:rsidRDefault="007F2F9C" w:rsidP="004534E0">
      <w:pPr>
        <w:spacing w:line="276" w:lineRule="auto"/>
        <w:jc w:val="both"/>
        <w:rPr>
          <w:rFonts w:cs="Times New Roman"/>
        </w:rPr>
      </w:pPr>
      <w:r>
        <w:rPr>
          <w:rFonts w:cs="Times New Roman"/>
        </w:rPr>
        <w:t>For example, the BWDB</w:t>
      </w:r>
      <w:r w:rsidRPr="006A1BAC">
        <w:rPr>
          <w:rFonts w:cs="Times New Roman"/>
        </w:rPr>
        <w:t xml:space="preserve"> continues to follow a response-based appro</w:t>
      </w:r>
      <w:r>
        <w:rPr>
          <w:rFonts w:cs="Times New Roman"/>
        </w:rPr>
        <w:t>ach rather than seeking a long-te</w:t>
      </w:r>
      <w:r w:rsidRPr="006A1BAC">
        <w:rPr>
          <w:rFonts w:cs="Times New Roman"/>
        </w:rPr>
        <w:t>rm, sustainable solution to floods and erosion. Th</w:t>
      </w:r>
      <w:r>
        <w:rPr>
          <w:rFonts w:cs="Times New Roman"/>
        </w:rPr>
        <w:t>e effectiveness has been limited by</w:t>
      </w:r>
      <w:r w:rsidRPr="006A1BAC">
        <w:rPr>
          <w:rFonts w:cs="Times New Roman"/>
        </w:rPr>
        <w:t xml:space="preserve"> poor designs, insufficient maintenance, failure due to river erosion, and limited long-term planning. Current management practices are also inflexible in dealing with the dynamic nature of the river system and adapting to climate change. This has increased the vulnerability to flood disasters and undermined opportunities to safeguard economic development.</w:t>
      </w:r>
      <w:r>
        <w:rPr>
          <w:rFonts w:cs="Times New Roman"/>
        </w:rPr>
        <w:t xml:space="preserve">  </w:t>
      </w:r>
    </w:p>
    <w:p w:rsidR="007F2F9C" w:rsidRPr="004B0A08" w:rsidRDefault="007F2F9C" w:rsidP="004534E0">
      <w:pPr>
        <w:spacing w:line="276" w:lineRule="auto"/>
        <w:jc w:val="both"/>
        <w:rPr>
          <w:rFonts w:cs="Times New Roman"/>
          <w:i/>
        </w:rPr>
      </w:pPr>
      <w:r w:rsidRPr="004B0A08">
        <w:rPr>
          <w:rFonts w:cs="Times New Roman"/>
          <w:i/>
        </w:rPr>
        <w:t xml:space="preserve">WARPO has been assigned the </w:t>
      </w:r>
      <w:r w:rsidR="00065D01" w:rsidRPr="004B0A08">
        <w:rPr>
          <w:rFonts w:cs="Times New Roman"/>
          <w:i/>
        </w:rPr>
        <w:t>all-important</w:t>
      </w:r>
      <w:r w:rsidRPr="004B0A08">
        <w:rPr>
          <w:rFonts w:cs="Times New Roman"/>
          <w:i/>
        </w:rPr>
        <w:t xml:space="preserve"> role of macro water planning but its capacity to do this effectively </w:t>
      </w:r>
      <w:r w:rsidR="00967224">
        <w:rPr>
          <w:rFonts w:cs="Times New Roman"/>
          <w:i/>
        </w:rPr>
        <w:t xml:space="preserve">appears </w:t>
      </w:r>
      <w:r w:rsidRPr="004B0A08">
        <w:rPr>
          <w:rFonts w:cs="Times New Roman"/>
          <w:i/>
        </w:rPr>
        <w:t>weak.  Much of the water research is on engineering and physical aspects of water flows and environmental impact. The economics of water management and related climate change in terms of effects on output, employment and poverty are not well understood or researched. Issues of institutional reforms, investment requirements and financing options similarly are not well understood or analyzed in a coordinated manner. A national water plan was last prepared in 2001.  The plan has not been meaningfully implemented and remains to be updated, reflecting both the capacity constraint in WARPO and also the slowness of institutional change in Bangladesh.  So, it is obvious that converting WARPO into an effective macro water policy institution</w:t>
      </w:r>
      <w:r w:rsidR="00967224">
        <w:rPr>
          <w:rFonts w:cs="Times New Roman"/>
          <w:i/>
        </w:rPr>
        <w:t xml:space="preserve"> yet remains</w:t>
      </w:r>
      <w:r w:rsidRPr="004B0A08">
        <w:rPr>
          <w:rFonts w:cs="Times New Roman"/>
          <w:i/>
        </w:rPr>
        <w:t xml:space="preserve"> </w:t>
      </w:r>
      <w:r w:rsidR="00967224">
        <w:rPr>
          <w:rFonts w:cs="Times New Roman"/>
          <w:i/>
        </w:rPr>
        <w:t xml:space="preserve">as </w:t>
      </w:r>
      <w:r w:rsidRPr="004B0A08">
        <w:rPr>
          <w:rFonts w:cs="Times New Roman"/>
          <w:i/>
        </w:rPr>
        <w:t>a huge challenge.</w:t>
      </w:r>
    </w:p>
    <w:p w:rsidR="001547EF" w:rsidRPr="00215182" w:rsidRDefault="001547EF" w:rsidP="004534E0">
      <w:pPr>
        <w:spacing w:line="276" w:lineRule="auto"/>
        <w:jc w:val="both"/>
        <w:rPr>
          <w:rFonts w:cs="Times New Roman"/>
          <w:b/>
          <w:i/>
        </w:rPr>
      </w:pPr>
      <w:r w:rsidRPr="00215182">
        <w:rPr>
          <w:rFonts w:cs="Times New Roman"/>
          <w:b/>
          <w:i/>
        </w:rPr>
        <w:lastRenderedPageBreak/>
        <w:t>Absence of separation of implementation from regulation and (compliance) monitoring</w:t>
      </w:r>
    </w:p>
    <w:p w:rsidR="007F2F9C" w:rsidRDefault="00EA4E38" w:rsidP="004534E0">
      <w:pPr>
        <w:spacing w:line="276" w:lineRule="auto"/>
        <w:jc w:val="both"/>
        <w:rPr>
          <w:rFonts w:cs="Times New Roman"/>
        </w:rPr>
      </w:pPr>
      <w:r w:rsidRPr="004B0A08">
        <w:rPr>
          <w:rFonts w:cs="Times New Roman"/>
          <w:i/>
        </w:rPr>
        <w:t>A general</w:t>
      </w:r>
      <w:r w:rsidR="007F2F9C" w:rsidRPr="004B0A08">
        <w:rPr>
          <w:rFonts w:cs="Times New Roman"/>
          <w:i/>
        </w:rPr>
        <w:t xml:space="preserve"> principle that has become a global norm in water and sanitation is the separation of implementation from regulation and (compliance) monitoring, at least in so far as the functions are performed in the same geographical area.</w:t>
      </w:r>
      <w:r w:rsidR="007F2F9C" w:rsidRPr="00BB181A">
        <w:rPr>
          <w:rFonts w:cs="Times New Roman"/>
        </w:rPr>
        <w:t xml:space="preserve"> </w:t>
      </w:r>
      <w:r w:rsidR="007F2F9C">
        <w:rPr>
          <w:rFonts w:cs="Times New Roman"/>
        </w:rPr>
        <w:t>This consideration is missing in Bangladesh. For example, c</w:t>
      </w:r>
      <w:r w:rsidR="007F2F9C" w:rsidRPr="00BB181A">
        <w:rPr>
          <w:rFonts w:cs="Times New Roman"/>
        </w:rPr>
        <w:t xml:space="preserve">urrently there is no organization with dedicated responsibility for groundwater management, and such expertise as exists is thinly scattered between DPHE, BWDB, </w:t>
      </w:r>
      <w:r w:rsidR="007F2F9C" w:rsidRPr="00F25DE1">
        <w:rPr>
          <w:rFonts w:cs="Times New Roman"/>
        </w:rPr>
        <w:t>BADC</w:t>
      </w:r>
      <w:r w:rsidR="007F2F9C">
        <w:rPr>
          <w:rFonts w:cs="Times New Roman"/>
        </w:rPr>
        <w:t xml:space="preserve"> etc. </w:t>
      </w:r>
      <w:r w:rsidR="007F2F9C" w:rsidRPr="00BB181A">
        <w:rPr>
          <w:rFonts w:cs="Times New Roman"/>
        </w:rPr>
        <w:t xml:space="preserve"> Resolving such a question would require, inter alia, considering what types of function are to be assigned.</w:t>
      </w:r>
      <w:r w:rsidR="007F2F9C" w:rsidRPr="00B518BF">
        <w:rPr>
          <w:rFonts w:cs="Times New Roman"/>
        </w:rPr>
        <w:t xml:space="preserve"> Some form of abstraction licensing is required, at least in Water Stressed Areas. Currently there is no agency ideally suited in terms of skills, conflicts with existing functions and geographical spread to undertake the administration of licensing. In the context of the various new responsibilities that have been created under the Local Government and WASA acts, there may be a need to clarify the role and responsibilities of DPHE through the bye-laws to be established.</w:t>
      </w:r>
    </w:p>
    <w:p w:rsidR="001547EF" w:rsidRPr="00215182" w:rsidRDefault="001547EF" w:rsidP="00215182">
      <w:pPr>
        <w:spacing w:line="276" w:lineRule="auto"/>
        <w:jc w:val="both"/>
        <w:rPr>
          <w:rFonts w:cs="Times New Roman"/>
          <w:b/>
          <w:i/>
        </w:rPr>
      </w:pPr>
      <w:r w:rsidRPr="00215182">
        <w:rPr>
          <w:rFonts w:cs="Times New Roman"/>
          <w:b/>
          <w:i/>
        </w:rPr>
        <w:t xml:space="preserve">Capacity constraints in water agencies, similar constraints in other Delta agencies </w:t>
      </w:r>
    </w:p>
    <w:p w:rsidR="007F2F9C" w:rsidRPr="004B0A08" w:rsidRDefault="001547EF" w:rsidP="004534E0">
      <w:pPr>
        <w:spacing w:line="276" w:lineRule="auto"/>
        <w:jc w:val="both"/>
        <w:rPr>
          <w:rFonts w:cs="Times New Roman"/>
          <w:i/>
        </w:rPr>
      </w:pPr>
      <w:r>
        <w:rPr>
          <w:rFonts w:cs="Times New Roman"/>
        </w:rPr>
        <w:t>T</w:t>
      </w:r>
      <w:r w:rsidR="007F2F9C">
        <w:rPr>
          <w:rFonts w:cs="Times New Roman"/>
        </w:rPr>
        <w:t>he implementation of the 201</w:t>
      </w:r>
      <w:r w:rsidR="00C00776">
        <w:rPr>
          <w:rFonts w:cs="Times New Roman"/>
        </w:rPr>
        <w:t>3 NWA and even the 1999 NWP has</w:t>
      </w:r>
      <w:r w:rsidR="007F2F9C">
        <w:rPr>
          <w:rFonts w:cs="Times New Roman"/>
        </w:rPr>
        <w:t xml:space="preserve"> still a long way to go.  In addition to the capacity constraints in water agencies, capacities are similarly constrained in other Delta agencies (e.g. Ministries of Agriculture, Environment and</w:t>
      </w:r>
      <w:r>
        <w:rPr>
          <w:rFonts w:cs="Times New Roman"/>
        </w:rPr>
        <w:t xml:space="preserve"> Forests</w:t>
      </w:r>
      <w:r w:rsidR="007F2F9C">
        <w:rPr>
          <w:rFonts w:cs="Times New Roman"/>
        </w:rPr>
        <w:t xml:space="preserve">, Shipping, Land and Fisheries </w:t>
      </w:r>
      <w:r w:rsidR="00EA4E38">
        <w:rPr>
          <w:rFonts w:cs="Times New Roman"/>
        </w:rPr>
        <w:t>and Livestock</w:t>
      </w:r>
      <w:r w:rsidR="007F2F9C">
        <w:rPr>
          <w:rFonts w:cs="Times New Roman"/>
        </w:rPr>
        <w:t xml:space="preserve">).  </w:t>
      </w:r>
      <w:r w:rsidR="00C00776">
        <w:rPr>
          <w:rFonts w:cs="Times New Roman"/>
        </w:rPr>
        <w:t xml:space="preserve">  </w:t>
      </w:r>
      <w:r w:rsidR="00C00776" w:rsidRPr="004B0A08">
        <w:rPr>
          <w:rFonts w:cs="Times New Roman"/>
          <w:i/>
        </w:rPr>
        <w:t>Capacity constraint</w:t>
      </w:r>
      <w:r w:rsidR="007F2F9C" w:rsidRPr="004B0A08">
        <w:rPr>
          <w:rFonts w:cs="Times New Roman"/>
          <w:i/>
        </w:rPr>
        <w:t xml:space="preserve"> in all Delta policy making institutions is a critical constraint to implementing the 2013 NWA.  Additionally, WARPO and similar institutions in other delta ministries tend to work in isolation. The coordination guidance from NWRC and ECNWRC for inter-ministerial institutions to work together is either missing, weak or ineffective. This is an important challenge that needs to be addressed. </w:t>
      </w:r>
    </w:p>
    <w:p w:rsidR="001547EF" w:rsidRPr="00215182" w:rsidRDefault="001547EF" w:rsidP="004534E0">
      <w:pPr>
        <w:spacing w:line="276" w:lineRule="auto"/>
        <w:jc w:val="both"/>
        <w:rPr>
          <w:rFonts w:cs="Times New Roman"/>
          <w:b/>
          <w:i/>
        </w:rPr>
      </w:pPr>
      <w:r w:rsidRPr="00215182">
        <w:rPr>
          <w:rFonts w:cs="Times New Roman"/>
          <w:b/>
          <w:i/>
        </w:rPr>
        <w:t>Community participation in water management</w:t>
      </w:r>
    </w:p>
    <w:p w:rsidR="007F2F9C" w:rsidRDefault="001547EF" w:rsidP="004534E0">
      <w:pPr>
        <w:spacing w:line="276" w:lineRule="auto"/>
        <w:jc w:val="both"/>
        <w:rPr>
          <w:rFonts w:cs="Times New Roman"/>
        </w:rPr>
      </w:pPr>
      <w:r w:rsidRPr="004B0A08">
        <w:rPr>
          <w:rFonts w:cs="Times New Roman"/>
          <w:i/>
        </w:rPr>
        <w:t>A</w:t>
      </w:r>
      <w:r w:rsidR="007F2F9C" w:rsidRPr="004B0A08">
        <w:rPr>
          <w:rFonts w:cs="Times New Roman"/>
          <w:i/>
        </w:rPr>
        <w:t xml:space="preserve"> key lesson from international delta experiences is the importance of community participation in water management. This is a major problem area for Bangladesh.</w:t>
      </w:r>
      <w:r w:rsidR="007F2F9C">
        <w:rPr>
          <w:rFonts w:cs="Times New Roman"/>
        </w:rPr>
        <w:t xml:space="preserve"> </w:t>
      </w:r>
      <w:r w:rsidR="007F2F9C" w:rsidRPr="004B0A08">
        <w:rPr>
          <w:rFonts w:cs="Times New Roman"/>
          <w:i/>
        </w:rPr>
        <w:t>Historically, Bangladesh has pursued a top down engineering approach to water management.</w:t>
      </w:r>
      <w:r w:rsidR="007F2F9C">
        <w:rPr>
          <w:rFonts w:cs="Times New Roman"/>
        </w:rPr>
        <w:t xml:space="preserve"> Large water schemes such as polders and river embankments have been installed in many parts of the country with little or no community involvement.  Participatory approaches inducted by agencies supporting these investments were simply add-ons with no sustainable gains.  The results, as noted in chapter 7, have been a serious loss of productivity from these major investments.  </w:t>
      </w:r>
    </w:p>
    <w:p w:rsidR="00C80DD4" w:rsidRDefault="007F2F9C" w:rsidP="004534E0">
      <w:pPr>
        <w:spacing w:line="276" w:lineRule="auto"/>
        <w:jc w:val="both"/>
        <w:rPr>
          <w:rFonts w:cs="Times New Roman"/>
        </w:rPr>
      </w:pPr>
      <w:r>
        <w:rPr>
          <w:rFonts w:cs="Times New Roman"/>
        </w:rPr>
        <w:t>The Government has recognized this policy gap for a long period of time.  The 1999 NWP provides policy directions for community involvement in water management.  The MoWR established an inter-agency task force to establish guidelines for participatory water management.  The task force comprised of staff from BWDB, LGED, WARPO and professional people representing engineers, economists, gender specialists, agronomists, sociologists, resource planners and fisheries</w:t>
      </w:r>
      <w:r w:rsidR="00967224">
        <w:rPr>
          <w:rFonts w:cs="Times New Roman"/>
        </w:rPr>
        <w:t xml:space="preserve"> experts</w:t>
      </w:r>
      <w:r>
        <w:rPr>
          <w:rFonts w:cs="Times New Roman"/>
        </w:rPr>
        <w:t xml:space="preserve">. The draft guidelines were circulated to professionals and </w:t>
      </w:r>
      <w:r>
        <w:rPr>
          <w:rFonts w:cs="Times New Roman"/>
        </w:rPr>
        <w:lastRenderedPageBreak/>
        <w:t>stakeholders at a national worksho</w:t>
      </w:r>
      <w:r w:rsidR="001D71BD">
        <w:rPr>
          <w:rFonts w:cs="Times New Roman"/>
        </w:rPr>
        <w:t>p in May 2000. The guideline,</w:t>
      </w:r>
      <w:r>
        <w:rPr>
          <w:rFonts w:cs="Times New Roman"/>
        </w:rPr>
        <w:t xml:space="preserve"> known as "Guidelines for Par</w:t>
      </w:r>
      <w:r w:rsidR="001D71BD">
        <w:rPr>
          <w:rFonts w:cs="Times New Roman"/>
        </w:rPr>
        <w:t>ticipatory Water Management", was</w:t>
      </w:r>
      <w:r>
        <w:rPr>
          <w:rFonts w:cs="Times New Roman"/>
        </w:rPr>
        <w:t xml:space="preserve"> adopted as the official guidelines and is currently </w:t>
      </w:r>
      <w:r w:rsidR="001547EF">
        <w:rPr>
          <w:rFonts w:cs="Times New Roman"/>
        </w:rPr>
        <w:t xml:space="preserve">the basis for the Rule on Participatory Water Management (2015). </w:t>
      </w:r>
      <w:r>
        <w:rPr>
          <w:rFonts w:cs="Times New Roman"/>
        </w:rPr>
        <w:t xml:space="preserve">Despite this effort the results are not encouraging. Effectively, there is very little meaningful participatory approach to water management. More radical approaches </w:t>
      </w:r>
      <w:r w:rsidR="001547EF">
        <w:rPr>
          <w:rFonts w:cs="Times New Roman"/>
        </w:rPr>
        <w:t xml:space="preserve">that </w:t>
      </w:r>
      <w:r>
        <w:rPr>
          <w:rFonts w:cs="Times New Roman"/>
        </w:rPr>
        <w:t xml:space="preserve">go beyond specific project and instead give local government institutions and associated communities a voice in water decisions at the national level is needed. </w:t>
      </w:r>
    </w:p>
    <w:p w:rsidR="007F2F9C" w:rsidRPr="00215182" w:rsidRDefault="00C80DD4" w:rsidP="004534E0">
      <w:pPr>
        <w:spacing w:line="276" w:lineRule="auto"/>
        <w:jc w:val="both"/>
        <w:rPr>
          <w:rFonts w:cs="Times New Roman"/>
          <w:b/>
          <w:i/>
        </w:rPr>
      </w:pPr>
      <w:r w:rsidRPr="00215182">
        <w:rPr>
          <w:rFonts w:cs="Times New Roman"/>
          <w:b/>
          <w:i/>
        </w:rPr>
        <w:t>Research and knowledge agenda</w:t>
      </w:r>
      <w:r w:rsidR="007F2F9C" w:rsidRPr="00215182">
        <w:rPr>
          <w:rFonts w:cs="Times New Roman"/>
          <w:b/>
          <w:i/>
        </w:rPr>
        <w:t xml:space="preserve"> </w:t>
      </w:r>
    </w:p>
    <w:p w:rsidR="007F2F9C" w:rsidRDefault="00C80DD4" w:rsidP="004534E0">
      <w:pPr>
        <w:spacing w:line="276" w:lineRule="auto"/>
        <w:jc w:val="both"/>
        <w:rPr>
          <w:rFonts w:cs="Times New Roman"/>
        </w:rPr>
      </w:pPr>
      <w:r>
        <w:rPr>
          <w:rFonts w:cs="Times New Roman"/>
        </w:rPr>
        <w:t>R</w:t>
      </w:r>
      <w:r w:rsidR="007F2F9C">
        <w:rPr>
          <w:rFonts w:cs="Times New Roman"/>
        </w:rPr>
        <w:t xml:space="preserve">esearch and knowledge agenda that is critical input for adaptive delta management is not well organized in Bangladesh.  The major research on delta related issues are done by only two ministries: the MoWR and the MoA.  Both have dedicated research institutions. MoWR concentrates on water research and MoA on agriculture research including soil technology.  Research agencies do their research based on their own interests. Joint or interactive research that is critical to understand the impact of climate change on agricultural productivity and vulnerability, for example, is not done. Importantly there is no concept of a delta knowledge bank.  As a result, global research as well as local research done in the private sector including in universities on various delta issues are not well known or disseminated for policy use. Consequently, there is a huge knowledge gap on delta vulnerabilities, challenges, institutions, outlook and solutions that remains unaddressed.  </w:t>
      </w:r>
    </w:p>
    <w:p w:rsidR="00C80DD4" w:rsidRPr="00215182" w:rsidRDefault="00C80DD4" w:rsidP="004534E0">
      <w:pPr>
        <w:spacing w:line="276" w:lineRule="auto"/>
        <w:jc w:val="both"/>
        <w:rPr>
          <w:rFonts w:cs="Times New Roman"/>
          <w:b/>
          <w:i/>
        </w:rPr>
      </w:pPr>
      <w:r w:rsidRPr="00215182">
        <w:rPr>
          <w:rFonts w:cs="Times New Roman"/>
          <w:b/>
          <w:i/>
        </w:rPr>
        <w:t>Gap in monitoring and evaluation (M&amp;E) of water and other delta issues</w:t>
      </w:r>
    </w:p>
    <w:p w:rsidR="007F2F9C" w:rsidRDefault="007F2F9C" w:rsidP="004534E0">
      <w:pPr>
        <w:spacing w:line="276" w:lineRule="auto"/>
        <w:jc w:val="both"/>
        <w:rPr>
          <w:rFonts w:cs="Times New Roman"/>
        </w:rPr>
      </w:pPr>
      <w:r>
        <w:rPr>
          <w:rFonts w:cs="Times New Roman"/>
        </w:rPr>
        <w:t xml:space="preserve">Another major gap is monitoring and evaluation (M&amp;E) of water and other delta programmes.  Given considerable uncertainties associated with climate change, river course movements and behavior of sea and occurrence of natural disasters, adaptive delta management is necessary. The successful management of water as an integrated service and proper understanding of the progress, risks and vulnerabilities going forward is at the heart of developing appropriate responses in the context adaptive  delta management responses to these risks and uncertainties.  Without a </w:t>
      </w:r>
      <w:r w:rsidR="00065D01">
        <w:rPr>
          <w:rFonts w:cs="Times New Roman"/>
        </w:rPr>
        <w:t>well-developed</w:t>
      </w:r>
      <w:r>
        <w:rPr>
          <w:rFonts w:cs="Times New Roman"/>
        </w:rPr>
        <w:t xml:space="preserve"> M&amp;E system and a systematic approach to data collection, updating and research, adaptive delta management will be impossible.  This is a huge institutional gap in Bangladesh.</w:t>
      </w:r>
    </w:p>
    <w:p w:rsidR="00C80DD4" w:rsidRPr="00215182" w:rsidRDefault="00C80DD4" w:rsidP="004534E0">
      <w:pPr>
        <w:spacing w:line="276" w:lineRule="auto"/>
        <w:jc w:val="both"/>
        <w:rPr>
          <w:rFonts w:cs="Times New Roman"/>
          <w:b/>
          <w:i/>
        </w:rPr>
      </w:pPr>
      <w:r w:rsidRPr="00215182">
        <w:rPr>
          <w:rFonts w:cs="Times New Roman"/>
          <w:b/>
          <w:i/>
        </w:rPr>
        <w:t>Coordinated approach to adaptive planning of delta issues related investments</w:t>
      </w:r>
    </w:p>
    <w:p w:rsidR="007F2F9C" w:rsidRDefault="00EA4E38" w:rsidP="004534E0">
      <w:pPr>
        <w:spacing w:line="276" w:lineRule="auto"/>
        <w:jc w:val="both"/>
        <w:rPr>
          <w:rFonts w:cs="Times New Roman"/>
          <w:szCs w:val="24"/>
        </w:rPr>
      </w:pPr>
      <w:r>
        <w:rPr>
          <w:rFonts w:cs="Times New Roman"/>
          <w:szCs w:val="24"/>
        </w:rPr>
        <w:t>Another area</w:t>
      </w:r>
      <w:r w:rsidR="007F2F9C">
        <w:rPr>
          <w:rFonts w:cs="Times New Roman"/>
          <w:szCs w:val="24"/>
        </w:rPr>
        <w:t xml:space="preserve"> of concern is coordinated approach to planning water investments, setting investment priorities and arranging financing.  Resources in Bangladesh will remain limited and a best effort will be needed to establish the priority to be given to the delta agenda, mobilizing appropriate resources and ensuring their best use in the context of the agreed delta strategy. Non-development budget (non-investment financing) is provided by the Ministry of Finance on an annual basis based on a dialogue with concerned line Ministries.  More recently, efforts are </w:t>
      </w:r>
      <w:r w:rsidR="007F2F9C">
        <w:rPr>
          <w:rFonts w:cs="Times New Roman"/>
          <w:szCs w:val="24"/>
        </w:rPr>
        <w:lastRenderedPageBreak/>
        <w:t xml:space="preserve">underway to do multi-year budgeting and introduce programme based budgeting in the context of a </w:t>
      </w:r>
      <w:r w:rsidR="009248D8">
        <w:rPr>
          <w:rFonts w:cs="Times New Roman"/>
          <w:szCs w:val="24"/>
        </w:rPr>
        <w:t>Medium</w:t>
      </w:r>
      <w:r w:rsidR="007F2F9C">
        <w:rPr>
          <w:rFonts w:cs="Times New Roman"/>
          <w:szCs w:val="24"/>
        </w:rPr>
        <w:t>-</w:t>
      </w:r>
      <w:r w:rsidR="009248D8">
        <w:rPr>
          <w:rFonts w:cs="Times New Roman"/>
          <w:szCs w:val="24"/>
        </w:rPr>
        <w:t xml:space="preserve">Term Budgetary Framework </w:t>
      </w:r>
      <w:r w:rsidR="007F2F9C">
        <w:rPr>
          <w:rFonts w:cs="Times New Roman"/>
          <w:szCs w:val="24"/>
        </w:rPr>
        <w:t>(MTBF). De-facto though, the budget funding remains an annual feature with no carryovers, the sharp distinction between non-development and development budget prevails</w:t>
      </w:r>
      <w:r w:rsidR="009248D8">
        <w:rPr>
          <w:rFonts w:cs="Times New Roman"/>
          <w:szCs w:val="24"/>
        </w:rPr>
        <w:t xml:space="preserve">. </w:t>
      </w:r>
      <w:r w:rsidR="007F2F9C">
        <w:rPr>
          <w:rFonts w:cs="Times New Roman"/>
          <w:szCs w:val="24"/>
        </w:rPr>
        <w:t xml:space="preserve">An attempt towards integrated water investment programming was made in the context of 2001/4 National Water management Plan (NWMP) that developed a medium-term programme for water investment and capacity building in the context of achieving some well-defined strategic objectives.  This was a significant step forward but the NWMP has remained unimplemented.  There was no commitment or buy in from the line ministries or the central planning and financial agencies. The NWMP also did not make any effort to identify the possible sources of finance or relate this plan to available resource envelope and realism of the investment plan.  </w:t>
      </w:r>
    </w:p>
    <w:p w:rsidR="007F2F9C" w:rsidRDefault="007F2F9C" w:rsidP="004534E0">
      <w:pPr>
        <w:spacing w:line="276" w:lineRule="auto"/>
        <w:jc w:val="both"/>
        <w:rPr>
          <w:rFonts w:cs="Times New Roman"/>
          <w:szCs w:val="24"/>
        </w:rPr>
      </w:pPr>
      <w:r>
        <w:rPr>
          <w:rFonts w:cs="Times New Roman"/>
          <w:szCs w:val="24"/>
        </w:rPr>
        <w:t>Consequently, water investments remain fragmented based on priorities set by the concerned line Ministry.  There is no effort to check out the consistency of the approved water investments against the targets of NWMP or any other integrated water investment strategy.  Funding allocations are biased in favor of new projects and the balance between investment and O&amp;M is not a policy factor in funding allocations. There is a long wish list of investments by each water-related ministries and competition drives self-interest behavior as an important factor in influencing the political economy of investment decisions rather than the potential contribution to addressing water benefits and mitigating or adapting to water risks and vulnerabilities.</w:t>
      </w:r>
    </w:p>
    <w:p w:rsidR="00C80DD4" w:rsidRPr="00215182" w:rsidRDefault="00C80DD4" w:rsidP="004534E0">
      <w:pPr>
        <w:spacing w:line="276" w:lineRule="auto"/>
        <w:jc w:val="both"/>
        <w:rPr>
          <w:rFonts w:cs="Times New Roman"/>
          <w:b/>
          <w:i/>
          <w:szCs w:val="24"/>
        </w:rPr>
      </w:pPr>
      <w:r w:rsidRPr="00215182">
        <w:rPr>
          <w:rFonts w:cs="Times New Roman"/>
          <w:b/>
          <w:i/>
          <w:szCs w:val="24"/>
        </w:rPr>
        <w:t xml:space="preserve">Inadequate </w:t>
      </w:r>
      <w:r w:rsidR="00F64A6A" w:rsidRPr="00F64A6A">
        <w:rPr>
          <w:b/>
          <w:i/>
        </w:rPr>
        <w:t>public</w:t>
      </w:r>
      <w:r w:rsidRPr="00215182">
        <w:rPr>
          <w:rFonts w:cs="Times New Roman"/>
          <w:b/>
          <w:i/>
          <w:szCs w:val="24"/>
        </w:rPr>
        <w:t>-private partnership</w:t>
      </w:r>
    </w:p>
    <w:p w:rsidR="007F2F9C" w:rsidRDefault="007F2F9C" w:rsidP="004534E0">
      <w:pPr>
        <w:spacing w:line="276" w:lineRule="auto"/>
        <w:jc w:val="both"/>
        <w:rPr>
          <w:rFonts w:cs="Times New Roman"/>
          <w:szCs w:val="24"/>
        </w:rPr>
      </w:pPr>
      <w:r>
        <w:rPr>
          <w:rFonts w:cs="Times New Roman"/>
          <w:szCs w:val="24"/>
        </w:rPr>
        <w:t xml:space="preserve">A final area of concern is the under-developed </w:t>
      </w:r>
      <w:r w:rsidR="000B096E">
        <w:t>public</w:t>
      </w:r>
      <w:r>
        <w:rPr>
          <w:rFonts w:cs="Times New Roman"/>
          <w:szCs w:val="24"/>
        </w:rPr>
        <w:t xml:space="preserve">-private partnership in water investments. The government has a long-standing interest in developing private participation in water management.  The main success has been achieved in the area of providing mechanized deep tube wells in rural areas for irrigation. Private provision is also dominant in rural water supply, in terms of family- owned hand-pump tube wells to lift water for drinking and household use and sale of water by small scale private providers.  In urban areas, organized water supply is undertaken by </w:t>
      </w:r>
      <w:r w:rsidR="000B096E">
        <w:t>public</w:t>
      </w:r>
      <w:r>
        <w:rPr>
          <w:rFonts w:cs="Times New Roman"/>
          <w:szCs w:val="24"/>
        </w:rPr>
        <w:t xml:space="preserve"> entities (WASAs; city governments; pourashavas). As in rural areas, owner-installed mechanized water pumps and hand tube wells also exist in urban areas where piped water is either not available or available for only a limited number of hours. </w:t>
      </w:r>
    </w:p>
    <w:p w:rsidR="007F2F9C" w:rsidRDefault="007F2F9C" w:rsidP="004534E0">
      <w:pPr>
        <w:spacing w:line="276" w:lineRule="auto"/>
        <w:jc w:val="both"/>
        <w:rPr>
          <w:rFonts w:cs="Times New Roman"/>
          <w:szCs w:val="24"/>
        </w:rPr>
      </w:pPr>
      <w:r>
        <w:rPr>
          <w:rFonts w:cs="Times New Roman"/>
          <w:szCs w:val="24"/>
        </w:rPr>
        <w:t xml:space="preserve">In recent years the government has been partnering with donor groups and NGOs to provide piped water to rural areas and to improve sanitation services in the rural areas by building markets for rural sanitation.  The piped water issue has become particularly important because of arsenic contamination in water extract from hand-pump based shallow tube wells.    The limited experience with providing piped water is too early to call, but greater success has been achieved on the rural sanitation front.  The Steps for Sustainable Sanitation Services (4S) project of the Water Supply Program of the World Bank (WSP-WB) piloted the approach in 5 villages in 2009.  </w:t>
      </w:r>
      <w:r>
        <w:rPr>
          <w:rFonts w:cs="Times New Roman"/>
          <w:szCs w:val="24"/>
        </w:rPr>
        <w:lastRenderedPageBreak/>
        <w:t xml:space="preserve">Since then the approach has been expanded to many parts of rural Bangladesh in collaboration with small scale sanitation entrepreneurs and microfinance institutions.  </w:t>
      </w:r>
    </w:p>
    <w:p w:rsidR="009A4EB2" w:rsidRPr="00C00776" w:rsidRDefault="007F2F9C" w:rsidP="00C00776">
      <w:pPr>
        <w:spacing w:line="276" w:lineRule="auto"/>
        <w:jc w:val="both"/>
        <w:rPr>
          <w:rFonts w:cs="Times New Roman"/>
          <w:szCs w:val="24"/>
        </w:rPr>
      </w:pPr>
      <w:r>
        <w:rPr>
          <w:rFonts w:cs="Times New Roman"/>
          <w:szCs w:val="24"/>
        </w:rPr>
        <w:t xml:space="preserve">On the whole, there is a large untapped potential to augment private water supply in urban and rural areas for household use, for commercial use and also for irrigation purposes.  Establishment </w:t>
      </w:r>
      <w:r w:rsidR="009A4EB2">
        <w:rPr>
          <w:rFonts w:cs="Times New Roman"/>
          <w:szCs w:val="24"/>
        </w:rPr>
        <w:t>of well</w:t>
      </w:r>
      <w:r>
        <w:rPr>
          <w:rFonts w:cs="Times New Roman"/>
          <w:szCs w:val="24"/>
        </w:rPr>
        <w:t xml:space="preserve">-functioning water markets where private provision of water and sanitation in both urban and rural areas and for trading irrigation water can function </w:t>
      </w:r>
      <w:r w:rsidR="00065D01">
        <w:rPr>
          <w:rFonts w:cs="Times New Roman"/>
          <w:szCs w:val="24"/>
        </w:rPr>
        <w:t>alongside</w:t>
      </w:r>
      <w:r>
        <w:rPr>
          <w:rFonts w:cs="Times New Roman"/>
          <w:szCs w:val="24"/>
        </w:rPr>
        <w:t xml:space="preserve"> with </w:t>
      </w:r>
      <w:r w:rsidR="000B096E">
        <w:t>public</w:t>
      </w:r>
      <w:r>
        <w:rPr>
          <w:rFonts w:cs="Times New Roman"/>
          <w:szCs w:val="24"/>
        </w:rPr>
        <w:t xml:space="preserve"> supply can be an important way to expand services to unserved areas and augment financial</w:t>
      </w:r>
      <w:r w:rsidR="00C00776">
        <w:rPr>
          <w:rFonts w:cs="Times New Roman"/>
          <w:szCs w:val="24"/>
        </w:rPr>
        <w:t xml:space="preserve"> resources in the water sector.</w:t>
      </w:r>
    </w:p>
    <w:p w:rsidR="00F64A6A" w:rsidRDefault="007F2F9C" w:rsidP="00F64A6A">
      <w:pPr>
        <w:pStyle w:val="Heading2"/>
        <w:numPr>
          <w:ilvl w:val="0"/>
          <w:numId w:val="0"/>
        </w:numPr>
        <w:ind w:left="1080"/>
      </w:pPr>
      <w:bookmarkStart w:id="888" w:name="_Toc474638946"/>
      <w:r w:rsidRPr="00802BCE">
        <w:t>Reform of Governance and Institutions for Adaptive Delta Management</w:t>
      </w:r>
      <w:bookmarkEnd w:id="888"/>
    </w:p>
    <w:p w:rsidR="007F2F9C" w:rsidRDefault="007F2F9C" w:rsidP="004534E0">
      <w:pPr>
        <w:spacing w:line="276" w:lineRule="auto"/>
        <w:jc w:val="both"/>
        <w:rPr>
          <w:rFonts w:cs="Times New Roman"/>
          <w:szCs w:val="24"/>
        </w:rPr>
      </w:pPr>
      <w:r>
        <w:rPr>
          <w:rFonts w:cs="Times New Roman"/>
          <w:szCs w:val="24"/>
        </w:rPr>
        <w:t xml:space="preserve">Establishing effective governance and institutions for adaptive Delta management is obviously a huge challenge. The Adoption of the 2013 NWA is however a major positive step forward in providing the legal framework for establishing the required institutional arrangements.  It is a solid starting point that can be modified appropriately in light of good practice international experience to serve the needs of the Delta Plan.  In this regard, Bangladesh can also learn from the experiences of other delta countries, especially from the experience of the Netherlands that arguably has moved the farthest in establishing a well-thought and effective delta governance and institutional framework. </w:t>
      </w:r>
    </w:p>
    <w:p w:rsidR="007F2F9C" w:rsidRDefault="007F2F9C" w:rsidP="004534E0">
      <w:pPr>
        <w:spacing w:line="276" w:lineRule="auto"/>
        <w:jc w:val="both"/>
        <w:rPr>
          <w:rFonts w:cs="Times New Roman"/>
          <w:szCs w:val="24"/>
        </w:rPr>
      </w:pPr>
      <w:r w:rsidRPr="00ED3359">
        <w:rPr>
          <w:rFonts w:cs="Times New Roman"/>
          <w:b/>
          <w:szCs w:val="24"/>
        </w:rPr>
        <w:t xml:space="preserve">Implications of the Dutch Delta management for Bangladesh Delta: </w:t>
      </w:r>
      <w:r>
        <w:rPr>
          <w:rFonts w:cs="Times New Roman"/>
          <w:szCs w:val="24"/>
        </w:rPr>
        <w:t xml:space="preserve"> The Dutch experience illustrates the best lessons of international delta management. Not surprisingly, even advanced countries like the USA have often sought advice from the Netherlands in managing flood risks in the USA. </w:t>
      </w:r>
    </w:p>
    <w:p w:rsidR="007F2F9C" w:rsidRDefault="007F2F9C" w:rsidP="004534E0">
      <w:pPr>
        <w:spacing w:line="276" w:lineRule="auto"/>
        <w:jc w:val="both"/>
        <w:rPr>
          <w:rFonts w:cs="Times New Roman"/>
          <w:szCs w:val="24"/>
        </w:rPr>
      </w:pPr>
      <w:r>
        <w:rPr>
          <w:rFonts w:cs="Times New Roman"/>
          <w:szCs w:val="24"/>
        </w:rPr>
        <w:t>However, in adapting the Dutch experience, care has to be taken to recognize the sharp differences in socio-political-economic environment of Bangladesh.  The major differences are:</w:t>
      </w:r>
    </w:p>
    <w:p w:rsidR="005C4CEE" w:rsidRDefault="007F2F9C" w:rsidP="003D5A31">
      <w:pPr>
        <w:pStyle w:val="ListParagraph"/>
        <w:numPr>
          <w:ilvl w:val="0"/>
          <w:numId w:val="92"/>
        </w:numPr>
        <w:spacing w:line="269" w:lineRule="auto"/>
        <w:ind w:left="360"/>
        <w:jc w:val="both"/>
        <w:rPr>
          <w:rFonts w:cs="Times New Roman"/>
          <w:szCs w:val="24"/>
        </w:rPr>
      </w:pPr>
      <w:r>
        <w:rPr>
          <w:rFonts w:cs="Times New Roman"/>
          <w:szCs w:val="24"/>
        </w:rPr>
        <w:t xml:space="preserve">Bangladesh is a country with some 160 million people as compared with only 17 million in </w:t>
      </w:r>
    </w:p>
    <w:p w:rsidR="007F2F9C" w:rsidRDefault="007F2F9C" w:rsidP="0026021A">
      <w:pPr>
        <w:pStyle w:val="ListParagraph"/>
        <w:spacing w:line="269" w:lineRule="auto"/>
        <w:ind w:left="360"/>
        <w:jc w:val="both"/>
        <w:rPr>
          <w:rFonts w:cs="Times New Roman"/>
          <w:szCs w:val="24"/>
        </w:rPr>
      </w:pPr>
      <w:r>
        <w:rPr>
          <w:rFonts w:cs="Times New Roman"/>
          <w:szCs w:val="24"/>
        </w:rPr>
        <w:t>the Netherlands.</w:t>
      </w:r>
    </w:p>
    <w:p w:rsidR="007F2F9C" w:rsidRDefault="007F2F9C" w:rsidP="003D5A31">
      <w:pPr>
        <w:pStyle w:val="ListParagraph"/>
        <w:numPr>
          <w:ilvl w:val="0"/>
          <w:numId w:val="92"/>
        </w:numPr>
        <w:spacing w:line="269" w:lineRule="auto"/>
        <w:ind w:left="360"/>
        <w:jc w:val="both"/>
        <w:rPr>
          <w:rFonts w:cs="Times New Roman"/>
          <w:szCs w:val="24"/>
        </w:rPr>
      </w:pPr>
      <w:r>
        <w:rPr>
          <w:rFonts w:cs="Times New Roman"/>
          <w:szCs w:val="24"/>
        </w:rPr>
        <w:t>Per capita income in Bangladesh is about $</w:t>
      </w:r>
      <w:r w:rsidR="009248D8">
        <w:rPr>
          <w:rFonts w:cs="Times New Roman"/>
          <w:szCs w:val="24"/>
        </w:rPr>
        <w:t xml:space="preserve">1465 </w:t>
      </w:r>
      <w:r>
        <w:rPr>
          <w:rFonts w:cs="Times New Roman"/>
          <w:szCs w:val="24"/>
        </w:rPr>
        <w:t>while it is $52000 plus in the Netherlands.</w:t>
      </w:r>
    </w:p>
    <w:p w:rsidR="007F2F9C" w:rsidRDefault="007F2F9C" w:rsidP="003D5A31">
      <w:pPr>
        <w:pStyle w:val="ListParagraph"/>
        <w:numPr>
          <w:ilvl w:val="0"/>
          <w:numId w:val="92"/>
        </w:numPr>
        <w:spacing w:line="269" w:lineRule="auto"/>
        <w:ind w:left="360"/>
        <w:jc w:val="both"/>
        <w:rPr>
          <w:rFonts w:cs="Times New Roman"/>
          <w:szCs w:val="24"/>
        </w:rPr>
      </w:pPr>
      <w:r w:rsidRPr="00792FBB">
        <w:rPr>
          <w:rFonts w:cs="Times New Roman"/>
          <w:szCs w:val="24"/>
        </w:rPr>
        <w:t>The poverty rate in Bangladesh is around 2</w:t>
      </w:r>
      <w:r w:rsidR="009248D8">
        <w:rPr>
          <w:rFonts w:cs="Times New Roman"/>
          <w:szCs w:val="24"/>
        </w:rPr>
        <w:t>2</w:t>
      </w:r>
      <w:r w:rsidRPr="00792FBB">
        <w:rPr>
          <w:rFonts w:cs="Times New Roman"/>
          <w:szCs w:val="24"/>
        </w:rPr>
        <w:t xml:space="preserve">% measured in absolute terms.  </w:t>
      </w:r>
      <w:r>
        <w:rPr>
          <w:rFonts w:cs="Times New Roman"/>
          <w:szCs w:val="24"/>
        </w:rPr>
        <w:t xml:space="preserve">Although poverty rates are not comparable because the poverty threshold in Netherlands is almost 20 times higher in nominal dollars and 7 times higher in purchasing power parity terms, even so poverty estimates in Netherlands </w:t>
      </w:r>
      <w:r w:rsidR="005C4CEE">
        <w:rPr>
          <w:rFonts w:cs="Times New Roman"/>
          <w:szCs w:val="24"/>
        </w:rPr>
        <w:t>are much lower, ranging</w:t>
      </w:r>
      <w:r>
        <w:rPr>
          <w:rFonts w:cs="Times New Roman"/>
          <w:szCs w:val="24"/>
        </w:rPr>
        <w:t xml:space="preserve"> from 2.7% (long-term poor, i.e. percent of household below low-income threshold of €1810 per month in 2011 prices for a</w:t>
      </w:r>
      <w:r w:rsidR="005C4CEE">
        <w:rPr>
          <w:rFonts w:cs="Times New Roman"/>
          <w:szCs w:val="24"/>
        </w:rPr>
        <w:t xml:space="preserve"> family of 4 for four years) to</w:t>
      </w:r>
      <w:r>
        <w:rPr>
          <w:rFonts w:cs="Times New Roman"/>
          <w:szCs w:val="24"/>
        </w:rPr>
        <w:t xml:space="preserve"> 10% in 2014. </w:t>
      </w:r>
    </w:p>
    <w:p w:rsidR="007F2F9C" w:rsidRPr="00792FBB" w:rsidRDefault="007F2F9C" w:rsidP="003D5A31">
      <w:pPr>
        <w:pStyle w:val="ListParagraph"/>
        <w:numPr>
          <w:ilvl w:val="0"/>
          <w:numId w:val="92"/>
        </w:numPr>
        <w:spacing w:line="269" w:lineRule="auto"/>
        <w:ind w:left="360"/>
        <w:jc w:val="both"/>
        <w:rPr>
          <w:rFonts w:cs="Times New Roman"/>
          <w:szCs w:val="24"/>
        </w:rPr>
      </w:pPr>
      <w:r w:rsidRPr="00792FBB">
        <w:rPr>
          <w:rFonts w:cs="Times New Roman"/>
          <w:szCs w:val="24"/>
        </w:rPr>
        <w:t xml:space="preserve">Bangladesh still is dominantly a rural-agrarian economy with </w:t>
      </w:r>
      <w:r w:rsidR="009248D8">
        <w:rPr>
          <w:rFonts w:cs="Times New Roman"/>
          <w:szCs w:val="24"/>
        </w:rPr>
        <w:t>70</w:t>
      </w:r>
      <w:r w:rsidRPr="00792FBB">
        <w:rPr>
          <w:rFonts w:cs="Times New Roman"/>
          <w:szCs w:val="24"/>
        </w:rPr>
        <w:t xml:space="preserve">% of the population in rural areas and </w:t>
      </w:r>
      <w:r w:rsidR="009248D8" w:rsidRPr="00792FBB">
        <w:rPr>
          <w:rFonts w:cs="Times New Roman"/>
          <w:szCs w:val="24"/>
        </w:rPr>
        <w:t>4</w:t>
      </w:r>
      <w:r w:rsidR="009248D8">
        <w:rPr>
          <w:rFonts w:cs="Times New Roman"/>
          <w:szCs w:val="24"/>
        </w:rPr>
        <w:t>4</w:t>
      </w:r>
      <w:r w:rsidRPr="00792FBB">
        <w:rPr>
          <w:rFonts w:cs="Times New Roman"/>
          <w:szCs w:val="24"/>
        </w:rPr>
        <w:t xml:space="preserve">% of employment in agriculture.  </w:t>
      </w:r>
      <w:r w:rsidR="00C00776" w:rsidRPr="00792FBB">
        <w:rPr>
          <w:rFonts w:cs="Times New Roman"/>
          <w:szCs w:val="24"/>
        </w:rPr>
        <w:t>A</w:t>
      </w:r>
      <w:r w:rsidR="00C00776">
        <w:rPr>
          <w:rFonts w:cs="Times New Roman"/>
          <w:szCs w:val="24"/>
        </w:rPr>
        <w:t xml:space="preserve">griculture accounts for about </w:t>
      </w:r>
      <w:r w:rsidR="009248D8">
        <w:rPr>
          <w:rFonts w:cs="Times New Roman"/>
          <w:szCs w:val="24"/>
        </w:rPr>
        <w:t>15.33</w:t>
      </w:r>
      <w:r w:rsidR="00C00776" w:rsidRPr="00792FBB">
        <w:rPr>
          <w:rFonts w:cs="Times New Roman"/>
          <w:szCs w:val="24"/>
        </w:rPr>
        <w:t>% of the GDP and 58% of the value-added are</w:t>
      </w:r>
      <w:r w:rsidRPr="00792FBB">
        <w:rPr>
          <w:rFonts w:cs="Times New Roman"/>
          <w:szCs w:val="24"/>
        </w:rPr>
        <w:t xml:space="preserve"> from crops.  Netherlands is </w:t>
      </w:r>
      <w:r w:rsidR="009248D8" w:rsidRPr="00792FBB">
        <w:rPr>
          <w:rFonts w:cs="Times New Roman"/>
          <w:szCs w:val="24"/>
        </w:rPr>
        <w:t>primar</w:t>
      </w:r>
      <w:r w:rsidR="009248D8">
        <w:rPr>
          <w:rFonts w:cs="Times New Roman"/>
          <w:szCs w:val="24"/>
        </w:rPr>
        <w:t xml:space="preserve">ily </w:t>
      </w:r>
      <w:r w:rsidRPr="00792FBB">
        <w:rPr>
          <w:rFonts w:cs="Times New Roman"/>
          <w:szCs w:val="24"/>
        </w:rPr>
        <w:t xml:space="preserve">an urban </w:t>
      </w:r>
      <w:r w:rsidRPr="00792FBB">
        <w:rPr>
          <w:rFonts w:cs="Times New Roman"/>
          <w:szCs w:val="24"/>
        </w:rPr>
        <w:lastRenderedPageBreak/>
        <w:t xml:space="preserve">industrial economy with 90% of the population in urban centers. Agriculture accounts for only 2.8% of GDP and </w:t>
      </w:r>
      <w:r w:rsidR="009248D8">
        <w:rPr>
          <w:rFonts w:cs="Times New Roman"/>
          <w:szCs w:val="24"/>
        </w:rPr>
        <w:t>1.5</w:t>
      </w:r>
      <w:r w:rsidRPr="00792FBB">
        <w:rPr>
          <w:rFonts w:cs="Times New Roman"/>
          <w:szCs w:val="24"/>
        </w:rPr>
        <w:t xml:space="preserve">% of total employment. </w:t>
      </w:r>
    </w:p>
    <w:p w:rsidR="007F2F9C" w:rsidRDefault="007F2F9C" w:rsidP="003D5A31">
      <w:pPr>
        <w:pStyle w:val="ListParagraph"/>
        <w:numPr>
          <w:ilvl w:val="0"/>
          <w:numId w:val="92"/>
        </w:numPr>
        <w:spacing w:line="269" w:lineRule="auto"/>
        <w:ind w:left="360"/>
        <w:jc w:val="both"/>
        <w:rPr>
          <w:rFonts w:cs="Times New Roman"/>
          <w:szCs w:val="24"/>
        </w:rPr>
      </w:pPr>
      <w:r>
        <w:rPr>
          <w:rFonts w:cs="Times New Roman"/>
          <w:szCs w:val="24"/>
        </w:rPr>
        <w:t>Netherlands has a heavily decentralized administrative set up. Consistent with that water management is much decentralized and highly participatory in nature.  In particular, the local level institutions representing heavily the local residents, especially the land-owners, are a key player in water management including policies, investment, maintenance and financing.  In contrast, Bangladesh is heavily centralized.  While a system of local government is slowly emerging, these are more administrative in nature rather than empowered and au</w:t>
      </w:r>
      <w:r w:rsidR="00FE6385">
        <w:rPr>
          <w:rFonts w:cs="Times New Roman"/>
          <w:szCs w:val="24"/>
        </w:rPr>
        <w:t>ton</w:t>
      </w:r>
      <w:r>
        <w:rPr>
          <w:rFonts w:cs="Times New Roman"/>
          <w:szCs w:val="24"/>
        </w:rPr>
        <w:t>omous institutions</w:t>
      </w:r>
      <w:r w:rsidR="009248D8">
        <w:rPr>
          <w:rFonts w:cs="Times New Roman"/>
          <w:szCs w:val="24"/>
        </w:rPr>
        <w:t xml:space="preserve"> for development</w:t>
      </w:r>
      <w:r>
        <w:rPr>
          <w:rFonts w:cs="Times New Roman"/>
          <w:szCs w:val="24"/>
        </w:rPr>
        <w:t xml:space="preserve">. Consequently, water management is highly centralized and almost fully funded by the national budget.  </w:t>
      </w:r>
    </w:p>
    <w:p w:rsidR="007F2F9C" w:rsidRDefault="007F2F9C" w:rsidP="003D5A31">
      <w:pPr>
        <w:pStyle w:val="ListParagraph"/>
        <w:numPr>
          <w:ilvl w:val="0"/>
          <w:numId w:val="92"/>
        </w:numPr>
        <w:spacing w:line="269" w:lineRule="auto"/>
        <w:ind w:left="360"/>
        <w:jc w:val="both"/>
        <w:rPr>
          <w:rFonts w:cs="Times New Roman"/>
          <w:szCs w:val="24"/>
        </w:rPr>
      </w:pPr>
      <w:r>
        <w:rPr>
          <w:rFonts w:cs="Times New Roman"/>
          <w:szCs w:val="24"/>
        </w:rPr>
        <w:t xml:space="preserve">The Netherlands </w:t>
      </w:r>
      <w:r w:rsidR="000B096E">
        <w:t>public</w:t>
      </w:r>
      <w:r>
        <w:rPr>
          <w:rFonts w:cs="Times New Roman"/>
          <w:szCs w:val="24"/>
        </w:rPr>
        <w:t xml:space="preserve"> administration is highly competent and innovative. Skills and institutions are plentiful.  In Bangladesh administrative capacity is heavily constrained. The availability of skilled and professional staff in </w:t>
      </w:r>
      <w:r w:rsidR="000B096E">
        <w:t>public</w:t>
      </w:r>
      <w:r>
        <w:rPr>
          <w:rFonts w:cs="Times New Roman"/>
          <w:szCs w:val="24"/>
        </w:rPr>
        <w:t xml:space="preserve"> institutions is limited. </w:t>
      </w:r>
      <w:r w:rsidR="000B096E" w:rsidRPr="000B096E">
        <w:t xml:space="preserve"> </w:t>
      </w:r>
      <w:r w:rsidR="000B096E">
        <w:t>Public</w:t>
      </w:r>
      <w:r>
        <w:rPr>
          <w:rFonts w:cs="Times New Roman"/>
          <w:szCs w:val="24"/>
        </w:rPr>
        <w:t xml:space="preserve"> administration capacity c</w:t>
      </w:r>
      <w:r w:rsidR="005C4CEE">
        <w:rPr>
          <w:rFonts w:cs="Times New Roman"/>
          <w:szCs w:val="24"/>
        </w:rPr>
        <w:t>onstraint</w:t>
      </w:r>
      <w:r>
        <w:rPr>
          <w:rFonts w:cs="Times New Roman"/>
          <w:szCs w:val="24"/>
        </w:rPr>
        <w:t xml:space="preserve"> is a real challenge and as such ability to implement major institutional reform is limited</w:t>
      </w:r>
      <w:r w:rsidR="005C4CEE">
        <w:rPr>
          <w:rFonts w:cs="Times New Roman"/>
          <w:szCs w:val="24"/>
        </w:rPr>
        <w:t xml:space="preserve">. Accordingly, </w:t>
      </w:r>
      <w:r>
        <w:rPr>
          <w:rFonts w:cs="Times New Roman"/>
          <w:szCs w:val="24"/>
        </w:rPr>
        <w:t xml:space="preserve">a gradual and pragmatic approach to institutional change is essential. </w:t>
      </w:r>
    </w:p>
    <w:p w:rsidR="007F2F9C" w:rsidRPr="00B80AC8" w:rsidRDefault="007F2F9C" w:rsidP="003D5A31">
      <w:pPr>
        <w:pStyle w:val="ListParagraph"/>
        <w:numPr>
          <w:ilvl w:val="0"/>
          <w:numId w:val="92"/>
        </w:numPr>
        <w:spacing w:line="269" w:lineRule="auto"/>
        <w:ind w:left="360"/>
        <w:jc w:val="both"/>
        <w:rPr>
          <w:rFonts w:cs="Times New Roman"/>
          <w:szCs w:val="24"/>
        </w:rPr>
      </w:pPr>
      <w:r>
        <w:rPr>
          <w:rFonts w:cs="Times New Roman"/>
          <w:szCs w:val="24"/>
        </w:rPr>
        <w:t>Finally, the Dutch Delta institutions have emerged from a long history of experiments and learning by doing.  These institutions have been shaped to a large part by history, culture, social relations and political environment.  Many of these underlying factors are unique to the Netherlands and an attempt to transplant these institutions in Bangladesh or any other developing country without regards to history, culture and socio-political environment is bound to fail.</w:t>
      </w:r>
    </w:p>
    <w:p w:rsidR="007F2F9C" w:rsidRDefault="007F2F9C" w:rsidP="0026021A">
      <w:pPr>
        <w:spacing w:line="269" w:lineRule="auto"/>
        <w:jc w:val="both"/>
        <w:rPr>
          <w:rFonts w:cs="Times New Roman"/>
          <w:szCs w:val="24"/>
        </w:rPr>
      </w:pPr>
      <w:r>
        <w:rPr>
          <w:rFonts w:cs="Times New Roman"/>
          <w:szCs w:val="24"/>
        </w:rPr>
        <w:t>Given these differences, while a replication of the Dutch model in its original form is not a viable proposal, the main lessons of the Dutch experience can be distilled and applied to Bangladesh while mindful of the above substantial differences.  The main lessons in terms of replicable principles are:</w:t>
      </w:r>
    </w:p>
    <w:p w:rsidR="007F2F9C" w:rsidRDefault="007F2F9C" w:rsidP="0026021A">
      <w:pPr>
        <w:spacing w:line="269" w:lineRule="auto"/>
        <w:jc w:val="both"/>
        <w:rPr>
          <w:rFonts w:cs="Times New Roman"/>
          <w:szCs w:val="24"/>
        </w:rPr>
      </w:pPr>
      <w:r>
        <w:rPr>
          <w:rFonts w:cs="Times New Roman"/>
          <w:szCs w:val="24"/>
        </w:rPr>
        <w:t xml:space="preserve">a) </w:t>
      </w:r>
      <w:r w:rsidRPr="004C6DF1">
        <w:rPr>
          <w:rFonts w:cs="Times New Roman"/>
          <w:i/>
          <w:szCs w:val="24"/>
        </w:rPr>
        <w:t>Assigning topmost priority to safety and security from water disasters.</w:t>
      </w:r>
      <w:r>
        <w:rPr>
          <w:rFonts w:cs="Times New Roman"/>
          <w:szCs w:val="24"/>
        </w:rPr>
        <w:t xml:space="preserve">  This was the main organizing principle of getting the citizens on board. The Dutch citizens decided that the type of disaster that happened in 1953 was not acceptable and preventive as well as adaptive m</w:t>
      </w:r>
      <w:r w:rsidR="0017177E">
        <w:rPr>
          <w:rFonts w:cs="Times New Roman"/>
          <w:szCs w:val="24"/>
        </w:rPr>
        <w:t>easures will have to be taken to</w:t>
      </w:r>
      <w:r>
        <w:rPr>
          <w:rFonts w:cs="Times New Roman"/>
          <w:szCs w:val="24"/>
        </w:rPr>
        <w:t xml:space="preserve"> safeguard the life and property of citizens.  This resolve has further grown over time as the Dutch per capita income and wealth grew and along with this the potential cost of large-scale flooding.  Sensitivity to climate change</w:t>
      </w:r>
      <w:r w:rsidR="0017177E">
        <w:rPr>
          <w:rFonts w:cs="Times New Roman"/>
          <w:szCs w:val="24"/>
        </w:rPr>
        <w:t>s</w:t>
      </w:r>
      <w:r>
        <w:rPr>
          <w:rFonts w:cs="Times New Roman"/>
          <w:szCs w:val="24"/>
        </w:rPr>
        <w:t xml:space="preserve"> has similarly grown in view of the added risk they pose to flooding and loss of coastal land from sea level rise. The Dutch have institutionalized this in water planning by doing systematic cost benefit analysis of flooding and by imposing a large value (over a million euro) per life lost to floods.</w:t>
      </w:r>
    </w:p>
    <w:p w:rsidR="007F2F9C" w:rsidRDefault="007F2F9C" w:rsidP="0026021A">
      <w:pPr>
        <w:spacing w:line="269" w:lineRule="auto"/>
        <w:jc w:val="both"/>
        <w:rPr>
          <w:rFonts w:cs="Times New Roman"/>
          <w:szCs w:val="24"/>
        </w:rPr>
      </w:pPr>
      <w:r>
        <w:rPr>
          <w:rFonts w:cs="Times New Roman"/>
          <w:szCs w:val="24"/>
        </w:rPr>
        <w:t>Bangladesh is yet to assign adequate level of priority and commitment to water management and security from water-related disasters.  Similarly, the sensitivity to climate change is yet to translate into meaningful priority actions. One striking example of this contrast is first that all spatial planning in the Netherlands is guided by flood safety considerations.  This is no</w:t>
      </w:r>
      <w:r w:rsidR="009248D8">
        <w:rPr>
          <w:rFonts w:cs="Times New Roman"/>
          <w:szCs w:val="24"/>
        </w:rPr>
        <w:t>t</w:t>
      </w:r>
      <w:r>
        <w:rPr>
          <w:rFonts w:cs="Times New Roman"/>
          <w:szCs w:val="24"/>
        </w:rPr>
        <w:t xml:space="preserve"> so in </w:t>
      </w:r>
      <w:r>
        <w:rPr>
          <w:rFonts w:cs="Times New Roman"/>
          <w:szCs w:val="24"/>
        </w:rPr>
        <w:lastRenderedPageBreak/>
        <w:t xml:space="preserve">Bangladesh. Second, the Netherlands spends some $294 per capita per year on water management. Bangladesh spends only about $13 per capita. The gap remains huge even after converting these expenditures in purchasing power terms.  Obviously, the income, population and resource constraints are far more binding constraints on setting proper delta priorities and time frame for progress in Bangladesh.  Yet, even in spirit, Bangladesh has quite some miles to go to give priority to flood and natural disaster management as in the Netherlands. This requires strong continued political commitment and some type of a long-term social contract between the government and the population. </w:t>
      </w:r>
    </w:p>
    <w:p w:rsidR="007F2F9C" w:rsidRDefault="007F2F9C" w:rsidP="0026021A">
      <w:pPr>
        <w:pStyle w:val="NormalWeb"/>
        <w:spacing w:before="0" w:beforeAutospacing="0" w:after="240" w:afterAutospacing="0" w:line="269" w:lineRule="auto"/>
      </w:pPr>
      <w:r>
        <w:t xml:space="preserve">b)  </w:t>
      </w:r>
      <w:r w:rsidRPr="0005409C">
        <w:rPr>
          <w:i/>
        </w:rPr>
        <w:t xml:space="preserve">The Dutch introduced a systematic </w:t>
      </w:r>
      <w:r>
        <w:rPr>
          <w:i/>
        </w:rPr>
        <w:t xml:space="preserve">cost-benefit </w:t>
      </w:r>
      <w:r w:rsidRPr="0005409C">
        <w:rPr>
          <w:i/>
        </w:rPr>
        <w:t>approach to determining the volume of investment needed for water management.</w:t>
      </w:r>
      <w:r>
        <w:t xml:space="preserve"> The approach was first developed by Dutch mathematician Van Dantzig in 1956 when he was invited by the First Delta Commission to advise on setting up criteria for flood protection priority in terms of the amount of flood protection and their location.  Van Dantzig came up with a simple rule: when allocating money to projects, account for both </w:t>
      </w:r>
      <w:r>
        <w:rPr>
          <w:rStyle w:val="Emphasis"/>
          <w:rFonts w:eastAsiaTheme="minorHAnsi"/>
        </w:rPr>
        <w:t>cost of damage</w:t>
      </w:r>
      <w:r>
        <w:t xml:space="preserve"> and </w:t>
      </w:r>
      <w:r>
        <w:rPr>
          <w:rStyle w:val="Emphasis"/>
          <w:rFonts w:eastAsiaTheme="minorHAnsi"/>
        </w:rPr>
        <w:t>probability of damage</w:t>
      </w:r>
      <w:r>
        <w:t xml:space="preserve">. Regions with a high likelihood of flooding that would be costly to fix would receive the highest funding priority. Less costly regions would receive lower priority, even if the probability of flooding </w:t>
      </w:r>
      <w:r w:rsidR="0017177E">
        <w:t>was high. The idea</w:t>
      </w:r>
      <w:r>
        <w:t xml:space="preserve">s closely related to the notion of cost/benefit analysis, and it gave planners a rational means by which to allocate funds. The approach was part of the </w:t>
      </w:r>
      <w:r>
        <w:rPr>
          <w:rStyle w:val="Emphasis"/>
          <w:rFonts w:eastAsiaTheme="minorHAnsi"/>
        </w:rPr>
        <w:t>Delta Law</w:t>
      </w:r>
      <w:r>
        <w:t xml:space="preserve"> passed by Dutch Parliament in the late 1950s.  What’s striking about the parliament’s action is that it does not provide uniform protection for all citizens. The Netherlands has fifty-three dike rings — large regions protected by a single dike. One ring may be protected from a 2000 year flood and another one from a 10,000 year flood. This approach was extended to the national level planning in 2012. The cost-benefit analysis at the national level aims to find out the optimum balance between the investment cost of flood reinforcements and the cost of economic damages from flood including loss of life. The driving forces are economic growth, which increases the loss from flood, and climate change, which increases the probability of flooding.  </w:t>
      </w:r>
    </w:p>
    <w:p w:rsidR="007F2F9C" w:rsidRDefault="007F2F9C" w:rsidP="0026021A">
      <w:pPr>
        <w:pStyle w:val="NormalWeb"/>
        <w:spacing w:before="0" w:beforeAutospacing="0" w:after="240" w:afterAutospacing="0" w:line="269" w:lineRule="auto"/>
      </w:pPr>
      <w:r>
        <w:t xml:space="preserve">The main lesson for Bangladesh here is the need for systematic approach to investments for managing delta risks, based on a solid assessment of the net benefit of these investments in terms of contribution to the Delta objectives, including a probabilistic approach to risks of climate change. With limited resources and competing demand, this simple Dantzig rule yields a very powerful resource allocation mechanism.  Highest priority should be given to those investments </w:t>
      </w:r>
      <w:r w:rsidR="0017177E">
        <w:t xml:space="preserve">that yield the most net </w:t>
      </w:r>
      <w:r>
        <w:t xml:space="preserve">measurable benefit in terms of contribution to the Delta objectives.    </w:t>
      </w:r>
    </w:p>
    <w:p w:rsidR="007F2F9C" w:rsidRDefault="007F2F9C" w:rsidP="0026021A">
      <w:pPr>
        <w:pStyle w:val="NormalWeb"/>
        <w:spacing w:before="0" w:beforeAutospacing="0" w:after="240" w:afterAutospacing="0" w:line="269" w:lineRule="auto"/>
      </w:pPr>
      <w:r>
        <w:t>c)</w:t>
      </w:r>
      <w:r w:rsidRPr="00314CB8">
        <w:t xml:space="preserve"> </w:t>
      </w:r>
      <w:r w:rsidRPr="004479AF">
        <w:rPr>
          <w:i/>
        </w:rPr>
        <w:t xml:space="preserve">Innovation </w:t>
      </w:r>
      <w:r>
        <w:rPr>
          <w:i/>
        </w:rPr>
        <w:t xml:space="preserve">as </w:t>
      </w:r>
      <w:r w:rsidRPr="004479AF">
        <w:rPr>
          <w:i/>
        </w:rPr>
        <w:t>the basis for delta management.</w:t>
      </w:r>
      <w:r>
        <w:t xml:space="preserve"> Added to the potential consequences of climate change, the 1990s floods made the Dutch aware that they could not go on raising their dikes indefinitely, and that excluding water would not bring about sustainable safety. This realization led them to adopt a new policy aimed at giving more space to water through solutions that seek not only to increase safety levels, but also to garner social, environmen</w:t>
      </w:r>
      <w:r w:rsidR="0017177E">
        <w:t xml:space="preserve">tal and economic benefits. This led to </w:t>
      </w:r>
      <w:r>
        <w:t xml:space="preserve">the search for new solutions in rural as well as urban areas. In the Dutch city of Rotterdam, which aims to be "100 percent climate proof" by 2025 -- but where traditional </w:t>
      </w:r>
      <w:r>
        <w:lastRenderedPageBreak/>
        <w:t>solutions such as creating new canals or strengthening levees do not suffice -- the municipality is working on alternative solutions such as underground water storage to catch storm water, subsidies for residents wishing to install green roofs, or water plazas built in such a way that they can serve as playgrounds in dry weather and as basins for storing water during heavy rain storms. In the Netherlands, the "dikes of the future" will indeed become multi-functional -- some existing dikes already are. They must integrate entities as varied as industrial buildings and leisure facilities such as cinemas and parks.</w:t>
      </w:r>
    </w:p>
    <w:p w:rsidR="007F2F9C" w:rsidRDefault="007F2F9C" w:rsidP="0026021A">
      <w:pPr>
        <w:spacing w:line="269" w:lineRule="auto"/>
        <w:jc w:val="both"/>
        <w:rPr>
          <w:rFonts w:eastAsia="Times New Roman" w:cs="Times New Roman"/>
          <w:szCs w:val="24"/>
        </w:rPr>
      </w:pPr>
      <w:r>
        <w:t xml:space="preserve">A related initiative is the room for river project started in 2007.  By this initiative the Dutch recognized that instead of fighting with nature it is best to accommodate it wherever possible. A river will have to flow before it drains to the sea. </w:t>
      </w:r>
      <w:r w:rsidRPr="008A769E">
        <w:rPr>
          <w:rFonts w:eastAsia="Times New Roman" w:cs="Times New Roman"/>
          <w:szCs w:val="24"/>
        </w:rPr>
        <w:t>Room for the River restores the river’s natural flood plain in places where it is least harmful in order to protect those areas that need to be defended. By</w:t>
      </w:r>
      <w:r>
        <w:rPr>
          <w:rFonts w:eastAsia="Times New Roman" w:cs="Times New Roman"/>
          <w:szCs w:val="24"/>
        </w:rPr>
        <w:t xml:space="preserve"> adopting this programme the Netherlands lowered and broadened the</w:t>
      </w:r>
      <w:r w:rsidRPr="008A769E">
        <w:rPr>
          <w:rFonts w:eastAsia="Times New Roman" w:cs="Times New Roman"/>
          <w:szCs w:val="24"/>
        </w:rPr>
        <w:t xml:space="preserve"> flood plain</w:t>
      </w:r>
      <w:r>
        <w:rPr>
          <w:rFonts w:eastAsia="Times New Roman" w:cs="Times New Roman"/>
          <w:szCs w:val="24"/>
        </w:rPr>
        <w:t>s</w:t>
      </w:r>
      <w:r w:rsidRPr="008A769E">
        <w:rPr>
          <w:rFonts w:eastAsia="Times New Roman" w:cs="Times New Roman"/>
          <w:szCs w:val="24"/>
        </w:rPr>
        <w:t xml:space="preserve"> and created river diversions and temporary </w:t>
      </w:r>
      <w:r>
        <w:rPr>
          <w:rFonts w:eastAsia="Times New Roman" w:cs="Times New Roman"/>
          <w:szCs w:val="24"/>
        </w:rPr>
        <w:t xml:space="preserve">water storage areas.  They also </w:t>
      </w:r>
      <w:r w:rsidRPr="008A769E">
        <w:rPr>
          <w:rFonts w:eastAsia="Times New Roman" w:cs="Times New Roman"/>
          <w:szCs w:val="24"/>
        </w:rPr>
        <w:t>restore</w:t>
      </w:r>
      <w:r>
        <w:rPr>
          <w:rFonts w:eastAsia="Times New Roman" w:cs="Times New Roman"/>
          <w:szCs w:val="24"/>
        </w:rPr>
        <w:t>d</w:t>
      </w:r>
      <w:r w:rsidRPr="008A769E">
        <w:rPr>
          <w:rFonts w:eastAsia="Times New Roman" w:cs="Times New Roman"/>
          <w:szCs w:val="24"/>
        </w:rPr>
        <w:t xml:space="preserve"> marshy riverine landscapes to serve once again as natural water storage’ sponges and provide biodiversity and aesthetic and recreational values. </w:t>
      </w:r>
    </w:p>
    <w:p w:rsidR="007F2F9C" w:rsidRDefault="007F2F9C" w:rsidP="0026021A">
      <w:pPr>
        <w:spacing w:line="269" w:lineRule="auto"/>
        <w:jc w:val="both"/>
        <w:rPr>
          <w:rFonts w:eastAsia="Times New Roman" w:cs="Times New Roman"/>
          <w:szCs w:val="24"/>
        </w:rPr>
      </w:pPr>
      <w:r>
        <w:rPr>
          <w:rFonts w:eastAsia="Times New Roman" w:cs="Times New Roman"/>
          <w:szCs w:val="24"/>
        </w:rPr>
        <w:t>There are two broad implications of this experience for Bangladesh.  First, flood control and major irrigation investments are hugely capital intensive endeavors.  The social and economic benefits can be maximized by making these investments multi-purpose.  Thus, investments for coastal flood management might be combined with initiatives to develop coastal tourism facilities.  Similarly, management of fresh water wetlands (haor and baor areas) can be combined into areas of eco-tourism.  Another example is that lake cleaning and restoration in urban areas can be converted into recreational park areas. These multi-purpose investments can help cost recovery of capital investments to a large extent.  Secondly, every attempt should be made to preserve the natural course of river through a room for river initiative that involves deepening the river and lowering and broadening the flood plains wherever practicable. The scope for this initiative will obviously depend on specific geographical and social context of Bangladesh, the limits of which are set by the heavy population pressure and shortage of land.  The important point to understand is that in designing water management projects it must be understood that the flow of a river to the sea must not be hampered</w:t>
      </w:r>
      <w:r w:rsidR="0017177E">
        <w:rPr>
          <w:rFonts w:eastAsia="Times New Roman" w:cs="Times New Roman"/>
          <w:szCs w:val="24"/>
        </w:rPr>
        <w:t>,</w:t>
      </w:r>
      <w:r>
        <w:rPr>
          <w:rFonts w:eastAsia="Times New Roman" w:cs="Times New Roman"/>
          <w:szCs w:val="24"/>
        </w:rPr>
        <w:t xml:space="preserve"> as this will create flooding problem somewhere else. If situations where flow diversion is essential, then a proper alternative flow channel to the sea must be done.   </w:t>
      </w:r>
    </w:p>
    <w:p w:rsidR="007F2F9C" w:rsidRDefault="007F2F9C" w:rsidP="0026021A">
      <w:pPr>
        <w:spacing w:line="269" w:lineRule="auto"/>
        <w:jc w:val="both"/>
        <w:rPr>
          <w:rFonts w:eastAsia="Times New Roman" w:cs="Times New Roman"/>
          <w:szCs w:val="24"/>
        </w:rPr>
      </w:pPr>
      <w:r>
        <w:rPr>
          <w:rFonts w:eastAsia="Times New Roman" w:cs="Times New Roman"/>
          <w:szCs w:val="24"/>
        </w:rPr>
        <w:t xml:space="preserve">d) </w:t>
      </w:r>
      <w:r w:rsidRPr="00334F70">
        <w:rPr>
          <w:rFonts w:eastAsia="Times New Roman" w:cs="Times New Roman"/>
          <w:i/>
          <w:szCs w:val="24"/>
        </w:rPr>
        <w:t>Need for an inclusive and participatory delta management.</w:t>
      </w:r>
      <w:r>
        <w:rPr>
          <w:rFonts w:eastAsia="Times New Roman" w:cs="Times New Roman"/>
          <w:szCs w:val="24"/>
        </w:rPr>
        <w:t xml:space="preserve"> A major feature of the Dutch Delta Management is the depth and quality of Delta Planning through an inclusive and consultative process.  This systematic approach to the planning process has evolved over time starting with the First Delta Commission in 1956 and presently there is a system of Annual Delta Plans managed by the Delta Commissioner.  In each phase the inclusive and consultative process was preserved.  Best scientific minds are invited to participate and widespread participation of citizens is ensured. The lessons learnt from earlier planning processes are incorporated in improving the subsequent planning process. The delta planning is informed by a rich body of </w:t>
      </w:r>
      <w:r>
        <w:rPr>
          <w:rFonts w:eastAsia="Times New Roman" w:cs="Times New Roman"/>
          <w:szCs w:val="24"/>
        </w:rPr>
        <w:lastRenderedPageBreak/>
        <w:t>scientific research, water modeling, climate change analysis, impact assessment and quantitative detailed cost-benefit analysis of different approaches and initiatives. This is a remarkable participatory planning process anywhere globally.</w:t>
      </w:r>
    </w:p>
    <w:p w:rsidR="007F2F9C" w:rsidRDefault="007F2F9C" w:rsidP="0026021A">
      <w:pPr>
        <w:spacing w:line="269" w:lineRule="auto"/>
        <w:jc w:val="both"/>
        <w:rPr>
          <w:rFonts w:eastAsia="Times New Roman" w:cs="Times New Roman"/>
          <w:szCs w:val="24"/>
        </w:rPr>
      </w:pPr>
      <w:r>
        <w:rPr>
          <w:rFonts w:eastAsia="Times New Roman" w:cs="Times New Roman"/>
          <w:szCs w:val="24"/>
        </w:rPr>
        <w:t xml:space="preserve">While this process is hard to replicate in a developing economy like Bangladesh with weak knowledge infrastructure and capacities, the principles of participation, consultation, </w:t>
      </w:r>
      <w:r w:rsidR="000B096E">
        <w:t>public</w:t>
      </w:r>
      <w:r>
        <w:rPr>
          <w:rFonts w:eastAsia="Times New Roman" w:cs="Times New Roman"/>
          <w:szCs w:val="24"/>
        </w:rPr>
        <w:t>-private partnership, evidence-based policy and planning, research and cost-benefit analysis can be introduced and developed over time in Bangladesh Delta Management.</w:t>
      </w:r>
    </w:p>
    <w:p w:rsidR="007F2F9C" w:rsidRDefault="007F2F9C" w:rsidP="0026021A">
      <w:pPr>
        <w:spacing w:line="269" w:lineRule="auto"/>
        <w:jc w:val="both"/>
        <w:rPr>
          <w:rFonts w:eastAsia="Times New Roman" w:cs="Times New Roman"/>
          <w:szCs w:val="24"/>
        </w:rPr>
      </w:pPr>
      <w:r>
        <w:rPr>
          <w:rFonts w:eastAsia="Times New Roman" w:cs="Times New Roman"/>
          <w:szCs w:val="24"/>
        </w:rPr>
        <w:t xml:space="preserve">e) </w:t>
      </w:r>
      <w:r w:rsidRPr="00334F70">
        <w:rPr>
          <w:rFonts w:eastAsia="Times New Roman" w:cs="Times New Roman"/>
          <w:i/>
          <w:szCs w:val="24"/>
        </w:rPr>
        <w:t>Need for an adaptive delta management:</w:t>
      </w:r>
      <w:r>
        <w:rPr>
          <w:rFonts w:eastAsia="Times New Roman" w:cs="Times New Roman"/>
          <w:szCs w:val="24"/>
        </w:rPr>
        <w:t xml:space="preserve"> A striking feature of the Dutch Delta Management is adaptive delta planning. The rationale for this is the major uncertainties in climate change and related natural forces. While there is considerable scientific progress in measuring temperature rise, the rising sea level and other adverse climate change factors, the specific magnitudes of occurrence in each countries and the likely adverse effects on climate variables like rainfall, flooding, hurricanes/cyclones and other natural disasters are not fully predictable and the impacts happen over a long period of time.  Given these uncertainties, delta planning inevitably involves a long-term vision with periodic updates of underlying climate parameters and investment responses. The Dutch Delta management is an excellent example how systematic adaptive approach to planning and investment responses have evolved over time starting with the First Delta Commission of 1953. To support adaptive delta management</w:t>
      </w:r>
      <w:r w:rsidR="00BC56FC">
        <w:rPr>
          <w:rFonts w:eastAsia="Times New Roman" w:cs="Times New Roman"/>
          <w:szCs w:val="24"/>
        </w:rPr>
        <w:t>,</w:t>
      </w:r>
      <w:r>
        <w:rPr>
          <w:rFonts w:eastAsia="Times New Roman" w:cs="Times New Roman"/>
          <w:szCs w:val="24"/>
        </w:rPr>
        <w:t xml:space="preserve"> the Dutch invest considerable amount of resources to gather data and conduct research on a range of delta related subjects including climate change variables.  The knowledge is accumulated, stored and shared widely with policy makers, research and the </w:t>
      </w:r>
      <w:r w:rsidR="000B096E">
        <w:t>public</w:t>
      </w:r>
      <w:r>
        <w:rPr>
          <w:rFonts w:eastAsia="Times New Roman" w:cs="Times New Roman"/>
          <w:szCs w:val="24"/>
        </w:rPr>
        <w:t xml:space="preserve">.  Innovation is supported through research grants. The knowledge agenda is managed as a </w:t>
      </w:r>
      <w:r w:rsidR="000B096E">
        <w:t>public</w:t>
      </w:r>
      <w:r>
        <w:rPr>
          <w:rFonts w:eastAsia="Times New Roman" w:cs="Times New Roman"/>
          <w:szCs w:val="24"/>
        </w:rPr>
        <w:t xml:space="preserve"> private-partnership.  The government invites the best scientific minds to work on the delta agenda. Innovative ideas and research suggestions are analyzed for effectiveness on the basis of cost-benefit analysis. This active knowledge management is a critical factor for the implementation of innovative approaches to water management in the Netherlands and a key success factor for adaptive Delta management.  </w:t>
      </w:r>
    </w:p>
    <w:p w:rsidR="007F2F9C" w:rsidRDefault="007F2F9C" w:rsidP="0026021A">
      <w:pPr>
        <w:spacing w:line="269" w:lineRule="auto"/>
        <w:jc w:val="both"/>
        <w:rPr>
          <w:rFonts w:eastAsia="Times New Roman" w:cs="Times New Roman"/>
          <w:szCs w:val="24"/>
        </w:rPr>
      </w:pPr>
      <w:r>
        <w:rPr>
          <w:rFonts w:eastAsia="Times New Roman" w:cs="Times New Roman"/>
          <w:szCs w:val="24"/>
        </w:rPr>
        <w:t>Bangladesh itself has a 50 year plus delta management experience, although not well organized or integrated. As noted in Tables 1</w:t>
      </w:r>
      <w:r w:rsidR="00A650CE">
        <w:rPr>
          <w:rFonts w:eastAsia="Times New Roman" w:cs="Times New Roman"/>
          <w:szCs w:val="24"/>
        </w:rPr>
        <w:t>2.1 and 12</w:t>
      </w:r>
      <w:r>
        <w:rPr>
          <w:rFonts w:eastAsia="Times New Roman" w:cs="Times New Roman"/>
          <w:szCs w:val="24"/>
        </w:rPr>
        <w:t xml:space="preserve">.3, there are considerable donor-agency supported technical studies on different aspects of the delta management. Although they lack coherence and consistency with each other as they were each done in isolation and mostly independent of each other rather than </w:t>
      </w:r>
      <w:r w:rsidR="00BC56FC">
        <w:rPr>
          <w:rFonts w:eastAsia="Times New Roman" w:cs="Times New Roman"/>
          <w:szCs w:val="24"/>
        </w:rPr>
        <w:t xml:space="preserve">as </w:t>
      </w:r>
      <w:r>
        <w:rPr>
          <w:rFonts w:eastAsia="Times New Roman" w:cs="Times New Roman"/>
          <w:szCs w:val="24"/>
        </w:rPr>
        <w:t xml:space="preserve">a part of </w:t>
      </w:r>
      <w:r w:rsidR="00BC56FC">
        <w:rPr>
          <w:rFonts w:eastAsia="Times New Roman" w:cs="Times New Roman"/>
          <w:szCs w:val="24"/>
        </w:rPr>
        <w:t>a coordinated</w:t>
      </w:r>
      <w:r>
        <w:rPr>
          <w:rFonts w:eastAsia="Times New Roman" w:cs="Times New Roman"/>
          <w:szCs w:val="24"/>
        </w:rPr>
        <w:t xml:space="preserve"> incremental approach, there is nevertheless a wealth of knowledge that lies under-utilized.   As noted, some delta research is done by dedicated </w:t>
      </w:r>
      <w:r w:rsidR="000B096E">
        <w:t xml:space="preserve">public </w:t>
      </w:r>
      <w:r>
        <w:rPr>
          <w:rFonts w:eastAsia="Times New Roman" w:cs="Times New Roman"/>
          <w:szCs w:val="24"/>
        </w:rPr>
        <w:t>institutions in the Ministry</w:t>
      </w:r>
      <w:r w:rsidR="004B1796">
        <w:rPr>
          <w:rFonts w:eastAsia="Times New Roman" w:cs="Times New Roman"/>
          <w:szCs w:val="24"/>
        </w:rPr>
        <w:t xml:space="preserve"> of Water Resources</w:t>
      </w:r>
      <w:r>
        <w:rPr>
          <w:rFonts w:eastAsia="Times New Roman" w:cs="Times New Roman"/>
          <w:szCs w:val="24"/>
        </w:rPr>
        <w:t xml:space="preserve"> and in the Agriculture Ministry, but these are not done in any coordinated or organized fashion. Research is also done by the engineering universities, especially the BUET, and the agricultural universities. But these are not necessarily focused on specific knowledge gaps or to address specific policy needs.  Critical research on impact assessments is missing.  Most importantly, there is a woefully weak data infrastructure.  Additionally, there is no effort to gather available knowledge and share it with researchers or policy makers. Not surprisingly, water policy and related delta management is not supported by a </w:t>
      </w:r>
      <w:r>
        <w:rPr>
          <w:rFonts w:eastAsia="Times New Roman" w:cs="Times New Roman"/>
          <w:szCs w:val="24"/>
        </w:rPr>
        <w:lastRenderedPageBreak/>
        <w:t>well-functioning delta knowledge institution. This is an important area of institutional reform moving forward.</w:t>
      </w:r>
    </w:p>
    <w:p w:rsidR="007F2F9C" w:rsidRDefault="007F2F9C" w:rsidP="0026021A">
      <w:pPr>
        <w:spacing w:line="269" w:lineRule="auto"/>
        <w:jc w:val="both"/>
        <w:rPr>
          <w:rFonts w:eastAsia="Times New Roman" w:cs="Times New Roman"/>
          <w:szCs w:val="24"/>
        </w:rPr>
      </w:pPr>
      <w:r>
        <w:rPr>
          <w:rFonts w:eastAsia="Times New Roman" w:cs="Times New Roman"/>
          <w:szCs w:val="24"/>
        </w:rPr>
        <w:t xml:space="preserve">f) </w:t>
      </w:r>
      <w:r w:rsidRPr="00A35BAB">
        <w:rPr>
          <w:rFonts w:eastAsia="Times New Roman" w:cs="Times New Roman"/>
          <w:i/>
          <w:szCs w:val="24"/>
        </w:rPr>
        <w:t>Need for decentralized water management.</w:t>
      </w:r>
      <w:r>
        <w:rPr>
          <w:rFonts w:eastAsia="Times New Roman" w:cs="Times New Roman"/>
          <w:szCs w:val="24"/>
        </w:rPr>
        <w:t xml:space="preserve">  Perhaps the most striking lesson from the Dutch experience is the decentralized management of the wate</w:t>
      </w:r>
      <w:r w:rsidR="00FC27D5">
        <w:rPr>
          <w:rFonts w:eastAsia="Times New Roman" w:cs="Times New Roman"/>
          <w:szCs w:val="24"/>
        </w:rPr>
        <w:t>r resources summarized in Box 12</w:t>
      </w:r>
      <w:r>
        <w:rPr>
          <w:rFonts w:eastAsia="Times New Roman" w:cs="Times New Roman"/>
          <w:szCs w:val="24"/>
        </w:rPr>
        <w:t>.2 above.  The important point is, starting with a historically water management system,  the national government role gathered momentum over time as the country grew richer, the magnitude of risk intensified and the scale of intervention became large.  But this role did not replace the role of the decentralized water bodies.</w:t>
      </w:r>
      <w:r w:rsidR="00FC27D5">
        <w:rPr>
          <w:rFonts w:eastAsia="Times New Roman" w:cs="Times New Roman"/>
          <w:szCs w:val="24"/>
        </w:rPr>
        <w:t xml:space="preserve"> In fact, as was shown in Box 12</w:t>
      </w:r>
      <w:r>
        <w:rPr>
          <w:rFonts w:eastAsia="Times New Roman" w:cs="Times New Roman"/>
          <w:szCs w:val="24"/>
        </w:rPr>
        <w:t xml:space="preserve">.2, they still are the dominant force for managing the waterways, the dikes and the water sewage plants and account for 50% of the annual water investment. The legal framework for the water boards is provided by the Water Boards (regional water authorities) Act. Four types of stakeholders have to be represented in these councils: (1) the residents or inhabitants of the area; (2) the owners of real estate (farmers) consisting of open land which does not constitute a reserve or state land; (3) owners of natural reserves; (4) businesses/industries. Since residents pay the largest share, they have the majority in the council. Presently there are 25 regional water bodies. </w:t>
      </w:r>
    </w:p>
    <w:p w:rsidR="007F2F9C" w:rsidRDefault="007F2F9C" w:rsidP="0026021A">
      <w:pPr>
        <w:spacing w:line="269" w:lineRule="auto"/>
        <w:jc w:val="both"/>
        <w:rPr>
          <w:rFonts w:eastAsia="Times New Roman" w:cs="Times New Roman"/>
          <w:szCs w:val="24"/>
        </w:rPr>
      </w:pPr>
      <w:r>
        <w:rPr>
          <w:rFonts w:eastAsia="Times New Roman" w:cs="Times New Roman"/>
          <w:szCs w:val="24"/>
        </w:rPr>
        <w:t xml:space="preserve">The absence of stakeholder participation in water management is a major weakness in Bangladesh that needs immediate attention. The government made several attempts in the past but these have not succeeded. Moving forward, what is needed is some bold and radical efforts to create truly participatory local water bodies in the same spirit as the Dutch water bodies.  The success of </w:t>
      </w:r>
      <w:r w:rsidR="00FC27D5">
        <w:rPr>
          <w:rFonts w:eastAsia="Times New Roman" w:cs="Times New Roman"/>
          <w:szCs w:val="24"/>
        </w:rPr>
        <w:t xml:space="preserve">Bangladesh </w:t>
      </w:r>
      <w:r>
        <w:rPr>
          <w:rFonts w:eastAsia="Times New Roman" w:cs="Times New Roman"/>
          <w:szCs w:val="24"/>
        </w:rPr>
        <w:t>Delta Management hinges critically on the establishment of these local water bodies.</w:t>
      </w:r>
    </w:p>
    <w:p w:rsidR="007F2F9C" w:rsidRDefault="007F2F9C" w:rsidP="0026021A">
      <w:pPr>
        <w:spacing w:line="269" w:lineRule="auto"/>
        <w:jc w:val="both"/>
        <w:rPr>
          <w:rFonts w:eastAsia="Times New Roman" w:cs="Times New Roman"/>
          <w:szCs w:val="24"/>
        </w:rPr>
      </w:pPr>
      <w:r>
        <w:rPr>
          <w:rFonts w:eastAsia="Times New Roman" w:cs="Times New Roman"/>
          <w:szCs w:val="24"/>
        </w:rPr>
        <w:t xml:space="preserve">g) </w:t>
      </w:r>
      <w:r w:rsidRPr="004C0E05">
        <w:rPr>
          <w:rFonts w:eastAsia="Times New Roman" w:cs="Times New Roman"/>
          <w:i/>
          <w:szCs w:val="24"/>
        </w:rPr>
        <w:t>Innovative water financing mechanism based on beneficiary pays principle:</w:t>
      </w:r>
      <w:r>
        <w:rPr>
          <w:rFonts w:eastAsia="Times New Roman" w:cs="Times New Roman"/>
          <w:szCs w:val="24"/>
        </w:rPr>
        <w:t xml:space="preserve"> Related to the decentralized water management is the innovative funding mechanism for water management in the Netherlands. National taxes cover the state tasks.  In 1960, the Delta Commission considered that 1% of GNP could be spent on flood defenses. As major investments got completed through the Delta Works, the level of state resources allocated for water has fallen.  For example it amounted to € 1.2 billion in 2010. The Second Delta Commission went a step forward by advocating a Delta Fund at the national level. This Fund was created by the Netherlands Parliament as a part of the new Delta Act of 2011. The commitment is to provide an annual contribution of around € 1 billion to this Fund that is managed by the Delta Commissioner.    </w:t>
      </w:r>
    </w:p>
    <w:p w:rsidR="007F2F9C" w:rsidRDefault="007F2F9C" w:rsidP="0026021A">
      <w:pPr>
        <w:spacing w:line="269" w:lineRule="auto"/>
        <w:jc w:val="both"/>
        <w:rPr>
          <w:rFonts w:eastAsia="Times New Roman" w:cs="Times New Roman"/>
          <w:szCs w:val="24"/>
        </w:rPr>
      </w:pPr>
      <w:r>
        <w:rPr>
          <w:rFonts w:eastAsia="Times New Roman" w:cs="Times New Roman"/>
          <w:szCs w:val="24"/>
        </w:rPr>
        <w:t>Maintenance of large scale flood defense projects funded at the central level is the responsibility of the provincial authorities from their own resources.</w:t>
      </w:r>
    </w:p>
    <w:p w:rsidR="007F2F9C" w:rsidRDefault="007F2F9C" w:rsidP="0026021A">
      <w:pPr>
        <w:spacing w:line="269" w:lineRule="auto"/>
        <w:jc w:val="both"/>
        <w:rPr>
          <w:rFonts w:eastAsia="Times New Roman" w:cs="Times New Roman"/>
          <w:szCs w:val="24"/>
        </w:rPr>
      </w:pPr>
      <w:r>
        <w:rPr>
          <w:rFonts w:eastAsia="Times New Roman" w:cs="Times New Roman"/>
          <w:szCs w:val="24"/>
        </w:rPr>
        <w:t>The water boards are self-financing, except in the case of major restructuring of large dikes that are financed at the national level. The main governing principles are:</w:t>
      </w:r>
    </w:p>
    <w:p w:rsidR="007F2F9C" w:rsidRDefault="007F2F9C" w:rsidP="003D5A31">
      <w:pPr>
        <w:pStyle w:val="ListParagraph"/>
        <w:numPr>
          <w:ilvl w:val="0"/>
          <w:numId w:val="93"/>
        </w:numPr>
        <w:spacing w:line="269" w:lineRule="auto"/>
        <w:jc w:val="both"/>
        <w:rPr>
          <w:rFonts w:eastAsia="Times New Roman" w:cs="Times New Roman"/>
          <w:szCs w:val="24"/>
        </w:rPr>
      </w:pPr>
      <w:r>
        <w:rPr>
          <w:rFonts w:eastAsia="Times New Roman" w:cs="Times New Roman"/>
          <w:szCs w:val="24"/>
        </w:rPr>
        <w:t>Direct benefit principle</w:t>
      </w:r>
      <w:r w:rsidR="007C3491">
        <w:rPr>
          <w:rFonts w:eastAsia="Times New Roman" w:cs="Times New Roman"/>
          <w:szCs w:val="24"/>
        </w:rPr>
        <w:t>:</w:t>
      </w:r>
      <w:r>
        <w:rPr>
          <w:rFonts w:eastAsia="Times New Roman" w:cs="Times New Roman"/>
          <w:szCs w:val="24"/>
        </w:rPr>
        <w:t xml:space="preserve"> You pay more if you have greater stake and a greater share of the benefit and you also have more say and voting rights.</w:t>
      </w:r>
    </w:p>
    <w:p w:rsidR="007F2F9C" w:rsidRDefault="007F2F9C" w:rsidP="003D5A31">
      <w:pPr>
        <w:pStyle w:val="ListParagraph"/>
        <w:numPr>
          <w:ilvl w:val="0"/>
          <w:numId w:val="93"/>
        </w:numPr>
        <w:spacing w:line="269" w:lineRule="auto"/>
        <w:jc w:val="both"/>
        <w:rPr>
          <w:rFonts w:eastAsia="Times New Roman" w:cs="Times New Roman"/>
          <w:szCs w:val="24"/>
        </w:rPr>
      </w:pPr>
      <w:r>
        <w:rPr>
          <w:rFonts w:eastAsia="Times New Roman" w:cs="Times New Roman"/>
          <w:szCs w:val="24"/>
        </w:rPr>
        <w:t>The polluter pays</w:t>
      </w:r>
      <w:r w:rsidR="00FC27D5">
        <w:rPr>
          <w:rFonts w:eastAsia="Times New Roman" w:cs="Times New Roman"/>
          <w:szCs w:val="24"/>
        </w:rPr>
        <w:t xml:space="preserve"> principle</w:t>
      </w:r>
      <w:r w:rsidR="007C3491">
        <w:rPr>
          <w:rFonts w:eastAsia="Times New Roman" w:cs="Times New Roman"/>
          <w:szCs w:val="24"/>
        </w:rPr>
        <w:t>:</w:t>
      </w:r>
      <w:r>
        <w:rPr>
          <w:rFonts w:eastAsia="Times New Roman" w:cs="Times New Roman"/>
          <w:szCs w:val="24"/>
        </w:rPr>
        <w:t xml:space="preserve">  This is also the Principle of Water Framework Directive.</w:t>
      </w:r>
    </w:p>
    <w:p w:rsidR="007F2F9C" w:rsidRDefault="007F2F9C" w:rsidP="003D5A31">
      <w:pPr>
        <w:pStyle w:val="ListParagraph"/>
        <w:numPr>
          <w:ilvl w:val="0"/>
          <w:numId w:val="93"/>
        </w:numPr>
        <w:spacing w:line="269" w:lineRule="auto"/>
        <w:jc w:val="both"/>
        <w:rPr>
          <w:rFonts w:eastAsia="Times New Roman" w:cs="Times New Roman"/>
          <w:szCs w:val="24"/>
        </w:rPr>
      </w:pPr>
      <w:r>
        <w:rPr>
          <w:rFonts w:eastAsia="Times New Roman" w:cs="Times New Roman"/>
          <w:szCs w:val="24"/>
        </w:rPr>
        <w:lastRenderedPageBreak/>
        <w:t>Solidarity principle</w:t>
      </w:r>
      <w:r w:rsidR="007C3491">
        <w:rPr>
          <w:rFonts w:eastAsia="Times New Roman" w:cs="Times New Roman"/>
          <w:szCs w:val="24"/>
        </w:rPr>
        <w:t>:</w:t>
      </w:r>
      <w:r>
        <w:rPr>
          <w:rFonts w:eastAsia="Times New Roman" w:cs="Times New Roman"/>
          <w:szCs w:val="24"/>
        </w:rPr>
        <w:t xml:space="preserve"> Water boards are large enough for cities to subsidize sparsely populated rural areas.</w:t>
      </w:r>
    </w:p>
    <w:p w:rsidR="007F2F9C" w:rsidRDefault="007F2F9C" w:rsidP="003D5A31">
      <w:pPr>
        <w:pStyle w:val="ListParagraph"/>
        <w:numPr>
          <w:ilvl w:val="0"/>
          <w:numId w:val="93"/>
        </w:numPr>
        <w:spacing w:line="269" w:lineRule="auto"/>
        <w:jc w:val="both"/>
        <w:rPr>
          <w:rFonts w:eastAsia="Times New Roman" w:cs="Times New Roman"/>
          <w:szCs w:val="24"/>
        </w:rPr>
      </w:pPr>
      <w:r>
        <w:rPr>
          <w:rFonts w:eastAsia="Times New Roman" w:cs="Times New Roman"/>
          <w:szCs w:val="24"/>
        </w:rPr>
        <w:t>The cost recovery principle</w:t>
      </w:r>
      <w:r w:rsidR="007C3491">
        <w:rPr>
          <w:rFonts w:eastAsia="Times New Roman" w:cs="Times New Roman"/>
          <w:szCs w:val="24"/>
        </w:rPr>
        <w:t xml:space="preserve">:  </w:t>
      </w:r>
      <w:r w:rsidR="00DC0FC5">
        <w:rPr>
          <w:rFonts w:eastAsia="Times New Roman" w:cs="Times New Roman"/>
          <w:szCs w:val="24"/>
        </w:rPr>
        <w:t>All</w:t>
      </w:r>
      <w:r w:rsidR="00FC27D5">
        <w:rPr>
          <w:rFonts w:eastAsia="Times New Roman" w:cs="Times New Roman"/>
          <w:szCs w:val="24"/>
        </w:rPr>
        <w:t xml:space="preserve"> costs have to </w:t>
      </w:r>
      <w:r w:rsidR="00DC0FC5">
        <w:rPr>
          <w:rFonts w:eastAsia="Times New Roman" w:cs="Times New Roman"/>
          <w:szCs w:val="24"/>
        </w:rPr>
        <w:t xml:space="preserve">be </w:t>
      </w:r>
      <w:r w:rsidR="00FC27D5">
        <w:rPr>
          <w:rFonts w:eastAsia="Times New Roman" w:cs="Times New Roman"/>
          <w:szCs w:val="24"/>
        </w:rPr>
        <w:t xml:space="preserve">recovered from the beneficiaries. </w:t>
      </w:r>
    </w:p>
    <w:p w:rsidR="007F2F9C" w:rsidRDefault="007F2F9C" w:rsidP="003D5A31">
      <w:pPr>
        <w:pStyle w:val="ListParagraph"/>
        <w:numPr>
          <w:ilvl w:val="0"/>
          <w:numId w:val="93"/>
        </w:numPr>
        <w:spacing w:line="269" w:lineRule="auto"/>
        <w:jc w:val="both"/>
        <w:rPr>
          <w:rFonts w:eastAsia="Times New Roman" w:cs="Times New Roman"/>
          <w:szCs w:val="24"/>
        </w:rPr>
      </w:pPr>
      <w:r>
        <w:rPr>
          <w:rFonts w:eastAsia="Times New Roman" w:cs="Times New Roman"/>
          <w:szCs w:val="24"/>
        </w:rPr>
        <w:t>The legality principle</w:t>
      </w:r>
      <w:r w:rsidR="007C3491">
        <w:rPr>
          <w:rFonts w:eastAsia="Times New Roman" w:cs="Times New Roman"/>
          <w:szCs w:val="24"/>
        </w:rPr>
        <w:t xml:space="preserve">:  </w:t>
      </w:r>
      <w:r>
        <w:rPr>
          <w:rFonts w:eastAsia="Times New Roman" w:cs="Times New Roman"/>
          <w:szCs w:val="24"/>
        </w:rPr>
        <w:t>All principles are legally embedded in the law.</w:t>
      </w:r>
    </w:p>
    <w:p w:rsidR="007F2F9C" w:rsidRPr="004C0E05" w:rsidRDefault="007F2F9C" w:rsidP="0026021A">
      <w:pPr>
        <w:pStyle w:val="ListParagraph"/>
        <w:spacing w:line="269" w:lineRule="auto"/>
        <w:jc w:val="both"/>
        <w:rPr>
          <w:rFonts w:eastAsia="Times New Roman" w:cs="Times New Roman"/>
          <w:sz w:val="4"/>
          <w:szCs w:val="24"/>
        </w:rPr>
      </w:pPr>
    </w:p>
    <w:p w:rsidR="007F2F9C" w:rsidRDefault="007F2F9C" w:rsidP="0026021A">
      <w:pPr>
        <w:spacing w:line="269" w:lineRule="auto"/>
        <w:jc w:val="both"/>
        <w:rPr>
          <w:rFonts w:eastAsia="Times New Roman" w:cs="Times New Roman"/>
          <w:szCs w:val="24"/>
        </w:rPr>
      </w:pPr>
      <w:r>
        <w:rPr>
          <w:rFonts w:eastAsia="Times New Roman" w:cs="Times New Roman"/>
          <w:szCs w:val="24"/>
        </w:rPr>
        <w:t xml:space="preserve">The cost recovery from users is not a heavy load when compared with benefits and in relation to per capita income. </w:t>
      </w:r>
    </w:p>
    <w:p w:rsidR="007F2F9C" w:rsidRDefault="007F2F9C" w:rsidP="0026021A">
      <w:pPr>
        <w:spacing w:line="269" w:lineRule="auto"/>
        <w:jc w:val="both"/>
        <w:rPr>
          <w:rFonts w:eastAsia="Times New Roman" w:cs="Times New Roman"/>
          <w:szCs w:val="24"/>
        </w:rPr>
      </w:pPr>
      <w:r>
        <w:rPr>
          <w:rFonts w:eastAsia="Times New Roman" w:cs="Times New Roman"/>
          <w:szCs w:val="24"/>
        </w:rPr>
        <w:t xml:space="preserve">This </w:t>
      </w:r>
      <w:r w:rsidR="00065D01">
        <w:rPr>
          <w:rFonts w:eastAsia="Times New Roman" w:cs="Times New Roman"/>
          <w:szCs w:val="24"/>
        </w:rPr>
        <w:t>two</w:t>
      </w:r>
      <w:r w:rsidR="00D311D1">
        <w:rPr>
          <w:rFonts w:eastAsia="Times New Roman" w:cs="Times New Roman"/>
          <w:szCs w:val="24"/>
        </w:rPr>
        <w:t>-</w:t>
      </w:r>
      <w:r w:rsidR="00065D01">
        <w:rPr>
          <w:rFonts w:eastAsia="Times New Roman" w:cs="Times New Roman"/>
          <w:szCs w:val="24"/>
        </w:rPr>
        <w:t>step</w:t>
      </w:r>
      <w:r>
        <w:rPr>
          <w:rFonts w:eastAsia="Times New Roman" w:cs="Times New Roman"/>
          <w:szCs w:val="24"/>
        </w:rPr>
        <w:t xml:space="preserve"> innovative financing principle (tax based plus beneficiary pays principle) has helped the evolution of the Dutch Delta as the safest delta with best maintained infrastructure. Quality of work of water bodies and proper maintenance of the water infrastructure is assured through approvals of design standards and inspections by the national or provincial authorities.   By linking water financing directly to water and flood control benefits, the Netherland government is able to mobilize substantial resources for water management that would not have been possible from direct state tax resources alone.</w:t>
      </w:r>
    </w:p>
    <w:p w:rsidR="007F2F9C" w:rsidRDefault="007F2F9C" w:rsidP="0026021A">
      <w:pPr>
        <w:spacing w:line="269" w:lineRule="auto"/>
        <w:jc w:val="both"/>
        <w:rPr>
          <w:rFonts w:eastAsia="Times New Roman" w:cs="Times New Roman"/>
          <w:szCs w:val="24"/>
        </w:rPr>
      </w:pPr>
      <w:r>
        <w:rPr>
          <w:rFonts w:eastAsia="Times New Roman" w:cs="Times New Roman"/>
          <w:szCs w:val="24"/>
        </w:rPr>
        <w:t xml:space="preserve">The main lesson for Bangladesh is the need to invoke the direct benefit principle in some fashion in Bangladesh.  Water investment, maintenance, institution building and research needs are enormous and there is no way that the ADP can meet all these requirements. The ability to establish local water boards along the lines done in the Netherlands and assigning them direct stake in the planning, implementation, and maintenance of these investments can be a major breakthrough in developing sustainable financing options for water management under the Delta Plan.   </w:t>
      </w:r>
    </w:p>
    <w:p w:rsidR="007F2F9C" w:rsidRDefault="007F2F9C" w:rsidP="0026021A">
      <w:pPr>
        <w:spacing w:line="269" w:lineRule="auto"/>
        <w:jc w:val="both"/>
        <w:rPr>
          <w:rFonts w:eastAsia="Times New Roman" w:cs="Times New Roman"/>
          <w:szCs w:val="24"/>
        </w:rPr>
      </w:pPr>
      <w:r>
        <w:rPr>
          <w:rFonts w:eastAsia="Times New Roman" w:cs="Times New Roman"/>
          <w:b/>
          <w:szCs w:val="24"/>
        </w:rPr>
        <w:t xml:space="preserve">Key elements of the </w:t>
      </w:r>
      <w:r w:rsidRPr="00EA0956">
        <w:rPr>
          <w:rFonts w:eastAsia="Times New Roman" w:cs="Times New Roman"/>
          <w:b/>
          <w:szCs w:val="24"/>
        </w:rPr>
        <w:t>governance and institutional reforms</w:t>
      </w:r>
      <w:r>
        <w:rPr>
          <w:rFonts w:eastAsia="Times New Roman" w:cs="Times New Roman"/>
          <w:b/>
          <w:szCs w:val="24"/>
        </w:rPr>
        <w:t xml:space="preserve"> under the Bangladesh Delta Plan</w:t>
      </w:r>
      <w:r w:rsidRPr="00EA0956">
        <w:rPr>
          <w:rFonts w:eastAsia="Times New Roman" w:cs="Times New Roman"/>
          <w:b/>
          <w:szCs w:val="24"/>
        </w:rPr>
        <w:t xml:space="preserve">: </w:t>
      </w:r>
      <w:r>
        <w:rPr>
          <w:rFonts w:eastAsia="Times New Roman" w:cs="Times New Roman"/>
          <w:szCs w:val="24"/>
        </w:rPr>
        <w:t>Drawing from the above noted replicable lessons of the Dutch Delta management, past Bangladesh experience, and the socio-economic-political realities of Bangladesh, the proposed approach to reforming the water and other related delta governance and institutions are as follows:</w:t>
      </w:r>
    </w:p>
    <w:p w:rsidR="00F64A6A" w:rsidRDefault="007F2F9C" w:rsidP="00F64A6A">
      <w:pPr>
        <w:pStyle w:val="ListParagraph"/>
        <w:spacing w:line="276" w:lineRule="auto"/>
        <w:ind w:left="0"/>
        <w:jc w:val="both"/>
        <w:rPr>
          <w:rFonts w:eastAsia="Times New Roman" w:cs="Times New Roman"/>
          <w:szCs w:val="24"/>
        </w:rPr>
      </w:pPr>
      <w:r w:rsidRPr="004B0A08">
        <w:rPr>
          <w:rFonts w:eastAsia="Times New Roman" w:cs="Times New Roman"/>
          <w:i/>
          <w:szCs w:val="24"/>
        </w:rPr>
        <w:t>Reforming the legal framework for water management:</w:t>
      </w:r>
      <w:r w:rsidRPr="004B0A08">
        <w:rPr>
          <w:rFonts w:eastAsia="Times New Roman" w:cs="Times New Roman"/>
          <w:szCs w:val="24"/>
        </w:rPr>
        <w:t xml:space="preserve">  </w:t>
      </w:r>
      <w:r w:rsidR="00C80DD4" w:rsidRPr="006D3E84">
        <w:rPr>
          <w:rFonts w:eastAsia="Times New Roman" w:cs="Times New Roman"/>
          <w:szCs w:val="24"/>
        </w:rPr>
        <w:t>A new ‘Delta Act’ should be enacted to provide a sound legal coverage for the long-term nature of BDP 2100 including establishment of the Delta Fund, establishment of the Delta Commission and the Plan itself.</w:t>
      </w:r>
      <w:r w:rsidR="00C80DD4" w:rsidRPr="004B0A08">
        <w:rPr>
          <w:rFonts w:eastAsia="Times New Roman" w:cs="Times New Roman"/>
          <w:color w:val="0070C0"/>
          <w:szCs w:val="24"/>
        </w:rPr>
        <w:t xml:space="preserve"> </w:t>
      </w:r>
      <w:r w:rsidRPr="004B0A08">
        <w:rPr>
          <w:rFonts w:eastAsia="Times New Roman" w:cs="Times New Roman"/>
          <w:szCs w:val="24"/>
        </w:rPr>
        <w:t xml:space="preserve">The three main areas it </w:t>
      </w:r>
      <w:r w:rsidR="00C80DD4" w:rsidRPr="004B0A08">
        <w:rPr>
          <w:rFonts w:eastAsia="Times New Roman" w:cs="Times New Roman"/>
          <w:szCs w:val="24"/>
        </w:rPr>
        <w:t xml:space="preserve">will need to cover are </w:t>
      </w:r>
      <w:r w:rsidRPr="004B0A08">
        <w:rPr>
          <w:rFonts w:eastAsia="Times New Roman" w:cs="Times New Roman"/>
          <w:szCs w:val="24"/>
        </w:rPr>
        <w:t xml:space="preserve">: (a) establishment of local water bodies in the spirit of the water bodies in the Netherlands and providing the legal cover for the </w:t>
      </w:r>
      <w:r w:rsidR="00130BDC" w:rsidRPr="004B0A08">
        <w:rPr>
          <w:rFonts w:eastAsia="Times New Roman" w:cs="Times New Roman"/>
          <w:szCs w:val="24"/>
        </w:rPr>
        <w:t xml:space="preserve">operating and </w:t>
      </w:r>
      <w:r w:rsidRPr="004B0A08">
        <w:rPr>
          <w:rFonts w:eastAsia="Times New Roman" w:cs="Times New Roman"/>
          <w:szCs w:val="24"/>
        </w:rPr>
        <w:t>financial principles for the water bodies; (</w:t>
      </w:r>
      <w:r w:rsidR="009248D8">
        <w:rPr>
          <w:rFonts w:eastAsia="Times New Roman" w:cs="Times New Roman"/>
          <w:szCs w:val="24"/>
        </w:rPr>
        <w:t>b</w:t>
      </w:r>
      <w:r w:rsidRPr="004B0A08">
        <w:rPr>
          <w:rFonts w:eastAsia="Times New Roman" w:cs="Times New Roman"/>
          <w:szCs w:val="24"/>
        </w:rPr>
        <w:t xml:space="preserve">) establishing a Bangladesh Delta Commission; </w:t>
      </w:r>
    </w:p>
    <w:p w:rsidR="00F64A6A" w:rsidRPr="00F64A6A" w:rsidRDefault="00F64A6A" w:rsidP="00F64A6A">
      <w:pPr>
        <w:pStyle w:val="ListParagraph"/>
        <w:spacing w:after="40" w:line="276" w:lineRule="auto"/>
        <w:ind w:left="0"/>
        <w:jc w:val="both"/>
        <w:rPr>
          <w:rFonts w:eastAsia="Times New Roman" w:cs="Times New Roman"/>
          <w:b/>
          <w:i/>
          <w:szCs w:val="24"/>
        </w:rPr>
      </w:pPr>
      <w:r w:rsidRPr="00F64A6A">
        <w:rPr>
          <w:rFonts w:eastAsia="Times New Roman" w:cs="Times New Roman"/>
          <w:i/>
          <w:szCs w:val="24"/>
        </w:rPr>
        <w:t xml:space="preserve">(a) </w:t>
      </w:r>
      <w:r w:rsidRPr="00F64A6A">
        <w:rPr>
          <w:rFonts w:eastAsia="Times New Roman" w:cs="Times New Roman"/>
          <w:b/>
          <w:i/>
          <w:szCs w:val="24"/>
        </w:rPr>
        <w:t>Bangladesh Delta Commission</w:t>
      </w:r>
    </w:p>
    <w:p w:rsidR="00C80DD4" w:rsidRPr="006D3E84" w:rsidRDefault="00F64A6A" w:rsidP="00C80DD4">
      <w:pPr>
        <w:spacing w:after="40" w:line="276" w:lineRule="auto"/>
        <w:jc w:val="both"/>
        <w:rPr>
          <w:rFonts w:eastAsia="Times New Roman" w:cs="Times New Roman"/>
          <w:szCs w:val="24"/>
        </w:rPr>
      </w:pPr>
      <w:r w:rsidRPr="00F64A6A">
        <w:rPr>
          <w:rFonts w:eastAsia="Times New Roman" w:cs="Times New Roman"/>
          <w:i/>
          <w:szCs w:val="24"/>
        </w:rPr>
        <w:t>An important way th</w:t>
      </w:r>
      <w:r w:rsidR="00C80DD4" w:rsidRPr="007C3491">
        <w:rPr>
          <w:rFonts w:eastAsia="Times New Roman" w:cs="Times New Roman"/>
          <w:szCs w:val="24"/>
        </w:rPr>
        <w:t>e government may signal its top priority to adaptive delta management including issues and challenges related to climate change, coastal zone and river management, water supply and sanitation, environment, bio-</w:t>
      </w:r>
      <w:r w:rsidRPr="00F64A6A">
        <w:rPr>
          <w:rFonts w:eastAsia="Times New Roman" w:cs="Times New Roman"/>
          <w:color w:val="0070C0"/>
          <w:szCs w:val="24"/>
        </w:rPr>
        <w:t>d</w:t>
      </w:r>
      <w:r w:rsidRPr="00F64A6A">
        <w:rPr>
          <w:rFonts w:eastAsia="Times New Roman" w:cs="Times New Roman"/>
          <w:szCs w:val="24"/>
        </w:rPr>
        <w:t xml:space="preserve">iversity, agriculture, fisheries, Blue Economy, navigation and land management is to establish a Delta Commission to implement the Delta Plan in an integrated and holistic manner. The Bangladesh Delta Commission would be an </w:t>
      </w:r>
      <w:r w:rsidRPr="00F64A6A">
        <w:rPr>
          <w:rFonts w:eastAsia="Times New Roman" w:cs="Times New Roman"/>
          <w:szCs w:val="24"/>
        </w:rPr>
        <w:lastRenderedPageBreak/>
        <w:t xml:space="preserve">independent entity of Government of Bangladesh (GoB) which would be linked, for administrative purposes, with the Ministry of Planning. A small higher level forum, the ‘Delta Governance Council (DGC)’ is proposed, which would be chaired by the Prime Minister. The DGC would function as a formal linkage </w:t>
      </w:r>
      <w:r w:rsidRPr="00F64A6A">
        <w:rPr>
          <w:rFonts w:eastAsia="Times New Roman" w:cs="Times New Roman"/>
          <w:b/>
          <w:szCs w:val="24"/>
        </w:rPr>
        <w:t>for achieving political comm</w:t>
      </w:r>
      <w:r w:rsidR="00C80DD4" w:rsidRPr="006D3E84">
        <w:rPr>
          <w:rFonts w:eastAsia="Times New Roman" w:cs="Times New Roman"/>
          <w:szCs w:val="24"/>
        </w:rPr>
        <w:t>itments regarding BDP 2100, provide directions and makes decisions. It would provide strategi</w:t>
      </w:r>
      <w:r w:rsidR="006D3E84">
        <w:rPr>
          <w:rFonts w:eastAsia="Times New Roman" w:cs="Times New Roman"/>
          <w:szCs w:val="24"/>
        </w:rPr>
        <w:t xml:space="preserve">c advice and policy guidelines. </w:t>
      </w:r>
      <w:r w:rsidR="00C80DD4" w:rsidRPr="006D3E84">
        <w:rPr>
          <w:rFonts w:eastAsia="Times New Roman" w:cs="Times New Roman"/>
          <w:szCs w:val="24"/>
        </w:rPr>
        <w:t xml:space="preserve">The Delta Commission would guide planning and coordinate and facilitate the implementation of the Bangladesh Delta Plan 2100 (BDP 2100) by related ministries and implementing agencies, including its investment plan, to ensure that Bangladesh is able to pursue climate-resilient sustainable development. </w:t>
      </w:r>
    </w:p>
    <w:p w:rsidR="008013B7" w:rsidRPr="006D3E84" w:rsidRDefault="008013B7" w:rsidP="00C80DD4">
      <w:pPr>
        <w:spacing w:after="40" w:line="276" w:lineRule="auto"/>
        <w:jc w:val="both"/>
        <w:rPr>
          <w:rFonts w:eastAsia="Times New Roman" w:cs="Times New Roman"/>
          <w:szCs w:val="24"/>
        </w:rPr>
      </w:pPr>
    </w:p>
    <w:p w:rsidR="00C80DD4" w:rsidRPr="006D3E84" w:rsidRDefault="00C80DD4" w:rsidP="00C80DD4">
      <w:pPr>
        <w:spacing w:after="40" w:line="276" w:lineRule="auto"/>
        <w:jc w:val="both"/>
        <w:rPr>
          <w:rFonts w:eastAsia="Times New Roman" w:cs="Times New Roman"/>
          <w:szCs w:val="24"/>
        </w:rPr>
      </w:pPr>
      <w:r w:rsidRPr="006D3E84">
        <w:rPr>
          <w:rFonts w:eastAsia="Times New Roman" w:cs="Times New Roman"/>
          <w:szCs w:val="24"/>
        </w:rPr>
        <w:t xml:space="preserve">Key functions of the Delta Commission would be national level coordination, planning, programming, </w:t>
      </w:r>
      <w:r w:rsidR="00F713FF">
        <w:rPr>
          <w:rFonts w:eastAsia="Times New Roman" w:cs="Times New Roman"/>
          <w:szCs w:val="24"/>
        </w:rPr>
        <w:t xml:space="preserve">support </w:t>
      </w:r>
      <w:r w:rsidRPr="006D3E84">
        <w:rPr>
          <w:rFonts w:eastAsia="Times New Roman" w:cs="Times New Roman"/>
          <w:szCs w:val="24"/>
        </w:rPr>
        <w:t xml:space="preserve">resource mobilization, facilitating program and project preparation and facilitating implementation, monitoring and evaluation, conducting research and innovation studies, preparing policy and guidelines, knowledge management and coordination etc. </w:t>
      </w:r>
      <w:r w:rsidR="00F713FF">
        <w:rPr>
          <w:rFonts w:eastAsia="Times New Roman" w:cs="Times New Roman"/>
          <w:szCs w:val="24"/>
        </w:rPr>
        <w:t>Relevant</w:t>
      </w:r>
      <w:r w:rsidR="00F713FF" w:rsidRPr="006D3E84">
        <w:rPr>
          <w:rFonts w:eastAsia="Times New Roman" w:cs="Times New Roman"/>
          <w:szCs w:val="24"/>
        </w:rPr>
        <w:t xml:space="preserve"> </w:t>
      </w:r>
      <w:r w:rsidRPr="006D3E84">
        <w:rPr>
          <w:rFonts w:eastAsia="Times New Roman" w:cs="Times New Roman"/>
          <w:szCs w:val="24"/>
        </w:rPr>
        <w:t>Ministries and Agencies shall implement the programs and projects included in the Delta Program (BDP 2100 investment plan) and in subsequent updates.</w:t>
      </w:r>
      <w:r w:rsidR="00C02516">
        <w:rPr>
          <w:rFonts w:eastAsia="Times New Roman" w:cs="Times New Roman"/>
          <w:szCs w:val="24"/>
        </w:rPr>
        <w:t xml:space="preserve"> Key functions of the Delta Commission are as follows:</w:t>
      </w:r>
    </w:p>
    <w:p w:rsidR="008013B7" w:rsidRPr="006D3E84" w:rsidRDefault="008013B7" w:rsidP="00C80DD4">
      <w:pPr>
        <w:spacing w:after="40" w:line="276" w:lineRule="auto"/>
        <w:jc w:val="both"/>
        <w:rPr>
          <w:rFonts w:eastAsia="Times New Roman" w:cs="Times New Roman"/>
          <w:szCs w:val="24"/>
        </w:rPr>
      </w:pPr>
    </w:p>
    <w:p w:rsidR="00000000" w:rsidRDefault="00C80DD4" w:rsidP="003D5A31">
      <w:pPr>
        <w:pStyle w:val="ListParagraph"/>
        <w:numPr>
          <w:ilvl w:val="0"/>
          <w:numId w:val="174"/>
        </w:numPr>
        <w:spacing w:after="40" w:line="276" w:lineRule="auto"/>
        <w:ind w:left="426" w:hanging="426"/>
        <w:jc w:val="both"/>
        <w:rPr>
          <w:rFonts w:eastAsia="Times New Roman" w:cs="Times New Roman"/>
          <w:szCs w:val="24"/>
        </w:rPr>
      </w:pPr>
      <w:r w:rsidRPr="006D3E84">
        <w:rPr>
          <w:rFonts w:eastAsia="Times New Roman" w:cs="Times New Roman"/>
          <w:szCs w:val="24"/>
        </w:rPr>
        <w:t>The Delta Commission would be headed by the Delta Commissioner appointed by the President for minimum of a three to five-year term with the status of the State Minister.</w:t>
      </w:r>
    </w:p>
    <w:p w:rsidR="00000000" w:rsidRDefault="00C80DD4" w:rsidP="003D5A31">
      <w:pPr>
        <w:pStyle w:val="ListParagraph"/>
        <w:numPr>
          <w:ilvl w:val="0"/>
          <w:numId w:val="174"/>
        </w:numPr>
        <w:spacing w:after="40" w:line="276" w:lineRule="auto"/>
        <w:ind w:left="426" w:hanging="426"/>
        <w:jc w:val="both"/>
        <w:rPr>
          <w:rFonts w:eastAsia="Times New Roman" w:cs="Times New Roman"/>
          <w:szCs w:val="24"/>
        </w:rPr>
      </w:pPr>
      <w:r w:rsidRPr="006D3E84">
        <w:rPr>
          <w:rFonts w:eastAsia="Times New Roman" w:cs="Times New Roman"/>
          <w:szCs w:val="24"/>
        </w:rPr>
        <w:t>The Delta Commissioner would be assisted by two part-time</w:t>
      </w:r>
      <w:r w:rsidR="007C3491">
        <w:rPr>
          <w:rFonts w:eastAsia="Times New Roman" w:cs="Times New Roman"/>
          <w:szCs w:val="24"/>
        </w:rPr>
        <w:t>/full-time</w:t>
      </w:r>
      <w:r w:rsidRPr="006D3E84">
        <w:rPr>
          <w:rFonts w:eastAsia="Times New Roman" w:cs="Times New Roman"/>
          <w:szCs w:val="24"/>
        </w:rPr>
        <w:t xml:space="preserve"> specialist ‘Advisors’ </w:t>
      </w:r>
      <w:r w:rsidR="007C3491">
        <w:rPr>
          <w:rFonts w:eastAsia="Times New Roman" w:cs="Times New Roman"/>
          <w:szCs w:val="24"/>
        </w:rPr>
        <w:t xml:space="preserve">drawn </w:t>
      </w:r>
      <w:r w:rsidRPr="006D3E84">
        <w:rPr>
          <w:rFonts w:eastAsia="Times New Roman" w:cs="Times New Roman"/>
          <w:szCs w:val="24"/>
        </w:rPr>
        <w:t>from a broad range of disciplines.</w:t>
      </w:r>
    </w:p>
    <w:p w:rsidR="00000000" w:rsidRDefault="00C80DD4" w:rsidP="003D5A31">
      <w:pPr>
        <w:pStyle w:val="ListParagraph"/>
        <w:numPr>
          <w:ilvl w:val="0"/>
          <w:numId w:val="174"/>
        </w:numPr>
        <w:spacing w:after="40" w:line="276" w:lineRule="auto"/>
        <w:ind w:left="426" w:hanging="426"/>
        <w:jc w:val="both"/>
        <w:rPr>
          <w:rFonts w:eastAsia="Times New Roman" w:cs="Times New Roman"/>
          <w:szCs w:val="24"/>
        </w:rPr>
      </w:pPr>
      <w:r w:rsidRPr="006D3E84">
        <w:rPr>
          <w:rFonts w:eastAsia="Times New Roman" w:cs="Times New Roman"/>
          <w:szCs w:val="24"/>
        </w:rPr>
        <w:t>A Delta Secretariat would provide secretariat and functional support to the Delta Commission.</w:t>
      </w:r>
    </w:p>
    <w:p w:rsidR="00000000" w:rsidRDefault="008013B7" w:rsidP="003D5A31">
      <w:pPr>
        <w:pStyle w:val="ListParagraph"/>
        <w:numPr>
          <w:ilvl w:val="0"/>
          <w:numId w:val="174"/>
        </w:numPr>
        <w:spacing w:after="40" w:line="276" w:lineRule="auto"/>
        <w:ind w:left="426" w:hanging="426"/>
        <w:jc w:val="both"/>
        <w:rPr>
          <w:rFonts w:eastAsia="Times New Roman" w:cs="Times New Roman"/>
          <w:szCs w:val="24"/>
        </w:rPr>
      </w:pPr>
      <w:r w:rsidRPr="006D3E84">
        <w:rPr>
          <w:rFonts w:eastAsia="Times New Roman" w:cs="Times New Roman"/>
          <w:szCs w:val="24"/>
        </w:rPr>
        <w:t xml:space="preserve">The Delta Commission Secretariat would have multi-sectoral staffing, with at least half of them on deputation from </w:t>
      </w:r>
      <w:r w:rsidR="00C02516">
        <w:rPr>
          <w:rFonts w:eastAsia="Times New Roman" w:cs="Times New Roman"/>
          <w:szCs w:val="24"/>
        </w:rPr>
        <w:t>relevant</w:t>
      </w:r>
      <w:r w:rsidR="007C3491" w:rsidRPr="006D3E84">
        <w:rPr>
          <w:rFonts w:eastAsia="Times New Roman" w:cs="Times New Roman"/>
          <w:szCs w:val="24"/>
        </w:rPr>
        <w:t xml:space="preserve"> </w:t>
      </w:r>
      <w:r w:rsidR="00C02516">
        <w:rPr>
          <w:rFonts w:eastAsia="Times New Roman" w:cs="Times New Roman"/>
          <w:szCs w:val="24"/>
        </w:rPr>
        <w:t>organizations of the Government</w:t>
      </w:r>
      <w:r w:rsidRPr="006D3E84">
        <w:rPr>
          <w:rFonts w:eastAsia="Times New Roman" w:cs="Times New Roman"/>
          <w:szCs w:val="24"/>
        </w:rPr>
        <w:t xml:space="preserve"> </w:t>
      </w:r>
      <w:r w:rsidR="007C3491">
        <w:rPr>
          <w:rFonts w:eastAsia="Times New Roman" w:cs="Times New Roman"/>
          <w:szCs w:val="24"/>
        </w:rPr>
        <w:t xml:space="preserve">mainly </w:t>
      </w:r>
      <w:r w:rsidRPr="006D3E84">
        <w:rPr>
          <w:rFonts w:eastAsia="Times New Roman" w:cs="Times New Roman"/>
          <w:szCs w:val="24"/>
        </w:rPr>
        <w:t xml:space="preserve">at the desk level and the other half would be appointed from planning and development related </w:t>
      </w:r>
      <w:r w:rsidR="007C3491">
        <w:rPr>
          <w:rFonts w:eastAsia="Times New Roman" w:cs="Times New Roman"/>
          <w:szCs w:val="24"/>
        </w:rPr>
        <w:t xml:space="preserve">disciplines or may be outsourced based on professional experiences. </w:t>
      </w:r>
      <w:r w:rsidR="007C3491" w:rsidRPr="006D3E84">
        <w:rPr>
          <w:rFonts w:eastAsia="Times New Roman" w:cs="Times New Roman"/>
          <w:szCs w:val="24"/>
        </w:rPr>
        <w:t xml:space="preserve"> </w:t>
      </w:r>
    </w:p>
    <w:p w:rsidR="00000000" w:rsidRDefault="00C02516" w:rsidP="003D5A31">
      <w:pPr>
        <w:pStyle w:val="ListParagraph"/>
        <w:numPr>
          <w:ilvl w:val="0"/>
          <w:numId w:val="174"/>
        </w:numPr>
        <w:spacing w:after="40" w:line="276" w:lineRule="auto"/>
        <w:ind w:left="426" w:hanging="426"/>
        <w:jc w:val="both"/>
        <w:rPr>
          <w:rFonts w:eastAsia="Times New Roman" w:cs="Times New Roman"/>
          <w:szCs w:val="24"/>
        </w:rPr>
      </w:pPr>
      <w:r>
        <w:rPr>
          <w:rFonts w:eastAsia="Times New Roman" w:cs="Times New Roman"/>
          <w:szCs w:val="24"/>
        </w:rPr>
        <w:t xml:space="preserve">BWDB, WARPO, CEGIS, IWM, LGED, BARC, SPARSO, JRC, BUET, BAU, </w:t>
      </w:r>
      <w:r w:rsidR="008013B7" w:rsidRPr="006D3E84">
        <w:rPr>
          <w:rFonts w:eastAsia="Times New Roman" w:cs="Times New Roman"/>
          <w:szCs w:val="24"/>
        </w:rPr>
        <w:t>BIDS, and others have been identified as key knowledge and data support organizations.</w:t>
      </w:r>
    </w:p>
    <w:p w:rsidR="008013B7" w:rsidRPr="006D3E84" w:rsidRDefault="008013B7" w:rsidP="004B0A08">
      <w:pPr>
        <w:pStyle w:val="ListParagraph"/>
        <w:spacing w:after="40" w:line="276" w:lineRule="auto"/>
        <w:ind w:left="426"/>
        <w:jc w:val="both"/>
        <w:rPr>
          <w:rFonts w:eastAsia="Times New Roman" w:cs="Times New Roman"/>
          <w:szCs w:val="24"/>
        </w:rPr>
      </w:pPr>
    </w:p>
    <w:p w:rsidR="008013B7" w:rsidRPr="006D3E84" w:rsidRDefault="008013B7" w:rsidP="008013B7">
      <w:pPr>
        <w:spacing w:line="276" w:lineRule="auto"/>
        <w:jc w:val="both"/>
        <w:rPr>
          <w:rFonts w:eastAsia="Times New Roman" w:cs="Times New Roman"/>
          <w:szCs w:val="24"/>
        </w:rPr>
      </w:pPr>
      <w:r w:rsidRPr="006D3E84">
        <w:rPr>
          <w:rFonts w:eastAsia="Times New Roman" w:cs="Times New Roman"/>
          <w:szCs w:val="24"/>
        </w:rPr>
        <w:t xml:space="preserve">Approval of the Delta Programs and its implementation: </w:t>
      </w:r>
    </w:p>
    <w:p w:rsidR="00000000" w:rsidRDefault="008013B7" w:rsidP="003D5A31">
      <w:pPr>
        <w:pStyle w:val="ListParagraph"/>
        <w:numPr>
          <w:ilvl w:val="0"/>
          <w:numId w:val="174"/>
        </w:numPr>
        <w:spacing w:after="40" w:line="276" w:lineRule="auto"/>
        <w:ind w:left="426" w:hanging="426"/>
        <w:jc w:val="both"/>
        <w:rPr>
          <w:rFonts w:eastAsia="Times New Roman" w:cs="Times New Roman"/>
          <w:szCs w:val="24"/>
        </w:rPr>
      </w:pPr>
      <w:r w:rsidRPr="006D3E84">
        <w:rPr>
          <w:rFonts w:eastAsia="Times New Roman" w:cs="Times New Roman"/>
          <w:szCs w:val="24"/>
        </w:rPr>
        <w:t>Delta Commission would plan and prepare the Delta Program and would set priority as per strategies including adaptive pathways. Programs and projects need to be included in the Delta Program (Delta Investment Plan) for processing approval and implementation as well;</w:t>
      </w:r>
    </w:p>
    <w:p w:rsidR="00000000" w:rsidRDefault="008013B7" w:rsidP="003D5A31">
      <w:pPr>
        <w:pStyle w:val="ListParagraph"/>
        <w:numPr>
          <w:ilvl w:val="0"/>
          <w:numId w:val="174"/>
        </w:numPr>
        <w:spacing w:after="40" w:line="276" w:lineRule="auto"/>
        <w:ind w:left="426" w:hanging="426"/>
        <w:jc w:val="both"/>
        <w:rPr>
          <w:rFonts w:eastAsia="Times New Roman" w:cs="Times New Roman"/>
          <w:szCs w:val="24"/>
        </w:rPr>
      </w:pPr>
      <w:r w:rsidRPr="006D3E84">
        <w:rPr>
          <w:rFonts w:eastAsia="Times New Roman" w:cs="Times New Roman"/>
          <w:szCs w:val="24"/>
        </w:rPr>
        <w:t>In general, the project prioritization and approval pathway would remain the same as is currently practiced.  Delta Commission would undertake and approve related research studies, facilitate approved feasibility studies and capacity development projects to be financed from the earmarked Delta Fund discussed in the next section;</w:t>
      </w:r>
    </w:p>
    <w:p w:rsidR="00000000" w:rsidRDefault="008013B7" w:rsidP="003D5A31">
      <w:pPr>
        <w:pStyle w:val="ListParagraph"/>
        <w:numPr>
          <w:ilvl w:val="0"/>
          <w:numId w:val="174"/>
        </w:numPr>
        <w:spacing w:after="40" w:line="276" w:lineRule="auto"/>
        <w:ind w:left="426" w:hanging="426"/>
        <w:jc w:val="both"/>
        <w:rPr>
          <w:rFonts w:eastAsia="Times New Roman" w:cs="Times New Roman"/>
          <w:szCs w:val="24"/>
        </w:rPr>
      </w:pPr>
      <w:r w:rsidRPr="006D3E84">
        <w:rPr>
          <w:rFonts w:eastAsia="Times New Roman" w:cs="Times New Roman"/>
          <w:szCs w:val="24"/>
        </w:rPr>
        <w:lastRenderedPageBreak/>
        <w:t>Along with the implementing agencies, divisions and ministries, the Delta Commission may also conceptualize, identify delta-related programs and projects and consider for funding from earmarked Delta Fund through critical scrutiny with assistance from and in consultation with the Planning Commission and the relevant Ministries and Agencies;</w:t>
      </w:r>
    </w:p>
    <w:p w:rsidR="00000000" w:rsidRDefault="008013B7" w:rsidP="003D5A31">
      <w:pPr>
        <w:pStyle w:val="ListParagraph"/>
        <w:numPr>
          <w:ilvl w:val="0"/>
          <w:numId w:val="174"/>
        </w:numPr>
        <w:spacing w:after="40" w:line="276" w:lineRule="auto"/>
        <w:ind w:left="426" w:hanging="426"/>
        <w:jc w:val="both"/>
        <w:rPr>
          <w:rFonts w:eastAsia="Times New Roman" w:cs="Times New Roman"/>
          <w:szCs w:val="24"/>
        </w:rPr>
      </w:pPr>
      <w:r w:rsidRPr="006D3E84">
        <w:rPr>
          <w:rFonts w:eastAsia="Times New Roman" w:cs="Times New Roman"/>
          <w:szCs w:val="24"/>
        </w:rPr>
        <w:t xml:space="preserve">All the investment projects would be implemented by the relevant agencies, divisions, ministries. The Delta Commission would coordinate, guide, facilitate, </w:t>
      </w:r>
      <w:r w:rsidR="00C02516">
        <w:rPr>
          <w:rFonts w:eastAsia="Times New Roman" w:cs="Times New Roman"/>
          <w:szCs w:val="24"/>
        </w:rPr>
        <w:t xml:space="preserve">update, </w:t>
      </w:r>
      <w:r w:rsidRPr="006D3E84">
        <w:rPr>
          <w:rFonts w:eastAsia="Times New Roman" w:cs="Times New Roman"/>
          <w:szCs w:val="24"/>
        </w:rPr>
        <w:t>monitor and evaluate the implementation of BDP 2100.</w:t>
      </w:r>
    </w:p>
    <w:p w:rsidR="00D311D1" w:rsidRPr="00D311D1" w:rsidRDefault="00D311D1" w:rsidP="00D311D1">
      <w:pPr>
        <w:spacing w:after="0" w:line="276" w:lineRule="auto"/>
        <w:jc w:val="both"/>
        <w:rPr>
          <w:rFonts w:cs="Times New Roman"/>
          <w:szCs w:val="18"/>
        </w:rPr>
      </w:pPr>
    </w:p>
    <w:p w:rsidR="007F2F9C" w:rsidRDefault="007F2F9C" w:rsidP="004534E0">
      <w:pPr>
        <w:spacing w:line="276" w:lineRule="auto"/>
        <w:jc w:val="both"/>
        <w:rPr>
          <w:rFonts w:eastAsia="Times New Roman" w:cs="Times New Roman"/>
          <w:szCs w:val="24"/>
        </w:rPr>
      </w:pPr>
      <w:r>
        <w:rPr>
          <w:rFonts w:eastAsia="Times New Roman" w:cs="Times New Roman"/>
          <w:szCs w:val="24"/>
        </w:rPr>
        <w:t>(</w:t>
      </w:r>
      <w:r w:rsidR="00724C6C">
        <w:rPr>
          <w:rFonts w:eastAsia="Times New Roman" w:cs="Times New Roman"/>
          <w:szCs w:val="24"/>
        </w:rPr>
        <w:t>b</w:t>
      </w:r>
      <w:r>
        <w:rPr>
          <w:rFonts w:eastAsia="Times New Roman" w:cs="Times New Roman"/>
          <w:szCs w:val="24"/>
        </w:rPr>
        <w:t>)</w:t>
      </w:r>
      <w:r>
        <w:rPr>
          <w:rFonts w:eastAsia="Times New Roman" w:cs="Times New Roman"/>
          <w:szCs w:val="24"/>
        </w:rPr>
        <w:tab/>
      </w:r>
      <w:r w:rsidRPr="00356C70">
        <w:rPr>
          <w:rFonts w:eastAsia="Times New Roman" w:cs="Times New Roman"/>
          <w:b/>
          <w:szCs w:val="24"/>
        </w:rPr>
        <w:t>Bangladesh Delta Fund</w:t>
      </w:r>
      <w:r>
        <w:rPr>
          <w:rFonts w:eastAsia="Times New Roman" w:cs="Times New Roman"/>
          <w:b/>
          <w:szCs w:val="24"/>
        </w:rPr>
        <w:t xml:space="preserve">:  </w:t>
      </w:r>
      <w:r w:rsidR="004D00B1">
        <w:rPr>
          <w:rFonts w:eastAsia="Times New Roman" w:cs="Times New Roman"/>
          <w:szCs w:val="24"/>
        </w:rPr>
        <w:t xml:space="preserve">As noted in Chapter 11, </w:t>
      </w:r>
      <w:r>
        <w:rPr>
          <w:rFonts w:eastAsia="Times New Roman" w:cs="Times New Roman"/>
          <w:szCs w:val="24"/>
        </w:rPr>
        <w:t>Ban</w:t>
      </w:r>
      <w:r w:rsidR="004D00B1">
        <w:rPr>
          <w:rFonts w:eastAsia="Times New Roman" w:cs="Times New Roman"/>
          <w:szCs w:val="24"/>
        </w:rPr>
        <w:t>gladesh presently spends about 0.8</w:t>
      </w:r>
      <w:r>
        <w:rPr>
          <w:rFonts w:eastAsia="Times New Roman" w:cs="Times New Roman"/>
          <w:szCs w:val="24"/>
        </w:rPr>
        <w:t>% of GDP for water resources</w:t>
      </w:r>
      <w:r w:rsidR="004D00B1">
        <w:rPr>
          <w:rFonts w:eastAsia="Times New Roman" w:cs="Times New Roman"/>
          <w:szCs w:val="24"/>
        </w:rPr>
        <w:t>, mostly for new investments</w:t>
      </w:r>
      <w:r>
        <w:rPr>
          <w:rFonts w:eastAsia="Times New Roman" w:cs="Times New Roman"/>
          <w:szCs w:val="24"/>
        </w:rPr>
        <w:t xml:space="preserve">.  </w:t>
      </w:r>
      <w:r w:rsidR="004D00B1">
        <w:rPr>
          <w:rFonts w:eastAsia="Times New Roman" w:cs="Times New Roman"/>
          <w:szCs w:val="24"/>
        </w:rPr>
        <w:t xml:space="preserve">O&amp;M funding is negligible. </w:t>
      </w:r>
      <w:r>
        <w:rPr>
          <w:rFonts w:eastAsia="Times New Roman" w:cs="Times New Roman"/>
          <w:szCs w:val="24"/>
        </w:rPr>
        <w:t>This is very inadequate compared to the needs of the De</w:t>
      </w:r>
      <w:r w:rsidR="004D00B1">
        <w:rPr>
          <w:rFonts w:eastAsia="Times New Roman" w:cs="Times New Roman"/>
          <w:szCs w:val="24"/>
        </w:rPr>
        <w:t>lta Plan, as noted in chapter 11</w:t>
      </w:r>
      <w:r>
        <w:rPr>
          <w:rFonts w:eastAsia="Times New Roman" w:cs="Times New Roman"/>
          <w:szCs w:val="24"/>
        </w:rPr>
        <w:t xml:space="preserve"> on delta investment and maintenance requirements.  The chapter also noted the limitations on budget funding imposed by fiscal resource constraints. Chapter </w:t>
      </w:r>
      <w:r w:rsidR="004D00B1">
        <w:rPr>
          <w:rFonts w:eastAsia="Times New Roman" w:cs="Times New Roman"/>
          <w:szCs w:val="24"/>
        </w:rPr>
        <w:t>11</w:t>
      </w:r>
      <w:r>
        <w:rPr>
          <w:rFonts w:eastAsia="Times New Roman" w:cs="Times New Roman"/>
          <w:szCs w:val="24"/>
        </w:rPr>
        <w:t xml:space="preserve"> sug</w:t>
      </w:r>
      <w:r w:rsidR="001D71BD">
        <w:rPr>
          <w:rFonts w:eastAsia="Times New Roman" w:cs="Times New Roman"/>
          <w:szCs w:val="24"/>
        </w:rPr>
        <w:t>gested a minimum financing need</w:t>
      </w:r>
      <w:r>
        <w:rPr>
          <w:rFonts w:eastAsia="Times New Roman" w:cs="Times New Roman"/>
          <w:szCs w:val="24"/>
        </w:rPr>
        <w:t xml:space="preserve"> of about 2</w:t>
      </w:r>
      <w:r w:rsidR="001D71BD">
        <w:rPr>
          <w:rFonts w:eastAsia="Times New Roman" w:cs="Times New Roman"/>
          <w:szCs w:val="24"/>
        </w:rPr>
        <w:t>.5</w:t>
      </w:r>
      <w:r>
        <w:rPr>
          <w:rFonts w:eastAsia="Times New Roman" w:cs="Times New Roman"/>
          <w:szCs w:val="24"/>
        </w:rPr>
        <w:t>% of GDP</w:t>
      </w:r>
      <w:r w:rsidR="001D71BD">
        <w:rPr>
          <w:rFonts w:eastAsia="Times New Roman" w:cs="Times New Roman"/>
          <w:szCs w:val="24"/>
        </w:rPr>
        <w:t>, of which 2.0% would be new investments</w:t>
      </w:r>
      <w:r w:rsidR="004D00B1">
        <w:rPr>
          <w:rFonts w:eastAsia="Times New Roman" w:cs="Times New Roman"/>
          <w:szCs w:val="24"/>
        </w:rPr>
        <w:t xml:space="preserve"> and 0.5% of GDP as annual O&amp;M.  This proposed amount of annual Delta investments would amount</w:t>
      </w:r>
      <w:r>
        <w:rPr>
          <w:rFonts w:eastAsia="Times New Roman" w:cs="Times New Roman"/>
          <w:szCs w:val="24"/>
        </w:rPr>
        <w:t xml:space="preserve"> to </w:t>
      </w:r>
      <w:r w:rsidR="00C02516">
        <w:rPr>
          <w:rFonts w:eastAsia="Times New Roman" w:cs="Times New Roman"/>
          <w:szCs w:val="24"/>
        </w:rPr>
        <w:t xml:space="preserve">one </w:t>
      </w:r>
      <w:r>
        <w:rPr>
          <w:rFonts w:eastAsia="Times New Roman" w:cs="Times New Roman"/>
          <w:szCs w:val="24"/>
        </w:rPr>
        <w:t xml:space="preserve">third of </w:t>
      </w:r>
      <w:r w:rsidR="004D00B1">
        <w:rPr>
          <w:rFonts w:eastAsia="Times New Roman" w:cs="Times New Roman"/>
          <w:szCs w:val="24"/>
        </w:rPr>
        <w:t xml:space="preserve">the </w:t>
      </w:r>
      <w:r>
        <w:rPr>
          <w:rFonts w:eastAsia="Times New Roman" w:cs="Times New Roman"/>
          <w:szCs w:val="24"/>
        </w:rPr>
        <w:t>total ADP.  Given c</w:t>
      </w:r>
      <w:r w:rsidR="001D71BD">
        <w:rPr>
          <w:rFonts w:eastAsia="Times New Roman" w:cs="Times New Roman"/>
          <w:szCs w:val="24"/>
        </w:rPr>
        <w:t>ompeting needs, this jump from 0.8</w:t>
      </w:r>
      <w:r>
        <w:rPr>
          <w:rFonts w:eastAsia="Times New Roman" w:cs="Times New Roman"/>
          <w:szCs w:val="24"/>
        </w:rPr>
        <w:t>% of GDP to 2</w:t>
      </w:r>
      <w:r w:rsidR="001D71BD">
        <w:rPr>
          <w:rFonts w:eastAsia="Times New Roman" w:cs="Times New Roman"/>
          <w:szCs w:val="24"/>
        </w:rPr>
        <w:t>.5</w:t>
      </w:r>
      <w:r>
        <w:rPr>
          <w:rFonts w:eastAsia="Times New Roman" w:cs="Times New Roman"/>
          <w:szCs w:val="24"/>
        </w:rPr>
        <w:t>% of GDP can only be gradual.  Importantly, this will also require alternative sources of financing.  The Dutch experience showed that the national budget provided only about a quarter of total delta financing. Regional water bodies and municipalities provided the remaining three-quarters. Bangladesh does not have au</w:t>
      </w:r>
      <w:r w:rsidR="00FE6385">
        <w:rPr>
          <w:rFonts w:eastAsia="Times New Roman" w:cs="Times New Roman"/>
          <w:szCs w:val="24"/>
        </w:rPr>
        <w:t>to</w:t>
      </w:r>
      <w:r w:rsidR="000B096E">
        <w:rPr>
          <w:rFonts w:eastAsia="Times New Roman" w:cs="Times New Roman"/>
          <w:szCs w:val="24"/>
        </w:rPr>
        <w:t>n</w:t>
      </w:r>
      <w:r>
        <w:rPr>
          <w:rFonts w:eastAsia="Times New Roman" w:cs="Times New Roman"/>
          <w:szCs w:val="24"/>
        </w:rPr>
        <w:t>omous municipalities and local water bodies</w:t>
      </w:r>
      <w:r w:rsidR="00C02516">
        <w:rPr>
          <w:rFonts w:eastAsia="Times New Roman" w:cs="Times New Roman"/>
          <w:szCs w:val="24"/>
        </w:rPr>
        <w:t>.</w:t>
      </w:r>
      <w:r>
        <w:rPr>
          <w:rFonts w:eastAsia="Times New Roman" w:cs="Times New Roman"/>
          <w:szCs w:val="24"/>
        </w:rPr>
        <w:t xml:space="preserve"> Establishment of au</w:t>
      </w:r>
      <w:r w:rsidR="00FE6385">
        <w:rPr>
          <w:rFonts w:eastAsia="Times New Roman" w:cs="Times New Roman"/>
          <w:szCs w:val="24"/>
        </w:rPr>
        <w:t>to</w:t>
      </w:r>
      <w:r w:rsidR="000B096E">
        <w:rPr>
          <w:rFonts w:eastAsia="Times New Roman" w:cs="Times New Roman"/>
          <w:szCs w:val="24"/>
        </w:rPr>
        <w:t>n</w:t>
      </w:r>
      <w:r>
        <w:rPr>
          <w:rFonts w:eastAsia="Times New Roman" w:cs="Times New Roman"/>
          <w:szCs w:val="24"/>
        </w:rPr>
        <w:t>omous municipalities is another important institutional reform (d</w:t>
      </w:r>
      <w:r w:rsidR="004D00B1">
        <w:rPr>
          <w:rFonts w:eastAsia="Times New Roman" w:cs="Times New Roman"/>
          <w:szCs w:val="24"/>
        </w:rPr>
        <w:t>iscussed in Chapter 10</w:t>
      </w:r>
      <w:r>
        <w:rPr>
          <w:rFonts w:eastAsia="Times New Roman" w:cs="Times New Roman"/>
          <w:szCs w:val="24"/>
        </w:rPr>
        <w:t>).  But this will take time.  Similarly, the establishment of local water bodies and their effective functioning will take time.  So, effectively the national budget will be the main source of delta financing in the next few years.</w:t>
      </w:r>
    </w:p>
    <w:p w:rsidR="007F2F9C" w:rsidRDefault="007F2F9C" w:rsidP="004534E0">
      <w:pPr>
        <w:spacing w:line="276" w:lineRule="auto"/>
        <w:jc w:val="both"/>
        <w:rPr>
          <w:rFonts w:eastAsia="Times New Roman" w:cs="Times New Roman"/>
          <w:szCs w:val="24"/>
        </w:rPr>
      </w:pPr>
      <w:r>
        <w:rPr>
          <w:rFonts w:eastAsia="Times New Roman" w:cs="Times New Roman"/>
          <w:szCs w:val="24"/>
        </w:rPr>
        <w:t>Given limited resources and the need for a coordinated and integrated approach to delta spending, it would seem appropriate to establish a Delta Fund</w:t>
      </w:r>
      <w:r w:rsidR="00E03033">
        <w:rPr>
          <w:rFonts w:eastAsia="Times New Roman" w:cs="Times New Roman"/>
          <w:szCs w:val="24"/>
        </w:rPr>
        <w:t>.</w:t>
      </w:r>
      <w:r>
        <w:rPr>
          <w:rFonts w:eastAsia="Times New Roman" w:cs="Times New Roman"/>
          <w:szCs w:val="24"/>
        </w:rPr>
        <w:t xml:space="preserve"> This can start with the consolidat</w:t>
      </w:r>
      <w:r w:rsidR="004D00B1">
        <w:rPr>
          <w:rFonts w:eastAsia="Times New Roman" w:cs="Times New Roman"/>
          <w:szCs w:val="24"/>
        </w:rPr>
        <w:t>ion of current ADP spending of 0.8</w:t>
      </w:r>
      <w:r>
        <w:rPr>
          <w:rFonts w:eastAsia="Times New Roman" w:cs="Times New Roman"/>
          <w:szCs w:val="24"/>
        </w:rPr>
        <w:t xml:space="preserve">% of GDP.  But its allocation will </w:t>
      </w:r>
      <w:r w:rsidR="00E03033">
        <w:rPr>
          <w:rFonts w:eastAsia="Times New Roman" w:cs="Times New Roman"/>
          <w:szCs w:val="24"/>
        </w:rPr>
        <w:t xml:space="preserve">gradually rise over the years up to 2.5% of GDP. The Delta Commission will promote the generation of the Delta fund and </w:t>
      </w:r>
      <w:r>
        <w:rPr>
          <w:rFonts w:eastAsia="Times New Roman" w:cs="Times New Roman"/>
          <w:szCs w:val="24"/>
        </w:rPr>
        <w:t xml:space="preserve">the </w:t>
      </w:r>
      <w:r w:rsidR="00E03033">
        <w:rPr>
          <w:rFonts w:eastAsia="Times New Roman" w:cs="Times New Roman"/>
          <w:szCs w:val="24"/>
        </w:rPr>
        <w:t xml:space="preserve">allocation of the Delta fund will follow the current development fund allocation practices. </w:t>
      </w:r>
      <w:r>
        <w:rPr>
          <w:rFonts w:eastAsia="Times New Roman" w:cs="Times New Roman"/>
          <w:szCs w:val="24"/>
        </w:rPr>
        <w:t xml:space="preserve">Delta </w:t>
      </w:r>
      <w:r w:rsidR="00E03033">
        <w:rPr>
          <w:rFonts w:eastAsia="Times New Roman" w:cs="Times New Roman"/>
          <w:szCs w:val="24"/>
        </w:rPr>
        <w:t>Fund</w:t>
      </w:r>
      <w:r>
        <w:rPr>
          <w:rFonts w:eastAsia="Times New Roman" w:cs="Times New Roman"/>
          <w:szCs w:val="24"/>
        </w:rPr>
        <w:t xml:space="preserve"> will include investments, O&amp;M funding, research, capacity building and institutional development. Approved programmes will be guaranteed funding for the full life of the project and proper balance between new projects and completion of ongoing projects will be ensured. O&amp;M fund will initially come from the Delta Fund but over time it will be phased away by transferring responsibilities to the municipalities and the local water bodies. Similarly, over time the Delta Fund will manage only a small number of national high priority projects, innovation and research</w:t>
      </w:r>
      <w:r w:rsidR="00E03033">
        <w:rPr>
          <w:rFonts w:eastAsia="Times New Roman" w:cs="Times New Roman"/>
          <w:szCs w:val="24"/>
        </w:rPr>
        <w:t>.</w:t>
      </w:r>
      <w:r>
        <w:rPr>
          <w:rFonts w:eastAsia="Times New Roman" w:cs="Times New Roman"/>
          <w:szCs w:val="24"/>
        </w:rPr>
        <w:t xml:space="preserve"> The financing of smaller projects will transfer to municipalities and local water authorities with quality assurance on standards and inspection functions performed at the national level.    </w:t>
      </w:r>
    </w:p>
    <w:p w:rsidR="003722FB" w:rsidRDefault="003722FB" w:rsidP="003722FB">
      <w:pPr>
        <w:spacing w:line="276" w:lineRule="auto"/>
        <w:jc w:val="both"/>
        <w:rPr>
          <w:rFonts w:eastAsia="Times New Roman" w:cs="Times New Roman"/>
          <w:szCs w:val="24"/>
        </w:rPr>
      </w:pPr>
      <w:r>
        <w:rPr>
          <w:rFonts w:eastAsia="Times New Roman" w:cs="Times New Roman"/>
          <w:szCs w:val="24"/>
        </w:rPr>
        <w:lastRenderedPageBreak/>
        <w:t xml:space="preserve">(c) </w:t>
      </w:r>
      <w:r w:rsidRPr="00C630EB">
        <w:rPr>
          <w:rFonts w:eastAsia="Times New Roman" w:cs="Times New Roman"/>
          <w:b/>
          <w:szCs w:val="24"/>
        </w:rPr>
        <w:t>Local water bodies:</w:t>
      </w:r>
      <w:r>
        <w:rPr>
          <w:rFonts w:eastAsia="Times New Roman" w:cs="Times New Roman"/>
          <w:szCs w:val="24"/>
        </w:rPr>
        <w:t xml:space="preserve"> As discussed earlier, unlike the Dutch experience, water management is heavily centralized in Bangladesh and most water institutions are managed centrally at the national level.  The main local institutions are the WASAs, the city corporations; and the pourashavas.  These municipal institutions deal with water and sanitation issues, with services mostly concentrated in urban areas. They are managed by the Ministry of LGRD and mostly funded by the national budget with some limited cost recovery (charges for water and sanitation services). The missing institution is the representation of beneficiary stakeholders linked with coastal management, river management, fresh water wetlands (haors and baors) management, large irrigation schemes and flood control. Establishment of this missing link in water management is an essential reform for successful management of the Delta Plan. The Dutch experience described earlier provides one example.  There are other experiences as well. </w:t>
      </w:r>
    </w:p>
    <w:p w:rsidR="003722FB" w:rsidRDefault="003722FB" w:rsidP="003722FB">
      <w:pPr>
        <w:spacing w:line="276" w:lineRule="auto"/>
        <w:jc w:val="both"/>
        <w:rPr>
          <w:rFonts w:eastAsia="Times New Roman" w:cs="Times New Roman"/>
          <w:szCs w:val="24"/>
        </w:rPr>
      </w:pPr>
      <w:r>
        <w:rPr>
          <w:rFonts w:eastAsia="Times New Roman" w:cs="Times New Roman"/>
          <w:szCs w:val="24"/>
        </w:rPr>
        <w:t>These water bodies fundamentally must represent the stakeholders</w:t>
      </w:r>
      <w:r w:rsidR="00F713FF">
        <w:rPr>
          <w:rFonts w:eastAsia="Times New Roman" w:cs="Times New Roman"/>
          <w:szCs w:val="24"/>
        </w:rPr>
        <w:t>.</w:t>
      </w:r>
      <w:r>
        <w:rPr>
          <w:rFonts w:eastAsia="Times New Roman" w:cs="Times New Roman"/>
          <w:szCs w:val="24"/>
        </w:rPr>
        <w:t xml:space="preserve"> The water bodies should be established based on a careful review of good practice international experiences including the Dutch experience, analysis of the past approaches to establishing water users association in Bangladesh and the reasons for their failure, and doing additional stake-holder consultations.  The full governance principles including membership, selection process, functions, financing and accountabilities must be provided in totality as a part of the Delta Act.  Regarding the number of such water bodies, one possible approach is to consider the special water-related concerns, similar to the concept of hotspots.  By this reasoning, a total of 9 water bodies that share broadly similar hydrological concerns, although with some overlap, are listed in Table 12.4.</w:t>
      </w:r>
    </w:p>
    <w:p w:rsidR="00571B7D" w:rsidRDefault="00571B7D" w:rsidP="003722FB">
      <w:pPr>
        <w:spacing w:line="276" w:lineRule="auto"/>
        <w:jc w:val="both"/>
        <w:rPr>
          <w:rFonts w:eastAsia="Times New Roman" w:cs="Times New Roman"/>
          <w:szCs w:val="24"/>
        </w:rPr>
      </w:pPr>
    </w:p>
    <w:p w:rsidR="00571B7D" w:rsidRDefault="00571B7D" w:rsidP="003722FB">
      <w:pPr>
        <w:spacing w:line="276" w:lineRule="auto"/>
        <w:jc w:val="both"/>
        <w:rPr>
          <w:rFonts w:eastAsia="Times New Roman" w:cs="Times New Roman"/>
          <w:szCs w:val="24"/>
        </w:rPr>
      </w:pPr>
    </w:p>
    <w:p w:rsidR="00571B7D" w:rsidRDefault="00571B7D" w:rsidP="003722FB">
      <w:pPr>
        <w:spacing w:line="276" w:lineRule="auto"/>
        <w:jc w:val="both"/>
        <w:rPr>
          <w:rFonts w:eastAsia="Times New Roman" w:cs="Times New Roman"/>
          <w:szCs w:val="24"/>
        </w:rPr>
      </w:pPr>
    </w:p>
    <w:p w:rsidR="00571B7D" w:rsidRDefault="00571B7D" w:rsidP="003722FB">
      <w:pPr>
        <w:spacing w:line="276" w:lineRule="auto"/>
        <w:jc w:val="both"/>
        <w:rPr>
          <w:rFonts w:eastAsia="Times New Roman" w:cs="Times New Roman"/>
          <w:szCs w:val="24"/>
        </w:rPr>
      </w:pPr>
    </w:p>
    <w:p w:rsidR="00571B7D" w:rsidRDefault="00571B7D" w:rsidP="003722FB">
      <w:pPr>
        <w:spacing w:line="276" w:lineRule="auto"/>
        <w:jc w:val="both"/>
        <w:rPr>
          <w:rFonts w:eastAsia="Times New Roman" w:cs="Times New Roman"/>
          <w:szCs w:val="24"/>
        </w:rPr>
      </w:pPr>
    </w:p>
    <w:p w:rsidR="003722FB" w:rsidRPr="00784C2C" w:rsidRDefault="003722FB" w:rsidP="003722FB">
      <w:pPr>
        <w:pStyle w:val="Heading4"/>
      </w:pPr>
      <w:bookmarkStart w:id="889" w:name="_Toc474639147"/>
      <w:r w:rsidRPr="00784C2C">
        <w:t>Table 1</w:t>
      </w:r>
      <w:r>
        <w:t>2</w:t>
      </w:r>
      <w:r w:rsidRPr="00784C2C">
        <w:t xml:space="preserve">.4: Suggested </w:t>
      </w:r>
      <w:r w:rsidR="00F713FF">
        <w:t xml:space="preserve">Regional </w:t>
      </w:r>
      <w:r w:rsidRPr="00784C2C">
        <w:t>Water Bodies</w:t>
      </w:r>
      <w:bookmarkEnd w:id="889"/>
    </w:p>
    <w:tbl>
      <w:tblPr>
        <w:tblStyle w:val="LightShading10"/>
        <w:tblW w:w="0" w:type="auto"/>
        <w:tblLook w:val="04A0"/>
      </w:tblPr>
      <w:tblGrid>
        <w:gridCol w:w="918"/>
        <w:gridCol w:w="3510"/>
        <w:gridCol w:w="5148"/>
      </w:tblGrid>
      <w:tr w:rsidR="003722FB" w:rsidRPr="000D4E58" w:rsidTr="00472FE2">
        <w:trPr>
          <w:cnfStyle w:val="100000000000"/>
        </w:trPr>
        <w:tc>
          <w:tcPr>
            <w:cnfStyle w:val="001000000000"/>
            <w:tcW w:w="918" w:type="dxa"/>
          </w:tcPr>
          <w:p w:rsidR="003722FB" w:rsidRPr="000D4E58" w:rsidRDefault="003722FB" w:rsidP="00472FE2">
            <w:pPr>
              <w:spacing w:line="276" w:lineRule="auto"/>
              <w:rPr>
                <w:rFonts w:ascii="Times New Roman" w:eastAsia="Times New Roman" w:hAnsi="Times New Roman"/>
                <w:b w:val="0"/>
                <w:szCs w:val="24"/>
              </w:rPr>
            </w:pPr>
            <w:r w:rsidRPr="000D4E58">
              <w:rPr>
                <w:rFonts w:ascii="Times New Roman" w:eastAsia="Times New Roman" w:hAnsi="Times New Roman"/>
                <w:b w:val="0"/>
                <w:szCs w:val="24"/>
              </w:rPr>
              <w:t>Sl. No</w:t>
            </w:r>
          </w:p>
        </w:tc>
        <w:tc>
          <w:tcPr>
            <w:tcW w:w="3510" w:type="dxa"/>
          </w:tcPr>
          <w:p w:rsidR="003722FB" w:rsidRPr="000D4E58" w:rsidRDefault="003722FB" w:rsidP="00472FE2">
            <w:pPr>
              <w:spacing w:line="276" w:lineRule="auto"/>
              <w:jc w:val="both"/>
              <w:cnfStyle w:val="100000000000"/>
              <w:rPr>
                <w:rFonts w:ascii="Times New Roman" w:eastAsia="Times New Roman" w:hAnsi="Times New Roman"/>
                <w:b w:val="0"/>
                <w:szCs w:val="24"/>
              </w:rPr>
            </w:pPr>
            <w:r w:rsidRPr="000D4E58">
              <w:rPr>
                <w:rFonts w:ascii="Times New Roman" w:eastAsia="Times New Roman" w:hAnsi="Times New Roman"/>
                <w:b w:val="0"/>
                <w:szCs w:val="24"/>
              </w:rPr>
              <w:t>Water Body</w:t>
            </w:r>
          </w:p>
        </w:tc>
        <w:tc>
          <w:tcPr>
            <w:tcW w:w="5148" w:type="dxa"/>
          </w:tcPr>
          <w:p w:rsidR="003722FB" w:rsidRPr="000D4E58" w:rsidRDefault="003722FB" w:rsidP="00472FE2">
            <w:pPr>
              <w:spacing w:line="276" w:lineRule="auto"/>
              <w:jc w:val="both"/>
              <w:cnfStyle w:val="100000000000"/>
              <w:rPr>
                <w:rFonts w:ascii="Times New Roman" w:eastAsia="Times New Roman" w:hAnsi="Times New Roman"/>
                <w:b w:val="0"/>
                <w:szCs w:val="24"/>
              </w:rPr>
            </w:pPr>
            <w:r w:rsidRPr="000D4E58">
              <w:rPr>
                <w:rFonts w:ascii="Times New Roman" w:eastAsia="Times New Roman" w:hAnsi="Times New Roman"/>
                <w:b w:val="0"/>
                <w:szCs w:val="24"/>
              </w:rPr>
              <w:t>Comprising Districts</w:t>
            </w:r>
          </w:p>
        </w:tc>
      </w:tr>
      <w:tr w:rsidR="003722FB" w:rsidRPr="000D4E58" w:rsidTr="00472FE2">
        <w:trPr>
          <w:cnfStyle w:val="000000100000"/>
        </w:trPr>
        <w:tc>
          <w:tcPr>
            <w:cnfStyle w:val="001000000000"/>
            <w:tcW w:w="918" w:type="dxa"/>
          </w:tcPr>
          <w:p w:rsidR="003722FB" w:rsidRPr="000D4E58" w:rsidRDefault="003722FB" w:rsidP="00472FE2">
            <w:pPr>
              <w:spacing w:after="0" w:line="276" w:lineRule="auto"/>
              <w:jc w:val="both"/>
              <w:rPr>
                <w:rFonts w:ascii="Times New Roman" w:eastAsia="Times New Roman" w:hAnsi="Times New Roman"/>
                <w:szCs w:val="24"/>
              </w:rPr>
            </w:pPr>
            <w:r w:rsidRPr="000D4E58">
              <w:rPr>
                <w:rFonts w:ascii="Times New Roman" w:eastAsia="Times New Roman" w:hAnsi="Times New Roman"/>
                <w:szCs w:val="24"/>
              </w:rPr>
              <w:t>1.</w:t>
            </w:r>
          </w:p>
        </w:tc>
        <w:tc>
          <w:tcPr>
            <w:tcW w:w="3510" w:type="dxa"/>
          </w:tcPr>
          <w:p w:rsidR="003722FB" w:rsidRPr="000D4E58" w:rsidRDefault="003722FB" w:rsidP="00472FE2">
            <w:pPr>
              <w:spacing w:after="0" w:line="276" w:lineRule="auto"/>
              <w:cnfStyle w:val="000000100000"/>
              <w:rPr>
                <w:rFonts w:ascii="Times New Roman" w:eastAsia="Times New Roman" w:hAnsi="Times New Roman"/>
                <w:szCs w:val="24"/>
              </w:rPr>
            </w:pPr>
            <w:r w:rsidRPr="000D4E58">
              <w:rPr>
                <w:rFonts w:ascii="Times New Roman" w:eastAsia="Times New Roman" w:hAnsi="Times New Roman"/>
                <w:szCs w:val="24"/>
              </w:rPr>
              <w:t>The Chittagong Coastal Belt Water Body (CCBWB)</w:t>
            </w:r>
          </w:p>
        </w:tc>
        <w:tc>
          <w:tcPr>
            <w:tcW w:w="5148" w:type="dxa"/>
          </w:tcPr>
          <w:p w:rsidR="003722FB" w:rsidRPr="000D4E58" w:rsidRDefault="003722FB" w:rsidP="00472FE2">
            <w:pPr>
              <w:spacing w:after="0" w:line="276" w:lineRule="auto"/>
              <w:jc w:val="both"/>
              <w:cnfStyle w:val="000000100000"/>
              <w:rPr>
                <w:rFonts w:ascii="Times New Roman" w:eastAsia="Times New Roman" w:hAnsi="Times New Roman"/>
                <w:szCs w:val="24"/>
              </w:rPr>
            </w:pPr>
            <w:r w:rsidRPr="000D4E58">
              <w:rPr>
                <w:rFonts w:ascii="Times New Roman" w:eastAsia="Times New Roman" w:hAnsi="Times New Roman"/>
                <w:szCs w:val="24"/>
              </w:rPr>
              <w:t>Chittagong, Cox's Bazaar, Feni, Lakshmipur and  Noakhali  (5)</w:t>
            </w:r>
          </w:p>
        </w:tc>
      </w:tr>
      <w:tr w:rsidR="003722FB" w:rsidRPr="000D4E58" w:rsidTr="00472FE2">
        <w:tc>
          <w:tcPr>
            <w:cnfStyle w:val="001000000000"/>
            <w:tcW w:w="918" w:type="dxa"/>
          </w:tcPr>
          <w:p w:rsidR="003722FB" w:rsidRPr="000D4E58" w:rsidRDefault="003722FB" w:rsidP="00472FE2">
            <w:pPr>
              <w:spacing w:after="0" w:line="276" w:lineRule="auto"/>
              <w:jc w:val="both"/>
              <w:rPr>
                <w:rFonts w:ascii="Times New Roman" w:eastAsia="Times New Roman" w:hAnsi="Times New Roman"/>
                <w:szCs w:val="24"/>
              </w:rPr>
            </w:pPr>
            <w:r w:rsidRPr="000D4E58">
              <w:rPr>
                <w:rFonts w:ascii="Times New Roman" w:eastAsia="Times New Roman" w:hAnsi="Times New Roman"/>
                <w:szCs w:val="24"/>
              </w:rPr>
              <w:t>2.</w:t>
            </w:r>
          </w:p>
        </w:tc>
        <w:tc>
          <w:tcPr>
            <w:tcW w:w="3510" w:type="dxa"/>
          </w:tcPr>
          <w:p w:rsidR="003722FB" w:rsidRPr="000D4E58" w:rsidRDefault="003722FB" w:rsidP="00472FE2">
            <w:pPr>
              <w:spacing w:after="0" w:line="276" w:lineRule="auto"/>
              <w:cnfStyle w:val="000000000000"/>
              <w:rPr>
                <w:rFonts w:ascii="Times New Roman" w:eastAsia="Times New Roman" w:hAnsi="Times New Roman"/>
                <w:szCs w:val="24"/>
              </w:rPr>
            </w:pPr>
            <w:r w:rsidRPr="000D4E58">
              <w:rPr>
                <w:rFonts w:ascii="Times New Roman" w:eastAsia="Times New Roman" w:hAnsi="Times New Roman"/>
                <w:szCs w:val="24"/>
              </w:rPr>
              <w:t>The Barisal Coastal Belt Water Body (BCBWB)</w:t>
            </w:r>
          </w:p>
        </w:tc>
        <w:tc>
          <w:tcPr>
            <w:tcW w:w="5148" w:type="dxa"/>
          </w:tcPr>
          <w:p w:rsidR="003722FB" w:rsidRPr="000D4E58" w:rsidRDefault="003722FB" w:rsidP="00472FE2">
            <w:pPr>
              <w:spacing w:after="0" w:line="276" w:lineRule="auto"/>
              <w:jc w:val="both"/>
              <w:cnfStyle w:val="000000000000"/>
              <w:rPr>
                <w:rFonts w:ascii="Times New Roman" w:eastAsia="Times New Roman" w:hAnsi="Times New Roman"/>
                <w:szCs w:val="24"/>
              </w:rPr>
            </w:pPr>
            <w:r w:rsidRPr="000D4E58">
              <w:rPr>
                <w:rFonts w:ascii="Times New Roman" w:eastAsia="Times New Roman" w:hAnsi="Times New Roman"/>
                <w:szCs w:val="24"/>
              </w:rPr>
              <w:t>Barguna, Barisal, Bhola, Jhalokati, Patuakhali and Pirojpur (6)</w:t>
            </w:r>
          </w:p>
        </w:tc>
      </w:tr>
      <w:tr w:rsidR="003722FB" w:rsidRPr="000D4E58" w:rsidTr="00472FE2">
        <w:trPr>
          <w:cnfStyle w:val="000000100000"/>
        </w:trPr>
        <w:tc>
          <w:tcPr>
            <w:cnfStyle w:val="001000000000"/>
            <w:tcW w:w="918" w:type="dxa"/>
          </w:tcPr>
          <w:p w:rsidR="003722FB" w:rsidRPr="000D4E58" w:rsidRDefault="003722FB" w:rsidP="00472FE2">
            <w:pPr>
              <w:spacing w:after="0" w:line="276" w:lineRule="auto"/>
              <w:jc w:val="both"/>
              <w:rPr>
                <w:rFonts w:ascii="Times New Roman" w:eastAsia="Times New Roman" w:hAnsi="Times New Roman"/>
                <w:szCs w:val="24"/>
              </w:rPr>
            </w:pPr>
            <w:r w:rsidRPr="000D4E58">
              <w:rPr>
                <w:rFonts w:ascii="Times New Roman" w:eastAsia="Times New Roman" w:hAnsi="Times New Roman"/>
                <w:szCs w:val="24"/>
              </w:rPr>
              <w:t>3.</w:t>
            </w:r>
          </w:p>
        </w:tc>
        <w:tc>
          <w:tcPr>
            <w:tcW w:w="3510" w:type="dxa"/>
          </w:tcPr>
          <w:p w:rsidR="003722FB" w:rsidRPr="000D4E58" w:rsidRDefault="003722FB" w:rsidP="00472FE2">
            <w:pPr>
              <w:spacing w:after="0" w:line="276" w:lineRule="auto"/>
              <w:cnfStyle w:val="000000100000"/>
              <w:rPr>
                <w:rFonts w:ascii="Times New Roman" w:eastAsia="Times New Roman" w:hAnsi="Times New Roman"/>
                <w:szCs w:val="24"/>
              </w:rPr>
            </w:pPr>
            <w:r w:rsidRPr="000D4E58">
              <w:rPr>
                <w:rFonts w:ascii="Times New Roman" w:eastAsia="Times New Roman" w:hAnsi="Times New Roman"/>
                <w:szCs w:val="24"/>
              </w:rPr>
              <w:t>The Khulna Coastal Belt Water Body (KCBWB)</w:t>
            </w:r>
          </w:p>
        </w:tc>
        <w:tc>
          <w:tcPr>
            <w:tcW w:w="5148" w:type="dxa"/>
          </w:tcPr>
          <w:p w:rsidR="003722FB" w:rsidRPr="000D4E58" w:rsidRDefault="003722FB" w:rsidP="00472FE2">
            <w:pPr>
              <w:spacing w:after="0" w:line="276" w:lineRule="auto"/>
              <w:jc w:val="both"/>
              <w:cnfStyle w:val="000000100000"/>
              <w:rPr>
                <w:rFonts w:ascii="Times New Roman" w:eastAsia="Times New Roman" w:hAnsi="Times New Roman"/>
                <w:szCs w:val="24"/>
              </w:rPr>
            </w:pPr>
            <w:r w:rsidRPr="000D4E58">
              <w:rPr>
                <w:rFonts w:ascii="Times New Roman" w:eastAsia="Times New Roman" w:hAnsi="Times New Roman"/>
                <w:szCs w:val="24"/>
              </w:rPr>
              <w:t>Bagerhat, Jessore,  Khulna, Narail  and Satkhira(5)</w:t>
            </w:r>
          </w:p>
        </w:tc>
      </w:tr>
      <w:tr w:rsidR="003722FB" w:rsidRPr="000D4E58" w:rsidTr="00472FE2">
        <w:tc>
          <w:tcPr>
            <w:cnfStyle w:val="001000000000"/>
            <w:tcW w:w="918" w:type="dxa"/>
          </w:tcPr>
          <w:p w:rsidR="003722FB" w:rsidRPr="000D4E58" w:rsidRDefault="003722FB" w:rsidP="00472FE2">
            <w:pPr>
              <w:spacing w:after="0" w:line="276" w:lineRule="auto"/>
              <w:jc w:val="both"/>
              <w:rPr>
                <w:rFonts w:ascii="Times New Roman" w:eastAsia="Times New Roman" w:hAnsi="Times New Roman"/>
                <w:szCs w:val="24"/>
              </w:rPr>
            </w:pPr>
            <w:r w:rsidRPr="000D4E58">
              <w:rPr>
                <w:rFonts w:ascii="Times New Roman" w:eastAsia="Times New Roman" w:hAnsi="Times New Roman"/>
                <w:szCs w:val="24"/>
              </w:rPr>
              <w:t>4.</w:t>
            </w:r>
          </w:p>
        </w:tc>
        <w:tc>
          <w:tcPr>
            <w:tcW w:w="3510" w:type="dxa"/>
          </w:tcPr>
          <w:p w:rsidR="003722FB" w:rsidRPr="000D4E58" w:rsidRDefault="003722FB" w:rsidP="00472FE2">
            <w:pPr>
              <w:spacing w:after="0" w:line="276" w:lineRule="auto"/>
              <w:cnfStyle w:val="000000000000"/>
              <w:rPr>
                <w:rFonts w:ascii="Times New Roman" w:eastAsia="Times New Roman" w:hAnsi="Times New Roman"/>
                <w:szCs w:val="24"/>
              </w:rPr>
            </w:pPr>
            <w:r w:rsidRPr="000D4E58">
              <w:rPr>
                <w:rFonts w:ascii="Times New Roman" w:eastAsia="Times New Roman" w:hAnsi="Times New Roman"/>
                <w:szCs w:val="24"/>
              </w:rPr>
              <w:t>The Chittagong Hill Tracts Water Body (CHTWB)</w:t>
            </w:r>
          </w:p>
        </w:tc>
        <w:tc>
          <w:tcPr>
            <w:tcW w:w="5148" w:type="dxa"/>
          </w:tcPr>
          <w:p w:rsidR="003722FB" w:rsidRPr="000D4E58" w:rsidRDefault="003722FB" w:rsidP="00472FE2">
            <w:pPr>
              <w:spacing w:after="0" w:line="276" w:lineRule="auto"/>
              <w:jc w:val="both"/>
              <w:cnfStyle w:val="000000000000"/>
              <w:rPr>
                <w:rFonts w:ascii="Times New Roman" w:eastAsia="Times New Roman" w:hAnsi="Times New Roman"/>
                <w:szCs w:val="24"/>
              </w:rPr>
            </w:pPr>
            <w:r w:rsidRPr="000D4E58">
              <w:rPr>
                <w:rFonts w:ascii="Times New Roman" w:eastAsia="Times New Roman" w:hAnsi="Times New Roman"/>
                <w:szCs w:val="24"/>
              </w:rPr>
              <w:t>Bandarban, Khagrachari and Rangamati (3)</w:t>
            </w:r>
          </w:p>
        </w:tc>
      </w:tr>
      <w:tr w:rsidR="003722FB" w:rsidRPr="000D4E58" w:rsidTr="00472FE2">
        <w:trPr>
          <w:cnfStyle w:val="000000100000"/>
        </w:trPr>
        <w:tc>
          <w:tcPr>
            <w:cnfStyle w:val="001000000000"/>
            <w:tcW w:w="918" w:type="dxa"/>
          </w:tcPr>
          <w:p w:rsidR="003722FB" w:rsidRPr="000D4E58" w:rsidRDefault="003722FB" w:rsidP="00472FE2">
            <w:pPr>
              <w:spacing w:after="0" w:line="276" w:lineRule="auto"/>
              <w:jc w:val="both"/>
              <w:rPr>
                <w:rFonts w:ascii="Times New Roman" w:eastAsia="Times New Roman" w:hAnsi="Times New Roman"/>
                <w:szCs w:val="24"/>
              </w:rPr>
            </w:pPr>
            <w:r w:rsidRPr="000D4E58">
              <w:rPr>
                <w:rFonts w:ascii="Times New Roman" w:eastAsia="Times New Roman" w:hAnsi="Times New Roman"/>
                <w:szCs w:val="24"/>
              </w:rPr>
              <w:t>5.</w:t>
            </w:r>
          </w:p>
        </w:tc>
        <w:tc>
          <w:tcPr>
            <w:tcW w:w="3510" w:type="dxa"/>
          </w:tcPr>
          <w:p w:rsidR="003722FB" w:rsidRPr="000D4E58" w:rsidRDefault="003722FB" w:rsidP="00472FE2">
            <w:pPr>
              <w:spacing w:after="0" w:line="276" w:lineRule="auto"/>
              <w:cnfStyle w:val="000000100000"/>
              <w:rPr>
                <w:rFonts w:ascii="Times New Roman" w:eastAsia="Times New Roman" w:hAnsi="Times New Roman"/>
                <w:szCs w:val="24"/>
              </w:rPr>
            </w:pPr>
            <w:r w:rsidRPr="000D4E58">
              <w:rPr>
                <w:rFonts w:ascii="Times New Roman" w:eastAsia="Times New Roman" w:hAnsi="Times New Roman"/>
                <w:szCs w:val="24"/>
              </w:rPr>
              <w:t>The Haor Area Water Body (HAWB)</w:t>
            </w:r>
          </w:p>
        </w:tc>
        <w:tc>
          <w:tcPr>
            <w:tcW w:w="5148" w:type="dxa"/>
          </w:tcPr>
          <w:p w:rsidR="003722FB" w:rsidRPr="000D4E58" w:rsidRDefault="003722FB" w:rsidP="00472FE2">
            <w:pPr>
              <w:spacing w:after="0" w:line="276" w:lineRule="auto"/>
              <w:jc w:val="both"/>
              <w:cnfStyle w:val="000000100000"/>
              <w:rPr>
                <w:rFonts w:ascii="Times New Roman" w:eastAsia="Times New Roman" w:hAnsi="Times New Roman"/>
                <w:szCs w:val="24"/>
              </w:rPr>
            </w:pPr>
            <w:r w:rsidRPr="000D4E58">
              <w:rPr>
                <w:rFonts w:ascii="Times New Roman" w:eastAsia="Times New Roman" w:hAnsi="Times New Roman"/>
                <w:szCs w:val="24"/>
              </w:rPr>
              <w:t xml:space="preserve">Brahmanbaria, Habiganj, Maulvibazar, Netrakona, </w:t>
            </w:r>
            <w:r w:rsidRPr="000D4E58">
              <w:rPr>
                <w:rFonts w:ascii="Times New Roman" w:eastAsia="Times New Roman" w:hAnsi="Times New Roman"/>
                <w:szCs w:val="24"/>
              </w:rPr>
              <w:lastRenderedPageBreak/>
              <w:t>Srimangal, Sunamganj and Sylhet (7)</w:t>
            </w:r>
          </w:p>
        </w:tc>
      </w:tr>
      <w:tr w:rsidR="003722FB" w:rsidRPr="000D4E58" w:rsidTr="00472FE2">
        <w:tc>
          <w:tcPr>
            <w:cnfStyle w:val="001000000000"/>
            <w:tcW w:w="918" w:type="dxa"/>
          </w:tcPr>
          <w:p w:rsidR="003722FB" w:rsidRPr="000D4E58" w:rsidRDefault="003722FB" w:rsidP="00472FE2">
            <w:pPr>
              <w:spacing w:after="0" w:line="276" w:lineRule="auto"/>
              <w:jc w:val="both"/>
              <w:rPr>
                <w:rFonts w:ascii="Times New Roman" w:eastAsia="Times New Roman" w:hAnsi="Times New Roman"/>
                <w:szCs w:val="24"/>
              </w:rPr>
            </w:pPr>
            <w:r w:rsidRPr="000D4E58">
              <w:rPr>
                <w:rFonts w:ascii="Times New Roman" w:eastAsia="Times New Roman" w:hAnsi="Times New Roman"/>
                <w:szCs w:val="24"/>
              </w:rPr>
              <w:lastRenderedPageBreak/>
              <w:t>6.</w:t>
            </w:r>
          </w:p>
        </w:tc>
        <w:tc>
          <w:tcPr>
            <w:tcW w:w="3510" w:type="dxa"/>
          </w:tcPr>
          <w:p w:rsidR="003722FB" w:rsidRPr="000D4E58" w:rsidRDefault="003722FB" w:rsidP="00472FE2">
            <w:pPr>
              <w:spacing w:after="0" w:line="276" w:lineRule="auto"/>
              <w:jc w:val="both"/>
              <w:cnfStyle w:val="000000000000"/>
              <w:rPr>
                <w:rFonts w:ascii="Times New Roman" w:eastAsia="Times New Roman" w:hAnsi="Times New Roman"/>
                <w:szCs w:val="24"/>
              </w:rPr>
            </w:pPr>
            <w:r w:rsidRPr="000D4E58">
              <w:rPr>
                <w:rFonts w:ascii="Times New Roman" w:eastAsia="Times New Roman" w:hAnsi="Times New Roman"/>
                <w:szCs w:val="24"/>
              </w:rPr>
              <w:t>The Barind Area Water Body (BAWB)</w:t>
            </w:r>
          </w:p>
        </w:tc>
        <w:tc>
          <w:tcPr>
            <w:tcW w:w="5148" w:type="dxa"/>
          </w:tcPr>
          <w:p w:rsidR="003722FB" w:rsidRPr="000D4E58" w:rsidRDefault="003722FB" w:rsidP="00472FE2">
            <w:pPr>
              <w:spacing w:after="0" w:line="276" w:lineRule="auto"/>
              <w:jc w:val="both"/>
              <w:cnfStyle w:val="000000000000"/>
              <w:rPr>
                <w:rFonts w:ascii="Times New Roman" w:eastAsia="Times New Roman" w:hAnsi="Times New Roman"/>
                <w:szCs w:val="24"/>
              </w:rPr>
            </w:pPr>
            <w:r w:rsidRPr="000D4E58">
              <w:rPr>
                <w:rFonts w:ascii="Times New Roman" w:eastAsia="Times New Roman" w:hAnsi="Times New Roman"/>
                <w:szCs w:val="24"/>
              </w:rPr>
              <w:t xml:space="preserve">Chuadanga, Dinajpur, Jhenidah, Joypurhat, Kushtia, Magura, Meherpur, Naogaon, Natore, Nawabganj, Nilphamari,  Panchagarh,  Rangpur and Thakurgaon (14)  </w:t>
            </w:r>
          </w:p>
        </w:tc>
      </w:tr>
      <w:tr w:rsidR="003722FB" w:rsidRPr="000D4E58" w:rsidTr="00472FE2">
        <w:trPr>
          <w:cnfStyle w:val="000000100000"/>
        </w:trPr>
        <w:tc>
          <w:tcPr>
            <w:cnfStyle w:val="001000000000"/>
            <w:tcW w:w="918" w:type="dxa"/>
          </w:tcPr>
          <w:p w:rsidR="003722FB" w:rsidRPr="000D4E58" w:rsidRDefault="003722FB" w:rsidP="00472FE2">
            <w:pPr>
              <w:spacing w:after="0" w:line="276" w:lineRule="auto"/>
              <w:jc w:val="both"/>
              <w:rPr>
                <w:rFonts w:ascii="Times New Roman" w:eastAsia="Times New Roman" w:hAnsi="Times New Roman"/>
                <w:szCs w:val="24"/>
              </w:rPr>
            </w:pPr>
            <w:r w:rsidRPr="000D4E58">
              <w:rPr>
                <w:rFonts w:ascii="Times New Roman" w:eastAsia="Times New Roman" w:hAnsi="Times New Roman"/>
                <w:szCs w:val="24"/>
              </w:rPr>
              <w:t>7.</w:t>
            </w:r>
          </w:p>
        </w:tc>
        <w:tc>
          <w:tcPr>
            <w:tcW w:w="3510" w:type="dxa"/>
          </w:tcPr>
          <w:p w:rsidR="003722FB" w:rsidRPr="000D4E58" w:rsidRDefault="003722FB" w:rsidP="00472FE2">
            <w:pPr>
              <w:spacing w:after="0" w:line="276" w:lineRule="auto"/>
              <w:jc w:val="both"/>
              <w:cnfStyle w:val="000000100000"/>
              <w:rPr>
                <w:rFonts w:ascii="Times New Roman" w:eastAsia="Times New Roman" w:hAnsi="Times New Roman"/>
                <w:szCs w:val="24"/>
              </w:rPr>
            </w:pPr>
            <w:r w:rsidRPr="000D4E58">
              <w:rPr>
                <w:rFonts w:ascii="Times New Roman" w:eastAsia="Times New Roman" w:hAnsi="Times New Roman"/>
                <w:szCs w:val="24"/>
              </w:rPr>
              <w:t>The Central Area Flood Plain Water Body (CFPWB)</w:t>
            </w:r>
          </w:p>
        </w:tc>
        <w:tc>
          <w:tcPr>
            <w:tcW w:w="5148" w:type="dxa"/>
          </w:tcPr>
          <w:p w:rsidR="003722FB" w:rsidRPr="000D4E58" w:rsidRDefault="003722FB" w:rsidP="00472FE2">
            <w:pPr>
              <w:spacing w:after="0" w:line="276" w:lineRule="auto"/>
              <w:jc w:val="both"/>
              <w:cnfStyle w:val="000000100000"/>
              <w:rPr>
                <w:rFonts w:ascii="Times New Roman" w:eastAsia="Times New Roman" w:hAnsi="Times New Roman"/>
                <w:szCs w:val="24"/>
              </w:rPr>
            </w:pPr>
            <w:r w:rsidRPr="000D4E58">
              <w:rPr>
                <w:rFonts w:ascii="Times New Roman" w:eastAsia="Times New Roman" w:hAnsi="Times New Roman"/>
                <w:szCs w:val="24"/>
              </w:rPr>
              <w:t xml:space="preserve">Dhaka, Gazipur, Kishoreganj, Manikganj, Mymensingh, Narayanganj, Narsingdi and Tangail (8) </w:t>
            </w:r>
          </w:p>
        </w:tc>
      </w:tr>
      <w:tr w:rsidR="003722FB" w:rsidRPr="000D4E58" w:rsidTr="00472FE2">
        <w:tc>
          <w:tcPr>
            <w:cnfStyle w:val="001000000000"/>
            <w:tcW w:w="918" w:type="dxa"/>
          </w:tcPr>
          <w:p w:rsidR="003722FB" w:rsidRPr="000D4E58" w:rsidRDefault="003722FB" w:rsidP="00472FE2">
            <w:pPr>
              <w:spacing w:after="0" w:line="276" w:lineRule="auto"/>
              <w:jc w:val="both"/>
              <w:rPr>
                <w:rFonts w:ascii="Times New Roman" w:eastAsia="Times New Roman" w:hAnsi="Times New Roman"/>
                <w:szCs w:val="24"/>
              </w:rPr>
            </w:pPr>
            <w:r w:rsidRPr="000D4E58">
              <w:rPr>
                <w:rFonts w:ascii="Times New Roman" w:eastAsia="Times New Roman" w:hAnsi="Times New Roman"/>
                <w:szCs w:val="24"/>
              </w:rPr>
              <w:t>8.</w:t>
            </w:r>
          </w:p>
        </w:tc>
        <w:tc>
          <w:tcPr>
            <w:tcW w:w="3510" w:type="dxa"/>
          </w:tcPr>
          <w:p w:rsidR="003722FB" w:rsidRPr="000D4E58" w:rsidRDefault="003722FB" w:rsidP="00472FE2">
            <w:pPr>
              <w:spacing w:after="0" w:line="276" w:lineRule="auto"/>
              <w:jc w:val="both"/>
              <w:cnfStyle w:val="000000000000"/>
              <w:rPr>
                <w:rFonts w:ascii="Times New Roman" w:eastAsia="Times New Roman" w:hAnsi="Times New Roman"/>
                <w:szCs w:val="24"/>
              </w:rPr>
            </w:pPr>
            <w:r w:rsidRPr="000D4E58">
              <w:rPr>
                <w:rFonts w:ascii="Times New Roman" w:eastAsia="Times New Roman" w:hAnsi="Times New Roman"/>
                <w:szCs w:val="24"/>
              </w:rPr>
              <w:t>The Southern Area Flood Plain Water Body (SFPWB)</w:t>
            </w:r>
          </w:p>
        </w:tc>
        <w:tc>
          <w:tcPr>
            <w:tcW w:w="5148" w:type="dxa"/>
          </w:tcPr>
          <w:p w:rsidR="003722FB" w:rsidRPr="000D4E58" w:rsidRDefault="003722FB" w:rsidP="00472FE2">
            <w:pPr>
              <w:spacing w:after="0" w:line="276" w:lineRule="auto"/>
              <w:jc w:val="both"/>
              <w:cnfStyle w:val="000000000000"/>
              <w:rPr>
                <w:rFonts w:ascii="Times New Roman" w:eastAsia="Times New Roman" w:hAnsi="Times New Roman"/>
                <w:szCs w:val="24"/>
              </w:rPr>
            </w:pPr>
            <w:r w:rsidRPr="000D4E58">
              <w:rPr>
                <w:rFonts w:ascii="Times New Roman" w:eastAsia="Times New Roman" w:hAnsi="Times New Roman"/>
                <w:szCs w:val="24"/>
              </w:rPr>
              <w:t>Chandpur, Comilla, Faridpur, Gopalganj, Madaripur, Munshiganj and Shariatpur (7)</w:t>
            </w:r>
          </w:p>
        </w:tc>
      </w:tr>
      <w:tr w:rsidR="003722FB" w:rsidRPr="000D4E58" w:rsidTr="00472FE2">
        <w:trPr>
          <w:cnfStyle w:val="000000100000"/>
        </w:trPr>
        <w:tc>
          <w:tcPr>
            <w:cnfStyle w:val="001000000000"/>
            <w:tcW w:w="918" w:type="dxa"/>
          </w:tcPr>
          <w:p w:rsidR="003722FB" w:rsidRPr="000D4E58" w:rsidRDefault="003722FB" w:rsidP="00472FE2">
            <w:pPr>
              <w:spacing w:after="0" w:line="276" w:lineRule="auto"/>
              <w:jc w:val="both"/>
              <w:rPr>
                <w:rFonts w:ascii="Times New Roman" w:eastAsia="Times New Roman" w:hAnsi="Times New Roman"/>
                <w:szCs w:val="24"/>
              </w:rPr>
            </w:pPr>
            <w:r w:rsidRPr="000D4E58">
              <w:rPr>
                <w:rFonts w:ascii="Times New Roman" w:eastAsia="Times New Roman" w:hAnsi="Times New Roman"/>
                <w:szCs w:val="24"/>
              </w:rPr>
              <w:t xml:space="preserve">9. </w:t>
            </w:r>
          </w:p>
        </w:tc>
        <w:tc>
          <w:tcPr>
            <w:tcW w:w="3510" w:type="dxa"/>
          </w:tcPr>
          <w:p w:rsidR="003722FB" w:rsidRPr="000D4E58" w:rsidRDefault="003722FB" w:rsidP="00472FE2">
            <w:pPr>
              <w:spacing w:after="0" w:line="276" w:lineRule="auto"/>
              <w:jc w:val="both"/>
              <w:cnfStyle w:val="000000100000"/>
              <w:rPr>
                <w:rFonts w:ascii="Times New Roman" w:eastAsia="Times New Roman" w:hAnsi="Times New Roman"/>
                <w:szCs w:val="24"/>
              </w:rPr>
            </w:pPr>
            <w:r w:rsidRPr="000D4E58">
              <w:rPr>
                <w:rFonts w:ascii="Times New Roman" w:eastAsia="Times New Roman" w:hAnsi="Times New Roman"/>
                <w:szCs w:val="24"/>
              </w:rPr>
              <w:t>The Northern Area Flood Plain Water Body (NFPWB)</w:t>
            </w:r>
          </w:p>
        </w:tc>
        <w:tc>
          <w:tcPr>
            <w:tcW w:w="5148" w:type="dxa"/>
          </w:tcPr>
          <w:p w:rsidR="003722FB" w:rsidRPr="000D4E58" w:rsidRDefault="003722FB" w:rsidP="00472FE2">
            <w:pPr>
              <w:spacing w:after="0" w:line="276" w:lineRule="auto"/>
              <w:jc w:val="both"/>
              <w:cnfStyle w:val="000000100000"/>
              <w:rPr>
                <w:rFonts w:ascii="Times New Roman" w:eastAsia="Times New Roman" w:hAnsi="Times New Roman"/>
                <w:szCs w:val="24"/>
              </w:rPr>
            </w:pPr>
            <w:r w:rsidRPr="000D4E58">
              <w:rPr>
                <w:rFonts w:ascii="Times New Roman" w:eastAsia="Times New Roman" w:hAnsi="Times New Roman"/>
                <w:szCs w:val="24"/>
              </w:rPr>
              <w:t>Bogra, Gaibandha, Kurigram, Lalmonirhat, Pabna, Jamalpur, Rajbari, Rajshahi, Sirajganj, Sherpur (10)</w:t>
            </w:r>
          </w:p>
        </w:tc>
      </w:tr>
    </w:tbl>
    <w:p w:rsidR="003722FB" w:rsidRPr="00440069" w:rsidRDefault="003722FB" w:rsidP="003722FB">
      <w:pPr>
        <w:spacing w:before="120" w:after="0"/>
        <w:jc w:val="both"/>
        <w:rPr>
          <w:rFonts w:eastAsia="Times New Roman" w:cs="Times New Roman"/>
          <w:b/>
          <w:i/>
          <w:sz w:val="20"/>
          <w:szCs w:val="24"/>
        </w:rPr>
      </w:pPr>
      <w:r w:rsidRPr="0042002E">
        <w:rPr>
          <w:rFonts w:eastAsia="Times New Roman" w:cs="Times New Roman"/>
          <w:i/>
          <w:sz w:val="20"/>
          <w:szCs w:val="24"/>
        </w:rPr>
        <w:t xml:space="preserve">   </w:t>
      </w:r>
      <w:r w:rsidRPr="00440069">
        <w:rPr>
          <w:rFonts w:eastAsia="Times New Roman" w:cs="Times New Roman"/>
          <w:b/>
          <w:i/>
          <w:sz w:val="20"/>
          <w:szCs w:val="24"/>
        </w:rPr>
        <w:t>Source: GED Analysis</w:t>
      </w:r>
    </w:p>
    <w:p w:rsidR="003722FB" w:rsidRDefault="003722FB" w:rsidP="004534E0">
      <w:pPr>
        <w:spacing w:line="276" w:lineRule="auto"/>
        <w:jc w:val="both"/>
        <w:rPr>
          <w:rFonts w:eastAsia="Times New Roman" w:cs="Times New Roman"/>
          <w:szCs w:val="24"/>
        </w:rPr>
      </w:pPr>
    </w:p>
    <w:p w:rsidR="003722FB" w:rsidRPr="006D3E84" w:rsidRDefault="007F2F9C" w:rsidP="003722FB">
      <w:pPr>
        <w:spacing w:after="40" w:line="276" w:lineRule="auto"/>
        <w:jc w:val="both"/>
        <w:rPr>
          <w:rFonts w:eastAsia="Times New Roman" w:cs="Times New Roman"/>
          <w:szCs w:val="24"/>
        </w:rPr>
      </w:pPr>
      <w:r>
        <w:rPr>
          <w:rFonts w:cs="Times New Roman"/>
          <w:szCs w:val="24"/>
        </w:rPr>
        <w:t xml:space="preserve">(d) </w:t>
      </w:r>
      <w:r w:rsidRPr="00355281">
        <w:rPr>
          <w:rFonts w:cs="Times New Roman"/>
          <w:b/>
          <w:szCs w:val="24"/>
        </w:rPr>
        <w:t>Developing the Delta Act:</w:t>
      </w:r>
      <w:r>
        <w:rPr>
          <w:rFonts w:cs="Times New Roman"/>
          <w:szCs w:val="24"/>
        </w:rPr>
        <w:t xml:space="preserve">  Preparing the Delta Act and the associated three insti</w:t>
      </w:r>
      <w:r w:rsidR="006D3E84">
        <w:rPr>
          <w:rFonts w:cs="Times New Roman"/>
          <w:szCs w:val="24"/>
        </w:rPr>
        <w:t xml:space="preserve">tutions: the Delta Commission; </w:t>
      </w:r>
      <w:r>
        <w:rPr>
          <w:rFonts w:cs="Times New Roman"/>
          <w:szCs w:val="24"/>
        </w:rPr>
        <w:t xml:space="preserve">the Delta Fund </w:t>
      </w:r>
      <w:r w:rsidR="003722FB">
        <w:rPr>
          <w:rFonts w:cs="Times New Roman"/>
          <w:szCs w:val="24"/>
        </w:rPr>
        <w:t xml:space="preserve">and the </w:t>
      </w:r>
      <w:r w:rsidR="00F713FF">
        <w:rPr>
          <w:rFonts w:cs="Times New Roman"/>
          <w:szCs w:val="24"/>
        </w:rPr>
        <w:t xml:space="preserve">Regonal and </w:t>
      </w:r>
      <w:r w:rsidR="003722FB">
        <w:rPr>
          <w:rFonts w:cs="Times New Roman"/>
          <w:szCs w:val="24"/>
        </w:rPr>
        <w:t xml:space="preserve">Local water Bodies </w:t>
      </w:r>
      <w:r>
        <w:rPr>
          <w:rFonts w:cs="Times New Roman"/>
          <w:szCs w:val="24"/>
        </w:rPr>
        <w:t xml:space="preserve">can start immediately after the approval of the Delta Plan. </w:t>
      </w:r>
      <w:r w:rsidR="003722FB">
        <w:rPr>
          <w:rFonts w:eastAsia="Times New Roman" w:cs="Times New Roman"/>
          <w:szCs w:val="24"/>
        </w:rPr>
        <w:t xml:space="preserve">One possible way of going about this is, </w:t>
      </w:r>
      <w:r w:rsidR="003722FB" w:rsidRPr="006D3E84">
        <w:rPr>
          <w:rFonts w:eastAsia="Times New Roman" w:cs="Times New Roman"/>
          <w:szCs w:val="24"/>
        </w:rPr>
        <w:t xml:space="preserve">as an interim arrangement, </w:t>
      </w:r>
      <w:r w:rsidR="009350D7" w:rsidRPr="006D3E84">
        <w:rPr>
          <w:rFonts w:eastAsia="Times New Roman" w:cs="Times New Roman"/>
          <w:szCs w:val="24"/>
        </w:rPr>
        <w:t>a</w:t>
      </w:r>
      <w:r w:rsidR="009350D7">
        <w:rPr>
          <w:rFonts w:eastAsia="Times New Roman" w:cs="Times New Roman"/>
          <w:szCs w:val="24"/>
        </w:rPr>
        <w:t xml:space="preserve"> wing of GEDcwould perform the functions towards establishment of Delta Commission and Delta Fund.</w:t>
      </w:r>
      <w:r w:rsidR="00F713FF">
        <w:rPr>
          <w:rFonts w:eastAsia="Times New Roman" w:cs="Times New Roman"/>
          <w:szCs w:val="24"/>
        </w:rPr>
        <w:t xml:space="preserve">. </w:t>
      </w:r>
      <w:r w:rsidR="003722FB" w:rsidRPr="006D3E84">
        <w:rPr>
          <w:rFonts w:cs="Times New Roman"/>
          <w:szCs w:val="19"/>
        </w:rPr>
        <w:t xml:space="preserve">Activities of the Delta Wing may include:   </w:t>
      </w:r>
    </w:p>
    <w:p w:rsidR="00000000" w:rsidRDefault="003722FB" w:rsidP="003D5A31">
      <w:pPr>
        <w:pStyle w:val="ListParagraph"/>
        <w:numPr>
          <w:ilvl w:val="0"/>
          <w:numId w:val="175"/>
        </w:numPr>
        <w:spacing w:after="40" w:line="276" w:lineRule="auto"/>
        <w:rPr>
          <w:rFonts w:cs="Times New Roman"/>
          <w:szCs w:val="19"/>
        </w:rPr>
      </w:pPr>
      <w:r w:rsidRPr="006D3E84">
        <w:rPr>
          <w:rFonts w:cs="Times New Roman"/>
          <w:szCs w:val="19"/>
        </w:rPr>
        <w:t xml:space="preserve">to </w:t>
      </w:r>
      <w:r w:rsidR="009350D7">
        <w:rPr>
          <w:rFonts w:cs="Times New Roman"/>
          <w:szCs w:val="19"/>
        </w:rPr>
        <w:t xml:space="preserve">detail out the </w:t>
      </w:r>
      <w:r w:rsidRPr="006D3E84">
        <w:rPr>
          <w:rFonts w:cs="Times New Roman"/>
          <w:szCs w:val="19"/>
        </w:rPr>
        <w:t xml:space="preserve"> structure, roles and responsibilities of the Delta Commission &amp; its secretariat;</w:t>
      </w:r>
    </w:p>
    <w:p w:rsidR="00000000" w:rsidRDefault="003722FB" w:rsidP="003D5A31">
      <w:pPr>
        <w:pStyle w:val="ListParagraph"/>
        <w:numPr>
          <w:ilvl w:val="0"/>
          <w:numId w:val="175"/>
        </w:numPr>
        <w:spacing w:after="40" w:line="276" w:lineRule="auto"/>
        <w:rPr>
          <w:rFonts w:cs="Times New Roman"/>
          <w:szCs w:val="19"/>
        </w:rPr>
      </w:pPr>
      <w:r w:rsidRPr="006D3E84">
        <w:rPr>
          <w:rFonts w:cs="Times New Roman"/>
          <w:szCs w:val="19"/>
        </w:rPr>
        <w:t>to draft the ‘Bangladesh Delta Act’, initiate agency review, finalize and subsequently initiate formalities for its approval at the Cabinet and adoption at the Parliament;</w:t>
      </w:r>
    </w:p>
    <w:p w:rsidR="00000000" w:rsidRDefault="003722FB" w:rsidP="003D5A31">
      <w:pPr>
        <w:pStyle w:val="ListParagraph"/>
        <w:numPr>
          <w:ilvl w:val="0"/>
          <w:numId w:val="175"/>
        </w:numPr>
        <w:spacing w:after="40" w:line="276" w:lineRule="auto"/>
        <w:rPr>
          <w:rFonts w:cs="Times New Roman"/>
          <w:szCs w:val="19"/>
        </w:rPr>
      </w:pPr>
      <w:r w:rsidRPr="006D3E84">
        <w:rPr>
          <w:rFonts w:cs="Times New Roman"/>
          <w:szCs w:val="19"/>
        </w:rPr>
        <w:t xml:space="preserve">to initiate and follow through necessary preparatory formalities to establish the Delta Commission and to operationalize the Delta Fund; </w:t>
      </w:r>
    </w:p>
    <w:p w:rsidR="00000000" w:rsidRDefault="003722FB" w:rsidP="003D5A31">
      <w:pPr>
        <w:pStyle w:val="ListParagraph"/>
        <w:numPr>
          <w:ilvl w:val="0"/>
          <w:numId w:val="175"/>
        </w:numPr>
        <w:spacing w:after="40" w:line="276" w:lineRule="auto"/>
        <w:rPr>
          <w:rFonts w:ascii="Segoe UI" w:hAnsi="Segoe UI" w:cs="Segoe UI"/>
          <w:sz w:val="19"/>
          <w:szCs w:val="19"/>
        </w:rPr>
      </w:pPr>
      <w:r w:rsidRPr="006D3E84">
        <w:rPr>
          <w:rFonts w:cs="Times New Roman"/>
          <w:szCs w:val="19"/>
        </w:rPr>
        <w:t xml:space="preserve">to process appointment of the Delta Commissioner, </w:t>
      </w:r>
      <w:r w:rsidR="009350D7" w:rsidRPr="006D3E84">
        <w:rPr>
          <w:rFonts w:cs="Times New Roman"/>
          <w:szCs w:val="19"/>
        </w:rPr>
        <w:t>advis</w:t>
      </w:r>
      <w:r w:rsidR="009350D7">
        <w:rPr>
          <w:rFonts w:cs="Times New Roman"/>
          <w:szCs w:val="19"/>
        </w:rPr>
        <w:t>o</w:t>
      </w:r>
      <w:r w:rsidR="009350D7" w:rsidRPr="006D3E84">
        <w:rPr>
          <w:rFonts w:cs="Times New Roman"/>
          <w:szCs w:val="19"/>
        </w:rPr>
        <w:t xml:space="preserve">rs </w:t>
      </w:r>
      <w:r w:rsidRPr="006D3E84">
        <w:rPr>
          <w:rFonts w:cs="Times New Roman"/>
          <w:szCs w:val="19"/>
        </w:rPr>
        <w:t>and staff of the Secretariat.</w:t>
      </w:r>
    </w:p>
    <w:p w:rsidR="006D3E84" w:rsidRPr="006D3E84" w:rsidRDefault="006D3E84" w:rsidP="006D3E84">
      <w:pPr>
        <w:pStyle w:val="ListParagraph"/>
        <w:spacing w:after="40" w:line="276" w:lineRule="auto"/>
        <w:rPr>
          <w:rFonts w:ascii="Segoe UI" w:hAnsi="Segoe UI" w:cs="Segoe UI"/>
          <w:sz w:val="19"/>
          <w:szCs w:val="19"/>
        </w:rPr>
      </w:pPr>
    </w:p>
    <w:p w:rsidR="007F2F9C" w:rsidRDefault="007F2F9C" w:rsidP="004534E0">
      <w:pPr>
        <w:spacing w:line="276" w:lineRule="auto"/>
        <w:jc w:val="both"/>
        <w:rPr>
          <w:rFonts w:eastAsia="Times New Roman" w:cs="Times New Roman"/>
          <w:szCs w:val="24"/>
        </w:rPr>
      </w:pPr>
      <w:r>
        <w:rPr>
          <w:rFonts w:eastAsia="Times New Roman" w:cs="Times New Roman"/>
          <w:szCs w:val="24"/>
        </w:rPr>
        <w:t xml:space="preserve">2) </w:t>
      </w:r>
      <w:r w:rsidRPr="003A4883">
        <w:rPr>
          <w:rFonts w:eastAsia="Times New Roman" w:cs="Times New Roman"/>
          <w:i/>
          <w:szCs w:val="24"/>
        </w:rPr>
        <w:t>Strengthening core delta institutions</w:t>
      </w:r>
      <w:r>
        <w:rPr>
          <w:rFonts w:eastAsia="Times New Roman" w:cs="Times New Roman"/>
          <w:i/>
          <w:szCs w:val="24"/>
        </w:rPr>
        <w:t xml:space="preserve">: </w:t>
      </w:r>
      <w:r>
        <w:rPr>
          <w:rFonts w:eastAsia="Times New Roman" w:cs="Times New Roman"/>
          <w:szCs w:val="24"/>
        </w:rPr>
        <w:t xml:space="preserve"> Success of any institutional arrangement depends critically upon the quality of these institutions.  These in turn depend upon clarity of rules of engagements, clearly identified functions, measurable outputs and deliverables, clear accountability rules, quality of staffing and adequacy of budgetary resources. Bangladesh has considerable capacity constraints in its </w:t>
      </w:r>
      <w:r w:rsidR="000B096E">
        <w:t>public</w:t>
      </w:r>
      <w:r>
        <w:rPr>
          <w:rFonts w:eastAsia="Times New Roman" w:cs="Times New Roman"/>
          <w:szCs w:val="24"/>
        </w:rPr>
        <w:t xml:space="preserve"> administration.  For the Delta Plan to succeed and to effectively implement the Delta Act, it is imperative to strengthen the core delta institutions. This is a tough challenge and involves long term effort.  Yet some core institutions require immediate attention.  These include: </w:t>
      </w:r>
      <w:r w:rsidR="004C4F20">
        <w:rPr>
          <w:rFonts w:eastAsia="Times New Roman" w:cs="Times New Roman"/>
          <w:szCs w:val="24"/>
        </w:rPr>
        <w:t>the Delta Secretariat</w:t>
      </w:r>
      <w:r>
        <w:rPr>
          <w:rFonts w:eastAsia="Times New Roman" w:cs="Times New Roman"/>
          <w:szCs w:val="24"/>
        </w:rPr>
        <w:t xml:space="preserve">, </w:t>
      </w:r>
      <w:r w:rsidR="009350D7">
        <w:rPr>
          <w:rFonts w:eastAsia="Times New Roman" w:cs="Times New Roman"/>
          <w:szCs w:val="24"/>
        </w:rPr>
        <w:t xml:space="preserve">MoWR, GED, </w:t>
      </w:r>
      <w:r>
        <w:rPr>
          <w:rFonts w:eastAsia="Times New Roman" w:cs="Times New Roman"/>
          <w:szCs w:val="24"/>
        </w:rPr>
        <w:t xml:space="preserve">BWDB, </w:t>
      </w:r>
      <w:r w:rsidR="004D1DB0">
        <w:rPr>
          <w:rFonts w:eastAsia="Times New Roman" w:cs="Times New Roman"/>
          <w:szCs w:val="24"/>
        </w:rPr>
        <w:t xml:space="preserve">WARPO, DOE, </w:t>
      </w:r>
      <w:r>
        <w:rPr>
          <w:rFonts w:eastAsia="Times New Roman" w:cs="Times New Roman"/>
          <w:szCs w:val="24"/>
        </w:rPr>
        <w:t>the municipalities (WASAs, City C</w:t>
      </w:r>
      <w:r w:rsidR="000920A9">
        <w:rPr>
          <w:rFonts w:eastAsia="Times New Roman" w:cs="Times New Roman"/>
          <w:szCs w:val="24"/>
        </w:rPr>
        <w:t xml:space="preserve">orporations and Pourashavas), </w:t>
      </w:r>
      <w:r>
        <w:rPr>
          <w:rFonts w:eastAsia="Times New Roman" w:cs="Times New Roman"/>
          <w:szCs w:val="24"/>
        </w:rPr>
        <w:t xml:space="preserve">the newly </w:t>
      </w:r>
      <w:r w:rsidR="000920A9">
        <w:rPr>
          <w:rFonts w:eastAsia="Times New Roman" w:cs="Times New Roman"/>
          <w:szCs w:val="24"/>
        </w:rPr>
        <w:t xml:space="preserve">constituted </w:t>
      </w:r>
      <w:r w:rsidR="009350D7">
        <w:rPr>
          <w:rFonts w:eastAsia="Times New Roman" w:cs="Times New Roman"/>
          <w:szCs w:val="24"/>
        </w:rPr>
        <w:t xml:space="preserve">regional and </w:t>
      </w:r>
      <w:r w:rsidR="000920A9">
        <w:rPr>
          <w:rFonts w:eastAsia="Times New Roman" w:cs="Times New Roman"/>
          <w:szCs w:val="24"/>
        </w:rPr>
        <w:t xml:space="preserve">local water bodies and all specialized institutions within different non-water delta line ministries (specialized institutions working on delta-related issues in the </w:t>
      </w:r>
      <w:r w:rsidR="009350D7">
        <w:rPr>
          <w:rFonts w:eastAsia="Times New Roman" w:cs="Times New Roman"/>
          <w:szCs w:val="24"/>
        </w:rPr>
        <w:t xml:space="preserve">Ministry </w:t>
      </w:r>
      <w:r w:rsidR="000920A9">
        <w:rPr>
          <w:rFonts w:eastAsia="Times New Roman" w:cs="Times New Roman"/>
          <w:szCs w:val="24"/>
        </w:rPr>
        <w:t xml:space="preserve">of </w:t>
      </w:r>
      <w:r w:rsidR="009350D7">
        <w:rPr>
          <w:rFonts w:eastAsia="Times New Roman" w:cs="Times New Roman"/>
          <w:szCs w:val="24"/>
        </w:rPr>
        <w:t>Agriculture</w:t>
      </w:r>
      <w:r w:rsidR="000920A9">
        <w:rPr>
          <w:rFonts w:eastAsia="Times New Roman" w:cs="Times New Roman"/>
          <w:szCs w:val="24"/>
        </w:rPr>
        <w:t xml:space="preserve">, </w:t>
      </w:r>
      <w:r w:rsidR="009350D7">
        <w:rPr>
          <w:rFonts w:eastAsia="Times New Roman" w:cs="Times New Roman"/>
          <w:szCs w:val="24"/>
        </w:rPr>
        <w:t>Disaster Management &amp; Relief</w:t>
      </w:r>
      <w:r w:rsidR="000920A9">
        <w:rPr>
          <w:rFonts w:eastAsia="Times New Roman" w:cs="Times New Roman"/>
          <w:szCs w:val="24"/>
        </w:rPr>
        <w:t xml:space="preserve">, </w:t>
      </w:r>
      <w:r w:rsidR="009350D7">
        <w:rPr>
          <w:rFonts w:eastAsia="Times New Roman" w:cs="Times New Roman"/>
          <w:szCs w:val="24"/>
        </w:rPr>
        <w:t>Shipping</w:t>
      </w:r>
      <w:r w:rsidR="000920A9">
        <w:rPr>
          <w:rFonts w:eastAsia="Times New Roman" w:cs="Times New Roman"/>
          <w:szCs w:val="24"/>
        </w:rPr>
        <w:t xml:space="preserve">, </w:t>
      </w:r>
      <w:r w:rsidR="009350D7">
        <w:rPr>
          <w:rFonts w:eastAsia="Times New Roman" w:cs="Times New Roman"/>
          <w:szCs w:val="24"/>
        </w:rPr>
        <w:t>LGRD&amp;C</w:t>
      </w:r>
      <w:r w:rsidR="000920A9">
        <w:rPr>
          <w:rFonts w:eastAsia="Times New Roman" w:cs="Times New Roman"/>
          <w:szCs w:val="24"/>
        </w:rPr>
        <w:t xml:space="preserve">, </w:t>
      </w:r>
      <w:r w:rsidR="009350D7">
        <w:rPr>
          <w:rFonts w:eastAsia="Times New Roman" w:cs="Times New Roman"/>
          <w:szCs w:val="24"/>
        </w:rPr>
        <w:t xml:space="preserve">Environment </w:t>
      </w:r>
      <w:r w:rsidR="000920A9">
        <w:rPr>
          <w:rFonts w:eastAsia="Times New Roman" w:cs="Times New Roman"/>
          <w:szCs w:val="24"/>
        </w:rPr>
        <w:t xml:space="preserve">and </w:t>
      </w:r>
      <w:r w:rsidR="009350D7">
        <w:rPr>
          <w:rFonts w:eastAsia="Times New Roman" w:cs="Times New Roman"/>
          <w:szCs w:val="24"/>
        </w:rPr>
        <w:t xml:space="preserve">Forests </w:t>
      </w:r>
      <w:r w:rsidR="000920A9">
        <w:rPr>
          <w:rFonts w:eastAsia="Times New Roman" w:cs="Times New Roman"/>
          <w:szCs w:val="24"/>
        </w:rPr>
        <w:t xml:space="preserve">and </w:t>
      </w:r>
      <w:r w:rsidR="009350D7">
        <w:rPr>
          <w:rFonts w:eastAsia="Times New Roman" w:cs="Times New Roman"/>
          <w:szCs w:val="24"/>
        </w:rPr>
        <w:t>Fisheries &amp; Livestock and Land</w:t>
      </w:r>
      <w:r w:rsidR="000920A9">
        <w:rPr>
          <w:rFonts w:eastAsia="Times New Roman" w:cs="Times New Roman"/>
          <w:szCs w:val="24"/>
        </w:rPr>
        <w:t xml:space="preserve">).  </w:t>
      </w:r>
    </w:p>
    <w:p w:rsidR="007F2F9C" w:rsidRDefault="007F2F9C" w:rsidP="004534E0">
      <w:pPr>
        <w:spacing w:line="276" w:lineRule="auto"/>
        <w:jc w:val="both"/>
        <w:rPr>
          <w:rFonts w:eastAsia="Times New Roman" w:cs="Times New Roman"/>
          <w:szCs w:val="24"/>
        </w:rPr>
      </w:pPr>
      <w:r>
        <w:rPr>
          <w:rFonts w:eastAsia="Times New Roman" w:cs="Times New Roman"/>
          <w:szCs w:val="24"/>
        </w:rPr>
        <w:t xml:space="preserve">The Delta Commission will now have the fundamental role of developing the medium -term (5 year) Delta Programme that will be updated on an annual cycle. It will also be responsible for </w:t>
      </w:r>
      <w:r>
        <w:rPr>
          <w:rFonts w:eastAsia="Times New Roman" w:cs="Times New Roman"/>
          <w:szCs w:val="24"/>
        </w:rPr>
        <w:lastRenderedPageBreak/>
        <w:t>approving the annual delta programmes that will include investments, O&amp;M funding, research and capacity building. While these tasks will need to be done consultatively with inputs from line ministries and water bodies, the decision making functions will require substantial strengthening of capacities in areas of institutions, finance and economics.  As in the case of the Dutch Delta Commission, it will also need to adopt sound economic principles based on cost-benefit analysis to approve individual programmes.  The only thing that will not change is implementation of approved programmes.  As presently, the approved programmes will continue to be implemented by concerned line ministry and municipalities.</w:t>
      </w:r>
    </w:p>
    <w:p w:rsidR="007F2F9C" w:rsidRDefault="007F2F9C" w:rsidP="004534E0">
      <w:pPr>
        <w:spacing w:line="276" w:lineRule="auto"/>
        <w:jc w:val="both"/>
        <w:rPr>
          <w:rFonts w:eastAsia="Times New Roman" w:cs="Times New Roman"/>
          <w:szCs w:val="24"/>
        </w:rPr>
      </w:pPr>
      <w:r>
        <w:rPr>
          <w:rFonts w:eastAsia="Times New Roman" w:cs="Times New Roman"/>
          <w:szCs w:val="24"/>
        </w:rPr>
        <w:t xml:space="preserve">As noted previously, the Ministry of Water </w:t>
      </w:r>
      <w:r w:rsidR="009350D7">
        <w:rPr>
          <w:rFonts w:eastAsia="Times New Roman" w:cs="Times New Roman"/>
          <w:szCs w:val="24"/>
        </w:rPr>
        <w:t xml:space="preserve">Resources </w:t>
      </w:r>
      <w:r>
        <w:rPr>
          <w:rFonts w:eastAsia="Times New Roman" w:cs="Times New Roman"/>
          <w:szCs w:val="24"/>
        </w:rPr>
        <w:t xml:space="preserve">is the primary water management institution in the country. Its </w:t>
      </w:r>
      <w:r w:rsidR="004C4F20">
        <w:rPr>
          <w:rFonts w:eastAsia="Times New Roman" w:cs="Times New Roman"/>
          <w:szCs w:val="24"/>
        </w:rPr>
        <w:t xml:space="preserve">work is supported by a number of specialized agencies the </w:t>
      </w:r>
      <w:r>
        <w:rPr>
          <w:rFonts w:eastAsia="Times New Roman" w:cs="Times New Roman"/>
          <w:szCs w:val="24"/>
        </w:rPr>
        <w:t>two core institutions: BWDB and the WARPO</w:t>
      </w:r>
      <w:r w:rsidR="004C4F20">
        <w:rPr>
          <w:rFonts w:eastAsia="Times New Roman" w:cs="Times New Roman"/>
          <w:szCs w:val="24"/>
        </w:rPr>
        <w:t xml:space="preserve">.  </w:t>
      </w:r>
      <w:r>
        <w:rPr>
          <w:rFonts w:eastAsia="Times New Roman" w:cs="Times New Roman"/>
          <w:szCs w:val="24"/>
        </w:rPr>
        <w:t xml:space="preserve"> </w:t>
      </w:r>
      <w:r w:rsidR="004D1DB0">
        <w:rPr>
          <w:rFonts w:eastAsia="Times New Roman" w:cs="Times New Roman"/>
          <w:szCs w:val="24"/>
        </w:rPr>
        <w:t xml:space="preserve">Both institutions </w:t>
      </w:r>
      <w:r>
        <w:rPr>
          <w:rFonts w:eastAsia="Times New Roman" w:cs="Times New Roman"/>
          <w:szCs w:val="24"/>
        </w:rPr>
        <w:t>need considerable strengthening in new technology, innovation, integrated planning, research, economic management and</w:t>
      </w:r>
      <w:r w:rsidR="004C4F20">
        <w:rPr>
          <w:rFonts w:eastAsia="Times New Roman" w:cs="Times New Roman"/>
          <w:szCs w:val="24"/>
        </w:rPr>
        <w:t xml:space="preserve"> consultative processes. Along with the Delta Secretariat, </w:t>
      </w:r>
      <w:r w:rsidR="000E2E0F">
        <w:rPr>
          <w:rFonts w:eastAsia="Times New Roman" w:cs="Times New Roman"/>
          <w:szCs w:val="24"/>
        </w:rPr>
        <w:t xml:space="preserve">they </w:t>
      </w:r>
      <w:r>
        <w:rPr>
          <w:rFonts w:eastAsia="Times New Roman" w:cs="Times New Roman"/>
          <w:szCs w:val="24"/>
        </w:rPr>
        <w:t xml:space="preserve">will also need to help out with the establishment of the local water bodies and learn to work with them collegially as </w:t>
      </w:r>
      <w:r w:rsidR="004C4F20">
        <w:rPr>
          <w:rFonts w:eastAsia="Times New Roman" w:cs="Times New Roman"/>
          <w:szCs w:val="24"/>
        </w:rPr>
        <w:t>a complementary institution</w:t>
      </w:r>
      <w:r>
        <w:rPr>
          <w:rFonts w:eastAsia="Times New Roman" w:cs="Times New Roman"/>
          <w:szCs w:val="24"/>
        </w:rPr>
        <w:t xml:space="preserve"> rathe</w:t>
      </w:r>
      <w:r w:rsidR="004C4F20">
        <w:rPr>
          <w:rFonts w:eastAsia="Times New Roman" w:cs="Times New Roman"/>
          <w:szCs w:val="24"/>
        </w:rPr>
        <w:t>r than as a competing institution.</w:t>
      </w:r>
      <w:r>
        <w:rPr>
          <w:rFonts w:eastAsia="Times New Roman" w:cs="Times New Roman"/>
          <w:szCs w:val="24"/>
        </w:rPr>
        <w:t xml:space="preserve"> The evolution of decentralized water management will face major challenges and will have obvious teething problems. </w:t>
      </w:r>
      <w:r w:rsidR="004D1DB0">
        <w:rPr>
          <w:rFonts w:eastAsia="Times New Roman" w:cs="Times New Roman"/>
          <w:szCs w:val="24"/>
        </w:rPr>
        <w:t xml:space="preserve">WARPO </w:t>
      </w:r>
      <w:r w:rsidR="004C4F20">
        <w:rPr>
          <w:rFonts w:eastAsia="Times New Roman" w:cs="Times New Roman"/>
          <w:szCs w:val="24"/>
        </w:rPr>
        <w:t xml:space="preserve">and the BWDB </w:t>
      </w:r>
      <w:r>
        <w:rPr>
          <w:rFonts w:eastAsia="Times New Roman" w:cs="Times New Roman"/>
          <w:szCs w:val="24"/>
        </w:rPr>
        <w:t>can make this process smoother and less costly through proper support</w:t>
      </w:r>
      <w:r w:rsidR="009350D7">
        <w:rPr>
          <w:rFonts w:eastAsia="Times New Roman" w:cs="Times New Roman"/>
          <w:szCs w:val="24"/>
        </w:rPr>
        <w:t>, encouragement</w:t>
      </w:r>
      <w:r>
        <w:rPr>
          <w:rFonts w:eastAsia="Times New Roman" w:cs="Times New Roman"/>
          <w:szCs w:val="24"/>
        </w:rPr>
        <w:t xml:space="preserve"> and coordination. </w:t>
      </w:r>
    </w:p>
    <w:p w:rsidR="007F2F9C" w:rsidRDefault="007F2F9C" w:rsidP="004534E0">
      <w:pPr>
        <w:spacing w:line="276" w:lineRule="auto"/>
        <w:jc w:val="both"/>
        <w:rPr>
          <w:rFonts w:eastAsia="Times New Roman" w:cs="Times New Roman"/>
          <w:szCs w:val="24"/>
        </w:rPr>
      </w:pPr>
      <w:r>
        <w:rPr>
          <w:rFonts w:eastAsia="Times New Roman" w:cs="Times New Roman"/>
          <w:szCs w:val="24"/>
        </w:rPr>
        <w:t xml:space="preserve">The BWDB has a long history of involvement with water planning and implementation. BWDB has </w:t>
      </w:r>
      <w:r w:rsidR="00541E63">
        <w:rPr>
          <w:rFonts w:eastAsia="Times New Roman" w:cs="Times New Roman"/>
          <w:szCs w:val="24"/>
        </w:rPr>
        <w:t xml:space="preserve">very capable </w:t>
      </w:r>
      <w:r>
        <w:rPr>
          <w:rFonts w:eastAsia="Times New Roman" w:cs="Times New Roman"/>
          <w:szCs w:val="24"/>
        </w:rPr>
        <w:t xml:space="preserve">water engineers, but is </w:t>
      </w:r>
      <w:r w:rsidR="009350D7">
        <w:rPr>
          <w:rFonts w:eastAsia="Times New Roman" w:cs="Times New Roman"/>
          <w:szCs w:val="24"/>
        </w:rPr>
        <w:t xml:space="preserve">considered </w:t>
      </w:r>
      <w:r>
        <w:rPr>
          <w:rFonts w:eastAsia="Times New Roman" w:cs="Times New Roman"/>
          <w:szCs w:val="24"/>
        </w:rPr>
        <w:t>weak in areas of economic analysis, financing and institution</w:t>
      </w:r>
      <w:r w:rsidR="00541E63">
        <w:rPr>
          <w:rFonts w:eastAsia="Times New Roman" w:cs="Times New Roman"/>
          <w:szCs w:val="24"/>
        </w:rPr>
        <w:t xml:space="preserve"> and partnership building</w:t>
      </w:r>
      <w:r>
        <w:rPr>
          <w:rFonts w:eastAsia="Times New Roman" w:cs="Times New Roman"/>
          <w:szCs w:val="24"/>
        </w:rPr>
        <w:t>.  These gaps will have to be addressed with proper staffing of experts in the missing areas.  Additionally, BWDB must be encouraged to find innovative engineering solutions to water management problems</w:t>
      </w:r>
      <w:r w:rsidR="00541E63">
        <w:rPr>
          <w:rFonts w:eastAsia="Times New Roman" w:cs="Times New Roman"/>
          <w:szCs w:val="24"/>
        </w:rPr>
        <w:t>.</w:t>
      </w:r>
      <w:r>
        <w:rPr>
          <w:rFonts w:eastAsia="Times New Roman" w:cs="Times New Roman"/>
          <w:szCs w:val="24"/>
        </w:rPr>
        <w:t xml:space="preserve"> Considerable interaction with water engineers in the universities and international training from countries like the Netherlands that have excelled in designing innovative technical solutions to coastal belt management, river management, flood control and irrigation.  </w:t>
      </w:r>
      <w:r w:rsidR="004D1DB0">
        <w:rPr>
          <w:rFonts w:eastAsia="Times New Roman" w:cs="Times New Roman"/>
          <w:szCs w:val="24"/>
        </w:rPr>
        <w:t>A</w:t>
      </w:r>
      <w:r>
        <w:rPr>
          <w:rFonts w:eastAsia="Times New Roman" w:cs="Times New Roman"/>
          <w:szCs w:val="24"/>
        </w:rPr>
        <w:t xml:space="preserve">ttention should be given to designing and adopting "no regrets" engineering solutions to flood and irrigation management projects.   </w:t>
      </w:r>
    </w:p>
    <w:p w:rsidR="007F2F9C" w:rsidRDefault="007F2F9C" w:rsidP="004534E0">
      <w:pPr>
        <w:spacing w:line="276" w:lineRule="auto"/>
        <w:jc w:val="both"/>
        <w:rPr>
          <w:rFonts w:eastAsia="Times New Roman" w:cs="Times New Roman"/>
          <w:szCs w:val="24"/>
        </w:rPr>
      </w:pPr>
      <w:r>
        <w:rPr>
          <w:rFonts w:eastAsia="Times New Roman" w:cs="Times New Roman"/>
          <w:szCs w:val="24"/>
        </w:rPr>
        <w:t xml:space="preserve">The functioning of water municipalities (WASAs, City Corporations and Pourashavas) were </w:t>
      </w:r>
      <w:r w:rsidR="002050E9">
        <w:rPr>
          <w:rFonts w:eastAsia="Times New Roman" w:cs="Times New Roman"/>
          <w:szCs w:val="24"/>
        </w:rPr>
        <w:t xml:space="preserve">reviewed </w:t>
      </w:r>
      <w:r w:rsidR="00541E63">
        <w:rPr>
          <w:rFonts w:eastAsia="Times New Roman" w:cs="Times New Roman"/>
          <w:szCs w:val="24"/>
        </w:rPr>
        <w:t>in detail before</w:t>
      </w:r>
      <w:r>
        <w:rPr>
          <w:rFonts w:eastAsia="Times New Roman" w:cs="Times New Roman"/>
          <w:szCs w:val="24"/>
        </w:rPr>
        <w:t>.  The chapter suggested the need for substantial reforms. In particular, emphasis was placed on converting these institutions into au</w:t>
      </w:r>
      <w:r w:rsidR="00FE6385">
        <w:rPr>
          <w:rFonts w:eastAsia="Times New Roman" w:cs="Times New Roman"/>
          <w:szCs w:val="24"/>
        </w:rPr>
        <w:t>to</w:t>
      </w:r>
      <w:r w:rsidR="000B096E">
        <w:rPr>
          <w:rFonts w:eastAsia="Times New Roman" w:cs="Times New Roman"/>
          <w:szCs w:val="24"/>
        </w:rPr>
        <w:t>n</w:t>
      </w:r>
      <w:r>
        <w:rPr>
          <w:rFonts w:eastAsia="Times New Roman" w:cs="Times New Roman"/>
          <w:szCs w:val="24"/>
        </w:rPr>
        <w:t xml:space="preserve">omous bodies with considerable scope for cost recovery from users based on service provided. The demand for water and sanitation services in Bangladesh far exceeds the capacities of the municipalities, especially in small towns.  While some of the gap can be met through private participation the capacity of the municipalities </w:t>
      </w:r>
      <w:r w:rsidR="009A4EB2">
        <w:rPr>
          <w:rFonts w:eastAsia="Times New Roman" w:cs="Times New Roman"/>
          <w:szCs w:val="24"/>
        </w:rPr>
        <w:t>can be</w:t>
      </w:r>
      <w:r>
        <w:rPr>
          <w:rFonts w:eastAsia="Times New Roman" w:cs="Times New Roman"/>
          <w:szCs w:val="24"/>
        </w:rPr>
        <w:t xml:space="preserve"> substantially strengthened by instituting sound cost recovery policies based on beneficiary and polluter pays principles.  The transfusion of additional resources through proper cost recovery can provide the impetus for strengthening the capacity of the municipalities and providing additional services.  This can also support innovative ways of encouraging good performance of municipalities by linking budget funding (block grants) with performance.     </w:t>
      </w:r>
    </w:p>
    <w:p w:rsidR="007F2F9C" w:rsidRDefault="007F2F9C" w:rsidP="004534E0">
      <w:pPr>
        <w:spacing w:line="276" w:lineRule="auto"/>
        <w:jc w:val="both"/>
        <w:rPr>
          <w:rFonts w:cs="Times New Roman"/>
          <w:szCs w:val="24"/>
        </w:rPr>
      </w:pPr>
      <w:r>
        <w:rPr>
          <w:rFonts w:cs="Times New Roman"/>
          <w:i/>
          <w:szCs w:val="24"/>
        </w:rPr>
        <w:lastRenderedPageBreak/>
        <w:t>3) Strengthening cross</w:t>
      </w:r>
      <w:r>
        <w:rPr>
          <w:rFonts w:cs="Times New Roman"/>
          <w:szCs w:val="24"/>
        </w:rPr>
        <w:t>-</w:t>
      </w:r>
      <w:r>
        <w:rPr>
          <w:rFonts w:cs="Times New Roman"/>
          <w:i/>
          <w:szCs w:val="24"/>
        </w:rPr>
        <w:t xml:space="preserve">boundary dialogue and related institutions: </w:t>
      </w:r>
      <w:r>
        <w:rPr>
          <w:rFonts w:cs="Times New Roman"/>
          <w:szCs w:val="24"/>
        </w:rPr>
        <w:t>As the lower riparian for all international rivers, Bangladesh faces some real risks from adverse developments upstream. The cross-boundary issues were discussed at length in Chapter 4.  The chapter noted some successes but many issues and outstanding challenges</w:t>
      </w:r>
      <w:r w:rsidR="00541E63">
        <w:rPr>
          <w:rFonts w:cs="Times New Roman"/>
          <w:szCs w:val="24"/>
        </w:rPr>
        <w:t xml:space="preserve"> remain</w:t>
      </w:r>
      <w:r>
        <w:rPr>
          <w:rFonts w:cs="Times New Roman"/>
          <w:szCs w:val="24"/>
        </w:rPr>
        <w:t>. More recently, a major positive development that holds considerable promise of better cross-boundary water outcomes is the sharply improved political relations of Bangladesh with India. In India</w:t>
      </w:r>
      <w:r w:rsidR="002050E9">
        <w:rPr>
          <w:rFonts w:cs="Times New Roman"/>
          <w:szCs w:val="24"/>
        </w:rPr>
        <w:t>,</w:t>
      </w:r>
      <w:r>
        <w:rPr>
          <w:rFonts w:cs="Times New Roman"/>
          <w:szCs w:val="24"/>
        </w:rPr>
        <w:t xml:space="preserve"> water management is complicated by the fact that the water issues and disputes are jointly managed by the national government and the affected state governments.  In light of this, the water dialogue between Bangladesh and India becomes almost tri-partite: Bangladesh, India and the concerned bordering states (West Bengal, Assam, Arunachal Pradesh and Meghalaya).  Consequently, Bangladesh needs to strengthen its relations with these Indian states as much as with the federal government in Delhi.</w:t>
      </w:r>
    </w:p>
    <w:p w:rsidR="007F2F9C" w:rsidRDefault="007F2F9C" w:rsidP="004534E0">
      <w:pPr>
        <w:spacing w:line="276" w:lineRule="auto"/>
        <w:jc w:val="both"/>
        <w:rPr>
          <w:rFonts w:cs="Times New Roman"/>
          <w:szCs w:val="24"/>
        </w:rPr>
      </w:pPr>
      <w:r>
        <w:rPr>
          <w:rFonts w:cs="Times New Roman"/>
          <w:szCs w:val="24"/>
        </w:rPr>
        <w:t>Lessons of i</w:t>
      </w:r>
      <w:r w:rsidR="002050E9">
        <w:rPr>
          <w:rFonts w:cs="Times New Roman"/>
          <w:szCs w:val="24"/>
        </w:rPr>
        <w:t>nternational experience suggest</w:t>
      </w:r>
      <w:r>
        <w:rPr>
          <w:rFonts w:cs="Times New Roman"/>
          <w:szCs w:val="24"/>
        </w:rPr>
        <w:t xml:space="preserve"> that a river basin approach has the best prospects of success.  A further consideration would be to think of river agreements in terms of providing multi-purpose benefits.   When water sharing is viewed as a zero sum game where more for one riparian means less for other, disputes become dominant and negotiations tend to fail. When water sharing involves multiple benefits (flood control, water storage, irrigation and hydro-power), the zero-sum game feature is converted to a win-win situation for both parties and the dialogue takes the shape of negotiating the best deal in terms of sharing of costs and benefits. </w:t>
      </w:r>
    </w:p>
    <w:p w:rsidR="007F2F9C" w:rsidRDefault="007F2F9C" w:rsidP="004534E0">
      <w:pPr>
        <w:spacing w:line="276" w:lineRule="auto"/>
        <w:jc w:val="both"/>
        <w:rPr>
          <w:rFonts w:cs="Times New Roman"/>
          <w:szCs w:val="24"/>
        </w:rPr>
      </w:pPr>
      <w:r>
        <w:rPr>
          <w:rFonts w:cs="Times New Roman"/>
          <w:szCs w:val="24"/>
        </w:rPr>
        <w:t>The ability to think innovatively requires both</w:t>
      </w:r>
      <w:r w:rsidR="002050E9">
        <w:rPr>
          <w:rFonts w:cs="Times New Roman"/>
          <w:szCs w:val="24"/>
        </w:rPr>
        <w:t xml:space="preserve"> diplomacy and technical skills.</w:t>
      </w:r>
      <w:r>
        <w:rPr>
          <w:rFonts w:cs="Times New Roman"/>
          <w:szCs w:val="24"/>
        </w:rPr>
        <w:t xml:space="preserve">  The later are required to come up with well-thought multi-purpose river basin projects.  Accordingly, the capacity of the Joint Rivers Commission (JRC) will have to be considerably strengthened. Partnership and coordin</w:t>
      </w:r>
      <w:r w:rsidR="007A7833">
        <w:rPr>
          <w:rFonts w:cs="Times New Roman"/>
          <w:szCs w:val="24"/>
        </w:rPr>
        <w:t xml:space="preserve">ation of JRC with BWDB and </w:t>
      </w:r>
      <w:r w:rsidR="00EA4E38">
        <w:rPr>
          <w:rFonts w:cs="Times New Roman"/>
          <w:szCs w:val="24"/>
        </w:rPr>
        <w:t>WARPO will</w:t>
      </w:r>
      <w:r>
        <w:rPr>
          <w:rFonts w:cs="Times New Roman"/>
          <w:szCs w:val="24"/>
        </w:rPr>
        <w:t xml:space="preserve"> need to be </w:t>
      </w:r>
      <w:r w:rsidR="00541E63">
        <w:rPr>
          <w:rFonts w:cs="Times New Roman"/>
          <w:szCs w:val="24"/>
        </w:rPr>
        <w:t xml:space="preserve">functionally </w:t>
      </w:r>
      <w:r>
        <w:rPr>
          <w:rFonts w:cs="Times New Roman"/>
          <w:szCs w:val="24"/>
        </w:rPr>
        <w:t xml:space="preserve">strengthened. Possible multi-purpose technical options and cost-benefit analysis of these options will need to be </w:t>
      </w:r>
      <w:r w:rsidR="009A4EB2">
        <w:rPr>
          <w:rFonts w:cs="Times New Roman"/>
          <w:szCs w:val="24"/>
        </w:rPr>
        <w:t>developed as</w:t>
      </w:r>
      <w:r>
        <w:rPr>
          <w:rFonts w:cs="Times New Roman"/>
          <w:szCs w:val="24"/>
        </w:rPr>
        <w:t xml:space="preserve"> background research to dialogue with India. Routine dialogue involving exchange of pleasantries and general purpose concerns/complaints and information sharing must give way to strategic dialogue aimed </w:t>
      </w:r>
      <w:r w:rsidR="009A4EB2">
        <w:rPr>
          <w:rFonts w:cs="Times New Roman"/>
          <w:szCs w:val="24"/>
        </w:rPr>
        <w:t>at problem</w:t>
      </w:r>
      <w:r>
        <w:rPr>
          <w:rFonts w:cs="Times New Roman"/>
          <w:szCs w:val="24"/>
        </w:rPr>
        <w:t xml:space="preserve"> solving and finding solutions.  </w:t>
      </w:r>
    </w:p>
    <w:p w:rsidR="007F2F9C" w:rsidRDefault="007F2F9C" w:rsidP="004534E0">
      <w:pPr>
        <w:spacing w:line="276" w:lineRule="auto"/>
        <w:jc w:val="both"/>
        <w:rPr>
          <w:rFonts w:cs="Times New Roman"/>
          <w:szCs w:val="24"/>
        </w:rPr>
      </w:pPr>
      <w:r>
        <w:rPr>
          <w:rFonts w:cs="Times New Roman"/>
          <w:szCs w:val="24"/>
        </w:rPr>
        <w:t xml:space="preserve">Satisfactory progress with cross-boundary water management is a sine-qua-non </w:t>
      </w:r>
      <w:r w:rsidR="009A4EB2">
        <w:rPr>
          <w:rFonts w:cs="Times New Roman"/>
          <w:szCs w:val="24"/>
        </w:rPr>
        <w:t>for successful</w:t>
      </w:r>
      <w:r>
        <w:rPr>
          <w:rFonts w:cs="Times New Roman"/>
          <w:szCs w:val="24"/>
        </w:rPr>
        <w:t xml:space="preserve"> implementation of the Delta Plan.  Positive results on this count will have far-reaching positive consequences including lower-cost water solutions for Bangladesh.   The priority assigned to this task should be as high as priority given to large water infrastructure projects. </w:t>
      </w:r>
    </w:p>
    <w:p w:rsidR="007F2F9C" w:rsidRDefault="007F2F9C" w:rsidP="004534E0">
      <w:pPr>
        <w:spacing w:line="276" w:lineRule="auto"/>
        <w:jc w:val="both"/>
        <w:rPr>
          <w:rFonts w:cs="Times New Roman"/>
          <w:szCs w:val="24"/>
        </w:rPr>
      </w:pPr>
      <w:r>
        <w:rPr>
          <w:rFonts w:cs="Times New Roman"/>
          <w:i/>
          <w:szCs w:val="24"/>
        </w:rPr>
        <w:t xml:space="preserve">4) Creating a delta knowledge bank: </w:t>
      </w:r>
      <w:r>
        <w:rPr>
          <w:rFonts w:cs="Times New Roman"/>
          <w:szCs w:val="24"/>
        </w:rPr>
        <w:t xml:space="preserve">As exemplified by the Dutch experience, creation of a delta knowledge bank is an essential pre-requisite for undertaking adaptive delta management. There are several ways of doing this. The knowledge agenda is discussed in detail in chapter 15. The main issue </w:t>
      </w:r>
      <w:r w:rsidR="002050E9">
        <w:rPr>
          <w:rFonts w:cs="Times New Roman"/>
          <w:szCs w:val="24"/>
        </w:rPr>
        <w:t xml:space="preserve">to be noted </w:t>
      </w:r>
      <w:r>
        <w:rPr>
          <w:rFonts w:cs="Times New Roman"/>
          <w:szCs w:val="24"/>
        </w:rPr>
        <w:t xml:space="preserve">here is the institutional responsibility for the delta knowledge management. </w:t>
      </w:r>
      <w:r w:rsidR="00503CA7">
        <w:rPr>
          <w:rFonts w:cs="Times New Roman"/>
          <w:szCs w:val="24"/>
        </w:rPr>
        <w:t xml:space="preserve">With the establishment of the Delta </w:t>
      </w:r>
      <w:r w:rsidR="00EA4E38">
        <w:rPr>
          <w:rFonts w:cs="Times New Roman"/>
          <w:szCs w:val="24"/>
        </w:rPr>
        <w:t>Commission,</w:t>
      </w:r>
      <w:r w:rsidR="00503CA7">
        <w:rPr>
          <w:rFonts w:cs="Times New Roman"/>
          <w:szCs w:val="24"/>
        </w:rPr>
        <w:t xml:space="preserve"> </w:t>
      </w:r>
      <w:r>
        <w:rPr>
          <w:rFonts w:cs="Times New Roman"/>
          <w:szCs w:val="24"/>
        </w:rPr>
        <w:t xml:space="preserve">this responsibility </w:t>
      </w:r>
      <w:r w:rsidR="00503CA7">
        <w:rPr>
          <w:rFonts w:cs="Times New Roman"/>
          <w:szCs w:val="24"/>
        </w:rPr>
        <w:t xml:space="preserve">will be assigned to </w:t>
      </w:r>
      <w:r w:rsidR="00EA4E38">
        <w:rPr>
          <w:rFonts w:cs="Times New Roman"/>
          <w:szCs w:val="24"/>
        </w:rPr>
        <w:t>them,</w:t>
      </w:r>
      <w:r>
        <w:rPr>
          <w:rFonts w:cs="Times New Roman"/>
          <w:szCs w:val="24"/>
        </w:rPr>
        <w:t xml:space="preserve"> who will </w:t>
      </w:r>
      <w:r w:rsidR="00503CA7">
        <w:rPr>
          <w:rFonts w:cs="Times New Roman"/>
          <w:szCs w:val="24"/>
        </w:rPr>
        <w:t>create a knowledge unit with three</w:t>
      </w:r>
      <w:r>
        <w:rPr>
          <w:rFonts w:cs="Times New Roman"/>
          <w:szCs w:val="24"/>
        </w:rPr>
        <w:t xml:space="preserve"> main responsibilities: </w:t>
      </w:r>
    </w:p>
    <w:p w:rsidR="007F2F9C" w:rsidRDefault="00503CA7" w:rsidP="004534E0">
      <w:pPr>
        <w:spacing w:line="276" w:lineRule="auto"/>
        <w:jc w:val="both"/>
        <w:rPr>
          <w:rFonts w:cs="Times New Roman"/>
          <w:szCs w:val="24"/>
        </w:rPr>
      </w:pPr>
      <w:r>
        <w:rPr>
          <w:rFonts w:cs="Times New Roman"/>
          <w:szCs w:val="24"/>
        </w:rPr>
        <w:lastRenderedPageBreak/>
        <w:t xml:space="preserve">(a) collate all </w:t>
      </w:r>
      <w:r w:rsidR="007F2F9C">
        <w:rPr>
          <w:rFonts w:cs="Times New Roman"/>
          <w:szCs w:val="24"/>
        </w:rPr>
        <w:t>relevant delta related knowledge globally and nationally into a d</w:t>
      </w:r>
      <w:r>
        <w:rPr>
          <w:rFonts w:cs="Times New Roman"/>
          <w:szCs w:val="24"/>
        </w:rPr>
        <w:t xml:space="preserve">igitized knowledge library; </w:t>
      </w:r>
    </w:p>
    <w:p w:rsidR="007F2F9C" w:rsidRDefault="00503CA7" w:rsidP="004534E0">
      <w:pPr>
        <w:spacing w:line="276" w:lineRule="auto"/>
        <w:jc w:val="both"/>
        <w:rPr>
          <w:rFonts w:cs="Times New Roman"/>
          <w:szCs w:val="24"/>
        </w:rPr>
      </w:pPr>
      <w:r>
        <w:rPr>
          <w:rFonts w:cs="Times New Roman"/>
          <w:szCs w:val="24"/>
        </w:rPr>
        <w:t xml:space="preserve">(b) </w:t>
      </w:r>
      <w:r w:rsidR="007F2F9C">
        <w:rPr>
          <w:rFonts w:cs="Times New Roman"/>
          <w:szCs w:val="24"/>
        </w:rPr>
        <w:t>establ</w:t>
      </w:r>
      <w:r>
        <w:rPr>
          <w:rFonts w:cs="Times New Roman"/>
          <w:szCs w:val="24"/>
        </w:rPr>
        <w:t>ish a delta data bank;</w:t>
      </w:r>
    </w:p>
    <w:p w:rsidR="00503CA7" w:rsidRDefault="00503CA7" w:rsidP="004534E0">
      <w:pPr>
        <w:spacing w:line="276" w:lineRule="auto"/>
        <w:jc w:val="both"/>
        <w:rPr>
          <w:rFonts w:cs="Times New Roman"/>
          <w:szCs w:val="24"/>
        </w:rPr>
      </w:pPr>
      <w:r>
        <w:rPr>
          <w:rFonts w:cs="Times New Roman"/>
          <w:szCs w:val="24"/>
        </w:rPr>
        <w:t xml:space="preserve">(c) develop and implement a comprehensive delta knowledge and data updating effort. </w:t>
      </w:r>
    </w:p>
    <w:p w:rsidR="00541E63" w:rsidRDefault="00541E63" w:rsidP="004534E0">
      <w:pPr>
        <w:spacing w:line="276" w:lineRule="auto"/>
        <w:jc w:val="both"/>
        <w:rPr>
          <w:rFonts w:cs="Times New Roman"/>
          <w:szCs w:val="24"/>
        </w:rPr>
      </w:pPr>
      <w:r>
        <w:rPr>
          <w:rFonts w:cs="Times New Roman"/>
          <w:szCs w:val="24"/>
        </w:rPr>
        <w:t>d) encourages researches by BUET, BAU and other technical universities/departments.</w:t>
      </w:r>
    </w:p>
    <w:p w:rsidR="007F2F9C" w:rsidRDefault="007F2F9C" w:rsidP="004534E0">
      <w:pPr>
        <w:spacing w:line="276" w:lineRule="auto"/>
        <w:jc w:val="both"/>
        <w:rPr>
          <w:rFonts w:cs="Times New Roman"/>
          <w:i/>
          <w:szCs w:val="24"/>
        </w:rPr>
      </w:pPr>
      <w:r>
        <w:rPr>
          <w:rFonts w:cs="Times New Roman"/>
          <w:szCs w:val="24"/>
        </w:rPr>
        <w:t xml:space="preserve">As a first step, </w:t>
      </w:r>
      <w:r w:rsidR="006D3E84">
        <w:rPr>
          <w:rFonts w:cs="Times New Roman"/>
          <w:szCs w:val="24"/>
        </w:rPr>
        <w:t xml:space="preserve">under the oversight of the Delta Commission, </w:t>
      </w:r>
      <w:r w:rsidR="00503CA7">
        <w:rPr>
          <w:rFonts w:cs="Times New Roman"/>
          <w:szCs w:val="24"/>
        </w:rPr>
        <w:t xml:space="preserve">the Delta Secretariat should undertake </w:t>
      </w:r>
      <w:r>
        <w:rPr>
          <w:rFonts w:cs="Times New Roman"/>
          <w:szCs w:val="24"/>
        </w:rPr>
        <w:t>a quick</w:t>
      </w:r>
      <w:r w:rsidR="00503CA7">
        <w:rPr>
          <w:rFonts w:cs="Times New Roman"/>
          <w:szCs w:val="24"/>
        </w:rPr>
        <w:t xml:space="preserve"> stock taking of existing knowledge </w:t>
      </w:r>
      <w:r>
        <w:rPr>
          <w:rFonts w:cs="Times New Roman"/>
          <w:szCs w:val="24"/>
        </w:rPr>
        <w:t>over a 6 months period. A summary of the knowledge bank stock should be s</w:t>
      </w:r>
      <w:r w:rsidR="00503CA7">
        <w:rPr>
          <w:rFonts w:cs="Times New Roman"/>
          <w:szCs w:val="24"/>
        </w:rPr>
        <w:t>hared with other delta</w:t>
      </w:r>
      <w:r>
        <w:rPr>
          <w:rFonts w:cs="Times New Roman"/>
          <w:szCs w:val="24"/>
        </w:rPr>
        <w:t xml:space="preserve">-related </w:t>
      </w:r>
      <w:r w:rsidR="000B096E">
        <w:t>public</w:t>
      </w:r>
      <w:r w:rsidR="00503CA7">
        <w:rPr>
          <w:rFonts w:cs="Times New Roman"/>
          <w:szCs w:val="24"/>
        </w:rPr>
        <w:t xml:space="preserve"> and private </w:t>
      </w:r>
      <w:r>
        <w:rPr>
          <w:rFonts w:cs="Times New Roman"/>
          <w:szCs w:val="24"/>
        </w:rPr>
        <w:t>policy and research institutions to develop a knowledge and dat</w:t>
      </w:r>
      <w:r w:rsidR="00503CA7">
        <w:rPr>
          <w:rFonts w:cs="Times New Roman"/>
          <w:szCs w:val="24"/>
        </w:rPr>
        <w:t>a upgrading agenda.  The Delta Secretariat</w:t>
      </w:r>
      <w:r w:rsidR="006D3E84">
        <w:rPr>
          <w:rFonts w:cs="Times New Roman"/>
          <w:szCs w:val="24"/>
        </w:rPr>
        <w:t xml:space="preserve"> </w:t>
      </w:r>
      <w:r>
        <w:rPr>
          <w:rFonts w:cs="Times New Roman"/>
          <w:szCs w:val="24"/>
        </w:rPr>
        <w:t>should review this agenda to check for consistency and relevance with the needs of the delta management, especially in the context of doing a sound monitoring and evaluation of the Delta Plan</w:t>
      </w:r>
      <w:r w:rsidR="00EE6ACD">
        <w:rPr>
          <w:rFonts w:cs="Times New Roman"/>
          <w:szCs w:val="24"/>
        </w:rPr>
        <w:t>, and</w:t>
      </w:r>
      <w:r>
        <w:rPr>
          <w:rFonts w:cs="Times New Roman"/>
          <w:szCs w:val="24"/>
        </w:rPr>
        <w:t xml:space="preserve"> develop a 3-5 year data and research work programme with annual targets.  Resource requirements should be determined.  </w:t>
      </w:r>
      <w:r w:rsidR="00503CA7">
        <w:rPr>
          <w:rFonts w:cs="Times New Roman"/>
          <w:szCs w:val="24"/>
        </w:rPr>
        <w:t xml:space="preserve">Following approval by the Delta Commission of the knowledge work programme and budget, implementation may proceed.  </w:t>
      </w:r>
      <w:r>
        <w:rPr>
          <w:rFonts w:cs="Times New Roman"/>
          <w:szCs w:val="24"/>
        </w:rPr>
        <w:t>Data work can be implemented in conjunction with the Bangladesh Bureau of Statistics and other delta ministries. Research can be out-sourced to universities and local re</w:t>
      </w:r>
      <w:r w:rsidR="00503CA7">
        <w:rPr>
          <w:rFonts w:cs="Times New Roman"/>
          <w:szCs w:val="24"/>
        </w:rPr>
        <w:t xml:space="preserve">search institutions.  The Delta </w:t>
      </w:r>
      <w:r w:rsidR="004D1DB0">
        <w:rPr>
          <w:rFonts w:cs="Times New Roman"/>
          <w:szCs w:val="24"/>
        </w:rPr>
        <w:t xml:space="preserve">Commission </w:t>
      </w:r>
      <w:r>
        <w:rPr>
          <w:rFonts w:cs="Times New Roman"/>
          <w:szCs w:val="24"/>
        </w:rPr>
        <w:t>should be responsible for coordination and oversight.  The knowledge management strategy for the Delta Plan is d</w:t>
      </w:r>
      <w:r w:rsidR="00503CA7">
        <w:rPr>
          <w:rFonts w:cs="Times New Roman"/>
          <w:szCs w:val="24"/>
        </w:rPr>
        <w:t>iscussed in detail in Chapter 14</w:t>
      </w:r>
      <w:r>
        <w:rPr>
          <w:rFonts w:cs="Times New Roman"/>
          <w:szCs w:val="24"/>
        </w:rPr>
        <w:t xml:space="preserve">.   </w:t>
      </w:r>
      <w:r>
        <w:rPr>
          <w:rFonts w:cs="Times New Roman"/>
          <w:i/>
          <w:szCs w:val="24"/>
        </w:rPr>
        <w:t xml:space="preserve"> </w:t>
      </w:r>
    </w:p>
    <w:p w:rsidR="004D1DB0" w:rsidRPr="006D3E84" w:rsidRDefault="007F2F9C" w:rsidP="006D3E84">
      <w:pPr>
        <w:spacing w:line="276" w:lineRule="auto"/>
        <w:jc w:val="both"/>
        <w:rPr>
          <w:rFonts w:cs="Times New Roman"/>
          <w:szCs w:val="24"/>
        </w:rPr>
      </w:pPr>
      <w:r>
        <w:rPr>
          <w:rFonts w:cs="Times New Roman"/>
          <w:i/>
          <w:szCs w:val="24"/>
        </w:rPr>
        <w:t xml:space="preserve">5) Developing a sound monitoring and evaluation (M&amp;E) system: </w:t>
      </w:r>
      <w:r>
        <w:rPr>
          <w:rFonts w:cs="Times New Roman"/>
          <w:szCs w:val="24"/>
        </w:rPr>
        <w:t>The practice of conducting M&amp;E of government policies and programmes is a weak link in Bangladesh policy planning.  Water related M&amp;E is no exception.  A solid M&amp;E effort is essential for sound implementation of the delta plan in the context of adaptive delta management.  The M&amp;E issues are d</w:t>
      </w:r>
      <w:r w:rsidR="00503CA7">
        <w:rPr>
          <w:rFonts w:cs="Times New Roman"/>
          <w:szCs w:val="24"/>
        </w:rPr>
        <w:t>iscussed in detail in Chapter 13</w:t>
      </w:r>
      <w:r>
        <w:rPr>
          <w:rFonts w:cs="Times New Roman"/>
          <w:szCs w:val="24"/>
        </w:rPr>
        <w:t>. The main point of note is the assignment of institutional responsibility for M&amp;E.  So far as investment projects are concerned, the M&amp;E is the responsibility of</w:t>
      </w:r>
      <w:r w:rsidR="00566D85">
        <w:rPr>
          <w:rFonts w:cs="Times New Roman"/>
          <w:szCs w:val="24"/>
        </w:rPr>
        <w:t xml:space="preserve"> the implementing agencies.</w:t>
      </w:r>
      <w:r>
        <w:rPr>
          <w:rFonts w:cs="Times New Roman"/>
          <w:szCs w:val="24"/>
        </w:rPr>
        <w:t xml:space="preserve"> Similarly, M&amp;E of sectoral policies and programmes should rest with the concerned sectoral ministry</w:t>
      </w:r>
      <w:r w:rsidR="00503CA7">
        <w:rPr>
          <w:rFonts w:cs="Times New Roman"/>
          <w:szCs w:val="24"/>
        </w:rPr>
        <w:t xml:space="preserve"> and IMED</w:t>
      </w:r>
      <w:r>
        <w:rPr>
          <w:rFonts w:cs="Times New Roman"/>
          <w:szCs w:val="24"/>
        </w:rPr>
        <w:t>.  Regarding M&amp;E o</w:t>
      </w:r>
      <w:r w:rsidR="00503CA7">
        <w:rPr>
          <w:rFonts w:cs="Times New Roman"/>
          <w:szCs w:val="24"/>
        </w:rPr>
        <w:t>f the entire Delta Plan, this will be a key responsibility of the Delta</w:t>
      </w:r>
      <w:r w:rsidR="005A2232">
        <w:rPr>
          <w:rFonts w:cs="Times New Roman"/>
          <w:szCs w:val="24"/>
        </w:rPr>
        <w:t xml:space="preserve"> </w:t>
      </w:r>
      <w:r w:rsidR="00503CA7">
        <w:rPr>
          <w:rFonts w:cs="Times New Roman"/>
          <w:szCs w:val="24"/>
        </w:rPr>
        <w:t>Secretariat.  As in the case of implementation of the knowledge agenda, the Delta</w:t>
      </w:r>
      <w:r w:rsidR="006D3E84">
        <w:rPr>
          <w:rFonts w:cs="Times New Roman"/>
          <w:szCs w:val="24"/>
        </w:rPr>
        <w:t xml:space="preserve"> </w:t>
      </w:r>
      <w:r w:rsidR="00F57172">
        <w:rPr>
          <w:rFonts w:cs="Times New Roman"/>
          <w:szCs w:val="24"/>
        </w:rPr>
        <w:t>Secretariat</w:t>
      </w:r>
      <w:r w:rsidR="006D3E84">
        <w:rPr>
          <w:rFonts w:cs="Times New Roman"/>
          <w:szCs w:val="24"/>
        </w:rPr>
        <w:t xml:space="preserve"> </w:t>
      </w:r>
      <w:r w:rsidR="00503CA7">
        <w:rPr>
          <w:rFonts w:cs="Times New Roman"/>
          <w:szCs w:val="24"/>
        </w:rPr>
        <w:t xml:space="preserve">can draw on the technical capabilities of its knowledge partners to help with the Delta Plan level M&amp;E.  </w:t>
      </w:r>
      <w:r>
        <w:rPr>
          <w:rFonts w:cs="Times New Roman"/>
          <w:szCs w:val="24"/>
        </w:rPr>
        <w:t xml:space="preserve">Needless to say, the M&amp;E for the Delta Plan will need to be done consultatively, drawing on the analysis of the M&amp;E at </w:t>
      </w:r>
      <w:r w:rsidR="00356A03">
        <w:rPr>
          <w:rFonts w:cs="Times New Roman"/>
          <w:szCs w:val="24"/>
        </w:rPr>
        <w:t>the project and sectoral levels and involving all inter-ministerial agencies dealing with delta issues</w:t>
      </w:r>
      <w:r w:rsidR="00503CA7">
        <w:rPr>
          <w:rFonts w:cs="Times New Roman"/>
          <w:szCs w:val="24"/>
        </w:rPr>
        <w:t xml:space="preserve"> and the IMED</w:t>
      </w:r>
      <w:r w:rsidR="00356A03">
        <w:rPr>
          <w:rFonts w:cs="Times New Roman"/>
          <w:szCs w:val="24"/>
        </w:rPr>
        <w:t xml:space="preserve">. </w:t>
      </w:r>
    </w:p>
    <w:p w:rsidR="0026021A" w:rsidRDefault="0026021A">
      <w:pPr>
        <w:rPr>
          <w:rFonts w:cs="Times New Roman"/>
          <w:b/>
          <w:bCs/>
          <w:szCs w:val="24"/>
        </w:rPr>
      </w:pPr>
      <w:r>
        <w:br w:type="page"/>
      </w:r>
    </w:p>
    <w:p w:rsidR="0009249B" w:rsidRPr="0084558D" w:rsidRDefault="0009249B" w:rsidP="0084558D">
      <w:pPr>
        <w:pStyle w:val="Heading4"/>
      </w:pPr>
      <w:bookmarkStart w:id="890" w:name="_Toc474639148"/>
      <w:r w:rsidRPr="0009249B">
        <w:lastRenderedPageBreak/>
        <w:t>Table 12.5:</w:t>
      </w:r>
      <w:r>
        <w:t xml:space="preserve"> </w:t>
      </w:r>
      <w:r w:rsidRPr="00125111">
        <w:t xml:space="preserve">Summary of Delta </w:t>
      </w:r>
      <w:r>
        <w:t xml:space="preserve">Governance and </w:t>
      </w:r>
      <w:r w:rsidRPr="00125111">
        <w:t>Institutional Reforms</w:t>
      </w:r>
      <w:bookmarkEnd w:id="890"/>
    </w:p>
    <w:tbl>
      <w:tblPr>
        <w:tblStyle w:val="TableGrid"/>
        <w:tblW w:w="5000" w:type="pct"/>
        <w:tblLook w:val="04A0"/>
      </w:tblPr>
      <w:tblGrid>
        <w:gridCol w:w="1127"/>
        <w:gridCol w:w="5382"/>
        <w:gridCol w:w="1797"/>
        <w:gridCol w:w="1270"/>
      </w:tblGrid>
      <w:tr w:rsidR="00B025E0" w:rsidRPr="00B21947" w:rsidTr="00576F19">
        <w:tc>
          <w:tcPr>
            <w:tcW w:w="637" w:type="pct"/>
            <w:shd w:val="clear" w:color="auto" w:fill="EAF1DD" w:themeFill="accent3" w:themeFillTint="33"/>
            <w:vAlign w:val="center"/>
          </w:tcPr>
          <w:p w:rsidR="00B025E0" w:rsidRPr="006D3E84" w:rsidRDefault="00B025E0" w:rsidP="00576F19">
            <w:pPr>
              <w:spacing w:after="0"/>
              <w:jc w:val="center"/>
              <w:rPr>
                <w:rFonts w:cs="Times New Roman"/>
                <w:b/>
                <w:sz w:val="20"/>
                <w:szCs w:val="18"/>
              </w:rPr>
            </w:pPr>
            <w:r w:rsidRPr="006D3E84">
              <w:rPr>
                <w:rFonts w:cs="Times New Roman"/>
                <w:b/>
                <w:sz w:val="20"/>
                <w:szCs w:val="18"/>
              </w:rPr>
              <w:t>Proposed Reform</w:t>
            </w:r>
          </w:p>
        </w:tc>
        <w:tc>
          <w:tcPr>
            <w:tcW w:w="2874" w:type="pct"/>
            <w:shd w:val="clear" w:color="auto" w:fill="EAF1DD" w:themeFill="accent3" w:themeFillTint="33"/>
            <w:vAlign w:val="center"/>
          </w:tcPr>
          <w:p w:rsidR="00B025E0" w:rsidRPr="006D3E84" w:rsidRDefault="00B025E0" w:rsidP="00576F19">
            <w:pPr>
              <w:spacing w:after="0"/>
              <w:jc w:val="center"/>
              <w:rPr>
                <w:rFonts w:cs="Times New Roman"/>
                <w:b/>
                <w:sz w:val="20"/>
                <w:szCs w:val="18"/>
              </w:rPr>
            </w:pPr>
            <w:r w:rsidRPr="006D3E84">
              <w:rPr>
                <w:rFonts w:cs="Times New Roman"/>
                <w:b/>
                <w:sz w:val="20"/>
                <w:szCs w:val="18"/>
              </w:rPr>
              <w:t>Required Actions</w:t>
            </w:r>
          </w:p>
        </w:tc>
        <w:tc>
          <w:tcPr>
            <w:tcW w:w="770" w:type="pct"/>
            <w:shd w:val="clear" w:color="auto" w:fill="EAF1DD" w:themeFill="accent3" w:themeFillTint="33"/>
            <w:vAlign w:val="center"/>
          </w:tcPr>
          <w:p w:rsidR="00B025E0" w:rsidRPr="006D3E84" w:rsidRDefault="00B025E0" w:rsidP="00576F19">
            <w:pPr>
              <w:jc w:val="center"/>
              <w:rPr>
                <w:rFonts w:cs="Times New Roman"/>
                <w:b/>
                <w:sz w:val="20"/>
                <w:szCs w:val="18"/>
              </w:rPr>
            </w:pPr>
            <w:r w:rsidRPr="006D3E84">
              <w:rPr>
                <w:rFonts w:cs="Times New Roman"/>
                <w:b/>
                <w:sz w:val="20"/>
                <w:szCs w:val="18"/>
              </w:rPr>
              <w:t>Responsible Agency</w:t>
            </w:r>
          </w:p>
        </w:tc>
        <w:tc>
          <w:tcPr>
            <w:tcW w:w="719" w:type="pct"/>
            <w:shd w:val="clear" w:color="auto" w:fill="EAF1DD" w:themeFill="accent3" w:themeFillTint="33"/>
            <w:vAlign w:val="center"/>
          </w:tcPr>
          <w:p w:rsidR="00B025E0" w:rsidRPr="006D3E84" w:rsidRDefault="0082342B" w:rsidP="00576F19">
            <w:pPr>
              <w:jc w:val="center"/>
              <w:rPr>
                <w:rFonts w:cs="Times New Roman"/>
                <w:b/>
                <w:sz w:val="20"/>
                <w:szCs w:val="18"/>
              </w:rPr>
            </w:pPr>
            <w:r>
              <w:rPr>
                <w:rFonts w:cs="Times New Roman"/>
                <w:b/>
                <w:sz w:val="20"/>
                <w:szCs w:val="18"/>
              </w:rPr>
              <w:t>Outputs generated</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t>Adopt Delta Act</w:t>
            </w:r>
          </w:p>
        </w:tc>
        <w:tc>
          <w:tcPr>
            <w:tcW w:w="2874" w:type="pct"/>
          </w:tcPr>
          <w:p w:rsidR="00B025E0" w:rsidRPr="006D3E84" w:rsidRDefault="00B025E0" w:rsidP="00576F19">
            <w:pPr>
              <w:spacing w:after="0"/>
              <w:rPr>
                <w:rFonts w:cs="Times New Roman"/>
                <w:sz w:val="18"/>
                <w:szCs w:val="18"/>
              </w:rPr>
            </w:pPr>
            <w:r w:rsidRPr="006D3E84">
              <w:rPr>
                <w:rFonts w:cs="Times New Roman"/>
                <w:sz w:val="18"/>
                <w:szCs w:val="18"/>
              </w:rPr>
              <w:t>Establish the legal framework for implementing the Delta Plan by enacting the Delta Act. The three main areas it will need to address are (a) establishing a Bangladesh Delta Commission including a Delta Secretariat; (b) establishing a Bangladesh Delta Fund incl. O&amp;M compartment; (c) assure necessary implementation capacity on national and decentral levels.</w:t>
            </w:r>
          </w:p>
        </w:tc>
        <w:tc>
          <w:tcPr>
            <w:tcW w:w="770" w:type="pct"/>
          </w:tcPr>
          <w:p w:rsidR="00B025E0" w:rsidRPr="006D3E84" w:rsidRDefault="0082342B" w:rsidP="00576F19">
            <w:pPr>
              <w:spacing w:after="0"/>
              <w:rPr>
                <w:rFonts w:cs="Times New Roman"/>
                <w:sz w:val="18"/>
                <w:szCs w:val="18"/>
              </w:rPr>
            </w:pPr>
            <w:r>
              <w:rPr>
                <w:rFonts w:cs="Times New Roman"/>
                <w:sz w:val="18"/>
                <w:szCs w:val="18"/>
              </w:rPr>
              <w:t>Planning Commission/Ministry of  Planning</w:t>
            </w:r>
          </w:p>
        </w:tc>
        <w:tc>
          <w:tcPr>
            <w:tcW w:w="719" w:type="pct"/>
          </w:tcPr>
          <w:p w:rsidR="00B025E0" w:rsidRPr="006D3E84" w:rsidRDefault="0082342B" w:rsidP="00576F19">
            <w:pPr>
              <w:spacing w:after="0"/>
              <w:rPr>
                <w:rFonts w:cs="Times New Roman"/>
                <w:sz w:val="18"/>
                <w:szCs w:val="18"/>
              </w:rPr>
            </w:pPr>
            <w:r>
              <w:rPr>
                <w:rFonts w:cs="Times New Roman"/>
                <w:sz w:val="18"/>
                <w:szCs w:val="18"/>
              </w:rPr>
              <w:t>Draft Act to Parliament</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t>Establish Bangladesh Delta Governance Council</w:t>
            </w:r>
          </w:p>
        </w:tc>
        <w:tc>
          <w:tcPr>
            <w:tcW w:w="2874" w:type="pct"/>
          </w:tcPr>
          <w:p w:rsidR="00B025E0" w:rsidRPr="006D3E84" w:rsidRDefault="00B025E0" w:rsidP="00576F19">
            <w:pPr>
              <w:spacing w:after="0"/>
              <w:rPr>
                <w:rFonts w:cs="Times New Roman"/>
                <w:sz w:val="18"/>
                <w:szCs w:val="18"/>
              </w:rPr>
            </w:pPr>
            <w:r w:rsidRPr="006D3E84">
              <w:rPr>
                <w:rFonts w:cs="Times New Roman"/>
                <w:sz w:val="18"/>
                <w:szCs w:val="18"/>
              </w:rPr>
              <w:t>The ‘Delta Governance Council (DGC)’ is proposed as a small but high-level forum. It would be chaired by the Prime Minister. The DGC functions as a formal linkage for achieving political commitments regarding BDP 2100, provides directions and makes decisions. It provides strategic advices and has broader accountabilities as defined under the Delta Act.</w:t>
            </w:r>
          </w:p>
        </w:tc>
        <w:tc>
          <w:tcPr>
            <w:tcW w:w="770" w:type="pct"/>
          </w:tcPr>
          <w:p w:rsidR="00B025E0" w:rsidRPr="006D3E84" w:rsidRDefault="0082342B" w:rsidP="00576F19">
            <w:pPr>
              <w:rPr>
                <w:rFonts w:cs="Times New Roman"/>
                <w:sz w:val="18"/>
                <w:szCs w:val="18"/>
              </w:rPr>
            </w:pPr>
            <w:r>
              <w:rPr>
                <w:rFonts w:cs="Times New Roman"/>
                <w:sz w:val="18"/>
                <w:szCs w:val="18"/>
              </w:rPr>
              <w:t>NEC</w:t>
            </w:r>
          </w:p>
        </w:tc>
        <w:tc>
          <w:tcPr>
            <w:tcW w:w="719" w:type="pct"/>
          </w:tcPr>
          <w:p w:rsidR="00B025E0" w:rsidRPr="006D3E84" w:rsidRDefault="0082342B" w:rsidP="00576F19">
            <w:pPr>
              <w:rPr>
                <w:rFonts w:cs="Times New Roman"/>
                <w:sz w:val="18"/>
                <w:szCs w:val="18"/>
              </w:rPr>
            </w:pPr>
            <w:r>
              <w:rPr>
                <w:rFonts w:cs="Times New Roman"/>
                <w:sz w:val="18"/>
                <w:szCs w:val="18"/>
              </w:rPr>
              <w:t>Gazette Notification</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t>Establish Bangladesh Delta Commission</w:t>
            </w:r>
          </w:p>
        </w:tc>
        <w:tc>
          <w:tcPr>
            <w:tcW w:w="2874" w:type="pct"/>
          </w:tcPr>
          <w:p w:rsidR="00B025E0" w:rsidRPr="006D3E84" w:rsidRDefault="00B025E0" w:rsidP="00576F19">
            <w:pPr>
              <w:pStyle w:val="Default"/>
              <w:spacing w:after="0" w:line="276" w:lineRule="auto"/>
              <w:jc w:val="both"/>
              <w:rPr>
                <w:rFonts w:ascii="Times New Roman" w:hAnsi="Times New Roman" w:cs="Times New Roman"/>
                <w:color w:val="auto"/>
                <w:sz w:val="18"/>
                <w:szCs w:val="18"/>
              </w:rPr>
            </w:pPr>
            <w:r w:rsidRPr="006D3E84">
              <w:rPr>
                <w:rFonts w:ascii="Times New Roman" w:hAnsi="Times New Roman" w:cs="Times New Roman"/>
                <w:color w:val="auto"/>
                <w:sz w:val="18"/>
                <w:szCs w:val="18"/>
              </w:rPr>
              <w:t>The Bangladesh Delta Commission including Delta Secretariat is proposed as an independent entity under the ‘Bangladesh Delta Act’ and linked, for administrative purposes, with the Ministry of Planning.</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6D3E84">
              <w:rPr>
                <w:rFonts w:ascii="Times New Roman" w:hAnsi="Times New Roman" w:cs="Times New Roman"/>
                <w:color w:val="auto"/>
                <w:sz w:val="18"/>
                <w:szCs w:val="18"/>
              </w:rPr>
              <w:t>Provide mandate in the areas of coordination, facilitating activities, delta financing, and investment allocation, policies, and research and knowledge management.</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6D3E84">
              <w:rPr>
                <w:rFonts w:ascii="Times New Roman" w:hAnsi="Times New Roman" w:cs="Times New Roman"/>
                <w:color w:val="auto"/>
                <w:sz w:val="18"/>
                <w:szCs w:val="18"/>
              </w:rPr>
              <w:t>To ensure its cross-cutting structure and to facilitate financial decisions, the Delta Commissioner heads the Delta Commission;</w:t>
            </w:r>
          </w:p>
          <w:p w:rsidR="00000000" w:rsidRDefault="00B025E0" w:rsidP="003D5A31">
            <w:pPr>
              <w:pStyle w:val="ListParagraph"/>
              <w:numPr>
                <w:ilvl w:val="0"/>
                <w:numId w:val="176"/>
              </w:numPr>
              <w:spacing w:after="0" w:line="276" w:lineRule="auto"/>
              <w:ind w:left="181" w:hanging="181"/>
              <w:jc w:val="both"/>
              <w:rPr>
                <w:rFonts w:eastAsia="MS ??" w:cs="Times New Roman"/>
                <w:sz w:val="18"/>
                <w:szCs w:val="18"/>
              </w:rPr>
            </w:pPr>
            <w:r w:rsidRPr="006D3E84">
              <w:rPr>
                <w:rFonts w:cs="Times New Roman"/>
                <w:sz w:val="18"/>
                <w:szCs w:val="18"/>
              </w:rPr>
              <w:t xml:space="preserve">The Delta Commissioner would be </w:t>
            </w:r>
            <w:r w:rsidRPr="006D3E84">
              <w:rPr>
                <w:rFonts w:eastAsia="Times New Roman" w:cs="Times New Roman"/>
                <w:sz w:val="18"/>
                <w:szCs w:val="18"/>
              </w:rPr>
              <w:t>supported/assisted by two part-time</w:t>
            </w:r>
            <w:r w:rsidR="0082342B">
              <w:rPr>
                <w:rFonts w:eastAsia="Times New Roman" w:cs="Times New Roman"/>
                <w:sz w:val="18"/>
                <w:szCs w:val="18"/>
              </w:rPr>
              <w:t>/fulltime</w:t>
            </w:r>
            <w:r w:rsidRPr="006D3E84">
              <w:rPr>
                <w:rFonts w:eastAsia="Times New Roman" w:cs="Times New Roman"/>
                <w:sz w:val="18"/>
                <w:szCs w:val="18"/>
              </w:rPr>
              <w:t xml:space="preserve"> specialist ‘Advisors’ as and when necessary from a broad range of disciplines</w:t>
            </w:r>
            <w:r w:rsidRPr="006D3E84">
              <w:rPr>
                <w:rFonts w:cs="Times New Roman"/>
                <w:sz w:val="18"/>
                <w:szCs w:val="18"/>
              </w:rPr>
              <w:t>;</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6D3E84">
              <w:rPr>
                <w:rFonts w:ascii="Times New Roman" w:hAnsi="Times New Roman" w:cs="Times New Roman"/>
                <w:color w:val="auto"/>
                <w:sz w:val="18"/>
                <w:szCs w:val="18"/>
              </w:rPr>
              <w:t>The delta spending programme will be prepared by the Delta Commission on a 5- year cycle and updated annually.  It will include investments, O&amp;M funding, research, capacity building and institutional development.</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6D3E84">
              <w:rPr>
                <w:rFonts w:ascii="Times New Roman" w:hAnsi="Times New Roman" w:cs="Times New Roman"/>
                <w:color w:val="auto"/>
                <w:sz w:val="18"/>
                <w:szCs w:val="18"/>
              </w:rPr>
              <w:t xml:space="preserve">Multi-sectoral/multi agency Delta Plan project approval and related financial decisions will be done by the Delta Commission in line with the BDP 2100 Investment Plan; </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6D3E84">
              <w:rPr>
                <w:rFonts w:ascii="Times New Roman" w:hAnsi="Times New Roman" w:cs="Times New Roman"/>
                <w:color w:val="auto"/>
                <w:sz w:val="18"/>
                <w:szCs w:val="18"/>
              </w:rPr>
              <w:t xml:space="preserve">All other (single-sector) projects follow normal procedures and </w:t>
            </w:r>
            <w:r w:rsidR="00EA4E38" w:rsidRPr="006D3E84">
              <w:rPr>
                <w:rFonts w:ascii="Times New Roman" w:hAnsi="Times New Roman" w:cs="Times New Roman"/>
                <w:color w:val="auto"/>
                <w:sz w:val="18"/>
                <w:szCs w:val="18"/>
              </w:rPr>
              <w:t>shall</w:t>
            </w:r>
            <w:r w:rsidRPr="006D3E84">
              <w:rPr>
                <w:rFonts w:ascii="Times New Roman" w:hAnsi="Times New Roman" w:cs="Times New Roman"/>
                <w:color w:val="auto"/>
                <w:sz w:val="18"/>
                <w:szCs w:val="18"/>
              </w:rPr>
              <w:t xml:space="preserve"> be in line with the BDP 2100 Investment Plan;</w:t>
            </w:r>
          </w:p>
          <w:p w:rsidR="00000000" w:rsidRDefault="00B025E0" w:rsidP="003D5A31">
            <w:pPr>
              <w:pStyle w:val="Default"/>
              <w:numPr>
                <w:ilvl w:val="0"/>
                <w:numId w:val="176"/>
              </w:numPr>
              <w:spacing w:after="0" w:line="276" w:lineRule="auto"/>
              <w:ind w:left="181" w:hanging="181"/>
              <w:jc w:val="both"/>
              <w:rPr>
                <w:rFonts w:ascii="Times New Roman" w:eastAsia="MS ??" w:hAnsi="Times New Roman" w:cs="Times New Roman"/>
                <w:color w:val="auto"/>
                <w:sz w:val="18"/>
                <w:szCs w:val="18"/>
              </w:rPr>
            </w:pPr>
            <w:r w:rsidRPr="006D3E84">
              <w:rPr>
                <w:rFonts w:ascii="Times New Roman" w:hAnsi="Times New Roman" w:cs="Times New Roman"/>
                <w:color w:val="auto"/>
                <w:sz w:val="18"/>
                <w:szCs w:val="18"/>
              </w:rPr>
              <w:t>All project implementation will be done by concerned line ministries and implementing agencies as presently.</w:t>
            </w:r>
          </w:p>
        </w:tc>
        <w:tc>
          <w:tcPr>
            <w:tcW w:w="770" w:type="pct"/>
          </w:tcPr>
          <w:p w:rsidR="00B025E0" w:rsidRPr="006D3E84" w:rsidRDefault="00B025E0" w:rsidP="00576F19">
            <w:pPr>
              <w:spacing w:after="0"/>
              <w:rPr>
                <w:rFonts w:cs="Times New Roman"/>
                <w:sz w:val="18"/>
                <w:szCs w:val="18"/>
              </w:rPr>
            </w:pPr>
            <w:r w:rsidRPr="006D3E84">
              <w:rPr>
                <w:rFonts w:cs="Times New Roman"/>
                <w:sz w:val="18"/>
                <w:szCs w:val="18"/>
              </w:rPr>
              <w:t>Cabinet</w:t>
            </w:r>
          </w:p>
        </w:tc>
        <w:tc>
          <w:tcPr>
            <w:tcW w:w="719" w:type="pct"/>
          </w:tcPr>
          <w:p w:rsidR="00B025E0" w:rsidRPr="006D3E84" w:rsidRDefault="00B025E0" w:rsidP="00576F19">
            <w:pPr>
              <w:spacing w:after="0"/>
              <w:rPr>
                <w:rFonts w:cs="Times New Roman"/>
                <w:sz w:val="18"/>
                <w:szCs w:val="18"/>
              </w:rPr>
            </w:pPr>
            <w:r w:rsidRPr="006D3E84">
              <w:rPr>
                <w:rFonts w:cs="Times New Roman"/>
                <w:sz w:val="18"/>
                <w:szCs w:val="18"/>
              </w:rPr>
              <w:t>Enactment of the Delta Act</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t>Establish Delta Commission Secretariat</w:t>
            </w:r>
          </w:p>
        </w:tc>
        <w:tc>
          <w:tcPr>
            <w:tcW w:w="2874" w:type="pct"/>
          </w:tcPr>
          <w:p w:rsidR="00B025E0" w:rsidRPr="006D3E84" w:rsidRDefault="00B025E0" w:rsidP="00576F19">
            <w:pPr>
              <w:spacing w:after="40"/>
              <w:rPr>
                <w:rFonts w:eastAsia="Times New Roman" w:cs="Times New Roman"/>
                <w:sz w:val="18"/>
                <w:szCs w:val="18"/>
              </w:rPr>
            </w:pPr>
            <w:r w:rsidRPr="006D3E84">
              <w:rPr>
                <w:rFonts w:eastAsia="Times New Roman" w:cs="Times New Roman"/>
                <w:sz w:val="18"/>
                <w:szCs w:val="18"/>
              </w:rPr>
              <w:t>A Delta Division / Secretariat would provide secretariat and functional support to the Delta Commission.</w:t>
            </w:r>
          </w:p>
          <w:p w:rsidR="00000000" w:rsidRDefault="00B025E0" w:rsidP="003D5A31">
            <w:pPr>
              <w:pStyle w:val="ListParagraph"/>
              <w:numPr>
                <w:ilvl w:val="0"/>
                <w:numId w:val="177"/>
              </w:numPr>
              <w:spacing w:after="40" w:line="276" w:lineRule="auto"/>
              <w:ind w:left="181" w:hanging="181"/>
              <w:jc w:val="both"/>
              <w:rPr>
                <w:rFonts w:eastAsia="Times New Roman" w:cs="Times New Roman"/>
                <w:sz w:val="18"/>
                <w:szCs w:val="18"/>
              </w:rPr>
            </w:pPr>
            <w:r w:rsidRPr="006D3E84">
              <w:rPr>
                <w:rFonts w:eastAsia="Times New Roman" w:cs="Times New Roman"/>
                <w:sz w:val="18"/>
                <w:szCs w:val="18"/>
              </w:rPr>
              <w:t>The Delta Division/Secretariat may be structured following the structure of a Division of the Planning Commission headed by a “Member” equivalent to the Senior Secretary/Secretary to the Government. The division may have several wings: (i) Programming, Planning &amp; Alignment incl. coordination and facilitating sectoral implementation; (ii) Study, Research &amp; Knowledge Management; (iii) Monitoring &amp; Evaluation and (iv) Administration, Financing &amp; Coordination.</w:t>
            </w:r>
          </w:p>
          <w:p w:rsidR="00000000" w:rsidRDefault="00B025E0" w:rsidP="003D5A31">
            <w:pPr>
              <w:pStyle w:val="ListParagraph"/>
              <w:numPr>
                <w:ilvl w:val="0"/>
                <w:numId w:val="177"/>
              </w:numPr>
              <w:spacing w:after="0" w:line="276" w:lineRule="auto"/>
              <w:ind w:left="181" w:hanging="181"/>
              <w:jc w:val="both"/>
              <w:rPr>
                <w:rFonts w:eastAsia="Times New Roman" w:cs="Times New Roman"/>
                <w:sz w:val="18"/>
                <w:szCs w:val="18"/>
              </w:rPr>
            </w:pPr>
            <w:r w:rsidRPr="006D3E84">
              <w:rPr>
                <w:rFonts w:eastAsia="Times New Roman" w:cs="Times New Roman"/>
                <w:sz w:val="18"/>
                <w:szCs w:val="18"/>
              </w:rPr>
              <w:t>The Delta Division would have multi-sectoral staffing, with at least half of them on deputation from different ministries / agencies at the desk level and other half would be appointed from planning and development related officials of GoB.</w:t>
            </w:r>
          </w:p>
          <w:p w:rsidR="00000000" w:rsidRDefault="00B025E0" w:rsidP="003D5A31">
            <w:pPr>
              <w:pStyle w:val="ListParagraph"/>
              <w:numPr>
                <w:ilvl w:val="0"/>
                <w:numId w:val="177"/>
              </w:numPr>
              <w:spacing w:after="0" w:line="276" w:lineRule="auto"/>
              <w:ind w:left="181" w:hanging="181"/>
              <w:jc w:val="both"/>
              <w:rPr>
                <w:rFonts w:eastAsia="MS ??" w:cs="Times New Roman"/>
                <w:sz w:val="18"/>
                <w:szCs w:val="18"/>
              </w:rPr>
            </w:pPr>
            <w:r w:rsidRPr="006D3E84">
              <w:rPr>
                <w:rFonts w:cs="Times New Roman"/>
                <w:sz w:val="18"/>
                <w:szCs w:val="18"/>
              </w:rPr>
              <w:lastRenderedPageBreak/>
              <w:t>Stronger capacity is needed in: integrated planning, research, economic management, financial planning, cost-benefit analysis and consultative processes.</w:t>
            </w:r>
          </w:p>
          <w:p w:rsidR="00000000" w:rsidRDefault="00B025E0" w:rsidP="003D5A31">
            <w:pPr>
              <w:pStyle w:val="ListParagraph"/>
              <w:numPr>
                <w:ilvl w:val="0"/>
                <w:numId w:val="177"/>
              </w:numPr>
              <w:spacing w:after="120" w:line="276" w:lineRule="auto"/>
              <w:ind w:left="187" w:hanging="187"/>
              <w:contextualSpacing w:val="0"/>
              <w:jc w:val="both"/>
              <w:rPr>
                <w:rFonts w:eastAsia="MS ??" w:cs="Times New Roman"/>
                <w:sz w:val="18"/>
                <w:szCs w:val="18"/>
              </w:rPr>
            </w:pPr>
            <w:r w:rsidRPr="006D3E84">
              <w:rPr>
                <w:rFonts w:cs="Times New Roman"/>
                <w:sz w:val="18"/>
                <w:szCs w:val="18"/>
              </w:rPr>
              <w:t>Strengthen partnership of the Secretariat with implementing government agencies, BIDS, WARPO, BWDB, BARC, JRC, CEGIS, IWM, BUET and private economic research institutions.</w:t>
            </w:r>
          </w:p>
        </w:tc>
        <w:tc>
          <w:tcPr>
            <w:tcW w:w="770" w:type="pct"/>
          </w:tcPr>
          <w:p w:rsidR="00B025E0" w:rsidRPr="006D3E84" w:rsidRDefault="0082342B" w:rsidP="00576F19">
            <w:pPr>
              <w:spacing w:after="0"/>
              <w:rPr>
                <w:rFonts w:cs="Times New Roman"/>
                <w:sz w:val="18"/>
                <w:szCs w:val="18"/>
              </w:rPr>
            </w:pPr>
            <w:r>
              <w:rPr>
                <w:rFonts w:cs="Times New Roman"/>
                <w:sz w:val="18"/>
                <w:szCs w:val="18"/>
              </w:rPr>
              <w:lastRenderedPageBreak/>
              <w:t>Ministry of  Planning</w:t>
            </w:r>
          </w:p>
        </w:tc>
        <w:tc>
          <w:tcPr>
            <w:tcW w:w="719" w:type="pct"/>
          </w:tcPr>
          <w:p w:rsidR="00B025E0" w:rsidRPr="006D3E84" w:rsidRDefault="00B025E0" w:rsidP="00576F19">
            <w:pPr>
              <w:spacing w:after="0"/>
              <w:rPr>
                <w:rFonts w:cs="Times New Roman"/>
                <w:sz w:val="18"/>
                <w:szCs w:val="18"/>
              </w:rPr>
            </w:pPr>
            <w:r w:rsidRPr="006D3E84">
              <w:rPr>
                <w:rFonts w:cs="Times New Roman"/>
                <w:sz w:val="18"/>
                <w:szCs w:val="18"/>
              </w:rPr>
              <w:t>Establishment of the Delta Commission</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lastRenderedPageBreak/>
              <w:t>Establish Bangladesh Delta Fund</w:t>
            </w:r>
          </w:p>
        </w:tc>
        <w:tc>
          <w:tcPr>
            <w:tcW w:w="2874" w:type="pct"/>
          </w:tcPr>
          <w:p w:rsidR="00000000" w:rsidRDefault="00B025E0" w:rsidP="003D5A31">
            <w:pPr>
              <w:pStyle w:val="ListParagraph"/>
              <w:numPr>
                <w:ilvl w:val="0"/>
                <w:numId w:val="178"/>
              </w:numPr>
              <w:spacing w:after="0" w:line="276" w:lineRule="auto"/>
              <w:ind w:left="181" w:hanging="180"/>
              <w:jc w:val="both"/>
              <w:rPr>
                <w:rFonts w:eastAsia="MS ??" w:cs="Times New Roman"/>
                <w:sz w:val="18"/>
                <w:szCs w:val="18"/>
              </w:rPr>
            </w:pPr>
            <w:r w:rsidRPr="006D3E84">
              <w:rPr>
                <w:rFonts w:cs="Times New Roman"/>
                <w:sz w:val="18"/>
                <w:szCs w:val="18"/>
              </w:rPr>
              <w:t>Establish the Delta Fund to coordinate funding of all programs related to the Delta Plan. The Delta Fund will be managed by the Delta Commission as an integrated program that is prepared ahead of the financing allocation.</w:t>
            </w:r>
          </w:p>
          <w:p w:rsidR="00000000" w:rsidRDefault="00B025E0" w:rsidP="003D5A31">
            <w:pPr>
              <w:pStyle w:val="ListParagraph"/>
              <w:numPr>
                <w:ilvl w:val="0"/>
                <w:numId w:val="178"/>
              </w:numPr>
              <w:spacing w:after="40" w:line="276" w:lineRule="auto"/>
              <w:ind w:left="181" w:hanging="180"/>
              <w:jc w:val="both"/>
              <w:rPr>
                <w:rFonts w:eastAsia="Times New Roman" w:cs="Times New Roman"/>
                <w:sz w:val="18"/>
                <w:szCs w:val="18"/>
              </w:rPr>
            </w:pPr>
            <w:r w:rsidRPr="006D3E84">
              <w:rPr>
                <w:rFonts w:eastAsia="Times New Roman" w:cs="Times New Roman"/>
                <w:sz w:val="18"/>
                <w:szCs w:val="18"/>
              </w:rPr>
              <w:t>The Bangladesh Delta Fund would be an earmarked fund for financing the implementation of the Bangladesh Delta Plan 2100. Sources of this fund may be GOB, DPs, Environment and Climate Change related funds, PPP, etc.</w:t>
            </w:r>
          </w:p>
          <w:p w:rsidR="00000000" w:rsidRDefault="00B025E0" w:rsidP="003D5A31">
            <w:pPr>
              <w:pStyle w:val="ListParagraph"/>
              <w:numPr>
                <w:ilvl w:val="0"/>
                <w:numId w:val="178"/>
              </w:numPr>
              <w:spacing w:after="40" w:line="276" w:lineRule="auto"/>
              <w:ind w:left="181" w:hanging="180"/>
              <w:jc w:val="both"/>
              <w:rPr>
                <w:rFonts w:eastAsia="Times New Roman" w:cs="Times New Roman"/>
                <w:sz w:val="18"/>
                <w:szCs w:val="18"/>
              </w:rPr>
            </w:pPr>
            <w:r w:rsidRPr="006D3E84">
              <w:rPr>
                <w:rFonts w:eastAsia="Times New Roman" w:cs="Times New Roman"/>
                <w:sz w:val="18"/>
                <w:szCs w:val="18"/>
              </w:rPr>
              <w:t>The Government has a plan to allocate about 2% of GDP annually to the Delta Fund gradually – as indicated in the 7th Five-Year Plan. At present, this amounts to around US$ 4.0 billion annually (10-12% of the Annual Budget and about 30% of ADP).</w:t>
            </w:r>
          </w:p>
          <w:p w:rsidR="00000000" w:rsidRDefault="00B025E0" w:rsidP="003D5A31">
            <w:pPr>
              <w:pStyle w:val="ListParagraph"/>
              <w:numPr>
                <w:ilvl w:val="0"/>
                <w:numId w:val="178"/>
              </w:numPr>
              <w:spacing w:after="40" w:line="276" w:lineRule="auto"/>
              <w:ind w:left="181" w:hanging="180"/>
              <w:jc w:val="both"/>
              <w:rPr>
                <w:rFonts w:eastAsia="Times New Roman" w:cs="Times New Roman"/>
                <w:sz w:val="18"/>
                <w:szCs w:val="18"/>
              </w:rPr>
            </w:pPr>
            <w:r w:rsidRPr="006D3E84">
              <w:rPr>
                <w:rFonts w:eastAsia="Times New Roman" w:cs="Times New Roman"/>
                <w:sz w:val="18"/>
                <w:szCs w:val="18"/>
              </w:rPr>
              <w:t>The Delta Fund would consist of capital expenditure for investment projects and recurrent budget funds for operation &amp; maintenance to ensure sustainability of delta-related projects.</w:t>
            </w:r>
          </w:p>
          <w:p w:rsidR="00000000" w:rsidRDefault="00B025E0" w:rsidP="003D5A31">
            <w:pPr>
              <w:pStyle w:val="ListParagraph"/>
              <w:numPr>
                <w:ilvl w:val="0"/>
                <w:numId w:val="178"/>
              </w:numPr>
              <w:spacing w:after="40" w:line="276" w:lineRule="auto"/>
              <w:ind w:left="181" w:hanging="180"/>
              <w:jc w:val="both"/>
              <w:rPr>
                <w:rFonts w:eastAsia="Times New Roman" w:cs="Times New Roman"/>
                <w:sz w:val="18"/>
                <w:szCs w:val="18"/>
              </w:rPr>
            </w:pPr>
            <w:r w:rsidRPr="006D3E84">
              <w:rPr>
                <w:rFonts w:eastAsia="Times New Roman" w:cs="Times New Roman"/>
                <w:sz w:val="18"/>
                <w:szCs w:val="18"/>
              </w:rPr>
              <w:t>O &amp; M budget for related infrastructure could be part of this Delta Fund.</w:t>
            </w:r>
          </w:p>
          <w:p w:rsidR="00000000" w:rsidRDefault="00B025E0" w:rsidP="003D5A31">
            <w:pPr>
              <w:pStyle w:val="ListParagraph"/>
              <w:numPr>
                <w:ilvl w:val="0"/>
                <w:numId w:val="178"/>
              </w:numPr>
              <w:spacing w:after="0" w:line="276" w:lineRule="auto"/>
              <w:ind w:left="181" w:hanging="180"/>
              <w:jc w:val="both"/>
              <w:rPr>
                <w:rFonts w:eastAsia="Times New Roman" w:cs="Times New Roman"/>
                <w:sz w:val="18"/>
                <w:szCs w:val="18"/>
              </w:rPr>
            </w:pPr>
            <w:r w:rsidRPr="006D3E84">
              <w:rPr>
                <w:rFonts w:eastAsia="Times New Roman" w:cs="Times New Roman"/>
                <w:sz w:val="18"/>
                <w:szCs w:val="18"/>
              </w:rPr>
              <w:t>Operational and administrative cost for the Delta Commission would be met from the GOB,s annual  budget</w:t>
            </w:r>
          </w:p>
        </w:tc>
        <w:tc>
          <w:tcPr>
            <w:tcW w:w="770" w:type="pct"/>
          </w:tcPr>
          <w:p w:rsidR="00B025E0" w:rsidRPr="006D3E84" w:rsidRDefault="00B025E0" w:rsidP="00576F19">
            <w:pPr>
              <w:spacing w:after="0"/>
              <w:rPr>
                <w:rFonts w:cs="Times New Roman"/>
                <w:sz w:val="18"/>
                <w:szCs w:val="18"/>
              </w:rPr>
            </w:pPr>
            <w:r w:rsidRPr="006D3E84">
              <w:rPr>
                <w:rFonts w:cs="Times New Roman"/>
                <w:sz w:val="18"/>
                <w:szCs w:val="18"/>
              </w:rPr>
              <w:t>Cabinet</w:t>
            </w:r>
          </w:p>
        </w:tc>
        <w:tc>
          <w:tcPr>
            <w:tcW w:w="719" w:type="pct"/>
          </w:tcPr>
          <w:p w:rsidR="00B025E0" w:rsidRPr="006D3E84" w:rsidRDefault="00B025E0" w:rsidP="00576F19">
            <w:pPr>
              <w:spacing w:after="0"/>
              <w:rPr>
                <w:rFonts w:cs="Times New Roman"/>
                <w:sz w:val="18"/>
                <w:szCs w:val="18"/>
              </w:rPr>
            </w:pPr>
            <w:r w:rsidRPr="006D3E84">
              <w:rPr>
                <w:rFonts w:cs="Times New Roman"/>
                <w:sz w:val="18"/>
                <w:szCs w:val="18"/>
              </w:rPr>
              <w:t>Enactment of the Delta Act</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t>Strengthen Core Delta Institutions</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 xml:space="preserve">For the Delta Plan to succeed, it is imperative to strengthen the core delta institutions. These include: BWDB,WARPO, DoE, DAE, DPHE etc., the local water bodies including  WASAs, City Corporations and Pourashavas, Water Management Organizations, the </w:t>
            </w:r>
            <w:r w:rsidRPr="006D3E84">
              <w:rPr>
                <w:rFonts w:eastAsia="Times New Roman" w:cs="Times New Roman"/>
                <w:sz w:val="18"/>
                <w:szCs w:val="18"/>
              </w:rPr>
              <w:t xml:space="preserve">facilitated emergence of strengthened WMOs with legal and financial arrangements </w:t>
            </w:r>
            <w:r w:rsidRPr="006D3E84">
              <w:rPr>
                <w:rFonts w:cs="Times New Roman"/>
                <w:sz w:val="18"/>
                <w:szCs w:val="18"/>
              </w:rPr>
              <w:t xml:space="preserve">and all specialized institutions within different non-water delta line ministries </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Upgrade capacities in areas of technology, innovation, integrated planning, financial management, participatory planning, economic management, knowledge management and M&amp;E.</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Provide adequate budget</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Convert all municipalities into au</w:t>
            </w:r>
            <w:r w:rsidR="00FE6385">
              <w:rPr>
                <w:rFonts w:cs="Times New Roman"/>
                <w:sz w:val="18"/>
                <w:szCs w:val="18"/>
              </w:rPr>
              <w:t>to</w:t>
            </w:r>
            <w:r w:rsidR="000B096E">
              <w:rPr>
                <w:rFonts w:cs="Times New Roman"/>
                <w:sz w:val="18"/>
                <w:szCs w:val="18"/>
              </w:rPr>
              <w:t>n</w:t>
            </w:r>
            <w:r w:rsidRPr="006D3E84">
              <w:rPr>
                <w:rFonts w:cs="Times New Roman"/>
                <w:sz w:val="18"/>
                <w:szCs w:val="18"/>
              </w:rPr>
              <w:t>omous bodies</w:t>
            </w:r>
          </w:p>
        </w:tc>
        <w:tc>
          <w:tcPr>
            <w:tcW w:w="770" w:type="pct"/>
          </w:tcPr>
          <w:p w:rsidR="00B025E0" w:rsidRPr="006D3E84" w:rsidRDefault="00B025E0" w:rsidP="00576F19">
            <w:pPr>
              <w:spacing w:after="0"/>
              <w:rPr>
                <w:rFonts w:cs="Times New Roman"/>
                <w:sz w:val="18"/>
                <w:szCs w:val="18"/>
              </w:rPr>
            </w:pPr>
            <w:r w:rsidRPr="006D3E84">
              <w:rPr>
                <w:rFonts w:cs="Times New Roman"/>
                <w:sz w:val="18"/>
                <w:szCs w:val="18"/>
              </w:rPr>
              <w:t>-Cabinet</w:t>
            </w:r>
          </w:p>
          <w:p w:rsidR="00B025E0" w:rsidRPr="006D3E84" w:rsidRDefault="00B025E0" w:rsidP="00576F19">
            <w:pPr>
              <w:spacing w:after="0"/>
              <w:rPr>
                <w:rFonts w:cs="Times New Roman"/>
                <w:sz w:val="18"/>
                <w:szCs w:val="18"/>
              </w:rPr>
            </w:pPr>
            <w:r w:rsidRPr="006D3E84">
              <w:rPr>
                <w:rFonts w:cs="Times New Roman"/>
                <w:sz w:val="18"/>
                <w:szCs w:val="18"/>
              </w:rPr>
              <w:t>-Concerned line ministries</w:t>
            </w:r>
          </w:p>
          <w:p w:rsidR="00B025E0" w:rsidRPr="006D3E84" w:rsidRDefault="00B025E0" w:rsidP="00576F19">
            <w:pPr>
              <w:spacing w:after="0"/>
              <w:rPr>
                <w:rFonts w:cs="Times New Roman"/>
                <w:sz w:val="18"/>
                <w:szCs w:val="18"/>
              </w:rPr>
            </w:pPr>
            <w:r w:rsidRPr="006D3E84">
              <w:rPr>
                <w:rFonts w:cs="Times New Roman"/>
                <w:sz w:val="18"/>
                <w:szCs w:val="18"/>
              </w:rPr>
              <w:t>-Concerned specialized agencies</w:t>
            </w:r>
          </w:p>
          <w:p w:rsidR="00B025E0" w:rsidRPr="006D3E84" w:rsidRDefault="00B025E0" w:rsidP="00576F19">
            <w:pPr>
              <w:spacing w:after="0"/>
              <w:rPr>
                <w:rFonts w:cs="Times New Roman"/>
                <w:sz w:val="18"/>
                <w:szCs w:val="18"/>
              </w:rPr>
            </w:pPr>
            <w:r w:rsidRPr="006D3E84">
              <w:rPr>
                <w:rFonts w:cs="Times New Roman"/>
                <w:sz w:val="18"/>
                <w:szCs w:val="18"/>
              </w:rPr>
              <w:t>-Municipa-lities</w:t>
            </w:r>
          </w:p>
        </w:tc>
        <w:tc>
          <w:tcPr>
            <w:tcW w:w="719" w:type="pct"/>
          </w:tcPr>
          <w:p w:rsidR="00B025E0" w:rsidRPr="006D3E84" w:rsidRDefault="00B025E0" w:rsidP="00576F19">
            <w:pPr>
              <w:spacing w:after="0"/>
              <w:rPr>
                <w:rFonts w:cs="Times New Roman"/>
                <w:sz w:val="18"/>
                <w:szCs w:val="18"/>
              </w:rPr>
            </w:pPr>
            <w:r w:rsidRPr="006D3E84">
              <w:rPr>
                <w:rFonts w:cs="Times New Roman"/>
                <w:sz w:val="18"/>
                <w:szCs w:val="18"/>
              </w:rPr>
              <w:t>Adoption of the Delta Plan</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t>Strengthen Cross-Boundary Water Dialogue</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Adopt a water basin benefit sharing approach to water dialogue</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Develop multi-purpose technical options and cost-benefit analysis of these options as background research to dialogue with India.</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Strengthen technical capacity and negotiating skills of the JRC with proper coordination with the Delta Commission</w:t>
            </w:r>
          </w:p>
        </w:tc>
        <w:tc>
          <w:tcPr>
            <w:tcW w:w="770" w:type="pct"/>
          </w:tcPr>
          <w:p w:rsidR="00B025E0" w:rsidRPr="006D3E84" w:rsidRDefault="00B025E0" w:rsidP="00576F19">
            <w:pPr>
              <w:spacing w:after="0"/>
              <w:rPr>
                <w:rFonts w:cs="Times New Roman"/>
                <w:sz w:val="18"/>
                <w:szCs w:val="18"/>
              </w:rPr>
            </w:pPr>
            <w:r w:rsidRPr="006D3E84">
              <w:rPr>
                <w:rFonts w:cs="Times New Roman"/>
                <w:sz w:val="18"/>
                <w:szCs w:val="18"/>
              </w:rPr>
              <w:t>-Ministry of Water Resources</w:t>
            </w:r>
          </w:p>
          <w:p w:rsidR="00B025E0" w:rsidRPr="006D3E84" w:rsidRDefault="00B025E0" w:rsidP="00576F19">
            <w:pPr>
              <w:spacing w:after="0"/>
              <w:rPr>
                <w:rFonts w:cs="Times New Roman"/>
                <w:sz w:val="18"/>
                <w:szCs w:val="18"/>
              </w:rPr>
            </w:pPr>
            <w:r w:rsidRPr="006D3E84">
              <w:rPr>
                <w:rFonts w:cs="Times New Roman"/>
                <w:sz w:val="18"/>
                <w:szCs w:val="18"/>
              </w:rPr>
              <w:t>-Joint Rivers Commission (JRC)</w:t>
            </w:r>
          </w:p>
        </w:tc>
        <w:tc>
          <w:tcPr>
            <w:tcW w:w="719" w:type="pct"/>
          </w:tcPr>
          <w:p w:rsidR="00B025E0" w:rsidRPr="006D3E84" w:rsidRDefault="00B025E0" w:rsidP="00576F19">
            <w:pPr>
              <w:spacing w:after="0"/>
              <w:rPr>
                <w:rFonts w:cs="Times New Roman"/>
                <w:sz w:val="18"/>
                <w:szCs w:val="18"/>
              </w:rPr>
            </w:pPr>
            <w:r w:rsidRPr="006D3E84">
              <w:rPr>
                <w:rFonts w:cs="Times New Roman"/>
                <w:sz w:val="18"/>
                <w:szCs w:val="18"/>
              </w:rPr>
              <w:t>Adoption of the Delta Plan</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t>Institute Beneficiary Pays Principle</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Long-term sustainability of the Delta Plan requires the adoption of the following financing principles for investments and O&amp;M:</w:t>
            </w:r>
          </w:p>
          <w:p w:rsidR="00000000" w:rsidRDefault="00B025E0" w:rsidP="003D5A31">
            <w:pPr>
              <w:pStyle w:val="ListParagraph"/>
              <w:numPr>
                <w:ilvl w:val="0"/>
                <w:numId w:val="180"/>
              </w:numPr>
              <w:spacing w:after="0" w:line="276" w:lineRule="auto"/>
              <w:ind w:left="451" w:hanging="270"/>
              <w:jc w:val="both"/>
              <w:rPr>
                <w:rFonts w:eastAsia="MS ??" w:cs="Times New Roman"/>
                <w:sz w:val="18"/>
                <w:szCs w:val="18"/>
              </w:rPr>
            </w:pPr>
            <w:r w:rsidRPr="006D3E84">
              <w:rPr>
                <w:rFonts w:cs="Times New Roman"/>
                <w:sz w:val="18"/>
                <w:szCs w:val="18"/>
              </w:rPr>
              <w:t>Beneficiary pays principle: Those who benefit more from Delta investments must pay their fair share through the institution of the LWAs</w:t>
            </w:r>
          </w:p>
          <w:p w:rsidR="00000000" w:rsidRDefault="00B025E0" w:rsidP="003D5A31">
            <w:pPr>
              <w:pStyle w:val="ListParagraph"/>
              <w:numPr>
                <w:ilvl w:val="0"/>
                <w:numId w:val="180"/>
              </w:numPr>
              <w:spacing w:after="0" w:line="276" w:lineRule="auto"/>
              <w:ind w:left="451" w:hanging="270"/>
              <w:jc w:val="both"/>
              <w:rPr>
                <w:rFonts w:eastAsia="MS ??" w:cs="Times New Roman"/>
                <w:sz w:val="18"/>
                <w:szCs w:val="18"/>
              </w:rPr>
            </w:pPr>
            <w:r w:rsidRPr="006D3E84">
              <w:rPr>
                <w:rFonts w:cs="Times New Roman"/>
                <w:sz w:val="18"/>
                <w:szCs w:val="18"/>
              </w:rPr>
              <w:t>Polluter pay principle: Those who pollute/damage natural resources including water must pay for the damages.</w:t>
            </w:r>
          </w:p>
          <w:p w:rsidR="00000000" w:rsidRDefault="00B025E0" w:rsidP="003D5A31">
            <w:pPr>
              <w:pStyle w:val="ListParagraph"/>
              <w:numPr>
                <w:ilvl w:val="0"/>
                <w:numId w:val="180"/>
              </w:numPr>
              <w:spacing w:after="0" w:line="276" w:lineRule="auto"/>
              <w:ind w:left="451" w:hanging="270"/>
              <w:jc w:val="both"/>
              <w:rPr>
                <w:rFonts w:eastAsia="MS ??" w:cs="Times New Roman"/>
                <w:sz w:val="18"/>
                <w:szCs w:val="18"/>
              </w:rPr>
            </w:pPr>
            <w:r w:rsidRPr="006D3E84">
              <w:rPr>
                <w:rFonts w:cs="Times New Roman"/>
                <w:sz w:val="18"/>
                <w:szCs w:val="18"/>
              </w:rPr>
              <w:t xml:space="preserve">c) Cost recovery principle: All delta-related services provided by </w:t>
            </w:r>
            <w:r w:rsidR="00F64A6A" w:rsidRPr="00F64A6A">
              <w:rPr>
                <w:sz w:val="18"/>
                <w:szCs w:val="16"/>
              </w:rPr>
              <w:t>public</w:t>
            </w:r>
            <w:r w:rsidRPr="006D3E84">
              <w:rPr>
                <w:rFonts w:cs="Times New Roman"/>
                <w:sz w:val="18"/>
                <w:szCs w:val="18"/>
              </w:rPr>
              <w:t xml:space="preserve"> institutions must fully recover costs including capital </w:t>
            </w:r>
            <w:r w:rsidRPr="006D3E84">
              <w:rPr>
                <w:rFonts w:cs="Times New Roman"/>
                <w:sz w:val="18"/>
                <w:szCs w:val="18"/>
              </w:rPr>
              <w:lastRenderedPageBreak/>
              <w:t>costs.</w:t>
            </w:r>
          </w:p>
        </w:tc>
        <w:tc>
          <w:tcPr>
            <w:tcW w:w="770" w:type="pct"/>
          </w:tcPr>
          <w:p w:rsidR="00B025E0" w:rsidRPr="006D3E84" w:rsidRDefault="00B025E0" w:rsidP="00576F19">
            <w:pPr>
              <w:spacing w:after="0"/>
              <w:rPr>
                <w:rFonts w:cs="Times New Roman"/>
                <w:sz w:val="18"/>
                <w:szCs w:val="18"/>
              </w:rPr>
            </w:pPr>
            <w:r w:rsidRPr="006D3E84">
              <w:rPr>
                <w:rFonts w:cs="Times New Roman"/>
                <w:sz w:val="18"/>
                <w:szCs w:val="18"/>
              </w:rPr>
              <w:lastRenderedPageBreak/>
              <w:t>-Cabinet</w:t>
            </w:r>
          </w:p>
          <w:p w:rsidR="00B025E0" w:rsidRPr="006D3E84" w:rsidRDefault="00B025E0" w:rsidP="00576F19">
            <w:pPr>
              <w:spacing w:after="0"/>
              <w:rPr>
                <w:rFonts w:cs="Times New Roman"/>
                <w:sz w:val="18"/>
                <w:szCs w:val="18"/>
              </w:rPr>
            </w:pPr>
            <w:r w:rsidRPr="006D3E84">
              <w:rPr>
                <w:rFonts w:cs="Times New Roman"/>
                <w:sz w:val="18"/>
                <w:szCs w:val="18"/>
              </w:rPr>
              <w:t>-Concerned line ministries</w:t>
            </w:r>
          </w:p>
          <w:p w:rsidR="00B025E0" w:rsidRPr="006D3E84" w:rsidRDefault="00B025E0" w:rsidP="00576F19">
            <w:pPr>
              <w:spacing w:after="0"/>
              <w:rPr>
                <w:rFonts w:cs="Times New Roman"/>
                <w:sz w:val="18"/>
                <w:szCs w:val="18"/>
              </w:rPr>
            </w:pPr>
            <w:r w:rsidRPr="006D3E84">
              <w:rPr>
                <w:rFonts w:cs="Times New Roman"/>
                <w:sz w:val="18"/>
                <w:szCs w:val="18"/>
              </w:rPr>
              <w:t>-Municipalities</w:t>
            </w:r>
          </w:p>
          <w:p w:rsidR="00B025E0" w:rsidRPr="006D3E84" w:rsidRDefault="00B025E0" w:rsidP="00576F19">
            <w:pPr>
              <w:spacing w:after="0"/>
              <w:rPr>
                <w:rFonts w:cs="Times New Roman"/>
                <w:sz w:val="18"/>
                <w:szCs w:val="18"/>
              </w:rPr>
            </w:pPr>
            <w:r w:rsidRPr="006D3E84">
              <w:rPr>
                <w:rFonts w:cs="Times New Roman"/>
                <w:sz w:val="18"/>
                <w:szCs w:val="18"/>
              </w:rPr>
              <w:t>-LWAs</w:t>
            </w:r>
          </w:p>
        </w:tc>
        <w:tc>
          <w:tcPr>
            <w:tcW w:w="719" w:type="pct"/>
          </w:tcPr>
          <w:p w:rsidR="00B025E0" w:rsidRPr="006D3E84" w:rsidRDefault="00B025E0" w:rsidP="00576F19">
            <w:pPr>
              <w:spacing w:after="0"/>
              <w:rPr>
                <w:rFonts w:cs="Times New Roman"/>
                <w:sz w:val="18"/>
                <w:szCs w:val="18"/>
              </w:rPr>
            </w:pPr>
            <w:r w:rsidRPr="006D3E84">
              <w:rPr>
                <w:rFonts w:cs="Times New Roman"/>
                <w:sz w:val="18"/>
                <w:szCs w:val="18"/>
              </w:rPr>
              <w:t>Adoption of the Delta Plan</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lastRenderedPageBreak/>
              <w:t>Strengthen Private Sector Role</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Eliminate all regulatory restrictions on private sector participation in all aspects of Delta Plan implementation including supply of irrigation water, drinking water, sanitation services, waste water treatment, inland water transport, river dredging and eco-tourism.</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Enable full cost recovery of private investment</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 xml:space="preserve">Encourage joint-venture </w:t>
            </w:r>
            <w:r w:rsidR="00F64A6A" w:rsidRPr="00F64A6A">
              <w:rPr>
                <w:sz w:val="20"/>
                <w:szCs w:val="18"/>
              </w:rPr>
              <w:t>public</w:t>
            </w:r>
            <w:r w:rsidRPr="006D3E84">
              <w:rPr>
                <w:rFonts w:cs="Times New Roman"/>
                <w:sz w:val="18"/>
                <w:szCs w:val="18"/>
              </w:rPr>
              <w:t>-private partnerships in the implementation of the Delta Plan.</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Establish prudential regulations on water quality and safety standards.</w:t>
            </w:r>
          </w:p>
        </w:tc>
        <w:tc>
          <w:tcPr>
            <w:tcW w:w="770" w:type="pct"/>
          </w:tcPr>
          <w:p w:rsidR="00B025E0" w:rsidRPr="006D3E84" w:rsidRDefault="00B025E0" w:rsidP="00576F19">
            <w:pPr>
              <w:spacing w:after="0"/>
              <w:rPr>
                <w:rFonts w:cs="Times New Roman"/>
                <w:sz w:val="18"/>
                <w:szCs w:val="18"/>
              </w:rPr>
            </w:pPr>
            <w:r w:rsidRPr="006D3E84">
              <w:rPr>
                <w:rFonts w:cs="Times New Roman"/>
                <w:sz w:val="18"/>
                <w:szCs w:val="18"/>
              </w:rPr>
              <w:t>-Cabinet</w:t>
            </w:r>
          </w:p>
          <w:p w:rsidR="00B025E0" w:rsidRPr="006D3E84" w:rsidRDefault="00B025E0" w:rsidP="00576F19">
            <w:pPr>
              <w:spacing w:after="0"/>
              <w:rPr>
                <w:rFonts w:cs="Times New Roman"/>
                <w:sz w:val="18"/>
                <w:szCs w:val="18"/>
              </w:rPr>
            </w:pPr>
            <w:r w:rsidRPr="006D3E84">
              <w:rPr>
                <w:rFonts w:cs="Times New Roman"/>
                <w:sz w:val="18"/>
                <w:szCs w:val="18"/>
              </w:rPr>
              <w:t>-Concerned line Ministries</w:t>
            </w:r>
          </w:p>
        </w:tc>
        <w:tc>
          <w:tcPr>
            <w:tcW w:w="719" w:type="pct"/>
          </w:tcPr>
          <w:p w:rsidR="00B025E0" w:rsidRPr="006D3E84" w:rsidRDefault="00B025E0" w:rsidP="00576F19">
            <w:pPr>
              <w:spacing w:after="0"/>
              <w:rPr>
                <w:rFonts w:cs="Times New Roman"/>
                <w:sz w:val="18"/>
                <w:szCs w:val="18"/>
              </w:rPr>
            </w:pPr>
            <w:r w:rsidRPr="006D3E84">
              <w:rPr>
                <w:rFonts w:cs="Times New Roman"/>
                <w:sz w:val="18"/>
                <w:szCs w:val="18"/>
              </w:rPr>
              <w:t>Adoption of the Delta Plan</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t>Establish the Delta Knowledge Portal and  Bank</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Create a delta knowledge bank within the Delta Commission: (a) collate all relevant delta-related knowledge globally and nationally into a digitized knowledge library; (b) establish a delta data bank; and (c) develop and implement work program to update knowledge and data.</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Develop a 3-5 year data and research work programme with annual targets.</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 xml:space="preserve">Implement work programme in partnership with BBS, BUET, IWM, CEGIS, other relevant </w:t>
            </w:r>
            <w:r w:rsidR="00F64A6A" w:rsidRPr="00F64A6A">
              <w:rPr>
                <w:sz w:val="20"/>
                <w:szCs w:val="18"/>
              </w:rPr>
              <w:t>public</w:t>
            </w:r>
            <w:r w:rsidR="000B096E">
              <w:rPr>
                <w:rFonts w:cs="Times New Roman"/>
                <w:sz w:val="18"/>
                <w:szCs w:val="18"/>
              </w:rPr>
              <w:t xml:space="preserve"> </w:t>
            </w:r>
            <w:r w:rsidRPr="006D3E84">
              <w:rPr>
                <w:rFonts w:cs="Times New Roman"/>
                <w:sz w:val="18"/>
                <w:szCs w:val="18"/>
              </w:rPr>
              <w:t>and private research institutions.</w:t>
            </w:r>
          </w:p>
        </w:tc>
        <w:tc>
          <w:tcPr>
            <w:tcW w:w="770" w:type="pct"/>
          </w:tcPr>
          <w:p w:rsidR="00B025E0" w:rsidRPr="006D3E84" w:rsidRDefault="00B025E0" w:rsidP="00576F19">
            <w:pPr>
              <w:spacing w:after="0"/>
              <w:rPr>
                <w:rFonts w:cs="Times New Roman"/>
                <w:sz w:val="18"/>
                <w:szCs w:val="18"/>
              </w:rPr>
            </w:pPr>
            <w:r w:rsidRPr="006D3E84">
              <w:rPr>
                <w:rFonts w:cs="Times New Roman"/>
                <w:sz w:val="18"/>
                <w:szCs w:val="18"/>
              </w:rPr>
              <w:t>-Delta Commission</w:t>
            </w:r>
          </w:p>
          <w:p w:rsidR="00B025E0" w:rsidRPr="006D3E84" w:rsidRDefault="00B025E0" w:rsidP="00576F19">
            <w:pPr>
              <w:spacing w:after="0"/>
              <w:rPr>
                <w:rFonts w:cs="Times New Roman"/>
                <w:strike/>
                <w:sz w:val="18"/>
                <w:szCs w:val="18"/>
              </w:rPr>
            </w:pPr>
          </w:p>
        </w:tc>
        <w:tc>
          <w:tcPr>
            <w:tcW w:w="719" w:type="pct"/>
          </w:tcPr>
          <w:p w:rsidR="00B025E0" w:rsidRPr="006D3E84" w:rsidRDefault="00B025E0" w:rsidP="00576F19">
            <w:pPr>
              <w:spacing w:after="0"/>
              <w:rPr>
                <w:rFonts w:cs="Times New Roman"/>
                <w:sz w:val="18"/>
                <w:szCs w:val="18"/>
              </w:rPr>
            </w:pPr>
            <w:r w:rsidRPr="006D3E84">
              <w:rPr>
                <w:rFonts w:cs="Times New Roman"/>
                <w:sz w:val="18"/>
                <w:szCs w:val="18"/>
              </w:rPr>
              <w:t>Adoption of the Delta Plan</w:t>
            </w:r>
          </w:p>
        </w:tc>
      </w:tr>
      <w:tr w:rsidR="00B025E0" w:rsidRPr="00B21947" w:rsidTr="00576F19">
        <w:tc>
          <w:tcPr>
            <w:tcW w:w="637" w:type="pct"/>
          </w:tcPr>
          <w:p w:rsidR="00B025E0" w:rsidRPr="006D3E84" w:rsidRDefault="00B025E0" w:rsidP="00576F19">
            <w:pPr>
              <w:spacing w:after="0"/>
              <w:rPr>
                <w:rFonts w:cs="Times New Roman"/>
                <w:sz w:val="18"/>
                <w:szCs w:val="18"/>
              </w:rPr>
            </w:pPr>
            <w:r w:rsidRPr="006D3E84">
              <w:rPr>
                <w:rFonts w:cs="Times New Roman"/>
                <w:sz w:val="18"/>
                <w:szCs w:val="18"/>
              </w:rPr>
              <w:t>Establish an M&amp;E System for the Delta Plan</w:t>
            </w:r>
          </w:p>
        </w:tc>
        <w:tc>
          <w:tcPr>
            <w:tcW w:w="2874" w:type="pct"/>
          </w:tcPr>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Adopt a quantitative development results framework for monitoring and evaluation of the Delta Plan.</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Prepare annual reports on implementation of the Delta Plan.</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Do full M&amp;E of Delta Plan on a 3-year cycle</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Submit M&amp;E report to the Delta Governance Council and disseminate through the Delta Commission website.</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Delta Project level M&amp;E will be done by concerned line Ministries.</w:t>
            </w:r>
          </w:p>
          <w:p w:rsidR="00000000" w:rsidRDefault="00B025E0" w:rsidP="003D5A31">
            <w:pPr>
              <w:pStyle w:val="ListParagraph"/>
              <w:numPr>
                <w:ilvl w:val="0"/>
                <w:numId w:val="179"/>
              </w:numPr>
              <w:spacing w:after="0" w:line="276" w:lineRule="auto"/>
              <w:ind w:left="181" w:hanging="180"/>
              <w:jc w:val="both"/>
              <w:rPr>
                <w:rFonts w:eastAsia="MS ??" w:cs="Times New Roman"/>
                <w:sz w:val="18"/>
                <w:szCs w:val="18"/>
              </w:rPr>
            </w:pPr>
            <w:r w:rsidRPr="006D3E84">
              <w:rPr>
                <w:rFonts w:cs="Times New Roman"/>
                <w:sz w:val="18"/>
                <w:szCs w:val="18"/>
              </w:rPr>
              <w:t xml:space="preserve">Delta Sectoral level M&amp;Es will be done by IMED and line Ministries. </w:t>
            </w:r>
          </w:p>
        </w:tc>
        <w:tc>
          <w:tcPr>
            <w:tcW w:w="770" w:type="pct"/>
          </w:tcPr>
          <w:p w:rsidR="00B025E0" w:rsidRPr="006D3E84" w:rsidRDefault="00B025E0" w:rsidP="00576F19">
            <w:pPr>
              <w:spacing w:after="0"/>
              <w:rPr>
                <w:rFonts w:cs="Times New Roman"/>
                <w:sz w:val="18"/>
                <w:szCs w:val="18"/>
              </w:rPr>
            </w:pPr>
            <w:r w:rsidRPr="006D3E84">
              <w:rPr>
                <w:rFonts w:cs="Times New Roman"/>
                <w:sz w:val="18"/>
                <w:szCs w:val="18"/>
              </w:rPr>
              <w:t>-Delta Commission</w:t>
            </w:r>
          </w:p>
          <w:p w:rsidR="00B025E0" w:rsidRPr="006D3E84" w:rsidRDefault="00B025E0" w:rsidP="00576F19">
            <w:pPr>
              <w:spacing w:after="0"/>
              <w:rPr>
                <w:rFonts w:cs="Times New Roman"/>
                <w:sz w:val="18"/>
                <w:szCs w:val="18"/>
              </w:rPr>
            </w:pPr>
            <w:r w:rsidRPr="006D3E84">
              <w:rPr>
                <w:rFonts w:cs="Times New Roman"/>
                <w:sz w:val="18"/>
                <w:szCs w:val="18"/>
              </w:rPr>
              <w:t>-Line Ministries</w:t>
            </w:r>
          </w:p>
          <w:p w:rsidR="00B025E0" w:rsidRPr="006D3E84" w:rsidRDefault="00B025E0" w:rsidP="00576F19">
            <w:pPr>
              <w:spacing w:after="0"/>
              <w:rPr>
                <w:rFonts w:cs="Times New Roman"/>
                <w:sz w:val="18"/>
                <w:szCs w:val="18"/>
              </w:rPr>
            </w:pPr>
            <w:r w:rsidRPr="006D3E84">
              <w:rPr>
                <w:rFonts w:cs="Times New Roman"/>
                <w:sz w:val="18"/>
                <w:szCs w:val="18"/>
              </w:rPr>
              <w:t>-IMED</w:t>
            </w:r>
          </w:p>
        </w:tc>
        <w:tc>
          <w:tcPr>
            <w:tcW w:w="719" w:type="pct"/>
          </w:tcPr>
          <w:p w:rsidR="00B025E0" w:rsidRPr="006D3E84" w:rsidRDefault="00B025E0" w:rsidP="00576F19">
            <w:pPr>
              <w:spacing w:after="0"/>
              <w:rPr>
                <w:rFonts w:cs="Times New Roman"/>
                <w:sz w:val="18"/>
                <w:szCs w:val="18"/>
              </w:rPr>
            </w:pPr>
            <w:r w:rsidRPr="006D3E84">
              <w:rPr>
                <w:rFonts w:cs="Times New Roman"/>
                <w:sz w:val="18"/>
                <w:szCs w:val="18"/>
              </w:rPr>
              <w:t>Adoption of the Delta Plan</w:t>
            </w:r>
          </w:p>
        </w:tc>
      </w:tr>
    </w:tbl>
    <w:p w:rsidR="00F60B82" w:rsidRDefault="00F60B82" w:rsidP="0009249B">
      <w:pPr>
        <w:spacing w:line="276" w:lineRule="auto"/>
        <w:jc w:val="center"/>
        <w:rPr>
          <w:rFonts w:cs="Times New Roman"/>
          <w:b/>
        </w:rPr>
      </w:pPr>
    </w:p>
    <w:p w:rsidR="00F60B82" w:rsidRDefault="00F60B82" w:rsidP="0009249B">
      <w:pPr>
        <w:spacing w:line="276" w:lineRule="auto"/>
        <w:jc w:val="center"/>
        <w:rPr>
          <w:rFonts w:cs="Times New Roman"/>
          <w:b/>
        </w:rPr>
      </w:pPr>
    </w:p>
    <w:p w:rsidR="00AE2DEB" w:rsidRDefault="00AE2DEB" w:rsidP="0009249B">
      <w:pPr>
        <w:spacing w:line="276" w:lineRule="auto"/>
        <w:jc w:val="center"/>
        <w:rPr>
          <w:rFonts w:cs="Times New Roman"/>
          <w:szCs w:val="24"/>
        </w:rPr>
      </w:pPr>
    </w:p>
    <w:p w:rsidR="007F2F9C" w:rsidRDefault="007F2F9C" w:rsidP="004534E0">
      <w:pPr>
        <w:spacing w:line="276" w:lineRule="auto"/>
        <w:jc w:val="both"/>
        <w:rPr>
          <w:rFonts w:cs="Times New Roman"/>
          <w:szCs w:val="24"/>
        </w:rPr>
        <w:sectPr w:rsidR="007F2F9C" w:rsidSect="00144771">
          <w:headerReference w:type="even" r:id="rId210"/>
          <w:headerReference w:type="default" r:id="rId211"/>
          <w:footerReference w:type="default" r:id="rId212"/>
          <w:headerReference w:type="first" r:id="rId213"/>
          <w:pgSz w:w="12240" w:h="15840"/>
          <w:pgMar w:top="1440" w:right="1440" w:bottom="1440" w:left="1440" w:header="720" w:footer="720" w:gutter="0"/>
          <w:cols w:space="720"/>
          <w:docGrid w:linePitch="360"/>
        </w:sectPr>
      </w:pPr>
      <w:r>
        <w:rPr>
          <w:rFonts w:cs="Times New Roman"/>
          <w:szCs w:val="24"/>
        </w:rPr>
        <w:t xml:space="preserve">  </w:t>
      </w:r>
    </w:p>
    <w:p w:rsidR="007F2F9C" w:rsidRPr="00EE2A65" w:rsidRDefault="00A650CE" w:rsidP="00EE2A65">
      <w:pPr>
        <w:pStyle w:val="Title"/>
        <w:pBdr>
          <w:bottom w:val="single" w:sz="8" w:space="7" w:color="4F81BD" w:themeColor="accent1"/>
        </w:pBdr>
        <w:spacing w:after="360"/>
        <w:jc w:val="center"/>
        <w:rPr>
          <w:rFonts w:cs="Times New Roman"/>
          <w:b/>
          <w:color w:val="1F497D" w:themeColor="text2"/>
          <w:szCs w:val="36"/>
        </w:rPr>
      </w:pPr>
      <w:bookmarkStart w:id="891" w:name="_Toc474638947"/>
      <w:bookmarkStart w:id="892" w:name="_Toc139216900"/>
      <w:r>
        <w:rPr>
          <w:rFonts w:cs="Times New Roman"/>
          <w:b/>
          <w:color w:val="1F497D" w:themeColor="text2"/>
          <w:szCs w:val="36"/>
        </w:rPr>
        <w:lastRenderedPageBreak/>
        <w:t>CHAPTER 13</w:t>
      </w:r>
      <w:bookmarkEnd w:id="891"/>
    </w:p>
    <w:p w:rsidR="007F2F9C" w:rsidRPr="00EE2A65" w:rsidRDefault="007F2F9C" w:rsidP="008C0601">
      <w:pPr>
        <w:pStyle w:val="Heading1"/>
      </w:pPr>
      <w:bookmarkStart w:id="893" w:name="_Toc474638948"/>
      <w:r w:rsidRPr="00EE2A65">
        <w:t>Monitoring and Evaluation System for Bangladesh Delta Plan</w:t>
      </w:r>
      <w:bookmarkEnd w:id="893"/>
    </w:p>
    <w:p w:rsidR="00F64A6A" w:rsidRDefault="007F2F9C" w:rsidP="00F64A6A">
      <w:pPr>
        <w:pStyle w:val="Heading2"/>
        <w:numPr>
          <w:ilvl w:val="0"/>
          <w:numId w:val="0"/>
        </w:numPr>
        <w:ind w:left="1080"/>
      </w:pPr>
      <w:bookmarkStart w:id="894" w:name="_Toc451687627"/>
      <w:bookmarkStart w:id="895" w:name="_Toc474638949"/>
      <w:bookmarkEnd w:id="892"/>
      <w:r w:rsidRPr="006A108F">
        <w:t>I</w:t>
      </w:r>
      <w:bookmarkEnd w:id="894"/>
      <w:r>
        <w:t>mportance of Monitoring and Evaluation (M&amp;E)</w:t>
      </w:r>
      <w:bookmarkEnd w:id="895"/>
    </w:p>
    <w:p w:rsidR="007F2F9C" w:rsidRDefault="000B096E" w:rsidP="004534E0">
      <w:pPr>
        <w:autoSpaceDE w:val="0"/>
        <w:autoSpaceDN w:val="0"/>
        <w:adjustRightInd w:val="0"/>
        <w:spacing w:line="276" w:lineRule="auto"/>
        <w:jc w:val="both"/>
        <w:rPr>
          <w:rFonts w:cs="Times New Roman"/>
          <w:szCs w:val="24"/>
          <w:lang w:bidi="bn-BD"/>
        </w:rPr>
      </w:pPr>
      <w:r>
        <w:t>Public</w:t>
      </w:r>
      <w:r w:rsidR="007F2F9C" w:rsidRPr="00C34AC7">
        <w:rPr>
          <w:rFonts w:cs="Times New Roman"/>
          <w:szCs w:val="24"/>
          <w:lang w:bidi="bn-BD"/>
        </w:rPr>
        <w:t xml:space="preserve"> program</w:t>
      </w:r>
      <w:r w:rsidR="0088742F">
        <w:rPr>
          <w:rFonts w:cs="Times New Roman"/>
          <w:szCs w:val="24"/>
          <w:lang w:bidi="bn-BD"/>
        </w:rPr>
        <w:t>me</w:t>
      </w:r>
      <w:r w:rsidR="007F2F9C" w:rsidRPr="00C34AC7">
        <w:rPr>
          <w:rFonts w:cs="Times New Roman"/>
          <w:szCs w:val="24"/>
          <w:lang w:bidi="bn-BD"/>
        </w:rPr>
        <w:t>s are intended to attain certain goals and object</w:t>
      </w:r>
      <w:r w:rsidR="000A42D5">
        <w:rPr>
          <w:rFonts w:cs="Times New Roman"/>
          <w:szCs w:val="24"/>
          <w:lang w:bidi="bn-BD"/>
        </w:rPr>
        <w:t>ive</w:t>
      </w:r>
      <w:r w:rsidR="007F2F9C" w:rsidRPr="00C34AC7">
        <w:rPr>
          <w:rFonts w:cs="Times New Roman"/>
          <w:szCs w:val="24"/>
          <w:lang w:bidi="bn-BD"/>
        </w:rPr>
        <w:t>s. However, in many cases apparently potential program</w:t>
      </w:r>
      <w:r w:rsidR="0088742F">
        <w:rPr>
          <w:rFonts w:cs="Times New Roman"/>
          <w:szCs w:val="24"/>
          <w:lang w:bidi="bn-BD"/>
        </w:rPr>
        <w:t>me</w:t>
      </w:r>
      <w:r w:rsidR="007F2F9C" w:rsidRPr="00C34AC7">
        <w:rPr>
          <w:rFonts w:cs="Times New Roman"/>
          <w:szCs w:val="24"/>
          <w:lang w:bidi="bn-BD"/>
        </w:rPr>
        <w:t>s might fail to reach those goals and that is why it is crucial to monitor the</w:t>
      </w:r>
      <w:r w:rsidR="007F2F9C">
        <w:rPr>
          <w:rFonts w:cs="Times New Roman"/>
          <w:szCs w:val="24"/>
          <w:lang w:bidi="bn-BD"/>
        </w:rPr>
        <w:t>m</w:t>
      </w:r>
      <w:r w:rsidR="007F2F9C" w:rsidRPr="00C34AC7">
        <w:rPr>
          <w:rFonts w:cs="Times New Roman"/>
          <w:szCs w:val="24"/>
          <w:lang w:bidi="bn-BD"/>
        </w:rPr>
        <w:t xml:space="preserve"> over time and to scrutinize the</w:t>
      </w:r>
      <w:r w:rsidR="007F2F9C">
        <w:rPr>
          <w:rFonts w:cs="Times New Roman"/>
          <w:szCs w:val="24"/>
          <w:lang w:bidi="bn-BD"/>
        </w:rPr>
        <w:t xml:space="preserve">ir performance </w:t>
      </w:r>
      <w:r w:rsidR="007F2F9C" w:rsidRPr="00C34AC7">
        <w:rPr>
          <w:rFonts w:cs="Times New Roman"/>
          <w:szCs w:val="24"/>
          <w:lang w:bidi="bn-BD"/>
        </w:rPr>
        <w:t xml:space="preserve">in a scientific manner. </w:t>
      </w:r>
      <w:r w:rsidR="007F2F9C">
        <w:rPr>
          <w:rFonts w:cs="Times New Roman"/>
          <w:szCs w:val="24"/>
          <w:lang w:bidi="bn-BD"/>
        </w:rPr>
        <w:t>M</w:t>
      </w:r>
      <w:r w:rsidR="007F2F9C" w:rsidRPr="00C34AC7">
        <w:rPr>
          <w:rFonts w:cs="Times New Roman"/>
          <w:szCs w:val="24"/>
          <w:lang w:bidi="bn-BD"/>
        </w:rPr>
        <w:t>onitoring is concerned with setting goals, indicators and targets and the information obtained by moni</w:t>
      </w:r>
      <w:r w:rsidR="007F2F9C">
        <w:rPr>
          <w:rFonts w:cs="Times New Roman"/>
          <w:szCs w:val="24"/>
          <w:lang w:bidi="bn-BD"/>
        </w:rPr>
        <w:t xml:space="preserve">toring can be used to evaluate </w:t>
      </w:r>
      <w:r w:rsidR="007F2F9C" w:rsidRPr="00C34AC7">
        <w:rPr>
          <w:rFonts w:cs="Times New Roman"/>
          <w:szCs w:val="24"/>
          <w:lang w:bidi="bn-BD"/>
        </w:rPr>
        <w:t>a program</w:t>
      </w:r>
      <w:r w:rsidR="0088742F">
        <w:rPr>
          <w:rFonts w:cs="Times New Roman"/>
          <w:szCs w:val="24"/>
          <w:lang w:bidi="bn-BD"/>
        </w:rPr>
        <w:t>me</w:t>
      </w:r>
      <w:r w:rsidR="007F2F9C" w:rsidRPr="00C34AC7">
        <w:rPr>
          <w:rFonts w:cs="Times New Roman"/>
          <w:szCs w:val="24"/>
          <w:lang w:bidi="bn-BD"/>
        </w:rPr>
        <w:t xml:space="preserve">. </w:t>
      </w:r>
      <w:r w:rsidR="007F2F9C">
        <w:rPr>
          <w:rFonts w:cs="Times New Roman"/>
          <w:szCs w:val="24"/>
          <w:lang w:bidi="bn-BD"/>
        </w:rPr>
        <w:t>It</w:t>
      </w:r>
      <w:r w:rsidR="007F2F9C" w:rsidRPr="00C34AC7">
        <w:rPr>
          <w:rFonts w:cs="Times New Roman"/>
          <w:szCs w:val="24"/>
          <w:lang w:bidi="bn-BD"/>
        </w:rPr>
        <w:t xml:space="preserve"> can therefore be termed as a continuous process that uses systematic collection of data on specified indicators to provide policy makers and the stakeholders with an idea of the extent of progress and achievement of objectives. While comparing the outcomes of a specific program</w:t>
      </w:r>
      <w:r w:rsidR="0088742F">
        <w:rPr>
          <w:rFonts w:cs="Times New Roman"/>
          <w:szCs w:val="24"/>
          <w:lang w:bidi="bn-BD"/>
        </w:rPr>
        <w:t>me</w:t>
      </w:r>
      <w:r w:rsidR="007F2F9C" w:rsidRPr="00C34AC7">
        <w:rPr>
          <w:rFonts w:cs="Times New Roman"/>
          <w:szCs w:val="24"/>
          <w:lang w:bidi="bn-BD"/>
        </w:rPr>
        <w:t xml:space="preserve"> with a set of targets, monitoring can help the policy makers to choose appropriate policies among a set of alternatives and can also help in improving the design and implementation of polic</w:t>
      </w:r>
      <w:r w:rsidR="007F2F9C">
        <w:rPr>
          <w:rFonts w:cs="Times New Roman"/>
          <w:szCs w:val="24"/>
          <w:lang w:bidi="bn-BD"/>
        </w:rPr>
        <w:t>ies</w:t>
      </w:r>
      <w:r w:rsidR="007F2F9C" w:rsidRPr="00C34AC7">
        <w:rPr>
          <w:rFonts w:cs="Times New Roman"/>
          <w:szCs w:val="24"/>
          <w:lang w:bidi="bn-BD"/>
        </w:rPr>
        <w:t>.</w:t>
      </w:r>
    </w:p>
    <w:p w:rsidR="007F2F9C" w:rsidRDefault="007F2F9C" w:rsidP="004534E0">
      <w:pPr>
        <w:autoSpaceDE w:val="0"/>
        <w:autoSpaceDN w:val="0"/>
        <w:adjustRightInd w:val="0"/>
        <w:spacing w:line="276" w:lineRule="auto"/>
        <w:jc w:val="both"/>
        <w:rPr>
          <w:rFonts w:cs="Times New Roman"/>
          <w:szCs w:val="24"/>
          <w:lang w:bidi="bn-BD"/>
        </w:rPr>
      </w:pPr>
      <w:r w:rsidRPr="00C34AC7">
        <w:rPr>
          <w:rFonts w:cs="Times New Roman"/>
          <w:szCs w:val="24"/>
          <w:lang w:bidi="bn-BD"/>
        </w:rPr>
        <w:t>Evaluation, on the other hand, is the systematic and objective assessment of a project, program</w:t>
      </w:r>
      <w:r w:rsidR="0088742F">
        <w:rPr>
          <w:rFonts w:cs="Times New Roman"/>
          <w:szCs w:val="24"/>
          <w:lang w:bidi="bn-BD"/>
        </w:rPr>
        <w:t>me</w:t>
      </w:r>
      <w:r w:rsidRPr="00C34AC7">
        <w:rPr>
          <w:rFonts w:cs="Times New Roman"/>
          <w:szCs w:val="24"/>
          <w:lang w:bidi="bn-BD"/>
        </w:rPr>
        <w:t>, or policy with a view to det</w:t>
      </w:r>
      <w:r>
        <w:rPr>
          <w:rFonts w:cs="Times New Roman"/>
          <w:szCs w:val="24"/>
          <w:lang w:bidi="bn-BD"/>
        </w:rPr>
        <w:t>ermine the relevance and fulfil</w:t>
      </w:r>
      <w:r w:rsidRPr="00C34AC7">
        <w:rPr>
          <w:rFonts w:cs="Times New Roman"/>
          <w:szCs w:val="24"/>
          <w:lang w:bidi="bn-BD"/>
        </w:rPr>
        <w:t xml:space="preserve">ment of objectives, effectiveness, impact, and sustainability of that project, program, or policy. Such an assessment should be carried out in terms of its design, implementation, and results. An evaluation should provide information </w:t>
      </w:r>
      <w:r>
        <w:rPr>
          <w:rFonts w:cs="Times New Roman"/>
          <w:szCs w:val="24"/>
          <w:lang w:bidi="bn-BD"/>
        </w:rPr>
        <w:t>which</w:t>
      </w:r>
      <w:r w:rsidRPr="00C34AC7">
        <w:rPr>
          <w:rFonts w:cs="Times New Roman"/>
          <w:szCs w:val="24"/>
          <w:lang w:bidi="bn-BD"/>
        </w:rPr>
        <w:t xml:space="preserve"> is credible and useful, enabling the incorporation of lessons learned into the decision making process.</w:t>
      </w:r>
      <w:r>
        <w:rPr>
          <w:rFonts w:cs="Times New Roman"/>
          <w:szCs w:val="24"/>
          <w:lang w:bidi="bn-BD"/>
        </w:rPr>
        <w:t xml:space="preserve"> </w:t>
      </w:r>
      <w:r w:rsidRPr="00C34AC7">
        <w:rPr>
          <w:rFonts w:cs="Times New Roman"/>
          <w:szCs w:val="24"/>
          <w:lang w:bidi="bn-BD"/>
        </w:rPr>
        <w:t>As a whole, M&amp;E analyzes the way an intervention/policy option operates over time and evaluates the initial values of chosen indicators and desired outcomes.</w:t>
      </w:r>
    </w:p>
    <w:p w:rsidR="007F2F9C" w:rsidRDefault="007F2F9C" w:rsidP="004534E0">
      <w:pPr>
        <w:spacing w:line="276" w:lineRule="auto"/>
        <w:jc w:val="both"/>
      </w:pPr>
      <w:r w:rsidRPr="00C34AC7">
        <w:t xml:space="preserve">Monitoring and evaluation promotes accountability and transparency in </w:t>
      </w:r>
      <w:r w:rsidR="000B096E">
        <w:t>public</w:t>
      </w:r>
      <w:r w:rsidRPr="00C34AC7">
        <w:t xml:space="preserve"> spending, and ensures that resources are </w:t>
      </w:r>
      <w:r>
        <w:t>efficiently utilized for attaining the development goals</w:t>
      </w:r>
      <w:r w:rsidRPr="00C34AC7">
        <w:t xml:space="preserve">. Governments use different tracking systems </w:t>
      </w:r>
      <w:r>
        <w:t>and t</w:t>
      </w:r>
      <w:r w:rsidRPr="00C34AC7">
        <w:t>he ‘three legged stool’</w:t>
      </w:r>
      <w:r>
        <w:t xml:space="preserve"> comprising of </w:t>
      </w:r>
      <w:r w:rsidRPr="00C34AC7">
        <w:t xml:space="preserve"> </w:t>
      </w:r>
      <w:r>
        <w:t xml:space="preserve">(i) </w:t>
      </w:r>
      <w:r w:rsidRPr="00C34AC7">
        <w:t xml:space="preserve">good human resource system, </w:t>
      </w:r>
      <w:r>
        <w:t xml:space="preserve">(ii) </w:t>
      </w:r>
      <w:r w:rsidRPr="00C34AC7">
        <w:t xml:space="preserve">financial system and </w:t>
      </w:r>
      <w:r>
        <w:t xml:space="preserve">(iii) </w:t>
      </w:r>
      <w:r w:rsidRPr="00C34AC7">
        <w:t xml:space="preserve">accountability system are </w:t>
      </w:r>
      <w:r>
        <w:t xml:space="preserve">crucial </w:t>
      </w:r>
      <w:r w:rsidRPr="00C34AC7">
        <w:t xml:space="preserve">for </w:t>
      </w:r>
      <w:r>
        <w:t xml:space="preserve">efficient management of </w:t>
      </w:r>
      <w:r w:rsidR="000B096E">
        <w:t xml:space="preserve">public </w:t>
      </w:r>
      <w:r>
        <w:t xml:space="preserve">resources. In case of a </w:t>
      </w:r>
      <w:r w:rsidRPr="00C34AC7">
        <w:t>results-based M&amp;E system</w:t>
      </w:r>
      <w:r>
        <w:t xml:space="preserve">, </w:t>
      </w:r>
      <w:r w:rsidR="000B096E" w:rsidRPr="000B096E">
        <w:t xml:space="preserve"> </w:t>
      </w:r>
      <w:r w:rsidR="000B096E">
        <w:t>public</w:t>
      </w:r>
      <w:r w:rsidRPr="00C34AC7">
        <w:t xml:space="preserve"> spending and achievements of objectives</w:t>
      </w:r>
      <w:r>
        <w:t xml:space="preserve"> is emphasized and through that,</w:t>
      </w:r>
      <w:r w:rsidRPr="00C34AC7">
        <w:t xml:space="preserve"> inclusion of a ‘fourth leg’ into the system </w:t>
      </w:r>
      <w:r>
        <w:t xml:space="preserve">can be considered </w:t>
      </w:r>
      <w:r w:rsidRPr="00C34AC7">
        <w:t xml:space="preserve">that reinforces good governance. </w:t>
      </w:r>
    </w:p>
    <w:p w:rsidR="007F2F9C" w:rsidRDefault="007F2F9C" w:rsidP="004534E0">
      <w:pPr>
        <w:autoSpaceDE w:val="0"/>
        <w:autoSpaceDN w:val="0"/>
        <w:adjustRightInd w:val="0"/>
        <w:spacing w:line="276" w:lineRule="auto"/>
        <w:jc w:val="both"/>
        <w:rPr>
          <w:szCs w:val="24"/>
        </w:rPr>
      </w:pPr>
      <w:r w:rsidRPr="00C34AC7">
        <w:t xml:space="preserve">Monitoring </w:t>
      </w:r>
      <w:r>
        <w:t>provides the stakeholders and policymakers with the</w:t>
      </w:r>
      <w:r w:rsidRPr="00C34AC7">
        <w:t xml:space="preserve"> information about the current status of a policy</w:t>
      </w:r>
      <w:r>
        <w:t>/</w:t>
      </w:r>
      <w:r w:rsidRPr="00C34AC7">
        <w:t>program</w:t>
      </w:r>
      <w:r>
        <w:t>/</w:t>
      </w:r>
      <w:r w:rsidRPr="00C34AC7">
        <w:t xml:space="preserve"> project relative to respective targets and outcomes</w:t>
      </w:r>
      <w:r>
        <w:t xml:space="preserve">, </w:t>
      </w:r>
      <w:r w:rsidRPr="00C34AC7">
        <w:t>whereas evaluation gives evidence of whether targets and outcomes are being achieved</w:t>
      </w:r>
      <w:r>
        <w:t xml:space="preserve"> or not. </w:t>
      </w:r>
      <w:r>
        <w:rPr>
          <w:szCs w:val="24"/>
        </w:rPr>
        <w:t xml:space="preserve">The primary purpose of </w:t>
      </w:r>
      <w:r w:rsidRPr="00C34AC7">
        <w:rPr>
          <w:szCs w:val="24"/>
        </w:rPr>
        <w:t xml:space="preserve">M&amp;E </w:t>
      </w:r>
      <w:r>
        <w:rPr>
          <w:szCs w:val="24"/>
        </w:rPr>
        <w:t xml:space="preserve">is therefore to </w:t>
      </w:r>
      <w:r w:rsidRPr="00C34AC7">
        <w:rPr>
          <w:szCs w:val="24"/>
        </w:rPr>
        <w:t xml:space="preserve">help the government to measure the quantity, quality and targeting </w:t>
      </w:r>
      <w:r>
        <w:rPr>
          <w:szCs w:val="24"/>
        </w:rPr>
        <w:t xml:space="preserve">of outputs </w:t>
      </w:r>
      <w:r w:rsidRPr="00C34AC7">
        <w:rPr>
          <w:szCs w:val="24"/>
        </w:rPr>
        <w:t xml:space="preserve">and </w:t>
      </w:r>
      <w:r>
        <w:rPr>
          <w:szCs w:val="24"/>
        </w:rPr>
        <w:t xml:space="preserve">to quantify </w:t>
      </w:r>
      <w:r w:rsidRPr="00C34AC7">
        <w:rPr>
          <w:szCs w:val="24"/>
        </w:rPr>
        <w:t xml:space="preserve">how the outputs </w:t>
      </w:r>
      <w:r>
        <w:rPr>
          <w:szCs w:val="24"/>
        </w:rPr>
        <w:t>affect t</w:t>
      </w:r>
      <w:r w:rsidRPr="00C34AC7">
        <w:rPr>
          <w:szCs w:val="24"/>
        </w:rPr>
        <w:t>he lives of the common masses.</w:t>
      </w:r>
    </w:p>
    <w:p w:rsidR="007F2F9C" w:rsidRDefault="007F2F9C" w:rsidP="004534E0">
      <w:pPr>
        <w:autoSpaceDE w:val="0"/>
        <w:autoSpaceDN w:val="0"/>
        <w:adjustRightInd w:val="0"/>
        <w:spacing w:line="276" w:lineRule="auto"/>
        <w:jc w:val="both"/>
        <w:rPr>
          <w:szCs w:val="24"/>
        </w:rPr>
      </w:pPr>
      <w:r w:rsidRPr="00C34AC7">
        <w:rPr>
          <w:szCs w:val="24"/>
        </w:rPr>
        <w:lastRenderedPageBreak/>
        <w:t xml:space="preserve">The Government of Bangladesh </w:t>
      </w:r>
      <w:r w:rsidR="000D4E58" w:rsidRPr="00440069">
        <w:rPr>
          <w:rFonts w:cs="Times New Roman"/>
          <w:color w:val="000000"/>
          <w:szCs w:val="20"/>
        </w:rPr>
        <w:t>recognizes</w:t>
      </w:r>
      <w:r w:rsidR="000D4E58">
        <w:rPr>
          <w:rFonts w:ascii="Tahoma" w:hAnsi="Tahoma" w:cs="Tahoma"/>
          <w:color w:val="000000"/>
          <w:sz w:val="20"/>
          <w:szCs w:val="20"/>
        </w:rPr>
        <w:t xml:space="preserve"> </w:t>
      </w:r>
      <w:r w:rsidR="000D4E58" w:rsidRPr="00C34AC7">
        <w:rPr>
          <w:szCs w:val="24"/>
        </w:rPr>
        <w:t>that</w:t>
      </w:r>
      <w:r w:rsidRPr="00C34AC7">
        <w:rPr>
          <w:szCs w:val="24"/>
        </w:rPr>
        <w:t xml:space="preserve"> an effective monitoring and evaluation (M&amp;E) system is </w:t>
      </w:r>
      <w:r>
        <w:rPr>
          <w:szCs w:val="24"/>
        </w:rPr>
        <w:t>crucial</w:t>
      </w:r>
      <w:r w:rsidRPr="00C34AC7">
        <w:rPr>
          <w:szCs w:val="24"/>
        </w:rPr>
        <w:t xml:space="preserve"> to monitor the implementation of </w:t>
      </w:r>
      <w:r w:rsidR="0066749B">
        <w:rPr>
          <w:szCs w:val="24"/>
        </w:rPr>
        <w:t xml:space="preserve">the Delta Plan, including individual projects and associated </w:t>
      </w:r>
      <w:r w:rsidRPr="00C34AC7">
        <w:rPr>
          <w:szCs w:val="24"/>
        </w:rPr>
        <w:t>program</w:t>
      </w:r>
      <w:r w:rsidR="0066749B">
        <w:rPr>
          <w:szCs w:val="24"/>
        </w:rPr>
        <w:t>me</w:t>
      </w:r>
      <w:r w:rsidRPr="00C34AC7">
        <w:rPr>
          <w:szCs w:val="24"/>
        </w:rPr>
        <w:t>s. Without a</w:t>
      </w:r>
      <w:r>
        <w:rPr>
          <w:szCs w:val="24"/>
        </w:rPr>
        <w:t>n effective</w:t>
      </w:r>
      <w:r w:rsidRPr="00C34AC7">
        <w:rPr>
          <w:szCs w:val="24"/>
        </w:rPr>
        <w:t xml:space="preserve"> M&amp;E </w:t>
      </w:r>
      <w:r>
        <w:rPr>
          <w:szCs w:val="24"/>
        </w:rPr>
        <w:t>structure</w:t>
      </w:r>
      <w:r w:rsidRPr="00C34AC7">
        <w:rPr>
          <w:szCs w:val="24"/>
        </w:rPr>
        <w:t xml:space="preserve">, resources might </w:t>
      </w:r>
      <w:r>
        <w:rPr>
          <w:szCs w:val="24"/>
        </w:rPr>
        <w:t>be spent in an inefficient manner and could be disbursed in projects which are not consiste</w:t>
      </w:r>
      <w:r w:rsidR="0066749B">
        <w:rPr>
          <w:szCs w:val="24"/>
        </w:rPr>
        <w:t>nt with the Delta priorities</w:t>
      </w:r>
      <w:r>
        <w:rPr>
          <w:szCs w:val="24"/>
        </w:rPr>
        <w:t xml:space="preserve">. However, in most cases the existing M&amp;E structure of Bangladesh </w:t>
      </w:r>
      <w:r w:rsidR="0066749B">
        <w:rPr>
          <w:szCs w:val="24"/>
        </w:rPr>
        <w:t>including for water and water-related investments mostly play</w:t>
      </w:r>
      <w:r>
        <w:rPr>
          <w:szCs w:val="24"/>
        </w:rPr>
        <w:t xml:space="preserve"> an important role in tracking spending of projects/program</w:t>
      </w:r>
      <w:r w:rsidR="0066749B">
        <w:rPr>
          <w:szCs w:val="24"/>
        </w:rPr>
        <w:t>mes. They do</w:t>
      </w:r>
      <w:r>
        <w:rPr>
          <w:szCs w:val="24"/>
        </w:rPr>
        <w:t xml:space="preserve"> not offer a scientific, systematic and results-based M&amp;E framework which would ensure the best utilization of scarce resources. </w:t>
      </w:r>
    </w:p>
    <w:p w:rsidR="00000000" w:rsidRDefault="007F2F9C" w:rsidP="003D5A31">
      <w:pPr>
        <w:pStyle w:val="BodyText"/>
        <w:numPr>
          <w:ilvl w:val="2"/>
          <w:numId w:val="157"/>
        </w:numPr>
        <w:spacing w:after="240" w:line="276" w:lineRule="auto"/>
        <w:jc w:val="both"/>
        <w:rPr>
          <w:rFonts w:cs="Times New Roman"/>
          <w:b/>
          <w:szCs w:val="24"/>
        </w:rPr>
      </w:pPr>
      <w:r w:rsidRPr="001D703C">
        <w:rPr>
          <w:rFonts w:cs="Times New Roman"/>
          <w:b/>
          <w:szCs w:val="24"/>
        </w:rPr>
        <w:t>M&amp;E Practices in Bangladesh</w:t>
      </w:r>
    </w:p>
    <w:p w:rsidR="005C1B37" w:rsidRDefault="007F2F9C" w:rsidP="004534E0">
      <w:pPr>
        <w:spacing w:line="276" w:lineRule="auto"/>
        <w:jc w:val="both"/>
        <w:rPr>
          <w:szCs w:val="24"/>
        </w:rPr>
      </w:pPr>
      <w:r w:rsidRPr="00C34AC7">
        <w:rPr>
          <w:szCs w:val="24"/>
        </w:rPr>
        <w:t>Presently in Bangladesh</w:t>
      </w:r>
      <w:r w:rsidR="005C1B37">
        <w:rPr>
          <w:szCs w:val="24"/>
        </w:rPr>
        <w:t>,</w:t>
      </w:r>
      <w:r w:rsidRPr="00C34AC7">
        <w:rPr>
          <w:szCs w:val="24"/>
        </w:rPr>
        <w:t xml:space="preserve"> M&amp;E is </w:t>
      </w:r>
      <w:r>
        <w:rPr>
          <w:szCs w:val="24"/>
        </w:rPr>
        <w:t>concerned primarily with</w:t>
      </w:r>
      <w:r w:rsidRPr="00C34AC7">
        <w:rPr>
          <w:szCs w:val="24"/>
        </w:rPr>
        <w:t xml:space="preserve"> tracking spending</w:t>
      </w:r>
      <w:r>
        <w:rPr>
          <w:szCs w:val="24"/>
        </w:rPr>
        <w:t xml:space="preserve"> and t</w:t>
      </w:r>
      <w:r w:rsidRPr="00C34AC7">
        <w:rPr>
          <w:szCs w:val="24"/>
        </w:rPr>
        <w:t>he</w:t>
      </w:r>
      <w:r w:rsidR="005C1B37">
        <w:rPr>
          <w:szCs w:val="24"/>
        </w:rPr>
        <w:t xml:space="preserve"> physical progress of the project/programmes. The g</w:t>
      </w:r>
      <w:r w:rsidRPr="00C34AC7">
        <w:rPr>
          <w:szCs w:val="24"/>
        </w:rPr>
        <w:t xml:space="preserve">overnment’s </w:t>
      </w:r>
      <w:r w:rsidR="005C1B37">
        <w:rPr>
          <w:szCs w:val="24"/>
        </w:rPr>
        <w:t xml:space="preserve">dedicated M&amp;E unit, the </w:t>
      </w:r>
      <w:r w:rsidRPr="00C34AC7">
        <w:rPr>
          <w:szCs w:val="24"/>
        </w:rPr>
        <w:t xml:space="preserve">Implementation, Monitoring and Evaluation </w:t>
      </w:r>
      <w:r w:rsidR="006C047F">
        <w:rPr>
          <w:szCs w:val="24"/>
        </w:rPr>
        <w:t>Division</w:t>
      </w:r>
      <w:r w:rsidR="006C047F" w:rsidRPr="00C34AC7">
        <w:rPr>
          <w:szCs w:val="24"/>
        </w:rPr>
        <w:t xml:space="preserve"> </w:t>
      </w:r>
      <w:r w:rsidRPr="00C34AC7">
        <w:rPr>
          <w:szCs w:val="24"/>
        </w:rPr>
        <w:t>(IMED)</w:t>
      </w:r>
      <w:r w:rsidR="005C1B37">
        <w:rPr>
          <w:szCs w:val="24"/>
        </w:rPr>
        <w:t>,</w:t>
      </w:r>
      <w:r w:rsidRPr="00C34AC7">
        <w:rPr>
          <w:szCs w:val="24"/>
        </w:rPr>
        <w:t xml:space="preserve"> is </w:t>
      </w:r>
      <w:r>
        <w:rPr>
          <w:szCs w:val="24"/>
        </w:rPr>
        <w:t>responsible for</w:t>
      </w:r>
      <w:r w:rsidRPr="00C34AC7">
        <w:rPr>
          <w:szCs w:val="24"/>
        </w:rPr>
        <w:t xml:space="preserve"> track</w:t>
      </w:r>
      <w:r>
        <w:rPr>
          <w:szCs w:val="24"/>
        </w:rPr>
        <w:t>ing</w:t>
      </w:r>
      <w:r w:rsidRPr="00C34AC7">
        <w:rPr>
          <w:szCs w:val="24"/>
        </w:rPr>
        <w:t xml:space="preserve"> the </w:t>
      </w:r>
      <w:r w:rsidR="000B096E">
        <w:t>public</w:t>
      </w:r>
      <w:r w:rsidRPr="00C34AC7">
        <w:rPr>
          <w:szCs w:val="24"/>
        </w:rPr>
        <w:t xml:space="preserve"> sector development program</w:t>
      </w:r>
      <w:r w:rsidR="005C1B37">
        <w:rPr>
          <w:szCs w:val="24"/>
        </w:rPr>
        <w:t>me</w:t>
      </w:r>
      <w:r w:rsidRPr="00C34AC7">
        <w:rPr>
          <w:szCs w:val="24"/>
        </w:rPr>
        <w:t xml:space="preserve">s. </w:t>
      </w:r>
      <w:r>
        <w:rPr>
          <w:szCs w:val="24"/>
        </w:rPr>
        <w:t>I</w:t>
      </w:r>
      <w:r w:rsidRPr="00C34AC7">
        <w:rPr>
          <w:szCs w:val="24"/>
        </w:rPr>
        <w:t xml:space="preserve">MED </w:t>
      </w:r>
      <w:r>
        <w:rPr>
          <w:szCs w:val="24"/>
        </w:rPr>
        <w:t xml:space="preserve">primarily </w:t>
      </w:r>
      <w:r w:rsidRPr="00C34AC7">
        <w:rPr>
          <w:szCs w:val="24"/>
        </w:rPr>
        <w:t>monitor</w:t>
      </w:r>
      <w:r>
        <w:rPr>
          <w:szCs w:val="24"/>
        </w:rPr>
        <w:t>s</w:t>
      </w:r>
      <w:r w:rsidRPr="00C34AC7">
        <w:rPr>
          <w:szCs w:val="24"/>
        </w:rPr>
        <w:t xml:space="preserve"> and evaluate</w:t>
      </w:r>
      <w:r>
        <w:rPr>
          <w:szCs w:val="24"/>
        </w:rPr>
        <w:t>s</w:t>
      </w:r>
      <w:r w:rsidRPr="00C34AC7">
        <w:rPr>
          <w:szCs w:val="24"/>
        </w:rPr>
        <w:t xml:space="preserve"> the development projects </w:t>
      </w:r>
      <w:r>
        <w:rPr>
          <w:szCs w:val="24"/>
        </w:rPr>
        <w:t>for</w:t>
      </w:r>
      <w:r w:rsidRPr="00C34AC7">
        <w:rPr>
          <w:szCs w:val="24"/>
        </w:rPr>
        <w:t xml:space="preserve"> </w:t>
      </w:r>
      <w:r>
        <w:rPr>
          <w:szCs w:val="24"/>
        </w:rPr>
        <w:t>efficient</w:t>
      </w:r>
      <w:r w:rsidRPr="00C34AC7">
        <w:rPr>
          <w:szCs w:val="24"/>
        </w:rPr>
        <w:t xml:space="preserve"> implementation. Monitoring </w:t>
      </w:r>
      <w:r>
        <w:rPr>
          <w:szCs w:val="24"/>
        </w:rPr>
        <w:t>primarily</w:t>
      </w:r>
      <w:r w:rsidRPr="00C34AC7">
        <w:rPr>
          <w:szCs w:val="24"/>
        </w:rPr>
        <w:t xml:space="preserve"> oversee</w:t>
      </w:r>
      <w:r>
        <w:rPr>
          <w:szCs w:val="24"/>
        </w:rPr>
        <w:t>s</w:t>
      </w:r>
      <w:r w:rsidRPr="00C34AC7">
        <w:rPr>
          <w:szCs w:val="24"/>
        </w:rPr>
        <w:t xml:space="preserve"> the implementation process</w:t>
      </w:r>
      <w:r>
        <w:rPr>
          <w:szCs w:val="24"/>
        </w:rPr>
        <w:t xml:space="preserve">, </w:t>
      </w:r>
      <w:r w:rsidRPr="00C34AC7">
        <w:rPr>
          <w:szCs w:val="24"/>
        </w:rPr>
        <w:t>identif</w:t>
      </w:r>
      <w:r>
        <w:rPr>
          <w:szCs w:val="24"/>
        </w:rPr>
        <w:t>ies</w:t>
      </w:r>
      <w:r w:rsidRPr="00C34AC7">
        <w:rPr>
          <w:szCs w:val="24"/>
        </w:rPr>
        <w:t xml:space="preserve"> the challenges in terms of quality, time and costs</w:t>
      </w:r>
      <w:r>
        <w:rPr>
          <w:szCs w:val="24"/>
        </w:rPr>
        <w:t xml:space="preserve"> and </w:t>
      </w:r>
      <w:r w:rsidRPr="00C34AC7">
        <w:rPr>
          <w:szCs w:val="24"/>
        </w:rPr>
        <w:t xml:space="preserve">provides recommendations for improvement. The key stakeholders for the IMED </w:t>
      </w:r>
      <w:r w:rsidR="00440069">
        <w:rPr>
          <w:szCs w:val="24"/>
        </w:rPr>
        <w:t xml:space="preserve">are the </w:t>
      </w:r>
      <w:r w:rsidRPr="00C34AC7">
        <w:rPr>
          <w:szCs w:val="24"/>
        </w:rPr>
        <w:t>ministries/divisions and other au</w:t>
      </w:r>
      <w:r w:rsidR="00FE6385">
        <w:rPr>
          <w:szCs w:val="24"/>
        </w:rPr>
        <w:t>ton</w:t>
      </w:r>
      <w:r w:rsidR="000B096E">
        <w:rPr>
          <w:szCs w:val="24"/>
        </w:rPr>
        <w:t>o</w:t>
      </w:r>
      <w:r w:rsidRPr="00C34AC7">
        <w:rPr>
          <w:szCs w:val="24"/>
        </w:rPr>
        <w:t xml:space="preserve">mous state bodies. </w:t>
      </w:r>
    </w:p>
    <w:p w:rsidR="005C1B37" w:rsidRDefault="007F2F9C" w:rsidP="004534E0">
      <w:pPr>
        <w:spacing w:line="276" w:lineRule="auto"/>
        <w:jc w:val="both"/>
        <w:rPr>
          <w:szCs w:val="24"/>
        </w:rPr>
      </w:pPr>
      <w:r w:rsidRPr="00C34AC7">
        <w:rPr>
          <w:szCs w:val="24"/>
        </w:rPr>
        <w:t xml:space="preserve">IMED </w:t>
      </w:r>
      <w:r>
        <w:rPr>
          <w:szCs w:val="24"/>
        </w:rPr>
        <w:t>is involved at various stages</w:t>
      </w:r>
      <w:r w:rsidRPr="00C34AC7">
        <w:rPr>
          <w:szCs w:val="24"/>
        </w:rPr>
        <w:t xml:space="preserve"> of the project cycle- project preparation (pre-project)</w:t>
      </w:r>
      <w:r>
        <w:rPr>
          <w:szCs w:val="24"/>
        </w:rPr>
        <w:t xml:space="preserve">, </w:t>
      </w:r>
      <w:r w:rsidRPr="00C34AC7">
        <w:rPr>
          <w:szCs w:val="24"/>
        </w:rPr>
        <w:t xml:space="preserve">project completion and </w:t>
      </w:r>
      <w:r>
        <w:rPr>
          <w:szCs w:val="24"/>
        </w:rPr>
        <w:t xml:space="preserve">also post-project </w:t>
      </w:r>
      <w:r w:rsidRPr="00C34AC7">
        <w:rPr>
          <w:szCs w:val="24"/>
        </w:rPr>
        <w:t>impact evaluation. In the pre-project phase, IMED</w:t>
      </w:r>
      <w:r>
        <w:rPr>
          <w:szCs w:val="24"/>
        </w:rPr>
        <w:t xml:space="preserve">’s role is to </w:t>
      </w:r>
      <w:r w:rsidRPr="00C34AC7">
        <w:rPr>
          <w:szCs w:val="24"/>
        </w:rPr>
        <w:t xml:space="preserve">suggest </w:t>
      </w:r>
      <w:r>
        <w:rPr>
          <w:szCs w:val="24"/>
        </w:rPr>
        <w:t xml:space="preserve">for </w:t>
      </w:r>
      <w:r w:rsidRPr="00C34AC7">
        <w:rPr>
          <w:szCs w:val="24"/>
        </w:rPr>
        <w:t xml:space="preserve">improvement </w:t>
      </w:r>
      <w:r>
        <w:rPr>
          <w:szCs w:val="24"/>
        </w:rPr>
        <w:t xml:space="preserve">and modification whereas in the </w:t>
      </w:r>
      <w:r w:rsidRPr="00C34AC7">
        <w:rPr>
          <w:szCs w:val="24"/>
        </w:rPr>
        <w:t>implementation phase, IMED monitors progress to ensure timely implementation</w:t>
      </w:r>
      <w:r>
        <w:rPr>
          <w:szCs w:val="24"/>
        </w:rPr>
        <w:t xml:space="preserve"> and to maintain quality</w:t>
      </w:r>
      <w:r w:rsidRPr="00C34AC7">
        <w:rPr>
          <w:szCs w:val="24"/>
        </w:rPr>
        <w:t xml:space="preserve">. It </w:t>
      </w:r>
      <w:r>
        <w:rPr>
          <w:szCs w:val="24"/>
        </w:rPr>
        <w:t>also gathers</w:t>
      </w:r>
      <w:r w:rsidRPr="00C34AC7">
        <w:rPr>
          <w:szCs w:val="24"/>
        </w:rPr>
        <w:t xml:space="preserve"> information from projects, agencies and ministries for effective monitoring consist</w:t>
      </w:r>
      <w:r>
        <w:rPr>
          <w:szCs w:val="24"/>
        </w:rPr>
        <w:t>ing</w:t>
      </w:r>
      <w:r w:rsidRPr="00C34AC7">
        <w:rPr>
          <w:szCs w:val="24"/>
        </w:rPr>
        <w:t xml:space="preserve"> of: (</w:t>
      </w:r>
      <w:r>
        <w:rPr>
          <w:szCs w:val="24"/>
        </w:rPr>
        <w:t>i</w:t>
      </w:r>
      <w:r w:rsidRPr="00C34AC7">
        <w:rPr>
          <w:szCs w:val="24"/>
        </w:rPr>
        <w:t>) periodic reports, (</w:t>
      </w:r>
      <w:r>
        <w:rPr>
          <w:szCs w:val="24"/>
        </w:rPr>
        <w:t>ii</w:t>
      </w:r>
      <w:r w:rsidRPr="00C34AC7">
        <w:rPr>
          <w:szCs w:val="24"/>
        </w:rPr>
        <w:t>) procurement reports, (</w:t>
      </w:r>
      <w:r>
        <w:rPr>
          <w:szCs w:val="24"/>
        </w:rPr>
        <w:t>iii</w:t>
      </w:r>
      <w:r w:rsidRPr="00C34AC7">
        <w:rPr>
          <w:szCs w:val="24"/>
        </w:rPr>
        <w:t>) field inspections, (</w:t>
      </w:r>
      <w:r>
        <w:rPr>
          <w:szCs w:val="24"/>
        </w:rPr>
        <w:t>iv</w:t>
      </w:r>
      <w:r w:rsidRPr="00C34AC7">
        <w:rPr>
          <w:szCs w:val="24"/>
        </w:rPr>
        <w:t>)</w:t>
      </w:r>
      <w:r w:rsidR="005C1B37">
        <w:rPr>
          <w:szCs w:val="24"/>
        </w:rPr>
        <w:t xml:space="preserve"> </w:t>
      </w:r>
      <w:r w:rsidRPr="00C34AC7">
        <w:rPr>
          <w:szCs w:val="24"/>
        </w:rPr>
        <w:t xml:space="preserve">monthly coordination/review meetings, </w:t>
      </w:r>
      <w:r w:rsidR="005C1B37">
        <w:rPr>
          <w:szCs w:val="24"/>
        </w:rPr>
        <w:t xml:space="preserve">and </w:t>
      </w:r>
      <w:r w:rsidRPr="00C34AC7">
        <w:rPr>
          <w:szCs w:val="24"/>
        </w:rPr>
        <w:t>(</w:t>
      </w:r>
      <w:r>
        <w:rPr>
          <w:szCs w:val="24"/>
        </w:rPr>
        <w:t>v</w:t>
      </w:r>
      <w:r w:rsidRPr="00C34AC7">
        <w:rPr>
          <w:szCs w:val="24"/>
        </w:rPr>
        <w:t xml:space="preserve">) special meetings with the Project Directors. Information collected </w:t>
      </w:r>
      <w:r>
        <w:rPr>
          <w:szCs w:val="24"/>
        </w:rPr>
        <w:t>in this manner is</w:t>
      </w:r>
      <w:r w:rsidRPr="00C34AC7">
        <w:rPr>
          <w:szCs w:val="24"/>
        </w:rPr>
        <w:t xml:space="preserve"> analyzed on a monthly, quarterly </w:t>
      </w:r>
      <w:r>
        <w:rPr>
          <w:szCs w:val="24"/>
        </w:rPr>
        <w:t>and</w:t>
      </w:r>
      <w:r w:rsidRPr="00C34AC7">
        <w:rPr>
          <w:szCs w:val="24"/>
        </w:rPr>
        <w:t xml:space="preserve"> annual basis to review implementation performance of ministries/divisions. </w:t>
      </w:r>
    </w:p>
    <w:p w:rsidR="007F2F9C" w:rsidRDefault="007F2F9C" w:rsidP="004534E0">
      <w:pPr>
        <w:spacing w:line="276" w:lineRule="auto"/>
        <w:jc w:val="both"/>
        <w:rPr>
          <w:szCs w:val="24"/>
        </w:rPr>
      </w:pPr>
      <w:r w:rsidRPr="00C34AC7">
        <w:rPr>
          <w:szCs w:val="24"/>
        </w:rPr>
        <w:t>In the</w:t>
      </w:r>
      <w:r>
        <w:rPr>
          <w:szCs w:val="24"/>
        </w:rPr>
        <w:t xml:space="preserve"> </w:t>
      </w:r>
      <w:r w:rsidRPr="00C34AC7">
        <w:rPr>
          <w:szCs w:val="24"/>
        </w:rPr>
        <w:t xml:space="preserve">post implementation phase, terminal evaluation reports are prepared by IMED on all </w:t>
      </w:r>
      <w:r>
        <w:rPr>
          <w:szCs w:val="24"/>
        </w:rPr>
        <w:t xml:space="preserve">projects, </w:t>
      </w:r>
      <w:r w:rsidRPr="00C34AC7">
        <w:rPr>
          <w:szCs w:val="24"/>
        </w:rPr>
        <w:t>contain</w:t>
      </w:r>
      <w:r>
        <w:rPr>
          <w:szCs w:val="24"/>
        </w:rPr>
        <w:t>ing</w:t>
      </w:r>
      <w:r w:rsidRPr="00C34AC7">
        <w:rPr>
          <w:szCs w:val="24"/>
        </w:rPr>
        <w:t xml:space="preserve"> an analysis of the </w:t>
      </w:r>
      <w:r>
        <w:rPr>
          <w:szCs w:val="24"/>
        </w:rPr>
        <w:t xml:space="preserve">performance of </w:t>
      </w:r>
      <w:r w:rsidRPr="00C34AC7">
        <w:rPr>
          <w:szCs w:val="24"/>
        </w:rPr>
        <w:t xml:space="preserve">project with </w:t>
      </w:r>
      <w:r>
        <w:rPr>
          <w:szCs w:val="24"/>
        </w:rPr>
        <w:t>suggestions for improvement</w:t>
      </w:r>
      <w:r w:rsidRPr="00C34AC7">
        <w:rPr>
          <w:szCs w:val="24"/>
        </w:rPr>
        <w:t>.</w:t>
      </w:r>
      <w:r>
        <w:rPr>
          <w:szCs w:val="24"/>
        </w:rPr>
        <w:t xml:space="preserve"> </w:t>
      </w:r>
      <w:r w:rsidRPr="00C34AC7">
        <w:rPr>
          <w:szCs w:val="24"/>
        </w:rPr>
        <w:t xml:space="preserve">It also </w:t>
      </w:r>
      <w:r>
        <w:rPr>
          <w:szCs w:val="24"/>
        </w:rPr>
        <w:t>evaluates</w:t>
      </w:r>
      <w:r w:rsidRPr="00C34AC7">
        <w:rPr>
          <w:szCs w:val="24"/>
        </w:rPr>
        <w:t xml:space="preserve"> selected projects for assessing their impacts on </w:t>
      </w:r>
      <w:r>
        <w:rPr>
          <w:szCs w:val="24"/>
        </w:rPr>
        <w:t xml:space="preserve">certain indicators </w:t>
      </w:r>
      <w:r w:rsidRPr="00C34AC7">
        <w:rPr>
          <w:szCs w:val="24"/>
        </w:rPr>
        <w:t xml:space="preserve">and the </w:t>
      </w:r>
      <w:r>
        <w:rPr>
          <w:szCs w:val="24"/>
        </w:rPr>
        <w:t xml:space="preserve">findings </w:t>
      </w:r>
      <w:r w:rsidRPr="00C34AC7">
        <w:rPr>
          <w:szCs w:val="24"/>
        </w:rPr>
        <w:t xml:space="preserve">are used in future project design and implementation. The </w:t>
      </w:r>
      <w:r>
        <w:rPr>
          <w:szCs w:val="24"/>
        </w:rPr>
        <w:t>main consideration</w:t>
      </w:r>
      <w:r w:rsidRPr="00C34AC7">
        <w:rPr>
          <w:szCs w:val="24"/>
        </w:rPr>
        <w:t xml:space="preserve"> of IMED's M&amp;E activities is identification of implementation problems and their timely resolution </w:t>
      </w:r>
      <w:r>
        <w:rPr>
          <w:szCs w:val="24"/>
        </w:rPr>
        <w:t>and a</w:t>
      </w:r>
      <w:r w:rsidRPr="00C34AC7">
        <w:rPr>
          <w:szCs w:val="24"/>
        </w:rPr>
        <w:t xml:space="preserve">ll the reports prepared by IMED contain implementation problems and suggestions for </w:t>
      </w:r>
      <w:r>
        <w:rPr>
          <w:szCs w:val="24"/>
        </w:rPr>
        <w:t>improvement</w:t>
      </w:r>
      <w:r w:rsidRPr="00C34AC7">
        <w:rPr>
          <w:szCs w:val="24"/>
        </w:rPr>
        <w:t xml:space="preserve">. These are discussed in review meetings held at the Ministry. </w:t>
      </w:r>
    </w:p>
    <w:p w:rsidR="007F2F9C" w:rsidRDefault="007F2F9C" w:rsidP="004534E0">
      <w:pPr>
        <w:autoSpaceDE w:val="0"/>
        <w:autoSpaceDN w:val="0"/>
        <w:adjustRightInd w:val="0"/>
        <w:spacing w:line="276" w:lineRule="auto"/>
        <w:jc w:val="both"/>
        <w:rPr>
          <w:szCs w:val="24"/>
        </w:rPr>
      </w:pPr>
      <w:r>
        <w:rPr>
          <w:szCs w:val="24"/>
        </w:rPr>
        <w:t xml:space="preserve">Every year, on an average, </w:t>
      </w:r>
      <w:r w:rsidRPr="00C34AC7">
        <w:rPr>
          <w:szCs w:val="24"/>
        </w:rPr>
        <w:t xml:space="preserve">IMED monitors </w:t>
      </w:r>
      <w:r w:rsidR="00771279">
        <w:rPr>
          <w:szCs w:val="24"/>
        </w:rPr>
        <w:t xml:space="preserve">progresses about 1200 </w:t>
      </w:r>
      <w:r w:rsidRPr="00C34AC7">
        <w:rPr>
          <w:szCs w:val="24"/>
        </w:rPr>
        <w:t>projects under the Annual Development Program</w:t>
      </w:r>
      <w:r w:rsidR="00464A56">
        <w:rPr>
          <w:szCs w:val="24"/>
        </w:rPr>
        <w:t>me</w:t>
      </w:r>
      <w:r w:rsidRPr="00C34AC7">
        <w:rPr>
          <w:szCs w:val="24"/>
        </w:rPr>
        <w:t xml:space="preserve"> and evaluates </w:t>
      </w:r>
      <w:r w:rsidR="00771279">
        <w:rPr>
          <w:szCs w:val="24"/>
        </w:rPr>
        <w:t>about 300 completed projects</w:t>
      </w:r>
      <w:r w:rsidR="00464A56">
        <w:rPr>
          <w:szCs w:val="24"/>
        </w:rPr>
        <w:t>. I</w:t>
      </w:r>
      <w:r>
        <w:rPr>
          <w:szCs w:val="24"/>
        </w:rPr>
        <w:t>t</w:t>
      </w:r>
      <w:r w:rsidRPr="00C34AC7">
        <w:rPr>
          <w:szCs w:val="24"/>
        </w:rPr>
        <w:t xml:space="preserve"> publishes</w:t>
      </w:r>
      <w:r>
        <w:rPr>
          <w:szCs w:val="24"/>
        </w:rPr>
        <w:t>:</w:t>
      </w:r>
      <w:r w:rsidRPr="00C34AC7">
        <w:rPr>
          <w:szCs w:val="24"/>
        </w:rPr>
        <w:t xml:space="preserve"> </w:t>
      </w:r>
      <w:r>
        <w:rPr>
          <w:szCs w:val="24"/>
        </w:rPr>
        <w:t>(</w:t>
      </w:r>
      <w:r w:rsidRPr="00C34AC7">
        <w:rPr>
          <w:szCs w:val="24"/>
        </w:rPr>
        <w:t xml:space="preserve">i) Monthly performance evaluation of projects of the Ministries/Divisions, </w:t>
      </w:r>
      <w:r>
        <w:rPr>
          <w:szCs w:val="24"/>
        </w:rPr>
        <w:t>(</w:t>
      </w:r>
      <w:r w:rsidRPr="00C34AC7">
        <w:rPr>
          <w:szCs w:val="24"/>
        </w:rPr>
        <w:t xml:space="preserve">ii) Quarterly performance evaluation reports of ADP included projects, </w:t>
      </w:r>
      <w:r>
        <w:rPr>
          <w:szCs w:val="24"/>
        </w:rPr>
        <w:t>(</w:t>
      </w:r>
      <w:r w:rsidRPr="00C34AC7">
        <w:rPr>
          <w:szCs w:val="24"/>
        </w:rPr>
        <w:t xml:space="preserve">iii) Annual review report on ADP implementation, </w:t>
      </w:r>
      <w:r>
        <w:rPr>
          <w:szCs w:val="24"/>
        </w:rPr>
        <w:lastRenderedPageBreak/>
        <w:t>(</w:t>
      </w:r>
      <w:r w:rsidRPr="00C34AC7">
        <w:rPr>
          <w:szCs w:val="24"/>
        </w:rPr>
        <w:t>iv)</w:t>
      </w:r>
      <w:r w:rsidR="00771279">
        <w:rPr>
          <w:szCs w:val="24"/>
        </w:rPr>
        <w:t xml:space="preserve"> </w:t>
      </w:r>
      <w:r w:rsidRPr="00C34AC7">
        <w:rPr>
          <w:szCs w:val="24"/>
        </w:rPr>
        <w:t xml:space="preserve">Annual project evaluation reports, </w:t>
      </w:r>
      <w:r>
        <w:rPr>
          <w:szCs w:val="24"/>
        </w:rPr>
        <w:t>(</w:t>
      </w:r>
      <w:r w:rsidRPr="00C34AC7">
        <w:rPr>
          <w:szCs w:val="24"/>
        </w:rPr>
        <w:t>v) Impact assessment reports conducted by the external bodies</w:t>
      </w:r>
      <w:r>
        <w:rPr>
          <w:szCs w:val="24"/>
        </w:rPr>
        <w:t xml:space="preserve">. </w:t>
      </w:r>
    </w:p>
    <w:p w:rsidR="007F2F9C" w:rsidRPr="00CA4D27" w:rsidRDefault="007F2F9C" w:rsidP="004534E0">
      <w:pPr>
        <w:pStyle w:val="Default"/>
        <w:spacing w:line="276" w:lineRule="auto"/>
        <w:jc w:val="both"/>
        <w:rPr>
          <w:rFonts w:ascii="Times New Roman" w:hAnsi="Times New Roman" w:cs="Times New Roman"/>
          <w:lang w:bidi="bn-BD"/>
        </w:rPr>
      </w:pPr>
      <w:r w:rsidRPr="00CA4D27">
        <w:rPr>
          <w:rFonts w:ascii="Times New Roman" w:hAnsi="Times New Roman" w:cs="Times New Roman"/>
        </w:rPr>
        <w:t xml:space="preserve">As for impact evaluation, </w:t>
      </w:r>
      <w:r w:rsidRPr="00CA4D27">
        <w:rPr>
          <w:rFonts w:ascii="Times New Roman" w:hAnsi="Times New Roman" w:cs="Times New Roman"/>
          <w:lang w:bidi="bn-BD"/>
        </w:rPr>
        <w:t xml:space="preserve">the Evaluation Wing of IMED carries out the evaluation </w:t>
      </w:r>
      <w:r w:rsidR="00854A63">
        <w:rPr>
          <w:rFonts w:ascii="Times New Roman" w:hAnsi="Times New Roman" w:cs="Times New Roman"/>
          <w:lang w:bidi="bn-BD"/>
        </w:rPr>
        <w:t>in each</w:t>
      </w:r>
      <w:r w:rsidRPr="00CA4D27">
        <w:rPr>
          <w:rFonts w:ascii="Times New Roman" w:hAnsi="Times New Roman" w:cs="Times New Roman"/>
          <w:lang w:bidi="bn-BD"/>
        </w:rPr>
        <w:t xml:space="preserve"> project. Under this evaluation procedure, they carry out evaluation of already completed projects each financial year. The choice of those projects is made out of a list of proposed projects submitted by each of the ministries at the end of each fiscal year. After thorough review process about ten to twelve projects are selected for evaluation. This evaluation is done either through: (i) out sourcing-under which the task of evaluation is conducted by a research firm and the selection of that firm is done through open advertisement and call for proposal; (ii) in house evaluation-under this system the evaluation Wing appoints consultants and the evaluation is carried out by them. Under both of the procedures, a Technical Evaluation Team of IMED monitors the methodology, technical aspects, survey method or as a whole the procedure of the research. The final evaluation is placed in front of the Technical Evaluation Team as well as a Steering Committee. The result of the evaluation is finally disseminated for comments and suggestions. It is important to mention that, the methodology applied to individual project evaluation depends on the type of project as well as the choice of research firm/consultants regarding the project. </w:t>
      </w:r>
    </w:p>
    <w:p w:rsidR="007F2F9C" w:rsidRDefault="007F2F9C" w:rsidP="004534E0">
      <w:pPr>
        <w:autoSpaceDE w:val="0"/>
        <w:autoSpaceDN w:val="0"/>
        <w:adjustRightInd w:val="0"/>
        <w:spacing w:line="276" w:lineRule="auto"/>
        <w:jc w:val="both"/>
        <w:rPr>
          <w:szCs w:val="24"/>
        </w:rPr>
      </w:pPr>
      <w:r>
        <w:rPr>
          <w:szCs w:val="24"/>
        </w:rPr>
        <w:t xml:space="preserve">An important break with the past was secured by the government in the context of the Sixth Five Year Plan and further consolidated in the Seventh Plan.  The Sixth Plan for the first time introduced the concept of results-based monitoring and evaluation (RBM&amp;E). It included a development results framework (DRF) that defined certain quantitative results to be achieved at the end of the completion of the Sixth Plan. To measure progress it also provided baseline estimates of these core targets and objectives.  The robustness of the RBM&amp;E and the associated DRF was tested through an interim review and a full mid-year review was conducted to check for progress with the implementation of Sixth Plan.  The analysis of the mid-year review was put on the website of the General Economics Division (GED) for </w:t>
      </w:r>
      <w:r w:rsidR="000B096E">
        <w:t xml:space="preserve">public </w:t>
      </w:r>
      <w:r>
        <w:rPr>
          <w:szCs w:val="24"/>
        </w:rPr>
        <w:t xml:space="preserve">knowledge.    </w:t>
      </w:r>
    </w:p>
    <w:p w:rsidR="00000000" w:rsidRDefault="007F2F9C" w:rsidP="003D5A31">
      <w:pPr>
        <w:pStyle w:val="BodyText"/>
        <w:numPr>
          <w:ilvl w:val="2"/>
          <w:numId w:val="157"/>
        </w:numPr>
        <w:spacing w:after="240" w:line="276" w:lineRule="auto"/>
        <w:jc w:val="both"/>
        <w:rPr>
          <w:rFonts w:cs="Times New Roman"/>
          <w:b/>
          <w:szCs w:val="24"/>
        </w:rPr>
      </w:pPr>
      <w:r w:rsidRPr="001D703C">
        <w:rPr>
          <w:rFonts w:cs="Times New Roman"/>
          <w:b/>
          <w:szCs w:val="24"/>
        </w:rPr>
        <w:t>Results-Based M&amp;E for the BDP2100</w:t>
      </w:r>
    </w:p>
    <w:p w:rsidR="007F2F9C" w:rsidRPr="009B1F2F" w:rsidRDefault="007F2F9C" w:rsidP="004534E0">
      <w:pPr>
        <w:shd w:val="clear" w:color="auto" w:fill="FFFFFF"/>
        <w:spacing w:line="276" w:lineRule="auto"/>
        <w:jc w:val="both"/>
        <w:rPr>
          <w:rFonts w:eastAsia="Times New Roman" w:cs="Times New Roman"/>
          <w:color w:val="000000" w:themeColor="text1"/>
          <w:szCs w:val="24"/>
        </w:rPr>
      </w:pPr>
      <w:r>
        <w:rPr>
          <w:rFonts w:eastAsia="Times New Roman" w:cs="Times New Roman"/>
          <w:color w:val="000000" w:themeColor="text1"/>
          <w:szCs w:val="24"/>
        </w:rPr>
        <w:t xml:space="preserve">The BDP2100 advocates an integrated and adaptive management of the Bangladesh Delta. The BDP2100 defines certain long-term development objectives, goals and targets. These goals and targets are fairly long term. On the other hand policies, regulations, investments and institutions have to be developed now. Additionally, there are considerable uncertainties about the future path of the climate variables and the policy responses of upstream countries related to trans-boundary water management. The quality, relevance and adequacy of the current interventions and the need for changes in light of new evidence on climate variables and cross-boundary river interventions can only be assessed properly if there is a well-developed M&amp;E system that monitors the implementation of the various BDP2100 and develops interim progress reports on the long-term results. </w:t>
      </w:r>
    </w:p>
    <w:p w:rsidR="007F2F9C" w:rsidRDefault="007F2F9C" w:rsidP="004534E0">
      <w:pPr>
        <w:shd w:val="clear" w:color="auto" w:fill="FFFFFF"/>
        <w:spacing w:line="276" w:lineRule="auto"/>
        <w:jc w:val="both"/>
        <w:rPr>
          <w:rFonts w:cs="Times New Roman"/>
          <w:color w:val="000000" w:themeColor="text1"/>
          <w:szCs w:val="24"/>
        </w:rPr>
      </w:pPr>
      <w:r>
        <w:rPr>
          <w:rFonts w:cs="Times New Roman"/>
          <w:color w:val="000000" w:themeColor="text1"/>
          <w:szCs w:val="24"/>
        </w:rPr>
        <w:lastRenderedPageBreak/>
        <w:t xml:space="preserve">Presently water, land, environment, forestry, river transport, fisheries and crop agriculture are all managed as separate entities with little or no regards for their inter-linkages and how they interact to contribute to the BDP2100 long-term goals and targets. The BDP2100 provides a strategy and suggests institutional arrangements for coordination of the various interventions as they relate to BDP2100 goals and targets. These goals and targets constitute the DRF for BDP2100.  This DRF becomes the main focus of the BDP2100 M&amp;E. </w:t>
      </w:r>
    </w:p>
    <w:p w:rsidR="007F2F9C" w:rsidRDefault="007F2F9C" w:rsidP="004534E0">
      <w:pPr>
        <w:shd w:val="clear" w:color="auto" w:fill="FFFFFF"/>
        <w:spacing w:line="276" w:lineRule="auto"/>
        <w:jc w:val="both"/>
        <w:rPr>
          <w:rFonts w:cs="Times New Roman"/>
          <w:color w:val="000000" w:themeColor="text1"/>
          <w:szCs w:val="24"/>
        </w:rPr>
      </w:pPr>
      <w:r>
        <w:rPr>
          <w:rFonts w:cs="Times New Roman"/>
          <w:color w:val="000000" w:themeColor="text1"/>
          <w:szCs w:val="24"/>
        </w:rPr>
        <w:t>Different BDP2100 ministries provide a</w:t>
      </w:r>
      <w:r w:rsidR="00464A56">
        <w:rPr>
          <w:rFonts w:cs="Times New Roman"/>
          <w:color w:val="000000" w:themeColor="text1"/>
          <w:szCs w:val="24"/>
        </w:rPr>
        <w:t xml:space="preserve"> </w:t>
      </w:r>
      <w:r>
        <w:rPr>
          <w:rFonts w:cs="Times New Roman"/>
          <w:color w:val="000000" w:themeColor="text1"/>
          <w:szCs w:val="24"/>
        </w:rPr>
        <w:t xml:space="preserve">range of services to the </w:t>
      </w:r>
      <w:r w:rsidR="000B096E">
        <w:t>public</w:t>
      </w:r>
      <w:r>
        <w:rPr>
          <w:rFonts w:cs="Times New Roman"/>
          <w:color w:val="000000" w:themeColor="text1"/>
          <w:szCs w:val="24"/>
        </w:rPr>
        <w:t xml:space="preserve">. Not all actions and programmes are directly linked to the BDP2100 DRF.   Yet, the actions and programmes of the </w:t>
      </w:r>
      <w:r w:rsidR="004B1796">
        <w:rPr>
          <w:rFonts w:cs="Times New Roman"/>
          <w:color w:val="000000" w:themeColor="text1"/>
          <w:szCs w:val="24"/>
        </w:rPr>
        <w:t>M</w:t>
      </w:r>
      <w:r>
        <w:rPr>
          <w:rFonts w:cs="Times New Roman"/>
          <w:color w:val="000000" w:themeColor="text1"/>
          <w:szCs w:val="24"/>
        </w:rPr>
        <w:t>inistry</w:t>
      </w:r>
      <w:r w:rsidR="004B1796">
        <w:rPr>
          <w:rFonts w:cs="Times New Roman"/>
          <w:color w:val="000000" w:themeColor="text1"/>
          <w:szCs w:val="24"/>
        </w:rPr>
        <w:t xml:space="preserve"> of Water Resources</w:t>
      </w:r>
      <w:r>
        <w:rPr>
          <w:rFonts w:cs="Times New Roman"/>
          <w:color w:val="000000" w:themeColor="text1"/>
          <w:szCs w:val="24"/>
        </w:rPr>
        <w:t xml:space="preserve"> are all of direct relevance to the DRF.  This primacy of the </w:t>
      </w:r>
      <w:r w:rsidR="004B1796">
        <w:rPr>
          <w:rFonts w:cs="Times New Roman"/>
          <w:color w:val="000000" w:themeColor="text1"/>
          <w:szCs w:val="24"/>
        </w:rPr>
        <w:t>M</w:t>
      </w:r>
      <w:r>
        <w:rPr>
          <w:rFonts w:cs="Times New Roman"/>
          <w:color w:val="000000" w:themeColor="text1"/>
          <w:szCs w:val="24"/>
        </w:rPr>
        <w:t>inistry</w:t>
      </w:r>
      <w:r w:rsidR="004B1796">
        <w:rPr>
          <w:rFonts w:cs="Times New Roman"/>
          <w:color w:val="000000" w:themeColor="text1"/>
          <w:szCs w:val="24"/>
        </w:rPr>
        <w:t xml:space="preserve"> of Water Resources</w:t>
      </w:r>
      <w:r>
        <w:rPr>
          <w:rFonts w:cs="Times New Roman"/>
          <w:color w:val="000000" w:themeColor="text1"/>
          <w:szCs w:val="24"/>
        </w:rPr>
        <w:t xml:space="preserve"> to the DRF of BDP2100 makes it the primary focus of the M&amp;E effort.  </w:t>
      </w:r>
    </w:p>
    <w:p w:rsidR="00F64A6A" w:rsidRDefault="007F2F9C" w:rsidP="00F64A6A">
      <w:pPr>
        <w:pStyle w:val="Heading2"/>
        <w:numPr>
          <w:ilvl w:val="0"/>
          <w:numId w:val="0"/>
        </w:numPr>
        <w:ind w:left="1080"/>
      </w:pPr>
      <w:bookmarkStart w:id="896" w:name="_Toc474638950"/>
      <w:r w:rsidRPr="00EE2A65">
        <w:t>Present M&amp;E Practices for Integrated Water Management</w:t>
      </w:r>
      <w:bookmarkEnd w:id="896"/>
    </w:p>
    <w:p w:rsidR="007F2F9C" w:rsidRDefault="007F2F9C" w:rsidP="004534E0">
      <w:p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 xml:space="preserve">The </w:t>
      </w:r>
      <w:r>
        <w:rPr>
          <w:rFonts w:eastAsia="Times New Roman" w:cs="Times New Roman"/>
          <w:color w:val="000000" w:themeColor="text1"/>
          <w:szCs w:val="24"/>
        </w:rPr>
        <w:t xml:space="preserve">integrated </w:t>
      </w:r>
      <w:r w:rsidRPr="009B1F2F">
        <w:rPr>
          <w:rFonts w:eastAsia="Times New Roman" w:cs="Times New Roman"/>
          <w:color w:val="000000" w:themeColor="text1"/>
          <w:szCs w:val="24"/>
        </w:rPr>
        <w:t>planning a</w:t>
      </w:r>
      <w:r>
        <w:rPr>
          <w:rFonts w:eastAsia="Times New Roman" w:cs="Times New Roman"/>
          <w:color w:val="000000" w:themeColor="text1"/>
          <w:szCs w:val="24"/>
        </w:rPr>
        <w:t xml:space="preserve">nd management of water resources in Bangladesh </w:t>
      </w:r>
      <w:r w:rsidRPr="009B1F2F">
        <w:rPr>
          <w:rFonts w:eastAsia="Times New Roman" w:cs="Times New Roman"/>
          <w:color w:val="000000" w:themeColor="text1"/>
          <w:szCs w:val="24"/>
        </w:rPr>
        <w:t xml:space="preserve">is guided by: </w:t>
      </w:r>
    </w:p>
    <w:p w:rsidR="007F2F9C" w:rsidRPr="009B1F2F" w:rsidRDefault="007F2F9C" w:rsidP="004534E0">
      <w:p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 xml:space="preserve">a) </w:t>
      </w:r>
      <w:r w:rsidR="00464A56">
        <w:rPr>
          <w:rFonts w:eastAsia="Times New Roman" w:cs="Times New Roman"/>
          <w:color w:val="000000" w:themeColor="text1"/>
          <w:szCs w:val="24"/>
        </w:rPr>
        <w:t>T</w:t>
      </w:r>
      <w:r>
        <w:rPr>
          <w:rFonts w:eastAsia="Times New Roman" w:cs="Times New Roman"/>
          <w:color w:val="000000" w:themeColor="text1"/>
          <w:szCs w:val="24"/>
        </w:rPr>
        <w:t>he National Water Policy (</w:t>
      </w:r>
      <w:r w:rsidRPr="009B1F2F">
        <w:rPr>
          <w:rFonts w:eastAsia="Times New Roman" w:cs="Times New Roman"/>
          <w:color w:val="000000" w:themeColor="text1"/>
          <w:szCs w:val="24"/>
        </w:rPr>
        <w:t>NWPo</w:t>
      </w:r>
      <w:r>
        <w:rPr>
          <w:rFonts w:eastAsia="Times New Roman" w:cs="Times New Roman"/>
          <w:color w:val="000000" w:themeColor="text1"/>
          <w:szCs w:val="24"/>
        </w:rPr>
        <w:t xml:space="preserve">) </w:t>
      </w:r>
      <w:r w:rsidRPr="009B1F2F">
        <w:rPr>
          <w:rFonts w:eastAsia="Times New Roman" w:cs="Times New Roman"/>
          <w:color w:val="000000" w:themeColor="text1"/>
          <w:szCs w:val="24"/>
        </w:rPr>
        <w:t xml:space="preserve">and </w:t>
      </w:r>
    </w:p>
    <w:p w:rsidR="007F2F9C" w:rsidRDefault="00464A56" w:rsidP="004534E0">
      <w:pPr>
        <w:shd w:val="clear" w:color="auto" w:fill="FFFFFF"/>
        <w:spacing w:line="276" w:lineRule="auto"/>
        <w:jc w:val="both"/>
        <w:rPr>
          <w:rFonts w:eastAsia="Times New Roman" w:cs="Times New Roman"/>
          <w:color w:val="000000" w:themeColor="text1"/>
          <w:szCs w:val="24"/>
        </w:rPr>
      </w:pPr>
      <w:r>
        <w:rPr>
          <w:rFonts w:eastAsia="Times New Roman" w:cs="Times New Roman"/>
          <w:color w:val="000000" w:themeColor="text1"/>
          <w:szCs w:val="24"/>
        </w:rPr>
        <w:t>b) T</w:t>
      </w:r>
      <w:r w:rsidR="007F2F9C">
        <w:rPr>
          <w:rFonts w:eastAsia="Times New Roman" w:cs="Times New Roman"/>
          <w:color w:val="000000" w:themeColor="text1"/>
          <w:szCs w:val="24"/>
        </w:rPr>
        <w:t>he National Water Management Plan 2001/2004 (</w:t>
      </w:r>
      <w:r w:rsidR="007F2F9C" w:rsidRPr="009B1F2F">
        <w:rPr>
          <w:rFonts w:eastAsia="Times New Roman" w:cs="Times New Roman"/>
          <w:color w:val="000000" w:themeColor="text1"/>
          <w:szCs w:val="24"/>
        </w:rPr>
        <w:t>NWMP</w:t>
      </w:r>
      <w:r w:rsidR="007F2F9C">
        <w:rPr>
          <w:rFonts w:eastAsia="Times New Roman" w:cs="Times New Roman"/>
          <w:color w:val="000000" w:themeColor="text1"/>
          <w:szCs w:val="24"/>
        </w:rPr>
        <w:t>)</w:t>
      </w:r>
    </w:p>
    <w:p w:rsidR="007F2F9C" w:rsidRDefault="007F2F9C" w:rsidP="004534E0">
      <w:p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 xml:space="preserve">Both </w:t>
      </w:r>
      <w:r>
        <w:rPr>
          <w:rFonts w:eastAsia="Times New Roman" w:cs="Times New Roman"/>
          <w:color w:val="000000" w:themeColor="text1"/>
          <w:szCs w:val="24"/>
        </w:rPr>
        <w:t>initiatives</w:t>
      </w:r>
      <w:r w:rsidRPr="009B1F2F">
        <w:rPr>
          <w:rFonts w:eastAsia="Times New Roman" w:cs="Times New Roman"/>
          <w:color w:val="000000" w:themeColor="text1"/>
          <w:szCs w:val="24"/>
        </w:rPr>
        <w:t xml:space="preserve"> are spearheaded by the Ministry of Water Resources (MoWR) and incorporate</w:t>
      </w:r>
      <w:r>
        <w:rPr>
          <w:rFonts w:eastAsia="Times New Roman" w:cs="Times New Roman"/>
          <w:color w:val="000000" w:themeColor="text1"/>
          <w:szCs w:val="24"/>
        </w:rPr>
        <w:t xml:space="preserve">d </w:t>
      </w:r>
      <w:r w:rsidRPr="009B1F2F">
        <w:rPr>
          <w:rFonts w:eastAsia="Times New Roman" w:cs="Times New Roman"/>
          <w:color w:val="000000" w:themeColor="text1"/>
          <w:szCs w:val="24"/>
        </w:rPr>
        <w:t>and further</w:t>
      </w:r>
      <w:r>
        <w:rPr>
          <w:rFonts w:eastAsia="Times New Roman" w:cs="Times New Roman"/>
          <w:color w:val="000000" w:themeColor="text1"/>
          <w:szCs w:val="24"/>
        </w:rPr>
        <w:t xml:space="preserve"> referred to </w:t>
      </w:r>
      <w:r w:rsidRPr="009B1F2F">
        <w:rPr>
          <w:rFonts w:eastAsia="Times New Roman" w:cs="Times New Roman"/>
          <w:color w:val="000000" w:themeColor="text1"/>
          <w:szCs w:val="24"/>
        </w:rPr>
        <w:t>in the new (2013) Water Act; thus laying the basis for I</w:t>
      </w:r>
      <w:r>
        <w:rPr>
          <w:rFonts w:eastAsia="Times New Roman" w:cs="Times New Roman"/>
          <w:color w:val="000000" w:themeColor="text1"/>
          <w:szCs w:val="24"/>
        </w:rPr>
        <w:t xml:space="preserve">ntegrated </w:t>
      </w:r>
      <w:r w:rsidRPr="009B1F2F">
        <w:rPr>
          <w:rFonts w:eastAsia="Times New Roman" w:cs="Times New Roman"/>
          <w:color w:val="000000" w:themeColor="text1"/>
          <w:szCs w:val="24"/>
        </w:rPr>
        <w:t>W</w:t>
      </w:r>
      <w:r>
        <w:rPr>
          <w:rFonts w:eastAsia="Times New Roman" w:cs="Times New Roman"/>
          <w:color w:val="000000" w:themeColor="text1"/>
          <w:szCs w:val="24"/>
        </w:rPr>
        <w:t xml:space="preserve">ater </w:t>
      </w:r>
      <w:r w:rsidRPr="009B1F2F">
        <w:rPr>
          <w:rFonts w:eastAsia="Times New Roman" w:cs="Times New Roman"/>
          <w:color w:val="000000" w:themeColor="text1"/>
          <w:szCs w:val="24"/>
        </w:rPr>
        <w:t>R</w:t>
      </w:r>
      <w:r>
        <w:rPr>
          <w:rFonts w:eastAsia="Times New Roman" w:cs="Times New Roman"/>
          <w:color w:val="000000" w:themeColor="text1"/>
          <w:szCs w:val="24"/>
        </w:rPr>
        <w:t xml:space="preserve">esource </w:t>
      </w:r>
      <w:r w:rsidRPr="009B1F2F">
        <w:rPr>
          <w:rFonts w:eastAsia="Times New Roman" w:cs="Times New Roman"/>
          <w:color w:val="000000" w:themeColor="text1"/>
          <w:szCs w:val="24"/>
        </w:rPr>
        <w:t>M</w:t>
      </w:r>
      <w:r>
        <w:rPr>
          <w:rFonts w:eastAsia="Times New Roman" w:cs="Times New Roman"/>
          <w:color w:val="000000" w:themeColor="text1"/>
          <w:szCs w:val="24"/>
        </w:rPr>
        <w:t>anagement (IWRM)</w:t>
      </w:r>
      <w:r w:rsidRPr="009B1F2F">
        <w:rPr>
          <w:rFonts w:eastAsia="Times New Roman" w:cs="Times New Roman"/>
          <w:color w:val="000000" w:themeColor="text1"/>
          <w:szCs w:val="24"/>
        </w:rPr>
        <w:t xml:space="preserve"> in the country. </w:t>
      </w:r>
    </w:p>
    <w:p w:rsidR="007F2F9C" w:rsidRPr="0079268B" w:rsidRDefault="007F2F9C" w:rsidP="004534E0">
      <w:pPr>
        <w:shd w:val="clear" w:color="auto" w:fill="FFFFFF"/>
        <w:spacing w:line="276" w:lineRule="auto"/>
        <w:jc w:val="both"/>
        <w:rPr>
          <w:rFonts w:eastAsia="Times New Roman" w:cs="Times New Roman"/>
          <w:i/>
          <w:color w:val="000000" w:themeColor="text1"/>
          <w:szCs w:val="24"/>
        </w:rPr>
      </w:pPr>
      <w:r w:rsidRPr="009B1F2F">
        <w:rPr>
          <w:rFonts w:cs="Times New Roman"/>
          <w:color w:val="000000" w:themeColor="text1"/>
          <w:szCs w:val="24"/>
        </w:rPr>
        <w:t>Through the National Water Policy (NWPo), the Government of Bangladesh (GoB) has taken steps to restructure and strengthen</w:t>
      </w:r>
      <w:r>
        <w:rPr>
          <w:rFonts w:cs="Times New Roman"/>
          <w:color w:val="000000" w:themeColor="text1"/>
          <w:szCs w:val="24"/>
        </w:rPr>
        <w:t xml:space="preserve"> </w:t>
      </w:r>
      <w:r w:rsidRPr="009B1F2F">
        <w:rPr>
          <w:rFonts w:cs="Times New Roman"/>
          <w:color w:val="000000" w:themeColor="text1"/>
          <w:szCs w:val="24"/>
        </w:rPr>
        <w:t>the existing institutions</w:t>
      </w:r>
      <w:r>
        <w:rPr>
          <w:rFonts w:cs="Times New Roman"/>
          <w:color w:val="000000" w:themeColor="text1"/>
          <w:szCs w:val="24"/>
        </w:rPr>
        <w:t xml:space="preserve">, in order to ensure </w:t>
      </w:r>
      <w:r w:rsidRPr="009B1F2F">
        <w:rPr>
          <w:rFonts w:cs="Times New Roman"/>
          <w:color w:val="000000" w:themeColor="text1"/>
          <w:szCs w:val="24"/>
        </w:rPr>
        <w:t xml:space="preserve">that the agenda for reform and the action plan </w:t>
      </w:r>
      <w:r>
        <w:rPr>
          <w:rFonts w:cs="Times New Roman"/>
          <w:color w:val="000000" w:themeColor="text1"/>
          <w:szCs w:val="24"/>
        </w:rPr>
        <w:t>are</w:t>
      </w:r>
      <w:r w:rsidRPr="009B1F2F">
        <w:rPr>
          <w:rFonts w:cs="Times New Roman"/>
          <w:color w:val="000000" w:themeColor="text1"/>
          <w:szCs w:val="24"/>
        </w:rPr>
        <w:t xml:space="preserve"> implemented efficiently. The policy dictates that each institution must be held accountable for financial and operational performance. T</w:t>
      </w:r>
      <w:r w:rsidRPr="009B1F2F">
        <w:rPr>
          <w:rFonts w:eastAsia="Times New Roman" w:cs="Times New Roman"/>
          <w:color w:val="000000" w:themeColor="text1"/>
          <w:szCs w:val="24"/>
        </w:rPr>
        <w:t xml:space="preserve">he National Water Management Plan (NWMP) has been prepared to respond to these challenges with an attention on the sustainability of water systems and ecosystems in light of current water management practices and expected future changes. </w:t>
      </w:r>
      <w:r w:rsidR="0047442A">
        <w:rPr>
          <w:rFonts w:eastAsia="Times New Roman" w:cs="Times New Roman"/>
          <w:i/>
          <w:color w:val="000000" w:themeColor="text1"/>
          <w:szCs w:val="24"/>
        </w:rPr>
        <w:t>The Plan is structured with 84 different programmes planned over 25 years contributing individually and collectively to attain overall objectives and sub-sectoral goals.</w:t>
      </w:r>
    </w:p>
    <w:p w:rsidR="007F2F9C" w:rsidRPr="0079268B" w:rsidRDefault="0047442A" w:rsidP="004534E0">
      <w:pPr>
        <w:shd w:val="clear" w:color="auto" w:fill="FFFFFF"/>
        <w:spacing w:line="276" w:lineRule="auto"/>
        <w:jc w:val="both"/>
        <w:rPr>
          <w:rFonts w:eastAsia="Times New Roman" w:cs="Times New Roman"/>
          <w:i/>
          <w:color w:val="000000" w:themeColor="text1"/>
          <w:szCs w:val="24"/>
        </w:rPr>
      </w:pPr>
      <w:r>
        <w:rPr>
          <w:rFonts w:eastAsia="Times New Roman" w:cs="Times New Roman"/>
          <w:i/>
          <w:color w:val="000000" w:themeColor="text1"/>
          <w:szCs w:val="24"/>
        </w:rPr>
        <w:t>NWMP has been prepared to provide a framework at national and regional level within which line agencies, local government and other stakeholders may plan and implement their own activities and projects in a coordinated manner, consistent with overall national and sectoral objectives. It is a rolling 25 year plan in three phases. The short phase (2000-05), the medium phase (2006-10) and the long term (2011-25) plan. Implementation of the plan will be monitored regularly and it will be updated every 5 years.</w:t>
      </w:r>
    </w:p>
    <w:p w:rsidR="007F2F9C" w:rsidRPr="009B1F2F" w:rsidRDefault="007F2F9C" w:rsidP="004534E0">
      <w:p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 xml:space="preserve">The 84 different NWMP programmes are being implemented by line agencies and others as designated. Each organization is responsible for planning and implementing its own activities </w:t>
      </w:r>
      <w:r w:rsidRPr="009B1F2F">
        <w:rPr>
          <w:rFonts w:eastAsia="Times New Roman" w:cs="Times New Roman"/>
          <w:color w:val="000000" w:themeColor="text1"/>
          <w:szCs w:val="24"/>
        </w:rPr>
        <w:lastRenderedPageBreak/>
        <w:t>and projects within the NWMP framework. These projects are expected</w:t>
      </w:r>
      <w:r>
        <w:rPr>
          <w:rFonts w:eastAsia="Times New Roman" w:cs="Times New Roman"/>
          <w:color w:val="000000" w:themeColor="text1"/>
          <w:szCs w:val="24"/>
        </w:rPr>
        <w:t xml:space="preserve"> </w:t>
      </w:r>
      <w:r w:rsidR="00464A56">
        <w:rPr>
          <w:rFonts w:eastAsia="Times New Roman" w:cs="Times New Roman"/>
          <w:color w:val="000000" w:themeColor="text1"/>
          <w:szCs w:val="24"/>
        </w:rPr>
        <w:t xml:space="preserve">to </w:t>
      </w:r>
      <w:r>
        <w:rPr>
          <w:rFonts w:eastAsia="Times New Roman" w:cs="Times New Roman"/>
          <w:color w:val="000000" w:themeColor="text1"/>
          <w:szCs w:val="24"/>
        </w:rPr>
        <w:t>adhere to the GoB’s</w:t>
      </w:r>
      <w:r w:rsidRPr="009B1F2F">
        <w:rPr>
          <w:rFonts w:eastAsia="Times New Roman" w:cs="Times New Roman"/>
          <w:color w:val="000000" w:themeColor="text1"/>
          <w:szCs w:val="24"/>
        </w:rPr>
        <w:t xml:space="preserve"> administrative procedures and conform to all relevant rules and</w:t>
      </w:r>
      <w:r>
        <w:rPr>
          <w:rFonts w:eastAsia="Times New Roman" w:cs="Times New Roman"/>
          <w:color w:val="000000" w:themeColor="text1"/>
          <w:szCs w:val="24"/>
        </w:rPr>
        <w:t xml:space="preserve"> guidelines issued by GoB</w:t>
      </w:r>
      <w:r w:rsidRPr="009B1F2F">
        <w:rPr>
          <w:rFonts w:eastAsia="Times New Roman" w:cs="Times New Roman"/>
          <w:color w:val="000000" w:themeColor="text1"/>
          <w:szCs w:val="24"/>
        </w:rPr>
        <w:t>. The responsibility of the overall coordination of NWMP implementation lies with the N</w:t>
      </w:r>
      <w:r>
        <w:rPr>
          <w:rFonts w:eastAsia="Times New Roman" w:cs="Times New Roman"/>
          <w:color w:val="000000" w:themeColor="text1"/>
          <w:szCs w:val="24"/>
        </w:rPr>
        <w:t xml:space="preserve">ational </w:t>
      </w:r>
      <w:r w:rsidRPr="009B1F2F">
        <w:rPr>
          <w:rFonts w:eastAsia="Times New Roman" w:cs="Times New Roman"/>
          <w:color w:val="000000" w:themeColor="text1"/>
          <w:szCs w:val="24"/>
        </w:rPr>
        <w:t>W</w:t>
      </w:r>
      <w:r>
        <w:rPr>
          <w:rFonts w:eastAsia="Times New Roman" w:cs="Times New Roman"/>
          <w:color w:val="000000" w:themeColor="text1"/>
          <w:szCs w:val="24"/>
        </w:rPr>
        <w:t xml:space="preserve">ater </w:t>
      </w:r>
      <w:r w:rsidRPr="009B1F2F">
        <w:rPr>
          <w:rFonts w:eastAsia="Times New Roman" w:cs="Times New Roman"/>
          <w:color w:val="000000" w:themeColor="text1"/>
          <w:szCs w:val="24"/>
        </w:rPr>
        <w:t>R</w:t>
      </w:r>
      <w:r>
        <w:rPr>
          <w:rFonts w:eastAsia="Times New Roman" w:cs="Times New Roman"/>
          <w:color w:val="000000" w:themeColor="text1"/>
          <w:szCs w:val="24"/>
        </w:rPr>
        <w:t xml:space="preserve">esource </w:t>
      </w:r>
      <w:r w:rsidRPr="009B1F2F">
        <w:rPr>
          <w:rFonts w:eastAsia="Times New Roman" w:cs="Times New Roman"/>
          <w:color w:val="000000" w:themeColor="text1"/>
          <w:szCs w:val="24"/>
        </w:rPr>
        <w:t>C</w:t>
      </w:r>
      <w:r>
        <w:rPr>
          <w:rFonts w:eastAsia="Times New Roman" w:cs="Times New Roman"/>
          <w:color w:val="000000" w:themeColor="text1"/>
          <w:szCs w:val="24"/>
        </w:rPr>
        <w:t>ouncil (NWRC)</w:t>
      </w:r>
      <w:r w:rsidRPr="009B1F2F">
        <w:rPr>
          <w:rFonts w:eastAsia="Times New Roman" w:cs="Times New Roman"/>
          <w:color w:val="000000" w:themeColor="text1"/>
          <w:szCs w:val="24"/>
        </w:rPr>
        <w:t>, wh</w:t>
      </w:r>
      <w:r>
        <w:rPr>
          <w:rFonts w:eastAsia="Times New Roman" w:cs="Times New Roman"/>
          <w:color w:val="000000" w:themeColor="text1"/>
          <w:szCs w:val="24"/>
        </w:rPr>
        <w:t>ich</w:t>
      </w:r>
      <w:r w:rsidRPr="009B1F2F">
        <w:rPr>
          <w:rFonts w:eastAsia="Times New Roman" w:cs="Times New Roman"/>
          <w:color w:val="000000" w:themeColor="text1"/>
          <w:szCs w:val="24"/>
        </w:rPr>
        <w:t xml:space="preserve"> issues directives through its Executive Committee. </w:t>
      </w:r>
    </w:p>
    <w:p w:rsidR="007F2F9C" w:rsidRPr="0079268B" w:rsidRDefault="007F2F9C" w:rsidP="004534E0">
      <w:pPr>
        <w:shd w:val="clear" w:color="auto" w:fill="FFFFFF"/>
        <w:spacing w:line="276" w:lineRule="auto"/>
        <w:jc w:val="both"/>
        <w:rPr>
          <w:rFonts w:eastAsia="Times New Roman" w:cs="Times New Roman"/>
          <w:i/>
          <w:color w:val="000000" w:themeColor="text1"/>
          <w:szCs w:val="24"/>
        </w:rPr>
      </w:pPr>
      <w:r w:rsidRPr="009B1F2F">
        <w:rPr>
          <w:rFonts w:eastAsia="Times New Roman" w:cs="Times New Roman"/>
          <w:color w:val="000000" w:themeColor="text1"/>
          <w:szCs w:val="24"/>
        </w:rPr>
        <w:t xml:space="preserve">These programmes are grouped into eight sub-sectoral clusters and </w:t>
      </w:r>
      <w:r>
        <w:rPr>
          <w:rFonts w:eastAsia="Times New Roman" w:cs="Times New Roman"/>
          <w:color w:val="000000" w:themeColor="text1"/>
          <w:szCs w:val="24"/>
        </w:rPr>
        <w:t xml:space="preserve">are </w:t>
      </w:r>
      <w:r w:rsidRPr="009B1F2F">
        <w:rPr>
          <w:rFonts w:eastAsia="Times New Roman" w:cs="Times New Roman"/>
          <w:color w:val="000000" w:themeColor="text1"/>
          <w:szCs w:val="24"/>
        </w:rPr>
        <w:t xml:space="preserve">spatially distributed across eight planning regions of the country. Information on each, together with a wide range of planning data, </w:t>
      </w:r>
      <w:r>
        <w:rPr>
          <w:rFonts w:eastAsia="Times New Roman" w:cs="Times New Roman"/>
          <w:color w:val="000000" w:themeColor="text1"/>
          <w:szCs w:val="24"/>
        </w:rPr>
        <w:t xml:space="preserve">is contained in </w:t>
      </w:r>
      <w:r w:rsidRPr="009B1F2F">
        <w:rPr>
          <w:rFonts w:eastAsia="Times New Roman" w:cs="Times New Roman"/>
          <w:color w:val="000000" w:themeColor="text1"/>
          <w:szCs w:val="24"/>
        </w:rPr>
        <w:t xml:space="preserve">the </w:t>
      </w:r>
      <w:r w:rsidR="0047442A">
        <w:rPr>
          <w:rFonts w:eastAsia="Times New Roman" w:cs="Times New Roman"/>
          <w:i/>
          <w:color w:val="000000" w:themeColor="text1"/>
          <w:szCs w:val="24"/>
        </w:rPr>
        <w:t xml:space="preserve">National Water Resources Database (NWRD), accessible through a Management Information System. </w:t>
      </w:r>
    </w:p>
    <w:p w:rsidR="007F2F9C" w:rsidRPr="00AD107E" w:rsidRDefault="007F2F9C" w:rsidP="00FD7FD3">
      <w:pPr>
        <w:pStyle w:val="Heading4"/>
      </w:pPr>
      <w:bookmarkStart w:id="897" w:name="_Toc474639149"/>
      <w:r>
        <w:t xml:space="preserve">Table </w:t>
      </w:r>
      <w:r w:rsidR="00A650CE">
        <w:t>13.</w:t>
      </w:r>
      <w:r>
        <w:t xml:space="preserve">1: </w:t>
      </w:r>
      <w:r w:rsidRPr="00AD107E">
        <w:t xml:space="preserve">The 84 </w:t>
      </w:r>
      <w:r>
        <w:t>Programmes of NWMP</w:t>
      </w:r>
      <w:bookmarkEnd w:id="897"/>
    </w:p>
    <w:tbl>
      <w:tblPr>
        <w:tblStyle w:val="TableGrid"/>
        <w:tblW w:w="5000" w:type="pct"/>
        <w:tblLook w:val="04A0"/>
      </w:tblPr>
      <w:tblGrid>
        <w:gridCol w:w="3285"/>
        <w:gridCol w:w="6291"/>
      </w:tblGrid>
      <w:tr w:rsidR="007F2F9C" w:rsidRPr="00FD22F0" w:rsidTr="00FD22F0">
        <w:trPr>
          <w:trHeight w:val="144"/>
        </w:trPr>
        <w:tc>
          <w:tcPr>
            <w:tcW w:w="1715" w:type="pct"/>
            <w:shd w:val="clear" w:color="auto" w:fill="BFBFBF" w:themeFill="background1" w:themeFillShade="BF"/>
          </w:tcPr>
          <w:p w:rsidR="007F2F9C" w:rsidRPr="00FD22F0" w:rsidRDefault="007F2F9C" w:rsidP="00005EAC">
            <w:pPr>
              <w:spacing w:after="120"/>
              <w:jc w:val="center"/>
              <w:rPr>
                <w:rFonts w:eastAsia="Times New Roman" w:cs="Times New Roman"/>
                <w:b/>
                <w:color w:val="000000" w:themeColor="text1"/>
                <w:szCs w:val="24"/>
              </w:rPr>
            </w:pPr>
            <w:r w:rsidRPr="00FD22F0">
              <w:rPr>
                <w:rFonts w:eastAsia="Times New Roman" w:cs="Times New Roman"/>
                <w:b/>
                <w:color w:val="000000" w:themeColor="text1"/>
                <w:szCs w:val="24"/>
              </w:rPr>
              <w:t>Sub-sectoral clusters</w:t>
            </w:r>
          </w:p>
        </w:tc>
        <w:tc>
          <w:tcPr>
            <w:tcW w:w="3285" w:type="pct"/>
            <w:shd w:val="clear" w:color="auto" w:fill="BFBFBF" w:themeFill="background1" w:themeFillShade="BF"/>
          </w:tcPr>
          <w:p w:rsidR="007F2F9C" w:rsidRPr="00FD22F0" w:rsidRDefault="007F2F9C" w:rsidP="00005EAC">
            <w:pPr>
              <w:spacing w:after="120"/>
              <w:jc w:val="center"/>
              <w:rPr>
                <w:rFonts w:eastAsia="Times New Roman" w:cs="Times New Roman"/>
                <w:b/>
                <w:color w:val="000000" w:themeColor="text1"/>
                <w:szCs w:val="24"/>
              </w:rPr>
            </w:pPr>
            <w:r w:rsidRPr="00FD22F0">
              <w:rPr>
                <w:rFonts w:eastAsia="Times New Roman" w:cs="Times New Roman"/>
                <w:b/>
                <w:color w:val="000000" w:themeColor="text1"/>
                <w:szCs w:val="24"/>
              </w:rPr>
              <w:t>Lead agencies</w:t>
            </w:r>
          </w:p>
        </w:tc>
      </w:tr>
      <w:tr w:rsidR="007F2F9C" w:rsidRPr="00AD107E" w:rsidTr="00FD22F0">
        <w:trPr>
          <w:trHeight w:val="144"/>
        </w:trPr>
        <w:tc>
          <w:tcPr>
            <w:tcW w:w="1715" w:type="pct"/>
          </w:tcPr>
          <w:p w:rsidR="007F2F9C" w:rsidRPr="00AD107E" w:rsidRDefault="007F2F9C" w:rsidP="00005EAC">
            <w:pPr>
              <w:spacing w:after="120"/>
              <w:rPr>
                <w:rFonts w:eastAsia="Times New Roman" w:cs="Times New Roman"/>
                <w:color w:val="000000" w:themeColor="text1"/>
                <w:szCs w:val="24"/>
              </w:rPr>
            </w:pPr>
            <w:r w:rsidRPr="00AD107E">
              <w:rPr>
                <w:rFonts w:eastAsia="Times New Roman" w:cs="Times New Roman"/>
                <w:color w:val="000000" w:themeColor="text1"/>
                <w:szCs w:val="24"/>
              </w:rPr>
              <w:t xml:space="preserve">Institutional Development (ID) </w:t>
            </w:r>
          </w:p>
        </w:tc>
        <w:tc>
          <w:tcPr>
            <w:tcW w:w="3285" w:type="pct"/>
          </w:tcPr>
          <w:p w:rsidR="007F2F9C" w:rsidRPr="003A4FA6" w:rsidRDefault="007F2F9C" w:rsidP="00FD22F0">
            <w:pPr>
              <w:spacing w:after="120"/>
              <w:ind w:left="-62"/>
              <w:jc w:val="both"/>
              <w:rPr>
                <w:rFonts w:eastAsia="Times New Roman" w:cs="Times New Roman"/>
                <w:color w:val="000000" w:themeColor="text1"/>
                <w:sz w:val="20"/>
              </w:rPr>
            </w:pPr>
            <w:r w:rsidRPr="003A4FA6">
              <w:rPr>
                <w:rFonts w:eastAsia="Times New Roman" w:cs="Times New Roman"/>
                <w:color w:val="000000" w:themeColor="text1"/>
                <w:sz w:val="20"/>
              </w:rPr>
              <w:t xml:space="preserve">10 programmes under ID sub-sectoral cluster are led by BHWDB, Bangladesh Meteorological Department (BMD), BWDB, Disaster Management Bureau (DMB), Department of Environment (DoE), </w:t>
            </w:r>
            <w:r w:rsidRPr="003A4FA6">
              <w:rPr>
                <w:rFonts w:cs="Times New Roman"/>
                <w:sz w:val="20"/>
              </w:rPr>
              <w:t>Local Government Division (</w:t>
            </w:r>
            <w:r w:rsidRPr="003A4FA6">
              <w:rPr>
                <w:rFonts w:eastAsia="Times New Roman" w:cs="Times New Roman"/>
                <w:color w:val="000000" w:themeColor="text1"/>
                <w:sz w:val="20"/>
              </w:rPr>
              <w:t>LGD), Local Government Institutes, Rice Research Institute (RRI), WARPO</w:t>
            </w:r>
          </w:p>
        </w:tc>
      </w:tr>
      <w:tr w:rsidR="007F2F9C" w:rsidRPr="00AD107E" w:rsidTr="00FD22F0">
        <w:trPr>
          <w:trHeight w:val="144"/>
        </w:trPr>
        <w:tc>
          <w:tcPr>
            <w:tcW w:w="1715" w:type="pct"/>
          </w:tcPr>
          <w:p w:rsidR="007F2F9C" w:rsidRPr="00AD107E" w:rsidRDefault="007F2F9C" w:rsidP="00005EAC">
            <w:pPr>
              <w:spacing w:after="120"/>
              <w:rPr>
                <w:rFonts w:eastAsia="Times New Roman" w:cs="Times New Roman"/>
                <w:color w:val="000000" w:themeColor="text1"/>
                <w:szCs w:val="24"/>
              </w:rPr>
            </w:pPr>
            <w:r w:rsidRPr="00AD107E">
              <w:rPr>
                <w:rFonts w:eastAsia="Times New Roman" w:cs="Times New Roman"/>
                <w:color w:val="000000" w:themeColor="text1"/>
                <w:szCs w:val="24"/>
              </w:rPr>
              <w:t>Enabling Environment (EE)</w:t>
            </w:r>
          </w:p>
        </w:tc>
        <w:tc>
          <w:tcPr>
            <w:tcW w:w="3285" w:type="pct"/>
          </w:tcPr>
          <w:p w:rsidR="007F2F9C" w:rsidRPr="003A4FA6" w:rsidRDefault="007F2F9C" w:rsidP="00FD22F0">
            <w:pPr>
              <w:spacing w:after="120"/>
              <w:ind w:left="-62"/>
              <w:jc w:val="both"/>
              <w:rPr>
                <w:rFonts w:eastAsia="Times New Roman" w:cs="Times New Roman"/>
                <w:color w:val="000000" w:themeColor="text1"/>
                <w:sz w:val="20"/>
              </w:rPr>
            </w:pPr>
            <w:r w:rsidRPr="003A4FA6">
              <w:rPr>
                <w:rFonts w:eastAsia="Times New Roman" w:cs="Times New Roman"/>
                <w:color w:val="000000" w:themeColor="text1"/>
                <w:sz w:val="20"/>
              </w:rPr>
              <w:t>13 programmes under EE sub-sectoral cluster are led by WARPO and BWDB</w:t>
            </w:r>
          </w:p>
        </w:tc>
      </w:tr>
      <w:tr w:rsidR="007F2F9C" w:rsidRPr="00AD107E" w:rsidTr="00FD22F0">
        <w:trPr>
          <w:trHeight w:val="144"/>
        </w:trPr>
        <w:tc>
          <w:tcPr>
            <w:tcW w:w="1715" w:type="pct"/>
          </w:tcPr>
          <w:p w:rsidR="007F2F9C" w:rsidRPr="00AD107E" w:rsidRDefault="007F2F9C" w:rsidP="00005EAC">
            <w:pPr>
              <w:spacing w:after="120"/>
              <w:rPr>
                <w:rFonts w:eastAsia="Times New Roman" w:cs="Times New Roman"/>
                <w:color w:val="000000" w:themeColor="text1"/>
                <w:szCs w:val="24"/>
              </w:rPr>
            </w:pPr>
            <w:r w:rsidRPr="00AD107E">
              <w:rPr>
                <w:rFonts w:eastAsia="Times New Roman" w:cs="Times New Roman"/>
                <w:color w:val="000000" w:themeColor="text1"/>
                <w:szCs w:val="24"/>
              </w:rPr>
              <w:t>Main Rivers (MR)</w:t>
            </w:r>
          </w:p>
        </w:tc>
        <w:tc>
          <w:tcPr>
            <w:tcW w:w="3285" w:type="pct"/>
          </w:tcPr>
          <w:p w:rsidR="007F2F9C" w:rsidRPr="003A4FA6" w:rsidRDefault="007F2F9C" w:rsidP="00FD22F0">
            <w:pPr>
              <w:spacing w:after="120"/>
              <w:ind w:left="-62"/>
              <w:jc w:val="both"/>
              <w:rPr>
                <w:rFonts w:eastAsia="Times New Roman" w:cs="Times New Roman"/>
                <w:color w:val="000000" w:themeColor="text1"/>
                <w:sz w:val="20"/>
              </w:rPr>
            </w:pPr>
            <w:r w:rsidRPr="003A4FA6">
              <w:rPr>
                <w:rFonts w:eastAsia="Times New Roman" w:cs="Times New Roman"/>
                <w:color w:val="000000" w:themeColor="text1"/>
                <w:sz w:val="20"/>
              </w:rPr>
              <w:t>12 programmes under MR sub-sectoral cluster are led by BWDB, BIWTA, Power Development Board</w:t>
            </w:r>
          </w:p>
        </w:tc>
      </w:tr>
      <w:tr w:rsidR="007F2F9C" w:rsidRPr="00AD107E" w:rsidTr="00FD22F0">
        <w:trPr>
          <w:trHeight w:val="144"/>
        </w:trPr>
        <w:tc>
          <w:tcPr>
            <w:tcW w:w="1715" w:type="pct"/>
          </w:tcPr>
          <w:p w:rsidR="007F2F9C" w:rsidRPr="00AD107E" w:rsidRDefault="007F2F9C" w:rsidP="00005EAC">
            <w:pPr>
              <w:spacing w:after="120"/>
              <w:rPr>
                <w:rFonts w:eastAsia="Times New Roman" w:cs="Times New Roman"/>
                <w:color w:val="000000" w:themeColor="text1"/>
                <w:szCs w:val="24"/>
              </w:rPr>
            </w:pPr>
            <w:r w:rsidRPr="00AD107E">
              <w:rPr>
                <w:rFonts w:eastAsia="Times New Roman" w:cs="Times New Roman"/>
                <w:color w:val="000000" w:themeColor="text1"/>
                <w:szCs w:val="24"/>
              </w:rPr>
              <w:t>Towns and Rural Areas (TR)</w:t>
            </w:r>
          </w:p>
        </w:tc>
        <w:tc>
          <w:tcPr>
            <w:tcW w:w="3285" w:type="pct"/>
          </w:tcPr>
          <w:p w:rsidR="007F2F9C" w:rsidRPr="003A4FA6" w:rsidRDefault="007F2F9C" w:rsidP="00FD22F0">
            <w:pPr>
              <w:spacing w:after="120"/>
              <w:ind w:left="-62"/>
              <w:jc w:val="both"/>
              <w:rPr>
                <w:rFonts w:eastAsia="Times New Roman" w:cs="Times New Roman"/>
                <w:color w:val="000000" w:themeColor="text1"/>
                <w:sz w:val="20"/>
              </w:rPr>
            </w:pPr>
            <w:r w:rsidRPr="003A4FA6">
              <w:rPr>
                <w:rFonts w:eastAsia="Times New Roman" w:cs="Times New Roman"/>
                <w:color w:val="000000" w:themeColor="text1"/>
                <w:sz w:val="20"/>
              </w:rPr>
              <w:t xml:space="preserve">8 programmes under TR sub-sectoral cluster are led by BWDB, </w:t>
            </w:r>
            <w:r w:rsidRPr="003A4FA6">
              <w:rPr>
                <w:rFonts w:cs="Times New Roman"/>
                <w:sz w:val="20"/>
              </w:rPr>
              <w:t xml:space="preserve">Department of </w:t>
            </w:r>
            <w:r w:rsidR="00B57B81">
              <w:rPr>
                <w:rFonts w:cs="Times New Roman"/>
                <w:sz w:val="20"/>
              </w:rPr>
              <w:t>Canals</w:t>
            </w:r>
            <w:r w:rsidRPr="003A4FA6">
              <w:rPr>
                <w:rFonts w:cs="Times New Roman"/>
                <w:sz w:val="20"/>
              </w:rPr>
              <w:t xml:space="preserve"> Health Engineering</w:t>
            </w:r>
            <w:r w:rsidRPr="003A4FA6">
              <w:rPr>
                <w:rFonts w:eastAsia="Times New Roman" w:cs="Times New Roman"/>
                <w:color w:val="000000" w:themeColor="text1"/>
                <w:sz w:val="20"/>
              </w:rPr>
              <w:t>(DPHE) and Pourashavas</w:t>
            </w:r>
          </w:p>
        </w:tc>
      </w:tr>
      <w:tr w:rsidR="007F2F9C" w:rsidRPr="00AD107E" w:rsidTr="00FD22F0">
        <w:trPr>
          <w:trHeight w:val="144"/>
        </w:trPr>
        <w:tc>
          <w:tcPr>
            <w:tcW w:w="1715" w:type="pct"/>
          </w:tcPr>
          <w:p w:rsidR="007F2F9C" w:rsidRPr="00AD107E" w:rsidRDefault="007F2F9C" w:rsidP="00005EAC">
            <w:pPr>
              <w:spacing w:after="120"/>
              <w:rPr>
                <w:rFonts w:eastAsia="Times New Roman" w:cs="Times New Roman"/>
                <w:color w:val="000000" w:themeColor="text1"/>
                <w:szCs w:val="24"/>
              </w:rPr>
            </w:pPr>
            <w:r w:rsidRPr="00AD107E">
              <w:rPr>
                <w:rFonts w:eastAsia="Times New Roman" w:cs="Times New Roman"/>
                <w:color w:val="000000" w:themeColor="text1"/>
                <w:szCs w:val="24"/>
              </w:rPr>
              <w:t>Major cities (MC)</w:t>
            </w:r>
          </w:p>
        </w:tc>
        <w:tc>
          <w:tcPr>
            <w:tcW w:w="3285" w:type="pct"/>
          </w:tcPr>
          <w:p w:rsidR="007F2F9C" w:rsidRPr="003A4FA6" w:rsidRDefault="007F2F9C" w:rsidP="00FD22F0">
            <w:pPr>
              <w:spacing w:after="120"/>
              <w:ind w:left="-62"/>
              <w:jc w:val="both"/>
              <w:rPr>
                <w:rFonts w:eastAsia="Times New Roman" w:cs="Times New Roman"/>
                <w:color w:val="000000" w:themeColor="text1"/>
                <w:sz w:val="20"/>
              </w:rPr>
            </w:pPr>
            <w:r w:rsidRPr="003A4FA6">
              <w:rPr>
                <w:rFonts w:eastAsia="Times New Roman" w:cs="Times New Roman"/>
                <w:color w:val="000000" w:themeColor="text1"/>
                <w:sz w:val="20"/>
              </w:rPr>
              <w:t xml:space="preserve">17 programmes under MC sub-sectoral cluster are led by BWDB, </w:t>
            </w:r>
            <w:r w:rsidRPr="003A4FA6">
              <w:rPr>
                <w:rFonts w:cs="Times New Roman"/>
                <w:color w:val="000000" w:themeColor="text1"/>
                <w:sz w:val="20"/>
              </w:rPr>
              <w:t>Water and Sewerage Authority of Dhaka and Chittagong</w:t>
            </w:r>
            <w:r w:rsidRPr="003A4FA6">
              <w:rPr>
                <w:rFonts w:eastAsia="Times New Roman" w:cs="Times New Roman"/>
                <w:color w:val="000000" w:themeColor="text1"/>
                <w:sz w:val="20"/>
              </w:rPr>
              <w:t xml:space="preserve">, DPHE, </w:t>
            </w:r>
            <w:r w:rsidRPr="003A4FA6">
              <w:rPr>
                <w:rFonts w:cs="Times New Roman"/>
                <w:color w:val="000000" w:themeColor="text1"/>
                <w:sz w:val="20"/>
              </w:rPr>
              <w:t>Khulna City Corporation</w:t>
            </w:r>
            <w:r w:rsidRPr="003A4FA6">
              <w:rPr>
                <w:rFonts w:eastAsia="Times New Roman" w:cs="Times New Roman"/>
                <w:color w:val="000000" w:themeColor="text1"/>
                <w:sz w:val="20"/>
              </w:rPr>
              <w:t xml:space="preserve"> and </w:t>
            </w:r>
            <w:r w:rsidRPr="003A4FA6">
              <w:rPr>
                <w:rFonts w:cs="Times New Roman"/>
                <w:color w:val="000000" w:themeColor="text1"/>
                <w:sz w:val="20"/>
              </w:rPr>
              <w:t>Rajshahi City Corporation</w:t>
            </w:r>
          </w:p>
        </w:tc>
      </w:tr>
      <w:tr w:rsidR="007F2F9C" w:rsidRPr="00AD107E" w:rsidTr="00FD22F0">
        <w:trPr>
          <w:trHeight w:val="144"/>
        </w:trPr>
        <w:tc>
          <w:tcPr>
            <w:tcW w:w="1715" w:type="pct"/>
          </w:tcPr>
          <w:p w:rsidR="007F2F9C" w:rsidRPr="00AD107E" w:rsidRDefault="007F2F9C" w:rsidP="00005EAC">
            <w:pPr>
              <w:spacing w:after="120"/>
              <w:rPr>
                <w:rFonts w:eastAsia="Times New Roman" w:cs="Times New Roman"/>
                <w:color w:val="000000" w:themeColor="text1"/>
                <w:szCs w:val="24"/>
              </w:rPr>
            </w:pPr>
            <w:r w:rsidRPr="00AD107E">
              <w:rPr>
                <w:rFonts w:eastAsia="Times New Roman" w:cs="Times New Roman"/>
                <w:color w:val="000000" w:themeColor="text1"/>
                <w:szCs w:val="24"/>
              </w:rPr>
              <w:t>Disaster Management (DM)</w:t>
            </w:r>
          </w:p>
        </w:tc>
        <w:tc>
          <w:tcPr>
            <w:tcW w:w="3285" w:type="pct"/>
          </w:tcPr>
          <w:p w:rsidR="007F2F9C" w:rsidRPr="003A4FA6" w:rsidRDefault="007F2F9C" w:rsidP="00FD22F0">
            <w:pPr>
              <w:spacing w:after="120"/>
              <w:ind w:left="-62"/>
              <w:jc w:val="both"/>
              <w:rPr>
                <w:rFonts w:eastAsia="Times New Roman" w:cs="Times New Roman"/>
                <w:color w:val="000000" w:themeColor="text1"/>
                <w:sz w:val="20"/>
              </w:rPr>
            </w:pPr>
            <w:r w:rsidRPr="003A4FA6">
              <w:rPr>
                <w:rFonts w:eastAsia="Times New Roman" w:cs="Times New Roman"/>
                <w:color w:val="000000" w:themeColor="text1"/>
                <w:sz w:val="20"/>
              </w:rPr>
              <w:t xml:space="preserve">6 programmes under </w:t>
            </w:r>
            <w:r w:rsidRPr="003A4FA6">
              <w:rPr>
                <w:rFonts w:cs="Times New Roman"/>
                <w:color w:val="000000" w:themeColor="text1"/>
                <w:sz w:val="20"/>
              </w:rPr>
              <w:t xml:space="preserve">DM </w:t>
            </w:r>
            <w:r w:rsidRPr="003A4FA6">
              <w:rPr>
                <w:rFonts w:eastAsia="Times New Roman" w:cs="Times New Roman"/>
                <w:color w:val="000000" w:themeColor="text1"/>
                <w:sz w:val="20"/>
              </w:rPr>
              <w:t xml:space="preserve">sub-sectoral cluster are led by DMB, </w:t>
            </w:r>
            <w:r w:rsidRPr="003A4FA6">
              <w:rPr>
                <w:rFonts w:cs="Times New Roman"/>
                <w:color w:val="000000" w:themeColor="text1"/>
                <w:sz w:val="20"/>
              </w:rPr>
              <w:t>Bangladesh Railway</w:t>
            </w:r>
            <w:r w:rsidRPr="003A4FA6">
              <w:rPr>
                <w:rFonts w:eastAsia="Times New Roman" w:cs="Times New Roman"/>
                <w:color w:val="000000" w:themeColor="text1"/>
                <w:sz w:val="20"/>
              </w:rPr>
              <w:t>, DAE, LGED and Roads and Highways Department(RHD)</w:t>
            </w:r>
          </w:p>
        </w:tc>
      </w:tr>
      <w:tr w:rsidR="007F2F9C" w:rsidRPr="00AD107E" w:rsidTr="00FD22F0">
        <w:trPr>
          <w:trHeight w:val="144"/>
        </w:trPr>
        <w:tc>
          <w:tcPr>
            <w:tcW w:w="1715" w:type="pct"/>
          </w:tcPr>
          <w:p w:rsidR="007F2F9C" w:rsidRPr="00AD107E" w:rsidRDefault="007F2F9C" w:rsidP="00005EAC">
            <w:pPr>
              <w:spacing w:after="120"/>
              <w:rPr>
                <w:rFonts w:eastAsia="Times New Roman" w:cs="Times New Roman"/>
                <w:color w:val="000000" w:themeColor="text1"/>
                <w:szCs w:val="24"/>
              </w:rPr>
            </w:pPr>
            <w:r w:rsidRPr="00AD107E">
              <w:rPr>
                <w:rFonts w:eastAsia="Times New Roman" w:cs="Times New Roman"/>
                <w:color w:val="000000" w:themeColor="text1"/>
                <w:szCs w:val="24"/>
              </w:rPr>
              <w:t>Agriculture and Water Management (AW)</w:t>
            </w:r>
          </w:p>
        </w:tc>
        <w:tc>
          <w:tcPr>
            <w:tcW w:w="3285" w:type="pct"/>
          </w:tcPr>
          <w:p w:rsidR="007F2F9C" w:rsidRPr="003A4FA6" w:rsidRDefault="007F2F9C" w:rsidP="00FD22F0">
            <w:pPr>
              <w:spacing w:after="120"/>
              <w:ind w:left="-62"/>
              <w:jc w:val="both"/>
              <w:rPr>
                <w:rFonts w:eastAsia="Times New Roman" w:cs="Times New Roman"/>
                <w:color w:val="000000" w:themeColor="text1"/>
                <w:sz w:val="20"/>
              </w:rPr>
            </w:pPr>
            <w:r w:rsidRPr="003A4FA6">
              <w:rPr>
                <w:rFonts w:eastAsia="Times New Roman" w:cs="Times New Roman"/>
                <w:color w:val="000000" w:themeColor="text1"/>
                <w:sz w:val="20"/>
              </w:rPr>
              <w:t>8 programmes under AW sub-sectoral cluster are led by Barind Multipurpose Development Authority (BMDA), BWDB, Department of Agricultural Extension (DAE), LGED</w:t>
            </w:r>
          </w:p>
        </w:tc>
      </w:tr>
      <w:tr w:rsidR="007F2F9C" w:rsidRPr="00AD107E" w:rsidTr="00FD22F0">
        <w:trPr>
          <w:trHeight w:val="144"/>
        </w:trPr>
        <w:tc>
          <w:tcPr>
            <w:tcW w:w="1715" w:type="pct"/>
          </w:tcPr>
          <w:p w:rsidR="007F2F9C" w:rsidRPr="00AD107E" w:rsidRDefault="007F2F9C" w:rsidP="00005EAC">
            <w:pPr>
              <w:spacing w:after="120"/>
              <w:rPr>
                <w:rFonts w:eastAsia="Times New Roman" w:cs="Times New Roman"/>
                <w:color w:val="000000" w:themeColor="text1"/>
                <w:szCs w:val="24"/>
              </w:rPr>
            </w:pPr>
            <w:r w:rsidRPr="00AD107E">
              <w:rPr>
                <w:rFonts w:eastAsia="Times New Roman" w:cs="Times New Roman"/>
                <w:color w:val="000000" w:themeColor="text1"/>
                <w:szCs w:val="24"/>
              </w:rPr>
              <w:t>Environment and Aquatic Resources (EA)</w:t>
            </w:r>
          </w:p>
        </w:tc>
        <w:tc>
          <w:tcPr>
            <w:tcW w:w="3285" w:type="pct"/>
          </w:tcPr>
          <w:p w:rsidR="007F2F9C" w:rsidRPr="003A4FA6" w:rsidRDefault="007F2F9C" w:rsidP="00FD22F0">
            <w:pPr>
              <w:spacing w:after="120"/>
              <w:ind w:left="-62"/>
              <w:jc w:val="both"/>
              <w:rPr>
                <w:rFonts w:eastAsia="Times New Roman" w:cs="Times New Roman"/>
                <w:color w:val="000000" w:themeColor="text1"/>
                <w:sz w:val="20"/>
              </w:rPr>
            </w:pPr>
            <w:r w:rsidRPr="003A4FA6">
              <w:rPr>
                <w:rFonts w:eastAsia="Times New Roman" w:cs="Times New Roman"/>
                <w:color w:val="000000" w:themeColor="text1"/>
                <w:sz w:val="20"/>
              </w:rPr>
              <w:t>10 programmes under EA sub-sectoral cluster are led by BHWDB, BWDB, DoE, DoF (</w:t>
            </w:r>
            <w:r w:rsidRPr="003A4FA6">
              <w:rPr>
                <w:rFonts w:cs="Times New Roman"/>
                <w:sz w:val="20"/>
              </w:rPr>
              <w:t>Department of Fisheries)</w:t>
            </w:r>
            <w:r w:rsidRPr="003A4FA6">
              <w:rPr>
                <w:rFonts w:eastAsia="Times New Roman" w:cs="Times New Roman"/>
                <w:color w:val="000000" w:themeColor="text1"/>
                <w:sz w:val="20"/>
              </w:rPr>
              <w:t xml:space="preserve">, </w:t>
            </w:r>
            <w:r w:rsidRPr="003A4FA6">
              <w:rPr>
                <w:rFonts w:cs="Times New Roman"/>
                <w:color w:val="000000" w:themeColor="text1"/>
                <w:sz w:val="20"/>
              </w:rPr>
              <w:t>Department of Forest (</w:t>
            </w:r>
            <w:r w:rsidRPr="003A4FA6">
              <w:rPr>
                <w:rFonts w:eastAsia="Times New Roman" w:cs="Times New Roman"/>
                <w:color w:val="000000" w:themeColor="text1"/>
                <w:sz w:val="20"/>
              </w:rPr>
              <w:t xml:space="preserve">DoFo), Ministry of Industries, WARPO </w:t>
            </w:r>
          </w:p>
        </w:tc>
      </w:tr>
    </w:tbl>
    <w:p w:rsidR="007F2F9C" w:rsidRPr="003A4FA6" w:rsidRDefault="007F2F9C" w:rsidP="000B7CF9">
      <w:pPr>
        <w:spacing w:before="120" w:line="276" w:lineRule="auto"/>
        <w:jc w:val="both"/>
        <w:rPr>
          <w:rFonts w:cs="Times New Roman"/>
          <w:b/>
          <w:bCs/>
          <w:i/>
          <w:iCs/>
          <w:sz w:val="20"/>
          <w:szCs w:val="20"/>
        </w:rPr>
      </w:pPr>
      <w:r w:rsidRPr="003A4FA6">
        <w:rPr>
          <w:rFonts w:cs="Times New Roman"/>
          <w:b/>
          <w:bCs/>
          <w:i/>
          <w:iCs/>
          <w:sz w:val="20"/>
          <w:szCs w:val="20"/>
        </w:rPr>
        <w:t>Source: NWMP 2001/2004</w:t>
      </w:r>
    </w:p>
    <w:p w:rsidR="007F2F9C" w:rsidRPr="009B1F2F" w:rsidRDefault="00464A56" w:rsidP="00EA0111">
      <w:pPr>
        <w:spacing w:line="276" w:lineRule="auto"/>
        <w:jc w:val="both"/>
        <w:rPr>
          <w:rFonts w:cs="Times New Roman"/>
          <w:szCs w:val="24"/>
        </w:rPr>
      </w:pPr>
      <w:r>
        <w:rPr>
          <w:rFonts w:cs="Times New Roman"/>
          <w:szCs w:val="24"/>
        </w:rPr>
        <w:t>As noted in Chapter 12</w:t>
      </w:r>
      <w:r w:rsidR="007F2F9C">
        <w:rPr>
          <w:rFonts w:cs="Times New Roman"/>
          <w:szCs w:val="24"/>
        </w:rPr>
        <w:t>, the NWRC</w:t>
      </w:r>
      <w:r w:rsidR="007F2F9C" w:rsidRPr="009B1F2F">
        <w:rPr>
          <w:rFonts w:cs="Times New Roman"/>
          <w:szCs w:val="24"/>
        </w:rPr>
        <w:t xml:space="preserve"> is the highest national body relating to water sector in Bangladesh. The NWRC is chaired by the Prime Minister</w:t>
      </w:r>
      <w:r w:rsidR="007F2F9C">
        <w:rPr>
          <w:rFonts w:cs="Times New Roman"/>
          <w:szCs w:val="24"/>
        </w:rPr>
        <w:t>.</w:t>
      </w:r>
      <w:r w:rsidR="007F2F9C" w:rsidRPr="009B1F2F">
        <w:rPr>
          <w:rFonts w:cs="Times New Roman"/>
          <w:szCs w:val="24"/>
        </w:rPr>
        <w:t xml:space="preserve"> The Executive Committee of National Water Resources Council (ECNWRC)</w:t>
      </w:r>
      <w:r w:rsidR="007F2F9C">
        <w:rPr>
          <w:rFonts w:cs="Times New Roman"/>
          <w:szCs w:val="24"/>
        </w:rPr>
        <w:t xml:space="preserve"> is</w:t>
      </w:r>
      <w:r w:rsidR="007F2F9C" w:rsidRPr="009B1F2F">
        <w:rPr>
          <w:rFonts w:cs="Times New Roman"/>
          <w:szCs w:val="24"/>
        </w:rPr>
        <w:t xml:space="preserve"> chaired by the M</w:t>
      </w:r>
      <w:r w:rsidR="007F2F9C">
        <w:rPr>
          <w:rFonts w:cs="Times New Roman"/>
          <w:szCs w:val="24"/>
        </w:rPr>
        <w:t>oWR. The WARPO</w:t>
      </w:r>
      <w:r w:rsidR="007F2F9C" w:rsidRPr="009B1F2F">
        <w:rPr>
          <w:rFonts w:cs="Times New Roman"/>
          <w:szCs w:val="24"/>
        </w:rPr>
        <w:t xml:space="preserve"> acts as the Executive Secretariat of ECNWRC. It also acts as the exclusive government institution for strategic and macro-planning arm </w:t>
      </w:r>
      <w:r w:rsidR="007F2F9C">
        <w:rPr>
          <w:rFonts w:cs="Times New Roman"/>
          <w:szCs w:val="24"/>
        </w:rPr>
        <w:t xml:space="preserve">for integrated water management </w:t>
      </w:r>
      <w:r w:rsidR="007F2F9C" w:rsidRPr="009B1F2F">
        <w:rPr>
          <w:rFonts w:cs="Times New Roman"/>
          <w:szCs w:val="24"/>
        </w:rPr>
        <w:t xml:space="preserve">under the MoWR. </w:t>
      </w:r>
      <w:r w:rsidR="007F2F9C">
        <w:rPr>
          <w:rFonts w:cs="Times New Roman"/>
          <w:szCs w:val="24"/>
        </w:rPr>
        <w:t xml:space="preserve">As such, the responsibility for M&amp;E of integrated water management lies with WARPO </w:t>
      </w:r>
    </w:p>
    <w:p w:rsidR="007F2F9C" w:rsidRPr="009B1F2F" w:rsidRDefault="007F2F9C" w:rsidP="00EA0111">
      <w:pPr>
        <w:shd w:val="clear" w:color="auto" w:fill="FFFFFF"/>
        <w:spacing w:line="276" w:lineRule="auto"/>
        <w:jc w:val="both"/>
        <w:rPr>
          <w:rFonts w:eastAsia="Times New Roman" w:cs="Times New Roman"/>
          <w:color w:val="000000" w:themeColor="text1"/>
          <w:szCs w:val="24"/>
        </w:rPr>
      </w:pPr>
      <w:bookmarkStart w:id="898" w:name="_Toc265677072"/>
      <w:r w:rsidRPr="009B1F2F">
        <w:rPr>
          <w:rFonts w:eastAsia="Times New Roman" w:cs="Times New Roman"/>
          <w:color w:val="000000" w:themeColor="text1"/>
          <w:szCs w:val="24"/>
        </w:rPr>
        <w:lastRenderedPageBreak/>
        <w:t>Over 40 different agencies</w:t>
      </w:r>
      <w:r>
        <w:rPr>
          <w:rFonts w:eastAsia="Times New Roman" w:cs="Times New Roman"/>
          <w:color w:val="000000" w:themeColor="text1"/>
          <w:szCs w:val="24"/>
        </w:rPr>
        <w:t xml:space="preserve"> and </w:t>
      </w:r>
      <w:r w:rsidRPr="009B1F2F">
        <w:rPr>
          <w:rFonts w:eastAsia="Times New Roman" w:cs="Times New Roman"/>
          <w:color w:val="000000" w:themeColor="text1"/>
          <w:szCs w:val="24"/>
        </w:rPr>
        <w:t>organizations are involved in the water sector, of which 35 are orga</w:t>
      </w:r>
      <w:r w:rsidR="00464A56">
        <w:rPr>
          <w:rFonts w:eastAsia="Times New Roman" w:cs="Times New Roman"/>
          <w:color w:val="000000" w:themeColor="text1"/>
          <w:szCs w:val="24"/>
        </w:rPr>
        <w:t>nizations related to the national</w:t>
      </w:r>
      <w:r w:rsidRPr="009B1F2F">
        <w:rPr>
          <w:rFonts w:eastAsia="Times New Roman" w:cs="Times New Roman"/>
          <w:color w:val="000000" w:themeColor="text1"/>
          <w:szCs w:val="24"/>
        </w:rPr>
        <w:t xml:space="preserve"> government. At least 13 different </w:t>
      </w:r>
      <w:r>
        <w:rPr>
          <w:rFonts w:eastAsia="Times New Roman" w:cs="Times New Roman"/>
          <w:color w:val="000000" w:themeColor="text1"/>
          <w:szCs w:val="24"/>
        </w:rPr>
        <w:t>M</w:t>
      </w:r>
      <w:r w:rsidRPr="009B1F2F">
        <w:rPr>
          <w:rFonts w:eastAsia="Times New Roman" w:cs="Times New Roman"/>
          <w:color w:val="000000" w:themeColor="text1"/>
          <w:szCs w:val="24"/>
        </w:rPr>
        <w:t>inistries are involved directly or indirectly.</w:t>
      </w:r>
      <w:r>
        <w:rPr>
          <w:rFonts w:eastAsia="Times New Roman" w:cs="Times New Roman"/>
          <w:color w:val="000000" w:themeColor="text1"/>
          <w:szCs w:val="24"/>
        </w:rPr>
        <w:t xml:space="preserve">  However, the main GoB</w:t>
      </w:r>
      <w:r w:rsidRPr="009B1F2F">
        <w:rPr>
          <w:rFonts w:eastAsia="Times New Roman" w:cs="Times New Roman"/>
          <w:color w:val="000000" w:themeColor="text1"/>
          <w:szCs w:val="24"/>
        </w:rPr>
        <w:t xml:space="preserve"> organizations involved in the wate</w:t>
      </w:r>
      <w:r>
        <w:rPr>
          <w:rFonts w:eastAsia="Times New Roman" w:cs="Times New Roman"/>
          <w:color w:val="000000" w:themeColor="text1"/>
          <w:szCs w:val="24"/>
        </w:rPr>
        <w:t>r sector include the following seven</w:t>
      </w:r>
      <w:r w:rsidRPr="009B1F2F">
        <w:rPr>
          <w:rFonts w:eastAsia="Times New Roman" w:cs="Times New Roman"/>
          <w:color w:val="000000" w:themeColor="text1"/>
          <w:szCs w:val="24"/>
        </w:rPr>
        <w:t xml:space="preserve"> ministries and their implementing agencies:</w:t>
      </w:r>
    </w:p>
    <w:p w:rsidR="007F2F9C" w:rsidRPr="009B1F2F" w:rsidRDefault="007F2F9C" w:rsidP="003D5A31">
      <w:pPr>
        <w:pStyle w:val="ListParagraph"/>
        <w:numPr>
          <w:ilvl w:val="0"/>
          <w:numId w:val="98"/>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MoWR</w:t>
      </w:r>
    </w:p>
    <w:p w:rsidR="007F2F9C" w:rsidRPr="009B1F2F" w:rsidRDefault="007F2F9C" w:rsidP="003D5A31">
      <w:pPr>
        <w:pStyle w:val="ListParagraph"/>
        <w:numPr>
          <w:ilvl w:val="0"/>
          <w:numId w:val="98"/>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Ministry of Local Government, Rural Development and Cooperative (LGRD&amp;C)</w:t>
      </w:r>
    </w:p>
    <w:p w:rsidR="007F2F9C" w:rsidRDefault="007F2F9C" w:rsidP="003D5A31">
      <w:pPr>
        <w:pStyle w:val="ListParagraph"/>
        <w:numPr>
          <w:ilvl w:val="0"/>
          <w:numId w:val="98"/>
        </w:numPr>
        <w:shd w:val="clear" w:color="auto" w:fill="FFFFFF"/>
        <w:spacing w:line="276" w:lineRule="auto"/>
        <w:jc w:val="both"/>
        <w:rPr>
          <w:rFonts w:eastAsia="Times New Roman" w:cs="Times New Roman"/>
          <w:color w:val="000000" w:themeColor="text1"/>
          <w:szCs w:val="24"/>
        </w:rPr>
      </w:pPr>
      <w:r w:rsidRPr="00DE2FE9">
        <w:rPr>
          <w:rFonts w:eastAsia="Times New Roman" w:cs="Times New Roman"/>
          <w:color w:val="000000" w:themeColor="text1"/>
          <w:szCs w:val="24"/>
        </w:rPr>
        <w:t xml:space="preserve">Ministry of Shipping and Inland Water Transport </w:t>
      </w:r>
      <w:r>
        <w:rPr>
          <w:rFonts w:eastAsia="Times New Roman" w:cs="Times New Roman"/>
          <w:color w:val="000000" w:themeColor="text1"/>
          <w:szCs w:val="24"/>
        </w:rPr>
        <w:t>(MoSIWT)</w:t>
      </w:r>
    </w:p>
    <w:p w:rsidR="007F2F9C" w:rsidRPr="009B1F2F" w:rsidRDefault="007F2F9C" w:rsidP="003D5A31">
      <w:pPr>
        <w:pStyle w:val="ListParagraph"/>
        <w:numPr>
          <w:ilvl w:val="0"/>
          <w:numId w:val="98"/>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Ministry of Agriculture (MoA)</w:t>
      </w:r>
    </w:p>
    <w:p w:rsidR="007F2F9C" w:rsidRPr="009B1F2F" w:rsidRDefault="007F2F9C" w:rsidP="003D5A31">
      <w:pPr>
        <w:pStyle w:val="ListParagraph"/>
        <w:numPr>
          <w:ilvl w:val="0"/>
          <w:numId w:val="98"/>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Ministry of Fisheries and Livestock (MoFL)</w:t>
      </w:r>
    </w:p>
    <w:p w:rsidR="007F2F9C" w:rsidRPr="009B1F2F" w:rsidRDefault="007F2F9C" w:rsidP="003D5A31">
      <w:pPr>
        <w:pStyle w:val="ListParagraph"/>
        <w:numPr>
          <w:ilvl w:val="0"/>
          <w:numId w:val="98"/>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Ministry of Land (MoL)</w:t>
      </w:r>
    </w:p>
    <w:p w:rsidR="007F2F9C" w:rsidRDefault="007F2F9C" w:rsidP="003D5A31">
      <w:pPr>
        <w:pStyle w:val="ListParagraph"/>
        <w:numPr>
          <w:ilvl w:val="0"/>
          <w:numId w:val="98"/>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Ministry of Environment and Forests (MoE&amp;F)</w:t>
      </w:r>
    </w:p>
    <w:p w:rsidR="007F2F9C" w:rsidRPr="00464A56" w:rsidRDefault="007F2F9C" w:rsidP="00EA0111">
      <w:pPr>
        <w:pStyle w:val="ListParagraph"/>
        <w:shd w:val="clear" w:color="auto" w:fill="FFFFFF"/>
        <w:spacing w:line="276" w:lineRule="auto"/>
        <w:jc w:val="both"/>
        <w:rPr>
          <w:rFonts w:eastAsia="Times New Roman" w:cs="Times New Roman"/>
          <w:color w:val="000000" w:themeColor="text1"/>
          <w:sz w:val="2"/>
          <w:szCs w:val="24"/>
        </w:rPr>
      </w:pPr>
    </w:p>
    <w:p w:rsidR="007F2F9C" w:rsidRDefault="007F2F9C" w:rsidP="00EA0111">
      <w:pPr>
        <w:shd w:val="clear" w:color="auto" w:fill="FFFFFF"/>
        <w:spacing w:line="276" w:lineRule="auto"/>
        <w:jc w:val="both"/>
        <w:rPr>
          <w:rFonts w:cs="Times New Roman"/>
          <w:color w:val="000000" w:themeColor="text1"/>
          <w:szCs w:val="24"/>
        </w:rPr>
      </w:pPr>
      <w:r>
        <w:rPr>
          <w:rFonts w:cs="Times New Roman"/>
          <w:color w:val="000000" w:themeColor="text1"/>
          <w:szCs w:val="24"/>
        </w:rPr>
        <w:t>E</w:t>
      </w:r>
      <w:r w:rsidRPr="009B1F2F">
        <w:rPr>
          <w:rFonts w:cs="Times New Roman"/>
          <w:color w:val="000000" w:themeColor="text1"/>
          <w:szCs w:val="24"/>
        </w:rPr>
        <w:t xml:space="preserve">ach of the 84 programmes </w:t>
      </w:r>
      <w:r>
        <w:rPr>
          <w:rFonts w:cs="Times New Roman"/>
          <w:color w:val="000000" w:themeColor="text1"/>
          <w:szCs w:val="24"/>
        </w:rPr>
        <w:t xml:space="preserve">under the NWMP </w:t>
      </w:r>
      <w:r w:rsidR="00464A56">
        <w:rPr>
          <w:rFonts w:cs="Times New Roman"/>
          <w:color w:val="000000" w:themeColor="text1"/>
          <w:szCs w:val="24"/>
        </w:rPr>
        <w:t>has been assigned</w:t>
      </w:r>
      <w:r w:rsidRPr="009B1F2F">
        <w:rPr>
          <w:rFonts w:cs="Times New Roman"/>
          <w:color w:val="000000" w:themeColor="text1"/>
          <w:szCs w:val="24"/>
        </w:rPr>
        <w:t xml:space="preserve"> immediate objectives, </w:t>
      </w:r>
      <w:r>
        <w:rPr>
          <w:rFonts w:cs="Times New Roman"/>
          <w:color w:val="000000" w:themeColor="text1"/>
          <w:szCs w:val="24"/>
        </w:rPr>
        <w:t xml:space="preserve">each of which has </w:t>
      </w:r>
      <w:r w:rsidRPr="009B1F2F">
        <w:rPr>
          <w:rFonts w:cs="Times New Roman"/>
          <w:color w:val="000000" w:themeColor="text1"/>
          <w:szCs w:val="24"/>
        </w:rPr>
        <w:t xml:space="preserve">a key objective of relevance to the </w:t>
      </w:r>
      <w:r>
        <w:rPr>
          <w:rFonts w:cs="Times New Roman"/>
          <w:color w:val="000000" w:themeColor="text1"/>
          <w:szCs w:val="24"/>
        </w:rPr>
        <w:t>NWMP</w:t>
      </w:r>
      <w:r w:rsidRPr="009B1F2F">
        <w:rPr>
          <w:rFonts w:cs="Times New Roman"/>
          <w:color w:val="000000" w:themeColor="text1"/>
          <w:szCs w:val="24"/>
        </w:rPr>
        <w:t xml:space="preserve"> as a whole and a development objective. WARPO is expected to elaborate and implement regular monitoring of implementation of the </w:t>
      </w:r>
      <w:r>
        <w:rPr>
          <w:rFonts w:cs="Times New Roman"/>
          <w:color w:val="000000" w:themeColor="text1"/>
          <w:szCs w:val="24"/>
        </w:rPr>
        <w:t>NWMP</w:t>
      </w:r>
      <w:r w:rsidRPr="009B1F2F">
        <w:rPr>
          <w:rFonts w:cs="Times New Roman"/>
          <w:color w:val="000000" w:themeColor="text1"/>
          <w:szCs w:val="24"/>
        </w:rPr>
        <w:t xml:space="preserve"> and the impacts achieved in relation to the</w:t>
      </w:r>
      <w:r>
        <w:rPr>
          <w:rFonts w:cs="Times New Roman"/>
          <w:color w:val="000000" w:themeColor="text1"/>
          <w:szCs w:val="24"/>
        </w:rPr>
        <w:t xml:space="preserve"> set of</w:t>
      </w:r>
      <w:r w:rsidRPr="009B1F2F">
        <w:rPr>
          <w:rFonts w:cs="Times New Roman"/>
          <w:color w:val="000000" w:themeColor="text1"/>
          <w:szCs w:val="24"/>
        </w:rPr>
        <w:t xml:space="preserve"> indicators.</w:t>
      </w:r>
      <w:r>
        <w:rPr>
          <w:rFonts w:cs="Times New Roman"/>
          <w:color w:val="000000" w:themeColor="text1"/>
          <w:szCs w:val="24"/>
        </w:rPr>
        <w:t xml:space="preserve">  However, available evidence suggests that there is no systematic effort to do a proper M&amp;E of the integrated water management.  Each line Ministry monitors the implementation of its own projects and IMED does the routine M&amp;E noted above that focuses primarily on financial and physical targets. </w:t>
      </w:r>
    </w:p>
    <w:p w:rsidR="007F2F9C" w:rsidRPr="0079268B" w:rsidRDefault="007F2F9C" w:rsidP="00EA0111">
      <w:pPr>
        <w:shd w:val="clear" w:color="auto" w:fill="FFFFFF"/>
        <w:spacing w:line="276" w:lineRule="auto"/>
        <w:jc w:val="both"/>
        <w:rPr>
          <w:rFonts w:cs="Times New Roman"/>
          <w:i/>
          <w:color w:val="000000" w:themeColor="text1"/>
          <w:szCs w:val="24"/>
        </w:rPr>
      </w:pPr>
      <w:r>
        <w:rPr>
          <w:rFonts w:cs="Times New Roman"/>
          <w:color w:val="000000" w:themeColor="text1"/>
          <w:szCs w:val="24"/>
        </w:rPr>
        <w:t xml:space="preserve">More broadly, a systematic approach to do a results-based M&amp;E of the integrated water sector is lacking.  There is no agreed DRF for the water sector </w:t>
      </w:r>
      <w:r w:rsidR="00464A56">
        <w:rPr>
          <w:rFonts w:cs="Times New Roman"/>
          <w:color w:val="000000" w:themeColor="text1"/>
          <w:szCs w:val="24"/>
        </w:rPr>
        <w:t xml:space="preserve">as a whole </w:t>
      </w:r>
      <w:r>
        <w:rPr>
          <w:rFonts w:cs="Times New Roman"/>
          <w:color w:val="000000" w:themeColor="text1"/>
          <w:szCs w:val="24"/>
        </w:rPr>
        <w:t xml:space="preserve">that defines agreed objectives and targets, base-year benchmark estimates and end goal targets.  </w:t>
      </w:r>
      <w:r w:rsidR="0047442A">
        <w:rPr>
          <w:rFonts w:cs="Times New Roman"/>
          <w:i/>
          <w:color w:val="000000" w:themeColor="text1"/>
          <w:szCs w:val="24"/>
        </w:rPr>
        <w:t xml:space="preserve">There is no periodic analytical report and updates that provides an overall assessment of the developments in the entire water sector, related targets and results.  This is a serious gap that will need to be addressed under BDP2100. </w:t>
      </w:r>
    </w:p>
    <w:p w:rsidR="00EA0111" w:rsidRDefault="007F2F9C" w:rsidP="0038071B">
      <w:pPr>
        <w:shd w:val="clear" w:color="auto" w:fill="FFFFFF"/>
        <w:spacing w:line="276" w:lineRule="auto"/>
        <w:jc w:val="both"/>
        <w:rPr>
          <w:rFonts w:eastAsia="Times New Roman" w:cs="Times New Roman"/>
          <w:color w:val="000000" w:themeColor="text1"/>
          <w:szCs w:val="24"/>
        </w:rPr>
      </w:pPr>
      <w:r>
        <w:rPr>
          <w:rFonts w:cs="Times New Roman"/>
          <w:color w:val="000000" w:themeColor="text1"/>
          <w:szCs w:val="24"/>
        </w:rPr>
        <w:t xml:space="preserve">There is however an effort to monitor the pattern of a large number of water and climate change behavioural variables. </w:t>
      </w:r>
      <w:r w:rsidRPr="009B1F2F">
        <w:rPr>
          <w:rFonts w:eastAsia="Times New Roman" w:cs="Times New Roman"/>
          <w:color w:val="000000" w:themeColor="text1"/>
          <w:szCs w:val="24"/>
        </w:rPr>
        <w:t>The NWPo mandated W</w:t>
      </w:r>
      <w:r>
        <w:rPr>
          <w:rFonts w:eastAsia="Times New Roman" w:cs="Times New Roman"/>
          <w:color w:val="000000" w:themeColor="text1"/>
          <w:szCs w:val="24"/>
        </w:rPr>
        <w:t>ARPO to establish and maintain the NWRD</w:t>
      </w:r>
      <w:r w:rsidRPr="009B1F2F">
        <w:rPr>
          <w:rFonts w:eastAsia="Times New Roman" w:cs="Times New Roman"/>
          <w:color w:val="000000" w:themeColor="text1"/>
          <w:szCs w:val="24"/>
        </w:rPr>
        <w:t xml:space="preserve"> to meet the demand for data and information of planners, experts, researchers and managers in the water and related sectors by assembling information from various authorized data collecting agencies. Generally, quality control is the responsibility of the agencies. Each agency has its own collection mechanisms with equipment and staff provided from its own budget, often supplemented through project funds. The data is then organized into a relational database format, to form the largest geo-spatial database in the country. It includes the following groups of data: </w:t>
      </w:r>
    </w:p>
    <w:p w:rsidR="00F634CD" w:rsidRDefault="00F634CD">
      <w:pPr>
        <w:rPr>
          <w:rFonts w:cs="Times New Roman"/>
          <w:b/>
          <w:bCs/>
          <w:szCs w:val="24"/>
        </w:rPr>
      </w:pPr>
      <w:r>
        <w:br w:type="page"/>
      </w:r>
    </w:p>
    <w:p w:rsidR="007F2F9C" w:rsidRPr="003A4FA6" w:rsidRDefault="007F2F9C" w:rsidP="00FD7FD3">
      <w:pPr>
        <w:pStyle w:val="Heading4"/>
      </w:pPr>
      <w:bookmarkStart w:id="899" w:name="_Toc474639150"/>
      <w:r w:rsidRPr="003A4FA6">
        <w:lastRenderedPageBreak/>
        <w:t xml:space="preserve">Table </w:t>
      </w:r>
      <w:r w:rsidR="00A650CE">
        <w:t>13.</w:t>
      </w:r>
      <w:r w:rsidRPr="003A4FA6">
        <w:t>2: Delta Related Data Monitoring</w:t>
      </w:r>
      <w:bookmarkEnd w:id="899"/>
    </w:p>
    <w:tbl>
      <w:tblPr>
        <w:tblStyle w:val="TableGrid"/>
        <w:tblW w:w="0" w:type="auto"/>
        <w:tblLook w:val="04A0"/>
      </w:tblPr>
      <w:tblGrid>
        <w:gridCol w:w="2043"/>
        <w:gridCol w:w="7307"/>
      </w:tblGrid>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Base data</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Cover</w:t>
            </w:r>
            <w:r>
              <w:rPr>
                <w:rFonts w:eastAsia="Times New Roman" w:cs="Times New Roman"/>
                <w:color w:val="000000" w:themeColor="text1"/>
                <w:sz w:val="18"/>
                <w:szCs w:val="18"/>
              </w:rPr>
              <w:t>s</w:t>
            </w:r>
            <w:r w:rsidRPr="003A4FA6">
              <w:rPr>
                <w:rFonts w:eastAsia="Times New Roman" w:cs="Times New Roman"/>
                <w:color w:val="000000" w:themeColor="text1"/>
                <w:sz w:val="18"/>
                <w:szCs w:val="18"/>
              </w:rPr>
              <w:t xml:space="preserve"> administrative boundaries at various levels: national, divisional, district, Upazila and Union. The base data also cover other features such as airway, catchment, and navigation, planning unit, power sector project, railway regions, river, road, water bodies and topography.</w:t>
            </w:r>
          </w:p>
        </w:tc>
      </w:tr>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Surface water</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Includes water level, discharge, salinity, sediment, river cross section and relevant Master Plan Organization data.</w:t>
            </w:r>
          </w:p>
        </w:tc>
      </w:tr>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Groundwater</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Covers water levels, water quality, abstraction, aquifer properties, lithology and information from MPO.</w:t>
            </w:r>
          </w:p>
        </w:tc>
      </w:tr>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Meteorological</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Covers rainfall, evaporation, humidity, temperature, wind speed &amp; direction, sunshine-hour data, etc.</w:t>
            </w:r>
          </w:p>
        </w:tc>
      </w:tr>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Soil and Agriculture</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Includes geo-ecological zones, crop suitability, crop statistics, drought maps, fertilizer use, land type, agricultural land use and soil association.</w:t>
            </w:r>
          </w:p>
        </w:tc>
      </w:tr>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Forest</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Includes forest land data</w:t>
            </w:r>
          </w:p>
        </w:tc>
      </w:tr>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Fisheries</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Covers fish catch data.</w:t>
            </w:r>
          </w:p>
        </w:tc>
      </w:tr>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Socio-economic</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Encompasses census, char land, and economic data.</w:t>
            </w:r>
          </w:p>
        </w:tc>
      </w:tr>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Environment</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Covers data related to indicative parameters, industry, natural disaster and surface water quality.</w:t>
            </w:r>
          </w:p>
        </w:tc>
      </w:tr>
      <w:tr w:rsidR="007F2F9C" w:rsidRPr="009B1F2F" w:rsidTr="00005EAC">
        <w:tc>
          <w:tcPr>
            <w:tcW w:w="2043" w:type="dxa"/>
            <w:shd w:val="clear" w:color="auto" w:fill="C6D9F1" w:themeFill="text2" w:themeFillTint="33"/>
            <w:vAlign w:val="center"/>
          </w:tcPr>
          <w:p w:rsidR="007F2F9C" w:rsidRPr="009B1F2F" w:rsidRDefault="007F2F9C" w:rsidP="00005EAC">
            <w:pPr>
              <w:spacing w:after="0" w:line="276" w:lineRule="auto"/>
              <w:rPr>
                <w:rFonts w:eastAsia="Times New Roman" w:cs="Times New Roman"/>
                <w:color w:val="000000" w:themeColor="text1"/>
                <w:szCs w:val="24"/>
              </w:rPr>
            </w:pPr>
            <w:r w:rsidRPr="009B1F2F">
              <w:rPr>
                <w:rFonts w:eastAsia="Times New Roman" w:cs="Times New Roman"/>
                <w:color w:val="000000" w:themeColor="text1"/>
                <w:szCs w:val="24"/>
              </w:rPr>
              <w:t>Images</w:t>
            </w:r>
          </w:p>
        </w:tc>
        <w:tc>
          <w:tcPr>
            <w:tcW w:w="7307" w:type="dxa"/>
            <w:shd w:val="clear" w:color="auto" w:fill="EAF1DD" w:themeFill="accent3" w:themeFillTint="33"/>
          </w:tcPr>
          <w:p w:rsidR="007F2F9C" w:rsidRPr="003A4FA6" w:rsidRDefault="007F2F9C" w:rsidP="00005EAC">
            <w:pPr>
              <w:spacing w:after="0" w:line="276" w:lineRule="auto"/>
              <w:rPr>
                <w:rFonts w:eastAsia="Times New Roman" w:cs="Times New Roman"/>
                <w:color w:val="000000" w:themeColor="text1"/>
                <w:sz w:val="18"/>
                <w:szCs w:val="18"/>
              </w:rPr>
            </w:pPr>
            <w:r w:rsidRPr="003A4FA6">
              <w:rPr>
                <w:rFonts w:eastAsia="Times New Roman" w:cs="Times New Roman"/>
                <w:color w:val="000000" w:themeColor="text1"/>
                <w:sz w:val="18"/>
                <w:szCs w:val="18"/>
              </w:rPr>
              <w:t>Various satellite images like LANDSAT, IRS and SPOT satellite images covering different regions or the whole country are stored in CD-ROM and usually used for WARPO's internal analysis purposes.</w:t>
            </w:r>
          </w:p>
        </w:tc>
      </w:tr>
    </w:tbl>
    <w:p w:rsidR="007F2F9C" w:rsidRPr="009B1F2F" w:rsidRDefault="007F2F9C" w:rsidP="00005EAC">
      <w:pPr>
        <w:pStyle w:val="Default"/>
        <w:spacing w:line="276" w:lineRule="auto"/>
        <w:jc w:val="both"/>
        <w:rPr>
          <w:rFonts w:ascii="Times New Roman" w:hAnsi="Times New Roman" w:cs="Times New Roman"/>
          <w:color w:val="000000" w:themeColor="text1"/>
        </w:rPr>
      </w:pPr>
    </w:p>
    <w:p w:rsidR="007F2F9C" w:rsidRPr="00AD107E" w:rsidRDefault="007F2F9C" w:rsidP="00EA0111">
      <w:pPr>
        <w:pStyle w:val="Default"/>
        <w:spacing w:line="276" w:lineRule="auto"/>
        <w:jc w:val="both"/>
        <w:rPr>
          <w:rFonts w:ascii="Times New Roman" w:hAnsi="Times New Roman" w:cs="Times New Roman"/>
          <w:color w:val="000000" w:themeColor="text1"/>
        </w:rPr>
      </w:pPr>
      <w:r w:rsidRPr="00AD107E">
        <w:rPr>
          <w:rFonts w:ascii="Times New Roman" w:hAnsi="Times New Roman" w:cs="Times New Roman"/>
          <w:color w:val="000000" w:themeColor="text1"/>
        </w:rPr>
        <w:t xml:space="preserve">Integrated Coastal Resources Database (ICRD) is a subset of NWRD and was developed during the preparation of Integrated Coastal Zone Management Plan. It contains information related to coastal region of Bangladesh categorized as Natural Resources and Environment, Human beings and Social Conditions, Assets, Infrastructure and Services, Economics and Finance, Administration and Institutions and Funds and Interventions. </w:t>
      </w:r>
    </w:p>
    <w:p w:rsidR="007F2F9C" w:rsidRPr="00AD107E" w:rsidRDefault="007F2F9C" w:rsidP="00EA0111">
      <w:pPr>
        <w:pStyle w:val="Default"/>
        <w:spacing w:line="276" w:lineRule="auto"/>
        <w:jc w:val="both"/>
        <w:rPr>
          <w:rFonts w:ascii="Times New Roman" w:hAnsi="Times New Roman" w:cs="Times New Roman"/>
          <w:color w:val="000000" w:themeColor="text1"/>
        </w:rPr>
      </w:pPr>
      <w:r w:rsidRPr="00AD107E">
        <w:rPr>
          <w:rFonts w:ascii="Times New Roman" w:hAnsi="Times New Roman" w:cs="Times New Roman"/>
          <w:color w:val="000000" w:themeColor="text1"/>
        </w:rPr>
        <w:t xml:space="preserve">BWDB is the primary source of hydro-meteorological data. The Hydrology Division within BWDB collects, stores and disseminates data on water level, discharge, groundwater, sediment, rainfall and evaporation. River cross section data are also collected by the division. They store data in digital format in relational database system. </w:t>
      </w:r>
    </w:p>
    <w:p w:rsidR="007F2F9C" w:rsidRPr="00AD107E" w:rsidRDefault="007F2F9C" w:rsidP="00EA0111">
      <w:pPr>
        <w:spacing w:line="276" w:lineRule="auto"/>
        <w:jc w:val="both"/>
        <w:rPr>
          <w:rFonts w:eastAsia="Times New Roman" w:cs="Times New Roman"/>
          <w:color w:val="000000" w:themeColor="text1"/>
          <w:szCs w:val="24"/>
          <w:highlight w:val="yellow"/>
        </w:rPr>
      </w:pPr>
      <w:r w:rsidRPr="00AD107E">
        <w:rPr>
          <w:rFonts w:eastAsia="Times New Roman" w:cs="Times New Roman"/>
          <w:color w:val="000000" w:themeColor="text1"/>
          <w:szCs w:val="24"/>
        </w:rPr>
        <w:t>BHWDB has developed a web-enabled and GIS-based Integrated Haors</w:t>
      </w:r>
      <w:r w:rsidR="003D77FE">
        <w:rPr>
          <w:rFonts w:eastAsia="Times New Roman" w:cs="Times New Roman"/>
          <w:color w:val="000000" w:themeColor="text1"/>
          <w:szCs w:val="24"/>
        </w:rPr>
        <w:t xml:space="preserve"> </w:t>
      </w:r>
      <w:r w:rsidRPr="00AD107E">
        <w:rPr>
          <w:rFonts w:eastAsia="Times New Roman" w:cs="Times New Roman"/>
          <w:color w:val="000000" w:themeColor="text1"/>
          <w:szCs w:val="24"/>
        </w:rPr>
        <w:t>&amp; Wetlands Resources Database (IHWRD) using the latest tools and techniques. The IHWRD contains 100 data layers of different sectors like Hydrology, Morphology, Water Resource, Climate Change, Agriculture, Fisheries, Ecology, Forestry, Livestock, Health, Education, Industry, Energy, Economy and more. The aim of the development of this comprehensive and integrated database is to assist and guide the planners in the preparation of the Master Plan and coordination of haor management activities by the concerned line agencies.</w:t>
      </w:r>
    </w:p>
    <w:p w:rsidR="007F2F9C" w:rsidRPr="00AD107E" w:rsidRDefault="007F2F9C" w:rsidP="00EA0111">
      <w:pPr>
        <w:spacing w:line="276" w:lineRule="auto"/>
        <w:jc w:val="both"/>
        <w:rPr>
          <w:rFonts w:cs="Times New Roman"/>
          <w:color w:val="000000" w:themeColor="text1"/>
          <w:szCs w:val="24"/>
        </w:rPr>
      </w:pPr>
      <w:r w:rsidRPr="00AD107E">
        <w:rPr>
          <w:rFonts w:cs="Times New Roman"/>
          <w:color w:val="000000" w:themeColor="text1"/>
          <w:szCs w:val="24"/>
        </w:rPr>
        <w:t>IWM provides the services in the field of Water Modelling, Computational Hydraulics &amp; Allied Sciences for Integrated Water Resources Management. IWM has developed high level analytical capabilities in the state-of-the-art mathematical water modelling to support its water resources management. IWM operates under the aegis of the Ministry of Water Resources.</w:t>
      </w:r>
    </w:p>
    <w:p w:rsidR="007F2F9C" w:rsidRPr="00AD107E" w:rsidRDefault="007F2F9C" w:rsidP="00EA0111">
      <w:pPr>
        <w:spacing w:line="276" w:lineRule="auto"/>
        <w:jc w:val="both"/>
        <w:rPr>
          <w:rFonts w:eastAsia="Times New Roman" w:cs="Times New Roman"/>
          <w:color w:val="000000" w:themeColor="text1"/>
          <w:szCs w:val="24"/>
          <w:highlight w:val="yellow"/>
        </w:rPr>
      </w:pPr>
      <w:r w:rsidRPr="00AD107E">
        <w:rPr>
          <w:rFonts w:eastAsia="Times New Roman" w:cs="Times New Roman"/>
          <w:color w:val="000000" w:themeColor="text1"/>
          <w:szCs w:val="24"/>
        </w:rPr>
        <w:lastRenderedPageBreak/>
        <w:t>The Climate Change Cell of DoE has developed a web-enabled Climate Change Database to provide the stakeholders with latest and updated data and information related to climate change, its impacts, adaptation and risk management in Bangladesh that is expected to have a positive influence in global response to climate change.</w:t>
      </w:r>
    </w:p>
    <w:p w:rsidR="007F2F9C" w:rsidRPr="00AD107E" w:rsidRDefault="007F2F9C" w:rsidP="00EA0111">
      <w:pPr>
        <w:spacing w:line="276" w:lineRule="auto"/>
        <w:jc w:val="both"/>
        <w:rPr>
          <w:rFonts w:eastAsia="Times New Roman" w:cs="Times New Roman"/>
          <w:color w:val="000000" w:themeColor="text1"/>
          <w:szCs w:val="24"/>
        </w:rPr>
      </w:pPr>
      <w:r w:rsidRPr="00AD107E">
        <w:rPr>
          <w:rFonts w:eastAsia="Times New Roman" w:cs="Times New Roman"/>
          <w:color w:val="000000" w:themeColor="text1"/>
          <w:szCs w:val="24"/>
        </w:rPr>
        <w:t>LGED maintains and updates a web-based road database which consists of Upazila Road, Union Road, Village Road A and Village Road B. This database can be accessed from their website. Information on different roads can be extracted for a particular Upazila and be printed.</w:t>
      </w:r>
    </w:p>
    <w:p w:rsidR="007F2F9C" w:rsidRPr="00AD107E" w:rsidRDefault="007F2F9C" w:rsidP="00EA0111">
      <w:pPr>
        <w:spacing w:line="276" w:lineRule="auto"/>
        <w:jc w:val="both"/>
        <w:rPr>
          <w:rFonts w:eastAsia="Times New Roman" w:cs="Times New Roman"/>
          <w:color w:val="000000" w:themeColor="text1"/>
          <w:szCs w:val="24"/>
        </w:rPr>
      </w:pPr>
      <w:r w:rsidRPr="00AD107E">
        <w:rPr>
          <w:rFonts w:eastAsia="Times New Roman" w:cs="Times New Roman"/>
          <w:color w:val="000000" w:themeColor="text1"/>
          <w:szCs w:val="24"/>
        </w:rPr>
        <w:t xml:space="preserve">BBS primarily </w:t>
      </w:r>
      <w:r w:rsidRPr="00AD107E">
        <w:rPr>
          <w:rFonts w:cs="Times New Roman"/>
          <w:color w:val="000000" w:themeColor="text1"/>
          <w:szCs w:val="24"/>
        </w:rPr>
        <w:t>conducts three decennial censuses: the Population and Housing Census, the Agriculture Census, and the Economic Census. BBS also maintains the unique Geo-coding system for different administrative unit such as division, district, upazila and union.</w:t>
      </w:r>
    </w:p>
    <w:p w:rsidR="007F2F9C" w:rsidRPr="00AD107E" w:rsidRDefault="007F2F9C" w:rsidP="00EA0111">
      <w:pPr>
        <w:spacing w:line="276" w:lineRule="auto"/>
        <w:jc w:val="both"/>
        <w:rPr>
          <w:rFonts w:eastAsia="Times New Roman" w:cs="Times New Roman"/>
          <w:szCs w:val="24"/>
        </w:rPr>
      </w:pPr>
      <w:r w:rsidRPr="00AD107E">
        <w:rPr>
          <w:rFonts w:cs="Times New Roman"/>
          <w:szCs w:val="24"/>
          <w:shd w:val="clear" w:color="auto" w:fill="FFFFFF"/>
        </w:rPr>
        <w:t>BMD, working under</w:t>
      </w:r>
      <w:r w:rsidRPr="00AD107E">
        <w:rPr>
          <w:rStyle w:val="apple-converted-space"/>
          <w:rFonts w:cs="Times New Roman"/>
          <w:szCs w:val="24"/>
          <w:shd w:val="clear" w:color="auto" w:fill="FFFFFF"/>
        </w:rPr>
        <w:t> </w:t>
      </w:r>
      <w:r w:rsidRPr="0038071B">
        <w:rPr>
          <w:rStyle w:val="apple-converted-space"/>
          <w:rFonts w:cs="Times New Roman"/>
          <w:color w:val="000000" w:themeColor="text1"/>
          <w:szCs w:val="24"/>
          <w:shd w:val="clear" w:color="auto" w:fill="FFFFFF"/>
        </w:rPr>
        <w:t xml:space="preserve">the </w:t>
      </w:r>
      <w:hyperlink r:id="rId214" w:tooltip="Ministry of Defence (Bangladesh)" w:history="1">
        <w:r w:rsidRPr="0038071B">
          <w:rPr>
            <w:rStyle w:val="Hyperlink"/>
            <w:rFonts w:cs="Times New Roman"/>
            <w:color w:val="000000" w:themeColor="text1"/>
            <w:szCs w:val="24"/>
            <w:u w:val="none"/>
            <w:shd w:val="clear" w:color="auto" w:fill="FFFFFF"/>
          </w:rPr>
          <w:t>Ministry of Defence</w:t>
        </w:r>
      </w:hyperlink>
      <w:r w:rsidRPr="00AD107E">
        <w:rPr>
          <w:rStyle w:val="apple-converted-space"/>
          <w:rFonts w:cs="Times New Roman"/>
          <w:szCs w:val="24"/>
          <w:shd w:val="clear" w:color="auto" w:fill="FFFFFF"/>
        </w:rPr>
        <w:t xml:space="preserve">, </w:t>
      </w:r>
      <w:r w:rsidRPr="00AD107E">
        <w:rPr>
          <w:rFonts w:cs="Times New Roman"/>
          <w:szCs w:val="24"/>
          <w:shd w:val="clear" w:color="auto" w:fill="FFFFFF"/>
        </w:rPr>
        <w:t xml:space="preserve">is responsible for maintaining the network of surface and upper air observatories, radar and satellite stations, agro-meteorological observatories, geomagnetic and seismological observatories and meteorological telecommunication system of Bangladesh. </w:t>
      </w:r>
      <w:r w:rsidRPr="00AD107E">
        <w:rPr>
          <w:rFonts w:eastAsia="Times New Roman" w:cs="Times New Roman"/>
          <w:szCs w:val="24"/>
        </w:rPr>
        <w:t>BMD collects 3 hourly data on all meteorological parameters such as rainfall, sunshine, temperature, wind speed, humidity, evaporation, cloud and radiation for surface and upper air throughout the country.</w:t>
      </w:r>
    </w:p>
    <w:p w:rsidR="007F2F9C" w:rsidRPr="00AD107E" w:rsidRDefault="007F2F9C" w:rsidP="00EA0111">
      <w:pPr>
        <w:spacing w:line="276" w:lineRule="auto"/>
        <w:jc w:val="both"/>
        <w:rPr>
          <w:rFonts w:eastAsia="Times New Roman" w:cs="Times New Roman"/>
          <w:color w:val="000000" w:themeColor="text1"/>
          <w:szCs w:val="24"/>
        </w:rPr>
      </w:pPr>
      <w:r w:rsidRPr="00AD107E">
        <w:rPr>
          <w:rFonts w:eastAsia="Times New Roman" w:cs="Times New Roman"/>
          <w:color w:val="000000" w:themeColor="text1"/>
          <w:szCs w:val="24"/>
        </w:rPr>
        <w:t>BARC under the MoA has developed Agro-Ecological Zone database that contains information on land resources, including physiography, soils, climate, hydrology, cropping systems and crop suitability. It has been used to generate readily accessible information on the physical land resources of the country for use by researchers, extension workers and decision-makers in land and agricultural resources management as well as agricultural development planning.</w:t>
      </w:r>
    </w:p>
    <w:p w:rsidR="007F2F9C" w:rsidRPr="00AD107E" w:rsidRDefault="007F2F9C" w:rsidP="00EA0111">
      <w:pPr>
        <w:spacing w:line="276" w:lineRule="auto"/>
        <w:jc w:val="both"/>
        <w:rPr>
          <w:rFonts w:cs="Times New Roman"/>
          <w:color w:val="000000" w:themeColor="text1"/>
          <w:szCs w:val="24"/>
        </w:rPr>
      </w:pPr>
      <w:r w:rsidRPr="00AD107E">
        <w:rPr>
          <w:rFonts w:cs="Times New Roman"/>
          <w:color w:val="000000" w:themeColor="text1"/>
          <w:szCs w:val="24"/>
        </w:rPr>
        <w:t>Also under the MoA, Soil Resource Development Institute (SRDI) investigates soil-related problems for agricultural research and development. The functions of SRDI include reconnaissance soil survey of the whole country on the basis of aerial photo interpretation and field and laboratory investigation of soils; detailed and semi-detailed soil surveys of development project areas and research firms for various beneficiary agencies; soil surveys for locating areas of problem soils; soil moisture characterization of the soil tracts of the country; and preparation of various maps and reports based on the surveys.</w:t>
      </w:r>
    </w:p>
    <w:p w:rsidR="009A4EB2" w:rsidRPr="009D1C23" w:rsidRDefault="007F2F9C" w:rsidP="009D1C23">
      <w:pPr>
        <w:spacing w:line="276" w:lineRule="auto"/>
        <w:jc w:val="both"/>
        <w:rPr>
          <w:rFonts w:cs="Times New Roman"/>
          <w:color w:val="000000" w:themeColor="text1"/>
          <w:szCs w:val="24"/>
        </w:rPr>
      </w:pPr>
      <w:r w:rsidRPr="00AD107E">
        <w:rPr>
          <w:rFonts w:cs="Times New Roman"/>
          <w:color w:val="000000" w:themeColor="text1"/>
          <w:szCs w:val="24"/>
        </w:rPr>
        <w:t xml:space="preserve">SOB is the national survey and mapping organization of Bangladesh with a well-equipped digital mapping center. </w:t>
      </w:r>
      <w:r w:rsidRPr="00AD107E">
        <w:rPr>
          <w:rFonts w:eastAsia="Times New Roman" w:cs="Times New Roman"/>
          <w:color w:val="000000" w:themeColor="text1"/>
          <w:szCs w:val="24"/>
        </w:rPr>
        <w:t>RHD under the Ministry of Road Transport and Bridges also maintains and updates spatial database which consists of National Highway, Regional Highway, Zilla Road, Bridges and Culverts. RHD has developed web-based Road Maintenance Management System. It allows users to search for roads and view general information on the roads. Information on roads is generally collected once a year.</w:t>
      </w:r>
    </w:p>
    <w:p w:rsidR="00F634CD" w:rsidRDefault="00F634CD">
      <w:pPr>
        <w:rPr>
          <w:rFonts w:eastAsia="Times New Roman" w:cs="Times New Roman"/>
          <w:color w:val="000000" w:themeColor="text1"/>
          <w:szCs w:val="24"/>
        </w:rPr>
      </w:pPr>
      <w:r>
        <w:rPr>
          <w:rFonts w:eastAsia="Times New Roman" w:cs="Times New Roman"/>
          <w:color w:val="000000" w:themeColor="text1"/>
          <w:szCs w:val="24"/>
        </w:rPr>
        <w:br w:type="page"/>
      </w:r>
    </w:p>
    <w:p w:rsidR="007F2F9C" w:rsidRDefault="007F2F9C" w:rsidP="00EA0111">
      <w:pPr>
        <w:spacing w:line="276" w:lineRule="auto"/>
        <w:jc w:val="both"/>
        <w:rPr>
          <w:rFonts w:eastAsia="Times New Roman" w:cs="Times New Roman"/>
          <w:color w:val="000000" w:themeColor="text1"/>
          <w:szCs w:val="24"/>
        </w:rPr>
      </w:pPr>
      <w:r w:rsidRPr="00AD107E">
        <w:rPr>
          <w:rFonts w:eastAsia="Times New Roman" w:cs="Times New Roman"/>
          <w:color w:val="000000" w:themeColor="text1"/>
          <w:szCs w:val="24"/>
        </w:rPr>
        <w:lastRenderedPageBreak/>
        <w:t>Some of major data collecting agencies and their corresponding data are listed below:</w:t>
      </w:r>
    </w:p>
    <w:p w:rsidR="007F2F9C" w:rsidRPr="0026531F" w:rsidRDefault="007F2F9C" w:rsidP="00FD7FD3">
      <w:pPr>
        <w:pStyle w:val="Heading4"/>
      </w:pPr>
      <w:bookmarkStart w:id="900" w:name="_Toc474639151"/>
      <w:r>
        <w:t xml:space="preserve">Table </w:t>
      </w:r>
      <w:r w:rsidR="00A650CE">
        <w:t>13.</w:t>
      </w:r>
      <w:r>
        <w:t>3</w:t>
      </w:r>
      <w:r w:rsidRPr="0026531F">
        <w:t xml:space="preserve">: </w:t>
      </w:r>
      <w:r w:rsidR="00DE016B" w:rsidRPr="00440069">
        <w:rPr>
          <w:color w:val="000000"/>
          <w:szCs w:val="20"/>
        </w:rPr>
        <w:t xml:space="preserve">Sources of </w:t>
      </w:r>
      <w:r w:rsidR="00440069">
        <w:rPr>
          <w:color w:val="000000"/>
          <w:szCs w:val="20"/>
        </w:rPr>
        <w:t>D</w:t>
      </w:r>
      <w:r w:rsidR="00DE016B" w:rsidRPr="00440069">
        <w:rPr>
          <w:color w:val="000000"/>
          <w:szCs w:val="20"/>
        </w:rPr>
        <w:t xml:space="preserve">ata on </w:t>
      </w:r>
      <w:r w:rsidR="00440069">
        <w:rPr>
          <w:color w:val="000000"/>
          <w:szCs w:val="20"/>
        </w:rPr>
        <w:t>W</w:t>
      </w:r>
      <w:r w:rsidR="00DE016B" w:rsidRPr="00440069">
        <w:rPr>
          <w:color w:val="000000"/>
          <w:szCs w:val="20"/>
        </w:rPr>
        <w:t xml:space="preserve">ater </w:t>
      </w:r>
      <w:r w:rsidR="00440069">
        <w:rPr>
          <w:color w:val="000000"/>
          <w:szCs w:val="20"/>
        </w:rPr>
        <w:t>R</w:t>
      </w:r>
      <w:r w:rsidR="00DE016B" w:rsidRPr="00440069">
        <w:rPr>
          <w:color w:val="000000"/>
          <w:szCs w:val="20"/>
        </w:rPr>
        <w:t>esources</w:t>
      </w:r>
      <w:bookmarkEnd w:id="900"/>
    </w:p>
    <w:tbl>
      <w:tblPr>
        <w:tblStyle w:val="TableGrid"/>
        <w:tblW w:w="5000" w:type="pct"/>
        <w:tblLook w:val="04A0"/>
      </w:tblPr>
      <w:tblGrid>
        <w:gridCol w:w="2883"/>
        <w:gridCol w:w="3068"/>
        <w:gridCol w:w="3625"/>
      </w:tblGrid>
      <w:tr w:rsidR="007F2F9C" w:rsidRPr="009B1F2F" w:rsidTr="000B7CF9">
        <w:trPr>
          <w:trHeight w:val="323"/>
          <w:tblHeader/>
        </w:trPr>
        <w:tc>
          <w:tcPr>
            <w:tcW w:w="3107" w:type="pct"/>
            <w:gridSpan w:val="2"/>
            <w:tcBorders>
              <w:bottom w:val="single" w:sz="4" w:space="0" w:color="auto"/>
            </w:tcBorders>
            <w:shd w:val="clear" w:color="auto" w:fill="BFBFBF" w:themeFill="background1" w:themeFillShade="BF"/>
            <w:vAlign w:val="center"/>
          </w:tcPr>
          <w:p w:rsidR="007F2F9C" w:rsidRPr="001629E9" w:rsidRDefault="007F2F9C" w:rsidP="00EA0111">
            <w:pPr>
              <w:spacing w:after="0" w:line="276" w:lineRule="auto"/>
              <w:rPr>
                <w:rFonts w:eastAsia="Times New Roman" w:cs="Times New Roman"/>
                <w:color w:val="000000" w:themeColor="text1"/>
                <w:sz w:val="18"/>
                <w:szCs w:val="18"/>
              </w:rPr>
            </w:pPr>
            <w:r w:rsidRPr="001629E9">
              <w:rPr>
                <w:rFonts w:eastAsia="Times New Roman" w:cs="Times New Roman"/>
                <w:color w:val="000000" w:themeColor="text1"/>
                <w:sz w:val="18"/>
                <w:szCs w:val="18"/>
              </w:rPr>
              <w:t>Type of data collected</w:t>
            </w:r>
          </w:p>
        </w:tc>
        <w:tc>
          <w:tcPr>
            <w:tcW w:w="1893" w:type="pct"/>
            <w:shd w:val="clear" w:color="auto" w:fill="BFBFBF" w:themeFill="background1" w:themeFillShade="BF"/>
            <w:vAlign w:val="center"/>
          </w:tcPr>
          <w:p w:rsidR="007F2F9C" w:rsidRPr="001629E9" w:rsidRDefault="007F2F9C" w:rsidP="00EA0111">
            <w:pPr>
              <w:spacing w:after="0" w:line="276" w:lineRule="auto"/>
              <w:rPr>
                <w:rFonts w:eastAsia="Times New Roman" w:cs="Times New Roman"/>
                <w:color w:val="000000" w:themeColor="text1"/>
                <w:sz w:val="18"/>
                <w:szCs w:val="18"/>
              </w:rPr>
            </w:pPr>
            <w:r w:rsidRPr="001629E9">
              <w:rPr>
                <w:rFonts w:eastAsia="Times New Roman" w:cs="Times New Roman"/>
                <w:color w:val="000000" w:themeColor="text1"/>
                <w:sz w:val="18"/>
                <w:szCs w:val="18"/>
              </w:rPr>
              <w:t>Major agencies</w:t>
            </w:r>
          </w:p>
        </w:tc>
      </w:tr>
      <w:tr w:rsidR="007F2F9C" w:rsidRPr="009B1F2F" w:rsidTr="000B7CF9">
        <w:tc>
          <w:tcPr>
            <w:tcW w:w="1505" w:type="pct"/>
            <w:tcBorders>
              <w:bottom w:val="single" w:sz="4" w:space="0" w:color="auto"/>
              <w:right w:val="nil"/>
            </w:tcBorders>
          </w:tcPr>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Surface Water Level</w:t>
            </w:r>
          </w:p>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Discharge</w:t>
            </w:r>
          </w:p>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Sediment</w:t>
            </w:r>
          </w:p>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Rainfall</w:t>
            </w:r>
          </w:p>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Evaporation</w:t>
            </w:r>
          </w:p>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Surface water quality</w:t>
            </w:r>
          </w:p>
        </w:tc>
        <w:tc>
          <w:tcPr>
            <w:tcW w:w="1602" w:type="pct"/>
            <w:tcBorders>
              <w:left w:val="nil"/>
              <w:bottom w:val="single" w:sz="4" w:space="0" w:color="auto"/>
            </w:tcBorders>
          </w:tcPr>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Ground water level and quality</w:t>
            </w:r>
          </w:p>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River Morphology</w:t>
            </w:r>
          </w:p>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Lithology</w:t>
            </w:r>
          </w:p>
          <w:p w:rsidR="007F2F9C" w:rsidRPr="001629E9" w:rsidRDefault="007F2F9C" w:rsidP="003D5A31">
            <w:pPr>
              <w:pStyle w:val="ListParagraph"/>
              <w:numPr>
                <w:ilvl w:val="0"/>
                <w:numId w:val="96"/>
              </w:numPr>
              <w:spacing w:after="0" w:line="276" w:lineRule="auto"/>
              <w:ind w:left="247" w:hanging="247"/>
              <w:rPr>
                <w:rFonts w:eastAsia="Times New Roman" w:cs="Times New Roman"/>
                <w:color w:val="000000" w:themeColor="text1"/>
                <w:sz w:val="18"/>
                <w:szCs w:val="18"/>
              </w:rPr>
            </w:pPr>
            <w:r w:rsidRPr="001629E9">
              <w:rPr>
                <w:rFonts w:eastAsia="Times New Roman" w:cs="Times New Roman"/>
                <w:color w:val="000000" w:themeColor="text1"/>
                <w:sz w:val="18"/>
                <w:szCs w:val="18"/>
              </w:rPr>
              <w:t>Aquifer testing</w:t>
            </w:r>
          </w:p>
        </w:tc>
        <w:tc>
          <w:tcPr>
            <w:tcW w:w="1893" w:type="pct"/>
          </w:tcPr>
          <w:p w:rsidR="007F2F9C" w:rsidRPr="001629E9" w:rsidRDefault="007F2F9C" w:rsidP="00EA0111">
            <w:pPr>
              <w:spacing w:after="0" w:line="276" w:lineRule="auto"/>
              <w:rPr>
                <w:rFonts w:eastAsia="Times New Roman" w:cs="Times New Roman"/>
                <w:color w:val="000000" w:themeColor="text1"/>
                <w:sz w:val="18"/>
                <w:szCs w:val="18"/>
              </w:rPr>
            </w:pPr>
            <w:r w:rsidRPr="001629E9">
              <w:rPr>
                <w:rFonts w:eastAsia="Times New Roman" w:cs="Times New Roman"/>
                <w:color w:val="000000" w:themeColor="text1"/>
                <w:sz w:val="18"/>
                <w:szCs w:val="18"/>
              </w:rPr>
              <w:t>BWDB</w:t>
            </w:r>
          </w:p>
        </w:tc>
      </w:tr>
      <w:tr w:rsidR="007F2F9C" w:rsidRPr="009B1F2F" w:rsidTr="000B7CF9">
        <w:tc>
          <w:tcPr>
            <w:tcW w:w="1505" w:type="pct"/>
            <w:tcBorders>
              <w:righ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Irrigation equipment,</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Irrigation water quality,</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Ground water levels</w:t>
            </w:r>
          </w:p>
        </w:tc>
        <w:tc>
          <w:tcPr>
            <w:tcW w:w="1602" w:type="pct"/>
            <w:tcBorders>
              <w:lef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Irrigation costs</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Crop production cost</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Water Quality</w:t>
            </w:r>
          </w:p>
        </w:tc>
        <w:tc>
          <w:tcPr>
            <w:tcW w:w="1893" w:type="pct"/>
          </w:tcPr>
          <w:p w:rsidR="007F2F9C" w:rsidRPr="001629E9" w:rsidRDefault="007F2F9C" w:rsidP="00EA0111">
            <w:pPr>
              <w:autoSpaceDE w:val="0"/>
              <w:autoSpaceDN w:val="0"/>
              <w:adjustRightInd w:val="0"/>
              <w:spacing w:after="0" w:line="276" w:lineRule="auto"/>
              <w:rPr>
                <w:rFonts w:cs="Times New Roman"/>
                <w:color w:val="000000" w:themeColor="text1"/>
                <w:sz w:val="18"/>
                <w:szCs w:val="18"/>
              </w:rPr>
            </w:pPr>
            <w:r w:rsidRPr="001629E9">
              <w:rPr>
                <w:rFonts w:cs="Times New Roman"/>
                <w:color w:val="000000" w:themeColor="text1"/>
                <w:sz w:val="18"/>
                <w:szCs w:val="18"/>
              </w:rPr>
              <w:t>Bangladesh Agriculture</w:t>
            </w:r>
          </w:p>
          <w:p w:rsidR="007F2F9C" w:rsidRPr="001629E9" w:rsidRDefault="007F2F9C" w:rsidP="00EA0111">
            <w:pPr>
              <w:spacing w:after="0" w:line="276" w:lineRule="auto"/>
              <w:rPr>
                <w:rFonts w:cs="Times New Roman"/>
                <w:color w:val="000000" w:themeColor="text1"/>
                <w:sz w:val="18"/>
                <w:szCs w:val="18"/>
              </w:rPr>
            </w:pPr>
            <w:r w:rsidRPr="001629E9">
              <w:rPr>
                <w:rFonts w:cs="Times New Roman"/>
                <w:color w:val="000000" w:themeColor="text1"/>
                <w:sz w:val="18"/>
                <w:szCs w:val="18"/>
              </w:rPr>
              <w:t>Development Corporation (BADC)</w:t>
            </w:r>
          </w:p>
        </w:tc>
      </w:tr>
      <w:tr w:rsidR="007F2F9C" w:rsidRPr="009B1F2F" w:rsidTr="000B7CF9">
        <w:tc>
          <w:tcPr>
            <w:tcW w:w="1505" w:type="pct"/>
            <w:tcBorders>
              <w:righ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Ground water table</w:t>
            </w:r>
          </w:p>
          <w:p w:rsidR="007F2F9C" w:rsidRPr="001629E9" w:rsidRDefault="007F2F9C" w:rsidP="003D5A31">
            <w:pPr>
              <w:pStyle w:val="ListParagraph"/>
              <w:numPr>
                <w:ilvl w:val="0"/>
                <w:numId w:val="97"/>
              </w:numPr>
              <w:spacing w:after="0" w:line="276" w:lineRule="auto"/>
              <w:ind w:left="247" w:hanging="247"/>
              <w:rPr>
                <w:rFonts w:eastAsia="Times New Roman" w:cs="Times New Roman"/>
                <w:color w:val="000000" w:themeColor="text1"/>
                <w:sz w:val="18"/>
                <w:szCs w:val="18"/>
              </w:rPr>
            </w:pPr>
            <w:r w:rsidRPr="001629E9">
              <w:rPr>
                <w:rFonts w:cs="Times New Roman"/>
                <w:color w:val="000000" w:themeColor="text1"/>
                <w:sz w:val="18"/>
                <w:szCs w:val="18"/>
              </w:rPr>
              <w:t xml:space="preserve">Water quality </w:t>
            </w:r>
          </w:p>
        </w:tc>
        <w:tc>
          <w:tcPr>
            <w:tcW w:w="1602" w:type="pct"/>
            <w:tcBorders>
              <w:left w:val="nil"/>
            </w:tcBorders>
          </w:tcPr>
          <w:p w:rsidR="007F2F9C" w:rsidRPr="001629E9" w:rsidRDefault="007F2F9C" w:rsidP="00EA0111">
            <w:pPr>
              <w:autoSpaceDE w:val="0"/>
              <w:autoSpaceDN w:val="0"/>
              <w:adjustRightInd w:val="0"/>
              <w:spacing w:after="0" w:line="276" w:lineRule="auto"/>
              <w:rPr>
                <w:rFonts w:cs="Times New Roman"/>
                <w:color w:val="000000" w:themeColor="text1"/>
                <w:sz w:val="18"/>
                <w:szCs w:val="18"/>
              </w:rPr>
            </w:pPr>
          </w:p>
        </w:tc>
        <w:tc>
          <w:tcPr>
            <w:tcW w:w="1893" w:type="pct"/>
          </w:tcPr>
          <w:p w:rsidR="007F2F9C" w:rsidRPr="001629E9" w:rsidRDefault="007F2F9C" w:rsidP="00EA0111">
            <w:pPr>
              <w:autoSpaceDE w:val="0"/>
              <w:autoSpaceDN w:val="0"/>
              <w:adjustRightInd w:val="0"/>
              <w:spacing w:after="0" w:line="276" w:lineRule="auto"/>
              <w:rPr>
                <w:rFonts w:cs="Times New Roman"/>
                <w:color w:val="000000" w:themeColor="text1"/>
                <w:sz w:val="18"/>
                <w:szCs w:val="18"/>
              </w:rPr>
            </w:pPr>
            <w:r w:rsidRPr="001629E9">
              <w:rPr>
                <w:rFonts w:cs="Times New Roman"/>
                <w:color w:val="000000" w:themeColor="text1"/>
                <w:sz w:val="18"/>
                <w:szCs w:val="18"/>
              </w:rPr>
              <w:t>DPHE</w:t>
            </w:r>
          </w:p>
        </w:tc>
      </w:tr>
      <w:tr w:rsidR="007F2F9C" w:rsidRPr="009B1F2F" w:rsidTr="000B7CF9">
        <w:tc>
          <w:tcPr>
            <w:tcW w:w="1505" w:type="pct"/>
            <w:tcBorders>
              <w:righ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Temperature</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Relative humidity</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Rainfall</w:t>
            </w:r>
          </w:p>
        </w:tc>
        <w:tc>
          <w:tcPr>
            <w:tcW w:w="1602" w:type="pct"/>
            <w:tcBorders>
              <w:lef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Sunshine</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Soil moisture</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Pan evaporation</w:t>
            </w:r>
          </w:p>
        </w:tc>
        <w:tc>
          <w:tcPr>
            <w:tcW w:w="1893" w:type="pct"/>
          </w:tcPr>
          <w:p w:rsidR="007F2F9C" w:rsidRPr="001629E9" w:rsidRDefault="007F2F9C" w:rsidP="00EA0111">
            <w:pPr>
              <w:autoSpaceDE w:val="0"/>
              <w:autoSpaceDN w:val="0"/>
              <w:adjustRightInd w:val="0"/>
              <w:spacing w:after="0" w:line="276" w:lineRule="auto"/>
              <w:rPr>
                <w:rFonts w:cs="Times New Roman"/>
                <w:color w:val="000000" w:themeColor="text1"/>
                <w:sz w:val="18"/>
                <w:szCs w:val="18"/>
              </w:rPr>
            </w:pPr>
            <w:r w:rsidRPr="001629E9">
              <w:rPr>
                <w:rFonts w:cs="Times New Roman"/>
                <w:color w:val="000000" w:themeColor="text1"/>
                <w:sz w:val="18"/>
                <w:szCs w:val="18"/>
              </w:rPr>
              <w:t>BMD</w:t>
            </w:r>
          </w:p>
        </w:tc>
      </w:tr>
      <w:tr w:rsidR="007F2F9C" w:rsidRPr="009B1F2F" w:rsidTr="000B7CF9">
        <w:trPr>
          <w:trHeight w:val="566"/>
        </w:trPr>
        <w:tc>
          <w:tcPr>
            <w:tcW w:w="1505" w:type="pct"/>
            <w:tcBorders>
              <w:righ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Census data</w:t>
            </w:r>
          </w:p>
          <w:p w:rsidR="007F2F9C" w:rsidRPr="001629E9" w:rsidRDefault="007F2F9C" w:rsidP="003D5A31">
            <w:pPr>
              <w:pStyle w:val="ListParagraph"/>
              <w:numPr>
                <w:ilvl w:val="0"/>
                <w:numId w:val="97"/>
              </w:numPr>
              <w:spacing w:after="0" w:line="276" w:lineRule="auto"/>
              <w:ind w:left="247" w:hanging="247"/>
              <w:rPr>
                <w:rFonts w:eastAsia="Times New Roman" w:cs="Times New Roman"/>
                <w:color w:val="000000" w:themeColor="text1"/>
                <w:sz w:val="18"/>
                <w:szCs w:val="18"/>
              </w:rPr>
            </w:pPr>
            <w:r w:rsidRPr="001629E9">
              <w:rPr>
                <w:rFonts w:cs="Times New Roman"/>
                <w:color w:val="000000" w:themeColor="text1"/>
                <w:sz w:val="18"/>
                <w:szCs w:val="18"/>
              </w:rPr>
              <w:t>Agricultural products</w:t>
            </w:r>
          </w:p>
        </w:tc>
        <w:tc>
          <w:tcPr>
            <w:tcW w:w="1602" w:type="pct"/>
            <w:tcBorders>
              <w:left w:val="nil"/>
            </w:tcBorders>
          </w:tcPr>
          <w:p w:rsidR="007F2F9C" w:rsidRPr="001629E9" w:rsidRDefault="007F2F9C" w:rsidP="00EA0111">
            <w:pPr>
              <w:spacing w:after="0" w:line="276" w:lineRule="auto"/>
              <w:rPr>
                <w:rFonts w:cs="Times New Roman"/>
                <w:color w:val="000000" w:themeColor="text1"/>
                <w:sz w:val="18"/>
                <w:szCs w:val="18"/>
              </w:rPr>
            </w:pPr>
          </w:p>
        </w:tc>
        <w:tc>
          <w:tcPr>
            <w:tcW w:w="1893" w:type="pct"/>
          </w:tcPr>
          <w:p w:rsidR="007F2F9C" w:rsidRPr="001629E9" w:rsidRDefault="007F2F9C" w:rsidP="00EA0111">
            <w:pPr>
              <w:spacing w:after="0" w:line="276" w:lineRule="auto"/>
              <w:rPr>
                <w:rFonts w:cs="Times New Roman"/>
                <w:color w:val="000000" w:themeColor="text1"/>
                <w:sz w:val="18"/>
                <w:szCs w:val="18"/>
              </w:rPr>
            </w:pPr>
            <w:r w:rsidRPr="001629E9">
              <w:rPr>
                <w:rFonts w:cs="Times New Roman"/>
                <w:color w:val="000000" w:themeColor="text1"/>
                <w:sz w:val="18"/>
                <w:szCs w:val="18"/>
              </w:rPr>
              <w:t>BBS</w:t>
            </w:r>
          </w:p>
        </w:tc>
      </w:tr>
      <w:tr w:rsidR="007F2F9C" w:rsidRPr="009B1F2F" w:rsidTr="000B7CF9">
        <w:tc>
          <w:tcPr>
            <w:tcW w:w="1505" w:type="pct"/>
            <w:tcBorders>
              <w:righ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Water level (Tidal and Non tidal)</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Discharge (Tidal and non-tidal)</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Velocity profile</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River cross section</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Bathymetric data</w:t>
            </w:r>
          </w:p>
        </w:tc>
        <w:tc>
          <w:tcPr>
            <w:tcW w:w="1602" w:type="pct"/>
            <w:tcBorders>
              <w:lef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Bed sample</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Ground Water Level</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Evaporation</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Rainfall</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Water Quality</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Land Topography</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Suspended sediment</w:t>
            </w:r>
          </w:p>
        </w:tc>
        <w:tc>
          <w:tcPr>
            <w:tcW w:w="1893" w:type="pct"/>
          </w:tcPr>
          <w:p w:rsidR="00DE016B" w:rsidRDefault="00DE016B" w:rsidP="00DE016B">
            <w:pPr>
              <w:autoSpaceDE w:val="0"/>
              <w:autoSpaceDN w:val="0"/>
              <w:adjustRightInd w:val="0"/>
              <w:spacing w:after="0" w:line="240" w:lineRule="auto"/>
              <w:rPr>
                <w:rFonts w:ascii="Tahoma" w:hAnsi="Tahoma" w:cs="Tahoma"/>
                <w:sz w:val="20"/>
                <w:szCs w:val="20"/>
              </w:rPr>
            </w:pPr>
            <w:r>
              <w:rPr>
                <w:rFonts w:ascii="Tahoma" w:hAnsi="Tahoma" w:cs="Tahoma"/>
                <w:color w:val="000000"/>
                <w:sz w:val="20"/>
                <w:szCs w:val="20"/>
              </w:rPr>
              <w:t>BWDB and WARPO</w:t>
            </w:r>
          </w:p>
          <w:p w:rsidR="007F2F9C" w:rsidRPr="001629E9" w:rsidRDefault="007F2F9C" w:rsidP="00EA0111">
            <w:pPr>
              <w:spacing w:after="0" w:line="276" w:lineRule="auto"/>
              <w:rPr>
                <w:rFonts w:cs="Times New Roman"/>
                <w:color w:val="000000" w:themeColor="text1"/>
                <w:sz w:val="18"/>
                <w:szCs w:val="18"/>
              </w:rPr>
            </w:pPr>
          </w:p>
        </w:tc>
      </w:tr>
      <w:tr w:rsidR="007F2F9C" w:rsidRPr="009B1F2F" w:rsidTr="000B7CF9">
        <w:tc>
          <w:tcPr>
            <w:tcW w:w="1505" w:type="pct"/>
            <w:tcBorders>
              <w:righ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Water level</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Discharge</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Groundwater level</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Groundwater quality</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River cross section</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Rainfall</w:t>
            </w:r>
          </w:p>
        </w:tc>
        <w:tc>
          <w:tcPr>
            <w:tcW w:w="1602" w:type="pct"/>
            <w:tcBorders>
              <w:left w:val="nil"/>
            </w:tcBorders>
          </w:tcPr>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Temperature</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Humidity</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Wind speed</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Sunshine hour</w:t>
            </w:r>
          </w:p>
          <w:p w:rsidR="007F2F9C" w:rsidRPr="001629E9" w:rsidRDefault="007F2F9C" w:rsidP="003D5A31">
            <w:pPr>
              <w:pStyle w:val="ListParagraph"/>
              <w:numPr>
                <w:ilvl w:val="0"/>
                <w:numId w:val="97"/>
              </w:numPr>
              <w:autoSpaceDE w:val="0"/>
              <w:autoSpaceDN w:val="0"/>
              <w:adjustRightInd w:val="0"/>
              <w:spacing w:after="0" w:line="276" w:lineRule="auto"/>
              <w:ind w:left="247" w:hanging="247"/>
              <w:rPr>
                <w:rFonts w:cs="Times New Roman"/>
                <w:color w:val="000000" w:themeColor="text1"/>
                <w:sz w:val="18"/>
                <w:szCs w:val="18"/>
              </w:rPr>
            </w:pPr>
            <w:r w:rsidRPr="001629E9">
              <w:rPr>
                <w:rFonts w:cs="Times New Roman"/>
                <w:color w:val="000000" w:themeColor="text1"/>
                <w:sz w:val="18"/>
                <w:szCs w:val="18"/>
              </w:rPr>
              <w:t>Evaporation</w:t>
            </w:r>
          </w:p>
        </w:tc>
        <w:tc>
          <w:tcPr>
            <w:tcW w:w="1893" w:type="pct"/>
          </w:tcPr>
          <w:p w:rsidR="007F2F9C" w:rsidRPr="001629E9" w:rsidRDefault="00DE016B" w:rsidP="00EA0111">
            <w:pPr>
              <w:spacing w:after="0" w:line="276" w:lineRule="auto"/>
              <w:rPr>
                <w:rFonts w:cs="Times New Roman"/>
                <w:color w:val="000000" w:themeColor="text1"/>
                <w:sz w:val="18"/>
                <w:szCs w:val="18"/>
              </w:rPr>
            </w:pPr>
            <w:r>
              <w:rPr>
                <w:rFonts w:ascii="Tahoma" w:hAnsi="Tahoma" w:cs="Tahoma"/>
                <w:color w:val="000000"/>
                <w:sz w:val="20"/>
                <w:szCs w:val="20"/>
              </w:rPr>
              <w:t>BWDB and WARPO</w:t>
            </w:r>
          </w:p>
          <w:p w:rsidR="007F2F9C" w:rsidRPr="001629E9" w:rsidRDefault="007F2F9C" w:rsidP="00EA0111">
            <w:pPr>
              <w:autoSpaceDE w:val="0"/>
              <w:autoSpaceDN w:val="0"/>
              <w:adjustRightInd w:val="0"/>
              <w:spacing w:after="0" w:line="276" w:lineRule="auto"/>
              <w:rPr>
                <w:rFonts w:cs="Times New Roman"/>
                <w:color w:val="000000" w:themeColor="text1"/>
                <w:sz w:val="18"/>
                <w:szCs w:val="18"/>
              </w:rPr>
            </w:pPr>
          </w:p>
        </w:tc>
      </w:tr>
    </w:tbl>
    <w:p w:rsidR="007F2F9C" w:rsidRPr="000A4AEE" w:rsidRDefault="007F2F9C" w:rsidP="000B7CF9">
      <w:pPr>
        <w:spacing w:before="120" w:line="276" w:lineRule="auto"/>
        <w:jc w:val="both"/>
        <w:rPr>
          <w:rFonts w:eastAsia="Times New Roman" w:cs="Times New Roman"/>
          <w:b/>
          <w:bCs/>
          <w:i/>
          <w:iCs/>
          <w:color w:val="000000" w:themeColor="text1"/>
          <w:sz w:val="20"/>
          <w:szCs w:val="20"/>
        </w:rPr>
      </w:pPr>
      <w:r w:rsidRPr="000A4AEE">
        <w:rPr>
          <w:rFonts w:eastAsia="Times New Roman" w:cs="Times New Roman"/>
          <w:b/>
          <w:bCs/>
          <w:i/>
          <w:iCs/>
          <w:color w:val="000000" w:themeColor="text1"/>
          <w:sz w:val="20"/>
          <w:szCs w:val="20"/>
        </w:rPr>
        <w:t>Source: BDP2100 Research</w:t>
      </w:r>
    </w:p>
    <w:p w:rsidR="007F2F9C" w:rsidRPr="00631E37" w:rsidRDefault="007F2F9C" w:rsidP="00EA0111">
      <w:pPr>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Most of the data layers in NWRD consist of spatial data, temporal data and attribute data. Data are provided in both hard and soft copy. The database is designed using Oracle in the back-end to store the data, and Arc View GIS software for spatial query and display. Metadata for each data type are also available in the NWRD.</w:t>
      </w:r>
    </w:p>
    <w:p w:rsidR="009A4EB2" w:rsidRPr="009D1C23" w:rsidRDefault="007F2F9C" w:rsidP="009D1C23">
      <w:pPr>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Hydro-meteorological data are especially vital for water resources development planning and design. Availability of these data from the various agencies is summarized below:</w:t>
      </w:r>
    </w:p>
    <w:p w:rsidR="00FD22F0" w:rsidRDefault="00FD22F0">
      <w:pPr>
        <w:rPr>
          <w:rFonts w:cs="Times New Roman"/>
          <w:b/>
          <w:bCs/>
          <w:szCs w:val="24"/>
        </w:rPr>
      </w:pPr>
      <w:r>
        <w:br w:type="page"/>
      </w:r>
    </w:p>
    <w:p w:rsidR="007F2F9C" w:rsidRPr="0026531F" w:rsidRDefault="007F2F9C" w:rsidP="00FD7FD3">
      <w:pPr>
        <w:pStyle w:val="Heading4"/>
      </w:pPr>
      <w:bookmarkStart w:id="901" w:name="_Toc474639152"/>
      <w:r>
        <w:lastRenderedPageBreak/>
        <w:t xml:space="preserve">Table </w:t>
      </w:r>
      <w:r w:rsidR="00A650CE">
        <w:t>13.</w:t>
      </w:r>
      <w:r>
        <w:t>4</w:t>
      </w:r>
      <w:r w:rsidRPr="0026531F">
        <w:t>: Hydro-Metrological Data Collection</w:t>
      </w:r>
      <w:r w:rsidR="00893785">
        <w:t xml:space="preserve"> Source</w:t>
      </w:r>
      <w:r w:rsidR="00440069">
        <w:t>s</w:t>
      </w:r>
      <w:bookmarkEnd w:id="901"/>
    </w:p>
    <w:tbl>
      <w:tblPr>
        <w:tblStyle w:val="TableGrid"/>
        <w:tblW w:w="9355" w:type="dxa"/>
        <w:tblLook w:val="04A0"/>
      </w:tblPr>
      <w:tblGrid>
        <w:gridCol w:w="2425"/>
        <w:gridCol w:w="2430"/>
        <w:gridCol w:w="4500"/>
      </w:tblGrid>
      <w:tr w:rsidR="007F2F9C" w:rsidRPr="009B1F2F" w:rsidTr="00EA0111">
        <w:trPr>
          <w:trHeight w:val="288"/>
        </w:trPr>
        <w:tc>
          <w:tcPr>
            <w:tcW w:w="2425" w:type="dxa"/>
            <w:shd w:val="clear" w:color="auto" w:fill="BFBFBF" w:themeFill="background1" w:themeFillShade="BF"/>
          </w:tcPr>
          <w:p w:rsidR="007F2F9C" w:rsidRPr="009B1F2F" w:rsidRDefault="007F2F9C" w:rsidP="001420DB">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Data type</w:t>
            </w:r>
          </w:p>
        </w:tc>
        <w:tc>
          <w:tcPr>
            <w:tcW w:w="2430" w:type="dxa"/>
            <w:shd w:val="clear" w:color="auto" w:fill="BFBFBF" w:themeFill="background1" w:themeFillShade="BF"/>
          </w:tcPr>
          <w:p w:rsidR="007F2F9C" w:rsidRPr="009B1F2F" w:rsidRDefault="007F2F9C" w:rsidP="001420DB">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Data collecting agency</w:t>
            </w:r>
          </w:p>
        </w:tc>
        <w:tc>
          <w:tcPr>
            <w:tcW w:w="4500" w:type="dxa"/>
            <w:shd w:val="clear" w:color="auto" w:fill="BFBFBF" w:themeFill="background1" w:themeFillShade="BF"/>
          </w:tcPr>
          <w:p w:rsidR="007F2F9C" w:rsidRPr="009B1F2F" w:rsidRDefault="007F2F9C" w:rsidP="001420DB">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Available data range</w:t>
            </w:r>
          </w:p>
        </w:tc>
      </w:tr>
      <w:tr w:rsidR="007F2F9C" w:rsidRPr="009B1F2F" w:rsidTr="00EA0111">
        <w:trPr>
          <w:trHeight w:val="288"/>
        </w:trPr>
        <w:tc>
          <w:tcPr>
            <w:tcW w:w="2425" w:type="dxa"/>
            <w:vAlign w:val="center"/>
          </w:tcPr>
          <w:p w:rsidR="007F2F9C" w:rsidRPr="009B1F2F" w:rsidRDefault="007F2F9C" w:rsidP="00EA0111">
            <w:pPr>
              <w:pStyle w:val="Default"/>
              <w:spacing w:after="0" w:line="276" w:lineRule="auto"/>
              <w:rPr>
                <w:rFonts w:ascii="Times New Roman" w:hAnsi="Times New Roman" w:cs="Times New Roman"/>
                <w:color w:val="000000" w:themeColor="text1"/>
              </w:rPr>
            </w:pPr>
            <w:r w:rsidRPr="009B1F2F">
              <w:rPr>
                <w:rFonts w:ascii="Times New Roman" w:hAnsi="Times New Roman" w:cs="Times New Roman"/>
                <w:color w:val="000000" w:themeColor="text1"/>
              </w:rPr>
              <w:t>Water level (non-tidal)</w:t>
            </w: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BWDB</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1965- 2009</w:t>
            </w:r>
          </w:p>
        </w:tc>
      </w:tr>
      <w:tr w:rsidR="007F2F9C" w:rsidRPr="009B1F2F" w:rsidTr="00EA0111">
        <w:trPr>
          <w:trHeight w:val="288"/>
        </w:trPr>
        <w:tc>
          <w:tcPr>
            <w:tcW w:w="2425" w:type="dxa"/>
            <w:vMerge w:val="restart"/>
            <w:vAlign w:val="center"/>
          </w:tcPr>
          <w:p w:rsidR="007F2F9C" w:rsidRPr="009B1F2F" w:rsidRDefault="007F2F9C" w:rsidP="00EA0111">
            <w:pPr>
              <w:pStyle w:val="Default"/>
              <w:spacing w:after="0" w:line="276" w:lineRule="auto"/>
              <w:rPr>
                <w:rFonts w:ascii="Times New Roman" w:hAnsi="Times New Roman" w:cs="Times New Roman"/>
                <w:color w:val="000000" w:themeColor="text1"/>
              </w:rPr>
            </w:pPr>
            <w:r w:rsidRPr="009B1F2F">
              <w:rPr>
                <w:rFonts w:ascii="Times New Roman" w:hAnsi="Times New Roman" w:cs="Times New Roman"/>
                <w:color w:val="000000" w:themeColor="text1"/>
              </w:rPr>
              <w:t>Water level (tidal)</w:t>
            </w: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BWDB</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1960- 2009</w:t>
            </w:r>
          </w:p>
        </w:tc>
      </w:tr>
      <w:tr w:rsidR="007F2F9C" w:rsidRPr="009B1F2F" w:rsidTr="00EA0111">
        <w:trPr>
          <w:trHeight w:val="288"/>
        </w:trPr>
        <w:tc>
          <w:tcPr>
            <w:tcW w:w="2425" w:type="dxa"/>
            <w:vMerge/>
            <w:vAlign w:val="center"/>
          </w:tcPr>
          <w:p w:rsidR="007F2F9C" w:rsidRPr="009B1F2F" w:rsidRDefault="007F2F9C" w:rsidP="00EA0111">
            <w:pPr>
              <w:pStyle w:val="Default"/>
              <w:spacing w:after="0" w:line="276" w:lineRule="auto"/>
              <w:rPr>
                <w:rFonts w:ascii="Times New Roman" w:hAnsi="Times New Roman" w:cs="Times New Roman"/>
                <w:color w:val="000000" w:themeColor="text1"/>
              </w:rPr>
            </w:pP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BIWTA</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1977- 2002</w:t>
            </w:r>
          </w:p>
        </w:tc>
      </w:tr>
      <w:tr w:rsidR="007F2F9C" w:rsidRPr="009B1F2F" w:rsidTr="00EA0111">
        <w:trPr>
          <w:trHeight w:val="288"/>
        </w:trPr>
        <w:tc>
          <w:tcPr>
            <w:tcW w:w="2425" w:type="dxa"/>
            <w:vAlign w:val="center"/>
          </w:tcPr>
          <w:p w:rsidR="007F2F9C" w:rsidRPr="009B1F2F" w:rsidRDefault="007F2F9C" w:rsidP="00EA0111">
            <w:pPr>
              <w:pStyle w:val="Default"/>
              <w:spacing w:after="0" w:line="276" w:lineRule="auto"/>
              <w:rPr>
                <w:rFonts w:ascii="Times New Roman" w:hAnsi="Times New Roman" w:cs="Times New Roman"/>
                <w:color w:val="000000" w:themeColor="text1"/>
              </w:rPr>
            </w:pPr>
            <w:r w:rsidRPr="009B1F2F">
              <w:rPr>
                <w:rFonts w:ascii="Times New Roman" w:hAnsi="Times New Roman" w:cs="Times New Roman"/>
                <w:color w:val="000000" w:themeColor="text1"/>
              </w:rPr>
              <w:t>Discharge (Non-tidal)</w:t>
            </w: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BWDB</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1934- 2007</w:t>
            </w:r>
          </w:p>
        </w:tc>
      </w:tr>
      <w:tr w:rsidR="007F2F9C" w:rsidRPr="009B1F2F" w:rsidTr="00EA0111">
        <w:trPr>
          <w:trHeight w:val="288"/>
        </w:trPr>
        <w:tc>
          <w:tcPr>
            <w:tcW w:w="2425" w:type="dxa"/>
            <w:vAlign w:val="center"/>
          </w:tcPr>
          <w:p w:rsidR="007F2F9C" w:rsidRPr="009B1F2F" w:rsidRDefault="007F2F9C" w:rsidP="00EA0111">
            <w:pPr>
              <w:pStyle w:val="Default"/>
              <w:spacing w:after="0" w:line="276" w:lineRule="auto"/>
              <w:rPr>
                <w:rFonts w:ascii="Times New Roman" w:hAnsi="Times New Roman" w:cs="Times New Roman"/>
                <w:color w:val="000000" w:themeColor="text1"/>
              </w:rPr>
            </w:pPr>
            <w:r w:rsidRPr="009B1F2F">
              <w:rPr>
                <w:rFonts w:ascii="Times New Roman" w:hAnsi="Times New Roman" w:cs="Times New Roman"/>
                <w:color w:val="000000" w:themeColor="text1"/>
              </w:rPr>
              <w:t>Discharge (Tidal)</w:t>
            </w: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BWDB</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1964- 2007</w:t>
            </w:r>
          </w:p>
        </w:tc>
      </w:tr>
      <w:tr w:rsidR="007F2F9C" w:rsidRPr="009B1F2F" w:rsidTr="00EA0111">
        <w:trPr>
          <w:trHeight w:val="288"/>
        </w:trPr>
        <w:tc>
          <w:tcPr>
            <w:tcW w:w="2425" w:type="dxa"/>
            <w:vMerge w:val="restart"/>
            <w:vAlign w:val="center"/>
          </w:tcPr>
          <w:p w:rsidR="007F2F9C" w:rsidRPr="009B1F2F" w:rsidRDefault="007F2F9C" w:rsidP="00EA0111">
            <w:pPr>
              <w:pStyle w:val="Default"/>
              <w:spacing w:after="0" w:line="276" w:lineRule="auto"/>
              <w:rPr>
                <w:rFonts w:ascii="Times New Roman" w:hAnsi="Times New Roman" w:cs="Times New Roman"/>
                <w:color w:val="000000" w:themeColor="text1"/>
              </w:rPr>
            </w:pPr>
            <w:r w:rsidRPr="009B1F2F">
              <w:rPr>
                <w:rFonts w:ascii="Times New Roman" w:hAnsi="Times New Roman" w:cs="Times New Roman"/>
                <w:color w:val="000000" w:themeColor="text1"/>
              </w:rPr>
              <w:t>Rainfall</w:t>
            </w: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BWDB</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1961- 2008</w:t>
            </w:r>
          </w:p>
        </w:tc>
      </w:tr>
      <w:tr w:rsidR="007F2F9C" w:rsidRPr="009B1F2F" w:rsidTr="00EA0111">
        <w:trPr>
          <w:trHeight w:val="288"/>
        </w:trPr>
        <w:tc>
          <w:tcPr>
            <w:tcW w:w="2425" w:type="dxa"/>
            <w:vMerge/>
            <w:vAlign w:val="center"/>
          </w:tcPr>
          <w:p w:rsidR="007F2F9C" w:rsidRPr="009B1F2F" w:rsidRDefault="007F2F9C" w:rsidP="00EA0111">
            <w:pPr>
              <w:pStyle w:val="Default"/>
              <w:spacing w:after="0" w:line="276" w:lineRule="auto"/>
              <w:rPr>
                <w:rFonts w:ascii="Times New Roman" w:hAnsi="Times New Roman" w:cs="Times New Roman"/>
                <w:color w:val="000000" w:themeColor="text1"/>
              </w:rPr>
            </w:pP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BMD</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1960- 2008</w:t>
            </w:r>
          </w:p>
        </w:tc>
      </w:tr>
      <w:tr w:rsidR="007F2F9C" w:rsidRPr="009B1F2F" w:rsidTr="00EA0111">
        <w:trPr>
          <w:trHeight w:val="288"/>
        </w:trPr>
        <w:tc>
          <w:tcPr>
            <w:tcW w:w="2425" w:type="dxa"/>
            <w:vMerge w:val="restart"/>
            <w:vAlign w:val="center"/>
          </w:tcPr>
          <w:p w:rsidR="007F2F9C" w:rsidRPr="009B1F2F" w:rsidRDefault="007F2F9C" w:rsidP="00EA0111">
            <w:pPr>
              <w:pStyle w:val="Default"/>
              <w:spacing w:after="0" w:line="276" w:lineRule="auto"/>
              <w:rPr>
                <w:rFonts w:ascii="Times New Roman" w:hAnsi="Times New Roman" w:cs="Times New Roman"/>
                <w:color w:val="000000" w:themeColor="text1"/>
              </w:rPr>
            </w:pPr>
            <w:r w:rsidRPr="009B1F2F">
              <w:rPr>
                <w:rFonts w:ascii="Times New Roman" w:hAnsi="Times New Roman" w:cs="Times New Roman"/>
                <w:color w:val="000000" w:themeColor="text1"/>
              </w:rPr>
              <w:t>Ground water level</w:t>
            </w: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BWDB</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1967- 2003</w:t>
            </w:r>
          </w:p>
        </w:tc>
      </w:tr>
      <w:tr w:rsidR="007F2F9C" w:rsidRPr="009B1F2F" w:rsidTr="00EA0111">
        <w:trPr>
          <w:trHeight w:val="288"/>
        </w:trPr>
        <w:tc>
          <w:tcPr>
            <w:tcW w:w="2425" w:type="dxa"/>
            <w:vMerge/>
          </w:tcPr>
          <w:p w:rsidR="007F2F9C" w:rsidRPr="009B1F2F" w:rsidRDefault="007F2F9C" w:rsidP="00EA0111">
            <w:pPr>
              <w:pStyle w:val="Default"/>
              <w:spacing w:after="0" w:line="276" w:lineRule="auto"/>
              <w:jc w:val="both"/>
              <w:rPr>
                <w:rFonts w:ascii="Times New Roman" w:hAnsi="Times New Roman" w:cs="Times New Roman"/>
                <w:color w:val="000000" w:themeColor="text1"/>
              </w:rPr>
            </w:pP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DPHE</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1986- 1997</w:t>
            </w:r>
          </w:p>
        </w:tc>
      </w:tr>
      <w:tr w:rsidR="007F2F9C" w:rsidRPr="009B1F2F" w:rsidTr="00EA0111">
        <w:trPr>
          <w:trHeight w:val="288"/>
        </w:trPr>
        <w:tc>
          <w:tcPr>
            <w:tcW w:w="2425" w:type="dxa"/>
            <w:vMerge/>
          </w:tcPr>
          <w:p w:rsidR="007F2F9C" w:rsidRPr="009B1F2F" w:rsidRDefault="007F2F9C" w:rsidP="00EA0111">
            <w:pPr>
              <w:pStyle w:val="Default"/>
              <w:spacing w:after="0" w:line="276" w:lineRule="auto"/>
              <w:jc w:val="both"/>
              <w:rPr>
                <w:rFonts w:ascii="Times New Roman" w:hAnsi="Times New Roman" w:cs="Times New Roman"/>
                <w:color w:val="000000" w:themeColor="text1"/>
              </w:rPr>
            </w:pPr>
          </w:p>
        </w:tc>
        <w:tc>
          <w:tcPr>
            <w:tcW w:w="243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BADC</w:t>
            </w:r>
          </w:p>
        </w:tc>
        <w:tc>
          <w:tcPr>
            <w:tcW w:w="4500" w:type="dxa"/>
          </w:tcPr>
          <w:p w:rsidR="007F2F9C" w:rsidRPr="009B1F2F" w:rsidRDefault="007F2F9C" w:rsidP="00EA0111">
            <w:pPr>
              <w:pStyle w:val="Default"/>
              <w:spacing w:after="0" w:line="276" w:lineRule="auto"/>
              <w:jc w:val="center"/>
              <w:rPr>
                <w:rFonts w:ascii="Times New Roman" w:hAnsi="Times New Roman" w:cs="Times New Roman"/>
                <w:color w:val="000000" w:themeColor="text1"/>
              </w:rPr>
            </w:pPr>
            <w:r w:rsidRPr="009B1F2F">
              <w:rPr>
                <w:rFonts w:ascii="Times New Roman" w:hAnsi="Times New Roman" w:cs="Times New Roman"/>
                <w:color w:val="000000" w:themeColor="text1"/>
              </w:rPr>
              <w:t>1984- 1991</w:t>
            </w:r>
          </w:p>
        </w:tc>
      </w:tr>
    </w:tbl>
    <w:p w:rsidR="007F2F9C" w:rsidRDefault="007F2F9C" w:rsidP="00005EAC">
      <w:pPr>
        <w:shd w:val="clear" w:color="auto" w:fill="FFFFFF"/>
        <w:spacing w:after="0" w:line="276" w:lineRule="auto"/>
        <w:rPr>
          <w:rFonts w:cs="Times New Roman"/>
          <w:color w:val="000000" w:themeColor="text1"/>
          <w:szCs w:val="24"/>
        </w:rPr>
      </w:pPr>
    </w:p>
    <w:p w:rsidR="00F64A6A" w:rsidRDefault="004A28FA" w:rsidP="00F64A6A">
      <w:pPr>
        <w:pStyle w:val="Heading2"/>
        <w:numPr>
          <w:ilvl w:val="0"/>
          <w:numId w:val="0"/>
        </w:numPr>
        <w:ind w:left="1080"/>
      </w:pPr>
      <w:bookmarkStart w:id="902" w:name="_Toc451687632"/>
      <w:bookmarkStart w:id="903" w:name="_Toc474638951"/>
      <w:r>
        <w:t>Data U</w:t>
      </w:r>
      <w:r w:rsidR="007F2F9C" w:rsidRPr="00625930">
        <w:t xml:space="preserve">sage </w:t>
      </w:r>
      <w:r>
        <w:t>and Dissemination P</w:t>
      </w:r>
      <w:r w:rsidR="007F2F9C">
        <w:t>ractices</w:t>
      </w:r>
      <w:bookmarkEnd w:id="902"/>
      <w:bookmarkEnd w:id="903"/>
    </w:p>
    <w:p w:rsidR="007F2F9C" w:rsidRDefault="007F2F9C" w:rsidP="00EA0111">
      <w:p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 xml:space="preserve">A number of </w:t>
      </w:r>
      <w:r>
        <w:rPr>
          <w:rFonts w:eastAsia="Times New Roman" w:cs="Times New Roman"/>
          <w:color w:val="000000" w:themeColor="text1"/>
          <w:szCs w:val="24"/>
        </w:rPr>
        <w:t>data users depend on the NWRD and t</w:t>
      </w:r>
      <w:r w:rsidRPr="009B1F2F">
        <w:rPr>
          <w:rFonts w:eastAsia="Times New Roman" w:cs="Times New Roman"/>
          <w:color w:val="000000" w:themeColor="text1"/>
          <w:szCs w:val="24"/>
        </w:rPr>
        <w:t>he most common categories of data users are:</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Pr>
          <w:rFonts w:eastAsia="Times New Roman" w:cs="Times New Roman"/>
          <w:color w:val="000000" w:themeColor="text1"/>
          <w:szCs w:val="24"/>
        </w:rPr>
        <w:t xml:space="preserve">GoB </w:t>
      </w:r>
      <w:r w:rsidRPr="009B1F2F">
        <w:rPr>
          <w:rFonts w:eastAsia="Times New Roman" w:cs="Times New Roman"/>
          <w:color w:val="000000" w:themeColor="text1"/>
          <w:szCs w:val="24"/>
        </w:rPr>
        <w:t>organizations</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Semi-government organizations</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Au</w:t>
      </w:r>
      <w:r w:rsidR="00FE6385">
        <w:rPr>
          <w:rFonts w:eastAsia="Times New Roman" w:cs="Times New Roman"/>
          <w:color w:val="000000" w:themeColor="text1"/>
          <w:szCs w:val="24"/>
        </w:rPr>
        <w:t>ton</w:t>
      </w:r>
      <w:r w:rsidRPr="009B1F2F">
        <w:rPr>
          <w:rFonts w:eastAsia="Times New Roman" w:cs="Times New Roman"/>
          <w:color w:val="000000" w:themeColor="text1"/>
          <w:szCs w:val="24"/>
        </w:rPr>
        <w:t>omous bodies</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Projects and programs of governmental, semi-governmental and au</w:t>
      </w:r>
      <w:r w:rsidR="00FE6385">
        <w:rPr>
          <w:rFonts w:eastAsia="Times New Roman" w:cs="Times New Roman"/>
          <w:color w:val="000000" w:themeColor="text1"/>
          <w:szCs w:val="24"/>
        </w:rPr>
        <w:t>ton</w:t>
      </w:r>
      <w:r w:rsidRPr="009B1F2F">
        <w:rPr>
          <w:rFonts w:eastAsia="Times New Roman" w:cs="Times New Roman"/>
          <w:color w:val="000000" w:themeColor="text1"/>
          <w:szCs w:val="24"/>
        </w:rPr>
        <w:t>omous organizations</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Local and international non-government organizations</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Private companies</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International organizations</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Local and foreign educational institutions</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Local and overseas researchers</w:t>
      </w:r>
    </w:p>
    <w:p w:rsidR="007F2F9C" w:rsidRPr="009B1F2F"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Individual users and</w:t>
      </w:r>
    </w:p>
    <w:p w:rsidR="007F2F9C" w:rsidRPr="004A28FA" w:rsidRDefault="007F2F9C" w:rsidP="003D5A31">
      <w:pPr>
        <w:pStyle w:val="ListParagraph"/>
        <w:numPr>
          <w:ilvl w:val="0"/>
          <w:numId w:val="99"/>
        </w:num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Others</w:t>
      </w:r>
    </w:p>
    <w:p w:rsidR="007F2F9C" w:rsidRPr="009B1F2F" w:rsidRDefault="007F2F9C" w:rsidP="00EA0111">
      <w:p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One of the important and mandated routine tasks of WARPO is data diss</w:t>
      </w:r>
      <w:r>
        <w:rPr>
          <w:rFonts w:eastAsia="Times New Roman" w:cs="Times New Roman"/>
          <w:color w:val="000000" w:themeColor="text1"/>
          <w:szCs w:val="24"/>
        </w:rPr>
        <w:t>emination. Since 1999</w:t>
      </w:r>
      <w:r w:rsidRPr="009B1F2F">
        <w:rPr>
          <w:rFonts w:eastAsia="Times New Roman" w:cs="Times New Roman"/>
          <w:color w:val="000000" w:themeColor="text1"/>
          <w:szCs w:val="24"/>
        </w:rPr>
        <w:t>, WARPO is diss</w:t>
      </w:r>
      <w:r>
        <w:rPr>
          <w:rFonts w:eastAsia="Times New Roman" w:cs="Times New Roman"/>
          <w:color w:val="000000" w:themeColor="text1"/>
          <w:szCs w:val="24"/>
        </w:rPr>
        <w:t>eminating data to national and i</w:t>
      </w:r>
      <w:r w:rsidRPr="009B1F2F">
        <w:rPr>
          <w:rFonts w:eastAsia="Times New Roman" w:cs="Times New Roman"/>
          <w:color w:val="000000" w:themeColor="text1"/>
          <w:szCs w:val="24"/>
        </w:rPr>
        <w:t>nternational organizations, universities, research organizations, projects etc. Data is being used for water resources planning, management, research, study</w:t>
      </w:r>
      <w:r>
        <w:rPr>
          <w:rFonts w:eastAsia="Times New Roman" w:cs="Times New Roman"/>
          <w:color w:val="000000" w:themeColor="text1"/>
          <w:szCs w:val="24"/>
        </w:rPr>
        <w:t>,</w:t>
      </w:r>
      <w:r w:rsidRPr="009B1F2F">
        <w:rPr>
          <w:rFonts w:eastAsia="Times New Roman" w:cs="Times New Roman"/>
          <w:color w:val="000000" w:themeColor="text1"/>
          <w:szCs w:val="24"/>
        </w:rPr>
        <w:t xml:space="preserve"> etc. From October 2013 to January 2014, WARPO has disseminated data to 10 agencies includin</w:t>
      </w:r>
      <w:r>
        <w:rPr>
          <w:rFonts w:eastAsia="Times New Roman" w:cs="Times New Roman"/>
          <w:color w:val="000000" w:themeColor="text1"/>
          <w:szCs w:val="24"/>
        </w:rPr>
        <w:t>g the RRI</w:t>
      </w:r>
      <w:r w:rsidRPr="009B1F2F">
        <w:rPr>
          <w:rFonts w:eastAsia="Times New Roman" w:cs="Times New Roman"/>
          <w:color w:val="000000" w:themeColor="text1"/>
          <w:szCs w:val="24"/>
        </w:rPr>
        <w:t>, Bangladesh University of Engineering and Technology (BUET), Dhaka University, Bangladesh Agricultural Un</w:t>
      </w:r>
      <w:r>
        <w:rPr>
          <w:rFonts w:eastAsia="Times New Roman" w:cs="Times New Roman"/>
          <w:color w:val="000000" w:themeColor="text1"/>
          <w:szCs w:val="24"/>
        </w:rPr>
        <w:t xml:space="preserve">iversity (BAU), BRAC University, </w:t>
      </w:r>
      <w:r w:rsidRPr="009B1F2F">
        <w:rPr>
          <w:rFonts w:eastAsia="Times New Roman" w:cs="Times New Roman"/>
          <w:color w:val="000000" w:themeColor="text1"/>
          <w:szCs w:val="24"/>
        </w:rPr>
        <w:t xml:space="preserve">etc. from NWRD and ICRD. </w:t>
      </w:r>
    </w:p>
    <w:p w:rsidR="00EA0111" w:rsidRDefault="00EA0111">
      <w:pPr>
        <w:rPr>
          <w:rFonts w:eastAsia="Times New Roman" w:cs="Times New Roman"/>
          <w:b/>
          <w:color w:val="000000" w:themeColor="text1"/>
          <w:szCs w:val="24"/>
        </w:rPr>
      </w:pPr>
      <w:bookmarkStart w:id="904" w:name="_Toc451687633"/>
      <w:r>
        <w:rPr>
          <w:rFonts w:eastAsia="Times New Roman" w:cs="Times New Roman"/>
          <w:b/>
          <w:color w:val="000000" w:themeColor="text1"/>
          <w:szCs w:val="24"/>
        </w:rPr>
        <w:br w:type="page"/>
      </w:r>
    </w:p>
    <w:p w:rsidR="00000000" w:rsidRDefault="007F2F9C" w:rsidP="003D5A31">
      <w:pPr>
        <w:pStyle w:val="BodyText"/>
        <w:numPr>
          <w:ilvl w:val="2"/>
          <w:numId w:val="158"/>
        </w:numPr>
        <w:spacing w:after="240" w:line="276" w:lineRule="auto"/>
        <w:jc w:val="both"/>
        <w:rPr>
          <w:rFonts w:cs="Times New Roman"/>
          <w:b/>
          <w:szCs w:val="24"/>
        </w:rPr>
      </w:pPr>
      <w:r w:rsidRPr="001D703C">
        <w:rPr>
          <w:rFonts w:cs="Times New Roman"/>
          <w:b/>
          <w:szCs w:val="24"/>
        </w:rPr>
        <w:lastRenderedPageBreak/>
        <w:t>Challenges and Drawbacks</w:t>
      </w:r>
      <w:bookmarkEnd w:id="904"/>
      <w:r w:rsidRPr="001D703C">
        <w:rPr>
          <w:rFonts w:cs="Times New Roman"/>
          <w:b/>
          <w:szCs w:val="24"/>
        </w:rPr>
        <w:t xml:space="preserve"> of Current M&amp;E Practices</w:t>
      </w:r>
    </w:p>
    <w:p w:rsidR="007F2F9C" w:rsidRPr="00631E37" w:rsidRDefault="007F2F9C" w:rsidP="00EA0111">
      <w:pPr>
        <w:shd w:val="clear" w:color="auto" w:fill="FFFFFF"/>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A number of challenges and d</w:t>
      </w:r>
      <w:r>
        <w:rPr>
          <w:rFonts w:eastAsia="Times New Roman" w:cs="Times New Roman"/>
          <w:color w:val="000000" w:themeColor="text1"/>
          <w:szCs w:val="24"/>
        </w:rPr>
        <w:t>rawbacks emerge from</w:t>
      </w:r>
      <w:r w:rsidRPr="00631E37">
        <w:rPr>
          <w:rFonts w:eastAsia="Times New Roman" w:cs="Times New Roman"/>
          <w:color w:val="000000" w:themeColor="text1"/>
          <w:szCs w:val="24"/>
        </w:rPr>
        <w:t xml:space="preserve"> the current M&amp;E practices carried out by different ministries and their respective agencies. These challenges include </w:t>
      </w:r>
      <w:r>
        <w:rPr>
          <w:rFonts w:eastAsia="Times New Roman" w:cs="Times New Roman"/>
          <w:color w:val="000000" w:themeColor="text1"/>
          <w:szCs w:val="24"/>
        </w:rPr>
        <w:t xml:space="preserve">absence of a systematic M&amp;E framework for integrated water </w:t>
      </w:r>
      <w:r w:rsidR="00F64E5E">
        <w:rPr>
          <w:rFonts w:eastAsia="Times New Roman" w:cs="Times New Roman"/>
          <w:color w:val="000000" w:themeColor="text1"/>
          <w:szCs w:val="24"/>
        </w:rPr>
        <w:t>management, issues</w:t>
      </w:r>
      <w:r w:rsidRPr="00631E37">
        <w:rPr>
          <w:rFonts w:eastAsia="Times New Roman" w:cs="Times New Roman"/>
          <w:color w:val="000000" w:themeColor="text1"/>
          <w:szCs w:val="24"/>
        </w:rPr>
        <w:t xml:space="preserve"> around data quality, accessibility, updating, archiving and overall coordination amongst data collecting agencies. </w:t>
      </w:r>
    </w:p>
    <w:p w:rsidR="007F2F9C" w:rsidRDefault="007F2F9C" w:rsidP="00EA0111">
      <w:pPr>
        <w:shd w:val="clear" w:color="auto" w:fill="FFFFFF"/>
        <w:spacing w:line="276" w:lineRule="auto"/>
        <w:jc w:val="both"/>
        <w:rPr>
          <w:rFonts w:eastAsia="Times New Roman" w:cs="Times New Roman"/>
          <w:color w:val="000000" w:themeColor="text1"/>
          <w:szCs w:val="24"/>
        </w:rPr>
      </w:pPr>
      <w:r>
        <w:rPr>
          <w:rFonts w:eastAsia="Times New Roman" w:cs="Times New Roman"/>
          <w:color w:val="000000" w:themeColor="text1"/>
          <w:szCs w:val="24"/>
        </w:rPr>
        <w:t xml:space="preserve">The biggest gap is the absence of a systematic approach to integrated water sector M&amp;E based on an agreed DRF, baseline estimates and end-year targets. Even at the project level, the M&amp;E focus is on physical completion of project and use of financial resources rather than an informed assessment of results achieved the gaps in results and the reasons thereof, and implications for future projects.  The absence of a systematic M&amp;E effort is a serious planning drawback, especially in view of the many uncertainties of climate behaviour and related implications for water variables.   </w:t>
      </w:r>
    </w:p>
    <w:p w:rsidR="007F2F9C" w:rsidRPr="009B1F2F" w:rsidRDefault="007F2F9C" w:rsidP="00EA0111">
      <w:pPr>
        <w:shd w:val="clear" w:color="auto" w:fill="FFFFFF"/>
        <w:spacing w:line="276" w:lineRule="auto"/>
        <w:jc w:val="both"/>
        <w:rPr>
          <w:rFonts w:eastAsia="Times New Roman" w:cs="Times New Roman"/>
          <w:color w:val="000000" w:themeColor="text1"/>
          <w:szCs w:val="24"/>
        </w:rPr>
      </w:pPr>
      <w:r w:rsidRPr="009B1F2F">
        <w:rPr>
          <w:rFonts w:eastAsia="Times New Roman" w:cs="Times New Roman"/>
          <w:color w:val="000000" w:themeColor="text1"/>
          <w:szCs w:val="24"/>
        </w:rPr>
        <w:t>The existing equipment, human and financial resources of the various data collecting agencies are often inadequate to collect process and publish necessary data in a timely manner. Most projects in the water sector have their own form of data collection and information processing, and present</w:t>
      </w:r>
      <w:r>
        <w:rPr>
          <w:rFonts w:eastAsia="Times New Roman" w:cs="Times New Roman"/>
          <w:color w:val="000000" w:themeColor="text1"/>
          <w:szCs w:val="24"/>
        </w:rPr>
        <w:t xml:space="preserve">ing </w:t>
      </w:r>
      <w:r w:rsidRPr="009B1F2F">
        <w:rPr>
          <w:rFonts w:eastAsia="Times New Roman" w:cs="Times New Roman"/>
          <w:color w:val="000000" w:themeColor="text1"/>
          <w:szCs w:val="24"/>
        </w:rPr>
        <w:t xml:space="preserve">their outputs in the form of reports and project databases. The lack of formal mandate to share reports or store data in a central archive often results in loss of valuable research data and findings and are not available to other users. </w:t>
      </w:r>
    </w:p>
    <w:p w:rsidR="007F2F9C" w:rsidRPr="00631E37" w:rsidRDefault="007F2F9C" w:rsidP="00EA0111">
      <w:pPr>
        <w:shd w:val="clear" w:color="auto" w:fill="FFFFFF"/>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There are ove</w:t>
      </w:r>
      <w:r>
        <w:rPr>
          <w:rFonts w:eastAsia="Times New Roman" w:cs="Times New Roman"/>
          <w:color w:val="000000" w:themeColor="text1"/>
          <w:szCs w:val="24"/>
        </w:rPr>
        <w:t>rlaps in da</w:t>
      </w:r>
      <w:r w:rsidRPr="00631E37">
        <w:rPr>
          <w:rFonts w:eastAsia="Times New Roman" w:cs="Times New Roman"/>
          <w:color w:val="000000" w:themeColor="text1"/>
          <w:szCs w:val="24"/>
        </w:rPr>
        <w:t>ta collection activities. BWDB and BMD collect meteorological data;</w:t>
      </w:r>
      <w:r>
        <w:rPr>
          <w:rFonts w:eastAsia="Times New Roman" w:cs="Times New Roman"/>
          <w:color w:val="000000" w:themeColor="text1"/>
          <w:szCs w:val="24"/>
        </w:rPr>
        <w:t xml:space="preserve"> </w:t>
      </w:r>
      <w:r w:rsidRPr="00631E37">
        <w:rPr>
          <w:rFonts w:eastAsia="Times New Roman" w:cs="Times New Roman"/>
          <w:color w:val="000000" w:themeColor="text1"/>
          <w:szCs w:val="24"/>
        </w:rPr>
        <w:t>while BWDB, BIWTA, IWM and CEGIS collect water level and morphological data. BWDB, DPHE and BARC all have responsibi</w:t>
      </w:r>
      <w:r w:rsidR="0097725E">
        <w:rPr>
          <w:rFonts w:eastAsia="Times New Roman" w:cs="Times New Roman"/>
          <w:color w:val="000000" w:themeColor="text1"/>
          <w:szCs w:val="24"/>
        </w:rPr>
        <w:t>lities for groundwater data. The</w:t>
      </w:r>
      <w:r w:rsidRPr="00631E37">
        <w:rPr>
          <w:rFonts w:eastAsia="Times New Roman" w:cs="Times New Roman"/>
          <w:color w:val="000000" w:themeColor="text1"/>
          <w:szCs w:val="24"/>
        </w:rPr>
        <w:t>s</w:t>
      </w:r>
      <w:r w:rsidR="0097725E">
        <w:rPr>
          <w:rFonts w:eastAsia="Times New Roman" w:cs="Times New Roman"/>
          <w:color w:val="000000" w:themeColor="text1"/>
          <w:szCs w:val="24"/>
        </w:rPr>
        <w:t>e result</w:t>
      </w:r>
      <w:r w:rsidRPr="00631E37">
        <w:rPr>
          <w:rFonts w:eastAsia="Times New Roman" w:cs="Times New Roman"/>
          <w:color w:val="000000" w:themeColor="text1"/>
          <w:szCs w:val="24"/>
        </w:rPr>
        <w:t xml:space="preserve"> in duplication of work, gaps between data collected and user needs, inconsistent data formats, and additional expenditure, which could be avoided with better planning and coordination. </w:t>
      </w:r>
    </w:p>
    <w:p w:rsidR="007F2F9C" w:rsidRPr="00631E37" w:rsidRDefault="007F2F9C" w:rsidP="00EA0111">
      <w:pPr>
        <w:shd w:val="clear" w:color="auto" w:fill="FFFFFF"/>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WARPO has signed Memorandum of Understanding with BWDB, LGED, and JRC, Physical Infrastructure Division of the Planning Commission, Char Development and Settlement Project of BWDB, and CEGIS. These MOUs mostly concern data sharing arrangements. However, due to lack of stronger institutional presence, insufficient coordination with these agencies and limited revenue budget, the collection of data process is hindered in WARPO.</w:t>
      </w:r>
    </w:p>
    <w:p w:rsidR="007F2F9C" w:rsidRPr="0079268B" w:rsidRDefault="007F2F9C" w:rsidP="000B7CF9">
      <w:pPr>
        <w:shd w:val="clear" w:color="auto" w:fill="FFFFFF"/>
        <w:spacing w:line="276" w:lineRule="auto"/>
        <w:jc w:val="both"/>
        <w:rPr>
          <w:rFonts w:eastAsia="Times New Roman" w:cs="Times New Roman"/>
          <w:i/>
          <w:color w:val="000000" w:themeColor="text1"/>
          <w:szCs w:val="24"/>
        </w:rPr>
      </w:pPr>
      <w:r w:rsidRPr="00631E37">
        <w:rPr>
          <w:rFonts w:eastAsia="Times New Roman" w:cs="Times New Roman"/>
          <w:color w:val="000000" w:themeColor="text1"/>
          <w:szCs w:val="24"/>
        </w:rPr>
        <w:t xml:space="preserve">There is no standard in place for checking and maintaining the quality of water resources data at a national level. </w:t>
      </w:r>
      <w:r w:rsidR="0047442A">
        <w:rPr>
          <w:rFonts w:eastAsia="Times New Roman" w:cs="Times New Roman"/>
          <w:i/>
          <w:color w:val="000000" w:themeColor="text1"/>
          <w:szCs w:val="24"/>
        </w:rPr>
        <w:t xml:space="preserve">The problem of data quality control is widespread and profound, permeating even the most basic data and affecting the entire data collection process. In order to improve the data quality, the NWRD team prepared draft guidelines on NWRD Spatial Data Quality and Time Series Data Quality Control during the NWMP project. However, these documents have not been finalized yet. </w:t>
      </w:r>
    </w:p>
    <w:p w:rsidR="007F2F9C" w:rsidRPr="00631E37" w:rsidRDefault="007F2F9C" w:rsidP="000B7CF9">
      <w:pPr>
        <w:shd w:val="clear" w:color="auto" w:fill="FFFFFF"/>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lastRenderedPageBreak/>
        <w:t xml:space="preserve">The current situation is that large quantities of data are spread over many different organizations. A common theme throughout these organizations is the absence of sound backup and archiving policies for the electronic data that they retain and the corresponding failure to adapt their backup and archiving systems to new infrastructure that is introduced as the computer technologies evolve. In part this problem also results from insufficient financing. </w:t>
      </w:r>
    </w:p>
    <w:p w:rsidR="007F2F9C" w:rsidRPr="00631E37" w:rsidRDefault="0047442A" w:rsidP="000B7CF9">
      <w:pPr>
        <w:shd w:val="clear" w:color="auto" w:fill="FFFFFF"/>
        <w:spacing w:line="276" w:lineRule="auto"/>
        <w:jc w:val="both"/>
        <w:rPr>
          <w:rFonts w:eastAsia="Times New Roman" w:cs="Times New Roman"/>
          <w:color w:val="000000" w:themeColor="text1"/>
          <w:szCs w:val="24"/>
        </w:rPr>
      </w:pPr>
      <w:r>
        <w:rPr>
          <w:rFonts w:eastAsia="Times New Roman" w:cs="Times New Roman"/>
          <w:i/>
          <w:color w:val="000000" w:themeColor="text1"/>
          <w:szCs w:val="24"/>
        </w:rPr>
        <w:t>Apart from BWDB and LGED, most agencies involved in implementing the NWMP do not readily share their data or M&amp;E results with WARPO. However, reliable information on the implementation status of the NWMP is an important aspect of updating the Plan and it is evident that the monitoring of the implementation status of NWMP has not been satisfactory</w:t>
      </w:r>
      <w:r w:rsidR="007F2F9C" w:rsidRPr="00631E37">
        <w:rPr>
          <w:rFonts w:eastAsia="Times New Roman" w:cs="Times New Roman"/>
          <w:color w:val="000000" w:themeColor="text1"/>
          <w:szCs w:val="24"/>
        </w:rPr>
        <w:t>.</w:t>
      </w:r>
      <w:bookmarkStart w:id="905" w:name="_Toc451687634"/>
    </w:p>
    <w:p w:rsidR="00F64A6A" w:rsidRDefault="007F2F9C" w:rsidP="00F64A6A">
      <w:pPr>
        <w:pStyle w:val="Heading2"/>
        <w:numPr>
          <w:ilvl w:val="0"/>
          <w:numId w:val="0"/>
        </w:numPr>
        <w:ind w:left="1080"/>
      </w:pPr>
      <w:bookmarkStart w:id="906" w:name="_Toc474638952"/>
      <w:r w:rsidRPr="0026531F">
        <w:t>Lessons from International Experiences</w:t>
      </w:r>
      <w:bookmarkEnd w:id="905"/>
      <w:bookmarkEnd w:id="906"/>
    </w:p>
    <w:p w:rsidR="007F2F9C" w:rsidRPr="00631E37" w:rsidRDefault="007F2F9C" w:rsidP="00EA0111">
      <w:pPr>
        <w:shd w:val="clear" w:color="auto" w:fill="FFFFFF"/>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 xml:space="preserve">Institutional M&amp;E experiences in </w:t>
      </w:r>
      <w:r>
        <w:rPr>
          <w:rFonts w:eastAsia="Times New Roman" w:cs="Times New Roman"/>
          <w:color w:val="000000" w:themeColor="text1"/>
          <w:szCs w:val="24"/>
        </w:rPr>
        <w:t>integrated water management exist</w:t>
      </w:r>
      <w:r w:rsidR="0079268B">
        <w:rPr>
          <w:rFonts w:eastAsia="Times New Roman" w:cs="Times New Roman"/>
          <w:color w:val="000000" w:themeColor="text1"/>
          <w:szCs w:val="24"/>
        </w:rPr>
        <w:t>s</w:t>
      </w:r>
      <w:r>
        <w:rPr>
          <w:rFonts w:eastAsia="Times New Roman" w:cs="Times New Roman"/>
          <w:color w:val="000000" w:themeColor="text1"/>
          <w:szCs w:val="24"/>
        </w:rPr>
        <w:t xml:space="preserve"> </w:t>
      </w:r>
      <w:r w:rsidRPr="00631E37">
        <w:rPr>
          <w:rFonts w:eastAsia="Times New Roman" w:cs="Times New Roman"/>
          <w:color w:val="000000" w:themeColor="text1"/>
          <w:szCs w:val="24"/>
        </w:rPr>
        <w:t xml:space="preserve">from </w:t>
      </w:r>
      <w:r>
        <w:rPr>
          <w:rFonts w:eastAsia="Times New Roman" w:cs="Times New Roman"/>
          <w:color w:val="000000" w:themeColor="text1"/>
          <w:szCs w:val="24"/>
        </w:rPr>
        <w:t xml:space="preserve">many developing and developed countries. The M&amp;E experiences at the delta level exist in </w:t>
      </w:r>
      <w:r w:rsidRPr="00631E37">
        <w:rPr>
          <w:rFonts w:eastAsia="Times New Roman" w:cs="Times New Roman"/>
          <w:color w:val="000000" w:themeColor="text1"/>
          <w:szCs w:val="24"/>
        </w:rPr>
        <w:t>countries such as Netherlands and USA</w:t>
      </w:r>
      <w:r>
        <w:rPr>
          <w:rFonts w:eastAsia="Times New Roman" w:cs="Times New Roman"/>
          <w:color w:val="000000" w:themeColor="text1"/>
          <w:szCs w:val="24"/>
        </w:rPr>
        <w:t>. They</w:t>
      </w:r>
      <w:r w:rsidRPr="00631E37">
        <w:rPr>
          <w:rFonts w:eastAsia="Times New Roman" w:cs="Times New Roman"/>
          <w:color w:val="000000" w:themeColor="text1"/>
          <w:szCs w:val="24"/>
        </w:rPr>
        <w:t xml:space="preserve"> have evolved over a long period of time</w:t>
      </w:r>
      <w:r>
        <w:rPr>
          <w:rFonts w:eastAsia="Times New Roman" w:cs="Times New Roman"/>
          <w:color w:val="000000" w:themeColor="text1"/>
          <w:szCs w:val="24"/>
        </w:rPr>
        <w:t>, adapting to the needs of the situation</w:t>
      </w:r>
      <w:r w:rsidRPr="00631E37">
        <w:rPr>
          <w:rFonts w:eastAsia="Times New Roman" w:cs="Times New Roman"/>
          <w:color w:val="000000" w:themeColor="text1"/>
          <w:szCs w:val="24"/>
        </w:rPr>
        <w:t>. Though</w:t>
      </w:r>
      <w:r>
        <w:rPr>
          <w:rFonts w:eastAsia="Times New Roman" w:cs="Times New Roman"/>
          <w:color w:val="000000" w:themeColor="text1"/>
          <w:szCs w:val="24"/>
        </w:rPr>
        <w:t xml:space="preserve"> </w:t>
      </w:r>
      <w:r w:rsidRPr="00631E37">
        <w:rPr>
          <w:rFonts w:eastAsia="Times New Roman" w:cs="Times New Roman"/>
          <w:color w:val="000000" w:themeColor="text1"/>
          <w:szCs w:val="24"/>
        </w:rPr>
        <w:t>all positive institutional experiences may not be replicable in the context of Bangladesh as they have shaped in a particular delta, the organizing principles, the safeguards, and the adaptive features of these experiences can provide useful insights for Bangladesh in developing its own M&amp;E system for the Bangladesh Delta management.</w:t>
      </w:r>
    </w:p>
    <w:p w:rsidR="007F2F9C" w:rsidRPr="003913EC" w:rsidRDefault="007F2F9C" w:rsidP="00EA0111">
      <w:pPr>
        <w:shd w:val="clear" w:color="auto" w:fill="FFFFFF"/>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The following</w:t>
      </w:r>
      <w:r>
        <w:rPr>
          <w:rFonts w:eastAsia="Times New Roman" w:cs="Times New Roman"/>
          <w:color w:val="000000" w:themeColor="text1"/>
          <w:szCs w:val="24"/>
        </w:rPr>
        <w:t xml:space="preserve"> lessons emerge </w:t>
      </w:r>
      <w:r w:rsidRPr="00631E37">
        <w:rPr>
          <w:rFonts w:eastAsia="Times New Roman" w:cs="Times New Roman"/>
          <w:color w:val="000000" w:themeColor="text1"/>
          <w:szCs w:val="24"/>
        </w:rPr>
        <w:t>for improving water resources M&amp;E and data management in Bangladesh:</w:t>
      </w:r>
    </w:p>
    <w:p w:rsidR="007F2F9C" w:rsidRDefault="007F2F9C" w:rsidP="003D5A31">
      <w:pPr>
        <w:pStyle w:val="ListParagraph"/>
        <w:numPr>
          <w:ilvl w:val="0"/>
          <w:numId w:val="100"/>
        </w:numPr>
        <w:spacing w:line="276" w:lineRule="auto"/>
        <w:ind w:left="360"/>
        <w:jc w:val="both"/>
        <w:rPr>
          <w:rFonts w:cs="Times New Roman"/>
          <w:szCs w:val="24"/>
        </w:rPr>
      </w:pPr>
      <w:r w:rsidRPr="00AF1C5E">
        <w:rPr>
          <w:rFonts w:cs="Times New Roman"/>
          <w:szCs w:val="24"/>
        </w:rPr>
        <w:t xml:space="preserve">Need for a systematic approach that links the delta objectives and targets to the M&amp;E exercise. </w:t>
      </w:r>
    </w:p>
    <w:p w:rsidR="007F2F9C" w:rsidRDefault="007F2F9C" w:rsidP="003D5A31">
      <w:pPr>
        <w:pStyle w:val="ListParagraph"/>
        <w:numPr>
          <w:ilvl w:val="0"/>
          <w:numId w:val="100"/>
        </w:numPr>
        <w:spacing w:line="276" w:lineRule="auto"/>
        <w:ind w:left="360"/>
        <w:jc w:val="both"/>
        <w:rPr>
          <w:rFonts w:cs="Times New Roman"/>
          <w:szCs w:val="24"/>
        </w:rPr>
      </w:pPr>
      <w:r w:rsidRPr="00AF1C5E">
        <w:rPr>
          <w:rFonts w:cs="Times New Roman"/>
          <w:szCs w:val="24"/>
        </w:rPr>
        <w:t>Need to develop measure quantitative indicators to measure progress with delta management.  These indicators change with time as new information is available, especially in view of the uncertainties of climate change.</w:t>
      </w:r>
    </w:p>
    <w:p w:rsidR="007F2F9C" w:rsidRDefault="007F2F9C" w:rsidP="003D5A31">
      <w:pPr>
        <w:pStyle w:val="ListParagraph"/>
        <w:numPr>
          <w:ilvl w:val="0"/>
          <w:numId w:val="100"/>
        </w:numPr>
        <w:spacing w:line="276" w:lineRule="auto"/>
        <w:ind w:left="360"/>
        <w:jc w:val="both"/>
        <w:rPr>
          <w:rFonts w:cs="Times New Roman"/>
          <w:szCs w:val="24"/>
        </w:rPr>
      </w:pPr>
      <w:r>
        <w:rPr>
          <w:rFonts w:cs="Times New Roman"/>
          <w:szCs w:val="24"/>
        </w:rPr>
        <w:t>Invest in data, analysis and research.  The Netherlands and Germany are two excellent examples of this.</w:t>
      </w:r>
    </w:p>
    <w:p w:rsidR="007F2F9C" w:rsidRDefault="007F2F9C" w:rsidP="003D5A31">
      <w:pPr>
        <w:pStyle w:val="ListParagraph"/>
        <w:numPr>
          <w:ilvl w:val="0"/>
          <w:numId w:val="100"/>
        </w:numPr>
        <w:spacing w:line="276" w:lineRule="auto"/>
        <w:ind w:left="360"/>
        <w:jc w:val="both"/>
        <w:rPr>
          <w:rFonts w:cs="Times New Roman"/>
          <w:szCs w:val="24"/>
        </w:rPr>
      </w:pPr>
      <w:r w:rsidRPr="00AF1C5E">
        <w:rPr>
          <w:rFonts w:cs="Times New Roman"/>
          <w:szCs w:val="24"/>
        </w:rPr>
        <w:t xml:space="preserve">Assign institutional responsibility for M&amp;E. </w:t>
      </w:r>
    </w:p>
    <w:p w:rsidR="007F2F9C" w:rsidRDefault="007F2F9C" w:rsidP="003D5A31">
      <w:pPr>
        <w:pStyle w:val="ListParagraph"/>
        <w:numPr>
          <w:ilvl w:val="0"/>
          <w:numId w:val="100"/>
        </w:numPr>
        <w:spacing w:line="276" w:lineRule="auto"/>
        <w:ind w:left="360"/>
        <w:jc w:val="both"/>
        <w:rPr>
          <w:rFonts w:cs="Times New Roman"/>
          <w:szCs w:val="24"/>
        </w:rPr>
      </w:pPr>
      <w:r>
        <w:rPr>
          <w:rFonts w:cs="Times New Roman"/>
          <w:szCs w:val="24"/>
        </w:rPr>
        <w:t>Conduct M&amp;E exercise at regular intervals and make this widely available for policy analysis and research.</w:t>
      </w:r>
    </w:p>
    <w:p w:rsidR="00F64A6A" w:rsidRDefault="007F2F9C" w:rsidP="00F64A6A">
      <w:pPr>
        <w:pStyle w:val="Heading2"/>
        <w:numPr>
          <w:ilvl w:val="0"/>
          <w:numId w:val="0"/>
        </w:numPr>
        <w:ind w:left="1080"/>
      </w:pPr>
      <w:bookmarkStart w:id="907" w:name="_Toc474638953"/>
      <w:bookmarkStart w:id="908" w:name="_Toc451687635"/>
      <w:r w:rsidRPr="001D32E4">
        <w:t xml:space="preserve">The Delta </w:t>
      </w:r>
      <w:r>
        <w:t xml:space="preserve">M&amp;E </w:t>
      </w:r>
      <w:r w:rsidRPr="001D32E4">
        <w:t>Framework</w:t>
      </w:r>
      <w:bookmarkEnd w:id="907"/>
    </w:p>
    <w:p w:rsidR="00000000" w:rsidRDefault="007F2F9C" w:rsidP="003D5A31">
      <w:pPr>
        <w:pStyle w:val="BodyText"/>
        <w:numPr>
          <w:ilvl w:val="2"/>
          <w:numId w:val="159"/>
        </w:numPr>
        <w:spacing w:after="240" w:line="276" w:lineRule="auto"/>
        <w:jc w:val="both"/>
        <w:rPr>
          <w:rFonts w:cs="Times New Roman"/>
          <w:b/>
          <w:szCs w:val="24"/>
        </w:rPr>
      </w:pPr>
      <w:r w:rsidRPr="001D703C">
        <w:rPr>
          <w:rFonts w:cs="Times New Roman"/>
          <w:b/>
          <w:szCs w:val="24"/>
        </w:rPr>
        <w:t>The BDP2100 M&amp;E System and its Aims</w:t>
      </w:r>
      <w:bookmarkEnd w:id="898"/>
      <w:bookmarkEnd w:id="908"/>
    </w:p>
    <w:p w:rsidR="007F2F9C" w:rsidRPr="00631E37" w:rsidRDefault="007F2F9C" w:rsidP="00EA0111">
      <w:pPr>
        <w:shd w:val="clear" w:color="auto" w:fill="FFFFFF"/>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 xml:space="preserve">In order to ensure Adaptive Delta Management, uncertainties and risks have to be managed appropriately. Also, policy pathways have to be converted into actions and adaptive measures need to be implemented timely. This will require a change in usual processes in governance and institutional environment. </w:t>
      </w:r>
    </w:p>
    <w:p w:rsidR="007F2F9C" w:rsidRPr="00631E37" w:rsidRDefault="007F2F9C" w:rsidP="00EA0111">
      <w:pPr>
        <w:shd w:val="clear" w:color="auto" w:fill="FFFFFF"/>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 xml:space="preserve">Therefore, acceptance and ownership of the Delta Framework and its vision and strategies are crucial at all levels, including individual projects, ministries and the overall national level. For ensuring successful multi-sectoral coordination, integration among agencies and their practices of M&amp;E, and good governance, the Delta Framework is a pre-requisite. Governance for Adaptive Delta Management should provide a decision-making structure that fosters communication between implementing agencies and decision makers, and has clear lines of authority facilitating timely decisions are made and implemented. Governance for implementing adaptive management must provide for the institutional capacity to interact, learn, and adapt. </w:t>
      </w:r>
    </w:p>
    <w:p w:rsidR="007F2F9C" w:rsidRPr="00293638" w:rsidRDefault="007F2F9C" w:rsidP="00EA0111">
      <w:pPr>
        <w:shd w:val="clear" w:color="auto" w:fill="FFFFFF"/>
        <w:spacing w:line="276" w:lineRule="auto"/>
        <w:jc w:val="both"/>
        <w:rPr>
          <w:rFonts w:eastAsia="Times New Roman" w:cs="Times New Roman"/>
          <w:color w:val="000000" w:themeColor="text1"/>
          <w:szCs w:val="24"/>
        </w:rPr>
      </w:pPr>
      <w:r w:rsidRPr="00631E37">
        <w:rPr>
          <w:rFonts w:eastAsia="Times New Roman" w:cs="Times New Roman"/>
          <w:color w:val="000000" w:themeColor="text1"/>
          <w:szCs w:val="24"/>
        </w:rPr>
        <w:t xml:space="preserve">It will help guide and ensure effective implementation and M&amp;E in relation to progress and identification of tipping points and possible change in pathway(s).Moreover, attention has to be paid to comply with the critical control points. In accordance with the Framework, the assessment and analysis of data are anticipated to lead to periodic adjustments in management of the BDP2100 interventions and updates in operations and monitoring plans. The BDP2100 M&amp;E system is aimed at generating information that can be used in the achievement of these objectives. The M&amp;E system is envisioned to be a living </w:t>
      </w:r>
      <w:r w:rsidR="0079268B">
        <w:rPr>
          <w:rFonts w:eastAsia="Times New Roman" w:cs="Times New Roman"/>
          <w:color w:val="000000" w:themeColor="text1"/>
          <w:szCs w:val="24"/>
        </w:rPr>
        <w:t>process</w:t>
      </w:r>
      <w:r w:rsidR="0079268B" w:rsidRPr="00631E37">
        <w:rPr>
          <w:rFonts w:eastAsia="Times New Roman" w:cs="Times New Roman"/>
          <w:color w:val="000000" w:themeColor="text1"/>
          <w:szCs w:val="24"/>
        </w:rPr>
        <w:t xml:space="preserve"> </w:t>
      </w:r>
      <w:r w:rsidRPr="00631E37">
        <w:rPr>
          <w:rFonts w:eastAsia="Times New Roman" w:cs="Times New Roman"/>
          <w:color w:val="000000" w:themeColor="text1"/>
          <w:szCs w:val="24"/>
        </w:rPr>
        <w:t>and would need to remain flexible to respond effectively to unanticipated events.</w:t>
      </w:r>
    </w:p>
    <w:p w:rsidR="00000000" w:rsidRDefault="007F2F9C" w:rsidP="003D5A31">
      <w:pPr>
        <w:pStyle w:val="BodyText"/>
        <w:numPr>
          <w:ilvl w:val="2"/>
          <w:numId w:val="159"/>
        </w:numPr>
        <w:spacing w:after="240" w:line="276" w:lineRule="auto"/>
        <w:jc w:val="both"/>
        <w:rPr>
          <w:rFonts w:cs="Times New Roman"/>
          <w:b/>
          <w:szCs w:val="24"/>
        </w:rPr>
      </w:pPr>
      <w:r w:rsidRPr="001D703C">
        <w:rPr>
          <w:rFonts w:cs="Times New Roman"/>
          <w:b/>
          <w:szCs w:val="24"/>
        </w:rPr>
        <w:t>BDP2100 Development Results Framework (DRF)</w:t>
      </w:r>
    </w:p>
    <w:p w:rsidR="007F2F9C" w:rsidRPr="001D32E4" w:rsidRDefault="007F2F9C" w:rsidP="00EA0111">
      <w:pPr>
        <w:shd w:val="clear" w:color="auto" w:fill="FFFFFF"/>
        <w:spacing w:line="276" w:lineRule="auto"/>
        <w:jc w:val="both"/>
        <w:rPr>
          <w:rFonts w:eastAsia="Times New Roman" w:cs="Times New Roman"/>
          <w:color w:val="000000" w:themeColor="text1"/>
          <w:szCs w:val="24"/>
        </w:rPr>
      </w:pPr>
      <w:r w:rsidRPr="001D32E4">
        <w:rPr>
          <w:rFonts w:eastAsia="Times New Roman" w:cs="Times New Roman"/>
          <w:color w:val="000000" w:themeColor="text1"/>
          <w:szCs w:val="24"/>
        </w:rPr>
        <w:t>Measuring environmental, social, and economic conditions and influences on these conditions constitutes an important part of knowledge</w:t>
      </w:r>
      <w:r w:rsidRPr="001D32E4">
        <w:rPr>
          <w:rFonts w:ascii="Cambria Math" w:eastAsia="Times New Roman" w:hAnsi="Cambria Math" w:cs="Cambria Math"/>
          <w:color w:val="000000" w:themeColor="text1"/>
          <w:szCs w:val="24"/>
        </w:rPr>
        <w:t>‐</w:t>
      </w:r>
      <w:r w:rsidRPr="001D32E4">
        <w:rPr>
          <w:rFonts w:eastAsia="Times New Roman" w:cs="Times New Roman"/>
          <w:color w:val="000000" w:themeColor="text1"/>
          <w:szCs w:val="24"/>
        </w:rPr>
        <w:t>building and adaptive management. The BDP2100 Delta F</w:t>
      </w:r>
      <w:r>
        <w:rPr>
          <w:rFonts w:eastAsia="Times New Roman" w:cs="Times New Roman"/>
          <w:color w:val="000000" w:themeColor="text1"/>
          <w:szCs w:val="24"/>
        </w:rPr>
        <w:t>ramework</w:t>
      </w:r>
      <w:r w:rsidRPr="001D32E4">
        <w:rPr>
          <w:rFonts w:eastAsia="Times New Roman" w:cs="Times New Roman"/>
          <w:color w:val="000000" w:themeColor="text1"/>
          <w:szCs w:val="24"/>
        </w:rPr>
        <w:t xml:space="preserve"> brings together indicators that will inform stakeholders about water system conditions and their relationships to ecosystems, social systems, and economic systems. The evaluation of the selected indicators is anticipated to reveal how different actions or inaction can degrade or improve conditions that lead to water sustainability. The Framework is built around both statements of intent (e.g., objectives) and themes (e.g., water quality). </w:t>
      </w:r>
    </w:p>
    <w:p w:rsidR="007F2F9C" w:rsidRPr="001D32E4" w:rsidRDefault="007F2F9C" w:rsidP="00EA0111">
      <w:pPr>
        <w:shd w:val="clear" w:color="auto" w:fill="FFFFFF"/>
        <w:spacing w:line="276" w:lineRule="auto"/>
        <w:jc w:val="both"/>
        <w:rPr>
          <w:rFonts w:eastAsia="Times New Roman" w:cs="Times New Roman"/>
          <w:color w:val="000000" w:themeColor="text1"/>
          <w:szCs w:val="24"/>
        </w:rPr>
      </w:pPr>
      <w:r w:rsidRPr="001D32E4">
        <w:rPr>
          <w:rFonts w:eastAsia="Times New Roman" w:cs="Times New Roman"/>
          <w:color w:val="000000" w:themeColor="text1"/>
          <w:szCs w:val="24"/>
        </w:rPr>
        <w:t>Reporting on</w:t>
      </w:r>
      <w:r>
        <w:rPr>
          <w:rFonts w:eastAsia="Times New Roman" w:cs="Times New Roman"/>
          <w:color w:val="000000" w:themeColor="text1"/>
          <w:szCs w:val="24"/>
        </w:rPr>
        <w:t xml:space="preserve"> </w:t>
      </w:r>
      <w:r w:rsidRPr="001D32E4">
        <w:rPr>
          <w:rFonts w:eastAsia="Times New Roman" w:cs="Times New Roman"/>
          <w:color w:val="000000" w:themeColor="text1"/>
          <w:szCs w:val="24"/>
        </w:rPr>
        <w:t>indicators</w:t>
      </w:r>
      <w:r>
        <w:rPr>
          <w:rFonts w:eastAsia="Times New Roman" w:cs="Times New Roman"/>
          <w:color w:val="000000" w:themeColor="text1"/>
          <w:szCs w:val="24"/>
        </w:rPr>
        <w:t xml:space="preserve"> </w:t>
      </w:r>
      <w:r w:rsidRPr="001D32E4">
        <w:rPr>
          <w:rFonts w:eastAsia="Times New Roman" w:cs="Times New Roman"/>
          <w:color w:val="000000" w:themeColor="text1"/>
          <w:szCs w:val="24"/>
        </w:rPr>
        <w:t xml:space="preserve">ought to be based on the principle of measuring how far a current condition is from a desired condition. The Framework is intended to support reporting of indicators to a wide array of water and environmental stakeholders, the </w:t>
      </w:r>
      <w:r w:rsidR="000B096E">
        <w:t>public</w:t>
      </w:r>
      <w:r w:rsidRPr="001D32E4">
        <w:rPr>
          <w:rFonts w:eastAsia="Times New Roman" w:cs="Times New Roman"/>
          <w:color w:val="000000" w:themeColor="text1"/>
          <w:szCs w:val="24"/>
        </w:rPr>
        <w:t>, and decision-makers to build knowledge and to enhance adaptive decision</w:t>
      </w:r>
      <w:r w:rsidRPr="001D32E4">
        <w:rPr>
          <w:rFonts w:ascii="Cambria Math" w:eastAsia="Times New Roman" w:hAnsi="Cambria Math" w:cs="Cambria Math"/>
          <w:color w:val="000000" w:themeColor="text1"/>
          <w:szCs w:val="24"/>
        </w:rPr>
        <w:t>‐</w:t>
      </w:r>
      <w:r w:rsidRPr="001D32E4">
        <w:rPr>
          <w:rFonts w:eastAsia="Times New Roman" w:cs="Times New Roman"/>
          <w:color w:val="000000" w:themeColor="text1"/>
          <w:szCs w:val="24"/>
        </w:rPr>
        <w:t>making and policy change.</w:t>
      </w:r>
    </w:p>
    <w:p w:rsidR="007F2F9C" w:rsidRDefault="007F2F9C" w:rsidP="00EA0111">
      <w:pPr>
        <w:shd w:val="clear" w:color="auto" w:fill="FFFFFF"/>
        <w:spacing w:line="276" w:lineRule="auto"/>
        <w:jc w:val="both"/>
        <w:rPr>
          <w:rFonts w:eastAsia="Times New Roman" w:cs="Times New Roman"/>
          <w:color w:val="000000" w:themeColor="text1"/>
          <w:szCs w:val="24"/>
        </w:rPr>
      </w:pPr>
      <w:r w:rsidRPr="001D32E4">
        <w:rPr>
          <w:rFonts w:eastAsia="Times New Roman" w:cs="Times New Roman"/>
          <w:color w:val="000000" w:themeColor="text1"/>
          <w:szCs w:val="24"/>
        </w:rPr>
        <w:t>The basis of the Framework is an overall vision for water</w:t>
      </w:r>
      <w:r w:rsidRPr="001D32E4">
        <w:rPr>
          <w:rFonts w:ascii="Cambria Math" w:eastAsia="Times New Roman" w:hAnsi="Cambria Math" w:cs="Cambria Math"/>
          <w:color w:val="000000" w:themeColor="text1"/>
          <w:szCs w:val="24"/>
        </w:rPr>
        <w:t>‐</w:t>
      </w:r>
      <w:r w:rsidRPr="001D32E4">
        <w:rPr>
          <w:rFonts w:eastAsia="Times New Roman" w:cs="Times New Roman"/>
          <w:color w:val="000000" w:themeColor="text1"/>
          <w:szCs w:val="24"/>
        </w:rPr>
        <w:t>related sustainability indicators for Bangladesh, including an understanding of sustainability, indicators, and related terms. The Framework is designed to be scale</w:t>
      </w:r>
      <w:r w:rsidRPr="001D32E4">
        <w:rPr>
          <w:rFonts w:ascii="Cambria Math" w:eastAsia="Times New Roman" w:hAnsi="Cambria Math" w:cs="Cambria Math"/>
          <w:color w:val="000000" w:themeColor="text1"/>
          <w:szCs w:val="24"/>
        </w:rPr>
        <w:t>‐</w:t>
      </w:r>
      <w:r w:rsidRPr="001D32E4">
        <w:rPr>
          <w:rFonts w:eastAsia="Times New Roman" w:cs="Times New Roman"/>
          <w:color w:val="000000" w:themeColor="text1"/>
          <w:szCs w:val="24"/>
        </w:rPr>
        <w:t>independent, so it can be applied from local to national scales. Ultimately, the Framework informs us how well we are sustaining the natural, social, and economic systems that we depend upon, at least in terms of water, and based on what we know about stresses to these systems, how we can improve degraded conditions.</w:t>
      </w:r>
    </w:p>
    <w:p w:rsidR="007F2F9C" w:rsidRDefault="007F2F9C" w:rsidP="00EA0111">
      <w:pPr>
        <w:shd w:val="clear" w:color="auto" w:fill="FFFFFF"/>
        <w:spacing w:line="276" w:lineRule="auto"/>
        <w:jc w:val="both"/>
        <w:rPr>
          <w:rFonts w:cs="Times New Roman"/>
          <w:szCs w:val="24"/>
        </w:rPr>
      </w:pPr>
      <w:r>
        <w:rPr>
          <w:rFonts w:eastAsia="Times New Roman" w:cs="Times New Roman"/>
          <w:color w:val="000000" w:themeColor="text1"/>
          <w:szCs w:val="24"/>
        </w:rPr>
        <w:t>The starting point for developing the Development Results Framework for BDP2100 is the Delta Vision and the associated objectives, goals an</w:t>
      </w:r>
      <w:r w:rsidR="0097725E">
        <w:rPr>
          <w:rFonts w:eastAsia="Times New Roman" w:cs="Times New Roman"/>
          <w:color w:val="000000" w:themeColor="text1"/>
          <w:szCs w:val="24"/>
        </w:rPr>
        <w:t>d targets discussed in Chapter 5</w:t>
      </w:r>
      <w:r>
        <w:rPr>
          <w:rFonts w:eastAsia="Times New Roman" w:cs="Times New Roman"/>
          <w:color w:val="000000" w:themeColor="text1"/>
          <w:szCs w:val="24"/>
        </w:rPr>
        <w:t xml:space="preserve">.  As noted there, the BDP2100 </w:t>
      </w:r>
      <w:r w:rsidRPr="00C444E9">
        <w:rPr>
          <w:rFonts w:eastAsia="Times New Roman" w:cs="Times New Roman"/>
          <w:color w:val="000000" w:themeColor="text1"/>
          <w:szCs w:val="24"/>
        </w:rPr>
        <w:t xml:space="preserve">sets two types of goals: higher level </w:t>
      </w:r>
      <w:r w:rsidRPr="00C444E9">
        <w:rPr>
          <w:rFonts w:cs="Times New Roman"/>
          <w:szCs w:val="24"/>
        </w:rPr>
        <w:t>national g</w:t>
      </w:r>
      <w:r w:rsidR="0097725E">
        <w:rPr>
          <w:rFonts w:cs="Times New Roman"/>
          <w:szCs w:val="24"/>
        </w:rPr>
        <w:t xml:space="preserve">oals set by National Plans and </w:t>
      </w:r>
      <w:r w:rsidR="0079268B">
        <w:rPr>
          <w:rFonts w:cs="Times New Roman"/>
          <w:szCs w:val="24"/>
        </w:rPr>
        <w:t>6</w:t>
      </w:r>
      <w:r w:rsidR="0079268B" w:rsidRPr="00C444E9">
        <w:rPr>
          <w:rFonts w:cs="Times New Roman"/>
          <w:szCs w:val="24"/>
        </w:rPr>
        <w:t xml:space="preserve"> </w:t>
      </w:r>
      <w:r w:rsidRPr="00C444E9">
        <w:rPr>
          <w:rFonts w:cs="Times New Roman"/>
          <w:szCs w:val="24"/>
        </w:rPr>
        <w:t xml:space="preserve">specific goals of the Delta Plan that contribute to these higher level goals.   The </w:t>
      </w:r>
      <w:r w:rsidR="0079268B">
        <w:rPr>
          <w:rFonts w:cs="Times New Roman"/>
          <w:szCs w:val="24"/>
        </w:rPr>
        <w:t xml:space="preserve">three </w:t>
      </w:r>
      <w:r w:rsidRPr="00C444E9">
        <w:rPr>
          <w:rFonts w:cs="Times New Roman"/>
          <w:szCs w:val="24"/>
        </w:rPr>
        <w:t>higher level national goals and the six specific goals to translate the Delta Vision into reality are as follows:</w:t>
      </w:r>
    </w:p>
    <w:p w:rsidR="007F2F9C" w:rsidRPr="00D02605" w:rsidRDefault="007F2F9C" w:rsidP="000D4E58">
      <w:pPr>
        <w:pStyle w:val="BodyText"/>
        <w:spacing w:after="240" w:line="276" w:lineRule="auto"/>
        <w:jc w:val="both"/>
        <w:rPr>
          <w:rFonts w:cs="Times New Roman"/>
          <w:b/>
          <w:i/>
          <w:szCs w:val="24"/>
        </w:rPr>
      </w:pPr>
      <w:r w:rsidRPr="00D02605">
        <w:rPr>
          <w:rFonts w:cs="Times New Roman"/>
          <w:b/>
          <w:i/>
          <w:szCs w:val="24"/>
        </w:rPr>
        <w:t>Higher-Level National Goals</w:t>
      </w:r>
    </w:p>
    <w:p w:rsidR="007F2F9C" w:rsidRPr="00C444E9" w:rsidRDefault="007F2F9C" w:rsidP="003D5A31">
      <w:pPr>
        <w:pStyle w:val="ListParagraph"/>
        <w:numPr>
          <w:ilvl w:val="0"/>
          <w:numId w:val="101"/>
        </w:numPr>
        <w:spacing w:line="276" w:lineRule="auto"/>
        <w:jc w:val="both"/>
        <w:rPr>
          <w:rFonts w:cs="Times New Roman"/>
          <w:bCs/>
          <w:szCs w:val="24"/>
        </w:rPr>
      </w:pPr>
      <w:r w:rsidRPr="00C444E9">
        <w:rPr>
          <w:rFonts w:cs="Times New Roman"/>
          <w:bCs/>
          <w:szCs w:val="24"/>
        </w:rPr>
        <w:t>Goal 1: Eliminate extreme poverty by 2030</w:t>
      </w:r>
    </w:p>
    <w:p w:rsidR="007F2F9C" w:rsidRDefault="007F2F9C" w:rsidP="003D5A31">
      <w:pPr>
        <w:pStyle w:val="ListParagraph"/>
        <w:numPr>
          <w:ilvl w:val="0"/>
          <w:numId w:val="101"/>
        </w:numPr>
        <w:spacing w:line="276" w:lineRule="auto"/>
        <w:jc w:val="both"/>
        <w:rPr>
          <w:rFonts w:cs="Times New Roman"/>
          <w:bCs/>
          <w:szCs w:val="24"/>
        </w:rPr>
      </w:pPr>
      <w:r w:rsidRPr="00C444E9">
        <w:rPr>
          <w:rFonts w:cs="Times New Roman"/>
          <w:bCs/>
          <w:szCs w:val="24"/>
        </w:rPr>
        <w:t>Goal 2: Achieve up</w:t>
      </w:r>
      <w:r w:rsidR="00DF13B6">
        <w:rPr>
          <w:rFonts w:cs="Times New Roman"/>
          <w:bCs/>
          <w:szCs w:val="24"/>
        </w:rPr>
        <w:t>per middle income status by 203</w:t>
      </w:r>
      <w:r w:rsidR="00DE016B">
        <w:rPr>
          <w:rFonts w:cs="Times New Roman"/>
          <w:bCs/>
          <w:szCs w:val="24"/>
        </w:rPr>
        <w:t>0</w:t>
      </w:r>
    </w:p>
    <w:p w:rsidR="0079268B" w:rsidRDefault="0079268B" w:rsidP="003D5A31">
      <w:pPr>
        <w:pStyle w:val="ListParagraph"/>
        <w:numPr>
          <w:ilvl w:val="0"/>
          <w:numId w:val="101"/>
        </w:numPr>
        <w:spacing w:line="276" w:lineRule="auto"/>
        <w:jc w:val="both"/>
        <w:rPr>
          <w:rFonts w:cs="Times New Roman"/>
          <w:bCs/>
          <w:szCs w:val="24"/>
        </w:rPr>
      </w:pPr>
      <w:r>
        <w:rPr>
          <w:rFonts w:cs="Times New Roman"/>
          <w:bCs/>
          <w:szCs w:val="24"/>
        </w:rPr>
        <w:t>Goal 3: Being a prosporous country beyond 2040</w:t>
      </w:r>
    </w:p>
    <w:p w:rsidR="007F2F9C" w:rsidRPr="00C444E9" w:rsidRDefault="007F2F9C" w:rsidP="00EA0111">
      <w:pPr>
        <w:pStyle w:val="ListParagraph"/>
        <w:spacing w:line="276" w:lineRule="auto"/>
        <w:jc w:val="both"/>
        <w:rPr>
          <w:rFonts w:cs="Times New Roman"/>
          <w:bCs/>
          <w:sz w:val="12"/>
          <w:szCs w:val="12"/>
        </w:rPr>
      </w:pPr>
    </w:p>
    <w:p w:rsidR="007F2F9C" w:rsidRPr="00D02605" w:rsidRDefault="007F2F9C" w:rsidP="000D4E58">
      <w:pPr>
        <w:pStyle w:val="BodyText"/>
        <w:spacing w:after="240" w:line="276" w:lineRule="auto"/>
        <w:jc w:val="both"/>
        <w:rPr>
          <w:rFonts w:cs="Times New Roman"/>
          <w:b/>
          <w:i/>
          <w:szCs w:val="24"/>
        </w:rPr>
      </w:pPr>
      <w:r w:rsidRPr="00D02605">
        <w:rPr>
          <w:rFonts w:cs="Times New Roman"/>
          <w:b/>
          <w:i/>
          <w:szCs w:val="24"/>
        </w:rPr>
        <w:t>BDP2100 Specific Goals</w:t>
      </w:r>
    </w:p>
    <w:p w:rsidR="007F2F9C" w:rsidRDefault="007F2F9C" w:rsidP="003D5A31">
      <w:pPr>
        <w:pStyle w:val="ListParagraph"/>
        <w:numPr>
          <w:ilvl w:val="0"/>
          <w:numId w:val="102"/>
        </w:numPr>
        <w:spacing w:line="276" w:lineRule="auto"/>
        <w:ind w:left="720"/>
        <w:jc w:val="both"/>
        <w:rPr>
          <w:rFonts w:cs="Times New Roman"/>
          <w:bCs/>
          <w:szCs w:val="24"/>
        </w:rPr>
      </w:pPr>
      <w:r w:rsidRPr="006A7894">
        <w:rPr>
          <w:rFonts w:cs="Times New Roman"/>
          <w:bCs/>
          <w:szCs w:val="24"/>
        </w:rPr>
        <w:t>Goal 1: Ensure safety from floods and climate change related disasters</w:t>
      </w:r>
    </w:p>
    <w:p w:rsidR="007F2F9C" w:rsidRDefault="007F2F9C" w:rsidP="003D5A31">
      <w:pPr>
        <w:pStyle w:val="ListParagraph"/>
        <w:numPr>
          <w:ilvl w:val="0"/>
          <w:numId w:val="102"/>
        </w:numPr>
        <w:spacing w:line="276" w:lineRule="auto"/>
        <w:ind w:left="720"/>
        <w:jc w:val="both"/>
        <w:rPr>
          <w:rFonts w:cs="Times New Roman"/>
          <w:bCs/>
          <w:szCs w:val="24"/>
        </w:rPr>
      </w:pPr>
      <w:bookmarkStart w:id="909" w:name="_Toc430704911"/>
      <w:bookmarkStart w:id="910" w:name="_Toc430847276"/>
      <w:r w:rsidRPr="006A7894">
        <w:rPr>
          <w:rFonts w:cs="Times New Roman"/>
          <w:bCs/>
          <w:szCs w:val="24"/>
        </w:rPr>
        <w:t>Goal 2: Enhance water security and efficiency of water usages</w:t>
      </w:r>
      <w:bookmarkEnd w:id="909"/>
      <w:bookmarkEnd w:id="910"/>
    </w:p>
    <w:p w:rsidR="007F2F9C" w:rsidRDefault="007F2F9C" w:rsidP="003D5A31">
      <w:pPr>
        <w:pStyle w:val="ListParagraph"/>
        <w:numPr>
          <w:ilvl w:val="0"/>
          <w:numId w:val="102"/>
        </w:numPr>
        <w:spacing w:line="276" w:lineRule="auto"/>
        <w:ind w:left="720"/>
        <w:jc w:val="both"/>
        <w:rPr>
          <w:rFonts w:cs="Times New Roman"/>
          <w:bCs/>
          <w:szCs w:val="24"/>
        </w:rPr>
      </w:pPr>
      <w:bookmarkStart w:id="911" w:name="_Toc430704912"/>
      <w:bookmarkStart w:id="912" w:name="_Toc430847277"/>
      <w:r w:rsidRPr="006A7894">
        <w:rPr>
          <w:rFonts w:cs="Times New Roman"/>
          <w:bCs/>
          <w:szCs w:val="24"/>
        </w:rPr>
        <w:t>Goal 3: Ensure sustainable and integrated river systems and estuaries management</w:t>
      </w:r>
      <w:bookmarkEnd w:id="911"/>
      <w:bookmarkEnd w:id="912"/>
    </w:p>
    <w:p w:rsidR="007F2F9C" w:rsidRPr="006A7894" w:rsidRDefault="007F2F9C" w:rsidP="003D5A31">
      <w:pPr>
        <w:pStyle w:val="ListParagraph"/>
        <w:numPr>
          <w:ilvl w:val="0"/>
          <w:numId w:val="102"/>
        </w:numPr>
        <w:spacing w:line="276" w:lineRule="auto"/>
        <w:ind w:left="720"/>
        <w:jc w:val="both"/>
        <w:rPr>
          <w:rFonts w:cs="Times New Roman"/>
          <w:bCs/>
        </w:rPr>
      </w:pPr>
      <w:bookmarkStart w:id="913" w:name="_Toc430704913"/>
      <w:bookmarkStart w:id="914" w:name="_Toc430847278"/>
      <w:r w:rsidRPr="006A7894">
        <w:rPr>
          <w:rFonts w:cs="Times New Roman"/>
          <w:bCs/>
          <w:szCs w:val="24"/>
        </w:rPr>
        <w:t>Goal 4: Conserve and preserve wetlands and ecosystems and promote their wise use</w:t>
      </w:r>
      <w:bookmarkEnd w:id="913"/>
      <w:bookmarkEnd w:id="914"/>
    </w:p>
    <w:p w:rsidR="007F2F9C" w:rsidRPr="006A7894" w:rsidRDefault="007F2F9C" w:rsidP="003D5A31">
      <w:pPr>
        <w:pStyle w:val="ListParagraph"/>
        <w:numPr>
          <w:ilvl w:val="0"/>
          <w:numId w:val="102"/>
        </w:numPr>
        <w:spacing w:line="276" w:lineRule="auto"/>
        <w:ind w:left="720"/>
        <w:jc w:val="both"/>
        <w:rPr>
          <w:rFonts w:cs="Times New Roman"/>
          <w:bCs/>
          <w:szCs w:val="24"/>
        </w:rPr>
      </w:pPr>
      <w:bookmarkStart w:id="915" w:name="_Toc430704914"/>
      <w:bookmarkStart w:id="916" w:name="_Toc430847279"/>
      <w:r w:rsidRPr="006A7894">
        <w:rPr>
          <w:rFonts w:cs="Times New Roman"/>
          <w:bCs/>
          <w:szCs w:val="24"/>
        </w:rPr>
        <w:t>Goal 5: Develop effective institutions and equitable governance for in-country and trans-boundary water resources management</w:t>
      </w:r>
      <w:bookmarkEnd w:id="915"/>
      <w:bookmarkEnd w:id="916"/>
    </w:p>
    <w:p w:rsidR="007F2F9C" w:rsidRPr="006A7894" w:rsidRDefault="007F2F9C" w:rsidP="003D5A31">
      <w:pPr>
        <w:pStyle w:val="ListParagraph"/>
        <w:numPr>
          <w:ilvl w:val="0"/>
          <w:numId w:val="102"/>
        </w:numPr>
        <w:spacing w:line="276" w:lineRule="auto"/>
        <w:ind w:left="720"/>
        <w:jc w:val="both"/>
        <w:rPr>
          <w:rFonts w:cs="Times New Roman"/>
          <w:bCs/>
          <w:szCs w:val="24"/>
        </w:rPr>
      </w:pPr>
      <w:bookmarkStart w:id="917" w:name="_Toc430704915"/>
      <w:bookmarkStart w:id="918" w:name="_Toc430847280"/>
      <w:r w:rsidRPr="006A7894">
        <w:rPr>
          <w:rFonts w:cs="Times New Roman"/>
          <w:bCs/>
          <w:szCs w:val="24"/>
        </w:rPr>
        <w:t>Goal 6: Achieve optimal and integrated use of land and water resources</w:t>
      </w:r>
      <w:bookmarkEnd w:id="917"/>
      <w:bookmarkEnd w:id="918"/>
    </w:p>
    <w:p w:rsidR="007F2F9C" w:rsidRDefault="007F2F9C" w:rsidP="00EA0111">
      <w:pPr>
        <w:pStyle w:val="ListParagraph"/>
        <w:spacing w:line="276" w:lineRule="auto"/>
        <w:jc w:val="both"/>
        <w:rPr>
          <w:rFonts w:cs="Times New Roman"/>
          <w:bCs/>
          <w:sz w:val="28"/>
          <w:szCs w:val="28"/>
        </w:rPr>
      </w:pPr>
    </w:p>
    <w:p w:rsidR="007F2F9C" w:rsidRDefault="007F2F9C" w:rsidP="00EA0111">
      <w:pPr>
        <w:pStyle w:val="ListParagraph"/>
        <w:spacing w:line="276" w:lineRule="auto"/>
        <w:ind w:left="0"/>
        <w:jc w:val="both"/>
        <w:rPr>
          <w:rFonts w:cs="Times New Roman"/>
          <w:bCs/>
          <w:szCs w:val="24"/>
        </w:rPr>
      </w:pPr>
      <w:r>
        <w:rPr>
          <w:rFonts w:cs="Times New Roman"/>
          <w:bCs/>
          <w:szCs w:val="24"/>
        </w:rPr>
        <w:t>The higher-level national level goals are an outcome of the implementation of a wide-ranging economy-wide policies, programmes and institutions.  The BDP2100 is one major element of these policies, programmes and institutions involving the work programme of water and other water-related delta ministries.  There are many other programmes involving macroeconomic management, infrastructure, human development, social development etc that contribute to these higher-level goals.  The Government’s medium-term development plans provide the full national development strategy for achieving these and other national goals.  As noted, a system of results based M&amp;E was introduced in the 6</w:t>
      </w:r>
      <w:r w:rsidRPr="006A7894">
        <w:rPr>
          <w:rFonts w:cs="Times New Roman"/>
          <w:bCs/>
          <w:szCs w:val="24"/>
          <w:vertAlign w:val="superscript"/>
        </w:rPr>
        <w:t>th</w:t>
      </w:r>
      <w:r>
        <w:rPr>
          <w:rFonts w:cs="Times New Roman"/>
          <w:bCs/>
          <w:szCs w:val="24"/>
        </w:rPr>
        <w:t xml:space="preserve"> Plan and the effort has been broadened in the </w:t>
      </w:r>
      <w:r w:rsidR="006C1D4C">
        <w:rPr>
          <w:rFonts w:cs="Times New Roman"/>
          <w:bCs/>
          <w:szCs w:val="24"/>
        </w:rPr>
        <w:t>Seventh Five Year Plan</w:t>
      </w:r>
      <w:r>
        <w:rPr>
          <w:rFonts w:cs="Times New Roman"/>
          <w:bCs/>
          <w:szCs w:val="24"/>
        </w:rPr>
        <w:t xml:space="preserve">.  The DRF associated with the </w:t>
      </w:r>
      <w:r w:rsidR="006C1D4C">
        <w:rPr>
          <w:rFonts w:cs="Times New Roman"/>
          <w:bCs/>
          <w:szCs w:val="24"/>
        </w:rPr>
        <w:t>Seventh Five Year Plan</w:t>
      </w:r>
      <w:r>
        <w:rPr>
          <w:rFonts w:cs="Times New Roman"/>
          <w:bCs/>
          <w:szCs w:val="24"/>
        </w:rPr>
        <w:t xml:space="preserve"> provides the basis for assessing the implementation of the two higher level national goals.  </w:t>
      </w:r>
    </w:p>
    <w:p w:rsidR="007F2F9C" w:rsidRDefault="007F2F9C" w:rsidP="00EA0111">
      <w:pPr>
        <w:pStyle w:val="ListParagraph"/>
        <w:spacing w:line="276" w:lineRule="auto"/>
        <w:ind w:left="0"/>
        <w:jc w:val="both"/>
        <w:rPr>
          <w:rFonts w:cs="Times New Roman"/>
          <w:bCs/>
          <w:szCs w:val="24"/>
        </w:rPr>
      </w:pPr>
    </w:p>
    <w:p w:rsidR="007F2F9C" w:rsidRPr="006A7894" w:rsidRDefault="007F2F9C" w:rsidP="00EA0111">
      <w:pPr>
        <w:pStyle w:val="ListParagraph"/>
        <w:spacing w:line="276" w:lineRule="auto"/>
        <w:ind w:left="0"/>
        <w:jc w:val="both"/>
        <w:rPr>
          <w:rFonts w:cs="Times New Roman"/>
          <w:bCs/>
          <w:szCs w:val="24"/>
        </w:rPr>
      </w:pPr>
      <w:r>
        <w:rPr>
          <w:rFonts w:cs="Times New Roman"/>
          <w:bCs/>
          <w:szCs w:val="24"/>
        </w:rPr>
        <w:t xml:space="preserve">Regarding the BDP2100 Specific Goals, the ability to monitor and evaluate performance against these goals require identifying measurable targets for each of these goals, mobilizing and defining benchmark or baseline values for those targets and setting end-year values.  Since the goals are long-term moving upto year 2100 and there are considerable uncertainties underlying the exogenous climate related factors that affect these targets, the future targets can only be considered in an adaptive fashion as a moving target.  Therefore a time path approach is necessary, by which intermediate targets are set for every 5-10 years and these targets are revised in light of development experience. </w:t>
      </w:r>
    </w:p>
    <w:p w:rsidR="007F2F9C" w:rsidRDefault="007F2F9C" w:rsidP="00EA0111">
      <w:pPr>
        <w:pStyle w:val="ListParagraph"/>
        <w:spacing w:line="276" w:lineRule="auto"/>
        <w:ind w:left="0"/>
        <w:jc w:val="both"/>
        <w:rPr>
          <w:rFonts w:cs="Times New Roman"/>
          <w:bCs/>
          <w:sz w:val="28"/>
          <w:szCs w:val="28"/>
        </w:rPr>
      </w:pPr>
    </w:p>
    <w:p w:rsidR="007F2F9C" w:rsidRDefault="007F2F9C" w:rsidP="00EA0111">
      <w:pPr>
        <w:pStyle w:val="ListParagraph"/>
        <w:spacing w:line="276" w:lineRule="auto"/>
        <w:ind w:left="0"/>
        <w:jc w:val="both"/>
        <w:rPr>
          <w:rFonts w:cs="Times New Roman"/>
          <w:bCs/>
          <w:szCs w:val="24"/>
        </w:rPr>
      </w:pPr>
      <w:r w:rsidRPr="00A209BD">
        <w:rPr>
          <w:rFonts w:cs="Times New Roman"/>
          <w:bCs/>
          <w:szCs w:val="24"/>
        </w:rPr>
        <w:t xml:space="preserve">Table </w:t>
      </w:r>
      <w:r w:rsidR="00A650CE">
        <w:rPr>
          <w:rFonts w:cs="Times New Roman"/>
          <w:bCs/>
          <w:szCs w:val="24"/>
        </w:rPr>
        <w:t>13.</w:t>
      </w:r>
      <w:r w:rsidRPr="00A209BD">
        <w:rPr>
          <w:rFonts w:cs="Times New Roman"/>
          <w:bCs/>
          <w:szCs w:val="24"/>
        </w:rPr>
        <w:t xml:space="preserve">5 </w:t>
      </w:r>
      <w:r>
        <w:rPr>
          <w:rFonts w:cs="Times New Roman"/>
          <w:bCs/>
          <w:szCs w:val="24"/>
        </w:rPr>
        <w:t xml:space="preserve">illustrates a possible approach to the BDP2100 DRF.  This is done on the basis of existing knowledge.  </w:t>
      </w:r>
      <w:r w:rsidR="0029712C">
        <w:rPr>
          <w:rFonts w:cs="Times New Roman"/>
          <w:bCs/>
          <w:szCs w:val="24"/>
        </w:rPr>
        <w:t xml:space="preserve">As is obvious, there is considerable knowledge gap. A top priority for the Delta Plan is to establish a proper DRF that adequately captures progress with the Delta Plan. </w:t>
      </w:r>
      <w:r>
        <w:rPr>
          <w:rFonts w:cs="Times New Roman"/>
          <w:bCs/>
          <w:szCs w:val="24"/>
        </w:rPr>
        <w:t xml:space="preserve">The DRF </w:t>
      </w:r>
      <w:r w:rsidR="0029712C">
        <w:rPr>
          <w:rFonts w:cs="Times New Roman"/>
          <w:bCs/>
          <w:szCs w:val="24"/>
        </w:rPr>
        <w:t xml:space="preserve">should be seen as an adaptive framework that </w:t>
      </w:r>
      <w:r>
        <w:rPr>
          <w:rFonts w:cs="Times New Roman"/>
          <w:bCs/>
          <w:szCs w:val="24"/>
        </w:rPr>
        <w:t>can be modified and refined as more experience is gained and better information is available.</w:t>
      </w:r>
    </w:p>
    <w:p w:rsidR="007F2F9C" w:rsidRPr="00293638" w:rsidRDefault="007F2F9C" w:rsidP="00FD7FD3">
      <w:pPr>
        <w:pStyle w:val="Heading4"/>
      </w:pPr>
      <w:bookmarkStart w:id="919" w:name="_Toc474639153"/>
      <w:r w:rsidRPr="00293638">
        <w:t xml:space="preserve">Table </w:t>
      </w:r>
      <w:r w:rsidR="00A650CE">
        <w:t>13.</w:t>
      </w:r>
      <w:r w:rsidRPr="00293638">
        <w:t>5: The BDP2100 Development Results Framework</w:t>
      </w:r>
      <w:bookmarkEnd w:id="9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tblPr>
      <w:tblGrid>
        <w:gridCol w:w="643"/>
        <w:gridCol w:w="2204"/>
        <w:gridCol w:w="19"/>
        <w:gridCol w:w="1982"/>
        <w:gridCol w:w="443"/>
        <w:gridCol w:w="1427"/>
        <w:gridCol w:w="93"/>
        <w:gridCol w:w="9"/>
        <w:gridCol w:w="802"/>
        <w:gridCol w:w="8"/>
        <w:gridCol w:w="11"/>
        <w:gridCol w:w="1018"/>
        <w:gridCol w:w="817"/>
      </w:tblGrid>
      <w:tr w:rsidR="00361D78" w:rsidRPr="00F634CD" w:rsidTr="00F35EF9">
        <w:trPr>
          <w:trHeight w:val="144"/>
          <w:tblHeader/>
        </w:trPr>
        <w:tc>
          <w:tcPr>
            <w:tcW w:w="339" w:type="pct"/>
            <w:vMerge w:val="restart"/>
            <w:shd w:val="clear" w:color="000000" w:fill="4F81BD"/>
            <w:vAlign w:val="center"/>
            <w:hideMark/>
          </w:tcPr>
          <w:p w:rsidR="00361D78" w:rsidRPr="00F634CD" w:rsidRDefault="00361D78" w:rsidP="000D4E58">
            <w:pPr>
              <w:spacing w:after="0" w:line="240" w:lineRule="auto"/>
              <w:rPr>
                <w:rFonts w:eastAsia="Times New Roman" w:cs="Segoe UI"/>
                <w:b/>
                <w:bCs/>
                <w:color w:val="FFFFFF"/>
                <w:sz w:val="22"/>
                <w:lang w:eastAsia="en-GB"/>
              </w:rPr>
            </w:pPr>
            <w:bookmarkStart w:id="920" w:name="_Toc451687637"/>
            <w:r w:rsidRPr="00F634CD">
              <w:rPr>
                <w:rFonts w:eastAsia="Times New Roman" w:cs="Segoe UI"/>
                <w:b/>
                <w:bCs/>
                <w:color w:val="FFFFFF"/>
                <w:sz w:val="22"/>
                <w:lang w:eastAsia="en-GB"/>
              </w:rPr>
              <w:t>No</w:t>
            </w:r>
          </w:p>
        </w:tc>
        <w:tc>
          <w:tcPr>
            <w:tcW w:w="1173" w:type="pct"/>
            <w:gridSpan w:val="2"/>
            <w:vMerge w:val="restart"/>
            <w:shd w:val="clear" w:color="000000" w:fill="4F81BD"/>
            <w:vAlign w:val="center"/>
            <w:hideMark/>
          </w:tcPr>
          <w:p w:rsidR="00361D78" w:rsidRPr="00F634CD" w:rsidRDefault="00361D78" w:rsidP="000D4E58">
            <w:pPr>
              <w:spacing w:after="0" w:line="240" w:lineRule="auto"/>
              <w:jc w:val="center"/>
              <w:rPr>
                <w:rFonts w:eastAsia="Times New Roman" w:cs="Segoe UI"/>
                <w:b/>
                <w:bCs/>
                <w:color w:val="FFFFFF"/>
                <w:sz w:val="22"/>
                <w:lang w:eastAsia="en-GB"/>
              </w:rPr>
            </w:pPr>
            <w:r w:rsidRPr="00F634CD">
              <w:rPr>
                <w:rFonts w:eastAsia="Times New Roman" w:cs="Segoe UI"/>
                <w:b/>
                <w:bCs/>
                <w:color w:val="FFFFFF"/>
                <w:sz w:val="22"/>
                <w:lang w:eastAsia="en-GB"/>
              </w:rPr>
              <w:t>Indicators</w:t>
            </w:r>
          </w:p>
        </w:tc>
        <w:tc>
          <w:tcPr>
            <w:tcW w:w="1280" w:type="pct"/>
            <w:gridSpan w:val="2"/>
            <w:vMerge w:val="restart"/>
            <w:shd w:val="clear" w:color="000000" w:fill="4F81BD"/>
            <w:vAlign w:val="center"/>
            <w:hideMark/>
          </w:tcPr>
          <w:p w:rsidR="00361D78" w:rsidRPr="00F634CD" w:rsidRDefault="00361D78" w:rsidP="000D4E58">
            <w:pPr>
              <w:spacing w:after="0" w:line="240" w:lineRule="auto"/>
              <w:jc w:val="center"/>
              <w:rPr>
                <w:rFonts w:eastAsia="Times New Roman" w:cs="Segoe UI"/>
                <w:b/>
                <w:bCs/>
                <w:color w:val="FFFFFF"/>
                <w:sz w:val="22"/>
                <w:lang w:eastAsia="en-GB"/>
              </w:rPr>
            </w:pPr>
            <w:r w:rsidRPr="00F634CD">
              <w:rPr>
                <w:rFonts w:eastAsia="Times New Roman" w:cs="Segoe UI"/>
                <w:b/>
                <w:bCs/>
                <w:color w:val="FFFFFF"/>
                <w:sz w:val="22"/>
                <w:lang w:eastAsia="en-GB"/>
              </w:rPr>
              <w:t>Sub-Indicators</w:t>
            </w:r>
          </w:p>
        </w:tc>
        <w:tc>
          <w:tcPr>
            <w:tcW w:w="807" w:type="pct"/>
            <w:gridSpan w:val="3"/>
            <w:vMerge w:val="restart"/>
            <w:shd w:val="clear" w:color="000000" w:fill="4F81BD"/>
            <w:vAlign w:val="center"/>
            <w:hideMark/>
          </w:tcPr>
          <w:p w:rsidR="00361D78" w:rsidRPr="00F634CD" w:rsidRDefault="00361D78" w:rsidP="000D4E58">
            <w:pPr>
              <w:spacing w:after="0" w:line="240" w:lineRule="auto"/>
              <w:jc w:val="center"/>
              <w:rPr>
                <w:rFonts w:eastAsia="Times New Roman" w:cs="Segoe UI"/>
                <w:b/>
                <w:bCs/>
                <w:color w:val="FFFFFF"/>
                <w:sz w:val="22"/>
                <w:lang w:eastAsia="en-GB"/>
              </w:rPr>
            </w:pPr>
            <w:r w:rsidRPr="00F634CD">
              <w:rPr>
                <w:rFonts w:eastAsia="Times New Roman" w:cs="Segoe UI"/>
                <w:b/>
                <w:bCs/>
                <w:color w:val="FFFFFF"/>
                <w:sz w:val="22"/>
                <w:lang w:eastAsia="en-GB"/>
              </w:rPr>
              <w:t>Quantity</w:t>
            </w:r>
          </w:p>
        </w:tc>
        <w:tc>
          <w:tcPr>
            <w:tcW w:w="1401" w:type="pct"/>
            <w:gridSpan w:val="5"/>
            <w:shd w:val="clear" w:color="000000" w:fill="4F81BD"/>
            <w:vAlign w:val="center"/>
            <w:hideMark/>
          </w:tcPr>
          <w:p w:rsidR="00361D78" w:rsidRPr="00F634CD" w:rsidRDefault="00361D78" w:rsidP="000D4E58">
            <w:pPr>
              <w:spacing w:after="0" w:line="240" w:lineRule="auto"/>
              <w:jc w:val="center"/>
              <w:rPr>
                <w:rFonts w:eastAsia="Times New Roman" w:cs="Segoe UI"/>
                <w:b/>
                <w:bCs/>
                <w:color w:val="FFFFFF"/>
                <w:sz w:val="22"/>
                <w:lang w:eastAsia="en-GB"/>
              </w:rPr>
            </w:pPr>
            <w:r w:rsidRPr="00F634CD">
              <w:rPr>
                <w:rFonts w:eastAsia="Times New Roman" w:cs="Segoe UI"/>
                <w:b/>
                <w:bCs/>
                <w:color w:val="FFFFFF"/>
                <w:sz w:val="22"/>
                <w:lang w:eastAsia="en-GB"/>
              </w:rPr>
              <w:t>Parameters</w:t>
            </w:r>
          </w:p>
        </w:tc>
      </w:tr>
      <w:tr w:rsidR="00361D78" w:rsidRPr="00F634CD" w:rsidTr="00616D24">
        <w:trPr>
          <w:trHeight w:val="144"/>
          <w:tblHeader/>
        </w:trPr>
        <w:tc>
          <w:tcPr>
            <w:tcW w:w="339" w:type="pct"/>
            <w:vMerge/>
            <w:vAlign w:val="center"/>
            <w:hideMark/>
          </w:tcPr>
          <w:p w:rsidR="00361D78" w:rsidRPr="00F634CD" w:rsidRDefault="00361D78" w:rsidP="000D4E58">
            <w:pPr>
              <w:spacing w:after="0" w:line="240" w:lineRule="auto"/>
              <w:rPr>
                <w:rFonts w:eastAsia="Times New Roman" w:cs="Segoe UI"/>
                <w:b/>
                <w:bCs/>
                <w:color w:val="FFFFFF"/>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b/>
                <w:bCs/>
                <w:color w:val="FFFFFF"/>
                <w:sz w:val="22"/>
                <w:lang w:eastAsia="en-GB"/>
              </w:rPr>
            </w:pPr>
          </w:p>
        </w:tc>
        <w:tc>
          <w:tcPr>
            <w:tcW w:w="1280" w:type="pct"/>
            <w:gridSpan w:val="2"/>
            <w:vMerge/>
            <w:vAlign w:val="center"/>
            <w:hideMark/>
          </w:tcPr>
          <w:p w:rsidR="00361D78" w:rsidRPr="00F634CD" w:rsidRDefault="00361D78" w:rsidP="000D4E58">
            <w:pPr>
              <w:spacing w:after="0" w:line="240" w:lineRule="auto"/>
              <w:rPr>
                <w:rFonts w:eastAsia="Times New Roman" w:cs="Segoe UI"/>
                <w:b/>
                <w:bCs/>
                <w:color w:val="FFFFFF"/>
                <w:sz w:val="22"/>
                <w:lang w:eastAsia="en-GB"/>
              </w:rPr>
            </w:pPr>
          </w:p>
        </w:tc>
        <w:tc>
          <w:tcPr>
            <w:tcW w:w="807" w:type="pct"/>
            <w:gridSpan w:val="3"/>
            <w:vMerge/>
            <w:vAlign w:val="center"/>
            <w:hideMark/>
          </w:tcPr>
          <w:p w:rsidR="00361D78" w:rsidRPr="00F634CD" w:rsidRDefault="00361D78" w:rsidP="000D4E58">
            <w:pPr>
              <w:spacing w:after="0" w:line="240" w:lineRule="auto"/>
              <w:rPr>
                <w:rFonts w:eastAsia="Times New Roman" w:cs="Segoe UI"/>
                <w:b/>
                <w:bCs/>
                <w:color w:val="FFFFFF"/>
                <w:sz w:val="22"/>
                <w:lang w:eastAsia="en-GB"/>
              </w:rPr>
            </w:pPr>
          </w:p>
        </w:tc>
        <w:tc>
          <w:tcPr>
            <w:tcW w:w="433" w:type="pct"/>
            <w:gridSpan w:val="3"/>
            <w:shd w:val="clear" w:color="000000" w:fill="4BACC6"/>
            <w:vAlign w:val="center"/>
            <w:hideMark/>
          </w:tcPr>
          <w:p w:rsidR="00361D78" w:rsidRPr="00F634CD" w:rsidRDefault="00361D78" w:rsidP="000D4E58">
            <w:pPr>
              <w:spacing w:after="0" w:line="240" w:lineRule="auto"/>
              <w:jc w:val="center"/>
              <w:rPr>
                <w:rFonts w:eastAsia="Times New Roman" w:cs="Segoe UI"/>
                <w:b/>
                <w:bCs/>
                <w:color w:val="FFFFFF"/>
                <w:sz w:val="22"/>
                <w:lang w:eastAsia="en-GB"/>
              </w:rPr>
            </w:pPr>
            <w:r>
              <w:rPr>
                <w:rFonts w:eastAsia="Times New Roman" w:cs="Segoe UI"/>
                <w:b/>
                <w:bCs/>
                <w:color w:val="FFFFFF"/>
                <w:sz w:val="22"/>
                <w:lang w:eastAsia="en-GB"/>
              </w:rPr>
              <w:t>2016</w:t>
            </w:r>
          </w:p>
        </w:tc>
        <w:tc>
          <w:tcPr>
            <w:tcW w:w="537" w:type="pct"/>
            <w:shd w:val="clear" w:color="000000" w:fill="4BACC6"/>
            <w:vAlign w:val="center"/>
            <w:hideMark/>
          </w:tcPr>
          <w:p w:rsidR="00361D78" w:rsidRPr="00F634CD" w:rsidRDefault="002B5EF2" w:rsidP="000D4E58">
            <w:pPr>
              <w:spacing w:after="0" w:line="240" w:lineRule="auto"/>
              <w:jc w:val="center"/>
              <w:rPr>
                <w:rFonts w:eastAsia="Times New Roman" w:cs="Segoe UI"/>
                <w:b/>
                <w:bCs/>
                <w:color w:val="FFFFFF"/>
                <w:sz w:val="22"/>
                <w:lang w:eastAsia="en-GB"/>
              </w:rPr>
            </w:pPr>
            <w:r>
              <w:rPr>
                <w:rFonts w:eastAsia="Times New Roman" w:cs="Segoe UI"/>
                <w:b/>
                <w:bCs/>
                <w:color w:val="FFFFFF"/>
                <w:sz w:val="22"/>
                <w:lang w:eastAsia="en-GB"/>
              </w:rPr>
              <w:t>2030</w:t>
            </w:r>
          </w:p>
        </w:tc>
        <w:tc>
          <w:tcPr>
            <w:tcW w:w="431" w:type="pct"/>
            <w:shd w:val="clear" w:color="000000" w:fill="4BACC6"/>
          </w:tcPr>
          <w:p w:rsidR="00361D78" w:rsidRPr="00F634CD" w:rsidRDefault="002B5EF2" w:rsidP="000D4E58">
            <w:pPr>
              <w:spacing w:after="0" w:line="240" w:lineRule="auto"/>
              <w:jc w:val="center"/>
              <w:rPr>
                <w:rFonts w:eastAsia="Times New Roman" w:cs="Segoe UI"/>
                <w:b/>
                <w:bCs/>
                <w:color w:val="FFFFFF"/>
                <w:sz w:val="22"/>
                <w:lang w:eastAsia="en-GB"/>
              </w:rPr>
            </w:pPr>
            <w:r>
              <w:rPr>
                <w:rFonts w:eastAsia="Times New Roman" w:cs="Segoe UI"/>
                <w:b/>
                <w:bCs/>
                <w:color w:val="FFFFFF"/>
                <w:sz w:val="22"/>
                <w:lang w:eastAsia="en-GB"/>
              </w:rPr>
              <w:t>205</w:t>
            </w:r>
            <w:r w:rsidR="00361D78">
              <w:rPr>
                <w:rFonts w:eastAsia="Times New Roman" w:cs="Segoe UI"/>
                <w:b/>
                <w:bCs/>
                <w:color w:val="FFFFFF"/>
                <w:sz w:val="22"/>
                <w:lang w:eastAsia="en-GB"/>
              </w:rPr>
              <w:t>0</w:t>
            </w:r>
          </w:p>
        </w:tc>
      </w:tr>
      <w:tr w:rsidR="00361D78" w:rsidRPr="00F634CD" w:rsidTr="00616D24">
        <w:trPr>
          <w:trHeight w:val="144"/>
        </w:trPr>
        <w:tc>
          <w:tcPr>
            <w:tcW w:w="4569" w:type="pct"/>
            <w:gridSpan w:val="12"/>
            <w:shd w:val="clear" w:color="auto" w:fill="auto"/>
            <w:vAlign w:val="center"/>
            <w:hideMark/>
          </w:tcPr>
          <w:p w:rsidR="00361D78" w:rsidRPr="00F634CD" w:rsidRDefault="00361D78" w:rsidP="000D4E58">
            <w:pPr>
              <w:spacing w:after="0" w:line="240" w:lineRule="auto"/>
              <w:rPr>
                <w:rFonts w:eastAsia="Times New Roman" w:cs="Segoe UI"/>
                <w:b/>
                <w:bCs/>
                <w:i/>
                <w:iCs/>
                <w:color w:val="000000"/>
                <w:sz w:val="22"/>
                <w:lang w:eastAsia="en-GB"/>
              </w:rPr>
            </w:pPr>
            <w:r w:rsidRPr="00F634CD">
              <w:rPr>
                <w:rFonts w:eastAsia="Times New Roman" w:cs="Segoe UI"/>
                <w:b/>
                <w:bCs/>
                <w:i/>
                <w:iCs/>
                <w:color w:val="000000"/>
                <w:sz w:val="22"/>
                <w:lang w:eastAsia="en-GB"/>
              </w:rPr>
              <w:t xml:space="preserve">(Goal 1: Ensure safety </w:t>
            </w:r>
            <w:r>
              <w:rPr>
                <w:rFonts w:eastAsia="Times New Roman" w:cs="Segoe UI"/>
                <w:b/>
                <w:bCs/>
                <w:i/>
                <w:iCs/>
                <w:color w:val="000000"/>
                <w:sz w:val="22"/>
                <w:lang w:eastAsia="en-GB"/>
              </w:rPr>
              <w:t>from flood</w:t>
            </w:r>
            <w:r w:rsidRPr="00F634CD">
              <w:rPr>
                <w:rFonts w:eastAsia="Times New Roman" w:cs="Segoe UI"/>
                <w:b/>
                <w:bCs/>
                <w:i/>
                <w:iCs/>
                <w:color w:val="000000"/>
                <w:sz w:val="22"/>
                <w:lang w:eastAsia="en-GB"/>
              </w:rPr>
              <w:t xml:space="preserve"> and climate change related disasters)</w:t>
            </w:r>
          </w:p>
        </w:tc>
        <w:tc>
          <w:tcPr>
            <w:tcW w:w="431" w:type="pct"/>
          </w:tcPr>
          <w:p w:rsidR="00361D78" w:rsidRPr="00F634CD" w:rsidRDefault="00361D78" w:rsidP="000D4E58">
            <w:pPr>
              <w:spacing w:after="0" w:line="240" w:lineRule="auto"/>
              <w:rPr>
                <w:rFonts w:eastAsia="Times New Roman" w:cs="Segoe UI"/>
                <w:b/>
                <w:bCs/>
                <w:i/>
                <w:iCs/>
                <w:color w:val="000000"/>
                <w:sz w:val="22"/>
                <w:lang w:eastAsia="en-GB"/>
              </w:rPr>
            </w:pPr>
          </w:p>
        </w:tc>
      </w:tr>
      <w:tr w:rsidR="00361D78" w:rsidRPr="00F634CD" w:rsidTr="00616D24">
        <w:trPr>
          <w:trHeight w:val="144"/>
        </w:trPr>
        <w:tc>
          <w:tcPr>
            <w:tcW w:w="339" w:type="pct"/>
            <w:vMerge w:val="restart"/>
            <w:shd w:val="clear" w:color="auto" w:fill="auto"/>
            <w:vAlign w:val="center"/>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restart"/>
            <w:shd w:val="clear" w:color="auto" w:fill="auto"/>
            <w:vAlign w:val="center"/>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tcPr>
          <w:p w:rsidR="00361D78" w:rsidRDefault="00361D78" w:rsidP="000D4E58">
            <w:pPr>
              <w:spacing w:after="0" w:line="240" w:lineRule="auto"/>
              <w:rPr>
                <w:rFonts w:eastAsia="Times New Roman" w:cs="Segoe UI"/>
                <w:color w:val="000000"/>
                <w:sz w:val="22"/>
                <w:lang w:eastAsia="en-GB"/>
              </w:rPr>
            </w:pPr>
            <w:r>
              <w:rPr>
                <w:rFonts w:eastAsia="Times New Roman" w:cs="Segoe UI"/>
                <w:color w:val="000000"/>
                <w:sz w:val="22"/>
                <w:lang w:eastAsia="en-GB"/>
              </w:rPr>
              <w:t>Flood (normal) free area</w:t>
            </w:r>
          </w:p>
        </w:tc>
        <w:tc>
          <w:tcPr>
            <w:tcW w:w="807" w:type="pct"/>
            <w:gridSpan w:val="3"/>
            <w:shd w:val="clear" w:color="auto" w:fill="auto"/>
            <w:vAlign w:val="center"/>
          </w:tcPr>
          <w:p w:rsidR="00361D78" w:rsidRPr="00F634CD" w:rsidRDefault="002B5EF2"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3" w:type="pct"/>
            <w:gridSpan w:val="3"/>
            <w:shd w:val="clear" w:color="auto" w:fill="auto"/>
            <w:vAlign w:val="center"/>
          </w:tcPr>
          <w:p w:rsidR="00361D78" w:rsidRPr="00F634CD" w:rsidRDefault="002B5EF2" w:rsidP="000D4E58">
            <w:pPr>
              <w:spacing w:after="0" w:line="240" w:lineRule="auto"/>
              <w:jc w:val="right"/>
              <w:rPr>
                <w:rFonts w:eastAsia="Times New Roman" w:cs="Segoe UI"/>
                <w:color w:val="000000"/>
                <w:sz w:val="22"/>
                <w:lang w:eastAsia="en-GB"/>
              </w:rPr>
            </w:pPr>
            <w:r>
              <w:rPr>
                <w:rFonts w:eastAsia="Times New Roman" w:cs="Segoe UI"/>
                <w:color w:val="000000"/>
                <w:sz w:val="22"/>
                <w:lang w:eastAsia="en-GB"/>
              </w:rPr>
              <w:t>60-70</w:t>
            </w:r>
          </w:p>
        </w:tc>
        <w:tc>
          <w:tcPr>
            <w:tcW w:w="537" w:type="pct"/>
            <w:shd w:val="clear" w:color="auto" w:fill="auto"/>
            <w:vAlign w:val="center"/>
          </w:tcPr>
          <w:p w:rsidR="00361D78" w:rsidRPr="00F634CD" w:rsidRDefault="002B5EF2" w:rsidP="000D4E58">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60-70</w:t>
            </w:r>
          </w:p>
        </w:tc>
        <w:tc>
          <w:tcPr>
            <w:tcW w:w="431" w:type="pct"/>
          </w:tcPr>
          <w:p w:rsidR="00361D78" w:rsidRPr="00F634CD" w:rsidRDefault="002B5EF2" w:rsidP="000D4E58">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60-70</w:t>
            </w:r>
          </w:p>
        </w:tc>
      </w:tr>
      <w:tr w:rsidR="00361D78" w:rsidRPr="00F634CD" w:rsidTr="008E537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Pr>
                <w:rFonts w:eastAsia="Times New Roman" w:cs="Segoe UI"/>
                <w:color w:val="000000"/>
                <w:sz w:val="22"/>
                <w:lang w:eastAsia="en-GB"/>
              </w:rPr>
              <w:t>Flood (</w:t>
            </w:r>
            <w:r w:rsidRPr="00F634CD">
              <w:rPr>
                <w:rFonts w:eastAsia="Times New Roman" w:cs="Segoe UI"/>
                <w:color w:val="000000"/>
                <w:sz w:val="22"/>
                <w:lang w:eastAsia="en-GB"/>
              </w:rPr>
              <w:t xml:space="preserve">Extreme </w:t>
            </w:r>
            <w:r>
              <w:rPr>
                <w:rFonts w:eastAsia="Times New Roman" w:cs="Segoe UI"/>
                <w:color w:val="000000"/>
                <w:sz w:val="22"/>
                <w:lang w:eastAsia="en-GB"/>
              </w:rPr>
              <w:t>) free area</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3" w:type="pct"/>
            <w:gridSpan w:val="3"/>
            <w:shd w:val="clear" w:color="auto" w:fill="auto"/>
            <w:vAlign w:val="center"/>
            <w:hideMark/>
          </w:tcPr>
          <w:p w:rsidR="00361D78" w:rsidRPr="00F634CD" w:rsidRDefault="002B5EF2"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60</w:t>
            </w:r>
          </w:p>
        </w:tc>
        <w:tc>
          <w:tcPr>
            <w:tcW w:w="537" w:type="pct"/>
            <w:shd w:val="clear" w:color="auto" w:fill="auto"/>
            <w:vAlign w:val="center"/>
            <w:hideMark/>
          </w:tcPr>
          <w:p w:rsidR="00361D78" w:rsidRPr="00F634CD" w:rsidRDefault="002B5EF2" w:rsidP="008E5374">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6</w:t>
            </w:r>
            <w:r w:rsidR="00361D78" w:rsidRPr="00F634CD">
              <w:rPr>
                <w:rFonts w:eastAsia="Times New Roman" w:cs="Segoe UI"/>
                <w:bCs/>
                <w:color w:val="000000"/>
                <w:sz w:val="22"/>
                <w:lang w:eastAsia="en-GB"/>
              </w:rPr>
              <w:t>5</w:t>
            </w:r>
          </w:p>
        </w:tc>
        <w:tc>
          <w:tcPr>
            <w:tcW w:w="431" w:type="pct"/>
            <w:vAlign w:val="center"/>
          </w:tcPr>
          <w:p w:rsidR="00361D78" w:rsidRPr="00F634CD" w:rsidRDefault="002B5EF2" w:rsidP="008E5374">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70</w:t>
            </w:r>
          </w:p>
        </w:tc>
      </w:tr>
      <w:tr w:rsidR="00361D78" w:rsidRPr="00F634CD" w:rsidTr="00616D2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hideMark/>
          </w:tcPr>
          <w:p w:rsidR="00361D78" w:rsidRPr="00F634CD" w:rsidRDefault="002B5EF2" w:rsidP="000D4E58">
            <w:pPr>
              <w:spacing w:after="0" w:line="240" w:lineRule="auto"/>
              <w:rPr>
                <w:rFonts w:eastAsia="Times New Roman" w:cs="Segoe UI"/>
                <w:color w:val="000000"/>
                <w:sz w:val="22"/>
                <w:lang w:eastAsia="en-GB"/>
              </w:rPr>
            </w:pPr>
            <w:r>
              <w:rPr>
                <w:rFonts w:eastAsia="Times New Roman" w:cs="Segoe UI"/>
                <w:color w:val="000000"/>
                <w:sz w:val="22"/>
                <w:lang w:eastAsia="en-GB"/>
              </w:rPr>
              <w:t>Storm surge free area</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3" w:type="pct"/>
            <w:gridSpan w:val="3"/>
            <w:shd w:val="clear" w:color="auto" w:fill="auto"/>
            <w:vAlign w:val="center"/>
            <w:hideMark/>
          </w:tcPr>
          <w:p w:rsidR="00361D78" w:rsidRPr="00F634CD" w:rsidRDefault="002B5EF2" w:rsidP="000D4E58">
            <w:pPr>
              <w:spacing w:after="0" w:line="240" w:lineRule="auto"/>
              <w:jc w:val="right"/>
              <w:rPr>
                <w:rFonts w:eastAsia="Times New Roman" w:cs="Segoe UI"/>
                <w:color w:val="000000"/>
                <w:sz w:val="22"/>
                <w:lang w:eastAsia="en-GB"/>
              </w:rPr>
            </w:pPr>
            <w:r>
              <w:rPr>
                <w:rFonts w:eastAsia="Times New Roman" w:cs="Segoe UI"/>
                <w:color w:val="000000"/>
                <w:sz w:val="22"/>
                <w:lang w:eastAsia="en-GB"/>
              </w:rPr>
              <w:t>90</w:t>
            </w:r>
          </w:p>
        </w:tc>
        <w:tc>
          <w:tcPr>
            <w:tcW w:w="537" w:type="pct"/>
            <w:shd w:val="clear" w:color="auto" w:fill="auto"/>
            <w:vAlign w:val="center"/>
            <w:hideMark/>
          </w:tcPr>
          <w:p w:rsidR="00361D78" w:rsidRPr="00F634CD" w:rsidRDefault="002B5EF2" w:rsidP="000D4E58">
            <w:pPr>
              <w:spacing w:after="0" w:line="240" w:lineRule="auto"/>
              <w:jc w:val="center"/>
              <w:rPr>
                <w:rFonts w:eastAsia="Times New Roman" w:cs="Segoe UI"/>
                <w:bCs/>
                <w:color w:val="000000"/>
                <w:sz w:val="22"/>
                <w:lang w:eastAsia="en-GB"/>
              </w:rPr>
            </w:pPr>
            <w:r>
              <w:rPr>
                <w:rFonts w:eastAsia="Times New Roman" w:cs="Segoe UI"/>
                <w:bCs/>
                <w:color w:val="000000"/>
                <w:sz w:val="22"/>
                <w:lang w:eastAsia="en-GB"/>
              </w:rPr>
              <w:t>100</w:t>
            </w:r>
          </w:p>
        </w:tc>
        <w:tc>
          <w:tcPr>
            <w:tcW w:w="431" w:type="pct"/>
          </w:tcPr>
          <w:p w:rsidR="00361D78" w:rsidRPr="00F634CD" w:rsidRDefault="002B5EF2" w:rsidP="000D4E58">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100</w:t>
            </w:r>
          </w:p>
        </w:tc>
      </w:tr>
      <w:tr w:rsidR="00361D78" w:rsidRPr="00F634CD" w:rsidTr="008E537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hideMark/>
          </w:tcPr>
          <w:p w:rsidR="00361D78" w:rsidRPr="00F634CD" w:rsidRDefault="002B5EF2" w:rsidP="000D4E58">
            <w:pPr>
              <w:spacing w:after="0" w:line="240" w:lineRule="auto"/>
              <w:rPr>
                <w:rFonts w:eastAsia="Times New Roman" w:cs="Segoe UI"/>
                <w:color w:val="000000"/>
                <w:sz w:val="22"/>
                <w:lang w:eastAsia="en-GB"/>
              </w:rPr>
            </w:pPr>
            <w:r>
              <w:rPr>
                <w:rFonts w:eastAsia="Times New Roman" w:cs="Segoe UI"/>
                <w:color w:val="000000"/>
                <w:sz w:val="22"/>
                <w:lang w:eastAsia="en-GB"/>
              </w:rPr>
              <w:t>Drought (extreme) free area</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3" w:type="pct"/>
            <w:gridSpan w:val="3"/>
            <w:shd w:val="clear" w:color="auto" w:fill="auto"/>
            <w:vAlign w:val="center"/>
            <w:hideMark/>
          </w:tcPr>
          <w:p w:rsidR="00361D78" w:rsidRPr="00F634CD" w:rsidRDefault="002B5EF2"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53</w:t>
            </w:r>
          </w:p>
        </w:tc>
        <w:tc>
          <w:tcPr>
            <w:tcW w:w="537" w:type="pct"/>
            <w:shd w:val="clear" w:color="auto" w:fill="auto"/>
            <w:vAlign w:val="center"/>
            <w:hideMark/>
          </w:tcPr>
          <w:p w:rsidR="00361D78" w:rsidRPr="00F634CD" w:rsidRDefault="002B5EF2"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75</w:t>
            </w:r>
          </w:p>
        </w:tc>
        <w:tc>
          <w:tcPr>
            <w:tcW w:w="431" w:type="pct"/>
            <w:vAlign w:val="center"/>
          </w:tcPr>
          <w:p w:rsidR="00361D78" w:rsidRPr="00F634CD" w:rsidRDefault="002B5EF2"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90</w:t>
            </w:r>
          </w:p>
        </w:tc>
      </w:tr>
      <w:tr w:rsidR="00361D78" w:rsidRPr="00F634CD" w:rsidTr="008E537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hideMark/>
          </w:tcPr>
          <w:p w:rsidR="00361D78" w:rsidRPr="00F634CD" w:rsidRDefault="00714CAF" w:rsidP="000D4E58">
            <w:pPr>
              <w:spacing w:after="0" w:line="240" w:lineRule="auto"/>
              <w:rPr>
                <w:rFonts w:eastAsia="Times New Roman" w:cs="Segoe UI"/>
                <w:color w:val="000000"/>
                <w:sz w:val="22"/>
                <w:lang w:eastAsia="en-GB"/>
              </w:rPr>
            </w:pPr>
            <w:r>
              <w:rPr>
                <w:rFonts w:eastAsia="Times New Roman" w:cs="Segoe UI"/>
                <w:color w:val="000000"/>
                <w:sz w:val="22"/>
                <w:lang w:eastAsia="en-GB"/>
              </w:rPr>
              <w:t xml:space="preserve">Dry season salinity </w:t>
            </w:r>
            <w:r w:rsidR="00361D78" w:rsidRPr="00F634CD">
              <w:rPr>
                <w:rFonts w:eastAsia="Times New Roman" w:cs="Segoe UI"/>
                <w:color w:val="000000"/>
                <w:sz w:val="22"/>
                <w:lang w:eastAsia="en-GB"/>
              </w:rPr>
              <w:t>intrusion</w:t>
            </w:r>
            <w:r>
              <w:rPr>
                <w:rFonts w:eastAsia="Times New Roman" w:cs="Segoe UI"/>
                <w:color w:val="000000"/>
                <w:sz w:val="22"/>
                <w:lang w:eastAsia="en-GB"/>
              </w:rPr>
              <w:t xml:space="preserve"> free</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of total coastal area</w:t>
            </w:r>
          </w:p>
        </w:tc>
        <w:tc>
          <w:tcPr>
            <w:tcW w:w="433" w:type="pct"/>
            <w:gridSpan w:val="3"/>
            <w:shd w:val="clear" w:color="auto" w:fill="auto"/>
            <w:vAlign w:val="bottom"/>
            <w:hideMark/>
          </w:tcPr>
          <w:p w:rsidR="00361D78" w:rsidRPr="00F634CD" w:rsidRDefault="00714CAF"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47</w:t>
            </w:r>
          </w:p>
        </w:tc>
        <w:tc>
          <w:tcPr>
            <w:tcW w:w="537" w:type="pct"/>
            <w:shd w:val="clear" w:color="auto" w:fill="auto"/>
            <w:vAlign w:val="bottom"/>
            <w:hideMark/>
          </w:tcPr>
          <w:p w:rsidR="00361D78" w:rsidRPr="00F634CD" w:rsidRDefault="00714CAF" w:rsidP="008E5374">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65</w:t>
            </w:r>
          </w:p>
        </w:tc>
        <w:tc>
          <w:tcPr>
            <w:tcW w:w="431" w:type="pct"/>
            <w:vAlign w:val="bottom"/>
          </w:tcPr>
          <w:p w:rsidR="00361D78" w:rsidRPr="00F634CD" w:rsidRDefault="00714CAF" w:rsidP="008E5374">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50</w:t>
            </w:r>
          </w:p>
        </w:tc>
      </w:tr>
      <w:tr w:rsidR="00361D78" w:rsidRPr="00F634CD" w:rsidTr="00616D2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hideMark/>
          </w:tcPr>
          <w:p w:rsidR="00361D78" w:rsidRPr="00F634CD" w:rsidRDefault="00714CAF" w:rsidP="000D4E58">
            <w:pPr>
              <w:spacing w:after="0" w:line="240" w:lineRule="auto"/>
              <w:rPr>
                <w:rFonts w:eastAsia="Times New Roman" w:cs="Segoe UI"/>
                <w:color w:val="000000"/>
                <w:sz w:val="22"/>
                <w:lang w:eastAsia="en-GB"/>
              </w:rPr>
            </w:pPr>
            <w:r>
              <w:rPr>
                <w:rFonts w:eastAsia="Times New Roman" w:cs="Segoe UI"/>
                <w:color w:val="000000"/>
                <w:sz w:val="22"/>
                <w:lang w:eastAsia="en-GB"/>
              </w:rPr>
              <w:t>Water logged free area</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3" w:type="pct"/>
            <w:gridSpan w:val="3"/>
            <w:shd w:val="clear" w:color="auto" w:fill="auto"/>
            <w:vAlign w:val="center"/>
            <w:hideMark/>
          </w:tcPr>
          <w:p w:rsidR="00361D78" w:rsidRPr="00F634CD" w:rsidRDefault="00714CAF" w:rsidP="000D4E58">
            <w:pPr>
              <w:spacing w:after="0" w:line="240" w:lineRule="auto"/>
              <w:jc w:val="right"/>
              <w:rPr>
                <w:rFonts w:eastAsia="Times New Roman" w:cs="Segoe UI"/>
                <w:color w:val="000000"/>
                <w:sz w:val="22"/>
                <w:lang w:eastAsia="en-GB"/>
              </w:rPr>
            </w:pPr>
            <w:r>
              <w:rPr>
                <w:rFonts w:eastAsia="Times New Roman" w:cs="Segoe UI"/>
                <w:color w:val="000000"/>
                <w:sz w:val="22"/>
                <w:lang w:eastAsia="en-GB"/>
              </w:rPr>
              <w:t>97</w:t>
            </w:r>
          </w:p>
        </w:tc>
        <w:tc>
          <w:tcPr>
            <w:tcW w:w="537" w:type="pct"/>
            <w:shd w:val="clear" w:color="auto" w:fill="auto"/>
            <w:vAlign w:val="center"/>
            <w:hideMark/>
          </w:tcPr>
          <w:p w:rsidR="00361D78" w:rsidRPr="00F634CD" w:rsidRDefault="00714CAF" w:rsidP="000D4E58">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100</w:t>
            </w:r>
          </w:p>
        </w:tc>
        <w:tc>
          <w:tcPr>
            <w:tcW w:w="431" w:type="pct"/>
          </w:tcPr>
          <w:p w:rsidR="00361D78" w:rsidRPr="00F634CD" w:rsidRDefault="00714CAF" w:rsidP="000D4E58">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100</w:t>
            </w:r>
          </w:p>
        </w:tc>
      </w:tr>
      <w:tr w:rsidR="00361D78" w:rsidRPr="00F634CD" w:rsidTr="008E537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Length of bankline erosion</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of total river length</w:t>
            </w:r>
          </w:p>
        </w:tc>
        <w:tc>
          <w:tcPr>
            <w:tcW w:w="433" w:type="pct"/>
            <w:gridSpan w:val="3"/>
            <w:shd w:val="clear" w:color="auto" w:fill="auto"/>
            <w:vAlign w:val="center"/>
            <w:hideMark/>
          </w:tcPr>
          <w:p w:rsidR="00361D78" w:rsidRPr="00F634CD" w:rsidRDefault="00361D78" w:rsidP="008E5374">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15</w:t>
            </w:r>
          </w:p>
        </w:tc>
        <w:tc>
          <w:tcPr>
            <w:tcW w:w="537" w:type="pct"/>
            <w:shd w:val="clear" w:color="auto" w:fill="auto"/>
            <w:vAlign w:val="center"/>
            <w:hideMark/>
          </w:tcPr>
          <w:p w:rsidR="00361D78" w:rsidRPr="00F634CD" w:rsidRDefault="00361D78" w:rsidP="008E5374">
            <w:pPr>
              <w:spacing w:after="0" w:line="240" w:lineRule="auto"/>
              <w:jc w:val="right"/>
              <w:rPr>
                <w:rFonts w:eastAsia="Times New Roman" w:cs="Segoe UI"/>
                <w:bCs/>
                <w:color w:val="000000"/>
                <w:sz w:val="22"/>
                <w:lang w:eastAsia="en-GB"/>
              </w:rPr>
            </w:pPr>
            <w:r w:rsidRPr="00F634CD">
              <w:rPr>
                <w:rFonts w:eastAsia="Times New Roman" w:cs="Segoe UI"/>
                <w:bCs/>
                <w:color w:val="000000"/>
                <w:sz w:val="22"/>
                <w:lang w:eastAsia="en-GB"/>
              </w:rPr>
              <w:t>11</w:t>
            </w:r>
          </w:p>
        </w:tc>
        <w:tc>
          <w:tcPr>
            <w:tcW w:w="431" w:type="pct"/>
            <w:vAlign w:val="center"/>
          </w:tcPr>
          <w:p w:rsidR="00361D78" w:rsidRPr="00F634CD" w:rsidRDefault="008E5374" w:rsidP="008E5374">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7</w:t>
            </w:r>
            <w:r w:rsidR="0079268B">
              <w:rPr>
                <w:rFonts w:eastAsia="Times New Roman" w:cs="Segoe UI"/>
                <w:bCs/>
                <w:color w:val="000000"/>
                <w:sz w:val="22"/>
                <w:lang w:eastAsia="en-GB"/>
              </w:rPr>
              <w:t xml:space="preserve"> (?)</w:t>
            </w:r>
          </w:p>
        </w:tc>
      </w:tr>
      <w:tr w:rsidR="00361D78" w:rsidRPr="00F634CD" w:rsidTr="00616D24">
        <w:trPr>
          <w:trHeight w:val="144"/>
        </w:trPr>
        <w:tc>
          <w:tcPr>
            <w:tcW w:w="339" w:type="pct"/>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1B</w:t>
            </w:r>
          </w:p>
        </w:tc>
        <w:tc>
          <w:tcPr>
            <w:tcW w:w="1163" w:type="pct"/>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Population vulnerable to natural disasters</w:t>
            </w:r>
          </w:p>
        </w:tc>
        <w:tc>
          <w:tcPr>
            <w:tcW w:w="1290"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Flood vulnerable people</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Nos. in million</w:t>
            </w:r>
          </w:p>
        </w:tc>
        <w:tc>
          <w:tcPr>
            <w:tcW w:w="433"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88</w:t>
            </w:r>
          </w:p>
        </w:tc>
        <w:tc>
          <w:tcPr>
            <w:tcW w:w="537" w:type="pct"/>
            <w:shd w:val="clear" w:color="auto" w:fill="auto"/>
            <w:vAlign w:val="center"/>
            <w:hideMark/>
          </w:tcPr>
          <w:p w:rsidR="00361D78" w:rsidRPr="00F634CD" w:rsidRDefault="00361D78" w:rsidP="000D4E58">
            <w:pPr>
              <w:spacing w:after="0" w:line="240" w:lineRule="auto"/>
              <w:jc w:val="right"/>
              <w:rPr>
                <w:rFonts w:eastAsia="Times New Roman" w:cs="Segoe UI"/>
                <w:bCs/>
                <w:color w:val="000000"/>
                <w:sz w:val="22"/>
                <w:lang w:eastAsia="en-GB"/>
              </w:rPr>
            </w:pPr>
            <w:r w:rsidRPr="00F634CD">
              <w:rPr>
                <w:rFonts w:eastAsia="Times New Roman" w:cs="Segoe UI"/>
                <w:bCs/>
                <w:color w:val="000000"/>
                <w:sz w:val="22"/>
                <w:lang w:eastAsia="en-GB"/>
              </w:rPr>
              <w:t>60</w:t>
            </w:r>
          </w:p>
        </w:tc>
        <w:tc>
          <w:tcPr>
            <w:tcW w:w="431" w:type="pct"/>
          </w:tcPr>
          <w:p w:rsidR="00361D78" w:rsidRPr="00F634CD" w:rsidRDefault="008E5374" w:rsidP="000D4E58">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20</w:t>
            </w:r>
          </w:p>
        </w:tc>
      </w:tr>
      <w:tr w:rsidR="00361D78" w:rsidRPr="00F634CD" w:rsidTr="008E537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Cyclone vulnerable people</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3" w:type="pct"/>
            <w:gridSpan w:val="3"/>
            <w:shd w:val="clear" w:color="auto" w:fill="auto"/>
            <w:vAlign w:val="center"/>
            <w:hideMark/>
          </w:tcPr>
          <w:p w:rsidR="00361D78" w:rsidRPr="00F634CD" w:rsidRDefault="00361D78" w:rsidP="008E5374">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8</w:t>
            </w:r>
          </w:p>
        </w:tc>
        <w:tc>
          <w:tcPr>
            <w:tcW w:w="537" w:type="pct"/>
            <w:shd w:val="clear" w:color="auto" w:fill="auto"/>
            <w:vAlign w:val="center"/>
            <w:hideMark/>
          </w:tcPr>
          <w:p w:rsidR="00361D78" w:rsidRPr="00F634CD" w:rsidRDefault="00361D78" w:rsidP="008E5374">
            <w:pPr>
              <w:spacing w:after="0" w:line="240" w:lineRule="auto"/>
              <w:jc w:val="right"/>
              <w:rPr>
                <w:rFonts w:eastAsia="Times New Roman" w:cs="Segoe UI"/>
                <w:bCs/>
                <w:color w:val="000000"/>
                <w:sz w:val="22"/>
                <w:lang w:eastAsia="en-GB"/>
              </w:rPr>
            </w:pPr>
            <w:r w:rsidRPr="00F634CD">
              <w:rPr>
                <w:rFonts w:eastAsia="Times New Roman" w:cs="Segoe UI"/>
                <w:bCs/>
                <w:color w:val="000000"/>
                <w:sz w:val="22"/>
                <w:lang w:eastAsia="en-GB"/>
              </w:rPr>
              <w:t>7</w:t>
            </w:r>
          </w:p>
        </w:tc>
        <w:tc>
          <w:tcPr>
            <w:tcW w:w="431" w:type="pct"/>
            <w:vAlign w:val="center"/>
          </w:tcPr>
          <w:p w:rsidR="00361D78" w:rsidRPr="00F634CD" w:rsidRDefault="008E5374" w:rsidP="008E5374">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5</w:t>
            </w:r>
          </w:p>
        </w:tc>
      </w:tr>
      <w:tr w:rsidR="00361D78" w:rsidRPr="00F634CD" w:rsidTr="00616D2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Erosion vulnerable people</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3"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1</w:t>
            </w:r>
          </w:p>
        </w:tc>
        <w:tc>
          <w:tcPr>
            <w:tcW w:w="537" w:type="pct"/>
            <w:shd w:val="clear" w:color="auto" w:fill="auto"/>
            <w:vAlign w:val="center"/>
            <w:hideMark/>
          </w:tcPr>
          <w:p w:rsidR="00361D78" w:rsidRPr="00F634CD" w:rsidRDefault="00361D78" w:rsidP="000D4E58">
            <w:pPr>
              <w:spacing w:after="0" w:line="240" w:lineRule="auto"/>
              <w:jc w:val="right"/>
              <w:rPr>
                <w:rFonts w:eastAsia="Times New Roman" w:cs="Segoe UI"/>
                <w:bCs/>
                <w:color w:val="000000"/>
                <w:sz w:val="22"/>
                <w:lang w:eastAsia="en-GB"/>
              </w:rPr>
            </w:pPr>
            <w:r w:rsidRPr="00F634CD">
              <w:rPr>
                <w:rFonts w:eastAsia="Times New Roman" w:cs="Segoe UI"/>
                <w:bCs/>
                <w:color w:val="000000"/>
                <w:sz w:val="22"/>
                <w:lang w:eastAsia="en-GB"/>
              </w:rPr>
              <w:t>0.7</w:t>
            </w:r>
          </w:p>
        </w:tc>
        <w:tc>
          <w:tcPr>
            <w:tcW w:w="431" w:type="pct"/>
          </w:tcPr>
          <w:p w:rsidR="00361D78" w:rsidRPr="00F634CD" w:rsidRDefault="008E5374" w:rsidP="000D4E58">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0.2</w:t>
            </w:r>
          </w:p>
        </w:tc>
      </w:tr>
      <w:tr w:rsidR="00361D78" w:rsidRPr="00F634CD" w:rsidTr="008E537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63"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290"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Water logging vulnerable people</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3" w:type="pct"/>
            <w:gridSpan w:val="3"/>
            <w:shd w:val="clear" w:color="auto" w:fill="auto"/>
            <w:vAlign w:val="bottom"/>
            <w:hideMark/>
          </w:tcPr>
          <w:p w:rsidR="00361D78" w:rsidRPr="00F634CD" w:rsidRDefault="00361D78" w:rsidP="008E5374">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0.9</w:t>
            </w:r>
          </w:p>
        </w:tc>
        <w:tc>
          <w:tcPr>
            <w:tcW w:w="537" w:type="pct"/>
            <w:shd w:val="clear" w:color="auto" w:fill="auto"/>
            <w:vAlign w:val="bottom"/>
            <w:hideMark/>
          </w:tcPr>
          <w:p w:rsidR="00361D78" w:rsidRPr="00F634CD" w:rsidRDefault="00361D78" w:rsidP="008E5374">
            <w:pPr>
              <w:spacing w:after="0" w:line="240" w:lineRule="auto"/>
              <w:jc w:val="right"/>
              <w:rPr>
                <w:rFonts w:eastAsia="Times New Roman" w:cs="Segoe UI"/>
                <w:bCs/>
                <w:color w:val="000000"/>
                <w:sz w:val="22"/>
                <w:lang w:eastAsia="en-GB"/>
              </w:rPr>
            </w:pPr>
            <w:r w:rsidRPr="00F634CD">
              <w:rPr>
                <w:rFonts w:eastAsia="Times New Roman" w:cs="Segoe UI"/>
                <w:bCs/>
                <w:color w:val="000000"/>
                <w:sz w:val="22"/>
                <w:lang w:eastAsia="en-GB"/>
              </w:rPr>
              <w:t>0.2</w:t>
            </w:r>
          </w:p>
        </w:tc>
        <w:tc>
          <w:tcPr>
            <w:tcW w:w="431" w:type="pct"/>
            <w:vAlign w:val="bottom"/>
          </w:tcPr>
          <w:p w:rsidR="00361D78" w:rsidRPr="00F634CD" w:rsidRDefault="008E5374" w:rsidP="008E5374">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0.1</w:t>
            </w:r>
          </w:p>
        </w:tc>
      </w:tr>
      <w:tr w:rsidR="00361D78" w:rsidRPr="00F634CD" w:rsidTr="00616D24">
        <w:trPr>
          <w:trHeight w:val="144"/>
        </w:trPr>
        <w:tc>
          <w:tcPr>
            <w:tcW w:w="4569" w:type="pct"/>
            <w:gridSpan w:val="12"/>
            <w:shd w:val="clear" w:color="000000" w:fill="EEECE1"/>
            <w:vAlign w:val="center"/>
            <w:hideMark/>
          </w:tcPr>
          <w:p w:rsidR="00361D78" w:rsidRPr="00F634CD" w:rsidRDefault="00361D78" w:rsidP="000D4E58">
            <w:pPr>
              <w:spacing w:after="0" w:line="240" w:lineRule="auto"/>
              <w:rPr>
                <w:rFonts w:eastAsia="Times New Roman" w:cs="Segoe UI"/>
                <w:b/>
                <w:bCs/>
                <w:i/>
                <w:iCs/>
                <w:color w:val="000000"/>
                <w:sz w:val="22"/>
                <w:lang w:eastAsia="en-GB"/>
              </w:rPr>
            </w:pPr>
            <w:r w:rsidRPr="00F634CD">
              <w:rPr>
                <w:rFonts w:eastAsia="Times New Roman" w:cs="Segoe UI"/>
                <w:b/>
                <w:bCs/>
                <w:i/>
                <w:iCs/>
                <w:color w:val="000000"/>
                <w:sz w:val="22"/>
                <w:lang w:eastAsia="en-GB"/>
              </w:rPr>
              <w:t>(Goal 2: Ensure water security and efficiency of water usages)</w:t>
            </w:r>
          </w:p>
        </w:tc>
        <w:tc>
          <w:tcPr>
            <w:tcW w:w="431" w:type="pct"/>
            <w:shd w:val="clear" w:color="000000" w:fill="EEECE1"/>
          </w:tcPr>
          <w:p w:rsidR="00361D78" w:rsidRPr="00F634CD" w:rsidRDefault="00361D78" w:rsidP="000D4E58">
            <w:pPr>
              <w:spacing w:after="0" w:line="240" w:lineRule="auto"/>
              <w:rPr>
                <w:rFonts w:eastAsia="Times New Roman" w:cs="Segoe UI"/>
                <w:b/>
                <w:bCs/>
                <w:i/>
                <w:iCs/>
                <w:color w:val="000000"/>
                <w:sz w:val="22"/>
                <w:lang w:eastAsia="en-GB"/>
              </w:rPr>
            </w:pPr>
          </w:p>
        </w:tc>
      </w:tr>
      <w:tr w:rsidR="00361D78" w:rsidRPr="00F634CD" w:rsidTr="008E537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2A</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Dry season flow availability</w:t>
            </w:r>
            <w:r w:rsidR="00BC7A38">
              <w:rPr>
                <w:rFonts w:eastAsia="Times New Roman" w:cs="Segoe UI"/>
                <w:color w:val="000000"/>
                <w:sz w:val="22"/>
                <w:lang w:eastAsia="en-GB"/>
              </w:rPr>
              <w:t xml:space="preserve"> (Jan-May)</w:t>
            </w:r>
          </w:p>
        </w:tc>
        <w:tc>
          <w:tcPr>
            <w:tcW w:w="1280"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of total flow</w:t>
            </w:r>
          </w:p>
        </w:tc>
        <w:tc>
          <w:tcPr>
            <w:tcW w:w="433" w:type="pct"/>
            <w:gridSpan w:val="3"/>
            <w:shd w:val="clear" w:color="auto" w:fill="auto"/>
            <w:vAlign w:val="bottom"/>
            <w:hideMark/>
          </w:tcPr>
          <w:p w:rsidR="00361D78" w:rsidRPr="00F634CD" w:rsidRDefault="00BC7A38"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20</w:t>
            </w:r>
          </w:p>
        </w:tc>
        <w:tc>
          <w:tcPr>
            <w:tcW w:w="537" w:type="pct"/>
            <w:shd w:val="clear" w:color="auto" w:fill="auto"/>
            <w:vAlign w:val="bottom"/>
            <w:hideMark/>
          </w:tcPr>
          <w:p w:rsidR="00361D78" w:rsidRPr="00F634CD" w:rsidRDefault="00BC7A38" w:rsidP="008E5374">
            <w:pPr>
              <w:spacing w:after="0" w:line="240" w:lineRule="auto"/>
              <w:jc w:val="right"/>
              <w:rPr>
                <w:rFonts w:eastAsia="Times New Roman" w:cs="Segoe UI"/>
                <w:bCs/>
                <w:color w:val="000000" w:themeColor="text1"/>
                <w:sz w:val="22"/>
                <w:lang w:eastAsia="en-GB"/>
              </w:rPr>
            </w:pPr>
            <w:r>
              <w:rPr>
                <w:rFonts w:eastAsia="Times New Roman" w:cs="Segoe UI"/>
                <w:bCs/>
                <w:color w:val="000000" w:themeColor="text1"/>
                <w:sz w:val="22"/>
                <w:lang w:eastAsia="en-GB"/>
              </w:rPr>
              <w:t>30</w:t>
            </w:r>
          </w:p>
        </w:tc>
        <w:tc>
          <w:tcPr>
            <w:tcW w:w="431" w:type="pct"/>
            <w:vAlign w:val="bottom"/>
          </w:tcPr>
          <w:p w:rsidR="00361D78" w:rsidRPr="00F634CD" w:rsidRDefault="00BC7A38" w:rsidP="008E5374">
            <w:pPr>
              <w:spacing w:after="0" w:line="240" w:lineRule="auto"/>
              <w:jc w:val="right"/>
              <w:rPr>
                <w:rFonts w:eastAsia="Times New Roman" w:cs="Segoe UI"/>
                <w:bCs/>
                <w:color w:val="000000" w:themeColor="text1"/>
                <w:sz w:val="22"/>
                <w:lang w:eastAsia="en-GB"/>
              </w:rPr>
            </w:pPr>
            <w:r>
              <w:rPr>
                <w:rFonts w:eastAsia="Times New Roman" w:cs="Segoe UI"/>
                <w:bCs/>
                <w:color w:val="000000" w:themeColor="text1"/>
                <w:sz w:val="22"/>
                <w:lang w:eastAsia="en-GB"/>
              </w:rPr>
              <w:t>30</w:t>
            </w:r>
          </w:p>
        </w:tc>
      </w:tr>
      <w:tr w:rsidR="00361D78" w:rsidRPr="00F634CD" w:rsidTr="008E537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2B</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Dry season irrigation coverage</w:t>
            </w:r>
          </w:p>
        </w:tc>
        <w:tc>
          <w:tcPr>
            <w:tcW w:w="1280"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million ha</w:t>
            </w:r>
          </w:p>
        </w:tc>
        <w:tc>
          <w:tcPr>
            <w:tcW w:w="433" w:type="pct"/>
            <w:gridSpan w:val="3"/>
            <w:shd w:val="clear" w:color="auto" w:fill="auto"/>
            <w:vAlign w:val="bottom"/>
            <w:hideMark/>
          </w:tcPr>
          <w:p w:rsidR="00361D78" w:rsidRPr="00F634CD" w:rsidRDefault="00BC7A38"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5.4</w:t>
            </w:r>
          </w:p>
        </w:tc>
        <w:tc>
          <w:tcPr>
            <w:tcW w:w="537" w:type="pct"/>
            <w:shd w:val="clear" w:color="auto" w:fill="auto"/>
            <w:vAlign w:val="bottom"/>
            <w:hideMark/>
          </w:tcPr>
          <w:p w:rsidR="00361D78" w:rsidRPr="00F634CD" w:rsidRDefault="00BC7A38" w:rsidP="008E5374">
            <w:pPr>
              <w:spacing w:after="0" w:line="240" w:lineRule="auto"/>
              <w:jc w:val="right"/>
              <w:rPr>
                <w:rFonts w:eastAsia="Times New Roman" w:cs="Segoe UI"/>
                <w:bCs/>
                <w:color w:val="000000" w:themeColor="text1"/>
                <w:sz w:val="22"/>
                <w:lang w:eastAsia="en-GB"/>
              </w:rPr>
            </w:pPr>
            <w:r>
              <w:rPr>
                <w:rFonts w:eastAsia="Times New Roman" w:cs="Segoe UI"/>
                <w:bCs/>
                <w:color w:val="000000" w:themeColor="text1"/>
                <w:sz w:val="22"/>
                <w:lang w:eastAsia="en-GB"/>
              </w:rPr>
              <w:t>7.5</w:t>
            </w:r>
          </w:p>
        </w:tc>
        <w:tc>
          <w:tcPr>
            <w:tcW w:w="431" w:type="pct"/>
            <w:vAlign w:val="bottom"/>
          </w:tcPr>
          <w:p w:rsidR="00361D78" w:rsidRPr="00F634CD" w:rsidRDefault="00BC7A38" w:rsidP="008E5374">
            <w:pPr>
              <w:spacing w:after="0" w:line="240" w:lineRule="auto"/>
              <w:jc w:val="right"/>
              <w:rPr>
                <w:rFonts w:eastAsia="Times New Roman" w:cs="Segoe UI"/>
                <w:bCs/>
                <w:color w:val="000000" w:themeColor="text1"/>
                <w:sz w:val="22"/>
                <w:lang w:eastAsia="en-GB"/>
              </w:rPr>
            </w:pPr>
            <w:r>
              <w:rPr>
                <w:rFonts w:eastAsia="Times New Roman" w:cs="Segoe UI"/>
                <w:bCs/>
                <w:color w:val="000000" w:themeColor="text1"/>
                <w:sz w:val="22"/>
                <w:lang w:eastAsia="en-GB"/>
              </w:rPr>
              <w:t>10</w:t>
            </w:r>
          </w:p>
        </w:tc>
      </w:tr>
      <w:tr w:rsidR="00361D78" w:rsidRPr="00F634CD" w:rsidTr="00616D2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2C</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Irrigation water efficiency</w:t>
            </w:r>
          </w:p>
        </w:tc>
        <w:tc>
          <w:tcPr>
            <w:tcW w:w="1280"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xml:space="preserve">% of supplied water </w:t>
            </w:r>
          </w:p>
        </w:tc>
        <w:tc>
          <w:tcPr>
            <w:tcW w:w="433"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30</w:t>
            </w:r>
          </w:p>
        </w:tc>
        <w:tc>
          <w:tcPr>
            <w:tcW w:w="537" w:type="pct"/>
            <w:shd w:val="clear" w:color="auto" w:fill="auto"/>
            <w:vAlign w:val="center"/>
            <w:hideMark/>
          </w:tcPr>
          <w:p w:rsidR="00361D78" w:rsidRPr="00F634CD" w:rsidRDefault="00BC7A38" w:rsidP="000D4E58">
            <w:pPr>
              <w:spacing w:after="0" w:line="240" w:lineRule="auto"/>
              <w:jc w:val="right"/>
              <w:rPr>
                <w:rFonts w:eastAsia="Times New Roman" w:cs="Segoe UI"/>
                <w:bCs/>
                <w:color w:val="000000" w:themeColor="text1"/>
                <w:sz w:val="22"/>
                <w:lang w:eastAsia="en-GB"/>
              </w:rPr>
            </w:pPr>
            <w:r>
              <w:rPr>
                <w:rFonts w:eastAsia="Times New Roman" w:cs="Segoe UI"/>
                <w:bCs/>
                <w:color w:val="000000" w:themeColor="text1"/>
                <w:sz w:val="22"/>
                <w:lang w:eastAsia="en-GB"/>
              </w:rPr>
              <w:t>40</w:t>
            </w:r>
          </w:p>
        </w:tc>
        <w:tc>
          <w:tcPr>
            <w:tcW w:w="431" w:type="pct"/>
          </w:tcPr>
          <w:p w:rsidR="00361D78" w:rsidRPr="00F634CD" w:rsidRDefault="00BC7A38" w:rsidP="000D4E58">
            <w:pPr>
              <w:spacing w:after="0" w:line="240" w:lineRule="auto"/>
              <w:jc w:val="right"/>
              <w:rPr>
                <w:rFonts w:eastAsia="Times New Roman" w:cs="Segoe UI"/>
                <w:bCs/>
                <w:color w:val="000000" w:themeColor="text1"/>
                <w:sz w:val="22"/>
                <w:lang w:eastAsia="en-GB"/>
              </w:rPr>
            </w:pPr>
            <w:r>
              <w:rPr>
                <w:rFonts w:eastAsia="Times New Roman" w:cs="Segoe UI"/>
                <w:bCs/>
                <w:color w:val="000000" w:themeColor="text1"/>
                <w:sz w:val="22"/>
                <w:lang w:eastAsia="en-GB"/>
              </w:rPr>
              <w:t>50</w:t>
            </w:r>
          </w:p>
        </w:tc>
      </w:tr>
      <w:tr w:rsidR="00361D78" w:rsidRPr="00F634CD" w:rsidTr="008E537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2D</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Urban domestic water efficiency</w:t>
            </w:r>
          </w:p>
        </w:tc>
        <w:tc>
          <w:tcPr>
            <w:tcW w:w="1280"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xml:space="preserve">% of supplied water </w:t>
            </w:r>
          </w:p>
        </w:tc>
        <w:tc>
          <w:tcPr>
            <w:tcW w:w="433" w:type="pct"/>
            <w:gridSpan w:val="3"/>
            <w:shd w:val="clear" w:color="auto" w:fill="auto"/>
            <w:vAlign w:val="bottom"/>
            <w:hideMark/>
          </w:tcPr>
          <w:p w:rsidR="00361D78" w:rsidRPr="00F634CD" w:rsidRDefault="00BC7A38"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80</w:t>
            </w:r>
          </w:p>
        </w:tc>
        <w:tc>
          <w:tcPr>
            <w:tcW w:w="537" w:type="pct"/>
            <w:shd w:val="clear" w:color="auto" w:fill="auto"/>
            <w:vAlign w:val="bottom"/>
            <w:hideMark/>
          </w:tcPr>
          <w:p w:rsidR="00361D78" w:rsidRPr="00F634CD" w:rsidRDefault="00BC7A38" w:rsidP="008E5374">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90</w:t>
            </w:r>
          </w:p>
        </w:tc>
        <w:tc>
          <w:tcPr>
            <w:tcW w:w="431" w:type="pct"/>
            <w:vAlign w:val="bottom"/>
          </w:tcPr>
          <w:p w:rsidR="00361D78" w:rsidRPr="00F634CD" w:rsidRDefault="00BC7A38" w:rsidP="008E5374">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95</w:t>
            </w:r>
          </w:p>
        </w:tc>
      </w:tr>
      <w:tr w:rsidR="00361D78" w:rsidRPr="00F634CD" w:rsidTr="008E537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2E</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Internal Renewable Water Resources</w:t>
            </w:r>
          </w:p>
        </w:tc>
        <w:tc>
          <w:tcPr>
            <w:tcW w:w="1280"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cumec/ person</w:t>
            </w:r>
          </w:p>
        </w:tc>
        <w:tc>
          <w:tcPr>
            <w:tcW w:w="433" w:type="pct"/>
            <w:gridSpan w:val="3"/>
            <w:shd w:val="clear" w:color="auto" w:fill="auto"/>
            <w:vAlign w:val="bottom"/>
            <w:hideMark/>
          </w:tcPr>
          <w:p w:rsidR="00361D78" w:rsidRPr="00F634CD" w:rsidRDefault="00361D78" w:rsidP="008E5374">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714</w:t>
            </w:r>
          </w:p>
        </w:tc>
        <w:tc>
          <w:tcPr>
            <w:tcW w:w="537" w:type="pct"/>
            <w:shd w:val="clear" w:color="auto" w:fill="auto"/>
            <w:vAlign w:val="bottom"/>
            <w:hideMark/>
          </w:tcPr>
          <w:p w:rsidR="00361D78" w:rsidRPr="00F634CD" w:rsidRDefault="00361D78" w:rsidP="008E5374">
            <w:pPr>
              <w:spacing w:after="0" w:line="240" w:lineRule="auto"/>
              <w:jc w:val="right"/>
              <w:rPr>
                <w:rFonts w:eastAsia="Times New Roman" w:cs="Segoe UI"/>
                <w:color w:val="000000" w:themeColor="text1"/>
                <w:sz w:val="22"/>
                <w:lang w:eastAsia="en-GB"/>
              </w:rPr>
            </w:pPr>
            <w:r w:rsidRPr="00F634CD">
              <w:rPr>
                <w:rFonts w:eastAsia="Times New Roman" w:cs="Segoe UI"/>
                <w:color w:val="000000" w:themeColor="text1"/>
                <w:sz w:val="22"/>
                <w:lang w:eastAsia="en-GB"/>
              </w:rPr>
              <w:t>1,000</w:t>
            </w:r>
          </w:p>
        </w:tc>
        <w:tc>
          <w:tcPr>
            <w:tcW w:w="431" w:type="pct"/>
            <w:vAlign w:val="bottom"/>
          </w:tcPr>
          <w:p w:rsidR="00361D78" w:rsidRPr="00F634CD" w:rsidRDefault="008E5374" w:rsidP="008E5374">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1,000</w:t>
            </w:r>
          </w:p>
        </w:tc>
      </w:tr>
      <w:tr w:rsidR="00361D78" w:rsidRPr="00F634CD" w:rsidTr="008E537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2F</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Rural population with safe drinking water access</w:t>
            </w:r>
          </w:p>
        </w:tc>
        <w:tc>
          <w:tcPr>
            <w:tcW w:w="1280"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of rural population</w:t>
            </w:r>
          </w:p>
        </w:tc>
        <w:tc>
          <w:tcPr>
            <w:tcW w:w="433" w:type="pct"/>
            <w:gridSpan w:val="3"/>
            <w:shd w:val="clear" w:color="auto" w:fill="auto"/>
            <w:vAlign w:val="bottom"/>
            <w:hideMark/>
          </w:tcPr>
          <w:p w:rsidR="00361D78" w:rsidRPr="00F634CD" w:rsidRDefault="00BC7A38"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87</w:t>
            </w:r>
          </w:p>
        </w:tc>
        <w:tc>
          <w:tcPr>
            <w:tcW w:w="537" w:type="pct"/>
            <w:shd w:val="clear" w:color="auto" w:fill="auto"/>
            <w:vAlign w:val="bottom"/>
            <w:hideMark/>
          </w:tcPr>
          <w:p w:rsidR="00361D78" w:rsidRPr="00F634CD" w:rsidRDefault="00BC7A38" w:rsidP="008E5374">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100</w:t>
            </w:r>
          </w:p>
        </w:tc>
        <w:tc>
          <w:tcPr>
            <w:tcW w:w="431" w:type="pct"/>
            <w:vAlign w:val="bottom"/>
          </w:tcPr>
          <w:p w:rsidR="00361D78" w:rsidRPr="00F634CD" w:rsidRDefault="00BC7A38" w:rsidP="008E5374">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100</w:t>
            </w:r>
          </w:p>
        </w:tc>
      </w:tr>
      <w:tr w:rsidR="00361D78" w:rsidRPr="00F634CD" w:rsidTr="008E537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2G</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Rural population with safe sanitation</w:t>
            </w:r>
          </w:p>
        </w:tc>
        <w:tc>
          <w:tcPr>
            <w:tcW w:w="1280"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of rural population</w:t>
            </w:r>
          </w:p>
        </w:tc>
        <w:tc>
          <w:tcPr>
            <w:tcW w:w="433" w:type="pct"/>
            <w:gridSpan w:val="3"/>
            <w:shd w:val="clear" w:color="auto" w:fill="auto"/>
            <w:vAlign w:val="bottom"/>
            <w:hideMark/>
          </w:tcPr>
          <w:p w:rsidR="00361D78" w:rsidRPr="00F634CD" w:rsidRDefault="00361D78" w:rsidP="008E5374">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58</w:t>
            </w:r>
          </w:p>
        </w:tc>
        <w:tc>
          <w:tcPr>
            <w:tcW w:w="537" w:type="pct"/>
            <w:shd w:val="clear" w:color="auto" w:fill="auto"/>
            <w:vAlign w:val="bottom"/>
            <w:hideMark/>
          </w:tcPr>
          <w:p w:rsidR="00361D78" w:rsidRPr="00F634CD" w:rsidRDefault="00451E37" w:rsidP="008E5374">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70</w:t>
            </w:r>
          </w:p>
        </w:tc>
        <w:tc>
          <w:tcPr>
            <w:tcW w:w="431" w:type="pct"/>
            <w:vAlign w:val="bottom"/>
          </w:tcPr>
          <w:p w:rsidR="00361D78" w:rsidRPr="00F634CD" w:rsidRDefault="00451E37" w:rsidP="008E5374">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100</w:t>
            </w:r>
          </w:p>
        </w:tc>
      </w:tr>
      <w:tr w:rsidR="00361D78" w:rsidRPr="00F634CD" w:rsidTr="00616D2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2H</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Surface water polluted by industrial wastes</w:t>
            </w:r>
          </w:p>
        </w:tc>
        <w:tc>
          <w:tcPr>
            <w:tcW w:w="1280"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of total river areas</w:t>
            </w:r>
          </w:p>
        </w:tc>
        <w:tc>
          <w:tcPr>
            <w:tcW w:w="433"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11</w:t>
            </w:r>
          </w:p>
        </w:tc>
        <w:tc>
          <w:tcPr>
            <w:tcW w:w="537" w:type="pct"/>
            <w:shd w:val="clear" w:color="auto" w:fill="auto"/>
            <w:vAlign w:val="center"/>
            <w:hideMark/>
          </w:tcPr>
          <w:p w:rsidR="00361D78" w:rsidRPr="00F634CD" w:rsidRDefault="00361D78" w:rsidP="000D4E58">
            <w:pPr>
              <w:spacing w:after="0" w:line="240" w:lineRule="auto"/>
              <w:jc w:val="right"/>
              <w:rPr>
                <w:rFonts w:eastAsia="Times New Roman" w:cs="Segoe UI"/>
                <w:color w:val="000000" w:themeColor="text1"/>
                <w:sz w:val="22"/>
                <w:lang w:eastAsia="en-GB"/>
              </w:rPr>
            </w:pPr>
            <w:r w:rsidRPr="00F634CD">
              <w:rPr>
                <w:rFonts w:eastAsia="Times New Roman" w:cs="Segoe UI"/>
                <w:color w:val="000000" w:themeColor="text1"/>
                <w:sz w:val="22"/>
                <w:lang w:eastAsia="en-GB"/>
              </w:rPr>
              <w:t>9</w:t>
            </w:r>
          </w:p>
        </w:tc>
        <w:tc>
          <w:tcPr>
            <w:tcW w:w="431" w:type="pct"/>
          </w:tcPr>
          <w:p w:rsidR="00361D78" w:rsidRPr="00F634CD" w:rsidRDefault="008E5374" w:rsidP="000D4E58">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5</w:t>
            </w:r>
          </w:p>
        </w:tc>
      </w:tr>
      <w:tr w:rsidR="00361D78" w:rsidRPr="00F634CD" w:rsidTr="008E537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2I</w:t>
            </w:r>
          </w:p>
        </w:tc>
        <w:tc>
          <w:tcPr>
            <w:tcW w:w="1173" w:type="pct"/>
            <w:gridSpan w:val="2"/>
            <w:shd w:val="clear" w:color="auto" w:fill="auto"/>
            <w:vAlign w:val="bottom"/>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Surface water sources polluted by other wastes</w:t>
            </w:r>
          </w:p>
        </w:tc>
        <w:tc>
          <w:tcPr>
            <w:tcW w:w="1280"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807"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of total river areas</w:t>
            </w:r>
          </w:p>
        </w:tc>
        <w:tc>
          <w:tcPr>
            <w:tcW w:w="433" w:type="pct"/>
            <w:gridSpan w:val="3"/>
            <w:shd w:val="clear" w:color="auto" w:fill="auto"/>
            <w:vAlign w:val="bottom"/>
            <w:hideMark/>
          </w:tcPr>
          <w:p w:rsidR="00361D78" w:rsidRPr="00F634CD" w:rsidRDefault="00361D78" w:rsidP="008E5374">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10</w:t>
            </w:r>
          </w:p>
        </w:tc>
        <w:tc>
          <w:tcPr>
            <w:tcW w:w="537" w:type="pct"/>
            <w:shd w:val="clear" w:color="auto" w:fill="auto"/>
            <w:vAlign w:val="bottom"/>
            <w:hideMark/>
          </w:tcPr>
          <w:p w:rsidR="00361D78" w:rsidRPr="00F634CD" w:rsidRDefault="00361D78" w:rsidP="008E5374">
            <w:pPr>
              <w:spacing w:after="0" w:line="240" w:lineRule="auto"/>
              <w:jc w:val="right"/>
              <w:rPr>
                <w:rFonts w:eastAsia="Times New Roman" w:cs="Segoe UI"/>
                <w:color w:val="000000" w:themeColor="text1"/>
                <w:sz w:val="22"/>
                <w:lang w:eastAsia="en-GB"/>
              </w:rPr>
            </w:pPr>
            <w:r w:rsidRPr="00F634CD">
              <w:rPr>
                <w:rFonts w:eastAsia="Times New Roman" w:cs="Segoe UI"/>
                <w:color w:val="000000" w:themeColor="text1"/>
                <w:sz w:val="22"/>
                <w:lang w:eastAsia="en-GB"/>
              </w:rPr>
              <w:t>7</w:t>
            </w:r>
          </w:p>
        </w:tc>
        <w:tc>
          <w:tcPr>
            <w:tcW w:w="431" w:type="pct"/>
            <w:vAlign w:val="bottom"/>
          </w:tcPr>
          <w:p w:rsidR="00361D78" w:rsidRPr="00F634CD" w:rsidRDefault="008E5374" w:rsidP="008E5374">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5</w:t>
            </w:r>
          </w:p>
        </w:tc>
      </w:tr>
      <w:tr w:rsidR="00361D78" w:rsidRPr="00F634CD" w:rsidTr="00616D24">
        <w:trPr>
          <w:trHeight w:val="144"/>
        </w:trPr>
        <w:tc>
          <w:tcPr>
            <w:tcW w:w="4569" w:type="pct"/>
            <w:gridSpan w:val="12"/>
            <w:shd w:val="clear" w:color="000000" w:fill="EEECE1"/>
            <w:vAlign w:val="center"/>
            <w:hideMark/>
          </w:tcPr>
          <w:p w:rsidR="00361D78" w:rsidRPr="00F634CD" w:rsidRDefault="00361D78" w:rsidP="000D4E58">
            <w:pPr>
              <w:spacing w:after="0" w:line="240" w:lineRule="auto"/>
              <w:rPr>
                <w:rFonts w:eastAsia="Times New Roman" w:cs="Segoe UI"/>
                <w:b/>
                <w:bCs/>
                <w:i/>
                <w:iCs/>
                <w:color w:val="000000"/>
                <w:sz w:val="22"/>
                <w:lang w:eastAsia="en-GB"/>
              </w:rPr>
            </w:pPr>
            <w:r w:rsidRPr="00F634CD">
              <w:rPr>
                <w:rFonts w:eastAsia="Times New Roman" w:cs="Segoe UI"/>
                <w:b/>
                <w:bCs/>
                <w:i/>
                <w:iCs/>
                <w:color w:val="000000"/>
                <w:sz w:val="22"/>
                <w:lang w:eastAsia="en-GB"/>
              </w:rPr>
              <w:t>(Goal 3: Ensure integrated river systems and estuaries management)</w:t>
            </w:r>
          </w:p>
        </w:tc>
        <w:tc>
          <w:tcPr>
            <w:tcW w:w="431" w:type="pct"/>
            <w:shd w:val="clear" w:color="000000" w:fill="EEECE1"/>
          </w:tcPr>
          <w:p w:rsidR="00361D78" w:rsidRPr="00F634CD" w:rsidRDefault="00361D78" w:rsidP="000D4E58">
            <w:pPr>
              <w:spacing w:after="0" w:line="240" w:lineRule="auto"/>
              <w:rPr>
                <w:rFonts w:eastAsia="Times New Roman" w:cs="Segoe UI"/>
                <w:b/>
                <w:bCs/>
                <w:i/>
                <w:iCs/>
                <w:color w:val="000000"/>
                <w:sz w:val="22"/>
                <w:lang w:eastAsia="en-GB"/>
              </w:rPr>
            </w:pPr>
          </w:p>
        </w:tc>
      </w:tr>
      <w:tr w:rsidR="00361D78" w:rsidRPr="008E5374" w:rsidTr="008E5374">
        <w:trPr>
          <w:trHeight w:val="144"/>
        </w:trPr>
        <w:tc>
          <w:tcPr>
            <w:tcW w:w="339" w:type="pct"/>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3A</w:t>
            </w:r>
          </w:p>
        </w:tc>
        <w:tc>
          <w:tcPr>
            <w:tcW w:w="1173" w:type="pct"/>
            <w:gridSpan w:val="2"/>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Erosion along major rivers</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eroded along Jamuna</w:t>
            </w:r>
          </w:p>
        </w:tc>
        <w:tc>
          <w:tcPr>
            <w:tcW w:w="1041" w:type="pct"/>
            <w:gridSpan w:val="4"/>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ha/ year</w:t>
            </w:r>
          </w:p>
        </w:tc>
        <w:tc>
          <w:tcPr>
            <w:tcW w:w="427" w:type="pct"/>
            <w:gridSpan w:val="2"/>
            <w:shd w:val="clear" w:color="auto" w:fill="auto"/>
            <w:vAlign w:val="bottom"/>
            <w:hideMark/>
          </w:tcPr>
          <w:p w:rsidR="00361D78" w:rsidRPr="00F634CD" w:rsidRDefault="00D206D2"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1,77</w:t>
            </w:r>
            <w:r w:rsidR="00361D78" w:rsidRPr="00F634CD">
              <w:rPr>
                <w:rFonts w:eastAsia="Times New Roman" w:cs="Segoe UI"/>
                <w:color w:val="000000"/>
                <w:sz w:val="22"/>
                <w:lang w:eastAsia="en-GB"/>
              </w:rPr>
              <w:t>0</w:t>
            </w:r>
          </w:p>
        </w:tc>
        <w:tc>
          <w:tcPr>
            <w:tcW w:w="543" w:type="pct"/>
            <w:gridSpan w:val="2"/>
            <w:shd w:val="clear" w:color="auto" w:fill="auto"/>
            <w:vAlign w:val="bottom"/>
            <w:hideMark/>
          </w:tcPr>
          <w:p w:rsidR="00361D78" w:rsidRPr="009924F5" w:rsidRDefault="00361D78" w:rsidP="008E5374">
            <w:pPr>
              <w:spacing w:after="0" w:line="240" w:lineRule="auto"/>
              <w:jc w:val="right"/>
              <w:rPr>
                <w:rFonts w:eastAsia="Times New Roman" w:cs="Segoe UI"/>
                <w:bCs/>
                <w:color w:val="000000"/>
                <w:sz w:val="22"/>
                <w:lang w:eastAsia="en-GB"/>
              </w:rPr>
            </w:pPr>
            <w:r w:rsidRPr="009924F5">
              <w:rPr>
                <w:rFonts w:eastAsia="Times New Roman" w:cs="Segoe UI"/>
                <w:bCs/>
                <w:color w:val="000000"/>
                <w:sz w:val="22"/>
                <w:lang w:eastAsia="en-GB"/>
              </w:rPr>
              <w:t>1,250</w:t>
            </w:r>
          </w:p>
        </w:tc>
        <w:tc>
          <w:tcPr>
            <w:tcW w:w="431" w:type="pct"/>
            <w:vAlign w:val="bottom"/>
          </w:tcPr>
          <w:p w:rsidR="00361D78" w:rsidRPr="008E5374" w:rsidRDefault="008E5374" w:rsidP="008E5374">
            <w:pPr>
              <w:spacing w:after="0" w:line="240" w:lineRule="auto"/>
              <w:jc w:val="right"/>
              <w:rPr>
                <w:rFonts w:eastAsia="Times New Roman" w:cs="Segoe UI"/>
                <w:bCs/>
                <w:color w:val="000000"/>
                <w:sz w:val="22"/>
                <w:lang w:eastAsia="en-GB"/>
              </w:rPr>
            </w:pPr>
            <w:r w:rsidRPr="008E5374">
              <w:rPr>
                <w:rFonts w:eastAsia="Times New Roman" w:cs="Segoe UI"/>
                <w:bCs/>
                <w:color w:val="000000"/>
                <w:sz w:val="22"/>
                <w:lang w:eastAsia="en-GB"/>
              </w:rPr>
              <w:t>1,000</w:t>
            </w:r>
          </w:p>
        </w:tc>
      </w:tr>
      <w:tr w:rsidR="00361D78" w:rsidRPr="00F634CD" w:rsidTr="008E537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eroded along Ganges</w:t>
            </w:r>
          </w:p>
        </w:tc>
        <w:tc>
          <w:tcPr>
            <w:tcW w:w="1041" w:type="pct"/>
            <w:gridSpan w:val="4"/>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27" w:type="pct"/>
            <w:gridSpan w:val="2"/>
            <w:shd w:val="clear" w:color="auto" w:fill="auto"/>
            <w:vAlign w:val="bottom"/>
            <w:hideMark/>
          </w:tcPr>
          <w:p w:rsidR="00361D78" w:rsidRPr="00F634CD" w:rsidRDefault="00D206D2" w:rsidP="008E5374">
            <w:pPr>
              <w:spacing w:after="0" w:line="240" w:lineRule="auto"/>
              <w:jc w:val="right"/>
              <w:rPr>
                <w:rFonts w:eastAsia="Times New Roman" w:cs="Segoe UI"/>
                <w:color w:val="000000"/>
                <w:sz w:val="22"/>
                <w:lang w:eastAsia="en-GB"/>
              </w:rPr>
            </w:pPr>
            <w:r>
              <w:rPr>
                <w:rFonts w:eastAsia="Times New Roman" w:cs="Segoe UI"/>
                <w:color w:val="000000"/>
                <w:sz w:val="22"/>
                <w:lang w:eastAsia="en-GB"/>
              </w:rPr>
              <w:t>498</w:t>
            </w:r>
          </w:p>
        </w:tc>
        <w:tc>
          <w:tcPr>
            <w:tcW w:w="543" w:type="pct"/>
            <w:gridSpan w:val="2"/>
            <w:shd w:val="clear" w:color="auto" w:fill="auto"/>
            <w:vAlign w:val="bottom"/>
            <w:hideMark/>
          </w:tcPr>
          <w:p w:rsidR="00361D78" w:rsidRPr="008E5374" w:rsidRDefault="008E5374" w:rsidP="008E5374">
            <w:pPr>
              <w:spacing w:after="0" w:line="240" w:lineRule="auto"/>
              <w:jc w:val="right"/>
              <w:rPr>
                <w:rFonts w:eastAsia="Times New Roman" w:cs="Segoe UI"/>
                <w:bCs/>
                <w:color w:val="000000"/>
                <w:sz w:val="22"/>
                <w:lang w:eastAsia="en-GB"/>
              </w:rPr>
            </w:pPr>
            <w:r w:rsidRPr="008E5374">
              <w:rPr>
                <w:rFonts w:eastAsia="Times New Roman" w:cs="Segoe UI"/>
                <w:bCs/>
                <w:color w:val="000000"/>
                <w:sz w:val="22"/>
                <w:lang w:eastAsia="en-GB"/>
              </w:rPr>
              <w:t>300</w:t>
            </w:r>
          </w:p>
        </w:tc>
        <w:tc>
          <w:tcPr>
            <w:tcW w:w="431" w:type="pct"/>
            <w:vAlign w:val="bottom"/>
          </w:tcPr>
          <w:p w:rsidR="00361D78" w:rsidRPr="008E5374" w:rsidRDefault="008E5374" w:rsidP="008E5374">
            <w:pPr>
              <w:spacing w:after="0" w:line="240" w:lineRule="auto"/>
              <w:jc w:val="right"/>
              <w:rPr>
                <w:rFonts w:eastAsia="Times New Roman" w:cs="Segoe UI"/>
                <w:color w:val="000000" w:themeColor="text1"/>
                <w:sz w:val="22"/>
                <w:lang w:eastAsia="en-GB"/>
              </w:rPr>
            </w:pPr>
            <w:r w:rsidRPr="008E5374">
              <w:rPr>
                <w:rFonts w:eastAsia="Times New Roman" w:cs="Segoe UI"/>
                <w:color w:val="000000" w:themeColor="text1"/>
                <w:sz w:val="22"/>
                <w:lang w:eastAsia="en-GB"/>
              </w:rPr>
              <w:t>300</w:t>
            </w:r>
          </w:p>
        </w:tc>
      </w:tr>
      <w:tr w:rsidR="00361D78" w:rsidRPr="00F634CD" w:rsidTr="008E5374">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eroded along Padma</w:t>
            </w:r>
          </w:p>
        </w:tc>
        <w:tc>
          <w:tcPr>
            <w:tcW w:w="1041" w:type="pct"/>
            <w:gridSpan w:val="4"/>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27" w:type="pct"/>
            <w:gridSpan w:val="2"/>
            <w:shd w:val="clear" w:color="auto" w:fill="auto"/>
            <w:vAlign w:val="bottom"/>
            <w:hideMark/>
          </w:tcPr>
          <w:p w:rsidR="00361D78" w:rsidRPr="008E5374" w:rsidRDefault="00D206D2" w:rsidP="008E5374">
            <w:pPr>
              <w:spacing w:after="0" w:line="240" w:lineRule="auto"/>
              <w:jc w:val="right"/>
              <w:rPr>
                <w:rFonts w:eastAsia="Times New Roman" w:cs="Segoe UI"/>
                <w:color w:val="000000"/>
                <w:sz w:val="22"/>
                <w:lang w:eastAsia="en-GB"/>
              </w:rPr>
            </w:pPr>
            <w:r w:rsidRPr="008E5374">
              <w:rPr>
                <w:rFonts w:eastAsia="Times New Roman" w:cs="Segoe UI"/>
                <w:color w:val="000000"/>
                <w:sz w:val="22"/>
                <w:lang w:eastAsia="en-GB"/>
              </w:rPr>
              <w:t>1298</w:t>
            </w:r>
          </w:p>
        </w:tc>
        <w:tc>
          <w:tcPr>
            <w:tcW w:w="543" w:type="pct"/>
            <w:gridSpan w:val="2"/>
            <w:shd w:val="clear" w:color="auto" w:fill="auto"/>
            <w:vAlign w:val="bottom"/>
            <w:hideMark/>
          </w:tcPr>
          <w:p w:rsidR="00361D78" w:rsidRPr="008E5374" w:rsidRDefault="008E5374" w:rsidP="008E5374">
            <w:pPr>
              <w:spacing w:after="0" w:line="240" w:lineRule="auto"/>
              <w:jc w:val="right"/>
              <w:rPr>
                <w:rFonts w:eastAsia="Times New Roman" w:cs="Segoe UI"/>
                <w:bCs/>
                <w:color w:val="000000"/>
                <w:sz w:val="22"/>
                <w:lang w:eastAsia="en-GB"/>
              </w:rPr>
            </w:pPr>
            <w:r w:rsidRPr="008E5374">
              <w:rPr>
                <w:rFonts w:eastAsia="Times New Roman" w:cs="Segoe UI"/>
                <w:bCs/>
                <w:color w:val="000000"/>
                <w:sz w:val="22"/>
                <w:lang w:eastAsia="en-GB"/>
              </w:rPr>
              <w:t>750</w:t>
            </w:r>
          </w:p>
        </w:tc>
        <w:tc>
          <w:tcPr>
            <w:tcW w:w="431" w:type="pct"/>
            <w:vAlign w:val="bottom"/>
          </w:tcPr>
          <w:p w:rsidR="00361D78" w:rsidRPr="008E5374" w:rsidRDefault="008E5374" w:rsidP="008E5374">
            <w:pPr>
              <w:spacing w:after="0" w:line="240" w:lineRule="auto"/>
              <w:jc w:val="right"/>
              <w:rPr>
                <w:rFonts w:eastAsia="Times New Roman" w:cs="Segoe UI"/>
                <w:color w:val="000000" w:themeColor="text1"/>
                <w:sz w:val="22"/>
                <w:lang w:eastAsia="en-GB"/>
              </w:rPr>
            </w:pPr>
            <w:r w:rsidRPr="008E5374">
              <w:rPr>
                <w:rFonts w:eastAsia="Times New Roman" w:cs="Segoe UI"/>
                <w:color w:val="000000" w:themeColor="text1"/>
                <w:sz w:val="22"/>
                <w:lang w:eastAsia="en-GB"/>
              </w:rPr>
              <w:t>500</w:t>
            </w:r>
          </w:p>
        </w:tc>
      </w:tr>
      <w:tr w:rsidR="00361D78" w:rsidRPr="00785B8E" w:rsidTr="00785B8E">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eroded along Lower Meghna</w:t>
            </w:r>
          </w:p>
        </w:tc>
        <w:tc>
          <w:tcPr>
            <w:tcW w:w="1041" w:type="pct"/>
            <w:gridSpan w:val="4"/>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27" w:type="pct"/>
            <w:gridSpan w:val="2"/>
            <w:shd w:val="clear" w:color="auto" w:fill="auto"/>
            <w:vAlign w:val="bottom"/>
            <w:hideMark/>
          </w:tcPr>
          <w:p w:rsidR="00361D78" w:rsidRPr="00785B8E" w:rsidRDefault="00D206D2" w:rsidP="00785B8E">
            <w:pPr>
              <w:spacing w:after="0" w:line="240" w:lineRule="auto"/>
              <w:jc w:val="right"/>
              <w:rPr>
                <w:rFonts w:eastAsia="Times New Roman" w:cs="Segoe UI"/>
                <w:color w:val="000000"/>
                <w:sz w:val="22"/>
                <w:lang w:eastAsia="en-GB"/>
              </w:rPr>
            </w:pPr>
            <w:r w:rsidRPr="00785B8E">
              <w:rPr>
                <w:rFonts w:eastAsia="Times New Roman" w:cs="Segoe UI"/>
                <w:color w:val="000000"/>
                <w:sz w:val="22"/>
                <w:lang w:eastAsia="en-GB"/>
              </w:rPr>
              <w:t>2900</w:t>
            </w:r>
          </w:p>
        </w:tc>
        <w:tc>
          <w:tcPr>
            <w:tcW w:w="543" w:type="pct"/>
            <w:gridSpan w:val="2"/>
            <w:shd w:val="clear" w:color="auto" w:fill="auto"/>
            <w:vAlign w:val="bottom"/>
            <w:hideMark/>
          </w:tcPr>
          <w:p w:rsidR="00361D78" w:rsidRPr="00785B8E" w:rsidRDefault="00785B8E" w:rsidP="00785B8E">
            <w:pPr>
              <w:spacing w:after="0" w:line="240" w:lineRule="auto"/>
              <w:jc w:val="right"/>
              <w:rPr>
                <w:rFonts w:eastAsia="Times New Roman" w:cs="Segoe UI"/>
                <w:bCs/>
                <w:color w:val="000000"/>
                <w:sz w:val="22"/>
                <w:lang w:eastAsia="en-GB"/>
              </w:rPr>
            </w:pPr>
            <w:r w:rsidRPr="00785B8E">
              <w:rPr>
                <w:rFonts w:eastAsia="Times New Roman" w:cs="Segoe UI"/>
                <w:bCs/>
                <w:color w:val="000000"/>
                <w:sz w:val="22"/>
                <w:lang w:eastAsia="en-GB"/>
              </w:rPr>
              <w:t>2000</w:t>
            </w:r>
          </w:p>
        </w:tc>
        <w:tc>
          <w:tcPr>
            <w:tcW w:w="431" w:type="pct"/>
            <w:vAlign w:val="bottom"/>
          </w:tcPr>
          <w:p w:rsidR="00361D78" w:rsidRPr="00785B8E" w:rsidRDefault="00785B8E" w:rsidP="00785B8E">
            <w:pPr>
              <w:spacing w:after="0" w:line="240" w:lineRule="auto"/>
              <w:jc w:val="right"/>
              <w:rPr>
                <w:rFonts w:eastAsia="Times New Roman" w:cs="Segoe UI"/>
                <w:color w:val="000000" w:themeColor="text1"/>
                <w:sz w:val="22"/>
                <w:lang w:eastAsia="en-GB"/>
              </w:rPr>
            </w:pPr>
            <w:r w:rsidRPr="00785B8E">
              <w:rPr>
                <w:rFonts w:eastAsia="Times New Roman" w:cs="Segoe UI"/>
                <w:color w:val="000000" w:themeColor="text1"/>
                <w:sz w:val="22"/>
                <w:lang w:eastAsia="en-GB"/>
              </w:rPr>
              <w:t>1200</w:t>
            </w:r>
          </w:p>
        </w:tc>
      </w:tr>
      <w:tr w:rsidR="00361D78" w:rsidRPr="00F634CD" w:rsidTr="00785B8E">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3B</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of reclaimed lands</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1041" w:type="pct"/>
            <w:gridSpan w:val="4"/>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Ha</w:t>
            </w:r>
            <w:r w:rsidR="00D206D2">
              <w:rPr>
                <w:rFonts w:eastAsia="Times New Roman" w:cs="Segoe UI"/>
                <w:color w:val="000000"/>
                <w:sz w:val="22"/>
                <w:lang w:eastAsia="en-GB"/>
              </w:rPr>
              <w:t xml:space="preserve"> (total)</w:t>
            </w:r>
          </w:p>
        </w:tc>
        <w:tc>
          <w:tcPr>
            <w:tcW w:w="427" w:type="pct"/>
            <w:gridSpan w:val="2"/>
            <w:shd w:val="clear" w:color="auto" w:fill="auto"/>
            <w:vAlign w:val="bottom"/>
            <w:hideMark/>
          </w:tcPr>
          <w:p w:rsidR="00361D78" w:rsidRPr="00F634CD" w:rsidRDefault="00D206D2" w:rsidP="00785B8E">
            <w:pPr>
              <w:spacing w:after="0" w:line="240" w:lineRule="auto"/>
              <w:jc w:val="right"/>
              <w:rPr>
                <w:rFonts w:eastAsia="Times New Roman" w:cs="Segoe UI"/>
                <w:color w:val="000000"/>
                <w:sz w:val="22"/>
                <w:lang w:eastAsia="en-GB"/>
              </w:rPr>
            </w:pPr>
            <w:r>
              <w:rPr>
                <w:rFonts w:eastAsia="Times New Roman" w:cs="Segoe UI"/>
                <w:color w:val="000000"/>
                <w:sz w:val="22"/>
                <w:lang w:eastAsia="en-GB"/>
              </w:rPr>
              <w:t>52313</w:t>
            </w:r>
          </w:p>
        </w:tc>
        <w:tc>
          <w:tcPr>
            <w:tcW w:w="543" w:type="pct"/>
            <w:gridSpan w:val="2"/>
            <w:shd w:val="clear" w:color="auto" w:fill="auto"/>
            <w:vAlign w:val="bottom"/>
            <w:hideMark/>
          </w:tcPr>
          <w:p w:rsidR="00361D78" w:rsidRPr="00F634CD" w:rsidRDefault="00D206D2" w:rsidP="00785B8E">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160,000</w:t>
            </w:r>
            <w:r>
              <w:rPr>
                <w:rFonts w:eastAsia="Times New Roman" w:cs="Times New Roman"/>
                <w:bCs/>
                <w:color w:val="000000"/>
                <w:sz w:val="22"/>
                <w:lang w:eastAsia="en-GB"/>
              </w:rPr>
              <w:t>*</w:t>
            </w:r>
          </w:p>
        </w:tc>
        <w:tc>
          <w:tcPr>
            <w:tcW w:w="431" w:type="pct"/>
            <w:vAlign w:val="bottom"/>
          </w:tcPr>
          <w:p w:rsidR="00361D78" w:rsidRPr="00F634CD" w:rsidRDefault="00785B8E" w:rsidP="00785B8E">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Tbd</w:t>
            </w:r>
            <w:r w:rsidR="0079268B">
              <w:rPr>
                <w:rFonts w:eastAsia="Times New Roman" w:cs="Segoe UI"/>
                <w:bCs/>
                <w:color w:val="000000"/>
                <w:sz w:val="22"/>
                <w:lang w:eastAsia="en-GB"/>
              </w:rPr>
              <w:t xml:space="preserve"> (?)</w:t>
            </w:r>
          </w:p>
        </w:tc>
      </w:tr>
      <w:tr w:rsidR="00361D78" w:rsidRPr="00F634CD" w:rsidTr="00785B8E">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3C</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xml:space="preserve">Developed areas from reclaimed areas </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1041" w:type="pct"/>
            <w:gridSpan w:val="4"/>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of reclaimed areas</w:t>
            </w:r>
          </w:p>
        </w:tc>
        <w:tc>
          <w:tcPr>
            <w:tcW w:w="427" w:type="pct"/>
            <w:gridSpan w:val="2"/>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N/A</w:t>
            </w:r>
          </w:p>
        </w:tc>
        <w:tc>
          <w:tcPr>
            <w:tcW w:w="543" w:type="pct"/>
            <w:gridSpan w:val="2"/>
            <w:shd w:val="clear" w:color="auto" w:fill="auto"/>
            <w:vAlign w:val="bottom"/>
            <w:hideMark/>
          </w:tcPr>
          <w:p w:rsidR="00361D78" w:rsidRPr="00785B8E" w:rsidRDefault="00785B8E" w:rsidP="00785B8E">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T</w:t>
            </w:r>
            <w:r w:rsidRPr="00785B8E">
              <w:rPr>
                <w:rFonts w:eastAsia="Times New Roman" w:cs="Segoe UI"/>
                <w:bCs/>
                <w:color w:val="000000"/>
                <w:sz w:val="22"/>
                <w:lang w:eastAsia="en-GB"/>
              </w:rPr>
              <w:t>bd</w:t>
            </w:r>
          </w:p>
        </w:tc>
        <w:tc>
          <w:tcPr>
            <w:tcW w:w="431" w:type="pct"/>
            <w:vAlign w:val="bottom"/>
          </w:tcPr>
          <w:p w:rsidR="00361D78" w:rsidRPr="00F634CD" w:rsidRDefault="00785B8E" w:rsidP="00785B8E">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Tbd</w:t>
            </w:r>
            <w:r w:rsidR="0079268B">
              <w:rPr>
                <w:rFonts w:eastAsia="Times New Roman" w:cs="Segoe UI"/>
                <w:color w:val="000000" w:themeColor="text1"/>
                <w:sz w:val="22"/>
                <w:lang w:eastAsia="en-GB"/>
              </w:rPr>
              <w:t xml:space="preserve"> (?)</w:t>
            </w:r>
          </w:p>
        </w:tc>
      </w:tr>
      <w:tr w:rsidR="00361D78" w:rsidRPr="00F634CD" w:rsidTr="00616D24">
        <w:trPr>
          <w:trHeight w:val="144"/>
        </w:trPr>
        <w:tc>
          <w:tcPr>
            <w:tcW w:w="4569" w:type="pct"/>
            <w:gridSpan w:val="12"/>
            <w:shd w:val="clear" w:color="000000" w:fill="EEECE1"/>
            <w:vAlign w:val="center"/>
            <w:hideMark/>
          </w:tcPr>
          <w:p w:rsidR="00361D78" w:rsidRPr="00F634CD" w:rsidRDefault="00361D78" w:rsidP="000D4E58">
            <w:pPr>
              <w:spacing w:after="0" w:line="240" w:lineRule="auto"/>
              <w:rPr>
                <w:rFonts w:eastAsia="Times New Roman" w:cs="Segoe UI"/>
                <w:b/>
                <w:bCs/>
                <w:i/>
                <w:iCs/>
                <w:color w:val="000000"/>
                <w:sz w:val="22"/>
                <w:lang w:eastAsia="en-GB"/>
              </w:rPr>
            </w:pPr>
            <w:r w:rsidRPr="00F634CD">
              <w:rPr>
                <w:rFonts w:eastAsia="Times New Roman" w:cs="Segoe UI"/>
                <w:b/>
                <w:bCs/>
                <w:i/>
                <w:iCs/>
                <w:color w:val="000000"/>
                <w:sz w:val="22"/>
                <w:lang w:eastAsia="en-GB"/>
              </w:rPr>
              <w:t>(Goal 4: Conserve and preserve wetlands and ecosystems and promote their wise use)</w:t>
            </w:r>
          </w:p>
        </w:tc>
        <w:tc>
          <w:tcPr>
            <w:tcW w:w="431" w:type="pct"/>
            <w:shd w:val="clear" w:color="000000" w:fill="EEECE1"/>
          </w:tcPr>
          <w:p w:rsidR="00361D78" w:rsidRPr="00F634CD" w:rsidRDefault="00361D78" w:rsidP="000D4E58">
            <w:pPr>
              <w:spacing w:after="0" w:line="240" w:lineRule="auto"/>
              <w:rPr>
                <w:rFonts w:eastAsia="Times New Roman" w:cs="Segoe UI"/>
                <w:b/>
                <w:bCs/>
                <w:i/>
                <w:iCs/>
                <w:color w:val="000000"/>
                <w:sz w:val="22"/>
                <w:lang w:eastAsia="en-GB"/>
              </w:rPr>
            </w:pPr>
          </w:p>
        </w:tc>
      </w:tr>
      <w:tr w:rsidR="00361D78" w:rsidRPr="00F634CD" w:rsidTr="00616D24">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4A</w:t>
            </w:r>
          </w:p>
        </w:tc>
        <w:tc>
          <w:tcPr>
            <w:tcW w:w="1173" w:type="pct"/>
            <w:gridSpan w:val="2"/>
            <w:shd w:val="clear" w:color="auto" w:fill="auto"/>
            <w:vAlign w:val="center"/>
            <w:hideMark/>
          </w:tcPr>
          <w:p w:rsidR="00361D78" w:rsidRPr="00F634CD" w:rsidRDefault="00993D9A" w:rsidP="000D4E58">
            <w:pPr>
              <w:spacing w:after="0" w:line="240" w:lineRule="auto"/>
              <w:rPr>
                <w:rFonts w:eastAsia="Times New Roman" w:cs="Segoe UI"/>
                <w:color w:val="000000"/>
                <w:sz w:val="22"/>
                <w:lang w:eastAsia="en-GB"/>
              </w:rPr>
            </w:pPr>
            <w:r>
              <w:rPr>
                <w:rFonts w:eastAsia="Times New Roman" w:cs="Segoe UI"/>
                <w:color w:val="000000"/>
                <w:sz w:val="22"/>
                <w:lang w:eastAsia="en-GB"/>
              </w:rPr>
              <w:t>Permanent wetland with connectivity</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36" w:type="pct"/>
            <w:gridSpan w:val="3"/>
            <w:shd w:val="clear" w:color="auto" w:fill="auto"/>
            <w:vAlign w:val="center"/>
            <w:hideMark/>
          </w:tcPr>
          <w:p w:rsidR="00361D78" w:rsidRPr="00F634CD" w:rsidRDefault="00993D9A" w:rsidP="000D4E58">
            <w:pPr>
              <w:spacing w:after="0" w:line="240" w:lineRule="auto"/>
              <w:rPr>
                <w:rFonts w:eastAsia="Times New Roman" w:cs="Segoe UI"/>
                <w:color w:val="000000"/>
                <w:sz w:val="22"/>
                <w:lang w:eastAsia="en-GB"/>
              </w:rPr>
            </w:pPr>
            <w:r>
              <w:rPr>
                <w:rFonts w:eastAsia="Times New Roman" w:cs="Segoe UI"/>
                <w:color w:val="000000"/>
                <w:sz w:val="22"/>
                <w:lang w:eastAsia="en-GB"/>
              </w:rPr>
              <w:t>No connectivity</w:t>
            </w:r>
          </w:p>
        </w:tc>
        <w:tc>
          <w:tcPr>
            <w:tcW w:w="432" w:type="pct"/>
            <w:gridSpan w:val="3"/>
            <w:shd w:val="clear" w:color="auto" w:fill="auto"/>
            <w:vAlign w:val="center"/>
            <w:hideMark/>
          </w:tcPr>
          <w:p w:rsidR="00361D78" w:rsidRPr="00785B8E" w:rsidRDefault="00993D9A" w:rsidP="00785B8E">
            <w:pPr>
              <w:spacing w:after="0" w:line="240" w:lineRule="auto"/>
              <w:rPr>
                <w:rFonts w:eastAsia="Times New Roman" w:cs="Segoe UI"/>
                <w:color w:val="000000"/>
                <w:sz w:val="14"/>
                <w:lang w:eastAsia="en-GB"/>
              </w:rPr>
            </w:pPr>
            <w:r w:rsidRPr="00785B8E">
              <w:rPr>
                <w:rFonts w:eastAsia="Times New Roman" w:cs="Segoe UI"/>
                <w:color w:val="000000"/>
                <w:sz w:val="14"/>
                <w:lang w:eastAsia="en-GB"/>
              </w:rPr>
              <w:t>Establish connectivity</w:t>
            </w:r>
          </w:p>
        </w:tc>
        <w:tc>
          <w:tcPr>
            <w:tcW w:w="543" w:type="pct"/>
            <w:gridSpan w:val="2"/>
            <w:shd w:val="clear" w:color="auto" w:fill="auto"/>
            <w:hideMark/>
          </w:tcPr>
          <w:p w:rsidR="00361D78" w:rsidRPr="00F35EF9" w:rsidRDefault="00993D9A" w:rsidP="000D4E58">
            <w:pPr>
              <w:spacing w:after="0" w:line="240" w:lineRule="auto"/>
              <w:jc w:val="right"/>
              <w:rPr>
                <w:rFonts w:eastAsia="Times New Roman" w:cs="Segoe UI"/>
                <w:b/>
                <w:bCs/>
                <w:color w:val="FF0000"/>
                <w:sz w:val="16"/>
                <w:highlight w:val="yellow"/>
                <w:lang w:eastAsia="en-GB"/>
              </w:rPr>
            </w:pPr>
            <w:r w:rsidRPr="00F35EF9">
              <w:rPr>
                <w:rFonts w:eastAsia="Times New Roman" w:cs="Segoe UI"/>
                <w:color w:val="000000" w:themeColor="text1"/>
                <w:sz w:val="16"/>
                <w:lang w:eastAsia="en-GB"/>
              </w:rPr>
              <w:t>Full maintenance</w:t>
            </w:r>
          </w:p>
        </w:tc>
        <w:tc>
          <w:tcPr>
            <w:tcW w:w="431" w:type="pct"/>
          </w:tcPr>
          <w:p w:rsidR="00361D78" w:rsidRPr="00785B8E" w:rsidRDefault="00993D9A" w:rsidP="000D4E58">
            <w:pPr>
              <w:spacing w:after="0" w:line="240" w:lineRule="auto"/>
              <w:rPr>
                <w:rFonts w:eastAsia="Times New Roman" w:cs="Segoe UI"/>
                <w:color w:val="000000" w:themeColor="text1"/>
                <w:sz w:val="16"/>
                <w:lang w:eastAsia="en-GB"/>
              </w:rPr>
            </w:pPr>
            <w:r w:rsidRPr="00785B8E">
              <w:rPr>
                <w:rFonts w:eastAsia="Times New Roman" w:cs="Segoe UI"/>
                <w:color w:val="000000" w:themeColor="text1"/>
                <w:sz w:val="16"/>
                <w:lang w:eastAsia="en-GB"/>
              </w:rPr>
              <w:t>Full main</w:t>
            </w:r>
            <w:r w:rsidR="00785B8E">
              <w:rPr>
                <w:rFonts w:eastAsia="Times New Roman" w:cs="Segoe UI"/>
                <w:color w:val="000000" w:themeColor="text1"/>
                <w:sz w:val="16"/>
                <w:lang w:eastAsia="en-GB"/>
              </w:rPr>
              <w:t>-</w:t>
            </w:r>
            <w:r w:rsidRPr="00785B8E">
              <w:rPr>
                <w:rFonts w:eastAsia="Times New Roman" w:cs="Segoe UI"/>
                <w:color w:val="000000" w:themeColor="text1"/>
                <w:sz w:val="16"/>
                <w:lang w:eastAsia="en-GB"/>
              </w:rPr>
              <w:t>tenance</w:t>
            </w:r>
          </w:p>
        </w:tc>
      </w:tr>
      <w:tr w:rsidR="00993D9A" w:rsidRPr="00F634CD" w:rsidTr="00616D24">
        <w:trPr>
          <w:trHeight w:val="144"/>
        </w:trPr>
        <w:tc>
          <w:tcPr>
            <w:tcW w:w="339" w:type="pct"/>
            <w:shd w:val="clear" w:color="auto" w:fill="auto"/>
            <w:vAlign w:val="center"/>
            <w:hideMark/>
          </w:tcPr>
          <w:p w:rsidR="00993D9A" w:rsidRPr="00F634CD" w:rsidRDefault="00993D9A"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4B</w:t>
            </w:r>
          </w:p>
        </w:tc>
        <w:tc>
          <w:tcPr>
            <w:tcW w:w="1173" w:type="pct"/>
            <w:gridSpan w:val="2"/>
            <w:shd w:val="clear" w:color="auto" w:fill="auto"/>
            <w:vAlign w:val="center"/>
            <w:hideMark/>
          </w:tcPr>
          <w:p w:rsidR="00993D9A" w:rsidRPr="00F634CD" w:rsidRDefault="00993D9A" w:rsidP="000D4E58">
            <w:pPr>
              <w:spacing w:after="0" w:line="240" w:lineRule="auto"/>
              <w:rPr>
                <w:rFonts w:eastAsia="Times New Roman" w:cs="Segoe UI"/>
                <w:color w:val="000000"/>
                <w:sz w:val="22"/>
                <w:lang w:eastAsia="en-GB"/>
              </w:rPr>
            </w:pPr>
            <w:r>
              <w:rPr>
                <w:rFonts w:eastAsia="Times New Roman" w:cs="Segoe UI"/>
                <w:color w:val="000000"/>
                <w:sz w:val="22"/>
                <w:lang w:eastAsia="en-GB"/>
              </w:rPr>
              <w:t>Seasonal wetland with connectivity</w:t>
            </w:r>
          </w:p>
        </w:tc>
        <w:tc>
          <w:tcPr>
            <w:tcW w:w="1046" w:type="pct"/>
            <w:shd w:val="clear" w:color="auto" w:fill="auto"/>
            <w:vAlign w:val="center"/>
            <w:hideMark/>
          </w:tcPr>
          <w:p w:rsidR="00993D9A" w:rsidRPr="00F634CD" w:rsidRDefault="00993D9A"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1036" w:type="pct"/>
            <w:gridSpan w:val="3"/>
            <w:shd w:val="clear" w:color="auto" w:fill="auto"/>
            <w:vAlign w:val="center"/>
            <w:hideMark/>
          </w:tcPr>
          <w:p w:rsidR="00993D9A" w:rsidRPr="00F634CD" w:rsidRDefault="00993D9A" w:rsidP="000D4E58">
            <w:pPr>
              <w:spacing w:after="0" w:line="240" w:lineRule="auto"/>
              <w:rPr>
                <w:rFonts w:eastAsia="Times New Roman" w:cs="Segoe UI"/>
                <w:color w:val="000000"/>
                <w:sz w:val="22"/>
                <w:lang w:eastAsia="en-GB"/>
              </w:rPr>
            </w:pPr>
            <w:r>
              <w:rPr>
                <w:rFonts w:eastAsia="Times New Roman" w:cs="Segoe UI"/>
                <w:color w:val="000000"/>
                <w:sz w:val="22"/>
                <w:lang w:eastAsia="en-GB"/>
              </w:rPr>
              <w:t>No connectivity</w:t>
            </w:r>
          </w:p>
        </w:tc>
        <w:tc>
          <w:tcPr>
            <w:tcW w:w="432" w:type="pct"/>
            <w:gridSpan w:val="3"/>
            <w:shd w:val="clear" w:color="auto" w:fill="auto"/>
            <w:vAlign w:val="center"/>
            <w:hideMark/>
          </w:tcPr>
          <w:p w:rsidR="00993D9A" w:rsidRPr="00785B8E" w:rsidRDefault="00993D9A" w:rsidP="00785B8E">
            <w:pPr>
              <w:spacing w:after="0" w:line="240" w:lineRule="auto"/>
              <w:rPr>
                <w:rFonts w:eastAsia="Times New Roman" w:cs="Segoe UI"/>
                <w:color w:val="000000"/>
                <w:sz w:val="14"/>
                <w:lang w:eastAsia="en-GB"/>
              </w:rPr>
            </w:pPr>
            <w:r w:rsidRPr="00785B8E">
              <w:rPr>
                <w:rFonts w:eastAsia="Times New Roman" w:cs="Segoe UI"/>
                <w:color w:val="000000"/>
                <w:sz w:val="14"/>
                <w:lang w:eastAsia="en-GB"/>
              </w:rPr>
              <w:t>Establish connectivity</w:t>
            </w:r>
          </w:p>
        </w:tc>
        <w:tc>
          <w:tcPr>
            <w:tcW w:w="543" w:type="pct"/>
            <w:gridSpan w:val="2"/>
            <w:shd w:val="clear" w:color="auto" w:fill="auto"/>
            <w:hideMark/>
          </w:tcPr>
          <w:p w:rsidR="00993D9A" w:rsidRPr="00F35EF9" w:rsidRDefault="00993D9A" w:rsidP="000D4E58">
            <w:pPr>
              <w:spacing w:after="0" w:line="240" w:lineRule="auto"/>
              <w:jc w:val="right"/>
              <w:rPr>
                <w:rFonts w:eastAsia="Times New Roman" w:cs="Segoe UI"/>
                <w:b/>
                <w:bCs/>
                <w:color w:val="FF0000"/>
                <w:sz w:val="16"/>
                <w:highlight w:val="yellow"/>
                <w:lang w:eastAsia="en-GB"/>
              </w:rPr>
            </w:pPr>
            <w:r w:rsidRPr="00F35EF9">
              <w:rPr>
                <w:rFonts w:eastAsia="Times New Roman" w:cs="Segoe UI"/>
                <w:color w:val="000000" w:themeColor="text1"/>
                <w:sz w:val="16"/>
                <w:lang w:eastAsia="en-GB"/>
              </w:rPr>
              <w:t>Full maintenance</w:t>
            </w:r>
          </w:p>
        </w:tc>
        <w:tc>
          <w:tcPr>
            <w:tcW w:w="431" w:type="pct"/>
          </w:tcPr>
          <w:p w:rsidR="00993D9A" w:rsidRPr="00785B8E" w:rsidRDefault="00993D9A" w:rsidP="000D4E58">
            <w:pPr>
              <w:spacing w:after="0" w:line="240" w:lineRule="auto"/>
              <w:rPr>
                <w:rFonts w:eastAsia="Times New Roman" w:cs="Segoe UI"/>
                <w:color w:val="000000" w:themeColor="text1"/>
                <w:sz w:val="16"/>
                <w:lang w:eastAsia="en-GB"/>
              </w:rPr>
            </w:pPr>
            <w:r w:rsidRPr="00785B8E">
              <w:rPr>
                <w:rFonts w:eastAsia="Times New Roman" w:cs="Segoe UI"/>
                <w:color w:val="000000" w:themeColor="text1"/>
                <w:sz w:val="16"/>
                <w:lang w:eastAsia="en-GB"/>
              </w:rPr>
              <w:t>Full main</w:t>
            </w:r>
            <w:r w:rsidR="00785B8E">
              <w:rPr>
                <w:rFonts w:eastAsia="Times New Roman" w:cs="Segoe UI"/>
                <w:color w:val="000000" w:themeColor="text1"/>
                <w:sz w:val="16"/>
                <w:lang w:eastAsia="en-GB"/>
              </w:rPr>
              <w:t>-</w:t>
            </w:r>
            <w:r w:rsidRPr="00785B8E">
              <w:rPr>
                <w:rFonts w:eastAsia="Times New Roman" w:cs="Segoe UI"/>
                <w:color w:val="000000" w:themeColor="text1"/>
                <w:sz w:val="16"/>
                <w:lang w:eastAsia="en-GB"/>
              </w:rPr>
              <w:t>tenance</w:t>
            </w:r>
          </w:p>
        </w:tc>
      </w:tr>
      <w:tr w:rsidR="00361D78" w:rsidRPr="00F634CD" w:rsidTr="00785B8E">
        <w:trPr>
          <w:trHeight w:val="144"/>
        </w:trPr>
        <w:tc>
          <w:tcPr>
            <w:tcW w:w="339" w:type="pct"/>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4C</w:t>
            </w:r>
          </w:p>
        </w:tc>
        <w:tc>
          <w:tcPr>
            <w:tcW w:w="1173" w:type="pct"/>
            <w:gridSpan w:val="2"/>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Habitat protection</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of perennial aquatic habitat</w:t>
            </w:r>
          </w:p>
        </w:tc>
        <w:tc>
          <w:tcPr>
            <w:tcW w:w="1036"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Ha</w:t>
            </w:r>
          </w:p>
        </w:tc>
        <w:tc>
          <w:tcPr>
            <w:tcW w:w="432" w:type="pct"/>
            <w:gridSpan w:val="3"/>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13,200</w:t>
            </w:r>
          </w:p>
        </w:tc>
        <w:tc>
          <w:tcPr>
            <w:tcW w:w="543" w:type="pct"/>
            <w:gridSpan w:val="2"/>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13,200</w:t>
            </w:r>
          </w:p>
        </w:tc>
        <w:tc>
          <w:tcPr>
            <w:tcW w:w="431" w:type="pct"/>
            <w:vAlign w:val="bottom"/>
          </w:tcPr>
          <w:p w:rsidR="00361D78" w:rsidRPr="00F634CD" w:rsidRDefault="00785B8E" w:rsidP="00785B8E">
            <w:pPr>
              <w:spacing w:after="0" w:line="240" w:lineRule="auto"/>
              <w:jc w:val="right"/>
              <w:rPr>
                <w:rFonts w:eastAsia="Times New Roman" w:cs="Segoe UI"/>
                <w:color w:val="000000"/>
                <w:sz w:val="22"/>
                <w:lang w:eastAsia="en-GB"/>
              </w:rPr>
            </w:pPr>
            <w:r>
              <w:rPr>
                <w:rFonts w:eastAsia="Times New Roman" w:cs="Segoe UI"/>
                <w:color w:val="000000"/>
                <w:sz w:val="22"/>
                <w:lang w:eastAsia="en-GB"/>
              </w:rPr>
              <w:t>Tbd</w:t>
            </w:r>
            <w:r w:rsidR="0079268B">
              <w:rPr>
                <w:rFonts w:eastAsia="Times New Roman" w:cs="Segoe UI"/>
                <w:color w:val="000000"/>
                <w:sz w:val="22"/>
                <w:lang w:eastAsia="en-GB"/>
              </w:rPr>
              <w:t xml:space="preserve"> (?)</w:t>
            </w:r>
          </w:p>
        </w:tc>
      </w:tr>
      <w:tr w:rsidR="00361D78" w:rsidRPr="00F634CD" w:rsidTr="00785B8E">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of seasonal aquatic habitat</w:t>
            </w:r>
          </w:p>
        </w:tc>
        <w:tc>
          <w:tcPr>
            <w:tcW w:w="1036"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2" w:type="pct"/>
            <w:gridSpan w:val="3"/>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30,880</w:t>
            </w:r>
          </w:p>
        </w:tc>
        <w:tc>
          <w:tcPr>
            <w:tcW w:w="543" w:type="pct"/>
            <w:gridSpan w:val="2"/>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30,880</w:t>
            </w:r>
          </w:p>
        </w:tc>
        <w:tc>
          <w:tcPr>
            <w:tcW w:w="431" w:type="pct"/>
            <w:vAlign w:val="bottom"/>
          </w:tcPr>
          <w:p w:rsidR="00361D78" w:rsidRPr="00F634CD" w:rsidRDefault="00785B8E" w:rsidP="00785B8E">
            <w:pPr>
              <w:spacing w:after="0" w:line="240" w:lineRule="auto"/>
              <w:jc w:val="right"/>
              <w:rPr>
                <w:rFonts w:eastAsia="Times New Roman" w:cs="Segoe UI"/>
                <w:color w:val="000000"/>
                <w:sz w:val="22"/>
                <w:lang w:eastAsia="en-GB"/>
              </w:rPr>
            </w:pPr>
            <w:r>
              <w:rPr>
                <w:rFonts w:eastAsia="Times New Roman" w:cs="Segoe UI"/>
                <w:color w:val="000000"/>
                <w:sz w:val="22"/>
                <w:lang w:eastAsia="en-GB"/>
              </w:rPr>
              <w:t>Tbd</w:t>
            </w:r>
            <w:r w:rsidR="0079268B">
              <w:rPr>
                <w:rFonts w:eastAsia="Times New Roman" w:cs="Segoe UI"/>
                <w:color w:val="000000"/>
                <w:sz w:val="22"/>
                <w:lang w:eastAsia="en-GB"/>
              </w:rPr>
              <w:t xml:space="preserve"> (?)</w:t>
            </w:r>
          </w:p>
        </w:tc>
      </w:tr>
      <w:tr w:rsidR="00361D78" w:rsidRPr="00F634CD" w:rsidTr="00785B8E">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of marine habitat</w:t>
            </w:r>
          </w:p>
        </w:tc>
        <w:tc>
          <w:tcPr>
            <w:tcW w:w="1036"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32" w:type="pct"/>
            <w:gridSpan w:val="3"/>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32,300</w:t>
            </w:r>
          </w:p>
        </w:tc>
        <w:tc>
          <w:tcPr>
            <w:tcW w:w="543" w:type="pct"/>
            <w:gridSpan w:val="2"/>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32,300</w:t>
            </w:r>
          </w:p>
        </w:tc>
        <w:tc>
          <w:tcPr>
            <w:tcW w:w="431" w:type="pct"/>
            <w:vAlign w:val="bottom"/>
          </w:tcPr>
          <w:p w:rsidR="00361D78" w:rsidRPr="00F634CD" w:rsidRDefault="00785B8E" w:rsidP="00785B8E">
            <w:pPr>
              <w:spacing w:after="0" w:line="240" w:lineRule="auto"/>
              <w:jc w:val="right"/>
              <w:rPr>
                <w:rFonts w:eastAsia="Times New Roman" w:cs="Segoe UI"/>
                <w:color w:val="000000"/>
                <w:sz w:val="22"/>
                <w:lang w:eastAsia="en-GB"/>
              </w:rPr>
            </w:pPr>
            <w:r>
              <w:rPr>
                <w:rFonts w:eastAsia="Times New Roman" w:cs="Segoe UI"/>
                <w:color w:val="000000"/>
                <w:sz w:val="22"/>
                <w:lang w:eastAsia="en-GB"/>
              </w:rPr>
              <w:t>Tbd</w:t>
            </w:r>
            <w:r w:rsidR="0079268B">
              <w:rPr>
                <w:rFonts w:eastAsia="Times New Roman" w:cs="Segoe UI"/>
                <w:color w:val="000000"/>
                <w:sz w:val="22"/>
                <w:lang w:eastAsia="en-GB"/>
              </w:rPr>
              <w:t xml:space="preserve"> (?)</w:t>
            </w:r>
          </w:p>
        </w:tc>
      </w:tr>
      <w:tr w:rsidR="00785B8E" w:rsidRPr="00785B8E" w:rsidTr="00785B8E">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4D</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Ecosystem services and goods harnessing</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1036"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qualitative judgment</w:t>
            </w:r>
          </w:p>
        </w:tc>
        <w:tc>
          <w:tcPr>
            <w:tcW w:w="432" w:type="pct"/>
            <w:gridSpan w:val="3"/>
            <w:shd w:val="clear" w:color="auto" w:fill="auto"/>
            <w:vAlign w:val="bottom"/>
            <w:hideMark/>
          </w:tcPr>
          <w:p w:rsidR="00361D78" w:rsidRPr="00785B8E" w:rsidRDefault="00361D78" w:rsidP="00785B8E">
            <w:pPr>
              <w:spacing w:after="0" w:line="240" w:lineRule="auto"/>
              <w:jc w:val="right"/>
              <w:rPr>
                <w:rFonts w:eastAsia="Times New Roman" w:cs="Segoe UI"/>
                <w:sz w:val="22"/>
                <w:lang w:eastAsia="en-GB"/>
              </w:rPr>
            </w:pPr>
            <w:r w:rsidRPr="00785B8E">
              <w:rPr>
                <w:rFonts w:eastAsia="Times New Roman" w:cs="Segoe UI"/>
                <w:sz w:val="22"/>
                <w:lang w:eastAsia="en-GB"/>
              </w:rPr>
              <w:t>Poor</w:t>
            </w:r>
          </w:p>
        </w:tc>
        <w:tc>
          <w:tcPr>
            <w:tcW w:w="543" w:type="pct"/>
            <w:gridSpan w:val="2"/>
            <w:shd w:val="clear" w:color="auto" w:fill="auto"/>
            <w:vAlign w:val="bottom"/>
            <w:hideMark/>
          </w:tcPr>
          <w:p w:rsidR="00361D78" w:rsidRPr="00785B8E" w:rsidRDefault="00785B8E" w:rsidP="00785B8E">
            <w:pPr>
              <w:spacing w:after="0" w:line="240" w:lineRule="auto"/>
              <w:jc w:val="right"/>
              <w:rPr>
                <w:rFonts w:eastAsia="Times New Roman" w:cs="Segoe UI"/>
                <w:b/>
                <w:bCs/>
                <w:sz w:val="22"/>
                <w:highlight w:val="yellow"/>
                <w:lang w:eastAsia="en-GB"/>
              </w:rPr>
            </w:pPr>
            <w:r w:rsidRPr="00785B8E">
              <w:rPr>
                <w:rFonts w:eastAsia="Times New Roman" w:cs="Segoe UI"/>
                <w:sz w:val="22"/>
                <w:lang w:eastAsia="en-GB"/>
              </w:rPr>
              <w:t>Fair</w:t>
            </w:r>
          </w:p>
        </w:tc>
        <w:tc>
          <w:tcPr>
            <w:tcW w:w="431" w:type="pct"/>
            <w:vAlign w:val="bottom"/>
          </w:tcPr>
          <w:p w:rsidR="00361D78" w:rsidRPr="00785B8E" w:rsidRDefault="00785B8E" w:rsidP="00785B8E">
            <w:pPr>
              <w:spacing w:after="0" w:line="240" w:lineRule="auto"/>
              <w:jc w:val="right"/>
              <w:rPr>
                <w:rFonts w:eastAsia="Times New Roman" w:cs="Segoe UI"/>
                <w:sz w:val="22"/>
                <w:lang w:eastAsia="en-GB"/>
              </w:rPr>
            </w:pPr>
            <w:r w:rsidRPr="00785B8E">
              <w:rPr>
                <w:rFonts w:eastAsia="Times New Roman" w:cs="Segoe UI"/>
                <w:sz w:val="22"/>
                <w:lang w:eastAsia="en-GB"/>
              </w:rPr>
              <w:t>Good</w:t>
            </w:r>
          </w:p>
        </w:tc>
      </w:tr>
      <w:tr w:rsidR="00361D78" w:rsidRPr="00F634CD" w:rsidTr="00616D24">
        <w:trPr>
          <w:trHeight w:val="144"/>
        </w:trPr>
        <w:tc>
          <w:tcPr>
            <w:tcW w:w="4569" w:type="pct"/>
            <w:gridSpan w:val="12"/>
            <w:shd w:val="clear" w:color="000000" w:fill="EEECE1"/>
            <w:vAlign w:val="center"/>
            <w:hideMark/>
          </w:tcPr>
          <w:p w:rsidR="00361D78" w:rsidRPr="00F634CD" w:rsidRDefault="00361D78" w:rsidP="000D4E58">
            <w:pPr>
              <w:spacing w:after="0" w:line="240" w:lineRule="auto"/>
              <w:rPr>
                <w:rFonts w:eastAsia="Times New Roman" w:cs="Segoe UI"/>
                <w:b/>
                <w:bCs/>
                <w:i/>
                <w:iCs/>
                <w:color w:val="000000"/>
                <w:sz w:val="22"/>
                <w:lang w:eastAsia="en-GB"/>
              </w:rPr>
            </w:pPr>
            <w:r w:rsidRPr="00F634CD">
              <w:rPr>
                <w:rFonts w:eastAsia="Times New Roman" w:cs="Segoe UI"/>
                <w:b/>
                <w:bCs/>
                <w:i/>
                <w:iCs/>
                <w:color w:val="000000"/>
                <w:sz w:val="22"/>
                <w:lang w:eastAsia="en-GB"/>
              </w:rPr>
              <w:t>(Goal 5: Develop effective institutions and equitable governance for intra and trans-boundary water resources management)</w:t>
            </w:r>
          </w:p>
        </w:tc>
        <w:tc>
          <w:tcPr>
            <w:tcW w:w="431" w:type="pct"/>
            <w:shd w:val="clear" w:color="000000" w:fill="EEECE1"/>
          </w:tcPr>
          <w:p w:rsidR="00361D78" w:rsidRPr="00F634CD" w:rsidRDefault="00361D78" w:rsidP="000D4E58">
            <w:pPr>
              <w:spacing w:after="0" w:line="240" w:lineRule="auto"/>
              <w:rPr>
                <w:rFonts w:eastAsia="Times New Roman" w:cs="Segoe UI"/>
                <w:b/>
                <w:bCs/>
                <w:i/>
                <w:iCs/>
                <w:color w:val="000000"/>
                <w:sz w:val="22"/>
                <w:lang w:eastAsia="en-GB"/>
              </w:rPr>
            </w:pPr>
          </w:p>
        </w:tc>
      </w:tr>
      <w:tr w:rsidR="00361D78" w:rsidRPr="00F634CD" w:rsidTr="00785B8E">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5A</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Rural people with adequate capacity for WRM</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1036"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of rural population</w:t>
            </w:r>
          </w:p>
        </w:tc>
        <w:tc>
          <w:tcPr>
            <w:tcW w:w="428" w:type="pct"/>
            <w:gridSpan w:val="2"/>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20</w:t>
            </w:r>
          </w:p>
        </w:tc>
        <w:tc>
          <w:tcPr>
            <w:tcW w:w="547" w:type="pct"/>
            <w:gridSpan w:val="3"/>
            <w:shd w:val="clear" w:color="auto" w:fill="auto"/>
            <w:vAlign w:val="bottom"/>
            <w:hideMark/>
          </w:tcPr>
          <w:p w:rsidR="00361D78" w:rsidRPr="00F634CD" w:rsidRDefault="00361D78" w:rsidP="00785B8E">
            <w:pPr>
              <w:spacing w:after="0" w:line="240" w:lineRule="auto"/>
              <w:jc w:val="right"/>
              <w:rPr>
                <w:rFonts w:eastAsia="Times New Roman" w:cs="Segoe UI"/>
                <w:bCs/>
                <w:color w:val="000000"/>
                <w:sz w:val="22"/>
                <w:lang w:eastAsia="en-GB"/>
              </w:rPr>
            </w:pPr>
            <w:r w:rsidRPr="00F634CD">
              <w:rPr>
                <w:rFonts w:eastAsia="Times New Roman" w:cs="Segoe UI"/>
                <w:bCs/>
                <w:color w:val="000000"/>
                <w:sz w:val="22"/>
                <w:lang w:eastAsia="en-GB"/>
              </w:rPr>
              <w:t>35</w:t>
            </w:r>
          </w:p>
        </w:tc>
        <w:tc>
          <w:tcPr>
            <w:tcW w:w="431" w:type="pct"/>
            <w:vAlign w:val="bottom"/>
          </w:tcPr>
          <w:p w:rsidR="00361D78" w:rsidRPr="00F634CD" w:rsidRDefault="00785B8E" w:rsidP="00785B8E">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50</w:t>
            </w:r>
          </w:p>
        </w:tc>
      </w:tr>
      <w:tr w:rsidR="00361D78" w:rsidRPr="00F634CD" w:rsidTr="00785B8E">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5C</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Equitable share of water among users</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1036"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qualitative judgment</w:t>
            </w:r>
          </w:p>
        </w:tc>
        <w:tc>
          <w:tcPr>
            <w:tcW w:w="428" w:type="pct"/>
            <w:gridSpan w:val="2"/>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Poor</w:t>
            </w:r>
          </w:p>
        </w:tc>
        <w:tc>
          <w:tcPr>
            <w:tcW w:w="547" w:type="pct"/>
            <w:gridSpan w:val="3"/>
            <w:shd w:val="clear" w:color="auto" w:fill="auto"/>
            <w:vAlign w:val="bottom"/>
            <w:hideMark/>
          </w:tcPr>
          <w:p w:rsidR="00361D78" w:rsidRPr="00F634CD" w:rsidRDefault="00785B8E" w:rsidP="00785B8E">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Fair</w:t>
            </w:r>
          </w:p>
        </w:tc>
        <w:tc>
          <w:tcPr>
            <w:tcW w:w="431" w:type="pct"/>
            <w:vAlign w:val="bottom"/>
          </w:tcPr>
          <w:p w:rsidR="00361D78" w:rsidRPr="00F634CD" w:rsidRDefault="00785B8E" w:rsidP="00785B8E">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Good</w:t>
            </w:r>
          </w:p>
        </w:tc>
      </w:tr>
      <w:tr w:rsidR="00361D78" w:rsidRPr="00F634CD" w:rsidTr="00785B8E">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5D</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Adequate monitoring mechanism</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1036" w:type="pct"/>
            <w:gridSpan w:val="3"/>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qualitative judgment</w:t>
            </w:r>
          </w:p>
        </w:tc>
        <w:tc>
          <w:tcPr>
            <w:tcW w:w="428" w:type="pct"/>
            <w:gridSpan w:val="2"/>
            <w:shd w:val="clear" w:color="auto" w:fill="auto"/>
            <w:vAlign w:val="bottom"/>
            <w:hideMark/>
          </w:tcPr>
          <w:p w:rsidR="00361D78" w:rsidRPr="00F634CD" w:rsidRDefault="00361D78" w:rsidP="00785B8E">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Poor</w:t>
            </w:r>
          </w:p>
        </w:tc>
        <w:tc>
          <w:tcPr>
            <w:tcW w:w="547" w:type="pct"/>
            <w:gridSpan w:val="3"/>
            <w:shd w:val="clear" w:color="auto" w:fill="auto"/>
            <w:vAlign w:val="bottom"/>
            <w:hideMark/>
          </w:tcPr>
          <w:p w:rsidR="00361D78" w:rsidRPr="00F634CD" w:rsidRDefault="00785B8E" w:rsidP="00785B8E">
            <w:pPr>
              <w:spacing w:after="0" w:line="240" w:lineRule="auto"/>
              <w:jc w:val="right"/>
              <w:rPr>
                <w:rFonts w:eastAsia="Times New Roman" w:cs="Segoe UI"/>
                <w:bCs/>
                <w:color w:val="FF0000"/>
                <w:sz w:val="22"/>
                <w:highlight w:val="yellow"/>
                <w:lang w:eastAsia="en-GB"/>
              </w:rPr>
            </w:pPr>
            <w:r>
              <w:rPr>
                <w:rFonts w:eastAsia="Times New Roman" w:cs="Segoe UI"/>
                <w:color w:val="000000" w:themeColor="text1"/>
                <w:sz w:val="22"/>
                <w:lang w:eastAsia="en-GB"/>
              </w:rPr>
              <w:t>Fair</w:t>
            </w:r>
          </w:p>
        </w:tc>
        <w:tc>
          <w:tcPr>
            <w:tcW w:w="431" w:type="pct"/>
            <w:vAlign w:val="bottom"/>
          </w:tcPr>
          <w:p w:rsidR="00361D78" w:rsidRPr="00F634CD" w:rsidRDefault="00785B8E" w:rsidP="00785B8E">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Good</w:t>
            </w:r>
          </w:p>
        </w:tc>
      </w:tr>
      <w:tr w:rsidR="00361D78" w:rsidRPr="00F634CD" w:rsidTr="00785B8E">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5E</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O&amp;M budgeting</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1036" w:type="pct"/>
            <w:gridSpan w:val="3"/>
            <w:shd w:val="clear" w:color="auto" w:fill="auto"/>
            <w:vAlign w:val="center"/>
            <w:hideMark/>
          </w:tcPr>
          <w:p w:rsidR="00361D78" w:rsidRPr="00F634CD" w:rsidRDefault="00785B8E" w:rsidP="000D4E58">
            <w:pPr>
              <w:spacing w:after="0" w:line="240" w:lineRule="auto"/>
              <w:rPr>
                <w:rFonts w:eastAsia="Times New Roman" w:cs="Segoe UI"/>
                <w:color w:val="000000"/>
                <w:sz w:val="22"/>
                <w:lang w:eastAsia="en-GB"/>
              </w:rPr>
            </w:pPr>
            <w:r>
              <w:rPr>
                <w:rFonts w:eastAsia="Times New Roman" w:cs="Segoe UI"/>
                <w:color w:val="000000"/>
                <w:sz w:val="22"/>
                <w:lang w:eastAsia="en-GB"/>
              </w:rPr>
              <w:t>% of Delta Plan budget</w:t>
            </w:r>
          </w:p>
        </w:tc>
        <w:tc>
          <w:tcPr>
            <w:tcW w:w="428" w:type="pct"/>
            <w:gridSpan w:val="2"/>
            <w:shd w:val="clear" w:color="auto" w:fill="auto"/>
            <w:vAlign w:val="bottom"/>
            <w:hideMark/>
          </w:tcPr>
          <w:p w:rsidR="00361D78" w:rsidRPr="00F634CD" w:rsidRDefault="00785B8E" w:rsidP="00785B8E">
            <w:pPr>
              <w:spacing w:after="0" w:line="240" w:lineRule="auto"/>
              <w:jc w:val="right"/>
              <w:rPr>
                <w:rFonts w:eastAsia="Times New Roman" w:cs="Segoe UI"/>
                <w:color w:val="000000"/>
                <w:sz w:val="22"/>
                <w:lang w:eastAsia="en-GB"/>
              </w:rPr>
            </w:pPr>
            <w:r>
              <w:rPr>
                <w:rFonts w:eastAsia="Times New Roman" w:cs="Segoe UI"/>
                <w:color w:val="000000"/>
                <w:sz w:val="22"/>
                <w:lang w:eastAsia="en-GB"/>
              </w:rPr>
              <w:t>5%</w:t>
            </w:r>
          </w:p>
        </w:tc>
        <w:tc>
          <w:tcPr>
            <w:tcW w:w="547" w:type="pct"/>
            <w:gridSpan w:val="3"/>
            <w:shd w:val="clear" w:color="auto" w:fill="auto"/>
            <w:vAlign w:val="bottom"/>
            <w:hideMark/>
          </w:tcPr>
          <w:p w:rsidR="00361D78" w:rsidRPr="00F634CD" w:rsidRDefault="00785B8E" w:rsidP="00785B8E">
            <w:pPr>
              <w:spacing w:after="0" w:line="240" w:lineRule="auto"/>
              <w:jc w:val="right"/>
              <w:rPr>
                <w:rFonts w:eastAsia="Times New Roman" w:cs="Segoe UI"/>
                <w:bCs/>
                <w:color w:val="FF0000"/>
                <w:sz w:val="22"/>
                <w:highlight w:val="yellow"/>
                <w:lang w:eastAsia="en-GB"/>
              </w:rPr>
            </w:pPr>
            <w:r>
              <w:rPr>
                <w:rFonts w:eastAsia="Times New Roman" w:cs="Segoe UI"/>
                <w:color w:val="000000" w:themeColor="text1"/>
                <w:sz w:val="22"/>
                <w:lang w:eastAsia="en-GB"/>
              </w:rPr>
              <w:t>25%</w:t>
            </w:r>
          </w:p>
        </w:tc>
        <w:tc>
          <w:tcPr>
            <w:tcW w:w="431" w:type="pct"/>
            <w:vAlign w:val="bottom"/>
          </w:tcPr>
          <w:p w:rsidR="00361D78" w:rsidRPr="00F634CD" w:rsidRDefault="00785B8E" w:rsidP="00785B8E">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25%</w:t>
            </w:r>
          </w:p>
        </w:tc>
      </w:tr>
      <w:tr w:rsidR="00361D78" w:rsidRPr="00F634CD" w:rsidTr="00616D24">
        <w:trPr>
          <w:trHeight w:val="144"/>
        </w:trPr>
        <w:tc>
          <w:tcPr>
            <w:tcW w:w="4569" w:type="pct"/>
            <w:gridSpan w:val="12"/>
            <w:shd w:val="clear" w:color="000000" w:fill="EEECE1"/>
            <w:vAlign w:val="center"/>
            <w:hideMark/>
          </w:tcPr>
          <w:p w:rsidR="00361D78" w:rsidRPr="00F634CD" w:rsidRDefault="00361D78" w:rsidP="000D4E58">
            <w:pPr>
              <w:spacing w:after="0" w:line="240" w:lineRule="auto"/>
              <w:rPr>
                <w:rFonts w:eastAsia="Times New Roman" w:cs="Segoe UI"/>
                <w:b/>
                <w:bCs/>
                <w:i/>
                <w:iCs/>
                <w:color w:val="000000"/>
                <w:sz w:val="22"/>
                <w:lang w:eastAsia="en-GB"/>
              </w:rPr>
            </w:pPr>
            <w:r w:rsidRPr="00F634CD">
              <w:rPr>
                <w:rFonts w:eastAsia="Times New Roman" w:cs="Segoe UI"/>
                <w:b/>
                <w:bCs/>
                <w:i/>
                <w:iCs/>
                <w:color w:val="000000"/>
                <w:sz w:val="22"/>
                <w:lang w:eastAsia="en-GB"/>
              </w:rPr>
              <w:t>(Goal 6: Achieve optimal use of land and water)</w:t>
            </w:r>
          </w:p>
        </w:tc>
        <w:tc>
          <w:tcPr>
            <w:tcW w:w="431" w:type="pct"/>
            <w:shd w:val="clear" w:color="000000" w:fill="EEECE1"/>
          </w:tcPr>
          <w:p w:rsidR="00361D78" w:rsidRPr="00F634CD" w:rsidRDefault="00361D78" w:rsidP="000D4E58">
            <w:pPr>
              <w:spacing w:after="0" w:line="240" w:lineRule="auto"/>
              <w:rPr>
                <w:rFonts w:eastAsia="Times New Roman" w:cs="Segoe UI"/>
                <w:b/>
                <w:bCs/>
                <w:i/>
                <w:iCs/>
                <w:color w:val="000000"/>
                <w:sz w:val="22"/>
                <w:lang w:eastAsia="en-GB"/>
              </w:rPr>
            </w:pPr>
          </w:p>
        </w:tc>
      </w:tr>
      <w:tr w:rsidR="00361D78" w:rsidRPr="00F634CD" w:rsidTr="00771279">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6A</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Spatial zoning of integrated land and water uses</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qualitative judgment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None</w:t>
            </w:r>
          </w:p>
        </w:tc>
        <w:tc>
          <w:tcPr>
            <w:tcW w:w="547" w:type="pct"/>
            <w:gridSpan w:val="3"/>
            <w:shd w:val="clear" w:color="auto" w:fill="auto"/>
            <w:hideMark/>
          </w:tcPr>
          <w:p w:rsidR="00361D78" w:rsidRPr="00F634CD" w:rsidRDefault="00785B8E" w:rsidP="000D4E58">
            <w:pPr>
              <w:spacing w:after="0" w:line="240" w:lineRule="auto"/>
              <w:jc w:val="right"/>
              <w:rPr>
                <w:rFonts w:eastAsia="Times New Roman" w:cs="Segoe UI"/>
                <w:b/>
                <w:bCs/>
                <w:color w:val="FF0000"/>
                <w:sz w:val="22"/>
                <w:highlight w:val="yellow"/>
                <w:lang w:eastAsia="en-GB"/>
              </w:rPr>
            </w:pPr>
            <w:r>
              <w:rPr>
                <w:rFonts w:eastAsia="Times New Roman" w:cs="Segoe UI"/>
                <w:color w:val="000000" w:themeColor="text1"/>
                <w:sz w:val="22"/>
                <w:lang w:eastAsia="en-GB"/>
              </w:rPr>
              <w:t>Fair</w:t>
            </w:r>
          </w:p>
        </w:tc>
        <w:tc>
          <w:tcPr>
            <w:tcW w:w="431" w:type="pct"/>
          </w:tcPr>
          <w:p w:rsidR="00361D78" w:rsidRPr="00F634CD" w:rsidRDefault="00785B8E" w:rsidP="000D4E58">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Good</w:t>
            </w:r>
          </w:p>
        </w:tc>
      </w:tr>
      <w:tr w:rsidR="00361D78" w:rsidRPr="00F634CD" w:rsidTr="00771279">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6B</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Spatial standardization of drainage density</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qualitative judgment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None</w:t>
            </w:r>
          </w:p>
        </w:tc>
        <w:tc>
          <w:tcPr>
            <w:tcW w:w="547" w:type="pct"/>
            <w:gridSpan w:val="3"/>
            <w:shd w:val="clear" w:color="auto" w:fill="auto"/>
            <w:hideMark/>
          </w:tcPr>
          <w:p w:rsidR="00361D78" w:rsidRPr="00F634CD" w:rsidRDefault="00785B8E" w:rsidP="000D4E58">
            <w:pPr>
              <w:spacing w:after="0" w:line="240" w:lineRule="auto"/>
              <w:jc w:val="right"/>
              <w:rPr>
                <w:rFonts w:eastAsia="Times New Roman" w:cs="Segoe UI"/>
                <w:b/>
                <w:bCs/>
                <w:color w:val="FF0000"/>
                <w:sz w:val="22"/>
                <w:highlight w:val="yellow"/>
                <w:lang w:eastAsia="en-GB"/>
              </w:rPr>
            </w:pPr>
            <w:r>
              <w:rPr>
                <w:rFonts w:eastAsia="Times New Roman" w:cs="Segoe UI"/>
                <w:color w:val="000000" w:themeColor="text1"/>
                <w:sz w:val="22"/>
                <w:lang w:eastAsia="en-GB"/>
              </w:rPr>
              <w:t>Fair</w:t>
            </w:r>
          </w:p>
        </w:tc>
        <w:tc>
          <w:tcPr>
            <w:tcW w:w="431" w:type="pct"/>
          </w:tcPr>
          <w:p w:rsidR="00361D78" w:rsidRPr="00F634CD" w:rsidRDefault="00785B8E" w:rsidP="000D4E58">
            <w:pPr>
              <w:spacing w:after="0" w:line="240" w:lineRule="auto"/>
              <w:jc w:val="right"/>
              <w:rPr>
                <w:rFonts w:eastAsia="Times New Roman" w:cs="Segoe UI"/>
                <w:color w:val="000000" w:themeColor="text1"/>
                <w:sz w:val="22"/>
                <w:lang w:eastAsia="en-GB"/>
              </w:rPr>
            </w:pPr>
            <w:r>
              <w:rPr>
                <w:rFonts w:eastAsia="Times New Roman" w:cs="Segoe UI"/>
                <w:color w:val="000000" w:themeColor="text1"/>
                <w:sz w:val="22"/>
                <w:lang w:eastAsia="en-GB"/>
              </w:rPr>
              <w:t>Good</w:t>
            </w:r>
          </w:p>
        </w:tc>
      </w:tr>
      <w:tr w:rsidR="00361D78" w:rsidRPr="00F634CD" w:rsidTr="00771279">
        <w:trPr>
          <w:trHeight w:val="144"/>
        </w:trPr>
        <w:tc>
          <w:tcPr>
            <w:tcW w:w="339" w:type="pct"/>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6C</w:t>
            </w:r>
          </w:p>
        </w:tc>
        <w:tc>
          <w:tcPr>
            <w:tcW w:w="1173" w:type="pct"/>
            <w:gridSpan w:val="2"/>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Flood control, drainage and irrigation capacity</w:t>
            </w: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under irrigation schemes</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Ha</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672</w:t>
            </w:r>
          </w:p>
        </w:tc>
        <w:tc>
          <w:tcPr>
            <w:tcW w:w="54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800</w:t>
            </w:r>
          </w:p>
        </w:tc>
        <w:tc>
          <w:tcPr>
            <w:tcW w:w="431" w:type="pct"/>
          </w:tcPr>
          <w:p w:rsidR="00361D78" w:rsidRPr="00F634CD" w:rsidRDefault="0079268B" w:rsidP="000D4E58">
            <w:pPr>
              <w:spacing w:after="0" w:line="240" w:lineRule="auto"/>
              <w:jc w:val="right"/>
              <w:rPr>
                <w:rFonts w:eastAsia="Times New Roman" w:cs="Segoe UI"/>
                <w:color w:val="000000"/>
                <w:sz w:val="22"/>
                <w:lang w:eastAsia="en-GB"/>
              </w:rPr>
            </w:pPr>
            <w:r>
              <w:rPr>
                <w:rFonts w:eastAsia="Times New Roman" w:cs="Segoe UI"/>
                <w:color w:val="000000"/>
                <w:sz w:val="22"/>
                <w:lang w:eastAsia="en-GB"/>
              </w:rPr>
              <w:t>(?)</w:t>
            </w:r>
            <w:r w:rsidR="00785B8E">
              <w:rPr>
                <w:rFonts w:eastAsia="Times New Roman" w:cs="Segoe UI"/>
                <w:color w:val="000000"/>
                <w:sz w:val="22"/>
                <w:lang w:eastAsia="en-GB"/>
              </w:rPr>
              <w:t>Tbd</w:t>
            </w:r>
          </w:p>
        </w:tc>
      </w:tr>
      <w:tr w:rsidR="00361D78" w:rsidRPr="00F634CD" w:rsidTr="00771279">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under drainage schemes</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878</w:t>
            </w:r>
            <w:r w:rsidR="0079268B">
              <w:rPr>
                <w:rFonts w:eastAsia="Times New Roman" w:cs="Segoe UI"/>
                <w:color w:val="000000"/>
                <w:sz w:val="22"/>
                <w:lang w:eastAsia="en-GB"/>
              </w:rPr>
              <w:t xml:space="preserve"> (?)</w:t>
            </w:r>
          </w:p>
        </w:tc>
        <w:tc>
          <w:tcPr>
            <w:tcW w:w="547" w:type="pct"/>
            <w:gridSpan w:val="3"/>
            <w:shd w:val="clear" w:color="auto" w:fill="auto"/>
            <w:hideMark/>
          </w:tcPr>
          <w:p w:rsidR="00361D78" w:rsidRPr="00F634CD" w:rsidRDefault="00785B8E" w:rsidP="000D4E58">
            <w:pPr>
              <w:spacing w:after="0" w:line="240" w:lineRule="auto"/>
              <w:jc w:val="right"/>
              <w:rPr>
                <w:rFonts w:eastAsia="Times New Roman" w:cs="Segoe UI"/>
                <w:color w:val="000000"/>
                <w:sz w:val="22"/>
                <w:lang w:eastAsia="en-GB"/>
              </w:rPr>
            </w:pPr>
            <w:r>
              <w:rPr>
                <w:rFonts w:eastAsia="Times New Roman" w:cs="Segoe UI"/>
                <w:color w:val="000000" w:themeColor="text1"/>
                <w:sz w:val="22"/>
                <w:lang w:eastAsia="en-GB"/>
              </w:rPr>
              <w:t>Tbd</w:t>
            </w:r>
          </w:p>
        </w:tc>
        <w:tc>
          <w:tcPr>
            <w:tcW w:w="431" w:type="pct"/>
          </w:tcPr>
          <w:p w:rsidR="00361D78" w:rsidRPr="00F634CD" w:rsidRDefault="0079268B" w:rsidP="000D4E58">
            <w:pPr>
              <w:spacing w:after="0" w:line="240" w:lineRule="auto"/>
              <w:jc w:val="right"/>
              <w:rPr>
                <w:rFonts w:eastAsia="Times New Roman" w:cs="Segoe UI"/>
                <w:color w:val="000000" w:themeColor="text1"/>
                <w:sz w:val="22"/>
                <w:lang w:eastAsia="en-GB"/>
              </w:rPr>
            </w:pPr>
            <w:r>
              <w:rPr>
                <w:rFonts w:eastAsia="Times New Roman" w:cs="Segoe UI"/>
                <w:color w:val="000000"/>
                <w:sz w:val="22"/>
                <w:lang w:eastAsia="en-GB"/>
              </w:rPr>
              <w:t>(?)</w:t>
            </w:r>
            <w:r w:rsidR="00785B8E">
              <w:rPr>
                <w:rFonts w:eastAsia="Times New Roman" w:cs="Segoe UI"/>
                <w:color w:val="000000" w:themeColor="text1"/>
                <w:sz w:val="22"/>
                <w:lang w:eastAsia="en-GB"/>
              </w:rPr>
              <w:t>Tbd</w:t>
            </w:r>
          </w:p>
        </w:tc>
      </w:tr>
      <w:tr w:rsidR="00361D78" w:rsidRPr="00F634CD" w:rsidTr="00771279">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under drainage and irrigation schemes</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434</w:t>
            </w:r>
            <w:r w:rsidR="0079268B">
              <w:rPr>
                <w:rFonts w:eastAsia="Times New Roman" w:cs="Segoe UI"/>
                <w:color w:val="000000"/>
                <w:sz w:val="22"/>
                <w:lang w:eastAsia="en-GB"/>
              </w:rPr>
              <w:t>(?)</w:t>
            </w:r>
          </w:p>
        </w:tc>
        <w:tc>
          <w:tcPr>
            <w:tcW w:w="547" w:type="pct"/>
            <w:gridSpan w:val="3"/>
            <w:shd w:val="clear" w:color="auto" w:fill="auto"/>
            <w:hideMark/>
          </w:tcPr>
          <w:p w:rsidR="00361D78" w:rsidRPr="00F634CD" w:rsidRDefault="00785B8E" w:rsidP="000D4E58">
            <w:pPr>
              <w:spacing w:after="0" w:line="240" w:lineRule="auto"/>
              <w:jc w:val="right"/>
              <w:rPr>
                <w:rFonts w:eastAsia="Times New Roman" w:cs="Segoe UI"/>
                <w:color w:val="000000"/>
                <w:sz w:val="22"/>
                <w:lang w:eastAsia="en-GB"/>
              </w:rPr>
            </w:pPr>
            <w:r>
              <w:rPr>
                <w:rFonts w:eastAsia="Times New Roman" w:cs="Segoe UI"/>
                <w:color w:val="000000" w:themeColor="text1"/>
                <w:sz w:val="22"/>
                <w:lang w:eastAsia="en-GB"/>
              </w:rPr>
              <w:t>Tbd</w:t>
            </w:r>
          </w:p>
        </w:tc>
        <w:tc>
          <w:tcPr>
            <w:tcW w:w="431" w:type="pct"/>
          </w:tcPr>
          <w:p w:rsidR="00361D78" w:rsidRPr="00F634CD" w:rsidRDefault="0079268B" w:rsidP="000D4E58">
            <w:pPr>
              <w:spacing w:after="0" w:line="240" w:lineRule="auto"/>
              <w:jc w:val="right"/>
              <w:rPr>
                <w:rFonts w:eastAsia="Times New Roman" w:cs="Segoe UI"/>
                <w:color w:val="000000" w:themeColor="text1"/>
                <w:sz w:val="22"/>
                <w:lang w:eastAsia="en-GB"/>
              </w:rPr>
            </w:pPr>
            <w:r>
              <w:rPr>
                <w:rFonts w:eastAsia="Times New Roman" w:cs="Segoe UI"/>
                <w:color w:val="000000"/>
                <w:sz w:val="22"/>
                <w:lang w:eastAsia="en-GB"/>
              </w:rPr>
              <w:t>(?)</w:t>
            </w:r>
            <w:r w:rsidR="00785B8E">
              <w:rPr>
                <w:rFonts w:eastAsia="Times New Roman" w:cs="Segoe UI"/>
                <w:color w:val="000000" w:themeColor="text1"/>
                <w:sz w:val="22"/>
                <w:lang w:eastAsia="en-GB"/>
              </w:rPr>
              <w:t>Tbd</w:t>
            </w:r>
          </w:p>
        </w:tc>
      </w:tr>
      <w:tr w:rsidR="00361D78" w:rsidRPr="00F634CD" w:rsidTr="00771279">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under FCD schemes</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1,863</w:t>
            </w:r>
            <w:r w:rsidR="0079268B">
              <w:rPr>
                <w:rFonts w:eastAsia="Times New Roman" w:cs="Segoe UI"/>
                <w:color w:val="000000"/>
                <w:sz w:val="22"/>
                <w:lang w:eastAsia="en-GB"/>
              </w:rPr>
              <w:t>(?)</w:t>
            </w:r>
          </w:p>
        </w:tc>
        <w:tc>
          <w:tcPr>
            <w:tcW w:w="547" w:type="pct"/>
            <w:gridSpan w:val="3"/>
            <w:shd w:val="clear" w:color="auto" w:fill="auto"/>
            <w:hideMark/>
          </w:tcPr>
          <w:p w:rsidR="00361D78" w:rsidRPr="00F634CD" w:rsidRDefault="00361D78" w:rsidP="000D4E58">
            <w:pPr>
              <w:spacing w:after="0" w:line="240" w:lineRule="auto"/>
              <w:jc w:val="right"/>
              <w:rPr>
                <w:rFonts w:eastAsia="Times New Roman" w:cs="Segoe UI"/>
                <w:b/>
                <w:bCs/>
                <w:color w:val="FF0000"/>
                <w:sz w:val="22"/>
                <w:highlight w:val="yellow"/>
                <w:lang w:eastAsia="en-GB"/>
              </w:rPr>
            </w:pPr>
            <w:r w:rsidRPr="00F634CD">
              <w:rPr>
                <w:rFonts w:eastAsia="Times New Roman" w:cs="Segoe UI"/>
                <w:color w:val="000000" w:themeColor="text1"/>
                <w:sz w:val="22"/>
                <w:lang w:eastAsia="en-GB"/>
              </w:rPr>
              <w:t>1,863</w:t>
            </w:r>
          </w:p>
        </w:tc>
        <w:tc>
          <w:tcPr>
            <w:tcW w:w="431" w:type="pct"/>
          </w:tcPr>
          <w:p w:rsidR="00361D78" w:rsidRPr="00F634CD" w:rsidRDefault="0079268B" w:rsidP="000D4E58">
            <w:pPr>
              <w:spacing w:after="0" w:line="240" w:lineRule="auto"/>
              <w:jc w:val="right"/>
              <w:rPr>
                <w:rFonts w:eastAsia="Times New Roman" w:cs="Segoe UI"/>
                <w:color w:val="000000" w:themeColor="text1"/>
                <w:sz w:val="22"/>
                <w:lang w:eastAsia="en-GB"/>
              </w:rPr>
            </w:pPr>
            <w:r>
              <w:rPr>
                <w:rFonts w:eastAsia="Times New Roman" w:cs="Segoe UI"/>
                <w:color w:val="000000"/>
                <w:sz w:val="22"/>
                <w:lang w:eastAsia="en-GB"/>
              </w:rPr>
              <w:t>(?)</w:t>
            </w:r>
            <w:r w:rsidR="00785B8E">
              <w:rPr>
                <w:rFonts w:eastAsia="Times New Roman" w:cs="Segoe UI"/>
                <w:color w:val="000000" w:themeColor="text1"/>
                <w:sz w:val="22"/>
                <w:lang w:eastAsia="en-GB"/>
              </w:rPr>
              <w:t>Tbd</w:t>
            </w:r>
          </w:p>
        </w:tc>
      </w:tr>
      <w:tr w:rsidR="00361D78" w:rsidRPr="00F634CD" w:rsidTr="00771279">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under FCDI schemes</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2,209</w:t>
            </w:r>
          </w:p>
        </w:tc>
        <w:tc>
          <w:tcPr>
            <w:tcW w:w="547" w:type="pct"/>
            <w:gridSpan w:val="3"/>
            <w:shd w:val="clear" w:color="auto" w:fill="auto"/>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themeColor="text1"/>
                <w:sz w:val="22"/>
                <w:lang w:eastAsia="en-GB"/>
              </w:rPr>
              <w:t>2,209</w:t>
            </w:r>
          </w:p>
        </w:tc>
        <w:tc>
          <w:tcPr>
            <w:tcW w:w="431" w:type="pct"/>
          </w:tcPr>
          <w:p w:rsidR="00361D78" w:rsidRPr="00F634CD" w:rsidRDefault="0079268B" w:rsidP="000D4E58">
            <w:pPr>
              <w:spacing w:after="0" w:line="240" w:lineRule="auto"/>
              <w:jc w:val="right"/>
              <w:rPr>
                <w:rFonts w:eastAsia="Times New Roman" w:cs="Segoe UI"/>
                <w:color w:val="000000" w:themeColor="text1"/>
                <w:sz w:val="22"/>
                <w:lang w:eastAsia="en-GB"/>
              </w:rPr>
            </w:pPr>
            <w:r>
              <w:rPr>
                <w:rFonts w:eastAsia="Times New Roman" w:cs="Segoe UI"/>
                <w:color w:val="000000"/>
                <w:sz w:val="22"/>
                <w:lang w:eastAsia="en-GB"/>
              </w:rPr>
              <w:t>(?)</w:t>
            </w:r>
            <w:r w:rsidR="00785B8E">
              <w:rPr>
                <w:rFonts w:eastAsia="Times New Roman" w:cs="Segoe UI"/>
                <w:color w:val="000000" w:themeColor="text1"/>
                <w:sz w:val="22"/>
                <w:lang w:eastAsia="en-GB"/>
              </w:rPr>
              <w:t>Tbd</w:t>
            </w:r>
          </w:p>
        </w:tc>
      </w:tr>
      <w:tr w:rsidR="00361D78" w:rsidRPr="00F634CD" w:rsidTr="00771279">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under coastal FCD schemes</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1,000</w:t>
            </w:r>
          </w:p>
        </w:tc>
        <w:tc>
          <w:tcPr>
            <w:tcW w:w="547" w:type="pct"/>
            <w:gridSpan w:val="3"/>
            <w:shd w:val="clear" w:color="auto" w:fill="auto"/>
            <w:hideMark/>
          </w:tcPr>
          <w:p w:rsidR="00361D78" w:rsidRPr="00F634CD" w:rsidRDefault="00361D78" w:rsidP="000D4E58">
            <w:pPr>
              <w:spacing w:after="0" w:line="240" w:lineRule="auto"/>
              <w:jc w:val="right"/>
              <w:rPr>
                <w:rFonts w:eastAsia="Times New Roman" w:cs="Segoe UI"/>
                <w:b/>
                <w:bCs/>
                <w:color w:val="FF0000"/>
                <w:sz w:val="22"/>
                <w:highlight w:val="yellow"/>
                <w:lang w:eastAsia="en-GB"/>
              </w:rPr>
            </w:pPr>
            <w:r w:rsidRPr="00F634CD">
              <w:rPr>
                <w:rFonts w:eastAsia="Times New Roman" w:cs="Segoe UI"/>
                <w:color w:val="000000" w:themeColor="text1"/>
                <w:sz w:val="22"/>
                <w:lang w:eastAsia="en-GB"/>
              </w:rPr>
              <w:t>1,000</w:t>
            </w:r>
          </w:p>
        </w:tc>
        <w:tc>
          <w:tcPr>
            <w:tcW w:w="431" w:type="pct"/>
          </w:tcPr>
          <w:p w:rsidR="00361D78" w:rsidRPr="00F634CD" w:rsidRDefault="0079268B" w:rsidP="000D4E58">
            <w:pPr>
              <w:spacing w:after="0" w:line="240" w:lineRule="auto"/>
              <w:jc w:val="right"/>
              <w:rPr>
                <w:rFonts w:eastAsia="Times New Roman" w:cs="Segoe UI"/>
                <w:color w:val="000000" w:themeColor="text1"/>
                <w:sz w:val="22"/>
                <w:lang w:eastAsia="en-GB"/>
              </w:rPr>
            </w:pPr>
            <w:r>
              <w:rPr>
                <w:rFonts w:eastAsia="Times New Roman" w:cs="Segoe UI"/>
                <w:color w:val="000000"/>
                <w:sz w:val="22"/>
                <w:lang w:eastAsia="en-GB"/>
              </w:rPr>
              <w:t>(?)</w:t>
            </w:r>
            <w:r w:rsidR="00785B8E">
              <w:rPr>
                <w:rFonts w:eastAsia="Times New Roman" w:cs="Segoe UI"/>
                <w:color w:val="000000" w:themeColor="text1"/>
                <w:sz w:val="22"/>
                <w:lang w:eastAsia="en-GB"/>
              </w:rPr>
              <w:t>Tbd</w:t>
            </w:r>
          </w:p>
        </w:tc>
      </w:tr>
      <w:tr w:rsidR="00361D78" w:rsidRPr="00F634CD" w:rsidTr="00771279">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Area under coastal FCDI schemes</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28</w:t>
            </w:r>
          </w:p>
        </w:tc>
        <w:tc>
          <w:tcPr>
            <w:tcW w:w="547" w:type="pct"/>
            <w:gridSpan w:val="3"/>
            <w:shd w:val="clear" w:color="auto" w:fill="auto"/>
            <w:hideMark/>
          </w:tcPr>
          <w:p w:rsidR="00361D78" w:rsidRPr="00F634CD" w:rsidRDefault="00361D78" w:rsidP="000D4E58">
            <w:pPr>
              <w:spacing w:after="0" w:line="240" w:lineRule="auto"/>
              <w:jc w:val="right"/>
              <w:rPr>
                <w:rFonts w:eastAsia="Times New Roman" w:cs="Segoe UI"/>
                <w:b/>
                <w:bCs/>
                <w:color w:val="FF0000"/>
                <w:sz w:val="22"/>
                <w:highlight w:val="yellow"/>
                <w:lang w:eastAsia="en-GB"/>
              </w:rPr>
            </w:pPr>
            <w:r w:rsidRPr="00F634CD">
              <w:rPr>
                <w:rFonts w:eastAsia="Times New Roman" w:cs="Segoe UI"/>
                <w:color w:val="000000" w:themeColor="text1"/>
                <w:sz w:val="22"/>
                <w:lang w:eastAsia="en-GB"/>
              </w:rPr>
              <w:t>28</w:t>
            </w:r>
          </w:p>
        </w:tc>
        <w:tc>
          <w:tcPr>
            <w:tcW w:w="431" w:type="pct"/>
          </w:tcPr>
          <w:p w:rsidR="00361D78" w:rsidRPr="00F634CD" w:rsidRDefault="0079268B" w:rsidP="000D4E58">
            <w:pPr>
              <w:spacing w:after="0" w:line="240" w:lineRule="auto"/>
              <w:jc w:val="right"/>
              <w:rPr>
                <w:rFonts w:eastAsia="Times New Roman" w:cs="Segoe UI"/>
                <w:color w:val="000000" w:themeColor="text1"/>
                <w:sz w:val="22"/>
                <w:lang w:eastAsia="en-GB"/>
              </w:rPr>
            </w:pPr>
            <w:r>
              <w:rPr>
                <w:rFonts w:eastAsia="Times New Roman" w:cs="Segoe UI"/>
                <w:color w:val="000000"/>
                <w:sz w:val="22"/>
                <w:lang w:eastAsia="en-GB"/>
              </w:rPr>
              <w:t>(?)</w:t>
            </w:r>
            <w:r w:rsidR="00785B8E">
              <w:rPr>
                <w:rFonts w:eastAsia="Times New Roman" w:cs="Segoe UI"/>
                <w:color w:val="000000" w:themeColor="text1"/>
                <w:sz w:val="22"/>
                <w:lang w:eastAsia="en-GB"/>
              </w:rPr>
              <w:t>Tbd</w:t>
            </w:r>
          </w:p>
        </w:tc>
      </w:tr>
      <w:tr w:rsidR="00361D78" w:rsidRPr="00F634CD" w:rsidTr="00771279">
        <w:trPr>
          <w:trHeight w:val="144"/>
        </w:trPr>
        <w:tc>
          <w:tcPr>
            <w:tcW w:w="339" w:type="pct"/>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6D</w:t>
            </w:r>
          </w:p>
        </w:tc>
        <w:tc>
          <w:tcPr>
            <w:tcW w:w="1173" w:type="pct"/>
            <w:gridSpan w:val="2"/>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Sectoral use of water</w:t>
            </w: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Surface water used for irrigation</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km3</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6.62</w:t>
            </w:r>
          </w:p>
        </w:tc>
        <w:tc>
          <w:tcPr>
            <w:tcW w:w="54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bCs/>
                <w:color w:val="000000"/>
                <w:sz w:val="22"/>
                <w:lang w:eastAsia="en-GB"/>
              </w:rPr>
            </w:pPr>
            <w:r w:rsidRPr="00F634CD">
              <w:rPr>
                <w:rFonts w:eastAsia="Times New Roman" w:cs="Segoe UI"/>
                <w:bCs/>
                <w:color w:val="000000"/>
                <w:sz w:val="22"/>
                <w:lang w:eastAsia="en-GB"/>
              </w:rPr>
              <w:t>11</w:t>
            </w:r>
          </w:p>
        </w:tc>
        <w:tc>
          <w:tcPr>
            <w:tcW w:w="431" w:type="pct"/>
          </w:tcPr>
          <w:p w:rsidR="00361D78" w:rsidRPr="00F634CD" w:rsidRDefault="0079268B" w:rsidP="000D4E58">
            <w:pPr>
              <w:spacing w:after="0" w:line="240" w:lineRule="auto"/>
              <w:jc w:val="right"/>
              <w:rPr>
                <w:rFonts w:eastAsia="Times New Roman" w:cs="Segoe UI"/>
                <w:bCs/>
                <w:color w:val="000000"/>
                <w:sz w:val="22"/>
                <w:lang w:eastAsia="en-GB"/>
              </w:rPr>
            </w:pPr>
            <w:r>
              <w:rPr>
                <w:rFonts w:eastAsia="Times New Roman" w:cs="Segoe UI"/>
                <w:color w:val="000000"/>
                <w:sz w:val="22"/>
                <w:lang w:eastAsia="en-GB"/>
              </w:rPr>
              <w:t>(?)</w:t>
            </w:r>
            <w:r w:rsidR="00785B8E">
              <w:rPr>
                <w:rFonts w:eastAsia="Times New Roman" w:cs="Segoe UI"/>
                <w:bCs/>
                <w:color w:val="000000"/>
                <w:sz w:val="22"/>
                <w:lang w:eastAsia="en-GB"/>
              </w:rPr>
              <w:t>Tbd</w:t>
            </w:r>
          </w:p>
        </w:tc>
      </w:tr>
      <w:tr w:rsidR="00361D78" w:rsidRPr="00F634CD" w:rsidTr="00771279">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Groundwater used for irrigation</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24.88</w:t>
            </w:r>
          </w:p>
        </w:tc>
        <w:tc>
          <w:tcPr>
            <w:tcW w:w="54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bCs/>
                <w:color w:val="000000"/>
                <w:sz w:val="22"/>
                <w:lang w:eastAsia="en-GB"/>
              </w:rPr>
            </w:pPr>
            <w:r w:rsidRPr="00F634CD">
              <w:rPr>
                <w:rFonts w:eastAsia="Times New Roman" w:cs="Segoe UI"/>
                <w:bCs/>
                <w:color w:val="000000"/>
                <w:sz w:val="22"/>
                <w:lang w:eastAsia="en-GB"/>
              </w:rPr>
              <w:t>24</w:t>
            </w:r>
          </w:p>
        </w:tc>
        <w:tc>
          <w:tcPr>
            <w:tcW w:w="431" w:type="pct"/>
          </w:tcPr>
          <w:p w:rsidR="00361D78" w:rsidRPr="00F634CD" w:rsidRDefault="0079268B" w:rsidP="000D4E58">
            <w:pPr>
              <w:spacing w:after="0" w:line="240" w:lineRule="auto"/>
              <w:jc w:val="right"/>
              <w:rPr>
                <w:rFonts w:eastAsia="Times New Roman" w:cs="Segoe UI"/>
                <w:bCs/>
                <w:color w:val="000000"/>
                <w:sz w:val="22"/>
                <w:lang w:eastAsia="en-GB"/>
              </w:rPr>
            </w:pPr>
            <w:r>
              <w:rPr>
                <w:rFonts w:eastAsia="Times New Roman" w:cs="Segoe UI"/>
                <w:color w:val="000000"/>
                <w:sz w:val="22"/>
                <w:lang w:eastAsia="en-GB"/>
              </w:rPr>
              <w:t>(?)</w:t>
            </w:r>
            <w:r w:rsidR="00785B8E">
              <w:rPr>
                <w:rFonts w:eastAsia="Times New Roman" w:cs="Segoe UI"/>
                <w:bCs/>
                <w:color w:val="000000"/>
                <w:sz w:val="22"/>
                <w:lang w:eastAsia="en-GB"/>
              </w:rPr>
              <w:t>Tbd</w:t>
            </w:r>
          </w:p>
        </w:tc>
      </w:tr>
      <w:tr w:rsidR="00361D78" w:rsidRPr="00F634CD" w:rsidTr="00771279">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Domestic water use</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3.6</w:t>
            </w:r>
          </w:p>
        </w:tc>
        <w:tc>
          <w:tcPr>
            <w:tcW w:w="547" w:type="pct"/>
            <w:gridSpan w:val="3"/>
            <w:shd w:val="clear" w:color="auto" w:fill="auto"/>
            <w:hideMark/>
          </w:tcPr>
          <w:p w:rsidR="00361D78" w:rsidRPr="00F634CD" w:rsidRDefault="00785B8E" w:rsidP="000D4E58">
            <w:pPr>
              <w:spacing w:after="0" w:line="240" w:lineRule="auto"/>
              <w:jc w:val="right"/>
              <w:rPr>
                <w:rFonts w:eastAsia="Times New Roman" w:cs="Segoe UI"/>
                <w:b/>
                <w:bCs/>
                <w:color w:val="FF0000"/>
                <w:sz w:val="22"/>
                <w:highlight w:val="yellow"/>
                <w:lang w:eastAsia="en-GB"/>
              </w:rPr>
            </w:pPr>
            <w:r>
              <w:rPr>
                <w:rFonts w:eastAsia="Times New Roman" w:cs="Segoe UI"/>
                <w:color w:val="000000" w:themeColor="text1"/>
                <w:sz w:val="22"/>
                <w:lang w:eastAsia="en-GB"/>
              </w:rPr>
              <w:t>Tbd</w:t>
            </w:r>
          </w:p>
        </w:tc>
        <w:tc>
          <w:tcPr>
            <w:tcW w:w="431" w:type="pct"/>
          </w:tcPr>
          <w:p w:rsidR="00361D78" w:rsidRPr="00F634CD" w:rsidRDefault="0079268B" w:rsidP="000D4E58">
            <w:pPr>
              <w:spacing w:after="0" w:line="240" w:lineRule="auto"/>
              <w:jc w:val="right"/>
              <w:rPr>
                <w:rFonts w:eastAsia="Times New Roman" w:cs="Segoe UI"/>
                <w:color w:val="000000" w:themeColor="text1"/>
                <w:sz w:val="22"/>
                <w:lang w:eastAsia="en-GB"/>
              </w:rPr>
            </w:pPr>
            <w:r>
              <w:rPr>
                <w:rFonts w:eastAsia="Times New Roman" w:cs="Segoe UI"/>
                <w:color w:val="000000"/>
                <w:sz w:val="22"/>
                <w:lang w:eastAsia="en-GB"/>
              </w:rPr>
              <w:t>(?)</w:t>
            </w:r>
            <w:r w:rsidR="00785B8E">
              <w:rPr>
                <w:rFonts w:eastAsia="Times New Roman" w:cs="Segoe UI"/>
                <w:color w:val="000000" w:themeColor="text1"/>
                <w:sz w:val="22"/>
                <w:lang w:eastAsia="en-GB"/>
              </w:rPr>
              <w:t>Tbd</w:t>
            </w:r>
          </w:p>
        </w:tc>
      </w:tr>
      <w:tr w:rsidR="00361D78" w:rsidRPr="00F634CD" w:rsidTr="00771279">
        <w:trPr>
          <w:trHeight w:val="278"/>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Industrial water use</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FF0000"/>
                <w:sz w:val="22"/>
                <w:lang w:eastAsia="en-GB"/>
              </w:rPr>
            </w:pPr>
            <w:r w:rsidRPr="00F634CD">
              <w:rPr>
                <w:rFonts w:eastAsia="Times New Roman" w:cs="Segoe UI"/>
                <w:color w:val="000000"/>
                <w:sz w:val="22"/>
                <w:lang w:eastAsia="en-GB"/>
              </w:rPr>
              <w:t>0.8</w:t>
            </w:r>
          </w:p>
        </w:tc>
        <w:tc>
          <w:tcPr>
            <w:tcW w:w="547" w:type="pct"/>
            <w:gridSpan w:val="3"/>
            <w:shd w:val="clear" w:color="auto" w:fill="auto"/>
            <w:hideMark/>
          </w:tcPr>
          <w:p w:rsidR="00361D78" w:rsidRPr="00F634CD" w:rsidRDefault="00785B8E" w:rsidP="000D4E58">
            <w:pPr>
              <w:spacing w:after="0" w:line="240" w:lineRule="auto"/>
              <w:jc w:val="right"/>
              <w:rPr>
                <w:rFonts w:eastAsia="Times New Roman" w:cs="Segoe UI"/>
                <w:b/>
                <w:bCs/>
                <w:color w:val="FF0000"/>
                <w:sz w:val="22"/>
                <w:highlight w:val="yellow"/>
                <w:lang w:eastAsia="en-GB"/>
              </w:rPr>
            </w:pPr>
            <w:r>
              <w:rPr>
                <w:rFonts w:eastAsia="Times New Roman" w:cs="Segoe UI"/>
                <w:color w:val="000000" w:themeColor="text1"/>
                <w:sz w:val="22"/>
                <w:lang w:eastAsia="en-GB"/>
              </w:rPr>
              <w:t>Tbd</w:t>
            </w:r>
          </w:p>
        </w:tc>
        <w:tc>
          <w:tcPr>
            <w:tcW w:w="431" w:type="pct"/>
          </w:tcPr>
          <w:p w:rsidR="00361D78" w:rsidRPr="00F634CD" w:rsidRDefault="0079268B" w:rsidP="000D4E58">
            <w:pPr>
              <w:spacing w:after="0" w:line="240" w:lineRule="auto"/>
              <w:jc w:val="right"/>
              <w:rPr>
                <w:rFonts w:eastAsia="Times New Roman" w:cs="Segoe UI"/>
                <w:color w:val="000000" w:themeColor="text1"/>
                <w:sz w:val="22"/>
                <w:lang w:eastAsia="en-GB"/>
              </w:rPr>
            </w:pPr>
            <w:r>
              <w:rPr>
                <w:rFonts w:eastAsia="Times New Roman" w:cs="Segoe UI"/>
                <w:color w:val="000000"/>
                <w:sz w:val="22"/>
                <w:lang w:eastAsia="en-GB"/>
              </w:rPr>
              <w:t>(?)</w:t>
            </w:r>
            <w:r w:rsidR="00785B8E">
              <w:rPr>
                <w:rFonts w:eastAsia="Times New Roman" w:cs="Segoe UI"/>
                <w:color w:val="000000" w:themeColor="text1"/>
                <w:sz w:val="22"/>
                <w:lang w:eastAsia="en-GB"/>
              </w:rPr>
              <w:t>Tbd</w:t>
            </w:r>
          </w:p>
        </w:tc>
      </w:tr>
      <w:tr w:rsidR="00361D78" w:rsidRPr="00F634CD" w:rsidTr="00771279">
        <w:trPr>
          <w:trHeight w:val="144"/>
        </w:trPr>
        <w:tc>
          <w:tcPr>
            <w:tcW w:w="339"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6E</w:t>
            </w:r>
          </w:p>
        </w:tc>
        <w:tc>
          <w:tcPr>
            <w:tcW w:w="1173"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 xml:space="preserve">Connectivity of rivers and </w:t>
            </w:r>
            <w:r w:rsidR="00F82BA1">
              <w:rPr>
                <w:rFonts w:eastAsia="Times New Roman" w:cs="Segoe UI"/>
                <w:color w:val="000000"/>
                <w:sz w:val="22"/>
                <w:lang w:eastAsia="en-GB"/>
              </w:rPr>
              <w:t>canals</w:t>
            </w:r>
          </w:p>
        </w:tc>
        <w:tc>
          <w:tcPr>
            <w:tcW w:w="1046" w:type="pc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Qualitative judgment (%)</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20</w:t>
            </w:r>
          </w:p>
        </w:tc>
        <w:tc>
          <w:tcPr>
            <w:tcW w:w="54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bCs/>
                <w:color w:val="000000"/>
                <w:sz w:val="22"/>
                <w:lang w:eastAsia="en-GB"/>
              </w:rPr>
            </w:pPr>
            <w:r w:rsidRPr="00F634CD">
              <w:rPr>
                <w:rFonts w:eastAsia="Times New Roman" w:cs="Segoe UI"/>
                <w:bCs/>
                <w:color w:val="000000"/>
                <w:sz w:val="22"/>
                <w:lang w:eastAsia="en-GB"/>
              </w:rPr>
              <w:t>40</w:t>
            </w:r>
          </w:p>
        </w:tc>
        <w:tc>
          <w:tcPr>
            <w:tcW w:w="431" w:type="pct"/>
          </w:tcPr>
          <w:p w:rsidR="00361D78" w:rsidRPr="00F634CD" w:rsidRDefault="0079268B" w:rsidP="000D4E58">
            <w:pPr>
              <w:spacing w:after="0" w:line="240" w:lineRule="auto"/>
              <w:jc w:val="right"/>
              <w:rPr>
                <w:rFonts w:eastAsia="Times New Roman" w:cs="Segoe UI"/>
                <w:bCs/>
                <w:color w:val="000000"/>
                <w:sz w:val="22"/>
                <w:lang w:eastAsia="en-GB"/>
              </w:rPr>
            </w:pPr>
            <w:r>
              <w:rPr>
                <w:rFonts w:eastAsia="Times New Roman" w:cs="Segoe UI"/>
                <w:color w:val="000000"/>
                <w:sz w:val="22"/>
                <w:lang w:eastAsia="en-GB"/>
              </w:rPr>
              <w:t>(?)</w:t>
            </w:r>
            <w:r w:rsidR="00785B8E">
              <w:rPr>
                <w:rFonts w:eastAsia="Times New Roman" w:cs="Segoe UI"/>
                <w:bCs/>
                <w:color w:val="000000"/>
                <w:sz w:val="22"/>
                <w:lang w:eastAsia="en-GB"/>
              </w:rPr>
              <w:t>Tbd</w:t>
            </w:r>
          </w:p>
        </w:tc>
      </w:tr>
      <w:tr w:rsidR="00361D78" w:rsidRPr="00F634CD" w:rsidTr="00771279">
        <w:trPr>
          <w:trHeight w:val="144"/>
        </w:trPr>
        <w:tc>
          <w:tcPr>
            <w:tcW w:w="339" w:type="pct"/>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6F</w:t>
            </w:r>
          </w:p>
        </w:tc>
        <w:tc>
          <w:tcPr>
            <w:tcW w:w="1173" w:type="pct"/>
            <w:gridSpan w:val="2"/>
            <w:vMerge w:val="restart"/>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Navigation capacity</w:t>
            </w: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wet season navigation course</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Km</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5,968</w:t>
            </w:r>
          </w:p>
        </w:tc>
        <w:tc>
          <w:tcPr>
            <w:tcW w:w="54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5,968</w:t>
            </w:r>
          </w:p>
        </w:tc>
        <w:tc>
          <w:tcPr>
            <w:tcW w:w="431" w:type="pct"/>
            <w:vAlign w:val="center"/>
          </w:tcPr>
          <w:p w:rsidR="00361D78" w:rsidRPr="00F634CD" w:rsidRDefault="0079268B" w:rsidP="000D4E58">
            <w:pPr>
              <w:spacing w:after="0" w:line="240" w:lineRule="auto"/>
              <w:jc w:val="center"/>
              <w:rPr>
                <w:rFonts w:eastAsia="Times New Roman" w:cs="Segoe UI"/>
                <w:color w:val="000000"/>
                <w:sz w:val="22"/>
                <w:lang w:eastAsia="en-GB"/>
              </w:rPr>
            </w:pPr>
            <w:r>
              <w:rPr>
                <w:rFonts w:eastAsia="Times New Roman" w:cs="Segoe UI"/>
                <w:color w:val="000000"/>
                <w:sz w:val="22"/>
                <w:lang w:eastAsia="en-GB"/>
              </w:rPr>
              <w:t>(?)</w:t>
            </w:r>
            <w:r w:rsidR="00785B8E">
              <w:rPr>
                <w:rFonts w:eastAsia="Times New Roman" w:cs="Segoe UI"/>
                <w:color w:val="000000"/>
                <w:sz w:val="22"/>
                <w:lang w:eastAsia="en-GB"/>
              </w:rPr>
              <w:t>Tbd</w:t>
            </w:r>
          </w:p>
        </w:tc>
      </w:tr>
      <w:tr w:rsidR="00361D78" w:rsidRPr="00F634CD" w:rsidTr="00771279">
        <w:trPr>
          <w:trHeight w:val="144"/>
        </w:trPr>
        <w:tc>
          <w:tcPr>
            <w:tcW w:w="339" w:type="pct"/>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173" w:type="pct"/>
            <w:gridSpan w:val="2"/>
            <w:vMerge/>
            <w:vAlign w:val="center"/>
            <w:hideMark/>
          </w:tcPr>
          <w:p w:rsidR="00361D78" w:rsidRPr="00F634CD" w:rsidRDefault="00361D78" w:rsidP="000D4E58">
            <w:pPr>
              <w:spacing w:after="0" w:line="240" w:lineRule="auto"/>
              <w:rPr>
                <w:rFonts w:eastAsia="Times New Roman" w:cs="Segoe UI"/>
                <w:color w:val="000000"/>
                <w:sz w:val="22"/>
                <w:lang w:eastAsia="en-GB"/>
              </w:rPr>
            </w:pPr>
          </w:p>
        </w:tc>
        <w:tc>
          <w:tcPr>
            <w:tcW w:w="1046" w:type="pct"/>
            <w:shd w:val="clear" w:color="auto" w:fill="auto"/>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dry season navigation course</w:t>
            </w:r>
          </w:p>
        </w:tc>
        <w:tc>
          <w:tcPr>
            <w:tcW w:w="987" w:type="pct"/>
            <w:gridSpan w:val="2"/>
            <w:shd w:val="clear" w:color="auto" w:fill="auto"/>
            <w:vAlign w:val="center"/>
            <w:hideMark/>
          </w:tcPr>
          <w:p w:rsidR="00361D78" w:rsidRPr="00F634CD" w:rsidRDefault="00361D78" w:rsidP="000D4E58">
            <w:pPr>
              <w:spacing w:after="0" w:line="240" w:lineRule="auto"/>
              <w:rPr>
                <w:rFonts w:eastAsia="Times New Roman" w:cs="Segoe UI"/>
                <w:color w:val="000000"/>
                <w:sz w:val="22"/>
                <w:lang w:eastAsia="en-GB"/>
              </w:rPr>
            </w:pPr>
            <w:r w:rsidRPr="00F634CD">
              <w:rPr>
                <w:rFonts w:eastAsia="Times New Roman" w:cs="Segoe UI"/>
                <w:color w:val="000000"/>
                <w:sz w:val="22"/>
                <w:lang w:eastAsia="en-GB"/>
              </w:rPr>
              <w:t>"</w:t>
            </w:r>
          </w:p>
        </w:tc>
        <w:tc>
          <w:tcPr>
            <w:tcW w:w="477" w:type="pct"/>
            <w:gridSpan w:val="3"/>
            <w:shd w:val="clear" w:color="auto" w:fill="auto"/>
            <w:vAlign w:val="center"/>
            <w:hideMark/>
          </w:tcPr>
          <w:p w:rsidR="00361D78" w:rsidRPr="00F634CD" w:rsidRDefault="00361D78" w:rsidP="000D4E58">
            <w:pPr>
              <w:spacing w:after="0" w:line="240" w:lineRule="auto"/>
              <w:jc w:val="right"/>
              <w:rPr>
                <w:rFonts w:eastAsia="Times New Roman" w:cs="Segoe UI"/>
                <w:color w:val="000000"/>
                <w:sz w:val="22"/>
                <w:lang w:eastAsia="en-GB"/>
              </w:rPr>
            </w:pPr>
            <w:r w:rsidRPr="00F634CD">
              <w:rPr>
                <w:rFonts w:eastAsia="Times New Roman" w:cs="Segoe UI"/>
                <w:color w:val="000000"/>
                <w:sz w:val="22"/>
                <w:lang w:eastAsia="en-GB"/>
              </w:rPr>
              <w:t>3,865</w:t>
            </w:r>
          </w:p>
        </w:tc>
        <w:tc>
          <w:tcPr>
            <w:tcW w:w="547" w:type="pct"/>
            <w:gridSpan w:val="3"/>
            <w:shd w:val="clear" w:color="auto" w:fill="auto"/>
            <w:vAlign w:val="center"/>
            <w:hideMark/>
          </w:tcPr>
          <w:p w:rsidR="00361D78" w:rsidRPr="00F634CD" w:rsidRDefault="00B80B6D" w:rsidP="000D4E58">
            <w:pPr>
              <w:spacing w:after="0" w:line="240" w:lineRule="auto"/>
              <w:jc w:val="right"/>
              <w:rPr>
                <w:rFonts w:eastAsia="Times New Roman" w:cs="Segoe UI"/>
                <w:bCs/>
                <w:color w:val="000000"/>
                <w:sz w:val="22"/>
                <w:lang w:eastAsia="en-GB"/>
              </w:rPr>
            </w:pPr>
            <w:r>
              <w:rPr>
                <w:rFonts w:eastAsia="Times New Roman" w:cs="Segoe UI"/>
                <w:bCs/>
                <w:color w:val="000000"/>
                <w:sz w:val="22"/>
                <w:lang w:eastAsia="en-GB"/>
              </w:rPr>
              <w:t>3,865</w:t>
            </w:r>
          </w:p>
        </w:tc>
        <w:tc>
          <w:tcPr>
            <w:tcW w:w="431" w:type="pct"/>
            <w:vAlign w:val="center"/>
          </w:tcPr>
          <w:p w:rsidR="00361D78" w:rsidRPr="00F634CD" w:rsidRDefault="0079268B" w:rsidP="000D4E58">
            <w:pPr>
              <w:spacing w:after="0" w:line="240" w:lineRule="auto"/>
              <w:jc w:val="center"/>
              <w:rPr>
                <w:rFonts w:eastAsia="Times New Roman" w:cs="Segoe UI"/>
                <w:bCs/>
                <w:color w:val="000000"/>
                <w:sz w:val="22"/>
                <w:lang w:eastAsia="en-GB"/>
              </w:rPr>
            </w:pPr>
            <w:r>
              <w:rPr>
                <w:rFonts w:eastAsia="Times New Roman" w:cs="Segoe UI"/>
                <w:color w:val="000000"/>
                <w:sz w:val="22"/>
                <w:lang w:eastAsia="en-GB"/>
              </w:rPr>
              <w:t>(?)</w:t>
            </w:r>
            <w:r w:rsidR="00785B8E">
              <w:rPr>
                <w:rFonts w:eastAsia="Times New Roman" w:cs="Segoe UI"/>
                <w:bCs/>
                <w:color w:val="000000"/>
                <w:sz w:val="22"/>
                <w:lang w:eastAsia="en-GB"/>
              </w:rPr>
              <w:t>Tbd</w:t>
            </w:r>
          </w:p>
        </w:tc>
      </w:tr>
    </w:tbl>
    <w:p w:rsidR="00993D9A" w:rsidRDefault="00993D9A" w:rsidP="00993D9A">
      <w:pPr>
        <w:pStyle w:val="ListParagraph"/>
        <w:spacing w:before="120" w:line="276" w:lineRule="auto"/>
        <w:ind w:left="0"/>
        <w:jc w:val="both"/>
        <w:rPr>
          <w:rFonts w:cs="Times New Roman"/>
          <w:b/>
          <w:bCs/>
          <w:i/>
          <w:iCs/>
          <w:sz w:val="20"/>
          <w:szCs w:val="20"/>
        </w:rPr>
      </w:pPr>
      <w:r>
        <w:rPr>
          <w:rFonts w:cs="Times New Roman"/>
          <w:b/>
          <w:bCs/>
          <w:i/>
          <w:iCs/>
          <w:sz w:val="20"/>
          <w:szCs w:val="20"/>
        </w:rPr>
        <w:t>*Along Jamuna. Additional area from coastal</w:t>
      </w:r>
      <w:r w:rsidR="00B149F4">
        <w:rPr>
          <w:rFonts w:cs="Times New Roman"/>
          <w:b/>
          <w:bCs/>
          <w:i/>
          <w:iCs/>
          <w:sz w:val="20"/>
          <w:szCs w:val="20"/>
        </w:rPr>
        <w:t xml:space="preserve">; </w:t>
      </w:r>
      <w:r w:rsidR="00785B8E">
        <w:rPr>
          <w:rFonts w:cs="Times New Roman"/>
          <w:b/>
          <w:bCs/>
          <w:i/>
          <w:iCs/>
          <w:sz w:val="20"/>
          <w:szCs w:val="20"/>
        </w:rPr>
        <w:t>Tbd= to be determined</w:t>
      </w:r>
    </w:p>
    <w:p w:rsidR="0079268B" w:rsidRDefault="0079268B" w:rsidP="00993D9A">
      <w:pPr>
        <w:pStyle w:val="ListParagraph"/>
        <w:spacing w:before="120" w:line="276" w:lineRule="auto"/>
        <w:ind w:left="0"/>
        <w:jc w:val="both"/>
        <w:rPr>
          <w:rFonts w:cs="Times New Roman"/>
          <w:b/>
          <w:bCs/>
          <w:i/>
          <w:iCs/>
          <w:sz w:val="20"/>
          <w:szCs w:val="20"/>
        </w:rPr>
      </w:pPr>
      <w:r>
        <w:rPr>
          <w:rFonts w:cs="Times New Roman"/>
          <w:b/>
          <w:bCs/>
          <w:i/>
          <w:iCs/>
          <w:sz w:val="20"/>
          <w:szCs w:val="20"/>
        </w:rPr>
        <w:t>* Crearion of Dry season water reservoirs?</w:t>
      </w:r>
    </w:p>
    <w:p w:rsidR="0079268B" w:rsidRPr="00993D9A" w:rsidRDefault="0079268B" w:rsidP="00993D9A">
      <w:pPr>
        <w:pStyle w:val="ListParagraph"/>
        <w:spacing w:before="120" w:line="276" w:lineRule="auto"/>
        <w:ind w:left="0"/>
        <w:jc w:val="both"/>
        <w:rPr>
          <w:rFonts w:cs="Times New Roman"/>
          <w:b/>
          <w:bCs/>
          <w:i/>
          <w:iCs/>
          <w:sz w:val="20"/>
          <w:szCs w:val="20"/>
        </w:rPr>
      </w:pPr>
    </w:p>
    <w:p w:rsidR="00993D9A" w:rsidRDefault="00993D9A" w:rsidP="00993D9A">
      <w:pPr>
        <w:spacing w:before="120" w:line="276" w:lineRule="auto"/>
        <w:jc w:val="both"/>
        <w:rPr>
          <w:rFonts w:cs="Times New Roman"/>
          <w:b/>
          <w:bCs/>
          <w:i/>
          <w:iCs/>
          <w:sz w:val="20"/>
          <w:szCs w:val="20"/>
        </w:rPr>
      </w:pPr>
      <w:r>
        <w:rPr>
          <w:rFonts w:cs="Times New Roman"/>
          <w:b/>
          <w:bCs/>
          <w:i/>
          <w:iCs/>
          <w:sz w:val="20"/>
          <w:szCs w:val="20"/>
        </w:rPr>
        <w:t>Source: CEGIS</w:t>
      </w:r>
    </w:p>
    <w:p w:rsidR="00000000" w:rsidRDefault="007F2F9C" w:rsidP="003D5A31">
      <w:pPr>
        <w:pStyle w:val="BodyText"/>
        <w:numPr>
          <w:ilvl w:val="2"/>
          <w:numId w:val="159"/>
        </w:numPr>
        <w:spacing w:after="240" w:line="276" w:lineRule="auto"/>
        <w:jc w:val="both"/>
        <w:rPr>
          <w:rFonts w:cs="Times New Roman"/>
          <w:b/>
          <w:szCs w:val="24"/>
        </w:rPr>
      </w:pPr>
      <w:r w:rsidRPr="001D703C">
        <w:rPr>
          <w:rFonts w:cs="Times New Roman"/>
          <w:b/>
          <w:szCs w:val="24"/>
        </w:rPr>
        <w:t>Institutional Arrangements for M&amp;E</w:t>
      </w:r>
    </w:p>
    <w:p w:rsidR="007F2F9C" w:rsidRDefault="007F2F9C" w:rsidP="00EA0111">
      <w:pPr>
        <w:spacing w:line="276" w:lineRule="auto"/>
        <w:jc w:val="both"/>
        <w:rPr>
          <w:rFonts w:cs="Times New Roman"/>
          <w:szCs w:val="28"/>
        </w:rPr>
      </w:pPr>
      <w:r>
        <w:rPr>
          <w:rFonts w:cs="Times New Roman"/>
          <w:szCs w:val="28"/>
        </w:rPr>
        <w:t xml:space="preserve">Proper institutional arrangements for M&amp;E are important to establish clarity of accountability for this important task. </w:t>
      </w:r>
      <w:r w:rsidRPr="00B01AA1">
        <w:rPr>
          <w:rFonts w:cs="Times New Roman"/>
          <w:szCs w:val="28"/>
        </w:rPr>
        <w:t xml:space="preserve">So far as investment projects are concerned, the M&amp;E is the responsibility of the implementing agencies.  Similarly, M&amp;E of sectoral policies and programmes should rest with the concerned sectoral ministry.  </w:t>
      </w:r>
      <w:r>
        <w:rPr>
          <w:rFonts w:cs="Times New Roman"/>
          <w:szCs w:val="28"/>
        </w:rPr>
        <w:t>The IMED will also continue to do its M&amp;E, although it will be appropriate that IMED plays more attention to results-based M&amp;E of projects working in collaboration with concerned line ministries.</w:t>
      </w:r>
    </w:p>
    <w:p w:rsidR="007F2F9C" w:rsidRDefault="007F2F9C" w:rsidP="00EA0111">
      <w:pPr>
        <w:spacing w:line="276" w:lineRule="auto"/>
        <w:jc w:val="both"/>
        <w:rPr>
          <w:rFonts w:cs="Times New Roman"/>
          <w:szCs w:val="28"/>
        </w:rPr>
      </w:pPr>
      <w:r w:rsidRPr="00B01AA1">
        <w:rPr>
          <w:rFonts w:cs="Times New Roman"/>
          <w:szCs w:val="28"/>
        </w:rPr>
        <w:t>Regarding M&amp;E o</w:t>
      </w:r>
      <w:r w:rsidR="00ED3FC6">
        <w:rPr>
          <w:rFonts w:cs="Times New Roman"/>
          <w:szCs w:val="28"/>
        </w:rPr>
        <w:t xml:space="preserve">f the entire Delta Plan, as noted in Chapter 12, this will be a key responsibility of </w:t>
      </w:r>
      <w:r w:rsidR="0026021A">
        <w:rPr>
          <w:rFonts w:cs="Times New Roman"/>
          <w:szCs w:val="28"/>
        </w:rPr>
        <w:t>the Delta</w:t>
      </w:r>
      <w:r w:rsidR="00ED3FC6">
        <w:rPr>
          <w:rFonts w:cs="Times New Roman"/>
          <w:szCs w:val="28"/>
        </w:rPr>
        <w:t xml:space="preserve"> Commission as a part of its </w:t>
      </w:r>
      <w:r w:rsidR="0097725E">
        <w:rPr>
          <w:rFonts w:cs="Times New Roman"/>
          <w:szCs w:val="28"/>
        </w:rPr>
        <w:t>new role under the Delta Act</w:t>
      </w:r>
      <w:r w:rsidRPr="00B01AA1">
        <w:rPr>
          <w:rFonts w:cs="Times New Roman"/>
          <w:szCs w:val="28"/>
        </w:rPr>
        <w:t>. Needless to say, the M&amp;E for the Delta Plan will need to be done consultatively, drawing on the analysis of the M&amp;E at t</w:t>
      </w:r>
      <w:r w:rsidR="0097725E">
        <w:rPr>
          <w:rFonts w:cs="Times New Roman"/>
          <w:szCs w:val="28"/>
        </w:rPr>
        <w:t xml:space="preserve">he project and sectoral levels, consultation with IMED and technical arms of all concerned Delta ministries including the </w:t>
      </w:r>
      <w:r w:rsidR="004B1796">
        <w:rPr>
          <w:rFonts w:cs="Times New Roman"/>
          <w:szCs w:val="28"/>
        </w:rPr>
        <w:t>M</w:t>
      </w:r>
      <w:r w:rsidR="0097725E">
        <w:rPr>
          <w:rFonts w:cs="Times New Roman"/>
          <w:szCs w:val="28"/>
        </w:rPr>
        <w:t>inistry</w:t>
      </w:r>
      <w:r w:rsidR="004B1796">
        <w:rPr>
          <w:rFonts w:cs="Times New Roman"/>
          <w:szCs w:val="28"/>
        </w:rPr>
        <w:t xml:space="preserve"> of Water Resources</w:t>
      </w:r>
      <w:r w:rsidR="0097725E">
        <w:rPr>
          <w:rFonts w:cs="Times New Roman"/>
          <w:szCs w:val="28"/>
        </w:rPr>
        <w:t>.</w:t>
      </w:r>
      <w:r w:rsidRPr="00B01AA1">
        <w:rPr>
          <w:rFonts w:cs="Times New Roman"/>
          <w:szCs w:val="28"/>
        </w:rPr>
        <w:t xml:space="preserve"> </w:t>
      </w:r>
    </w:p>
    <w:p w:rsidR="007F2F9C" w:rsidRDefault="007F2F9C" w:rsidP="00EA0111">
      <w:pPr>
        <w:spacing w:line="276" w:lineRule="auto"/>
        <w:jc w:val="both"/>
        <w:rPr>
          <w:rFonts w:cs="Times New Roman"/>
          <w:szCs w:val="28"/>
        </w:rPr>
      </w:pPr>
      <w:r>
        <w:rPr>
          <w:rFonts w:cs="Times New Roman"/>
          <w:szCs w:val="28"/>
        </w:rPr>
        <w:t>The quality and usefulness of the B</w:t>
      </w:r>
      <w:r w:rsidR="00F51EE4">
        <w:rPr>
          <w:rFonts w:cs="Times New Roman"/>
          <w:szCs w:val="28"/>
        </w:rPr>
        <w:t>D</w:t>
      </w:r>
      <w:r>
        <w:rPr>
          <w:rFonts w:cs="Times New Roman"/>
          <w:szCs w:val="28"/>
        </w:rPr>
        <w:t>P2100 M&amp;E will depend upon the quality of staffing and the adequacy of data. Data issues are d</w:t>
      </w:r>
      <w:r w:rsidR="00763000">
        <w:rPr>
          <w:rFonts w:cs="Times New Roman"/>
          <w:szCs w:val="28"/>
        </w:rPr>
        <w:t>iscussed below and in chapter 14</w:t>
      </w:r>
      <w:r>
        <w:rPr>
          <w:rFonts w:cs="Times New Roman"/>
          <w:szCs w:val="28"/>
        </w:rPr>
        <w:t>.  The quality of staffing is of paramount importance.  Necessary budgetary allocations will have to be provided.</w:t>
      </w:r>
      <w:r w:rsidR="00ED3FC6">
        <w:rPr>
          <w:rFonts w:cs="Times New Roman"/>
          <w:szCs w:val="28"/>
        </w:rPr>
        <w:t xml:space="preserve"> </w:t>
      </w:r>
      <w:r w:rsidR="00F57172">
        <w:rPr>
          <w:rFonts w:cs="Times New Roman"/>
          <w:szCs w:val="28"/>
        </w:rPr>
        <w:t>Partnership</w:t>
      </w:r>
      <w:r w:rsidR="00ED3FC6">
        <w:rPr>
          <w:rFonts w:cs="Times New Roman"/>
          <w:szCs w:val="28"/>
        </w:rPr>
        <w:t xml:space="preserve"> of the Delta </w:t>
      </w:r>
      <w:r w:rsidR="00F64E5E">
        <w:rPr>
          <w:rFonts w:cs="Times New Roman"/>
          <w:szCs w:val="28"/>
        </w:rPr>
        <w:t>Commission with</w:t>
      </w:r>
      <w:r w:rsidR="00ED3FC6">
        <w:rPr>
          <w:rFonts w:cs="Times New Roman"/>
          <w:szCs w:val="28"/>
        </w:rPr>
        <w:t xml:space="preserve"> other institutions like CE</w:t>
      </w:r>
      <w:r w:rsidR="003D77FE">
        <w:rPr>
          <w:rFonts w:cs="Times New Roman"/>
          <w:szCs w:val="28"/>
        </w:rPr>
        <w:t>G</w:t>
      </w:r>
      <w:r w:rsidR="00ED3FC6">
        <w:rPr>
          <w:rFonts w:cs="Times New Roman"/>
          <w:szCs w:val="28"/>
        </w:rPr>
        <w:t>IS, IWM, BUET, BBS and private research institutions will be necessary.</w:t>
      </w:r>
    </w:p>
    <w:p w:rsidR="00EE2A65" w:rsidRPr="00763000" w:rsidRDefault="007F2F9C" w:rsidP="00763000">
      <w:pPr>
        <w:spacing w:line="276" w:lineRule="auto"/>
        <w:jc w:val="both"/>
        <w:rPr>
          <w:rFonts w:cs="Times New Roman"/>
          <w:szCs w:val="28"/>
        </w:rPr>
      </w:pPr>
      <w:r>
        <w:rPr>
          <w:rFonts w:cs="Times New Roman"/>
          <w:szCs w:val="28"/>
        </w:rPr>
        <w:t>Regarding the frequency of M&amp;E, two types o</w:t>
      </w:r>
      <w:r w:rsidR="00763000">
        <w:rPr>
          <w:rFonts w:cs="Times New Roman"/>
          <w:szCs w:val="28"/>
        </w:rPr>
        <w:t>f reports may be necessary.  First, an</w:t>
      </w:r>
      <w:r>
        <w:rPr>
          <w:rFonts w:cs="Times New Roman"/>
          <w:szCs w:val="28"/>
        </w:rPr>
        <w:t xml:space="preserve"> interim progress report of the BDP2100 implementation on an annual cycle may be useful to inform the formulation of next year’s annual BDP2100 programme.  A second, longer term (3-5 year cycle) full M&amp;E report of the BDP2100 implementation to inform the necessary changes to the next medium-term delta plan strategy and the associated DRF.  This will be a critical input to adaptive delta management.</w:t>
      </w:r>
    </w:p>
    <w:p w:rsidR="00F64A6A" w:rsidRDefault="007F2F9C" w:rsidP="00F64A6A">
      <w:pPr>
        <w:pStyle w:val="Heading2"/>
        <w:numPr>
          <w:ilvl w:val="0"/>
          <w:numId w:val="0"/>
        </w:numPr>
        <w:ind w:left="1080"/>
      </w:pPr>
      <w:bookmarkStart w:id="921" w:name="_Toc474638954"/>
      <w:r w:rsidRPr="00C52851">
        <w:t xml:space="preserve">Data Collection and </w:t>
      </w:r>
      <w:bookmarkEnd w:id="920"/>
      <w:r w:rsidR="00F51EE4">
        <w:t>Analysis</w:t>
      </w:r>
      <w:bookmarkEnd w:id="921"/>
    </w:p>
    <w:p w:rsidR="007F2F9C" w:rsidRDefault="007F2F9C" w:rsidP="00EA0111">
      <w:pPr>
        <w:spacing w:line="276" w:lineRule="auto"/>
        <w:jc w:val="both"/>
        <w:rPr>
          <w:rFonts w:cs="Times New Roman"/>
          <w:color w:val="000000" w:themeColor="text1"/>
          <w:szCs w:val="24"/>
        </w:rPr>
      </w:pPr>
      <w:r>
        <w:rPr>
          <w:rFonts w:cs="Times New Roman"/>
          <w:color w:val="000000" w:themeColor="text1"/>
          <w:szCs w:val="24"/>
        </w:rPr>
        <w:t>The knowledge strategy for BDP2100 involving data and analysis, proper storage and sharing is d</w:t>
      </w:r>
      <w:r w:rsidR="00763000">
        <w:rPr>
          <w:rFonts w:cs="Times New Roman"/>
          <w:color w:val="000000" w:themeColor="text1"/>
          <w:szCs w:val="24"/>
        </w:rPr>
        <w:t>iscussed in detail in Chapter 14</w:t>
      </w:r>
      <w:r>
        <w:rPr>
          <w:rFonts w:cs="Times New Roman"/>
          <w:color w:val="000000" w:themeColor="text1"/>
          <w:szCs w:val="24"/>
        </w:rPr>
        <w:t>.  In this Section some issues pertaining to the timely generation of relevant data for doing an adequate M&amp;E are discussed.</w:t>
      </w:r>
    </w:p>
    <w:p w:rsidR="007F2F9C" w:rsidRDefault="007F2F9C" w:rsidP="00EA0111">
      <w:pPr>
        <w:spacing w:line="276" w:lineRule="auto"/>
        <w:jc w:val="both"/>
        <w:rPr>
          <w:rFonts w:cs="Times New Roman"/>
          <w:color w:val="000000" w:themeColor="text1"/>
          <w:szCs w:val="24"/>
        </w:rPr>
      </w:pPr>
      <w:r>
        <w:rPr>
          <w:rFonts w:cs="Times New Roman"/>
          <w:color w:val="000000" w:themeColor="text1"/>
          <w:szCs w:val="24"/>
        </w:rPr>
        <w:t>As noted above, there is already a practice of monitoring and collecting a large number of data relevant to BDP2100 including on water, land, climate change,</w:t>
      </w:r>
      <w:r w:rsidR="00ED3FC6">
        <w:rPr>
          <w:rFonts w:cs="Times New Roman"/>
          <w:color w:val="000000" w:themeColor="text1"/>
          <w:szCs w:val="24"/>
        </w:rPr>
        <w:t xml:space="preserve"> environment and land use. The Delta Secretariat</w:t>
      </w:r>
      <w:r>
        <w:rPr>
          <w:rFonts w:cs="Times New Roman"/>
          <w:color w:val="000000" w:themeColor="text1"/>
          <w:szCs w:val="24"/>
        </w:rPr>
        <w:t xml:space="preserve"> needs to take stock of the adequacy of the existing data for doing the M&amp;E of the BDP2100 in accordance with the DRF noted in Table </w:t>
      </w:r>
      <w:r w:rsidR="00A650CE">
        <w:rPr>
          <w:rFonts w:cs="Times New Roman"/>
          <w:color w:val="000000" w:themeColor="text1"/>
          <w:szCs w:val="24"/>
        </w:rPr>
        <w:t>13.</w:t>
      </w:r>
      <w:r>
        <w:rPr>
          <w:rFonts w:cs="Times New Roman"/>
          <w:color w:val="000000" w:themeColor="text1"/>
          <w:szCs w:val="24"/>
        </w:rPr>
        <w:t xml:space="preserve">5.  To assist this evaluation, the possible sources of data for measuring each of the </w:t>
      </w:r>
      <w:r w:rsidR="00065D01">
        <w:rPr>
          <w:rFonts w:cs="Times New Roman"/>
          <w:color w:val="000000" w:themeColor="text1"/>
          <w:szCs w:val="24"/>
        </w:rPr>
        <w:t>monitor able</w:t>
      </w:r>
      <w:r>
        <w:rPr>
          <w:rFonts w:cs="Times New Roman"/>
          <w:color w:val="000000" w:themeColor="text1"/>
          <w:szCs w:val="24"/>
        </w:rPr>
        <w:t xml:space="preserve"> performance indicators of the DRF are summarized in Table </w:t>
      </w:r>
      <w:r w:rsidR="00A650CE">
        <w:rPr>
          <w:rFonts w:cs="Times New Roman"/>
          <w:color w:val="000000" w:themeColor="text1"/>
          <w:szCs w:val="24"/>
        </w:rPr>
        <w:t>13.</w:t>
      </w:r>
      <w:r>
        <w:rPr>
          <w:rFonts w:cs="Times New Roman"/>
          <w:color w:val="000000" w:themeColor="text1"/>
          <w:szCs w:val="24"/>
        </w:rPr>
        <w:t>6.</w:t>
      </w:r>
    </w:p>
    <w:p w:rsidR="007F2F9C" w:rsidRDefault="007F2F9C" w:rsidP="00EA0111">
      <w:pPr>
        <w:spacing w:line="276" w:lineRule="auto"/>
        <w:jc w:val="both"/>
        <w:rPr>
          <w:rFonts w:cs="Times New Roman"/>
          <w:color w:val="000000" w:themeColor="text1"/>
          <w:szCs w:val="24"/>
        </w:rPr>
      </w:pPr>
      <w:r>
        <w:rPr>
          <w:rFonts w:cs="Times New Roman"/>
          <w:color w:val="000000" w:themeColor="text1"/>
          <w:szCs w:val="24"/>
        </w:rPr>
        <w:t>Some of the data can be routinely generated on an annual cycle as presently. Yet, some require special purpose sample surveys.  Partnership and st</w:t>
      </w:r>
      <w:r w:rsidR="00ED3FC6">
        <w:rPr>
          <w:rFonts w:cs="Times New Roman"/>
          <w:color w:val="000000" w:themeColor="text1"/>
          <w:szCs w:val="24"/>
        </w:rPr>
        <w:t xml:space="preserve">rong collaboration between the </w:t>
      </w:r>
      <w:r w:rsidR="00EA4E38">
        <w:rPr>
          <w:rFonts w:cs="Times New Roman"/>
          <w:color w:val="000000" w:themeColor="text1"/>
          <w:szCs w:val="24"/>
        </w:rPr>
        <w:t xml:space="preserve">Delta </w:t>
      </w:r>
      <w:r w:rsidR="004F5E05">
        <w:rPr>
          <w:rFonts w:cs="Times New Roman"/>
          <w:color w:val="000000" w:themeColor="text1"/>
          <w:szCs w:val="24"/>
        </w:rPr>
        <w:t>Commision,</w:t>
      </w:r>
      <w:r>
        <w:rPr>
          <w:rFonts w:cs="Times New Roman"/>
          <w:color w:val="000000" w:themeColor="text1"/>
          <w:szCs w:val="24"/>
        </w:rPr>
        <w:t xml:space="preserve"> other line ministries and their agencies and the national data institution BBS is essential.  The survey work can either be done through BBS or if needed through BIDS, BUET, CEGIS, IWM or private sector research and knowledge institutions.</w:t>
      </w:r>
    </w:p>
    <w:p w:rsidR="007F2F9C" w:rsidRDefault="007F2F9C" w:rsidP="00EA0111">
      <w:pPr>
        <w:spacing w:line="276" w:lineRule="auto"/>
        <w:jc w:val="both"/>
        <w:rPr>
          <w:rFonts w:cs="Times New Roman"/>
          <w:color w:val="000000" w:themeColor="text1"/>
          <w:szCs w:val="24"/>
        </w:rPr>
      </w:pPr>
      <w:r>
        <w:rPr>
          <w:rFonts w:cs="Times New Roman"/>
          <w:color w:val="000000" w:themeColor="text1"/>
          <w:szCs w:val="24"/>
        </w:rPr>
        <w:t xml:space="preserve">Data mobilization requires resources. Adequacy of funding M&amp;E, data requirements and knowledge is a critical element of implementing the BDP2100.  In the Netherlands Delta Management, emphasis placed on data generation, data management and knowledge is a distinguishing feature that has contributed enormously to its success as global best practice. </w:t>
      </w:r>
    </w:p>
    <w:p w:rsidR="00ED3FC6" w:rsidRDefault="00ED3FC6" w:rsidP="00EA0111">
      <w:pPr>
        <w:spacing w:line="276" w:lineRule="auto"/>
        <w:jc w:val="both"/>
        <w:rPr>
          <w:rFonts w:cs="Times New Roman"/>
          <w:color w:val="000000" w:themeColor="text1"/>
          <w:szCs w:val="24"/>
        </w:rPr>
      </w:pPr>
    </w:p>
    <w:p w:rsidR="00231061" w:rsidRDefault="00231061" w:rsidP="00EA0111">
      <w:pPr>
        <w:spacing w:line="276" w:lineRule="auto"/>
        <w:jc w:val="both"/>
        <w:rPr>
          <w:rFonts w:cs="Times New Roman"/>
          <w:color w:val="000000" w:themeColor="text1"/>
          <w:szCs w:val="24"/>
        </w:rPr>
      </w:pPr>
    </w:p>
    <w:p w:rsidR="00231061" w:rsidRDefault="00231061" w:rsidP="00EA0111">
      <w:pPr>
        <w:spacing w:line="276" w:lineRule="auto"/>
        <w:jc w:val="both"/>
        <w:rPr>
          <w:rFonts w:cs="Times New Roman"/>
          <w:color w:val="000000" w:themeColor="text1"/>
          <w:szCs w:val="24"/>
        </w:rPr>
      </w:pPr>
    </w:p>
    <w:p w:rsidR="007F2F9C" w:rsidRPr="005F377C" w:rsidRDefault="007F2F9C" w:rsidP="00FD7FD3">
      <w:pPr>
        <w:pStyle w:val="Heading4"/>
      </w:pPr>
      <w:bookmarkStart w:id="922" w:name="_Toc474639154"/>
      <w:r w:rsidRPr="005F377C">
        <w:t xml:space="preserve">Table </w:t>
      </w:r>
      <w:r w:rsidR="00A650CE">
        <w:t>13.</w:t>
      </w:r>
      <w:r w:rsidRPr="005F377C">
        <w:t>6: Data Requirements for BDP2100 DRF</w:t>
      </w:r>
      <w:bookmarkEnd w:id="9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8" w:type="dxa"/>
          <w:right w:w="58" w:type="dxa"/>
        </w:tblCellMar>
        <w:tblLook w:val="04A0"/>
      </w:tblPr>
      <w:tblGrid>
        <w:gridCol w:w="574"/>
        <w:gridCol w:w="1546"/>
        <w:gridCol w:w="2568"/>
        <w:gridCol w:w="1526"/>
        <w:gridCol w:w="203"/>
        <w:gridCol w:w="1027"/>
        <w:gridCol w:w="2032"/>
      </w:tblGrid>
      <w:tr w:rsidR="007F2F9C" w:rsidRPr="001629E9" w:rsidTr="00005EAC">
        <w:trPr>
          <w:trHeight w:val="20"/>
        </w:trPr>
        <w:tc>
          <w:tcPr>
            <w:tcW w:w="5000" w:type="pct"/>
            <w:gridSpan w:val="7"/>
            <w:shd w:val="clear" w:color="auto" w:fill="D9D9D9" w:themeFill="background1" w:themeFillShade="D9"/>
          </w:tcPr>
          <w:p w:rsidR="007F2F9C" w:rsidRPr="001629E9" w:rsidRDefault="007F2F9C" w:rsidP="00893785">
            <w:pPr>
              <w:spacing w:after="0" w:line="240" w:lineRule="auto"/>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 xml:space="preserve">Goal 1: Ensure safety </w:t>
            </w:r>
            <w:r w:rsidR="00893785">
              <w:rPr>
                <w:rFonts w:eastAsia="Times New Roman" w:cs="Times New Roman"/>
                <w:b/>
                <w:bCs/>
                <w:iCs/>
                <w:color w:val="000000" w:themeColor="text1"/>
                <w:sz w:val="18"/>
                <w:szCs w:val="18"/>
                <w:lang w:eastAsia="en-GB"/>
              </w:rPr>
              <w:t>from flood</w:t>
            </w:r>
            <w:r w:rsidRPr="001629E9">
              <w:rPr>
                <w:rFonts w:eastAsia="Times New Roman" w:cs="Times New Roman"/>
                <w:b/>
                <w:bCs/>
                <w:iCs/>
                <w:color w:val="000000" w:themeColor="text1"/>
                <w:sz w:val="18"/>
                <w:szCs w:val="18"/>
                <w:lang w:eastAsia="en-GB"/>
              </w:rPr>
              <w:t xml:space="preserve"> and climate change related disaster</w:t>
            </w:r>
          </w:p>
        </w:tc>
      </w:tr>
      <w:tr w:rsidR="007F2F9C" w:rsidRPr="001629E9" w:rsidTr="00005EAC">
        <w:trPr>
          <w:trHeight w:val="20"/>
        </w:trPr>
        <w:tc>
          <w:tcPr>
            <w:tcW w:w="303"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No.</w:t>
            </w:r>
          </w:p>
        </w:tc>
        <w:tc>
          <w:tcPr>
            <w:tcW w:w="816"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Indicator</w:t>
            </w:r>
          </w:p>
        </w:tc>
        <w:tc>
          <w:tcPr>
            <w:tcW w:w="1355"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Parameters</w:t>
            </w:r>
          </w:p>
        </w:tc>
        <w:tc>
          <w:tcPr>
            <w:tcW w:w="912" w:type="pct"/>
            <w:gridSpan w:val="2"/>
            <w:shd w:val="clear" w:color="auto" w:fill="C2D69B" w:themeFill="accent3" w:themeFillTint="99"/>
            <w:vAlign w:val="center"/>
          </w:tcPr>
          <w:p w:rsidR="007F2F9C" w:rsidRPr="001629E9" w:rsidRDefault="007F2F9C" w:rsidP="00F51EE4">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 xml:space="preserve">Data </w:t>
            </w:r>
            <w:r w:rsidR="00F57172">
              <w:rPr>
                <w:rFonts w:eastAsia="Times New Roman" w:cs="Times New Roman"/>
                <w:b/>
                <w:bCs/>
                <w:iCs/>
                <w:color w:val="000000" w:themeColor="text1"/>
                <w:sz w:val="18"/>
                <w:szCs w:val="18"/>
                <w:lang w:eastAsia="en-GB"/>
              </w:rPr>
              <w:t>analysis</w:t>
            </w:r>
            <w:r w:rsidR="00F57172" w:rsidRPr="001629E9">
              <w:rPr>
                <w:rFonts w:eastAsia="Times New Roman" w:cs="Times New Roman"/>
                <w:b/>
                <w:bCs/>
                <w:iCs/>
                <w:color w:val="000000" w:themeColor="text1"/>
                <w:sz w:val="18"/>
                <w:szCs w:val="18"/>
                <w:lang w:eastAsia="en-GB"/>
              </w:rPr>
              <w:t xml:space="preserve"> tools</w:t>
            </w:r>
            <w:r w:rsidRPr="001629E9">
              <w:rPr>
                <w:rFonts w:eastAsia="Times New Roman" w:cs="Times New Roman"/>
                <w:b/>
                <w:bCs/>
                <w:iCs/>
                <w:color w:val="000000" w:themeColor="text1"/>
                <w:sz w:val="18"/>
                <w:szCs w:val="18"/>
                <w:lang w:eastAsia="en-GB"/>
              </w:rPr>
              <w:t>/Method</w:t>
            </w:r>
          </w:p>
        </w:tc>
        <w:tc>
          <w:tcPr>
            <w:tcW w:w="541" w:type="pct"/>
            <w:shd w:val="clear" w:color="auto" w:fill="C2D69B" w:themeFill="accent3" w:themeFillTint="99"/>
            <w:vAlign w:val="center"/>
          </w:tcPr>
          <w:p w:rsidR="007F2F9C" w:rsidRPr="001629E9" w:rsidRDefault="007F2F9C" w:rsidP="00EA0111">
            <w:pPr>
              <w:spacing w:after="0" w:line="240" w:lineRule="auto"/>
              <w:ind w:left="90"/>
              <w:jc w:val="center"/>
              <w:rPr>
                <w:rFonts w:eastAsia="Times New Roman" w:cs="Times New Roman"/>
                <w:b/>
                <w:bCs/>
                <w:iCs/>
                <w:color w:val="000000" w:themeColor="text1"/>
                <w:sz w:val="18"/>
                <w:szCs w:val="18"/>
                <w:highlight w:val="red"/>
                <w:lang w:eastAsia="en-GB"/>
              </w:rPr>
            </w:pPr>
            <w:r w:rsidRPr="001629E9">
              <w:rPr>
                <w:rFonts w:eastAsia="Times New Roman" w:cs="Times New Roman"/>
                <w:b/>
                <w:bCs/>
                <w:iCs/>
                <w:color w:val="000000" w:themeColor="text1"/>
                <w:sz w:val="18"/>
                <w:szCs w:val="18"/>
                <w:lang w:eastAsia="en-GB"/>
              </w:rPr>
              <w:t>Frequency of data collection</w:t>
            </w:r>
          </w:p>
        </w:tc>
        <w:tc>
          <w:tcPr>
            <w:tcW w:w="1072" w:type="pct"/>
            <w:shd w:val="clear" w:color="auto" w:fill="C2D69B" w:themeFill="accent3" w:themeFillTint="99"/>
            <w:vAlign w:val="center"/>
          </w:tcPr>
          <w:p w:rsidR="007F2F9C"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s</w:t>
            </w:r>
            <w:r w:rsidR="00616D24">
              <w:rPr>
                <w:rFonts w:eastAsia="Times New Roman" w:cs="Times New Roman"/>
                <w:b/>
                <w:bCs/>
                <w:iCs/>
                <w:color w:val="000000" w:themeColor="text1"/>
                <w:sz w:val="18"/>
                <w:szCs w:val="18"/>
                <w:lang w:eastAsia="en-GB"/>
              </w:rPr>
              <w:t xml:space="preserve">ources </w:t>
            </w:r>
            <w:r w:rsidRPr="001629E9">
              <w:rPr>
                <w:rFonts w:eastAsia="Times New Roman" w:cs="Times New Roman"/>
                <w:b/>
                <w:bCs/>
                <w:iCs/>
                <w:color w:val="000000" w:themeColor="text1"/>
                <w:sz w:val="18"/>
                <w:szCs w:val="18"/>
                <w:lang w:eastAsia="en-GB"/>
              </w:rPr>
              <w:t>/</w:t>
            </w:r>
          </w:p>
          <w:p w:rsidR="007F2F9C" w:rsidRPr="001629E9"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Responsible agencies</w:t>
            </w:r>
          </w:p>
        </w:tc>
      </w:tr>
      <w:tr w:rsidR="007F2F9C" w:rsidRPr="001629E9" w:rsidTr="00005EAC">
        <w:trPr>
          <w:trHeight w:val="20"/>
        </w:trPr>
        <w:tc>
          <w:tcPr>
            <w:tcW w:w="303"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1A</w:t>
            </w:r>
          </w:p>
        </w:tc>
        <w:tc>
          <w:tcPr>
            <w:tcW w:w="816"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Risk free zone from natural hazards</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Water level, Discharge, Rainfall</w:t>
            </w:r>
          </w:p>
        </w:tc>
        <w:tc>
          <w:tcPr>
            <w:tcW w:w="912" w:type="pct"/>
            <w:gridSpan w:val="2"/>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Frequency analysis, Hydrodynamic Modelling</w:t>
            </w:r>
          </w:p>
        </w:tc>
        <w:tc>
          <w:tcPr>
            <w:tcW w:w="541" w:type="pct"/>
          </w:tcPr>
          <w:p w:rsidR="007F2F9C" w:rsidRPr="001629E9" w:rsidRDefault="0079268B" w:rsidP="00EA0111">
            <w:pPr>
              <w:spacing w:after="0" w:line="240" w:lineRule="auto"/>
              <w:rPr>
                <w:rFonts w:eastAsia="Times New Roman" w:cs="Times New Roman"/>
                <w:bCs/>
                <w:color w:val="000000" w:themeColor="text1"/>
                <w:sz w:val="18"/>
                <w:szCs w:val="18"/>
                <w:lang w:eastAsia="en-GB"/>
              </w:rPr>
            </w:pPr>
            <w:r>
              <w:rPr>
                <w:rFonts w:eastAsia="Times New Roman" w:cs="Segoe UI"/>
                <w:color w:val="000000"/>
                <w:sz w:val="22"/>
                <w:lang w:eastAsia="en-GB"/>
              </w:rPr>
              <w:t>(?)</w:t>
            </w:r>
          </w:p>
        </w:tc>
        <w:tc>
          <w:tcPr>
            <w:tcW w:w="1072" w:type="pct"/>
          </w:tcPr>
          <w:p w:rsidR="007F2F9C" w:rsidRPr="001629E9" w:rsidRDefault="007F2F9C" w:rsidP="00EA0111">
            <w:pPr>
              <w:spacing w:after="0" w:line="240" w:lineRule="auto"/>
              <w:ind w:left="32"/>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 xml:space="preserve">BWDB, </w:t>
            </w:r>
            <w:r w:rsidRPr="001629E9">
              <w:rPr>
                <w:rFonts w:cs="Times New Roman"/>
                <w:sz w:val="18"/>
                <w:szCs w:val="18"/>
              </w:rPr>
              <w:t>Flood Forecasting and Warning Centre</w:t>
            </w:r>
            <w:r w:rsidRPr="001629E9">
              <w:rPr>
                <w:rFonts w:eastAsia="Times New Roman" w:cs="Times New Roman"/>
                <w:bCs/>
                <w:color w:val="000000" w:themeColor="text1"/>
                <w:sz w:val="18"/>
                <w:szCs w:val="18"/>
                <w:lang w:eastAsia="en-GB"/>
              </w:rPr>
              <w:t xml:space="preserve"> (FFWC), CEGIS, IWM</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Water level, Discharge, Rainfall</w:t>
            </w:r>
          </w:p>
        </w:tc>
        <w:tc>
          <w:tcPr>
            <w:tcW w:w="912" w:type="pct"/>
            <w:gridSpan w:val="2"/>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Frequency analysis, Hydrodynamic Modelling</w:t>
            </w:r>
          </w:p>
        </w:tc>
        <w:tc>
          <w:tcPr>
            <w:tcW w:w="541" w:type="pct"/>
          </w:tcPr>
          <w:p w:rsidR="007F2F9C" w:rsidRPr="001629E9" w:rsidRDefault="0079268B" w:rsidP="00EA0111">
            <w:pPr>
              <w:spacing w:after="0" w:line="240" w:lineRule="auto"/>
              <w:rPr>
                <w:rFonts w:eastAsia="Times New Roman" w:cs="Times New Roman"/>
                <w:bCs/>
                <w:color w:val="000000" w:themeColor="text1"/>
                <w:sz w:val="18"/>
                <w:szCs w:val="18"/>
                <w:lang w:eastAsia="en-GB"/>
              </w:rPr>
            </w:pPr>
            <w:r>
              <w:rPr>
                <w:rFonts w:eastAsia="Times New Roman" w:cs="Segoe UI"/>
                <w:color w:val="000000"/>
                <w:sz w:val="22"/>
                <w:lang w:eastAsia="en-GB"/>
              </w:rPr>
              <w:t>(?)</w:t>
            </w:r>
          </w:p>
        </w:tc>
        <w:tc>
          <w:tcPr>
            <w:tcW w:w="1072" w:type="pct"/>
          </w:tcPr>
          <w:p w:rsidR="007F2F9C" w:rsidRPr="001629E9" w:rsidRDefault="007F2F9C" w:rsidP="00EA0111">
            <w:pPr>
              <w:spacing w:after="0" w:line="240" w:lineRule="auto"/>
              <w:ind w:left="32"/>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BWDB, FFWC, CEGIS, IWM</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Wind speed, Pressure at different levels, Sea surface temperature (SST), Mean sea level pressure (MSL), Meteorological parameters</w:t>
            </w:r>
          </w:p>
        </w:tc>
        <w:tc>
          <w:tcPr>
            <w:tcW w:w="912" w:type="pct"/>
            <w:gridSpan w:val="2"/>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Storm Surge Model, RCM</w:t>
            </w:r>
          </w:p>
        </w:tc>
        <w:tc>
          <w:tcPr>
            <w:tcW w:w="541"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cs="Times New Roman"/>
                <w:sz w:val="18"/>
                <w:szCs w:val="18"/>
              </w:rPr>
              <w:t>Space Research and Remote Sensing Organization</w:t>
            </w:r>
            <w:r w:rsidRPr="001629E9">
              <w:rPr>
                <w:rFonts w:eastAsia="Times New Roman" w:cs="Times New Roman"/>
                <w:bCs/>
                <w:color w:val="000000" w:themeColor="text1"/>
                <w:sz w:val="18"/>
                <w:szCs w:val="18"/>
                <w:lang w:eastAsia="en-GB"/>
              </w:rPr>
              <w:t>(SPAARSO), CEGIS, IWM</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Rainfall, Temperature, Soil moisture, Evaporation</w:t>
            </w:r>
          </w:p>
        </w:tc>
        <w:tc>
          <w:tcPr>
            <w:tcW w:w="912" w:type="pct"/>
            <w:gridSpan w:val="2"/>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 xml:space="preserve">DRASS, SPI analysis, Hydrodynamic model </w:t>
            </w:r>
          </w:p>
        </w:tc>
        <w:tc>
          <w:tcPr>
            <w:tcW w:w="541"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BWDB, CEGIS, IWM</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cs="Times New Roman"/>
                <w:color w:val="000000" w:themeColor="text1"/>
                <w:sz w:val="18"/>
                <w:szCs w:val="18"/>
              </w:rPr>
            </w:pPr>
            <w:r w:rsidRPr="001629E9">
              <w:rPr>
                <w:rFonts w:cs="Times New Roman"/>
                <w:color w:val="000000" w:themeColor="text1"/>
                <w:sz w:val="18"/>
                <w:szCs w:val="18"/>
              </w:rPr>
              <w:t>Salt concentration</w:t>
            </w:r>
          </w:p>
        </w:tc>
        <w:tc>
          <w:tcPr>
            <w:tcW w:w="912" w:type="pct"/>
            <w:gridSpan w:val="2"/>
          </w:tcPr>
          <w:p w:rsidR="007F2F9C" w:rsidRPr="001629E9" w:rsidRDefault="007F2F9C" w:rsidP="00EA0111">
            <w:pPr>
              <w:spacing w:after="0" w:line="240" w:lineRule="auto"/>
              <w:ind w:left="29"/>
              <w:rPr>
                <w:rFonts w:cs="Times New Roman"/>
                <w:color w:val="000000" w:themeColor="text1"/>
                <w:sz w:val="18"/>
                <w:szCs w:val="18"/>
              </w:rPr>
            </w:pPr>
            <w:r w:rsidRPr="001629E9">
              <w:rPr>
                <w:rFonts w:cs="Times New Roman"/>
                <w:color w:val="000000" w:themeColor="text1"/>
                <w:sz w:val="18"/>
                <w:szCs w:val="18"/>
              </w:rPr>
              <w:t>Salinity Model, Hydrodynamic Model</w:t>
            </w:r>
          </w:p>
        </w:tc>
        <w:tc>
          <w:tcPr>
            <w:tcW w:w="541" w:type="pct"/>
          </w:tcPr>
          <w:p w:rsidR="007F2F9C" w:rsidRPr="001629E9" w:rsidRDefault="007F2F9C" w:rsidP="00EA0111">
            <w:pPr>
              <w:spacing w:after="0" w:line="240" w:lineRule="auto"/>
              <w:rPr>
                <w:rFonts w:cs="Times New Roman"/>
                <w:color w:val="000000" w:themeColor="text1"/>
                <w:sz w:val="18"/>
                <w:szCs w:val="18"/>
              </w:rPr>
            </w:pPr>
          </w:p>
        </w:tc>
        <w:tc>
          <w:tcPr>
            <w:tcW w:w="1072" w:type="pct"/>
          </w:tcPr>
          <w:p w:rsidR="007F2F9C" w:rsidRPr="001629E9" w:rsidRDefault="007F2F9C" w:rsidP="00EA0111">
            <w:pPr>
              <w:spacing w:after="0" w:line="240" w:lineRule="auto"/>
              <w:rPr>
                <w:rFonts w:cs="Times New Roman"/>
                <w:color w:val="000000" w:themeColor="text1"/>
                <w:sz w:val="18"/>
                <w:szCs w:val="18"/>
              </w:rPr>
            </w:pPr>
            <w:r w:rsidRPr="001629E9">
              <w:rPr>
                <w:rFonts w:cs="Times New Roman"/>
                <w:color w:val="000000" w:themeColor="text1"/>
                <w:sz w:val="18"/>
                <w:szCs w:val="18"/>
              </w:rPr>
              <w:t>BWDB, CEGIS, IWM</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Rainfall, Drainage data, Water level data</w:t>
            </w:r>
          </w:p>
        </w:tc>
        <w:tc>
          <w:tcPr>
            <w:tcW w:w="912" w:type="pct"/>
            <w:gridSpan w:val="2"/>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GIS analysis/ Hydrodynamic model</w:t>
            </w:r>
          </w:p>
        </w:tc>
        <w:tc>
          <w:tcPr>
            <w:tcW w:w="541"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BWDB, CEGIS, IWM</w:t>
            </w:r>
          </w:p>
        </w:tc>
      </w:tr>
      <w:tr w:rsidR="007F2F9C" w:rsidRPr="001629E9" w:rsidTr="00005EAC">
        <w:trPr>
          <w:trHeight w:val="20"/>
        </w:trPr>
        <w:tc>
          <w:tcPr>
            <w:tcW w:w="303"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1B</w:t>
            </w:r>
          </w:p>
        </w:tc>
        <w:tc>
          <w:tcPr>
            <w:tcW w:w="816"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Population non-vulnerable to natural disasters</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Population data</w:t>
            </w:r>
          </w:p>
        </w:tc>
        <w:tc>
          <w:tcPr>
            <w:tcW w:w="912" w:type="pct"/>
            <w:gridSpan w:val="2"/>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Data analysis for historical floods, Flood inundation modelling</w:t>
            </w:r>
          </w:p>
        </w:tc>
        <w:tc>
          <w:tcPr>
            <w:tcW w:w="541"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BBS, FFWC, CEGIS,</w:t>
            </w:r>
          </w:p>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IWM</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Population data</w:t>
            </w:r>
          </w:p>
        </w:tc>
        <w:tc>
          <w:tcPr>
            <w:tcW w:w="912" w:type="pct"/>
            <w:gridSpan w:val="2"/>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Data analysis for historical cyclones, Storm surge modelling</w:t>
            </w:r>
          </w:p>
        </w:tc>
        <w:tc>
          <w:tcPr>
            <w:tcW w:w="541"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BBS, SPAARSO, CEGIS,</w:t>
            </w:r>
          </w:p>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IWM</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Population data</w:t>
            </w:r>
          </w:p>
        </w:tc>
        <w:tc>
          <w:tcPr>
            <w:tcW w:w="912" w:type="pct"/>
            <w:gridSpan w:val="2"/>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Erosion prediction model</w:t>
            </w:r>
          </w:p>
        </w:tc>
        <w:tc>
          <w:tcPr>
            <w:tcW w:w="541"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BBS, 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Population data</w:t>
            </w:r>
          </w:p>
        </w:tc>
        <w:tc>
          <w:tcPr>
            <w:tcW w:w="912" w:type="pct"/>
            <w:gridSpan w:val="2"/>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Data analysis for historical water logging events</w:t>
            </w:r>
          </w:p>
        </w:tc>
        <w:tc>
          <w:tcPr>
            <w:tcW w:w="541"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BBS, BWDB, CEGIS,</w:t>
            </w:r>
          </w:p>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IWM</w:t>
            </w:r>
          </w:p>
        </w:tc>
      </w:tr>
      <w:tr w:rsidR="007F2F9C" w:rsidRPr="001629E9" w:rsidTr="00005EAC">
        <w:trPr>
          <w:trHeight w:val="20"/>
        </w:trPr>
        <w:tc>
          <w:tcPr>
            <w:tcW w:w="5000" w:type="pct"/>
            <w:gridSpan w:val="7"/>
            <w:shd w:val="clear" w:color="000000" w:fill="EEECE1"/>
          </w:tcPr>
          <w:p w:rsidR="007F2F9C" w:rsidRPr="001629E9" w:rsidRDefault="007F2F9C" w:rsidP="00EA0111">
            <w:pPr>
              <w:spacing w:after="0" w:line="240" w:lineRule="auto"/>
              <w:ind w:left="117"/>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Goal 2: Ensure water security and efficiency of water usages</w:t>
            </w:r>
          </w:p>
        </w:tc>
      </w:tr>
      <w:tr w:rsidR="007F2F9C" w:rsidRPr="001629E9" w:rsidTr="00005EAC">
        <w:trPr>
          <w:trHeight w:val="20"/>
        </w:trPr>
        <w:tc>
          <w:tcPr>
            <w:tcW w:w="303"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No.</w:t>
            </w:r>
          </w:p>
        </w:tc>
        <w:tc>
          <w:tcPr>
            <w:tcW w:w="816"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Indicator</w:t>
            </w:r>
          </w:p>
        </w:tc>
        <w:tc>
          <w:tcPr>
            <w:tcW w:w="1355"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Parameters</w:t>
            </w:r>
          </w:p>
        </w:tc>
        <w:tc>
          <w:tcPr>
            <w:tcW w:w="805" w:type="pct"/>
            <w:shd w:val="clear" w:color="auto" w:fill="C2D69B" w:themeFill="accent3" w:themeFillTint="99"/>
            <w:vAlign w:val="center"/>
          </w:tcPr>
          <w:p w:rsidR="007F2F9C" w:rsidRPr="001629E9" w:rsidRDefault="007F2F9C" w:rsidP="00EA0111">
            <w:pPr>
              <w:spacing w:after="0" w:line="240" w:lineRule="auto"/>
              <w:ind w:left="29"/>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collection tools/Method</w:t>
            </w:r>
          </w:p>
        </w:tc>
        <w:tc>
          <w:tcPr>
            <w:tcW w:w="649" w:type="pct"/>
            <w:gridSpan w:val="2"/>
            <w:shd w:val="clear" w:color="auto" w:fill="C2D69B" w:themeFill="accent3" w:themeFillTint="99"/>
            <w:vAlign w:val="center"/>
          </w:tcPr>
          <w:p w:rsidR="007F2F9C" w:rsidRPr="001629E9" w:rsidRDefault="007F2F9C" w:rsidP="00EA0111">
            <w:pPr>
              <w:spacing w:after="0" w:line="240" w:lineRule="auto"/>
              <w:ind w:left="90"/>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Frequency of data collection</w:t>
            </w:r>
          </w:p>
        </w:tc>
        <w:tc>
          <w:tcPr>
            <w:tcW w:w="1072" w:type="pct"/>
            <w:shd w:val="clear" w:color="auto" w:fill="C2D69B" w:themeFill="accent3" w:themeFillTint="99"/>
            <w:vAlign w:val="center"/>
          </w:tcPr>
          <w:p w:rsidR="007F2F9C"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s</w:t>
            </w:r>
            <w:r w:rsidR="00616D24">
              <w:rPr>
                <w:rFonts w:eastAsia="Times New Roman" w:cs="Times New Roman"/>
                <w:b/>
                <w:bCs/>
                <w:iCs/>
                <w:color w:val="000000" w:themeColor="text1"/>
                <w:sz w:val="18"/>
                <w:szCs w:val="18"/>
                <w:lang w:eastAsia="en-GB"/>
              </w:rPr>
              <w:t>ources</w:t>
            </w:r>
            <w:r w:rsidRPr="001629E9">
              <w:rPr>
                <w:rFonts w:eastAsia="Times New Roman" w:cs="Times New Roman"/>
                <w:b/>
                <w:bCs/>
                <w:iCs/>
                <w:color w:val="000000" w:themeColor="text1"/>
                <w:sz w:val="18"/>
                <w:szCs w:val="18"/>
                <w:lang w:eastAsia="en-GB"/>
              </w:rPr>
              <w:t>/</w:t>
            </w:r>
          </w:p>
          <w:p w:rsidR="007F2F9C" w:rsidRPr="001629E9"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Responsible agencies</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2A</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Dry season flow availability</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 xml:space="preserve">Rainfall, Temperature, Discharge </w:t>
            </w: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Hydrologic/ Hydrodynamic model</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JRC, CEGIS, IWM, BUET</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2B</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Dry season irrigation coverage</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 xml:space="preserve">Rainfall, Temperature, Water availability, Number and status of deep tube wells, shallow tube wells, low lift pump  </w:t>
            </w: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Data and GIS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BADC, DAE, CEGIS,</w:t>
            </w:r>
          </w:p>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IWM</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2C</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Irrigation water efficiency</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Effective irrigation water use, total irrigation</w:t>
            </w: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Hands on calculation</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 xml:space="preserve">BADC, DAE, </w:t>
            </w:r>
            <w:r w:rsidRPr="001629E9">
              <w:rPr>
                <w:rFonts w:cs="Times New Roman"/>
                <w:sz w:val="18"/>
                <w:szCs w:val="18"/>
              </w:rPr>
              <w:t>Bangladesh Institute of Development Studies (</w:t>
            </w:r>
            <w:r w:rsidRPr="001629E9">
              <w:rPr>
                <w:rFonts w:eastAsia="Times New Roman" w:cs="Times New Roman"/>
                <w:bCs/>
                <w:color w:val="000000" w:themeColor="text1"/>
                <w:sz w:val="18"/>
                <w:szCs w:val="18"/>
                <w:lang w:eastAsia="en-GB"/>
              </w:rPr>
              <w:t>BIDS)</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2D</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Urban domestic water efficiency</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Effective urban domestic water use, Total urban domestic water supplied</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Hands on calculation</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WASA</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2E</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Internal Renewable Water Resources</w:t>
            </w:r>
          </w:p>
        </w:tc>
        <w:tc>
          <w:tcPr>
            <w:tcW w:w="1355" w:type="pct"/>
          </w:tcPr>
          <w:p w:rsidR="007F2F9C" w:rsidRPr="001629E9" w:rsidRDefault="007F2F9C" w:rsidP="00EA0111">
            <w:pPr>
              <w:tabs>
                <w:tab w:val="left" w:pos="450"/>
              </w:tabs>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 xml:space="preserve">Average annual flow of rivers, Groundwater data, Recharge rate of groundwater, Rainfall </w:t>
            </w:r>
          </w:p>
        </w:tc>
        <w:tc>
          <w:tcPr>
            <w:tcW w:w="805" w:type="pct"/>
          </w:tcPr>
          <w:p w:rsidR="007F2F9C" w:rsidRPr="001629E9" w:rsidRDefault="007F2F9C" w:rsidP="00EA0111">
            <w:pPr>
              <w:tabs>
                <w:tab w:val="left" w:pos="450"/>
              </w:tabs>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Data analysis</w:t>
            </w:r>
          </w:p>
        </w:tc>
        <w:tc>
          <w:tcPr>
            <w:tcW w:w="649" w:type="pct"/>
            <w:gridSpan w:val="2"/>
          </w:tcPr>
          <w:p w:rsidR="007F2F9C" w:rsidRPr="001629E9" w:rsidRDefault="007F2F9C" w:rsidP="00EA0111">
            <w:pPr>
              <w:tabs>
                <w:tab w:val="left" w:pos="450"/>
              </w:tabs>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tabs>
                <w:tab w:val="left" w:pos="450"/>
              </w:tabs>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CEGIS, IWM</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2F</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Rural population with improved drinking water access</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 xml:space="preserve">Number of  tube wells  and demographic data </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Data and 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DPHE, Water &amp; Sanitation (WATSAN) related</w:t>
            </w:r>
          </w:p>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 xml:space="preserve">NGOs </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2G</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Rural population with improved sanitation</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Number of  sanitary latrines  and demographic data</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Data and 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DPHE, WATSAN related</w:t>
            </w:r>
          </w:p>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NGOs</w:t>
            </w:r>
          </w:p>
        </w:tc>
      </w:tr>
      <w:tr w:rsidR="007F2F9C" w:rsidRPr="001629E9" w:rsidTr="00005EAC">
        <w:trPr>
          <w:trHeight w:val="20"/>
        </w:trPr>
        <w:tc>
          <w:tcPr>
            <w:tcW w:w="5000" w:type="pct"/>
            <w:gridSpan w:val="7"/>
            <w:shd w:val="clear" w:color="000000" w:fill="EEECE1"/>
          </w:tcPr>
          <w:p w:rsidR="007F2F9C" w:rsidRPr="001629E9" w:rsidRDefault="007F2F9C" w:rsidP="00EA0111">
            <w:pPr>
              <w:spacing w:after="0" w:line="240" w:lineRule="auto"/>
              <w:ind w:left="117"/>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Goal 3: Ensure integrated river systems and estuaries management</w:t>
            </w:r>
          </w:p>
        </w:tc>
      </w:tr>
      <w:tr w:rsidR="007F2F9C" w:rsidRPr="001629E9" w:rsidTr="00005EAC">
        <w:trPr>
          <w:trHeight w:val="20"/>
        </w:trPr>
        <w:tc>
          <w:tcPr>
            <w:tcW w:w="303"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No.</w:t>
            </w:r>
          </w:p>
        </w:tc>
        <w:tc>
          <w:tcPr>
            <w:tcW w:w="816"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Indicator</w:t>
            </w:r>
          </w:p>
        </w:tc>
        <w:tc>
          <w:tcPr>
            <w:tcW w:w="1355"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Parameters</w:t>
            </w:r>
          </w:p>
        </w:tc>
        <w:tc>
          <w:tcPr>
            <w:tcW w:w="805" w:type="pct"/>
            <w:shd w:val="clear" w:color="auto" w:fill="C2D69B" w:themeFill="accent3" w:themeFillTint="99"/>
            <w:vAlign w:val="center"/>
          </w:tcPr>
          <w:p w:rsidR="007F2F9C" w:rsidRPr="001629E9" w:rsidRDefault="007F2F9C" w:rsidP="00EA0111">
            <w:pPr>
              <w:spacing w:after="0" w:line="240" w:lineRule="auto"/>
              <w:ind w:left="29"/>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collection tools/Method</w:t>
            </w:r>
          </w:p>
        </w:tc>
        <w:tc>
          <w:tcPr>
            <w:tcW w:w="649" w:type="pct"/>
            <w:gridSpan w:val="2"/>
            <w:shd w:val="clear" w:color="auto" w:fill="C2D69B" w:themeFill="accent3" w:themeFillTint="99"/>
            <w:vAlign w:val="center"/>
          </w:tcPr>
          <w:p w:rsidR="007F2F9C" w:rsidRPr="001629E9" w:rsidRDefault="007F2F9C" w:rsidP="00EA0111">
            <w:pPr>
              <w:spacing w:after="0" w:line="240" w:lineRule="auto"/>
              <w:ind w:left="90"/>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Frequency of data collection</w:t>
            </w:r>
          </w:p>
        </w:tc>
        <w:tc>
          <w:tcPr>
            <w:tcW w:w="1072" w:type="pct"/>
            <w:shd w:val="clear" w:color="auto" w:fill="C2D69B" w:themeFill="accent3" w:themeFillTint="99"/>
            <w:vAlign w:val="center"/>
          </w:tcPr>
          <w:p w:rsidR="007F2F9C"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s</w:t>
            </w:r>
            <w:r w:rsidR="00616D24">
              <w:rPr>
                <w:rFonts w:eastAsia="Times New Roman" w:cs="Times New Roman"/>
                <w:b/>
                <w:bCs/>
                <w:iCs/>
                <w:color w:val="000000" w:themeColor="text1"/>
                <w:sz w:val="18"/>
                <w:szCs w:val="18"/>
                <w:lang w:eastAsia="en-GB"/>
              </w:rPr>
              <w:t>ources</w:t>
            </w:r>
            <w:r w:rsidRPr="001629E9">
              <w:rPr>
                <w:rFonts w:eastAsia="Times New Roman" w:cs="Times New Roman"/>
                <w:b/>
                <w:bCs/>
                <w:iCs/>
                <w:color w:val="000000" w:themeColor="text1"/>
                <w:sz w:val="18"/>
                <w:szCs w:val="18"/>
                <w:lang w:eastAsia="en-GB"/>
              </w:rPr>
              <w:t>/</w:t>
            </w:r>
          </w:p>
          <w:p w:rsidR="007F2F9C" w:rsidRPr="001629E9"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Responsible agencies</w:t>
            </w:r>
          </w:p>
        </w:tc>
      </w:tr>
      <w:tr w:rsidR="007F2F9C" w:rsidRPr="001629E9" w:rsidTr="00005EAC">
        <w:trPr>
          <w:trHeight w:val="20"/>
        </w:trPr>
        <w:tc>
          <w:tcPr>
            <w:tcW w:w="303"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3A</w:t>
            </w:r>
          </w:p>
        </w:tc>
        <w:tc>
          <w:tcPr>
            <w:tcW w:w="816"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Erosion along major rivers</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 xml:space="preserve">Satellite image </w:t>
            </w: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GIS and RS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 xml:space="preserve">Satellite image </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GIS and RS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cs="Times New Roman"/>
                <w:color w:val="000000" w:themeColor="text1"/>
                <w:sz w:val="18"/>
                <w:szCs w:val="18"/>
              </w:rPr>
            </w:pPr>
            <w:r w:rsidRPr="001629E9">
              <w:rPr>
                <w:rFonts w:eastAsia="Times New Roman" w:cs="Times New Roman"/>
                <w:bCs/>
                <w:color w:val="000000" w:themeColor="text1"/>
                <w:sz w:val="18"/>
                <w:szCs w:val="18"/>
                <w:lang w:eastAsia="en-GB"/>
              </w:rPr>
              <w:t>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 xml:space="preserve">Satellite image </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GIS and RS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cs="Times New Roman"/>
                <w:color w:val="000000" w:themeColor="text1"/>
                <w:sz w:val="18"/>
                <w:szCs w:val="18"/>
              </w:rPr>
            </w:pPr>
            <w:r w:rsidRPr="001629E9">
              <w:rPr>
                <w:rFonts w:eastAsia="Times New Roman" w:cs="Times New Roman"/>
                <w:bCs/>
                <w:color w:val="000000" w:themeColor="text1"/>
                <w:sz w:val="18"/>
                <w:szCs w:val="18"/>
                <w:lang w:eastAsia="en-GB"/>
              </w:rPr>
              <w:t>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 xml:space="preserve">Satellite image </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GIS and RS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cs="Times New Roman"/>
                <w:color w:val="000000" w:themeColor="text1"/>
                <w:sz w:val="18"/>
                <w:szCs w:val="18"/>
              </w:rPr>
            </w:pPr>
            <w:r w:rsidRPr="001629E9">
              <w:rPr>
                <w:rFonts w:eastAsia="Times New Roman" w:cs="Times New Roman"/>
                <w:bCs/>
                <w:color w:val="000000" w:themeColor="text1"/>
                <w:sz w:val="18"/>
                <w:szCs w:val="18"/>
                <w:lang w:eastAsia="en-GB"/>
              </w:rPr>
              <w:t>BWDB, CEGIS</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3B</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Area of reclaimed lands</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 xml:space="preserve">Satellite image </w:t>
            </w: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GIS and RS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cs="Times New Roman"/>
                <w:color w:val="000000" w:themeColor="text1"/>
                <w:sz w:val="18"/>
                <w:szCs w:val="18"/>
              </w:rPr>
            </w:pPr>
            <w:r w:rsidRPr="001629E9">
              <w:rPr>
                <w:rFonts w:eastAsia="Times New Roman" w:cs="Times New Roman"/>
                <w:bCs/>
                <w:color w:val="000000" w:themeColor="text1"/>
                <w:sz w:val="18"/>
                <w:szCs w:val="18"/>
                <w:lang w:eastAsia="en-GB"/>
              </w:rPr>
              <w:t>BWDB, CEGIS</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3C</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 xml:space="preserve">Developed areas from reclaimed areas </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p>
        </w:tc>
      </w:tr>
      <w:tr w:rsidR="007F2F9C" w:rsidRPr="001629E9" w:rsidTr="00005EAC">
        <w:trPr>
          <w:trHeight w:val="20"/>
        </w:trPr>
        <w:tc>
          <w:tcPr>
            <w:tcW w:w="5000" w:type="pct"/>
            <w:gridSpan w:val="7"/>
            <w:shd w:val="clear" w:color="000000" w:fill="EEECE1"/>
          </w:tcPr>
          <w:p w:rsidR="007F2F9C" w:rsidRPr="001629E9" w:rsidRDefault="007F2F9C" w:rsidP="00EA0111">
            <w:pPr>
              <w:spacing w:after="0" w:line="240" w:lineRule="auto"/>
              <w:ind w:left="117"/>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Goal 4: Conserve and preserve wetlands and ecosystems and promote their wise use</w:t>
            </w:r>
          </w:p>
        </w:tc>
      </w:tr>
      <w:tr w:rsidR="007F2F9C" w:rsidRPr="001629E9" w:rsidTr="00005EAC">
        <w:trPr>
          <w:trHeight w:val="20"/>
        </w:trPr>
        <w:tc>
          <w:tcPr>
            <w:tcW w:w="303"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No.</w:t>
            </w:r>
          </w:p>
        </w:tc>
        <w:tc>
          <w:tcPr>
            <w:tcW w:w="816"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Indicator</w:t>
            </w:r>
          </w:p>
        </w:tc>
        <w:tc>
          <w:tcPr>
            <w:tcW w:w="1355"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Parameters</w:t>
            </w:r>
          </w:p>
        </w:tc>
        <w:tc>
          <w:tcPr>
            <w:tcW w:w="805" w:type="pct"/>
            <w:shd w:val="clear" w:color="auto" w:fill="C2D69B" w:themeFill="accent3" w:themeFillTint="99"/>
            <w:vAlign w:val="center"/>
          </w:tcPr>
          <w:p w:rsidR="007F2F9C" w:rsidRPr="001629E9" w:rsidRDefault="007F2F9C" w:rsidP="00EA0111">
            <w:pPr>
              <w:spacing w:after="0" w:line="240" w:lineRule="auto"/>
              <w:ind w:left="29"/>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collection tools/Method</w:t>
            </w:r>
          </w:p>
        </w:tc>
        <w:tc>
          <w:tcPr>
            <w:tcW w:w="649" w:type="pct"/>
            <w:gridSpan w:val="2"/>
            <w:shd w:val="clear" w:color="auto" w:fill="C2D69B" w:themeFill="accent3" w:themeFillTint="99"/>
            <w:vAlign w:val="center"/>
          </w:tcPr>
          <w:p w:rsidR="007F2F9C" w:rsidRPr="001629E9" w:rsidRDefault="007F2F9C" w:rsidP="00EA0111">
            <w:pPr>
              <w:spacing w:after="0" w:line="240" w:lineRule="auto"/>
              <w:ind w:left="90"/>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Frequency of data collection</w:t>
            </w:r>
          </w:p>
        </w:tc>
        <w:tc>
          <w:tcPr>
            <w:tcW w:w="1072" w:type="pct"/>
            <w:shd w:val="clear" w:color="auto" w:fill="C2D69B" w:themeFill="accent3" w:themeFillTint="99"/>
            <w:vAlign w:val="center"/>
          </w:tcPr>
          <w:p w:rsidR="007F2F9C"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s</w:t>
            </w:r>
            <w:r w:rsidR="00616D24">
              <w:rPr>
                <w:rFonts w:eastAsia="Times New Roman" w:cs="Times New Roman"/>
                <w:b/>
                <w:bCs/>
                <w:iCs/>
                <w:color w:val="000000" w:themeColor="text1"/>
                <w:sz w:val="18"/>
                <w:szCs w:val="18"/>
                <w:lang w:eastAsia="en-GB"/>
              </w:rPr>
              <w:t xml:space="preserve">ources </w:t>
            </w:r>
            <w:r w:rsidRPr="001629E9">
              <w:rPr>
                <w:rFonts w:eastAsia="Times New Roman" w:cs="Times New Roman"/>
                <w:b/>
                <w:bCs/>
                <w:iCs/>
                <w:color w:val="000000" w:themeColor="text1"/>
                <w:sz w:val="18"/>
                <w:szCs w:val="18"/>
                <w:lang w:eastAsia="en-GB"/>
              </w:rPr>
              <w:t>/</w:t>
            </w:r>
          </w:p>
          <w:p w:rsidR="007F2F9C" w:rsidRPr="001629E9"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Responsible agencies</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4A</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Identified wetlands</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 xml:space="preserve">Satellite image </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GIS and RS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DBHWD, CEGIS</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4B</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Water related ecosystem sustainability</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p>
        </w:tc>
      </w:tr>
      <w:tr w:rsidR="007F2F9C" w:rsidRPr="001629E9" w:rsidTr="00005EAC">
        <w:trPr>
          <w:trHeight w:val="20"/>
        </w:trPr>
        <w:tc>
          <w:tcPr>
            <w:tcW w:w="303"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4C</w:t>
            </w:r>
          </w:p>
        </w:tc>
        <w:tc>
          <w:tcPr>
            <w:tcW w:w="816"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Habitat protection</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Satellite image</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GIS and RS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DoF,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Satellite image</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GIS and RS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DoF,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Satellite image</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GIS and RS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DoF, CEGIS</w:t>
            </w:r>
          </w:p>
        </w:tc>
      </w:tr>
      <w:tr w:rsidR="007F2F9C" w:rsidRPr="001629E9" w:rsidTr="00005EAC">
        <w:trPr>
          <w:trHeight w:val="20"/>
        </w:trPr>
        <w:tc>
          <w:tcPr>
            <w:tcW w:w="5000" w:type="pct"/>
            <w:gridSpan w:val="7"/>
            <w:shd w:val="clear" w:color="000000" w:fill="EEECE1"/>
          </w:tcPr>
          <w:p w:rsidR="007F2F9C" w:rsidRPr="001629E9" w:rsidRDefault="007F2F9C" w:rsidP="00EA0111">
            <w:pPr>
              <w:spacing w:after="0" w:line="240" w:lineRule="auto"/>
              <w:ind w:left="117"/>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Goal 5: Develop effective institutions and equitable governance for intra and trans-boundary water resources management</w:t>
            </w:r>
          </w:p>
        </w:tc>
      </w:tr>
      <w:tr w:rsidR="007F2F9C" w:rsidRPr="001629E9" w:rsidTr="00005EAC">
        <w:trPr>
          <w:trHeight w:val="20"/>
        </w:trPr>
        <w:tc>
          <w:tcPr>
            <w:tcW w:w="303"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No.</w:t>
            </w:r>
          </w:p>
        </w:tc>
        <w:tc>
          <w:tcPr>
            <w:tcW w:w="816"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Indicator</w:t>
            </w:r>
          </w:p>
        </w:tc>
        <w:tc>
          <w:tcPr>
            <w:tcW w:w="1355"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Parameters</w:t>
            </w:r>
          </w:p>
        </w:tc>
        <w:tc>
          <w:tcPr>
            <w:tcW w:w="805" w:type="pct"/>
            <w:shd w:val="clear" w:color="auto" w:fill="C2D69B" w:themeFill="accent3" w:themeFillTint="99"/>
            <w:vAlign w:val="center"/>
          </w:tcPr>
          <w:p w:rsidR="007F2F9C" w:rsidRPr="001629E9" w:rsidRDefault="007F2F9C" w:rsidP="00EA0111">
            <w:pPr>
              <w:spacing w:after="0" w:line="240" w:lineRule="auto"/>
              <w:ind w:left="29"/>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collection tools/Method</w:t>
            </w:r>
          </w:p>
        </w:tc>
        <w:tc>
          <w:tcPr>
            <w:tcW w:w="649" w:type="pct"/>
            <w:gridSpan w:val="2"/>
            <w:shd w:val="clear" w:color="auto" w:fill="C2D69B" w:themeFill="accent3" w:themeFillTint="99"/>
            <w:vAlign w:val="center"/>
          </w:tcPr>
          <w:p w:rsidR="007F2F9C" w:rsidRPr="001629E9" w:rsidRDefault="007F2F9C" w:rsidP="00EA0111">
            <w:pPr>
              <w:spacing w:after="0" w:line="240" w:lineRule="auto"/>
              <w:ind w:left="90"/>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Frequency of data collection</w:t>
            </w:r>
          </w:p>
        </w:tc>
        <w:tc>
          <w:tcPr>
            <w:tcW w:w="1072" w:type="pct"/>
            <w:shd w:val="clear" w:color="auto" w:fill="C2D69B" w:themeFill="accent3" w:themeFillTint="99"/>
            <w:vAlign w:val="center"/>
          </w:tcPr>
          <w:p w:rsidR="007F2F9C" w:rsidRPr="001629E9"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s</w:t>
            </w:r>
            <w:r w:rsidR="00616D24">
              <w:rPr>
                <w:rFonts w:eastAsia="Times New Roman" w:cs="Times New Roman"/>
                <w:b/>
                <w:bCs/>
                <w:iCs/>
                <w:color w:val="000000" w:themeColor="text1"/>
                <w:sz w:val="18"/>
                <w:szCs w:val="18"/>
                <w:lang w:eastAsia="en-GB"/>
              </w:rPr>
              <w:t xml:space="preserve">ources and </w:t>
            </w:r>
            <w:r w:rsidRPr="001629E9">
              <w:rPr>
                <w:rFonts w:eastAsia="Times New Roman" w:cs="Times New Roman"/>
                <w:b/>
                <w:bCs/>
                <w:iCs/>
                <w:color w:val="000000" w:themeColor="text1"/>
                <w:sz w:val="18"/>
                <w:szCs w:val="18"/>
                <w:lang w:eastAsia="en-GB"/>
              </w:rPr>
              <w:t>/Responsible agencies</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5A</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Rural people with adequate capacity for WRM</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 xml:space="preserve">Population data, Information on participatory WRM </w:t>
            </w: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Data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BWDB, CEGIS</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5C</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Equitable share of water among users</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ind w:hanging="275"/>
              <w:rPr>
                <w:rFonts w:eastAsia="Times New Roman" w:cs="Times New Roman"/>
                <w:bCs/>
                <w:color w:val="000000" w:themeColor="text1"/>
                <w:sz w:val="18"/>
                <w:szCs w:val="18"/>
                <w:lang w:eastAsia="en-GB"/>
              </w:rPr>
            </w:pP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5D</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Adequate monitoring mechanism</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ind w:hanging="275"/>
              <w:rPr>
                <w:rFonts w:eastAsia="Times New Roman" w:cs="Times New Roman"/>
                <w:color w:val="000000" w:themeColor="text1"/>
                <w:sz w:val="18"/>
                <w:szCs w:val="18"/>
                <w:lang w:eastAsia="en-GB"/>
              </w:rPr>
            </w:pP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5E</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O&amp;M budgeting</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Budget allocation (ADP)</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Data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ind w:hanging="275"/>
              <w:rPr>
                <w:rFonts w:eastAsia="Times New Roman" w:cs="Times New Roman"/>
                <w:color w:val="000000" w:themeColor="text1"/>
                <w:sz w:val="18"/>
                <w:szCs w:val="18"/>
                <w:lang w:eastAsia="en-GB"/>
              </w:rPr>
            </w:pPr>
          </w:p>
        </w:tc>
      </w:tr>
      <w:tr w:rsidR="007F2F9C" w:rsidRPr="001629E9" w:rsidTr="00005EAC">
        <w:trPr>
          <w:trHeight w:val="20"/>
        </w:trPr>
        <w:tc>
          <w:tcPr>
            <w:tcW w:w="5000" w:type="pct"/>
            <w:gridSpan w:val="7"/>
            <w:shd w:val="clear" w:color="000000" w:fill="EEECE1"/>
          </w:tcPr>
          <w:p w:rsidR="007F2F9C" w:rsidRPr="001629E9" w:rsidRDefault="007F2F9C" w:rsidP="00EA0111">
            <w:pPr>
              <w:spacing w:after="0" w:line="240" w:lineRule="auto"/>
              <w:ind w:left="117"/>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Goal 6: Achieve optimal use of land and water</w:t>
            </w:r>
          </w:p>
        </w:tc>
      </w:tr>
      <w:tr w:rsidR="007F2F9C" w:rsidRPr="001629E9" w:rsidTr="00005EAC">
        <w:trPr>
          <w:trHeight w:val="20"/>
        </w:trPr>
        <w:tc>
          <w:tcPr>
            <w:tcW w:w="303"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No.</w:t>
            </w:r>
          </w:p>
        </w:tc>
        <w:tc>
          <w:tcPr>
            <w:tcW w:w="816"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Indicator</w:t>
            </w:r>
          </w:p>
        </w:tc>
        <w:tc>
          <w:tcPr>
            <w:tcW w:w="1355" w:type="pct"/>
            <w:shd w:val="clear" w:color="auto" w:fill="C2D69B" w:themeFill="accent3" w:themeFillTint="99"/>
            <w:vAlign w:val="center"/>
          </w:tcPr>
          <w:p w:rsidR="007F2F9C" w:rsidRPr="001629E9" w:rsidRDefault="007F2F9C" w:rsidP="00EA0111">
            <w:pPr>
              <w:spacing w:after="0" w:line="240" w:lineRule="auto"/>
              <w:ind w:left="117"/>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Parameters</w:t>
            </w:r>
          </w:p>
        </w:tc>
        <w:tc>
          <w:tcPr>
            <w:tcW w:w="805" w:type="pct"/>
            <w:shd w:val="clear" w:color="auto" w:fill="C2D69B" w:themeFill="accent3" w:themeFillTint="99"/>
            <w:vAlign w:val="center"/>
          </w:tcPr>
          <w:p w:rsidR="007F2F9C" w:rsidRPr="001629E9" w:rsidRDefault="007F2F9C" w:rsidP="00EA0111">
            <w:pPr>
              <w:spacing w:after="0" w:line="240" w:lineRule="auto"/>
              <w:ind w:left="29"/>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collection tools/Method</w:t>
            </w:r>
          </w:p>
        </w:tc>
        <w:tc>
          <w:tcPr>
            <w:tcW w:w="649" w:type="pct"/>
            <w:gridSpan w:val="2"/>
            <w:shd w:val="clear" w:color="auto" w:fill="C2D69B" w:themeFill="accent3" w:themeFillTint="99"/>
            <w:vAlign w:val="center"/>
          </w:tcPr>
          <w:p w:rsidR="007F2F9C" w:rsidRPr="001629E9" w:rsidRDefault="007F2F9C" w:rsidP="00EA0111">
            <w:pPr>
              <w:spacing w:after="0" w:line="240" w:lineRule="auto"/>
              <w:ind w:left="90"/>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Frequency of data collection</w:t>
            </w:r>
          </w:p>
        </w:tc>
        <w:tc>
          <w:tcPr>
            <w:tcW w:w="1072" w:type="pct"/>
            <w:shd w:val="clear" w:color="auto" w:fill="C2D69B" w:themeFill="accent3" w:themeFillTint="99"/>
            <w:vAlign w:val="center"/>
          </w:tcPr>
          <w:p w:rsidR="007F2F9C" w:rsidRPr="001629E9" w:rsidRDefault="007F2F9C" w:rsidP="00EA0111">
            <w:pPr>
              <w:spacing w:after="0" w:line="240" w:lineRule="auto"/>
              <w:jc w:val="center"/>
              <w:rPr>
                <w:rFonts w:eastAsia="Times New Roman" w:cs="Times New Roman"/>
                <w:b/>
                <w:bCs/>
                <w:iCs/>
                <w:color w:val="000000" w:themeColor="text1"/>
                <w:sz w:val="18"/>
                <w:szCs w:val="18"/>
                <w:lang w:eastAsia="en-GB"/>
              </w:rPr>
            </w:pPr>
            <w:r w:rsidRPr="001629E9">
              <w:rPr>
                <w:rFonts w:eastAsia="Times New Roman" w:cs="Times New Roman"/>
                <w:b/>
                <w:bCs/>
                <w:iCs/>
                <w:color w:val="000000" w:themeColor="text1"/>
                <w:sz w:val="18"/>
                <w:szCs w:val="18"/>
                <w:lang w:eastAsia="en-GB"/>
              </w:rPr>
              <w:t>Data s</w:t>
            </w:r>
            <w:r w:rsidR="00616D24">
              <w:rPr>
                <w:rFonts w:eastAsia="Times New Roman" w:cs="Times New Roman"/>
                <w:b/>
                <w:bCs/>
                <w:iCs/>
                <w:color w:val="000000" w:themeColor="text1"/>
                <w:sz w:val="18"/>
                <w:szCs w:val="18"/>
                <w:lang w:eastAsia="en-GB"/>
              </w:rPr>
              <w:t>ources</w:t>
            </w:r>
            <w:r w:rsidRPr="001629E9">
              <w:rPr>
                <w:rFonts w:eastAsia="Times New Roman" w:cs="Times New Roman"/>
                <w:b/>
                <w:bCs/>
                <w:iCs/>
                <w:color w:val="000000" w:themeColor="text1"/>
                <w:sz w:val="18"/>
                <w:szCs w:val="18"/>
                <w:lang w:eastAsia="en-GB"/>
              </w:rPr>
              <w:t>/</w:t>
            </w:r>
            <w:r>
              <w:rPr>
                <w:rFonts w:eastAsia="Times New Roman" w:cs="Times New Roman"/>
                <w:b/>
                <w:bCs/>
                <w:iCs/>
                <w:color w:val="000000" w:themeColor="text1"/>
                <w:sz w:val="18"/>
                <w:szCs w:val="18"/>
                <w:lang w:eastAsia="en-GB"/>
              </w:rPr>
              <w:t xml:space="preserve"> </w:t>
            </w:r>
            <w:r w:rsidRPr="001629E9">
              <w:rPr>
                <w:rFonts w:eastAsia="Times New Roman" w:cs="Times New Roman"/>
                <w:b/>
                <w:bCs/>
                <w:iCs/>
                <w:color w:val="000000" w:themeColor="text1"/>
                <w:sz w:val="18"/>
                <w:szCs w:val="18"/>
                <w:lang w:eastAsia="en-GB"/>
              </w:rPr>
              <w:t>Responsible agencies</w:t>
            </w:r>
          </w:p>
        </w:tc>
      </w:tr>
      <w:tr w:rsidR="007F2F9C" w:rsidRPr="001629E9" w:rsidTr="00005EAC">
        <w:trPr>
          <w:trHeight w:val="20"/>
        </w:trPr>
        <w:tc>
          <w:tcPr>
            <w:tcW w:w="303"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6C</w:t>
            </w:r>
          </w:p>
        </w:tc>
        <w:tc>
          <w:tcPr>
            <w:tcW w:w="816"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Flood control, drainage and irrigation capacity</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Information on FCDI schemes</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Information on FCDI schemes</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Information on FCDI schemes</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Information on FCDI schemes</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Information on FCDI schemes</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Information on FCDI schemes</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BWDB, CEGIS</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Information on FCDI schemes</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BWDB, CEGIS</w:t>
            </w:r>
          </w:p>
        </w:tc>
      </w:tr>
      <w:tr w:rsidR="007F2F9C" w:rsidRPr="001629E9" w:rsidTr="00005EAC">
        <w:trPr>
          <w:trHeight w:val="20"/>
        </w:trPr>
        <w:tc>
          <w:tcPr>
            <w:tcW w:w="303"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6D</w:t>
            </w:r>
          </w:p>
        </w:tc>
        <w:tc>
          <w:tcPr>
            <w:tcW w:w="816"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Sectoral use of water</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Information on surface water used for irrigation</w:t>
            </w: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Data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BADC, BIDS, BWDB</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Information on ground water used for irrigation</w:t>
            </w: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Data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BADC, BIDS, BWDB, BMDA</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Information on domestic water use</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Data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WASAs, City Corporations, Pourashavas, DPHE</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No. of industry and their water use</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Data analysis</w:t>
            </w:r>
          </w:p>
        </w:tc>
        <w:tc>
          <w:tcPr>
            <w:tcW w:w="649" w:type="pct"/>
            <w:gridSpan w:val="2"/>
          </w:tcPr>
          <w:p w:rsidR="007F2F9C" w:rsidRPr="001629E9" w:rsidRDefault="007F2F9C" w:rsidP="00EA0111">
            <w:pPr>
              <w:spacing w:after="0" w:line="240" w:lineRule="auto"/>
              <w:ind w:left="90"/>
              <w:rPr>
                <w:rFonts w:eastAsia="Times New Roman" w:cs="Times New Roman"/>
                <w:bCs/>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bCs/>
                <w:color w:val="000000" w:themeColor="text1"/>
                <w:sz w:val="18"/>
                <w:szCs w:val="18"/>
                <w:lang w:eastAsia="en-GB"/>
              </w:rPr>
              <w:t>BADC, BIDS, DoE</w:t>
            </w:r>
          </w:p>
        </w:tc>
      </w:tr>
      <w:tr w:rsidR="007F2F9C" w:rsidRPr="001629E9" w:rsidTr="00005EAC">
        <w:trPr>
          <w:trHeight w:val="20"/>
        </w:trPr>
        <w:tc>
          <w:tcPr>
            <w:tcW w:w="303"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6E</w:t>
            </w:r>
          </w:p>
        </w:tc>
        <w:tc>
          <w:tcPr>
            <w:tcW w:w="816" w:type="pc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 xml:space="preserve">Connectivity of rivers and </w:t>
            </w:r>
            <w:r w:rsidR="00F82BA1">
              <w:rPr>
                <w:rFonts w:eastAsia="Times New Roman" w:cs="Times New Roman"/>
                <w:color w:val="000000" w:themeColor="text1"/>
                <w:sz w:val="18"/>
                <w:szCs w:val="18"/>
                <w:lang w:eastAsia="en-GB"/>
              </w:rPr>
              <w:t>canals</w:t>
            </w:r>
          </w:p>
        </w:tc>
        <w:tc>
          <w:tcPr>
            <w:tcW w:w="1355" w:type="pct"/>
          </w:tcPr>
          <w:p w:rsidR="007F2F9C" w:rsidRPr="001629E9" w:rsidRDefault="007F2F9C" w:rsidP="00EA0111">
            <w:pPr>
              <w:spacing w:after="0" w:line="240" w:lineRule="auto"/>
              <w:ind w:left="117"/>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Satellite image</w:t>
            </w:r>
          </w:p>
        </w:tc>
        <w:tc>
          <w:tcPr>
            <w:tcW w:w="805" w:type="pct"/>
          </w:tcPr>
          <w:p w:rsidR="007F2F9C" w:rsidRPr="001629E9" w:rsidRDefault="007F2F9C" w:rsidP="00EA0111">
            <w:pPr>
              <w:spacing w:after="0" w:line="240" w:lineRule="auto"/>
              <w:ind w:left="29"/>
              <w:rPr>
                <w:rFonts w:eastAsia="Times New Roman" w:cs="Times New Roman"/>
                <w:bCs/>
                <w:color w:val="000000" w:themeColor="text1"/>
                <w:sz w:val="18"/>
                <w:szCs w:val="18"/>
                <w:lang w:eastAsia="en-GB"/>
              </w:rPr>
            </w:pPr>
            <w:r w:rsidRPr="001629E9">
              <w:rPr>
                <w:rFonts w:eastAsia="Times New Roman" w:cs="Times New Roman"/>
                <w:bCs/>
                <w:color w:val="000000" w:themeColor="text1"/>
                <w:sz w:val="18"/>
                <w:szCs w:val="18"/>
                <w:lang w:eastAsia="en-GB"/>
              </w:rPr>
              <w:t>Satellite image analysis using remote sensing and 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color w:val="000000" w:themeColor="text1"/>
                <w:sz w:val="18"/>
                <w:szCs w:val="18"/>
                <w:lang w:eastAsia="en-GB"/>
              </w:rPr>
              <w:t>DBHWD, CEGIS</w:t>
            </w:r>
          </w:p>
        </w:tc>
      </w:tr>
      <w:tr w:rsidR="007F2F9C" w:rsidRPr="001629E9" w:rsidTr="00005EAC">
        <w:trPr>
          <w:trHeight w:val="20"/>
        </w:trPr>
        <w:tc>
          <w:tcPr>
            <w:tcW w:w="303"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6F</w:t>
            </w:r>
          </w:p>
        </w:tc>
        <w:tc>
          <w:tcPr>
            <w:tcW w:w="816" w:type="pct"/>
            <w:vMerge w:val="restart"/>
            <w:shd w:val="clear" w:color="auto" w:fill="auto"/>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Navigation capacity</w:t>
            </w: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River network, Navigation route network, Water Level, Cross section</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BIWTA</w:t>
            </w:r>
          </w:p>
        </w:tc>
      </w:tr>
      <w:tr w:rsidR="007F2F9C" w:rsidRPr="001629E9" w:rsidTr="00005EAC">
        <w:trPr>
          <w:trHeight w:val="20"/>
        </w:trPr>
        <w:tc>
          <w:tcPr>
            <w:tcW w:w="303"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816" w:type="pct"/>
            <w:vMerge/>
            <w:vAlign w:val="center"/>
            <w:hideMark/>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p>
        </w:tc>
        <w:tc>
          <w:tcPr>
            <w:tcW w:w="1355" w:type="pct"/>
          </w:tcPr>
          <w:p w:rsidR="007F2F9C" w:rsidRPr="001629E9" w:rsidRDefault="007F2F9C" w:rsidP="00EA0111">
            <w:pPr>
              <w:spacing w:after="0" w:line="240" w:lineRule="auto"/>
              <w:ind w:left="117"/>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River network, Navigation route network, Water Level, Cross section</w:t>
            </w:r>
          </w:p>
        </w:tc>
        <w:tc>
          <w:tcPr>
            <w:tcW w:w="805" w:type="pct"/>
          </w:tcPr>
          <w:p w:rsidR="007F2F9C" w:rsidRPr="001629E9" w:rsidRDefault="007F2F9C" w:rsidP="00EA0111">
            <w:pPr>
              <w:spacing w:after="0" w:line="240" w:lineRule="auto"/>
              <w:ind w:left="29"/>
              <w:rPr>
                <w:rFonts w:eastAsia="Times New Roman" w:cs="Times New Roman"/>
                <w:color w:val="000000" w:themeColor="text1"/>
                <w:sz w:val="18"/>
                <w:szCs w:val="18"/>
                <w:lang w:eastAsia="en-GB"/>
              </w:rPr>
            </w:pPr>
            <w:r w:rsidRPr="001629E9">
              <w:rPr>
                <w:rFonts w:eastAsia="Times New Roman" w:cs="Times New Roman"/>
                <w:color w:val="000000" w:themeColor="text1"/>
                <w:sz w:val="18"/>
                <w:szCs w:val="18"/>
                <w:lang w:eastAsia="en-GB"/>
              </w:rPr>
              <w:t>GIS analysis</w:t>
            </w:r>
          </w:p>
        </w:tc>
        <w:tc>
          <w:tcPr>
            <w:tcW w:w="649" w:type="pct"/>
            <w:gridSpan w:val="2"/>
          </w:tcPr>
          <w:p w:rsidR="007F2F9C" w:rsidRPr="001629E9" w:rsidRDefault="007F2F9C" w:rsidP="00EA0111">
            <w:pPr>
              <w:spacing w:after="0" w:line="240" w:lineRule="auto"/>
              <w:ind w:left="90"/>
              <w:rPr>
                <w:rFonts w:eastAsia="Times New Roman" w:cs="Times New Roman"/>
                <w:color w:val="000000" w:themeColor="text1"/>
                <w:sz w:val="18"/>
                <w:szCs w:val="18"/>
                <w:lang w:eastAsia="en-GB"/>
              </w:rPr>
            </w:pPr>
          </w:p>
        </w:tc>
        <w:tc>
          <w:tcPr>
            <w:tcW w:w="1072" w:type="pct"/>
          </w:tcPr>
          <w:p w:rsidR="007F2F9C" w:rsidRPr="001629E9" w:rsidRDefault="007F2F9C" w:rsidP="00EA0111">
            <w:pPr>
              <w:spacing w:after="0" w:line="240" w:lineRule="auto"/>
              <w:rPr>
                <w:rFonts w:eastAsia="Times New Roman" w:cs="Times New Roman"/>
                <w:bCs/>
                <w:color w:val="000000" w:themeColor="text1"/>
                <w:sz w:val="18"/>
                <w:szCs w:val="18"/>
                <w:lang w:eastAsia="en-GB"/>
              </w:rPr>
            </w:pPr>
            <w:r w:rsidRPr="001629E9">
              <w:rPr>
                <w:rFonts w:eastAsia="Times New Roman" w:cs="Times New Roman"/>
                <w:color w:val="000000" w:themeColor="text1"/>
                <w:sz w:val="18"/>
                <w:szCs w:val="18"/>
                <w:lang w:eastAsia="en-GB"/>
              </w:rPr>
              <w:t>BIWTA</w:t>
            </w:r>
          </w:p>
        </w:tc>
      </w:tr>
    </w:tbl>
    <w:p w:rsidR="00F634CD" w:rsidRPr="00F634CD" w:rsidRDefault="00F634CD" w:rsidP="00F634CD">
      <w:bookmarkStart w:id="923" w:name="_Toc265677090"/>
      <w:bookmarkStart w:id="924" w:name="_Toc451687638"/>
      <w:bookmarkStart w:id="925" w:name="_Toc265677082"/>
    </w:p>
    <w:p w:rsidR="00F64A6A" w:rsidRDefault="007F2F9C" w:rsidP="00F64A6A">
      <w:pPr>
        <w:pStyle w:val="Heading2"/>
        <w:numPr>
          <w:ilvl w:val="0"/>
          <w:numId w:val="0"/>
        </w:numPr>
        <w:ind w:left="1080"/>
      </w:pPr>
      <w:bookmarkStart w:id="926" w:name="_Toc474638955"/>
      <w:r w:rsidRPr="00D61807">
        <w:t xml:space="preserve">Reporting </w:t>
      </w:r>
      <w:bookmarkEnd w:id="923"/>
      <w:bookmarkEnd w:id="924"/>
      <w:bookmarkEnd w:id="925"/>
      <w:r>
        <w:t>Results</w:t>
      </w:r>
      <w:bookmarkEnd w:id="926"/>
    </w:p>
    <w:p w:rsidR="007F2F9C" w:rsidRDefault="007F2F9C" w:rsidP="004B0A08">
      <w:pPr>
        <w:spacing w:line="276" w:lineRule="auto"/>
        <w:jc w:val="both"/>
        <w:rPr>
          <w:rFonts w:cs="Times New Roman"/>
          <w:szCs w:val="24"/>
        </w:rPr>
      </w:pPr>
      <w:r>
        <w:rPr>
          <w:rFonts w:cs="Times New Roman"/>
          <w:szCs w:val="24"/>
        </w:rPr>
        <w:t>The M&amp;E effort can only be beneficial if it is widely disseminated and is used for policy making.  The institutional arrangements for BDP2100 implem</w:t>
      </w:r>
      <w:r w:rsidR="003E112E">
        <w:rPr>
          <w:rFonts w:cs="Times New Roman"/>
          <w:szCs w:val="24"/>
        </w:rPr>
        <w:t>entation discussed in Chapter 12</w:t>
      </w:r>
      <w:r>
        <w:rPr>
          <w:rFonts w:cs="Times New Roman"/>
          <w:szCs w:val="24"/>
        </w:rPr>
        <w:t xml:space="preserve"> lays out clearly the accountabilities and coordination mechanisms for the Delta Pla</w:t>
      </w:r>
      <w:r w:rsidR="00ED3FC6">
        <w:rPr>
          <w:rFonts w:cs="Times New Roman"/>
          <w:szCs w:val="24"/>
        </w:rPr>
        <w:t xml:space="preserve">n.  The M&amp;E is prepared by the Delta </w:t>
      </w:r>
      <w:r w:rsidR="00561476">
        <w:rPr>
          <w:rFonts w:cs="Times New Roman"/>
          <w:szCs w:val="24"/>
        </w:rPr>
        <w:t xml:space="preserve">Commission </w:t>
      </w:r>
      <w:r>
        <w:rPr>
          <w:rFonts w:cs="Times New Roman"/>
          <w:szCs w:val="24"/>
        </w:rPr>
        <w:t xml:space="preserve">in consultation with other delta agencies and local water bodies.  It will be useful to have wider consultations with other stakeholders including business sector, the research institutions and the NGOs.  This final draft should go to the NDC chaired by the Prime Minister for approval.  Once done, the Delta Commission should use this to inform the   next update of the Delta Plan. The final document should be put on the website of the Delta Commission for wider dissemination and use by </w:t>
      </w:r>
      <w:r w:rsidR="00C35D17">
        <w:rPr>
          <w:rFonts w:cs="Times New Roman"/>
          <w:szCs w:val="24"/>
        </w:rPr>
        <w:t xml:space="preserve">the general </w:t>
      </w:r>
      <w:r w:rsidR="000B096E">
        <w:t>public</w:t>
      </w:r>
      <w:r w:rsidR="00C35D17">
        <w:rPr>
          <w:rFonts w:cs="Times New Roman"/>
          <w:szCs w:val="24"/>
        </w:rPr>
        <w:t xml:space="preserve"> and media</w:t>
      </w:r>
    </w:p>
    <w:p w:rsidR="00F64A6A" w:rsidRDefault="00DE608B" w:rsidP="00F64A6A">
      <w:pPr>
        <w:pStyle w:val="Heading2"/>
        <w:numPr>
          <w:ilvl w:val="0"/>
          <w:numId w:val="0"/>
        </w:numPr>
        <w:ind w:left="1080"/>
      </w:pPr>
      <w:bookmarkStart w:id="927" w:name="_Toc474638956"/>
      <w:r>
        <w:t>BDP2100 Accountability</w:t>
      </w:r>
      <w:bookmarkEnd w:id="927"/>
      <w:r>
        <w:t xml:space="preserve"> </w:t>
      </w:r>
    </w:p>
    <w:p w:rsidR="00DE608B" w:rsidRPr="00231061" w:rsidRDefault="00DE608B" w:rsidP="004B0A08">
      <w:pPr>
        <w:jc w:val="both"/>
        <w:rPr>
          <w:rFonts w:cs="Segoe UI"/>
          <w:szCs w:val="19"/>
        </w:rPr>
      </w:pPr>
      <w:r w:rsidRPr="00231061">
        <w:rPr>
          <w:rFonts w:cs="Segoe UI"/>
          <w:szCs w:val="19"/>
        </w:rPr>
        <w:t>As BDP2100 will adopt results based monitoring, its accountability will also be results based. While the DRF of the BDP2100 described above will form the backbone of this accountability, several specific actions are suggested.</w:t>
      </w:r>
    </w:p>
    <w:p w:rsidR="00000000" w:rsidRDefault="008C02FA" w:rsidP="003D5A31">
      <w:pPr>
        <w:pStyle w:val="ListParagraph"/>
        <w:numPr>
          <w:ilvl w:val="0"/>
          <w:numId w:val="181"/>
        </w:numPr>
        <w:spacing w:after="40" w:line="276" w:lineRule="auto"/>
        <w:rPr>
          <w:rFonts w:cs="Segoe UI"/>
          <w:szCs w:val="19"/>
        </w:rPr>
      </w:pPr>
      <w:r w:rsidRPr="00231061">
        <w:rPr>
          <w:rFonts w:cs="Segoe UI"/>
          <w:szCs w:val="19"/>
        </w:rPr>
        <w:t>The Delta Commission is required to submit to the Prime Minister a</w:t>
      </w:r>
      <w:r w:rsidR="0079268B">
        <w:rPr>
          <w:rFonts w:cs="Segoe UI"/>
          <w:szCs w:val="19"/>
        </w:rPr>
        <w:t>n</w:t>
      </w:r>
      <w:r w:rsidRPr="00231061">
        <w:rPr>
          <w:rFonts w:cs="Segoe UI"/>
          <w:szCs w:val="19"/>
        </w:rPr>
        <w:t xml:space="preserve"> </w:t>
      </w:r>
      <w:r w:rsidR="0079268B">
        <w:rPr>
          <w:rFonts w:cs="Segoe UI"/>
          <w:szCs w:val="19"/>
        </w:rPr>
        <w:t>annual</w:t>
      </w:r>
      <w:r w:rsidR="0079268B" w:rsidRPr="00231061">
        <w:rPr>
          <w:rFonts w:cs="Segoe UI"/>
          <w:szCs w:val="19"/>
        </w:rPr>
        <w:t xml:space="preserve"> </w:t>
      </w:r>
      <w:r w:rsidRPr="00231061">
        <w:rPr>
          <w:rFonts w:cs="Segoe UI"/>
          <w:szCs w:val="19"/>
        </w:rPr>
        <w:t xml:space="preserve">Report called the ‘State of the Bangladesh Delta’. </w:t>
      </w:r>
    </w:p>
    <w:p w:rsidR="00000000" w:rsidRDefault="008C02FA" w:rsidP="003D5A31">
      <w:pPr>
        <w:pStyle w:val="ListParagraph"/>
        <w:numPr>
          <w:ilvl w:val="0"/>
          <w:numId w:val="181"/>
        </w:numPr>
        <w:spacing w:after="40" w:line="276" w:lineRule="auto"/>
        <w:rPr>
          <w:rFonts w:cs="Segoe UI"/>
          <w:szCs w:val="19"/>
        </w:rPr>
      </w:pPr>
      <w:r w:rsidRPr="00231061">
        <w:rPr>
          <w:rFonts w:cs="Segoe UI"/>
          <w:szCs w:val="19"/>
        </w:rPr>
        <w:t>Delta Commission will maintain a website to report progress and problems in both Bangla and English languages.</w:t>
      </w:r>
    </w:p>
    <w:p w:rsidR="00000000" w:rsidRDefault="008C02FA" w:rsidP="003D5A31">
      <w:pPr>
        <w:pStyle w:val="ListParagraph"/>
        <w:numPr>
          <w:ilvl w:val="0"/>
          <w:numId w:val="181"/>
        </w:numPr>
        <w:spacing w:after="40" w:line="276" w:lineRule="auto"/>
        <w:rPr>
          <w:rFonts w:cs="Segoe UI"/>
          <w:szCs w:val="19"/>
        </w:rPr>
      </w:pPr>
      <w:r w:rsidRPr="00231061">
        <w:rPr>
          <w:rFonts w:cs="Segoe UI"/>
          <w:szCs w:val="19"/>
        </w:rPr>
        <w:t>The website will contain a feedback mechanism to receive comments/suggestions from community or any government and non-government agencies.</w:t>
      </w:r>
    </w:p>
    <w:p w:rsidR="00000000" w:rsidRDefault="008C02FA" w:rsidP="003D5A31">
      <w:pPr>
        <w:pStyle w:val="ListParagraph"/>
        <w:numPr>
          <w:ilvl w:val="0"/>
          <w:numId w:val="181"/>
        </w:numPr>
        <w:spacing w:after="40" w:line="276" w:lineRule="auto"/>
        <w:rPr>
          <w:rFonts w:cs="Segoe UI"/>
          <w:szCs w:val="19"/>
        </w:rPr>
      </w:pPr>
      <w:r w:rsidRPr="00231061">
        <w:rPr>
          <w:rFonts w:cs="Segoe UI"/>
          <w:szCs w:val="19"/>
        </w:rPr>
        <w:t xml:space="preserve">Delta Commission is answerable to questions raised by Honourable Members of Parliament (MPs) in Jatiya Sangshad. Its activities are also discussed in the meetings of relevant Parliamentary Standing Committees. </w:t>
      </w:r>
    </w:p>
    <w:p w:rsidR="00000000" w:rsidRDefault="008C02FA" w:rsidP="003D5A31">
      <w:pPr>
        <w:pStyle w:val="ListParagraph"/>
        <w:numPr>
          <w:ilvl w:val="0"/>
          <w:numId w:val="181"/>
        </w:numPr>
        <w:spacing w:after="40" w:line="276" w:lineRule="auto"/>
        <w:rPr>
          <w:rFonts w:cs="Segoe UI"/>
          <w:szCs w:val="19"/>
        </w:rPr>
      </w:pPr>
      <w:r w:rsidRPr="00231061">
        <w:rPr>
          <w:rFonts w:cs="Segoe UI"/>
          <w:szCs w:val="19"/>
        </w:rPr>
        <w:t>Implementation of both BDP2100 (Delta Commission) and individual projects are audited by the Comptroller and Auditor General (CAG) of Bangladesh.</w:t>
      </w:r>
    </w:p>
    <w:p w:rsidR="00000000" w:rsidRDefault="008C02FA" w:rsidP="003D5A31">
      <w:pPr>
        <w:pStyle w:val="ListParagraph"/>
        <w:numPr>
          <w:ilvl w:val="0"/>
          <w:numId w:val="181"/>
        </w:numPr>
        <w:spacing w:after="40" w:line="276" w:lineRule="auto"/>
        <w:rPr>
          <w:rFonts w:cs="Segoe UI"/>
          <w:szCs w:val="19"/>
        </w:rPr>
      </w:pPr>
      <w:r w:rsidRPr="00231061">
        <w:rPr>
          <w:rFonts w:cs="Segoe UI"/>
          <w:szCs w:val="19"/>
        </w:rPr>
        <w:t>Delta Commission will maintain ‘information centres’ at national and divisional levels.</w:t>
      </w:r>
    </w:p>
    <w:p w:rsidR="00000000" w:rsidRDefault="008C02FA" w:rsidP="003D5A31">
      <w:pPr>
        <w:pStyle w:val="ListParagraph"/>
        <w:numPr>
          <w:ilvl w:val="0"/>
          <w:numId w:val="181"/>
        </w:numPr>
        <w:spacing w:after="40" w:line="276" w:lineRule="auto"/>
        <w:rPr>
          <w:rFonts w:cs="Segoe UI"/>
          <w:szCs w:val="19"/>
        </w:rPr>
      </w:pPr>
      <w:r w:rsidRPr="00231061">
        <w:rPr>
          <w:rFonts w:cs="Segoe UI"/>
          <w:szCs w:val="19"/>
        </w:rPr>
        <w:t xml:space="preserve">There is a representative from Civil Society in the Delta Governance Council. </w:t>
      </w:r>
    </w:p>
    <w:p w:rsidR="008C02FA" w:rsidRPr="003910C8" w:rsidRDefault="008C02FA" w:rsidP="008C02FA">
      <w:pPr>
        <w:rPr>
          <w:color w:val="FF0000"/>
        </w:rPr>
      </w:pPr>
    </w:p>
    <w:p w:rsidR="008C02FA" w:rsidRPr="00DE608B" w:rsidRDefault="008C02FA" w:rsidP="004B0A08"/>
    <w:p w:rsidR="00DE608B" w:rsidRDefault="00DE608B" w:rsidP="007F2F9C">
      <w:pPr>
        <w:jc w:val="both"/>
        <w:rPr>
          <w:rFonts w:cs="Times New Roman"/>
          <w:szCs w:val="24"/>
        </w:rPr>
        <w:sectPr w:rsidR="00DE608B" w:rsidSect="00144771">
          <w:headerReference w:type="even" r:id="rId215"/>
          <w:headerReference w:type="default" r:id="rId216"/>
          <w:footerReference w:type="default" r:id="rId217"/>
          <w:headerReference w:type="first" r:id="rId218"/>
          <w:pgSz w:w="12240" w:h="15840" w:code="1"/>
          <w:pgMar w:top="1440" w:right="1440" w:bottom="1440" w:left="1440" w:header="720" w:footer="432" w:gutter="0"/>
          <w:cols w:space="720"/>
          <w:docGrid w:linePitch="360"/>
        </w:sectPr>
      </w:pPr>
    </w:p>
    <w:p w:rsidR="007F2F9C" w:rsidRPr="00A650CE" w:rsidRDefault="00A650CE" w:rsidP="00A650CE">
      <w:pPr>
        <w:pStyle w:val="Title"/>
        <w:pBdr>
          <w:bottom w:val="single" w:sz="8" w:space="7" w:color="4F81BD" w:themeColor="accent1"/>
        </w:pBdr>
        <w:spacing w:after="360"/>
        <w:jc w:val="center"/>
        <w:rPr>
          <w:rFonts w:cs="Times New Roman"/>
          <w:b/>
          <w:color w:val="1F497D" w:themeColor="text2"/>
          <w:szCs w:val="36"/>
        </w:rPr>
      </w:pPr>
      <w:bookmarkStart w:id="928" w:name="_Toc474638957"/>
      <w:r>
        <w:rPr>
          <w:rFonts w:cs="Times New Roman"/>
          <w:b/>
          <w:color w:val="1F497D" w:themeColor="text2"/>
          <w:szCs w:val="36"/>
        </w:rPr>
        <w:t>CHAPTER 14</w:t>
      </w:r>
      <w:bookmarkEnd w:id="928"/>
    </w:p>
    <w:p w:rsidR="007F2F9C" w:rsidRDefault="007F2F9C" w:rsidP="008C0601">
      <w:pPr>
        <w:pStyle w:val="Heading1"/>
      </w:pPr>
      <w:bookmarkStart w:id="929" w:name="_Toc474638958"/>
      <w:r w:rsidRPr="003412BC">
        <w:t>Delta Knowledge Hub and Data Management</w:t>
      </w:r>
      <w:bookmarkEnd w:id="929"/>
    </w:p>
    <w:p w:rsidR="00D23983" w:rsidRPr="00D23983" w:rsidRDefault="00D23983" w:rsidP="00D23983">
      <w:pPr>
        <w:rPr>
          <w:sz w:val="2"/>
        </w:rPr>
      </w:pPr>
    </w:p>
    <w:p w:rsidR="00F64A6A" w:rsidRDefault="007F2F9C" w:rsidP="00F64A6A">
      <w:pPr>
        <w:pStyle w:val="Heading2"/>
        <w:numPr>
          <w:ilvl w:val="0"/>
          <w:numId w:val="0"/>
        </w:numPr>
        <w:ind w:left="1080"/>
      </w:pPr>
      <w:bookmarkStart w:id="930" w:name="_Toc474638959"/>
      <w:r>
        <w:t>Role of Knowledge in Delta Management</w:t>
      </w:r>
      <w:bookmarkEnd w:id="930"/>
    </w:p>
    <w:p w:rsidR="007F2F9C" w:rsidRDefault="007F2F9C" w:rsidP="00A86115">
      <w:pPr>
        <w:spacing w:line="276" w:lineRule="auto"/>
        <w:jc w:val="both"/>
        <w:rPr>
          <w:rFonts w:cs="Times New Roman"/>
          <w:szCs w:val="24"/>
        </w:rPr>
      </w:pPr>
      <w:r w:rsidRPr="00AD3CB3">
        <w:rPr>
          <w:rFonts w:cs="Times New Roman"/>
          <w:szCs w:val="24"/>
        </w:rPr>
        <w:t>The adaptive nature of delta management puts knowledge at a premium.  Faced with considerable uncertainties about key variables that affect future climate change behavior and the</w:t>
      </w:r>
      <w:r>
        <w:rPr>
          <w:rFonts w:cs="Times New Roman"/>
          <w:szCs w:val="24"/>
        </w:rPr>
        <w:t>ir</w:t>
      </w:r>
      <w:r w:rsidRPr="00AD3CB3">
        <w:rPr>
          <w:rFonts w:cs="Times New Roman"/>
          <w:szCs w:val="24"/>
        </w:rPr>
        <w:t xml:space="preserve"> implications for changing delta strategy and policies</w:t>
      </w:r>
      <w:r>
        <w:rPr>
          <w:rFonts w:cs="Times New Roman"/>
          <w:szCs w:val="24"/>
        </w:rPr>
        <w:t>, availability of data and analysis of past and projected behavior of climate change, the expected pattern of weather related natural events, knowledge of global climate change and analysis, and regional experiences will all play important roles in guiding future strategies and policies. Without an adequate knowledge base consisting of relevant national, regional and global climate change and response behavior it will be very difficult to formulate proper strategies and policy options.</w:t>
      </w:r>
    </w:p>
    <w:p w:rsidR="007F2F9C" w:rsidRDefault="007F2F9C" w:rsidP="00A86115">
      <w:pPr>
        <w:spacing w:line="276" w:lineRule="auto"/>
        <w:jc w:val="both"/>
        <w:rPr>
          <w:rFonts w:cs="Times New Roman"/>
          <w:szCs w:val="24"/>
        </w:rPr>
      </w:pPr>
      <w:r>
        <w:rPr>
          <w:rFonts w:cs="Times New Roman"/>
          <w:szCs w:val="24"/>
        </w:rPr>
        <w:t xml:space="preserve">The </w:t>
      </w:r>
      <w:r w:rsidR="00497088">
        <w:rPr>
          <w:rFonts w:cs="Times New Roman"/>
          <w:szCs w:val="24"/>
        </w:rPr>
        <w:t xml:space="preserve">best </w:t>
      </w:r>
      <w:r>
        <w:rPr>
          <w:rFonts w:cs="Times New Roman"/>
          <w:szCs w:val="24"/>
        </w:rPr>
        <w:t xml:space="preserve">practice </w:t>
      </w:r>
      <w:r w:rsidR="00FB34B0">
        <w:rPr>
          <w:rFonts w:cs="Times New Roman"/>
          <w:szCs w:val="24"/>
        </w:rPr>
        <w:t xml:space="preserve">international </w:t>
      </w:r>
      <w:r>
        <w:rPr>
          <w:rFonts w:cs="Times New Roman"/>
          <w:szCs w:val="24"/>
        </w:rPr>
        <w:t>delta management experience</w:t>
      </w:r>
      <w:r w:rsidR="00FB34B0">
        <w:rPr>
          <w:rFonts w:cs="Times New Roman"/>
          <w:szCs w:val="24"/>
        </w:rPr>
        <w:t>s</w:t>
      </w:r>
      <w:r>
        <w:rPr>
          <w:rFonts w:cs="Times New Roman"/>
          <w:szCs w:val="24"/>
        </w:rPr>
        <w:t xml:space="preserve"> clearly </w:t>
      </w:r>
      <w:r w:rsidR="00EA4E38">
        <w:rPr>
          <w:rFonts w:cs="Times New Roman"/>
          <w:szCs w:val="24"/>
        </w:rPr>
        <w:t>establish</w:t>
      </w:r>
      <w:r>
        <w:rPr>
          <w:rFonts w:cs="Times New Roman"/>
          <w:szCs w:val="24"/>
        </w:rPr>
        <w:t xml:space="preserve"> the important role of knowledge, research and innovation. These three are inter-linked and require strong investment in all three areas in order to implement a sound adaptive delta management. The Dutch experience also shows the need for </w:t>
      </w:r>
      <w:r w:rsidR="000B096E">
        <w:t>public</w:t>
      </w:r>
      <w:r>
        <w:rPr>
          <w:rFonts w:cs="Times New Roman"/>
          <w:szCs w:val="24"/>
        </w:rPr>
        <w:t xml:space="preserve">- private partnerships. Universities and research institutions as well as many private sector organisations, have a wealth of technical expertise and knowledge capabilities that can be tapped for strengthening and enriching the Delta Knowledge agenda.  Yet another important lesson is the need for inter-ministerial and institutional coordination within the </w:t>
      </w:r>
      <w:r w:rsidR="000B096E">
        <w:t xml:space="preserve">public </w:t>
      </w:r>
      <w:r>
        <w:rPr>
          <w:rFonts w:cs="Times New Roman"/>
          <w:szCs w:val="24"/>
        </w:rPr>
        <w:t>knowledge institutions.</w:t>
      </w:r>
    </w:p>
    <w:p w:rsidR="00FB34B0" w:rsidRPr="00F337AD" w:rsidRDefault="00FB34B0" w:rsidP="00FB34B0">
      <w:pPr>
        <w:spacing w:line="276" w:lineRule="auto"/>
        <w:jc w:val="both"/>
      </w:pPr>
      <w:r w:rsidRPr="00F337AD">
        <w:t xml:space="preserve">The Bangladesh Delta Plan 2100 should be continuously science and knowledge driven. </w:t>
      </w:r>
      <w:r w:rsidRPr="00F337AD">
        <w:rPr>
          <w:iCs/>
        </w:rPr>
        <w:t xml:space="preserve">Formulation of the Knowledge Management Approach needs to be anchored in the Delta Vision and Goals as formulated earlier. </w:t>
      </w:r>
      <w:r w:rsidRPr="00F337AD">
        <w:t xml:space="preserve">Therefore, the targets of the BDP 2100 Knowledge Management approach are crosscutting with respect to achieving the 6 Delta targets and are: </w:t>
      </w:r>
    </w:p>
    <w:p w:rsidR="00000000" w:rsidRDefault="00FB34B0" w:rsidP="003D5A31">
      <w:pPr>
        <w:numPr>
          <w:ilvl w:val="0"/>
          <w:numId w:val="182"/>
        </w:numPr>
        <w:spacing w:after="40" w:line="276" w:lineRule="auto"/>
        <w:jc w:val="both"/>
        <w:rPr>
          <w:rFonts w:cs="Segoe UI"/>
          <w:szCs w:val="19"/>
        </w:rPr>
      </w:pPr>
      <w:r w:rsidRPr="00F337AD">
        <w:rPr>
          <w:rFonts w:cs="Segoe UI"/>
          <w:szCs w:val="19"/>
        </w:rPr>
        <w:t>Initiate and Coordinate Delta related knowledge generation towards implementation of the Delta Plan (coordination of knowledge elicitation, programming and implementation);</w:t>
      </w:r>
    </w:p>
    <w:p w:rsidR="00000000" w:rsidRDefault="00FB34B0" w:rsidP="003D5A31">
      <w:pPr>
        <w:numPr>
          <w:ilvl w:val="0"/>
          <w:numId w:val="182"/>
        </w:numPr>
        <w:spacing w:after="40" w:line="276" w:lineRule="auto"/>
        <w:jc w:val="both"/>
        <w:rPr>
          <w:rFonts w:cs="Segoe UI"/>
          <w:szCs w:val="19"/>
        </w:rPr>
      </w:pPr>
      <w:r w:rsidRPr="00F337AD">
        <w:rPr>
          <w:rFonts w:cs="Segoe UI"/>
          <w:szCs w:val="19"/>
        </w:rPr>
        <w:t>Inspire knowledge related partners by offering a platform for focused discussion on the science, knowledge and data needed to ensure long term water and food security, economic growth and environmental sustainability.</w:t>
      </w:r>
    </w:p>
    <w:p w:rsidR="00FB34B0" w:rsidRDefault="00FB34B0" w:rsidP="00FB34B0">
      <w:pPr>
        <w:spacing w:after="40" w:line="276" w:lineRule="auto"/>
        <w:jc w:val="both"/>
        <w:rPr>
          <w:rFonts w:cs="Segoe UI"/>
          <w:color w:val="FF0000"/>
          <w:szCs w:val="19"/>
        </w:rPr>
      </w:pPr>
    </w:p>
    <w:p w:rsidR="00FB34B0" w:rsidRPr="00F337AD" w:rsidRDefault="00FB34B0" w:rsidP="00FB34B0">
      <w:pPr>
        <w:spacing w:after="40" w:line="276" w:lineRule="auto"/>
        <w:jc w:val="both"/>
        <w:rPr>
          <w:rFonts w:cs="Segoe UI"/>
          <w:szCs w:val="19"/>
        </w:rPr>
      </w:pPr>
      <w:r w:rsidRPr="00F337AD">
        <w:rPr>
          <w:rFonts w:cs="Times New Roman"/>
          <w:szCs w:val="24"/>
        </w:rPr>
        <w:t>In relation with this, the objective</w:t>
      </w:r>
      <w:r>
        <w:rPr>
          <w:rFonts w:cs="Times New Roman"/>
          <w:szCs w:val="24"/>
        </w:rPr>
        <w:t>s</w:t>
      </w:r>
      <w:r w:rsidRPr="00F337AD">
        <w:rPr>
          <w:rFonts w:cs="Times New Roman"/>
          <w:szCs w:val="24"/>
        </w:rPr>
        <w:t xml:space="preserve"> of this chapter </w:t>
      </w:r>
      <w:r>
        <w:rPr>
          <w:rFonts w:cs="Times New Roman"/>
          <w:szCs w:val="24"/>
        </w:rPr>
        <w:t>are</w:t>
      </w:r>
      <w:r w:rsidRPr="00F337AD">
        <w:rPr>
          <w:rFonts w:cs="Times New Roman"/>
          <w:szCs w:val="24"/>
        </w:rPr>
        <w:t xml:space="preserve"> to:</w:t>
      </w:r>
    </w:p>
    <w:p w:rsidR="00000000" w:rsidRDefault="00FB34B0" w:rsidP="003D5A31">
      <w:pPr>
        <w:pStyle w:val="ListParagraph"/>
        <w:numPr>
          <w:ilvl w:val="0"/>
          <w:numId w:val="183"/>
        </w:numPr>
        <w:rPr>
          <w:rFonts w:cs="Times New Roman"/>
          <w:szCs w:val="24"/>
        </w:rPr>
      </w:pPr>
      <w:r w:rsidRPr="00F337AD">
        <w:rPr>
          <w:rFonts w:cs="Times New Roman"/>
          <w:szCs w:val="24"/>
        </w:rPr>
        <w:t xml:space="preserve">highlight the context and current aspects and practices of knowledge management relevant to Adaptive Delta Management, </w:t>
      </w:r>
    </w:p>
    <w:p w:rsidR="00000000" w:rsidRDefault="00FB34B0" w:rsidP="003D5A31">
      <w:pPr>
        <w:pStyle w:val="ListParagraph"/>
        <w:numPr>
          <w:ilvl w:val="0"/>
          <w:numId w:val="183"/>
        </w:numPr>
        <w:rPr>
          <w:rFonts w:cs="Times New Roman"/>
          <w:szCs w:val="24"/>
        </w:rPr>
      </w:pPr>
      <w:r w:rsidRPr="00F337AD">
        <w:rPr>
          <w:rFonts w:cs="Times New Roman"/>
          <w:szCs w:val="24"/>
        </w:rPr>
        <w:t>identify the main issues and elements for knowledge development strategy and knowledge agenda,</w:t>
      </w:r>
    </w:p>
    <w:p w:rsidR="00000000" w:rsidRDefault="00FB34B0" w:rsidP="003D5A31">
      <w:pPr>
        <w:pStyle w:val="ListParagraph"/>
        <w:numPr>
          <w:ilvl w:val="0"/>
          <w:numId w:val="183"/>
        </w:numPr>
        <w:rPr>
          <w:rFonts w:cs="Times New Roman"/>
          <w:szCs w:val="24"/>
        </w:rPr>
      </w:pPr>
      <w:r w:rsidRPr="00F337AD">
        <w:rPr>
          <w:rFonts w:cs="Times New Roman"/>
          <w:szCs w:val="24"/>
        </w:rPr>
        <w:t>highlight the strategy for developing the required knowledge management framework, and identify the main policy and institutional needs for implementing this Delta Knowledge Agenda which is meant to direct research investments and generate research programs.</w:t>
      </w:r>
    </w:p>
    <w:p w:rsidR="00F64A6A" w:rsidRDefault="0050037D" w:rsidP="00F64A6A">
      <w:pPr>
        <w:pStyle w:val="Heading2"/>
        <w:numPr>
          <w:ilvl w:val="0"/>
          <w:numId w:val="0"/>
        </w:numPr>
        <w:ind w:left="1080"/>
      </w:pPr>
      <w:bookmarkStart w:id="931" w:name="_Toc474638960"/>
      <w:r>
        <w:t xml:space="preserve">Context and Current Situation of </w:t>
      </w:r>
      <w:r w:rsidR="007F2F9C">
        <w:t xml:space="preserve">Delta Knowledge </w:t>
      </w:r>
      <w:r>
        <w:t xml:space="preserve">and Data </w:t>
      </w:r>
      <w:r w:rsidR="007F2F9C">
        <w:t>Management</w:t>
      </w:r>
      <w:bookmarkEnd w:id="931"/>
      <w:r w:rsidR="007F2F9C">
        <w:t xml:space="preserve"> </w:t>
      </w:r>
    </w:p>
    <w:p w:rsidR="00000000" w:rsidRDefault="0050037D" w:rsidP="003D5A31">
      <w:pPr>
        <w:pStyle w:val="BodyText"/>
        <w:numPr>
          <w:ilvl w:val="2"/>
          <w:numId w:val="249"/>
        </w:numPr>
        <w:spacing w:after="240" w:line="276" w:lineRule="auto"/>
        <w:jc w:val="both"/>
        <w:rPr>
          <w:rFonts w:cs="Times New Roman"/>
          <w:b/>
          <w:szCs w:val="24"/>
        </w:rPr>
      </w:pPr>
      <w:r w:rsidRPr="00F64E5E">
        <w:rPr>
          <w:rFonts w:cs="Times New Roman"/>
          <w:b/>
          <w:szCs w:val="24"/>
        </w:rPr>
        <w:t>Context of Delta Knowledge Management</w:t>
      </w:r>
    </w:p>
    <w:p w:rsidR="0050037D" w:rsidRPr="00F337AD" w:rsidRDefault="0050037D" w:rsidP="0050037D">
      <w:pPr>
        <w:jc w:val="both"/>
      </w:pPr>
      <w:r w:rsidRPr="00F337AD">
        <w:t xml:space="preserve">The comprehensive knowledge domains of delta issue as well as the adaptive nature of delta management emphasize the importance of knowledge and knowledge management and the requirement of a structured approach. Knowledge management is the process of capturing, generating, storing, disseminating and using or applying information and knowledge. Knowledge generation is about continuous identification of needs, creation of knowledge, transfer, combination, and conversion of the different types of knowledge, as involved actors practice, interact, and learn. Data are generally defined as raw facts and figures, information is viewed as a structured set of data, and knowledge is conceived of as meaningful information. </w:t>
      </w:r>
    </w:p>
    <w:p w:rsidR="0050037D" w:rsidRPr="00F337AD" w:rsidRDefault="0050037D" w:rsidP="0050037D">
      <w:pPr>
        <w:jc w:val="both"/>
      </w:pPr>
      <w:r w:rsidRPr="00F337AD">
        <w:t xml:space="preserve">Bangladesh Delta Plan is a ‘long-term, inter-sectoral, water-centric, techno-economic plan’ which will require an ongoing development of its scientific and practical knowledge basis. Formulation, implementation and maintenance of the Delta Plan in a manner that is science-based and data-informed will require vast amounts of knowledge, in forms accessible to diverse stakeholders. Knowledge on the Bangladesh delta is - like the rivers that it consists of - always changing. Delta knowledge will therefore require constant updating and development. </w:t>
      </w:r>
    </w:p>
    <w:p w:rsidR="0050037D" w:rsidRDefault="0050037D" w:rsidP="0050037D">
      <w:pPr>
        <w:jc w:val="both"/>
        <w:rPr>
          <w:rFonts w:cs="Segoe UI"/>
          <w:color w:val="FF0000"/>
          <w:szCs w:val="19"/>
        </w:rPr>
      </w:pPr>
      <w:r w:rsidRPr="00F337AD">
        <w:rPr>
          <w:rFonts w:cs="Segoe UI"/>
          <w:szCs w:val="19"/>
        </w:rPr>
        <w:t>Information and knowledge management is also one of the core elements of the governance mechanism of the Delta Plan 2100. Informed decision making is required to be based on well-structured knowledge management.</w:t>
      </w:r>
    </w:p>
    <w:p w:rsidR="0050037D" w:rsidRPr="00771279" w:rsidRDefault="00F64A6A" w:rsidP="00C84BF5">
      <w:pPr>
        <w:pStyle w:val="BodyText"/>
        <w:spacing w:after="140" w:line="269" w:lineRule="auto"/>
        <w:jc w:val="both"/>
        <w:rPr>
          <w:rFonts w:cs="Times New Roman"/>
          <w:b/>
          <w:szCs w:val="24"/>
        </w:rPr>
      </w:pPr>
      <w:r w:rsidRPr="00F64A6A">
        <w:rPr>
          <w:rFonts w:cs="Times New Roman"/>
          <w:b/>
          <w:szCs w:val="24"/>
        </w:rPr>
        <w:t>Situation Analysis</w:t>
      </w:r>
    </w:p>
    <w:p w:rsidR="007F2F9C" w:rsidRDefault="007F2F9C" w:rsidP="00C84BF5">
      <w:pPr>
        <w:pStyle w:val="BodyText"/>
        <w:spacing w:after="140" w:line="269" w:lineRule="auto"/>
        <w:jc w:val="both"/>
        <w:rPr>
          <w:rFonts w:cs="Times New Roman"/>
          <w:szCs w:val="24"/>
        </w:rPr>
      </w:pPr>
      <w:r w:rsidRPr="003412BC">
        <w:rPr>
          <w:rFonts w:cs="Times New Roman"/>
          <w:szCs w:val="24"/>
        </w:rPr>
        <w:t xml:space="preserve">Establishing, operating and managing a knowledge portal for the Bangladesh Delta Plan 2100 as a knowledge hub containing authentic and reliable data, information collected and generated by stakeholders working under the BDP 2100 or contributing to BD Plan 2100 implementation will be a challenging task. </w:t>
      </w:r>
      <w:r w:rsidRPr="00AB38D1">
        <w:rPr>
          <w:rFonts w:cs="Times New Roman"/>
          <w:szCs w:val="24"/>
        </w:rPr>
        <w:t>There is a need to differentiate between four areas of the knowledge agenda: (a) knowledge creation; (b) knowledge storage; (c) data updates (as different from knowledge creation based on research); and (d) knowledge sharing, dissemination</w:t>
      </w:r>
      <w:r>
        <w:rPr>
          <w:rFonts w:cs="Times New Roman"/>
          <w:szCs w:val="24"/>
        </w:rPr>
        <w:t xml:space="preserve"> and use</w:t>
      </w:r>
      <w:r w:rsidRPr="00AB38D1">
        <w:rPr>
          <w:rFonts w:cs="Times New Roman"/>
          <w:szCs w:val="24"/>
        </w:rPr>
        <w:t>.</w:t>
      </w:r>
    </w:p>
    <w:p w:rsidR="007F2F9C" w:rsidRPr="003412BC" w:rsidRDefault="007F2F9C" w:rsidP="00C84BF5">
      <w:pPr>
        <w:pStyle w:val="BodyText"/>
        <w:spacing w:after="140" w:line="269" w:lineRule="auto"/>
        <w:jc w:val="both"/>
        <w:rPr>
          <w:rFonts w:cs="Times New Roman"/>
          <w:szCs w:val="24"/>
        </w:rPr>
      </w:pPr>
      <w:r w:rsidRPr="00AB38D1">
        <w:rPr>
          <w:rFonts w:cs="Times New Roman"/>
          <w:szCs w:val="24"/>
        </w:rPr>
        <w:t xml:space="preserve">The key pillar is knowledge creation, which is formation of new </w:t>
      </w:r>
      <w:hyperlink r:id="rId219" w:history="1">
        <w:r w:rsidRPr="00AB38D1">
          <w:rPr>
            <w:rFonts w:cs="Times New Roman"/>
            <w:szCs w:val="24"/>
          </w:rPr>
          <w:t>ideas</w:t>
        </w:r>
      </w:hyperlink>
      <w:r w:rsidRPr="00AB38D1">
        <w:rPr>
          <w:rFonts w:cs="Times New Roman"/>
          <w:szCs w:val="24"/>
        </w:rPr>
        <w:t xml:space="preserve"> through interactions between explicit and tacit knowledge in individual human minds. As defined by Ikujiro</w:t>
      </w:r>
      <w:r>
        <w:rPr>
          <w:rFonts w:cs="Times New Roman"/>
          <w:szCs w:val="24"/>
        </w:rPr>
        <w:t xml:space="preserve"> </w:t>
      </w:r>
      <w:r w:rsidRPr="00AB38D1">
        <w:rPr>
          <w:rFonts w:cs="Times New Roman"/>
          <w:szCs w:val="24"/>
        </w:rPr>
        <w:t xml:space="preserve">Nonaka, it consists of </w:t>
      </w:r>
      <w:hyperlink r:id="rId220" w:history="1">
        <w:r w:rsidRPr="00AB38D1">
          <w:rPr>
            <w:rFonts w:cs="Times New Roman"/>
            <w:szCs w:val="24"/>
          </w:rPr>
          <w:t>socialization</w:t>
        </w:r>
      </w:hyperlink>
      <w:r w:rsidRPr="00AB38D1">
        <w:rPr>
          <w:rFonts w:cs="Times New Roman"/>
          <w:szCs w:val="24"/>
        </w:rPr>
        <w:t xml:space="preserve"> (tacit to tacit), externalization (tacit to explicit), </w:t>
      </w:r>
      <w:hyperlink r:id="rId221" w:history="1">
        <w:r w:rsidRPr="00AB38D1">
          <w:rPr>
            <w:rFonts w:cs="Times New Roman"/>
            <w:szCs w:val="24"/>
          </w:rPr>
          <w:t>combination</w:t>
        </w:r>
      </w:hyperlink>
      <w:r w:rsidRPr="00AB38D1">
        <w:rPr>
          <w:rFonts w:cs="Times New Roman"/>
          <w:szCs w:val="24"/>
        </w:rPr>
        <w:t xml:space="preserve"> (explicit to explicit), and </w:t>
      </w:r>
      <w:hyperlink r:id="rId222" w:history="1">
        <w:r w:rsidRPr="00AB38D1">
          <w:rPr>
            <w:rFonts w:cs="Times New Roman"/>
            <w:szCs w:val="24"/>
          </w:rPr>
          <w:t>internalization</w:t>
        </w:r>
      </w:hyperlink>
      <w:r w:rsidRPr="00AB38D1">
        <w:rPr>
          <w:rFonts w:cs="Times New Roman"/>
          <w:szCs w:val="24"/>
        </w:rPr>
        <w:t xml:space="preserve"> (explicit to tacit).</w:t>
      </w:r>
      <w:r w:rsidRPr="00AB38D1">
        <w:rPr>
          <w:rStyle w:val="FootnoteReference"/>
          <w:rFonts w:cs="Times New Roman"/>
          <w:szCs w:val="24"/>
        </w:rPr>
        <w:footnoteReference w:id="51"/>
      </w:r>
      <w:r w:rsidRPr="00AB38D1">
        <w:rPr>
          <w:rFonts w:cs="Times New Roman"/>
          <w:szCs w:val="24"/>
        </w:rPr>
        <w:t xml:space="preserve"> Knowledge creation is about c</w:t>
      </w:r>
      <w:r w:rsidR="00ED3FC6">
        <w:rPr>
          <w:rFonts w:cs="Times New Roman"/>
          <w:szCs w:val="24"/>
        </w:rPr>
        <w:t>ontinuous transfer, combination</w:t>
      </w:r>
      <w:r w:rsidRPr="00AB38D1">
        <w:rPr>
          <w:rFonts w:cs="Times New Roman"/>
          <w:szCs w:val="24"/>
        </w:rPr>
        <w:t xml:space="preserve"> and conversion of t</w:t>
      </w:r>
      <w:r w:rsidR="00ED3FC6">
        <w:rPr>
          <w:rFonts w:cs="Times New Roman"/>
          <w:szCs w:val="24"/>
        </w:rPr>
        <w:t>he different types of knowledge as users practice, interact</w:t>
      </w:r>
      <w:r w:rsidRPr="00AB38D1">
        <w:rPr>
          <w:rFonts w:cs="Times New Roman"/>
          <w:szCs w:val="24"/>
        </w:rPr>
        <w:t xml:space="preserve"> and learn.</w:t>
      </w:r>
      <w:r>
        <w:rPr>
          <w:rFonts w:cs="Times New Roman"/>
          <w:szCs w:val="24"/>
        </w:rPr>
        <w:t xml:space="preserve">  </w:t>
      </w:r>
      <w:r w:rsidRPr="00AB38D1">
        <w:rPr>
          <w:rFonts w:cs="Times New Roman"/>
          <w:szCs w:val="24"/>
        </w:rPr>
        <w:t>Data are defined as raw facts, information is viewed as an organized set of data, and knowledge is conceived of as meaningful information (Bhatt, 2001). Knowledge is rooted in information and information in turn originated from the data (Davenport &amp;</w:t>
      </w:r>
      <w:r>
        <w:rPr>
          <w:rFonts w:cs="Times New Roman"/>
          <w:szCs w:val="24"/>
        </w:rPr>
        <w:t xml:space="preserve"> </w:t>
      </w:r>
      <w:r w:rsidRPr="00AB38D1">
        <w:rPr>
          <w:rFonts w:cs="Times New Roman"/>
          <w:szCs w:val="24"/>
        </w:rPr>
        <w:t>Prusak, 2000). While information is descriptive, knowledge is eminently predictive (Argyris and Schön, 1996; Alipour et al, 2011). The process of capturing, generating, storing, disseminating and effectively using information and knowledge is called knowledge management.</w:t>
      </w:r>
    </w:p>
    <w:p w:rsidR="007F2F9C" w:rsidRDefault="007F2F9C" w:rsidP="00C84BF5">
      <w:pPr>
        <w:pStyle w:val="BodyText"/>
        <w:spacing w:after="140" w:line="269" w:lineRule="auto"/>
        <w:jc w:val="both"/>
        <w:rPr>
          <w:rFonts w:cs="Times New Roman"/>
          <w:szCs w:val="24"/>
        </w:rPr>
      </w:pPr>
      <w:r w:rsidRPr="003412BC">
        <w:rPr>
          <w:rFonts w:cs="Times New Roman"/>
          <w:szCs w:val="24"/>
        </w:rPr>
        <w:t xml:space="preserve">In Bangladesh, a huge amount of information - data / datasets, databases - are being continuously generated under different projects and studies undertaken by various government bodies </w:t>
      </w:r>
      <w:r>
        <w:rPr>
          <w:rFonts w:cs="Times New Roman"/>
          <w:szCs w:val="24"/>
        </w:rPr>
        <w:t xml:space="preserve">that have implications for the delta knowledge management </w:t>
      </w:r>
      <w:r w:rsidRPr="003412BC">
        <w:rPr>
          <w:rFonts w:cs="Times New Roman"/>
          <w:szCs w:val="24"/>
        </w:rPr>
        <w:t xml:space="preserve">(Table </w:t>
      </w:r>
      <w:r w:rsidR="000F5493">
        <w:rPr>
          <w:rFonts w:cs="Times New Roman"/>
          <w:szCs w:val="24"/>
        </w:rPr>
        <w:t>14.</w:t>
      </w:r>
      <w:r w:rsidRPr="003412BC">
        <w:rPr>
          <w:rFonts w:cs="Times New Roman"/>
          <w:szCs w:val="24"/>
        </w:rPr>
        <w:t>1).</w:t>
      </w:r>
    </w:p>
    <w:p w:rsidR="007F2F9C" w:rsidRPr="003412BC" w:rsidRDefault="007F2F9C" w:rsidP="00FD7FD3">
      <w:pPr>
        <w:pStyle w:val="Heading4"/>
      </w:pPr>
      <w:bookmarkStart w:id="932" w:name="_Toc474639155"/>
      <w:r w:rsidRPr="003412BC">
        <w:t xml:space="preserve">Table </w:t>
      </w:r>
      <w:r w:rsidR="000F5493">
        <w:t>14.</w:t>
      </w:r>
      <w:r w:rsidRPr="003412BC">
        <w:t xml:space="preserve">1: </w:t>
      </w:r>
      <w:r>
        <w:t xml:space="preserve">Delta-Related </w:t>
      </w:r>
      <w:r w:rsidRPr="003412BC">
        <w:t>Government Information Databases in Bangladesh</w:t>
      </w:r>
      <w:bookmarkEnd w:id="932"/>
    </w:p>
    <w:tbl>
      <w:tblPr>
        <w:tblStyle w:val="TableGrid"/>
        <w:tblW w:w="5000" w:type="pct"/>
        <w:jc w:val="center"/>
        <w:tblBorders>
          <w:insideH w:val="single" w:sz="6" w:space="0" w:color="auto"/>
          <w:insideV w:val="single" w:sz="6" w:space="0" w:color="auto"/>
        </w:tblBorders>
        <w:tblLook w:val="04A0"/>
      </w:tblPr>
      <w:tblGrid>
        <w:gridCol w:w="953"/>
        <w:gridCol w:w="7903"/>
      </w:tblGrid>
      <w:tr w:rsidR="007F2F9C" w:rsidRPr="00904980" w:rsidTr="00DD5523">
        <w:trPr>
          <w:trHeight w:val="20"/>
          <w:tblHeader/>
          <w:jc w:val="center"/>
        </w:trPr>
        <w:tc>
          <w:tcPr>
            <w:tcW w:w="538" w:type="pct"/>
          </w:tcPr>
          <w:p w:rsidR="007F2F9C" w:rsidRPr="00904980" w:rsidRDefault="007F2F9C" w:rsidP="00005EAC">
            <w:pPr>
              <w:spacing w:after="0" w:line="240" w:lineRule="auto"/>
              <w:rPr>
                <w:rFonts w:cs="Times New Roman"/>
                <w:b/>
                <w:bCs/>
                <w:sz w:val="16"/>
                <w:szCs w:val="24"/>
              </w:rPr>
            </w:pPr>
            <w:r w:rsidRPr="00904980">
              <w:rPr>
                <w:rFonts w:cs="Times New Roman"/>
                <w:b/>
                <w:bCs/>
                <w:sz w:val="16"/>
                <w:szCs w:val="24"/>
              </w:rPr>
              <w:t>No.</w:t>
            </w:r>
          </w:p>
        </w:tc>
        <w:tc>
          <w:tcPr>
            <w:tcW w:w="4462" w:type="pct"/>
          </w:tcPr>
          <w:p w:rsidR="007F2F9C" w:rsidRPr="00904980" w:rsidRDefault="007F2F9C" w:rsidP="00005EAC">
            <w:pPr>
              <w:spacing w:after="0" w:line="240" w:lineRule="auto"/>
              <w:rPr>
                <w:rFonts w:cs="Times New Roman"/>
                <w:b/>
                <w:bCs/>
                <w:sz w:val="16"/>
                <w:szCs w:val="24"/>
              </w:rPr>
            </w:pPr>
            <w:r w:rsidRPr="00904980">
              <w:rPr>
                <w:rFonts w:cs="Times New Roman"/>
                <w:b/>
                <w:bCs/>
                <w:sz w:val="16"/>
                <w:szCs w:val="24"/>
              </w:rPr>
              <w:t xml:space="preserve">Name </w:t>
            </w:r>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1</w:t>
            </w:r>
          </w:p>
        </w:tc>
        <w:tc>
          <w:tcPr>
            <w:tcW w:w="4462" w:type="pct"/>
          </w:tcPr>
          <w:p w:rsidR="007F2F9C" w:rsidRPr="00904980" w:rsidRDefault="007F2F9C" w:rsidP="00005EAC">
            <w:pPr>
              <w:spacing w:after="0" w:line="240" w:lineRule="auto"/>
              <w:rPr>
                <w:rFonts w:cs="Times New Roman"/>
                <w:sz w:val="16"/>
                <w:szCs w:val="20"/>
              </w:rPr>
            </w:pPr>
            <w:bookmarkStart w:id="933" w:name="_Toc439260521"/>
            <w:r w:rsidRPr="00904980">
              <w:rPr>
                <w:rFonts w:cs="Times New Roman"/>
                <w:sz w:val="16"/>
                <w:szCs w:val="20"/>
              </w:rPr>
              <w:t>National Water Resources Database</w:t>
            </w:r>
            <w:bookmarkEnd w:id="933"/>
            <w:r w:rsidRPr="00904980">
              <w:rPr>
                <w:rFonts w:cs="Times New Roman"/>
                <w:sz w:val="16"/>
                <w:szCs w:val="20"/>
              </w:rPr>
              <w:t xml:space="preserve"> (NWRD)</w:t>
            </w:r>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2</w:t>
            </w:r>
          </w:p>
        </w:tc>
        <w:tc>
          <w:tcPr>
            <w:tcW w:w="4462" w:type="pct"/>
          </w:tcPr>
          <w:p w:rsidR="007F2F9C" w:rsidRPr="00904980" w:rsidRDefault="007F2F9C" w:rsidP="00005EAC">
            <w:pPr>
              <w:spacing w:after="0" w:line="240" w:lineRule="auto"/>
              <w:rPr>
                <w:rFonts w:cs="Times New Roman"/>
                <w:sz w:val="16"/>
                <w:szCs w:val="20"/>
              </w:rPr>
            </w:pPr>
            <w:bookmarkStart w:id="934" w:name="_Toc439260522"/>
            <w:r w:rsidRPr="00904980">
              <w:rPr>
                <w:rFonts w:cs="Times New Roman"/>
                <w:sz w:val="16"/>
                <w:szCs w:val="20"/>
              </w:rPr>
              <w:t>Integrated Coastal Resources Database</w:t>
            </w:r>
            <w:bookmarkEnd w:id="934"/>
            <w:r w:rsidRPr="00904980">
              <w:rPr>
                <w:rFonts w:cs="Times New Roman"/>
                <w:sz w:val="16"/>
                <w:szCs w:val="20"/>
              </w:rPr>
              <w:t xml:space="preserve"> (ICRD)</w:t>
            </w:r>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3</w:t>
            </w:r>
          </w:p>
        </w:tc>
        <w:tc>
          <w:tcPr>
            <w:tcW w:w="4462" w:type="pct"/>
          </w:tcPr>
          <w:p w:rsidR="007F2F9C" w:rsidRPr="00904980" w:rsidRDefault="007F2F9C" w:rsidP="00005EAC">
            <w:pPr>
              <w:spacing w:after="0" w:line="240" w:lineRule="auto"/>
              <w:rPr>
                <w:rFonts w:cs="Times New Roman"/>
                <w:sz w:val="16"/>
                <w:szCs w:val="20"/>
              </w:rPr>
            </w:pPr>
            <w:bookmarkStart w:id="935" w:name="_Toc439260524"/>
            <w:r w:rsidRPr="00904980">
              <w:rPr>
                <w:rFonts w:cs="Times New Roman"/>
                <w:sz w:val="16"/>
                <w:szCs w:val="20"/>
              </w:rPr>
              <w:t>Integrated Haors&amp; Wetlands Resources Database</w:t>
            </w:r>
            <w:bookmarkEnd w:id="935"/>
            <w:r w:rsidRPr="00904980">
              <w:rPr>
                <w:rFonts w:cs="Times New Roman"/>
                <w:sz w:val="16"/>
                <w:szCs w:val="20"/>
              </w:rPr>
              <w:t xml:space="preserve"> (IHWRD)</w:t>
            </w:r>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4</w:t>
            </w:r>
          </w:p>
        </w:tc>
        <w:tc>
          <w:tcPr>
            <w:tcW w:w="4462" w:type="pct"/>
          </w:tcPr>
          <w:p w:rsidR="007F2F9C" w:rsidRPr="00904980" w:rsidRDefault="007F2F9C" w:rsidP="00005EAC">
            <w:pPr>
              <w:spacing w:after="0" w:line="240" w:lineRule="auto"/>
              <w:rPr>
                <w:rFonts w:cs="Times New Roman"/>
                <w:sz w:val="16"/>
                <w:szCs w:val="20"/>
              </w:rPr>
            </w:pPr>
            <w:bookmarkStart w:id="936" w:name="_Toc439260525"/>
            <w:r w:rsidRPr="00904980">
              <w:rPr>
                <w:rFonts w:cs="Times New Roman"/>
                <w:sz w:val="16"/>
                <w:szCs w:val="20"/>
              </w:rPr>
              <w:t>Bangladesh Water Development Board (BWDB)</w:t>
            </w:r>
            <w:bookmarkEnd w:id="936"/>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5</w:t>
            </w:r>
          </w:p>
        </w:tc>
        <w:tc>
          <w:tcPr>
            <w:tcW w:w="4462" w:type="pct"/>
          </w:tcPr>
          <w:p w:rsidR="007F2F9C" w:rsidRPr="00904980" w:rsidRDefault="007F2F9C" w:rsidP="00005EAC">
            <w:pPr>
              <w:spacing w:after="0" w:line="240" w:lineRule="auto"/>
              <w:rPr>
                <w:rFonts w:cs="Times New Roman"/>
                <w:sz w:val="16"/>
                <w:szCs w:val="20"/>
              </w:rPr>
            </w:pPr>
            <w:bookmarkStart w:id="937" w:name="_Toc439260526"/>
            <w:r w:rsidRPr="00904980">
              <w:rPr>
                <w:rFonts w:cs="Times New Roman"/>
                <w:sz w:val="16"/>
                <w:szCs w:val="20"/>
              </w:rPr>
              <w:t>Bangladesh Meteorological Department (BMD)</w:t>
            </w:r>
            <w:bookmarkEnd w:id="937"/>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6</w:t>
            </w:r>
          </w:p>
        </w:tc>
        <w:tc>
          <w:tcPr>
            <w:tcW w:w="4462" w:type="pct"/>
          </w:tcPr>
          <w:p w:rsidR="007F2F9C" w:rsidRPr="00904980" w:rsidRDefault="007F2F9C" w:rsidP="00005EAC">
            <w:pPr>
              <w:spacing w:after="0" w:line="240" w:lineRule="auto"/>
              <w:rPr>
                <w:rFonts w:cs="Times New Roman"/>
                <w:sz w:val="16"/>
                <w:szCs w:val="20"/>
              </w:rPr>
            </w:pPr>
            <w:bookmarkStart w:id="938" w:name="_Toc439260527"/>
            <w:r w:rsidRPr="00904980">
              <w:rPr>
                <w:rFonts w:cs="Times New Roman"/>
                <w:sz w:val="16"/>
                <w:szCs w:val="20"/>
              </w:rPr>
              <w:t>Bangladesh Bureau of Statistics (BBS)</w:t>
            </w:r>
            <w:bookmarkEnd w:id="938"/>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7</w:t>
            </w:r>
          </w:p>
        </w:tc>
        <w:tc>
          <w:tcPr>
            <w:tcW w:w="4462" w:type="pct"/>
          </w:tcPr>
          <w:p w:rsidR="007F2F9C" w:rsidRPr="00904980" w:rsidRDefault="007F2F9C" w:rsidP="00005EAC">
            <w:pPr>
              <w:spacing w:after="0" w:line="240" w:lineRule="auto"/>
              <w:rPr>
                <w:rFonts w:cs="Times New Roman"/>
                <w:sz w:val="16"/>
                <w:szCs w:val="20"/>
              </w:rPr>
            </w:pPr>
            <w:bookmarkStart w:id="939" w:name="_Toc439260528"/>
            <w:r w:rsidRPr="00904980">
              <w:rPr>
                <w:rFonts w:cs="Times New Roman"/>
                <w:sz w:val="16"/>
                <w:szCs w:val="20"/>
              </w:rPr>
              <w:t>Directorate of Land Record and Survey (DLRS)</w:t>
            </w:r>
            <w:bookmarkEnd w:id="939"/>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8</w:t>
            </w:r>
          </w:p>
        </w:tc>
        <w:tc>
          <w:tcPr>
            <w:tcW w:w="4462" w:type="pct"/>
          </w:tcPr>
          <w:p w:rsidR="007F2F9C" w:rsidRPr="00904980" w:rsidRDefault="007F2F9C" w:rsidP="00005EAC">
            <w:pPr>
              <w:spacing w:after="0" w:line="240" w:lineRule="auto"/>
              <w:rPr>
                <w:rFonts w:cs="Times New Roman"/>
                <w:sz w:val="16"/>
                <w:szCs w:val="20"/>
              </w:rPr>
            </w:pPr>
            <w:bookmarkStart w:id="940" w:name="_Toc439260529"/>
            <w:r w:rsidRPr="00904980">
              <w:rPr>
                <w:rFonts w:cs="Times New Roman"/>
                <w:sz w:val="16"/>
                <w:szCs w:val="20"/>
              </w:rPr>
              <w:t>Survey of Bangladesh (SOB)</w:t>
            </w:r>
            <w:bookmarkEnd w:id="940"/>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9</w:t>
            </w:r>
          </w:p>
        </w:tc>
        <w:tc>
          <w:tcPr>
            <w:tcW w:w="4462" w:type="pct"/>
          </w:tcPr>
          <w:p w:rsidR="007F2F9C" w:rsidRPr="00904980" w:rsidRDefault="007F2F9C" w:rsidP="00005EAC">
            <w:pPr>
              <w:spacing w:after="0" w:line="240" w:lineRule="auto"/>
              <w:rPr>
                <w:rFonts w:cs="Times New Roman"/>
                <w:sz w:val="16"/>
                <w:szCs w:val="20"/>
              </w:rPr>
            </w:pPr>
            <w:bookmarkStart w:id="941" w:name="_Toc439260530"/>
            <w:r w:rsidRPr="00904980">
              <w:rPr>
                <w:rFonts w:cs="Times New Roman"/>
                <w:sz w:val="16"/>
                <w:szCs w:val="20"/>
              </w:rPr>
              <w:t>Local Government Engineering Department (LGED)</w:t>
            </w:r>
            <w:bookmarkEnd w:id="941"/>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10</w:t>
            </w:r>
          </w:p>
        </w:tc>
        <w:tc>
          <w:tcPr>
            <w:tcW w:w="4462" w:type="pct"/>
          </w:tcPr>
          <w:p w:rsidR="007F2F9C" w:rsidRPr="00904980" w:rsidRDefault="007F2F9C" w:rsidP="00005EAC">
            <w:pPr>
              <w:spacing w:after="0" w:line="240" w:lineRule="auto"/>
              <w:rPr>
                <w:rFonts w:cs="Times New Roman"/>
                <w:sz w:val="16"/>
                <w:szCs w:val="20"/>
              </w:rPr>
            </w:pPr>
            <w:bookmarkStart w:id="942" w:name="_Toc439260531"/>
            <w:r w:rsidRPr="00904980">
              <w:rPr>
                <w:rFonts w:cs="Times New Roman"/>
                <w:sz w:val="16"/>
                <w:szCs w:val="20"/>
              </w:rPr>
              <w:t>Roads and Highways Department (RHD)</w:t>
            </w:r>
            <w:bookmarkEnd w:id="942"/>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11</w:t>
            </w:r>
          </w:p>
        </w:tc>
        <w:tc>
          <w:tcPr>
            <w:tcW w:w="4462" w:type="pct"/>
          </w:tcPr>
          <w:p w:rsidR="007F2F9C" w:rsidRPr="00904980" w:rsidRDefault="007F2F9C" w:rsidP="00005EAC">
            <w:pPr>
              <w:spacing w:after="0" w:line="240" w:lineRule="auto"/>
              <w:rPr>
                <w:rFonts w:cs="Times New Roman"/>
                <w:sz w:val="16"/>
                <w:szCs w:val="20"/>
              </w:rPr>
            </w:pPr>
            <w:bookmarkStart w:id="943" w:name="_Toc439260532"/>
            <w:r w:rsidRPr="00904980">
              <w:rPr>
                <w:rFonts w:cs="Times New Roman"/>
                <w:sz w:val="16"/>
                <w:szCs w:val="20"/>
              </w:rPr>
              <w:t>Department of Environment (DoE)</w:t>
            </w:r>
            <w:bookmarkEnd w:id="943"/>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12</w:t>
            </w:r>
          </w:p>
        </w:tc>
        <w:tc>
          <w:tcPr>
            <w:tcW w:w="4462" w:type="pct"/>
          </w:tcPr>
          <w:p w:rsidR="007F2F9C" w:rsidRPr="00904980" w:rsidRDefault="007F2F9C" w:rsidP="00005EAC">
            <w:pPr>
              <w:spacing w:after="0" w:line="240" w:lineRule="auto"/>
              <w:rPr>
                <w:rFonts w:cs="Times New Roman"/>
                <w:sz w:val="16"/>
                <w:szCs w:val="20"/>
              </w:rPr>
            </w:pPr>
            <w:bookmarkStart w:id="944" w:name="_Toc439260533"/>
            <w:r w:rsidRPr="00904980">
              <w:rPr>
                <w:rFonts w:cs="Times New Roman"/>
                <w:sz w:val="16"/>
                <w:szCs w:val="20"/>
              </w:rPr>
              <w:t>Soil Resource Development Institute (SRDI)</w:t>
            </w:r>
            <w:bookmarkEnd w:id="944"/>
          </w:p>
        </w:tc>
      </w:tr>
      <w:tr w:rsidR="007F2F9C" w:rsidRPr="00904980" w:rsidTr="00DD5523">
        <w:trPr>
          <w:trHeight w:val="20"/>
          <w:jc w:val="center"/>
        </w:trPr>
        <w:tc>
          <w:tcPr>
            <w:tcW w:w="538" w:type="pct"/>
          </w:tcPr>
          <w:p w:rsidR="007F2F9C" w:rsidRPr="00904980" w:rsidRDefault="007F2F9C" w:rsidP="00005EAC">
            <w:pPr>
              <w:spacing w:after="0" w:line="240" w:lineRule="auto"/>
              <w:jc w:val="center"/>
              <w:rPr>
                <w:rFonts w:cs="Times New Roman"/>
                <w:sz w:val="16"/>
                <w:szCs w:val="20"/>
              </w:rPr>
            </w:pPr>
            <w:r w:rsidRPr="00904980">
              <w:rPr>
                <w:rFonts w:cs="Times New Roman"/>
                <w:sz w:val="16"/>
                <w:szCs w:val="20"/>
              </w:rPr>
              <w:t>13</w:t>
            </w:r>
          </w:p>
        </w:tc>
        <w:tc>
          <w:tcPr>
            <w:tcW w:w="4462" w:type="pct"/>
          </w:tcPr>
          <w:p w:rsidR="007F2F9C" w:rsidRPr="00904980" w:rsidRDefault="007F2F9C" w:rsidP="00005EAC">
            <w:pPr>
              <w:spacing w:after="0" w:line="240" w:lineRule="auto"/>
              <w:rPr>
                <w:rFonts w:cs="Times New Roman"/>
                <w:sz w:val="16"/>
                <w:szCs w:val="20"/>
              </w:rPr>
            </w:pPr>
            <w:bookmarkStart w:id="945" w:name="_Toc439260534"/>
            <w:r w:rsidRPr="00904980">
              <w:rPr>
                <w:rFonts w:cs="Times New Roman"/>
                <w:sz w:val="16"/>
                <w:szCs w:val="20"/>
              </w:rPr>
              <w:t>Bangladesh Agricultural Research Council's (BARC)</w:t>
            </w:r>
            <w:bookmarkEnd w:id="945"/>
          </w:p>
        </w:tc>
      </w:tr>
    </w:tbl>
    <w:p w:rsidR="007F2F9C" w:rsidRPr="00904980" w:rsidRDefault="007F2F9C" w:rsidP="00DD5523">
      <w:pPr>
        <w:spacing w:line="240" w:lineRule="auto"/>
        <w:rPr>
          <w:rFonts w:cs="Times New Roman"/>
          <w:b/>
          <w:bCs/>
          <w:i/>
          <w:iCs/>
          <w:sz w:val="16"/>
          <w:szCs w:val="20"/>
        </w:rPr>
      </w:pPr>
      <w:bookmarkStart w:id="946" w:name="_Toc439260523"/>
      <w:r w:rsidRPr="00904980">
        <w:rPr>
          <w:rFonts w:cs="Times New Roman"/>
          <w:b/>
          <w:bCs/>
          <w:i/>
          <w:iCs/>
          <w:sz w:val="16"/>
          <w:szCs w:val="20"/>
        </w:rPr>
        <w:t>Sour</w:t>
      </w:r>
      <w:r w:rsidR="009D1C23" w:rsidRPr="00904980">
        <w:rPr>
          <w:rFonts w:cs="Times New Roman"/>
          <w:b/>
          <w:bCs/>
          <w:i/>
          <w:iCs/>
          <w:sz w:val="16"/>
          <w:szCs w:val="20"/>
        </w:rPr>
        <w:t>ce: Bangladesh Delta Plan 2100 Baseline Study</w:t>
      </w:r>
      <w:r w:rsidRPr="00904980">
        <w:rPr>
          <w:rFonts w:cs="Times New Roman"/>
          <w:b/>
          <w:bCs/>
          <w:i/>
          <w:iCs/>
          <w:sz w:val="16"/>
          <w:szCs w:val="20"/>
        </w:rPr>
        <w:t xml:space="preserve"> Information and Knowledge Management, 2015</w:t>
      </w:r>
    </w:p>
    <w:bookmarkEnd w:id="946"/>
    <w:p w:rsidR="007F2F9C" w:rsidRPr="00CB3380" w:rsidRDefault="007F2F9C" w:rsidP="00C84BF5">
      <w:pPr>
        <w:pStyle w:val="BodyText"/>
        <w:spacing w:after="240" w:line="269" w:lineRule="auto"/>
        <w:jc w:val="both"/>
        <w:rPr>
          <w:rFonts w:cs="Times New Roman"/>
          <w:szCs w:val="24"/>
        </w:rPr>
      </w:pPr>
      <w:r>
        <w:rPr>
          <w:rFonts w:cs="Times New Roman"/>
          <w:szCs w:val="24"/>
        </w:rPr>
        <w:t xml:space="preserve">The </w:t>
      </w:r>
      <w:r w:rsidRPr="00CB3380">
        <w:rPr>
          <w:rFonts w:cs="Times New Roman"/>
          <w:szCs w:val="24"/>
        </w:rPr>
        <w:t>National Water Resources Database (NWRD) has been developed by WARPO to help in the preparation of National Water Management Plan (NWMP). All national level information required for water resources planning are available in this database. Recently, WARPO has updated the database with current information under component 3B of the WMIP project. WARPO has also developed the Integrated Coastal Resources Database (ICRD) to provide information required for Integrated Coastal Zone Management Planning (ICZMP). This database contains all local level information related to the coastal area. It is also updated by WARPO under WMIP project. The Bangladesh Haor&amp; Wetlands Development Board (BHWDB) has developed Integrated Haors&amp; Wetlands Resources Database (IHWRD) during the preparation of Haor Master Plan. This database is enriched with the information from different sectors required to help and guide the planners in the development of Master Plan and harmonization of haor management activities by the different line agencies. CEGIS has developed a computer based Drought Assessment framework (DRAS) with active cooperation of Bangladesh Agriculture Research Council (BARC), which uses GIS and other analytical tools.</w:t>
      </w:r>
      <w:r>
        <w:rPr>
          <w:rStyle w:val="FootnoteReference"/>
          <w:rFonts w:cs="Times New Roman"/>
          <w:szCs w:val="24"/>
        </w:rPr>
        <w:footnoteReference w:id="52"/>
      </w:r>
    </w:p>
    <w:p w:rsidR="007F2F9C" w:rsidRPr="00AB38D1" w:rsidRDefault="007F2F9C" w:rsidP="00C84BF5">
      <w:pPr>
        <w:pStyle w:val="BodyText"/>
        <w:spacing w:after="240" w:line="269" w:lineRule="auto"/>
        <w:jc w:val="both"/>
        <w:rPr>
          <w:rFonts w:cs="Times New Roman"/>
          <w:szCs w:val="24"/>
        </w:rPr>
      </w:pPr>
      <w:r w:rsidRPr="00AB38D1">
        <w:rPr>
          <w:rFonts w:cs="Times New Roman"/>
          <w:szCs w:val="24"/>
        </w:rPr>
        <w:t xml:space="preserve">However, distinguishing data and information gathering from knowledge creation, there are several institutions in Bangladesh involved in the four areas mentioned above as documented in Table </w:t>
      </w:r>
      <w:r w:rsidR="000F5493">
        <w:rPr>
          <w:rFonts w:cs="Times New Roman"/>
          <w:szCs w:val="24"/>
        </w:rPr>
        <w:t>14.</w:t>
      </w:r>
      <w:r w:rsidRPr="00AB38D1">
        <w:rPr>
          <w:rFonts w:cs="Times New Roman"/>
          <w:szCs w:val="24"/>
        </w:rPr>
        <w:t>2 below.</w:t>
      </w:r>
    </w:p>
    <w:p w:rsidR="007F2F9C" w:rsidRPr="003412BC" w:rsidRDefault="007F2F9C" w:rsidP="00FD7FD3">
      <w:pPr>
        <w:pStyle w:val="Heading4"/>
      </w:pPr>
      <w:bookmarkStart w:id="947" w:name="_Toc474639156"/>
      <w:r w:rsidRPr="00AB38D1">
        <w:t xml:space="preserve">Table </w:t>
      </w:r>
      <w:r w:rsidR="000F5493">
        <w:t>14.</w:t>
      </w:r>
      <w:r w:rsidR="000B7CF9">
        <w:t>2: Institutions Involved in Knowledge Creation, Updating and D</w:t>
      </w:r>
      <w:r w:rsidRPr="00AB38D1">
        <w:t>issemination</w:t>
      </w:r>
      <w:bookmarkEnd w:id="947"/>
      <w:r w:rsidRPr="00AB38D1">
        <w:t xml:space="preserve"> </w:t>
      </w:r>
    </w:p>
    <w:tbl>
      <w:tblPr>
        <w:tblStyle w:val="TableGrid"/>
        <w:tblW w:w="5000" w:type="pct"/>
        <w:tblLook w:val="04A0"/>
      </w:tblPr>
      <w:tblGrid>
        <w:gridCol w:w="2386"/>
        <w:gridCol w:w="2157"/>
        <w:gridCol w:w="2157"/>
        <w:gridCol w:w="2156"/>
      </w:tblGrid>
      <w:tr w:rsidR="007F2F9C" w:rsidRPr="004205D2" w:rsidTr="000B7CF9">
        <w:trPr>
          <w:tblHeader/>
        </w:trPr>
        <w:tc>
          <w:tcPr>
            <w:tcW w:w="1347" w:type="pct"/>
          </w:tcPr>
          <w:p w:rsidR="007F2F9C" w:rsidRPr="004205D2" w:rsidRDefault="007F2F9C" w:rsidP="00005EAC">
            <w:pPr>
              <w:widowControl w:val="0"/>
              <w:autoSpaceDE w:val="0"/>
              <w:autoSpaceDN w:val="0"/>
              <w:adjustRightInd w:val="0"/>
              <w:spacing w:after="0" w:line="240" w:lineRule="auto"/>
              <w:rPr>
                <w:rFonts w:cs="Times New Roman"/>
                <w:b/>
                <w:sz w:val="20"/>
                <w:szCs w:val="20"/>
              </w:rPr>
            </w:pPr>
            <w:r>
              <w:rPr>
                <w:rFonts w:cs="Times New Roman"/>
                <w:b/>
                <w:sz w:val="20"/>
                <w:szCs w:val="20"/>
              </w:rPr>
              <w:t>a) K</w:t>
            </w:r>
            <w:r w:rsidRPr="004205D2">
              <w:rPr>
                <w:rFonts w:cs="Times New Roman"/>
                <w:b/>
                <w:sz w:val="20"/>
                <w:szCs w:val="20"/>
              </w:rPr>
              <w:t>nowledge creation</w:t>
            </w:r>
          </w:p>
        </w:tc>
        <w:tc>
          <w:tcPr>
            <w:tcW w:w="1218" w:type="pct"/>
          </w:tcPr>
          <w:p w:rsidR="007F2F9C" w:rsidRPr="004205D2" w:rsidRDefault="007F2F9C" w:rsidP="00005EAC">
            <w:pPr>
              <w:widowControl w:val="0"/>
              <w:autoSpaceDE w:val="0"/>
              <w:autoSpaceDN w:val="0"/>
              <w:adjustRightInd w:val="0"/>
              <w:spacing w:after="0" w:line="240" w:lineRule="auto"/>
              <w:rPr>
                <w:rFonts w:cs="Times New Roman"/>
                <w:b/>
                <w:sz w:val="20"/>
                <w:szCs w:val="20"/>
              </w:rPr>
            </w:pPr>
            <w:r>
              <w:rPr>
                <w:rFonts w:cs="Times New Roman"/>
                <w:b/>
                <w:sz w:val="20"/>
                <w:szCs w:val="20"/>
              </w:rPr>
              <w:t>b) D</w:t>
            </w:r>
            <w:r w:rsidRPr="004205D2">
              <w:rPr>
                <w:rFonts w:cs="Times New Roman"/>
                <w:b/>
                <w:sz w:val="20"/>
                <w:szCs w:val="20"/>
              </w:rPr>
              <w:t>ata storage</w:t>
            </w:r>
          </w:p>
        </w:tc>
        <w:tc>
          <w:tcPr>
            <w:tcW w:w="1218" w:type="pct"/>
          </w:tcPr>
          <w:p w:rsidR="007F2F9C" w:rsidRPr="004205D2" w:rsidRDefault="007F2F9C" w:rsidP="00005EAC">
            <w:pPr>
              <w:widowControl w:val="0"/>
              <w:autoSpaceDE w:val="0"/>
              <w:autoSpaceDN w:val="0"/>
              <w:adjustRightInd w:val="0"/>
              <w:spacing w:after="0" w:line="240" w:lineRule="auto"/>
              <w:rPr>
                <w:rFonts w:cs="Times New Roman"/>
                <w:b/>
                <w:sz w:val="20"/>
                <w:szCs w:val="20"/>
              </w:rPr>
            </w:pPr>
            <w:r>
              <w:rPr>
                <w:rFonts w:cs="Times New Roman"/>
                <w:b/>
                <w:sz w:val="20"/>
                <w:szCs w:val="20"/>
              </w:rPr>
              <w:t>c) K</w:t>
            </w:r>
            <w:r w:rsidRPr="004205D2">
              <w:rPr>
                <w:rFonts w:cs="Times New Roman"/>
                <w:b/>
                <w:sz w:val="20"/>
                <w:szCs w:val="20"/>
              </w:rPr>
              <w:t>nowledge updates</w:t>
            </w:r>
          </w:p>
        </w:tc>
        <w:tc>
          <w:tcPr>
            <w:tcW w:w="1218" w:type="pct"/>
          </w:tcPr>
          <w:p w:rsidR="007F2F9C" w:rsidRPr="004205D2" w:rsidRDefault="007F2F9C" w:rsidP="00005EAC">
            <w:pPr>
              <w:widowControl w:val="0"/>
              <w:autoSpaceDE w:val="0"/>
              <w:autoSpaceDN w:val="0"/>
              <w:adjustRightInd w:val="0"/>
              <w:spacing w:after="0" w:line="240" w:lineRule="auto"/>
              <w:rPr>
                <w:rFonts w:cs="Times New Roman"/>
                <w:b/>
                <w:sz w:val="20"/>
                <w:szCs w:val="20"/>
              </w:rPr>
            </w:pPr>
            <w:r>
              <w:rPr>
                <w:rFonts w:cs="Times New Roman"/>
                <w:b/>
                <w:sz w:val="20"/>
                <w:szCs w:val="20"/>
              </w:rPr>
              <w:t>d) D</w:t>
            </w:r>
            <w:r w:rsidRPr="004205D2">
              <w:rPr>
                <w:rFonts w:cs="Times New Roman"/>
                <w:b/>
                <w:sz w:val="20"/>
                <w:szCs w:val="20"/>
              </w:rPr>
              <w:t>issemination</w:t>
            </w:r>
          </w:p>
        </w:tc>
      </w:tr>
      <w:tr w:rsidR="007F2F9C" w:rsidRPr="004205D2" w:rsidTr="000B7CF9">
        <w:tc>
          <w:tcPr>
            <w:tcW w:w="1347" w:type="pct"/>
          </w:tcPr>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For example:</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BARC</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BAU</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BCAS</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BRAC University</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BUET</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CEGIS</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DoE, Min of Environment</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IWM</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Min. of Agriculture</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SRDI</w:t>
            </w:r>
          </w:p>
          <w:p w:rsidR="007F2F9C" w:rsidRPr="004205D2" w:rsidRDefault="007F2F9C" w:rsidP="00005EAC">
            <w:pPr>
              <w:widowControl w:val="0"/>
              <w:autoSpaceDE w:val="0"/>
              <w:autoSpaceDN w:val="0"/>
              <w:adjustRightInd w:val="0"/>
              <w:spacing w:after="0" w:line="240" w:lineRule="auto"/>
              <w:rPr>
                <w:rFonts w:cs="Times New Roman"/>
                <w:sz w:val="20"/>
                <w:szCs w:val="20"/>
              </w:rPr>
            </w:pPr>
          </w:p>
        </w:tc>
        <w:tc>
          <w:tcPr>
            <w:tcW w:w="1218" w:type="pct"/>
          </w:tcPr>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For example:</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BBS</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BMD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BWDB</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DLRS</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ICRD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IHWRD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LGED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NWRD</w:t>
            </w:r>
          </w:p>
          <w:p w:rsidR="007F2F9C" w:rsidRPr="004205D2"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RHD</w:t>
            </w:r>
          </w:p>
        </w:tc>
        <w:tc>
          <w:tcPr>
            <w:tcW w:w="1218" w:type="pct"/>
          </w:tcPr>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For example:</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BBS</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BMD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BWDB</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DLRS</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ICRD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IHWRD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LGED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NWRD</w:t>
            </w:r>
          </w:p>
          <w:p w:rsidR="007F2F9C" w:rsidRPr="004205D2"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RHD</w:t>
            </w:r>
          </w:p>
        </w:tc>
        <w:tc>
          <w:tcPr>
            <w:tcW w:w="1218" w:type="pct"/>
          </w:tcPr>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For example:</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Delta Knowledge Hub and linked institutions BARC</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BBS</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BMD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BUET</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BWDB</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CEGIS</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DoE, MoE</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DLRS</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ICRD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IHWRD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IWM</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LGED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Min. of Agriculture</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NWRD</w:t>
            </w:r>
          </w:p>
          <w:p w:rsidR="007F2F9C"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RHD</w:t>
            </w:r>
          </w:p>
          <w:p w:rsidR="007F2F9C" w:rsidRPr="004205D2" w:rsidRDefault="007F2F9C" w:rsidP="00005EAC">
            <w:pPr>
              <w:widowControl w:val="0"/>
              <w:autoSpaceDE w:val="0"/>
              <w:autoSpaceDN w:val="0"/>
              <w:adjustRightInd w:val="0"/>
              <w:spacing w:after="0" w:line="240" w:lineRule="auto"/>
              <w:rPr>
                <w:rFonts w:cs="Times New Roman"/>
                <w:sz w:val="20"/>
                <w:szCs w:val="20"/>
              </w:rPr>
            </w:pPr>
            <w:r>
              <w:rPr>
                <w:rFonts w:cs="Times New Roman"/>
                <w:sz w:val="20"/>
                <w:szCs w:val="20"/>
              </w:rPr>
              <w:t>SRDI</w:t>
            </w:r>
          </w:p>
        </w:tc>
      </w:tr>
    </w:tbl>
    <w:p w:rsidR="0050037D" w:rsidRDefault="0050037D" w:rsidP="00BC5D9A">
      <w:pPr>
        <w:pStyle w:val="BodyText"/>
        <w:spacing w:after="240" w:line="276" w:lineRule="auto"/>
        <w:jc w:val="both"/>
        <w:rPr>
          <w:rFonts w:cs="Times New Roman"/>
          <w:szCs w:val="24"/>
        </w:rPr>
      </w:pPr>
    </w:p>
    <w:p w:rsidR="00BC5D9A" w:rsidRDefault="007F2F9C" w:rsidP="00BC5D9A">
      <w:pPr>
        <w:pStyle w:val="BodyText"/>
        <w:spacing w:after="240" w:line="276" w:lineRule="auto"/>
        <w:jc w:val="both"/>
        <w:rPr>
          <w:rFonts w:cs="Times New Roman"/>
          <w:szCs w:val="24"/>
        </w:rPr>
      </w:pPr>
      <w:r w:rsidRPr="00AB38D1">
        <w:rPr>
          <w:rFonts w:cs="Times New Roman"/>
          <w:szCs w:val="24"/>
        </w:rPr>
        <w:t>The leading knowledge producers / creators on water and climate change include among others BUET, CEGIS, DoE, and IWM while the Ministry of Agriculture with its affiliate institutes and research bodies is responsible for technical research on all aspects of agriculture productivity under different soil, climate and water conditions.  Yet there is little or no coordination of the various research bodies in relation to delta management. As a consequence, knowledge and information regarding impact of sea level rise on farm productivity, income and employment at the upazila and district level is not easily accessible in digital form on the web. Furthermore, a systematic, well-coordinated national climate change research agenda to which all knowledge producers are contributing is lacking; there seems to be a significant knowledge gap and outdated data in almost all areas of the delta planning and management. Hence, the</w:t>
      </w:r>
      <w:r w:rsidR="00BC5D9A">
        <w:rPr>
          <w:rFonts w:cs="Times New Roman"/>
          <w:szCs w:val="24"/>
        </w:rPr>
        <w:t xml:space="preserve"> </w:t>
      </w:r>
      <w:r w:rsidRPr="00AB38D1">
        <w:rPr>
          <w:rFonts w:cs="Times New Roman"/>
          <w:szCs w:val="24"/>
        </w:rPr>
        <w:t>weak knowledge base needs to be filled up over time through systematic research, planning and decision-making linked to the needs of the Delta Plan.</w:t>
      </w:r>
      <w:r w:rsidR="00BC5D9A">
        <w:rPr>
          <w:rFonts w:cs="Times New Roman"/>
          <w:szCs w:val="24"/>
        </w:rPr>
        <w:t xml:space="preserve"> </w:t>
      </w:r>
    </w:p>
    <w:p w:rsidR="007F2F9C" w:rsidRPr="00AB38D1" w:rsidRDefault="00BC5D9A" w:rsidP="00A86115">
      <w:pPr>
        <w:pStyle w:val="BodyText"/>
        <w:spacing w:after="240" w:line="276" w:lineRule="auto"/>
        <w:jc w:val="both"/>
        <w:rPr>
          <w:rFonts w:cs="Times New Roman"/>
          <w:szCs w:val="24"/>
        </w:rPr>
      </w:pPr>
      <w:r w:rsidRPr="00BC5D9A">
        <w:rPr>
          <w:rFonts w:cs="Times New Roman"/>
          <w:szCs w:val="24"/>
        </w:rPr>
        <w:t xml:space="preserve">There is a need to foster a </w:t>
      </w:r>
      <w:r w:rsidRPr="00BC5D9A">
        <w:rPr>
          <w:rFonts w:cs="Times New Roman"/>
          <w:i/>
          <w:iCs/>
          <w:szCs w:val="24"/>
        </w:rPr>
        <w:t xml:space="preserve">Delta Knowledge Community </w:t>
      </w:r>
      <w:r w:rsidRPr="00BC5D9A">
        <w:rPr>
          <w:rFonts w:cs="Times New Roman"/>
          <w:szCs w:val="24"/>
        </w:rPr>
        <w:t>to share their knowledge and views from academia, policy-making, civil society and the private sector.  A first step was undertaken in this direction when around 100 experts from various water-related fields</w:t>
      </w:r>
      <w:r w:rsidRPr="00BC5D9A">
        <w:rPr>
          <w:rFonts w:cs="Times New Roman"/>
          <w:i/>
          <w:iCs/>
          <w:szCs w:val="24"/>
        </w:rPr>
        <w:t xml:space="preserve"> </w:t>
      </w:r>
      <w:r w:rsidRPr="00BC5D9A">
        <w:rPr>
          <w:rFonts w:cs="Times New Roman"/>
          <w:iCs/>
          <w:szCs w:val="24"/>
        </w:rPr>
        <w:t>participated in a</w:t>
      </w:r>
      <w:r w:rsidRPr="00BC5D9A">
        <w:rPr>
          <w:rFonts w:cs="Times New Roman"/>
          <w:i/>
          <w:iCs/>
          <w:szCs w:val="24"/>
        </w:rPr>
        <w:t xml:space="preserve"> Knowledge Agenda Round Table </w:t>
      </w:r>
      <w:r w:rsidRPr="00BC5D9A">
        <w:rPr>
          <w:rFonts w:cs="Times New Roman"/>
          <w:szCs w:val="24"/>
        </w:rPr>
        <w:t xml:space="preserve">held on 1 March 2016 to explore a draft Knowledge Agenda. Knowledge gaps and challenges including burning issues and most important and urgent research questions have been identified in the context of the BDP 2100 during the Roundtable Knowledge conference. </w:t>
      </w:r>
    </w:p>
    <w:p w:rsidR="00000000" w:rsidRDefault="009E6C45" w:rsidP="003D5A31">
      <w:pPr>
        <w:pStyle w:val="BodyText"/>
        <w:numPr>
          <w:ilvl w:val="2"/>
          <w:numId w:val="249"/>
        </w:numPr>
        <w:spacing w:after="240" w:line="276" w:lineRule="auto"/>
        <w:jc w:val="both"/>
        <w:rPr>
          <w:rFonts w:cs="Times New Roman"/>
          <w:b/>
          <w:szCs w:val="24"/>
        </w:rPr>
      </w:pPr>
      <w:r w:rsidRPr="004B0A08">
        <w:rPr>
          <w:rFonts w:cs="Times New Roman"/>
          <w:b/>
          <w:szCs w:val="24"/>
        </w:rPr>
        <w:t>Strategic Considerations and Challenges</w:t>
      </w:r>
    </w:p>
    <w:p w:rsidR="009E6C45" w:rsidRDefault="009E6C45" w:rsidP="009D1C23">
      <w:pPr>
        <w:pStyle w:val="BodyText"/>
        <w:spacing w:after="240" w:line="276" w:lineRule="auto"/>
        <w:jc w:val="both"/>
        <w:rPr>
          <w:rFonts w:cs="Times New Roman"/>
          <w:szCs w:val="24"/>
        </w:rPr>
      </w:pPr>
      <w:r w:rsidRPr="00F337AD">
        <w:rPr>
          <w:rFonts w:cs="Times New Roman"/>
          <w:szCs w:val="24"/>
        </w:rPr>
        <w:t xml:space="preserve">The BDP 2100 knowledge management needs to address questions of knowledge creation, assimilation and dissemination relevant to implementation and updating of the BDP2100.  To that, issues, challenges and related elements need to be considered for development of a delta knowledge strategy. </w:t>
      </w:r>
    </w:p>
    <w:p w:rsidR="007F2F9C" w:rsidRPr="00AB38D1" w:rsidRDefault="007F2F9C" w:rsidP="009D1C23">
      <w:pPr>
        <w:pStyle w:val="BodyText"/>
        <w:spacing w:after="240" w:line="276" w:lineRule="auto"/>
        <w:jc w:val="both"/>
        <w:rPr>
          <w:rFonts w:cs="Times New Roman"/>
          <w:szCs w:val="24"/>
        </w:rPr>
      </w:pPr>
      <w:r w:rsidRPr="00AB38D1">
        <w:rPr>
          <w:rFonts w:cs="Times New Roman"/>
          <w:szCs w:val="24"/>
        </w:rPr>
        <w:t>Data and knowledge updating is a real challenge as a systematic approach and role clarification of various institutions is lacking; The national statistical institution (BBS) does not currently reflect categories of information (e.g. SLR and impacts on agriculture) that would be useful in Delta planning. Economic impacts of climate change at the district level are also absent as assessment of loss and economic damage to crops, infrastructure, and livelihoods is not being systematically collected or updated in national, district, and upazila statistics; only ballpark figures and amounts are cited if these appear in internationally funded reports of natural disasters (cyclones)</w:t>
      </w:r>
      <w:r>
        <w:rPr>
          <w:rStyle w:val="FootnoteReference"/>
          <w:rFonts w:cs="Times New Roman"/>
          <w:szCs w:val="24"/>
        </w:rPr>
        <w:footnoteReference w:id="53"/>
      </w:r>
      <w:r w:rsidRPr="00AB38D1">
        <w:rPr>
          <w:rFonts w:cs="Times New Roman"/>
          <w:szCs w:val="24"/>
        </w:rPr>
        <w:t xml:space="preserve">. There is an absence of data relating to consolidated financial accounts on how much </w:t>
      </w:r>
      <w:r w:rsidR="000B096E">
        <w:t>public</w:t>
      </w:r>
      <w:r w:rsidRPr="00AB38D1">
        <w:rPr>
          <w:rFonts w:cs="Times New Roman"/>
          <w:szCs w:val="24"/>
        </w:rPr>
        <w:t xml:space="preserve"> spending has gone into water management capital expenditure and how much has been spent on O&amp;M?  This makes it extremely difficult to implement a good M&amp;E framework without systematic data collection effortsat regular intervals. The role of BBS and the concerned line ministries in data generation to conduct M&amp;E is absolutely critical.</w:t>
      </w:r>
    </w:p>
    <w:p w:rsidR="007F2F9C" w:rsidRDefault="007F2F9C" w:rsidP="009D1C23">
      <w:pPr>
        <w:pStyle w:val="BodyText"/>
        <w:spacing w:after="240" w:line="276" w:lineRule="auto"/>
        <w:jc w:val="both"/>
        <w:rPr>
          <w:rFonts w:cs="Times New Roman"/>
          <w:szCs w:val="24"/>
        </w:rPr>
      </w:pPr>
      <w:r w:rsidRPr="00AB38D1">
        <w:rPr>
          <w:rFonts w:cs="Times New Roman"/>
          <w:szCs w:val="24"/>
        </w:rPr>
        <w:t xml:space="preserve">While the BDP 2100 Knowledge Hub will primarily deal with knowledge dissemination, there needs to be clarity on institutional responsibilities, financing and coordination between the various actors involved with the knowledge agenda. </w:t>
      </w:r>
      <w:r>
        <w:rPr>
          <w:rFonts w:cs="Times New Roman"/>
          <w:szCs w:val="24"/>
        </w:rPr>
        <w:t xml:space="preserve">These are some of the important </w:t>
      </w:r>
      <w:r w:rsidRPr="000559EB">
        <w:rPr>
          <w:rFonts w:cs="Times New Roman"/>
          <w:szCs w:val="24"/>
        </w:rPr>
        <w:t>challenges in the development of information and knowledge management system for BDP 2100</w:t>
      </w:r>
      <w:r>
        <w:rPr>
          <w:rFonts w:cs="Times New Roman"/>
          <w:szCs w:val="24"/>
        </w:rPr>
        <w:t xml:space="preserve">; also </w:t>
      </w:r>
      <w:r w:rsidRPr="000559EB">
        <w:rPr>
          <w:rFonts w:cs="Times New Roman"/>
          <w:szCs w:val="24"/>
        </w:rPr>
        <w:t>unavailability of required information or availability of information from source o</w:t>
      </w:r>
      <w:r>
        <w:rPr>
          <w:rFonts w:cs="Times New Roman"/>
          <w:szCs w:val="24"/>
        </w:rPr>
        <w:t xml:space="preserve">rganizations in unusable format </w:t>
      </w:r>
      <w:r w:rsidR="00065D01">
        <w:rPr>
          <w:rFonts w:cs="Times New Roman"/>
          <w:szCs w:val="24"/>
        </w:rPr>
        <w:t xml:space="preserve">and </w:t>
      </w:r>
      <w:r w:rsidR="00065D01" w:rsidRPr="000559EB">
        <w:rPr>
          <w:rFonts w:cs="Times New Roman"/>
          <w:szCs w:val="24"/>
        </w:rPr>
        <w:t>reluctance</w:t>
      </w:r>
      <w:r w:rsidRPr="000559EB">
        <w:rPr>
          <w:rFonts w:cs="Times New Roman"/>
          <w:szCs w:val="24"/>
        </w:rPr>
        <w:t xml:space="preserve"> of sharing data with others </w:t>
      </w:r>
      <w:r>
        <w:rPr>
          <w:rFonts w:cs="Times New Roman"/>
          <w:szCs w:val="24"/>
        </w:rPr>
        <w:t xml:space="preserve">are significant </w:t>
      </w:r>
      <w:r w:rsidRPr="000559EB">
        <w:rPr>
          <w:rFonts w:cs="Times New Roman"/>
          <w:szCs w:val="24"/>
        </w:rPr>
        <w:t>challenge to update information.</w:t>
      </w:r>
    </w:p>
    <w:p w:rsidR="007F2F9C" w:rsidRDefault="007F2F9C" w:rsidP="00A86115">
      <w:pPr>
        <w:pStyle w:val="BodyText"/>
        <w:spacing w:after="240" w:line="276" w:lineRule="auto"/>
        <w:jc w:val="both"/>
        <w:rPr>
          <w:rFonts w:cs="Times New Roman"/>
          <w:szCs w:val="24"/>
        </w:rPr>
      </w:pPr>
      <w:r>
        <w:rPr>
          <w:rFonts w:cs="Times New Roman"/>
          <w:szCs w:val="24"/>
        </w:rPr>
        <w:t xml:space="preserve">Most of the databases available in Bangladesh are in the form of lists and PDFs and not interactively searchable and accessible to the general </w:t>
      </w:r>
      <w:r w:rsidR="000B096E">
        <w:t>public</w:t>
      </w:r>
      <w:r>
        <w:rPr>
          <w:rFonts w:cs="Times New Roman"/>
          <w:szCs w:val="24"/>
        </w:rPr>
        <w:t xml:space="preserve">; some contain GIS maps that can zoom in and out. </w:t>
      </w:r>
      <w:r w:rsidRPr="000559EB">
        <w:rPr>
          <w:rFonts w:cs="Times New Roman"/>
          <w:szCs w:val="24"/>
        </w:rPr>
        <w:t>Again, a few organizations maintain relational database system to manage their data and information. Other organizations store their data in excel, access, text, dbf and other digital or in hard copy format. So, it will be a time consuming task to convert these data into a relational database format. Moreover, in case of spatial data, different organizations use different projectio</w:t>
      </w:r>
      <w:r w:rsidR="00A32B61">
        <w:rPr>
          <w:rFonts w:cs="Times New Roman"/>
          <w:szCs w:val="24"/>
        </w:rPr>
        <w:t xml:space="preserve">n system such as LCC, UTM, or BTM. </w:t>
      </w:r>
      <w:r w:rsidRPr="000559EB">
        <w:rPr>
          <w:rFonts w:cs="Times New Roman"/>
          <w:szCs w:val="24"/>
        </w:rPr>
        <w:t xml:space="preserve">During transformation of the projection system, shifting occurs in spatial data and it loses positional accuracy. Another significant issue is the sustainability of the developed system. </w:t>
      </w:r>
    </w:p>
    <w:p w:rsidR="007F2F9C" w:rsidRDefault="007F2F9C" w:rsidP="00A86115">
      <w:pPr>
        <w:pStyle w:val="BodyText"/>
        <w:spacing w:after="240" w:line="276" w:lineRule="auto"/>
        <w:jc w:val="both"/>
        <w:rPr>
          <w:rFonts w:cs="Times New Roman"/>
          <w:szCs w:val="24"/>
        </w:rPr>
      </w:pPr>
      <w:r>
        <w:rPr>
          <w:rFonts w:cs="Times New Roman"/>
          <w:szCs w:val="24"/>
        </w:rPr>
        <w:t xml:space="preserve">Another important issue is whether data currently being collected and stored is accessible by users (scientists, specialists, researchers, project implementers, project monitors and evaluators, general </w:t>
      </w:r>
      <w:r w:rsidR="000B096E">
        <w:t>public</w:t>
      </w:r>
      <w:r>
        <w:rPr>
          <w:rFonts w:cs="Times New Roman"/>
          <w:szCs w:val="24"/>
        </w:rPr>
        <w:t xml:space="preserve">); if not, how will a Bangladesh Plan 2100 implementation function with maximum stakeholder participation and minimum hindrance if a knowledge hub to be established for BDP2100 does not allow for wider participation and sharing of pertinent knowledge. Currently, government relies on IWM, CEGIS and BUET, to mention a few institutions, for providing most of the water-related research findings and results; is this adequate? Are institutional arrangements currently in place for mobilizing knowledge and making it available for monitoring and evaluation (M&amp;E) and policy making adequate? Would it be useful if this knowledge platform could be broadened to cover </w:t>
      </w:r>
      <w:r w:rsidR="000B096E">
        <w:t>public</w:t>
      </w:r>
      <w:r>
        <w:rPr>
          <w:rFonts w:cs="Times New Roman"/>
          <w:szCs w:val="24"/>
        </w:rPr>
        <w:t xml:space="preserve"> and private sector, government and non-government institutions dealing with similar issues and content? </w:t>
      </w:r>
    </w:p>
    <w:p w:rsidR="007F2F9C" w:rsidRPr="00BB3A14" w:rsidRDefault="007F2F9C" w:rsidP="00A86115">
      <w:pPr>
        <w:pStyle w:val="BodyText"/>
        <w:spacing w:after="240" w:line="276" w:lineRule="auto"/>
        <w:jc w:val="both"/>
        <w:rPr>
          <w:rFonts w:cs="Times New Roman"/>
          <w:szCs w:val="24"/>
        </w:rPr>
      </w:pPr>
      <w:r>
        <w:rPr>
          <w:rFonts w:cs="Times New Roman"/>
          <w:szCs w:val="24"/>
        </w:rPr>
        <w:t xml:space="preserve">The </w:t>
      </w:r>
      <w:r w:rsidRPr="001B3854">
        <w:rPr>
          <w:rFonts w:cs="Times New Roman"/>
          <w:szCs w:val="24"/>
        </w:rPr>
        <w:t>National ICT Policy of Bangladesh</w:t>
      </w:r>
      <w:r>
        <w:rPr>
          <w:rFonts w:cs="Times New Roman"/>
          <w:szCs w:val="24"/>
        </w:rPr>
        <w:t xml:space="preserve"> calls for sharing of k</w:t>
      </w:r>
      <w:r w:rsidRPr="001B3854">
        <w:rPr>
          <w:rFonts w:cs="Times New Roman"/>
          <w:szCs w:val="24"/>
        </w:rPr>
        <w:t xml:space="preserve">nowledge generated by different studies, research, </w:t>
      </w:r>
      <w:r>
        <w:rPr>
          <w:rFonts w:cs="Times New Roman"/>
          <w:szCs w:val="24"/>
        </w:rPr>
        <w:t xml:space="preserve">and </w:t>
      </w:r>
      <w:r w:rsidRPr="001B3854">
        <w:rPr>
          <w:rFonts w:cs="Times New Roman"/>
          <w:szCs w:val="24"/>
        </w:rPr>
        <w:t xml:space="preserve">projects undertaken by </w:t>
      </w:r>
      <w:r>
        <w:rPr>
          <w:rFonts w:cs="Times New Roman"/>
          <w:szCs w:val="24"/>
        </w:rPr>
        <w:t xml:space="preserve">various </w:t>
      </w:r>
      <w:r w:rsidRPr="001B3854">
        <w:rPr>
          <w:rFonts w:cs="Times New Roman"/>
          <w:szCs w:val="24"/>
        </w:rPr>
        <w:t xml:space="preserve">industries, organizations, universities and institutions. The best way to share </w:t>
      </w:r>
      <w:r>
        <w:rPr>
          <w:rFonts w:cs="Times New Roman"/>
          <w:szCs w:val="24"/>
        </w:rPr>
        <w:t xml:space="preserve">such knowledge is through a </w:t>
      </w:r>
      <w:r w:rsidRPr="001B3854">
        <w:rPr>
          <w:rFonts w:cs="Times New Roman"/>
          <w:szCs w:val="24"/>
        </w:rPr>
        <w:t xml:space="preserve">knowledge portal </w:t>
      </w:r>
      <w:r>
        <w:rPr>
          <w:rFonts w:cs="Times New Roman"/>
          <w:szCs w:val="24"/>
        </w:rPr>
        <w:t xml:space="preserve">allowing wider </w:t>
      </w:r>
      <w:r w:rsidRPr="001B3854">
        <w:rPr>
          <w:rFonts w:cs="Times New Roman"/>
          <w:szCs w:val="24"/>
        </w:rPr>
        <w:t>access the portal</w:t>
      </w:r>
      <w:r>
        <w:rPr>
          <w:rFonts w:cs="Times New Roman"/>
          <w:szCs w:val="24"/>
        </w:rPr>
        <w:t xml:space="preserve">. </w:t>
      </w:r>
      <w:r w:rsidRPr="00BB3A14">
        <w:rPr>
          <w:rFonts w:cs="Times New Roman"/>
          <w:szCs w:val="24"/>
        </w:rPr>
        <w:t xml:space="preserve">This knowledgebase information needs to be stored and managed properly </w:t>
      </w:r>
      <w:r>
        <w:rPr>
          <w:rFonts w:cs="Times New Roman"/>
          <w:szCs w:val="24"/>
        </w:rPr>
        <w:t xml:space="preserve">for </w:t>
      </w:r>
      <w:r w:rsidRPr="00BB3A14">
        <w:rPr>
          <w:rFonts w:cs="Times New Roman"/>
          <w:szCs w:val="24"/>
        </w:rPr>
        <w:t>future</w:t>
      </w:r>
      <w:r>
        <w:rPr>
          <w:rFonts w:cs="Times New Roman"/>
          <w:szCs w:val="24"/>
        </w:rPr>
        <w:t xml:space="preserve"> use</w:t>
      </w:r>
      <w:r w:rsidRPr="00BB3A14">
        <w:rPr>
          <w:rFonts w:cs="Times New Roman"/>
          <w:szCs w:val="24"/>
        </w:rPr>
        <w:t xml:space="preserve">. </w:t>
      </w:r>
    </w:p>
    <w:p w:rsidR="007F2F9C" w:rsidRDefault="007F2F9C" w:rsidP="00A86115">
      <w:pPr>
        <w:pStyle w:val="BodyText"/>
        <w:spacing w:after="240" w:line="276" w:lineRule="auto"/>
        <w:jc w:val="both"/>
        <w:rPr>
          <w:rFonts w:cs="Times New Roman"/>
          <w:szCs w:val="24"/>
        </w:rPr>
      </w:pPr>
      <w:r w:rsidRPr="000559EB">
        <w:rPr>
          <w:rFonts w:cs="Times New Roman"/>
          <w:szCs w:val="24"/>
        </w:rPr>
        <w:t>Due to lack of required IT professional as well as IT infrastructure, it would be very difficult for General Economic Division (GED) to maintain the portal after the end of the project. Regular updating of data is also a big challenge.</w:t>
      </w:r>
      <w:r>
        <w:rPr>
          <w:rFonts w:cs="Times New Roman"/>
          <w:szCs w:val="24"/>
        </w:rPr>
        <w:t xml:space="preserve"> Currently, there is weak coordination among data collectors and knowledge managers in various institutions. For the implementation of BDP2100 investment over the short, medium and long term, it will be of crucial importance to establish, operate, manage and update knowledge in the most efficient and transparent manner possible, taking into account needs of multiple stakeholders and a broad programme of investment of the highest priority to Bangladesh.</w:t>
      </w:r>
    </w:p>
    <w:p w:rsidR="00D23983" w:rsidRDefault="007F2F9C" w:rsidP="00DD5523">
      <w:pPr>
        <w:pStyle w:val="BodyText"/>
        <w:spacing w:after="240" w:line="276" w:lineRule="auto"/>
        <w:jc w:val="both"/>
        <w:rPr>
          <w:rFonts w:cs="Times New Roman"/>
          <w:szCs w:val="24"/>
        </w:rPr>
      </w:pPr>
      <w:r>
        <w:rPr>
          <w:rFonts w:cs="Times New Roman"/>
          <w:szCs w:val="24"/>
        </w:rPr>
        <w:t>This brief review of the current state of play of the Delta knowledge management suggests the need for a strong coordinated effort to develop a coherent strategy for knowledge management. This strategy can benefit from a review of the international experiences of knowledge management in other deltas. The lessons should focus on the principles and adapt them to the reality of Bangladesh.  This is a long-term effort and will require resourc</w:t>
      </w:r>
      <w:r w:rsidR="00D23983">
        <w:rPr>
          <w:rFonts w:cs="Times New Roman"/>
          <w:szCs w:val="24"/>
        </w:rPr>
        <w:t xml:space="preserve">es, institutions and policies. </w:t>
      </w:r>
    </w:p>
    <w:p w:rsidR="00F64A6A" w:rsidRDefault="00DF3FFD" w:rsidP="00F64A6A">
      <w:pPr>
        <w:pStyle w:val="Heading2"/>
        <w:numPr>
          <w:ilvl w:val="0"/>
          <w:numId w:val="0"/>
        </w:numPr>
        <w:ind w:left="1080"/>
      </w:pPr>
      <w:bookmarkStart w:id="948" w:name="_Toc474638961"/>
      <w:r>
        <w:t>Lessons of International E</w:t>
      </w:r>
      <w:r w:rsidR="007F2F9C">
        <w:t>xperience</w:t>
      </w:r>
      <w:bookmarkEnd w:id="948"/>
    </w:p>
    <w:p w:rsidR="002722EF" w:rsidRDefault="007F2F9C" w:rsidP="00A86115">
      <w:pPr>
        <w:pStyle w:val="BodyText"/>
        <w:spacing w:after="240" w:line="276" w:lineRule="auto"/>
        <w:jc w:val="both"/>
        <w:rPr>
          <w:rFonts w:cs="Times New Roman"/>
          <w:szCs w:val="24"/>
        </w:rPr>
      </w:pPr>
      <w:r>
        <w:rPr>
          <w:rFonts w:cs="Times New Roman"/>
          <w:szCs w:val="24"/>
        </w:rPr>
        <w:t xml:space="preserve">There is a need to learn from successful portals and knowledge hubs operating internationally. </w:t>
      </w:r>
      <w:r w:rsidRPr="00AB38D1">
        <w:rPr>
          <w:rFonts w:cs="Times New Roman"/>
          <w:szCs w:val="24"/>
        </w:rPr>
        <w:t xml:space="preserve">The World Bank maintains a Climate Change Knowledge Portal categorized by country; it contains basic climate change information on Bangladesh, which could be used as a model to build up a Bangladesh delta knowledge </w:t>
      </w:r>
      <w:r w:rsidR="00065D01" w:rsidRPr="00AB38D1">
        <w:rPr>
          <w:rFonts w:cs="Times New Roman"/>
          <w:szCs w:val="24"/>
        </w:rPr>
        <w:t>portal</w:t>
      </w:r>
      <w:r w:rsidR="00065D01" w:rsidRPr="007D5356">
        <w:rPr>
          <w:rFonts w:cs="Times New Roman"/>
          <w:szCs w:val="24"/>
        </w:rPr>
        <w:t>.</w:t>
      </w:r>
      <w:r w:rsidR="00065D01">
        <w:rPr>
          <w:rFonts w:cs="Times New Roman"/>
          <w:szCs w:val="24"/>
        </w:rPr>
        <w:t xml:space="preserve"> Some</w:t>
      </w:r>
      <w:r>
        <w:rPr>
          <w:rFonts w:cs="Times New Roman"/>
          <w:szCs w:val="24"/>
        </w:rPr>
        <w:t xml:space="preserve"> of the top 10 most popular portals provided in Table </w:t>
      </w:r>
      <w:r w:rsidR="000F5493">
        <w:rPr>
          <w:rFonts w:cs="Times New Roman"/>
          <w:szCs w:val="24"/>
        </w:rPr>
        <w:t>14.</w:t>
      </w:r>
      <w:r w:rsidR="00231061">
        <w:rPr>
          <w:rFonts w:cs="Times New Roman"/>
          <w:szCs w:val="24"/>
        </w:rPr>
        <w:t>3</w:t>
      </w:r>
      <w:r>
        <w:rPr>
          <w:rFonts w:cs="Times New Roman"/>
          <w:szCs w:val="24"/>
        </w:rPr>
        <w:t xml:space="preserve"> are thematically oriented (search engines, commercial, educational, social network, ent</w:t>
      </w:r>
      <w:r w:rsidR="00231061">
        <w:rPr>
          <w:rFonts w:cs="Times New Roman"/>
          <w:szCs w:val="24"/>
        </w:rPr>
        <w:t xml:space="preserve">ertainment and informational). </w:t>
      </w:r>
    </w:p>
    <w:p w:rsidR="007F2F9C" w:rsidRPr="003412BC" w:rsidRDefault="007F2F9C" w:rsidP="00FD7FD3">
      <w:pPr>
        <w:pStyle w:val="Heading4"/>
      </w:pPr>
      <w:bookmarkStart w:id="949" w:name="_Toc474639157"/>
      <w:r w:rsidRPr="003412BC">
        <w:t xml:space="preserve">Table </w:t>
      </w:r>
      <w:r w:rsidR="000F5493">
        <w:t>14.</w:t>
      </w:r>
      <w:r w:rsidRPr="003412BC">
        <w:t xml:space="preserve">3: </w:t>
      </w:r>
      <w:r>
        <w:t>Top Ten Most Popular Portals on the W</w:t>
      </w:r>
      <w:r w:rsidRPr="003412BC">
        <w:t>eb</w:t>
      </w:r>
      <w:bookmarkEnd w:id="949"/>
    </w:p>
    <w:tbl>
      <w:tblPr>
        <w:tblStyle w:val="TableGrid"/>
        <w:tblW w:w="5000" w:type="pct"/>
        <w:jc w:val="center"/>
        <w:tblBorders>
          <w:insideH w:val="single" w:sz="6" w:space="0" w:color="auto"/>
          <w:insideV w:val="single" w:sz="6" w:space="0" w:color="auto"/>
        </w:tblBorders>
        <w:tblLook w:val="04A0"/>
      </w:tblPr>
      <w:tblGrid>
        <w:gridCol w:w="953"/>
        <w:gridCol w:w="7903"/>
      </w:tblGrid>
      <w:tr w:rsidR="007F2F9C" w:rsidRPr="0062706A">
        <w:trPr>
          <w:trHeight w:val="264"/>
          <w:jc w:val="center"/>
        </w:trPr>
        <w:tc>
          <w:tcPr>
            <w:tcW w:w="538" w:type="pct"/>
          </w:tcPr>
          <w:p w:rsidR="007F2F9C" w:rsidRPr="003412BC" w:rsidRDefault="007F2F9C" w:rsidP="00005EAC">
            <w:pPr>
              <w:spacing w:after="0" w:line="240" w:lineRule="auto"/>
              <w:rPr>
                <w:rFonts w:cs="Times New Roman"/>
                <w:b/>
                <w:bCs/>
                <w:szCs w:val="24"/>
              </w:rPr>
            </w:pPr>
            <w:r w:rsidRPr="003412BC">
              <w:rPr>
                <w:rFonts w:cs="Times New Roman"/>
                <w:b/>
                <w:bCs/>
                <w:szCs w:val="24"/>
              </w:rPr>
              <w:t>No.</w:t>
            </w:r>
          </w:p>
        </w:tc>
        <w:tc>
          <w:tcPr>
            <w:tcW w:w="4462" w:type="pct"/>
          </w:tcPr>
          <w:p w:rsidR="007F2F9C" w:rsidRPr="003412BC" w:rsidRDefault="007F2F9C" w:rsidP="00005EAC">
            <w:pPr>
              <w:spacing w:after="0" w:line="240" w:lineRule="auto"/>
              <w:rPr>
                <w:rFonts w:cs="Times New Roman"/>
                <w:b/>
                <w:bCs/>
                <w:szCs w:val="24"/>
              </w:rPr>
            </w:pPr>
            <w:r w:rsidRPr="003412BC">
              <w:rPr>
                <w:rFonts w:cs="Times New Roman"/>
                <w:b/>
                <w:bCs/>
                <w:szCs w:val="24"/>
              </w:rPr>
              <w:t xml:space="preserve">Name </w:t>
            </w:r>
          </w:p>
        </w:tc>
      </w:tr>
      <w:tr w:rsidR="007F2F9C" w:rsidRPr="0062706A">
        <w:trPr>
          <w:trHeight w:val="264"/>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1</w:t>
            </w:r>
          </w:p>
        </w:tc>
        <w:tc>
          <w:tcPr>
            <w:tcW w:w="4462" w:type="pct"/>
          </w:tcPr>
          <w:p w:rsidR="007F2F9C" w:rsidRPr="003412BC" w:rsidRDefault="007F2F9C" w:rsidP="00005EAC">
            <w:pPr>
              <w:spacing w:after="0" w:line="240" w:lineRule="auto"/>
              <w:rPr>
                <w:rFonts w:cs="Times New Roman"/>
              </w:rPr>
            </w:pPr>
            <w:r w:rsidRPr="003412BC">
              <w:rPr>
                <w:rFonts w:cs="Times New Roman"/>
              </w:rPr>
              <w:t>Google (most popular search engine)</w:t>
            </w:r>
          </w:p>
        </w:tc>
      </w:tr>
      <w:tr w:rsidR="007F2F9C" w:rsidRPr="0062706A">
        <w:trPr>
          <w:trHeight w:val="281"/>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2</w:t>
            </w:r>
          </w:p>
        </w:tc>
        <w:tc>
          <w:tcPr>
            <w:tcW w:w="4462" w:type="pct"/>
          </w:tcPr>
          <w:p w:rsidR="007F2F9C" w:rsidRPr="003412BC" w:rsidRDefault="007F2F9C" w:rsidP="00005EAC">
            <w:pPr>
              <w:spacing w:after="0" w:line="240" w:lineRule="auto"/>
              <w:rPr>
                <w:rFonts w:cs="Times New Roman"/>
              </w:rPr>
            </w:pPr>
            <w:r w:rsidRPr="003412BC">
              <w:rPr>
                <w:rFonts w:cs="Times New Roman"/>
              </w:rPr>
              <w:t>Yahoo (second most popular and busy web portal)</w:t>
            </w:r>
          </w:p>
        </w:tc>
      </w:tr>
      <w:tr w:rsidR="007F2F9C" w:rsidRPr="0062706A">
        <w:trPr>
          <w:trHeight w:val="264"/>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3</w:t>
            </w:r>
          </w:p>
        </w:tc>
        <w:tc>
          <w:tcPr>
            <w:tcW w:w="4462" w:type="pct"/>
          </w:tcPr>
          <w:p w:rsidR="007F2F9C" w:rsidRPr="003412BC" w:rsidRDefault="007F2F9C" w:rsidP="00005EAC">
            <w:pPr>
              <w:spacing w:after="0" w:line="240" w:lineRule="auto"/>
              <w:rPr>
                <w:rFonts w:cs="Times New Roman"/>
              </w:rPr>
            </w:pPr>
            <w:r w:rsidRPr="003412BC">
              <w:rPr>
                <w:rFonts w:cs="Times New Roman"/>
              </w:rPr>
              <w:t>YouTube (video sharing portal)</w:t>
            </w:r>
          </w:p>
        </w:tc>
      </w:tr>
      <w:tr w:rsidR="007F2F9C" w:rsidRPr="0062706A">
        <w:trPr>
          <w:trHeight w:val="264"/>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4</w:t>
            </w:r>
          </w:p>
        </w:tc>
        <w:tc>
          <w:tcPr>
            <w:tcW w:w="4462" w:type="pct"/>
          </w:tcPr>
          <w:p w:rsidR="007F2F9C" w:rsidRPr="003412BC" w:rsidRDefault="007F2F9C" w:rsidP="00005EAC">
            <w:pPr>
              <w:spacing w:after="0" w:line="240" w:lineRule="auto"/>
              <w:rPr>
                <w:rFonts w:cs="Times New Roman"/>
              </w:rPr>
            </w:pPr>
            <w:r w:rsidRPr="003412BC">
              <w:rPr>
                <w:rFonts w:cs="Times New Roman"/>
              </w:rPr>
              <w:t>Facebook (most popular social network)</w:t>
            </w:r>
          </w:p>
        </w:tc>
      </w:tr>
      <w:tr w:rsidR="007F2F9C" w:rsidRPr="0062706A">
        <w:trPr>
          <w:trHeight w:val="281"/>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5</w:t>
            </w:r>
          </w:p>
        </w:tc>
        <w:tc>
          <w:tcPr>
            <w:tcW w:w="4462" w:type="pct"/>
          </w:tcPr>
          <w:p w:rsidR="007F2F9C" w:rsidRPr="003412BC" w:rsidRDefault="007F2F9C" w:rsidP="00005EAC">
            <w:pPr>
              <w:spacing w:after="0" w:line="240" w:lineRule="auto"/>
              <w:rPr>
                <w:rFonts w:cs="Times New Roman"/>
              </w:rPr>
            </w:pPr>
            <w:r w:rsidRPr="003412BC">
              <w:rPr>
                <w:rFonts w:cs="Times New Roman"/>
              </w:rPr>
              <w:t>Windows Live (Microsoft’s answer to Google)</w:t>
            </w:r>
          </w:p>
        </w:tc>
      </w:tr>
      <w:tr w:rsidR="007F2F9C" w:rsidRPr="0062706A">
        <w:trPr>
          <w:trHeight w:val="264"/>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6</w:t>
            </w:r>
          </w:p>
        </w:tc>
        <w:tc>
          <w:tcPr>
            <w:tcW w:w="4462" w:type="pct"/>
          </w:tcPr>
          <w:p w:rsidR="007F2F9C" w:rsidRPr="003412BC" w:rsidRDefault="007F2F9C" w:rsidP="00005EAC">
            <w:pPr>
              <w:spacing w:after="0" w:line="240" w:lineRule="auto"/>
              <w:rPr>
                <w:rFonts w:cs="Times New Roman"/>
              </w:rPr>
            </w:pPr>
            <w:r w:rsidRPr="003412BC">
              <w:rPr>
                <w:rFonts w:cs="Times New Roman"/>
              </w:rPr>
              <w:t>MSN being replaced by Microsoft’s Live service)</w:t>
            </w:r>
          </w:p>
        </w:tc>
      </w:tr>
      <w:tr w:rsidR="007F2F9C" w:rsidRPr="0062706A">
        <w:trPr>
          <w:trHeight w:val="264"/>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7</w:t>
            </w:r>
          </w:p>
        </w:tc>
        <w:tc>
          <w:tcPr>
            <w:tcW w:w="4462" w:type="pct"/>
          </w:tcPr>
          <w:p w:rsidR="007F2F9C" w:rsidRPr="003412BC" w:rsidRDefault="007F2F9C" w:rsidP="00005EAC">
            <w:pPr>
              <w:spacing w:after="0" w:line="240" w:lineRule="auto"/>
              <w:rPr>
                <w:rFonts w:cs="Times New Roman"/>
              </w:rPr>
            </w:pPr>
            <w:r w:rsidRPr="003412BC">
              <w:rPr>
                <w:rFonts w:cs="Times New Roman"/>
              </w:rPr>
              <w:t>Blogger (most popular blogging platform)</w:t>
            </w:r>
          </w:p>
        </w:tc>
      </w:tr>
      <w:tr w:rsidR="007F2F9C" w:rsidRPr="0062706A">
        <w:trPr>
          <w:trHeight w:val="281"/>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8</w:t>
            </w:r>
          </w:p>
        </w:tc>
        <w:tc>
          <w:tcPr>
            <w:tcW w:w="4462" w:type="pct"/>
          </w:tcPr>
          <w:p w:rsidR="007F2F9C" w:rsidRPr="003412BC" w:rsidRDefault="007F2F9C" w:rsidP="00005EAC">
            <w:pPr>
              <w:spacing w:after="0" w:line="240" w:lineRule="auto"/>
              <w:rPr>
                <w:rFonts w:cs="Times New Roman"/>
              </w:rPr>
            </w:pPr>
            <w:r w:rsidRPr="003412BC">
              <w:rPr>
                <w:rFonts w:cs="Times New Roman"/>
              </w:rPr>
              <w:t>Wikipedia – (community driven source of basic information)</w:t>
            </w:r>
          </w:p>
        </w:tc>
      </w:tr>
      <w:tr w:rsidR="007F2F9C" w:rsidRPr="0062706A">
        <w:trPr>
          <w:trHeight w:val="264"/>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9</w:t>
            </w:r>
          </w:p>
        </w:tc>
        <w:tc>
          <w:tcPr>
            <w:tcW w:w="4462" w:type="pct"/>
          </w:tcPr>
          <w:p w:rsidR="007F2F9C" w:rsidRPr="003412BC" w:rsidRDefault="007F2F9C" w:rsidP="00005EAC">
            <w:pPr>
              <w:spacing w:after="0" w:line="240" w:lineRule="auto"/>
              <w:rPr>
                <w:rFonts w:cs="Times New Roman"/>
              </w:rPr>
            </w:pPr>
            <w:r w:rsidRPr="003412BC">
              <w:rPr>
                <w:rFonts w:cs="Times New Roman"/>
              </w:rPr>
              <w:t>Baidu – (leading Chinese search engine)</w:t>
            </w:r>
          </w:p>
        </w:tc>
      </w:tr>
      <w:tr w:rsidR="007F2F9C" w:rsidRPr="0062706A">
        <w:trPr>
          <w:trHeight w:val="281"/>
          <w:jc w:val="center"/>
        </w:trPr>
        <w:tc>
          <w:tcPr>
            <w:tcW w:w="538" w:type="pct"/>
          </w:tcPr>
          <w:p w:rsidR="007F2F9C" w:rsidRPr="003412BC" w:rsidRDefault="007F2F9C" w:rsidP="00005EAC">
            <w:pPr>
              <w:spacing w:after="0" w:line="240" w:lineRule="auto"/>
              <w:jc w:val="center"/>
              <w:rPr>
                <w:rFonts w:cs="Times New Roman"/>
              </w:rPr>
            </w:pPr>
            <w:r w:rsidRPr="003412BC">
              <w:rPr>
                <w:rFonts w:cs="Times New Roman"/>
              </w:rPr>
              <w:t>10</w:t>
            </w:r>
          </w:p>
        </w:tc>
        <w:tc>
          <w:tcPr>
            <w:tcW w:w="4462" w:type="pct"/>
          </w:tcPr>
          <w:p w:rsidR="007F2F9C" w:rsidRPr="003412BC" w:rsidRDefault="007F2F9C" w:rsidP="00005EAC">
            <w:pPr>
              <w:spacing w:after="0" w:line="240" w:lineRule="auto"/>
              <w:rPr>
                <w:rFonts w:cs="Times New Roman"/>
              </w:rPr>
            </w:pPr>
            <w:r w:rsidRPr="003412BC">
              <w:rPr>
                <w:rFonts w:cs="Times New Roman"/>
              </w:rPr>
              <w:t>My Space (popular social network)</w:t>
            </w:r>
          </w:p>
        </w:tc>
      </w:tr>
    </w:tbl>
    <w:p w:rsidR="00D25FAB" w:rsidRDefault="00D25FAB" w:rsidP="00D25FAB">
      <w:pPr>
        <w:pStyle w:val="BodyText"/>
        <w:spacing w:before="120" w:after="0" w:line="276" w:lineRule="auto"/>
        <w:jc w:val="both"/>
        <w:rPr>
          <w:rFonts w:cs="Times New Roman"/>
          <w:b/>
          <w:bCs/>
          <w:i/>
          <w:iCs/>
          <w:sz w:val="20"/>
          <w:szCs w:val="20"/>
        </w:rPr>
      </w:pPr>
      <w:r>
        <w:rPr>
          <w:rFonts w:cs="Times New Roman"/>
          <w:b/>
          <w:bCs/>
          <w:i/>
          <w:iCs/>
          <w:sz w:val="20"/>
          <w:szCs w:val="20"/>
        </w:rPr>
        <w:t>Source:</w:t>
      </w:r>
      <w:r w:rsidR="007F2F9C" w:rsidRPr="003412BC">
        <w:rPr>
          <w:rFonts w:cs="Times New Roman"/>
          <w:b/>
          <w:bCs/>
          <w:i/>
          <w:iCs/>
          <w:sz w:val="20"/>
          <w:szCs w:val="20"/>
        </w:rPr>
        <w:t xml:space="preserve"> The Top ten Most </w:t>
      </w:r>
      <w:r>
        <w:rPr>
          <w:rFonts w:cs="Times New Roman"/>
          <w:b/>
          <w:bCs/>
          <w:i/>
          <w:iCs/>
          <w:sz w:val="20"/>
          <w:szCs w:val="20"/>
        </w:rPr>
        <w:t xml:space="preserve">Popular Portals on the Web at: </w:t>
      </w:r>
    </w:p>
    <w:p w:rsidR="007F2F9C" w:rsidRPr="003412BC" w:rsidRDefault="007F2F9C" w:rsidP="00A86115">
      <w:pPr>
        <w:pStyle w:val="BodyText"/>
        <w:spacing w:after="240" w:line="276" w:lineRule="auto"/>
        <w:jc w:val="both"/>
        <w:rPr>
          <w:rFonts w:cs="Times New Roman"/>
          <w:b/>
          <w:bCs/>
          <w:i/>
          <w:iCs/>
          <w:sz w:val="20"/>
          <w:szCs w:val="20"/>
        </w:rPr>
      </w:pPr>
      <w:r w:rsidRPr="003412BC">
        <w:rPr>
          <w:rFonts w:cs="Times New Roman"/>
          <w:b/>
          <w:bCs/>
          <w:i/>
          <w:iCs/>
          <w:sz w:val="20"/>
          <w:szCs w:val="20"/>
        </w:rPr>
        <w:t>http://webtrends.about.com/od/webportals/a/topten_portals.htm</w:t>
      </w:r>
    </w:p>
    <w:p w:rsidR="007F2F9C" w:rsidRDefault="007F2F9C" w:rsidP="00A86115">
      <w:pPr>
        <w:pStyle w:val="BodyText"/>
        <w:spacing w:after="240" w:line="276" w:lineRule="auto"/>
        <w:jc w:val="both"/>
        <w:rPr>
          <w:rFonts w:cs="Times New Roman"/>
          <w:szCs w:val="24"/>
        </w:rPr>
      </w:pPr>
      <w:r>
        <w:rPr>
          <w:rFonts w:cs="Times New Roman"/>
          <w:szCs w:val="24"/>
        </w:rPr>
        <w:t xml:space="preserve">While portals listed in Table </w:t>
      </w:r>
      <w:r w:rsidR="000F5493">
        <w:rPr>
          <w:rFonts w:cs="Times New Roman"/>
          <w:szCs w:val="24"/>
        </w:rPr>
        <w:t>14.</w:t>
      </w:r>
      <w:r w:rsidR="002722EF">
        <w:rPr>
          <w:rFonts w:cs="Times New Roman"/>
          <w:szCs w:val="24"/>
        </w:rPr>
        <w:t>4</w:t>
      </w:r>
      <w:r>
        <w:rPr>
          <w:rFonts w:cs="Times New Roman"/>
          <w:szCs w:val="24"/>
        </w:rPr>
        <w:t xml:space="preserve"> may seem to be less relevant to BDP 2100, among the most relevant websites to be mentioned in the context of delta planning and protection of Bangladesh are: </w:t>
      </w:r>
    </w:p>
    <w:p w:rsidR="007F2F9C" w:rsidRDefault="00065D01" w:rsidP="003D5A31">
      <w:pPr>
        <w:pStyle w:val="BodyText"/>
        <w:numPr>
          <w:ilvl w:val="0"/>
          <w:numId w:val="106"/>
        </w:numPr>
        <w:spacing w:after="240" w:line="276" w:lineRule="auto"/>
        <w:jc w:val="both"/>
        <w:rPr>
          <w:rFonts w:cs="Times New Roman"/>
          <w:szCs w:val="24"/>
        </w:rPr>
      </w:pPr>
      <w:r w:rsidRPr="004C2A44">
        <w:rPr>
          <w:rFonts w:cs="Times New Roman"/>
          <w:b/>
          <w:szCs w:val="24"/>
        </w:rPr>
        <w:t>Netherlands:</w:t>
      </w:r>
      <w:r>
        <w:rPr>
          <w:rFonts w:cs="Times New Roman"/>
          <w:szCs w:val="24"/>
        </w:rPr>
        <w:t xml:space="preserve"> Delta</w:t>
      </w:r>
      <w:r w:rsidR="007F2F9C">
        <w:rPr>
          <w:rFonts w:cs="Times New Roman"/>
          <w:szCs w:val="24"/>
        </w:rPr>
        <w:t xml:space="preserve"> Portal (</w:t>
      </w:r>
      <w:r w:rsidR="007F2F9C" w:rsidRPr="00627F6F">
        <w:rPr>
          <w:rFonts w:cs="Times New Roman"/>
          <w:szCs w:val="24"/>
        </w:rPr>
        <w:t>http://www.deltaportaal.nl</w:t>
      </w:r>
      <w:r w:rsidR="007F2F9C">
        <w:rPr>
          <w:rFonts w:cs="Times New Roman"/>
          <w:szCs w:val="24"/>
        </w:rPr>
        <w:t>)of the Dutch Commissioner</w:t>
      </w:r>
      <w:r w:rsidR="007F2F9C">
        <w:rPr>
          <w:rStyle w:val="FootnoteReference"/>
          <w:rFonts w:cs="Times New Roman"/>
          <w:szCs w:val="24"/>
        </w:rPr>
        <w:footnoteReference w:id="54"/>
      </w:r>
      <w:r w:rsidR="007F2F9C">
        <w:rPr>
          <w:rFonts w:cs="Times New Roman"/>
          <w:szCs w:val="24"/>
        </w:rPr>
        <w:t xml:space="preserve"> in-charge of the Delta Programme in the Netherlands;</w:t>
      </w:r>
    </w:p>
    <w:p w:rsidR="007F2F9C" w:rsidRDefault="00065D01" w:rsidP="003D5A31">
      <w:pPr>
        <w:pStyle w:val="BodyText"/>
        <w:numPr>
          <w:ilvl w:val="0"/>
          <w:numId w:val="106"/>
        </w:numPr>
        <w:spacing w:after="240" w:line="276" w:lineRule="auto"/>
        <w:jc w:val="both"/>
        <w:rPr>
          <w:rFonts w:cs="Times New Roman"/>
          <w:szCs w:val="24"/>
        </w:rPr>
      </w:pPr>
      <w:r w:rsidRPr="00AB38D1">
        <w:rPr>
          <w:rFonts w:cs="Times New Roman"/>
          <w:b/>
          <w:szCs w:val="24"/>
        </w:rPr>
        <w:t>Netherlands:</w:t>
      </w:r>
      <w:r w:rsidRPr="00B04C58">
        <w:rPr>
          <w:rFonts w:cs="Times New Roman"/>
          <w:szCs w:val="24"/>
        </w:rPr>
        <w:t xml:space="preserve"> Climate</w:t>
      </w:r>
      <w:r w:rsidR="007F2F9C" w:rsidRPr="00B04C58">
        <w:rPr>
          <w:rFonts w:cs="Times New Roman"/>
          <w:szCs w:val="24"/>
        </w:rPr>
        <w:t xml:space="preserve"> Change Post</w:t>
      </w:r>
      <w:r w:rsidR="007F2F9C">
        <w:rPr>
          <w:rFonts w:cs="Times New Roman"/>
          <w:szCs w:val="24"/>
        </w:rPr>
        <w:t xml:space="preserve"> and Climate Research Website</w:t>
      </w:r>
      <w:r w:rsidR="007F2F9C">
        <w:rPr>
          <w:rStyle w:val="FootnoteReference"/>
          <w:rFonts w:cs="Times New Roman"/>
          <w:szCs w:val="24"/>
        </w:rPr>
        <w:footnoteReference w:id="55"/>
      </w:r>
      <w:r w:rsidR="007F2F9C">
        <w:rPr>
          <w:rFonts w:cs="Times New Roman"/>
          <w:szCs w:val="24"/>
        </w:rPr>
        <w:t>;</w:t>
      </w:r>
    </w:p>
    <w:p w:rsidR="007F2F9C" w:rsidRDefault="007F2F9C" w:rsidP="003D5A31">
      <w:pPr>
        <w:pStyle w:val="BodyText"/>
        <w:numPr>
          <w:ilvl w:val="0"/>
          <w:numId w:val="106"/>
        </w:numPr>
        <w:spacing w:after="240" w:line="276" w:lineRule="auto"/>
        <w:jc w:val="both"/>
        <w:rPr>
          <w:rFonts w:cs="Times New Roman"/>
          <w:szCs w:val="24"/>
        </w:rPr>
      </w:pPr>
      <w:r>
        <w:rPr>
          <w:rFonts w:cs="Times New Roman"/>
          <w:b/>
          <w:szCs w:val="24"/>
        </w:rPr>
        <w:t xml:space="preserve">P.R. </w:t>
      </w:r>
      <w:r w:rsidR="00065D01" w:rsidRPr="004C2A44">
        <w:rPr>
          <w:rFonts w:cs="Times New Roman"/>
          <w:b/>
          <w:szCs w:val="24"/>
        </w:rPr>
        <w:t>China:</w:t>
      </w:r>
      <w:r w:rsidR="00065D01">
        <w:rPr>
          <w:rFonts w:cs="Times New Roman"/>
          <w:szCs w:val="24"/>
        </w:rPr>
        <w:t xml:space="preserve"> Pearl</w:t>
      </w:r>
      <w:r>
        <w:rPr>
          <w:rFonts w:cs="Times New Roman"/>
          <w:szCs w:val="24"/>
        </w:rPr>
        <w:t xml:space="preserve"> River Delta,</w:t>
      </w:r>
      <w:r>
        <w:rPr>
          <w:rStyle w:val="FootnoteReference"/>
          <w:rFonts w:cs="Times New Roman"/>
          <w:szCs w:val="24"/>
        </w:rPr>
        <w:footnoteReference w:id="56"/>
      </w:r>
    </w:p>
    <w:p w:rsidR="007F2F9C" w:rsidRDefault="007F2F9C" w:rsidP="003D5A31">
      <w:pPr>
        <w:pStyle w:val="BodyText"/>
        <w:numPr>
          <w:ilvl w:val="0"/>
          <w:numId w:val="106"/>
        </w:numPr>
        <w:spacing w:after="240" w:line="276" w:lineRule="auto"/>
        <w:jc w:val="both"/>
        <w:rPr>
          <w:rFonts w:cs="Times New Roman"/>
          <w:szCs w:val="24"/>
        </w:rPr>
      </w:pPr>
      <w:r w:rsidRPr="004C2A44">
        <w:rPr>
          <w:rFonts w:cs="Times New Roman"/>
          <w:b/>
          <w:szCs w:val="24"/>
        </w:rPr>
        <w:t>Vietnam</w:t>
      </w:r>
      <w:r>
        <w:rPr>
          <w:rFonts w:cs="Times New Roman"/>
          <w:szCs w:val="24"/>
        </w:rPr>
        <w:t>: Mekong Delta Portal,</w:t>
      </w:r>
      <w:r>
        <w:rPr>
          <w:rStyle w:val="FootnoteReference"/>
          <w:rFonts w:cs="Times New Roman"/>
          <w:szCs w:val="24"/>
        </w:rPr>
        <w:footnoteReference w:id="57"/>
      </w:r>
    </w:p>
    <w:p w:rsidR="007F2F9C" w:rsidRDefault="00065D01" w:rsidP="003D5A31">
      <w:pPr>
        <w:pStyle w:val="BodyText"/>
        <w:numPr>
          <w:ilvl w:val="0"/>
          <w:numId w:val="106"/>
        </w:numPr>
        <w:spacing w:after="240" w:line="276" w:lineRule="auto"/>
        <w:jc w:val="both"/>
        <w:rPr>
          <w:rFonts w:cs="Times New Roman"/>
          <w:szCs w:val="24"/>
        </w:rPr>
      </w:pPr>
      <w:r w:rsidRPr="004C2A44">
        <w:rPr>
          <w:rFonts w:cs="Times New Roman"/>
          <w:b/>
          <w:szCs w:val="24"/>
        </w:rPr>
        <w:t>Vietnam:</w:t>
      </w:r>
      <w:r>
        <w:rPr>
          <w:rFonts w:cs="Times New Roman"/>
          <w:szCs w:val="24"/>
        </w:rPr>
        <w:t xml:space="preserve"> Environmental</w:t>
      </w:r>
      <w:r w:rsidR="007F2F9C">
        <w:rPr>
          <w:rFonts w:cs="Times New Roman"/>
          <w:szCs w:val="24"/>
        </w:rPr>
        <w:t xml:space="preserve"> Migration Portal reporting on planned relocations in the Mekong Delta,</w:t>
      </w:r>
      <w:r w:rsidR="007F2F9C">
        <w:rPr>
          <w:rStyle w:val="FootnoteReference"/>
          <w:rFonts w:cs="Times New Roman"/>
          <w:szCs w:val="24"/>
        </w:rPr>
        <w:footnoteReference w:id="58"/>
      </w:r>
    </w:p>
    <w:p w:rsidR="007F2F9C" w:rsidRDefault="007F2F9C" w:rsidP="003D5A31">
      <w:pPr>
        <w:pStyle w:val="BodyText"/>
        <w:numPr>
          <w:ilvl w:val="0"/>
          <w:numId w:val="106"/>
        </w:numPr>
        <w:spacing w:after="240" w:line="276" w:lineRule="auto"/>
        <w:jc w:val="both"/>
        <w:rPr>
          <w:rFonts w:cs="Times New Roman"/>
          <w:szCs w:val="24"/>
        </w:rPr>
      </w:pPr>
      <w:r w:rsidRPr="004C2A44">
        <w:rPr>
          <w:rFonts w:cs="Times New Roman"/>
          <w:b/>
          <w:szCs w:val="24"/>
        </w:rPr>
        <w:t>US</w:t>
      </w:r>
      <w:r>
        <w:rPr>
          <w:rFonts w:cs="Times New Roman"/>
          <w:b/>
          <w:szCs w:val="24"/>
        </w:rPr>
        <w:t>A:</w:t>
      </w:r>
      <w:r>
        <w:rPr>
          <w:rFonts w:cs="Times New Roman"/>
          <w:szCs w:val="24"/>
        </w:rPr>
        <w:t>EPA environmental portal,</w:t>
      </w:r>
      <w:r>
        <w:rPr>
          <w:rStyle w:val="FootnoteReference"/>
          <w:rFonts w:cs="Times New Roman"/>
          <w:szCs w:val="24"/>
        </w:rPr>
        <w:footnoteReference w:id="59"/>
      </w:r>
    </w:p>
    <w:p w:rsidR="007F2F9C" w:rsidRDefault="00065D01" w:rsidP="003D5A31">
      <w:pPr>
        <w:pStyle w:val="BodyText"/>
        <w:numPr>
          <w:ilvl w:val="0"/>
          <w:numId w:val="106"/>
        </w:numPr>
        <w:spacing w:after="240" w:line="276" w:lineRule="auto"/>
        <w:jc w:val="both"/>
        <w:rPr>
          <w:rFonts w:cs="Times New Roman"/>
          <w:szCs w:val="24"/>
        </w:rPr>
      </w:pPr>
      <w:r w:rsidRPr="00362E71">
        <w:rPr>
          <w:rFonts w:cs="Times New Roman"/>
          <w:b/>
          <w:szCs w:val="24"/>
        </w:rPr>
        <w:t>USA:</w:t>
      </w:r>
      <w:r>
        <w:rPr>
          <w:rFonts w:cs="Times New Roman"/>
          <w:b/>
          <w:szCs w:val="24"/>
        </w:rPr>
        <w:t xml:space="preserve"> </w:t>
      </w:r>
      <w:r>
        <w:rPr>
          <w:rFonts w:cs="Times New Roman"/>
          <w:szCs w:val="24"/>
        </w:rPr>
        <w:t>American</w:t>
      </w:r>
      <w:r w:rsidR="007F2F9C">
        <w:rPr>
          <w:rFonts w:cs="Times New Roman"/>
          <w:szCs w:val="24"/>
        </w:rPr>
        <w:t xml:space="preserve"> Carbon Registry,</w:t>
      </w:r>
      <w:r w:rsidR="007F2F9C">
        <w:rPr>
          <w:rStyle w:val="FootnoteReference"/>
          <w:rFonts w:cs="Times New Roman"/>
          <w:szCs w:val="24"/>
        </w:rPr>
        <w:footnoteReference w:id="60"/>
      </w:r>
    </w:p>
    <w:p w:rsidR="007F2F9C" w:rsidRDefault="00065D01" w:rsidP="003D5A31">
      <w:pPr>
        <w:pStyle w:val="BodyText"/>
        <w:numPr>
          <w:ilvl w:val="0"/>
          <w:numId w:val="106"/>
        </w:numPr>
        <w:spacing w:after="240" w:line="276" w:lineRule="auto"/>
        <w:jc w:val="both"/>
        <w:rPr>
          <w:rFonts w:cs="Times New Roman"/>
          <w:szCs w:val="24"/>
        </w:rPr>
      </w:pPr>
      <w:r w:rsidRPr="00362E71">
        <w:rPr>
          <w:rFonts w:cs="Times New Roman"/>
          <w:b/>
          <w:szCs w:val="24"/>
        </w:rPr>
        <w:t>USA:</w:t>
      </w:r>
      <w:r>
        <w:rPr>
          <w:rFonts w:cs="Times New Roman"/>
          <w:b/>
          <w:szCs w:val="24"/>
        </w:rPr>
        <w:t xml:space="preserve"> </w:t>
      </w:r>
      <w:r>
        <w:rPr>
          <w:rFonts w:cs="Times New Roman"/>
          <w:szCs w:val="24"/>
        </w:rPr>
        <w:t>Earth</w:t>
      </w:r>
      <w:r w:rsidR="007F2F9C">
        <w:rPr>
          <w:rFonts w:cs="Times New Roman"/>
          <w:szCs w:val="24"/>
        </w:rPr>
        <w:t xml:space="preserve"> Trends</w:t>
      </w:r>
      <w:r w:rsidR="007F2F9C">
        <w:rPr>
          <w:rStyle w:val="FootnoteReference"/>
          <w:rFonts w:cs="Times New Roman"/>
          <w:szCs w:val="24"/>
        </w:rPr>
        <w:footnoteReference w:id="61"/>
      </w:r>
      <w:r w:rsidR="007F2F9C">
        <w:rPr>
          <w:rFonts w:cs="Times New Roman"/>
          <w:szCs w:val="24"/>
        </w:rPr>
        <w:t xml:space="preserve"> – the environmental information portal of the World resources Institute (WRI), and </w:t>
      </w:r>
    </w:p>
    <w:p w:rsidR="007F2F9C" w:rsidRDefault="00065D01" w:rsidP="003D5A31">
      <w:pPr>
        <w:pStyle w:val="BodyText"/>
        <w:numPr>
          <w:ilvl w:val="0"/>
          <w:numId w:val="106"/>
        </w:numPr>
        <w:spacing w:after="240" w:line="276" w:lineRule="auto"/>
        <w:jc w:val="both"/>
        <w:rPr>
          <w:rFonts w:cs="Times New Roman"/>
          <w:szCs w:val="24"/>
        </w:rPr>
      </w:pPr>
      <w:r w:rsidRPr="00AB38D1">
        <w:rPr>
          <w:rFonts w:cs="Times New Roman"/>
          <w:b/>
          <w:szCs w:val="24"/>
        </w:rPr>
        <w:t>Germany:</w:t>
      </w:r>
      <w:r>
        <w:rPr>
          <w:rFonts w:cs="Times New Roman"/>
          <w:szCs w:val="24"/>
        </w:rPr>
        <w:t xml:space="preserve"> Hamburg</w:t>
      </w:r>
      <w:r w:rsidR="007F2F9C">
        <w:rPr>
          <w:rFonts w:cs="Times New Roman"/>
          <w:szCs w:val="24"/>
        </w:rPr>
        <w:t>. Multifunctional Flood Defences;</w:t>
      </w:r>
      <w:r w:rsidR="007F2F9C">
        <w:rPr>
          <w:rStyle w:val="FootnoteReference"/>
          <w:rFonts w:cs="Times New Roman"/>
          <w:szCs w:val="24"/>
        </w:rPr>
        <w:footnoteReference w:id="62"/>
      </w:r>
    </w:p>
    <w:p w:rsidR="007F2F9C" w:rsidRDefault="007F2F9C" w:rsidP="003D5A31">
      <w:pPr>
        <w:pStyle w:val="BodyText"/>
        <w:numPr>
          <w:ilvl w:val="0"/>
          <w:numId w:val="106"/>
        </w:numPr>
        <w:spacing w:after="240" w:line="276" w:lineRule="auto"/>
        <w:jc w:val="both"/>
        <w:rPr>
          <w:rFonts w:cs="Times New Roman"/>
          <w:szCs w:val="24"/>
        </w:rPr>
      </w:pPr>
      <w:r w:rsidRPr="00650222">
        <w:rPr>
          <w:rFonts w:cs="Times New Roman"/>
          <w:b/>
          <w:szCs w:val="24"/>
        </w:rPr>
        <w:t>Germany</w:t>
      </w:r>
      <w:r>
        <w:rPr>
          <w:rFonts w:cs="Times New Roman"/>
          <w:szCs w:val="24"/>
        </w:rPr>
        <w:t>: German Environmental information Portal – PortalU of the Federal State of Saarland.</w:t>
      </w:r>
      <w:r>
        <w:rPr>
          <w:rStyle w:val="FootnoteReference"/>
          <w:rFonts w:cs="Times New Roman"/>
          <w:szCs w:val="24"/>
        </w:rPr>
        <w:footnoteReference w:id="63"/>
      </w:r>
    </w:p>
    <w:p w:rsidR="007F2F9C" w:rsidRDefault="007F2F9C" w:rsidP="003D5A31">
      <w:pPr>
        <w:pStyle w:val="BodyText"/>
        <w:numPr>
          <w:ilvl w:val="0"/>
          <w:numId w:val="106"/>
        </w:numPr>
        <w:spacing w:after="240" w:line="276" w:lineRule="auto"/>
        <w:jc w:val="both"/>
        <w:rPr>
          <w:rFonts w:cs="Times New Roman"/>
          <w:szCs w:val="24"/>
        </w:rPr>
      </w:pPr>
      <w:r w:rsidRPr="00AB38D1">
        <w:rPr>
          <w:rFonts w:cs="Times New Roman"/>
          <w:b/>
          <w:szCs w:val="24"/>
        </w:rPr>
        <w:t>UK:</w:t>
      </w:r>
      <w:r w:rsidR="00DE281D">
        <w:rPr>
          <w:rFonts w:cs="Times New Roman"/>
          <w:b/>
          <w:szCs w:val="24"/>
        </w:rPr>
        <w:t xml:space="preserve"> </w:t>
      </w:r>
      <w:r w:rsidRPr="00650222">
        <w:rPr>
          <w:rFonts w:cs="Times New Roman"/>
          <w:szCs w:val="24"/>
        </w:rPr>
        <w:t>Flood and Coastal Erosion. Risk management authorities</w:t>
      </w:r>
      <w:r>
        <w:rPr>
          <w:rFonts w:cs="Times New Roman"/>
          <w:szCs w:val="24"/>
        </w:rPr>
        <w:t>.</w:t>
      </w:r>
      <w:r>
        <w:rPr>
          <w:rStyle w:val="FootnoteReference"/>
          <w:rFonts w:cs="Times New Roman"/>
          <w:szCs w:val="24"/>
        </w:rPr>
        <w:footnoteReference w:id="64"/>
      </w:r>
    </w:p>
    <w:p w:rsidR="007F2F9C" w:rsidRPr="00AB38D1" w:rsidRDefault="007F2F9C" w:rsidP="00A86115">
      <w:pPr>
        <w:pStyle w:val="BodyText"/>
        <w:spacing w:after="240" w:line="276" w:lineRule="auto"/>
        <w:jc w:val="both"/>
        <w:rPr>
          <w:rFonts w:cs="Times New Roman"/>
          <w:szCs w:val="24"/>
        </w:rPr>
      </w:pPr>
      <w:r w:rsidRPr="00AB38D1">
        <w:rPr>
          <w:rFonts w:cs="Times New Roman"/>
          <w:szCs w:val="24"/>
        </w:rPr>
        <w:t xml:space="preserve">Significant </w:t>
      </w:r>
      <w:r w:rsidRPr="00AB38D1">
        <w:rPr>
          <w:rFonts w:cs="Times New Roman"/>
          <w:b/>
          <w:szCs w:val="24"/>
        </w:rPr>
        <w:t>lessons</w:t>
      </w:r>
      <w:r w:rsidRPr="00AB38D1">
        <w:rPr>
          <w:rFonts w:cs="Times New Roman"/>
          <w:szCs w:val="24"/>
        </w:rPr>
        <w:t xml:space="preserve"> can be learned from international experience: </w:t>
      </w:r>
      <w:r w:rsidR="00065D01" w:rsidRPr="00AB38D1">
        <w:rPr>
          <w:rFonts w:cs="Times New Roman"/>
          <w:szCs w:val="24"/>
        </w:rPr>
        <w:t>some countries</w:t>
      </w:r>
      <w:r w:rsidRPr="00AB38D1">
        <w:rPr>
          <w:rFonts w:cs="Times New Roman"/>
          <w:szCs w:val="24"/>
        </w:rPr>
        <w:t xml:space="preserve"> are already dealing with climate change adaptation planning and linking knowledge creation with infrastructure adaptation and investments in deltas and coasts. </w:t>
      </w:r>
    </w:p>
    <w:p w:rsidR="007F2F9C" w:rsidRDefault="007F2F9C" w:rsidP="00A86115">
      <w:pPr>
        <w:pStyle w:val="BodyText"/>
        <w:spacing w:after="240" w:line="276" w:lineRule="auto"/>
        <w:jc w:val="both"/>
        <w:rPr>
          <w:rFonts w:cs="Times New Roman"/>
          <w:szCs w:val="24"/>
        </w:rPr>
      </w:pPr>
      <w:r w:rsidRPr="00AB38D1">
        <w:rPr>
          <w:rFonts w:cs="Times New Roman"/>
          <w:szCs w:val="24"/>
        </w:rPr>
        <w:t xml:space="preserve">In the </w:t>
      </w:r>
      <w:r w:rsidRPr="00AB38D1">
        <w:rPr>
          <w:rFonts w:cs="Times New Roman"/>
          <w:b/>
          <w:szCs w:val="24"/>
        </w:rPr>
        <w:t xml:space="preserve">Netherlands, </w:t>
      </w:r>
      <w:r w:rsidRPr="00AB38D1">
        <w:rPr>
          <w:rFonts w:cs="Times New Roman"/>
          <w:szCs w:val="24"/>
        </w:rPr>
        <w:t xml:space="preserve">the water sector, knowledge institutes and the business </w:t>
      </w:r>
      <w:r w:rsidR="00065D01" w:rsidRPr="00AB38D1">
        <w:rPr>
          <w:rFonts w:cs="Times New Roman"/>
          <w:szCs w:val="24"/>
        </w:rPr>
        <w:t>community have</w:t>
      </w:r>
      <w:r w:rsidRPr="00AB38D1">
        <w:rPr>
          <w:rFonts w:cs="Times New Roman"/>
          <w:szCs w:val="24"/>
        </w:rPr>
        <w:t xml:space="preserve"> joined forces to expand market involvement and encourage innovation. At the international level, collaborative efforts are underway to make optimum use of the Delta</w:t>
      </w:r>
      <w:r>
        <w:rPr>
          <w:rFonts w:cs="Times New Roman"/>
          <w:szCs w:val="24"/>
        </w:rPr>
        <w:t xml:space="preserve"> </w:t>
      </w:r>
      <w:r w:rsidRPr="00AB38D1">
        <w:rPr>
          <w:rFonts w:cs="Times New Roman"/>
          <w:szCs w:val="24"/>
        </w:rPr>
        <w:t>Programme</w:t>
      </w:r>
      <w:r w:rsidRPr="00AB38D1">
        <w:rPr>
          <w:rStyle w:val="FootnoteReference"/>
          <w:rFonts w:cs="Times New Roman"/>
          <w:szCs w:val="24"/>
        </w:rPr>
        <w:footnoteReference w:id="65"/>
      </w:r>
      <w:r w:rsidRPr="00AB38D1">
        <w:rPr>
          <w:rFonts w:cs="Times New Roman"/>
          <w:szCs w:val="24"/>
        </w:rPr>
        <w:t xml:space="preserve"> as a domestic market, to market knowledge and expertise, and to coordinate the management of border-crossing rivers. The parties within the Delta Programme are working on integrated solutions in a wide range of ways. Integrated solutions benefit from integrated research – research that connects sectors and in which various disciplines work together. Together with the top sectors of Agri&amp; Food, Horticulture &amp; Cultivation materials and Water, and the knowledge institutes DLO, Deltares, MARIN and TNO, the Ministry of Infrastructure and the Environment and the Ministry of Economic Affairs are investigating how cross-sectoral collaboration can be reinforced </w:t>
      </w:r>
      <w:r w:rsidR="00065D01" w:rsidRPr="00AB38D1">
        <w:rPr>
          <w:rFonts w:cs="Times New Roman"/>
          <w:szCs w:val="24"/>
        </w:rPr>
        <w:t>further. The</w:t>
      </w:r>
      <w:r w:rsidRPr="00AB38D1">
        <w:rPr>
          <w:rFonts w:cs="Times New Roman"/>
          <w:szCs w:val="24"/>
        </w:rPr>
        <w:t xml:space="preserve"> National Water and Climate Knowledge and Innovation Programme (NKWK) brings parties together in order to improve the interaction between knowledge and practice, and between the scheduling of knowledge issues and research. The NKWK is taking up together with other parties, matters such as the long-term and large-scale coastal behavior, smart water management, climate-proof cities, flood defences, and the replacement of hydraulic structures and the development of the National Water Model. To this end, joint multi-year research plans are being prepared, that constitute part of the input for the Delta Technology Knowledge and Innovation Agenda 2016-2019</w:t>
      </w:r>
      <w:r>
        <w:rPr>
          <w:rFonts w:cs="Times New Roman"/>
          <w:szCs w:val="24"/>
        </w:rPr>
        <w:t>.</w:t>
      </w:r>
    </w:p>
    <w:p w:rsidR="007F2F9C" w:rsidRDefault="007F2F9C" w:rsidP="00A86115">
      <w:pPr>
        <w:pStyle w:val="BodyText"/>
        <w:spacing w:after="240" w:line="276" w:lineRule="auto"/>
        <w:jc w:val="both"/>
        <w:rPr>
          <w:rFonts w:cs="Times New Roman"/>
          <w:szCs w:val="24"/>
        </w:rPr>
      </w:pPr>
      <w:r w:rsidRPr="00AB38D1">
        <w:rPr>
          <w:rFonts w:cs="Times New Roman"/>
          <w:b/>
          <w:szCs w:val="24"/>
        </w:rPr>
        <w:t>City of Hamburg, Germany</w:t>
      </w:r>
      <w:r w:rsidRPr="00AB38D1">
        <w:rPr>
          <w:rStyle w:val="FootnoteReference"/>
          <w:rFonts w:cs="Times New Roman"/>
          <w:b/>
          <w:szCs w:val="24"/>
        </w:rPr>
        <w:footnoteReference w:id="66"/>
      </w:r>
      <w:r w:rsidRPr="00AB38D1">
        <w:rPr>
          <w:rFonts w:cs="Times New Roman"/>
          <w:b/>
          <w:szCs w:val="24"/>
        </w:rPr>
        <w:t>:</w:t>
      </w:r>
      <w:r w:rsidRPr="00AB38D1">
        <w:rPr>
          <w:rFonts w:cs="Times New Roman"/>
          <w:szCs w:val="24"/>
        </w:rPr>
        <w:t xml:space="preserve"> Following the </w:t>
      </w:r>
      <w:r w:rsidR="000B096E">
        <w:t>public</w:t>
      </w:r>
      <w:r w:rsidRPr="00AB38D1">
        <w:rPr>
          <w:rFonts w:cs="Times New Roman"/>
          <w:szCs w:val="24"/>
        </w:rPr>
        <w:t xml:space="preserve">ation of “Climate change, impacts and vulnerability in Europe 2012” by the European Environment Agency a European Adaptation Strategy was developed by the European Commission in 2013. However, the riparian countries of the North Sea have continuously reinforced flood defence structures since 1953 and 1962 and the Northern German Coastal Cities, led by Hamburg developed action </w:t>
      </w:r>
      <w:r>
        <w:rPr>
          <w:rFonts w:cs="Times New Roman"/>
          <w:szCs w:val="24"/>
        </w:rPr>
        <w:t>strategies such as KLIMZUG-NORD.</w:t>
      </w:r>
      <w:r w:rsidRPr="00AB38D1">
        <w:rPr>
          <w:rFonts w:cs="Times New Roman"/>
          <w:szCs w:val="24"/>
        </w:rPr>
        <w:t xml:space="preserve"> In 2007 Hamburg also established a climate research campus called Klima</w:t>
      </w:r>
      <w:r>
        <w:rPr>
          <w:rFonts w:cs="Times New Roman"/>
          <w:szCs w:val="24"/>
        </w:rPr>
        <w:t xml:space="preserve"> </w:t>
      </w:r>
      <w:r w:rsidRPr="00AB38D1">
        <w:rPr>
          <w:rFonts w:cs="Times New Roman"/>
          <w:szCs w:val="24"/>
        </w:rPr>
        <w:t>Campus that brings together top international scientists in a unique network formed by numerous university institutes and famous non-university partners, such as the Max-Planck Institute for Meteorology, the Helmholts Centre and the German Climate Computing Centre (DKRZ)</w:t>
      </w:r>
      <w:r>
        <w:rPr>
          <w:rFonts w:cs="Times New Roman"/>
          <w:szCs w:val="24"/>
        </w:rPr>
        <w:t xml:space="preserve">. </w:t>
      </w:r>
      <w:r w:rsidRPr="00AB38D1">
        <w:rPr>
          <w:rFonts w:cs="Times New Roman"/>
          <w:szCs w:val="24"/>
        </w:rPr>
        <w:t xml:space="preserve"> This is an excellent international example of “knowledge creators” that are housed in a 20,000 square meter new building hosted by Hamburg where the programme has already received funding of up to EUR29.5 million of which Hamburg contributed EUR 7.4 million. Hamburg’s adaptation initiatives and “Climate Protection Master Plan” have triggered planning and building of new residential areas and the city districts close to the port in such a way to keep these dry in a hundred years to come; planning is on-going as to how the emergency response will cope in 2050; completion of flood defences by 2016 which will be effective in 2030 with new flood defence</w:t>
      </w:r>
      <w:r>
        <w:rPr>
          <w:rFonts w:cs="Times New Roman"/>
          <w:szCs w:val="24"/>
        </w:rPr>
        <w:t xml:space="preserve"> </w:t>
      </w:r>
      <w:r w:rsidRPr="00AB38D1">
        <w:rPr>
          <w:rFonts w:cs="Times New Roman"/>
          <w:szCs w:val="24"/>
        </w:rPr>
        <w:t>programme adopted and requisite funding included in the budget planning; the “Warft concept”, i.e. building on artificial mounds, a long term town planning strategy to expand Hamburg’s city centre without being forced to encircle the area with a dyke; the Rain-Infrastructure-Adaptation project with Rainwater Structural Plan 2030 underpinning water management measures integrated into town, landscape, and traffic planning.</w:t>
      </w:r>
    </w:p>
    <w:p w:rsidR="007F2F9C" w:rsidRDefault="007F2F9C" w:rsidP="00A86115">
      <w:pPr>
        <w:pStyle w:val="BodyText"/>
        <w:spacing w:after="240" w:line="276" w:lineRule="auto"/>
        <w:jc w:val="both"/>
        <w:rPr>
          <w:rFonts w:cs="Times New Roman"/>
          <w:szCs w:val="24"/>
        </w:rPr>
      </w:pPr>
      <w:r w:rsidRPr="00292114">
        <w:rPr>
          <w:rFonts w:cs="Times New Roman"/>
          <w:b/>
          <w:szCs w:val="24"/>
        </w:rPr>
        <w:t>The European Union</w:t>
      </w:r>
      <w:r>
        <w:rPr>
          <w:rFonts w:cs="Times New Roman"/>
          <w:szCs w:val="24"/>
        </w:rPr>
        <w:t xml:space="preserve"> commissioned</w:t>
      </w:r>
      <w:r>
        <w:rPr>
          <w:rStyle w:val="FootnoteReference"/>
          <w:rFonts w:cs="Times New Roman"/>
          <w:szCs w:val="24"/>
        </w:rPr>
        <w:footnoteReference w:id="67"/>
      </w:r>
      <w:r>
        <w:rPr>
          <w:rFonts w:cs="Times New Roman"/>
          <w:szCs w:val="24"/>
        </w:rPr>
        <w:t xml:space="preserve">the Climate Change Challenge for European Regions report as well as a number of climate change country reports produced by the Policy Research Corporation (e.g. Denmark, Germany, Sweden). The </w:t>
      </w:r>
      <w:r w:rsidRPr="00292114">
        <w:rPr>
          <w:rFonts w:cs="Times New Roman"/>
          <w:b/>
          <w:szCs w:val="24"/>
        </w:rPr>
        <w:t>United Kingdom</w:t>
      </w:r>
      <w:r>
        <w:rPr>
          <w:rFonts w:cs="Times New Roman"/>
          <w:szCs w:val="24"/>
        </w:rPr>
        <w:t xml:space="preserve"> House of Commons produces reports such as the Flood defence spending in England</w:t>
      </w:r>
      <w:r>
        <w:rPr>
          <w:rStyle w:val="FootnoteReference"/>
          <w:rFonts w:cs="Times New Roman"/>
          <w:szCs w:val="24"/>
        </w:rPr>
        <w:footnoteReference w:id="68"/>
      </w:r>
      <w:r>
        <w:rPr>
          <w:rFonts w:cs="Times New Roman"/>
          <w:szCs w:val="24"/>
        </w:rPr>
        <w:t>, which provides a good account of flood damage costs of 1.1 billion pound sterling per year and damage costs could exceed 27 billion pounds sterling across the UK by 2080.</w:t>
      </w:r>
    </w:p>
    <w:p w:rsidR="00F64A6A" w:rsidRDefault="007F2F9C" w:rsidP="00F64A6A">
      <w:pPr>
        <w:pStyle w:val="Heading2"/>
        <w:numPr>
          <w:ilvl w:val="0"/>
          <w:numId w:val="0"/>
        </w:numPr>
        <w:ind w:left="1080"/>
      </w:pPr>
      <w:bookmarkStart w:id="950" w:name="_Toc474638962"/>
      <w:r>
        <w:t>Strategic Considerations for the Bangladesh Delta Knowledge Hub</w:t>
      </w:r>
      <w:bookmarkEnd w:id="950"/>
    </w:p>
    <w:p w:rsidR="00000000" w:rsidRDefault="000918CB" w:rsidP="003D5A31">
      <w:pPr>
        <w:pStyle w:val="BodyText"/>
        <w:numPr>
          <w:ilvl w:val="2"/>
          <w:numId w:val="250"/>
        </w:numPr>
        <w:spacing w:after="240" w:line="276" w:lineRule="auto"/>
        <w:jc w:val="both"/>
        <w:rPr>
          <w:rFonts w:cs="Times New Roman"/>
          <w:b/>
          <w:szCs w:val="24"/>
        </w:rPr>
      </w:pPr>
      <w:r w:rsidRPr="004B0A08">
        <w:rPr>
          <w:rFonts w:cs="Times New Roman"/>
          <w:b/>
          <w:szCs w:val="24"/>
        </w:rPr>
        <w:t>Strategic Components of Delta Knowledge Management</w:t>
      </w:r>
    </w:p>
    <w:p w:rsidR="009E6C45" w:rsidRPr="00885502" w:rsidRDefault="009E6C45" w:rsidP="009E6C45">
      <w:pPr>
        <w:jc w:val="both"/>
      </w:pPr>
      <w:r w:rsidRPr="00885502">
        <w:t>As a starting point for a knowledge and data management approach, the B</w:t>
      </w:r>
      <w:r w:rsidR="000918CB">
        <w:t>angladesh Delta Plan suggests</w:t>
      </w:r>
      <w:r w:rsidRPr="00885502">
        <w:t xml:space="preserve"> a model for a well-accepted knowledge and competence management cycle in which main issues are addressed. This model shows the main aspects and operations for societal and governmental knowledge and competence management. Societal and governmental knowledge and competence management involves a process of investigation of knowledge needs and making knowledge easily available to utilize it in an optimal way. The model consists of four main components </w:t>
      </w:r>
      <w:r w:rsidR="00771279">
        <w:t xml:space="preserve">(Figure 14.1). </w:t>
      </w:r>
    </w:p>
    <w:p w:rsidR="00000000" w:rsidRDefault="009E6C45" w:rsidP="003D5A31">
      <w:pPr>
        <w:pStyle w:val="BodyText"/>
        <w:numPr>
          <w:ilvl w:val="2"/>
          <w:numId w:val="250"/>
        </w:numPr>
        <w:spacing w:after="240" w:line="276" w:lineRule="auto"/>
        <w:jc w:val="both"/>
        <w:rPr>
          <w:rFonts w:cs="Times New Roman"/>
          <w:b/>
          <w:szCs w:val="24"/>
        </w:rPr>
      </w:pPr>
      <w:r w:rsidRPr="00F64E5E">
        <w:rPr>
          <w:rFonts w:cs="Times New Roman"/>
          <w:b/>
          <w:szCs w:val="24"/>
        </w:rPr>
        <w:t>Investigation of Knowledge Needs</w:t>
      </w:r>
    </w:p>
    <w:p w:rsidR="009E6C45" w:rsidRPr="00885502" w:rsidRDefault="009E6C45" w:rsidP="009E6C45">
      <w:pPr>
        <w:jc w:val="both"/>
      </w:pPr>
      <w:r w:rsidRPr="00885502">
        <w:t xml:space="preserve">In a science, knowledge and data-based approach as ADM within an increasingly knowledge based society, the requirements for knowledge, validated data and related working skills change </w:t>
      </w:r>
      <w:r w:rsidR="00EA4E38" w:rsidRPr="00885502">
        <w:t>continuously</w:t>
      </w:r>
      <w:r w:rsidRPr="00885502">
        <w:t>. New ways to investigate requirements and experiences and from that basis focus and direct resources, and establish the main goals of data collection, research and education in order to balance better the demand and supply for skills and knowledge development. This calls for improvement of existing and identification of new ways of communication and knowledge intensive cooperation between relevant Delta related authorities, knowledge institutions and private sector organizations. Below presented model provides the main elements which have been elaborated during the BDP 2100 formulation process.</w:t>
      </w:r>
    </w:p>
    <w:p w:rsidR="00000000" w:rsidRDefault="009E6C45" w:rsidP="003D5A31">
      <w:pPr>
        <w:pStyle w:val="BodyText"/>
        <w:numPr>
          <w:ilvl w:val="2"/>
          <w:numId w:val="250"/>
        </w:numPr>
        <w:spacing w:after="240" w:line="276" w:lineRule="auto"/>
        <w:jc w:val="both"/>
        <w:rPr>
          <w:rFonts w:cs="Times New Roman"/>
          <w:b/>
          <w:szCs w:val="24"/>
        </w:rPr>
      </w:pPr>
      <w:r w:rsidRPr="00F64E5E">
        <w:rPr>
          <w:rFonts w:cs="Times New Roman"/>
          <w:b/>
          <w:szCs w:val="24"/>
        </w:rPr>
        <w:t>Creating Knowledge</w:t>
      </w:r>
    </w:p>
    <w:p w:rsidR="009E6C45" w:rsidRDefault="009E6C45" w:rsidP="009E6C45">
      <w:pPr>
        <w:jc w:val="both"/>
      </w:pPr>
      <w:r w:rsidRPr="00885502">
        <w:t>Fruitful conditions for knowledge creation are face-to-face communication, informal environments, concentration and variety of knowledge, and a cross-disciplinary research and educational approaches. A major part of new scientific knowledge and innovations are created in global and national centers of excellence. The key knowledge accumulation experience is learning by doing in everyday tasks, in human networks. Globalization and virtual communities change the way for creating new knowledge</w:t>
      </w:r>
      <w:r w:rsidRPr="00885502">
        <w:rPr>
          <w:i/>
          <w:iCs/>
        </w:rPr>
        <w:t xml:space="preserve">. </w:t>
      </w:r>
      <w:r w:rsidRPr="00885502">
        <w:t xml:space="preserve">A big part of created knowledge is </w:t>
      </w:r>
      <w:r w:rsidRPr="00885502">
        <w:rPr>
          <w:bCs/>
        </w:rPr>
        <w:t>tacit,</w:t>
      </w:r>
      <w:r w:rsidRPr="00885502">
        <w:rPr>
          <w:rStyle w:val="apple-converted-space"/>
          <w:rFonts w:cs="Segoe UI"/>
          <w:bCs/>
          <w:szCs w:val="19"/>
        </w:rPr>
        <w:t xml:space="preserve"> </w:t>
      </w:r>
      <w:r w:rsidRPr="00885502">
        <w:t>and therefore</w:t>
      </w:r>
      <w:r w:rsidRPr="00885502">
        <w:rPr>
          <w:rStyle w:val="apple-converted-space"/>
          <w:rFonts w:cs="Segoe UI"/>
          <w:bCs/>
          <w:szCs w:val="19"/>
        </w:rPr>
        <w:t xml:space="preserve"> </w:t>
      </w:r>
      <w:r w:rsidRPr="00885502">
        <w:t>not easily</w:t>
      </w:r>
      <w:r w:rsidRPr="00885502">
        <w:rPr>
          <w:rStyle w:val="apple-converted-space"/>
          <w:rFonts w:cs="Segoe UI"/>
          <w:bCs/>
          <w:szCs w:val="19"/>
        </w:rPr>
        <w:t xml:space="preserve"> </w:t>
      </w:r>
      <w:r w:rsidRPr="00885502">
        <w:t>transferable to colleagues, new employees and students without</w:t>
      </w:r>
      <w:r w:rsidRPr="00885502">
        <w:rPr>
          <w:rStyle w:val="apple-converted-space"/>
          <w:rFonts w:cs="Segoe UI"/>
          <w:b/>
          <w:bCs/>
          <w:szCs w:val="19"/>
        </w:rPr>
        <w:t xml:space="preserve"> </w:t>
      </w:r>
      <w:r w:rsidRPr="00885502">
        <w:t>face-to-face communication</w:t>
      </w:r>
      <w:r w:rsidRPr="00885502">
        <w:rPr>
          <w:rStyle w:val="apple-converted-space"/>
          <w:rFonts w:cs="Segoe UI"/>
          <w:b/>
          <w:bCs/>
          <w:szCs w:val="19"/>
        </w:rPr>
        <w:t xml:space="preserve"> </w:t>
      </w:r>
      <w:r w:rsidRPr="00885502">
        <w:t>or more systematic knowledge sharing.</w:t>
      </w:r>
    </w:p>
    <w:p w:rsidR="000918CB" w:rsidRPr="00F64E5E" w:rsidRDefault="00231061" w:rsidP="00F64E5E">
      <w:pPr>
        <w:pStyle w:val="Heading5"/>
      </w:pPr>
      <w:bookmarkStart w:id="951" w:name="_Toc474639229"/>
      <w:r w:rsidRPr="00F64E5E">
        <w:t>Figure</w:t>
      </w:r>
      <w:r w:rsidR="004222AD">
        <w:t xml:space="preserve"> </w:t>
      </w:r>
      <w:r w:rsidR="000918CB" w:rsidRPr="00F64E5E">
        <w:t>14.</w:t>
      </w:r>
      <w:r w:rsidR="001A12B2">
        <w:fldChar w:fldCharType="begin"/>
      </w:r>
      <w:r w:rsidR="00F27418">
        <w:instrText xml:space="preserve"> SEQ Figure \* ARABIC \s 1 </w:instrText>
      </w:r>
      <w:r w:rsidR="001A12B2">
        <w:fldChar w:fldCharType="separate"/>
      </w:r>
      <w:r w:rsidR="00AF29C3">
        <w:rPr>
          <w:noProof/>
        </w:rPr>
        <w:t>1</w:t>
      </w:r>
      <w:r w:rsidR="001A12B2">
        <w:fldChar w:fldCharType="end"/>
      </w:r>
      <w:r w:rsidR="000918CB" w:rsidRPr="00F64E5E">
        <w:t>: BDP 2100 related elements of Knowledge and Competence Management</w:t>
      </w:r>
      <w:bookmarkEnd w:id="951"/>
    </w:p>
    <w:p w:rsidR="009E6C45" w:rsidRPr="00B60BD0" w:rsidRDefault="009E6C45" w:rsidP="009E6C45">
      <w:pPr>
        <w:jc w:val="both"/>
        <w:rPr>
          <w:color w:val="FF0000"/>
        </w:rPr>
      </w:pPr>
      <w:r w:rsidRPr="00B60BD0">
        <w:rPr>
          <w:noProof/>
          <w:color w:val="FF0000"/>
          <w:lang w:val="en-AU" w:eastAsia="en-AU" w:bidi="bn-BD"/>
        </w:rPr>
        <w:drawing>
          <wp:inline distT="0" distB="0" distL="0" distR="0">
            <wp:extent cx="5595550" cy="3744596"/>
            <wp:effectExtent l="0" t="0" r="571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del Information &amp; Competence Management - Kautto 1998.gif"/>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95678" cy="3744682"/>
                    </a:xfrm>
                    <a:prstGeom prst="rect">
                      <a:avLst/>
                    </a:prstGeom>
                  </pic:spPr>
                </pic:pic>
              </a:graphicData>
            </a:graphic>
          </wp:inline>
        </w:drawing>
      </w:r>
    </w:p>
    <w:p w:rsidR="009E6C45" w:rsidRPr="00885502" w:rsidRDefault="009E6C45" w:rsidP="00EB6939">
      <w:pPr>
        <w:spacing w:line="276" w:lineRule="auto"/>
        <w:jc w:val="both"/>
      </w:pPr>
      <w:r w:rsidRPr="00885502">
        <w:t xml:space="preserve">The digitization and modernization in many sectors </w:t>
      </w:r>
      <w:r>
        <w:t xml:space="preserve">also </w:t>
      </w:r>
      <w:r w:rsidRPr="00885502">
        <w:t>demand research and educational reform. The operation mode, content, methods, role of learning or teaching environments of the whole education chain have to be developed to respond more flexibly and proactively to the needs of the knowledge communities and economy. This means a new way of networking among educational institutions as well as with stakeholders.</w:t>
      </w:r>
    </w:p>
    <w:p w:rsidR="00000000" w:rsidRDefault="009E6C45" w:rsidP="003D5A31">
      <w:pPr>
        <w:pStyle w:val="BodyText"/>
        <w:numPr>
          <w:ilvl w:val="2"/>
          <w:numId w:val="250"/>
        </w:numPr>
        <w:spacing w:after="240" w:line="276" w:lineRule="auto"/>
        <w:jc w:val="both"/>
        <w:rPr>
          <w:rFonts w:cs="Times New Roman"/>
          <w:b/>
          <w:szCs w:val="24"/>
        </w:rPr>
      </w:pPr>
      <w:r w:rsidRPr="00EB6939">
        <w:rPr>
          <w:rFonts w:cs="Times New Roman"/>
          <w:b/>
          <w:szCs w:val="24"/>
        </w:rPr>
        <w:t>Making Existing Knowledge and Information Available</w:t>
      </w:r>
    </w:p>
    <w:p w:rsidR="009E6C45" w:rsidRPr="00885502" w:rsidRDefault="009E6C45" w:rsidP="009E6C45">
      <w:pPr>
        <w:spacing w:line="276" w:lineRule="auto"/>
        <w:jc w:val="both"/>
      </w:pPr>
      <w:r w:rsidRPr="00885502">
        <w:t>The internet and intranets today serve a common environment for information and knowledge access, sources and services. In spite of powerful search engines, a lot of challenges exist, e.g., information overload and the difficulty of quickly finding needed, meaningful information and knowledge. There is a need to find methods to better navigate in information networks. This could be done by analyzing, organizing and mapping existing information and knowledge assets and by producing meta-level information, information about information.</w:t>
      </w:r>
    </w:p>
    <w:p w:rsidR="00000000" w:rsidRDefault="009E6C45" w:rsidP="003D5A31">
      <w:pPr>
        <w:pStyle w:val="BodyText"/>
        <w:numPr>
          <w:ilvl w:val="2"/>
          <w:numId w:val="250"/>
        </w:numPr>
        <w:spacing w:after="240" w:line="276" w:lineRule="auto"/>
        <w:jc w:val="both"/>
        <w:rPr>
          <w:rFonts w:cs="Times New Roman"/>
          <w:b/>
          <w:szCs w:val="24"/>
        </w:rPr>
      </w:pPr>
      <w:r w:rsidRPr="00EB6939">
        <w:rPr>
          <w:rFonts w:cs="Times New Roman"/>
          <w:b/>
          <w:szCs w:val="24"/>
        </w:rPr>
        <w:t>Realization of Knowledge Application and Innovation</w:t>
      </w:r>
    </w:p>
    <w:p w:rsidR="009E6C45" w:rsidRPr="00885502" w:rsidRDefault="009E6C45" w:rsidP="009E6C45">
      <w:pPr>
        <w:spacing w:line="276" w:lineRule="auto"/>
        <w:jc w:val="both"/>
      </w:pPr>
      <w:r w:rsidRPr="00885502">
        <w:t>A national innovation system is a knowledge community and a channel connecting those who create, apply and exploit new knowledge. In a knowledge society, innovations systems are based heavily on national, regional and global networking and value-chain modeling. Challenges are how small and medium size government or private organizations and institutional research centers can be supported in developing their operation mode and skills to adopt the new working methods of the knowledge networks. This requires the globalization of national and regional research centers, support for establishing new value chains and motivation for organizational and individual innovations. In addition to technical innovations, social innovations will become important in the future.</w:t>
      </w:r>
    </w:p>
    <w:p w:rsidR="009E6C45" w:rsidRDefault="009E6C45" w:rsidP="009E6C45">
      <w:pPr>
        <w:spacing w:line="276" w:lineRule="auto"/>
        <w:jc w:val="both"/>
      </w:pPr>
      <w:r w:rsidRPr="00885502">
        <w:t xml:space="preserve">Knowledge and competences do not transform automatically into economic growth, new jobs, and welfare. They must also be strategically directed and managed. The best results can be achieved if </w:t>
      </w:r>
      <w:r w:rsidR="000B096E">
        <w:t>public</w:t>
      </w:r>
      <w:r w:rsidRPr="00885502">
        <w:t xml:space="preserve"> sector organizations, education and research institutions, private sector and other relevant parties develop a common vision and strategy regarding required core competencies and knowledge in society with respect to a specific knowledge domain. This would require a continuous (annual) strategy process. Strategic governance should give through its vision and strategy processes the main goals for operations as well as the creation of proper conditions.</w:t>
      </w:r>
    </w:p>
    <w:p w:rsidR="00771279" w:rsidRDefault="00771279" w:rsidP="009E6C45">
      <w:pPr>
        <w:spacing w:line="276" w:lineRule="auto"/>
        <w:jc w:val="both"/>
      </w:pPr>
    </w:p>
    <w:p w:rsidR="00771279" w:rsidRPr="00885502" w:rsidRDefault="00771279" w:rsidP="009E6C45">
      <w:pPr>
        <w:spacing w:line="276" w:lineRule="auto"/>
        <w:jc w:val="both"/>
        <w:rPr>
          <w:highlight w:val="red"/>
        </w:rPr>
      </w:pPr>
    </w:p>
    <w:p w:rsidR="00000000" w:rsidRDefault="007F2F9C" w:rsidP="003D5A31">
      <w:pPr>
        <w:pStyle w:val="BodyText"/>
        <w:numPr>
          <w:ilvl w:val="2"/>
          <w:numId w:val="250"/>
        </w:numPr>
        <w:spacing w:after="240" w:line="276" w:lineRule="auto"/>
        <w:jc w:val="both"/>
        <w:rPr>
          <w:rFonts w:cs="Times New Roman"/>
          <w:b/>
          <w:szCs w:val="24"/>
        </w:rPr>
      </w:pPr>
      <w:r w:rsidRPr="001D703C">
        <w:rPr>
          <w:rFonts w:cs="Times New Roman"/>
          <w:b/>
          <w:szCs w:val="24"/>
        </w:rPr>
        <w:t>Developing</w:t>
      </w:r>
      <w:r w:rsidR="00D02605">
        <w:rPr>
          <w:rFonts w:cs="Times New Roman"/>
          <w:b/>
          <w:szCs w:val="24"/>
        </w:rPr>
        <w:t xml:space="preserve"> Knowledge Strategy for BDP2100</w:t>
      </w:r>
    </w:p>
    <w:p w:rsidR="006912EC" w:rsidRPr="00885502" w:rsidRDefault="006912EC" w:rsidP="006912EC">
      <w:pPr>
        <w:spacing w:line="276" w:lineRule="auto"/>
        <w:jc w:val="both"/>
        <w:rPr>
          <w:rFonts w:cs="Segoe UI"/>
          <w:szCs w:val="19"/>
        </w:rPr>
      </w:pPr>
      <w:r w:rsidRPr="00885502">
        <w:t>The Knowledge Management Strategy aims to support the achievement of these goals, which means that the goal related knowledge domains, burning issues and research questions have to be addressed and prioritized as well as to be elaborated in Strategies and Project Concept Notes. This together provides the Knowledge Agenda. Knowledge Management however contains more than formulating a Knowledge Agenda. Knowledge generation, making knowledge available and accessible and the utilization of knowledge are activities which have been explored and addressed. All these components belong to the Knowledge Management Approach  During the separate discussion, suggestions were made concerning the goals, set-up and financing of the knowledge approach. The Delta knowledge strategy aims to achieve the two knowledge targets consists of following: prepare necessary arrangements to investigate knowledge needs, accumulate knowledge, set knowledge available, realize the knowledge value and establish and develop a delta knowledge community as has been indicated in Figure 14.2. Sub-strategies are:</w:t>
      </w:r>
    </w:p>
    <w:p w:rsidR="00000000" w:rsidRDefault="006912EC" w:rsidP="003D5A31">
      <w:pPr>
        <w:pStyle w:val="ListParagraph"/>
        <w:numPr>
          <w:ilvl w:val="0"/>
          <w:numId w:val="195"/>
        </w:numPr>
        <w:spacing w:line="276" w:lineRule="auto"/>
        <w:jc w:val="both"/>
      </w:pPr>
      <w:r w:rsidRPr="00885502">
        <w:rPr>
          <w:rFonts w:cs="Segoe UI"/>
          <w:szCs w:val="19"/>
        </w:rPr>
        <w:t>Accumulate knowledge, conduct necessary studies, answer knowledge questions. Validation and formalization of knowledge and data is important: e.g. which climate change models and data are qualified and approved by GoB etc.;</w:t>
      </w:r>
    </w:p>
    <w:p w:rsidR="00000000" w:rsidRDefault="006912EC" w:rsidP="003D5A31">
      <w:pPr>
        <w:pStyle w:val="ListParagraph"/>
        <w:numPr>
          <w:ilvl w:val="0"/>
          <w:numId w:val="195"/>
        </w:numPr>
        <w:spacing w:line="276" w:lineRule="auto"/>
        <w:jc w:val="both"/>
      </w:pPr>
      <w:r w:rsidRPr="00885502">
        <w:rPr>
          <w:rFonts w:cs="Segoe UI"/>
          <w:szCs w:val="19"/>
        </w:rPr>
        <w:t xml:space="preserve">Make knowledge and data available, establish a central Information Portal or knowledge hub and other means; </w:t>
      </w:r>
    </w:p>
    <w:p w:rsidR="00000000" w:rsidRDefault="006912EC" w:rsidP="003D5A31">
      <w:pPr>
        <w:pStyle w:val="ListParagraph"/>
        <w:numPr>
          <w:ilvl w:val="0"/>
          <w:numId w:val="195"/>
        </w:numPr>
        <w:spacing w:line="276" w:lineRule="auto"/>
        <w:jc w:val="both"/>
      </w:pPr>
      <w:r w:rsidRPr="00885502">
        <w:rPr>
          <w:rFonts w:cs="Segoe UI"/>
          <w:szCs w:val="19"/>
        </w:rPr>
        <w:t>Realize the knowledge value, make planning and implementation science and knowledge driven and monitoring and evaluation result based and arrange knowledge and data link with updating of BDP 2100.</w:t>
      </w:r>
    </w:p>
    <w:p w:rsidR="00571B7D" w:rsidRDefault="00571B7D" w:rsidP="00571B7D">
      <w:pPr>
        <w:spacing w:line="276" w:lineRule="auto"/>
        <w:jc w:val="both"/>
      </w:pPr>
    </w:p>
    <w:p w:rsidR="00571B7D" w:rsidRDefault="00571B7D" w:rsidP="00571B7D">
      <w:pPr>
        <w:spacing w:line="276" w:lineRule="auto"/>
        <w:jc w:val="both"/>
      </w:pPr>
    </w:p>
    <w:p w:rsidR="00571B7D" w:rsidRDefault="00571B7D" w:rsidP="00571B7D">
      <w:pPr>
        <w:spacing w:line="276" w:lineRule="auto"/>
        <w:jc w:val="both"/>
      </w:pPr>
    </w:p>
    <w:p w:rsidR="00571B7D" w:rsidRDefault="00571B7D" w:rsidP="00571B7D">
      <w:pPr>
        <w:spacing w:line="276" w:lineRule="auto"/>
        <w:jc w:val="both"/>
      </w:pPr>
    </w:p>
    <w:p w:rsidR="00571B7D" w:rsidRDefault="00571B7D" w:rsidP="00571B7D">
      <w:pPr>
        <w:spacing w:line="276" w:lineRule="auto"/>
        <w:jc w:val="both"/>
      </w:pPr>
    </w:p>
    <w:p w:rsidR="00571B7D" w:rsidRDefault="00571B7D" w:rsidP="00571B7D">
      <w:pPr>
        <w:spacing w:line="276" w:lineRule="auto"/>
        <w:jc w:val="both"/>
      </w:pPr>
    </w:p>
    <w:p w:rsidR="00571B7D" w:rsidRDefault="00571B7D" w:rsidP="00571B7D">
      <w:pPr>
        <w:spacing w:line="276" w:lineRule="auto"/>
        <w:jc w:val="both"/>
      </w:pPr>
    </w:p>
    <w:p w:rsidR="00571B7D" w:rsidRDefault="00571B7D" w:rsidP="00571B7D">
      <w:pPr>
        <w:spacing w:line="276" w:lineRule="auto"/>
        <w:jc w:val="both"/>
      </w:pPr>
    </w:p>
    <w:p w:rsidR="00571B7D" w:rsidRDefault="00571B7D" w:rsidP="00571B7D">
      <w:pPr>
        <w:spacing w:line="276" w:lineRule="auto"/>
        <w:jc w:val="both"/>
      </w:pPr>
    </w:p>
    <w:p w:rsidR="00571B7D" w:rsidRPr="009914AF" w:rsidRDefault="00571B7D" w:rsidP="00571B7D">
      <w:pPr>
        <w:spacing w:line="276" w:lineRule="auto"/>
        <w:jc w:val="both"/>
      </w:pPr>
    </w:p>
    <w:p w:rsidR="009914AF" w:rsidRPr="00EB6939" w:rsidRDefault="009914AF" w:rsidP="00EB6939">
      <w:pPr>
        <w:pStyle w:val="Heading5"/>
      </w:pPr>
      <w:bookmarkStart w:id="952" w:name="_Toc474639230"/>
      <w:r w:rsidRPr="00EB6939">
        <w:t>Figure 14.2: BDP 2100 Knowledge and Data Management Approach</w:t>
      </w:r>
      <w:bookmarkEnd w:id="952"/>
    </w:p>
    <w:p w:rsidR="006912EC" w:rsidRPr="0000100B" w:rsidRDefault="006912EC" w:rsidP="004F5E05">
      <w:pPr>
        <w:jc w:val="center"/>
        <w:rPr>
          <w:rFonts w:cs="Segoe UI"/>
          <w:szCs w:val="19"/>
          <w:highlight w:val="red"/>
        </w:rPr>
      </w:pPr>
      <w:r>
        <w:rPr>
          <w:noProof/>
          <w:lang w:val="en-AU" w:eastAsia="en-AU" w:bidi="bn-BD"/>
        </w:rPr>
        <w:drawing>
          <wp:inline distT="0" distB="0" distL="0" distR="0">
            <wp:extent cx="4586470" cy="405765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DP 2100 knowledge management overview.png"/>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0143" cy="4069747"/>
                    </a:xfrm>
                    <a:prstGeom prst="rect">
                      <a:avLst/>
                    </a:prstGeom>
                  </pic:spPr>
                </pic:pic>
              </a:graphicData>
            </a:graphic>
          </wp:inline>
        </w:drawing>
      </w:r>
    </w:p>
    <w:p w:rsidR="006912EC" w:rsidRPr="00885502" w:rsidRDefault="006912EC" w:rsidP="006912EC">
      <w:pPr>
        <w:pStyle w:val="Caption"/>
        <w:jc w:val="both"/>
        <w:rPr>
          <w:color w:val="auto"/>
          <w:sz w:val="20"/>
          <w:szCs w:val="20"/>
        </w:rPr>
      </w:pPr>
    </w:p>
    <w:p w:rsidR="00000000" w:rsidRDefault="006912EC" w:rsidP="003D5A31">
      <w:pPr>
        <w:pStyle w:val="ListParagraph"/>
        <w:numPr>
          <w:ilvl w:val="0"/>
          <w:numId w:val="195"/>
        </w:numPr>
        <w:spacing w:after="0"/>
        <w:jc w:val="both"/>
        <w:rPr>
          <w:rFonts w:cs="Segoe UI"/>
          <w:szCs w:val="19"/>
        </w:rPr>
      </w:pPr>
      <w:r w:rsidRPr="00885502">
        <w:rPr>
          <w:rFonts w:cs="Segoe UI"/>
          <w:szCs w:val="19"/>
        </w:rPr>
        <w:t>Develop and facilitate a Delta Knowledge Community with knowledge and data related partners e.g. further develop platform of Knowledge Roundtable participants;</w:t>
      </w:r>
    </w:p>
    <w:p w:rsidR="00000000" w:rsidRDefault="006912EC" w:rsidP="003D5A31">
      <w:pPr>
        <w:pStyle w:val="ListParagraph"/>
        <w:numPr>
          <w:ilvl w:val="1"/>
          <w:numId w:val="183"/>
        </w:numPr>
        <w:spacing w:after="0"/>
        <w:jc w:val="both"/>
        <w:rPr>
          <w:rFonts w:cs="Segoe UI"/>
          <w:szCs w:val="19"/>
        </w:rPr>
      </w:pPr>
      <w:r w:rsidRPr="00885502">
        <w:rPr>
          <w:rFonts w:cs="Segoe UI"/>
          <w:szCs w:val="19"/>
        </w:rPr>
        <w:t>develop a central knowledge node and Portal to BDP 2100 and a strategic partnership with primary knowledge institutions</w:t>
      </w:r>
    </w:p>
    <w:p w:rsidR="00000000" w:rsidRDefault="006912EC" w:rsidP="003D5A31">
      <w:pPr>
        <w:pStyle w:val="ListParagraph"/>
        <w:numPr>
          <w:ilvl w:val="1"/>
          <w:numId w:val="183"/>
        </w:numPr>
        <w:spacing w:after="0"/>
        <w:jc w:val="both"/>
        <w:rPr>
          <w:rFonts w:cs="Segoe UI"/>
          <w:szCs w:val="19"/>
        </w:rPr>
      </w:pPr>
      <w:r w:rsidRPr="00885502">
        <w:rPr>
          <w:rFonts w:cs="Segoe UI"/>
          <w:szCs w:val="19"/>
        </w:rPr>
        <w:t>create a for BDP relevant community of national and international knowledge and data generators and users;</w:t>
      </w:r>
    </w:p>
    <w:p w:rsidR="00000000" w:rsidRDefault="006912EC" w:rsidP="003D5A31">
      <w:pPr>
        <w:pStyle w:val="ListParagraph"/>
        <w:numPr>
          <w:ilvl w:val="0"/>
          <w:numId w:val="195"/>
        </w:numPr>
        <w:spacing w:after="0"/>
        <w:jc w:val="both"/>
        <w:rPr>
          <w:rFonts w:cs="Segoe UI"/>
          <w:szCs w:val="19"/>
        </w:rPr>
      </w:pPr>
      <w:r w:rsidRPr="00885502">
        <w:rPr>
          <w:rFonts w:cs="Segoe UI"/>
          <w:szCs w:val="19"/>
        </w:rPr>
        <w:t>Arrange Institutional Set Up and Funding (coming from Delta Fund) to the Delta knowledge and data management related strategies and actions.</w:t>
      </w:r>
    </w:p>
    <w:p w:rsidR="009914AF" w:rsidRPr="0013313A" w:rsidRDefault="009914AF" w:rsidP="004B0A08"/>
    <w:p w:rsidR="009914AF" w:rsidRPr="004B0A08" w:rsidRDefault="009914AF" w:rsidP="006912EC">
      <w:pPr>
        <w:pStyle w:val="BodyText"/>
        <w:spacing w:after="240" w:line="276" w:lineRule="auto"/>
        <w:jc w:val="both"/>
        <w:rPr>
          <w:b/>
        </w:rPr>
      </w:pPr>
      <w:r w:rsidRPr="004B0A08">
        <w:rPr>
          <w:b/>
        </w:rPr>
        <w:t>Substrategy 1: Investigate Knowledge Needs and Develop a Knowledge Agenda</w:t>
      </w:r>
    </w:p>
    <w:p w:rsidR="006912EC" w:rsidRPr="00885502" w:rsidRDefault="006912EC" w:rsidP="006912EC">
      <w:pPr>
        <w:pStyle w:val="BodyText"/>
        <w:spacing w:after="240" w:line="276" w:lineRule="auto"/>
        <w:jc w:val="both"/>
        <w:rPr>
          <w:rFonts w:cs="Times New Roman"/>
          <w:szCs w:val="24"/>
        </w:rPr>
      </w:pPr>
      <w:r w:rsidRPr="00885502">
        <w:t>For Delta Knowledge Management the basic question is what is the benefit and quality of existing knowledge and what are needs or requirements for new knowledge, validated data and related scientific methods or skills in a continuous changing delta situation. On this basis a prioritized list with knowledge questions has to be formed representing knowledge demand.</w:t>
      </w:r>
    </w:p>
    <w:p w:rsidR="006912EC" w:rsidRPr="00FA008F" w:rsidRDefault="006912EC" w:rsidP="006912EC">
      <w:pPr>
        <w:pStyle w:val="BodyText"/>
        <w:spacing w:after="240" w:line="276" w:lineRule="auto"/>
        <w:jc w:val="both"/>
        <w:rPr>
          <w:rFonts w:cs="Times New Roman"/>
          <w:szCs w:val="24"/>
        </w:rPr>
      </w:pPr>
      <w:r w:rsidRPr="00FA008F">
        <w:rPr>
          <w:rFonts w:cs="Times New Roman"/>
          <w:szCs w:val="24"/>
        </w:rPr>
        <w:t>Develop the knowledge agenda as an integrated delta agenda.  In Bangladesh</w:t>
      </w:r>
      <w:r>
        <w:rPr>
          <w:rFonts w:cs="Times New Roman"/>
          <w:szCs w:val="24"/>
        </w:rPr>
        <w:t>,</w:t>
      </w:r>
      <w:r w:rsidRPr="00FA008F">
        <w:rPr>
          <w:rFonts w:cs="Times New Roman"/>
          <w:szCs w:val="24"/>
        </w:rPr>
        <w:t xml:space="preserve"> delta related research </w:t>
      </w:r>
      <w:r>
        <w:rPr>
          <w:rFonts w:cs="Times New Roman"/>
          <w:szCs w:val="24"/>
        </w:rPr>
        <w:t xml:space="preserve">is </w:t>
      </w:r>
      <w:r w:rsidRPr="00FA008F">
        <w:rPr>
          <w:rFonts w:cs="Times New Roman"/>
          <w:szCs w:val="24"/>
        </w:rPr>
        <w:t>conducted by different ministries through their specialized agencies but there is no institutional coordination.  Thus, for example, CEGIS and IWM do water management research for the Ministry of Water Resources.   The Ministry of Agriculture through its various affiliates does technical research on a range of agriculture production and productivity related issues including soil productivity, salinity, seeds, water use, fertilizer use, etc. Similarly, the Ministry of Environment and Forestry supports research on forest management, ecological balance, environmental sustainability etc.  Issues of river navigability are researched by the Ministry of shipping and Inland Water Management. Research under each ministry is typically done as stand-alone research with little or no coordination and collaboration. Importantly, this research agenda is uncoordinated and done in response to a donor project or donor-assisted technical program.  There is no guarantee that this research responds to a particular knowledge gap of the BDP2100 strategy or even mutually consistent.  As a consequence, piles of stand-alone technical reports have emerged over time, especially in the Ministry of Water Resources, with little implementation or relevance for a coordinated delta management. This is a huge challenge moving forward and has to be a core focus of the new knowledge strategy.</w:t>
      </w:r>
    </w:p>
    <w:p w:rsidR="006912EC" w:rsidRDefault="006912EC" w:rsidP="006912EC">
      <w:pPr>
        <w:jc w:val="both"/>
        <w:rPr>
          <w:highlight w:val="red"/>
        </w:rPr>
      </w:pPr>
      <w:r w:rsidRPr="00885502">
        <w:t>Knowledge needs have been formulated as basis of the Delta Plan’s Knowledge Agenda. This Knowledge Agenda takes the knowledge gaps and research questions of the Delta Plan’s Formulation Project’s Baseline Studies, as gathered in a Knowledge Gaps and Research Questions document, as its starting point. For the choice of subjects to be addressed in the knowledge agenda, the 19 themes as identified in the Inception Report of the Bangladesh Delta Plan 2100 Formulation Project were taken as the starting point. In order to consolidate these 19 themes, nine cross-thematic knowledge agenda subjects were identified. For each of those nine subjects, burning issue and an initial selection of research questions was formulated during two preparatory meetings on 14 January and 14 February 2016 involving experts from the different thematic study groups, as well as external experts. The division of subjects, their burning issues and research questions, were all open for discussion during the Knowledge Agenda Round Table on 1 March 2016. During the Knowledge Agenda Round Table nine different identified key subjects have been discussed in two sequential sessions. Each table was asked to prioritize a top-3 of most important research questions. The draft Knowledge Agenda identifies the key subjects as burning issues with their top-3 most importan</w:t>
      </w:r>
      <w:r w:rsidR="00A10FA4">
        <w:t>t research questions (Table 14.4</w:t>
      </w:r>
      <w:r w:rsidRPr="00885502">
        <w:t>).</w:t>
      </w:r>
      <w:r w:rsidRPr="00885502">
        <w:rPr>
          <w:highlight w:val="red"/>
        </w:rPr>
        <w:t xml:space="preserve"> </w:t>
      </w:r>
    </w:p>
    <w:p w:rsidR="00571B7D" w:rsidRDefault="00571B7D" w:rsidP="006912EC">
      <w:pPr>
        <w:jc w:val="both"/>
        <w:rPr>
          <w:highlight w:val="red"/>
        </w:rPr>
      </w:pPr>
    </w:p>
    <w:p w:rsidR="00571B7D" w:rsidRDefault="00571B7D" w:rsidP="006912EC">
      <w:pPr>
        <w:jc w:val="both"/>
        <w:rPr>
          <w:highlight w:val="red"/>
        </w:rPr>
      </w:pPr>
    </w:p>
    <w:p w:rsidR="00571B7D" w:rsidRPr="00885502" w:rsidRDefault="00571B7D" w:rsidP="006912EC">
      <w:pPr>
        <w:jc w:val="both"/>
        <w:rPr>
          <w:highlight w:val="red"/>
        </w:rPr>
      </w:pPr>
    </w:p>
    <w:p w:rsidR="006912EC" w:rsidRPr="00EB6939" w:rsidRDefault="006912EC" w:rsidP="00EB6939">
      <w:pPr>
        <w:pStyle w:val="Heading4"/>
      </w:pPr>
      <w:bookmarkStart w:id="953" w:name="_Ref462923595"/>
      <w:bookmarkStart w:id="954" w:name="_Toc463363770"/>
      <w:bookmarkStart w:id="955" w:name="_Toc474639158"/>
      <w:r w:rsidRPr="00EB6939">
        <w:t>Table</w:t>
      </w:r>
      <w:bookmarkEnd w:id="953"/>
      <w:r w:rsidR="00A10FA4">
        <w:t xml:space="preserve"> 14.4</w:t>
      </w:r>
      <w:r w:rsidRPr="00EB6939">
        <w:t>: BDP 2100 Knowledge Agenda</w:t>
      </w:r>
      <w:bookmarkEnd w:id="954"/>
      <w:bookmarkEnd w:id="955"/>
    </w:p>
    <w:tbl>
      <w:tblPr>
        <w:tblStyle w:val="TableGrid"/>
        <w:tblW w:w="0" w:type="auto"/>
        <w:tblLook w:val="04A0"/>
      </w:tblPr>
      <w:tblGrid>
        <w:gridCol w:w="1236"/>
        <w:gridCol w:w="2620"/>
        <w:gridCol w:w="5000"/>
      </w:tblGrid>
      <w:tr w:rsidR="006912EC" w:rsidRPr="00885502" w:rsidTr="00576F19">
        <w:trPr>
          <w:tblHeader/>
        </w:trPr>
        <w:tc>
          <w:tcPr>
            <w:tcW w:w="0" w:type="auto"/>
            <w:shd w:val="clear" w:color="auto" w:fill="EAF1DD" w:themeFill="accent3" w:themeFillTint="33"/>
          </w:tcPr>
          <w:p w:rsidR="006912EC" w:rsidRPr="00885502" w:rsidRDefault="006912EC" w:rsidP="00576F19">
            <w:pPr>
              <w:spacing w:after="0" w:line="240" w:lineRule="auto"/>
              <w:jc w:val="both"/>
              <w:rPr>
                <w:rFonts w:cs="Segoe UI"/>
                <w:b/>
                <w:sz w:val="16"/>
                <w:szCs w:val="16"/>
              </w:rPr>
            </w:pPr>
            <w:r w:rsidRPr="00885502">
              <w:rPr>
                <w:rFonts w:cs="Segoe UI"/>
                <w:b/>
                <w:sz w:val="16"/>
                <w:szCs w:val="16"/>
              </w:rPr>
              <w:t xml:space="preserve">Knowledge Area </w:t>
            </w:r>
            <w:r w:rsidR="00EA4E38">
              <w:rPr>
                <w:rFonts w:cs="Segoe UI"/>
                <w:b/>
                <w:sz w:val="16"/>
                <w:szCs w:val="16"/>
              </w:rPr>
              <w:t>No</w:t>
            </w:r>
            <w:r w:rsidRPr="00885502">
              <w:rPr>
                <w:rFonts w:cs="Segoe UI"/>
                <w:b/>
                <w:sz w:val="16"/>
                <w:szCs w:val="16"/>
              </w:rPr>
              <w:t>.</w:t>
            </w:r>
          </w:p>
        </w:tc>
        <w:tc>
          <w:tcPr>
            <w:tcW w:w="2653" w:type="dxa"/>
            <w:shd w:val="clear" w:color="auto" w:fill="EAF1DD" w:themeFill="accent3" w:themeFillTint="33"/>
          </w:tcPr>
          <w:p w:rsidR="006912EC" w:rsidRPr="00885502" w:rsidRDefault="006912EC" w:rsidP="00576F19">
            <w:pPr>
              <w:spacing w:after="0" w:line="240" w:lineRule="auto"/>
              <w:jc w:val="both"/>
              <w:rPr>
                <w:rFonts w:cs="Segoe UI"/>
                <w:b/>
                <w:sz w:val="16"/>
                <w:szCs w:val="16"/>
              </w:rPr>
            </w:pPr>
            <w:r w:rsidRPr="00885502">
              <w:rPr>
                <w:rFonts w:cs="Segoe UI"/>
                <w:b/>
                <w:sz w:val="16"/>
                <w:szCs w:val="16"/>
              </w:rPr>
              <w:t>Issue</w:t>
            </w:r>
          </w:p>
        </w:tc>
        <w:tc>
          <w:tcPr>
            <w:tcW w:w="5084" w:type="dxa"/>
            <w:shd w:val="clear" w:color="auto" w:fill="EAF1DD" w:themeFill="accent3" w:themeFillTint="33"/>
          </w:tcPr>
          <w:p w:rsidR="006912EC" w:rsidRPr="00885502" w:rsidRDefault="006912EC" w:rsidP="00576F19">
            <w:pPr>
              <w:spacing w:after="0" w:line="240" w:lineRule="auto"/>
              <w:jc w:val="both"/>
              <w:rPr>
                <w:rFonts w:cs="Segoe UI"/>
                <w:b/>
                <w:sz w:val="16"/>
                <w:szCs w:val="16"/>
              </w:rPr>
            </w:pPr>
            <w:r w:rsidRPr="00885502">
              <w:rPr>
                <w:rFonts w:cs="Segoe UI"/>
                <w:b/>
                <w:sz w:val="16"/>
                <w:szCs w:val="16"/>
              </w:rPr>
              <w:t>Most Important Research Questions</w:t>
            </w:r>
          </w:p>
        </w:tc>
      </w:tr>
      <w:tr w:rsidR="006912EC" w:rsidRPr="00885502" w:rsidTr="00576F19">
        <w:tc>
          <w:tcPr>
            <w:tcW w:w="0" w:type="auto"/>
          </w:tcPr>
          <w:p w:rsidR="006912EC" w:rsidRPr="00885502" w:rsidRDefault="006912EC" w:rsidP="00576F19">
            <w:pPr>
              <w:spacing w:after="0" w:line="240" w:lineRule="auto"/>
              <w:jc w:val="both"/>
              <w:rPr>
                <w:rFonts w:cs="Segoe UI"/>
                <w:sz w:val="18"/>
                <w:szCs w:val="18"/>
              </w:rPr>
            </w:pPr>
            <w:r w:rsidRPr="00885502">
              <w:rPr>
                <w:rFonts w:cs="Segoe UI"/>
                <w:sz w:val="18"/>
                <w:szCs w:val="18"/>
              </w:rPr>
              <w:t xml:space="preserve">1. </w:t>
            </w:r>
          </w:p>
          <w:p w:rsidR="006912EC" w:rsidRPr="00885502" w:rsidRDefault="006912EC" w:rsidP="00576F19">
            <w:pPr>
              <w:spacing w:after="0" w:line="240" w:lineRule="auto"/>
              <w:jc w:val="both"/>
              <w:rPr>
                <w:rFonts w:cs="Segoe UI"/>
                <w:sz w:val="18"/>
                <w:szCs w:val="18"/>
              </w:rPr>
            </w:pPr>
            <w:r w:rsidRPr="00885502">
              <w:rPr>
                <w:rFonts w:cs="Segoe UI"/>
                <w:sz w:val="18"/>
                <w:szCs w:val="18"/>
              </w:rPr>
              <w:t>Climate Change</w:t>
            </w:r>
          </w:p>
        </w:tc>
        <w:tc>
          <w:tcPr>
            <w:tcW w:w="2653" w:type="dxa"/>
          </w:tcPr>
          <w:p w:rsidR="006912EC" w:rsidRPr="00885502" w:rsidRDefault="006912EC" w:rsidP="00576F19">
            <w:pPr>
              <w:spacing w:after="0" w:line="240" w:lineRule="auto"/>
              <w:jc w:val="both"/>
              <w:rPr>
                <w:rFonts w:cs="Segoe UI"/>
                <w:sz w:val="18"/>
                <w:szCs w:val="18"/>
              </w:rPr>
            </w:pPr>
            <w:r w:rsidRPr="00885502">
              <w:rPr>
                <w:rFonts w:cs="Segoe UI"/>
                <w:sz w:val="18"/>
                <w:szCs w:val="18"/>
              </w:rPr>
              <w:t>What are the local and regional consequences of climate change on the scale of 50-100 years over the Ganges, Brahmaputra and Meghna catchment areas?</w:t>
            </w:r>
          </w:p>
        </w:tc>
        <w:tc>
          <w:tcPr>
            <w:tcW w:w="5084" w:type="dxa"/>
          </w:tcPr>
          <w:p w:rsidR="00000000" w:rsidRDefault="006912EC" w:rsidP="003D5A31">
            <w:pPr>
              <w:pStyle w:val="ListParagraph"/>
              <w:numPr>
                <w:ilvl w:val="0"/>
                <w:numId w:val="185"/>
              </w:numPr>
              <w:spacing w:after="0" w:line="240" w:lineRule="auto"/>
              <w:jc w:val="both"/>
              <w:rPr>
                <w:rFonts w:eastAsia="MS ??" w:cs="Segoe UI"/>
                <w:sz w:val="18"/>
                <w:szCs w:val="18"/>
              </w:rPr>
            </w:pPr>
            <w:r w:rsidRPr="00885502">
              <w:rPr>
                <w:rFonts w:cs="Segoe UI"/>
                <w:sz w:val="18"/>
                <w:szCs w:val="18"/>
              </w:rPr>
              <w:t>How can we develop tailor-made climate projections for different sectors and users for adaptation purposes?</w:t>
            </w:r>
          </w:p>
          <w:p w:rsidR="00000000" w:rsidRDefault="006912EC" w:rsidP="003D5A31">
            <w:pPr>
              <w:pStyle w:val="ListParagraph"/>
              <w:numPr>
                <w:ilvl w:val="0"/>
                <w:numId w:val="185"/>
              </w:numPr>
              <w:spacing w:after="0" w:line="240" w:lineRule="auto"/>
              <w:jc w:val="both"/>
              <w:rPr>
                <w:rFonts w:eastAsia="MS ??" w:cs="Segoe UI"/>
                <w:sz w:val="18"/>
                <w:szCs w:val="18"/>
              </w:rPr>
            </w:pPr>
            <w:r w:rsidRPr="00885502">
              <w:rPr>
                <w:rFonts w:cs="Segoe UI"/>
                <w:sz w:val="18"/>
                <w:szCs w:val="18"/>
              </w:rPr>
              <w:t>How can climate scenarios be drawn up with a high spatial and temporal resolution?</w:t>
            </w:r>
          </w:p>
          <w:p w:rsidR="00000000" w:rsidRDefault="006912EC" w:rsidP="003D5A31">
            <w:pPr>
              <w:pStyle w:val="ListParagraph"/>
              <w:numPr>
                <w:ilvl w:val="0"/>
                <w:numId w:val="185"/>
              </w:numPr>
              <w:spacing w:after="0" w:line="240" w:lineRule="auto"/>
              <w:jc w:val="both"/>
              <w:rPr>
                <w:rFonts w:eastAsia="MS ??" w:cs="Segoe UI"/>
                <w:sz w:val="18"/>
                <w:szCs w:val="18"/>
              </w:rPr>
            </w:pPr>
            <w:r w:rsidRPr="00885502">
              <w:rPr>
                <w:rFonts w:cs="Segoe UI"/>
                <w:sz w:val="18"/>
                <w:szCs w:val="18"/>
              </w:rPr>
              <w:t>How does changing climate condition affect monsoon and tropical cyclone formation?</w:t>
            </w:r>
          </w:p>
        </w:tc>
      </w:tr>
      <w:tr w:rsidR="006912EC" w:rsidRPr="00885502" w:rsidTr="00576F19">
        <w:tc>
          <w:tcPr>
            <w:tcW w:w="0" w:type="auto"/>
          </w:tcPr>
          <w:p w:rsidR="006912EC" w:rsidRPr="00885502" w:rsidRDefault="006912EC" w:rsidP="00576F19">
            <w:pPr>
              <w:spacing w:after="0" w:line="240" w:lineRule="auto"/>
              <w:jc w:val="both"/>
              <w:rPr>
                <w:rFonts w:cs="Segoe UI"/>
                <w:sz w:val="18"/>
                <w:szCs w:val="18"/>
              </w:rPr>
            </w:pPr>
            <w:r w:rsidRPr="00885502">
              <w:rPr>
                <w:rFonts w:cs="Segoe UI"/>
                <w:sz w:val="18"/>
                <w:szCs w:val="18"/>
              </w:rPr>
              <w:t>2.</w:t>
            </w:r>
          </w:p>
          <w:p w:rsidR="006912EC" w:rsidRPr="00885502" w:rsidRDefault="006912EC" w:rsidP="00576F19">
            <w:pPr>
              <w:spacing w:after="0" w:line="240" w:lineRule="auto"/>
              <w:jc w:val="both"/>
              <w:rPr>
                <w:rFonts w:cs="Segoe UI"/>
                <w:sz w:val="18"/>
                <w:szCs w:val="18"/>
              </w:rPr>
            </w:pPr>
            <w:r w:rsidRPr="00885502">
              <w:rPr>
                <w:rFonts w:cs="Segoe UI"/>
                <w:sz w:val="18"/>
                <w:szCs w:val="18"/>
              </w:rPr>
              <w:t>Adaptive Delta Management</w:t>
            </w:r>
          </w:p>
          <w:p w:rsidR="006912EC" w:rsidRPr="00885502" w:rsidRDefault="006912EC" w:rsidP="00576F19">
            <w:pPr>
              <w:spacing w:after="0" w:line="240" w:lineRule="auto"/>
              <w:jc w:val="both"/>
              <w:rPr>
                <w:rFonts w:cs="Segoe UI"/>
                <w:sz w:val="18"/>
                <w:szCs w:val="18"/>
              </w:rPr>
            </w:pPr>
          </w:p>
        </w:tc>
        <w:tc>
          <w:tcPr>
            <w:tcW w:w="2653" w:type="dxa"/>
          </w:tcPr>
          <w:p w:rsidR="006912EC" w:rsidRPr="00885502" w:rsidRDefault="006912EC" w:rsidP="00576F19">
            <w:pPr>
              <w:spacing w:after="0" w:line="240" w:lineRule="auto"/>
              <w:jc w:val="both"/>
              <w:rPr>
                <w:rFonts w:cs="Segoe UI"/>
                <w:sz w:val="18"/>
                <w:szCs w:val="18"/>
              </w:rPr>
            </w:pPr>
            <w:r w:rsidRPr="00885502">
              <w:rPr>
                <w:rFonts w:cs="Segoe UI"/>
                <w:sz w:val="18"/>
                <w:szCs w:val="18"/>
              </w:rPr>
              <w:t>How to integrate the principles of flexibility and iterative learning in delta management and how to exploit synergies between water resources related and other investment agendas of sustained food security and economic growth?</w:t>
            </w:r>
          </w:p>
        </w:tc>
        <w:tc>
          <w:tcPr>
            <w:tcW w:w="5084" w:type="dxa"/>
          </w:tcPr>
          <w:p w:rsidR="00000000" w:rsidRDefault="006912EC" w:rsidP="003D5A31">
            <w:pPr>
              <w:pStyle w:val="ListParagraph"/>
              <w:numPr>
                <w:ilvl w:val="0"/>
                <w:numId w:val="186"/>
              </w:numPr>
              <w:spacing w:after="0" w:line="240" w:lineRule="auto"/>
              <w:jc w:val="both"/>
              <w:rPr>
                <w:rFonts w:eastAsia="MS ??" w:cs="Segoe UI"/>
                <w:sz w:val="18"/>
                <w:szCs w:val="18"/>
              </w:rPr>
            </w:pPr>
            <w:r w:rsidRPr="00885502">
              <w:rPr>
                <w:rFonts w:cs="Segoe UI"/>
                <w:sz w:val="18"/>
                <w:szCs w:val="18"/>
              </w:rPr>
              <w:t>How can adaptive / flexible planning and delta management concepts (like adaptation pathways and scenario planning) be integrated, operationalized and institutionalized in water and related sectoral planning and management practices?</w:t>
            </w:r>
          </w:p>
          <w:p w:rsidR="00000000" w:rsidRDefault="006912EC" w:rsidP="003D5A31">
            <w:pPr>
              <w:pStyle w:val="ListParagraph"/>
              <w:numPr>
                <w:ilvl w:val="0"/>
                <w:numId w:val="186"/>
              </w:numPr>
              <w:spacing w:after="0" w:line="240" w:lineRule="auto"/>
              <w:jc w:val="both"/>
              <w:rPr>
                <w:rFonts w:eastAsia="MS ??" w:cs="Segoe UI"/>
                <w:sz w:val="18"/>
                <w:szCs w:val="18"/>
              </w:rPr>
            </w:pPr>
            <w:r w:rsidRPr="00885502">
              <w:rPr>
                <w:rFonts w:cs="Segoe UI"/>
                <w:sz w:val="18"/>
                <w:szCs w:val="18"/>
              </w:rPr>
              <w:t>What changes (if any) are needed in the relevant national policies to improve adaptive delta management?</w:t>
            </w:r>
          </w:p>
          <w:p w:rsidR="00000000" w:rsidRDefault="006912EC" w:rsidP="003D5A31">
            <w:pPr>
              <w:pStyle w:val="ListParagraph"/>
              <w:numPr>
                <w:ilvl w:val="0"/>
                <w:numId w:val="186"/>
              </w:numPr>
              <w:spacing w:after="0" w:line="240" w:lineRule="auto"/>
              <w:jc w:val="both"/>
              <w:rPr>
                <w:rFonts w:eastAsia="MS ??" w:cs="Segoe UI"/>
                <w:sz w:val="18"/>
                <w:szCs w:val="18"/>
              </w:rPr>
            </w:pPr>
            <w:r w:rsidRPr="00885502">
              <w:rPr>
                <w:rFonts w:cs="Segoe UI"/>
                <w:sz w:val="18"/>
                <w:szCs w:val="18"/>
              </w:rPr>
              <w:t>What should be the strategies to create a functional, applied adaptation research-practice-policy interface?</w:t>
            </w:r>
          </w:p>
        </w:tc>
      </w:tr>
      <w:tr w:rsidR="006912EC" w:rsidRPr="00885502" w:rsidTr="00576F19">
        <w:tc>
          <w:tcPr>
            <w:tcW w:w="0" w:type="auto"/>
          </w:tcPr>
          <w:p w:rsidR="006912EC" w:rsidRPr="00885502" w:rsidRDefault="006912EC" w:rsidP="00576F19">
            <w:pPr>
              <w:spacing w:after="0" w:line="240" w:lineRule="auto"/>
              <w:jc w:val="both"/>
              <w:rPr>
                <w:rFonts w:cs="Segoe UI"/>
                <w:sz w:val="18"/>
                <w:szCs w:val="18"/>
              </w:rPr>
            </w:pPr>
            <w:r w:rsidRPr="00885502">
              <w:rPr>
                <w:rFonts w:cs="Segoe UI"/>
                <w:sz w:val="18"/>
                <w:szCs w:val="18"/>
              </w:rPr>
              <w:t>3.</w:t>
            </w:r>
          </w:p>
          <w:p w:rsidR="006912EC" w:rsidRPr="00885502" w:rsidRDefault="006912EC" w:rsidP="00576F19">
            <w:pPr>
              <w:spacing w:after="0" w:line="240" w:lineRule="auto"/>
              <w:jc w:val="both"/>
              <w:rPr>
                <w:rFonts w:cs="Segoe UI"/>
                <w:sz w:val="18"/>
                <w:szCs w:val="18"/>
              </w:rPr>
            </w:pPr>
            <w:r w:rsidRPr="00885502">
              <w:rPr>
                <w:rFonts w:cs="Segoe UI"/>
                <w:sz w:val="18"/>
                <w:szCs w:val="18"/>
              </w:rPr>
              <w:t>Rivers and Eco-Systems</w:t>
            </w:r>
          </w:p>
        </w:tc>
        <w:tc>
          <w:tcPr>
            <w:tcW w:w="2653" w:type="dxa"/>
          </w:tcPr>
          <w:p w:rsidR="006912EC" w:rsidRPr="00885502" w:rsidRDefault="006912EC" w:rsidP="00576F19">
            <w:pPr>
              <w:spacing w:after="0" w:line="240" w:lineRule="auto"/>
              <w:jc w:val="both"/>
              <w:rPr>
                <w:rFonts w:cs="Segoe UI"/>
                <w:sz w:val="18"/>
                <w:szCs w:val="18"/>
              </w:rPr>
            </w:pPr>
            <w:r w:rsidRPr="00885502">
              <w:rPr>
                <w:rFonts w:cs="Segoe UI"/>
                <w:sz w:val="18"/>
                <w:szCs w:val="18"/>
              </w:rPr>
              <w:t>If the discharge of one of the major rivers of the country were to diminish dramatically, what would the consequences be?</w:t>
            </w:r>
          </w:p>
        </w:tc>
        <w:tc>
          <w:tcPr>
            <w:tcW w:w="5084" w:type="dxa"/>
          </w:tcPr>
          <w:p w:rsidR="00000000" w:rsidRDefault="006912EC" w:rsidP="003D5A31">
            <w:pPr>
              <w:pStyle w:val="ListParagraph"/>
              <w:numPr>
                <w:ilvl w:val="0"/>
                <w:numId w:val="187"/>
              </w:numPr>
              <w:spacing w:after="0" w:line="240" w:lineRule="auto"/>
              <w:jc w:val="both"/>
              <w:rPr>
                <w:rFonts w:eastAsia="MS ??" w:cs="Segoe UI"/>
                <w:sz w:val="18"/>
                <w:szCs w:val="18"/>
              </w:rPr>
            </w:pPr>
            <w:r w:rsidRPr="00885502">
              <w:rPr>
                <w:rFonts w:cs="Segoe UI"/>
                <w:sz w:val="18"/>
                <w:szCs w:val="18"/>
              </w:rPr>
              <w:t>How can we mitigate and adapt to a low-discharge situation?</w:t>
            </w:r>
          </w:p>
          <w:p w:rsidR="00000000" w:rsidRDefault="006912EC" w:rsidP="003D5A31">
            <w:pPr>
              <w:pStyle w:val="ListParagraph"/>
              <w:numPr>
                <w:ilvl w:val="0"/>
                <w:numId w:val="187"/>
              </w:numPr>
              <w:spacing w:after="0" w:line="240" w:lineRule="auto"/>
              <w:jc w:val="both"/>
              <w:rPr>
                <w:rFonts w:eastAsia="MS ??" w:cs="Segoe UI"/>
                <w:sz w:val="18"/>
                <w:szCs w:val="18"/>
              </w:rPr>
            </w:pPr>
            <w:r w:rsidRPr="00885502">
              <w:rPr>
                <w:rFonts w:cs="Segoe UI"/>
                <w:sz w:val="18"/>
                <w:szCs w:val="18"/>
              </w:rPr>
              <w:t>What will be the hydro-morphological response in a low-discharge situation?</w:t>
            </w:r>
          </w:p>
          <w:p w:rsidR="00000000" w:rsidRDefault="006912EC" w:rsidP="003D5A31">
            <w:pPr>
              <w:pStyle w:val="ListParagraph"/>
              <w:numPr>
                <w:ilvl w:val="0"/>
                <w:numId w:val="187"/>
              </w:numPr>
              <w:spacing w:after="0" w:line="240" w:lineRule="auto"/>
              <w:jc w:val="both"/>
              <w:rPr>
                <w:rFonts w:eastAsia="MS ??" w:cs="Segoe UI"/>
                <w:sz w:val="18"/>
                <w:szCs w:val="18"/>
              </w:rPr>
            </w:pPr>
            <w:r w:rsidRPr="00885502">
              <w:rPr>
                <w:rFonts w:cs="Segoe UI"/>
                <w:sz w:val="18"/>
                <w:szCs w:val="18"/>
              </w:rPr>
              <w:t>What are the environmental, social and economic consequences in a low-discharge situation?</w:t>
            </w:r>
          </w:p>
        </w:tc>
      </w:tr>
      <w:tr w:rsidR="006912EC" w:rsidRPr="00885502" w:rsidTr="00576F19">
        <w:tc>
          <w:tcPr>
            <w:tcW w:w="0" w:type="auto"/>
          </w:tcPr>
          <w:p w:rsidR="006912EC" w:rsidRPr="00885502" w:rsidRDefault="006912EC" w:rsidP="00576F19">
            <w:pPr>
              <w:spacing w:after="0" w:line="240" w:lineRule="auto"/>
              <w:jc w:val="both"/>
              <w:rPr>
                <w:rFonts w:cs="Segoe UI"/>
                <w:sz w:val="18"/>
                <w:szCs w:val="18"/>
              </w:rPr>
            </w:pPr>
            <w:r w:rsidRPr="00885502">
              <w:rPr>
                <w:rFonts w:cs="Segoe UI"/>
                <w:sz w:val="18"/>
                <w:szCs w:val="18"/>
              </w:rPr>
              <w:t>4.</w:t>
            </w:r>
          </w:p>
          <w:p w:rsidR="006912EC" w:rsidRPr="00885502" w:rsidRDefault="006912EC" w:rsidP="00576F19">
            <w:pPr>
              <w:spacing w:after="0" w:line="240" w:lineRule="auto"/>
              <w:jc w:val="both"/>
              <w:rPr>
                <w:rFonts w:cs="Segoe UI"/>
                <w:sz w:val="18"/>
                <w:szCs w:val="18"/>
              </w:rPr>
            </w:pPr>
            <w:r w:rsidRPr="00885502">
              <w:rPr>
                <w:rFonts w:cs="Segoe UI"/>
                <w:sz w:val="18"/>
                <w:szCs w:val="18"/>
              </w:rPr>
              <w:t>Coastal Zone</w:t>
            </w:r>
          </w:p>
        </w:tc>
        <w:tc>
          <w:tcPr>
            <w:tcW w:w="2653" w:type="dxa"/>
          </w:tcPr>
          <w:p w:rsidR="006912EC" w:rsidRPr="00885502" w:rsidRDefault="006912EC" w:rsidP="00576F19">
            <w:pPr>
              <w:spacing w:after="0" w:line="240" w:lineRule="auto"/>
              <w:jc w:val="both"/>
              <w:rPr>
                <w:rFonts w:cs="Segoe UI"/>
                <w:sz w:val="18"/>
                <w:szCs w:val="18"/>
              </w:rPr>
            </w:pPr>
            <w:r w:rsidRPr="00885502">
              <w:rPr>
                <w:rFonts w:cs="Segoe UI"/>
                <w:sz w:val="18"/>
                <w:szCs w:val="18"/>
              </w:rPr>
              <w:t>How can future strategies be developed and integrated to provide a simultaneous answer to the myriad challenges facing the coastal area (e.g. salinization, fresh water, food security, siltation, flooding, cyclones, land erosion and accretion, economic perspective)?</w:t>
            </w:r>
          </w:p>
        </w:tc>
        <w:tc>
          <w:tcPr>
            <w:tcW w:w="5084" w:type="dxa"/>
          </w:tcPr>
          <w:p w:rsidR="00000000" w:rsidRDefault="006912EC" w:rsidP="003D5A31">
            <w:pPr>
              <w:pStyle w:val="ListParagraph"/>
              <w:numPr>
                <w:ilvl w:val="0"/>
                <w:numId w:val="196"/>
              </w:numPr>
              <w:spacing w:after="0" w:line="240" w:lineRule="auto"/>
              <w:jc w:val="both"/>
              <w:rPr>
                <w:rFonts w:eastAsia="MS ??" w:cs="Segoe UI"/>
                <w:sz w:val="18"/>
                <w:szCs w:val="18"/>
              </w:rPr>
            </w:pPr>
            <w:r w:rsidRPr="00885502">
              <w:rPr>
                <w:rFonts w:cs="Segoe UI"/>
                <w:sz w:val="18"/>
                <w:szCs w:val="18"/>
              </w:rPr>
              <w:t>Sediment management in the coastal zone:</w:t>
            </w:r>
          </w:p>
          <w:p w:rsidR="00000000" w:rsidRDefault="006912EC" w:rsidP="003D5A31">
            <w:pPr>
              <w:numPr>
                <w:ilvl w:val="1"/>
                <w:numId w:val="184"/>
              </w:numPr>
              <w:spacing w:after="0" w:line="240" w:lineRule="auto"/>
              <w:ind w:left="720"/>
              <w:jc w:val="both"/>
              <w:rPr>
                <w:rFonts w:eastAsia="MS ??" w:cs="Segoe UI"/>
                <w:sz w:val="18"/>
                <w:szCs w:val="18"/>
              </w:rPr>
            </w:pPr>
            <w:r w:rsidRPr="00885502">
              <w:rPr>
                <w:rFonts w:cs="Segoe UI"/>
                <w:sz w:val="18"/>
                <w:szCs w:val="18"/>
              </w:rPr>
              <w:t>What are the drivers of sedimentation and morphological processes? How can they be influenced e.g. to stimulate land reclamation?</w:t>
            </w:r>
          </w:p>
          <w:p w:rsidR="00000000" w:rsidRDefault="006912EC" w:rsidP="003D5A31">
            <w:pPr>
              <w:numPr>
                <w:ilvl w:val="1"/>
                <w:numId w:val="184"/>
              </w:numPr>
              <w:spacing w:after="0" w:line="240" w:lineRule="auto"/>
              <w:ind w:left="720"/>
              <w:jc w:val="both"/>
              <w:rPr>
                <w:rFonts w:eastAsia="MS ??" w:cs="Segoe UI"/>
                <w:sz w:val="18"/>
                <w:szCs w:val="18"/>
              </w:rPr>
            </w:pPr>
            <w:r w:rsidRPr="00885502">
              <w:rPr>
                <w:rFonts w:cs="Segoe UI"/>
                <w:sz w:val="18"/>
                <w:szCs w:val="18"/>
              </w:rPr>
              <w:t>What is the potential for land reclamation?</w:t>
            </w:r>
          </w:p>
          <w:p w:rsidR="00000000" w:rsidRDefault="006912EC" w:rsidP="003D5A31">
            <w:pPr>
              <w:numPr>
                <w:ilvl w:val="1"/>
                <w:numId w:val="184"/>
              </w:numPr>
              <w:spacing w:after="0" w:line="240" w:lineRule="auto"/>
              <w:ind w:left="720"/>
              <w:jc w:val="both"/>
              <w:rPr>
                <w:rFonts w:eastAsia="MS ??" w:cs="Segoe UI"/>
                <w:sz w:val="18"/>
                <w:szCs w:val="18"/>
              </w:rPr>
            </w:pPr>
            <w:r w:rsidRPr="00885502">
              <w:rPr>
                <w:rFonts w:cs="Segoe UI"/>
                <w:sz w:val="18"/>
                <w:szCs w:val="18"/>
              </w:rPr>
              <w:t>What is the effectiveness of Tidal River Management for water and sediment management in the medium and long term, considering technical and societal issues?</w:t>
            </w:r>
          </w:p>
          <w:p w:rsidR="00000000" w:rsidRDefault="006912EC" w:rsidP="003D5A31">
            <w:pPr>
              <w:numPr>
                <w:ilvl w:val="0"/>
                <w:numId w:val="184"/>
              </w:numPr>
              <w:spacing w:after="0" w:line="240" w:lineRule="auto"/>
              <w:jc w:val="both"/>
              <w:rPr>
                <w:rFonts w:eastAsia="MS ??" w:cs="Segoe UI"/>
                <w:sz w:val="18"/>
                <w:szCs w:val="18"/>
              </w:rPr>
            </w:pPr>
            <w:r w:rsidRPr="00885502">
              <w:rPr>
                <w:rFonts w:cs="Segoe UI"/>
                <w:sz w:val="18"/>
                <w:szCs w:val="18"/>
              </w:rPr>
              <w:t xml:space="preserve">How to monitor the coastal issues in connection with adaptive delta management and identification of possible tipping points and how to characterize the physical and social science processes which govern coastal vulnerability? </w:t>
            </w:r>
          </w:p>
          <w:p w:rsidR="00000000" w:rsidRDefault="006912EC" w:rsidP="003D5A31">
            <w:pPr>
              <w:numPr>
                <w:ilvl w:val="0"/>
                <w:numId w:val="184"/>
              </w:numPr>
              <w:spacing w:after="0" w:line="240" w:lineRule="auto"/>
              <w:jc w:val="both"/>
              <w:rPr>
                <w:rFonts w:eastAsia="MS ??" w:cs="Segoe UI"/>
                <w:sz w:val="18"/>
                <w:szCs w:val="18"/>
              </w:rPr>
            </w:pPr>
            <w:r w:rsidRPr="00885502">
              <w:rPr>
                <w:rFonts w:cs="Segoe UI"/>
                <w:sz w:val="18"/>
                <w:szCs w:val="18"/>
              </w:rPr>
              <w:t xml:space="preserve">What are the available fresh water sources and what drives water demand at present and in the future, in the coastal areas? </w:t>
            </w:r>
          </w:p>
          <w:p w:rsidR="00000000" w:rsidRDefault="006912EC" w:rsidP="003D5A31">
            <w:pPr>
              <w:numPr>
                <w:ilvl w:val="0"/>
                <w:numId w:val="184"/>
              </w:numPr>
              <w:spacing w:after="0" w:line="240" w:lineRule="auto"/>
              <w:jc w:val="both"/>
              <w:rPr>
                <w:rFonts w:eastAsia="MS ??" w:cs="Segoe UI"/>
                <w:sz w:val="18"/>
                <w:szCs w:val="18"/>
              </w:rPr>
            </w:pPr>
            <w:r w:rsidRPr="00885502">
              <w:rPr>
                <w:rFonts w:cs="Segoe UI"/>
                <w:sz w:val="18"/>
                <w:szCs w:val="18"/>
              </w:rPr>
              <w:t>How can coastal ecosystems be made more resilient?</w:t>
            </w:r>
          </w:p>
        </w:tc>
      </w:tr>
      <w:tr w:rsidR="006912EC" w:rsidRPr="00885502" w:rsidTr="00576F19">
        <w:tc>
          <w:tcPr>
            <w:tcW w:w="0" w:type="auto"/>
          </w:tcPr>
          <w:p w:rsidR="006912EC" w:rsidRPr="00885502" w:rsidRDefault="006912EC" w:rsidP="00576F19">
            <w:pPr>
              <w:spacing w:after="0" w:line="240" w:lineRule="auto"/>
              <w:jc w:val="both"/>
              <w:rPr>
                <w:rFonts w:cs="Segoe UI"/>
                <w:sz w:val="18"/>
                <w:szCs w:val="18"/>
              </w:rPr>
            </w:pPr>
            <w:r w:rsidRPr="00885502">
              <w:rPr>
                <w:rFonts w:cs="Segoe UI"/>
                <w:sz w:val="18"/>
                <w:szCs w:val="18"/>
              </w:rPr>
              <w:t>5.</w:t>
            </w:r>
          </w:p>
          <w:p w:rsidR="006912EC" w:rsidRPr="00885502" w:rsidRDefault="006912EC" w:rsidP="00576F19">
            <w:pPr>
              <w:spacing w:after="0" w:line="240" w:lineRule="auto"/>
              <w:jc w:val="both"/>
              <w:rPr>
                <w:rFonts w:cs="Segoe UI"/>
                <w:sz w:val="18"/>
                <w:szCs w:val="18"/>
              </w:rPr>
            </w:pPr>
            <w:r w:rsidRPr="00885502">
              <w:rPr>
                <w:rFonts w:cs="Segoe UI"/>
                <w:sz w:val="18"/>
                <w:szCs w:val="18"/>
              </w:rPr>
              <w:t>Flood Risk Management</w:t>
            </w:r>
          </w:p>
          <w:p w:rsidR="006912EC" w:rsidRPr="00885502" w:rsidRDefault="006912EC" w:rsidP="00576F19">
            <w:pPr>
              <w:spacing w:after="0" w:line="240" w:lineRule="auto"/>
              <w:jc w:val="both"/>
              <w:rPr>
                <w:rFonts w:cs="Segoe UI"/>
                <w:sz w:val="18"/>
                <w:szCs w:val="18"/>
              </w:rPr>
            </w:pPr>
          </w:p>
        </w:tc>
        <w:tc>
          <w:tcPr>
            <w:tcW w:w="2653" w:type="dxa"/>
          </w:tcPr>
          <w:p w:rsidR="006912EC" w:rsidRPr="00885502" w:rsidRDefault="006912EC" w:rsidP="00576F19">
            <w:pPr>
              <w:spacing w:after="0" w:line="240" w:lineRule="auto"/>
              <w:jc w:val="both"/>
              <w:rPr>
                <w:rFonts w:cs="Segoe UI"/>
                <w:sz w:val="18"/>
                <w:szCs w:val="18"/>
              </w:rPr>
            </w:pPr>
            <w:r w:rsidRPr="00885502">
              <w:rPr>
                <w:rFonts w:cs="Segoe UI"/>
                <w:sz w:val="18"/>
                <w:szCs w:val="18"/>
              </w:rPr>
              <w:t xml:space="preserve">What level of safety against floods for people, assets, agriculture and environment does Bangladesh want to provide in 2050 and 2100? </w:t>
            </w:r>
          </w:p>
        </w:tc>
        <w:tc>
          <w:tcPr>
            <w:tcW w:w="5084" w:type="dxa"/>
          </w:tcPr>
          <w:p w:rsidR="00000000" w:rsidRDefault="006912EC" w:rsidP="003D5A31">
            <w:pPr>
              <w:pStyle w:val="ListParagraph"/>
              <w:numPr>
                <w:ilvl w:val="0"/>
                <w:numId w:val="188"/>
              </w:numPr>
              <w:spacing w:after="0" w:line="240" w:lineRule="auto"/>
              <w:jc w:val="both"/>
              <w:rPr>
                <w:rFonts w:eastAsia="MS ??" w:cs="Segoe UI"/>
                <w:sz w:val="18"/>
                <w:szCs w:val="18"/>
              </w:rPr>
            </w:pPr>
            <w:r w:rsidRPr="00885502">
              <w:rPr>
                <w:rFonts w:cs="Segoe UI"/>
                <w:sz w:val="18"/>
                <w:szCs w:val="18"/>
              </w:rPr>
              <w:t>Which decision criteria are fundamental to flood risk management and how to justify these?</w:t>
            </w:r>
          </w:p>
          <w:p w:rsidR="00000000" w:rsidRDefault="006912EC" w:rsidP="003D5A31">
            <w:pPr>
              <w:pStyle w:val="ListParagraph"/>
              <w:numPr>
                <w:ilvl w:val="0"/>
                <w:numId w:val="188"/>
              </w:numPr>
              <w:spacing w:after="0" w:line="240" w:lineRule="auto"/>
              <w:jc w:val="both"/>
              <w:rPr>
                <w:rFonts w:eastAsia="MS ??" w:cs="Segoe UI"/>
                <w:sz w:val="18"/>
                <w:szCs w:val="18"/>
              </w:rPr>
            </w:pPr>
            <w:r w:rsidRPr="00885502">
              <w:rPr>
                <w:rFonts w:cs="Segoe UI"/>
                <w:sz w:val="18"/>
                <w:szCs w:val="18"/>
              </w:rPr>
              <w:t>What is the expected future flood risk without any policy?</w:t>
            </w:r>
          </w:p>
          <w:p w:rsidR="00000000" w:rsidRDefault="006912EC" w:rsidP="003D5A31">
            <w:pPr>
              <w:pStyle w:val="ListParagraph"/>
              <w:numPr>
                <w:ilvl w:val="0"/>
                <w:numId w:val="188"/>
              </w:numPr>
              <w:spacing w:after="0" w:line="240" w:lineRule="auto"/>
              <w:jc w:val="both"/>
              <w:rPr>
                <w:rFonts w:eastAsia="MS ??" w:cs="Segoe UI"/>
                <w:sz w:val="18"/>
                <w:szCs w:val="18"/>
              </w:rPr>
            </w:pPr>
            <w:r w:rsidRPr="00885502">
              <w:rPr>
                <w:rFonts w:cs="Segoe UI"/>
                <w:sz w:val="18"/>
                <w:szCs w:val="18"/>
              </w:rPr>
              <w:t>How effective are (non-)structural measures to decrease flood risk?</w:t>
            </w:r>
          </w:p>
        </w:tc>
      </w:tr>
      <w:tr w:rsidR="006912EC" w:rsidRPr="00885502" w:rsidTr="00576F19">
        <w:tc>
          <w:tcPr>
            <w:tcW w:w="0" w:type="auto"/>
          </w:tcPr>
          <w:p w:rsidR="006912EC" w:rsidRPr="00885502" w:rsidRDefault="006912EC" w:rsidP="00576F19">
            <w:pPr>
              <w:spacing w:after="0" w:line="240" w:lineRule="auto"/>
              <w:jc w:val="both"/>
              <w:rPr>
                <w:rFonts w:cs="Segoe UI"/>
                <w:sz w:val="18"/>
                <w:szCs w:val="18"/>
              </w:rPr>
            </w:pPr>
            <w:r w:rsidRPr="00885502">
              <w:rPr>
                <w:rFonts w:cs="Segoe UI"/>
                <w:sz w:val="18"/>
                <w:szCs w:val="18"/>
              </w:rPr>
              <w:t>6.</w:t>
            </w:r>
          </w:p>
          <w:p w:rsidR="006912EC" w:rsidRPr="00885502" w:rsidRDefault="006912EC" w:rsidP="00576F19">
            <w:pPr>
              <w:spacing w:after="0" w:line="240" w:lineRule="auto"/>
              <w:jc w:val="both"/>
              <w:rPr>
                <w:rFonts w:cs="Segoe UI"/>
                <w:sz w:val="18"/>
                <w:szCs w:val="18"/>
              </w:rPr>
            </w:pPr>
            <w:r w:rsidRPr="00885502">
              <w:rPr>
                <w:rFonts w:cs="Segoe UI"/>
                <w:sz w:val="18"/>
                <w:szCs w:val="18"/>
              </w:rPr>
              <w:t>Water for Sustained Food Security</w:t>
            </w:r>
          </w:p>
        </w:tc>
        <w:tc>
          <w:tcPr>
            <w:tcW w:w="2653" w:type="dxa"/>
          </w:tcPr>
          <w:p w:rsidR="006912EC" w:rsidRPr="00885502" w:rsidRDefault="006912EC" w:rsidP="00576F19">
            <w:pPr>
              <w:spacing w:after="0" w:line="240" w:lineRule="auto"/>
              <w:jc w:val="both"/>
              <w:rPr>
                <w:rFonts w:cs="Segoe UI"/>
                <w:sz w:val="18"/>
                <w:szCs w:val="18"/>
              </w:rPr>
            </w:pPr>
            <w:r w:rsidRPr="00885502">
              <w:rPr>
                <w:rFonts w:cs="Segoe UI"/>
                <w:sz w:val="18"/>
                <w:szCs w:val="18"/>
              </w:rPr>
              <w:t xml:space="preserve">If food security is to be ensured, where will food production areas be in medium and long term and how will water for food production be available? </w:t>
            </w:r>
          </w:p>
        </w:tc>
        <w:tc>
          <w:tcPr>
            <w:tcW w:w="5084" w:type="dxa"/>
          </w:tcPr>
          <w:p w:rsidR="00000000" w:rsidRDefault="006912EC" w:rsidP="003D5A31">
            <w:pPr>
              <w:pStyle w:val="ListParagraph"/>
              <w:numPr>
                <w:ilvl w:val="0"/>
                <w:numId w:val="189"/>
              </w:numPr>
              <w:spacing w:after="0" w:line="240" w:lineRule="auto"/>
              <w:jc w:val="both"/>
              <w:rPr>
                <w:rFonts w:eastAsia="MS ??" w:cs="Segoe UI"/>
                <w:sz w:val="18"/>
                <w:szCs w:val="18"/>
              </w:rPr>
            </w:pPr>
            <w:r w:rsidRPr="00885502">
              <w:rPr>
                <w:rFonts w:cs="Segoe UI"/>
                <w:sz w:val="18"/>
                <w:szCs w:val="18"/>
              </w:rPr>
              <w:t>How can agricultural and food security research be strengthened in order to make farming and other sources of food production as well as availability, access and utilization of food be more climate-resilient?</w:t>
            </w:r>
          </w:p>
          <w:p w:rsidR="00000000" w:rsidRDefault="006912EC" w:rsidP="003D5A31">
            <w:pPr>
              <w:pStyle w:val="ListParagraph"/>
              <w:numPr>
                <w:ilvl w:val="0"/>
                <w:numId w:val="189"/>
              </w:numPr>
              <w:spacing w:after="0" w:line="240" w:lineRule="auto"/>
              <w:jc w:val="both"/>
              <w:rPr>
                <w:rFonts w:eastAsia="MS ??" w:cs="Segoe UI"/>
                <w:sz w:val="18"/>
                <w:szCs w:val="18"/>
              </w:rPr>
            </w:pPr>
            <w:r w:rsidRPr="00885502">
              <w:rPr>
                <w:rFonts w:cs="Segoe UI"/>
                <w:sz w:val="18"/>
                <w:szCs w:val="18"/>
              </w:rPr>
              <w:t>What will be the projected food demand in the medium and long term and how can this be met?</w:t>
            </w:r>
          </w:p>
          <w:p w:rsidR="00000000" w:rsidRDefault="006912EC" w:rsidP="003D5A31">
            <w:pPr>
              <w:pStyle w:val="ListParagraph"/>
              <w:numPr>
                <w:ilvl w:val="0"/>
                <w:numId w:val="189"/>
              </w:numPr>
              <w:spacing w:after="0" w:line="240" w:lineRule="auto"/>
              <w:jc w:val="both"/>
              <w:rPr>
                <w:rFonts w:eastAsia="MS ??" w:cs="Segoe UI"/>
                <w:sz w:val="18"/>
                <w:szCs w:val="18"/>
              </w:rPr>
            </w:pPr>
            <w:r w:rsidRPr="00885502">
              <w:rPr>
                <w:rFonts w:cs="Segoe UI"/>
                <w:sz w:val="18"/>
                <w:szCs w:val="18"/>
              </w:rPr>
              <w:t>How can agricultural and other food related practices be made more efficient in terms of land, water and other inputs in an integrated way (incl. crops, fisheries, forestry and livestock)?</w:t>
            </w:r>
          </w:p>
        </w:tc>
      </w:tr>
      <w:tr w:rsidR="006912EC" w:rsidRPr="00885502" w:rsidTr="00576F19">
        <w:tc>
          <w:tcPr>
            <w:tcW w:w="0" w:type="auto"/>
          </w:tcPr>
          <w:p w:rsidR="006912EC" w:rsidRPr="00885502" w:rsidRDefault="006912EC" w:rsidP="00576F19">
            <w:pPr>
              <w:spacing w:after="0" w:line="240" w:lineRule="auto"/>
              <w:jc w:val="both"/>
              <w:rPr>
                <w:rFonts w:cs="Segoe UI"/>
                <w:sz w:val="18"/>
                <w:szCs w:val="18"/>
              </w:rPr>
            </w:pPr>
            <w:r w:rsidRPr="00885502">
              <w:rPr>
                <w:rFonts w:cs="Segoe UI"/>
                <w:sz w:val="18"/>
                <w:szCs w:val="18"/>
              </w:rPr>
              <w:t>7.</w:t>
            </w:r>
          </w:p>
          <w:p w:rsidR="006912EC" w:rsidRPr="00885502" w:rsidRDefault="006912EC" w:rsidP="00576F19">
            <w:pPr>
              <w:spacing w:after="0" w:line="240" w:lineRule="auto"/>
              <w:jc w:val="both"/>
              <w:rPr>
                <w:rFonts w:cs="Segoe UI"/>
                <w:sz w:val="18"/>
                <w:szCs w:val="18"/>
              </w:rPr>
            </w:pPr>
            <w:r w:rsidRPr="00885502">
              <w:rPr>
                <w:rFonts w:cs="Segoe UI"/>
                <w:sz w:val="18"/>
                <w:szCs w:val="18"/>
              </w:rPr>
              <w:t>Urban Water Management</w:t>
            </w:r>
          </w:p>
        </w:tc>
        <w:tc>
          <w:tcPr>
            <w:tcW w:w="2653" w:type="dxa"/>
          </w:tcPr>
          <w:p w:rsidR="006912EC" w:rsidRPr="00885502" w:rsidRDefault="006912EC" w:rsidP="00576F19">
            <w:pPr>
              <w:spacing w:after="0" w:line="240" w:lineRule="auto"/>
              <w:jc w:val="both"/>
              <w:rPr>
                <w:rFonts w:cs="Segoe UI"/>
                <w:sz w:val="18"/>
                <w:szCs w:val="18"/>
              </w:rPr>
            </w:pPr>
            <w:r w:rsidRPr="00885502">
              <w:rPr>
                <w:rFonts w:cs="Segoe UI"/>
                <w:bCs/>
                <w:sz w:val="18"/>
                <w:szCs w:val="18"/>
              </w:rPr>
              <w:t xml:space="preserve">What is the trend of urban growth and how will cities deal with water and related problems (water supply and sanitation, drainage, water pollution, ground water) under different urbanization scenarios on medium and long term? </w:t>
            </w:r>
          </w:p>
        </w:tc>
        <w:tc>
          <w:tcPr>
            <w:tcW w:w="5084" w:type="dxa"/>
          </w:tcPr>
          <w:p w:rsidR="00000000" w:rsidRDefault="006912EC" w:rsidP="003D5A31">
            <w:pPr>
              <w:pStyle w:val="ListParagraph"/>
              <w:numPr>
                <w:ilvl w:val="0"/>
                <w:numId w:val="190"/>
              </w:numPr>
              <w:spacing w:after="0" w:line="240" w:lineRule="auto"/>
              <w:jc w:val="both"/>
              <w:rPr>
                <w:rFonts w:eastAsia="MS ??" w:cs="Segoe UI"/>
                <w:sz w:val="18"/>
                <w:szCs w:val="18"/>
              </w:rPr>
            </w:pPr>
            <w:r w:rsidRPr="00885502">
              <w:rPr>
                <w:rFonts w:cs="Segoe UI"/>
                <w:sz w:val="18"/>
                <w:szCs w:val="18"/>
              </w:rPr>
              <w:t xml:space="preserve">How to achieve inter-agency linkages for sustainable water management? </w:t>
            </w:r>
          </w:p>
          <w:p w:rsidR="00000000" w:rsidRDefault="006912EC" w:rsidP="003D5A31">
            <w:pPr>
              <w:pStyle w:val="ListParagraph"/>
              <w:numPr>
                <w:ilvl w:val="0"/>
                <w:numId w:val="190"/>
              </w:numPr>
              <w:spacing w:after="0" w:line="240" w:lineRule="auto"/>
              <w:jc w:val="both"/>
              <w:rPr>
                <w:rFonts w:eastAsia="MS ??" w:cs="Segoe UI"/>
                <w:sz w:val="18"/>
                <w:szCs w:val="18"/>
              </w:rPr>
            </w:pPr>
            <w:r w:rsidRPr="00885502">
              <w:rPr>
                <w:rFonts w:cs="Segoe UI"/>
                <w:sz w:val="18"/>
                <w:szCs w:val="18"/>
              </w:rPr>
              <w:t xml:space="preserve">How to manage water supply and demand in an integrated manner? </w:t>
            </w:r>
          </w:p>
          <w:p w:rsidR="00000000" w:rsidRDefault="006912EC" w:rsidP="003D5A31">
            <w:pPr>
              <w:pStyle w:val="ListParagraph"/>
              <w:numPr>
                <w:ilvl w:val="0"/>
                <w:numId w:val="190"/>
              </w:numPr>
              <w:spacing w:after="0" w:line="240" w:lineRule="auto"/>
              <w:jc w:val="both"/>
              <w:rPr>
                <w:rFonts w:eastAsia="MS ??" w:cs="Segoe UI"/>
                <w:sz w:val="18"/>
                <w:szCs w:val="18"/>
              </w:rPr>
            </w:pPr>
            <w:r w:rsidRPr="00885502">
              <w:rPr>
                <w:rFonts w:cs="Segoe UI"/>
                <w:sz w:val="18"/>
                <w:szCs w:val="18"/>
              </w:rPr>
              <w:t>How to prepare and ensure water sensitive urban planning?</w:t>
            </w:r>
          </w:p>
        </w:tc>
      </w:tr>
      <w:tr w:rsidR="006912EC" w:rsidRPr="00885502" w:rsidTr="00576F19">
        <w:tc>
          <w:tcPr>
            <w:tcW w:w="0" w:type="auto"/>
          </w:tcPr>
          <w:p w:rsidR="006912EC" w:rsidRPr="00885502" w:rsidRDefault="006912EC" w:rsidP="00576F19">
            <w:pPr>
              <w:spacing w:after="0" w:line="240" w:lineRule="auto"/>
              <w:jc w:val="both"/>
              <w:rPr>
                <w:rFonts w:cs="Segoe UI"/>
                <w:sz w:val="18"/>
                <w:szCs w:val="18"/>
              </w:rPr>
            </w:pPr>
            <w:r w:rsidRPr="00885502">
              <w:rPr>
                <w:rFonts w:cs="Segoe UI"/>
                <w:sz w:val="18"/>
                <w:szCs w:val="18"/>
              </w:rPr>
              <w:t>8,</w:t>
            </w:r>
          </w:p>
          <w:p w:rsidR="006912EC" w:rsidRPr="00885502" w:rsidRDefault="006912EC" w:rsidP="00576F19">
            <w:pPr>
              <w:spacing w:after="0" w:line="240" w:lineRule="auto"/>
              <w:jc w:val="both"/>
              <w:rPr>
                <w:rFonts w:cs="Segoe UI"/>
                <w:sz w:val="18"/>
                <w:szCs w:val="18"/>
              </w:rPr>
            </w:pPr>
            <w:r w:rsidRPr="00885502">
              <w:rPr>
                <w:rFonts w:cs="Segoe UI"/>
                <w:sz w:val="18"/>
                <w:szCs w:val="18"/>
              </w:rPr>
              <w:t>Governance and Institutional Development</w:t>
            </w:r>
          </w:p>
        </w:tc>
        <w:tc>
          <w:tcPr>
            <w:tcW w:w="2653" w:type="dxa"/>
          </w:tcPr>
          <w:p w:rsidR="006912EC" w:rsidRPr="00885502" w:rsidRDefault="006912EC" w:rsidP="00576F19">
            <w:pPr>
              <w:spacing w:after="0" w:line="240" w:lineRule="auto"/>
              <w:jc w:val="both"/>
              <w:rPr>
                <w:rFonts w:cs="Segoe UI"/>
                <w:sz w:val="18"/>
                <w:szCs w:val="18"/>
              </w:rPr>
            </w:pPr>
            <w:r w:rsidRPr="00885502">
              <w:rPr>
                <w:rFonts w:cs="Segoe UI"/>
                <w:sz w:val="18"/>
                <w:szCs w:val="18"/>
              </w:rPr>
              <w:t>Preparing optimal institutional arrangements for continuous improvement of implementation and updating of BDP 2100</w:t>
            </w:r>
          </w:p>
        </w:tc>
        <w:tc>
          <w:tcPr>
            <w:tcW w:w="5084" w:type="dxa"/>
          </w:tcPr>
          <w:p w:rsidR="00000000" w:rsidRDefault="006912EC" w:rsidP="003D5A31">
            <w:pPr>
              <w:pStyle w:val="ListParagraph"/>
              <w:numPr>
                <w:ilvl w:val="0"/>
                <w:numId w:val="191"/>
              </w:numPr>
              <w:spacing w:after="0" w:line="240" w:lineRule="auto"/>
              <w:ind w:left="317" w:hanging="317"/>
              <w:jc w:val="both"/>
              <w:rPr>
                <w:rFonts w:eastAsia="MS ??" w:cs="Segoe UI"/>
                <w:sz w:val="18"/>
                <w:szCs w:val="18"/>
              </w:rPr>
            </w:pPr>
            <w:r w:rsidRPr="00885502">
              <w:rPr>
                <w:rFonts w:cs="Segoe UI"/>
                <w:sz w:val="18"/>
                <w:szCs w:val="18"/>
              </w:rPr>
              <w:t>How to reduce the gaps between planning and implementation?</w:t>
            </w:r>
          </w:p>
          <w:p w:rsidR="00000000" w:rsidRDefault="006912EC" w:rsidP="003D5A31">
            <w:pPr>
              <w:pStyle w:val="ListParagraph"/>
              <w:numPr>
                <w:ilvl w:val="0"/>
                <w:numId w:val="191"/>
              </w:numPr>
              <w:spacing w:after="0" w:line="240" w:lineRule="auto"/>
              <w:ind w:left="317" w:hanging="317"/>
              <w:jc w:val="both"/>
              <w:rPr>
                <w:rFonts w:eastAsia="MS ??" w:cs="Segoe UI"/>
                <w:sz w:val="18"/>
                <w:szCs w:val="18"/>
              </w:rPr>
            </w:pPr>
            <w:r w:rsidRPr="00885502">
              <w:rPr>
                <w:rFonts w:cs="Segoe UI"/>
                <w:sz w:val="18"/>
                <w:szCs w:val="18"/>
              </w:rPr>
              <w:t xml:space="preserve">How can local government better work together with national water-related implementing agencies on the short term? </w:t>
            </w:r>
          </w:p>
          <w:p w:rsidR="00000000" w:rsidRDefault="006912EC" w:rsidP="003D5A31">
            <w:pPr>
              <w:pStyle w:val="ListParagraph"/>
              <w:numPr>
                <w:ilvl w:val="0"/>
                <w:numId w:val="191"/>
              </w:numPr>
              <w:spacing w:after="0" w:line="240" w:lineRule="auto"/>
              <w:ind w:left="317" w:hanging="317"/>
              <w:jc w:val="both"/>
              <w:rPr>
                <w:rFonts w:eastAsia="MS ??" w:cs="Segoe UI"/>
                <w:sz w:val="18"/>
                <w:szCs w:val="18"/>
              </w:rPr>
            </w:pPr>
            <w:r w:rsidRPr="00885502">
              <w:rPr>
                <w:rFonts w:cs="Segoe UI"/>
                <w:sz w:val="18"/>
                <w:szCs w:val="18"/>
              </w:rPr>
              <w:t>How to prepare and realized decentralization of adaptive delta management and created Water Management Organizations with financial mechanisms for cost recovery?</w:t>
            </w:r>
          </w:p>
        </w:tc>
      </w:tr>
      <w:tr w:rsidR="006912EC" w:rsidRPr="00885502" w:rsidTr="00576F19">
        <w:tc>
          <w:tcPr>
            <w:tcW w:w="0" w:type="auto"/>
          </w:tcPr>
          <w:p w:rsidR="006912EC" w:rsidRPr="00885502" w:rsidRDefault="006912EC" w:rsidP="00576F19">
            <w:pPr>
              <w:spacing w:after="0" w:line="240" w:lineRule="auto"/>
              <w:jc w:val="both"/>
              <w:rPr>
                <w:rFonts w:cs="Segoe UI"/>
                <w:sz w:val="18"/>
                <w:szCs w:val="18"/>
              </w:rPr>
            </w:pPr>
            <w:r w:rsidRPr="00885502">
              <w:rPr>
                <w:rFonts w:cs="Segoe UI"/>
                <w:sz w:val="18"/>
                <w:szCs w:val="18"/>
              </w:rPr>
              <w:t>9.</w:t>
            </w:r>
          </w:p>
          <w:p w:rsidR="006912EC" w:rsidRPr="00885502" w:rsidRDefault="006912EC" w:rsidP="00576F19">
            <w:pPr>
              <w:spacing w:after="0" w:line="240" w:lineRule="auto"/>
              <w:jc w:val="both"/>
              <w:rPr>
                <w:rFonts w:cs="Segoe UI"/>
                <w:sz w:val="18"/>
                <w:szCs w:val="18"/>
              </w:rPr>
            </w:pPr>
            <w:r w:rsidRPr="00885502">
              <w:rPr>
                <w:rFonts w:cs="Segoe UI"/>
                <w:sz w:val="18"/>
                <w:szCs w:val="18"/>
              </w:rPr>
              <w:t>Financial Arrangements and Funding</w:t>
            </w:r>
          </w:p>
        </w:tc>
        <w:tc>
          <w:tcPr>
            <w:tcW w:w="2653" w:type="dxa"/>
          </w:tcPr>
          <w:p w:rsidR="006912EC" w:rsidRPr="00885502" w:rsidRDefault="006912EC" w:rsidP="00576F19">
            <w:pPr>
              <w:spacing w:after="0" w:line="240" w:lineRule="auto"/>
              <w:jc w:val="both"/>
              <w:rPr>
                <w:rFonts w:cs="Segoe UI"/>
                <w:sz w:val="18"/>
                <w:szCs w:val="18"/>
              </w:rPr>
            </w:pPr>
            <w:r w:rsidRPr="00885502">
              <w:rPr>
                <w:rFonts w:cs="Segoe UI"/>
                <w:sz w:val="18"/>
                <w:szCs w:val="18"/>
              </w:rPr>
              <w:t>How to guarantee sufficient BDP 2100 related capital and recurrent resources to ensure a sustainable Bangladesh in 2100?</w:t>
            </w:r>
          </w:p>
        </w:tc>
        <w:tc>
          <w:tcPr>
            <w:tcW w:w="5084" w:type="dxa"/>
          </w:tcPr>
          <w:p w:rsidR="00000000" w:rsidRDefault="006912EC" w:rsidP="003D5A31">
            <w:pPr>
              <w:pStyle w:val="ListParagraph"/>
              <w:numPr>
                <w:ilvl w:val="0"/>
                <w:numId w:val="192"/>
              </w:numPr>
              <w:spacing w:after="0" w:line="240" w:lineRule="auto"/>
              <w:ind w:left="317" w:hanging="317"/>
              <w:jc w:val="both"/>
              <w:rPr>
                <w:rFonts w:eastAsia="MS ??" w:cs="Segoe UI"/>
                <w:sz w:val="18"/>
                <w:szCs w:val="18"/>
              </w:rPr>
            </w:pPr>
            <w:r w:rsidRPr="00885502">
              <w:rPr>
                <w:rFonts w:cs="Segoe UI"/>
                <w:sz w:val="18"/>
                <w:szCs w:val="18"/>
              </w:rPr>
              <w:t>What combination of innovative fiscal and financial instruments (micro- to macro-scale) can be used for adaptive delta management with a Delta Fund?</w:t>
            </w:r>
          </w:p>
          <w:p w:rsidR="00000000" w:rsidRDefault="006912EC" w:rsidP="003D5A31">
            <w:pPr>
              <w:pStyle w:val="ListParagraph"/>
              <w:numPr>
                <w:ilvl w:val="0"/>
                <w:numId w:val="192"/>
              </w:numPr>
              <w:spacing w:after="0" w:line="240" w:lineRule="auto"/>
              <w:ind w:left="317" w:hanging="317"/>
              <w:jc w:val="both"/>
              <w:rPr>
                <w:rFonts w:eastAsia="MS ??" w:cs="Segoe UI"/>
                <w:sz w:val="18"/>
                <w:szCs w:val="18"/>
              </w:rPr>
            </w:pPr>
            <w:r w:rsidRPr="00885502">
              <w:rPr>
                <w:rFonts w:cs="Segoe UI"/>
                <w:sz w:val="18"/>
                <w:szCs w:val="18"/>
              </w:rPr>
              <w:t>What are viable options for decentralized financing mechanisms in the water sector?</w:t>
            </w:r>
          </w:p>
          <w:p w:rsidR="00000000" w:rsidRDefault="006912EC" w:rsidP="003D5A31">
            <w:pPr>
              <w:pStyle w:val="ListParagraph"/>
              <w:numPr>
                <w:ilvl w:val="0"/>
                <w:numId w:val="192"/>
              </w:numPr>
              <w:spacing w:after="0" w:line="240" w:lineRule="auto"/>
              <w:ind w:left="317" w:hanging="317"/>
              <w:jc w:val="both"/>
              <w:rPr>
                <w:rFonts w:eastAsia="MS ??" w:cs="Segoe UI"/>
                <w:sz w:val="18"/>
                <w:szCs w:val="18"/>
              </w:rPr>
            </w:pPr>
            <w:r w:rsidRPr="00885502">
              <w:rPr>
                <w:rFonts w:cs="Segoe UI"/>
                <w:sz w:val="18"/>
                <w:szCs w:val="18"/>
              </w:rPr>
              <w:t>What is an effective</w:t>
            </w:r>
            <w:r w:rsidR="000B096E">
              <w:rPr>
                <w:rFonts w:cs="Segoe UI"/>
                <w:sz w:val="18"/>
                <w:szCs w:val="18"/>
              </w:rPr>
              <w:t xml:space="preserve"> </w:t>
            </w:r>
            <w:r w:rsidR="00F64A6A" w:rsidRPr="00F64A6A">
              <w:rPr>
                <w:rFonts w:cs="Segoe UI"/>
                <w:sz w:val="16"/>
                <w:szCs w:val="16"/>
              </w:rPr>
              <w:t>P</w:t>
            </w:r>
            <w:r w:rsidR="00F64A6A" w:rsidRPr="00F64A6A">
              <w:rPr>
                <w:sz w:val="22"/>
                <w:szCs w:val="20"/>
              </w:rPr>
              <w:t>ublic</w:t>
            </w:r>
            <w:r w:rsidRPr="00885502">
              <w:rPr>
                <w:rFonts w:cs="Segoe UI"/>
                <w:sz w:val="18"/>
                <w:szCs w:val="18"/>
              </w:rPr>
              <w:t>-Private Partnership approach for Bangladesh?</w:t>
            </w:r>
          </w:p>
        </w:tc>
      </w:tr>
    </w:tbl>
    <w:p w:rsidR="006912EC" w:rsidRPr="004F5E05" w:rsidRDefault="006912EC" w:rsidP="004F5E05"/>
    <w:p w:rsidR="009914AF" w:rsidRPr="004B0A08" w:rsidRDefault="009914AF" w:rsidP="006912EC">
      <w:pPr>
        <w:pStyle w:val="BodyText"/>
        <w:spacing w:after="240" w:line="276" w:lineRule="auto"/>
        <w:jc w:val="both"/>
        <w:rPr>
          <w:rFonts w:cs="Segoe UI"/>
          <w:b/>
          <w:szCs w:val="19"/>
        </w:rPr>
      </w:pPr>
      <w:r w:rsidRPr="004B0A08">
        <w:rPr>
          <w:rFonts w:cs="Segoe UI"/>
          <w:b/>
          <w:szCs w:val="19"/>
        </w:rPr>
        <w:t>Sub</w:t>
      </w:r>
      <w:r w:rsidR="00771279">
        <w:rPr>
          <w:rFonts w:cs="Segoe UI"/>
          <w:b/>
          <w:szCs w:val="19"/>
        </w:rPr>
        <w:t>-</w:t>
      </w:r>
      <w:r w:rsidRPr="004B0A08">
        <w:rPr>
          <w:rFonts w:cs="Segoe UI"/>
          <w:b/>
          <w:szCs w:val="19"/>
        </w:rPr>
        <w:t>strategy 2: Knowledge and Data Accumulation</w:t>
      </w:r>
    </w:p>
    <w:p w:rsidR="006912EC" w:rsidRPr="00885502" w:rsidRDefault="006912EC" w:rsidP="006912EC">
      <w:pPr>
        <w:pStyle w:val="BodyText"/>
        <w:spacing w:after="240" w:line="276" w:lineRule="auto"/>
        <w:jc w:val="both"/>
        <w:rPr>
          <w:rFonts w:cs="Times New Roman"/>
          <w:szCs w:val="24"/>
        </w:rPr>
      </w:pPr>
      <w:r w:rsidRPr="00885502">
        <w:rPr>
          <w:rFonts w:cs="Segoe UI"/>
          <w:szCs w:val="19"/>
        </w:rPr>
        <w:t>This sub-strategy refers to accumulation of knowledge, conducting necessary studies, answering knowledge questions. Validation and formalization of knowledge and data is important: e.g. which climate change models and data are qualified and approved by GoB etc.</w:t>
      </w:r>
    </w:p>
    <w:p w:rsidR="006912EC" w:rsidRPr="00885502" w:rsidRDefault="006912EC" w:rsidP="006912EC">
      <w:pPr>
        <w:jc w:val="both"/>
      </w:pPr>
      <w:r w:rsidRPr="00885502">
        <w:t>An initial step in knowledge accumulation has been made with the conduct of the earlier mentioned BDP’s Baseline Studies. These Baseline Studies are rich sources of knowledge and data accumulation. To these themes related knowledge and data has to be further developed and frequently updated, especially on real water system and field</w:t>
      </w:r>
      <w:r>
        <w:t xml:space="preserve"> </w:t>
      </w:r>
      <w:r w:rsidRPr="00885502">
        <w:t xml:space="preserve">level data. </w:t>
      </w:r>
    </w:p>
    <w:p w:rsidR="006912EC" w:rsidRPr="00885502" w:rsidRDefault="006912EC" w:rsidP="006912EC">
      <w:pPr>
        <w:jc w:val="both"/>
      </w:pPr>
      <w:r w:rsidRPr="00885502">
        <w:t>In this respect, knowledge was gathered in the field through four rounds of Delta Ateliers. This knowledge can be further developed with the stakeholders. Training programs in the Delta Plan’s or capacity building program of implementing agencies can be used to promote data collection and knowledge generation on this level, as well as parallel curriculum development projects, such as in current NICHE programs.</w:t>
      </w:r>
    </w:p>
    <w:p w:rsidR="006912EC" w:rsidRPr="00885502" w:rsidRDefault="006912EC" w:rsidP="006912EC">
      <w:pPr>
        <w:jc w:val="both"/>
      </w:pPr>
      <w:r w:rsidRPr="00885502">
        <w:t xml:space="preserve">A promising possibility is to create or make relationships with centers of delta knowledge excellence. Good examples of this are the Dutch </w:t>
      </w:r>
      <w:r w:rsidR="000B096E">
        <w:t>public</w:t>
      </w:r>
      <w:r w:rsidRPr="00885502">
        <w:t>-private delta knowledge network which is worldwide involved in climate and delta challenges. Other examples are Cities of Rotterdam (Rotterdam Climate Initiative) and Hamburg (climate research campus called Klima Campus). Both bring together top international scientists and practitioners in a unique network formed by numerous university institutes and famous non-university partners. In Bangladesh centers like BUET, BRAC, CEGIS and IWM can be further strengthened. But there are major gaps in knowledge areas as indicated in the Knowledge Agenda. These need to be strengthened in the first place.</w:t>
      </w:r>
    </w:p>
    <w:p w:rsidR="006912EC" w:rsidRPr="009914AF" w:rsidRDefault="006912EC" w:rsidP="004B0A08">
      <w:pPr>
        <w:pStyle w:val="BodyText"/>
        <w:spacing w:after="240" w:line="276" w:lineRule="auto"/>
        <w:jc w:val="both"/>
        <w:rPr>
          <w:szCs w:val="24"/>
        </w:rPr>
      </w:pPr>
      <w:r w:rsidRPr="00034786">
        <w:rPr>
          <w:rFonts w:cs="Times New Roman"/>
          <w:szCs w:val="24"/>
        </w:rPr>
        <w:t xml:space="preserve">Ensure quality of research by focusing on staffing of the knowledge and data unit as well as on research assignments. This is a generic principle that comes through the experience of all high quality knowledge management programmes. In Bangladesh the capacity of the </w:t>
      </w:r>
      <w:r w:rsidR="000B096E">
        <w:t>public</w:t>
      </w:r>
      <w:r w:rsidRPr="00034786">
        <w:rPr>
          <w:rFonts w:cs="Times New Roman"/>
          <w:szCs w:val="24"/>
        </w:rPr>
        <w:t xml:space="preserve"> sector is limited. I recognition of this, the government has already taken several measures to build au</w:t>
      </w:r>
      <w:r w:rsidR="00FE6385">
        <w:rPr>
          <w:rFonts w:cs="Times New Roman"/>
          <w:szCs w:val="24"/>
        </w:rPr>
        <w:t>ton</w:t>
      </w:r>
      <w:r w:rsidRPr="00034786">
        <w:rPr>
          <w:rFonts w:cs="Times New Roman"/>
          <w:szCs w:val="24"/>
        </w:rPr>
        <w:t>omous research institutions as well as develop partnerships with universities and local research institutions.  The application of this broad principle has to be strengthened in the case of Delta Knowledge and Data Management</w:t>
      </w:r>
    </w:p>
    <w:p w:rsidR="009914AF" w:rsidRPr="004B0A08" w:rsidRDefault="009914AF" w:rsidP="006912EC">
      <w:pPr>
        <w:spacing w:line="276" w:lineRule="auto"/>
        <w:jc w:val="both"/>
        <w:rPr>
          <w:rFonts w:cs="Segoe UI"/>
          <w:b/>
          <w:szCs w:val="19"/>
        </w:rPr>
      </w:pPr>
      <w:r w:rsidRPr="004B0A08">
        <w:rPr>
          <w:rFonts w:cs="Segoe UI"/>
          <w:b/>
          <w:szCs w:val="19"/>
        </w:rPr>
        <w:t>Sub</w:t>
      </w:r>
      <w:r w:rsidR="00771279">
        <w:rPr>
          <w:rFonts w:cs="Segoe UI"/>
          <w:b/>
          <w:szCs w:val="19"/>
        </w:rPr>
        <w:t>-</w:t>
      </w:r>
      <w:r w:rsidRPr="004B0A08">
        <w:rPr>
          <w:rFonts w:cs="Segoe UI"/>
          <w:b/>
          <w:szCs w:val="19"/>
        </w:rPr>
        <w:t>strategy 3: Knowledge Availability</w:t>
      </w:r>
    </w:p>
    <w:p w:rsidR="006912EC" w:rsidRPr="00885502" w:rsidRDefault="006912EC" w:rsidP="006912EC">
      <w:pPr>
        <w:spacing w:line="276" w:lineRule="auto"/>
        <w:jc w:val="both"/>
      </w:pPr>
      <w:r w:rsidRPr="00885502">
        <w:rPr>
          <w:rFonts w:cs="Segoe UI"/>
          <w:szCs w:val="19"/>
        </w:rPr>
        <w:t>Make knowledge and data available, establish a central Information Portal or knowledge hub and develop or utilize necessary other relevant means.</w:t>
      </w:r>
    </w:p>
    <w:p w:rsidR="006912EC" w:rsidRPr="00885502" w:rsidRDefault="006912EC" w:rsidP="006912EC">
      <w:pPr>
        <w:spacing w:line="276" w:lineRule="auto"/>
        <w:jc w:val="both"/>
      </w:pPr>
      <w:r w:rsidRPr="00885502">
        <w:t xml:space="preserve">The Delta Plan makes gathered knowledge available through a web-based information portal, gathering geographical data layers, studies, policy documents, meeting reports. Geographical data will be made available through a viewer. Importantly, geographic data layers will be accessible through Touch Tables, allowing diverse stakeholders to access and discuss data at the same time. </w:t>
      </w:r>
    </w:p>
    <w:p w:rsidR="006912EC" w:rsidRPr="00885502" w:rsidRDefault="006912EC" w:rsidP="006912EC">
      <w:pPr>
        <w:spacing w:line="276" w:lineRule="auto"/>
        <w:jc w:val="both"/>
      </w:pPr>
      <w:r w:rsidRPr="00885502">
        <w:t xml:space="preserve">During the BDP 2100 project a lot of information and scientific data will be gathered and produced, starting with the Baseline Studies. The information is needed for the development of the Climate Atlas and the formulation of the various measures, scenarios, Delta Vision, Delta framework and implementation. The information that is produced during the project will be stored in a knowledge repository, with all the relevant reports, documents, presentations and minutes of meeting. </w:t>
      </w:r>
    </w:p>
    <w:p w:rsidR="006912EC" w:rsidRPr="00885502" w:rsidRDefault="006912EC" w:rsidP="006912EC">
      <w:pPr>
        <w:spacing w:line="276" w:lineRule="auto"/>
        <w:jc w:val="both"/>
      </w:pPr>
      <w:r w:rsidRPr="00885502">
        <w:t>The Baseline Study on Information and Knowledge Management has been prepared for the development and implementation of the Information and Information and Knowledge Portal. The Baseline Study report describes the Information and Knowledge Management practice of different government organizations and other stakeholders. A number of organizations such as BWDB, WARPO, BBS, BHWDB, BMD, DLRS, SoB, LGED etc. are now using state of the art technology to efficiently manage information.  Existing situation of databases, data management and Information Portals of different organizations such as National Water Resources Database (NWRD) (</w:t>
      </w:r>
      <w:fldSimple w:instr=" REF _Ref463168942 \h  \* MERGEFORMAT ">
        <w:r w:rsidR="00AF29C3" w:rsidRPr="004B0A08">
          <w:t>Box</w:t>
        </w:r>
      </w:fldSimple>
      <w:r w:rsidR="005E5367" w:rsidRPr="005E5367">
        <w:t xml:space="preserve"> 14.1</w:t>
      </w:r>
      <w:r w:rsidRPr="00885502">
        <w:t xml:space="preserve">), Integrated Coastal Resources Database (ICRD), Integrated Haors &amp; Wetlands Resources Database (IHWRD) and other databases are described briefly. </w:t>
      </w:r>
    </w:p>
    <w:p w:rsidR="006912EC" w:rsidRPr="00885502" w:rsidRDefault="006912EC" w:rsidP="006912EC">
      <w:pPr>
        <w:spacing w:line="276" w:lineRule="auto"/>
        <w:jc w:val="both"/>
      </w:pPr>
      <w:r w:rsidRPr="00885502">
        <w:t>These information and knowledge management systems help to organize and store information and assist in national level as well as local level planning and decision making. Latest hardware, software and other ICT facilities that are using by different government and private organizations for knowledge management, exchange and sharing are mentioned in this baseline study.</w:t>
      </w:r>
    </w:p>
    <w:p w:rsidR="006912EC" w:rsidRDefault="001A12B2" w:rsidP="006912EC">
      <w:pPr>
        <w:jc w:val="both"/>
        <w:rPr>
          <w:color w:val="FF0000"/>
        </w:rPr>
      </w:pPr>
      <w:r w:rsidRPr="001A12B2">
        <w:rPr>
          <w:noProof/>
          <w:color w:val="FF0000"/>
        </w:rPr>
        <w:pict>
          <v:shape id="Text Box 47" o:spid="_x0000_s1139" type="#_x0000_t202" style="position:absolute;left:0;text-align:left;margin-left:0;margin-top:30.6pt;width:459.6pt;height:321pt;z-index:251780096;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" fillcolor="#ddd8c2 [2894]">
            <v:textbox style="mso-next-textbox:#Text Box 47">
              <w:txbxContent>
                <w:p w:rsidR="009D3B38" w:rsidRPr="004B0A08" w:rsidRDefault="009D3B38" w:rsidP="00A10FA4">
                  <w:pPr>
                    <w:pStyle w:val="Heading7"/>
                    <w:rPr>
                      <w:noProof/>
                    </w:rPr>
                  </w:pPr>
                  <w:bookmarkStart w:id="956" w:name="_Ref463168942"/>
                  <w:bookmarkStart w:id="957" w:name="_Toc474639332"/>
                  <w:r w:rsidRPr="004B0A08">
                    <w:t>Box</w:t>
                  </w:r>
                  <w:bookmarkEnd w:id="956"/>
                  <w:r w:rsidRPr="004B0A08">
                    <w:t xml:space="preserve"> 14.1</w:t>
                  </w:r>
                  <w:r>
                    <w:t>:</w:t>
                  </w:r>
                  <w:r w:rsidRPr="004B0A08">
                    <w:t xml:space="preserve"> National Water Resources Database</w:t>
                  </w:r>
                  <w:bookmarkEnd w:id="957"/>
                </w:p>
                <w:p w:rsidR="009D3B38" w:rsidRPr="00885502" w:rsidRDefault="009D3B38" w:rsidP="004F5E05">
                  <w:pPr>
                    <w:jc w:val="both"/>
                    <w:rPr>
                      <w:sz w:val="22"/>
                    </w:rPr>
                  </w:pPr>
                  <w:r w:rsidRPr="00885502">
                    <w:rPr>
                      <w:sz w:val="22"/>
                    </w:rPr>
                    <w:t xml:space="preserve">National Water Resources Database (NWRD) was established by WARPO to provide data and information required for the development of National Water Management Plan (NWMP). It is the largest geo-spatial database in the water sector of the country. It contains more than 500 data layers consisting of spatial, temporal and attributes information. The data available in NWRD have been collected and collated from different data providing agencies. Data are organized in NWRD into several data groups like Base data, Surface water, Groundwater, Soil and Agriculture, Fisheries, Forest, Socio-economic, Meteorological, Documents and Reports, Environment and Images. Each Data Group is sub-categorized into number of Data Types. Each Data Types contains several Data Layers. A web enabled user-friendly interface has been developed for NWRD to view, query and analysis data from the database. The interface contains five components. Metadata Viewer helps to view metadata. Data Source Viewer is designed to view spatial, tabular and temporal data. Time Series Viewer assists users to view temporal data as a chart or a graph. Statistical Tool helps to perform simple statistical analysis such sum, min, max, average, count and standard deviation on temporal data. Analysis can be done on either calendar year or hydrological year. A user-friendly generic </w:t>
                  </w:r>
                  <w:r w:rsidRPr="00885502">
                    <w:rPr>
                      <w:bCs/>
                      <w:sz w:val="22"/>
                    </w:rPr>
                    <w:t>Export Tool</w:t>
                  </w:r>
                  <w:r w:rsidRPr="00885502">
                    <w:rPr>
                      <w:sz w:val="22"/>
                    </w:rPr>
                    <w:t xml:space="preserve"> has been developed for easy exporting of data from database. </w:t>
                  </w:r>
                  <w:r w:rsidRPr="00885502">
                    <w:rPr>
                      <w:bCs/>
                      <w:sz w:val="22"/>
                    </w:rPr>
                    <w:t>Export Tool</w:t>
                  </w:r>
                  <w:r w:rsidRPr="00885502">
                    <w:rPr>
                      <w:sz w:val="22"/>
                    </w:rPr>
                    <w:t xml:space="preserve"> allows users to take copies of the data from the database into different format such as excel, access, text etc. NWRD has been updated and upgraded under Component 3B of Water Management Improvement Project (WMIP). All data layers have been updated using latest information available with the source organizations. Some new data have been incorporated. WARPO has also taken an initiative to host the database in internet to ensure proper utilization of the database by wider range of users, planners and decision makers.</w:t>
                  </w:r>
                </w:p>
              </w:txbxContent>
            </v:textbox>
            <w10:wrap type="topAndBottom" anchorx="margin"/>
          </v:shape>
        </w:pict>
      </w:r>
    </w:p>
    <w:p w:rsidR="006912EC" w:rsidRPr="004F5E05" w:rsidRDefault="006912EC" w:rsidP="005E5367">
      <w:pPr>
        <w:spacing w:after="120"/>
      </w:pPr>
    </w:p>
    <w:p w:rsidR="006912EC" w:rsidRPr="00771279" w:rsidRDefault="00F64A6A" w:rsidP="00EB6939">
      <w:pPr>
        <w:rPr>
          <w:b/>
          <w:i/>
        </w:rPr>
      </w:pPr>
      <w:r w:rsidRPr="00F64A6A">
        <w:rPr>
          <w:b/>
          <w:i/>
        </w:rPr>
        <w:t>The Information and Knowledge Portal</w:t>
      </w:r>
    </w:p>
    <w:p w:rsidR="006912EC" w:rsidRPr="00885502" w:rsidRDefault="006912EC" w:rsidP="00571B7D">
      <w:pPr>
        <w:pStyle w:val="Default"/>
        <w:spacing w:line="276" w:lineRule="auto"/>
        <w:jc w:val="both"/>
        <w:rPr>
          <w:rFonts w:ascii="Times New Roman" w:hAnsi="Times New Roman" w:cs="Times New Roman"/>
          <w:color w:val="auto"/>
          <w:szCs w:val="24"/>
        </w:rPr>
      </w:pPr>
      <w:r w:rsidRPr="00885502">
        <w:rPr>
          <w:rFonts w:ascii="Times New Roman" w:hAnsi="Times New Roman" w:cs="Times New Roman"/>
          <w:color w:val="auto"/>
          <w:szCs w:val="24"/>
        </w:rPr>
        <w:t xml:space="preserve">The developed BDP 2100 Information and Knowledge Portal or knowledge hub needs to: </w:t>
      </w:r>
    </w:p>
    <w:p w:rsidR="00000000" w:rsidRDefault="006912EC" w:rsidP="003D5A31">
      <w:pPr>
        <w:pStyle w:val="Default"/>
        <w:widowControl/>
        <w:numPr>
          <w:ilvl w:val="0"/>
          <w:numId w:val="194"/>
        </w:numPr>
        <w:spacing w:after="0" w:line="276" w:lineRule="auto"/>
        <w:jc w:val="both"/>
        <w:rPr>
          <w:rFonts w:ascii="Times New Roman" w:hAnsi="Times New Roman" w:cs="Times New Roman"/>
          <w:color w:val="auto"/>
          <w:szCs w:val="24"/>
        </w:rPr>
      </w:pPr>
      <w:r w:rsidRPr="00620AF0">
        <w:rPr>
          <w:rFonts w:ascii="Times New Roman" w:hAnsi="Times New Roman" w:cs="Times New Roman"/>
          <w:color w:val="auto"/>
          <w:szCs w:val="24"/>
        </w:rPr>
        <w:t>Operate as an instrument to develop, assimilate and disseminate knowledge and data to meet the requirements of the adaptive delta plan formulated under BDP2100;</w:t>
      </w:r>
    </w:p>
    <w:p w:rsidR="00000000" w:rsidRDefault="006912EC" w:rsidP="003D5A31">
      <w:pPr>
        <w:pStyle w:val="Default"/>
        <w:widowControl/>
        <w:numPr>
          <w:ilvl w:val="0"/>
          <w:numId w:val="194"/>
        </w:numPr>
        <w:spacing w:after="0" w:line="276" w:lineRule="auto"/>
        <w:jc w:val="both"/>
        <w:rPr>
          <w:rFonts w:ascii="Times New Roman" w:hAnsi="Times New Roman" w:cs="Times New Roman"/>
          <w:color w:val="auto"/>
          <w:szCs w:val="24"/>
        </w:rPr>
      </w:pPr>
      <w:r w:rsidRPr="00620AF0">
        <w:rPr>
          <w:rFonts w:ascii="Times New Roman" w:hAnsi="Times New Roman" w:cs="Times New Roman"/>
          <w:color w:val="auto"/>
          <w:szCs w:val="24"/>
        </w:rPr>
        <w:t xml:space="preserve">Coordinate existing and future data and research relevant and pertinent to implementing the BDP2100 investment programme from </w:t>
      </w:r>
      <w:r w:rsidR="000B096E">
        <w:t>public</w:t>
      </w:r>
      <w:r w:rsidRPr="00620AF0">
        <w:rPr>
          <w:rFonts w:ascii="Times New Roman" w:hAnsi="Times New Roman" w:cs="Times New Roman"/>
          <w:color w:val="auto"/>
          <w:szCs w:val="24"/>
        </w:rPr>
        <w:t xml:space="preserve"> and private sources, government and non-government;</w:t>
      </w:r>
    </w:p>
    <w:p w:rsidR="00000000" w:rsidRDefault="006912EC" w:rsidP="003D5A31">
      <w:pPr>
        <w:pStyle w:val="Default"/>
        <w:widowControl/>
        <w:numPr>
          <w:ilvl w:val="0"/>
          <w:numId w:val="194"/>
        </w:numPr>
        <w:spacing w:after="0" w:line="276" w:lineRule="auto"/>
        <w:jc w:val="both"/>
        <w:rPr>
          <w:rFonts w:ascii="Times New Roman" w:hAnsi="Times New Roman" w:cs="Times New Roman"/>
          <w:color w:val="auto"/>
          <w:szCs w:val="24"/>
        </w:rPr>
      </w:pPr>
      <w:r w:rsidRPr="00620AF0">
        <w:rPr>
          <w:rFonts w:ascii="Times New Roman" w:hAnsi="Times New Roman" w:cs="Times New Roman"/>
          <w:color w:val="auto"/>
          <w:szCs w:val="24"/>
        </w:rPr>
        <w:t>Establish, safeguard and uphold the structured development of the baseline data layer and quality of the system by using an ISO-standard such as the OAIS-model (Open Archival Information System);</w:t>
      </w:r>
    </w:p>
    <w:p w:rsidR="00000000" w:rsidRDefault="006912EC" w:rsidP="003D5A31">
      <w:pPr>
        <w:pStyle w:val="Default"/>
        <w:widowControl/>
        <w:numPr>
          <w:ilvl w:val="0"/>
          <w:numId w:val="194"/>
        </w:numPr>
        <w:spacing w:after="0" w:line="276" w:lineRule="auto"/>
        <w:jc w:val="both"/>
        <w:rPr>
          <w:rFonts w:ascii="Times New Roman" w:hAnsi="Times New Roman" w:cs="Times New Roman"/>
          <w:color w:val="auto"/>
          <w:szCs w:val="24"/>
        </w:rPr>
      </w:pPr>
      <w:r w:rsidRPr="00620AF0">
        <w:rPr>
          <w:rFonts w:ascii="Times New Roman" w:hAnsi="Times New Roman" w:cs="Times New Roman"/>
          <w:color w:val="auto"/>
          <w:szCs w:val="24"/>
        </w:rPr>
        <w:t>Establish Memoranda of Understanding (MoUs) with government and non-government institutions, programs and projects, national, regional and international institutions that are willing and able to share data that contributes to evidence-based knowledge and understanding towards implementing the objectives of the BDP2100;</w:t>
      </w:r>
    </w:p>
    <w:p w:rsidR="00000000" w:rsidRDefault="006912EC" w:rsidP="003D5A31">
      <w:pPr>
        <w:pStyle w:val="Default"/>
        <w:widowControl/>
        <w:numPr>
          <w:ilvl w:val="0"/>
          <w:numId w:val="194"/>
        </w:numPr>
        <w:spacing w:after="0" w:line="276" w:lineRule="auto"/>
        <w:jc w:val="both"/>
        <w:rPr>
          <w:rFonts w:ascii="Times New Roman" w:hAnsi="Times New Roman" w:cs="Times New Roman"/>
          <w:color w:val="auto"/>
          <w:szCs w:val="24"/>
        </w:rPr>
      </w:pPr>
      <w:r w:rsidRPr="00620AF0">
        <w:rPr>
          <w:rFonts w:ascii="Times New Roman" w:hAnsi="Times New Roman" w:cs="Times New Roman"/>
          <w:color w:val="auto"/>
          <w:szCs w:val="24"/>
        </w:rPr>
        <w:t>Provide a BDP 2100 knowledge portal with a user-friendly web-interface, accessible through desktops, laptops, tablets and smart phones (IOS and Android);</w:t>
      </w:r>
    </w:p>
    <w:p w:rsidR="00000000" w:rsidRDefault="006912EC" w:rsidP="003D5A31">
      <w:pPr>
        <w:pStyle w:val="Default"/>
        <w:widowControl/>
        <w:numPr>
          <w:ilvl w:val="0"/>
          <w:numId w:val="194"/>
        </w:numPr>
        <w:spacing w:after="0" w:line="276" w:lineRule="auto"/>
        <w:jc w:val="both"/>
        <w:rPr>
          <w:rFonts w:ascii="Times New Roman" w:hAnsi="Times New Roman" w:cs="Times New Roman"/>
          <w:color w:val="auto"/>
          <w:szCs w:val="24"/>
        </w:rPr>
      </w:pPr>
      <w:r w:rsidRPr="00620AF0">
        <w:rPr>
          <w:rFonts w:ascii="Times New Roman" w:hAnsi="Times New Roman" w:cs="Times New Roman"/>
          <w:color w:val="auto"/>
          <w:szCs w:val="24"/>
        </w:rPr>
        <w:t>Provide access to legislators, policy and decision-makers seeking updates and information for reviewing progress, monitoring and evaluation (M&amp;E) of BDP 2100 implementation and assist in making informed decisions about challenges, risks, setbacks and achievements based on reliable and updated data;</w:t>
      </w:r>
    </w:p>
    <w:p w:rsidR="00000000" w:rsidRDefault="006912EC" w:rsidP="003D5A31">
      <w:pPr>
        <w:pStyle w:val="Default"/>
        <w:widowControl/>
        <w:numPr>
          <w:ilvl w:val="0"/>
          <w:numId w:val="194"/>
        </w:numPr>
        <w:spacing w:after="0" w:line="276" w:lineRule="auto"/>
        <w:jc w:val="both"/>
        <w:rPr>
          <w:rFonts w:ascii="Times New Roman" w:hAnsi="Times New Roman" w:cs="Times New Roman"/>
          <w:color w:val="auto"/>
          <w:szCs w:val="24"/>
        </w:rPr>
      </w:pPr>
      <w:r w:rsidRPr="00620AF0">
        <w:rPr>
          <w:rFonts w:ascii="Times New Roman" w:hAnsi="Times New Roman" w:cs="Times New Roman"/>
          <w:color w:val="auto"/>
          <w:szCs w:val="24"/>
        </w:rPr>
        <w:t>Provide authenticated access to professional users involved in participatory and interactive planning and implementation of the BDP 2100;</w:t>
      </w:r>
    </w:p>
    <w:p w:rsidR="00000000" w:rsidRDefault="006912EC" w:rsidP="003D5A31">
      <w:pPr>
        <w:pStyle w:val="Default"/>
        <w:widowControl/>
        <w:numPr>
          <w:ilvl w:val="0"/>
          <w:numId w:val="194"/>
        </w:numPr>
        <w:spacing w:after="0" w:line="276" w:lineRule="auto"/>
        <w:jc w:val="both"/>
        <w:rPr>
          <w:rFonts w:ascii="Times New Roman" w:hAnsi="Times New Roman" w:cs="Times New Roman"/>
          <w:color w:val="auto"/>
          <w:szCs w:val="24"/>
        </w:rPr>
      </w:pPr>
      <w:r w:rsidRPr="00620AF0">
        <w:rPr>
          <w:rFonts w:ascii="Times New Roman" w:hAnsi="Times New Roman" w:cs="Times New Roman"/>
          <w:color w:val="auto"/>
          <w:szCs w:val="24"/>
        </w:rPr>
        <w:t>Provide free access to educators, students, researchers, civil societies, community groups and leaders seeking information and knowledge to support and / or improve BDP 2100 implementation;</w:t>
      </w:r>
    </w:p>
    <w:p w:rsidR="00000000" w:rsidRDefault="006912EC" w:rsidP="003D5A31">
      <w:pPr>
        <w:pStyle w:val="Default"/>
        <w:widowControl/>
        <w:numPr>
          <w:ilvl w:val="0"/>
          <w:numId w:val="194"/>
        </w:numPr>
        <w:spacing w:after="0" w:line="276" w:lineRule="auto"/>
        <w:jc w:val="both"/>
        <w:rPr>
          <w:rFonts w:ascii="Times New Roman" w:hAnsi="Times New Roman" w:cs="Times New Roman"/>
          <w:color w:val="auto"/>
          <w:szCs w:val="24"/>
        </w:rPr>
      </w:pPr>
      <w:r w:rsidRPr="00620AF0">
        <w:rPr>
          <w:rFonts w:ascii="Times New Roman" w:hAnsi="Times New Roman" w:cs="Times New Roman"/>
          <w:color w:val="auto"/>
          <w:szCs w:val="24"/>
        </w:rPr>
        <w:t xml:space="preserve">Provide access to journalists and media seeking accurate and reliable information on climate change impacts, disaster risk management and improved climate proofing and climate resilience. </w:t>
      </w:r>
    </w:p>
    <w:p w:rsidR="006912EC" w:rsidRPr="00620AF0" w:rsidRDefault="006912EC" w:rsidP="00571B7D">
      <w:pPr>
        <w:pStyle w:val="Default"/>
        <w:widowControl/>
        <w:spacing w:after="0" w:line="276" w:lineRule="auto"/>
        <w:ind w:left="360"/>
        <w:jc w:val="both"/>
        <w:rPr>
          <w:rFonts w:ascii="Times New Roman" w:hAnsi="Times New Roman" w:cs="Times New Roman"/>
          <w:color w:val="auto"/>
          <w:szCs w:val="24"/>
        </w:rPr>
      </w:pPr>
    </w:p>
    <w:p w:rsidR="006912EC" w:rsidRPr="00620AF0" w:rsidRDefault="006912EC" w:rsidP="00571B7D">
      <w:pPr>
        <w:spacing w:line="276" w:lineRule="auto"/>
        <w:jc w:val="both"/>
        <w:rPr>
          <w:highlight w:val="red"/>
        </w:rPr>
      </w:pPr>
      <w:r w:rsidRPr="00620AF0">
        <w:t xml:space="preserve">BDP 2100 Information and Knowledge Portal will have to become a knowledge hub containing authentic and reliable data and information collected and generated by stakeholders working under the BDP 2100 or contributing to BDP 2100 implementation. The Information and Knowledge Portal for BDP 2100 will be web based with a user-friendly interface, easily accessible through internet and mobile application (app) on smart phones, and usable by a wide range of planners, decision makers, plan implementers, specialists, academics, researchers, the media and the general </w:t>
      </w:r>
      <w:r w:rsidR="000B096E">
        <w:t>public</w:t>
      </w:r>
      <w:r w:rsidRPr="00620AF0">
        <w:t xml:space="preserve">. It will allow users to access the generated and collected information from a single point on the web or through the downloaded app. The knowledge hub can provide support for participatory and interactive planning process, ensuring quick and efficient sharing of information and knowledge, and fostering adaptive management of the Bangladesh Delta. The information in the portal will be periodically updated so that the planners can use most recent information in their decision making process. Weather and cyclone early warning messages disseminated by the Bangladesh Meteorological Department (BMD) will be linked to the Information and Knowledge Portal. </w:t>
      </w:r>
    </w:p>
    <w:p w:rsidR="006912EC" w:rsidRPr="00620AF0" w:rsidRDefault="006912EC" w:rsidP="00571B7D">
      <w:pPr>
        <w:spacing w:line="276" w:lineRule="auto"/>
        <w:jc w:val="both"/>
      </w:pPr>
      <w:r w:rsidRPr="00620AF0">
        <w:t xml:space="preserve">As a web based facility while ICT facilities are expanding and internet connections rapidly improving in Bangladesh, a BDP 2100 Information and Knowledge Portal has been developed. Government organizations like Warpo and BWDB and educational institutions like BUET, BRAC University, and East West University are already using on-line libraries to provide access and share valuable books, journals, reports and other documents digitally available with them for a wide range of users. </w:t>
      </w:r>
    </w:p>
    <w:p w:rsidR="006912EC" w:rsidRPr="00620AF0" w:rsidRDefault="006912EC" w:rsidP="006912EC">
      <w:pPr>
        <w:spacing w:line="276" w:lineRule="auto"/>
        <w:jc w:val="both"/>
      </w:pPr>
      <w:r w:rsidRPr="00620AF0">
        <w:t xml:space="preserve">In the </w:t>
      </w:r>
      <w:r w:rsidR="00771279">
        <w:t>7FYP</w:t>
      </w:r>
      <w:r w:rsidRPr="00620AF0">
        <w:t xml:space="preserve">, Bangladesh Government has taken initiatives to share available knowledge among different communities. In line with this initiative, the National Institute for Local Government (NILG), under the Local Government Division (LGD), and the Access to Information (a2i) has taken up a program to make </w:t>
      </w:r>
      <w:r w:rsidR="000B096E">
        <w:t>public</w:t>
      </w:r>
      <w:r w:rsidRPr="00620AF0">
        <w:t xml:space="preserve"> and private information available to the marginalized communities in rural areas. In order to share and exchange information, the National Portal comprises 25,000 web sites and the ICT infrastructure is also being strengthened at the upazila and union levels. In line with the national policy on Right to Information (RTI), this information will be made transparently and accessibly available online in </w:t>
      </w:r>
      <w:r w:rsidR="00EA4E38" w:rsidRPr="00620AF0">
        <w:t>an</w:t>
      </w:r>
      <w:r w:rsidRPr="00620AF0">
        <w:t xml:space="preserve"> Information and Knowledge Portal. The knowledge hub will assist in ensuring adaptive management of the Bangladesh Delta Plan, transparency, and lead to a well-informed </w:t>
      </w:r>
      <w:r w:rsidR="000B096E">
        <w:t>public</w:t>
      </w:r>
      <w:r w:rsidRPr="00620AF0">
        <w:t xml:space="preserve">. The data will be made accessible by theme and by hotspot with links to institutions collecting and holding the data. </w:t>
      </w:r>
    </w:p>
    <w:p w:rsidR="006912EC" w:rsidRPr="00AE27A9" w:rsidRDefault="006912EC" w:rsidP="006912EC">
      <w:pPr>
        <w:spacing w:line="276" w:lineRule="auto"/>
        <w:jc w:val="both"/>
        <w:rPr>
          <w:color w:val="FF0000"/>
        </w:rPr>
      </w:pPr>
      <w:r w:rsidRPr="00620AF0">
        <w:t xml:space="preserve">Transparency, open access and building up an evidence-based knowledge hub under the BDP2100 requires an institutional set-up that is capable of designing, adjusting, operating, trouble shooting, responding to feedback for improvements and financially sustaining operations in the long run. </w:t>
      </w:r>
    </w:p>
    <w:p w:rsidR="006912EC" w:rsidRPr="00885502" w:rsidRDefault="006912EC" w:rsidP="006912EC">
      <w:pPr>
        <w:spacing w:line="276" w:lineRule="auto"/>
        <w:jc w:val="both"/>
      </w:pPr>
      <w:r w:rsidRPr="00885502">
        <w:t xml:space="preserve">Vision, challenges, data validation and the model of the Information and Knowledge Portal are more in detail covered in the Baseline Report on Information and Knowledge Management. Activities required for the development of the portal, information and data processing, features and functionalities of the Information and Knowledge Portal, accessibility of data by wide range of users are also mentioned in the report. </w:t>
      </w:r>
    </w:p>
    <w:p w:rsidR="009914AF" w:rsidRDefault="006912EC" w:rsidP="004B0A08">
      <w:pPr>
        <w:spacing w:line="276" w:lineRule="auto"/>
        <w:jc w:val="both"/>
      </w:pPr>
      <w:r w:rsidRPr="00885502">
        <w:t>An efficient action plan including needs assessment and design of the initial system architecture of the portal is described in detail. The portal has been designed and developed using the standard four-tier architecture of software development. The main challenges in the development of information and knowledge management system for BDP 2100 are: unavailability of required information or availability of information from source organizations in unusable format, reluctance of sharing of data with others, periodic update and sustainability of the developed system. The probable solution of sustainability is to seek assistance for system maintenance from any partner organizations of the BDP 2100 project having required facilities readily available. Every year GoB fund can be allocated for periodic updating of the portal. Finally, a detail work plan for implementing the system has also been incorporated in the Baseline Report. Delta Plan Tools developed to support strategy making and to take care of data digitization, archiving and data utilization are described in section 14.5.</w:t>
      </w:r>
    </w:p>
    <w:p w:rsidR="00771279" w:rsidRDefault="00771279" w:rsidP="004B0A08">
      <w:pPr>
        <w:spacing w:line="276" w:lineRule="auto"/>
        <w:jc w:val="both"/>
      </w:pPr>
    </w:p>
    <w:p w:rsidR="00771279" w:rsidRPr="009914AF" w:rsidRDefault="00771279" w:rsidP="004B0A08">
      <w:pPr>
        <w:spacing w:line="276" w:lineRule="auto"/>
        <w:jc w:val="both"/>
      </w:pPr>
    </w:p>
    <w:p w:rsidR="009914AF" w:rsidRPr="004B0A08" w:rsidRDefault="009914AF" w:rsidP="006912EC">
      <w:pPr>
        <w:spacing w:line="276" w:lineRule="auto"/>
        <w:jc w:val="both"/>
        <w:rPr>
          <w:b/>
        </w:rPr>
      </w:pPr>
      <w:r w:rsidRPr="004B0A08">
        <w:rPr>
          <w:b/>
        </w:rPr>
        <w:t>Sub</w:t>
      </w:r>
      <w:r w:rsidR="00771279">
        <w:rPr>
          <w:b/>
        </w:rPr>
        <w:t>-</w:t>
      </w:r>
      <w:r w:rsidRPr="004B0A08">
        <w:rPr>
          <w:b/>
        </w:rPr>
        <w:t>strategy 4: Knowledge Value Realization</w:t>
      </w:r>
    </w:p>
    <w:p w:rsidR="006912EC" w:rsidRPr="004B0A08" w:rsidRDefault="006912EC" w:rsidP="00571B7D">
      <w:pPr>
        <w:spacing w:line="276" w:lineRule="auto"/>
        <w:jc w:val="both"/>
      </w:pPr>
      <w:r w:rsidRPr="00885502">
        <w:t>Generate Value of Delta Knowledge by putting it to use in practice. This is done, for example, in actual planning, such as the input to the 7</w:t>
      </w:r>
      <w:r w:rsidRPr="00885502">
        <w:rPr>
          <w:vertAlign w:val="superscript"/>
        </w:rPr>
        <w:t>th</w:t>
      </w:r>
      <w:r w:rsidRPr="00885502">
        <w:t xml:space="preserve"> Five Year Plan, preparation of the Climate Atlas, the Bangladesh Delta Plan 2100 and Investment Plan, or when related policies are informed by available knowledge and scientific findings (e.g. information on the SDG’s). In future, the implementation of innovations will realize value from delta knowledge. In addition, dissemination of delta knowledge among the </w:t>
      </w:r>
      <w:r w:rsidR="000B096E">
        <w:t>public</w:t>
      </w:r>
      <w:r w:rsidRPr="00885502">
        <w:t xml:space="preserve"> (e.g. through the media) will bring benefits in the form of better-informed decisions by individuals. </w:t>
      </w:r>
    </w:p>
    <w:p w:rsidR="009914AF" w:rsidRPr="004B0A08" w:rsidRDefault="009914AF" w:rsidP="00571B7D">
      <w:pPr>
        <w:pStyle w:val="BodyText"/>
        <w:spacing w:after="240" w:line="276" w:lineRule="auto"/>
        <w:jc w:val="both"/>
        <w:rPr>
          <w:rFonts w:cs="Times New Roman"/>
          <w:b/>
          <w:szCs w:val="24"/>
        </w:rPr>
      </w:pPr>
      <w:r w:rsidRPr="004B0A08">
        <w:rPr>
          <w:rFonts w:cs="Times New Roman"/>
          <w:b/>
          <w:szCs w:val="24"/>
        </w:rPr>
        <w:t>Sub</w:t>
      </w:r>
      <w:r w:rsidR="00771279">
        <w:rPr>
          <w:rFonts w:cs="Times New Roman"/>
          <w:b/>
          <w:szCs w:val="24"/>
        </w:rPr>
        <w:t>-</w:t>
      </w:r>
      <w:r w:rsidRPr="004B0A08">
        <w:rPr>
          <w:rFonts w:cs="Times New Roman"/>
          <w:b/>
          <w:szCs w:val="24"/>
        </w:rPr>
        <w:t>strategy 5: Delta Knowledge Community</w:t>
      </w:r>
    </w:p>
    <w:p w:rsidR="006912EC" w:rsidRPr="00620AF0" w:rsidRDefault="006912EC" w:rsidP="00571B7D">
      <w:pPr>
        <w:pStyle w:val="BodyText"/>
        <w:spacing w:after="240" w:line="276" w:lineRule="auto"/>
        <w:jc w:val="both"/>
        <w:rPr>
          <w:rFonts w:cs="Times New Roman"/>
          <w:szCs w:val="24"/>
        </w:rPr>
      </w:pPr>
      <w:r w:rsidRPr="00620AF0">
        <w:rPr>
          <w:rFonts w:cs="Times New Roman"/>
          <w:szCs w:val="24"/>
        </w:rPr>
        <w:t>Develop a strategic partnership between government, business and the private knowledge institutions as has been done in the Netherlands and promote centers of delta knowledge excellence. In Bangladesh, there are already a few dedicated semi-au</w:t>
      </w:r>
      <w:r w:rsidR="00FE6385">
        <w:rPr>
          <w:rFonts w:cs="Times New Roman"/>
          <w:szCs w:val="24"/>
        </w:rPr>
        <w:t>ton</w:t>
      </w:r>
      <w:r w:rsidRPr="00620AF0">
        <w:rPr>
          <w:rFonts w:cs="Times New Roman"/>
          <w:szCs w:val="24"/>
        </w:rPr>
        <w:t xml:space="preserve">omous institutions funded by the government that do water, climate and environment related research. These are: the CEGIS and IWM of Ministry of Water resources, and IWFM of BUET.  All of them are excellent research institutions. The partnership can be expanded to include all other government and </w:t>
      </w:r>
      <w:r w:rsidR="000B096E">
        <w:t xml:space="preserve">public </w:t>
      </w:r>
      <w:r w:rsidRPr="00620AF0">
        <w:rPr>
          <w:rFonts w:cs="Times New Roman"/>
          <w:szCs w:val="24"/>
        </w:rPr>
        <w:t>institutions that create knowledge (as listed in Table 14.2), bring in other private knowledge institutions that have expertise in institutional management as well as economic management, modeling and financial analysis, and representatives from business community that deal with different aspects of the delta (water, land use, ports and river transport, fisheries, watershed, agriculture, pollution and environment).</w:t>
      </w:r>
    </w:p>
    <w:p w:rsidR="006912EC" w:rsidRPr="00885502" w:rsidRDefault="006912EC" w:rsidP="00571B7D">
      <w:pPr>
        <w:spacing w:line="276" w:lineRule="auto"/>
        <w:jc w:val="both"/>
      </w:pPr>
      <w:r w:rsidRPr="00885502">
        <w:t xml:space="preserve">The Bangladesh Delta Plan 2100 aims to bring delta knowledge and adaptive delta management to life in a </w:t>
      </w:r>
      <w:r w:rsidRPr="00885502">
        <w:rPr>
          <w:i/>
          <w:iCs/>
        </w:rPr>
        <w:t>Delta Knowledge Community</w:t>
      </w:r>
      <w:r w:rsidRPr="00885502">
        <w:t xml:space="preserve">, comprising academics, policy makers, international donors, NGOs and field workers in a </w:t>
      </w:r>
      <w:r w:rsidRPr="00885502">
        <w:rPr>
          <w:i/>
          <w:iCs/>
        </w:rPr>
        <w:t>community of participants</w:t>
      </w:r>
      <w:r w:rsidRPr="00885502">
        <w:t xml:space="preserve">. This Delta Knowledge Community will be able to engage in continuous self-reflection and continuously make knowledge available to its stakeholders, enabling them to engage in adaptive delta management. </w:t>
      </w:r>
    </w:p>
    <w:p w:rsidR="006912EC" w:rsidRPr="00885502" w:rsidRDefault="006912EC" w:rsidP="00571B7D">
      <w:pPr>
        <w:spacing w:after="0" w:line="276" w:lineRule="auto"/>
        <w:jc w:val="both"/>
        <w:rPr>
          <w:rFonts w:cs="Segoe UI"/>
          <w:szCs w:val="19"/>
        </w:rPr>
      </w:pPr>
      <w:r w:rsidRPr="00885502">
        <w:rPr>
          <w:rFonts w:cs="Segoe UI"/>
          <w:szCs w:val="19"/>
        </w:rPr>
        <w:t xml:space="preserve">The main </w:t>
      </w:r>
      <w:r w:rsidRPr="00885502">
        <w:rPr>
          <w:rFonts w:cs="Segoe UI"/>
          <w:iCs/>
          <w:szCs w:val="19"/>
        </w:rPr>
        <w:t>goal</w:t>
      </w:r>
      <w:r w:rsidRPr="00885502">
        <w:rPr>
          <w:rFonts w:cs="Segoe UI"/>
          <w:szCs w:val="19"/>
        </w:rPr>
        <w:t xml:space="preserve"> of the establishment of a delta community and an institutional set-up to that is:</w:t>
      </w:r>
    </w:p>
    <w:p w:rsidR="00000000" w:rsidRDefault="006912EC" w:rsidP="003D5A31">
      <w:pPr>
        <w:numPr>
          <w:ilvl w:val="0"/>
          <w:numId w:val="193"/>
        </w:numPr>
        <w:spacing w:after="0" w:line="276" w:lineRule="auto"/>
        <w:jc w:val="both"/>
        <w:rPr>
          <w:rFonts w:cs="Segoe UI"/>
          <w:szCs w:val="19"/>
        </w:rPr>
      </w:pPr>
      <w:r w:rsidRPr="00885502">
        <w:rPr>
          <w:rFonts w:cs="Segoe UI"/>
          <w:szCs w:val="19"/>
        </w:rPr>
        <w:t>To create ownership in knowledge generation and the created knowledge in particular of organizations with specific responsibility towards delta management;</w:t>
      </w:r>
    </w:p>
    <w:p w:rsidR="00000000" w:rsidRDefault="006912EC" w:rsidP="003D5A31">
      <w:pPr>
        <w:numPr>
          <w:ilvl w:val="0"/>
          <w:numId w:val="193"/>
        </w:numPr>
        <w:spacing w:after="0" w:line="276" w:lineRule="auto"/>
        <w:jc w:val="both"/>
        <w:rPr>
          <w:rFonts w:cs="Segoe UI"/>
          <w:szCs w:val="19"/>
        </w:rPr>
      </w:pPr>
      <w:r w:rsidRPr="00885502">
        <w:rPr>
          <w:rFonts w:cs="Segoe UI"/>
          <w:szCs w:val="19"/>
        </w:rPr>
        <w:t>To be sustainable in the long run;</w:t>
      </w:r>
    </w:p>
    <w:p w:rsidR="00000000" w:rsidRDefault="006912EC" w:rsidP="003D5A31">
      <w:pPr>
        <w:numPr>
          <w:ilvl w:val="0"/>
          <w:numId w:val="193"/>
        </w:numPr>
        <w:spacing w:after="40" w:line="276" w:lineRule="auto"/>
        <w:jc w:val="both"/>
        <w:rPr>
          <w:rFonts w:cs="Segoe UI"/>
          <w:szCs w:val="19"/>
        </w:rPr>
      </w:pPr>
      <w:r w:rsidRPr="00885502">
        <w:rPr>
          <w:rFonts w:cs="Segoe UI"/>
          <w:szCs w:val="19"/>
        </w:rPr>
        <w:t>To involve the scientific community, practitioners, international partners and the next generation of delta managers.</w:t>
      </w:r>
    </w:p>
    <w:p w:rsidR="002126ED" w:rsidRPr="002126ED" w:rsidRDefault="002126ED" w:rsidP="00571B7D">
      <w:pPr>
        <w:spacing w:after="40" w:line="276" w:lineRule="auto"/>
        <w:ind w:left="360"/>
        <w:jc w:val="both"/>
        <w:rPr>
          <w:rFonts w:cs="Segoe UI"/>
          <w:szCs w:val="19"/>
        </w:rPr>
      </w:pPr>
    </w:p>
    <w:p w:rsidR="006912EC" w:rsidRPr="00885502" w:rsidRDefault="006912EC" w:rsidP="00571B7D">
      <w:pPr>
        <w:spacing w:line="276" w:lineRule="auto"/>
        <w:jc w:val="both"/>
      </w:pPr>
      <w:r w:rsidRPr="00885502">
        <w:t xml:space="preserve">The set-up could be that of a </w:t>
      </w:r>
      <w:r w:rsidRPr="00885502">
        <w:rPr>
          <w:bCs/>
        </w:rPr>
        <w:t>network organization</w:t>
      </w:r>
      <w:r w:rsidRPr="00885502">
        <w:t xml:space="preserve"> with a central hub e.g. of Delta Wing or Secretariat under the Bangladesh Delta Commission and separate (or regional) nodes.  This can then be maintained and further expanded upon, beyond the completion of the Delta Plan Formulation Project, in the Delta Knowledge Community. An important coordinating role in the Delta Knowledge Community will be played by the </w:t>
      </w:r>
      <w:r>
        <w:t xml:space="preserve">proposed </w:t>
      </w:r>
      <w:r w:rsidRPr="00885502">
        <w:t xml:space="preserve">Delta Commission. Further important stakeholders in the Delta Knowledge Community will be policy makers, knowledge institutes, development partners, NGOs, the </w:t>
      </w:r>
      <w:r w:rsidR="000B096E">
        <w:t>public</w:t>
      </w:r>
      <w:r w:rsidRPr="00885502">
        <w:t xml:space="preserve"> and the private sector. Suggested options for the knowledge nodes are a number of fixed parties (such as national institutes for research and implementation, GED and WARPO as repository, development partners and temporary parties (e.g. consultancies, existing fora (on specific themes).</w:t>
      </w:r>
    </w:p>
    <w:p w:rsidR="006912EC" w:rsidRPr="00B32B1A" w:rsidRDefault="006912EC" w:rsidP="00571B7D">
      <w:pPr>
        <w:spacing w:line="276" w:lineRule="auto"/>
        <w:jc w:val="both"/>
        <w:rPr>
          <w:highlight w:val="red"/>
        </w:rPr>
      </w:pPr>
      <w:r w:rsidRPr="00B32B1A">
        <w:t xml:space="preserve">The role of the central Information and Knowledge Portal will be identification of knowledge needs of the participants of the Delta Community, coordination of programming, organizing the repository, monitoring of knowledge generation and application. Role of the nodes differ depending on the features of the node (university, research institute, </w:t>
      </w:r>
      <w:r w:rsidR="000B096E" w:rsidRPr="000B096E">
        <w:t xml:space="preserve"> </w:t>
      </w:r>
      <w:r w:rsidR="000B096E">
        <w:t>public</w:t>
      </w:r>
      <w:r w:rsidRPr="00B32B1A">
        <w:t xml:space="preserve"> or private knowledge institution etc.). It ranges from voicing research questions, implementation and being the repository (roles to be specified for each node). BWDB, Warpo, DoE, DAE, BUET, CEGIS and IWM form leading knowledge creators and users on water and climate change while the Ministry of Agriculture with its affiliate institutes and research bodies generates knowledge on all aspects of agriculture productivity under different soil, climate and water conditions (</w:t>
      </w:r>
      <w:r w:rsidR="00A10FA4">
        <w:t>Table 14.5</w:t>
      </w:r>
      <w:r w:rsidRPr="00B32B1A">
        <w:t>). Yet there is little or no coordination of the various knowledge institutions in relation to the four knowledge elements of delta management. A systematic, well-coordinated Knowledge Agenda to which all knowledge producers are contributing has to be created as there are many knowledge gaps and outdated data in almost all areas of the delta planning and management. The total Delta knowledge base needs to be filled up and renewed over time through systematic research, planning and decision-making linked to the needs of the Delta Plan.</w:t>
      </w:r>
      <w:r w:rsidRPr="00B32B1A">
        <w:rPr>
          <w:highlight w:val="red"/>
        </w:rPr>
        <w:t xml:space="preserve"> </w:t>
      </w:r>
    </w:p>
    <w:p w:rsidR="004F5E05" w:rsidRDefault="004F5E05">
      <w:pPr>
        <w:rPr>
          <w:b/>
          <w:bCs/>
          <w:szCs w:val="20"/>
        </w:rPr>
      </w:pPr>
      <w:bookmarkStart w:id="958" w:name="_Ref462923887"/>
      <w:bookmarkStart w:id="959" w:name="_Toc463363771"/>
      <w:r>
        <w:rPr>
          <w:szCs w:val="20"/>
        </w:rPr>
        <w:br w:type="page"/>
      </w:r>
    </w:p>
    <w:p w:rsidR="006912EC" w:rsidRPr="004B0A08" w:rsidRDefault="006912EC" w:rsidP="00EB6939">
      <w:pPr>
        <w:pStyle w:val="Heading4"/>
        <w:rPr>
          <w:szCs w:val="20"/>
        </w:rPr>
      </w:pPr>
      <w:bookmarkStart w:id="960" w:name="_Toc474639159"/>
      <w:r w:rsidRPr="00EB6939">
        <w:t>Table</w:t>
      </w:r>
      <w:bookmarkEnd w:id="958"/>
      <w:r w:rsidR="00A10FA4">
        <w:t xml:space="preserve"> 14.5</w:t>
      </w:r>
      <w:r w:rsidRPr="00EB6939">
        <w:t>: Agencies involved in Delta related Knowledge Management</w:t>
      </w:r>
      <w:bookmarkEnd w:id="959"/>
      <w:bookmarkEnd w:id="960"/>
    </w:p>
    <w:tbl>
      <w:tblPr>
        <w:tblStyle w:val="TableGrid"/>
        <w:tblW w:w="9067" w:type="dxa"/>
        <w:tblLook w:val="04A0"/>
      </w:tblPr>
      <w:tblGrid>
        <w:gridCol w:w="1415"/>
        <w:gridCol w:w="1415"/>
        <w:gridCol w:w="2835"/>
        <w:gridCol w:w="1701"/>
        <w:gridCol w:w="1701"/>
      </w:tblGrid>
      <w:tr w:rsidR="006912EC" w:rsidRPr="00B32B1A" w:rsidTr="002126ED">
        <w:trPr>
          <w:trHeight w:hRule="exact" w:val="821"/>
        </w:trPr>
        <w:tc>
          <w:tcPr>
            <w:tcW w:w="2830" w:type="dxa"/>
            <w:gridSpan w:val="2"/>
            <w:shd w:val="clear" w:color="auto" w:fill="EAF1DD" w:themeFill="accent3" w:themeFillTint="33"/>
            <w:vAlign w:val="center"/>
          </w:tcPr>
          <w:p w:rsidR="006912EC" w:rsidRPr="002126ED" w:rsidRDefault="006912EC" w:rsidP="00576F19">
            <w:pPr>
              <w:spacing w:line="240" w:lineRule="auto"/>
              <w:jc w:val="center"/>
              <w:rPr>
                <w:rFonts w:cs="Segoe UI"/>
                <w:b/>
                <w:sz w:val="22"/>
              </w:rPr>
            </w:pPr>
            <w:r w:rsidRPr="002126ED">
              <w:rPr>
                <w:rFonts w:cs="Segoe UI"/>
                <w:b/>
                <w:sz w:val="22"/>
              </w:rPr>
              <w:t>Knowledge Needs &amp; Creation (amongst others)</w:t>
            </w:r>
          </w:p>
        </w:tc>
        <w:tc>
          <w:tcPr>
            <w:tcW w:w="2835" w:type="dxa"/>
            <w:shd w:val="clear" w:color="auto" w:fill="EAF1DD" w:themeFill="accent3" w:themeFillTint="33"/>
            <w:vAlign w:val="center"/>
          </w:tcPr>
          <w:p w:rsidR="006912EC" w:rsidRPr="002126ED" w:rsidRDefault="006912EC" w:rsidP="00576F19">
            <w:pPr>
              <w:spacing w:line="240" w:lineRule="auto"/>
              <w:jc w:val="center"/>
              <w:rPr>
                <w:rFonts w:cs="Segoe UI"/>
                <w:b/>
                <w:sz w:val="22"/>
              </w:rPr>
            </w:pPr>
            <w:r w:rsidRPr="002126ED">
              <w:rPr>
                <w:rFonts w:cs="Segoe UI"/>
                <w:b/>
                <w:sz w:val="22"/>
              </w:rPr>
              <w:t>Knowledge storage, availability and up-dating (amongst others)</w:t>
            </w:r>
          </w:p>
        </w:tc>
        <w:tc>
          <w:tcPr>
            <w:tcW w:w="3402" w:type="dxa"/>
            <w:gridSpan w:val="2"/>
            <w:shd w:val="clear" w:color="auto" w:fill="EAF1DD" w:themeFill="accent3" w:themeFillTint="33"/>
            <w:vAlign w:val="center"/>
          </w:tcPr>
          <w:p w:rsidR="006912EC" w:rsidRPr="002126ED" w:rsidRDefault="006912EC" w:rsidP="00576F19">
            <w:pPr>
              <w:spacing w:line="240" w:lineRule="auto"/>
              <w:jc w:val="center"/>
              <w:rPr>
                <w:rFonts w:cs="Segoe UI"/>
                <w:b/>
                <w:sz w:val="22"/>
              </w:rPr>
            </w:pPr>
            <w:r w:rsidRPr="002126ED">
              <w:rPr>
                <w:rFonts w:cs="Segoe UI"/>
                <w:b/>
                <w:sz w:val="22"/>
              </w:rPr>
              <w:t>Delta Knowledge Community, possible linkage with Delta Information Portal</w:t>
            </w:r>
          </w:p>
        </w:tc>
      </w:tr>
      <w:tr w:rsidR="006912EC" w:rsidRPr="00B32B1A" w:rsidTr="002126ED">
        <w:trPr>
          <w:trHeight w:val="3518"/>
        </w:trPr>
        <w:tc>
          <w:tcPr>
            <w:tcW w:w="1415" w:type="dxa"/>
          </w:tcPr>
          <w:p w:rsidR="006912EC" w:rsidRPr="00B32B1A" w:rsidRDefault="006912EC" w:rsidP="00576F19">
            <w:pPr>
              <w:spacing w:line="240" w:lineRule="auto"/>
              <w:jc w:val="both"/>
              <w:rPr>
                <w:rFonts w:cs="Segoe UI"/>
                <w:sz w:val="20"/>
                <w:szCs w:val="20"/>
              </w:rPr>
            </w:pPr>
            <w:r w:rsidRPr="00B32B1A">
              <w:rPr>
                <w:rFonts w:cs="Segoe UI"/>
                <w:sz w:val="20"/>
                <w:szCs w:val="20"/>
              </w:rPr>
              <w:t>WARPO</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BWDB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BARC </w:t>
            </w:r>
          </w:p>
          <w:p w:rsidR="006912EC" w:rsidRPr="00B32B1A" w:rsidRDefault="006912EC" w:rsidP="00576F19">
            <w:pPr>
              <w:spacing w:line="240" w:lineRule="auto"/>
              <w:jc w:val="both"/>
              <w:rPr>
                <w:rFonts w:cs="Segoe UI"/>
                <w:sz w:val="20"/>
                <w:szCs w:val="20"/>
              </w:rPr>
            </w:pPr>
            <w:r w:rsidRPr="00B32B1A">
              <w:rPr>
                <w:rFonts w:cs="Segoe UI"/>
                <w:sz w:val="20"/>
                <w:szCs w:val="20"/>
              </w:rPr>
              <w:t>BBS</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BAU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BCAS </w:t>
            </w:r>
          </w:p>
          <w:p w:rsidR="006912EC" w:rsidRPr="00B32B1A" w:rsidRDefault="006912EC" w:rsidP="00576F19">
            <w:pPr>
              <w:spacing w:line="240" w:lineRule="auto"/>
              <w:jc w:val="both"/>
              <w:rPr>
                <w:rFonts w:cs="Segoe UI"/>
                <w:sz w:val="20"/>
                <w:szCs w:val="20"/>
                <w:highlight w:val="red"/>
              </w:rPr>
            </w:pPr>
            <w:r w:rsidRPr="00B32B1A">
              <w:rPr>
                <w:rFonts w:cs="Segoe UI"/>
                <w:sz w:val="20"/>
                <w:szCs w:val="20"/>
              </w:rPr>
              <w:t xml:space="preserve">BRAC University </w:t>
            </w:r>
          </w:p>
        </w:tc>
        <w:tc>
          <w:tcPr>
            <w:tcW w:w="1415" w:type="dxa"/>
          </w:tcPr>
          <w:p w:rsidR="006912EC" w:rsidRPr="00B32B1A" w:rsidRDefault="006912EC" w:rsidP="00576F19">
            <w:pPr>
              <w:spacing w:line="240" w:lineRule="auto"/>
              <w:jc w:val="both"/>
              <w:rPr>
                <w:rFonts w:cs="Segoe UI"/>
                <w:sz w:val="20"/>
                <w:szCs w:val="20"/>
                <w:lang w:val="nl-NL"/>
              </w:rPr>
            </w:pPr>
            <w:r w:rsidRPr="00B32B1A">
              <w:rPr>
                <w:rFonts w:cs="Segoe UI"/>
                <w:sz w:val="20"/>
                <w:szCs w:val="20"/>
                <w:lang w:val="nl-NL"/>
              </w:rPr>
              <w:t xml:space="preserve">BUET </w:t>
            </w:r>
          </w:p>
          <w:p w:rsidR="006912EC" w:rsidRPr="00B32B1A" w:rsidRDefault="006912EC" w:rsidP="00576F19">
            <w:pPr>
              <w:spacing w:line="240" w:lineRule="auto"/>
              <w:jc w:val="both"/>
              <w:rPr>
                <w:rFonts w:cs="Segoe UI"/>
                <w:sz w:val="20"/>
                <w:szCs w:val="20"/>
                <w:lang w:val="nl-NL"/>
              </w:rPr>
            </w:pPr>
            <w:r w:rsidRPr="00B32B1A">
              <w:rPr>
                <w:rFonts w:cs="Segoe UI"/>
                <w:sz w:val="20"/>
                <w:szCs w:val="20"/>
                <w:lang w:val="nl-NL"/>
              </w:rPr>
              <w:t xml:space="preserve">CEGIS </w:t>
            </w:r>
          </w:p>
          <w:p w:rsidR="006912EC" w:rsidRPr="00B32B1A" w:rsidRDefault="006912EC" w:rsidP="00576F19">
            <w:pPr>
              <w:spacing w:line="240" w:lineRule="auto"/>
              <w:jc w:val="both"/>
              <w:rPr>
                <w:rFonts w:cs="Segoe UI"/>
                <w:sz w:val="20"/>
                <w:szCs w:val="20"/>
                <w:lang w:val="nl-NL"/>
              </w:rPr>
            </w:pPr>
            <w:r w:rsidRPr="00B32B1A">
              <w:rPr>
                <w:rFonts w:cs="Segoe UI"/>
                <w:sz w:val="20"/>
                <w:szCs w:val="20"/>
                <w:lang w:val="nl-NL"/>
              </w:rPr>
              <w:t>DoE</w:t>
            </w:r>
          </w:p>
          <w:p w:rsidR="006912EC" w:rsidRPr="00B32B1A" w:rsidRDefault="006912EC" w:rsidP="00576F19">
            <w:pPr>
              <w:spacing w:line="240" w:lineRule="auto"/>
              <w:jc w:val="both"/>
              <w:rPr>
                <w:rFonts w:cs="Segoe UI"/>
                <w:sz w:val="20"/>
                <w:szCs w:val="20"/>
                <w:lang w:val="nl-NL"/>
              </w:rPr>
            </w:pPr>
            <w:r w:rsidRPr="00B32B1A">
              <w:rPr>
                <w:rFonts w:cs="Segoe UI"/>
                <w:sz w:val="20"/>
                <w:szCs w:val="20"/>
                <w:lang w:val="nl-NL"/>
              </w:rPr>
              <w:t xml:space="preserve">IWM </w:t>
            </w:r>
          </w:p>
          <w:p w:rsidR="006912EC" w:rsidRPr="00B32B1A" w:rsidRDefault="006912EC" w:rsidP="00576F19">
            <w:pPr>
              <w:spacing w:line="240" w:lineRule="auto"/>
              <w:jc w:val="both"/>
              <w:rPr>
                <w:rFonts w:cs="Segoe UI"/>
                <w:sz w:val="20"/>
                <w:szCs w:val="20"/>
                <w:lang w:val="nl-NL"/>
              </w:rPr>
            </w:pPr>
            <w:r w:rsidRPr="00B32B1A">
              <w:rPr>
                <w:rFonts w:cs="Segoe UI"/>
                <w:sz w:val="20"/>
                <w:szCs w:val="20"/>
                <w:lang w:val="nl-NL"/>
              </w:rPr>
              <w:t>DAE</w:t>
            </w:r>
          </w:p>
          <w:p w:rsidR="006912EC" w:rsidRPr="00B32B1A" w:rsidRDefault="006912EC" w:rsidP="00576F19">
            <w:pPr>
              <w:spacing w:line="240" w:lineRule="auto"/>
              <w:jc w:val="both"/>
              <w:rPr>
                <w:rFonts w:cs="Segoe UI"/>
                <w:sz w:val="20"/>
                <w:szCs w:val="20"/>
                <w:lang w:val="nl-NL"/>
              </w:rPr>
            </w:pPr>
            <w:r w:rsidRPr="00B32B1A">
              <w:rPr>
                <w:rFonts w:cs="Segoe UI"/>
                <w:sz w:val="20"/>
                <w:szCs w:val="20"/>
                <w:lang w:val="nl-NL"/>
              </w:rPr>
              <w:t xml:space="preserve">SRDI </w:t>
            </w:r>
          </w:p>
        </w:tc>
        <w:tc>
          <w:tcPr>
            <w:tcW w:w="2835" w:type="dxa"/>
          </w:tcPr>
          <w:p w:rsidR="006912EC" w:rsidRPr="00B32B1A" w:rsidRDefault="006912EC" w:rsidP="00576F19">
            <w:pPr>
              <w:spacing w:line="240" w:lineRule="auto"/>
              <w:jc w:val="both"/>
              <w:rPr>
                <w:rFonts w:cs="Segoe UI"/>
                <w:sz w:val="20"/>
                <w:szCs w:val="20"/>
                <w:lang w:val="nl-NL"/>
              </w:rPr>
            </w:pPr>
            <w:r w:rsidRPr="00B32B1A">
              <w:rPr>
                <w:rFonts w:cs="Segoe UI"/>
                <w:sz w:val="20"/>
                <w:szCs w:val="20"/>
                <w:lang w:val="nl-NL"/>
              </w:rPr>
              <w:t>WARPO – NWRD, ICRD</w:t>
            </w:r>
          </w:p>
          <w:p w:rsidR="006912EC" w:rsidRPr="00B32B1A" w:rsidRDefault="006912EC" w:rsidP="00576F19">
            <w:pPr>
              <w:spacing w:line="240" w:lineRule="auto"/>
              <w:jc w:val="both"/>
              <w:rPr>
                <w:rFonts w:cs="Segoe UI"/>
                <w:sz w:val="20"/>
                <w:szCs w:val="20"/>
                <w:lang w:val="nl-NL"/>
              </w:rPr>
            </w:pPr>
            <w:r w:rsidRPr="00B32B1A">
              <w:rPr>
                <w:rFonts w:cs="Segoe UI"/>
                <w:sz w:val="20"/>
                <w:szCs w:val="20"/>
                <w:lang w:val="nl-NL"/>
              </w:rPr>
              <w:t>BWDB</w:t>
            </w:r>
          </w:p>
          <w:p w:rsidR="006912EC" w:rsidRPr="00B32B1A" w:rsidRDefault="006912EC" w:rsidP="00576F19">
            <w:pPr>
              <w:spacing w:line="240" w:lineRule="auto"/>
              <w:jc w:val="both"/>
              <w:rPr>
                <w:rFonts w:cs="Segoe UI"/>
                <w:sz w:val="20"/>
                <w:szCs w:val="20"/>
                <w:lang w:val="nl-NL"/>
              </w:rPr>
            </w:pPr>
            <w:r w:rsidRPr="00B32B1A">
              <w:rPr>
                <w:rFonts w:cs="Segoe UI"/>
                <w:sz w:val="20"/>
                <w:szCs w:val="20"/>
                <w:lang w:val="nl-NL"/>
              </w:rPr>
              <w:t>DBHWD - IHWRD</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BBS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BMD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DLRS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LGED </w:t>
            </w:r>
          </w:p>
          <w:p w:rsidR="006912EC" w:rsidRPr="00B32B1A" w:rsidRDefault="006912EC" w:rsidP="00576F19">
            <w:pPr>
              <w:spacing w:line="240" w:lineRule="auto"/>
              <w:jc w:val="both"/>
              <w:rPr>
                <w:rFonts w:cs="Segoe UI"/>
                <w:sz w:val="20"/>
                <w:szCs w:val="20"/>
              </w:rPr>
            </w:pPr>
            <w:r w:rsidRPr="00B32B1A">
              <w:rPr>
                <w:rFonts w:cs="Segoe UI"/>
                <w:sz w:val="20"/>
                <w:szCs w:val="20"/>
              </w:rPr>
              <w:t>RHD</w:t>
            </w:r>
          </w:p>
        </w:tc>
        <w:tc>
          <w:tcPr>
            <w:tcW w:w="1701" w:type="dxa"/>
          </w:tcPr>
          <w:p w:rsidR="006912EC" w:rsidRPr="00B32B1A" w:rsidRDefault="006912EC" w:rsidP="00576F19">
            <w:pPr>
              <w:spacing w:line="240" w:lineRule="auto"/>
              <w:jc w:val="both"/>
              <w:rPr>
                <w:rFonts w:cs="Segoe UI"/>
                <w:sz w:val="20"/>
                <w:szCs w:val="20"/>
              </w:rPr>
            </w:pPr>
            <w:r w:rsidRPr="00B32B1A">
              <w:rPr>
                <w:rFonts w:cs="Segoe UI"/>
                <w:sz w:val="20"/>
                <w:szCs w:val="20"/>
              </w:rPr>
              <w:t>WARPO</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BWDB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BARC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BBS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BMD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BUET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CEGIS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DoE </w:t>
            </w:r>
          </w:p>
        </w:tc>
        <w:tc>
          <w:tcPr>
            <w:tcW w:w="1701" w:type="dxa"/>
          </w:tcPr>
          <w:p w:rsidR="006912EC" w:rsidRPr="00B32B1A" w:rsidRDefault="006912EC" w:rsidP="00576F19">
            <w:pPr>
              <w:spacing w:line="240" w:lineRule="auto"/>
              <w:jc w:val="both"/>
              <w:rPr>
                <w:rFonts w:cs="Segoe UI"/>
                <w:sz w:val="20"/>
                <w:szCs w:val="20"/>
              </w:rPr>
            </w:pPr>
            <w:r w:rsidRPr="00B32B1A">
              <w:rPr>
                <w:rFonts w:cs="Segoe UI"/>
                <w:sz w:val="20"/>
                <w:szCs w:val="20"/>
              </w:rPr>
              <w:t xml:space="preserve">DLRS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IWM </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LGED </w:t>
            </w:r>
          </w:p>
          <w:p w:rsidR="006912EC" w:rsidRPr="00B32B1A" w:rsidRDefault="006912EC" w:rsidP="00576F19">
            <w:pPr>
              <w:spacing w:line="240" w:lineRule="auto"/>
              <w:jc w:val="both"/>
              <w:rPr>
                <w:rFonts w:cs="Segoe UI"/>
                <w:sz w:val="20"/>
                <w:szCs w:val="20"/>
              </w:rPr>
            </w:pPr>
            <w:r w:rsidRPr="00B32B1A">
              <w:rPr>
                <w:rFonts w:cs="Segoe UI"/>
                <w:sz w:val="20"/>
                <w:szCs w:val="20"/>
              </w:rPr>
              <w:t>DAE</w:t>
            </w:r>
          </w:p>
          <w:p w:rsidR="006912EC" w:rsidRPr="00B32B1A" w:rsidRDefault="006912EC" w:rsidP="00576F19">
            <w:pPr>
              <w:spacing w:line="240" w:lineRule="auto"/>
              <w:jc w:val="both"/>
              <w:rPr>
                <w:rFonts w:cs="Segoe UI"/>
                <w:sz w:val="20"/>
                <w:szCs w:val="20"/>
              </w:rPr>
            </w:pPr>
            <w:r w:rsidRPr="00B32B1A">
              <w:rPr>
                <w:rFonts w:cs="Segoe UI"/>
                <w:sz w:val="20"/>
                <w:szCs w:val="20"/>
              </w:rPr>
              <w:t xml:space="preserve">RHD </w:t>
            </w:r>
          </w:p>
          <w:p w:rsidR="006912EC" w:rsidRPr="00B32B1A" w:rsidRDefault="006912EC" w:rsidP="00576F19">
            <w:pPr>
              <w:spacing w:line="240" w:lineRule="auto"/>
              <w:jc w:val="both"/>
              <w:rPr>
                <w:rFonts w:cs="Segoe UI"/>
                <w:sz w:val="20"/>
                <w:szCs w:val="20"/>
              </w:rPr>
            </w:pPr>
            <w:r w:rsidRPr="00B32B1A">
              <w:rPr>
                <w:rFonts w:cs="Segoe UI"/>
                <w:sz w:val="20"/>
                <w:szCs w:val="20"/>
              </w:rPr>
              <w:t>SRDI</w:t>
            </w:r>
          </w:p>
        </w:tc>
      </w:tr>
    </w:tbl>
    <w:p w:rsidR="006912EC" w:rsidRPr="002F219E" w:rsidRDefault="006912EC" w:rsidP="004F5E05">
      <w:pPr>
        <w:pStyle w:val="BodyText"/>
        <w:spacing w:before="120" w:after="240" w:line="271" w:lineRule="auto"/>
        <w:rPr>
          <w:rFonts w:cs="Times New Roman"/>
          <w:szCs w:val="24"/>
        </w:rPr>
      </w:pPr>
      <w:r w:rsidRPr="002F219E">
        <w:rPr>
          <w:rFonts w:cs="Times New Roman"/>
          <w:szCs w:val="24"/>
        </w:rPr>
        <w:t>The following data provider institutions</w:t>
      </w:r>
      <w:r>
        <w:rPr>
          <w:rFonts w:cs="Times New Roman"/>
          <w:szCs w:val="24"/>
        </w:rPr>
        <w:t xml:space="preserve"> and data source</w:t>
      </w:r>
      <w:r w:rsidRPr="002F219E">
        <w:rPr>
          <w:rFonts w:cs="Times New Roman"/>
          <w:szCs w:val="24"/>
        </w:rPr>
        <w:t>, to name a few, are important to be represented in the BDP 2100 Knowledge Portal</w:t>
      </w:r>
      <w:r w:rsidRPr="002F219E">
        <w:rPr>
          <w:rStyle w:val="FootnoteReference"/>
          <w:rFonts w:cs="Times New Roman"/>
          <w:szCs w:val="24"/>
        </w:rPr>
        <w:footnoteReference w:id="69"/>
      </w:r>
      <w:r w:rsidRPr="002F219E">
        <w:rPr>
          <w:rFonts w:cs="Times New Roman"/>
          <w:szCs w:val="24"/>
        </w:rPr>
        <w:t xml:space="preserve">: </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National Water Resources Database (NWRD)</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Integrated Coastal Resources Database (ICRD)</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Integrated Haors and Wetlands Resources Database</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Bangladesh Water Development Board database</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Bangladesh Meteorological Department (BMD) database</w:t>
      </w:r>
    </w:p>
    <w:p w:rsidR="00000000" w:rsidRDefault="006912EC" w:rsidP="003D5A31">
      <w:pPr>
        <w:pStyle w:val="BodyText"/>
        <w:numPr>
          <w:ilvl w:val="0"/>
          <w:numId w:val="117"/>
        </w:numPr>
        <w:spacing w:after="240" w:line="271" w:lineRule="auto"/>
        <w:contextualSpacing/>
        <w:rPr>
          <w:rFonts w:cs="Times New Roman"/>
          <w:color w:val="000000" w:themeColor="text1"/>
          <w:szCs w:val="24"/>
        </w:rPr>
      </w:pPr>
      <w:r w:rsidRPr="002F219E">
        <w:rPr>
          <w:rFonts w:cs="Times New Roman"/>
          <w:color w:val="000000" w:themeColor="text1"/>
          <w:szCs w:val="24"/>
        </w:rPr>
        <w:t xml:space="preserve">Bangladesh Bureau of Statistics (BBS) database </w:t>
      </w:r>
    </w:p>
    <w:p w:rsidR="00000000" w:rsidRDefault="006912EC" w:rsidP="003D5A31">
      <w:pPr>
        <w:pStyle w:val="BodyText"/>
        <w:numPr>
          <w:ilvl w:val="0"/>
          <w:numId w:val="117"/>
        </w:numPr>
        <w:spacing w:after="240" w:line="271" w:lineRule="auto"/>
        <w:contextualSpacing/>
        <w:rPr>
          <w:rFonts w:cs="Times New Roman"/>
          <w:color w:val="000000" w:themeColor="text1"/>
          <w:szCs w:val="24"/>
        </w:rPr>
      </w:pPr>
      <w:r w:rsidRPr="002F219E">
        <w:rPr>
          <w:rFonts w:cs="Times New Roman"/>
          <w:color w:val="000000" w:themeColor="text1"/>
          <w:szCs w:val="24"/>
        </w:rPr>
        <w:t>Bangladesh Space Research and Remote Sensing Organization (SPARRSO)</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 xml:space="preserve">Directorate of Land Record and Survey (DLRS) </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Survey of Bangladesh (SOB)</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Local Government Engineering Department (LGED)</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Roads and Highways Department (RHD)</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Department of Environment (DoE)</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Soil Resource Development Institute (SRDI)</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Bangladesh Agriculture Research Council (BARC)</w:t>
      </w:r>
    </w:p>
    <w:p w:rsidR="00000000" w:rsidRDefault="006912EC" w:rsidP="003D5A31">
      <w:pPr>
        <w:pStyle w:val="BodyText"/>
        <w:numPr>
          <w:ilvl w:val="0"/>
          <w:numId w:val="117"/>
        </w:numPr>
        <w:spacing w:after="240" w:line="271" w:lineRule="auto"/>
        <w:contextualSpacing/>
        <w:rPr>
          <w:rFonts w:cs="Times New Roman"/>
          <w:szCs w:val="24"/>
        </w:rPr>
      </w:pPr>
      <w:r w:rsidRPr="002F219E">
        <w:rPr>
          <w:rFonts w:cs="Times New Roman"/>
          <w:szCs w:val="24"/>
        </w:rPr>
        <w:t>National Institute for Local Government (NILG under LGD).</w:t>
      </w:r>
    </w:p>
    <w:p w:rsidR="006912EC" w:rsidRDefault="006912EC" w:rsidP="00A86115">
      <w:pPr>
        <w:pStyle w:val="BodyText"/>
        <w:spacing w:after="240" w:line="276" w:lineRule="auto"/>
        <w:jc w:val="both"/>
        <w:rPr>
          <w:rFonts w:cs="Times New Roman"/>
          <w:szCs w:val="24"/>
        </w:rPr>
      </w:pPr>
    </w:p>
    <w:p w:rsidR="00F64A6A" w:rsidRDefault="007F2F9C" w:rsidP="00F64A6A">
      <w:pPr>
        <w:pStyle w:val="Heading2"/>
        <w:numPr>
          <w:ilvl w:val="0"/>
          <w:numId w:val="0"/>
        </w:numPr>
        <w:ind w:left="1080"/>
      </w:pPr>
      <w:bookmarkStart w:id="961" w:name="_Toc474638963"/>
      <w:r>
        <w:t>Institutional Set-up for Operating the Knowledge Hub</w:t>
      </w:r>
      <w:r w:rsidRPr="00886BFE">
        <w:rPr>
          <w:vertAlign w:val="superscript"/>
        </w:rPr>
        <w:footnoteReference w:id="70"/>
      </w:r>
      <w:bookmarkEnd w:id="961"/>
    </w:p>
    <w:p w:rsidR="007F2F9C" w:rsidRDefault="007F2F9C" w:rsidP="00A86115">
      <w:pPr>
        <w:pStyle w:val="BodyText"/>
        <w:spacing w:after="240" w:line="276" w:lineRule="auto"/>
        <w:jc w:val="both"/>
        <w:rPr>
          <w:rFonts w:cs="Times New Roman"/>
          <w:szCs w:val="24"/>
        </w:rPr>
      </w:pPr>
      <w:r>
        <w:rPr>
          <w:rFonts w:cs="Times New Roman"/>
          <w:szCs w:val="24"/>
        </w:rPr>
        <w:t xml:space="preserve">Transparency, open access and building up an evidence-based knowledge hub under the BDP2100 requires an institutional set-up that is capable of designing, adjusting, operating, trouble shooting, responding to feedback for improvements and financially sustaining operations in the long run. </w:t>
      </w:r>
    </w:p>
    <w:p w:rsidR="007F2F9C" w:rsidRDefault="007F2F9C" w:rsidP="00A86115">
      <w:pPr>
        <w:pStyle w:val="BodyText"/>
        <w:spacing w:after="240" w:line="276" w:lineRule="auto"/>
        <w:jc w:val="both"/>
        <w:rPr>
          <w:rFonts w:cs="Times New Roman"/>
          <w:szCs w:val="24"/>
        </w:rPr>
      </w:pPr>
      <w:r>
        <w:rPr>
          <w:rFonts w:cs="Times New Roman"/>
          <w:szCs w:val="24"/>
        </w:rPr>
        <w:t xml:space="preserve">There are two possible options.  One option is to follow the Dutch approach. </w:t>
      </w:r>
      <w:r w:rsidRPr="00693324">
        <w:rPr>
          <w:rFonts w:cs="Times New Roman"/>
          <w:szCs w:val="24"/>
        </w:rPr>
        <w:t xml:space="preserve">The Netherlands Delta Commission has a </w:t>
      </w:r>
      <w:r w:rsidR="000B096E">
        <w:t>public</w:t>
      </w:r>
      <w:r w:rsidRPr="00693324">
        <w:rPr>
          <w:rFonts w:cs="Times New Roman"/>
          <w:szCs w:val="24"/>
        </w:rPr>
        <w:t>-private outlay with knowledge being managed by a consortium of science, administration, and business (a tripartite venture) facil</w:t>
      </w:r>
      <w:r>
        <w:rPr>
          <w:rFonts w:cs="Times New Roman"/>
          <w:szCs w:val="24"/>
        </w:rPr>
        <w:t>itated by the existence of the D</w:t>
      </w:r>
      <w:r w:rsidRPr="00693324">
        <w:rPr>
          <w:rFonts w:cs="Times New Roman"/>
          <w:szCs w:val="24"/>
        </w:rPr>
        <w:t>elta Commission.</w:t>
      </w:r>
      <w:r>
        <w:rPr>
          <w:rFonts w:cs="Times New Roman"/>
          <w:szCs w:val="24"/>
        </w:rPr>
        <w:t xml:space="preserve">  In this approach,  </w:t>
      </w:r>
      <w:r w:rsidR="00576F19">
        <w:rPr>
          <w:rFonts w:cs="Times New Roman"/>
          <w:szCs w:val="24"/>
        </w:rPr>
        <w:t xml:space="preserve"> a </w:t>
      </w:r>
      <w:r w:rsidR="000B096E">
        <w:t>public</w:t>
      </w:r>
      <w:r>
        <w:rPr>
          <w:rFonts w:cs="Times New Roman"/>
          <w:szCs w:val="24"/>
        </w:rPr>
        <w:t>-private trust as a separate entity</w:t>
      </w:r>
      <w:r w:rsidR="00576F19">
        <w:rPr>
          <w:rFonts w:cs="Times New Roman"/>
          <w:szCs w:val="24"/>
        </w:rPr>
        <w:t xml:space="preserve"> is needed</w:t>
      </w:r>
      <w:r>
        <w:rPr>
          <w:rFonts w:cs="Times New Roman"/>
          <w:szCs w:val="24"/>
        </w:rPr>
        <w:t xml:space="preserve">. This Trust will operate as an open access forum, operating with a board of trustees made of </w:t>
      </w:r>
      <w:r w:rsidR="000B096E">
        <w:t>public</w:t>
      </w:r>
      <w:r>
        <w:rPr>
          <w:rFonts w:cs="Times New Roman"/>
          <w:szCs w:val="24"/>
        </w:rPr>
        <w:t xml:space="preserve"> and private sector members, an investment / capital budget to set up the data back-end-and-front-end data integration and access by multiple stakeholders and an operational budget to operate, maintain, and make improvements to the knowledge hub.  </w:t>
      </w:r>
    </w:p>
    <w:p w:rsidR="007F2F9C" w:rsidRDefault="007F2F9C" w:rsidP="00A86115">
      <w:pPr>
        <w:pStyle w:val="BodyText"/>
        <w:spacing w:after="240" w:line="276" w:lineRule="auto"/>
        <w:jc w:val="both"/>
        <w:rPr>
          <w:rFonts w:cs="Times New Roman"/>
          <w:szCs w:val="24"/>
        </w:rPr>
      </w:pPr>
      <w:r>
        <w:rPr>
          <w:rFonts w:cs="Times New Roman"/>
          <w:szCs w:val="24"/>
        </w:rPr>
        <w:t>A possibly more pragmatic approach that does not require the establishment of an entirely new institution is to assign this respons</w:t>
      </w:r>
      <w:r w:rsidR="00ED3FC6">
        <w:rPr>
          <w:rFonts w:cs="Times New Roman"/>
          <w:szCs w:val="24"/>
        </w:rPr>
        <w:t xml:space="preserve">ibility to the Delta </w:t>
      </w:r>
      <w:r w:rsidR="00576F19">
        <w:rPr>
          <w:rFonts w:cs="Times New Roman"/>
          <w:szCs w:val="24"/>
        </w:rPr>
        <w:t>Secretariat in partnership with WARPO</w:t>
      </w:r>
      <w:r>
        <w:rPr>
          <w:rFonts w:cs="Times New Roman"/>
          <w:szCs w:val="24"/>
        </w:rPr>
        <w:t>.  Under the Water Act 2013 WARPO already has been entrusted with the mandate to take responsibility for all water related technical aspects of planning</w:t>
      </w:r>
    </w:p>
    <w:p w:rsidR="007F2F9C" w:rsidRDefault="007F2F9C" w:rsidP="00A86115">
      <w:pPr>
        <w:pStyle w:val="BodyText"/>
        <w:spacing w:after="240" w:line="276" w:lineRule="auto"/>
        <w:jc w:val="both"/>
        <w:rPr>
          <w:rFonts w:cs="Times New Roman"/>
          <w:szCs w:val="24"/>
        </w:rPr>
      </w:pPr>
      <w:r>
        <w:rPr>
          <w:rFonts w:cs="Times New Roman"/>
          <w:szCs w:val="24"/>
        </w:rPr>
        <w:t>The effecti</w:t>
      </w:r>
      <w:r w:rsidR="00ED3FC6">
        <w:rPr>
          <w:rFonts w:cs="Times New Roman"/>
          <w:szCs w:val="24"/>
        </w:rPr>
        <w:t>veness and capabilities of the Delta Secretariat</w:t>
      </w:r>
      <w:r>
        <w:rPr>
          <w:rFonts w:cs="Times New Roman"/>
          <w:szCs w:val="24"/>
        </w:rPr>
        <w:t xml:space="preserve"> </w:t>
      </w:r>
      <w:r w:rsidR="00576F19">
        <w:rPr>
          <w:rFonts w:cs="Times New Roman"/>
          <w:szCs w:val="24"/>
        </w:rPr>
        <w:t xml:space="preserve">and WARPO </w:t>
      </w:r>
      <w:r>
        <w:rPr>
          <w:rFonts w:cs="Times New Roman"/>
          <w:szCs w:val="24"/>
        </w:rPr>
        <w:t>will have to be substantially strengthened to play this knowledge coordina</w:t>
      </w:r>
      <w:r w:rsidR="00180AA9">
        <w:rPr>
          <w:rFonts w:cs="Times New Roman"/>
          <w:szCs w:val="24"/>
        </w:rPr>
        <w:t xml:space="preserve">tion </w:t>
      </w:r>
      <w:r w:rsidR="00065D01">
        <w:rPr>
          <w:rFonts w:cs="Times New Roman"/>
          <w:szCs w:val="24"/>
        </w:rPr>
        <w:t>role. As</w:t>
      </w:r>
      <w:r w:rsidR="00180AA9">
        <w:rPr>
          <w:rFonts w:cs="Times New Roman"/>
          <w:szCs w:val="24"/>
        </w:rPr>
        <w:t xml:space="preserve"> noted in chapter 12</w:t>
      </w:r>
      <w:r>
        <w:rPr>
          <w:rFonts w:cs="Times New Roman"/>
          <w:szCs w:val="24"/>
        </w:rPr>
        <w:t>, the knowledge strategy will need to be developed and approved by the Bangladesh Delta Comm</w:t>
      </w:r>
      <w:r w:rsidR="00ED3FC6">
        <w:rPr>
          <w:rFonts w:cs="Times New Roman"/>
          <w:szCs w:val="24"/>
        </w:rPr>
        <w:t>ission</w:t>
      </w:r>
      <w:r>
        <w:rPr>
          <w:rFonts w:cs="Times New Roman"/>
          <w:szCs w:val="24"/>
        </w:rPr>
        <w:t xml:space="preserve"> along with a three year </w:t>
      </w:r>
      <w:r w:rsidR="00ED3FC6">
        <w:rPr>
          <w:rFonts w:cs="Times New Roman"/>
          <w:szCs w:val="24"/>
        </w:rPr>
        <w:t>rolling work programme. The Delta Secretariat</w:t>
      </w:r>
      <w:r>
        <w:rPr>
          <w:rFonts w:cs="Times New Roman"/>
          <w:szCs w:val="24"/>
        </w:rPr>
        <w:t xml:space="preserve"> will need to create a special unit for day-to-day management of the knowledge agenda and to undertake the M&amp;E of the ov</w:t>
      </w:r>
      <w:r w:rsidR="00180AA9">
        <w:rPr>
          <w:rFonts w:cs="Times New Roman"/>
          <w:szCs w:val="24"/>
        </w:rPr>
        <w:t>erall Delta Plan (Chapter 13</w:t>
      </w:r>
      <w:r>
        <w:rPr>
          <w:rFonts w:cs="Times New Roman"/>
          <w:szCs w:val="24"/>
        </w:rPr>
        <w:t>).  This unit will be staffed by technically competent</w:t>
      </w:r>
      <w:r w:rsidR="00ED3FC6">
        <w:rPr>
          <w:rFonts w:cs="Times New Roman"/>
          <w:szCs w:val="24"/>
        </w:rPr>
        <w:t xml:space="preserve"> experts</w:t>
      </w:r>
      <w:r>
        <w:rPr>
          <w:rFonts w:cs="Times New Roman"/>
          <w:szCs w:val="24"/>
        </w:rPr>
        <w:t xml:space="preserve">.  </w:t>
      </w:r>
    </w:p>
    <w:p w:rsidR="00ED3FC6" w:rsidRDefault="007F2F9C" w:rsidP="00C35D17">
      <w:pPr>
        <w:pStyle w:val="BodyText"/>
        <w:spacing w:after="240" w:line="276" w:lineRule="auto"/>
        <w:jc w:val="both"/>
        <w:rPr>
          <w:rFonts w:cs="Times New Roman"/>
          <w:szCs w:val="24"/>
        </w:rPr>
      </w:pPr>
      <w:r>
        <w:rPr>
          <w:rFonts w:cs="Times New Roman"/>
          <w:szCs w:val="24"/>
        </w:rPr>
        <w:t xml:space="preserve">An illustration of how this knowledge unit might function is shown in Figure </w:t>
      </w:r>
      <w:r w:rsidR="003368EF">
        <w:rPr>
          <w:rFonts w:cs="Times New Roman"/>
          <w:szCs w:val="24"/>
        </w:rPr>
        <w:t>14</w:t>
      </w:r>
      <w:r w:rsidR="002126ED">
        <w:rPr>
          <w:rFonts w:cs="Times New Roman"/>
          <w:szCs w:val="24"/>
        </w:rPr>
        <w:t>.3</w:t>
      </w:r>
      <w:r w:rsidR="003368EF">
        <w:rPr>
          <w:rFonts w:cs="Times New Roman"/>
          <w:szCs w:val="24"/>
        </w:rPr>
        <w:t>.</w:t>
      </w:r>
    </w:p>
    <w:p w:rsidR="004F5E05" w:rsidRDefault="004F5E05">
      <w:pPr>
        <w:rPr>
          <w:b/>
          <w:szCs w:val="24"/>
        </w:rPr>
      </w:pPr>
      <w:r>
        <w:br w:type="page"/>
      </w:r>
    </w:p>
    <w:p w:rsidR="007F2F9C" w:rsidRDefault="007F2F9C" w:rsidP="00FD7FD3">
      <w:pPr>
        <w:pStyle w:val="Heading5"/>
      </w:pPr>
      <w:bookmarkStart w:id="962" w:name="_Toc474639231"/>
      <w:r w:rsidRPr="00693324">
        <w:t xml:space="preserve">Figure </w:t>
      </w:r>
      <w:r w:rsidR="003368EF">
        <w:t>14.</w:t>
      </w:r>
      <w:r w:rsidR="00576F19">
        <w:t>3</w:t>
      </w:r>
      <w:r w:rsidRPr="00693324">
        <w:t>: Illustrative BDP 2100 Portal Flow of Information</w:t>
      </w:r>
      <w:bookmarkEnd w:id="962"/>
    </w:p>
    <w:p w:rsidR="007F2F9C" w:rsidRPr="00693324" w:rsidRDefault="001A12B2" w:rsidP="00005EAC">
      <w:pPr>
        <w:jc w:val="center"/>
        <w:rPr>
          <w:rFonts w:cs="Arial"/>
          <w:sz w:val="28"/>
          <w:szCs w:val="28"/>
        </w:rPr>
      </w:pPr>
      <w:r w:rsidRPr="001A12B2">
        <w:rPr>
          <w:rFonts w:cs="Arial"/>
          <w:b/>
          <w:noProof/>
          <w:sz w:val="28"/>
          <w:szCs w:val="28"/>
        </w:rPr>
        <w:pict>
          <v:group id="Group 1" o:spid="_x0000_s1140" style="position:absolute;left:0;text-align:left;margin-left:12pt;margin-top:11.8pt;width:441.75pt;height:291.75pt;z-index:251740160;mso-width-relative:margin;mso-height-relative:margin" coordsize="59658,45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">
            <v:shape id="Text Box 25" o:spid="_x0000_s1141" type="#_x0000_t202" style="position:absolute;left:7537;width:43485;height:40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9Q8MA&#10;AADcAAAADwAAAGRycy9kb3ducmV2LnhtbERPTWsCMRC9C/6HMEIvUrMWqWU1igiCBUXUUjyOm3Gz&#10;uJksm1RXf70RCt7m8T5nPG1sKS5U+8Kxgn4vAUGcOV1wruBnv3j/AuEDssbSMSm4kYfppN0aY6rd&#10;lbd02YVcxBD2KSowIVSplD4zZNH3XEUcuZOrLYYI61zqGq8x3JbyI0k+pcWCY4PBiuaGsvPuzyrA&#10;jTkW/r4u7/MDzxbfgxX+dldKvXWa2QhEoCa8xP/upY7z+0N4PhMv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9Q8MAAADcAAAADwAAAAAAAAAAAAAAAACYAgAAZHJzL2Rv&#10;d25yZXYueG1sUEsFBgAAAAAEAAQA9QAAAIgDAAAAAA==&#10;" fillcolor="white [3201]" strokecolor="black [3200]" strokeweight="2pt">
              <v:textbox style="mso-next-textbox:#Text Box 25">
                <w:txbxContent>
                  <w:p w:rsidR="009D3B38" w:rsidRPr="00180AA9" w:rsidRDefault="009D3B38" w:rsidP="00005EAC">
                    <w:pPr>
                      <w:spacing w:before="120"/>
                      <w:jc w:val="center"/>
                      <w:rPr>
                        <w:rFonts w:cs="Times New Roman"/>
                        <w:sz w:val="18"/>
                      </w:rPr>
                    </w:pPr>
                    <w:r w:rsidRPr="00180AA9">
                      <w:rPr>
                        <w:rFonts w:cs="Times New Roman"/>
                        <w:b/>
                        <w:sz w:val="20"/>
                      </w:rPr>
                      <w:t>2100 Implementation Knowledge Unit</w:t>
                    </w:r>
                    <w:r>
                      <w:rPr>
                        <w:rFonts w:cs="Times New Roman"/>
                        <w:b/>
                        <w:sz w:val="20"/>
                      </w:rPr>
                      <w:t xml:space="preserve"> (Delta Secretariat</w:t>
                    </w:r>
                    <w:r w:rsidRPr="00180AA9">
                      <w:rPr>
                        <w:rFonts w:cs="Times New Roman"/>
                        <w:b/>
                        <w:sz w:val="20"/>
                      </w:rPr>
                      <w:t>)</w:t>
                    </w:r>
                  </w:p>
                  <w:p w:rsidR="009D3B38" w:rsidRDefault="009D3B38"/>
                  <w:p w:rsidR="009D3B38" w:rsidRDefault="009D3B38">
                    <w:r w:rsidRPr="00614760">
                      <w:rPr>
                        <w:rFonts w:cs="Times New Roman"/>
                        <w:b/>
                        <w:sz w:val="18"/>
                        <w:szCs w:val="18"/>
                      </w:rPr>
                      <w:t>Back</w:t>
                    </w:r>
                  </w:p>
                </w:txbxContent>
              </v:textbox>
            </v:shape>
            <v:shape id="Text Box 26" o:spid="_x0000_s1142" type="#_x0000_t202" style="position:absolute;top:10490;width:12115;height:222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5pMcYA&#10;AADcAAAADwAAAGRycy9kb3ducmV2LnhtbESPQWsCQQyF74L/YUihF9FZSylldRQRBAsWqRbxGHfi&#10;ztKdzLIz1a2/vjkI3hLey3tfpvPO1+pCbawCGxiPMlDERbAVlwa+96vhO6iYkC3WgcnAH0WYz/q9&#10;KeY2XPmLLrtUKgnhmKMBl1KTax0LRx7jKDTEop1D6zHJ2pbatniVcF/rlyx70x4rlgaHDS0dFT+7&#10;X28At+5UxdtnfVseebH6eN3gYbAx5vmpW0xAJerSw3y/XlvBHwutPCMT6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5pMcYAAADcAAAADwAAAAAAAAAAAAAAAACYAgAAZHJz&#10;L2Rvd25yZXYueG1sUEsFBgAAAAAEAAQA9QAAAIsDAAAAAA==&#10;" fillcolor="white [3201]" strokecolor="black [3200]" strokeweight="2pt">
              <v:textbox style="mso-next-textbox:#Text Box 26">
                <w:txbxContent>
                  <w:p w:rsidR="009D3B38" w:rsidRPr="00614760" w:rsidRDefault="009D3B38" w:rsidP="00005EAC">
                    <w:pPr>
                      <w:spacing w:before="120" w:after="0" w:line="240" w:lineRule="auto"/>
                      <w:jc w:val="center"/>
                      <w:rPr>
                        <w:rFonts w:cs="Times New Roman"/>
                        <w:b/>
                        <w:sz w:val="18"/>
                        <w:szCs w:val="18"/>
                      </w:rPr>
                    </w:pPr>
                    <w:r w:rsidRPr="00614760">
                      <w:rPr>
                        <w:rFonts w:cs="Times New Roman"/>
                        <w:b/>
                        <w:sz w:val="18"/>
                        <w:szCs w:val="18"/>
                      </w:rPr>
                      <w:t xml:space="preserve">-end </w:t>
                    </w:r>
                  </w:p>
                  <w:p w:rsidR="009D3B38" w:rsidRDefault="009D3B38" w:rsidP="00005EAC">
                    <w:pPr>
                      <w:spacing w:before="120" w:after="0" w:line="240" w:lineRule="auto"/>
                      <w:jc w:val="center"/>
                      <w:rPr>
                        <w:rFonts w:cs="Times New Roman"/>
                        <w:b/>
                        <w:sz w:val="18"/>
                        <w:szCs w:val="18"/>
                      </w:rPr>
                    </w:pPr>
                    <w:r w:rsidRPr="00614760">
                      <w:rPr>
                        <w:rFonts w:cs="Times New Roman"/>
                        <w:b/>
                        <w:sz w:val="18"/>
                        <w:szCs w:val="18"/>
                      </w:rPr>
                      <w:t>Processing</w:t>
                    </w:r>
                  </w:p>
                  <w:p w:rsidR="009D3B38" w:rsidRPr="00FD394F" w:rsidRDefault="009D3B38" w:rsidP="00CD33E4">
                    <w:pPr>
                      <w:spacing w:after="0" w:line="240" w:lineRule="auto"/>
                      <w:jc w:val="center"/>
                      <w:rPr>
                        <w:rFonts w:cs="Times New Roman"/>
                        <w:sz w:val="18"/>
                        <w:szCs w:val="18"/>
                      </w:rPr>
                    </w:pPr>
                    <w:r w:rsidRPr="00FD394F">
                      <w:rPr>
                        <w:rFonts w:cs="Times New Roman"/>
                        <w:sz w:val="18"/>
                        <w:szCs w:val="18"/>
                      </w:rPr>
                      <w:t>of</w:t>
                    </w:r>
                  </w:p>
                  <w:p w:rsidR="009D3B38" w:rsidRPr="00FD394F" w:rsidRDefault="009D3B38" w:rsidP="00CD33E4">
                    <w:pPr>
                      <w:spacing w:after="0" w:line="240" w:lineRule="auto"/>
                      <w:jc w:val="center"/>
                      <w:rPr>
                        <w:rFonts w:cs="Times New Roman"/>
                        <w:sz w:val="18"/>
                        <w:szCs w:val="18"/>
                      </w:rPr>
                    </w:pPr>
                    <w:r w:rsidRPr="00FD394F">
                      <w:rPr>
                        <w:rFonts w:cs="Times New Roman"/>
                        <w:sz w:val="18"/>
                        <w:szCs w:val="18"/>
                      </w:rPr>
                      <w:t>information</w:t>
                    </w:r>
                  </w:p>
                  <w:p w:rsidR="009D3B38" w:rsidRPr="00FD394F" w:rsidRDefault="009D3B38" w:rsidP="00CD33E4">
                    <w:pPr>
                      <w:spacing w:after="0" w:line="240" w:lineRule="auto"/>
                      <w:jc w:val="center"/>
                      <w:rPr>
                        <w:rFonts w:cs="Times New Roman"/>
                        <w:sz w:val="18"/>
                        <w:szCs w:val="18"/>
                      </w:rPr>
                    </w:pPr>
                    <w:r w:rsidRPr="00FD394F">
                      <w:rPr>
                        <w:rFonts w:cs="Times New Roman"/>
                        <w:sz w:val="18"/>
                        <w:szCs w:val="18"/>
                      </w:rPr>
                      <w:t>and</w:t>
                    </w:r>
                  </w:p>
                  <w:p w:rsidR="009D3B38" w:rsidRPr="00FD394F" w:rsidRDefault="009D3B38" w:rsidP="00CD33E4">
                    <w:pPr>
                      <w:spacing w:after="0" w:line="240" w:lineRule="auto"/>
                      <w:jc w:val="center"/>
                      <w:rPr>
                        <w:rFonts w:cs="Times New Roman"/>
                        <w:sz w:val="18"/>
                        <w:szCs w:val="18"/>
                      </w:rPr>
                    </w:pPr>
                    <w:r w:rsidRPr="00FD394F">
                      <w:rPr>
                        <w:rFonts w:cs="Times New Roman"/>
                        <w:sz w:val="18"/>
                        <w:szCs w:val="18"/>
                      </w:rPr>
                      <w:t xml:space="preserve">server-side </w:t>
                    </w:r>
                  </w:p>
                  <w:p w:rsidR="009D3B38" w:rsidRPr="00FD394F" w:rsidRDefault="009D3B38" w:rsidP="00CD33E4">
                    <w:pPr>
                      <w:spacing w:after="0" w:line="240" w:lineRule="auto"/>
                      <w:jc w:val="center"/>
                      <w:rPr>
                        <w:rFonts w:cs="Times New Roman"/>
                        <w:sz w:val="18"/>
                        <w:szCs w:val="18"/>
                      </w:rPr>
                    </w:pPr>
                    <w:r w:rsidRPr="00FD394F">
                      <w:rPr>
                        <w:rFonts w:cs="Times New Roman"/>
                        <w:sz w:val="18"/>
                        <w:szCs w:val="18"/>
                      </w:rPr>
                      <w:t>handshake</w:t>
                    </w:r>
                  </w:p>
                  <w:p w:rsidR="009D3B38" w:rsidRPr="00FD394F" w:rsidRDefault="009D3B38" w:rsidP="00CD33E4">
                    <w:pPr>
                      <w:spacing w:after="0" w:line="240" w:lineRule="auto"/>
                      <w:jc w:val="center"/>
                      <w:rPr>
                        <w:rFonts w:cs="Times New Roman"/>
                        <w:sz w:val="18"/>
                        <w:szCs w:val="18"/>
                      </w:rPr>
                    </w:pPr>
                    <w:r w:rsidRPr="00FD394F">
                      <w:rPr>
                        <w:rFonts w:cs="Times New Roman"/>
                        <w:sz w:val="18"/>
                        <w:szCs w:val="18"/>
                      </w:rPr>
                      <w:t>and</w:t>
                    </w:r>
                  </w:p>
                  <w:p w:rsidR="009D3B38" w:rsidRPr="00FD394F" w:rsidRDefault="009D3B38" w:rsidP="00CD33E4">
                    <w:pPr>
                      <w:spacing w:after="0" w:line="240" w:lineRule="auto"/>
                      <w:jc w:val="center"/>
                      <w:rPr>
                        <w:rFonts w:cs="Times New Roman"/>
                        <w:sz w:val="18"/>
                        <w:szCs w:val="18"/>
                      </w:rPr>
                    </w:pPr>
                    <w:r w:rsidRPr="00FD394F">
                      <w:rPr>
                        <w:rFonts w:cs="Times New Roman"/>
                        <w:sz w:val="18"/>
                        <w:szCs w:val="18"/>
                      </w:rPr>
                      <w:t>integration</w:t>
                    </w:r>
                  </w:p>
                  <w:p w:rsidR="009D3B38" w:rsidRDefault="009D3B38"/>
                  <w:p w:rsidR="009D3B38" w:rsidRDefault="009D3B38">
                    <w:r w:rsidRPr="00614760">
                      <w:rPr>
                        <w:rFonts w:cs="Times New Roman"/>
                        <w:b/>
                        <w:sz w:val="20"/>
                      </w:rPr>
                      <w:t xml:space="preserve">BDP </w:t>
                    </w:r>
                  </w:p>
                </w:txbxContent>
              </v:textbox>
            </v:shape>
            <v:shape id="Text Box 27" o:spid="_x0000_s1143" type="#_x0000_t202" style="position:absolute;left:14306;top:10388;width:16161;height:222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55bMMA&#10;AADcAAAADwAAAGRycy9kb3ducmV2LnhtbERPTWsCMRC9C/6HMEIvUrMWK2U1igiCBUXUUjyOm3Gz&#10;uJksm1RXf70RCt7m8T5nPG1sKS5U+8Kxgn4vAUGcOV1wruBnv3j/AuEDssbSMSm4kYfppN0aY6rd&#10;lbd02YVcxBD2KSowIVSplD4zZNH3XEUcuZOrLYYI61zqGq8x3JbyI0mG0mLBscFgRXND2Xn3ZxXg&#10;xhwLf1+X9/mBZ4vvwQp/uyul3jrNbAQiUBNe4n/3Usf5n314PhMv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T55bMMAAADcAAAADwAAAAAAAAAAAAAAAACYAgAAZHJzL2Rv&#10;d25yZXYueG1sUEsFBgAAAAAEAAQA9QAAAIgDAAAAAA==&#10;" fillcolor="white [3201]" strokecolor="black [3200]" strokeweight="2pt">
              <v:textbox style="mso-next-textbox:#Text Box 27">
                <w:txbxContent>
                  <w:p w:rsidR="009D3B38" w:rsidRPr="00614760" w:rsidRDefault="009D3B38" w:rsidP="00005EAC">
                    <w:pPr>
                      <w:spacing w:before="120" w:after="120"/>
                      <w:jc w:val="center"/>
                      <w:rPr>
                        <w:rFonts w:cs="Times New Roman"/>
                        <w:b/>
                        <w:sz w:val="20"/>
                      </w:rPr>
                    </w:pPr>
                    <w:r w:rsidRPr="00614760">
                      <w:rPr>
                        <w:rFonts w:cs="Times New Roman"/>
                        <w:b/>
                        <w:sz w:val="20"/>
                      </w:rPr>
                      <w:t>2100 Portal</w:t>
                    </w:r>
                  </w:p>
                  <w:p w:rsidR="009D3B38" w:rsidRPr="00614760" w:rsidRDefault="009D3B38" w:rsidP="00005EAC">
                    <w:pPr>
                      <w:spacing w:before="120" w:after="120"/>
                      <w:jc w:val="center"/>
                      <w:rPr>
                        <w:rFonts w:cs="Times New Roman"/>
                        <w:b/>
                        <w:sz w:val="20"/>
                      </w:rPr>
                    </w:pPr>
                    <w:r w:rsidRPr="00614760">
                      <w:rPr>
                        <w:rFonts w:cs="Times New Roman"/>
                        <w:b/>
                        <w:sz w:val="20"/>
                      </w:rPr>
                      <w:t>Knowledge Hub</w:t>
                    </w:r>
                  </w:p>
                  <w:p w:rsidR="009D3B38" w:rsidRPr="00614760" w:rsidRDefault="009D3B38" w:rsidP="00005EAC">
                    <w:pPr>
                      <w:spacing w:after="60"/>
                      <w:jc w:val="center"/>
                      <w:rPr>
                        <w:rFonts w:cs="Times New Roman"/>
                        <w:sz w:val="18"/>
                        <w:u w:val="single"/>
                      </w:rPr>
                    </w:pPr>
                    <w:r w:rsidRPr="00614760">
                      <w:rPr>
                        <w:rFonts w:cs="Times New Roman"/>
                        <w:sz w:val="18"/>
                        <w:u w:val="single"/>
                      </w:rPr>
                      <w:t>CONTENT</w:t>
                    </w:r>
                  </w:p>
                  <w:p w:rsidR="009D3B38" w:rsidRPr="00614760" w:rsidRDefault="009D3B38" w:rsidP="003D5A31">
                    <w:pPr>
                      <w:pStyle w:val="ListParagraph"/>
                      <w:numPr>
                        <w:ilvl w:val="0"/>
                        <w:numId w:val="107"/>
                      </w:numPr>
                      <w:spacing w:before="60" w:after="60" w:line="240" w:lineRule="auto"/>
                      <w:jc w:val="both"/>
                      <w:rPr>
                        <w:rFonts w:cs="Times New Roman"/>
                        <w:sz w:val="18"/>
                      </w:rPr>
                    </w:pPr>
                    <w:r w:rsidRPr="00614760">
                      <w:rPr>
                        <w:rFonts w:cs="Times New Roman"/>
                        <w:sz w:val="18"/>
                      </w:rPr>
                      <w:t>Information/News</w:t>
                    </w:r>
                  </w:p>
                  <w:p w:rsidR="009D3B38" w:rsidRPr="00614760" w:rsidRDefault="009D3B38" w:rsidP="003D5A31">
                    <w:pPr>
                      <w:pStyle w:val="ListParagraph"/>
                      <w:numPr>
                        <w:ilvl w:val="0"/>
                        <w:numId w:val="107"/>
                      </w:numPr>
                      <w:spacing w:before="60" w:after="60" w:line="240" w:lineRule="auto"/>
                      <w:jc w:val="both"/>
                      <w:rPr>
                        <w:rFonts w:cs="Times New Roman"/>
                        <w:sz w:val="18"/>
                      </w:rPr>
                    </w:pPr>
                    <w:r w:rsidRPr="00614760">
                      <w:rPr>
                        <w:rFonts w:cs="Times New Roman"/>
                        <w:sz w:val="18"/>
                      </w:rPr>
                      <w:t>Data Tables</w:t>
                    </w:r>
                  </w:p>
                  <w:p w:rsidR="009D3B38" w:rsidRPr="00614760" w:rsidRDefault="009D3B38" w:rsidP="003D5A31">
                    <w:pPr>
                      <w:pStyle w:val="ListParagraph"/>
                      <w:numPr>
                        <w:ilvl w:val="0"/>
                        <w:numId w:val="107"/>
                      </w:numPr>
                      <w:spacing w:before="60" w:after="60" w:line="240" w:lineRule="auto"/>
                      <w:jc w:val="both"/>
                      <w:rPr>
                        <w:rFonts w:cs="Times New Roman"/>
                        <w:sz w:val="18"/>
                      </w:rPr>
                    </w:pPr>
                    <w:r w:rsidRPr="00614760">
                      <w:rPr>
                        <w:rFonts w:cs="Times New Roman"/>
                        <w:sz w:val="18"/>
                      </w:rPr>
                      <w:t>Maps</w:t>
                    </w:r>
                  </w:p>
                  <w:p w:rsidR="009D3B38" w:rsidRPr="00614760" w:rsidRDefault="009D3B38" w:rsidP="003D5A31">
                    <w:pPr>
                      <w:pStyle w:val="ListParagraph"/>
                      <w:numPr>
                        <w:ilvl w:val="0"/>
                        <w:numId w:val="107"/>
                      </w:numPr>
                      <w:spacing w:before="60" w:after="60" w:line="240" w:lineRule="auto"/>
                      <w:jc w:val="both"/>
                      <w:rPr>
                        <w:rFonts w:cs="Times New Roman"/>
                        <w:sz w:val="18"/>
                      </w:rPr>
                    </w:pPr>
                    <w:r w:rsidRPr="00614760">
                      <w:rPr>
                        <w:rFonts w:cs="Times New Roman"/>
                        <w:sz w:val="18"/>
                      </w:rPr>
                      <w:t>M&amp;E Reports</w:t>
                    </w:r>
                  </w:p>
                  <w:p w:rsidR="009D3B38" w:rsidRPr="00614760" w:rsidRDefault="009D3B38" w:rsidP="003D5A31">
                    <w:pPr>
                      <w:pStyle w:val="ListParagraph"/>
                      <w:numPr>
                        <w:ilvl w:val="0"/>
                        <w:numId w:val="107"/>
                      </w:numPr>
                      <w:spacing w:before="60" w:after="60" w:line="240" w:lineRule="auto"/>
                      <w:jc w:val="both"/>
                      <w:rPr>
                        <w:rFonts w:cs="Times New Roman"/>
                        <w:sz w:val="18"/>
                      </w:rPr>
                    </w:pPr>
                    <w:r w:rsidRPr="00614760">
                      <w:rPr>
                        <w:rFonts w:cs="Times New Roman"/>
                        <w:sz w:val="18"/>
                      </w:rPr>
                      <w:t>Articles / Analyses</w:t>
                    </w:r>
                  </w:p>
                  <w:p w:rsidR="009D3B38" w:rsidRPr="00614760" w:rsidRDefault="009D3B38" w:rsidP="003D5A31">
                    <w:pPr>
                      <w:pStyle w:val="ListParagraph"/>
                      <w:numPr>
                        <w:ilvl w:val="0"/>
                        <w:numId w:val="107"/>
                      </w:numPr>
                      <w:spacing w:before="60" w:after="60" w:line="240" w:lineRule="auto"/>
                      <w:jc w:val="both"/>
                      <w:rPr>
                        <w:rFonts w:cs="Times New Roman"/>
                        <w:sz w:val="18"/>
                      </w:rPr>
                    </w:pPr>
                    <w:r w:rsidRPr="00614760">
                      <w:rPr>
                        <w:rFonts w:cs="Times New Roman"/>
                        <w:sz w:val="18"/>
                      </w:rPr>
                      <w:t>Downloadable App</w:t>
                    </w:r>
                  </w:p>
                  <w:p w:rsidR="009D3B38" w:rsidRDefault="009D3B38"/>
                  <w:p w:rsidR="009D3B38" w:rsidRDefault="009D3B38">
                    <w:r w:rsidRPr="00614760">
                      <w:rPr>
                        <w:rFonts w:cs="Times New Roman"/>
                        <w:b/>
                        <w:sz w:val="18"/>
                      </w:rPr>
                      <w:t>Fron</w:t>
                    </w:r>
                  </w:p>
                </w:txbxContent>
              </v:textbox>
            </v:shape>
            <v:shape id="Text Box 167" o:spid="_x0000_s1144" type="#_x0000_t202" style="position:absolute;left:33153;top:10420;width:12116;height:222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srpcMA&#10;AADcAAAADwAAAGRycy9kb3ducmV2LnhtbERP32vCMBB+F/Y/hBv4IppOpEg1igjCBIdMx/DxbG5N&#10;WXMpTaydf70RBr7dx/fz5svOVqKlxpeOFbyNEhDEudMlFwq+jpvhFIQPyBorx6TgjzwsFy+9OWba&#10;XfmT2kMoRAxhn6ECE0KdSelzQxb9yNXEkftxjcUQYVNI3eA1httKjpMklRZLjg0Ga1obyn8PF6sA&#10;9+Zc+ttHdVufeLXZTnb4Pdgp1X/tVjMQgbrwFP+733Wcn6bweCZ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srpcMAAADcAAAADwAAAAAAAAAAAAAAAACYAgAAZHJzL2Rv&#10;d25yZXYueG1sUEsFBgAAAAAEAAQA9QAAAIgDAAAAAA==&#10;" fillcolor="white [3201]" strokecolor="black [3200]" strokeweight="2pt">
              <v:textbox style="mso-next-textbox:#Text Box 167">
                <w:txbxContent>
                  <w:p w:rsidR="009D3B38" w:rsidRPr="00614760" w:rsidRDefault="009D3B38" w:rsidP="00005EAC">
                    <w:pPr>
                      <w:spacing w:before="120" w:after="120"/>
                      <w:jc w:val="center"/>
                      <w:rPr>
                        <w:rFonts w:cs="Times New Roman"/>
                        <w:b/>
                        <w:sz w:val="18"/>
                      </w:rPr>
                    </w:pPr>
                    <w:r w:rsidRPr="00614760">
                      <w:rPr>
                        <w:rFonts w:cs="Times New Roman"/>
                        <w:b/>
                        <w:sz w:val="18"/>
                      </w:rPr>
                      <w:t xml:space="preserve">t-end </w:t>
                    </w:r>
                  </w:p>
                  <w:p w:rsidR="009D3B38" w:rsidRPr="00CD33E4" w:rsidRDefault="009D3B38" w:rsidP="00CD33E4">
                    <w:pPr>
                      <w:spacing w:after="0" w:line="240" w:lineRule="auto"/>
                      <w:jc w:val="center"/>
                      <w:rPr>
                        <w:rFonts w:cs="Times New Roman"/>
                        <w:sz w:val="18"/>
                      </w:rPr>
                    </w:pPr>
                    <w:r w:rsidRPr="00CD33E4">
                      <w:rPr>
                        <w:rFonts w:cs="Times New Roman"/>
                        <w:sz w:val="18"/>
                      </w:rPr>
                      <w:t>design</w:t>
                    </w:r>
                  </w:p>
                  <w:p w:rsidR="009D3B38" w:rsidRPr="00CD33E4" w:rsidRDefault="009D3B38" w:rsidP="00CD33E4">
                    <w:pPr>
                      <w:spacing w:after="0" w:line="240" w:lineRule="auto"/>
                      <w:jc w:val="center"/>
                      <w:rPr>
                        <w:rFonts w:cs="Times New Roman"/>
                        <w:sz w:val="18"/>
                      </w:rPr>
                    </w:pPr>
                    <w:r w:rsidRPr="00CD33E4">
                      <w:rPr>
                        <w:rFonts w:cs="Times New Roman"/>
                        <w:sz w:val="18"/>
                      </w:rPr>
                      <w:t>visualization</w:t>
                    </w:r>
                  </w:p>
                  <w:p w:rsidR="009D3B38" w:rsidRPr="00CD33E4" w:rsidRDefault="009D3B38" w:rsidP="00CD33E4">
                    <w:pPr>
                      <w:spacing w:after="0" w:line="240" w:lineRule="auto"/>
                      <w:jc w:val="center"/>
                      <w:rPr>
                        <w:rFonts w:cs="Times New Roman"/>
                        <w:sz w:val="18"/>
                      </w:rPr>
                    </w:pPr>
                    <w:r w:rsidRPr="00CD33E4">
                      <w:rPr>
                        <w:rFonts w:cs="Times New Roman"/>
                        <w:sz w:val="18"/>
                      </w:rPr>
                      <w:t>and</w:t>
                    </w:r>
                  </w:p>
                  <w:p w:rsidR="009D3B38" w:rsidRPr="00CD33E4" w:rsidRDefault="009D3B38" w:rsidP="00CD33E4">
                    <w:pPr>
                      <w:spacing w:after="0" w:line="240" w:lineRule="auto"/>
                      <w:jc w:val="center"/>
                      <w:rPr>
                        <w:rFonts w:cs="Times New Roman"/>
                        <w:sz w:val="18"/>
                      </w:rPr>
                    </w:pPr>
                    <w:r w:rsidRPr="00CD33E4">
                      <w:rPr>
                        <w:rFonts w:cs="Times New Roman"/>
                        <w:sz w:val="18"/>
                      </w:rPr>
                      <w:t>packaging</w:t>
                    </w:r>
                  </w:p>
                  <w:p w:rsidR="009D3B38" w:rsidRPr="00CD33E4" w:rsidRDefault="009D3B38" w:rsidP="00CD33E4">
                    <w:pPr>
                      <w:spacing w:after="0" w:line="240" w:lineRule="auto"/>
                      <w:jc w:val="center"/>
                      <w:rPr>
                        <w:rFonts w:cs="Times New Roman"/>
                        <w:sz w:val="18"/>
                      </w:rPr>
                    </w:pPr>
                    <w:r w:rsidRPr="00CD33E4">
                      <w:rPr>
                        <w:rFonts w:cs="Times New Roman"/>
                        <w:sz w:val="18"/>
                      </w:rPr>
                      <w:t>of</w:t>
                    </w:r>
                  </w:p>
                  <w:p w:rsidR="009D3B38" w:rsidRPr="00CD33E4" w:rsidRDefault="009D3B38" w:rsidP="00CD33E4">
                    <w:pPr>
                      <w:spacing w:after="0" w:line="240" w:lineRule="auto"/>
                      <w:jc w:val="center"/>
                      <w:rPr>
                        <w:rFonts w:cs="Times New Roman"/>
                        <w:sz w:val="18"/>
                      </w:rPr>
                    </w:pPr>
                    <w:r w:rsidRPr="00CD33E4">
                      <w:rPr>
                        <w:rFonts w:cs="Times New Roman"/>
                        <w:sz w:val="18"/>
                      </w:rPr>
                      <w:t>information</w:t>
                    </w:r>
                  </w:p>
                  <w:p w:rsidR="009D3B38" w:rsidRPr="00CD33E4" w:rsidRDefault="009D3B38" w:rsidP="00CD33E4">
                    <w:pPr>
                      <w:spacing w:after="0" w:line="240" w:lineRule="auto"/>
                      <w:jc w:val="center"/>
                      <w:rPr>
                        <w:rFonts w:cs="Times New Roman"/>
                        <w:sz w:val="18"/>
                      </w:rPr>
                    </w:pPr>
                    <w:r w:rsidRPr="00CD33E4">
                      <w:rPr>
                        <w:rFonts w:cs="Times New Roman"/>
                        <w:sz w:val="18"/>
                      </w:rPr>
                      <w:t>in user friendly</w:t>
                    </w:r>
                  </w:p>
                  <w:p w:rsidR="009D3B38" w:rsidRPr="00CD33E4" w:rsidRDefault="009D3B38" w:rsidP="00CD33E4">
                    <w:pPr>
                      <w:spacing w:after="0" w:line="240" w:lineRule="auto"/>
                      <w:jc w:val="center"/>
                      <w:rPr>
                        <w:rFonts w:cs="Times New Roman"/>
                        <w:sz w:val="20"/>
                      </w:rPr>
                    </w:pPr>
                    <w:r>
                      <w:rPr>
                        <w:rFonts w:cs="Times New Roman"/>
                        <w:sz w:val="20"/>
                      </w:rPr>
                      <w:t>form</w:t>
                    </w:r>
                    <w:r w:rsidRPr="00CD33E4">
                      <w:rPr>
                        <w:rFonts w:cs="Times New Roman"/>
                        <w:sz w:val="20"/>
                      </w:rPr>
                      <w:t>at</w:t>
                    </w:r>
                  </w:p>
                  <w:p w:rsidR="009D3B38" w:rsidRDefault="009D3B38"/>
                  <w:p w:rsidR="009D3B38" w:rsidRDefault="009D3B38">
                    <w:r w:rsidRPr="00614760">
                      <w:rPr>
                        <w:rFonts w:cs="Times New Roman"/>
                        <w:b/>
                        <w:sz w:val="18"/>
                      </w:rPr>
                      <w:t>Diss</w:t>
                    </w:r>
                  </w:p>
                </w:txbxContent>
              </v:textbox>
            </v:shape>
            <v:shape id="Text Box 29" o:spid="_x0000_s1145" type="#_x0000_t202" style="position:absolute;left:47542;top:10420;width:12116;height:222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PsQA&#10;AADcAAAADwAAAGRycy9kb3ducmV2LnhtbERP32vCMBB+F/Y/hBP2IjbdECe1qYggTHAMncgeb83Z&#10;FJtLaTLt/OuXwcC3+/h+Xr7obSMu1PnasYKnJAVBXDpdc6Xg8LEez0D4gKyxcUwKfsjDongY5Jhp&#10;d+UdXfahEjGEfYYKTAhtJqUvDVn0iWuJI3dyncUQYVdJ3eE1httGPqfpVFqsOTYYbGllqDzvv60C&#10;fDdftb+9NbfVJy/Xm8kWj6OtUo/DfjkHEagPd/G/+1XH+dMX+HsmXi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jj7EAAAA3AAAAA8AAAAAAAAAAAAAAAAAmAIAAGRycy9k&#10;b3ducmV2LnhtbFBLBQYAAAAABAAEAPUAAACJAwAAAAA=&#10;" fillcolor="white [3201]" strokecolor="black [3200]" strokeweight="2pt">
              <v:textbox style="mso-next-textbox:#Text Box 29">
                <w:txbxContent>
                  <w:p w:rsidR="009D3B38" w:rsidRPr="00614760" w:rsidRDefault="009D3B38" w:rsidP="00180AA9">
                    <w:pPr>
                      <w:spacing w:after="0" w:line="240" w:lineRule="auto"/>
                      <w:jc w:val="center"/>
                      <w:rPr>
                        <w:rFonts w:cs="Times New Roman"/>
                        <w:b/>
                        <w:sz w:val="18"/>
                      </w:rPr>
                    </w:pPr>
                    <w:r w:rsidRPr="00614760">
                      <w:rPr>
                        <w:rFonts w:cs="Times New Roman"/>
                        <w:b/>
                        <w:sz w:val="18"/>
                      </w:rPr>
                      <w:t>emination</w:t>
                    </w:r>
                  </w:p>
                  <w:p w:rsidR="009D3B38" w:rsidRPr="00CD33E4" w:rsidRDefault="009D3B38" w:rsidP="00CD33E4">
                    <w:pPr>
                      <w:spacing w:before="120" w:after="120"/>
                      <w:jc w:val="center"/>
                      <w:rPr>
                        <w:rFonts w:cs="Times New Roman"/>
                        <w:b/>
                        <w:sz w:val="18"/>
                      </w:rPr>
                    </w:pPr>
                    <w:r>
                      <w:rPr>
                        <w:rFonts w:cs="Times New Roman"/>
                        <w:b/>
                        <w:sz w:val="18"/>
                      </w:rPr>
                      <w:t>User Access</w:t>
                    </w:r>
                  </w:p>
                  <w:p w:rsidR="009D3B38" w:rsidRPr="00CD33E4" w:rsidRDefault="009D3B38" w:rsidP="00005EAC">
                    <w:pPr>
                      <w:spacing w:before="120" w:after="120"/>
                      <w:jc w:val="center"/>
                      <w:rPr>
                        <w:rFonts w:cs="Times New Roman"/>
                        <w:sz w:val="16"/>
                      </w:rPr>
                    </w:pPr>
                    <w:r w:rsidRPr="00CD33E4">
                      <w:rPr>
                        <w:rFonts w:cs="Times New Roman"/>
                        <w:sz w:val="16"/>
                      </w:rPr>
                      <w:t>App downloads</w:t>
                    </w:r>
                  </w:p>
                  <w:p w:rsidR="009D3B38" w:rsidRPr="00CD33E4" w:rsidRDefault="009D3B38" w:rsidP="00005EAC">
                    <w:pPr>
                      <w:spacing w:before="120" w:after="120"/>
                      <w:jc w:val="center"/>
                      <w:rPr>
                        <w:rFonts w:cs="Times New Roman"/>
                        <w:sz w:val="16"/>
                      </w:rPr>
                    </w:pPr>
                    <w:r w:rsidRPr="00CD33E4">
                      <w:rPr>
                        <w:rFonts w:cs="Times New Roman"/>
                        <w:sz w:val="16"/>
                      </w:rPr>
                      <w:t>Website Hits</w:t>
                    </w:r>
                  </w:p>
                  <w:p w:rsidR="009D3B38" w:rsidRPr="00CD33E4" w:rsidRDefault="009D3B38" w:rsidP="00005EAC">
                    <w:pPr>
                      <w:spacing w:before="120" w:after="120"/>
                      <w:jc w:val="center"/>
                      <w:rPr>
                        <w:rFonts w:cs="Times New Roman"/>
                        <w:sz w:val="16"/>
                      </w:rPr>
                    </w:pPr>
                    <w:r w:rsidRPr="00CD33E4">
                      <w:rPr>
                        <w:rFonts w:cs="Times New Roman"/>
                        <w:sz w:val="16"/>
                      </w:rPr>
                      <w:t>Registered Users</w:t>
                    </w:r>
                  </w:p>
                  <w:p w:rsidR="009D3B38" w:rsidRPr="00CD33E4" w:rsidRDefault="009D3B38" w:rsidP="00005EAC">
                    <w:pPr>
                      <w:spacing w:before="120" w:after="120"/>
                      <w:jc w:val="center"/>
                      <w:rPr>
                        <w:rFonts w:cs="Times New Roman"/>
                        <w:sz w:val="16"/>
                      </w:rPr>
                    </w:pPr>
                    <w:r w:rsidRPr="00CD33E4">
                      <w:rPr>
                        <w:rFonts w:cs="Times New Roman"/>
                        <w:sz w:val="16"/>
                      </w:rPr>
                      <w:t>Logins</w:t>
                    </w:r>
                  </w:p>
                  <w:p w:rsidR="009D3B38" w:rsidRPr="00FD394F" w:rsidRDefault="009D3B38" w:rsidP="00005EAC">
                    <w:pPr>
                      <w:spacing w:before="120" w:after="120"/>
                      <w:jc w:val="center"/>
                      <w:rPr>
                        <w:rFonts w:cs="Times New Roman"/>
                        <w:sz w:val="18"/>
                      </w:rPr>
                    </w:pPr>
                    <w:r w:rsidRPr="00CD33E4">
                      <w:rPr>
                        <w:rFonts w:cs="Times New Roman"/>
                        <w:sz w:val="16"/>
                      </w:rPr>
                      <w:t xml:space="preserve">M&amp;E Report </w:t>
                    </w:r>
                    <w:r w:rsidRPr="00FD394F">
                      <w:rPr>
                        <w:rFonts w:cs="Times New Roman"/>
                        <w:sz w:val="18"/>
                      </w:rPr>
                      <w:t>downloads</w:t>
                    </w:r>
                  </w:p>
                  <w:p w:rsidR="009D3B38" w:rsidRPr="00FD394F" w:rsidRDefault="009D3B38" w:rsidP="00005EAC">
                    <w:pPr>
                      <w:spacing w:before="120" w:after="120"/>
                      <w:jc w:val="center"/>
                      <w:rPr>
                        <w:rFonts w:cs="Times New Roman"/>
                        <w:sz w:val="18"/>
                      </w:rPr>
                    </w:pPr>
                  </w:p>
                  <w:p w:rsidR="009D3B38" w:rsidRDefault="009D3B38"/>
                  <w:p w:rsidR="009D3B38" w:rsidRDefault="009D3B38">
                    <w:r>
                      <w:rPr>
                        <w:rFonts w:cs="Arial"/>
                        <w:b/>
                        <w:sz w:val="20"/>
                      </w:rPr>
                      <w:t>User</w:t>
                    </w:r>
                  </w:p>
                </w:txbxContent>
              </v:textbox>
            </v:shape>
            <v:shape id="Text Box 30" o:spid="_x0000_s1146" type="#_x0000_t202" style="position:absolute;left:21551;top:41414;width:16161;height:39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gaTMYA&#10;AADcAAAADwAAAGRycy9kb3ducmV2LnhtbESPQWsCQQyF74L/YUihF9FZi0hZHUUEoQVFaot4jDtx&#10;Z+lOZtmZ6tZfbw6F3hLey3tf5svO1+pKbawCGxiPMlDERbAVlwa+PjfDV1AxIVusA5OBX4qwXPR7&#10;c8xtuPEHXQ+pVBLCMUcDLqUm1zoWjjzGUWiIRbuE1mOStS21bfEm4b7WL1k21R4rlgaHDa0dFd+H&#10;H28A9+5cxfuuvq9PvNq8T7Z4HGyNeX7qVjNQibr0b/67frOCPxVaeUYm0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gaTMYAAADcAAAADwAAAAAAAAAAAAAAAACYAgAAZHJz&#10;L2Rvd25yZXYueG1sUEsFBgAAAAAEAAQA9QAAAIsDAAAAAA==&#10;" fillcolor="white [3201]" strokecolor="black [3200]" strokeweight="2pt">
              <v:textbox style="mso-next-textbox:#Text Box 30">
                <w:txbxContent>
                  <w:p w:rsidR="009D3B38" w:rsidRPr="00467751" w:rsidRDefault="009D3B38" w:rsidP="00005EAC">
                    <w:pPr>
                      <w:spacing w:before="120"/>
                      <w:jc w:val="center"/>
                      <w:rPr>
                        <w:rFonts w:cs="Arial"/>
                        <w:b/>
                        <w:sz w:val="20"/>
                      </w:rPr>
                    </w:pPr>
                    <w:r>
                      <w:rPr>
                        <w:rFonts w:cs="Arial"/>
                        <w:b/>
                        <w:sz w:val="20"/>
                      </w:rPr>
                      <w:t xml:space="preserve"> Feedback</w:t>
                    </w:r>
                  </w:p>
                  <w:p w:rsidR="009D3B38" w:rsidRPr="00467751" w:rsidRDefault="009D3B38" w:rsidP="00005EAC">
                    <w:pPr>
                      <w:spacing w:after="60"/>
                      <w:jc w:val="center"/>
                      <w:rPr>
                        <w:rFonts w:cs="Arial"/>
                        <w:sz w:val="18"/>
                      </w:rPr>
                    </w:pPr>
                  </w:p>
                  <w:p w:rsidR="009D3B38" w:rsidRDefault="009D3B38"/>
                  <w:p w:rsidR="009D3B38" w:rsidRDefault="009D3B38">
                    <w:r w:rsidRPr="007306E0">
                      <w:rPr>
                        <w:rFonts w:cs="Times New Roman"/>
                        <w:b/>
                        <w:sz w:val="20"/>
                        <w:szCs w:val="20"/>
                      </w:rPr>
                      <w:t>Data</w:t>
                    </w:r>
                  </w:p>
                </w:txbxContent>
              </v:textbox>
            </v:shape>
            <v:line id="Straight Connector 31" o:spid="_x0000_s1147" style="position:absolute;visibility:visible" from="51003,1962" to="54387,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VARcMAAADcAAAADwAAAGRycy9kb3ducmV2LnhtbERPTWvCQBC9C/6HZYTedKNgYlNXCYJg&#10;66m2pdchO03SZmfD7hpTf70rFHqbx/uc9XYwrejJ+caygvksAUFcWt1wpeD9bT9dgfABWWNrmRT8&#10;koftZjxaY67thV+pP4VKxBD2OSqoQ+hyKX1Zk0E/sx1x5L6sMxgidJXUDi8x3LRykSSpNNhwbKix&#10;o11N5c/pbBSsypdvV2TF83z50WXXfnFM95+ZUg+ToXgCEWgI/+I/90HH+ekj3J+JF8jN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FQEXDAAAA3AAAAA8AAAAAAAAAAAAA&#10;AAAAoQIAAGRycy9kb3ducmV2LnhtbFBLBQYAAAAABAAEAPkAAACRAwAAAAA=&#10;" strokecolor="black [3213]"/>
            <v:line id="Straight Connector 32" o:spid="_x0000_s1148" style="position:absolute;visibility:visible" from="3651,2286" to="7179,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Z/BcYAAADcAAAADwAAAGRycy9kb3ducmV2LnhtbESPQUvDQBCF7wX/wzKCt3bTgk2I3ZYg&#10;FNSebCteh+yYRLOzYXdNY3+9cxC8zfDevPfNZje5Xo0UYufZwHKRgSKuve24MXA+7ecFqJiQLfae&#10;ycAPRdhtb2YbLK2/8CuNx9QoCeFYooE2paHUOtYtOYwLPxCL9uGDwyRraLQNeJFw1+tVlq21w46l&#10;ocWBHluqv47fzkBRv3yGKq+el/dvQ34dV4f1/j035u52qh5AJZrSv/nv+skKfi748oxMo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mfwXGAAAA3AAAAA8AAAAAAAAA&#10;AAAAAAAAoQIAAGRycy9kb3ducmV2LnhtbFBLBQYAAAAABAAEAPkAAACUAwAAAAA=&#10;" strokecolor="black [3213]"/>
            <v:line id="Straight Connector 33" o:spid="_x0000_s1149" style="position:absolute;visibility:visible" from="7550,7213" to="38931,7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ransMAAADcAAAADwAAAGRycy9kb3ducmV2LnhtbERPS2vCQBC+C/6HZQq96SZCTUhdJQhC&#10;W0/1Qa9Ddpqkzc6G3W1M++vdguBtPr7nrDaj6cRAzreWFaTzBARxZXXLtYLTcTfLQfiArLGzTAp+&#10;ycNmPZ2ssND2wu80HEItYgj7AhU0IfSFlL5qyKCf2544cp/WGQwRulpqh5cYbjq5SJKlNNhybGiw&#10;p21D1ffhxyjIq7cvV2bla/p07rO/YbFf7j4ypR4fxvIZRKAx3MU394uO87MU/p+JF8j1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xq2p7DAAAA3AAAAA8AAAAAAAAAAAAA&#10;AAAAoQIAAGRycy9kb3ducmV2LnhtbFBLBQYAAAAABAAEAPkAAACRAwAAAAA=&#10;" strokecolor="black [3213]"/>
            <v:line id="Straight Connector 34" o:spid="_x0000_s1150" style="position:absolute;visibility:visible" from="4140,37141" to="54432,37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hE6cMAAADcAAAADwAAAGRycy9kb3ducmV2LnhtbERPTWvCQBC9C/6HZYTe6sZAjURXCYLQ&#10;1lO1xeuQHZNodjbsbmPaX+8WCt7m8T5ntRlMK3pyvrGsYDZNQBCXVjdcKfg87p4XIHxA1thaJgU/&#10;5GGzHo9WmGt74w/qD6ESMYR9jgrqELpcSl/WZNBPbUccubN1BkOErpLa4S2Gm1amSTKXBhuODTV2&#10;tK2pvB6+jYJF+X5xRVa8zV6+uuy3T/fz3SlT6mkyFEsQgYbwEP+7X3Wcn6Xw90y8QK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4ROnDAAAA3AAAAA8AAAAAAAAAAAAA&#10;AAAAoQIAAGRycy9kb3ducmV2LnhtbFBLBQYAAAAABAAEAPkAAACRAwAAAAA=&#10;" strokecolor="black [3213]"/>
            <v:line id="Straight Connector 35" o:spid="_x0000_s1151" style="position:absolute;visibility:visible" from="3651,2286" to="3651,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ht68EAAADcAAAADwAAAGRycy9kb3ducmV2LnhtbERPzYrCMBC+L/gOYQQvi6YqrFKNIqKu&#10;sKet+wBDMrbFZlKaqK1PvxEEb/Px/c5y3dpK3KjxpWMF41ECglg7U3Ku4O+0H85B+IBssHJMCjry&#10;sF71PpaYGnfnX7plIRcxhH2KCooQ6lRKrwuy6EeuJo7c2TUWQ4RNLk2D9xhuKzlJki9pseTYUGBN&#10;24L0JbtaBRf9/UkHmj2yk98ed48f33VGKzXot5sFiEBteItf7qOJ82dTeD4TL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uG3rwQAAANwAAAAPAAAAAAAAAAAAAAAA&#10;AKECAABkcnMvZG93bnJldi54bWxQSwUGAAAAAAQABAD5AAAAjwMAAAAA&#10;" strokecolor="black [3213]">
              <v:stroke startarrow="block"/>
            </v:line>
            <v:shape id="Straight Arrow Connector 36" o:spid="_x0000_s1152" type="#_x0000_t32" style="position:absolute;left:4114;top:33089;width:0;height:403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c37cMAAADcAAAADwAAAGRycy9kb3ducmV2LnhtbESP0WoCMRBF3wX/IYzQN81WWpWtUcS2&#10;0Lfq6gdMN+MmdjNZklS3f98UBN9muHfuubNc964VFwrRelbwOClAENdeW24UHA/v4wWImJA1tp5J&#10;wS9FWK+GgyWW2l95T5cqNSKHcCxRgUmpK6WMtSGHceI74qydfHCY8hoaqQNec7hr5bQoZtKh5Uww&#10;2NHWUP1d/bjM3djz82vQXL99ne0uGPw8tajUw6jfvIBI1Ke7+Xb9oXP9+RP8P5Mn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HN+3DAAAA3AAAAA8AAAAAAAAAAAAA&#10;AAAAoQIAAGRycy9kb3ducmV2LnhtbFBLBQYAAAAABAAEAPkAAACRAwAAAAA=&#10;" strokecolor="black [3213]">
              <v:stroke endarrow="open"/>
            </v:shape>
            <v:shape id="Straight Arrow Connector 37" o:spid="_x0000_s1153" type="#_x0000_t32" style="position:absolute;left:28936;top:37369;width:0;height:403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uSdsMAAADcAAAADwAAAGRycy9kb3ducmV2LnhtbESP3WoCMRCF74W+Q5iCd5qtoJatWZHW&#10;gnf+9QGmm3GT7WayJKlu374RCr2b4Zw535nVenCduFKI1rOCp2kBgrj22nKj4OP8PnkGEROyxs4z&#10;KfihCOvqYbTCUvsbH+l6So3IIRxLVGBS6kspY23IYZz6njhrFx8cpryGRuqAtxzuOjkrioV0aDkT&#10;DPb0aqj+On27zN3Ydv4WNNfbz9YegsH9pUOlxo/D5gVEoiH9m/+udzrXX87h/kyeQF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LknbDAAAA3AAAAA8AAAAAAAAAAAAA&#10;AAAAoQIAAGRycy9kb3ducmV2LnhtbFBLBQYAAAAABAAEAPkAAACRAwAAAAA=&#10;" strokecolor="black [3213]">
              <v:stroke endarrow="open"/>
            </v:shape>
            <v:line id="Straight Connector 38" o:spid="_x0000_s1154" style="position:absolute;visibility:visible" from="7581,7334" to="7581,10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NC6sMAAADcAAAADwAAAGRycy9kb3ducmV2LnhtbERPS2vCQBC+F/wPywi91Y2CiaSuEgSh&#10;1pMveh2y0yQ1Oxt2tzHtr3eFQm/z8T1nuR5MK3pyvrGsYDpJQBCXVjdcKTifti8LED4ga2wtk4If&#10;8rBejZ6WmGt74wP1x1CJGMI+RwV1CF0upS9rMugntiOO3Kd1BkOErpLa4S2Gm1bOkiSVBhuODTV2&#10;tKmpvB6/jYJF+f7liqzYTeeXLvvtZ/t0+5Ep9TweilcQgYbwL/5zv+k4P0vh8Uy8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DQurDAAAA3AAAAA8AAAAAAAAAAAAA&#10;AAAAoQIAAGRycy9kb3ducmV2LnhtbFBLBQYAAAAABAAEAPkAAACRAwAAAAA=&#10;" strokecolor="black [3213]"/>
            <v:line id="Straight Connector 39" o:spid="_x0000_s1155" style="position:absolute;visibility:visible" from="38938,7194" to="38938,10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zWmMMAAADcAAAADwAAAGRycy9kb3ducmV2LnhtbERPTWvCQBC9C/0PyxR6042CRlNXCYJg&#10;66na4nXITpO02dmwu8bUX+8KBW/zeJ+zXPemER05X1tWMB4lIIgLq2suFXwet8M5CB+QNTaWScEf&#10;eVivngZLzLS98Ad1h1CKGMI+QwVVCG0mpS8qMuhHtiWO3Ld1BkOErpTa4SWGm0ZOkmQmDdYcGyps&#10;aVNR8Xs4GwXz4v3H5Wn+Np5+tem1m+xn21Oq1Mtzn7+CCNSHh/jfvdNxfrqA+zPxAr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c1pjDAAAA3AAAAA8AAAAAAAAAAAAA&#10;AAAAoQIAAGRycy9kb3ducmV2LnhtbFBLBQYAAAAABAAEAPkAAACRAwAAAAA=&#10;" strokecolor="black [3213]"/>
            <v:shape id="Straight Arrow Connector 40" o:spid="_x0000_s1156" type="#_x0000_t32" style="position:absolute;left:54432;top:1962;width:0;height:845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mZBcMAAADcAAAADwAAAGRycy9kb3ducmV2LnhtbESPT2vCQBDF7wW/wzKCt7qpgVZSVyn+&#10;AemtKp6H7DQJyc6G3TXGb+8cCr3N8N6895vVZnSdGijExrOBt3kGirj0tuHKwOV8eF2CignZYueZ&#10;DDwowmY9eVlhYf2df2g4pUpJCMcCDdQp9YXWsazJYZz7nli0Xx8cJllDpW3Au4S7Ti+y7F07bFga&#10;auxpW1PZnm7OQMN54sUuP9D3vg0f1bUdfH4xZjYdvz5BJRrTv/nv+mgFfyn48oxMoN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pmQXDAAAA3AAAAA8AAAAAAAAAAAAA&#10;AAAAoQIAAGRycy9kb3ducmV2LnhtbFBLBQYAAAAABAAEAPkAAACRAwAAAAA=&#10;" strokecolor="black [3213]">
              <v:stroke endarrow="open"/>
            </v:shape>
            <v:shape id="Straight Arrow Connector 41" o:spid="_x0000_s1157" type="#_x0000_t32" style="position:absolute;left:54432;top:32512;width:0;height:462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U8nr8AAADcAAAADwAAAGRycy9kb3ducmV2LnhtbERPS4vCMBC+C/sfwgh701QLWrpGkXUF&#10;8eYDz0Mz25Y2k5LE2v33G0HwNh/fc1abwbSiJ+drywpm0wQEcWF1zaWC62U/yUD4gKyxtUwK/sjD&#10;Zv0xWmGu7YNP1J9DKWII+xwVVCF0uZS+qMign9qOOHK/1hkMEbpSaoePGG5aOU+ShTRYc2yosKPv&#10;iormfDcKak4Dz3fpno4/jVuWt6a36VWpz/Gw/QIRaAhv8ct90HF+NoPnM/ECuf4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WU8nr8AAADcAAAADwAAAAAAAAAAAAAAAACh&#10;AgAAZHJzL2Rvd25yZXYueG1sUEsFBgAAAAAEAAQA+QAAAI0DAAAAAA==&#10;" strokecolor="black [3213]">
              <v:stroke endarrow="open"/>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2" o:spid="_x0000_s1158" type="#_x0000_t13" style="position:absolute;left:12204;top:20142;width:2132;height:35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JN48IA&#10;AADcAAAADwAAAGRycy9kb3ducmV2LnhtbERPTWvCQBC9F/wPywheim70UCS6ihREDx6s9eBx2B2T&#10;0MxszK4x/nu3UOhtHu9zluuea9VRGyovBqaTDBSJ9a6SwsD5ezuegwoRxWHthQw8KcB6NXhbYu78&#10;Q76oO8VCpRAJORooY2xyrYMtiTFMfEOSuKtvGWOCbaFdi48UzrWeZdmHZqwkNZTY0GdJ9ud0ZwNb&#10;e+GnvvmK3zc3PtjdsTvUR2NGw36zABWpj//iP/fepfnzGfw+ky7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4k3jwgAAANwAAAAPAAAAAAAAAAAAAAAAAJgCAABkcnMvZG93&#10;bnJldi54bWxQSwUGAAAAAAQABAD1AAAAhwMAAAAA&#10;" adj="10800" fillcolor="black [3200]" strokecolor="black [1600]" strokeweight="2pt"/>
            <v:shape id="Right Arrow 43" o:spid="_x0000_s1159" type="#_x0000_t13" style="position:absolute;left:30734;top:20135;width:2132;height:35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7oeMIA&#10;AADcAAAADwAAAGRycy9kb3ducmV2LnhtbERPTWvCQBC9F/wPywheSt1ooUjqKiKIHjxY9eBx2J0m&#10;oZnZmF1j/PduodDbPN7nzJc916qjNlReDEzGGSgS610lhYHzafM2AxUiisPaCxl4UIDlYvAyx9z5&#10;u3xRd4yFSiEScjRQxtjkWgdbEmMY+4Ykcd++ZYwJtoV2Ld5TONd6mmUfmrGS1FBiQ+uS7M/xxgY2&#10;9sIPffUVv66uvLfbQ7evD8aMhv3qE1SkPv6L/9w7l+bP3uH3mXSBXj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uh4wgAAANwAAAAPAAAAAAAAAAAAAAAAAJgCAABkcnMvZG93&#10;bnJldi54bWxQSwUGAAAAAAQABAD1AAAAhwMAAAAA&#10;" adj="10800" fillcolor="black [3200]" strokecolor="black [1600]" strokeweight="2pt"/>
            <v:shape id="Right Arrow 44" o:spid="_x0000_s1160" type="#_x0000_t13" style="position:absolute;left:45332;top:20015;width:2132;height:35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wDMIA&#10;AADcAAAADwAAAGRycy9kb3ducmV2LnhtbERPTWvCQBC9F/wPywheSt0opUjqKiKIHjxY9eBx2J0m&#10;oZnZmF1j/PduodDbPN7nzJc916qjNlReDEzGGSgS610lhYHzafM2AxUiisPaCxl4UIDlYvAyx9z5&#10;u3xRd4yFSiEScjRQxtjkWgdbEmMY+4Ykcd++ZYwJtoV2Ld5TONd6mmUfmrGS1FBiQ+uS7M/xxgY2&#10;9sIPffUVv66uvLfbQ7evD8aMhv3qE1SkPv6L/9w7l+bP3uH3mXSBXj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R3AMwgAAANwAAAAPAAAAAAAAAAAAAAAAAJgCAABkcnMvZG93&#10;bnJldi54bWxQSwUGAAAAAAQABAD1AAAAhwMAAAAA&#10;" adj="10800" fillcolor="black [3200]" strokecolor="black [1600]" strokeweight="2pt"/>
            <v:line id="Straight Connector 45" o:spid="_x0000_s1161" style="position:absolute;visibility:visible" from="21596,4013" to="21596,10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SsusMAAADcAAAADwAAAGRycy9kb3ducmV2LnhtbERPTWvCQBC9F/wPywi91Y2CJkRXCYKg&#10;9VTb0uuQHZO02dmwu8bor3cLhd7m8T5ntRlMK3pyvrGsYDpJQBCXVjdcKfh4371kIHxA1thaJgU3&#10;8rBZj55WmGt75TfqT6ESMYR9jgrqELpcSl/WZNBPbEccubN1BkOErpLa4TWGm1bOkmQhDTYcG2rs&#10;aFtT+XO6GAVZ+frtirQ4TOefXXrvZ8fF7itV6nk8FEsQgYbwL/5z73Wcn83h95l4gV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ErLrDAAAA3AAAAA8AAAAAAAAAAAAA&#10;AAAAoQIAAGRycy9kb3ducmV2LnhtbFBLBQYAAAAABAAEAPkAAACRAwAAAAA=&#10;" strokecolor="black [3213]"/>
          </v:group>
        </w:pict>
      </w:r>
    </w:p>
    <w:p w:rsidR="007F2F9C" w:rsidRDefault="007F2F9C" w:rsidP="00005EAC">
      <w:pPr>
        <w:jc w:val="center"/>
      </w:pPr>
    </w:p>
    <w:p w:rsidR="007F2F9C" w:rsidRPr="00FA5D10" w:rsidRDefault="007F2F9C" w:rsidP="00005EAC">
      <w:pPr>
        <w:jc w:val="center"/>
        <w:rPr>
          <w:rFonts w:cs="Arial"/>
        </w:rPr>
      </w:pPr>
    </w:p>
    <w:p w:rsidR="007F2F9C" w:rsidRDefault="007F2F9C" w:rsidP="00005EAC">
      <w:pPr>
        <w:jc w:val="center"/>
      </w:pPr>
    </w:p>
    <w:p w:rsidR="007F2F9C" w:rsidRDefault="007F2F9C" w:rsidP="00867B3D">
      <w:pPr>
        <w:jc w:val="right"/>
        <w:rPr>
          <w:szCs w:val="24"/>
        </w:rPr>
      </w:pPr>
    </w:p>
    <w:p w:rsidR="007F2F9C" w:rsidRDefault="007F2F9C" w:rsidP="00005EAC">
      <w:pPr>
        <w:pStyle w:val="BodyText"/>
        <w:spacing w:after="0" w:line="240" w:lineRule="auto"/>
        <w:jc w:val="both"/>
        <w:rPr>
          <w:rFonts w:cs="Times New Roman"/>
          <w:szCs w:val="24"/>
        </w:rPr>
      </w:pPr>
    </w:p>
    <w:p w:rsidR="007F2F9C" w:rsidRDefault="007F2F9C" w:rsidP="00005EAC">
      <w:pPr>
        <w:pStyle w:val="BodyText"/>
        <w:spacing w:after="0" w:line="240" w:lineRule="auto"/>
        <w:jc w:val="both"/>
        <w:rPr>
          <w:rFonts w:cs="Times New Roman"/>
          <w:szCs w:val="24"/>
        </w:rPr>
      </w:pPr>
    </w:p>
    <w:p w:rsidR="007F2F9C" w:rsidRDefault="007F2F9C" w:rsidP="00005EAC">
      <w:pPr>
        <w:pStyle w:val="BodyText"/>
        <w:spacing w:after="0" w:line="240" w:lineRule="auto"/>
        <w:jc w:val="both"/>
        <w:rPr>
          <w:rFonts w:cs="Times New Roman"/>
          <w:szCs w:val="24"/>
        </w:rPr>
      </w:pPr>
    </w:p>
    <w:p w:rsidR="007F2F9C" w:rsidRDefault="007F2F9C" w:rsidP="00005EAC">
      <w:pPr>
        <w:pStyle w:val="BodyText"/>
        <w:spacing w:after="0" w:line="240" w:lineRule="auto"/>
        <w:jc w:val="both"/>
        <w:rPr>
          <w:rFonts w:cs="Times New Roman"/>
          <w:szCs w:val="24"/>
        </w:rPr>
      </w:pPr>
    </w:p>
    <w:p w:rsidR="007F2F9C" w:rsidRDefault="007F2F9C" w:rsidP="00005EAC">
      <w:pPr>
        <w:pStyle w:val="BodyText"/>
        <w:spacing w:after="0" w:line="240" w:lineRule="auto"/>
        <w:jc w:val="both"/>
        <w:rPr>
          <w:rFonts w:cs="Times New Roman"/>
          <w:szCs w:val="24"/>
        </w:rPr>
      </w:pPr>
    </w:p>
    <w:p w:rsidR="007F2F9C" w:rsidRDefault="007F2F9C" w:rsidP="00005EAC">
      <w:pPr>
        <w:pStyle w:val="BodyText"/>
        <w:spacing w:after="0" w:line="240" w:lineRule="auto"/>
        <w:jc w:val="both"/>
        <w:rPr>
          <w:rFonts w:cs="Times New Roman"/>
          <w:szCs w:val="24"/>
        </w:rPr>
      </w:pPr>
    </w:p>
    <w:p w:rsidR="007F2F9C" w:rsidRDefault="007F2F9C" w:rsidP="00005EAC">
      <w:pPr>
        <w:pStyle w:val="BodyText"/>
        <w:spacing w:after="0" w:line="240" w:lineRule="auto"/>
        <w:jc w:val="both"/>
        <w:rPr>
          <w:rFonts w:cs="Times New Roman"/>
          <w:szCs w:val="24"/>
        </w:rPr>
      </w:pPr>
    </w:p>
    <w:p w:rsidR="007F2F9C" w:rsidRDefault="007F2F9C" w:rsidP="00005EAC">
      <w:pPr>
        <w:pStyle w:val="BodyText"/>
        <w:spacing w:after="0" w:line="240" w:lineRule="auto"/>
        <w:jc w:val="both"/>
        <w:rPr>
          <w:rFonts w:cs="Times New Roman"/>
          <w:szCs w:val="24"/>
        </w:rPr>
      </w:pPr>
    </w:p>
    <w:p w:rsidR="00180AA9" w:rsidRDefault="00180AA9" w:rsidP="00A86115">
      <w:pPr>
        <w:pStyle w:val="BodyText"/>
        <w:spacing w:after="240" w:line="276" w:lineRule="auto"/>
        <w:jc w:val="both"/>
        <w:rPr>
          <w:rFonts w:cs="Times New Roman"/>
          <w:szCs w:val="24"/>
        </w:rPr>
      </w:pPr>
    </w:p>
    <w:p w:rsidR="00180AA9" w:rsidRDefault="00180AA9" w:rsidP="00A86115">
      <w:pPr>
        <w:pStyle w:val="BodyText"/>
        <w:spacing w:after="240" w:line="276" w:lineRule="auto"/>
        <w:jc w:val="both"/>
        <w:rPr>
          <w:rFonts w:cs="Times New Roman"/>
          <w:szCs w:val="24"/>
        </w:rPr>
      </w:pPr>
    </w:p>
    <w:p w:rsidR="00D23983" w:rsidRDefault="00D23983" w:rsidP="00A86115">
      <w:pPr>
        <w:pStyle w:val="BodyText"/>
        <w:spacing w:after="240" w:line="276" w:lineRule="auto"/>
        <w:jc w:val="both"/>
        <w:rPr>
          <w:rFonts w:cs="Times New Roman"/>
          <w:szCs w:val="24"/>
        </w:rPr>
      </w:pPr>
    </w:p>
    <w:p w:rsidR="007F2F9C" w:rsidRDefault="007F2F9C" w:rsidP="00A86115">
      <w:pPr>
        <w:pStyle w:val="BodyText"/>
        <w:spacing w:after="240" w:line="276" w:lineRule="auto"/>
        <w:jc w:val="both"/>
        <w:rPr>
          <w:rFonts w:cs="Times New Roman"/>
          <w:szCs w:val="24"/>
        </w:rPr>
      </w:pPr>
      <w:r w:rsidRPr="004B251E">
        <w:rPr>
          <w:rFonts w:cs="Times New Roman"/>
          <w:szCs w:val="24"/>
        </w:rPr>
        <w:t xml:space="preserve">A number of tasks will be required for the development of </w:t>
      </w:r>
      <w:r>
        <w:rPr>
          <w:rFonts w:cs="Times New Roman"/>
          <w:szCs w:val="24"/>
        </w:rPr>
        <w:t>the knowledge portal; t</w:t>
      </w:r>
      <w:r w:rsidRPr="004B251E">
        <w:rPr>
          <w:rFonts w:cs="Times New Roman"/>
          <w:szCs w:val="24"/>
        </w:rPr>
        <w:t>hese are as follows:</w:t>
      </w:r>
    </w:p>
    <w:p w:rsidR="007F2F9C" w:rsidRPr="00932EA2" w:rsidRDefault="007F2F9C" w:rsidP="003D5A31">
      <w:pPr>
        <w:pStyle w:val="ListParagraph"/>
        <w:numPr>
          <w:ilvl w:val="0"/>
          <w:numId w:val="105"/>
        </w:numPr>
        <w:spacing w:line="276" w:lineRule="auto"/>
        <w:rPr>
          <w:rFonts w:cs="Times New Roman"/>
        </w:rPr>
      </w:pPr>
      <w:r>
        <w:rPr>
          <w:rFonts w:cs="Times New Roman"/>
        </w:rPr>
        <w:t>System requirements analysis.</w:t>
      </w:r>
    </w:p>
    <w:p w:rsidR="007F2F9C" w:rsidRPr="00932EA2" w:rsidRDefault="007F2F9C" w:rsidP="003D5A31">
      <w:pPr>
        <w:pStyle w:val="ListParagraph"/>
        <w:numPr>
          <w:ilvl w:val="0"/>
          <w:numId w:val="105"/>
        </w:numPr>
        <w:spacing w:line="276" w:lineRule="auto"/>
        <w:rPr>
          <w:rFonts w:cs="Times New Roman"/>
        </w:rPr>
      </w:pPr>
      <w:r w:rsidRPr="00932EA2">
        <w:rPr>
          <w:rFonts w:cs="Times New Roman"/>
        </w:rPr>
        <w:t xml:space="preserve">Design </w:t>
      </w:r>
      <w:r>
        <w:rPr>
          <w:rFonts w:cs="Times New Roman"/>
        </w:rPr>
        <w:t>and development of the database.</w:t>
      </w:r>
    </w:p>
    <w:p w:rsidR="007F2F9C" w:rsidRPr="00932EA2" w:rsidRDefault="007F2F9C" w:rsidP="003D5A31">
      <w:pPr>
        <w:pStyle w:val="ListParagraph"/>
        <w:numPr>
          <w:ilvl w:val="0"/>
          <w:numId w:val="105"/>
        </w:numPr>
        <w:spacing w:line="276" w:lineRule="auto"/>
        <w:rPr>
          <w:rFonts w:cs="Times New Roman"/>
        </w:rPr>
      </w:pPr>
      <w:r w:rsidRPr="00932EA2">
        <w:rPr>
          <w:rFonts w:cs="Times New Roman"/>
        </w:rPr>
        <w:t>Design and deve</w:t>
      </w:r>
      <w:r>
        <w:rPr>
          <w:rFonts w:cs="Times New Roman"/>
        </w:rPr>
        <w:t>lopment of the knowledge portal.</w:t>
      </w:r>
    </w:p>
    <w:p w:rsidR="007F2F9C" w:rsidRPr="00932EA2" w:rsidRDefault="007F2F9C" w:rsidP="003D5A31">
      <w:pPr>
        <w:pStyle w:val="ListParagraph"/>
        <w:numPr>
          <w:ilvl w:val="0"/>
          <w:numId w:val="105"/>
        </w:numPr>
        <w:spacing w:line="276" w:lineRule="auto"/>
        <w:rPr>
          <w:rFonts w:cs="Times New Roman"/>
        </w:rPr>
      </w:pPr>
      <w:r w:rsidRPr="00932EA2">
        <w:rPr>
          <w:rFonts w:cs="Times New Roman"/>
        </w:rPr>
        <w:t xml:space="preserve">Processing of collected and generated data and </w:t>
      </w:r>
      <w:r>
        <w:rPr>
          <w:rFonts w:cs="Times New Roman"/>
        </w:rPr>
        <w:t>converting into database format.</w:t>
      </w:r>
    </w:p>
    <w:p w:rsidR="007F2F9C" w:rsidRPr="00932EA2" w:rsidRDefault="007F2F9C" w:rsidP="003D5A31">
      <w:pPr>
        <w:pStyle w:val="ListParagraph"/>
        <w:numPr>
          <w:ilvl w:val="0"/>
          <w:numId w:val="105"/>
        </w:numPr>
        <w:spacing w:line="276" w:lineRule="auto"/>
        <w:rPr>
          <w:rFonts w:cs="Times New Roman"/>
        </w:rPr>
      </w:pPr>
      <w:r w:rsidRPr="00932EA2">
        <w:rPr>
          <w:rFonts w:cs="Times New Roman"/>
        </w:rPr>
        <w:t>U</w:t>
      </w:r>
      <w:r>
        <w:rPr>
          <w:rFonts w:cs="Times New Roman"/>
        </w:rPr>
        <w:t>ploading data into the database.</w:t>
      </w:r>
    </w:p>
    <w:p w:rsidR="007F2F9C" w:rsidRPr="00932EA2" w:rsidRDefault="007F2F9C" w:rsidP="003D5A31">
      <w:pPr>
        <w:pStyle w:val="ListParagraph"/>
        <w:numPr>
          <w:ilvl w:val="0"/>
          <w:numId w:val="105"/>
        </w:numPr>
        <w:spacing w:line="276" w:lineRule="auto"/>
        <w:rPr>
          <w:rFonts w:cs="Times New Roman"/>
        </w:rPr>
      </w:pPr>
      <w:r w:rsidRPr="00932EA2">
        <w:rPr>
          <w:rFonts w:cs="Times New Roman"/>
        </w:rPr>
        <w:t>Installation and configuration of kno</w:t>
      </w:r>
      <w:r>
        <w:rPr>
          <w:rFonts w:cs="Times New Roman"/>
        </w:rPr>
        <w:t>wledge portal at the server end.</w:t>
      </w:r>
    </w:p>
    <w:p w:rsidR="007F2F9C" w:rsidRPr="00932EA2" w:rsidRDefault="007F2F9C" w:rsidP="003D5A31">
      <w:pPr>
        <w:pStyle w:val="ListParagraph"/>
        <w:numPr>
          <w:ilvl w:val="0"/>
          <w:numId w:val="105"/>
        </w:numPr>
        <w:spacing w:line="276" w:lineRule="auto"/>
        <w:rPr>
          <w:rFonts w:cs="Times New Roman"/>
        </w:rPr>
      </w:pPr>
      <w:r w:rsidRPr="00932EA2">
        <w:rPr>
          <w:rFonts w:cs="Times New Roman"/>
        </w:rPr>
        <w:t>Software Testing; and</w:t>
      </w:r>
    </w:p>
    <w:p w:rsidR="007F2F9C" w:rsidRPr="00AA7454" w:rsidRDefault="007F2F9C" w:rsidP="003D5A31">
      <w:pPr>
        <w:pStyle w:val="ListParagraph"/>
        <w:numPr>
          <w:ilvl w:val="0"/>
          <w:numId w:val="105"/>
        </w:numPr>
        <w:spacing w:line="276" w:lineRule="auto"/>
        <w:rPr>
          <w:rFonts w:cs="Times New Roman"/>
        </w:rPr>
      </w:pPr>
      <w:r w:rsidRPr="00932EA2">
        <w:rPr>
          <w:rFonts w:cs="Times New Roman"/>
        </w:rPr>
        <w:t xml:space="preserve">Users training and capacity building. </w:t>
      </w:r>
    </w:p>
    <w:p w:rsidR="007F2F9C" w:rsidRDefault="007F2F9C" w:rsidP="00A86115">
      <w:pPr>
        <w:pStyle w:val="BodyText"/>
        <w:spacing w:after="240" w:line="276" w:lineRule="auto"/>
        <w:jc w:val="both"/>
        <w:rPr>
          <w:rFonts w:cs="Times New Roman"/>
          <w:szCs w:val="24"/>
        </w:rPr>
      </w:pPr>
      <w:r>
        <w:rPr>
          <w:rFonts w:cs="Times New Roman"/>
          <w:szCs w:val="24"/>
        </w:rPr>
        <w:t xml:space="preserve">The back-end and front-end integration of data in the main knowledge hub server is extremely important. This needs to be set up by database managers and IT experts with knowledge of handling and integrating large and multifarious types of data into a portal that can offer web-based access to users. An inter-active mapping tool with feedback and editing screen (for data correction) accessible by local officials through the knowledge portal can enable active participation of local experts and resource persons in improving accuracy and quality of the database. The day-to-day operations will be run by a Knowledge Hub management team </w:t>
      </w:r>
      <w:r w:rsidR="00ED3FC6">
        <w:rPr>
          <w:rFonts w:cs="Times New Roman"/>
          <w:szCs w:val="24"/>
        </w:rPr>
        <w:t>under the Delta Secretariat</w:t>
      </w:r>
      <w:r w:rsidR="00D23983">
        <w:rPr>
          <w:rFonts w:cs="Times New Roman"/>
          <w:szCs w:val="24"/>
        </w:rPr>
        <w:t xml:space="preserve"> and </w:t>
      </w:r>
      <w:r>
        <w:rPr>
          <w:rFonts w:cs="Times New Roman"/>
          <w:szCs w:val="24"/>
        </w:rPr>
        <w:t>overseen by the Delta C</w:t>
      </w:r>
      <w:r w:rsidR="00ED3FC6">
        <w:rPr>
          <w:rFonts w:cs="Times New Roman"/>
          <w:szCs w:val="24"/>
        </w:rPr>
        <w:t>ommission</w:t>
      </w:r>
      <w:r>
        <w:rPr>
          <w:rFonts w:cs="Times New Roman"/>
          <w:szCs w:val="24"/>
        </w:rPr>
        <w:t xml:space="preserve"> (Figure </w:t>
      </w:r>
      <w:r w:rsidR="003368EF">
        <w:rPr>
          <w:rFonts w:cs="Times New Roman"/>
          <w:szCs w:val="24"/>
        </w:rPr>
        <w:t>14.</w:t>
      </w:r>
      <w:r w:rsidR="002126ED">
        <w:rPr>
          <w:rFonts w:cs="Times New Roman"/>
          <w:szCs w:val="24"/>
        </w:rPr>
        <w:t>4</w:t>
      </w:r>
      <w:r>
        <w:rPr>
          <w:rFonts w:cs="Times New Roman"/>
          <w:szCs w:val="24"/>
        </w:rPr>
        <w:t>).</w:t>
      </w:r>
    </w:p>
    <w:p w:rsidR="00A86115" w:rsidRPr="00932EA2" w:rsidRDefault="00A86115" w:rsidP="00FD7FD3">
      <w:pPr>
        <w:pStyle w:val="Heading5"/>
      </w:pPr>
      <w:bookmarkStart w:id="963" w:name="_Toc474639232"/>
      <w:r w:rsidRPr="00626B30">
        <w:t xml:space="preserve">Figure </w:t>
      </w:r>
      <w:r w:rsidR="003368EF">
        <w:t>14.</w:t>
      </w:r>
      <w:r w:rsidR="002126ED">
        <w:t>4</w:t>
      </w:r>
      <w:r>
        <w:t>:</w:t>
      </w:r>
      <w:r w:rsidRPr="00626B30">
        <w:t xml:space="preserve"> Institut</w:t>
      </w:r>
      <w:r w:rsidR="00C750AA">
        <w:t>ional Mechanism to O</w:t>
      </w:r>
      <w:r w:rsidRPr="00626B30">
        <w:t>perate the BDP2100 Knowledge Hub</w:t>
      </w:r>
      <w:bookmarkEnd w:id="963"/>
    </w:p>
    <w:p w:rsidR="007F2F9C" w:rsidRPr="00626B30" w:rsidRDefault="007F2F9C" w:rsidP="00005EAC">
      <w:pPr>
        <w:pStyle w:val="TablesandFigures"/>
        <w:jc w:val="center"/>
        <w:rPr>
          <w:rFonts w:ascii="Times New Roman" w:hAnsi="Times New Roman"/>
          <w:b/>
          <w:sz w:val="4"/>
          <w:szCs w:val="6"/>
        </w:rPr>
      </w:pPr>
    </w:p>
    <w:p w:rsidR="007F2F9C" w:rsidRPr="00932EA2" w:rsidRDefault="001A12B2" w:rsidP="00005EAC">
      <w:pPr>
        <w:pStyle w:val="TablesandFigures"/>
        <w:jc w:val="center"/>
        <w:rPr>
          <w:rFonts w:ascii="Times New Roman" w:hAnsi="Times New Roman"/>
          <w:b/>
        </w:rPr>
      </w:pPr>
      <w:r w:rsidRPr="001A12B2">
        <w:rPr>
          <w:rFonts w:ascii="Times New Roman" w:hAnsi="Times New Roman"/>
          <w:b/>
          <w:noProof/>
          <w:szCs w:val="24"/>
        </w:rPr>
      </w:r>
      <w:r w:rsidRPr="001A12B2">
        <w:rPr>
          <w:rFonts w:ascii="Times New Roman" w:hAnsi="Times New Roman"/>
          <w:b/>
          <w:noProof/>
          <w:szCs w:val="24"/>
        </w:rPr>
        <w:pict>
          <v:group id="Group 65" o:spid="_x0000_s1162" style="width:441pt;height:256.05pt;mso-position-horizontal-relative:char;mso-position-vertical-relative:line" coordsize="56007,38055">
            <v:group id="Group 51" o:spid="_x0000_s1163" style="position:absolute;top:17145;width:16002;height:10287" coordsize="16002,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oval id="Oval 49" o:spid="_x0000_s1164" style="position:absolute;width:16002;height:10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mC/sUA&#10;AADbAAAADwAAAGRycy9kb3ducmV2LnhtbESPzWrDMBCE74W8g9hAbrXcQNLiRgnFYEjIodQptMfF&#10;Wv9Qa2UsObbz9FGh0OMwM98wu8NkWnGl3jWWFTxFMQjiwuqGKwWfl+zxBYTzyBpby6RgJgeH/eJh&#10;h4m2I3/QNfeVCBB2CSqove8SKV1Rk0EX2Y44eKXtDfog+0rqHscAN61cx/FWGmw4LNTYUVpT8ZMP&#10;RsFzVhzTMl9XZ/39NZjTLc3ey1mp1XJ6ewXhafL/4b/2USvYbOH3S/gBcn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OYL+xQAAANsAAAAPAAAAAAAAAAAAAAAAAJgCAABkcnMv&#10;ZG93bnJldi54bWxQSwUGAAAAAAQABAD1AAAAigMAAAAA&#10;" fillcolor="white [3201]" strokecolor="black [3200]" strokeweight="1pt">
                <v:shadow color="#868686"/>
              </v:oval>
              <v:shape id="Text Box 50" o:spid="_x0000_s1165" type="#_x0000_t202" style="position:absolute;left:2286;top:2286;width:1143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ueMQA&#10;AADbAAAADwAAAGRycy9kb3ducmV2LnhtbESPT4vCMBTE7wt+h/AEL8uaqviHrlFEEGXxYnWRvT2a&#10;Z1tsXkoTa/32G0HwOMzMb5j5sjWlaKh2hWUFg34Egji1uuBMwem4+ZqBcB5ZY2mZFDzIwXLR+Zhj&#10;rO2dD9QkPhMBwi5GBbn3VSylS3My6Pq2Ig7exdYGfZB1JnWN9wA3pRxG0UQaLDgs5FjROqf0mtyM&#10;gnP2M9ob3iT68DC/08/mvJ39jZTqddvVNwhPrX+HX+2dVjCewvNL+AF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p7njEAAAA2wAAAA8AAAAAAAAAAAAAAAAAmAIAAGRycy9k&#10;b3ducmV2LnhtbFBLBQYAAAAABAAEAPUAAACJAwAAAAA=&#10;" fillcolor="white [3201]" strokecolor="black [3200]" strokeweight="1pt">
                <v:shadow color="#868686"/>
                <v:textbox style="mso-next-textbox:#Text Box 50">
                  <w:txbxContent>
                    <w:p w:rsidR="009D3B38" w:rsidRPr="007306E0" w:rsidRDefault="009D3B38" w:rsidP="00D23983">
                      <w:pPr>
                        <w:spacing w:after="120" w:line="240" w:lineRule="auto"/>
                        <w:jc w:val="center"/>
                        <w:rPr>
                          <w:rFonts w:cs="Times New Roman"/>
                          <w:b/>
                          <w:sz w:val="20"/>
                          <w:szCs w:val="20"/>
                        </w:rPr>
                      </w:pPr>
                      <w:r w:rsidRPr="007306E0">
                        <w:rPr>
                          <w:rFonts w:cs="Times New Roman"/>
                          <w:b/>
                          <w:sz w:val="20"/>
                          <w:szCs w:val="20"/>
                        </w:rPr>
                        <w:t xml:space="preserve"> Owners</w:t>
                      </w:r>
                    </w:p>
                    <w:p w:rsidR="009D3B38" w:rsidRPr="007306E0" w:rsidRDefault="009D3B38" w:rsidP="00005EAC">
                      <w:pPr>
                        <w:jc w:val="center"/>
                        <w:rPr>
                          <w:rFonts w:cs="Times New Roman"/>
                          <w:b/>
                          <w:sz w:val="20"/>
                          <w:szCs w:val="20"/>
                        </w:rPr>
                      </w:pPr>
                      <w:r>
                        <w:t>public</w:t>
                      </w:r>
                      <w:r w:rsidRPr="007306E0">
                        <w:rPr>
                          <w:rFonts w:cs="Times New Roman"/>
                          <w:b/>
                          <w:sz w:val="20"/>
                          <w:szCs w:val="20"/>
                        </w:rPr>
                        <w:t xml:space="preserve"> sector</w:t>
                      </w:r>
                    </w:p>
                    <w:p w:rsidR="009D3B38" w:rsidRDefault="009D3B38"/>
                    <w:p w:rsidR="009D3B38" w:rsidRDefault="009D3B38">
                      <w:r w:rsidRPr="007306E0">
                        <w:rPr>
                          <w:rFonts w:cs="Times New Roman"/>
                          <w:b/>
                          <w:sz w:val="20"/>
                          <w:szCs w:val="20"/>
                        </w:rPr>
                        <w:t>Data</w:t>
                      </w:r>
                    </w:p>
                  </w:txbxContent>
                </v:textbox>
              </v:shape>
            </v:group>
            <v:group id="Group 52" o:spid="_x0000_s1166" style="position:absolute;left:40005;top:17145;width:16002;height:10287" coordsize="16002,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oval id="Oval 53" o:spid="_x0000_s1167" style="position:absolute;width:16002;height:10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zQN8QA&#10;AADbAAAADwAAAGRycy9kb3ducmV2LnhtbESPT4vCMBTE78J+h/AEbzbVgyvVKFIouHhYrMLu8dG8&#10;/sHmpTRR6356syB4HGbmN8x6O5hW3Kh3jWUFsygGQVxY3XCl4HzKpksQziNrbC2Tggc52G4+RmtM&#10;tL3zkW65r0SAsEtQQe19l0jpipoMush2xMErbW/QB9lXUvd4D3DTynkcL6TBhsNCjR2lNRWX/GoU&#10;fGbFPi3zeXXQvz9X8/WXZt/lQ6nJeNitQHga/Dv8au+1gsUM/r+EH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80DfEAAAA2wAAAA8AAAAAAAAAAAAAAAAAmAIAAGRycy9k&#10;b3ducmV2LnhtbFBLBQYAAAAABAAEAPUAAACJAwAAAAA=&#10;" fillcolor="white [3201]" strokecolor="black [3200]" strokeweight="1pt">
                <v:shadow color="#868686"/>
              </v:oval>
              <v:shape id="Text Box 54" o:spid="_x0000_s1168" type="#_x0000_t202" style="position:absolute;left:2286;top:2286;width:11430;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hiJcYA&#10;AADcAAAADwAAAGRycy9kb3ducmV2LnhtbESPQWvCQBSE74L/YXmCF9FNFWwa3QQpSKX0YlqR3h7Z&#10;ZxLMvg3ZbYz/3i0Uehxm5htmmw2mET11rras4GkRgSAurK65VPD1uZ/HIJxH1thYJgV3cpCl49EW&#10;E21vfKQ+96UIEHYJKqi8bxMpXVGRQbewLXHwLrYz6IPsSqk7vAW4aeQyitbSYM1hocKWXisqrvmP&#10;UXAu31cfhve5Pt7N6XnWn9/i75VS08mw24DwNPj/8F/7oBXEL2v4PROOgEw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hiJcYAAADcAAAADwAAAAAAAAAAAAAAAACYAgAAZHJz&#10;L2Rvd25yZXYueG1sUEsFBgAAAAAEAAQA9QAAAIsDAAAAAA==&#10;" fillcolor="white [3201]" strokecolor="black [3200]" strokeweight="1pt">
                <v:shadow color="#868686"/>
                <v:textbox style="mso-next-textbox:#Text Box 54">
                  <w:txbxContent>
                    <w:p w:rsidR="009D3B38" w:rsidRPr="007306E0" w:rsidRDefault="009D3B38" w:rsidP="00D23983">
                      <w:pPr>
                        <w:spacing w:after="120" w:line="240" w:lineRule="auto"/>
                        <w:jc w:val="center"/>
                        <w:rPr>
                          <w:rFonts w:cs="Times New Roman"/>
                          <w:b/>
                          <w:sz w:val="20"/>
                          <w:szCs w:val="20"/>
                        </w:rPr>
                      </w:pPr>
                      <w:r w:rsidRPr="007306E0">
                        <w:rPr>
                          <w:rFonts w:cs="Times New Roman"/>
                          <w:b/>
                          <w:sz w:val="20"/>
                          <w:szCs w:val="20"/>
                        </w:rPr>
                        <w:t xml:space="preserve"> Owners</w:t>
                      </w:r>
                    </w:p>
                    <w:p w:rsidR="009D3B38" w:rsidRPr="007306E0" w:rsidRDefault="009D3B38" w:rsidP="00005EAC">
                      <w:pPr>
                        <w:jc w:val="center"/>
                        <w:rPr>
                          <w:rFonts w:cs="Times New Roman"/>
                          <w:b/>
                          <w:sz w:val="20"/>
                          <w:szCs w:val="20"/>
                        </w:rPr>
                      </w:pPr>
                      <w:r>
                        <w:rPr>
                          <w:rFonts w:cs="Times New Roman"/>
                          <w:b/>
                          <w:sz w:val="20"/>
                          <w:szCs w:val="20"/>
                        </w:rPr>
                        <w:t>Private</w:t>
                      </w:r>
                      <w:r w:rsidRPr="007306E0">
                        <w:rPr>
                          <w:rFonts w:cs="Times New Roman"/>
                          <w:b/>
                          <w:sz w:val="20"/>
                          <w:szCs w:val="20"/>
                        </w:rPr>
                        <w:t xml:space="preserve"> sector</w:t>
                      </w:r>
                    </w:p>
                    <w:p w:rsidR="009D3B38" w:rsidRDefault="009D3B38"/>
                    <w:p w:rsidR="009D3B38" w:rsidRDefault="009D3B38">
                      <w:r w:rsidRPr="00693324">
                        <w:rPr>
                          <w:rFonts w:cs="Times New Roman"/>
                          <w:b/>
                          <w:sz w:val="20"/>
                          <w:szCs w:val="20"/>
                        </w:rPr>
                        <w:t>BDP2</w:t>
                      </w:r>
                    </w:p>
                  </w:txbxContent>
                </v:textbox>
              </v:shape>
            </v:group>
            <v:shape id="Straight Arrow Connector 56" o:spid="_x0000_s1169" type="#_x0000_t32" style="position:absolute;left:16002;top:22053;width:457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iMRcYAAADcAAAADwAAAGRycy9kb3ducmV2LnhtbESPQUsDMRCF70L/Q5iCN5vUFpG1adlK&#10;BQ8FsRW8DpvpZtvNZNnE7eqvdw6Ctxnem/e+WW3G0KqB+tREtjCfGVDEVXQN1xY+ji93j6BSRnbY&#10;RiYL35Rgs57crLBw8crvNBxyrSSEU4EWfM5doXWqPAVMs9gRi3aKfcAsa19r1+NVwkOr74150AEb&#10;lgaPHT17qi6Hr2Bh8fNWVkvyl+2w3B/Nef+5K3cLa2+nY/kEKtOY/81/169O8I3QyjMygV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YjEXGAAAA3AAAAA8AAAAAAAAA&#10;AAAAAAAAoQIAAGRycy9kb3ducmV2LnhtbFBLBQYAAAAABAAEAPkAAACUAwAAAAA=&#10;" strokecolor="black [3200]" strokeweight="1pt">
              <v:stroke startarrow="open" endarrow="open"/>
              <v:shadow color="#868686"/>
            </v:shape>
            <v:shape id="Straight Arrow Connector 57" o:spid="_x0000_s1170" type="#_x0000_t32" style="position:absolute;left:36576;top:22053;width:457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Qp3sQAAADcAAAADwAAAGRycy9kb3ducmV2LnhtbERPS2sCMRC+F/wPYYTeauKD0q5GWUWh&#10;B6FUC16HzbhZ3UyWTbqu/fVNodDbfHzPWax6V4uO2lB51jAeKRDEhTcVlxo+j7unFxAhIhusPZOG&#10;OwVYLQcPC8yMv/EHdYdYihTCIUMNNsYmkzIUlhyGkW+IE3f2rcOYYFtK0+IthbtaTpR6lg4rTg0W&#10;G9pYKq6HL6dh+v2eFzOy13U32x/VZX/a5tup1o/DPp+DiNTHf/Gf+82k+eoV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VCnexAAAANwAAAAPAAAAAAAAAAAA&#10;AAAAAKECAABkcnMvZG93bnJldi54bWxQSwUGAAAAAAQABAD5AAAAkgMAAAAA&#10;" strokecolor="black [3200]" strokeweight="1pt">
              <v:stroke startarrow="open" endarrow="open"/>
              <v:shadow color="#868686"/>
            </v:shape>
            <v:group id="Group 64" o:spid="_x0000_s1171" style="position:absolute;left:9144;width:37719;height:38055" coordsize="37719,38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group id="Group 55" o:spid="_x0000_s1172" style="position:absolute;left:8001;width:21717;height:12909" coordsize="21717,12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oval id="Oval 46" o:spid="_x0000_s1173" style="position:absolute;width:21717;height:129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4pjcIA&#10;AADcAAAADwAAAGRycy9kb3ducmV2LnhtbERPS4vCMBC+L/gfwgje1tQedKlGkUJB8SDbFfQ4NNMH&#10;NpPSRK3++o2wsLf5+J6z2gymFXfqXWNZwWwagSAurG64UnD6yT6/QDiPrLG1TAqe5GCzHn2sMNH2&#10;wd90z30lQgi7BBXU3neJlK6oyaCb2o44cKXtDfoA+0rqHh8h3LQyjqK5NNhwaKixo7Sm4prfjIJF&#10;VuzSMo+rg76cb2b/SrNj+VRqMh62SxCeBv8v/nPvdJg/i+H9TLh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rimNwgAAANwAAAAPAAAAAAAAAAAAAAAAAJgCAABkcnMvZG93&#10;bnJldi54bWxQSwUGAAAAAAQABAD1AAAAhwMAAAAA&#10;" fillcolor="white [3201]" strokecolor="black [3200]" strokeweight="1pt">
                  <v:shadow color="#868686"/>
                </v:oval>
                <v:shape id="_x0000_s1174" type="#_x0000_t202" style="position:absolute;left:3429;top:2286;width:16002;height:8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OUScQA&#10;AADcAAAADwAAAGRycy9kb3ducmV2LnhtbERPS2vCQBC+F/wPywi9FN1ooIbUVaQgltKLsSV4G7LT&#10;JJidDdltHv++Wyh4m4/vOdv9aBrRU+dqywpWywgEcWF1zaWCz8txkYBwHlljY5kUTORgv5s9bDHV&#10;duAz9ZkvRQhhl6KCyvs2ldIVFRl0S9sSB+7bdgZ9gF0pdYdDCDeNXEfRszRYc2iosKXXiopb9mMU&#10;5OV7/GH4mOnzZL42T31+Sq6xUo/z8fACwtPo7+J/95sO81cx/D0TLp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lEnEAAAA3AAAAA8AAAAAAAAAAAAAAAAAmAIAAGRycy9k&#10;b3ducmV2LnhtbFBLBQYAAAAABAAEAPUAAACJAwAAAAA=&#10;" fillcolor="white [3201]" strokecolor="black [3200]" strokeweight="1pt">
                  <v:shadow color="#868686"/>
                  <v:textbox style="mso-next-textbox:#_x0000_s1174">
                    <w:txbxContent>
                      <w:p w:rsidR="009D3B38" w:rsidRPr="00693324" w:rsidRDefault="009D3B38" w:rsidP="00005EAC">
                        <w:pPr>
                          <w:jc w:val="center"/>
                          <w:rPr>
                            <w:rFonts w:cs="Times New Roman"/>
                            <w:b/>
                            <w:sz w:val="20"/>
                            <w:szCs w:val="20"/>
                          </w:rPr>
                        </w:pPr>
                        <w:r>
                          <w:rPr>
                            <w:rFonts w:cs="Times New Roman"/>
                            <w:b/>
                            <w:sz w:val="20"/>
                            <w:szCs w:val="20"/>
                          </w:rPr>
                          <w:t>100 Knowledge Unit (Delta Secretariat</w:t>
                        </w:r>
                        <w:r w:rsidRPr="00693324">
                          <w:rPr>
                            <w:rFonts w:cs="Times New Roman"/>
                            <w:b/>
                            <w:sz w:val="20"/>
                            <w:szCs w:val="20"/>
                          </w:rPr>
                          <w:t>) with oversight from Delta Commission</w:t>
                        </w:r>
                      </w:p>
                      <w:p w:rsidR="009D3B38" w:rsidRDefault="009D3B38"/>
                      <w:p w:rsidR="009D3B38" w:rsidRDefault="009D3B38">
                        <w:r>
                          <w:rPr>
                            <w:rFonts w:cs="Times New Roman"/>
                            <w:b/>
                          </w:rPr>
                          <w:t>BDP2</w:t>
                        </w:r>
                      </w:p>
                    </w:txbxContent>
                  </v:textbox>
                </v:shape>
              </v:group>
              <v:shape id="Text Box 48" o:spid="_x0000_s1175" type="#_x0000_t202" style="position:absolute;left:11430;top:17145;width:16002;height:9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oMPcQA&#10;AADcAAAADwAAAGRycy9kb3ducmV2LnhtbERPTWvCQBC9C/6HZQq9iG6ipUp0FRFCi/SStEV6G7Jj&#10;EpqdDdltTP69Wyj0No/3ObvDYBrRU+dqywriRQSCuLC65lLBx3s634BwHlljY5kUjOTgsJ9Odpho&#10;e+OM+tyXIoSwS1BB5X2bSOmKigy6hW2JA3e1nUEfYFdK3eEthJtGLqPoWRqsOTRU2NKpouI7/zEK&#10;LuV59WY4zXU2ms/1rL+8bL5WSj0+DMctCE+D/xf/uV91mB8/we8z4QK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KDD3EAAAA3AAAAA8AAAAAAAAAAAAAAAAAmAIAAGRycy9k&#10;b3ducmV2LnhtbFBLBQYAAAAABAAEAPUAAACJAwAAAAA=&#10;" fillcolor="white [3201]" strokecolor="black [3200]" strokeweight="1pt">
                <v:shadow color="#868686"/>
                <v:textbox style="mso-next-textbox:#Text Box 48">
                  <w:txbxContent>
                    <w:p w:rsidR="009D3B38" w:rsidRDefault="009D3B38" w:rsidP="00005EAC">
                      <w:pPr>
                        <w:jc w:val="center"/>
                        <w:rPr>
                          <w:rFonts w:cs="Times New Roman"/>
                          <w:b/>
                        </w:rPr>
                      </w:pPr>
                      <w:r>
                        <w:rPr>
                          <w:rFonts w:cs="Times New Roman"/>
                          <w:b/>
                        </w:rPr>
                        <w:t>100</w:t>
                      </w:r>
                    </w:p>
                    <w:p w:rsidR="009D3B38" w:rsidRPr="007306E0" w:rsidRDefault="009D3B38" w:rsidP="00005EAC">
                      <w:pPr>
                        <w:jc w:val="center"/>
                        <w:rPr>
                          <w:rFonts w:cs="Times New Roman"/>
                          <w:b/>
                        </w:rPr>
                      </w:pPr>
                      <w:r>
                        <w:rPr>
                          <w:rFonts w:cs="Times New Roman"/>
                          <w:b/>
                        </w:rPr>
                        <w:t>Knowledge Hub</w:t>
                      </w:r>
                    </w:p>
                    <w:p w:rsidR="009D3B38" w:rsidRPr="007306E0" w:rsidRDefault="009D3B38" w:rsidP="00005EAC">
                      <w:pPr>
                        <w:jc w:val="center"/>
                        <w:rPr>
                          <w:rFonts w:cs="Times New Roman"/>
                          <w:b/>
                        </w:rPr>
                      </w:pPr>
                      <w:r>
                        <w:rPr>
                          <w:rFonts w:cs="Times New Roman"/>
                          <w:b/>
                        </w:rPr>
                        <w:t>Management</w:t>
                      </w:r>
                    </w:p>
                    <w:p w:rsidR="009D3B38" w:rsidRDefault="009D3B38"/>
                    <w:p w:rsidR="009D3B38" w:rsidRDefault="009D3B38">
                      <w:r w:rsidRPr="00E36C48">
                        <w:rPr>
                          <w:rFonts w:cs="Times New Roman"/>
                          <w:b/>
                          <w:sz w:val="28"/>
                          <w:szCs w:val="28"/>
                        </w:rPr>
                        <w:t>User</w:t>
                      </w:r>
                    </w:p>
                  </w:txbxContent>
                </v:textbox>
              </v:shape>
              <v:shape id="Straight Arrow Connector 58" o:spid="_x0000_s1176" type="#_x0000_t32" style="position:absolute;left:19431;top:12909;width:0;height:45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C1BsMAAADcAAAADwAAAGRycy9kb3ducmV2LnhtbERPS2vCQBC+F/wPywje6sZqRaKrxGKh&#10;B6H4AK9DdsxGs7Mhu8a0v94VCr3Nx/ecxaqzlWip8aVjBaNhAoI4d7rkQsHx8Pk6A+EDssbKMSn4&#10;IQ+rZe9lgal2d95Ruw+FiCHsU1RgQqhTKX1uyKIfupo4cmfXWAwRNoXUDd5juK3kW5JMpcWSY4PB&#10;mj4M5df9zSoY/35n+YTMdd1Otofksj1tss1YqUG/y+YgAnXhX/zn/tJx/ugdns/EC+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AtQbDAAAA3AAAAA8AAAAAAAAAAAAA&#10;AAAAoQIAAGRycy9kb3ducmV2LnhtbFBLBQYAAAAABAAEAPkAAACRAwAAAAA=&#10;" strokecolor="black [3200]" strokeweight="1pt">
                <v:stroke startarrow="open" endarrow="open"/>
                <v:shadow color="#868686"/>
              </v:shape>
              <v:group id="Group 59" o:spid="_x0000_s1177" style="position:absolute;top:31197;width:37719;height:6858" coordsize="21717,1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oval id="Oval 60" o:spid="_x0000_s1178" style="position:absolute;width:21717;height:1257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g11sMA&#10;AADcAAAADwAAAGRycy9kb3ducmV2LnhtbERPS2vCQBC+C/6HZQRvZqNSW1JXkUDA0oOYCvY4ZCcP&#10;mp0N2VVjf71bKHibj+856+1gWnGl3jWWFcyjGARxYXXDlYLTVzZ7A+E8ssbWMim4k4PtZjxaY6Lt&#10;jY90zX0lQgi7BBXU3neJlK6oyaCLbEccuNL2Bn2AfSV1j7cQblq5iOOVNNhwaKixo7Sm4ie/GAWv&#10;WbFPy3xRferv88V8/KbZobwrNZ0Mu3cQngb/FP+79zrMf1nC3zPhAr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g11sMAAADcAAAADwAAAAAAAAAAAAAAAACYAgAAZHJzL2Rv&#10;d25yZXYueG1sUEsFBgAAAAAEAAQA9QAAAIgDAAAAAA==&#10;" fillcolor="white [3201]" strokecolor="black [3200]" strokeweight="1pt">
                  <v:shadow color="#868686"/>
                </v:oval>
                <v:shape id="Text Box 61" o:spid="_x0000_s1179" type="#_x0000_t202" style="position:absolute;left:3429;top:2286;width:16002;height:80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8kMYA&#10;AADcAAAADwAAAGRycy9kb3ducmV2LnhtbESPQWvCQBSE7wX/w/IEL0U3NZCE1FWkIC2ll6Qt4u2R&#10;fU2C2bchu43x33cFocdhZr5hNrvJdGKkwbWWFTytIhDEldUt1wq+Pg/LDITzyBo7y6TgSg5229nD&#10;BnNtL1zQWPpaBAi7HBU03ve5lK5qyKBb2Z44eD92MOiDHGqpB7wEuOnkOooSabDlsNBgTy8NVefy&#10;1yg41u/xh+FDqYur+U4fx+NrdoqVWsyn/TMIT5P/D9/bb1pBnCZwOxOO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8kMYAAADcAAAADwAAAAAAAAAAAAAAAACYAgAAZHJz&#10;L2Rvd25yZXYueG1sUEsFBgAAAAAEAAQA9QAAAIsDAAAAAA==&#10;" fillcolor="white [3201]" strokecolor="black [3200]" strokeweight="1pt">
                  <v:shadow color="#868686"/>
                  <v:textbox style="mso-next-textbox:#Text Box 61">
                    <w:txbxContent>
                      <w:p w:rsidR="009D3B38" w:rsidRPr="00E36C48" w:rsidRDefault="009D3B38" w:rsidP="00005EAC">
                        <w:pPr>
                          <w:jc w:val="center"/>
                          <w:rPr>
                            <w:rFonts w:cs="Times New Roman"/>
                            <w:b/>
                            <w:sz w:val="28"/>
                            <w:szCs w:val="28"/>
                          </w:rPr>
                        </w:pPr>
                        <w:r>
                          <w:rPr>
                            <w:rFonts w:cs="Times New Roman"/>
                            <w:b/>
                            <w:sz w:val="28"/>
                            <w:szCs w:val="28"/>
                          </w:rPr>
                          <w:t>U</w:t>
                        </w:r>
                        <w:r w:rsidRPr="00E36C48">
                          <w:rPr>
                            <w:rFonts w:cs="Times New Roman"/>
                            <w:b/>
                            <w:sz w:val="28"/>
                            <w:szCs w:val="28"/>
                          </w:rPr>
                          <w:t>s</w:t>
                        </w:r>
                        <w:r>
                          <w:rPr>
                            <w:rFonts w:cs="Times New Roman"/>
                            <w:b/>
                            <w:sz w:val="28"/>
                            <w:szCs w:val="28"/>
                          </w:rPr>
                          <w:t>ers</w:t>
                        </w:r>
                      </w:p>
                      <w:p w:rsidR="009D3B38" w:rsidRDefault="009D3B38"/>
                      <w:p w:rsidR="009D3B38" w:rsidRDefault="009D3B38">
                        <w:r w:rsidRPr="006A3451">
                          <w:t xml:space="preserve">Box </w:t>
                        </w:r>
                      </w:p>
                    </w:txbxContent>
                  </v:textbox>
                </v:shape>
              </v:group>
              <v:shape id="Straight Arrow Connector 62" o:spid="_x0000_s1180" type="#_x0000_t32" style="position:absolute;left:19431;top:26625;width:0;height:45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UFq8UAAADcAAAADwAAAGRycy9kb3ducmV2LnhtbESPQWvCQBSE74L/YXlCb7qxikp0lbRY&#10;6EEo1YLXR/aZjWbfhuw2pv56tyB4HGa+GWa16WwlWmp86VjBeJSAIM6dLrlQ8HP4GC5A+ICssXJM&#10;Cv7Iw2bd760w1e7K39TuQyFiCfsUFZgQ6lRKnxuy6EeuJo7eyTUWQ5RNIXWD11huK/maJDNpseS4&#10;YLCmd0P5Zf9rFUxuX1k+JXN5a6e7Q3LeHbfZdqLUy6DLliACdeEZftCfOnLzOfyfi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UFq8UAAADcAAAADwAAAAAAAAAA&#10;AAAAAAChAgAAZHJzL2Rvd25yZXYueG1sUEsFBgAAAAAEAAQA+QAAAJMDAAAAAA==&#10;" strokecolor="black [3200]" strokeweight="1pt">
                <v:stroke startarrow="open" endarrow="open"/>
                <v:shadow color="#868686"/>
              </v:shape>
            </v:group>
            <w10:anchorlock/>
          </v:group>
        </w:pict>
      </w:r>
    </w:p>
    <w:p w:rsidR="007F2F9C" w:rsidRDefault="007F2F9C" w:rsidP="00A86115">
      <w:pPr>
        <w:pStyle w:val="BodyText"/>
        <w:spacing w:after="240" w:line="276" w:lineRule="auto"/>
        <w:jc w:val="both"/>
        <w:rPr>
          <w:rFonts w:cs="Times New Roman"/>
          <w:szCs w:val="24"/>
        </w:rPr>
      </w:pPr>
    </w:p>
    <w:p w:rsidR="007F2F9C" w:rsidRDefault="007F2F9C" w:rsidP="00A86115">
      <w:pPr>
        <w:pStyle w:val="BodyText"/>
        <w:spacing w:after="240" w:line="276" w:lineRule="auto"/>
        <w:jc w:val="both"/>
        <w:rPr>
          <w:rFonts w:cs="Times New Roman"/>
          <w:szCs w:val="24"/>
        </w:rPr>
      </w:pPr>
      <w:r>
        <w:rPr>
          <w:rFonts w:cs="Times New Roman"/>
          <w:szCs w:val="24"/>
        </w:rPr>
        <w:t xml:space="preserve">There are numerous institutions generating data and information in various formats and degree of usability. However, the main interfacing and integration into the web portal – Knowledge Hub – requires a centralized clearing house (a router function) for data receiving, formatting, verification, cleaning and then uploading onto the knowledge hub server. A centralized coordinating institution needs to be identified that can sustain data management and maintenance by providing for IT specialists as well as hardware and software updates, ensuring a 24/7 access to BDP 2100 Knowledge Hub. </w:t>
      </w:r>
    </w:p>
    <w:p w:rsidR="007F2F9C" w:rsidRDefault="007F2F9C" w:rsidP="00A86115">
      <w:pPr>
        <w:pStyle w:val="BodyText"/>
        <w:spacing w:after="240" w:line="276" w:lineRule="auto"/>
        <w:jc w:val="both"/>
        <w:rPr>
          <w:rFonts w:cs="Times New Roman"/>
          <w:szCs w:val="24"/>
        </w:rPr>
      </w:pPr>
      <w:r w:rsidRPr="004B251E">
        <w:rPr>
          <w:rFonts w:cs="Times New Roman"/>
          <w:szCs w:val="24"/>
        </w:rPr>
        <w:t>The core issue is one of sustaining services of the knowledge hub and regular updating of the data and flow of newly generated information, progress, status and achievements. This is a big challenge</w:t>
      </w:r>
      <w:r w:rsidR="00AA7454">
        <w:rPr>
          <w:rFonts w:cs="Times New Roman"/>
          <w:szCs w:val="24"/>
        </w:rPr>
        <w:t>.</w:t>
      </w:r>
    </w:p>
    <w:p w:rsidR="007F2F9C" w:rsidRPr="004B251E" w:rsidRDefault="007F2F9C" w:rsidP="00A86115">
      <w:pPr>
        <w:pStyle w:val="BodyText"/>
        <w:spacing w:after="240" w:line="276" w:lineRule="auto"/>
        <w:jc w:val="both"/>
        <w:rPr>
          <w:rFonts w:cs="Times New Roman"/>
          <w:szCs w:val="24"/>
        </w:rPr>
      </w:pPr>
      <w:r w:rsidRPr="004B251E">
        <w:rPr>
          <w:rFonts w:cs="Times New Roman"/>
          <w:szCs w:val="24"/>
        </w:rPr>
        <w:t xml:space="preserve">Due to lack of required IT professionals as well as IT infrastructure, it would be very difficult for General Economic Division (GED) to maintain the portal after the end of funding under </w:t>
      </w:r>
      <w:r>
        <w:rPr>
          <w:rFonts w:cs="Times New Roman"/>
          <w:szCs w:val="24"/>
        </w:rPr>
        <w:t xml:space="preserve">a </w:t>
      </w:r>
      <w:r w:rsidRPr="004B251E">
        <w:rPr>
          <w:rFonts w:cs="Times New Roman"/>
          <w:szCs w:val="24"/>
        </w:rPr>
        <w:t>BDP 2100 project. The Bangladesh Computer Council (BCC) under the Ministry of Posts, Telecommunications and Information Technology, provides supports to ICT related activities to different government organizations. It has established a National Data Center for hosting all the government websites, knowledge portals, e-mail services and web applications. This could be a likely candidate for hosting the knowledge hub. However, CEGIS has been in the forefront of providing spatial information and assisting in identifying hotspots; it has established MOUs with several government departments and receiving data</w:t>
      </w:r>
      <w:r>
        <w:rPr>
          <w:rFonts w:cs="Times New Roman"/>
          <w:szCs w:val="24"/>
        </w:rPr>
        <w:t xml:space="preserve">. Both the BCC and CEGIS are directly under the supervision of government. </w:t>
      </w:r>
      <w:r w:rsidRPr="004B251E">
        <w:rPr>
          <w:rFonts w:cs="Times New Roman"/>
          <w:szCs w:val="24"/>
        </w:rPr>
        <w:t xml:space="preserve">However, it might be possible to consider a </w:t>
      </w:r>
      <w:r w:rsidR="000B096E">
        <w:t>public</w:t>
      </w:r>
      <w:r w:rsidRPr="004B251E">
        <w:rPr>
          <w:rFonts w:cs="Times New Roman"/>
          <w:szCs w:val="24"/>
        </w:rPr>
        <w:t xml:space="preserve">-private partnership to host the BDP 2100 knowledge hub; </w:t>
      </w:r>
      <w:r>
        <w:rPr>
          <w:rFonts w:cs="Times New Roman"/>
          <w:szCs w:val="24"/>
        </w:rPr>
        <w:t xml:space="preserve">a </w:t>
      </w:r>
      <w:r w:rsidR="000B096E">
        <w:t>public</w:t>
      </w:r>
      <w:r>
        <w:rPr>
          <w:rFonts w:cs="Times New Roman"/>
          <w:szCs w:val="24"/>
        </w:rPr>
        <w:t xml:space="preserve">-private trust mechanism, </w:t>
      </w:r>
      <w:r w:rsidRPr="004B251E">
        <w:rPr>
          <w:rFonts w:cs="Times New Roman"/>
          <w:szCs w:val="24"/>
        </w:rPr>
        <w:t>similar to the trust mechanism overseeing CEGIS</w:t>
      </w:r>
      <w:r>
        <w:rPr>
          <w:rFonts w:cs="Times New Roman"/>
          <w:szCs w:val="24"/>
        </w:rPr>
        <w:t xml:space="preserve">, but </w:t>
      </w:r>
      <w:r w:rsidRPr="004B251E">
        <w:rPr>
          <w:rFonts w:cs="Times New Roman"/>
          <w:szCs w:val="24"/>
        </w:rPr>
        <w:t xml:space="preserve">governed by a </w:t>
      </w:r>
      <w:r w:rsidR="000B096E">
        <w:t>public</w:t>
      </w:r>
      <w:r w:rsidRPr="004B251E">
        <w:rPr>
          <w:rFonts w:cs="Times New Roman"/>
          <w:szCs w:val="24"/>
        </w:rPr>
        <w:t xml:space="preserve">-private partnership modality </w:t>
      </w:r>
      <w:r>
        <w:rPr>
          <w:rFonts w:cs="Times New Roman"/>
          <w:szCs w:val="24"/>
        </w:rPr>
        <w:t xml:space="preserve">could be set up </w:t>
      </w:r>
      <w:r w:rsidRPr="004B251E">
        <w:rPr>
          <w:rFonts w:cs="Times New Roman"/>
          <w:szCs w:val="24"/>
        </w:rPr>
        <w:t xml:space="preserve">to underline the importance of collaboration among </w:t>
      </w:r>
      <w:r w:rsidR="000B096E">
        <w:t xml:space="preserve">public </w:t>
      </w:r>
      <w:r w:rsidRPr="004B251E">
        <w:rPr>
          <w:rFonts w:cs="Times New Roman"/>
          <w:szCs w:val="24"/>
        </w:rPr>
        <w:t xml:space="preserve">and private sectors, including civil societies to maintain a sustainable BDP knowledge hub that is well funded in the long term operating on a not-for-profit basis. </w:t>
      </w:r>
    </w:p>
    <w:p w:rsidR="007F2F9C" w:rsidRDefault="007F2F9C" w:rsidP="00A86115">
      <w:pPr>
        <w:pStyle w:val="BodyText"/>
        <w:spacing w:after="240" w:line="276" w:lineRule="auto"/>
        <w:jc w:val="both"/>
        <w:rPr>
          <w:rFonts w:cs="Times New Roman"/>
          <w:szCs w:val="24"/>
        </w:rPr>
      </w:pPr>
      <w:r>
        <w:rPr>
          <w:rFonts w:cs="Times New Roman"/>
          <w:szCs w:val="24"/>
        </w:rPr>
        <w:t xml:space="preserve">The </w:t>
      </w:r>
      <w:r w:rsidR="000B096E">
        <w:t>public</w:t>
      </w:r>
      <w:r>
        <w:rPr>
          <w:rFonts w:cs="Times New Roman"/>
          <w:szCs w:val="24"/>
        </w:rPr>
        <w:t xml:space="preserve">-private-trust mechanism could be supported initially for ten years with funds from BDP 2100 investment programme. </w:t>
      </w:r>
      <w:r w:rsidRPr="004844BD">
        <w:rPr>
          <w:rFonts w:cs="Times New Roman"/>
          <w:szCs w:val="24"/>
        </w:rPr>
        <w:t>A percentage of funds from Delta Programme Projects during BDP implementation could be dedicated to operating the single-window Delta knowledge hub. For sustainable financing the following could be considered:  Some data could be downloaded at cost; similarly usage of specialized information on a downloadable smart phone App could be at a subscription fee channeled through telco service providers (Taka 1 per download). Similarly, a nominal fuel sale levy at gas stations (1 Taka per sale receipt) could be tapped for funding the knowledge hub; a fossil fuel emissions are a contributory cause to increasing climate change impacts this kind of a levy is well justified.</w:t>
      </w:r>
    </w:p>
    <w:p w:rsidR="000D4E58" w:rsidRDefault="007F2F9C" w:rsidP="00ED3FC6">
      <w:pPr>
        <w:pStyle w:val="BodyText"/>
        <w:spacing w:after="0" w:line="276" w:lineRule="auto"/>
        <w:jc w:val="both"/>
        <w:rPr>
          <w:rFonts w:cs="Times New Roman"/>
          <w:szCs w:val="24"/>
        </w:rPr>
      </w:pPr>
      <w:r>
        <w:rPr>
          <w:rFonts w:cs="Times New Roman"/>
          <w:szCs w:val="24"/>
        </w:rPr>
        <w:t xml:space="preserve">As data categories are built up, distinction can be made between data that is freely available and data that can be purchased by </w:t>
      </w:r>
      <w:r w:rsidR="000B096E">
        <w:t xml:space="preserve">public </w:t>
      </w:r>
      <w:r>
        <w:rPr>
          <w:rFonts w:cs="Times New Roman"/>
          <w:szCs w:val="24"/>
        </w:rPr>
        <w:t xml:space="preserve">and private sector agencies (e.g. data required for infrastructure development, risk assessment of flooding and other extreme events, land reclamation, engineering data etc). Revenue can be shared between the data owners (those providing the data) and the knowledge hub managers (the </w:t>
      </w:r>
      <w:r w:rsidR="000B096E">
        <w:t>public</w:t>
      </w:r>
      <w:r>
        <w:rPr>
          <w:rFonts w:cs="Times New Roman"/>
          <w:szCs w:val="24"/>
        </w:rPr>
        <w:t xml:space="preserve">-private trust). The use of apps could also be made at a nominal monthly subscription that will allow revenue to be generated for operations of the knowledge hub. By the end of 10 years, a review could be undertaken to take a decision on whether to continue the model and on what terms this should be done. It is imperative that the </w:t>
      </w:r>
      <w:r w:rsidR="000B096E">
        <w:t>public</w:t>
      </w:r>
      <w:r>
        <w:rPr>
          <w:rFonts w:cs="Times New Roman"/>
          <w:szCs w:val="24"/>
        </w:rPr>
        <w:t xml:space="preserve"> sector retains a stake in the knowledge hub as part of its </w:t>
      </w:r>
      <w:r w:rsidR="000B096E">
        <w:t>public</w:t>
      </w:r>
      <w:r>
        <w:rPr>
          <w:rFonts w:cs="Times New Roman"/>
          <w:szCs w:val="24"/>
        </w:rPr>
        <w:t xml:space="preserve"> fiduciary responsibility to provide accurate information for and on development, risk avoidance and risk mitigation promoting a safe and sec</w:t>
      </w:r>
      <w:r w:rsidR="00ED3FC6">
        <w:rPr>
          <w:rFonts w:cs="Times New Roman"/>
          <w:szCs w:val="24"/>
        </w:rPr>
        <w:t>ure living environment for all.</w:t>
      </w:r>
    </w:p>
    <w:p w:rsidR="00ED3FC6" w:rsidRPr="00ED3FC6" w:rsidRDefault="00ED3FC6" w:rsidP="00ED3FC6">
      <w:pPr>
        <w:pStyle w:val="BodyText"/>
        <w:spacing w:after="0" w:line="276" w:lineRule="auto"/>
        <w:jc w:val="both"/>
        <w:rPr>
          <w:rFonts w:cs="Times New Roman"/>
          <w:szCs w:val="24"/>
        </w:rPr>
      </w:pPr>
    </w:p>
    <w:p w:rsidR="00F64A6A" w:rsidRDefault="007F2F9C" w:rsidP="00F64A6A">
      <w:pPr>
        <w:pStyle w:val="Heading2"/>
        <w:numPr>
          <w:ilvl w:val="0"/>
          <w:numId w:val="0"/>
        </w:numPr>
        <w:ind w:left="1080"/>
      </w:pPr>
      <w:bookmarkStart w:id="964" w:name="_Toc474638964"/>
      <w:r>
        <w:t>Data Access Policy</w:t>
      </w:r>
      <w:bookmarkEnd w:id="964"/>
      <w:r>
        <w:t xml:space="preserve"> </w:t>
      </w:r>
    </w:p>
    <w:p w:rsidR="00867B3D" w:rsidRPr="00D430B2" w:rsidRDefault="007F2F9C" w:rsidP="00D430B2">
      <w:pPr>
        <w:pStyle w:val="BodyText"/>
        <w:spacing w:after="240" w:line="276" w:lineRule="auto"/>
        <w:jc w:val="both"/>
        <w:rPr>
          <w:rFonts w:cs="Times New Roman"/>
          <w:szCs w:val="24"/>
        </w:rPr>
      </w:pPr>
      <w:r>
        <w:rPr>
          <w:rFonts w:cs="Times New Roman"/>
          <w:szCs w:val="24"/>
        </w:rPr>
        <w:t xml:space="preserve">Currently baseline studies and data have been generated in the preparatory phase of the BDP 2100. The studies conducted and data collected can be uploaded for open and free access categorized by thematic groups. The restricted data and information is envisaged to overcome data sharing fears and objections (categorizing some under restrictive access but allowing authenticated users access to the data); each institution generating and holding data can choose to provide data as per categories. However, open access to information about the BDP 2100 implementation would be a beneficial, </w:t>
      </w:r>
      <w:r w:rsidR="00D15D32">
        <w:rPr>
          <w:rFonts w:cs="Times New Roman"/>
          <w:szCs w:val="24"/>
        </w:rPr>
        <w:t>long-term vision to strive for.</w:t>
      </w:r>
    </w:p>
    <w:p w:rsidR="007F2F9C" w:rsidRPr="00A21639" w:rsidRDefault="007F2F9C" w:rsidP="00FD7FD3">
      <w:pPr>
        <w:pStyle w:val="Heading5"/>
      </w:pPr>
      <w:bookmarkStart w:id="965" w:name="_Toc474639233"/>
      <w:r w:rsidRPr="00A21639">
        <w:t xml:space="preserve">Figure </w:t>
      </w:r>
      <w:r w:rsidR="003368EF">
        <w:t>14.</w:t>
      </w:r>
      <w:r w:rsidR="002126ED">
        <w:t>5</w:t>
      </w:r>
      <w:r w:rsidRPr="00A21639">
        <w:t>: Data Access Categories</w:t>
      </w:r>
      <w:bookmarkEnd w:id="965"/>
    </w:p>
    <w:p w:rsidR="007F2F9C" w:rsidRDefault="007F2F9C" w:rsidP="00005EAC">
      <w:pPr>
        <w:pStyle w:val="BodyText"/>
        <w:spacing w:after="0" w:line="240" w:lineRule="auto"/>
        <w:jc w:val="center"/>
        <w:rPr>
          <w:rFonts w:cs="Times New Roman"/>
          <w:szCs w:val="24"/>
        </w:rPr>
      </w:pPr>
      <w:r>
        <w:rPr>
          <w:rFonts w:ascii="Segoe UI" w:hAnsi="Segoe UI" w:cs="Segoe UI"/>
          <w:noProof/>
          <w:lang w:val="en-AU" w:eastAsia="en-AU" w:bidi="bn-BD"/>
        </w:rPr>
        <w:drawing>
          <wp:inline distT="0" distB="0" distL="0" distR="0">
            <wp:extent cx="4531360" cy="2722880"/>
            <wp:effectExtent l="19050" t="0" r="21590" b="1270"/>
            <wp:docPr id="5"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5" r:lo="rId226" r:qs="rId227" r:cs="rId228"/>
              </a:graphicData>
            </a:graphic>
          </wp:inline>
        </w:drawing>
      </w:r>
    </w:p>
    <w:p w:rsidR="007F2F9C" w:rsidRPr="00A21639" w:rsidRDefault="007F2F9C" w:rsidP="00C84BF5">
      <w:pPr>
        <w:spacing w:before="120" w:line="240" w:lineRule="auto"/>
        <w:rPr>
          <w:rFonts w:cs="Times New Roman"/>
          <w:b/>
          <w:bCs/>
          <w:i/>
          <w:iCs/>
          <w:sz w:val="20"/>
          <w:szCs w:val="20"/>
        </w:rPr>
      </w:pPr>
      <w:r w:rsidRPr="00A21639">
        <w:rPr>
          <w:rFonts w:cs="Times New Roman"/>
          <w:b/>
          <w:bCs/>
          <w:i/>
          <w:iCs/>
          <w:sz w:val="20"/>
          <w:szCs w:val="20"/>
        </w:rPr>
        <w:t xml:space="preserve"> Source:  Bangladesh Delta Plan 2100, Baseline Study. Information and Knowledge Management, 2015</w:t>
      </w:r>
    </w:p>
    <w:p w:rsidR="00ED3FC6" w:rsidRDefault="007F2F9C" w:rsidP="00ED3FC6">
      <w:pPr>
        <w:pStyle w:val="BodyText"/>
        <w:spacing w:after="240" w:line="276" w:lineRule="auto"/>
        <w:jc w:val="both"/>
        <w:rPr>
          <w:rFonts w:cs="Times New Roman"/>
          <w:szCs w:val="24"/>
        </w:rPr>
      </w:pPr>
      <w:r>
        <w:rPr>
          <w:rFonts w:cs="Times New Roman"/>
          <w:szCs w:val="24"/>
        </w:rPr>
        <w:t xml:space="preserve">The data access policy on the BDP 2100 web portal can be categorized into three types: i) open data, including news items, calendars, events that are freely available in the </w:t>
      </w:r>
      <w:r w:rsidR="000B096E">
        <w:t>public</w:t>
      </w:r>
      <w:r>
        <w:rPr>
          <w:rFonts w:cs="Times New Roman"/>
          <w:szCs w:val="24"/>
        </w:rPr>
        <w:t xml:space="preserve"> domain and which are not validated by the BDP 2100 implementation group; ii) free but validated data is open to all to access without authentication; this category includes statistics, spatial information, interactive maps etc., which have been validated by the BDP 2100 implementers and which are made available for consumption by the general </w:t>
      </w:r>
      <w:r w:rsidR="000B096E">
        <w:t>public</w:t>
      </w:r>
      <w:r>
        <w:rPr>
          <w:rFonts w:cs="Times New Roman"/>
          <w:szCs w:val="24"/>
        </w:rPr>
        <w:t xml:space="preserve">; iii) restricted data is information, which is validated by the BDP 2100 implementers, could be copyright protected, or made available at a fee or charge, and to which access is granted through an authenticated login. In this context, authentication could differentiate between intranet (implementer) users and registered users from the general </w:t>
      </w:r>
      <w:r w:rsidR="00B57B81">
        <w:rPr>
          <w:rFonts w:cs="Times New Roman"/>
          <w:szCs w:val="24"/>
        </w:rPr>
        <w:t>canals</w:t>
      </w:r>
      <w:r>
        <w:rPr>
          <w:rFonts w:cs="Times New Roman"/>
          <w:szCs w:val="24"/>
        </w:rPr>
        <w:t xml:space="preserve"> with authenticated login rig</w:t>
      </w:r>
      <w:r w:rsidR="009D1C23">
        <w:rPr>
          <w:rFonts w:cs="Times New Roman"/>
          <w:szCs w:val="24"/>
        </w:rPr>
        <w:t xml:space="preserve">hts. </w:t>
      </w:r>
    </w:p>
    <w:p w:rsidR="00F64A6A" w:rsidRDefault="007F2F9C" w:rsidP="00F64A6A">
      <w:pPr>
        <w:pStyle w:val="Heading2"/>
        <w:numPr>
          <w:ilvl w:val="0"/>
          <w:numId w:val="0"/>
        </w:numPr>
        <w:ind w:left="1080"/>
      </w:pPr>
      <w:bookmarkStart w:id="966" w:name="_Toc474638965"/>
      <w:r>
        <w:t>Data Standards and Knowledge Hub Hosting</w:t>
      </w:r>
      <w:bookmarkEnd w:id="966"/>
    </w:p>
    <w:p w:rsidR="007F2F9C" w:rsidRDefault="007F2F9C" w:rsidP="00A86115">
      <w:pPr>
        <w:pStyle w:val="BodyText"/>
        <w:spacing w:after="240" w:line="276" w:lineRule="auto"/>
        <w:jc w:val="both"/>
        <w:rPr>
          <w:rFonts w:cs="Times New Roman"/>
          <w:szCs w:val="24"/>
        </w:rPr>
      </w:pPr>
      <w:r w:rsidRPr="008E58CA">
        <w:rPr>
          <w:rFonts w:cs="Times New Roman"/>
          <w:szCs w:val="24"/>
        </w:rPr>
        <w:t xml:space="preserve">For the structured development of the baseline data layer and to safeguard the quality of the system, an ISO-standard could be used: the OAIS-model (Open Archival Information System). This model describes the way information is preserved and made available to designated user groups. The model takes the maintenance of the information into account, including the impacts of changing technologies, support for new media and data formats and a changing user community. The model sets the standard for the activities that are involved in preserving a digital archive and its development towards a </w:t>
      </w:r>
      <w:r>
        <w:rPr>
          <w:rFonts w:cs="Times New Roman"/>
          <w:szCs w:val="24"/>
        </w:rPr>
        <w:t>reliable (</w:t>
      </w:r>
      <w:r w:rsidRPr="008E58CA">
        <w:rPr>
          <w:rFonts w:cs="Times New Roman"/>
          <w:szCs w:val="24"/>
        </w:rPr>
        <w:t>trust</w:t>
      </w:r>
      <w:r>
        <w:rPr>
          <w:rFonts w:cs="Times New Roman"/>
          <w:szCs w:val="24"/>
        </w:rPr>
        <w:t xml:space="preserve">ed) </w:t>
      </w:r>
      <w:r w:rsidRPr="008E58CA">
        <w:rPr>
          <w:rFonts w:cs="Times New Roman"/>
          <w:szCs w:val="24"/>
        </w:rPr>
        <w:t xml:space="preserve">repository that can be used as a base for policy </w:t>
      </w:r>
      <w:r w:rsidR="00065D01" w:rsidRPr="008E58CA">
        <w:rPr>
          <w:rFonts w:cs="Times New Roman"/>
          <w:szCs w:val="24"/>
        </w:rPr>
        <w:t>formulation. The</w:t>
      </w:r>
      <w:r w:rsidRPr="008E58CA">
        <w:rPr>
          <w:rFonts w:cs="Times New Roman"/>
          <w:szCs w:val="24"/>
        </w:rPr>
        <w:t xml:space="preserve"> functionalities of the model not only cover the delivery of the data and information (terms of delivery, metadata structure, standard layout for spatial data (maps, drawings), selection and value assessment of delivered data), but also the access and dissemination of the data, h</w:t>
      </w:r>
      <w:r>
        <w:rPr>
          <w:rFonts w:cs="Times New Roman"/>
          <w:szCs w:val="24"/>
        </w:rPr>
        <w:t xml:space="preserve">ereby using a layered structure. </w:t>
      </w:r>
      <w:r w:rsidRPr="008E58CA">
        <w:rPr>
          <w:rFonts w:cs="Times New Roman"/>
          <w:szCs w:val="24"/>
        </w:rPr>
        <w:t>This structure encompasses several principles:</w:t>
      </w:r>
    </w:p>
    <w:p w:rsidR="007F2F9C" w:rsidRPr="008E58CA" w:rsidRDefault="007F2F9C" w:rsidP="003D5A31">
      <w:pPr>
        <w:pStyle w:val="BodyText"/>
        <w:numPr>
          <w:ilvl w:val="0"/>
          <w:numId w:val="104"/>
        </w:numPr>
        <w:spacing w:after="240" w:line="276" w:lineRule="auto"/>
        <w:contextualSpacing/>
        <w:jc w:val="both"/>
        <w:rPr>
          <w:rFonts w:cs="Times New Roman"/>
          <w:szCs w:val="24"/>
        </w:rPr>
      </w:pPr>
      <w:r w:rsidRPr="008E58CA">
        <w:rPr>
          <w:rFonts w:cs="Times New Roman"/>
          <w:szCs w:val="24"/>
        </w:rPr>
        <w:t>No data will be stored wit</w:t>
      </w:r>
      <w:r>
        <w:rPr>
          <w:rFonts w:cs="Times New Roman"/>
          <w:szCs w:val="24"/>
        </w:rPr>
        <w:t>hout basic metadata description.</w:t>
      </w:r>
    </w:p>
    <w:p w:rsidR="001752F1" w:rsidRDefault="007F2F9C" w:rsidP="003D5A31">
      <w:pPr>
        <w:pStyle w:val="BodyText"/>
        <w:numPr>
          <w:ilvl w:val="0"/>
          <w:numId w:val="104"/>
        </w:numPr>
        <w:spacing w:after="240" w:line="276" w:lineRule="auto"/>
        <w:contextualSpacing/>
        <w:jc w:val="both"/>
        <w:rPr>
          <w:rFonts w:cs="Times New Roman"/>
          <w:szCs w:val="24"/>
        </w:rPr>
      </w:pPr>
      <w:r w:rsidRPr="001752F1">
        <w:rPr>
          <w:rFonts w:cs="Times New Roman"/>
          <w:szCs w:val="24"/>
        </w:rPr>
        <w:t>The quality, integrity and validity of the data are safeguarded.</w:t>
      </w:r>
    </w:p>
    <w:p w:rsidR="001752F1" w:rsidRDefault="007F2F9C" w:rsidP="003D5A31">
      <w:pPr>
        <w:pStyle w:val="BodyText"/>
        <w:numPr>
          <w:ilvl w:val="0"/>
          <w:numId w:val="104"/>
        </w:numPr>
        <w:spacing w:after="240" w:line="276" w:lineRule="auto"/>
        <w:contextualSpacing/>
        <w:jc w:val="both"/>
        <w:rPr>
          <w:rFonts w:cs="Times New Roman"/>
          <w:szCs w:val="24"/>
        </w:rPr>
      </w:pPr>
      <w:r w:rsidRPr="001752F1">
        <w:rPr>
          <w:rFonts w:cs="Times New Roman"/>
          <w:szCs w:val="24"/>
        </w:rPr>
        <w:t>It enables an access policy to ensure correct (re)use of the data; and</w:t>
      </w:r>
    </w:p>
    <w:p w:rsidR="007F2F9C" w:rsidRPr="001752F1" w:rsidRDefault="007F2F9C" w:rsidP="003D5A31">
      <w:pPr>
        <w:pStyle w:val="BodyText"/>
        <w:numPr>
          <w:ilvl w:val="0"/>
          <w:numId w:val="104"/>
        </w:numPr>
        <w:spacing w:after="240" w:line="276" w:lineRule="auto"/>
        <w:jc w:val="both"/>
        <w:rPr>
          <w:rFonts w:cs="Times New Roman"/>
          <w:szCs w:val="24"/>
        </w:rPr>
      </w:pPr>
      <w:r w:rsidRPr="001752F1">
        <w:rPr>
          <w:rFonts w:cs="Times New Roman"/>
          <w:szCs w:val="24"/>
        </w:rPr>
        <w:t>It makes possible to address different levels of data users.</w:t>
      </w:r>
    </w:p>
    <w:p w:rsidR="007F2F9C" w:rsidRDefault="007F2F9C" w:rsidP="00A86115">
      <w:pPr>
        <w:pStyle w:val="BodyText"/>
        <w:spacing w:after="240" w:line="276" w:lineRule="auto"/>
        <w:jc w:val="both"/>
        <w:rPr>
          <w:rFonts w:cs="Times New Roman"/>
          <w:szCs w:val="24"/>
        </w:rPr>
      </w:pPr>
      <w:r>
        <w:rPr>
          <w:rFonts w:cs="Times New Roman"/>
          <w:szCs w:val="24"/>
        </w:rPr>
        <w:t>D</w:t>
      </w:r>
      <w:r w:rsidRPr="008E58CA">
        <w:rPr>
          <w:rFonts w:cs="Times New Roman"/>
          <w:szCs w:val="24"/>
        </w:rPr>
        <w:t xml:space="preserve">ata or information that are not sensitive or restricted will be incorporated into </w:t>
      </w:r>
      <w:r>
        <w:rPr>
          <w:rFonts w:cs="Times New Roman"/>
          <w:szCs w:val="24"/>
        </w:rPr>
        <w:t xml:space="preserve">free access area of </w:t>
      </w:r>
      <w:r w:rsidRPr="008E58CA">
        <w:rPr>
          <w:rFonts w:cs="Times New Roman"/>
          <w:szCs w:val="24"/>
        </w:rPr>
        <w:t xml:space="preserve">the </w:t>
      </w:r>
      <w:r>
        <w:rPr>
          <w:rFonts w:cs="Times New Roman"/>
          <w:szCs w:val="24"/>
        </w:rPr>
        <w:t>Knowledge Portal</w:t>
      </w:r>
      <w:r w:rsidRPr="008E58CA">
        <w:rPr>
          <w:rFonts w:cs="Times New Roman"/>
          <w:szCs w:val="24"/>
        </w:rPr>
        <w:t xml:space="preserve">. No sensitive data will be made available in the </w:t>
      </w:r>
      <w:r>
        <w:rPr>
          <w:rFonts w:cs="Times New Roman"/>
          <w:szCs w:val="24"/>
        </w:rPr>
        <w:t xml:space="preserve">open </w:t>
      </w:r>
      <w:r w:rsidRPr="008E58CA">
        <w:rPr>
          <w:rFonts w:cs="Times New Roman"/>
          <w:szCs w:val="24"/>
        </w:rPr>
        <w:t xml:space="preserve">knowledge repository. The quality of the data will be ensured before uploading. A relational database will be used to develop the physical database. To avoid data redundancy and inconsistency, the database will be normalized and a number of tables will be used to store information.  Parent-child relationship will be implemented between tables to maintain data relationships and the referential integrity will be implemented for maintaining the data integrity. The referential integrity will ensure that, no data could be entered in the child tables without entering corresponding data in the parent table. Each table will maintain a primary key, which will uniquely identify each record in the table to reduce the chances of data duplication. Spatial data that already have been generated are stored in geo-server for using in touch table application. These data will be directly used from the geo-server. If any technical problem arises, then spatial data will be stored </w:t>
      </w:r>
      <w:r>
        <w:rPr>
          <w:rFonts w:cs="Times New Roman"/>
          <w:szCs w:val="24"/>
        </w:rPr>
        <w:t>on a hard disk in a hierarchical f</w:t>
      </w:r>
      <w:r w:rsidRPr="008E58CA">
        <w:rPr>
          <w:rFonts w:cs="Times New Roman"/>
          <w:szCs w:val="24"/>
        </w:rPr>
        <w:t>ile/folder system. The location of these data layer</w:t>
      </w:r>
      <w:r>
        <w:rPr>
          <w:rFonts w:cs="Times New Roman"/>
          <w:szCs w:val="24"/>
        </w:rPr>
        <w:t>s will be kept in</w:t>
      </w:r>
      <w:r w:rsidRPr="008E58CA">
        <w:rPr>
          <w:rFonts w:cs="Times New Roman"/>
          <w:szCs w:val="24"/>
        </w:rPr>
        <w:t xml:space="preserve"> the </w:t>
      </w:r>
      <w:r w:rsidR="00065D01" w:rsidRPr="008E58CA">
        <w:rPr>
          <w:rFonts w:cs="Times New Roman"/>
          <w:szCs w:val="24"/>
        </w:rPr>
        <w:t>database.</w:t>
      </w:r>
      <w:r w:rsidR="00065D01" w:rsidRPr="0002162B">
        <w:rPr>
          <w:rFonts w:cs="Times New Roman"/>
          <w:szCs w:val="24"/>
        </w:rPr>
        <w:t xml:space="preserve"> In</w:t>
      </w:r>
      <w:r w:rsidRPr="0002162B">
        <w:rPr>
          <w:rFonts w:cs="Times New Roman"/>
          <w:szCs w:val="24"/>
        </w:rPr>
        <w:t xml:space="preserve"> order to sort and query data easily and efficiently, all data will be categorized into different data groups. Each data group will be further classified into different data type. Each data type will contain several data layers. </w:t>
      </w:r>
      <w:r w:rsidRPr="00F12DE0">
        <w:rPr>
          <w:rFonts w:cs="Times New Roman"/>
          <w:szCs w:val="24"/>
        </w:rPr>
        <w:t>Relevant studies, articles and other background material used during the analyses and formulation of the plan will also be placed in the knowledge repository. The quality of the deliverables that are produced by the project will depend completely on the availa</w:t>
      </w:r>
      <w:r>
        <w:rPr>
          <w:rFonts w:cs="Times New Roman"/>
          <w:szCs w:val="24"/>
        </w:rPr>
        <w:t>bility of validated, reliable</w:t>
      </w:r>
      <w:r w:rsidRPr="00F12DE0">
        <w:rPr>
          <w:rFonts w:cs="Times New Roman"/>
          <w:szCs w:val="24"/>
        </w:rPr>
        <w:t xml:space="preserve"> data and information. </w:t>
      </w:r>
    </w:p>
    <w:p w:rsidR="007F2F9C" w:rsidRDefault="007F2F9C" w:rsidP="00A86115">
      <w:pPr>
        <w:pStyle w:val="BodyText"/>
        <w:spacing w:after="240" w:line="276" w:lineRule="auto"/>
        <w:jc w:val="both"/>
        <w:rPr>
          <w:rFonts w:cs="Times New Roman"/>
          <w:szCs w:val="24"/>
        </w:rPr>
      </w:pPr>
      <w:r w:rsidRPr="009D3D14">
        <w:rPr>
          <w:rFonts w:cs="Times New Roman"/>
          <w:szCs w:val="24"/>
        </w:rPr>
        <w:t>Data and information on the Bangladesh Delta is available at different scales and from multiple sectors. The knowledge portal will accumulate all the generated knowledge, integrating the multi-sectoral issues covering spatial scales and spatial dimensions. Data will be processed to produce information aggregated and summarized according to clusters and themes. Integrated and cross-sectoral analysis of the available data and information will help generate knowledge including new scenarios for future perspective. Users using the intranet (implementer) platform within the BDP 2100 portal with authenticated login rights can conduct participatory planning, reviews and share and exchange information during Plan implementation; responsible project officers from implementing agencies can upload their M&amp;E reports at regular intervals, which can be read by legislators, policy and decision makers and senior management of implementing agencies.</w:t>
      </w:r>
    </w:p>
    <w:p w:rsidR="00F64A6A" w:rsidRDefault="007F2F9C" w:rsidP="00F64A6A">
      <w:pPr>
        <w:pStyle w:val="Heading2"/>
        <w:numPr>
          <w:ilvl w:val="0"/>
          <w:numId w:val="0"/>
        </w:numPr>
        <w:ind w:left="1080"/>
      </w:pPr>
      <w:bookmarkStart w:id="967" w:name="_Toc474638966"/>
      <w:r>
        <w:t>Monitoring and Evaluation (M&amp;E)</w:t>
      </w:r>
      <w:bookmarkEnd w:id="967"/>
      <w:r>
        <w:t xml:space="preserve"> </w:t>
      </w:r>
    </w:p>
    <w:p w:rsidR="007F2F9C" w:rsidRDefault="007F2F9C" w:rsidP="00F634CD">
      <w:pPr>
        <w:pStyle w:val="BodyText"/>
        <w:spacing w:after="240" w:line="271" w:lineRule="auto"/>
        <w:jc w:val="both"/>
        <w:rPr>
          <w:rFonts w:cs="Times New Roman"/>
          <w:szCs w:val="24"/>
        </w:rPr>
      </w:pPr>
      <w:r>
        <w:rPr>
          <w:rFonts w:cs="Times New Roman"/>
          <w:szCs w:val="24"/>
        </w:rPr>
        <w:t>The knowledge portal will be particularly useful for tracking projects undertaken under BDP 2100 implementation, such as objectives, indicators to be achieved, budgets allocated, disbursed amounts, physical and financial progress – in short – an M&amp;E of the overall Plan and Vision 2100. This will contribute to transparency, a better learning environment, and peer pressure among stakeholder implementers to improve performance. Standard formats could be used for reporting by all project implementers under BDP 2100 implementation to report on and enable the knowledge portal to upload and disseminate these reports. Detailed data requirements for</w:t>
      </w:r>
      <w:r w:rsidR="000F5493">
        <w:rPr>
          <w:rFonts w:cs="Times New Roman"/>
          <w:szCs w:val="24"/>
        </w:rPr>
        <w:t xml:space="preserve"> M&amp;E are discussed in Chapter 13</w:t>
      </w:r>
      <w:r>
        <w:rPr>
          <w:rFonts w:cs="Times New Roman"/>
          <w:szCs w:val="24"/>
        </w:rPr>
        <w:t>.</w:t>
      </w:r>
    </w:p>
    <w:p w:rsidR="004A28FA" w:rsidRDefault="007F2F9C" w:rsidP="00F634CD">
      <w:pPr>
        <w:pStyle w:val="BodyText"/>
        <w:spacing w:after="240" w:line="271" w:lineRule="auto"/>
        <w:jc w:val="both"/>
        <w:rPr>
          <w:rFonts w:cs="Times New Roman"/>
          <w:szCs w:val="24"/>
        </w:rPr>
      </w:pPr>
      <w:r>
        <w:rPr>
          <w:rFonts w:cs="Times New Roman"/>
          <w:szCs w:val="24"/>
        </w:rPr>
        <w:t xml:space="preserve">This kind of monitoring format and reporting could be particularly well visualized through mobile smart phone apps. The updates could be flagged as they are uploaded in the portal and automatically downloaded by app subscribers. This will be a useful and transparent way of information dissemination to all stakeholders (in </w:t>
      </w:r>
      <w:r w:rsidR="004A28FA">
        <w:rPr>
          <w:rFonts w:cs="Times New Roman"/>
          <w:szCs w:val="24"/>
        </w:rPr>
        <w:t xml:space="preserve">English and Bangla languages). </w:t>
      </w:r>
    </w:p>
    <w:p w:rsidR="00F64A6A" w:rsidRDefault="007F2F9C" w:rsidP="00F64A6A">
      <w:pPr>
        <w:pStyle w:val="Heading2"/>
        <w:numPr>
          <w:ilvl w:val="0"/>
          <w:numId w:val="0"/>
        </w:numPr>
        <w:ind w:left="1080"/>
      </w:pPr>
      <w:bookmarkStart w:id="968" w:name="_Toc474638967"/>
      <w:r w:rsidRPr="00A21639">
        <w:t>Knowledge Hub Usage and Usefulness</w:t>
      </w:r>
      <w:bookmarkEnd w:id="968"/>
    </w:p>
    <w:p w:rsidR="007F2F9C" w:rsidRDefault="007F2F9C" w:rsidP="00F634CD">
      <w:pPr>
        <w:pStyle w:val="BodyText"/>
        <w:spacing w:after="240" w:line="271" w:lineRule="auto"/>
        <w:jc w:val="both"/>
        <w:rPr>
          <w:rFonts w:cs="Times New Roman"/>
          <w:szCs w:val="24"/>
        </w:rPr>
      </w:pPr>
      <w:r>
        <w:rPr>
          <w:rFonts w:cs="Times New Roman"/>
          <w:szCs w:val="24"/>
        </w:rPr>
        <w:t>Knowledge is useful only if this is easily available to all users in usable format and at low cost.  The rapid expansion of mobile phone and the growing use of smart phones have made knowledge dissemination a fairly low cost and easy task.  The main challenge is to make the knowledge accessible to all users.</w:t>
      </w:r>
    </w:p>
    <w:p w:rsidR="009E2575" w:rsidRDefault="007F2F9C" w:rsidP="00F634CD">
      <w:pPr>
        <w:pStyle w:val="BodyText"/>
        <w:spacing w:after="240" w:line="271" w:lineRule="auto"/>
        <w:jc w:val="both"/>
        <w:rPr>
          <w:rFonts w:cs="Times New Roman"/>
          <w:szCs w:val="24"/>
        </w:rPr>
      </w:pPr>
      <w:r>
        <w:rPr>
          <w:rFonts w:cs="Times New Roman"/>
          <w:szCs w:val="24"/>
        </w:rPr>
        <w:t>A major objective of the delta knowledge management is to make knowledge useful and relevant for poli</w:t>
      </w:r>
      <w:r w:rsidR="00ED3FC6">
        <w:rPr>
          <w:rFonts w:cs="Times New Roman"/>
          <w:szCs w:val="24"/>
        </w:rPr>
        <w:t xml:space="preserve">cy making. As noted in </w:t>
      </w:r>
      <w:r w:rsidR="00801E7D">
        <w:rPr>
          <w:rFonts w:cs="Times New Roman"/>
          <w:szCs w:val="24"/>
        </w:rPr>
        <w:t>section,</w:t>
      </w:r>
      <w:r>
        <w:rPr>
          <w:rFonts w:cs="Times New Roman"/>
          <w:szCs w:val="24"/>
        </w:rPr>
        <w:t xml:space="preserve"> a core element of the delta knowledge strategy is to identify the knowledge gaps that need to be addressed for informing the BDP2100 strategy.  As this new knowledge is available, it must feed directly into BDP2100 policy making. This coordination between knowledge generation, dissemination and use is essential to secure the full benefits of the investment in the </w:t>
      </w:r>
      <w:r w:rsidR="002126ED">
        <w:rPr>
          <w:rFonts w:cs="Times New Roman"/>
          <w:szCs w:val="24"/>
        </w:rPr>
        <w:t xml:space="preserve">delta knowledge agenda.        </w:t>
      </w:r>
    </w:p>
    <w:p w:rsidR="009E2575" w:rsidRDefault="009E2575" w:rsidP="009E2575">
      <w:pPr>
        <w:spacing w:line="276" w:lineRule="auto"/>
        <w:jc w:val="both"/>
        <w:rPr>
          <w:rFonts w:cs="Segoe UI"/>
          <w:szCs w:val="19"/>
        </w:rPr>
      </w:pPr>
      <w:r w:rsidRPr="00A53571">
        <w:t>One of the mentioned key challenges is to give easy access to available maps and spatial information in such a way that it can be used by planners and decision makers in problem analysis, strategy-making and monitoring steps. Delta Plan tools have been developed for this purpose</w:t>
      </w:r>
      <w:r w:rsidRPr="00A53571">
        <w:rPr>
          <w:rFonts w:cs="Segoe UI"/>
          <w:szCs w:val="19"/>
        </w:rPr>
        <w:t xml:space="preserve"> and all the delta tools are connected to one central Information and Information and Knowledge Portal. </w:t>
      </w:r>
      <w:r>
        <w:rPr>
          <w:rFonts w:cs="Segoe UI"/>
          <w:szCs w:val="19"/>
        </w:rPr>
        <w:t>Figure 14.6</w:t>
      </w:r>
      <w:r w:rsidRPr="00A53571">
        <w:rPr>
          <w:rFonts w:cs="Segoe UI"/>
          <w:szCs w:val="19"/>
        </w:rPr>
        <w:t xml:space="preserve"> presents the information structure.</w:t>
      </w:r>
    </w:p>
    <w:p w:rsidR="004F5E05" w:rsidRDefault="004F5E05">
      <w:pPr>
        <w:rPr>
          <w:b/>
          <w:szCs w:val="24"/>
        </w:rPr>
      </w:pPr>
      <w:r>
        <w:br w:type="page"/>
      </w:r>
    </w:p>
    <w:p w:rsidR="001C35EB" w:rsidRPr="001C35EB" w:rsidRDefault="009E2575" w:rsidP="002126ED">
      <w:pPr>
        <w:pStyle w:val="Heading5"/>
      </w:pPr>
      <w:bookmarkStart w:id="969" w:name="_Toc474639234"/>
      <w:r w:rsidRPr="00A21639">
        <w:t xml:space="preserve">Figure </w:t>
      </w:r>
      <w:r>
        <w:t>14.6</w:t>
      </w:r>
      <w:r w:rsidRPr="00A21639">
        <w:t xml:space="preserve">: </w:t>
      </w:r>
      <w:r>
        <w:t>Information Structure</w:t>
      </w:r>
      <w:bookmarkEnd w:id="969"/>
    </w:p>
    <w:p w:rsidR="009E2575" w:rsidRPr="00FF1AAD" w:rsidRDefault="009E2575" w:rsidP="009E2575">
      <w:pPr>
        <w:spacing w:line="276" w:lineRule="auto"/>
        <w:jc w:val="both"/>
        <w:rPr>
          <w:color w:val="FF0000"/>
        </w:rPr>
      </w:pPr>
      <w:r w:rsidRPr="00FF1AAD">
        <w:rPr>
          <w:noProof/>
          <w:color w:val="FF0000"/>
          <w:lang w:val="en-AU" w:eastAsia="en-AU" w:bidi="bn-BD"/>
        </w:rPr>
        <w:drawing>
          <wp:inline distT="0" distB="0" distL="0" distR="0">
            <wp:extent cx="5514975" cy="2568318"/>
            <wp:effectExtent l="19050" t="19050" r="9525" b="22860"/>
            <wp:docPr id="49" name="Afbeelding 24" descr="C:\Users\Stichting\OneDrive\1. Projecten\CAS037 (A041) Touchtable Bangladesh Functionality &amp; capacity building\Opzet Information Por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ichting\OneDrive\1. Projecten\CAS037 (A041) Touchtable Bangladesh Functionality &amp; capacity building\Opzet Information Portal.jpg"/>
                    <pic:cNvPicPr>
                      <a:picLocks noChangeAspect="1" noChangeArrowheads="1"/>
                    </pic:cNvPicPr>
                  </pic:nvPicPr>
                  <pic:blipFill rotWithShape="1">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437" b="6025"/>
                    <a:stretch/>
                  </pic:blipFill>
                  <pic:spPr bwMode="auto">
                    <a:xfrm>
                      <a:off x="0" y="0"/>
                      <a:ext cx="5535237" cy="2577754"/>
                    </a:xfrm>
                    <a:prstGeom prst="rect">
                      <a:avLst/>
                    </a:prstGeom>
                    <a:noFill/>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E2575" w:rsidRPr="00A53571" w:rsidRDefault="009E2575" w:rsidP="009E2575">
      <w:pPr>
        <w:spacing w:line="276" w:lineRule="auto"/>
        <w:jc w:val="both"/>
      </w:pPr>
      <w:r w:rsidRPr="00A53571">
        <w:t>The Delta Plan tools are</w:t>
      </w:r>
      <w:r w:rsidRPr="00A53571">
        <w:rPr>
          <w:rFonts w:eastAsiaTheme="minorEastAsia"/>
        </w:rPr>
        <w:t xml:space="preserve"> </w:t>
      </w:r>
      <w:r w:rsidRPr="00A53571">
        <w:t>developed to access and to interact with the data in the inf</w:t>
      </w:r>
      <w:r w:rsidR="00436CDB">
        <w:t>ormation portal</w:t>
      </w:r>
      <w:r w:rsidRPr="00A53571">
        <w:t xml:space="preserve">. Each tool has a specific target group and use. The Phoenix software is used on touch tables. The purpose of this tool is to use the data in interactive planning and design sessions. More advanced users may wish to use the data on the information portal for more technical analytical purposes. The Meta Model are being developed and a GIS desktop application (e.g. ArcGIS) can be used to perform spatial analysis and calculations. The Data Viewer makes all information </w:t>
      </w:r>
      <w:r w:rsidR="000B096E">
        <w:t>public</w:t>
      </w:r>
      <w:r w:rsidRPr="00A53571">
        <w:t xml:space="preserve">ly available, and the Delta Atlas summarizes all layers in an interactive pdf. This gives users the opportunity to develop a map they like by combining different map layers, for instance to be used in reports or Power point presentations. In this way, the Delta Tools are separate modules that can be used independently of each other, for a variety of uses. </w:t>
      </w:r>
    </w:p>
    <w:p w:rsidR="009E2575" w:rsidRPr="001C658D" w:rsidRDefault="009E2575" w:rsidP="009E2575">
      <w:pPr>
        <w:spacing w:line="276" w:lineRule="auto"/>
        <w:jc w:val="both"/>
      </w:pPr>
      <w:r w:rsidRPr="001C658D">
        <w:t xml:space="preserve">During the BDP2100 formulation project, each step has been supported by tools. To identify hotspots and to summarize the spatial data from the Baseline Studies, a Delta Atlas was developed. All data was harmonized and stored on a central server. The server data can be viewed on any computer using the Knowledge and Information Portal. With the PHOENIX Touch Table application all data can be viewed and users can draw onto the maps and drawings can be stored as GIS shapefiles. This supports interactive design and planning workshops. Desktop GIS and the Meta Model can be used to perform calculations from the desktop. Strategies can be evaluated and assessed (in qualitative way) using the Assessment Framework Rapid Assessment tool. </w:t>
      </w:r>
    </w:p>
    <w:p w:rsidR="009E2575" w:rsidRPr="00AA33F1" w:rsidRDefault="009E2575" w:rsidP="009E2575">
      <w:pPr>
        <w:jc w:val="both"/>
        <w:rPr>
          <w:rFonts w:cs="Segoe UI"/>
          <w:szCs w:val="19"/>
        </w:rPr>
      </w:pPr>
      <w:r w:rsidRPr="00AA33F1">
        <w:rPr>
          <w:rFonts w:cs="Segoe UI"/>
          <w:szCs w:val="19"/>
        </w:rPr>
        <w:t xml:space="preserve">The tools (Geo-portal Atlas, Touch Table and Information Portal) have different uses and purposes. The </w:t>
      </w:r>
      <w:r w:rsidR="00A10FA4">
        <w:rPr>
          <w:rFonts w:cs="Segoe UI"/>
          <w:szCs w:val="19"/>
        </w:rPr>
        <w:t>Table 14.6</w:t>
      </w:r>
      <w:r w:rsidRPr="00AA33F1">
        <w:rPr>
          <w:rFonts w:cs="Segoe UI"/>
          <w:szCs w:val="19"/>
        </w:rPr>
        <w:t xml:space="preserve"> presents the main target groups and potential uses. </w:t>
      </w:r>
    </w:p>
    <w:p w:rsidR="004F5E05" w:rsidRDefault="004F5E05">
      <w:pPr>
        <w:rPr>
          <w:rFonts w:cs="Times New Roman"/>
          <w:b/>
          <w:bCs/>
          <w:szCs w:val="24"/>
        </w:rPr>
      </w:pPr>
      <w:bookmarkStart w:id="970" w:name="_Ref462923962"/>
      <w:bookmarkStart w:id="971" w:name="_Toc463363772"/>
      <w:r>
        <w:br w:type="page"/>
      </w:r>
    </w:p>
    <w:p w:rsidR="009E2575" w:rsidRPr="00F94E18" w:rsidRDefault="009E2575" w:rsidP="009E2575">
      <w:pPr>
        <w:pStyle w:val="Heading4"/>
      </w:pPr>
      <w:bookmarkStart w:id="972" w:name="_Toc474639160"/>
      <w:r w:rsidRPr="00F94E18">
        <w:t>Table</w:t>
      </w:r>
      <w:bookmarkEnd w:id="970"/>
      <w:r w:rsidR="00A10FA4">
        <w:t xml:space="preserve"> 14.6</w:t>
      </w:r>
      <w:r w:rsidRPr="00F94E18">
        <w:t>: Main target groups and potential uses</w:t>
      </w:r>
      <w:bookmarkEnd w:id="971"/>
      <w:bookmarkEnd w:id="972"/>
    </w:p>
    <w:tbl>
      <w:tblPr>
        <w:tblStyle w:val="TableGrid"/>
        <w:tblW w:w="5000" w:type="pct"/>
        <w:tblLook w:val="04A0"/>
      </w:tblPr>
      <w:tblGrid>
        <w:gridCol w:w="1284"/>
        <w:gridCol w:w="2129"/>
        <w:gridCol w:w="2807"/>
        <w:gridCol w:w="2636"/>
      </w:tblGrid>
      <w:tr w:rsidR="009E2575" w:rsidRPr="00AA33F1" w:rsidTr="00397B32">
        <w:trPr>
          <w:tblHeader/>
        </w:trPr>
        <w:tc>
          <w:tcPr>
            <w:tcW w:w="725" w:type="pct"/>
            <w:shd w:val="clear" w:color="auto" w:fill="EAF1DD" w:themeFill="accent3" w:themeFillTint="33"/>
          </w:tcPr>
          <w:p w:rsidR="009E2575" w:rsidRPr="00AA33F1" w:rsidRDefault="009E2575" w:rsidP="00397B32">
            <w:pPr>
              <w:spacing w:after="0" w:line="240" w:lineRule="auto"/>
              <w:jc w:val="both"/>
              <w:rPr>
                <w:rFonts w:cs="Segoe UI"/>
                <w:b/>
                <w:szCs w:val="19"/>
              </w:rPr>
            </w:pPr>
            <w:r w:rsidRPr="00AA33F1">
              <w:rPr>
                <w:rFonts w:cs="Segoe UI"/>
                <w:b/>
                <w:szCs w:val="19"/>
              </w:rPr>
              <w:t>Tool</w:t>
            </w:r>
          </w:p>
        </w:tc>
        <w:tc>
          <w:tcPr>
            <w:tcW w:w="1202" w:type="pct"/>
            <w:shd w:val="clear" w:color="auto" w:fill="EAF1DD" w:themeFill="accent3" w:themeFillTint="33"/>
          </w:tcPr>
          <w:p w:rsidR="009E2575" w:rsidRPr="00AA33F1" w:rsidRDefault="009E2575" w:rsidP="00397B32">
            <w:pPr>
              <w:spacing w:after="0" w:line="240" w:lineRule="auto"/>
              <w:jc w:val="both"/>
              <w:rPr>
                <w:rFonts w:cs="Segoe UI"/>
                <w:b/>
                <w:szCs w:val="19"/>
              </w:rPr>
            </w:pPr>
            <w:r w:rsidRPr="00AA33F1">
              <w:rPr>
                <w:rFonts w:cs="Segoe UI"/>
                <w:b/>
                <w:szCs w:val="19"/>
              </w:rPr>
              <w:t>Target group</w:t>
            </w:r>
          </w:p>
        </w:tc>
        <w:tc>
          <w:tcPr>
            <w:tcW w:w="1585" w:type="pct"/>
            <w:shd w:val="clear" w:color="auto" w:fill="EAF1DD" w:themeFill="accent3" w:themeFillTint="33"/>
          </w:tcPr>
          <w:p w:rsidR="009E2575" w:rsidRPr="00AA33F1" w:rsidRDefault="009E2575" w:rsidP="00397B32">
            <w:pPr>
              <w:spacing w:after="0" w:line="240" w:lineRule="auto"/>
              <w:jc w:val="both"/>
              <w:rPr>
                <w:rFonts w:cs="Segoe UI"/>
                <w:b/>
                <w:szCs w:val="19"/>
              </w:rPr>
            </w:pPr>
            <w:r w:rsidRPr="00AA33F1">
              <w:rPr>
                <w:rFonts w:cs="Segoe UI"/>
                <w:b/>
                <w:szCs w:val="19"/>
              </w:rPr>
              <w:t>Functionality</w:t>
            </w:r>
          </w:p>
        </w:tc>
        <w:tc>
          <w:tcPr>
            <w:tcW w:w="1488" w:type="pct"/>
            <w:shd w:val="clear" w:color="auto" w:fill="EAF1DD" w:themeFill="accent3" w:themeFillTint="33"/>
          </w:tcPr>
          <w:p w:rsidR="009E2575" w:rsidRPr="00AA33F1" w:rsidRDefault="009E2575" w:rsidP="00397B32">
            <w:pPr>
              <w:spacing w:after="0" w:line="240" w:lineRule="auto"/>
              <w:jc w:val="both"/>
              <w:rPr>
                <w:rFonts w:cs="Segoe UI"/>
                <w:b/>
                <w:szCs w:val="19"/>
              </w:rPr>
            </w:pPr>
            <w:r w:rsidRPr="00AA33F1">
              <w:rPr>
                <w:rFonts w:cs="Segoe UI"/>
                <w:b/>
                <w:szCs w:val="19"/>
              </w:rPr>
              <w:t>Potential use</w:t>
            </w:r>
          </w:p>
        </w:tc>
      </w:tr>
      <w:tr w:rsidR="009E2575" w:rsidRPr="00AA33F1" w:rsidTr="00397B32">
        <w:tc>
          <w:tcPr>
            <w:tcW w:w="725" w:type="pct"/>
          </w:tcPr>
          <w:p w:rsidR="009E2575" w:rsidRPr="002126ED" w:rsidRDefault="009E2575" w:rsidP="00397B32">
            <w:pPr>
              <w:spacing w:after="0" w:line="240" w:lineRule="auto"/>
              <w:jc w:val="both"/>
              <w:rPr>
                <w:rFonts w:cs="Segoe UI"/>
                <w:sz w:val="20"/>
              </w:rPr>
            </w:pPr>
            <w:r w:rsidRPr="002126ED">
              <w:rPr>
                <w:rFonts w:cs="Segoe UI"/>
                <w:sz w:val="20"/>
              </w:rPr>
              <w:t xml:space="preserve">Touch Table </w:t>
            </w:r>
          </w:p>
        </w:tc>
        <w:tc>
          <w:tcPr>
            <w:tcW w:w="1202" w:type="pct"/>
          </w:tcPr>
          <w:p w:rsidR="009E2575" w:rsidRPr="002126ED" w:rsidRDefault="009E2575" w:rsidP="00397B32">
            <w:pPr>
              <w:spacing w:after="0" w:line="240" w:lineRule="auto"/>
              <w:rPr>
                <w:rFonts w:cs="Segoe UI"/>
                <w:sz w:val="20"/>
              </w:rPr>
            </w:pPr>
            <w:r w:rsidRPr="002126ED">
              <w:rPr>
                <w:rFonts w:cs="Segoe UI"/>
                <w:sz w:val="20"/>
              </w:rPr>
              <w:t xml:space="preserve">Stakeholders involved in the BDP2100 planning and design process </w:t>
            </w:r>
          </w:p>
        </w:tc>
        <w:tc>
          <w:tcPr>
            <w:tcW w:w="1585" w:type="pct"/>
          </w:tcPr>
          <w:p w:rsidR="009E2575" w:rsidRPr="002126ED" w:rsidRDefault="009E2575" w:rsidP="00397B32">
            <w:pPr>
              <w:spacing w:after="0" w:line="240" w:lineRule="auto"/>
              <w:rPr>
                <w:rFonts w:cs="Segoe UI"/>
                <w:sz w:val="20"/>
              </w:rPr>
            </w:pPr>
            <w:r w:rsidRPr="002126ED">
              <w:rPr>
                <w:rFonts w:cs="Segoe UI"/>
                <w:sz w:val="20"/>
              </w:rPr>
              <w:t>Zoom, draw, placing measures, overlay maps</w:t>
            </w:r>
          </w:p>
        </w:tc>
        <w:tc>
          <w:tcPr>
            <w:tcW w:w="1488" w:type="pct"/>
          </w:tcPr>
          <w:p w:rsidR="009E2575" w:rsidRPr="002126ED" w:rsidRDefault="009E2575" w:rsidP="00397B32">
            <w:pPr>
              <w:spacing w:after="0" w:line="240" w:lineRule="auto"/>
              <w:rPr>
                <w:rFonts w:cs="Segoe UI"/>
                <w:sz w:val="20"/>
              </w:rPr>
            </w:pPr>
            <w:r w:rsidRPr="002126ED">
              <w:rPr>
                <w:rFonts w:cs="Segoe UI"/>
                <w:sz w:val="20"/>
              </w:rPr>
              <w:t>Interactive workshops, planning and design support</w:t>
            </w:r>
          </w:p>
        </w:tc>
      </w:tr>
      <w:tr w:rsidR="009E2575" w:rsidRPr="00AA33F1" w:rsidTr="00397B32">
        <w:tc>
          <w:tcPr>
            <w:tcW w:w="725" w:type="pct"/>
          </w:tcPr>
          <w:p w:rsidR="009E2575" w:rsidRPr="002126ED" w:rsidRDefault="009E2575" w:rsidP="00397B32">
            <w:pPr>
              <w:spacing w:after="0" w:line="240" w:lineRule="auto"/>
              <w:jc w:val="both"/>
              <w:rPr>
                <w:rFonts w:cs="Segoe UI"/>
                <w:sz w:val="20"/>
              </w:rPr>
            </w:pPr>
            <w:r w:rsidRPr="002126ED">
              <w:rPr>
                <w:rFonts w:cs="Segoe UI"/>
                <w:sz w:val="20"/>
              </w:rPr>
              <w:t>Interactive Delta Atlas</w:t>
            </w:r>
          </w:p>
        </w:tc>
        <w:tc>
          <w:tcPr>
            <w:tcW w:w="1202" w:type="pct"/>
          </w:tcPr>
          <w:p w:rsidR="009E2575" w:rsidRPr="002126ED" w:rsidRDefault="009E2575" w:rsidP="00397B32">
            <w:pPr>
              <w:spacing w:after="0" w:line="240" w:lineRule="auto"/>
              <w:rPr>
                <w:rFonts w:cs="Segoe UI"/>
                <w:sz w:val="20"/>
              </w:rPr>
            </w:pPr>
            <w:r w:rsidRPr="002126ED">
              <w:rPr>
                <w:rFonts w:cs="Segoe UI"/>
                <w:sz w:val="20"/>
              </w:rPr>
              <w:t>All interested people in the BDP; all stakeholders involved in the BDP project</w:t>
            </w:r>
          </w:p>
        </w:tc>
        <w:tc>
          <w:tcPr>
            <w:tcW w:w="1585" w:type="pct"/>
          </w:tcPr>
          <w:p w:rsidR="009E2575" w:rsidRPr="002126ED" w:rsidRDefault="009E2575" w:rsidP="00397B32">
            <w:pPr>
              <w:spacing w:after="0" w:line="240" w:lineRule="auto"/>
              <w:rPr>
                <w:rFonts w:cs="Segoe UI"/>
                <w:sz w:val="20"/>
              </w:rPr>
            </w:pPr>
            <w:r w:rsidRPr="002126ED">
              <w:rPr>
                <w:rFonts w:cs="Segoe UI"/>
                <w:sz w:val="20"/>
              </w:rPr>
              <w:t>Available off-line, annex to the BDP plan, can be sent as a PDF</w:t>
            </w:r>
          </w:p>
        </w:tc>
        <w:tc>
          <w:tcPr>
            <w:tcW w:w="1488" w:type="pct"/>
          </w:tcPr>
          <w:p w:rsidR="009E2575" w:rsidRPr="002126ED" w:rsidRDefault="009E2575" w:rsidP="00397B32">
            <w:pPr>
              <w:spacing w:after="0" w:line="240" w:lineRule="auto"/>
              <w:rPr>
                <w:rFonts w:cs="Segoe UI"/>
                <w:sz w:val="20"/>
              </w:rPr>
            </w:pPr>
            <w:r w:rsidRPr="002126ED">
              <w:rPr>
                <w:rFonts w:cs="Segoe UI"/>
                <w:sz w:val="20"/>
              </w:rPr>
              <w:t>Getting insight in the main issues, summary maps of the hotspot level issues. Overview of the BDP 2100 knowledge base</w:t>
            </w:r>
          </w:p>
        </w:tc>
      </w:tr>
      <w:tr w:rsidR="009E2575" w:rsidRPr="00AA33F1" w:rsidTr="00397B32">
        <w:tc>
          <w:tcPr>
            <w:tcW w:w="725" w:type="pct"/>
          </w:tcPr>
          <w:p w:rsidR="009E2575" w:rsidRPr="002126ED" w:rsidRDefault="009E2575" w:rsidP="00397B32">
            <w:pPr>
              <w:spacing w:after="0" w:line="240" w:lineRule="auto"/>
              <w:jc w:val="both"/>
              <w:rPr>
                <w:rFonts w:cs="Segoe UI"/>
                <w:sz w:val="20"/>
              </w:rPr>
            </w:pPr>
            <w:r w:rsidRPr="002126ED">
              <w:rPr>
                <w:rFonts w:cs="Segoe UI"/>
                <w:sz w:val="20"/>
              </w:rPr>
              <w:t>Information Portal</w:t>
            </w:r>
          </w:p>
        </w:tc>
        <w:tc>
          <w:tcPr>
            <w:tcW w:w="1202" w:type="pct"/>
          </w:tcPr>
          <w:p w:rsidR="009E2575" w:rsidRPr="002126ED" w:rsidRDefault="009E2575" w:rsidP="00397B32">
            <w:pPr>
              <w:spacing w:after="0" w:line="240" w:lineRule="auto"/>
              <w:rPr>
                <w:rFonts w:cs="Segoe UI"/>
                <w:sz w:val="20"/>
              </w:rPr>
            </w:pPr>
            <w:r w:rsidRPr="002126ED">
              <w:rPr>
                <w:rFonts w:cs="Segoe UI"/>
                <w:sz w:val="20"/>
              </w:rPr>
              <w:t>Professional stakeholders (with GIS expertise)</w:t>
            </w:r>
          </w:p>
        </w:tc>
        <w:tc>
          <w:tcPr>
            <w:tcW w:w="1585" w:type="pct"/>
          </w:tcPr>
          <w:p w:rsidR="009E2575" w:rsidRPr="002126ED" w:rsidRDefault="009E2575" w:rsidP="00397B32">
            <w:pPr>
              <w:spacing w:after="0" w:line="240" w:lineRule="auto"/>
              <w:rPr>
                <w:rFonts w:cs="Segoe UI"/>
                <w:sz w:val="20"/>
              </w:rPr>
            </w:pPr>
            <w:r w:rsidRPr="002126ED">
              <w:rPr>
                <w:rFonts w:cs="Segoe UI"/>
                <w:sz w:val="20"/>
              </w:rPr>
              <w:t>Access to the BDP Geoportal data layers visualized in a web viewer Input for the touch table, Delta Atlas and web viewer</w:t>
            </w:r>
          </w:p>
        </w:tc>
        <w:tc>
          <w:tcPr>
            <w:tcW w:w="1488" w:type="pct"/>
          </w:tcPr>
          <w:p w:rsidR="009E2575" w:rsidRPr="002126ED" w:rsidRDefault="009E2575" w:rsidP="00397B32">
            <w:pPr>
              <w:spacing w:after="0" w:line="240" w:lineRule="auto"/>
              <w:rPr>
                <w:rFonts w:cs="Segoe UI"/>
                <w:sz w:val="20"/>
              </w:rPr>
            </w:pPr>
            <w:r w:rsidRPr="002126ED">
              <w:rPr>
                <w:rFonts w:cs="Segoe UI"/>
                <w:sz w:val="20"/>
              </w:rPr>
              <w:t>Access to the spatial BDP 2100 knowledge base, and availability post-BDP (legacy)</w:t>
            </w:r>
          </w:p>
        </w:tc>
      </w:tr>
    </w:tbl>
    <w:p w:rsidR="009E2575" w:rsidRPr="00FF1AAD" w:rsidRDefault="009E2575" w:rsidP="004F5E05">
      <w:pPr>
        <w:spacing w:after="0"/>
        <w:jc w:val="both"/>
        <w:rPr>
          <w:rFonts w:cs="Segoe UI"/>
          <w:color w:val="FF0000"/>
          <w:szCs w:val="19"/>
        </w:rPr>
      </w:pPr>
    </w:p>
    <w:p w:rsidR="00000000" w:rsidRDefault="009E2575" w:rsidP="003D5A31">
      <w:pPr>
        <w:pStyle w:val="BodyText"/>
        <w:numPr>
          <w:ilvl w:val="2"/>
          <w:numId w:val="251"/>
        </w:numPr>
        <w:spacing w:after="240" w:line="276" w:lineRule="auto"/>
        <w:jc w:val="both"/>
        <w:rPr>
          <w:rFonts w:cs="Times New Roman"/>
          <w:b/>
          <w:szCs w:val="24"/>
        </w:rPr>
      </w:pPr>
      <w:bookmarkStart w:id="973" w:name="_Toc453408876"/>
      <w:bookmarkStart w:id="974" w:name="_Toc463360013"/>
      <w:r w:rsidRPr="00801E7D">
        <w:rPr>
          <w:rFonts w:cs="Times New Roman"/>
          <w:b/>
          <w:szCs w:val="24"/>
        </w:rPr>
        <w:t>The Touch Table Platform</w:t>
      </w:r>
      <w:bookmarkEnd w:id="973"/>
      <w:bookmarkEnd w:id="974"/>
    </w:p>
    <w:p w:rsidR="009E2575" w:rsidRPr="00AA33F1" w:rsidRDefault="009E2575" w:rsidP="009E2575">
      <w:pPr>
        <w:spacing w:line="276" w:lineRule="auto"/>
        <w:jc w:val="both"/>
      </w:pPr>
      <w:r w:rsidRPr="00AA33F1">
        <w:t xml:space="preserve">All spatial information that was gathered has been stored on a local server. The data can be accessed through the information portal but also through the Touch Table. The Touch Table interface enables all parties involved to continue with this approach. With the touch table platform, the power of spatial information is used for better decision-making as it provides an environment for interactive collaboration. The application combines the ease of working on paper with the flexibility provided by a digital work environment and the capabilities of geo-information. During the Delta Ateliers the use of the touch table platform has led to more involvement of stakeholders. The touch table interface allows users to interactively work with the Delta Atlas. All maps are available and tools such as drawing mode, zooming, measuring distances and diameters and adding measures to the map are available. The main purpose is to support interactive planning and design processes. </w:t>
      </w:r>
    </w:p>
    <w:p w:rsidR="00000000" w:rsidRDefault="009E2575" w:rsidP="003D5A31">
      <w:pPr>
        <w:pStyle w:val="BodyText"/>
        <w:numPr>
          <w:ilvl w:val="2"/>
          <w:numId w:val="251"/>
        </w:numPr>
        <w:spacing w:after="240" w:line="276" w:lineRule="auto"/>
        <w:jc w:val="both"/>
        <w:rPr>
          <w:rFonts w:cs="Times New Roman"/>
          <w:b/>
          <w:szCs w:val="24"/>
        </w:rPr>
      </w:pPr>
      <w:bookmarkStart w:id="975" w:name="_Toc453408877"/>
      <w:bookmarkStart w:id="976" w:name="_Toc463360014"/>
      <w:r w:rsidRPr="00801E7D">
        <w:rPr>
          <w:rFonts w:cs="Times New Roman"/>
          <w:b/>
          <w:szCs w:val="24"/>
        </w:rPr>
        <w:t>The Interactive Delta Atlas</w:t>
      </w:r>
      <w:bookmarkEnd w:id="975"/>
      <w:bookmarkEnd w:id="976"/>
    </w:p>
    <w:p w:rsidR="001C35EB" w:rsidRDefault="009E2575" w:rsidP="004B0A08">
      <w:pPr>
        <w:spacing w:line="276" w:lineRule="auto"/>
        <w:jc w:val="both"/>
      </w:pPr>
      <w:r w:rsidRPr="00AA33F1">
        <w:t>The interactive Delta Atlas visualizes the most relevant maps. The atlas has the advantage of being available off-line (it is an interactive pdf). This means the atlas can be sent out to a wider audience, for instance as an annex. The atlas has an interactive legend. Users can view various maps by change the background layers, select maps, and scroll through the legend. The purpose is to study the Bangladesh delta, to analyze and view the various aspects that are relevant for long term delta planning. Zooming and drawing is however not possible in this tool. The touch table application gives users the possibility to draw, overlay and zoom. Also the web-viewer will allow users to browse and zoom through layers.</w:t>
      </w:r>
      <w:bookmarkStart w:id="977" w:name="_Toc453408878"/>
      <w:bookmarkStart w:id="978" w:name="_Toc463360015"/>
    </w:p>
    <w:p w:rsidR="004F5E05" w:rsidRDefault="004F5E05" w:rsidP="00DC62B0">
      <w:pPr>
        <w:spacing w:line="240" w:lineRule="auto"/>
        <w:jc w:val="both"/>
        <w:rPr>
          <w:rFonts w:cs="Times New Roman"/>
          <w:b/>
          <w:szCs w:val="24"/>
        </w:rPr>
      </w:pPr>
    </w:p>
    <w:p w:rsidR="00000000" w:rsidRDefault="00DC62B0" w:rsidP="003D5A31">
      <w:pPr>
        <w:pStyle w:val="BodyText"/>
        <w:numPr>
          <w:ilvl w:val="2"/>
          <w:numId w:val="251"/>
        </w:numPr>
        <w:spacing w:after="240" w:line="276" w:lineRule="auto"/>
        <w:jc w:val="both"/>
        <w:rPr>
          <w:rFonts w:cs="Times New Roman"/>
          <w:b/>
          <w:szCs w:val="24"/>
        </w:rPr>
      </w:pPr>
      <w:r>
        <w:rPr>
          <w:rFonts w:cs="Times New Roman"/>
          <w:b/>
          <w:szCs w:val="24"/>
        </w:rPr>
        <w:t>The Meta-model in the Planning C</w:t>
      </w:r>
      <w:r w:rsidRPr="00CC1476">
        <w:rPr>
          <w:rFonts w:cs="Times New Roman"/>
          <w:b/>
          <w:szCs w:val="24"/>
        </w:rPr>
        <w:t>ontext of BDP2100</w:t>
      </w:r>
    </w:p>
    <w:p w:rsidR="00DC62B0" w:rsidRPr="00CC1476" w:rsidRDefault="00DC62B0" w:rsidP="002126ED">
      <w:pPr>
        <w:spacing w:line="276" w:lineRule="auto"/>
        <w:jc w:val="both"/>
        <w:rPr>
          <w:rFonts w:cs="Times New Roman"/>
          <w:szCs w:val="24"/>
        </w:rPr>
      </w:pPr>
      <w:r w:rsidRPr="00CC1476">
        <w:rPr>
          <w:rFonts w:cs="Times New Roman"/>
          <w:szCs w:val="24"/>
        </w:rPr>
        <w:t>The ‘meta-modelling initiative’ is a pilot activity of the Bangladesh Delta Plan 2100 project (BDP2100).</w:t>
      </w:r>
      <w:r>
        <w:rPr>
          <w:rFonts w:cs="Times New Roman"/>
          <w:szCs w:val="24"/>
        </w:rPr>
        <w:t xml:space="preserve"> </w:t>
      </w:r>
      <w:r w:rsidRPr="00CC1476">
        <w:rPr>
          <w:rFonts w:cs="Times New Roman"/>
          <w:szCs w:val="24"/>
        </w:rPr>
        <w:t>The main purpose of the pilot is to demonstrate the potential of meta-modelling to support decision making process on Delta planning in Bangladesh. Decision-making for the Delta plan includes all key socio-economic sectors. Integrated impact analysis is therefore the key. The pilot initiative is also aimed at supporting decision-making under conditions of uncertainty and developing an adaptive plan.</w:t>
      </w:r>
    </w:p>
    <w:p w:rsidR="00DC62B0" w:rsidRDefault="00DC62B0" w:rsidP="002126ED">
      <w:pPr>
        <w:spacing w:line="276" w:lineRule="auto"/>
        <w:jc w:val="both"/>
        <w:rPr>
          <w:rFonts w:cs="Times New Roman"/>
          <w:szCs w:val="24"/>
        </w:rPr>
      </w:pPr>
      <w:r w:rsidRPr="00CC1476">
        <w:rPr>
          <w:rFonts w:cs="Times New Roman"/>
          <w:szCs w:val="24"/>
        </w:rPr>
        <w:t xml:space="preserve">The measures included in the BDP2100 are a mix of detailed feasibility studies, concept notes and programmes. A number of these measures have been assessed by using (detailed) models. Typically, the studies, notes and programmes are difficult to compare for a number of reasons: different consultants, tools, data and assumptions or different evaluation criteria. Moreover, most proposals are generally </w:t>
      </w:r>
      <w:r w:rsidR="00EA4E38" w:rsidRPr="00CC1476">
        <w:rPr>
          <w:rFonts w:cs="Times New Roman"/>
          <w:szCs w:val="24"/>
        </w:rPr>
        <w:t>focused</w:t>
      </w:r>
      <w:r w:rsidRPr="00CC1476">
        <w:rPr>
          <w:rFonts w:cs="Times New Roman"/>
          <w:szCs w:val="24"/>
        </w:rPr>
        <w:t xml:space="preserve"> on one particular sector or policy goal and do not take into account the interactions with other interventions and sectors. The meta model supports the: i) assessment of impacts of combinations of measures on a consistent set of policy indicators; ii) assessment of the synergy, competition or overlaps across measures; and iii) prioritization of measures from a list of multiple possible measures. In the figure below, the use of the meta model in the Policy Planning process is illustrated. Typically, this would take place for every new Five Year Plan, Delta Plan update and for the annual review process. </w:t>
      </w:r>
    </w:p>
    <w:p w:rsidR="002126ED" w:rsidRPr="002126ED" w:rsidRDefault="002126ED" w:rsidP="002126ED">
      <w:pPr>
        <w:pStyle w:val="Heading5"/>
      </w:pPr>
      <w:bookmarkStart w:id="979" w:name="_Toc474639235"/>
      <w:r w:rsidRPr="00A21639">
        <w:t xml:space="preserve">Figure </w:t>
      </w:r>
      <w:r>
        <w:t>14.7</w:t>
      </w:r>
      <w:r w:rsidRPr="00A21639">
        <w:t xml:space="preserve">: </w:t>
      </w:r>
      <w:r>
        <w:t>Structure of the Meta Model</w:t>
      </w:r>
      <w:bookmarkEnd w:id="979"/>
    </w:p>
    <w:p w:rsidR="00DC62B0" w:rsidRPr="00CC1476" w:rsidRDefault="00DC62B0" w:rsidP="00DC62B0">
      <w:pPr>
        <w:spacing w:line="240" w:lineRule="auto"/>
        <w:jc w:val="center"/>
        <w:rPr>
          <w:rFonts w:cs="Times New Roman"/>
          <w:szCs w:val="24"/>
        </w:rPr>
      </w:pPr>
      <w:r w:rsidRPr="00CC1476">
        <w:rPr>
          <w:rFonts w:cs="Times New Roman"/>
          <w:noProof/>
          <w:szCs w:val="24"/>
          <w:lang w:val="en-AU" w:eastAsia="en-AU" w:bidi="bn-BD"/>
        </w:rPr>
        <w:drawing>
          <wp:inline distT="0" distB="0" distL="0" distR="0">
            <wp:extent cx="4355968" cy="3552954"/>
            <wp:effectExtent l="19050" t="19050" r="2603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modelling and Policy Analysis.jpg"/>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55968" cy="3552954"/>
                    </a:xfrm>
                    <a:prstGeom prst="rect">
                      <a:avLst/>
                    </a:prstGeom>
                    <a:ln w="12700">
                      <a:solidFill>
                        <a:schemeClr val="tx1"/>
                      </a:solidFill>
                    </a:ln>
                  </pic:spPr>
                </pic:pic>
              </a:graphicData>
            </a:graphic>
          </wp:inline>
        </w:drawing>
      </w:r>
    </w:p>
    <w:p w:rsidR="00DC62B0" w:rsidRPr="00CC1476" w:rsidRDefault="00DC62B0" w:rsidP="002126ED">
      <w:pPr>
        <w:spacing w:line="276" w:lineRule="auto"/>
        <w:jc w:val="both"/>
        <w:rPr>
          <w:rFonts w:cs="Times New Roman"/>
          <w:szCs w:val="24"/>
        </w:rPr>
      </w:pPr>
      <w:r w:rsidRPr="00CC1476">
        <w:rPr>
          <w:rFonts w:cs="Times New Roman"/>
          <w:szCs w:val="24"/>
        </w:rPr>
        <w:t xml:space="preserve">As illustrated above, the </w:t>
      </w:r>
      <w:r w:rsidRPr="00CC1476">
        <w:rPr>
          <w:rFonts w:cs="Times New Roman"/>
          <w:b/>
          <w:szCs w:val="24"/>
        </w:rPr>
        <w:t>input to the meta model</w:t>
      </w:r>
      <w:r w:rsidRPr="00CC1476">
        <w:rPr>
          <w:rFonts w:cs="Times New Roman"/>
          <w:szCs w:val="24"/>
        </w:rPr>
        <w:t xml:space="preserve"> is the result of an internal screening process within the different departments and </w:t>
      </w:r>
      <w:r w:rsidR="00EA4E38" w:rsidRPr="00CC1476">
        <w:rPr>
          <w:rFonts w:cs="Times New Roman"/>
          <w:szCs w:val="24"/>
        </w:rPr>
        <w:t>agencies that</w:t>
      </w:r>
      <w:r w:rsidRPr="00CC1476">
        <w:rPr>
          <w:rFonts w:cs="Times New Roman"/>
          <w:szCs w:val="24"/>
        </w:rPr>
        <w:t xml:space="preserve"> submit proposals to Planning Commission through ministries/divisions as part of the </w:t>
      </w:r>
      <w:r w:rsidRPr="00CC1476">
        <w:rPr>
          <w:rFonts w:cs="Times New Roman"/>
          <w:b/>
          <w:szCs w:val="24"/>
        </w:rPr>
        <w:t>Annual and Five Year Planning</w:t>
      </w:r>
      <w:r w:rsidRPr="00CC1476">
        <w:rPr>
          <w:rFonts w:cs="Times New Roman"/>
          <w:szCs w:val="24"/>
        </w:rPr>
        <w:t xml:space="preserve"> process. The output of the meta model will be structured in an </w:t>
      </w:r>
      <w:r w:rsidRPr="00CC1476">
        <w:rPr>
          <w:rFonts w:cs="Times New Roman"/>
          <w:b/>
          <w:szCs w:val="24"/>
        </w:rPr>
        <w:t>Intervention Fact Sheet</w:t>
      </w:r>
      <w:r w:rsidRPr="00CC1476">
        <w:rPr>
          <w:rFonts w:cs="Times New Roman"/>
          <w:szCs w:val="24"/>
        </w:rPr>
        <w:t xml:space="preserve">, summarising the most important </w:t>
      </w:r>
      <w:r w:rsidRPr="00CC1476">
        <w:rPr>
          <w:rFonts w:cs="Times New Roman"/>
          <w:b/>
          <w:szCs w:val="24"/>
        </w:rPr>
        <w:t>State and Decision Support Indicators</w:t>
      </w:r>
      <w:r w:rsidRPr="00CC1476">
        <w:rPr>
          <w:rFonts w:cs="Times New Roman"/>
          <w:szCs w:val="24"/>
        </w:rPr>
        <w:t xml:space="preserve">. These fact sheets are then used as input into the </w:t>
      </w:r>
      <w:r w:rsidRPr="00CC1476">
        <w:rPr>
          <w:rFonts w:cs="Times New Roman"/>
          <w:b/>
          <w:szCs w:val="24"/>
        </w:rPr>
        <w:t>Policy Analysis</w:t>
      </w:r>
      <w:r w:rsidRPr="00CC1476">
        <w:rPr>
          <w:rFonts w:cs="Times New Roman"/>
          <w:szCs w:val="24"/>
        </w:rPr>
        <w:t xml:space="preserve"> step. The policy analysts of GED/Planning Commission/Delta Commission will lead this process, supported by the meta model experts and selected experts from the different departments, agencies and sectors. </w:t>
      </w:r>
    </w:p>
    <w:p w:rsidR="00DC62B0" w:rsidRPr="00DC62B0" w:rsidRDefault="00DC62B0" w:rsidP="002126ED">
      <w:pPr>
        <w:spacing w:line="276" w:lineRule="auto"/>
        <w:jc w:val="both"/>
        <w:rPr>
          <w:rFonts w:cs="Times New Roman"/>
          <w:szCs w:val="24"/>
        </w:rPr>
      </w:pPr>
      <w:r w:rsidRPr="00CC1476">
        <w:rPr>
          <w:rFonts w:cs="Times New Roman"/>
          <w:szCs w:val="24"/>
        </w:rPr>
        <w:t xml:space="preserve">ESPA Deltas project also has developed an integrated analysis tool for delta planning called as “Delta Development Integrated Emulator Model (ΔDIEM). ΔDIEM is currently ready to be applied to the coastal hotspot. The implications of many of the proposed interventions can be simulated providing a rich set of indicators including information on livelihoods and poverty which is not readily available from more traditional assessment methods. In the medium term the ΔDIEM approach could be extended both in terms of approach and geographic coverage to provide a national coverage for the entire Delta Plan. As such ΔDIEM can contribute to the suite of models that support the Delta Plan as a whole. These meta model and ΔDIEM would be further developed and used in BDP 2100 investment planning process in future analysis and updating during the implementation of the BDP 2100. </w:t>
      </w:r>
    </w:p>
    <w:p w:rsidR="00000000" w:rsidRDefault="009E2575" w:rsidP="003D5A31">
      <w:pPr>
        <w:pStyle w:val="BodyText"/>
        <w:numPr>
          <w:ilvl w:val="2"/>
          <w:numId w:val="251"/>
        </w:numPr>
        <w:spacing w:after="240" w:line="276" w:lineRule="auto"/>
        <w:jc w:val="both"/>
        <w:rPr>
          <w:rFonts w:cs="Times New Roman"/>
          <w:b/>
          <w:szCs w:val="24"/>
        </w:rPr>
      </w:pPr>
      <w:r w:rsidRPr="00801E7D">
        <w:rPr>
          <w:rFonts w:cs="Times New Roman"/>
          <w:b/>
          <w:szCs w:val="24"/>
        </w:rPr>
        <w:t>The Information Portal and Web Viewer Tool</w:t>
      </w:r>
      <w:bookmarkEnd w:id="977"/>
      <w:bookmarkEnd w:id="978"/>
    </w:p>
    <w:p w:rsidR="009E2575" w:rsidRPr="00AA33F1" w:rsidRDefault="009E2575" w:rsidP="009E2575">
      <w:pPr>
        <w:spacing w:line="276" w:lineRule="auto"/>
        <w:jc w:val="both"/>
      </w:pPr>
      <w:r w:rsidRPr="00AA33F1">
        <w:t xml:space="preserve">The Information and Knowledge Portal has been developed on knowledgebase information collected and generated under the study "BDP 2100" by different partners, scientists and specialists working under the project. The aim of this development is to provide support to the planners and decision makers for participatory and interactive planning and decision making process to ensure adaptive management of Bangladesh Delta. </w:t>
      </w:r>
    </w:p>
    <w:p w:rsidR="009E2575" w:rsidRPr="00AA33F1" w:rsidRDefault="009E2575" w:rsidP="009E2575">
      <w:pPr>
        <w:spacing w:line="276" w:lineRule="auto"/>
        <w:jc w:val="both"/>
        <w:rPr>
          <w:rFonts w:cs="Segoe UI"/>
          <w:szCs w:val="19"/>
        </w:rPr>
      </w:pPr>
      <w:r w:rsidRPr="00AA33F1">
        <w:t xml:space="preserve">The Delta Geo-portal requires a reliable internet connection for the workshops. CEGIS was asked to set up a server with sufficient speed to deal with this. This server is now in place and functions well. Data was collected, maps were prepared, categorized and visualized. From December 2015 a central server was installed in Dhaka from which all spatial data was hosted. Since February 2016, the geo-portal is running containing all the available geo-data layers. Bangladeshi experts were trained to set up this portal and to host data services. Maps are published as WMS-services they can be used by any GIS system. All maps are now </w:t>
      </w:r>
      <w:r w:rsidR="000B096E">
        <w:t>public</w:t>
      </w:r>
      <w:r w:rsidRPr="00AA33F1">
        <w:t xml:space="preserve">ly available to be used on the touch table platform. </w:t>
      </w:r>
      <w:r w:rsidRPr="00AA33F1">
        <w:rPr>
          <w:rFonts w:cs="Segoe UI"/>
          <w:szCs w:val="19"/>
        </w:rPr>
        <w:t>The portal has been designed and developed using the standard four-tier archit</w:t>
      </w:r>
      <w:r w:rsidR="000F4981">
        <w:rPr>
          <w:rFonts w:cs="Segoe UI"/>
          <w:szCs w:val="19"/>
        </w:rPr>
        <w:t xml:space="preserve">ecture of software development. </w:t>
      </w:r>
      <w:r w:rsidRPr="00AA33F1">
        <w:rPr>
          <w:rFonts w:cs="Segoe UI"/>
          <w:szCs w:val="19"/>
        </w:rPr>
        <w:t xml:space="preserve"> It consists of the following layers:</w:t>
      </w:r>
    </w:p>
    <w:p w:rsidR="00000000" w:rsidRDefault="009E2575" w:rsidP="003D5A31">
      <w:pPr>
        <w:pStyle w:val="ListParagraph"/>
        <w:numPr>
          <w:ilvl w:val="0"/>
          <w:numId w:val="197"/>
        </w:numPr>
        <w:spacing w:before="120" w:after="120" w:line="276" w:lineRule="auto"/>
        <w:jc w:val="both"/>
        <w:rPr>
          <w:rFonts w:cs="Segoe UI"/>
          <w:szCs w:val="19"/>
        </w:rPr>
      </w:pPr>
      <w:r w:rsidRPr="00AA33F1">
        <w:rPr>
          <w:rFonts w:cs="Segoe UI"/>
          <w:szCs w:val="19"/>
        </w:rPr>
        <w:t>Presentation (user-interface)</w:t>
      </w:r>
    </w:p>
    <w:p w:rsidR="00000000" w:rsidRDefault="009E2575" w:rsidP="003D5A31">
      <w:pPr>
        <w:pStyle w:val="ListParagraph"/>
        <w:numPr>
          <w:ilvl w:val="0"/>
          <w:numId w:val="197"/>
        </w:numPr>
        <w:spacing w:before="120" w:after="120" w:line="276" w:lineRule="auto"/>
        <w:jc w:val="both"/>
        <w:rPr>
          <w:rFonts w:cs="Segoe UI"/>
          <w:szCs w:val="19"/>
        </w:rPr>
      </w:pPr>
      <w:r w:rsidRPr="00AA33F1">
        <w:rPr>
          <w:rFonts w:cs="Segoe UI"/>
          <w:szCs w:val="19"/>
        </w:rPr>
        <w:t>Web-server</w:t>
      </w:r>
    </w:p>
    <w:p w:rsidR="00000000" w:rsidRDefault="009E2575" w:rsidP="003D5A31">
      <w:pPr>
        <w:pStyle w:val="ListParagraph"/>
        <w:numPr>
          <w:ilvl w:val="0"/>
          <w:numId w:val="197"/>
        </w:numPr>
        <w:spacing w:before="120" w:after="120" w:line="276" w:lineRule="auto"/>
        <w:jc w:val="both"/>
        <w:rPr>
          <w:rFonts w:cs="Segoe UI"/>
          <w:szCs w:val="19"/>
        </w:rPr>
      </w:pPr>
      <w:r w:rsidRPr="00AA33F1">
        <w:rPr>
          <w:rFonts w:cs="Segoe UI"/>
          <w:szCs w:val="19"/>
        </w:rPr>
        <w:t>Application server</w:t>
      </w:r>
    </w:p>
    <w:p w:rsidR="00000000" w:rsidRDefault="009E2575" w:rsidP="003D5A31">
      <w:pPr>
        <w:pStyle w:val="ListParagraph"/>
        <w:numPr>
          <w:ilvl w:val="0"/>
          <w:numId w:val="197"/>
        </w:numPr>
        <w:spacing w:before="120" w:after="120" w:line="276" w:lineRule="auto"/>
        <w:jc w:val="both"/>
        <w:rPr>
          <w:rFonts w:cs="Segoe UI"/>
          <w:szCs w:val="19"/>
        </w:rPr>
      </w:pPr>
      <w:r w:rsidRPr="0062247F">
        <w:rPr>
          <w:rFonts w:cs="Segoe UI"/>
          <w:szCs w:val="19"/>
        </w:rPr>
        <w:t>Data-server.</w:t>
      </w:r>
      <w:r w:rsidRPr="009E2575">
        <w:t xml:space="preserve"> </w:t>
      </w:r>
    </w:p>
    <w:p w:rsidR="00DA6787" w:rsidRPr="002126ED" w:rsidRDefault="001C35EB" w:rsidP="004F5E05">
      <w:pPr>
        <w:pStyle w:val="Heading5"/>
      </w:pPr>
      <w:bookmarkStart w:id="980" w:name="_Toc474639236"/>
      <w:r w:rsidRPr="003B2B35">
        <w:t>Figure 14.</w:t>
      </w:r>
      <w:r w:rsidR="002126ED">
        <w:t>8</w:t>
      </w:r>
      <w:r w:rsidRPr="003B2B35">
        <w:t xml:space="preserve">: System architecture of </w:t>
      </w:r>
      <w:r>
        <w:t>Information and Knowledge Portal</w:t>
      </w:r>
      <w:bookmarkEnd w:id="980"/>
    </w:p>
    <w:p w:rsidR="00DA6787" w:rsidRPr="00AE222B" w:rsidRDefault="00DA6787" w:rsidP="004F5E05">
      <w:pPr>
        <w:jc w:val="center"/>
        <w:rPr>
          <w:rFonts w:cs="Segoe UI"/>
          <w:color w:val="FF0000"/>
          <w:szCs w:val="19"/>
        </w:rPr>
      </w:pPr>
      <w:r w:rsidRPr="00FF1AAD">
        <w:rPr>
          <w:rFonts w:cs="Segoe UI"/>
          <w:noProof/>
          <w:color w:val="FF0000"/>
          <w:szCs w:val="19"/>
          <w:lang w:val="en-AU" w:eastAsia="en-AU" w:bidi="bn-BD"/>
        </w:rPr>
        <w:drawing>
          <wp:inline distT="0" distB="0" distL="0" distR="0">
            <wp:extent cx="4838700" cy="2971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rotWithShape="1">
                    <a:blip r:embed="rId2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20"/>
                    <a:stretch/>
                  </pic:blipFill>
                  <pic:spPr bwMode="auto">
                    <a:xfrm>
                      <a:off x="0" y="0"/>
                      <a:ext cx="4849835" cy="29786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A6787" w:rsidRPr="00AA33F1" w:rsidRDefault="00DA6787" w:rsidP="00DA6787">
      <w:pPr>
        <w:spacing w:line="276" w:lineRule="auto"/>
        <w:jc w:val="both"/>
      </w:pPr>
      <w:r w:rsidRPr="00AA33F1">
        <w:t xml:space="preserve">The presentation layer represents user-interfaces that a user uses to interact with the application. This layer has been developed using ASP .Net. HTML5 and CSS3 with jQuery are also used to develop the user interface. The design and look of the interfaces has been made simple and user-friendly in consultation with </w:t>
      </w:r>
      <w:r w:rsidRPr="00AA33F1">
        <w:rPr>
          <w:bCs/>
        </w:rPr>
        <w:t>Bangladesh Delta Plan</w:t>
      </w:r>
      <w:r w:rsidRPr="00AA33F1">
        <w:t xml:space="preserve"> 2100. </w:t>
      </w:r>
    </w:p>
    <w:p w:rsidR="00DA6787" w:rsidRPr="00AA33F1" w:rsidRDefault="00DA6787" w:rsidP="00DA6787">
      <w:pPr>
        <w:spacing w:line="276" w:lineRule="auto"/>
        <w:jc w:val="both"/>
      </w:pPr>
      <w:r w:rsidRPr="00AA33F1">
        <w:t>The main service component for a web-based application is the web server. It is a program that manages and delivers web pages and allows users to communicate with the server for data service through the Internet or the intranet. The web server is configured using Internet Information Services.</w:t>
      </w:r>
    </w:p>
    <w:p w:rsidR="00DA6787" w:rsidRPr="00AA33F1" w:rsidRDefault="00DA6787" w:rsidP="00DA6787">
      <w:pPr>
        <w:spacing w:line="276" w:lineRule="auto"/>
        <w:jc w:val="both"/>
      </w:pPr>
      <w:r w:rsidRPr="00AA33F1">
        <w:t>The application layer is the main development area</w:t>
      </w:r>
      <w:r>
        <w:t>,</w:t>
      </w:r>
      <w:r w:rsidRPr="00AA33F1">
        <w:t xml:space="preserve"> which consists of business and data components. The business component is used to impose different business rules and logics.  The data component is responsible for retrieving data from the server. The application layer has been developed using Asp .Net. </w:t>
      </w:r>
    </w:p>
    <w:p w:rsidR="00DA6787" w:rsidRPr="00AA33F1" w:rsidRDefault="00DA6787" w:rsidP="00DA6787">
      <w:pPr>
        <w:spacing w:line="276" w:lineRule="auto"/>
        <w:jc w:val="both"/>
        <w:rPr>
          <w:rFonts w:cs="Segoe UI"/>
          <w:szCs w:val="19"/>
        </w:rPr>
      </w:pPr>
      <w:r w:rsidRPr="00AA33F1">
        <w:rPr>
          <w:rFonts w:cs="Segoe UI"/>
          <w:szCs w:val="19"/>
        </w:rPr>
        <w:t>The data server has contained data, views, triggers and stored-procedure. It executes SQL statements, views, triggers and stored-procedure for data manipulation and presentation. A relational database PostGreSQL is used to store and organize data.</w:t>
      </w:r>
    </w:p>
    <w:p w:rsidR="004F5E05" w:rsidRDefault="004F5E05">
      <w:pPr>
        <w:rPr>
          <w:rFonts w:cs="Times New Roman"/>
          <w:b/>
          <w:bCs/>
          <w:szCs w:val="24"/>
        </w:rPr>
      </w:pPr>
      <w:bookmarkStart w:id="981" w:name="_Toc453408880"/>
      <w:r>
        <w:br w:type="page"/>
      </w:r>
    </w:p>
    <w:p w:rsidR="00000000" w:rsidRDefault="00DA6787" w:rsidP="003D5A31">
      <w:pPr>
        <w:pStyle w:val="BodyText"/>
        <w:numPr>
          <w:ilvl w:val="2"/>
          <w:numId w:val="251"/>
        </w:numPr>
        <w:spacing w:after="240" w:line="276" w:lineRule="auto"/>
        <w:jc w:val="both"/>
        <w:rPr>
          <w:rFonts w:cs="Times New Roman"/>
          <w:b/>
          <w:szCs w:val="24"/>
        </w:rPr>
      </w:pPr>
      <w:r w:rsidRPr="00801E7D">
        <w:rPr>
          <w:rFonts w:cs="Times New Roman"/>
          <w:b/>
          <w:szCs w:val="24"/>
        </w:rPr>
        <w:t>Data Components of Information and Knowledge Portal</w:t>
      </w:r>
      <w:bookmarkEnd w:id="981"/>
    </w:p>
    <w:p w:rsidR="00DA6787" w:rsidRPr="00AA33F1" w:rsidRDefault="00DA6787" w:rsidP="002126ED">
      <w:pPr>
        <w:spacing w:line="276" w:lineRule="auto"/>
        <w:jc w:val="both"/>
        <w:rPr>
          <w:rFonts w:cs="Segoe UI"/>
          <w:szCs w:val="19"/>
        </w:rPr>
      </w:pPr>
      <w:r w:rsidRPr="00AA33F1">
        <w:rPr>
          <w:rFonts w:cs="Segoe UI"/>
          <w:szCs w:val="19"/>
        </w:rPr>
        <w:t xml:space="preserve">The Information and Knowledge Portal has been installed and configured in a secured server at CEGIS. The web address of the Information Portal is </w:t>
      </w:r>
      <w:r w:rsidRPr="00AA33F1">
        <w:rPr>
          <w:rFonts w:cs="Segoe UI"/>
          <w:b/>
          <w:i/>
          <w:szCs w:val="19"/>
        </w:rPr>
        <w:t>http://202.53.173.179/delta</w:t>
      </w:r>
      <w:r w:rsidRPr="00AA33F1">
        <w:rPr>
          <w:rFonts w:cs="Segoe UI"/>
          <w:b/>
          <w:szCs w:val="19"/>
        </w:rPr>
        <w:t>/.</w:t>
      </w:r>
    </w:p>
    <w:p w:rsidR="00DA6787" w:rsidRPr="00436CDB" w:rsidRDefault="00DA6787" w:rsidP="002126ED">
      <w:pPr>
        <w:spacing w:line="276" w:lineRule="auto"/>
        <w:jc w:val="both"/>
        <w:rPr>
          <w:rFonts w:cs="Segoe UI"/>
          <w:szCs w:val="19"/>
        </w:rPr>
      </w:pPr>
      <w:r w:rsidRPr="00AA33F1">
        <w:rPr>
          <w:rFonts w:cs="Segoe UI"/>
          <w:szCs w:val="19"/>
        </w:rPr>
        <w:t xml:space="preserve">The Portal has a very user-friendly and interactive interface. It allows users to access all generated and collected information from a single place through web. This portal has three components: Data Explorer, Metadata Viewer and Export Tool. The Data Explorer helps to display spatial, temporal and attribute data. In order to sort and query data easily, all data available in the portal are categorized into different data groups based on thematic area of the project. The Metadata Viewer has been developed to display Metadata for each data layer. Metadata is the information about data that enables intelligent and efficient access and management of data. It is the background information, which describes the content, quality, condition, and other appropriate characteristics of data. Web based customized metadata viewer has been developed on the basis of ISO standard and model developed for NWRD. The Expert Tool allows authorized users to download information from the portal. Spatial data, and attribute information can be downloaded for further analysis. </w:t>
      </w:r>
    </w:p>
    <w:p w:rsidR="00000000" w:rsidRDefault="00436CDB" w:rsidP="003D5A31">
      <w:pPr>
        <w:pStyle w:val="BodyText"/>
        <w:numPr>
          <w:ilvl w:val="2"/>
          <w:numId w:val="251"/>
        </w:numPr>
        <w:spacing w:after="240" w:line="276" w:lineRule="auto"/>
        <w:jc w:val="both"/>
        <w:rPr>
          <w:rFonts w:cs="Times New Roman"/>
          <w:b/>
          <w:szCs w:val="24"/>
        </w:rPr>
      </w:pPr>
      <w:r w:rsidRPr="00801E7D">
        <w:rPr>
          <w:rFonts w:cs="Times New Roman"/>
          <w:b/>
          <w:szCs w:val="24"/>
        </w:rPr>
        <w:t>Maintaining and Updating the Delta Plan Tools</w:t>
      </w:r>
    </w:p>
    <w:p w:rsidR="00436CDB" w:rsidRDefault="00DA6787" w:rsidP="002126ED">
      <w:pPr>
        <w:spacing w:line="276" w:lineRule="auto"/>
        <w:jc w:val="both"/>
      </w:pPr>
      <w:r w:rsidRPr="00FF1AAD">
        <w:t xml:space="preserve">The Delta Information Portal is the central depository for all geospatial data used and generated in BDP2100. It’s long term maintenance and regular updating is of crucial importance. The GoB institutes (in particular GED, WARPO and BWDB) will bring this information portal under their responsibility. GED, WARPO and BWDB want to make the data base open access so that all relevant parties involved in the implementation of the BDP2100 can make use of the wealth of information generated. </w:t>
      </w:r>
      <w:r w:rsidR="00436CDB">
        <w:t xml:space="preserve">  </w:t>
      </w:r>
    </w:p>
    <w:p w:rsidR="00DA6787" w:rsidRDefault="00DA6787" w:rsidP="002126ED">
      <w:pPr>
        <w:spacing w:line="276" w:lineRule="auto"/>
        <w:jc w:val="both"/>
      </w:pPr>
      <w:r w:rsidRPr="00FF1AAD">
        <w:t xml:space="preserve">GED will work towards setting up a support team that is capable of the operations and maintenance of this information structure. This means operating and updating the information portal, but also making the connections between the portal and the delta tools. For example, if a new data layer is added to the portal this layer has to be added to the Phoenix touch table application. This requires continuous effort and the role of the support team is to operate as a knowledge broker. New research results need to be integrated in the information portal. Innovations in the tools need to be implemented where user needs and requirements are put up front. This requires a close link with the actors involved in the planning and implementation of the BDP2100 strategies. The team needs to ensure that the information portal remains up to date, contains news, for instance by highlighting showcases, successes in the implementation. The information portal and the delta tools connected to it should become a dynamic up to date system that also highlights the progress and successes achieved. It should become a basis for a lively community of practice, sharing scientific information, practical </w:t>
      </w:r>
      <w:r>
        <w:t>experiences and lessons learnt.</w:t>
      </w:r>
    </w:p>
    <w:p w:rsidR="00000000" w:rsidRDefault="00436CDB" w:rsidP="003D5A31">
      <w:pPr>
        <w:pStyle w:val="BodyText"/>
        <w:numPr>
          <w:ilvl w:val="2"/>
          <w:numId w:val="251"/>
        </w:numPr>
        <w:spacing w:after="240" w:line="276" w:lineRule="auto"/>
        <w:jc w:val="both"/>
        <w:rPr>
          <w:rFonts w:cs="Times New Roman"/>
          <w:b/>
          <w:szCs w:val="24"/>
        </w:rPr>
      </w:pPr>
      <w:r w:rsidRPr="00801E7D">
        <w:rPr>
          <w:rFonts w:cs="Times New Roman"/>
          <w:b/>
          <w:szCs w:val="24"/>
        </w:rPr>
        <w:t>Financing Knowledge Management</w:t>
      </w:r>
    </w:p>
    <w:p w:rsidR="00DA6787" w:rsidRPr="00AA33F1" w:rsidRDefault="00DA6787" w:rsidP="002126ED">
      <w:pPr>
        <w:spacing w:line="276" w:lineRule="auto"/>
        <w:jc w:val="both"/>
      </w:pPr>
      <w:r w:rsidRPr="00AA33F1">
        <w:t xml:space="preserve">The knowledge strategy has also included a financing strategy. It looks for </w:t>
      </w:r>
      <w:r w:rsidRPr="00AA33F1">
        <w:rPr>
          <w:i/>
          <w:iCs/>
        </w:rPr>
        <w:t>structural means</w:t>
      </w:r>
      <w:r w:rsidRPr="00AA33F1">
        <w:t xml:space="preserve"> to program specific knowledge questions (5% pf the Delta Fund has been proposed for research and development) and to coordinate the knowledge agenda (multiplier mechanisms on funding from the Government of Bangladesh for knowledge creation). Important is in this respect the gradually move from donor involvement to national financing, private sector involvement/</w:t>
      </w:r>
      <w:r w:rsidR="000B096E">
        <w:t>public</w:t>
      </w:r>
      <w:r w:rsidRPr="00AA33F1">
        <w:t>-private partnerships. Different types of knowledge questions need to be linked to different funding sources. That is: knowledge fundamental for system understanding (e.g. ‘what’ questions, early in planning process) should be financed by universities or national research funds, while knowledge needed for implementation (e.g. ‘how’ questions, later in planning process) will be financed by the delta fund.</w:t>
      </w:r>
    </w:p>
    <w:p w:rsidR="00DA6787" w:rsidRDefault="00DA6787" w:rsidP="009E2575">
      <w:pPr>
        <w:pStyle w:val="BodyText"/>
        <w:spacing w:after="240" w:line="271" w:lineRule="auto"/>
        <w:jc w:val="both"/>
        <w:rPr>
          <w:rFonts w:cs="Times New Roman"/>
          <w:szCs w:val="24"/>
        </w:rPr>
      </w:pPr>
    </w:p>
    <w:p w:rsidR="00DA6787" w:rsidRDefault="00DA6787" w:rsidP="009E2575">
      <w:pPr>
        <w:pStyle w:val="BodyText"/>
        <w:spacing w:after="240" w:line="271" w:lineRule="auto"/>
        <w:jc w:val="both"/>
        <w:rPr>
          <w:rFonts w:cs="Times New Roman"/>
          <w:szCs w:val="24"/>
        </w:rPr>
      </w:pPr>
    </w:p>
    <w:p w:rsidR="00465702" w:rsidRDefault="00465702" w:rsidP="00F634CD">
      <w:pPr>
        <w:pStyle w:val="BodyText"/>
        <w:spacing w:after="240" w:line="271" w:lineRule="auto"/>
        <w:jc w:val="both"/>
        <w:rPr>
          <w:rFonts w:cs="Times New Roman"/>
          <w:szCs w:val="24"/>
        </w:rPr>
        <w:sectPr w:rsidR="00465702" w:rsidSect="00144771">
          <w:headerReference w:type="even" r:id="rId233"/>
          <w:headerReference w:type="default" r:id="rId234"/>
          <w:footerReference w:type="even" r:id="rId235"/>
          <w:footerReference w:type="default" r:id="rId236"/>
          <w:headerReference w:type="first" r:id="rId237"/>
          <w:pgSz w:w="12240" w:h="15840"/>
          <w:pgMar w:top="1440" w:right="1800" w:bottom="1440" w:left="1800" w:header="720" w:footer="720" w:gutter="0"/>
          <w:cols w:space="720"/>
          <w:docGrid w:linePitch="360"/>
        </w:sectPr>
      </w:pPr>
    </w:p>
    <w:p w:rsidR="00465702" w:rsidRPr="00465702" w:rsidRDefault="00465702" w:rsidP="008C0601">
      <w:pPr>
        <w:pStyle w:val="Heading1"/>
      </w:pPr>
      <w:bookmarkStart w:id="982" w:name="_Toc474638968"/>
      <w:r w:rsidRPr="00465702">
        <w:t>Bibliography</w:t>
      </w:r>
      <w:bookmarkEnd w:id="982"/>
    </w:p>
    <w:p w:rsidR="00465702" w:rsidRPr="00002C47" w:rsidRDefault="00465702" w:rsidP="00AF367B">
      <w:pPr>
        <w:ind w:left="720" w:hanging="720"/>
        <w:mirrorIndents/>
        <w:jc w:val="both"/>
        <w:rPr>
          <w:rFonts w:cs="Times New Roman"/>
        </w:rPr>
      </w:pPr>
      <w:r w:rsidRPr="00002C47">
        <w:rPr>
          <w:rFonts w:cs="Times New Roman"/>
        </w:rPr>
        <w:t xml:space="preserve">2030 Water Resource Group. </w:t>
      </w:r>
      <w:r w:rsidRPr="00002C47">
        <w:rPr>
          <w:rFonts w:cs="Times New Roman"/>
          <w:i/>
        </w:rPr>
        <w:t>An Analysis of industrial water use in Bangladesh with a focus on the leather and textile industries, Draft report</w:t>
      </w:r>
      <w:r w:rsidRPr="00002C47">
        <w:rPr>
          <w:rFonts w:cs="Times New Roman"/>
        </w:rPr>
        <w:t>. 2015.</w:t>
      </w:r>
    </w:p>
    <w:p w:rsidR="00465702" w:rsidRPr="00002C47" w:rsidRDefault="00465702" w:rsidP="00AF367B">
      <w:pPr>
        <w:ind w:left="720" w:hanging="720"/>
        <w:mirrorIndents/>
        <w:jc w:val="both"/>
        <w:rPr>
          <w:rFonts w:cs="Times New Roman"/>
        </w:rPr>
      </w:pPr>
      <w:r w:rsidRPr="00002C47">
        <w:rPr>
          <w:rFonts w:cs="Times New Roman"/>
        </w:rPr>
        <w:t xml:space="preserve">ADB. Southeast Asia and the Economics of Global Climate Stabilization. In </w:t>
      </w:r>
      <w:r w:rsidRPr="00002C47">
        <w:rPr>
          <w:rFonts w:cs="Times New Roman"/>
          <w:i/>
        </w:rPr>
        <w:t>2015 Paris Climate Conference, COP 21</w:t>
      </w:r>
      <w:r w:rsidRPr="00002C47">
        <w:rPr>
          <w:rFonts w:cs="Times New Roman"/>
        </w:rPr>
        <w:t>, 2015.</w:t>
      </w:r>
    </w:p>
    <w:p w:rsidR="00465702" w:rsidRPr="00002C47" w:rsidRDefault="00465702" w:rsidP="00AF367B">
      <w:pPr>
        <w:ind w:left="720" w:hanging="720"/>
        <w:mirrorIndents/>
        <w:jc w:val="both"/>
        <w:rPr>
          <w:rFonts w:cs="Times New Roman"/>
        </w:rPr>
      </w:pPr>
      <w:r w:rsidRPr="00002C47">
        <w:rPr>
          <w:rFonts w:cs="Times New Roman"/>
        </w:rPr>
        <w:t xml:space="preserve">ADB. </w:t>
      </w:r>
      <w:r w:rsidRPr="00002C47">
        <w:rPr>
          <w:rFonts w:cs="Times New Roman"/>
          <w:i/>
        </w:rPr>
        <w:t>The Economics of Climate Change in Southeast Asia: A Regional Review</w:t>
      </w:r>
      <w:r w:rsidRPr="00002C47">
        <w:rPr>
          <w:rFonts w:cs="Times New Roman"/>
        </w:rPr>
        <w:t>. Manila: Asian Development Bank. 2009.</w:t>
      </w:r>
    </w:p>
    <w:p w:rsidR="00465702" w:rsidRPr="00002C47" w:rsidRDefault="00465702" w:rsidP="00AF367B">
      <w:pPr>
        <w:ind w:left="720" w:hanging="720"/>
        <w:mirrorIndents/>
        <w:jc w:val="both"/>
        <w:rPr>
          <w:rFonts w:cs="Times New Roman"/>
        </w:rPr>
      </w:pPr>
      <w:r w:rsidRPr="00002C47">
        <w:rPr>
          <w:rFonts w:cs="Times New Roman"/>
        </w:rPr>
        <w:t xml:space="preserve">Agrawala, S., T. Ota, A.U. Ahmed, J. Smith and M. van Aalst. </w:t>
      </w:r>
      <w:r w:rsidRPr="00002C47">
        <w:rPr>
          <w:rFonts w:cs="Times New Roman"/>
          <w:i/>
        </w:rPr>
        <w:t>Development and Climate Change in Bangladesh: Focus on Coastal Flooding and the Sunderbans</w:t>
      </w:r>
      <w:r w:rsidRPr="00002C47">
        <w:rPr>
          <w:rFonts w:cs="Times New Roman"/>
        </w:rPr>
        <w:t>. Paris: Organisation for Economic Co-operation and Development (OECD). 2003.</w:t>
      </w:r>
    </w:p>
    <w:p w:rsidR="00465702" w:rsidRPr="00002C47" w:rsidRDefault="00465702" w:rsidP="00AF367B">
      <w:pPr>
        <w:ind w:left="720" w:hanging="720"/>
        <w:mirrorIndents/>
        <w:jc w:val="both"/>
        <w:rPr>
          <w:rFonts w:cs="Times New Roman"/>
        </w:rPr>
      </w:pPr>
      <w:r w:rsidRPr="00002C47">
        <w:rPr>
          <w:rFonts w:cs="Times New Roman"/>
        </w:rPr>
        <w:t xml:space="preserve">Ahmad Mahfuz and Suphachalasai, Suphachol. </w:t>
      </w:r>
      <w:r w:rsidRPr="00002C47">
        <w:rPr>
          <w:rFonts w:cs="Times New Roman"/>
          <w:i/>
        </w:rPr>
        <w:t>Assessing the Costs of Climate Change and Adaptation in South Asia</w:t>
      </w:r>
      <w:r w:rsidRPr="00002C47">
        <w:rPr>
          <w:rFonts w:cs="Times New Roman"/>
        </w:rPr>
        <w:t>. ADB, Manila, 2014.</w:t>
      </w:r>
    </w:p>
    <w:p w:rsidR="00465702" w:rsidRPr="00002C47" w:rsidRDefault="00465702" w:rsidP="00AF367B">
      <w:pPr>
        <w:ind w:left="720" w:hanging="720"/>
        <w:mirrorIndents/>
        <w:jc w:val="both"/>
        <w:rPr>
          <w:rFonts w:cs="Times New Roman"/>
        </w:rPr>
      </w:pPr>
      <w:r w:rsidRPr="00002C47">
        <w:rPr>
          <w:rFonts w:cs="Times New Roman"/>
        </w:rPr>
        <w:t xml:space="preserve">Ahmed, A. A. &amp; Shah, S. M. A., Application of adaptive neuro -fuzzy inference system (ANFIS) to estimate the BOD of Surma River. </w:t>
      </w:r>
      <w:r w:rsidRPr="00002C47">
        <w:rPr>
          <w:rFonts w:cs="Times New Roman"/>
          <w:i/>
        </w:rPr>
        <w:t>Journal of King Saud University - Engineering Sciences</w:t>
      </w:r>
      <w:r w:rsidRPr="00002C47">
        <w:rPr>
          <w:rFonts w:cs="Times New Roman"/>
        </w:rPr>
        <w:t>, (2015).</w:t>
      </w:r>
    </w:p>
    <w:p w:rsidR="00465702" w:rsidRPr="00002C47" w:rsidRDefault="00465702" w:rsidP="00AF367B">
      <w:pPr>
        <w:ind w:left="720" w:hanging="720"/>
        <w:mirrorIndents/>
        <w:jc w:val="both"/>
        <w:rPr>
          <w:rFonts w:cs="Times New Roman"/>
        </w:rPr>
      </w:pPr>
      <w:r w:rsidRPr="00002C47">
        <w:rPr>
          <w:rFonts w:cs="Times New Roman"/>
        </w:rPr>
        <w:t xml:space="preserve">Ahmed, A. M., &amp; Roy, K. </w:t>
      </w:r>
      <w:r w:rsidRPr="00002C47">
        <w:rPr>
          <w:rFonts w:cs="Times New Roman"/>
          <w:i/>
        </w:rPr>
        <w:t>Utilization and Conservation of Water Resources in Bangladesh</w:t>
      </w:r>
      <w:r w:rsidRPr="00002C47">
        <w:rPr>
          <w:rFonts w:cs="Times New Roman"/>
        </w:rPr>
        <w:t>. 2004. http://www.nourin.tsukuba.ac.jp/~tasae/2006/Bangladesh.pdf</w:t>
      </w:r>
    </w:p>
    <w:p w:rsidR="00E12BBA" w:rsidRPr="004B0A08" w:rsidRDefault="00E12BBA" w:rsidP="00AF367B">
      <w:pPr>
        <w:ind w:left="720" w:hanging="720"/>
        <w:mirrorIndents/>
        <w:jc w:val="both"/>
        <w:rPr>
          <w:rFonts w:cs="Times New Roman"/>
          <w:sz w:val="32"/>
        </w:rPr>
      </w:pPr>
      <w:r w:rsidRPr="004B0A08">
        <w:rPr>
          <w:rFonts w:cstheme="minorHAnsi"/>
          <w:szCs w:val="20"/>
        </w:rPr>
        <w:t>Ahmed A U, “Bangladesh Climate Change Impacts and Vulnerability A Synthesis”,</w:t>
      </w:r>
      <w:r w:rsidRPr="004B0A08">
        <w:rPr>
          <w:szCs w:val="20"/>
        </w:rPr>
        <w:t xml:space="preserve"> </w:t>
      </w:r>
      <w:r w:rsidRPr="004B0A08">
        <w:rPr>
          <w:rFonts w:cstheme="minorHAnsi"/>
          <w:szCs w:val="20"/>
        </w:rPr>
        <w:t>Climate Change Cell, Department of Environment, Comprehensive Disaster Management Programme, Government of the People’s Re</w:t>
      </w:r>
      <w:r w:rsidR="000B096E">
        <w:t>public</w:t>
      </w:r>
      <w:r w:rsidRPr="004B0A08">
        <w:rPr>
          <w:rFonts w:cstheme="minorHAnsi"/>
          <w:szCs w:val="20"/>
        </w:rPr>
        <w:t xml:space="preserve"> of Bangladesh, 2006</w:t>
      </w:r>
    </w:p>
    <w:p w:rsidR="00465702" w:rsidRPr="00002C47" w:rsidRDefault="00465702" w:rsidP="00AF367B">
      <w:pPr>
        <w:ind w:left="720" w:hanging="720"/>
        <w:mirrorIndents/>
        <w:jc w:val="both"/>
        <w:rPr>
          <w:rFonts w:cs="Times New Roman"/>
        </w:rPr>
      </w:pPr>
      <w:r w:rsidRPr="00002C47">
        <w:rPr>
          <w:rFonts w:cs="Times New Roman"/>
        </w:rPr>
        <w:t xml:space="preserve">Ahmed, A. U., Neelormi, S., Adri, N., Alam, M. S., &amp; Nuruzzaman, K. </w:t>
      </w:r>
      <w:r w:rsidRPr="00002C47">
        <w:rPr>
          <w:rFonts w:cs="Times New Roman"/>
          <w:i/>
        </w:rPr>
        <w:t>Climate Change, Gender and Vulnerable Groups in Bangladesh</w:t>
      </w:r>
      <w:r w:rsidRPr="00002C47">
        <w:rPr>
          <w:rFonts w:cs="Times New Roman"/>
        </w:rPr>
        <w:t>. Climate Change Cell, Department of Environment, Ministry of Environment and Forests. 2009.</w:t>
      </w:r>
    </w:p>
    <w:p w:rsidR="00465702" w:rsidRPr="00002C47" w:rsidRDefault="00465702" w:rsidP="00AF367B">
      <w:pPr>
        <w:ind w:left="720" w:hanging="720"/>
        <w:mirrorIndents/>
        <w:jc w:val="both"/>
        <w:rPr>
          <w:rFonts w:cs="Times New Roman"/>
        </w:rPr>
      </w:pPr>
      <w:r w:rsidRPr="00002C47">
        <w:rPr>
          <w:rFonts w:cs="Times New Roman"/>
        </w:rPr>
        <w:t xml:space="preserve">Ahmed, F. </w:t>
      </w:r>
      <w:r w:rsidRPr="00002C47">
        <w:rPr>
          <w:rFonts w:cs="Times New Roman"/>
          <w:i/>
        </w:rPr>
        <w:t>Alternative water supply options for arsenic affected areas of Bangladesh</w:t>
      </w:r>
      <w:r w:rsidRPr="00002C47">
        <w:rPr>
          <w:rFonts w:cs="Times New Roman"/>
        </w:rPr>
        <w:t>. 2002.</w:t>
      </w:r>
    </w:p>
    <w:p w:rsidR="00465702" w:rsidRPr="00002C47" w:rsidRDefault="00465702" w:rsidP="00AF367B">
      <w:pPr>
        <w:ind w:left="720" w:hanging="720"/>
        <w:mirrorIndents/>
        <w:jc w:val="both"/>
        <w:rPr>
          <w:rFonts w:cs="Times New Roman"/>
        </w:rPr>
      </w:pPr>
      <w:r w:rsidRPr="00002C47">
        <w:rPr>
          <w:rFonts w:cs="Times New Roman"/>
        </w:rPr>
        <w:t xml:space="preserve">Ahmed, M. and Suphachalasai, S. </w:t>
      </w:r>
      <w:r w:rsidRPr="00002C47">
        <w:rPr>
          <w:rFonts w:cs="Times New Roman"/>
          <w:i/>
        </w:rPr>
        <w:t>Assessing the Costs of Climate Change and Adaptation in South Asia</w:t>
      </w:r>
      <w:r w:rsidRPr="00002C47">
        <w:rPr>
          <w:rFonts w:cs="Times New Roman"/>
        </w:rPr>
        <w:t>. Manila: ADB and UK Aid. 2014.</w:t>
      </w:r>
    </w:p>
    <w:p w:rsidR="00465702" w:rsidRPr="00002C47" w:rsidRDefault="00465702" w:rsidP="00AF367B">
      <w:pPr>
        <w:ind w:left="720" w:hanging="720"/>
        <w:mirrorIndents/>
        <w:jc w:val="both"/>
        <w:rPr>
          <w:rFonts w:cs="Times New Roman"/>
        </w:rPr>
      </w:pPr>
      <w:r w:rsidRPr="00002C47">
        <w:rPr>
          <w:rFonts w:cs="Times New Roman"/>
        </w:rPr>
        <w:t xml:space="preserve">Ahmed, M. J., Haque, M. R. &amp; Haque, T. Physicochemical Assessment of Surface and Groundwater Resources of Greater Comilla Region of Bangladesh. </w:t>
      </w:r>
      <w:r w:rsidRPr="00002C47">
        <w:rPr>
          <w:rFonts w:cs="Times New Roman"/>
          <w:i/>
        </w:rPr>
        <w:t>International Journal of Chemical and Environmental Engineering</w:t>
      </w:r>
      <w:r w:rsidRPr="00002C47">
        <w:rPr>
          <w:rFonts w:cs="Times New Roman"/>
        </w:rPr>
        <w:t>, (2010): p. 8.</w:t>
      </w:r>
    </w:p>
    <w:p w:rsidR="00465702" w:rsidRPr="00002C47" w:rsidRDefault="00465702" w:rsidP="00AF367B">
      <w:pPr>
        <w:ind w:left="720" w:hanging="720"/>
        <w:mirrorIndents/>
        <w:jc w:val="both"/>
        <w:rPr>
          <w:rFonts w:cs="Times New Roman"/>
        </w:rPr>
      </w:pPr>
      <w:r w:rsidRPr="00002C47">
        <w:rPr>
          <w:rFonts w:cs="Times New Roman"/>
        </w:rPr>
        <w:t>Ahmed, M. J., Haque, M. R., &amp; Haque, T. Physicochemical Assessment of Surface and Groundwater Resources of Greater Comilla Region of Bangladesh.</w:t>
      </w:r>
      <w:r w:rsidRPr="00002C47">
        <w:rPr>
          <w:rFonts w:cs="Times New Roman"/>
          <w:i/>
        </w:rPr>
        <w:t xml:space="preserve"> International Journal of Chemical and Environmental Engineering</w:t>
      </w:r>
      <w:r w:rsidRPr="00002C47">
        <w:rPr>
          <w:rFonts w:cs="Times New Roman"/>
        </w:rPr>
        <w:t>, 8 (2010).</w:t>
      </w:r>
    </w:p>
    <w:p w:rsidR="00465702" w:rsidRPr="00002C47" w:rsidRDefault="00465702" w:rsidP="00AF367B">
      <w:pPr>
        <w:ind w:left="720" w:hanging="720"/>
        <w:mirrorIndents/>
        <w:jc w:val="both"/>
        <w:rPr>
          <w:rFonts w:cs="Times New Roman"/>
        </w:rPr>
      </w:pPr>
      <w:r w:rsidRPr="00002C47">
        <w:rPr>
          <w:rFonts w:cs="Times New Roman"/>
        </w:rPr>
        <w:t>Ahmed, S. (n.d.). Water Supply Situation Analysis. http://users.physics.harvard.edu/~wilson/arsenic/conferences/Feroze_Ahmed/Sec_2.htm (Accessed 2016)</w:t>
      </w:r>
    </w:p>
    <w:p w:rsidR="00465702" w:rsidRPr="00002C47" w:rsidRDefault="00465702" w:rsidP="00AF367B">
      <w:pPr>
        <w:ind w:left="720" w:hanging="720"/>
        <w:mirrorIndents/>
        <w:jc w:val="both"/>
        <w:rPr>
          <w:rFonts w:cs="Times New Roman"/>
        </w:rPr>
      </w:pPr>
      <w:r w:rsidRPr="00002C47">
        <w:rPr>
          <w:rFonts w:cs="Times New Roman"/>
        </w:rPr>
        <w:t xml:space="preserve">Ahmeduzzaman, M., Kar, S., &amp; Asad, A. A Study on Ground Water Fluctuation at Barind Area, Rajshahi. </w:t>
      </w:r>
      <w:r w:rsidRPr="00002C47">
        <w:rPr>
          <w:rFonts w:cs="Times New Roman"/>
          <w:i/>
        </w:rPr>
        <w:t>International Journal of Engineering Research and Applications</w:t>
      </w:r>
      <w:r w:rsidRPr="00002C47">
        <w:rPr>
          <w:rFonts w:cs="Times New Roman"/>
        </w:rPr>
        <w:t>, 2(6) (2012): 1465-1470.</w:t>
      </w:r>
    </w:p>
    <w:p w:rsidR="00465702" w:rsidRPr="00002C47" w:rsidRDefault="00465702" w:rsidP="00AF367B">
      <w:pPr>
        <w:ind w:left="720" w:hanging="720"/>
        <w:mirrorIndents/>
        <w:jc w:val="both"/>
        <w:rPr>
          <w:rFonts w:cs="Times New Roman"/>
        </w:rPr>
      </w:pPr>
      <w:r w:rsidRPr="00002C47">
        <w:rPr>
          <w:rFonts w:cs="Times New Roman"/>
        </w:rPr>
        <w:t xml:space="preserve">Ahmed, Tanvir, K. M. &amp; Begum, D. A. </w:t>
      </w:r>
      <w:r w:rsidRPr="00002C47">
        <w:rPr>
          <w:rFonts w:cs="Times New Roman"/>
          <w:i/>
        </w:rPr>
        <w:t>Air Pollution Aspects of Dhaka City</w:t>
      </w:r>
      <w:r w:rsidRPr="00002C47">
        <w:rPr>
          <w:rFonts w:cs="Times New Roman"/>
        </w:rPr>
        <w:t>. 2010.</w:t>
      </w:r>
    </w:p>
    <w:p w:rsidR="00465702" w:rsidRPr="00002C47" w:rsidRDefault="00465702" w:rsidP="00AF367B">
      <w:pPr>
        <w:ind w:left="720" w:hanging="720"/>
        <w:mirrorIndents/>
        <w:jc w:val="both"/>
        <w:rPr>
          <w:rFonts w:cs="Times New Roman"/>
        </w:rPr>
      </w:pPr>
      <w:r w:rsidRPr="00002C47">
        <w:rPr>
          <w:rFonts w:cs="Times New Roman"/>
        </w:rPr>
        <w:t xml:space="preserve">Alam, M. M. An Evaluation of Water Resources Planning Organization, an Apex Planning Organization in Water Sector Bangladesh. </w:t>
      </w:r>
      <w:r w:rsidRPr="00002C47">
        <w:rPr>
          <w:rFonts w:cs="Times New Roman"/>
          <w:i/>
        </w:rPr>
        <w:t>Asian Journal of Applied Science and Engineering</w:t>
      </w:r>
      <w:r w:rsidRPr="00002C47">
        <w:rPr>
          <w:rFonts w:cs="Times New Roman"/>
        </w:rPr>
        <w:t>, Volume 3, No 2 (2014).</w:t>
      </w:r>
    </w:p>
    <w:p w:rsidR="00465702" w:rsidRPr="00002C47" w:rsidRDefault="00465702" w:rsidP="00AF367B">
      <w:pPr>
        <w:ind w:left="720" w:hanging="720"/>
        <w:mirrorIndents/>
        <w:jc w:val="both"/>
        <w:rPr>
          <w:rFonts w:cs="Times New Roman"/>
        </w:rPr>
      </w:pPr>
      <w:r w:rsidRPr="00002C47">
        <w:rPr>
          <w:rFonts w:cs="Times New Roman"/>
        </w:rPr>
        <w:t xml:space="preserve">Alam, M. M. and Quevauviller, P. An Evaluation of Integrated Water Resources Management (IWRM) activities in Bangladesh. </w:t>
      </w:r>
      <w:r w:rsidRPr="00002C47">
        <w:rPr>
          <w:rFonts w:cs="Times New Roman"/>
          <w:i/>
        </w:rPr>
        <w:t>Asia Pacific Journal of Energy and Environment</w:t>
      </w:r>
      <w:r w:rsidRPr="00002C47">
        <w:rPr>
          <w:rFonts w:cs="Times New Roman"/>
        </w:rPr>
        <w:t>, Volume 1, No 1 (2014).</w:t>
      </w:r>
    </w:p>
    <w:p w:rsidR="00465702" w:rsidRPr="00002C47" w:rsidRDefault="00465702" w:rsidP="00AF367B">
      <w:pPr>
        <w:ind w:left="720" w:hanging="720"/>
        <w:mirrorIndents/>
        <w:jc w:val="both"/>
        <w:rPr>
          <w:rFonts w:cs="Times New Roman"/>
        </w:rPr>
      </w:pPr>
      <w:r w:rsidRPr="00002C47">
        <w:rPr>
          <w:rFonts w:cs="Times New Roman"/>
        </w:rPr>
        <w:t xml:space="preserve">Alam, M. M. Rahman, M. A. and Alam, M. S. An Investigation of National Water Resources Database, Bangladesh. </w:t>
      </w:r>
      <w:r w:rsidRPr="00002C47">
        <w:rPr>
          <w:rFonts w:cs="Times New Roman"/>
          <w:i/>
        </w:rPr>
        <w:t>Asian Journal of Applied Science and Engineering</w:t>
      </w:r>
      <w:r w:rsidRPr="00002C47">
        <w:rPr>
          <w:rFonts w:cs="Times New Roman"/>
        </w:rPr>
        <w:t>, Volume 3, No 2 (2014)</w:t>
      </w:r>
    </w:p>
    <w:p w:rsidR="00465702" w:rsidRPr="00002C47" w:rsidRDefault="00465702" w:rsidP="00AF367B">
      <w:pPr>
        <w:ind w:left="720" w:hanging="720"/>
        <w:mirrorIndents/>
        <w:jc w:val="both"/>
        <w:rPr>
          <w:rFonts w:cs="Times New Roman"/>
        </w:rPr>
      </w:pPr>
      <w:r w:rsidRPr="00002C47">
        <w:rPr>
          <w:rFonts w:cs="Times New Roman"/>
        </w:rPr>
        <w:t xml:space="preserve">Alam, M. M., &amp; Quevauviller, P. An Evaluation of Integrated Water Resources Management (IWRM) activities in Bangladesh. </w:t>
      </w:r>
      <w:r w:rsidRPr="00002C47">
        <w:rPr>
          <w:rFonts w:cs="Times New Roman"/>
          <w:i/>
        </w:rPr>
        <w:t>Asia Pacific Journal of Energy and Environment</w:t>
      </w:r>
      <w:r w:rsidRPr="00002C47">
        <w:rPr>
          <w:rFonts w:cs="Times New Roman"/>
        </w:rPr>
        <w:t>, Volume 1, No 1 (2014): 21-38.</w:t>
      </w:r>
    </w:p>
    <w:p w:rsidR="00465702" w:rsidRPr="00002C47" w:rsidRDefault="00465702" w:rsidP="00AF367B">
      <w:pPr>
        <w:ind w:left="720" w:hanging="720"/>
        <w:mirrorIndents/>
        <w:jc w:val="both"/>
        <w:rPr>
          <w:rFonts w:cs="Times New Roman"/>
        </w:rPr>
      </w:pPr>
      <w:r w:rsidRPr="00002C47">
        <w:rPr>
          <w:rFonts w:cs="Times New Roman"/>
        </w:rPr>
        <w:t xml:space="preserve">Alam, M.K. A guide to eighteen species of bamboos from Bangladesh. </w:t>
      </w:r>
      <w:r w:rsidRPr="00002C47">
        <w:rPr>
          <w:rFonts w:cs="Times New Roman"/>
          <w:i/>
        </w:rPr>
        <w:t>Bulletin: Forest Research Institute, Chittagong, Bangladesh (Plant Taxonomy Series)</w:t>
      </w:r>
      <w:r w:rsidRPr="00002C47">
        <w:rPr>
          <w:rFonts w:cs="Times New Roman"/>
        </w:rPr>
        <w:t>, no.2 (1982): 29pp.</w:t>
      </w:r>
    </w:p>
    <w:p w:rsidR="00465702" w:rsidRPr="00002C47" w:rsidRDefault="00465702" w:rsidP="00AF367B">
      <w:pPr>
        <w:ind w:left="720" w:hanging="720"/>
        <w:mirrorIndents/>
        <w:jc w:val="both"/>
        <w:rPr>
          <w:rFonts w:cs="Times New Roman"/>
        </w:rPr>
      </w:pPr>
      <w:r w:rsidRPr="00002C47">
        <w:rPr>
          <w:rFonts w:cs="Times New Roman"/>
        </w:rPr>
        <w:t xml:space="preserve">Ali, L. An Integrated Approach for the Improvement of Flood Control and Drainage Schemes. In </w:t>
      </w:r>
      <w:r w:rsidRPr="00002C47">
        <w:rPr>
          <w:rFonts w:cs="Times New Roman"/>
          <w:i/>
        </w:rPr>
        <w:t>Agency and Change</w:t>
      </w:r>
      <w:r w:rsidRPr="00002C47">
        <w:rPr>
          <w:rFonts w:cs="Times New Roman"/>
        </w:rPr>
        <w:t>, R. Caldwell (ed.), 88-209. New York: Routledge. 2006.</w:t>
      </w:r>
    </w:p>
    <w:p w:rsidR="00465702" w:rsidRPr="00002C47" w:rsidRDefault="00465702" w:rsidP="00AF367B">
      <w:pPr>
        <w:ind w:left="720" w:hanging="720"/>
        <w:mirrorIndents/>
        <w:jc w:val="both"/>
        <w:rPr>
          <w:rFonts w:cs="Times New Roman"/>
        </w:rPr>
      </w:pPr>
      <w:r w:rsidRPr="00002C47">
        <w:rPr>
          <w:rFonts w:cs="Times New Roman"/>
        </w:rPr>
        <w:t xml:space="preserve">Alipour, F. Idris, K. Karimi, R. Knowledge Creation and Transfer: Role of Learning Organization. </w:t>
      </w:r>
      <w:r w:rsidRPr="00002C47">
        <w:rPr>
          <w:rFonts w:cs="Times New Roman"/>
          <w:i/>
        </w:rPr>
        <w:t>International Journal of Business Administration</w:t>
      </w:r>
      <w:r w:rsidRPr="00002C47">
        <w:rPr>
          <w:rFonts w:cs="Times New Roman"/>
        </w:rPr>
        <w:t>. Vol. 2, No. 3 (2011): 61-67.</w:t>
      </w:r>
    </w:p>
    <w:p w:rsidR="00465702" w:rsidRPr="00002C47" w:rsidRDefault="00465702" w:rsidP="00AF367B">
      <w:pPr>
        <w:ind w:left="720" w:hanging="720"/>
        <w:mirrorIndents/>
        <w:jc w:val="both"/>
        <w:rPr>
          <w:rFonts w:cs="Times New Roman"/>
        </w:rPr>
      </w:pPr>
      <w:r w:rsidRPr="00002C47">
        <w:rPr>
          <w:rFonts w:cs="Times New Roman"/>
        </w:rPr>
        <w:t xml:space="preserve">Argyris, C. Y. S. and Schön, D. </w:t>
      </w:r>
      <w:r w:rsidRPr="00002C47">
        <w:rPr>
          <w:rFonts w:cs="Times New Roman"/>
          <w:i/>
        </w:rPr>
        <w:t>Organizational learning II: Theory, method and practice</w:t>
      </w:r>
      <w:r w:rsidRPr="00002C47">
        <w:rPr>
          <w:rFonts w:cs="Times New Roman"/>
        </w:rPr>
        <w:t>. Reading, PA: Addison-Wesley (1996).</w:t>
      </w:r>
    </w:p>
    <w:p w:rsidR="00465702" w:rsidRPr="00002C47" w:rsidRDefault="00465702" w:rsidP="00AF367B">
      <w:pPr>
        <w:ind w:left="720" w:hanging="720"/>
        <w:mirrorIndents/>
        <w:jc w:val="both"/>
        <w:rPr>
          <w:rFonts w:cs="Times New Roman"/>
        </w:rPr>
      </w:pPr>
      <w:r w:rsidRPr="00002C47">
        <w:rPr>
          <w:rFonts w:cs="Times New Roman"/>
        </w:rPr>
        <w:t xml:space="preserve">BADC. </w:t>
      </w:r>
      <w:r w:rsidRPr="00002C47">
        <w:rPr>
          <w:rFonts w:cs="Times New Roman"/>
          <w:i/>
        </w:rPr>
        <w:t>Minor Irrigation Survey (2012-13)</w:t>
      </w:r>
      <w:r w:rsidRPr="00002C47">
        <w:rPr>
          <w:rFonts w:cs="Times New Roman"/>
        </w:rPr>
        <w:t>. Bangladesh Agricultural Development Corporation, Ministry of Agriculture, Government of People's Re</w:t>
      </w:r>
      <w:r w:rsidR="000B096E">
        <w:t>public</w:t>
      </w:r>
      <w:r w:rsidRPr="00002C47">
        <w:rPr>
          <w:rFonts w:cs="Times New Roman"/>
        </w:rPr>
        <w:t xml:space="preserve"> of Bangladesh, Bangladesh. 2013.</w:t>
      </w:r>
    </w:p>
    <w:p w:rsidR="00465702" w:rsidRPr="00002C47" w:rsidRDefault="00465702" w:rsidP="00AF367B">
      <w:pPr>
        <w:ind w:left="720" w:hanging="720"/>
        <w:mirrorIndents/>
        <w:jc w:val="both"/>
        <w:rPr>
          <w:rFonts w:cs="Times New Roman"/>
        </w:rPr>
      </w:pPr>
      <w:r w:rsidRPr="00002C47">
        <w:rPr>
          <w:rFonts w:cs="Times New Roman"/>
        </w:rPr>
        <w:t xml:space="preserve">BanAuDeltAS. </w:t>
      </w:r>
      <w:r w:rsidRPr="00002C47">
        <w:rPr>
          <w:rFonts w:cs="Times New Roman"/>
          <w:i/>
        </w:rPr>
        <w:t>Bangladesh Delta Plan 2100 Formulation Project: Baseline Report on River System Management</w:t>
      </w:r>
      <w:r w:rsidRPr="00002C47">
        <w:rPr>
          <w:rFonts w:cs="Times New Roman"/>
        </w:rPr>
        <w:t>. General Economics Division, Planning Commission, Government of Bangladesh. 2015.</w:t>
      </w:r>
    </w:p>
    <w:p w:rsidR="00465702" w:rsidRPr="00002C47" w:rsidRDefault="00465702" w:rsidP="00AF367B">
      <w:pPr>
        <w:ind w:left="720" w:hanging="720"/>
        <w:mirrorIndents/>
        <w:jc w:val="both"/>
        <w:rPr>
          <w:rFonts w:cs="Times New Roman"/>
        </w:rPr>
      </w:pPr>
      <w:r w:rsidRPr="00002C47">
        <w:rPr>
          <w:rFonts w:cs="Times New Roman"/>
        </w:rPr>
        <w:t xml:space="preserve">BanDuDeltAS. </w:t>
      </w:r>
      <w:r w:rsidRPr="00002C47">
        <w:rPr>
          <w:rFonts w:cs="Times New Roman"/>
          <w:i/>
        </w:rPr>
        <w:t>BDP2100 Strategy Formulation-Flood Risk Management - DRAFT</w:t>
      </w:r>
      <w:r w:rsidRPr="00002C47">
        <w:rPr>
          <w:rFonts w:cs="Times New Roman"/>
        </w:rPr>
        <w:t>. 2016.</w:t>
      </w:r>
    </w:p>
    <w:p w:rsidR="00465702" w:rsidRPr="00002C47" w:rsidRDefault="00465702" w:rsidP="00AF367B">
      <w:pPr>
        <w:ind w:left="720" w:hanging="720"/>
        <w:mirrorIndents/>
        <w:jc w:val="both"/>
        <w:rPr>
          <w:rFonts w:cs="Times New Roman"/>
        </w:rPr>
      </w:pPr>
      <w:r w:rsidRPr="00002C47">
        <w:rPr>
          <w:rFonts w:cs="Times New Roman"/>
        </w:rPr>
        <w:t>Bangladesh Agricultural Research Council's (BARC). 2015 http://www.fao.org/docrep/004/y1717e/y1717e05.htm/ (Accessed: 22 December 2015)</w:t>
      </w:r>
    </w:p>
    <w:p w:rsidR="00465702" w:rsidRPr="00002C47" w:rsidRDefault="00465702" w:rsidP="00AF367B">
      <w:pPr>
        <w:ind w:left="720" w:hanging="720"/>
        <w:mirrorIndents/>
        <w:jc w:val="both"/>
        <w:rPr>
          <w:rFonts w:cs="Times New Roman"/>
        </w:rPr>
      </w:pPr>
      <w:r w:rsidRPr="00002C47">
        <w:rPr>
          <w:rFonts w:cs="Times New Roman"/>
        </w:rPr>
        <w:t xml:space="preserve">Bangladesh Bureau of Statistics. </w:t>
      </w:r>
      <w:r w:rsidRPr="00002C47">
        <w:rPr>
          <w:rFonts w:cs="Times New Roman"/>
          <w:i/>
        </w:rPr>
        <w:t>Technical Documentation for Development of Web-based GIS Application Software and Linkage with BBS Website</w:t>
      </w:r>
      <w:r w:rsidRPr="00002C47">
        <w:rPr>
          <w:rFonts w:cs="Times New Roman"/>
        </w:rPr>
        <w:t>. Dhaka: Digital Information System Project. 2013.</w:t>
      </w:r>
    </w:p>
    <w:p w:rsidR="00465702" w:rsidRPr="00002C47" w:rsidRDefault="00465702" w:rsidP="00AF367B">
      <w:pPr>
        <w:ind w:left="720" w:hanging="720"/>
        <w:mirrorIndents/>
        <w:jc w:val="both"/>
        <w:rPr>
          <w:rFonts w:cs="Times New Roman"/>
        </w:rPr>
      </w:pPr>
      <w:r w:rsidRPr="00002C47">
        <w:rPr>
          <w:rFonts w:cs="Times New Roman"/>
        </w:rPr>
        <w:t>Bangladesh Computer Council (BCC). 2015 http://www.bcc.gov.bd/site/page/01cbf22a-b9f5-4a67-829e-55c27ab216f6/Overview/ (Accessed: 2 August 2015)</w:t>
      </w:r>
    </w:p>
    <w:p w:rsidR="00465702" w:rsidRPr="00002C47" w:rsidRDefault="00465702" w:rsidP="00AF367B">
      <w:pPr>
        <w:ind w:left="720" w:hanging="720"/>
        <w:mirrorIndents/>
        <w:jc w:val="both"/>
        <w:rPr>
          <w:rFonts w:cs="Times New Roman"/>
        </w:rPr>
      </w:pPr>
      <w:r w:rsidRPr="00002C47">
        <w:rPr>
          <w:rFonts w:cs="Times New Roman"/>
        </w:rPr>
        <w:t xml:space="preserve">Barua, S. </w:t>
      </w:r>
      <w:r w:rsidRPr="00002C47">
        <w:rPr>
          <w:rFonts w:cs="Times New Roman"/>
          <w:i/>
        </w:rPr>
        <w:t>Towards Interactive Urban Flood Management: A Case of Dhaka, Bangladesh</w:t>
      </w:r>
      <w:r w:rsidRPr="00002C47">
        <w:rPr>
          <w:rFonts w:cs="Times New Roman"/>
        </w:rPr>
        <w:t>. Netherlands: Erasmus University Rotterdam. 2008.</w:t>
      </w:r>
    </w:p>
    <w:p w:rsidR="00465702" w:rsidRPr="00002C47" w:rsidRDefault="00465702" w:rsidP="00AF367B">
      <w:pPr>
        <w:ind w:left="720" w:hanging="720"/>
        <w:mirrorIndents/>
        <w:jc w:val="both"/>
        <w:rPr>
          <w:rFonts w:cs="Times New Roman"/>
        </w:rPr>
      </w:pPr>
      <w:r w:rsidRPr="00002C47">
        <w:rPr>
          <w:rFonts w:cs="Times New Roman"/>
        </w:rPr>
        <w:t xml:space="preserve">Basak, J. K., Titumir, R. A. M. &amp; Dey, N. C. Climate Change in Bangladesh: A Historical Analysis of Temperature and Rainfall Data. </w:t>
      </w:r>
      <w:r w:rsidRPr="00002C47">
        <w:rPr>
          <w:rFonts w:cs="Times New Roman"/>
          <w:i/>
        </w:rPr>
        <w:t>Journal of Environment</w:t>
      </w:r>
      <w:r w:rsidRPr="00002C47">
        <w:rPr>
          <w:rFonts w:cs="Times New Roman"/>
        </w:rPr>
        <w:t>, (2013): p. 6.</w:t>
      </w:r>
    </w:p>
    <w:p w:rsidR="00465702" w:rsidRPr="00002C47" w:rsidRDefault="00465702" w:rsidP="00AF367B">
      <w:pPr>
        <w:ind w:left="720" w:hanging="720"/>
        <w:mirrorIndents/>
        <w:jc w:val="both"/>
        <w:rPr>
          <w:rFonts w:cs="Times New Roman"/>
        </w:rPr>
      </w:pPr>
      <w:r w:rsidRPr="00002C47">
        <w:rPr>
          <w:rFonts w:cs="Times New Roman"/>
        </w:rPr>
        <w:t xml:space="preserve">Baseline Study. </w:t>
      </w:r>
      <w:r w:rsidRPr="00002C47">
        <w:rPr>
          <w:rFonts w:cs="Times New Roman"/>
          <w:i/>
        </w:rPr>
        <w:t>Information and Knowledge Management, Bangladesh Delta Plan 2100</w:t>
      </w:r>
      <w:r w:rsidRPr="00002C47">
        <w:rPr>
          <w:rFonts w:cs="Times New Roman"/>
        </w:rPr>
        <w:t>. 2015.</w:t>
      </w:r>
    </w:p>
    <w:p w:rsidR="00465702" w:rsidRPr="00002C47" w:rsidRDefault="00465702" w:rsidP="00AF367B">
      <w:pPr>
        <w:ind w:left="720" w:hanging="720"/>
        <w:mirrorIndents/>
        <w:jc w:val="both"/>
        <w:rPr>
          <w:rFonts w:cs="Times New Roman"/>
        </w:rPr>
      </w:pPr>
      <w:r w:rsidRPr="00002C47">
        <w:rPr>
          <w:rFonts w:cs="Times New Roman"/>
        </w:rPr>
        <w:t>B</w:t>
      </w:r>
      <w:r w:rsidR="008F27C4">
        <w:rPr>
          <w:rFonts w:cs="Times New Roman"/>
        </w:rPr>
        <w:t>angladesh Bureau of Statistics (B</w:t>
      </w:r>
      <w:r w:rsidRPr="00002C47">
        <w:rPr>
          <w:rFonts w:cs="Times New Roman"/>
        </w:rPr>
        <w:t>BS</w:t>
      </w:r>
      <w:r w:rsidR="008F27C4">
        <w:rPr>
          <w:rFonts w:cs="Times New Roman"/>
        </w:rPr>
        <w:t>)</w:t>
      </w:r>
      <w:r w:rsidRPr="00002C47">
        <w:rPr>
          <w:rFonts w:cs="Times New Roman"/>
        </w:rPr>
        <w:t xml:space="preserve">. </w:t>
      </w:r>
      <w:r w:rsidRPr="00002C47">
        <w:rPr>
          <w:rFonts w:cs="Times New Roman"/>
          <w:i/>
        </w:rPr>
        <w:t>Statistical Year Book of Bangladesh 1999</w:t>
      </w:r>
      <w:r w:rsidRPr="00002C47">
        <w:rPr>
          <w:rFonts w:cs="Times New Roman"/>
        </w:rPr>
        <w:t xml:space="preserve">.  Bangladesh Bureau of Statistics, </w:t>
      </w:r>
      <w:r w:rsidR="008F27C4">
        <w:rPr>
          <w:rFonts w:cs="Times New Roman"/>
        </w:rPr>
        <w:t xml:space="preserve">Dhaka, </w:t>
      </w:r>
      <w:r w:rsidRPr="00002C47">
        <w:rPr>
          <w:rFonts w:cs="Times New Roman"/>
        </w:rPr>
        <w:t>1999.</w:t>
      </w:r>
    </w:p>
    <w:p w:rsidR="00465702" w:rsidRDefault="008F27C4" w:rsidP="00AF367B">
      <w:pPr>
        <w:ind w:left="720" w:hanging="720"/>
        <w:mirrorIndents/>
        <w:jc w:val="both"/>
        <w:rPr>
          <w:rFonts w:cs="Times New Roman"/>
        </w:rPr>
      </w:pPr>
      <w:r>
        <w:rPr>
          <w:rFonts w:cs="Times New Roman"/>
        </w:rPr>
        <w:t>Bangladesh Bureau of Statistics (</w:t>
      </w:r>
      <w:r w:rsidR="00465702" w:rsidRPr="00002C47">
        <w:rPr>
          <w:rFonts w:cs="Times New Roman"/>
        </w:rPr>
        <w:t>BBS</w:t>
      </w:r>
      <w:r>
        <w:rPr>
          <w:rFonts w:cs="Times New Roman"/>
        </w:rPr>
        <w:t>)</w:t>
      </w:r>
      <w:r w:rsidR="00465702" w:rsidRPr="00002C47">
        <w:rPr>
          <w:rFonts w:cs="Times New Roman"/>
        </w:rPr>
        <w:t xml:space="preserve">. </w:t>
      </w:r>
      <w:r w:rsidR="00465702" w:rsidRPr="00002C47">
        <w:rPr>
          <w:rFonts w:cs="Times New Roman"/>
          <w:i/>
        </w:rPr>
        <w:t>Statistical Year Book of Bangladesh 2011</w:t>
      </w:r>
      <w:r w:rsidR="00465702" w:rsidRPr="00002C47">
        <w:rPr>
          <w:rFonts w:cs="Times New Roman"/>
        </w:rPr>
        <w:t xml:space="preserve">.  Bangladesh Bureau of Statistics, </w:t>
      </w:r>
      <w:r>
        <w:rPr>
          <w:rFonts w:cs="Times New Roman"/>
        </w:rPr>
        <w:t xml:space="preserve">Dhaka,  </w:t>
      </w:r>
      <w:r w:rsidR="00465702" w:rsidRPr="00002C47">
        <w:rPr>
          <w:rFonts w:cs="Times New Roman"/>
        </w:rPr>
        <w:t>2011.</w:t>
      </w:r>
    </w:p>
    <w:p w:rsidR="008F27C4" w:rsidRPr="004B0A08" w:rsidRDefault="008F27C4" w:rsidP="008F27C4">
      <w:pPr>
        <w:pStyle w:val="FootnoteText"/>
        <w:jc w:val="both"/>
        <w:rPr>
          <w:sz w:val="32"/>
        </w:rPr>
      </w:pPr>
      <w:r>
        <w:rPr>
          <w:rFonts w:cs="Times New Roman"/>
        </w:rPr>
        <w:t xml:space="preserve">Bangladesh Bureau of Statistics (BBS). </w:t>
      </w:r>
      <w:r w:rsidRPr="004B0A08">
        <w:rPr>
          <w:rFonts w:cs="Times New Roman"/>
          <w:szCs w:val="20"/>
        </w:rPr>
        <w:t>Population and Housing Census 2011 - National Volume -3: Urban Area Report, Bangladesh Bureau of Statistics</w:t>
      </w:r>
      <w:r w:rsidR="007A0CE8">
        <w:rPr>
          <w:rFonts w:cs="Times New Roman"/>
          <w:szCs w:val="20"/>
        </w:rPr>
        <w:t>, Dhaka, 2012.</w:t>
      </w:r>
    </w:p>
    <w:p w:rsidR="008F27C4" w:rsidRPr="00002C47" w:rsidRDefault="008F27C4" w:rsidP="00AF367B">
      <w:pPr>
        <w:ind w:left="720" w:hanging="720"/>
        <w:mirrorIndents/>
        <w:jc w:val="both"/>
        <w:rPr>
          <w:rFonts w:cs="Times New Roman"/>
        </w:rPr>
      </w:pPr>
    </w:p>
    <w:p w:rsidR="00465702" w:rsidRPr="00002C47" w:rsidRDefault="00465702" w:rsidP="00AF367B">
      <w:pPr>
        <w:ind w:left="720" w:hanging="720"/>
        <w:mirrorIndents/>
        <w:jc w:val="both"/>
        <w:rPr>
          <w:rFonts w:cs="Times New Roman"/>
        </w:rPr>
      </w:pPr>
      <w:r w:rsidRPr="00002C47">
        <w:rPr>
          <w:rFonts w:cs="Times New Roman"/>
        </w:rPr>
        <w:t xml:space="preserve">BCCSAP. </w:t>
      </w:r>
      <w:r w:rsidRPr="00002C47">
        <w:rPr>
          <w:rFonts w:cs="Times New Roman"/>
          <w:i/>
        </w:rPr>
        <w:t>Bangladesh Climate Change Strategy and Action Plan 2008</w:t>
      </w:r>
      <w:r w:rsidRPr="00002C47">
        <w:rPr>
          <w:rFonts w:cs="Times New Roman"/>
        </w:rPr>
        <w:t>. Dhaka: Ministry of Environment and Forests, Government of the People's Re</w:t>
      </w:r>
      <w:r w:rsidR="000B096E">
        <w:t>public</w:t>
      </w:r>
      <w:r w:rsidRPr="00002C47">
        <w:rPr>
          <w:rFonts w:cs="Times New Roman"/>
        </w:rPr>
        <w:t xml:space="preserve"> of Bangladesh, 2009</w:t>
      </w:r>
    </w:p>
    <w:p w:rsidR="00465702" w:rsidRPr="00002C47" w:rsidRDefault="00465702" w:rsidP="00AF367B">
      <w:pPr>
        <w:ind w:left="720" w:hanging="720"/>
        <w:mirrorIndents/>
        <w:jc w:val="both"/>
        <w:rPr>
          <w:rFonts w:cs="Times New Roman"/>
        </w:rPr>
      </w:pPr>
      <w:r w:rsidRPr="00002C47">
        <w:rPr>
          <w:rFonts w:cs="Times New Roman"/>
        </w:rPr>
        <w:t xml:space="preserve">Bhatt, G. D. Knowledge management in organizations: examining the interaction between technologies, techniques, and people. </w:t>
      </w:r>
      <w:r w:rsidRPr="00002C47">
        <w:rPr>
          <w:rFonts w:cs="Times New Roman"/>
          <w:i/>
        </w:rPr>
        <w:t>Journal of Knowledge Management</w:t>
      </w:r>
      <w:r w:rsidRPr="00002C47">
        <w:rPr>
          <w:rFonts w:cs="Times New Roman"/>
        </w:rPr>
        <w:t>, 5(1) (2001): 68-75</w:t>
      </w:r>
    </w:p>
    <w:p w:rsidR="00465702" w:rsidRPr="00002C47" w:rsidRDefault="00465702" w:rsidP="00AF367B">
      <w:pPr>
        <w:ind w:left="720" w:hanging="720"/>
        <w:mirrorIndents/>
        <w:jc w:val="both"/>
        <w:rPr>
          <w:rFonts w:cs="Times New Roman"/>
        </w:rPr>
      </w:pPr>
      <w:r w:rsidRPr="00002C47">
        <w:rPr>
          <w:rFonts w:cs="Times New Roman"/>
        </w:rPr>
        <w:t>Bhattacharya, B., &amp; Suman, A. Flash flood characterisation of the Haor area of Bangladesh, (2012).</w:t>
      </w:r>
    </w:p>
    <w:p w:rsidR="00465702" w:rsidRPr="00002C47" w:rsidRDefault="00465702" w:rsidP="00AF367B">
      <w:pPr>
        <w:ind w:left="720" w:hanging="720"/>
        <w:mirrorIndents/>
        <w:jc w:val="both"/>
        <w:rPr>
          <w:rFonts w:cs="Times New Roman"/>
        </w:rPr>
      </w:pPr>
      <w:r w:rsidRPr="00002C47">
        <w:rPr>
          <w:rFonts w:cs="Times New Roman"/>
        </w:rPr>
        <w:t xml:space="preserve">BHWDB. </w:t>
      </w:r>
      <w:r w:rsidRPr="00002C47">
        <w:rPr>
          <w:rFonts w:cs="Times New Roman"/>
          <w:i/>
        </w:rPr>
        <w:t>Master Plan of Haor Area, Volume I: Summary Report</w:t>
      </w:r>
      <w:r w:rsidRPr="00002C47">
        <w:rPr>
          <w:rFonts w:cs="Times New Roman"/>
        </w:rPr>
        <w:t>. Ministry of Water Resources, Government of the People's Re</w:t>
      </w:r>
      <w:r w:rsidR="000B096E">
        <w:t>public</w:t>
      </w:r>
      <w:r w:rsidRPr="00002C47">
        <w:rPr>
          <w:rFonts w:cs="Times New Roman"/>
        </w:rPr>
        <w:t xml:space="preserve"> of Bangladesh, Bangladesh. 2012.</w:t>
      </w:r>
    </w:p>
    <w:p w:rsidR="00465702" w:rsidRPr="00002C47" w:rsidRDefault="00465702" w:rsidP="00AF367B">
      <w:pPr>
        <w:ind w:left="720" w:hanging="720"/>
        <w:mirrorIndents/>
        <w:jc w:val="both"/>
        <w:rPr>
          <w:rFonts w:cs="Times New Roman"/>
        </w:rPr>
      </w:pPr>
      <w:r w:rsidRPr="00002C47">
        <w:rPr>
          <w:rFonts w:cs="Times New Roman"/>
        </w:rPr>
        <w:t xml:space="preserve">Biswas, R. K., Roy, D. K. &amp; Islam, T. M. Assessment of drinking water related to arsenic and salinity hazard in Patuakhali district, Bangladesh. </w:t>
      </w:r>
      <w:r w:rsidRPr="00002C47">
        <w:rPr>
          <w:rFonts w:cs="Times New Roman"/>
          <w:i/>
        </w:rPr>
        <w:t>International Journal of Advanced Geosciences</w:t>
      </w:r>
      <w:r w:rsidRPr="00002C47">
        <w:rPr>
          <w:rFonts w:cs="Times New Roman"/>
        </w:rPr>
        <w:t>, (2014).</w:t>
      </w:r>
    </w:p>
    <w:p w:rsidR="00465702" w:rsidRPr="00002C47" w:rsidRDefault="00465702" w:rsidP="00AF367B">
      <w:pPr>
        <w:ind w:left="720" w:hanging="720"/>
        <w:mirrorIndents/>
        <w:jc w:val="both"/>
        <w:rPr>
          <w:rFonts w:cs="Times New Roman"/>
        </w:rPr>
      </w:pPr>
      <w:r w:rsidRPr="00002C47">
        <w:rPr>
          <w:rFonts w:cs="Times New Roman"/>
        </w:rPr>
        <w:t xml:space="preserve">Biswas, R. K., Roy, D. K., &amp; Islam, T. M. Assessment of drinking water related to arsenic and salinity hazard in Patuakhali district, Bangladesh. </w:t>
      </w:r>
      <w:r w:rsidRPr="00002C47">
        <w:rPr>
          <w:rFonts w:cs="Times New Roman"/>
          <w:i/>
        </w:rPr>
        <w:t>International Journal of Advanced Geosciences</w:t>
      </w:r>
      <w:r w:rsidRPr="00002C47">
        <w:rPr>
          <w:rFonts w:cs="Times New Roman"/>
        </w:rPr>
        <w:t>, (2014).</w:t>
      </w:r>
    </w:p>
    <w:p w:rsidR="00465702" w:rsidRPr="00002C47" w:rsidRDefault="00465702" w:rsidP="00AF367B">
      <w:pPr>
        <w:ind w:left="720" w:hanging="720"/>
        <w:mirrorIndents/>
        <w:jc w:val="both"/>
        <w:rPr>
          <w:rFonts w:cs="Times New Roman"/>
        </w:rPr>
      </w:pPr>
      <w:r w:rsidRPr="00002C47">
        <w:rPr>
          <w:rFonts w:cs="Times New Roman"/>
        </w:rPr>
        <w:t>BIWTA. Bangladesh Inland Water Transport Authority, Bangladesh. http://www.biwta.gov.bd/website/?page_id=2,</w:t>
      </w:r>
    </w:p>
    <w:p w:rsidR="00465702" w:rsidRPr="00002C47" w:rsidRDefault="00465702" w:rsidP="00AF367B">
      <w:pPr>
        <w:ind w:left="720" w:hanging="720"/>
        <w:mirrorIndents/>
        <w:jc w:val="both"/>
        <w:rPr>
          <w:rFonts w:cs="Times New Roman"/>
        </w:rPr>
      </w:pPr>
      <w:r w:rsidRPr="00002C47">
        <w:rPr>
          <w:rFonts w:cs="Times New Roman"/>
        </w:rPr>
        <w:t xml:space="preserve">Brammer, H. Bangladesh’s dynamic coastal regions and sea-level rise. </w:t>
      </w:r>
      <w:r w:rsidRPr="00002C47">
        <w:rPr>
          <w:rFonts w:cs="Times New Roman"/>
          <w:i/>
        </w:rPr>
        <w:t>Climate Risk Management</w:t>
      </w:r>
      <w:r w:rsidRPr="00002C47">
        <w:rPr>
          <w:rFonts w:cs="Times New Roman"/>
        </w:rPr>
        <w:t xml:space="preserve"> 1, (2014), pp. 51-62.</w:t>
      </w:r>
    </w:p>
    <w:p w:rsidR="00465702" w:rsidRPr="00002C47" w:rsidRDefault="00465702" w:rsidP="00AF367B">
      <w:pPr>
        <w:ind w:left="720" w:hanging="720"/>
        <w:mirrorIndents/>
        <w:jc w:val="both"/>
        <w:rPr>
          <w:rFonts w:cs="Times New Roman"/>
        </w:rPr>
      </w:pPr>
      <w:r w:rsidRPr="00002C47">
        <w:rPr>
          <w:rFonts w:cs="Times New Roman"/>
        </w:rPr>
        <w:t xml:space="preserve">Brammer, H. </w:t>
      </w:r>
      <w:r w:rsidRPr="00002C47">
        <w:rPr>
          <w:rFonts w:cs="Times New Roman"/>
          <w:i/>
        </w:rPr>
        <w:t>Climate Change, Sea Level Rise and Development in Bangladesh</w:t>
      </w:r>
      <w:r w:rsidRPr="00002C47">
        <w:rPr>
          <w:rFonts w:cs="Times New Roman"/>
        </w:rPr>
        <w:t>. Dhaka: UPL. 2014</w:t>
      </w:r>
    </w:p>
    <w:p w:rsidR="00465702" w:rsidRPr="00002C47" w:rsidRDefault="00465702" w:rsidP="00AF367B">
      <w:pPr>
        <w:ind w:left="720" w:hanging="720"/>
        <w:mirrorIndents/>
        <w:jc w:val="both"/>
        <w:rPr>
          <w:rFonts w:cs="Times New Roman"/>
        </w:rPr>
      </w:pPr>
      <w:r w:rsidRPr="00002C47">
        <w:rPr>
          <w:rFonts w:cs="Times New Roman"/>
        </w:rPr>
        <w:t xml:space="preserve">BWDB. </w:t>
      </w:r>
      <w:r w:rsidRPr="00002C47">
        <w:rPr>
          <w:rFonts w:cs="Times New Roman"/>
          <w:i/>
        </w:rPr>
        <w:t>Bangladesher Nod-Nodi</w:t>
      </w:r>
      <w:r w:rsidRPr="00002C47">
        <w:rPr>
          <w:rFonts w:cs="Times New Roman"/>
        </w:rPr>
        <w:t>. Dhaka: Bangladesh Water Development Board. 2011.</w:t>
      </w:r>
    </w:p>
    <w:p w:rsidR="00465702" w:rsidRPr="00002C47" w:rsidRDefault="00465702" w:rsidP="00AF367B">
      <w:pPr>
        <w:ind w:left="720" w:hanging="720"/>
        <w:mirrorIndents/>
        <w:jc w:val="both"/>
        <w:rPr>
          <w:rFonts w:cs="Times New Roman"/>
        </w:rPr>
      </w:pPr>
      <w:r w:rsidRPr="00002C47">
        <w:rPr>
          <w:rFonts w:cs="Times New Roman"/>
        </w:rPr>
        <w:t xml:space="preserve">Byomkesh, T., Nakagoshi, N., &amp; Rashid, S. M. State and management of wetlands in Bangladesh. </w:t>
      </w:r>
      <w:r w:rsidRPr="00002C47">
        <w:rPr>
          <w:rFonts w:cs="Times New Roman"/>
          <w:i/>
        </w:rPr>
        <w:t>Landscape and Ecological Engineering</w:t>
      </w:r>
      <w:r w:rsidRPr="00002C47">
        <w:rPr>
          <w:rFonts w:cs="Times New Roman"/>
        </w:rPr>
        <w:t>, (2008).</w:t>
      </w:r>
    </w:p>
    <w:p w:rsidR="00465702" w:rsidRPr="00002C47" w:rsidRDefault="00465702" w:rsidP="00AF367B">
      <w:pPr>
        <w:ind w:left="720" w:hanging="720"/>
        <w:mirrorIndents/>
        <w:jc w:val="both"/>
        <w:rPr>
          <w:rFonts w:cs="Times New Roman"/>
        </w:rPr>
      </w:pPr>
      <w:r w:rsidRPr="00002C47">
        <w:rPr>
          <w:rFonts w:cs="Times New Roman"/>
        </w:rPr>
        <w:t xml:space="preserve">CEGIS. </w:t>
      </w:r>
      <w:r w:rsidRPr="00002C47">
        <w:rPr>
          <w:rFonts w:cs="Times New Roman"/>
          <w:i/>
        </w:rPr>
        <w:t>Bank erosion prediction of different mighty rivers of Bangladesh</w:t>
      </w:r>
      <w:r w:rsidRPr="00002C47">
        <w:rPr>
          <w:rFonts w:cs="Times New Roman"/>
        </w:rPr>
        <w:t xml:space="preserve"> (Dhaka: 2014).</w:t>
      </w:r>
    </w:p>
    <w:p w:rsidR="00465702" w:rsidRPr="00002C47" w:rsidRDefault="00465702" w:rsidP="00AF367B">
      <w:pPr>
        <w:ind w:left="720" w:hanging="720"/>
        <w:mirrorIndents/>
        <w:jc w:val="both"/>
        <w:rPr>
          <w:rFonts w:cs="Times New Roman"/>
        </w:rPr>
      </w:pPr>
      <w:r w:rsidRPr="00002C47">
        <w:rPr>
          <w:rFonts w:cs="Times New Roman"/>
        </w:rPr>
        <w:t xml:space="preserve">CEGIS. </w:t>
      </w:r>
      <w:r w:rsidRPr="00002C47">
        <w:rPr>
          <w:rFonts w:cs="Times New Roman"/>
          <w:i/>
        </w:rPr>
        <w:t>Development of a GIS based Industrial Database for the Department of Environment</w:t>
      </w:r>
      <w:r w:rsidRPr="00002C47">
        <w:rPr>
          <w:rFonts w:cs="Times New Roman"/>
        </w:rPr>
        <w:t>. CEGIS. 2015.</w:t>
      </w:r>
    </w:p>
    <w:p w:rsidR="00465702" w:rsidRPr="00002C47" w:rsidRDefault="00465702" w:rsidP="00AF367B">
      <w:pPr>
        <w:ind w:left="720" w:hanging="720"/>
        <w:mirrorIndents/>
        <w:jc w:val="both"/>
        <w:rPr>
          <w:rFonts w:cs="Times New Roman"/>
        </w:rPr>
      </w:pPr>
      <w:r w:rsidRPr="00002C47">
        <w:rPr>
          <w:rFonts w:cs="Times New Roman"/>
        </w:rPr>
        <w:t xml:space="preserve">CEGIS. </w:t>
      </w:r>
      <w:r w:rsidRPr="00002C47">
        <w:rPr>
          <w:rFonts w:cs="Times New Roman"/>
          <w:i/>
        </w:rPr>
        <w:t>Final Report on Impacts of Climate Change on the morphological processes of the main rivers and Meghna Estuary of Bangladesh</w:t>
      </w:r>
      <w:r w:rsidRPr="00002C47">
        <w:rPr>
          <w:rFonts w:cs="Times New Roman"/>
        </w:rPr>
        <w:t>. (Dhaka: Mimeo, 2010).</w:t>
      </w:r>
    </w:p>
    <w:p w:rsidR="00465702" w:rsidRPr="00002C47" w:rsidRDefault="00465702" w:rsidP="00AF367B">
      <w:pPr>
        <w:ind w:left="720" w:hanging="720"/>
        <w:mirrorIndents/>
        <w:jc w:val="both"/>
        <w:rPr>
          <w:rFonts w:cs="Times New Roman"/>
        </w:rPr>
      </w:pPr>
      <w:r w:rsidRPr="00002C47">
        <w:rPr>
          <w:rFonts w:cs="Times New Roman"/>
        </w:rPr>
        <w:t xml:space="preserve">CEGIS. </w:t>
      </w:r>
      <w:r w:rsidRPr="00002C47">
        <w:rPr>
          <w:rFonts w:cs="Times New Roman"/>
          <w:i/>
        </w:rPr>
        <w:t>Final Report on Impacts of Climate Change on the morphological processes of the main rivers and Meghna Estuary of Bangladesh</w:t>
      </w:r>
      <w:r w:rsidRPr="00002C47">
        <w:rPr>
          <w:rFonts w:cs="Times New Roman"/>
        </w:rPr>
        <w:t>. Dhaka: Mimeo. 2010.</w:t>
      </w:r>
    </w:p>
    <w:p w:rsidR="00465702" w:rsidRPr="00002C47" w:rsidRDefault="00465702" w:rsidP="00AF367B">
      <w:pPr>
        <w:ind w:left="720" w:hanging="720"/>
        <w:mirrorIndents/>
        <w:jc w:val="both"/>
        <w:rPr>
          <w:rFonts w:cs="Times New Roman"/>
        </w:rPr>
      </w:pPr>
      <w:r w:rsidRPr="00002C47">
        <w:rPr>
          <w:rFonts w:cs="Times New Roman"/>
        </w:rPr>
        <w:t xml:space="preserve">CEGIS. </w:t>
      </w:r>
      <w:r w:rsidRPr="00002C47">
        <w:rPr>
          <w:rFonts w:cs="Times New Roman"/>
          <w:i/>
        </w:rPr>
        <w:t>Master Plan of Haor Area Vol. I (Summary report) and Vol. II</w:t>
      </w:r>
      <w:r w:rsidRPr="00002C47">
        <w:rPr>
          <w:rFonts w:cs="Times New Roman"/>
        </w:rPr>
        <w:t>. Dhaka: Ministry of Water Resources, Bangladesh Haor and Wetland Development Board. 2012.</w:t>
      </w:r>
    </w:p>
    <w:p w:rsidR="00465702" w:rsidRPr="00002C47" w:rsidRDefault="00465702" w:rsidP="00AF367B">
      <w:pPr>
        <w:ind w:left="720" w:hanging="720"/>
        <w:mirrorIndents/>
        <w:jc w:val="both"/>
        <w:rPr>
          <w:rFonts w:cs="Times New Roman"/>
        </w:rPr>
      </w:pPr>
      <w:r w:rsidRPr="00002C47">
        <w:rPr>
          <w:rFonts w:cs="Times New Roman"/>
        </w:rPr>
        <w:t xml:space="preserve">CEGIS. </w:t>
      </w:r>
      <w:r w:rsidRPr="00002C47">
        <w:rPr>
          <w:rFonts w:cs="Times New Roman"/>
          <w:i/>
        </w:rPr>
        <w:t>Master Plan of Haor Area, Volume I, Annual Report 2011-2012</w:t>
      </w:r>
      <w:r w:rsidRPr="00002C47">
        <w:rPr>
          <w:rFonts w:cs="Times New Roman"/>
        </w:rPr>
        <w:t>, (Dhaka: Bangladesh Hoar and wetland Development Board, Ministry of Water Resource, DWASA, Government of the People's Re</w:t>
      </w:r>
      <w:r w:rsidR="000B096E">
        <w:t>public</w:t>
      </w:r>
      <w:r w:rsidRPr="00002C47">
        <w:rPr>
          <w:rFonts w:cs="Times New Roman"/>
        </w:rPr>
        <w:t xml:space="preserve"> of Bangladesh, 2012).</w:t>
      </w:r>
    </w:p>
    <w:p w:rsidR="00465702" w:rsidRPr="00002C47" w:rsidRDefault="00465702" w:rsidP="00AF367B">
      <w:pPr>
        <w:ind w:left="720" w:hanging="720"/>
        <w:mirrorIndents/>
        <w:jc w:val="both"/>
        <w:rPr>
          <w:rFonts w:cs="Times New Roman"/>
        </w:rPr>
      </w:pPr>
      <w:r w:rsidRPr="00002C47">
        <w:rPr>
          <w:rFonts w:cs="Times New Roman"/>
        </w:rPr>
        <w:t xml:space="preserve">CEGIS. </w:t>
      </w:r>
      <w:r w:rsidRPr="00002C47">
        <w:rPr>
          <w:rFonts w:cs="Times New Roman"/>
          <w:i/>
        </w:rPr>
        <w:t>Technical Notes on Assessment of BDP2100 Indicators using GIS Data Layers</w:t>
      </w:r>
      <w:r w:rsidRPr="00002C47">
        <w:rPr>
          <w:rFonts w:cs="Times New Roman"/>
        </w:rPr>
        <w:t>. Dhaka: Climate Change and Disaster Management Division, Center for Environmental and Geographic Information Services (CEGIS). 2016.</w:t>
      </w:r>
    </w:p>
    <w:p w:rsidR="00465702" w:rsidRPr="00002C47" w:rsidRDefault="00465702" w:rsidP="00AF367B">
      <w:pPr>
        <w:ind w:left="720" w:hanging="720"/>
        <w:mirrorIndents/>
        <w:jc w:val="both"/>
        <w:rPr>
          <w:rFonts w:cs="Times New Roman"/>
        </w:rPr>
      </w:pPr>
      <w:r w:rsidRPr="00002C47">
        <w:rPr>
          <w:rFonts w:cs="Times New Roman"/>
        </w:rPr>
        <w:t xml:space="preserve">Choudhury, A. H. Consequences of Global Warming and SLR in Bangladesh. </w:t>
      </w:r>
      <w:r w:rsidRPr="00002C47">
        <w:rPr>
          <w:rFonts w:cs="Times New Roman"/>
          <w:i/>
        </w:rPr>
        <w:t>Marine Geodesy</w:t>
      </w:r>
      <w:r w:rsidRPr="00002C47">
        <w:rPr>
          <w:rFonts w:cs="Times New Roman"/>
        </w:rPr>
        <w:t>, (1997): 13-31.</w:t>
      </w:r>
    </w:p>
    <w:p w:rsidR="00465702" w:rsidRPr="00002C47" w:rsidRDefault="00465702" w:rsidP="00AF367B">
      <w:pPr>
        <w:ind w:left="720" w:hanging="720"/>
        <w:mirrorIndents/>
        <w:jc w:val="both"/>
        <w:rPr>
          <w:rFonts w:cs="Times New Roman"/>
        </w:rPr>
      </w:pPr>
      <w:r w:rsidRPr="00002C47">
        <w:rPr>
          <w:rFonts w:cs="Times New Roman"/>
        </w:rPr>
        <w:t xml:space="preserve">Choudhury, A. H. Consequences of Global Warming and SLR in Bangladesh. </w:t>
      </w:r>
      <w:r w:rsidRPr="00002C47">
        <w:rPr>
          <w:rFonts w:cs="Times New Roman"/>
          <w:i/>
        </w:rPr>
        <w:t>Marine Geodesy</w:t>
      </w:r>
      <w:r w:rsidRPr="00002C47">
        <w:rPr>
          <w:rFonts w:cs="Times New Roman"/>
        </w:rPr>
        <w:t>, 20 (1997): 13-31.</w:t>
      </w:r>
    </w:p>
    <w:p w:rsidR="00465702" w:rsidRPr="00002C47" w:rsidRDefault="00465702" w:rsidP="00AF367B">
      <w:pPr>
        <w:ind w:left="720" w:hanging="720"/>
        <w:mirrorIndents/>
        <w:jc w:val="both"/>
        <w:rPr>
          <w:rFonts w:cs="Times New Roman"/>
        </w:rPr>
      </w:pPr>
      <w:r w:rsidRPr="00002C47">
        <w:rPr>
          <w:rFonts w:cs="Times New Roman"/>
        </w:rPr>
        <w:t>Consultative Committee for Space Data Systems. Reference Model for an Open Archival Information System (OAIS). Washing</w:t>
      </w:r>
      <w:r w:rsidR="00FE6385">
        <w:rPr>
          <w:rFonts w:cs="Times New Roman"/>
        </w:rPr>
        <w:t>ton</w:t>
      </w:r>
      <w:r w:rsidRPr="00002C47">
        <w:rPr>
          <w:rFonts w:cs="Times New Roman"/>
        </w:rPr>
        <w:t xml:space="preserve"> DC: CCSDS Secretariat, (2012) p. 1-1</w:t>
      </w:r>
    </w:p>
    <w:p w:rsidR="00465702" w:rsidRPr="00002C47" w:rsidRDefault="00465702" w:rsidP="00AF367B">
      <w:pPr>
        <w:ind w:left="720" w:hanging="720"/>
        <w:mirrorIndents/>
        <w:jc w:val="both"/>
        <w:rPr>
          <w:rFonts w:cs="Times New Roman"/>
        </w:rPr>
      </w:pPr>
      <w:r w:rsidRPr="00002C47">
        <w:rPr>
          <w:rFonts w:cs="Times New Roman"/>
        </w:rPr>
        <w:t xml:space="preserve">CSIRO, BWDB, IWM, WARPO, BIDS, &amp; CEGIS. </w:t>
      </w:r>
      <w:r w:rsidRPr="00002C47">
        <w:rPr>
          <w:rFonts w:cs="Times New Roman"/>
          <w:i/>
        </w:rPr>
        <w:t>Bangladesh Integrated Water Resources Assessment: Final Report</w:t>
      </w:r>
      <w:r w:rsidRPr="00002C47">
        <w:rPr>
          <w:rFonts w:cs="Times New Roman"/>
        </w:rPr>
        <w:t>. 2014.</w:t>
      </w:r>
    </w:p>
    <w:p w:rsidR="00465702" w:rsidRPr="00002C47" w:rsidRDefault="00465702" w:rsidP="00AF367B">
      <w:pPr>
        <w:ind w:left="720" w:hanging="720"/>
        <w:mirrorIndents/>
        <w:jc w:val="both"/>
        <w:rPr>
          <w:rFonts w:cs="Times New Roman"/>
        </w:rPr>
      </w:pPr>
      <w:r w:rsidRPr="00002C47">
        <w:rPr>
          <w:rFonts w:cs="Times New Roman"/>
        </w:rPr>
        <w:t xml:space="preserve">CSIRO, et al. </w:t>
      </w:r>
      <w:r w:rsidRPr="00002C47">
        <w:rPr>
          <w:rFonts w:cs="Times New Roman"/>
          <w:i/>
        </w:rPr>
        <w:t>Bangladesh Integrated Water Resources Assessment: Final Report</w:t>
      </w:r>
      <w:r w:rsidRPr="00002C47">
        <w:rPr>
          <w:rFonts w:cs="Times New Roman"/>
        </w:rPr>
        <w:t>, CSIRO, (2014).</w:t>
      </w:r>
    </w:p>
    <w:p w:rsidR="00465702" w:rsidRPr="00002C47" w:rsidRDefault="00465702" w:rsidP="00AF367B">
      <w:pPr>
        <w:ind w:left="720" w:hanging="720"/>
        <w:mirrorIndents/>
        <w:jc w:val="both"/>
        <w:rPr>
          <w:rFonts w:cs="Times New Roman"/>
        </w:rPr>
      </w:pPr>
      <w:r w:rsidRPr="00002C47">
        <w:rPr>
          <w:rFonts w:cs="Times New Roman"/>
        </w:rPr>
        <w:t xml:space="preserve">Das, D.K. Forest Types of Bangladesh. </w:t>
      </w:r>
      <w:r w:rsidRPr="00002C47">
        <w:rPr>
          <w:rFonts w:cs="Times New Roman"/>
          <w:i/>
        </w:rPr>
        <w:t>Bulletin 6, Plant Taxonomy Series. Forest Research Institute</w:t>
      </w:r>
      <w:r w:rsidRPr="00002C47">
        <w:rPr>
          <w:rFonts w:cs="Times New Roman"/>
        </w:rPr>
        <w:t>, (1990): 9.</w:t>
      </w:r>
    </w:p>
    <w:p w:rsidR="00465702" w:rsidRPr="00002C47" w:rsidRDefault="00465702" w:rsidP="00AF367B">
      <w:pPr>
        <w:ind w:left="720" w:hanging="720"/>
        <w:mirrorIndents/>
        <w:jc w:val="both"/>
        <w:rPr>
          <w:rFonts w:cs="Times New Roman"/>
        </w:rPr>
      </w:pPr>
      <w:r w:rsidRPr="00002C47">
        <w:rPr>
          <w:rFonts w:cs="Times New Roman"/>
        </w:rPr>
        <w:t>Dasgupta, S. Left unattended, 5.3 million of Bangladesh’s poor will be vulnerable to the effects of climate change in 2050. World Bank blog. 2010. http://blogs.worldbank.org/developmenttalk/left-unattended-53-million-bangladesh-s-poor-will-be-vulnerable-effects-climate-change-2050</w:t>
      </w:r>
    </w:p>
    <w:p w:rsidR="00465702" w:rsidRPr="00002C47" w:rsidRDefault="00465702" w:rsidP="00AF367B">
      <w:pPr>
        <w:ind w:left="720" w:hanging="720"/>
        <w:mirrorIndents/>
        <w:jc w:val="both"/>
        <w:rPr>
          <w:rFonts w:cs="Times New Roman"/>
        </w:rPr>
      </w:pPr>
      <w:r w:rsidRPr="00002C47">
        <w:rPr>
          <w:rFonts w:cs="Times New Roman"/>
        </w:rPr>
        <w:t xml:space="preserve">Davenport, T. H. and Prusak, L. </w:t>
      </w:r>
      <w:r w:rsidRPr="00002C47">
        <w:rPr>
          <w:rFonts w:cs="Times New Roman"/>
          <w:i/>
        </w:rPr>
        <w:t>Working knowledge: How organizations manage what they know</w:t>
      </w:r>
      <w:r w:rsidRPr="00002C47">
        <w:rPr>
          <w:rFonts w:cs="Times New Roman"/>
        </w:rPr>
        <w:t>. Harvard Business Press. 2000.</w:t>
      </w:r>
    </w:p>
    <w:p w:rsidR="000F25A0" w:rsidRPr="000F25A0" w:rsidRDefault="000F25A0" w:rsidP="000F25A0">
      <w:pPr>
        <w:ind w:left="720" w:hanging="720"/>
        <w:jc w:val="both"/>
        <w:rPr>
          <w:rFonts w:cs="Times New Roman"/>
          <w:color w:val="000000" w:themeColor="text1"/>
          <w:szCs w:val="24"/>
        </w:rPr>
      </w:pPr>
      <w:r w:rsidRPr="000F25A0">
        <w:rPr>
          <w:rFonts w:cs="Times New Roman"/>
          <w:color w:val="000000" w:themeColor="text1"/>
          <w:szCs w:val="24"/>
        </w:rPr>
        <w:t>Decaluwé, B., A. Lemelin, H. Mai</w:t>
      </w:r>
      <w:r>
        <w:rPr>
          <w:rFonts w:cs="Times New Roman"/>
          <w:color w:val="000000" w:themeColor="text1"/>
          <w:szCs w:val="24"/>
        </w:rPr>
        <w:t>sonnave, and V. Robichaud.</w:t>
      </w:r>
      <w:r w:rsidRPr="000F25A0">
        <w:rPr>
          <w:rFonts w:cs="Times New Roman"/>
          <w:color w:val="000000" w:themeColor="text1"/>
          <w:szCs w:val="24"/>
        </w:rPr>
        <w:t xml:space="preserve"> The PEP Standard Computable General Equilibrium Model Single-Country, Recursive Dynamic Version: PEP-1-t . Partnership for Economic Policy (PEP) Research Network.; at: </w:t>
      </w:r>
      <w:hyperlink r:id="rId238" w:history="1">
        <w:r w:rsidRPr="000F25A0">
          <w:rPr>
            <w:rStyle w:val="Hyperlink"/>
            <w:rFonts w:cs="Times New Roman"/>
            <w:color w:val="000000" w:themeColor="text1"/>
            <w:szCs w:val="24"/>
          </w:rPr>
          <w:t>www.pep-net</w:t>
        </w:r>
        <w:r w:rsidRPr="000F25A0">
          <w:rPr>
            <w:rStyle w:val="Hyperlink"/>
            <w:rFonts w:cs="Times New Roman"/>
            <w:bCs/>
            <w:color w:val="000000" w:themeColor="text1"/>
            <w:szCs w:val="24"/>
          </w:rPr>
          <w:t>.org/programs/mpia/pep-standard-cge-models/pep-1-t-single-country-recursive-dynamic-version</w:t>
        </w:r>
      </w:hyperlink>
      <w:r w:rsidRPr="000F25A0">
        <w:rPr>
          <w:rFonts w:cs="Times New Roman"/>
          <w:bCs/>
          <w:color w:val="000000" w:themeColor="text1"/>
          <w:szCs w:val="24"/>
        </w:rPr>
        <w:t>.</w:t>
      </w:r>
      <w:r>
        <w:rPr>
          <w:rFonts w:cs="Times New Roman"/>
          <w:bCs/>
          <w:color w:val="000000" w:themeColor="text1"/>
          <w:szCs w:val="24"/>
        </w:rPr>
        <w:t xml:space="preserve"> 2010</w:t>
      </w:r>
    </w:p>
    <w:p w:rsidR="00465702" w:rsidRPr="00002C47" w:rsidRDefault="00465702" w:rsidP="00AF367B">
      <w:pPr>
        <w:ind w:left="720" w:hanging="720"/>
        <w:mirrorIndents/>
        <w:jc w:val="both"/>
        <w:rPr>
          <w:rFonts w:cs="Times New Roman"/>
        </w:rPr>
      </w:pPr>
      <w:r w:rsidRPr="00002C47">
        <w:rPr>
          <w:rFonts w:cs="Times New Roman"/>
        </w:rPr>
        <w:t xml:space="preserve">Dey, D. N., Bala, S. K., &amp; Islam, A. S. </w:t>
      </w:r>
      <w:r w:rsidRPr="00002C47">
        <w:rPr>
          <w:rFonts w:cs="Times New Roman"/>
          <w:i/>
        </w:rPr>
        <w:t>Sustainability of Groundwater Use for Irrigation in NorthWest Bangladesh</w:t>
      </w:r>
      <w:r w:rsidRPr="00002C47">
        <w:rPr>
          <w:rFonts w:cs="Times New Roman"/>
        </w:rPr>
        <w:t>. National Food Policy Capacity Strengthening Programme. 2013.</w:t>
      </w:r>
    </w:p>
    <w:p w:rsidR="00465702" w:rsidRPr="007C2871" w:rsidRDefault="00465702" w:rsidP="00AF367B">
      <w:pPr>
        <w:ind w:left="720" w:hanging="720"/>
        <w:mirrorIndents/>
        <w:jc w:val="both"/>
        <w:rPr>
          <w:rFonts w:cs="Times New Roman"/>
          <w:lang w:val="fr-BE"/>
        </w:rPr>
      </w:pPr>
      <w:r w:rsidRPr="00002C47">
        <w:rPr>
          <w:rFonts w:cs="Times New Roman"/>
        </w:rPr>
        <w:t xml:space="preserve">Dhaka Tribune. Bogra Economic Zones Groundwork Begins. </w:t>
      </w:r>
      <w:r w:rsidRPr="007C2871">
        <w:rPr>
          <w:rFonts w:cs="Times New Roman"/>
          <w:i/>
          <w:lang w:val="fr-BE"/>
        </w:rPr>
        <w:t>Dhaka Tribune</w:t>
      </w:r>
      <w:r w:rsidRPr="007C2871">
        <w:rPr>
          <w:rFonts w:cs="Times New Roman"/>
          <w:lang w:val="fr-BE"/>
        </w:rPr>
        <w:t>. 2016. http://www.dhakatribune.com/business/2016/jan/28/bogra-economic-zones-groundwork-begins</w:t>
      </w:r>
    </w:p>
    <w:p w:rsidR="00465702" w:rsidRPr="00002C47" w:rsidRDefault="00465702" w:rsidP="00AF367B">
      <w:pPr>
        <w:ind w:left="720" w:hanging="720"/>
        <w:mirrorIndents/>
        <w:jc w:val="both"/>
        <w:rPr>
          <w:rFonts w:cs="Times New Roman"/>
        </w:rPr>
      </w:pPr>
      <w:r w:rsidRPr="00002C47">
        <w:rPr>
          <w:rFonts w:cs="Times New Roman"/>
        </w:rPr>
        <w:t>DWASA. Dhaka Water Supply and Sanitation Authority. 2016. http://www.dwasa.org.bd</w:t>
      </w:r>
    </w:p>
    <w:p w:rsidR="00465702" w:rsidRPr="00002C47" w:rsidRDefault="00465702" w:rsidP="00AF367B">
      <w:pPr>
        <w:ind w:left="720" w:hanging="720"/>
        <w:mirrorIndents/>
        <w:jc w:val="both"/>
        <w:rPr>
          <w:rFonts w:cs="Times New Roman"/>
        </w:rPr>
      </w:pPr>
      <w:r w:rsidRPr="00002C47">
        <w:rPr>
          <w:rFonts w:cs="Times New Roman"/>
        </w:rPr>
        <w:t xml:space="preserve">DWASA. </w:t>
      </w:r>
      <w:r w:rsidRPr="00002C47">
        <w:rPr>
          <w:rFonts w:cs="Times New Roman"/>
          <w:i/>
        </w:rPr>
        <w:t>Master Plan for Water Supply and Sanitation for Dhaka City</w:t>
      </w:r>
      <w:r w:rsidRPr="00002C47">
        <w:rPr>
          <w:rFonts w:cs="Times New Roman"/>
        </w:rPr>
        <w:t>. Dhaka: Dhaka Water Supply and Sanitation Authority. 2015.</w:t>
      </w:r>
    </w:p>
    <w:p w:rsidR="00465702" w:rsidRPr="00002C47" w:rsidRDefault="00465702" w:rsidP="00AF367B">
      <w:pPr>
        <w:ind w:left="720" w:hanging="720"/>
        <w:mirrorIndents/>
        <w:jc w:val="both"/>
        <w:rPr>
          <w:rFonts w:cs="Times New Roman"/>
        </w:rPr>
      </w:pPr>
      <w:r w:rsidRPr="00002C47">
        <w:rPr>
          <w:rFonts w:cs="Times New Roman"/>
        </w:rPr>
        <w:t xml:space="preserve">Economist. Ebb and Flow. </w:t>
      </w:r>
      <w:r w:rsidRPr="00002C47">
        <w:rPr>
          <w:rFonts w:cs="Times New Roman"/>
          <w:i/>
        </w:rPr>
        <w:t>Economist</w:t>
      </w:r>
      <w:r w:rsidRPr="00002C47">
        <w:rPr>
          <w:rFonts w:cs="Times New Roman"/>
        </w:rPr>
        <w:t>. 16-05-2013.</w:t>
      </w:r>
    </w:p>
    <w:p w:rsidR="00465702" w:rsidRPr="00002C47" w:rsidRDefault="00465702" w:rsidP="00AF367B">
      <w:pPr>
        <w:ind w:left="720" w:hanging="720"/>
        <w:mirrorIndents/>
        <w:jc w:val="both"/>
        <w:rPr>
          <w:rFonts w:cs="Times New Roman"/>
        </w:rPr>
      </w:pPr>
      <w:r w:rsidRPr="00002C47">
        <w:rPr>
          <w:rFonts w:cs="Times New Roman"/>
        </w:rPr>
        <w:t xml:space="preserve">EGIS. </w:t>
      </w:r>
      <w:r w:rsidRPr="00002C47">
        <w:rPr>
          <w:rFonts w:cs="Times New Roman"/>
          <w:i/>
        </w:rPr>
        <w:t>Riverine Chars in Bangladesh: Environmental Dynamics and Management Issues</w:t>
      </w:r>
      <w:r w:rsidRPr="00002C47">
        <w:rPr>
          <w:rFonts w:cs="Times New Roman"/>
        </w:rPr>
        <w:t>. Dhaka: The University Press Limited. 2000.</w:t>
      </w:r>
    </w:p>
    <w:p w:rsidR="00465702" w:rsidRPr="00002C47" w:rsidRDefault="00465702" w:rsidP="00AF367B">
      <w:pPr>
        <w:ind w:left="720" w:hanging="720"/>
        <w:mirrorIndents/>
        <w:jc w:val="both"/>
        <w:rPr>
          <w:rFonts w:cs="Times New Roman"/>
        </w:rPr>
      </w:pPr>
      <w:r w:rsidRPr="00002C47">
        <w:rPr>
          <w:rFonts w:cs="Times New Roman"/>
        </w:rPr>
        <w:t xml:space="preserve">Elahi, K. A. </w:t>
      </w:r>
      <w:r w:rsidRPr="00002C47">
        <w:rPr>
          <w:rFonts w:cs="Times New Roman"/>
          <w:i/>
        </w:rPr>
        <w:t>Riverbank Erosion, Flood and Population Displacement in Bangladesh</w:t>
      </w:r>
      <w:r w:rsidRPr="00002C47">
        <w:rPr>
          <w:rFonts w:cs="Times New Roman"/>
        </w:rPr>
        <w:t>. Dhaka: Jahangirnagar University. 1999.</w:t>
      </w:r>
    </w:p>
    <w:p w:rsidR="00465702" w:rsidRPr="00002C47" w:rsidRDefault="00465702" w:rsidP="00AF367B">
      <w:pPr>
        <w:ind w:left="720" w:hanging="720"/>
        <w:mirrorIndents/>
        <w:jc w:val="both"/>
        <w:rPr>
          <w:rFonts w:cs="Times New Roman"/>
        </w:rPr>
      </w:pPr>
      <w:r w:rsidRPr="00002C47">
        <w:rPr>
          <w:rFonts w:cs="Times New Roman"/>
        </w:rPr>
        <w:t xml:space="preserve">Fahmida, K., Lemon, M. H. R., Islam, M. S. &amp; Kader, M. A. </w:t>
      </w:r>
      <w:r w:rsidRPr="00002C47">
        <w:rPr>
          <w:rFonts w:cs="Times New Roman"/>
          <w:i/>
        </w:rPr>
        <w:t>Assessment of Supplied Water Quality of Khulna WASA of Bangladesh</w:t>
      </w:r>
      <w:r w:rsidRPr="00002C47">
        <w:rPr>
          <w:rFonts w:cs="Times New Roman"/>
        </w:rPr>
        <w:t>. Rajshahi. 2013.</w:t>
      </w:r>
    </w:p>
    <w:p w:rsidR="00465702" w:rsidRPr="00002C47" w:rsidRDefault="00465702" w:rsidP="00AF367B">
      <w:pPr>
        <w:ind w:left="720" w:hanging="720"/>
        <w:mirrorIndents/>
        <w:jc w:val="both"/>
        <w:rPr>
          <w:rFonts w:cs="Times New Roman"/>
        </w:rPr>
      </w:pPr>
      <w:r w:rsidRPr="00002C47">
        <w:rPr>
          <w:rFonts w:cs="Times New Roman"/>
        </w:rPr>
        <w:t xml:space="preserve">FAO, IFAD, and WFP. </w:t>
      </w:r>
      <w:r w:rsidRPr="00002C47">
        <w:rPr>
          <w:rFonts w:cs="Times New Roman"/>
          <w:i/>
        </w:rPr>
        <w:t>The State of Food Insecurity in the World 2014: Strengthening the Enabling Environment for Food Security and Nutrition</w:t>
      </w:r>
      <w:r w:rsidRPr="00002C47">
        <w:rPr>
          <w:rFonts w:cs="Times New Roman"/>
        </w:rPr>
        <w:t>. Rome: FAO, IFAD, and WFP. 2014.</w:t>
      </w:r>
    </w:p>
    <w:p w:rsidR="00465702" w:rsidRPr="00002C47" w:rsidRDefault="00465702" w:rsidP="00AF367B">
      <w:pPr>
        <w:ind w:left="720" w:hanging="720"/>
        <w:mirrorIndents/>
        <w:jc w:val="both"/>
        <w:rPr>
          <w:rFonts w:cs="Times New Roman"/>
        </w:rPr>
      </w:pPr>
      <w:r w:rsidRPr="00002C47">
        <w:rPr>
          <w:rFonts w:cs="Times New Roman"/>
        </w:rPr>
        <w:t xml:space="preserve">FAO. </w:t>
      </w:r>
      <w:r w:rsidRPr="00002C47">
        <w:rPr>
          <w:rFonts w:cs="Times New Roman"/>
          <w:i/>
        </w:rPr>
        <w:t>Building Resilience for Adaptation to Climate Change in the Agricultural Sector: Proceedings of a Joint FAO/OECD Workshop</w:t>
      </w:r>
      <w:r w:rsidRPr="00002C47">
        <w:rPr>
          <w:rFonts w:cs="Times New Roman"/>
        </w:rPr>
        <w:t>. Rome: FAO. 2012.</w:t>
      </w:r>
    </w:p>
    <w:p w:rsidR="00465702" w:rsidRPr="00002C47" w:rsidRDefault="00465702" w:rsidP="00AF367B">
      <w:pPr>
        <w:ind w:left="720" w:hanging="720"/>
        <w:mirrorIndents/>
        <w:jc w:val="both"/>
        <w:rPr>
          <w:rFonts w:cs="Times New Roman"/>
        </w:rPr>
      </w:pPr>
      <w:r w:rsidRPr="00002C47">
        <w:rPr>
          <w:rFonts w:cs="Times New Roman"/>
        </w:rPr>
        <w:t xml:space="preserve">FAO. </w:t>
      </w:r>
      <w:r w:rsidRPr="00002C47">
        <w:rPr>
          <w:rFonts w:cs="Times New Roman"/>
          <w:i/>
        </w:rPr>
        <w:t>Climate-Smart Agriculture Sourcebook</w:t>
      </w:r>
      <w:r w:rsidRPr="00002C47">
        <w:rPr>
          <w:rFonts w:cs="Times New Roman"/>
        </w:rPr>
        <w:t>. Rome: FAO. 2013</w:t>
      </w:r>
    </w:p>
    <w:p w:rsidR="00465702" w:rsidRPr="00002C47" w:rsidRDefault="00465702" w:rsidP="00AF367B">
      <w:pPr>
        <w:ind w:left="720" w:hanging="720"/>
        <w:mirrorIndents/>
        <w:jc w:val="both"/>
        <w:rPr>
          <w:rFonts w:cs="Times New Roman"/>
        </w:rPr>
      </w:pPr>
      <w:r w:rsidRPr="00002C47">
        <w:rPr>
          <w:rFonts w:cs="Times New Roman"/>
        </w:rPr>
        <w:t>FAO. Climate-Smart Agriculture: Policies, Practices, and Financing for Food Security, Adaptation, and Mitigation. Rome: FAO. 2010.</w:t>
      </w:r>
    </w:p>
    <w:p w:rsidR="00465702" w:rsidRPr="00002C47" w:rsidRDefault="00465702" w:rsidP="00AF367B">
      <w:pPr>
        <w:ind w:left="720" w:hanging="720"/>
        <w:mirrorIndents/>
        <w:jc w:val="both"/>
        <w:rPr>
          <w:rFonts w:cs="Times New Roman"/>
        </w:rPr>
      </w:pPr>
      <w:r w:rsidRPr="00002C47">
        <w:rPr>
          <w:rFonts w:cs="Times New Roman"/>
        </w:rPr>
        <w:t xml:space="preserve">FAO. </w:t>
      </w:r>
      <w:r w:rsidRPr="00002C47">
        <w:rPr>
          <w:rFonts w:cs="Times New Roman"/>
          <w:i/>
        </w:rPr>
        <w:t>Draft, Mapping Exercise on Water Logging of South West in Bangladesh</w:t>
      </w:r>
      <w:r w:rsidRPr="00002C47">
        <w:rPr>
          <w:rFonts w:cs="Times New Roman"/>
        </w:rPr>
        <w:t>. United Nations. 2015.</w:t>
      </w:r>
    </w:p>
    <w:p w:rsidR="00465702" w:rsidRPr="00002C47" w:rsidRDefault="00465702" w:rsidP="00AF367B">
      <w:pPr>
        <w:ind w:left="720" w:hanging="720"/>
        <w:mirrorIndents/>
        <w:jc w:val="both"/>
        <w:rPr>
          <w:rFonts w:cs="Times New Roman"/>
        </w:rPr>
      </w:pPr>
      <w:r w:rsidRPr="00002C47">
        <w:rPr>
          <w:rFonts w:cs="Times New Roman"/>
        </w:rPr>
        <w:t xml:space="preserve">FAO. </w:t>
      </w:r>
      <w:r w:rsidRPr="00002C47">
        <w:rPr>
          <w:rFonts w:cs="Times New Roman"/>
          <w:i/>
        </w:rPr>
        <w:t>Irrigation in Southern and Eastern Asia in Figures- AQUASTAT Survey 2011</w:t>
      </w:r>
      <w:r w:rsidRPr="00002C47">
        <w:rPr>
          <w:rFonts w:cs="Times New Roman"/>
        </w:rPr>
        <w:t>. Food and Agriculture Organization of the United Nations. 2012.</w:t>
      </w:r>
    </w:p>
    <w:p w:rsidR="00465702" w:rsidRPr="00002C47" w:rsidRDefault="00465702" w:rsidP="00AF367B">
      <w:pPr>
        <w:ind w:left="720" w:hanging="720"/>
        <w:mirrorIndents/>
        <w:jc w:val="both"/>
        <w:rPr>
          <w:rFonts w:cs="Times New Roman"/>
        </w:rPr>
      </w:pPr>
      <w:r w:rsidRPr="00002C47">
        <w:rPr>
          <w:rFonts w:cs="Times New Roman"/>
        </w:rPr>
        <w:t xml:space="preserve">FAO. </w:t>
      </w:r>
      <w:r w:rsidRPr="00002C47">
        <w:rPr>
          <w:rFonts w:cs="Times New Roman"/>
          <w:i/>
        </w:rPr>
        <w:t>Stability of Food Security in a Green Economy Environment, FAO Greening the Economy Working, Paper 3</w:t>
      </w:r>
      <w:r w:rsidRPr="00002C47">
        <w:rPr>
          <w:rFonts w:cs="Times New Roman"/>
        </w:rPr>
        <w:t>. Rome: FAO. 2012</w:t>
      </w:r>
    </w:p>
    <w:p w:rsidR="00465702" w:rsidRPr="00002C47" w:rsidRDefault="00465702" w:rsidP="00AF367B">
      <w:pPr>
        <w:ind w:left="720" w:hanging="720"/>
        <w:mirrorIndents/>
        <w:jc w:val="both"/>
        <w:rPr>
          <w:rFonts w:cs="Times New Roman"/>
        </w:rPr>
      </w:pPr>
      <w:r w:rsidRPr="00002C47">
        <w:rPr>
          <w:rFonts w:cs="Times New Roman"/>
        </w:rPr>
        <w:t xml:space="preserve">FAO. </w:t>
      </w:r>
      <w:r w:rsidRPr="00002C47">
        <w:rPr>
          <w:rFonts w:cs="Times New Roman"/>
          <w:i/>
        </w:rPr>
        <w:t>The Monitoring and Assessment of Greenhouse Gas Emissions and Mitigation Potentials in Agriculture</w:t>
      </w:r>
      <w:r w:rsidRPr="00002C47">
        <w:rPr>
          <w:rFonts w:cs="Times New Roman"/>
        </w:rPr>
        <w:t>. Mitigation of Climate Change in Agriculture (MICCA) Programme. (2010)</w:t>
      </w:r>
    </w:p>
    <w:p w:rsidR="00465702" w:rsidRPr="00002C47" w:rsidRDefault="00465702" w:rsidP="00AF367B">
      <w:pPr>
        <w:ind w:left="720" w:hanging="720"/>
        <w:mirrorIndents/>
        <w:jc w:val="both"/>
        <w:rPr>
          <w:rFonts w:cs="Times New Roman"/>
        </w:rPr>
      </w:pPr>
      <w:r w:rsidRPr="00002C47">
        <w:rPr>
          <w:rFonts w:cs="Times New Roman"/>
        </w:rPr>
        <w:t>FAO. Water Use Data for Bangladesh. Food and Agriculture Organization of the United Nations. 2016. http://www.fao.org/nr/water/aquastat/water_use/index.stm</w:t>
      </w:r>
    </w:p>
    <w:p w:rsidR="00465702" w:rsidRDefault="00465702" w:rsidP="00AF367B">
      <w:pPr>
        <w:ind w:left="720" w:hanging="720"/>
        <w:mirrorIndents/>
        <w:jc w:val="both"/>
        <w:rPr>
          <w:rFonts w:cs="Times New Roman"/>
        </w:rPr>
      </w:pPr>
      <w:r w:rsidRPr="00002C47">
        <w:rPr>
          <w:rFonts w:cs="Times New Roman"/>
        </w:rPr>
        <w:t xml:space="preserve">Ferdous, Z. et al. Evaluation of Surface Waters Quality Obtained from Different Sources of Mymensingh District of Bangladesh. </w:t>
      </w:r>
      <w:r w:rsidRPr="00002C47">
        <w:rPr>
          <w:rFonts w:cs="Times New Roman"/>
          <w:i/>
        </w:rPr>
        <w:t>A Scientific Journal of Krishi Foundation</w:t>
      </w:r>
      <w:r w:rsidRPr="00002C47">
        <w:rPr>
          <w:rFonts w:cs="Times New Roman"/>
        </w:rPr>
        <w:t xml:space="preserve"> (2015).</w:t>
      </w:r>
    </w:p>
    <w:p w:rsidR="00E51DFF" w:rsidRPr="00002C47" w:rsidRDefault="00F64A6A" w:rsidP="00AF367B">
      <w:pPr>
        <w:ind w:left="720" w:hanging="720"/>
        <w:mirrorIndents/>
        <w:jc w:val="both"/>
        <w:rPr>
          <w:rFonts w:cs="Times New Roman"/>
        </w:rPr>
      </w:pPr>
      <w:r w:rsidRPr="00F64A6A">
        <w:rPr>
          <w:rFonts w:cs="Times New Roman"/>
          <w:lang w:val="fr-BE"/>
        </w:rPr>
        <w:t xml:space="preserve">Flanagan, D.C. et al. </w:t>
      </w:r>
      <w:r w:rsidR="00E51DFF" w:rsidRPr="00BD4613">
        <w:rPr>
          <w:rFonts w:cs="Times New Roman"/>
          <w:i/>
        </w:rPr>
        <w:t>Transactions of the American Society of Agricultural and Biological Engineering</w:t>
      </w:r>
      <w:r w:rsidR="00E51DFF" w:rsidRPr="00E51DFF">
        <w:rPr>
          <w:rFonts w:cs="Times New Roman"/>
        </w:rPr>
        <w:t>, 2012</w:t>
      </w:r>
    </w:p>
    <w:p w:rsidR="00634EED" w:rsidRDefault="00634EED" w:rsidP="004B0A08">
      <w:pPr>
        <w:pStyle w:val="FootnoteText"/>
        <w:spacing w:line="269" w:lineRule="auto"/>
      </w:pPr>
      <w:r w:rsidRPr="004B0A08">
        <w:rPr>
          <w:szCs w:val="22"/>
        </w:rPr>
        <w:t>Ganesh-Kumar A., S.K</w:t>
      </w:r>
      <w:r w:rsidRPr="00634EED">
        <w:rPr>
          <w:szCs w:val="22"/>
        </w:rPr>
        <w:t>. Prashad &amp; H. Pullabhotisa</w:t>
      </w:r>
      <w:r>
        <w:rPr>
          <w:szCs w:val="22"/>
        </w:rPr>
        <w:t>.</w:t>
      </w:r>
      <w:r w:rsidRPr="004B0A08">
        <w:rPr>
          <w:szCs w:val="22"/>
        </w:rPr>
        <w:t xml:space="preserve"> </w:t>
      </w:r>
      <w:r w:rsidRPr="004B0A08">
        <w:rPr>
          <w:i/>
          <w:szCs w:val="22"/>
        </w:rPr>
        <w:t>Supply and Demand for Cereals in Bangladesh 2010-2030.</w:t>
      </w:r>
      <w:r w:rsidRPr="004B0A08">
        <w:rPr>
          <w:szCs w:val="22"/>
        </w:rPr>
        <w:t xml:space="preserve"> IFPRI Discussion Paper. June 2012.</w:t>
      </w:r>
    </w:p>
    <w:p w:rsidR="00634EED" w:rsidRPr="00634EED" w:rsidRDefault="00634EED" w:rsidP="004B0A08">
      <w:pPr>
        <w:pStyle w:val="FootnoteText"/>
        <w:spacing w:line="269" w:lineRule="auto"/>
      </w:pPr>
    </w:p>
    <w:p w:rsidR="00465702" w:rsidRPr="00002C47" w:rsidRDefault="00465702" w:rsidP="00AF367B">
      <w:pPr>
        <w:ind w:left="720" w:hanging="720"/>
        <w:mirrorIndents/>
        <w:jc w:val="both"/>
        <w:rPr>
          <w:rFonts w:cs="Times New Roman"/>
        </w:rPr>
      </w:pPr>
      <w:r w:rsidRPr="00002C47">
        <w:rPr>
          <w:rFonts w:cs="Times New Roman"/>
        </w:rPr>
        <w:t xml:space="preserve">General Economics Division. </w:t>
      </w:r>
      <w:r w:rsidRPr="00002C47">
        <w:rPr>
          <w:rFonts w:cs="Times New Roman"/>
          <w:i/>
        </w:rPr>
        <w:t>Bangladesh Delta Plan 2100 Main Report, Inception Report</w:t>
      </w:r>
      <w:r w:rsidRPr="00002C47">
        <w:rPr>
          <w:rFonts w:cs="Times New Roman"/>
        </w:rPr>
        <w:t>. Dhaka: Planning Commission, Government of Bangladesh. 2015.</w:t>
      </w:r>
    </w:p>
    <w:p w:rsidR="00465702" w:rsidRPr="00002C47" w:rsidRDefault="00465702" w:rsidP="00AF367B">
      <w:pPr>
        <w:ind w:left="720" w:hanging="720"/>
        <w:mirrorIndents/>
        <w:jc w:val="both"/>
        <w:rPr>
          <w:rFonts w:cs="Times New Roman"/>
        </w:rPr>
      </w:pPr>
      <w:r w:rsidRPr="00002C47">
        <w:rPr>
          <w:rFonts w:cs="Times New Roman"/>
        </w:rPr>
        <w:t xml:space="preserve">Girard, J.P. and Girard, J.L. Defining knowledge management: Toward an applied compendium. </w:t>
      </w:r>
      <w:r w:rsidRPr="00002C47">
        <w:rPr>
          <w:rFonts w:cs="Times New Roman"/>
          <w:i/>
        </w:rPr>
        <w:t>Online Journal of Applied Knowledge Management</w:t>
      </w:r>
      <w:r w:rsidRPr="00002C47">
        <w:rPr>
          <w:rFonts w:cs="Times New Roman"/>
        </w:rPr>
        <w:t>. 3(1) (2015): 1-20.</w:t>
      </w:r>
    </w:p>
    <w:p w:rsidR="00465702" w:rsidRPr="00002C47" w:rsidRDefault="00465702" w:rsidP="00AF367B">
      <w:pPr>
        <w:ind w:left="720" w:hanging="720"/>
        <w:mirrorIndents/>
        <w:jc w:val="both"/>
        <w:rPr>
          <w:rFonts w:cs="Times New Roman"/>
        </w:rPr>
      </w:pPr>
      <w:r w:rsidRPr="00002C47">
        <w:rPr>
          <w:rFonts w:cs="Times New Roman"/>
        </w:rPr>
        <w:t>Global Water Partnership. Monitoring and evaluation indicators for IWRM strategies and plans. 2005. http://www.gwp.org/Global/ToolBox/</w:t>
      </w:r>
      <w:r w:rsidR="000B096E">
        <w:t>public</w:t>
      </w:r>
      <w:r w:rsidRPr="00002C47">
        <w:rPr>
          <w:rFonts w:cs="Times New Roman"/>
        </w:rPr>
        <w:t>ations/Technical%20Briefs/03%20Monitoring%20and%20evaluation%20indicators%20for%20IWRM%20strategies%20and%20plans%20(2006)%20English.pdf</w:t>
      </w:r>
    </w:p>
    <w:p w:rsidR="00465702" w:rsidRPr="00002C47" w:rsidRDefault="00465702" w:rsidP="00AF367B">
      <w:pPr>
        <w:ind w:left="720" w:hanging="720"/>
        <w:mirrorIndents/>
        <w:jc w:val="both"/>
        <w:rPr>
          <w:rFonts w:cs="Times New Roman"/>
        </w:rPr>
      </w:pPr>
      <w:r w:rsidRPr="00002C47">
        <w:rPr>
          <w:rFonts w:cs="Times New Roman"/>
        </w:rPr>
        <w:t xml:space="preserve">Government of Bangladesh. </w:t>
      </w:r>
      <w:r w:rsidRPr="00002C47">
        <w:rPr>
          <w:rFonts w:cs="Times New Roman"/>
          <w:i/>
        </w:rPr>
        <w:t>Bangladesh Climate Change Strategy and Action Plan</w:t>
      </w:r>
      <w:r w:rsidRPr="00002C47">
        <w:rPr>
          <w:rFonts w:cs="Times New Roman"/>
        </w:rPr>
        <w:t>. Dhaka: Ministry of Environment and Forests. 2009.</w:t>
      </w:r>
    </w:p>
    <w:p w:rsidR="00465702" w:rsidRPr="00002C47" w:rsidRDefault="00465702" w:rsidP="00AF367B">
      <w:pPr>
        <w:ind w:left="720" w:hanging="720"/>
        <w:mirrorIndents/>
        <w:jc w:val="both"/>
        <w:rPr>
          <w:rFonts w:cs="Times New Roman"/>
        </w:rPr>
      </w:pPr>
      <w:r w:rsidRPr="00002C47">
        <w:rPr>
          <w:rFonts w:cs="Times New Roman"/>
        </w:rPr>
        <w:t xml:space="preserve">Government of Bangladesh. </w:t>
      </w:r>
      <w:r w:rsidRPr="00002C47">
        <w:rPr>
          <w:rFonts w:cs="Times New Roman"/>
          <w:i/>
        </w:rPr>
        <w:t>Master Plan for Agricultural Development in the Southern Region of Bangladesh</w:t>
      </w:r>
      <w:r w:rsidRPr="00002C47">
        <w:rPr>
          <w:rFonts w:cs="Times New Roman"/>
        </w:rPr>
        <w:t>. Dhaka: Ministry of Agriculture and FAO. 2013.</w:t>
      </w:r>
    </w:p>
    <w:p w:rsidR="00465702" w:rsidRPr="00002C47" w:rsidRDefault="00465702" w:rsidP="00AF367B">
      <w:pPr>
        <w:ind w:left="720" w:hanging="720"/>
        <w:mirrorIndents/>
        <w:jc w:val="both"/>
        <w:rPr>
          <w:rFonts w:cs="Times New Roman"/>
        </w:rPr>
      </w:pPr>
      <w:r w:rsidRPr="00002C47">
        <w:rPr>
          <w:rFonts w:cs="Times New Roman"/>
        </w:rPr>
        <w:t xml:space="preserve">Government of Bangladesh. </w:t>
      </w:r>
      <w:r w:rsidRPr="00002C47">
        <w:rPr>
          <w:rFonts w:cs="Times New Roman"/>
          <w:i/>
        </w:rPr>
        <w:t>Master Plan for Development of Haor Areas Vol. I, II, and III</w:t>
      </w:r>
      <w:r w:rsidRPr="00002C47">
        <w:rPr>
          <w:rFonts w:cs="Times New Roman"/>
        </w:rPr>
        <w:t>. Dhaka: Ministry of Water Resources, Bangladesh Haor and Wetland Development Board. 2012.</w:t>
      </w:r>
    </w:p>
    <w:p w:rsidR="00465702" w:rsidRPr="00002C47" w:rsidRDefault="00465702" w:rsidP="00AF367B">
      <w:pPr>
        <w:ind w:left="720" w:hanging="720"/>
        <w:mirrorIndents/>
        <w:jc w:val="both"/>
        <w:rPr>
          <w:rFonts w:cs="Times New Roman"/>
        </w:rPr>
      </w:pPr>
      <w:r w:rsidRPr="00002C47">
        <w:rPr>
          <w:rFonts w:cs="Times New Roman"/>
        </w:rPr>
        <w:t xml:space="preserve">Gray, J. H. and Densten, I. L. Towards an integrative model of organizational culture and knowledge management. </w:t>
      </w:r>
      <w:r w:rsidRPr="00002C47">
        <w:rPr>
          <w:rFonts w:cs="Times New Roman"/>
          <w:i/>
        </w:rPr>
        <w:t>International Journal of Organisational Behaviour</w:t>
      </w:r>
      <w:r w:rsidRPr="00002C47">
        <w:rPr>
          <w:rFonts w:cs="Times New Roman"/>
        </w:rPr>
        <w:t>, 9(2) (2005): 594–603</w:t>
      </w:r>
    </w:p>
    <w:p w:rsidR="00465702" w:rsidRPr="00002C47" w:rsidRDefault="00465702" w:rsidP="00AF367B">
      <w:pPr>
        <w:ind w:left="720" w:hanging="720"/>
        <w:mirrorIndents/>
        <w:jc w:val="both"/>
        <w:rPr>
          <w:rFonts w:cs="Times New Roman"/>
        </w:rPr>
      </w:pPr>
      <w:r w:rsidRPr="00002C47">
        <w:rPr>
          <w:rFonts w:cs="Times New Roman"/>
        </w:rPr>
        <w:t xml:space="preserve">Habibullah, M., Ahmed, A.U., and Karim, Z. In </w:t>
      </w:r>
      <w:r w:rsidRPr="00002C47">
        <w:rPr>
          <w:rFonts w:cs="Times New Roman"/>
          <w:i/>
        </w:rPr>
        <w:t>Assessment of Foodgrain Production Loss Due to Climate Induced Enhanced Soil Salinity</w:t>
      </w:r>
      <w:r w:rsidRPr="00002C47">
        <w:rPr>
          <w:rFonts w:cs="Times New Roman"/>
        </w:rPr>
        <w:t>, S. Huq et al. (eds.), Vulnerability and Adaptation to Climate Change for Bangladesh, Dordrecht: Kluwer Academic Publishers, pp. 55-70, 1998.</w:t>
      </w:r>
    </w:p>
    <w:p w:rsidR="00465702" w:rsidRPr="00002C47" w:rsidRDefault="00465702" w:rsidP="00AF367B">
      <w:pPr>
        <w:ind w:left="720" w:hanging="720"/>
        <w:mirrorIndents/>
        <w:jc w:val="both"/>
        <w:rPr>
          <w:rFonts w:cs="Times New Roman"/>
        </w:rPr>
      </w:pPr>
      <w:r w:rsidRPr="00002C47">
        <w:rPr>
          <w:rFonts w:cs="Times New Roman"/>
        </w:rPr>
        <w:t xml:space="preserve">Hallegatte, S. M. Bangalore, L. Bonzanigo, M. Fay, T. Kane, U. Narloch, J. Rozenberg, D. Treguer and A. Vogt-Schilb. Climate Change, Agriculture, and Food Security. In </w:t>
      </w:r>
      <w:r w:rsidRPr="00002C47">
        <w:rPr>
          <w:rFonts w:cs="Times New Roman"/>
          <w:i/>
        </w:rPr>
        <w:t>Shock Waves: Managing the Impacts of Climate Change on Poverty</w:t>
      </w:r>
      <w:r w:rsidRPr="00002C47">
        <w:rPr>
          <w:rFonts w:cs="Times New Roman"/>
        </w:rPr>
        <w:t>, 49-77. Washing</w:t>
      </w:r>
      <w:r w:rsidR="00FE6385">
        <w:rPr>
          <w:rFonts w:cs="Times New Roman"/>
        </w:rPr>
        <w:t>ton</w:t>
      </w:r>
      <w:r w:rsidRPr="00002C47">
        <w:rPr>
          <w:rFonts w:cs="Times New Roman"/>
        </w:rPr>
        <w:t xml:space="preserve"> DC: World Bank 2015.</w:t>
      </w:r>
    </w:p>
    <w:p w:rsidR="00465702" w:rsidRPr="00002C47" w:rsidRDefault="00465702" w:rsidP="00AF367B">
      <w:pPr>
        <w:ind w:left="720" w:hanging="720"/>
        <w:mirrorIndents/>
        <w:jc w:val="both"/>
        <w:rPr>
          <w:rFonts w:cs="Times New Roman"/>
        </w:rPr>
      </w:pPr>
      <w:r w:rsidRPr="00002C47">
        <w:rPr>
          <w:rFonts w:cs="Times New Roman"/>
        </w:rPr>
        <w:t xml:space="preserve">Haque, A. M., Jahan, M. S. &amp; Azad, M. A. K. Shrimp Culture Impact on the Surface and Ground Water of Bangladesh. </w:t>
      </w:r>
      <w:r w:rsidRPr="00002C47">
        <w:rPr>
          <w:rFonts w:cs="Times New Roman"/>
          <w:i/>
        </w:rPr>
        <w:t>Iranian Journal of Earth Sciences</w:t>
      </w:r>
      <w:r w:rsidRPr="00002C47">
        <w:rPr>
          <w:rFonts w:cs="Times New Roman"/>
        </w:rPr>
        <w:t xml:space="preserve"> (2010).</w:t>
      </w:r>
    </w:p>
    <w:p w:rsidR="00465702" w:rsidRPr="00002C47" w:rsidRDefault="00465702" w:rsidP="00AF367B">
      <w:pPr>
        <w:ind w:left="720" w:hanging="720"/>
        <w:mirrorIndents/>
        <w:jc w:val="both"/>
        <w:rPr>
          <w:rFonts w:cs="Times New Roman"/>
        </w:rPr>
      </w:pPr>
      <w:r w:rsidRPr="00002C47">
        <w:rPr>
          <w:rFonts w:cs="Times New Roman"/>
        </w:rPr>
        <w:t xml:space="preserve">Haque, S. </w:t>
      </w:r>
      <w:r w:rsidRPr="00002C47">
        <w:rPr>
          <w:rFonts w:cs="Times New Roman"/>
          <w:i/>
        </w:rPr>
        <w:t>Salinity Problem and Crop Production in Coastal Regions of Bangladesh</w:t>
      </w:r>
      <w:r w:rsidRPr="00002C47">
        <w:rPr>
          <w:rFonts w:cs="Times New Roman"/>
        </w:rPr>
        <w:t>. Department of Soil Science, Bangladesh Agricultural University, Mymensingh, Bangladesh. 2006.</w:t>
      </w:r>
    </w:p>
    <w:p w:rsidR="00465702" w:rsidRPr="00002C47" w:rsidRDefault="00465702" w:rsidP="00AF367B">
      <w:pPr>
        <w:ind w:left="720" w:hanging="720"/>
        <w:mirrorIndents/>
        <w:jc w:val="both"/>
        <w:rPr>
          <w:rFonts w:cs="Times New Roman"/>
        </w:rPr>
      </w:pPr>
      <w:r w:rsidRPr="00002C47">
        <w:rPr>
          <w:rFonts w:cs="Times New Roman"/>
        </w:rPr>
        <w:t xml:space="preserve">Haque, S.A. Salinity Problems and Crop Production in Coastal Regions of Bangladesh. </w:t>
      </w:r>
      <w:r w:rsidRPr="00002C47">
        <w:rPr>
          <w:rFonts w:cs="Times New Roman"/>
          <w:i/>
        </w:rPr>
        <w:t>Pak. J. Bot.</w:t>
      </w:r>
      <w:r w:rsidRPr="00002C47">
        <w:rPr>
          <w:rFonts w:cs="Times New Roman"/>
        </w:rPr>
        <w:t>, 38(5) (2006): 1359-1365.</w:t>
      </w:r>
    </w:p>
    <w:p w:rsidR="00465702" w:rsidRPr="00002C47" w:rsidRDefault="00465702" w:rsidP="00AF367B">
      <w:pPr>
        <w:ind w:left="720" w:hanging="720"/>
        <w:mirrorIndents/>
        <w:jc w:val="both"/>
        <w:rPr>
          <w:rFonts w:cs="Times New Roman"/>
        </w:rPr>
      </w:pPr>
      <w:r w:rsidRPr="00002C47">
        <w:rPr>
          <w:rFonts w:cs="Times New Roman"/>
        </w:rPr>
        <w:t xml:space="preserve">Hardy, T. Green house impacts: SLR. In </w:t>
      </w:r>
      <w:r w:rsidRPr="00002C47">
        <w:rPr>
          <w:rFonts w:cs="Times New Roman"/>
          <w:i/>
        </w:rPr>
        <w:t>Workshop on Climatic Impacts on the Coastal Zone</w:t>
      </w:r>
      <w:r w:rsidRPr="00002C47">
        <w:rPr>
          <w:rFonts w:cs="Times New Roman"/>
        </w:rPr>
        <w:t>, North Queensland, Australia: James Cook Univ. of North Queensland, February 12-18. 1992.</w:t>
      </w:r>
    </w:p>
    <w:p w:rsidR="00465702" w:rsidRPr="00002C47" w:rsidRDefault="00465702" w:rsidP="00AF367B">
      <w:pPr>
        <w:ind w:left="720" w:hanging="720"/>
        <w:mirrorIndents/>
        <w:jc w:val="both"/>
        <w:rPr>
          <w:rFonts w:cs="Times New Roman"/>
        </w:rPr>
      </w:pPr>
      <w:r w:rsidRPr="00002C47">
        <w:rPr>
          <w:rFonts w:cs="Times New Roman"/>
        </w:rPr>
        <w:t xml:space="preserve">Hardy, T. </w:t>
      </w:r>
      <w:r w:rsidRPr="00002C47">
        <w:rPr>
          <w:rFonts w:cs="Times New Roman"/>
          <w:i/>
        </w:rPr>
        <w:t>Green house impacts: SLR. Workshop on Climatic Impacts on the Coastal Zone</w:t>
      </w:r>
      <w:r w:rsidRPr="00002C47">
        <w:rPr>
          <w:rFonts w:cs="Times New Roman"/>
        </w:rPr>
        <w:t>. North Queensland, Australia: James Cook Univ. of North Queensland. 1992.</w:t>
      </w:r>
    </w:p>
    <w:p w:rsidR="00465702" w:rsidRPr="00002C47" w:rsidRDefault="00465702" w:rsidP="00AF367B">
      <w:pPr>
        <w:ind w:left="720" w:hanging="720"/>
        <w:mirrorIndents/>
        <w:jc w:val="both"/>
        <w:rPr>
          <w:rFonts w:cs="Times New Roman"/>
        </w:rPr>
      </w:pPr>
      <w:r w:rsidRPr="00002C47">
        <w:rPr>
          <w:rFonts w:cs="Times New Roman"/>
        </w:rPr>
        <w:t xml:space="preserve">Havlík, P., H. Valin, M. Gusti, E. Schmid, D. Leclère, N. Forsell, M. Herrero, N. Khabarov, A. Mosnier, M. Cantele, and M. Obersteiner. </w:t>
      </w:r>
      <w:r w:rsidRPr="00002C47">
        <w:rPr>
          <w:rFonts w:cs="Times New Roman"/>
          <w:i/>
        </w:rPr>
        <w:t>Climate Change Impacts and Mitigation in the Developing World: An Integrated Assessment of Agriculture and Forestry Sectors</w:t>
      </w:r>
      <w:r w:rsidRPr="00002C47">
        <w:rPr>
          <w:rFonts w:cs="Times New Roman"/>
        </w:rPr>
        <w:t>. Washing</w:t>
      </w:r>
      <w:r w:rsidR="00FE6385">
        <w:rPr>
          <w:rFonts w:cs="Times New Roman"/>
        </w:rPr>
        <w:t>ton</w:t>
      </w:r>
      <w:r w:rsidRPr="00002C47">
        <w:rPr>
          <w:rFonts w:cs="Times New Roman"/>
        </w:rPr>
        <w:t xml:space="preserve"> DC: World Bank. 2011.</w:t>
      </w:r>
    </w:p>
    <w:p w:rsidR="00465702" w:rsidRPr="00002C47" w:rsidRDefault="00465702" w:rsidP="00AF367B">
      <w:pPr>
        <w:ind w:left="720" w:hanging="720"/>
        <w:mirrorIndents/>
        <w:jc w:val="both"/>
        <w:rPr>
          <w:rFonts w:cs="Times New Roman"/>
        </w:rPr>
      </w:pPr>
      <w:r w:rsidRPr="00002C47">
        <w:rPr>
          <w:rFonts w:cs="Times New Roman"/>
        </w:rPr>
        <w:t xml:space="preserve">Hinkel, J., D. Lincke, A. T. Vafeidis, M. Perrette, R. J. Nicholls, R. S. J. Tol, B. Marzeion, X. Fettweis, C. Ionescu, and A. Levermann. Coastal flood damage and adaptation costs under 21st century sea-level rise. In </w:t>
      </w:r>
      <w:r w:rsidRPr="00002C47">
        <w:rPr>
          <w:rFonts w:cs="Times New Roman"/>
          <w:i/>
        </w:rPr>
        <w:t>Proceedings of the National Academy of Sciences</w:t>
      </w:r>
      <w:r w:rsidRPr="00002C47">
        <w:rPr>
          <w:rFonts w:cs="Times New Roman"/>
        </w:rPr>
        <w:t xml:space="preserve"> 111:3292-3297, 2014.</w:t>
      </w:r>
    </w:p>
    <w:p w:rsidR="00465702" w:rsidRPr="00002C47" w:rsidRDefault="00465702" w:rsidP="00AF367B">
      <w:pPr>
        <w:ind w:left="720" w:hanging="720"/>
        <w:mirrorIndents/>
        <w:jc w:val="both"/>
        <w:rPr>
          <w:rFonts w:cs="Times New Roman"/>
        </w:rPr>
      </w:pPr>
      <w:r w:rsidRPr="00002C47">
        <w:rPr>
          <w:rFonts w:cs="Times New Roman"/>
        </w:rPr>
        <w:t xml:space="preserve">Hinkel, J., D. Lincke, A. T. Vafeidis, M. Perrette, R. J. Nicholls, R. S. J. Tol, B. Marzeion, X. Fettweis, C. Ionescu, and A. Levermann. Coastal flood damage and adaptation costs under 21st century sea-level rise. In </w:t>
      </w:r>
      <w:r w:rsidRPr="00002C47">
        <w:rPr>
          <w:rFonts w:cs="Times New Roman"/>
          <w:i/>
        </w:rPr>
        <w:t>National Academy of Sciences</w:t>
      </w:r>
      <w:r w:rsidRPr="00002C47">
        <w:rPr>
          <w:rFonts w:cs="Times New Roman"/>
        </w:rPr>
        <w:t>, 111:3292-3297, 2014.</w:t>
      </w:r>
    </w:p>
    <w:p w:rsidR="00465702" w:rsidRPr="00002C47" w:rsidRDefault="00465702" w:rsidP="00AF367B">
      <w:pPr>
        <w:ind w:left="720" w:hanging="720"/>
        <w:mirrorIndents/>
        <w:jc w:val="both"/>
        <w:rPr>
          <w:rFonts w:cs="Times New Roman"/>
        </w:rPr>
      </w:pPr>
      <w:r w:rsidRPr="00002C47">
        <w:rPr>
          <w:rFonts w:cs="Times New Roman"/>
        </w:rPr>
        <w:t xml:space="preserve">Hope, Chris. The PAGE09 Integrated Assessment Model: A technical Description. </w:t>
      </w:r>
      <w:r w:rsidRPr="00002C47">
        <w:rPr>
          <w:rFonts w:cs="Times New Roman"/>
          <w:i/>
        </w:rPr>
        <w:t>Judge Business School Working Papers</w:t>
      </w:r>
      <w:r w:rsidRPr="00002C47">
        <w:rPr>
          <w:rFonts w:cs="Times New Roman"/>
        </w:rPr>
        <w:t>, Cambridge UK (2011).</w:t>
      </w:r>
    </w:p>
    <w:p w:rsidR="00465702" w:rsidRPr="00002C47" w:rsidRDefault="00465702" w:rsidP="00AF367B">
      <w:pPr>
        <w:ind w:left="720" w:hanging="720"/>
        <w:mirrorIndents/>
        <w:jc w:val="both"/>
        <w:rPr>
          <w:rFonts w:cs="Times New Roman"/>
        </w:rPr>
      </w:pPr>
      <w:r w:rsidRPr="00002C47">
        <w:rPr>
          <w:rFonts w:cs="Times New Roman"/>
        </w:rPr>
        <w:t xml:space="preserve">Hope, Chris. </w:t>
      </w:r>
      <w:r w:rsidRPr="00002C47">
        <w:rPr>
          <w:rFonts w:cs="Times New Roman"/>
          <w:i/>
        </w:rPr>
        <w:t>The PAGE09 model: Estimating climate impacts and the social cost of CO2</w:t>
      </w:r>
      <w:r w:rsidRPr="00002C47">
        <w:rPr>
          <w:rFonts w:cs="Times New Roman"/>
        </w:rPr>
        <w:t>. UK, 2010.</w:t>
      </w:r>
    </w:p>
    <w:p w:rsidR="00465702" w:rsidRPr="00002C47" w:rsidRDefault="00465702" w:rsidP="00AF367B">
      <w:pPr>
        <w:ind w:left="720" w:hanging="720"/>
        <w:mirrorIndents/>
        <w:jc w:val="both"/>
        <w:rPr>
          <w:rFonts w:cs="Times New Roman"/>
        </w:rPr>
      </w:pPr>
      <w:r w:rsidRPr="00002C47">
        <w:rPr>
          <w:rFonts w:cs="Times New Roman"/>
        </w:rPr>
        <w:t xml:space="preserve">Hossain, M. A., Nahiduzzaman, M., Sayeed, M. A., Azim, M. E., Wahab, M., &amp; Olin, P. G. The Chalan beel in Bangladesh: Habitat and biodiversity degradation and implications for future management. </w:t>
      </w:r>
      <w:r w:rsidRPr="00002C47">
        <w:rPr>
          <w:rFonts w:cs="Times New Roman"/>
          <w:i/>
        </w:rPr>
        <w:t>Lakes &amp; Reservoirs: Research &amp; Management</w:t>
      </w:r>
      <w:r w:rsidRPr="00002C47">
        <w:rPr>
          <w:rFonts w:cs="Times New Roman"/>
        </w:rPr>
        <w:t>, (2009): 3-19.</w:t>
      </w:r>
    </w:p>
    <w:p w:rsidR="00465702" w:rsidRPr="00002C47" w:rsidRDefault="00465702" w:rsidP="00AF367B">
      <w:pPr>
        <w:ind w:left="720" w:hanging="720"/>
        <w:mirrorIndents/>
        <w:jc w:val="both"/>
        <w:rPr>
          <w:rFonts w:cs="Times New Roman"/>
        </w:rPr>
      </w:pPr>
      <w:r w:rsidRPr="00002C47">
        <w:rPr>
          <w:rFonts w:cs="Times New Roman"/>
        </w:rPr>
        <w:t xml:space="preserve">Hossain, M.K. and Haque, A.T.M.R. Eucalyptus Dilemma in Bangladesh. </w:t>
      </w:r>
      <w:r w:rsidRPr="00002C47">
        <w:rPr>
          <w:rFonts w:cs="Times New Roman"/>
          <w:i/>
        </w:rPr>
        <w:t>IFES, University of Chittagong</w:t>
      </w:r>
      <w:r w:rsidRPr="00002C47">
        <w:rPr>
          <w:rFonts w:cs="Times New Roman"/>
        </w:rPr>
        <w:t>. 2013.</w:t>
      </w:r>
    </w:p>
    <w:p w:rsidR="00465702" w:rsidRPr="00002C47" w:rsidRDefault="00465702" w:rsidP="00AF367B">
      <w:pPr>
        <w:ind w:left="720" w:hanging="720"/>
        <w:mirrorIndents/>
        <w:jc w:val="both"/>
        <w:rPr>
          <w:rFonts w:cs="Times New Roman"/>
        </w:rPr>
      </w:pPr>
      <w:r w:rsidRPr="00002C47">
        <w:rPr>
          <w:rFonts w:cs="Times New Roman"/>
        </w:rPr>
        <w:t xml:space="preserve">Huda, M. E. &amp; Rahman, M. A. Study of the Seasonal Variations in Physiochemical and Biological Aspects of the Padma River at Paturia Ghat, Manikganj. </w:t>
      </w:r>
      <w:r w:rsidRPr="00002C47">
        <w:rPr>
          <w:rFonts w:cs="Times New Roman"/>
          <w:i/>
        </w:rPr>
        <w:t>Jahangirnagar University Environmental Bulletin</w:t>
      </w:r>
      <w:r w:rsidRPr="00002C47">
        <w:rPr>
          <w:rFonts w:cs="Times New Roman"/>
        </w:rPr>
        <w:t>, (2012).</w:t>
      </w:r>
    </w:p>
    <w:p w:rsidR="00465702" w:rsidRPr="00002C47" w:rsidRDefault="00465702" w:rsidP="00AF367B">
      <w:pPr>
        <w:ind w:left="720" w:hanging="720"/>
        <w:mirrorIndents/>
        <w:jc w:val="both"/>
        <w:rPr>
          <w:rFonts w:cs="Times New Roman"/>
        </w:rPr>
      </w:pPr>
      <w:r w:rsidRPr="00002C47">
        <w:rPr>
          <w:rFonts w:cs="Times New Roman"/>
        </w:rPr>
        <w:t xml:space="preserve">ICG Bangladesh. </w:t>
      </w:r>
      <w:r w:rsidRPr="00002C47">
        <w:rPr>
          <w:rFonts w:cs="Times New Roman"/>
          <w:i/>
        </w:rPr>
        <w:t>International Haors vulnerability assessment</w:t>
      </w:r>
      <w:r w:rsidRPr="00002C47">
        <w:rPr>
          <w:rFonts w:cs="Times New Roman"/>
        </w:rPr>
        <w:t>. 2011. http://www.lcgbangladesh.org/ (Accessed 2016).</w:t>
      </w:r>
    </w:p>
    <w:p w:rsidR="00465702" w:rsidRPr="00002C47" w:rsidRDefault="00465702" w:rsidP="00AF367B">
      <w:pPr>
        <w:ind w:left="720" w:hanging="720"/>
        <w:mirrorIndents/>
        <w:jc w:val="both"/>
        <w:rPr>
          <w:rFonts w:cs="Times New Roman"/>
        </w:rPr>
      </w:pPr>
      <w:r w:rsidRPr="00002C47">
        <w:rPr>
          <w:rFonts w:cs="Times New Roman"/>
        </w:rPr>
        <w:t xml:space="preserve">Information Systems for Water Resources Monitoring and Assessment. In </w:t>
      </w:r>
      <w:r w:rsidRPr="00002C47">
        <w:rPr>
          <w:rFonts w:cs="Times New Roman"/>
          <w:i/>
        </w:rPr>
        <w:t>Tenth South African National Hydrology Symposium: 26 – 28 September</w:t>
      </w:r>
      <w:r w:rsidRPr="00002C47">
        <w:rPr>
          <w:rFonts w:cs="Times New Roman"/>
        </w:rPr>
        <w:t>, 2001.</w:t>
      </w:r>
    </w:p>
    <w:p w:rsidR="00465702" w:rsidRPr="00002C47" w:rsidRDefault="00465702" w:rsidP="00AF367B">
      <w:pPr>
        <w:ind w:left="720" w:hanging="720"/>
        <w:mirrorIndents/>
        <w:jc w:val="both"/>
        <w:rPr>
          <w:rFonts w:cs="Times New Roman"/>
        </w:rPr>
      </w:pPr>
      <w:r w:rsidRPr="00002C47">
        <w:rPr>
          <w:rFonts w:cs="Times New Roman"/>
        </w:rPr>
        <w:t xml:space="preserve">Institute of Water Modelling (IWM) and Centre for Climate Change and Environmental Research (CEGIS). </w:t>
      </w:r>
      <w:r w:rsidRPr="00002C47">
        <w:rPr>
          <w:rFonts w:cs="Times New Roman"/>
          <w:i/>
        </w:rPr>
        <w:t>Investigating the Impact of Relative Sea Level Rise on Coastal Communities and their Livelihoods in Bangladesh</w:t>
      </w:r>
      <w:r w:rsidRPr="00002C47">
        <w:rPr>
          <w:rFonts w:cs="Times New Roman"/>
        </w:rPr>
        <w:t>. Dhaka: Institute of Water Modelling and Centre for Climate Change and Environmental Research. 2007.</w:t>
      </w:r>
    </w:p>
    <w:p w:rsidR="00465702" w:rsidRPr="00002C47" w:rsidRDefault="00465702" w:rsidP="00AF367B">
      <w:pPr>
        <w:ind w:left="720" w:hanging="720"/>
        <w:mirrorIndents/>
        <w:jc w:val="both"/>
        <w:rPr>
          <w:rFonts w:cs="Times New Roman"/>
        </w:rPr>
      </w:pPr>
      <w:r w:rsidRPr="00002C47">
        <w:rPr>
          <w:rFonts w:cs="Times New Roman"/>
        </w:rPr>
        <w:t xml:space="preserve">IPCC. </w:t>
      </w:r>
      <w:r w:rsidRPr="00002C47">
        <w:rPr>
          <w:rFonts w:cs="Times New Roman"/>
          <w:i/>
        </w:rPr>
        <w:t>Climate Change 2001 – Third Assessment Report</w:t>
      </w:r>
      <w:r w:rsidRPr="00002C47">
        <w:rPr>
          <w:rFonts w:cs="Times New Roman"/>
        </w:rPr>
        <w:t>. 2001.</w:t>
      </w:r>
    </w:p>
    <w:p w:rsidR="00465702" w:rsidRPr="00002C47" w:rsidRDefault="00465702" w:rsidP="00AF367B">
      <w:pPr>
        <w:ind w:left="720" w:hanging="720"/>
        <w:mirrorIndents/>
        <w:jc w:val="both"/>
        <w:rPr>
          <w:rFonts w:cs="Times New Roman"/>
        </w:rPr>
      </w:pPr>
      <w:r w:rsidRPr="00002C47">
        <w:rPr>
          <w:rFonts w:cs="Times New Roman"/>
        </w:rPr>
        <w:t xml:space="preserve">IPCC. Climate Change 2013: The Physical Science Basis. In </w:t>
      </w:r>
      <w:r w:rsidRPr="00002C47">
        <w:rPr>
          <w:rFonts w:cs="Times New Roman"/>
          <w:i/>
        </w:rPr>
        <w:t>Working Group I to the Fifth Assessment Report of the Intergovernmental Panel on Climate Change</w:t>
      </w:r>
      <w:r w:rsidRPr="00002C47">
        <w:rPr>
          <w:rFonts w:cs="Times New Roman"/>
        </w:rPr>
        <w:t>. Cambridge, 2013.</w:t>
      </w:r>
    </w:p>
    <w:p w:rsidR="00465702" w:rsidRPr="00002C47" w:rsidRDefault="00465702" w:rsidP="00AF367B">
      <w:pPr>
        <w:ind w:left="720" w:hanging="720"/>
        <w:mirrorIndents/>
        <w:jc w:val="both"/>
        <w:rPr>
          <w:rFonts w:cs="Times New Roman"/>
        </w:rPr>
      </w:pPr>
      <w:r w:rsidRPr="00002C47">
        <w:rPr>
          <w:rFonts w:cs="Times New Roman"/>
        </w:rPr>
        <w:t xml:space="preserve">IPCC. Climate Change: Impacts, Adaptation, and Vulnerability. Part A: Global and Sectoral Aspects. In </w:t>
      </w:r>
      <w:r w:rsidRPr="00002C47">
        <w:rPr>
          <w:rFonts w:cs="Times New Roman"/>
          <w:i/>
        </w:rPr>
        <w:t>Working Group II to the Fifth Assessment Report of the Intergovernmental Panel on Climate Change</w:t>
      </w:r>
      <w:r w:rsidRPr="00002C47">
        <w:rPr>
          <w:rFonts w:cs="Times New Roman"/>
        </w:rPr>
        <w:t>. Cambridge, U.K. and New York: Cambridge University Press, 2014.</w:t>
      </w:r>
    </w:p>
    <w:p w:rsidR="00465702" w:rsidRPr="00002C47" w:rsidRDefault="00465702" w:rsidP="00AF367B">
      <w:pPr>
        <w:ind w:left="720" w:hanging="720"/>
        <w:mirrorIndents/>
        <w:jc w:val="both"/>
        <w:rPr>
          <w:rFonts w:cs="Times New Roman"/>
        </w:rPr>
      </w:pPr>
      <w:r w:rsidRPr="00002C47">
        <w:rPr>
          <w:rFonts w:cs="Times New Roman"/>
        </w:rPr>
        <w:t xml:space="preserve">Islam, M. S., &amp; Gnauck, A. Threats to the Sundarbans Mangrove Wetland Ecosystems from Transboundary Water Allocation in the Ganges Basin: A Preliminary Problem Analysis. </w:t>
      </w:r>
      <w:r w:rsidRPr="00002C47">
        <w:rPr>
          <w:rFonts w:cs="Times New Roman"/>
          <w:i/>
        </w:rPr>
        <w:t>International Journal of Ecological Economics &amp; Statistics (IJEES)</w:t>
      </w:r>
      <w:r w:rsidRPr="00002C47">
        <w:rPr>
          <w:rFonts w:cs="Times New Roman"/>
        </w:rPr>
        <w:t>, (2009).</w:t>
      </w:r>
    </w:p>
    <w:p w:rsidR="00465702" w:rsidRPr="00002C47" w:rsidRDefault="00465702" w:rsidP="00AF367B">
      <w:pPr>
        <w:ind w:left="720" w:hanging="720"/>
        <w:mirrorIndents/>
        <w:jc w:val="both"/>
        <w:rPr>
          <w:rFonts w:cs="Times New Roman"/>
        </w:rPr>
      </w:pPr>
      <w:r w:rsidRPr="00002C47">
        <w:rPr>
          <w:rFonts w:cs="Times New Roman"/>
        </w:rPr>
        <w:t xml:space="preserve">Islam, M.S. Present Status of Wetland Biodiversity - A Study in Sujanagar Upazila, Pabna, Bangladesh. </w:t>
      </w:r>
      <w:r w:rsidRPr="00002C47">
        <w:rPr>
          <w:rFonts w:cs="Times New Roman"/>
          <w:i/>
        </w:rPr>
        <w:t>IOSR Journal of Pharmacy and Biological Sciences (IOSRJPBS)</w:t>
      </w:r>
      <w:r w:rsidRPr="00002C47">
        <w:rPr>
          <w:rFonts w:cs="Times New Roman"/>
        </w:rPr>
        <w:t>, Volume 3, Issue 1 (2012): 06-13.</w:t>
      </w:r>
    </w:p>
    <w:p w:rsidR="00465702" w:rsidRPr="00002C47" w:rsidRDefault="00465702" w:rsidP="00AF367B">
      <w:pPr>
        <w:ind w:left="720" w:hanging="720"/>
        <w:mirrorIndents/>
        <w:jc w:val="both"/>
        <w:rPr>
          <w:rFonts w:cs="Times New Roman"/>
        </w:rPr>
      </w:pPr>
      <w:r w:rsidRPr="00002C47">
        <w:rPr>
          <w:rFonts w:cs="Times New Roman"/>
        </w:rPr>
        <w:t xml:space="preserve">Islam, S.N. Threatened Wetlands and Ecologically Sensitive Ecosystems Management in Bangladesh, Front. </w:t>
      </w:r>
      <w:r w:rsidRPr="00002C47">
        <w:rPr>
          <w:rFonts w:cs="Times New Roman"/>
          <w:i/>
        </w:rPr>
        <w:t>Earth Sci. China</w:t>
      </w:r>
      <w:r w:rsidRPr="00002C47">
        <w:rPr>
          <w:rFonts w:cs="Times New Roman"/>
        </w:rPr>
        <w:t>, 4(4) (2010): 438–448.</w:t>
      </w:r>
    </w:p>
    <w:p w:rsidR="00465702" w:rsidRPr="00002C47" w:rsidRDefault="00465702" w:rsidP="00AF367B">
      <w:pPr>
        <w:ind w:left="720" w:hanging="720"/>
        <w:mirrorIndents/>
        <w:jc w:val="both"/>
        <w:rPr>
          <w:rFonts w:cs="Times New Roman"/>
        </w:rPr>
      </w:pPr>
      <w:r w:rsidRPr="00002C47">
        <w:rPr>
          <w:rFonts w:cs="Times New Roman"/>
        </w:rPr>
        <w:t xml:space="preserve">Islam, T. M., Hossain, M. M., &amp; Hossain, A. A. Integrated Water Resources Management: A Case Study for Barind Area, Bangladesh. </w:t>
      </w:r>
      <w:r w:rsidRPr="00002C47">
        <w:rPr>
          <w:rFonts w:cs="Times New Roman"/>
          <w:i/>
        </w:rPr>
        <w:t>Journal of Mechanical and Civil Engineering</w:t>
      </w:r>
      <w:r w:rsidRPr="00002C47">
        <w:rPr>
          <w:rFonts w:cs="Times New Roman"/>
        </w:rPr>
        <w:t>, 11(5) (2014): 01-08.</w:t>
      </w:r>
    </w:p>
    <w:p w:rsidR="00465702" w:rsidRPr="00002C47" w:rsidRDefault="00465702" w:rsidP="00AF367B">
      <w:pPr>
        <w:ind w:left="720" w:hanging="720"/>
        <w:mirrorIndents/>
        <w:jc w:val="both"/>
        <w:rPr>
          <w:rFonts w:cs="Times New Roman"/>
        </w:rPr>
      </w:pPr>
      <w:r w:rsidRPr="00002C47">
        <w:rPr>
          <w:rFonts w:cs="Times New Roman"/>
        </w:rPr>
        <w:t xml:space="preserve">IUCN Bangladesh. Red Book of Threatened Fishes of Bangladesh. </w:t>
      </w:r>
      <w:r w:rsidRPr="00002C47">
        <w:rPr>
          <w:rFonts w:cs="Times New Roman"/>
          <w:i/>
        </w:rPr>
        <w:t>IUCN - The World Conservation Union</w:t>
      </w:r>
      <w:r w:rsidRPr="00002C47">
        <w:rPr>
          <w:rFonts w:cs="Times New Roman"/>
        </w:rPr>
        <w:t>, (2000): 116.</w:t>
      </w:r>
    </w:p>
    <w:p w:rsidR="00465702" w:rsidRPr="00002C47" w:rsidRDefault="00465702" w:rsidP="00AF367B">
      <w:pPr>
        <w:ind w:left="720" w:hanging="720"/>
        <w:mirrorIndents/>
        <w:jc w:val="both"/>
        <w:rPr>
          <w:rFonts w:cs="Times New Roman"/>
        </w:rPr>
      </w:pPr>
      <w:r w:rsidRPr="00002C47">
        <w:rPr>
          <w:rFonts w:cs="Times New Roman"/>
        </w:rPr>
        <w:t xml:space="preserve">IWM. </w:t>
      </w:r>
      <w:r w:rsidRPr="00002C47">
        <w:rPr>
          <w:rFonts w:cs="Times New Roman"/>
          <w:i/>
        </w:rPr>
        <w:t>CEIP: Coastal Embankment Improvement Project, Technical Report</w:t>
      </w:r>
      <w:r w:rsidRPr="00002C47">
        <w:rPr>
          <w:rFonts w:cs="Times New Roman"/>
        </w:rPr>
        <w:t>. 2014</w:t>
      </w:r>
    </w:p>
    <w:p w:rsidR="00465702" w:rsidRPr="00002C47" w:rsidRDefault="00465702" w:rsidP="00AF367B">
      <w:pPr>
        <w:ind w:left="720" w:hanging="720"/>
        <w:mirrorIndents/>
        <w:jc w:val="both"/>
        <w:rPr>
          <w:rFonts w:cs="Times New Roman"/>
        </w:rPr>
      </w:pPr>
      <w:r w:rsidRPr="00002C47">
        <w:rPr>
          <w:rFonts w:cs="Times New Roman"/>
        </w:rPr>
        <w:t xml:space="preserve">IWM. </w:t>
      </w:r>
      <w:r w:rsidRPr="00002C47">
        <w:rPr>
          <w:rFonts w:cs="Times New Roman"/>
          <w:i/>
        </w:rPr>
        <w:t>Impact Assessment of Climate Change and Sea Level Rise on Monsoon Flooding</w:t>
      </w:r>
      <w:r w:rsidRPr="00002C47">
        <w:rPr>
          <w:rFonts w:cs="Times New Roman"/>
        </w:rPr>
        <w:t xml:space="preserve"> (Climate Change Prediction Modelling, Climate Change Cell, DoE, MoEF, 2008).</w:t>
      </w:r>
    </w:p>
    <w:p w:rsidR="00465702" w:rsidRPr="00002C47" w:rsidRDefault="00465702" w:rsidP="00AF367B">
      <w:pPr>
        <w:ind w:left="720" w:hanging="720"/>
        <w:mirrorIndents/>
        <w:jc w:val="both"/>
        <w:rPr>
          <w:rFonts w:cs="Times New Roman"/>
        </w:rPr>
      </w:pPr>
      <w:r w:rsidRPr="00002C47">
        <w:rPr>
          <w:rFonts w:cs="Times New Roman"/>
        </w:rPr>
        <w:t xml:space="preserve">IWM. </w:t>
      </w:r>
      <w:r w:rsidRPr="00002C47">
        <w:rPr>
          <w:rFonts w:cs="Times New Roman"/>
          <w:i/>
        </w:rPr>
        <w:t>Impact Assessment of Climate Change and Sea Level Rise on Monsoon Flooding</w:t>
      </w:r>
      <w:r w:rsidRPr="00002C47">
        <w:rPr>
          <w:rFonts w:cs="Times New Roman"/>
        </w:rPr>
        <w:t>. Climate Change Cell, DoE, MoEF. 2008.</w:t>
      </w:r>
    </w:p>
    <w:p w:rsidR="00465702" w:rsidRPr="00002C47" w:rsidRDefault="00465702" w:rsidP="00AF367B">
      <w:pPr>
        <w:ind w:left="720" w:hanging="720"/>
        <w:mirrorIndents/>
        <w:jc w:val="both"/>
        <w:rPr>
          <w:rFonts w:cs="Times New Roman"/>
        </w:rPr>
      </w:pPr>
      <w:r w:rsidRPr="00002C47">
        <w:rPr>
          <w:rFonts w:cs="Times New Roman"/>
        </w:rPr>
        <w:t xml:space="preserve">Karmakar, S., Haque, S. S., Hossain, M. M., &amp; Shafiq, M. Water quality of Kaptai reservoir in Chittagong Hill Tracts of Bangladesh. </w:t>
      </w:r>
      <w:r w:rsidRPr="00002C47">
        <w:rPr>
          <w:rFonts w:cs="Times New Roman"/>
          <w:i/>
        </w:rPr>
        <w:t>Journal of Forestry Research</w:t>
      </w:r>
      <w:r w:rsidRPr="00002C47">
        <w:rPr>
          <w:rFonts w:cs="Times New Roman"/>
        </w:rPr>
        <w:t>, (2011): 87-92.</w:t>
      </w:r>
    </w:p>
    <w:p w:rsidR="00465702" w:rsidRDefault="00465702" w:rsidP="00AF367B">
      <w:pPr>
        <w:ind w:left="720" w:hanging="720"/>
        <w:mirrorIndents/>
        <w:jc w:val="both"/>
        <w:rPr>
          <w:rFonts w:cs="Times New Roman"/>
        </w:rPr>
      </w:pPr>
      <w:r w:rsidRPr="00002C47">
        <w:rPr>
          <w:rFonts w:cs="Times New Roman"/>
        </w:rPr>
        <w:t xml:space="preserve">Khan, A., Mojumdar, S.K., Kovats, S., and Vineis, P. Saline contamination of drinking water in Bangladesh. </w:t>
      </w:r>
      <w:r w:rsidRPr="00002C47">
        <w:rPr>
          <w:rFonts w:cs="Times New Roman"/>
          <w:i/>
        </w:rPr>
        <w:t>Lancet</w:t>
      </w:r>
      <w:r w:rsidRPr="00002C47">
        <w:rPr>
          <w:rFonts w:cs="Times New Roman"/>
        </w:rPr>
        <w:t>, (2008) 371:385.</w:t>
      </w:r>
    </w:p>
    <w:p w:rsidR="00E51DFF" w:rsidRPr="00002C47" w:rsidRDefault="00E51DFF" w:rsidP="00AF367B">
      <w:pPr>
        <w:ind w:left="720" w:hanging="720"/>
        <w:mirrorIndents/>
        <w:jc w:val="both"/>
        <w:rPr>
          <w:rFonts w:cs="Times New Roman"/>
        </w:rPr>
      </w:pPr>
      <w:r>
        <w:rPr>
          <w:rFonts w:cs="Times New Roman"/>
        </w:rPr>
        <w:t xml:space="preserve">Kirby, Mac et al. </w:t>
      </w:r>
      <w:r w:rsidR="00477F4B" w:rsidRPr="00BD4613">
        <w:rPr>
          <w:rFonts w:cs="Times New Roman"/>
          <w:i/>
        </w:rPr>
        <w:t>Bangladesh Integrated Water Resources Assessment Supplementary Report: Approximate Regional Water Balances</w:t>
      </w:r>
      <w:r w:rsidR="00477F4B">
        <w:rPr>
          <w:rFonts w:cs="Times New Roman"/>
        </w:rPr>
        <w:t>, 2014</w:t>
      </w:r>
    </w:p>
    <w:p w:rsidR="00465702" w:rsidRPr="00002C47" w:rsidRDefault="00465702" w:rsidP="00AF367B">
      <w:pPr>
        <w:ind w:left="720" w:hanging="720"/>
        <w:mirrorIndents/>
        <w:jc w:val="both"/>
        <w:rPr>
          <w:rFonts w:cs="Times New Roman"/>
        </w:rPr>
      </w:pPr>
      <w:r w:rsidRPr="00002C47">
        <w:rPr>
          <w:rFonts w:cs="Times New Roman"/>
        </w:rPr>
        <w:t xml:space="preserve">Loucks, C., Shannon Barber-Meyer, Md. Abdullah Abraham Hossain, Adam Barlow, Ruhul Mohaiman Chowdhury. Sea level rise and tigers: predicted impacts to Bangladesh’s Sundarbans mangroves. </w:t>
      </w:r>
      <w:r w:rsidRPr="00002C47">
        <w:rPr>
          <w:rFonts w:cs="Times New Roman"/>
          <w:i/>
        </w:rPr>
        <w:t>Climatic Change</w:t>
      </w:r>
      <w:r w:rsidRPr="00002C47">
        <w:rPr>
          <w:rFonts w:cs="Times New Roman"/>
        </w:rPr>
        <w:t>, 98 (2010): 291–298.</w:t>
      </w:r>
    </w:p>
    <w:p w:rsidR="00136896" w:rsidRPr="004B0A08" w:rsidRDefault="00136896" w:rsidP="00AF367B">
      <w:pPr>
        <w:ind w:left="720" w:hanging="720"/>
        <w:mirrorIndents/>
        <w:jc w:val="both"/>
        <w:rPr>
          <w:rFonts w:cs="Times New Roman"/>
          <w:sz w:val="36"/>
        </w:rPr>
      </w:pPr>
      <w:r w:rsidRPr="004B0A08">
        <w:t>Mainuddin, M. &amp; Kirby, M. National Food Security in Bangladesh in 2050.  Food Security (2015) 7: 633-646. June 2015.</w:t>
      </w:r>
    </w:p>
    <w:p w:rsidR="00465702" w:rsidRPr="00002C47" w:rsidRDefault="00465702" w:rsidP="00AF367B">
      <w:pPr>
        <w:ind w:left="720" w:hanging="720"/>
        <w:mirrorIndents/>
        <w:jc w:val="both"/>
        <w:rPr>
          <w:rFonts w:cs="Times New Roman"/>
        </w:rPr>
      </w:pPr>
      <w:r w:rsidRPr="00002C47">
        <w:rPr>
          <w:rFonts w:cs="Times New Roman"/>
        </w:rPr>
        <w:t xml:space="preserve">Mathew, V.  Virtual knowledge sharing and collaborative learning in organization, In </w:t>
      </w:r>
      <w:r w:rsidRPr="00002C47">
        <w:rPr>
          <w:rFonts w:cs="Times New Roman"/>
          <w:i/>
        </w:rPr>
        <w:t>Proceedings of First Virtual Conference on Business Management</w:t>
      </w:r>
      <w:r w:rsidRPr="00002C47">
        <w:rPr>
          <w:rFonts w:cs="Times New Roman"/>
        </w:rPr>
        <w:t>, 22-23 September 2009.</w:t>
      </w:r>
    </w:p>
    <w:p w:rsidR="00465702" w:rsidRPr="00002C47" w:rsidRDefault="00465702" w:rsidP="00AF367B">
      <w:pPr>
        <w:ind w:left="720" w:hanging="720"/>
        <w:mirrorIndents/>
        <w:jc w:val="both"/>
        <w:rPr>
          <w:rFonts w:cs="Times New Roman"/>
        </w:rPr>
      </w:pPr>
      <w:r w:rsidRPr="00002C47">
        <w:rPr>
          <w:rFonts w:cs="Times New Roman"/>
        </w:rPr>
        <w:t>Ministry of Water Resources, Bangladesh. National Water Management Plan (2001), http://www.buet.ac.bd/itn/</w:t>
      </w:r>
      <w:r w:rsidR="000B096E">
        <w:t>public</w:t>
      </w:r>
      <w:r w:rsidRPr="00002C47">
        <w:rPr>
          <w:rFonts w:cs="Times New Roman"/>
        </w:rPr>
        <w:t>ations/sector-documents/documents/nwmpv20041.pdf</w:t>
      </w:r>
    </w:p>
    <w:p w:rsidR="00465702" w:rsidRPr="00002C47" w:rsidRDefault="00465702" w:rsidP="00AF367B">
      <w:pPr>
        <w:ind w:left="720" w:hanging="720"/>
        <w:mirrorIndents/>
        <w:jc w:val="both"/>
        <w:rPr>
          <w:rFonts w:cs="Times New Roman"/>
        </w:rPr>
      </w:pPr>
      <w:r w:rsidRPr="00002C47">
        <w:rPr>
          <w:rFonts w:cs="Times New Roman"/>
        </w:rPr>
        <w:t>Ministry of Water, The United Re</w:t>
      </w:r>
      <w:r w:rsidR="000B096E">
        <w:t xml:space="preserve">public </w:t>
      </w:r>
      <w:r w:rsidRPr="00002C47">
        <w:rPr>
          <w:rFonts w:cs="Times New Roman"/>
        </w:rPr>
        <w:t xml:space="preserve">of Tanzania. </w:t>
      </w:r>
      <w:r w:rsidRPr="00002C47">
        <w:rPr>
          <w:rFonts w:cs="Times New Roman"/>
          <w:i/>
        </w:rPr>
        <w:t>Water Sector Development Programme (2005 – 2025)</w:t>
      </w:r>
      <w:r w:rsidRPr="00002C47">
        <w:rPr>
          <w:rFonts w:cs="Times New Roman"/>
        </w:rPr>
        <w:t>, http://www.pmoralg.go.tz/menu_data/Programmes/RWSP/Water_sector_development_plan.pdf</w:t>
      </w:r>
    </w:p>
    <w:p w:rsidR="00465702" w:rsidRPr="00002C47" w:rsidRDefault="00465702" w:rsidP="00AF367B">
      <w:pPr>
        <w:ind w:left="720" w:hanging="720"/>
        <w:mirrorIndents/>
        <w:jc w:val="both"/>
        <w:rPr>
          <w:rFonts w:cs="Times New Roman"/>
        </w:rPr>
      </w:pPr>
      <w:r w:rsidRPr="00002C47">
        <w:rPr>
          <w:rFonts w:cs="Times New Roman"/>
        </w:rPr>
        <w:t xml:space="preserve">Mirza, M., &amp; Ahmed Q.K. </w:t>
      </w:r>
      <w:r w:rsidRPr="00002C47">
        <w:rPr>
          <w:rFonts w:cs="Times New Roman"/>
          <w:i/>
        </w:rPr>
        <w:t>Climate Change and Water Resources in South Asia</w:t>
      </w:r>
      <w:r w:rsidRPr="00002C47">
        <w:rPr>
          <w:rFonts w:cs="Times New Roman"/>
        </w:rPr>
        <w:t>. Leiden: Balkema Publishers. 2005</w:t>
      </w:r>
    </w:p>
    <w:p w:rsidR="00465702" w:rsidRPr="00002C47" w:rsidRDefault="00465702" w:rsidP="00AF367B">
      <w:pPr>
        <w:ind w:left="720" w:hanging="720"/>
        <w:mirrorIndents/>
        <w:jc w:val="both"/>
        <w:rPr>
          <w:rFonts w:cs="Times New Roman"/>
        </w:rPr>
      </w:pPr>
      <w:r w:rsidRPr="00002C47">
        <w:rPr>
          <w:rFonts w:cs="Times New Roman"/>
        </w:rPr>
        <w:t>Mirza, M., Warrick, R., Ericksen, N., &amp; Kenny, G. Are floods getting worse in the Ganges, Brahmaputra and Meghna basins Environmental Hazards. 3, (2001): 37-48.</w:t>
      </w:r>
    </w:p>
    <w:p w:rsidR="00465702" w:rsidRPr="00002C47" w:rsidRDefault="00465702" w:rsidP="00AF367B">
      <w:pPr>
        <w:ind w:left="720" w:hanging="720"/>
        <w:mirrorIndents/>
        <w:jc w:val="both"/>
        <w:rPr>
          <w:rFonts w:cs="Times New Roman"/>
        </w:rPr>
      </w:pPr>
      <w:r w:rsidRPr="00002C47">
        <w:rPr>
          <w:rFonts w:cs="Times New Roman"/>
        </w:rPr>
        <w:t xml:space="preserve">Mobin, M. N., Islam, M. S., Mia, M. Y. &amp; Bakali, B. Analysis of Physicochemical Properties of the Turag River Water, </w:t>
      </w:r>
      <w:r w:rsidR="00FE6385">
        <w:rPr>
          <w:rFonts w:cs="Times New Roman"/>
        </w:rPr>
        <w:t>Ton</w:t>
      </w:r>
      <w:r w:rsidRPr="00002C47">
        <w:rPr>
          <w:rFonts w:cs="Times New Roman"/>
        </w:rPr>
        <w:t xml:space="preserve">gi, Gazipur, Bangladesh. </w:t>
      </w:r>
      <w:r w:rsidRPr="00002C47">
        <w:rPr>
          <w:rFonts w:cs="Times New Roman"/>
          <w:i/>
        </w:rPr>
        <w:t>J. Environ. Sci. &amp; Natural Resources</w:t>
      </w:r>
      <w:r w:rsidRPr="00002C47">
        <w:rPr>
          <w:rFonts w:cs="Times New Roman"/>
        </w:rPr>
        <w:t>, (2013)</w:t>
      </w:r>
    </w:p>
    <w:p w:rsidR="00465702" w:rsidRPr="00002C47" w:rsidRDefault="00465702" w:rsidP="00AF367B">
      <w:pPr>
        <w:ind w:left="720" w:hanging="720"/>
        <w:mirrorIndents/>
        <w:jc w:val="both"/>
        <w:rPr>
          <w:rFonts w:cs="Times New Roman"/>
        </w:rPr>
      </w:pPr>
      <w:r w:rsidRPr="00002C47">
        <w:rPr>
          <w:rFonts w:cs="Times New Roman"/>
        </w:rPr>
        <w:t xml:space="preserve">MoEF. </w:t>
      </w:r>
      <w:r w:rsidRPr="00002C47">
        <w:rPr>
          <w:rFonts w:cs="Times New Roman"/>
          <w:i/>
        </w:rPr>
        <w:t>National Forest and Tree Resources Assessment (2005-2007)</w:t>
      </w:r>
      <w:r w:rsidRPr="00002C47">
        <w:rPr>
          <w:rFonts w:cs="Times New Roman"/>
        </w:rPr>
        <w:t>. Dhaka. 2008.</w:t>
      </w:r>
    </w:p>
    <w:p w:rsidR="00465702" w:rsidRPr="00002C47" w:rsidRDefault="00465702" w:rsidP="00AF367B">
      <w:pPr>
        <w:ind w:left="720" w:hanging="720"/>
        <w:mirrorIndents/>
        <w:jc w:val="both"/>
        <w:rPr>
          <w:rFonts w:cs="Times New Roman"/>
        </w:rPr>
      </w:pPr>
      <w:r w:rsidRPr="00002C47">
        <w:rPr>
          <w:rFonts w:cs="Times New Roman"/>
        </w:rPr>
        <w:t>Nevada Division of Water Planning. Water Resources Data Development, Collection and Management. 2013. http://water.nv.gov/programs/planning/stateplan/documents/pt3-5b.pdf</w:t>
      </w:r>
    </w:p>
    <w:p w:rsidR="00465702" w:rsidRPr="00002C47" w:rsidRDefault="00465702" w:rsidP="00AF367B">
      <w:pPr>
        <w:ind w:left="720" w:hanging="720"/>
        <w:mirrorIndents/>
        <w:jc w:val="both"/>
        <w:rPr>
          <w:rFonts w:cs="Times New Roman"/>
        </w:rPr>
      </w:pPr>
      <w:r w:rsidRPr="00002C47">
        <w:rPr>
          <w:rFonts w:cs="Times New Roman"/>
        </w:rPr>
        <w:t xml:space="preserve">Nicholls, R.J. and S.P. Leatherman. The Implications of Accelerated Sea-Level Rise for Developing Countries: A Discussion. </w:t>
      </w:r>
      <w:r w:rsidRPr="00002C47">
        <w:rPr>
          <w:rFonts w:cs="Times New Roman"/>
          <w:i/>
        </w:rPr>
        <w:t>Journal of Coastal Research</w:t>
      </w:r>
      <w:r w:rsidRPr="00002C47">
        <w:rPr>
          <w:rFonts w:cs="Times New Roman"/>
        </w:rPr>
        <w:t>, Special Issue No. 14 Potential Impacts of Accelerated Sea-Level Rise on Developing Countries (1995): 303-323.</w:t>
      </w:r>
    </w:p>
    <w:p w:rsidR="00465702" w:rsidRPr="00002C47" w:rsidRDefault="00465702" w:rsidP="00AF367B">
      <w:pPr>
        <w:ind w:left="720" w:hanging="720"/>
        <w:mirrorIndents/>
        <w:jc w:val="both"/>
        <w:rPr>
          <w:rFonts w:cs="Times New Roman"/>
        </w:rPr>
      </w:pPr>
      <w:r w:rsidRPr="00002C47">
        <w:rPr>
          <w:rFonts w:cs="Times New Roman"/>
        </w:rPr>
        <w:t xml:space="preserve">Nishat, A., Huq, S. M. Imamul, Barua, Shuvashish P., Reza, Ali A. H.M., Khan, Moniruzzaman A. S. (eds.). </w:t>
      </w:r>
      <w:r w:rsidRPr="00002C47">
        <w:rPr>
          <w:rFonts w:cs="Times New Roman"/>
          <w:i/>
        </w:rPr>
        <w:t>Bio-ecological Zone of Bangladesh</w:t>
      </w:r>
      <w:r w:rsidRPr="00002C47">
        <w:rPr>
          <w:rFonts w:cs="Times New Roman"/>
        </w:rPr>
        <w:t>. IUCN Bangladesh Country Office, Dhaka. 2002.</w:t>
      </w:r>
    </w:p>
    <w:p w:rsidR="00465702" w:rsidRPr="00002C47" w:rsidRDefault="00465702" w:rsidP="00AF367B">
      <w:pPr>
        <w:ind w:left="720" w:hanging="720"/>
        <w:mirrorIndents/>
        <w:jc w:val="both"/>
        <w:rPr>
          <w:rFonts w:cs="Times New Roman"/>
        </w:rPr>
      </w:pPr>
      <w:r w:rsidRPr="00002C47">
        <w:rPr>
          <w:rFonts w:cs="Times New Roman"/>
        </w:rPr>
        <w:t xml:space="preserve">Nonaka, I. A dynamic theory of organizational knowledge creation. </w:t>
      </w:r>
      <w:r w:rsidRPr="00002C47">
        <w:rPr>
          <w:rFonts w:cs="Times New Roman"/>
          <w:i/>
        </w:rPr>
        <w:t>Organization science</w:t>
      </w:r>
      <w:r w:rsidRPr="00002C47">
        <w:rPr>
          <w:rFonts w:cs="Times New Roman"/>
        </w:rPr>
        <w:t>, 5(1) (1994):14-37.</w:t>
      </w:r>
    </w:p>
    <w:p w:rsidR="00465702" w:rsidRPr="00002C47" w:rsidRDefault="00465702" w:rsidP="00AF367B">
      <w:pPr>
        <w:ind w:left="720" w:hanging="720"/>
        <w:mirrorIndents/>
        <w:jc w:val="both"/>
        <w:rPr>
          <w:rFonts w:cs="Times New Roman"/>
        </w:rPr>
      </w:pPr>
      <w:r w:rsidRPr="00002C47">
        <w:rPr>
          <w:rFonts w:cs="Times New Roman"/>
        </w:rPr>
        <w:t xml:space="preserve">Nonaka, I. and Toyama, R. The theory of the knowledge-creating firm: subjectivity, objectivity and synthesis. </w:t>
      </w:r>
      <w:r w:rsidRPr="00002C47">
        <w:rPr>
          <w:rFonts w:cs="Times New Roman"/>
          <w:i/>
        </w:rPr>
        <w:t>Industrial and Corporate Change</w:t>
      </w:r>
      <w:r w:rsidRPr="00002C47">
        <w:rPr>
          <w:rFonts w:cs="Times New Roman"/>
        </w:rPr>
        <w:t>, 14(3), (2005): p. 419- 436.</w:t>
      </w:r>
    </w:p>
    <w:p w:rsidR="00465702" w:rsidRPr="00002C47" w:rsidRDefault="00465702" w:rsidP="00AF367B">
      <w:pPr>
        <w:ind w:left="720" w:hanging="720"/>
        <w:mirrorIndents/>
        <w:jc w:val="both"/>
        <w:rPr>
          <w:rFonts w:cs="Times New Roman"/>
        </w:rPr>
      </w:pPr>
      <w:r w:rsidRPr="00002C47">
        <w:rPr>
          <w:rFonts w:cs="Times New Roman"/>
        </w:rPr>
        <w:t xml:space="preserve">Nonaka, I., &amp; Takeuchi, H. </w:t>
      </w:r>
      <w:r w:rsidRPr="00002C47">
        <w:rPr>
          <w:rFonts w:cs="Times New Roman"/>
          <w:i/>
        </w:rPr>
        <w:t>The knowledge-creating company: how Japanese companies create the dynamics of innovation</w:t>
      </w:r>
      <w:r w:rsidRPr="00002C47">
        <w:rPr>
          <w:rFonts w:cs="Times New Roman"/>
        </w:rPr>
        <w:t>. (1995). http://dx.doi.org/10.1016/0969-5931 (94)90027-2</w:t>
      </w:r>
    </w:p>
    <w:p w:rsidR="00465702" w:rsidRPr="00002C47" w:rsidRDefault="00465702" w:rsidP="00AF367B">
      <w:pPr>
        <w:ind w:left="720" w:hanging="720"/>
        <w:mirrorIndents/>
        <w:jc w:val="both"/>
        <w:rPr>
          <w:rFonts w:cs="Times New Roman"/>
        </w:rPr>
      </w:pPr>
      <w:r w:rsidRPr="00002C47">
        <w:rPr>
          <w:rFonts w:cs="Times New Roman"/>
        </w:rPr>
        <w:t xml:space="preserve">NSDS. </w:t>
      </w:r>
      <w:r w:rsidRPr="00002C47">
        <w:rPr>
          <w:rFonts w:cs="Times New Roman"/>
          <w:i/>
        </w:rPr>
        <w:t>National Development Strategy 2010-21</w:t>
      </w:r>
      <w:r w:rsidRPr="00002C47">
        <w:rPr>
          <w:rFonts w:cs="Times New Roman"/>
        </w:rPr>
        <w:t xml:space="preserve"> (Dhaka: GED. Planning Commission. Bangladesh Government, 2013).</w:t>
      </w:r>
    </w:p>
    <w:p w:rsidR="00465702" w:rsidRPr="00002C47" w:rsidRDefault="00465702" w:rsidP="00AF367B">
      <w:pPr>
        <w:ind w:left="720" w:hanging="720"/>
        <w:mirrorIndents/>
        <w:jc w:val="both"/>
        <w:rPr>
          <w:rFonts w:cs="Times New Roman"/>
        </w:rPr>
      </w:pPr>
      <w:r w:rsidRPr="00002C47">
        <w:rPr>
          <w:rFonts w:cs="Times New Roman"/>
        </w:rPr>
        <w:t xml:space="preserve">P.K. Halder, N. P. M. E. H. A. S. M. H. M. S. P. et al. Municipal Solid Waste and its Management in Rajshahi City, Bangladesh: A Source of Energy. </w:t>
      </w:r>
      <w:r w:rsidRPr="00002C47">
        <w:rPr>
          <w:rFonts w:cs="Times New Roman"/>
          <w:i/>
        </w:rPr>
        <w:t>International Journal of Renewable Energy Research</w:t>
      </w:r>
      <w:r w:rsidRPr="00002C47">
        <w:rPr>
          <w:rFonts w:cs="Times New Roman"/>
        </w:rPr>
        <w:t>, (2014): p. 8.</w:t>
      </w:r>
    </w:p>
    <w:p w:rsidR="00465702" w:rsidRPr="00002C47" w:rsidRDefault="00465702" w:rsidP="00AF367B">
      <w:pPr>
        <w:ind w:left="720" w:hanging="720"/>
        <w:mirrorIndents/>
        <w:jc w:val="both"/>
        <w:rPr>
          <w:rFonts w:cs="Times New Roman"/>
        </w:rPr>
      </w:pPr>
      <w:r w:rsidRPr="00002C47">
        <w:rPr>
          <w:rFonts w:cs="Times New Roman"/>
        </w:rPr>
        <w:t xml:space="preserve">Pasha, M.K. Mushroom. </w:t>
      </w:r>
      <w:r w:rsidRPr="00002C47">
        <w:rPr>
          <w:rFonts w:cs="Times New Roman"/>
          <w:i/>
        </w:rPr>
        <w:t>Banglapedia</w:t>
      </w:r>
      <w:r w:rsidRPr="00002C47">
        <w:rPr>
          <w:rFonts w:cs="Times New Roman"/>
        </w:rPr>
        <w:t>, (2005).</w:t>
      </w:r>
    </w:p>
    <w:p w:rsidR="00465702" w:rsidRPr="00002C47" w:rsidRDefault="00465702" w:rsidP="00AF367B">
      <w:pPr>
        <w:ind w:left="720" w:hanging="720"/>
        <w:mirrorIndents/>
        <w:jc w:val="both"/>
        <w:rPr>
          <w:rFonts w:cs="Times New Roman"/>
        </w:rPr>
      </w:pPr>
      <w:r w:rsidRPr="00002C47">
        <w:rPr>
          <w:rFonts w:cs="Times New Roman"/>
        </w:rPr>
        <w:t xml:space="preserve">PKSF. </w:t>
      </w:r>
      <w:r w:rsidRPr="00002C47">
        <w:rPr>
          <w:rFonts w:cs="Times New Roman"/>
          <w:i/>
        </w:rPr>
        <w:t>Final Report: Development of National and Sub-National Climate Change Model for Long Term Water Resources Assessment</w:t>
      </w:r>
      <w:r w:rsidRPr="00002C47">
        <w:rPr>
          <w:rFonts w:cs="Times New Roman"/>
        </w:rPr>
        <w:t>. Dhaka: CEGIS/ Palli Karma Sahayak Foundation. 2014.</w:t>
      </w:r>
    </w:p>
    <w:p w:rsidR="00465702" w:rsidRPr="00002C47" w:rsidRDefault="00465702" w:rsidP="00AF367B">
      <w:pPr>
        <w:ind w:left="720" w:hanging="720"/>
        <w:mirrorIndents/>
        <w:jc w:val="both"/>
        <w:rPr>
          <w:rFonts w:cs="Times New Roman"/>
        </w:rPr>
      </w:pPr>
      <w:r w:rsidRPr="00002C47">
        <w:rPr>
          <w:rFonts w:cs="Times New Roman"/>
        </w:rPr>
        <w:t>Planning Commission, General Economics Division. Bangladesh Delta Scenarios (2015), http://bangladeshdeltaplan2100.org/wp-content/uploads/2016/02/BDP-Scenario-report-final-_18-11-2015-Final-Edit-WO-081220151.pdf</w:t>
      </w:r>
    </w:p>
    <w:p w:rsidR="00465702" w:rsidRPr="00002C47" w:rsidRDefault="00465702" w:rsidP="00AF367B">
      <w:pPr>
        <w:ind w:left="720" w:hanging="720"/>
        <w:mirrorIndents/>
        <w:jc w:val="both"/>
        <w:rPr>
          <w:rFonts w:cs="Times New Roman"/>
        </w:rPr>
      </w:pPr>
      <w:r w:rsidRPr="00002C47">
        <w:rPr>
          <w:rFonts w:cs="Times New Roman"/>
        </w:rPr>
        <w:t xml:space="preserve">Planning Commission, General Economics Division. </w:t>
      </w:r>
      <w:r w:rsidRPr="00002C47">
        <w:rPr>
          <w:rFonts w:cs="Times New Roman"/>
          <w:i/>
        </w:rPr>
        <w:t>Inception Report, Bangladesh Delta Plan 2100</w:t>
      </w:r>
      <w:r w:rsidRPr="00002C47">
        <w:rPr>
          <w:rFonts w:cs="Times New Roman"/>
        </w:rPr>
        <w:t>. 2014</w:t>
      </w:r>
    </w:p>
    <w:p w:rsidR="00465702" w:rsidRPr="00002C47" w:rsidRDefault="00465702" w:rsidP="00AF367B">
      <w:pPr>
        <w:ind w:left="720" w:hanging="720"/>
        <w:mirrorIndents/>
        <w:jc w:val="both"/>
        <w:rPr>
          <w:rFonts w:cs="Times New Roman"/>
        </w:rPr>
      </w:pPr>
      <w:r w:rsidRPr="00002C47">
        <w:rPr>
          <w:rFonts w:cs="Times New Roman"/>
        </w:rPr>
        <w:t xml:space="preserve">Policy Research Institute. </w:t>
      </w:r>
      <w:r w:rsidRPr="00002C47">
        <w:rPr>
          <w:rFonts w:cs="Times New Roman"/>
          <w:i/>
        </w:rPr>
        <w:t>Towards a Development Strategy for the Lower Delta Region, SPEMP</w:t>
      </w:r>
      <w:r w:rsidRPr="00002C47">
        <w:rPr>
          <w:rFonts w:cs="Times New Roman"/>
        </w:rPr>
        <w:t>. 2013</w:t>
      </w:r>
    </w:p>
    <w:p w:rsidR="00465702" w:rsidRPr="00002C47" w:rsidRDefault="00465702" w:rsidP="00AF367B">
      <w:pPr>
        <w:ind w:left="720" w:hanging="720"/>
        <w:mirrorIndents/>
        <w:jc w:val="both"/>
        <w:rPr>
          <w:rFonts w:cs="Times New Roman"/>
        </w:rPr>
      </w:pPr>
      <w:r w:rsidRPr="00002C47">
        <w:rPr>
          <w:rFonts w:cs="Times New Roman"/>
        </w:rPr>
        <w:t xml:space="preserve">Rahman, A., Zafor, M. A. &amp; Rahman, M. Surface water quality and risk assessment in the vicinity of Sylhet city. </w:t>
      </w:r>
      <w:r w:rsidRPr="00002C47">
        <w:rPr>
          <w:rFonts w:cs="Times New Roman"/>
          <w:i/>
        </w:rPr>
        <w:t>International Journal of Water Resources and Environmental Engineering</w:t>
      </w:r>
      <w:r w:rsidRPr="00002C47">
        <w:rPr>
          <w:rFonts w:cs="Times New Roman"/>
        </w:rPr>
        <w:t>, (2013).</w:t>
      </w:r>
    </w:p>
    <w:p w:rsidR="00465702" w:rsidRPr="00002C47" w:rsidRDefault="00465702" w:rsidP="00AF367B">
      <w:pPr>
        <w:ind w:left="720" w:hanging="720"/>
        <w:mirrorIndents/>
        <w:jc w:val="both"/>
        <w:rPr>
          <w:rFonts w:cs="Times New Roman"/>
        </w:rPr>
      </w:pPr>
      <w:r w:rsidRPr="00002C47">
        <w:rPr>
          <w:rFonts w:cs="Times New Roman"/>
        </w:rPr>
        <w:t xml:space="preserve">Rahman, A.K.M.A. and Dhar, M. Hill Farming Practices in Chittagong-  Its Constraints and Opportunities. In </w:t>
      </w:r>
      <w:r w:rsidRPr="00002C47">
        <w:rPr>
          <w:rFonts w:cs="Times New Roman"/>
          <w:i/>
        </w:rPr>
        <w:t>National Workshop on Hill Farming Practices in Bangladesh – Constraints and Opportunities</w:t>
      </w:r>
      <w:r w:rsidRPr="00002C47">
        <w:rPr>
          <w:rFonts w:cs="Times New Roman"/>
        </w:rPr>
        <w:t>. ARC, March 2008.</w:t>
      </w:r>
    </w:p>
    <w:p w:rsidR="00465702" w:rsidRPr="00002C47" w:rsidRDefault="00465702" w:rsidP="00AF367B">
      <w:pPr>
        <w:ind w:left="720" w:hanging="720"/>
        <w:mirrorIndents/>
        <w:jc w:val="both"/>
        <w:rPr>
          <w:rFonts w:cs="Times New Roman"/>
        </w:rPr>
      </w:pPr>
      <w:r w:rsidRPr="00002C47">
        <w:rPr>
          <w:rFonts w:cs="Times New Roman"/>
        </w:rPr>
        <w:t xml:space="preserve">Rahman, </w:t>
      </w:r>
      <w:r w:rsidRPr="00002C47">
        <w:rPr>
          <w:rFonts w:cs="Times New Roman"/>
          <w:i/>
        </w:rPr>
        <w:t>AKA. Freshwater fishes of Bangladesh</w:t>
      </w:r>
      <w:r w:rsidRPr="00002C47">
        <w:rPr>
          <w:rFonts w:cs="Times New Roman"/>
        </w:rPr>
        <w:t>. 3rd ed. Dhaka: Zoological Society of Bangladesh, University of Dhaka, 394 pp, 2005.</w:t>
      </w:r>
    </w:p>
    <w:p w:rsidR="00465702" w:rsidRPr="00002C47" w:rsidRDefault="00465702" w:rsidP="00AF367B">
      <w:pPr>
        <w:ind w:left="720" w:hanging="720"/>
        <w:mirrorIndents/>
        <w:jc w:val="both"/>
        <w:rPr>
          <w:rFonts w:cs="Times New Roman"/>
        </w:rPr>
      </w:pPr>
      <w:r w:rsidRPr="00002C47">
        <w:rPr>
          <w:rFonts w:cs="Times New Roman"/>
        </w:rPr>
        <w:t xml:space="preserve">Rahman, M. M., Ahmed, G. U. &amp; Hasan, M. T. Seasonal variation of water quality parameters, clinical and histological observation of some small endangered open water fishes from Mymensingh and Sylhet region. </w:t>
      </w:r>
      <w:r w:rsidRPr="00002C47">
        <w:rPr>
          <w:rFonts w:cs="Times New Roman"/>
          <w:i/>
        </w:rPr>
        <w:t>Asian Journal of Medical and Biological Research</w:t>
      </w:r>
      <w:r w:rsidRPr="00002C47">
        <w:rPr>
          <w:rFonts w:cs="Times New Roman"/>
        </w:rPr>
        <w:t>, (2015).</w:t>
      </w:r>
    </w:p>
    <w:p w:rsidR="00465702" w:rsidRPr="00002C47" w:rsidRDefault="00465702" w:rsidP="00AF367B">
      <w:pPr>
        <w:ind w:left="720" w:hanging="720"/>
        <w:mirrorIndents/>
        <w:jc w:val="both"/>
        <w:rPr>
          <w:rFonts w:cs="Times New Roman"/>
        </w:rPr>
      </w:pPr>
      <w:r w:rsidRPr="00002C47">
        <w:rPr>
          <w:rFonts w:cs="Times New Roman"/>
        </w:rPr>
        <w:t>Rasel, H.M., Hasan, M.R., Ahmed, B. and Miah, M.S.U. Investigation of Soil and Water Salinity, its Effect on Crop Production and Adaptation Strategy.</w:t>
      </w:r>
      <w:r w:rsidRPr="00002C47">
        <w:rPr>
          <w:rFonts w:cs="Times New Roman"/>
          <w:i/>
        </w:rPr>
        <w:t xml:space="preserve"> International Journal of Water Resources and Environmental Engineering</w:t>
      </w:r>
      <w:r w:rsidRPr="00002C47">
        <w:rPr>
          <w:rFonts w:cs="Times New Roman"/>
        </w:rPr>
        <w:t>, Vol. 5(8), (2013): 475-481.</w:t>
      </w:r>
    </w:p>
    <w:p w:rsidR="00465702" w:rsidRPr="00002C47" w:rsidRDefault="00465702" w:rsidP="00AF367B">
      <w:pPr>
        <w:ind w:left="720" w:hanging="720"/>
        <w:mirrorIndents/>
        <w:jc w:val="both"/>
        <w:rPr>
          <w:rFonts w:cs="Times New Roman"/>
        </w:rPr>
      </w:pPr>
      <w:r w:rsidRPr="00002C47">
        <w:rPr>
          <w:rFonts w:cs="Times New Roman"/>
        </w:rPr>
        <w:t xml:space="preserve">Rasul, G. and Thapa, Gopal B. Financial and economic suitability of agroforestry as an alternative to shifting cultivation: The case of the Chittagong Hill Tracts, Bangladesh. </w:t>
      </w:r>
      <w:r w:rsidRPr="00002C47">
        <w:rPr>
          <w:rFonts w:cs="Times New Roman"/>
          <w:i/>
        </w:rPr>
        <w:t>Agricultural Systems</w:t>
      </w:r>
      <w:r w:rsidRPr="00002C47">
        <w:rPr>
          <w:rFonts w:cs="Times New Roman"/>
        </w:rPr>
        <w:t>, 91 (2006) 29-50.</w:t>
      </w:r>
    </w:p>
    <w:p w:rsidR="00465702" w:rsidRPr="00002C47" w:rsidRDefault="00465702" w:rsidP="00AF367B">
      <w:pPr>
        <w:ind w:left="720" w:hanging="720"/>
        <w:mirrorIndents/>
        <w:jc w:val="both"/>
        <w:rPr>
          <w:rFonts w:cs="Times New Roman"/>
        </w:rPr>
      </w:pPr>
      <w:r w:rsidRPr="00002C47">
        <w:rPr>
          <w:rFonts w:cs="Times New Roman"/>
        </w:rPr>
        <w:t xml:space="preserve">Rasul, G. Ecosystem services and agricultural land-use practices: a case study of the Chittagong Hill Tracts of Bangladesh. </w:t>
      </w:r>
      <w:r w:rsidRPr="00002C47">
        <w:rPr>
          <w:rFonts w:cs="Times New Roman"/>
          <w:i/>
        </w:rPr>
        <w:t>Sustainability: Science, Practice, &amp; Policy</w:t>
      </w:r>
      <w:r w:rsidRPr="00002C47">
        <w:rPr>
          <w:rFonts w:cs="Times New Roman"/>
        </w:rPr>
        <w:t>, Fall 2009. Volume 5, Issue 2 (2009). http://ejournal.nbii.org</w:t>
      </w:r>
    </w:p>
    <w:p w:rsidR="00465702" w:rsidRPr="00002C47" w:rsidRDefault="00465702" w:rsidP="00AF367B">
      <w:pPr>
        <w:ind w:left="720" w:hanging="720"/>
        <w:mirrorIndents/>
        <w:jc w:val="both"/>
        <w:rPr>
          <w:rFonts w:cs="Times New Roman"/>
        </w:rPr>
      </w:pPr>
      <w:r w:rsidRPr="00002C47">
        <w:rPr>
          <w:rFonts w:cs="Times New Roman"/>
        </w:rPr>
        <w:t xml:space="preserve">REIN. Study on the Present Power Supply Situation and its impacts on the Readymade Garment Sector in Bangladesh. </w:t>
      </w:r>
      <w:r w:rsidRPr="00002C47">
        <w:rPr>
          <w:rFonts w:cs="Times New Roman"/>
          <w:i/>
        </w:rPr>
        <w:t>Renewable Energy Information Network, Bangladesh</w:t>
      </w:r>
      <w:r w:rsidRPr="00002C47">
        <w:rPr>
          <w:rFonts w:cs="Times New Roman"/>
        </w:rPr>
        <w:t>, (2009). www.iged-rein.org/archive_file/study_pw_sply_garments.pdf</w:t>
      </w:r>
    </w:p>
    <w:p w:rsidR="00465702" w:rsidRPr="00002C47" w:rsidRDefault="00465702" w:rsidP="00AF367B">
      <w:pPr>
        <w:ind w:left="720" w:hanging="720"/>
        <w:mirrorIndents/>
        <w:jc w:val="both"/>
        <w:rPr>
          <w:rFonts w:cs="Times New Roman"/>
        </w:rPr>
      </w:pPr>
      <w:r w:rsidRPr="00002C47">
        <w:rPr>
          <w:rFonts w:cs="Times New Roman"/>
        </w:rPr>
        <w:t xml:space="preserve">Reza, A. S., &amp; Mazumder, Q. H. Evaluation of Hydrogeological Conditions of Sapahar and Porsha Upazillas, Barind Tract, Bangladesh. </w:t>
      </w:r>
      <w:r w:rsidRPr="00002C47">
        <w:rPr>
          <w:rFonts w:cs="Times New Roman"/>
          <w:i/>
        </w:rPr>
        <w:t>Journal Life Earth Science</w:t>
      </w:r>
      <w:r w:rsidRPr="00002C47">
        <w:rPr>
          <w:rFonts w:cs="Times New Roman"/>
        </w:rPr>
        <w:t>, 1(1) (2005): 15-20.</w:t>
      </w:r>
    </w:p>
    <w:p w:rsidR="00465702" w:rsidRPr="00002C47" w:rsidRDefault="00465702" w:rsidP="00AF367B">
      <w:pPr>
        <w:ind w:left="720" w:hanging="720"/>
        <w:mirrorIndents/>
        <w:jc w:val="both"/>
        <w:rPr>
          <w:rFonts w:cs="Times New Roman"/>
        </w:rPr>
      </w:pPr>
      <w:r w:rsidRPr="00002C47">
        <w:rPr>
          <w:rFonts w:cs="Times New Roman"/>
        </w:rPr>
        <w:t xml:space="preserve">Riches, C.R., Harris, D., Johnson, D.E. and Hardy, B. </w:t>
      </w:r>
      <w:r w:rsidRPr="00002C47">
        <w:rPr>
          <w:rFonts w:cs="Times New Roman"/>
          <w:i/>
        </w:rPr>
        <w:t>Improving Agricultural Productivity in Rice-based Systems of the High Barind Tract of Bangladesh</w:t>
      </w:r>
      <w:r w:rsidRPr="00002C47">
        <w:rPr>
          <w:rFonts w:cs="Times New Roman"/>
        </w:rPr>
        <w:t xml:space="preserve">. Manila, Philippines: IRRI. 2008. </w:t>
      </w:r>
    </w:p>
    <w:p w:rsidR="00465702" w:rsidRPr="00002C47" w:rsidRDefault="00465702" w:rsidP="00AF367B">
      <w:pPr>
        <w:ind w:left="720" w:hanging="720"/>
        <w:mirrorIndents/>
        <w:jc w:val="both"/>
        <w:rPr>
          <w:rFonts w:cs="Times New Roman"/>
        </w:rPr>
      </w:pPr>
      <w:r w:rsidRPr="00002C47">
        <w:rPr>
          <w:rFonts w:cs="Times New Roman"/>
        </w:rPr>
        <w:t>Roads and Highways Department (RHD). 2015 http://www.rhd.gov.bd/RoadDatabase/ (Accessed: 21 December 2015)</w:t>
      </w:r>
    </w:p>
    <w:p w:rsidR="00465702" w:rsidRPr="00002C47" w:rsidRDefault="00465702" w:rsidP="00AF367B">
      <w:pPr>
        <w:ind w:left="720" w:hanging="720"/>
        <w:mirrorIndents/>
        <w:jc w:val="both"/>
        <w:rPr>
          <w:rFonts w:cs="Times New Roman"/>
        </w:rPr>
      </w:pPr>
      <w:r w:rsidRPr="00002C47">
        <w:rPr>
          <w:rFonts w:cs="Times New Roman"/>
        </w:rPr>
        <w:t xml:space="preserve">S. Roy, L. N. B. M. H. A. H. R. Water quality of Narai canal and Balu River of Dhaka City: An impact of industrialization. </w:t>
      </w:r>
      <w:r w:rsidRPr="00002C47">
        <w:rPr>
          <w:rFonts w:cs="Times New Roman"/>
          <w:i/>
        </w:rPr>
        <w:t>J. Bangladesh Agril. Univ</w:t>
      </w:r>
      <w:r w:rsidRPr="00002C47">
        <w:rPr>
          <w:rFonts w:cs="Times New Roman"/>
        </w:rPr>
        <w:t>, 2014.</w:t>
      </w:r>
    </w:p>
    <w:p w:rsidR="00465702" w:rsidRPr="00002C47" w:rsidRDefault="00465702" w:rsidP="00AF367B">
      <w:pPr>
        <w:ind w:left="720" w:hanging="720"/>
        <w:mirrorIndents/>
        <w:jc w:val="both"/>
        <w:rPr>
          <w:rFonts w:cs="Times New Roman"/>
        </w:rPr>
      </w:pPr>
      <w:r w:rsidRPr="00002C47">
        <w:rPr>
          <w:rFonts w:cs="Times New Roman"/>
        </w:rPr>
        <w:t xml:space="preserve">Saifullah, A. S. et al. Investigation of Some Water Quality Parameters of the Buriganga River. </w:t>
      </w:r>
      <w:r w:rsidRPr="00002C47">
        <w:rPr>
          <w:rFonts w:cs="Times New Roman"/>
          <w:i/>
        </w:rPr>
        <w:t>J. Environ. Sci. &amp; Natural Resources</w:t>
      </w:r>
      <w:r w:rsidRPr="00002C47">
        <w:rPr>
          <w:rFonts w:cs="Times New Roman"/>
        </w:rPr>
        <w:t>, (2011).</w:t>
      </w:r>
    </w:p>
    <w:p w:rsidR="00465702" w:rsidRPr="00002C47" w:rsidRDefault="00465702" w:rsidP="00AF367B">
      <w:pPr>
        <w:ind w:left="720" w:hanging="720"/>
        <w:mirrorIndents/>
        <w:jc w:val="both"/>
        <w:rPr>
          <w:rFonts w:cs="Times New Roman"/>
        </w:rPr>
      </w:pPr>
      <w:r w:rsidRPr="00002C47">
        <w:rPr>
          <w:rFonts w:cs="Times New Roman"/>
        </w:rPr>
        <w:t xml:space="preserve">Saifullah, A. S., Kabir, M. H., Khatun, A., Roy, S., &amp; Sheikh, M. S. Investigation of Some Water Quality Parameters of the Buriganga River. </w:t>
      </w:r>
      <w:r w:rsidRPr="00002C47">
        <w:rPr>
          <w:rFonts w:cs="Times New Roman"/>
          <w:i/>
        </w:rPr>
        <w:t>J. Environ. Sci. &amp; Natural Resources</w:t>
      </w:r>
      <w:r w:rsidRPr="00002C47">
        <w:rPr>
          <w:rFonts w:cs="Times New Roman"/>
        </w:rPr>
        <w:t>, (2011).</w:t>
      </w:r>
    </w:p>
    <w:p w:rsidR="00465702" w:rsidRPr="00002C47" w:rsidRDefault="00465702" w:rsidP="00AF367B">
      <w:pPr>
        <w:ind w:left="720" w:hanging="720"/>
        <w:mirrorIndents/>
        <w:jc w:val="both"/>
        <w:rPr>
          <w:rFonts w:cs="Times New Roman"/>
        </w:rPr>
      </w:pPr>
      <w:r w:rsidRPr="00002C47">
        <w:rPr>
          <w:rFonts w:cs="Times New Roman"/>
        </w:rPr>
        <w:t xml:space="preserve">Samad M.A, M. Y. A. R. R. S. H. M. R. H. Chemical Profile and Heavy Metal Concentration in Water and Freshwater Species of Rupsha River, Bangladesh. </w:t>
      </w:r>
      <w:r w:rsidRPr="00002C47">
        <w:rPr>
          <w:rFonts w:cs="Times New Roman"/>
          <w:i/>
        </w:rPr>
        <w:t>American Journal of Environmental Protection</w:t>
      </w:r>
      <w:r w:rsidRPr="00002C47">
        <w:rPr>
          <w:rFonts w:cs="Times New Roman"/>
        </w:rPr>
        <w:t>, (2005).</w:t>
      </w:r>
    </w:p>
    <w:p w:rsidR="00465702" w:rsidRPr="00002C47" w:rsidRDefault="00465702" w:rsidP="00AF367B">
      <w:pPr>
        <w:ind w:left="720" w:hanging="720"/>
        <w:mirrorIndents/>
        <w:jc w:val="both"/>
        <w:rPr>
          <w:rFonts w:cs="Times New Roman"/>
        </w:rPr>
      </w:pPr>
      <w:r w:rsidRPr="00002C47">
        <w:rPr>
          <w:rFonts w:cs="Times New Roman"/>
        </w:rPr>
        <w:t xml:space="preserve">Sarker, M. H. Rivers, Chars and Char Dwellers of Bangladesh. </w:t>
      </w:r>
      <w:r w:rsidRPr="00002C47">
        <w:rPr>
          <w:rFonts w:cs="Times New Roman"/>
          <w:i/>
        </w:rPr>
        <w:t>International Journal River Basin Management</w:t>
      </w:r>
      <w:r w:rsidRPr="00002C47">
        <w:rPr>
          <w:rFonts w:cs="Times New Roman"/>
        </w:rPr>
        <w:t>, 1(1), (2003): 61-80.</w:t>
      </w:r>
    </w:p>
    <w:p w:rsidR="00465702" w:rsidRDefault="00465702" w:rsidP="00AF367B">
      <w:pPr>
        <w:ind w:left="720" w:hanging="720"/>
        <w:mirrorIndents/>
        <w:jc w:val="both"/>
        <w:rPr>
          <w:rFonts w:cs="Times New Roman"/>
        </w:rPr>
      </w:pPr>
      <w:r w:rsidRPr="00002C47">
        <w:rPr>
          <w:rFonts w:cs="Times New Roman"/>
        </w:rPr>
        <w:t xml:space="preserve">Sayeed, M. A., Hossain, M. A., Wahab, M. A., Hasan, M. T., Ghaffar, M. A., Das, S. K., &amp; Mazumdar, S. K. Chemical and Pesticides uses Status in the Chalan beel, Bangladesh and Present Status of Fish Biodiversity. </w:t>
      </w:r>
      <w:r w:rsidRPr="00002C47">
        <w:rPr>
          <w:rFonts w:cs="Times New Roman"/>
          <w:i/>
        </w:rPr>
        <w:t>American Journal of Experimental Agriculture</w:t>
      </w:r>
      <w:r w:rsidRPr="00002C47">
        <w:rPr>
          <w:rFonts w:cs="Times New Roman"/>
        </w:rPr>
        <w:t>, 6(5), (2015): 267-289.</w:t>
      </w:r>
    </w:p>
    <w:p w:rsidR="00E51DFF" w:rsidRPr="00002C47" w:rsidRDefault="00E51DFF" w:rsidP="00AF367B">
      <w:pPr>
        <w:ind w:left="720" w:hanging="720"/>
        <w:mirrorIndents/>
        <w:jc w:val="both"/>
        <w:rPr>
          <w:rFonts w:cs="Times New Roman"/>
        </w:rPr>
      </w:pPr>
      <w:r w:rsidRPr="00E51DFF">
        <w:rPr>
          <w:rFonts w:cs="Times New Roman"/>
        </w:rPr>
        <w:t xml:space="preserve">Scott, Derek A. </w:t>
      </w:r>
      <w:r w:rsidRPr="00BD4613">
        <w:rPr>
          <w:rFonts w:cs="Times New Roman"/>
          <w:i/>
        </w:rPr>
        <w:t>A Directory of Asian Wetlands</w:t>
      </w:r>
      <w:r w:rsidRPr="00E51DFF">
        <w:rPr>
          <w:rFonts w:cs="Times New Roman"/>
        </w:rPr>
        <w:t>, International Council for Bird Preservation (ICBP) &amp; International Waterfowl research Bureau, 1989</w:t>
      </w:r>
    </w:p>
    <w:p w:rsidR="00465702" w:rsidRPr="00002C47" w:rsidRDefault="00465702" w:rsidP="00AF367B">
      <w:pPr>
        <w:ind w:left="720" w:hanging="720"/>
        <w:mirrorIndents/>
        <w:jc w:val="both"/>
        <w:rPr>
          <w:rFonts w:cs="Times New Roman"/>
        </w:rPr>
      </w:pPr>
      <w:r w:rsidRPr="00002C47">
        <w:rPr>
          <w:rFonts w:cs="Times New Roman"/>
        </w:rPr>
        <w:t xml:space="preserve">Selvaraju, R. and Baas, S. </w:t>
      </w:r>
      <w:r w:rsidRPr="00002C47">
        <w:rPr>
          <w:rFonts w:cs="Times New Roman"/>
          <w:i/>
        </w:rPr>
        <w:t>Climate Variability and Change: Adaptation to Drought in Bangladesh: a Resource Book and Training Guide (Vol. 9)</w:t>
      </w:r>
      <w:r w:rsidRPr="00002C47">
        <w:rPr>
          <w:rFonts w:cs="Times New Roman"/>
        </w:rPr>
        <w:t>. Food and Agriculture Organization. 2007.</w:t>
      </w:r>
    </w:p>
    <w:p w:rsidR="00465702" w:rsidRPr="00002C47" w:rsidRDefault="00465702" w:rsidP="00AF367B">
      <w:pPr>
        <w:ind w:left="720" w:hanging="720"/>
        <w:mirrorIndents/>
        <w:jc w:val="both"/>
        <w:rPr>
          <w:rFonts w:cs="Times New Roman"/>
        </w:rPr>
      </w:pPr>
      <w:r w:rsidRPr="00002C47">
        <w:rPr>
          <w:rFonts w:cs="Times New Roman"/>
        </w:rPr>
        <w:t xml:space="preserve">Shamsuddin, S. and Hazarika, M. K. Groundwater Drought In The Northwestern Districts Of Bangladesh. </w:t>
      </w:r>
      <w:r w:rsidRPr="00002C47">
        <w:rPr>
          <w:rFonts w:cs="Times New Roman"/>
          <w:i/>
        </w:rPr>
        <w:t>Water Resource Manage</w:t>
      </w:r>
      <w:r w:rsidRPr="00002C47">
        <w:rPr>
          <w:rFonts w:cs="Times New Roman"/>
        </w:rPr>
        <w:t xml:space="preserve"> 24.10: 1989-2006 (2009).</w:t>
      </w:r>
    </w:p>
    <w:p w:rsidR="00465702" w:rsidRPr="00002C47" w:rsidRDefault="00465702" w:rsidP="00AF367B">
      <w:pPr>
        <w:ind w:left="720" w:hanging="720"/>
        <w:mirrorIndents/>
        <w:jc w:val="both"/>
        <w:rPr>
          <w:rFonts w:cs="Times New Roman"/>
        </w:rPr>
      </w:pPr>
      <w:r w:rsidRPr="00002C47">
        <w:rPr>
          <w:rFonts w:cs="Times New Roman"/>
        </w:rPr>
        <w:t xml:space="preserve">Shamsudduha, M., Chandler, R. E., Taylor, R. G. &amp; Ahmed, K. M. Recent trends in groundwater levels in a highly seasonal hydrological system: the Ganges-Brahmaputra-Meghna Delta. </w:t>
      </w:r>
      <w:r w:rsidRPr="00002C47">
        <w:rPr>
          <w:rFonts w:cs="Times New Roman"/>
          <w:i/>
        </w:rPr>
        <w:t>Journal of Hydrology and Earth System Sciences</w:t>
      </w:r>
      <w:r w:rsidRPr="00002C47">
        <w:rPr>
          <w:rFonts w:cs="Times New Roman"/>
        </w:rPr>
        <w:t>, (2009).</w:t>
      </w:r>
    </w:p>
    <w:p w:rsidR="00465702" w:rsidRDefault="00465702" w:rsidP="00AF367B">
      <w:pPr>
        <w:ind w:left="720" w:hanging="720"/>
        <w:mirrorIndents/>
        <w:jc w:val="both"/>
        <w:rPr>
          <w:rFonts w:cs="Times New Roman"/>
          <w:i/>
        </w:rPr>
      </w:pPr>
      <w:r w:rsidRPr="00002C47">
        <w:rPr>
          <w:rFonts w:cs="Times New Roman"/>
        </w:rPr>
        <w:t xml:space="preserve">Shanaz, K. Drastic fall in Chalan beel fish production. 2006. </w:t>
      </w:r>
      <w:r w:rsidRPr="00002C47">
        <w:rPr>
          <w:rFonts w:cs="Times New Roman"/>
          <w:i/>
        </w:rPr>
        <w:t>weeklyholiday.net</w:t>
      </w:r>
    </w:p>
    <w:p w:rsidR="00E51DFF" w:rsidRPr="00002C47" w:rsidRDefault="00E51DFF" w:rsidP="00BD4613">
      <w:pPr>
        <w:ind w:left="720"/>
        <w:mirrorIndents/>
        <w:jc w:val="both"/>
        <w:rPr>
          <w:rFonts w:cs="Times New Roman"/>
        </w:rPr>
      </w:pPr>
      <w:r w:rsidRPr="00E51DFF">
        <w:rPr>
          <w:rFonts w:cs="Times New Roman"/>
        </w:rPr>
        <w:t xml:space="preserve">Siddiqui, Kamal U. </w:t>
      </w:r>
      <w:r w:rsidRPr="00BD4613">
        <w:rPr>
          <w:rFonts w:cs="Times New Roman"/>
          <w:i/>
        </w:rPr>
        <w:t>Encyclopedia of Flora and Fauna of Bangladesh</w:t>
      </w:r>
      <w:r w:rsidRPr="00E51DFF">
        <w:rPr>
          <w:rFonts w:cs="Times New Roman"/>
        </w:rPr>
        <w:t xml:space="preserve">, Asiatic Society of </w:t>
      </w:r>
      <w:r>
        <w:rPr>
          <w:rFonts w:cs="Times New Roman"/>
        </w:rPr>
        <w:t xml:space="preserve"> </w:t>
      </w:r>
      <w:r w:rsidRPr="00E51DFF">
        <w:rPr>
          <w:rFonts w:cs="Times New Roman"/>
        </w:rPr>
        <w:t>Bangladesh, 2007</w:t>
      </w:r>
    </w:p>
    <w:p w:rsidR="00465702" w:rsidRPr="00002C47" w:rsidRDefault="00465702" w:rsidP="00AF367B">
      <w:pPr>
        <w:ind w:left="720" w:hanging="720"/>
        <w:mirrorIndents/>
        <w:jc w:val="both"/>
        <w:rPr>
          <w:rFonts w:cs="Times New Roman"/>
        </w:rPr>
      </w:pPr>
      <w:r w:rsidRPr="00002C47">
        <w:rPr>
          <w:rFonts w:cs="Times New Roman"/>
        </w:rPr>
        <w:t xml:space="preserve">Siddiqi, N.A. </w:t>
      </w:r>
      <w:r w:rsidRPr="00002C47">
        <w:rPr>
          <w:rFonts w:cs="Times New Roman"/>
          <w:i/>
        </w:rPr>
        <w:t>Country Report for Assessment of Faunal Biodiversity in Bangladesh</w:t>
      </w:r>
      <w:r w:rsidRPr="00002C47">
        <w:rPr>
          <w:rFonts w:cs="Times New Roman"/>
        </w:rPr>
        <w:t>. South-Asia Cooperative Environmental Programme, Colombo, (mimeographed), (1996).</w:t>
      </w:r>
    </w:p>
    <w:p w:rsidR="00465702" w:rsidRPr="00002C47" w:rsidRDefault="00465702" w:rsidP="00AF367B">
      <w:pPr>
        <w:ind w:left="720" w:hanging="720"/>
        <w:mirrorIndents/>
        <w:jc w:val="both"/>
        <w:rPr>
          <w:rFonts w:cs="Times New Roman"/>
        </w:rPr>
      </w:pPr>
      <w:r w:rsidRPr="00002C47">
        <w:rPr>
          <w:rFonts w:cs="Times New Roman"/>
        </w:rPr>
        <w:t xml:space="preserve">Siddiqi, N.A. Probable impact of climate change and sea level rise on mangrove forests and biodiversity of Bangladesh. </w:t>
      </w:r>
      <w:r w:rsidRPr="00002C47">
        <w:rPr>
          <w:rFonts w:cs="Times New Roman"/>
          <w:i/>
        </w:rPr>
        <w:t>Bangladesh Journal of Forest Science</w:t>
      </w:r>
      <w:r w:rsidRPr="00002C47">
        <w:rPr>
          <w:rFonts w:cs="Times New Roman"/>
        </w:rPr>
        <w:t xml:space="preserve"> 31(1&amp;2), (1996): 1-15</w:t>
      </w:r>
    </w:p>
    <w:p w:rsidR="00465702" w:rsidRPr="00002C47" w:rsidRDefault="00465702" w:rsidP="00AF367B">
      <w:pPr>
        <w:ind w:left="720" w:hanging="720"/>
        <w:mirrorIndents/>
        <w:jc w:val="both"/>
        <w:rPr>
          <w:rFonts w:cs="Times New Roman"/>
        </w:rPr>
      </w:pPr>
      <w:r w:rsidRPr="00002C47">
        <w:rPr>
          <w:rFonts w:cs="Times New Roman"/>
        </w:rPr>
        <w:t xml:space="preserve">Siwakoti, D. G. Trans-boundary River Basins in South Asia: Options for Conflict Resolution. </w:t>
      </w:r>
      <w:r w:rsidRPr="00002C47">
        <w:rPr>
          <w:rFonts w:cs="Times New Roman"/>
          <w:i/>
        </w:rPr>
        <w:t>International Rivers</w:t>
      </w:r>
      <w:r w:rsidRPr="00002C47">
        <w:rPr>
          <w:rFonts w:cs="Times New Roman"/>
        </w:rPr>
        <w:t>, (2011).</w:t>
      </w:r>
    </w:p>
    <w:p w:rsidR="00465702" w:rsidRPr="00002C47" w:rsidRDefault="00465702" w:rsidP="00AF367B">
      <w:pPr>
        <w:ind w:left="720" w:hanging="720"/>
        <w:mirrorIndents/>
        <w:jc w:val="both"/>
        <w:rPr>
          <w:rFonts w:cs="Times New Roman"/>
        </w:rPr>
      </w:pPr>
      <w:r w:rsidRPr="00002C47">
        <w:rPr>
          <w:rFonts w:cs="Times New Roman"/>
        </w:rPr>
        <w:t xml:space="preserve">Smith, B.D., Ahmed, B., Edrise, M., and Braulik, G. Status of the Ganges river dolphin or shushed Platanistagangetica in Kaptai Lake and the southern rivers of Bangladesh. </w:t>
      </w:r>
      <w:r w:rsidRPr="00002C47">
        <w:rPr>
          <w:rFonts w:cs="Times New Roman"/>
          <w:i/>
        </w:rPr>
        <w:t>Oryx</w:t>
      </w:r>
      <w:r w:rsidRPr="00002C47">
        <w:rPr>
          <w:rFonts w:cs="Times New Roman"/>
        </w:rPr>
        <w:t xml:space="preserve"> 35, (2001): 61–71.</w:t>
      </w:r>
    </w:p>
    <w:p w:rsidR="00465702" w:rsidRPr="00002C47" w:rsidRDefault="00465702" w:rsidP="00AF367B">
      <w:pPr>
        <w:ind w:left="720" w:hanging="720"/>
        <w:mirrorIndents/>
        <w:jc w:val="both"/>
        <w:rPr>
          <w:rFonts w:cs="Times New Roman"/>
        </w:rPr>
      </w:pPr>
      <w:r w:rsidRPr="00002C47">
        <w:rPr>
          <w:rFonts w:cs="Times New Roman"/>
        </w:rPr>
        <w:t xml:space="preserve">Smith, B.D., Aminul Haque, A.K.M., Hossain, M.S., and Khan, A. River dolphins in Bangladesh: conservation and the effects of water development. </w:t>
      </w:r>
      <w:r w:rsidRPr="00002C47">
        <w:rPr>
          <w:rFonts w:cs="Times New Roman"/>
          <w:i/>
        </w:rPr>
        <w:t>Environmental Management</w:t>
      </w:r>
      <w:r w:rsidRPr="00002C47">
        <w:rPr>
          <w:rFonts w:cs="Times New Roman"/>
        </w:rPr>
        <w:t xml:space="preserve"> 22, (1996) 323–335.</w:t>
      </w:r>
    </w:p>
    <w:p w:rsidR="00465702" w:rsidRDefault="00465702" w:rsidP="00AF367B">
      <w:pPr>
        <w:ind w:left="720" w:hanging="720"/>
        <w:mirrorIndents/>
        <w:jc w:val="both"/>
        <w:rPr>
          <w:rFonts w:cs="Times New Roman"/>
        </w:rPr>
      </w:pPr>
      <w:r w:rsidRPr="00002C47">
        <w:rPr>
          <w:rFonts w:cs="Times New Roman"/>
        </w:rPr>
        <w:t xml:space="preserve">Smith, B.D., G. Braulik, S. Strindberg, B. Ahmed, and R. Mansur. Abundance of Irrawaddy Dolphins (Orcaellabrevirostris) and Ganges River Dolphins (Platanistagangeticagangetica) Estimated using Concurrent Counts from Independent Teams in Waterways of the Sundarbans Mangrove Forest in Bangladesh. </w:t>
      </w:r>
      <w:r w:rsidRPr="00002C47">
        <w:rPr>
          <w:rFonts w:cs="Times New Roman"/>
          <w:i/>
        </w:rPr>
        <w:t>Marine Mammal Science</w:t>
      </w:r>
      <w:r w:rsidRPr="00002C47">
        <w:rPr>
          <w:rFonts w:cs="Times New Roman"/>
        </w:rPr>
        <w:t xml:space="preserve"> 22(3), (2001): 527-547.</w:t>
      </w:r>
    </w:p>
    <w:p w:rsidR="002B787D" w:rsidRPr="002B787D" w:rsidRDefault="002B787D" w:rsidP="00AF367B">
      <w:pPr>
        <w:ind w:left="720" w:hanging="720"/>
        <w:mirrorIndents/>
        <w:jc w:val="both"/>
        <w:rPr>
          <w:rFonts w:cs="Times New Roman"/>
          <w:sz w:val="32"/>
        </w:rPr>
      </w:pPr>
      <w:r w:rsidRPr="002B787D">
        <w:rPr>
          <w:rFonts w:cs="Times New Roman"/>
        </w:rPr>
        <w:t xml:space="preserve">South Africa: </w:t>
      </w:r>
      <w:r w:rsidRPr="00532428">
        <w:rPr>
          <w:rFonts w:cs="Times New Roman"/>
          <w:i/>
        </w:rPr>
        <w:t>Act No. 16 of 2013: Spatial Planning and Land Use Management Act</w:t>
      </w:r>
      <w:r w:rsidRPr="002B787D">
        <w:rPr>
          <w:rFonts w:cs="Times New Roman"/>
        </w:rPr>
        <w:t>, 2013</w:t>
      </w:r>
    </w:p>
    <w:p w:rsidR="00465702" w:rsidRPr="00002C47" w:rsidRDefault="003C267A" w:rsidP="00AF367B">
      <w:pPr>
        <w:ind w:left="720" w:hanging="720"/>
        <w:mirrorIndents/>
        <w:jc w:val="both"/>
        <w:rPr>
          <w:rFonts w:cs="Times New Roman"/>
        </w:rPr>
      </w:pPr>
      <w:r>
        <w:rPr>
          <w:rFonts w:cs="Times New Roman"/>
        </w:rPr>
        <w:t>Soil Resource Development Institute (</w:t>
      </w:r>
      <w:r w:rsidR="00465702" w:rsidRPr="00002C47">
        <w:rPr>
          <w:rFonts w:cs="Times New Roman"/>
        </w:rPr>
        <w:t>SRDI</w:t>
      </w:r>
      <w:r>
        <w:rPr>
          <w:rFonts w:cs="Times New Roman"/>
        </w:rPr>
        <w:t>)</w:t>
      </w:r>
      <w:r w:rsidR="00465702" w:rsidRPr="00002C47">
        <w:rPr>
          <w:rFonts w:cs="Times New Roman"/>
        </w:rPr>
        <w:t xml:space="preserve">. </w:t>
      </w:r>
      <w:r w:rsidR="00465702" w:rsidRPr="00002C47">
        <w:rPr>
          <w:rFonts w:cs="Times New Roman"/>
          <w:i/>
        </w:rPr>
        <w:t>Soil Salinity in Bangladesh – 2000</w:t>
      </w:r>
      <w:r w:rsidR="00465702" w:rsidRPr="00002C47">
        <w:rPr>
          <w:rFonts w:cs="Times New Roman"/>
        </w:rPr>
        <w:t>.  Soil Resource Development Institute</w:t>
      </w:r>
      <w:r>
        <w:rPr>
          <w:rFonts w:cs="Times New Roman"/>
        </w:rPr>
        <w:t xml:space="preserve">, Dhaka, </w:t>
      </w:r>
      <w:r w:rsidR="00465702" w:rsidRPr="00002C47">
        <w:rPr>
          <w:rFonts w:cs="Times New Roman"/>
        </w:rPr>
        <w:t xml:space="preserve"> 2001.</w:t>
      </w:r>
    </w:p>
    <w:p w:rsidR="007328A4" w:rsidRDefault="003C267A" w:rsidP="007328A4">
      <w:pPr>
        <w:ind w:left="720" w:hanging="720"/>
        <w:mirrorIndents/>
        <w:jc w:val="both"/>
        <w:rPr>
          <w:rFonts w:cs="Times New Roman"/>
        </w:rPr>
      </w:pPr>
      <w:r>
        <w:rPr>
          <w:rFonts w:cs="Times New Roman"/>
        </w:rPr>
        <w:t>Soil Resource Development Institute (</w:t>
      </w:r>
      <w:r w:rsidR="007328A4">
        <w:rPr>
          <w:rFonts w:cs="Times New Roman"/>
        </w:rPr>
        <w:t>SRDI</w:t>
      </w:r>
      <w:r>
        <w:rPr>
          <w:rFonts w:cs="Times New Roman"/>
        </w:rPr>
        <w:t>)</w:t>
      </w:r>
      <w:r w:rsidR="007328A4">
        <w:rPr>
          <w:rFonts w:cs="Times New Roman"/>
        </w:rPr>
        <w:t xml:space="preserve">. </w:t>
      </w:r>
      <w:r w:rsidR="007328A4" w:rsidRPr="007328A4">
        <w:rPr>
          <w:rFonts w:cs="Times New Roman"/>
          <w:bCs/>
          <w:i/>
          <w:szCs w:val="20"/>
        </w:rPr>
        <w:t>Trend in the availability of agricultural land in Bangladesh</w:t>
      </w:r>
      <w:r w:rsidR="007328A4">
        <w:rPr>
          <w:rFonts w:cs="Times New Roman"/>
          <w:bCs/>
          <w:szCs w:val="20"/>
        </w:rPr>
        <w:t>.</w:t>
      </w:r>
      <w:r w:rsidR="007328A4" w:rsidRPr="007328A4">
        <w:rPr>
          <w:rFonts w:cs="Times New Roman"/>
          <w:bCs/>
          <w:szCs w:val="20"/>
        </w:rPr>
        <w:t xml:space="preserve">  </w:t>
      </w:r>
      <w:r w:rsidR="007328A4" w:rsidRPr="00002C47">
        <w:rPr>
          <w:rFonts w:cs="Times New Roman"/>
        </w:rPr>
        <w:t xml:space="preserve"> Soil Resour</w:t>
      </w:r>
      <w:r w:rsidR="007328A4">
        <w:rPr>
          <w:rFonts w:cs="Times New Roman"/>
        </w:rPr>
        <w:t>ce Development Institute</w:t>
      </w:r>
      <w:r>
        <w:rPr>
          <w:rFonts w:cs="Times New Roman"/>
        </w:rPr>
        <w:t xml:space="preserve">, Dhaka, </w:t>
      </w:r>
      <w:r w:rsidR="007328A4">
        <w:rPr>
          <w:rFonts w:cs="Times New Roman"/>
        </w:rPr>
        <w:t xml:space="preserve"> 2013.</w:t>
      </w:r>
    </w:p>
    <w:p w:rsidR="00465702" w:rsidRPr="00002C47" w:rsidRDefault="00465702" w:rsidP="00AF367B">
      <w:pPr>
        <w:ind w:left="720" w:hanging="720"/>
        <w:mirrorIndents/>
        <w:jc w:val="both"/>
        <w:rPr>
          <w:rFonts w:cs="Times New Roman"/>
        </w:rPr>
      </w:pPr>
      <w:r w:rsidRPr="00002C47">
        <w:rPr>
          <w:rFonts w:cs="Times New Roman"/>
        </w:rPr>
        <w:t xml:space="preserve">Stern, N. </w:t>
      </w:r>
      <w:r w:rsidRPr="00002C47">
        <w:rPr>
          <w:rFonts w:cs="Times New Roman"/>
          <w:i/>
        </w:rPr>
        <w:t>Stern Review on the Economics of Climate Change</w:t>
      </w:r>
      <w:r w:rsidRPr="00002C47">
        <w:rPr>
          <w:rFonts w:cs="Times New Roman"/>
        </w:rPr>
        <w:t xml:space="preserve"> (London: HM Treasury, 2007).</w:t>
      </w:r>
    </w:p>
    <w:p w:rsidR="00465702" w:rsidRPr="00002C47" w:rsidRDefault="00465702" w:rsidP="00AF367B">
      <w:pPr>
        <w:ind w:left="720" w:hanging="720"/>
        <w:mirrorIndents/>
        <w:jc w:val="both"/>
        <w:rPr>
          <w:rFonts w:cs="Times New Roman"/>
        </w:rPr>
      </w:pPr>
      <w:r w:rsidRPr="00002C47">
        <w:rPr>
          <w:rFonts w:cs="Times New Roman"/>
        </w:rPr>
        <w:t xml:space="preserve">Stern, N. </w:t>
      </w:r>
      <w:r w:rsidRPr="00002C47">
        <w:rPr>
          <w:rFonts w:cs="Times New Roman"/>
          <w:i/>
        </w:rPr>
        <w:t>Stern Review: The Economics of Climate Change</w:t>
      </w:r>
      <w:r w:rsidRPr="00002C47">
        <w:rPr>
          <w:rFonts w:cs="Times New Roman"/>
        </w:rPr>
        <w:t xml:space="preserve"> (London: Government of UK, 2001)</w:t>
      </w:r>
    </w:p>
    <w:p w:rsidR="00465702" w:rsidRPr="00002C47" w:rsidRDefault="00465702" w:rsidP="00AF367B">
      <w:pPr>
        <w:ind w:left="720" w:hanging="720"/>
        <w:mirrorIndents/>
        <w:jc w:val="both"/>
        <w:rPr>
          <w:rFonts w:cs="Times New Roman"/>
        </w:rPr>
      </w:pPr>
      <w:r w:rsidRPr="00002C47">
        <w:rPr>
          <w:rFonts w:cs="Times New Roman"/>
        </w:rPr>
        <w:t xml:space="preserve">Stocker, T.F., D. Qin, G.-K. Plattner, M. Tignor, S.K. Allen, J. Boschung, A. Nauels, Y. Xia, V. Bex and P.M. Midgley (eds.). </w:t>
      </w:r>
      <w:r w:rsidRPr="00002C47">
        <w:rPr>
          <w:rFonts w:cs="Times New Roman"/>
          <w:i/>
        </w:rPr>
        <w:t>Climate Change 2013: The Physical Science Basis. Contribution of Working Group I to the Fifth Assessment Report of the Intergovernmental Panel on Climate Change</w:t>
      </w:r>
      <w:r w:rsidRPr="00002C47">
        <w:rPr>
          <w:rFonts w:cs="Times New Roman"/>
        </w:rPr>
        <w:t>. Cambridge: IPCC, 2013.</w:t>
      </w:r>
    </w:p>
    <w:p w:rsidR="00465702" w:rsidRPr="00002C47" w:rsidRDefault="00465702" w:rsidP="00AF367B">
      <w:pPr>
        <w:ind w:left="720" w:hanging="720"/>
        <w:mirrorIndents/>
        <w:jc w:val="both"/>
        <w:rPr>
          <w:rFonts w:cs="Times New Roman"/>
        </w:rPr>
      </w:pPr>
      <w:r w:rsidRPr="00002C47">
        <w:rPr>
          <w:rFonts w:cs="Times New Roman"/>
        </w:rPr>
        <w:t xml:space="preserve">Talukder, M. I., Fakhruddin, A. &amp; Hossain, M. A. </w:t>
      </w:r>
      <w:r w:rsidRPr="00002C47">
        <w:rPr>
          <w:rFonts w:cs="Times New Roman"/>
          <w:i/>
        </w:rPr>
        <w:t>Environmental Impacts of Ship Breaking and Recycling Industry of Sitakunda, s.l.</w:t>
      </w:r>
      <w:r w:rsidRPr="00002C47">
        <w:rPr>
          <w:rFonts w:cs="Times New Roman"/>
        </w:rPr>
        <w:t xml:space="preserve"> Canadian Research &amp; Development Center of Sciences and Cultures. 2015.</w:t>
      </w:r>
    </w:p>
    <w:p w:rsidR="00465702" w:rsidRPr="00002C47" w:rsidRDefault="00465702" w:rsidP="00AF367B">
      <w:pPr>
        <w:ind w:left="720" w:hanging="720"/>
        <w:mirrorIndents/>
        <w:jc w:val="both"/>
        <w:rPr>
          <w:rFonts w:cs="Times New Roman"/>
        </w:rPr>
      </w:pPr>
      <w:r w:rsidRPr="00002C47">
        <w:rPr>
          <w:rFonts w:cs="Times New Roman"/>
        </w:rPr>
        <w:t xml:space="preserve">Thompson, P.M. Sultana, P. Islam, M.N. Kabir, M.M. Hossain, M.M. and Kabir, M.S. An assessment of co-management arrangements developed by the Community Based Fisheries. In </w:t>
      </w:r>
      <w:r w:rsidRPr="00002C47">
        <w:rPr>
          <w:rFonts w:cs="Times New Roman"/>
          <w:i/>
        </w:rPr>
        <w:t>International Workshop on Fisheries Co-management. Management Project in Bangladesh</w:t>
      </w:r>
      <w:r w:rsidRPr="00002C47">
        <w:rPr>
          <w:rFonts w:cs="Times New Roman"/>
        </w:rPr>
        <w:t>, 1999, Penang, Malaysia, 1999.</w:t>
      </w:r>
    </w:p>
    <w:p w:rsidR="00465702" w:rsidRPr="00002C47" w:rsidRDefault="00465702" w:rsidP="00AF367B">
      <w:pPr>
        <w:ind w:left="720" w:hanging="720"/>
        <w:mirrorIndents/>
        <w:jc w:val="both"/>
        <w:rPr>
          <w:rFonts w:cs="Times New Roman"/>
        </w:rPr>
      </w:pPr>
      <w:r w:rsidRPr="00002C47">
        <w:rPr>
          <w:rFonts w:cs="Times New Roman"/>
        </w:rPr>
        <w:t xml:space="preserve">Thompson, P.M., Sultana, P., Islam, M.N., Kabir, M.M., Hossain, M.M., and Kabir, M.S. An assessment of co-management arrangements developed by the Community Based Fisheries Management Project in Bangladesh. In </w:t>
      </w:r>
      <w:r w:rsidRPr="00002C47">
        <w:rPr>
          <w:rFonts w:cs="Times New Roman"/>
          <w:i/>
        </w:rPr>
        <w:t>the International Workshop on Fisheries Co-management</w:t>
      </w:r>
      <w:r w:rsidRPr="00002C47">
        <w:rPr>
          <w:rFonts w:cs="Times New Roman"/>
        </w:rPr>
        <w:t>, 23-28 August 1999, Penang, Malaysia, 1999.</w:t>
      </w:r>
    </w:p>
    <w:p w:rsidR="00465702" w:rsidRPr="00002C47" w:rsidRDefault="00465702" w:rsidP="00AF367B">
      <w:pPr>
        <w:ind w:left="720" w:hanging="720"/>
        <w:mirrorIndents/>
        <w:jc w:val="both"/>
        <w:rPr>
          <w:rFonts w:cs="Times New Roman"/>
        </w:rPr>
      </w:pPr>
      <w:r w:rsidRPr="00002C47">
        <w:rPr>
          <w:rFonts w:cs="Times New Roman"/>
        </w:rPr>
        <w:t>Thorn</w:t>
      </w:r>
      <w:r w:rsidR="00FE6385">
        <w:rPr>
          <w:rFonts w:cs="Times New Roman"/>
        </w:rPr>
        <w:t>to</w:t>
      </w:r>
      <w:r w:rsidR="000B096E">
        <w:rPr>
          <w:rFonts w:cs="Times New Roman"/>
        </w:rPr>
        <w:t>n</w:t>
      </w:r>
      <w:r w:rsidRPr="00002C47">
        <w:rPr>
          <w:rFonts w:cs="Times New Roman"/>
        </w:rPr>
        <w:t>, P. and L. Lipper. ‘How Does Climate Change Alter Agricultural Strategies to Support Food Security? Discussion Paper #01340’. IFPRI. 2014.</w:t>
      </w:r>
    </w:p>
    <w:p w:rsidR="00465702" w:rsidRPr="00002C47" w:rsidRDefault="00465702" w:rsidP="00AF367B">
      <w:pPr>
        <w:ind w:left="720" w:hanging="720"/>
        <w:mirrorIndents/>
        <w:jc w:val="both"/>
        <w:rPr>
          <w:rFonts w:cs="Times New Roman"/>
        </w:rPr>
      </w:pPr>
      <w:r w:rsidRPr="00002C47">
        <w:rPr>
          <w:rFonts w:cs="Times New Roman"/>
        </w:rPr>
        <w:t xml:space="preserve">Uddin, M. N., Alam, M. S., Mobin, M. N. &amp; Miah, M. A. An Assessment of the River Water Quality Parameters: A case of Jamuna River. </w:t>
      </w:r>
      <w:r w:rsidRPr="00002C47">
        <w:rPr>
          <w:rFonts w:cs="Times New Roman"/>
          <w:i/>
        </w:rPr>
        <w:t>J. Environ. Sci. &amp; Natural Resources</w:t>
      </w:r>
      <w:r w:rsidRPr="00002C47">
        <w:rPr>
          <w:rFonts w:cs="Times New Roman"/>
        </w:rPr>
        <w:t>, (2014).</w:t>
      </w:r>
    </w:p>
    <w:p w:rsidR="00465702" w:rsidRPr="00002C47" w:rsidRDefault="00465702" w:rsidP="00AF367B">
      <w:pPr>
        <w:ind w:left="720" w:hanging="720"/>
        <w:mirrorIndents/>
        <w:jc w:val="both"/>
        <w:rPr>
          <w:rFonts w:cs="Times New Roman"/>
        </w:rPr>
      </w:pPr>
      <w:r w:rsidRPr="00002C47">
        <w:rPr>
          <w:rFonts w:cs="Times New Roman"/>
        </w:rPr>
        <w:t xml:space="preserve">UN HABITAT. </w:t>
      </w:r>
      <w:r w:rsidRPr="00002C47">
        <w:rPr>
          <w:rFonts w:cs="Times New Roman"/>
          <w:i/>
        </w:rPr>
        <w:t>State of the World’s Cities 2008 / 2009 – Harmonious Cities</w:t>
      </w:r>
      <w:r w:rsidRPr="00002C47">
        <w:rPr>
          <w:rFonts w:cs="Times New Roman"/>
        </w:rPr>
        <w:t>. 2008</w:t>
      </w:r>
    </w:p>
    <w:p w:rsidR="00465702" w:rsidRPr="00002C47" w:rsidRDefault="00465702" w:rsidP="00AF367B">
      <w:pPr>
        <w:ind w:left="720" w:hanging="720"/>
        <w:mirrorIndents/>
        <w:jc w:val="both"/>
        <w:rPr>
          <w:rFonts w:cs="Times New Roman"/>
        </w:rPr>
      </w:pPr>
      <w:r w:rsidRPr="00002C47">
        <w:rPr>
          <w:rFonts w:cs="Times New Roman"/>
        </w:rPr>
        <w:t xml:space="preserve">UN. </w:t>
      </w:r>
      <w:r w:rsidRPr="00002C47">
        <w:rPr>
          <w:rFonts w:cs="Times New Roman"/>
          <w:i/>
        </w:rPr>
        <w:t>Statistical Yearbook of 2013, Fifty Eight Issue</w:t>
      </w:r>
      <w:r w:rsidRPr="00002C47">
        <w:rPr>
          <w:rFonts w:cs="Times New Roman"/>
        </w:rPr>
        <w:t xml:space="preserve">. New York: United Nations. 2016. </w:t>
      </w:r>
    </w:p>
    <w:p w:rsidR="00465702" w:rsidRPr="00002C47" w:rsidRDefault="00465702" w:rsidP="00AF367B">
      <w:pPr>
        <w:ind w:left="720" w:hanging="720"/>
        <w:mirrorIndents/>
        <w:jc w:val="both"/>
        <w:rPr>
          <w:rFonts w:cs="Times New Roman"/>
        </w:rPr>
      </w:pPr>
      <w:r w:rsidRPr="00002C47">
        <w:rPr>
          <w:rFonts w:cs="Times New Roman"/>
        </w:rPr>
        <w:t xml:space="preserve">UN. Statistics of Environmental Indicators. </w:t>
      </w:r>
      <w:r w:rsidRPr="00002C47">
        <w:rPr>
          <w:rFonts w:cs="Times New Roman"/>
          <w:i/>
        </w:rPr>
        <w:t>United Nations Statistics Division, United Nations</w:t>
      </w:r>
      <w:r w:rsidRPr="00002C47">
        <w:rPr>
          <w:rFonts w:cs="Times New Roman"/>
        </w:rPr>
        <w:t>. 2015 http://unstats.un.org/unsd/ENVIRONMENT/qindicators.htm</w:t>
      </w:r>
    </w:p>
    <w:p w:rsidR="00465702" w:rsidRPr="00002C47" w:rsidRDefault="00465702" w:rsidP="00AF367B">
      <w:pPr>
        <w:ind w:left="720" w:hanging="720"/>
        <w:mirrorIndents/>
        <w:jc w:val="both"/>
        <w:rPr>
          <w:rFonts w:cs="Times New Roman"/>
        </w:rPr>
      </w:pPr>
      <w:r w:rsidRPr="00002C47">
        <w:rPr>
          <w:rFonts w:cs="Times New Roman"/>
        </w:rPr>
        <w:t xml:space="preserve">UNDP. </w:t>
      </w:r>
      <w:r w:rsidRPr="00002C47">
        <w:rPr>
          <w:rFonts w:cs="Times New Roman"/>
          <w:i/>
        </w:rPr>
        <w:t>Resilient Bangladesh: Bangladesh Annual Report (2013-2014)</w:t>
      </w:r>
      <w:r w:rsidRPr="00002C47">
        <w:rPr>
          <w:rFonts w:cs="Times New Roman"/>
        </w:rPr>
        <w:t>. Dhaka: United Nations Development Programme, Bangladesh. 2014.</w:t>
      </w:r>
    </w:p>
    <w:p w:rsidR="00465702" w:rsidRPr="00002C47" w:rsidRDefault="00465702" w:rsidP="00AF367B">
      <w:pPr>
        <w:ind w:left="720" w:hanging="720"/>
        <w:mirrorIndents/>
        <w:jc w:val="both"/>
        <w:rPr>
          <w:rFonts w:cs="Times New Roman"/>
        </w:rPr>
      </w:pPr>
      <w:r w:rsidRPr="00002C47">
        <w:rPr>
          <w:rFonts w:cs="Times New Roman"/>
        </w:rPr>
        <w:t xml:space="preserve">UNICEF. </w:t>
      </w:r>
      <w:r w:rsidRPr="00002C47">
        <w:rPr>
          <w:rFonts w:cs="Times New Roman"/>
          <w:i/>
        </w:rPr>
        <w:t>Bangladesh at a Glance: Status of Children and Women, Unite for Children</w:t>
      </w:r>
      <w:r w:rsidRPr="00002C47">
        <w:rPr>
          <w:rFonts w:cs="Times New Roman"/>
        </w:rPr>
        <w:t>. UNICEF Bangladesh, Bangladesh. 2008.</w:t>
      </w:r>
    </w:p>
    <w:p w:rsidR="00465702" w:rsidRPr="00002C47" w:rsidRDefault="00465702" w:rsidP="00AF367B">
      <w:pPr>
        <w:ind w:left="720" w:hanging="720"/>
        <w:mirrorIndents/>
        <w:jc w:val="both"/>
        <w:rPr>
          <w:rFonts w:cs="Times New Roman"/>
        </w:rPr>
      </w:pPr>
      <w:r w:rsidRPr="00002C47">
        <w:rPr>
          <w:rFonts w:cs="Times New Roman"/>
        </w:rPr>
        <w:t xml:space="preserve">WARPO. </w:t>
      </w:r>
      <w:r w:rsidRPr="00002C47">
        <w:rPr>
          <w:rFonts w:cs="Times New Roman"/>
          <w:i/>
        </w:rPr>
        <w:t>Climate Change Prediction Modelling Impact Assessment of Climate Change and Sea Level Rise on Monsoon Flooding</w:t>
      </w:r>
      <w:r w:rsidRPr="00002C47">
        <w:rPr>
          <w:rFonts w:cs="Times New Roman"/>
        </w:rPr>
        <w:t>. Dhaka: Water Resource Planning Organization. 2005.</w:t>
      </w:r>
    </w:p>
    <w:p w:rsidR="00465702" w:rsidRPr="00002C47" w:rsidRDefault="00465702" w:rsidP="00AF367B">
      <w:pPr>
        <w:ind w:left="720" w:hanging="720"/>
        <w:mirrorIndents/>
        <w:jc w:val="both"/>
        <w:rPr>
          <w:rFonts w:cs="Times New Roman"/>
        </w:rPr>
      </w:pPr>
      <w:r w:rsidRPr="00002C47">
        <w:rPr>
          <w:rFonts w:cs="Times New Roman"/>
        </w:rPr>
        <w:t xml:space="preserve">WARPO. </w:t>
      </w:r>
      <w:r w:rsidRPr="00002C47">
        <w:rPr>
          <w:rFonts w:cs="Times New Roman"/>
          <w:i/>
        </w:rPr>
        <w:t>Climate Change Prediction Modelling: Impact Assessment of Climate Change and Sea Level Rise on Monsoon Flooding. Dhaka</w:t>
      </w:r>
      <w:r w:rsidRPr="00002C47">
        <w:rPr>
          <w:rFonts w:cs="Times New Roman"/>
        </w:rPr>
        <w:t>: Water Resource Planning Organization.2005.</w:t>
      </w:r>
    </w:p>
    <w:p w:rsidR="00465702" w:rsidRPr="00002C47" w:rsidRDefault="00465702" w:rsidP="00AF367B">
      <w:pPr>
        <w:ind w:left="720" w:hanging="720"/>
        <w:mirrorIndents/>
        <w:jc w:val="both"/>
        <w:rPr>
          <w:rFonts w:cs="Times New Roman"/>
        </w:rPr>
      </w:pPr>
      <w:r w:rsidRPr="00002C47">
        <w:rPr>
          <w:rFonts w:cs="Times New Roman"/>
        </w:rPr>
        <w:t xml:space="preserve">WARPO. </w:t>
      </w:r>
      <w:r w:rsidRPr="00002C47">
        <w:rPr>
          <w:rFonts w:cs="Times New Roman"/>
          <w:i/>
        </w:rPr>
        <w:t>Final Report for Maintenance, Updating and Dissemination of National Water Resources Database. Water Management Improvement Project</w:t>
      </w:r>
      <w:r w:rsidRPr="00002C47">
        <w:rPr>
          <w:rFonts w:cs="Times New Roman"/>
        </w:rPr>
        <w:t>. Dhaka: Water Resources Planning Organization. 2015.</w:t>
      </w:r>
    </w:p>
    <w:p w:rsidR="00465702" w:rsidRPr="00002C47" w:rsidRDefault="00465702" w:rsidP="00AF367B">
      <w:pPr>
        <w:ind w:left="720" w:hanging="720"/>
        <w:mirrorIndents/>
        <w:jc w:val="both"/>
        <w:rPr>
          <w:rFonts w:cs="Times New Roman"/>
        </w:rPr>
      </w:pPr>
      <w:r w:rsidRPr="00002C47">
        <w:rPr>
          <w:rFonts w:cs="Times New Roman"/>
        </w:rPr>
        <w:t xml:space="preserve">WARPO. </w:t>
      </w:r>
      <w:r w:rsidRPr="00002C47">
        <w:rPr>
          <w:rFonts w:cs="Times New Roman"/>
          <w:i/>
        </w:rPr>
        <w:t>National Water Management Plan, Summary: Volume I</w:t>
      </w:r>
      <w:r w:rsidRPr="00002C47">
        <w:rPr>
          <w:rFonts w:cs="Times New Roman"/>
        </w:rPr>
        <w:t>. Bangladesh: Ministry of Water Resources, Government of People’s Re</w:t>
      </w:r>
      <w:r w:rsidR="000B096E">
        <w:t>public</w:t>
      </w:r>
      <w:r w:rsidRPr="00002C47">
        <w:rPr>
          <w:rFonts w:cs="Times New Roman"/>
        </w:rPr>
        <w:t xml:space="preserve"> of Bangladesh. 2001.</w:t>
      </w:r>
    </w:p>
    <w:p w:rsidR="00465702" w:rsidRPr="00002C47" w:rsidRDefault="00465702" w:rsidP="00AF367B">
      <w:pPr>
        <w:ind w:left="720" w:hanging="720"/>
        <w:mirrorIndents/>
        <w:jc w:val="both"/>
        <w:rPr>
          <w:rFonts w:cs="Times New Roman"/>
        </w:rPr>
      </w:pPr>
      <w:r w:rsidRPr="00002C47">
        <w:rPr>
          <w:rFonts w:cs="Times New Roman"/>
        </w:rPr>
        <w:t>Wins</w:t>
      </w:r>
      <w:r w:rsidR="00FE6385">
        <w:rPr>
          <w:rFonts w:cs="Times New Roman"/>
        </w:rPr>
        <w:t>ton</w:t>
      </w:r>
      <w:r w:rsidRPr="00002C47">
        <w:rPr>
          <w:rFonts w:cs="Times New Roman"/>
        </w:rPr>
        <w:t xml:space="preserve">, H. A. </w:t>
      </w:r>
      <w:r w:rsidRPr="00002C47">
        <w:rPr>
          <w:rFonts w:cs="Times New Roman"/>
          <w:i/>
        </w:rPr>
        <w:t>Climate Change Risks and Food Security in Bangladesh</w:t>
      </w:r>
      <w:r w:rsidRPr="00002C47">
        <w:rPr>
          <w:rFonts w:cs="Times New Roman"/>
        </w:rPr>
        <w:t>. London, United Kingdom: Earthscan</w:t>
      </w:r>
      <w:r w:rsidR="0013313A">
        <w:rPr>
          <w:rFonts w:cs="Times New Roman"/>
        </w:rPr>
        <w:t xml:space="preserve">. </w:t>
      </w:r>
      <w:r w:rsidRPr="00002C47">
        <w:rPr>
          <w:rFonts w:cs="Times New Roman"/>
        </w:rPr>
        <w:t xml:space="preserve"> 2010.</w:t>
      </w:r>
    </w:p>
    <w:p w:rsidR="00465702" w:rsidRPr="00002C47" w:rsidRDefault="00465702" w:rsidP="00AF367B">
      <w:pPr>
        <w:ind w:left="720" w:hanging="720"/>
        <w:mirrorIndents/>
        <w:jc w:val="both"/>
        <w:rPr>
          <w:rFonts w:cs="Times New Roman"/>
        </w:rPr>
      </w:pPr>
      <w:r w:rsidRPr="00002C47">
        <w:rPr>
          <w:rFonts w:cs="Times New Roman"/>
        </w:rPr>
        <w:t xml:space="preserve">World Bank. </w:t>
      </w:r>
      <w:r w:rsidRPr="00002C47">
        <w:rPr>
          <w:rFonts w:cs="Times New Roman"/>
          <w:i/>
        </w:rPr>
        <w:t xml:space="preserve">Bangladesh: Economics of Adaptation to Climate Change. Country Case Studies: EACC </w:t>
      </w:r>
      <w:r w:rsidR="000B096E">
        <w:rPr>
          <w:i/>
        </w:rPr>
        <w:t>P</w:t>
      </w:r>
      <w:r w:rsidR="00F64A6A" w:rsidRPr="00F64A6A">
        <w:rPr>
          <w:i/>
        </w:rPr>
        <w:t>ublic</w:t>
      </w:r>
      <w:r w:rsidRPr="00002C47">
        <w:rPr>
          <w:rFonts w:cs="Times New Roman"/>
          <w:i/>
        </w:rPr>
        <w:t>ations and Reports</w:t>
      </w:r>
      <w:r w:rsidRPr="00002C47">
        <w:rPr>
          <w:rFonts w:cs="Times New Roman"/>
        </w:rPr>
        <w:t>. Washing</w:t>
      </w:r>
      <w:r w:rsidR="00FE6385">
        <w:rPr>
          <w:rFonts w:cs="Times New Roman"/>
        </w:rPr>
        <w:t>ton</w:t>
      </w:r>
      <w:r w:rsidR="000B096E">
        <w:rPr>
          <w:rFonts w:cs="Times New Roman"/>
        </w:rPr>
        <w:t xml:space="preserve"> </w:t>
      </w:r>
      <w:r w:rsidRPr="00002C47">
        <w:rPr>
          <w:rFonts w:cs="Times New Roman"/>
        </w:rPr>
        <w:t>DC: The World Bank Group. 2010.</w:t>
      </w:r>
    </w:p>
    <w:p w:rsidR="00465702" w:rsidRPr="00002C47" w:rsidRDefault="00465702" w:rsidP="00AF367B">
      <w:pPr>
        <w:ind w:left="720" w:hanging="720"/>
        <w:mirrorIndents/>
        <w:jc w:val="both"/>
        <w:rPr>
          <w:rFonts w:cs="Times New Roman"/>
        </w:rPr>
      </w:pPr>
      <w:r w:rsidRPr="00002C47">
        <w:rPr>
          <w:rFonts w:cs="Times New Roman"/>
        </w:rPr>
        <w:t xml:space="preserve">World Bank. </w:t>
      </w:r>
      <w:r w:rsidRPr="00002C47">
        <w:rPr>
          <w:rFonts w:cs="Times New Roman"/>
          <w:i/>
        </w:rPr>
        <w:t>Bangladesh: Economics of Adaptation to Climate Change</w:t>
      </w:r>
      <w:r w:rsidRPr="00002C47">
        <w:rPr>
          <w:rFonts w:cs="Times New Roman"/>
        </w:rPr>
        <w:t>. Washing</w:t>
      </w:r>
      <w:r w:rsidR="00FE6385">
        <w:rPr>
          <w:rFonts w:cs="Times New Roman"/>
        </w:rPr>
        <w:t>tonne</w:t>
      </w:r>
      <w:r w:rsidRPr="00002C47">
        <w:rPr>
          <w:rFonts w:cs="Times New Roman"/>
        </w:rPr>
        <w:t xml:space="preserve"> DC: World Bank Group.2010.</w:t>
      </w:r>
    </w:p>
    <w:p w:rsidR="00465702" w:rsidRPr="00002C47" w:rsidRDefault="00465702" w:rsidP="00AF367B">
      <w:pPr>
        <w:ind w:left="720" w:hanging="720"/>
        <w:mirrorIndents/>
        <w:jc w:val="both"/>
        <w:rPr>
          <w:rFonts w:cs="Times New Roman"/>
        </w:rPr>
      </w:pPr>
      <w:r w:rsidRPr="00002C47">
        <w:rPr>
          <w:rFonts w:cs="Times New Roman"/>
        </w:rPr>
        <w:t xml:space="preserve">World Bank. </w:t>
      </w:r>
      <w:r w:rsidRPr="00002C47">
        <w:rPr>
          <w:rFonts w:cs="Times New Roman"/>
          <w:i/>
        </w:rPr>
        <w:t>Climate-Smart Agriculture: Increased Productivity and Food Security, Enhanced Resilience and Reduced Carbon Emissions for Sustainable Development</w:t>
      </w:r>
      <w:r w:rsidRPr="00002C47">
        <w:rPr>
          <w:rFonts w:cs="Times New Roman"/>
        </w:rPr>
        <w:t>. Washing</w:t>
      </w:r>
      <w:r w:rsidR="00FE6385">
        <w:rPr>
          <w:rFonts w:cs="Times New Roman"/>
        </w:rPr>
        <w:t>ton</w:t>
      </w:r>
      <w:r w:rsidRPr="00002C47">
        <w:rPr>
          <w:rFonts w:cs="Times New Roman"/>
        </w:rPr>
        <w:t xml:space="preserve"> DC: World Bank. 2011.</w:t>
      </w:r>
    </w:p>
    <w:p w:rsidR="00465702" w:rsidRPr="00002C47" w:rsidRDefault="00465702" w:rsidP="00AF367B">
      <w:pPr>
        <w:ind w:left="720" w:hanging="720"/>
        <w:mirrorIndents/>
        <w:jc w:val="both"/>
        <w:rPr>
          <w:rFonts w:cs="Times New Roman"/>
        </w:rPr>
      </w:pPr>
      <w:r w:rsidRPr="00002C47">
        <w:rPr>
          <w:rFonts w:cs="Times New Roman"/>
        </w:rPr>
        <w:t>World Bank. Country wise Indicators. 2015 http://data.worldbank.org/indicator/ER.H2O.INTR.PC.</w:t>
      </w:r>
    </w:p>
    <w:p w:rsidR="00465702" w:rsidRPr="00002C47" w:rsidRDefault="00465702" w:rsidP="00AF367B">
      <w:pPr>
        <w:ind w:left="720" w:hanging="720"/>
        <w:mirrorIndents/>
        <w:jc w:val="both"/>
        <w:rPr>
          <w:rFonts w:cs="Times New Roman"/>
        </w:rPr>
      </w:pPr>
      <w:r w:rsidRPr="00002C47">
        <w:rPr>
          <w:rFonts w:cs="Times New Roman"/>
        </w:rPr>
        <w:t>World Bank. World Development Indicators (WDI). 2015. at: http://data.worldbank.org/news/release-of-world-development-indicators-2015</w:t>
      </w:r>
    </w:p>
    <w:p w:rsidR="0013313A" w:rsidRPr="004B0A08" w:rsidRDefault="0013313A" w:rsidP="0013313A">
      <w:pPr>
        <w:spacing w:before="120" w:after="0" w:line="240" w:lineRule="auto"/>
        <w:jc w:val="both"/>
        <w:rPr>
          <w:rFonts w:cs="Times New Roman"/>
          <w:b/>
          <w:i/>
          <w:szCs w:val="24"/>
        </w:rPr>
      </w:pPr>
      <w:r>
        <w:rPr>
          <w:rFonts w:cs="Times New Roman"/>
        </w:rPr>
        <w:t xml:space="preserve">UNICEF and GED. </w:t>
      </w:r>
      <w:r w:rsidRPr="009060BA">
        <w:rPr>
          <w:rFonts w:cs="Times New Roman"/>
          <w:i/>
          <w:szCs w:val="24"/>
        </w:rPr>
        <w:t>The Multiple Indicator Cluster Sample Report, 2012-13: UNICEF and General Econonomics Division, Planning Commission, Government of Bangladesh. 2014</w:t>
      </w:r>
    </w:p>
    <w:p w:rsidR="0013313A" w:rsidRPr="004B0A08" w:rsidRDefault="0013313A" w:rsidP="004B0A08">
      <w:pPr>
        <w:mirrorIndents/>
        <w:jc w:val="both"/>
        <w:rPr>
          <w:rFonts w:cs="Times New Roman"/>
          <w:sz w:val="32"/>
        </w:rPr>
      </w:pPr>
    </w:p>
    <w:p w:rsidR="00465702" w:rsidRPr="00002C47" w:rsidRDefault="00F64A6A" w:rsidP="00AF367B">
      <w:pPr>
        <w:ind w:left="720" w:hanging="720"/>
        <w:mirrorIndents/>
        <w:jc w:val="both"/>
        <w:rPr>
          <w:rFonts w:cs="Times New Roman"/>
        </w:rPr>
      </w:pPr>
      <w:r w:rsidRPr="00F64A6A">
        <w:rPr>
          <w:rFonts w:cs="Times New Roman"/>
          <w:lang w:val="fr-BE"/>
        </w:rPr>
        <w:t xml:space="preserve">Zakir, H. M. et al. </w:t>
      </w:r>
      <w:r w:rsidR="00465702" w:rsidRPr="00002C47">
        <w:rPr>
          <w:rFonts w:cs="Times New Roman"/>
        </w:rPr>
        <w:t xml:space="preserve">Heavy Metals and Major Ionic Pollution Assessment in Waters of Bangladesh. </w:t>
      </w:r>
      <w:r w:rsidR="00465702" w:rsidRPr="00002C47">
        <w:rPr>
          <w:rFonts w:cs="Times New Roman"/>
          <w:i/>
        </w:rPr>
        <w:t>J. Environ. Sci. &amp; Natural Resources</w:t>
      </w:r>
      <w:r w:rsidR="00465702" w:rsidRPr="00002C47">
        <w:rPr>
          <w:rFonts w:cs="Times New Roman"/>
        </w:rPr>
        <w:t>, (2013).</w:t>
      </w:r>
    </w:p>
    <w:p w:rsidR="00465702" w:rsidRDefault="00465702" w:rsidP="00AF367B">
      <w:pPr>
        <w:ind w:left="720" w:hanging="720"/>
        <w:mirrorIndents/>
        <w:jc w:val="both"/>
        <w:rPr>
          <w:rFonts w:cs="Times New Roman"/>
        </w:rPr>
      </w:pPr>
      <w:r w:rsidRPr="00002C47">
        <w:rPr>
          <w:rFonts w:cs="Times New Roman"/>
        </w:rPr>
        <w:t xml:space="preserve">Zuthi, M., Biswas, M., &amp; Bahar, M. Assessment of Supply Water Quality in The Chittagong City of Bangladesh. </w:t>
      </w:r>
      <w:r w:rsidRPr="00002C47">
        <w:rPr>
          <w:rFonts w:cs="Times New Roman"/>
          <w:i/>
        </w:rPr>
        <w:t>ARPN Journal of Engineering and Applied Sciences</w:t>
      </w:r>
      <w:r w:rsidRPr="00002C47">
        <w:rPr>
          <w:rFonts w:cs="Times New Roman"/>
        </w:rPr>
        <w:t>, 4(3) (2009).</w:t>
      </w:r>
    </w:p>
    <w:p w:rsidR="00021F7B" w:rsidRDefault="00021F7B" w:rsidP="00AF367B">
      <w:pPr>
        <w:ind w:left="720" w:hanging="720"/>
        <w:mirrorIndents/>
        <w:jc w:val="both"/>
        <w:rPr>
          <w:rFonts w:cs="Times New Roman"/>
        </w:rPr>
      </w:pPr>
    </w:p>
    <w:p w:rsidR="00E60F17" w:rsidRDefault="00E60F17">
      <w:pPr>
        <w:rPr>
          <w:rFonts w:cs="Times New Roman"/>
          <w:b/>
          <w:color w:val="1F497D" w:themeColor="text2"/>
          <w:sz w:val="28"/>
          <w:szCs w:val="24"/>
        </w:rPr>
      </w:pPr>
      <w:r>
        <w:rPr>
          <w:rFonts w:cs="Times New Roman"/>
          <w:b/>
          <w:color w:val="1F497D" w:themeColor="text2"/>
          <w:sz w:val="28"/>
          <w:szCs w:val="24"/>
        </w:rPr>
        <w:br w:type="page"/>
      </w:r>
    </w:p>
    <w:p w:rsidR="00021F7B" w:rsidRPr="00546E8F" w:rsidRDefault="00021F7B" w:rsidP="00021F7B">
      <w:pPr>
        <w:pStyle w:val="BodyText"/>
        <w:spacing w:after="240" w:line="276" w:lineRule="auto"/>
        <w:jc w:val="center"/>
        <w:rPr>
          <w:rFonts w:cs="Times New Roman"/>
          <w:b/>
          <w:color w:val="1F497D" w:themeColor="text2"/>
          <w:sz w:val="28"/>
          <w:szCs w:val="24"/>
        </w:rPr>
      </w:pPr>
      <w:r w:rsidRPr="00546E8F">
        <w:rPr>
          <w:rFonts w:cs="Times New Roman"/>
          <w:b/>
          <w:color w:val="1F497D" w:themeColor="text2"/>
          <w:sz w:val="28"/>
          <w:szCs w:val="24"/>
        </w:rPr>
        <w:t>Lis</w:t>
      </w:r>
      <w:r w:rsidR="00D64545" w:rsidRPr="00546E8F">
        <w:rPr>
          <w:rFonts w:cs="Times New Roman"/>
          <w:b/>
          <w:color w:val="1F497D" w:themeColor="text2"/>
          <w:sz w:val="28"/>
          <w:szCs w:val="24"/>
        </w:rPr>
        <w:t>t of Baseline Studies Done for t</w:t>
      </w:r>
      <w:r w:rsidRPr="00546E8F">
        <w:rPr>
          <w:rFonts w:cs="Times New Roman"/>
          <w:b/>
          <w:color w:val="1F497D" w:themeColor="text2"/>
          <w:sz w:val="28"/>
          <w:szCs w:val="24"/>
        </w:rPr>
        <w:t>he Delta Plan</w:t>
      </w:r>
    </w:p>
    <w:tbl>
      <w:tblPr>
        <w:tblStyle w:val="table-style-blauw-070-none"/>
        <w:tblW w:w="4940" w:type="pct"/>
        <w:tblLook w:val="04A0"/>
      </w:tblPr>
      <w:tblGrid>
        <w:gridCol w:w="1090"/>
        <w:gridCol w:w="2174"/>
        <w:gridCol w:w="1024"/>
        <w:gridCol w:w="5173"/>
      </w:tblGrid>
      <w:tr w:rsidR="00021F7B" w:rsidRPr="000870EB" w:rsidTr="000870EB">
        <w:trPr>
          <w:cnfStyle w:val="100000000000"/>
          <w:trHeight w:val="432"/>
        </w:trPr>
        <w:tc>
          <w:tcPr>
            <w:tcW w:w="576" w:type="pct"/>
          </w:tcPr>
          <w:p w:rsidR="00021F7B" w:rsidRPr="000870EB" w:rsidRDefault="00021F7B" w:rsidP="00021F7B">
            <w:pPr>
              <w:spacing w:line="276" w:lineRule="auto"/>
              <w:jc w:val="both"/>
              <w:rPr>
                <w:b w:val="0"/>
                <w:sz w:val="22"/>
                <w:szCs w:val="24"/>
              </w:rPr>
            </w:pPr>
            <w:r w:rsidRPr="000870EB">
              <w:rPr>
                <w:sz w:val="22"/>
                <w:szCs w:val="24"/>
              </w:rPr>
              <w:t>Sl. No.</w:t>
            </w:r>
          </w:p>
        </w:tc>
        <w:tc>
          <w:tcPr>
            <w:tcW w:w="1149" w:type="pct"/>
          </w:tcPr>
          <w:p w:rsidR="00021F7B" w:rsidRPr="000870EB" w:rsidRDefault="00021F7B" w:rsidP="00021F7B">
            <w:pPr>
              <w:spacing w:line="276" w:lineRule="auto"/>
              <w:jc w:val="center"/>
              <w:rPr>
                <w:sz w:val="22"/>
                <w:szCs w:val="24"/>
              </w:rPr>
            </w:pPr>
            <w:r w:rsidRPr="000870EB">
              <w:rPr>
                <w:sz w:val="22"/>
                <w:szCs w:val="24"/>
              </w:rPr>
              <w:t>Cluster</w:t>
            </w:r>
          </w:p>
        </w:tc>
        <w:tc>
          <w:tcPr>
            <w:tcW w:w="541" w:type="pct"/>
          </w:tcPr>
          <w:p w:rsidR="00021F7B" w:rsidRPr="000870EB" w:rsidRDefault="00021F7B" w:rsidP="00021F7B">
            <w:pPr>
              <w:spacing w:line="276" w:lineRule="auto"/>
              <w:jc w:val="both"/>
              <w:rPr>
                <w:sz w:val="22"/>
                <w:szCs w:val="24"/>
              </w:rPr>
            </w:pPr>
            <w:r w:rsidRPr="000870EB">
              <w:rPr>
                <w:sz w:val="22"/>
                <w:szCs w:val="24"/>
              </w:rPr>
              <w:t xml:space="preserve">Sl. No. </w:t>
            </w:r>
          </w:p>
        </w:tc>
        <w:tc>
          <w:tcPr>
            <w:tcW w:w="2734" w:type="pct"/>
          </w:tcPr>
          <w:p w:rsidR="00021F7B" w:rsidRPr="000870EB" w:rsidRDefault="00021F7B" w:rsidP="00021F7B">
            <w:pPr>
              <w:spacing w:line="276" w:lineRule="auto"/>
              <w:jc w:val="center"/>
              <w:rPr>
                <w:b w:val="0"/>
                <w:sz w:val="22"/>
                <w:szCs w:val="24"/>
              </w:rPr>
            </w:pPr>
            <w:r w:rsidRPr="000870EB">
              <w:rPr>
                <w:sz w:val="22"/>
                <w:szCs w:val="24"/>
              </w:rPr>
              <w:t>List of Studies</w:t>
            </w:r>
          </w:p>
        </w:tc>
      </w:tr>
      <w:tr w:rsidR="00021F7B" w:rsidRPr="00021F7B" w:rsidTr="00021F7B">
        <w:trPr>
          <w:cnfStyle w:val="000000100000"/>
          <w:trHeight w:val="216"/>
        </w:trPr>
        <w:tc>
          <w:tcPr>
            <w:tcW w:w="576" w:type="pct"/>
            <w:vMerge w:val="restart"/>
          </w:tcPr>
          <w:p w:rsidR="00021F7B" w:rsidRPr="000870EB" w:rsidRDefault="00021F7B" w:rsidP="00021F7B">
            <w:pPr>
              <w:spacing w:line="276" w:lineRule="auto"/>
              <w:jc w:val="center"/>
              <w:rPr>
                <w:sz w:val="22"/>
              </w:rPr>
            </w:pPr>
            <w:r w:rsidRPr="000870EB">
              <w:rPr>
                <w:sz w:val="22"/>
              </w:rPr>
              <w:t>1</w:t>
            </w:r>
          </w:p>
        </w:tc>
        <w:tc>
          <w:tcPr>
            <w:tcW w:w="1149" w:type="pct"/>
            <w:vMerge w:val="restart"/>
          </w:tcPr>
          <w:p w:rsidR="00021F7B" w:rsidRPr="000870EB" w:rsidRDefault="00021F7B" w:rsidP="00021F7B">
            <w:pPr>
              <w:spacing w:line="276" w:lineRule="auto"/>
              <w:rPr>
                <w:b/>
                <w:sz w:val="22"/>
              </w:rPr>
            </w:pPr>
            <w:r w:rsidRPr="000870EB">
              <w:rPr>
                <w:b/>
                <w:sz w:val="22"/>
              </w:rPr>
              <w:t>Water Resources</w:t>
            </w:r>
          </w:p>
        </w:tc>
        <w:tc>
          <w:tcPr>
            <w:tcW w:w="541" w:type="pct"/>
          </w:tcPr>
          <w:p w:rsidR="00021F7B" w:rsidRPr="000870EB" w:rsidRDefault="00021F7B" w:rsidP="00021F7B">
            <w:pPr>
              <w:spacing w:line="276" w:lineRule="auto"/>
              <w:jc w:val="center"/>
              <w:rPr>
                <w:sz w:val="22"/>
              </w:rPr>
            </w:pPr>
            <w:r w:rsidRPr="000870EB">
              <w:rPr>
                <w:sz w:val="22"/>
              </w:rPr>
              <w:t>1</w:t>
            </w:r>
          </w:p>
        </w:tc>
        <w:tc>
          <w:tcPr>
            <w:tcW w:w="2734" w:type="pct"/>
          </w:tcPr>
          <w:p w:rsidR="00021F7B" w:rsidRPr="000870EB" w:rsidRDefault="00021F7B" w:rsidP="00021F7B">
            <w:pPr>
              <w:spacing w:line="276" w:lineRule="auto"/>
              <w:rPr>
                <w:sz w:val="22"/>
              </w:rPr>
            </w:pPr>
            <w:r w:rsidRPr="000870EB">
              <w:rPr>
                <w:sz w:val="22"/>
              </w:rPr>
              <w:t>Water Resources</w:t>
            </w:r>
          </w:p>
          <w:p w:rsidR="00021F7B" w:rsidRPr="000870EB" w:rsidRDefault="00021F7B" w:rsidP="00021F7B">
            <w:pPr>
              <w:spacing w:line="276" w:lineRule="auto"/>
              <w:rPr>
                <w:sz w:val="22"/>
              </w:rPr>
            </w:pPr>
          </w:p>
        </w:tc>
      </w:tr>
      <w:tr w:rsidR="00021F7B" w:rsidRPr="00021F7B" w:rsidTr="00021F7B">
        <w:trPr>
          <w:cnfStyle w:val="000000010000"/>
          <w:trHeight w:val="159"/>
        </w:trPr>
        <w:tc>
          <w:tcPr>
            <w:tcW w:w="576" w:type="pct"/>
            <w:vMerge/>
          </w:tcPr>
          <w:p w:rsidR="00021F7B" w:rsidRPr="000870EB" w:rsidRDefault="00021F7B" w:rsidP="00021F7B">
            <w:pPr>
              <w:spacing w:line="276" w:lineRule="auto"/>
              <w:jc w:val="center"/>
              <w:rPr>
                <w:sz w:val="22"/>
              </w:rPr>
            </w:pPr>
          </w:p>
        </w:tc>
        <w:tc>
          <w:tcPr>
            <w:tcW w:w="1149" w:type="pct"/>
            <w:vMerge/>
          </w:tcPr>
          <w:p w:rsidR="00021F7B" w:rsidRPr="000870EB" w:rsidRDefault="00021F7B" w:rsidP="00021F7B">
            <w:pPr>
              <w:spacing w:line="276" w:lineRule="auto"/>
              <w:rPr>
                <w:sz w:val="22"/>
              </w:rPr>
            </w:pPr>
          </w:p>
        </w:tc>
        <w:tc>
          <w:tcPr>
            <w:tcW w:w="541" w:type="pct"/>
          </w:tcPr>
          <w:p w:rsidR="00021F7B" w:rsidRPr="000870EB" w:rsidRDefault="00021F7B" w:rsidP="00021F7B">
            <w:pPr>
              <w:spacing w:line="276" w:lineRule="auto"/>
              <w:jc w:val="center"/>
              <w:rPr>
                <w:sz w:val="22"/>
              </w:rPr>
            </w:pPr>
            <w:r w:rsidRPr="000870EB">
              <w:rPr>
                <w:sz w:val="22"/>
              </w:rPr>
              <w:t>2</w:t>
            </w:r>
          </w:p>
        </w:tc>
        <w:tc>
          <w:tcPr>
            <w:tcW w:w="2734" w:type="pct"/>
          </w:tcPr>
          <w:p w:rsidR="00021F7B" w:rsidRPr="000870EB" w:rsidRDefault="00021F7B" w:rsidP="00021F7B">
            <w:pPr>
              <w:spacing w:line="276" w:lineRule="auto"/>
              <w:rPr>
                <w:sz w:val="22"/>
              </w:rPr>
            </w:pPr>
            <w:r w:rsidRPr="000870EB">
              <w:rPr>
                <w:sz w:val="22"/>
              </w:rPr>
              <w:t xml:space="preserve">River Systems Management including morphological dynamics of Bangladesh Delta </w:t>
            </w:r>
          </w:p>
        </w:tc>
      </w:tr>
      <w:tr w:rsidR="00021F7B" w:rsidRPr="00021F7B" w:rsidTr="00021F7B">
        <w:trPr>
          <w:cnfStyle w:val="000000100000"/>
          <w:trHeight w:val="159"/>
        </w:trPr>
        <w:tc>
          <w:tcPr>
            <w:tcW w:w="576" w:type="pct"/>
            <w:vMerge/>
          </w:tcPr>
          <w:p w:rsidR="00021F7B" w:rsidRPr="000870EB" w:rsidRDefault="00021F7B" w:rsidP="00021F7B">
            <w:pPr>
              <w:spacing w:line="276" w:lineRule="auto"/>
              <w:jc w:val="center"/>
              <w:rPr>
                <w:sz w:val="22"/>
              </w:rPr>
            </w:pPr>
          </w:p>
        </w:tc>
        <w:tc>
          <w:tcPr>
            <w:tcW w:w="1149" w:type="pct"/>
            <w:vMerge/>
          </w:tcPr>
          <w:p w:rsidR="00021F7B" w:rsidRPr="000870EB" w:rsidRDefault="00021F7B" w:rsidP="00021F7B">
            <w:pPr>
              <w:spacing w:line="276" w:lineRule="auto"/>
              <w:rPr>
                <w:sz w:val="22"/>
              </w:rPr>
            </w:pPr>
          </w:p>
        </w:tc>
        <w:tc>
          <w:tcPr>
            <w:tcW w:w="541" w:type="pct"/>
          </w:tcPr>
          <w:p w:rsidR="00021F7B" w:rsidRPr="000870EB" w:rsidRDefault="00021F7B" w:rsidP="00021F7B">
            <w:pPr>
              <w:spacing w:line="276" w:lineRule="auto"/>
              <w:jc w:val="center"/>
              <w:rPr>
                <w:sz w:val="22"/>
              </w:rPr>
            </w:pPr>
            <w:r w:rsidRPr="000870EB">
              <w:rPr>
                <w:sz w:val="22"/>
              </w:rPr>
              <w:t>3</w:t>
            </w:r>
          </w:p>
        </w:tc>
        <w:tc>
          <w:tcPr>
            <w:tcW w:w="2734" w:type="pct"/>
          </w:tcPr>
          <w:p w:rsidR="00021F7B" w:rsidRPr="000870EB" w:rsidRDefault="00021F7B" w:rsidP="00021F7B">
            <w:pPr>
              <w:spacing w:line="276" w:lineRule="auto"/>
              <w:rPr>
                <w:sz w:val="22"/>
              </w:rPr>
            </w:pPr>
            <w:r w:rsidRPr="000870EB">
              <w:rPr>
                <w:sz w:val="22"/>
              </w:rPr>
              <w:t>Coast and Polder Issues</w:t>
            </w:r>
          </w:p>
        </w:tc>
      </w:tr>
      <w:tr w:rsidR="00021F7B" w:rsidRPr="00021F7B" w:rsidTr="00021F7B">
        <w:trPr>
          <w:cnfStyle w:val="000000010000"/>
          <w:trHeight w:val="626"/>
        </w:trPr>
        <w:tc>
          <w:tcPr>
            <w:tcW w:w="576" w:type="pct"/>
          </w:tcPr>
          <w:p w:rsidR="00021F7B" w:rsidRPr="000870EB" w:rsidRDefault="00021F7B" w:rsidP="00021F7B">
            <w:pPr>
              <w:spacing w:line="276" w:lineRule="auto"/>
              <w:jc w:val="center"/>
              <w:rPr>
                <w:sz w:val="22"/>
              </w:rPr>
            </w:pPr>
            <w:r w:rsidRPr="000870EB">
              <w:rPr>
                <w:sz w:val="22"/>
              </w:rPr>
              <w:t>2</w:t>
            </w:r>
          </w:p>
        </w:tc>
        <w:tc>
          <w:tcPr>
            <w:tcW w:w="1149" w:type="pct"/>
          </w:tcPr>
          <w:p w:rsidR="00021F7B" w:rsidRPr="000870EB" w:rsidRDefault="00021F7B" w:rsidP="00021F7B">
            <w:pPr>
              <w:spacing w:line="276" w:lineRule="auto"/>
              <w:rPr>
                <w:b/>
                <w:sz w:val="22"/>
              </w:rPr>
            </w:pPr>
            <w:r w:rsidRPr="000870EB">
              <w:rPr>
                <w:b/>
                <w:sz w:val="22"/>
              </w:rPr>
              <w:t xml:space="preserve">Water Supply and Sanitation </w:t>
            </w:r>
          </w:p>
        </w:tc>
        <w:tc>
          <w:tcPr>
            <w:tcW w:w="541" w:type="pct"/>
          </w:tcPr>
          <w:p w:rsidR="00021F7B" w:rsidRPr="000870EB" w:rsidRDefault="00021F7B" w:rsidP="00021F7B">
            <w:pPr>
              <w:spacing w:line="276" w:lineRule="auto"/>
              <w:jc w:val="center"/>
              <w:rPr>
                <w:sz w:val="22"/>
              </w:rPr>
            </w:pPr>
            <w:r w:rsidRPr="000870EB">
              <w:rPr>
                <w:sz w:val="22"/>
              </w:rPr>
              <w:t>4</w:t>
            </w:r>
          </w:p>
        </w:tc>
        <w:tc>
          <w:tcPr>
            <w:tcW w:w="2734" w:type="pct"/>
          </w:tcPr>
          <w:p w:rsidR="00021F7B" w:rsidRPr="000870EB" w:rsidRDefault="00F64A6A" w:rsidP="00021F7B">
            <w:pPr>
              <w:spacing w:line="276" w:lineRule="auto"/>
              <w:rPr>
                <w:sz w:val="22"/>
              </w:rPr>
            </w:pPr>
            <w:r w:rsidRPr="00F64A6A">
              <w:rPr>
                <w:color w:val="auto"/>
                <w:sz w:val="20"/>
                <w:szCs w:val="24"/>
              </w:rPr>
              <w:t>Public</w:t>
            </w:r>
            <w:r w:rsidR="000B096E">
              <w:t xml:space="preserve"> </w:t>
            </w:r>
            <w:r w:rsidR="00021F7B" w:rsidRPr="000870EB">
              <w:rPr>
                <w:sz w:val="22"/>
              </w:rPr>
              <w:t xml:space="preserve">Health, Water Supply and Sanitation </w:t>
            </w:r>
          </w:p>
        </w:tc>
      </w:tr>
      <w:tr w:rsidR="00021F7B" w:rsidRPr="00021F7B" w:rsidTr="00021F7B">
        <w:trPr>
          <w:cnfStyle w:val="000000100000"/>
          <w:trHeight w:val="415"/>
        </w:trPr>
        <w:tc>
          <w:tcPr>
            <w:tcW w:w="576" w:type="pct"/>
            <w:vMerge w:val="restart"/>
          </w:tcPr>
          <w:p w:rsidR="00021F7B" w:rsidRPr="000870EB" w:rsidRDefault="00021F7B" w:rsidP="00021F7B">
            <w:pPr>
              <w:spacing w:line="276" w:lineRule="auto"/>
              <w:jc w:val="center"/>
              <w:rPr>
                <w:sz w:val="22"/>
              </w:rPr>
            </w:pPr>
            <w:r w:rsidRPr="000870EB">
              <w:rPr>
                <w:sz w:val="22"/>
              </w:rPr>
              <w:t>3</w:t>
            </w:r>
          </w:p>
        </w:tc>
        <w:tc>
          <w:tcPr>
            <w:tcW w:w="1149" w:type="pct"/>
            <w:vMerge w:val="restart"/>
          </w:tcPr>
          <w:p w:rsidR="00021F7B" w:rsidRPr="000870EB" w:rsidRDefault="00021F7B" w:rsidP="00021F7B">
            <w:pPr>
              <w:spacing w:line="276" w:lineRule="auto"/>
              <w:rPr>
                <w:b/>
                <w:sz w:val="22"/>
              </w:rPr>
            </w:pPr>
            <w:r w:rsidRPr="000870EB">
              <w:rPr>
                <w:b/>
                <w:sz w:val="22"/>
              </w:rPr>
              <w:t>Disaster Risk Reduction</w:t>
            </w:r>
          </w:p>
        </w:tc>
        <w:tc>
          <w:tcPr>
            <w:tcW w:w="541" w:type="pct"/>
          </w:tcPr>
          <w:p w:rsidR="00021F7B" w:rsidRPr="000870EB" w:rsidRDefault="00021F7B" w:rsidP="00021F7B">
            <w:pPr>
              <w:spacing w:line="276" w:lineRule="auto"/>
              <w:jc w:val="center"/>
              <w:rPr>
                <w:sz w:val="22"/>
              </w:rPr>
            </w:pPr>
            <w:r w:rsidRPr="000870EB">
              <w:rPr>
                <w:sz w:val="22"/>
              </w:rPr>
              <w:t>5</w:t>
            </w:r>
          </w:p>
        </w:tc>
        <w:tc>
          <w:tcPr>
            <w:tcW w:w="2734" w:type="pct"/>
          </w:tcPr>
          <w:p w:rsidR="00021F7B" w:rsidRPr="000870EB" w:rsidRDefault="00021F7B" w:rsidP="00021F7B">
            <w:pPr>
              <w:spacing w:line="276" w:lineRule="auto"/>
              <w:rPr>
                <w:sz w:val="22"/>
              </w:rPr>
            </w:pPr>
            <w:r w:rsidRPr="000870EB">
              <w:rPr>
                <w:sz w:val="22"/>
              </w:rPr>
              <w:t>Disaster Management</w:t>
            </w:r>
          </w:p>
        </w:tc>
      </w:tr>
      <w:tr w:rsidR="00021F7B" w:rsidRPr="00021F7B" w:rsidTr="00021F7B">
        <w:trPr>
          <w:cnfStyle w:val="000000010000"/>
          <w:trHeight w:val="415"/>
        </w:trPr>
        <w:tc>
          <w:tcPr>
            <w:tcW w:w="576" w:type="pct"/>
            <w:vMerge/>
          </w:tcPr>
          <w:p w:rsidR="00021F7B" w:rsidRPr="000870EB" w:rsidRDefault="00021F7B" w:rsidP="00021F7B">
            <w:pPr>
              <w:spacing w:line="276" w:lineRule="auto"/>
              <w:jc w:val="center"/>
              <w:rPr>
                <w:sz w:val="22"/>
              </w:rPr>
            </w:pPr>
          </w:p>
        </w:tc>
        <w:tc>
          <w:tcPr>
            <w:tcW w:w="1149" w:type="pct"/>
            <w:vMerge/>
          </w:tcPr>
          <w:p w:rsidR="00021F7B" w:rsidRPr="000870EB" w:rsidRDefault="00021F7B" w:rsidP="00021F7B">
            <w:pPr>
              <w:spacing w:line="276" w:lineRule="auto"/>
              <w:rPr>
                <w:sz w:val="22"/>
              </w:rPr>
            </w:pPr>
          </w:p>
        </w:tc>
        <w:tc>
          <w:tcPr>
            <w:tcW w:w="541" w:type="pct"/>
          </w:tcPr>
          <w:p w:rsidR="00021F7B" w:rsidRPr="000870EB" w:rsidRDefault="00021F7B" w:rsidP="00021F7B">
            <w:pPr>
              <w:spacing w:line="276" w:lineRule="auto"/>
              <w:jc w:val="center"/>
              <w:rPr>
                <w:sz w:val="22"/>
              </w:rPr>
            </w:pPr>
            <w:r w:rsidRPr="000870EB">
              <w:rPr>
                <w:sz w:val="22"/>
              </w:rPr>
              <w:t>6</w:t>
            </w:r>
          </w:p>
        </w:tc>
        <w:tc>
          <w:tcPr>
            <w:tcW w:w="2734" w:type="pct"/>
          </w:tcPr>
          <w:p w:rsidR="00021F7B" w:rsidRPr="000870EB" w:rsidRDefault="00021F7B" w:rsidP="00021F7B">
            <w:pPr>
              <w:spacing w:line="276" w:lineRule="auto"/>
              <w:rPr>
                <w:sz w:val="22"/>
              </w:rPr>
            </w:pPr>
            <w:r w:rsidRPr="000870EB">
              <w:rPr>
                <w:sz w:val="22"/>
              </w:rPr>
              <w:t xml:space="preserve">Climate Change </w:t>
            </w:r>
          </w:p>
        </w:tc>
      </w:tr>
      <w:tr w:rsidR="00021F7B" w:rsidRPr="00021F7B" w:rsidTr="00021F7B">
        <w:trPr>
          <w:cnfStyle w:val="000000100000"/>
          <w:trHeight w:val="296"/>
        </w:trPr>
        <w:tc>
          <w:tcPr>
            <w:tcW w:w="576" w:type="pct"/>
            <w:vMerge w:val="restart"/>
          </w:tcPr>
          <w:p w:rsidR="00021F7B" w:rsidRPr="000870EB" w:rsidRDefault="00021F7B" w:rsidP="00021F7B">
            <w:pPr>
              <w:spacing w:line="276" w:lineRule="auto"/>
              <w:jc w:val="center"/>
              <w:rPr>
                <w:sz w:val="22"/>
              </w:rPr>
            </w:pPr>
            <w:r w:rsidRPr="000870EB">
              <w:rPr>
                <w:sz w:val="22"/>
              </w:rPr>
              <w:t>4</w:t>
            </w:r>
          </w:p>
        </w:tc>
        <w:tc>
          <w:tcPr>
            <w:tcW w:w="1149" w:type="pct"/>
            <w:vMerge w:val="restart"/>
          </w:tcPr>
          <w:p w:rsidR="00021F7B" w:rsidRPr="000870EB" w:rsidRDefault="00021F7B" w:rsidP="00021F7B">
            <w:pPr>
              <w:spacing w:line="276" w:lineRule="auto"/>
              <w:rPr>
                <w:b/>
                <w:sz w:val="22"/>
              </w:rPr>
            </w:pPr>
            <w:r w:rsidRPr="000870EB">
              <w:rPr>
                <w:b/>
                <w:sz w:val="22"/>
              </w:rPr>
              <w:t xml:space="preserve">Spatial Planning and Land use </w:t>
            </w:r>
          </w:p>
        </w:tc>
        <w:tc>
          <w:tcPr>
            <w:tcW w:w="541" w:type="pct"/>
          </w:tcPr>
          <w:p w:rsidR="00021F7B" w:rsidRPr="000870EB" w:rsidRDefault="00021F7B" w:rsidP="00021F7B">
            <w:pPr>
              <w:spacing w:line="276" w:lineRule="auto"/>
              <w:jc w:val="center"/>
              <w:rPr>
                <w:sz w:val="22"/>
              </w:rPr>
            </w:pPr>
            <w:r w:rsidRPr="000870EB">
              <w:rPr>
                <w:sz w:val="22"/>
              </w:rPr>
              <w:t>7</w:t>
            </w:r>
          </w:p>
        </w:tc>
        <w:tc>
          <w:tcPr>
            <w:tcW w:w="2734" w:type="pct"/>
          </w:tcPr>
          <w:p w:rsidR="00021F7B" w:rsidRPr="000870EB" w:rsidRDefault="00021F7B" w:rsidP="00021F7B">
            <w:pPr>
              <w:spacing w:line="276" w:lineRule="auto"/>
              <w:rPr>
                <w:sz w:val="22"/>
              </w:rPr>
            </w:pPr>
            <w:r w:rsidRPr="000870EB">
              <w:rPr>
                <w:sz w:val="22"/>
              </w:rPr>
              <w:t xml:space="preserve">Land Resource Management </w:t>
            </w:r>
          </w:p>
        </w:tc>
      </w:tr>
      <w:tr w:rsidR="00021F7B" w:rsidRPr="00021F7B" w:rsidTr="00021F7B">
        <w:trPr>
          <w:cnfStyle w:val="000000010000"/>
          <w:trHeight w:val="159"/>
        </w:trPr>
        <w:tc>
          <w:tcPr>
            <w:tcW w:w="576" w:type="pct"/>
            <w:vMerge/>
          </w:tcPr>
          <w:p w:rsidR="00021F7B" w:rsidRPr="000870EB" w:rsidRDefault="00021F7B" w:rsidP="00021F7B">
            <w:pPr>
              <w:spacing w:line="276" w:lineRule="auto"/>
              <w:jc w:val="center"/>
              <w:rPr>
                <w:sz w:val="22"/>
              </w:rPr>
            </w:pPr>
          </w:p>
        </w:tc>
        <w:tc>
          <w:tcPr>
            <w:tcW w:w="1149" w:type="pct"/>
            <w:vMerge/>
          </w:tcPr>
          <w:p w:rsidR="00021F7B" w:rsidRPr="000870EB" w:rsidRDefault="00021F7B" w:rsidP="00021F7B">
            <w:pPr>
              <w:spacing w:line="276" w:lineRule="auto"/>
              <w:rPr>
                <w:sz w:val="22"/>
              </w:rPr>
            </w:pPr>
          </w:p>
        </w:tc>
        <w:tc>
          <w:tcPr>
            <w:tcW w:w="541" w:type="pct"/>
          </w:tcPr>
          <w:p w:rsidR="00021F7B" w:rsidRPr="000870EB" w:rsidRDefault="00021F7B" w:rsidP="00021F7B">
            <w:pPr>
              <w:spacing w:line="276" w:lineRule="auto"/>
              <w:jc w:val="center"/>
              <w:rPr>
                <w:sz w:val="22"/>
              </w:rPr>
            </w:pPr>
            <w:r w:rsidRPr="000870EB">
              <w:rPr>
                <w:sz w:val="22"/>
              </w:rPr>
              <w:t>8</w:t>
            </w:r>
          </w:p>
        </w:tc>
        <w:tc>
          <w:tcPr>
            <w:tcW w:w="2734" w:type="pct"/>
          </w:tcPr>
          <w:p w:rsidR="00021F7B" w:rsidRPr="000870EB" w:rsidRDefault="00021F7B" w:rsidP="00021F7B">
            <w:pPr>
              <w:spacing w:line="276" w:lineRule="auto"/>
              <w:rPr>
                <w:sz w:val="22"/>
              </w:rPr>
            </w:pPr>
            <w:r w:rsidRPr="000870EB">
              <w:rPr>
                <w:sz w:val="22"/>
              </w:rPr>
              <w:t xml:space="preserve"> Urbanization and Settlement</w:t>
            </w:r>
          </w:p>
        </w:tc>
      </w:tr>
      <w:tr w:rsidR="00021F7B" w:rsidRPr="00021F7B" w:rsidTr="00021F7B">
        <w:trPr>
          <w:cnfStyle w:val="000000100000"/>
          <w:trHeight w:val="314"/>
        </w:trPr>
        <w:tc>
          <w:tcPr>
            <w:tcW w:w="576" w:type="pct"/>
            <w:vMerge w:val="restart"/>
          </w:tcPr>
          <w:p w:rsidR="00021F7B" w:rsidRPr="000870EB" w:rsidRDefault="00021F7B" w:rsidP="00021F7B">
            <w:pPr>
              <w:spacing w:line="276" w:lineRule="auto"/>
              <w:jc w:val="center"/>
              <w:rPr>
                <w:sz w:val="22"/>
              </w:rPr>
            </w:pPr>
            <w:r w:rsidRPr="000870EB">
              <w:rPr>
                <w:sz w:val="22"/>
              </w:rPr>
              <w:t>5</w:t>
            </w:r>
          </w:p>
        </w:tc>
        <w:tc>
          <w:tcPr>
            <w:tcW w:w="1149" w:type="pct"/>
            <w:vMerge w:val="restart"/>
          </w:tcPr>
          <w:p w:rsidR="00021F7B" w:rsidRPr="000870EB" w:rsidRDefault="00021F7B" w:rsidP="00021F7B">
            <w:pPr>
              <w:spacing w:line="276" w:lineRule="auto"/>
              <w:rPr>
                <w:b/>
                <w:sz w:val="22"/>
              </w:rPr>
            </w:pPr>
            <w:r w:rsidRPr="000870EB">
              <w:rPr>
                <w:b/>
                <w:sz w:val="22"/>
              </w:rPr>
              <w:t>Food Security</w:t>
            </w:r>
          </w:p>
        </w:tc>
        <w:tc>
          <w:tcPr>
            <w:tcW w:w="541" w:type="pct"/>
          </w:tcPr>
          <w:p w:rsidR="00021F7B" w:rsidRPr="000870EB" w:rsidRDefault="00021F7B" w:rsidP="00021F7B">
            <w:pPr>
              <w:spacing w:line="276" w:lineRule="auto"/>
              <w:jc w:val="center"/>
              <w:rPr>
                <w:sz w:val="22"/>
              </w:rPr>
            </w:pPr>
            <w:r w:rsidRPr="000870EB">
              <w:rPr>
                <w:sz w:val="22"/>
              </w:rPr>
              <w:t>9</w:t>
            </w:r>
          </w:p>
        </w:tc>
        <w:tc>
          <w:tcPr>
            <w:tcW w:w="2734" w:type="pct"/>
          </w:tcPr>
          <w:p w:rsidR="00021F7B" w:rsidRPr="000870EB" w:rsidRDefault="00021F7B" w:rsidP="00021F7B">
            <w:pPr>
              <w:spacing w:line="276" w:lineRule="auto"/>
              <w:rPr>
                <w:sz w:val="22"/>
              </w:rPr>
            </w:pPr>
            <w:r w:rsidRPr="000870EB">
              <w:rPr>
                <w:sz w:val="22"/>
              </w:rPr>
              <w:t>Agriculture and Food Security</w:t>
            </w:r>
          </w:p>
        </w:tc>
      </w:tr>
      <w:tr w:rsidR="00021F7B" w:rsidRPr="00021F7B" w:rsidTr="00021F7B">
        <w:trPr>
          <w:cnfStyle w:val="000000010000"/>
          <w:trHeight w:val="159"/>
        </w:trPr>
        <w:tc>
          <w:tcPr>
            <w:tcW w:w="576" w:type="pct"/>
            <w:vMerge/>
          </w:tcPr>
          <w:p w:rsidR="00021F7B" w:rsidRPr="000870EB" w:rsidRDefault="00021F7B" w:rsidP="00021F7B">
            <w:pPr>
              <w:spacing w:line="276" w:lineRule="auto"/>
              <w:jc w:val="center"/>
              <w:rPr>
                <w:sz w:val="22"/>
              </w:rPr>
            </w:pPr>
          </w:p>
        </w:tc>
        <w:tc>
          <w:tcPr>
            <w:tcW w:w="1149" w:type="pct"/>
            <w:vMerge/>
          </w:tcPr>
          <w:p w:rsidR="00021F7B" w:rsidRPr="000870EB" w:rsidRDefault="00021F7B" w:rsidP="00021F7B">
            <w:pPr>
              <w:spacing w:line="276" w:lineRule="auto"/>
              <w:rPr>
                <w:sz w:val="22"/>
              </w:rPr>
            </w:pPr>
          </w:p>
        </w:tc>
        <w:tc>
          <w:tcPr>
            <w:tcW w:w="541" w:type="pct"/>
          </w:tcPr>
          <w:p w:rsidR="00021F7B" w:rsidRPr="000870EB" w:rsidRDefault="00021F7B" w:rsidP="00021F7B">
            <w:pPr>
              <w:spacing w:line="276" w:lineRule="auto"/>
              <w:jc w:val="center"/>
              <w:rPr>
                <w:sz w:val="22"/>
              </w:rPr>
            </w:pPr>
            <w:r w:rsidRPr="000870EB">
              <w:rPr>
                <w:sz w:val="22"/>
              </w:rPr>
              <w:t>10</w:t>
            </w:r>
          </w:p>
        </w:tc>
        <w:tc>
          <w:tcPr>
            <w:tcW w:w="2734" w:type="pct"/>
          </w:tcPr>
          <w:p w:rsidR="00021F7B" w:rsidRPr="000870EB" w:rsidRDefault="00021F7B" w:rsidP="00021F7B">
            <w:pPr>
              <w:spacing w:line="276" w:lineRule="auto"/>
              <w:rPr>
                <w:sz w:val="22"/>
              </w:rPr>
            </w:pPr>
            <w:r w:rsidRPr="000870EB">
              <w:rPr>
                <w:sz w:val="22"/>
              </w:rPr>
              <w:t xml:space="preserve">Fisheries and Livestock </w:t>
            </w:r>
          </w:p>
        </w:tc>
      </w:tr>
      <w:tr w:rsidR="00021F7B" w:rsidRPr="00021F7B" w:rsidTr="00021F7B">
        <w:trPr>
          <w:cnfStyle w:val="000000100000"/>
          <w:trHeight w:val="314"/>
        </w:trPr>
        <w:tc>
          <w:tcPr>
            <w:tcW w:w="576" w:type="pct"/>
            <w:vMerge w:val="restart"/>
          </w:tcPr>
          <w:p w:rsidR="00021F7B" w:rsidRPr="000870EB" w:rsidRDefault="00021F7B" w:rsidP="00021F7B">
            <w:pPr>
              <w:spacing w:line="276" w:lineRule="auto"/>
              <w:jc w:val="center"/>
              <w:rPr>
                <w:sz w:val="22"/>
              </w:rPr>
            </w:pPr>
            <w:r w:rsidRPr="000870EB">
              <w:rPr>
                <w:sz w:val="22"/>
              </w:rPr>
              <w:t>6</w:t>
            </w:r>
          </w:p>
        </w:tc>
        <w:tc>
          <w:tcPr>
            <w:tcW w:w="1149" w:type="pct"/>
            <w:vMerge w:val="restart"/>
          </w:tcPr>
          <w:p w:rsidR="00021F7B" w:rsidRPr="000870EB" w:rsidRDefault="00021F7B" w:rsidP="00021F7B">
            <w:pPr>
              <w:spacing w:line="276" w:lineRule="auto"/>
              <w:rPr>
                <w:b/>
                <w:sz w:val="22"/>
              </w:rPr>
            </w:pPr>
            <w:r w:rsidRPr="000870EB">
              <w:rPr>
                <w:b/>
                <w:sz w:val="22"/>
              </w:rPr>
              <w:t>Environmental Management</w:t>
            </w:r>
          </w:p>
        </w:tc>
        <w:tc>
          <w:tcPr>
            <w:tcW w:w="541" w:type="pct"/>
          </w:tcPr>
          <w:p w:rsidR="00021F7B" w:rsidRPr="000870EB" w:rsidRDefault="00021F7B" w:rsidP="00021F7B">
            <w:pPr>
              <w:spacing w:line="276" w:lineRule="auto"/>
              <w:jc w:val="center"/>
              <w:rPr>
                <w:sz w:val="22"/>
              </w:rPr>
            </w:pPr>
            <w:r w:rsidRPr="000870EB">
              <w:rPr>
                <w:sz w:val="22"/>
              </w:rPr>
              <w:t>11</w:t>
            </w:r>
          </w:p>
        </w:tc>
        <w:tc>
          <w:tcPr>
            <w:tcW w:w="2734" w:type="pct"/>
          </w:tcPr>
          <w:p w:rsidR="00021F7B" w:rsidRPr="000870EB" w:rsidRDefault="00021F7B" w:rsidP="00021F7B">
            <w:pPr>
              <w:spacing w:line="276" w:lineRule="auto"/>
              <w:rPr>
                <w:sz w:val="22"/>
              </w:rPr>
            </w:pPr>
            <w:r w:rsidRPr="000870EB">
              <w:rPr>
                <w:sz w:val="22"/>
              </w:rPr>
              <w:t xml:space="preserve">Ecological Settings </w:t>
            </w:r>
          </w:p>
        </w:tc>
      </w:tr>
      <w:tr w:rsidR="00021F7B" w:rsidRPr="00021F7B" w:rsidTr="00021F7B">
        <w:trPr>
          <w:cnfStyle w:val="000000010000"/>
          <w:trHeight w:val="159"/>
        </w:trPr>
        <w:tc>
          <w:tcPr>
            <w:tcW w:w="576" w:type="pct"/>
            <w:vMerge/>
          </w:tcPr>
          <w:p w:rsidR="00021F7B" w:rsidRPr="000870EB" w:rsidRDefault="00021F7B" w:rsidP="00021F7B">
            <w:pPr>
              <w:spacing w:line="276" w:lineRule="auto"/>
              <w:jc w:val="center"/>
              <w:rPr>
                <w:sz w:val="22"/>
              </w:rPr>
            </w:pPr>
          </w:p>
        </w:tc>
        <w:tc>
          <w:tcPr>
            <w:tcW w:w="1149" w:type="pct"/>
            <w:vMerge/>
          </w:tcPr>
          <w:p w:rsidR="00021F7B" w:rsidRPr="000870EB" w:rsidRDefault="00021F7B" w:rsidP="00021F7B">
            <w:pPr>
              <w:spacing w:line="276" w:lineRule="auto"/>
              <w:rPr>
                <w:sz w:val="22"/>
              </w:rPr>
            </w:pPr>
          </w:p>
        </w:tc>
        <w:tc>
          <w:tcPr>
            <w:tcW w:w="541" w:type="pct"/>
          </w:tcPr>
          <w:p w:rsidR="00021F7B" w:rsidRPr="000870EB" w:rsidRDefault="00021F7B" w:rsidP="00021F7B">
            <w:pPr>
              <w:spacing w:line="276" w:lineRule="auto"/>
              <w:jc w:val="center"/>
              <w:rPr>
                <w:sz w:val="22"/>
              </w:rPr>
            </w:pPr>
            <w:r w:rsidRPr="000870EB">
              <w:rPr>
                <w:sz w:val="22"/>
              </w:rPr>
              <w:t>12</w:t>
            </w:r>
          </w:p>
        </w:tc>
        <w:tc>
          <w:tcPr>
            <w:tcW w:w="2734" w:type="pct"/>
          </w:tcPr>
          <w:p w:rsidR="00021F7B" w:rsidRPr="000870EB" w:rsidRDefault="00021F7B" w:rsidP="00021F7B">
            <w:pPr>
              <w:spacing w:line="276" w:lineRule="auto"/>
              <w:rPr>
                <w:sz w:val="22"/>
              </w:rPr>
            </w:pPr>
            <w:r w:rsidRPr="000870EB">
              <w:rPr>
                <w:sz w:val="22"/>
              </w:rPr>
              <w:t xml:space="preserve">Forest and Biodiversity </w:t>
            </w:r>
          </w:p>
        </w:tc>
      </w:tr>
      <w:tr w:rsidR="00021F7B" w:rsidRPr="00021F7B" w:rsidTr="00021F7B">
        <w:trPr>
          <w:cnfStyle w:val="000000100000"/>
          <w:trHeight w:val="159"/>
        </w:trPr>
        <w:tc>
          <w:tcPr>
            <w:tcW w:w="576" w:type="pct"/>
            <w:vMerge/>
          </w:tcPr>
          <w:p w:rsidR="00021F7B" w:rsidRPr="000870EB" w:rsidRDefault="00021F7B" w:rsidP="00021F7B">
            <w:pPr>
              <w:spacing w:line="276" w:lineRule="auto"/>
              <w:jc w:val="center"/>
              <w:rPr>
                <w:sz w:val="22"/>
              </w:rPr>
            </w:pPr>
          </w:p>
        </w:tc>
        <w:tc>
          <w:tcPr>
            <w:tcW w:w="1149" w:type="pct"/>
            <w:vMerge/>
          </w:tcPr>
          <w:p w:rsidR="00021F7B" w:rsidRPr="000870EB" w:rsidRDefault="00021F7B" w:rsidP="00021F7B">
            <w:pPr>
              <w:spacing w:line="276" w:lineRule="auto"/>
              <w:rPr>
                <w:sz w:val="22"/>
              </w:rPr>
            </w:pPr>
          </w:p>
        </w:tc>
        <w:tc>
          <w:tcPr>
            <w:tcW w:w="541" w:type="pct"/>
          </w:tcPr>
          <w:p w:rsidR="00021F7B" w:rsidRPr="000870EB" w:rsidRDefault="00021F7B" w:rsidP="00021F7B">
            <w:pPr>
              <w:spacing w:line="276" w:lineRule="auto"/>
              <w:jc w:val="center"/>
              <w:rPr>
                <w:sz w:val="22"/>
              </w:rPr>
            </w:pPr>
            <w:r w:rsidRPr="000870EB">
              <w:rPr>
                <w:sz w:val="22"/>
              </w:rPr>
              <w:t>13</w:t>
            </w:r>
          </w:p>
        </w:tc>
        <w:tc>
          <w:tcPr>
            <w:tcW w:w="2734" w:type="pct"/>
          </w:tcPr>
          <w:p w:rsidR="00021F7B" w:rsidRPr="000870EB" w:rsidRDefault="00021F7B" w:rsidP="00021F7B">
            <w:pPr>
              <w:spacing w:line="276" w:lineRule="auto"/>
              <w:rPr>
                <w:sz w:val="22"/>
              </w:rPr>
            </w:pPr>
            <w:r w:rsidRPr="000870EB">
              <w:rPr>
                <w:sz w:val="22"/>
              </w:rPr>
              <w:t>Environmental Pollution</w:t>
            </w:r>
          </w:p>
        </w:tc>
      </w:tr>
      <w:tr w:rsidR="00021F7B" w:rsidRPr="00021F7B" w:rsidTr="00021F7B">
        <w:trPr>
          <w:cnfStyle w:val="000000010000"/>
          <w:trHeight w:val="314"/>
        </w:trPr>
        <w:tc>
          <w:tcPr>
            <w:tcW w:w="576" w:type="pct"/>
            <w:vMerge w:val="restart"/>
          </w:tcPr>
          <w:p w:rsidR="00021F7B" w:rsidRPr="000870EB" w:rsidRDefault="00021F7B" w:rsidP="00021F7B">
            <w:pPr>
              <w:spacing w:line="276" w:lineRule="auto"/>
              <w:jc w:val="center"/>
              <w:rPr>
                <w:sz w:val="22"/>
              </w:rPr>
            </w:pPr>
            <w:r w:rsidRPr="000870EB">
              <w:rPr>
                <w:sz w:val="22"/>
              </w:rPr>
              <w:t>7</w:t>
            </w:r>
          </w:p>
        </w:tc>
        <w:tc>
          <w:tcPr>
            <w:tcW w:w="1149" w:type="pct"/>
            <w:vMerge w:val="restart"/>
          </w:tcPr>
          <w:p w:rsidR="00021F7B" w:rsidRPr="000870EB" w:rsidRDefault="00021F7B" w:rsidP="00021F7B">
            <w:pPr>
              <w:spacing w:line="276" w:lineRule="auto"/>
              <w:rPr>
                <w:b/>
                <w:sz w:val="22"/>
              </w:rPr>
            </w:pPr>
            <w:r w:rsidRPr="000870EB">
              <w:rPr>
                <w:b/>
                <w:sz w:val="22"/>
              </w:rPr>
              <w:t>Economics and Finance</w:t>
            </w:r>
          </w:p>
        </w:tc>
        <w:tc>
          <w:tcPr>
            <w:tcW w:w="541" w:type="pct"/>
          </w:tcPr>
          <w:p w:rsidR="00021F7B" w:rsidRPr="000870EB" w:rsidRDefault="00021F7B" w:rsidP="00021F7B">
            <w:pPr>
              <w:spacing w:line="276" w:lineRule="auto"/>
              <w:jc w:val="center"/>
              <w:rPr>
                <w:sz w:val="22"/>
              </w:rPr>
            </w:pPr>
            <w:r w:rsidRPr="000870EB">
              <w:rPr>
                <w:sz w:val="22"/>
              </w:rPr>
              <w:t>14</w:t>
            </w:r>
          </w:p>
        </w:tc>
        <w:tc>
          <w:tcPr>
            <w:tcW w:w="2734" w:type="pct"/>
          </w:tcPr>
          <w:p w:rsidR="00021F7B" w:rsidRPr="000870EB" w:rsidRDefault="00021F7B" w:rsidP="00021F7B">
            <w:pPr>
              <w:spacing w:line="276" w:lineRule="auto"/>
              <w:rPr>
                <w:sz w:val="22"/>
              </w:rPr>
            </w:pPr>
            <w:r w:rsidRPr="000870EB">
              <w:rPr>
                <w:sz w:val="22"/>
              </w:rPr>
              <w:t>Growth of Population and Management</w:t>
            </w:r>
          </w:p>
        </w:tc>
      </w:tr>
      <w:tr w:rsidR="00021F7B" w:rsidRPr="00021F7B" w:rsidTr="00021F7B">
        <w:trPr>
          <w:cnfStyle w:val="000000100000"/>
          <w:trHeight w:val="159"/>
        </w:trPr>
        <w:tc>
          <w:tcPr>
            <w:tcW w:w="576" w:type="pct"/>
            <w:vMerge/>
          </w:tcPr>
          <w:p w:rsidR="00021F7B" w:rsidRPr="000870EB" w:rsidRDefault="00021F7B" w:rsidP="00021F7B">
            <w:pPr>
              <w:spacing w:line="276" w:lineRule="auto"/>
              <w:jc w:val="center"/>
              <w:rPr>
                <w:sz w:val="22"/>
              </w:rPr>
            </w:pPr>
          </w:p>
        </w:tc>
        <w:tc>
          <w:tcPr>
            <w:tcW w:w="1149" w:type="pct"/>
            <w:vMerge/>
          </w:tcPr>
          <w:p w:rsidR="00021F7B" w:rsidRPr="000870EB" w:rsidRDefault="00021F7B" w:rsidP="00021F7B">
            <w:pPr>
              <w:spacing w:line="276" w:lineRule="auto"/>
              <w:rPr>
                <w:sz w:val="22"/>
              </w:rPr>
            </w:pPr>
          </w:p>
        </w:tc>
        <w:tc>
          <w:tcPr>
            <w:tcW w:w="541" w:type="pct"/>
          </w:tcPr>
          <w:p w:rsidR="00021F7B" w:rsidRPr="000870EB" w:rsidRDefault="00021F7B" w:rsidP="00021F7B">
            <w:pPr>
              <w:spacing w:line="276" w:lineRule="auto"/>
              <w:jc w:val="center"/>
              <w:rPr>
                <w:sz w:val="22"/>
              </w:rPr>
            </w:pPr>
            <w:r w:rsidRPr="000870EB">
              <w:rPr>
                <w:sz w:val="22"/>
              </w:rPr>
              <w:t>15</w:t>
            </w:r>
          </w:p>
        </w:tc>
        <w:tc>
          <w:tcPr>
            <w:tcW w:w="2734" w:type="pct"/>
          </w:tcPr>
          <w:p w:rsidR="00021F7B" w:rsidRPr="000870EB" w:rsidRDefault="00021F7B" w:rsidP="00021F7B">
            <w:pPr>
              <w:spacing w:line="276" w:lineRule="auto"/>
              <w:rPr>
                <w:sz w:val="22"/>
              </w:rPr>
            </w:pPr>
            <w:r w:rsidRPr="000870EB">
              <w:rPr>
                <w:sz w:val="22"/>
              </w:rPr>
              <w:t>Socio-Economic and Demographic Condition</w:t>
            </w:r>
          </w:p>
        </w:tc>
      </w:tr>
      <w:tr w:rsidR="00021F7B" w:rsidRPr="00021F7B" w:rsidTr="00021F7B">
        <w:trPr>
          <w:cnfStyle w:val="000000010000"/>
          <w:trHeight w:val="159"/>
        </w:trPr>
        <w:tc>
          <w:tcPr>
            <w:tcW w:w="576" w:type="pct"/>
            <w:vMerge/>
          </w:tcPr>
          <w:p w:rsidR="00021F7B" w:rsidRPr="000870EB" w:rsidRDefault="00021F7B" w:rsidP="00021F7B">
            <w:pPr>
              <w:spacing w:line="276" w:lineRule="auto"/>
              <w:jc w:val="center"/>
              <w:rPr>
                <w:sz w:val="22"/>
              </w:rPr>
            </w:pPr>
          </w:p>
        </w:tc>
        <w:tc>
          <w:tcPr>
            <w:tcW w:w="1149" w:type="pct"/>
            <w:vMerge/>
          </w:tcPr>
          <w:p w:rsidR="00021F7B" w:rsidRPr="000870EB" w:rsidRDefault="00021F7B" w:rsidP="00021F7B">
            <w:pPr>
              <w:spacing w:line="276" w:lineRule="auto"/>
              <w:rPr>
                <w:sz w:val="22"/>
              </w:rPr>
            </w:pPr>
          </w:p>
        </w:tc>
        <w:tc>
          <w:tcPr>
            <w:tcW w:w="541" w:type="pct"/>
          </w:tcPr>
          <w:p w:rsidR="00021F7B" w:rsidRPr="000870EB" w:rsidRDefault="00021F7B" w:rsidP="00021F7B">
            <w:pPr>
              <w:spacing w:line="276" w:lineRule="auto"/>
              <w:jc w:val="center"/>
              <w:rPr>
                <w:sz w:val="22"/>
              </w:rPr>
            </w:pPr>
            <w:r w:rsidRPr="000870EB">
              <w:rPr>
                <w:sz w:val="22"/>
              </w:rPr>
              <w:t>16</w:t>
            </w:r>
          </w:p>
        </w:tc>
        <w:tc>
          <w:tcPr>
            <w:tcW w:w="2734" w:type="pct"/>
          </w:tcPr>
          <w:p w:rsidR="00021F7B" w:rsidRPr="000870EB" w:rsidRDefault="00021F7B" w:rsidP="00021F7B">
            <w:pPr>
              <w:spacing w:line="276" w:lineRule="auto"/>
              <w:rPr>
                <w:sz w:val="22"/>
              </w:rPr>
            </w:pPr>
            <w:r w:rsidRPr="000870EB">
              <w:rPr>
                <w:sz w:val="22"/>
              </w:rPr>
              <w:t>Sustainable Transportation and Infrastructure</w:t>
            </w:r>
          </w:p>
        </w:tc>
      </w:tr>
      <w:tr w:rsidR="00021F7B" w:rsidRPr="00021F7B" w:rsidTr="00021F7B">
        <w:trPr>
          <w:cnfStyle w:val="000000100000"/>
          <w:trHeight w:val="314"/>
        </w:trPr>
        <w:tc>
          <w:tcPr>
            <w:tcW w:w="576" w:type="pct"/>
            <w:vMerge w:val="restart"/>
          </w:tcPr>
          <w:p w:rsidR="00021F7B" w:rsidRPr="000870EB" w:rsidRDefault="00021F7B" w:rsidP="00021F7B">
            <w:pPr>
              <w:spacing w:line="276" w:lineRule="auto"/>
              <w:jc w:val="center"/>
              <w:rPr>
                <w:sz w:val="22"/>
              </w:rPr>
            </w:pPr>
            <w:r w:rsidRPr="000870EB">
              <w:rPr>
                <w:sz w:val="22"/>
              </w:rPr>
              <w:t>8</w:t>
            </w:r>
          </w:p>
        </w:tc>
        <w:tc>
          <w:tcPr>
            <w:tcW w:w="1149" w:type="pct"/>
            <w:vMerge w:val="restart"/>
          </w:tcPr>
          <w:p w:rsidR="00021F7B" w:rsidRPr="000870EB" w:rsidRDefault="00021F7B" w:rsidP="00021F7B">
            <w:pPr>
              <w:spacing w:line="276" w:lineRule="auto"/>
              <w:rPr>
                <w:b/>
                <w:sz w:val="22"/>
              </w:rPr>
            </w:pPr>
            <w:r w:rsidRPr="000870EB">
              <w:rPr>
                <w:b/>
                <w:sz w:val="22"/>
              </w:rPr>
              <w:t>Governance</w:t>
            </w:r>
          </w:p>
        </w:tc>
        <w:tc>
          <w:tcPr>
            <w:tcW w:w="541" w:type="pct"/>
          </w:tcPr>
          <w:p w:rsidR="00021F7B" w:rsidRPr="000870EB" w:rsidRDefault="00021F7B" w:rsidP="00021F7B">
            <w:pPr>
              <w:spacing w:line="276" w:lineRule="auto"/>
              <w:jc w:val="center"/>
              <w:rPr>
                <w:sz w:val="22"/>
              </w:rPr>
            </w:pPr>
            <w:r w:rsidRPr="000870EB">
              <w:rPr>
                <w:sz w:val="22"/>
              </w:rPr>
              <w:t>17</w:t>
            </w:r>
          </w:p>
        </w:tc>
        <w:tc>
          <w:tcPr>
            <w:tcW w:w="2734" w:type="pct"/>
          </w:tcPr>
          <w:p w:rsidR="00021F7B" w:rsidRPr="000870EB" w:rsidRDefault="00021F7B" w:rsidP="00021F7B">
            <w:pPr>
              <w:spacing w:line="276" w:lineRule="auto"/>
              <w:rPr>
                <w:sz w:val="22"/>
              </w:rPr>
            </w:pPr>
            <w:r w:rsidRPr="000870EB">
              <w:rPr>
                <w:sz w:val="22"/>
              </w:rPr>
              <w:t>Institutional Framework/Arrangements</w:t>
            </w:r>
          </w:p>
        </w:tc>
      </w:tr>
      <w:tr w:rsidR="00021F7B" w:rsidRPr="00021F7B" w:rsidTr="00021F7B">
        <w:trPr>
          <w:cnfStyle w:val="000000010000"/>
          <w:trHeight w:val="159"/>
        </w:trPr>
        <w:tc>
          <w:tcPr>
            <w:tcW w:w="576" w:type="pct"/>
            <w:vMerge/>
          </w:tcPr>
          <w:p w:rsidR="00021F7B" w:rsidRPr="000870EB" w:rsidRDefault="00021F7B" w:rsidP="00021F7B">
            <w:pPr>
              <w:spacing w:line="276" w:lineRule="auto"/>
              <w:jc w:val="both"/>
              <w:rPr>
                <w:sz w:val="22"/>
              </w:rPr>
            </w:pPr>
          </w:p>
        </w:tc>
        <w:tc>
          <w:tcPr>
            <w:tcW w:w="1149" w:type="pct"/>
            <w:vMerge/>
          </w:tcPr>
          <w:p w:rsidR="00021F7B" w:rsidRPr="000870EB" w:rsidRDefault="00021F7B" w:rsidP="00021F7B">
            <w:pPr>
              <w:spacing w:line="276" w:lineRule="auto"/>
              <w:jc w:val="both"/>
              <w:rPr>
                <w:sz w:val="22"/>
              </w:rPr>
            </w:pPr>
          </w:p>
        </w:tc>
        <w:tc>
          <w:tcPr>
            <w:tcW w:w="541" w:type="pct"/>
          </w:tcPr>
          <w:p w:rsidR="00021F7B" w:rsidRPr="000870EB" w:rsidRDefault="00021F7B" w:rsidP="00021F7B">
            <w:pPr>
              <w:spacing w:line="276" w:lineRule="auto"/>
              <w:jc w:val="center"/>
              <w:rPr>
                <w:sz w:val="22"/>
              </w:rPr>
            </w:pPr>
            <w:r w:rsidRPr="000870EB">
              <w:rPr>
                <w:sz w:val="22"/>
              </w:rPr>
              <w:t>18</w:t>
            </w:r>
          </w:p>
        </w:tc>
        <w:tc>
          <w:tcPr>
            <w:tcW w:w="2734" w:type="pct"/>
          </w:tcPr>
          <w:p w:rsidR="00021F7B" w:rsidRPr="000870EB" w:rsidRDefault="00021F7B" w:rsidP="00021F7B">
            <w:pPr>
              <w:spacing w:line="276" w:lineRule="auto"/>
              <w:rPr>
                <w:sz w:val="22"/>
              </w:rPr>
            </w:pPr>
            <w:r w:rsidRPr="000870EB">
              <w:rPr>
                <w:sz w:val="22"/>
              </w:rPr>
              <w:t>Regional Cooperation</w:t>
            </w:r>
          </w:p>
        </w:tc>
      </w:tr>
      <w:tr w:rsidR="00021F7B" w:rsidRPr="00021F7B" w:rsidTr="00021F7B">
        <w:trPr>
          <w:cnfStyle w:val="000000100000"/>
          <w:trHeight w:val="159"/>
        </w:trPr>
        <w:tc>
          <w:tcPr>
            <w:tcW w:w="576" w:type="pct"/>
            <w:vMerge/>
          </w:tcPr>
          <w:p w:rsidR="00021F7B" w:rsidRPr="000870EB" w:rsidRDefault="00021F7B" w:rsidP="00021F7B">
            <w:pPr>
              <w:spacing w:line="276" w:lineRule="auto"/>
              <w:jc w:val="both"/>
              <w:rPr>
                <w:sz w:val="22"/>
              </w:rPr>
            </w:pPr>
          </w:p>
        </w:tc>
        <w:tc>
          <w:tcPr>
            <w:tcW w:w="1149" w:type="pct"/>
            <w:vMerge/>
          </w:tcPr>
          <w:p w:rsidR="00021F7B" w:rsidRPr="000870EB" w:rsidRDefault="00021F7B" w:rsidP="00021F7B">
            <w:pPr>
              <w:spacing w:line="276" w:lineRule="auto"/>
              <w:jc w:val="both"/>
              <w:rPr>
                <w:sz w:val="22"/>
              </w:rPr>
            </w:pPr>
          </w:p>
        </w:tc>
        <w:tc>
          <w:tcPr>
            <w:tcW w:w="541" w:type="pct"/>
          </w:tcPr>
          <w:p w:rsidR="00021F7B" w:rsidRPr="000870EB" w:rsidRDefault="00021F7B" w:rsidP="00021F7B">
            <w:pPr>
              <w:spacing w:line="276" w:lineRule="auto"/>
              <w:jc w:val="center"/>
              <w:rPr>
                <w:sz w:val="22"/>
              </w:rPr>
            </w:pPr>
            <w:r w:rsidRPr="000870EB">
              <w:rPr>
                <w:sz w:val="22"/>
              </w:rPr>
              <w:t>19</w:t>
            </w:r>
          </w:p>
        </w:tc>
        <w:tc>
          <w:tcPr>
            <w:tcW w:w="2734" w:type="pct"/>
          </w:tcPr>
          <w:p w:rsidR="00021F7B" w:rsidRPr="000870EB" w:rsidRDefault="00021F7B" w:rsidP="00021F7B">
            <w:pPr>
              <w:spacing w:line="276" w:lineRule="auto"/>
              <w:rPr>
                <w:sz w:val="22"/>
              </w:rPr>
            </w:pPr>
            <w:r w:rsidRPr="000870EB">
              <w:rPr>
                <w:sz w:val="22"/>
              </w:rPr>
              <w:t>Information and Knowledge management</w:t>
            </w:r>
          </w:p>
        </w:tc>
      </w:tr>
    </w:tbl>
    <w:p w:rsidR="00021F7B" w:rsidRPr="00021F7B" w:rsidRDefault="00021F7B" w:rsidP="00021F7B">
      <w:pPr>
        <w:spacing w:line="276" w:lineRule="auto"/>
        <w:ind w:left="720" w:hanging="720"/>
        <w:mirrorIndents/>
        <w:jc w:val="both"/>
        <w:rPr>
          <w:rFonts w:cs="Times New Roman"/>
          <w:szCs w:val="24"/>
        </w:rPr>
      </w:pPr>
    </w:p>
    <w:p w:rsidR="00021F7B" w:rsidRPr="00002C47" w:rsidRDefault="00021F7B" w:rsidP="00AF367B">
      <w:pPr>
        <w:ind w:left="720" w:hanging="720"/>
        <w:mirrorIndents/>
        <w:jc w:val="both"/>
        <w:rPr>
          <w:rFonts w:cs="Times New Roman"/>
        </w:rPr>
      </w:pPr>
    </w:p>
    <w:p w:rsidR="00757790" w:rsidRDefault="00757790">
      <w:pPr>
        <w:rPr>
          <w:rFonts w:cs="Times New Roman"/>
          <w:szCs w:val="24"/>
        </w:rPr>
      </w:pPr>
      <w:r>
        <w:rPr>
          <w:rFonts w:cs="Times New Roman"/>
          <w:szCs w:val="24"/>
        </w:rPr>
        <w:br w:type="page"/>
      </w:r>
    </w:p>
    <w:p w:rsidR="00757790" w:rsidRPr="007A0843" w:rsidRDefault="00757790" w:rsidP="008C0601">
      <w:pPr>
        <w:pStyle w:val="Heading1"/>
      </w:pPr>
      <w:bookmarkStart w:id="983" w:name="_Toc474638969"/>
      <w:r w:rsidRPr="007A0843">
        <w:t xml:space="preserve">Annex </w:t>
      </w:r>
      <w:r>
        <w:t>A: Technical Annex to Chapter 2</w:t>
      </w:r>
      <w:bookmarkEnd w:id="983"/>
    </w:p>
    <w:p w:rsidR="00757790" w:rsidRPr="003368EF" w:rsidRDefault="00757790" w:rsidP="00757790">
      <w:pPr>
        <w:rPr>
          <w:b/>
        </w:rPr>
      </w:pPr>
      <w:r w:rsidRPr="003368EF">
        <w:rPr>
          <w:b/>
        </w:rPr>
        <w:t xml:space="preserve">A.2.1. District Level Poverty </w:t>
      </w:r>
    </w:p>
    <w:p w:rsidR="00757790" w:rsidRPr="00D13FC2" w:rsidRDefault="00757790" w:rsidP="00757790">
      <w:pPr>
        <w:pStyle w:val="Heading8"/>
        <w:spacing w:after="120"/>
      </w:pPr>
      <w:bookmarkStart w:id="984" w:name="_Toc474639333"/>
      <w:r w:rsidRPr="00D13FC2">
        <w:t>Table A2.1: Coastal Zone District Level Poverty and Inequality (%)</w:t>
      </w:r>
      <w:bookmarkEnd w:id="9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1"/>
        <w:gridCol w:w="1433"/>
        <w:gridCol w:w="735"/>
        <w:gridCol w:w="1105"/>
        <w:gridCol w:w="735"/>
        <w:gridCol w:w="1433"/>
        <w:gridCol w:w="732"/>
        <w:gridCol w:w="1105"/>
        <w:gridCol w:w="737"/>
      </w:tblGrid>
      <w:tr w:rsidR="00757790" w:rsidRPr="00C26839" w:rsidTr="001429C6">
        <w:trPr>
          <w:trHeight w:val="20"/>
        </w:trPr>
        <w:tc>
          <w:tcPr>
            <w:tcW w:w="815" w:type="pct"/>
            <w:shd w:val="clear" w:color="auto" w:fill="F2F2F2" w:themeFill="background1" w:themeFillShade="F2"/>
            <w:noWrap/>
            <w:vAlign w:val="bottom"/>
            <w:hideMark/>
          </w:tcPr>
          <w:p w:rsidR="00757790" w:rsidRPr="00C26839" w:rsidRDefault="00757790" w:rsidP="001429C6">
            <w:pPr>
              <w:spacing w:after="0"/>
              <w:rPr>
                <w:rFonts w:eastAsia="Times New Roman" w:cs="Times New Roman"/>
                <w:color w:val="000000"/>
                <w:sz w:val="18"/>
                <w:szCs w:val="18"/>
              </w:rPr>
            </w:pPr>
          </w:p>
        </w:tc>
        <w:tc>
          <w:tcPr>
            <w:tcW w:w="2093"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2000</w:t>
            </w:r>
          </w:p>
        </w:tc>
        <w:tc>
          <w:tcPr>
            <w:tcW w:w="2092"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2010</w:t>
            </w:r>
          </w:p>
        </w:tc>
      </w:tr>
      <w:tr w:rsidR="00757790" w:rsidRPr="00C26839" w:rsidTr="001429C6">
        <w:trPr>
          <w:trHeight w:val="20"/>
        </w:trPr>
        <w:tc>
          <w:tcPr>
            <w:tcW w:w="815" w:type="pct"/>
            <w:shd w:val="clear" w:color="auto" w:fill="F2F2F2" w:themeFill="background1" w:themeFillShade="F2"/>
            <w:noWrap/>
            <w:vAlign w:val="bottom"/>
            <w:hideMark/>
          </w:tcPr>
          <w:p w:rsidR="00757790" w:rsidRPr="00C26839" w:rsidRDefault="00757790" w:rsidP="001429C6">
            <w:pPr>
              <w:spacing w:after="0"/>
              <w:rPr>
                <w:rFonts w:eastAsia="Times New Roman" w:cs="Times New Roman"/>
                <w:b/>
                <w:bCs/>
                <w:color w:val="000000"/>
                <w:sz w:val="18"/>
                <w:szCs w:val="18"/>
              </w:rPr>
            </w:pPr>
          </w:p>
        </w:tc>
        <w:tc>
          <w:tcPr>
            <w:tcW w:w="748"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84"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77"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84"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c>
          <w:tcPr>
            <w:tcW w:w="748"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82"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77"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85"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r>
      <w:tr w:rsidR="00757790" w:rsidRPr="00C26839" w:rsidTr="001429C6">
        <w:trPr>
          <w:trHeight w:val="20"/>
        </w:trPr>
        <w:tc>
          <w:tcPr>
            <w:tcW w:w="5000" w:type="pct"/>
            <w:gridSpan w:val="9"/>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Upper Poverty Line (UPL)</w:t>
            </w:r>
          </w:p>
        </w:tc>
      </w:tr>
      <w:tr w:rsidR="00757790" w:rsidRPr="00C26839" w:rsidTr="001429C6">
        <w:trPr>
          <w:trHeight w:val="20"/>
        </w:trPr>
        <w:tc>
          <w:tcPr>
            <w:tcW w:w="815" w:type="pct"/>
            <w:shd w:val="clear" w:color="auto" w:fill="auto"/>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Coastal Zone</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48.5</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14.6</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5.4</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0.32</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32.1</w:t>
            </w:r>
          </w:p>
        </w:tc>
        <w:tc>
          <w:tcPr>
            <w:tcW w:w="382"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6.9</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2.3</w:t>
            </w:r>
          </w:p>
        </w:tc>
        <w:tc>
          <w:tcPr>
            <w:tcW w:w="385"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0.33</w:t>
            </w:r>
          </w:p>
        </w:tc>
      </w:tr>
      <w:tr w:rsidR="00757790" w:rsidRPr="00C26839" w:rsidTr="001429C6">
        <w:trPr>
          <w:trHeight w:val="20"/>
        </w:trPr>
        <w:tc>
          <w:tcPr>
            <w:tcW w:w="81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Bagerhat</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32.3</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13.2</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4.3</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0.28</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42.8</w:t>
            </w:r>
          </w:p>
        </w:tc>
        <w:tc>
          <w:tcPr>
            <w:tcW w:w="38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11.2</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4.1</w:t>
            </w:r>
          </w:p>
        </w:tc>
        <w:tc>
          <w:tcPr>
            <w:tcW w:w="38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0.31</w:t>
            </w:r>
          </w:p>
        </w:tc>
      </w:tr>
      <w:tr w:rsidR="00757790" w:rsidRPr="00C26839" w:rsidTr="001429C6">
        <w:trPr>
          <w:trHeight w:val="20"/>
        </w:trPr>
        <w:tc>
          <w:tcPr>
            <w:tcW w:w="81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Barguna</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54.2</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12.2</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4.1</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0.26</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19.0</w:t>
            </w:r>
          </w:p>
        </w:tc>
        <w:tc>
          <w:tcPr>
            <w:tcW w:w="38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3.8</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1.1</w:t>
            </w:r>
          </w:p>
        </w:tc>
        <w:tc>
          <w:tcPr>
            <w:tcW w:w="38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0.35</w:t>
            </w:r>
          </w:p>
        </w:tc>
      </w:tr>
      <w:tr w:rsidR="00757790" w:rsidRPr="00C26839" w:rsidTr="001429C6">
        <w:trPr>
          <w:trHeight w:val="20"/>
        </w:trPr>
        <w:tc>
          <w:tcPr>
            <w:tcW w:w="81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Bhola</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68.5</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15.0</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5.5</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0.34</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33.2</w:t>
            </w:r>
          </w:p>
        </w:tc>
        <w:tc>
          <w:tcPr>
            <w:tcW w:w="38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5.8</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1.7</w:t>
            </w:r>
          </w:p>
        </w:tc>
        <w:tc>
          <w:tcPr>
            <w:tcW w:w="38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0.26</w:t>
            </w:r>
          </w:p>
        </w:tc>
      </w:tr>
      <w:tr w:rsidR="00757790" w:rsidRPr="00C26839" w:rsidTr="001429C6">
        <w:trPr>
          <w:trHeight w:val="20"/>
        </w:trPr>
        <w:tc>
          <w:tcPr>
            <w:tcW w:w="81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Cox's bazar</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40.6</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7.8</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2.3</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0.29</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32.7</w:t>
            </w:r>
          </w:p>
        </w:tc>
        <w:tc>
          <w:tcPr>
            <w:tcW w:w="38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5.8</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1.5</w:t>
            </w:r>
          </w:p>
        </w:tc>
        <w:tc>
          <w:tcPr>
            <w:tcW w:w="38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0.34</w:t>
            </w:r>
          </w:p>
        </w:tc>
      </w:tr>
      <w:tr w:rsidR="00757790" w:rsidRPr="00C26839" w:rsidTr="001429C6">
        <w:trPr>
          <w:trHeight w:val="20"/>
        </w:trPr>
        <w:tc>
          <w:tcPr>
            <w:tcW w:w="81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Feni</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44.8</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9.2</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3.0</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0.34</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25.9</w:t>
            </w:r>
          </w:p>
        </w:tc>
        <w:tc>
          <w:tcPr>
            <w:tcW w:w="38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3.5</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1.3</w:t>
            </w:r>
          </w:p>
        </w:tc>
        <w:tc>
          <w:tcPr>
            <w:tcW w:w="38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0.33</w:t>
            </w:r>
          </w:p>
        </w:tc>
      </w:tr>
      <w:tr w:rsidR="00757790" w:rsidRPr="00C26839" w:rsidTr="001429C6">
        <w:trPr>
          <w:trHeight w:val="20"/>
        </w:trPr>
        <w:tc>
          <w:tcPr>
            <w:tcW w:w="81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Jessore</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32.4</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15.1</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5.4</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0.36</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39.0</w:t>
            </w:r>
          </w:p>
        </w:tc>
        <w:tc>
          <w:tcPr>
            <w:tcW w:w="38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6.9</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1.9</w:t>
            </w:r>
          </w:p>
        </w:tc>
        <w:tc>
          <w:tcPr>
            <w:tcW w:w="38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0.23</w:t>
            </w:r>
          </w:p>
        </w:tc>
      </w:tr>
      <w:tr w:rsidR="00757790" w:rsidRPr="00C26839" w:rsidTr="001429C6">
        <w:trPr>
          <w:trHeight w:val="20"/>
        </w:trPr>
        <w:tc>
          <w:tcPr>
            <w:tcW w:w="81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Jhalokati</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33.8</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9.2</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2.9</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0.24</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40.5</w:t>
            </w:r>
          </w:p>
        </w:tc>
        <w:tc>
          <w:tcPr>
            <w:tcW w:w="38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10.6</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4.5</w:t>
            </w:r>
          </w:p>
        </w:tc>
        <w:tc>
          <w:tcPr>
            <w:tcW w:w="38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0.38</w:t>
            </w:r>
          </w:p>
        </w:tc>
      </w:tr>
      <w:tr w:rsidR="00757790" w:rsidRPr="00C26839" w:rsidTr="001429C6">
        <w:trPr>
          <w:trHeight w:val="20"/>
        </w:trPr>
        <w:tc>
          <w:tcPr>
            <w:tcW w:w="81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Lakshmipur</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57.8</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19.5</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8.3</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0.33</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31.2</w:t>
            </w:r>
          </w:p>
        </w:tc>
        <w:tc>
          <w:tcPr>
            <w:tcW w:w="38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6.3</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1.9</w:t>
            </w:r>
          </w:p>
        </w:tc>
        <w:tc>
          <w:tcPr>
            <w:tcW w:w="38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0.28</w:t>
            </w:r>
          </w:p>
        </w:tc>
      </w:tr>
      <w:tr w:rsidR="00757790" w:rsidRPr="00C26839" w:rsidTr="001429C6">
        <w:trPr>
          <w:trHeight w:val="20"/>
        </w:trPr>
        <w:tc>
          <w:tcPr>
            <w:tcW w:w="81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Narail</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74.5</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22.7</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8.9</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0.40</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20.0</w:t>
            </w:r>
          </w:p>
        </w:tc>
        <w:tc>
          <w:tcPr>
            <w:tcW w:w="38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2.7</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0.7</w:t>
            </w:r>
          </w:p>
        </w:tc>
        <w:tc>
          <w:tcPr>
            <w:tcW w:w="38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0.21</w:t>
            </w:r>
          </w:p>
        </w:tc>
      </w:tr>
      <w:tr w:rsidR="00757790" w:rsidRPr="00C26839" w:rsidTr="001429C6">
        <w:trPr>
          <w:trHeight w:val="20"/>
        </w:trPr>
        <w:tc>
          <w:tcPr>
            <w:tcW w:w="81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Noakhali</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74.6</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18.8</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7.8</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0.32</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9.6</w:t>
            </w:r>
          </w:p>
        </w:tc>
        <w:tc>
          <w:tcPr>
            <w:tcW w:w="38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1.3</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0.4</w:t>
            </w:r>
          </w:p>
        </w:tc>
        <w:tc>
          <w:tcPr>
            <w:tcW w:w="38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0.33</w:t>
            </w:r>
          </w:p>
        </w:tc>
      </w:tr>
      <w:tr w:rsidR="00757790" w:rsidRPr="00C26839" w:rsidTr="001429C6">
        <w:trPr>
          <w:trHeight w:val="20"/>
        </w:trPr>
        <w:tc>
          <w:tcPr>
            <w:tcW w:w="81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Patuakhali</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40.0</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7.7</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1.9</w:t>
            </w:r>
          </w:p>
        </w:tc>
        <w:tc>
          <w:tcPr>
            <w:tcW w:w="38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0.31</w:t>
            </w:r>
          </w:p>
        </w:tc>
        <w:tc>
          <w:tcPr>
            <w:tcW w:w="748"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25.8</w:t>
            </w:r>
          </w:p>
        </w:tc>
        <w:tc>
          <w:tcPr>
            <w:tcW w:w="38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8.3</w:t>
            </w:r>
          </w:p>
        </w:tc>
        <w:tc>
          <w:tcPr>
            <w:tcW w:w="5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2.5</w:t>
            </w:r>
          </w:p>
        </w:tc>
        <w:tc>
          <w:tcPr>
            <w:tcW w:w="38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0.36</w:t>
            </w:r>
          </w:p>
        </w:tc>
      </w:tr>
      <w:tr w:rsidR="00757790" w:rsidRPr="00C26839" w:rsidTr="001429C6">
        <w:trPr>
          <w:trHeight w:val="20"/>
        </w:trPr>
        <w:tc>
          <w:tcPr>
            <w:tcW w:w="81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Pirojpur</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51.1</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16.9</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6.7</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0.32</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44.1</w:t>
            </w:r>
          </w:p>
        </w:tc>
        <w:tc>
          <w:tcPr>
            <w:tcW w:w="38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12.5</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4.0</w:t>
            </w:r>
          </w:p>
        </w:tc>
        <w:tc>
          <w:tcPr>
            <w:tcW w:w="38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0.39</w:t>
            </w:r>
          </w:p>
        </w:tc>
      </w:tr>
      <w:tr w:rsidR="00757790" w:rsidRPr="00C26839" w:rsidTr="001429C6">
        <w:trPr>
          <w:trHeight w:val="20"/>
        </w:trPr>
        <w:tc>
          <w:tcPr>
            <w:tcW w:w="81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Satkhira</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36.7</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16.3</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6.2</w:t>
            </w:r>
          </w:p>
        </w:tc>
        <w:tc>
          <w:tcPr>
            <w:tcW w:w="38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0.30</w:t>
            </w:r>
          </w:p>
        </w:tc>
        <w:tc>
          <w:tcPr>
            <w:tcW w:w="748"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46.3</w:t>
            </w:r>
          </w:p>
        </w:tc>
        <w:tc>
          <w:tcPr>
            <w:tcW w:w="38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10.3</w:t>
            </w:r>
          </w:p>
        </w:tc>
        <w:tc>
          <w:tcPr>
            <w:tcW w:w="5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4.2</w:t>
            </w:r>
          </w:p>
        </w:tc>
        <w:tc>
          <w:tcPr>
            <w:tcW w:w="38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0.22</w:t>
            </w:r>
          </w:p>
        </w:tc>
      </w:tr>
    </w:tbl>
    <w:p w:rsidR="00757790" w:rsidRPr="00EC079B" w:rsidRDefault="00757790" w:rsidP="00757790">
      <w:pPr>
        <w:spacing w:before="120"/>
        <w:rPr>
          <w:rFonts w:cs="Times New Roman"/>
          <w:b/>
          <w:i/>
          <w:sz w:val="20"/>
        </w:rPr>
      </w:pPr>
      <w:r>
        <w:rPr>
          <w:rFonts w:cs="Times New Roman"/>
          <w:b/>
          <w:i/>
          <w:sz w:val="20"/>
        </w:rPr>
        <w:t xml:space="preserve">Source: </w:t>
      </w:r>
      <w:r w:rsidRPr="00EC079B">
        <w:rPr>
          <w:rFonts w:cs="Times New Roman"/>
          <w:b/>
          <w:i/>
          <w:sz w:val="20"/>
        </w:rPr>
        <w:t>Estimate based on HIES 2000 and 2010</w:t>
      </w:r>
    </w:p>
    <w:p w:rsidR="00757790" w:rsidRPr="00C26839" w:rsidRDefault="00757790" w:rsidP="00757790">
      <w:pPr>
        <w:pStyle w:val="Heading8"/>
        <w:spacing w:after="120"/>
        <w:rPr>
          <w:rFonts w:eastAsia="Times New Roman"/>
          <w:bCs/>
          <w:color w:val="000000"/>
        </w:rPr>
      </w:pPr>
      <w:bookmarkStart w:id="985" w:name="_Toc474639334"/>
      <w:r w:rsidRPr="00C26839">
        <w:t xml:space="preserve">Table A2.2: Drought Prone District Level </w:t>
      </w:r>
      <w:r w:rsidRPr="00C26839">
        <w:rPr>
          <w:rFonts w:eastAsia="Times New Roman"/>
          <w:bCs/>
          <w:color w:val="000000"/>
        </w:rPr>
        <w:t>Poverty and Inequality (%)</w:t>
      </w:r>
      <w:bookmarkEnd w:id="9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4"/>
        <w:gridCol w:w="1406"/>
        <w:gridCol w:w="722"/>
        <w:gridCol w:w="1084"/>
        <w:gridCol w:w="722"/>
        <w:gridCol w:w="1406"/>
        <w:gridCol w:w="718"/>
        <w:gridCol w:w="1084"/>
        <w:gridCol w:w="720"/>
      </w:tblGrid>
      <w:tr w:rsidR="00757790" w:rsidRPr="00C26839" w:rsidTr="001429C6">
        <w:trPr>
          <w:trHeight w:val="144"/>
          <w:tblHeader/>
        </w:trPr>
        <w:tc>
          <w:tcPr>
            <w:tcW w:w="895" w:type="pct"/>
            <w:shd w:val="clear" w:color="auto" w:fill="F2F2F2" w:themeFill="background1" w:themeFillShade="F2"/>
            <w:noWrap/>
            <w:vAlign w:val="bottom"/>
            <w:hideMark/>
          </w:tcPr>
          <w:p w:rsidR="00757790" w:rsidRPr="00C26839" w:rsidRDefault="00757790" w:rsidP="001429C6">
            <w:pPr>
              <w:spacing w:after="0"/>
              <w:rPr>
                <w:rFonts w:eastAsia="Times New Roman" w:cs="Times New Roman"/>
                <w:color w:val="000000"/>
                <w:sz w:val="18"/>
                <w:szCs w:val="18"/>
              </w:rPr>
            </w:pPr>
          </w:p>
        </w:tc>
        <w:tc>
          <w:tcPr>
            <w:tcW w:w="2054"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2000</w:t>
            </w:r>
          </w:p>
        </w:tc>
        <w:tc>
          <w:tcPr>
            <w:tcW w:w="2051"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2010</w:t>
            </w:r>
          </w:p>
        </w:tc>
      </w:tr>
      <w:tr w:rsidR="00757790" w:rsidRPr="00C26839" w:rsidTr="001429C6">
        <w:trPr>
          <w:trHeight w:val="144"/>
          <w:tblHeader/>
        </w:trPr>
        <w:tc>
          <w:tcPr>
            <w:tcW w:w="895" w:type="pct"/>
            <w:shd w:val="clear" w:color="auto" w:fill="F2F2F2" w:themeFill="background1" w:themeFillShade="F2"/>
            <w:noWrap/>
            <w:vAlign w:val="bottom"/>
            <w:hideMark/>
          </w:tcPr>
          <w:p w:rsidR="00757790" w:rsidRPr="00C26839" w:rsidRDefault="00757790" w:rsidP="001429C6">
            <w:pPr>
              <w:spacing w:after="0"/>
              <w:rPr>
                <w:rFonts w:eastAsia="Times New Roman" w:cs="Times New Roman"/>
                <w:color w:val="000000"/>
                <w:sz w:val="18"/>
                <w:szCs w:val="18"/>
              </w:rPr>
            </w:pPr>
          </w:p>
        </w:tc>
        <w:tc>
          <w:tcPr>
            <w:tcW w:w="734"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77"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66"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77"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c>
          <w:tcPr>
            <w:tcW w:w="734"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75"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66"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76"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r>
      <w:tr w:rsidR="00757790" w:rsidRPr="00C26839" w:rsidTr="001429C6">
        <w:trPr>
          <w:trHeight w:val="144"/>
        </w:trPr>
        <w:tc>
          <w:tcPr>
            <w:tcW w:w="5000" w:type="pct"/>
            <w:gridSpan w:val="9"/>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Upper Poverty Line (UPL)</w:t>
            </w:r>
          </w:p>
        </w:tc>
      </w:tr>
      <w:tr w:rsidR="00757790" w:rsidRPr="00C26839" w:rsidTr="001429C6">
        <w:trPr>
          <w:trHeight w:val="144"/>
        </w:trPr>
        <w:tc>
          <w:tcPr>
            <w:tcW w:w="895" w:type="pct"/>
            <w:shd w:val="clear" w:color="auto" w:fill="auto"/>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Drought Prone</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52.8</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23.0</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9.8</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0.29</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27.3</w:t>
            </w:r>
          </w:p>
        </w:tc>
        <w:tc>
          <w:tcPr>
            <w:tcW w:w="375"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6.6</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2.1</w:t>
            </w:r>
          </w:p>
        </w:tc>
        <w:tc>
          <w:tcPr>
            <w:tcW w:w="376"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0.33</w:t>
            </w:r>
          </w:p>
        </w:tc>
      </w:tr>
      <w:tr w:rsidR="00757790" w:rsidRPr="00C26839" w:rsidTr="001429C6">
        <w:trPr>
          <w:trHeight w:val="144"/>
        </w:trPr>
        <w:tc>
          <w:tcPr>
            <w:tcW w:w="89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Chuadanga</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cs="Times New Roman"/>
                <w:color w:val="000000"/>
                <w:sz w:val="18"/>
                <w:szCs w:val="18"/>
              </w:rPr>
              <w:t>35.4</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13.0</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4.6</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0.21</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27.7</w:t>
            </w:r>
          </w:p>
        </w:tc>
        <w:tc>
          <w:tcPr>
            <w:tcW w:w="37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4.6</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1.2</w:t>
            </w:r>
          </w:p>
        </w:tc>
        <w:tc>
          <w:tcPr>
            <w:tcW w:w="37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0.36</w:t>
            </w:r>
          </w:p>
        </w:tc>
      </w:tr>
      <w:tr w:rsidR="00757790" w:rsidRPr="00C26839" w:rsidTr="001429C6">
        <w:trPr>
          <w:trHeight w:val="144"/>
        </w:trPr>
        <w:tc>
          <w:tcPr>
            <w:tcW w:w="89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Dinajpur</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cs="Times New Roman"/>
                <w:color w:val="000000"/>
                <w:sz w:val="18"/>
                <w:szCs w:val="18"/>
              </w:rPr>
              <w:t>49.6</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21.6</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8.6</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0.24</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37.9</w:t>
            </w:r>
          </w:p>
        </w:tc>
        <w:tc>
          <w:tcPr>
            <w:tcW w:w="37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8.8</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2.6</w:t>
            </w:r>
          </w:p>
        </w:tc>
        <w:tc>
          <w:tcPr>
            <w:tcW w:w="37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0.36</w:t>
            </w:r>
          </w:p>
        </w:tc>
      </w:tr>
      <w:tr w:rsidR="00757790" w:rsidRPr="00C26839" w:rsidTr="001429C6">
        <w:trPr>
          <w:trHeight w:val="144"/>
        </w:trPr>
        <w:tc>
          <w:tcPr>
            <w:tcW w:w="89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Joypurhat</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cs="Times New Roman"/>
                <w:color w:val="000000"/>
                <w:sz w:val="18"/>
                <w:szCs w:val="18"/>
              </w:rPr>
              <w:t>50.3</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21.2</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7.7</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0.19</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26.7</w:t>
            </w:r>
          </w:p>
        </w:tc>
        <w:tc>
          <w:tcPr>
            <w:tcW w:w="37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6.5</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1.8</w:t>
            </w:r>
          </w:p>
        </w:tc>
        <w:tc>
          <w:tcPr>
            <w:tcW w:w="37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0.23</w:t>
            </w:r>
          </w:p>
        </w:tc>
      </w:tr>
      <w:tr w:rsidR="00757790" w:rsidRPr="00C26839" w:rsidTr="001429C6">
        <w:trPr>
          <w:trHeight w:val="144"/>
        </w:trPr>
        <w:tc>
          <w:tcPr>
            <w:tcW w:w="89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Kushtia</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cs="Times New Roman"/>
                <w:color w:val="000000"/>
                <w:sz w:val="18"/>
                <w:szCs w:val="18"/>
              </w:rPr>
              <w:t>67.8</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27.2</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11.0</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0.21</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3.6</w:t>
            </w:r>
          </w:p>
        </w:tc>
        <w:tc>
          <w:tcPr>
            <w:tcW w:w="37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0.0</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0.0</w:t>
            </w:r>
          </w:p>
        </w:tc>
        <w:tc>
          <w:tcPr>
            <w:tcW w:w="37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0.23</w:t>
            </w:r>
          </w:p>
        </w:tc>
      </w:tr>
      <w:tr w:rsidR="00757790" w:rsidRPr="00C26839" w:rsidTr="001429C6">
        <w:trPr>
          <w:trHeight w:val="144"/>
        </w:trPr>
        <w:tc>
          <w:tcPr>
            <w:tcW w:w="89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Meherpur</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cs="Times New Roman"/>
                <w:color w:val="000000"/>
                <w:sz w:val="18"/>
                <w:szCs w:val="18"/>
              </w:rPr>
              <w:t>41.4</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23.0</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8.8</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0.37</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15.2</w:t>
            </w:r>
          </w:p>
        </w:tc>
        <w:tc>
          <w:tcPr>
            <w:tcW w:w="37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1.3</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w:t>
            </w:r>
          </w:p>
        </w:tc>
        <w:tc>
          <w:tcPr>
            <w:tcW w:w="37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0.25</w:t>
            </w:r>
          </w:p>
        </w:tc>
      </w:tr>
      <w:tr w:rsidR="00757790" w:rsidRPr="00C26839" w:rsidTr="001429C6">
        <w:trPr>
          <w:trHeight w:val="144"/>
        </w:trPr>
        <w:tc>
          <w:tcPr>
            <w:tcW w:w="89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Naogaon</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cs="Times New Roman"/>
                <w:color w:val="000000"/>
                <w:sz w:val="18"/>
                <w:szCs w:val="18"/>
              </w:rPr>
              <w:t>46.3</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18.9</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7.6</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0.27</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16.9</w:t>
            </w:r>
          </w:p>
        </w:tc>
        <w:tc>
          <w:tcPr>
            <w:tcW w:w="37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3.0</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0.7</w:t>
            </w:r>
          </w:p>
        </w:tc>
        <w:tc>
          <w:tcPr>
            <w:tcW w:w="37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0.26</w:t>
            </w:r>
          </w:p>
        </w:tc>
      </w:tr>
      <w:tr w:rsidR="00757790" w:rsidRPr="00C26839" w:rsidTr="001429C6">
        <w:trPr>
          <w:trHeight w:val="144"/>
        </w:trPr>
        <w:tc>
          <w:tcPr>
            <w:tcW w:w="89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Natore</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cs="Times New Roman"/>
                <w:color w:val="000000"/>
                <w:sz w:val="18"/>
                <w:szCs w:val="18"/>
              </w:rPr>
              <w:t>42.8</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15.0</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4.7</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0.18</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35.1</w:t>
            </w:r>
          </w:p>
        </w:tc>
        <w:tc>
          <w:tcPr>
            <w:tcW w:w="37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8.9</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2.9</w:t>
            </w:r>
          </w:p>
        </w:tc>
        <w:tc>
          <w:tcPr>
            <w:tcW w:w="37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0.30</w:t>
            </w:r>
          </w:p>
        </w:tc>
      </w:tr>
      <w:tr w:rsidR="00757790" w:rsidRPr="00C26839" w:rsidTr="001429C6">
        <w:trPr>
          <w:trHeight w:val="144"/>
        </w:trPr>
        <w:tc>
          <w:tcPr>
            <w:tcW w:w="89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Nawabganj</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cs="Times New Roman"/>
                <w:color w:val="000000"/>
                <w:sz w:val="18"/>
                <w:szCs w:val="18"/>
              </w:rPr>
              <w:t>47.4</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13.0</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4.3</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0.18</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25.3</w:t>
            </w:r>
          </w:p>
        </w:tc>
        <w:tc>
          <w:tcPr>
            <w:tcW w:w="37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3.2</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0.8</w:t>
            </w:r>
          </w:p>
        </w:tc>
        <w:tc>
          <w:tcPr>
            <w:tcW w:w="37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0.19</w:t>
            </w:r>
          </w:p>
        </w:tc>
      </w:tr>
      <w:tr w:rsidR="00757790" w:rsidRPr="00C26839" w:rsidTr="001429C6">
        <w:trPr>
          <w:trHeight w:val="144"/>
        </w:trPr>
        <w:tc>
          <w:tcPr>
            <w:tcW w:w="89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Panchagarh</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cs="Times New Roman"/>
                <w:color w:val="000000"/>
                <w:sz w:val="18"/>
                <w:szCs w:val="18"/>
              </w:rPr>
              <w:t>61.0</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27.0</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10.1</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0.19</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26.7</w:t>
            </w:r>
          </w:p>
        </w:tc>
        <w:tc>
          <w:tcPr>
            <w:tcW w:w="37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7.4</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2.4</w:t>
            </w:r>
          </w:p>
        </w:tc>
        <w:tc>
          <w:tcPr>
            <w:tcW w:w="37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0.26</w:t>
            </w:r>
          </w:p>
        </w:tc>
      </w:tr>
      <w:tr w:rsidR="00757790" w:rsidRPr="00C26839" w:rsidTr="001429C6">
        <w:trPr>
          <w:trHeight w:val="144"/>
        </w:trPr>
        <w:tc>
          <w:tcPr>
            <w:tcW w:w="89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Rangpur</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cs="Times New Roman"/>
                <w:color w:val="000000"/>
                <w:sz w:val="18"/>
                <w:szCs w:val="18"/>
              </w:rPr>
              <w:t>69.0</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35.2</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18.6</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0.37</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46.2</w:t>
            </w:r>
          </w:p>
        </w:tc>
        <w:tc>
          <w:tcPr>
            <w:tcW w:w="37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11.5</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4.3</w:t>
            </w:r>
          </w:p>
        </w:tc>
        <w:tc>
          <w:tcPr>
            <w:tcW w:w="37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0.32</w:t>
            </w:r>
          </w:p>
        </w:tc>
      </w:tr>
      <w:tr w:rsidR="00757790" w:rsidRPr="00C26839" w:rsidTr="001429C6">
        <w:trPr>
          <w:trHeight w:val="144"/>
        </w:trPr>
        <w:tc>
          <w:tcPr>
            <w:tcW w:w="895"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Sirajganj</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cs="Times New Roman"/>
                <w:color w:val="000000"/>
                <w:sz w:val="18"/>
                <w:szCs w:val="18"/>
              </w:rPr>
              <w:t>59.7</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22.4</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10.4</w:t>
            </w:r>
          </w:p>
        </w:tc>
        <w:tc>
          <w:tcPr>
            <w:tcW w:w="37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0.40</w:t>
            </w:r>
          </w:p>
        </w:tc>
        <w:tc>
          <w:tcPr>
            <w:tcW w:w="734"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38.7</w:t>
            </w:r>
          </w:p>
        </w:tc>
        <w:tc>
          <w:tcPr>
            <w:tcW w:w="375"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10.8</w:t>
            </w:r>
          </w:p>
        </w:tc>
        <w:tc>
          <w:tcPr>
            <w:tcW w:w="56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3.5</w:t>
            </w:r>
          </w:p>
        </w:tc>
        <w:tc>
          <w:tcPr>
            <w:tcW w:w="376"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0.27</w:t>
            </w:r>
          </w:p>
        </w:tc>
      </w:tr>
      <w:tr w:rsidR="00757790" w:rsidRPr="00C26839" w:rsidTr="001429C6">
        <w:trPr>
          <w:trHeight w:val="144"/>
        </w:trPr>
        <w:tc>
          <w:tcPr>
            <w:tcW w:w="895"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Thakurgaon</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cs="Times New Roman"/>
                <w:color w:val="000000"/>
                <w:sz w:val="18"/>
                <w:szCs w:val="18"/>
              </w:rPr>
              <w:t>62.7</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29.0</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12.4</w:t>
            </w:r>
          </w:p>
        </w:tc>
        <w:tc>
          <w:tcPr>
            <w:tcW w:w="37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0.24</w:t>
            </w:r>
          </w:p>
        </w:tc>
        <w:tc>
          <w:tcPr>
            <w:tcW w:w="734"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27.0</w:t>
            </w:r>
          </w:p>
        </w:tc>
        <w:tc>
          <w:tcPr>
            <w:tcW w:w="375"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3.8</w:t>
            </w:r>
          </w:p>
        </w:tc>
        <w:tc>
          <w:tcPr>
            <w:tcW w:w="56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1.0</w:t>
            </w:r>
          </w:p>
        </w:tc>
        <w:tc>
          <w:tcPr>
            <w:tcW w:w="376"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0.35</w:t>
            </w:r>
          </w:p>
        </w:tc>
      </w:tr>
    </w:tbl>
    <w:p w:rsidR="00757790" w:rsidRPr="00EC079B" w:rsidRDefault="00757790" w:rsidP="00757790">
      <w:pPr>
        <w:spacing w:before="120"/>
        <w:rPr>
          <w:rFonts w:cs="Times New Roman"/>
          <w:b/>
          <w:i/>
          <w:sz w:val="20"/>
        </w:rPr>
      </w:pPr>
      <w:r>
        <w:rPr>
          <w:rFonts w:cs="Times New Roman"/>
          <w:b/>
          <w:i/>
          <w:sz w:val="20"/>
        </w:rPr>
        <w:t xml:space="preserve">Source: </w:t>
      </w:r>
      <w:r w:rsidRPr="00EC079B">
        <w:rPr>
          <w:rFonts w:cs="Times New Roman"/>
          <w:b/>
          <w:i/>
          <w:sz w:val="20"/>
        </w:rPr>
        <w:t>Estimate based on HIES 2000 and 2010</w:t>
      </w:r>
    </w:p>
    <w:p w:rsidR="00757790" w:rsidRDefault="00757790" w:rsidP="00757790">
      <w:pPr>
        <w:spacing w:after="0" w:line="240" w:lineRule="auto"/>
        <w:rPr>
          <w:rFonts w:cs="Times New Roman"/>
          <w:b/>
        </w:rPr>
      </w:pPr>
      <w:r>
        <w:rPr>
          <w:rFonts w:cs="Times New Roman"/>
          <w:b/>
        </w:rPr>
        <w:br w:type="page"/>
      </w:r>
    </w:p>
    <w:p w:rsidR="00757790" w:rsidRPr="00C26839" w:rsidRDefault="00757790" w:rsidP="00757790">
      <w:pPr>
        <w:pStyle w:val="Heading8"/>
        <w:spacing w:after="120"/>
        <w:rPr>
          <w:rFonts w:eastAsia="Times New Roman"/>
          <w:bCs/>
          <w:color w:val="000000"/>
        </w:rPr>
      </w:pPr>
      <w:bookmarkStart w:id="986" w:name="_Toc474639335"/>
      <w:r w:rsidRPr="00C26839">
        <w:t>T</w:t>
      </w:r>
      <w:r>
        <w:t>able A</w:t>
      </w:r>
      <w:r w:rsidRPr="00C26839">
        <w:t xml:space="preserve">2.3: River and Estuary District Level </w:t>
      </w:r>
      <w:r w:rsidRPr="00C26839">
        <w:rPr>
          <w:rFonts w:eastAsia="Times New Roman"/>
          <w:bCs/>
          <w:color w:val="000000"/>
        </w:rPr>
        <w:t>Poverty and Inequality (%)</w:t>
      </w:r>
      <w:bookmarkEnd w:id="9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36"/>
        <w:gridCol w:w="1382"/>
        <w:gridCol w:w="711"/>
        <w:gridCol w:w="1067"/>
        <w:gridCol w:w="711"/>
        <w:gridCol w:w="1383"/>
        <w:gridCol w:w="707"/>
        <w:gridCol w:w="1067"/>
        <w:gridCol w:w="712"/>
      </w:tblGrid>
      <w:tr w:rsidR="00757790" w:rsidRPr="00C26839" w:rsidTr="001429C6">
        <w:trPr>
          <w:trHeight w:val="144"/>
          <w:tblHeader/>
        </w:trPr>
        <w:tc>
          <w:tcPr>
            <w:tcW w:w="959" w:type="pct"/>
            <w:shd w:val="clear" w:color="auto" w:fill="F2F2F2" w:themeFill="background1" w:themeFillShade="F2"/>
            <w:noWrap/>
            <w:vAlign w:val="bottom"/>
            <w:hideMark/>
          </w:tcPr>
          <w:p w:rsidR="00757790" w:rsidRPr="00C26839" w:rsidRDefault="00757790" w:rsidP="001429C6">
            <w:pPr>
              <w:spacing w:after="0"/>
              <w:rPr>
                <w:rFonts w:eastAsia="Times New Roman" w:cs="Times New Roman"/>
                <w:color w:val="000000"/>
                <w:sz w:val="18"/>
                <w:szCs w:val="18"/>
              </w:rPr>
            </w:pPr>
          </w:p>
        </w:tc>
        <w:tc>
          <w:tcPr>
            <w:tcW w:w="2021"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2000</w:t>
            </w:r>
          </w:p>
        </w:tc>
        <w:tc>
          <w:tcPr>
            <w:tcW w:w="2019"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2010</w:t>
            </w:r>
          </w:p>
        </w:tc>
      </w:tr>
      <w:tr w:rsidR="00757790" w:rsidRPr="00C26839" w:rsidTr="001429C6">
        <w:trPr>
          <w:trHeight w:val="144"/>
          <w:tblHeader/>
        </w:trPr>
        <w:tc>
          <w:tcPr>
            <w:tcW w:w="959" w:type="pct"/>
            <w:shd w:val="clear" w:color="auto" w:fill="F2F2F2" w:themeFill="background1" w:themeFillShade="F2"/>
            <w:noWrap/>
            <w:vAlign w:val="bottom"/>
            <w:hideMark/>
          </w:tcPr>
          <w:p w:rsidR="00757790" w:rsidRPr="00C26839" w:rsidRDefault="00757790" w:rsidP="001429C6">
            <w:pPr>
              <w:spacing w:after="0"/>
              <w:rPr>
                <w:rFonts w:eastAsia="Times New Roman" w:cs="Times New Roman"/>
                <w:color w:val="000000"/>
                <w:sz w:val="18"/>
                <w:szCs w:val="18"/>
              </w:rPr>
            </w:pPr>
          </w:p>
        </w:tc>
        <w:tc>
          <w:tcPr>
            <w:tcW w:w="722"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71"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57"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71"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c>
          <w:tcPr>
            <w:tcW w:w="722"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69"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57"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71"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r>
      <w:tr w:rsidR="00757790" w:rsidRPr="00C26839" w:rsidTr="001429C6">
        <w:trPr>
          <w:trHeight w:val="144"/>
        </w:trPr>
        <w:tc>
          <w:tcPr>
            <w:tcW w:w="5000" w:type="pct"/>
            <w:gridSpan w:val="9"/>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Upper Poverty Line (UPL)</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Rivers &amp; Estuary</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53.7</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16.1</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6.4</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0.33</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38.3</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8.4</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2.6</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0.31</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Bogra</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45.7</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15.9</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5.6</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0.35</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16.6</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3.8</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1.1</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0.34</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Chandpur</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52.2</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10.0</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3.6</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0.25</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51.0</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6.7</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1.8</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0.22</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Comilla</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32.0</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6.8</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2.1</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0.29</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37.9</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8.6</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2.6</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0.25</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Faridpur</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65.5</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17.5</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7.8</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0.35</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36.3</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6.9</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1.9</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0.22</w:t>
            </w:r>
          </w:p>
        </w:tc>
      </w:tr>
      <w:tr w:rsidR="00757790" w:rsidRPr="00C26839" w:rsidTr="001429C6">
        <w:trPr>
          <w:trHeight w:val="144"/>
        </w:trPr>
        <w:tc>
          <w:tcPr>
            <w:tcW w:w="959"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Gaibandha</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70.5</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31.6</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15.5</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0.29</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48.0</w:t>
            </w:r>
          </w:p>
        </w:tc>
        <w:tc>
          <w:tcPr>
            <w:tcW w:w="369"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13.9</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4.8</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0.41</w:t>
            </w:r>
          </w:p>
        </w:tc>
      </w:tr>
      <w:tr w:rsidR="00757790" w:rsidRPr="00C26839" w:rsidTr="001429C6">
        <w:trPr>
          <w:trHeight w:val="144"/>
        </w:trPr>
        <w:tc>
          <w:tcPr>
            <w:tcW w:w="959"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Jamalpur</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56.6</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16.6</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5.7</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0.23</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51.1</w:t>
            </w:r>
          </w:p>
        </w:tc>
        <w:tc>
          <w:tcPr>
            <w:tcW w:w="369"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13.2</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4.9</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0.24</w:t>
            </w:r>
          </w:p>
        </w:tc>
      </w:tr>
      <w:tr w:rsidR="00757790" w:rsidRPr="00C26839" w:rsidTr="001429C6">
        <w:trPr>
          <w:trHeight w:val="144"/>
        </w:trPr>
        <w:tc>
          <w:tcPr>
            <w:tcW w:w="959"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Kurigram</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57.8</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26.8</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11.5</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0.29</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63.7</w:t>
            </w:r>
          </w:p>
        </w:tc>
        <w:tc>
          <w:tcPr>
            <w:tcW w:w="369"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17.5</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5.5</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0.22</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Madaripur</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68.6</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35.5</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16.9</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0.32</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34.9</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5.7</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1.3</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0.21</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Manikganj</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57.0</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18.0</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5.9</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0.23</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18.5</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4.3</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1.2</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0.20</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Munshiganj</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49.4</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12.8</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3.6</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0.20</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28.7</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6.1</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1.8</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0.22</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Narayanganj</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17.0</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3.8</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1.1</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0.33</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26.1</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3.9</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0.9</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0.21</w:t>
            </w:r>
          </w:p>
        </w:tc>
      </w:tr>
      <w:tr w:rsidR="00757790" w:rsidRPr="00C26839" w:rsidTr="001429C6">
        <w:trPr>
          <w:trHeight w:val="144"/>
        </w:trPr>
        <w:tc>
          <w:tcPr>
            <w:tcW w:w="959"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Pabna</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49.5</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19.0</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6.6</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0.22</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31.5</w:t>
            </w:r>
          </w:p>
        </w:tc>
        <w:tc>
          <w:tcPr>
            <w:tcW w:w="369"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5.3</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1.3</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0.27</w:t>
            </w:r>
          </w:p>
        </w:tc>
      </w:tr>
      <w:tr w:rsidR="00757790" w:rsidRPr="00C26839" w:rsidTr="001429C6">
        <w:trPr>
          <w:trHeight w:val="144"/>
        </w:trPr>
        <w:tc>
          <w:tcPr>
            <w:tcW w:w="959"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Rajbari</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63.4</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14.2</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5.7</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0.32</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41.9</w:t>
            </w:r>
          </w:p>
        </w:tc>
        <w:tc>
          <w:tcPr>
            <w:tcW w:w="369"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11.6</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3.4</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0.24</w:t>
            </w:r>
          </w:p>
        </w:tc>
      </w:tr>
      <w:tr w:rsidR="00757790" w:rsidRPr="00C26839" w:rsidTr="001429C6">
        <w:trPr>
          <w:trHeight w:val="144"/>
        </w:trPr>
        <w:tc>
          <w:tcPr>
            <w:tcW w:w="959" w:type="pct"/>
            <w:shd w:val="clear" w:color="auto" w:fill="EAF1DD" w:themeFill="accent3" w:themeFillTint="33"/>
            <w:noWrap/>
            <w:vAlign w:val="bottom"/>
            <w:hideMark/>
          </w:tcPr>
          <w:p w:rsidR="00757790" w:rsidRPr="00C26839" w:rsidRDefault="00757790" w:rsidP="001429C6">
            <w:pPr>
              <w:spacing w:after="0"/>
              <w:rPr>
                <w:rFonts w:eastAsia="Times New Roman" w:cs="Times New Roman"/>
                <w:i/>
                <w:color w:val="002060"/>
                <w:sz w:val="18"/>
                <w:szCs w:val="18"/>
              </w:rPr>
            </w:pPr>
            <w:r w:rsidRPr="00C26839">
              <w:rPr>
                <w:rFonts w:eastAsia="Times New Roman" w:cs="Times New Roman"/>
                <w:i/>
                <w:color w:val="002060"/>
                <w:sz w:val="18"/>
                <w:szCs w:val="18"/>
              </w:rPr>
              <w:t>Shariatpur</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73.3</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29.8</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13.3</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0.25</w:t>
            </w:r>
          </w:p>
        </w:tc>
        <w:tc>
          <w:tcPr>
            <w:tcW w:w="722"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52.6</w:t>
            </w:r>
          </w:p>
        </w:tc>
        <w:tc>
          <w:tcPr>
            <w:tcW w:w="369"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10.5</w:t>
            </w:r>
          </w:p>
        </w:tc>
        <w:tc>
          <w:tcPr>
            <w:tcW w:w="557"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3.1</w:t>
            </w:r>
          </w:p>
        </w:tc>
        <w:tc>
          <w:tcPr>
            <w:tcW w:w="371" w:type="pct"/>
            <w:shd w:val="clear" w:color="auto" w:fill="EAF1DD" w:themeFill="accent3" w:themeFillTint="33"/>
            <w:noWrap/>
            <w:vAlign w:val="bottom"/>
            <w:hideMark/>
          </w:tcPr>
          <w:p w:rsidR="00757790" w:rsidRPr="00C26839" w:rsidRDefault="00757790" w:rsidP="001429C6">
            <w:pPr>
              <w:spacing w:after="0"/>
              <w:jc w:val="center"/>
              <w:rPr>
                <w:rFonts w:eastAsia="Times New Roman" w:cs="Times New Roman"/>
                <w:i/>
                <w:color w:val="002060"/>
                <w:sz w:val="18"/>
                <w:szCs w:val="18"/>
              </w:rPr>
            </w:pPr>
            <w:r w:rsidRPr="00C26839">
              <w:rPr>
                <w:rFonts w:eastAsia="Times New Roman" w:cs="Times New Roman"/>
                <w:i/>
                <w:color w:val="002060"/>
                <w:sz w:val="18"/>
                <w:szCs w:val="18"/>
              </w:rPr>
              <w:t>0.23</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Tangail</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65.6</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23.5</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11.0</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0.37</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29.7</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6.2</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2.0</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0.29</w:t>
            </w:r>
          </w:p>
        </w:tc>
      </w:tr>
      <w:tr w:rsidR="00757790" w:rsidRPr="00C26839" w:rsidTr="001429C6">
        <w:trPr>
          <w:trHeight w:val="144"/>
        </w:trPr>
        <w:tc>
          <w:tcPr>
            <w:tcW w:w="959"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Narshingdi</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18.3</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5.6</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1.8</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0.31</w:t>
            </w:r>
          </w:p>
        </w:tc>
        <w:tc>
          <w:tcPr>
            <w:tcW w:w="722"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23.7</w:t>
            </w:r>
          </w:p>
        </w:tc>
        <w:tc>
          <w:tcPr>
            <w:tcW w:w="369"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3.9</w:t>
            </w:r>
          </w:p>
        </w:tc>
        <w:tc>
          <w:tcPr>
            <w:tcW w:w="557"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0.9</w:t>
            </w:r>
          </w:p>
        </w:tc>
        <w:tc>
          <w:tcPr>
            <w:tcW w:w="371" w:type="pct"/>
            <w:shd w:val="clear" w:color="auto" w:fill="auto"/>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0.26</w:t>
            </w:r>
          </w:p>
        </w:tc>
      </w:tr>
      <w:tr w:rsidR="00757790" w:rsidRPr="00C26839" w:rsidTr="001429C6">
        <w:trPr>
          <w:trHeight w:val="144"/>
        </w:trPr>
        <w:tc>
          <w:tcPr>
            <w:tcW w:w="959" w:type="pct"/>
            <w:shd w:val="clear" w:color="auto" w:fill="FFFFFF" w:themeFill="background1"/>
            <w:noWrap/>
            <w:vAlign w:val="bottom"/>
            <w:hideMark/>
          </w:tcPr>
          <w:p w:rsidR="00757790" w:rsidRPr="00C26839" w:rsidRDefault="00757790" w:rsidP="001429C6">
            <w:pPr>
              <w:spacing w:after="0"/>
              <w:rPr>
                <w:rFonts w:eastAsia="Times New Roman" w:cs="Times New Roman"/>
                <w:color w:val="000000"/>
                <w:sz w:val="18"/>
                <w:szCs w:val="18"/>
              </w:rPr>
            </w:pPr>
            <w:r w:rsidRPr="00C26839">
              <w:rPr>
                <w:rFonts w:eastAsia="Times New Roman" w:cs="Times New Roman"/>
                <w:color w:val="000000"/>
                <w:sz w:val="18"/>
                <w:szCs w:val="18"/>
              </w:rPr>
              <w:t>Gopalganj</w:t>
            </w:r>
          </w:p>
        </w:tc>
        <w:tc>
          <w:tcPr>
            <w:tcW w:w="722" w:type="pct"/>
            <w:shd w:val="clear" w:color="auto" w:fill="FFFFFF" w:themeFill="background1"/>
            <w:noWrap/>
            <w:vAlign w:val="bottom"/>
            <w:hideMark/>
          </w:tcPr>
          <w:p w:rsidR="00757790" w:rsidRPr="00C26839" w:rsidDel="009E3002"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69.4</w:t>
            </w:r>
          </w:p>
        </w:tc>
        <w:tc>
          <w:tcPr>
            <w:tcW w:w="371" w:type="pct"/>
            <w:shd w:val="clear" w:color="auto" w:fill="FFFFFF" w:themeFill="background1"/>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26.1</w:t>
            </w:r>
          </w:p>
        </w:tc>
        <w:tc>
          <w:tcPr>
            <w:tcW w:w="557" w:type="pct"/>
            <w:shd w:val="clear" w:color="auto" w:fill="FFFFFF" w:themeFill="background1"/>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11.1</w:t>
            </w:r>
          </w:p>
        </w:tc>
        <w:tc>
          <w:tcPr>
            <w:tcW w:w="371" w:type="pct"/>
            <w:shd w:val="clear" w:color="auto" w:fill="FFFFFF" w:themeFill="background1"/>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0.21</w:t>
            </w:r>
          </w:p>
        </w:tc>
        <w:tc>
          <w:tcPr>
            <w:tcW w:w="722" w:type="pct"/>
            <w:shd w:val="clear" w:color="auto" w:fill="FFFFFF" w:themeFill="background1"/>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42.7</w:t>
            </w:r>
          </w:p>
        </w:tc>
        <w:tc>
          <w:tcPr>
            <w:tcW w:w="369" w:type="pct"/>
            <w:shd w:val="clear" w:color="auto" w:fill="FFFFFF" w:themeFill="background1"/>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9.0</w:t>
            </w:r>
          </w:p>
        </w:tc>
        <w:tc>
          <w:tcPr>
            <w:tcW w:w="557" w:type="pct"/>
            <w:shd w:val="clear" w:color="auto" w:fill="FFFFFF" w:themeFill="background1"/>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2.9</w:t>
            </w:r>
          </w:p>
        </w:tc>
        <w:tc>
          <w:tcPr>
            <w:tcW w:w="371" w:type="pct"/>
            <w:shd w:val="clear" w:color="auto" w:fill="FFFFFF" w:themeFill="background1"/>
            <w:noWrap/>
            <w:vAlign w:val="bottom"/>
            <w:hideMark/>
          </w:tcPr>
          <w:p w:rsidR="00757790" w:rsidRPr="00C26839" w:rsidRDefault="00757790" w:rsidP="001429C6">
            <w:pPr>
              <w:spacing w:after="0"/>
              <w:jc w:val="center"/>
              <w:rPr>
                <w:rFonts w:eastAsia="Times New Roman" w:cs="Times New Roman"/>
                <w:color w:val="000000"/>
                <w:sz w:val="18"/>
                <w:szCs w:val="18"/>
              </w:rPr>
            </w:pPr>
            <w:r w:rsidRPr="00C26839">
              <w:rPr>
                <w:rFonts w:eastAsia="Times New Roman" w:cs="Times New Roman"/>
                <w:color w:val="000000"/>
                <w:sz w:val="18"/>
                <w:szCs w:val="18"/>
              </w:rPr>
              <w:t>0.28</w:t>
            </w:r>
          </w:p>
        </w:tc>
      </w:tr>
    </w:tbl>
    <w:p w:rsidR="00757790" w:rsidRPr="00EC079B" w:rsidRDefault="00757790" w:rsidP="00757790">
      <w:pPr>
        <w:spacing w:before="120"/>
        <w:rPr>
          <w:rFonts w:cs="Times New Roman"/>
          <w:b/>
          <w:i/>
          <w:sz w:val="20"/>
        </w:rPr>
      </w:pPr>
      <w:r>
        <w:rPr>
          <w:rFonts w:cs="Times New Roman"/>
          <w:b/>
          <w:i/>
          <w:sz w:val="20"/>
        </w:rPr>
        <w:t xml:space="preserve">Source: </w:t>
      </w:r>
      <w:r w:rsidRPr="00EC079B">
        <w:rPr>
          <w:rFonts w:cs="Times New Roman"/>
          <w:b/>
          <w:i/>
          <w:sz w:val="20"/>
        </w:rPr>
        <w:t>Estimate based on HIES 2000 and 2010</w:t>
      </w:r>
    </w:p>
    <w:p w:rsidR="00757790" w:rsidRPr="003368EF" w:rsidRDefault="00757790" w:rsidP="00757790">
      <w:pPr>
        <w:rPr>
          <w:b/>
        </w:rPr>
      </w:pPr>
      <w:r w:rsidRPr="003368EF">
        <w:rPr>
          <w:b/>
        </w:rPr>
        <w:t xml:space="preserve">A.2.2 Sub-District Level Poverty </w:t>
      </w:r>
    </w:p>
    <w:p w:rsidR="00757790" w:rsidRPr="00C26839" w:rsidRDefault="00757790" w:rsidP="00757790">
      <w:pPr>
        <w:pStyle w:val="Heading8"/>
        <w:spacing w:after="120"/>
        <w:rPr>
          <w:rFonts w:eastAsia="Times New Roman"/>
          <w:bCs/>
          <w:color w:val="000000"/>
        </w:rPr>
      </w:pPr>
      <w:bookmarkStart w:id="987" w:name="_Toc474639336"/>
      <w:r w:rsidRPr="00C26839">
        <w:t xml:space="preserve">Table A2.4: Coastal Zone Sub-District Level </w:t>
      </w:r>
      <w:r w:rsidRPr="00C26839">
        <w:rPr>
          <w:rFonts w:eastAsia="Times New Roman"/>
          <w:bCs/>
          <w:color w:val="000000"/>
        </w:rPr>
        <w:t>Poverty and Inequality (%)</w:t>
      </w:r>
      <w:bookmarkEnd w:id="9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4"/>
        <w:gridCol w:w="1283"/>
        <w:gridCol w:w="647"/>
        <w:gridCol w:w="973"/>
        <w:gridCol w:w="649"/>
        <w:gridCol w:w="1283"/>
        <w:gridCol w:w="647"/>
        <w:gridCol w:w="973"/>
        <w:gridCol w:w="647"/>
      </w:tblGrid>
      <w:tr w:rsidR="00757790" w:rsidRPr="00C26839" w:rsidTr="001429C6">
        <w:trPr>
          <w:trHeight w:val="144"/>
          <w:tblHeader/>
        </w:trPr>
        <w:tc>
          <w:tcPr>
            <w:tcW w:w="1291" w:type="pct"/>
            <w:vMerge w:val="restart"/>
            <w:shd w:val="clear" w:color="auto" w:fill="F2F2F2" w:themeFill="background1" w:themeFillShade="F2"/>
            <w:noWrap/>
            <w:vAlign w:val="center"/>
            <w:hideMark/>
          </w:tcPr>
          <w:p w:rsidR="00757790" w:rsidRPr="00C26839" w:rsidRDefault="00757790" w:rsidP="001429C6">
            <w:pPr>
              <w:spacing w:after="0"/>
              <w:rPr>
                <w:rFonts w:eastAsia="Times New Roman" w:cs="Times New Roman"/>
                <w:b/>
                <w:color w:val="000000"/>
                <w:sz w:val="18"/>
                <w:szCs w:val="16"/>
              </w:rPr>
            </w:pPr>
            <w:r w:rsidRPr="00C26839">
              <w:rPr>
                <w:rFonts w:eastAsia="Times New Roman" w:cs="Times New Roman"/>
                <w:b/>
                <w:color w:val="000000"/>
                <w:sz w:val="18"/>
                <w:szCs w:val="16"/>
              </w:rPr>
              <w:t>Hotspot: Coastal Zone</w:t>
            </w:r>
          </w:p>
        </w:tc>
        <w:tc>
          <w:tcPr>
            <w:tcW w:w="1855"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2000</w:t>
            </w:r>
          </w:p>
        </w:tc>
        <w:tc>
          <w:tcPr>
            <w:tcW w:w="1854"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2010</w:t>
            </w:r>
          </w:p>
        </w:tc>
      </w:tr>
      <w:tr w:rsidR="00757790" w:rsidRPr="00C26839" w:rsidTr="001429C6">
        <w:trPr>
          <w:trHeight w:val="144"/>
          <w:tblHeader/>
        </w:trPr>
        <w:tc>
          <w:tcPr>
            <w:tcW w:w="1291" w:type="pct"/>
            <w:vMerge/>
            <w:shd w:val="clear" w:color="auto" w:fill="F2F2F2" w:themeFill="background1" w:themeFillShade="F2"/>
            <w:noWrap/>
            <w:vAlign w:val="bottom"/>
            <w:hideMark/>
          </w:tcPr>
          <w:p w:rsidR="00757790" w:rsidRPr="00C26839" w:rsidRDefault="00757790" w:rsidP="001429C6">
            <w:pPr>
              <w:spacing w:after="0"/>
              <w:rPr>
                <w:rFonts w:eastAsia="Times New Roman" w:cs="Times New Roman"/>
                <w:color w:val="000000"/>
                <w:sz w:val="18"/>
                <w:szCs w:val="16"/>
              </w:rPr>
            </w:pPr>
          </w:p>
        </w:tc>
        <w:tc>
          <w:tcPr>
            <w:tcW w:w="670"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Head Count</w:t>
            </w:r>
          </w:p>
        </w:tc>
        <w:tc>
          <w:tcPr>
            <w:tcW w:w="338"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Gap</w:t>
            </w:r>
          </w:p>
        </w:tc>
        <w:tc>
          <w:tcPr>
            <w:tcW w:w="508"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Severity</w:t>
            </w:r>
          </w:p>
        </w:tc>
        <w:tc>
          <w:tcPr>
            <w:tcW w:w="339"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Gini</w:t>
            </w:r>
          </w:p>
        </w:tc>
        <w:tc>
          <w:tcPr>
            <w:tcW w:w="670"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Head Count</w:t>
            </w:r>
          </w:p>
        </w:tc>
        <w:tc>
          <w:tcPr>
            <w:tcW w:w="338"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Gap</w:t>
            </w:r>
          </w:p>
        </w:tc>
        <w:tc>
          <w:tcPr>
            <w:tcW w:w="508"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Severity</w:t>
            </w:r>
          </w:p>
        </w:tc>
        <w:tc>
          <w:tcPr>
            <w:tcW w:w="338"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6"/>
              </w:rPr>
            </w:pPr>
            <w:r w:rsidRPr="00C26839">
              <w:rPr>
                <w:rFonts w:eastAsia="Times New Roman" w:cs="Times New Roman"/>
                <w:b/>
                <w:bCs/>
                <w:color w:val="000000"/>
                <w:sz w:val="18"/>
                <w:szCs w:val="16"/>
              </w:rPr>
              <w:t>Gini</w:t>
            </w:r>
          </w:p>
        </w:tc>
      </w:tr>
      <w:tr w:rsidR="00757790" w:rsidRPr="00C26839" w:rsidTr="001429C6">
        <w:trPr>
          <w:trHeight w:val="144"/>
        </w:trPr>
        <w:tc>
          <w:tcPr>
            <w:tcW w:w="1291"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6"/>
              </w:rPr>
            </w:pPr>
          </w:p>
        </w:tc>
        <w:tc>
          <w:tcPr>
            <w:tcW w:w="670"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6"/>
              </w:rPr>
            </w:pPr>
          </w:p>
        </w:tc>
        <w:tc>
          <w:tcPr>
            <w:tcW w:w="338"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6"/>
              </w:rPr>
            </w:pPr>
          </w:p>
        </w:tc>
        <w:tc>
          <w:tcPr>
            <w:tcW w:w="508"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6"/>
              </w:rPr>
            </w:pPr>
          </w:p>
        </w:tc>
        <w:tc>
          <w:tcPr>
            <w:tcW w:w="339"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6"/>
              </w:rPr>
            </w:pPr>
          </w:p>
        </w:tc>
        <w:tc>
          <w:tcPr>
            <w:tcW w:w="670"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6"/>
              </w:rPr>
            </w:pPr>
          </w:p>
        </w:tc>
        <w:tc>
          <w:tcPr>
            <w:tcW w:w="338"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6"/>
              </w:rPr>
            </w:pPr>
          </w:p>
        </w:tc>
        <w:tc>
          <w:tcPr>
            <w:tcW w:w="508"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6"/>
              </w:rPr>
            </w:pPr>
          </w:p>
        </w:tc>
        <w:tc>
          <w:tcPr>
            <w:tcW w:w="338" w:type="pct"/>
            <w:shd w:val="clear" w:color="auto" w:fill="auto"/>
            <w:noWrap/>
            <w:vAlign w:val="bottom"/>
            <w:hideMark/>
          </w:tcPr>
          <w:p w:rsidR="00757790" w:rsidRPr="00C26839" w:rsidRDefault="00757790" w:rsidP="001429C6">
            <w:pPr>
              <w:spacing w:after="0"/>
              <w:jc w:val="center"/>
              <w:rPr>
                <w:rFonts w:eastAsia="Times New Roman" w:cs="Times New Roman"/>
                <w:b/>
                <w:bCs/>
                <w:color w:val="000000"/>
                <w:sz w:val="18"/>
                <w:szCs w:val="16"/>
              </w:rPr>
            </w:pPr>
          </w:p>
        </w:tc>
      </w:tr>
      <w:tr w:rsidR="00757790" w:rsidRPr="00C26839" w:rsidTr="001429C6">
        <w:trPr>
          <w:trHeight w:val="144"/>
        </w:trPr>
        <w:tc>
          <w:tcPr>
            <w:tcW w:w="1291"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6"/>
              </w:rPr>
            </w:pPr>
            <w:r w:rsidRPr="00C26839">
              <w:rPr>
                <w:rFonts w:eastAsia="Times New Roman" w:cs="Times New Roman"/>
                <w:b/>
                <w:bCs/>
                <w:color w:val="000000"/>
                <w:sz w:val="18"/>
                <w:szCs w:val="16"/>
              </w:rPr>
              <w:t>District: Bagerhat</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56.1</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13.2</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4.3</w:t>
            </w:r>
          </w:p>
        </w:tc>
        <w:tc>
          <w:tcPr>
            <w:tcW w:w="339"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0.28</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43.2</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11.2</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4.1</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0.31</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6"/>
              </w:rPr>
            </w:pPr>
            <w:r w:rsidRPr="00C26839">
              <w:rPr>
                <w:rFonts w:eastAsia="Times New Roman" w:cs="Times New Roman"/>
                <w:b/>
                <w:color w:val="000000"/>
                <w:sz w:val="18"/>
                <w:szCs w:val="16"/>
              </w:rPr>
              <w:t>Sub-Districts</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Bagerhat Sadar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48.9</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12.2</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4.1</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0.31</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35.9</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7.0</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0.18</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Chitalmari</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1.1</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0.3</w:t>
            </w:r>
          </w:p>
        </w:tc>
        <w:tc>
          <w:tcPr>
            <w:tcW w:w="338"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0.24</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Fakirhat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36.4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14.3</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6.2</w:t>
            </w:r>
          </w:p>
        </w:tc>
        <w:tc>
          <w:tcPr>
            <w:tcW w:w="338"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0.30</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Mollar Hat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75.2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18.5</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5.8</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0.18</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46.1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11.8</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4.0</w:t>
            </w:r>
          </w:p>
        </w:tc>
        <w:tc>
          <w:tcPr>
            <w:tcW w:w="338"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0.23</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Morrelganj</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62.2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10.2</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2.9</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0.21</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46.5</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9.6</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3.2</w:t>
            </w:r>
          </w:p>
        </w:tc>
        <w:tc>
          <w:tcPr>
            <w:tcW w:w="338"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0.22</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Rampal</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40.0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11.0</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4.2</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0.28</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41.1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19.4</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7.1</w:t>
            </w:r>
          </w:p>
        </w:tc>
        <w:tc>
          <w:tcPr>
            <w:tcW w:w="338"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0.23</w:t>
            </w:r>
          </w:p>
        </w:tc>
      </w:tr>
      <w:tr w:rsidR="00757790" w:rsidRPr="00C26839" w:rsidTr="001429C6">
        <w:trPr>
          <w:trHeight w:val="144"/>
        </w:trPr>
        <w:tc>
          <w:tcPr>
            <w:tcW w:w="1291"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6"/>
              </w:rPr>
            </w:pPr>
            <w:r w:rsidRPr="00C26839">
              <w:rPr>
                <w:rFonts w:eastAsia="Times New Roman" w:cs="Times New Roman"/>
                <w:b/>
                <w:bCs/>
                <w:color w:val="000000"/>
                <w:sz w:val="18"/>
                <w:szCs w:val="16"/>
              </w:rPr>
              <w:t>District: Jessore</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50.2</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15.1</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5.4</w:t>
            </w:r>
          </w:p>
        </w:tc>
        <w:tc>
          <w:tcPr>
            <w:tcW w:w="339"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0.36</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39.8</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6.9</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1.9</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0.23</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6"/>
              </w:rPr>
            </w:pPr>
            <w:r w:rsidRPr="00C26839">
              <w:rPr>
                <w:rFonts w:eastAsia="Times New Roman" w:cs="Times New Roman"/>
                <w:b/>
                <w:color w:val="000000"/>
                <w:sz w:val="18"/>
                <w:szCs w:val="16"/>
              </w:rPr>
              <w:t>Sub-Districts</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9"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Abhaynagar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79.0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22.2</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7.9</w:t>
            </w:r>
          </w:p>
        </w:tc>
        <w:tc>
          <w:tcPr>
            <w:tcW w:w="339"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0.22</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36.0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7.2</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1.9</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0.26</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Chaugachha</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68.3</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21.6</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8.8</w:t>
            </w:r>
          </w:p>
        </w:tc>
        <w:tc>
          <w:tcPr>
            <w:tcW w:w="339"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0.25</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42.8</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3.7</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0.7</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0.12</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Jhikargachha</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38.9</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4.8</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0.8</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0.17</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Keshabpur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84.8</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27.2</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9.9</w:t>
            </w:r>
          </w:p>
        </w:tc>
        <w:tc>
          <w:tcPr>
            <w:tcW w:w="339"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0.19</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42.0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10.9</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0.14</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Jessore Sadar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24.2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4.9</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1.2</w:t>
            </w:r>
          </w:p>
        </w:tc>
        <w:tc>
          <w:tcPr>
            <w:tcW w:w="339"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0.37</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35.3</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7.0</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0.25</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Manirampur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38.1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9.7</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2.7</w:t>
            </w:r>
          </w:p>
        </w:tc>
        <w:tc>
          <w:tcPr>
            <w:tcW w:w="339"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0.19</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40.2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7.7</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2.3</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0.16</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Sharsha</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41.8</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13.4</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5.3</w:t>
            </w:r>
          </w:p>
        </w:tc>
        <w:tc>
          <w:tcPr>
            <w:tcW w:w="339"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0.25</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40.8</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7.3</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0.15</w:t>
            </w:r>
          </w:p>
        </w:tc>
      </w:tr>
      <w:tr w:rsidR="00757790" w:rsidRPr="00C26839" w:rsidTr="001429C6">
        <w:trPr>
          <w:trHeight w:val="144"/>
        </w:trPr>
        <w:tc>
          <w:tcPr>
            <w:tcW w:w="1291"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6"/>
              </w:rPr>
            </w:pPr>
            <w:r w:rsidRPr="00C26839">
              <w:rPr>
                <w:rFonts w:eastAsia="Times New Roman" w:cs="Times New Roman"/>
                <w:b/>
                <w:bCs/>
                <w:color w:val="000000"/>
                <w:sz w:val="18"/>
                <w:szCs w:val="16"/>
              </w:rPr>
              <w:t>District: Lakshmipur</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56.1</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19.5</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8.3</w:t>
            </w:r>
          </w:p>
        </w:tc>
        <w:tc>
          <w:tcPr>
            <w:tcW w:w="339"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0.3</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26.6</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6.4</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1.9</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0.28</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6"/>
              </w:rPr>
            </w:pPr>
            <w:r w:rsidRPr="00C26839">
              <w:rPr>
                <w:rFonts w:eastAsia="Times New Roman" w:cs="Times New Roman"/>
                <w:b/>
                <w:color w:val="000000"/>
                <w:sz w:val="18"/>
                <w:szCs w:val="16"/>
              </w:rPr>
              <w:t>Sub-Districts</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Lakshmipur Sadar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32.7</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9.8</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3.1</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0.3</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45.6</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6.9</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1.9</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0.28</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Raipur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16.7</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0.5</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0.22</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Ramganj</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45.3</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16.5</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7.0</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0.3</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21.4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18.5</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0.21</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Ramgati</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84.9</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29.6</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13.5</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30.4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6.6</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0.27</w:t>
            </w:r>
          </w:p>
        </w:tc>
      </w:tr>
      <w:tr w:rsidR="00757790" w:rsidRPr="00C26839" w:rsidTr="001429C6">
        <w:trPr>
          <w:trHeight w:val="144"/>
        </w:trPr>
        <w:tc>
          <w:tcPr>
            <w:tcW w:w="1291"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6"/>
              </w:rPr>
            </w:pPr>
            <w:r w:rsidRPr="00C26839">
              <w:rPr>
                <w:rFonts w:eastAsia="Times New Roman" w:cs="Times New Roman"/>
                <w:b/>
                <w:bCs/>
                <w:color w:val="000000"/>
                <w:sz w:val="18"/>
                <w:szCs w:val="16"/>
              </w:rPr>
              <w:t>District: Pirojpur</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55.5</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16.9</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6.7</w:t>
            </w:r>
          </w:p>
        </w:tc>
        <w:tc>
          <w:tcPr>
            <w:tcW w:w="339"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0.32</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45.5</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12.5</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4.0</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0.39</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6"/>
              </w:rPr>
            </w:pPr>
            <w:r w:rsidRPr="00C26839">
              <w:rPr>
                <w:rFonts w:eastAsia="Times New Roman" w:cs="Times New Roman"/>
                <w:b/>
                <w:color w:val="000000"/>
                <w:sz w:val="18"/>
                <w:szCs w:val="16"/>
              </w:rPr>
              <w:t>Sub-Districts</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Bhandaria</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76.9</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26.8</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11.3</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0.22</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42.0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12.5</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0.19</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Kawkhali</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52.2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12.5</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3.6</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0.20</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Mathbaria</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81.4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18.7</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5.7</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0.15</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38.0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16.5</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0.16</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Nazirpur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30.2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8.1</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3.9</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0.33</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51.5</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11.4</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0.29</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Pirojpur Sadar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40.8</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12.6</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5.2</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0.31</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42.7</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18.2</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0.24</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Nesarabad (Swarupkati)</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43.3</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2.9</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0.6</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0.14</w:t>
            </w:r>
          </w:p>
        </w:tc>
      </w:tr>
      <w:tr w:rsidR="00757790" w:rsidRPr="00C26839" w:rsidTr="001429C6">
        <w:trPr>
          <w:trHeight w:val="144"/>
        </w:trPr>
        <w:tc>
          <w:tcPr>
            <w:tcW w:w="1291"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6"/>
              </w:rPr>
            </w:pPr>
            <w:r w:rsidRPr="00C26839">
              <w:rPr>
                <w:rFonts w:eastAsia="Times New Roman" w:cs="Times New Roman"/>
                <w:b/>
                <w:bCs/>
                <w:color w:val="000000"/>
                <w:sz w:val="18"/>
                <w:szCs w:val="16"/>
              </w:rPr>
              <w:t>District: Satkhira</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57.2</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16.3</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6.2</w:t>
            </w:r>
          </w:p>
        </w:tc>
        <w:tc>
          <w:tcPr>
            <w:tcW w:w="339"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0.3</w:t>
            </w:r>
          </w:p>
        </w:tc>
        <w:tc>
          <w:tcPr>
            <w:tcW w:w="67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46.6</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10.3</w:t>
            </w:r>
          </w:p>
        </w:tc>
        <w:tc>
          <w:tcPr>
            <w:tcW w:w="50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4.2</w:t>
            </w:r>
          </w:p>
        </w:tc>
        <w:tc>
          <w:tcPr>
            <w:tcW w:w="338"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6"/>
              </w:rPr>
            </w:pPr>
            <w:r w:rsidRPr="00C26839">
              <w:rPr>
                <w:rFonts w:eastAsia="Times New Roman" w:cs="Times New Roman"/>
                <w:b/>
                <w:bCs/>
                <w:color w:val="000000"/>
                <w:sz w:val="18"/>
                <w:szCs w:val="16"/>
              </w:rPr>
              <w:t>0.22</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6"/>
              </w:rPr>
            </w:pPr>
            <w:r w:rsidRPr="00C26839">
              <w:rPr>
                <w:rFonts w:eastAsia="Times New Roman" w:cs="Times New Roman"/>
                <w:b/>
                <w:color w:val="000000"/>
                <w:sz w:val="18"/>
                <w:szCs w:val="16"/>
              </w:rPr>
              <w:t>Sub-Districts</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Assasuni</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55.8</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14.3</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4.8</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0.28</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48.4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22.3</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13.2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0.21</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Kalaroa</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46.0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6.0</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1.8</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0.21</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Kaliganj</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67.4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24.2</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9.5</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0.29</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48.0</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4.2</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0.23</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Satkhira Sadar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57.4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18.6</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8.0</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0.32</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43.1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10.4</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3.6</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0.19</w:t>
            </w:r>
          </w:p>
        </w:tc>
      </w:tr>
      <w:tr w:rsidR="00757790" w:rsidRPr="00C26839" w:rsidTr="001429C6">
        <w:trPr>
          <w:trHeight w:val="14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Shyamnagar</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50.2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15.2</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5.6</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0.21</w:t>
            </w:r>
          </w:p>
        </w:tc>
      </w:tr>
      <w:tr w:rsidR="00757790" w:rsidRPr="00C26839" w:rsidTr="001429C6">
        <w:trPr>
          <w:trHeight w:val="224"/>
        </w:trPr>
        <w:tc>
          <w:tcPr>
            <w:tcW w:w="1291"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6"/>
              </w:rPr>
            </w:pPr>
            <w:r w:rsidRPr="00C26839">
              <w:rPr>
                <w:rFonts w:eastAsia="Times New Roman" w:cs="Times New Roman"/>
                <w:color w:val="000000"/>
                <w:sz w:val="18"/>
                <w:szCs w:val="16"/>
              </w:rPr>
              <w:t>Tala</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49.1</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7.4</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1.6</w:t>
            </w:r>
          </w:p>
        </w:tc>
        <w:tc>
          <w:tcPr>
            <w:tcW w:w="339"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0.25</w:t>
            </w:r>
          </w:p>
        </w:tc>
        <w:tc>
          <w:tcPr>
            <w:tcW w:w="67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45.2</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2.7</w:t>
            </w:r>
          </w:p>
        </w:tc>
        <w:tc>
          <w:tcPr>
            <w:tcW w:w="50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0.4</w:t>
            </w:r>
          </w:p>
        </w:tc>
        <w:tc>
          <w:tcPr>
            <w:tcW w:w="338"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6"/>
              </w:rPr>
            </w:pPr>
            <w:r w:rsidRPr="00C26839">
              <w:rPr>
                <w:rFonts w:eastAsia="Times New Roman" w:cs="Times New Roman"/>
                <w:color w:val="000000"/>
                <w:sz w:val="18"/>
                <w:szCs w:val="16"/>
              </w:rPr>
              <w:t>0.16</w:t>
            </w:r>
          </w:p>
        </w:tc>
      </w:tr>
    </w:tbl>
    <w:p w:rsidR="00757790" w:rsidRPr="00EC079B" w:rsidRDefault="00757790" w:rsidP="00757790">
      <w:pPr>
        <w:spacing w:before="120"/>
        <w:rPr>
          <w:rFonts w:cs="Times New Roman"/>
          <w:b/>
          <w:i/>
          <w:sz w:val="20"/>
        </w:rPr>
      </w:pPr>
      <w:r w:rsidRPr="00EC079B">
        <w:rPr>
          <w:rFonts w:cs="Times New Roman"/>
          <w:b/>
          <w:i/>
          <w:sz w:val="20"/>
        </w:rPr>
        <w:t>Source:</w:t>
      </w:r>
      <w:r>
        <w:rPr>
          <w:rFonts w:cs="Times New Roman"/>
          <w:b/>
          <w:i/>
          <w:sz w:val="20"/>
        </w:rPr>
        <w:t xml:space="preserve"> </w:t>
      </w:r>
      <w:r w:rsidRPr="00EC079B">
        <w:rPr>
          <w:rFonts w:cs="Times New Roman"/>
          <w:b/>
          <w:i/>
          <w:sz w:val="20"/>
        </w:rPr>
        <w:t>Estimate based on HIES 2000 and 2010</w:t>
      </w:r>
    </w:p>
    <w:p w:rsidR="00757790" w:rsidRPr="00EC079B" w:rsidRDefault="00757790" w:rsidP="00757790">
      <w:pPr>
        <w:rPr>
          <w:rFonts w:cs="Times New Roman"/>
          <w:sz w:val="2"/>
        </w:rPr>
      </w:pPr>
    </w:p>
    <w:p w:rsidR="00757790" w:rsidRPr="00C26839" w:rsidRDefault="00757790" w:rsidP="00757790">
      <w:pPr>
        <w:pStyle w:val="Heading8"/>
        <w:spacing w:after="120"/>
        <w:rPr>
          <w:rFonts w:eastAsia="Times New Roman"/>
          <w:bCs/>
          <w:color w:val="000000"/>
        </w:rPr>
      </w:pPr>
      <w:bookmarkStart w:id="988" w:name="_Toc474639337"/>
      <w:r w:rsidRPr="00C26839">
        <w:t xml:space="preserve">Table A2.5: Drought Prone-District Level </w:t>
      </w:r>
      <w:r w:rsidRPr="00C26839">
        <w:rPr>
          <w:rFonts w:eastAsia="Times New Roman"/>
          <w:bCs/>
          <w:color w:val="000000"/>
        </w:rPr>
        <w:t>Poverty and Inequality (%)</w:t>
      </w:r>
      <w:bookmarkEnd w:id="9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64"/>
        <w:gridCol w:w="1302"/>
        <w:gridCol w:w="657"/>
        <w:gridCol w:w="988"/>
        <w:gridCol w:w="659"/>
        <w:gridCol w:w="1302"/>
        <w:gridCol w:w="657"/>
        <w:gridCol w:w="988"/>
        <w:gridCol w:w="659"/>
      </w:tblGrid>
      <w:tr w:rsidR="00757790" w:rsidRPr="00C26839" w:rsidTr="001429C6">
        <w:trPr>
          <w:trHeight w:val="144"/>
          <w:tblHeader/>
        </w:trPr>
        <w:tc>
          <w:tcPr>
            <w:tcW w:w="1234" w:type="pct"/>
            <w:vMerge w:val="restart"/>
            <w:shd w:val="clear" w:color="auto" w:fill="F2F2F2" w:themeFill="background1" w:themeFillShade="F2"/>
            <w:noWrap/>
            <w:vAlign w:val="center"/>
            <w:hideMark/>
          </w:tcPr>
          <w:p w:rsidR="00757790" w:rsidRPr="00C26839" w:rsidRDefault="00757790" w:rsidP="001429C6">
            <w:pPr>
              <w:spacing w:after="0"/>
              <w:rPr>
                <w:rFonts w:eastAsia="Times New Roman" w:cs="Times New Roman"/>
                <w:b/>
                <w:color w:val="000000"/>
                <w:sz w:val="18"/>
                <w:szCs w:val="18"/>
              </w:rPr>
            </w:pPr>
            <w:r w:rsidRPr="00C26839">
              <w:rPr>
                <w:rFonts w:eastAsia="Times New Roman" w:cs="Times New Roman"/>
                <w:b/>
                <w:color w:val="000000"/>
                <w:sz w:val="18"/>
                <w:szCs w:val="18"/>
              </w:rPr>
              <w:t>Hotspot: Drought Prone</w:t>
            </w:r>
          </w:p>
        </w:tc>
        <w:tc>
          <w:tcPr>
            <w:tcW w:w="1883"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2000</w:t>
            </w:r>
          </w:p>
        </w:tc>
        <w:tc>
          <w:tcPr>
            <w:tcW w:w="1883" w:type="pct"/>
            <w:gridSpan w:val="4"/>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2010</w:t>
            </w:r>
          </w:p>
        </w:tc>
      </w:tr>
      <w:tr w:rsidR="00757790" w:rsidRPr="00C26839" w:rsidTr="001429C6">
        <w:trPr>
          <w:trHeight w:val="144"/>
          <w:tblHeader/>
        </w:trPr>
        <w:tc>
          <w:tcPr>
            <w:tcW w:w="1234" w:type="pct"/>
            <w:vMerge/>
            <w:shd w:val="clear" w:color="auto" w:fill="F2F2F2" w:themeFill="background1" w:themeFillShade="F2"/>
            <w:noWrap/>
            <w:vAlign w:val="bottom"/>
            <w:hideMark/>
          </w:tcPr>
          <w:p w:rsidR="00757790" w:rsidRPr="00C26839" w:rsidRDefault="00757790" w:rsidP="001429C6">
            <w:pPr>
              <w:spacing w:after="0"/>
              <w:rPr>
                <w:rFonts w:eastAsia="Times New Roman" w:cs="Times New Roman"/>
                <w:color w:val="000000"/>
                <w:sz w:val="18"/>
                <w:szCs w:val="18"/>
              </w:rPr>
            </w:pPr>
          </w:p>
        </w:tc>
        <w:tc>
          <w:tcPr>
            <w:tcW w:w="680"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43"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16"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44"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c>
          <w:tcPr>
            <w:tcW w:w="680"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43"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16"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44" w:type="pct"/>
            <w:shd w:val="clear" w:color="auto" w:fill="F2F2F2" w:themeFill="background1" w:themeFillShade="F2"/>
            <w:noWrap/>
            <w:vAlign w:val="bottom"/>
            <w:hideMark/>
          </w:tcPr>
          <w:p w:rsidR="00757790" w:rsidRPr="00C26839" w:rsidRDefault="00757790" w:rsidP="001429C6">
            <w:pPr>
              <w:spacing w:after="0"/>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r>
      <w:tr w:rsidR="00757790" w:rsidRPr="00C26839" w:rsidTr="001429C6">
        <w:trPr>
          <w:trHeight w:val="144"/>
        </w:trPr>
        <w:tc>
          <w:tcPr>
            <w:tcW w:w="1234"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District: Chuadanga</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55.6</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13.0</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4.6</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0.21</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27.8</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4.7</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1.2</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0.36</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Alamdanga</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47.2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9.3</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2.6</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0.18</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26.0</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5.5</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1.1</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0.17</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Chuadanga Sadar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65.2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17.6</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7.1</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0.24</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29.2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0.6</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0.42</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Damurhuda</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27.1</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1.1</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0.18</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Jibannagar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29.1</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5.7</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2.5</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0.14</w:t>
            </w:r>
          </w:p>
        </w:tc>
      </w:tr>
      <w:tr w:rsidR="00757790" w:rsidRPr="00C26839" w:rsidTr="001429C6">
        <w:trPr>
          <w:trHeight w:val="144"/>
        </w:trPr>
        <w:tc>
          <w:tcPr>
            <w:tcW w:w="1234"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District: Dinajpur</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67.28</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21.6</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8.63</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0.24</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38.9</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8.8</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2.58</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0.36</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Birampur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35.9</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13.1</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3.4</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0.25</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Biral</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38.8</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21.5</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8.0</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0.27</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Chirirbandar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70.8</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28.5</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13.3</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0.30</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38.5</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2.5</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0.4</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0.25</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Kaharole</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76.4</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22.8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8.7</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0.18</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44.3</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8.0</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2.4</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0.15</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Dinajpur Sadar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64.4</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24.0</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10.3</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0.25</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28.2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5.0</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1.3</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0.31</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Nawabganj</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78.6</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16.5</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4.9</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0.22</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37.3</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9.9</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2.4</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0.22</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Parbatipur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69.4</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20.9</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7.4</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0.21</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39.7</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r>
      <w:tr w:rsidR="00757790" w:rsidRPr="00C26839" w:rsidTr="001429C6">
        <w:trPr>
          <w:trHeight w:val="144"/>
        </w:trPr>
        <w:tc>
          <w:tcPr>
            <w:tcW w:w="1234"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District: Joypurhat</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77.5</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21.2</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7.7</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0.19</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26.6</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6.5</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1.8</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0.23</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Joypurhat Sadar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26.0</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3.3</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0.5</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0.18</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Kalai</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25.6</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2.9</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0.26</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Panchbibi</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87.2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26.2</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9.7</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0.18</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28.3</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7.7</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2.1</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0.24</w:t>
            </w:r>
          </w:p>
        </w:tc>
      </w:tr>
      <w:tr w:rsidR="00757790" w:rsidRPr="00C26839" w:rsidTr="001429C6">
        <w:trPr>
          <w:trHeight w:val="144"/>
        </w:trPr>
        <w:tc>
          <w:tcPr>
            <w:tcW w:w="1234"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District: Natore</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61.8</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15.0</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4.7</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0.18</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35.0</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8.9</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3.0</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0.3</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Bagatipara</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31.6</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13.8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5.5</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0.20</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Baraigram</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83.5</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18.8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5.1</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0.11</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36.1</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0.9</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0.24</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Lalpur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35.7</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10.7</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4.0</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0.20</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Natore Sadar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45.4</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9.2</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2.4</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0.14</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31.8</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7.3</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2.0</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0.29</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Singra</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54.9</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17.0</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6.9</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0.25</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37.8</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11.8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4.1</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0.25</w:t>
            </w:r>
          </w:p>
        </w:tc>
      </w:tr>
      <w:tr w:rsidR="00757790" w:rsidRPr="00C26839" w:rsidTr="001429C6">
        <w:trPr>
          <w:trHeight w:val="144"/>
        </w:trPr>
        <w:tc>
          <w:tcPr>
            <w:tcW w:w="1234"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District: Panchagarh</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84.2</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27.0</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10.1</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0.19</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26.1</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7.5</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2.4</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0.26</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Atwari</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24.1</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3.9</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1.0</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0.27</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Boda</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77.7</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26.4</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9.9</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0.22</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26.6</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15.7</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5.5</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0.17</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Debiganj</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34.2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11.5</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3.9</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0.22</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Panchagarh Sadar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24.2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4.3</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1.2</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0.23</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Tetulia</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91.0</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27.5</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10.3</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0.15</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21.5</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2.2</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0.4</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0.16</w:t>
            </w:r>
          </w:p>
        </w:tc>
      </w:tr>
      <w:tr w:rsidR="00757790" w:rsidRPr="00C26839" w:rsidTr="001429C6">
        <w:trPr>
          <w:trHeight w:val="144"/>
        </w:trPr>
        <w:tc>
          <w:tcPr>
            <w:tcW w:w="1234"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District: Rangpur</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74.3</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35.2</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18.6</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0.37</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47.9</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11.5</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4.3</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0.32</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Badarganj</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48.3</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15.3</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5.0</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0.21</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Gangachhara</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58.3</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26.7</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12.1</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0.18</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Rangpur Sadar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45.0</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18.0</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7.9</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0.33</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37.1</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8.9</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3.3</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0.35</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Mithapukur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73.2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28.3</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13.3</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0.25</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45.4</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4.7</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1.7</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0.21</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Pirgachha</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49.7</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9.8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3.6</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0.17</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Pirganj</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100.0</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52.2</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29.5</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0.17</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46.9</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6.3</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1.6</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0.18</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Taraganj</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87.2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38.5</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19.6</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0.23</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52.4</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10.6</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3.6</w:t>
            </w:r>
          </w:p>
        </w:tc>
        <w:tc>
          <w:tcPr>
            <w:tcW w:w="344" w:type="pct"/>
            <w:shd w:val="clear" w:color="auto" w:fill="auto"/>
            <w:noWrap/>
            <w:vAlign w:val="center"/>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0.14</w:t>
            </w:r>
          </w:p>
        </w:tc>
      </w:tr>
      <w:tr w:rsidR="00757790" w:rsidRPr="00C26839" w:rsidTr="001429C6">
        <w:trPr>
          <w:trHeight w:val="144"/>
        </w:trPr>
        <w:tc>
          <w:tcPr>
            <w:tcW w:w="1234" w:type="pct"/>
            <w:shd w:val="clear" w:color="auto" w:fill="EAF1DD" w:themeFill="accent3" w:themeFillTint="33"/>
            <w:noWrap/>
            <w:vAlign w:val="bottom"/>
            <w:hideMark/>
          </w:tcPr>
          <w:p w:rsidR="00757790" w:rsidRPr="00C26839" w:rsidRDefault="00757790" w:rsidP="001429C6">
            <w:pPr>
              <w:spacing w:after="0"/>
              <w:rPr>
                <w:rFonts w:eastAsia="Times New Roman" w:cs="Times New Roman"/>
                <w:b/>
                <w:bCs/>
                <w:color w:val="000000"/>
                <w:sz w:val="18"/>
                <w:szCs w:val="18"/>
              </w:rPr>
            </w:pPr>
            <w:r w:rsidRPr="00C26839">
              <w:rPr>
                <w:rFonts w:eastAsia="Times New Roman" w:cs="Times New Roman"/>
                <w:b/>
                <w:bCs/>
                <w:color w:val="000000"/>
                <w:sz w:val="18"/>
                <w:szCs w:val="18"/>
              </w:rPr>
              <w:t>District: Sirajganj</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62.0</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22.4</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10.4</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0.4</w:t>
            </w:r>
          </w:p>
        </w:tc>
        <w:tc>
          <w:tcPr>
            <w:tcW w:w="680"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38.6</w:t>
            </w:r>
          </w:p>
        </w:tc>
        <w:tc>
          <w:tcPr>
            <w:tcW w:w="343"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10.8</w:t>
            </w:r>
          </w:p>
        </w:tc>
        <w:tc>
          <w:tcPr>
            <w:tcW w:w="516"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3.5</w:t>
            </w:r>
          </w:p>
        </w:tc>
        <w:tc>
          <w:tcPr>
            <w:tcW w:w="344" w:type="pct"/>
            <w:shd w:val="clear" w:color="auto" w:fill="EAF1DD" w:themeFill="accent3" w:themeFillTint="33"/>
            <w:noWrap/>
            <w:vAlign w:val="bottom"/>
            <w:hideMark/>
          </w:tcPr>
          <w:p w:rsidR="00757790" w:rsidRPr="00C26839" w:rsidRDefault="00757790" w:rsidP="001429C6">
            <w:pPr>
              <w:spacing w:after="0"/>
              <w:jc w:val="right"/>
              <w:rPr>
                <w:rFonts w:eastAsia="Times New Roman" w:cs="Times New Roman"/>
                <w:b/>
                <w:bCs/>
                <w:color w:val="000000"/>
                <w:sz w:val="18"/>
                <w:szCs w:val="18"/>
              </w:rPr>
            </w:pPr>
            <w:r w:rsidRPr="00C26839">
              <w:rPr>
                <w:rFonts w:eastAsia="Times New Roman" w:cs="Times New Roman"/>
                <w:b/>
                <w:bCs/>
                <w:color w:val="000000"/>
                <w:sz w:val="18"/>
                <w:szCs w:val="18"/>
              </w:rPr>
              <w:t>0.27</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680"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3"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516"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c>
          <w:tcPr>
            <w:tcW w:w="344" w:type="pct"/>
            <w:shd w:val="clear" w:color="auto" w:fill="auto"/>
            <w:noWrap/>
            <w:vAlign w:val="bottom"/>
            <w:hideMark/>
          </w:tcPr>
          <w:p w:rsidR="00757790" w:rsidRPr="00C26839" w:rsidRDefault="00757790" w:rsidP="001429C6">
            <w:pPr>
              <w:spacing w:after="0"/>
              <w:rPr>
                <w:rFonts w:eastAsia="Times New Roman" w:cs="Times New Roman"/>
                <w:color w:val="000000"/>
                <w:sz w:val="18"/>
                <w:szCs w:val="18"/>
              </w:rPr>
            </w:pP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Belkuchi</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79.6</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27.8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13.3</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0.26</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42.5</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11.8</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3.3</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0.18</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Kazipur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86.0</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35.1</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17.2</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0.22</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36.2</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8.9</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2.7</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0.26</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Shahjadpur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37.6</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4.9</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1.0</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0.19</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41.8</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12.1</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3.6</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0.33</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Sirajganj Sadar</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37.6</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12.0</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4.5</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0.41</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36.7</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12.5</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4.7</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0.20</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Tarash</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82.7</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29.6</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13.4</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0.24</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35.8</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14.2</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5.2</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0.16</w:t>
            </w:r>
          </w:p>
        </w:tc>
      </w:tr>
      <w:tr w:rsidR="00757790" w:rsidRPr="00C26839" w:rsidTr="001429C6">
        <w:trPr>
          <w:trHeight w:val="144"/>
        </w:trPr>
        <w:tc>
          <w:tcPr>
            <w:tcW w:w="1234" w:type="pct"/>
            <w:shd w:val="clear" w:color="auto" w:fill="auto"/>
            <w:noWrap/>
            <w:vAlign w:val="center"/>
            <w:hideMark/>
          </w:tcPr>
          <w:p w:rsidR="00757790" w:rsidRPr="00C26839" w:rsidRDefault="00757790" w:rsidP="001429C6">
            <w:pPr>
              <w:spacing w:after="0"/>
              <w:ind w:left="144"/>
              <w:rPr>
                <w:rFonts w:eastAsia="Times New Roman" w:cs="Times New Roman"/>
                <w:color w:val="000000"/>
                <w:sz w:val="18"/>
                <w:szCs w:val="18"/>
              </w:rPr>
            </w:pPr>
            <w:r w:rsidRPr="00C26839">
              <w:rPr>
                <w:rFonts w:eastAsia="Times New Roman" w:cs="Times New Roman"/>
                <w:color w:val="000000"/>
                <w:sz w:val="18"/>
                <w:szCs w:val="18"/>
              </w:rPr>
              <w:t>Ullahpara</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88.8</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40.4</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21.7</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0.24</w:t>
            </w:r>
          </w:p>
        </w:tc>
        <w:tc>
          <w:tcPr>
            <w:tcW w:w="680"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36.6</w:t>
            </w:r>
          </w:p>
        </w:tc>
        <w:tc>
          <w:tcPr>
            <w:tcW w:w="343"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5.4</w:t>
            </w:r>
          </w:p>
        </w:tc>
        <w:tc>
          <w:tcPr>
            <w:tcW w:w="516"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1.5</w:t>
            </w:r>
          </w:p>
        </w:tc>
        <w:tc>
          <w:tcPr>
            <w:tcW w:w="344" w:type="pct"/>
            <w:shd w:val="clear" w:color="auto" w:fill="auto"/>
            <w:noWrap/>
            <w:vAlign w:val="bottom"/>
            <w:hideMark/>
          </w:tcPr>
          <w:p w:rsidR="00757790" w:rsidRPr="00C26839" w:rsidRDefault="00757790" w:rsidP="001429C6">
            <w:pPr>
              <w:spacing w:after="0"/>
              <w:jc w:val="right"/>
              <w:rPr>
                <w:rFonts w:eastAsia="Times New Roman" w:cs="Times New Roman"/>
                <w:color w:val="000000"/>
                <w:sz w:val="18"/>
                <w:szCs w:val="18"/>
              </w:rPr>
            </w:pPr>
            <w:r w:rsidRPr="00C26839">
              <w:rPr>
                <w:rFonts w:eastAsia="Times New Roman" w:cs="Times New Roman"/>
                <w:color w:val="000000"/>
                <w:sz w:val="18"/>
                <w:szCs w:val="18"/>
              </w:rPr>
              <w:t>0.15</w:t>
            </w:r>
          </w:p>
        </w:tc>
      </w:tr>
    </w:tbl>
    <w:p w:rsidR="00757790" w:rsidRPr="00EC079B" w:rsidRDefault="00757790" w:rsidP="00757790">
      <w:pPr>
        <w:spacing w:before="120"/>
        <w:rPr>
          <w:rFonts w:cs="Times New Roman"/>
          <w:b/>
          <w:i/>
          <w:sz w:val="20"/>
        </w:rPr>
      </w:pPr>
      <w:r>
        <w:rPr>
          <w:rFonts w:cs="Times New Roman"/>
          <w:b/>
          <w:i/>
          <w:sz w:val="20"/>
        </w:rPr>
        <w:t xml:space="preserve">Source: </w:t>
      </w:r>
      <w:r w:rsidRPr="00EC079B">
        <w:rPr>
          <w:rFonts w:cs="Times New Roman"/>
          <w:b/>
          <w:i/>
          <w:sz w:val="20"/>
        </w:rPr>
        <w:t>Estimate based on HIES 2000 and 2010</w:t>
      </w:r>
    </w:p>
    <w:p w:rsidR="00757790" w:rsidRPr="00C26839" w:rsidRDefault="00757790" w:rsidP="00757790">
      <w:pPr>
        <w:pStyle w:val="Heading8"/>
        <w:spacing w:after="120"/>
        <w:rPr>
          <w:rFonts w:eastAsia="Times New Roman"/>
          <w:bCs/>
          <w:color w:val="000000"/>
        </w:rPr>
      </w:pPr>
      <w:bookmarkStart w:id="989" w:name="_Toc474639338"/>
      <w:r w:rsidRPr="00C26839">
        <w:t xml:space="preserve">Table A2.6: River and Estuaries Region-District Level </w:t>
      </w:r>
      <w:r w:rsidRPr="00C26839">
        <w:rPr>
          <w:rFonts w:eastAsia="Times New Roman"/>
          <w:bCs/>
          <w:color w:val="000000"/>
        </w:rPr>
        <w:t>Poverty and Inequality (%)</w:t>
      </w:r>
      <w:bookmarkEnd w:id="9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8"/>
        <w:gridCol w:w="1266"/>
        <w:gridCol w:w="638"/>
        <w:gridCol w:w="960"/>
        <w:gridCol w:w="640"/>
        <w:gridCol w:w="1266"/>
        <w:gridCol w:w="638"/>
        <w:gridCol w:w="960"/>
        <w:gridCol w:w="640"/>
      </w:tblGrid>
      <w:tr w:rsidR="00757790" w:rsidRPr="00C26839" w:rsidTr="001429C6">
        <w:trPr>
          <w:trHeight w:val="144"/>
          <w:tblHeader/>
        </w:trPr>
        <w:tc>
          <w:tcPr>
            <w:tcW w:w="1341" w:type="pct"/>
            <w:vMerge w:val="restart"/>
            <w:shd w:val="clear" w:color="auto" w:fill="F2F2F2" w:themeFill="background1" w:themeFillShade="F2"/>
            <w:noWrap/>
            <w:vAlign w:val="center"/>
            <w:hideMark/>
          </w:tcPr>
          <w:p w:rsidR="00757790" w:rsidRPr="00C26839" w:rsidRDefault="00757790" w:rsidP="001429C6">
            <w:pPr>
              <w:spacing w:after="0" w:line="240" w:lineRule="auto"/>
              <w:rPr>
                <w:rFonts w:eastAsia="Times New Roman" w:cs="Times New Roman"/>
                <w:b/>
                <w:color w:val="000000"/>
                <w:sz w:val="18"/>
                <w:szCs w:val="18"/>
              </w:rPr>
            </w:pPr>
            <w:r w:rsidRPr="00C26839">
              <w:rPr>
                <w:rFonts w:eastAsia="Times New Roman" w:cs="Times New Roman"/>
                <w:b/>
                <w:color w:val="000000"/>
                <w:sz w:val="18"/>
                <w:szCs w:val="18"/>
              </w:rPr>
              <w:t xml:space="preserve">Hotspot: </w:t>
            </w:r>
            <w:r w:rsidRPr="00C26839">
              <w:rPr>
                <w:rFonts w:eastAsia="Times New Roman" w:cs="Times New Roman"/>
                <w:b/>
                <w:bCs/>
                <w:color w:val="000000"/>
                <w:sz w:val="18"/>
                <w:szCs w:val="18"/>
              </w:rPr>
              <w:t>Rivers &amp; Estuaries</w:t>
            </w:r>
          </w:p>
        </w:tc>
        <w:tc>
          <w:tcPr>
            <w:tcW w:w="1829" w:type="pct"/>
            <w:gridSpan w:val="4"/>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2000</w:t>
            </w:r>
          </w:p>
        </w:tc>
        <w:tc>
          <w:tcPr>
            <w:tcW w:w="1829" w:type="pct"/>
            <w:gridSpan w:val="4"/>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2010</w:t>
            </w:r>
          </w:p>
        </w:tc>
      </w:tr>
      <w:tr w:rsidR="00757790" w:rsidRPr="00C26839" w:rsidTr="001429C6">
        <w:trPr>
          <w:trHeight w:val="144"/>
          <w:tblHeader/>
        </w:trPr>
        <w:tc>
          <w:tcPr>
            <w:tcW w:w="1341" w:type="pct"/>
            <w:vMerge/>
            <w:shd w:val="clear" w:color="auto" w:fill="F2F2F2" w:themeFill="background1" w:themeFillShade="F2"/>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661" w:type="pct"/>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33" w:type="pct"/>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01" w:type="pct"/>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34" w:type="pct"/>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c>
          <w:tcPr>
            <w:tcW w:w="661" w:type="pct"/>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Head Count</w:t>
            </w:r>
          </w:p>
        </w:tc>
        <w:tc>
          <w:tcPr>
            <w:tcW w:w="333" w:type="pct"/>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Gap</w:t>
            </w:r>
          </w:p>
        </w:tc>
        <w:tc>
          <w:tcPr>
            <w:tcW w:w="501" w:type="pct"/>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Severity</w:t>
            </w:r>
          </w:p>
        </w:tc>
        <w:tc>
          <w:tcPr>
            <w:tcW w:w="334" w:type="pct"/>
            <w:shd w:val="clear" w:color="auto" w:fill="F2F2F2" w:themeFill="background1" w:themeFillShade="F2"/>
            <w:noWrap/>
            <w:vAlign w:val="bottom"/>
            <w:hideMark/>
          </w:tcPr>
          <w:p w:rsidR="00757790" w:rsidRPr="00C26839" w:rsidRDefault="00757790" w:rsidP="001429C6">
            <w:pPr>
              <w:spacing w:after="0" w:line="240" w:lineRule="auto"/>
              <w:jc w:val="center"/>
              <w:rPr>
                <w:rFonts w:eastAsia="Times New Roman" w:cs="Times New Roman"/>
                <w:b/>
                <w:bCs/>
                <w:color w:val="000000"/>
                <w:sz w:val="18"/>
                <w:szCs w:val="18"/>
              </w:rPr>
            </w:pPr>
            <w:r w:rsidRPr="00C26839">
              <w:rPr>
                <w:rFonts w:eastAsia="Times New Roman" w:cs="Times New Roman"/>
                <w:b/>
                <w:bCs/>
                <w:color w:val="000000"/>
                <w:sz w:val="18"/>
                <w:szCs w:val="18"/>
              </w:rPr>
              <w:t>Gini</w:t>
            </w:r>
          </w:p>
        </w:tc>
      </w:tr>
      <w:tr w:rsidR="00757790" w:rsidRPr="00C26839" w:rsidTr="001429C6">
        <w:trPr>
          <w:trHeight w:val="144"/>
        </w:trPr>
        <w:tc>
          <w:tcPr>
            <w:tcW w:w="1341" w:type="pct"/>
            <w:shd w:val="clear" w:color="auto" w:fill="EAF1DD" w:themeFill="accent3" w:themeFillTint="33"/>
            <w:noWrap/>
            <w:vAlign w:val="bottom"/>
            <w:hideMark/>
          </w:tcPr>
          <w:p w:rsidR="00757790" w:rsidRPr="00C26839" w:rsidRDefault="00757790" w:rsidP="001429C6">
            <w:pPr>
              <w:spacing w:after="0" w:line="240" w:lineRule="auto"/>
              <w:rPr>
                <w:rFonts w:eastAsia="Times New Roman" w:cs="Times New Roman"/>
                <w:b/>
                <w:bCs/>
                <w:color w:val="000000"/>
                <w:sz w:val="18"/>
                <w:szCs w:val="18"/>
              </w:rPr>
            </w:pPr>
            <w:r w:rsidRPr="00C26839">
              <w:rPr>
                <w:rFonts w:eastAsia="Times New Roman" w:cs="Times New Roman"/>
                <w:b/>
                <w:bCs/>
                <w:color w:val="000000"/>
                <w:sz w:val="18"/>
                <w:szCs w:val="18"/>
              </w:rPr>
              <w:t>District: Gaibandha</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80.5</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31.6</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15.5</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0.29</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49.2</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13.9</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4.8</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0.41</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Gaibandha Sadar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91.5</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34.7</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15.7</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0.18</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44.8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14.0</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4.9</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0.32</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Gobindaganj</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83.9</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34.4</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19.1</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0.26</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45.4</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3.1</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0.9</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0.47</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Palashbari</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57.5</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13.4</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3.8</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0.26</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44.8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17.5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5.9</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0.21</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Sadullapur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98.9</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44.8</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23.1</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0.19</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51.0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Sughatta</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66.0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32.5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18.1</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0.40</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52.8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8.9</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2.8</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0.15</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Sundarganj</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87.4</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30.3</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13.4</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0.20</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47.6</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25.8</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9.4</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0.17</w:t>
            </w:r>
          </w:p>
        </w:tc>
      </w:tr>
      <w:tr w:rsidR="00757790" w:rsidRPr="00C26839" w:rsidTr="001429C6">
        <w:trPr>
          <w:trHeight w:val="144"/>
        </w:trPr>
        <w:tc>
          <w:tcPr>
            <w:tcW w:w="1341" w:type="pct"/>
            <w:shd w:val="clear" w:color="auto" w:fill="EAF1DD" w:themeFill="accent3" w:themeFillTint="33"/>
            <w:noWrap/>
            <w:vAlign w:val="bottom"/>
            <w:hideMark/>
          </w:tcPr>
          <w:p w:rsidR="00757790" w:rsidRPr="00C26839" w:rsidRDefault="00757790" w:rsidP="001429C6">
            <w:pPr>
              <w:spacing w:after="0" w:line="240" w:lineRule="auto"/>
              <w:rPr>
                <w:rFonts w:eastAsia="Times New Roman" w:cs="Times New Roman"/>
                <w:b/>
                <w:bCs/>
                <w:color w:val="000000"/>
                <w:sz w:val="18"/>
                <w:szCs w:val="18"/>
              </w:rPr>
            </w:pPr>
            <w:r w:rsidRPr="00C26839">
              <w:rPr>
                <w:rFonts w:eastAsia="Times New Roman" w:cs="Times New Roman"/>
                <w:b/>
                <w:bCs/>
                <w:color w:val="000000"/>
                <w:sz w:val="18"/>
                <w:szCs w:val="18"/>
              </w:rPr>
              <w:t>District: Jamalpur</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64.5</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16.6</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5.8</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0.23</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51.6</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13.2</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4.9</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0.24</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Bakshiganj</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50.4</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8.4</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2.1</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0.19</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Dewanganj</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88.7</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25.8</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9.2</w:t>
            </w:r>
          </w:p>
        </w:tc>
        <w:tc>
          <w:tcPr>
            <w:tcW w:w="334" w:type="pct"/>
            <w:shd w:val="clear" w:color="auto" w:fill="auto"/>
            <w:noWrap/>
            <w:vAlign w:val="center"/>
            <w:hideMark/>
          </w:tcPr>
          <w:p w:rsidR="00757790" w:rsidRPr="00C26839" w:rsidRDefault="00757790" w:rsidP="001429C6">
            <w:pPr>
              <w:spacing w:after="0" w:line="240" w:lineRule="auto"/>
              <w:jc w:val="center"/>
              <w:rPr>
                <w:rFonts w:eastAsia="Times New Roman" w:cs="Times New Roman"/>
                <w:color w:val="000000"/>
                <w:sz w:val="18"/>
                <w:szCs w:val="18"/>
              </w:rPr>
            </w:pPr>
            <w:r w:rsidRPr="00C26839">
              <w:rPr>
                <w:rFonts w:eastAsia="Times New Roman" w:cs="Times New Roman"/>
                <w:color w:val="000000"/>
                <w:sz w:val="18"/>
                <w:szCs w:val="18"/>
              </w:rPr>
              <w:t>0.16</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58.5</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18.3</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8.5</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0.23</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Islampur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63.3</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20.2</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7.6</w:t>
            </w:r>
          </w:p>
        </w:tc>
        <w:tc>
          <w:tcPr>
            <w:tcW w:w="334" w:type="pct"/>
            <w:shd w:val="clear" w:color="auto" w:fill="auto"/>
            <w:noWrap/>
            <w:vAlign w:val="center"/>
            <w:hideMark/>
          </w:tcPr>
          <w:p w:rsidR="00757790" w:rsidRPr="00C26839" w:rsidRDefault="00757790" w:rsidP="001429C6">
            <w:pPr>
              <w:spacing w:after="0" w:line="240" w:lineRule="auto"/>
              <w:jc w:val="center"/>
              <w:rPr>
                <w:rFonts w:eastAsia="Times New Roman" w:cs="Times New Roman"/>
                <w:color w:val="000000"/>
                <w:sz w:val="18"/>
                <w:szCs w:val="18"/>
              </w:rPr>
            </w:pPr>
            <w:r w:rsidRPr="00C26839">
              <w:rPr>
                <w:rFonts w:eastAsia="Times New Roman" w:cs="Times New Roman"/>
                <w:color w:val="000000"/>
                <w:sz w:val="18"/>
                <w:szCs w:val="18"/>
              </w:rPr>
              <w:t>0.23</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55.0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19.1</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7.9</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0.20</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Jamalpur Sadar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71.2</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18.2</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6.5</w:t>
            </w:r>
          </w:p>
        </w:tc>
        <w:tc>
          <w:tcPr>
            <w:tcW w:w="334" w:type="pct"/>
            <w:shd w:val="clear" w:color="auto" w:fill="auto"/>
            <w:noWrap/>
            <w:vAlign w:val="center"/>
            <w:hideMark/>
          </w:tcPr>
          <w:p w:rsidR="00757790" w:rsidRPr="00C26839" w:rsidRDefault="00757790" w:rsidP="001429C6">
            <w:pPr>
              <w:spacing w:after="0" w:line="240" w:lineRule="auto"/>
              <w:jc w:val="center"/>
              <w:rPr>
                <w:rFonts w:eastAsia="Times New Roman" w:cs="Times New Roman"/>
                <w:color w:val="000000"/>
                <w:sz w:val="18"/>
                <w:szCs w:val="18"/>
              </w:rPr>
            </w:pPr>
            <w:r w:rsidRPr="00C26839">
              <w:rPr>
                <w:rFonts w:eastAsia="Times New Roman" w:cs="Times New Roman"/>
                <w:color w:val="000000"/>
                <w:sz w:val="18"/>
                <w:szCs w:val="18"/>
              </w:rPr>
              <w:t>0.22</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49.8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16.3</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5.8</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0.26</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Madarganj</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50.0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15.2</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5.9</w:t>
            </w:r>
          </w:p>
        </w:tc>
        <w:tc>
          <w:tcPr>
            <w:tcW w:w="334" w:type="pct"/>
            <w:shd w:val="clear" w:color="auto" w:fill="auto"/>
            <w:noWrap/>
            <w:vAlign w:val="center"/>
            <w:hideMark/>
          </w:tcPr>
          <w:p w:rsidR="00757790" w:rsidRPr="00C26839" w:rsidRDefault="00757790" w:rsidP="001429C6">
            <w:pPr>
              <w:spacing w:after="0" w:line="240" w:lineRule="auto"/>
              <w:jc w:val="center"/>
              <w:rPr>
                <w:rFonts w:eastAsia="Times New Roman" w:cs="Times New Roman"/>
                <w:color w:val="000000"/>
                <w:sz w:val="18"/>
                <w:szCs w:val="18"/>
              </w:rPr>
            </w:pPr>
            <w:r w:rsidRPr="00C26839">
              <w:rPr>
                <w:rFonts w:eastAsia="Times New Roman" w:cs="Times New Roman"/>
                <w:color w:val="000000"/>
                <w:sz w:val="18"/>
                <w:szCs w:val="18"/>
              </w:rPr>
              <w:t>0.32</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55.5</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13.1</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5.3</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0.19</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Melandaha</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47.2</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1.0</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0.16</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Sarishabari</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51.9</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10.9</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3.1</w:t>
            </w:r>
          </w:p>
        </w:tc>
        <w:tc>
          <w:tcPr>
            <w:tcW w:w="334" w:type="pct"/>
            <w:shd w:val="clear" w:color="auto" w:fill="auto"/>
            <w:noWrap/>
            <w:vAlign w:val="center"/>
            <w:hideMark/>
          </w:tcPr>
          <w:p w:rsidR="00757790" w:rsidRPr="00C26839" w:rsidRDefault="00757790" w:rsidP="001429C6">
            <w:pPr>
              <w:spacing w:after="0" w:line="240" w:lineRule="auto"/>
              <w:jc w:val="center"/>
              <w:rPr>
                <w:rFonts w:eastAsia="Times New Roman" w:cs="Times New Roman"/>
                <w:color w:val="000000"/>
                <w:sz w:val="18"/>
                <w:szCs w:val="18"/>
              </w:rPr>
            </w:pPr>
            <w:r w:rsidRPr="00C26839">
              <w:rPr>
                <w:rFonts w:eastAsia="Times New Roman" w:cs="Times New Roman"/>
                <w:color w:val="000000"/>
                <w:sz w:val="18"/>
                <w:szCs w:val="18"/>
              </w:rPr>
              <w:t>0.18</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44.7</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11.5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3.1</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0.27</w:t>
            </w:r>
          </w:p>
        </w:tc>
      </w:tr>
      <w:tr w:rsidR="00757790" w:rsidRPr="00C26839" w:rsidTr="001429C6">
        <w:trPr>
          <w:trHeight w:val="144"/>
        </w:trPr>
        <w:tc>
          <w:tcPr>
            <w:tcW w:w="1341" w:type="pct"/>
            <w:shd w:val="clear" w:color="auto" w:fill="EAF1DD" w:themeFill="accent3" w:themeFillTint="33"/>
            <w:noWrap/>
            <w:vAlign w:val="bottom"/>
            <w:hideMark/>
          </w:tcPr>
          <w:p w:rsidR="00757790" w:rsidRPr="00C26839" w:rsidRDefault="00757790" w:rsidP="001429C6">
            <w:pPr>
              <w:spacing w:after="0" w:line="240" w:lineRule="auto"/>
              <w:rPr>
                <w:rFonts w:eastAsia="Times New Roman" w:cs="Times New Roman"/>
                <w:b/>
                <w:bCs/>
                <w:color w:val="000000"/>
                <w:sz w:val="18"/>
                <w:szCs w:val="18"/>
              </w:rPr>
            </w:pPr>
            <w:r w:rsidRPr="00C26839">
              <w:rPr>
                <w:rFonts w:eastAsia="Times New Roman" w:cs="Times New Roman"/>
                <w:b/>
                <w:bCs/>
                <w:color w:val="000000"/>
                <w:sz w:val="18"/>
                <w:szCs w:val="18"/>
              </w:rPr>
              <w:t>District: Kurigram</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80.5</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26.8</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11.5</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0.29</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64.1</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17.6</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5.5</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0.22</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Bhurungamari</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96.3</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38.8</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18.8</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0.18</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65.1</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0.5</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0.18</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Phulbari</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68.8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25.0</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8.1</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0.11</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Kurigram Sadar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58.0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4.3</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1.2</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0.16</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Nageshwari</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65.8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23.0</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10.0</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0.29</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65.0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21.2</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7.1</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0.18</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Raomari</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57.0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20.9</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7.1</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0.15</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Ulipur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93.2</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24.0</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8.7</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0.17</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65.3</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17.9</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5.2</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0.21</w:t>
            </w:r>
          </w:p>
        </w:tc>
      </w:tr>
      <w:tr w:rsidR="00757790" w:rsidRPr="00C26839" w:rsidTr="001429C6">
        <w:trPr>
          <w:trHeight w:val="144"/>
        </w:trPr>
        <w:tc>
          <w:tcPr>
            <w:tcW w:w="1341" w:type="pct"/>
            <w:shd w:val="clear" w:color="auto" w:fill="EAF1DD" w:themeFill="accent3" w:themeFillTint="33"/>
            <w:noWrap/>
            <w:vAlign w:val="bottom"/>
            <w:hideMark/>
          </w:tcPr>
          <w:p w:rsidR="00757790" w:rsidRPr="00C26839" w:rsidRDefault="00757790" w:rsidP="001429C6">
            <w:pPr>
              <w:spacing w:after="0" w:line="240" w:lineRule="auto"/>
              <w:rPr>
                <w:rFonts w:eastAsia="Times New Roman" w:cs="Times New Roman"/>
                <w:b/>
                <w:bCs/>
                <w:color w:val="000000"/>
                <w:sz w:val="18"/>
                <w:szCs w:val="18"/>
              </w:rPr>
            </w:pPr>
            <w:r w:rsidRPr="00C26839">
              <w:rPr>
                <w:rFonts w:eastAsia="Times New Roman" w:cs="Times New Roman"/>
                <w:b/>
                <w:bCs/>
                <w:color w:val="000000"/>
                <w:sz w:val="18"/>
                <w:szCs w:val="18"/>
              </w:rPr>
              <w:t>District: Pabna</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71.6</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19.1</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6.6</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0.22</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32.2</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5.3</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1.3</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0.27</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Atgharia</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31.2</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6.3</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1.4</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0.25</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Bera</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92.7</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29.5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10.6</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0.14</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39.4</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5.8</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1.8</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0.14</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Chatmohar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97.9</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29.7</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9.7</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0.08</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31.4</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3.0</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0.7</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0.20</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Ishwardi</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46.3</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6.9</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1.7</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0.25</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26.2</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5.6</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1.3</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0.15</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Pabna Sadar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58.8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15.2</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5.9</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0.24</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27.8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7.9</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1.7</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0.35</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Santhia</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78.0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22.4</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8.7</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0.20</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33.1</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4.6</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1.1</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0.25</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Sujanagar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62.0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12.5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3.7</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0.13</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35.4</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3.3</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1.0</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0.14</w:t>
            </w:r>
          </w:p>
        </w:tc>
      </w:tr>
      <w:tr w:rsidR="00757790" w:rsidRPr="00C26839" w:rsidTr="001429C6">
        <w:trPr>
          <w:trHeight w:val="144"/>
        </w:trPr>
        <w:tc>
          <w:tcPr>
            <w:tcW w:w="1341" w:type="pct"/>
            <w:shd w:val="clear" w:color="auto" w:fill="EAF1DD" w:themeFill="accent3" w:themeFillTint="33"/>
            <w:noWrap/>
            <w:vAlign w:val="bottom"/>
            <w:hideMark/>
          </w:tcPr>
          <w:p w:rsidR="00757790" w:rsidRPr="00C26839" w:rsidRDefault="00757790" w:rsidP="001429C6">
            <w:pPr>
              <w:spacing w:after="0" w:line="240" w:lineRule="auto"/>
              <w:rPr>
                <w:rFonts w:eastAsia="Times New Roman" w:cs="Times New Roman"/>
                <w:b/>
                <w:bCs/>
                <w:color w:val="000000"/>
                <w:sz w:val="18"/>
                <w:szCs w:val="18"/>
              </w:rPr>
            </w:pPr>
            <w:r w:rsidRPr="00C26839">
              <w:rPr>
                <w:rFonts w:eastAsia="Times New Roman" w:cs="Times New Roman"/>
                <w:b/>
                <w:bCs/>
                <w:color w:val="000000"/>
                <w:sz w:val="18"/>
                <w:szCs w:val="18"/>
              </w:rPr>
              <w:t>District: Rajbari</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58.9</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14.2</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5.7</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0.32</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42.8</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11.6</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3.4</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0.24</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Baliakandi</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90.0</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27.5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9.8</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0.15</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39.7</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11.7</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3.3</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0.14</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Goalandaghat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50.5</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1.8</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0.17</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Pangsha</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45.7</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17.6</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5.7</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0.25</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Rajbari Sadar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41.2</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9.7</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4.3</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0.33</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38.7</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7.7</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2.0</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0.27</w:t>
            </w:r>
          </w:p>
        </w:tc>
      </w:tr>
      <w:tr w:rsidR="00757790" w:rsidRPr="00C26839" w:rsidTr="001429C6">
        <w:trPr>
          <w:trHeight w:val="144"/>
        </w:trPr>
        <w:tc>
          <w:tcPr>
            <w:tcW w:w="1341" w:type="pct"/>
            <w:shd w:val="clear" w:color="auto" w:fill="EAF1DD" w:themeFill="accent3" w:themeFillTint="33"/>
            <w:noWrap/>
            <w:vAlign w:val="bottom"/>
            <w:hideMark/>
          </w:tcPr>
          <w:p w:rsidR="00757790" w:rsidRPr="00C26839" w:rsidRDefault="00757790" w:rsidP="001429C6">
            <w:pPr>
              <w:spacing w:after="0" w:line="240" w:lineRule="auto"/>
              <w:rPr>
                <w:rFonts w:eastAsia="Times New Roman" w:cs="Times New Roman"/>
                <w:b/>
                <w:bCs/>
                <w:color w:val="000000"/>
                <w:sz w:val="18"/>
                <w:szCs w:val="18"/>
              </w:rPr>
            </w:pPr>
            <w:r w:rsidRPr="00C26839">
              <w:rPr>
                <w:rFonts w:eastAsia="Times New Roman" w:cs="Times New Roman"/>
                <w:b/>
                <w:bCs/>
                <w:color w:val="000000"/>
                <w:sz w:val="18"/>
                <w:szCs w:val="18"/>
              </w:rPr>
              <w:t>District: Shariatpur</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82.3</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29.8</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13.3</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0.25</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52.4</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10.5</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3.1</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8"/>
              </w:rPr>
            </w:pPr>
            <w:r w:rsidRPr="00C26839">
              <w:rPr>
                <w:rFonts w:eastAsia="Times New Roman" w:cs="Times New Roman"/>
                <w:b/>
                <w:bCs/>
                <w:color w:val="000000"/>
                <w:sz w:val="18"/>
                <w:szCs w:val="18"/>
              </w:rPr>
              <w:t>0.23</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b/>
                <w:color w:val="000000"/>
                <w:sz w:val="18"/>
                <w:szCs w:val="18"/>
              </w:rPr>
            </w:pPr>
            <w:r w:rsidRPr="00C26839">
              <w:rPr>
                <w:rFonts w:eastAsia="Times New Roman" w:cs="Times New Roman"/>
                <w:b/>
                <w:color w:val="000000"/>
                <w:sz w:val="18"/>
                <w:szCs w:val="18"/>
              </w:rPr>
              <w:t>Sub-Districts</w:t>
            </w: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66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Bhedarganj</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w:t>
            </w:r>
          </w:p>
        </w:tc>
        <w:tc>
          <w:tcPr>
            <w:tcW w:w="333"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r w:rsidRPr="00C26839">
              <w:rPr>
                <w:rFonts w:eastAsia="Times New Roman" w:cs="Times New Roman"/>
                <w:color w:val="000000"/>
                <w:sz w:val="18"/>
                <w:szCs w:val="18"/>
              </w:rPr>
              <w:t>-</w:t>
            </w:r>
          </w:p>
        </w:tc>
        <w:tc>
          <w:tcPr>
            <w:tcW w:w="501"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r w:rsidRPr="00C26839">
              <w:rPr>
                <w:rFonts w:eastAsia="Times New Roman" w:cs="Times New Roman"/>
                <w:color w:val="000000"/>
                <w:sz w:val="18"/>
                <w:szCs w:val="18"/>
              </w:rPr>
              <w:t>-</w:t>
            </w:r>
          </w:p>
        </w:tc>
        <w:tc>
          <w:tcPr>
            <w:tcW w:w="334" w:type="pct"/>
            <w:shd w:val="clear" w:color="auto" w:fill="auto"/>
            <w:noWrap/>
            <w:vAlign w:val="bottom"/>
            <w:hideMark/>
          </w:tcPr>
          <w:p w:rsidR="00757790" w:rsidRPr="00C26839" w:rsidRDefault="00757790" w:rsidP="001429C6">
            <w:pPr>
              <w:spacing w:after="0" w:line="240" w:lineRule="auto"/>
              <w:rPr>
                <w:rFonts w:eastAsia="Times New Roman" w:cs="Times New Roman"/>
                <w:color w:val="000000"/>
                <w:sz w:val="18"/>
                <w:szCs w:val="18"/>
              </w:rPr>
            </w:pPr>
            <w:r w:rsidRPr="00C26839">
              <w:rPr>
                <w:rFonts w:eastAsia="Times New Roman" w:cs="Times New Roman"/>
                <w:color w:val="000000"/>
                <w:sz w:val="18"/>
                <w:szCs w:val="18"/>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56.3</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14.0</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3.9</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0.18</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Gosairhat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85.7</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30.5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12.9</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0.22</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58.3</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3.0</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0.5</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0.11</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Naria</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81.3</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36.8</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19.4</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0.25</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48.1</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5.1</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1.8</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0.23</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8"/>
              </w:rPr>
            </w:pPr>
            <w:r w:rsidRPr="00C26839">
              <w:rPr>
                <w:rFonts w:eastAsia="Times New Roman" w:cs="Times New Roman"/>
                <w:color w:val="000000"/>
                <w:sz w:val="18"/>
                <w:szCs w:val="18"/>
              </w:rPr>
              <w:t>Shariatpur Sadar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79.8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21.3</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7.3</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0.24</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49.8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18.1</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5.6</w:t>
            </w:r>
          </w:p>
        </w:tc>
        <w:tc>
          <w:tcPr>
            <w:tcW w:w="334" w:type="pct"/>
            <w:shd w:val="clear" w:color="auto" w:fill="auto"/>
            <w:noWrap/>
            <w:vAlign w:val="center"/>
            <w:hideMark/>
          </w:tcPr>
          <w:p w:rsidR="00757790" w:rsidRPr="00C26839" w:rsidRDefault="00757790" w:rsidP="001429C6">
            <w:pPr>
              <w:spacing w:after="0" w:line="240" w:lineRule="auto"/>
              <w:jc w:val="right"/>
              <w:rPr>
                <w:rFonts w:eastAsia="Times New Roman" w:cs="Times New Roman"/>
                <w:color w:val="000000"/>
                <w:sz w:val="18"/>
                <w:szCs w:val="18"/>
              </w:rPr>
            </w:pPr>
            <w:r w:rsidRPr="00C26839">
              <w:rPr>
                <w:rFonts w:eastAsia="Times New Roman" w:cs="Times New Roman"/>
                <w:color w:val="000000"/>
                <w:sz w:val="18"/>
                <w:szCs w:val="18"/>
              </w:rPr>
              <w:t>0.26</w:t>
            </w:r>
          </w:p>
        </w:tc>
      </w:tr>
      <w:tr w:rsidR="00757790" w:rsidRPr="00C26839" w:rsidTr="001429C6">
        <w:trPr>
          <w:trHeight w:val="144"/>
        </w:trPr>
        <w:tc>
          <w:tcPr>
            <w:tcW w:w="1341" w:type="pct"/>
            <w:shd w:val="clear" w:color="auto" w:fill="EAF1DD" w:themeFill="accent3" w:themeFillTint="33"/>
            <w:noWrap/>
            <w:vAlign w:val="bottom"/>
            <w:hideMark/>
          </w:tcPr>
          <w:p w:rsidR="00757790" w:rsidRPr="00C26839" w:rsidRDefault="00757790" w:rsidP="001429C6">
            <w:pPr>
              <w:spacing w:after="0" w:line="240" w:lineRule="auto"/>
              <w:rPr>
                <w:rFonts w:eastAsia="Times New Roman" w:cs="Times New Roman"/>
                <w:b/>
                <w:bCs/>
                <w:color w:val="000000"/>
                <w:sz w:val="18"/>
                <w:szCs w:val="16"/>
              </w:rPr>
            </w:pPr>
            <w:r w:rsidRPr="00C26839">
              <w:rPr>
                <w:rFonts w:eastAsia="Times New Roman" w:cs="Times New Roman"/>
                <w:b/>
                <w:bCs/>
                <w:color w:val="000000"/>
                <w:sz w:val="18"/>
                <w:szCs w:val="16"/>
              </w:rPr>
              <w:t>District: Gopalganj</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6"/>
              </w:rPr>
            </w:pPr>
            <w:r w:rsidRPr="00C26839">
              <w:rPr>
                <w:rFonts w:eastAsia="Times New Roman" w:cs="Times New Roman"/>
                <w:b/>
                <w:bCs/>
                <w:color w:val="000000"/>
                <w:sz w:val="18"/>
                <w:szCs w:val="16"/>
              </w:rPr>
              <w:t>73.8</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6"/>
              </w:rPr>
            </w:pPr>
            <w:r w:rsidRPr="00C26839">
              <w:rPr>
                <w:rFonts w:eastAsia="Times New Roman" w:cs="Times New Roman"/>
                <w:b/>
                <w:bCs/>
                <w:color w:val="000000"/>
                <w:sz w:val="18"/>
                <w:szCs w:val="16"/>
              </w:rPr>
              <w:t>26.1</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6"/>
              </w:rPr>
            </w:pPr>
            <w:r w:rsidRPr="00C26839">
              <w:rPr>
                <w:rFonts w:eastAsia="Times New Roman" w:cs="Times New Roman"/>
                <w:b/>
                <w:bCs/>
                <w:color w:val="000000"/>
                <w:sz w:val="18"/>
                <w:szCs w:val="16"/>
              </w:rPr>
              <w:t>11.1</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6"/>
              </w:rPr>
            </w:pPr>
            <w:r w:rsidRPr="00C26839">
              <w:rPr>
                <w:rFonts w:eastAsia="Times New Roman" w:cs="Times New Roman"/>
                <w:b/>
                <w:bCs/>
                <w:color w:val="000000"/>
                <w:sz w:val="18"/>
                <w:szCs w:val="16"/>
              </w:rPr>
              <w:t>0.21</w:t>
            </w:r>
          </w:p>
        </w:tc>
        <w:tc>
          <w:tcPr>
            <w:tcW w:w="66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6"/>
              </w:rPr>
            </w:pPr>
            <w:r w:rsidRPr="00C26839">
              <w:rPr>
                <w:rFonts w:eastAsia="Times New Roman" w:cs="Times New Roman"/>
                <w:b/>
                <w:bCs/>
                <w:color w:val="000000"/>
                <w:sz w:val="18"/>
                <w:szCs w:val="16"/>
              </w:rPr>
              <w:t>42.6</w:t>
            </w:r>
          </w:p>
        </w:tc>
        <w:tc>
          <w:tcPr>
            <w:tcW w:w="333"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6"/>
              </w:rPr>
            </w:pPr>
            <w:r w:rsidRPr="00C26839">
              <w:rPr>
                <w:rFonts w:eastAsia="Times New Roman" w:cs="Times New Roman"/>
                <w:b/>
                <w:bCs/>
                <w:color w:val="000000"/>
                <w:sz w:val="18"/>
                <w:szCs w:val="16"/>
              </w:rPr>
              <w:t>9.0</w:t>
            </w:r>
          </w:p>
        </w:tc>
        <w:tc>
          <w:tcPr>
            <w:tcW w:w="501"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6"/>
              </w:rPr>
            </w:pPr>
            <w:r w:rsidRPr="00C26839">
              <w:rPr>
                <w:rFonts w:eastAsia="Times New Roman" w:cs="Times New Roman"/>
                <w:b/>
                <w:bCs/>
                <w:color w:val="000000"/>
                <w:sz w:val="18"/>
                <w:szCs w:val="16"/>
              </w:rPr>
              <w:t>3.0</w:t>
            </w:r>
          </w:p>
        </w:tc>
        <w:tc>
          <w:tcPr>
            <w:tcW w:w="334" w:type="pct"/>
            <w:shd w:val="clear" w:color="auto" w:fill="EAF1DD" w:themeFill="accent3" w:themeFillTint="33"/>
            <w:noWrap/>
            <w:vAlign w:val="bottom"/>
            <w:hideMark/>
          </w:tcPr>
          <w:p w:rsidR="00757790" w:rsidRPr="00C26839" w:rsidRDefault="00757790" w:rsidP="001429C6">
            <w:pPr>
              <w:spacing w:after="0" w:line="240" w:lineRule="auto"/>
              <w:jc w:val="right"/>
              <w:rPr>
                <w:rFonts w:eastAsia="Times New Roman" w:cs="Times New Roman"/>
                <w:b/>
                <w:bCs/>
                <w:color w:val="000000"/>
                <w:sz w:val="18"/>
                <w:szCs w:val="16"/>
              </w:rPr>
            </w:pPr>
            <w:r w:rsidRPr="00C26839">
              <w:rPr>
                <w:rFonts w:eastAsia="Times New Roman" w:cs="Times New Roman"/>
                <w:b/>
                <w:bCs/>
                <w:color w:val="000000"/>
                <w:sz w:val="18"/>
                <w:szCs w:val="16"/>
              </w:rPr>
              <w:t>0.28</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b/>
                <w:color w:val="000000"/>
                <w:sz w:val="18"/>
                <w:szCs w:val="16"/>
              </w:rPr>
            </w:pPr>
            <w:r w:rsidRPr="00C26839">
              <w:rPr>
                <w:rFonts w:eastAsia="Times New Roman" w:cs="Times New Roman"/>
                <w:b/>
                <w:color w:val="000000"/>
                <w:sz w:val="18"/>
                <w:szCs w:val="16"/>
              </w:rPr>
              <w:t>Sub-Districts</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6"/>
              </w:rPr>
            </w:pPr>
            <w:r w:rsidRPr="00C26839">
              <w:rPr>
                <w:rFonts w:eastAsia="Times New Roman" w:cs="Times New Roman"/>
                <w:color w:val="000000"/>
                <w:sz w:val="18"/>
                <w:szCs w:val="16"/>
              </w:rPr>
              <w:t>Gopalganj Sadar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84.8</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28.2</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11.7</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0.20</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41.1</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6.3</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1.6</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0.32</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6"/>
              </w:rPr>
            </w:pPr>
            <w:r w:rsidRPr="00C26839">
              <w:rPr>
                <w:rFonts w:eastAsia="Times New Roman" w:cs="Times New Roman"/>
                <w:color w:val="000000"/>
                <w:sz w:val="18"/>
                <w:szCs w:val="16"/>
              </w:rPr>
              <w:t>Kashiani</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39.1</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1.7</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0.3</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0.19</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6"/>
              </w:rPr>
            </w:pPr>
            <w:r w:rsidRPr="00C26839">
              <w:rPr>
                <w:rFonts w:eastAsia="Times New Roman" w:cs="Times New Roman"/>
                <w:color w:val="000000"/>
                <w:sz w:val="18"/>
                <w:szCs w:val="16"/>
              </w:rPr>
              <w:t>Kotalipara</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65.1</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20.9</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7.5</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0.21</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43.6</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13.5</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4.9</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0.16</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6"/>
              </w:rPr>
            </w:pPr>
            <w:r w:rsidRPr="00C26839">
              <w:rPr>
                <w:rFonts w:eastAsia="Times New Roman" w:cs="Times New Roman"/>
                <w:color w:val="000000"/>
                <w:sz w:val="18"/>
                <w:szCs w:val="16"/>
              </w:rPr>
              <w:t>Muksudpur</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71.6</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28.9</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13.7</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0.21</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46.5</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11.7</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3.7</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0.20</w:t>
            </w:r>
          </w:p>
        </w:tc>
      </w:tr>
      <w:tr w:rsidR="00757790" w:rsidRPr="00C26839" w:rsidTr="001429C6">
        <w:trPr>
          <w:trHeight w:val="144"/>
        </w:trPr>
        <w:tc>
          <w:tcPr>
            <w:tcW w:w="1341" w:type="pct"/>
            <w:shd w:val="clear" w:color="auto" w:fill="auto"/>
            <w:noWrap/>
            <w:vAlign w:val="center"/>
            <w:hideMark/>
          </w:tcPr>
          <w:p w:rsidR="00757790" w:rsidRPr="00C26839" w:rsidRDefault="00757790" w:rsidP="001429C6">
            <w:pPr>
              <w:spacing w:after="0" w:line="240" w:lineRule="auto"/>
              <w:ind w:left="144"/>
              <w:rPr>
                <w:rFonts w:eastAsia="Times New Roman" w:cs="Times New Roman"/>
                <w:color w:val="000000"/>
                <w:sz w:val="18"/>
                <w:szCs w:val="16"/>
              </w:rPr>
            </w:pPr>
            <w:r w:rsidRPr="00C26839">
              <w:rPr>
                <w:rFonts w:eastAsia="Times New Roman" w:cs="Times New Roman"/>
                <w:color w:val="000000"/>
                <w:sz w:val="18"/>
                <w:szCs w:val="16"/>
              </w:rPr>
              <w:t>Tungipara</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w:t>
            </w:r>
          </w:p>
        </w:tc>
        <w:tc>
          <w:tcPr>
            <w:tcW w:w="66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42.6</w:t>
            </w:r>
          </w:p>
        </w:tc>
        <w:tc>
          <w:tcPr>
            <w:tcW w:w="333"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13.7</w:t>
            </w:r>
          </w:p>
        </w:tc>
        <w:tc>
          <w:tcPr>
            <w:tcW w:w="501"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5.1</w:t>
            </w:r>
          </w:p>
        </w:tc>
        <w:tc>
          <w:tcPr>
            <w:tcW w:w="334" w:type="pct"/>
            <w:shd w:val="clear" w:color="auto" w:fill="auto"/>
            <w:noWrap/>
            <w:vAlign w:val="bottom"/>
            <w:hideMark/>
          </w:tcPr>
          <w:p w:rsidR="00757790" w:rsidRPr="00C26839" w:rsidRDefault="00757790" w:rsidP="001429C6">
            <w:pPr>
              <w:spacing w:after="0" w:line="240" w:lineRule="auto"/>
              <w:jc w:val="right"/>
              <w:rPr>
                <w:rFonts w:eastAsia="Times New Roman" w:cs="Times New Roman"/>
                <w:color w:val="000000"/>
                <w:sz w:val="18"/>
                <w:szCs w:val="16"/>
              </w:rPr>
            </w:pPr>
            <w:r w:rsidRPr="00C26839">
              <w:rPr>
                <w:rFonts w:eastAsia="Times New Roman" w:cs="Times New Roman"/>
                <w:color w:val="000000"/>
                <w:sz w:val="18"/>
                <w:szCs w:val="16"/>
              </w:rPr>
              <w:t>0.19</w:t>
            </w:r>
          </w:p>
        </w:tc>
      </w:tr>
    </w:tbl>
    <w:p w:rsidR="00757790" w:rsidRPr="00C26839" w:rsidRDefault="00757790" w:rsidP="00757790">
      <w:pPr>
        <w:pStyle w:val="Caption"/>
        <w:spacing w:before="120" w:after="240"/>
        <w:rPr>
          <w:rFonts w:cs="Times New Roman"/>
          <w:i/>
          <w:color w:val="000000" w:themeColor="text1"/>
          <w:sz w:val="20"/>
        </w:rPr>
      </w:pPr>
      <w:r>
        <w:rPr>
          <w:rFonts w:cs="Times New Roman"/>
          <w:i/>
          <w:color w:val="000000" w:themeColor="text1"/>
          <w:sz w:val="20"/>
        </w:rPr>
        <w:t>Source: E</w:t>
      </w:r>
      <w:r w:rsidRPr="00C26839">
        <w:rPr>
          <w:rFonts w:cs="Times New Roman"/>
          <w:i/>
          <w:color w:val="000000" w:themeColor="text1"/>
          <w:sz w:val="20"/>
        </w:rPr>
        <w:t>stimates from HIES</w:t>
      </w:r>
    </w:p>
    <w:p w:rsidR="00757790" w:rsidRPr="00C26839" w:rsidRDefault="00757790" w:rsidP="00757790">
      <w:pPr>
        <w:spacing w:line="276" w:lineRule="auto"/>
        <w:rPr>
          <w:rFonts w:cs="Times New Roman"/>
          <w:sz w:val="28"/>
        </w:rPr>
        <w:sectPr w:rsidR="00757790" w:rsidRPr="00C26839" w:rsidSect="00144771">
          <w:headerReference w:type="even" r:id="rId239"/>
          <w:headerReference w:type="default" r:id="rId240"/>
          <w:footerReference w:type="default" r:id="rId241"/>
          <w:headerReference w:type="first" r:id="rId242"/>
          <w:footerReference w:type="first" r:id="rId243"/>
          <w:pgSz w:w="12240" w:h="15840"/>
          <w:pgMar w:top="1440" w:right="1440" w:bottom="1440" w:left="1440" w:header="720" w:footer="720" w:gutter="0"/>
          <w:cols w:space="720"/>
          <w:docGrid w:linePitch="360"/>
        </w:sectPr>
      </w:pPr>
    </w:p>
    <w:p w:rsidR="00BE1502" w:rsidRPr="00EC5076" w:rsidRDefault="00BE1502" w:rsidP="008C0601">
      <w:pPr>
        <w:pStyle w:val="Heading1"/>
      </w:pPr>
      <w:bookmarkStart w:id="990" w:name="_Toc474638970"/>
      <w:r>
        <w:t>Annex B: Technical Annex to Chapter 5</w:t>
      </w:r>
      <w:bookmarkEnd w:id="990"/>
    </w:p>
    <w:p w:rsidR="00146380" w:rsidRDefault="00146380" w:rsidP="001822FE">
      <w:pPr>
        <w:pStyle w:val="Heading8"/>
        <w:spacing w:after="120"/>
      </w:pPr>
      <w:bookmarkStart w:id="991" w:name="_Toc474639339"/>
      <w:r>
        <w:t>Table B5.1: Key Macroeconomic Indicators</w:t>
      </w:r>
      <w:r w:rsidR="007F433F">
        <w:t xml:space="preserve"> BAU Policy Option</w:t>
      </w:r>
      <w:r w:rsidR="001822FE">
        <w:t xml:space="preserve">, </w:t>
      </w:r>
      <w:r>
        <w:t>FY2016 to FY2041</w:t>
      </w:r>
      <w:bookmarkEnd w:id="991"/>
    </w:p>
    <w:tbl>
      <w:tblPr>
        <w:tblW w:w="5000" w:type="pct"/>
        <w:jc w:val="center"/>
        <w:tblLook w:val="04A0"/>
      </w:tblPr>
      <w:tblGrid>
        <w:gridCol w:w="4587"/>
        <w:gridCol w:w="861"/>
        <w:gridCol w:w="860"/>
        <w:gridCol w:w="860"/>
        <w:gridCol w:w="952"/>
        <w:gridCol w:w="952"/>
        <w:gridCol w:w="954"/>
      </w:tblGrid>
      <w:tr w:rsidR="007F433F" w:rsidTr="001822FE">
        <w:trPr>
          <w:trHeight w:hRule="exact" w:val="288"/>
          <w:jc w:val="center"/>
        </w:trPr>
        <w:tc>
          <w:tcPr>
            <w:tcW w:w="2287" w:type="pct"/>
            <w:tcBorders>
              <w:top w:val="single" w:sz="4" w:space="0" w:color="auto"/>
              <w:left w:val="nil"/>
              <w:bottom w:val="single" w:sz="8" w:space="0" w:color="auto"/>
              <w:right w:val="nil"/>
            </w:tcBorders>
            <w:noWrap/>
            <w:vAlign w:val="bottom"/>
            <w:hideMark/>
          </w:tcPr>
          <w:p w:rsidR="007F433F" w:rsidRDefault="007F433F">
            <w:pPr>
              <w:spacing w:line="240" w:lineRule="auto"/>
              <w:rPr>
                <w:rFonts w:eastAsia="Times New Roman" w:cs="Calibri"/>
                <w:b/>
                <w:bCs/>
                <w:color w:val="000000"/>
                <w:sz w:val="16"/>
                <w:szCs w:val="16"/>
              </w:rPr>
            </w:pPr>
            <w:r>
              <w:rPr>
                <w:rFonts w:eastAsia="Times New Roman" w:cs="Calibri"/>
                <w:b/>
                <w:bCs/>
                <w:color w:val="000000"/>
                <w:sz w:val="16"/>
                <w:szCs w:val="16"/>
              </w:rPr>
              <w:t>Fiscal Year</w:t>
            </w:r>
          </w:p>
        </w:tc>
        <w:tc>
          <w:tcPr>
            <w:tcW w:w="429" w:type="pct"/>
            <w:tcBorders>
              <w:top w:val="single" w:sz="4" w:space="0" w:color="auto"/>
              <w:left w:val="nil"/>
              <w:bottom w:val="single" w:sz="8"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FY16</w:t>
            </w:r>
          </w:p>
        </w:tc>
        <w:tc>
          <w:tcPr>
            <w:tcW w:w="429" w:type="pct"/>
            <w:tcBorders>
              <w:top w:val="single" w:sz="4" w:space="0" w:color="auto"/>
              <w:left w:val="nil"/>
              <w:bottom w:val="single" w:sz="8"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FY21</w:t>
            </w:r>
          </w:p>
        </w:tc>
        <w:tc>
          <w:tcPr>
            <w:tcW w:w="429" w:type="pct"/>
            <w:tcBorders>
              <w:top w:val="single" w:sz="4" w:space="0" w:color="auto"/>
              <w:left w:val="nil"/>
              <w:bottom w:val="single" w:sz="8"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FY26</w:t>
            </w:r>
          </w:p>
        </w:tc>
        <w:tc>
          <w:tcPr>
            <w:tcW w:w="475" w:type="pct"/>
            <w:tcBorders>
              <w:top w:val="single" w:sz="4" w:space="0" w:color="auto"/>
              <w:left w:val="nil"/>
              <w:bottom w:val="single" w:sz="8"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FY31</w:t>
            </w:r>
          </w:p>
        </w:tc>
        <w:tc>
          <w:tcPr>
            <w:tcW w:w="475" w:type="pct"/>
            <w:tcBorders>
              <w:top w:val="single" w:sz="4" w:space="0" w:color="auto"/>
              <w:left w:val="nil"/>
              <w:bottom w:val="single" w:sz="8"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FY36</w:t>
            </w:r>
          </w:p>
        </w:tc>
        <w:tc>
          <w:tcPr>
            <w:tcW w:w="475" w:type="pct"/>
            <w:tcBorders>
              <w:top w:val="single" w:sz="4" w:space="0" w:color="auto"/>
              <w:left w:val="nil"/>
              <w:bottom w:val="single" w:sz="8"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FY41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Real Sector:</w:t>
            </w:r>
          </w:p>
        </w:tc>
        <w:tc>
          <w:tcPr>
            <w:tcW w:w="2713" w:type="pct"/>
            <w:gridSpan w:val="6"/>
            <w:tcBorders>
              <w:top w:val="single" w:sz="8" w:space="0" w:color="auto"/>
              <w:left w:val="nil"/>
              <w:bottom w:val="nil"/>
              <w:right w:val="nil"/>
            </w:tcBorders>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(Growth rate or  Otherwise Indicated)</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Real GDP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5.6</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Inflation( CPI Base)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Inflation(Deflator Base)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ICOR</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Gross National Savings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30.3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Gross Domestic Savings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26.5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29.9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30.9</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Gross Investment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36.2</w:t>
            </w:r>
          </w:p>
        </w:tc>
      </w:tr>
      <w:tr w:rsidR="007F433F" w:rsidTr="001822FE">
        <w:trPr>
          <w:trHeight w:hRule="exact" w:val="288"/>
          <w:jc w:val="center"/>
        </w:trPr>
        <w:tc>
          <w:tcPr>
            <w:tcW w:w="2287" w:type="pct"/>
            <w:noWrap/>
            <w:vAlign w:val="bottom"/>
            <w:hideMark/>
          </w:tcPr>
          <w:p w:rsidR="007F433F" w:rsidRDefault="00F64A6A">
            <w:pPr>
              <w:spacing w:line="240" w:lineRule="auto"/>
              <w:rPr>
                <w:rFonts w:eastAsia="Times New Roman" w:cs="Calibri"/>
                <w:color w:val="000000"/>
                <w:sz w:val="16"/>
                <w:szCs w:val="16"/>
              </w:rPr>
            </w:pPr>
            <w:r w:rsidRPr="00F64A6A">
              <w:rPr>
                <w:sz w:val="20"/>
                <w:szCs w:val="18"/>
              </w:rPr>
              <w:t>public</w:t>
            </w:r>
            <w:r w:rsidR="000B096E">
              <w:rPr>
                <w:rFonts w:eastAsia="Times New Roman" w:cs="Calibri"/>
                <w:color w:val="000000"/>
                <w:sz w:val="16"/>
                <w:szCs w:val="16"/>
              </w:rPr>
              <w:t xml:space="preserve"> </w:t>
            </w:r>
            <w:r w:rsidR="007F433F">
              <w:rPr>
                <w:rFonts w:eastAsia="Times New Roman" w:cs="Calibri"/>
                <w:color w:val="000000"/>
                <w:sz w:val="16"/>
                <w:szCs w:val="16"/>
              </w:rPr>
              <w:t>Investment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6.8</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7.8</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Private Investment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21.8</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26.7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Foreign Domestic Investment(FDI)</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Domestic Investment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23.8</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Consumption</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75.6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73.5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72.9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71.7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70.1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69.1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Gross national income </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18314.7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34522.1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62335.6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109918.5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188429.0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311521.4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GNI Per Capita USD</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1390.0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2118.7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3212.4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4857.8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7257.3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10549.6</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Population in million</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162.9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172.3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180.6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187.8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197.9</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Population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Fiscal Indicators:</w:t>
            </w:r>
          </w:p>
        </w:tc>
        <w:tc>
          <w:tcPr>
            <w:tcW w:w="2713" w:type="pct"/>
            <w:gridSpan w:val="6"/>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(As % of GDP)</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Revenue and Grants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Total Revenue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22.8</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Tax Revenue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20.5</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NBR Tax Revenue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Non-NBR Tax Revenue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Non-Tax Revenue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Grants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Total Expenditure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26.1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Revenue Expenditure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17.9</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Development Expenditure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Overall Balance (Incl. grants)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Financing</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Net External Financing</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Domestic financing</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Debt Indicator:</w:t>
            </w:r>
          </w:p>
        </w:tc>
        <w:tc>
          <w:tcPr>
            <w:tcW w:w="2713" w:type="pct"/>
            <w:gridSpan w:val="6"/>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(As % of GDP)</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Total Debt outstanding</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37.2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38.3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39.3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42.3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External Debt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Domestic Debt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26.3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Total Debt Services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External </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Domestic </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External debt as% export&amp; remittance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60.2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44.4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37.0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33.8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38.2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External debt services as% export&amp; remittance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External Sector:</w:t>
            </w:r>
          </w:p>
        </w:tc>
        <w:tc>
          <w:tcPr>
            <w:tcW w:w="2713" w:type="pct"/>
            <w:gridSpan w:val="6"/>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(Growth rate or  Otherwise Indicated)</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Export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Import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Service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Income receipt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Remittance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Current Account Balance as (%) of GDP</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-4.7</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FDI as (%) of GDP</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Net MLT as % of GDP</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Exchange Rate(Tk/USD)</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80.9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94.6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107.4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120.5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134.2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149.2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Reserves in months of imports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Monetary Sector:</w:t>
            </w:r>
          </w:p>
        </w:tc>
        <w:tc>
          <w:tcPr>
            <w:tcW w:w="2713" w:type="pct"/>
            <w:gridSpan w:val="6"/>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(Growth rate or  Otherwise Indicated)</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Broad Money </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15.8</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16.8</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Net Foreign Assets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12.9</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Private sector</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15.0</w:t>
            </w:r>
          </w:p>
        </w:tc>
      </w:tr>
      <w:tr w:rsidR="007F433F" w:rsidTr="001822FE">
        <w:trPr>
          <w:trHeight w:hRule="exact" w:val="288"/>
          <w:jc w:val="center"/>
        </w:trPr>
        <w:tc>
          <w:tcPr>
            <w:tcW w:w="2287" w:type="pct"/>
            <w:tcBorders>
              <w:top w:val="nil"/>
              <w:left w:val="nil"/>
              <w:bottom w:val="single" w:sz="4" w:space="0" w:color="auto"/>
              <w:right w:val="nil"/>
            </w:tcBorders>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Velocity of Money</w:t>
            </w:r>
          </w:p>
        </w:tc>
        <w:tc>
          <w:tcPr>
            <w:tcW w:w="429"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w:t>
            </w:r>
          </w:p>
        </w:tc>
        <w:tc>
          <w:tcPr>
            <w:tcW w:w="429"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w:t>
            </w:r>
          </w:p>
        </w:tc>
        <w:tc>
          <w:tcPr>
            <w:tcW w:w="429"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w:t>
            </w:r>
          </w:p>
        </w:tc>
        <w:tc>
          <w:tcPr>
            <w:tcW w:w="475"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75"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w:t>
            </w:r>
          </w:p>
        </w:tc>
        <w:tc>
          <w:tcPr>
            <w:tcW w:w="475"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0.9</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b/>
                <w:bCs/>
                <w:color w:val="000000"/>
                <w:sz w:val="16"/>
                <w:szCs w:val="16"/>
              </w:rPr>
            </w:pPr>
            <w:r>
              <w:rPr>
                <w:rFonts w:eastAsia="Times New Roman" w:cs="Calibri"/>
                <w:b/>
                <w:bCs/>
                <w:color w:val="000000"/>
                <w:sz w:val="16"/>
                <w:szCs w:val="16"/>
              </w:rPr>
              <w:t>Source: GED Projections</w:t>
            </w:r>
          </w:p>
        </w:tc>
        <w:tc>
          <w:tcPr>
            <w:tcW w:w="429" w:type="pct"/>
            <w:noWrap/>
            <w:vAlign w:val="bottom"/>
            <w:hideMark/>
          </w:tcPr>
          <w:p w:rsidR="007F433F" w:rsidRDefault="007F433F">
            <w:pPr>
              <w:spacing w:line="240" w:lineRule="auto"/>
              <w:rPr>
                <w:sz w:val="20"/>
                <w:szCs w:val="20"/>
              </w:rPr>
            </w:pPr>
          </w:p>
        </w:tc>
        <w:tc>
          <w:tcPr>
            <w:tcW w:w="429" w:type="pct"/>
            <w:noWrap/>
            <w:vAlign w:val="bottom"/>
            <w:hideMark/>
          </w:tcPr>
          <w:p w:rsidR="007F433F" w:rsidRDefault="007F433F">
            <w:pPr>
              <w:spacing w:line="240" w:lineRule="auto"/>
              <w:rPr>
                <w:sz w:val="20"/>
                <w:szCs w:val="20"/>
              </w:rPr>
            </w:pPr>
          </w:p>
        </w:tc>
        <w:tc>
          <w:tcPr>
            <w:tcW w:w="429" w:type="pct"/>
            <w:noWrap/>
            <w:vAlign w:val="bottom"/>
            <w:hideMark/>
          </w:tcPr>
          <w:p w:rsidR="007F433F" w:rsidRDefault="007F433F">
            <w:pPr>
              <w:spacing w:line="240" w:lineRule="auto"/>
              <w:rPr>
                <w:sz w:val="20"/>
                <w:szCs w:val="20"/>
              </w:rPr>
            </w:pPr>
          </w:p>
        </w:tc>
        <w:tc>
          <w:tcPr>
            <w:tcW w:w="475" w:type="pct"/>
            <w:noWrap/>
            <w:vAlign w:val="bottom"/>
            <w:hideMark/>
          </w:tcPr>
          <w:p w:rsidR="007F433F" w:rsidRDefault="007F433F">
            <w:pPr>
              <w:spacing w:line="240" w:lineRule="auto"/>
              <w:rPr>
                <w:sz w:val="20"/>
                <w:szCs w:val="20"/>
              </w:rPr>
            </w:pPr>
          </w:p>
        </w:tc>
        <w:tc>
          <w:tcPr>
            <w:tcW w:w="475" w:type="pct"/>
            <w:noWrap/>
            <w:vAlign w:val="bottom"/>
            <w:hideMark/>
          </w:tcPr>
          <w:p w:rsidR="007F433F" w:rsidRDefault="007F433F">
            <w:pPr>
              <w:spacing w:line="240" w:lineRule="auto"/>
              <w:rPr>
                <w:sz w:val="20"/>
                <w:szCs w:val="20"/>
              </w:rPr>
            </w:pPr>
          </w:p>
        </w:tc>
        <w:tc>
          <w:tcPr>
            <w:tcW w:w="475" w:type="pct"/>
            <w:noWrap/>
            <w:vAlign w:val="bottom"/>
            <w:hideMark/>
          </w:tcPr>
          <w:p w:rsidR="007F433F" w:rsidRDefault="007F433F">
            <w:pPr>
              <w:spacing w:line="240" w:lineRule="auto"/>
              <w:rPr>
                <w:sz w:val="20"/>
                <w:szCs w:val="20"/>
              </w:rPr>
            </w:pPr>
          </w:p>
        </w:tc>
      </w:tr>
    </w:tbl>
    <w:p w:rsidR="00146380" w:rsidRPr="00043221" w:rsidRDefault="00146380" w:rsidP="00146380">
      <w:pPr>
        <w:spacing w:line="276" w:lineRule="auto"/>
        <w:rPr>
          <w:rFonts w:ascii="Calibri" w:hAnsi="Calibri" w:cs="Calibri"/>
          <w:b/>
          <w:i/>
          <w:sz w:val="16"/>
          <w:szCs w:val="15"/>
        </w:rPr>
      </w:pPr>
    </w:p>
    <w:p w:rsidR="000A7B76" w:rsidRDefault="000A7B76">
      <w:pPr>
        <w:rPr>
          <w:rFonts w:cs="Times New Roman"/>
          <w:b/>
        </w:rPr>
      </w:pPr>
      <w:r>
        <w:br w:type="page"/>
      </w:r>
    </w:p>
    <w:p w:rsidR="00146380" w:rsidRDefault="00146380" w:rsidP="009514C2">
      <w:pPr>
        <w:pStyle w:val="Heading8"/>
        <w:spacing w:after="120"/>
      </w:pPr>
      <w:bookmarkStart w:id="992" w:name="_Toc474639340"/>
      <w:r>
        <w:t xml:space="preserve">Table B5.2: </w:t>
      </w:r>
      <w:r w:rsidR="007F433F">
        <w:t xml:space="preserve">Key Macroeconomic Indicators </w:t>
      </w:r>
      <w:r>
        <w:t xml:space="preserve">Delta Plan </w:t>
      </w:r>
      <w:r w:rsidR="007F433F">
        <w:t>Policy Option</w:t>
      </w:r>
      <w:r w:rsidR="001822FE">
        <w:t>,</w:t>
      </w:r>
      <w:r w:rsidR="007F433F">
        <w:t xml:space="preserve"> </w:t>
      </w:r>
      <w:r>
        <w:t>FY2016 to FY2041</w:t>
      </w:r>
      <w:bookmarkEnd w:id="992"/>
    </w:p>
    <w:tbl>
      <w:tblPr>
        <w:tblW w:w="5000" w:type="pct"/>
        <w:jc w:val="center"/>
        <w:tblLook w:val="04A0"/>
      </w:tblPr>
      <w:tblGrid>
        <w:gridCol w:w="4587"/>
        <w:gridCol w:w="861"/>
        <w:gridCol w:w="860"/>
        <w:gridCol w:w="860"/>
        <w:gridCol w:w="952"/>
        <w:gridCol w:w="952"/>
        <w:gridCol w:w="954"/>
      </w:tblGrid>
      <w:tr w:rsidR="007F433F" w:rsidTr="001822FE">
        <w:trPr>
          <w:trHeight w:hRule="exact" w:val="288"/>
          <w:jc w:val="center"/>
        </w:trPr>
        <w:tc>
          <w:tcPr>
            <w:tcW w:w="2287" w:type="pct"/>
            <w:tcBorders>
              <w:top w:val="single" w:sz="4" w:space="0" w:color="auto"/>
              <w:left w:val="nil"/>
              <w:bottom w:val="single" w:sz="4" w:space="0" w:color="auto"/>
              <w:right w:val="nil"/>
            </w:tcBorders>
            <w:noWrap/>
            <w:vAlign w:val="bottom"/>
            <w:hideMark/>
          </w:tcPr>
          <w:p w:rsidR="007F433F" w:rsidRDefault="007F433F">
            <w:pPr>
              <w:spacing w:line="240" w:lineRule="auto"/>
              <w:rPr>
                <w:rFonts w:eastAsia="Times New Roman" w:cs="Calibri"/>
                <w:b/>
                <w:bCs/>
                <w:color w:val="000000"/>
                <w:sz w:val="16"/>
                <w:szCs w:val="16"/>
              </w:rPr>
            </w:pPr>
            <w:r>
              <w:rPr>
                <w:rFonts w:eastAsia="Times New Roman" w:cs="Calibri"/>
                <w:b/>
                <w:bCs/>
                <w:color w:val="000000"/>
                <w:sz w:val="16"/>
                <w:szCs w:val="16"/>
              </w:rPr>
              <w:t>Fiscal Year</w:t>
            </w:r>
          </w:p>
        </w:tc>
        <w:tc>
          <w:tcPr>
            <w:tcW w:w="429" w:type="pct"/>
            <w:tcBorders>
              <w:top w:val="single" w:sz="4" w:space="0" w:color="auto"/>
              <w:left w:val="nil"/>
              <w:bottom w:val="single" w:sz="4"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FY16</w:t>
            </w:r>
          </w:p>
        </w:tc>
        <w:tc>
          <w:tcPr>
            <w:tcW w:w="429" w:type="pct"/>
            <w:tcBorders>
              <w:top w:val="single" w:sz="4" w:space="0" w:color="auto"/>
              <w:left w:val="nil"/>
              <w:bottom w:val="single" w:sz="4"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FY21</w:t>
            </w:r>
          </w:p>
        </w:tc>
        <w:tc>
          <w:tcPr>
            <w:tcW w:w="429" w:type="pct"/>
            <w:tcBorders>
              <w:top w:val="single" w:sz="4" w:space="0" w:color="auto"/>
              <w:left w:val="nil"/>
              <w:bottom w:val="single" w:sz="4"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FY26</w:t>
            </w:r>
          </w:p>
        </w:tc>
        <w:tc>
          <w:tcPr>
            <w:tcW w:w="475" w:type="pct"/>
            <w:tcBorders>
              <w:top w:val="single" w:sz="4" w:space="0" w:color="auto"/>
              <w:left w:val="nil"/>
              <w:bottom w:val="single" w:sz="4"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FY31</w:t>
            </w:r>
          </w:p>
        </w:tc>
        <w:tc>
          <w:tcPr>
            <w:tcW w:w="475" w:type="pct"/>
            <w:tcBorders>
              <w:top w:val="single" w:sz="4" w:space="0" w:color="auto"/>
              <w:left w:val="nil"/>
              <w:bottom w:val="single" w:sz="4"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FY36</w:t>
            </w:r>
          </w:p>
        </w:tc>
        <w:tc>
          <w:tcPr>
            <w:tcW w:w="475" w:type="pct"/>
            <w:tcBorders>
              <w:top w:val="single" w:sz="4" w:space="0" w:color="auto"/>
              <w:left w:val="nil"/>
              <w:bottom w:val="single" w:sz="4" w:space="0" w:color="auto"/>
              <w:right w:val="nil"/>
            </w:tcBorders>
            <w:noWrap/>
            <w:vAlign w:val="bottom"/>
            <w:hideMark/>
          </w:tcPr>
          <w:p w:rsidR="007F433F" w:rsidRDefault="007F433F">
            <w:pPr>
              <w:spacing w:line="240" w:lineRule="auto"/>
              <w:jc w:val="right"/>
              <w:rPr>
                <w:rFonts w:eastAsia="Times New Roman" w:cs="Calibri"/>
                <w:b/>
                <w:bCs/>
                <w:color w:val="000000"/>
                <w:sz w:val="16"/>
                <w:szCs w:val="16"/>
              </w:rPr>
            </w:pPr>
            <w:r>
              <w:rPr>
                <w:rFonts w:eastAsia="Times New Roman" w:cs="Calibri"/>
                <w:b/>
                <w:bCs/>
                <w:color w:val="000000"/>
                <w:sz w:val="16"/>
                <w:szCs w:val="16"/>
              </w:rPr>
              <w:t>FY41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Real Sector:</w:t>
            </w:r>
          </w:p>
        </w:tc>
        <w:tc>
          <w:tcPr>
            <w:tcW w:w="2713" w:type="pct"/>
            <w:gridSpan w:val="6"/>
            <w:tcBorders>
              <w:top w:val="single" w:sz="4" w:space="0" w:color="auto"/>
              <w:left w:val="nil"/>
              <w:bottom w:val="nil"/>
              <w:right w:val="nil"/>
            </w:tcBorders>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(Growth rate or  Otherwise Indicated)</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Real GDP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Inflation( CPI Base)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Inflation(Deflator Base)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ICOR</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Gross National Savings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30.3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Gross Domestic Savings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26.5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29.9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30.9</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Gross Investment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30.1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37.2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37.7</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w:t>
            </w:r>
            <w:r w:rsidR="00F64A6A" w:rsidRPr="00F64A6A">
              <w:rPr>
                <w:sz w:val="20"/>
                <w:szCs w:val="18"/>
              </w:rPr>
              <w:t>public</w:t>
            </w:r>
            <w:r w:rsidR="00F64A6A" w:rsidRPr="00F64A6A">
              <w:rPr>
                <w:rFonts w:eastAsia="Times New Roman" w:cs="Calibri"/>
                <w:color w:val="000000"/>
                <w:sz w:val="12"/>
                <w:szCs w:val="12"/>
              </w:rPr>
              <w:t xml:space="preserve"> </w:t>
            </w:r>
            <w:r>
              <w:rPr>
                <w:rFonts w:eastAsia="Times New Roman" w:cs="Calibri"/>
                <w:color w:val="000000"/>
                <w:sz w:val="16"/>
                <w:szCs w:val="16"/>
              </w:rPr>
              <w:t xml:space="preserve"> Investment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Private Investment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28.5</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Foreign Domestic Investment(FDI)</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Domestic Investment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23.8</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Consumption</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75.6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73.5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72.9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71.7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70.1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69.1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Gross national income </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18314.7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35503.2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66641.0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123999.2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229146.4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422330.2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GNI Per Capita USD</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1390.0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2178.9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3434.2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5480.1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8825.5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14377.4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Population in million</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162.9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172.3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180.6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187.8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197.9</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Population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Fiscal Indicators:</w:t>
            </w:r>
          </w:p>
        </w:tc>
        <w:tc>
          <w:tcPr>
            <w:tcW w:w="2713" w:type="pct"/>
            <w:gridSpan w:val="6"/>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(As % of GDP)</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Revenue and Grants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23.6</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Total Revenue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Tax Revenue</w:t>
            </w:r>
          </w:p>
        </w:tc>
        <w:tc>
          <w:tcPr>
            <w:tcW w:w="429" w:type="pct"/>
            <w:noWrap/>
            <w:vAlign w:val="center"/>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9.0</w:t>
            </w:r>
          </w:p>
        </w:tc>
        <w:tc>
          <w:tcPr>
            <w:tcW w:w="429" w:type="pct"/>
            <w:noWrap/>
            <w:vAlign w:val="center"/>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13.2</w:t>
            </w:r>
          </w:p>
        </w:tc>
        <w:tc>
          <w:tcPr>
            <w:tcW w:w="429" w:type="pct"/>
            <w:noWrap/>
            <w:vAlign w:val="center"/>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15.3</w:t>
            </w:r>
          </w:p>
        </w:tc>
        <w:tc>
          <w:tcPr>
            <w:tcW w:w="475" w:type="pct"/>
            <w:noWrap/>
            <w:vAlign w:val="center"/>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17.2</w:t>
            </w:r>
          </w:p>
        </w:tc>
        <w:tc>
          <w:tcPr>
            <w:tcW w:w="475" w:type="pct"/>
            <w:noWrap/>
            <w:vAlign w:val="center"/>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19.0</w:t>
            </w:r>
          </w:p>
        </w:tc>
        <w:tc>
          <w:tcPr>
            <w:tcW w:w="475" w:type="pct"/>
            <w:noWrap/>
            <w:vAlign w:val="center"/>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20.9</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NBR Tax Revenue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12.8</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20.5</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Non-NBR Tax Revenue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Non-Tax Revenue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Grants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Total Expenditure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25.1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27.5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29.7</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Revenue Expenditure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Development Expenditure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11.3</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Overall Balance (Incl. grants)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Financing</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Net External Financing</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2.5</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Domestic financing</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3.7</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Debt Indicator:</w:t>
            </w:r>
          </w:p>
        </w:tc>
        <w:tc>
          <w:tcPr>
            <w:tcW w:w="2713" w:type="pct"/>
            <w:gridSpan w:val="6"/>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(As % of GDP)</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Total Debt outstanding</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38.3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42.9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45.8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External Debt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13.7</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11.8</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Domestic Debt</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22.9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26.5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29.4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29.5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30.0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Total Debt Services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External </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0.8</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   Domestic </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External debt as% export&amp; remittance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60.2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44.3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42.2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46.3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48.4</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External debt services as% export&amp; remittance</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External Sector:</w:t>
            </w:r>
          </w:p>
        </w:tc>
        <w:tc>
          <w:tcPr>
            <w:tcW w:w="2713" w:type="pct"/>
            <w:gridSpan w:val="6"/>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(Growth rate or  Otherwise Indicated)</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lastRenderedPageBreak/>
              <w:t>Export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Import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7.0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13.8</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Service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Income receipt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Remittance growth</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-0.5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Current Account Balance as (%) of GDP</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-4.7</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FDI as (%) of GDP</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3.9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4.1</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Net MLT as % of GDP</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1.1</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2.0</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Exchange Rate(Tk/USD)</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80.9</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94.6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107.4</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120.5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134.2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149.2</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Reserves in months of imports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6.6</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6.3</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5.5</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5.1</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5.0</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4.8</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Monetary Sector:</w:t>
            </w:r>
          </w:p>
        </w:tc>
        <w:tc>
          <w:tcPr>
            <w:tcW w:w="2713" w:type="pct"/>
            <w:gridSpan w:val="6"/>
            <w:noWrap/>
            <w:vAlign w:val="bottom"/>
            <w:hideMark/>
          </w:tcPr>
          <w:p w:rsidR="007F433F" w:rsidRDefault="007F433F">
            <w:pPr>
              <w:spacing w:line="240" w:lineRule="auto"/>
              <w:jc w:val="center"/>
              <w:rPr>
                <w:rFonts w:eastAsia="Times New Roman" w:cs="Calibri"/>
                <w:color w:val="000000"/>
                <w:sz w:val="16"/>
                <w:szCs w:val="16"/>
              </w:rPr>
            </w:pPr>
            <w:r>
              <w:rPr>
                <w:rFonts w:eastAsia="Times New Roman" w:cs="Calibri"/>
                <w:color w:val="000000"/>
                <w:sz w:val="16"/>
                <w:szCs w:val="16"/>
              </w:rPr>
              <w:t>(Growth rate or  Otherwise Indicated)</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 xml:space="preserve">Broad Money </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15.8</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16.7</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17.2</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17.5</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Net Foreign Assets</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18.2</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13.4</w:t>
            </w:r>
          </w:p>
        </w:tc>
        <w:tc>
          <w:tcPr>
            <w:tcW w:w="429"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12.9</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13.3</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13.6</w:t>
            </w:r>
          </w:p>
        </w:tc>
        <w:tc>
          <w:tcPr>
            <w:tcW w:w="475" w:type="pct"/>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14.0</w:t>
            </w:r>
          </w:p>
        </w:tc>
      </w:tr>
      <w:tr w:rsidR="007F433F" w:rsidTr="001822FE">
        <w:trPr>
          <w:trHeight w:hRule="exact" w:val="288"/>
          <w:jc w:val="center"/>
        </w:trPr>
        <w:tc>
          <w:tcPr>
            <w:tcW w:w="2287" w:type="pct"/>
            <w:tcBorders>
              <w:top w:val="nil"/>
              <w:left w:val="nil"/>
              <w:bottom w:val="single" w:sz="4" w:space="0" w:color="auto"/>
              <w:right w:val="nil"/>
            </w:tcBorders>
            <w:noWrap/>
            <w:vAlign w:val="bottom"/>
            <w:hideMark/>
          </w:tcPr>
          <w:p w:rsidR="007F433F" w:rsidRDefault="007F433F">
            <w:pPr>
              <w:spacing w:line="240" w:lineRule="auto"/>
              <w:rPr>
                <w:rFonts w:eastAsia="Times New Roman" w:cs="Calibri"/>
                <w:color w:val="000000"/>
                <w:sz w:val="16"/>
                <w:szCs w:val="16"/>
              </w:rPr>
            </w:pPr>
            <w:r>
              <w:rPr>
                <w:rFonts w:eastAsia="Times New Roman" w:cs="Calibri"/>
                <w:color w:val="000000"/>
                <w:sz w:val="16"/>
                <w:szCs w:val="16"/>
              </w:rPr>
              <w:t>Private sector</w:t>
            </w:r>
          </w:p>
        </w:tc>
        <w:tc>
          <w:tcPr>
            <w:tcW w:w="429"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13.2</w:t>
            </w:r>
          </w:p>
        </w:tc>
        <w:tc>
          <w:tcPr>
            <w:tcW w:w="429"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16.5</w:t>
            </w:r>
          </w:p>
        </w:tc>
        <w:tc>
          <w:tcPr>
            <w:tcW w:w="429"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16.7</w:t>
            </w:r>
          </w:p>
        </w:tc>
        <w:tc>
          <w:tcPr>
            <w:tcW w:w="475"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16.3</w:t>
            </w:r>
          </w:p>
        </w:tc>
        <w:tc>
          <w:tcPr>
            <w:tcW w:w="475"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15.9</w:t>
            </w:r>
          </w:p>
        </w:tc>
        <w:tc>
          <w:tcPr>
            <w:tcW w:w="475" w:type="pct"/>
            <w:tcBorders>
              <w:top w:val="nil"/>
              <w:left w:val="nil"/>
              <w:bottom w:val="single" w:sz="4" w:space="0" w:color="auto"/>
              <w:right w:val="nil"/>
            </w:tcBorders>
            <w:noWrap/>
            <w:vAlign w:val="bottom"/>
            <w:hideMark/>
          </w:tcPr>
          <w:p w:rsidR="007F433F" w:rsidRDefault="007F433F">
            <w:pPr>
              <w:spacing w:line="240" w:lineRule="auto"/>
              <w:jc w:val="right"/>
              <w:rPr>
                <w:rFonts w:eastAsia="Times New Roman" w:cs="Calibri"/>
                <w:color w:val="000000"/>
                <w:sz w:val="16"/>
                <w:szCs w:val="16"/>
              </w:rPr>
            </w:pPr>
            <w:r>
              <w:rPr>
                <w:rFonts w:eastAsia="Times New Roman" w:cs="Calibri"/>
                <w:color w:val="000000"/>
                <w:sz w:val="16"/>
                <w:szCs w:val="16"/>
              </w:rPr>
              <w:t>15.5</w:t>
            </w:r>
          </w:p>
        </w:tc>
      </w:tr>
      <w:tr w:rsidR="007F433F" w:rsidTr="001822FE">
        <w:trPr>
          <w:trHeight w:hRule="exact" w:val="288"/>
          <w:jc w:val="center"/>
        </w:trPr>
        <w:tc>
          <w:tcPr>
            <w:tcW w:w="2287" w:type="pct"/>
            <w:noWrap/>
            <w:vAlign w:val="bottom"/>
            <w:hideMark/>
          </w:tcPr>
          <w:p w:rsidR="007F433F" w:rsidRDefault="007F433F">
            <w:pPr>
              <w:spacing w:line="240" w:lineRule="auto"/>
              <w:rPr>
                <w:rFonts w:eastAsia="Times New Roman" w:cs="Calibri"/>
                <w:b/>
                <w:bCs/>
                <w:color w:val="000000"/>
                <w:sz w:val="18"/>
                <w:szCs w:val="18"/>
              </w:rPr>
            </w:pPr>
            <w:r>
              <w:rPr>
                <w:rFonts w:eastAsia="Times New Roman" w:cs="Calibri"/>
                <w:b/>
                <w:bCs/>
                <w:color w:val="000000"/>
                <w:sz w:val="18"/>
                <w:szCs w:val="18"/>
              </w:rPr>
              <w:t>Source: GED Projections</w:t>
            </w:r>
          </w:p>
        </w:tc>
        <w:tc>
          <w:tcPr>
            <w:tcW w:w="429" w:type="pct"/>
            <w:noWrap/>
            <w:vAlign w:val="bottom"/>
            <w:hideMark/>
          </w:tcPr>
          <w:p w:rsidR="007F433F" w:rsidRDefault="007F433F">
            <w:pPr>
              <w:spacing w:line="240" w:lineRule="auto"/>
              <w:rPr>
                <w:sz w:val="20"/>
                <w:szCs w:val="20"/>
              </w:rPr>
            </w:pPr>
          </w:p>
        </w:tc>
        <w:tc>
          <w:tcPr>
            <w:tcW w:w="429" w:type="pct"/>
            <w:noWrap/>
            <w:vAlign w:val="bottom"/>
            <w:hideMark/>
          </w:tcPr>
          <w:p w:rsidR="007F433F" w:rsidRDefault="007F433F">
            <w:pPr>
              <w:spacing w:line="240" w:lineRule="auto"/>
              <w:rPr>
                <w:sz w:val="20"/>
                <w:szCs w:val="20"/>
              </w:rPr>
            </w:pPr>
          </w:p>
        </w:tc>
        <w:tc>
          <w:tcPr>
            <w:tcW w:w="429" w:type="pct"/>
            <w:noWrap/>
            <w:vAlign w:val="bottom"/>
            <w:hideMark/>
          </w:tcPr>
          <w:p w:rsidR="007F433F" w:rsidRDefault="007F433F">
            <w:pPr>
              <w:spacing w:line="240" w:lineRule="auto"/>
              <w:rPr>
                <w:sz w:val="20"/>
                <w:szCs w:val="20"/>
              </w:rPr>
            </w:pPr>
          </w:p>
        </w:tc>
        <w:tc>
          <w:tcPr>
            <w:tcW w:w="475" w:type="pct"/>
            <w:noWrap/>
            <w:vAlign w:val="bottom"/>
            <w:hideMark/>
          </w:tcPr>
          <w:p w:rsidR="007F433F" w:rsidRDefault="007F433F">
            <w:pPr>
              <w:spacing w:line="240" w:lineRule="auto"/>
              <w:rPr>
                <w:sz w:val="20"/>
                <w:szCs w:val="20"/>
              </w:rPr>
            </w:pPr>
          </w:p>
        </w:tc>
        <w:tc>
          <w:tcPr>
            <w:tcW w:w="475" w:type="pct"/>
            <w:noWrap/>
            <w:vAlign w:val="bottom"/>
            <w:hideMark/>
          </w:tcPr>
          <w:p w:rsidR="007F433F" w:rsidRDefault="007F433F">
            <w:pPr>
              <w:spacing w:line="240" w:lineRule="auto"/>
              <w:rPr>
                <w:sz w:val="20"/>
                <w:szCs w:val="20"/>
              </w:rPr>
            </w:pPr>
          </w:p>
        </w:tc>
        <w:tc>
          <w:tcPr>
            <w:tcW w:w="475" w:type="pct"/>
            <w:noWrap/>
            <w:vAlign w:val="bottom"/>
            <w:hideMark/>
          </w:tcPr>
          <w:p w:rsidR="007F433F" w:rsidRDefault="007F433F">
            <w:pPr>
              <w:spacing w:line="240" w:lineRule="auto"/>
              <w:rPr>
                <w:sz w:val="20"/>
                <w:szCs w:val="20"/>
              </w:rPr>
            </w:pPr>
          </w:p>
        </w:tc>
      </w:tr>
    </w:tbl>
    <w:p w:rsidR="009514C2" w:rsidRDefault="009514C2" w:rsidP="00146380">
      <w:pPr>
        <w:rPr>
          <w:rFonts w:ascii="Calibri" w:eastAsia="Times New Roman" w:hAnsi="Calibri" w:cs="Calibri"/>
          <w:b/>
          <w:bCs/>
          <w:color w:val="000000"/>
          <w:sz w:val="16"/>
          <w:szCs w:val="16"/>
        </w:rPr>
      </w:pPr>
    </w:p>
    <w:p w:rsidR="00146380" w:rsidRDefault="00146380" w:rsidP="001822FE">
      <w:pPr>
        <w:pStyle w:val="Heading8"/>
        <w:spacing w:after="120"/>
      </w:pPr>
      <w:bookmarkStart w:id="993" w:name="_Toc474639341"/>
      <w:r>
        <w:t xml:space="preserve">Table B5.3: </w:t>
      </w:r>
      <w:r w:rsidR="001E0DBC">
        <w:t xml:space="preserve"> Employment and Poverty Outcomes under </w:t>
      </w:r>
      <w:r w:rsidR="001822FE">
        <w:t>Business as Usual (BAU) Option, FY2016-</w:t>
      </w:r>
      <w:r>
        <w:t xml:space="preserve"> FY2041</w:t>
      </w:r>
      <w:bookmarkEnd w:id="993"/>
    </w:p>
    <w:tbl>
      <w:tblPr>
        <w:tblW w:w="5000" w:type="pct"/>
        <w:jc w:val="center"/>
        <w:tblLook w:val="04A0"/>
      </w:tblPr>
      <w:tblGrid>
        <w:gridCol w:w="4511"/>
        <w:gridCol w:w="805"/>
        <w:gridCol w:w="942"/>
        <w:gridCol w:w="942"/>
        <w:gridCol w:w="942"/>
        <w:gridCol w:w="942"/>
        <w:gridCol w:w="942"/>
      </w:tblGrid>
      <w:tr w:rsidR="001E0DBC" w:rsidRPr="00E746FD" w:rsidTr="001822FE">
        <w:trPr>
          <w:trHeight w:hRule="exact" w:val="288"/>
          <w:jc w:val="center"/>
        </w:trPr>
        <w:tc>
          <w:tcPr>
            <w:tcW w:w="2249"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rPr>
                <w:rFonts w:eastAsia="Times New Roman" w:cs="Calibri"/>
                <w:b/>
                <w:bCs/>
                <w:color w:val="000000"/>
                <w:sz w:val="16"/>
                <w:szCs w:val="16"/>
              </w:rPr>
            </w:pPr>
            <w:r w:rsidRPr="00E746FD">
              <w:rPr>
                <w:rFonts w:eastAsia="Times New Roman" w:cs="Calibri"/>
                <w:b/>
                <w:bCs/>
                <w:color w:val="000000"/>
                <w:sz w:val="16"/>
                <w:szCs w:val="16"/>
              </w:rPr>
              <w:t>Fiscal Year</w:t>
            </w:r>
          </w:p>
        </w:tc>
        <w:tc>
          <w:tcPr>
            <w:tcW w:w="401"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FY16</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FY21</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FY26</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FY31</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FY36</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FY41</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b/>
                <w:bCs/>
                <w:color w:val="000000"/>
                <w:sz w:val="16"/>
                <w:szCs w:val="16"/>
              </w:rPr>
            </w:pPr>
            <w:r w:rsidRPr="00E746FD">
              <w:rPr>
                <w:rFonts w:eastAsia="Times New Roman" w:cs="Calibri"/>
                <w:b/>
                <w:bCs/>
                <w:color w:val="000000"/>
                <w:sz w:val="16"/>
                <w:szCs w:val="16"/>
              </w:rPr>
              <w:t>Indicators:</w:t>
            </w:r>
          </w:p>
        </w:tc>
        <w:tc>
          <w:tcPr>
            <w:tcW w:w="2751" w:type="pct"/>
            <w:gridSpan w:val="6"/>
            <w:tcBorders>
              <w:top w:val="single" w:sz="8" w:space="0" w:color="auto"/>
              <w:left w:val="nil"/>
              <w:bottom w:val="nil"/>
              <w:right w:val="nil"/>
            </w:tcBorders>
            <w:shd w:val="clear" w:color="auto" w:fill="auto"/>
            <w:noWrap/>
            <w:vAlign w:val="center"/>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 </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Real GDP Growth(%)</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7.1</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7.3</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7.1</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6.8</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6.4</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5.6</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 xml:space="preserve">Capital </w:t>
            </w:r>
            <w:r w:rsidR="00EA4E38" w:rsidRPr="00E746FD">
              <w:rPr>
                <w:rFonts w:eastAsia="Times New Roman" w:cs="Calibri"/>
                <w:color w:val="000000"/>
                <w:sz w:val="16"/>
                <w:szCs w:val="16"/>
              </w:rPr>
              <w:t>Stock, in</w:t>
            </w:r>
            <w:r w:rsidRPr="00E746FD">
              <w:rPr>
                <w:rFonts w:eastAsia="Times New Roman" w:cs="Calibri"/>
                <w:color w:val="000000"/>
                <w:sz w:val="16"/>
                <w:szCs w:val="16"/>
              </w:rPr>
              <w:t xml:space="preserve"> billion USD</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200.7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333.0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517.5</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762.4</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1093.6</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1542.9</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 xml:space="preserve"> of which: capital loss, in billion USD</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6.2</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9.4</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13.9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18.8</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Labor force, In million</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65.6</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73.9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82.0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90.2</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98.2</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105.7</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 xml:space="preserve">     Employed</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62.5</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69.9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76.7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83.0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88.5</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92.6</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 xml:space="preserve">     Unemployed</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3.1</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5.4</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7.2</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13.0</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New Unemployment, in million</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0.6</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3.2</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5.4</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8.4</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Labor force participation rate(%)</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58.9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60.5</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62.2</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64.0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66.0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68.0</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Loss of Real GDP, in billion USD</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12.1</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28.0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58.2</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114.5</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 xml:space="preserve">   of which: Loss due to Natural Disasters</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1.3</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1.8</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2.5</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Nominal GDP per capita, in USD</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1312.7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1966.7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2987.7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4523.3</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6757.7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9875.3</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Head count Poverty Ratio(%)</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 xml:space="preserve">     Extreme Poverty</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12.1</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6.5</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4.8</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3.5</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2.6</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 xml:space="preserve">     Moderate Poverty</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20.7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17.5</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14.9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13.3</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12.2</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11.5</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center"/>
            <w:hideMark/>
          </w:tcPr>
          <w:p w:rsidR="001E0DBC" w:rsidRPr="00E746FD" w:rsidRDefault="001E0DBC" w:rsidP="00554AA1">
            <w:pPr>
              <w:spacing w:line="240" w:lineRule="auto"/>
              <w:rPr>
                <w:rFonts w:eastAsia="Times New Roman" w:cs="Calibri"/>
                <w:b/>
                <w:bCs/>
                <w:sz w:val="16"/>
                <w:szCs w:val="16"/>
              </w:rPr>
            </w:pPr>
            <w:r w:rsidRPr="00E746FD">
              <w:rPr>
                <w:rFonts w:eastAsia="Times New Roman" w:cs="Calibri"/>
                <w:b/>
                <w:bCs/>
                <w:sz w:val="16"/>
                <w:szCs w:val="16"/>
              </w:rPr>
              <w:t>Memorandum :</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center"/>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population, in million</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162.9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172.3</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180.6</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187.8</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193.5</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197.9</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Real GDP, in billion taka</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8829.4</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12375.7</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17509.9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24499.0</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33669.4</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44946.8</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Exchange rate</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80.9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94.6</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107.4</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120.5</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134.2</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149.2</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GDP Deflator index</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195.9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258.9</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331.1</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417.8</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521.1</w:t>
            </w: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648.8</w:t>
            </w:r>
          </w:p>
        </w:tc>
      </w:tr>
      <w:tr w:rsidR="001E0DBC" w:rsidRPr="00E746FD" w:rsidTr="001822FE">
        <w:trPr>
          <w:trHeight w:hRule="exact" w:val="288"/>
          <w:jc w:val="center"/>
        </w:trPr>
        <w:tc>
          <w:tcPr>
            <w:tcW w:w="2249" w:type="pct"/>
            <w:tcBorders>
              <w:top w:val="nil"/>
              <w:left w:val="nil"/>
              <w:bottom w:val="single" w:sz="8" w:space="0" w:color="auto"/>
              <w:right w:val="nil"/>
            </w:tcBorders>
            <w:shd w:val="clear" w:color="auto" w:fill="auto"/>
            <w:noWrap/>
            <w:vAlign w:val="center"/>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Population growth (%)</w:t>
            </w:r>
          </w:p>
        </w:tc>
        <w:tc>
          <w:tcPr>
            <w:tcW w:w="401"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1.1</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0.9</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0.7</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0.5</w:t>
            </w:r>
          </w:p>
        </w:tc>
        <w:tc>
          <w:tcPr>
            <w:tcW w:w="470"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0.4</w:t>
            </w:r>
          </w:p>
        </w:tc>
      </w:tr>
      <w:tr w:rsidR="001E0DBC" w:rsidRPr="00E746FD" w:rsidTr="001822FE">
        <w:trPr>
          <w:trHeight w:hRule="exact" w:val="288"/>
          <w:jc w:val="center"/>
        </w:trPr>
        <w:tc>
          <w:tcPr>
            <w:tcW w:w="224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E746FD">
              <w:rPr>
                <w:rFonts w:eastAsia="Times New Roman" w:cs="Calibri"/>
                <w:b/>
                <w:bCs/>
                <w:color w:val="000000"/>
                <w:sz w:val="18"/>
                <w:szCs w:val="18"/>
              </w:rPr>
              <w:t xml:space="preserve"> Projections</w:t>
            </w:r>
          </w:p>
        </w:tc>
        <w:tc>
          <w:tcPr>
            <w:tcW w:w="401"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470"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r>
    </w:tbl>
    <w:p w:rsidR="001E0DBC" w:rsidRDefault="00146380" w:rsidP="009514C2">
      <w:pPr>
        <w:pStyle w:val="Heading8"/>
        <w:spacing w:after="120"/>
      </w:pPr>
      <w:bookmarkStart w:id="994" w:name="_Toc460497267"/>
      <w:r>
        <w:br w:type="page"/>
      </w:r>
      <w:bookmarkStart w:id="995" w:name="_Toc474639342"/>
      <w:r w:rsidR="001E0DBC">
        <w:lastRenderedPageBreak/>
        <w:t xml:space="preserve">Table B5.4: Employment and Poverty Outcomes in </w:t>
      </w:r>
      <w:r w:rsidR="009514C2">
        <w:t xml:space="preserve">the </w:t>
      </w:r>
      <w:r w:rsidR="001E0DBC">
        <w:t>Delta Plan Option</w:t>
      </w:r>
      <w:r w:rsidR="001822FE">
        <w:t>, FY2016- FY2041</w:t>
      </w:r>
      <w:bookmarkEnd w:id="995"/>
    </w:p>
    <w:tbl>
      <w:tblPr>
        <w:tblW w:w="5000" w:type="pct"/>
        <w:jc w:val="center"/>
        <w:tblLook w:val="04A0"/>
      </w:tblPr>
      <w:tblGrid>
        <w:gridCol w:w="3995"/>
        <w:gridCol w:w="880"/>
        <w:gridCol w:w="1031"/>
        <w:gridCol w:w="1031"/>
        <w:gridCol w:w="1031"/>
        <w:gridCol w:w="1031"/>
        <w:gridCol w:w="1027"/>
      </w:tblGrid>
      <w:tr w:rsidR="001E0DBC" w:rsidRPr="00E746FD" w:rsidTr="007D0C2F">
        <w:trPr>
          <w:trHeight w:hRule="exact" w:val="288"/>
          <w:jc w:val="center"/>
        </w:trPr>
        <w:tc>
          <w:tcPr>
            <w:tcW w:w="1993"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rPr>
                <w:rFonts w:eastAsia="Times New Roman" w:cs="Calibri"/>
                <w:b/>
                <w:bCs/>
                <w:color w:val="000000"/>
                <w:sz w:val="16"/>
                <w:szCs w:val="16"/>
              </w:rPr>
            </w:pPr>
            <w:r w:rsidRPr="00E746FD">
              <w:rPr>
                <w:rFonts w:eastAsia="Times New Roman" w:cs="Calibri"/>
                <w:b/>
                <w:bCs/>
                <w:color w:val="000000"/>
                <w:sz w:val="16"/>
                <w:szCs w:val="16"/>
              </w:rPr>
              <w:t>Fiscal Year</w:t>
            </w:r>
          </w:p>
        </w:tc>
        <w:tc>
          <w:tcPr>
            <w:tcW w:w="439"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FY16</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FY21</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FY26</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FY31</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FY36</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b/>
                <w:bCs/>
                <w:color w:val="000000"/>
                <w:sz w:val="16"/>
                <w:szCs w:val="16"/>
              </w:rPr>
            </w:pPr>
            <w:r w:rsidRPr="00E746FD">
              <w:rPr>
                <w:rFonts w:eastAsia="Times New Roman" w:cs="Calibri"/>
                <w:b/>
                <w:bCs/>
                <w:color w:val="000000"/>
                <w:sz w:val="16"/>
                <w:szCs w:val="16"/>
              </w:rPr>
              <w:t>FY41</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b/>
                <w:bCs/>
                <w:color w:val="000000"/>
                <w:sz w:val="16"/>
                <w:szCs w:val="16"/>
              </w:rPr>
            </w:pPr>
            <w:r w:rsidRPr="00E746FD">
              <w:rPr>
                <w:rFonts w:eastAsia="Times New Roman" w:cs="Calibri"/>
                <w:b/>
                <w:bCs/>
                <w:color w:val="000000"/>
                <w:sz w:val="16"/>
                <w:szCs w:val="16"/>
              </w:rPr>
              <w:t>Indicators:</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Real GDP Growth(%)</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7.1</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8.0</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8.1</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8.2</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8.3</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8.4</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Investment- GDP(%)</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30.1</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35.4</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36.1</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36.5</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37.2</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37.7</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Real Capital Stock, in billion USD</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200.7</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336.9</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523.7</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771.8</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1107.5</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1561.2</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Labor force, In million</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65.6</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73.9</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82.0</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90.2</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98.2</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105.7</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 xml:space="preserve">     Employed</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62.5</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70.5</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78.3</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86.2</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93.9</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101.0</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 xml:space="preserve">     Unemployed</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3.1</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3.4</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3.7</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4.0</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4.3</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4.7</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Labor force participation rate(%)</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58.9</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60.5</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62.2</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64.0</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66.0</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68.0</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color w:val="000000"/>
                <w:sz w:val="16"/>
                <w:szCs w:val="16"/>
              </w:rPr>
            </w:pPr>
            <w:r w:rsidRPr="00E746FD">
              <w:rPr>
                <w:rFonts w:eastAsia="Times New Roman" w:cs="Calibri"/>
                <w:color w:val="000000"/>
                <w:sz w:val="16"/>
                <w:szCs w:val="16"/>
              </w:rPr>
              <w:t>Nominal GDP per capita, in USD</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1312.7</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2026.9</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3209.6</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5145.6</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8326.0</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13627.9</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Head count Poverty Ratio(%)</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 xml:space="preserve">     Extreme Poverty</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12.1</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6.6</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1.5</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0.3</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0.1</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0.0</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 xml:space="preserve">     Moderate Poverty</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20.7</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16.4</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12.7</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9.7</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7.3</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5.5</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center"/>
            <w:hideMark/>
          </w:tcPr>
          <w:p w:rsidR="001E0DBC" w:rsidRPr="00E746FD" w:rsidRDefault="001E0DBC" w:rsidP="00554AA1">
            <w:pPr>
              <w:spacing w:line="240" w:lineRule="auto"/>
              <w:rPr>
                <w:rFonts w:eastAsia="Times New Roman" w:cs="Calibri"/>
                <w:b/>
                <w:bCs/>
                <w:sz w:val="16"/>
                <w:szCs w:val="16"/>
              </w:rPr>
            </w:pPr>
            <w:r w:rsidRPr="00E746FD">
              <w:rPr>
                <w:rFonts w:eastAsia="Times New Roman" w:cs="Calibri"/>
                <w:b/>
                <w:bCs/>
                <w:sz w:val="16"/>
                <w:szCs w:val="16"/>
              </w:rPr>
              <w:t>Memorandum :</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center"/>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population, in million</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162.9</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172.3</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180.6</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187.8</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193.5</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197.9</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Real GDP, in billion taka</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8829.4</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12754.6</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18810.2</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27869.4</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41482.9</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62026.1</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Exchange rate</w:t>
            </w: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80.9</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94.6</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107.4</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120.5</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134.2</w:t>
            </w: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149.2</w:t>
            </w:r>
          </w:p>
        </w:tc>
      </w:tr>
      <w:tr w:rsidR="001E0DBC" w:rsidRPr="00E746FD" w:rsidTr="007D0C2F">
        <w:trPr>
          <w:trHeight w:hRule="exact" w:val="288"/>
          <w:jc w:val="center"/>
        </w:trPr>
        <w:tc>
          <w:tcPr>
            <w:tcW w:w="1993"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rPr>
                <w:rFonts w:eastAsia="Times New Roman" w:cs="Calibri"/>
                <w:sz w:val="16"/>
                <w:szCs w:val="16"/>
              </w:rPr>
            </w:pPr>
            <w:r w:rsidRPr="00E746FD">
              <w:rPr>
                <w:rFonts w:eastAsia="Times New Roman" w:cs="Calibri"/>
                <w:sz w:val="16"/>
                <w:szCs w:val="16"/>
              </w:rPr>
              <w:t>GDP Deflator index</w:t>
            </w:r>
          </w:p>
        </w:tc>
        <w:tc>
          <w:tcPr>
            <w:tcW w:w="439"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195.9</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258.9</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331.1</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417.8</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521.1</w:t>
            </w:r>
          </w:p>
        </w:tc>
        <w:tc>
          <w:tcPr>
            <w:tcW w:w="514" w:type="pct"/>
            <w:tcBorders>
              <w:top w:val="nil"/>
              <w:left w:val="nil"/>
              <w:bottom w:val="single" w:sz="8" w:space="0" w:color="auto"/>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r w:rsidRPr="00E746FD">
              <w:rPr>
                <w:rFonts w:eastAsia="Times New Roman" w:cs="Calibri"/>
                <w:color w:val="000000"/>
                <w:sz w:val="16"/>
                <w:szCs w:val="16"/>
              </w:rPr>
              <w:t>648.8</w:t>
            </w:r>
          </w:p>
        </w:tc>
      </w:tr>
      <w:tr w:rsidR="001E0DBC" w:rsidRPr="00E746FD" w:rsidTr="007D0C2F">
        <w:trPr>
          <w:trHeight w:hRule="exact" w:val="288"/>
          <w:jc w:val="center"/>
        </w:trPr>
        <w:tc>
          <w:tcPr>
            <w:tcW w:w="1993" w:type="pct"/>
            <w:tcBorders>
              <w:top w:val="nil"/>
              <w:left w:val="nil"/>
              <w:bottom w:val="nil"/>
              <w:right w:val="nil"/>
            </w:tcBorders>
            <w:shd w:val="clear" w:color="auto" w:fill="auto"/>
            <w:noWrap/>
            <w:vAlign w:val="bottom"/>
            <w:hideMark/>
          </w:tcPr>
          <w:p w:rsidR="001E0DBC" w:rsidRDefault="001E0DBC"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E746FD">
              <w:rPr>
                <w:rFonts w:eastAsia="Times New Roman" w:cs="Calibri"/>
                <w:b/>
                <w:bCs/>
                <w:color w:val="000000"/>
                <w:sz w:val="18"/>
                <w:szCs w:val="18"/>
              </w:rPr>
              <w:t xml:space="preserve"> Projections</w:t>
            </w:r>
          </w:p>
          <w:p w:rsidR="001E0DBC" w:rsidRDefault="001E0DBC" w:rsidP="00554AA1">
            <w:pPr>
              <w:spacing w:line="240" w:lineRule="auto"/>
              <w:rPr>
                <w:rFonts w:eastAsia="Times New Roman" w:cs="Calibri"/>
                <w:b/>
                <w:bCs/>
                <w:color w:val="000000"/>
                <w:sz w:val="18"/>
                <w:szCs w:val="18"/>
              </w:rPr>
            </w:pPr>
          </w:p>
          <w:p w:rsidR="001E0DBC" w:rsidRPr="00E746FD" w:rsidRDefault="001E0DBC" w:rsidP="00554AA1">
            <w:pPr>
              <w:spacing w:line="240" w:lineRule="auto"/>
              <w:rPr>
                <w:rFonts w:eastAsia="Times New Roman" w:cs="Calibri"/>
                <w:b/>
                <w:bCs/>
                <w:color w:val="000000"/>
                <w:sz w:val="18"/>
                <w:szCs w:val="18"/>
              </w:rPr>
            </w:pPr>
          </w:p>
        </w:tc>
        <w:tc>
          <w:tcPr>
            <w:tcW w:w="439"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4B0A08">
            <w:pPr>
              <w:spacing w:line="240" w:lineRule="auto"/>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c>
          <w:tcPr>
            <w:tcW w:w="514" w:type="pct"/>
            <w:tcBorders>
              <w:top w:val="nil"/>
              <w:left w:val="nil"/>
              <w:bottom w:val="nil"/>
              <w:right w:val="nil"/>
            </w:tcBorders>
            <w:shd w:val="clear" w:color="auto" w:fill="auto"/>
            <w:noWrap/>
            <w:vAlign w:val="bottom"/>
            <w:hideMark/>
          </w:tcPr>
          <w:p w:rsidR="001E0DBC" w:rsidRPr="00E746FD" w:rsidRDefault="001E0DBC" w:rsidP="00554AA1">
            <w:pPr>
              <w:spacing w:line="240" w:lineRule="auto"/>
              <w:jc w:val="right"/>
              <w:rPr>
                <w:rFonts w:eastAsia="Times New Roman" w:cs="Calibri"/>
                <w:color w:val="000000"/>
                <w:sz w:val="16"/>
                <w:szCs w:val="16"/>
              </w:rPr>
            </w:pPr>
          </w:p>
        </w:tc>
      </w:tr>
    </w:tbl>
    <w:p w:rsidR="001E0DBC" w:rsidRDefault="001E0DBC">
      <w:pPr>
        <w:rPr>
          <w:rFonts w:cs="Times New Roman"/>
          <w:b/>
        </w:rPr>
      </w:pPr>
    </w:p>
    <w:p w:rsidR="00146380" w:rsidRDefault="00146380" w:rsidP="007D0C2F">
      <w:pPr>
        <w:pStyle w:val="Heading8"/>
        <w:spacing w:after="120"/>
      </w:pPr>
      <w:bookmarkStart w:id="996" w:name="_Toc474639343"/>
      <w:r>
        <w:t>Table B5.</w:t>
      </w:r>
      <w:r w:rsidR="004C75C6">
        <w:t>5</w:t>
      </w:r>
      <w:r>
        <w:t>: Resource Re</w:t>
      </w:r>
      <w:r w:rsidR="009514C2">
        <w:t>quirements to Mitigation and Adaption</w:t>
      </w:r>
      <w:r>
        <w:t xml:space="preserve"> Measures </w:t>
      </w:r>
      <w:bookmarkEnd w:id="994"/>
      <w:r>
        <w:t xml:space="preserve">in Delta Plan </w:t>
      </w:r>
      <w:r w:rsidR="004C75C6">
        <w:t>Option</w:t>
      </w:r>
      <w:r w:rsidR="007D0C2F">
        <w:t>,</w:t>
      </w:r>
      <w:r w:rsidR="004C75C6">
        <w:t xml:space="preserve"> </w:t>
      </w:r>
      <w:r w:rsidR="007D0C2F">
        <w:t>FY2016-</w:t>
      </w:r>
      <w:r w:rsidR="001822FE">
        <w:t xml:space="preserve"> FY</w:t>
      </w:r>
      <w:r w:rsidR="007D0C2F">
        <w:t>2041</w:t>
      </w:r>
      <w:bookmarkEnd w:id="996"/>
    </w:p>
    <w:tbl>
      <w:tblPr>
        <w:tblW w:w="5000" w:type="pct"/>
        <w:jc w:val="center"/>
        <w:tblLook w:val="04A0"/>
      </w:tblPr>
      <w:tblGrid>
        <w:gridCol w:w="6117"/>
        <w:gridCol w:w="643"/>
        <w:gridCol w:w="654"/>
        <w:gridCol w:w="654"/>
        <w:gridCol w:w="654"/>
        <w:gridCol w:w="654"/>
        <w:gridCol w:w="650"/>
      </w:tblGrid>
      <w:tr w:rsidR="004C75C6" w:rsidRPr="00394EFF" w:rsidTr="007D0C2F">
        <w:trPr>
          <w:trHeight w:hRule="exact" w:val="288"/>
          <w:jc w:val="center"/>
        </w:trPr>
        <w:tc>
          <w:tcPr>
            <w:tcW w:w="3051"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6"/>
                <w:szCs w:val="16"/>
              </w:rPr>
            </w:pPr>
            <w:r w:rsidRPr="00394EFF">
              <w:rPr>
                <w:rFonts w:eastAsia="Times New Roman" w:cs="Calibri"/>
                <w:b/>
                <w:bCs/>
                <w:color w:val="000000"/>
                <w:sz w:val="16"/>
                <w:szCs w:val="16"/>
              </w:rPr>
              <w:t>Fiscal Year</w:t>
            </w:r>
          </w:p>
        </w:tc>
        <w:tc>
          <w:tcPr>
            <w:tcW w:w="321"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FY16</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FY21</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FY26</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FY31</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FY36</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FY41</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6"/>
                <w:szCs w:val="16"/>
              </w:rPr>
            </w:pPr>
            <w:r w:rsidRPr="00394EFF">
              <w:rPr>
                <w:rFonts w:eastAsia="Times New Roman" w:cs="Calibri"/>
                <w:b/>
                <w:bCs/>
                <w:color w:val="000000"/>
                <w:sz w:val="16"/>
                <w:szCs w:val="16"/>
              </w:rPr>
              <w:t xml:space="preserve">Gross resource requirements: BAU </w:t>
            </w:r>
            <w:r>
              <w:rPr>
                <w:rFonts w:eastAsia="Times New Roman" w:cs="Calibri"/>
                <w:b/>
                <w:bCs/>
                <w:color w:val="000000"/>
                <w:sz w:val="16"/>
                <w:szCs w:val="16"/>
              </w:rPr>
              <w:t>Policy Option</w:t>
            </w:r>
          </w:p>
        </w:tc>
        <w:tc>
          <w:tcPr>
            <w:tcW w:w="1949" w:type="pct"/>
            <w:gridSpan w:val="6"/>
            <w:tcBorders>
              <w:top w:val="single" w:sz="8" w:space="0" w:color="auto"/>
              <w:left w:val="nil"/>
              <w:bottom w:val="nil"/>
              <w:right w:val="nil"/>
            </w:tcBorders>
            <w:shd w:val="clear" w:color="auto" w:fill="auto"/>
            <w:noWrap/>
            <w:vAlign w:val="bottom"/>
            <w:hideMark/>
          </w:tcPr>
          <w:p w:rsidR="004C75C6" w:rsidRPr="00394EFF" w:rsidRDefault="004C75C6" w:rsidP="00554AA1">
            <w:pPr>
              <w:spacing w:line="240" w:lineRule="auto"/>
              <w:jc w:val="center"/>
              <w:rPr>
                <w:rFonts w:eastAsia="Times New Roman" w:cs="Calibri"/>
                <w:b/>
                <w:bCs/>
                <w:color w:val="000000"/>
                <w:sz w:val="16"/>
                <w:szCs w:val="16"/>
              </w:rPr>
            </w:pPr>
            <w:r w:rsidRPr="00394EFF">
              <w:rPr>
                <w:rFonts w:eastAsia="Times New Roman" w:cs="Calibri"/>
                <w:b/>
                <w:bCs/>
                <w:color w:val="000000"/>
                <w:sz w:val="16"/>
                <w:szCs w:val="16"/>
              </w:rPr>
              <w:t>(As % of GDP)</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6"/>
                <w:szCs w:val="16"/>
              </w:rPr>
            </w:pPr>
            <w:r w:rsidRPr="00394EFF">
              <w:rPr>
                <w:rFonts w:eastAsia="Times New Roman" w:cs="Calibri"/>
                <w:b/>
                <w:bCs/>
                <w:color w:val="000000"/>
                <w:sz w:val="16"/>
                <w:szCs w:val="16"/>
              </w:rPr>
              <w:t>Gross Investment</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30.1</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34.5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34.9</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35.3</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35.8</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36.2</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0B096E">
            <w:pPr>
              <w:spacing w:line="240" w:lineRule="auto"/>
              <w:rPr>
                <w:rFonts w:eastAsia="Times New Roman" w:cs="Calibri"/>
                <w:color w:val="000000"/>
                <w:sz w:val="16"/>
                <w:szCs w:val="16"/>
              </w:rPr>
            </w:pPr>
            <w:r w:rsidRPr="00394EFF">
              <w:rPr>
                <w:rFonts w:eastAsia="Times New Roman" w:cs="Calibri"/>
                <w:color w:val="000000"/>
                <w:sz w:val="16"/>
                <w:szCs w:val="16"/>
              </w:rPr>
              <w:t xml:space="preserve">  </w:t>
            </w:r>
            <w:r w:rsidR="000B096E">
              <w:rPr>
                <w:rFonts w:eastAsia="Times New Roman" w:cs="Calibri"/>
                <w:color w:val="000000"/>
                <w:sz w:val="16"/>
                <w:szCs w:val="16"/>
              </w:rPr>
              <w:t>public</w:t>
            </w:r>
            <w:r w:rsidRPr="00394EFF">
              <w:rPr>
                <w:rFonts w:eastAsia="Times New Roman" w:cs="Calibri"/>
                <w:color w:val="000000"/>
                <w:sz w:val="16"/>
                <w:szCs w:val="16"/>
              </w:rPr>
              <w:t xml:space="preserve"> Investment</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6.4</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7.8</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7.9</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8.0</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8.1</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8.2</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sz w:val="16"/>
                <w:szCs w:val="16"/>
              </w:rPr>
            </w:pPr>
            <w:r w:rsidRPr="00394EFF">
              <w:rPr>
                <w:rFonts w:eastAsia="Times New Roman" w:cs="Calibri"/>
                <w:color w:val="000000"/>
                <w:sz w:val="16"/>
                <w:szCs w:val="16"/>
              </w:rPr>
              <w:t xml:space="preserve">  Private Investment</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23.7</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26.7</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27.0</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27.3</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27.7</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28.0</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sz w:val="16"/>
                <w:szCs w:val="16"/>
              </w:rPr>
            </w:pPr>
          </w:p>
        </w:tc>
        <w:tc>
          <w:tcPr>
            <w:tcW w:w="1949" w:type="pct"/>
            <w:gridSpan w:val="6"/>
            <w:tcBorders>
              <w:top w:val="nil"/>
              <w:left w:val="nil"/>
              <w:bottom w:val="nil"/>
              <w:right w:val="nil"/>
            </w:tcBorders>
            <w:shd w:val="clear" w:color="auto" w:fill="auto"/>
            <w:noWrap/>
            <w:vAlign w:val="bottom"/>
            <w:hideMark/>
          </w:tcPr>
          <w:p w:rsidR="004C75C6" w:rsidRPr="00394EFF" w:rsidRDefault="004C75C6" w:rsidP="00554AA1">
            <w:pPr>
              <w:spacing w:line="240" w:lineRule="auto"/>
              <w:jc w:val="center"/>
              <w:rPr>
                <w:rFonts w:eastAsia="Times New Roman" w:cs="Calibri"/>
                <w:b/>
                <w:bCs/>
                <w:color w:val="000000"/>
                <w:sz w:val="16"/>
                <w:szCs w:val="16"/>
              </w:rPr>
            </w:pPr>
            <w:r w:rsidRPr="00394EFF">
              <w:rPr>
                <w:rFonts w:eastAsia="Times New Roman" w:cs="Calibri"/>
                <w:b/>
                <w:bCs/>
                <w:color w:val="000000"/>
                <w:sz w:val="16"/>
                <w:szCs w:val="16"/>
              </w:rPr>
              <w:t>( As % of GDP)</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6"/>
                <w:szCs w:val="16"/>
              </w:rPr>
            </w:pPr>
            <w:r w:rsidRPr="00394EFF">
              <w:rPr>
                <w:rFonts w:eastAsia="Times New Roman" w:cs="Calibri"/>
                <w:b/>
                <w:bCs/>
                <w:color w:val="000000"/>
                <w:sz w:val="16"/>
                <w:szCs w:val="16"/>
              </w:rPr>
              <w:t>Additional Delta resource requirements</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0.8</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2.0</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2.5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2.5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2.7</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r w:rsidRPr="00394EFF">
              <w:rPr>
                <w:rFonts w:eastAsia="Times New Roman" w:cs="Calibri"/>
                <w:b/>
                <w:bCs/>
                <w:color w:val="000000"/>
                <w:sz w:val="16"/>
                <w:szCs w:val="16"/>
              </w:rPr>
              <w:t>2.8</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sz w:val="16"/>
                <w:szCs w:val="16"/>
              </w:rPr>
            </w:pPr>
            <w:r w:rsidRPr="00394EFF">
              <w:rPr>
                <w:rFonts w:eastAsia="Times New Roman" w:cs="Calibri"/>
                <w:color w:val="000000"/>
                <w:sz w:val="16"/>
                <w:szCs w:val="16"/>
              </w:rPr>
              <w:t>of which:</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sz w:val="16"/>
                <w:szCs w:val="16"/>
              </w:rPr>
            </w:pPr>
            <w:r w:rsidRPr="00394EFF">
              <w:rPr>
                <w:rFonts w:eastAsia="Times New Roman" w:cs="Calibri"/>
                <w:color w:val="000000"/>
                <w:sz w:val="16"/>
                <w:szCs w:val="16"/>
              </w:rPr>
              <w:t xml:space="preserve">    Additional </w:t>
            </w:r>
            <w:r w:rsidR="000B096E">
              <w:rPr>
                <w:rFonts w:eastAsia="Times New Roman" w:cs="Calibri"/>
                <w:color w:val="000000"/>
                <w:sz w:val="16"/>
                <w:szCs w:val="16"/>
              </w:rPr>
              <w:t>Public</w:t>
            </w:r>
            <w:r w:rsidRPr="00394EFF">
              <w:rPr>
                <w:rFonts w:eastAsia="Times New Roman" w:cs="Calibri"/>
                <w:color w:val="000000"/>
                <w:sz w:val="16"/>
                <w:szCs w:val="16"/>
              </w:rPr>
              <w:t xml:space="preserve"> Investment(Water resources)</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0.0</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0.6</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0.7</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0.7</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0.9</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1.0</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0B096E">
            <w:pPr>
              <w:spacing w:line="240" w:lineRule="auto"/>
              <w:rPr>
                <w:rFonts w:eastAsia="Times New Roman" w:cs="Calibri"/>
                <w:color w:val="000000"/>
                <w:sz w:val="16"/>
                <w:szCs w:val="16"/>
              </w:rPr>
            </w:pPr>
            <w:r w:rsidRPr="00394EFF">
              <w:rPr>
                <w:rFonts w:eastAsia="Times New Roman" w:cs="Calibri"/>
                <w:color w:val="000000"/>
                <w:sz w:val="16"/>
                <w:szCs w:val="16"/>
              </w:rPr>
              <w:t xml:space="preserve">   </w:t>
            </w:r>
            <w:r w:rsidR="000B096E">
              <w:rPr>
                <w:rFonts w:eastAsia="Times New Roman" w:cs="Calibri"/>
                <w:color w:val="000000"/>
                <w:sz w:val="16"/>
                <w:szCs w:val="16"/>
              </w:rPr>
              <w:t>Public</w:t>
            </w:r>
            <w:r w:rsidRPr="00394EFF">
              <w:rPr>
                <w:rFonts w:eastAsia="Times New Roman" w:cs="Calibri"/>
                <w:color w:val="000000"/>
                <w:sz w:val="16"/>
                <w:szCs w:val="16"/>
              </w:rPr>
              <w:t xml:space="preserve"> Investment (Water resources)</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0.8</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0.8</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0.8</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0.8</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0.8</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0.8</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sz w:val="16"/>
                <w:szCs w:val="16"/>
              </w:rPr>
            </w:pPr>
            <w:r w:rsidRPr="00394EFF">
              <w:rPr>
                <w:rFonts w:eastAsia="Times New Roman" w:cs="Calibri"/>
                <w:color w:val="000000"/>
                <w:sz w:val="16"/>
                <w:szCs w:val="16"/>
              </w:rPr>
              <w:t xml:space="preserve">    Maintenance cost(Recurrent Budget)</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0.0</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0.3</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0.5</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sz w:val="16"/>
                <w:szCs w:val="16"/>
              </w:rPr>
            </w:pPr>
            <w:r w:rsidRPr="00394EFF">
              <w:rPr>
                <w:rFonts w:eastAsia="Times New Roman" w:cs="Calibri"/>
                <w:color w:val="000000"/>
                <w:sz w:val="16"/>
                <w:szCs w:val="16"/>
              </w:rPr>
              <w:t xml:space="preserve">    Private Investment</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0.0</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0.4</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0.5</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6"/>
                <w:szCs w:val="16"/>
              </w:rPr>
            </w:pP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6"/>
                <w:szCs w:val="16"/>
              </w:rPr>
            </w:pP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6"/>
                <w:szCs w:val="16"/>
              </w:rPr>
            </w:pPr>
            <w:r w:rsidRPr="00394EFF">
              <w:rPr>
                <w:rFonts w:eastAsia="Times New Roman" w:cs="Calibri"/>
                <w:b/>
                <w:bCs/>
                <w:color w:val="000000"/>
                <w:sz w:val="16"/>
                <w:szCs w:val="16"/>
              </w:rPr>
              <w:t xml:space="preserve">Gross resource requirements in Delta Plan </w:t>
            </w:r>
            <w:r>
              <w:rPr>
                <w:rFonts w:eastAsia="Times New Roman" w:cs="Calibri"/>
                <w:b/>
                <w:bCs/>
                <w:color w:val="000000"/>
                <w:sz w:val="16"/>
                <w:szCs w:val="16"/>
              </w:rPr>
              <w:t>Policy Option</w:t>
            </w:r>
          </w:p>
        </w:tc>
        <w:tc>
          <w:tcPr>
            <w:tcW w:w="1949" w:type="pct"/>
            <w:gridSpan w:val="6"/>
            <w:tcBorders>
              <w:top w:val="nil"/>
              <w:left w:val="nil"/>
              <w:bottom w:val="nil"/>
              <w:right w:val="nil"/>
            </w:tcBorders>
            <w:shd w:val="clear" w:color="auto" w:fill="auto"/>
            <w:noWrap/>
            <w:vAlign w:val="bottom"/>
            <w:hideMark/>
          </w:tcPr>
          <w:p w:rsidR="004C75C6" w:rsidRPr="00394EFF" w:rsidRDefault="004C75C6" w:rsidP="00554AA1">
            <w:pPr>
              <w:spacing w:line="240" w:lineRule="auto"/>
              <w:jc w:val="center"/>
              <w:rPr>
                <w:rFonts w:eastAsia="Times New Roman" w:cs="Calibri"/>
                <w:b/>
                <w:bCs/>
                <w:color w:val="000000"/>
                <w:sz w:val="16"/>
                <w:szCs w:val="16"/>
              </w:rPr>
            </w:pPr>
            <w:r w:rsidRPr="00394EFF">
              <w:rPr>
                <w:rFonts w:eastAsia="Times New Roman" w:cs="Calibri"/>
                <w:b/>
                <w:bCs/>
                <w:color w:val="000000"/>
                <w:sz w:val="16"/>
                <w:szCs w:val="16"/>
              </w:rPr>
              <w:t>(As % of GDP)</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sz w:val="16"/>
                <w:szCs w:val="16"/>
              </w:rPr>
            </w:pPr>
            <w:r w:rsidRPr="00394EFF">
              <w:rPr>
                <w:rFonts w:eastAsia="Times New Roman" w:cs="Calibri"/>
                <w:color w:val="000000"/>
                <w:sz w:val="16"/>
                <w:szCs w:val="16"/>
              </w:rPr>
              <w:t>Gross Investment</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30.1</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35.4</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36.1</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36.5</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37.2</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37.7</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0B096E">
            <w:pPr>
              <w:spacing w:line="240" w:lineRule="auto"/>
              <w:rPr>
                <w:rFonts w:eastAsia="Times New Roman" w:cs="Calibri"/>
                <w:color w:val="000000"/>
                <w:sz w:val="16"/>
                <w:szCs w:val="16"/>
              </w:rPr>
            </w:pPr>
            <w:r w:rsidRPr="00394EFF">
              <w:rPr>
                <w:rFonts w:eastAsia="Times New Roman" w:cs="Calibri"/>
                <w:color w:val="000000"/>
                <w:sz w:val="16"/>
                <w:szCs w:val="16"/>
              </w:rPr>
              <w:t xml:space="preserve">  </w:t>
            </w:r>
            <w:r w:rsidR="000B096E">
              <w:rPr>
                <w:rFonts w:eastAsia="Times New Roman" w:cs="Calibri"/>
                <w:color w:val="000000"/>
                <w:sz w:val="16"/>
                <w:szCs w:val="16"/>
              </w:rPr>
              <w:t xml:space="preserve">Public </w:t>
            </w:r>
            <w:r w:rsidRPr="00394EFF">
              <w:rPr>
                <w:rFonts w:eastAsia="Times New Roman" w:cs="Calibri"/>
                <w:color w:val="000000"/>
                <w:sz w:val="16"/>
                <w:szCs w:val="16"/>
              </w:rPr>
              <w:t>Investment</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6.4</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8.4</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8.6</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8.7</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9.0</w:t>
            </w: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9.2</w:t>
            </w:r>
          </w:p>
        </w:tc>
      </w:tr>
      <w:tr w:rsidR="004C75C6" w:rsidRPr="00394EFF" w:rsidTr="007D0C2F">
        <w:trPr>
          <w:trHeight w:hRule="exact" w:val="288"/>
          <w:jc w:val="center"/>
        </w:trPr>
        <w:tc>
          <w:tcPr>
            <w:tcW w:w="3051"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6"/>
                <w:szCs w:val="16"/>
              </w:rPr>
            </w:pPr>
            <w:r w:rsidRPr="00394EFF">
              <w:rPr>
                <w:rFonts w:eastAsia="Times New Roman" w:cs="Calibri"/>
                <w:b/>
                <w:bCs/>
                <w:color w:val="000000"/>
                <w:sz w:val="16"/>
                <w:szCs w:val="16"/>
              </w:rPr>
              <w:t xml:space="preserve">  Private Investment (Including mitigation measures)</w:t>
            </w:r>
          </w:p>
        </w:tc>
        <w:tc>
          <w:tcPr>
            <w:tcW w:w="321"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23.7</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27.1</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27.5</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27.8</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28.2</w:t>
            </w:r>
          </w:p>
        </w:tc>
        <w:tc>
          <w:tcPr>
            <w:tcW w:w="3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r w:rsidRPr="00394EFF">
              <w:rPr>
                <w:rFonts w:eastAsia="Times New Roman" w:cs="Calibri"/>
                <w:color w:val="000000"/>
                <w:sz w:val="16"/>
                <w:szCs w:val="16"/>
              </w:rPr>
              <w:t>28.5</w:t>
            </w:r>
          </w:p>
        </w:tc>
      </w:tr>
      <w:tr w:rsidR="004C75C6" w:rsidRPr="00394EFF" w:rsidTr="007D0C2F">
        <w:trPr>
          <w:trHeight w:hRule="exact" w:val="288"/>
          <w:jc w:val="center"/>
        </w:trPr>
        <w:tc>
          <w:tcPr>
            <w:tcW w:w="305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394EFF">
              <w:rPr>
                <w:rFonts w:eastAsia="Times New Roman" w:cs="Calibri"/>
                <w:b/>
                <w:bCs/>
                <w:color w:val="000000"/>
                <w:sz w:val="18"/>
                <w:szCs w:val="18"/>
              </w:rPr>
              <w:t xml:space="preserve"> Projections</w:t>
            </w:r>
          </w:p>
        </w:tc>
        <w:tc>
          <w:tcPr>
            <w:tcW w:w="32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c>
          <w:tcPr>
            <w:tcW w:w="3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6"/>
                <w:szCs w:val="16"/>
              </w:rPr>
            </w:pPr>
          </w:p>
        </w:tc>
      </w:tr>
    </w:tbl>
    <w:p w:rsidR="00146380" w:rsidRPr="00184ACD" w:rsidRDefault="00146380" w:rsidP="00146380">
      <w:bookmarkStart w:id="997" w:name="_Toc460497272"/>
    </w:p>
    <w:p w:rsidR="00146380" w:rsidRDefault="00146380" w:rsidP="00161D1A">
      <w:pPr>
        <w:pStyle w:val="Heading8"/>
        <w:spacing w:after="120"/>
      </w:pPr>
      <w:bookmarkStart w:id="998" w:name="_Toc474639344"/>
      <w:r>
        <w:lastRenderedPageBreak/>
        <w:t>Table B5.</w:t>
      </w:r>
      <w:r w:rsidR="004C75C6">
        <w:t>6</w:t>
      </w:r>
      <w:r>
        <w:t xml:space="preserve">: </w:t>
      </w:r>
      <w:r w:rsidR="009514C2">
        <w:t xml:space="preserve">Population Dynamics </w:t>
      </w:r>
      <w:r w:rsidRPr="00B706CA">
        <w:t xml:space="preserve">Delta Plan </w:t>
      </w:r>
      <w:r w:rsidR="009514C2">
        <w:t>Policy Options</w:t>
      </w:r>
      <w:r w:rsidR="007D0C2F">
        <w:t xml:space="preserve">, </w:t>
      </w:r>
      <w:r>
        <w:t>FY</w:t>
      </w:r>
      <w:r w:rsidRPr="00B706CA">
        <w:t xml:space="preserve">2016 - </w:t>
      </w:r>
      <w:r>
        <w:t>FY</w:t>
      </w:r>
      <w:r w:rsidRPr="00B706CA">
        <w:t>2041</w:t>
      </w:r>
      <w:bookmarkEnd w:id="998"/>
    </w:p>
    <w:tbl>
      <w:tblPr>
        <w:tblW w:w="5000" w:type="pct"/>
        <w:jc w:val="center"/>
        <w:tblLook w:val="04A0"/>
      </w:tblPr>
      <w:tblGrid>
        <w:gridCol w:w="3691"/>
        <w:gridCol w:w="1054"/>
        <w:gridCol w:w="1055"/>
        <w:gridCol w:w="1055"/>
        <w:gridCol w:w="1055"/>
        <w:gridCol w:w="1055"/>
        <w:gridCol w:w="1061"/>
      </w:tblGrid>
      <w:tr w:rsidR="004C75C6" w:rsidRPr="00394EFF" w:rsidTr="00161D1A">
        <w:trPr>
          <w:trHeight w:hRule="exact" w:val="288"/>
          <w:jc w:val="center"/>
        </w:trPr>
        <w:tc>
          <w:tcPr>
            <w:tcW w:w="1841"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8"/>
                <w:szCs w:val="18"/>
              </w:rPr>
            </w:pPr>
            <w:r w:rsidRPr="00394EFF">
              <w:rPr>
                <w:rFonts w:eastAsia="Times New Roman" w:cs="Calibri"/>
                <w:b/>
                <w:bCs/>
                <w:color w:val="000000"/>
                <w:sz w:val="18"/>
                <w:szCs w:val="18"/>
              </w:rPr>
              <w:t>Fiscal Year</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FY16</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FY21</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FY26</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FY31</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FY36</w:t>
            </w:r>
          </w:p>
        </w:tc>
        <w:tc>
          <w:tcPr>
            <w:tcW w:w="527"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FY41</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8"/>
                <w:szCs w:val="18"/>
              </w:rPr>
            </w:pPr>
            <w:r w:rsidRPr="00394EFF">
              <w:rPr>
                <w:rFonts w:eastAsia="Times New Roman" w:cs="Calibri"/>
                <w:b/>
                <w:bCs/>
                <w:color w:val="000000"/>
                <w:sz w:val="18"/>
                <w:szCs w:val="18"/>
              </w:rPr>
              <w:t>Region:</w:t>
            </w:r>
          </w:p>
        </w:tc>
        <w:tc>
          <w:tcPr>
            <w:tcW w:w="3159" w:type="pct"/>
            <w:gridSpan w:val="6"/>
            <w:tcBorders>
              <w:top w:val="single" w:sz="8" w:space="0" w:color="auto"/>
              <w:left w:val="nil"/>
              <w:bottom w:val="nil"/>
              <w:right w:val="nil"/>
            </w:tcBorders>
            <w:shd w:val="clear" w:color="auto" w:fill="auto"/>
            <w:noWrap/>
            <w:vAlign w:val="center"/>
            <w:hideMark/>
          </w:tcPr>
          <w:p w:rsidR="004C75C6" w:rsidRPr="00394EFF" w:rsidRDefault="004C75C6" w:rsidP="00554AA1">
            <w:pPr>
              <w:spacing w:line="240" w:lineRule="auto"/>
              <w:jc w:val="center"/>
              <w:rPr>
                <w:rFonts w:eastAsia="Times New Roman" w:cs="Calibri"/>
                <w:b/>
                <w:bCs/>
                <w:color w:val="000000"/>
                <w:sz w:val="18"/>
                <w:szCs w:val="18"/>
              </w:rPr>
            </w:pPr>
            <w:r w:rsidRPr="00394EFF">
              <w:rPr>
                <w:rFonts w:eastAsia="Times New Roman" w:cs="Calibri"/>
                <w:b/>
                <w:bCs/>
                <w:color w:val="000000"/>
                <w:sz w:val="18"/>
                <w:szCs w:val="18"/>
              </w:rPr>
              <w:t>In Million</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center"/>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Haor</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16.4</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17.5</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18.4</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19.3</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20.0</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20.5</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Coastal</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27.4</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28.1</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28.6</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28.8</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28.7</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28.3</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CTG Hill</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2.0</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2.1</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2.3</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2.4</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 xml:space="preserve">Urban </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30.2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33.1</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36.0</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38.8</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41.3</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43.6</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Drought Prone</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24.6</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25.7</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26.6</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27.4</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27.9</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28.2</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Rivers &amp; Estuaries</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44.3</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46.3</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47.9</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49.2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50.0</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50.4</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sz w:val="18"/>
                <w:szCs w:val="18"/>
              </w:rPr>
            </w:pPr>
            <w:r w:rsidRPr="00394EFF">
              <w:rPr>
                <w:rFonts w:eastAsia="Times New Roman" w:cs="Calibri"/>
                <w:sz w:val="18"/>
                <w:szCs w:val="18"/>
              </w:rPr>
              <w:t>Less Risky Region</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18.1</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19.6</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20.9</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22.2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23.4</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24.4</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sz w:val="18"/>
                <w:szCs w:val="18"/>
              </w:rPr>
            </w:pPr>
            <w:r w:rsidRPr="00394EFF">
              <w:rPr>
                <w:rFonts w:eastAsia="Times New Roman" w:cs="Calibri"/>
                <w:sz w:val="18"/>
                <w:szCs w:val="18"/>
              </w:rPr>
              <w:t>Bangladesh</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162.9</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172.3</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180.6</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187.8</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193.5</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197.9</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sz w:val="18"/>
                <w:szCs w:val="18"/>
              </w:rPr>
            </w:pPr>
          </w:p>
        </w:tc>
        <w:tc>
          <w:tcPr>
            <w:tcW w:w="3159" w:type="pct"/>
            <w:gridSpan w:val="6"/>
            <w:tcBorders>
              <w:top w:val="nil"/>
              <w:left w:val="nil"/>
              <w:bottom w:val="nil"/>
              <w:right w:val="nil"/>
            </w:tcBorders>
            <w:shd w:val="clear" w:color="auto" w:fill="auto"/>
            <w:noWrap/>
            <w:vAlign w:val="center"/>
            <w:hideMark/>
          </w:tcPr>
          <w:p w:rsidR="004C75C6" w:rsidRPr="00394EFF" w:rsidRDefault="004C75C6" w:rsidP="00554AA1">
            <w:pPr>
              <w:spacing w:line="240" w:lineRule="auto"/>
              <w:jc w:val="center"/>
              <w:rPr>
                <w:rFonts w:eastAsia="Times New Roman" w:cs="Calibri"/>
                <w:b/>
                <w:bCs/>
                <w:color w:val="000000"/>
                <w:sz w:val="18"/>
                <w:szCs w:val="18"/>
              </w:rPr>
            </w:pPr>
            <w:r w:rsidRPr="00394EFF">
              <w:rPr>
                <w:rFonts w:eastAsia="Times New Roman" w:cs="Calibri"/>
                <w:b/>
                <w:bCs/>
                <w:color w:val="000000"/>
                <w:sz w:val="18"/>
                <w:szCs w:val="18"/>
              </w:rPr>
              <w:t>( Share of Population, % of Total)</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center"/>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Haor</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10.1</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10.1</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10.3</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10.3</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10.4</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Coastal</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16.8</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16.3</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15.8</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15.3</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14.8</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14.3</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CTG Hill</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 xml:space="preserve">Urban </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18.5</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19.9</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20.6</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21.3</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22.0</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Drought Prone</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15.1</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14.9</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14.7</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14.6</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14.4</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14.3</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Rivers &amp; Estuaries</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27.2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26.9</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26.5</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26.2</w:t>
            </w: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25.8</w:t>
            </w: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25.5</w:t>
            </w:r>
          </w:p>
        </w:tc>
      </w:tr>
      <w:tr w:rsidR="004C75C6" w:rsidRPr="00394EFF" w:rsidTr="00161D1A">
        <w:trPr>
          <w:trHeight w:hRule="exact" w:val="288"/>
          <w:jc w:val="center"/>
        </w:trPr>
        <w:tc>
          <w:tcPr>
            <w:tcW w:w="1841"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rPr>
                <w:rFonts w:eastAsia="Times New Roman" w:cs="Calibri"/>
                <w:sz w:val="18"/>
                <w:szCs w:val="18"/>
              </w:rPr>
            </w:pPr>
            <w:r w:rsidRPr="00394EFF">
              <w:rPr>
                <w:rFonts w:eastAsia="Times New Roman" w:cs="Calibri"/>
                <w:sz w:val="18"/>
                <w:szCs w:val="18"/>
              </w:rPr>
              <w:t>Less Risky Region</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11.1</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11.4</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11.6</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11.8</w:t>
            </w:r>
          </w:p>
        </w:tc>
        <w:tc>
          <w:tcPr>
            <w:tcW w:w="526"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12.1</w:t>
            </w:r>
          </w:p>
        </w:tc>
        <w:tc>
          <w:tcPr>
            <w:tcW w:w="527"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12.3</w:t>
            </w:r>
          </w:p>
        </w:tc>
      </w:tr>
      <w:tr w:rsidR="004C75C6" w:rsidRPr="00394EFF" w:rsidTr="00161D1A">
        <w:trPr>
          <w:trHeight w:hRule="exact" w:val="288"/>
          <w:jc w:val="center"/>
        </w:trPr>
        <w:tc>
          <w:tcPr>
            <w:tcW w:w="1841" w:type="pct"/>
            <w:tcBorders>
              <w:top w:val="nil"/>
              <w:left w:val="nil"/>
              <w:bottom w:val="nil"/>
              <w:right w:val="nil"/>
            </w:tcBorders>
            <w:shd w:val="clear" w:color="auto" w:fill="auto"/>
            <w:noWrap/>
            <w:vAlign w:val="bottom"/>
            <w:hideMark/>
          </w:tcPr>
          <w:p w:rsidR="004C75C6" w:rsidRDefault="004C75C6"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394EFF">
              <w:rPr>
                <w:rFonts w:eastAsia="Times New Roman" w:cs="Calibri"/>
                <w:b/>
                <w:bCs/>
                <w:color w:val="000000"/>
                <w:sz w:val="18"/>
                <w:szCs w:val="18"/>
              </w:rPr>
              <w:t xml:space="preserve"> Projections</w:t>
            </w:r>
          </w:p>
          <w:p w:rsidR="004C75C6" w:rsidRDefault="004C75C6" w:rsidP="00554AA1">
            <w:pPr>
              <w:spacing w:line="240" w:lineRule="auto"/>
              <w:rPr>
                <w:rFonts w:eastAsia="Times New Roman" w:cs="Calibri"/>
                <w:b/>
                <w:bCs/>
                <w:color w:val="000000"/>
                <w:sz w:val="18"/>
                <w:szCs w:val="18"/>
              </w:rPr>
            </w:pPr>
          </w:p>
          <w:p w:rsidR="004C75C6" w:rsidRPr="00394EFF" w:rsidRDefault="004C75C6" w:rsidP="00554AA1">
            <w:pPr>
              <w:spacing w:line="240" w:lineRule="auto"/>
              <w:rPr>
                <w:rFonts w:eastAsia="Times New Roman" w:cs="Calibri"/>
                <w:b/>
                <w:bCs/>
                <w:color w:val="000000"/>
                <w:sz w:val="18"/>
                <w:szCs w:val="18"/>
              </w:rPr>
            </w:pP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rPr>
            </w:pP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rPr>
            </w:pP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rPr>
            </w:pP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rPr>
            </w:pPr>
          </w:p>
        </w:tc>
        <w:tc>
          <w:tcPr>
            <w:tcW w:w="526"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rPr>
            </w:pPr>
          </w:p>
        </w:tc>
        <w:tc>
          <w:tcPr>
            <w:tcW w:w="527"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color w:val="000000"/>
              </w:rPr>
            </w:pPr>
          </w:p>
        </w:tc>
      </w:tr>
    </w:tbl>
    <w:p w:rsidR="00146380" w:rsidRPr="00184ACD" w:rsidRDefault="00146380" w:rsidP="00146380">
      <w:bookmarkStart w:id="999" w:name="_Toc460497273"/>
      <w:bookmarkEnd w:id="997"/>
    </w:p>
    <w:p w:rsidR="00146380" w:rsidRDefault="00146380" w:rsidP="009514C2">
      <w:pPr>
        <w:pStyle w:val="Heading8"/>
        <w:spacing w:after="120"/>
      </w:pPr>
      <w:bookmarkStart w:id="1000" w:name="_Toc474639345"/>
      <w:r>
        <w:t>Table B5.</w:t>
      </w:r>
      <w:r w:rsidR="004C75C6">
        <w:t>7</w:t>
      </w:r>
      <w:r>
        <w:t xml:space="preserve">: </w:t>
      </w:r>
      <w:r w:rsidRPr="00B706CA">
        <w:t xml:space="preserve"> </w:t>
      </w:r>
      <w:r w:rsidR="009514C2">
        <w:t xml:space="preserve">Population Dynamics </w:t>
      </w:r>
      <w:r w:rsidRPr="00B706CA">
        <w:t xml:space="preserve">BAU </w:t>
      </w:r>
      <w:r w:rsidR="00161D1A">
        <w:t>Policy Option</w:t>
      </w:r>
      <w:r w:rsidR="007D0C2F">
        <w:t xml:space="preserve">, </w:t>
      </w:r>
      <w:r>
        <w:t>FY</w:t>
      </w:r>
      <w:r w:rsidRPr="00B706CA">
        <w:t xml:space="preserve">2016 </w:t>
      </w:r>
      <w:r>
        <w:t>–</w:t>
      </w:r>
      <w:r w:rsidRPr="00B706CA">
        <w:t xml:space="preserve"> </w:t>
      </w:r>
      <w:r>
        <w:t>FY</w:t>
      </w:r>
      <w:r w:rsidRPr="00B706CA">
        <w:t>2041</w:t>
      </w:r>
      <w:bookmarkEnd w:id="999"/>
      <w:bookmarkEnd w:id="1000"/>
    </w:p>
    <w:tbl>
      <w:tblPr>
        <w:tblW w:w="5000" w:type="pct"/>
        <w:jc w:val="center"/>
        <w:tblLook w:val="04A0"/>
      </w:tblPr>
      <w:tblGrid>
        <w:gridCol w:w="3308"/>
        <w:gridCol w:w="1193"/>
        <w:gridCol w:w="1345"/>
        <w:gridCol w:w="1203"/>
        <w:gridCol w:w="1131"/>
        <w:gridCol w:w="928"/>
        <w:gridCol w:w="918"/>
      </w:tblGrid>
      <w:tr w:rsidR="004C75C6" w:rsidRPr="00394EFF" w:rsidTr="00161D1A">
        <w:trPr>
          <w:trHeight w:hRule="exact" w:val="288"/>
          <w:jc w:val="center"/>
        </w:trPr>
        <w:tc>
          <w:tcPr>
            <w:tcW w:w="1649"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8"/>
                <w:szCs w:val="18"/>
              </w:rPr>
            </w:pPr>
            <w:r w:rsidRPr="00394EFF">
              <w:rPr>
                <w:rFonts w:eastAsia="Times New Roman" w:cs="Calibri"/>
                <w:b/>
                <w:bCs/>
                <w:color w:val="000000"/>
                <w:sz w:val="18"/>
                <w:szCs w:val="18"/>
              </w:rPr>
              <w:t>Fiscal Year</w:t>
            </w:r>
          </w:p>
        </w:tc>
        <w:tc>
          <w:tcPr>
            <w:tcW w:w="595"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FY16</w:t>
            </w:r>
          </w:p>
        </w:tc>
        <w:tc>
          <w:tcPr>
            <w:tcW w:w="671"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FY21</w:t>
            </w:r>
          </w:p>
        </w:tc>
        <w:tc>
          <w:tcPr>
            <w:tcW w:w="600"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FY26</w:t>
            </w:r>
          </w:p>
        </w:tc>
        <w:tc>
          <w:tcPr>
            <w:tcW w:w="564"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FY31</w:t>
            </w:r>
          </w:p>
        </w:tc>
        <w:tc>
          <w:tcPr>
            <w:tcW w:w="463"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FY36</w:t>
            </w:r>
          </w:p>
        </w:tc>
        <w:tc>
          <w:tcPr>
            <w:tcW w:w="459"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b/>
                <w:bCs/>
                <w:color w:val="000000"/>
                <w:sz w:val="18"/>
                <w:szCs w:val="18"/>
              </w:rPr>
            </w:pPr>
            <w:r w:rsidRPr="00394EFF">
              <w:rPr>
                <w:rFonts w:eastAsia="Times New Roman" w:cs="Calibri"/>
                <w:b/>
                <w:bCs/>
                <w:color w:val="000000"/>
                <w:sz w:val="18"/>
                <w:szCs w:val="18"/>
              </w:rPr>
              <w:t>FY41</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8"/>
                <w:szCs w:val="18"/>
              </w:rPr>
            </w:pPr>
            <w:r w:rsidRPr="00394EFF">
              <w:rPr>
                <w:rFonts w:eastAsia="Times New Roman" w:cs="Calibri"/>
                <w:b/>
                <w:bCs/>
                <w:color w:val="000000"/>
                <w:sz w:val="18"/>
                <w:szCs w:val="18"/>
              </w:rPr>
              <w:t>Region:</w:t>
            </w:r>
          </w:p>
        </w:tc>
        <w:tc>
          <w:tcPr>
            <w:tcW w:w="3351" w:type="pct"/>
            <w:gridSpan w:val="6"/>
            <w:tcBorders>
              <w:top w:val="single" w:sz="8" w:space="0" w:color="auto"/>
              <w:left w:val="nil"/>
              <w:bottom w:val="nil"/>
              <w:right w:val="nil"/>
            </w:tcBorders>
            <w:shd w:val="clear" w:color="auto" w:fill="auto"/>
            <w:noWrap/>
            <w:vAlign w:val="center"/>
            <w:hideMark/>
          </w:tcPr>
          <w:p w:rsidR="004C75C6" w:rsidRPr="00394EFF" w:rsidRDefault="004C75C6" w:rsidP="00554AA1">
            <w:pPr>
              <w:spacing w:line="240" w:lineRule="auto"/>
              <w:jc w:val="center"/>
              <w:rPr>
                <w:rFonts w:eastAsia="Times New Roman" w:cs="Calibri"/>
                <w:b/>
                <w:bCs/>
                <w:color w:val="000000"/>
                <w:sz w:val="18"/>
                <w:szCs w:val="18"/>
              </w:rPr>
            </w:pPr>
            <w:r w:rsidRPr="00394EFF">
              <w:rPr>
                <w:rFonts w:eastAsia="Times New Roman" w:cs="Calibri"/>
                <w:b/>
                <w:bCs/>
                <w:color w:val="000000"/>
                <w:sz w:val="18"/>
                <w:szCs w:val="18"/>
              </w:rPr>
              <w:t>In Million</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center"/>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Haor</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16.4</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17.4</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18.3</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19.1</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19.7</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20.2</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Coastal</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27.4</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27.3</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26.7</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25.9</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24.7</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23.2</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CTG Hill</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2.0</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2.1</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2.2</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2.3</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2.3</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 xml:space="preserve">Urban </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30.2</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35.2</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40.3</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45.4</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50.4</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55.3</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Drought Prone</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24.6</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25.4</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26.1</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26.5</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26.7</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26.6</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Rivers &amp; Estuaries</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44.3</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45.7</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46.7</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47.2</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47.3</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47.0</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sz w:val="18"/>
                <w:szCs w:val="18"/>
              </w:rPr>
            </w:pPr>
            <w:r w:rsidRPr="00394EFF">
              <w:rPr>
                <w:rFonts w:eastAsia="Times New Roman" w:cs="Calibri"/>
                <w:sz w:val="18"/>
                <w:szCs w:val="18"/>
              </w:rPr>
              <w:t>Less Risky Region</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18.1</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19.4</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20.5</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21.5</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22.4</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23.2</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sz w:val="18"/>
                <w:szCs w:val="18"/>
              </w:rPr>
            </w:pPr>
            <w:r w:rsidRPr="00394EFF">
              <w:rPr>
                <w:rFonts w:eastAsia="Times New Roman" w:cs="Calibri"/>
                <w:sz w:val="18"/>
                <w:szCs w:val="18"/>
              </w:rPr>
              <w:t>Bangladesh</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162.9</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172.3</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180.6</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187.8</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193.5</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197.9</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s="Calibri"/>
                <w:b/>
                <w:bCs/>
                <w:color w:val="000000"/>
                <w:sz w:val="18"/>
                <w:szCs w:val="18"/>
              </w:rPr>
            </w:pPr>
            <w:r w:rsidRPr="00394EFF">
              <w:rPr>
                <w:rFonts w:eastAsia="Times New Roman" w:cs="Calibri"/>
                <w:b/>
                <w:bCs/>
                <w:color w:val="000000"/>
                <w:sz w:val="18"/>
                <w:szCs w:val="18"/>
              </w:rPr>
              <w:t>Region:</w:t>
            </w:r>
          </w:p>
        </w:tc>
        <w:tc>
          <w:tcPr>
            <w:tcW w:w="3351" w:type="pct"/>
            <w:gridSpan w:val="6"/>
            <w:tcBorders>
              <w:top w:val="nil"/>
              <w:left w:val="nil"/>
              <w:bottom w:val="nil"/>
              <w:right w:val="nil"/>
            </w:tcBorders>
            <w:shd w:val="clear" w:color="auto" w:fill="auto"/>
            <w:noWrap/>
            <w:vAlign w:val="center"/>
            <w:hideMark/>
          </w:tcPr>
          <w:p w:rsidR="004C75C6" w:rsidRPr="00394EFF" w:rsidRDefault="004C75C6" w:rsidP="00554AA1">
            <w:pPr>
              <w:spacing w:line="240" w:lineRule="auto"/>
              <w:jc w:val="center"/>
              <w:rPr>
                <w:rFonts w:eastAsia="Times New Roman" w:cs="Calibri"/>
                <w:b/>
                <w:bCs/>
                <w:color w:val="000000"/>
                <w:sz w:val="18"/>
                <w:szCs w:val="18"/>
              </w:rPr>
            </w:pPr>
            <w:r w:rsidRPr="00394EFF">
              <w:rPr>
                <w:rFonts w:eastAsia="Times New Roman" w:cs="Calibri"/>
                <w:b/>
                <w:bCs/>
                <w:color w:val="000000"/>
                <w:sz w:val="18"/>
                <w:szCs w:val="18"/>
              </w:rPr>
              <w:t>( Share of Population, % of Total)</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center"/>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Haor</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10.1</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10.1</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10.1</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10.2</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10.2</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10.2</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Coastal</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16.8</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15.8</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14.8</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13.8</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12.8</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11.7</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CTG Hill</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1.2</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 xml:space="preserve">Urban </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18.5</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20.4</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22.3</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24.2</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26.0</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27.9</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Drought Prone</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15.1</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14.7</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14.4</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14.1</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13.8</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13.4</w:t>
            </w:r>
          </w:p>
        </w:tc>
      </w:tr>
      <w:tr w:rsidR="004C75C6" w:rsidRPr="00394EFF" w:rsidTr="00161D1A">
        <w:trPr>
          <w:trHeight w:hRule="exact" w:val="288"/>
          <w:jc w:val="center"/>
        </w:trPr>
        <w:tc>
          <w:tcPr>
            <w:tcW w:w="164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rPr>
                <w:rFonts w:eastAsia="Times New Roman"/>
                <w:color w:val="000000"/>
                <w:sz w:val="18"/>
                <w:szCs w:val="18"/>
              </w:rPr>
            </w:pPr>
            <w:r w:rsidRPr="00394EFF">
              <w:rPr>
                <w:rFonts w:eastAsia="Times New Roman"/>
                <w:color w:val="000000"/>
                <w:sz w:val="18"/>
                <w:szCs w:val="18"/>
              </w:rPr>
              <w:t>Rivers &amp; Estuaries</w:t>
            </w:r>
          </w:p>
        </w:tc>
        <w:tc>
          <w:tcPr>
            <w:tcW w:w="595"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27.2</w:t>
            </w:r>
          </w:p>
        </w:tc>
        <w:tc>
          <w:tcPr>
            <w:tcW w:w="671"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26.5</w:t>
            </w:r>
          </w:p>
        </w:tc>
        <w:tc>
          <w:tcPr>
            <w:tcW w:w="600"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25.8</w:t>
            </w:r>
          </w:p>
        </w:tc>
        <w:tc>
          <w:tcPr>
            <w:tcW w:w="564"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25.1</w:t>
            </w:r>
          </w:p>
        </w:tc>
        <w:tc>
          <w:tcPr>
            <w:tcW w:w="463"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24.4</w:t>
            </w:r>
          </w:p>
        </w:tc>
        <w:tc>
          <w:tcPr>
            <w:tcW w:w="459" w:type="pct"/>
            <w:tcBorders>
              <w:top w:val="nil"/>
              <w:left w:val="nil"/>
              <w:bottom w:val="nil"/>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23.8</w:t>
            </w:r>
          </w:p>
        </w:tc>
      </w:tr>
      <w:tr w:rsidR="004C75C6" w:rsidRPr="00394EFF" w:rsidTr="00161D1A">
        <w:trPr>
          <w:trHeight w:hRule="exact" w:val="288"/>
          <w:jc w:val="center"/>
        </w:trPr>
        <w:tc>
          <w:tcPr>
            <w:tcW w:w="1649"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rPr>
                <w:rFonts w:eastAsia="Times New Roman" w:cs="Calibri"/>
                <w:sz w:val="18"/>
                <w:szCs w:val="18"/>
              </w:rPr>
            </w:pPr>
            <w:r w:rsidRPr="00394EFF">
              <w:rPr>
                <w:rFonts w:eastAsia="Times New Roman" w:cs="Calibri"/>
                <w:sz w:val="18"/>
                <w:szCs w:val="18"/>
              </w:rPr>
              <w:t>Less Risky Region</w:t>
            </w:r>
          </w:p>
        </w:tc>
        <w:tc>
          <w:tcPr>
            <w:tcW w:w="595"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11.1</w:t>
            </w:r>
          </w:p>
        </w:tc>
        <w:tc>
          <w:tcPr>
            <w:tcW w:w="671"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11.2</w:t>
            </w:r>
          </w:p>
        </w:tc>
        <w:tc>
          <w:tcPr>
            <w:tcW w:w="600"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11.4</w:t>
            </w:r>
          </w:p>
        </w:tc>
        <w:tc>
          <w:tcPr>
            <w:tcW w:w="564"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11.5</w:t>
            </w:r>
          </w:p>
        </w:tc>
        <w:tc>
          <w:tcPr>
            <w:tcW w:w="463"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11.6</w:t>
            </w:r>
          </w:p>
        </w:tc>
        <w:tc>
          <w:tcPr>
            <w:tcW w:w="459" w:type="pct"/>
            <w:tcBorders>
              <w:top w:val="nil"/>
              <w:left w:val="nil"/>
              <w:bottom w:val="single" w:sz="8" w:space="0" w:color="auto"/>
              <w:right w:val="nil"/>
            </w:tcBorders>
            <w:shd w:val="clear" w:color="auto" w:fill="auto"/>
            <w:noWrap/>
            <w:vAlign w:val="bottom"/>
            <w:hideMark/>
          </w:tcPr>
          <w:p w:rsidR="004C75C6" w:rsidRPr="00394EFF" w:rsidRDefault="004C75C6" w:rsidP="00554AA1">
            <w:pPr>
              <w:spacing w:line="240" w:lineRule="auto"/>
              <w:jc w:val="right"/>
              <w:rPr>
                <w:rFonts w:eastAsia="Times New Roman" w:cs="Calibri"/>
                <w:color w:val="000000"/>
                <w:sz w:val="18"/>
                <w:szCs w:val="18"/>
              </w:rPr>
            </w:pPr>
            <w:r w:rsidRPr="00394EFF">
              <w:rPr>
                <w:rFonts w:eastAsia="Times New Roman" w:cs="Calibri"/>
                <w:color w:val="000000"/>
                <w:sz w:val="18"/>
                <w:szCs w:val="18"/>
              </w:rPr>
              <w:t>11.7</w:t>
            </w:r>
          </w:p>
        </w:tc>
      </w:tr>
    </w:tbl>
    <w:p w:rsidR="00146380" w:rsidRDefault="00161D1A" w:rsidP="00161D1A">
      <w:pPr>
        <w:spacing w:before="120"/>
        <w:rPr>
          <w:b/>
          <w:i/>
          <w:sz w:val="20"/>
        </w:rPr>
      </w:pPr>
      <w:r w:rsidRPr="00161D1A">
        <w:rPr>
          <w:b/>
          <w:i/>
          <w:sz w:val="20"/>
        </w:rPr>
        <w:t>Source: GED Projections</w:t>
      </w:r>
    </w:p>
    <w:p w:rsidR="000F4981" w:rsidRPr="00161D1A" w:rsidRDefault="000F4981" w:rsidP="00161D1A">
      <w:pPr>
        <w:spacing w:before="120"/>
        <w:rPr>
          <w:b/>
          <w:i/>
          <w:sz w:val="20"/>
        </w:rPr>
      </w:pPr>
    </w:p>
    <w:p w:rsidR="00146380" w:rsidRDefault="00146380" w:rsidP="00161D1A">
      <w:pPr>
        <w:pStyle w:val="Heading8"/>
        <w:spacing w:after="120"/>
      </w:pPr>
      <w:bookmarkStart w:id="1001" w:name="_Toc474639346"/>
      <w:r>
        <w:lastRenderedPageBreak/>
        <w:t>Table B5.</w:t>
      </w:r>
      <w:r w:rsidR="004C75C6">
        <w:t>8</w:t>
      </w:r>
      <w:r>
        <w:t xml:space="preserve">: </w:t>
      </w:r>
      <w:r w:rsidRPr="00B706CA">
        <w:t xml:space="preserve"> </w:t>
      </w:r>
      <w:r w:rsidR="009514C2">
        <w:t xml:space="preserve">Labor Force Dynamics </w:t>
      </w:r>
      <w:r w:rsidRPr="00B706CA">
        <w:t xml:space="preserve">Delta Plan </w:t>
      </w:r>
      <w:r w:rsidR="009514C2">
        <w:t xml:space="preserve">Policy Option, </w:t>
      </w:r>
      <w:r>
        <w:t>FY2016 - FY2041</w:t>
      </w:r>
      <w:bookmarkEnd w:id="1001"/>
    </w:p>
    <w:tbl>
      <w:tblPr>
        <w:tblW w:w="5000" w:type="pct"/>
        <w:jc w:val="center"/>
        <w:tblLook w:val="04A0"/>
      </w:tblPr>
      <w:tblGrid>
        <w:gridCol w:w="4340"/>
        <w:gridCol w:w="935"/>
        <w:gridCol w:w="934"/>
        <w:gridCol w:w="934"/>
        <w:gridCol w:w="934"/>
        <w:gridCol w:w="934"/>
        <w:gridCol w:w="1015"/>
      </w:tblGrid>
      <w:tr w:rsidR="007B7A33" w:rsidRPr="00D65787" w:rsidTr="00161D1A">
        <w:trPr>
          <w:trHeight w:hRule="exact" w:val="288"/>
          <w:jc w:val="center"/>
        </w:trPr>
        <w:tc>
          <w:tcPr>
            <w:tcW w:w="2164"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Fiscal Year</w:t>
            </w:r>
          </w:p>
        </w:tc>
        <w:tc>
          <w:tcPr>
            <w:tcW w:w="466"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FY16</w:t>
            </w:r>
          </w:p>
        </w:tc>
        <w:tc>
          <w:tcPr>
            <w:tcW w:w="466"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FY21</w:t>
            </w:r>
          </w:p>
        </w:tc>
        <w:tc>
          <w:tcPr>
            <w:tcW w:w="466"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FY26</w:t>
            </w:r>
          </w:p>
        </w:tc>
        <w:tc>
          <w:tcPr>
            <w:tcW w:w="466"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FY31</w:t>
            </w:r>
          </w:p>
        </w:tc>
        <w:tc>
          <w:tcPr>
            <w:tcW w:w="466"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FY36</w:t>
            </w:r>
          </w:p>
        </w:tc>
        <w:tc>
          <w:tcPr>
            <w:tcW w:w="508"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FY41</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Region:</w:t>
            </w:r>
          </w:p>
        </w:tc>
        <w:tc>
          <w:tcPr>
            <w:tcW w:w="2836" w:type="pct"/>
            <w:gridSpan w:val="6"/>
            <w:tcBorders>
              <w:top w:val="single" w:sz="8" w:space="0" w:color="auto"/>
              <w:left w:val="nil"/>
              <w:bottom w:val="nil"/>
              <w:right w:val="nil"/>
            </w:tcBorders>
            <w:shd w:val="clear" w:color="auto" w:fill="auto"/>
            <w:noWrap/>
            <w:vAlign w:val="center"/>
            <w:hideMark/>
          </w:tcPr>
          <w:p w:rsidR="007B7A33" w:rsidRPr="00D65787" w:rsidRDefault="007B7A33" w:rsidP="00554AA1">
            <w:pPr>
              <w:spacing w:line="240" w:lineRule="auto"/>
              <w:jc w:val="center"/>
              <w:rPr>
                <w:rFonts w:eastAsia="Times New Roman" w:cs="Calibri"/>
                <w:b/>
                <w:bCs/>
                <w:color w:val="000000"/>
                <w:sz w:val="18"/>
                <w:szCs w:val="18"/>
              </w:rPr>
            </w:pPr>
            <w:r w:rsidRPr="00D65787">
              <w:rPr>
                <w:rFonts w:eastAsia="Times New Roman" w:cs="Calibri"/>
                <w:b/>
                <w:bCs/>
                <w:color w:val="000000"/>
                <w:sz w:val="18"/>
                <w:szCs w:val="18"/>
              </w:rPr>
              <w:t>( In million)</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Haor</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6.6</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7.5</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8.4</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9.3</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10.1</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11.0</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Coastal</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12.1</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13.8</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14.5</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15.1</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CTG Hill</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0.9</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 xml:space="preserve">Urban </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16.4</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18.6</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21.0</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23.3</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Drought Prone</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9.9</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12.1</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14.2</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15.1</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Rivers &amp; Estuaries</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17.8</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19.9</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21.8</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23.6</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25.4</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26.9</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sz w:val="18"/>
                <w:szCs w:val="18"/>
              </w:rPr>
            </w:pPr>
            <w:r w:rsidRPr="00D65787">
              <w:rPr>
                <w:rFonts w:eastAsia="Times New Roman" w:cs="Calibri"/>
                <w:sz w:val="18"/>
                <w:szCs w:val="18"/>
              </w:rPr>
              <w:t>Less Risky Region</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7.3</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8.4</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9.5</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10.7</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11.9</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13.0</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sz w:val="18"/>
                <w:szCs w:val="18"/>
              </w:rPr>
            </w:pPr>
            <w:r w:rsidRPr="00D65787">
              <w:rPr>
                <w:rFonts w:eastAsia="Times New Roman" w:cs="Calibri"/>
                <w:sz w:val="18"/>
                <w:szCs w:val="18"/>
              </w:rPr>
              <w:t>Bangladesh LFS</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65.6</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73.9</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90.2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98.2</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105.7</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sz w:val="18"/>
                <w:szCs w:val="18"/>
              </w:rPr>
            </w:pPr>
            <w:r w:rsidRPr="00D65787">
              <w:rPr>
                <w:rFonts w:eastAsia="Times New Roman" w:cs="Calibri"/>
                <w:sz w:val="18"/>
                <w:szCs w:val="18"/>
              </w:rPr>
              <w:t>of which:</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508"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sz w:val="18"/>
                <w:szCs w:val="18"/>
              </w:rPr>
            </w:pPr>
            <w:r w:rsidRPr="00D65787">
              <w:rPr>
                <w:rFonts w:eastAsia="Times New Roman"/>
                <w:sz w:val="18"/>
                <w:szCs w:val="18"/>
              </w:rPr>
              <w:t xml:space="preserve">    Unemployed </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3.1</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3.4</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3.7</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4.3</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4.7</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sz w:val="18"/>
                <w:szCs w:val="18"/>
              </w:rPr>
            </w:pPr>
            <w:r w:rsidRPr="00D65787">
              <w:rPr>
                <w:rFonts w:eastAsia="Times New Roman"/>
                <w:sz w:val="18"/>
                <w:szCs w:val="18"/>
              </w:rPr>
              <w:t xml:space="preserve">    Employed</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62.5</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70.5</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78.3</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86.2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93.9</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101</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Assumption:</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508"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sz w:val="18"/>
                <w:szCs w:val="18"/>
              </w:rPr>
            </w:pPr>
            <w:r w:rsidRPr="00D65787">
              <w:rPr>
                <w:rFonts w:eastAsia="Times New Roman" w:cs="Calibri"/>
                <w:color w:val="000000"/>
                <w:sz w:val="18"/>
                <w:szCs w:val="18"/>
              </w:rPr>
              <w:t>Male Participation rate (%)</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81.9</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82.2</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82.2</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sz w:val="18"/>
                <w:szCs w:val="18"/>
              </w:rPr>
            </w:pPr>
            <w:r w:rsidRPr="00D65787">
              <w:rPr>
                <w:rFonts w:eastAsia="Times New Roman" w:cs="Calibri"/>
                <w:color w:val="000000"/>
                <w:sz w:val="18"/>
                <w:szCs w:val="18"/>
              </w:rPr>
              <w:t>Female Participation rate (%)</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35.5</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38.6</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42.1</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45.7</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49.7</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53.7</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sz w:val="18"/>
                <w:szCs w:val="18"/>
              </w:rPr>
            </w:pPr>
            <w:r w:rsidRPr="00D65787">
              <w:rPr>
                <w:rFonts w:eastAsia="Times New Roman" w:cs="Calibri"/>
                <w:color w:val="000000"/>
                <w:sz w:val="18"/>
                <w:szCs w:val="18"/>
              </w:rPr>
              <w:t>Total Participation rate (%)</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58.9</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60.5</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62.2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64.0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66.0</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68.0</w:t>
            </w:r>
          </w:p>
        </w:tc>
      </w:tr>
      <w:tr w:rsidR="007B7A33" w:rsidRPr="00D65787" w:rsidTr="00161D1A">
        <w:trPr>
          <w:trHeight w:hRule="exact" w:val="288"/>
          <w:jc w:val="center"/>
        </w:trPr>
        <w:tc>
          <w:tcPr>
            <w:tcW w:w="2164"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sz w:val="18"/>
                <w:szCs w:val="18"/>
              </w:rPr>
            </w:pPr>
            <w:r w:rsidRPr="00D65787">
              <w:rPr>
                <w:rFonts w:eastAsia="Times New Roman" w:cs="Calibri"/>
                <w:color w:val="000000"/>
                <w:sz w:val="18"/>
                <w:szCs w:val="18"/>
              </w:rPr>
              <w:t>Unemployment rate (%)</w:t>
            </w:r>
          </w:p>
        </w:tc>
        <w:tc>
          <w:tcPr>
            <w:tcW w:w="466"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4.7</w:t>
            </w:r>
          </w:p>
        </w:tc>
        <w:tc>
          <w:tcPr>
            <w:tcW w:w="466"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4.6</w:t>
            </w:r>
          </w:p>
        </w:tc>
        <w:tc>
          <w:tcPr>
            <w:tcW w:w="466"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4.5</w:t>
            </w:r>
          </w:p>
        </w:tc>
        <w:tc>
          <w:tcPr>
            <w:tcW w:w="466"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4.4</w:t>
            </w:r>
          </w:p>
        </w:tc>
        <w:tc>
          <w:tcPr>
            <w:tcW w:w="466"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4.4</w:t>
            </w:r>
          </w:p>
        </w:tc>
        <w:tc>
          <w:tcPr>
            <w:tcW w:w="508"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4.4</w:t>
            </w:r>
          </w:p>
        </w:tc>
      </w:tr>
      <w:tr w:rsidR="007B7A33" w:rsidRPr="00D65787" w:rsidTr="00161D1A">
        <w:trPr>
          <w:trHeight w:hRule="exact" w:val="288"/>
          <w:jc w:val="center"/>
        </w:trPr>
        <w:tc>
          <w:tcPr>
            <w:tcW w:w="2164"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D65787">
              <w:rPr>
                <w:rFonts w:eastAsia="Times New Roman" w:cs="Calibri"/>
                <w:b/>
                <w:bCs/>
                <w:color w:val="000000"/>
                <w:sz w:val="18"/>
                <w:szCs w:val="18"/>
              </w:rPr>
              <w:t xml:space="preserve"> Projections</w:t>
            </w:r>
          </w:p>
        </w:tc>
        <w:tc>
          <w:tcPr>
            <w:tcW w:w="466"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66"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66"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66"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66"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508"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r>
    </w:tbl>
    <w:p w:rsidR="00146380" w:rsidRPr="00146380" w:rsidRDefault="00146380" w:rsidP="00146380">
      <w:pPr>
        <w:rPr>
          <w:rFonts w:ascii="Calibri" w:eastAsia="Times New Roman" w:hAnsi="Calibri" w:cs="Calibri"/>
          <w:b/>
          <w:bCs/>
          <w:color w:val="000000"/>
          <w:sz w:val="16"/>
          <w:szCs w:val="16"/>
        </w:rPr>
      </w:pPr>
    </w:p>
    <w:p w:rsidR="007B7A33" w:rsidRPr="007B7A33" w:rsidRDefault="00CC3F7B" w:rsidP="00161D1A">
      <w:pPr>
        <w:pStyle w:val="Heading8"/>
        <w:spacing w:after="120"/>
      </w:pPr>
      <w:bookmarkStart w:id="1002" w:name="_Toc474639347"/>
      <w:r>
        <w:t>Table B5.9</w:t>
      </w:r>
      <w:r w:rsidR="009514C2">
        <w:t xml:space="preserve">: Labor Force Dynamics </w:t>
      </w:r>
      <w:r w:rsidR="00146380">
        <w:t>BAU</w:t>
      </w:r>
      <w:r w:rsidR="009514C2">
        <w:t xml:space="preserve"> Policy Option, </w:t>
      </w:r>
      <w:r w:rsidR="00146380">
        <w:t>FY2016 - FY2041</w:t>
      </w:r>
      <w:bookmarkEnd w:id="1002"/>
    </w:p>
    <w:tbl>
      <w:tblPr>
        <w:tblW w:w="5000" w:type="pct"/>
        <w:jc w:val="center"/>
        <w:tblLook w:val="04A0"/>
      </w:tblPr>
      <w:tblGrid>
        <w:gridCol w:w="4342"/>
        <w:gridCol w:w="933"/>
        <w:gridCol w:w="932"/>
        <w:gridCol w:w="932"/>
        <w:gridCol w:w="932"/>
        <w:gridCol w:w="934"/>
        <w:gridCol w:w="1021"/>
      </w:tblGrid>
      <w:tr w:rsidR="007B7A33" w:rsidRPr="00D65787" w:rsidTr="00161D1A">
        <w:trPr>
          <w:trHeight w:hRule="exact" w:val="288"/>
          <w:jc w:val="center"/>
        </w:trPr>
        <w:tc>
          <w:tcPr>
            <w:tcW w:w="2165"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Fiscal Year</w:t>
            </w:r>
          </w:p>
        </w:tc>
        <w:tc>
          <w:tcPr>
            <w:tcW w:w="465"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FY16</w:t>
            </w:r>
          </w:p>
        </w:tc>
        <w:tc>
          <w:tcPr>
            <w:tcW w:w="465"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FY21</w:t>
            </w:r>
          </w:p>
        </w:tc>
        <w:tc>
          <w:tcPr>
            <w:tcW w:w="465"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FY26</w:t>
            </w:r>
          </w:p>
        </w:tc>
        <w:tc>
          <w:tcPr>
            <w:tcW w:w="465"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FY31</w:t>
            </w:r>
          </w:p>
        </w:tc>
        <w:tc>
          <w:tcPr>
            <w:tcW w:w="466"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FY36</w:t>
            </w:r>
          </w:p>
        </w:tc>
        <w:tc>
          <w:tcPr>
            <w:tcW w:w="508"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FY41</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Region:</w:t>
            </w:r>
          </w:p>
        </w:tc>
        <w:tc>
          <w:tcPr>
            <w:tcW w:w="2835" w:type="pct"/>
            <w:gridSpan w:val="6"/>
            <w:tcBorders>
              <w:top w:val="single" w:sz="8" w:space="0" w:color="auto"/>
              <w:left w:val="nil"/>
              <w:bottom w:val="nil"/>
              <w:right w:val="nil"/>
            </w:tcBorders>
            <w:shd w:val="clear" w:color="auto" w:fill="auto"/>
            <w:noWrap/>
            <w:vAlign w:val="center"/>
            <w:hideMark/>
          </w:tcPr>
          <w:p w:rsidR="007B7A33" w:rsidRPr="00D65787" w:rsidRDefault="007B7A33" w:rsidP="00554AA1">
            <w:pPr>
              <w:spacing w:line="240" w:lineRule="auto"/>
              <w:jc w:val="center"/>
              <w:rPr>
                <w:rFonts w:eastAsia="Times New Roman" w:cs="Calibri"/>
                <w:b/>
                <w:bCs/>
                <w:color w:val="000000"/>
                <w:sz w:val="18"/>
                <w:szCs w:val="18"/>
              </w:rPr>
            </w:pPr>
            <w:r w:rsidRPr="00D65787">
              <w:rPr>
                <w:rFonts w:eastAsia="Times New Roman" w:cs="Calibri"/>
                <w:b/>
                <w:bCs/>
                <w:color w:val="000000"/>
                <w:sz w:val="18"/>
                <w:szCs w:val="18"/>
              </w:rPr>
              <w:t>( In million)</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Haor</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6.6</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7.5</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8.3</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10.0</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10.8</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Coastal</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11.0</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11.7</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12.1</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12.4</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12.5</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12.4</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CTG Hill</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0.8</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0.9</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 xml:space="preserve">Urban </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12.2</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15.1</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18.3</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21.8</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25.6</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29.5</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Drought Prone</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9.9</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10.9</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11.8</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12.7</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13.5</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14.2</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Rivers &amp; Estuaries</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17.8</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19.6</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21.2</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22.7</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24.0</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25.1</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sz w:val="18"/>
                <w:szCs w:val="18"/>
              </w:rPr>
            </w:pPr>
            <w:r w:rsidRPr="00D65787">
              <w:rPr>
                <w:rFonts w:eastAsia="Times New Roman" w:cs="Calibri"/>
                <w:sz w:val="18"/>
                <w:szCs w:val="18"/>
              </w:rPr>
              <w:t>Less Risky Region</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7.3</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8.3</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9.3</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10.3</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11.4</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12.4</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sz w:val="18"/>
                <w:szCs w:val="18"/>
              </w:rPr>
            </w:pPr>
            <w:r w:rsidRPr="00D65787">
              <w:rPr>
                <w:rFonts w:eastAsia="Times New Roman" w:cs="Calibri"/>
                <w:sz w:val="18"/>
                <w:szCs w:val="18"/>
              </w:rPr>
              <w:t>Bangladesh LFS</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65.6</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73.9</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82.0</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90.2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98.2</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105.7</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sz w:val="18"/>
                <w:szCs w:val="18"/>
              </w:rPr>
            </w:pPr>
            <w:r w:rsidRPr="00D65787">
              <w:rPr>
                <w:rFonts w:eastAsia="Times New Roman" w:cs="Calibri"/>
                <w:sz w:val="18"/>
                <w:szCs w:val="18"/>
              </w:rPr>
              <w:t>of which:</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508"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sz w:val="18"/>
                <w:szCs w:val="18"/>
              </w:rPr>
            </w:pPr>
            <w:r w:rsidRPr="00D65787">
              <w:rPr>
                <w:rFonts w:eastAsia="Times New Roman"/>
                <w:sz w:val="18"/>
                <w:szCs w:val="18"/>
              </w:rPr>
              <w:t xml:space="preserve">    Unemployed </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3.1</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4.0</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5.4</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9.7</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13.0</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sz w:val="18"/>
                <w:szCs w:val="18"/>
              </w:rPr>
            </w:pPr>
            <w:r w:rsidRPr="00D65787">
              <w:rPr>
                <w:rFonts w:eastAsia="Times New Roman"/>
                <w:sz w:val="18"/>
                <w:szCs w:val="18"/>
              </w:rPr>
              <w:t xml:space="preserve">    Employed</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62.5</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69.9</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76.7</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83.0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88.5</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92.6</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Assumption:</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s="Calibri"/>
                <w:color w:val="000000"/>
                <w:sz w:val="18"/>
                <w:szCs w:val="18"/>
              </w:rPr>
            </w:pPr>
          </w:p>
        </w:tc>
        <w:tc>
          <w:tcPr>
            <w:tcW w:w="508"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sz w:val="18"/>
                <w:szCs w:val="18"/>
              </w:rPr>
            </w:pPr>
            <w:r w:rsidRPr="00D65787">
              <w:rPr>
                <w:rFonts w:eastAsia="Times New Roman" w:cs="Calibri"/>
                <w:color w:val="000000"/>
                <w:sz w:val="18"/>
                <w:szCs w:val="18"/>
              </w:rPr>
              <w:t>Male Participation rate (%)</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81.9</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82.0</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82.0</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82.2</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82.2</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82.2</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sz w:val="18"/>
                <w:szCs w:val="18"/>
              </w:rPr>
            </w:pPr>
            <w:r w:rsidRPr="00D65787">
              <w:rPr>
                <w:rFonts w:eastAsia="Times New Roman" w:cs="Calibri"/>
                <w:color w:val="000000"/>
                <w:sz w:val="18"/>
                <w:szCs w:val="18"/>
              </w:rPr>
              <w:t>Female Participation rate (%)</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35.5</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38.6</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42.1</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45.7</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49.7</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53.7</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sz w:val="18"/>
                <w:szCs w:val="18"/>
              </w:rPr>
            </w:pPr>
            <w:r w:rsidRPr="00D65787">
              <w:rPr>
                <w:rFonts w:eastAsia="Times New Roman" w:cs="Calibri"/>
                <w:color w:val="000000"/>
                <w:sz w:val="18"/>
                <w:szCs w:val="18"/>
              </w:rPr>
              <w:t>Total Participation rate (%)</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58.9</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60.5</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62.2</w:t>
            </w:r>
          </w:p>
        </w:tc>
        <w:tc>
          <w:tcPr>
            <w:tcW w:w="465"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64.0</w:t>
            </w:r>
          </w:p>
        </w:tc>
        <w:tc>
          <w:tcPr>
            <w:tcW w:w="46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66.0</w:t>
            </w:r>
          </w:p>
        </w:tc>
        <w:tc>
          <w:tcPr>
            <w:tcW w:w="508"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68.0</w:t>
            </w:r>
          </w:p>
        </w:tc>
      </w:tr>
      <w:tr w:rsidR="007B7A33" w:rsidRPr="00D65787" w:rsidTr="00161D1A">
        <w:trPr>
          <w:trHeight w:hRule="exact" w:val="288"/>
          <w:jc w:val="center"/>
        </w:trPr>
        <w:tc>
          <w:tcPr>
            <w:tcW w:w="2165"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sz w:val="18"/>
                <w:szCs w:val="18"/>
              </w:rPr>
            </w:pPr>
            <w:r w:rsidRPr="00D65787">
              <w:rPr>
                <w:rFonts w:eastAsia="Times New Roman" w:cs="Calibri"/>
                <w:color w:val="000000"/>
                <w:sz w:val="18"/>
                <w:szCs w:val="18"/>
              </w:rPr>
              <w:t>Unemployment rate (%)</w:t>
            </w:r>
          </w:p>
        </w:tc>
        <w:tc>
          <w:tcPr>
            <w:tcW w:w="465"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4.7</w:t>
            </w:r>
          </w:p>
        </w:tc>
        <w:tc>
          <w:tcPr>
            <w:tcW w:w="465"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5.5</w:t>
            </w:r>
          </w:p>
        </w:tc>
        <w:tc>
          <w:tcPr>
            <w:tcW w:w="465"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6.5</w:t>
            </w:r>
          </w:p>
        </w:tc>
        <w:tc>
          <w:tcPr>
            <w:tcW w:w="465"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7.9</w:t>
            </w:r>
          </w:p>
        </w:tc>
        <w:tc>
          <w:tcPr>
            <w:tcW w:w="466"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9.8</w:t>
            </w:r>
          </w:p>
        </w:tc>
        <w:tc>
          <w:tcPr>
            <w:tcW w:w="508"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12.3</w:t>
            </w:r>
          </w:p>
        </w:tc>
      </w:tr>
      <w:tr w:rsidR="007B7A33" w:rsidRPr="00D65787" w:rsidTr="00161D1A">
        <w:trPr>
          <w:trHeight w:hRule="exact" w:val="288"/>
          <w:jc w:val="center"/>
        </w:trPr>
        <w:tc>
          <w:tcPr>
            <w:tcW w:w="21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D65787">
              <w:rPr>
                <w:rFonts w:eastAsia="Times New Roman" w:cs="Calibri"/>
                <w:b/>
                <w:bCs/>
                <w:color w:val="000000"/>
                <w:sz w:val="18"/>
                <w:szCs w:val="18"/>
              </w:rPr>
              <w:t xml:space="preserve"> Projections</w:t>
            </w:r>
          </w:p>
        </w:tc>
        <w:tc>
          <w:tcPr>
            <w:tcW w:w="4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65"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66"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508"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r>
    </w:tbl>
    <w:p w:rsidR="00146380" w:rsidRDefault="00146380" w:rsidP="00146380"/>
    <w:p w:rsidR="00146380" w:rsidRDefault="00146380" w:rsidP="00161D1A">
      <w:pPr>
        <w:pStyle w:val="Heading8"/>
        <w:spacing w:after="120"/>
      </w:pPr>
      <w:bookmarkStart w:id="1003" w:name="_Toc474639348"/>
      <w:r>
        <w:lastRenderedPageBreak/>
        <w:t>Table B5.</w:t>
      </w:r>
      <w:r w:rsidR="007B7A33">
        <w:t>10</w:t>
      </w:r>
      <w:r w:rsidR="00161D1A">
        <w:t>:</w:t>
      </w:r>
      <w:r w:rsidR="007B7A33">
        <w:t xml:space="preserve"> </w:t>
      </w:r>
      <w:r>
        <w:t xml:space="preserve"> </w:t>
      </w:r>
      <w:r w:rsidR="00EA4E38">
        <w:t>Migration</w:t>
      </w:r>
      <w:r w:rsidR="009514C2">
        <w:t xml:space="preserve"> Dynamics </w:t>
      </w:r>
      <w:r>
        <w:t>Delta Plan</w:t>
      </w:r>
      <w:r w:rsidRPr="00B706CA">
        <w:t xml:space="preserve"> </w:t>
      </w:r>
      <w:r w:rsidR="009514C2">
        <w:t xml:space="preserve">Policy Option, </w:t>
      </w:r>
      <w:r>
        <w:t>FY</w:t>
      </w:r>
      <w:r w:rsidRPr="00B706CA">
        <w:t xml:space="preserve">2016 </w:t>
      </w:r>
      <w:r>
        <w:t>–</w:t>
      </w:r>
      <w:r w:rsidRPr="00B706CA">
        <w:t xml:space="preserve"> </w:t>
      </w:r>
      <w:r>
        <w:t>FY</w:t>
      </w:r>
      <w:r w:rsidRPr="00B706CA">
        <w:t>2041</w:t>
      </w:r>
      <w:bookmarkEnd w:id="1003"/>
    </w:p>
    <w:tbl>
      <w:tblPr>
        <w:tblW w:w="5000" w:type="pct"/>
        <w:jc w:val="center"/>
        <w:tblLook w:val="04A0"/>
      </w:tblPr>
      <w:tblGrid>
        <w:gridCol w:w="4092"/>
        <w:gridCol w:w="988"/>
        <w:gridCol w:w="988"/>
        <w:gridCol w:w="989"/>
        <w:gridCol w:w="989"/>
        <w:gridCol w:w="995"/>
        <w:gridCol w:w="985"/>
      </w:tblGrid>
      <w:tr w:rsidR="007B7A33" w:rsidRPr="00D65787" w:rsidTr="00161D1A">
        <w:trPr>
          <w:trHeight w:hRule="exact" w:val="288"/>
          <w:jc w:val="center"/>
        </w:trPr>
        <w:tc>
          <w:tcPr>
            <w:tcW w:w="2041"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Fiscal Year</w:t>
            </w:r>
          </w:p>
        </w:tc>
        <w:tc>
          <w:tcPr>
            <w:tcW w:w="493"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FY16</w:t>
            </w:r>
          </w:p>
        </w:tc>
        <w:tc>
          <w:tcPr>
            <w:tcW w:w="493"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FY21</w:t>
            </w:r>
          </w:p>
        </w:tc>
        <w:tc>
          <w:tcPr>
            <w:tcW w:w="493"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FY26</w:t>
            </w:r>
          </w:p>
        </w:tc>
        <w:tc>
          <w:tcPr>
            <w:tcW w:w="493"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FY31</w:t>
            </w:r>
          </w:p>
        </w:tc>
        <w:tc>
          <w:tcPr>
            <w:tcW w:w="496"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FY36</w:t>
            </w:r>
          </w:p>
        </w:tc>
        <w:tc>
          <w:tcPr>
            <w:tcW w:w="493"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FY41</w:t>
            </w:r>
          </w:p>
        </w:tc>
      </w:tr>
      <w:tr w:rsidR="007B7A33"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Region:</w:t>
            </w:r>
          </w:p>
        </w:tc>
        <w:tc>
          <w:tcPr>
            <w:tcW w:w="2959" w:type="pct"/>
            <w:gridSpan w:val="6"/>
            <w:tcBorders>
              <w:top w:val="single" w:sz="8" w:space="0" w:color="auto"/>
              <w:left w:val="nil"/>
              <w:bottom w:val="nil"/>
              <w:right w:val="nil"/>
            </w:tcBorders>
            <w:shd w:val="clear" w:color="auto" w:fill="auto"/>
            <w:noWrap/>
            <w:vAlign w:val="center"/>
            <w:hideMark/>
          </w:tcPr>
          <w:p w:rsidR="007B7A33" w:rsidRPr="00D65787" w:rsidRDefault="007B7A33" w:rsidP="00554AA1">
            <w:pPr>
              <w:spacing w:line="240" w:lineRule="auto"/>
              <w:jc w:val="center"/>
              <w:rPr>
                <w:rFonts w:eastAsia="Times New Roman" w:cs="Calibri"/>
                <w:b/>
                <w:bCs/>
                <w:color w:val="000000"/>
                <w:sz w:val="18"/>
                <w:szCs w:val="18"/>
              </w:rPr>
            </w:pPr>
            <w:r w:rsidRPr="00D65787">
              <w:rPr>
                <w:rFonts w:eastAsia="Times New Roman" w:cs="Calibri"/>
                <w:b/>
                <w:bCs/>
                <w:color w:val="000000"/>
                <w:sz w:val="18"/>
                <w:szCs w:val="18"/>
              </w:rPr>
              <w:t>( In millions)</w:t>
            </w:r>
          </w:p>
        </w:tc>
      </w:tr>
      <w:tr w:rsidR="007B7A33" w:rsidRPr="00D65787" w:rsidTr="00161D1A">
        <w:trPr>
          <w:trHeight w:hRule="exact" w:val="288"/>
          <w:jc w:val="center"/>
        </w:trPr>
        <w:tc>
          <w:tcPr>
            <w:tcW w:w="2041" w:type="pct"/>
            <w:tcBorders>
              <w:top w:val="nil"/>
              <w:left w:val="nil"/>
              <w:bottom w:val="nil"/>
              <w:right w:val="nil"/>
            </w:tcBorders>
            <w:shd w:val="clear" w:color="auto" w:fill="auto"/>
            <w:noWrap/>
            <w:vAlign w:val="center"/>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Haor</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0.3</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0.4</w:t>
            </w:r>
          </w:p>
        </w:tc>
        <w:tc>
          <w:tcPr>
            <w:tcW w:w="49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0.5</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0.6</w:t>
            </w:r>
          </w:p>
        </w:tc>
      </w:tr>
      <w:tr w:rsidR="007B7A33"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Coastal</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-0.5</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-2.4</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-3.5</w:t>
            </w:r>
          </w:p>
        </w:tc>
        <w:tc>
          <w:tcPr>
            <w:tcW w:w="49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-4.5</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-5.7</w:t>
            </w:r>
          </w:p>
        </w:tc>
      </w:tr>
      <w:tr w:rsidR="007B7A33"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CTG Hill</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9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r>
      <w:tr w:rsidR="007B7A33"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 xml:space="preserve">Urban </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1.9</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3.3</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4.8</w:t>
            </w:r>
          </w:p>
        </w:tc>
        <w:tc>
          <w:tcPr>
            <w:tcW w:w="49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6.3</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7.8</w:t>
            </w:r>
          </w:p>
        </w:tc>
      </w:tr>
      <w:tr w:rsidR="007B7A33"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Drought Prone</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-0.4</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-0.8</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w:t>
            </w:r>
          </w:p>
        </w:tc>
        <w:tc>
          <w:tcPr>
            <w:tcW w:w="49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w:t>
            </w:r>
          </w:p>
        </w:tc>
      </w:tr>
      <w:tr w:rsidR="007B7A33"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olor w:val="000000"/>
                <w:sz w:val="18"/>
                <w:szCs w:val="18"/>
              </w:rPr>
            </w:pPr>
            <w:r w:rsidRPr="00D65787">
              <w:rPr>
                <w:rFonts w:eastAsia="Times New Roman"/>
                <w:color w:val="000000"/>
                <w:sz w:val="18"/>
                <w:szCs w:val="18"/>
              </w:rPr>
              <w:t>Rivers &amp; Estuaries</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-0.3</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-1.6</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-2.3</w:t>
            </w:r>
          </w:p>
        </w:tc>
        <w:tc>
          <w:tcPr>
            <w:tcW w:w="496"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-3.1</w:t>
            </w:r>
          </w:p>
        </w:tc>
        <w:tc>
          <w:tcPr>
            <w:tcW w:w="493" w:type="pct"/>
            <w:tcBorders>
              <w:top w:val="nil"/>
              <w:left w:val="nil"/>
              <w:bottom w:val="nil"/>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-3.9</w:t>
            </w:r>
          </w:p>
        </w:tc>
      </w:tr>
      <w:tr w:rsidR="007B7A33" w:rsidRPr="00D65787" w:rsidTr="00161D1A">
        <w:trPr>
          <w:trHeight w:hRule="exact" w:val="288"/>
          <w:jc w:val="center"/>
        </w:trPr>
        <w:tc>
          <w:tcPr>
            <w:tcW w:w="2041" w:type="pct"/>
            <w:tcBorders>
              <w:top w:val="nil"/>
              <w:left w:val="nil"/>
              <w:bottom w:val="single" w:sz="8" w:space="0" w:color="auto"/>
              <w:right w:val="nil"/>
            </w:tcBorders>
            <w:shd w:val="clear" w:color="auto" w:fill="auto"/>
            <w:noWrap/>
            <w:vAlign w:val="bottom"/>
            <w:hideMark/>
          </w:tcPr>
          <w:p w:rsidR="007B7A33" w:rsidRPr="00D65787" w:rsidRDefault="007B7A33" w:rsidP="00554AA1">
            <w:pPr>
              <w:spacing w:line="240" w:lineRule="auto"/>
              <w:rPr>
                <w:rFonts w:eastAsia="Times New Roman" w:cs="Calibri"/>
                <w:sz w:val="18"/>
                <w:szCs w:val="18"/>
              </w:rPr>
            </w:pPr>
            <w:r w:rsidRPr="00D65787">
              <w:rPr>
                <w:rFonts w:eastAsia="Times New Roman" w:cs="Calibri"/>
                <w:sz w:val="18"/>
                <w:szCs w:val="18"/>
              </w:rPr>
              <w:t>Less Risky Region</w:t>
            </w:r>
          </w:p>
        </w:tc>
        <w:tc>
          <w:tcPr>
            <w:tcW w:w="493"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c>
          <w:tcPr>
            <w:tcW w:w="493"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w:t>
            </w:r>
          </w:p>
        </w:tc>
        <w:tc>
          <w:tcPr>
            <w:tcW w:w="493"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w:t>
            </w:r>
          </w:p>
        </w:tc>
        <w:tc>
          <w:tcPr>
            <w:tcW w:w="493"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1.6</w:t>
            </w:r>
          </w:p>
        </w:tc>
        <w:tc>
          <w:tcPr>
            <w:tcW w:w="496"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w:t>
            </w:r>
          </w:p>
        </w:tc>
        <w:tc>
          <w:tcPr>
            <w:tcW w:w="493" w:type="pct"/>
            <w:tcBorders>
              <w:top w:val="nil"/>
              <w:left w:val="nil"/>
              <w:bottom w:val="single" w:sz="8" w:space="0" w:color="auto"/>
              <w:right w:val="nil"/>
            </w:tcBorders>
            <w:shd w:val="clear" w:color="auto" w:fill="auto"/>
            <w:noWrap/>
            <w:vAlign w:val="center"/>
            <w:hideMark/>
          </w:tcPr>
          <w:p w:rsidR="007B7A33" w:rsidRPr="00D65787" w:rsidRDefault="007B7A3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2.7</w:t>
            </w:r>
          </w:p>
        </w:tc>
      </w:tr>
      <w:tr w:rsidR="007B7A33"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D65787">
              <w:rPr>
                <w:rFonts w:eastAsia="Times New Roman" w:cs="Calibri"/>
                <w:b/>
                <w:bCs/>
                <w:color w:val="000000"/>
                <w:sz w:val="18"/>
                <w:szCs w:val="18"/>
              </w:rPr>
              <w:t xml:space="preserve"> </w:t>
            </w:r>
            <w:r w:rsidR="00EA4E38" w:rsidRPr="00D65787">
              <w:rPr>
                <w:rFonts w:eastAsia="Times New Roman" w:cs="Calibri"/>
                <w:b/>
                <w:bCs/>
                <w:color w:val="000000"/>
                <w:sz w:val="18"/>
                <w:szCs w:val="18"/>
              </w:rPr>
              <w:t>Projections</w:t>
            </w:r>
          </w:p>
        </w:tc>
        <w:tc>
          <w:tcPr>
            <w:tcW w:w="493"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93"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93"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93"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96"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c>
          <w:tcPr>
            <w:tcW w:w="493"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r>
      <w:tr w:rsidR="007B7A33" w:rsidRPr="00D65787" w:rsidTr="00161D1A">
        <w:trPr>
          <w:trHeight w:hRule="exact" w:val="288"/>
          <w:jc w:val="center"/>
        </w:trPr>
        <w:tc>
          <w:tcPr>
            <w:tcW w:w="4507" w:type="pct"/>
            <w:gridSpan w:val="6"/>
            <w:tcBorders>
              <w:top w:val="nil"/>
              <w:left w:val="nil"/>
              <w:bottom w:val="nil"/>
              <w:right w:val="nil"/>
            </w:tcBorders>
            <w:shd w:val="clear" w:color="auto" w:fill="auto"/>
            <w:noWrap/>
            <w:vAlign w:val="bottom"/>
            <w:hideMark/>
          </w:tcPr>
          <w:p w:rsidR="007B7A33" w:rsidRDefault="007B7A33" w:rsidP="00554AA1">
            <w:pPr>
              <w:spacing w:line="240" w:lineRule="auto"/>
              <w:rPr>
                <w:rFonts w:eastAsia="Times New Roman" w:cs="Calibri"/>
                <w:color w:val="000000"/>
                <w:sz w:val="18"/>
                <w:szCs w:val="18"/>
              </w:rPr>
            </w:pPr>
            <w:r w:rsidRPr="00D65787">
              <w:rPr>
                <w:rFonts w:eastAsia="Times New Roman" w:cs="Calibri"/>
                <w:color w:val="000000"/>
                <w:sz w:val="18"/>
                <w:szCs w:val="18"/>
              </w:rPr>
              <w:t>* All negative values represents migration to urban region</w:t>
            </w:r>
          </w:p>
          <w:p w:rsidR="000A7B76" w:rsidRDefault="000A7B76" w:rsidP="00554AA1">
            <w:pPr>
              <w:spacing w:line="240" w:lineRule="auto"/>
              <w:rPr>
                <w:rFonts w:eastAsia="Times New Roman" w:cs="Calibri"/>
                <w:color w:val="000000"/>
                <w:sz w:val="18"/>
                <w:szCs w:val="18"/>
              </w:rPr>
            </w:pPr>
          </w:p>
          <w:p w:rsidR="000A7B76" w:rsidRDefault="000A7B76" w:rsidP="00554AA1">
            <w:pPr>
              <w:spacing w:line="240" w:lineRule="auto"/>
              <w:rPr>
                <w:rFonts w:eastAsia="Times New Roman" w:cs="Calibri"/>
                <w:color w:val="000000"/>
                <w:sz w:val="18"/>
                <w:szCs w:val="18"/>
              </w:rPr>
            </w:pPr>
          </w:p>
          <w:p w:rsidR="000A7B76" w:rsidRDefault="000A7B76" w:rsidP="00554AA1">
            <w:pPr>
              <w:spacing w:line="240" w:lineRule="auto"/>
              <w:rPr>
                <w:rFonts w:eastAsia="Times New Roman" w:cs="Calibri"/>
                <w:color w:val="000000"/>
                <w:sz w:val="18"/>
                <w:szCs w:val="18"/>
              </w:rPr>
            </w:pPr>
          </w:p>
          <w:p w:rsidR="000A7B76" w:rsidRPr="00D65787" w:rsidRDefault="000A7B76" w:rsidP="00554AA1">
            <w:pPr>
              <w:spacing w:line="240" w:lineRule="auto"/>
              <w:rPr>
                <w:rFonts w:eastAsia="Times New Roman" w:cs="Calibri"/>
                <w:color w:val="000000"/>
                <w:sz w:val="18"/>
                <w:szCs w:val="18"/>
              </w:rPr>
            </w:pPr>
          </w:p>
        </w:tc>
        <w:tc>
          <w:tcPr>
            <w:tcW w:w="493" w:type="pct"/>
            <w:tcBorders>
              <w:top w:val="nil"/>
              <w:left w:val="nil"/>
              <w:bottom w:val="nil"/>
              <w:right w:val="nil"/>
            </w:tcBorders>
            <w:shd w:val="clear" w:color="auto" w:fill="auto"/>
            <w:noWrap/>
            <w:vAlign w:val="bottom"/>
            <w:hideMark/>
          </w:tcPr>
          <w:p w:rsidR="007B7A33" w:rsidRPr="00D65787" w:rsidRDefault="007B7A33" w:rsidP="00554AA1">
            <w:pPr>
              <w:spacing w:line="240" w:lineRule="auto"/>
              <w:rPr>
                <w:rFonts w:eastAsia="Times New Roman" w:cs="Calibri"/>
                <w:color w:val="000000"/>
              </w:rPr>
            </w:pPr>
          </w:p>
        </w:tc>
      </w:tr>
      <w:tr w:rsidR="000A7B76" w:rsidRPr="00D65787" w:rsidTr="00161D1A">
        <w:trPr>
          <w:trHeight w:hRule="exact" w:val="288"/>
          <w:jc w:val="center"/>
        </w:trPr>
        <w:tc>
          <w:tcPr>
            <w:tcW w:w="4507" w:type="pct"/>
            <w:gridSpan w:val="6"/>
            <w:tcBorders>
              <w:top w:val="nil"/>
              <w:left w:val="nil"/>
              <w:bottom w:val="nil"/>
              <w:right w:val="nil"/>
            </w:tcBorders>
            <w:shd w:val="clear" w:color="auto" w:fill="auto"/>
            <w:noWrap/>
            <w:vAlign w:val="bottom"/>
          </w:tcPr>
          <w:p w:rsidR="000A7B76" w:rsidRPr="00D65787" w:rsidRDefault="000A7B76" w:rsidP="00554AA1">
            <w:pPr>
              <w:spacing w:line="240" w:lineRule="auto"/>
              <w:rPr>
                <w:rFonts w:eastAsia="Times New Roman" w:cs="Calibri"/>
                <w:color w:val="000000"/>
                <w:sz w:val="18"/>
                <w:szCs w:val="18"/>
              </w:rPr>
            </w:pPr>
          </w:p>
        </w:tc>
        <w:tc>
          <w:tcPr>
            <w:tcW w:w="493" w:type="pct"/>
            <w:tcBorders>
              <w:top w:val="nil"/>
              <w:left w:val="nil"/>
              <w:bottom w:val="nil"/>
              <w:right w:val="nil"/>
            </w:tcBorders>
            <w:shd w:val="clear" w:color="auto" w:fill="auto"/>
            <w:noWrap/>
            <w:vAlign w:val="bottom"/>
          </w:tcPr>
          <w:p w:rsidR="000A7B76" w:rsidRPr="00D65787" w:rsidRDefault="000A7B76" w:rsidP="00554AA1">
            <w:pPr>
              <w:spacing w:line="240" w:lineRule="auto"/>
              <w:rPr>
                <w:rFonts w:eastAsia="Times New Roman" w:cs="Calibri"/>
                <w:color w:val="000000"/>
              </w:rPr>
            </w:pPr>
          </w:p>
        </w:tc>
      </w:tr>
    </w:tbl>
    <w:p w:rsidR="00146380" w:rsidRDefault="00146380" w:rsidP="00161D1A">
      <w:pPr>
        <w:pStyle w:val="Heading8"/>
        <w:spacing w:after="120"/>
      </w:pPr>
      <w:bookmarkStart w:id="1004" w:name="_Toc474639349"/>
      <w:r w:rsidRPr="008F085D">
        <w:t xml:space="preserve">Table </w:t>
      </w:r>
      <w:r>
        <w:t>B</w:t>
      </w:r>
      <w:r w:rsidRPr="008F085D">
        <w:t>5.</w:t>
      </w:r>
      <w:r>
        <w:t>1</w:t>
      </w:r>
      <w:r w:rsidR="00D64D1A">
        <w:t>1</w:t>
      </w:r>
      <w:r w:rsidRPr="008F085D">
        <w:t xml:space="preserve">:  </w:t>
      </w:r>
      <w:r w:rsidR="009514C2">
        <w:t xml:space="preserve">Migration Dynamics </w:t>
      </w:r>
      <w:r>
        <w:t>BAU</w:t>
      </w:r>
      <w:r w:rsidRPr="008F085D">
        <w:t xml:space="preserve"> </w:t>
      </w:r>
      <w:r w:rsidR="00D64D1A">
        <w:t>Policy Option</w:t>
      </w:r>
      <w:r w:rsidR="009514C2">
        <w:t xml:space="preserve">, </w:t>
      </w:r>
      <w:r>
        <w:t>FY</w:t>
      </w:r>
      <w:r w:rsidRPr="008F085D">
        <w:t xml:space="preserve">2016 </w:t>
      </w:r>
      <w:r>
        <w:t>–</w:t>
      </w:r>
      <w:r w:rsidRPr="008F085D">
        <w:t xml:space="preserve"> </w:t>
      </w:r>
      <w:r>
        <w:t>FY</w:t>
      </w:r>
      <w:r w:rsidRPr="008F085D">
        <w:t>2041</w:t>
      </w:r>
      <w:bookmarkEnd w:id="1004"/>
    </w:p>
    <w:tbl>
      <w:tblPr>
        <w:tblW w:w="5000" w:type="pct"/>
        <w:jc w:val="center"/>
        <w:tblLook w:val="04A0"/>
      </w:tblPr>
      <w:tblGrid>
        <w:gridCol w:w="4092"/>
        <w:gridCol w:w="988"/>
        <w:gridCol w:w="988"/>
        <w:gridCol w:w="989"/>
        <w:gridCol w:w="989"/>
        <w:gridCol w:w="991"/>
        <w:gridCol w:w="989"/>
      </w:tblGrid>
      <w:tr w:rsidR="00D64D1A" w:rsidRPr="00D65787" w:rsidTr="00161D1A">
        <w:trPr>
          <w:trHeight w:hRule="exact" w:val="288"/>
          <w:jc w:val="center"/>
        </w:trPr>
        <w:tc>
          <w:tcPr>
            <w:tcW w:w="2041" w:type="pct"/>
            <w:tcBorders>
              <w:top w:val="nil"/>
              <w:left w:val="nil"/>
              <w:bottom w:val="single" w:sz="8" w:space="0" w:color="auto"/>
              <w:right w:val="nil"/>
            </w:tcBorders>
            <w:shd w:val="clear" w:color="auto" w:fill="auto"/>
            <w:noWrap/>
            <w:vAlign w:val="bottom"/>
            <w:hideMark/>
          </w:tcPr>
          <w:p w:rsidR="00D64D1A" w:rsidRPr="00D65787" w:rsidRDefault="00D64D1A" w:rsidP="00554AA1">
            <w:pPr>
              <w:spacing w:line="240" w:lineRule="auto"/>
              <w:rPr>
                <w:rFonts w:eastAsia="Times New Roman" w:cs="Calibri"/>
                <w:color w:val="000000"/>
              </w:rPr>
            </w:pPr>
            <w:r w:rsidRPr="00D65787">
              <w:rPr>
                <w:rFonts w:eastAsia="Times New Roman" w:cs="Calibri"/>
                <w:color w:val="000000"/>
              </w:rPr>
              <w:t> </w:t>
            </w:r>
          </w:p>
        </w:tc>
        <w:tc>
          <w:tcPr>
            <w:tcW w:w="493" w:type="pct"/>
            <w:tcBorders>
              <w:top w:val="nil"/>
              <w:left w:val="nil"/>
              <w:bottom w:val="single" w:sz="8" w:space="0" w:color="auto"/>
              <w:right w:val="nil"/>
            </w:tcBorders>
            <w:shd w:val="clear" w:color="auto" w:fill="auto"/>
            <w:noWrap/>
            <w:vAlign w:val="bottom"/>
            <w:hideMark/>
          </w:tcPr>
          <w:p w:rsidR="00D64D1A" w:rsidRPr="00D65787" w:rsidRDefault="00D64D1A"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FY16</w:t>
            </w:r>
          </w:p>
        </w:tc>
        <w:tc>
          <w:tcPr>
            <w:tcW w:w="493" w:type="pct"/>
            <w:tcBorders>
              <w:top w:val="nil"/>
              <w:left w:val="nil"/>
              <w:bottom w:val="single" w:sz="8" w:space="0" w:color="auto"/>
              <w:right w:val="nil"/>
            </w:tcBorders>
            <w:shd w:val="clear" w:color="auto" w:fill="auto"/>
            <w:noWrap/>
            <w:vAlign w:val="bottom"/>
            <w:hideMark/>
          </w:tcPr>
          <w:p w:rsidR="00D64D1A" w:rsidRPr="00D65787" w:rsidRDefault="00D64D1A"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FY21</w:t>
            </w:r>
          </w:p>
        </w:tc>
        <w:tc>
          <w:tcPr>
            <w:tcW w:w="493" w:type="pct"/>
            <w:tcBorders>
              <w:top w:val="nil"/>
              <w:left w:val="nil"/>
              <w:bottom w:val="single" w:sz="8" w:space="0" w:color="auto"/>
              <w:right w:val="nil"/>
            </w:tcBorders>
            <w:shd w:val="clear" w:color="auto" w:fill="auto"/>
            <w:noWrap/>
            <w:vAlign w:val="bottom"/>
            <w:hideMark/>
          </w:tcPr>
          <w:p w:rsidR="00D64D1A" w:rsidRPr="00D65787" w:rsidRDefault="00D64D1A"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FY26</w:t>
            </w:r>
          </w:p>
        </w:tc>
        <w:tc>
          <w:tcPr>
            <w:tcW w:w="493" w:type="pct"/>
            <w:tcBorders>
              <w:top w:val="nil"/>
              <w:left w:val="nil"/>
              <w:bottom w:val="single" w:sz="8" w:space="0" w:color="auto"/>
              <w:right w:val="nil"/>
            </w:tcBorders>
            <w:shd w:val="clear" w:color="auto" w:fill="auto"/>
            <w:noWrap/>
            <w:vAlign w:val="bottom"/>
            <w:hideMark/>
          </w:tcPr>
          <w:p w:rsidR="00D64D1A" w:rsidRPr="00D65787" w:rsidRDefault="00D64D1A"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FY31</w:t>
            </w:r>
          </w:p>
        </w:tc>
        <w:tc>
          <w:tcPr>
            <w:tcW w:w="494" w:type="pct"/>
            <w:tcBorders>
              <w:top w:val="nil"/>
              <w:left w:val="nil"/>
              <w:bottom w:val="single" w:sz="8" w:space="0" w:color="auto"/>
              <w:right w:val="nil"/>
            </w:tcBorders>
            <w:shd w:val="clear" w:color="auto" w:fill="auto"/>
            <w:noWrap/>
            <w:vAlign w:val="bottom"/>
            <w:hideMark/>
          </w:tcPr>
          <w:p w:rsidR="00D64D1A" w:rsidRPr="00D65787" w:rsidRDefault="00D64D1A"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FY36</w:t>
            </w:r>
          </w:p>
        </w:tc>
        <w:tc>
          <w:tcPr>
            <w:tcW w:w="493" w:type="pct"/>
            <w:tcBorders>
              <w:top w:val="nil"/>
              <w:left w:val="nil"/>
              <w:bottom w:val="single" w:sz="8" w:space="0" w:color="auto"/>
              <w:right w:val="nil"/>
            </w:tcBorders>
            <w:shd w:val="clear" w:color="auto" w:fill="auto"/>
            <w:noWrap/>
            <w:vAlign w:val="bottom"/>
            <w:hideMark/>
          </w:tcPr>
          <w:p w:rsidR="00D64D1A" w:rsidRPr="00D65787" w:rsidRDefault="00D64D1A"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FY41</w:t>
            </w:r>
          </w:p>
        </w:tc>
      </w:tr>
      <w:tr w:rsidR="00D64D1A"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Region:</w:t>
            </w:r>
          </w:p>
        </w:tc>
        <w:tc>
          <w:tcPr>
            <w:tcW w:w="2959" w:type="pct"/>
            <w:gridSpan w:val="6"/>
            <w:tcBorders>
              <w:top w:val="single" w:sz="8" w:space="0" w:color="auto"/>
              <w:left w:val="nil"/>
              <w:bottom w:val="nil"/>
              <w:right w:val="nil"/>
            </w:tcBorders>
            <w:shd w:val="clear" w:color="auto" w:fill="auto"/>
            <w:noWrap/>
            <w:vAlign w:val="center"/>
            <w:hideMark/>
          </w:tcPr>
          <w:p w:rsidR="00D64D1A" w:rsidRPr="00D65787" w:rsidRDefault="00D64D1A" w:rsidP="00554AA1">
            <w:pPr>
              <w:spacing w:line="240" w:lineRule="auto"/>
              <w:jc w:val="center"/>
              <w:rPr>
                <w:rFonts w:eastAsia="Times New Roman" w:cs="Calibri"/>
                <w:b/>
                <w:bCs/>
                <w:color w:val="000000"/>
                <w:sz w:val="18"/>
                <w:szCs w:val="18"/>
              </w:rPr>
            </w:pPr>
            <w:r w:rsidRPr="00D65787">
              <w:rPr>
                <w:rFonts w:eastAsia="Times New Roman" w:cs="Calibri"/>
                <w:b/>
                <w:bCs/>
                <w:color w:val="000000"/>
                <w:sz w:val="18"/>
                <w:szCs w:val="18"/>
              </w:rPr>
              <w:t>( In millions)</w:t>
            </w:r>
          </w:p>
        </w:tc>
      </w:tr>
      <w:tr w:rsidR="00D64D1A" w:rsidRPr="00D65787" w:rsidTr="00161D1A">
        <w:trPr>
          <w:trHeight w:hRule="exact" w:val="288"/>
          <w:jc w:val="center"/>
        </w:trPr>
        <w:tc>
          <w:tcPr>
            <w:tcW w:w="2041" w:type="pct"/>
            <w:tcBorders>
              <w:top w:val="nil"/>
              <w:left w:val="nil"/>
              <w:bottom w:val="nil"/>
              <w:right w:val="nil"/>
            </w:tcBorders>
            <w:shd w:val="clear" w:color="auto" w:fill="auto"/>
            <w:noWrap/>
            <w:vAlign w:val="center"/>
            <w:hideMark/>
          </w:tcPr>
          <w:p w:rsidR="00D64D1A" w:rsidRPr="00D65787" w:rsidRDefault="00D64D1A" w:rsidP="00554AA1">
            <w:pPr>
              <w:spacing w:line="240" w:lineRule="auto"/>
              <w:rPr>
                <w:rFonts w:eastAsia="Times New Roman"/>
                <w:color w:val="000000"/>
                <w:sz w:val="18"/>
                <w:szCs w:val="18"/>
              </w:rPr>
            </w:pPr>
            <w:r w:rsidRPr="00D65787">
              <w:rPr>
                <w:rFonts w:eastAsia="Times New Roman"/>
                <w:color w:val="000000"/>
                <w:sz w:val="18"/>
                <w:szCs w:val="18"/>
              </w:rPr>
              <w:t>Haor</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c>
          <w:tcPr>
            <w:tcW w:w="494"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0.3</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0.3</w:t>
            </w:r>
          </w:p>
        </w:tc>
      </w:tr>
      <w:tr w:rsidR="00D64D1A"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olor w:val="000000"/>
                <w:sz w:val="18"/>
                <w:szCs w:val="18"/>
              </w:rPr>
            </w:pPr>
            <w:r w:rsidRPr="00D65787">
              <w:rPr>
                <w:rFonts w:eastAsia="Times New Roman"/>
                <w:color w:val="000000"/>
                <w:sz w:val="18"/>
                <w:szCs w:val="18"/>
              </w:rPr>
              <w:t>Coastal</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-0.5</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-2.3</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-4.2</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-6.3</w:t>
            </w:r>
          </w:p>
        </w:tc>
        <w:tc>
          <w:tcPr>
            <w:tcW w:w="494"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-8.5</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-10.7</w:t>
            </w:r>
          </w:p>
        </w:tc>
      </w:tr>
      <w:tr w:rsidR="00D64D1A"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olor w:val="000000"/>
                <w:sz w:val="18"/>
                <w:szCs w:val="18"/>
              </w:rPr>
            </w:pPr>
            <w:r w:rsidRPr="00D65787">
              <w:rPr>
                <w:rFonts w:eastAsia="Times New Roman"/>
                <w:color w:val="000000"/>
                <w:sz w:val="18"/>
                <w:szCs w:val="18"/>
              </w:rPr>
              <w:t>CTG Hill</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94"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r>
      <w:tr w:rsidR="00D64D1A"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olor w:val="000000"/>
                <w:sz w:val="18"/>
                <w:szCs w:val="18"/>
              </w:rPr>
            </w:pPr>
            <w:r w:rsidRPr="00D65787">
              <w:rPr>
                <w:rFonts w:eastAsia="Times New Roman"/>
                <w:color w:val="000000"/>
                <w:sz w:val="18"/>
                <w:szCs w:val="18"/>
              </w:rPr>
              <w:t xml:space="preserve">Urban </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4.0</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7.6</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11.4</w:t>
            </w:r>
          </w:p>
        </w:tc>
        <w:tc>
          <w:tcPr>
            <w:tcW w:w="494"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15.4</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19.4</w:t>
            </w:r>
          </w:p>
        </w:tc>
      </w:tr>
      <w:tr w:rsidR="00D64D1A"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olor w:val="000000"/>
                <w:sz w:val="18"/>
                <w:szCs w:val="18"/>
              </w:rPr>
            </w:pPr>
            <w:r w:rsidRPr="00D65787">
              <w:rPr>
                <w:rFonts w:eastAsia="Times New Roman"/>
                <w:color w:val="000000"/>
                <w:sz w:val="18"/>
                <w:szCs w:val="18"/>
              </w:rPr>
              <w:t>Drought Prone</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w:t>
            </w:r>
          </w:p>
        </w:tc>
        <w:tc>
          <w:tcPr>
            <w:tcW w:w="494"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-2.7</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-3.4</w:t>
            </w:r>
          </w:p>
        </w:tc>
      </w:tr>
      <w:tr w:rsidR="00D64D1A"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olor w:val="000000"/>
                <w:sz w:val="18"/>
                <w:szCs w:val="18"/>
              </w:rPr>
            </w:pPr>
            <w:r w:rsidRPr="00D65787">
              <w:rPr>
                <w:rFonts w:eastAsia="Times New Roman"/>
                <w:color w:val="000000"/>
                <w:sz w:val="18"/>
                <w:szCs w:val="18"/>
              </w:rPr>
              <w:t>Rivers &amp; Estuaries</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-0.3</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-1.6</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-2.9</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-4.3</w:t>
            </w:r>
          </w:p>
        </w:tc>
        <w:tc>
          <w:tcPr>
            <w:tcW w:w="494"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w:t>
            </w:r>
          </w:p>
        </w:tc>
        <w:tc>
          <w:tcPr>
            <w:tcW w:w="493" w:type="pct"/>
            <w:tcBorders>
              <w:top w:val="nil"/>
              <w:left w:val="nil"/>
              <w:bottom w:val="nil"/>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-7.3</w:t>
            </w:r>
          </w:p>
        </w:tc>
      </w:tr>
      <w:tr w:rsidR="00D64D1A" w:rsidRPr="00D65787" w:rsidTr="00161D1A">
        <w:trPr>
          <w:trHeight w:hRule="exact" w:val="288"/>
          <w:jc w:val="center"/>
        </w:trPr>
        <w:tc>
          <w:tcPr>
            <w:tcW w:w="2041" w:type="pct"/>
            <w:tcBorders>
              <w:top w:val="nil"/>
              <w:left w:val="nil"/>
              <w:bottom w:val="single" w:sz="8" w:space="0" w:color="auto"/>
              <w:right w:val="nil"/>
            </w:tcBorders>
            <w:shd w:val="clear" w:color="auto" w:fill="auto"/>
            <w:noWrap/>
            <w:vAlign w:val="bottom"/>
            <w:hideMark/>
          </w:tcPr>
          <w:p w:rsidR="00D64D1A" w:rsidRPr="00D65787" w:rsidRDefault="00D64D1A" w:rsidP="00554AA1">
            <w:pPr>
              <w:spacing w:line="240" w:lineRule="auto"/>
              <w:rPr>
                <w:rFonts w:eastAsia="Times New Roman" w:cs="Calibri"/>
                <w:sz w:val="18"/>
                <w:szCs w:val="18"/>
              </w:rPr>
            </w:pPr>
            <w:r w:rsidRPr="00D65787">
              <w:rPr>
                <w:rFonts w:eastAsia="Times New Roman" w:cs="Calibri"/>
                <w:sz w:val="18"/>
                <w:szCs w:val="18"/>
              </w:rPr>
              <w:t>Less Risky Region</w:t>
            </w:r>
          </w:p>
        </w:tc>
        <w:tc>
          <w:tcPr>
            <w:tcW w:w="493" w:type="pct"/>
            <w:tcBorders>
              <w:top w:val="nil"/>
              <w:left w:val="nil"/>
              <w:bottom w:val="single" w:sz="8" w:space="0" w:color="auto"/>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c>
          <w:tcPr>
            <w:tcW w:w="493" w:type="pct"/>
            <w:tcBorders>
              <w:top w:val="nil"/>
              <w:left w:val="nil"/>
              <w:bottom w:val="single" w:sz="8" w:space="0" w:color="auto"/>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0.5</w:t>
            </w:r>
          </w:p>
        </w:tc>
        <w:tc>
          <w:tcPr>
            <w:tcW w:w="493" w:type="pct"/>
            <w:tcBorders>
              <w:top w:val="nil"/>
              <w:left w:val="nil"/>
              <w:bottom w:val="single" w:sz="8" w:space="0" w:color="auto"/>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w:t>
            </w:r>
          </w:p>
        </w:tc>
        <w:tc>
          <w:tcPr>
            <w:tcW w:w="493" w:type="pct"/>
            <w:tcBorders>
              <w:top w:val="nil"/>
              <w:left w:val="nil"/>
              <w:bottom w:val="single" w:sz="8" w:space="0" w:color="auto"/>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0.9</w:t>
            </w:r>
          </w:p>
        </w:tc>
        <w:tc>
          <w:tcPr>
            <w:tcW w:w="494" w:type="pct"/>
            <w:tcBorders>
              <w:top w:val="nil"/>
              <w:left w:val="nil"/>
              <w:bottom w:val="single" w:sz="8" w:space="0" w:color="auto"/>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w:t>
            </w:r>
          </w:p>
        </w:tc>
        <w:tc>
          <w:tcPr>
            <w:tcW w:w="493" w:type="pct"/>
            <w:tcBorders>
              <w:top w:val="nil"/>
              <w:left w:val="nil"/>
              <w:bottom w:val="single" w:sz="8" w:space="0" w:color="auto"/>
              <w:right w:val="nil"/>
            </w:tcBorders>
            <w:shd w:val="clear" w:color="auto" w:fill="auto"/>
            <w:noWrap/>
            <w:vAlign w:val="center"/>
            <w:hideMark/>
          </w:tcPr>
          <w:p w:rsidR="00D64D1A" w:rsidRPr="00D65787" w:rsidRDefault="00D64D1A"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w:t>
            </w:r>
          </w:p>
        </w:tc>
      </w:tr>
      <w:tr w:rsidR="00D64D1A" w:rsidRPr="00D65787" w:rsidTr="00161D1A">
        <w:trPr>
          <w:trHeight w:hRule="exact" w:val="288"/>
          <w:jc w:val="center"/>
        </w:trPr>
        <w:tc>
          <w:tcPr>
            <w:tcW w:w="2041"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D65787">
              <w:rPr>
                <w:rFonts w:eastAsia="Times New Roman" w:cs="Calibri"/>
                <w:b/>
                <w:bCs/>
                <w:color w:val="000000"/>
                <w:sz w:val="18"/>
                <w:szCs w:val="18"/>
              </w:rPr>
              <w:t xml:space="preserve"> Projections</w:t>
            </w:r>
          </w:p>
        </w:tc>
        <w:tc>
          <w:tcPr>
            <w:tcW w:w="493"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color w:val="000000"/>
              </w:rPr>
            </w:pPr>
          </w:p>
        </w:tc>
        <w:tc>
          <w:tcPr>
            <w:tcW w:w="493"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color w:val="000000"/>
              </w:rPr>
            </w:pPr>
          </w:p>
        </w:tc>
        <w:tc>
          <w:tcPr>
            <w:tcW w:w="493"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color w:val="000000"/>
              </w:rPr>
            </w:pPr>
          </w:p>
        </w:tc>
        <w:tc>
          <w:tcPr>
            <w:tcW w:w="493"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color w:val="000000"/>
              </w:rPr>
            </w:pPr>
          </w:p>
        </w:tc>
        <w:tc>
          <w:tcPr>
            <w:tcW w:w="494"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color w:val="000000"/>
              </w:rPr>
            </w:pPr>
          </w:p>
        </w:tc>
        <w:tc>
          <w:tcPr>
            <w:tcW w:w="493"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color w:val="000000"/>
              </w:rPr>
            </w:pPr>
          </w:p>
        </w:tc>
      </w:tr>
      <w:tr w:rsidR="00D64D1A" w:rsidRPr="00D65787" w:rsidTr="00161D1A">
        <w:trPr>
          <w:trHeight w:hRule="exact" w:val="288"/>
          <w:jc w:val="center"/>
        </w:trPr>
        <w:tc>
          <w:tcPr>
            <w:tcW w:w="4507" w:type="pct"/>
            <w:gridSpan w:val="6"/>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color w:val="000000"/>
                <w:sz w:val="18"/>
                <w:szCs w:val="18"/>
              </w:rPr>
            </w:pPr>
            <w:r w:rsidRPr="00D65787">
              <w:rPr>
                <w:rFonts w:eastAsia="Times New Roman" w:cs="Calibri"/>
                <w:color w:val="000000"/>
                <w:sz w:val="18"/>
                <w:szCs w:val="18"/>
              </w:rPr>
              <w:t>* All negative values represents migration to urban region</w:t>
            </w:r>
          </w:p>
        </w:tc>
        <w:tc>
          <w:tcPr>
            <w:tcW w:w="493" w:type="pct"/>
            <w:tcBorders>
              <w:top w:val="nil"/>
              <w:left w:val="nil"/>
              <w:bottom w:val="nil"/>
              <w:right w:val="nil"/>
            </w:tcBorders>
            <w:shd w:val="clear" w:color="auto" w:fill="auto"/>
            <w:noWrap/>
            <w:vAlign w:val="bottom"/>
            <w:hideMark/>
          </w:tcPr>
          <w:p w:rsidR="00D64D1A" w:rsidRPr="00D65787" w:rsidRDefault="00D64D1A" w:rsidP="00554AA1">
            <w:pPr>
              <w:spacing w:line="240" w:lineRule="auto"/>
              <w:rPr>
                <w:rFonts w:eastAsia="Times New Roman" w:cs="Calibri"/>
                <w:color w:val="000000"/>
              </w:rPr>
            </w:pPr>
          </w:p>
        </w:tc>
      </w:tr>
    </w:tbl>
    <w:p w:rsidR="00350490" w:rsidRDefault="00350490" w:rsidP="00161D1A">
      <w:pPr>
        <w:spacing w:after="0"/>
      </w:pPr>
    </w:p>
    <w:p w:rsidR="000A7B76" w:rsidRDefault="000A7B76">
      <w:pPr>
        <w:rPr>
          <w:rFonts w:cs="Times New Roman"/>
          <w:b/>
        </w:rPr>
      </w:pPr>
      <w:r>
        <w:br w:type="page"/>
      </w:r>
    </w:p>
    <w:p w:rsidR="00146380" w:rsidRDefault="009514C2" w:rsidP="00161D1A">
      <w:pPr>
        <w:pStyle w:val="Heading8"/>
        <w:spacing w:after="120"/>
      </w:pPr>
      <w:bookmarkStart w:id="1005" w:name="_Toc474639350"/>
      <w:r>
        <w:lastRenderedPageBreak/>
        <w:t>Table B5.12</w:t>
      </w:r>
      <w:r w:rsidR="00146380">
        <w:t xml:space="preserve">: </w:t>
      </w:r>
      <w:r w:rsidR="00146380" w:rsidRPr="008F085D">
        <w:t>M</w:t>
      </w:r>
      <w:r>
        <w:t>oderate Poverty Dynamics,</w:t>
      </w:r>
      <w:r w:rsidR="00146380" w:rsidRPr="008F085D">
        <w:t xml:space="preserve"> </w:t>
      </w:r>
      <w:r w:rsidR="00146380">
        <w:t>FY</w:t>
      </w:r>
      <w:r w:rsidR="00146380" w:rsidRPr="008F085D">
        <w:t>2016 -</w:t>
      </w:r>
      <w:r w:rsidR="00146380">
        <w:t>FY</w:t>
      </w:r>
      <w:r w:rsidR="00146380" w:rsidRPr="008F085D">
        <w:t>2041</w:t>
      </w:r>
      <w:bookmarkEnd w:id="1005"/>
    </w:p>
    <w:tbl>
      <w:tblPr>
        <w:tblW w:w="5000" w:type="pct"/>
        <w:jc w:val="center"/>
        <w:tblLook w:val="04A0"/>
      </w:tblPr>
      <w:tblGrid>
        <w:gridCol w:w="4747"/>
        <w:gridCol w:w="881"/>
        <w:gridCol w:w="880"/>
        <w:gridCol w:w="880"/>
        <w:gridCol w:w="880"/>
        <w:gridCol w:w="880"/>
        <w:gridCol w:w="878"/>
      </w:tblGrid>
      <w:tr w:rsidR="00334013" w:rsidRPr="00D65787" w:rsidTr="00161D1A">
        <w:trPr>
          <w:trHeight w:hRule="exact" w:val="288"/>
          <w:jc w:val="center"/>
        </w:trPr>
        <w:tc>
          <w:tcPr>
            <w:tcW w:w="2367" w:type="pct"/>
            <w:tcBorders>
              <w:top w:val="nil"/>
              <w:left w:val="nil"/>
              <w:bottom w:val="single" w:sz="8" w:space="0" w:color="auto"/>
              <w:right w:val="nil"/>
            </w:tcBorders>
            <w:shd w:val="clear" w:color="auto" w:fill="auto"/>
            <w:noWrap/>
            <w:vAlign w:val="center"/>
            <w:hideMark/>
          </w:tcPr>
          <w:p w:rsidR="00334013" w:rsidRPr="00D65787" w:rsidRDefault="00334013" w:rsidP="00554AA1">
            <w:pPr>
              <w:spacing w:line="240" w:lineRule="auto"/>
              <w:rPr>
                <w:rFonts w:eastAsia="Times New Roman" w:cs="Calibri"/>
                <w:b/>
                <w:bCs/>
                <w:sz w:val="18"/>
                <w:szCs w:val="18"/>
              </w:rPr>
            </w:pPr>
            <w:r w:rsidRPr="00D65787">
              <w:rPr>
                <w:rFonts w:eastAsia="Times New Roman" w:cs="Calibri"/>
                <w:b/>
                <w:bCs/>
                <w:sz w:val="18"/>
                <w:szCs w:val="18"/>
              </w:rPr>
              <w:t>Fiscal Year</w:t>
            </w:r>
          </w:p>
        </w:tc>
        <w:tc>
          <w:tcPr>
            <w:tcW w:w="439" w:type="pct"/>
            <w:tcBorders>
              <w:top w:val="nil"/>
              <w:left w:val="nil"/>
              <w:bottom w:val="single" w:sz="8" w:space="0" w:color="auto"/>
              <w:right w:val="nil"/>
            </w:tcBorders>
            <w:shd w:val="clear" w:color="auto" w:fill="auto"/>
            <w:noWrap/>
            <w:vAlign w:val="center"/>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FY16</w:t>
            </w:r>
          </w:p>
        </w:tc>
        <w:tc>
          <w:tcPr>
            <w:tcW w:w="439" w:type="pct"/>
            <w:tcBorders>
              <w:top w:val="nil"/>
              <w:left w:val="nil"/>
              <w:bottom w:val="single" w:sz="8" w:space="0" w:color="auto"/>
              <w:right w:val="nil"/>
            </w:tcBorders>
            <w:shd w:val="clear" w:color="auto" w:fill="auto"/>
            <w:noWrap/>
            <w:vAlign w:val="center"/>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FY21</w:t>
            </w:r>
          </w:p>
        </w:tc>
        <w:tc>
          <w:tcPr>
            <w:tcW w:w="439" w:type="pct"/>
            <w:tcBorders>
              <w:top w:val="nil"/>
              <w:left w:val="nil"/>
              <w:bottom w:val="single" w:sz="8" w:space="0" w:color="auto"/>
              <w:right w:val="nil"/>
            </w:tcBorders>
            <w:shd w:val="clear" w:color="auto" w:fill="auto"/>
            <w:noWrap/>
            <w:vAlign w:val="center"/>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FY26</w:t>
            </w:r>
          </w:p>
        </w:tc>
        <w:tc>
          <w:tcPr>
            <w:tcW w:w="439" w:type="pct"/>
            <w:tcBorders>
              <w:top w:val="nil"/>
              <w:left w:val="nil"/>
              <w:bottom w:val="single" w:sz="8" w:space="0" w:color="auto"/>
              <w:right w:val="nil"/>
            </w:tcBorders>
            <w:shd w:val="clear" w:color="auto" w:fill="auto"/>
            <w:noWrap/>
            <w:vAlign w:val="center"/>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FY31</w:t>
            </w:r>
          </w:p>
        </w:tc>
        <w:tc>
          <w:tcPr>
            <w:tcW w:w="439" w:type="pct"/>
            <w:tcBorders>
              <w:top w:val="nil"/>
              <w:left w:val="nil"/>
              <w:bottom w:val="single" w:sz="8" w:space="0" w:color="auto"/>
              <w:right w:val="nil"/>
            </w:tcBorders>
            <w:shd w:val="clear" w:color="auto" w:fill="auto"/>
            <w:noWrap/>
            <w:vAlign w:val="center"/>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FY36</w:t>
            </w:r>
          </w:p>
        </w:tc>
        <w:tc>
          <w:tcPr>
            <w:tcW w:w="440" w:type="pct"/>
            <w:tcBorders>
              <w:top w:val="nil"/>
              <w:left w:val="nil"/>
              <w:bottom w:val="single" w:sz="8" w:space="0" w:color="auto"/>
              <w:right w:val="nil"/>
            </w:tcBorders>
            <w:shd w:val="clear" w:color="auto" w:fill="auto"/>
            <w:noWrap/>
            <w:vAlign w:val="center"/>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FY41</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center"/>
            <w:hideMark/>
          </w:tcPr>
          <w:p w:rsidR="00334013" w:rsidRPr="00D65787" w:rsidRDefault="009514C2" w:rsidP="00554AA1">
            <w:pPr>
              <w:spacing w:line="240" w:lineRule="auto"/>
              <w:rPr>
                <w:rFonts w:eastAsia="Times New Roman" w:cs="Calibri"/>
                <w:b/>
                <w:bCs/>
                <w:sz w:val="18"/>
                <w:szCs w:val="18"/>
              </w:rPr>
            </w:pPr>
            <w:r>
              <w:rPr>
                <w:rFonts w:eastAsia="Times New Roman" w:cs="Calibri"/>
                <w:b/>
                <w:bCs/>
                <w:sz w:val="18"/>
                <w:szCs w:val="18"/>
              </w:rPr>
              <w:t>Delta Plan Policy Option</w:t>
            </w:r>
            <w:r w:rsidR="00334013" w:rsidRPr="00D65787">
              <w:rPr>
                <w:rFonts w:eastAsia="Times New Roman" w:cs="Calibri"/>
                <w:b/>
                <w:bCs/>
                <w:sz w:val="18"/>
                <w:szCs w:val="18"/>
              </w:rPr>
              <w:t>:</w:t>
            </w:r>
          </w:p>
        </w:tc>
        <w:tc>
          <w:tcPr>
            <w:tcW w:w="2633" w:type="pct"/>
            <w:gridSpan w:val="6"/>
            <w:tcBorders>
              <w:top w:val="single" w:sz="8" w:space="0" w:color="auto"/>
              <w:left w:val="nil"/>
              <w:bottom w:val="nil"/>
              <w:right w:val="nil"/>
            </w:tcBorders>
            <w:shd w:val="clear" w:color="auto" w:fill="auto"/>
            <w:noWrap/>
            <w:vAlign w:val="center"/>
            <w:hideMark/>
          </w:tcPr>
          <w:p w:rsidR="00334013" w:rsidRPr="00D65787" w:rsidRDefault="00334013" w:rsidP="00554AA1">
            <w:pPr>
              <w:spacing w:line="240" w:lineRule="auto"/>
              <w:jc w:val="center"/>
              <w:rPr>
                <w:rFonts w:eastAsia="Times New Roman" w:cs="Calibri"/>
                <w:b/>
                <w:bCs/>
                <w:color w:val="000000"/>
                <w:sz w:val="18"/>
                <w:szCs w:val="18"/>
              </w:rPr>
            </w:pPr>
            <w:r w:rsidRPr="00D65787">
              <w:rPr>
                <w:rFonts w:eastAsia="Times New Roman" w:cs="Calibri"/>
                <w:b/>
                <w:bCs/>
                <w:color w:val="000000"/>
                <w:sz w:val="18"/>
                <w:szCs w:val="18"/>
              </w:rPr>
              <w:t>Head-Count Poverty Ratio (%)</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Haor Region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6.5</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4.9</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Coastal Region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22.8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7.3</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5.3</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Chittagong Hill Tract</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16.8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7.8</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5.9</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Urban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5.2</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4.0</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Drought</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4.7</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3.5</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River estuary</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29.3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23.0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10.0</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7.4</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Less risky area</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27.1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10.3</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7.8</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Bangladesh</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16.4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7.3</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5.5</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9514C2" w:rsidP="00554AA1">
            <w:pPr>
              <w:spacing w:line="240" w:lineRule="auto"/>
              <w:rPr>
                <w:rFonts w:eastAsia="Times New Roman" w:cs="Calibri"/>
                <w:b/>
                <w:bCs/>
                <w:sz w:val="18"/>
                <w:szCs w:val="18"/>
              </w:rPr>
            </w:pPr>
            <w:r>
              <w:rPr>
                <w:rFonts w:eastAsia="Times New Roman" w:cs="Calibri"/>
                <w:b/>
                <w:bCs/>
                <w:sz w:val="18"/>
                <w:szCs w:val="18"/>
              </w:rPr>
              <w:t>BAU Policy Option</w:t>
            </w:r>
            <w:r w:rsidR="00334013" w:rsidRPr="00D65787">
              <w:rPr>
                <w:rFonts w:eastAsia="Times New Roman" w:cs="Calibri"/>
                <w:b/>
                <w:bCs/>
                <w:sz w:val="18"/>
                <w:szCs w:val="18"/>
              </w:rPr>
              <w:t>:</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Haor Region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10.8</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10.1</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Coastal Region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22.8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12.7</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12.0</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Chittagong Hill Tract</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12.8</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12.1</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Urban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8.8</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8.4</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Drought</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7.6</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7.0</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River estuary</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29.3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24.5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16.9</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16.0</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Less risky area</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27.1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22.9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19.4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15.6</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14.6</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Bangladesh</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12.2</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11.5</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Assumptions:</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Elasticity Ratio(growth to poverty)</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 xml:space="preserve">       Delta Plan Scenario</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-0.71</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-0.71</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 xml:space="preserve">       BAU Scenario</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-0.60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-0.55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-0.50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-0.30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-0.25</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-0.20</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Real Per capita GDP Growth</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 xml:space="preserve">       Delta Plan Scenario</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7.7</w:t>
            </w: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8.0</w:t>
            </w:r>
          </w:p>
        </w:tc>
      </w:tr>
      <w:tr w:rsidR="00334013" w:rsidRPr="00D65787" w:rsidTr="00161D1A">
        <w:trPr>
          <w:trHeight w:hRule="exact" w:val="288"/>
          <w:jc w:val="center"/>
        </w:trPr>
        <w:tc>
          <w:tcPr>
            <w:tcW w:w="2367"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 xml:space="preserve">       BAU Scenario</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6.2</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6.2</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6.1</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w:t>
            </w:r>
          </w:p>
        </w:tc>
        <w:tc>
          <w:tcPr>
            <w:tcW w:w="440"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5.2</w:t>
            </w:r>
          </w:p>
        </w:tc>
      </w:tr>
      <w:tr w:rsidR="00334013" w:rsidRPr="00D65787" w:rsidTr="00161D1A">
        <w:trPr>
          <w:trHeight w:hRule="exact" w:val="288"/>
          <w:jc w:val="center"/>
        </w:trPr>
        <w:tc>
          <w:tcPr>
            <w:tcW w:w="23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D65787">
              <w:rPr>
                <w:rFonts w:eastAsia="Times New Roman" w:cs="Calibri"/>
                <w:b/>
                <w:bCs/>
                <w:color w:val="000000"/>
                <w:sz w:val="18"/>
                <w:szCs w:val="18"/>
              </w:rPr>
              <w:t xml:space="preserve"> Projections</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40"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bl>
    <w:p w:rsidR="000A7B76" w:rsidRDefault="000A7B76">
      <w:pPr>
        <w:rPr>
          <w:rFonts w:cs="Times New Roman"/>
          <w:b/>
        </w:rPr>
      </w:pPr>
      <w:r>
        <w:br w:type="page"/>
      </w:r>
    </w:p>
    <w:p w:rsidR="00146380" w:rsidRDefault="005E5367" w:rsidP="001B62D7">
      <w:pPr>
        <w:pStyle w:val="Heading8"/>
        <w:spacing w:after="120"/>
      </w:pPr>
      <w:bookmarkStart w:id="1006" w:name="_Toc474639351"/>
      <w:r>
        <w:lastRenderedPageBreak/>
        <w:t>Table B</w:t>
      </w:r>
      <w:r w:rsidR="00146380" w:rsidRPr="00383127">
        <w:t>5.13: Extreme Poverty Dynamics</w:t>
      </w:r>
      <w:r w:rsidR="009514C2">
        <w:t>,</w:t>
      </w:r>
      <w:r w:rsidR="000D54F5">
        <w:t xml:space="preserve"> 2016-2041</w:t>
      </w:r>
      <w:bookmarkEnd w:id="1006"/>
    </w:p>
    <w:tbl>
      <w:tblPr>
        <w:tblW w:w="5000" w:type="pct"/>
        <w:jc w:val="center"/>
        <w:tblLook w:val="04A0"/>
      </w:tblPr>
      <w:tblGrid>
        <w:gridCol w:w="4745"/>
        <w:gridCol w:w="881"/>
        <w:gridCol w:w="880"/>
        <w:gridCol w:w="880"/>
        <w:gridCol w:w="880"/>
        <w:gridCol w:w="880"/>
        <w:gridCol w:w="880"/>
      </w:tblGrid>
      <w:tr w:rsidR="00334013" w:rsidRPr="00D65787" w:rsidTr="001B62D7">
        <w:trPr>
          <w:trHeight w:hRule="exact" w:val="288"/>
          <w:jc w:val="center"/>
        </w:trPr>
        <w:tc>
          <w:tcPr>
            <w:tcW w:w="2366" w:type="pct"/>
            <w:tcBorders>
              <w:top w:val="nil"/>
              <w:left w:val="nil"/>
              <w:bottom w:val="single" w:sz="8" w:space="0" w:color="auto"/>
              <w:right w:val="nil"/>
            </w:tcBorders>
            <w:shd w:val="clear" w:color="auto" w:fill="auto"/>
            <w:noWrap/>
            <w:vAlign w:val="center"/>
            <w:hideMark/>
          </w:tcPr>
          <w:p w:rsidR="00334013" w:rsidRPr="00D65787" w:rsidRDefault="00334013" w:rsidP="00554AA1">
            <w:pPr>
              <w:spacing w:line="240" w:lineRule="auto"/>
              <w:rPr>
                <w:rFonts w:eastAsia="Times New Roman" w:cs="Calibri"/>
                <w:b/>
                <w:bCs/>
                <w:sz w:val="18"/>
                <w:szCs w:val="18"/>
              </w:rPr>
            </w:pPr>
            <w:r w:rsidRPr="00D65787">
              <w:rPr>
                <w:rFonts w:eastAsia="Times New Roman" w:cs="Calibri"/>
                <w:b/>
                <w:bCs/>
                <w:sz w:val="18"/>
                <w:szCs w:val="18"/>
              </w:rPr>
              <w:t>Fiscal Year</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FY16</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FY21</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FY26</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FY31</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FY36</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FY41</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center"/>
            <w:hideMark/>
          </w:tcPr>
          <w:p w:rsidR="00334013" w:rsidRPr="00D65787" w:rsidRDefault="00334013" w:rsidP="00554AA1">
            <w:pPr>
              <w:spacing w:line="240" w:lineRule="auto"/>
              <w:rPr>
                <w:rFonts w:eastAsia="Times New Roman" w:cs="Calibri"/>
                <w:b/>
                <w:bCs/>
                <w:sz w:val="18"/>
                <w:szCs w:val="18"/>
              </w:rPr>
            </w:pPr>
            <w:r w:rsidRPr="00D65787">
              <w:rPr>
                <w:rFonts w:eastAsia="Times New Roman" w:cs="Calibri"/>
                <w:b/>
                <w:bCs/>
                <w:sz w:val="18"/>
                <w:szCs w:val="18"/>
              </w:rPr>
              <w:t>Delta Plan Scenario:</w:t>
            </w:r>
          </w:p>
        </w:tc>
        <w:tc>
          <w:tcPr>
            <w:tcW w:w="2634" w:type="pct"/>
            <w:gridSpan w:val="6"/>
            <w:tcBorders>
              <w:top w:val="single" w:sz="8" w:space="0" w:color="auto"/>
              <w:left w:val="nil"/>
              <w:bottom w:val="nil"/>
              <w:right w:val="nil"/>
            </w:tcBorders>
            <w:shd w:val="clear" w:color="auto" w:fill="auto"/>
            <w:noWrap/>
            <w:vAlign w:val="center"/>
            <w:hideMark/>
          </w:tcPr>
          <w:p w:rsidR="00334013" w:rsidRPr="00D65787" w:rsidRDefault="00334013" w:rsidP="00554AA1">
            <w:pPr>
              <w:spacing w:line="240" w:lineRule="auto"/>
              <w:jc w:val="center"/>
              <w:rPr>
                <w:rFonts w:eastAsia="Times New Roman" w:cs="Calibri"/>
                <w:b/>
                <w:bCs/>
                <w:color w:val="000000"/>
                <w:sz w:val="18"/>
                <w:szCs w:val="18"/>
              </w:rPr>
            </w:pPr>
            <w:r w:rsidRPr="00D65787">
              <w:rPr>
                <w:rFonts w:eastAsia="Times New Roman" w:cs="Calibri"/>
                <w:b/>
                <w:bCs/>
                <w:color w:val="000000"/>
                <w:sz w:val="18"/>
                <w:szCs w:val="18"/>
              </w:rPr>
              <w:t>Head-Count Poverty Ratio (%)</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Haor Region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Coastal Region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22.1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Chittagong Hill Tract</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Urban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Drought</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River estuary</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28.4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Less risky area</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26.4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Bangladesh</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0.0</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b/>
                <w:bCs/>
                <w:sz w:val="18"/>
                <w:szCs w:val="18"/>
              </w:rPr>
            </w:pPr>
            <w:r w:rsidRPr="00D65787">
              <w:rPr>
                <w:rFonts w:eastAsia="Times New Roman" w:cs="Calibri"/>
                <w:b/>
                <w:bCs/>
                <w:sz w:val="18"/>
                <w:szCs w:val="18"/>
              </w:rPr>
              <w:t>BAU Scenario:</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Haor Region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3.9</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Coastal Region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22.1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4.5</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Chittagong Hill Tract</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11.3</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5.2</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Urban</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3.9</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Drought</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9.6</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2.3</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River estuary</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28.4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6.1</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Less risky area</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26.4</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19.5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5.1</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Bangladesh</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12.1</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2.6</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b/>
                <w:bCs/>
                <w:color w:val="000000"/>
                <w:sz w:val="18"/>
                <w:szCs w:val="18"/>
              </w:rPr>
            </w:pPr>
            <w:r w:rsidRPr="00D65787">
              <w:rPr>
                <w:rFonts w:eastAsia="Times New Roman" w:cs="Calibri"/>
                <w:b/>
                <w:bCs/>
                <w:color w:val="000000"/>
                <w:sz w:val="18"/>
                <w:szCs w:val="18"/>
              </w:rPr>
              <w:t>Assumptions:</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Elasticity Ratio(growth to poverty)</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 xml:space="preserve">       Delta Plan Scenario</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-3.7</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 xml:space="preserve">       BAU Scenario</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-1.00</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-1.00</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Real Per capita GDP Growth</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 xml:space="preserve">       Delta Plan Scenario</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6.9</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7.2</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7.5</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7.7</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8.0</w:t>
            </w:r>
          </w:p>
        </w:tc>
      </w:tr>
      <w:tr w:rsidR="00334013" w:rsidRPr="00D65787" w:rsidTr="001B62D7">
        <w:trPr>
          <w:trHeight w:hRule="exact" w:val="288"/>
          <w:jc w:val="center"/>
        </w:trPr>
        <w:tc>
          <w:tcPr>
            <w:tcW w:w="2366"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 xml:space="preserve">       BAU Scenario</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6.2</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6.2</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6.1</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w:t>
            </w:r>
          </w:p>
        </w:tc>
        <w:tc>
          <w:tcPr>
            <w:tcW w:w="43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5.2</w:t>
            </w:r>
          </w:p>
        </w:tc>
      </w:tr>
      <w:tr w:rsidR="00334013" w:rsidRPr="00D65787" w:rsidTr="001B62D7">
        <w:trPr>
          <w:trHeight w:hRule="exact" w:val="288"/>
          <w:jc w:val="center"/>
        </w:trPr>
        <w:tc>
          <w:tcPr>
            <w:tcW w:w="2366"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D65787">
              <w:rPr>
                <w:rFonts w:eastAsia="Times New Roman" w:cs="Calibri"/>
                <w:b/>
                <w:bCs/>
                <w:color w:val="000000"/>
                <w:sz w:val="18"/>
                <w:szCs w:val="18"/>
              </w:rPr>
              <w:t xml:space="preserve"> Projections</w:t>
            </w: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c>
          <w:tcPr>
            <w:tcW w:w="43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bl>
    <w:p w:rsidR="00146380" w:rsidRDefault="00146380" w:rsidP="00146380"/>
    <w:p w:rsidR="009514C2" w:rsidRPr="00184ACD" w:rsidRDefault="009514C2" w:rsidP="00146380"/>
    <w:p w:rsidR="00146380" w:rsidRDefault="00146380" w:rsidP="00161D1A">
      <w:pPr>
        <w:pStyle w:val="Heading8"/>
        <w:spacing w:after="120"/>
      </w:pPr>
      <w:bookmarkStart w:id="1007" w:name="_Toc474639352"/>
      <w:r w:rsidRPr="00383127">
        <w:t>Table B5.14:</w:t>
      </w:r>
      <w:r w:rsidR="001B62D7">
        <w:t xml:space="preserve"> </w:t>
      </w:r>
      <w:r w:rsidRPr="00383127">
        <w:t xml:space="preserve">Nominal GDP </w:t>
      </w:r>
      <w:r w:rsidR="00383127" w:rsidRPr="00383127">
        <w:t>per</w:t>
      </w:r>
      <w:r w:rsidR="009514C2">
        <w:t xml:space="preserve"> Capita, </w:t>
      </w:r>
      <w:r w:rsidRPr="00383127">
        <w:t>FY2016 -FY2041</w:t>
      </w:r>
      <w:bookmarkEnd w:id="1007"/>
    </w:p>
    <w:tbl>
      <w:tblPr>
        <w:tblW w:w="5000" w:type="pct"/>
        <w:jc w:val="center"/>
        <w:tblLook w:val="04A0"/>
      </w:tblPr>
      <w:tblGrid>
        <w:gridCol w:w="3945"/>
        <w:gridCol w:w="951"/>
        <w:gridCol w:w="950"/>
        <w:gridCol w:w="950"/>
        <w:gridCol w:w="950"/>
        <w:gridCol w:w="1139"/>
        <w:gridCol w:w="1141"/>
      </w:tblGrid>
      <w:tr w:rsidR="00334013" w:rsidRPr="00D65787" w:rsidTr="001B62D7">
        <w:trPr>
          <w:trHeight w:hRule="exact" w:val="288"/>
          <w:jc w:val="center"/>
        </w:trPr>
        <w:tc>
          <w:tcPr>
            <w:tcW w:w="1967"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 </w:t>
            </w:r>
          </w:p>
        </w:tc>
        <w:tc>
          <w:tcPr>
            <w:tcW w:w="474"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FY16</w:t>
            </w:r>
          </w:p>
        </w:tc>
        <w:tc>
          <w:tcPr>
            <w:tcW w:w="474"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FY21</w:t>
            </w:r>
          </w:p>
        </w:tc>
        <w:tc>
          <w:tcPr>
            <w:tcW w:w="474"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FY26</w:t>
            </w:r>
          </w:p>
        </w:tc>
        <w:tc>
          <w:tcPr>
            <w:tcW w:w="474"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FY31</w:t>
            </w:r>
          </w:p>
        </w:tc>
        <w:tc>
          <w:tcPr>
            <w:tcW w:w="568"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FY36</w:t>
            </w:r>
          </w:p>
        </w:tc>
        <w:tc>
          <w:tcPr>
            <w:tcW w:w="56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b/>
                <w:bCs/>
                <w:color w:val="000000"/>
                <w:sz w:val="18"/>
                <w:szCs w:val="18"/>
              </w:rPr>
            </w:pPr>
            <w:r w:rsidRPr="00D65787">
              <w:rPr>
                <w:rFonts w:eastAsia="Times New Roman" w:cs="Calibri"/>
                <w:b/>
                <w:bCs/>
                <w:color w:val="000000"/>
                <w:sz w:val="18"/>
                <w:szCs w:val="18"/>
              </w:rPr>
              <w:t>FY41</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center"/>
            <w:hideMark/>
          </w:tcPr>
          <w:p w:rsidR="00334013" w:rsidRPr="00D65787" w:rsidRDefault="000D54F5" w:rsidP="00554AA1">
            <w:pPr>
              <w:spacing w:line="240" w:lineRule="auto"/>
              <w:rPr>
                <w:rFonts w:eastAsia="Times New Roman" w:cs="Calibri"/>
                <w:b/>
                <w:bCs/>
                <w:sz w:val="18"/>
                <w:szCs w:val="18"/>
              </w:rPr>
            </w:pPr>
            <w:r>
              <w:rPr>
                <w:rFonts w:eastAsia="Times New Roman" w:cs="Calibri"/>
                <w:b/>
                <w:bCs/>
                <w:sz w:val="18"/>
                <w:szCs w:val="18"/>
              </w:rPr>
              <w:t>Delta Plan Policy Option</w:t>
            </w:r>
            <w:r w:rsidR="00334013" w:rsidRPr="00D65787">
              <w:rPr>
                <w:rFonts w:eastAsia="Times New Roman" w:cs="Calibri"/>
                <w:b/>
                <w:bCs/>
                <w:sz w:val="18"/>
                <w:szCs w:val="18"/>
              </w:rPr>
              <w:t>:</w:t>
            </w:r>
          </w:p>
        </w:tc>
        <w:tc>
          <w:tcPr>
            <w:tcW w:w="3033" w:type="pct"/>
            <w:gridSpan w:val="6"/>
            <w:tcBorders>
              <w:top w:val="single" w:sz="8" w:space="0" w:color="auto"/>
              <w:left w:val="nil"/>
              <w:bottom w:val="nil"/>
              <w:right w:val="nil"/>
            </w:tcBorders>
            <w:shd w:val="clear" w:color="auto" w:fill="auto"/>
            <w:noWrap/>
            <w:vAlign w:val="center"/>
            <w:hideMark/>
          </w:tcPr>
          <w:p w:rsidR="00334013" w:rsidRPr="00D65787" w:rsidRDefault="00334013" w:rsidP="00554AA1">
            <w:pPr>
              <w:spacing w:line="240" w:lineRule="auto"/>
              <w:jc w:val="center"/>
              <w:rPr>
                <w:rFonts w:eastAsia="Times New Roman" w:cs="Calibri"/>
                <w:b/>
                <w:bCs/>
                <w:color w:val="000000"/>
                <w:sz w:val="18"/>
                <w:szCs w:val="18"/>
              </w:rPr>
            </w:pPr>
            <w:r w:rsidRPr="00D65787">
              <w:rPr>
                <w:rFonts w:eastAsia="Times New Roman" w:cs="Calibri"/>
                <w:b/>
                <w:bCs/>
                <w:color w:val="000000"/>
                <w:sz w:val="18"/>
                <w:szCs w:val="18"/>
              </w:rPr>
              <w:t>( In USD)</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Haor Region</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800</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1229</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1935</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3086</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4966</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8084</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Coastal Region</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1091</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1737</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2839</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4704</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7874</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13348</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Chittagong Hill Tract</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991</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1503</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2340</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3689</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5871</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9454</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Urban</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1816</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2702</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4127</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6391</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10001</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15847</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Drought</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1110</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1733</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2774</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4496</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7358</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12181</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River estuary</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1364</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2133</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3421</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5557</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9113</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15118</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Less risky area</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1458</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2203</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3417</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5366</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8510</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13656</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b/>
                <w:bCs/>
                <w:sz w:val="18"/>
                <w:szCs w:val="18"/>
              </w:rPr>
            </w:pPr>
            <w:r w:rsidRPr="00D65787">
              <w:rPr>
                <w:rFonts w:eastAsia="Times New Roman" w:cs="Calibri"/>
                <w:b/>
                <w:bCs/>
                <w:sz w:val="18"/>
                <w:szCs w:val="18"/>
              </w:rPr>
              <w:t>Bangladesh</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1313</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2027</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3210</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5146</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8326</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13628</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0D54F5" w:rsidP="00554AA1">
            <w:pPr>
              <w:spacing w:line="240" w:lineRule="auto"/>
              <w:rPr>
                <w:rFonts w:eastAsia="Times New Roman" w:cs="Calibri"/>
                <w:b/>
                <w:bCs/>
                <w:sz w:val="18"/>
                <w:szCs w:val="18"/>
              </w:rPr>
            </w:pPr>
            <w:r>
              <w:rPr>
                <w:rFonts w:eastAsia="Times New Roman" w:cs="Calibri"/>
                <w:b/>
                <w:bCs/>
                <w:sz w:val="18"/>
                <w:szCs w:val="18"/>
              </w:rPr>
              <w:t>BAU Policy Option</w:t>
            </w:r>
            <w:r w:rsidR="00334013" w:rsidRPr="00D65787">
              <w:rPr>
                <w:rFonts w:eastAsia="Times New Roman" w:cs="Calibri"/>
                <w:b/>
                <w:bCs/>
                <w:sz w:val="18"/>
                <w:szCs w:val="18"/>
              </w:rPr>
              <w:t>:</w:t>
            </w:r>
          </w:p>
        </w:tc>
        <w:tc>
          <w:tcPr>
            <w:tcW w:w="3033" w:type="pct"/>
            <w:gridSpan w:val="6"/>
            <w:tcBorders>
              <w:top w:val="nil"/>
              <w:left w:val="nil"/>
              <w:bottom w:val="nil"/>
              <w:right w:val="nil"/>
            </w:tcBorders>
            <w:shd w:val="clear" w:color="auto" w:fill="auto"/>
            <w:noWrap/>
            <w:vAlign w:val="center"/>
            <w:hideMark/>
          </w:tcPr>
          <w:p w:rsidR="00334013" w:rsidRPr="00D65787" w:rsidRDefault="00334013" w:rsidP="00554AA1">
            <w:pPr>
              <w:spacing w:line="240" w:lineRule="auto"/>
              <w:jc w:val="center"/>
              <w:rPr>
                <w:rFonts w:eastAsia="Times New Roman" w:cs="Calibri"/>
                <w:b/>
                <w:bCs/>
                <w:color w:val="000000"/>
                <w:sz w:val="18"/>
                <w:szCs w:val="18"/>
              </w:rPr>
            </w:pPr>
            <w:r w:rsidRPr="00D65787">
              <w:rPr>
                <w:rFonts w:eastAsia="Times New Roman" w:cs="Calibri"/>
                <w:b/>
                <w:bCs/>
                <w:color w:val="000000"/>
                <w:sz w:val="18"/>
                <w:szCs w:val="18"/>
              </w:rPr>
              <w:t>( In USD)</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lastRenderedPageBreak/>
              <w:t>Haor Region</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800</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1196</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1812</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2735</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4072</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5926</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Coastal Region</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1091</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1705</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2688</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4175</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6261</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8749</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Chittagong Hill Tract</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991</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1465</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2189</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3241</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4692</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6533</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olor w:val="000000"/>
                <w:sz w:val="18"/>
                <w:szCs w:val="18"/>
              </w:rPr>
            </w:pPr>
            <w:r w:rsidRPr="00D65787">
              <w:rPr>
                <w:rFonts w:eastAsia="Times New Roman"/>
                <w:color w:val="000000"/>
                <w:sz w:val="18"/>
                <w:szCs w:val="18"/>
              </w:rPr>
              <w:t>Urban</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1816</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2494</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3517</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5008</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7144</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10174</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Drought</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1110</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1717</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2705</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4277</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6739</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10551</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sz w:val="18"/>
                <w:szCs w:val="18"/>
              </w:rPr>
            </w:pPr>
            <w:r w:rsidRPr="00D65787">
              <w:rPr>
                <w:rFonts w:eastAsia="Times New Roman" w:cs="Calibri"/>
                <w:sz w:val="18"/>
                <w:szCs w:val="18"/>
              </w:rPr>
              <w:t>River estuary</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1364</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2077</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3197</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4879</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7279</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10438</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r w:rsidRPr="00D65787">
              <w:rPr>
                <w:rFonts w:eastAsia="Times New Roman" w:cs="Calibri"/>
                <w:color w:val="000000"/>
                <w:sz w:val="18"/>
                <w:szCs w:val="18"/>
              </w:rPr>
              <w:t>Less risky area</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1458</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2190</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3355</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5164</w:t>
            </w: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7938</w:t>
            </w: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12168</w:t>
            </w:r>
          </w:p>
        </w:tc>
      </w:tr>
      <w:tr w:rsidR="00334013" w:rsidRPr="00D65787" w:rsidTr="001B62D7">
        <w:trPr>
          <w:trHeight w:hRule="exact" w:val="288"/>
          <w:jc w:val="center"/>
        </w:trPr>
        <w:tc>
          <w:tcPr>
            <w:tcW w:w="1967"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rPr>
                <w:rFonts w:eastAsia="Times New Roman" w:cs="Calibri"/>
                <w:b/>
                <w:bCs/>
                <w:sz w:val="18"/>
                <w:szCs w:val="18"/>
              </w:rPr>
            </w:pPr>
            <w:r w:rsidRPr="00D65787">
              <w:rPr>
                <w:rFonts w:eastAsia="Times New Roman" w:cs="Calibri"/>
                <w:b/>
                <w:bCs/>
                <w:sz w:val="18"/>
                <w:szCs w:val="18"/>
              </w:rPr>
              <w:t>Bangladesh</w:t>
            </w:r>
          </w:p>
        </w:tc>
        <w:tc>
          <w:tcPr>
            <w:tcW w:w="474"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1313</w:t>
            </w:r>
          </w:p>
        </w:tc>
        <w:tc>
          <w:tcPr>
            <w:tcW w:w="474"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1967</w:t>
            </w:r>
          </w:p>
        </w:tc>
        <w:tc>
          <w:tcPr>
            <w:tcW w:w="474"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2988</w:t>
            </w:r>
          </w:p>
        </w:tc>
        <w:tc>
          <w:tcPr>
            <w:tcW w:w="474"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4523</w:t>
            </w:r>
          </w:p>
        </w:tc>
        <w:tc>
          <w:tcPr>
            <w:tcW w:w="568"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6758</w:t>
            </w:r>
          </w:p>
        </w:tc>
        <w:tc>
          <w:tcPr>
            <w:tcW w:w="569" w:type="pct"/>
            <w:tcBorders>
              <w:top w:val="nil"/>
              <w:left w:val="nil"/>
              <w:bottom w:val="single" w:sz="8" w:space="0" w:color="auto"/>
              <w:right w:val="nil"/>
            </w:tcBorders>
            <w:shd w:val="clear" w:color="auto" w:fill="auto"/>
            <w:noWrap/>
            <w:vAlign w:val="bottom"/>
            <w:hideMark/>
          </w:tcPr>
          <w:p w:rsidR="00334013" w:rsidRPr="00D65787" w:rsidRDefault="00334013" w:rsidP="00554AA1">
            <w:pPr>
              <w:spacing w:line="240" w:lineRule="auto"/>
              <w:jc w:val="right"/>
              <w:rPr>
                <w:rFonts w:eastAsia="Times New Roman" w:cs="Calibri"/>
                <w:color w:val="000000"/>
                <w:sz w:val="18"/>
                <w:szCs w:val="18"/>
              </w:rPr>
            </w:pPr>
            <w:r w:rsidRPr="00D65787">
              <w:rPr>
                <w:rFonts w:eastAsia="Times New Roman" w:cs="Calibri"/>
                <w:color w:val="000000"/>
                <w:sz w:val="18"/>
                <w:szCs w:val="18"/>
              </w:rPr>
              <w:t>9875</w:t>
            </w:r>
          </w:p>
        </w:tc>
      </w:tr>
      <w:tr w:rsidR="00334013" w:rsidRPr="00D65787" w:rsidTr="001B62D7">
        <w:trPr>
          <w:trHeight w:hRule="exact" w:val="288"/>
          <w:jc w:val="center"/>
        </w:trPr>
        <w:tc>
          <w:tcPr>
            <w:tcW w:w="1967"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b/>
                <w:bCs/>
                <w:color w:val="000000"/>
                <w:sz w:val="18"/>
                <w:szCs w:val="18"/>
              </w:rPr>
            </w:pPr>
            <w:r>
              <w:rPr>
                <w:rFonts w:eastAsia="Times New Roman" w:cs="Calibri"/>
                <w:b/>
                <w:bCs/>
                <w:color w:val="000000"/>
                <w:sz w:val="18"/>
                <w:szCs w:val="18"/>
              </w:rPr>
              <w:t xml:space="preserve">Source: GED </w:t>
            </w:r>
            <w:r w:rsidRPr="00D65787">
              <w:rPr>
                <w:rFonts w:eastAsia="Times New Roman" w:cs="Calibri"/>
                <w:b/>
                <w:bCs/>
                <w:color w:val="000000"/>
                <w:sz w:val="18"/>
                <w:szCs w:val="18"/>
              </w:rPr>
              <w:t>Projections</w:t>
            </w: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474"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568"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sz w:val="18"/>
                <w:szCs w:val="18"/>
              </w:rPr>
            </w:pPr>
          </w:p>
        </w:tc>
        <w:tc>
          <w:tcPr>
            <w:tcW w:w="569" w:type="pct"/>
            <w:tcBorders>
              <w:top w:val="nil"/>
              <w:left w:val="nil"/>
              <w:bottom w:val="nil"/>
              <w:right w:val="nil"/>
            </w:tcBorders>
            <w:shd w:val="clear" w:color="auto" w:fill="auto"/>
            <w:noWrap/>
            <w:vAlign w:val="bottom"/>
            <w:hideMark/>
          </w:tcPr>
          <w:p w:rsidR="00334013" w:rsidRPr="00D65787" w:rsidRDefault="00334013" w:rsidP="00554AA1">
            <w:pPr>
              <w:spacing w:line="240" w:lineRule="auto"/>
              <w:rPr>
                <w:rFonts w:eastAsia="Times New Roman" w:cs="Calibri"/>
                <w:color w:val="000000"/>
              </w:rPr>
            </w:pPr>
          </w:p>
        </w:tc>
      </w:tr>
    </w:tbl>
    <w:p w:rsidR="00146380" w:rsidRPr="00E07BEE" w:rsidRDefault="00146380" w:rsidP="00146380">
      <w:pPr>
        <w:tabs>
          <w:tab w:val="left" w:pos="1035"/>
        </w:tabs>
        <w:spacing w:after="0" w:line="240" w:lineRule="auto"/>
        <w:rPr>
          <w:rFonts w:eastAsia="Calibri" w:cs="Times New Roman"/>
          <w:b/>
          <w:sz w:val="16"/>
          <w:szCs w:val="20"/>
          <w:lang w:val="en-GB"/>
        </w:rPr>
      </w:pPr>
    </w:p>
    <w:p w:rsidR="00146380" w:rsidRDefault="00146380" w:rsidP="001B62D7">
      <w:pPr>
        <w:pStyle w:val="Heading8"/>
        <w:spacing w:after="120"/>
      </w:pPr>
      <w:bookmarkStart w:id="1008" w:name="_Toc474639353"/>
      <w:r w:rsidRPr="00383127">
        <w:t>Table B5.15: Impact on Capital and Employment due to En</w:t>
      </w:r>
      <w:r w:rsidR="009514C2">
        <w:t xml:space="preserve">vironmental Degradation, </w:t>
      </w:r>
      <w:r w:rsidRPr="00383127">
        <w:t>2016 -2041</w:t>
      </w:r>
      <w:bookmarkEnd w:id="1008"/>
    </w:p>
    <w:tbl>
      <w:tblPr>
        <w:tblW w:w="5000" w:type="pct"/>
        <w:jc w:val="center"/>
        <w:tblLook w:val="04A0"/>
      </w:tblPr>
      <w:tblGrid>
        <w:gridCol w:w="4131"/>
        <w:gridCol w:w="814"/>
        <w:gridCol w:w="902"/>
        <w:gridCol w:w="902"/>
        <w:gridCol w:w="1093"/>
        <w:gridCol w:w="1093"/>
        <w:gridCol w:w="1091"/>
      </w:tblGrid>
      <w:tr w:rsidR="000D54F5" w:rsidRPr="00763BF7" w:rsidTr="001B62D7">
        <w:trPr>
          <w:trHeight w:hRule="exact" w:val="288"/>
          <w:jc w:val="center"/>
        </w:trPr>
        <w:tc>
          <w:tcPr>
            <w:tcW w:w="2060"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rPr>
                <w:rFonts w:eastAsia="Times New Roman" w:cs="Calibri"/>
                <w:b/>
                <w:bCs/>
                <w:sz w:val="20"/>
                <w:szCs w:val="20"/>
              </w:rPr>
            </w:pPr>
            <w:r w:rsidRPr="00763BF7">
              <w:rPr>
                <w:rFonts w:eastAsia="Times New Roman" w:cs="Calibri"/>
                <w:b/>
                <w:bCs/>
                <w:sz w:val="20"/>
                <w:szCs w:val="20"/>
              </w:rPr>
              <w:t>Fiscal Year</w:t>
            </w:r>
          </w:p>
        </w:tc>
        <w:tc>
          <w:tcPr>
            <w:tcW w:w="406"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b/>
                <w:bCs/>
                <w:color w:val="000000"/>
                <w:sz w:val="20"/>
                <w:szCs w:val="20"/>
              </w:rPr>
            </w:pPr>
            <w:r w:rsidRPr="00763BF7">
              <w:rPr>
                <w:rFonts w:eastAsia="Times New Roman" w:cs="Calibri"/>
                <w:b/>
                <w:bCs/>
                <w:color w:val="000000"/>
                <w:sz w:val="20"/>
                <w:szCs w:val="20"/>
              </w:rPr>
              <w:t>FY16</w:t>
            </w:r>
          </w:p>
        </w:tc>
        <w:tc>
          <w:tcPr>
            <w:tcW w:w="450"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b/>
                <w:bCs/>
                <w:color w:val="000000"/>
                <w:sz w:val="20"/>
                <w:szCs w:val="20"/>
              </w:rPr>
            </w:pPr>
            <w:r w:rsidRPr="00763BF7">
              <w:rPr>
                <w:rFonts w:eastAsia="Times New Roman" w:cs="Calibri"/>
                <w:b/>
                <w:bCs/>
                <w:color w:val="000000"/>
                <w:sz w:val="20"/>
                <w:szCs w:val="20"/>
              </w:rPr>
              <w:t>FY21</w:t>
            </w:r>
          </w:p>
        </w:tc>
        <w:tc>
          <w:tcPr>
            <w:tcW w:w="450"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b/>
                <w:bCs/>
                <w:color w:val="000000"/>
                <w:sz w:val="20"/>
                <w:szCs w:val="20"/>
              </w:rPr>
            </w:pPr>
            <w:r w:rsidRPr="00763BF7">
              <w:rPr>
                <w:rFonts w:eastAsia="Times New Roman" w:cs="Calibri"/>
                <w:b/>
                <w:bCs/>
                <w:color w:val="000000"/>
                <w:sz w:val="20"/>
                <w:szCs w:val="20"/>
              </w:rPr>
              <w:t>FY26</w:t>
            </w:r>
          </w:p>
        </w:tc>
        <w:tc>
          <w:tcPr>
            <w:tcW w:w="545"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b/>
                <w:bCs/>
                <w:color w:val="000000"/>
                <w:sz w:val="20"/>
                <w:szCs w:val="20"/>
              </w:rPr>
            </w:pPr>
            <w:r w:rsidRPr="00763BF7">
              <w:rPr>
                <w:rFonts w:eastAsia="Times New Roman" w:cs="Calibri"/>
                <w:b/>
                <w:bCs/>
                <w:color w:val="000000"/>
                <w:sz w:val="20"/>
                <w:szCs w:val="20"/>
              </w:rPr>
              <w:t>FY31</w:t>
            </w:r>
          </w:p>
        </w:tc>
        <w:tc>
          <w:tcPr>
            <w:tcW w:w="545"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b/>
                <w:bCs/>
                <w:color w:val="000000"/>
                <w:sz w:val="20"/>
                <w:szCs w:val="20"/>
              </w:rPr>
            </w:pPr>
            <w:r w:rsidRPr="00763BF7">
              <w:rPr>
                <w:rFonts w:eastAsia="Times New Roman" w:cs="Calibri"/>
                <w:b/>
                <w:bCs/>
                <w:color w:val="000000"/>
                <w:sz w:val="20"/>
                <w:szCs w:val="20"/>
              </w:rPr>
              <w:t>FY36</w:t>
            </w:r>
          </w:p>
        </w:tc>
        <w:tc>
          <w:tcPr>
            <w:tcW w:w="545"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b/>
                <w:bCs/>
                <w:color w:val="000000"/>
                <w:sz w:val="20"/>
                <w:szCs w:val="20"/>
              </w:rPr>
            </w:pPr>
            <w:r w:rsidRPr="00763BF7">
              <w:rPr>
                <w:rFonts w:eastAsia="Times New Roman" w:cs="Calibri"/>
                <w:b/>
                <w:bCs/>
                <w:color w:val="000000"/>
                <w:sz w:val="20"/>
                <w:szCs w:val="20"/>
              </w:rPr>
              <w:t>FY41</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b/>
                <w:bCs/>
                <w:sz w:val="20"/>
                <w:szCs w:val="20"/>
              </w:rPr>
            </w:pPr>
            <w:r w:rsidRPr="00763BF7">
              <w:rPr>
                <w:rFonts w:eastAsia="Times New Roman" w:cs="Calibri"/>
                <w:b/>
                <w:bCs/>
                <w:sz w:val="20"/>
                <w:szCs w:val="20"/>
              </w:rPr>
              <w:t>Region:</w:t>
            </w:r>
          </w:p>
        </w:tc>
        <w:tc>
          <w:tcPr>
            <w:tcW w:w="2940" w:type="pct"/>
            <w:gridSpan w:val="6"/>
            <w:tcBorders>
              <w:top w:val="single" w:sz="8" w:space="0" w:color="auto"/>
              <w:left w:val="nil"/>
              <w:bottom w:val="nil"/>
              <w:right w:val="nil"/>
            </w:tcBorders>
            <w:shd w:val="clear" w:color="auto" w:fill="auto"/>
            <w:noWrap/>
            <w:vAlign w:val="center"/>
            <w:hideMark/>
          </w:tcPr>
          <w:p w:rsidR="000D54F5" w:rsidRPr="00763BF7" w:rsidRDefault="000D54F5" w:rsidP="00554AA1">
            <w:pPr>
              <w:spacing w:line="240" w:lineRule="auto"/>
              <w:jc w:val="center"/>
              <w:rPr>
                <w:rFonts w:eastAsia="Times New Roman" w:cs="Calibri"/>
                <w:b/>
                <w:bCs/>
                <w:color w:val="000000"/>
                <w:sz w:val="20"/>
                <w:szCs w:val="20"/>
              </w:rPr>
            </w:pPr>
            <w:r w:rsidRPr="00763BF7">
              <w:rPr>
                <w:rFonts w:eastAsia="Times New Roman" w:cs="Calibri"/>
                <w:b/>
                <w:bCs/>
                <w:color w:val="000000"/>
                <w:sz w:val="20"/>
                <w:szCs w:val="20"/>
              </w:rPr>
              <w:t xml:space="preserve">( In </w:t>
            </w:r>
            <w:r w:rsidR="00EA4E38" w:rsidRPr="00763BF7">
              <w:rPr>
                <w:rFonts w:eastAsia="Times New Roman" w:cs="Calibri"/>
                <w:b/>
                <w:bCs/>
                <w:color w:val="000000"/>
                <w:sz w:val="20"/>
                <w:szCs w:val="20"/>
              </w:rPr>
              <w:t>billions</w:t>
            </w:r>
            <w:r w:rsidRPr="00763BF7">
              <w:rPr>
                <w:rFonts w:eastAsia="Times New Roman" w:cs="Calibri"/>
                <w:b/>
                <w:bCs/>
                <w:color w:val="000000"/>
                <w:sz w:val="20"/>
                <w:szCs w:val="20"/>
              </w:rPr>
              <w:t xml:space="preserve"> of Taka)</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r w:rsidRPr="00763BF7">
              <w:rPr>
                <w:rFonts w:eastAsia="Times New Roman" w:cs="Calibri"/>
                <w:color w:val="000000"/>
                <w:sz w:val="20"/>
                <w:szCs w:val="20"/>
              </w:rPr>
              <w:t>Haor Region</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22.1</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37.3</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58.4</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87.7</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128.1</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olor w:val="000000"/>
                <w:sz w:val="20"/>
                <w:szCs w:val="20"/>
              </w:rPr>
            </w:pPr>
            <w:r w:rsidRPr="00763BF7">
              <w:rPr>
                <w:rFonts w:eastAsia="Times New Roman"/>
                <w:color w:val="000000"/>
                <w:sz w:val="20"/>
                <w:szCs w:val="20"/>
              </w:rPr>
              <w:t>Coastal Region</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107.6</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199.6</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346.8</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582.9</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964.0</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r w:rsidRPr="00763BF7">
              <w:rPr>
                <w:rFonts w:eastAsia="Times New Roman" w:cs="Calibri"/>
                <w:color w:val="000000"/>
                <w:sz w:val="20"/>
                <w:szCs w:val="20"/>
              </w:rPr>
              <w:t>Chittagong Hill Tract</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3.2</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5.4</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8.3</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12.4</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17.5</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olor w:val="000000"/>
                <w:sz w:val="20"/>
                <w:szCs w:val="20"/>
              </w:rPr>
            </w:pPr>
            <w:r w:rsidRPr="00763BF7">
              <w:rPr>
                <w:rFonts w:eastAsia="Times New Roman"/>
                <w:color w:val="000000"/>
                <w:sz w:val="20"/>
                <w:szCs w:val="20"/>
              </w:rPr>
              <w:t>Urban</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56.7</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100.5</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166.5</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266.6</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125.5</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r w:rsidRPr="00763BF7">
              <w:rPr>
                <w:rFonts w:eastAsia="Times New Roman" w:cs="Calibri"/>
                <w:color w:val="000000"/>
                <w:sz w:val="20"/>
                <w:szCs w:val="20"/>
              </w:rPr>
              <w:t>Drought</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34.9</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63.7</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108.8</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179.4</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290.4</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sz w:val="20"/>
                <w:szCs w:val="20"/>
              </w:rPr>
            </w:pPr>
            <w:r w:rsidRPr="00763BF7">
              <w:rPr>
                <w:rFonts w:eastAsia="Times New Roman" w:cs="Calibri"/>
                <w:sz w:val="20"/>
                <w:szCs w:val="20"/>
              </w:rPr>
              <w:t>River estuary</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122.4</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224.6</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385.3</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638.8</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1040.0</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r w:rsidRPr="00763BF7">
              <w:rPr>
                <w:rFonts w:eastAsia="Times New Roman" w:cs="Calibri"/>
                <w:color w:val="000000"/>
                <w:sz w:val="20"/>
                <w:szCs w:val="20"/>
              </w:rPr>
              <w:t>Less risky area</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20.2</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36.3</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61.0</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99.3</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158.6</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b/>
                <w:bCs/>
                <w:sz w:val="20"/>
                <w:szCs w:val="20"/>
              </w:rPr>
            </w:pPr>
            <w:r w:rsidRPr="00763BF7">
              <w:rPr>
                <w:rFonts w:eastAsia="Times New Roman" w:cs="Calibri"/>
                <w:b/>
                <w:bCs/>
                <w:sz w:val="20"/>
                <w:szCs w:val="20"/>
              </w:rPr>
              <w:t>Bangladesh</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367.1</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667.3</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1135.2</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1867.0</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2724.1</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rPr>
            </w:pP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b/>
                <w:bCs/>
                <w:color w:val="000000"/>
                <w:sz w:val="20"/>
                <w:szCs w:val="20"/>
              </w:rPr>
            </w:pPr>
            <w:r w:rsidRPr="00763BF7">
              <w:rPr>
                <w:rFonts w:eastAsia="Times New Roman" w:cs="Calibri"/>
                <w:b/>
                <w:bCs/>
                <w:color w:val="000000"/>
                <w:sz w:val="20"/>
                <w:szCs w:val="20"/>
              </w:rPr>
              <w:t xml:space="preserve">No of new of Unemployed </w:t>
            </w:r>
          </w:p>
        </w:tc>
        <w:tc>
          <w:tcPr>
            <w:tcW w:w="2940" w:type="pct"/>
            <w:gridSpan w:val="6"/>
            <w:tcBorders>
              <w:top w:val="nil"/>
              <w:left w:val="nil"/>
              <w:bottom w:val="nil"/>
              <w:right w:val="nil"/>
            </w:tcBorders>
            <w:shd w:val="clear" w:color="auto" w:fill="auto"/>
            <w:noWrap/>
            <w:vAlign w:val="center"/>
            <w:hideMark/>
          </w:tcPr>
          <w:p w:rsidR="000D54F5" w:rsidRPr="00763BF7" w:rsidRDefault="000D54F5" w:rsidP="00554AA1">
            <w:pPr>
              <w:spacing w:line="240" w:lineRule="auto"/>
              <w:jc w:val="center"/>
              <w:rPr>
                <w:rFonts w:eastAsia="Times New Roman" w:cs="Calibri"/>
                <w:b/>
                <w:bCs/>
                <w:color w:val="000000"/>
                <w:sz w:val="20"/>
                <w:szCs w:val="20"/>
              </w:rPr>
            </w:pPr>
            <w:r w:rsidRPr="00763BF7">
              <w:rPr>
                <w:rFonts w:eastAsia="Times New Roman" w:cs="Calibri"/>
                <w:b/>
                <w:bCs/>
                <w:color w:val="000000"/>
                <w:sz w:val="20"/>
                <w:szCs w:val="20"/>
              </w:rPr>
              <w:t xml:space="preserve">( In </w:t>
            </w:r>
            <w:r w:rsidR="00EA4E38" w:rsidRPr="00763BF7">
              <w:rPr>
                <w:rFonts w:eastAsia="Times New Roman" w:cs="Calibri"/>
                <w:b/>
                <w:bCs/>
                <w:color w:val="000000"/>
                <w:sz w:val="20"/>
                <w:szCs w:val="20"/>
              </w:rPr>
              <w:t>Millions</w:t>
            </w:r>
            <w:r w:rsidRPr="00763BF7">
              <w:rPr>
                <w:rFonts w:eastAsia="Times New Roman" w:cs="Calibri"/>
                <w:b/>
                <w:bCs/>
                <w:color w:val="000000"/>
                <w:sz w:val="20"/>
                <w:szCs w:val="20"/>
              </w:rPr>
              <w:t xml:space="preserve"> of Person)</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r w:rsidRPr="00763BF7">
              <w:rPr>
                <w:rFonts w:eastAsia="Times New Roman" w:cs="Calibri"/>
                <w:color w:val="000000"/>
                <w:sz w:val="20"/>
                <w:szCs w:val="20"/>
              </w:rPr>
              <w:t>Haor Region</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0.06</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0.17</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0.32</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0.55</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0.87</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olor w:val="000000"/>
                <w:sz w:val="20"/>
                <w:szCs w:val="20"/>
              </w:rPr>
            </w:pPr>
            <w:r w:rsidRPr="00763BF7">
              <w:rPr>
                <w:rFonts w:eastAsia="Times New Roman"/>
                <w:color w:val="000000"/>
                <w:sz w:val="20"/>
                <w:szCs w:val="20"/>
              </w:rPr>
              <w:t>Coastal Region</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0.17</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0.43</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0.80</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1.32</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2.01</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r w:rsidRPr="00763BF7">
              <w:rPr>
                <w:rFonts w:eastAsia="Times New Roman" w:cs="Calibri"/>
                <w:color w:val="000000"/>
                <w:sz w:val="20"/>
                <w:szCs w:val="20"/>
              </w:rPr>
              <w:t>Chittagong Hill Tract</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0.01</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0.02</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0.04</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0.08</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0.13</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olor w:val="000000"/>
                <w:sz w:val="20"/>
                <w:szCs w:val="20"/>
              </w:rPr>
            </w:pPr>
            <w:r w:rsidRPr="00763BF7">
              <w:rPr>
                <w:rFonts w:eastAsia="Times New Roman"/>
                <w:color w:val="000000"/>
                <w:sz w:val="20"/>
                <w:szCs w:val="20"/>
              </w:rPr>
              <w:t>Urban</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0.08</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0.22</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0.43</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0.76</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1.23</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r w:rsidRPr="00763BF7">
              <w:rPr>
                <w:rFonts w:eastAsia="Times New Roman" w:cs="Calibri"/>
                <w:color w:val="000000"/>
                <w:sz w:val="20"/>
                <w:szCs w:val="20"/>
              </w:rPr>
              <w:t>Drought</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0.06</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0.16</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0.31</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0.51</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0.80</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sz w:val="20"/>
                <w:szCs w:val="20"/>
              </w:rPr>
            </w:pPr>
            <w:r w:rsidRPr="00763BF7">
              <w:rPr>
                <w:rFonts w:eastAsia="Times New Roman" w:cs="Calibri"/>
                <w:sz w:val="20"/>
                <w:szCs w:val="20"/>
              </w:rPr>
              <w:t>River estuary</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0.22</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0.56</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1.07</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1.78</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2.77</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r w:rsidRPr="00763BF7">
              <w:rPr>
                <w:rFonts w:eastAsia="Times New Roman" w:cs="Calibri"/>
                <w:color w:val="000000"/>
                <w:sz w:val="20"/>
                <w:szCs w:val="20"/>
              </w:rPr>
              <w:t>Less risky area</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0.00</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0.04</w:t>
            </w: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0.11</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0.21</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0.36</w:t>
            </w: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0.57</w:t>
            </w:r>
          </w:p>
        </w:tc>
      </w:tr>
      <w:tr w:rsidR="000D54F5" w:rsidRPr="00763BF7" w:rsidTr="001B62D7">
        <w:trPr>
          <w:trHeight w:hRule="exact" w:val="288"/>
          <w:jc w:val="center"/>
        </w:trPr>
        <w:tc>
          <w:tcPr>
            <w:tcW w:w="2060"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rPr>
                <w:rFonts w:eastAsia="Times New Roman" w:cs="Calibri"/>
                <w:b/>
                <w:bCs/>
                <w:sz w:val="20"/>
                <w:szCs w:val="20"/>
              </w:rPr>
            </w:pPr>
            <w:r w:rsidRPr="00763BF7">
              <w:rPr>
                <w:rFonts w:eastAsia="Times New Roman" w:cs="Calibri"/>
                <w:b/>
                <w:bCs/>
                <w:sz w:val="20"/>
                <w:szCs w:val="20"/>
              </w:rPr>
              <w:t>Bangladesh</w:t>
            </w:r>
          </w:p>
        </w:tc>
        <w:tc>
          <w:tcPr>
            <w:tcW w:w="406"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0.00</w:t>
            </w:r>
          </w:p>
        </w:tc>
        <w:tc>
          <w:tcPr>
            <w:tcW w:w="450"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0.65</w:t>
            </w:r>
          </w:p>
        </w:tc>
        <w:tc>
          <w:tcPr>
            <w:tcW w:w="450"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1.66</w:t>
            </w:r>
          </w:p>
        </w:tc>
        <w:tc>
          <w:tcPr>
            <w:tcW w:w="545"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3.18</w:t>
            </w:r>
          </w:p>
        </w:tc>
        <w:tc>
          <w:tcPr>
            <w:tcW w:w="545"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5.36</w:t>
            </w:r>
          </w:p>
        </w:tc>
        <w:tc>
          <w:tcPr>
            <w:tcW w:w="545" w:type="pct"/>
            <w:tcBorders>
              <w:top w:val="nil"/>
              <w:left w:val="nil"/>
              <w:bottom w:val="single" w:sz="8" w:space="0" w:color="auto"/>
              <w:right w:val="nil"/>
            </w:tcBorders>
            <w:shd w:val="clear" w:color="auto" w:fill="auto"/>
            <w:noWrap/>
            <w:vAlign w:val="bottom"/>
            <w:hideMark/>
          </w:tcPr>
          <w:p w:rsidR="000D54F5" w:rsidRPr="00763BF7" w:rsidRDefault="000D54F5" w:rsidP="00554AA1">
            <w:pPr>
              <w:spacing w:line="240" w:lineRule="auto"/>
              <w:jc w:val="right"/>
              <w:rPr>
                <w:rFonts w:eastAsia="Times New Roman" w:cs="Calibri"/>
                <w:color w:val="000000"/>
                <w:sz w:val="20"/>
                <w:szCs w:val="20"/>
              </w:rPr>
            </w:pPr>
            <w:r w:rsidRPr="00763BF7">
              <w:rPr>
                <w:rFonts w:eastAsia="Times New Roman" w:cs="Calibri"/>
                <w:color w:val="000000"/>
                <w:sz w:val="20"/>
                <w:szCs w:val="20"/>
              </w:rPr>
              <w:t>8.37</w:t>
            </w:r>
          </w:p>
        </w:tc>
      </w:tr>
      <w:tr w:rsidR="000D54F5" w:rsidRPr="00763BF7" w:rsidTr="001B62D7">
        <w:trPr>
          <w:trHeight w:hRule="exact" w:val="288"/>
          <w:jc w:val="center"/>
        </w:trPr>
        <w:tc>
          <w:tcPr>
            <w:tcW w:w="206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763BF7">
              <w:rPr>
                <w:rFonts w:eastAsia="Times New Roman" w:cs="Calibri"/>
                <w:b/>
                <w:bCs/>
                <w:color w:val="000000"/>
                <w:sz w:val="18"/>
                <w:szCs w:val="18"/>
              </w:rPr>
              <w:t xml:space="preserve"> Projections</w:t>
            </w:r>
          </w:p>
        </w:tc>
        <w:tc>
          <w:tcPr>
            <w:tcW w:w="406"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450"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sz w:val="20"/>
                <w:szCs w:val="20"/>
              </w:rPr>
            </w:pPr>
          </w:p>
        </w:tc>
        <w:tc>
          <w:tcPr>
            <w:tcW w:w="545" w:type="pct"/>
            <w:tcBorders>
              <w:top w:val="nil"/>
              <w:left w:val="nil"/>
              <w:bottom w:val="nil"/>
              <w:right w:val="nil"/>
            </w:tcBorders>
            <w:shd w:val="clear" w:color="auto" w:fill="auto"/>
            <w:noWrap/>
            <w:vAlign w:val="bottom"/>
            <w:hideMark/>
          </w:tcPr>
          <w:p w:rsidR="000D54F5" w:rsidRPr="00763BF7" w:rsidRDefault="000D54F5" w:rsidP="00554AA1">
            <w:pPr>
              <w:spacing w:line="240" w:lineRule="auto"/>
              <w:rPr>
                <w:rFonts w:eastAsia="Times New Roman" w:cs="Calibri"/>
                <w:color w:val="000000"/>
              </w:rPr>
            </w:pPr>
          </w:p>
        </w:tc>
      </w:tr>
    </w:tbl>
    <w:p w:rsidR="00146380" w:rsidRDefault="00146380" w:rsidP="00146380"/>
    <w:p w:rsidR="000F4981" w:rsidRDefault="000F4981" w:rsidP="00146380"/>
    <w:p w:rsidR="000F4981" w:rsidRDefault="000F4981" w:rsidP="00146380"/>
    <w:p w:rsidR="000F4981" w:rsidRDefault="000F4981" w:rsidP="00146380"/>
    <w:p w:rsidR="000F4981" w:rsidRDefault="000F4981" w:rsidP="00146380"/>
    <w:p w:rsidR="000F4981" w:rsidRDefault="000F4981" w:rsidP="00146380"/>
    <w:p w:rsidR="00146380" w:rsidRDefault="00146380" w:rsidP="001B62D7">
      <w:pPr>
        <w:pStyle w:val="Heading8"/>
        <w:spacing w:after="120"/>
      </w:pPr>
      <w:bookmarkStart w:id="1009" w:name="_Toc474639354"/>
      <w:r w:rsidRPr="00383127">
        <w:lastRenderedPageBreak/>
        <w:t>Table B5.16: Income Loss due to E</w:t>
      </w:r>
      <w:r w:rsidR="009514C2">
        <w:t>nvironmental Degradation,</w:t>
      </w:r>
      <w:r w:rsidRPr="00383127">
        <w:t xml:space="preserve"> 2016 -2041</w:t>
      </w:r>
      <w:bookmarkEnd w:id="1009"/>
    </w:p>
    <w:tbl>
      <w:tblPr>
        <w:tblW w:w="5000" w:type="pct"/>
        <w:jc w:val="center"/>
        <w:tblLook w:val="04A0"/>
      </w:tblPr>
      <w:tblGrid>
        <w:gridCol w:w="3349"/>
        <w:gridCol w:w="850"/>
        <w:gridCol w:w="962"/>
        <w:gridCol w:w="1165"/>
        <w:gridCol w:w="1165"/>
        <w:gridCol w:w="1165"/>
        <w:gridCol w:w="1370"/>
      </w:tblGrid>
      <w:tr w:rsidR="0050790A" w:rsidRPr="00763BF7" w:rsidTr="001B62D7">
        <w:trPr>
          <w:trHeight w:hRule="exact" w:val="288"/>
          <w:jc w:val="center"/>
        </w:trPr>
        <w:tc>
          <w:tcPr>
            <w:tcW w:w="1670"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rPr>
                <w:rFonts w:eastAsia="Times New Roman" w:cs="Calibri"/>
                <w:b/>
                <w:bCs/>
                <w:sz w:val="20"/>
                <w:szCs w:val="20"/>
              </w:rPr>
            </w:pPr>
            <w:r w:rsidRPr="00763BF7">
              <w:rPr>
                <w:rFonts w:eastAsia="Times New Roman" w:cs="Calibri"/>
                <w:b/>
                <w:bCs/>
                <w:sz w:val="20"/>
                <w:szCs w:val="20"/>
              </w:rPr>
              <w:t>Fiscal Year</w:t>
            </w:r>
          </w:p>
        </w:tc>
        <w:tc>
          <w:tcPr>
            <w:tcW w:w="424"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b/>
                <w:bCs/>
                <w:color w:val="000000"/>
                <w:sz w:val="20"/>
                <w:szCs w:val="20"/>
              </w:rPr>
            </w:pPr>
            <w:r w:rsidRPr="00763BF7">
              <w:rPr>
                <w:rFonts w:eastAsia="Times New Roman" w:cs="Calibri"/>
                <w:b/>
                <w:bCs/>
                <w:color w:val="000000"/>
                <w:sz w:val="20"/>
                <w:szCs w:val="20"/>
              </w:rPr>
              <w:t>FY16</w:t>
            </w:r>
          </w:p>
        </w:tc>
        <w:tc>
          <w:tcPr>
            <w:tcW w:w="480"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b/>
                <w:bCs/>
                <w:color w:val="000000"/>
                <w:sz w:val="20"/>
                <w:szCs w:val="20"/>
              </w:rPr>
            </w:pPr>
            <w:r w:rsidRPr="00763BF7">
              <w:rPr>
                <w:rFonts w:eastAsia="Times New Roman" w:cs="Calibri"/>
                <w:b/>
                <w:bCs/>
                <w:color w:val="000000"/>
                <w:sz w:val="20"/>
                <w:szCs w:val="20"/>
              </w:rPr>
              <w:t>FY21</w:t>
            </w:r>
          </w:p>
        </w:tc>
        <w:tc>
          <w:tcPr>
            <w:tcW w:w="581"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b/>
                <w:bCs/>
                <w:color w:val="000000"/>
                <w:sz w:val="20"/>
                <w:szCs w:val="20"/>
              </w:rPr>
            </w:pPr>
            <w:r w:rsidRPr="00763BF7">
              <w:rPr>
                <w:rFonts w:eastAsia="Times New Roman" w:cs="Calibri"/>
                <w:b/>
                <w:bCs/>
                <w:color w:val="000000"/>
                <w:sz w:val="20"/>
                <w:szCs w:val="20"/>
              </w:rPr>
              <w:t>FY26</w:t>
            </w:r>
          </w:p>
        </w:tc>
        <w:tc>
          <w:tcPr>
            <w:tcW w:w="581"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b/>
                <w:bCs/>
                <w:color w:val="000000"/>
                <w:sz w:val="20"/>
                <w:szCs w:val="20"/>
              </w:rPr>
            </w:pPr>
            <w:r w:rsidRPr="00763BF7">
              <w:rPr>
                <w:rFonts w:eastAsia="Times New Roman" w:cs="Calibri"/>
                <w:b/>
                <w:bCs/>
                <w:color w:val="000000"/>
                <w:sz w:val="20"/>
                <w:szCs w:val="20"/>
              </w:rPr>
              <w:t>FY31</w:t>
            </w:r>
          </w:p>
        </w:tc>
        <w:tc>
          <w:tcPr>
            <w:tcW w:w="581"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b/>
                <w:bCs/>
                <w:color w:val="000000"/>
                <w:sz w:val="20"/>
                <w:szCs w:val="20"/>
              </w:rPr>
            </w:pPr>
            <w:r w:rsidRPr="00763BF7">
              <w:rPr>
                <w:rFonts w:eastAsia="Times New Roman" w:cs="Calibri"/>
                <w:b/>
                <w:bCs/>
                <w:color w:val="000000"/>
                <w:sz w:val="20"/>
                <w:szCs w:val="20"/>
              </w:rPr>
              <w:t>FY36</w:t>
            </w:r>
          </w:p>
        </w:tc>
        <w:tc>
          <w:tcPr>
            <w:tcW w:w="682"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b/>
                <w:bCs/>
                <w:color w:val="000000"/>
                <w:sz w:val="20"/>
                <w:szCs w:val="20"/>
              </w:rPr>
            </w:pPr>
            <w:r w:rsidRPr="00763BF7">
              <w:rPr>
                <w:rFonts w:eastAsia="Times New Roman" w:cs="Calibri"/>
                <w:b/>
                <w:bCs/>
                <w:color w:val="000000"/>
                <w:sz w:val="20"/>
                <w:szCs w:val="20"/>
              </w:rPr>
              <w:t>FY41</w:t>
            </w:r>
          </w:p>
        </w:tc>
      </w:tr>
      <w:tr w:rsidR="0050790A" w:rsidRPr="00763BF7" w:rsidTr="001B62D7">
        <w:trPr>
          <w:trHeight w:hRule="exact" w:val="288"/>
          <w:jc w:val="center"/>
        </w:trPr>
        <w:tc>
          <w:tcPr>
            <w:tcW w:w="167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b/>
                <w:bCs/>
                <w:sz w:val="20"/>
                <w:szCs w:val="20"/>
              </w:rPr>
            </w:pPr>
            <w:r w:rsidRPr="00763BF7">
              <w:rPr>
                <w:rFonts w:eastAsia="Times New Roman" w:cs="Calibri"/>
                <w:b/>
                <w:bCs/>
                <w:sz w:val="20"/>
                <w:szCs w:val="20"/>
              </w:rPr>
              <w:t>Region:</w:t>
            </w:r>
          </w:p>
        </w:tc>
        <w:tc>
          <w:tcPr>
            <w:tcW w:w="3330" w:type="pct"/>
            <w:gridSpan w:val="6"/>
            <w:tcBorders>
              <w:top w:val="single" w:sz="8" w:space="0" w:color="auto"/>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b/>
                <w:bCs/>
                <w:color w:val="000000"/>
                <w:sz w:val="20"/>
                <w:szCs w:val="20"/>
              </w:rPr>
            </w:pPr>
            <w:r w:rsidRPr="00763BF7">
              <w:rPr>
                <w:rFonts w:eastAsia="Times New Roman" w:cs="Calibri"/>
                <w:b/>
                <w:bCs/>
                <w:color w:val="000000"/>
                <w:sz w:val="20"/>
                <w:szCs w:val="20"/>
              </w:rPr>
              <w:t xml:space="preserve">( In </w:t>
            </w:r>
            <w:r w:rsidR="00EA4E38" w:rsidRPr="00763BF7">
              <w:rPr>
                <w:rFonts w:eastAsia="Times New Roman" w:cs="Calibri"/>
                <w:b/>
                <w:bCs/>
                <w:color w:val="000000"/>
                <w:sz w:val="20"/>
                <w:szCs w:val="20"/>
              </w:rPr>
              <w:t>billions</w:t>
            </w:r>
            <w:r w:rsidRPr="00763BF7">
              <w:rPr>
                <w:rFonts w:eastAsia="Times New Roman" w:cs="Calibri"/>
                <w:b/>
                <w:bCs/>
                <w:color w:val="000000"/>
                <w:sz w:val="20"/>
                <w:szCs w:val="20"/>
              </w:rPr>
              <w:t xml:space="preserve"> of Taka)</w:t>
            </w:r>
          </w:p>
        </w:tc>
      </w:tr>
      <w:tr w:rsidR="0050790A" w:rsidRPr="00763BF7" w:rsidTr="001B62D7">
        <w:trPr>
          <w:trHeight w:hRule="exact" w:val="288"/>
          <w:jc w:val="center"/>
        </w:trPr>
        <w:tc>
          <w:tcPr>
            <w:tcW w:w="167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20"/>
                <w:szCs w:val="20"/>
              </w:rPr>
            </w:pPr>
            <w:r w:rsidRPr="00763BF7">
              <w:rPr>
                <w:rFonts w:eastAsia="Times New Roman" w:cs="Calibri"/>
                <w:color w:val="000000"/>
                <w:sz w:val="20"/>
                <w:szCs w:val="20"/>
              </w:rPr>
              <w:t>Haor Region</w:t>
            </w:r>
          </w:p>
        </w:tc>
        <w:tc>
          <w:tcPr>
            <w:tcW w:w="424"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0.0</w:t>
            </w:r>
          </w:p>
        </w:tc>
        <w:tc>
          <w:tcPr>
            <w:tcW w:w="480"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23.2</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79.9</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207.7</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482.5</w:t>
            </w:r>
          </w:p>
        </w:tc>
        <w:tc>
          <w:tcPr>
            <w:tcW w:w="682"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1056.5</w:t>
            </w:r>
          </w:p>
        </w:tc>
      </w:tr>
      <w:tr w:rsidR="0050790A" w:rsidRPr="00763BF7" w:rsidTr="001B62D7">
        <w:trPr>
          <w:trHeight w:hRule="exact" w:val="288"/>
          <w:jc w:val="center"/>
        </w:trPr>
        <w:tc>
          <w:tcPr>
            <w:tcW w:w="167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olor w:val="000000"/>
                <w:sz w:val="20"/>
                <w:szCs w:val="20"/>
              </w:rPr>
            </w:pPr>
            <w:r w:rsidRPr="00763BF7">
              <w:rPr>
                <w:rFonts w:eastAsia="Times New Roman"/>
                <w:color w:val="000000"/>
                <w:sz w:val="20"/>
                <w:szCs w:val="20"/>
              </w:rPr>
              <w:t>Coastal Region</w:t>
            </w:r>
          </w:p>
        </w:tc>
        <w:tc>
          <w:tcPr>
            <w:tcW w:w="424"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0.0</w:t>
            </w:r>
          </w:p>
        </w:tc>
        <w:tc>
          <w:tcPr>
            <w:tcW w:w="480"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87.5</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301.7</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785.0</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1826.9</w:t>
            </w:r>
          </w:p>
        </w:tc>
        <w:tc>
          <w:tcPr>
            <w:tcW w:w="682"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4008.2</w:t>
            </w:r>
          </w:p>
        </w:tc>
      </w:tr>
      <w:tr w:rsidR="0050790A" w:rsidRPr="00763BF7" w:rsidTr="001B62D7">
        <w:trPr>
          <w:trHeight w:hRule="exact" w:val="288"/>
          <w:jc w:val="center"/>
        </w:trPr>
        <w:tc>
          <w:tcPr>
            <w:tcW w:w="167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20"/>
                <w:szCs w:val="20"/>
              </w:rPr>
            </w:pPr>
            <w:r w:rsidRPr="00763BF7">
              <w:rPr>
                <w:rFonts w:eastAsia="Times New Roman" w:cs="Calibri"/>
                <w:color w:val="000000"/>
                <w:sz w:val="20"/>
                <w:szCs w:val="20"/>
              </w:rPr>
              <w:t>Chittagong Hill Tract</w:t>
            </w:r>
          </w:p>
        </w:tc>
        <w:tc>
          <w:tcPr>
            <w:tcW w:w="424"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0.0</w:t>
            </w:r>
          </w:p>
        </w:tc>
        <w:tc>
          <w:tcPr>
            <w:tcW w:w="480"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3.7</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12.9</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34.1</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80.4</w:t>
            </w:r>
          </w:p>
        </w:tc>
        <w:tc>
          <w:tcPr>
            <w:tcW w:w="682"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178.3</w:t>
            </w:r>
          </w:p>
        </w:tc>
      </w:tr>
      <w:tr w:rsidR="0050790A" w:rsidRPr="00763BF7" w:rsidTr="001B62D7">
        <w:trPr>
          <w:trHeight w:hRule="exact" w:val="288"/>
          <w:jc w:val="center"/>
        </w:trPr>
        <w:tc>
          <w:tcPr>
            <w:tcW w:w="167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olor w:val="000000"/>
                <w:sz w:val="20"/>
                <w:szCs w:val="20"/>
              </w:rPr>
            </w:pPr>
            <w:r w:rsidRPr="00763BF7">
              <w:rPr>
                <w:rFonts w:eastAsia="Times New Roman"/>
                <w:color w:val="000000"/>
                <w:sz w:val="20"/>
                <w:szCs w:val="20"/>
              </w:rPr>
              <w:t>Urban</w:t>
            </w:r>
          </w:p>
        </w:tc>
        <w:tc>
          <w:tcPr>
            <w:tcW w:w="424"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0.0</w:t>
            </w:r>
          </w:p>
        </w:tc>
        <w:tc>
          <w:tcPr>
            <w:tcW w:w="480"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66.8</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228.4</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589.7</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1362.2</w:t>
            </w:r>
          </w:p>
        </w:tc>
        <w:tc>
          <w:tcPr>
            <w:tcW w:w="682"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2967.7</w:t>
            </w:r>
          </w:p>
        </w:tc>
      </w:tr>
      <w:tr w:rsidR="0050790A" w:rsidRPr="00763BF7" w:rsidTr="001B62D7">
        <w:trPr>
          <w:trHeight w:hRule="exact" w:val="288"/>
          <w:jc w:val="center"/>
        </w:trPr>
        <w:tc>
          <w:tcPr>
            <w:tcW w:w="167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20"/>
                <w:szCs w:val="20"/>
              </w:rPr>
            </w:pPr>
            <w:r w:rsidRPr="00763BF7">
              <w:rPr>
                <w:rFonts w:eastAsia="Times New Roman" w:cs="Calibri"/>
                <w:color w:val="000000"/>
                <w:sz w:val="20"/>
                <w:szCs w:val="20"/>
              </w:rPr>
              <w:t>Drought</w:t>
            </w:r>
          </w:p>
        </w:tc>
        <w:tc>
          <w:tcPr>
            <w:tcW w:w="424"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0.0</w:t>
            </w:r>
          </w:p>
        </w:tc>
        <w:tc>
          <w:tcPr>
            <w:tcW w:w="480"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32.3</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110.7</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286.6</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663.6</w:t>
            </w:r>
          </w:p>
        </w:tc>
        <w:tc>
          <w:tcPr>
            <w:tcW w:w="682"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1448.8</w:t>
            </w:r>
          </w:p>
        </w:tc>
      </w:tr>
      <w:tr w:rsidR="0050790A" w:rsidRPr="00763BF7" w:rsidTr="001B62D7">
        <w:trPr>
          <w:trHeight w:hRule="exact" w:val="288"/>
          <w:jc w:val="center"/>
        </w:trPr>
        <w:tc>
          <w:tcPr>
            <w:tcW w:w="167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sz w:val="20"/>
                <w:szCs w:val="20"/>
              </w:rPr>
            </w:pPr>
            <w:r w:rsidRPr="00763BF7">
              <w:rPr>
                <w:rFonts w:eastAsia="Times New Roman" w:cs="Calibri"/>
                <w:sz w:val="20"/>
                <w:szCs w:val="20"/>
              </w:rPr>
              <w:t>River estuary</w:t>
            </w:r>
          </w:p>
        </w:tc>
        <w:tc>
          <w:tcPr>
            <w:tcW w:w="424"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0.0</w:t>
            </w:r>
          </w:p>
        </w:tc>
        <w:tc>
          <w:tcPr>
            <w:tcW w:w="480"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139.3</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477.6</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1236.6</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2863.5</w:t>
            </w:r>
          </w:p>
        </w:tc>
        <w:tc>
          <w:tcPr>
            <w:tcW w:w="682"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6252.5</w:t>
            </w:r>
          </w:p>
        </w:tc>
      </w:tr>
      <w:tr w:rsidR="0050790A" w:rsidRPr="00763BF7" w:rsidTr="001B62D7">
        <w:trPr>
          <w:trHeight w:hRule="exact" w:val="288"/>
          <w:jc w:val="center"/>
        </w:trPr>
        <w:tc>
          <w:tcPr>
            <w:tcW w:w="167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20"/>
                <w:szCs w:val="20"/>
              </w:rPr>
            </w:pPr>
            <w:r w:rsidRPr="00763BF7">
              <w:rPr>
                <w:rFonts w:eastAsia="Times New Roman" w:cs="Calibri"/>
                <w:color w:val="000000"/>
                <w:sz w:val="20"/>
                <w:szCs w:val="20"/>
              </w:rPr>
              <w:t>Less risky area</w:t>
            </w:r>
          </w:p>
        </w:tc>
        <w:tc>
          <w:tcPr>
            <w:tcW w:w="424"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0.0</w:t>
            </w:r>
          </w:p>
        </w:tc>
        <w:tc>
          <w:tcPr>
            <w:tcW w:w="480"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26.0</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89.1</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230.7</w:t>
            </w:r>
          </w:p>
        </w:tc>
        <w:tc>
          <w:tcPr>
            <w:tcW w:w="581"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534.5</w:t>
            </w:r>
          </w:p>
        </w:tc>
        <w:tc>
          <w:tcPr>
            <w:tcW w:w="682" w:type="pct"/>
            <w:tcBorders>
              <w:top w:val="nil"/>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1167.3</w:t>
            </w:r>
          </w:p>
        </w:tc>
      </w:tr>
      <w:tr w:rsidR="0050790A" w:rsidRPr="00763BF7" w:rsidTr="001B62D7">
        <w:trPr>
          <w:trHeight w:hRule="exact" w:val="288"/>
          <w:jc w:val="center"/>
        </w:trPr>
        <w:tc>
          <w:tcPr>
            <w:tcW w:w="1670"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rPr>
                <w:rFonts w:eastAsia="Times New Roman" w:cs="Calibri"/>
                <w:b/>
                <w:bCs/>
                <w:sz w:val="20"/>
                <w:szCs w:val="20"/>
              </w:rPr>
            </w:pPr>
            <w:r w:rsidRPr="00763BF7">
              <w:rPr>
                <w:rFonts w:eastAsia="Times New Roman" w:cs="Calibri"/>
                <w:b/>
                <w:bCs/>
                <w:sz w:val="20"/>
                <w:szCs w:val="20"/>
              </w:rPr>
              <w:t>Bangladesh</w:t>
            </w:r>
          </w:p>
        </w:tc>
        <w:tc>
          <w:tcPr>
            <w:tcW w:w="424"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0.0</w:t>
            </w:r>
          </w:p>
        </w:tc>
        <w:tc>
          <w:tcPr>
            <w:tcW w:w="480"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378.9</w:t>
            </w:r>
          </w:p>
        </w:tc>
        <w:tc>
          <w:tcPr>
            <w:tcW w:w="581"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1300.3</w:t>
            </w:r>
          </w:p>
        </w:tc>
        <w:tc>
          <w:tcPr>
            <w:tcW w:w="581"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3370.4</w:t>
            </w:r>
          </w:p>
        </w:tc>
        <w:tc>
          <w:tcPr>
            <w:tcW w:w="581"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7813.4</w:t>
            </w:r>
          </w:p>
        </w:tc>
        <w:tc>
          <w:tcPr>
            <w:tcW w:w="682"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color w:val="000000"/>
                <w:sz w:val="20"/>
                <w:szCs w:val="20"/>
              </w:rPr>
            </w:pPr>
            <w:r w:rsidRPr="00763BF7">
              <w:rPr>
                <w:rFonts w:eastAsia="Times New Roman" w:cs="Calibri"/>
                <w:color w:val="000000"/>
                <w:sz w:val="20"/>
                <w:szCs w:val="20"/>
              </w:rPr>
              <w:t>17079.3</w:t>
            </w:r>
          </w:p>
        </w:tc>
      </w:tr>
      <w:tr w:rsidR="0050790A" w:rsidRPr="00763BF7" w:rsidTr="001B62D7">
        <w:trPr>
          <w:trHeight w:hRule="exact" w:val="288"/>
          <w:jc w:val="center"/>
        </w:trPr>
        <w:tc>
          <w:tcPr>
            <w:tcW w:w="167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b/>
                <w:bCs/>
                <w:color w:val="000000"/>
                <w:sz w:val="18"/>
                <w:szCs w:val="18"/>
              </w:rPr>
            </w:pPr>
            <w:r>
              <w:rPr>
                <w:rFonts w:eastAsia="Times New Roman" w:cs="Calibri"/>
                <w:b/>
                <w:bCs/>
                <w:color w:val="000000"/>
                <w:sz w:val="18"/>
                <w:szCs w:val="18"/>
              </w:rPr>
              <w:t>Source: GED</w:t>
            </w:r>
            <w:r w:rsidRPr="00763BF7">
              <w:rPr>
                <w:rFonts w:eastAsia="Times New Roman" w:cs="Calibri"/>
                <w:b/>
                <w:bCs/>
                <w:color w:val="000000"/>
                <w:sz w:val="18"/>
                <w:szCs w:val="18"/>
              </w:rPr>
              <w:t xml:space="preserve"> Projections</w:t>
            </w:r>
          </w:p>
        </w:tc>
        <w:tc>
          <w:tcPr>
            <w:tcW w:w="424"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20"/>
                <w:szCs w:val="20"/>
              </w:rPr>
            </w:pPr>
          </w:p>
        </w:tc>
        <w:tc>
          <w:tcPr>
            <w:tcW w:w="480"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20"/>
                <w:szCs w:val="20"/>
              </w:rPr>
            </w:pPr>
          </w:p>
        </w:tc>
        <w:tc>
          <w:tcPr>
            <w:tcW w:w="58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20"/>
                <w:szCs w:val="20"/>
              </w:rPr>
            </w:pPr>
          </w:p>
        </w:tc>
        <w:tc>
          <w:tcPr>
            <w:tcW w:w="58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20"/>
                <w:szCs w:val="20"/>
              </w:rPr>
            </w:pPr>
          </w:p>
        </w:tc>
        <w:tc>
          <w:tcPr>
            <w:tcW w:w="58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20"/>
                <w:szCs w:val="20"/>
              </w:rPr>
            </w:pPr>
          </w:p>
        </w:tc>
        <w:tc>
          <w:tcPr>
            <w:tcW w:w="682"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r>
    </w:tbl>
    <w:p w:rsidR="009514C2" w:rsidRPr="00E07BEE" w:rsidRDefault="009514C2" w:rsidP="00383127">
      <w:pPr>
        <w:tabs>
          <w:tab w:val="left" w:pos="1035"/>
        </w:tabs>
        <w:spacing w:line="240" w:lineRule="auto"/>
        <w:rPr>
          <w:rFonts w:eastAsia="Calibri" w:cs="Times New Roman"/>
          <w:b/>
          <w:sz w:val="16"/>
          <w:szCs w:val="20"/>
          <w:lang w:val="en-GB"/>
        </w:rPr>
      </w:pPr>
    </w:p>
    <w:p w:rsidR="00146380" w:rsidRDefault="00146380" w:rsidP="001B62D7">
      <w:pPr>
        <w:pStyle w:val="Heading8"/>
        <w:spacing w:after="120"/>
      </w:pPr>
      <w:bookmarkStart w:id="1010" w:name="_Toc474639355"/>
      <w:r w:rsidRPr="00383127">
        <w:t>Table B5.17:  Net Cultivable Land A</w:t>
      </w:r>
      <w:r w:rsidR="000745AE">
        <w:t>rea, FY</w:t>
      </w:r>
      <w:r w:rsidRPr="00383127">
        <w:t>2016 -</w:t>
      </w:r>
      <w:r w:rsidR="000745AE">
        <w:t>FY</w:t>
      </w:r>
      <w:r w:rsidRPr="00383127">
        <w:t>2041</w:t>
      </w:r>
      <w:bookmarkEnd w:id="1010"/>
    </w:p>
    <w:tbl>
      <w:tblPr>
        <w:tblW w:w="5000" w:type="pct"/>
        <w:jc w:val="center"/>
        <w:tblLook w:val="04A0"/>
      </w:tblPr>
      <w:tblGrid>
        <w:gridCol w:w="2650"/>
        <w:gridCol w:w="1229"/>
        <w:gridCol w:w="1229"/>
        <w:gridCol w:w="1229"/>
        <w:gridCol w:w="1229"/>
        <w:gridCol w:w="1229"/>
        <w:gridCol w:w="1231"/>
      </w:tblGrid>
      <w:tr w:rsidR="0050790A" w:rsidRPr="00763BF7" w:rsidTr="001B62D7">
        <w:trPr>
          <w:trHeight w:hRule="exact" w:val="288"/>
          <w:jc w:val="center"/>
        </w:trPr>
        <w:tc>
          <w:tcPr>
            <w:tcW w:w="1321"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rPr>
                <w:rFonts w:eastAsia="Times New Roman" w:cs="Calibri"/>
                <w:b/>
                <w:bCs/>
                <w:sz w:val="20"/>
                <w:szCs w:val="20"/>
              </w:rPr>
            </w:pPr>
            <w:r w:rsidRPr="00763BF7">
              <w:rPr>
                <w:rFonts w:eastAsia="Times New Roman" w:cs="Calibri"/>
                <w:b/>
                <w:bCs/>
                <w:sz w:val="20"/>
                <w:szCs w:val="20"/>
              </w:rPr>
              <w:t>Fiscal Year</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color w:val="000000"/>
                <w:sz w:val="18"/>
                <w:szCs w:val="18"/>
              </w:rPr>
            </w:pPr>
            <w:r w:rsidRPr="00763BF7">
              <w:rPr>
                <w:rFonts w:eastAsia="Times New Roman" w:cs="Calibri"/>
                <w:b/>
                <w:bCs/>
                <w:color w:val="000000"/>
                <w:sz w:val="18"/>
                <w:szCs w:val="18"/>
              </w:rPr>
              <w:t>2016</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color w:val="000000"/>
                <w:sz w:val="18"/>
                <w:szCs w:val="18"/>
              </w:rPr>
            </w:pPr>
            <w:r w:rsidRPr="00763BF7">
              <w:rPr>
                <w:rFonts w:eastAsia="Times New Roman" w:cs="Calibri"/>
                <w:b/>
                <w:bCs/>
                <w:color w:val="000000"/>
                <w:sz w:val="18"/>
                <w:szCs w:val="18"/>
              </w:rPr>
              <w:t>2021</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color w:val="000000"/>
                <w:sz w:val="18"/>
                <w:szCs w:val="18"/>
              </w:rPr>
            </w:pPr>
            <w:r w:rsidRPr="00763BF7">
              <w:rPr>
                <w:rFonts w:eastAsia="Times New Roman" w:cs="Calibri"/>
                <w:b/>
                <w:bCs/>
                <w:color w:val="000000"/>
                <w:sz w:val="18"/>
                <w:szCs w:val="18"/>
              </w:rPr>
              <w:t>2026</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color w:val="000000"/>
                <w:sz w:val="18"/>
                <w:szCs w:val="18"/>
              </w:rPr>
            </w:pPr>
            <w:r w:rsidRPr="00763BF7">
              <w:rPr>
                <w:rFonts w:eastAsia="Times New Roman" w:cs="Calibri"/>
                <w:b/>
                <w:bCs/>
                <w:color w:val="000000"/>
                <w:sz w:val="18"/>
                <w:szCs w:val="18"/>
              </w:rPr>
              <w:t>2031</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color w:val="000000"/>
                <w:sz w:val="18"/>
                <w:szCs w:val="18"/>
              </w:rPr>
            </w:pPr>
            <w:r w:rsidRPr="00763BF7">
              <w:rPr>
                <w:rFonts w:eastAsia="Times New Roman" w:cs="Calibri"/>
                <w:b/>
                <w:bCs/>
                <w:color w:val="000000"/>
                <w:sz w:val="18"/>
                <w:szCs w:val="18"/>
              </w:rPr>
              <w:t>2036</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color w:val="000000"/>
                <w:sz w:val="18"/>
                <w:szCs w:val="18"/>
              </w:rPr>
            </w:pPr>
            <w:r w:rsidRPr="00763BF7">
              <w:rPr>
                <w:rFonts w:eastAsia="Times New Roman" w:cs="Calibri"/>
                <w:b/>
                <w:bCs/>
                <w:color w:val="000000"/>
                <w:sz w:val="18"/>
                <w:szCs w:val="18"/>
              </w:rPr>
              <w:t>2041</w:t>
            </w:r>
          </w:p>
        </w:tc>
      </w:tr>
      <w:tr w:rsidR="0050790A" w:rsidRPr="00763BF7" w:rsidTr="001B62D7">
        <w:trPr>
          <w:trHeight w:hRule="exact" w:val="288"/>
          <w:jc w:val="center"/>
        </w:trPr>
        <w:tc>
          <w:tcPr>
            <w:tcW w:w="132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b/>
                <w:bCs/>
                <w:sz w:val="20"/>
                <w:szCs w:val="20"/>
              </w:rPr>
            </w:pPr>
            <w:r w:rsidRPr="00763BF7">
              <w:rPr>
                <w:rFonts w:eastAsia="Times New Roman" w:cs="Calibri"/>
                <w:b/>
                <w:bCs/>
                <w:sz w:val="20"/>
                <w:szCs w:val="20"/>
              </w:rPr>
              <w:t>Region:</w:t>
            </w:r>
          </w:p>
        </w:tc>
        <w:tc>
          <w:tcPr>
            <w:tcW w:w="3679" w:type="pct"/>
            <w:gridSpan w:val="6"/>
            <w:tcBorders>
              <w:top w:val="single" w:sz="8" w:space="0" w:color="auto"/>
              <w:left w:val="nil"/>
              <w:bottom w:val="nil"/>
              <w:right w:val="nil"/>
            </w:tcBorders>
            <w:shd w:val="clear" w:color="auto" w:fill="auto"/>
            <w:noWrap/>
            <w:vAlign w:val="center"/>
            <w:hideMark/>
          </w:tcPr>
          <w:p w:rsidR="0050790A" w:rsidRPr="00763BF7" w:rsidRDefault="0050790A" w:rsidP="00554AA1">
            <w:pPr>
              <w:spacing w:line="240" w:lineRule="auto"/>
              <w:jc w:val="center"/>
              <w:rPr>
                <w:rFonts w:eastAsia="Times New Roman" w:cs="Calibri"/>
                <w:b/>
                <w:bCs/>
                <w:color w:val="000000"/>
                <w:sz w:val="18"/>
                <w:szCs w:val="18"/>
              </w:rPr>
            </w:pPr>
            <w:r w:rsidRPr="00763BF7">
              <w:rPr>
                <w:rFonts w:eastAsia="Times New Roman" w:cs="Calibri"/>
                <w:b/>
                <w:bCs/>
                <w:color w:val="000000"/>
                <w:sz w:val="18"/>
                <w:szCs w:val="18"/>
              </w:rPr>
              <w:t>( In Thousands of Hectare)</w:t>
            </w:r>
          </w:p>
        </w:tc>
      </w:tr>
      <w:tr w:rsidR="0050790A" w:rsidRPr="00763BF7" w:rsidTr="001B62D7">
        <w:trPr>
          <w:trHeight w:hRule="exact" w:val="288"/>
          <w:jc w:val="center"/>
        </w:trPr>
        <w:tc>
          <w:tcPr>
            <w:tcW w:w="132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18"/>
                <w:szCs w:val="18"/>
              </w:rPr>
            </w:pPr>
            <w:r w:rsidRPr="00763BF7">
              <w:rPr>
                <w:rFonts w:eastAsia="Times New Roman" w:cs="Calibri"/>
                <w:color w:val="000000"/>
                <w:sz w:val="18"/>
                <w:szCs w:val="18"/>
              </w:rPr>
              <w:t>Haor Region</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2149112</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2043785</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1943619</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1848362</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1757774</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1688511</w:t>
            </w:r>
          </w:p>
        </w:tc>
      </w:tr>
      <w:tr w:rsidR="0050790A" w:rsidRPr="00763BF7" w:rsidTr="001B62D7">
        <w:trPr>
          <w:trHeight w:hRule="exact" w:val="288"/>
          <w:jc w:val="center"/>
        </w:trPr>
        <w:tc>
          <w:tcPr>
            <w:tcW w:w="132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olor w:val="000000"/>
                <w:sz w:val="18"/>
                <w:szCs w:val="18"/>
              </w:rPr>
            </w:pPr>
            <w:r w:rsidRPr="00763BF7">
              <w:rPr>
                <w:rFonts w:eastAsia="Times New Roman"/>
                <w:color w:val="000000"/>
                <w:sz w:val="18"/>
                <w:szCs w:val="18"/>
              </w:rPr>
              <w:t>Coastal Region</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1964705</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1868415</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1776844</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1689761</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1606946</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1543626</w:t>
            </w:r>
          </w:p>
        </w:tc>
      </w:tr>
      <w:tr w:rsidR="0050790A" w:rsidRPr="00763BF7" w:rsidTr="001B62D7">
        <w:trPr>
          <w:trHeight w:hRule="exact" w:val="288"/>
          <w:jc w:val="center"/>
        </w:trPr>
        <w:tc>
          <w:tcPr>
            <w:tcW w:w="132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18"/>
                <w:szCs w:val="18"/>
              </w:rPr>
            </w:pPr>
            <w:r w:rsidRPr="00763BF7">
              <w:rPr>
                <w:rFonts w:eastAsia="Times New Roman" w:cs="Calibri"/>
                <w:color w:val="000000"/>
                <w:sz w:val="18"/>
                <w:szCs w:val="18"/>
              </w:rPr>
              <w:t>Chittagong Hill Tract</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738545</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702349</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667927</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635192</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604061</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580259</w:t>
            </w:r>
          </w:p>
        </w:tc>
      </w:tr>
      <w:tr w:rsidR="0050790A" w:rsidRPr="00763BF7" w:rsidTr="001B62D7">
        <w:trPr>
          <w:trHeight w:hRule="exact" w:val="288"/>
          <w:jc w:val="center"/>
        </w:trPr>
        <w:tc>
          <w:tcPr>
            <w:tcW w:w="132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olor w:val="000000"/>
                <w:sz w:val="18"/>
                <w:szCs w:val="18"/>
              </w:rPr>
            </w:pPr>
            <w:r w:rsidRPr="00763BF7">
              <w:rPr>
                <w:rFonts w:eastAsia="Times New Roman"/>
                <w:color w:val="000000"/>
                <w:sz w:val="18"/>
                <w:szCs w:val="18"/>
              </w:rPr>
              <w:t>Urban</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1489561</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1416557</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1347132</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1281109</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1218322</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1170315</w:t>
            </w:r>
          </w:p>
        </w:tc>
      </w:tr>
      <w:tr w:rsidR="0050790A" w:rsidRPr="00763BF7" w:rsidTr="001B62D7">
        <w:trPr>
          <w:trHeight w:hRule="exact" w:val="288"/>
          <w:jc w:val="center"/>
        </w:trPr>
        <w:tc>
          <w:tcPr>
            <w:tcW w:w="132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18"/>
                <w:szCs w:val="18"/>
              </w:rPr>
            </w:pPr>
            <w:r w:rsidRPr="00763BF7">
              <w:rPr>
                <w:rFonts w:eastAsia="Times New Roman" w:cs="Calibri"/>
                <w:color w:val="000000"/>
                <w:sz w:val="18"/>
                <w:szCs w:val="18"/>
              </w:rPr>
              <w:t>Drought</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2699365</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2567069</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2441257</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2321611</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2207829</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2120832</w:t>
            </w:r>
          </w:p>
        </w:tc>
      </w:tr>
      <w:tr w:rsidR="0050790A" w:rsidRPr="00763BF7" w:rsidTr="001B62D7">
        <w:trPr>
          <w:trHeight w:hRule="exact" w:val="288"/>
          <w:jc w:val="center"/>
        </w:trPr>
        <w:tc>
          <w:tcPr>
            <w:tcW w:w="132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sz w:val="18"/>
                <w:szCs w:val="18"/>
              </w:rPr>
            </w:pPr>
            <w:r w:rsidRPr="00763BF7">
              <w:rPr>
                <w:rFonts w:eastAsia="Times New Roman" w:cs="Calibri"/>
                <w:sz w:val="18"/>
                <w:szCs w:val="18"/>
              </w:rPr>
              <w:t>River estuary</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5319887</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5059160</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4811210</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4575413</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4351172</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4179719</w:t>
            </w:r>
          </w:p>
        </w:tc>
      </w:tr>
      <w:tr w:rsidR="0050790A" w:rsidRPr="00763BF7" w:rsidTr="001B62D7">
        <w:trPr>
          <w:trHeight w:hRule="exact" w:val="288"/>
          <w:jc w:val="center"/>
        </w:trPr>
        <w:tc>
          <w:tcPr>
            <w:tcW w:w="132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sz w:val="18"/>
                <w:szCs w:val="18"/>
              </w:rPr>
            </w:pPr>
            <w:r w:rsidRPr="00763BF7">
              <w:rPr>
                <w:rFonts w:eastAsia="Times New Roman" w:cs="Calibri"/>
                <w:color w:val="000000"/>
                <w:sz w:val="18"/>
                <w:szCs w:val="18"/>
              </w:rPr>
              <w:t>Less risky area</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3438984</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3270439</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3110155</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2957727</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2812769</w:t>
            </w: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jc w:val="right"/>
              <w:rPr>
                <w:rFonts w:eastAsia="Times New Roman" w:cs="Calibri"/>
                <w:color w:val="000000"/>
                <w:sz w:val="18"/>
                <w:szCs w:val="18"/>
              </w:rPr>
            </w:pPr>
            <w:r w:rsidRPr="00763BF7">
              <w:rPr>
                <w:rFonts w:eastAsia="Times New Roman" w:cs="Calibri"/>
                <w:color w:val="000000"/>
                <w:sz w:val="18"/>
                <w:szCs w:val="18"/>
              </w:rPr>
              <w:t>2701934</w:t>
            </w:r>
          </w:p>
        </w:tc>
      </w:tr>
      <w:tr w:rsidR="0050790A" w:rsidRPr="00763BF7" w:rsidTr="001B62D7">
        <w:trPr>
          <w:trHeight w:hRule="exact" w:val="288"/>
          <w:jc w:val="center"/>
        </w:trPr>
        <w:tc>
          <w:tcPr>
            <w:tcW w:w="1321"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rPr>
                <w:rFonts w:eastAsia="Times New Roman" w:cs="Calibri"/>
                <w:b/>
                <w:bCs/>
                <w:sz w:val="18"/>
                <w:szCs w:val="18"/>
              </w:rPr>
            </w:pPr>
            <w:r w:rsidRPr="00763BF7">
              <w:rPr>
                <w:rFonts w:eastAsia="Times New Roman" w:cs="Calibri"/>
                <w:b/>
                <w:bCs/>
                <w:sz w:val="18"/>
                <w:szCs w:val="18"/>
              </w:rPr>
              <w:t>Bangladesh</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sz w:val="18"/>
                <w:szCs w:val="18"/>
              </w:rPr>
            </w:pPr>
            <w:r w:rsidRPr="00763BF7">
              <w:rPr>
                <w:rFonts w:eastAsia="Times New Roman" w:cs="Calibri"/>
                <w:b/>
                <w:bCs/>
                <w:sz w:val="18"/>
                <w:szCs w:val="18"/>
              </w:rPr>
              <w:t>17800159</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sz w:val="18"/>
                <w:szCs w:val="18"/>
              </w:rPr>
            </w:pPr>
            <w:r w:rsidRPr="00763BF7">
              <w:rPr>
                <w:rFonts w:eastAsia="Times New Roman" w:cs="Calibri"/>
                <w:b/>
                <w:bCs/>
                <w:sz w:val="18"/>
                <w:szCs w:val="18"/>
              </w:rPr>
              <w:t>16927774</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sz w:val="18"/>
                <w:szCs w:val="18"/>
              </w:rPr>
            </w:pPr>
            <w:r w:rsidRPr="00763BF7">
              <w:rPr>
                <w:rFonts w:eastAsia="Times New Roman" w:cs="Calibri"/>
                <w:b/>
                <w:bCs/>
                <w:sz w:val="18"/>
                <w:szCs w:val="18"/>
              </w:rPr>
              <w:t>16098145</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sz w:val="18"/>
                <w:szCs w:val="18"/>
              </w:rPr>
            </w:pPr>
            <w:r w:rsidRPr="00763BF7">
              <w:rPr>
                <w:rFonts w:eastAsia="Times New Roman" w:cs="Calibri"/>
                <w:b/>
                <w:bCs/>
                <w:sz w:val="18"/>
                <w:szCs w:val="18"/>
              </w:rPr>
              <w:t>15309175</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sz w:val="18"/>
                <w:szCs w:val="18"/>
              </w:rPr>
            </w:pPr>
            <w:r w:rsidRPr="00763BF7">
              <w:rPr>
                <w:rFonts w:eastAsia="Times New Roman" w:cs="Calibri"/>
                <w:b/>
                <w:bCs/>
                <w:sz w:val="18"/>
                <w:szCs w:val="18"/>
              </w:rPr>
              <w:t>14558874</w:t>
            </w:r>
          </w:p>
        </w:tc>
        <w:tc>
          <w:tcPr>
            <w:tcW w:w="613" w:type="pct"/>
            <w:tcBorders>
              <w:top w:val="nil"/>
              <w:left w:val="nil"/>
              <w:bottom w:val="single" w:sz="8" w:space="0" w:color="auto"/>
              <w:right w:val="nil"/>
            </w:tcBorders>
            <w:shd w:val="clear" w:color="auto" w:fill="auto"/>
            <w:noWrap/>
            <w:vAlign w:val="bottom"/>
            <w:hideMark/>
          </w:tcPr>
          <w:p w:rsidR="0050790A" w:rsidRPr="00763BF7" w:rsidRDefault="0050790A" w:rsidP="00554AA1">
            <w:pPr>
              <w:spacing w:line="240" w:lineRule="auto"/>
              <w:jc w:val="right"/>
              <w:rPr>
                <w:rFonts w:eastAsia="Times New Roman" w:cs="Calibri"/>
                <w:b/>
                <w:bCs/>
                <w:sz w:val="18"/>
                <w:szCs w:val="18"/>
              </w:rPr>
            </w:pPr>
            <w:r w:rsidRPr="00763BF7">
              <w:rPr>
                <w:rFonts w:eastAsia="Times New Roman" w:cs="Calibri"/>
                <w:b/>
                <w:bCs/>
                <w:sz w:val="18"/>
                <w:szCs w:val="18"/>
              </w:rPr>
              <w:t>13985196</w:t>
            </w:r>
          </w:p>
        </w:tc>
      </w:tr>
      <w:tr w:rsidR="0050790A" w:rsidRPr="00763BF7" w:rsidTr="001B62D7">
        <w:trPr>
          <w:trHeight w:hRule="exact" w:val="288"/>
          <w:jc w:val="center"/>
        </w:trPr>
        <w:tc>
          <w:tcPr>
            <w:tcW w:w="1321" w:type="pct"/>
            <w:tcBorders>
              <w:top w:val="nil"/>
              <w:left w:val="nil"/>
              <w:bottom w:val="nil"/>
              <w:right w:val="nil"/>
            </w:tcBorders>
            <w:shd w:val="clear" w:color="auto" w:fill="auto"/>
            <w:noWrap/>
            <w:vAlign w:val="bottom"/>
            <w:hideMark/>
          </w:tcPr>
          <w:p w:rsidR="0050790A" w:rsidRPr="00961A0D" w:rsidRDefault="0050790A" w:rsidP="00554AA1">
            <w:pPr>
              <w:rPr>
                <w:b/>
                <w:i/>
                <w:sz w:val="20"/>
              </w:rPr>
            </w:pPr>
            <w:r w:rsidRPr="00961A0D">
              <w:rPr>
                <w:b/>
                <w:i/>
                <w:sz w:val="20"/>
              </w:rPr>
              <w:t>Source: GED Projections</w:t>
            </w:r>
          </w:p>
          <w:p w:rsidR="0050790A" w:rsidRPr="00763BF7" w:rsidRDefault="0050790A" w:rsidP="00554AA1">
            <w:pPr>
              <w:spacing w:line="240" w:lineRule="auto"/>
              <w:rPr>
                <w:rFonts w:eastAsia="Times New Roman" w:cs="Calibri"/>
                <w:b/>
                <w:bCs/>
                <w:color w:val="000000"/>
                <w:sz w:val="18"/>
                <w:szCs w:val="18"/>
              </w:rPr>
            </w:pP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613"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r>
    </w:tbl>
    <w:p w:rsidR="001B62D7" w:rsidRPr="00E07BEE" w:rsidRDefault="001B62D7" w:rsidP="00383127">
      <w:pPr>
        <w:tabs>
          <w:tab w:val="left" w:pos="1035"/>
        </w:tabs>
        <w:spacing w:line="240" w:lineRule="auto"/>
        <w:rPr>
          <w:rFonts w:eastAsia="Calibri" w:cs="Times New Roman"/>
          <w:b/>
          <w:sz w:val="16"/>
          <w:szCs w:val="20"/>
          <w:lang w:val="en-GB"/>
        </w:rPr>
      </w:pPr>
    </w:p>
    <w:p w:rsidR="00146380" w:rsidRDefault="00146380" w:rsidP="001B62D7">
      <w:pPr>
        <w:pStyle w:val="Heading8"/>
        <w:spacing w:after="120"/>
      </w:pPr>
      <w:bookmarkStart w:id="1011" w:name="_Toc474639356"/>
      <w:r w:rsidRPr="00383127">
        <w:t>Table B5.18: Bangladesh: L</w:t>
      </w:r>
      <w:r w:rsidR="000745AE">
        <w:t>oss of Flood and Cyclone,</w:t>
      </w:r>
      <w:r w:rsidRPr="00383127">
        <w:t xml:space="preserve"> FY2016 -FY2041</w:t>
      </w:r>
      <w:bookmarkEnd w:id="1011"/>
    </w:p>
    <w:tbl>
      <w:tblPr>
        <w:tblW w:w="5000" w:type="pct"/>
        <w:jc w:val="center"/>
        <w:tblLook w:val="04A0"/>
      </w:tblPr>
      <w:tblGrid>
        <w:gridCol w:w="3543"/>
        <w:gridCol w:w="884"/>
        <w:gridCol w:w="1119"/>
        <w:gridCol w:w="1119"/>
        <w:gridCol w:w="1119"/>
        <w:gridCol w:w="1121"/>
        <w:gridCol w:w="1121"/>
      </w:tblGrid>
      <w:tr w:rsidR="0050790A" w:rsidRPr="00763BF7" w:rsidTr="001B62D7">
        <w:trPr>
          <w:trHeight w:hRule="exact" w:val="432"/>
          <w:jc w:val="center"/>
        </w:trPr>
        <w:tc>
          <w:tcPr>
            <w:tcW w:w="1767"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rPr>
                <w:rFonts w:eastAsia="Times New Roman" w:cs="Calibri"/>
                <w:b/>
                <w:bCs/>
                <w:color w:val="000000"/>
              </w:rPr>
            </w:pPr>
            <w:r w:rsidRPr="00763BF7">
              <w:rPr>
                <w:rFonts w:eastAsia="Times New Roman" w:cs="Calibri"/>
                <w:b/>
                <w:bCs/>
                <w:color w:val="000000"/>
              </w:rPr>
              <w:t>Calendar Year</w:t>
            </w:r>
          </w:p>
        </w:tc>
        <w:tc>
          <w:tcPr>
            <w:tcW w:w="441" w:type="pct"/>
            <w:tcBorders>
              <w:top w:val="nil"/>
              <w:left w:val="nil"/>
              <w:bottom w:val="single" w:sz="8" w:space="0" w:color="auto"/>
              <w:right w:val="nil"/>
            </w:tcBorders>
            <w:shd w:val="clear" w:color="auto" w:fill="auto"/>
            <w:noWrap/>
            <w:vAlign w:val="center"/>
            <w:hideMark/>
          </w:tcPr>
          <w:p w:rsidR="0050790A" w:rsidRPr="001B62D7" w:rsidRDefault="0050790A" w:rsidP="001B62D7">
            <w:pPr>
              <w:spacing w:line="240" w:lineRule="auto"/>
              <w:jc w:val="center"/>
              <w:rPr>
                <w:rFonts w:eastAsia="Times New Roman" w:cs="Calibri"/>
                <w:b/>
                <w:bCs/>
                <w:color w:val="000000"/>
                <w:szCs w:val="18"/>
              </w:rPr>
            </w:pPr>
            <w:r w:rsidRPr="001B62D7">
              <w:rPr>
                <w:rFonts w:eastAsia="Times New Roman" w:cs="Calibri"/>
                <w:b/>
                <w:bCs/>
                <w:color w:val="000000"/>
                <w:szCs w:val="18"/>
              </w:rPr>
              <w:t>2016</w:t>
            </w:r>
          </w:p>
        </w:tc>
        <w:tc>
          <w:tcPr>
            <w:tcW w:w="558" w:type="pct"/>
            <w:tcBorders>
              <w:top w:val="nil"/>
              <w:left w:val="nil"/>
              <w:bottom w:val="single" w:sz="8" w:space="0" w:color="auto"/>
              <w:right w:val="nil"/>
            </w:tcBorders>
            <w:shd w:val="clear" w:color="auto" w:fill="auto"/>
            <w:noWrap/>
            <w:vAlign w:val="center"/>
            <w:hideMark/>
          </w:tcPr>
          <w:p w:rsidR="0050790A" w:rsidRPr="001B62D7" w:rsidRDefault="0050790A" w:rsidP="001B62D7">
            <w:pPr>
              <w:spacing w:line="240" w:lineRule="auto"/>
              <w:jc w:val="center"/>
              <w:rPr>
                <w:rFonts w:eastAsia="Times New Roman" w:cs="Calibri"/>
                <w:b/>
                <w:bCs/>
                <w:color w:val="000000"/>
                <w:szCs w:val="18"/>
              </w:rPr>
            </w:pPr>
            <w:r w:rsidRPr="001B62D7">
              <w:rPr>
                <w:rFonts w:eastAsia="Times New Roman" w:cs="Calibri"/>
                <w:b/>
                <w:bCs/>
                <w:color w:val="000000"/>
                <w:szCs w:val="18"/>
              </w:rPr>
              <w:t>2021</w:t>
            </w:r>
          </w:p>
        </w:tc>
        <w:tc>
          <w:tcPr>
            <w:tcW w:w="558" w:type="pct"/>
            <w:tcBorders>
              <w:top w:val="nil"/>
              <w:left w:val="nil"/>
              <w:bottom w:val="single" w:sz="8" w:space="0" w:color="auto"/>
              <w:right w:val="nil"/>
            </w:tcBorders>
            <w:shd w:val="clear" w:color="auto" w:fill="auto"/>
            <w:noWrap/>
            <w:vAlign w:val="center"/>
            <w:hideMark/>
          </w:tcPr>
          <w:p w:rsidR="0050790A" w:rsidRPr="001B62D7" w:rsidRDefault="0050790A" w:rsidP="001B62D7">
            <w:pPr>
              <w:spacing w:line="240" w:lineRule="auto"/>
              <w:jc w:val="center"/>
              <w:rPr>
                <w:rFonts w:eastAsia="Times New Roman" w:cs="Calibri"/>
                <w:b/>
                <w:bCs/>
                <w:color w:val="000000"/>
                <w:szCs w:val="18"/>
              </w:rPr>
            </w:pPr>
            <w:r w:rsidRPr="001B62D7">
              <w:rPr>
                <w:rFonts w:eastAsia="Times New Roman" w:cs="Calibri"/>
                <w:b/>
                <w:bCs/>
                <w:color w:val="000000"/>
                <w:szCs w:val="18"/>
              </w:rPr>
              <w:t>2026</w:t>
            </w:r>
          </w:p>
        </w:tc>
        <w:tc>
          <w:tcPr>
            <w:tcW w:w="558" w:type="pct"/>
            <w:tcBorders>
              <w:top w:val="nil"/>
              <w:left w:val="nil"/>
              <w:bottom w:val="single" w:sz="8" w:space="0" w:color="auto"/>
              <w:right w:val="nil"/>
            </w:tcBorders>
            <w:shd w:val="clear" w:color="auto" w:fill="auto"/>
            <w:noWrap/>
            <w:vAlign w:val="center"/>
            <w:hideMark/>
          </w:tcPr>
          <w:p w:rsidR="0050790A" w:rsidRPr="001B62D7" w:rsidRDefault="0050790A" w:rsidP="001B62D7">
            <w:pPr>
              <w:spacing w:line="240" w:lineRule="auto"/>
              <w:jc w:val="center"/>
              <w:rPr>
                <w:rFonts w:eastAsia="Times New Roman" w:cs="Calibri"/>
                <w:b/>
                <w:bCs/>
                <w:color w:val="000000"/>
                <w:szCs w:val="18"/>
              </w:rPr>
            </w:pPr>
            <w:r w:rsidRPr="001B62D7">
              <w:rPr>
                <w:rFonts w:eastAsia="Times New Roman" w:cs="Calibri"/>
                <w:b/>
                <w:bCs/>
                <w:color w:val="000000"/>
                <w:szCs w:val="18"/>
              </w:rPr>
              <w:t>2031</w:t>
            </w:r>
          </w:p>
        </w:tc>
        <w:tc>
          <w:tcPr>
            <w:tcW w:w="558" w:type="pct"/>
            <w:tcBorders>
              <w:top w:val="nil"/>
              <w:left w:val="nil"/>
              <w:bottom w:val="single" w:sz="8" w:space="0" w:color="auto"/>
              <w:right w:val="nil"/>
            </w:tcBorders>
            <w:shd w:val="clear" w:color="auto" w:fill="auto"/>
            <w:noWrap/>
            <w:vAlign w:val="center"/>
            <w:hideMark/>
          </w:tcPr>
          <w:p w:rsidR="0050790A" w:rsidRPr="001B62D7" w:rsidRDefault="0050790A" w:rsidP="001B62D7">
            <w:pPr>
              <w:spacing w:line="240" w:lineRule="auto"/>
              <w:jc w:val="center"/>
              <w:rPr>
                <w:rFonts w:eastAsia="Times New Roman" w:cs="Calibri"/>
                <w:b/>
                <w:bCs/>
                <w:color w:val="000000"/>
                <w:szCs w:val="18"/>
              </w:rPr>
            </w:pPr>
            <w:r w:rsidRPr="001B62D7">
              <w:rPr>
                <w:rFonts w:eastAsia="Times New Roman" w:cs="Calibri"/>
                <w:b/>
                <w:bCs/>
                <w:color w:val="000000"/>
                <w:szCs w:val="18"/>
              </w:rPr>
              <w:t>2036</w:t>
            </w:r>
          </w:p>
        </w:tc>
        <w:tc>
          <w:tcPr>
            <w:tcW w:w="559" w:type="pct"/>
            <w:tcBorders>
              <w:top w:val="nil"/>
              <w:left w:val="nil"/>
              <w:bottom w:val="single" w:sz="8" w:space="0" w:color="auto"/>
              <w:right w:val="nil"/>
            </w:tcBorders>
            <w:shd w:val="clear" w:color="auto" w:fill="auto"/>
            <w:noWrap/>
            <w:vAlign w:val="center"/>
            <w:hideMark/>
          </w:tcPr>
          <w:p w:rsidR="0050790A" w:rsidRPr="001B62D7" w:rsidRDefault="0050790A" w:rsidP="001B62D7">
            <w:pPr>
              <w:spacing w:line="240" w:lineRule="auto"/>
              <w:jc w:val="center"/>
              <w:rPr>
                <w:rFonts w:eastAsia="Times New Roman" w:cs="Calibri"/>
                <w:b/>
                <w:bCs/>
                <w:color w:val="000000"/>
                <w:szCs w:val="18"/>
              </w:rPr>
            </w:pPr>
            <w:r w:rsidRPr="001B62D7">
              <w:rPr>
                <w:rFonts w:eastAsia="Times New Roman" w:cs="Calibri"/>
                <w:b/>
                <w:bCs/>
                <w:color w:val="000000"/>
                <w:szCs w:val="18"/>
              </w:rPr>
              <w:t>2041</w:t>
            </w:r>
          </w:p>
        </w:tc>
      </w:tr>
      <w:tr w:rsidR="0050790A" w:rsidRPr="00763BF7" w:rsidTr="001B62D7">
        <w:trPr>
          <w:trHeight w:hRule="exact" w:val="432"/>
          <w:jc w:val="center"/>
        </w:trPr>
        <w:tc>
          <w:tcPr>
            <w:tcW w:w="1767" w:type="pct"/>
            <w:tcBorders>
              <w:top w:val="nil"/>
              <w:left w:val="nil"/>
              <w:bottom w:val="nil"/>
              <w:right w:val="nil"/>
            </w:tcBorders>
            <w:shd w:val="clear" w:color="auto" w:fill="auto"/>
            <w:noWrap/>
            <w:vAlign w:val="center"/>
            <w:hideMark/>
          </w:tcPr>
          <w:p w:rsidR="0050790A" w:rsidRPr="00763BF7" w:rsidRDefault="0050790A" w:rsidP="00554AA1">
            <w:pPr>
              <w:spacing w:line="240" w:lineRule="auto"/>
              <w:rPr>
                <w:rFonts w:eastAsia="Times New Roman" w:cs="Calibri"/>
                <w:b/>
                <w:bCs/>
                <w:color w:val="000000"/>
              </w:rPr>
            </w:pPr>
            <w:r w:rsidRPr="00763BF7">
              <w:rPr>
                <w:rFonts w:eastAsia="Times New Roman" w:cs="Calibri"/>
                <w:b/>
                <w:bCs/>
                <w:color w:val="000000"/>
              </w:rPr>
              <w:t>Component:</w:t>
            </w:r>
          </w:p>
        </w:tc>
        <w:tc>
          <w:tcPr>
            <w:tcW w:w="2674" w:type="pct"/>
            <w:gridSpan w:val="5"/>
            <w:tcBorders>
              <w:top w:val="nil"/>
              <w:left w:val="nil"/>
              <w:bottom w:val="nil"/>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b/>
                <w:bCs/>
                <w:color w:val="000000"/>
                <w:sz w:val="18"/>
                <w:szCs w:val="18"/>
              </w:rPr>
            </w:pPr>
            <w:r w:rsidRPr="00763BF7">
              <w:rPr>
                <w:rFonts w:eastAsia="Times New Roman" w:cs="Calibri"/>
                <w:b/>
                <w:bCs/>
                <w:color w:val="000000"/>
                <w:sz w:val="18"/>
                <w:szCs w:val="18"/>
              </w:rPr>
              <w:t xml:space="preserve">( In </w:t>
            </w:r>
            <w:r w:rsidR="00EA4E38" w:rsidRPr="00763BF7">
              <w:rPr>
                <w:rFonts w:eastAsia="Times New Roman" w:cs="Calibri"/>
                <w:b/>
                <w:bCs/>
                <w:color w:val="000000"/>
                <w:sz w:val="18"/>
                <w:szCs w:val="18"/>
              </w:rPr>
              <w:t>Millions</w:t>
            </w:r>
            <w:r w:rsidRPr="00763BF7">
              <w:rPr>
                <w:rFonts w:eastAsia="Times New Roman" w:cs="Calibri"/>
                <w:b/>
                <w:bCs/>
                <w:color w:val="000000"/>
                <w:sz w:val="18"/>
                <w:szCs w:val="18"/>
              </w:rPr>
              <w:t xml:space="preserve"> of USD)</w:t>
            </w:r>
          </w:p>
        </w:tc>
        <w:tc>
          <w:tcPr>
            <w:tcW w:w="559" w:type="pct"/>
            <w:tcBorders>
              <w:top w:val="nil"/>
              <w:left w:val="nil"/>
              <w:bottom w:val="nil"/>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p>
        </w:tc>
      </w:tr>
      <w:tr w:rsidR="0050790A" w:rsidRPr="00763BF7" w:rsidTr="001B62D7">
        <w:trPr>
          <w:trHeight w:hRule="exact" w:val="432"/>
          <w:jc w:val="center"/>
        </w:trPr>
        <w:tc>
          <w:tcPr>
            <w:tcW w:w="1767" w:type="pct"/>
            <w:tcBorders>
              <w:top w:val="nil"/>
              <w:left w:val="nil"/>
              <w:bottom w:val="nil"/>
              <w:right w:val="nil"/>
            </w:tcBorders>
            <w:shd w:val="clear" w:color="auto" w:fill="auto"/>
            <w:noWrap/>
            <w:vAlign w:val="center"/>
            <w:hideMark/>
          </w:tcPr>
          <w:p w:rsidR="0050790A" w:rsidRPr="00763BF7" w:rsidRDefault="0050790A" w:rsidP="00554AA1">
            <w:pPr>
              <w:spacing w:line="240" w:lineRule="auto"/>
              <w:rPr>
                <w:rFonts w:eastAsia="Times New Roman" w:cs="Calibri"/>
                <w:color w:val="000000"/>
              </w:rPr>
            </w:pPr>
            <w:r w:rsidRPr="00763BF7">
              <w:rPr>
                <w:rFonts w:eastAsia="Times New Roman" w:cs="Calibri"/>
                <w:color w:val="000000"/>
              </w:rPr>
              <w:t>Loss in Flood</w:t>
            </w:r>
          </w:p>
        </w:tc>
        <w:tc>
          <w:tcPr>
            <w:tcW w:w="441" w:type="pct"/>
            <w:tcBorders>
              <w:top w:val="nil"/>
              <w:left w:val="nil"/>
              <w:bottom w:val="nil"/>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77.0</w:t>
            </w:r>
          </w:p>
        </w:tc>
        <w:tc>
          <w:tcPr>
            <w:tcW w:w="558" w:type="pct"/>
            <w:tcBorders>
              <w:top w:val="nil"/>
              <w:left w:val="nil"/>
              <w:bottom w:val="nil"/>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106.1</w:t>
            </w:r>
          </w:p>
        </w:tc>
        <w:tc>
          <w:tcPr>
            <w:tcW w:w="558" w:type="pct"/>
            <w:tcBorders>
              <w:top w:val="nil"/>
              <w:left w:val="nil"/>
              <w:bottom w:val="nil"/>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150.5</w:t>
            </w:r>
          </w:p>
        </w:tc>
        <w:tc>
          <w:tcPr>
            <w:tcW w:w="558" w:type="pct"/>
            <w:tcBorders>
              <w:top w:val="nil"/>
              <w:left w:val="nil"/>
              <w:bottom w:val="nil"/>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216.0</w:t>
            </w:r>
          </w:p>
        </w:tc>
        <w:tc>
          <w:tcPr>
            <w:tcW w:w="558" w:type="pct"/>
            <w:tcBorders>
              <w:top w:val="nil"/>
              <w:left w:val="nil"/>
              <w:bottom w:val="nil"/>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312.5</w:t>
            </w:r>
          </w:p>
        </w:tc>
        <w:tc>
          <w:tcPr>
            <w:tcW w:w="559" w:type="pct"/>
            <w:tcBorders>
              <w:top w:val="nil"/>
              <w:left w:val="nil"/>
              <w:bottom w:val="nil"/>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420.2</w:t>
            </w:r>
          </w:p>
        </w:tc>
      </w:tr>
      <w:tr w:rsidR="0050790A" w:rsidRPr="00763BF7" w:rsidTr="001B62D7">
        <w:trPr>
          <w:trHeight w:hRule="exact" w:val="432"/>
          <w:jc w:val="center"/>
        </w:trPr>
        <w:tc>
          <w:tcPr>
            <w:tcW w:w="1767" w:type="pct"/>
            <w:tcBorders>
              <w:top w:val="nil"/>
              <w:left w:val="nil"/>
              <w:bottom w:val="single" w:sz="8" w:space="0" w:color="auto"/>
              <w:right w:val="nil"/>
            </w:tcBorders>
            <w:shd w:val="clear" w:color="auto" w:fill="auto"/>
            <w:noWrap/>
            <w:vAlign w:val="center"/>
            <w:hideMark/>
          </w:tcPr>
          <w:p w:rsidR="0050790A" w:rsidRPr="00763BF7" w:rsidRDefault="0050790A" w:rsidP="00554AA1">
            <w:pPr>
              <w:spacing w:line="240" w:lineRule="auto"/>
              <w:rPr>
                <w:rFonts w:eastAsia="Times New Roman" w:cs="Calibri"/>
                <w:color w:val="000000"/>
              </w:rPr>
            </w:pPr>
            <w:r w:rsidRPr="00763BF7">
              <w:rPr>
                <w:rFonts w:eastAsia="Times New Roman" w:cs="Calibri"/>
                <w:color w:val="000000"/>
              </w:rPr>
              <w:t>Loss in Cyclone</w:t>
            </w:r>
          </w:p>
        </w:tc>
        <w:tc>
          <w:tcPr>
            <w:tcW w:w="441" w:type="pct"/>
            <w:tcBorders>
              <w:top w:val="nil"/>
              <w:left w:val="nil"/>
              <w:bottom w:val="single" w:sz="8" w:space="0" w:color="auto"/>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23.5</w:t>
            </w:r>
          </w:p>
        </w:tc>
        <w:tc>
          <w:tcPr>
            <w:tcW w:w="558" w:type="pct"/>
            <w:tcBorders>
              <w:top w:val="nil"/>
              <w:left w:val="nil"/>
              <w:bottom w:val="single" w:sz="8" w:space="0" w:color="auto"/>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37.8</w:t>
            </w:r>
          </w:p>
        </w:tc>
        <w:tc>
          <w:tcPr>
            <w:tcW w:w="558" w:type="pct"/>
            <w:tcBorders>
              <w:top w:val="nil"/>
              <w:left w:val="nil"/>
              <w:bottom w:val="single" w:sz="8" w:space="0" w:color="auto"/>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60.9</w:t>
            </w:r>
          </w:p>
        </w:tc>
        <w:tc>
          <w:tcPr>
            <w:tcW w:w="558" w:type="pct"/>
            <w:tcBorders>
              <w:top w:val="nil"/>
              <w:left w:val="nil"/>
              <w:bottom w:val="single" w:sz="8" w:space="0" w:color="auto"/>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98.1</w:t>
            </w:r>
          </w:p>
        </w:tc>
        <w:tc>
          <w:tcPr>
            <w:tcW w:w="558" w:type="pct"/>
            <w:tcBorders>
              <w:top w:val="nil"/>
              <w:left w:val="nil"/>
              <w:bottom w:val="single" w:sz="8" w:space="0" w:color="auto"/>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158.0</w:t>
            </w:r>
          </w:p>
        </w:tc>
        <w:tc>
          <w:tcPr>
            <w:tcW w:w="559" w:type="pct"/>
            <w:tcBorders>
              <w:top w:val="nil"/>
              <w:left w:val="nil"/>
              <w:bottom w:val="single" w:sz="8" w:space="0" w:color="auto"/>
              <w:right w:val="nil"/>
            </w:tcBorders>
            <w:shd w:val="clear" w:color="auto" w:fill="auto"/>
            <w:noWrap/>
            <w:vAlign w:val="center"/>
            <w:hideMark/>
          </w:tcPr>
          <w:p w:rsidR="0050790A" w:rsidRPr="00763BF7" w:rsidRDefault="0050790A" w:rsidP="001B62D7">
            <w:pPr>
              <w:spacing w:line="240" w:lineRule="auto"/>
              <w:jc w:val="center"/>
              <w:rPr>
                <w:rFonts w:eastAsia="Times New Roman" w:cs="Calibri"/>
                <w:color w:val="000000"/>
              </w:rPr>
            </w:pPr>
            <w:r w:rsidRPr="00763BF7">
              <w:rPr>
                <w:rFonts w:eastAsia="Times New Roman" w:cs="Calibri"/>
                <w:color w:val="000000"/>
              </w:rPr>
              <w:t>231.3</w:t>
            </w:r>
          </w:p>
        </w:tc>
      </w:tr>
      <w:tr w:rsidR="0050790A" w:rsidRPr="00763BF7" w:rsidTr="001B62D7">
        <w:trPr>
          <w:trHeight w:hRule="exact" w:val="288"/>
          <w:jc w:val="center"/>
        </w:trPr>
        <w:tc>
          <w:tcPr>
            <w:tcW w:w="1767" w:type="pct"/>
            <w:tcBorders>
              <w:top w:val="nil"/>
              <w:left w:val="nil"/>
              <w:bottom w:val="nil"/>
              <w:right w:val="nil"/>
            </w:tcBorders>
            <w:shd w:val="clear" w:color="auto" w:fill="auto"/>
            <w:noWrap/>
            <w:vAlign w:val="bottom"/>
            <w:hideMark/>
          </w:tcPr>
          <w:p w:rsidR="0050790A" w:rsidRPr="00961A0D" w:rsidRDefault="0050790A" w:rsidP="00554AA1">
            <w:pPr>
              <w:rPr>
                <w:b/>
                <w:i/>
                <w:sz w:val="20"/>
              </w:rPr>
            </w:pPr>
            <w:r w:rsidRPr="00961A0D">
              <w:rPr>
                <w:b/>
                <w:i/>
                <w:sz w:val="20"/>
              </w:rPr>
              <w:t>Source: GED Projections</w:t>
            </w:r>
          </w:p>
          <w:p w:rsidR="0050790A" w:rsidRPr="00763BF7" w:rsidRDefault="0050790A" w:rsidP="00554AA1">
            <w:pPr>
              <w:spacing w:line="240" w:lineRule="auto"/>
              <w:rPr>
                <w:rFonts w:eastAsia="Times New Roman" w:cs="Calibri"/>
                <w:b/>
                <w:bCs/>
                <w:color w:val="000000"/>
                <w:sz w:val="18"/>
                <w:szCs w:val="18"/>
              </w:rPr>
            </w:pPr>
          </w:p>
        </w:tc>
        <w:tc>
          <w:tcPr>
            <w:tcW w:w="441"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558"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558"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558"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558"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c>
          <w:tcPr>
            <w:tcW w:w="559" w:type="pct"/>
            <w:tcBorders>
              <w:top w:val="nil"/>
              <w:left w:val="nil"/>
              <w:bottom w:val="nil"/>
              <w:right w:val="nil"/>
            </w:tcBorders>
            <w:shd w:val="clear" w:color="auto" w:fill="auto"/>
            <w:noWrap/>
            <w:vAlign w:val="bottom"/>
            <w:hideMark/>
          </w:tcPr>
          <w:p w:rsidR="0050790A" w:rsidRPr="00763BF7" w:rsidRDefault="0050790A" w:rsidP="00554AA1">
            <w:pPr>
              <w:spacing w:line="240" w:lineRule="auto"/>
              <w:rPr>
                <w:rFonts w:eastAsia="Times New Roman" w:cs="Calibri"/>
                <w:color w:val="000000"/>
              </w:rPr>
            </w:pPr>
          </w:p>
        </w:tc>
      </w:tr>
    </w:tbl>
    <w:p w:rsidR="0050790A" w:rsidRPr="0050790A" w:rsidRDefault="0050790A" w:rsidP="004B0A08"/>
    <w:p w:rsidR="00146380" w:rsidRPr="001B62D7" w:rsidRDefault="00146380" w:rsidP="001B62D7">
      <w:pPr>
        <w:tabs>
          <w:tab w:val="left" w:pos="1035"/>
        </w:tabs>
        <w:spacing w:after="0" w:line="240" w:lineRule="auto"/>
        <w:rPr>
          <w:rFonts w:eastAsia="Calibri" w:cs="Times New Roman"/>
          <w:b/>
          <w:sz w:val="16"/>
          <w:szCs w:val="20"/>
          <w:lang w:val="en-GB"/>
        </w:rPr>
        <w:sectPr w:rsidR="00146380" w:rsidRPr="001B62D7" w:rsidSect="000F4981">
          <w:pgSz w:w="12240" w:h="15840"/>
          <w:pgMar w:top="1440" w:right="1440" w:bottom="1440" w:left="990" w:header="720" w:footer="720" w:gutter="0"/>
          <w:cols w:space="720"/>
          <w:docGrid w:linePitch="360"/>
        </w:sectPr>
      </w:pPr>
    </w:p>
    <w:p w:rsidR="00BE1502" w:rsidRPr="007809F2" w:rsidRDefault="00BE1502" w:rsidP="00BE1502">
      <w:pPr>
        <w:pStyle w:val="BodyText"/>
        <w:spacing w:after="240" w:line="276" w:lineRule="auto"/>
        <w:jc w:val="both"/>
        <w:rPr>
          <w:rFonts w:cs="Times New Roman"/>
          <w:b/>
          <w:szCs w:val="24"/>
        </w:rPr>
      </w:pPr>
      <w:r w:rsidRPr="007809F2">
        <w:rPr>
          <w:rFonts w:cs="Times New Roman"/>
          <w:b/>
          <w:szCs w:val="24"/>
        </w:rPr>
        <w:lastRenderedPageBreak/>
        <w:t>Previous Attempts to Estimate Economic Impacts of Climate Change</w:t>
      </w:r>
    </w:p>
    <w:p w:rsidR="00BE1502" w:rsidRDefault="00BE1502" w:rsidP="00BE1502">
      <w:pPr>
        <w:spacing w:line="276" w:lineRule="auto"/>
        <w:jc w:val="both"/>
        <w:rPr>
          <w:rFonts w:cs="Times New Roman"/>
          <w:szCs w:val="28"/>
        </w:rPr>
      </w:pPr>
      <w:r>
        <w:rPr>
          <w:rFonts w:cs="Times New Roman"/>
          <w:szCs w:val="28"/>
        </w:rPr>
        <w:t>The literature</w:t>
      </w:r>
      <w:r w:rsidRPr="008363FC">
        <w:rPr>
          <w:rFonts w:cs="Times New Roman"/>
          <w:szCs w:val="28"/>
        </w:rPr>
        <w:t xml:space="preserve"> on assessing the economic impacts of climate change in Ban</w:t>
      </w:r>
      <w:r>
        <w:rPr>
          <w:rFonts w:cs="Times New Roman"/>
          <w:szCs w:val="28"/>
        </w:rPr>
        <w:t>gladesh is</w:t>
      </w:r>
      <w:r w:rsidRPr="008363FC">
        <w:rPr>
          <w:rFonts w:cs="Times New Roman"/>
          <w:szCs w:val="28"/>
        </w:rPr>
        <w:t xml:space="preserve"> not extensive. In a recently concluded project – ‘Ecosystem services for poverty alleviation (ESPA)’ – under the aegis of Institute of Water Modeling and Flood Management (IWMFM) at BUET</w:t>
      </w:r>
      <w:r>
        <w:rPr>
          <w:rFonts w:cs="Times New Roman"/>
          <w:szCs w:val="28"/>
        </w:rPr>
        <w:t xml:space="preserve">, </w:t>
      </w:r>
      <w:r w:rsidRPr="008363FC">
        <w:rPr>
          <w:rFonts w:cs="Times New Roman"/>
          <w:szCs w:val="28"/>
        </w:rPr>
        <w:t>an attempt has been made to quantify impact on livelihood and poverty. The project acknowledged that achieving populous Deltas development goals by 2100 is a complicated and complex problem. The project team used a dynamic integrated model titled “Delta Dynamic Integrated Emulator Model (ΔDIEM)” to assist poverty alleviation p</w:t>
      </w:r>
      <w:r>
        <w:rPr>
          <w:rFonts w:cs="Times New Roman"/>
          <w:szCs w:val="28"/>
        </w:rPr>
        <w:t xml:space="preserve">lanning in Coastal Bangladesh. </w:t>
      </w:r>
    </w:p>
    <w:p w:rsidR="00BE1502" w:rsidRPr="008363FC" w:rsidRDefault="00BE1502" w:rsidP="00BE1502">
      <w:pPr>
        <w:spacing w:line="276" w:lineRule="auto"/>
        <w:jc w:val="both"/>
        <w:rPr>
          <w:rFonts w:cs="Times New Roman"/>
          <w:szCs w:val="28"/>
        </w:rPr>
      </w:pPr>
      <w:r w:rsidRPr="008363FC">
        <w:rPr>
          <w:rFonts w:cs="Times New Roman"/>
          <w:szCs w:val="28"/>
        </w:rPr>
        <w:t>The model’s scope is to test plausible future scenarios and quantify interdependencies of</w:t>
      </w:r>
    </w:p>
    <w:p w:rsidR="00BE1502" w:rsidRPr="008363FC" w:rsidRDefault="00BE1502" w:rsidP="00A631E1">
      <w:pPr>
        <w:pStyle w:val="ListParagraph"/>
        <w:numPr>
          <w:ilvl w:val="0"/>
          <w:numId w:val="22"/>
        </w:numPr>
        <w:spacing w:line="276" w:lineRule="auto"/>
        <w:jc w:val="both"/>
        <w:rPr>
          <w:rFonts w:cs="Times New Roman"/>
          <w:szCs w:val="28"/>
        </w:rPr>
      </w:pPr>
      <w:r w:rsidRPr="008363FC">
        <w:rPr>
          <w:rFonts w:cs="Times New Roman"/>
          <w:szCs w:val="28"/>
        </w:rPr>
        <w:t>the bio-physical environment and ecosystem services,</w:t>
      </w:r>
    </w:p>
    <w:p w:rsidR="00BE1502" w:rsidRPr="008363FC" w:rsidRDefault="00BE1502" w:rsidP="00A631E1">
      <w:pPr>
        <w:pStyle w:val="ListParagraph"/>
        <w:numPr>
          <w:ilvl w:val="0"/>
          <w:numId w:val="22"/>
        </w:numPr>
        <w:spacing w:line="276" w:lineRule="auto"/>
        <w:jc w:val="both"/>
        <w:rPr>
          <w:rFonts w:cs="Times New Roman"/>
          <w:szCs w:val="28"/>
        </w:rPr>
      </w:pPr>
      <w:r w:rsidRPr="008363FC">
        <w:rPr>
          <w:rFonts w:cs="Times New Roman"/>
          <w:szCs w:val="28"/>
        </w:rPr>
        <w:t>rural livelihoods, poverty &amp; health</w:t>
      </w:r>
    </w:p>
    <w:p w:rsidR="00BE1502" w:rsidRPr="008363FC" w:rsidRDefault="00BE1502" w:rsidP="00A631E1">
      <w:pPr>
        <w:pStyle w:val="ListParagraph"/>
        <w:numPr>
          <w:ilvl w:val="0"/>
          <w:numId w:val="22"/>
        </w:numPr>
        <w:spacing w:line="276" w:lineRule="auto"/>
        <w:jc w:val="both"/>
        <w:rPr>
          <w:rFonts w:cs="Times New Roman"/>
          <w:szCs w:val="28"/>
        </w:rPr>
      </w:pPr>
      <w:r w:rsidRPr="008363FC">
        <w:rPr>
          <w:rFonts w:cs="Times New Roman"/>
          <w:szCs w:val="28"/>
        </w:rPr>
        <w:t>associated governance</w:t>
      </w:r>
    </w:p>
    <w:p w:rsidR="00BE1502" w:rsidRPr="008363FC" w:rsidRDefault="00BE1502" w:rsidP="00BE1502">
      <w:pPr>
        <w:spacing w:line="276" w:lineRule="auto"/>
        <w:jc w:val="both"/>
        <w:rPr>
          <w:rFonts w:cs="Times New Roman"/>
          <w:szCs w:val="28"/>
        </w:rPr>
      </w:pPr>
      <w:r w:rsidRPr="008363FC">
        <w:rPr>
          <w:rFonts w:cs="Times New Roman"/>
          <w:szCs w:val="28"/>
        </w:rPr>
        <w:t>The model operates at the Unions level on a daily time step. Unions are the smallest rural administrative and local government units in Bangladesh. There are 4550 Unions in Bangladesh from which a subset of 653 Unions was simulated by ΔDIEM. These 653 unions were in the agriculture dominated South-West coastal zone. A daily time step was used to resolve the soil water and salt balance dynamic due to environmental drivers (e.g. rainfall, flooding, and evapotranspiration) and human activities (agriculture, aquaculture).</w:t>
      </w:r>
    </w:p>
    <w:p w:rsidR="00BE1502" w:rsidRPr="008363FC" w:rsidRDefault="00BE1502" w:rsidP="00BE1502">
      <w:pPr>
        <w:spacing w:line="276" w:lineRule="auto"/>
        <w:jc w:val="both"/>
        <w:rPr>
          <w:rFonts w:cs="Times New Roman"/>
          <w:szCs w:val="28"/>
        </w:rPr>
      </w:pPr>
      <w:r w:rsidRPr="008363FC">
        <w:rPr>
          <w:rFonts w:cs="Times New Roman"/>
          <w:szCs w:val="28"/>
        </w:rPr>
        <w:t xml:space="preserve">The model was developed in a genuine participatory approach including five main groups of participants. At the very beginning, a broad set of stakeholders (more than 50 agencies) provided the narratives of three plausible future scenarios (termed Business as Usual, More Sustainable and Less Sustainable) that would like to explore. A comprehensive seasonal survey of more than 1500 households provided the ground knowledge about interdependencies between different archetypes of households and ecosystem services. An ESPA Deltas team of more than 100 specialist and students provided detailed assessment of future trends and changes of the natural and socio-economic systems. The quantitative sectoral assessment provided by the ESPA Deltas team was then integrated into the ΔDIEM that allows users to explore a broad range of interventions under the three different scenarios </w:t>
      </w:r>
      <w:r w:rsidRPr="00516D27">
        <w:rPr>
          <w:rFonts w:cs="Times New Roman"/>
          <w:b/>
          <w:szCs w:val="28"/>
        </w:rPr>
        <w:t>(http://www.espadelta.net/ddiem/).</w:t>
      </w:r>
    </w:p>
    <w:p w:rsidR="00BE1502" w:rsidRPr="008363FC" w:rsidRDefault="00BE1502" w:rsidP="00BE1502">
      <w:pPr>
        <w:spacing w:line="276" w:lineRule="auto"/>
        <w:jc w:val="both"/>
        <w:rPr>
          <w:rFonts w:cs="Times New Roman"/>
          <w:szCs w:val="28"/>
        </w:rPr>
      </w:pPr>
      <w:r w:rsidRPr="008363FC">
        <w:rPr>
          <w:rFonts w:cs="Times New Roman"/>
          <w:szCs w:val="28"/>
        </w:rPr>
        <w:t>Although it is a commendable effort to integrate climate cha</w:t>
      </w:r>
      <w:r>
        <w:rPr>
          <w:rFonts w:cs="Times New Roman"/>
          <w:szCs w:val="28"/>
        </w:rPr>
        <w:t>nge issues to poverty situation,</w:t>
      </w:r>
      <w:r w:rsidRPr="008363FC">
        <w:rPr>
          <w:rFonts w:cs="Times New Roman"/>
          <w:szCs w:val="28"/>
        </w:rPr>
        <w:t xml:space="preserve"> the model may not be readily appropriate for national level planning due to following reasons:</w:t>
      </w:r>
    </w:p>
    <w:p w:rsidR="00BE1502" w:rsidRPr="008363FC" w:rsidRDefault="00BE1502" w:rsidP="00A631E1">
      <w:pPr>
        <w:pStyle w:val="ListParagraph"/>
        <w:numPr>
          <w:ilvl w:val="0"/>
          <w:numId w:val="22"/>
        </w:numPr>
        <w:spacing w:line="276" w:lineRule="auto"/>
        <w:jc w:val="both"/>
        <w:rPr>
          <w:rFonts w:cs="Times New Roman"/>
          <w:szCs w:val="28"/>
        </w:rPr>
      </w:pPr>
      <w:r w:rsidRPr="008363FC">
        <w:rPr>
          <w:rFonts w:cs="Times New Roman"/>
          <w:szCs w:val="28"/>
        </w:rPr>
        <w:t>It is a regional model and expanding it to national level will take time.</w:t>
      </w:r>
    </w:p>
    <w:p w:rsidR="00BE1502" w:rsidRPr="008363FC" w:rsidRDefault="00BE1502" w:rsidP="00A631E1">
      <w:pPr>
        <w:pStyle w:val="ListParagraph"/>
        <w:numPr>
          <w:ilvl w:val="0"/>
          <w:numId w:val="22"/>
        </w:numPr>
        <w:spacing w:line="276" w:lineRule="auto"/>
        <w:jc w:val="both"/>
        <w:rPr>
          <w:rFonts w:cs="Times New Roman"/>
          <w:szCs w:val="28"/>
        </w:rPr>
      </w:pPr>
      <w:r w:rsidRPr="008363FC">
        <w:rPr>
          <w:rFonts w:cs="Times New Roman"/>
          <w:szCs w:val="28"/>
        </w:rPr>
        <w:lastRenderedPageBreak/>
        <w:t>The economic side of the model does not cover all aspect of planning model such as savings, investment, fiscal, monetary and debt blocks.</w:t>
      </w:r>
    </w:p>
    <w:p w:rsidR="00BE1502" w:rsidRPr="008363FC" w:rsidRDefault="00BE1502" w:rsidP="00A631E1">
      <w:pPr>
        <w:pStyle w:val="ListParagraph"/>
        <w:numPr>
          <w:ilvl w:val="0"/>
          <w:numId w:val="22"/>
        </w:numPr>
        <w:spacing w:line="276" w:lineRule="auto"/>
        <w:jc w:val="both"/>
        <w:rPr>
          <w:rFonts w:cs="Times New Roman"/>
          <w:szCs w:val="28"/>
        </w:rPr>
      </w:pPr>
      <w:r w:rsidRPr="008363FC">
        <w:rPr>
          <w:rFonts w:cs="Times New Roman"/>
          <w:szCs w:val="28"/>
        </w:rPr>
        <w:t>Due to lack of fiscal, monetary, debt and investment blocks, the model is incapable of estimating investment requirement for mitigation and adaptation projects.</w:t>
      </w:r>
    </w:p>
    <w:p w:rsidR="00BE1502" w:rsidRPr="008363FC" w:rsidRDefault="00BE1502" w:rsidP="00BE1502">
      <w:pPr>
        <w:spacing w:line="276" w:lineRule="auto"/>
        <w:jc w:val="both"/>
        <w:rPr>
          <w:rFonts w:cs="Times New Roman"/>
          <w:szCs w:val="28"/>
        </w:rPr>
      </w:pPr>
      <w:r w:rsidRPr="008363FC">
        <w:rPr>
          <w:rFonts w:cs="Times New Roman"/>
          <w:szCs w:val="28"/>
        </w:rPr>
        <w:t>In another paper, Ahmed (2006)</w:t>
      </w:r>
      <w:r w:rsidRPr="008363FC">
        <w:rPr>
          <w:rStyle w:val="FootnoteReference"/>
          <w:rFonts w:cs="Times New Roman"/>
          <w:szCs w:val="28"/>
        </w:rPr>
        <w:footnoteReference w:id="71"/>
      </w:r>
      <w:r w:rsidRPr="008363FC">
        <w:rPr>
          <w:rFonts w:cs="Times New Roman"/>
          <w:szCs w:val="28"/>
        </w:rPr>
        <w:t xml:space="preserve"> tried to synthesize the modeling efforts in Bangladesh to climate change impact and vulnerability. In this paper he described climate change scenarios from the perspective of use of different types of models. He argued that “for Bangladesh, efforts have been made to develop climate change scenarios using various generic methods. In early stages of assessing climate change impacts, in the absence of appropriate models and modeling facilities, researchers have used ‘expert judgments’ to come up with climate scenarios. With the proliferation of computer assisted Atmosphere-Ocean Global Circulation Models (AOGCM), scientifically more rigorous and acceptable scenarios have been developed at the second stage. Only in recent times, with further development of regional models as well as strengthening of computational capabilities, scenarios have been developed by using Regional Climate Models (RCM).”</w:t>
      </w:r>
    </w:p>
    <w:p w:rsidR="00BE1502" w:rsidRPr="008363FC" w:rsidRDefault="00BE1502" w:rsidP="00BE1502">
      <w:pPr>
        <w:spacing w:line="276" w:lineRule="auto"/>
        <w:jc w:val="both"/>
        <w:rPr>
          <w:rFonts w:cs="Times New Roman"/>
          <w:szCs w:val="28"/>
        </w:rPr>
      </w:pPr>
      <w:r w:rsidRPr="008363FC">
        <w:rPr>
          <w:rFonts w:cs="Times New Roman"/>
          <w:szCs w:val="28"/>
        </w:rPr>
        <w:t>Three alternative scenarios have been developed for Bangladesh using these models. These are discussed briefly below.</w:t>
      </w:r>
    </w:p>
    <w:p w:rsidR="00BE1502" w:rsidRPr="008363FC" w:rsidRDefault="00BE1502" w:rsidP="00A631E1">
      <w:pPr>
        <w:pStyle w:val="ListParagraph"/>
        <w:numPr>
          <w:ilvl w:val="0"/>
          <w:numId w:val="23"/>
        </w:numPr>
        <w:spacing w:line="276" w:lineRule="auto"/>
        <w:ind w:left="360"/>
        <w:jc w:val="both"/>
        <w:rPr>
          <w:rFonts w:cs="Times New Roman"/>
          <w:szCs w:val="28"/>
        </w:rPr>
      </w:pPr>
      <w:r w:rsidRPr="008363FC">
        <w:rPr>
          <w:rFonts w:cs="Times New Roman"/>
          <w:szCs w:val="28"/>
          <w:u w:val="single"/>
        </w:rPr>
        <w:t>Speculative Scenario Development:</w:t>
      </w:r>
      <w:r w:rsidRPr="008363FC">
        <w:rPr>
          <w:rFonts w:cs="Times New Roman"/>
          <w:szCs w:val="28"/>
        </w:rPr>
        <w:t xml:space="preserve"> this is based on ‘expert judgments’ portrayed speculative future climate. More specifically, scientists have developed these speculative scenarios and posed key questions: ‘what would happen’ to the bio-geo-physical system ‘if’ climate parameter(s) change by a given extent.</w:t>
      </w:r>
    </w:p>
    <w:p w:rsidR="00BE1502" w:rsidRPr="008363FC" w:rsidRDefault="00BE1502" w:rsidP="00A631E1">
      <w:pPr>
        <w:pStyle w:val="ListParagraph"/>
        <w:numPr>
          <w:ilvl w:val="0"/>
          <w:numId w:val="23"/>
        </w:numPr>
        <w:spacing w:line="276" w:lineRule="auto"/>
        <w:ind w:left="360"/>
        <w:jc w:val="both"/>
        <w:rPr>
          <w:rFonts w:cs="Times New Roman"/>
          <w:szCs w:val="28"/>
        </w:rPr>
      </w:pPr>
      <w:r w:rsidRPr="008363FC">
        <w:rPr>
          <w:rFonts w:cs="Times New Roman"/>
          <w:szCs w:val="28"/>
          <w:u w:val="single"/>
        </w:rPr>
        <w:t>General Circulation Models: Validation and Outputs:  i</w:t>
      </w:r>
      <w:r w:rsidRPr="008363FC">
        <w:rPr>
          <w:rFonts w:cs="Times New Roman"/>
          <w:szCs w:val="28"/>
        </w:rPr>
        <w:t xml:space="preserve">n early 1990s, several attempts have been made to generate climate change scenarios by the use of available General Circulation Models (GCM). The outcomes of various modeling efforts were collated under this section. Among others it provides data and projections on sea level rise; temperature and precipitation for 1990; 2030 and 2075. Rainfall change patterns were also provided for 2030; 2050 and 2100. </w:t>
      </w:r>
    </w:p>
    <w:p w:rsidR="00BE1502" w:rsidRPr="008363FC" w:rsidRDefault="00BE1502" w:rsidP="00A631E1">
      <w:pPr>
        <w:pStyle w:val="ListParagraph"/>
        <w:numPr>
          <w:ilvl w:val="0"/>
          <w:numId w:val="23"/>
        </w:numPr>
        <w:spacing w:line="276" w:lineRule="auto"/>
        <w:ind w:left="360"/>
        <w:jc w:val="both"/>
        <w:rPr>
          <w:rFonts w:cs="Times New Roman"/>
          <w:szCs w:val="28"/>
        </w:rPr>
      </w:pPr>
      <w:r w:rsidRPr="008363FC">
        <w:rPr>
          <w:rFonts w:cs="Times New Roman"/>
          <w:szCs w:val="28"/>
          <w:u w:val="single"/>
        </w:rPr>
        <w:t xml:space="preserve">The Use of Regional Climate Models: </w:t>
      </w:r>
      <w:r w:rsidRPr="008363FC">
        <w:rPr>
          <w:rFonts w:cs="Times New Roman"/>
          <w:szCs w:val="28"/>
        </w:rPr>
        <w:t xml:space="preserve">‘In Bangladesh, two different Regional Climate Models, RegCM and PRECIS are now being attempted. Initial validations are in progress. Both the models are capable of resolving climatology at 50Km X 50Km scale, with a possibility of going further down up to 30Km X 30Km resolution. </w:t>
      </w:r>
      <w:r w:rsidRPr="008363FC">
        <w:rPr>
          <w:rFonts w:cs="Times New Roman"/>
          <w:szCs w:val="28"/>
        </w:rPr>
        <w:lastRenderedPageBreak/>
        <w:t>It is found that both the RCMs show cold bias towards resolving temperature over the country. The interesting common feature of RCM modeling is that, both the models could reasonably estimate total annual rainfall. However, large scale discrepancies have been observed in resolving winter, pre-monsoon and monsoon seasonal precipitations. Following parameterization of both models in manners suitable for generating local climatology, it is expected that the models will produce/yield climate change data for any given time in future.’</w:t>
      </w:r>
    </w:p>
    <w:p w:rsidR="00BE1502" w:rsidRDefault="00BE1502" w:rsidP="00BE1502">
      <w:pPr>
        <w:spacing w:line="276" w:lineRule="auto"/>
        <w:jc w:val="both"/>
        <w:rPr>
          <w:rFonts w:cs="Times New Roman"/>
          <w:b/>
          <w:szCs w:val="18"/>
        </w:rPr>
      </w:pPr>
      <w:r w:rsidRPr="008363FC">
        <w:rPr>
          <w:rFonts w:cs="Times New Roman"/>
          <w:szCs w:val="28"/>
        </w:rPr>
        <w:t>In another section of this paper, the impacts of climate change have also been attempted. The focus was mainly on analyzing the impacts of climate change on Bio-geophysical systems. Even though the focus was on the Bio-geophysical systems, the paper also tried to provide impacts on rice production, aquaculture, coastal shrimp culture, livestock, human and infrastructure.  However, the outcomes presented here may not readily be appropriate for national level planning as (i) the economic side of the model does not cover all aspect of planning model such as savings, investment, fiscal, monetary and debt blocks; and (ii) due to lack of fiscal, monetary, debt and investment blocks, the model is incapable of estimating investment requirement for miti</w:t>
      </w:r>
      <w:r>
        <w:rPr>
          <w:rFonts w:cs="Times New Roman"/>
          <w:szCs w:val="28"/>
        </w:rPr>
        <w:t>gation and adaptation projects.</w:t>
      </w:r>
    </w:p>
    <w:p w:rsidR="00BE1502" w:rsidRPr="00A0609F" w:rsidRDefault="00BE1502" w:rsidP="00BE1502">
      <w:pPr>
        <w:spacing w:line="276" w:lineRule="auto"/>
        <w:rPr>
          <w:rFonts w:cs="Times New Roman"/>
          <w:b/>
          <w:szCs w:val="18"/>
        </w:rPr>
      </w:pPr>
      <w:r w:rsidRPr="00A0609F">
        <w:rPr>
          <w:rFonts w:cs="Times New Roman"/>
          <w:b/>
          <w:szCs w:val="18"/>
        </w:rPr>
        <w:t>Calculation of Loss Parameters</w:t>
      </w:r>
    </w:p>
    <w:p w:rsidR="00BE1502" w:rsidRPr="00C433F9" w:rsidRDefault="00BE1502" w:rsidP="00BE1502">
      <w:pPr>
        <w:spacing w:line="276" w:lineRule="auto"/>
        <w:rPr>
          <w:rFonts w:cs="Times New Roman"/>
        </w:rPr>
      </w:pPr>
      <w:r w:rsidRPr="00A0609F">
        <w:rPr>
          <w:rFonts w:cs="Times New Roman"/>
        </w:rPr>
        <w:t>This framework assumes a Cobb-Douglas production function with constant returns to scale in</w:t>
      </w:r>
      <w:r w:rsidRPr="005C0AFB">
        <w:rPr>
          <w:rFonts w:cs="Times New Roman"/>
          <w:sz w:val="36"/>
        </w:rPr>
        <w:t xml:space="preserve"> </w:t>
      </w:r>
      <w:r w:rsidRPr="00C433F9">
        <w:rPr>
          <w:rFonts w:cs="Times New Roman"/>
        </w:rPr>
        <w:t>the following form</w:t>
      </w:r>
    </w:p>
    <w:p w:rsidR="00BE1502" w:rsidRPr="007C2871" w:rsidRDefault="00BE1502" w:rsidP="00BE1502">
      <w:pPr>
        <w:spacing w:line="276" w:lineRule="auto"/>
        <w:rPr>
          <w:rFonts w:cs="Times New Roman"/>
          <w:lang w:val="fr-BE"/>
        </w:rPr>
      </w:pPr>
      <w:r w:rsidRPr="007C2871">
        <w:rPr>
          <w:rFonts w:cs="Times New Roman"/>
          <w:lang w:val="fr-BE"/>
        </w:rPr>
        <w:t>Y = f (K, L, N) =AK</w:t>
      </w:r>
      <w:r w:rsidRPr="007C2871">
        <w:rPr>
          <w:rFonts w:cs="Times New Roman"/>
          <w:vertAlign w:val="superscript"/>
          <w:lang w:val="fr-BE"/>
        </w:rPr>
        <w:t>a</w:t>
      </w:r>
      <w:r w:rsidRPr="007C2871">
        <w:rPr>
          <w:rFonts w:cs="Times New Roman"/>
          <w:lang w:val="fr-BE"/>
        </w:rPr>
        <w:t>L</w:t>
      </w:r>
      <w:r w:rsidRPr="007C2871">
        <w:rPr>
          <w:rFonts w:cs="Times New Roman"/>
          <w:vertAlign w:val="superscript"/>
          <w:lang w:val="fr-BE"/>
        </w:rPr>
        <w:t>b</w:t>
      </w:r>
      <w:r w:rsidRPr="007C2871">
        <w:rPr>
          <w:rFonts w:cs="Times New Roman"/>
          <w:lang w:val="fr-BE"/>
        </w:rPr>
        <w:t>N</w:t>
      </w:r>
      <w:r w:rsidRPr="007C2871">
        <w:rPr>
          <w:rFonts w:cs="Times New Roman"/>
          <w:vertAlign w:val="superscript"/>
          <w:lang w:val="fr-BE"/>
        </w:rPr>
        <w:t>c</w:t>
      </w:r>
      <w:r w:rsidRPr="007C2871">
        <w:rPr>
          <w:rFonts w:cs="Times New Roman"/>
          <w:lang w:val="fr-BE"/>
        </w:rPr>
        <w:t>,    a+b+c=1</w:t>
      </w:r>
    </w:p>
    <w:p w:rsidR="00BE1502" w:rsidRPr="00C433F9" w:rsidRDefault="00BE1502" w:rsidP="00BE1502">
      <w:pPr>
        <w:spacing w:line="276" w:lineRule="auto"/>
        <w:rPr>
          <w:rFonts w:cs="Times New Roman"/>
        </w:rPr>
      </w:pPr>
      <w:r w:rsidRPr="00C433F9">
        <w:rPr>
          <w:rFonts w:cs="Times New Roman"/>
        </w:rPr>
        <w:t>Where, Y= real output,</w:t>
      </w:r>
    </w:p>
    <w:p w:rsidR="00BE1502" w:rsidRPr="00C433F9" w:rsidRDefault="00BE1502" w:rsidP="00BE1502">
      <w:pPr>
        <w:spacing w:line="276" w:lineRule="auto"/>
        <w:rPr>
          <w:rFonts w:cs="Times New Roman"/>
        </w:rPr>
      </w:pPr>
      <w:r w:rsidRPr="00C433F9">
        <w:rPr>
          <w:rFonts w:cs="Times New Roman"/>
        </w:rPr>
        <w:t>K = net capital stock,</w:t>
      </w:r>
    </w:p>
    <w:p w:rsidR="00BE1502" w:rsidRPr="00C433F9" w:rsidRDefault="00BE1502" w:rsidP="00BE1502">
      <w:pPr>
        <w:spacing w:line="276" w:lineRule="auto"/>
        <w:rPr>
          <w:rFonts w:cs="Times New Roman"/>
        </w:rPr>
      </w:pPr>
      <w:r w:rsidRPr="00C433F9">
        <w:rPr>
          <w:rFonts w:cs="Times New Roman"/>
        </w:rPr>
        <w:t xml:space="preserve">L = labour, </w:t>
      </w:r>
    </w:p>
    <w:p w:rsidR="00BE1502" w:rsidRPr="00C433F9" w:rsidRDefault="00BE1502" w:rsidP="00BE1502">
      <w:pPr>
        <w:spacing w:line="276" w:lineRule="auto"/>
        <w:rPr>
          <w:rFonts w:cs="Times New Roman"/>
        </w:rPr>
      </w:pPr>
      <w:r w:rsidRPr="00C433F9">
        <w:rPr>
          <w:rFonts w:cs="Times New Roman"/>
        </w:rPr>
        <w:t>N = net cultivable area,</w:t>
      </w:r>
    </w:p>
    <w:p w:rsidR="00BE1502" w:rsidRPr="00C433F9" w:rsidRDefault="00BE1502" w:rsidP="00BE1502">
      <w:pPr>
        <w:spacing w:line="276" w:lineRule="auto"/>
        <w:rPr>
          <w:rFonts w:cs="Times New Roman"/>
        </w:rPr>
      </w:pPr>
      <w:r w:rsidRPr="00C433F9">
        <w:rPr>
          <w:rFonts w:cs="Times New Roman"/>
        </w:rPr>
        <w:t xml:space="preserve"> a = output elasticity of capital,</w:t>
      </w:r>
    </w:p>
    <w:p w:rsidR="00BE1502" w:rsidRPr="00C433F9" w:rsidRDefault="00BE1502" w:rsidP="00BE1502">
      <w:pPr>
        <w:spacing w:line="276" w:lineRule="auto"/>
        <w:rPr>
          <w:rFonts w:cs="Times New Roman"/>
        </w:rPr>
      </w:pPr>
      <w:r w:rsidRPr="00C433F9">
        <w:rPr>
          <w:rFonts w:cs="Times New Roman"/>
        </w:rPr>
        <w:t xml:space="preserve"> b = output elasticity of labour,</w:t>
      </w:r>
    </w:p>
    <w:p w:rsidR="00BE1502" w:rsidRPr="00C433F9" w:rsidRDefault="00BE1502" w:rsidP="00BE1502">
      <w:pPr>
        <w:spacing w:line="276" w:lineRule="auto"/>
        <w:rPr>
          <w:rFonts w:cs="Times New Roman"/>
        </w:rPr>
      </w:pPr>
      <w:r w:rsidRPr="00C433F9">
        <w:rPr>
          <w:rFonts w:cs="Times New Roman"/>
        </w:rPr>
        <w:t xml:space="preserve"> c = output elasticity of net cultivable area.</w:t>
      </w:r>
    </w:p>
    <w:p w:rsidR="00BE1502" w:rsidRPr="00C433F9" w:rsidRDefault="00BE1502" w:rsidP="00BE1502">
      <w:pPr>
        <w:spacing w:line="276" w:lineRule="auto"/>
        <w:jc w:val="both"/>
        <w:rPr>
          <w:rFonts w:cs="Times New Roman"/>
        </w:rPr>
      </w:pPr>
      <w:r w:rsidRPr="00C433F9">
        <w:rPr>
          <w:rFonts w:cs="Times New Roman"/>
        </w:rPr>
        <w:t>Because of unavailability of reliable research estimates and assuming our output is more capital responsive; in this framework, a=0.5, b=0.3 and c=0.2 are set.</w:t>
      </w:r>
    </w:p>
    <w:p w:rsidR="00BE1502" w:rsidRPr="00C433F9" w:rsidRDefault="00BE1502" w:rsidP="00BE1502">
      <w:pPr>
        <w:spacing w:line="276" w:lineRule="auto"/>
        <w:jc w:val="both"/>
        <w:rPr>
          <w:rFonts w:cs="Times New Roman"/>
        </w:rPr>
      </w:pPr>
      <w:r w:rsidRPr="00C433F9">
        <w:rPr>
          <w:rFonts w:cs="Times New Roman"/>
        </w:rPr>
        <w:lastRenderedPageBreak/>
        <w:t xml:space="preserve">Now, the variables such as loss due to cyclone, loss due to flood, loss due to salinity, loss due to siltation in water-ways and loss due to water shortage </w:t>
      </w:r>
      <w:r>
        <w:rPr>
          <w:rFonts w:cs="Times New Roman"/>
        </w:rPr>
        <w:t>for the period from 2016 to 2041</w:t>
      </w:r>
      <w:r w:rsidRPr="00C433F9">
        <w:rPr>
          <w:rFonts w:cs="Times New Roman"/>
        </w:rPr>
        <w:t xml:space="preserve"> are calculated using the assumptions illustrated in the earlier section.</w:t>
      </w:r>
    </w:p>
    <w:p w:rsidR="00BE1502" w:rsidRPr="00C433F9" w:rsidRDefault="00BE1502" w:rsidP="00BE1502">
      <w:pPr>
        <w:spacing w:line="276" w:lineRule="auto"/>
        <w:rPr>
          <w:rFonts w:cs="Times New Roman"/>
        </w:rPr>
      </w:pPr>
      <w:r w:rsidRPr="00C433F9">
        <w:rPr>
          <w:rFonts w:cs="Times New Roman"/>
        </w:rPr>
        <w:t>To calculate income loss due to river erosion, sea level rise and drought the following equation was employed</w:t>
      </w:r>
    </w:p>
    <w:p w:rsidR="00BE1502" w:rsidRPr="00C433F9" w:rsidRDefault="00BE1502" w:rsidP="00BE1502">
      <w:pPr>
        <w:spacing w:line="276" w:lineRule="auto"/>
        <w:rPr>
          <w:rFonts w:cs="Times New Roman"/>
        </w:rPr>
      </w:pPr>
      <w:r w:rsidRPr="00C433F9">
        <w:rPr>
          <w:rFonts w:cs="Times New Roman"/>
        </w:rPr>
        <w:t>M</w:t>
      </w:r>
      <w:r w:rsidRPr="00C433F9">
        <w:rPr>
          <w:rFonts w:cs="Times New Roman"/>
          <w:vertAlign w:val="subscript"/>
        </w:rPr>
        <w:t>t</w:t>
      </w:r>
      <w:r w:rsidRPr="00C433F9">
        <w:rPr>
          <w:rFonts w:cs="Times New Roman"/>
        </w:rPr>
        <w:t>=rGDP</w:t>
      </w:r>
      <w:r w:rsidRPr="00C433F9">
        <w:rPr>
          <w:rFonts w:cs="Times New Roman"/>
          <w:vertAlign w:val="subscript"/>
        </w:rPr>
        <w:t>t</w:t>
      </w:r>
      <w:r w:rsidRPr="00C433F9">
        <w:rPr>
          <w:rFonts w:cs="Times New Roman"/>
        </w:rPr>
        <w:t>*((c*s</w:t>
      </w:r>
      <w:r w:rsidRPr="00C433F9">
        <w:rPr>
          <w:rFonts w:cs="Times New Roman"/>
          <w:vertAlign w:val="subscript"/>
        </w:rPr>
        <w:t>t</w:t>
      </w:r>
      <w:r w:rsidRPr="00C433F9">
        <w:rPr>
          <w:rFonts w:cs="Times New Roman"/>
        </w:rPr>
        <w:t>)/100)</w:t>
      </w:r>
    </w:p>
    <w:p w:rsidR="00BE1502" w:rsidRPr="00C433F9" w:rsidRDefault="00BE1502" w:rsidP="00BE1502">
      <w:pPr>
        <w:spacing w:line="276" w:lineRule="auto"/>
        <w:rPr>
          <w:rFonts w:cs="Times New Roman"/>
        </w:rPr>
      </w:pPr>
      <w:r w:rsidRPr="00C433F9">
        <w:rPr>
          <w:rFonts w:cs="Times New Roman"/>
        </w:rPr>
        <w:t>Where,</w:t>
      </w:r>
    </w:p>
    <w:p w:rsidR="00BE1502" w:rsidRPr="00C433F9" w:rsidRDefault="00BE1502" w:rsidP="00BE1502">
      <w:pPr>
        <w:spacing w:line="276" w:lineRule="auto"/>
        <w:rPr>
          <w:rFonts w:cs="Times New Roman"/>
        </w:rPr>
      </w:pPr>
      <w:r w:rsidRPr="00C433F9">
        <w:rPr>
          <w:rFonts w:cs="Times New Roman"/>
        </w:rPr>
        <w:t>M</w:t>
      </w:r>
      <w:r w:rsidRPr="00C433F9">
        <w:rPr>
          <w:rFonts w:cs="Times New Roman"/>
          <w:vertAlign w:val="subscript"/>
        </w:rPr>
        <w:t>t</w:t>
      </w:r>
      <w:r w:rsidRPr="00C433F9">
        <w:rPr>
          <w:rFonts w:cs="Times New Roman"/>
        </w:rPr>
        <w:t xml:space="preserve"> = Loss of income due to land loss at period t,</w:t>
      </w:r>
    </w:p>
    <w:p w:rsidR="00BE1502" w:rsidRPr="00C433F9" w:rsidRDefault="00BE1502" w:rsidP="00BE1502">
      <w:pPr>
        <w:spacing w:line="276" w:lineRule="auto"/>
        <w:rPr>
          <w:rFonts w:cs="Times New Roman"/>
        </w:rPr>
      </w:pPr>
      <w:r w:rsidRPr="00C433F9">
        <w:rPr>
          <w:rFonts w:cs="Times New Roman"/>
        </w:rPr>
        <w:t>rGDP</w:t>
      </w:r>
      <w:r w:rsidRPr="00C433F9">
        <w:rPr>
          <w:rFonts w:cs="Times New Roman"/>
          <w:vertAlign w:val="subscript"/>
        </w:rPr>
        <w:t>t</w:t>
      </w:r>
      <w:r>
        <w:rPr>
          <w:rFonts w:cs="Times New Roman"/>
        </w:rPr>
        <w:t xml:space="preserve"> = Delta Plan(DP) Scenario</w:t>
      </w:r>
      <w:r w:rsidRPr="00C433F9">
        <w:rPr>
          <w:rFonts w:cs="Times New Roman"/>
        </w:rPr>
        <w:t xml:space="preserve"> real GDP at period t,</w:t>
      </w:r>
    </w:p>
    <w:p w:rsidR="00BE1502" w:rsidRPr="00C433F9" w:rsidRDefault="00BE1502" w:rsidP="00BE1502">
      <w:pPr>
        <w:spacing w:line="276" w:lineRule="auto"/>
        <w:rPr>
          <w:rFonts w:cs="Times New Roman"/>
        </w:rPr>
      </w:pPr>
      <w:r w:rsidRPr="00C433F9">
        <w:rPr>
          <w:rFonts w:cs="Times New Roman"/>
        </w:rPr>
        <w:t>c = Output elasticity of net cultivable area,</w:t>
      </w:r>
    </w:p>
    <w:p w:rsidR="00BE1502" w:rsidRDefault="00BE1502" w:rsidP="00BE1502">
      <w:pPr>
        <w:spacing w:line="276" w:lineRule="auto"/>
        <w:rPr>
          <w:rFonts w:cs="Times New Roman"/>
        </w:rPr>
      </w:pPr>
      <w:r w:rsidRPr="00C433F9">
        <w:rPr>
          <w:rFonts w:cs="Times New Roman"/>
        </w:rPr>
        <w:t>s</w:t>
      </w:r>
      <w:r w:rsidRPr="00C433F9">
        <w:rPr>
          <w:rFonts w:cs="Times New Roman"/>
          <w:vertAlign w:val="subscript"/>
        </w:rPr>
        <w:t xml:space="preserve">t </w:t>
      </w:r>
      <w:r w:rsidRPr="00C433F9">
        <w:rPr>
          <w:rFonts w:cs="Times New Roman"/>
        </w:rPr>
        <w:t>= Percentage decrease in 1% decrease in net cultivable area.</w:t>
      </w:r>
    </w:p>
    <w:p w:rsidR="00BE1502" w:rsidRPr="00C433F9" w:rsidRDefault="00BE1502" w:rsidP="00BE1502">
      <w:pPr>
        <w:spacing w:line="276" w:lineRule="auto"/>
        <w:rPr>
          <w:rFonts w:cs="Times New Roman"/>
        </w:rPr>
      </w:pPr>
      <w:r w:rsidRPr="00C433F9">
        <w:rPr>
          <w:rFonts w:cs="Times New Roman"/>
        </w:rPr>
        <w:t>To cal</w:t>
      </w:r>
      <w:r>
        <w:rPr>
          <w:rFonts w:cs="Times New Roman"/>
        </w:rPr>
        <w:t>culate Real GDP in case of BAU</w:t>
      </w:r>
      <w:r w:rsidRPr="00C433F9">
        <w:rPr>
          <w:rFonts w:cs="Times New Roman"/>
        </w:rPr>
        <w:t xml:space="preserve"> scenario, we consider the following equation</w:t>
      </w:r>
    </w:p>
    <w:p w:rsidR="00BE1502" w:rsidRPr="00C433F9" w:rsidRDefault="00BE1502" w:rsidP="00BE1502">
      <w:pPr>
        <w:tabs>
          <w:tab w:val="left" w:pos="7496"/>
        </w:tabs>
        <w:spacing w:line="276" w:lineRule="auto"/>
        <w:jc w:val="center"/>
        <w:rPr>
          <w:rFonts w:cs="Times New Roman"/>
        </w:rPr>
      </w:pPr>
      <w:r w:rsidRPr="00C433F9">
        <w:rPr>
          <w:rFonts w:cs="Times New Roman"/>
        </w:rPr>
        <w:t>rGDP</w:t>
      </w:r>
      <w:r w:rsidRPr="00C433F9">
        <w:rPr>
          <w:rFonts w:cs="Times New Roman"/>
          <w:vertAlign w:val="superscript"/>
        </w:rPr>
        <w:t>s</w:t>
      </w:r>
      <w:r w:rsidRPr="00C433F9">
        <w:rPr>
          <w:rFonts w:cs="Times New Roman"/>
          <w:vertAlign w:val="subscript"/>
        </w:rPr>
        <w:t>t</w:t>
      </w:r>
      <w:r w:rsidRPr="00C433F9">
        <w:rPr>
          <w:rFonts w:cs="Times New Roman"/>
        </w:rPr>
        <w:t xml:space="preserve"> = rGDP</w:t>
      </w:r>
      <w:r w:rsidRPr="00C433F9">
        <w:rPr>
          <w:rFonts w:cs="Times New Roman"/>
          <w:vertAlign w:val="superscript"/>
        </w:rPr>
        <w:t>b</w:t>
      </w:r>
      <w:r w:rsidRPr="00C433F9">
        <w:rPr>
          <w:rFonts w:cs="Times New Roman"/>
          <w:vertAlign w:val="subscript"/>
        </w:rPr>
        <w:t>t</w:t>
      </w:r>
      <w:r w:rsidRPr="00C433F9">
        <w:rPr>
          <w:rFonts w:cs="Times New Roman"/>
        </w:rPr>
        <w:t>-TL</w:t>
      </w:r>
      <w:r w:rsidRPr="00C433F9">
        <w:rPr>
          <w:rFonts w:cs="Times New Roman"/>
          <w:vertAlign w:val="subscript"/>
        </w:rPr>
        <w:t>t</w:t>
      </w:r>
    </w:p>
    <w:p w:rsidR="00BE1502" w:rsidRPr="00C433F9" w:rsidRDefault="00BE1502" w:rsidP="00BE1502">
      <w:pPr>
        <w:tabs>
          <w:tab w:val="left" w:pos="7496"/>
        </w:tabs>
        <w:spacing w:line="276" w:lineRule="auto"/>
        <w:jc w:val="center"/>
        <w:rPr>
          <w:rFonts w:cs="Times New Roman"/>
        </w:rPr>
      </w:pPr>
      <w:r w:rsidRPr="00C433F9">
        <w:rPr>
          <w:rFonts w:cs="Times New Roman"/>
        </w:rPr>
        <w:t>TL</w:t>
      </w:r>
      <w:r w:rsidRPr="00C433F9">
        <w:rPr>
          <w:rFonts w:cs="Times New Roman"/>
          <w:vertAlign w:val="subscript"/>
        </w:rPr>
        <w:t>t</w:t>
      </w:r>
      <w:r w:rsidRPr="00C433F9">
        <w:rPr>
          <w:rFonts w:cs="Times New Roman"/>
        </w:rPr>
        <w:t xml:space="preserve"> = L</w:t>
      </w:r>
      <w:r w:rsidRPr="00C433F9">
        <w:rPr>
          <w:rFonts w:cs="Times New Roman"/>
          <w:vertAlign w:val="subscript"/>
        </w:rPr>
        <w:t>t</w:t>
      </w:r>
      <w:r w:rsidRPr="00C433F9">
        <w:rPr>
          <w:rFonts w:cs="Times New Roman"/>
        </w:rPr>
        <w:t>+ (1+i)*TL</w:t>
      </w:r>
      <w:r w:rsidRPr="00C433F9">
        <w:rPr>
          <w:rFonts w:cs="Times New Roman"/>
          <w:vertAlign w:val="subscript"/>
        </w:rPr>
        <w:t>t-1</w:t>
      </w:r>
    </w:p>
    <w:p w:rsidR="00BE1502" w:rsidRPr="00C433F9" w:rsidRDefault="00BE1502" w:rsidP="00BE1502">
      <w:pPr>
        <w:tabs>
          <w:tab w:val="left" w:pos="7496"/>
        </w:tabs>
        <w:spacing w:line="276" w:lineRule="auto"/>
        <w:rPr>
          <w:rFonts w:cs="Times New Roman"/>
        </w:rPr>
      </w:pPr>
      <w:r w:rsidRPr="00C433F9">
        <w:rPr>
          <w:rFonts w:cs="Times New Roman"/>
        </w:rPr>
        <w:t xml:space="preserve">   Where, </w:t>
      </w:r>
    </w:p>
    <w:p w:rsidR="00BE1502" w:rsidRPr="00C433F9" w:rsidRDefault="00BE1502" w:rsidP="00BE1502">
      <w:pPr>
        <w:tabs>
          <w:tab w:val="left" w:pos="7496"/>
        </w:tabs>
        <w:spacing w:line="276" w:lineRule="auto"/>
        <w:rPr>
          <w:rFonts w:cs="Times New Roman"/>
        </w:rPr>
      </w:pPr>
      <w:r w:rsidRPr="00C433F9">
        <w:rPr>
          <w:rFonts w:cs="Times New Roman"/>
        </w:rPr>
        <w:t>rGDP</w:t>
      </w:r>
      <w:r w:rsidRPr="00C433F9">
        <w:rPr>
          <w:rFonts w:cs="Times New Roman"/>
          <w:vertAlign w:val="superscript"/>
        </w:rPr>
        <w:t>s</w:t>
      </w:r>
      <w:r w:rsidRPr="00C433F9">
        <w:rPr>
          <w:rFonts w:cs="Times New Roman"/>
          <w:vertAlign w:val="subscript"/>
        </w:rPr>
        <w:t xml:space="preserve">t </w:t>
      </w:r>
      <w:r>
        <w:rPr>
          <w:rFonts w:cs="Times New Roman"/>
        </w:rPr>
        <w:t xml:space="preserve">= Real GDP in BAU </w:t>
      </w:r>
      <w:r w:rsidRPr="00C433F9">
        <w:rPr>
          <w:rFonts w:cs="Times New Roman"/>
        </w:rPr>
        <w:t>scenario, at period t</w:t>
      </w:r>
    </w:p>
    <w:p w:rsidR="00BE1502" w:rsidRPr="00C433F9" w:rsidRDefault="00BE1502" w:rsidP="00BE1502">
      <w:pPr>
        <w:tabs>
          <w:tab w:val="left" w:pos="7496"/>
        </w:tabs>
        <w:spacing w:line="276" w:lineRule="auto"/>
        <w:rPr>
          <w:rFonts w:cs="Times New Roman"/>
        </w:rPr>
      </w:pPr>
      <w:r w:rsidRPr="00C433F9">
        <w:rPr>
          <w:rFonts w:cs="Times New Roman"/>
        </w:rPr>
        <w:t xml:space="preserve"> rGDP</w:t>
      </w:r>
      <w:r w:rsidRPr="00C433F9">
        <w:rPr>
          <w:rFonts w:cs="Times New Roman"/>
          <w:vertAlign w:val="superscript"/>
        </w:rPr>
        <w:t>b</w:t>
      </w:r>
      <w:r w:rsidRPr="00C433F9">
        <w:rPr>
          <w:rFonts w:cs="Times New Roman"/>
          <w:vertAlign w:val="subscript"/>
        </w:rPr>
        <w:t>t</w:t>
      </w:r>
      <w:r>
        <w:rPr>
          <w:rFonts w:cs="Times New Roman"/>
        </w:rPr>
        <w:t>= Real GDP in DP</w:t>
      </w:r>
      <w:r w:rsidRPr="00C433F9">
        <w:rPr>
          <w:rFonts w:cs="Times New Roman"/>
        </w:rPr>
        <w:t xml:space="preserve"> scenario, at period t</w:t>
      </w:r>
    </w:p>
    <w:p w:rsidR="00BE1502" w:rsidRPr="00C433F9" w:rsidRDefault="00BE1502" w:rsidP="00BE1502">
      <w:pPr>
        <w:tabs>
          <w:tab w:val="left" w:pos="7496"/>
        </w:tabs>
        <w:spacing w:line="276" w:lineRule="auto"/>
        <w:rPr>
          <w:rFonts w:cs="Times New Roman"/>
        </w:rPr>
      </w:pPr>
      <w:r w:rsidRPr="00C433F9">
        <w:rPr>
          <w:rFonts w:cs="Times New Roman"/>
        </w:rPr>
        <w:t>i = percentage loss in t period’s income due to income loss in t-1 period (in thi</w:t>
      </w:r>
      <w:r>
        <w:rPr>
          <w:rFonts w:cs="Times New Roman"/>
        </w:rPr>
        <w:t>s model it is assumed that, i=14</w:t>
      </w:r>
      <w:r w:rsidRPr="00C433F9">
        <w:rPr>
          <w:rFonts w:cs="Times New Roman"/>
        </w:rPr>
        <w:t>%).</w:t>
      </w:r>
    </w:p>
    <w:p w:rsidR="00BE1502" w:rsidRPr="00C433F9" w:rsidRDefault="00BE1502" w:rsidP="00BE1502">
      <w:pPr>
        <w:tabs>
          <w:tab w:val="left" w:pos="7496"/>
        </w:tabs>
        <w:spacing w:line="276" w:lineRule="auto"/>
        <w:rPr>
          <w:rFonts w:cs="Times New Roman"/>
        </w:rPr>
      </w:pPr>
      <w:r w:rsidRPr="00C433F9">
        <w:rPr>
          <w:rFonts w:cs="Times New Roman"/>
        </w:rPr>
        <w:t>L</w:t>
      </w:r>
      <w:r w:rsidRPr="00C433F9">
        <w:rPr>
          <w:rFonts w:cs="Times New Roman"/>
          <w:vertAlign w:val="subscript"/>
        </w:rPr>
        <w:t>t</w:t>
      </w:r>
      <w:r w:rsidRPr="00C433F9">
        <w:rPr>
          <w:rFonts w:cs="Times New Roman"/>
        </w:rPr>
        <w:t xml:space="preserve"> = Loss of income due to environmental impacts at period t,</w:t>
      </w:r>
    </w:p>
    <w:p w:rsidR="00BE1502" w:rsidRDefault="00BE1502" w:rsidP="00BE1502">
      <w:pPr>
        <w:tabs>
          <w:tab w:val="left" w:pos="7496"/>
        </w:tabs>
        <w:spacing w:line="276" w:lineRule="auto"/>
        <w:rPr>
          <w:rFonts w:cs="Times New Roman"/>
        </w:rPr>
      </w:pPr>
      <w:r w:rsidRPr="00C433F9">
        <w:rPr>
          <w:rFonts w:cs="Times New Roman"/>
        </w:rPr>
        <w:t>TL</w:t>
      </w:r>
      <w:r w:rsidRPr="00C433F9">
        <w:rPr>
          <w:rFonts w:cs="Times New Roman"/>
          <w:vertAlign w:val="subscript"/>
        </w:rPr>
        <w:t>t</w:t>
      </w:r>
      <w:r w:rsidRPr="00C433F9">
        <w:rPr>
          <w:rFonts w:cs="Times New Roman"/>
        </w:rPr>
        <w:t xml:space="preserve"> =Total Loss of income at period t.</w:t>
      </w:r>
    </w:p>
    <w:p w:rsidR="00BE1502" w:rsidRPr="00BE4D42" w:rsidRDefault="00BE1502" w:rsidP="00BE1502">
      <w:pPr>
        <w:pStyle w:val="Heading8"/>
        <w:spacing w:after="120"/>
      </w:pPr>
      <w:bookmarkStart w:id="1012" w:name="_Toc474639357"/>
      <w:r>
        <w:t>Table B5.1</w:t>
      </w:r>
      <w:r w:rsidR="00383127">
        <w:t>9</w:t>
      </w:r>
      <w:r>
        <w:t>: Capital S</w:t>
      </w:r>
      <w:r w:rsidRPr="00BE4D42">
        <w:t>tock in Bangladesh</w:t>
      </w:r>
      <w:r>
        <w:t xml:space="preserve"> at Constant Prices (Billion</w:t>
      </w:r>
      <w:r w:rsidRPr="00BE4D42">
        <w:t>Taka)</w:t>
      </w:r>
      <w:bookmarkEnd w:id="1012"/>
    </w:p>
    <w:tbl>
      <w:tblPr>
        <w:tblStyle w:val="TableGrid"/>
        <w:tblW w:w="5000" w:type="pct"/>
        <w:jc w:val="center"/>
        <w:tblLook w:val="04A0"/>
      </w:tblPr>
      <w:tblGrid>
        <w:gridCol w:w="4214"/>
        <w:gridCol w:w="4642"/>
      </w:tblGrid>
      <w:tr w:rsidR="00BE1502" w:rsidRPr="00C433F9" w:rsidTr="0053026D">
        <w:trPr>
          <w:trHeight w:val="20"/>
          <w:jc w:val="center"/>
        </w:trPr>
        <w:tc>
          <w:tcPr>
            <w:tcW w:w="2379" w:type="pct"/>
            <w:vAlign w:val="bottom"/>
          </w:tcPr>
          <w:p w:rsidR="00BE1502" w:rsidRPr="00E33566" w:rsidRDefault="00BE1502" w:rsidP="0053026D">
            <w:pPr>
              <w:spacing w:after="0"/>
              <w:jc w:val="center"/>
              <w:rPr>
                <w:rFonts w:eastAsia="Times New Roman" w:cs="Times New Roman"/>
                <w:b/>
                <w:color w:val="000000"/>
                <w:sz w:val="20"/>
              </w:rPr>
            </w:pPr>
            <w:r w:rsidRPr="00E33566">
              <w:rPr>
                <w:rFonts w:cs="Times New Roman"/>
                <w:b/>
              </w:rPr>
              <w:tab/>
            </w:r>
            <w:r w:rsidRPr="00E33566">
              <w:rPr>
                <w:rFonts w:cs="Times New Roman"/>
                <w:b/>
                <w:sz w:val="20"/>
              </w:rPr>
              <w:t>Y</w:t>
            </w:r>
            <w:r w:rsidRPr="00E33566">
              <w:rPr>
                <w:rFonts w:eastAsia="Times New Roman" w:cs="Times New Roman"/>
                <w:b/>
                <w:color w:val="000000"/>
                <w:sz w:val="20"/>
              </w:rPr>
              <w:t>ear</w:t>
            </w:r>
          </w:p>
        </w:tc>
        <w:tc>
          <w:tcPr>
            <w:tcW w:w="2621" w:type="pct"/>
            <w:vAlign w:val="bottom"/>
          </w:tcPr>
          <w:p w:rsidR="00BE1502" w:rsidRPr="00E33566" w:rsidRDefault="00BE1502" w:rsidP="0053026D">
            <w:pPr>
              <w:spacing w:after="0"/>
              <w:jc w:val="center"/>
              <w:rPr>
                <w:rFonts w:eastAsia="Times New Roman" w:cs="Times New Roman"/>
                <w:b/>
                <w:color w:val="000000"/>
                <w:sz w:val="20"/>
              </w:rPr>
            </w:pPr>
            <w:r w:rsidRPr="00E33566">
              <w:rPr>
                <w:rFonts w:eastAsia="Times New Roman" w:cs="Times New Roman"/>
                <w:b/>
                <w:color w:val="000000"/>
                <w:sz w:val="20"/>
              </w:rPr>
              <w:t>Capital Stock  (In Billion Taka)</w:t>
            </w:r>
          </w:p>
        </w:tc>
      </w:tr>
      <w:tr w:rsidR="00BE1502" w:rsidRPr="00C433F9" w:rsidTr="0053026D">
        <w:trPr>
          <w:trHeight w:val="20"/>
          <w:jc w:val="center"/>
        </w:trPr>
        <w:tc>
          <w:tcPr>
            <w:tcW w:w="2379" w:type="pct"/>
            <w:vAlign w:val="bottom"/>
          </w:tcPr>
          <w:p w:rsidR="00BE1502" w:rsidRPr="00E33566" w:rsidRDefault="00BE1502" w:rsidP="0053026D">
            <w:pPr>
              <w:spacing w:after="0"/>
              <w:jc w:val="center"/>
              <w:rPr>
                <w:rFonts w:eastAsia="Times New Roman" w:cs="Times New Roman"/>
                <w:color w:val="000000"/>
                <w:sz w:val="22"/>
              </w:rPr>
            </w:pPr>
            <w:r w:rsidRPr="00E33566">
              <w:rPr>
                <w:rFonts w:eastAsia="Times New Roman" w:cs="Times New Roman"/>
                <w:color w:val="000000"/>
                <w:sz w:val="22"/>
              </w:rPr>
              <w:t>2008</w:t>
            </w:r>
          </w:p>
        </w:tc>
        <w:tc>
          <w:tcPr>
            <w:tcW w:w="2621" w:type="pct"/>
            <w:vAlign w:val="bottom"/>
          </w:tcPr>
          <w:p w:rsidR="00BE1502" w:rsidRPr="00E33566" w:rsidRDefault="00BE1502" w:rsidP="0053026D">
            <w:pPr>
              <w:spacing w:after="0"/>
              <w:jc w:val="center"/>
              <w:rPr>
                <w:rFonts w:eastAsia="Times New Roman" w:cs="Times New Roman"/>
                <w:color w:val="000000"/>
                <w:sz w:val="22"/>
              </w:rPr>
            </w:pPr>
            <w:r>
              <w:rPr>
                <w:rFonts w:eastAsia="Times New Roman" w:cs="Times New Roman"/>
                <w:color w:val="000000"/>
                <w:sz w:val="22"/>
              </w:rPr>
              <w:t>8304</w:t>
            </w:r>
          </w:p>
        </w:tc>
      </w:tr>
      <w:tr w:rsidR="00BE1502" w:rsidRPr="00C433F9" w:rsidTr="0053026D">
        <w:trPr>
          <w:trHeight w:val="20"/>
          <w:jc w:val="center"/>
        </w:trPr>
        <w:tc>
          <w:tcPr>
            <w:tcW w:w="2379" w:type="pct"/>
            <w:vAlign w:val="bottom"/>
          </w:tcPr>
          <w:p w:rsidR="00BE1502" w:rsidRPr="00E33566" w:rsidRDefault="00BE1502" w:rsidP="0053026D">
            <w:pPr>
              <w:spacing w:after="0"/>
              <w:jc w:val="center"/>
              <w:rPr>
                <w:rFonts w:eastAsia="Times New Roman" w:cs="Times New Roman"/>
                <w:color w:val="000000"/>
                <w:sz w:val="22"/>
              </w:rPr>
            </w:pPr>
            <w:r w:rsidRPr="00E33566">
              <w:rPr>
                <w:rFonts w:eastAsia="Times New Roman" w:cs="Times New Roman"/>
                <w:color w:val="000000"/>
                <w:sz w:val="22"/>
              </w:rPr>
              <w:t>2009</w:t>
            </w:r>
          </w:p>
        </w:tc>
        <w:tc>
          <w:tcPr>
            <w:tcW w:w="2621" w:type="pct"/>
            <w:vAlign w:val="bottom"/>
          </w:tcPr>
          <w:p w:rsidR="00BE1502" w:rsidRPr="00E33566" w:rsidRDefault="00BE1502" w:rsidP="0053026D">
            <w:pPr>
              <w:spacing w:after="0"/>
              <w:jc w:val="center"/>
              <w:rPr>
                <w:rFonts w:eastAsia="Times New Roman" w:cs="Times New Roman"/>
                <w:color w:val="000000"/>
                <w:sz w:val="22"/>
              </w:rPr>
            </w:pPr>
            <w:r>
              <w:rPr>
                <w:rFonts w:eastAsia="Times New Roman" w:cs="Times New Roman"/>
                <w:color w:val="000000"/>
                <w:sz w:val="22"/>
              </w:rPr>
              <w:t>10506</w:t>
            </w:r>
          </w:p>
        </w:tc>
      </w:tr>
      <w:tr w:rsidR="00BE1502" w:rsidRPr="00C433F9" w:rsidTr="0053026D">
        <w:trPr>
          <w:trHeight w:val="20"/>
          <w:jc w:val="center"/>
        </w:trPr>
        <w:tc>
          <w:tcPr>
            <w:tcW w:w="2379" w:type="pct"/>
            <w:vAlign w:val="bottom"/>
          </w:tcPr>
          <w:p w:rsidR="00BE1502" w:rsidRPr="00E33566" w:rsidRDefault="00BE1502" w:rsidP="0053026D">
            <w:pPr>
              <w:spacing w:after="0"/>
              <w:jc w:val="center"/>
              <w:rPr>
                <w:rFonts w:eastAsia="Times New Roman" w:cs="Times New Roman"/>
                <w:color w:val="000000"/>
                <w:sz w:val="22"/>
              </w:rPr>
            </w:pPr>
            <w:r w:rsidRPr="00E33566">
              <w:rPr>
                <w:rFonts w:eastAsia="Times New Roman" w:cs="Times New Roman"/>
                <w:color w:val="000000"/>
                <w:sz w:val="22"/>
              </w:rPr>
              <w:t>2010</w:t>
            </w:r>
          </w:p>
        </w:tc>
        <w:tc>
          <w:tcPr>
            <w:tcW w:w="2621" w:type="pct"/>
            <w:vAlign w:val="bottom"/>
          </w:tcPr>
          <w:p w:rsidR="00BE1502" w:rsidRPr="00E33566" w:rsidRDefault="00BE1502" w:rsidP="0053026D">
            <w:pPr>
              <w:spacing w:after="0"/>
              <w:jc w:val="center"/>
              <w:rPr>
                <w:rFonts w:eastAsia="Times New Roman" w:cs="Times New Roman"/>
                <w:color w:val="000000"/>
                <w:sz w:val="22"/>
              </w:rPr>
            </w:pPr>
            <w:r>
              <w:rPr>
                <w:rFonts w:eastAsia="Times New Roman" w:cs="Times New Roman"/>
                <w:color w:val="000000"/>
                <w:sz w:val="22"/>
              </w:rPr>
              <w:t>11771</w:t>
            </w:r>
          </w:p>
        </w:tc>
      </w:tr>
      <w:tr w:rsidR="00BE1502" w:rsidRPr="00C433F9" w:rsidTr="0053026D">
        <w:trPr>
          <w:trHeight w:val="20"/>
          <w:jc w:val="center"/>
        </w:trPr>
        <w:tc>
          <w:tcPr>
            <w:tcW w:w="2379" w:type="pct"/>
            <w:vAlign w:val="bottom"/>
          </w:tcPr>
          <w:p w:rsidR="00BE1502" w:rsidRPr="00E33566" w:rsidRDefault="00BE1502" w:rsidP="0053026D">
            <w:pPr>
              <w:spacing w:after="0"/>
              <w:jc w:val="center"/>
              <w:rPr>
                <w:rFonts w:eastAsia="Times New Roman" w:cs="Times New Roman"/>
                <w:color w:val="000000"/>
                <w:sz w:val="22"/>
              </w:rPr>
            </w:pPr>
            <w:r w:rsidRPr="00E33566">
              <w:rPr>
                <w:rFonts w:eastAsia="Times New Roman" w:cs="Times New Roman"/>
                <w:color w:val="000000"/>
                <w:sz w:val="22"/>
              </w:rPr>
              <w:t>2011</w:t>
            </w:r>
          </w:p>
        </w:tc>
        <w:tc>
          <w:tcPr>
            <w:tcW w:w="2621" w:type="pct"/>
            <w:vAlign w:val="bottom"/>
          </w:tcPr>
          <w:p w:rsidR="00BE1502" w:rsidRPr="00E33566" w:rsidRDefault="00BE1502" w:rsidP="0053026D">
            <w:pPr>
              <w:spacing w:after="0"/>
              <w:jc w:val="center"/>
              <w:rPr>
                <w:rFonts w:eastAsia="Times New Roman" w:cs="Times New Roman"/>
                <w:color w:val="000000"/>
                <w:sz w:val="22"/>
              </w:rPr>
            </w:pPr>
            <w:r>
              <w:rPr>
                <w:rFonts w:eastAsia="Times New Roman" w:cs="Times New Roman"/>
                <w:color w:val="000000"/>
                <w:sz w:val="22"/>
              </w:rPr>
              <w:t>13167</w:t>
            </w:r>
          </w:p>
        </w:tc>
      </w:tr>
      <w:tr w:rsidR="00BE1502" w:rsidRPr="00C433F9" w:rsidTr="0053026D">
        <w:trPr>
          <w:trHeight w:val="20"/>
          <w:jc w:val="center"/>
        </w:trPr>
        <w:tc>
          <w:tcPr>
            <w:tcW w:w="2379" w:type="pct"/>
            <w:vAlign w:val="bottom"/>
          </w:tcPr>
          <w:p w:rsidR="00BE1502" w:rsidRPr="00E33566" w:rsidRDefault="00BE1502" w:rsidP="0053026D">
            <w:pPr>
              <w:spacing w:after="0"/>
              <w:jc w:val="center"/>
              <w:rPr>
                <w:rFonts w:eastAsia="Times New Roman" w:cs="Times New Roman"/>
                <w:color w:val="000000"/>
                <w:sz w:val="22"/>
              </w:rPr>
            </w:pPr>
            <w:r w:rsidRPr="00E33566">
              <w:rPr>
                <w:rFonts w:eastAsia="Times New Roman" w:cs="Times New Roman"/>
                <w:color w:val="000000"/>
                <w:sz w:val="22"/>
              </w:rPr>
              <w:t>2012</w:t>
            </w:r>
          </w:p>
        </w:tc>
        <w:tc>
          <w:tcPr>
            <w:tcW w:w="2621" w:type="pct"/>
            <w:vAlign w:val="bottom"/>
          </w:tcPr>
          <w:p w:rsidR="00BE1502" w:rsidRPr="00E33566" w:rsidRDefault="00BE1502" w:rsidP="0053026D">
            <w:pPr>
              <w:spacing w:after="0"/>
              <w:jc w:val="center"/>
              <w:rPr>
                <w:rFonts w:eastAsia="Times New Roman" w:cs="Times New Roman"/>
                <w:color w:val="000000"/>
                <w:sz w:val="22"/>
              </w:rPr>
            </w:pPr>
            <w:r>
              <w:rPr>
                <w:rFonts w:eastAsia="Times New Roman" w:cs="Times New Roman"/>
                <w:color w:val="000000"/>
                <w:sz w:val="22"/>
              </w:rPr>
              <w:t>14654</w:t>
            </w:r>
          </w:p>
        </w:tc>
      </w:tr>
      <w:tr w:rsidR="00BE1502" w:rsidRPr="00C433F9" w:rsidTr="0053026D">
        <w:trPr>
          <w:trHeight w:val="20"/>
          <w:jc w:val="center"/>
        </w:trPr>
        <w:tc>
          <w:tcPr>
            <w:tcW w:w="2379" w:type="pct"/>
            <w:vAlign w:val="bottom"/>
          </w:tcPr>
          <w:p w:rsidR="00BE1502" w:rsidRPr="00E33566" w:rsidRDefault="00BE1502" w:rsidP="0053026D">
            <w:pPr>
              <w:spacing w:after="0"/>
              <w:jc w:val="center"/>
              <w:rPr>
                <w:rFonts w:eastAsia="Times New Roman" w:cs="Times New Roman"/>
                <w:color w:val="000000"/>
                <w:sz w:val="22"/>
              </w:rPr>
            </w:pPr>
            <w:r w:rsidRPr="00E33566">
              <w:rPr>
                <w:rFonts w:eastAsia="Times New Roman" w:cs="Times New Roman"/>
                <w:color w:val="000000"/>
                <w:sz w:val="22"/>
              </w:rPr>
              <w:lastRenderedPageBreak/>
              <w:t>2013</w:t>
            </w:r>
          </w:p>
        </w:tc>
        <w:tc>
          <w:tcPr>
            <w:tcW w:w="2621" w:type="pct"/>
            <w:vAlign w:val="bottom"/>
          </w:tcPr>
          <w:p w:rsidR="00BE1502" w:rsidRPr="00E33566" w:rsidRDefault="00BE1502" w:rsidP="0053026D">
            <w:pPr>
              <w:spacing w:after="0"/>
              <w:jc w:val="center"/>
              <w:rPr>
                <w:rFonts w:eastAsia="Times New Roman" w:cs="Times New Roman"/>
                <w:color w:val="000000"/>
                <w:sz w:val="22"/>
              </w:rPr>
            </w:pPr>
            <w:r>
              <w:rPr>
                <w:rFonts w:eastAsia="Times New Roman" w:cs="Times New Roman"/>
                <w:color w:val="000000"/>
                <w:sz w:val="22"/>
              </w:rPr>
              <w:t>16237</w:t>
            </w:r>
          </w:p>
        </w:tc>
      </w:tr>
      <w:tr w:rsidR="00BE1502" w:rsidRPr="00C433F9" w:rsidTr="0053026D">
        <w:trPr>
          <w:trHeight w:val="20"/>
          <w:jc w:val="center"/>
        </w:trPr>
        <w:tc>
          <w:tcPr>
            <w:tcW w:w="2379" w:type="pct"/>
            <w:vAlign w:val="bottom"/>
          </w:tcPr>
          <w:p w:rsidR="00BE1502" w:rsidRPr="00E33566" w:rsidRDefault="00BE1502" w:rsidP="0053026D">
            <w:pPr>
              <w:spacing w:after="0"/>
              <w:jc w:val="center"/>
              <w:rPr>
                <w:rFonts w:eastAsia="Times New Roman" w:cs="Times New Roman"/>
                <w:color w:val="000000"/>
                <w:sz w:val="22"/>
              </w:rPr>
            </w:pPr>
            <w:r w:rsidRPr="00E33566">
              <w:rPr>
                <w:rFonts w:eastAsia="Times New Roman" w:cs="Times New Roman"/>
                <w:color w:val="000000"/>
                <w:sz w:val="22"/>
              </w:rPr>
              <w:t>2014</w:t>
            </w:r>
          </w:p>
        </w:tc>
        <w:tc>
          <w:tcPr>
            <w:tcW w:w="2621" w:type="pct"/>
            <w:vAlign w:val="bottom"/>
          </w:tcPr>
          <w:p w:rsidR="00BE1502" w:rsidRPr="00E33566" w:rsidRDefault="00BE1502" w:rsidP="0053026D">
            <w:pPr>
              <w:spacing w:after="0"/>
              <w:jc w:val="center"/>
              <w:rPr>
                <w:rFonts w:eastAsia="Times New Roman" w:cs="Times New Roman"/>
                <w:color w:val="000000"/>
                <w:sz w:val="22"/>
              </w:rPr>
            </w:pPr>
            <w:r>
              <w:rPr>
                <w:rFonts w:eastAsia="Times New Roman" w:cs="Times New Roman"/>
                <w:color w:val="000000"/>
                <w:sz w:val="22"/>
              </w:rPr>
              <w:t>17929</w:t>
            </w:r>
          </w:p>
        </w:tc>
      </w:tr>
      <w:tr w:rsidR="00BE1502" w:rsidRPr="00C433F9" w:rsidTr="0053026D">
        <w:trPr>
          <w:trHeight w:val="20"/>
          <w:jc w:val="center"/>
        </w:trPr>
        <w:tc>
          <w:tcPr>
            <w:tcW w:w="2379" w:type="pct"/>
            <w:vAlign w:val="bottom"/>
          </w:tcPr>
          <w:p w:rsidR="00BE1502" w:rsidRPr="00E33566" w:rsidRDefault="00BE1502" w:rsidP="0053026D">
            <w:pPr>
              <w:spacing w:after="0"/>
              <w:jc w:val="center"/>
              <w:rPr>
                <w:rFonts w:eastAsia="Times New Roman" w:cs="Times New Roman"/>
                <w:color w:val="000000"/>
                <w:sz w:val="22"/>
              </w:rPr>
            </w:pPr>
            <w:r w:rsidRPr="00E33566">
              <w:rPr>
                <w:rFonts w:eastAsia="Times New Roman" w:cs="Times New Roman"/>
                <w:color w:val="000000"/>
                <w:sz w:val="22"/>
              </w:rPr>
              <w:t>2015</w:t>
            </w:r>
          </w:p>
        </w:tc>
        <w:tc>
          <w:tcPr>
            <w:tcW w:w="2621" w:type="pct"/>
            <w:vAlign w:val="bottom"/>
          </w:tcPr>
          <w:p w:rsidR="00BE1502" w:rsidRPr="00E33566" w:rsidRDefault="00BE1502" w:rsidP="0053026D">
            <w:pPr>
              <w:spacing w:after="0"/>
              <w:jc w:val="center"/>
              <w:rPr>
                <w:rFonts w:eastAsia="Times New Roman" w:cs="Times New Roman"/>
                <w:color w:val="000000"/>
                <w:sz w:val="22"/>
              </w:rPr>
            </w:pPr>
            <w:r>
              <w:rPr>
                <w:rFonts w:eastAsia="Times New Roman" w:cs="Times New Roman"/>
                <w:color w:val="000000"/>
                <w:sz w:val="22"/>
              </w:rPr>
              <w:t>19734</w:t>
            </w:r>
          </w:p>
        </w:tc>
      </w:tr>
    </w:tbl>
    <w:p w:rsidR="00BE1502" w:rsidRPr="006C3824" w:rsidRDefault="00BE1502" w:rsidP="006C3824">
      <w:pPr>
        <w:spacing w:before="120"/>
        <w:rPr>
          <w:rFonts w:cs="Times New Roman"/>
          <w:b/>
          <w:i/>
          <w:sz w:val="20"/>
          <w:szCs w:val="18"/>
        </w:rPr>
      </w:pPr>
      <w:r w:rsidRPr="00A67FF2">
        <w:rPr>
          <w:rFonts w:cs="Times New Roman"/>
          <w:b/>
          <w:i/>
          <w:sz w:val="20"/>
          <w:szCs w:val="18"/>
        </w:rPr>
        <w:t xml:space="preserve">Source: </w:t>
      </w:r>
      <w:r>
        <w:rPr>
          <w:rFonts w:cs="Times New Roman"/>
          <w:b/>
          <w:i/>
          <w:sz w:val="20"/>
          <w:szCs w:val="18"/>
        </w:rPr>
        <w:t xml:space="preserve">GED estimates based on </w:t>
      </w:r>
      <w:r w:rsidRPr="00A67FF2">
        <w:rPr>
          <w:rFonts w:cs="Times New Roman"/>
          <w:b/>
          <w:i/>
          <w:sz w:val="20"/>
          <w:szCs w:val="18"/>
        </w:rPr>
        <w:t>BBS</w:t>
      </w:r>
    </w:p>
    <w:p w:rsidR="00BE1502" w:rsidRPr="00C433F9" w:rsidRDefault="00BE1502" w:rsidP="00BE1502">
      <w:pPr>
        <w:tabs>
          <w:tab w:val="left" w:pos="7496"/>
        </w:tabs>
        <w:spacing w:line="276" w:lineRule="auto"/>
        <w:rPr>
          <w:rFonts w:cs="Times New Roman"/>
          <w:b/>
        </w:rPr>
      </w:pPr>
      <w:r w:rsidRPr="00C433F9">
        <w:rPr>
          <w:rFonts w:cs="Times New Roman"/>
          <w:b/>
        </w:rPr>
        <w:t>Calculation of Investment Requirement</w:t>
      </w:r>
      <w:r>
        <w:rPr>
          <w:rFonts w:cs="Times New Roman"/>
          <w:b/>
        </w:rPr>
        <w:t>s</w:t>
      </w:r>
      <w:r w:rsidRPr="00C433F9">
        <w:rPr>
          <w:rFonts w:cs="Times New Roman"/>
          <w:b/>
        </w:rPr>
        <w:t>:</w:t>
      </w:r>
    </w:p>
    <w:p w:rsidR="00BE1502" w:rsidRPr="00C433F9" w:rsidRDefault="00BE1502" w:rsidP="00BE1502">
      <w:pPr>
        <w:rPr>
          <w:rFonts w:cs="Times New Roman"/>
        </w:rPr>
      </w:pPr>
      <w:r w:rsidRPr="00C433F9">
        <w:rPr>
          <w:rFonts w:cs="Times New Roman"/>
        </w:rPr>
        <w:t>To calculate investment requirement to overcome the losses due to natural disasters, the following equation is used</w:t>
      </w:r>
    </w:p>
    <w:p w:rsidR="00BE1502" w:rsidRPr="00C433F9" w:rsidRDefault="00BE1502" w:rsidP="00BE1502">
      <w:pPr>
        <w:jc w:val="center"/>
        <w:rPr>
          <w:rFonts w:cs="Times New Roman"/>
        </w:rPr>
      </w:pPr>
      <w:r w:rsidRPr="00C433F9">
        <w:rPr>
          <w:rFonts w:cs="Times New Roman"/>
        </w:rPr>
        <w:t>I</w:t>
      </w:r>
      <w:r w:rsidRPr="00C433F9">
        <w:rPr>
          <w:rFonts w:cs="Times New Roman"/>
          <w:vertAlign w:val="subscript"/>
        </w:rPr>
        <w:t>t</w:t>
      </w:r>
      <w:r w:rsidRPr="00C433F9">
        <w:rPr>
          <w:rFonts w:cs="Times New Roman"/>
        </w:rPr>
        <w:t xml:space="preserve"> = L</w:t>
      </w:r>
      <w:r w:rsidRPr="00C433F9">
        <w:rPr>
          <w:rFonts w:cs="Times New Roman"/>
          <w:vertAlign w:val="subscript"/>
        </w:rPr>
        <w:t>t</w:t>
      </w:r>
      <w:r w:rsidRPr="00C433F9">
        <w:rPr>
          <w:rFonts w:cs="Times New Roman"/>
        </w:rPr>
        <w:t>*ICOR</w:t>
      </w:r>
    </w:p>
    <w:p w:rsidR="00BE1502" w:rsidRPr="00C433F9" w:rsidRDefault="00BE1502" w:rsidP="00BE1502">
      <w:pPr>
        <w:rPr>
          <w:rFonts w:cs="Times New Roman"/>
        </w:rPr>
      </w:pPr>
      <w:r w:rsidRPr="00C433F9">
        <w:rPr>
          <w:rFonts w:cs="Times New Roman"/>
        </w:rPr>
        <w:t>Where,</w:t>
      </w:r>
    </w:p>
    <w:p w:rsidR="00BE1502" w:rsidRPr="00C433F9" w:rsidRDefault="00BE1502" w:rsidP="00BE1502">
      <w:pPr>
        <w:rPr>
          <w:rFonts w:cs="Times New Roman"/>
        </w:rPr>
      </w:pPr>
      <w:r w:rsidRPr="00C433F9">
        <w:rPr>
          <w:rFonts w:cs="Times New Roman"/>
        </w:rPr>
        <w:t>I</w:t>
      </w:r>
      <w:r w:rsidRPr="00C433F9">
        <w:rPr>
          <w:rFonts w:cs="Times New Roman"/>
          <w:vertAlign w:val="subscript"/>
        </w:rPr>
        <w:t>t</w:t>
      </w:r>
      <w:r w:rsidRPr="00C433F9">
        <w:rPr>
          <w:rFonts w:cs="Times New Roman"/>
        </w:rPr>
        <w:t xml:space="preserve"> = Investment requirement at period t</w:t>
      </w:r>
    </w:p>
    <w:p w:rsidR="00BE1502" w:rsidRPr="00C433F9" w:rsidRDefault="00BE1502" w:rsidP="00BE1502">
      <w:pPr>
        <w:rPr>
          <w:rFonts w:cs="Times New Roman"/>
        </w:rPr>
      </w:pPr>
      <w:r w:rsidRPr="00C433F9">
        <w:rPr>
          <w:rFonts w:cs="Times New Roman"/>
        </w:rPr>
        <w:t>L</w:t>
      </w:r>
      <w:r w:rsidRPr="00C433F9">
        <w:rPr>
          <w:rFonts w:cs="Times New Roman"/>
          <w:vertAlign w:val="subscript"/>
        </w:rPr>
        <w:t>t</w:t>
      </w:r>
      <w:r w:rsidRPr="00C433F9">
        <w:rPr>
          <w:rFonts w:cs="Times New Roman"/>
        </w:rPr>
        <w:t xml:space="preserve"> = Loss due to natural disaster at period t</w:t>
      </w:r>
    </w:p>
    <w:p w:rsidR="00BE1502" w:rsidRPr="00C433F9" w:rsidRDefault="00BE1502" w:rsidP="00BE1502">
      <w:pPr>
        <w:rPr>
          <w:rFonts w:cs="Times New Roman"/>
        </w:rPr>
      </w:pPr>
      <w:r w:rsidRPr="00C433F9">
        <w:rPr>
          <w:rFonts w:cs="Times New Roman"/>
        </w:rPr>
        <w:t>ICOR = Incremental capital output ratio (this projection assumes an ICOR of 4.4</w:t>
      </w:r>
      <w:r>
        <w:rPr>
          <w:rFonts w:cs="Times New Roman"/>
        </w:rPr>
        <w:t xml:space="preserve"> on an average</w:t>
      </w:r>
      <w:r w:rsidRPr="00C433F9">
        <w:rPr>
          <w:rFonts w:cs="Times New Roman"/>
        </w:rPr>
        <w:t>)</w:t>
      </w:r>
    </w:p>
    <w:p w:rsidR="00BE1502" w:rsidRPr="00C433F9" w:rsidRDefault="00BE1502" w:rsidP="00BE1502">
      <w:pPr>
        <w:tabs>
          <w:tab w:val="left" w:pos="7496"/>
        </w:tabs>
        <w:spacing w:line="276" w:lineRule="auto"/>
        <w:rPr>
          <w:rFonts w:cs="Times New Roman"/>
          <w:b/>
        </w:rPr>
      </w:pPr>
      <w:r w:rsidRPr="00C433F9">
        <w:rPr>
          <w:rFonts w:cs="Times New Roman"/>
          <w:b/>
        </w:rPr>
        <w:t xml:space="preserve">Calculation of </w:t>
      </w:r>
      <w:r w:rsidRPr="00C433F9">
        <w:rPr>
          <w:rFonts w:cs="Times New Roman"/>
        </w:rPr>
        <w:t>Head Count Poverty Ratio</w:t>
      </w:r>
      <w:r w:rsidRPr="00C433F9">
        <w:rPr>
          <w:rFonts w:cs="Times New Roman"/>
          <w:b/>
        </w:rPr>
        <w:t>:</w:t>
      </w:r>
    </w:p>
    <w:p w:rsidR="00BE1502" w:rsidRPr="00C433F9" w:rsidRDefault="00BE1502" w:rsidP="00BE1502">
      <w:pPr>
        <w:rPr>
          <w:rFonts w:cs="Times New Roman"/>
        </w:rPr>
      </w:pPr>
      <w:r w:rsidRPr="00C433F9">
        <w:rPr>
          <w:rFonts w:cs="Times New Roman"/>
        </w:rPr>
        <w:t>To project head count ratio of poverty, this study employs the following equation</w:t>
      </w:r>
    </w:p>
    <w:p w:rsidR="00BE1502" w:rsidRPr="00C433F9" w:rsidRDefault="00BE1502" w:rsidP="00BE1502">
      <w:pPr>
        <w:jc w:val="center"/>
        <w:rPr>
          <w:rFonts w:cs="Times New Roman"/>
        </w:rPr>
      </w:pPr>
      <w:r w:rsidRPr="00C433F9">
        <w:rPr>
          <w:rFonts w:cs="Times New Roman"/>
        </w:rPr>
        <w:t>P</w:t>
      </w:r>
      <w:r w:rsidRPr="00C433F9">
        <w:rPr>
          <w:rFonts w:cs="Times New Roman"/>
          <w:vertAlign w:val="subscript"/>
        </w:rPr>
        <w:t>t</w:t>
      </w:r>
      <w:r w:rsidRPr="00C433F9">
        <w:rPr>
          <w:rFonts w:cs="Times New Roman"/>
        </w:rPr>
        <w:t>= P</w:t>
      </w:r>
      <w:r w:rsidRPr="00C433F9">
        <w:rPr>
          <w:rFonts w:cs="Times New Roman"/>
          <w:vertAlign w:val="subscript"/>
        </w:rPr>
        <w:t>t-1</w:t>
      </w:r>
      <w:r w:rsidRPr="00C433F9">
        <w:rPr>
          <w:rFonts w:cs="Times New Roman"/>
        </w:rPr>
        <w:t>*(1+prg</w:t>
      </w:r>
      <w:r w:rsidRPr="00C433F9">
        <w:rPr>
          <w:rFonts w:cs="Times New Roman"/>
          <w:vertAlign w:val="subscript"/>
        </w:rPr>
        <w:t>t</w:t>
      </w:r>
      <w:r w:rsidRPr="00C433F9">
        <w:rPr>
          <w:rFonts w:cs="Times New Roman"/>
        </w:rPr>
        <w:t>*e</w:t>
      </w:r>
      <w:r w:rsidRPr="00C433F9">
        <w:rPr>
          <w:rFonts w:cs="Times New Roman"/>
          <w:vertAlign w:val="subscript"/>
        </w:rPr>
        <w:t>t</w:t>
      </w:r>
      <w:r w:rsidRPr="00C433F9">
        <w:rPr>
          <w:rFonts w:cs="Times New Roman"/>
        </w:rPr>
        <w:t>)</w:t>
      </w:r>
    </w:p>
    <w:p w:rsidR="00BE1502" w:rsidRPr="00C433F9" w:rsidRDefault="00BE1502" w:rsidP="00BE1502">
      <w:pPr>
        <w:rPr>
          <w:rFonts w:cs="Times New Roman"/>
        </w:rPr>
      </w:pPr>
      <w:r w:rsidRPr="00C433F9">
        <w:rPr>
          <w:rFonts w:cs="Times New Roman"/>
        </w:rPr>
        <w:t>Where,</w:t>
      </w:r>
    </w:p>
    <w:p w:rsidR="00BE1502" w:rsidRPr="00C433F9" w:rsidRDefault="00BE1502" w:rsidP="00BE1502">
      <w:pPr>
        <w:rPr>
          <w:rFonts w:cs="Times New Roman"/>
        </w:rPr>
      </w:pPr>
      <w:r w:rsidRPr="00C433F9">
        <w:rPr>
          <w:rFonts w:cs="Times New Roman"/>
        </w:rPr>
        <w:t>P</w:t>
      </w:r>
      <w:r w:rsidRPr="00C433F9">
        <w:rPr>
          <w:rFonts w:cs="Times New Roman"/>
          <w:vertAlign w:val="subscript"/>
        </w:rPr>
        <w:t>t</w:t>
      </w:r>
      <w:r w:rsidRPr="00C433F9">
        <w:rPr>
          <w:rFonts w:cs="Times New Roman"/>
        </w:rPr>
        <w:t>=Poverty head count ratio at period t</w:t>
      </w:r>
    </w:p>
    <w:p w:rsidR="00BE1502" w:rsidRPr="00C433F9" w:rsidRDefault="00BE1502" w:rsidP="00BE1502">
      <w:pPr>
        <w:rPr>
          <w:rFonts w:cs="Times New Roman"/>
        </w:rPr>
      </w:pPr>
      <w:r w:rsidRPr="00C433F9">
        <w:rPr>
          <w:rFonts w:cs="Times New Roman"/>
        </w:rPr>
        <w:t>prg</w:t>
      </w:r>
      <w:r w:rsidRPr="00C433F9">
        <w:rPr>
          <w:rFonts w:cs="Times New Roman"/>
        </w:rPr>
        <w:softHyphen/>
      </w:r>
      <w:r w:rsidRPr="00C433F9">
        <w:rPr>
          <w:rFonts w:cs="Times New Roman"/>
          <w:vertAlign w:val="subscript"/>
        </w:rPr>
        <w:t>t</w:t>
      </w:r>
      <w:r w:rsidRPr="00C433F9">
        <w:rPr>
          <w:rFonts w:cs="Times New Roman"/>
        </w:rPr>
        <w:t xml:space="preserve"> </w:t>
      </w:r>
      <w:r w:rsidRPr="00C433F9">
        <w:rPr>
          <w:rFonts w:cs="Times New Roman"/>
          <w:vertAlign w:val="subscript"/>
        </w:rPr>
        <w:t xml:space="preserve"> </w:t>
      </w:r>
      <w:r w:rsidRPr="00C433F9">
        <w:rPr>
          <w:rFonts w:cs="Times New Roman"/>
        </w:rPr>
        <w:t>= per capita real GDP growth rate</w:t>
      </w:r>
    </w:p>
    <w:p w:rsidR="00BE1502" w:rsidRPr="00C433F9" w:rsidRDefault="00BE1502" w:rsidP="00BE1502">
      <w:pPr>
        <w:rPr>
          <w:rFonts w:cs="Times New Roman"/>
        </w:rPr>
      </w:pPr>
      <w:r w:rsidRPr="00C433F9">
        <w:rPr>
          <w:rFonts w:cs="Times New Roman"/>
        </w:rPr>
        <w:t>e</w:t>
      </w:r>
      <w:r w:rsidRPr="00C433F9">
        <w:rPr>
          <w:rFonts w:cs="Times New Roman"/>
          <w:vertAlign w:val="subscript"/>
        </w:rPr>
        <w:t>t</w:t>
      </w:r>
      <w:r w:rsidRPr="00C433F9">
        <w:rPr>
          <w:rFonts w:cs="Times New Roman"/>
        </w:rPr>
        <w:t xml:space="preserve"> = Percentage change in poverty because of one percent change in per capita real GDP.</w:t>
      </w:r>
    </w:p>
    <w:p w:rsidR="00BE1502" w:rsidRPr="00C433F9" w:rsidRDefault="00BE1502" w:rsidP="00BE1502">
      <w:pPr>
        <w:tabs>
          <w:tab w:val="left" w:pos="7496"/>
        </w:tabs>
        <w:spacing w:line="276" w:lineRule="auto"/>
        <w:rPr>
          <w:rFonts w:cs="Times New Roman"/>
          <w:b/>
        </w:rPr>
      </w:pPr>
      <w:r w:rsidRPr="00C433F9">
        <w:rPr>
          <w:rFonts w:cs="Times New Roman"/>
          <w:b/>
        </w:rPr>
        <w:t xml:space="preserve">Calculation of </w:t>
      </w:r>
      <w:r w:rsidRPr="00C433F9">
        <w:rPr>
          <w:rFonts w:cs="Times New Roman"/>
        </w:rPr>
        <w:t>Employment Loss</w:t>
      </w:r>
      <w:r w:rsidRPr="00C433F9">
        <w:rPr>
          <w:rFonts w:cs="Times New Roman"/>
          <w:b/>
        </w:rPr>
        <w:t>:</w:t>
      </w:r>
    </w:p>
    <w:p w:rsidR="00BE1502" w:rsidRPr="00C433F9" w:rsidRDefault="00BE1502" w:rsidP="00BE1502">
      <w:pPr>
        <w:tabs>
          <w:tab w:val="left" w:pos="7496"/>
        </w:tabs>
        <w:spacing w:line="276" w:lineRule="auto"/>
        <w:rPr>
          <w:rFonts w:cs="Times New Roman"/>
        </w:rPr>
      </w:pPr>
      <w:r w:rsidRPr="00C433F9">
        <w:rPr>
          <w:rFonts w:cs="Times New Roman"/>
        </w:rPr>
        <w:t>Lastly, to calculate employment loss due to total loss income, the following equation is used</w:t>
      </w:r>
    </w:p>
    <w:p w:rsidR="00BE1502" w:rsidRPr="007C2871" w:rsidRDefault="00BE1502" w:rsidP="00BE1502">
      <w:pPr>
        <w:tabs>
          <w:tab w:val="left" w:pos="7496"/>
        </w:tabs>
        <w:spacing w:line="276" w:lineRule="auto"/>
        <w:rPr>
          <w:rFonts w:cs="Times New Roman"/>
          <w:lang w:val="fr-BE"/>
        </w:rPr>
      </w:pPr>
      <w:r w:rsidRPr="007C2871">
        <w:rPr>
          <w:rFonts w:cs="Times New Roman"/>
          <w:lang w:val="fr-BE"/>
        </w:rPr>
        <w:t>AU</w:t>
      </w:r>
      <w:r w:rsidRPr="007C2871">
        <w:rPr>
          <w:rFonts w:cs="Times New Roman"/>
          <w:vertAlign w:val="subscript"/>
          <w:lang w:val="fr-BE"/>
        </w:rPr>
        <w:t>t</w:t>
      </w:r>
      <w:r w:rsidRPr="007C2871">
        <w:rPr>
          <w:rFonts w:cs="Times New Roman"/>
          <w:lang w:val="fr-BE"/>
        </w:rPr>
        <w:t xml:space="preserve"> =E</w:t>
      </w:r>
      <w:r w:rsidRPr="007C2871">
        <w:rPr>
          <w:rFonts w:cs="Times New Roman"/>
          <w:vertAlign w:val="subscript"/>
          <w:lang w:val="fr-BE"/>
        </w:rPr>
        <w:t>t</w:t>
      </w:r>
      <w:r w:rsidRPr="007C2871">
        <w:rPr>
          <w:rFonts w:cs="Times New Roman"/>
          <w:lang w:val="fr-BE"/>
        </w:rPr>
        <w:t>*( (TL</w:t>
      </w:r>
      <w:r w:rsidRPr="007C2871">
        <w:rPr>
          <w:rFonts w:cs="Times New Roman"/>
          <w:vertAlign w:val="subscript"/>
          <w:lang w:val="fr-BE"/>
        </w:rPr>
        <w:t>t</w:t>
      </w:r>
      <w:r w:rsidRPr="007C2871">
        <w:rPr>
          <w:rFonts w:cs="Times New Roman"/>
          <w:lang w:val="fr-BE"/>
        </w:rPr>
        <w:t>/rGDP</w:t>
      </w:r>
      <w:r w:rsidRPr="007C2871">
        <w:rPr>
          <w:rFonts w:cs="Times New Roman"/>
          <w:vertAlign w:val="subscript"/>
          <w:lang w:val="fr-BE"/>
        </w:rPr>
        <w:t>t</w:t>
      </w:r>
      <w:r w:rsidRPr="007C2871">
        <w:rPr>
          <w:rFonts w:cs="Times New Roman"/>
          <w:lang w:val="fr-BE"/>
        </w:rPr>
        <w:t>)*100)*(b/100)</w:t>
      </w:r>
    </w:p>
    <w:p w:rsidR="00BE1502" w:rsidRPr="00C433F9" w:rsidRDefault="00BE1502" w:rsidP="00BE1502">
      <w:pPr>
        <w:tabs>
          <w:tab w:val="left" w:pos="7496"/>
        </w:tabs>
        <w:spacing w:line="276" w:lineRule="auto"/>
        <w:rPr>
          <w:rFonts w:cs="Times New Roman"/>
        </w:rPr>
      </w:pPr>
      <w:r w:rsidRPr="00C433F9">
        <w:rPr>
          <w:rFonts w:cs="Times New Roman"/>
        </w:rPr>
        <w:t>Where,</w:t>
      </w:r>
    </w:p>
    <w:p w:rsidR="00BE1502" w:rsidRPr="00C433F9" w:rsidRDefault="00BE1502" w:rsidP="00BE1502">
      <w:pPr>
        <w:tabs>
          <w:tab w:val="left" w:pos="7496"/>
        </w:tabs>
        <w:spacing w:line="276" w:lineRule="auto"/>
        <w:rPr>
          <w:rFonts w:cs="Times New Roman"/>
        </w:rPr>
      </w:pPr>
      <w:r w:rsidRPr="00C433F9">
        <w:rPr>
          <w:rFonts w:cs="Times New Roman"/>
        </w:rPr>
        <w:t>AU</w:t>
      </w:r>
      <w:r w:rsidRPr="00C433F9">
        <w:rPr>
          <w:rFonts w:cs="Times New Roman"/>
          <w:vertAlign w:val="subscript"/>
        </w:rPr>
        <w:t>t</w:t>
      </w:r>
      <w:r w:rsidRPr="00C433F9">
        <w:rPr>
          <w:rFonts w:cs="Times New Roman"/>
        </w:rPr>
        <w:t xml:space="preserve"> = Additional unemployment at period t,</w:t>
      </w:r>
    </w:p>
    <w:p w:rsidR="00BE1502" w:rsidRPr="00C433F9" w:rsidRDefault="00BE1502" w:rsidP="00BE1502">
      <w:pPr>
        <w:tabs>
          <w:tab w:val="left" w:pos="7496"/>
        </w:tabs>
        <w:spacing w:line="276" w:lineRule="auto"/>
        <w:rPr>
          <w:rFonts w:cs="Times New Roman"/>
        </w:rPr>
      </w:pPr>
      <w:r w:rsidRPr="00C433F9">
        <w:rPr>
          <w:rFonts w:cs="Times New Roman"/>
        </w:rPr>
        <w:lastRenderedPageBreak/>
        <w:t>E</w:t>
      </w:r>
      <w:r w:rsidRPr="00C433F9">
        <w:rPr>
          <w:rFonts w:cs="Times New Roman"/>
          <w:vertAlign w:val="subscript"/>
        </w:rPr>
        <w:t>t</w:t>
      </w:r>
      <w:r w:rsidRPr="00C433F9">
        <w:rPr>
          <w:rFonts w:cs="Times New Roman"/>
        </w:rPr>
        <w:t xml:space="preserve"> = Employed labour at period t,</w:t>
      </w:r>
    </w:p>
    <w:p w:rsidR="00BE1502" w:rsidRPr="00C433F9" w:rsidRDefault="00BE1502" w:rsidP="00BE1502">
      <w:pPr>
        <w:tabs>
          <w:tab w:val="left" w:pos="7496"/>
        </w:tabs>
        <w:spacing w:line="276" w:lineRule="auto"/>
        <w:rPr>
          <w:rFonts w:cs="Times New Roman"/>
        </w:rPr>
      </w:pPr>
      <w:r w:rsidRPr="00C433F9">
        <w:rPr>
          <w:rFonts w:cs="Times New Roman"/>
        </w:rPr>
        <w:t>TL</w:t>
      </w:r>
      <w:r w:rsidRPr="00C433F9">
        <w:rPr>
          <w:rFonts w:cs="Times New Roman"/>
          <w:vertAlign w:val="subscript"/>
        </w:rPr>
        <w:t>t</w:t>
      </w:r>
      <w:r w:rsidRPr="00C433F9">
        <w:rPr>
          <w:rFonts w:cs="Times New Roman"/>
        </w:rPr>
        <w:t xml:space="preserve"> =Total Loss of income at period t,</w:t>
      </w:r>
    </w:p>
    <w:p w:rsidR="00BE1502" w:rsidRPr="00C433F9" w:rsidRDefault="00BE1502" w:rsidP="00BE1502">
      <w:pPr>
        <w:spacing w:line="276" w:lineRule="auto"/>
        <w:rPr>
          <w:rFonts w:cs="Times New Roman"/>
        </w:rPr>
      </w:pPr>
      <w:r w:rsidRPr="00C433F9">
        <w:rPr>
          <w:rFonts w:cs="Times New Roman"/>
        </w:rPr>
        <w:t>rGDP</w:t>
      </w:r>
      <w:r w:rsidRPr="00C433F9">
        <w:rPr>
          <w:rFonts w:cs="Times New Roman"/>
          <w:vertAlign w:val="subscript"/>
        </w:rPr>
        <w:t>t</w:t>
      </w:r>
      <w:r>
        <w:rPr>
          <w:rFonts w:cs="Times New Roman"/>
        </w:rPr>
        <w:t xml:space="preserve"> = DP scenario</w:t>
      </w:r>
      <w:r w:rsidRPr="00C433F9">
        <w:rPr>
          <w:rFonts w:cs="Times New Roman"/>
        </w:rPr>
        <w:t xml:space="preserve"> real GDP at period t,</w:t>
      </w:r>
    </w:p>
    <w:p w:rsidR="00BE1502" w:rsidRPr="00383127" w:rsidRDefault="006C3824" w:rsidP="00383127">
      <w:pPr>
        <w:pStyle w:val="Heading8"/>
        <w:spacing w:after="120"/>
      </w:pPr>
      <w:bookmarkStart w:id="1013" w:name="_Toc474639358"/>
      <w:r w:rsidRPr="00383127">
        <w:t>Table B5.2</w:t>
      </w:r>
      <w:r w:rsidR="00383127">
        <w:t>0</w:t>
      </w:r>
      <w:r w:rsidR="00BE1502" w:rsidRPr="00383127">
        <w:t>: Historical Threshold Values for Determination of Income Group</w:t>
      </w:r>
      <w:bookmarkEnd w:id="1013"/>
    </w:p>
    <w:tbl>
      <w:tblPr>
        <w:tblStyle w:val="TableGrid4"/>
        <w:tblpPr w:leftFromText="180" w:rightFromText="180" w:vertAnchor="text" w:horzAnchor="margin" w:tblpY="70"/>
        <w:tblW w:w="5000" w:type="pct"/>
        <w:tblLook w:val="04A0"/>
      </w:tblPr>
      <w:tblGrid>
        <w:gridCol w:w="1501"/>
        <w:gridCol w:w="1473"/>
        <w:gridCol w:w="1472"/>
        <w:gridCol w:w="1470"/>
        <w:gridCol w:w="1472"/>
        <w:gridCol w:w="1468"/>
      </w:tblGrid>
      <w:tr w:rsidR="00BE1502" w:rsidRPr="00231C9B" w:rsidTr="0053026D">
        <w:trPr>
          <w:trHeight w:val="801"/>
        </w:trPr>
        <w:tc>
          <w:tcPr>
            <w:tcW w:w="847" w:type="pct"/>
            <w:noWrap/>
            <w:vAlign w:val="center"/>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Year</w:t>
            </w:r>
          </w:p>
        </w:tc>
        <w:tc>
          <w:tcPr>
            <w:tcW w:w="831" w:type="pct"/>
            <w:vAlign w:val="center"/>
            <w:hideMark/>
          </w:tcPr>
          <w:p w:rsidR="00BE1502" w:rsidRPr="00231C9B" w:rsidRDefault="00BE1502" w:rsidP="0053026D">
            <w:pPr>
              <w:jc w:val="center"/>
              <w:rPr>
                <w:rFonts w:ascii="Times New Roman" w:eastAsia="Times New Roman" w:hAnsi="Times New Roman" w:cs="Times New Roman"/>
                <w:b/>
                <w:bCs/>
                <w:i/>
                <w:iCs/>
                <w:sz w:val="20"/>
                <w:szCs w:val="20"/>
              </w:rPr>
            </w:pPr>
            <w:r w:rsidRPr="00231C9B">
              <w:rPr>
                <w:rFonts w:ascii="Times New Roman" w:eastAsia="Times New Roman" w:hAnsi="Times New Roman" w:cs="Times New Roman"/>
                <w:b/>
                <w:bCs/>
                <w:i/>
                <w:iCs/>
                <w:sz w:val="20"/>
                <w:szCs w:val="20"/>
              </w:rPr>
              <w:t>Low Value  (in UM)</w:t>
            </w:r>
          </w:p>
        </w:tc>
        <w:tc>
          <w:tcPr>
            <w:tcW w:w="831" w:type="pct"/>
            <w:vAlign w:val="center"/>
            <w:hideMark/>
          </w:tcPr>
          <w:p w:rsidR="00BE1502" w:rsidRPr="00231C9B" w:rsidRDefault="00BE1502" w:rsidP="0053026D">
            <w:pPr>
              <w:jc w:val="center"/>
              <w:rPr>
                <w:rFonts w:ascii="Times New Roman" w:eastAsia="Times New Roman" w:hAnsi="Times New Roman" w:cs="Times New Roman"/>
                <w:b/>
                <w:bCs/>
                <w:i/>
                <w:iCs/>
                <w:sz w:val="20"/>
                <w:szCs w:val="20"/>
              </w:rPr>
            </w:pPr>
            <w:r w:rsidRPr="00231C9B">
              <w:rPr>
                <w:rFonts w:ascii="Times New Roman" w:eastAsia="Times New Roman" w:hAnsi="Times New Roman" w:cs="Times New Roman"/>
                <w:b/>
                <w:bCs/>
                <w:i/>
                <w:iCs/>
                <w:sz w:val="20"/>
                <w:szCs w:val="20"/>
              </w:rPr>
              <w:t>High Value  (in UM)</w:t>
            </w:r>
          </w:p>
        </w:tc>
        <w:tc>
          <w:tcPr>
            <w:tcW w:w="830" w:type="pct"/>
            <w:vAlign w:val="center"/>
            <w:hideMark/>
          </w:tcPr>
          <w:p w:rsidR="00BE1502" w:rsidRPr="00231C9B" w:rsidRDefault="00BE1502" w:rsidP="0053026D">
            <w:pPr>
              <w:jc w:val="center"/>
              <w:rPr>
                <w:rFonts w:ascii="Times New Roman" w:eastAsia="Times New Roman" w:hAnsi="Times New Roman" w:cs="Times New Roman"/>
                <w:b/>
                <w:bCs/>
                <w:i/>
                <w:iCs/>
                <w:sz w:val="20"/>
                <w:szCs w:val="20"/>
              </w:rPr>
            </w:pPr>
            <w:r w:rsidRPr="00231C9B">
              <w:rPr>
                <w:rFonts w:ascii="Times New Roman" w:eastAsia="Times New Roman" w:hAnsi="Times New Roman" w:cs="Times New Roman"/>
                <w:b/>
                <w:bCs/>
                <w:i/>
                <w:iCs/>
                <w:sz w:val="20"/>
                <w:szCs w:val="20"/>
              </w:rPr>
              <w:t>Median Value</w:t>
            </w:r>
          </w:p>
        </w:tc>
        <w:tc>
          <w:tcPr>
            <w:tcW w:w="831" w:type="pct"/>
            <w:vAlign w:val="center"/>
            <w:hideMark/>
          </w:tcPr>
          <w:p w:rsidR="00BE1502" w:rsidRPr="00231C9B" w:rsidRDefault="00BE1502" w:rsidP="0053026D">
            <w:pPr>
              <w:jc w:val="center"/>
              <w:rPr>
                <w:rFonts w:ascii="Times New Roman" w:eastAsia="Times New Roman" w:hAnsi="Times New Roman" w:cs="Times New Roman"/>
                <w:b/>
                <w:bCs/>
                <w:i/>
                <w:iCs/>
                <w:sz w:val="20"/>
                <w:szCs w:val="20"/>
              </w:rPr>
            </w:pPr>
            <w:r w:rsidRPr="00231C9B">
              <w:rPr>
                <w:rFonts w:ascii="Times New Roman" w:eastAsia="Times New Roman" w:hAnsi="Times New Roman" w:cs="Times New Roman"/>
                <w:b/>
                <w:bCs/>
                <w:i/>
                <w:iCs/>
                <w:sz w:val="20"/>
                <w:szCs w:val="20"/>
              </w:rPr>
              <w:t>Low Value  (in UM) Growth</w:t>
            </w:r>
          </w:p>
        </w:tc>
        <w:tc>
          <w:tcPr>
            <w:tcW w:w="829" w:type="pct"/>
            <w:vAlign w:val="center"/>
            <w:hideMark/>
          </w:tcPr>
          <w:p w:rsidR="00BE1502" w:rsidRPr="00231C9B" w:rsidRDefault="00BE1502" w:rsidP="0053026D">
            <w:pPr>
              <w:jc w:val="center"/>
              <w:rPr>
                <w:rFonts w:ascii="Times New Roman" w:eastAsia="Times New Roman" w:hAnsi="Times New Roman" w:cs="Times New Roman"/>
                <w:b/>
                <w:bCs/>
                <w:i/>
                <w:iCs/>
                <w:sz w:val="20"/>
                <w:szCs w:val="20"/>
              </w:rPr>
            </w:pPr>
            <w:r w:rsidRPr="00231C9B">
              <w:rPr>
                <w:rFonts w:ascii="Times New Roman" w:eastAsia="Times New Roman" w:hAnsi="Times New Roman" w:cs="Times New Roman"/>
                <w:b/>
                <w:bCs/>
                <w:i/>
                <w:iCs/>
                <w:sz w:val="20"/>
                <w:szCs w:val="20"/>
              </w:rPr>
              <w:t>High Value  (in UM) Growth</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1993</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2786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8625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5705.5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3.33828</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3.2</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1994</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2896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8955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5925.5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3.94831</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3.8</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1995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3036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9385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6210.5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4.83425</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4.8</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1996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3116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9645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6380.5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2.63505</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2.8</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1997</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3126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9655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6390.5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0.32092</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0.1</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1998</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3031</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9360</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6195.5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-3.039</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-3.1</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1999</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2996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9265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6130.5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-1.1547</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-1.0</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2000</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2996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9265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6130.5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0.0</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2001</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2976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9205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6090.5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-0.6676</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-0.6</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2002</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2936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9075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6005.5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-1.3441</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-1.4</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2003</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3036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9385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6210.5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3.40599</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3.4</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2004</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3256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10065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6660.5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7.24638</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7.2</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3466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10725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7095.5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6.44963</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6.6</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3596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11115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7355.5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3.75072</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3.6</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2007</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3706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11455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7580.5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3.05895</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3.1</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2008</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3856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11905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7880.5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4.04749</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3.9</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2009</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3946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12195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8070.5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2.33402</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2.4</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2010</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3976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12275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8125.5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0.76026</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0.7</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2011</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4036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12475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8255.5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1.50905</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1.6</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2012</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4086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12615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8350.5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1.23885</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1.1</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2013</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4126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12745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8435.5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0.97895</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1.0</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2014</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4126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12735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8430.5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-0.1</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2015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4036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12475</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8255.5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-2.1813</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-2.0</w:t>
            </w:r>
          </w:p>
        </w:tc>
      </w:tr>
      <w:tr w:rsidR="00BE1502" w:rsidRPr="00231C9B" w:rsidTr="0053026D">
        <w:trPr>
          <w:trHeight w:val="297"/>
        </w:trPr>
        <w:tc>
          <w:tcPr>
            <w:tcW w:w="847" w:type="pct"/>
            <w:noWrap/>
            <w:hideMark/>
          </w:tcPr>
          <w:p w:rsidR="00BE1502" w:rsidRPr="00231C9B" w:rsidRDefault="00BE1502" w:rsidP="0053026D">
            <w:pPr>
              <w:jc w:val="center"/>
              <w:rPr>
                <w:rFonts w:ascii="Times New Roman" w:eastAsia="Times New Roman" w:hAnsi="Times New Roman" w:cs="Times New Roman"/>
                <w:b/>
                <w:bCs/>
                <w:sz w:val="20"/>
                <w:szCs w:val="20"/>
              </w:rPr>
            </w:pPr>
            <w:r w:rsidRPr="00231C9B">
              <w:rPr>
                <w:rFonts w:ascii="Times New Roman" w:eastAsia="Times New Roman" w:hAnsi="Times New Roman" w:cs="Times New Roman"/>
                <w:b/>
                <w:bCs/>
                <w:sz w:val="20"/>
                <w:szCs w:val="20"/>
              </w:rPr>
              <w:t>2016</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4145</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12821</w:t>
            </w:r>
          </w:p>
        </w:tc>
        <w:tc>
          <w:tcPr>
            <w:tcW w:w="830"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8483</w:t>
            </w:r>
          </w:p>
        </w:tc>
        <w:tc>
          <w:tcPr>
            <w:tcW w:w="831"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1.80</w:t>
            </w:r>
          </w:p>
        </w:tc>
        <w:tc>
          <w:tcPr>
            <w:tcW w:w="829" w:type="pct"/>
            <w:noWrap/>
            <w:hideMark/>
          </w:tcPr>
          <w:p w:rsidR="00BE1502" w:rsidRPr="00231C9B" w:rsidRDefault="00BE1502" w:rsidP="0053026D">
            <w:pPr>
              <w:jc w:val="center"/>
              <w:rPr>
                <w:rFonts w:ascii="Times New Roman" w:eastAsia="Times New Roman" w:hAnsi="Times New Roman" w:cs="Times New Roman"/>
                <w:bCs/>
                <w:sz w:val="20"/>
                <w:szCs w:val="20"/>
              </w:rPr>
            </w:pPr>
            <w:r w:rsidRPr="00231C9B">
              <w:rPr>
                <w:rFonts w:ascii="Times New Roman" w:eastAsia="Times New Roman" w:hAnsi="Times New Roman" w:cs="Times New Roman"/>
                <w:bCs/>
                <w:sz w:val="20"/>
                <w:szCs w:val="20"/>
              </w:rPr>
              <w:t>1.79</w:t>
            </w:r>
          </w:p>
        </w:tc>
      </w:tr>
    </w:tbl>
    <w:p w:rsidR="00BE1502" w:rsidRDefault="00BE1502" w:rsidP="00BE1502">
      <w:pPr>
        <w:spacing w:before="120"/>
        <w:rPr>
          <w:b/>
          <w:i/>
          <w:sz w:val="20"/>
        </w:rPr>
      </w:pPr>
      <w:r w:rsidRPr="001E1D91">
        <w:rPr>
          <w:b/>
          <w:i/>
          <w:sz w:val="20"/>
        </w:rPr>
        <w:t>Source:  World Bank</w:t>
      </w:r>
    </w:p>
    <w:p w:rsidR="000F4981" w:rsidRDefault="000F4981" w:rsidP="00BE1502">
      <w:pPr>
        <w:spacing w:before="120"/>
        <w:rPr>
          <w:b/>
          <w:i/>
          <w:sz w:val="20"/>
        </w:rPr>
      </w:pPr>
    </w:p>
    <w:p w:rsidR="000F4981" w:rsidRDefault="000F4981" w:rsidP="00BE1502">
      <w:pPr>
        <w:spacing w:before="120"/>
        <w:rPr>
          <w:b/>
          <w:i/>
          <w:sz w:val="20"/>
        </w:rPr>
      </w:pPr>
    </w:p>
    <w:p w:rsidR="000F4981" w:rsidRDefault="000F4981" w:rsidP="00BE1502">
      <w:pPr>
        <w:spacing w:before="120"/>
        <w:rPr>
          <w:b/>
          <w:i/>
          <w:sz w:val="20"/>
        </w:rPr>
      </w:pPr>
    </w:p>
    <w:p w:rsidR="000F4981" w:rsidRPr="001E1D91" w:rsidRDefault="000F4981" w:rsidP="00BE1502">
      <w:pPr>
        <w:spacing w:before="120"/>
        <w:rPr>
          <w:b/>
          <w:i/>
          <w:sz w:val="20"/>
        </w:rPr>
      </w:pPr>
    </w:p>
    <w:p w:rsidR="00BE1502" w:rsidRPr="00383127" w:rsidRDefault="006C3824" w:rsidP="00383127">
      <w:pPr>
        <w:pStyle w:val="Heading8"/>
        <w:spacing w:after="120"/>
      </w:pPr>
      <w:bookmarkStart w:id="1014" w:name="_Toc474639359"/>
      <w:r w:rsidRPr="00383127">
        <w:lastRenderedPageBreak/>
        <w:t>Table B5.</w:t>
      </w:r>
      <w:r w:rsidR="00383127" w:rsidRPr="00383127">
        <w:t>21</w:t>
      </w:r>
      <w:r w:rsidR="00BE1502" w:rsidRPr="00383127">
        <w:t>: Forecasted Threshold Values for Determination of Income Group</w:t>
      </w:r>
      <w:bookmarkEnd w:id="1014"/>
    </w:p>
    <w:tbl>
      <w:tblPr>
        <w:tblW w:w="5000" w:type="pct"/>
        <w:jc w:val="center"/>
        <w:tblLook w:val="04A0"/>
      </w:tblPr>
      <w:tblGrid>
        <w:gridCol w:w="2214"/>
        <w:gridCol w:w="2214"/>
        <w:gridCol w:w="2214"/>
        <w:gridCol w:w="2214"/>
      </w:tblGrid>
      <w:tr w:rsidR="00BE1502" w:rsidRPr="00231C9B" w:rsidTr="0053026D">
        <w:trPr>
          <w:trHeight w:val="744"/>
          <w:jc w:val="center"/>
        </w:trPr>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E1502" w:rsidRPr="00231C9B" w:rsidRDefault="00BE1502" w:rsidP="0053026D">
            <w:pPr>
              <w:spacing w:after="0" w:line="240" w:lineRule="auto"/>
              <w:jc w:val="center"/>
              <w:rPr>
                <w:rFonts w:eastAsia="Times New Roman" w:cs="Times New Roman"/>
                <w:b/>
                <w:bCs/>
                <w:sz w:val="20"/>
                <w:szCs w:val="20"/>
              </w:rPr>
            </w:pPr>
            <w:r w:rsidRPr="00231C9B">
              <w:rPr>
                <w:rFonts w:eastAsia="Times New Roman" w:cs="Times New Roman"/>
                <w:b/>
                <w:bCs/>
                <w:sz w:val="20"/>
                <w:szCs w:val="20"/>
              </w:rPr>
              <w:t>Year</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BE1502" w:rsidRPr="00231C9B" w:rsidRDefault="00BE1502" w:rsidP="0053026D">
            <w:pPr>
              <w:spacing w:after="0" w:line="240" w:lineRule="auto"/>
              <w:jc w:val="center"/>
              <w:rPr>
                <w:rFonts w:eastAsia="Times New Roman" w:cs="Times New Roman"/>
                <w:b/>
                <w:bCs/>
                <w:i/>
                <w:iCs/>
                <w:sz w:val="20"/>
                <w:szCs w:val="20"/>
              </w:rPr>
            </w:pPr>
            <w:r w:rsidRPr="00231C9B">
              <w:rPr>
                <w:rFonts w:eastAsia="Times New Roman" w:cs="Times New Roman"/>
                <w:b/>
                <w:bCs/>
                <w:i/>
                <w:iCs/>
                <w:sz w:val="20"/>
                <w:szCs w:val="20"/>
              </w:rPr>
              <w:t>Low Value(in UM)</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BE1502" w:rsidRPr="00231C9B" w:rsidRDefault="00BE1502" w:rsidP="0053026D">
            <w:pPr>
              <w:spacing w:after="0" w:line="240" w:lineRule="auto"/>
              <w:jc w:val="center"/>
              <w:rPr>
                <w:rFonts w:eastAsia="Times New Roman" w:cs="Times New Roman"/>
                <w:b/>
                <w:bCs/>
                <w:i/>
                <w:iCs/>
                <w:sz w:val="20"/>
                <w:szCs w:val="20"/>
              </w:rPr>
            </w:pPr>
            <w:r w:rsidRPr="00231C9B">
              <w:rPr>
                <w:rFonts w:eastAsia="Times New Roman" w:cs="Times New Roman"/>
                <w:b/>
                <w:bCs/>
                <w:i/>
                <w:iCs/>
                <w:sz w:val="20"/>
                <w:szCs w:val="20"/>
              </w:rPr>
              <w:t>High Value(in UM)</w:t>
            </w:r>
          </w:p>
        </w:tc>
        <w:tc>
          <w:tcPr>
            <w:tcW w:w="1250" w:type="pct"/>
            <w:tcBorders>
              <w:top w:val="single" w:sz="4" w:space="0" w:color="auto"/>
              <w:left w:val="nil"/>
              <w:bottom w:val="single" w:sz="4" w:space="0" w:color="auto"/>
              <w:right w:val="single" w:sz="4" w:space="0" w:color="auto"/>
            </w:tcBorders>
            <w:shd w:val="clear" w:color="auto" w:fill="auto"/>
            <w:vAlign w:val="center"/>
            <w:hideMark/>
          </w:tcPr>
          <w:p w:rsidR="00BE1502" w:rsidRPr="00231C9B" w:rsidRDefault="00BE1502" w:rsidP="0053026D">
            <w:pPr>
              <w:spacing w:after="0" w:line="240" w:lineRule="auto"/>
              <w:jc w:val="center"/>
              <w:rPr>
                <w:rFonts w:eastAsia="Times New Roman" w:cs="Times New Roman"/>
                <w:b/>
                <w:bCs/>
                <w:i/>
                <w:iCs/>
                <w:sz w:val="20"/>
                <w:szCs w:val="20"/>
              </w:rPr>
            </w:pPr>
            <w:r w:rsidRPr="00231C9B">
              <w:rPr>
                <w:rFonts w:eastAsia="Times New Roman" w:cs="Times New Roman"/>
                <w:b/>
                <w:bCs/>
                <w:i/>
                <w:iCs/>
                <w:sz w:val="20"/>
                <w:szCs w:val="20"/>
              </w:rPr>
              <w:t>Median Value</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2017</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4183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12926</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8554</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2018</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4258</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13157</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8708</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2019</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4335</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13393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8864</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2020</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4413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13633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9023</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2021</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4493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13877</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9185</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2022</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4574</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14126</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9350</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4656</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14379</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9518</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2024</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4740</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14636</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9688</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2025</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4826</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14899</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9862</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2026</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4913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15166</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10039</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2027</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5001</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15437</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10219</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2028</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5091</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15714</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10403</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2029</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5183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15995</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10589</w:t>
            </w:r>
          </w:p>
        </w:tc>
      </w:tr>
      <w:tr w:rsidR="00BE1502" w:rsidRPr="00231C9B" w:rsidTr="0053026D">
        <w:trPr>
          <w:trHeight w:val="197"/>
          <w:jc w:val="center"/>
        </w:trPr>
        <w:tc>
          <w:tcPr>
            <w:tcW w:w="1250" w:type="pct"/>
            <w:tcBorders>
              <w:top w:val="nil"/>
              <w:left w:val="single" w:sz="4" w:space="0" w:color="auto"/>
              <w:bottom w:val="nil"/>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2030</w:t>
            </w:r>
          </w:p>
        </w:tc>
        <w:tc>
          <w:tcPr>
            <w:tcW w:w="1250" w:type="pct"/>
            <w:tcBorders>
              <w:top w:val="nil"/>
              <w:left w:val="nil"/>
              <w:bottom w:val="nil"/>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5277</w:t>
            </w:r>
          </w:p>
        </w:tc>
        <w:tc>
          <w:tcPr>
            <w:tcW w:w="1250" w:type="pct"/>
            <w:tcBorders>
              <w:top w:val="nil"/>
              <w:left w:val="nil"/>
              <w:bottom w:val="nil"/>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16282</w:t>
            </w:r>
          </w:p>
        </w:tc>
        <w:tc>
          <w:tcPr>
            <w:tcW w:w="1250" w:type="pct"/>
            <w:tcBorders>
              <w:top w:val="nil"/>
              <w:left w:val="nil"/>
              <w:bottom w:val="nil"/>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10779</w:t>
            </w:r>
          </w:p>
        </w:tc>
      </w:tr>
      <w:tr w:rsidR="00BE1502" w:rsidRPr="00231C9B" w:rsidTr="0053026D">
        <w:trPr>
          <w:trHeight w:val="306"/>
          <w:jc w:val="center"/>
        </w:trPr>
        <w:tc>
          <w:tcPr>
            <w:tcW w:w="125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2031</w:t>
            </w:r>
          </w:p>
        </w:tc>
        <w:tc>
          <w:tcPr>
            <w:tcW w:w="1250" w:type="pct"/>
            <w:tcBorders>
              <w:top w:val="single" w:sz="8" w:space="0" w:color="auto"/>
              <w:left w:val="nil"/>
              <w:bottom w:val="single" w:sz="8"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bCs/>
                <w:sz w:val="20"/>
                <w:szCs w:val="20"/>
              </w:rPr>
            </w:pPr>
            <w:r w:rsidRPr="00231C9B">
              <w:rPr>
                <w:rFonts w:eastAsia="Times New Roman" w:cs="Times New Roman"/>
                <w:bCs/>
                <w:sz w:val="20"/>
                <w:szCs w:val="20"/>
              </w:rPr>
              <w:t>5372</w:t>
            </w:r>
          </w:p>
        </w:tc>
        <w:tc>
          <w:tcPr>
            <w:tcW w:w="1250" w:type="pct"/>
            <w:tcBorders>
              <w:top w:val="single" w:sz="8" w:space="0" w:color="auto"/>
              <w:left w:val="nil"/>
              <w:bottom w:val="single" w:sz="8"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bCs/>
                <w:sz w:val="20"/>
                <w:szCs w:val="20"/>
              </w:rPr>
            </w:pPr>
            <w:r w:rsidRPr="00231C9B">
              <w:rPr>
                <w:rFonts w:eastAsia="Times New Roman" w:cs="Times New Roman"/>
                <w:bCs/>
                <w:sz w:val="20"/>
                <w:szCs w:val="20"/>
              </w:rPr>
              <w:t>16573</w:t>
            </w:r>
          </w:p>
        </w:tc>
        <w:tc>
          <w:tcPr>
            <w:tcW w:w="1250" w:type="pct"/>
            <w:tcBorders>
              <w:top w:val="single" w:sz="8" w:space="0" w:color="auto"/>
              <w:left w:val="nil"/>
              <w:bottom w:val="single" w:sz="8" w:space="0" w:color="auto"/>
              <w:right w:val="single" w:sz="8"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bCs/>
                <w:sz w:val="20"/>
                <w:szCs w:val="20"/>
              </w:rPr>
            </w:pPr>
            <w:r w:rsidRPr="00231C9B">
              <w:rPr>
                <w:rFonts w:eastAsia="Times New Roman" w:cs="Times New Roman"/>
                <w:bCs/>
                <w:sz w:val="20"/>
                <w:szCs w:val="20"/>
              </w:rPr>
              <w:t>10973</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2032</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5469</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16870</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11169</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5567</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17172</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11370</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2034</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5668</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17480</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11574</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2035</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5770</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17793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11782</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2036</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5874</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18112</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11993</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2037</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5980</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18436</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12208</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2038</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6088</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18767</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12427</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2039</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6197</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19103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12650</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2040</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6309</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19445</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12877</w:t>
            </w:r>
          </w:p>
        </w:tc>
      </w:tr>
      <w:tr w:rsidR="00BE1502" w:rsidRPr="00231C9B" w:rsidTr="0053026D">
        <w:trPr>
          <w:trHeight w:val="292"/>
          <w:jc w:val="center"/>
        </w:trPr>
        <w:tc>
          <w:tcPr>
            <w:tcW w:w="1250" w:type="pct"/>
            <w:tcBorders>
              <w:top w:val="nil"/>
              <w:left w:val="single" w:sz="4" w:space="0" w:color="auto"/>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center"/>
              <w:rPr>
                <w:rFonts w:eastAsia="Times New Roman" w:cs="Times New Roman"/>
                <w:bCs/>
                <w:szCs w:val="24"/>
              </w:rPr>
            </w:pPr>
            <w:r w:rsidRPr="00231C9B">
              <w:rPr>
                <w:rFonts w:eastAsia="Times New Roman" w:cs="Times New Roman"/>
                <w:bCs/>
                <w:sz w:val="22"/>
              </w:rPr>
              <w:t>2041</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6423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19793</w:t>
            </w:r>
          </w:p>
        </w:tc>
        <w:tc>
          <w:tcPr>
            <w:tcW w:w="1250" w:type="pct"/>
            <w:tcBorders>
              <w:top w:val="nil"/>
              <w:left w:val="nil"/>
              <w:bottom w:val="single" w:sz="4" w:space="0" w:color="auto"/>
              <w:right w:val="single" w:sz="4" w:space="0" w:color="auto"/>
            </w:tcBorders>
            <w:shd w:val="clear" w:color="auto" w:fill="auto"/>
            <w:noWrap/>
            <w:vAlign w:val="bottom"/>
            <w:hideMark/>
          </w:tcPr>
          <w:p w:rsidR="00BE1502" w:rsidRPr="00231C9B" w:rsidRDefault="00BE1502" w:rsidP="0053026D">
            <w:pPr>
              <w:spacing w:after="0" w:line="240" w:lineRule="auto"/>
              <w:jc w:val="right"/>
              <w:rPr>
                <w:rFonts w:eastAsia="Times New Roman" w:cs="Times New Roman"/>
                <w:sz w:val="20"/>
                <w:szCs w:val="20"/>
              </w:rPr>
            </w:pPr>
            <w:r w:rsidRPr="00231C9B">
              <w:rPr>
                <w:rFonts w:eastAsia="Times New Roman" w:cs="Times New Roman"/>
                <w:sz w:val="20"/>
                <w:szCs w:val="20"/>
              </w:rPr>
              <w:t>13108</w:t>
            </w:r>
          </w:p>
        </w:tc>
      </w:tr>
    </w:tbl>
    <w:p w:rsidR="00BE1502" w:rsidRPr="00383127" w:rsidRDefault="00BE1502" w:rsidP="00383127">
      <w:pPr>
        <w:tabs>
          <w:tab w:val="left" w:pos="1035"/>
        </w:tabs>
        <w:spacing w:before="120" w:line="240" w:lineRule="auto"/>
        <w:rPr>
          <w:rFonts w:eastAsia="Calibri" w:cs="Times New Roman"/>
          <w:b/>
          <w:sz w:val="16"/>
          <w:szCs w:val="20"/>
          <w:lang w:val="en-GB"/>
        </w:rPr>
      </w:pPr>
      <w:r w:rsidRPr="00383127">
        <w:rPr>
          <w:rFonts w:eastAsia="Calibri" w:cs="Times New Roman"/>
          <w:b/>
          <w:sz w:val="16"/>
          <w:szCs w:val="20"/>
          <w:lang w:val="en-GB"/>
        </w:rPr>
        <w:t>Source: GED Projections</w:t>
      </w:r>
    </w:p>
    <w:p w:rsidR="00383127" w:rsidRPr="00383127" w:rsidRDefault="00383127" w:rsidP="00383127">
      <w:r w:rsidRPr="00383127">
        <w:br w:type="page"/>
      </w:r>
    </w:p>
    <w:p w:rsidR="00E77A39" w:rsidRPr="008C0601" w:rsidRDefault="00E77A39" w:rsidP="008C0601">
      <w:pPr>
        <w:pStyle w:val="Heading1"/>
      </w:pPr>
      <w:bookmarkStart w:id="1015" w:name="_Toc474638971"/>
      <w:r w:rsidRPr="008C0601">
        <w:lastRenderedPageBreak/>
        <w:t xml:space="preserve">Annex </w:t>
      </w:r>
      <w:r w:rsidR="000A7B76">
        <w:t>C</w:t>
      </w:r>
      <w:r w:rsidRPr="008C0601">
        <w:t>: Technical Annex to Chapter 11.</w:t>
      </w:r>
      <w:bookmarkEnd w:id="1015"/>
      <w:r w:rsidRPr="008C0601">
        <w:t xml:space="preserve"> </w:t>
      </w:r>
    </w:p>
    <w:p w:rsidR="00E77A39" w:rsidRPr="00920AD2" w:rsidRDefault="000A7B76" w:rsidP="00E77A39">
      <w:pPr>
        <w:pStyle w:val="Heading8"/>
      </w:pPr>
      <w:bookmarkStart w:id="1016" w:name="_Toc474639360"/>
      <w:r>
        <w:t>Table C</w:t>
      </w:r>
      <w:r w:rsidR="00E77A39">
        <w:t>11.</w:t>
      </w:r>
      <w:r w:rsidR="00E77A39" w:rsidRPr="00920AD2">
        <w:t xml:space="preserve">1: </w:t>
      </w:r>
      <w:r w:rsidR="000B096E">
        <w:t>Public</w:t>
      </w:r>
      <w:r w:rsidR="00E77A39" w:rsidRPr="00920AD2">
        <w:t xml:space="preserve"> Sector Allocation to the Water Sector</w:t>
      </w:r>
      <w:bookmarkEnd w:id="10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73"/>
        <w:gridCol w:w="738"/>
        <w:gridCol w:w="739"/>
        <w:gridCol w:w="739"/>
        <w:gridCol w:w="739"/>
        <w:gridCol w:w="1107"/>
        <w:gridCol w:w="921"/>
      </w:tblGrid>
      <w:tr w:rsidR="00E77A39" w:rsidRPr="00643DC1" w:rsidTr="00231C9B">
        <w:trPr>
          <w:trHeight w:val="20"/>
        </w:trPr>
        <w:tc>
          <w:tcPr>
            <w:tcW w:w="2187" w:type="pct"/>
            <w:shd w:val="clear" w:color="auto" w:fill="D9D9D9"/>
            <w:noWrap/>
            <w:vAlign w:val="bottom"/>
            <w:hideMark/>
          </w:tcPr>
          <w:p w:rsidR="00E77A39" w:rsidRPr="00643DC1" w:rsidRDefault="00E77A39" w:rsidP="0053026D">
            <w:pPr>
              <w:spacing w:after="0"/>
              <w:rPr>
                <w:rFonts w:eastAsia="Times New Roman"/>
                <w:sz w:val="18"/>
              </w:rPr>
            </w:pPr>
            <w:r w:rsidRPr="00643DC1">
              <w:rPr>
                <w:rFonts w:eastAsia="Times New Roman"/>
                <w:sz w:val="18"/>
              </w:rPr>
              <w:t> </w:t>
            </w:r>
          </w:p>
        </w:tc>
        <w:tc>
          <w:tcPr>
            <w:tcW w:w="417" w:type="pct"/>
            <w:shd w:val="clear" w:color="auto" w:fill="D9D9D9"/>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FY12</w:t>
            </w:r>
          </w:p>
        </w:tc>
        <w:tc>
          <w:tcPr>
            <w:tcW w:w="417" w:type="pct"/>
            <w:shd w:val="clear" w:color="auto" w:fill="D9D9D9"/>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FY13</w:t>
            </w:r>
          </w:p>
        </w:tc>
        <w:tc>
          <w:tcPr>
            <w:tcW w:w="417" w:type="pct"/>
            <w:shd w:val="clear" w:color="auto" w:fill="D9D9D9"/>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FY14</w:t>
            </w:r>
          </w:p>
        </w:tc>
        <w:tc>
          <w:tcPr>
            <w:tcW w:w="417" w:type="pct"/>
            <w:shd w:val="clear" w:color="auto" w:fill="D9D9D9"/>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FY15</w:t>
            </w:r>
          </w:p>
        </w:tc>
        <w:tc>
          <w:tcPr>
            <w:tcW w:w="625" w:type="pct"/>
            <w:shd w:val="clear" w:color="auto" w:fill="D9D9D9"/>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FY16(RB</w:t>
            </w:r>
            <w:r w:rsidRPr="00643DC1">
              <w:rPr>
                <w:rFonts w:eastAsia="Times New Roman"/>
                <w:sz w:val="18"/>
                <w:szCs w:val="20"/>
              </w:rPr>
              <w:t>)</w:t>
            </w:r>
          </w:p>
        </w:tc>
        <w:tc>
          <w:tcPr>
            <w:tcW w:w="519" w:type="pct"/>
            <w:shd w:val="clear" w:color="auto" w:fill="D9D9D9"/>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FY17(B)</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p>
        </w:tc>
        <w:tc>
          <w:tcPr>
            <w:tcW w:w="2813" w:type="pct"/>
            <w:gridSpan w:val="6"/>
            <w:shd w:val="clear" w:color="auto" w:fill="auto"/>
            <w:noWrap/>
            <w:vAlign w:val="center"/>
            <w:hideMark/>
          </w:tcPr>
          <w:p w:rsidR="00E77A39" w:rsidRPr="00643DC1" w:rsidRDefault="00E77A39" w:rsidP="0053026D">
            <w:pPr>
              <w:spacing w:after="0"/>
              <w:jc w:val="center"/>
              <w:rPr>
                <w:rFonts w:eastAsia="Times New Roman"/>
                <w:b/>
                <w:bCs/>
                <w:sz w:val="18"/>
                <w:szCs w:val="20"/>
              </w:rPr>
            </w:pPr>
            <w:r w:rsidRPr="00643DC1">
              <w:rPr>
                <w:rFonts w:eastAsia="Times New Roman"/>
                <w:b/>
                <w:bCs/>
                <w:sz w:val="18"/>
                <w:szCs w:val="20"/>
              </w:rPr>
              <w:t>(% of GDP)</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Total expenditure</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14.4</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14.5</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14.0</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13.5</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15.3</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17.3</w:t>
            </w:r>
          </w:p>
        </w:tc>
      </w:tr>
      <w:tr w:rsidR="00E77A39" w:rsidRPr="00643DC1" w:rsidTr="00231C9B">
        <w:trPr>
          <w:trHeight w:val="20"/>
        </w:trPr>
        <w:tc>
          <w:tcPr>
            <w:tcW w:w="2187" w:type="pct"/>
            <w:shd w:val="clear" w:color="auto" w:fill="F2F2F2"/>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 xml:space="preserve">     of which: Water resource and development</w:t>
            </w:r>
          </w:p>
        </w:tc>
        <w:tc>
          <w:tcPr>
            <w:tcW w:w="417" w:type="pct"/>
            <w:shd w:val="clear" w:color="auto" w:fill="F2F2F2"/>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0.5</w:t>
            </w:r>
          </w:p>
        </w:tc>
        <w:tc>
          <w:tcPr>
            <w:tcW w:w="417" w:type="pct"/>
            <w:shd w:val="clear" w:color="auto" w:fill="F2F2F2"/>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0.6</w:t>
            </w:r>
          </w:p>
        </w:tc>
        <w:tc>
          <w:tcPr>
            <w:tcW w:w="417" w:type="pct"/>
            <w:shd w:val="clear" w:color="auto" w:fill="F2F2F2"/>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0.6</w:t>
            </w:r>
          </w:p>
        </w:tc>
        <w:tc>
          <w:tcPr>
            <w:tcW w:w="417" w:type="pct"/>
            <w:shd w:val="clear" w:color="auto" w:fill="F2F2F2"/>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0.6</w:t>
            </w:r>
          </w:p>
        </w:tc>
        <w:tc>
          <w:tcPr>
            <w:tcW w:w="625" w:type="pct"/>
            <w:shd w:val="clear" w:color="auto" w:fill="F2F2F2"/>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0.8</w:t>
            </w:r>
          </w:p>
        </w:tc>
        <w:tc>
          <w:tcPr>
            <w:tcW w:w="519" w:type="pct"/>
            <w:shd w:val="clear" w:color="auto" w:fill="F2F2F2"/>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0.8</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Agriculture</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1.4</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1.6</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1.3</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 xml:space="preserve">     Of which: Water Resource ( Irrigation, FCD, etc)</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625"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519"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Defense</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w:t>
            </w:r>
          </w:p>
        </w:tc>
      </w:tr>
      <w:tr w:rsidR="00E77A39" w:rsidRPr="00643DC1" w:rsidTr="00231C9B">
        <w:trPr>
          <w:trHeight w:val="20"/>
        </w:trPr>
        <w:tc>
          <w:tcPr>
            <w:tcW w:w="2187" w:type="pct"/>
            <w:shd w:val="clear" w:color="auto" w:fill="auto"/>
            <w:noWrap/>
            <w:vAlign w:val="bottom"/>
            <w:hideMark/>
          </w:tcPr>
          <w:p w:rsidR="00E77A39" w:rsidRPr="00643DC1" w:rsidRDefault="000B096E" w:rsidP="000B096E">
            <w:pPr>
              <w:spacing w:after="0"/>
              <w:rPr>
                <w:rFonts w:eastAsia="Times New Roman"/>
                <w:sz w:val="18"/>
              </w:rPr>
            </w:pPr>
            <w:r>
              <w:rPr>
                <w:rFonts w:eastAsia="Times New Roman"/>
                <w:sz w:val="18"/>
              </w:rPr>
              <w:t>Public</w:t>
            </w:r>
            <w:r w:rsidR="00E77A39" w:rsidRPr="00643DC1">
              <w:rPr>
                <w:rFonts w:eastAsia="Times New Roman"/>
                <w:sz w:val="18"/>
              </w:rPr>
              <w:t xml:space="preserve"> administration</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0.7</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1.4</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2.4</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Social security and welfare</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0.7</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 xml:space="preserve">   Of which: Relief and Disaster Management</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0.4</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0.4</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0.4</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0.3</w:t>
            </w:r>
          </w:p>
        </w:tc>
        <w:tc>
          <w:tcPr>
            <w:tcW w:w="625"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0.4</w:t>
            </w:r>
          </w:p>
        </w:tc>
        <w:tc>
          <w:tcPr>
            <w:tcW w:w="519"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0.4</w:t>
            </w:r>
          </w:p>
        </w:tc>
      </w:tr>
      <w:tr w:rsidR="00E77A39" w:rsidRPr="00643DC1" w:rsidTr="00231C9B">
        <w:trPr>
          <w:trHeight w:val="20"/>
        </w:trPr>
        <w:tc>
          <w:tcPr>
            <w:tcW w:w="2187" w:type="pct"/>
            <w:shd w:val="clear" w:color="auto" w:fill="auto"/>
            <w:noWrap/>
            <w:vAlign w:val="bottom"/>
            <w:hideMark/>
          </w:tcPr>
          <w:p w:rsidR="00E77A39" w:rsidRPr="00643DC1" w:rsidRDefault="000B096E" w:rsidP="0053026D">
            <w:pPr>
              <w:spacing w:after="0"/>
              <w:rPr>
                <w:rFonts w:eastAsia="Times New Roman"/>
                <w:sz w:val="18"/>
              </w:rPr>
            </w:pPr>
            <w:r>
              <w:rPr>
                <w:rFonts w:eastAsia="Times New Roman"/>
                <w:sz w:val="18"/>
              </w:rPr>
              <w:t>Public</w:t>
            </w:r>
            <w:r w:rsidRPr="00643DC1">
              <w:rPr>
                <w:rFonts w:eastAsia="Times New Roman"/>
                <w:sz w:val="18"/>
              </w:rPr>
              <w:t xml:space="preserve"> </w:t>
            </w:r>
            <w:r w:rsidR="00E77A39" w:rsidRPr="00643DC1">
              <w:rPr>
                <w:rFonts w:eastAsia="Times New Roman"/>
                <w:sz w:val="18"/>
              </w:rPr>
              <w:t>order and security</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Housing</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0.2</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0.2</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Health</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0.7</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0.7</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0.7</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0.7</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Recreation, culture and religion</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Industrial and economic services</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0.2</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0.2</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0.2</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0.2</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0.2</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Education and information technology</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1.8</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1.8</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2.0</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2.0</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2.3</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2.7</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Interest</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1.9</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2.0</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2.0</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1.8</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2.0</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Transport and communication</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1.3</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1.5</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1.9</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 xml:space="preserve">     of which: Inland Water Transport</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0.1</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0.1</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625"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519"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Local government and rural development</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 xml:space="preserve">      of which: Water supply and sanitation</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0.2</w:t>
            </w:r>
          </w:p>
        </w:tc>
        <w:tc>
          <w:tcPr>
            <w:tcW w:w="417"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0.3</w:t>
            </w:r>
          </w:p>
        </w:tc>
        <w:tc>
          <w:tcPr>
            <w:tcW w:w="625"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0.3</w:t>
            </w:r>
          </w:p>
        </w:tc>
        <w:tc>
          <w:tcPr>
            <w:tcW w:w="519" w:type="pct"/>
            <w:shd w:val="clear" w:color="auto" w:fill="auto"/>
            <w:noWrap/>
            <w:vAlign w:val="center"/>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0.3</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Energy and power</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0.4</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Miscellaneous expenditure</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1.6</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1.5</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c>
          <w:tcPr>
            <w:tcW w:w="417"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625"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0.4</w:t>
            </w:r>
          </w:p>
        </w:tc>
        <w:tc>
          <w:tcPr>
            <w:tcW w:w="519" w:type="pct"/>
            <w:shd w:val="clear" w:color="auto" w:fill="auto"/>
            <w:noWrap/>
            <w:vAlign w:val="center"/>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0.6</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p>
        </w:tc>
        <w:tc>
          <w:tcPr>
            <w:tcW w:w="2813" w:type="pct"/>
            <w:gridSpan w:val="6"/>
            <w:shd w:val="clear" w:color="auto" w:fill="auto"/>
            <w:noWrap/>
            <w:vAlign w:val="center"/>
            <w:hideMark/>
          </w:tcPr>
          <w:p w:rsidR="00E77A39" w:rsidRPr="00643DC1" w:rsidRDefault="00E77A39" w:rsidP="0053026D">
            <w:pPr>
              <w:spacing w:after="0"/>
              <w:jc w:val="center"/>
              <w:rPr>
                <w:rFonts w:eastAsia="Times New Roman"/>
                <w:b/>
                <w:bCs/>
                <w:sz w:val="18"/>
                <w:szCs w:val="18"/>
              </w:rPr>
            </w:pPr>
            <w:r>
              <w:rPr>
                <w:rFonts w:eastAsia="Times New Roman"/>
                <w:b/>
                <w:bCs/>
                <w:sz w:val="18"/>
                <w:szCs w:val="18"/>
              </w:rPr>
              <w:t>(% o</w:t>
            </w:r>
            <w:r w:rsidRPr="00643DC1">
              <w:rPr>
                <w:rFonts w:eastAsia="Times New Roman"/>
                <w:b/>
                <w:bCs/>
                <w:sz w:val="18"/>
                <w:szCs w:val="18"/>
              </w:rPr>
              <w:t>f Total Expenditure)</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Agriculture</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9.6</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11.3</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9.2</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7.8</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7.0</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6.7</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 xml:space="preserve">           Of which: Water Resource</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1.4</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1.4</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1.5</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1.4</w:t>
            </w:r>
          </w:p>
        </w:tc>
        <w:tc>
          <w:tcPr>
            <w:tcW w:w="625"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1.4</w:t>
            </w:r>
          </w:p>
        </w:tc>
        <w:tc>
          <w:tcPr>
            <w:tcW w:w="519"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1.4</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Defense</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8.0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6.9</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7.4</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8.6</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7.8</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6.5</w:t>
            </w:r>
          </w:p>
        </w:tc>
      </w:tr>
      <w:tr w:rsidR="00E77A39" w:rsidRPr="00643DC1" w:rsidTr="00231C9B">
        <w:trPr>
          <w:trHeight w:val="20"/>
        </w:trPr>
        <w:tc>
          <w:tcPr>
            <w:tcW w:w="2187" w:type="pct"/>
            <w:shd w:val="clear" w:color="auto" w:fill="auto"/>
            <w:noWrap/>
            <w:vAlign w:val="bottom"/>
            <w:hideMark/>
          </w:tcPr>
          <w:p w:rsidR="00E77A39" w:rsidRPr="00643DC1" w:rsidRDefault="000B096E" w:rsidP="0053026D">
            <w:pPr>
              <w:spacing w:after="0"/>
              <w:rPr>
                <w:rFonts w:eastAsia="Times New Roman"/>
                <w:sz w:val="18"/>
              </w:rPr>
            </w:pPr>
            <w:r>
              <w:rPr>
                <w:rFonts w:eastAsia="Times New Roman"/>
                <w:sz w:val="18"/>
              </w:rPr>
              <w:t>Public</w:t>
            </w:r>
            <w:r w:rsidRPr="00643DC1">
              <w:rPr>
                <w:rFonts w:eastAsia="Times New Roman"/>
                <w:sz w:val="18"/>
              </w:rPr>
              <w:t xml:space="preserve"> </w:t>
            </w:r>
            <w:r w:rsidR="00E77A39" w:rsidRPr="00643DC1">
              <w:rPr>
                <w:rFonts w:eastAsia="Times New Roman"/>
                <w:sz w:val="18"/>
              </w:rPr>
              <w:t>administration</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7.2</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4.6</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7.7</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6.0</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9.0</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13.9</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Social security and welfare</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5.9</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5.8</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5.5</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6.4</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5.8</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 xml:space="preserve">     Of which: Relief and Disaster Management</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2.8</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3.0</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3.1</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2.3</w:t>
            </w:r>
          </w:p>
        </w:tc>
        <w:tc>
          <w:tcPr>
            <w:tcW w:w="625"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2.9</w:t>
            </w:r>
          </w:p>
        </w:tc>
        <w:tc>
          <w:tcPr>
            <w:tcW w:w="519"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2.3</w:t>
            </w:r>
          </w:p>
        </w:tc>
      </w:tr>
      <w:tr w:rsidR="00E77A39" w:rsidRPr="00643DC1" w:rsidTr="00231C9B">
        <w:trPr>
          <w:trHeight w:val="20"/>
        </w:trPr>
        <w:tc>
          <w:tcPr>
            <w:tcW w:w="2187" w:type="pct"/>
            <w:shd w:val="clear" w:color="auto" w:fill="auto"/>
            <w:noWrap/>
            <w:vAlign w:val="bottom"/>
            <w:hideMark/>
          </w:tcPr>
          <w:p w:rsidR="00E77A39" w:rsidRPr="00643DC1" w:rsidRDefault="000B096E" w:rsidP="0053026D">
            <w:pPr>
              <w:spacing w:after="0"/>
              <w:rPr>
                <w:rFonts w:eastAsia="Times New Roman"/>
                <w:sz w:val="18"/>
              </w:rPr>
            </w:pPr>
            <w:r>
              <w:rPr>
                <w:rFonts w:eastAsia="Times New Roman"/>
                <w:sz w:val="18"/>
              </w:rPr>
              <w:t>Public</w:t>
            </w:r>
            <w:r w:rsidRPr="00643DC1">
              <w:rPr>
                <w:rFonts w:eastAsia="Times New Roman"/>
                <w:sz w:val="18"/>
              </w:rPr>
              <w:t xml:space="preserve"> </w:t>
            </w:r>
            <w:r w:rsidR="00E77A39" w:rsidRPr="00643DC1">
              <w:rPr>
                <w:rFonts w:eastAsia="Times New Roman"/>
                <w:sz w:val="18"/>
              </w:rPr>
              <w:t>order and security</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5.7</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5.5</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6.2</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6.4</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6.6</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6.2</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Housing</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1.5</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Health</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4.9</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5.1</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5.6</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5.1</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Recreation, culture and religion</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0.9</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0.8</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Industrial and economic services</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1.5</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1.3</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1.3</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Education and information technology</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12.5</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12.2</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14.1</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14.8</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14.9</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15.6</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Interest</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13.4</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13.7</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15.0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15.2</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12.0</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11.7</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Transport and communication</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6.2</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7.2</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7.6</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9.3</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10.1</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11.0</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 xml:space="preserve">     of which: Inland Water Transport</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0.7</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0.9</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1.3</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1.4</w:t>
            </w:r>
          </w:p>
        </w:tc>
        <w:tc>
          <w:tcPr>
            <w:tcW w:w="625"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1.3</w:t>
            </w:r>
          </w:p>
        </w:tc>
        <w:tc>
          <w:tcPr>
            <w:tcW w:w="519"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1.2</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Local government and rural development</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7.2</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8.1</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7.7</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8.7</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8.1</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6.9</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 xml:space="preserve">      of which: Water supply and sanitation</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1.6</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1.6</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1.6</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1.9</w:t>
            </w:r>
          </w:p>
        </w:tc>
        <w:tc>
          <w:tcPr>
            <w:tcW w:w="625"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2.2</w:t>
            </w:r>
          </w:p>
        </w:tc>
        <w:tc>
          <w:tcPr>
            <w:tcW w:w="519"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2.0</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Energy and power</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5.2</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5.9</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5.6</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2.9</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6.3</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4.4</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sz w:val="18"/>
              </w:rPr>
            </w:pPr>
            <w:r w:rsidRPr="00643DC1">
              <w:rPr>
                <w:rFonts w:eastAsia="Times New Roman"/>
                <w:sz w:val="18"/>
              </w:rPr>
              <w:t>Miscellaneous expenditure</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11.0</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10.5</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5.4</w:t>
            </w:r>
          </w:p>
        </w:tc>
        <w:tc>
          <w:tcPr>
            <w:tcW w:w="417"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6.6</w:t>
            </w:r>
          </w:p>
        </w:tc>
        <w:tc>
          <w:tcPr>
            <w:tcW w:w="625"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2.9</w:t>
            </w:r>
          </w:p>
        </w:tc>
        <w:tc>
          <w:tcPr>
            <w:tcW w:w="519" w:type="pct"/>
            <w:shd w:val="clear" w:color="auto" w:fill="auto"/>
            <w:noWrap/>
            <w:vAlign w:val="bottom"/>
            <w:hideMark/>
          </w:tcPr>
          <w:p w:rsidR="00E77A39" w:rsidRPr="00643DC1" w:rsidRDefault="00E77A39" w:rsidP="0053026D">
            <w:pPr>
              <w:spacing w:after="0"/>
              <w:jc w:val="right"/>
              <w:rPr>
                <w:rFonts w:eastAsia="Times New Roman"/>
                <w:sz w:val="18"/>
                <w:szCs w:val="20"/>
              </w:rPr>
            </w:pPr>
            <w:r w:rsidRPr="00643DC1">
              <w:rPr>
                <w:rFonts w:eastAsia="Times New Roman"/>
                <w:sz w:val="18"/>
                <w:szCs w:val="20"/>
              </w:rPr>
              <w:t>3.5</w:t>
            </w: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Memorandum Item:</w:t>
            </w:r>
          </w:p>
        </w:tc>
        <w:tc>
          <w:tcPr>
            <w:tcW w:w="417" w:type="pct"/>
            <w:shd w:val="clear" w:color="auto" w:fill="auto"/>
            <w:noWrap/>
            <w:vAlign w:val="bottom"/>
            <w:hideMark/>
          </w:tcPr>
          <w:p w:rsidR="00E77A39" w:rsidRPr="00643DC1" w:rsidRDefault="00E77A39" w:rsidP="0053026D">
            <w:pPr>
              <w:spacing w:after="0"/>
              <w:rPr>
                <w:rFonts w:eastAsia="Times New Roman"/>
                <w:sz w:val="18"/>
              </w:rPr>
            </w:pPr>
          </w:p>
        </w:tc>
        <w:tc>
          <w:tcPr>
            <w:tcW w:w="417" w:type="pct"/>
            <w:shd w:val="clear" w:color="auto" w:fill="auto"/>
            <w:noWrap/>
            <w:vAlign w:val="bottom"/>
            <w:hideMark/>
          </w:tcPr>
          <w:p w:rsidR="00E77A39" w:rsidRPr="00643DC1" w:rsidRDefault="00E77A39" w:rsidP="0053026D">
            <w:pPr>
              <w:spacing w:after="0"/>
              <w:rPr>
                <w:rFonts w:eastAsia="Times New Roman"/>
                <w:sz w:val="18"/>
              </w:rPr>
            </w:pPr>
          </w:p>
        </w:tc>
        <w:tc>
          <w:tcPr>
            <w:tcW w:w="417" w:type="pct"/>
            <w:shd w:val="clear" w:color="auto" w:fill="auto"/>
            <w:noWrap/>
            <w:vAlign w:val="bottom"/>
            <w:hideMark/>
          </w:tcPr>
          <w:p w:rsidR="00E77A39" w:rsidRPr="00643DC1" w:rsidRDefault="00E77A39" w:rsidP="0053026D">
            <w:pPr>
              <w:spacing w:after="0"/>
              <w:rPr>
                <w:rFonts w:eastAsia="Times New Roman"/>
                <w:sz w:val="18"/>
              </w:rPr>
            </w:pPr>
          </w:p>
        </w:tc>
        <w:tc>
          <w:tcPr>
            <w:tcW w:w="417" w:type="pct"/>
            <w:shd w:val="clear" w:color="auto" w:fill="auto"/>
            <w:noWrap/>
            <w:vAlign w:val="bottom"/>
            <w:hideMark/>
          </w:tcPr>
          <w:p w:rsidR="00E77A39" w:rsidRPr="00643DC1" w:rsidRDefault="00E77A39" w:rsidP="0053026D">
            <w:pPr>
              <w:spacing w:after="0"/>
              <w:rPr>
                <w:rFonts w:eastAsia="Times New Roman"/>
                <w:sz w:val="18"/>
              </w:rPr>
            </w:pPr>
          </w:p>
        </w:tc>
        <w:tc>
          <w:tcPr>
            <w:tcW w:w="625" w:type="pct"/>
            <w:shd w:val="clear" w:color="auto" w:fill="auto"/>
            <w:noWrap/>
            <w:vAlign w:val="bottom"/>
            <w:hideMark/>
          </w:tcPr>
          <w:p w:rsidR="00E77A39" w:rsidRPr="00643DC1" w:rsidRDefault="00E77A39" w:rsidP="0053026D">
            <w:pPr>
              <w:spacing w:after="0"/>
              <w:rPr>
                <w:rFonts w:eastAsia="Times New Roman"/>
                <w:sz w:val="18"/>
              </w:rPr>
            </w:pPr>
          </w:p>
        </w:tc>
        <w:tc>
          <w:tcPr>
            <w:tcW w:w="519" w:type="pct"/>
            <w:shd w:val="clear" w:color="auto" w:fill="auto"/>
            <w:noWrap/>
            <w:vAlign w:val="bottom"/>
            <w:hideMark/>
          </w:tcPr>
          <w:p w:rsidR="00E77A39" w:rsidRPr="00643DC1" w:rsidRDefault="00E77A39" w:rsidP="0053026D">
            <w:pPr>
              <w:spacing w:after="0"/>
              <w:rPr>
                <w:rFonts w:eastAsia="Times New Roman"/>
                <w:sz w:val="18"/>
              </w:rPr>
            </w:pPr>
          </w:p>
        </w:tc>
      </w:tr>
      <w:tr w:rsidR="00E77A39" w:rsidRPr="00643DC1" w:rsidTr="00231C9B">
        <w:trPr>
          <w:trHeight w:val="20"/>
        </w:trPr>
        <w:tc>
          <w:tcPr>
            <w:tcW w:w="2187" w:type="pct"/>
            <w:shd w:val="clear" w:color="auto" w:fill="auto"/>
            <w:noWrap/>
            <w:vAlign w:val="bottom"/>
            <w:hideMark/>
          </w:tcPr>
          <w:p w:rsidR="00E77A39" w:rsidRPr="00643DC1" w:rsidRDefault="00E77A39" w:rsidP="0053026D">
            <w:pPr>
              <w:spacing w:after="0"/>
              <w:rPr>
                <w:rFonts w:eastAsia="Times New Roman"/>
                <w:b/>
                <w:bCs/>
                <w:sz w:val="18"/>
              </w:rPr>
            </w:pPr>
            <w:r w:rsidRPr="00643DC1">
              <w:rPr>
                <w:rFonts w:eastAsia="Times New Roman"/>
                <w:b/>
                <w:bCs/>
                <w:sz w:val="18"/>
              </w:rPr>
              <w:t>Nominal GDP</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10552</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11989</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13437</w:t>
            </w:r>
          </w:p>
        </w:tc>
        <w:tc>
          <w:tcPr>
            <w:tcW w:w="417"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15158</w:t>
            </w:r>
          </w:p>
        </w:tc>
        <w:tc>
          <w:tcPr>
            <w:tcW w:w="625"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17296</w:t>
            </w:r>
          </w:p>
        </w:tc>
        <w:tc>
          <w:tcPr>
            <w:tcW w:w="519" w:type="pct"/>
            <w:shd w:val="clear" w:color="auto" w:fill="auto"/>
            <w:noWrap/>
            <w:vAlign w:val="bottom"/>
            <w:hideMark/>
          </w:tcPr>
          <w:p w:rsidR="00E77A39" w:rsidRPr="00643DC1" w:rsidRDefault="00E77A39" w:rsidP="0053026D">
            <w:pPr>
              <w:spacing w:after="0"/>
              <w:jc w:val="right"/>
              <w:rPr>
                <w:rFonts w:eastAsia="Times New Roman"/>
                <w:b/>
                <w:bCs/>
                <w:sz w:val="18"/>
                <w:szCs w:val="20"/>
              </w:rPr>
            </w:pPr>
            <w:r w:rsidRPr="00643DC1">
              <w:rPr>
                <w:rFonts w:eastAsia="Times New Roman"/>
                <w:b/>
                <w:bCs/>
                <w:sz w:val="18"/>
                <w:szCs w:val="20"/>
              </w:rPr>
              <w:t>19681.0</w:t>
            </w:r>
          </w:p>
        </w:tc>
      </w:tr>
    </w:tbl>
    <w:p w:rsidR="00546E8F" w:rsidRPr="00231C9B" w:rsidRDefault="00E77A39" w:rsidP="00231C9B">
      <w:pPr>
        <w:tabs>
          <w:tab w:val="left" w:pos="7152"/>
          <w:tab w:val="left" w:pos="7632"/>
          <w:tab w:val="left" w:pos="8113"/>
          <w:tab w:val="left" w:pos="8905"/>
        </w:tabs>
        <w:spacing w:before="120"/>
        <w:rPr>
          <w:rFonts w:eastAsia="Times New Roman"/>
          <w:b/>
          <w:i/>
          <w:color w:val="000000"/>
          <w:sz w:val="20"/>
        </w:rPr>
      </w:pPr>
      <w:r w:rsidRPr="00920AD2">
        <w:rPr>
          <w:rFonts w:eastAsia="Times New Roman"/>
          <w:b/>
          <w:bCs/>
          <w:i/>
          <w:color w:val="000000"/>
          <w:sz w:val="20"/>
          <w:szCs w:val="16"/>
        </w:rPr>
        <w:t>Source: Ministry of Planning and Budget Documents of Ministry of Planning, Bangladesh.</w:t>
      </w:r>
      <w:r>
        <w:rPr>
          <w:rFonts w:eastAsia="Times New Roman"/>
          <w:b/>
          <w:bCs/>
          <w:i/>
          <w:color w:val="000000"/>
          <w:sz w:val="20"/>
          <w:szCs w:val="16"/>
        </w:rPr>
        <w:tab/>
      </w:r>
    </w:p>
    <w:sectPr w:rsidR="00546E8F" w:rsidRPr="00231C9B" w:rsidSect="00144771">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5A31" w:rsidRDefault="003D5A31" w:rsidP="009667AD">
      <w:pPr>
        <w:spacing w:after="0" w:line="240" w:lineRule="auto"/>
      </w:pPr>
      <w:r>
        <w:separator/>
      </w:r>
    </w:p>
    <w:p w:rsidR="003D5A31" w:rsidRDefault="003D5A31"/>
  </w:endnote>
  <w:endnote w:type="continuationSeparator" w:id="0">
    <w:p w:rsidR="003D5A31" w:rsidRDefault="003D5A31" w:rsidP="009667AD">
      <w:pPr>
        <w:spacing w:after="0" w:line="240" w:lineRule="auto"/>
      </w:pPr>
      <w:r>
        <w:continuationSeparator/>
      </w:r>
    </w:p>
    <w:p w:rsidR="003D5A31" w:rsidRDefault="003D5A31"/>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
    <w:altName w:val="MS Gothic"/>
    <w:panose1 w:val="00000000000000000000"/>
    <w:charset w:val="80"/>
    <w:family w:val="auto"/>
    <w:notTrueType/>
    <w:pitch w:val="variable"/>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Vrinda">
    <w:altName w:val="Segoe UI"/>
    <w:panose1 w:val="020B0502040204020203"/>
    <w:charset w:val="01"/>
    <w:family w:val="roman"/>
    <w:notTrueType/>
    <w:pitch w:val="variable"/>
    <w:sig w:usb0="00000000" w:usb1="00000000" w:usb2="00000000" w:usb3="00000000" w:csb0="00000000" w:csb1="00000000"/>
  </w:font>
  <w:font w:name="Lucida Grande">
    <w:altName w:val="Times New Roman"/>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A00002BF" w:usb1="68C7FCFB" w:usb2="00000010" w:usb3="00000000" w:csb0="0002009F" w:csb1="00000000"/>
  </w:font>
  <w:font w:name="Times New Roman Bold">
    <w:panose1 w:val="02020803070505020304"/>
    <w:charset w:val="00"/>
    <w:family w:val="auto"/>
    <w:pitch w:val="variable"/>
    <w:sig w:usb0="E0002AFF" w:usb1="C0007841" w:usb2="00000009" w:usb3="00000000" w:csb0="000001FF" w:csb1="00000000"/>
  </w:font>
  <w:font w:name="BatangChe">
    <w:panose1 w:val="02030609000101010101"/>
    <w:charset w:val="81"/>
    <w:family w:val="modern"/>
    <w:pitch w:val="fixed"/>
    <w:sig w:usb0="B00002AF" w:usb1="69D77CFB" w:usb2="00000030" w:usb3="00000000" w:csb0="0008009F" w:csb1="00000000"/>
  </w:font>
  <w:font w:name="Times">
    <w:panose1 w:val="02020603050405020304"/>
    <w:charset w:val="00"/>
    <w:family w:val="roman"/>
    <w:pitch w:val="variable"/>
    <w:sig w:usb0="E0002AFF" w:usb1="C0007841" w:usb2="00000009" w:usb3="00000000" w:csb0="000001FF" w:csb1="00000000"/>
  </w:font>
  <w:font w:name="Calibri Light">
    <w:altName w:val="Arial Unicode MS"/>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Microsoft Sans Serif">
    <w:panose1 w:val="020B060402020202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TimesNewRoman">
    <w:altName w:val="Arial"/>
    <w:panose1 w:val="00000000000000000000"/>
    <w:charset w:val="00"/>
    <w:family w:val="roman"/>
    <w:notTrueType/>
    <w:pitch w:val="default"/>
    <w:sig w:usb0="00000003" w:usb1="00000000" w:usb2="00000000" w:usb3="00000000" w:csb0="00000001" w:csb1="00000000"/>
  </w:font>
  <w:font w:name="Nikosh">
    <w:panose1 w:val="02000000000000000000"/>
    <w:charset w:val="00"/>
    <w:family w:val="auto"/>
    <w:pitch w:val="variable"/>
    <w:sig w:usb0="00018003" w:usb1="00000000" w:usb2="00000000" w:usb3="00000000" w:csb0="00000001" w:csb1="00000000"/>
  </w:font>
  <w:font w:name="MyriadPro-Regular">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rsidP="002310F3">
    <w:pPr>
      <w:pStyle w:val="Footer"/>
      <w:framePr w:wrap="around" w:vAnchor="text" w:hAnchor="margin" w:xAlign="center" w:y="1"/>
      <w:rPr>
        <w:rStyle w:val="PageNumber"/>
      </w:rPr>
    </w:pPr>
    <w:r>
      <w:rPr>
        <w:rStyle w:val="PageNumber"/>
      </w:rPr>
      <w:fldChar w:fldCharType="begin"/>
    </w:r>
    <w:r w:rsidR="009D3B38">
      <w:rPr>
        <w:rStyle w:val="PageNumber"/>
      </w:rPr>
      <w:instrText xml:space="preserve">PAGE  </w:instrText>
    </w:r>
    <w:r>
      <w:rPr>
        <w:rStyle w:val="PageNumber"/>
      </w:rPr>
      <w:fldChar w:fldCharType="end"/>
    </w:r>
  </w:p>
  <w:p w:rsidR="009D3B38" w:rsidRDefault="009D3B38">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1020932723"/>
      <w:docPartObj>
        <w:docPartGallery w:val="Page Numbers (Bottom of Page)"/>
        <w:docPartUnique/>
      </w:docPartObj>
    </w:sdtPr>
    <w:sdtEndPr>
      <w:rPr>
        <w:noProof/>
      </w:rPr>
    </w:sdtEndPr>
    <w:sdtContent>
      <w:p w:rsidR="009D3B38" w:rsidRDefault="001A12B2">
        <w:pPr>
          <w:pStyle w:val="Footer"/>
          <w:jc w:val="center"/>
        </w:pPr>
        <w:fldSimple w:instr=" PAGE   \* MERGEFORMAT ">
          <w:r w:rsidR="0048464B">
            <w:rPr>
              <w:noProof/>
            </w:rPr>
            <w:t>386</w:t>
          </w:r>
        </w:fldSimple>
      </w:p>
    </w:sdtContent>
  </w:sdt>
  <w:p w:rsidR="009D3B38" w:rsidRDefault="009D3B38">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Footer"/>
      <w:jc w:val="center"/>
    </w:pPr>
    <w:fldSimple w:instr=" PAGE   \* MERGEFORMAT ">
      <w:r w:rsidR="0048464B">
        <w:rPr>
          <w:noProof/>
        </w:rPr>
        <w:t>455</w:t>
      </w:r>
    </w:fldSimple>
  </w:p>
  <w:p w:rsidR="009D3B38" w:rsidRDefault="009D3B38">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1667704171"/>
      <w:docPartObj>
        <w:docPartGallery w:val="Page Numbers (Bottom of Page)"/>
        <w:docPartUnique/>
      </w:docPartObj>
    </w:sdtPr>
    <w:sdtContent>
      <w:p w:rsidR="009D3B38" w:rsidRDefault="001A12B2">
        <w:pPr>
          <w:pStyle w:val="Footer"/>
          <w:jc w:val="center"/>
        </w:pPr>
        <w:fldSimple w:instr=" PAGE   \* MERGEFORMAT ">
          <w:r w:rsidR="0048464B">
            <w:rPr>
              <w:noProof/>
            </w:rPr>
            <w:t>456</w:t>
          </w:r>
        </w:fldSimple>
      </w:p>
    </w:sdtContent>
  </w:sdt>
  <w:p w:rsidR="009D3B38" w:rsidRDefault="009D3B38">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1592502813"/>
      <w:docPartObj>
        <w:docPartGallery w:val="Page Numbers (Bottom of Page)"/>
        <w:docPartUnique/>
      </w:docPartObj>
    </w:sdtPr>
    <w:sdtContent>
      <w:p w:rsidR="0048464B" w:rsidRDefault="0048464B">
        <w:pPr>
          <w:pStyle w:val="Footer"/>
          <w:jc w:val="center"/>
        </w:pPr>
        <w:fldSimple w:instr=" PAGE   \* MERGEFORMAT ">
          <w:r>
            <w:rPr>
              <w:noProof/>
            </w:rPr>
            <w:t>516</w:t>
          </w:r>
        </w:fldSimple>
      </w:p>
    </w:sdtContent>
  </w:sdt>
  <w:p w:rsidR="0048464B" w:rsidRDefault="0048464B">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927922661"/>
      <w:docPartObj>
        <w:docPartGallery w:val="Page Numbers (Bottom of Page)"/>
        <w:docPartUnique/>
      </w:docPartObj>
    </w:sdtPr>
    <w:sdtContent>
      <w:p w:rsidR="009D3B38" w:rsidRDefault="001A12B2">
        <w:pPr>
          <w:pStyle w:val="Footer"/>
          <w:jc w:val="center"/>
        </w:pPr>
        <w:fldSimple w:instr=" PAGE   \* MERGEFORMAT ">
          <w:r w:rsidR="0048464B">
            <w:rPr>
              <w:noProof/>
            </w:rPr>
            <w:t>588</w:t>
          </w:r>
        </w:fldSimple>
      </w:p>
    </w:sdtContent>
  </w:sdt>
  <w:p w:rsidR="009D3B38" w:rsidRDefault="009D3B38">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577062771"/>
      <w:docPartObj>
        <w:docPartGallery w:val="Page Numbers (Bottom of Page)"/>
        <w:docPartUnique/>
      </w:docPartObj>
    </w:sdtPr>
    <w:sdtContent>
      <w:p w:rsidR="009D3B38" w:rsidRDefault="001A12B2">
        <w:pPr>
          <w:pStyle w:val="Footer"/>
          <w:jc w:val="center"/>
        </w:pPr>
        <w:fldSimple w:instr=" PAGE   \* MERGEFORMAT ">
          <w:r w:rsidR="0048464B">
            <w:rPr>
              <w:noProof/>
            </w:rPr>
            <w:t>615</w:t>
          </w:r>
        </w:fldSimple>
      </w:p>
    </w:sdtContent>
  </w:sdt>
  <w:p w:rsidR="009D3B38" w:rsidRPr="00C41D1C" w:rsidRDefault="009D3B38" w:rsidP="00005EAC">
    <w:pPr>
      <w:pStyle w:val="Foo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rsidP="002310F3">
    <w:pPr>
      <w:pStyle w:val="Footer"/>
      <w:framePr w:wrap="around" w:vAnchor="text" w:hAnchor="margin" w:xAlign="center" w:y="1"/>
      <w:rPr>
        <w:rStyle w:val="PageNumber"/>
      </w:rPr>
    </w:pPr>
    <w:r>
      <w:rPr>
        <w:rStyle w:val="PageNumber"/>
      </w:rPr>
      <w:fldChar w:fldCharType="begin"/>
    </w:r>
    <w:r w:rsidR="009D3B38">
      <w:rPr>
        <w:rStyle w:val="PageNumber"/>
      </w:rPr>
      <w:instrText xml:space="preserve">PAGE  </w:instrText>
    </w:r>
    <w:r>
      <w:rPr>
        <w:rStyle w:val="PageNumber"/>
      </w:rPr>
      <w:fldChar w:fldCharType="end"/>
    </w:r>
  </w:p>
  <w:p w:rsidR="009D3B38" w:rsidRDefault="009D3B38">
    <w:pPr>
      <w:pStyle w:val="Foote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rsidP="002310F3">
    <w:pPr>
      <w:pStyle w:val="Footer"/>
      <w:framePr w:wrap="around" w:vAnchor="text" w:hAnchor="margin" w:xAlign="center" w:y="1"/>
      <w:rPr>
        <w:rStyle w:val="PageNumber"/>
      </w:rPr>
    </w:pPr>
    <w:r>
      <w:rPr>
        <w:rStyle w:val="PageNumber"/>
      </w:rPr>
      <w:fldChar w:fldCharType="begin"/>
    </w:r>
    <w:r w:rsidR="009D3B38">
      <w:rPr>
        <w:rStyle w:val="PageNumber"/>
      </w:rPr>
      <w:instrText xml:space="preserve">PAGE  </w:instrText>
    </w:r>
    <w:r>
      <w:rPr>
        <w:rStyle w:val="PageNumber"/>
      </w:rPr>
      <w:fldChar w:fldCharType="separate"/>
    </w:r>
    <w:r w:rsidR="0048464B">
      <w:rPr>
        <w:rStyle w:val="PageNumber"/>
        <w:noProof/>
      </w:rPr>
      <w:t>591</w:t>
    </w:r>
    <w:r>
      <w:rPr>
        <w:rStyle w:val="PageNumber"/>
      </w:rPr>
      <w:fldChar w:fldCharType="end"/>
    </w:r>
  </w:p>
  <w:p w:rsidR="009D3B38" w:rsidRDefault="009D3B38">
    <w:pPr>
      <w:pStyle w:val="Foo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945811222"/>
      <w:docPartObj>
        <w:docPartGallery w:val="Page Numbers (Bottom of Page)"/>
        <w:docPartUnique/>
      </w:docPartObj>
    </w:sdtPr>
    <w:sdtContent>
      <w:p w:rsidR="009D3B38" w:rsidRDefault="001A12B2">
        <w:pPr>
          <w:pStyle w:val="Footer"/>
          <w:jc w:val="center"/>
        </w:pPr>
        <w:fldSimple w:instr=" PAGE   \* MERGEFORMAT ">
          <w:r w:rsidR="0048464B">
            <w:rPr>
              <w:noProof/>
            </w:rPr>
            <w:t>631</w:t>
          </w:r>
        </w:fldSimple>
      </w:p>
    </w:sdtContent>
  </w:sdt>
  <w:p w:rsidR="009D3B38" w:rsidRDefault="009D3B38">
    <w:pPr>
      <w:pStyle w:val="Foo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1955625979"/>
      <w:docPartObj>
        <w:docPartGallery w:val="Page Numbers (Bottom of Page)"/>
        <w:docPartUnique/>
      </w:docPartObj>
    </w:sdtPr>
    <w:sdtContent>
      <w:p w:rsidR="009D3B38" w:rsidRDefault="001A12B2">
        <w:pPr>
          <w:pStyle w:val="Footer"/>
          <w:jc w:val="center"/>
        </w:pPr>
        <w:fldSimple w:instr=" PAGE   \* MERGEFORMAT ">
          <w:r w:rsidR="009D3B38">
            <w:rPr>
              <w:noProof/>
            </w:rPr>
            <w:t>1</w:t>
          </w:r>
        </w:fldSimple>
      </w:p>
    </w:sdtContent>
  </w:sdt>
  <w:p w:rsidR="009D3B38" w:rsidRDefault="009D3B3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rsidP="002310F3">
    <w:pPr>
      <w:pStyle w:val="Footer"/>
      <w:framePr w:wrap="around" w:vAnchor="text" w:hAnchor="margin" w:xAlign="center" w:y="1"/>
      <w:rPr>
        <w:rStyle w:val="PageNumber"/>
      </w:rPr>
    </w:pPr>
    <w:r>
      <w:rPr>
        <w:rStyle w:val="PageNumber"/>
      </w:rPr>
      <w:fldChar w:fldCharType="begin"/>
    </w:r>
    <w:r w:rsidR="009D3B38">
      <w:rPr>
        <w:rStyle w:val="PageNumber"/>
      </w:rPr>
      <w:instrText xml:space="preserve">PAGE  </w:instrText>
    </w:r>
    <w:r>
      <w:rPr>
        <w:rStyle w:val="PageNumber"/>
      </w:rPr>
      <w:fldChar w:fldCharType="separate"/>
    </w:r>
    <w:r w:rsidR="0048464B">
      <w:rPr>
        <w:rStyle w:val="PageNumber"/>
        <w:noProof/>
      </w:rPr>
      <w:t>73</w:t>
    </w:r>
    <w:r>
      <w:rPr>
        <w:rStyle w:val="PageNumber"/>
      </w:rPr>
      <w:fldChar w:fldCharType="end"/>
    </w:r>
  </w:p>
  <w:p w:rsidR="009D3B38" w:rsidRDefault="009D3B3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9D3B38">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1063218589"/>
      <w:docPartObj>
        <w:docPartGallery w:val="Page Numbers (Bottom of Page)"/>
        <w:docPartUnique/>
      </w:docPartObj>
    </w:sdtPr>
    <w:sdtContent>
      <w:p w:rsidR="009D3B38" w:rsidRDefault="001A12B2">
        <w:pPr>
          <w:pStyle w:val="Footer"/>
          <w:jc w:val="center"/>
        </w:pPr>
        <w:fldSimple w:instr=" PAGE   \* MERGEFORMAT ">
          <w:r w:rsidR="0048464B">
            <w:rPr>
              <w:noProof/>
            </w:rPr>
            <w:t>113</w:t>
          </w:r>
        </w:fldSimple>
      </w:p>
    </w:sdtContent>
  </w:sdt>
  <w:p w:rsidR="009D3B38" w:rsidRDefault="009D3B38">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2135831539"/>
      <w:docPartObj>
        <w:docPartGallery w:val="Page Numbers (Bottom of Page)"/>
        <w:docPartUnique/>
      </w:docPartObj>
    </w:sdtPr>
    <w:sdtContent>
      <w:p w:rsidR="009D3B38" w:rsidRDefault="001A12B2">
        <w:pPr>
          <w:pStyle w:val="Footer"/>
          <w:jc w:val="center"/>
        </w:pPr>
        <w:fldSimple w:instr=" PAGE   \* MERGEFORMAT ">
          <w:r w:rsidR="009D3B38">
            <w:rPr>
              <w:noProof/>
            </w:rPr>
            <w:t>1</w:t>
          </w:r>
        </w:fldSimple>
      </w:p>
    </w:sdtContent>
  </w:sdt>
  <w:p w:rsidR="009D3B38" w:rsidRDefault="009D3B38">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Footer"/>
      <w:jc w:val="center"/>
    </w:pPr>
    <w:fldSimple w:instr=" PAGE   \* MERGEFORMAT ">
      <w:r w:rsidR="0048464B">
        <w:rPr>
          <w:noProof/>
        </w:rPr>
        <w:t>175</w:t>
      </w:r>
    </w:fldSimple>
  </w:p>
  <w:p w:rsidR="009D3B38" w:rsidRDefault="009D3B38">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vanish/>
        <w:highlight w:val="yellow"/>
      </w:rPr>
      <w:id w:val="-1554845088"/>
      <w:docPartObj>
        <w:docPartGallery w:val="Page Numbers (Bottom of Page)"/>
        <w:docPartUnique/>
      </w:docPartObj>
    </w:sdtPr>
    <w:sdtEndPr>
      <w:rPr>
        <w:noProof/>
      </w:rPr>
    </w:sdtEndPr>
    <w:sdtContent>
      <w:p w:rsidR="009D3B38" w:rsidRDefault="001A12B2">
        <w:pPr>
          <w:pStyle w:val="Footer"/>
          <w:jc w:val="center"/>
        </w:pPr>
        <w:fldSimple w:instr=" PAGE   \* MERGEFORMAT ">
          <w:r w:rsidR="0048464B">
            <w:rPr>
              <w:noProof/>
            </w:rPr>
            <w:t>266</w:t>
          </w:r>
        </w:fldSimple>
      </w:p>
    </w:sdtContent>
  </w:sdt>
  <w:p w:rsidR="009D3B38" w:rsidRDefault="009D3B38">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rsidP="00A356FA">
    <w:pPr>
      <w:pStyle w:val="Footer"/>
      <w:framePr w:wrap="around" w:vAnchor="text" w:hAnchor="margin" w:xAlign="center" w:y="1"/>
      <w:rPr>
        <w:rStyle w:val="PageNumber"/>
      </w:rPr>
    </w:pPr>
    <w:r>
      <w:rPr>
        <w:rStyle w:val="PageNumber"/>
      </w:rPr>
      <w:fldChar w:fldCharType="begin"/>
    </w:r>
    <w:r w:rsidR="009D3B38">
      <w:rPr>
        <w:rStyle w:val="PageNumber"/>
      </w:rPr>
      <w:instrText xml:space="preserve">PAGE  </w:instrText>
    </w:r>
    <w:r>
      <w:rPr>
        <w:rStyle w:val="PageNumber"/>
      </w:rPr>
      <w:fldChar w:fldCharType="end"/>
    </w:r>
  </w:p>
  <w:p w:rsidR="009D3B38" w:rsidRDefault="009D3B38">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rsidP="00A356FA">
    <w:pPr>
      <w:pStyle w:val="Footer"/>
      <w:framePr w:wrap="around" w:vAnchor="text" w:hAnchor="margin" w:xAlign="center" w:y="1"/>
      <w:rPr>
        <w:rStyle w:val="PageNumber"/>
      </w:rPr>
    </w:pPr>
    <w:r>
      <w:rPr>
        <w:rStyle w:val="PageNumber"/>
      </w:rPr>
      <w:fldChar w:fldCharType="begin"/>
    </w:r>
    <w:r w:rsidR="009D3B38">
      <w:rPr>
        <w:rStyle w:val="PageNumber"/>
      </w:rPr>
      <w:instrText xml:space="preserve">PAGE  </w:instrText>
    </w:r>
    <w:r>
      <w:rPr>
        <w:rStyle w:val="PageNumber"/>
      </w:rPr>
      <w:fldChar w:fldCharType="separate"/>
    </w:r>
    <w:r w:rsidR="0048464B">
      <w:rPr>
        <w:rStyle w:val="PageNumber"/>
        <w:noProof/>
      </w:rPr>
      <w:t>314</w:t>
    </w:r>
    <w:r>
      <w:rPr>
        <w:rStyle w:val="PageNumber"/>
      </w:rPr>
      <w:fldChar w:fldCharType="end"/>
    </w:r>
  </w:p>
  <w:p w:rsidR="009D3B38" w:rsidRDefault="009D3B3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5A31" w:rsidRDefault="003D5A31" w:rsidP="009667AD">
      <w:pPr>
        <w:spacing w:after="0" w:line="240" w:lineRule="auto"/>
      </w:pPr>
      <w:r>
        <w:separator/>
      </w:r>
    </w:p>
    <w:p w:rsidR="003D5A31" w:rsidRDefault="003D5A31"/>
  </w:footnote>
  <w:footnote w:type="continuationSeparator" w:id="0">
    <w:p w:rsidR="003D5A31" w:rsidRDefault="003D5A31" w:rsidP="009667AD">
      <w:pPr>
        <w:spacing w:after="0" w:line="240" w:lineRule="auto"/>
      </w:pPr>
      <w:r>
        <w:continuationSeparator/>
      </w:r>
    </w:p>
    <w:p w:rsidR="003D5A31" w:rsidRDefault="003D5A31"/>
  </w:footnote>
  <w:footnote w:id="1">
    <w:p w:rsidR="009D3B38" w:rsidRPr="0015212B" w:rsidRDefault="009D3B38" w:rsidP="00557369">
      <w:pPr>
        <w:pStyle w:val="FootnoteText"/>
        <w:rPr>
          <w:sz w:val="20"/>
        </w:rPr>
      </w:pPr>
      <w:r>
        <w:rPr>
          <w:rStyle w:val="FootnoteReference"/>
        </w:rPr>
        <w:footnoteRef/>
      </w:r>
      <w:r>
        <w:t xml:space="preserve"> </w:t>
      </w:r>
      <w:r>
        <w:rPr>
          <w:sz w:val="20"/>
        </w:rPr>
        <w:t>The</w:t>
      </w:r>
      <w:r w:rsidRPr="0015212B">
        <w:rPr>
          <w:sz w:val="20"/>
        </w:rPr>
        <w:t xml:space="preserve"> urban areas are defined to include the six major urban </w:t>
      </w:r>
      <w:r>
        <w:rPr>
          <w:sz w:val="20"/>
        </w:rPr>
        <w:t xml:space="preserve">cities and metropolis </w:t>
      </w:r>
      <w:r w:rsidRPr="0015212B">
        <w:rPr>
          <w:sz w:val="20"/>
        </w:rPr>
        <w:t xml:space="preserve"> only. The Delta-related urban challenges are well represented by these </w:t>
      </w:r>
      <w:r>
        <w:rPr>
          <w:sz w:val="20"/>
        </w:rPr>
        <w:t>cities and metropolis  and the findings/strategies can apply to other urban centers.</w:t>
      </w:r>
      <w:r w:rsidRPr="0015212B">
        <w:rPr>
          <w:sz w:val="20"/>
        </w:rPr>
        <w:t xml:space="preserve">  </w:t>
      </w:r>
    </w:p>
  </w:footnote>
  <w:footnote w:id="2">
    <w:p w:rsidR="009D3B38" w:rsidRPr="0016467B" w:rsidRDefault="009D3B38" w:rsidP="00936FBA">
      <w:pPr>
        <w:pStyle w:val="FootnoteText"/>
        <w:rPr>
          <w:rFonts w:cs="Times New Roman"/>
          <w:sz w:val="18"/>
          <w:szCs w:val="18"/>
        </w:rPr>
      </w:pPr>
      <w:r w:rsidRPr="0016467B">
        <w:rPr>
          <w:rStyle w:val="FootnoteReference"/>
          <w:rFonts w:cs="Times New Roman"/>
          <w:sz w:val="18"/>
          <w:szCs w:val="18"/>
        </w:rPr>
        <w:footnoteRef/>
      </w:r>
      <w:r>
        <w:rPr>
          <w:rFonts w:cs="Times New Roman"/>
          <w:sz w:val="18"/>
          <w:szCs w:val="18"/>
        </w:rPr>
        <w:t xml:space="preserve"> BBS, Household Income and Expenditure Survey 2010; World Bank WDI, 2015 </w:t>
      </w:r>
    </w:p>
  </w:footnote>
  <w:footnote w:id="3">
    <w:p w:rsidR="009D3B38" w:rsidRPr="00502D0D" w:rsidRDefault="009D3B38" w:rsidP="006A60FB">
      <w:pPr>
        <w:pStyle w:val="Bibliography"/>
        <w:spacing w:before="0" w:after="0" w:line="276" w:lineRule="auto"/>
        <w:rPr>
          <w:rFonts w:ascii="Times New Roman" w:hAnsi="Times New Roman" w:cs="Times New Roman"/>
          <w:noProof/>
          <w:sz w:val="20"/>
          <w:szCs w:val="24"/>
        </w:rPr>
      </w:pPr>
      <w:r>
        <w:rPr>
          <w:rStyle w:val="FootnoteReference"/>
        </w:rPr>
        <w:footnoteRef/>
      </w:r>
      <w:r>
        <w:t xml:space="preserve"> </w:t>
      </w:r>
      <w:r w:rsidRPr="003E3091">
        <w:rPr>
          <w:rFonts w:ascii="Times New Roman" w:hAnsi="Times New Roman" w:cs="Times New Roman"/>
          <w:noProof/>
          <w:sz w:val="20"/>
          <w:szCs w:val="24"/>
        </w:rPr>
        <w:t>Stern, N. 2006. Stern Review: The Economics of Climate Change. Government of UK. Lo</w:t>
      </w:r>
      <w:r>
        <w:rPr>
          <w:rFonts w:ascii="Times New Roman" w:hAnsi="Times New Roman" w:cs="Times New Roman"/>
          <w:noProof/>
          <w:sz w:val="20"/>
          <w:szCs w:val="24"/>
        </w:rPr>
        <w:t>ndon</w:t>
      </w:r>
    </w:p>
  </w:footnote>
  <w:footnote w:id="4">
    <w:p w:rsidR="009D3B38" w:rsidRDefault="009D3B38" w:rsidP="006A60FB">
      <w:pPr>
        <w:pStyle w:val="FootnoteText"/>
      </w:pPr>
      <w:r>
        <w:rPr>
          <w:rStyle w:val="FootnoteReference"/>
        </w:rPr>
        <w:footnoteRef/>
      </w:r>
      <w:r>
        <w:t xml:space="preserve"> </w:t>
      </w:r>
      <w:r w:rsidRPr="00CF0F04">
        <w:rPr>
          <w:rFonts w:cs="Times New Roman"/>
          <w:sz w:val="20"/>
          <w:szCs w:val="20"/>
        </w:rPr>
        <w:t>Canadian Climate Change Model</w:t>
      </w:r>
    </w:p>
  </w:footnote>
  <w:footnote w:id="5">
    <w:p w:rsidR="009D3B38" w:rsidRPr="00C151CD" w:rsidRDefault="009D3B38" w:rsidP="00A356FA">
      <w:pPr>
        <w:pStyle w:val="FootnoteText"/>
        <w:jc w:val="both"/>
        <w:rPr>
          <w:rFonts w:cs="Times New Roman"/>
          <w:sz w:val="20"/>
        </w:rPr>
      </w:pPr>
      <w:r w:rsidRPr="00C151CD">
        <w:rPr>
          <w:rStyle w:val="FootnoteReference"/>
          <w:rFonts w:cs="Times New Roman"/>
          <w:sz w:val="20"/>
        </w:rPr>
        <w:footnoteRef/>
      </w:r>
      <w:r w:rsidRPr="00C151CD">
        <w:rPr>
          <w:rFonts w:cs="Times New Roman"/>
          <w:sz w:val="20"/>
        </w:rPr>
        <w:t xml:space="preserve"> This measure composed of three measures: (i) the simplest measure of the prevalence of poverty, </w:t>
      </w:r>
      <w:r w:rsidRPr="00C151CD">
        <w:rPr>
          <w:rFonts w:cs="Times New Roman"/>
          <w:sz w:val="20"/>
          <w:u w:val="single"/>
        </w:rPr>
        <w:t>headcount ratio</w:t>
      </w:r>
      <w:r w:rsidRPr="00C151CD">
        <w:rPr>
          <w:rFonts w:cs="Times New Roman"/>
          <w:sz w:val="20"/>
        </w:rPr>
        <w:t xml:space="preserve">, is the proportion of population with a per capita income below the poverty line. (ii) The depth of poverty is measured by the </w:t>
      </w:r>
      <w:r w:rsidRPr="00C151CD">
        <w:rPr>
          <w:rFonts w:cs="Times New Roman"/>
          <w:sz w:val="20"/>
          <w:u w:val="single"/>
        </w:rPr>
        <w:t>poverty gap index (PGI)</w:t>
      </w:r>
      <w:r w:rsidRPr="00C151CD">
        <w:rPr>
          <w:rFonts w:cs="Times New Roman"/>
          <w:sz w:val="20"/>
        </w:rPr>
        <w:t xml:space="preserve">. </w:t>
      </w:r>
      <w:r w:rsidRPr="00C151CD">
        <w:rPr>
          <w:rFonts w:eastAsia="Calibri" w:cs="Times New Roman"/>
          <w:sz w:val="20"/>
        </w:rPr>
        <w:t xml:space="preserve">The poverty gap measures the average short fall in consumption relative to the poverty line and thus overcome the first limitation of the head count ratio. </w:t>
      </w:r>
      <w:r w:rsidRPr="00C151CD">
        <w:rPr>
          <w:rFonts w:cs="Times New Roman"/>
          <w:sz w:val="20"/>
        </w:rPr>
        <w:t xml:space="preserve">(iii) The average of the squared poverty gap for each poor person is the (SPGI). This is a dispersion measure of the </w:t>
      </w:r>
      <w:r w:rsidRPr="00C151CD">
        <w:rPr>
          <w:rFonts w:cs="Times New Roman"/>
          <w:sz w:val="20"/>
          <w:u w:val="single"/>
        </w:rPr>
        <w:t>severity</w:t>
      </w:r>
      <w:r w:rsidRPr="00C151CD">
        <w:rPr>
          <w:rFonts w:cs="Times New Roman"/>
          <w:sz w:val="20"/>
        </w:rPr>
        <w:t xml:space="preserve"> of poverty. </w:t>
      </w:r>
      <w:r w:rsidRPr="00C151CD">
        <w:rPr>
          <w:rFonts w:eastAsia="Calibri" w:cs="Times New Roman"/>
          <w:sz w:val="20"/>
        </w:rPr>
        <w:t>Severity measure is sensitive to the consumption distribution among the poor. That is, it weights the deficit in consumption relative to the poverty line more heavily the poorer the person is.</w:t>
      </w:r>
    </w:p>
  </w:footnote>
  <w:footnote w:id="6">
    <w:p w:rsidR="009D3B38" w:rsidRPr="00C151CD" w:rsidRDefault="009D3B38" w:rsidP="00A356FA">
      <w:pPr>
        <w:pStyle w:val="FootnoteText"/>
        <w:jc w:val="both"/>
        <w:rPr>
          <w:rFonts w:cs="Times New Roman"/>
          <w:sz w:val="20"/>
        </w:rPr>
      </w:pPr>
      <w:r w:rsidRPr="00C151CD">
        <w:rPr>
          <w:rStyle w:val="FootnoteReference"/>
          <w:rFonts w:cs="Times New Roman"/>
          <w:sz w:val="20"/>
        </w:rPr>
        <w:footnoteRef/>
      </w:r>
      <w:r w:rsidRPr="00C151CD">
        <w:rPr>
          <w:rFonts w:cs="Times New Roman"/>
          <w:sz w:val="20"/>
        </w:rPr>
        <w:t xml:space="preserve"> The Gini index on the other hand is more sensitive to consumption differences in the middle of the distribution. The values of all three indices lie between zero and one with higher value implies higher inequality.  </w:t>
      </w:r>
    </w:p>
  </w:footnote>
  <w:footnote w:id="7">
    <w:p w:rsidR="009D3B38" w:rsidRPr="00C151CD" w:rsidRDefault="009D3B38" w:rsidP="00202486">
      <w:pPr>
        <w:pStyle w:val="FootnoteText"/>
        <w:jc w:val="both"/>
        <w:rPr>
          <w:rFonts w:cs="Times New Roman"/>
          <w:sz w:val="20"/>
        </w:rPr>
      </w:pPr>
      <w:r w:rsidRPr="00C151CD">
        <w:rPr>
          <w:rFonts w:cs="Times New Roman"/>
          <w:sz w:val="20"/>
          <w:vertAlign w:val="superscript"/>
        </w:rPr>
        <w:footnoteRef/>
      </w:r>
      <w:r w:rsidRPr="00C151CD">
        <w:rPr>
          <w:rFonts w:cs="Times New Roman"/>
          <w:sz w:val="20"/>
        </w:rPr>
        <w:t xml:space="preserve"> Bangladesh uses a cost of basic needs (CBN) methodology to calculate two national poverty lines – the lower poverty line and the upper poverty line – which estimate the incidence of extreme poverty and total poverty rates, respectively. Upper and lower poverty lines are calculated for 16 areas (including adjustments made for urban and rural areas) to take account of regional variation in prices. Both poverty lines take both food and non-food expenditures into account. Upper poverty lines vary from 1,311 BDT per month in rural Sylhet to 2,038 BDT in Dhaka and between 1,192 BDT in rural Khulna to 1,495 BDT in urban Chittagong (See BBS, </w:t>
      </w:r>
      <w:r w:rsidRPr="00C151CD">
        <w:rPr>
          <w:rFonts w:cs="Times New Roman"/>
          <w:i/>
          <w:sz w:val="20"/>
        </w:rPr>
        <w:t>HIES 2010 Survey Report</w:t>
      </w:r>
      <w:r w:rsidRPr="00C151CD">
        <w:rPr>
          <w:rFonts w:cs="Times New Roman"/>
          <w:sz w:val="20"/>
        </w:rPr>
        <w:t>, Dhaka, BBS, 2010).</w:t>
      </w:r>
    </w:p>
  </w:footnote>
  <w:footnote w:id="8">
    <w:p w:rsidR="009D3B38" w:rsidRPr="00C151CD" w:rsidRDefault="009D3B38" w:rsidP="00BC7591">
      <w:pPr>
        <w:pStyle w:val="FootnoteText"/>
        <w:jc w:val="both"/>
        <w:rPr>
          <w:rFonts w:cs="Times New Roman"/>
          <w:sz w:val="20"/>
        </w:rPr>
      </w:pPr>
      <w:r w:rsidRPr="00C151CD">
        <w:rPr>
          <w:rStyle w:val="FootnoteReference"/>
          <w:rFonts w:cs="Times New Roman"/>
          <w:sz w:val="20"/>
        </w:rPr>
        <w:footnoteRef/>
      </w:r>
      <w:r w:rsidRPr="00C151CD">
        <w:rPr>
          <w:rFonts w:cs="Times New Roman"/>
          <w:sz w:val="20"/>
        </w:rPr>
        <w:t xml:space="preserve"> This mainly involves the flood-plain districts and the potential intensity is assessed on the basis of historical record of damage from floods.</w:t>
      </w:r>
    </w:p>
  </w:footnote>
  <w:footnote w:id="9">
    <w:p w:rsidR="009D3B38" w:rsidRPr="005E07A1" w:rsidRDefault="009D3B38" w:rsidP="005E07A1">
      <w:pPr>
        <w:pStyle w:val="FootnoteText"/>
        <w:jc w:val="both"/>
        <w:rPr>
          <w:rFonts w:cs="Times New Roman"/>
          <w:sz w:val="20"/>
        </w:rPr>
      </w:pPr>
      <w:r w:rsidRPr="005E07A1">
        <w:rPr>
          <w:rStyle w:val="FootnoteReference"/>
          <w:rFonts w:cs="Times New Roman"/>
          <w:sz w:val="20"/>
        </w:rPr>
        <w:footnoteRef/>
      </w:r>
      <w:r w:rsidRPr="005E07A1">
        <w:rPr>
          <w:rFonts w:cs="Times New Roman"/>
          <w:sz w:val="20"/>
        </w:rPr>
        <w:t xml:space="preserve"> For Khulna the 2000 district poverty estimate is not reliable.  So the comparison is made with 2005. </w:t>
      </w:r>
    </w:p>
  </w:footnote>
  <w:footnote w:id="10">
    <w:p w:rsidR="009D3B38" w:rsidRPr="0008758E" w:rsidRDefault="009D3B38" w:rsidP="003E42A9">
      <w:pPr>
        <w:pStyle w:val="FootnoteText"/>
        <w:jc w:val="both"/>
        <w:rPr>
          <w:rFonts w:cs="Times New Roman"/>
          <w:sz w:val="22"/>
        </w:rPr>
      </w:pPr>
      <w:r>
        <w:rPr>
          <w:rStyle w:val="FootnoteReference"/>
        </w:rPr>
        <w:footnoteRef/>
      </w:r>
      <w:r w:rsidRPr="0008758E">
        <w:rPr>
          <w:rFonts w:cs="Times New Roman"/>
          <w:sz w:val="20"/>
          <w:szCs w:val="22"/>
        </w:rPr>
        <w:t>A polder is a low-lying tract of land enclosed by embankments known as dykes that form an independent hydrological entity which has no physical connection with outside water other than through manually operated devices (water control</w:t>
      </w:r>
      <w:r>
        <w:rPr>
          <w:rFonts w:cs="Times New Roman"/>
          <w:sz w:val="20"/>
          <w:szCs w:val="22"/>
        </w:rPr>
        <w:t xml:space="preserve"> structures)</w:t>
      </w:r>
      <w:r w:rsidRPr="0008758E">
        <w:rPr>
          <w:rFonts w:cs="Times New Roman"/>
          <w:sz w:val="20"/>
          <w:szCs w:val="22"/>
        </w:rPr>
        <w:t>.</w:t>
      </w:r>
    </w:p>
  </w:footnote>
  <w:footnote w:id="11">
    <w:p w:rsidR="009D3B38" w:rsidRPr="005B4913" w:rsidRDefault="009D3B38" w:rsidP="003E42A9">
      <w:pPr>
        <w:pStyle w:val="FootnoteText"/>
      </w:pPr>
      <w:r>
        <w:rPr>
          <w:rStyle w:val="FootnoteReference"/>
        </w:rPr>
        <w:footnoteRef/>
      </w:r>
      <w:r w:rsidRPr="005B4913">
        <w:rPr>
          <w:sz w:val="18"/>
          <w:szCs w:val="18"/>
        </w:rPr>
        <w:t>A more detailed discussed of these processes can be found in the Baseline studies on Water Resources and Coast</w:t>
      </w:r>
    </w:p>
  </w:footnote>
  <w:footnote w:id="12">
    <w:p w:rsidR="009D3B38" w:rsidRDefault="009D3B38">
      <w:pPr>
        <w:pStyle w:val="FootnoteText"/>
      </w:pPr>
      <w:r>
        <w:rPr>
          <w:rStyle w:val="FootnoteReference"/>
        </w:rPr>
        <w:footnoteRef/>
      </w:r>
      <w:r>
        <w:t xml:space="preserve"> </w:t>
      </w:r>
      <w:r w:rsidRPr="00A1679C">
        <w:rPr>
          <w:sz w:val="20"/>
        </w:rPr>
        <w:t>Institutional issues are discussed fully in Chapter 12.</w:t>
      </w:r>
    </w:p>
  </w:footnote>
  <w:footnote w:id="13">
    <w:p w:rsidR="008B4CE7" w:rsidRPr="009612DD" w:rsidRDefault="008B4CE7" w:rsidP="008B4CE7">
      <w:pPr>
        <w:pStyle w:val="FootnoteText"/>
        <w:rPr>
          <w:sz w:val="22"/>
          <w:szCs w:val="22"/>
        </w:rPr>
      </w:pPr>
      <w:r>
        <w:rPr>
          <w:rStyle w:val="FootnoteReference"/>
        </w:rPr>
        <w:footnoteRef/>
      </w:r>
      <w:r>
        <w:t xml:space="preserve"> </w:t>
      </w:r>
      <w:r w:rsidRPr="009612DD">
        <w:rPr>
          <w:sz w:val="22"/>
          <w:szCs w:val="22"/>
        </w:rPr>
        <w:t xml:space="preserve">Chapter 5 Technical Annex provides a review of previous attemps to use a quantitative framework for modelling impact of climate change on development outcmes. </w:t>
      </w:r>
    </w:p>
  </w:footnote>
  <w:footnote w:id="14">
    <w:p w:rsidR="008B4CE7" w:rsidRPr="001D3980" w:rsidRDefault="008B4CE7" w:rsidP="008B4CE7">
      <w:pPr>
        <w:pStyle w:val="FootnoteText"/>
        <w:rPr>
          <w:rFonts w:cstheme="minorHAnsi"/>
          <w:szCs w:val="19"/>
        </w:rPr>
      </w:pPr>
      <w:r w:rsidRPr="001D3980">
        <w:rPr>
          <w:rStyle w:val="FootnoteReference"/>
          <w:rFonts w:cstheme="minorHAnsi"/>
          <w:szCs w:val="19"/>
        </w:rPr>
        <w:footnoteRef/>
      </w:r>
      <w:r w:rsidRPr="001D3980">
        <w:rPr>
          <w:rFonts w:cstheme="minorHAnsi"/>
          <w:szCs w:val="19"/>
        </w:rPr>
        <w:t xml:space="preserve"> Earthquake is not included in this discussion</w:t>
      </w:r>
    </w:p>
  </w:footnote>
  <w:footnote w:id="15">
    <w:p w:rsidR="008B4CE7" w:rsidRPr="00342E94" w:rsidRDefault="008B4CE7" w:rsidP="008B4CE7">
      <w:pPr>
        <w:pStyle w:val="FootnoteText"/>
        <w:rPr>
          <w:rFonts w:cstheme="minorHAnsi"/>
          <w:sz w:val="20"/>
        </w:rPr>
      </w:pPr>
      <w:r w:rsidRPr="00342E94">
        <w:rPr>
          <w:rStyle w:val="FootnoteReference"/>
          <w:rFonts w:cstheme="minorHAnsi"/>
          <w:sz w:val="20"/>
        </w:rPr>
        <w:footnoteRef/>
      </w:r>
      <w:r w:rsidRPr="00342E94">
        <w:rPr>
          <w:rFonts w:cstheme="minorHAnsi"/>
          <w:sz w:val="20"/>
        </w:rPr>
        <w:t xml:space="preserve"> Total loss in the coastal region would be a larger relative to its economic size because coastal area is considered as more disaster prone area compared to the other regions in Bangladesh. This study assumes that this area would be highly impacted from salinity, cyclone, tidal surge and flood.</w:t>
      </w:r>
    </w:p>
  </w:footnote>
  <w:footnote w:id="16">
    <w:p w:rsidR="008B4CE7" w:rsidRPr="000764EE" w:rsidRDefault="008B4CE7" w:rsidP="008B4CE7">
      <w:pPr>
        <w:pStyle w:val="FootnoteText"/>
        <w:rPr>
          <w:sz w:val="18"/>
          <w:szCs w:val="18"/>
        </w:rPr>
      </w:pPr>
      <w:r w:rsidRPr="000764EE">
        <w:rPr>
          <w:rStyle w:val="FootnoteReference"/>
          <w:sz w:val="18"/>
          <w:szCs w:val="18"/>
        </w:rPr>
        <w:footnoteRef/>
      </w:r>
      <w:r w:rsidRPr="000764EE">
        <w:rPr>
          <w:sz w:val="18"/>
          <w:szCs w:val="18"/>
        </w:rPr>
        <w:t>To calculate number of emigrants for BAU, at first the shares of population for this region from 2001 to 2011 were considered and using their average shift the shares of population for the year 2016 were calculated. A forecast of population until 2041was created keeping the shares of 2016 constant.  Finally due to lack of data, to encorporate migration both for economic and environmental reasons; the intensities were doubled for emigrants and were halved for immigrants.</w:t>
      </w:r>
    </w:p>
  </w:footnote>
  <w:footnote w:id="17">
    <w:p w:rsidR="008B4CE7" w:rsidRPr="000764EE" w:rsidRDefault="008B4CE7" w:rsidP="008B4CE7">
      <w:pPr>
        <w:pStyle w:val="FootnoteText"/>
        <w:rPr>
          <w:sz w:val="18"/>
          <w:szCs w:val="18"/>
        </w:rPr>
      </w:pPr>
      <w:r w:rsidRPr="000764EE">
        <w:rPr>
          <w:rStyle w:val="FootnoteReference"/>
          <w:sz w:val="18"/>
          <w:szCs w:val="18"/>
        </w:rPr>
        <w:footnoteRef/>
      </w:r>
      <w:r w:rsidRPr="000764EE">
        <w:rPr>
          <w:sz w:val="18"/>
          <w:szCs w:val="18"/>
        </w:rPr>
        <w:t xml:space="preserve"> Only considers economic migration</w:t>
      </w:r>
    </w:p>
  </w:footnote>
  <w:footnote w:id="18">
    <w:p w:rsidR="008B4CE7" w:rsidRPr="000D4938" w:rsidRDefault="008B4CE7" w:rsidP="008B4CE7">
      <w:pPr>
        <w:autoSpaceDE w:val="0"/>
        <w:autoSpaceDN w:val="0"/>
        <w:adjustRightInd w:val="0"/>
        <w:rPr>
          <w:rFonts w:cstheme="minorHAnsi"/>
          <w:sz w:val="18"/>
          <w:szCs w:val="18"/>
        </w:rPr>
      </w:pPr>
      <w:r>
        <w:rPr>
          <w:rStyle w:val="FootnoteReference"/>
        </w:rPr>
        <w:footnoteRef/>
      </w:r>
      <w:r>
        <w:t xml:space="preserve"> </w:t>
      </w:r>
      <w:r w:rsidRPr="006C63BA">
        <w:rPr>
          <w:rFonts w:cstheme="minorHAnsi"/>
          <w:sz w:val="18"/>
          <w:szCs w:val="18"/>
        </w:rPr>
        <w:t>Schuman (2009) provides a fascinating account of how East Asian countries became</w:t>
      </w:r>
      <w:r>
        <w:rPr>
          <w:rFonts w:cstheme="minorHAnsi"/>
          <w:sz w:val="18"/>
          <w:szCs w:val="18"/>
        </w:rPr>
        <w:t xml:space="preserve"> rich during the second half of </w:t>
      </w:r>
      <w:r w:rsidRPr="006C63BA">
        <w:rPr>
          <w:rFonts w:cstheme="minorHAnsi"/>
          <w:sz w:val="18"/>
          <w:szCs w:val="18"/>
        </w:rPr>
        <w:t>the 20th century. Rapid growth</w:t>
      </w:r>
      <w:r>
        <w:rPr>
          <w:rFonts w:cstheme="minorHAnsi"/>
          <w:sz w:val="18"/>
          <w:szCs w:val="18"/>
        </w:rPr>
        <w:t xml:space="preserve"> including increasing investment and</w:t>
      </w:r>
      <w:r w:rsidRPr="006C63BA">
        <w:rPr>
          <w:rFonts w:cstheme="minorHAnsi"/>
          <w:sz w:val="18"/>
          <w:szCs w:val="18"/>
        </w:rPr>
        <w:t xml:space="preserve"> export orientation were the top priorities of policy makers</w:t>
      </w:r>
      <w:r>
        <w:rPr>
          <w:rFonts w:ascii="MyriadPro-Regular" w:hAnsi="MyriadPro-Regular" w:cs="MyriadPro-Regular"/>
          <w:sz w:val="18"/>
          <w:szCs w:val="18"/>
        </w:rPr>
        <w:t>.</w:t>
      </w:r>
    </w:p>
  </w:footnote>
  <w:footnote w:id="19">
    <w:p w:rsidR="008B4CE7" w:rsidRPr="00334A7E" w:rsidRDefault="008B4CE7" w:rsidP="008B4CE7">
      <w:pPr>
        <w:pStyle w:val="FootnoteText"/>
        <w:rPr>
          <w:rFonts w:cs="Times New Roman"/>
          <w:sz w:val="20"/>
        </w:rPr>
      </w:pPr>
      <w:r w:rsidRPr="00334A7E">
        <w:rPr>
          <w:rStyle w:val="FootnoteReference"/>
          <w:rFonts w:cs="Times New Roman"/>
          <w:sz w:val="20"/>
        </w:rPr>
        <w:footnoteRef/>
      </w:r>
      <w:r w:rsidRPr="00334A7E">
        <w:rPr>
          <w:rFonts w:cs="Times New Roman"/>
          <w:sz w:val="20"/>
        </w:rPr>
        <w:t xml:space="preserve"> Using the estimated employment figures of 7FYP, </w:t>
      </w:r>
      <w:r w:rsidRPr="00A07E16">
        <w:rPr>
          <w:rFonts w:cs="Times New Roman"/>
          <w:bCs/>
          <w:i/>
          <w:iCs/>
          <w:szCs w:val="28"/>
        </w:rPr>
        <w:t>there is a noticeable increase in average labour productivity during 7FYP period. During FY2015-FY2020, overall labour productivity would grow by a healthy 3.5 percent per year, while average labour productivity in agriculture would increase by 3.6 percent per year</w:t>
      </w:r>
      <w:r w:rsidRPr="00A07E16">
        <w:rPr>
          <w:rFonts w:cs="Times New Roman"/>
          <w:bCs/>
          <w:i/>
          <w:iCs/>
          <w:sz w:val="20"/>
        </w:rPr>
        <w:t xml:space="preserve">. </w:t>
      </w:r>
      <w:r w:rsidRPr="00334A7E">
        <w:rPr>
          <w:rFonts w:cs="Times New Roman"/>
          <w:sz w:val="20"/>
        </w:rPr>
        <w:t>Average agriculture productivity increases relatively at a faster rate due to technological progress and migration of farm workers to nonfarm activities. Nevertheless, the migration to nonfarm activities (including industrial) would be sustained because the average output per worker is Tk. 127,000 in others sectors while it is only Tk. 49,000 in the agriculture sector.</w:t>
      </w:r>
    </w:p>
  </w:footnote>
  <w:footnote w:id="20">
    <w:p w:rsidR="008B4CE7" w:rsidRDefault="008B4CE7" w:rsidP="008B4CE7">
      <w:pPr>
        <w:pStyle w:val="FootnoteText"/>
        <w:rPr>
          <w:sz w:val="20"/>
          <w:szCs w:val="20"/>
        </w:rPr>
      </w:pPr>
      <w:r w:rsidRPr="00FD0B74">
        <w:rPr>
          <w:rStyle w:val="FootnoteReference"/>
          <w:sz w:val="20"/>
          <w:szCs w:val="20"/>
        </w:rPr>
        <w:footnoteRef/>
      </w:r>
      <w:r w:rsidRPr="00FD0B74">
        <w:rPr>
          <w:sz w:val="20"/>
          <w:szCs w:val="20"/>
        </w:rPr>
        <w:t xml:space="preserve"> To calculate number of emigrants for </w:t>
      </w:r>
      <w:r>
        <w:rPr>
          <w:sz w:val="20"/>
          <w:szCs w:val="20"/>
        </w:rPr>
        <w:t>Delta Plan Scenario</w:t>
      </w:r>
      <w:r w:rsidRPr="00FD0B74">
        <w:rPr>
          <w:sz w:val="20"/>
          <w:szCs w:val="20"/>
        </w:rPr>
        <w:t xml:space="preserve">, at first the shares of population for this region from 2001 to 2011 were considered and using their average shift the shares of population for the year 2016 were calculated. A forecast of population until 2041was created keeping the shares of 2016 constant.  Finally due to lack of data, to encorporate migration both for economic reasons; the </w:t>
      </w:r>
      <w:r>
        <w:rPr>
          <w:sz w:val="20"/>
          <w:szCs w:val="20"/>
        </w:rPr>
        <w:t>average shifts were taken into consideration to capture population dynamics</w:t>
      </w:r>
      <w:r w:rsidRPr="00FD0B74">
        <w:rPr>
          <w:sz w:val="20"/>
          <w:szCs w:val="20"/>
        </w:rPr>
        <w:t>.</w:t>
      </w:r>
    </w:p>
  </w:footnote>
  <w:footnote w:id="21">
    <w:p w:rsidR="009D3B38" w:rsidRPr="00BB495B" w:rsidRDefault="009D3B38" w:rsidP="00C23B34">
      <w:pPr>
        <w:pStyle w:val="FootnoteText"/>
        <w:jc w:val="both"/>
        <w:rPr>
          <w:rFonts w:cs="Times New Roman"/>
          <w:sz w:val="20"/>
        </w:rPr>
      </w:pPr>
      <w:r w:rsidRPr="00BB495B">
        <w:rPr>
          <w:rStyle w:val="FootnoteReference"/>
          <w:rFonts w:cs="Times New Roman"/>
          <w:sz w:val="20"/>
        </w:rPr>
        <w:footnoteRef/>
      </w:r>
      <w:r w:rsidRPr="00BB495B">
        <w:rPr>
          <w:rFonts w:cs="Times New Roman"/>
          <w:sz w:val="20"/>
        </w:rPr>
        <w:t>Typically: Typhoid, Skin Disease, Jaundice, Kidney Disease and Diarrhea</w:t>
      </w:r>
    </w:p>
  </w:footnote>
  <w:footnote w:id="22">
    <w:p w:rsidR="009D3B38" w:rsidRPr="00BB495B" w:rsidRDefault="009D3B38" w:rsidP="00C23B34">
      <w:pPr>
        <w:pStyle w:val="FootnoteText"/>
        <w:jc w:val="both"/>
        <w:rPr>
          <w:rFonts w:cs="Times New Roman"/>
          <w:sz w:val="20"/>
        </w:rPr>
      </w:pPr>
      <w:r w:rsidRPr="00BB495B">
        <w:rPr>
          <w:rStyle w:val="FootnoteReference"/>
          <w:rFonts w:cs="Times New Roman"/>
          <w:sz w:val="20"/>
        </w:rPr>
        <w:footnoteRef/>
      </w:r>
      <w:r w:rsidRPr="00BB495B">
        <w:rPr>
          <w:rFonts w:cs="Times New Roman"/>
          <w:sz w:val="20"/>
        </w:rPr>
        <w:t xml:space="preserve"> According to the WHO (WHO, in UN Water Country Brief, 2013) water, sanitation and hygiene-related deaths comprise 8,5% of total deaths in the country</w:t>
      </w:r>
    </w:p>
  </w:footnote>
  <w:footnote w:id="23">
    <w:p w:rsidR="009D3B38" w:rsidRPr="00BB495B" w:rsidRDefault="009D3B38" w:rsidP="00C23B34">
      <w:pPr>
        <w:pStyle w:val="FootnoteText"/>
        <w:jc w:val="both"/>
        <w:rPr>
          <w:rFonts w:cs="Times New Roman"/>
          <w:sz w:val="20"/>
        </w:rPr>
      </w:pPr>
      <w:r w:rsidRPr="00BB495B">
        <w:rPr>
          <w:rStyle w:val="FootnoteReference"/>
          <w:rFonts w:cs="Times New Roman"/>
          <w:sz w:val="20"/>
        </w:rPr>
        <w:footnoteRef/>
      </w:r>
      <w:r w:rsidRPr="00BB495B">
        <w:rPr>
          <w:rFonts w:cs="Times New Roman"/>
          <w:sz w:val="20"/>
        </w:rPr>
        <w:t>The impact of pollution on the provision of (environmental) services and goods from watersheds is not yet well understood or quantified</w:t>
      </w:r>
    </w:p>
  </w:footnote>
  <w:footnote w:id="24">
    <w:p w:rsidR="009D3B38" w:rsidRPr="00024601" w:rsidRDefault="009D3B38" w:rsidP="00024601">
      <w:pPr>
        <w:pStyle w:val="Default"/>
        <w:spacing w:after="0"/>
        <w:jc w:val="both"/>
        <w:rPr>
          <w:rFonts w:ascii="Calibri" w:hAnsi="Calibri" w:cs="Calibri"/>
        </w:rPr>
      </w:pPr>
      <w:r>
        <w:rPr>
          <w:rStyle w:val="FootnoteReference"/>
        </w:rPr>
        <w:footnoteRef/>
      </w:r>
      <w:r>
        <w:t xml:space="preserve"> </w:t>
      </w:r>
      <w:r>
        <w:rPr>
          <w:rFonts w:ascii="Times New Roman" w:hAnsi="Times New Roman" w:cs="Times New Roman"/>
          <w:sz w:val="20"/>
          <w:szCs w:val="20"/>
        </w:rPr>
        <w:t xml:space="preserve"> </w:t>
      </w:r>
      <w:r>
        <w:rPr>
          <w:rFonts w:ascii="Times New Roman" w:hAnsi="Times New Roman" w:cs="Times New Roman"/>
          <w:bCs/>
          <w:iCs/>
          <w:sz w:val="20"/>
          <w:szCs w:val="20"/>
        </w:rPr>
        <w:t>The</w:t>
      </w:r>
      <w:r w:rsidRPr="00952BF6">
        <w:rPr>
          <w:rFonts w:ascii="Times New Roman" w:hAnsi="Times New Roman" w:cs="Times New Roman"/>
          <w:bCs/>
          <w:iCs/>
          <w:sz w:val="20"/>
          <w:szCs w:val="20"/>
        </w:rPr>
        <w:t xml:space="preserve"> study</w:t>
      </w:r>
      <w:r>
        <w:rPr>
          <w:rFonts w:ascii="Times New Roman" w:hAnsi="Times New Roman" w:cs="Times New Roman"/>
          <w:bCs/>
          <w:iCs/>
          <w:sz w:val="20"/>
          <w:szCs w:val="20"/>
        </w:rPr>
        <w:t xml:space="preserve"> was done</w:t>
      </w:r>
      <w:r w:rsidRPr="00952BF6">
        <w:rPr>
          <w:rFonts w:ascii="Times New Roman" w:hAnsi="Times New Roman" w:cs="Times New Roman"/>
          <w:bCs/>
          <w:iCs/>
          <w:sz w:val="20"/>
          <w:szCs w:val="20"/>
        </w:rPr>
        <w:t xml:space="preserve"> by </w:t>
      </w:r>
      <w:r w:rsidRPr="00952BF6">
        <w:rPr>
          <w:rFonts w:ascii="Times New Roman" w:hAnsi="Times New Roman" w:cs="Times New Roman"/>
          <w:bCs/>
          <w:sz w:val="20"/>
          <w:szCs w:val="20"/>
        </w:rPr>
        <w:t>Nazmul Hasan</w:t>
      </w:r>
      <w:r>
        <w:rPr>
          <w:rFonts w:ascii="Times New Roman" w:hAnsi="Times New Roman" w:cs="Times New Roman"/>
          <w:bCs/>
          <w:sz w:val="20"/>
          <w:szCs w:val="20"/>
        </w:rPr>
        <w:t xml:space="preserve"> et al.</w:t>
      </w:r>
      <w:r w:rsidRPr="00952BF6">
        <w:rPr>
          <w:rFonts w:ascii="Times New Roman" w:hAnsi="Times New Roman" w:cs="Times New Roman"/>
          <w:bCs/>
          <w:sz w:val="20"/>
          <w:szCs w:val="20"/>
        </w:rPr>
        <w:t xml:space="preserve"> </w:t>
      </w:r>
      <w:r>
        <w:rPr>
          <w:rFonts w:ascii="Times New Roman" w:hAnsi="Times New Roman" w:cs="Times New Roman"/>
          <w:bCs/>
          <w:sz w:val="20"/>
          <w:szCs w:val="20"/>
        </w:rPr>
        <w:t xml:space="preserve">under </w:t>
      </w:r>
      <w:r w:rsidRPr="004E3AA0">
        <w:rPr>
          <w:rFonts w:ascii="Times New Roman" w:hAnsi="Times New Roman" w:cs="Times New Roman"/>
          <w:b/>
          <w:bCs/>
          <w:sz w:val="20"/>
          <w:szCs w:val="20"/>
        </w:rPr>
        <w:t>National Food Policy Capacity Strengthening Programme</w:t>
      </w:r>
      <w:r>
        <w:rPr>
          <w:rFonts w:ascii="Times New Roman" w:hAnsi="Times New Roman" w:cs="Times New Roman"/>
          <w:bCs/>
          <w:sz w:val="20"/>
          <w:szCs w:val="20"/>
        </w:rPr>
        <w:t xml:space="preserve"> of the Government of Bangladesh and supported by USAID, EU, and FAO.</w:t>
      </w:r>
    </w:p>
  </w:footnote>
  <w:footnote w:id="25">
    <w:p w:rsidR="009D3B38" w:rsidRDefault="009D3B38">
      <w:pPr>
        <w:pStyle w:val="FootnoteText"/>
      </w:pPr>
      <w:r>
        <w:rPr>
          <w:rStyle w:val="FootnoteReference"/>
        </w:rPr>
        <w:footnoteRef/>
      </w:r>
      <w:r>
        <w:t xml:space="preserve"> </w:t>
      </w:r>
      <w:r w:rsidRPr="004E3AA0">
        <w:rPr>
          <w:rFonts w:cs="Times New Roman"/>
          <w:sz w:val="20"/>
          <w:szCs w:val="20"/>
        </w:rPr>
        <w:t xml:space="preserve">The SRDI Report is based on satellite imaging </w:t>
      </w:r>
      <w:r>
        <w:rPr>
          <w:rFonts w:cs="Times New Roman"/>
          <w:sz w:val="20"/>
          <w:szCs w:val="20"/>
        </w:rPr>
        <w:t xml:space="preserve">unlike the BBS report, </w:t>
      </w:r>
      <w:r w:rsidRPr="004E3AA0">
        <w:rPr>
          <w:rFonts w:cs="Times New Roman"/>
          <w:sz w:val="20"/>
          <w:szCs w:val="20"/>
        </w:rPr>
        <w:t xml:space="preserve">and in all likelihood the agriculture areas that surrounds the </w:t>
      </w:r>
      <w:r w:rsidRPr="00E3760F">
        <w:rPr>
          <w:rFonts w:cs="Times New Roman"/>
          <w:sz w:val="20"/>
          <w:szCs w:val="20"/>
        </w:rPr>
        <w:t>Metropolises</w:t>
      </w:r>
      <w:r w:rsidRPr="004E3AA0">
        <w:rPr>
          <w:rFonts w:cs="Times New Roman"/>
          <w:sz w:val="20"/>
          <w:szCs w:val="20"/>
        </w:rPr>
        <w:t xml:space="preserve">, Cities, Pourashavas, and towns got into the </w:t>
      </w:r>
      <w:r w:rsidRPr="00E3760F">
        <w:rPr>
          <w:rFonts w:cs="Times New Roman"/>
          <w:sz w:val="20"/>
          <w:szCs w:val="20"/>
        </w:rPr>
        <w:t>rural</w:t>
      </w:r>
      <w:r w:rsidRPr="004E3AA0">
        <w:rPr>
          <w:rFonts w:cs="Times New Roman"/>
          <w:sz w:val="20"/>
          <w:szCs w:val="20"/>
        </w:rPr>
        <w:t xml:space="preserve"> landscape</w:t>
      </w:r>
      <w:r>
        <w:rPr>
          <w:rFonts w:cs="Times New Roman"/>
          <w:sz w:val="20"/>
          <w:szCs w:val="20"/>
        </w:rPr>
        <w:t>,</w:t>
      </w:r>
      <w:r w:rsidRPr="004E3AA0">
        <w:rPr>
          <w:rFonts w:cs="Times New Roman"/>
          <w:sz w:val="20"/>
          <w:szCs w:val="20"/>
        </w:rPr>
        <w:t xml:space="preserve"> and so the larger surge in Rural and Settlement areas in this report</w:t>
      </w:r>
      <w:r>
        <w:t>.</w:t>
      </w:r>
    </w:p>
  </w:footnote>
  <w:footnote w:id="26">
    <w:p w:rsidR="009D3B38" w:rsidRPr="004E3AA0" w:rsidRDefault="009D3B38">
      <w:pPr>
        <w:pStyle w:val="FootnoteText"/>
        <w:rPr>
          <w:rFonts w:cs="Times New Roman"/>
          <w:sz w:val="20"/>
          <w:szCs w:val="20"/>
        </w:rPr>
      </w:pPr>
      <w:r>
        <w:rPr>
          <w:rStyle w:val="FootnoteReference"/>
        </w:rPr>
        <w:footnoteRef/>
      </w:r>
      <w:r>
        <w:t xml:space="preserve"> </w:t>
      </w:r>
      <w:r w:rsidRPr="004E3AA0">
        <w:rPr>
          <w:rFonts w:cs="Times New Roman"/>
          <w:sz w:val="20"/>
          <w:szCs w:val="20"/>
        </w:rPr>
        <w:t xml:space="preserve">The figures on the basis of the study </w:t>
      </w:r>
      <w:r>
        <w:rPr>
          <w:rFonts w:cs="Times New Roman"/>
          <w:sz w:val="20"/>
          <w:szCs w:val="20"/>
        </w:rPr>
        <w:t xml:space="preserve">of SRDI </w:t>
      </w:r>
      <w:r w:rsidRPr="004E3AA0">
        <w:rPr>
          <w:rFonts w:cs="Times New Roman"/>
          <w:sz w:val="20"/>
          <w:szCs w:val="20"/>
        </w:rPr>
        <w:t>by Hasan et.</w:t>
      </w:r>
      <w:r>
        <w:rPr>
          <w:rFonts w:cs="Times New Roman"/>
          <w:sz w:val="20"/>
          <w:szCs w:val="20"/>
        </w:rPr>
        <w:t xml:space="preserve"> al.</w:t>
      </w:r>
      <w:r w:rsidRPr="004E3AA0">
        <w:rPr>
          <w:rFonts w:cs="Times New Roman"/>
          <w:sz w:val="20"/>
          <w:szCs w:val="20"/>
        </w:rPr>
        <w:t xml:space="preserve"> and the urban area size shown in BBS data</w:t>
      </w:r>
      <w:r>
        <w:rPr>
          <w:rFonts w:cs="Times New Roman"/>
          <w:sz w:val="20"/>
          <w:szCs w:val="20"/>
        </w:rPr>
        <w:t xml:space="preserve"> are different as explained earlier</w:t>
      </w:r>
      <w:r w:rsidRPr="004E3AA0">
        <w:rPr>
          <w:rFonts w:cs="Times New Roman"/>
          <w:sz w:val="20"/>
          <w:szCs w:val="20"/>
        </w:rPr>
        <w:t>.  So the rural and settlement areas here in all likelihood include the peri-urban areas.</w:t>
      </w:r>
    </w:p>
  </w:footnote>
  <w:footnote w:id="27">
    <w:p w:rsidR="009D3B38" w:rsidRDefault="009D3B38">
      <w:pPr>
        <w:pStyle w:val="FootnoteText"/>
      </w:pPr>
      <w:r>
        <w:rPr>
          <w:rStyle w:val="FootnoteReference"/>
        </w:rPr>
        <w:footnoteRef/>
      </w:r>
      <w:r>
        <w:t xml:space="preserve"> </w:t>
      </w:r>
      <w:r>
        <w:rPr>
          <w:rFonts w:cs="Times New Roman"/>
          <w:sz w:val="20"/>
          <w:szCs w:val="20"/>
        </w:rPr>
        <w:t xml:space="preserve">Bangladesh Bureau of Statistics (BBS):  </w:t>
      </w:r>
      <w:r w:rsidRPr="00190A67">
        <w:rPr>
          <w:rFonts w:cs="Times New Roman"/>
          <w:sz w:val="20"/>
          <w:szCs w:val="20"/>
        </w:rPr>
        <w:t>Population and Housing Census 2011</w:t>
      </w:r>
      <w:r>
        <w:rPr>
          <w:rFonts w:cs="Times New Roman"/>
          <w:sz w:val="20"/>
          <w:szCs w:val="20"/>
        </w:rPr>
        <w:t xml:space="preserve"> - National Volume -3: Urban Area Report</w:t>
      </w:r>
    </w:p>
  </w:footnote>
  <w:footnote w:id="28">
    <w:p w:rsidR="009D3B38" w:rsidRPr="005708D6" w:rsidRDefault="009D3B38">
      <w:pPr>
        <w:pStyle w:val="FootnoteText"/>
        <w:rPr>
          <w:sz w:val="20"/>
          <w:szCs w:val="20"/>
        </w:rPr>
      </w:pPr>
      <w:r w:rsidRPr="005708D6">
        <w:rPr>
          <w:rStyle w:val="FootnoteReference"/>
          <w:sz w:val="20"/>
          <w:szCs w:val="20"/>
        </w:rPr>
        <w:footnoteRef/>
      </w:r>
      <w:r>
        <w:rPr>
          <w:sz w:val="20"/>
          <w:szCs w:val="20"/>
        </w:rPr>
        <w:t xml:space="preserve"> SRDI, 2013.</w:t>
      </w:r>
    </w:p>
  </w:footnote>
  <w:footnote w:id="29">
    <w:p w:rsidR="009D3B38" w:rsidRPr="00245CCF" w:rsidRDefault="009D3B38" w:rsidP="00A356FA">
      <w:pPr>
        <w:pStyle w:val="FootnoteText"/>
        <w:rPr>
          <w:rFonts w:cs="Times New Roman"/>
          <w:sz w:val="18"/>
          <w:szCs w:val="18"/>
        </w:rPr>
      </w:pPr>
      <w:r>
        <w:rPr>
          <w:rStyle w:val="FootnoteReference"/>
        </w:rPr>
        <w:footnoteRef/>
      </w:r>
      <w:r>
        <w:t xml:space="preserve">  </w:t>
      </w:r>
      <w:r w:rsidRPr="00245CCF">
        <w:rPr>
          <w:rFonts w:cs="Times New Roman"/>
          <w:color w:val="000000"/>
          <w:sz w:val="18"/>
          <w:szCs w:val="18"/>
        </w:rPr>
        <w:t>Uddin and Haque 2009, Feldman and Geisler 2011</w:t>
      </w:r>
    </w:p>
  </w:footnote>
  <w:footnote w:id="30">
    <w:p w:rsidR="009D3B38" w:rsidRPr="00245CCF" w:rsidRDefault="009D3B38" w:rsidP="00A356FA">
      <w:pPr>
        <w:widowControl w:val="0"/>
        <w:autoSpaceDE w:val="0"/>
        <w:autoSpaceDN w:val="0"/>
        <w:adjustRightInd w:val="0"/>
        <w:rPr>
          <w:rFonts w:cs="Times New Roman"/>
          <w:color w:val="000000"/>
          <w:sz w:val="18"/>
          <w:szCs w:val="18"/>
        </w:rPr>
      </w:pPr>
      <w:r w:rsidRPr="00245CCF">
        <w:rPr>
          <w:rStyle w:val="FootnoteReference"/>
          <w:rFonts w:cs="Times New Roman"/>
          <w:sz w:val="18"/>
          <w:szCs w:val="18"/>
        </w:rPr>
        <w:footnoteRef/>
      </w:r>
      <w:r w:rsidRPr="00245CCF">
        <w:rPr>
          <w:rFonts w:cs="Times New Roman"/>
          <w:sz w:val="18"/>
          <w:szCs w:val="18"/>
        </w:rPr>
        <w:t xml:space="preserve">  </w:t>
      </w:r>
      <w:r w:rsidRPr="00245CCF">
        <w:rPr>
          <w:rFonts w:cs="Times New Roman"/>
          <w:i/>
          <w:color w:val="000000"/>
          <w:sz w:val="18"/>
          <w:szCs w:val="18"/>
        </w:rPr>
        <w:t xml:space="preserve"> Source: Bangladesh Land Governance Fact Sheet</w:t>
      </w:r>
    </w:p>
  </w:footnote>
  <w:footnote w:id="31">
    <w:p w:rsidR="009D3B38" w:rsidRDefault="009D3B38" w:rsidP="00A356FA">
      <w:pPr>
        <w:pStyle w:val="FootnoteText"/>
      </w:pPr>
      <w:r w:rsidRPr="00245CCF">
        <w:rPr>
          <w:rStyle w:val="FootnoteReference"/>
          <w:rFonts w:cs="Times New Roman"/>
          <w:sz w:val="18"/>
          <w:szCs w:val="18"/>
        </w:rPr>
        <w:footnoteRef/>
      </w:r>
      <w:r w:rsidRPr="00245CCF">
        <w:rPr>
          <w:rFonts w:cs="Times New Roman"/>
          <w:sz w:val="18"/>
          <w:szCs w:val="18"/>
        </w:rPr>
        <w:t xml:space="preserve"> </w:t>
      </w:r>
      <w:r>
        <w:rPr>
          <w:rFonts w:cs="Times New Roman"/>
          <w:sz w:val="18"/>
          <w:szCs w:val="18"/>
        </w:rPr>
        <w:t xml:space="preserve">World Bank: </w:t>
      </w:r>
      <w:r w:rsidRPr="00245CCF">
        <w:rPr>
          <w:rFonts w:cs="Times New Roman"/>
          <w:sz w:val="18"/>
          <w:szCs w:val="18"/>
        </w:rPr>
        <w:t>Doing Business 2015</w:t>
      </w:r>
    </w:p>
  </w:footnote>
  <w:footnote w:id="32">
    <w:p w:rsidR="009D3B38" w:rsidRDefault="009D3B38">
      <w:pPr>
        <w:pStyle w:val="FootnoteText"/>
      </w:pPr>
      <w:r>
        <w:rPr>
          <w:rStyle w:val="FootnoteReference"/>
        </w:rPr>
        <w:footnoteRef/>
      </w:r>
      <w:r w:rsidRPr="00F300CA">
        <w:rPr>
          <w:rFonts w:cs="Times New Roman"/>
          <w:sz w:val="20"/>
          <w:szCs w:val="20"/>
        </w:rPr>
        <w:t xml:space="preserve"> Doing Business Indicators of World Bank</w:t>
      </w:r>
    </w:p>
  </w:footnote>
  <w:footnote w:id="33">
    <w:p w:rsidR="009D3B38" w:rsidRPr="007B1930" w:rsidRDefault="009D3B38" w:rsidP="00AD6136">
      <w:pPr>
        <w:pStyle w:val="FootnoteText"/>
        <w:rPr>
          <w:rFonts w:cs="Times New Roman"/>
          <w:sz w:val="18"/>
          <w:szCs w:val="18"/>
        </w:rPr>
      </w:pPr>
      <w:r w:rsidRPr="007B1930">
        <w:rPr>
          <w:rStyle w:val="FootnoteReference"/>
          <w:rFonts w:cs="Times New Roman"/>
        </w:rPr>
        <w:footnoteRef/>
      </w:r>
      <w:r w:rsidRPr="007B1930">
        <w:rPr>
          <w:rFonts w:cs="Times New Roman"/>
          <w:sz w:val="18"/>
          <w:szCs w:val="18"/>
        </w:rPr>
        <w:t xml:space="preserve">  (USAID, 2010)</w:t>
      </w:r>
    </w:p>
  </w:footnote>
  <w:footnote w:id="34">
    <w:p w:rsidR="009D3B38" w:rsidRDefault="009D3B38" w:rsidP="00AD6136">
      <w:pPr>
        <w:pStyle w:val="FootnoteText"/>
      </w:pPr>
      <w:r>
        <w:rPr>
          <w:rStyle w:val="FootnoteReference"/>
        </w:rPr>
        <w:footnoteRef/>
      </w:r>
      <w:r>
        <w:t xml:space="preserve"> </w:t>
      </w:r>
      <w:r w:rsidRPr="00CE739C">
        <w:rPr>
          <w:sz w:val="20"/>
        </w:rPr>
        <w:t>Banglapedia – Alluvion and Diluvion</w:t>
      </w:r>
    </w:p>
  </w:footnote>
  <w:footnote w:id="35">
    <w:p w:rsidR="009D3B38" w:rsidRDefault="009D3B38" w:rsidP="00262E47">
      <w:pPr>
        <w:spacing w:line="276" w:lineRule="auto"/>
        <w:rPr>
          <w:rFonts w:cs="Times New Roman"/>
        </w:rPr>
      </w:pPr>
      <w:r>
        <w:rPr>
          <w:rStyle w:val="FootnoteReference"/>
        </w:rPr>
        <w:footnoteRef/>
      </w:r>
      <w:r>
        <w:t xml:space="preserve">  </w:t>
      </w:r>
      <w:r>
        <w:rPr>
          <w:rFonts w:cs="Times New Roman"/>
        </w:rPr>
        <w:t>South Africa: Act No. 16 of 2013: Spatial Planning and Land Use management Act, 2013</w:t>
      </w:r>
    </w:p>
    <w:p w:rsidR="009D3B38" w:rsidRDefault="009D3B38" w:rsidP="00262E47">
      <w:pPr>
        <w:pStyle w:val="FootnoteText"/>
      </w:pPr>
    </w:p>
  </w:footnote>
  <w:footnote w:id="36">
    <w:p w:rsidR="009D3B38" w:rsidRDefault="009D3B38">
      <w:pPr>
        <w:pStyle w:val="FootnoteText"/>
      </w:pPr>
      <w:r w:rsidRPr="00E91CAB">
        <w:rPr>
          <w:rStyle w:val="FootnoteReference"/>
          <w:rFonts w:cs="Times New Roman"/>
          <w:sz w:val="18"/>
          <w:szCs w:val="18"/>
        </w:rPr>
        <w:footnoteRef/>
      </w:r>
      <w:r w:rsidRPr="00E91CAB">
        <w:rPr>
          <w:rFonts w:cs="Times New Roman"/>
          <w:sz w:val="18"/>
          <w:szCs w:val="18"/>
        </w:rPr>
        <w:t xml:space="preserve">  Gebremedhin, 2014</w:t>
      </w:r>
    </w:p>
  </w:footnote>
  <w:footnote w:id="37">
    <w:p w:rsidR="009D3B38" w:rsidRDefault="009D3B38">
      <w:pPr>
        <w:pStyle w:val="FootnoteText"/>
      </w:pPr>
      <w:r>
        <w:rPr>
          <w:rStyle w:val="FootnoteReference"/>
        </w:rPr>
        <w:footnoteRef/>
      </w:r>
      <w:r>
        <w:t xml:space="preserve"> </w:t>
      </w:r>
      <w:r>
        <w:rPr>
          <w:rFonts w:cs="Times New Roman"/>
          <w:sz w:val="22"/>
          <w:szCs w:val="22"/>
        </w:rPr>
        <w:t xml:space="preserve"> </w:t>
      </w:r>
      <w:r w:rsidRPr="003463D4">
        <w:rPr>
          <w:rFonts w:cs="Times New Roman"/>
          <w:sz w:val="18"/>
          <w:szCs w:val="18"/>
        </w:rPr>
        <w:t>Gebremedhin, 2014</w:t>
      </w:r>
    </w:p>
  </w:footnote>
  <w:footnote w:id="38">
    <w:p w:rsidR="009D3B38" w:rsidRDefault="009D3B38" w:rsidP="00262E47">
      <w:pPr>
        <w:pStyle w:val="FootnoteText"/>
      </w:pPr>
      <w:r>
        <w:rPr>
          <w:rStyle w:val="FootnoteReference"/>
        </w:rPr>
        <w:footnoteRef/>
      </w:r>
      <w:r>
        <w:t xml:space="preserve"> </w:t>
      </w:r>
      <w:r w:rsidRPr="00AE06FE">
        <w:rPr>
          <w:rFonts w:cs="Times New Roman"/>
          <w:bCs/>
          <w:sz w:val="18"/>
          <w:szCs w:val="18"/>
        </w:rPr>
        <w:t xml:space="preserve"> Base line Study and Karim et al., 1982</w:t>
      </w:r>
    </w:p>
  </w:footnote>
  <w:footnote w:id="39">
    <w:p w:rsidR="009D3B38" w:rsidRDefault="009D3B38" w:rsidP="00262E47">
      <w:pPr>
        <w:pStyle w:val="FootnoteText"/>
      </w:pPr>
      <w:r>
        <w:rPr>
          <w:rStyle w:val="FootnoteReference"/>
        </w:rPr>
        <w:footnoteRef/>
      </w:r>
      <w:r>
        <w:t xml:space="preserve"> </w:t>
      </w:r>
      <w:r w:rsidRPr="00AE06FE">
        <w:rPr>
          <w:rFonts w:cs="Times New Roman"/>
          <w:sz w:val="18"/>
          <w:szCs w:val="18"/>
        </w:rPr>
        <w:t>Base line Study and Mascarenhas, 2006</w:t>
      </w:r>
    </w:p>
  </w:footnote>
  <w:footnote w:id="40">
    <w:p w:rsidR="009D3B38" w:rsidRPr="00143410" w:rsidRDefault="009D3B38" w:rsidP="00143410">
      <w:pPr>
        <w:pStyle w:val="FootnoteText"/>
        <w:jc w:val="both"/>
        <w:rPr>
          <w:rFonts w:cs="Times New Roman"/>
          <w:sz w:val="20"/>
          <w:szCs w:val="20"/>
        </w:rPr>
      </w:pPr>
      <w:r w:rsidRPr="00143410">
        <w:rPr>
          <w:rStyle w:val="FootnoteReference"/>
          <w:rFonts w:cs="Times New Roman"/>
          <w:sz w:val="20"/>
          <w:szCs w:val="20"/>
        </w:rPr>
        <w:footnoteRef/>
      </w:r>
      <w:r w:rsidRPr="00143410">
        <w:rPr>
          <w:rFonts w:cs="Times New Roman"/>
          <w:sz w:val="20"/>
          <w:szCs w:val="20"/>
        </w:rPr>
        <w:t xml:space="preserve"> Bangladesh has about 2835 kilometers of rail-way, 21269 kilometers of paved road and roughly 6000 kilometers of perennial and seasonal waterways (BBS 2014).</w:t>
      </w:r>
    </w:p>
  </w:footnote>
  <w:footnote w:id="41">
    <w:p w:rsidR="009D3B38" w:rsidRPr="00143410" w:rsidRDefault="009D3B38" w:rsidP="00143410">
      <w:pPr>
        <w:pStyle w:val="FootnoteText"/>
        <w:jc w:val="both"/>
        <w:rPr>
          <w:rFonts w:cs="Times New Roman"/>
          <w:sz w:val="20"/>
          <w:szCs w:val="20"/>
        </w:rPr>
      </w:pPr>
      <w:r w:rsidRPr="00143410">
        <w:rPr>
          <w:rStyle w:val="FootnoteReference"/>
          <w:rFonts w:cs="Times New Roman"/>
          <w:sz w:val="20"/>
          <w:szCs w:val="20"/>
        </w:rPr>
        <w:footnoteRef/>
      </w:r>
      <w:r w:rsidRPr="00143410">
        <w:rPr>
          <w:rFonts w:cs="Times New Roman"/>
          <w:sz w:val="20"/>
          <w:szCs w:val="20"/>
        </w:rPr>
        <w:t xml:space="preserve"> </w:t>
      </w:r>
      <w:r w:rsidRPr="00143410">
        <w:rPr>
          <w:rFonts w:cs="Times New Roman"/>
          <w:i/>
          <w:iCs/>
          <w:sz w:val="20"/>
          <w:szCs w:val="20"/>
          <w:lang w:val="en-GB"/>
        </w:rPr>
        <w:t>Revival of Inland Water Transport: Options an</w:t>
      </w:r>
      <w:r>
        <w:rPr>
          <w:rFonts w:cs="Times New Roman"/>
          <w:i/>
          <w:iCs/>
          <w:sz w:val="20"/>
          <w:szCs w:val="20"/>
          <w:lang w:val="en-GB"/>
        </w:rPr>
        <w:t xml:space="preserve">d Strategies, </w:t>
      </w:r>
      <w:r w:rsidRPr="00653828">
        <w:rPr>
          <w:rFonts w:cs="Times New Roman"/>
          <w:iCs/>
          <w:sz w:val="20"/>
          <w:szCs w:val="20"/>
          <w:lang w:val="en-GB"/>
        </w:rPr>
        <w:t>World Bank 2007</w:t>
      </w:r>
      <w:r>
        <w:rPr>
          <w:rFonts w:cs="Times New Roman"/>
          <w:i/>
          <w:iCs/>
          <w:sz w:val="20"/>
          <w:szCs w:val="20"/>
          <w:lang w:val="en-GB"/>
        </w:rPr>
        <w:t>.</w:t>
      </w:r>
    </w:p>
  </w:footnote>
  <w:footnote w:id="42">
    <w:p w:rsidR="009D3B38" w:rsidRPr="00432ACA" w:rsidRDefault="009D3B38" w:rsidP="00005EAC">
      <w:pPr>
        <w:pStyle w:val="FootnoteText"/>
        <w:jc w:val="both"/>
        <w:rPr>
          <w:rFonts w:cs="Times New Roman"/>
          <w:sz w:val="20"/>
          <w:szCs w:val="20"/>
        </w:rPr>
      </w:pPr>
      <w:r w:rsidRPr="00432ACA">
        <w:rPr>
          <w:rStyle w:val="FootnoteReference"/>
          <w:rFonts w:cs="Times New Roman"/>
          <w:sz w:val="20"/>
          <w:szCs w:val="20"/>
        </w:rPr>
        <w:footnoteRef/>
      </w:r>
      <w:r w:rsidRPr="00432ACA">
        <w:rPr>
          <w:rFonts w:cs="Times New Roman"/>
          <w:sz w:val="20"/>
          <w:szCs w:val="20"/>
        </w:rPr>
        <w:t xml:space="preserve"> The minimum traffic necessary to justify the cost of dredging was obtained by dividing total costs of dredging by average benefit from dredging per kilometer. The average cost of dredging per km was obtained by dividing total cost of dredging by length of navigable IWT network. The average benefit from dredging per kilometer was obtained by dividing difference between IWT and road cost by number of ton-kilometer for IWT output. This was derived from the volume of cargo traffic transported by inland waterways by formal sector vessels only. The output of informal sector was not included as those can ply in all condition.</w:t>
      </w:r>
    </w:p>
  </w:footnote>
  <w:footnote w:id="43">
    <w:p w:rsidR="009D3B38" w:rsidRPr="001303B2" w:rsidRDefault="009D3B38" w:rsidP="00005EAC">
      <w:pPr>
        <w:pStyle w:val="FootnoteText"/>
        <w:jc w:val="both"/>
        <w:rPr>
          <w:rFonts w:cs="Times New Roman"/>
          <w:sz w:val="20"/>
          <w:szCs w:val="20"/>
        </w:rPr>
      </w:pPr>
      <w:r w:rsidRPr="001303B2">
        <w:rPr>
          <w:rStyle w:val="FootnoteReference"/>
          <w:rFonts w:cs="Times New Roman"/>
          <w:sz w:val="20"/>
          <w:szCs w:val="20"/>
        </w:rPr>
        <w:footnoteRef/>
      </w:r>
      <w:r w:rsidRPr="001303B2">
        <w:rPr>
          <w:rFonts w:cs="Times New Roman"/>
          <w:sz w:val="20"/>
          <w:szCs w:val="20"/>
        </w:rPr>
        <w:t xml:space="preserve"> After the Independence of Bangladesh both the Governments of Bangladesh and India signed a Trade Agreement on 28 March, 1972. Under the article VIII of the Trade Agreement a Protocol on Inland Water Transit and Trade (PIWTT) between Bangladesh and India was signed on 01 November, 1972.</w:t>
      </w:r>
    </w:p>
  </w:footnote>
  <w:footnote w:id="44">
    <w:p w:rsidR="009D3B38" w:rsidRPr="00373D2B" w:rsidRDefault="009D3B38" w:rsidP="00373D2B">
      <w:pPr>
        <w:pStyle w:val="FootnoteText"/>
        <w:jc w:val="both"/>
        <w:rPr>
          <w:sz w:val="20"/>
          <w:szCs w:val="20"/>
        </w:rPr>
      </w:pPr>
      <w:r w:rsidRPr="00373D2B">
        <w:rPr>
          <w:rStyle w:val="FootnoteReference"/>
          <w:sz w:val="20"/>
          <w:szCs w:val="20"/>
        </w:rPr>
        <w:footnoteRef/>
      </w:r>
      <w:r w:rsidRPr="00373D2B">
        <w:rPr>
          <w:sz w:val="20"/>
          <w:szCs w:val="20"/>
        </w:rPr>
        <w:t xml:space="preserve"> </w:t>
      </w:r>
      <w:r w:rsidRPr="00373D2B">
        <w:rPr>
          <w:rFonts w:cs="Times New Roman"/>
          <w:sz w:val="20"/>
          <w:szCs w:val="20"/>
        </w:rPr>
        <w:t>The construction of Friendship Bridge over River Buriganga can be cited an example as to how this rule was ignored. Since it is a stretch of class-I waterway vertical clearance was set at 60 feet at the highest high water level. Ultimately the bridge was constructed with a vertical clearance of 40 feet restricted movement of larger size coastal vessel upstream of the bridge. As a result, navigation in 110 km of waterways around Dhaka is not possible due to the existence of such low height bridges. As such waterways round Dhaka could not contribute to urban transport to remove congestion on road.</w:t>
      </w:r>
    </w:p>
  </w:footnote>
  <w:footnote w:id="45">
    <w:p w:rsidR="009D3B38" w:rsidRPr="000B1950" w:rsidRDefault="009D3B38" w:rsidP="00D04B2D">
      <w:pPr>
        <w:pStyle w:val="FootnoteText"/>
        <w:jc w:val="both"/>
        <w:rPr>
          <w:rFonts w:cs="Times New Roman"/>
          <w:sz w:val="20"/>
          <w:szCs w:val="20"/>
        </w:rPr>
      </w:pPr>
      <w:r w:rsidRPr="000B1950">
        <w:rPr>
          <w:rStyle w:val="FootnoteReference"/>
          <w:rFonts w:cs="Times New Roman"/>
          <w:sz w:val="20"/>
          <w:szCs w:val="20"/>
        </w:rPr>
        <w:footnoteRef/>
      </w:r>
      <w:r w:rsidRPr="000B1950">
        <w:rPr>
          <w:rFonts w:cs="Times New Roman"/>
          <w:sz w:val="20"/>
          <w:szCs w:val="20"/>
        </w:rPr>
        <w:t xml:space="preserve"> in the KCT Pre-Feasibility Study</w:t>
      </w:r>
    </w:p>
  </w:footnote>
  <w:footnote w:id="46">
    <w:p w:rsidR="009D3B38" w:rsidRPr="000B1950" w:rsidRDefault="009D3B38" w:rsidP="00005EAC">
      <w:pPr>
        <w:pStyle w:val="FootnoteText"/>
        <w:jc w:val="both"/>
        <w:rPr>
          <w:rFonts w:cs="Times New Roman"/>
          <w:sz w:val="20"/>
          <w:szCs w:val="20"/>
          <w:lang w:val="en-GB"/>
        </w:rPr>
      </w:pPr>
      <w:r w:rsidRPr="000B1950">
        <w:rPr>
          <w:rStyle w:val="FootnoteReference"/>
          <w:rFonts w:cs="Times New Roman"/>
          <w:sz w:val="20"/>
          <w:szCs w:val="20"/>
        </w:rPr>
        <w:footnoteRef/>
      </w:r>
      <w:r w:rsidRPr="000B1950">
        <w:rPr>
          <w:rFonts w:cs="Times New Roman"/>
          <w:sz w:val="20"/>
          <w:szCs w:val="20"/>
        </w:rPr>
        <w:t xml:space="preserve">World Bank estimated this forecast in its Report “KCT Pre-Feasibility Study” under Bangladesh Trade and Transport Facilitation Program, September 2014 (Para 3.3 Page 15). The Report indicated three forecasts: Scenario A: Anchored, Scenario B: Setting Sail and Scenario C: World Wears Bangla. Scenario A did not include any container traffic in inland waterways up to 2030. </w:t>
      </w:r>
    </w:p>
  </w:footnote>
  <w:footnote w:id="47">
    <w:p w:rsidR="009D3B38" w:rsidRPr="00722BE3" w:rsidRDefault="009D3B38" w:rsidP="00291F0F">
      <w:pPr>
        <w:pStyle w:val="FootnoteText"/>
        <w:rPr>
          <w:rFonts w:cs="Times New Roman"/>
          <w:sz w:val="21"/>
          <w:szCs w:val="21"/>
        </w:rPr>
      </w:pPr>
      <w:r w:rsidRPr="00ED241E">
        <w:rPr>
          <w:rStyle w:val="FootnoteReference"/>
          <w:rFonts w:cs="Times New Roman"/>
          <w:sz w:val="21"/>
          <w:szCs w:val="21"/>
        </w:rPr>
        <w:footnoteRef/>
      </w:r>
      <w:r w:rsidRPr="00ED241E">
        <w:rPr>
          <w:rFonts w:cs="Times New Roman"/>
          <w:sz w:val="21"/>
          <w:szCs w:val="21"/>
        </w:rPr>
        <w:t xml:space="preserve"> For details see, The Agreement between the Government of the Socialist Re</w:t>
      </w:r>
      <w:r>
        <w:rPr>
          <w:rFonts w:cs="Times New Roman"/>
          <w:sz w:val="21"/>
          <w:szCs w:val="21"/>
        </w:rPr>
        <w:t>public</w:t>
      </w:r>
      <w:r w:rsidRPr="00ED241E">
        <w:rPr>
          <w:rFonts w:cs="Times New Roman"/>
          <w:sz w:val="21"/>
          <w:szCs w:val="21"/>
        </w:rPr>
        <w:t xml:space="preserve"> of Vietnam and the Royal Government of Cambodia on Waterway Transportation. Available at: </w:t>
      </w:r>
      <w:hyperlink r:id="rId1" w:history="1">
        <w:r w:rsidRPr="00F20F45">
          <w:rPr>
            <w:rStyle w:val="Hyperlink"/>
            <w:rFonts w:cs="Times New Roman"/>
            <w:sz w:val="21"/>
            <w:szCs w:val="21"/>
          </w:rPr>
          <w:t>http://www.mrcmekong.org/assets/Publications/policies/agreement-waterway-trans-btw-Cam-n-VN-Eng.pdf</w:t>
        </w:r>
      </w:hyperlink>
      <w:r w:rsidRPr="00ED241E">
        <w:rPr>
          <w:rFonts w:cs="Times New Roman"/>
          <w:sz w:val="21"/>
          <w:szCs w:val="21"/>
        </w:rPr>
        <w:t xml:space="preserve"> </w:t>
      </w:r>
    </w:p>
    <w:p w:rsidR="009D3B38" w:rsidRPr="00ED241E" w:rsidRDefault="009D3B38" w:rsidP="00291F0F">
      <w:pPr>
        <w:pStyle w:val="FootnoteText"/>
        <w:rPr>
          <w:rFonts w:cs="Times New Roman"/>
          <w:sz w:val="21"/>
          <w:szCs w:val="21"/>
        </w:rPr>
      </w:pPr>
      <w:r w:rsidRPr="00ED241E">
        <w:rPr>
          <w:rFonts w:cs="Times New Roman"/>
          <w:sz w:val="21"/>
          <w:szCs w:val="21"/>
        </w:rPr>
        <w:t xml:space="preserve">And </w:t>
      </w:r>
    </w:p>
    <w:p w:rsidR="009D3B38" w:rsidRPr="00ED241E" w:rsidRDefault="009D3B38" w:rsidP="00291F0F">
      <w:pPr>
        <w:pStyle w:val="FootnoteText"/>
        <w:rPr>
          <w:rFonts w:cs="Times New Roman"/>
          <w:sz w:val="21"/>
          <w:szCs w:val="21"/>
        </w:rPr>
      </w:pPr>
      <w:r w:rsidRPr="00ED241E">
        <w:rPr>
          <w:rFonts w:cs="Times New Roman"/>
          <w:sz w:val="21"/>
          <w:szCs w:val="21"/>
        </w:rPr>
        <w:t xml:space="preserve">Cross border rules and regulation. Ministry of </w:t>
      </w:r>
      <w:r>
        <w:rPr>
          <w:rFonts w:cs="Times New Roman"/>
          <w:sz w:val="21"/>
          <w:szCs w:val="21"/>
        </w:rPr>
        <w:t xml:space="preserve"> Public </w:t>
      </w:r>
      <w:r w:rsidRPr="00ED241E">
        <w:rPr>
          <w:rFonts w:cs="Times New Roman"/>
          <w:sz w:val="21"/>
          <w:szCs w:val="21"/>
        </w:rPr>
        <w:t xml:space="preserve">Works and Transport, Cambodia. Available at: </w:t>
      </w:r>
      <w:hyperlink r:id="rId2" w:history="1">
        <w:r w:rsidRPr="00ED241E">
          <w:rPr>
            <w:rStyle w:val="Hyperlink"/>
            <w:rFonts w:cs="Times New Roman"/>
            <w:sz w:val="21"/>
            <w:szCs w:val="21"/>
          </w:rPr>
          <w:t>http://www.ciwn.mpwt.gov.kh/index.php?option=com_content&amp;view=category&amp;id=28&amp;layout=blog&amp;Itemid=40&amp;lang=en</w:t>
        </w:r>
      </w:hyperlink>
    </w:p>
  </w:footnote>
  <w:footnote w:id="48">
    <w:p w:rsidR="009D3B38" w:rsidRPr="00D136BB" w:rsidRDefault="009D3B38" w:rsidP="00D136BB">
      <w:pPr>
        <w:pStyle w:val="FootnoteText"/>
        <w:jc w:val="both"/>
      </w:pPr>
      <w:r w:rsidRPr="00D136BB">
        <w:rPr>
          <w:rStyle w:val="FootnoteReference"/>
          <w:sz w:val="16"/>
        </w:rPr>
        <w:footnoteRef/>
      </w:r>
      <w:r w:rsidRPr="00D136BB">
        <w:rPr>
          <w:sz w:val="16"/>
        </w:rPr>
        <w:t xml:space="preserve"> An availability payment contract is a contract in which a payment for performance of the concessionaire is agreed irrespective of demand. This is an option in projects that generate no revenues from users or inadequate revenues to cover full cost of construction and ongoing operation.</w:t>
      </w:r>
    </w:p>
  </w:footnote>
  <w:footnote w:id="49">
    <w:p w:rsidR="009D3B38" w:rsidRPr="00C616AA" w:rsidRDefault="009D3B38" w:rsidP="00C616AA">
      <w:pPr>
        <w:pStyle w:val="FootnoteText"/>
        <w:jc w:val="both"/>
        <w:rPr>
          <w:sz w:val="20"/>
        </w:rPr>
      </w:pPr>
      <w:r w:rsidRPr="00C616AA">
        <w:rPr>
          <w:sz w:val="20"/>
        </w:rPr>
        <w:footnoteRef/>
      </w:r>
      <w:r w:rsidRPr="00C616AA">
        <w:rPr>
          <w:sz w:val="20"/>
        </w:rPr>
        <w:t xml:space="preserve"> "Sinking deltas due to human activities" by James P. M. Syvitski</w:t>
      </w:r>
      <w:hyperlink r:id="rId3" w:anchor="a1" w:tooltip="affiliated with " w:history="1"/>
      <w:r w:rsidRPr="00C616AA">
        <w:rPr>
          <w:sz w:val="20"/>
        </w:rPr>
        <w:t>, Albert J. Kettner, Irina Overeem, Eric W. H. Hutton, Mark T. Hannon, G. Robert Brakenridge, John Day, Charles Vörösmarty, Yoshiki Saito, Liviu Giosan &amp; Robert J. Nicholls in Nature Geoscience 2, pp 681-686, 2009.</w:t>
      </w:r>
    </w:p>
    <w:p w:rsidR="009D3B38" w:rsidRDefault="009D3B38">
      <w:pPr>
        <w:pStyle w:val="FootnoteText"/>
      </w:pPr>
    </w:p>
  </w:footnote>
  <w:footnote w:id="50">
    <w:p w:rsidR="009D3B38" w:rsidRPr="003C1030" w:rsidRDefault="009D3B38" w:rsidP="00566D85">
      <w:pPr>
        <w:pStyle w:val="FootnoteText"/>
        <w:rPr>
          <w:sz w:val="20"/>
        </w:rPr>
      </w:pPr>
      <w:r w:rsidRPr="003C1030">
        <w:rPr>
          <w:rStyle w:val="FootnoteReference"/>
        </w:rPr>
        <w:footnoteRef/>
      </w:r>
      <w:r w:rsidRPr="003C1030">
        <w:t xml:space="preserve"> </w:t>
      </w:r>
      <w:r w:rsidRPr="003C1030">
        <w:rPr>
          <w:sz w:val="20"/>
        </w:rPr>
        <w:t>The Water Act 2013, Government of Bangladesh.</w:t>
      </w:r>
    </w:p>
  </w:footnote>
  <w:footnote w:id="51">
    <w:p w:rsidR="009D3B38" w:rsidRPr="00A86115" w:rsidRDefault="009D3B38" w:rsidP="00A86115">
      <w:pPr>
        <w:pStyle w:val="FootnoteText"/>
        <w:jc w:val="both"/>
        <w:rPr>
          <w:sz w:val="20"/>
          <w:szCs w:val="20"/>
        </w:rPr>
      </w:pPr>
      <w:r w:rsidRPr="00A86115">
        <w:rPr>
          <w:rStyle w:val="FootnoteReference"/>
          <w:sz w:val="20"/>
          <w:szCs w:val="20"/>
        </w:rPr>
        <w:footnoteRef/>
      </w:r>
      <w:r w:rsidRPr="00A86115">
        <w:rPr>
          <w:sz w:val="20"/>
          <w:szCs w:val="20"/>
        </w:rPr>
        <w:t>Nonaka &amp; Toyama’s Knowledge Creation in: Gray &amp; Densten, 2005, p. 597</w:t>
      </w:r>
    </w:p>
  </w:footnote>
  <w:footnote w:id="52">
    <w:p w:rsidR="009D3B38" w:rsidRPr="00A86115" w:rsidRDefault="009D3B38" w:rsidP="00A86115">
      <w:pPr>
        <w:pStyle w:val="FootnoteText"/>
        <w:jc w:val="both"/>
        <w:rPr>
          <w:sz w:val="20"/>
        </w:rPr>
      </w:pPr>
      <w:r w:rsidRPr="00A86115">
        <w:rPr>
          <w:rStyle w:val="FootnoteReference"/>
          <w:sz w:val="20"/>
        </w:rPr>
        <w:footnoteRef/>
      </w:r>
      <w:r w:rsidRPr="00A86115">
        <w:rPr>
          <w:sz w:val="20"/>
        </w:rPr>
        <w:t xml:space="preserve"> For an overview of the type of database government agencies in Bangladesh are currently managing see: Baseline Study. 2015. Information and Knowledge Management. Bangladesh Delta Plan 2100 Formulation Project. General Economics Division, Planning Commission, Government of Bangladesh, pp. 3-10.</w:t>
      </w:r>
    </w:p>
  </w:footnote>
  <w:footnote w:id="53">
    <w:p w:rsidR="009D3B38" w:rsidRPr="00A86115" w:rsidRDefault="009D3B38" w:rsidP="00A86115">
      <w:pPr>
        <w:pStyle w:val="FootnoteText"/>
        <w:jc w:val="both"/>
        <w:rPr>
          <w:sz w:val="20"/>
        </w:rPr>
      </w:pPr>
      <w:r w:rsidRPr="00A86115">
        <w:rPr>
          <w:rStyle w:val="FootnoteReference"/>
          <w:sz w:val="20"/>
        </w:rPr>
        <w:footnoteRef/>
      </w:r>
      <w:r w:rsidRPr="00A86115">
        <w:rPr>
          <w:sz w:val="20"/>
        </w:rPr>
        <w:t xml:space="preserve"> This data could be linked with BBS, which is planning to reflect such events in future updates.</w:t>
      </w:r>
    </w:p>
  </w:footnote>
  <w:footnote w:id="54">
    <w:p w:rsidR="009D3B38" w:rsidRPr="00A86115" w:rsidRDefault="009D3B38" w:rsidP="00A86115">
      <w:pPr>
        <w:pStyle w:val="FootnoteText"/>
        <w:rPr>
          <w:sz w:val="20"/>
          <w:szCs w:val="20"/>
        </w:rPr>
      </w:pPr>
      <w:r w:rsidRPr="00A86115">
        <w:rPr>
          <w:rStyle w:val="FootnoteReference"/>
          <w:sz w:val="20"/>
          <w:szCs w:val="20"/>
        </w:rPr>
        <w:footnoteRef/>
      </w:r>
      <w:r w:rsidRPr="00A86115">
        <w:rPr>
          <w:sz w:val="20"/>
          <w:szCs w:val="20"/>
        </w:rPr>
        <w:t xml:space="preserve"> http://english.deltacommissaris.nl/delta-programme/contents/knowledge-programme/delta-portal</w:t>
      </w:r>
    </w:p>
  </w:footnote>
  <w:footnote w:id="55">
    <w:p w:rsidR="009D3B38" w:rsidRPr="00932A1C" w:rsidRDefault="009D3B38" w:rsidP="00A32B61">
      <w:pPr>
        <w:pStyle w:val="FootnoteText"/>
        <w:jc w:val="both"/>
        <w:rPr>
          <w:sz w:val="20"/>
          <w:szCs w:val="20"/>
        </w:rPr>
      </w:pPr>
      <w:r w:rsidRPr="00932A1C">
        <w:rPr>
          <w:rStyle w:val="FootnoteReference"/>
          <w:sz w:val="20"/>
          <w:szCs w:val="20"/>
        </w:rPr>
        <w:footnoteRef/>
      </w:r>
      <w:hyperlink r:id="rId4" w:history="1">
        <w:r w:rsidRPr="00932A1C">
          <w:rPr>
            <w:rStyle w:val="Hyperlink"/>
            <w:color w:val="auto"/>
            <w:sz w:val="20"/>
            <w:szCs w:val="20"/>
          </w:rPr>
          <w:t>http://www.climatechangepost.com/netherlands/</w:t>
        </w:r>
      </w:hyperlink>
      <w:r w:rsidRPr="00932A1C">
        <w:rPr>
          <w:sz w:val="20"/>
          <w:szCs w:val="20"/>
        </w:rPr>
        <w:t>; http://www.knowledgeforclimate.nl</w:t>
      </w:r>
    </w:p>
  </w:footnote>
  <w:footnote w:id="56">
    <w:p w:rsidR="009D3B38" w:rsidRPr="00932A1C" w:rsidRDefault="009D3B38" w:rsidP="00A32B61">
      <w:pPr>
        <w:pStyle w:val="FootnoteText"/>
        <w:jc w:val="both"/>
        <w:rPr>
          <w:sz w:val="20"/>
          <w:szCs w:val="20"/>
        </w:rPr>
      </w:pPr>
      <w:r w:rsidRPr="00932A1C">
        <w:rPr>
          <w:rStyle w:val="FootnoteReference"/>
          <w:sz w:val="20"/>
          <w:szCs w:val="20"/>
        </w:rPr>
        <w:footnoteRef/>
      </w:r>
      <w:hyperlink r:id="rId5" w:history="1">
        <w:r w:rsidRPr="00932A1C">
          <w:rPr>
            <w:rStyle w:val="Hyperlink"/>
            <w:color w:val="auto"/>
            <w:sz w:val="20"/>
            <w:szCs w:val="20"/>
          </w:rPr>
          <w:t>http://www.dupad.hku.hk/hkprd/info/english/set_wholeprd.htm</w:t>
        </w:r>
      </w:hyperlink>
    </w:p>
  </w:footnote>
  <w:footnote w:id="57">
    <w:p w:rsidR="009D3B38" w:rsidRPr="00932A1C" w:rsidRDefault="009D3B38" w:rsidP="00A32B61">
      <w:pPr>
        <w:pStyle w:val="FootnoteText"/>
        <w:jc w:val="both"/>
        <w:rPr>
          <w:sz w:val="20"/>
          <w:szCs w:val="20"/>
        </w:rPr>
      </w:pPr>
      <w:r w:rsidRPr="00932A1C">
        <w:rPr>
          <w:rStyle w:val="FootnoteReference"/>
          <w:sz w:val="20"/>
          <w:szCs w:val="20"/>
        </w:rPr>
        <w:footnoteRef/>
      </w:r>
      <w:hyperlink r:id="rId6" w:history="1">
        <w:r w:rsidRPr="00932A1C">
          <w:rPr>
            <w:rStyle w:val="Hyperlink"/>
            <w:color w:val="auto"/>
            <w:sz w:val="20"/>
            <w:szCs w:val="20"/>
          </w:rPr>
          <w:t>http://www.dutchwatersector.com/solutions/projects/230-towards-a-mekong-delta-portal.html</w:t>
        </w:r>
      </w:hyperlink>
      <w:r w:rsidRPr="00932A1C">
        <w:rPr>
          <w:sz w:val="20"/>
          <w:szCs w:val="20"/>
        </w:rPr>
        <w:t>; http://www.wisdom.caf.dlr.de/en/content/objectives-wisdom-project.html</w:t>
      </w:r>
    </w:p>
  </w:footnote>
  <w:footnote w:id="58">
    <w:p w:rsidR="009D3B38" w:rsidRPr="00A86115" w:rsidRDefault="009D3B38" w:rsidP="00A32B61">
      <w:pPr>
        <w:pStyle w:val="FootnoteText"/>
        <w:jc w:val="both"/>
        <w:rPr>
          <w:sz w:val="20"/>
        </w:rPr>
      </w:pPr>
      <w:r w:rsidRPr="00932A1C">
        <w:rPr>
          <w:rStyle w:val="FootnoteReference"/>
          <w:sz w:val="20"/>
        </w:rPr>
        <w:footnoteRef/>
      </w:r>
      <w:hyperlink r:id="rId7" w:anchor="home" w:history="1">
        <w:r w:rsidRPr="00932A1C">
          <w:rPr>
            <w:rStyle w:val="Hyperlink"/>
            <w:color w:val="auto"/>
            <w:sz w:val="20"/>
          </w:rPr>
          <w:t>https://environmentalmigration.iom.int/#home</w:t>
        </w:r>
      </w:hyperlink>
      <w:r w:rsidRPr="00932A1C">
        <w:rPr>
          <w:sz w:val="20"/>
        </w:rPr>
        <w:t xml:space="preserve">; </w:t>
      </w:r>
      <w:r w:rsidRPr="00A86115">
        <w:rPr>
          <w:sz w:val="20"/>
        </w:rPr>
        <w:t>https://environmentalmigration.iom.int/planned-relocations-mekong-delta-vietnam-successful-model-climate-change-adaptation-cautionary-tale</w:t>
      </w:r>
    </w:p>
  </w:footnote>
  <w:footnote w:id="59">
    <w:p w:rsidR="009D3B38" w:rsidRPr="00A86115" w:rsidRDefault="009D3B38" w:rsidP="00A32B61">
      <w:pPr>
        <w:pStyle w:val="FootnoteText"/>
        <w:jc w:val="both"/>
        <w:rPr>
          <w:sz w:val="20"/>
        </w:rPr>
      </w:pPr>
      <w:r w:rsidRPr="00A86115">
        <w:rPr>
          <w:rStyle w:val="FootnoteReference"/>
          <w:sz w:val="20"/>
        </w:rPr>
        <w:footnoteRef/>
      </w:r>
      <w:r w:rsidRPr="00A86115">
        <w:rPr>
          <w:sz w:val="20"/>
        </w:rPr>
        <w:t xml:space="preserve"> https://www3.epa.gov/enviro/myenviro/</w:t>
      </w:r>
    </w:p>
  </w:footnote>
  <w:footnote w:id="60">
    <w:p w:rsidR="009D3B38" w:rsidRPr="00A86115" w:rsidRDefault="009D3B38" w:rsidP="00A32B61">
      <w:pPr>
        <w:pStyle w:val="FootnoteText"/>
        <w:jc w:val="both"/>
        <w:rPr>
          <w:sz w:val="20"/>
        </w:rPr>
      </w:pPr>
      <w:r w:rsidRPr="00A86115">
        <w:rPr>
          <w:rStyle w:val="FootnoteReference"/>
          <w:sz w:val="20"/>
        </w:rPr>
        <w:footnoteRef/>
      </w:r>
      <w:r w:rsidRPr="00A86115">
        <w:rPr>
          <w:sz w:val="20"/>
        </w:rPr>
        <w:t xml:space="preserve"> http://americancarbonregistry.org/carbon-accounting/standards-methodologies/restoration-of-degraded-deltaic-wetlands-of-the-mississippi-delta</w:t>
      </w:r>
    </w:p>
  </w:footnote>
  <w:footnote w:id="61">
    <w:p w:rsidR="009D3B38" w:rsidRPr="00A86115" w:rsidRDefault="009D3B38" w:rsidP="00A32B61">
      <w:pPr>
        <w:pStyle w:val="FootnoteText"/>
        <w:jc w:val="both"/>
        <w:rPr>
          <w:sz w:val="20"/>
        </w:rPr>
      </w:pPr>
      <w:r w:rsidRPr="00A86115">
        <w:rPr>
          <w:rStyle w:val="FootnoteReference"/>
          <w:sz w:val="20"/>
        </w:rPr>
        <w:footnoteRef/>
      </w:r>
      <w:r w:rsidRPr="00A86115">
        <w:rPr>
          <w:sz w:val="20"/>
        </w:rPr>
        <w:t xml:space="preserve"> http://www.wri.org/our-work/project/earthtrends-environmental-information</w:t>
      </w:r>
    </w:p>
  </w:footnote>
  <w:footnote w:id="62">
    <w:p w:rsidR="009D3B38" w:rsidRPr="00A86115" w:rsidRDefault="009D3B38" w:rsidP="00A32B61">
      <w:pPr>
        <w:pStyle w:val="FootnoteText"/>
        <w:jc w:val="both"/>
        <w:rPr>
          <w:sz w:val="20"/>
        </w:rPr>
      </w:pPr>
      <w:r w:rsidRPr="00A86115">
        <w:rPr>
          <w:rStyle w:val="FootnoteReference"/>
          <w:sz w:val="20"/>
        </w:rPr>
        <w:footnoteRef/>
      </w:r>
      <w:r w:rsidRPr="00A86115">
        <w:rPr>
          <w:sz w:val="20"/>
        </w:rPr>
        <w:t>http://www.flooddefences.org/hamburg.html</w:t>
      </w:r>
    </w:p>
  </w:footnote>
  <w:footnote w:id="63">
    <w:p w:rsidR="009D3B38" w:rsidRPr="00A86115" w:rsidRDefault="009D3B38" w:rsidP="00A32B61">
      <w:pPr>
        <w:pStyle w:val="FootnoteText"/>
        <w:jc w:val="both"/>
        <w:rPr>
          <w:sz w:val="20"/>
        </w:rPr>
      </w:pPr>
      <w:r w:rsidRPr="00A86115">
        <w:rPr>
          <w:rStyle w:val="FootnoteReference"/>
          <w:sz w:val="20"/>
        </w:rPr>
        <w:footnoteRef/>
      </w:r>
      <w:r w:rsidRPr="00A86115">
        <w:rPr>
          <w:sz w:val="20"/>
        </w:rPr>
        <w:t xml:space="preserve"> http://portalu.saarland.de</w:t>
      </w:r>
    </w:p>
  </w:footnote>
  <w:footnote w:id="64">
    <w:p w:rsidR="009D3B38" w:rsidRPr="00A86115" w:rsidRDefault="009D3B38" w:rsidP="00A32B61">
      <w:pPr>
        <w:pStyle w:val="FootnoteText"/>
        <w:jc w:val="both"/>
        <w:rPr>
          <w:sz w:val="20"/>
        </w:rPr>
      </w:pPr>
      <w:r w:rsidRPr="00A86115">
        <w:rPr>
          <w:rStyle w:val="FootnoteReference"/>
          <w:sz w:val="20"/>
        </w:rPr>
        <w:footnoteRef/>
      </w:r>
      <w:r w:rsidRPr="00A86115">
        <w:rPr>
          <w:sz w:val="20"/>
        </w:rPr>
        <w:t>https://www.gov.uk/government/collections/flood-and-coastal-erosion-risk-management-authorities</w:t>
      </w:r>
    </w:p>
  </w:footnote>
  <w:footnote w:id="65">
    <w:p w:rsidR="009D3B38" w:rsidRPr="00A86115" w:rsidRDefault="009D3B38" w:rsidP="00A32B61">
      <w:pPr>
        <w:pStyle w:val="FootnoteText"/>
        <w:jc w:val="both"/>
        <w:rPr>
          <w:sz w:val="20"/>
        </w:rPr>
      </w:pPr>
      <w:r w:rsidRPr="00A86115">
        <w:rPr>
          <w:rStyle w:val="FootnoteReference"/>
          <w:sz w:val="20"/>
        </w:rPr>
        <w:footnoteRef/>
      </w:r>
      <w:r w:rsidRPr="00A86115">
        <w:rPr>
          <w:sz w:val="20"/>
        </w:rPr>
        <w:t xml:space="preserve"> At: https://deltaprogramma2016.deltacommissaris.nl/viewer/paragraph/1/delta-programme-/chapter/hoofdstuk-/paragraph/knowledge-market-and-innovation#</w:t>
      </w:r>
    </w:p>
  </w:footnote>
  <w:footnote w:id="66">
    <w:p w:rsidR="009D3B38" w:rsidRPr="00A86115" w:rsidRDefault="009D3B38" w:rsidP="00A86115">
      <w:pPr>
        <w:pStyle w:val="FootnoteText"/>
        <w:jc w:val="both"/>
        <w:rPr>
          <w:sz w:val="20"/>
          <w:szCs w:val="20"/>
        </w:rPr>
      </w:pPr>
      <w:r w:rsidRPr="00A86115">
        <w:rPr>
          <w:rStyle w:val="FootnoteReference"/>
          <w:sz w:val="20"/>
          <w:szCs w:val="20"/>
        </w:rPr>
        <w:footnoteRef/>
      </w:r>
      <w:r w:rsidRPr="00A86115">
        <w:rPr>
          <w:sz w:val="20"/>
          <w:szCs w:val="20"/>
        </w:rPr>
        <w:t>Goennert, G. Coastal Protection in Hamburg.Free and Hanseatic City of Hamburg. Agency of Roads, Bridges, and Waters; Speech delivered by the Mayor of Hamburg to the Climate Change Adaptation Conference, 18 March 2013; Goltermann, D. Ujeyl, G. Pasche E. 2008. Making Coastal Cities Flood Resilient in the Era of Climate Change. 4</w:t>
      </w:r>
      <w:r w:rsidRPr="00A86115">
        <w:rPr>
          <w:sz w:val="20"/>
          <w:szCs w:val="20"/>
          <w:vertAlign w:val="superscript"/>
        </w:rPr>
        <w:t>th</w:t>
      </w:r>
      <w:r w:rsidRPr="00A86115">
        <w:rPr>
          <w:sz w:val="20"/>
          <w:szCs w:val="20"/>
        </w:rPr>
        <w:t xml:space="preserve"> International Symposium on Flood Defence: Managing Flood Risk, Reliability and Vulnerability. Toronto, Ontario, Canada, May 6-8.</w:t>
      </w:r>
    </w:p>
  </w:footnote>
  <w:footnote w:id="67">
    <w:p w:rsidR="009D3B38" w:rsidRPr="00A86115" w:rsidRDefault="009D3B38" w:rsidP="00A86115">
      <w:pPr>
        <w:pStyle w:val="FootnoteText"/>
        <w:jc w:val="both"/>
        <w:rPr>
          <w:sz w:val="20"/>
          <w:szCs w:val="20"/>
        </w:rPr>
      </w:pPr>
      <w:r w:rsidRPr="00A86115">
        <w:rPr>
          <w:rStyle w:val="FootnoteReference"/>
          <w:sz w:val="20"/>
          <w:szCs w:val="20"/>
        </w:rPr>
        <w:footnoteRef/>
      </w:r>
      <w:r w:rsidRPr="00A86115">
        <w:rPr>
          <w:sz w:val="20"/>
          <w:szCs w:val="20"/>
        </w:rPr>
        <w:t xml:space="preserve"> At: http://ec.europa.eu/regional_policy/sources/docoffic/working/regions2020/pdf/regions2020_climat.pdf EU;  Germany_climate_change_en.pdf; </w:t>
      </w:r>
    </w:p>
  </w:footnote>
  <w:footnote w:id="68">
    <w:p w:rsidR="009D3B38" w:rsidRPr="00A86115" w:rsidRDefault="009D3B38" w:rsidP="00A86115">
      <w:pPr>
        <w:pStyle w:val="FootnoteText"/>
        <w:jc w:val="both"/>
        <w:rPr>
          <w:sz w:val="20"/>
          <w:szCs w:val="20"/>
        </w:rPr>
      </w:pPr>
      <w:r w:rsidRPr="00A86115">
        <w:rPr>
          <w:rStyle w:val="FootnoteReference"/>
          <w:sz w:val="20"/>
          <w:szCs w:val="20"/>
        </w:rPr>
        <w:footnoteRef/>
      </w:r>
      <w:r w:rsidRPr="00A86115">
        <w:rPr>
          <w:sz w:val="20"/>
          <w:szCs w:val="20"/>
        </w:rPr>
        <w:t>House of Commons Library. 2014. Standard Note SN/SC/5755. Oliver Bennett, Sarah Hartwell-Naguib. 19 November. Section Science and Environment</w:t>
      </w:r>
    </w:p>
  </w:footnote>
  <w:footnote w:id="69">
    <w:p w:rsidR="009D3B38" w:rsidRPr="007B454E" w:rsidRDefault="009D3B38" w:rsidP="006912EC">
      <w:pPr>
        <w:pStyle w:val="FootnoteText"/>
      </w:pPr>
      <w:r w:rsidRPr="007B454E">
        <w:rPr>
          <w:rStyle w:val="FootnoteReference"/>
        </w:rPr>
        <w:footnoteRef/>
      </w:r>
      <w:r w:rsidRPr="00AA7454">
        <w:rPr>
          <w:sz w:val="20"/>
        </w:rPr>
        <w:t xml:space="preserve">Data on issues related to fisheries, navigation, water supply including water quality and sanitation, industrial water use, sources of pollution, etc. may also be targeted. </w:t>
      </w:r>
    </w:p>
    <w:p w:rsidR="009D3B38" w:rsidRDefault="009D3B38" w:rsidP="006912EC">
      <w:pPr>
        <w:pStyle w:val="FootnoteText"/>
      </w:pPr>
    </w:p>
  </w:footnote>
  <w:footnote w:id="70">
    <w:p w:rsidR="009D3B38" w:rsidRPr="00D25FAB" w:rsidRDefault="009D3B38">
      <w:pPr>
        <w:pStyle w:val="FootnoteText"/>
        <w:rPr>
          <w:sz w:val="20"/>
        </w:rPr>
      </w:pPr>
      <w:r>
        <w:rPr>
          <w:rStyle w:val="FootnoteReference"/>
        </w:rPr>
        <w:footnoteRef/>
      </w:r>
      <w:r w:rsidRPr="00D25FAB">
        <w:rPr>
          <w:sz w:val="20"/>
        </w:rPr>
        <w:t xml:space="preserve">Availability of satellite images will be an important issue in Delta Planning. Good quality satellite images and past data are often expensive. The knowledge HUB may be a depository of such images and may be distributed among intended users on payment, if necessary.  </w:t>
      </w:r>
    </w:p>
  </w:footnote>
  <w:footnote w:id="71">
    <w:p w:rsidR="009D3B38" w:rsidRPr="0037520A" w:rsidRDefault="009D3B38" w:rsidP="00BE1502">
      <w:pPr>
        <w:jc w:val="both"/>
        <w:rPr>
          <w:rFonts w:cstheme="minorHAnsi"/>
          <w:sz w:val="20"/>
          <w:szCs w:val="20"/>
        </w:rPr>
      </w:pPr>
      <w:r w:rsidRPr="0037520A">
        <w:rPr>
          <w:rStyle w:val="FootnoteReference"/>
          <w:rFonts w:cstheme="minorHAnsi"/>
          <w:color w:val="002060"/>
          <w:sz w:val="20"/>
          <w:szCs w:val="20"/>
        </w:rPr>
        <w:footnoteRef/>
      </w:r>
      <w:r w:rsidRPr="0037520A">
        <w:rPr>
          <w:rFonts w:cstheme="minorHAnsi"/>
          <w:color w:val="002060"/>
          <w:sz w:val="20"/>
          <w:szCs w:val="20"/>
        </w:rPr>
        <w:t xml:space="preserve"> </w:t>
      </w:r>
      <w:r w:rsidRPr="0037520A">
        <w:rPr>
          <w:rFonts w:cstheme="minorHAnsi"/>
          <w:sz w:val="20"/>
          <w:szCs w:val="20"/>
        </w:rPr>
        <w:t>Ahmed A U (2006), “Bangladesh Climate Change Impacts and Vulnerability A Synthesis”,</w:t>
      </w:r>
      <w:r w:rsidRPr="00EC48B7">
        <w:rPr>
          <w:sz w:val="20"/>
          <w:szCs w:val="20"/>
        </w:rPr>
        <w:t xml:space="preserve"> </w:t>
      </w:r>
      <w:r w:rsidRPr="0037520A">
        <w:rPr>
          <w:rFonts w:cstheme="minorHAnsi"/>
          <w:sz w:val="20"/>
          <w:szCs w:val="20"/>
        </w:rPr>
        <w:t>Climate Change Cell, Department of Environment, Comprehensive Disaster Management Programme, Government of the People’s Re</w:t>
      </w:r>
      <w:r>
        <w:rPr>
          <w:rFonts w:cstheme="minorHAnsi"/>
          <w:sz w:val="20"/>
          <w:szCs w:val="20"/>
        </w:rPr>
        <w:t>public</w:t>
      </w:r>
      <w:r w:rsidRPr="0037520A">
        <w:rPr>
          <w:rFonts w:cstheme="minorHAnsi"/>
          <w:sz w:val="20"/>
          <w:szCs w:val="20"/>
        </w:rPr>
        <w:t xml:space="preserve"> of Bangladesh.</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19" o:spid="_x0000_s7170" type="#_x0000_t136" style="position:absolute;margin-left:0;margin-top:0;width:602.4pt;height:57.35pt;rotation:315;z-index:-251654144;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1" o:spid="_x0000_s7182" type="#_x0000_t136" style="position:absolute;margin-left:0;margin-top:0;width:602.4pt;height:57.35pt;rotation:315;z-index:-251629568;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2" o:spid="_x0000_s7183" type="#_x0000_t136" style="position:absolute;margin-left:0;margin-top:0;width:602.4pt;height:57.35pt;rotation:315;z-index:-251627520;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0" o:spid="_x0000_s7181" type="#_x0000_t136" style="position:absolute;margin-left:0;margin-top:0;width:602.4pt;height:57.35pt;rotation:315;z-index:-251631616;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4" o:spid="_x0000_s7185" type="#_x0000_t136" style="position:absolute;margin-left:0;margin-top:0;width:602.4pt;height:57.35pt;rotation:315;z-index:-251623424;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5" o:spid="_x0000_s7186" type="#_x0000_t136" style="position:absolute;margin-left:0;margin-top:0;width:602.4pt;height:57.35pt;rotation:315;z-index:-251621376;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3" o:spid="_x0000_s7184" type="#_x0000_t136" style="position:absolute;margin-left:0;margin-top:0;width:602.4pt;height:57.35pt;rotation:315;z-index:-251625472;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7" o:spid="_x0000_s7188" type="#_x0000_t136" style="position:absolute;margin-left:0;margin-top:0;width:602.4pt;height:57.35pt;rotation:315;z-index:-251617280;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8" o:spid="_x0000_s7189" type="#_x0000_t136" style="position:absolute;margin-left:0;margin-top:0;width:602.4pt;height:57.35pt;rotation:315;z-index:-251615232;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6" o:spid="_x0000_s7187" type="#_x0000_t136" style="position:absolute;margin-left:0;margin-top:0;width:602.4pt;height:57.35pt;rotation:315;z-index:-251619328;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0" o:spid="_x0000_s7191" type="#_x0000_t136" style="position:absolute;margin-left:0;margin-top:0;width:602.4pt;height:57.35pt;rotation:315;z-index:-251611136;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20" o:spid="_x0000_s7171" type="#_x0000_t136" style="position:absolute;margin-left:0;margin-top:0;width:602.4pt;height:57.35pt;rotation:315;z-index:-251652096;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1" o:spid="_x0000_s7192" type="#_x0000_t136" style="position:absolute;margin-left:0;margin-top:0;width:602.4pt;height:57.35pt;rotation:315;z-index:-251609088;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39" o:spid="_x0000_s7190" type="#_x0000_t136" style="position:absolute;margin-left:0;margin-top:0;width:602.4pt;height:57.35pt;rotation:315;z-index:-251613184;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3" o:spid="_x0000_s7194" type="#_x0000_t136" style="position:absolute;margin-left:0;margin-top:0;width:602.4pt;height:57.35pt;rotation:315;z-index:-251604992;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4" o:spid="_x0000_s7195" type="#_x0000_t136" style="position:absolute;margin-left:0;margin-top:0;width:602.4pt;height:57.35pt;rotation:315;z-index:-251602944;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2" o:spid="_x0000_s7193" type="#_x0000_t136" style="position:absolute;margin-left:0;margin-top:0;width:602.4pt;height:57.35pt;rotation:315;z-index:-251607040;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6" o:spid="_x0000_s7197" type="#_x0000_t136" style="position:absolute;margin-left:0;margin-top:0;width:602.4pt;height:57.35pt;rotation:315;z-index:-251598848;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7" o:spid="_x0000_s7198" type="#_x0000_t136" style="position:absolute;margin-left:0;margin-top:0;width:602.4pt;height:57.35pt;rotation:315;z-index:-251596800;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5" o:spid="_x0000_s7196" type="#_x0000_t136" style="position:absolute;margin-left:0;margin-top:0;width:602.4pt;height:57.35pt;rotation:315;z-index:-251600896;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9" o:spid="_x0000_s7200" type="#_x0000_t136" style="position:absolute;margin-left:0;margin-top:0;width:602.4pt;height:57.35pt;rotation:315;z-index:-251592704;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Pr="00C41D1C" w:rsidRDefault="001A12B2" w:rsidP="00005EAC">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50" o:spid="_x0000_s7201" type="#_x0000_t136" style="position:absolute;margin-left:0;margin-top:0;width:602.4pt;height:57.35pt;rotation:315;z-index:-251590656;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18" o:spid="_x0000_s7169" type="#_x0000_t136" style="position:absolute;margin-left:0;margin-top:0;width:602.4pt;height:57.35pt;rotation:315;z-index:-251656192;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48" o:spid="_x0000_s7199" type="#_x0000_t136" style="position:absolute;margin-left:0;margin-top:0;width:602.4pt;height:57.35pt;rotation:315;z-index:-251594752;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52" o:spid="_x0000_s7203" type="#_x0000_t136" style="position:absolute;margin-left:0;margin-top:0;width:602.4pt;height:57.35pt;rotation:315;z-index:-251586560;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53" o:spid="_x0000_s7204" type="#_x0000_t136" style="position:absolute;margin-left:0;margin-top:0;width:602.4pt;height:57.35pt;rotation:315;z-index:-251584512;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51" o:spid="_x0000_s7202" type="#_x0000_t136" style="position:absolute;margin-left:0;margin-top:0;width:602.4pt;height:57.35pt;rotation:315;z-index:-251588608;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55" o:spid="_x0000_s7206" type="#_x0000_t136" style="position:absolute;margin-left:0;margin-top:0;width:602.4pt;height:57.35pt;rotation:315;z-index:-251580416;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56" o:spid="_x0000_s7207" type="#_x0000_t136" style="position:absolute;margin-left:0;margin-top:0;width:602.4pt;height:57.35pt;rotation:315;z-index:-251578368;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54" o:spid="_x0000_s7205" type="#_x0000_t136" style="position:absolute;margin-left:0;margin-top:0;width:602.4pt;height:57.35pt;rotation:315;z-index:-251582464;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22" o:spid="_x0000_s7173" type="#_x0000_t136" style="position:absolute;margin-left:0;margin-top:0;width:602.4pt;height:57.35pt;rotation:315;z-index:-251648000;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23" o:spid="_x0000_s7174" type="#_x0000_t136" style="position:absolute;margin-left:0;margin-top:0;width:602.4pt;height:57.35pt;rotation:315;z-index:-251645952;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21" o:spid="_x0000_s7172" type="#_x0000_t136" style="position:absolute;margin-left:0;margin-top:0;width:602.4pt;height:57.35pt;rotation:315;z-index:-251650048;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25" o:spid="_x0000_s7176" type="#_x0000_t136" style="position:absolute;margin-left:0;margin-top:0;width:602.4pt;height:57.35pt;rotation:315;z-index:-251641856;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26" o:spid="_x0000_s7177" type="#_x0000_t136" style="position:absolute;margin-left:0;margin-top:0;width:602.4pt;height:57.35pt;rotation:315;z-index:-251639808;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3B38" w:rsidRDefault="001A12B2">
    <w:pPr>
      <w:pStyle w:val="Header"/>
    </w:pPr>
    <w:r w:rsidRPr="001A12B2">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248724" o:spid="_x0000_s7175" type="#_x0000_t136" style="position:absolute;margin-left:0;margin-top:0;width:602.4pt;height:57.35pt;rotation:315;z-index:-251643904;mso-position-horizontal:center;mso-position-horizontal-relative:margin;mso-position-vertical:center;mso-position-vertical-relative:margin" o:allowincell="f" fillcolor="#272727 [2749]" stroked="f">
          <v:fill opacity=".5"/>
          <v:textpath style="font-family:&quot;Times New Roman&quot;;font-size:1pt" string="Draft &amp; Confidential"/>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D22A3C6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B37A02"/>
    <w:multiLevelType w:val="hybridMultilevel"/>
    <w:tmpl w:val="07DCE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007D1D"/>
    <w:multiLevelType w:val="hybridMultilevel"/>
    <w:tmpl w:val="1D2C9132"/>
    <w:lvl w:ilvl="0" w:tplc="FFFFFFFF">
      <w:start w:val="1"/>
      <w:numFmt w:val="decimal"/>
      <w:pStyle w:val="NumberedList"/>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018160AB"/>
    <w:multiLevelType w:val="hybridMultilevel"/>
    <w:tmpl w:val="8AA8C6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913903"/>
    <w:multiLevelType w:val="hybridMultilevel"/>
    <w:tmpl w:val="ECCE21E0"/>
    <w:lvl w:ilvl="0" w:tplc="FFFFFFFF">
      <w:start w:val="1"/>
      <w:numFmt w:val="lowerLetter"/>
      <w:pStyle w:val="Bulletedlistintable"/>
      <w:lvlText w:val="%1)"/>
      <w:lvlJc w:val="lef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5">
    <w:nsid w:val="01A70ACC"/>
    <w:multiLevelType w:val="hybridMultilevel"/>
    <w:tmpl w:val="B654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1C21D3A"/>
    <w:multiLevelType w:val="hybridMultilevel"/>
    <w:tmpl w:val="8DE40A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02703D02"/>
    <w:multiLevelType w:val="hybridMultilevel"/>
    <w:tmpl w:val="B0FE8C62"/>
    <w:lvl w:ilvl="0" w:tplc="FF86733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04EC0CEB"/>
    <w:multiLevelType w:val="hybridMultilevel"/>
    <w:tmpl w:val="76FCF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5513514"/>
    <w:multiLevelType w:val="hybridMultilevel"/>
    <w:tmpl w:val="F09AD0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6A76222"/>
    <w:multiLevelType w:val="hybridMultilevel"/>
    <w:tmpl w:val="542EBB3C"/>
    <w:lvl w:ilvl="0" w:tplc="73A893A0">
      <w:start w:val="1"/>
      <w:numFmt w:val="bullet"/>
      <w:lvlText w:val=""/>
      <w:lvlJc w:val="left"/>
      <w:pPr>
        <w:ind w:left="720" w:hanging="360"/>
      </w:pPr>
      <w:rPr>
        <w:rFonts w:ascii="Symbol" w:hAnsi="Symbol" w:hint="default"/>
        <w:color w:val="76923C" w:themeColor="accent3"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6A774AC"/>
    <w:multiLevelType w:val="multilevel"/>
    <w:tmpl w:val="E66096D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6.%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06E527CD"/>
    <w:multiLevelType w:val="hybridMultilevel"/>
    <w:tmpl w:val="536E11D2"/>
    <w:lvl w:ilvl="0" w:tplc="7A1E5AD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70A3F3D"/>
    <w:multiLevelType w:val="hybridMultilevel"/>
    <w:tmpl w:val="7FD2F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711582F"/>
    <w:multiLevelType w:val="hybridMultilevel"/>
    <w:tmpl w:val="74925F8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nsid w:val="0725533F"/>
    <w:multiLevelType w:val="hybridMultilevel"/>
    <w:tmpl w:val="14FEAF00"/>
    <w:lvl w:ilvl="0" w:tplc="FE3252B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76B53E0"/>
    <w:multiLevelType w:val="hybridMultilevel"/>
    <w:tmpl w:val="1882ADA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080853FD"/>
    <w:multiLevelType w:val="hybridMultilevel"/>
    <w:tmpl w:val="A2288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8D91697"/>
    <w:multiLevelType w:val="hybridMultilevel"/>
    <w:tmpl w:val="A2809050"/>
    <w:lvl w:ilvl="0" w:tplc="08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08EE32D7"/>
    <w:multiLevelType w:val="hybridMultilevel"/>
    <w:tmpl w:val="41B6790A"/>
    <w:lvl w:ilvl="0" w:tplc="0F5470F6">
      <w:start w:val="1"/>
      <w:numFmt w:val="bullet"/>
      <w:lvlText w:val="-"/>
      <w:lvlJc w:val="left"/>
      <w:pPr>
        <w:ind w:left="720" w:hanging="360"/>
      </w:pPr>
      <w:rPr>
        <w:rFonts w:ascii="Segoe UI" w:eastAsia="Calibr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A410EF8"/>
    <w:multiLevelType w:val="hybridMultilevel"/>
    <w:tmpl w:val="1FE28D3E"/>
    <w:lvl w:ilvl="0" w:tplc="58ECAB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0A6905C8"/>
    <w:multiLevelType w:val="hybridMultilevel"/>
    <w:tmpl w:val="FF260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B4B6FF2"/>
    <w:multiLevelType w:val="multilevel"/>
    <w:tmpl w:val="893E6FD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0BDF0C2A"/>
    <w:multiLevelType w:val="hybridMultilevel"/>
    <w:tmpl w:val="B290B538"/>
    <w:lvl w:ilvl="0" w:tplc="0409000D">
      <w:start w:val="1"/>
      <w:numFmt w:val="bullet"/>
      <w:lvlText w:val=""/>
      <w:lvlJc w:val="left"/>
      <w:pPr>
        <w:ind w:left="775" w:hanging="360"/>
      </w:pPr>
      <w:rPr>
        <w:rFonts w:ascii="Wingdings" w:hAnsi="Wingdings" w:hint="default"/>
      </w:rPr>
    </w:lvl>
    <w:lvl w:ilvl="1" w:tplc="04090003" w:tentative="1">
      <w:start w:val="1"/>
      <w:numFmt w:val="bullet"/>
      <w:lvlText w:val="o"/>
      <w:lvlJc w:val="left"/>
      <w:pPr>
        <w:ind w:left="1495" w:hanging="360"/>
      </w:pPr>
      <w:rPr>
        <w:rFonts w:ascii="Courier New" w:hAnsi="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24">
    <w:nsid w:val="0C850CF4"/>
    <w:multiLevelType w:val="hybridMultilevel"/>
    <w:tmpl w:val="4288AC68"/>
    <w:lvl w:ilvl="0" w:tplc="0F5470F6">
      <w:start w:val="1"/>
      <w:numFmt w:val="bullet"/>
      <w:lvlText w:val="-"/>
      <w:lvlJc w:val="left"/>
      <w:pPr>
        <w:ind w:left="720" w:hanging="360"/>
      </w:pPr>
      <w:rPr>
        <w:rFonts w:ascii="Segoe UI" w:eastAsia="Calibr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CB53085"/>
    <w:multiLevelType w:val="hybridMultilevel"/>
    <w:tmpl w:val="C6568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CDC0E1F"/>
    <w:multiLevelType w:val="multilevel"/>
    <w:tmpl w:val="FB7A2A9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5.%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0E016315"/>
    <w:multiLevelType w:val="hybridMultilevel"/>
    <w:tmpl w:val="B00AD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E3F399F"/>
    <w:multiLevelType w:val="hybridMultilevel"/>
    <w:tmpl w:val="A5CCF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EDF3BF8"/>
    <w:multiLevelType w:val="hybridMultilevel"/>
    <w:tmpl w:val="8B442298"/>
    <w:lvl w:ilvl="0" w:tplc="485EB4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0EF32CE7"/>
    <w:multiLevelType w:val="multilevel"/>
    <w:tmpl w:val="99A4C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EF8628D"/>
    <w:multiLevelType w:val="hybridMultilevel"/>
    <w:tmpl w:val="E9E0D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F1B3217"/>
    <w:multiLevelType w:val="multilevel"/>
    <w:tmpl w:val="994439D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10E72969"/>
    <w:multiLevelType w:val="multilevel"/>
    <w:tmpl w:val="0409001D"/>
    <w:styleLink w:val="Style1"/>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nsid w:val="10F12DD5"/>
    <w:multiLevelType w:val="hybridMultilevel"/>
    <w:tmpl w:val="ECFC0094"/>
    <w:lvl w:ilvl="0" w:tplc="0FE8B0AE">
      <w:start w:val="1"/>
      <w:numFmt w:val="decimal"/>
      <w:lvlText w:val="%1."/>
      <w:lvlJc w:val="left"/>
      <w:pPr>
        <w:ind w:left="450" w:hanging="360"/>
      </w:pPr>
      <w:rPr>
        <w:rFonts w:ascii="Segoe UI" w:eastAsia="Calibri" w:hAnsi="Segoe UI" w:cs="Arial"/>
      </w:rPr>
    </w:lvl>
    <w:lvl w:ilvl="1" w:tplc="08090005">
      <w:start w:val="1"/>
      <w:numFmt w:val="bullet"/>
      <w:lvlText w:val=""/>
      <w:lvlJc w:val="left"/>
      <w:pPr>
        <w:ind w:left="1080" w:hanging="360"/>
      </w:pPr>
      <w:rPr>
        <w:rFonts w:ascii="Wingdings" w:hAnsi="Wingdings"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nsid w:val="111E4CF5"/>
    <w:multiLevelType w:val="multilevel"/>
    <w:tmpl w:val="B0DA30D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0.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nsid w:val="11261ABF"/>
    <w:multiLevelType w:val="hybridMultilevel"/>
    <w:tmpl w:val="9F2039D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1BB69CD"/>
    <w:multiLevelType w:val="hybridMultilevel"/>
    <w:tmpl w:val="7ADA5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1DD77B4"/>
    <w:multiLevelType w:val="hybridMultilevel"/>
    <w:tmpl w:val="26480B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11E815F6"/>
    <w:multiLevelType w:val="hybridMultilevel"/>
    <w:tmpl w:val="8CECD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12197C43"/>
    <w:multiLevelType w:val="multilevel"/>
    <w:tmpl w:val="3C9CAEF2"/>
    <w:numStyleLink w:val="Opsomming"/>
  </w:abstractNum>
  <w:abstractNum w:abstractNumId="41">
    <w:nsid w:val="128E0FE2"/>
    <w:multiLevelType w:val="hybridMultilevel"/>
    <w:tmpl w:val="06B00A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2AB5E28"/>
    <w:multiLevelType w:val="multilevel"/>
    <w:tmpl w:val="B56C92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3.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nsid w:val="12DA768D"/>
    <w:multiLevelType w:val="hybridMultilevel"/>
    <w:tmpl w:val="92F67D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3AD1889"/>
    <w:multiLevelType w:val="multilevel"/>
    <w:tmpl w:val="41585EA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7.%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13D03789"/>
    <w:multiLevelType w:val="multilevel"/>
    <w:tmpl w:val="31B4113A"/>
    <w:lvl w:ilvl="0">
      <w:start w:val="8"/>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1.6.%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6">
    <w:nsid w:val="144018EB"/>
    <w:multiLevelType w:val="multilevel"/>
    <w:tmpl w:val="9F1679C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15202F5B"/>
    <w:multiLevelType w:val="hybridMultilevel"/>
    <w:tmpl w:val="F4527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15657368"/>
    <w:multiLevelType w:val="multilevel"/>
    <w:tmpl w:val="4D425F2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1.8.%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156A26E2"/>
    <w:multiLevelType w:val="multilevel"/>
    <w:tmpl w:val="B5A4F89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4.9.%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15AC20AB"/>
    <w:multiLevelType w:val="multilevel"/>
    <w:tmpl w:val="2A266E9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nsid w:val="161E316B"/>
    <w:multiLevelType w:val="hybridMultilevel"/>
    <w:tmpl w:val="35E4ECE4"/>
    <w:lvl w:ilvl="0" w:tplc="04090001">
      <w:start w:val="1"/>
      <w:numFmt w:val="bullet"/>
      <w:lvlText w:val=""/>
      <w:lvlJc w:val="left"/>
      <w:pPr>
        <w:ind w:left="1498" w:hanging="360"/>
      </w:pPr>
      <w:rPr>
        <w:rFonts w:ascii="Symbol" w:hAnsi="Symbol" w:hint="default"/>
      </w:rPr>
    </w:lvl>
    <w:lvl w:ilvl="1" w:tplc="04090003" w:tentative="1">
      <w:start w:val="1"/>
      <w:numFmt w:val="bullet"/>
      <w:lvlText w:val="o"/>
      <w:lvlJc w:val="left"/>
      <w:pPr>
        <w:ind w:left="2218" w:hanging="360"/>
      </w:pPr>
      <w:rPr>
        <w:rFonts w:ascii="Courier New" w:hAnsi="Courier New" w:cs="Courier New" w:hint="default"/>
      </w:rPr>
    </w:lvl>
    <w:lvl w:ilvl="2" w:tplc="04090005" w:tentative="1">
      <w:start w:val="1"/>
      <w:numFmt w:val="bullet"/>
      <w:lvlText w:val=""/>
      <w:lvlJc w:val="left"/>
      <w:pPr>
        <w:ind w:left="2938" w:hanging="360"/>
      </w:pPr>
      <w:rPr>
        <w:rFonts w:ascii="Wingdings" w:hAnsi="Wingdings" w:hint="default"/>
      </w:rPr>
    </w:lvl>
    <w:lvl w:ilvl="3" w:tplc="04090001" w:tentative="1">
      <w:start w:val="1"/>
      <w:numFmt w:val="bullet"/>
      <w:lvlText w:val=""/>
      <w:lvlJc w:val="left"/>
      <w:pPr>
        <w:ind w:left="3658" w:hanging="360"/>
      </w:pPr>
      <w:rPr>
        <w:rFonts w:ascii="Symbol" w:hAnsi="Symbol" w:hint="default"/>
      </w:rPr>
    </w:lvl>
    <w:lvl w:ilvl="4" w:tplc="04090003" w:tentative="1">
      <w:start w:val="1"/>
      <w:numFmt w:val="bullet"/>
      <w:lvlText w:val="o"/>
      <w:lvlJc w:val="left"/>
      <w:pPr>
        <w:ind w:left="4378" w:hanging="360"/>
      </w:pPr>
      <w:rPr>
        <w:rFonts w:ascii="Courier New" w:hAnsi="Courier New" w:cs="Courier New" w:hint="default"/>
      </w:rPr>
    </w:lvl>
    <w:lvl w:ilvl="5" w:tplc="04090005" w:tentative="1">
      <w:start w:val="1"/>
      <w:numFmt w:val="bullet"/>
      <w:lvlText w:val=""/>
      <w:lvlJc w:val="left"/>
      <w:pPr>
        <w:ind w:left="5098" w:hanging="360"/>
      </w:pPr>
      <w:rPr>
        <w:rFonts w:ascii="Wingdings" w:hAnsi="Wingdings" w:hint="default"/>
      </w:rPr>
    </w:lvl>
    <w:lvl w:ilvl="6" w:tplc="04090001" w:tentative="1">
      <w:start w:val="1"/>
      <w:numFmt w:val="bullet"/>
      <w:lvlText w:val=""/>
      <w:lvlJc w:val="left"/>
      <w:pPr>
        <w:ind w:left="5818" w:hanging="360"/>
      </w:pPr>
      <w:rPr>
        <w:rFonts w:ascii="Symbol" w:hAnsi="Symbol" w:hint="default"/>
      </w:rPr>
    </w:lvl>
    <w:lvl w:ilvl="7" w:tplc="04090003" w:tentative="1">
      <w:start w:val="1"/>
      <w:numFmt w:val="bullet"/>
      <w:lvlText w:val="o"/>
      <w:lvlJc w:val="left"/>
      <w:pPr>
        <w:ind w:left="6538" w:hanging="360"/>
      </w:pPr>
      <w:rPr>
        <w:rFonts w:ascii="Courier New" w:hAnsi="Courier New" w:cs="Courier New" w:hint="default"/>
      </w:rPr>
    </w:lvl>
    <w:lvl w:ilvl="8" w:tplc="04090005" w:tentative="1">
      <w:start w:val="1"/>
      <w:numFmt w:val="bullet"/>
      <w:lvlText w:val=""/>
      <w:lvlJc w:val="left"/>
      <w:pPr>
        <w:ind w:left="7258" w:hanging="360"/>
      </w:pPr>
      <w:rPr>
        <w:rFonts w:ascii="Wingdings" w:hAnsi="Wingdings" w:hint="default"/>
      </w:rPr>
    </w:lvl>
  </w:abstractNum>
  <w:abstractNum w:abstractNumId="52">
    <w:nsid w:val="16933FC7"/>
    <w:multiLevelType w:val="hybridMultilevel"/>
    <w:tmpl w:val="D2AED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175A0CE5"/>
    <w:multiLevelType w:val="hybridMultilevel"/>
    <w:tmpl w:val="9CB0B7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177C1D55"/>
    <w:multiLevelType w:val="hybridMultilevel"/>
    <w:tmpl w:val="D99EFC2C"/>
    <w:lvl w:ilvl="0" w:tplc="0F5470F6">
      <w:start w:val="1"/>
      <w:numFmt w:val="bullet"/>
      <w:lvlText w:val="-"/>
      <w:lvlJc w:val="left"/>
      <w:pPr>
        <w:ind w:left="720" w:hanging="360"/>
      </w:pPr>
      <w:rPr>
        <w:rFonts w:ascii="Segoe UI" w:eastAsia="Calibr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188F69FA"/>
    <w:multiLevelType w:val="hybridMultilevel"/>
    <w:tmpl w:val="D10417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18B45DDA"/>
    <w:multiLevelType w:val="hybridMultilevel"/>
    <w:tmpl w:val="1D42B5B4"/>
    <w:lvl w:ilvl="0" w:tplc="58ECAB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195C13BC"/>
    <w:multiLevelType w:val="hybridMultilevel"/>
    <w:tmpl w:val="A63E3F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19946B46"/>
    <w:multiLevelType w:val="hybridMultilevel"/>
    <w:tmpl w:val="6174F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1A5576DB"/>
    <w:multiLevelType w:val="multilevel"/>
    <w:tmpl w:val="7406AE1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nsid w:val="1BCA5379"/>
    <w:multiLevelType w:val="hybridMultilevel"/>
    <w:tmpl w:val="40E4E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BF41E19"/>
    <w:multiLevelType w:val="multilevel"/>
    <w:tmpl w:val="CE505CD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1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nsid w:val="1CD95680"/>
    <w:multiLevelType w:val="hybridMultilevel"/>
    <w:tmpl w:val="B90A35B6"/>
    <w:lvl w:ilvl="0" w:tplc="495CA9EE">
      <w:start w:val="1"/>
      <w:numFmt w:val="upperLetter"/>
      <w:pStyle w:val="Heading2-ADB"/>
      <w:lvlText w:val="%1."/>
      <w:lvlJc w:val="left"/>
      <w:pPr>
        <w:tabs>
          <w:tab w:val="num" w:pos="720"/>
        </w:tabs>
        <w:ind w:left="720" w:hanging="720"/>
      </w:pPr>
      <w:rPr>
        <w:rFonts w:ascii="Tahoma" w:hAnsi="Tahoma" w:hint="default"/>
        <w:b/>
        <w:i w:val="0"/>
        <w:sz w:val="24"/>
      </w:rPr>
    </w:lvl>
    <w:lvl w:ilvl="1" w:tplc="04090019" w:tentative="1">
      <w:start w:val="1"/>
      <w:numFmt w:val="lowerLetter"/>
      <w:pStyle w:val="Heading2-ADB"/>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pStyle w:val="Heading2-ADB"/>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D1D0AFA"/>
    <w:multiLevelType w:val="multilevel"/>
    <w:tmpl w:val="8732112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3.5.%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1EA30F81"/>
    <w:multiLevelType w:val="hybridMultilevel"/>
    <w:tmpl w:val="06706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nsid w:val="1F011339"/>
    <w:multiLevelType w:val="hybridMultilevel"/>
    <w:tmpl w:val="ABA20B3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1FE82D71"/>
    <w:multiLevelType w:val="hybridMultilevel"/>
    <w:tmpl w:val="28F82472"/>
    <w:lvl w:ilvl="0" w:tplc="83EEB460">
      <w:start w:val="1"/>
      <w:numFmt w:val="bullet"/>
      <w:lvlText w:val="•"/>
      <w:lvlJc w:val="left"/>
      <w:pPr>
        <w:tabs>
          <w:tab w:val="num" w:pos="720"/>
        </w:tabs>
        <w:ind w:left="720" w:hanging="360"/>
      </w:pPr>
      <w:rPr>
        <w:rFonts w:ascii="Arial" w:hAnsi="Arial" w:hint="default"/>
      </w:rPr>
    </w:lvl>
    <w:lvl w:ilvl="1" w:tplc="66E4A538" w:tentative="1">
      <w:start w:val="1"/>
      <w:numFmt w:val="bullet"/>
      <w:lvlText w:val="•"/>
      <w:lvlJc w:val="left"/>
      <w:pPr>
        <w:tabs>
          <w:tab w:val="num" w:pos="1440"/>
        </w:tabs>
        <w:ind w:left="1440" w:hanging="360"/>
      </w:pPr>
      <w:rPr>
        <w:rFonts w:ascii="Arial" w:hAnsi="Arial" w:hint="default"/>
      </w:rPr>
    </w:lvl>
    <w:lvl w:ilvl="2" w:tplc="CA94429E" w:tentative="1">
      <w:start w:val="1"/>
      <w:numFmt w:val="bullet"/>
      <w:lvlText w:val="•"/>
      <w:lvlJc w:val="left"/>
      <w:pPr>
        <w:tabs>
          <w:tab w:val="num" w:pos="2160"/>
        </w:tabs>
        <w:ind w:left="2160" w:hanging="360"/>
      </w:pPr>
      <w:rPr>
        <w:rFonts w:ascii="Arial" w:hAnsi="Arial" w:hint="default"/>
      </w:rPr>
    </w:lvl>
    <w:lvl w:ilvl="3" w:tplc="06CE4BCC" w:tentative="1">
      <w:start w:val="1"/>
      <w:numFmt w:val="bullet"/>
      <w:lvlText w:val="•"/>
      <w:lvlJc w:val="left"/>
      <w:pPr>
        <w:tabs>
          <w:tab w:val="num" w:pos="2880"/>
        </w:tabs>
        <w:ind w:left="2880" w:hanging="360"/>
      </w:pPr>
      <w:rPr>
        <w:rFonts w:ascii="Arial" w:hAnsi="Arial" w:hint="default"/>
      </w:rPr>
    </w:lvl>
    <w:lvl w:ilvl="4" w:tplc="203E5230" w:tentative="1">
      <w:start w:val="1"/>
      <w:numFmt w:val="bullet"/>
      <w:lvlText w:val="•"/>
      <w:lvlJc w:val="left"/>
      <w:pPr>
        <w:tabs>
          <w:tab w:val="num" w:pos="3600"/>
        </w:tabs>
        <w:ind w:left="3600" w:hanging="360"/>
      </w:pPr>
      <w:rPr>
        <w:rFonts w:ascii="Arial" w:hAnsi="Arial" w:hint="default"/>
      </w:rPr>
    </w:lvl>
    <w:lvl w:ilvl="5" w:tplc="50E84920" w:tentative="1">
      <w:start w:val="1"/>
      <w:numFmt w:val="bullet"/>
      <w:lvlText w:val="•"/>
      <w:lvlJc w:val="left"/>
      <w:pPr>
        <w:tabs>
          <w:tab w:val="num" w:pos="4320"/>
        </w:tabs>
        <w:ind w:left="4320" w:hanging="360"/>
      </w:pPr>
      <w:rPr>
        <w:rFonts w:ascii="Arial" w:hAnsi="Arial" w:hint="default"/>
      </w:rPr>
    </w:lvl>
    <w:lvl w:ilvl="6" w:tplc="D9960498" w:tentative="1">
      <w:start w:val="1"/>
      <w:numFmt w:val="bullet"/>
      <w:lvlText w:val="•"/>
      <w:lvlJc w:val="left"/>
      <w:pPr>
        <w:tabs>
          <w:tab w:val="num" w:pos="5040"/>
        </w:tabs>
        <w:ind w:left="5040" w:hanging="360"/>
      </w:pPr>
      <w:rPr>
        <w:rFonts w:ascii="Arial" w:hAnsi="Arial" w:hint="default"/>
      </w:rPr>
    </w:lvl>
    <w:lvl w:ilvl="7" w:tplc="8C22926E" w:tentative="1">
      <w:start w:val="1"/>
      <w:numFmt w:val="bullet"/>
      <w:lvlText w:val="•"/>
      <w:lvlJc w:val="left"/>
      <w:pPr>
        <w:tabs>
          <w:tab w:val="num" w:pos="5760"/>
        </w:tabs>
        <w:ind w:left="5760" w:hanging="360"/>
      </w:pPr>
      <w:rPr>
        <w:rFonts w:ascii="Arial" w:hAnsi="Arial" w:hint="default"/>
      </w:rPr>
    </w:lvl>
    <w:lvl w:ilvl="8" w:tplc="EE865424" w:tentative="1">
      <w:start w:val="1"/>
      <w:numFmt w:val="bullet"/>
      <w:lvlText w:val="•"/>
      <w:lvlJc w:val="left"/>
      <w:pPr>
        <w:tabs>
          <w:tab w:val="num" w:pos="6480"/>
        </w:tabs>
        <w:ind w:left="6480" w:hanging="360"/>
      </w:pPr>
      <w:rPr>
        <w:rFonts w:ascii="Arial" w:hAnsi="Arial" w:hint="default"/>
      </w:rPr>
    </w:lvl>
  </w:abstractNum>
  <w:abstractNum w:abstractNumId="67">
    <w:nsid w:val="204C3794"/>
    <w:multiLevelType w:val="multilevel"/>
    <w:tmpl w:val="C5469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nsid w:val="207E447F"/>
    <w:multiLevelType w:val="multilevel"/>
    <w:tmpl w:val="D67CF4F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7.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nsid w:val="20923FAC"/>
    <w:multiLevelType w:val="hybridMultilevel"/>
    <w:tmpl w:val="B5F279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20A33E4F"/>
    <w:multiLevelType w:val="hybridMultilevel"/>
    <w:tmpl w:val="26B69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20B9224C"/>
    <w:multiLevelType w:val="hybridMultilevel"/>
    <w:tmpl w:val="90220A2C"/>
    <w:lvl w:ilvl="0" w:tplc="572467A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20DA0B3F"/>
    <w:multiLevelType w:val="hybridMultilevel"/>
    <w:tmpl w:val="4EA09F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3">
    <w:nsid w:val="22303EDC"/>
    <w:multiLevelType w:val="multilevel"/>
    <w:tmpl w:val="97FAE8BC"/>
    <w:lvl w:ilvl="0">
      <w:start w:val="10"/>
      <w:numFmt w:val="decimal"/>
      <w:lvlText w:val="%1"/>
      <w:lvlJc w:val="left"/>
      <w:pPr>
        <w:ind w:left="600" w:hanging="600"/>
      </w:pPr>
      <w:rPr>
        <w:rFonts w:hint="default"/>
      </w:rPr>
    </w:lvl>
    <w:lvl w:ilvl="1">
      <w:start w:val="7"/>
      <w:numFmt w:val="decimal"/>
      <w:lvlText w:val="%1.%2"/>
      <w:lvlJc w:val="left"/>
      <w:pPr>
        <w:ind w:left="1212" w:hanging="600"/>
      </w:pPr>
      <w:rPr>
        <w:rFonts w:hint="default"/>
      </w:rPr>
    </w:lvl>
    <w:lvl w:ilvl="2">
      <w:start w:val="1"/>
      <w:numFmt w:val="decimal"/>
      <w:lvlText w:val="%1.%2.%3"/>
      <w:lvlJc w:val="left"/>
      <w:pPr>
        <w:ind w:left="1944" w:hanging="720"/>
      </w:pPr>
      <w:rPr>
        <w:rFonts w:hint="default"/>
        <w:color w:val="FF0000"/>
      </w:rPr>
    </w:lvl>
    <w:lvl w:ilvl="3">
      <w:start w:val="1"/>
      <w:numFmt w:val="decimal"/>
      <w:lvlText w:val="%1.%2.%3.%4"/>
      <w:lvlJc w:val="left"/>
      <w:pPr>
        <w:ind w:left="2556" w:hanging="720"/>
      </w:pPr>
      <w:rPr>
        <w:rFonts w:hint="default"/>
      </w:rPr>
    </w:lvl>
    <w:lvl w:ilvl="4">
      <w:start w:val="1"/>
      <w:numFmt w:val="decimal"/>
      <w:lvlText w:val="%1.%2.%3.%4.%5"/>
      <w:lvlJc w:val="left"/>
      <w:pPr>
        <w:ind w:left="3528" w:hanging="1080"/>
      </w:pPr>
      <w:rPr>
        <w:rFonts w:hint="default"/>
      </w:rPr>
    </w:lvl>
    <w:lvl w:ilvl="5">
      <w:start w:val="1"/>
      <w:numFmt w:val="decimal"/>
      <w:lvlText w:val="%1.%2.%3.%4.%5.%6"/>
      <w:lvlJc w:val="left"/>
      <w:pPr>
        <w:ind w:left="4140" w:hanging="1080"/>
      </w:pPr>
      <w:rPr>
        <w:rFonts w:hint="default"/>
      </w:rPr>
    </w:lvl>
    <w:lvl w:ilvl="6">
      <w:start w:val="1"/>
      <w:numFmt w:val="decimal"/>
      <w:lvlText w:val="%1.%2.%3.%4.%5.%6.%7"/>
      <w:lvlJc w:val="left"/>
      <w:pPr>
        <w:ind w:left="5112" w:hanging="1440"/>
      </w:pPr>
      <w:rPr>
        <w:rFonts w:hint="default"/>
      </w:rPr>
    </w:lvl>
    <w:lvl w:ilvl="7">
      <w:start w:val="1"/>
      <w:numFmt w:val="decimal"/>
      <w:lvlText w:val="%1.%2.%3.%4.%5.%6.%7.%8"/>
      <w:lvlJc w:val="left"/>
      <w:pPr>
        <w:ind w:left="5724" w:hanging="1440"/>
      </w:pPr>
      <w:rPr>
        <w:rFonts w:hint="default"/>
      </w:rPr>
    </w:lvl>
    <w:lvl w:ilvl="8">
      <w:start w:val="1"/>
      <w:numFmt w:val="decimal"/>
      <w:lvlText w:val="%1.%2.%3.%4.%5.%6.%7.%8.%9"/>
      <w:lvlJc w:val="left"/>
      <w:pPr>
        <w:ind w:left="6696" w:hanging="1800"/>
      </w:pPr>
      <w:rPr>
        <w:rFonts w:hint="default"/>
      </w:rPr>
    </w:lvl>
  </w:abstractNum>
  <w:abstractNum w:abstractNumId="74">
    <w:nsid w:val="23553E0D"/>
    <w:multiLevelType w:val="multilevel"/>
    <w:tmpl w:val="19FA01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nsid w:val="237F04FD"/>
    <w:multiLevelType w:val="hybridMultilevel"/>
    <w:tmpl w:val="0D720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24004D4F"/>
    <w:multiLevelType w:val="hybridMultilevel"/>
    <w:tmpl w:val="CBD06EA6"/>
    <w:lvl w:ilvl="0" w:tplc="76946F10">
      <w:start w:val="1"/>
      <w:numFmt w:val="decimal"/>
      <w:lvlText w:val="%1."/>
      <w:lvlJc w:val="left"/>
      <w:pPr>
        <w:ind w:left="720" w:hanging="360"/>
      </w:pPr>
      <w:rPr>
        <w:rFonts w:ascii="Times New Roman" w:eastAsia="MS ??" w:hAnsi="Times New Roman" w:cs="Segoe UI"/>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7">
    <w:nsid w:val="243A780E"/>
    <w:multiLevelType w:val="hybridMultilevel"/>
    <w:tmpl w:val="51EE98C8"/>
    <w:lvl w:ilvl="0" w:tplc="A02EB2BA">
      <w:start w:val="1"/>
      <w:numFmt w:val="bullet"/>
      <w:lvlText w:val=""/>
      <w:lvlJc w:val="left"/>
      <w:pPr>
        <w:ind w:left="720" w:hanging="360"/>
      </w:pPr>
      <w:rPr>
        <w:rFonts w:ascii="Symbol" w:hAnsi="Symbol" w:hint="default"/>
        <w:color w:val="76923C" w:themeColor="accent3"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244E0DCB"/>
    <w:multiLevelType w:val="hybridMultilevel"/>
    <w:tmpl w:val="AAF054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9">
    <w:nsid w:val="2516008B"/>
    <w:multiLevelType w:val="hybridMultilevel"/>
    <w:tmpl w:val="10806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25491EE5"/>
    <w:multiLevelType w:val="multilevel"/>
    <w:tmpl w:val="CAFA793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1.6.%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nsid w:val="25C9526F"/>
    <w:multiLevelType w:val="hybridMultilevel"/>
    <w:tmpl w:val="420A04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26D03226"/>
    <w:multiLevelType w:val="hybridMultilevel"/>
    <w:tmpl w:val="321246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nsid w:val="287D72C1"/>
    <w:multiLevelType w:val="hybridMultilevel"/>
    <w:tmpl w:val="457E42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28A16F55"/>
    <w:multiLevelType w:val="hybridMultilevel"/>
    <w:tmpl w:val="BB34426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5">
    <w:nsid w:val="29387818"/>
    <w:multiLevelType w:val="hybridMultilevel"/>
    <w:tmpl w:val="FDB0E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29F85122"/>
    <w:multiLevelType w:val="hybridMultilevel"/>
    <w:tmpl w:val="181E8A58"/>
    <w:lvl w:ilvl="0" w:tplc="C734B3E0">
      <w:start w:val="1"/>
      <w:numFmt w:val="bullet"/>
      <w:lvlText w:val=""/>
      <w:lvlJc w:val="left"/>
      <w:pPr>
        <w:ind w:left="720" w:hanging="360"/>
      </w:pPr>
      <w:rPr>
        <w:rFonts w:ascii="Wingdings" w:hAnsi="Wingdings" w:hint="default"/>
        <w:b/>
        <w:color w:val="76923C" w:themeColor="accent3" w:themeShade="BF"/>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2A181223"/>
    <w:multiLevelType w:val="multilevel"/>
    <w:tmpl w:val="0346E90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8">
    <w:nsid w:val="2B4D6349"/>
    <w:multiLevelType w:val="multilevel"/>
    <w:tmpl w:val="64826188"/>
    <w:lvl w:ilvl="0">
      <w:start w:val="8"/>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9">
    <w:nsid w:val="2BDA7CA7"/>
    <w:multiLevelType w:val="hybridMultilevel"/>
    <w:tmpl w:val="7B3AF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2BFD4960"/>
    <w:multiLevelType w:val="hybridMultilevel"/>
    <w:tmpl w:val="AC2A748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nsid w:val="2C4938FA"/>
    <w:multiLevelType w:val="hybridMultilevel"/>
    <w:tmpl w:val="018A6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2D0F558E"/>
    <w:multiLevelType w:val="hybridMultilevel"/>
    <w:tmpl w:val="EB665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2D472A05"/>
    <w:multiLevelType w:val="hybridMultilevel"/>
    <w:tmpl w:val="BFFCCB52"/>
    <w:lvl w:ilvl="0" w:tplc="9B3CD32E">
      <w:start w:val="1"/>
      <w:numFmt w:val="decimal"/>
      <w:lvlText w:val="%1."/>
      <w:lvlJc w:val="left"/>
      <w:pPr>
        <w:ind w:left="720" w:hanging="360"/>
      </w:pPr>
      <w:rPr>
        <w:rFonts w:ascii="Segoe UI" w:eastAsiaTheme="minorHAnsi" w:hAnsi="Segoe UI" w:cs="Segoe UI"/>
      </w:rPr>
    </w:lvl>
    <w:lvl w:ilvl="1" w:tplc="04130019">
      <w:start w:val="1"/>
      <w:numFmt w:val="lowerLetter"/>
      <w:lvlText w:val="%2."/>
      <w:lvlJc w:val="left"/>
      <w:pPr>
        <w:ind w:left="1440" w:hanging="360"/>
      </w:pPr>
    </w:lvl>
    <w:lvl w:ilvl="2" w:tplc="85D49468">
      <w:start w:val="1"/>
      <w:numFmt w:val="bullet"/>
      <w:lvlText w:val="-"/>
      <w:lvlJc w:val="left"/>
      <w:pPr>
        <w:ind w:left="2340" w:hanging="360"/>
      </w:pPr>
      <w:rPr>
        <w:rFonts w:ascii="Segoe UI" w:eastAsia="Calibri" w:hAnsi="Segoe UI" w:cs="Segoe U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4">
    <w:nsid w:val="2D5E31D3"/>
    <w:multiLevelType w:val="hybridMultilevel"/>
    <w:tmpl w:val="43EC12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nsid w:val="2DAD0182"/>
    <w:multiLevelType w:val="hybridMultilevel"/>
    <w:tmpl w:val="1E108B5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2DE0344E"/>
    <w:multiLevelType w:val="hybridMultilevel"/>
    <w:tmpl w:val="E528C3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2DEC6AFD"/>
    <w:multiLevelType w:val="hybridMultilevel"/>
    <w:tmpl w:val="DF44E8CE"/>
    <w:lvl w:ilvl="0" w:tplc="8976FD6A">
      <w:start w:val="1"/>
      <w:numFmt w:val="bullet"/>
      <w:lvlText w:val="•"/>
      <w:lvlJc w:val="left"/>
      <w:pPr>
        <w:tabs>
          <w:tab w:val="num" w:pos="720"/>
        </w:tabs>
        <w:ind w:left="720" w:hanging="360"/>
      </w:pPr>
      <w:rPr>
        <w:rFonts w:ascii="Arial" w:hAnsi="Arial" w:hint="default"/>
      </w:rPr>
    </w:lvl>
    <w:lvl w:ilvl="1" w:tplc="04090001">
      <w:start w:val="1"/>
      <w:numFmt w:val="bullet"/>
      <w:lvlText w:val=""/>
      <w:lvlJc w:val="left"/>
      <w:pPr>
        <w:tabs>
          <w:tab w:val="num" w:pos="1440"/>
        </w:tabs>
        <w:ind w:left="1440" w:hanging="360"/>
      </w:pPr>
      <w:rPr>
        <w:rFonts w:ascii="Symbol" w:hAnsi="Symbol" w:hint="default"/>
      </w:rPr>
    </w:lvl>
    <w:lvl w:ilvl="2" w:tplc="1178A80E" w:tentative="1">
      <w:start w:val="1"/>
      <w:numFmt w:val="bullet"/>
      <w:lvlText w:val="•"/>
      <w:lvlJc w:val="left"/>
      <w:pPr>
        <w:tabs>
          <w:tab w:val="num" w:pos="2160"/>
        </w:tabs>
        <w:ind w:left="2160" w:hanging="360"/>
      </w:pPr>
      <w:rPr>
        <w:rFonts w:ascii="Arial" w:hAnsi="Arial" w:hint="default"/>
      </w:rPr>
    </w:lvl>
    <w:lvl w:ilvl="3" w:tplc="BCC20644" w:tentative="1">
      <w:start w:val="1"/>
      <w:numFmt w:val="bullet"/>
      <w:lvlText w:val="•"/>
      <w:lvlJc w:val="left"/>
      <w:pPr>
        <w:tabs>
          <w:tab w:val="num" w:pos="2880"/>
        </w:tabs>
        <w:ind w:left="2880" w:hanging="360"/>
      </w:pPr>
      <w:rPr>
        <w:rFonts w:ascii="Arial" w:hAnsi="Arial" w:hint="default"/>
      </w:rPr>
    </w:lvl>
    <w:lvl w:ilvl="4" w:tplc="A926BDC6" w:tentative="1">
      <w:start w:val="1"/>
      <w:numFmt w:val="bullet"/>
      <w:lvlText w:val="•"/>
      <w:lvlJc w:val="left"/>
      <w:pPr>
        <w:tabs>
          <w:tab w:val="num" w:pos="3600"/>
        </w:tabs>
        <w:ind w:left="3600" w:hanging="360"/>
      </w:pPr>
      <w:rPr>
        <w:rFonts w:ascii="Arial" w:hAnsi="Arial" w:hint="default"/>
      </w:rPr>
    </w:lvl>
    <w:lvl w:ilvl="5" w:tplc="E7A06174" w:tentative="1">
      <w:start w:val="1"/>
      <w:numFmt w:val="bullet"/>
      <w:lvlText w:val="•"/>
      <w:lvlJc w:val="left"/>
      <w:pPr>
        <w:tabs>
          <w:tab w:val="num" w:pos="4320"/>
        </w:tabs>
        <w:ind w:left="4320" w:hanging="360"/>
      </w:pPr>
      <w:rPr>
        <w:rFonts w:ascii="Arial" w:hAnsi="Arial" w:hint="default"/>
      </w:rPr>
    </w:lvl>
    <w:lvl w:ilvl="6" w:tplc="FE662C02" w:tentative="1">
      <w:start w:val="1"/>
      <w:numFmt w:val="bullet"/>
      <w:lvlText w:val="•"/>
      <w:lvlJc w:val="left"/>
      <w:pPr>
        <w:tabs>
          <w:tab w:val="num" w:pos="5040"/>
        </w:tabs>
        <w:ind w:left="5040" w:hanging="360"/>
      </w:pPr>
      <w:rPr>
        <w:rFonts w:ascii="Arial" w:hAnsi="Arial" w:hint="default"/>
      </w:rPr>
    </w:lvl>
    <w:lvl w:ilvl="7" w:tplc="9272CDDC" w:tentative="1">
      <w:start w:val="1"/>
      <w:numFmt w:val="bullet"/>
      <w:lvlText w:val="•"/>
      <w:lvlJc w:val="left"/>
      <w:pPr>
        <w:tabs>
          <w:tab w:val="num" w:pos="5760"/>
        </w:tabs>
        <w:ind w:left="5760" w:hanging="360"/>
      </w:pPr>
      <w:rPr>
        <w:rFonts w:ascii="Arial" w:hAnsi="Arial" w:hint="default"/>
      </w:rPr>
    </w:lvl>
    <w:lvl w:ilvl="8" w:tplc="EE781300" w:tentative="1">
      <w:start w:val="1"/>
      <w:numFmt w:val="bullet"/>
      <w:lvlText w:val="•"/>
      <w:lvlJc w:val="left"/>
      <w:pPr>
        <w:tabs>
          <w:tab w:val="num" w:pos="6480"/>
        </w:tabs>
        <w:ind w:left="6480" w:hanging="360"/>
      </w:pPr>
      <w:rPr>
        <w:rFonts w:ascii="Arial" w:hAnsi="Arial" w:hint="default"/>
      </w:rPr>
    </w:lvl>
  </w:abstractNum>
  <w:abstractNum w:abstractNumId="98">
    <w:nsid w:val="2DF6789D"/>
    <w:multiLevelType w:val="hybridMultilevel"/>
    <w:tmpl w:val="E4A42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2E082C82"/>
    <w:multiLevelType w:val="hybridMultilevel"/>
    <w:tmpl w:val="7F704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2E39744C"/>
    <w:multiLevelType w:val="hybridMultilevel"/>
    <w:tmpl w:val="CC2087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nsid w:val="2E6219F9"/>
    <w:multiLevelType w:val="multilevel"/>
    <w:tmpl w:val="6DA4A146"/>
    <w:lvl w:ilvl="0">
      <w:start w:val="1"/>
      <w:numFmt w:val="decimal"/>
      <w:lvlText w:val="%1."/>
      <w:lvlJc w:val="left"/>
      <w:pPr>
        <w:ind w:left="360" w:hanging="360"/>
      </w:pPr>
      <w:rPr>
        <w:rFonts w:hint="default"/>
      </w:rPr>
    </w:lvl>
    <w:lvl w:ilvl="1">
      <w:start w:val="1"/>
      <w:numFmt w:val="decimal"/>
      <w:lvlText w:val="2.%2."/>
      <w:lvlJc w:val="left"/>
      <w:pPr>
        <w:ind w:left="792" w:hanging="792"/>
      </w:pPr>
      <w:rPr>
        <w:rFonts w:hint="default"/>
      </w:rPr>
    </w:lvl>
    <w:lvl w:ilvl="2">
      <w:start w:val="1"/>
      <w:numFmt w:val="decimal"/>
      <w:pStyle w:val="Heading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nsid w:val="2E941D74"/>
    <w:multiLevelType w:val="hybridMultilevel"/>
    <w:tmpl w:val="1C925D7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2E995C3C"/>
    <w:multiLevelType w:val="multilevel"/>
    <w:tmpl w:val="ACFA836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8.5.%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4">
    <w:nsid w:val="2EDD7D7E"/>
    <w:multiLevelType w:val="hybridMultilevel"/>
    <w:tmpl w:val="AC245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2F034161"/>
    <w:multiLevelType w:val="hybridMultilevel"/>
    <w:tmpl w:val="5A305B14"/>
    <w:lvl w:ilvl="0" w:tplc="E57E901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2F5A4351"/>
    <w:multiLevelType w:val="hybridMultilevel"/>
    <w:tmpl w:val="5AAE2D74"/>
    <w:lvl w:ilvl="0" w:tplc="6EE00A9E">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302958C8"/>
    <w:multiLevelType w:val="hybridMultilevel"/>
    <w:tmpl w:val="36D2A4EA"/>
    <w:lvl w:ilvl="0" w:tplc="04090005">
      <w:start w:val="1"/>
      <w:numFmt w:val="bullet"/>
      <w:lvlText w:val=""/>
      <w:lvlJc w:val="left"/>
      <w:pPr>
        <w:ind w:left="2070" w:hanging="360"/>
      </w:pPr>
      <w:rPr>
        <w:rFonts w:ascii="Wingdings" w:hAnsi="Wingdings" w:hint="default"/>
      </w:rPr>
    </w:lvl>
    <w:lvl w:ilvl="1" w:tplc="04090003" w:tentative="1">
      <w:start w:val="1"/>
      <w:numFmt w:val="bullet"/>
      <w:lvlText w:val="o"/>
      <w:lvlJc w:val="left"/>
      <w:pPr>
        <w:ind w:left="2790" w:hanging="360"/>
      </w:pPr>
      <w:rPr>
        <w:rFonts w:ascii="Courier New" w:hAnsi="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08">
    <w:nsid w:val="30880BC6"/>
    <w:multiLevelType w:val="hybridMultilevel"/>
    <w:tmpl w:val="73645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309F7677"/>
    <w:multiLevelType w:val="hybridMultilevel"/>
    <w:tmpl w:val="F8AEE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30AA1DBF"/>
    <w:multiLevelType w:val="hybridMultilevel"/>
    <w:tmpl w:val="C7827FE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nsid w:val="31454EA3"/>
    <w:multiLevelType w:val="hybridMultilevel"/>
    <w:tmpl w:val="1B26E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315A19AB"/>
    <w:multiLevelType w:val="hybridMultilevel"/>
    <w:tmpl w:val="4476D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31DA2F0C"/>
    <w:multiLevelType w:val="hybridMultilevel"/>
    <w:tmpl w:val="D7F216BC"/>
    <w:lvl w:ilvl="0" w:tplc="04090011">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31E314D9"/>
    <w:multiLevelType w:val="hybridMultilevel"/>
    <w:tmpl w:val="F626D906"/>
    <w:lvl w:ilvl="0" w:tplc="0F5470F6">
      <w:start w:val="1"/>
      <w:numFmt w:val="bullet"/>
      <w:lvlText w:val="-"/>
      <w:lvlJc w:val="left"/>
      <w:pPr>
        <w:ind w:left="1080" w:hanging="360"/>
      </w:pPr>
      <w:rPr>
        <w:rFonts w:ascii="Segoe UI" w:eastAsia="Calibri" w:hAnsi="Segoe UI" w:cs="Segoe U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nsid w:val="320F1843"/>
    <w:multiLevelType w:val="multilevel"/>
    <w:tmpl w:val="77E4083C"/>
    <w:lvl w:ilvl="0">
      <w:start w:val="1"/>
      <w:numFmt w:val="decimal"/>
      <w:lvlText w:val="%1."/>
      <w:lvlJc w:val="left"/>
      <w:pPr>
        <w:ind w:left="360" w:hanging="360"/>
      </w:pPr>
      <w:rPr>
        <w:rFonts w:hint="default"/>
      </w:rPr>
    </w:lvl>
    <w:lvl w:ilvl="1">
      <w:start w:val="1"/>
      <w:numFmt w:val="decimal"/>
      <w:lvlText w:val="10.%2."/>
      <w:lvlJc w:val="left"/>
      <w:pPr>
        <w:ind w:left="792"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6">
    <w:nsid w:val="325D46DA"/>
    <w:multiLevelType w:val="hybridMultilevel"/>
    <w:tmpl w:val="A7E6B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32AD58AE"/>
    <w:multiLevelType w:val="hybridMultilevel"/>
    <w:tmpl w:val="93F0E6B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32EE1B9C"/>
    <w:multiLevelType w:val="hybridMultilevel"/>
    <w:tmpl w:val="CCD23C0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9">
    <w:nsid w:val="337E2AF5"/>
    <w:multiLevelType w:val="hybridMultilevel"/>
    <w:tmpl w:val="49084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33BA1E77"/>
    <w:multiLevelType w:val="hybridMultilevel"/>
    <w:tmpl w:val="DEC26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34143225"/>
    <w:multiLevelType w:val="hybridMultilevel"/>
    <w:tmpl w:val="769CCD1A"/>
    <w:lvl w:ilvl="0" w:tplc="04090001">
      <w:start w:val="1"/>
      <w:numFmt w:val="bullet"/>
      <w:lvlText w:val=""/>
      <w:lvlJc w:val="left"/>
      <w:pPr>
        <w:ind w:left="758" w:hanging="360"/>
      </w:pPr>
      <w:rPr>
        <w:rFonts w:ascii="Symbol" w:hAnsi="Symbol" w:hint="default"/>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122">
    <w:nsid w:val="343767CC"/>
    <w:multiLevelType w:val="multilevel"/>
    <w:tmpl w:val="08E2203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3">
    <w:nsid w:val="34764043"/>
    <w:multiLevelType w:val="hybridMultilevel"/>
    <w:tmpl w:val="1352A6B6"/>
    <w:lvl w:ilvl="0" w:tplc="04130019">
      <w:start w:val="1"/>
      <w:numFmt w:val="lowerLetter"/>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4">
    <w:nsid w:val="35745CFF"/>
    <w:multiLevelType w:val="hybridMultilevel"/>
    <w:tmpl w:val="DBAAC4EE"/>
    <w:lvl w:ilvl="0" w:tplc="AEF4774E">
      <w:numFmt w:val="bullet"/>
      <w:lvlText w:val="-"/>
      <w:lvlJc w:val="left"/>
      <w:pPr>
        <w:ind w:left="360" w:hanging="360"/>
      </w:pPr>
      <w:rPr>
        <w:rFonts w:ascii="Segoe UI" w:eastAsia="Times New Roman" w:hAnsi="Segoe UI" w:cs="Segoe U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5">
    <w:nsid w:val="359B43D6"/>
    <w:multiLevelType w:val="hybridMultilevel"/>
    <w:tmpl w:val="61488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35F11A50"/>
    <w:multiLevelType w:val="hybridMultilevel"/>
    <w:tmpl w:val="695C8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35FD7391"/>
    <w:multiLevelType w:val="hybridMultilevel"/>
    <w:tmpl w:val="8B442298"/>
    <w:lvl w:ilvl="0" w:tplc="485EB4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366334C3"/>
    <w:multiLevelType w:val="hybridMultilevel"/>
    <w:tmpl w:val="ABB488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3764362B"/>
    <w:multiLevelType w:val="hybridMultilevel"/>
    <w:tmpl w:val="493A91E6"/>
    <w:lvl w:ilvl="0" w:tplc="04090001">
      <w:start w:val="1"/>
      <w:numFmt w:val="bullet"/>
      <w:lvlText w:val=""/>
      <w:lvlJc w:val="left"/>
      <w:rPr>
        <w:rFonts w:ascii="Symbol" w:hAnsi="Symbol" w:hint="default"/>
      </w:rPr>
    </w:lvl>
    <w:lvl w:ilvl="1" w:tplc="F1746F0E">
      <w:numFmt w:val="decimal"/>
      <w:suff w:val="space"/>
      <w:lvlText w:val=""/>
      <w:lvlJc w:val="left"/>
    </w:lvl>
    <w:lvl w:ilvl="2" w:tplc="D26E4E76">
      <w:numFmt w:val="decimal"/>
      <w:suff w:val="space"/>
      <w:lvlText w:val=""/>
      <w:lvlJc w:val="left"/>
    </w:lvl>
    <w:lvl w:ilvl="3" w:tplc="86C6C67E">
      <w:numFmt w:val="decimal"/>
      <w:suff w:val="space"/>
      <w:lvlText w:val=""/>
      <w:lvlJc w:val="left"/>
    </w:lvl>
    <w:lvl w:ilvl="4" w:tplc="56D21306">
      <w:numFmt w:val="decimal"/>
      <w:suff w:val="space"/>
      <w:lvlText w:val=""/>
      <w:lvlJc w:val="left"/>
    </w:lvl>
    <w:lvl w:ilvl="5" w:tplc="264A26C2">
      <w:numFmt w:val="none"/>
      <w:lvlText w:val=""/>
      <w:lvlJc w:val="left"/>
      <w:pPr>
        <w:tabs>
          <w:tab w:val="num" w:pos="360"/>
        </w:tabs>
      </w:pPr>
    </w:lvl>
    <w:lvl w:ilvl="6" w:tplc="4970AB96">
      <w:numFmt w:val="decimal"/>
      <w:lvlText w:val=""/>
      <w:lvlJc w:val="left"/>
    </w:lvl>
    <w:lvl w:ilvl="7" w:tplc="083681FA">
      <w:numFmt w:val="decimal"/>
      <w:lvlText w:val=""/>
      <w:lvlJc w:val="left"/>
    </w:lvl>
    <w:lvl w:ilvl="8" w:tplc="B8AAC116">
      <w:numFmt w:val="decimal"/>
      <w:lvlText w:val=""/>
      <w:lvlJc w:val="left"/>
    </w:lvl>
  </w:abstractNum>
  <w:abstractNum w:abstractNumId="130">
    <w:nsid w:val="37771318"/>
    <w:multiLevelType w:val="hybridMultilevel"/>
    <w:tmpl w:val="E25ED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37A45CD9"/>
    <w:multiLevelType w:val="hybridMultilevel"/>
    <w:tmpl w:val="89808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37F1489C"/>
    <w:multiLevelType w:val="multilevel"/>
    <w:tmpl w:val="9C6687A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3">
    <w:nsid w:val="37FA20EC"/>
    <w:multiLevelType w:val="hybridMultilevel"/>
    <w:tmpl w:val="838883AA"/>
    <w:lvl w:ilvl="0" w:tplc="6C9C2370">
      <w:start w:val="1"/>
      <w:numFmt w:val="bullet"/>
      <w:lvlText w:val=""/>
      <w:lvlJc w:val="left"/>
      <w:pPr>
        <w:ind w:left="720" w:hanging="360"/>
      </w:pPr>
      <w:rPr>
        <w:rFonts w:ascii="Symbol" w:hAnsi="Symbol" w:hint="default"/>
      </w:rPr>
    </w:lvl>
    <w:lvl w:ilvl="1" w:tplc="E0C44506" w:tentative="1">
      <w:start w:val="1"/>
      <w:numFmt w:val="bullet"/>
      <w:lvlText w:val="o"/>
      <w:lvlJc w:val="left"/>
      <w:pPr>
        <w:ind w:left="1440" w:hanging="360"/>
      </w:pPr>
      <w:rPr>
        <w:rFonts w:ascii="Courier New" w:hAnsi="Courier New" w:cs="Courier New" w:hint="default"/>
      </w:rPr>
    </w:lvl>
    <w:lvl w:ilvl="2" w:tplc="6FF6D44A" w:tentative="1">
      <w:start w:val="1"/>
      <w:numFmt w:val="bullet"/>
      <w:lvlText w:val=""/>
      <w:lvlJc w:val="left"/>
      <w:pPr>
        <w:ind w:left="2160" w:hanging="360"/>
      </w:pPr>
      <w:rPr>
        <w:rFonts w:ascii="Wingdings" w:hAnsi="Wingdings" w:hint="default"/>
      </w:rPr>
    </w:lvl>
    <w:lvl w:ilvl="3" w:tplc="B296B8A6" w:tentative="1">
      <w:start w:val="1"/>
      <w:numFmt w:val="bullet"/>
      <w:lvlText w:val=""/>
      <w:lvlJc w:val="left"/>
      <w:pPr>
        <w:ind w:left="2880" w:hanging="360"/>
      </w:pPr>
      <w:rPr>
        <w:rFonts w:ascii="Symbol" w:hAnsi="Symbol" w:hint="default"/>
      </w:rPr>
    </w:lvl>
    <w:lvl w:ilvl="4" w:tplc="327E7776" w:tentative="1">
      <w:start w:val="1"/>
      <w:numFmt w:val="bullet"/>
      <w:lvlText w:val="o"/>
      <w:lvlJc w:val="left"/>
      <w:pPr>
        <w:ind w:left="3600" w:hanging="360"/>
      </w:pPr>
      <w:rPr>
        <w:rFonts w:ascii="Courier New" w:hAnsi="Courier New" w:cs="Courier New" w:hint="default"/>
      </w:rPr>
    </w:lvl>
    <w:lvl w:ilvl="5" w:tplc="8828FFC2" w:tentative="1">
      <w:start w:val="1"/>
      <w:numFmt w:val="bullet"/>
      <w:lvlText w:val=""/>
      <w:lvlJc w:val="left"/>
      <w:pPr>
        <w:ind w:left="4320" w:hanging="360"/>
      </w:pPr>
      <w:rPr>
        <w:rFonts w:ascii="Wingdings" w:hAnsi="Wingdings" w:hint="default"/>
      </w:rPr>
    </w:lvl>
    <w:lvl w:ilvl="6" w:tplc="4C326DDC" w:tentative="1">
      <w:start w:val="1"/>
      <w:numFmt w:val="bullet"/>
      <w:lvlText w:val=""/>
      <w:lvlJc w:val="left"/>
      <w:pPr>
        <w:ind w:left="5040" w:hanging="360"/>
      </w:pPr>
      <w:rPr>
        <w:rFonts w:ascii="Symbol" w:hAnsi="Symbol" w:hint="default"/>
      </w:rPr>
    </w:lvl>
    <w:lvl w:ilvl="7" w:tplc="1898EB98" w:tentative="1">
      <w:start w:val="1"/>
      <w:numFmt w:val="bullet"/>
      <w:lvlText w:val="o"/>
      <w:lvlJc w:val="left"/>
      <w:pPr>
        <w:ind w:left="5760" w:hanging="360"/>
      </w:pPr>
      <w:rPr>
        <w:rFonts w:ascii="Courier New" w:hAnsi="Courier New" w:cs="Courier New" w:hint="default"/>
      </w:rPr>
    </w:lvl>
    <w:lvl w:ilvl="8" w:tplc="EE0E3F8C" w:tentative="1">
      <w:start w:val="1"/>
      <w:numFmt w:val="bullet"/>
      <w:lvlText w:val=""/>
      <w:lvlJc w:val="left"/>
      <w:pPr>
        <w:ind w:left="6480" w:hanging="360"/>
      </w:pPr>
      <w:rPr>
        <w:rFonts w:ascii="Wingdings" w:hAnsi="Wingdings" w:hint="default"/>
      </w:rPr>
    </w:lvl>
  </w:abstractNum>
  <w:abstractNum w:abstractNumId="134">
    <w:nsid w:val="380846AF"/>
    <w:multiLevelType w:val="hybridMultilevel"/>
    <w:tmpl w:val="B8E49404"/>
    <w:lvl w:ilvl="0" w:tplc="0409000B">
      <w:start w:val="1"/>
      <w:numFmt w:val="bullet"/>
      <w:lvlText w:val=""/>
      <w:lvlJc w:val="left"/>
      <w:pPr>
        <w:ind w:left="1555" w:hanging="360"/>
      </w:pPr>
      <w:rPr>
        <w:rFonts w:ascii="Wingdings" w:hAnsi="Wingdings" w:hint="default"/>
      </w:rPr>
    </w:lvl>
    <w:lvl w:ilvl="1" w:tplc="04090003" w:tentative="1">
      <w:start w:val="1"/>
      <w:numFmt w:val="bullet"/>
      <w:lvlText w:val="o"/>
      <w:lvlJc w:val="left"/>
      <w:pPr>
        <w:ind w:left="2275" w:hanging="360"/>
      </w:pPr>
      <w:rPr>
        <w:rFonts w:ascii="Courier New" w:hAnsi="Courier New" w:cs="Courier New" w:hint="default"/>
      </w:rPr>
    </w:lvl>
    <w:lvl w:ilvl="2" w:tplc="04090005" w:tentative="1">
      <w:start w:val="1"/>
      <w:numFmt w:val="bullet"/>
      <w:lvlText w:val=""/>
      <w:lvlJc w:val="left"/>
      <w:pPr>
        <w:ind w:left="2995" w:hanging="360"/>
      </w:pPr>
      <w:rPr>
        <w:rFonts w:ascii="Wingdings" w:hAnsi="Wingdings" w:hint="default"/>
      </w:rPr>
    </w:lvl>
    <w:lvl w:ilvl="3" w:tplc="04090001" w:tentative="1">
      <w:start w:val="1"/>
      <w:numFmt w:val="bullet"/>
      <w:lvlText w:val=""/>
      <w:lvlJc w:val="left"/>
      <w:pPr>
        <w:ind w:left="3715" w:hanging="360"/>
      </w:pPr>
      <w:rPr>
        <w:rFonts w:ascii="Symbol" w:hAnsi="Symbol" w:hint="default"/>
      </w:rPr>
    </w:lvl>
    <w:lvl w:ilvl="4" w:tplc="04090003" w:tentative="1">
      <w:start w:val="1"/>
      <w:numFmt w:val="bullet"/>
      <w:lvlText w:val="o"/>
      <w:lvlJc w:val="left"/>
      <w:pPr>
        <w:ind w:left="4435" w:hanging="360"/>
      </w:pPr>
      <w:rPr>
        <w:rFonts w:ascii="Courier New" w:hAnsi="Courier New" w:cs="Courier New" w:hint="default"/>
      </w:rPr>
    </w:lvl>
    <w:lvl w:ilvl="5" w:tplc="04090005" w:tentative="1">
      <w:start w:val="1"/>
      <w:numFmt w:val="bullet"/>
      <w:lvlText w:val=""/>
      <w:lvlJc w:val="left"/>
      <w:pPr>
        <w:ind w:left="5155" w:hanging="360"/>
      </w:pPr>
      <w:rPr>
        <w:rFonts w:ascii="Wingdings" w:hAnsi="Wingdings" w:hint="default"/>
      </w:rPr>
    </w:lvl>
    <w:lvl w:ilvl="6" w:tplc="04090001" w:tentative="1">
      <w:start w:val="1"/>
      <w:numFmt w:val="bullet"/>
      <w:lvlText w:val=""/>
      <w:lvlJc w:val="left"/>
      <w:pPr>
        <w:ind w:left="5875" w:hanging="360"/>
      </w:pPr>
      <w:rPr>
        <w:rFonts w:ascii="Symbol" w:hAnsi="Symbol" w:hint="default"/>
      </w:rPr>
    </w:lvl>
    <w:lvl w:ilvl="7" w:tplc="04090003" w:tentative="1">
      <w:start w:val="1"/>
      <w:numFmt w:val="bullet"/>
      <w:lvlText w:val="o"/>
      <w:lvlJc w:val="left"/>
      <w:pPr>
        <w:ind w:left="6595" w:hanging="360"/>
      </w:pPr>
      <w:rPr>
        <w:rFonts w:ascii="Courier New" w:hAnsi="Courier New" w:cs="Courier New" w:hint="default"/>
      </w:rPr>
    </w:lvl>
    <w:lvl w:ilvl="8" w:tplc="04090005" w:tentative="1">
      <w:start w:val="1"/>
      <w:numFmt w:val="bullet"/>
      <w:lvlText w:val=""/>
      <w:lvlJc w:val="left"/>
      <w:pPr>
        <w:ind w:left="7315" w:hanging="360"/>
      </w:pPr>
      <w:rPr>
        <w:rFonts w:ascii="Wingdings" w:hAnsi="Wingdings" w:hint="default"/>
      </w:rPr>
    </w:lvl>
  </w:abstractNum>
  <w:abstractNum w:abstractNumId="135">
    <w:nsid w:val="38235E14"/>
    <w:multiLevelType w:val="hybridMultilevel"/>
    <w:tmpl w:val="E11C8C06"/>
    <w:lvl w:ilvl="0" w:tplc="9D30CF2C">
      <w:start w:val="1"/>
      <w:numFmt w:val="decimal"/>
      <w:lvlText w:val="%1."/>
      <w:lvlJc w:val="left"/>
      <w:pPr>
        <w:ind w:left="360" w:hanging="360"/>
      </w:pPr>
      <w:rPr>
        <w:rFonts w:ascii="Segoe UI" w:eastAsiaTheme="minorHAnsi" w:hAnsi="Segoe UI" w:cs="Segoe UI"/>
      </w:rPr>
    </w:lvl>
    <w:lvl w:ilvl="1" w:tplc="5004FA54">
      <w:start w:val="1"/>
      <w:numFmt w:val="lowerLetter"/>
      <w:lvlText w:val="%2."/>
      <w:lvlJc w:val="left"/>
      <w:pPr>
        <w:ind w:left="1080" w:hanging="360"/>
      </w:pPr>
      <w:rPr>
        <w:rFonts w:ascii="Segoe UI" w:eastAsiaTheme="minorHAnsi" w:hAnsi="Segoe UI" w:cs="Segoe UI"/>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6">
    <w:nsid w:val="3A3014F2"/>
    <w:multiLevelType w:val="hybridMultilevel"/>
    <w:tmpl w:val="8CFAF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nsid w:val="3A645568"/>
    <w:multiLevelType w:val="hybridMultilevel"/>
    <w:tmpl w:val="64F8D6C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8">
    <w:nsid w:val="3B19638B"/>
    <w:multiLevelType w:val="hybridMultilevel"/>
    <w:tmpl w:val="4DCE48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nsid w:val="3B8A676B"/>
    <w:multiLevelType w:val="hybridMultilevel"/>
    <w:tmpl w:val="46E8A4F2"/>
    <w:lvl w:ilvl="0" w:tplc="DB9C6940">
      <w:start w:val="20"/>
      <w:numFmt w:val="bullet"/>
      <w:lvlText w:val=""/>
      <w:lvlJc w:val="left"/>
      <w:pPr>
        <w:ind w:left="720" w:hanging="360"/>
      </w:pPr>
      <w:rPr>
        <w:rFonts w:ascii="Symbol" w:eastAsiaTheme="minorHAnsi"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3CA67CAE"/>
    <w:multiLevelType w:val="multilevel"/>
    <w:tmpl w:val="A986FE9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5.%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1">
    <w:nsid w:val="3CE02894"/>
    <w:multiLevelType w:val="hybridMultilevel"/>
    <w:tmpl w:val="C3A07A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nsid w:val="3D603956"/>
    <w:multiLevelType w:val="multilevel"/>
    <w:tmpl w:val="37F41D9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5.%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3">
    <w:nsid w:val="3DEC4533"/>
    <w:multiLevelType w:val="hybridMultilevel"/>
    <w:tmpl w:val="6F440C58"/>
    <w:lvl w:ilvl="0" w:tplc="512A442A">
      <w:start w:val="1"/>
      <w:numFmt w:val="decimal"/>
      <w:lvlText w:val="%1."/>
      <w:lvlJc w:val="left"/>
      <w:pPr>
        <w:tabs>
          <w:tab w:val="num" w:pos="360"/>
        </w:tabs>
        <w:ind w:left="360" w:hanging="360"/>
      </w:pPr>
    </w:lvl>
    <w:lvl w:ilvl="1" w:tplc="04090019">
      <w:start w:val="1"/>
      <w:numFmt w:val="bullet"/>
      <w:lvlText w:val=""/>
      <w:lvlJc w:val="left"/>
      <w:pPr>
        <w:tabs>
          <w:tab w:val="num" w:pos="1080"/>
        </w:tabs>
        <w:ind w:left="1080" w:hanging="360"/>
      </w:pPr>
      <w:rPr>
        <w:rFonts w:ascii="Symbol" w:eastAsia="Times New Roman" w:hAnsi="Symbol" w:cs="Arial" w:hint="default"/>
      </w:rPr>
    </w:lvl>
    <w:lvl w:ilvl="2" w:tplc="0409001B">
      <w:numFmt w:val="bullet"/>
      <w:lvlText w:val="-"/>
      <w:lvlJc w:val="left"/>
      <w:pPr>
        <w:tabs>
          <w:tab w:val="num" w:pos="1980"/>
        </w:tabs>
        <w:ind w:left="1980" w:hanging="360"/>
      </w:pPr>
      <w:rPr>
        <w:rFonts w:ascii="Segoe UI" w:eastAsia="Times New Roman" w:hAnsi="Segoe UI" w:cs="Segoe UI" w:hint="default"/>
      </w:rPr>
    </w:lvl>
    <w:lvl w:ilvl="3" w:tplc="0409000F">
      <w:start w:val="1"/>
      <w:numFmt w:val="decimal"/>
      <w:lvlText w:val="%4)"/>
      <w:lvlJc w:val="left"/>
      <w:pPr>
        <w:tabs>
          <w:tab w:val="num" w:pos="2520"/>
        </w:tabs>
        <w:ind w:left="2520" w:hanging="360"/>
      </w:pPr>
      <w:rPr>
        <w:rFonts w:hint="default"/>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4">
    <w:nsid w:val="3F9615C1"/>
    <w:multiLevelType w:val="hybridMultilevel"/>
    <w:tmpl w:val="80409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402C260D"/>
    <w:multiLevelType w:val="hybridMultilevel"/>
    <w:tmpl w:val="1256E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40EF5815"/>
    <w:multiLevelType w:val="multilevel"/>
    <w:tmpl w:val="B456D21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6.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7">
    <w:nsid w:val="41812331"/>
    <w:multiLevelType w:val="hybridMultilevel"/>
    <w:tmpl w:val="CC3C9274"/>
    <w:lvl w:ilvl="0" w:tplc="04090001">
      <w:start w:val="1"/>
      <w:numFmt w:val="bullet"/>
      <w:lvlText w:val=""/>
      <w:lvlJc w:val="left"/>
      <w:pPr>
        <w:ind w:left="765"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8">
    <w:nsid w:val="42903F16"/>
    <w:multiLevelType w:val="multilevel"/>
    <w:tmpl w:val="68B8F83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9">
    <w:nsid w:val="43734398"/>
    <w:multiLevelType w:val="hybridMultilevel"/>
    <w:tmpl w:val="E40651BE"/>
    <w:lvl w:ilvl="0" w:tplc="69B606F6">
      <w:start w:val="1"/>
      <w:numFmt w:val="bullet"/>
      <w:lvlText w:val=""/>
      <w:lvlJc w:val="left"/>
      <w:pPr>
        <w:ind w:left="720" w:hanging="360"/>
      </w:pPr>
      <w:rPr>
        <w:rFonts w:ascii="Symbol" w:hAnsi="Symbol" w:hint="default"/>
        <w:color w:val="76923C" w:themeColor="accent3"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449B36D1"/>
    <w:multiLevelType w:val="hybridMultilevel"/>
    <w:tmpl w:val="B224B5E6"/>
    <w:lvl w:ilvl="0">
      <w:start w:val="1"/>
      <w:numFmt w:val="bullet"/>
      <w:lvlText w:val=""/>
      <w:lvlJc w:val="left"/>
      <w:pPr>
        <w:ind w:left="720" w:hanging="360"/>
      </w:pPr>
      <w:rPr>
        <w:rFonts w:ascii="Symbol" w:hAnsi="Symbol" w:hint="default"/>
        <w:color w:val="76923C" w:themeColor="accent3" w:themeShade="B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1">
    <w:nsid w:val="44CF0D1F"/>
    <w:multiLevelType w:val="hybridMultilevel"/>
    <w:tmpl w:val="029EA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45935D96"/>
    <w:multiLevelType w:val="hybridMultilevel"/>
    <w:tmpl w:val="1F460562"/>
    <w:lvl w:ilvl="0" w:tplc="04090017">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53">
    <w:nsid w:val="46B26A18"/>
    <w:multiLevelType w:val="hybridMultilevel"/>
    <w:tmpl w:val="C338AC74"/>
    <w:lvl w:ilvl="0" w:tplc="04090001">
      <w:start w:val="1"/>
      <w:numFmt w:val="bullet"/>
      <w:lvlText w:val="-"/>
      <w:lvlJc w:val="left"/>
      <w:pPr>
        <w:ind w:left="720" w:hanging="360"/>
      </w:pPr>
      <w:rPr>
        <w:rFonts w:ascii="Segoe UI" w:eastAsia="Calibri"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46B41DBB"/>
    <w:multiLevelType w:val="hybridMultilevel"/>
    <w:tmpl w:val="5986C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476953E5"/>
    <w:multiLevelType w:val="multilevel"/>
    <w:tmpl w:val="25F816CE"/>
    <w:lvl w:ilvl="0">
      <w:start w:val="10"/>
      <w:numFmt w:val="decimal"/>
      <w:lvlText w:val="%1"/>
      <w:lvlJc w:val="left"/>
      <w:pPr>
        <w:ind w:left="600" w:hanging="600"/>
      </w:pPr>
      <w:rPr>
        <w:rFonts w:hint="default"/>
      </w:rPr>
    </w:lvl>
    <w:lvl w:ilvl="1">
      <w:start w:val="6"/>
      <w:numFmt w:val="decimal"/>
      <w:lvlText w:val="%1.%2"/>
      <w:lvlJc w:val="left"/>
      <w:pPr>
        <w:ind w:left="600" w:hanging="600"/>
      </w:pPr>
      <w:rPr>
        <w:rFonts w:hint="default"/>
      </w:rPr>
    </w:lvl>
    <w:lvl w:ilvl="2">
      <w:start w:val="1"/>
      <w:numFmt w:val="decimal"/>
      <w:lvlText w:val="%1.%2.%3"/>
      <w:lvlJc w:val="left"/>
      <w:pPr>
        <w:ind w:left="864" w:hanging="864"/>
      </w:pPr>
      <w:rPr>
        <w:rFonts w:hint="default"/>
        <w:color w:val="FF000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6">
    <w:nsid w:val="477E5D92"/>
    <w:multiLevelType w:val="hybridMultilevel"/>
    <w:tmpl w:val="09C40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48AA64EE"/>
    <w:multiLevelType w:val="multilevel"/>
    <w:tmpl w:val="19FC537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8">
    <w:nsid w:val="48CB5FBD"/>
    <w:multiLevelType w:val="hybridMultilevel"/>
    <w:tmpl w:val="5AC6BB5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9">
    <w:nsid w:val="48CF7FA3"/>
    <w:multiLevelType w:val="hybridMultilevel"/>
    <w:tmpl w:val="CE7E62FE"/>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60">
    <w:nsid w:val="490E54B6"/>
    <w:multiLevelType w:val="hybridMultilevel"/>
    <w:tmpl w:val="24A08020"/>
    <w:lvl w:ilvl="0" w:tplc="04090001">
      <w:start w:val="1"/>
      <w:numFmt w:val="bullet"/>
      <w:lvlText w:val="•"/>
      <w:lvlJc w:val="left"/>
      <w:pPr>
        <w:ind w:left="720" w:hanging="360"/>
      </w:pPr>
      <w:rPr>
        <w:rFonts w:ascii="Calibri" w:eastAsia="Calibri" w:hAnsi="Calibri" w:hint="default"/>
        <w:color w:val="231F20"/>
        <w:w w:val="133"/>
        <w:sz w:val="19"/>
        <w:szCs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49575421"/>
    <w:multiLevelType w:val="hybridMultilevel"/>
    <w:tmpl w:val="8B6A0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496574E5"/>
    <w:multiLevelType w:val="hybridMultilevel"/>
    <w:tmpl w:val="741A9052"/>
    <w:lvl w:ilvl="0" w:tplc="470ABF7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4A793884"/>
    <w:multiLevelType w:val="multilevel"/>
    <w:tmpl w:val="97E0176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10.%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4">
    <w:nsid w:val="4AF13521"/>
    <w:multiLevelType w:val="hybridMultilevel"/>
    <w:tmpl w:val="86BE8B10"/>
    <w:lvl w:ilvl="0">
      <w:start w:val="3"/>
      <w:numFmt w:val="bullet"/>
      <w:lvlText w:val="-"/>
      <w:lvlJc w:val="left"/>
      <w:pPr>
        <w:ind w:left="720" w:hanging="360"/>
      </w:pPr>
      <w:rPr>
        <w:rFonts w:ascii="Times New Roman" w:eastAsia="Calibri" w:hAnsi="Times New Roman"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5">
    <w:nsid w:val="4B0A0948"/>
    <w:multiLevelType w:val="hybridMultilevel"/>
    <w:tmpl w:val="2C9CAA0C"/>
    <w:lvl w:ilvl="0" w:tplc="04090019">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4B0E0E5F"/>
    <w:multiLevelType w:val="multilevel"/>
    <w:tmpl w:val="5E2657E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6.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7">
    <w:nsid w:val="4B7B5FB1"/>
    <w:multiLevelType w:val="multilevel"/>
    <w:tmpl w:val="EE3E656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6.%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8">
    <w:nsid w:val="4B8B4734"/>
    <w:multiLevelType w:val="multilevel"/>
    <w:tmpl w:val="08FC23A6"/>
    <w:lvl w:ilvl="0">
      <w:start w:val="10"/>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1"/>
      <w:numFmt w:val="decimal"/>
      <w:lvlText w:val="%1.%2.%3"/>
      <w:lvlJc w:val="left"/>
      <w:pPr>
        <w:ind w:left="864" w:hanging="864"/>
      </w:pPr>
      <w:rPr>
        <w:rFonts w:hint="default"/>
        <w:color w:val="FF000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9">
    <w:nsid w:val="4BC335AB"/>
    <w:multiLevelType w:val="hybridMultilevel"/>
    <w:tmpl w:val="7FCE826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0">
    <w:nsid w:val="4C8D71D6"/>
    <w:multiLevelType w:val="multilevel"/>
    <w:tmpl w:val="F5B819A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1">
    <w:nsid w:val="4C9253E1"/>
    <w:multiLevelType w:val="multilevel"/>
    <w:tmpl w:val="ED3E284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2">
    <w:nsid w:val="4D102CE3"/>
    <w:multiLevelType w:val="hybridMultilevel"/>
    <w:tmpl w:val="C7F212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3">
    <w:nsid w:val="4D127970"/>
    <w:multiLevelType w:val="hybridMultilevel"/>
    <w:tmpl w:val="08E0CB8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4">
    <w:nsid w:val="4D25410E"/>
    <w:multiLevelType w:val="hybridMultilevel"/>
    <w:tmpl w:val="D6483F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5">
    <w:nsid w:val="4D6E3B33"/>
    <w:multiLevelType w:val="hybridMultilevel"/>
    <w:tmpl w:val="81B0E1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4D811CC6"/>
    <w:multiLevelType w:val="hybridMultilevel"/>
    <w:tmpl w:val="FE16393A"/>
    <w:lvl w:ilvl="0" w:tplc="0413000F">
      <w:start w:val="1"/>
      <w:numFmt w:val="bullet"/>
      <w:lvlText w:val=""/>
      <w:lvlJc w:val="left"/>
      <w:pPr>
        <w:ind w:left="360" w:hanging="360"/>
      </w:pPr>
      <w:rPr>
        <w:rFonts w:ascii="Symbol" w:hAnsi="Symbol" w:hint="default"/>
      </w:rPr>
    </w:lvl>
    <w:lvl w:ilvl="1" w:tplc="04130019" w:tentative="1">
      <w:start w:val="1"/>
      <w:numFmt w:val="bullet"/>
      <w:lvlText w:val="o"/>
      <w:lvlJc w:val="left"/>
      <w:pPr>
        <w:ind w:left="1080" w:hanging="360"/>
      </w:pPr>
      <w:rPr>
        <w:rFonts w:ascii="Courier New" w:hAnsi="Courier New" w:cs="Courier New" w:hint="default"/>
      </w:rPr>
    </w:lvl>
    <w:lvl w:ilvl="2" w:tplc="0413001B" w:tentative="1">
      <w:start w:val="1"/>
      <w:numFmt w:val="bullet"/>
      <w:lvlText w:val=""/>
      <w:lvlJc w:val="left"/>
      <w:pPr>
        <w:ind w:left="1800" w:hanging="360"/>
      </w:pPr>
      <w:rPr>
        <w:rFonts w:ascii="Wingdings" w:hAnsi="Wingdings" w:hint="default"/>
      </w:rPr>
    </w:lvl>
    <w:lvl w:ilvl="3" w:tplc="0413000F" w:tentative="1">
      <w:start w:val="1"/>
      <w:numFmt w:val="bullet"/>
      <w:lvlText w:val=""/>
      <w:lvlJc w:val="left"/>
      <w:pPr>
        <w:ind w:left="2520" w:hanging="360"/>
      </w:pPr>
      <w:rPr>
        <w:rFonts w:ascii="Symbol" w:hAnsi="Symbol" w:hint="default"/>
      </w:rPr>
    </w:lvl>
    <w:lvl w:ilvl="4" w:tplc="04130019" w:tentative="1">
      <w:start w:val="1"/>
      <w:numFmt w:val="bullet"/>
      <w:lvlText w:val="o"/>
      <w:lvlJc w:val="left"/>
      <w:pPr>
        <w:ind w:left="3240" w:hanging="360"/>
      </w:pPr>
      <w:rPr>
        <w:rFonts w:ascii="Courier New" w:hAnsi="Courier New" w:cs="Courier New" w:hint="default"/>
      </w:rPr>
    </w:lvl>
    <w:lvl w:ilvl="5" w:tplc="0413001B" w:tentative="1">
      <w:start w:val="1"/>
      <w:numFmt w:val="bullet"/>
      <w:lvlText w:val=""/>
      <w:lvlJc w:val="left"/>
      <w:pPr>
        <w:ind w:left="3960" w:hanging="360"/>
      </w:pPr>
      <w:rPr>
        <w:rFonts w:ascii="Wingdings" w:hAnsi="Wingdings" w:hint="default"/>
      </w:rPr>
    </w:lvl>
    <w:lvl w:ilvl="6" w:tplc="0413000F" w:tentative="1">
      <w:start w:val="1"/>
      <w:numFmt w:val="bullet"/>
      <w:lvlText w:val=""/>
      <w:lvlJc w:val="left"/>
      <w:pPr>
        <w:ind w:left="4680" w:hanging="360"/>
      </w:pPr>
      <w:rPr>
        <w:rFonts w:ascii="Symbol" w:hAnsi="Symbol" w:hint="default"/>
      </w:rPr>
    </w:lvl>
    <w:lvl w:ilvl="7" w:tplc="04130019" w:tentative="1">
      <w:start w:val="1"/>
      <w:numFmt w:val="bullet"/>
      <w:lvlText w:val="o"/>
      <w:lvlJc w:val="left"/>
      <w:pPr>
        <w:ind w:left="5400" w:hanging="360"/>
      </w:pPr>
      <w:rPr>
        <w:rFonts w:ascii="Courier New" w:hAnsi="Courier New" w:cs="Courier New" w:hint="default"/>
      </w:rPr>
    </w:lvl>
    <w:lvl w:ilvl="8" w:tplc="0413001B" w:tentative="1">
      <w:start w:val="1"/>
      <w:numFmt w:val="bullet"/>
      <w:lvlText w:val=""/>
      <w:lvlJc w:val="left"/>
      <w:pPr>
        <w:ind w:left="6120" w:hanging="360"/>
      </w:pPr>
      <w:rPr>
        <w:rFonts w:ascii="Wingdings" w:hAnsi="Wingdings" w:hint="default"/>
      </w:rPr>
    </w:lvl>
  </w:abstractNum>
  <w:abstractNum w:abstractNumId="177">
    <w:nsid w:val="4DC7174A"/>
    <w:multiLevelType w:val="hybridMultilevel"/>
    <w:tmpl w:val="CDAA9BD2"/>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4E7051FE"/>
    <w:multiLevelType w:val="multilevel"/>
    <w:tmpl w:val="3F0ABD6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3.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9">
    <w:nsid w:val="4EBE0A66"/>
    <w:multiLevelType w:val="multilevel"/>
    <w:tmpl w:val="E56A924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6.%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0">
    <w:nsid w:val="4F512BD6"/>
    <w:multiLevelType w:val="hybridMultilevel"/>
    <w:tmpl w:val="4746D178"/>
    <w:lvl w:ilvl="0">
      <w:start w:val="5"/>
      <w:numFmt w:val="decimal"/>
      <w:lvlText w:val="(%1)"/>
      <w:lvlJc w:val="left"/>
      <w:pPr>
        <w:ind w:left="720" w:hanging="360"/>
      </w:pPr>
      <w:rPr>
        <w:rFonts w:hint="default"/>
        <w:i/>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1">
    <w:nsid w:val="4F6648B2"/>
    <w:multiLevelType w:val="hybridMultilevel"/>
    <w:tmpl w:val="BE10DD7C"/>
    <w:lvl w:ilvl="0">
      <w:start w:val="1"/>
      <w:numFmt w:val="bullet"/>
      <w:lvlText w:val=""/>
      <w:lvlJc w:val="left"/>
      <w:pPr>
        <w:ind w:left="126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4FF8165A"/>
    <w:multiLevelType w:val="hybridMultilevel"/>
    <w:tmpl w:val="4008D8BA"/>
    <w:lvl w:ilvl="0" w:tplc="4BD21C48">
      <w:start w:val="1"/>
      <w:numFmt w:val="bullet"/>
      <w:lvlText w:val=""/>
      <w:lvlJc w:val="left"/>
      <w:pPr>
        <w:ind w:left="360" w:hanging="360"/>
      </w:pPr>
      <w:rPr>
        <w:rFonts w:ascii="Symbol" w:hAnsi="Symbol" w:hint="default"/>
      </w:rPr>
    </w:lvl>
    <w:lvl w:ilvl="1" w:tplc="04090019">
      <w:numFmt w:val="bullet"/>
      <w:lvlText w:val="·"/>
      <w:lvlJc w:val="left"/>
      <w:pPr>
        <w:ind w:left="1335" w:hanging="615"/>
      </w:pPr>
      <w:rPr>
        <w:rFonts w:ascii="Times New Roman" w:eastAsia="Times New Roman" w:hAnsi="Times New Roman" w:cs="Times New Roman"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83">
    <w:nsid w:val="502E3997"/>
    <w:multiLevelType w:val="hybridMultilevel"/>
    <w:tmpl w:val="05BEADE6"/>
    <w:lvl w:ilvl="0" w:tplc="04090001">
      <w:start w:val="1"/>
      <w:numFmt w:val="bullet"/>
      <w:lvlText w:val=""/>
      <w:lvlJc w:val="left"/>
      <w:pPr>
        <w:ind w:left="720" w:hanging="360"/>
      </w:pPr>
      <w:rPr>
        <w:rFonts w:ascii="Symbol" w:hAnsi="Symbol" w:hint="default"/>
      </w:rPr>
    </w:lvl>
    <w:lvl w:ilvl="1" w:tplc="FBDA7A26"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50576347"/>
    <w:multiLevelType w:val="multilevel"/>
    <w:tmpl w:val="57B8BC6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4.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5">
    <w:nsid w:val="51422833"/>
    <w:multiLevelType w:val="hybridMultilevel"/>
    <w:tmpl w:val="AA3A145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6">
    <w:nsid w:val="51D80DCF"/>
    <w:multiLevelType w:val="hybridMultilevel"/>
    <w:tmpl w:val="C5B4008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87">
    <w:nsid w:val="52210B3F"/>
    <w:multiLevelType w:val="hybridMultilevel"/>
    <w:tmpl w:val="63A4E220"/>
    <w:lvl w:ilvl="0" w:tplc="04090001">
      <w:start w:val="1"/>
      <w:numFmt w:val="decimal"/>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88">
    <w:nsid w:val="532B6CED"/>
    <w:multiLevelType w:val="hybridMultilevel"/>
    <w:tmpl w:val="FC34F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nsid w:val="534A0298"/>
    <w:multiLevelType w:val="hybridMultilevel"/>
    <w:tmpl w:val="6DCCBB52"/>
    <w:lvl w:ilvl="0" w:tplc="0413000F">
      <w:start w:val="1"/>
      <w:numFmt w:val="bullet"/>
      <w:lvlText w:val=""/>
      <w:lvlJc w:val="left"/>
      <w:pPr>
        <w:tabs>
          <w:tab w:val="num" w:pos="720"/>
        </w:tabs>
        <w:ind w:left="720" w:hanging="360"/>
      </w:pPr>
      <w:rPr>
        <w:rFonts w:ascii="Wingdings" w:hAnsi="Wingdings" w:hint="default"/>
      </w:rPr>
    </w:lvl>
    <w:lvl w:ilvl="1" w:tplc="04130019" w:tentative="1">
      <w:start w:val="1"/>
      <w:numFmt w:val="bullet"/>
      <w:lvlText w:val=""/>
      <w:lvlJc w:val="left"/>
      <w:pPr>
        <w:tabs>
          <w:tab w:val="num" w:pos="1440"/>
        </w:tabs>
        <w:ind w:left="1440" w:hanging="360"/>
      </w:pPr>
      <w:rPr>
        <w:rFonts w:ascii="Wingdings" w:hAnsi="Wingdings"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Wingdings" w:hAnsi="Wingdings" w:hint="default"/>
      </w:rPr>
    </w:lvl>
    <w:lvl w:ilvl="4" w:tplc="04130019" w:tentative="1">
      <w:start w:val="1"/>
      <w:numFmt w:val="bullet"/>
      <w:lvlText w:val=""/>
      <w:lvlJc w:val="left"/>
      <w:pPr>
        <w:tabs>
          <w:tab w:val="num" w:pos="3600"/>
        </w:tabs>
        <w:ind w:left="3600" w:hanging="360"/>
      </w:pPr>
      <w:rPr>
        <w:rFonts w:ascii="Wingdings" w:hAnsi="Wingdings"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Wingdings" w:hAnsi="Wingdings" w:hint="default"/>
      </w:rPr>
    </w:lvl>
    <w:lvl w:ilvl="7" w:tplc="04130019" w:tentative="1">
      <w:start w:val="1"/>
      <w:numFmt w:val="bullet"/>
      <w:lvlText w:val=""/>
      <w:lvlJc w:val="left"/>
      <w:pPr>
        <w:tabs>
          <w:tab w:val="num" w:pos="5760"/>
        </w:tabs>
        <w:ind w:left="5760" w:hanging="360"/>
      </w:pPr>
      <w:rPr>
        <w:rFonts w:ascii="Wingdings" w:hAnsi="Wingdings"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190">
    <w:nsid w:val="536C2016"/>
    <w:multiLevelType w:val="multilevel"/>
    <w:tmpl w:val="E33AD7A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9.%3."/>
      <w:lvlJc w:val="left"/>
      <w:pPr>
        <w:ind w:left="167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1">
    <w:nsid w:val="54E946A4"/>
    <w:multiLevelType w:val="multilevel"/>
    <w:tmpl w:val="A6AA3178"/>
    <w:lvl w:ilvl="0">
      <w:start w:val="9"/>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2">
    <w:nsid w:val="557D63FF"/>
    <w:multiLevelType w:val="hybridMultilevel"/>
    <w:tmpl w:val="1224568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3">
    <w:nsid w:val="559213EA"/>
    <w:multiLevelType w:val="hybridMultilevel"/>
    <w:tmpl w:val="5B32F8EC"/>
    <w:lvl w:ilvl="0">
      <w:start w:val="1"/>
      <w:numFmt w:val="decimal"/>
      <w:lvlText w:val="%1."/>
      <w:lvlJc w:val="left"/>
      <w:pPr>
        <w:ind w:left="720" w:hanging="360"/>
      </w:pPr>
    </w:lvl>
    <w:lvl w:ilvl="1" w:tentative="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4">
    <w:nsid w:val="576916B7"/>
    <w:multiLevelType w:val="hybridMultilevel"/>
    <w:tmpl w:val="1BAE247E"/>
    <w:lvl w:ilvl="0" w:tplc="0409000F">
      <w:start w:val="1"/>
      <w:numFmt w:val="bullet"/>
      <w:lvlText w:val="o"/>
      <w:lvlJc w:val="left"/>
      <w:pPr>
        <w:ind w:left="720" w:hanging="360"/>
      </w:pPr>
      <w:rPr>
        <w:rFonts w:ascii="Courier New" w:hAnsi="Courier New" w:cs="Courier New" w:hint="default"/>
      </w:rPr>
    </w:lvl>
    <w:lvl w:ilvl="1" w:tplc="04090019">
      <w:start w:val="1"/>
      <w:numFmt w:val="bullet"/>
      <w:lvlText w:val="-"/>
      <w:lvlJc w:val="left"/>
      <w:pPr>
        <w:ind w:left="1440" w:hanging="360"/>
      </w:pPr>
      <w:rPr>
        <w:rFonts w:ascii="Segoe UI" w:eastAsia="Calibri" w:hAnsi="Segoe UI" w:cs="Segoe UI"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95">
    <w:nsid w:val="58242347"/>
    <w:multiLevelType w:val="multilevel"/>
    <w:tmpl w:val="3C9CAEF2"/>
    <w:styleLink w:val="Opsomming"/>
    <w:lvl w:ilvl="0">
      <w:start w:val="1"/>
      <w:numFmt w:val="bullet"/>
      <w:lvlText w:val="o"/>
      <w:lvlJc w:val="left"/>
      <w:pPr>
        <w:tabs>
          <w:tab w:val="num" w:pos="301"/>
        </w:tabs>
        <w:ind w:left="301" w:hanging="301"/>
      </w:pPr>
      <w:rPr>
        <w:rFonts w:ascii="Courier New" w:hAnsi="Courier New" w:cs="Courier New" w:hint="default"/>
      </w:rPr>
    </w:lvl>
    <w:lvl w:ilvl="1">
      <w:start w:val="1"/>
      <w:numFmt w:val="bullet"/>
      <w:lvlText w:val=""/>
      <w:lvlJc w:val="left"/>
      <w:pPr>
        <w:tabs>
          <w:tab w:val="num" w:pos="601"/>
        </w:tabs>
        <w:ind w:left="601" w:hanging="300"/>
      </w:pPr>
      <w:rPr>
        <w:rFonts w:ascii="Symbol" w:hAnsi="Symbol" w:hint="default"/>
      </w:rPr>
    </w:lvl>
    <w:lvl w:ilvl="2">
      <w:start w:val="1"/>
      <w:numFmt w:val="bullet"/>
      <w:lvlText w:val="-"/>
      <w:lvlJc w:val="left"/>
      <w:pPr>
        <w:tabs>
          <w:tab w:val="num" w:pos="902"/>
        </w:tabs>
        <w:ind w:left="902" w:hanging="301"/>
      </w:pPr>
      <w:rPr>
        <w:rFonts w:ascii="Segoe UI" w:hAnsi="Segoe UI" w:hint="default"/>
      </w:rPr>
    </w:lvl>
    <w:lvl w:ilvl="3">
      <w:start w:val="1"/>
      <w:numFmt w:val="bullet"/>
      <w:lvlText w:val="-"/>
      <w:lvlJc w:val="left"/>
      <w:pPr>
        <w:tabs>
          <w:tab w:val="num" w:pos="902"/>
        </w:tabs>
        <w:ind w:left="902" w:hanging="301"/>
      </w:pPr>
      <w:rPr>
        <w:rFonts w:ascii="Arial" w:hAnsi="Arial" w:hint="default"/>
      </w:rPr>
    </w:lvl>
    <w:lvl w:ilvl="4">
      <w:start w:val="1"/>
      <w:numFmt w:val="bullet"/>
      <w:lvlText w:val="-"/>
      <w:lvlJc w:val="left"/>
      <w:pPr>
        <w:tabs>
          <w:tab w:val="num" w:pos="902"/>
        </w:tabs>
        <w:ind w:left="902" w:hanging="301"/>
      </w:pPr>
      <w:rPr>
        <w:rFonts w:ascii="Arial" w:hAnsi="Arial" w:hint="default"/>
      </w:rPr>
    </w:lvl>
    <w:lvl w:ilvl="5">
      <w:start w:val="1"/>
      <w:numFmt w:val="bullet"/>
      <w:lvlText w:val="-"/>
      <w:lvlJc w:val="left"/>
      <w:pPr>
        <w:tabs>
          <w:tab w:val="num" w:pos="902"/>
        </w:tabs>
        <w:ind w:left="902" w:hanging="301"/>
      </w:pPr>
      <w:rPr>
        <w:rFonts w:ascii="Arial" w:hAnsi="Arial" w:hint="default"/>
      </w:rPr>
    </w:lvl>
    <w:lvl w:ilvl="6">
      <w:start w:val="1"/>
      <w:numFmt w:val="bullet"/>
      <w:lvlText w:val="-"/>
      <w:lvlJc w:val="left"/>
      <w:pPr>
        <w:tabs>
          <w:tab w:val="num" w:pos="902"/>
        </w:tabs>
        <w:ind w:left="902" w:hanging="301"/>
      </w:pPr>
      <w:rPr>
        <w:rFonts w:ascii="Arial" w:hAnsi="Arial" w:hint="default"/>
      </w:rPr>
    </w:lvl>
    <w:lvl w:ilvl="7">
      <w:start w:val="1"/>
      <w:numFmt w:val="bullet"/>
      <w:lvlText w:val="-"/>
      <w:lvlJc w:val="left"/>
      <w:pPr>
        <w:tabs>
          <w:tab w:val="num" w:pos="902"/>
        </w:tabs>
        <w:ind w:left="902" w:hanging="301"/>
      </w:pPr>
      <w:rPr>
        <w:rFonts w:ascii="Arial" w:hAnsi="Arial" w:hint="default"/>
      </w:rPr>
    </w:lvl>
    <w:lvl w:ilvl="8">
      <w:start w:val="1"/>
      <w:numFmt w:val="bullet"/>
      <w:lvlText w:val="-"/>
      <w:lvlJc w:val="left"/>
      <w:pPr>
        <w:tabs>
          <w:tab w:val="num" w:pos="902"/>
        </w:tabs>
        <w:ind w:left="902" w:hanging="301"/>
      </w:pPr>
      <w:rPr>
        <w:rFonts w:ascii="Arial" w:hAnsi="Arial" w:hint="default"/>
      </w:rPr>
    </w:lvl>
  </w:abstractNum>
  <w:abstractNum w:abstractNumId="196">
    <w:nsid w:val="590976F1"/>
    <w:multiLevelType w:val="hybridMultilevel"/>
    <w:tmpl w:val="BA1E970E"/>
    <w:lvl w:ilvl="0" w:tplc="04090003">
      <w:start w:val="1"/>
      <w:numFmt w:val="bullet"/>
      <w:lvlText w:val=""/>
      <w:lvlJc w:val="left"/>
      <w:pPr>
        <w:ind w:left="720" w:hanging="360"/>
      </w:pPr>
      <w:rPr>
        <w:rFonts w:ascii="Symbol" w:hAnsi="Symbol" w:hint="default"/>
      </w:rPr>
    </w:lvl>
    <w:lvl w:ilvl="1" w:tplc="0F5470F6"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59351287"/>
    <w:multiLevelType w:val="multilevel"/>
    <w:tmpl w:val="782CC0B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7.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8">
    <w:nsid w:val="59403D3D"/>
    <w:multiLevelType w:val="hybridMultilevel"/>
    <w:tmpl w:val="DEEE13A0"/>
    <w:lvl w:ilvl="0" w:tplc="04090001">
      <w:start w:val="1"/>
      <w:numFmt w:val="bullet"/>
      <w:lvlText w:val="•"/>
      <w:lvlJc w:val="left"/>
      <w:pPr>
        <w:ind w:left="377" w:hanging="201"/>
      </w:pPr>
      <w:rPr>
        <w:rFonts w:ascii="Calibri" w:eastAsia="Calibri" w:hAnsi="Calibri" w:hint="default"/>
        <w:color w:val="231F20"/>
        <w:w w:val="133"/>
        <w:sz w:val="19"/>
        <w:szCs w:val="19"/>
      </w:rPr>
    </w:lvl>
    <w:lvl w:ilvl="1" w:tplc="04090003">
      <w:start w:val="1"/>
      <w:numFmt w:val="bullet"/>
      <w:lvlText w:val="•"/>
      <w:lvlJc w:val="left"/>
      <w:pPr>
        <w:ind w:left="824" w:hanging="201"/>
      </w:pPr>
      <w:rPr>
        <w:rFonts w:hint="default"/>
      </w:rPr>
    </w:lvl>
    <w:lvl w:ilvl="2" w:tplc="04090005">
      <w:start w:val="1"/>
      <w:numFmt w:val="bullet"/>
      <w:lvlText w:val="•"/>
      <w:lvlJc w:val="left"/>
      <w:pPr>
        <w:ind w:left="1270" w:hanging="201"/>
      </w:pPr>
      <w:rPr>
        <w:rFonts w:hint="default"/>
      </w:rPr>
    </w:lvl>
    <w:lvl w:ilvl="3" w:tplc="04090001">
      <w:start w:val="1"/>
      <w:numFmt w:val="bullet"/>
      <w:lvlText w:val="•"/>
      <w:lvlJc w:val="left"/>
      <w:pPr>
        <w:ind w:left="1717" w:hanging="201"/>
      </w:pPr>
      <w:rPr>
        <w:rFonts w:hint="default"/>
      </w:rPr>
    </w:lvl>
    <w:lvl w:ilvl="4" w:tplc="04090003">
      <w:start w:val="1"/>
      <w:numFmt w:val="bullet"/>
      <w:lvlText w:val="•"/>
      <w:lvlJc w:val="left"/>
      <w:pPr>
        <w:ind w:left="2164" w:hanging="201"/>
      </w:pPr>
      <w:rPr>
        <w:rFonts w:hint="default"/>
      </w:rPr>
    </w:lvl>
    <w:lvl w:ilvl="5" w:tplc="04090005">
      <w:start w:val="1"/>
      <w:numFmt w:val="bullet"/>
      <w:lvlText w:val="•"/>
      <w:lvlJc w:val="left"/>
      <w:pPr>
        <w:ind w:left="2611" w:hanging="201"/>
      </w:pPr>
      <w:rPr>
        <w:rFonts w:hint="default"/>
      </w:rPr>
    </w:lvl>
    <w:lvl w:ilvl="6" w:tplc="04090001">
      <w:start w:val="1"/>
      <w:numFmt w:val="bullet"/>
      <w:lvlText w:val="•"/>
      <w:lvlJc w:val="left"/>
      <w:pPr>
        <w:ind w:left="3057" w:hanging="201"/>
      </w:pPr>
      <w:rPr>
        <w:rFonts w:hint="default"/>
      </w:rPr>
    </w:lvl>
    <w:lvl w:ilvl="7" w:tplc="04090003">
      <w:start w:val="1"/>
      <w:numFmt w:val="bullet"/>
      <w:lvlText w:val="•"/>
      <w:lvlJc w:val="left"/>
      <w:pPr>
        <w:ind w:left="3504" w:hanging="201"/>
      </w:pPr>
      <w:rPr>
        <w:rFonts w:hint="default"/>
      </w:rPr>
    </w:lvl>
    <w:lvl w:ilvl="8" w:tplc="04090005">
      <w:start w:val="1"/>
      <w:numFmt w:val="bullet"/>
      <w:lvlText w:val="•"/>
      <w:lvlJc w:val="left"/>
      <w:pPr>
        <w:ind w:left="3951" w:hanging="201"/>
      </w:pPr>
      <w:rPr>
        <w:rFonts w:hint="default"/>
      </w:rPr>
    </w:lvl>
  </w:abstractNum>
  <w:abstractNum w:abstractNumId="199">
    <w:nsid w:val="5949064C"/>
    <w:multiLevelType w:val="multilevel"/>
    <w:tmpl w:val="3D5A19A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7.3.%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0">
    <w:nsid w:val="59527652"/>
    <w:multiLevelType w:val="hybridMultilevel"/>
    <w:tmpl w:val="16F05BFA"/>
    <w:lvl w:ilvl="0" w:tplc="470ABF74">
      <w:start w:val="1"/>
      <w:numFmt w:val="bullet"/>
      <w:lvlText w:val="-"/>
      <w:lvlJc w:val="left"/>
      <w:pPr>
        <w:ind w:left="1080" w:hanging="360"/>
      </w:pPr>
      <w:rPr>
        <w:rFonts w:ascii="Segoe UI" w:eastAsia="Calibri" w:hAnsi="Segoe UI" w:cs="Segoe UI" w:hint="default"/>
      </w:rPr>
    </w:lvl>
    <w:lvl w:ilvl="1" w:tplc="7A1E5ADE" w:tentative="1">
      <w:start w:val="1"/>
      <w:numFmt w:val="bullet"/>
      <w:lvlText w:val="o"/>
      <w:lvlJc w:val="left"/>
      <w:pPr>
        <w:ind w:left="1800" w:hanging="360"/>
      </w:pPr>
      <w:rPr>
        <w:rFonts w:ascii="Courier New" w:hAnsi="Courier New" w:cs="Courier New" w:hint="default"/>
      </w:rPr>
    </w:lvl>
    <w:lvl w:ilvl="2" w:tplc="916A1EE0" w:tentative="1">
      <w:start w:val="1"/>
      <w:numFmt w:val="bullet"/>
      <w:lvlText w:val=""/>
      <w:lvlJc w:val="left"/>
      <w:pPr>
        <w:ind w:left="2520" w:hanging="360"/>
      </w:pPr>
      <w:rPr>
        <w:rFonts w:ascii="Wingdings" w:hAnsi="Wingdings" w:hint="default"/>
      </w:rPr>
    </w:lvl>
    <w:lvl w:ilvl="3" w:tplc="DFBA82EA" w:tentative="1">
      <w:start w:val="1"/>
      <w:numFmt w:val="bullet"/>
      <w:lvlText w:val=""/>
      <w:lvlJc w:val="left"/>
      <w:pPr>
        <w:ind w:left="3240" w:hanging="360"/>
      </w:pPr>
      <w:rPr>
        <w:rFonts w:ascii="Symbol" w:hAnsi="Symbol" w:hint="default"/>
      </w:rPr>
    </w:lvl>
    <w:lvl w:ilvl="4" w:tplc="C3ECC4F0" w:tentative="1">
      <w:start w:val="1"/>
      <w:numFmt w:val="bullet"/>
      <w:lvlText w:val="o"/>
      <w:lvlJc w:val="left"/>
      <w:pPr>
        <w:ind w:left="3960" w:hanging="360"/>
      </w:pPr>
      <w:rPr>
        <w:rFonts w:ascii="Courier New" w:hAnsi="Courier New" w:cs="Courier New" w:hint="default"/>
      </w:rPr>
    </w:lvl>
    <w:lvl w:ilvl="5" w:tplc="A456ECAC" w:tentative="1">
      <w:start w:val="1"/>
      <w:numFmt w:val="bullet"/>
      <w:lvlText w:val=""/>
      <w:lvlJc w:val="left"/>
      <w:pPr>
        <w:ind w:left="4680" w:hanging="360"/>
      </w:pPr>
      <w:rPr>
        <w:rFonts w:ascii="Wingdings" w:hAnsi="Wingdings" w:hint="default"/>
      </w:rPr>
    </w:lvl>
    <w:lvl w:ilvl="6" w:tplc="278C87F8" w:tentative="1">
      <w:start w:val="1"/>
      <w:numFmt w:val="bullet"/>
      <w:lvlText w:val=""/>
      <w:lvlJc w:val="left"/>
      <w:pPr>
        <w:ind w:left="5400" w:hanging="360"/>
      </w:pPr>
      <w:rPr>
        <w:rFonts w:ascii="Symbol" w:hAnsi="Symbol" w:hint="default"/>
      </w:rPr>
    </w:lvl>
    <w:lvl w:ilvl="7" w:tplc="A9767E2C" w:tentative="1">
      <w:start w:val="1"/>
      <w:numFmt w:val="bullet"/>
      <w:lvlText w:val="o"/>
      <w:lvlJc w:val="left"/>
      <w:pPr>
        <w:ind w:left="6120" w:hanging="360"/>
      </w:pPr>
      <w:rPr>
        <w:rFonts w:ascii="Courier New" w:hAnsi="Courier New" w:cs="Courier New" w:hint="default"/>
      </w:rPr>
    </w:lvl>
    <w:lvl w:ilvl="8" w:tplc="D7A6B70E" w:tentative="1">
      <w:start w:val="1"/>
      <w:numFmt w:val="bullet"/>
      <w:lvlText w:val=""/>
      <w:lvlJc w:val="left"/>
      <w:pPr>
        <w:ind w:left="6840" w:hanging="360"/>
      </w:pPr>
      <w:rPr>
        <w:rFonts w:ascii="Wingdings" w:hAnsi="Wingdings" w:hint="default"/>
      </w:rPr>
    </w:lvl>
  </w:abstractNum>
  <w:abstractNum w:abstractNumId="201">
    <w:nsid w:val="5AA124B5"/>
    <w:multiLevelType w:val="hybridMultilevel"/>
    <w:tmpl w:val="97EEEF6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02">
    <w:nsid w:val="5AB92A42"/>
    <w:multiLevelType w:val="hybridMultilevel"/>
    <w:tmpl w:val="C69AA534"/>
    <w:lvl w:ilvl="0" w:tplc="0F5470F6">
      <w:start w:val="1"/>
      <w:numFmt w:val="lowerLetter"/>
      <w:lvlText w:val="%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3">
    <w:nsid w:val="5AD6035C"/>
    <w:multiLevelType w:val="hybridMultilevel"/>
    <w:tmpl w:val="299A4688"/>
    <w:lvl w:ilvl="0" w:tplc="1A4E91AA">
      <w:start w:val="1"/>
      <w:numFmt w:val="bullet"/>
      <w:lvlText w:val=""/>
      <w:lvlJc w:val="left"/>
      <w:pPr>
        <w:ind w:left="720" w:hanging="360"/>
      </w:pPr>
      <w:rPr>
        <w:rFonts w:ascii="Symbol" w:hAnsi="Symbol" w:hint="default"/>
      </w:rPr>
    </w:lvl>
    <w:lvl w:ilvl="1" w:tplc="BD387F3E" w:tentative="1">
      <w:start w:val="1"/>
      <w:numFmt w:val="bullet"/>
      <w:lvlText w:val="o"/>
      <w:lvlJc w:val="left"/>
      <w:pPr>
        <w:ind w:left="1440" w:hanging="360"/>
      </w:pPr>
      <w:rPr>
        <w:rFonts w:ascii="Courier New" w:hAnsi="Courier New" w:cs="Courier New" w:hint="default"/>
      </w:rPr>
    </w:lvl>
    <w:lvl w:ilvl="2" w:tplc="DA941142" w:tentative="1">
      <w:start w:val="1"/>
      <w:numFmt w:val="bullet"/>
      <w:lvlText w:val=""/>
      <w:lvlJc w:val="left"/>
      <w:pPr>
        <w:ind w:left="2160" w:hanging="360"/>
      </w:pPr>
      <w:rPr>
        <w:rFonts w:ascii="Wingdings" w:hAnsi="Wingdings" w:hint="default"/>
      </w:rPr>
    </w:lvl>
    <w:lvl w:ilvl="3" w:tplc="854C183C" w:tentative="1">
      <w:start w:val="1"/>
      <w:numFmt w:val="bullet"/>
      <w:lvlText w:val=""/>
      <w:lvlJc w:val="left"/>
      <w:pPr>
        <w:ind w:left="2880" w:hanging="360"/>
      </w:pPr>
      <w:rPr>
        <w:rFonts w:ascii="Symbol" w:hAnsi="Symbol" w:hint="default"/>
      </w:rPr>
    </w:lvl>
    <w:lvl w:ilvl="4" w:tplc="398AB55A" w:tentative="1">
      <w:start w:val="1"/>
      <w:numFmt w:val="bullet"/>
      <w:lvlText w:val="o"/>
      <w:lvlJc w:val="left"/>
      <w:pPr>
        <w:ind w:left="3600" w:hanging="360"/>
      </w:pPr>
      <w:rPr>
        <w:rFonts w:ascii="Courier New" w:hAnsi="Courier New" w:cs="Courier New" w:hint="default"/>
      </w:rPr>
    </w:lvl>
    <w:lvl w:ilvl="5" w:tplc="C37C1BFA" w:tentative="1">
      <w:start w:val="1"/>
      <w:numFmt w:val="bullet"/>
      <w:lvlText w:val=""/>
      <w:lvlJc w:val="left"/>
      <w:pPr>
        <w:ind w:left="4320" w:hanging="360"/>
      </w:pPr>
      <w:rPr>
        <w:rFonts w:ascii="Wingdings" w:hAnsi="Wingdings" w:hint="default"/>
      </w:rPr>
    </w:lvl>
    <w:lvl w:ilvl="6" w:tplc="9FFABD14" w:tentative="1">
      <w:start w:val="1"/>
      <w:numFmt w:val="bullet"/>
      <w:lvlText w:val=""/>
      <w:lvlJc w:val="left"/>
      <w:pPr>
        <w:ind w:left="5040" w:hanging="360"/>
      </w:pPr>
      <w:rPr>
        <w:rFonts w:ascii="Symbol" w:hAnsi="Symbol" w:hint="default"/>
      </w:rPr>
    </w:lvl>
    <w:lvl w:ilvl="7" w:tplc="2416A87C" w:tentative="1">
      <w:start w:val="1"/>
      <w:numFmt w:val="bullet"/>
      <w:lvlText w:val="o"/>
      <w:lvlJc w:val="left"/>
      <w:pPr>
        <w:ind w:left="5760" w:hanging="360"/>
      </w:pPr>
      <w:rPr>
        <w:rFonts w:ascii="Courier New" w:hAnsi="Courier New" w:cs="Courier New" w:hint="default"/>
      </w:rPr>
    </w:lvl>
    <w:lvl w:ilvl="8" w:tplc="06507B8A" w:tentative="1">
      <w:start w:val="1"/>
      <w:numFmt w:val="bullet"/>
      <w:lvlText w:val=""/>
      <w:lvlJc w:val="left"/>
      <w:pPr>
        <w:ind w:left="6480" w:hanging="360"/>
      </w:pPr>
      <w:rPr>
        <w:rFonts w:ascii="Wingdings" w:hAnsi="Wingdings" w:hint="default"/>
      </w:rPr>
    </w:lvl>
  </w:abstractNum>
  <w:abstractNum w:abstractNumId="204">
    <w:nsid w:val="5B7C7440"/>
    <w:multiLevelType w:val="hybridMultilevel"/>
    <w:tmpl w:val="EC229B1E"/>
    <w:lvl w:ilvl="0" w:tplc="04090017">
      <w:start w:val="4"/>
      <w:numFmt w:val="bullet"/>
      <w:lvlText w:val="-"/>
      <w:lvlJc w:val="left"/>
      <w:pPr>
        <w:ind w:left="720" w:hanging="360"/>
      </w:pPr>
      <w:rPr>
        <w:rFonts w:ascii="Times New Roman" w:eastAsia="MS ??" w:hAnsi="Times New Roman" w:cs="Times New Roman"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05">
    <w:nsid w:val="5BE65AC0"/>
    <w:multiLevelType w:val="multilevel"/>
    <w:tmpl w:val="66EE4E8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upperLetter"/>
      <w:lvlText w:val="%4."/>
      <w:lvlJc w:val="left"/>
      <w:pPr>
        <w:ind w:left="2880" w:hanging="360"/>
      </w:pPr>
      <w:rPr>
        <w:rFonts w:hint="default"/>
      </w:rPr>
    </w:lvl>
    <w:lvl w:ilvl="4">
      <w:start w:val="1"/>
      <w:numFmt w:val="lowerLetter"/>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nsid w:val="5C0B606B"/>
    <w:multiLevelType w:val="multilevel"/>
    <w:tmpl w:val="3732E6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8.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7">
    <w:nsid w:val="5C1A22AA"/>
    <w:multiLevelType w:val="hybridMultilevel"/>
    <w:tmpl w:val="2ED4006E"/>
    <w:lvl w:ilvl="0">
      <w:start w:val="1"/>
      <w:numFmt w:val="bullet"/>
      <w:lvlText w:val=""/>
      <w:lvlJc w:val="left"/>
      <w:pPr>
        <w:ind w:left="682" w:hanging="353"/>
      </w:pPr>
      <w:rPr>
        <w:rFonts w:ascii="Symbol" w:hAnsi="Symbol" w:hint="default"/>
        <w:w w:val="148"/>
        <w:sz w:val="15"/>
        <w:szCs w:val="15"/>
      </w:rPr>
    </w:lvl>
    <w:lvl w:ilvl="1">
      <w:start w:val="1"/>
      <w:numFmt w:val="bullet"/>
      <w:lvlText w:val="•"/>
      <w:lvlJc w:val="left"/>
      <w:pPr>
        <w:ind w:left="1189" w:hanging="353"/>
      </w:pPr>
      <w:rPr>
        <w:rFonts w:ascii="Arial" w:eastAsia="Arial" w:hAnsi="Arial" w:hint="default"/>
        <w:w w:val="148"/>
        <w:sz w:val="15"/>
        <w:szCs w:val="15"/>
      </w:rPr>
    </w:lvl>
    <w:lvl w:ilvl="2">
      <w:start w:val="1"/>
      <w:numFmt w:val="bullet"/>
      <w:lvlText w:val="•"/>
      <w:lvlJc w:val="left"/>
      <w:pPr>
        <w:ind w:left="1045" w:hanging="353"/>
      </w:pPr>
      <w:rPr>
        <w:rFonts w:hint="default"/>
      </w:rPr>
    </w:lvl>
    <w:lvl w:ilvl="3">
      <w:start w:val="1"/>
      <w:numFmt w:val="bullet"/>
      <w:lvlText w:val="•"/>
      <w:lvlJc w:val="left"/>
      <w:pPr>
        <w:ind w:left="901" w:hanging="353"/>
      </w:pPr>
      <w:rPr>
        <w:rFonts w:hint="default"/>
      </w:rPr>
    </w:lvl>
    <w:lvl w:ilvl="4">
      <w:start w:val="1"/>
      <w:numFmt w:val="bullet"/>
      <w:lvlText w:val="•"/>
      <w:lvlJc w:val="left"/>
      <w:pPr>
        <w:ind w:left="757" w:hanging="353"/>
      </w:pPr>
      <w:rPr>
        <w:rFonts w:hint="default"/>
      </w:rPr>
    </w:lvl>
    <w:lvl w:ilvl="5">
      <w:start w:val="1"/>
      <w:numFmt w:val="bullet"/>
      <w:lvlText w:val="•"/>
      <w:lvlJc w:val="left"/>
      <w:pPr>
        <w:ind w:left="612" w:hanging="353"/>
      </w:pPr>
      <w:rPr>
        <w:rFonts w:hint="default"/>
      </w:rPr>
    </w:lvl>
    <w:lvl w:ilvl="6">
      <w:start w:val="1"/>
      <w:numFmt w:val="bullet"/>
      <w:lvlText w:val="•"/>
      <w:lvlJc w:val="left"/>
      <w:pPr>
        <w:ind w:left="468" w:hanging="353"/>
      </w:pPr>
      <w:rPr>
        <w:rFonts w:hint="default"/>
      </w:rPr>
    </w:lvl>
    <w:lvl w:ilvl="7">
      <w:start w:val="1"/>
      <w:numFmt w:val="bullet"/>
      <w:lvlText w:val="•"/>
      <w:lvlJc w:val="left"/>
      <w:pPr>
        <w:ind w:left="324" w:hanging="353"/>
      </w:pPr>
      <w:rPr>
        <w:rFonts w:hint="default"/>
      </w:rPr>
    </w:lvl>
    <w:lvl w:ilvl="8">
      <w:start w:val="1"/>
      <w:numFmt w:val="bullet"/>
      <w:lvlText w:val="•"/>
      <w:lvlJc w:val="left"/>
      <w:pPr>
        <w:ind w:left="180" w:hanging="353"/>
      </w:pPr>
      <w:rPr>
        <w:rFonts w:hint="default"/>
      </w:rPr>
    </w:lvl>
  </w:abstractNum>
  <w:abstractNum w:abstractNumId="208">
    <w:nsid w:val="5D3629F3"/>
    <w:multiLevelType w:val="hybridMultilevel"/>
    <w:tmpl w:val="903CF51A"/>
    <w:lvl w:ilvl="0">
      <w:start w:val="1"/>
      <w:numFmt w:val="low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09">
    <w:nsid w:val="5D460A40"/>
    <w:multiLevelType w:val="hybridMultilevel"/>
    <w:tmpl w:val="BC8E12A2"/>
    <w:lvl w:ilvl="0" w:tplc="04090001">
      <w:start w:val="1"/>
      <w:numFmt w:val="bullet"/>
      <w:lvlText w:val=""/>
      <w:lvlJc w:val="left"/>
      <w:pPr>
        <w:ind w:left="720" w:hanging="360"/>
      </w:pPr>
      <w:rPr>
        <w:rFonts w:ascii="Symbol" w:hAnsi="Symbol" w:hint="default"/>
      </w:rPr>
    </w:lvl>
    <w:lvl w:ilvl="1" w:tplc="77509978" w:tentative="1">
      <w:start w:val="1"/>
      <w:numFmt w:val="bullet"/>
      <w:lvlText w:val="o"/>
      <w:lvlJc w:val="left"/>
      <w:pPr>
        <w:ind w:left="1440" w:hanging="360"/>
      </w:pPr>
      <w:rPr>
        <w:rFonts w:ascii="Courier New" w:hAnsi="Courier New" w:cs="Courier New" w:hint="default"/>
      </w:rPr>
    </w:lvl>
    <w:lvl w:ilvl="2" w:tplc="096E3404" w:tentative="1">
      <w:start w:val="1"/>
      <w:numFmt w:val="bullet"/>
      <w:lvlText w:val=""/>
      <w:lvlJc w:val="left"/>
      <w:pPr>
        <w:ind w:left="2160" w:hanging="360"/>
      </w:pPr>
      <w:rPr>
        <w:rFonts w:ascii="Wingdings" w:hAnsi="Wingdings" w:hint="default"/>
      </w:rPr>
    </w:lvl>
    <w:lvl w:ilvl="3" w:tplc="F020B10E" w:tentative="1">
      <w:start w:val="1"/>
      <w:numFmt w:val="bullet"/>
      <w:lvlText w:val=""/>
      <w:lvlJc w:val="left"/>
      <w:pPr>
        <w:ind w:left="2880" w:hanging="360"/>
      </w:pPr>
      <w:rPr>
        <w:rFonts w:ascii="Symbol" w:hAnsi="Symbol" w:hint="default"/>
      </w:rPr>
    </w:lvl>
    <w:lvl w:ilvl="4" w:tplc="DDEAEF0C" w:tentative="1">
      <w:start w:val="1"/>
      <w:numFmt w:val="bullet"/>
      <w:lvlText w:val="o"/>
      <w:lvlJc w:val="left"/>
      <w:pPr>
        <w:ind w:left="3600" w:hanging="360"/>
      </w:pPr>
      <w:rPr>
        <w:rFonts w:ascii="Courier New" w:hAnsi="Courier New" w:cs="Courier New" w:hint="default"/>
      </w:rPr>
    </w:lvl>
    <w:lvl w:ilvl="5" w:tplc="2FE0F9E0" w:tentative="1">
      <w:start w:val="1"/>
      <w:numFmt w:val="bullet"/>
      <w:lvlText w:val=""/>
      <w:lvlJc w:val="left"/>
      <w:pPr>
        <w:ind w:left="4320" w:hanging="360"/>
      </w:pPr>
      <w:rPr>
        <w:rFonts w:ascii="Wingdings" w:hAnsi="Wingdings" w:hint="default"/>
      </w:rPr>
    </w:lvl>
    <w:lvl w:ilvl="6" w:tplc="D3108BCC" w:tentative="1">
      <w:start w:val="1"/>
      <w:numFmt w:val="bullet"/>
      <w:lvlText w:val=""/>
      <w:lvlJc w:val="left"/>
      <w:pPr>
        <w:ind w:left="5040" w:hanging="360"/>
      </w:pPr>
      <w:rPr>
        <w:rFonts w:ascii="Symbol" w:hAnsi="Symbol" w:hint="default"/>
      </w:rPr>
    </w:lvl>
    <w:lvl w:ilvl="7" w:tplc="BD480136" w:tentative="1">
      <w:start w:val="1"/>
      <w:numFmt w:val="bullet"/>
      <w:lvlText w:val="o"/>
      <w:lvlJc w:val="left"/>
      <w:pPr>
        <w:ind w:left="5760" w:hanging="360"/>
      </w:pPr>
      <w:rPr>
        <w:rFonts w:ascii="Courier New" w:hAnsi="Courier New" w:cs="Courier New" w:hint="default"/>
      </w:rPr>
    </w:lvl>
    <w:lvl w:ilvl="8" w:tplc="C11E4D06" w:tentative="1">
      <w:start w:val="1"/>
      <w:numFmt w:val="bullet"/>
      <w:lvlText w:val=""/>
      <w:lvlJc w:val="left"/>
      <w:pPr>
        <w:ind w:left="6480" w:hanging="360"/>
      </w:pPr>
      <w:rPr>
        <w:rFonts w:ascii="Wingdings" w:hAnsi="Wingdings" w:hint="default"/>
      </w:rPr>
    </w:lvl>
  </w:abstractNum>
  <w:abstractNum w:abstractNumId="210">
    <w:nsid w:val="5E8853C4"/>
    <w:multiLevelType w:val="hybridMultilevel"/>
    <w:tmpl w:val="E610BA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nsid w:val="5F406256"/>
    <w:multiLevelType w:val="hybridMultilevel"/>
    <w:tmpl w:val="4134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5F591F53"/>
    <w:multiLevelType w:val="multilevel"/>
    <w:tmpl w:val="66CE49B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5.%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3">
    <w:nsid w:val="608227CA"/>
    <w:multiLevelType w:val="hybridMultilevel"/>
    <w:tmpl w:val="4AB8F44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4">
    <w:nsid w:val="61320C69"/>
    <w:multiLevelType w:val="hybridMultilevel"/>
    <w:tmpl w:val="A35CAC12"/>
    <w:lvl w:ilvl="0" w:tplc="04090001">
      <w:start w:val="1"/>
      <w:numFmt w:val="bullet"/>
      <w:lvlText w:val=""/>
      <w:lvlJc w:val="left"/>
      <w:pPr>
        <w:ind w:left="720" w:hanging="360"/>
      </w:pPr>
      <w:rPr>
        <w:rFonts w:ascii="Symbol" w:hAnsi="Symbol" w:hint="default"/>
      </w:rPr>
    </w:lvl>
    <w:lvl w:ilvl="1" w:tplc="4FEECFA6"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617040E8"/>
    <w:multiLevelType w:val="multilevel"/>
    <w:tmpl w:val="C38C4B0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4.6.%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6">
    <w:nsid w:val="61FA09B4"/>
    <w:multiLevelType w:val="hybridMultilevel"/>
    <w:tmpl w:val="03E6F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63BC6442"/>
    <w:multiLevelType w:val="hybridMultilevel"/>
    <w:tmpl w:val="11E009CA"/>
    <w:lvl w:ilvl="0" w:tplc="55E4A12E">
      <w:start w:val="1"/>
      <w:numFmt w:val="bullet"/>
      <w:lvlText w:val=""/>
      <w:lvlJc w:val="left"/>
      <w:pPr>
        <w:ind w:left="720" w:hanging="360"/>
      </w:pPr>
      <w:rPr>
        <w:rFonts w:ascii="Symbol" w:hAnsi="Symbol" w:hint="default"/>
      </w:rPr>
    </w:lvl>
    <w:lvl w:ilvl="1" w:tplc="D146127A" w:tentative="1">
      <w:start w:val="1"/>
      <w:numFmt w:val="bullet"/>
      <w:lvlText w:val="o"/>
      <w:lvlJc w:val="left"/>
      <w:pPr>
        <w:ind w:left="1440" w:hanging="360"/>
      </w:pPr>
      <w:rPr>
        <w:rFonts w:ascii="Courier New" w:hAnsi="Courier New" w:cs="Courier New" w:hint="default"/>
      </w:rPr>
    </w:lvl>
    <w:lvl w:ilvl="2" w:tplc="2D2C4558" w:tentative="1">
      <w:start w:val="1"/>
      <w:numFmt w:val="bullet"/>
      <w:lvlText w:val=""/>
      <w:lvlJc w:val="left"/>
      <w:pPr>
        <w:ind w:left="2160" w:hanging="360"/>
      </w:pPr>
      <w:rPr>
        <w:rFonts w:ascii="Wingdings" w:hAnsi="Wingdings" w:hint="default"/>
      </w:rPr>
    </w:lvl>
    <w:lvl w:ilvl="3" w:tplc="AEB29218">
      <w:start w:val="1"/>
      <w:numFmt w:val="bullet"/>
      <w:lvlText w:val=""/>
      <w:lvlJc w:val="left"/>
      <w:pPr>
        <w:ind w:left="2880" w:hanging="360"/>
      </w:pPr>
      <w:rPr>
        <w:rFonts w:ascii="Symbol" w:hAnsi="Symbol" w:hint="default"/>
      </w:rPr>
    </w:lvl>
    <w:lvl w:ilvl="4" w:tplc="45E4CE22" w:tentative="1">
      <w:start w:val="1"/>
      <w:numFmt w:val="bullet"/>
      <w:lvlText w:val="o"/>
      <w:lvlJc w:val="left"/>
      <w:pPr>
        <w:ind w:left="3600" w:hanging="360"/>
      </w:pPr>
      <w:rPr>
        <w:rFonts w:ascii="Courier New" w:hAnsi="Courier New" w:cs="Courier New" w:hint="default"/>
      </w:rPr>
    </w:lvl>
    <w:lvl w:ilvl="5" w:tplc="87A655EE" w:tentative="1">
      <w:start w:val="1"/>
      <w:numFmt w:val="bullet"/>
      <w:lvlText w:val=""/>
      <w:lvlJc w:val="left"/>
      <w:pPr>
        <w:ind w:left="4320" w:hanging="360"/>
      </w:pPr>
      <w:rPr>
        <w:rFonts w:ascii="Wingdings" w:hAnsi="Wingdings" w:hint="default"/>
      </w:rPr>
    </w:lvl>
    <w:lvl w:ilvl="6" w:tplc="EF1C85D0" w:tentative="1">
      <w:start w:val="1"/>
      <w:numFmt w:val="bullet"/>
      <w:lvlText w:val=""/>
      <w:lvlJc w:val="left"/>
      <w:pPr>
        <w:ind w:left="5040" w:hanging="360"/>
      </w:pPr>
      <w:rPr>
        <w:rFonts w:ascii="Symbol" w:hAnsi="Symbol" w:hint="default"/>
      </w:rPr>
    </w:lvl>
    <w:lvl w:ilvl="7" w:tplc="1332D284" w:tentative="1">
      <w:start w:val="1"/>
      <w:numFmt w:val="bullet"/>
      <w:lvlText w:val="o"/>
      <w:lvlJc w:val="left"/>
      <w:pPr>
        <w:ind w:left="5760" w:hanging="360"/>
      </w:pPr>
      <w:rPr>
        <w:rFonts w:ascii="Courier New" w:hAnsi="Courier New" w:cs="Courier New" w:hint="default"/>
      </w:rPr>
    </w:lvl>
    <w:lvl w:ilvl="8" w:tplc="B8F6350A" w:tentative="1">
      <w:start w:val="1"/>
      <w:numFmt w:val="bullet"/>
      <w:lvlText w:val=""/>
      <w:lvlJc w:val="left"/>
      <w:pPr>
        <w:ind w:left="6480" w:hanging="360"/>
      </w:pPr>
      <w:rPr>
        <w:rFonts w:ascii="Wingdings" w:hAnsi="Wingdings" w:hint="default"/>
      </w:rPr>
    </w:lvl>
  </w:abstractNum>
  <w:abstractNum w:abstractNumId="218">
    <w:nsid w:val="63BF685E"/>
    <w:multiLevelType w:val="multilevel"/>
    <w:tmpl w:val="5F56056E"/>
    <w:lvl w:ilvl="0">
      <w:start w:val="5"/>
      <w:numFmt w:val="decimal"/>
      <w:lvlText w:val="Chapter %1."/>
      <w:lvlJc w:val="left"/>
      <w:pPr>
        <w:ind w:left="432" w:hanging="432"/>
      </w:pPr>
      <w:rPr>
        <w:rFonts w:ascii="Segoe UI" w:hAnsi="Segoe UI" w:hint="default"/>
        <w:b w:val="0"/>
        <w:i w:val="0"/>
        <w:color w:val="059973"/>
        <w:sz w:val="40"/>
      </w:rPr>
    </w:lvl>
    <w:lvl w:ilvl="1">
      <w:start w:val="1"/>
      <w:numFmt w:val="decimal"/>
      <w:lvlText w:val="%1.%2."/>
      <w:lvlJc w:val="left"/>
      <w:pPr>
        <w:ind w:left="720" w:hanging="720"/>
      </w:pPr>
      <w:rPr>
        <w:rFonts w:ascii="Segoe UI" w:hAnsi="Segoe UI" w:hint="default"/>
        <w:b/>
        <w:i w:val="0"/>
        <w:color w:val="059973"/>
        <w:sz w:val="28"/>
      </w:rPr>
    </w:lvl>
    <w:lvl w:ilvl="2">
      <w:start w:val="1"/>
      <w:numFmt w:val="decimal"/>
      <w:lvlText w:val="%1.%2.%3."/>
      <w:lvlJc w:val="left"/>
      <w:pPr>
        <w:tabs>
          <w:tab w:val="num" w:pos="720"/>
        </w:tabs>
        <w:ind w:left="720" w:hanging="720"/>
      </w:pPr>
      <w:rPr>
        <w:rFonts w:ascii="Segoe UI" w:hAnsi="Segoe UI" w:hint="default"/>
        <w:b/>
        <w:i/>
        <w:color w:val="059973"/>
        <w:sz w:val="19"/>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9">
    <w:nsid w:val="63C018F0"/>
    <w:multiLevelType w:val="hybridMultilevel"/>
    <w:tmpl w:val="E0768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nsid w:val="63CC5062"/>
    <w:multiLevelType w:val="hybridMultilevel"/>
    <w:tmpl w:val="7A3A8802"/>
    <w:lvl w:ilvl="0">
      <w:start w:val="1"/>
      <w:numFmt w:val="upperLetter"/>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1">
    <w:nsid w:val="652510FA"/>
    <w:multiLevelType w:val="hybridMultilevel"/>
    <w:tmpl w:val="1514EC4E"/>
    <w:lvl w:ilvl="0" w:tplc="1720643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22">
    <w:nsid w:val="659970F7"/>
    <w:multiLevelType w:val="hybridMultilevel"/>
    <w:tmpl w:val="2C504F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3">
    <w:nsid w:val="65F24118"/>
    <w:multiLevelType w:val="hybridMultilevel"/>
    <w:tmpl w:val="0D2005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nsid w:val="65FB1E58"/>
    <w:multiLevelType w:val="hybridMultilevel"/>
    <w:tmpl w:val="D9845834"/>
    <w:lvl w:ilvl="0" w:tplc="04130001">
      <w:start w:val="1"/>
      <w:numFmt w:val="bullet"/>
      <w:lvlText w:val=""/>
      <w:lvlJc w:val="left"/>
      <w:pPr>
        <w:ind w:left="765" w:hanging="360"/>
      </w:pPr>
      <w:rPr>
        <w:rFonts w:ascii="Wingdings" w:hAnsi="Wingdings"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225">
    <w:nsid w:val="660F1E61"/>
    <w:multiLevelType w:val="hybridMultilevel"/>
    <w:tmpl w:val="6EAC26F6"/>
    <w:lvl w:ilvl="0" w:tplc="08090001">
      <w:start w:val="1"/>
      <w:numFmt w:val="decimal"/>
      <w:lvlText w:val="%1."/>
      <w:lvlJc w:val="left"/>
      <w:pPr>
        <w:ind w:left="360" w:hanging="360"/>
      </w:pPr>
      <w:rPr>
        <w:rFonts w:hint="default"/>
        <w:u w:color="FF0000"/>
      </w:rPr>
    </w:lvl>
    <w:lvl w:ilvl="1" w:tplc="04130003" w:tentative="1">
      <w:start w:val="1"/>
      <w:numFmt w:val="lowerLetter"/>
      <w:lvlText w:val="%2."/>
      <w:lvlJc w:val="left"/>
      <w:pPr>
        <w:ind w:left="1080" w:hanging="360"/>
      </w:pPr>
    </w:lvl>
    <w:lvl w:ilvl="2" w:tplc="04130005" w:tentative="1">
      <w:start w:val="1"/>
      <w:numFmt w:val="lowerRoman"/>
      <w:lvlText w:val="%3."/>
      <w:lvlJc w:val="right"/>
      <w:pPr>
        <w:ind w:left="1800" w:hanging="180"/>
      </w:pPr>
    </w:lvl>
    <w:lvl w:ilvl="3" w:tplc="04130001" w:tentative="1">
      <w:start w:val="1"/>
      <w:numFmt w:val="decimal"/>
      <w:lvlText w:val="%4."/>
      <w:lvlJc w:val="left"/>
      <w:pPr>
        <w:ind w:left="2520" w:hanging="360"/>
      </w:pPr>
    </w:lvl>
    <w:lvl w:ilvl="4" w:tplc="04130003" w:tentative="1">
      <w:start w:val="1"/>
      <w:numFmt w:val="lowerLetter"/>
      <w:lvlText w:val="%5."/>
      <w:lvlJc w:val="left"/>
      <w:pPr>
        <w:ind w:left="3240" w:hanging="360"/>
      </w:pPr>
    </w:lvl>
    <w:lvl w:ilvl="5" w:tplc="04130005" w:tentative="1">
      <w:start w:val="1"/>
      <w:numFmt w:val="lowerRoman"/>
      <w:lvlText w:val="%6."/>
      <w:lvlJc w:val="right"/>
      <w:pPr>
        <w:ind w:left="3960" w:hanging="180"/>
      </w:pPr>
    </w:lvl>
    <w:lvl w:ilvl="6" w:tplc="04130001" w:tentative="1">
      <w:start w:val="1"/>
      <w:numFmt w:val="decimal"/>
      <w:lvlText w:val="%7."/>
      <w:lvlJc w:val="left"/>
      <w:pPr>
        <w:ind w:left="4680" w:hanging="360"/>
      </w:pPr>
    </w:lvl>
    <w:lvl w:ilvl="7" w:tplc="04130003" w:tentative="1">
      <w:start w:val="1"/>
      <w:numFmt w:val="lowerLetter"/>
      <w:lvlText w:val="%8."/>
      <w:lvlJc w:val="left"/>
      <w:pPr>
        <w:ind w:left="5400" w:hanging="360"/>
      </w:pPr>
    </w:lvl>
    <w:lvl w:ilvl="8" w:tplc="04130005" w:tentative="1">
      <w:start w:val="1"/>
      <w:numFmt w:val="lowerRoman"/>
      <w:lvlText w:val="%9."/>
      <w:lvlJc w:val="right"/>
      <w:pPr>
        <w:ind w:left="6120" w:hanging="180"/>
      </w:pPr>
    </w:lvl>
  </w:abstractNum>
  <w:abstractNum w:abstractNumId="226">
    <w:nsid w:val="66EB0BA6"/>
    <w:multiLevelType w:val="hybridMultilevel"/>
    <w:tmpl w:val="41B87A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nsid w:val="67185998"/>
    <w:multiLevelType w:val="hybridMultilevel"/>
    <w:tmpl w:val="DBA01356"/>
    <w:lvl w:ilvl="0" w:tplc="CB1EE5FC">
      <w:start w:val="1"/>
      <w:numFmt w:val="bullet"/>
      <w:lvlText w:val=""/>
      <w:lvlJc w:val="left"/>
      <w:pPr>
        <w:ind w:left="720" w:hanging="360"/>
      </w:pPr>
      <w:rPr>
        <w:rFonts w:ascii="Symbol" w:hAnsi="Symbol" w:hint="default"/>
        <w:color w:val="76923C" w:themeColor="accent3" w:themeShade="BF"/>
      </w:rPr>
    </w:lvl>
    <w:lvl w:ilvl="1" w:tplc="04130019" w:tentative="1">
      <w:start w:val="1"/>
      <w:numFmt w:val="bullet"/>
      <w:lvlText w:val="o"/>
      <w:lvlJc w:val="left"/>
      <w:pPr>
        <w:ind w:left="1440" w:hanging="360"/>
      </w:pPr>
      <w:rPr>
        <w:rFonts w:ascii="Courier New" w:hAnsi="Courier New" w:cs="Courier New" w:hint="default"/>
      </w:rPr>
    </w:lvl>
    <w:lvl w:ilvl="2" w:tplc="0413001B">
      <w:numFmt w:val="bullet"/>
      <w:lvlText w:val="•"/>
      <w:lvlJc w:val="left"/>
      <w:pPr>
        <w:ind w:left="2160" w:hanging="360"/>
      </w:pPr>
      <w:rPr>
        <w:rFonts w:ascii="Times New Roman" w:eastAsiaTheme="minorHAnsi" w:hAnsi="Times New Roman" w:cs="Times New Roman" w:hint="default"/>
        <w:b/>
      </w:rPr>
    </w:lvl>
    <w:lvl w:ilvl="3" w:tplc="0413000F" w:tentative="1">
      <w:start w:val="1"/>
      <w:numFmt w:val="bullet"/>
      <w:lvlText w:val=""/>
      <w:lvlJc w:val="left"/>
      <w:pPr>
        <w:ind w:left="2880" w:hanging="360"/>
      </w:pPr>
      <w:rPr>
        <w:rFonts w:ascii="Symbol" w:hAnsi="Symbol" w:hint="default"/>
      </w:rPr>
    </w:lvl>
    <w:lvl w:ilvl="4" w:tplc="04130019" w:tentative="1">
      <w:start w:val="1"/>
      <w:numFmt w:val="bullet"/>
      <w:lvlText w:val="o"/>
      <w:lvlJc w:val="left"/>
      <w:pPr>
        <w:ind w:left="3600" w:hanging="360"/>
      </w:pPr>
      <w:rPr>
        <w:rFonts w:ascii="Courier New" w:hAnsi="Courier New" w:cs="Courier New" w:hint="default"/>
      </w:rPr>
    </w:lvl>
    <w:lvl w:ilvl="5" w:tplc="0413001B" w:tentative="1">
      <w:start w:val="1"/>
      <w:numFmt w:val="bullet"/>
      <w:lvlText w:val=""/>
      <w:lvlJc w:val="left"/>
      <w:pPr>
        <w:ind w:left="4320" w:hanging="360"/>
      </w:pPr>
      <w:rPr>
        <w:rFonts w:ascii="Wingdings" w:hAnsi="Wingdings" w:hint="default"/>
      </w:rPr>
    </w:lvl>
    <w:lvl w:ilvl="6" w:tplc="0413000F" w:tentative="1">
      <w:start w:val="1"/>
      <w:numFmt w:val="bullet"/>
      <w:lvlText w:val=""/>
      <w:lvlJc w:val="left"/>
      <w:pPr>
        <w:ind w:left="5040" w:hanging="360"/>
      </w:pPr>
      <w:rPr>
        <w:rFonts w:ascii="Symbol" w:hAnsi="Symbol" w:hint="default"/>
      </w:rPr>
    </w:lvl>
    <w:lvl w:ilvl="7" w:tplc="04130019" w:tentative="1">
      <w:start w:val="1"/>
      <w:numFmt w:val="bullet"/>
      <w:lvlText w:val="o"/>
      <w:lvlJc w:val="left"/>
      <w:pPr>
        <w:ind w:left="5760" w:hanging="360"/>
      </w:pPr>
      <w:rPr>
        <w:rFonts w:ascii="Courier New" w:hAnsi="Courier New" w:cs="Courier New" w:hint="default"/>
      </w:rPr>
    </w:lvl>
    <w:lvl w:ilvl="8" w:tplc="0413001B" w:tentative="1">
      <w:start w:val="1"/>
      <w:numFmt w:val="bullet"/>
      <w:lvlText w:val=""/>
      <w:lvlJc w:val="left"/>
      <w:pPr>
        <w:ind w:left="6480" w:hanging="360"/>
      </w:pPr>
      <w:rPr>
        <w:rFonts w:ascii="Wingdings" w:hAnsi="Wingdings" w:hint="default"/>
      </w:rPr>
    </w:lvl>
  </w:abstractNum>
  <w:abstractNum w:abstractNumId="228">
    <w:nsid w:val="680E2DFB"/>
    <w:multiLevelType w:val="multilevel"/>
    <w:tmpl w:val="9644360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7.5.%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9">
    <w:nsid w:val="68333217"/>
    <w:multiLevelType w:val="hybridMultilevel"/>
    <w:tmpl w:val="D5468B8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0">
    <w:nsid w:val="685A1C56"/>
    <w:multiLevelType w:val="hybridMultilevel"/>
    <w:tmpl w:val="891808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1">
    <w:nsid w:val="68A24EE6"/>
    <w:multiLevelType w:val="hybridMultilevel"/>
    <w:tmpl w:val="1FF08878"/>
    <w:lvl w:ilvl="0" w:tplc="04090005">
      <w:start w:val="1"/>
      <w:numFmt w:val="lowerLetter"/>
      <w:lvlText w:val="(%1)"/>
      <w:lvlJc w:val="left"/>
      <w:pPr>
        <w:ind w:left="720" w:hanging="360"/>
      </w:pPr>
      <w:rPr>
        <w:rFonts w:hint="default"/>
      </w:r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32">
    <w:nsid w:val="69675599"/>
    <w:multiLevelType w:val="hybridMultilevel"/>
    <w:tmpl w:val="34AC1422"/>
    <w:lvl w:ilvl="0" w:tplc="04090001">
      <w:start w:val="1"/>
      <w:numFmt w:val="bullet"/>
      <w:pStyle w:val="buletscs"/>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3">
    <w:nsid w:val="6A743C56"/>
    <w:multiLevelType w:val="hybridMultilevel"/>
    <w:tmpl w:val="DC2E5CE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4">
    <w:nsid w:val="6B8B1342"/>
    <w:multiLevelType w:val="hybridMultilevel"/>
    <w:tmpl w:val="44B8BD78"/>
    <w:lvl w:ilvl="0">
      <w:start w:val="1"/>
      <w:numFmt w:val="bullet"/>
      <w:lvlText w:val=""/>
      <w:lvlJc w:val="left"/>
      <w:pPr>
        <w:ind w:left="720" w:hanging="360"/>
      </w:pPr>
      <w:rPr>
        <w:rFonts w:ascii="Symbol" w:hAnsi="Symbol" w:hint="default"/>
        <w:color w:val="76923C" w:themeColor="accent3" w:themeShade="B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5">
    <w:nsid w:val="6C0018A5"/>
    <w:multiLevelType w:val="multilevel"/>
    <w:tmpl w:val="3EA00EC0"/>
    <w:lvl w:ilvl="0">
      <w:start w:val="10"/>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1"/>
      <w:numFmt w:val="decimal"/>
      <w:lvlText w:val="%1.%2.%3"/>
      <w:lvlJc w:val="left"/>
      <w:pPr>
        <w:ind w:left="720" w:hanging="720"/>
      </w:pPr>
      <w:rPr>
        <w:rFonts w:hint="default"/>
        <w:color w:val="FF000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6">
    <w:nsid w:val="6CCD379F"/>
    <w:multiLevelType w:val="hybridMultilevel"/>
    <w:tmpl w:val="73448432"/>
    <w:lvl w:ilvl="0" w:tplc="28E2C8F8">
      <w:start w:val="1"/>
      <w:numFmt w:val="lowerLetter"/>
      <w:lvlText w:val="%1."/>
      <w:lvlJc w:val="left"/>
      <w:pPr>
        <w:ind w:left="720" w:hanging="360"/>
      </w:pPr>
      <w:rPr>
        <w:rFonts w:hint="default"/>
      </w:rPr>
    </w:lvl>
    <w:lvl w:ilvl="1" w:tplc="51EE90C2" w:tentative="1">
      <w:start w:val="1"/>
      <w:numFmt w:val="lowerLetter"/>
      <w:lvlText w:val="%2."/>
      <w:lvlJc w:val="left"/>
      <w:pPr>
        <w:ind w:left="1440" w:hanging="360"/>
      </w:pPr>
    </w:lvl>
    <w:lvl w:ilvl="2" w:tplc="F15E227E" w:tentative="1">
      <w:start w:val="1"/>
      <w:numFmt w:val="lowerRoman"/>
      <w:lvlText w:val="%3."/>
      <w:lvlJc w:val="right"/>
      <w:pPr>
        <w:ind w:left="2160" w:hanging="180"/>
      </w:pPr>
    </w:lvl>
    <w:lvl w:ilvl="3" w:tplc="AD96F7F0" w:tentative="1">
      <w:start w:val="1"/>
      <w:numFmt w:val="decimal"/>
      <w:lvlText w:val="%4."/>
      <w:lvlJc w:val="left"/>
      <w:pPr>
        <w:ind w:left="2880" w:hanging="360"/>
      </w:pPr>
    </w:lvl>
    <w:lvl w:ilvl="4" w:tplc="76168D5E" w:tentative="1">
      <w:start w:val="1"/>
      <w:numFmt w:val="lowerLetter"/>
      <w:lvlText w:val="%5."/>
      <w:lvlJc w:val="left"/>
      <w:pPr>
        <w:ind w:left="3600" w:hanging="360"/>
      </w:pPr>
    </w:lvl>
    <w:lvl w:ilvl="5" w:tplc="D43CA69C" w:tentative="1">
      <w:start w:val="1"/>
      <w:numFmt w:val="lowerRoman"/>
      <w:lvlText w:val="%6."/>
      <w:lvlJc w:val="right"/>
      <w:pPr>
        <w:ind w:left="4320" w:hanging="180"/>
      </w:pPr>
    </w:lvl>
    <w:lvl w:ilvl="6" w:tplc="194CF00A" w:tentative="1">
      <w:start w:val="1"/>
      <w:numFmt w:val="decimal"/>
      <w:lvlText w:val="%7."/>
      <w:lvlJc w:val="left"/>
      <w:pPr>
        <w:ind w:left="5040" w:hanging="360"/>
      </w:pPr>
    </w:lvl>
    <w:lvl w:ilvl="7" w:tplc="51440748" w:tentative="1">
      <w:start w:val="1"/>
      <w:numFmt w:val="lowerLetter"/>
      <w:lvlText w:val="%8."/>
      <w:lvlJc w:val="left"/>
      <w:pPr>
        <w:ind w:left="5760" w:hanging="360"/>
      </w:pPr>
    </w:lvl>
    <w:lvl w:ilvl="8" w:tplc="C3481248" w:tentative="1">
      <w:start w:val="1"/>
      <w:numFmt w:val="lowerRoman"/>
      <w:lvlText w:val="%9."/>
      <w:lvlJc w:val="right"/>
      <w:pPr>
        <w:ind w:left="6480" w:hanging="180"/>
      </w:pPr>
    </w:lvl>
  </w:abstractNum>
  <w:abstractNum w:abstractNumId="237">
    <w:nsid w:val="6CDD19F4"/>
    <w:multiLevelType w:val="hybridMultilevel"/>
    <w:tmpl w:val="AFEC9A7A"/>
    <w:lvl w:ilvl="0">
      <w:start w:val="1"/>
      <w:numFmt w:val="bullet"/>
      <w:lvlText w:val=""/>
      <w:lvlJc w:val="left"/>
      <w:pPr>
        <w:ind w:left="720" w:hanging="360"/>
      </w:pPr>
      <w:rPr>
        <w:rFonts w:ascii="Symbol" w:hAnsi="Symbol" w:hint="default"/>
        <w:b/>
        <w:color w:val="76923C" w:themeColor="accent3" w:themeShade="BF"/>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8">
    <w:nsid w:val="6D78759F"/>
    <w:multiLevelType w:val="hybridMultilevel"/>
    <w:tmpl w:val="363646A4"/>
    <w:lvl w:ilvl="0" w:tplc="08090019">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239">
    <w:nsid w:val="6D9E1885"/>
    <w:multiLevelType w:val="multilevel"/>
    <w:tmpl w:val="B1C4241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9.8.%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0">
    <w:nsid w:val="6E366C21"/>
    <w:multiLevelType w:val="hybridMultilevel"/>
    <w:tmpl w:val="1C9AB4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1">
    <w:nsid w:val="6E6F547D"/>
    <w:multiLevelType w:val="hybridMultilevel"/>
    <w:tmpl w:val="10C22E70"/>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42">
    <w:nsid w:val="6FC82D98"/>
    <w:multiLevelType w:val="hybridMultilevel"/>
    <w:tmpl w:val="7A766BBC"/>
    <w:lvl w:ilvl="0" w:tplc="04090001">
      <w:start w:val="1"/>
      <w:numFmt w:val="decimal"/>
      <w:pStyle w:val="list123scs"/>
      <w:lvlText w:val="%1."/>
      <w:lvlJc w:val="left"/>
      <w:pPr>
        <w:ind w:left="1288" w:hanging="360"/>
      </w:pPr>
      <w:rPr>
        <w:rFonts w:hint="default"/>
      </w:rPr>
    </w:lvl>
    <w:lvl w:ilvl="1" w:tplc="04090003">
      <w:start w:val="1"/>
      <w:numFmt w:val="lowerLetter"/>
      <w:lvlText w:val="%2."/>
      <w:lvlJc w:val="left"/>
      <w:pPr>
        <w:ind w:left="2008" w:hanging="360"/>
      </w:pPr>
    </w:lvl>
    <w:lvl w:ilvl="2" w:tplc="04090005" w:tentative="1">
      <w:start w:val="1"/>
      <w:numFmt w:val="lowerRoman"/>
      <w:lvlText w:val="%3."/>
      <w:lvlJc w:val="right"/>
      <w:pPr>
        <w:ind w:left="2728" w:hanging="180"/>
      </w:pPr>
    </w:lvl>
    <w:lvl w:ilvl="3" w:tplc="04090001" w:tentative="1">
      <w:start w:val="1"/>
      <w:numFmt w:val="decimal"/>
      <w:lvlText w:val="%4."/>
      <w:lvlJc w:val="left"/>
      <w:pPr>
        <w:ind w:left="3448" w:hanging="360"/>
      </w:pPr>
    </w:lvl>
    <w:lvl w:ilvl="4" w:tplc="04090003" w:tentative="1">
      <w:start w:val="1"/>
      <w:numFmt w:val="lowerLetter"/>
      <w:lvlText w:val="%5."/>
      <w:lvlJc w:val="left"/>
      <w:pPr>
        <w:ind w:left="4168" w:hanging="360"/>
      </w:pPr>
    </w:lvl>
    <w:lvl w:ilvl="5" w:tplc="04090005" w:tentative="1">
      <w:start w:val="1"/>
      <w:numFmt w:val="lowerRoman"/>
      <w:lvlText w:val="%6."/>
      <w:lvlJc w:val="right"/>
      <w:pPr>
        <w:ind w:left="4888" w:hanging="180"/>
      </w:pPr>
    </w:lvl>
    <w:lvl w:ilvl="6" w:tplc="04090001" w:tentative="1">
      <w:start w:val="1"/>
      <w:numFmt w:val="decimal"/>
      <w:lvlText w:val="%7."/>
      <w:lvlJc w:val="left"/>
      <w:pPr>
        <w:ind w:left="5608" w:hanging="360"/>
      </w:pPr>
    </w:lvl>
    <w:lvl w:ilvl="7" w:tplc="04090003" w:tentative="1">
      <w:start w:val="1"/>
      <w:numFmt w:val="lowerLetter"/>
      <w:lvlText w:val="%8."/>
      <w:lvlJc w:val="left"/>
      <w:pPr>
        <w:ind w:left="6328" w:hanging="360"/>
      </w:pPr>
    </w:lvl>
    <w:lvl w:ilvl="8" w:tplc="04090005" w:tentative="1">
      <w:start w:val="1"/>
      <w:numFmt w:val="lowerRoman"/>
      <w:lvlText w:val="%9."/>
      <w:lvlJc w:val="right"/>
      <w:pPr>
        <w:ind w:left="7048" w:hanging="180"/>
      </w:pPr>
    </w:lvl>
  </w:abstractNum>
  <w:abstractNum w:abstractNumId="243">
    <w:nsid w:val="707F0CF3"/>
    <w:multiLevelType w:val="hybridMultilevel"/>
    <w:tmpl w:val="0FDE10E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4">
    <w:nsid w:val="708448E4"/>
    <w:multiLevelType w:val="hybridMultilevel"/>
    <w:tmpl w:val="3208B4E2"/>
    <w:lvl w:ilvl="0" w:tplc="69CAE9E2">
      <w:start w:val="1"/>
      <w:numFmt w:val="lowerLetter"/>
      <w:lvlText w:val="%1)"/>
      <w:lvlJc w:val="left"/>
      <w:pPr>
        <w:ind w:left="360" w:hanging="360"/>
      </w:pPr>
      <w:rPr>
        <w:rFonts w:hint="default"/>
      </w:rPr>
    </w:lvl>
    <w:lvl w:ilvl="1" w:tplc="AB846D56" w:tentative="1">
      <w:start w:val="1"/>
      <w:numFmt w:val="bullet"/>
      <w:lvlText w:val="o"/>
      <w:lvlJc w:val="left"/>
      <w:pPr>
        <w:ind w:left="1080" w:hanging="360"/>
      </w:pPr>
      <w:rPr>
        <w:rFonts w:ascii="Courier New" w:hAnsi="Courier New" w:cs="Courier New" w:hint="default"/>
      </w:rPr>
    </w:lvl>
    <w:lvl w:ilvl="2" w:tplc="DA12855E" w:tentative="1">
      <w:start w:val="1"/>
      <w:numFmt w:val="bullet"/>
      <w:lvlText w:val=""/>
      <w:lvlJc w:val="left"/>
      <w:pPr>
        <w:ind w:left="1800" w:hanging="360"/>
      </w:pPr>
      <w:rPr>
        <w:rFonts w:ascii="Wingdings" w:hAnsi="Wingdings" w:hint="default"/>
      </w:rPr>
    </w:lvl>
    <w:lvl w:ilvl="3" w:tplc="F586C318" w:tentative="1">
      <w:start w:val="1"/>
      <w:numFmt w:val="bullet"/>
      <w:lvlText w:val=""/>
      <w:lvlJc w:val="left"/>
      <w:pPr>
        <w:ind w:left="2520" w:hanging="360"/>
      </w:pPr>
      <w:rPr>
        <w:rFonts w:ascii="Symbol" w:hAnsi="Symbol" w:hint="default"/>
      </w:rPr>
    </w:lvl>
    <w:lvl w:ilvl="4" w:tplc="FEA21688" w:tentative="1">
      <w:start w:val="1"/>
      <w:numFmt w:val="bullet"/>
      <w:lvlText w:val="o"/>
      <w:lvlJc w:val="left"/>
      <w:pPr>
        <w:ind w:left="3240" w:hanging="360"/>
      </w:pPr>
      <w:rPr>
        <w:rFonts w:ascii="Courier New" w:hAnsi="Courier New" w:cs="Courier New" w:hint="default"/>
      </w:rPr>
    </w:lvl>
    <w:lvl w:ilvl="5" w:tplc="C4E89F7A" w:tentative="1">
      <w:start w:val="1"/>
      <w:numFmt w:val="bullet"/>
      <w:lvlText w:val=""/>
      <w:lvlJc w:val="left"/>
      <w:pPr>
        <w:ind w:left="3960" w:hanging="360"/>
      </w:pPr>
      <w:rPr>
        <w:rFonts w:ascii="Wingdings" w:hAnsi="Wingdings" w:hint="default"/>
      </w:rPr>
    </w:lvl>
    <w:lvl w:ilvl="6" w:tplc="8AB2315C" w:tentative="1">
      <w:start w:val="1"/>
      <w:numFmt w:val="bullet"/>
      <w:lvlText w:val=""/>
      <w:lvlJc w:val="left"/>
      <w:pPr>
        <w:ind w:left="4680" w:hanging="360"/>
      </w:pPr>
      <w:rPr>
        <w:rFonts w:ascii="Symbol" w:hAnsi="Symbol" w:hint="default"/>
      </w:rPr>
    </w:lvl>
    <w:lvl w:ilvl="7" w:tplc="0608A756" w:tentative="1">
      <w:start w:val="1"/>
      <w:numFmt w:val="bullet"/>
      <w:lvlText w:val="o"/>
      <w:lvlJc w:val="left"/>
      <w:pPr>
        <w:ind w:left="5400" w:hanging="360"/>
      </w:pPr>
      <w:rPr>
        <w:rFonts w:ascii="Courier New" w:hAnsi="Courier New" w:cs="Courier New" w:hint="default"/>
      </w:rPr>
    </w:lvl>
    <w:lvl w:ilvl="8" w:tplc="1FF0B146" w:tentative="1">
      <w:start w:val="1"/>
      <w:numFmt w:val="bullet"/>
      <w:lvlText w:val=""/>
      <w:lvlJc w:val="left"/>
      <w:pPr>
        <w:ind w:left="6120" w:hanging="360"/>
      </w:pPr>
      <w:rPr>
        <w:rFonts w:ascii="Wingdings" w:hAnsi="Wingdings" w:hint="default"/>
      </w:rPr>
    </w:lvl>
  </w:abstractNum>
  <w:abstractNum w:abstractNumId="245">
    <w:nsid w:val="70D14BD5"/>
    <w:multiLevelType w:val="hybridMultilevel"/>
    <w:tmpl w:val="B4A23484"/>
    <w:lvl w:ilvl="0" w:tplc="0413000F">
      <w:start w:val="1"/>
      <w:numFmt w:val="bullet"/>
      <w:lvlText w:val=""/>
      <w:lvlJc w:val="left"/>
      <w:pPr>
        <w:ind w:left="720" w:hanging="360"/>
      </w:pPr>
      <w:rPr>
        <w:rFonts w:ascii="Symbol" w:hAnsi="Symbol" w:hint="default"/>
        <w:color w:val="76923C" w:themeColor="accent3" w:themeShade="BF"/>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6">
    <w:nsid w:val="70EA1177"/>
    <w:multiLevelType w:val="hybridMultilevel"/>
    <w:tmpl w:val="F9408E8E"/>
    <w:lvl w:ilvl="0" w:tplc="04090017">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nsid w:val="710A5C53"/>
    <w:multiLevelType w:val="hybridMultilevel"/>
    <w:tmpl w:val="2F9A9744"/>
    <w:lvl w:ilvl="0" w:tplc="04090001">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48">
    <w:nsid w:val="71312DAA"/>
    <w:multiLevelType w:val="hybridMultilevel"/>
    <w:tmpl w:val="FADEB3B6"/>
    <w:lvl w:ilvl="0" w:tplc="04090001">
      <w:start w:val="1"/>
      <w:numFmt w:val="lowerLetter"/>
      <w:lvlText w:val="%1."/>
      <w:lvlJc w:val="left"/>
      <w:pPr>
        <w:ind w:left="360" w:hanging="360"/>
      </w:pPr>
      <w:rPr>
        <w:rFonts w:hint="default"/>
      </w:rPr>
    </w:lvl>
    <w:lvl w:ilvl="1" w:tplc="04090003">
      <w:start w:val="1"/>
      <w:numFmt w:val="lowerLetter"/>
      <w:lvlText w:val="%2."/>
      <w:lvlJc w:val="left"/>
      <w:pPr>
        <w:ind w:left="1080" w:hanging="360"/>
      </w:pPr>
    </w:lvl>
    <w:lvl w:ilvl="2" w:tplc="04090005">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49">
    <w:nsid w:val="71755C73"/>
    <w:multiLevelType w:val="hybridMultilevel"/>
    <w:tmpl w:val="C958D12E"/>
    <w:lvl w:ilvl="0" w:tplc="0C090005">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0">
    <w:nsid w:val="71F47B7E"/>
    <w:multiLevelType w:val="hybridMultilevel"/>
    <w:tmpl w:val="D60C4A44"/>
    <w:lvl w:ilvl="0" w:tplc="04130019">
      <w:start w:val="1"/>
      <w:numFmt w:val="bullet"/>
      <w:lvlText w:val=""/>
      <w:lvlJc w:val="left"/>
      <w:pPr>
        <w:ind w:left="720" w:hanging="360"/>
      </w:pPr>
      <w:rPr>
        <w:rFonts w:ascii="Symbol" w:hAnsi="Symbol" w:hint="default"/>
      </w:rPr>
    </w:lvl>
    <w:lvl w:ilvl="1" w:tplc="04130019" w:tentative="1">
      <w:start w:val="1"/>
      <w:numFmt w:val="bullet"/>
      <w:lvlText w:val="o"/>
      <w:lvlJc w:val="left"/>
      <w:pPr>
        <w:ind w:left="1440" w:hanging="360"/>
      </w:pPr>
      <w:rPr>
        <w:rFonts w:ascii="Courier New" w:hAnsi="Courier New" w:cs="Courier New" w:hint="default"/>
      </w:rPr>
    </w:lvl>
    <w:lvl w:ilvl="2" w:tplc="0413001B" w:tentative="1">
      <w:start w:val="1"/>
      <w:numFmt w:val="bullet"/>
      <w:lvlText w:val=""/>
      <w:lvlJc w:val="left"/>
      <w:pPr>
        <w:ind w:left="2160" w:hanging="360"/>
      </w:pPr>
      <w:rPr>
        <w:rFonts w:ascii="Wingdings" w:hAnsi="Wingdings" w:hint="default"/>
      </w:rPr>
    </w:lvl>
    <w:lvl w:ilvl="3" w:tplc="0413000F" w:tentative="1">
      <w:start w:val="1"/>
      <w:numFmt w:val="bullet"/>
      <w:lvlText w:val=""/>
      <w:lvlJc w:val="left"/>
      <w:pPr>
        <w:ind w:left="2880" w:hanging="360"/>
      </w:pPr>
      <w:rPr>
        <w:rFonts w:ascii="Symbol" w:hAnsi="Symbol" w:hint="default"/>
      </w:rPr>
    </w:lvl>
    <w:lvl w:ilvl="4" w:tplc="04130019" w:tentative="1">
      <w:start w:val="1"/>
      <w:numFmt w:val="bullet"/>
      <w:lvlText w:val="o"/>
      <w:lvlJc w:val="left"/>
      <w:pPr>
        <w:ind w:left="3600" w:hanging="360"/>
      </w:pPr>
      <w:rPr>
        <w:rFonts w:ascii="Courier New" w:hAnsi="Courier New" w:cs="Courier New" w:hint="default"/>
      </w:rPr>
    </w:lvl>
    <w:lvl w:ilvl="5" w:tplc="0413001B" w:tentative="1">
      <w:start w:val="1"/>
      <w:numFmt w:val="bullet"/>
      <w:lvlText w:val=""/>
      <w:lvlJc w:val="left"/>
      <w:pPr>
        <w:ind w:left="4320" w:hanging="360"/>
      </w:pPr>
      <w:rPr>
        <w:rFonts w:ascii="Wingdings" w:hAnsi="Wingdings" w:hint="default"/>
      </w:rPr>
    </w:lvl>
    <w:lvl w:ilvl="6" w:tplc="0413000F" w:tentative="1">
      <w:start w:val="1"/>
      <w:numFmt w:val="bullet"/>
      <w:lvlText w:val=""/>
      <w:lvlJc w:val="left"/>
      <w:pPr>
        <w:ind w:left="5040" w:hanging="360"/>
      </w:pPr>
      <w:rPr>
        <w:rFonts w:ascii="Symbol" w:hAnsi="Symbol" w:hint="default"/>
      </w:rPr>
    </w:lvl>
    <w:lvl w:ilvl="7" w:tplc="04130019" w:tentative="1">
      <w:start w:val="1"/>
      <w:numFmt w:val="bullet"/>
      <w:lvlText w:val="o"/>
      <w:lvlJc w:val="left"/>
      <w:pPr>
        <w:ind w:left="5760" w:hanging="360"/>
      </w:pPr>
      <w:rPr>
        <w:rFonts w:ascii="Courier New" w:hAnsi="Courier New" w:cs="Courier New" w:hint="default"/>
      </w:rPr>
    </w:lvl>
    <w:lvl w:ilvl="8" w:tplc="0413001B" w:tentative="1">
      <w:start w:val="1"/>
      <w:numFmt w:val="bullet"/>
      <w:lvlText w:val=""/>
      <w:lvlJc w:val="left"/>
      <w:pPr>
        <w:ind w:left="6480" w:hanging="360"/>
      </w:pPr>
      <w:rPr>
        <w:rFonts w:ascii="Wingdings" w:hAnsi="Wingdings" w:hint="default"/>
      </w:rPr>
    </w:lvl>
  </w:abstractNum>
  <w:abstractNum w:abstractNumId="251">
    <w:nsid w:val="725566B2"/>
    <w:multiLevelType w:val="hybridMultilevel"/>
    <w:tmpl w:val="21D8CB92"/>
    <w:lvl w:ilvl="0" w:tplc="04090001">
      <w:start w:val="1"/>
      <w:numFmt w:val="bullet"/>
      <w:lvlText w:val=""/>
      <w:lvlJc w:val="left"/>
      <w:pPr>
        <w:ind w:left="1980" w:hanging="360"/>
      </w:pPr>
      <w:rPr>
        <w:rFonts w:ascii="Wingdings" w:hAnsi="Wingdings" w:hint="default"/>
      </w:rPr>
    </w:lvl>
    <w:lvl w:ilvl="1" w:tplc="04090003" w:tentative="1">
      <w:start w:val="1"/>
      <w:numFmt w:val="bullet"/>
      <w:lvlText w:val="o"/>
      <w:lvlJc w:val="left"/>
      <w:pPr>
        <w:ind w:left="2700" w:hanging="360"/>
      </w:pPr>
      <w:rPr>
        <w:rFonts w:ascii="Courier New" w:hAnsi="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52">
    <w:nsid w:val="72671B15"/>
    <w:multiLevelType w:val="hybridMultilevel"/>
    <w:tmpl w:val="3432F2D6"/>
    <w:lvl w:ilvl="0" w:tplc="04090001">
      <w:start w:val="1"/>
      <w:numFmt w:val="lowerLetter"/>
      <w:lvlText w:val="%1)"/>
      <w:lvlJc w:val="left"/>
      <w:pPr>
        <w:ind w:left="541" w:hanging="360"/>
      </w:pPr>
    </w:lvl>
    <w:lvl w:ilvl="1" w:tplc="04090003" w:tentative="1">
      <w:start w:val="1"/>
      <w:numFmt w:val="lowerLetter"/>
      <w:lvlText w:val="%2."/>
      <w:lvlJc w:val="left"/>
      <w:pPr>
        <w:ind w:left="1261" w:hanging="360"/>
      </w:pPr>
    </w:lvl>
    <w:lvl w:ilvl="2" w:tplc="04090005" w:tentative="1">
      <w:start w:val="1"/>
      <w:numFmt w:val="lowerRoman"/>
      <w:lvlText w:val="%3."/>
      <w:lvlJc w:val="right"/>
      <w:pPr>
        <w:ind w:left="1981" w:hanging="180"/>
      </w:pPr>
    </w:lvl>
    <w:lvl w:ilvl="3" w:tplc="04090001" w:tentative="1">
      <w:start w:val="1"/>
      <w:numFmt w:val="decimal"/>
      <w:lvlText w:val="%4."/>
      <w:lvlJc w:val="left"/>
      <w:pPr>
        <w:ind w:left="2701" w:hanging="360"/>
      </w:pPr>
    </w:lvl>
    <w:lvl w:ilvl="4" w:tplc="04090003" w:tentative="1">
      <w:start w:val="1"/>
      <w:numFmt w:val="lowerLetter"/>
      <w:lvlText w:val="%5."/>
      <w:lvlJc w:val="left"/>
      <w:pPr>
        <w:ind w:left="3421" w:hanging="360"/>
      </w:pPr>
    </w:lvl>
    <w:lvl w:ilvl="5" w:tplc="04090005" w:tentative="1">
      <w:start w:val="1"/>
      <w:numFmt w:val="lowerRoman"/>
      <w:lvlText w:val="%6."/>
      <w:lvlJc w:val="right"/>
      <w:pPr>
        <w:ind w:left="4141" w:hanging="180"/>
      </w:pPr>
    </w:lvl>
    <w:lvl w:ilvl="6" w:tplc="04090001" w:tentative="1">
      <w:start w:val="1"/>
      <w:numFmt w:val="decimal"/>
      <w:lvlText w:val="%7."/>
      <w:lvlJc w:val="left"/>
      <w:pPr>
        <w:ind w:left="4861" w:hanging="360"/>
      </w:pPr>
    </w:lvl>
    <w:lvl w:ilvl="7" w:tplc="04090003" w:tentative="1">
      <w:start w:val="1"/>
      <w:numFmt w:val="lowerLetter"/>
      <w:lvlText w:val="%8."/>
      <w:lvlJc w:val="left"/>
      <w:pPr>
        <w:ind w:left="5581" w:hanging="360"/>
      </w:pPr>
    </w:lvl>
    <w:lvl w:ilvl="8" w:tplc="04090005" w:tentative="1">
      <w:start w:val="1"/>
      <w:numFmt w:val="lowerRoman"/>
      <w:lvlText w:val="%9."/>
      <w:lvlJc w:val="right"/>
      <w:pPr>
        <w:ind w:left="6301" w:hanging="180"/>
      </w:pPr>
    </w:lvl>
  </w:abstractNum>
  <w:abstractNum w:abstractNumId="253">
    <w:nsid w:val="731D5DE7"/>
    <w:multiLevelType w:val="hybridMultilevel"/>
    <w:tmpl w:val="65086C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737B7D6E"/>
    <w:multiLevelType w:val="hybridMultilevel"/>
    <w:tmpl w:val="935EFCE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5">
    <w:nsid w:val="746463D0"/>
    <w:multiLevelType w:val="hybridMultilevel"/>
    <w:tmpl w:val="FB96750A"/>
    <w:lvl w:ilvl="0" w:tplc="73C6D3D2">
      <w:start w:val="1"/>
      <w:numFmt w:val="decimal"/>
      <w:lvlText w:val="%1)"/>
      <w:lvlJc w:val="left"/>
      <w:pPr>
        <w:ind w:left="720" w:hanging="360"/>
      </w:pPr>
    </w:lvl>
    <w:lvl w:ilvl="1" w:tplc="CD12A38A">
      <w:start w:val="1"/>
      <w:numFmt w:val="lowerLetter"/>
      <w:lvlText w:val="%2."/>
      <w:lvlJc w:val="left"/>
      <w:pPr>
        <w:ind w:left="1440" w:hanging="360"/>
      </w:pPr>
    </w:lvl>
    <w:lvl w:ilvl="2" w:tplc="8D021E40" w:tentative="1">
      <w:start w:val="1"/>
      <w:numFmt w:val="lowerRoman"/>
      <w:lvlText w:val="%3."/>
      <w:lvlJc w:val="right"/>
      <w:pPr>
        <w:ind w:left="2160" w:hanging="180"/>
      </w:pPr>
    </w:lvl>
    <w:lvl w:ilvl="3" w:tplc="CE80BA2E" w:tentative="1">
      <w:start w:val="1"/>
      <w:numFmt w:val="decimal"/>
      <w:lvlText w:val="%4."/>
      <w:lvlJc w:val="left"/>
      <w:pPr>
        <w:ind w:left="2880" w:hanging="360"/>
      </w:pPr>
    </w:lvl>
    <w:lvl w:ilvl="4" w:tplc="0F545DC6" w:tentative="1">
      <w:start w:val="1"/>
      <w:numFmt w:val="lowerLetter"/>
      <w:lvlText w:val="%5."/>
      <w:lvlJc w:val="left"/>
      <w:pPr>
        <w:ind w:left="3600" w:hanging="360"/>
      </w:pPr>
    </w:lvl>
    <w:lvl w:ilvl="5" w:tplc="0B947DA4" w:tentative="1">
      <w:start w:val="1"/>
      <w:numFmt w:val="lowerRoman"/>
      <w:lvlText w:val="%6."/>
      <w:lvlJc w:val="right"/>
      <w:pPr>
        <w:ind w:left="4320" w:hanging="180"/>
      </w:pPr>
    </w:lvl>
    <w:lvl w:ilvl="6" w:tplc="821CE2B6" w:tentative="1">
      <w:start w:val="1"/>
      <w:numFmt w:val="decimal"/>
      <w:lvlText w:val="%7."/>
      <w:lvlJc w:val="left"/>
      <w:pPr>
        <w:ind w:left="5040" w:hanging="360"/>
      </w:pPr>
    </w:lvl>
    <w:lvl w:ilvl="7" w:tplc="107E1620" w:tentative="1">
      <w:start w:val="1"/>
      <w:numFmt w:val="lowerLetter"/>
      <w:lvlText w:val="%8."/>
      <w:lvlJc w:val="left"/>
      <w:pPr>
        <w:ind w:left="5760" w:hanging="360"/>
      </w:pPr>
    </w:lvl>
    <w:lvl w:ilvl="8" w:tplc="1E029234" w:tentative="1">
      <w:start w:val="1"/>
      <w:numFmt w:val="lowerRoman"/>
      <w:lvlText w:val="%9."/>
      <w:lvlJc w:val="right"/>
      <w:pPr>
        <w:ind w:left="6480" w:hanging="180"/>
      </w:pPr>
    </w:lvl>
  </w:abstractNum>
  <w:abstractNum w:abstractNumId="256">
    <w:nsid w:val="74A23C5E"/>
    <w:multiLevelType w:val="hybridMultilevel"/>
    <w:tmpl w:val="30D4AB3E"/>
    <w:lvl w:ilvl="0" w:tplc="0413000F">
      <w:start w:val="1"/>
      <w:numFmt w:val="bullet"/>
      <w:lvlText w:val=""/>
      <w:lvlJc w:val="left"/>
      <w:pPr>
        <w:ind w:left="720" w:hanging="360"/>
      </w:pPr>
      <w:rPr>
        <w:rFonts w:ascii="Symbol" w:hAnsi="Symbol" w:hint="default"/>
      </w:rPr>
    </w:lvl>
    <w:lvl w:ilvl="1" w:tplc="04130019" w:tentative="1">
      <w:start w:val="1"/>
      <w:numFmt w:val="bullet"/>
      <w:lvlText w:val="o"/>
      <w:lvlJc w:val="left"/>
      <w:pPr>
        <w:ind w:left="1440" w:hanging="360"/>
      </w:pPr>
      <w:rPr>
        <w:rFonts w:ascii="Courier New" w:hAnsi="Courier New" w:cs="Courier New" w:hint="default"/>
      </w:rPr>
    </w:lvl>
    <w:lvl w:ilvl="2" w:tplc="0413001B" w:tentative="1">
      <w:start w:val="1"/>
      <w:numFmt w:val="bullet"/>
      <w:lvlText w:val=""/>
      <w:lvlJc w:val="left"/>
      <w:pPr>
        <w:ind w:left="2160" w:hanging="360"/>
      </w:pPr>
      <w:rPr>
        <w:rFonts w:ascii="Wingdings" w:hAnsi="Wingdings" w:hint="default"/>
      </w:rPr>
    </w:lvl>
    <w:lvl w:ilvl="3" w:tplc="0413000F" w:tentative="1">
      <w:start w:val="1"/>
      <w:numFmt w:val="bullet"/>
      <w:lvlText w:val=""/>
      <w:lvlJc w:val="left"/>
      <w:pPr>
        <w:ind w:left="2880" w:hanging="360"/>
      </w:pPr>
      <w:rPr>
        <w:rFonts w:ascii="Symbol" w:hAnsi="Symbol" w:hint="default"/>
      </w:rPr>
    </w:lvl>
    <w:lvl w:ilvl="4" w:tplc="04130019" w:tentative="1">
      <w:start w:val="1"/>
      <w:numFmt w:val="bullet"/>
      <w:lvlText w:val="o"/>
      <w:lvlJc w:val="left"/>
      <w:pPr>
        <w:ind w:left="3600" w:hanging="360"/>
      </w:pPr>
      <w:rPr>
        <w:rFonts w:ascii="Courier New" w:hAnsi="Courier New" w:cs="Courier New" w:hint="default"/>
      </w:rPr>
    </w:lvl>
    <w:lvl w:ilvl="5" w:tplc="0413001B" w:tentative="1">
      <w:start w:val="1"/>
      <w:numFmt w:val="bullet"/>
      <w:lvlText w:val=""/>
      <w:lvlJc w:val="left"/>
      <w:pPr>
        <w:ind w:left="4320" w:hanging="360"/>
      </w:pPr>
      <w:rPr>
        <w:rFonts w:ascii="Wingdings" w:hAnsi="Wingdings" w:hint="default"/>
      </w:rPr>
    </w:lvl>
    <w:lvl w:ilvl="6" w:tplc="0413000F" w:tentative="1">
      <w:start w:val="1"/>
      <w:numFmt w:val="bullet"/>
      <w:lvlText w:val=""/>
      <w:lvlJc w:val="left"/>
      <w:pPr>
        <w:ind w:left="5040" w:hanging="360"/>
      </w:pPr>
      <w:rPr>
        <w:rFonts w:ascii="Symbol" w:hAnsi="Symbol" w:hint="default"/>
      </w:rPr>
    </w:lvl>
    <w:lvl w:ilvl="7" w:tplc="04130019" w:tentative="1">
      <w:start w:val="1"/>
      <w:numFmt w:val="bullet"/>
      <w:lvlText w:val="o"/>
      <w:lvlJc w:val="left"/>
      <w:pPr>
        <w:ind w:left="5760" w:hanging="360"/>
      </w:pPr>
      <w:rPr>
        <w:rFonts w:ascii="Courier New" w:hAnsi="Courier New" w:cs="Courier New" w:hint="default"/>
      </w:rPr>
    </w:lvl>
    <w:lvl w:ilvl="8" w:tplc="0413001B" w:tentative="1">
      <w:start w:val="1"/>
      <w:numFmt w:val="bullet"/>
      <w:lvlText w:val=""/>
      <w:lvlJc w:val="left"/>
      <w:pPr>
        <w:ind w:left="6480" w:hanging="360"/>
      </w:pPr>
      <w:rPr>
        <w:rFonts w:ascii="Wingdings" w:hAnsi="Wingdings" w:hint="default"/>
      </w:rPr>
    </w:lvl>
  </w:abstractNum>
  <w:abstractNum w:abstractNumId="257">
    <w:nsid w:val="7535372A"/>
    <w:multiLevelType w:val="multilevel"/>
    <w:tmpl w:val="F432E5B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1.7.%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8">
    <w:nsid w:val="75E92CB9"/>
    <w:multiLevelType w:val="hybridMultilevel"/>
    <w:tmpl w:val="569AA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nsid w:val="767946A9"/>
    <w:multiLevelType w:val="hybridMultilevel"/>
    <w:tmpl w:val="EF563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nsid w:val="77817266"/>
    <w:multiLevelType w:val="multilevel"/>
    <w:tmpl w:val="60225FF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8.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1">
    <w:nsid w:val="77845B5C"/>
    <w:multiLevelType w:val="hybridMultilevel"/>
    <w:tmpl w:val="5334725A"/>
    <w:lvl w:ilvl="0" w:tplc="0F5470F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nsid w:val="7797286B"/>
    <w:multiLevelType w:val="hybridMultilevel"/>
    <w:tmpl w:val="A0AC54E8"/>
    <w:lvl w:ilvl="0">
      <w:start w:val="1"/>
      <w:numFmt w:val="bullet"/>
      <w:lvlText w:val=""/>
      <w:lvlJc w:val="left"/>
      <w:pPr>
        <w:ind w:left="2520" w:hanging="360"/>
      </w:pPr>
      <w:rPr>
        <w:rFonts w:ascii="Symbol" w:hAnsi="Symbol" w:hint="default"/>
      </w:rPr>
    </w:lvl>
    <w:lvl w:ilvl="1" w:tentative="1">
      <w:start w:val="1"/>
      <w:numFmt w:val="bullet"/>
      <w:lvlText w:val="o"/>
      <w:lvlJc w:val="left"/>
      <w:pPr>
        <w:ind w:left="3240" w:hanging="360"/>
      </w:pPr>
      <w:rPr>
        <w:rFonts w:ascii="Courier New" w:hAnsi="Courier New" w:cs="Courier New" w:hint="default"/>
      </w:rPr>
    </w:lvl>
    <w:lvl w:ilvl="2" w:tentative="1">
      <w:start w:val="1"/>
      <w:numFmt w:val="bullet"/>
      <w:lvlText w:val=""/>
      <w:lvlJc w:val="left"/>
      <w:pPr>
        <w:ind w:left="3960" w:hanging="360"/>
      </w:pPr>
      <w:rPr>
        <w:rFonts w:ascii="Wingdings" w:hAnsi="Wingdings" w:hint="default"/>
      </w:rPr>
    </w:lvl>
    <w:lvl w:ilvl="3" w:tentative="1">
      <w:start w:val="1"/>
      <w:numFmt w:val="bullet"/>
      <w:lvlText w:val=""/>
      <w:lvlJc w:val="left"/>
      <w:pPr>
        <w:ind w:left="4680" w:hanging="360"/>
      </w:pPr>
      <w:rPr>
        <w:rFonts w:ascii="Symbol" w:hAnsi="Symbol" w:hint="default"/>
      </w:rPr>
    </w:lvl>
    <w:lvl w:ilvl="4" w:tentative="1">
      <w:start w:val="1"/>
      <w:numFmt w:val="bullet"/>
      <w:lvlText w:val="o"/>
      <w:lvlJc w:val="left"/>
      <w:pPr>
        <w:ind w:left="5400" w:hanging="360"/>
      </w:pPr>
      <w:rPr>
        <w:rFonts w:ascii="Courier New" w:hAnsi="Courier New" w:cs="Courier New" w:hint="default"/>
      </w:rPr>
    </w:lvl>
    <w:lvl w:ilvl="5" w:tentative="1">
      <w:start w:val="1"/>
      <w:numFmt w:val="bullet"/>
      <w:lvlText w:val=""/>
      <w:lvlJc w:val="left"/>
      <w:pPr>
        <w:ind w:left="6120" w:hanging="360"/>
      </w:pPr>
      <w:rPr>
        <w:rFonts w:ascii="Wingdings" w:hAnsi="Wingdings" w:hint="default"/>
      </w:rPr>
    </w:lvl>
    <w:lvl w:ilvl="6" w:tentative="1">
      <w:start w:val="1"/>
      <w:numFmt w:val="bullet"/>
      <w:lvlText w:val=""/>
      <w:lvlJc w:val="left"/>
      <w:pPr>
        <w:ind w:left="6840" w:hanging="360"/>
      </w:pPr>
      <w:rPr>
        <w:rFonts w:ascii="Symbol" w:hAnsi="Symbol" w:hint="default"/>
      </w:rPr>
    </w:lvl>
    <w:lvl w:ilvl="7" w:tentative="1">
      <w:start w:val="1"/>
      <w:numFmt w:val="bullet"/>
      <w:lvlText w:val="o"/>
      <w:lvlJc w:val="left"/>
      <w:pPr>
        <w:ind w:left="7560" w:hanging="360"/>
      </w:pPr>
      <w:rPr>
        <w:rFonts w:ascii="Courier New" w:hAnsi="Courier New" w:cs="Courier New" w:hint="default"/>
      </w:rPr>
    </w:lvl>
    <w:lvl w:ilvl="8" w:tentative="1">
      <w:start w:val="1"/>
      <w:numFmt w:val="bullet"/>
      <w:lvlText w:val=""/>
      <w:lvlJc w:val="left"/>
      <w:pPr>
        <w:ind w:left="8280" w:hanging="360"/>
      </w:pPr>
      <w:rPr>
        <w:rFonts w:ascii="Wingdings" w:hAnsi="Wingdings" w:hint="default"/>
      </w:rPr>
    </w:lvl>
  </w:abstractNum>
  <w:abstractNum w:abstractNumId="263">
    <w:nsid w:val="77A07ABE"/>
    <w:multiLevelType w:val="hybridMultilevel"/>
    <w:tmpl w:val="338254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4">
    <w:nsid w:val="78FF31C3"/>
    <w:multiLevelType w:val="multilevel"/>
    <w:tmpl w:val="D06C803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5.5.%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5">
    <w:nsid w:val="7A0731FA"/>
    <w:multiLevelType w:val="hybridMultilevel"/>
    <w:tmpl w:val="1C762630"/>
    <w:lvl w:ilvl="0" w:tplc="0409001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66">
    <w:nsid w:val="7AE57210"/>
    <w:multiLevelType w:val="hybridMultilevel"/>
    <w:tmpl w:val="2460E99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7">
    <w:nsid w:val="7AF83CC3"/>
    <w:multiLevelType w:val="multilevel"/>
    <w:tmpl w:val="D0562922"/>
    <w:lvl w:ilvl="0">
      <w:start w:val="9"/>
      <w:numFmt w:val="decimal"/>
      <w:lvlText w:val="%1."/>
      <w:lvlJc w:val="left"/>
      <w:pPr>
        <w:ind w:left="450" w:hanging="450"/>
      </w:pPr>
      <w:rPr>
        <w:rFonts w:hint="default"/>
      </w:rPr>
    </w:lvl>
    <w:lvl w:ilvl="1">
      <w:start w:val="4"/>
      <w:numFmt w:val="decimal"/>
      <w:pStyle w:val="Heading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8">
    <w:nsid w:val="7F110BFE"/>
    <w:multiLevelType w:val="hybridMultilevel"/>
    <w:tmpl w:val="6AAEF276"/>
    <w:lvl w:ilvl="0">
      <w:start w:val="1"/>
      <w:numFmt w:val="bullet"/>
      <w:lvlText w:val="-"/>
      <w:lvlJc w:val="left"/>
      <w:pPr>
        <w:ind w:left="720" w:hanging="360"/>
      </w:pPr>
      <w:rPr>
        <w:rFonts w:ascii="Segoe UI" w:eastAsia="Calibri" w:hAnsi="Segoe UI" w:cs="Segoe U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9">
    <w:nsid w:val="7FFD53D0"/>
    <w:multiLevelType w:val="hybridMultilevel"/>
    <w:tmpl w:val="181654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abstractNumId w:val="151"/>
  </w:num>
  <w:num w:numId="2">
    <w:abstractNumId w:val="33"/>
  </w:num>
  <w:num w:numId="3">
    <w:abstractNumId w:val="262"/>
  </w:num>
  <w:num w:numId="4">
    <w:abstractNumId w:val="244"/>
  </w:num>
  <w:num w:numId="5">
    <w:abstractNumId w:val="47"/>
  </w:num>
  <w:num w:numId="6">
    <w:abstractNumId w:val="203"/>
  </w:num>
  <w:num w:numId="7">
    <w:abstractNumId w:val="62"/>
  </w:num>
  <w:num w:numId="8">
    <w:abstractNumId w:val="232"/>
  </w:num>
  <w:num w:numId="9">
    <w:abstractNumId w:val="230"/>
  </w:num>
  <w:num w:numId="10">
    <w:abstractNumId w:val="196"/>
  </w:num>
  <w:num w:numId="11">
    <w:abstractNumId w:val="79"/>
  </w:num>
  <w:num w:numId="12">
    <w:abstractNumId w:val="8"/>
  </w:num>
  <w:num w:numId="13">
    <w:abstractNumId w:val="145"/>
  </w:num>
  <w:num w:numId="14">
    <w:abstractNumId w:val="183"/>
  </w:num>
  <w:num w:numId="15">
    <w:abstractNumId w:val="158"/>
  </w:num>
  <w:num w:numId="16">
    <w:abstractNumId w:val="27"/>
  </w:num>
  <w:num w:numId="17">
    <w:abstractNumId w:val="81"/>
  </w:num>
  <w:num w:numId="18">
    <w:abstractNumId w:val="25"/>
  </w:num>
  <w:num w:numId="19">
    <w:abstractNumId w:val="38"/>
  </w:num>
  <w:num w:numId="20">
    <w:abstractNumId w:val="109"/>
  </w:num>
  <w:num w:numId="21">
    <w:abstractNumId w:val="229"/>
  </w:num>
  <w:num w:numId="22">
    <w:abstractNumId w:val="221"/>
  </w:num>
  <w:num w:numId="23">
    <w:abstractNumId w:val="83"/>
  </w:num>
  <w:num w:numId="24">
    <w:abstractNumId w:val="125"/>
  </w:num>
  <w:num w:numId="25">
    <w:abstractNumId w:val="245"/>
  </w:num>
  <w:num w:numId="26">
    <w:abstractNumId w:val="149"/>
  </w:num>
  <w:num w:numId="27">
    <w:abstractNumId w:val="237"/>
  </w:num>
  <w:num w:numId="28">
    <w:abstractNumId w:val="150"/>
  </w:num>
  <w:num w:numId="29">
    <w:abstractNumId w:val="234"/>
  </w:num>
  <w:num w:numId="30">
    <w:abstractNumId w:val="227"/>
  </w:num>
  <w:num w:numId="31">
    <w:abstractNumId w:val="10"/>
  </w:num>
  <w:num w:numId="32">
    <w:abstractNumId w:val="86"/>
  </w:num>
  <w:num w:numId="33">
    <w:abstractNumId w:val="108"/>
  </w:num>
  <w:num w:numId="34">
    <w:abstractNumId w:val="214"/>
  </w:num>
  <w:num w:numId="35">
    <w:abstractNumId w:val="99"/>
  </w:num>
  <w:num w:numId="36">
    <w:abstractNumId w:val="258"/>
  </w:num>
  <w:num w:numId="37">
    <w:abstractNumId w:val="172"/>
  </w:num>
  <w:num w:numId="38">
    <w:abstractNumId w:val="246"/>
  </w:num>
  <w:num w:numId="39">
    <w:abstractNumId w:val="126"/>
  </w:num>
  <w:num w:numId="40">
    <w:abstractNumId w:val="154"/>
  </w:num>
  <w:num w:numId="41">
    <w:abstractNumId w:val="208"/>
  </w:num>
  <w:num w:numId="42">
    <w:abstractNumId w:val="169"/>
  </w:num>
  <w:num w:numId="43">
    <w:abstractNumId w:val="1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86"/>
  </w:num>
  <w:num w:numId="48">
    <w:abstractNumId w:val="7"/>
  </w:num>
  <w:num w:numId="49">
    <w:abstractNumId w:val="102"/>
  </w:num>
  <w:num w:numId="50">
    <w:abstractNumId w:val="23"/>
  </w:num>
  <w:num w:numId="51">
    <w:abstractNumId w:val="107"/>
  </w:num>
  <w:num w:numId="52">
    <w:abstractNumId w:val="41"/>
  </w:num>
  <w:num w:numId="53">
    <w:abstractNumId w:val="110"/>
  </w:num>
  <w:num w:numId="54">
    <w:abstractNumId w:val="251"/>
  </w:num>
  <w:num w:numId="55">
    <w:abstractNumId w:val="266"/>
  </w:num>
  <w:num w:numId="56">
    <w:abstractNumId w:val="198"/>
  </w:num>
  <w:num w:numId="57">
    <w:abstractNumId w:val="94"/>
  </w:num>
  <w:num w:numId="58">
    <w:abstractNumId w:val="192"/>
  </w:num>
  <w:num w:numId="59">
    <w:abstractNumId w:val="189"/>
  </w:num>
  <w:num w:numId="60">
    <w:abstractNumId w:val="66"/>
  </w:num>
  <w:num w:numId="61">
    <w:abstractNumId w:val="97"/>
  </w:num>
  <w:num w:numId="62">
    <w:abstractNumId w:val="159"/>
  </w:num>
  <w:num w:numId="63">
    <w:abstractNumId w:val="213"/>
  </w:num>
  <w:num w:numId="64">
    <w:abstractNumId w:val="207"/>
  </w:num>
  <w:num w:numId="6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6"/>
  </w:num>
  <w:num w:numId="67">
    <w:abstractNumId w:val="69"/>
  </w:num>
  <w:num w:numId="68">
    <w:abstractNumId w:val="210"/>
  </w:num>
  <w:num w:numId="69">
    <w:abstractNumId w:val="58"/>
  </w:num>
  <w:num w:numId="70">
    <w:abstractNumId w:val="117"/>
  </w:num>
  <w:num w:numId="71">
    <w:abstractNumId w:val="217"/>
  </w:num>
  <w:num w:numId="72">
    <w:abstractNumId w:val="185"/>
  </w:num>
  <w:num w:numId="73">
    <w:abstractNumId w:val="0"/>
  </w:num>
  <w:num w:numId="74">
    <w:abstractNumId w:val="253"/>
  </w:num>
  <w:num w:numId="75">
    <w:abstractNumId w:val="194"/>
  </w:num>
  <w:num w:numId="76">
    <w:abstractNumId w:val="153"/>
  </w:num>
  <w:num w:numId="77">
    <w:abstractNumId w:val="106"/>
  </w:num>
  <w:num w:numId="78">
    <w:abstractNumId w:val="34"/>
  </w:num>
  <w:num w:numId="79">
    <w:abstractNumId w:val="30"/>
  </w:num>
  <w:num w:numId="80">
    <w:abstractNumId w:val="205"/>
  </w:num>
  <w:num w:numId="81">
    <w:abstractNumId w:val="201"/>
  </w:num>
  <w:num w:numId="82">
    <w:abstractNumId w:val="165"/>
  </w:num>
  <w:num w:numId="83">
    <w:abstractNumId w:val="236"/>
  </w:num>
  <w:num w:numId="84">
    <w:abstractNumId w:val="164"/>
  </w:num>
  <w:num w:numId="85">
    <w:abstractNumId w:val="113"/>
  </w:num>
  <w:num w:numId="86">
    <w:abstractNumId w:val="18"/>
  </w:num>
  <w:num w:numId="87">
    <w:abstractNumId w:val="105"/>
  </w:num>
  <w:num w:numId="88">
    <w:abstractNumId w:val="265"/>
  </w:num>
  <w:num w:numId="89">
    <w:abstractNumId w:val="56"/>
  </w:num>
  <w:num w:numId="90">
    <w:abstractNumId w:val="20"/>
  </w:num>
  <w:num w:numId="91">
    <w:abstractNumId w:val="43"/>
  </w:num>
  <w:num w:numId="92">
    <w:abstractNumId w:val="162"/>
  </w:num>
  <w:num w:numId="93">
    <w:abstractNumId w:val="31"/>
  </w:num>
  <w:num w:numId="94">
    <w:abstractNumId w:val="4"/>
  </w:num>
  <w:num w:numId="95">
    <w:abstractNumId w:val="2"/>
    <w:lvlOverride w:ilvl="0">
      <w:startOverride w:val="1"/>
    </w:lvlOverride>
  </w:num>
  <w:num w:numId="96">
    <w:abstractNumId w:val="238"/>
  </w:num>
  <w:num w:numId="97">
    <w:abstractNumId w:val="120"/>
  </w:num>
  <w:num w:numId="98">
    <w:abstractNumId w:val="60"/>
  </w:num>
  <w:num w:numId="99">
    <w:abstractNumId w:val="91"/>
  </w:num>
  <w:num w:numId="100">
    <w:abstractNumId w:val="1"/>
  </w:num>
  <w:num w:numId="101">
    <w:abstractNumId w:val="116"/>
  </w:num>
  <w:num w:numId="102">
    <w:abstractNumId w:val="138"/>
  </w:num>
  <w:num w:numId="103">
    <w:abstractNumId w:val="242"/>
  </w:num>
  <w:num w:numId="104">
    <w:abstractNumId w:val="222"/>
  </w:num>
  <w:num w:numId="105">
    <w:abstractNumId w:val="17"/>
  </w:num>
  <w:num w:numId="106">
    <w:abstractNumId w:val="95"/>
  </w:num>
  <w:num w:numId="107">
    <w:abstractNumId w:val="37"/>
  </w:num>
  <w:num w:numId="108">
    <w:abstractNumId w:val="28"/>
  </w:num>
  <w:num w:numId="109">
    <w:abstractNumId w:val="55"/>
  </w:num>
  <w:num w:numId="110">
    <w:abstractNumId w:val="85"/>
  </w:num>
  <w:num w:numId="111">
    <w:abstractNumId w:val="9"/>
  </w:num>
  <w:num w:numId="112">
    <w:abstractNumId w:val="200"/>
  </w:num>
  <w:num w:numId="113">
    <w:abstractNumId w:val="114"/>
  </w:num>
  <w:num w:numId="114">
    <w:abstractNumId w:val="12"/>
  </w:num>
  <w:num w:numId="115">
    <w:abstractNumId w:val="255"/>
  </w:num>
  <w:num w:numId="116">
    <w:abstractNumId w:val="160"/>
  </w:num>
  <w:num w:numId="117">
    <w:abstractNumId w:val="13"/>
  </w:num>
  <w:num w:numId="118">
    <w:abstractNumId w:val="96"/>
  </w:num>
  <w:num w:numId="119">
    <w:abstractNumId w:val="77"/>
  </w:num>
  <w:num w:numId="120">
    <w:abstractNumId w:val="263"/>
  </w:num>
  <w:num w:numId="121">
    <w:abstractNumId w:val="182"/>
  </w:num>
  <w:num w:numId="122">
    <w:abstractNumId w:val="174"/>
  </w:num>
  <w:num w:numId="123">
    <w:abstractNumId w:val="70"/>
  </w:num>
  <w:num w:numId="124">
    <w:abstractNumId w:val="209"/>
  </w:num>
  <w:num w:numId="125">
    <w:abstractNumId w:val="121"/>
  </w:num>
  <w:num w:numId="126">
    <w:abstractNumId w:val="112"/>
  </w:num>
  <w:num w:numId="127">
    <w:abstractNumId w:val="51"/>
  </w:num>
  <w:num w:numId="128">
    <w:abstractNumId w:val="134"/>
  </w:num>
  <w:num w:numId="129">
    <w:abstractNumId w:val="220"/>
  </w:num>
  <w:num w:numId="130">
    <w:abstractNumId w:val="71"/>
  </w:num>
  <w:num w:numId="131">
    <w:abstractNumId w:val="177"/>
  </w:num>
  <w:num w:numId="132">
    <w:abstractNumId w:val="15"/>
  </w:num>
  <w:num w:numId="133">
    <w:abstractNumId w:val="269"/>
  </w:num>
  <w:num w:numId="134">
    <w:abstractNumId w:val="101"/>
  </w:num>
  <w:num w:numId="135">
    <w:abstractNumId w:val="46"/>
  </w:num>
  <w:num w:numId="136">
    <w:abstractNumId w:val="67"/>
  </w:num>
  <w:num w:numId="137">
    <w:abstractNumId w:val="22"/>
  </w:num>
  <w:num w:numId="138">
    <w:abstractNumId w:val="171"/>
  </w:num>
  <w:num w:numId="139">
    <w:abstractNumId w:val="142"/>
  </w:num>
  <w:num w:numId="140">
    <w:abstractNumId w:val="11"/>
  </w:num>
  <w:num w:numId="141">
    <w:abstractNumId w:val="122"/>
  </w:num>
  <w:num w:numId="142">
    <w:abstractNumId w:val="50"/>
  </w:num>
  <w:num w:numId="143">
    <w:abstractNumId w:val="132"/>
  </w:num>
  <w:num w:numId="144">
    <w:abstractNumId w:val="26"/>
  </w:num>
  <w:num w:numId="145">
    <w:abstractNumId w:val="215"/>
  </w:num>
  <w:num w:numId="146">
    <w:abstractNumId w:val="146"/>
  </w:num>
  <w:num w:numId="147">
    <w:abstractNumId w:val="166"/>
  </w:num>
  <w:num w:numId="148">
    <w:abstractNumId w:val="68"/>
  </w:num>
  <w:num w:numId="149">
    <w:abstractNumId w:val="197"/>
  </w:num>
  <w:num w:numId="150">
    <w:abstractNumId w:val="199"/>
  </w:num>
  <w:num w:numId="151">
    <w:abstractNumId w:val="228"/>
  </w:num>
  <w:num w:numId="152">
    <w:abstractNumId w:val="260"/>
  </w:num>
  <w:num w:numId="153">
    <w:abstractNumId w:val="206"/>
  </w:num>
  <w:num w:numId="154">
    <w:abstractNumId w:val="157"/>
  </w:num>
  <w:num w:numId="155">
    <w:abstractNumId w:val="148"/>
  </w:num>
  <w:num w:numId="156">
    <w:abstractNumId w:val="35"/>
  </w:num>
  <w:num w:numId="157">
    <w:abstractNumId w:val="178"/>
  </w:num>
  <w:num w:numId="158">
    <w:abstractNumId w:val="42"/>
  </w:num>
  <w:num w:numId="159">
    <w:abstractNumId w:val="63"/>
  </w:num>
  <w:num w:numId="160">
    <w:abstractNumId w:val="231"/>
  </w:num>
  <w:num w:numId="161">
    <w:abstractNumId w:val="74"/>
  </w:num>
  <w:num w:numId="162">
    <w:abstractNumId w:val="52"/>
  </w:num>
  <w:num w:numId="163">
    <w:abstractNumId w:val="240"/>
  </w:num>
  <w:num w:numId="164">
    <w:abstractNumId w:val="264"/>
  </w:num>
  <w:num w:numId="165">
    <w:abstractNumId w:val="129"/>
  </w:num>
  <w:num w:numId="166">
    <w:abstractNumId w:val="249"/>
  </w:num>
  <w:num w:numId="167">
    <w:abstractNumId w:val="89"/>
  </w:num>
  <w:num w:numId="168">
    <w:abstractNumId w:val="82"/>
  </w:num>
  <w:num w:numId="169">
    <w:abstractNumId w:val="216"/>
  </w:num>
  <w:num w:numId="170">
    <w:abstractNumId w:val="250"/>
  </w:num>
  <w:num w:numId="171">
    <w:abstractNumId w:val="111"/>
  </w:num>
  <w:num w:numId="172">
    <w:abstractNumId w:val="202"/>
  </w:num>
  <w:num w:numId="173">
    <w:abstractNumId w:val="131"/>
  </w:num>
  <w:num w:numId="174">
    <w:abstractNumId w:val="139"/>
  </w:num>
  <w:num w:numId="175">
    <w:abstractNumId w:val="247"/>
  </w:num>
  <w:num w:numId="176">
    <w:abstractNumId w:val="24"/>
  </w:num>
  <w:num w:numId="177">
    <w:abstractNumId w:val="19"/>
  </w:num>
  <w:num w:numId="178">
    <w:abstractNumId w:val="268"/>
  </w:num>
  <w:num w:numId="179">
    <w:abstractNumId w:val="54"/>
  </w:num>
  <w:num w:numId="180">
    <w:abstractNumId w:val="252"/>
  </w:num>
  <w:num w:numId="181">
    <w:abstractNumId w:val="156"/>
  </w:num>
  <w:num w:numId="182">
    <w:abstractNumId w:val="143"/>
  </w:num>
  <w:num w:numId="183">
    <w:abstractNumId w:val="204"/>
  </w:num>
  <w:num w:numId="184">
    <w:abstractNumId w:val="90"/>
  </w:num>
  <w:num w:numId="185">
    <w:abstractNumId w:val="84"/>
  </w:num>
  <w:num w:numId="186">
    <w:abstractNumId w:val="187"/>
  </w:num>
  <w:num w:numId="187">
    <w:abstractNumId w:val="241"/>
  </w:num>
  <w:num w:numId="188">
    <w:abstractNumId w:val="14"/>
  </w:num>
  <w:num w:numId="189">
    <w:abstractNumId w:val="118"/>
  </w:num>
  <w:num w:numId="190">
    <w:abstractNumId w:val="243"/>
  </w:num>
  <w:num w:numId="191">
    <w:abstractNumId w:val="175"/>
  </w:num>
  <w:num w:numId="192">
    <w:abstractNumId w:val="137"/>
  </w:num>
  <w:num w:numId="193">
    <w:abstractNumId w:val="124"/>
  </w:num>
  <w:num w:numId="194">
    <w:abstractNumId w:val="248"/>
  </w:num>
  <w:num w:numId="195">
    <w:abstractNumId w:val="76"/>
  </w:num>
  <w:num w:numId="196">
    <w:abstractNumId w:val="225"/>
  </w:num>
  <w:num w:numId="197">
    <w:abstractNumId w:val="259"/>
  </w:num>
  <w:num w:numId="198">
    <w:abstractNumId w:val="93"/>
  </w:num>
  <w:num w:numId="199">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23"/>
  </w:num>
  <w:num w:numId="201">
    <w:abstractNumId w:val="39"/>
  </w:num>
  <w:num w:numId="202">
    <w:abstractNumId w:val="161"/>
  </w:num>
  <w:num w:numId="203">
    <w:abstractNumId w:val="141"/>
  </w:num>
  <w:num w:numId="204">
    <w:abstractNumId w:val="100"/>
  </w:num>
  <w:num w:numId="205">
    <w:abstractNumId w:val="136"/>
  </w:num>
  <w:num w:numId="206">
    <w:abstractNumId w:val="6"/>
  </w:num>
  <w:num w:numId="207">
    <w:abstractNumId w:val="57"/>
  </w:num>
  <w:num w:numId="208">
    <w:abstractNumId w:val="64"/>
  </w:num>
  <w:num w:numId="209">
    <w:abstractNumId w:val="88"/>
  </w:num>
  <w:num w:numId="210">
    <w:abstractNumId w:val="144"/>
  </w:num>
  <w:num w:numId="211">
    <w:abstractNumId w:val="173"/>
  </w:num>
  <w:num w:numId="212">
    <w:abstractNumId w:val="219"/>
  </w:num>
  <w:num w:numId="213">
    <w:abstractNumId w:val="233"/>
  </w:num>
  <w:num w:numId="214">
    <w:abstractNumId w:val="254"/>
  </w:num>
  <w:num w:numId="215">
    <w:abstractNumId w:val="92"/>
  </w:num>
  <w:num w:numId="216">
    <w:abstractNumId w:val="256"/>
  </w:num>
  <w:num w:numId="217">
    <w:abstractNumId w:val="104"/>
  </w:num>
  <w:num w:numId="218">
    <w:abstractNumId w:val="128"/>
  </w:num>
  <w:num w:numId="219">
    <w:abstractNumId w:val="130"/>
  </w:num>
  <w:num w:numId="220">
    <w:abstractNumId w:val="98"/>
  </w:num>
  <w:num w:numId="221">
    <w:abstractNumId w:val="211"/>
  </w:num>
  <w:num w:numId="222">
    <w:abstractNumId w:val="119"/>
  </w:num>
  <w:num w:numId="223">
    <w:abstractNumId w:val="21"/>
  </w:num>
  <w:num w:numId="224">
    <w:abstractNumId w:val="226"/>
  </w:num>
  <w:num w:numId="225">
    <w:abstractNumId w:val="5"/>
  </w:num>
  <w:num w:numId="226">
    <w:abstractNumId w:val="152"/>
  </w:num>
  <w:num w:numId="227">
    <w:abstractNumId w:val="223"/>
  </w:num>
  <w:num w:numId="228">
    <w:abstractNumId w:val="16"/>
  </w:num>
  <w:num w:numId="229">
    <w:abstractNumId w:val="72"/>
  </w:num>
  <w:num w:numId="230">
    <w:abstractNumId w:val="78"/>
  </w:num>
  <w:num w:numId="231">
    <w:abstractNumId w:val="267"/>
  </w:num>
  <w:num w:numId="232">
    <w:abstractNumId w:val="180"/>
  </w:num>
  <w:num w:numId="233">
    <w:abstractNumId w:val="59"/>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5.%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34">
    <w:abstractNumId w:val="140"/>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6.%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35">
    <w:abstractNumId w:val="167"/>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7.%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36">
    <w:abstractNumId w:val="6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37">
    <w:abstractNumId w:val="45"/>
  </w:num>
  <w:num w:numId="238">
    <w:abstractNumId w:val="103"/>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8.7.%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39">
    <w:abstractNumId w:val="170"/>
  </w:num>
  <w:num w:numId="240">
    <w:abstractNumId w:val="212"/>
  </w:num>
  <w:num w:numId="241">
    <w:abstractNumId w:val="179"/>
  </w:num>
  <w:num w:numId="242">
    <w:abstractNumId w:val="44"/>
  </w:num>
  <w:num w:numId="243">
    <w:abstractNumId w:val="239"/>
  </w:num>
  <w:num w:numId="244">
    <w:abstractNumId w:val="190"/>
  </w:num>
  <w:num w:numId="245">
    <w:abstractNumId w:val="163"/>
  </w:num>
  <w:num w:numId="246">
    <w:abstractNumId w:val="80"/>
  </w:num>
  <w:num w:numId="247">
    <w:abstractNumId w:val="257"/>
  </w:num>
  <w:num w:numId="248">
    <w:abstractNumId w:val="48"/>
  </w:num>
  <w:num w:numId="249">
    <w:abstractNumId w:val="87"/>
  </w:num>
  <w:num w:numId="250">
    <w:abstractNumId w:val="184"/>
  </w:num>
  <w:num w:numId="251">
    <w:abstractNumId w:val="49"/>
  </w:num>
  <w:num w:numId="252">
    <w:abstractNumId w:val="261"/>
  </w:num>
  <w:num w:numId="253">
    <w:abstractNumId w:val="188"/>
  </w:num>
  <w:num w:numId="254">
    <w:abstractNumId w:val="191"/>
  </w:num>
  <w:num w:numId="255">
    <w:abstractNumId w:val="36"/>
  </w:num>
  <w:num w:numId="256">
    <w:abstractNumId w:val="218"/>
  </w:num>
  <w:num w:numId="257">
    <w:abstractNumId w:val="53"/>
  </w:num>
  <w:num w:numId="258">
    <w:abstractNumId w:val="3"/>
  </w:num>
  <w:num w:numId="259">
    <w:abstractNumId w:val="193"/>
  </w:num>
  <w:num w:numId="260">
    <w:abstractNumId w:val="127"/>
  </w:num>
  <w:num w:numId="261">
    <w:abstractNumId w:val="29"/>
  </w:num>
  <w:num w:numId="262">
    <w:abstractNumId w:val="115"/>
  </w:num>
  <w:num w:numId="263">
    <w:abstractNumId w:val="168"/>
  </w:num>
  <w:num w:numId="264">
    <w:abstractNumId w:val="195"/>
  </w:num>
  <w:num w:numId="265">
    <w:abstractNumId w:val="40"/>
  </w:num>
  <w:num w:numId="266">
    <w:abstractNumId w:val="235"/>
  </w:num>
  <w:num w:numId="267">
    <w:abstractNumId w:val="65"/>
  </w:num>
  <w:num w:numId="268">
    <w:abstractNumId w:val="155"/>
  </w:num>
  <w:num w:numId="269">
    <w:abstractNumId w:val="73"/>
  </w:num>
  <w:num w:numId="270">
    <w:abstractNumId w:val="75"/>
  </w:num>
  <w:numIdMacAtCleanup w:val="2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hideSpellingErrors/>
  <w:defaultTabStop w:val="720"/>
  <w:characterSpacingControl w:val="doNotCompress"/>
  <w:hdrShapeDefaults>
    <o:shapedefaults v:ext="edit" spidmax="17410"/>
    <o:shapelayout v:ext="edit">
      <o:idmap v:ext="edit" data="7"/>
    </o:shapelayout>
  </w:hdrShapeDefaults>
  <w:footnotePr>
    <w:footnote w:id="-1"/>
    <w:footnote w:id="0"/>
  </w:footnotePr>
  <w:endnotePr>
    <w:endnote w:id="-1"/>
    <w:endnote w:id="0"/>
  </w:endnotePr>
  <w:compat>
    <w:useFELayout/>
  </w:compat>
  <w:rsids>
    <w:rsidRoot w:val="00DC1626"/>
    <w:rsid w:val="000003F8"/>
    <w:rsid w:val="00000C8C"/>
    <w:rsid w:val="000012F4"/>
    <w:rsid w:val="0000145B"/>
    <w:rsid w:val="000023B7"/>
    <w:rsid w:val="00002B2E"/>
    <w:rsid w:val="00002E04"/>
    <w:rsid w:val="0000367F"/>
    <w:rsid w:val="00003A87"/>
    <w:rsid w:val="00005184"/>
    <w:rsid w:val="00005EAC"/>
    <w:rsid w:val="0000648C"/>
    <w:rsid w:val="0000754C"/>
    <w:rsid w:val="00007C14"/>
    <w:rsid w:val="000108C8"/>
    <w:rsid w:val="00011967"/>
    <w:rsid w:val="000127EE"/>
    <w:rsid w:val="00012FF1"/>
    <w:rsid w:val="0001495A"/>
    <w:rsid w:val="00014AED"/>
    <w:rsid w:val="000160F9"/>
    <w:rsid w:val="000172A3"/>
    <w:rsid w:val="00017C74"/>
    <w:rsid w:val="00017EA7"/>
    <w:rsid w:val="0002005A"/>
    <w:rsid w:val="000207D1"/>
    <w:rsid w:val="0002116B"/>
    <w:rsid w:val="00021F7B"/>
    <w:rsid w:val="00022F03"/>
    <w:rsid w:val="00022F7F"/>
    <w:rsid w:val="00023DF2"/>
    <w:rsid w:val="00024601"/>
    <w:rsid w:val="00025234"/>
    <w:rsid w:val="00025330"/>
    <w:rsid w:val="00025971"/>
    <w:rsid w:val="000264FD"/>
    <w:rsid w:val="0002664B"/>
    <w:rsid w:val="000277E4"/>
    <w:rsid w:val="00027844"/>
    <w:rsid w:val="0003019E"/>
    <w:rsid w:val="000303CE"/>
    <w:rsid w:val="00030422"/>
    <w:rsid w:val="000326E1"/>
    <w:rsid w:val="00032BB8"/>
    <w:rsid w:val="0003360E"/>
    <w:rsid w:val="000345DC"/>
    <w:rsid w:val="00034DA4"/>
    <w:rsid w:val="00035523"/>
    <w:rsid w:val="00035983"/>
    <w:rsid w:val="000359AF"/>
    <w:rsid w:val="00036B14"/>
    <w:rsid w:val="00041727"/>
    <w:rsid w:val="00041A07"/>
    <w:rsid w:val="00042867"/>
    <w:rsid w:val="00043898"/>
    <w:rsid w:val="00043DED"/>
    <w:rsid w:val="000463D1"/>
    <w:rsid w:val="000468AB"/>
    <w:rsid w:val="00046B99"/>
    <w:rsid w:val="00047DDE"/>
    <w:rsid w:val="00051FC4"/>
    <w:rsid w:val="000521A5"/>
    <w:rsid w:val="00052DF2"/>
    <w:rsid w:val="000535CD"/>
    <w:rsid w:val="000541AC"/>
    <w:rsid w:val="0005448F"/>
    <w:rsid w:val="00054D63"/>
    <w:rsid w:val="00055278"/>
    <w:rsid w:val="00055366"/>
    <w:rsid w:val="00056739"/>
    <w:rsid w:val="00060351"/>
    <w:rsid w:val="000609DD"/>
    <w:rsid w:val="00061254"/>
    <w:rsid w:val="00061472"/>
    <w:rsid w:val="000637A5"/>
    <w:rsid w:val="00063B34"/>
    <w:rsid w:val="00065A4A"/>
    <w:rsid w:val="00065CB5"/>
    <w:rsid w:val="00065D01"/>
    <w:rsid w:val="0006728B"/>
    <w:rsid w:val="00067953"/>
    <w:rsid w:val="00067A3F"/>
    <w:rsid w:val="00070033"/>
    <w:rsid w:val="0007016B"/>
    <w:rsid w:val="0007091F"/>
    <w:rsid w:val="00070A71"/>
    <w:rsid w:val="000716C3"/>
    <w:rsid w:val="000728C5"/>
    <w:rsid w:val="00072A30"/>
    <w:rsid w:val="000734A7"/>
    <w:rsid w:val="00073B5C"/>
    <w:rsid w:val="000745AE"/>
    <w:rsid w:val="00074EFE"/>
    <w:rsid w:val="000760DC"/>
    <w:rsid w:val="00080424"/>
    <w:rsid w:val="00080FD6"/>
    <w:rsid w:val="00081EB6"/>
    <w:rsid w:val="000822B2"/>
    <w:rsid w:val="0008247B"/>
    <w:rsid w:val="00082923"/>
    <w:rsid w:val="000842A4"/>
    <w:rsid w:val="0008597A"/>
    <w:rsid w:val="000870EB"/>
    <w:rsid w:val="0008758E"/>
    <w:rsid w:val="00087A05"/>
    <w:rsid w:val="00090E4A"/>
    <w:rsid w:val="000913A8"/>
    <w:rsid w:val="00091717"/>
    <w:rsid w:val="000918CB"/>
    <w:rsid w:val="00091A88"/>
    <w:rsid w:val="000920A9"/>
    <w:rsid w:val="0009249B"/>
    <w:rsid w:val="000931E5"/>
    <w:rsid w:val="000933CB"/>
    <w:rsid w:val="0009356F"/>
    <w:rsid w:val="00093A0C"/>
    <w:rsid w:val="00094D54"/>
    <w:rsid w:val="00097275"/>
    <w:rsid w:val="0009764A"/>
    <w:rsid w:val="0009775B"/>
    <w:rsid w:val="000A0664"/>
    <w:rsid w:val="000A180C"/>
    <w:rsid w:val="000A1D91"/>
    <w:rsid w:val="000A360F"/>
    <w:rsid w:val="000A42D5"/>
    <w:rsid w:val="000A4A4E"/>
    <w:rsid w:val="000A5C97"/>
    <w:rsid w:val="000A6E7A"/>
    <w:rsid w:val="000A7B76"/>
    <w:rsid w:val="000B096E"/>
    <w:rsid w:val="000B1088"/>
    <w:rsid w:val="000B1950"/>
    <w:rsid w:val="000B1D05"/>
    <w:rsid w:val="000B2CF6"/>
    <w:rsid w:val="000B3E0B"/>
    <w:rsid w:val="000B408B"/>
    <w:rsid w:val="000B52B9"/>
    <w:rsid w:val="000B7CF9"/>
    <w:rsid w:val="000C2203"/>
    <w:rsid w:val="000C29E6"/>
    <w:rsid w:val="000C3798"/>
    <w:rsid w:val="000C3AFD"/>
    <w:rsid w:val="000C5E34"/>
    <w:rsid w:val="000C6028"/>
    <w:rsid w:val="000D0948"/>
    <w:rsid w:val="000D1183"/>
    <w:rsid w:val="000D1447"/>
    <w:rsid w:val="000D2507"/>
    <w:rsid w:val="000D4192"/>
    <w:rsid w:val="000D49C9"/>
    <w:rsid w:val="000D4B47"/>
    <w:rsid w:val="000D4E58"/>
    <w:rsid w:val="000D54F5"/>
    <w:rsid w:val="000D5BA3"/>
    <w:rsid w:val="000D5D33"/>
    <w:rsid w:val="000D60E4"/>
    <w:rsid w:val="000D70D1"/>
    <w:rsid w:val="000D7389"/>
    <w:rsid w:val="000D7F1C"/>
    <w:rsid w:val="000D7FFE"/>
    <w:rsid w:val="000E015A"/>
    <w:rsid w:val="000E0250"/>
    <w:rsid w:val="000E0679"/>
    <w:rsid w:val="000E1678"/>
    <w:rsid w:val="000E2E0F"/>
    <w:rsid w:val="000E2FE0"/>
    <w:rsid w:val="000E4B5C"/>
    <w:rsid w:val="000E5DEA"/>
    <w:rsid w:val="000E61C7"/>
    <w:rsid w:val="000E704F"/>
    <w:rsid w:val="000E7164"/>
    <w:rsid w:val="000E74E6"/>
    <w:rsid w:val="000F0042"/>
    <w:rsid w:val="000F1E45"/>
    <w:rsid w:val="000F25A0"/>
    <w:rsid w:val="000F31EF"/>
    <w:rsid w:val="000F48AF"/>
    <w:rsid w:val="000F4981"/>
    <w:rsid w:val="000F5493"/>
    <w:rsid w:val="000F5A75"/>
    <w:rsid w:val="000F5B04"/>
    <w:rsid w:val="000F623A"/>
    <w:rsid w:val="000F7AF9"/>
    <w:rsid w:val="000F7B96"/>
    <w:rsid w:val="001001A9"/>
    <w:rsid w:val="00100CCB"/>
    <w:rsid w:val="001021EB"/>
    <w:rsid w:val="001047EB"/>
    <w:rsid w:val="00105ECE"/>
    <w:rsid w:val="00106359"/>
    <w:rsid w:val="00106A30"/>
    <w:rsid w:val="00107358"/>
    <w:rsid w:val="001076BA"/>
    <w:rsid w:val="001121C6"/>
    <w:rsid w:val="00114D77"/>
    <w:rsid w:val="001179D7"/>
    <w:rsid w:val="00117A2B"/>
    <w:rsid w:val="001227C0"/>
    <w:rsid w:val="001234FC"/>
    <w:rsid w:val="00123E41"/>
    <w:rsid w:val="00125F2F"/>
    <w:rsid w:val="0012695F"/>
    <w:rsid w:val="00126B1C"/>
    <w:rsid w:val="001303B2"/>
    <w:rsid w:val="0013070E"/>
    <w:rsid w:val="00130B76"/>
    <w:rsid w:val="00130BDC"/>
    <w:rsid w:val="0013131D"/>
    <w:rsid w:val="0013313A"/>
    <w:rsid w:val="00133823"/>
    <w:rsid w:val="00133D99"/>
    <w:rsid w:val="0013615C"/>
    <w:rsid w:val="001363C7"/>
    <w:rsid w:val="00136896"/>
    <w:rsid w:val="00136A99"/>
    <w:rsid w:val="00136BC3"/>
    <w:rsid w:val="00137673"/>
    <w:rsid w:val="00140A1F"/>
    <w:rsid w:val="00141C26"/>
    <w:rsid w:val="001420DB"/>
    <w:rsid w:val="001429C6"/>
    <w:rsid w:val="00142A94"/>
    <w:rsid w:val="00143410"/>
    <w:rsid w:val="00144087"/>
    <w:rsid w:val="00144627"/>
    <w:rsid w:val="00144718"/>
    <w:rsid w:val="00144771"/>
    <w:rsid w:val="00144A5B"/>
    <w:rsid w:val="00146380"/>
    <w:rsid w:val="001471F9"/>
    <w:rsid w:val="0014726D"/>
    <w:rsid w:val="00147C31"/>
    <w:rsid w:val="00150166"/>
    <w:rsid w:val="00150697"/>
    <w:rsid w:val="0015212B"/>
    <w:rsid w:val="00153D43"/>
    <w:rsid w:val="001547EF"/>
    <w:rsid w:val="00154988"/>
    <w:rsid w:val="00154D24"/>
    <w:rsid w:val="00155165"/>
    <w:rsid w:val="00155628"/>
    <w:rsid w:val="00156B35"/>
    <w:rsid w:val="00157101"/>
    <w:rsid w:val="00157798"/>
    <w:rsid w:val="00157890"/>
    <w:rsid w:val="00157F81"/>
    <w:rsid w:val="0016014E"/>
    <w:rsid w:val="0016017F"/>
    <w:rsid w:val="00160599"/>
    <w:rsid w:val="00160AD2"/>
    <w:rsid w:val="00160DF7"/>
    <w:rsid w:val="00161D1A"/>
    <w:rsid w:val="00162320"/>
    <w:rsid w:val="00162331"/>
    <w:rsid w:val="00162737"/>
    <w:rsid w:val="0016467B"/>
    <w:rsid w:val="00165361"/>
    <w:rsid w:val="00165BE5"/>
    <w:rsid w:val="00165E52"/>
    <w:rsid w:val="0016608D"/>
    <w:rsid w:val="00167381"/>
    <w:rsid w:val="001674A5"/>
    <w:rsid w:val="001677A9"/>
    <w:rsid w:val="0017177E"/>
    <w:rsid w:val="00172311"/>
    <w:rsid w:val="00172CAB"/>
    <w:rsid w:val="00173005"/>
    <w:rsid w:val="001731BC"/>
    <w:rsid w:val="00173714"/>
    <w:rsid w:val="0017435E"/>
    <w:rsid w:val="00174777"/>
    <w:rsid w:val="00174D0C"/>
    <w:rsid w:val="001752F1"/>
    <w:rsid w:val="00175BE5"/>
    <w:rsid w:val="00176C6F"/>
    <w:rsid w:val="001777E5"/>
    <w:rsid w:val="001802FF"/>
    <w:rsid w:val="00180A87"/>
    <w:rsid w:val="00180AA9"/>
    <w:rsid w:val="00181B59"/>
    <w:rsid w:val="00181D96"/>
    <w:rsid w:val="001822FE"/>
    <w:rsid w:val="00182B74"/>
    <w:rsid w:val="00182C73"/>
    <w:rsid w:val="001836EC"/>
    <w:rsid w:val="00183852"/>
    <w:rsid w:val="001839FD"/>
    <w:rsid w:val="00183B06"/>
    <w:rsid w:val="00183BF4"/>
    <w:rsid w:val="00183DB9"/>
    <w:rsid w:val="001864C2"/>
    <w:rsid w:val="001869D0"/>
    <w:rsid w:val="0018743F"/>
    <w:rsid w:val="001874F2"/>
    <w:rsid w:val="00190BCE"/>
    <w:rsid w:val="00190BD6"/>
    <w:rsid w:val="00191F1D"/>
    <w:rsid w:val="0019427A"/>
    <w:rsid w:val="001942A0"/>
    <w:rsid w:val="0019593F"/>
    <w:rsid w:val="001968E1"/>
    <w:rsid w:val="0019700B"/>
    <w:rsid w:val="001A04F6"/>
    <w:rsid w:val="001A12B2"/>
    <w:rsid w:val="001A196F"/>
    <w:rsid w:val="001A2A3D"/>
    <w:rsid w:val="001A2E57"/>
    <w:rsid w:val="001A3E66"/>
    <w:rsid w:val="001A40B7"/>
    <w:rsid w:val="001A44DA"/>
    <w:rsid w:val="001A5964"/>
    <w:rsid w:val="001A7EB2"/>
    <w:rsid w:val="001B00CC"/>
    <w:rsid w:val="001B014A"/>
    <w:rsid w:val="001B086A"/>
    <w:rsid w:val="001B103B"/>
    <w:rsid w:val="001B1878"/>
    <w:rsid w:val="001B2640"/>
    <w:rsid w:val="001B2EF7"/>
    <w:rsid w:val="001B33A5"/>
    <w:rsid w:val="001B3831"/>
    <w:rsid w:val="001B475B"/>
    <w:rsid w:val="001B47EC"/>
    <w:rsid w:val="001B4DD3"/>
    <w:rsid w:val="001B62D7"/>
    <w:rsid w:val="001B6DD0"/>
    <w:rsid w:val="001B7645"/>
    <w:rsid w:val="001B78E6"/>
    <w:rsid w:val="001B7B91"/>
    <w:rsid w:val="001C0F46"/>
    <w:rsid w:val="001C19B5"/>
    <w:rsid w:val="001C1BF4"/>
    <w:rsid w:val="001C27B4"/>
    <w:rsid w:val="001C35EB"/>
    <w:rsid w:val="001C39B4"/>
    <w:rsid w:val="001C4F1F"/>
    <w:rsid w:val="001C620C"/>
    <w:rsid w:val="001C622A"/>
    <w:rsid w:val="001C6628"/>
    <w:rsid w:val="001C6BB1"/>
    <w:rsid w:val="001C74D9"/>
    <w:rsid w:val="001D0B9A"/>
    <w:rsid w:val="001D3E53"/>
    <w:rsid w:val="001D3EC2"/>
    <w:rsid w:val="001D4028"/>
    <w:rsid w:val="001D4A9B"/>
    <w:rsid w:val="001D6DA2"/>
    <w:rsid w:val="001D703C"/>
    <w:rsid w:val="001D71BD"/>
    <w:rsid w:val="001D7625"/>
    <w:rsid w:val="001D7DB3"/>
    <w:rsid w:val="001E024A"/>
    <w:rsid w:val="001E0DBC"/>
    <w:rsid w:val="001E1D91"/>
    <w:rsid w:val="001E1FCD"/>
    <w:rsid w:val="001E2317"/>
    <w:rsid w:val="001E28A5"/>
    <w:rsid w:val="001E28A8"/>
    <w:rsid w:val="001E2F16"/>
    <w:rsid w:val="001E37A5"/>
    <w:rsid w:val="001E4783"/>
    <w:rsid w:val="001E54E5"/>
    <w:rsid w:val="001E581E"/>
    <w:rsid w:val="001E650D"/>
    <w:rsid w:val="001E6B5B"/>
    <w:rsid w:val="001E7925"/>
    <w:rsid w:val="001E7DE0"/>
    <w:rsid w:val="001F0B64"/>
    <w:rsid w:val="001F0CCE"/>
    <w:rsid w:val="001F0E0A"/>
    <w:rsid w:val="001F4889"/>
    <w:rsid w:val="001F4BBC"/>
    <w:rsid w:val="001F504E"/>
    <w:rsid w:val="001F5470"/>
    <w:rsid w:val="001F692F"/>
    <w:rsid w:val="001F750A"/>
    <w:rsid w:val="001F7D8A"/>
    <w:rsid w:val="00200039"/>
    <w:rsid w:val="002006C3"/>
    <w:rsid w:val="002008A4"/>
    <w:rsid w:val="00200CC0"/>
    <w:rsid w:val="00202486"/>
    <w:rsid w:val="00202BA0"/>
    <w:rsid w:val="002050E9"/>
    <w:rsid w:val="002066E1"/>
    <w:rsid w:val="00207384"/>
    <w:rsid w:val="00207824"/>
    <w:rsid w:val="00210491"/>
    <w:rsid w:val="00210D1C"/>
    <w:rsid w:val="002126ED"/>
    <w:rsid w:val="00213279"/>
    <w:rsid w:val="00214575"/>
    <w:rsid w:val="00215182"/>
    <w:rsid w:val="00215325"/>
    <w:rsid w:val="00216B82"/>
    <w:rsid w:val="00220933"/>
    <w:rsid w:val="002219E5"/>
    <w:rsid w:val="0022224C"/>
    <w:rsid w:val="00223988"/>
    <w:rsid w:val="002245F2"/>
    <w:rsid w:val="00224CFD"/>
    <w:rsid w:val="00225E39"/>
    <w:rsid w:val="00226022"/>
    <w:rsid w:val="0022787D"/>
    <w:rsid w:val="00230CD2"/>
    <w:rsid w:val="00231061"/>
    <w:rsid w:val="002310F3"/>
    <w:rsid w:val="00231C9B"/>
    <w:rsid w:val="00232CA0"/>
    <w:rsid w:val="00233F89"/>
    <w:rsid w:val="002345BE"/>
    <w:rsid w:val="002346CD"/>
    <w:rsid w:val="0023761E"/>
    <w:rsid w:val="00240ED3"/>
    <w:rsid w:val="002424F1"/>
    <w:rsid w:val="00242DB1"/>
    <w:rsid w:val="00244C2D"/>
    <w:rsid w:val="00245608"/>
    <w:rsid w:val="00245AB7"/>
    <w:rsid w:val="00246BE1"/>
    <w:rsid w:val="00247C6D"/>
    <w:rsid w:val="00247E5F"/>
    <w:rsid w:val="00250199"/>
    <w:rsid w:val="002502FC"/>
    <w:rsid w:val="00250E58"/>
    <w:rsid w:val="00251FE9"/>
    <w:rsid w:val="002521F8"/>
    <w:rsid w:val="0025221F"/>
    <w:rsid w:val="002532CA"/>
    <w:rsid w:val="00253921"/>
    <w:rsid w:val="00254285"/>
    <w:rsid w:val="002565AE"/>
    <w:rsid w:val="00256C53"/>
    <w:rsid w:val="002572F4"/>
    <w:rsid w:val="00257BD2"/>
    <w:rsid w:val="00257ED3"/>
    <w:rsid w:val="0026021A"/>
    <w:rsid w:val="00260C27"/>
    <w:rsid w:val="002611D1"/>
    <w:rsid w:val="00261D19"/>
    <w:rsid w:val="00262BC9"/>
    <w:rsid w:val="00262E47"/>
    <w:rsid w:val="002655DB"/>
    <w:rsid w:val="00265781"/>
    <w:rsid w:val="0026675B"/>
    <w:rsid w:val="00267A29"/>
    <w:rsid w:val="00267C34"/>
    <w:rsid w:val="00270103"/>
    <w:rsid w:val="00270308"/>
    <w:rsid w:val="00271B09"/>
    <w:rsid w:val="00271D22"/>
    <w:rsid w:val="002722EF"/>
    <w:rsid w:val="00272735"/>
    <w:rsid w:val="00272828"/>
    <w:rsid w:val="00274FB7"/>
    <w:rsid w:val="00275C80"/>
    <w:rsid w:val="0027612D"/>
    <w:rsid w:val="00276215"/>
    <w:rsid w:val="00276834"/>
    <w:rsid w:val="00277360"/>
    <w:rsid w:val="00277469"/>
    <w:rsid w:val="0028092C"/>
    <w:rsid w:val="00280940"/>
    <w:rsid w:val="00280D65"/>
    <w:rsid w:val="00281877"/>
    <w:rsid w:val="00282AE2"/>
    <w:rsid w:val="00284AD1"/>
    <w:rsid w:val="00284DCC"/>
    <w:rsid w:val="0028610B"/>
    <w:rsid w:val="00287827"/>
    <w:rsid w:val="00287F9A"/>
    <w:rsid w:val="002914AB"/>
    <w:rsid w:val="00291F0F"/>
    <w:rsid w:val="002924BC"/>
    <w:rsid w:val="00293E05"/>
    <w:rsid w:val="00294055"/>
    <w:rsid w:val="002940E6"/>
    <w:rsid w:val="0029428E"/>
    <w:rsid w:val="002953D0"/>
    <w:rsid w:val="00295465"/>
    <w:rsid w:val="002955FF"/>
    <w:rsid w:val="002959CE"/>
    <w:rsid w:val="00296C5A"/>
    <w:rsid w:val="00296E41"/>
    <w:rsid w:val="0029712C"/>
    <w:rsid w:val="0029733C"/>
    <w:rsid w:val="0029759C"/>
    <w:rsid w:val="00297865"/>
    <w:rsid w:val="00297A66"/>
    <w:rsid w:val="00297F3A"/>
    <w:rsid w:val="002A02F6"/>
    <w:rsid w:val="002A3588"/>
    <w:rsid w:val="002B028D"/>
    <w:rsid w:val="002B0F92"/>
    <w:rsid w:val="002B1BCB"/>
    <w:rsid w:val="002B28F9"/>
    <w:rsid w:val="002B3674"/>
    <w:rsid w:val="002B3C6E"/>
    <w:rsid w:val="002B3FA0"/>
    <w:rsid w:val="002B41C9"/>
    <w:rsid w:val="002B5567"/>
    <w:rsid w:val="002B594D"/>
    <w:rsid w:val="002B5EF2"/>
    <w:rsid w:val="002B64A2"/>
    <w:rsid w:val="002B69CE"/>
    <w:rsid w:val="002B6B4E"/>
    <w:rsid w:val="002B6F90"/>
    <w:rsid w:val="002B6FBB"/>
    <w:rsid w:val="002B75A4"/>
    <w:rsid w:val="002B787D"/>
    <w:rsid w:val="002C050E"/>
    <w:rsid w:val="002C0539"/>
    <w:rsid w:val="002C0702"/>
    <w:rsid w:val="002C0AF9"/>
    <w:rsid w:val="002C15A9"/>
    <w:rsid w:val="002C1ADB"/>
    <w:rsid w:val="002C2288"/>
    <w:rsid w:val="002C241D"/>
    <w:rsid w:val="002C2502"/>
    <w:rsid w:val="002C2541"/>
    <w:rsid w:val="002C3182"/>
    <w:rsid w:val="002C3570"/>
    <w:rsid w:val="002C41C1"/>
    <w:rsid w:val="002C5452"/>
    <w:rsid w:val="002C74CC"/>
    <w:rsid w:val="002C74E9"/>
    <w:rsid w:val="002C7DC4"/>
    <w:rsid w:val="002D01C2"/>
    <w:rsid w:val="002D1F81"/>
    <w:rsid w:val="002D21F1"/>
    <w:rsid w:val="002D27A7"/>
    <w:rsid w:val="002D29EF"/>
    <w:rsid w:val="002D2F03"/>
    <w:rsid w:val="002D4364"/>
    <w:rsid w:val="002D495C"/>
    <w:rsid w:val="002D53AF"/>
    <w:rsid w:val="002D548F"/>
    <w:rsid w:val="002D5D2A"/>
    <w:rsid w:val="002D6228"/>
    <w:rsid w:val="002D64BA"/>
    <w:rsid w:val="002E017D"/>
    <w:rsid w:val="002E04F3"/>
    <w:rsid w:val="002E113D"/>
    <w:rsid w:val="002E165A"/>
    <w:rsid w:val="002E1B0C"/>
    <w:rsid w:val="002E3345"/>
    <w:rsid w:val="002E3EFB"/>
    <w:rsid w:val="002E415B"/>
    <w:rsid w:val="002E497E"/>
    <w:rsid w:val="002E4EFE"/>
    <w:rsid w:val="002E533E"/>
    <w:rsid w:val="002E57C3"/>
    <w:rsid w:val="002E748B"/>
    <w:rsid w:val="002F06A6"/>
    <w:rsid w:val="002F25B9"/>
    <w:rsid w:val="002F2EF8"/>
    <w:rsid w:val="002F5860"/>
    <w:rsid w:val="002F58CE"/>
    <w:rsid w:val="002F599E"/>
    <w:rsid w:val="002F5AFB"/>
    <w:rsid w:val="002F605D"/>
    <w:rsid w:val="002F6165"/>
    <w:rsid w:val="002F6E6B"/>
    <w:rsid w:val="002F6F6B"/>
    <w:rsid w:val="002F72B0"/>
    <w:rsid w:val="00300119"/>
    <w:rsid w:val="00301CE3"/>
    <w:rsid w:val="0030221A"/>
    <w:rsid w:val="00302E67"/>
    <w:rsid w:val="00303BC9"/>
    <w:rsid w:val="00303F4A"/>
    <w:rsid w:val="00304961"/>
    <w:rsid w:val="00305359"/>
    <w:rsid w:val="003053D6"/>
    <w:rsid w:val="0030561B"/>
    <w:rsid w:val="00305F7C"/>
    <w:rsid w:val="00306EB6"/>
    <w:rsid w:val="0031015D"/>
    <w:rsid w:val="0031024D"/>
    <w:rsid w:val="003104F8"/>
    <w:rsid w:val="003113F7"/>
    <w:rsid w:val="00311413"/>
    <w:rsid w:val="003114AE"/>
    <w:rsid w:val="003125E3"/>
    <w:rsid w:val="00312920"/>
    <w:rsid w:val="0031375E"/>
    <w:rsid w:val="00313CEB"/>
    <w:rsid w:val="003140EF"/>
    <w:rsid w:val="00314977"/>
    <w:rsid w:val="00314A8E"/>
    <w:rsid w:val="00315DB6"/>
    <w:rsid w:val="003163D8"/>
    <w:rsid w:val="0031645B"/>
    <w:rsid w:val="0031653A"/>
    <w:rsid w:val="00317C2E"/>
    <w:rsid w:val="003209CD"/>
    <w:rsid w:val="00320D4A"/>
    <w:rsid w:val="003217E7"/>
    <w:rsid w:val="00321BEB"/>
    <w:rsid w:val="00322153"/>
    <w:rsid w:val="00323DEC"/>
    <w:rsid w:val="003244AB"/>
    <w:rsid w:val="00325137"/>
    <w:rsid w:val="003251BD"/>
    <w:rsid w:val="003251D0"/>
    <w:rsid w:val="00326C3D"/>
    <w:rsid w:val="00331C1C"/>
    <w:rsid w:val="00331C3D"/>
    <w:rsid w:val="003328C4"/>
    <w:rsid w:val="00332F33"/>
    <w:rsid w:val="00333F56"/>
    <w:rsid w:val="00334013"/>
    <w:rsid w:val="003340F4"/>
    <w:rsid w:val="00334A7E"/>
    <w:rsid w:val="00334CB6"/>
    <w:rsid w:val="003368EF"/>
    <w:rsid w:val="00337A71"/>
    <w:rsid w:val="003424D7"/>
    <w:rsid w:val="00342AA0"/>
    <w:rsid w:val="00342DAA"/>
    <w:rsid w:val="00342E94"/>
    <w:rsid w:val="00342FA4"/>
    <w:rsid w:val="003433FE"/>
    <w:rsid w:val="0034369B"/>
    <w:rsid w:val="0034393F"/>
    <w:rsid w:val="00343F35"/>
    <w:rsid w:val="003442C9"/>
    <w:rsid w:val="00344633"/>
    <w:rsid w:val="003446B1"/>
    <w:rsid w:val="003449F5"/>
    <w:rsid w:val="00345157"/>
    <w:rsid w:val="00346224"/>
    <w:rsid w:val="00350490"/>
    <w:rsid w:val="003507C6"/>
    <w:rsid w:val="003509A1"/>
    <w:rsid w:val="003516CA"/>
    <w:rsid w:val="00351C78"/>
    <w:rsid w:val="00352AAA"/>
    <w:rsid w:val="00353476"/>
    <w:rsid w:val="00353CAD"/>
    <w:rsid w:val="00353F01"/>
    <w:rsid w:val="003543F4"/>
    <w:rsid w:val="00355DF7"/>
    <w:rsid w:val="00355E2E"/>
    <w:rsid w:val="00356198"/>
    <w:rsid w:val="00356785"/>
    <w:rsid w:val="0035683C"/>
    <w:rsid w:val="00356A03"/>
    <w:rsid w:val="00356AB8"/>
    <w:rsid w:val="003576DE"/>
    <w:rsid w:val="00357829"/>
    <w:rsid w:val="0036050F"/>
    <w:rsid w:val="00360C9B"/>
    <w:rsid w:val="003618B7"/>
    <w:rsid w:val="00361C34"/>
    <w:rsid w:val="00361C88"/>
    <w:rsid w:val="00361D78"/>
    <w:rsid w:val="003637FF"/>
    <w:rsid w:val="003654BF"/>
    <w:rsid w:val="0036657D"/>
    <w:rsid w:val="00366D78"/>
    <w:rsid w:val="0036748C"/>
    <w:rsid w:val="003710A7"/>
    <w:rsid w:val="003722FB"/>
    <w:rsid w:val="003732DA"/>
    <w:rsid w:val="00373D2B"/>
    <w:rsid w:val="003748B0"/>
    <w:rsid w:val="00375A35"/>
    <w:rsid w:val="00375DC2"/>
    <w:rsid w:val="00376639"/>
    <w:rsid w:val="003768A7"/>
    <w:rsid w:val="00376FBF"/>
    <w:rsid w:val="0037752C"/>
    <w:rsid w:val="003778C9"/>
    <w:rsid w:val="00377A16"/>
    <w:rsid w:val="0038071B"/>
    <w:rsid w:val="00381A46"/>
    <w:rsid w:val="00381A89"/>
    <w:rsid w:val="00381EA7"/>
    <w:rsid w:val="00382381"/>
    <w:rsid w:val="0038292C"/>
    <w:rsid w:val="00383127"/>
    <w:rsid w:val="003838CA"/>
    <w:rsid w:val="00383BD7"/>
    <w:rsid w:val="00384D5F"/>
    <w:rsid w:val="0038625F"/>
    <w:rsid w:val="0038657A"/>
    <w:rsid w:val="003869D9"/>
    <w:rsid w:val="003900C5"/>
    <w:rsid w:val="003904D9"/>
    <w:rsid w:val="0039061C"/>
    <w:rsid w:val="0039100A"/>
    <w:rsid w:val="003910FC"/>
    <w:rsid w:val="00391A6C"/>
    <w:rsid w:val="00391DB8"/>
    <w:rsid w:val="003933B7"/>
    <w:rsid w:val="003944A4"/>
    <w:rsid w:val="0039589D"/>
    <w:rsid w:val="00396C28"/>
    <w:rsid w:val="00396C71"/>
    <w:rsid w:val="00397B32"/>
    <w:rsid w:val="00397C7A"/>
    <w:rsid w:val="003A0B73"/>
    <w:rsid w:val="003A2542"/>
    <w:rsid w:val="003A26C9"/>
    <w:rsid w:val="003A29B3"/>
    <w:rsid w:val="003A2DAB"/>
    <w:rsid w:val="003A4DC3"/>
    <w:rsid w:val="003B0915"/>
    <w:rsid w:val="003B14DF"/>
    <w:rsid w:val="003B1E74"/>
    <w:rsid w:val="003B1FE0"/>
    <w:rsid w:val="003B2759"/>
    <w:rsid w:val="003B425A"/>
    <w:rsid w:val="003B601B"/>
    <w:rsid w:val="003B6A9E"/>
    <w:rsid w:val="003C014F"/>
    <w:rsid w:val="003C0D17"/>
    <w:rsid w:val="003C1030"/>
    <w:rsid w:val="003C174F"/>
    <w:rsid w:val="003C1D21"/>
    <w:rsid w:val="003C267A"/>
    <w:rsid w:val="003C27AB"/>
    <w:rsid w:val="003C3474"/>
    <w:rsid w:val="003C478C"/>
    <w:rsid w:val="003C63BB"/>
    <w:rsid w:val="003C66DD"/>
    <w:rsid w:val="003C78F4"/>
    <w:rsid w:val="003C7A83"/>
    <w:rsid w:val="003D0131"/>
    <w:rsid w:val="003D0135"/>
    <w:rsid w:val="003D02C4"/>
    <w:rsid w:val="003D0E03"/>
    <w:rsid w:val="003D100B"/>
    <w:rsid w:val="003D2AF6"/>
    <w:rsid w:val="003D2EA0"/>
    <w:rsid w:val="003D3128"/>
    <w:rsid w:val="003D328B"/>
    <w:rsid w:val="003D3798"/>
    <w:rsid w:val="003D447D"/>
    <w:rsid w:val="003D5863"/>
    <w:rsid w:val="003D599F"/>
    <w:rsid w:val="003D5A31"/>
    <w:rsid w:val="003D5D3B"/>
    <w:rsid w:val="003D5D8C"/>
    <w:rsid w:val="003D6A71"/>
    <w:rsid w:val="003D6B34"/>
    <w:rsid w:val="003D6CCD"/>
    <w:rsid w:val="003D6DC9"/>
    <w:rsid w:val="003D77FE"/>
    <w:rsid w:val="003E0CDE"/>
    <w:rsid w:val="003E112E"/>
    <w:rsid w:val="003E13BD"/>
    <w:rsid w:val="003E2E8C"/>
    <w:rsid w:val="003E3091"/>
    <w:rsid w:val="003E42A9"/>
    <w:rsid w:val="003E4436"/>
    <w:rsid w:val="003E5BC4"/>
    <w:rsid w:val="003E661C"/>
    <w:rsid w:val="003E6AF5"/>
    <w:rsid w:val="003E6F2C"/>
    <w:rsid w:val="003F0F39"/>
    <w:rsid w:val="003F1251"/>
    <w:rsid w:val="003F14D1"/>
    <w:rsid w:val="003F198E"/>
    <w:rsid w:val="003F296E"/>
    <w:rsid w:val="003F2DFF"/>
    <w:rsid w:val="003F2F65"/>
    <w:rsid w:val="003F2F80"/>
    <w:rsid w:val="003F3B29"/>
    <w:rsid w:val="003F6F03"/>
    <w:rsid w:val="004001F5"/>
    <w:rsid w:val="00401E9D"/>
    <w:rsid w:val="00401ED2"/>
    <w:rsid w:val="00402DB7"/>
    <w:rsid w:val="00403A7D"/>
    <w:rsid w:val="00403A8F"/>
    <w:rsid w:val="004046C5"/>
    <w:rsid w:val="00406B03"/>
    <w:rsid w:val="00407003"/>
    <w:rsid w:val="004106CE"/>
    <w:rsid w:val="00411279"/>
    <w:rsid w:val="00412D13"/>
    <w:rsid w:val="00413348"/>
    <w:rsid w:val="00413BCC"/>
    <w:rsid w:val="00413CC9"/>
    <w:rsid w:val="00414156"/>
    <w:rsid w:val="00414550"/>
    <w:rsid w:val="004150E0"/>
    <w:rsid w:val="00415194"/>
    <w:rsid w:val="004154EB"/>
    <w:rsid w:val="00415CB6"/>
    <w:rsid w:val="004168CF"/>
    <w:rsid w:val="004174AF"/>
    <w:rsid w:val="00417B0D"/>
    <w:rsid w:val="0042002E"/>
    <w:rsid w:val="00421A3A"/>
    <w:rsid w:val="004222AD"/>
    <w:rsid w:val="00422732"/>
    <w:rsid w:val="0042292F"/>
    <w:rsid w:val="00422A4B"/>
    <w:rsid w:val="004233C6"/>
    <w:rsid w:val="004235DA"/>
    <w:rsid w:val="00423CDB"/>
    <w:rsid w:val="00423F98"/>
    <w:rsid w:val="00425397"/>
    <w:rsid w:val="004255FF"/>
    <w:rsid w:val="00425718"/>
    <w:rsid w:val="004264A4"/>
    <w:rsid w:val="00426869"/>
    <w:rsid w:val="00427B63"/>
    <w:rsid w:val="00430206"/>
    <w:rsid w:val="00430505"/>
    <w:rsid w:val="00430763"/>
    <w:rsid w:val="00430A50"/>
    <w:rsid w:val="00430CC7"/>
    <w:rsid w:val="00430D5B"/>
    <w:rsid w:val="00431F71"/>
    <w:rsid w:val="0043246C"/>
    <w:rsid w:val="004327D4"/>
    <w:rsid w:val="00432ACA"/>
    <w:rsid w:val="00432BAA"/>
    <w:rsid w:val="00432C86"/>
    <w:rsid w:val="00433914"/>
    <w:rsid w:val="0043398D"/>
    <w:rsid w:val="00434094"/>
    <w:rsid w:val="004346FF"/>
    <w:rsid w:val="004349EF"/>
    <w:rsid w:val="00435080"/>
    <w:rsid w:val="00435251"/>
    <w:rsid w:val="0043580E"/>
    <w:rsid w:val="00436CDB"/>
    <w:rsid w:val="00436D20"/>
    <w:rsid w:val="00436DFF"/>
    <w:rsid w:val="00437CFA"/>
    <w:rsid w:val="00440069"/>
    <w:rsid w:val="004402F1"/>
    <w:rsid w:val="00440A9D"/>
    <w:rsid w:val="00441A9E"/>
    <w:rsid w:val="00442604"/>
    <w:rsid w:val="00442B2C"/>
    <w:rsid w:val="00442D1E"/>
    <w:rsid w:val="00443CFB"/>
    <w:rsid w:val="00443D4B"/>
    <w:rsid w:val="00444038"/>
    <w:rsid w:val="00444F4D"/>
    <w:rsid w:val="004465FF"/>
    <w:rsid w:val="00446863"/>
    <w:rsid w:val="00446D85"/>
    <w:rsid w:val="00451348"/>
    <w:rsid w:val="0045139F"/>
    <w:rsid w:val="00451E37"/>
    <w:rsid w:val="004534E0"/>
    <w:rsid w:val="00453DF5"/>
    <w:rsid w:val="00453DFC"/>
    <w:rsid w:val="00454B4D"/>
    <w:rsid w:val="00455E10"/>
    <w:rsid w:val="00457820"/>
    <w:rsid w:val="00457988"/>
    <w:rsid w:val="004607E2"/>
    <w:rsid w:val="004611CE"/>
    <w:rsid w:val="004612D4"/>
    <w:rsid w:val="00463AB1"/>
    <w:rsid w:val="00463F45"/>
    <w:rsid w:val="00464A56"/>
    <w:rsid w:val="00465702"/>
    <w:rsid w:val="00465C3D"/>
    <w:rsid w:val="00465D53"/>
    <w:rsid w:val="00466424"/>
    <w:rsid w:val="00466E74"/>
    <w:rsid w:val="00467B58"/>
    <w:rsid w:val="00467DD6"/>
    <w:rsid w:val="004710FA"/>
    <w:rsid w:val="00471910"/>
    <w:rsid w:val="00472FE2"/>
    <w:rsid w:val="00473679"/>
    <w:rsid w:val="00473EB3"/>
    <w:rsid w:val="00473FF6"/>
    <w:rsid w:val="0047442A"/>
    <w:rsid w:val="00474864"/>
    <w:rsid w:val="00475331"/>
    <w:rsid w:val="004764E1"/>
    <w:rsid w:val="00476700"/>
    <w:rsid w:val="00477718"/>
    <w:rsid w:val="00477F4B"/>
    <w:rsid w:val="004809EB"/>
    <w:rsid w:val="00480C4D"/>
    <w:rsid w:val="00481504"/>
    <w:rsid w:val="00481613"/>
    <w:rsid w:val="00482BDC"/>
    <w:rsid w:val="004835DC"/>
    <w:rsid w:val="0048464B"/>
    <w:rsid w:val="00484C60"/>
    <w:rsid w:val="00484FB5"/>
    <w:rsid w:val="004858F8"/>
    <w:rsid w:val="00485D5B"/>
    <w:rsid w:val="004860F1"/>
    <w:rsid w:val="00487749"/>
    <w:rsid w:val="00487B3A"/>
    <w:rsid w:val="00487D03"/>
    <w:rsid w:val="00490266"/>
    <w:rsid w:val="004903FB"/>
    <w:rsid w:val="00490A06"/>
    <w:rsid w:val="00491010"/>
    <w:rsid w:val="004927AE"/>
    <w:rsid w:val="00493C2B"/>
    <w:rsid w:val="004956F4"/>
    <w:rsid w:val="0049575F"/>
    <w:rsid w:val="00497088"/>
    <w:rsid w:val="004A0347"/>
    <w:rsid w:val="004A122E"/>
    <w:rsid w:val="004A28FA"/>
    <w:rsid w:val="004A2B7E"/>
    <w:rsid w:val="004A538E"/>
    <w:rsid w:val="004A5ED7"/>
    <w:rsid w:val="004A6454"/>
    <w:rsid w:val="004B023B"/>
    <w:rsid w:val="004B0714"/>
    <w:rsid w:val="004B0A08"/>
    <w:rsid w:val="004B1796"/>
    <w:rsid w:val="004B298B"/>
    <w:rsid w:val="004B40BC"/>
    <w:rsid w:val="004B48C8"/>
    <w:rsid w:val="004B4927"/>
    <w:rsid w:val="004B6A9A"/>
    <w:rsid w:val="004B78CE"/>
    <w:rsid w:val="004C0FCE"/>
    <w:rsid w:val="004C17EE"/>
    <w:rsid w:val="004C18B8"/>
    <w:rsid w:val="004C1AF0"/>
    <w:rsid w:val="004C1BB4"/>
    <w:rsid w:val="004C3293"/>
    <w:rsid w:val="004C33D0"/>
    <w:rsid w:val="004C38D4"/>
    <w:rsid w:val="004C3B31"/>
    <w:rsid w:val="004C4202"/>
    <w:rsid w:val="004C4F20"/>
    <w:rsid w:val="004C72F8"/>
    <w:rsid w:val="004C7568"/>
    <w:rsid w:val="004C758B"/>
    <w:rsid w:val="004C75C6"/>
    <w:rsid w:val="004D00B1"/>
    <w:rsid w:val="004D0413"/>
    <w:rsid w:val="004D0CD9"/>
    <w:rsid w:val="004D1504"/>
    <w:rsid w:val="004D1DB0"/>
    <w:rsid w:val="004D3CB6"/>
    <w:rsid w:val="004D57CA"/>
    <w:rsid w:val="004D7555"/>
    <w:rsid w:val="004D75A9"/>
    <w:rsid w:val="004D791B"/>
    <w:rsid w:val="004D7998"/>
    <w:rsid w:val="004D7FB5"/>
    <w:rsid w:val="004E0598"/>
    <w:rsid w:val="004E0F05"/>
    <w:rsid w:val="004E1ED8"/>
    <w:rsid w:val="004E362F"/>
    <w:rsid w:val="004E3BC5"/>
    <w:rsid w:val="004E45A3"/>
    <w:rsid w:val="004E468A"/>
    <w:rsid w:val="004E6E56"/>
    <w:rsid w:val="004F06FB"/>
    <w:rsid w:val="004F3062"/>
    <w:rsid w:val="004F3446"/>
    <w:rsid w:val="004F486D"/>
    <w:rsid w:val="004F4E11"/>
    <w:rsid w:val="004F5E05"/>
    <w:rsid w:val="004F655D"/>
    <w:rsid w:val="004F65EF"/>
    <w:rsid w:val="004F6875"/>
    <w:rsid w:val="004F7097"/>
    <w:rsid w:val="004F766E"/>
    <w:rsid w:val="0050037D"/>
    <w:rsid w:val="005018DD"/>
    <w:rsid w:val="00501AAD"/>
    <w:rsid w:val="0050229C"/>
    <w:rsid w:val="00502D0D"/>
    <w:rsid w:val="00502ED7"/>
    <w:rsid w:val="00502F80"/>
    <w:rsid w:val="00503C0B"/>
    <w:rsid w:val="00503CA7"/>
    <w:rsid w:val="0050419E"/>
    <w:rsid w:val="00505845"/>
    <w:rsid w:val="00506192"/>
    <w:rsid w:val="00506AAD"/>
    <w:rsid w:val="0050790A"/>
    <w:rsid w:val="0051032C"/>
    <w:rsid w:val="00511738"/>
    <w:rsid w:val="0051294A"/>
    <w:rsid w:val="00512BA4"/>
    <w:rsid w:val="005146B1"/>
    <w:rsid w:val="005160A7"/>
    <w:rsid w:val="0051632A"/>
    <w:rsid w:val="005165F1"/>
    <w:rsid w:val="00516D27"/>
    <w:rsid w:val="005173D3"/>
    <w:rsid w:val="0052105D"/>
    <w:rsid w:val="00521A7E"/>
    <w:rsid w:val="005226E6"/>
    <w:rsid w:val="005236F2"/>
    <w:rsid w:val="00524EA8"/>
    <w:rsid w:val="005254B6"/>
    <w:rsid w:val="005264B4"/>
    <w:rsid w:val="0053026D"/>
    <w:rsid w:val="0053145F"/>
    <w:rsid w:val="0053198D"/>
    <w:rsid w:val="0053231E"/>
    <w:rsid w:val="00532428"/>
    <w:rsid w:val="0053277E"/>
    <w:rsid w:val="0053282F"/>
    <w:rsid w:val="005331DD"/>
    <w:rsid w:val="005334D6"/>
    <w:rsid w:val="00533ED5"/>
    <w:rsid w:val="0053415F"/>
    <w:rsid w:val="00534A6A"/>
    <w:rsid w:val="00536E0D"/>
    <w:rsid w:val="00536F00"/>
    <w:rsid w:val="005374AE"/>
    <w:rsid w:val="0053752A"/>
    <w:rsid w:val="0053763E"/>
    <w:rsid w:val="0053796A"/>
    <w:rsid w:val="00537C62"/>
    <w:rsid w:val="00540294"/>
    <w:rsid w:val="005409B2"/>
    <w:rsid w:val="00541E63"/>
    <w:rsid w:val="00542079"/>
    <w:rsid w:val="00542352"/>
    <w:rsid w:val="00542D2C"/>
    <w:rsid w:val="005432E8"/>
    <w:rsid w:val="00543BB3"/>
    <w:rsid w:val="005444EB"/>
    <w:rsid w:val="00544E8E"/>
    <w:rsid w:val="00545144"/>
    <w:rsid w:val="0054528D"/>
    <w:rsid w:val="00545321"/>
    <w:rsid w:val="0054681C"/>
    <w:rsid w:val="00546E8F"/>
    <w:rsid w:val="00546EB6"/>
    <w:rsid w:val="00547F61"/>
    <w:rsid w:val="005503E0"/>
    <w:rsid w:val="00550415"/>
    <w:rsid w:val="005518C0"/>
    <w:rsid w:val="005525DD"/>
    <w:rsid w:val="0055277D"/>
    <w:rsid w:val="00552BAE"/>
    <w:rsid w:val="00554AA1"/>
    <w:rsid w:val="00555E69"/>
    <w:rsid w:val="00556D86"/>
    <w:rsid w:val="00557369"/>
    <w:rsid w:val="0055784E"/>
    <w:rsid w:val="00557DA9"/>
    <w:rsid w:val="00557E3F"/>
    <w:rsid w:val="00561462"/>
    <w:rsid w:val="00561476"/>
    <w:rsid w:val="005615CE"/>
    <w:rsid w:val="00564621"/>
    <w:rsid w:val="00564896"/>
    <w:rsid w:val="00565A4C"/>
    <w:rsid w:val="0056659A"/>
    <w:rsid w:val="00566D85"/>
    <w:rsid w:val="0056715C"/>
    <w:rsid w:val="00570225"/>
    <w:rsid w:val="00570976"/>
    <w:rsid w:val="00570EAD"/>
    <w:rsid w:val="00571B7D"/>
    <w:rsid w:val="00572761"/>
    <w:rsid w:val="00572E4B"/>
    <w:rsid w:val="00573016"/>
    <w:rsid w:val="00573431"/>
    <w:rsid w:val="00574116"/>
    <w:rsid w:val="00574495"/>
    <w:rsid w:val="00574E07"/>
    <w:rsid w:val="00575F18"/>
    <w:rsid w:val="00576EE1"/>
    <w:rsid w:val="00576F19"/>
    <w:rsid w:val="0057708C"/>
    <w:rsid w:val="00577A26"/>
    <w:rsid w:val="00581406"/>
    <w:rsid w:val="0058174E"/>
    <w:rsid w:val="00581A2B"/>
    <w:rsid w:val="0058246E"/>
    <w:rsid w:val="00584168"/>
    <w:rsid w:val="0058486F"/>
    <w:rsid w:val="0058569C"/>
    <w:rsid w:val="00585FD9"/>
    <w:rsid w:val="00586262"/>
    <w:rsid w:val="00586278"/>
    <w:rsid w:val="00586583"/>
    <w:rsid w:val="00586972"/>
    <w:rsid w:val="00586F28"/>
    <w:rsid w:val="00587E19"/>
    <w:rsid w:val="00587FBE"/>
    <w:rsid w:val="00590830"/>
    <w:rsid w:val="0059085D"/>
    <w:rsid w:val="00590CBA"/>
    <w:rsid w:val="0059100C"/>
    <w:rsid w:val="00591020"/>
    <w:rsid w:val="005918DC"/>
    <w:rsid w:val="00591A3E"/>
    <w:rsid w:val="00591A65"/>
    <w:rsid w:val="00593A5C"/>
    <w:rsid w:val="005940EE"/>
    <w:rsid w:val="005943E7"/>
    <w:rsid w:val="00595731"/>
    <w:rsid w:val="00597C3C"/>
    <w:rsid w:val="005A0961"/>
    <w:rsid w:val="005A0B8B"/>
    <w:rsid w:val="005A0CAD"/>
    <w:rsid w:val="005A10FF"/>
    <w:rsid w:val="005A1161"/>
    <w:rsid w:val="005A2232"/>
    <w:rsid w:val="005A24A0"/>
    <w:rsid w:val="005A2D3A"/>
    <w:rsid w:val="005A3CDE"/>
    <w:rsid w:val="005A3E36"/>
    <w:rsid w:val="005A444C"/>
    <w:rsid w:val="005A4CEE"/>
    <w:rsid w:val="005A5E7F"/>
    <w:rsid w:val="005A61E6"/>
    <w:rsid w:val="005A6222"/>
    <w:rsid w:val="005A6770"/>
    <w:rsid w:val="005B0987"/>
    <w:rsid w:val="005B0AAE"/>
    <w:rsid w:val="005B12E4"/>
    <w:rsid w:val="005B1511"/>
    <w:rsid w:val="005B208E"/>
    <w:rsid w:val="005B2F03"/>
    <w:rsid w:val="005B52C2"/>
    <w:rsid w:val="005B53D0"/>
    <w:rsid w:val="005B5C1D"/>
    <w:rsid w:val="005B63B5"/>
    <w:rsid w:val="005B6F30"/>
    <w:rsid w:val="005B789C"/>
    <w:rsid w:val="005C0069"/>
    <w:rsid w:val="005C0AFB"/>
    <w:rsid w:val="005C1B37"/>
    <w:rsid w:val="005C1C84"/>
    <w:rsid w:val="005C1D24"/>
    <w:rsid w:val="005C2089"/>
    <w:rsid w:val="005C21B1"/>
    <w:rsid w:val="005C314D"/>
    <w:rsid w:val="005C331E"/>
    <w:rsid w:val="005C3CA7"/>
    <w:rsid w:val="005C4CEE"/>
    <w:rsid w:val="005C5208"/>
    <w:rsid w:val="005C5D8F"/>
    <w:rsid w:val="005D0713"/>
    <w:rsid w:val="005D2352"/>
    <w:rsid w:val="005D29E7"/>
    <w:rsid w:val="005D2D6F"/>
    <w:rsid w:val="005D3062"/>
    <w:rsid w:val="005D381E"/>
    <w:rsid w:val="005D4BA7"/>
    <w:rsid w:val="005D6030"/>
    <w:rsid w:val="005D63FB"/>
    <w:rsid w:val="005D6BCE"/>
    <w:rsid w:val="005D6F28"/>
    <w:rsid w:val="005E04F6"/>
    <w:rsid w:val="005E0767"/>
    <w:rsid w:val="005E07A1"/>
    <w:rsid w:val="005E319F"/>
    <w:rsid w:val="005E35F6"/>
    <w:rsid w:val="005E4867"/>
    <w:rsid w:val="005E5367"/>
    <w:rsid w:val="005E63C0"/>
    <w:rsid w:val="005E64B5"/>
    <w:rsid w:val="005E66A1"/>
    <w:rsid w:val="005E6A1E"/>
    <w:rsid w:val="005E6D6D"/>
    <w:rsid w:val="005E6F4B"/>
    <w:rsid w:val="005F0D14"/>
    <w:rsid w:val="005F1688"/>
    <w:rsid w:val="005F2862"/>
    <w:rsid w:val="005F2F81"/>
    <w:rsid w:val="005F3AA0"/>
    <w:rsid w:val="005F4B3E"/>
    <w:rsid w:val="005F57A4"/>
    <w:rsid w:val="005F60AA"/>
    <w:rsid w:val="005F6684"/>
    <w:rsid w:val="005F6E91"/>
    <w:rsid w:val="005F72F2"/>
    <w:rsid w:val="005F7D3F"/>
    <w:rsid w:val="0060065F"/>
    <w:rsid w:val="00600CD5"/>
    <w:rsid w:val="00601B83"/>
    <w:rsid w:val="006021BC"/>
    <w:rsid w:val="00603870"/>
    <w:rsid w:val="006051C3"/>
    <w:rsid w:val="006068EB"/>
    <w:rsid w:val="00607187"/>
    <w:rsid w:val="006071B0"/>
    <w:rsid w:val="00610291"/>
    <w:rsid w:val="00611101"/>
    <w:rsid w:val="0061117C"/>
    <w:rsid w:val="00611709"/>
    <w:rsid w:val="00611F28"/>
    <w:rsid w:val="00612DB4"/>
    <w:rsid w:val="006158E1"/>
    <w:rsid w:val="00615C57"/>
    <w:rsid w:val="00616354"/>
    <w:rsid w:val="00616A53"/>
    <w:rsid w:val="00616D24"/>
    <w:rsid w:val="00620A81"/>
    <w:rsid w:val="00621A66"/>
    <w:rsid w:val="0062212A"/>
    <w:rsid w:val="0062247F"/>
    <w:rsid w:val="00622E91"/>
    <w:rsid w:val="00623C5D"/>
    <w:rsid w:val="00623DD1"/>
    <w:rsid w:val="0062444D"/>
    <w:rsid w:val="006248DD"/>
    <w:rsid w:val="00625882"/>
    <w:rsid w:val="0062606C"/>
    <w:rsid w:val="006267ED"/>
    <w:rsid w:val="00627DC1"/>
    <w:rsid w:val="00630139"/>
    <w:rsid w:val="006315DC"/>
    <w:rsid w:val="006330C6"/>
    <w:rsid w:val="00634EED"/>
    <w:rsid w:val="006360EB"/>
    <w:rsid w:val="006369D6"/>
    <w:rsid w:val="00637B03"/>
    <w:rsid w:val="00642C19"/>
    <w:rsid w:val="00643447"/>
    <w:rsid w:val="00643AC5"/>
    <w:rsid w:val="00644B55"/>
    <w:rsid w:val="00644ED8"/>
    <w:rsid w:val="00646F4D"/>
    <w:rsid w:val="006471ED"/>
    <w:rsid w:val="0064732A"/>
    <w:rsid w:val="00647742"/>
    <w:rsid w:val="0064792A"/>
    <w:rsid w:val="00647BD4"/>
    <w:rsid w:val="00650B79"/>
    <w:rsid w:val="00651028"/>
    <w:rsid w:val="006515C5"/>
    <w:rsid w:val="00651741"/>
    <w:rsid w:val="00651C2A"/>
    <w:rsid w:val="006528CB"/>
    <w:rsid w:val="00653828"/>
    <w:rsid w:val="00654A6C"/>
    <w:rsid w:val="00655C36"/>
    <w:rsid w:val="00656973"/>
    <w:rsid w:val="00663ED2"/>
    <w:rsid w:val="00664D4E"/>
    <w:rsid w:val="00664E6C"/>
    <w:rsid w:val="0066508C"/>
    <w:rsid w:val="00666C73"/>
    <w:rsid w:val="006673A4"/>
    <w:rsid w:val="0066749B"/>
    <w:rsid w:val="00667776"/>
    <w:rsid w:val="00667CE0"/>
    <w:rsid w:val="00671124"/>
    <w:rsid w:val="00672B25"/>
    <w:rsid w:val="00675546"/>
    <w:rsid w:val="006756DF"/>
    <w:rsid w:val="0067591C"/>
    <w:rsid w:val="00675CB6"/>
    <w:rsid w:val="006764B8"/>
    <w:rsid w:val="006775DC"/>
    <w:rsid w:val="00677CAD"/>
    <w:rsid w:val="006802AF"/>
    <w:rsid w:val="00680747"/>
    <w:rsid w:val="00681E1D"/>
    <w:rsid w:val="00682098"/>
    <w:rsid w:val="00682DCE"/>
    <w:rsid w:val="00682EA6"/>
    <w:rsid w:val="0068308F"/>
    <w:rsid w:val="00683320"/>
    <w:rsid w:val="00683924"/>
    <w:rsid w:val="006841CC"/>
    <w:rsid w:val="0068440C"/>
    <w:rsid w:val="00687028"/>
    <w:rsid w:val="00687669"/>
    <w:rsid w:val="00687CA5"/>
    <w:rsid w:val="00690719"/>
    <w:rsid w:val="00690D36"/>
    <w:rsid w:val="00691193"/>
    <w:rsid w:val="006912EC"/>
    <w:rsid w:val="00691E97"/>
    <w:rsid w:val="00692127"/>
    <w:rsid w:val="0069316F"/>
    <w:rsid w:val="006949CE"/>
    <w:rsid w:val="00695478"/>
    <w:rsid w:val="00695748"/>
    <w:rsid w:val="00695826"/>
    <w:rsid w:val="00695A0D"/>
    <w:rsid w:val="00696547"/>
    <w:rsid w:val="006979C6"/>
    <w:rsid w:val="006A0CA0"/>
    <w:rsid w:val="006A0F1D"/>
    <w:rsid w:val="006A1196"/>
    <w:rsid w:val="006A1CD5"/>
    <w:rsid w:val="006A3DD2"/>
    <w:rsid w:val="006A46FE"/>
    <w:rsid w:val="006A59BF"/>
    <w:rsid w:val="006A60FB"/>
    <w:rsid w:val="006A6886"/>
    <w:rsid w:val="006B1074"/>
    <w:rsid w:val="006B329E"/>
    <w:rsid w:val="006B413E"/>
    <w:rsid w:val="006B433D"/>
    <w:rsid w:val="006B79BB"/>
    <w:rsid w:val="006B7C27"/>
    <w:rsid w:val="006C047F"/>
    <w:rsid w:val="006C0770"/>
    <w:rsid w:val="006C1780"/>
    <w:rsid w:val="006C1D4C"/>
    <w:rsid w:val="006C3824"/>
    <w:rsid w:val="006C3C5E"/>
    <w:rsid w:val="006C4C04"/>
    <w:rsid w:val="006C5710"/>
    <w:rsid w:val="006C5A6D"/>
    <w:rsid w:val="006C62E8"/>
    <w:rsid w:val="006D17D9"/>
    <w:rsid w:val="006D1942"/>
    <w:rsid w:val="006D2F12"/>
    <w:rsid w:val="006D3E84"/>
    <w:rsid w:val="006D46CA"/>
    <w:rsid w:val="006D5161"/>
    <w:rsid w:val="006D5D77"/>
    <w:rsid w:val="006D6CF7"/>
    <w:rsid w:val="006D76DD"/>
    <w:rsid w:val="006E0575"/>
    <w:rsid w:val="006E075E"/>
    <w:rsid w:val="006E14BF"/>
    <w:rsid w:val="006E1580"/>
    <w:rsid w:val="006E2190"/>
    <w:rsid w:val="006E3B8A"/>
    <w:rsid w:val="006E594D"/>
    <w:rsid w:val="006E608C"/>
    <w:rsid w:val="006E68DA"/>
    <w:rsid w:val="006E6D91"/>
    <w:rsid w:val="006E77A0"/>
    <w:rsid w:val="006E7D40"/>
    <w:rsid w:val="006F09CF"/>
    <w:rsid w:val="006F1498"/>
    <w:rsid w:val="006F1A96"/>
    <w:rsid w:val="006F27E7"/>
    <w:rsid w:val="006F301A"/>
    <w:rsid w:val="006F3624"/>
    <w:rsid w:val="006F36BA"/>
    <w:rsid w:val="006F389D"/>
    <w:rsid w:val="006F445E"/>
    <w:rsid w:val="006F44F9"/>
    <w:rsid w:val="006F4651"/>
    <w:rsid w:val="006F5BC3"/>
    <w:rsid w:val="006F71E8"/>
    <w:rsid w:val="006F76D2"/>
    <w:rsid w:val="00700B9D"/>
    <w:rsid w:val="00700C52"/>
    <w:rsid w:val="00700CBC"/>
    <w:rsid w:val="007015B4"/>
    <w:rsid w:val="0070197D"/>
    <w:rsid w:val="00701A9B"/>
    <w:rsid w:val="00701BB3"/>
    <w:rsid w:val="00701EE6"/>
    <w:rsid w:val="00702ED9"/>
    <w:rsid w:val="00703953"/>
    <w:rsid w:val="00703F65"/>
    <w:rsid w:val="00704A22"/>
    <w:rsid w:val="00705698"/>
    <w:rsid w:val="0070611C"/>
    <w:rsid w:val="00706AB4"/>
    <w:rsid w:val="00706D6E"/>
    <w:rsid w:val="00707EFB"/>
    <w:rsid w:val="00710639"/>
    <w:rsid w:val="0071086A"/>
    <w:rsid w:val="0071087B"/>
    <w:rsid w:val="00710B76"/>
    <w:rsid w:val="00711079"/>
    <w:rsid w:val="007116C2"/>
    <w:rsid w:val="007129B3"/>
    <w:rsid w:val="00714BEB"/>
    <w:rsid w:val="00714CAF"/>
    <w:rsid w:val="00715553"/>
    <w:rsid w:val="007157A8"/>
    <w:rsid w:val="007160FB"/>
    <w:rsid w:val="0071658A"/>
    <w:rsid w:val="00716723"/>
    <w:rsid w:val="00716AF8"/>
    <w:rsid w:val="007179C7"/>
    <w:rsid w:val="00721AE2"/>
    <w:rsid w:val="00722379"/>
    <w:rsid w:val="00722A5E"/>
    <w:rsid w:val="00722DB6"/>
    <w:rsid w:val="0072476E"/>
    <w:rsid w:val="00724C6C"/>
    <w:rsid w:val="00724FA0"/>
    <w:rsid w:val="007253F3"/>
    <w:rsid w:val="00725B49"/>
    <w:rsid w:val="007261BD"/>
    <w:rsid w:val="0072645C"/>
    <w:rsid w:val="00726C06"/>
    <w:rsid w:val="007279B0"/>
    <w:rsid w:val="00727CA5"/>
    <w:rsid w:val="00727CF1"/>
    <w:rsid w:val="00730CDC"/>
    <w:rsid w:val="007313CB"/>
    <w:rsid w:val="007328A4"/>
    <w:rsid w:val="00732D17"/>
    <w:rsid w:val="00733DAA"/>
    <w:rsid w:val="00733DCF"/>
    <w:rsid w:val="00734283"/>
    <w:rsid w:val="0073439F"/>
    <w:rsid w:val="00734BCE"/>
    <w:rsid w:val="00735958"/>
    <w:rsid w:val="0073619F"/>
    <w:rsid w:val="007378D2"/>
    <w:rsid w:val="00737FE3"/>
    <w:rsid w:val="00741640"/>
    <w:rsid w:val="007424FA"/>
    <w:rsid w:val="007427EA"/>
    <w:rsid w:val="0074297C"/>
    <w:rsid w:val="00743251"/>
    <w:rsid w:val="00744765"/>
    <w:rsid w:val="00744CFA"/>
    <w:rsid w:val="00746036"/>
    <w:rsid w:val="00746617"/>
    <w:rsid w:val="00753A4A"/>
    <w:rsid w:val="00753E23"/>
    <w:rsid w:val="00754802"/>
    <w:rsid w:val="00754833"/>
    <w:rsid w:val="00754A64"/>
    <w:rsid w:val="00754E08"/>
    <w:rsid w:val="00755BEB"/>
    <w:rsid w:val="00756BE4"/>
    <w:rsid w:val="00756E29"/>
    <w:rsid w:val="00757596"/>
    <w:rsid w:val="00757790"/>
    <w:rsid w:val="00757E6F"/>
    <w:rsid w:val="00760E4F"/>
    <w:rsid w:val="00762001"/>
    <w:rsid w:val="00762DE3"/>
    <w:rsid w:val="00762F80"/>
    <w:rsid w:val="00763000"/>
    <w:rsid w:val="00763958"/>
    <w:rsid w:val="00764780"/>
    <w:rsid w:val="00766381"/>
    <w:rsid w:val="007668C9"/>
    <w:rsid w:val="00770024"/>
    <w:rsid w:val="00770182"/>
    <w:rsid w:val="00770666"/>
    <w:rsid w:val="00771279"/>
    <w:rsid w:val="00771453"/>
    <w:rsid w:val="00771C38"/>
    <w:rsid w:val="0077254B"/>
    <w:rsid w:val="00774FC5"/>
    <w:rsid w:val="00776905"/>
    <w:rsid w:val="007775C5"/>
    <w:rsid w:val="00777DE0"/>
    <w:rsid w:val="007809F2"/>
    <w:rsid w:val="00780BB7"/>
    <w:rsid w:val="00781A67"/>
    <w:rsid w:val="00781FDB"/>
    <w:rsid w:val="0078269A"/>
    <w:rsid w:val="00782ED6"/>
    <w:rsid w:val="00785B8E"/>
    <w:rsid w:val="00785CAD"/>
    <w:rsid w:val="00792079"/>
    <w:rsid w:val="00792127"/>
    <w:rsid w:val="0079261D"/>
    <w:rsid w:val="0079268B"/>
    <w:rsid w:val="007926B6"/>
    <w:rsid w:val="00793D24"/>
    <w:rsid w:val="00795CD7"/>
    <w:rsid w:val="0079635A"/>
    <w:rsid w:val="007A0792"/>
    <w:rsid w:val="007A0843"/>
    <w:rsid w:val="007A09E1"/>
    <w:rsid w:val="007A0AA0"/>
    <w:rsid w:val="007A0CE8"/>
    <w:rsid w:val="007A1904"/>
    <w:rsid w:val="007A19CD"/>
    <w:rsid w:val="007A2DAA"/>
    <w:rsid w:val="007A48DC"/>
    <w:rsid w:val="007A4E3F"/>
    <w:rsid w:val="007A58E3"/>
    <w:rsid w:val="007A7833"/>
    <w:rsid w:val="007A7D11"/>
    <w:rsid w:val="007B1887"/>
    <w:rsid w:val="007B27E1"/>
    <w:rsid w:val="007B32A4"/>
    <w:rsid w:val="007B337F"/>
    <w:rsid w:val="007B4369"/>
    <w:rsid w:val="007B4595"/>
    <w:rsid w:val="007B4633"/>
    <w:rsid w:val="007B4EB6"/>
    <w:rsid w:val="007B5C2D"/>
    <w:rsid w:val="007B5F91"/>
    <w:rsid w:val="007B65AF"/>
    <w:rsid w:val="007B6647"/>
    <w:rsid w:val="007B740F"/>
    <w:rsid w:val="007B7A33"/>
    <w:rsid w:val="007C02AF"/>
    <w:rsid w:val="007C0757"/>
    <w:rsid w:val="007C16EE"/>
    <w:rsid w:val="007C1A65"/>
    <w:rsid w:val="007C1DED"/>
    <w:rsid w:val="007C1ECE"/>
    <w:rsid w:val="007C2871"/>
    <w:rsid w:val="007C2BC1"/>
    <w:rsid w:val="007C3491"/>
    <w:rsid w:val="007C35C2"/>
    <w:rsid w:val="007C36A6"/>
    <w:rsid w:val="007C547B"/>
    <w:rsid w:val="007C54D3"/>
    <w:rsid w:val="007C55D8"/>
    <w:rsid w:val="007C60FC"/>
    <w:rsid w:val="007C6D29"/>
    <w:rsid w:val="007C7ABD"/>
    <w:rsid w:val="007D04CD"/>
    <w:rsid w:val="007D04D2"/>
    <w:rsid w:val="007D0C2F"/>
    <w:rsid w:val="007D23FF"/>
    <w:rsid w:val="007D367A"/>
    <w:rsid w:val="007D3A46"/>
    <w:rsid w:val="007D4237"/>
    <w:rsid w:val="007D4A5B"/>
    <w:rsid w:val="007D4F16"/>
    <w:rsid w:val="007D7F60"/>
    <w:rsid w:val="007E0144"/>
    <w:rsid w:val="007E048F"/>
    <w:rsid w:val="007E0AAD"/>
    <w:rsid w:val="007E0F65"/>
    <w:rsid w:val="007E120A"/>
    <w:rsid w:val="007E28F0"/>
    <w:rsid w:val="007E3EFB"/>
    <w:rsid w:val="007E4EF0"/>
    <w:rsid w:val="007E4F49"/>
    <w:rsid w:val="007E6567"/>
    <w:rsid w:val="007E679A"/>
    <w:rsid w:val="007E7ED8"/>
    <w:rsid w:val="007F157E"/>
    <w:rsid w:val="007F1965"/>
    <w:rsid w:val="007F2612"/>
    <w:rsid w:val="007F288A"/>
    <w:rsid w:val="007F2F2A"/>
    <w:rsid w:val="007F2F9C"/>
    <w:rsid w:val="007F3783"/>
    <w:rsid w:val="007F3BB9"/>
    <w:rsid w:val="007F433F"/>
    <w:rsid w:val="007F519E"/>
    <w:rsid w:val="007F63D7"/>
    <w:rsid w:val="007F7816"/>
    <w:rsid w:val="008013B7"/>
    <w:rsid w:val="00801E7D"/>
    <w:rsid w:val="0080252D"/>
    <w:rsid w:val="00802BCE"/>
    <w:rsid w:val="00803407"/>
    <w:rsid w:val="00803704"/>
    <w:rsid w:val="00804BE8"/>
    <w:rsid w:val="008052D3"/>
    <w:rsid w:val="0080533C"/>
    <w:rsid w:val="00806F65"/>
    <w:rsid w:val="008076D6"/>
    <w:rsid w:val="0081006C"/>
    <w:rsid w:val="00810417"/>
    <w:rsid w:val="00811017"/>
    <w:rsid w:val="0081101C"/>
    <w:rsid w:val="00812390"/>
    <w:rsid w:val="00812AC6"/>
    <w:rsid w:val="00813063"/>
    <w:rsid w:val="00813398"/>
    <w:rsid w:val="008135C0"/>
    <w:rsid w:val="00813B69"/>
    <w:rsid w:val="00814553"/>
    <w:rsid w:val="00815A58"/>
    <w:rsid w:val="00816078"/>
    <w:rsid w:val="00816C54"/>
    <w:rsid w:val="00816CE4"/>
    <w:rsid w:val="008179DA"/>
    <w:rsid w:val="00820288"/>
    <w:rsid w:val="0082075D"/>
    <w:rsid w:val="00821CB4"/>
    <w:rsid w:val="00822E5F"/>
    <w:rsid w:val="0082342B"/>
    <w:rsid w:val="00823EB8"/>
    <w:rsid w:val="00825347"/>
    <w:rsid w:val="008277FB"/>
    <w:rsid w:val="00830689"/>
    <w:rsid w:val="00832092"/>
    <w:rsid w:val="0083270D"/>
    <w:rsid w:val="00834D7B"/>
    <w:rsid w:val="00835365"/>
    <w:rsid w:val="00835763"/>
    <w:rsid w:val="00836174"/>
    <w:rsid w:val="008363FC"/>
    <w:rsid w:val="0083646F"/>
    <w:rsid w:val="0083672E"/>
    <w:rsid w:val="00836B53"/>
    <w:rsid w:val="008403AA"/>
    <w:rsid w:val="008442F3"/>
    <w:rsid w:val="0084483F"/>
    <w:rsid w:val="0084558D"/>
    <w:rsid w:val="0084562D"/>
    <w:rsid w:val="00845D4E"/>
    <w:rsid w:val="008467BE"/>
    <w:rsid w:val="00846FC2"/>
    <w:rsid w:val="0084775D"/>
    <w:rsid w:val="00847D39"/>
    <w:rsid w:val="00847F49"/>
    <w:rsid w:val="00850B88"/>
    <w:rsid w:val="00852DEF"/>
    <w:rsid w:val="00852FE4"/>
    <w:rsid w:val="00853AC7"/>
    <w:rsid w:val="00854076"/>
    <w:rsid w:val="0085471E"/>
    <w:rsid w:val="0085495E"/>
    <w:rsid w:val="00854A63"/>
    <w:rsid w:val="008559E9"/>
    <w:rsid w:val="00856D38"/>
    <w:rsid w:val="00857188"/>
    <w:rsid w:val="00857F00"/>
    <w:rsid w:val="008610FC"/>
    <w:rsid w:val="0086114E"/>
    <w:rsid w:val="0086140D"/>
    <w:rsid w:val="008622DF"/>
    <w:rsid w:val="00862556"/>
    <w:rsid w:val="008627BA"/>
    <w:rsid w:val="00862CE6"/>
    <w:rsid w:val="00864802"/>
    <w:rsid w:val="00864C92"/>
    <w:rsid w:val="008678FB"/>
    <w:rsid w:val="00867B3D"/>
    <w:rsid w:val="008706D6"/>
    <w:rsid w:val="00870B62"/>
    <w:rsid w:val="00870D5D"/>
    <w:rsid w:val="00871482"/>
    <w:rsid w:val="008737A6"/>
    <w:rsid w:val="00873CB9"/>
    <w:rsid w:val="008740ED"/>
    <w:rsid w:val="00874319"/>
    <w:rsid w:val="00875505"/>
    <w:rsid w:val="0087580C"/>
    <w:rsid w:val="00876602"/>
    <w:rsid w:val="00876CA5"/>
    <w:rsid w:val="0087735E"/>
    <w:rsid w:val="008804CD"/>
    <w:rsid w:val="00880AE9"/>
    <w:rsid w:val="00880B99"/>
    <w:rsid w:val="00881B29"/>
    <w:rsid w:val="008824EC"/>
    <w:rsid w:val="0088295F"/>
    <w:rsid w:val="00882C1F"/>
    <w:rsid w:val="00884B4C"/>
    <w:rsid w:val="008855E7"/>
    <w:rsid w:val="00885D21"/>
    <w:rsid w:val="00886BFE"/>
    <w:rsid w:val="0088742F"/>
    <w:rsid w:val="008900B4"/>
    <w:rsid w:val="0089012F"/>
    <w:rsid w:val="008912E2"/>
    <w:rsid w:val="00891BEE"/>
    <w:rsid w:val="00893066"/>
    <w:rsid w:val="00893089"/>
    <w:rsid w:val="00893785"/>
    <w:rsid w:val="00893786"/>
    <w:rsid w:val="00893C40"/>
    <w:rsid w:val="00893CF3"/>
    <w:rsid w:val="008940A1"/>
    <w:rsid w:val="008941BA"/>
    <w:rsid w:val="008957B9"/>
    <w:rsid w:val="00896960"/>
    <w:rsid w:val="00896E6B"/>
    <w:rsid w:val="008A1112"/>
    <w:rsid w:val="008A428D"/>
    <w:rsid w:val="008A45E6"/>
    <w:rsid w:val="008A4966"/>
    <w:rsid w:val="008A49C3"/>
    <w:rsid w:val="008A561D"/>
    <w:rsid w:val="008A5A9B"/>
    <w:rsid w:val="008A60C8"/>
    <w:rsid w:val="008B00E1"/>
    <w:rsid w:val="008B0362"/>
    <w:rsid w:val="008B12AC"/>
    <w:rsid w:val="008B1A19"/>
    <w:rsid w:val="008B21F3"/>
    <w:rsid w:val="008B2C74"/>
    <w:rsid w:val="008B35E4"/>
    <w:rsid w:val="008B4CE7"/>
    <w:rsid w:val="008B6F0C"/>
    <w:rsid w:val="008B7627"/>
    <w:rsid w:val="008B7785"/>
    <w:rsid w:val="008C008D"/>
    <w:rsid w:val="008C02FA"/>
    <w:rsid w:val="008C0601"/>
    <w:rsid w:val="008C0909"/>
    <w:rsid w:val="008C0BF9"/>
    <w:rsid w:val="008C0D23"/>
    <w:rsid w:val="008C1B51"/>
    <w:rsid w:val="008C28BF"/>
    <w:rsid w:val="008C2A43"/>
    <w:rsid w:val="008C4086"/>
    <w:rsid w:val="008C67BF"/>
    <w:rsid w:val="008C7434"/>
    <w:rsid w:val="008C7B62"/>
    <w:rsid w:val="008D210C"/>
    <w:rsid w:val="008D2F6B"/>
    <w:rsid w:val="008D483F"/>
    <w:rsid w:val="008D51D4"/>
    <w:rsid w:val="008D5399"/>
    <w:rsid w:val="008D578F"/>
    <w:rsid w:val="008D5A41"/>
    <w:rsid w:val="008D5C10"/>
    <w:rsid w:val="008D5C8A"/>
    <w:rsid w:val="008D7947"/>
    <w:rsid w:val="008E1191"/>
    <w:rsid w:val="008E2314"/>
    <w:rsid w:val="008E2D82"/>
    <w:rsid w:val="008E2EE1"/>
    <w:rsid w:val="008E34BA"/>
    <w:rsid w:val="008E485C"/>
    <w:rsid w:val="008E5374"/>
    <w:rsid w:val="008E632D"/>
    <w:rsid w:val="008E6C88"/>
    <w:rsid w:val="008E6E81"/>
    <w:rsid w:val="008E7083"/>
    <w:rsid w:val="008E78E8"/>
    <w:rsid w:val="008E7A93"/>
    <w:rsid w:val="008E7BBD"/>
    <w:rsid w:val="008F0658"/>
    <w:rsid w:val="008F0B48"/>
    <w:rsid w:val="008F0F43"/>
    <w:rsid w:val="008F10F6"/>
    <w:rsid w:val="008F11A4"/>
    <w:rsid w:val="008F27C4"/>
    <w:rsid w:val="008F30A2"/>
    <w:rsid w:val="008F37DE"/>
    <w:rsid w:val="008F5693"/>
    <w:rsid w:val="008F6CC6"/>
    <w:rsid w:val="00900060"/>
    <w:rsid w:val="0090049C"/>
    <w:rsid w:val="009006CD"/>
    <w:rsid w:val="0090072C"/>
    <w:rsid w:val="009008EC"/>
    <w:rsid w:val="009009BB"/>
    <w:rsid w:val="00901055"/>
    <w:rsid w:val="00901C1C"/>
    <w:rsid w:val="00902851"/>
    <w:rsid w:val="00903F86"/>
    <w:rsid w:val="0090490F"/>
    <w:rsid w:val="00904980"/>
    <w:rsid w:val="009060BA"/>
    <w:rsid w:val="00907B51"/>
    <w:rsid w:val="009123B6"/>
    <w:rsid w:val="009129AA"/>
    <w:rsid w:val="00912C7F"/>
    <w:rsid w:val="00915926"/>
    <w:rsid w:val="00915BE3"/>
    <w:rsid w:val="00916407"/>
    <w:rsid w:val="00916428"/>
    <w:rsid w:val="00917430"/>
    <w:rsid w:val="00917B43"/>
    <w:rsid w:val="00920965"/>
    <w:rsid w:val="009213C6"/>
    <w:rsid w:val="00922223"/>
    <w:rsid w:val="00922F64"/>
    <w:rsid w:val="00922FCF"/>
    <w:rsid w:val="0092347D"/>
    <w:rsid w:val="00923B32"/>
    <w:rsid w:val="00923F64"/>
    <w:rsid w:val="009242C2"/>
    <w:rsid w:val="009248D8"/>
    <w:rsid w:val="00925478"/>
    <w:rsid w:val="009255AD"/>
    <w:rsid w:val="009268BF"/>
    <w:rsid w:val="009277F1"/>
    <w:rsid w:val="00927FFA"/>
    <w:rsid w:val="00930328"/>
    <w:rsid w:val="00930DA6"/>
    <w:rsid w:val="00930F6A"/>
    <w:rsid w:val="009314A2"/>
    <w:rsid w:val="00932A1C"/>
    <w:rsid w:val="00932BBD"/>
    <w:rsid w:val="00935029"/>
    <w:rsid w:val="009350D7"/>
    <w:rsid w:val="00935B4C"/>
    <w:rsid w:val="0093627B"/>
    <w:rsid w:val="00936FBA"/>
    <w:rsid w:val="009371CE"/>
    <w:rsid w:val="009372E5"/>
    <w:rsid w:val="00937732"/>
    <w:rsid w:val="00940A76"/>
    <w:rsid w:val="009423A8"/>
    <w:rsid w:val="00942622"/>
    <w:rsid w:val="009440E7"/>
    <w:rsid w:val="00944687"/>
    <w:rsid w:val="009459A0"/>
    <w:rsid w:val="0094626D"/>
    <w:rsid w:val="00946FA2"/>
    <w:rsid w:val="009471CE"/>
    <w:rsid w:val="0094768D"/>
    <w:rsid w:val="00947B96"/>
    <w:rsid w:val="009503A5"/>
    <w:rsid w:val="00950401"/>
    <w:rsid w:val="0095061D"/>
    <w:rsid w:val="00950E3B"/>
    <w:rsid w:val="009514C2"/>
    <w:rsid w:val="0095218B"/>
    <w:rsid w:val="009538ED"/>
    <w:rsid w:val="009539F9"/>
    <w:rsid w:val="0095525E"/>
    <w:rsid w:val="009555F1"/>
    <w:rsid w:val="00961739"/>
    <w:rsid w:val="00961A0D"/>
    <w:rsid w:val="00962CB1"/>
    <w:rsid w:val="00963EF2"/>
    <w:rsid w:val="0096441C"/>
    <w:rsid w:val="00965C6A"/>
    <w:rsid w:val="00966543"/>
    <w:rsid w:val="009667AD"/>
    <w:rsid w:val="00966881"/>
    <w:rsid w:val="00967224"/>
    <w:rsid w:val="00967638"/>
    <w:rsid w:val="0096793F"/>
    <w:rsid w:val="0097008F"/>
    <w:rsid w:val="0097147F"/>
    <w:rsid w:val="00971EAD"/>
    <w:rsid w:val="00972388"/>
    <w:rsid w:val="0097411D"/>
    <w:rsid w:val="00974AEB"/>
    <w:rsid w:val="00974B43"/>
    <w:rsid w:val="00974C2C"/>
    <w:rsid w:val="0097590C"/>
    <w:rsid w:val="00975CC6"/>
    <w:rsid w:val="0097653B"/>
    <w:rsid w:val="00976BAE"/>
    <w:rsid w:val="00976DFB"/>
    <w:rsid w:val="0097725E"/>
    <w:rsid w:val="00977C23"/>
    <w:rsid w:val="009806DF"/>
    <w:rsid w:val="00981DE4"/>
    <w:rsid w:val="00981FB5"/>
    <w:rsid w:val="00982BB0"/>
    <w:rsid w:val="00983136"/>
    <w:rsid w:val="0098450B"/>
    <w:rsid w:val="00984BD5"/>
    <w:rsid w:val="00985A09"/>
    <w:rsid w:val="00986068"/>
    <w:rsid w:val="0098704C"/>
    <w:rsid w:val="00987C99"/>
    <w:rsid w:val="009914AF"/>
    <w:rsid w:val="009924F5"/>
    <w:rsid w:val="009925E6"/>
    <w:rsid w:val="0099271E"/>
    <w:rsid w:val="009938BA"/>
    <w:rsid w:val="00993D66"/>
    <w:rsid w:val="00993D9A"/>
    <w:rsid w:val="00993ECD"/>
    <w:rsid w:val="0099514B"/>
    <w:rsid w:val="0099534A"/>
    <w:rsid w:val="00996EB9"/>
    <w:rsid w:val="00997B6C"/>
    <w:rsid w:val="009A10A0"/>
    <w:rsid w:val="009A12D7"/>
    <w:rsid w:val="009A1D5E"/>
    <w:rsid w:val="009A24E2"/>
    <w:rsid w:val="009A2B3D"/>
    <w:rsid w:val="009A2CAC"/>
    <w:rsid w:val="009A4EB2"/>
    <w:rsid w:val="009A599C"/>
    <w:rsid w:val="009A5CB4"/>
    <w:rsid w:val="009A672F"/>
    <w:rsid w:val="009A719A"/>
    <w:rsid w:val="009A7DD2"/>
    <w:rsid w:val="009B00DD"/>
    <w:rsid w:val="009B04B7"/>
    <w:rsid w:val="009B1AF3"/>
    <w:rsid w:val="009B1D86"/>
    <w:rsid w:val="009B24C5"/>
    <w:rsid w:val="009B337C"/>
    <w:rsid w:val="009B36D9"/>
    <w:rsid w:val="009B3B69"/>
    <w:rsid w:val="009B44EC"/>
    <w:rsid w:val="009B46ED"/>
    <w:rsid w:val="009B4C8E"/>
    <w:rsid w:val="009B527A"/>
    <w:rsid w:val="009B5D46"/>
    <w:rsid w:val="009B606E"/>
    <w:rsid w:val="009B68F5"/>
    <w:rsid w:val="009B6E3B"/>
    <w:rsid w:val="009B7908"/>
    <w:rsid w:val="009C156C"/>
    <w:rsid w:val="009C3431"/>
    <w:rsid w:val="009C4DC1"/>
    <w:rsid w:val="009C5E9E"/>
    <w:rsid w:val="009C5EEE"/>
    <w:rsid w:val="009C6AF4"/>
    <w:rsid w:val="009C6EA2"/>
    <w:rsid w:val="009C708C"/>
    <w:rsid w:val="009C78BE"/>
    <w:rsid w:val="009D0B62"/>
    <w:rsid w:val="009D1695"/>
    <w:rsid w:val="009D1C23"/>
    <w:rsid w:val="009D1C3B"/>
    <w:rsid w:val="009D215B"/>
    <w:rsid w:val="009D28C6"/>
    <w:rsid w:val="009D3B38"/>
    <w:rsid w:val="009D48C5"/>
    <w:rsid w:val="009D684A"/>
    <w:rsid w:val="009D7D2B"/>
    <w:rsid w:val="009E1777"/>
    <w:rsid w:val="009E1CD0"/>
    <w:rsid w:val="009E2575"/>
    <w:rsid w:val="009E44AB"/>
    <w:rsid w:val="009E4C43"/>
    <w:rsid w:val="009E534C"/>
    <w:rsid w:val="009E5508"/>
    <w:rsid w:val="009E577F"/>
    <w:rsid w:val="009E594C"/>
    <w:rsid w:val="009E5C55"/>
    <w:rsid w:val="009E60AD"/>
    <w:rsid w:val="009E693A"/>
    <w:rsid w:val="009E6BE3"/>
    <w:rsid w:val="009E6C45"/>
    <w:rsid w:val="009E6C81"/>
    <w:rsid w:val="009E717F"/>
    <w:rsid w:val="009F1FE9"/>
    <w:rsid w:val="009F2074"/>
    <w:rsid w:val="009F2130"/>
    <w:rsid w:val="009F22A2"/>
    <w:rsid w:val="009F2D39"/>
    <w:rsid w:val="009F5075"/>
    <w:rsid w:val="009F5377"/>
    <w:rsid w:val="009F543A"/>
    <w:rsid w:val="009F73C1"/>
    <w:rsid w:val="009F7FC3"/>
    <w:rsid w:val="00A008BC"/>
    <w:rsid w:val="00A034E9"/>
    <w:rsid w:val="00A037B9"/>
    <w:rsid w:val="00A04705"/>
    <w:rsid w:val="00A0609F"/>
    <w:rsid w:val="00A062F4"/>
    <w:rsid w:val="00A06365"/>
    <w:rsid w:val="00A07191"/>
    <w:rsid w:val="00A0736B"/>
    <w:rsid w:val="00A07C2F"/>
    <w:rsid w:val="00A10FA4"/>
    <w:rsid w:val="00A11C98"/>
    <w:rsid w:val="00A1273E"/>
    <w:rsid w:val="00A135EF"/>
    <w:rsid w:val="00A162DE"/>
    <w:rsid w:val="00A16699"/>
    <w:rsid w:val="00A1679C"/>
    <w:rsid w:val="00A16ABB"/>
    <w:rsid w:val="00A17938"/>
    <w:rsid w:val="00A17BFA"/>
    <w:rsid w:val="00A17CE1"/>
    <w:rsid w:val="00A20615"/>
    <w:rsid w:val="00A22D3B"/>
    <w:rsid w:val="00A2349C"/>
    <w:rsid w:val="00A2382E"/>
    <w:rsid w:val="00A24112"/>
    <w:rsid w:val="00A24C42"/>
    <w:rsid w:val="00A24C4A"/>
    <w:rsid w:val="00A26E05"/>
    <w:rsid w:val="00A27862"/>
    <w:rsid w:val="00A30A11"/>
    <w:rsid w:val="00A30DBF"/>
    <w:rsid w:val="00A31791"/>
    <w:rsid w:val="00A31FBA"/>
    <w:rsid w:val="00A32130"/>
    <w:rsid w:val="00A32B61"/>
    <w:rsid w:val="00A32E77"/>
    <w:rsid w:val="00A34583"/>
    <w:rsid w:val="00A351A3"/>
    <w:rsid w:val="00A35297"/>
    <w:rsid w:val="00A3559B"/>
    <w:rsid w:val="00A356DE"/>
    <w:rsid w:val="00A356FA"/>
    <w:rsid w:val="00A357BC"/>
    <w:rsid w:val="00A361CF"/>
    <w:rsid w:val="00A36A5D"/>
    <w:rsid w:val="00A36CE2"/>
    <w:rsid w:val="00A3724A"/>
    <w:rsid w:val="00A3763A"/>
    <w:rsid w:val="00A40B34"/>
    <w:rsid w:val="00A41875"/>
    <w:rsid w:val="00A42031"/>
    <w:rsid w:val="00A420CA"/>
    <w:rsid w:val="00A435F5"/>
    <w:rsid w:val="00A44AF7"/>
    <w:rsid w:val="00A44C99"/>
    <w:rsid w:val="00A44CBF"/>
    <w:rsid w:val="00A44EA0"/>
    <w:rsid w:val="00A45D9D"/>
    <w:rsid w:val="00A45E48"/>
    <w:rsid w:val="00A463B1"/>
    <w:rsid w:val="00A465F0"/>
    <w:rsid w:val="00A46672"/>
    <w:rsid w:val="00A46EC2"/>
    <w:rsid w:val="00A4796D"/>
    <w:rsid w:val="00A51B46"/>
    <w:rsid w:val="00A51DAB"/>
    <w:rsid w:val="00A52577"/>
    <w:rsid w:val="00A5294B"/>
    <w:rsid w:val="00A5589F"/>
    <w:rsid w:val="00A5668B"/>
    <w:rsid w:val="00A57144"/>
    <w:rsid w:val="00A5748A"/>
    <w:rsid w:val="00A579E6"/>
    <w:rsid w:val="00A60470"/>
    <w:rsid w:val="00A60883"/>
    <w:rsid w:val="00A60A85"/>
    <w:rsid w:val="00A61383"/>
    <w:rsid w:val="00A617F1"/>
    <w:rsid w:val="00A618DC"/>
    <w:rsid w:val="00A61B24"/>
    <w:rsid w:val="00A61D2A"/>
    <w:rsid w:val="00A61E5A"/>
    <w:rsid w:val="00A62332"/>
    <w:rsid w:val="00A629BA"/>
    <w:rsid w:val="00A62C10"/>
    <w:rsid w:val="00A62EEA"/>
    <w:rsid w:val="00A631E1"/>
    <w:rsid w:val="00A63B3F"/>
    <w:rsid w:val="00A650CE"/>
    <w:rsid w:val="00A665E4"/>
    <w:rsid w:val="00A67B70"/>
    <w:rsid w:val="00A67FF2"/>
    <w:rsid w:val="00A7012B"/>
    <w:rsid w:val="00A7167D"/>
    <w:rsid w:val="00A717D6"/>
    <w:rsid w:val="00A71AA0"/>
    <w:rsid w:val="00A71FE0"/>
    <w:rsid w:val="00A7344D"/>
    <w:rsid w:val="00A7448C"/>
    <w:rsid w:val="00A74537"/>
    <w:rsid w:val="00A74CB8"/>
    <w:rsid w:val="00A74DF2"/>
    <w:rsid w:val="00A76067"/>
    <w:rsid w:val="00A7619F"/>
    <w:rsid w:val="00A766B3"/>
    <w:rsid w:val="00A76B2E"/>
    <w:rsid w:val="00A76B33"/>
    <w:rsid w:val="00A7737C"/>
    <w:rsid w:val="00A802C3"/>
    <w:rsid w:val="00A81579"/>
    <w:rsid w:val="00A8177E"/>
    <w:rsid w:val="00A81C91"/>
    <w:rsid w:val="00A84873"/>
    <w:rsid w:val="00A84A09"/>
    <w:rsid w:val="00A84D7D"/>
    <w:rsid w:val="00A85EEE"/>
    <w:rsid w:val="00A86115"/>
    <w:rsid w:val="00A869E4"/>
    <w:rsid w:val="00A86D58"/>
    <w:rsid w:val="00A86D96"/>
    <w:rsid w:val="00A86F28"/>
    <w:rsid w:val="00A9064C"/>
    <w:rsid w:val="00A90B52"/>
    <w:rsid w:val="00A910FA"/>
    <w:rsid w:val="00A915C8"/>
    <w:rsid w:val="00A92306"/>
    <w:rsid w:val="00A933C7"/>
    <w:rsid w:val="00A93B10"/>
    <w:rsid w:val="00A95875"/>
    <w:rsid w:val="00A95ADB"/>
    <w:rsid w:val="00A96654"/>
    <w:rsid w:val="00A96767"/>
    <w:rsid w:val="00A97C23"/>
    <w:rsid w:val="00A97FE2"/>
    <w:rsid w:val="00AA046F"/>
    <w:rsid w:val="00AA0BA3"/>
    <w:rsid w:val="00AA1CB4"/>
    <w:rsid w:val="00AA2D9C"/>
    <w:rsid w:val="00AA3AF5"/>
    <w:rsid w:val="00AA44C9"/>
    <w:rsid w:val="00AA47B9"/>
    <w:rsid w:val="00AA54FB"/>
    <w:rsid w:val="00AA6178"/>
    <w:rsid w:val="00AA6C80"/>
    <w:rsid w:val="00AA6DAA"/>
    <w:rsid w:val="00AA6ED0"/>
    <w:rsid w:val="00AA7454"/>
    <w:rsid w:val="00AA79E1"/>
    <w:rsid w:val="00AB19E6"/>
    <w:rsid w:val="00AB1BD1"/>
    <w:rsid w:val="00AB2780"/>
    <w:rsid w:val="00AB3086"/>
    <w:rsid w:val="00AB3A74"/>
    <w:rsid w:val="00AB3AF2"/>
    <w:rsid w:val="00AB4D81"/>
    <w:rsid w:val="00AB51AC"/>
    <w:rsid w:val="00AB63AA"/>
    <w:rsid w:val="00AB6402"/>
    <w:rsid w:val="00AB7119"/>
    <w:rsid w:val="00AB7941"/>
    <w:rsid w:val="00AC1912"/>
    <w:rsid w:val="00AC1A67"/>
    <w:rsid w:val="00AC2CB9"/>
    <w:rsid w:val="00AC41E8"/>
    <w:rsid w:val="00AC42C7"/>
    <w:rsid w:val="00AC42C8"/>
    <w:rsid w:val="00AC44E4"/>
    <w:rsid w:val="00AC4AE1"/>
    <w:rsid w:val="00AC4BF3"/>
    <w:rsid w:val="00AC5316"/>
    <w:rsid w:val="00AC5E5F"/>
    <w:rsid w:val="00AC63BA"/>
    <w:rsid w:val="00AC6E0B"/>
    <w:rsid w:val="00AD0BB2"/>
    <w:rsid w:val="00AD275A"/>
    <w:rsid w:val="00AD4B26"/>
    <w:rsid w:val="00AD4C6C"/>
    <w:rsid w:val="00AD57AB"/>
    <w:rsid w:val="00AD5C02"/>
    <w:rsid w:val="00AD6136"/>
    <w:rsid w:val="00AD6A42"/>
    <w:rsid w:val="00AD77A4"/>
    <w:rsid w:val="00AE05B5"/>
    <w:rsid w:val="00AE1795"/>
    <w:rsid w:val="00AE222B"/>
    <w:rsid w:val="00AE2DEB"/>
    <w:rsid w:val="00AE2E1A"/>
    <w:rsid w:val="00AE3336"/>
    <w:rsid w:val="00AE3C83"/>
    <w:rsid w:val="00AE3FE6"/>
    <w:rsid w:val="00AE4A95"/>
    <w:rsid w:val="00AE4B0A"/>
    <w:rsid w:val="00AE5E20"/>
    <w:rsid w:val="00AE61E3"/>
    <w:rsid w:val="00AE62B0"/>
    <w:rsid w:val="00AE6546"/>
    <w:rsid w:val="00AE6E81"/>
    <w:rsid w:val="00AE79BE"/>
    <w:rsid w:val="00AF031C"/>
    <w:rsid w:val="00AF0AF7"/>
    <w:rsid w:val="00AF0CDC"/>
    <w:rsid w:val="00AF1E35"/>
    <w:rsid w:val="00AF29C3"/>
    <w:rsid w:val="00AF3491"/>
    <w:rsid w:val="00AF367B"/>
    <w:rsid w:val="00AF3889"/>
    <w:rsid w:val="00AF4E5E"/>
    <w:rsid w:val="00AF6BC1"/>
    <w:rsid w:val="00AF6F1C"/>
    <w:rsid w:val="00B00C8E"/>
    <w:rsid w:val="00B01045"/>
    <w:rsid w:val="00B01C3F"/>
    <w:rsid w:val="00B01F68"/>
    <w:rsid w:val="00B025E0"/>
    <w:rsid w:val="00B033FE"/>
    <w:rsid w:val="00B03FE6"/>
    <w:rsid w:val="00B046DA"/>
    <w:rsid w:val="00B10829"/>
    <w:rsid w:val="00B1349C"/>
    <w:rsid w:val="00B149F4"/>
    <w:rsid w:val="00B15143"/>
    <w:rsid w:val="00B15C48"/>
    <w:rsid w:val="00B16C39"/>
    <w:rsid w:val="00B1775D"/>
    <w:rsid w:val="00B17F37"/>
    <w:rsid w:val="00B20A9E"/>
    <w:rsid w:val="00B2124E"/>
    <w:rsid w:val="00B21EAB"/>
    <w:rsid w:val="00B24FCB"/>
    <w:rsid w:val="00B254FB"/>
    <w:rsid w:val="00B26942"/>
    <w:rsid w:val="00B26B78"/>
    <w:rsid w:val="00B273C8"/>
    <w:rsid w:val="00B27AF4"/>
    <w:rsid w:val="00B3049D"/>
    <w:rsid w:val="00B316F7"/>
    <w:rsid w:val="00B3170C"/>
    <w:rsid w:val="00B31952"/>
    <w:rsid w:val="00B31E2A"/>
    <w:rsid w:val="00B32243"/>
    <w:rsid w:val="00B32AC9"/>
    <w:rsid w:val="00B32DA2"/>
    <w:rsid w:val="00B33209"/>
    <w:rsid w:val="00B33607"/>
    <w:rsid w:val="00B336E1"/>
    <w:rsid w:val="00B34DBB"/>
    <w:rsid w:val="00B354AD"/>
    <w:rsid w:val="00B35BBB"/>
    <w:rsid w:val="00B360AB"/>
    <w:rsid w:val="00B3610F"/>
    <w:rsid w:val="00B36DF9"/>
    <w:rsid w:val="00B37C9B"/>
    <w:rsid w:val="00B40D95"/>
    <w:rsid w:val="00B43F90"/>
    <w:rsid w:val="00B44723"/>
    <w:rsid w:val="00B45BA3"/>
    <w:rsid w:val="00B4665A"/>
    <w:rsid w:val="00B46F8C"/>
    <w:rsid w:val="00B47244"/>
    <w:rsid w:val="00B47B63"/>
    <w:rsid w:val="00B50A6C"/>
    <w:rsid w:val="00B50D2C"/>
    <w:rsid w:val="00B5188C"/>
    <w:rsid w:val="00B518D2"/>
    <w:rsid w:val="00B52A09"/>
    <w:rsid w:val="00B53BEE"/>
    <w:rsid w:val="00B5421C"/>
    <w:rsid w:val="00B55507"/>
    <w:rsid w:val="00B55C84"/>
    <w:rsid w:val="00B55D51"/>
    <w:rsid w:val="00B56389"/>
    <w:rsid w:val="00B56526"/>
    <w:rsid w:val="00B57B81"/>
    <w:rsid w:val="00B57D83"/>
    <w:rsid w:val="00B60594"/>
    <w:rsid w:val="00B61812"/>
    <w:rsid w:val="00B619A7"/>
    <w:rsid w:val="00B626F4"/>
    <w:rsid w:val="00B6500F"/>
    <w:rsid w:val="00B6542C"/>
    <w:rsid w:val="00B65720"/>
    <w:rsid w:val="00B663BC"/>
    <w:rsid w:val="00B6696C"/>
    <w:rsid w:val="00B67551"/>
    <w:rsid w:val="00B70459"/>
    <w:rsid w:val="00B7047B"/>
    <w:rsid w:val="00B70EC9"/>
    <w:rsid w:val="00B7110D"/>
    <w:rsid w:val="00B71A51"/>
    <w:rsid w:val="00B71D5B"/>
    <w:rsid w:val="00B71FD2"/>
    <w:rsid w:val="00B72533"/>
    <w:rsid w:val="00B777A7"/>
    <w:rsid w:val="00B77ABC"/>
    <w:rsid w:val="00B80B6D"/>
    <w:rsid w:val="00B80C0D"/>
    <w:rsid w:val="00B813A3"/>
    <w:rsid w:val="00B83828"/>
    <w:rsid w:val="00B83A9D"/>
    <w:rsid w:val="00B83DAC"/>
    <w:rsid w:val="00B848F0"/>
    <w:rsid w:val="00B84B2E"/>
    <w:rsid w:val="00B84B58"/>
    <w:rsid w:val="00B84CC3"/>
    <w:rsid w:val="00B86B3D"/>
    <w:rsid w:val="00B86D26"/>
    <w:rsid w:val="00B86FDD"/>
    <w:rsid w:val="00B920D2"/>
    <w:rsid w:val="00B92DB4"/>
    <w:rsid w:val="00B93AA1"/>
    <w:rsid w:val="00B9504F"/>
    <w:rsid w:val="00B9517C"/>
    <w:rsid w:val="00B96CE2"/>
    <w:rsid w:val="00BA1E26"/>
    <w:rsid w:val="00BA2063"/>
    <w:rsid w:val="00BA2D74"/>
    <w:rsid w:val="00BA3A1E"/>
    <w:rsid w:val="00BA443A"/>
    <w:rsid w:val="00BA4954"/>
    <w:rsid w:val="00BA5A25"/>
    <w:rsid w:val="00BA5E05"/>
    <w:rsid w:val="00BA6128"/>
    <w:rsid w:val="00BA64EB"/>
    <w:rsid w:val="00BA6534"/>
    <w:rsid w:val="00BA6819"/>
    <w:rsid w:val="00BA6AFC"/>
    <w:rsid w:val="00BA7C9E"/>
    <w:rsid w:val="00BB0311"/>
    <w:rsid w:val="00BB11A4"/>
    <w:rsid w:val="00BB22DF"/>
    <w:rsid w:val="00BB2945"/>
    <w:rsid w:val="00BB2AAC"/>
    <w:rsid w:val="00BB32BE"/>
    <w:rsid w:val="00BB4558"/>
    <w:rsid w:val="00BB490B"/>
    <w:rsid w:val="00BB495B"/>
    <w:rsid w:val="00BB4F44"/>
    <w:rsid w:val="00BB555D"/>
    <w:rsid w:val="00BB58B3"/>
    <w:rsid w:val="00BB75B3"/>
    <w:rsid w:val="00BB7759"/>
    <w:rsid w:val="00BC0CF2"/>
    <w:rsid w:val="00BC12E8"/>
    <w:rsid w:val="00BC1BAF"/>
    <w:rsid w:val="00BC3ACE"/>
    <w:rsid w:val="00BC3C66"/>
    <w:rsid w:val="00BC53C6"/>
    <w:rsid w:val="00BC56FC"/>
    <w:rsid w:val="00BC5D9A"/>
    <w:rsid w:val="00BC5FDA"/>
    <w:rsid w:val="00BC7086"/>
    <w:rsid w:val="00BC7591"/>
    <w:rsid w:val="00BC7A38"/>
    <w:rsid w:val="00BD05B4"/>
    <w:rsid w:val="00BD195F"/>
    <w:rsid w:val="00BD26FD"/>
    <w:rsid w:val="00BD3C16"/>
    <w:rsid w:val="00BD430E"/>
    <w:rsid w:val="00BD4613"/>
    <w:rsid w:val="00BD49F0"/>
    <w:rsid w:val="00BD501D"/>
    <w:rsid w:val="00BD570E"/>
    <w:rsid w:val="00BD6261"/>
    <w:rsid w:val="00BE031E"/>
    <w:rsid w:val="00BE1502"/>
    <w:rsid w:val="00BE205B"/>
    <w:rsid w:val="00BE2401"/>
    <w:rsid w:val="00BE2E20"/>
    <w:rsid w:val="00BE307E"/>
    <w:rsid w:val="00BE31B9"/>
    <w:rsid w:val="00BE3A73"/>
    <w:rsid w:val="00BE45E2"/>
    <w:rsid w:val="00BE4D42"/>
    <w:rsid w:val="00BE54FC"/>
    <w:rsid w:val="00BE5A61"/>
    <w:rsid w:val="00BE6EB2"/>
    <w:rsid w:val="00BF1065"/>
    <w:rsid w:val="00BF10A1"/>
    <w:rsid w:val="00BF1779"/>
    <w:rsid w:val="00BF1A1B"/>
    <w:rsid w:val="00BF1BFD"/>
    <w:rsid w:val="00BF2D14"/>
    <w:rsid w:val="00BF3570"/>
    <w:rsid w:val="00BF3B96"/>
    <w:rsid w:val="00BF4647"/>
    <w:rsid w:val="00BF4F8C"/>
    <w:rsid w:val="00BF524B"/>
    <w:rsid w:val="00BF6AEA"/>
    <w:rsid w:val="00C00776"/>
    <w:rsid w:val="00C00C1A"/>
    <w:rsid w:val="00C00DFE"/>
    <w:rsid w:val="00C01D6E"/>
    <w:rsid w:val="00C0200D"/>
    <w:rsid w:val="00C02121"/>
    <w:rsid w:val="00C0221A"/>
    <w:rsid w:val="00C02516"/>
    <w:rsid w:val="00C0464D"/>
    <w:rsid w:val="00C05075"/>
    <w:rsid w:val="00C0571B"/>
    <w:rsid w:val="00C05871"/>
    <w:rsid w:val="00C07015"/>
    <w:rsid w:val="00C10B04"/>
    <w:rsid w:val="00C1125F"/>
    <w:rsid w:val="00C12815"/>
    <w:rsid w:val="00C132C0"/>
    <w:rsid w:val="00C13C0C"/>
    <w:rsid w:val="00C14F08"/>
    <w:rsid w:val="00C15105"/>
    <w:rsid w:val="00C151CD"/>
    <w:rsid w:val="00C15E55"/>
    <w:rsid w:val="00C17025"/>
    <w:rsid w:val="00C17923"/>
    <w:rsid w:val="00C2018E"/>
    <w:rsid w:val="00C21052"/>
    <w:rsid w:val="00C219E3"/>
    <w:rsid w:val="00C21C07"/>
    <w:rsid w:val="00C22824"/>
    <w:rsid w:val="00C23916"/>
    <w:rsid w:val="00C23B34"/>
    <w:rsid w:val="00C26839"/>
    <w:rsid w:val="00C31447"/>
    <w:rsid w:val="00C32282"/>
    <w:rsid w:val="00C323E9"/>
    <w:rsid w:val="00C32CC7"/>
    <w:rsid w:val="00C333BF"/>
    <w:rsid w:val="00C33D06"/>
    <w:rsid w:val="00C35D17"/>
    <w:rsid w:val="00C35D52"/>
    <w:rsid w:val="00C376AE"/>
    <w:rsid w:val="00C40C0C"/>
    <w:rsid w:val="00C40E95"/>
    <w:rsid w:val="00C413FE"/>
    <w:rsid w:val="00C4146E"/>
    <w:rsid w:val="00C420AE"/>
    <w:rsid w:val="00C42A87"/>
    <w:rsid w:val="00C4335D"/>
    <w:rsid w:val="00C433F9"/>
    <w:rsid w:val="00C44700"/>
    <w:rsid w:val="00C44ABF"/>
    <w:rsid w:val="00C45A87"/>
    <w:rsid w:val="00C461F1"/>
    <w:rsid w:val="00C4636E"/>
    <w:rsid w:val="00C463E5"/>
    <w:rsid w:val="00C4650E"/>
    <w:rsid w:val="00C470FD"/>
    <w:rsid w:val="00C471BC"/>
    <w:rsid w:val="00C471E5"/>
    <w:rsid w:val="00C47339"/>
    <w:rsid w:val="00C473C1"/>
    <w:rsid w:val="00C473C3"/>
    <w:rsid w:val="00C47667"/>
    <w:rsid w:val="00C500A4"/>
    <w:rsid w:val="00C501A3"/>
    <w:rsid w:val="00C52D7C"/>
    <w:rsid w:val="00C52DC4"/>
    <w:rsid w:val="00C540CF"/>
    <w:rsid w:val="00C54788"/>
    <w:rsid w:val="00C57A6A"/>
    <w:rsid w:val="00C616AA"/>
    <w:rsid w:val="00C6204B"/>
    <w:rsid w:val="00C6447B"/>
    <w:rsid w:val="00C65BD0"/>
    <w:rsid w:val="00C66165"/>
    <w:rsid w:val="00C6636B"/>
    <w:rsid w:val="00C678A9"/>
    <w:rsid w:val="00C67C0E"/>
    <w:rsid w:val="00C711D1"/>
    <w:rsid w:val="00C7235D"/>
    <w:rsid w:val="00C7323F"/>
    <w:rsid w:val="00C73AAA"/>
    <w:rsid w:val="00C750AA"/>
    <w:rsid w:val="00C757AC"/>
    <w:rsid w:val="00C75973"/>
    <w:rsid w:val="00C76E62"/>
    <w:rsid w:val="00C77317"/>
    <w:rsid w:val="00C80DD4"/>
    <w:rsid w:val="00C8187A"/>
    <w:rsid w:val="00C81AAD"/>
    <w:rsid w:val="00C8249F"/>
    <w:rsid w:val="00C8336F"/>
    <w:rsid w:val="00C83E76"/>
    <w:rsid w:val="00C842B9"/>
    <w:rsid w:val="00C8459E"/>
    <w:rsid w:val="00C84BF5"/>
    <w:rsid w:val="00C85BB5"/>
    <w:rsid w:val="00C85E68"/>
    <w:rsid w:val="00C86428"/>
    <w:rsid w:val="00C86776"/>
    <w:rsid w:val="00C87962"/>
    <w:rsid w:val="00C931AC"/>
    <w:rsid w:val="00C935D6"/>
    <w:rsid w:val="00C936FF"/>
    <w:rsid w:val="00C949A7"/>
    <w:rsid w:val="00C9521F"/>
    <w:rsid w:val="00C95B76"/>
    <w:rsid w:val="00C95F37"/>
    <w:rsid w:val="00C96B80"/>
    <w:rsid w:val="00C97154"/>
    <w:rsid w:val="00CA10DF"/>
    <w:rsid w:val="00CA2D54"/>
    <w:rsid w:val="00CA4623"/>
    <w:rsid w:val="00CA4D95"/>
    <w:rsid w:val="00CA5B96"/>
    <w:rsid w:val="00CA5CA8"/>
    <w:rsid w:val="00CA6579"/>
    <w:rsid w:val="00CA65F7"/>
    <w:rsid w:val="00CA6F6A"/>
    <w:rsid w:val="00CB0678"/>
    <w:rsid w:val="00CB2E20"/>
    <w:rsid w:val="00CB41DB"/>
    <w:rsid w:val="00CB4B7C"/>
    <w:rsid w:val="00CB5178"/>
    <w:rsid w:val="00CB51F2"/>
    <w:rsid w:val="00CB5C6F"/>
    <w:rsid w:val="00CB62D5"/>
    <w:rsid w:val="00CB7F66"/>
    <w:rsid w:val="00CC05CF"/>
    <w:rsid w:val="00CC09F8"/>
    <w:rsid w:val="00CC0A1A"/>
    <w:rsid w:val="00CC0F98"/>
    <w:rsid w:val="00CC1938"/>
    <w:rsid w:val="00CC1D0D"/>
    <w:rsid w:val="00CC2305"/>
    <w:rsid w:val="00CC28A2"/>
    <w:rsid w:val="00CC2FA1"/>
    <w:rsid w:val="00CC323A"/>
    <w:rsid w:val="00CC37A3"/>
    <w:rsid w:val="00CC3F7B"/>
    <w:rsid w:val="00CC472D"/>
    <w:rsid w:val="00CC577C"/>
    <w:rsid w:val="00CC5F6B"/>
    <w:rsid w:val="00CC75B3"/>
    <w:rsid w:val="00CC7C15"/>
    <w:rsid w:val="00CD0809"/>
    <w:rsid w:val="00CD0B40"/>
    <w:rsid w:val="00CD19C5"/>
    <w:rsid w:val="00CD2412"/>
    <w:rsid w:val="00CD33E4"/>
    <w:rsid w:val="00CD3884"/>
    <w:rsid w:val="00CD4707"/>
    <w:rsid w:val="00CD482A"/>
    <w:rsid w:val="00CD48CD"/>
    <w:rsid w:val="00CD5C3B"/>
    <w:rsid w:val="00CD5FF5"/>
    <w:rsid w:val="00CD67F0"/>
    <w:rsid w:val="00CD6E3C"/>
    <w:rsid w:val="00CE049B"/>
    <w:rsid w:val="00CE1D60"/>
    <w:rsid w:val="00CE2640"/>
    <w:rsid w:val="00CE3DA0"/>
    <w:rsid w:val="00CE4AC3"/>
    <w:rsid w:val="00CE514D"/>
    <w:rsid w:val="00CE5D60"/>
    <w:rsid w:val="00CE66B7"/>
    <w:rsid w:val="00CE739C"/>
    <w:rsid w:val="00CE782F"/>
    <w:rsid w:val="00CF003F"/>
    <w:rsid w:val="00CF0F04"/>
    <w:rsid w:val="00CF1871"/>
    <w:rsid w:val="00CF1D2B"/>
    <w:rsid w:val="00CF435C"/>
    <w:rsid w:val="00CF498A"/>
    <w:rsid w:val="00CF5C22"/>
    <w:rsid w:val="00CF720E"/>
    <w:rsid w:val="00D001F9"/>
    <w:rsid w:val="00D01A88"/>
    <w:rsid w:val="00D02342"/>
    <w:rsid w:val="00D02605"/>
    <w:rsid w:val="00D02A04"/>
    <w:rsid w:val="00D033DC"/>
    <w:rsid w:val="00D03A4C"/>
    <w:rsid w:val="00D03E07"/>
    <w:rsid w:val="00D04218"/>
    <w:rsid w:val="00D046BC"/>
    <w:rsid w:val="00D04B2D"/>
    <w:rsid w:val="00D04B51"/>
    <w:rsid w:val="00D05C68"/>
    <w:rsid w:val="00D06E55"/>
    <w:rsid w:val="00D10C92"/>
    <w:rsid w:val="00D12D94"/>
    <w:rsid w:val="00D136BB"/>
    <w:rsid w:val="00D13FC2"/>
    <w:rsid w:val="00D1493C"/>
    <w:rsid w:val="00D15197"/>
    <w:rsid w:val="00D15D32"/>
    <w:rsid w:val="00D16282"/>
    <w:rsid w:val="00D1644A"/>
    <w:rsid w:val="00D16736"/>
    <w:rsid w:val="00D206D2"/>
    <w:rsid w:val="00D2098B"/>
    <w:rsid w:val="00D20C0A"/>
    <w:rsid w:val="00D21909"/>
    <w:rsid w:val="00D23556"/>
    <w:rsid w:val="00D23983"/>
    <w:rsid w:val="00D250AB"/>
    <w:rsid w:val="00D25C12"/>
    <w:rsid w:val="00D25FAB"/>
    <w:rsid w:val="00D30492"/>
    <w:rsid w:val="00D311D1"/>
    <w:rsid w:val="00D312F5"/>
    <w:rsid w:val="00D31AF0"/>
    <w:rsid w:val="00D33ABC"/>
    <w:rsid w:val="00D34974"/>
    <w:rsid w:val="00D35D56"/>
    <w:rsid w:val="00D3626F"/>
    <w:rsid w:val="00D363FA"/>
    <w:rsid w:val="00D364A9"/>
    <w:rsid w:val="00D3694F"/>
    <w:rsid w:val="00D36EBB"/>
    <w:rsid w:val="00D409F8"/>
    <w:rsid w:val="00D41352"/>
    <w:rsid w:val="00D419C8"/>
    <w:rsid w:val="00D41C7C"/>
    <w:rsid w:val="00D4254C"/>
    <w:rsid w:val="00D430B2"/>
    <w:rsid w:val="00D43237"/>
    <w:rsid w:val="00D4328D"/>
    <w:rsid w:val="00D450E6"/>
    <w:rsid w:val="00D451F1"/>
    <w:rsid w:val="00D45809"/>
    <w:rsid w:val="00D45B0F"/>
    <w:rsid w:val="00D460EF"/>
    <w:rsid w:val="00D461EC"/>
    <w:rsid w:val="00D47204"/>
    <w:rsid w:val="00D475A6"/>
    <w:rsid w:val="00D47A16"/>
    <w:rsid w:val="00D47F7F"/>
    <w:rsid w:val="00D50381"/>
    <w:rsid w:val="00D51B6E"/>
    <w:rsid w:val="00D52F54"/>
    <w:rsid w:val="00D555D4"/>
    <w:rsid w:val="00D576E8"/>
    <w:rsid w:val="00D57CE3"/>
    <w:rsid w:val="00D60526"/>
    <w:rsid w:val="00D6090A"/>
    <w:rsid w:val="00D60D07"/>
    <w:rsid w:val="00D61663"/>
    <w:rsid w:val="00D621F6"/>
    <w:rsid w:val="00D63129"/>
    <w:rsid w:val="00D638D4"/>
    <w:rsid w:val="00D63D61"/>
    <w:rsid w:val="00D64031"/>
    <w:rsid w:val="00D64529"/>
    <w:rsid w:val="00D64545"/>
    <w:rsid w:val="00D64581"/>
    <w:rsid w:val="00D6486D"/>
    <w:rsid w:val="00D649C2"/>
    <w:rsid w:val="00D64D1A"/>
    <w:rsid w:val="00D653C4"/>
    <w:rsid w:val="00D66079"/>
    <w:rsid w:val="00D661B5"/>
    <w:rsid w:val="00D661BC"/>
    <w:rsid w:val="00D6678B"/>
    <w:rsid w:val="00D7005E"/>
    <w:rsid w:val="00D7044C"/>
    <w:rsid w:val="00D70E08"/>
    <w:rsid w:val="00D738D5"/>
    <w:rsid w:val="00D74C6F"/>
    <w:rsid w:val="00D75285"/>
    <w:rsid w:val="00D76009"/>
    <w:rsid w:val="00D76C2C"/>
    <w:rsid w:val="00D804C4"/>
    <w:rsid w:val="00D8057B"/>
    <w:rsid w:val="00D807D4"/>
    <w:rsid w:val="00D82E14"/>
    <w:rsid w:val="00D82E7B"/>
    <w:rsid w:val="00D84657"/>
    <w:rsid w:val="00D84D03"/>
    <w:rsid w:val="00D85CDA"/>
    <w:rsid w:val="00D8604D"/>
    <w:rsid w:val="00D87CF3"/>
    <w:rsid w:val="00D907C0"/>
    <w:rsid w:val="00D9144F"/>
    <w:rsid w:val="00D91AB5"/>
    <w:rsid w:val="00D91FAE"/>
    <w:rsid w:val="00D92DC8"/>
    <w:rsid w:val="00D93159"/>
    <w:rsid w:val="00D9507C"/>
    <w:rsid w:val="00D951E6"/>
    <w:rsid w:val="00D96A3E"/>
    <w:rsid w:val="00D97162"/>
    <w:rsid w:val="00D971E8"/>
    <w:rsid w:val="00D97DE1"/>
    <w:rsid w:val="00DA09E1"/>
    <w:rsid w:val="00DA110E"/>
    <w:rsid w:val="00DA1E41"/>
    <w:rsid w:val="00DA20B3"/>
    <w:rsid w:val="00DA20D1"/>
    <w:rsid w:val="00DA29BF"/>
    <w:rsid w:val="00DA2B52"/>
    <w:rsid w:val="00DA2BD7"/>
    <w:rsid w:val="00DA3A42"/>
    <w:rsid w:val="00DA4211"/>
    <w:rsid w:val="00DA44FA"/>
    <w:rsid w:val="00DA6787"/>
    <w:rsid w:val="00DA6AF6"/>
    <w:rsid w:val="00DA71B9"/>
    <w:rsid w:val="00DB04A4"/>
    <w:rsid w:val="00DB0B1E"/>
    <w:rsid w:val="00DB1044"/>
    <w:rsid w:val="00DB148C"/>
    <w:rsid w:val="00DB1ADF"/>
    <w:rsid w:val="00DB1C9C"/>
    <w:rsid w:val="00DB2A58"/>
    <w:rsid w:val="00DB37AF"/>
    <w:rsid w:val="00DB417A"/>
    <w:rsid w:val="00DB43DE"/>
    <w:rsid w:val="00DB5494"/>
    <w:rsid w:val="00DB56F7"/>
    <w:rsid w:val="00DB5ED8"/>
    <w:rsid w:val="00DB701B"/>
    <w:rsid w:val="00DB7239"/>
    <w:rsid w:val="00DB7BBD"/>
    <w:rsid w:val="00DC000E"/>
    <w:rsid w:val="00DC02C7"/>
    <w:rsid w:val="00DC0AF7"/>
    <w:rsid w:val="00DC0FC5"/>
    <w:rsid w:val="00DC1626"/>
    <w:rsid w:val="00DC16AA"/>
    <w:rsid w:val="00DC2302"/>
    <w:rsid w:val="00DC369B"/>
    <w:rsid w:val="00DC5291"/>
    <w:rsid w:val="00DC5386"/>
    <w:rsid w:val="00DC569F"/>
    <w:rsid w:val="00DC62B0"/>
    <w:rsid w:val="00DC637E"/>
    <w:rsid w:val="00DC7AD9"/>
    <w:rsid w:val="00DD017A"/>
    <w:rsid w:val="00DD1692"/>
    <w:rsid w:val="00DD1C35"/>
    <w:rsid w:val="00DD1FA0"/>
    <w:rsid w:val="00DD2763"/>
    <w:rsid w:val="00DD2BFC"/>
    <w:rsid w:val="00DD3984"/>
    <w:rsid w:val="00DD46F4"/>
    <w:rsid w:val="00DD5523"/>
    <w:rsid w:val="00DE016B"/>
    <w:rsid w:val="00DE0D58"/>
    <w:rsid w:val="00DE161B"/>
    <w:rsid w:val="00DE19FA"/>
    <w:rsid w:val="00DE2252"/>
    <w:rsid w:val="00DE237F"/>
    <w:rsid w:val="00DE281D"/>
    <w:rsid w:val="00DE2CBA"/>
    <w:rsid w:val="00DE2F93"/>
    <w:rsid w:val="00DE3813"/>
    <w:rsid w:val="00DE413C"/>
    <w:rsid w:val="00DE569D"/>
    <w:rsid w:val="00DE608B"/>
    <w:rsid w:val="00DE635E"/>
    <w:rsid w:val="00DE7485"/>
    <w:rsid w:val="00DF0E39"/>
    <w:rsid w:val="00DF13B6"/>
    <w:rsid w:val="00DF180D"/>
    <w:rsid w:val="00DF35CA"/>
    <w:rsid w:val="00DF392C"/>
    <w:rsid w:val="00DF3FFD"/>
    <w:rsid w:val="00DF4C79"/>
    <w:rsid w:val="00DF57F6"/>
    <w:rsid w:val="00DF6547"/>
    <w:rsid w:val="00DF6844"/>
    <w:rsid w:val="00E01431"/>
    <w:rsid w:val="00E026FA"/>
    <w:rsid w:val="00E029A9"/>
    <w:rsid w:val="00E02F0E"/>
    <w:rsid w:val="00E03033"/>
    <w:rsid w:val="00E035EB"/>
    <w:rsid w:val="00E038EA"/>
    <w:rsid w:val="00E03AFA"/>
    <w:rsid w:val="00E03F39"/>
    <w:rsid w:val="00E04856"/>
    <w:rsid w:val="00E05A0F"/>
    <w:rsid w:val="00E060AD"/>
    <w:rsid w:val="00E067FB"/>
    <w:rsid w:val="00E06D8A"/>
    <w:rsid w:val="00E077C1"/>
    <w:rsid w:val="00E077C6"/>
    <w:rsid w:val="00E106A8"/>
    <w:rsid w:val="00E109C3"/>
    <w:rsid w:val="00E1145D"/>
    <w:rsid w:val="00E11EE9"/>
    <w:rsid w:val="00E12150"/>
    <w:rsid w:val="00E12250"/>
    <w:rsid w:val="00E12412"/>
    <w:rsid w:val="00E12BBA"/>
    <w:rsid w:val="00E13259"/>
    <w:rsid w:val="00E1335E"/>
    <w:rsid w:val="00E13675"/>
    <w:rsid w:val="00E1490E"/>
    <w:rsid w:val="00E15BBE"/>
    <w:rsid w:val="00E15DBF"/>
    <w:rsid w:val="00E15EA3"/>
    <w:rsid w:val="00E166F7"/>
    <w:rsid w:val="00E168AC"/>
    <w:rsid w:val="00E169A7"/>
    <w:rsid w:val="00E170A5"/>
    <w:rsid w:val="00E1753A"/>
    <w:rsid w:val="00E17EC2"/>
    <w:rsid w:val="00E20375"/>
    <w:rsid w:val="00E20867"/>
    <w:rsid w:val="00E21381"/>
    <w:rsid w:val="00E216C7"/>
    <w:rsid w:val="00E22D10"/>
    <w:rsid w:val="00E23CE1"/>
    <w:rsid w:val="00E240B1"/>
    <w:rsid w:val="00E24958"/>
    <w:rsid w:val="00E25DE2"/>
    <w:rsid w:val="00E26251"/>
    <w:rsid w:val="00E26986"/>
    <w:rsid w:val="00E27257"/>
    <w:rsid w:val="00E2789D"/>
    <w:rsid w:val="00E27E5F"/>
    <w:rsid w:val="00E3054D"/>
    <w:rsid w:val="00E30C8B"/>
    <w:rsid w:val="00E30EEE"/>
    <w:rsid w:val="00E320C2"/>
    <w:rsid w:val="00E32424"/>
    <w:rsid w:val="00E334AA"/>
    <w:rsid w:val="00E33566"/>
    <w:rsid w:val="00E33A19"/>
    <w:rsid w:val="00E33CD6"/>
    <w:rsid w:val="00E366F7"/>
    <w:rsid w:val="00E36E06"/>
    <w:rsid w:val="00E36F89"/>
    <w:rsid w:val="00E37311"/>
    <w:rsid w:val="00E3762D"/>
    <w:rsid w:val="00E37647"/>
    <w:rsid w:val="00E400BA"/>
    <w:rsid w:val="00E403A9"/>
    <w:rsid w:val="00E40698"/>
    <w:rsid w:val="00E406A5"/>
    <w:rsid w:val="00E428A0"/>
    <w:rsid w:val="00E42B62"/>
    <w:rsid w:val="00E436D9"/>
    <w:rsid w:val="00E43ADC"/>
    <w:rsid w:val="00E44D0B"/>
    <w:rsid w:val="00E45ECA"/>
    <w:rsid w:val="00E46568"/>
    <w:rsid w:val="00E46790"/>
    <w:rsid w:val="00E46AD7"/>
    <w:rsid w:val="00E50596"/>
    <w:rsid w:val="00E5101B"/>
    <w:rsid w:val="00E512AD"/>
    <w:rsid w:val="00E512ED"/>
    <w:rsid w:val="00E51AFD"/>
    <w:rsid w:val="00E51DDA"/>
    <w:rsid w:val="00E51DFF"/>
    <w:rsid w:val="00E52937"/>
    <w:rsid w:val="00E55AA0"/>
    <w:rsid w:val="00E55E03"/>
    <w:rsid w:val="00E568FD"/>
    <w:rsid w:val="00E57679"/>
    <w:rsid w:val="00E579DA"/>
    <w:rsid w:val="00E606ED"/>
    <w:rsid w:val="00E608D9"/>
    <w:rsid w:val="00E60F17"/>
    <w:rsid w:val="00E62C3C"/>
    <w:rsid w:val="00E62F96"/>
    <w:rsid w:val="00E63437"/>
    <w:rsid w:val="00E6357C"/>
    <w:rsid w:val="00E6419F"/>
    <w:rsid w:val="00E643AD"/>
    <w:rsid w:val="00E65177"/>
    <w:rsid w:val="00E65C62"/>
    <w:rsid w:val="00E6637B"/>
    <w:rsid w:val="00E66D3A"/>
    <w:rsid w:val="00E70FB8"/>
    <w:rsid w:val="00E7157B"/>
    <w:rsid w:val="00E7166F"/>
    <w:rsid w:val="00E72EA9"/>
    <w:rsid w:val="00E74488"/>
    <w:rsid w:val="00E74690"/>
    <w:rsid w:val="00E749E3"/>
    <w:rsid w:val="00E74B51"/>
    <w:rsid w:val="00E74DFB"/>
    <w:rsid w:val="00E76513"/>
    <w:rsid w:val="00E76515"/>
    <w:rsid w:val="00E7660E"/>
    <w:rsid w:val="00E77241"/>
    <w:rsid w:val="00E7795E"/>
    <w:rsid w:val="00E77A39"/>
    <w:rsid w:val="00E8099E"/>
    <w:rsid w:val="00E82F59"/>
    <w:rsid w:val="00E83428"/>
    <w:rsid w:val="00E83465"/>
    <w:rsid w:val="00E83BF6"/>
    <w:rsid w:val="00E84A2B"/>
    <w:rsid w:val="00E860C3"/>
    <w:rsid w:val="00E86146"/>
    <w:rsid w:val="00E861DA"/>
    <w:rsid w:val="00E86415"/>
    <w:rsid w:val="00E917D6"/>
    <w:rsid w:val="00E930AF"/>
    <w:rsid w:val="00E93A64"/>
    <w:rsid w:val="00E93D14"/>
    <w:rsid w:val="00E956D5"/>
    <w:rsid w:val="00E96839"/>
    <w:rsid w:val="00E96FA7"/>
    <w:rsid w:val="00E97223"/>
    <w:rsid w:val="00EA0111"/>
    <w:rsid w:val="00EA096C"/>
    <w:rsid w:val="00EA1CFF"/>
    <w:rsid w:val="00EA2C43"/>
    <w:rsid w:val="00EA2FC2"/>
    <w:rsid w:val="00EA32AF"/>
    <w:rsid w:val="00EA3CC5"/>
    <w:rsid w:val="00EA46DA"/>
    <w:rsid w:val="00EA47B5"/>
    <w:rsid w:val="00EA4B6A"/>
    <w:rsid w:val="00EA4CE2"/>
    <w:rsid w:val="00EA4E38"/>
    <w:rsid w:val="00EA56C3"/>
    <w:rsid w:val="00EA5D38"/>
    <w:rsid w:val="00EA6125"/>
    <w:rsid w:val="00EA67A6"/>
    <w:rsid w:val="00EA6825"/>
    <w:rsid w:val="00EA762A"/>
    <w:rsid w:val="00EB06DD"/>
    <w:rsid w:val="00EB0C7F"/>
    <w:rsid w:val="00EB2DC9"/>
    <w:rsid w:val="00EB6939"/>
    <w:rsid w:val="00EB6F18"/>
    <w:rsid w:val="00EB767A"/>
    <w:rsid w:val="00EB7789"/>
    <w:rsid w:val="00EB7B75"/>
    <w:rsid w:val="00EB7DC5"/>
    <w:rsid w:val="00EC0764"/>
    <w:rsid w:val="00EC079B"/>
    <w:rsid w:val="00EC0944"/>
    <w:rsid w:val="00EC10E9"/>
    <w:rsid w:val="00EC3302"/>
    <w:rsid w:val="00EC4713"/>
    <w:rsid w:val="00EC4A4B"/>
    <w:rsid w:val="00EC5076"/>
    <w:rsid w:val="00EC5D84"/>
    <w:rsid w:val="00EC5DB9"/>
    <w:rsid w:val="00EC607D"/>
    <w:rsid w:val="00EC7309"/>
    <w:rsid w:val="00EC7BDB"/>
    <w:rsid w:val="00ED0CE6"/>
    <w:rsid w:val="00ED1400"/>
    <w:rsid w:val="00ED1843"/>
    <w:rsid w:val="00ED1BA9"/>
    <w:rsid w:val="00ED213B"/>
    <w:rsid w:val="00ED364F"/>
    <w:rsid w:val="00ED3B76"/>
    <w:rsid w:val="00ED3FC6"/>
    <w:rsid w:val="00ED418F"/>
    <w:rsid w:val="00ED6EF9"/>
    <w:rsid w:val="00ED7E5F"/>
    <w:rsid w:val="00EE1DD0"/>
    <w:rsid w:val="00EE204C"/>
    <w:rsid w:val="00EE2A65"/>
    <w:rsid w:val="00EE3624"/>
    <w:rsid w:val="00EE3AE5"/>
    <w:rsid w:val="00EE54F9"/>
    <w:rsid w:val="00EE6ACD"/>
    <w:rsid w:val="00EE73D1"/>
    <w:rsid w:val="00EE7DC6"/>
    <w:rsid w:val="00EF0498"/>
    <w:rsid w:val="00EF0884"/>
    <w:rsid w:val="00EF0A64"/>
    <w:rsid w:val="00EF1EC6"/>
    <w:rsid w:val="00EF2422"/>
    <w:rsid w:val="00EF27D6"/>
    <w:rsid w:val="00EF2A3A"/>
    <w:rsid w:val="00EF30B9"/>
    <w:rsid w:val="00EF3362"/>
    <w:rsid w:val="00EF3CDF"/>
    <w:rsid w:val="00EF3FE5"/>
    <w:rsid w:val="00EF47E9"/>
    <w:rsid w:val="00EF61D0"/>
    <w:rsid w:val="00EF6C44"/>
    <w:rsid w:val="00EF6E4D"/>
    <w:rsid w:val="00EF7637"/>
    <w:rsid w:val="00EF7807"/>
    <w:rsid w:val="00EF7DCD"/>
    <w:rsid w:val="00EF7EDC"/>
    <w:rsid w:val="00F00784"/>
    <w:rsid w:val="00F00D40"/>
    <w:rsid w:val="00F00E1F"/>
    <w:rsid w:val="00F01461"/>
    <w:rsid w:val="00F01ACB"/>
    <w:rsid w:val="00F01F60"/>
    <w:rsid w:val="00F025CE"/>
    <w:rsid w:val="00F0302B"/>
    <w:rsid w:val="00F03872"/>
    <w:rsid w:val="00F03D42"/>
    <w:rsid w:val="00F04035"/>
    <w:rsid w:val="00F05BF2"/>
    <w:rsid w:val="00F05D10"/>
    <w:rsid w:val="00F0617A"/>
    <w:rsid w:val="00F069D1"/>
    <w:rsid w:val="00F07725"/>
    <w:rsid w:val="00F1003A"/>
    <w:rsid w:val="00F113A4"/>
    <w:rsid w:val="00F119CC"/>
    <w:rsid w:val="00F12693"/>
    <w:rsid w:val="00F1445B"/>
    <w:rsid w:val="00F14DC2"/>
    <w:rsid w:val="00F14E63"/>
    <w:rsid w:val="00F15525"/>
    <w:rsid w:val="00F230E8"/>
    <w:rsid w:val="00F2320C"/>
    <w:rsid w:val="00F23235"/>
    <w:rsid w:val="00F235E9"/>
    <w:rsid w:val="00F23845"/>
    <w:rsid w:val="00F24B7F"/>
    <w:rsid w:val="00F2613C"/>
    <w:rsid w:val="00F27151"/>
    <w:rsid w:val="00F27418"/>
    <w:rsid w:val="00F27514"/>
    <w:rsid w:val="00F31FDB"/>
    <w:rsid w:val="00F33926"/>
    <w:rsid w:val="00F33B2D"/>
    <w:rsid w:val="00F34272"/>
    <w:rsid w:val="00F35272"/>
    <w:rsid w:val="00F353E2"/>
    <w:rsid w:val="00F3597F"/>
    <w:rsid w:val="00F35EF9"/>
    <w:rsid w:val="00F361F3"/>
    <w:rsid w:val="00F36224"/>
    <w:rsid w:val="00F36BF0"/>
    <w:rsid w:val="00F37660"/>
    <w:rsid w:val="00F37CA7"/>
    <w:rsid w:val="00F41759"/>
    <w:rsid w:val="00F418E4"/>
    <w:rsid w:val="00F419DD"/>
    <w:rsid w:val="00F41C9C"/>
    <w:rsid w:val="00F41FAB"/>
    <w:rsid w:val="00F42003"/>
    <w:rsid w:val="00F42492"/>
    <w:rsid w:val="00F424CE"/>
    <w:rsid w:val="00F42CBD"/>
    <w:rsid w:val="00F43AEB"/>
    <w:rsid w:val="00F4451D"/>
    <w:rsid w:val="00F44E64"/>
    <w:rsid w:val="00F45958"/>
    <w:rsid w:val="00F467CE"/>
    <w:rsid w:val="00F479DB"/>
    <w:rsid w:val="00F47BB9"/>
    <w:rsid w:val="00F47FB8"/>
    <w:rsid w:val="00F50CD9"/>
    <w:rsid w:val="00F512E7"/>
    <w:rsid w:val="00F5133A"/>
    <w:rsid w:val="00F51D0D"/>
    <w:rsid w:val="00F51DCE"/>
    <w:rsid w:val="00F51EE4"/>
    <w:rsid w:val="00F52EA8"/>
    <w:rsid w:val="00F52F97"/>
    <w:rsid w:val="00F530BC"/>
    <w:rsid w:val="00F5334A"/>
    <w:rsid w:val="00F5490A"/>
    <w:rsid w:val="00F54C6B"/>
    <w:rsid w:val="00F54F37"/>
    <w:rsid w:val="00F55AC0"/>
    <w:rsid w:val="00F562DB"/>
    <w:rsid w:val="00F567AA"/>
    <w:rsid w:val="00F57172"/>
    <w:rsid w:val="00F5769F"/>
    <w:rsid w:val="00F60171"/>
    <w:rsid w:val="00F603EF"/>
    <w:rsid w:val="00F6084F"/>
    <w:rsid w:val="00F60B82"/>
    <w:rsid w:val="00F61464"/>
    <w:rsid w:val="00F62808"/>
    <w:rsid w:val="00F63489"/>
    <w:rsid w:val="00F634CD"/>
    <w:rsid w:val="00F64192"/>
    <w:rsid w:val="00F64A6A"/>
    <w:rsid w:val="00F64E5E"/>
    <w:rsid w:val="00F65536"/>
    <w:rsid w:val="00F65660"/>
    <w:rsid w:val="00F65808"/>
    <w:rsid w:val="00F66D7B"/>
    <w:rsid w:val="00F70F7E"/>
    <w:rsid w:val="00F7125D"/>
    <w:rsid w:val="00F713FF"/>
    <w:rsid w:val="00F715BF"/>
    <w:rsid w:val="00F71946"/>
    <w:rsid w:val="00F71A72"/>
    <w:rsid w:val="00F71A96"/>
    <w:rsid w:val="00F72498"/>
    <w:rsid w:val="00F73436"/>
    <w:rsid w:val="00F747A3"/>
    <w:rsid w:val="00F757B7"/>
    <w:rsid w:val="00F75B6B"/>
    <w:rsid w:val="00F76130"/>
    <w:rsid w:val="00F76971"/>
    <w:rsid w:val="00F76A58"/>
    <w:rsid w:val="00F76C98"/>
    <w:rsid w:val="00F76F92"/>
    <w:rsid w:val="00F77883"/>
    <w:rsid w:val="00F8028E"/>
    <w:rsid w:val="00F8056C"/>
    <w:rsid w:val="00F80B09"/>
    <w:rsid w:val="00F81FBF"/>
    <w:rsid w:val="00F82BA1"/>
    <w:rsid w:val="00F83B0E"/>
    <w:rsid w:val="00F85B66"/>
    <w:rsid w:val="00F85B78"/>
    <w:rsid w:val="00F85FFA"/>
    <w:rsid w:val="00F86E45"/>
    <w:rsid w:val="00F87857"/>
    <w:rsid w:val="00F906BE"/>
    <w:rsid w:val="00F90E9C"/>
    <w:rsid w:val="00F915BC"/>
    <w:rsid w:val="00F91D34"/>
    <w:rsid w:val="00F92184"/>
    <w:rsid w:val="00F923E4"/>
    <w:rsid w:val="00F926B1"/>
    <w:rsid w:val="00F927E6"/>
    <w:rsid w:val="00F92E85"/>
    <w:rsid w:val="00F93FD2"/>
    <w:rsid w:val="00F958D0"/>
    <w:rsid w:val="00F959A5"/>
    <w:rsid w:val="00F9664F"/>
    <w:rsid w:val="00F968D0"/>
    <w:rsid w:val="00FA1E71"/>
    <w:rsid w:val="00FA25D7"/>
    <w:rsid w:val="00FA2D6D"/>
    <w:rsid w:val="00FA2FD3"/>
    <w:rsid w:val="00FA3AB5"/>
    <w:rsid w:val="00FA4CB8"/>
    <w:rsid w:val="00FA5BE8"/>
    <w:rsid w:val="00FA7216"/>
    <w:rsid w:val="00FA7898"/>
    <w:rsid w:val="00FA7D4B"/>
    <w:rsid w:val="00FB0A6C"/>
    <w:rsid w:val="00FB0EBF"/>
    <w:rsid w:val="00FB2DBA"/>
    <w:rsid w:val="00FB34B0"/>
    <w:rsid w:val="00FB39C7"/>
    <w:rsid w:val="00FB4FED"/>
    <w:rsid w:val="00FB5CEA"/>
    <w:rsid w:val="00FB6BFE"/>
    <w:rsid w:val="00FC147E"/>
    <w:rsid w:val="00FC177A"/>
    <w:rsid w:val="00FC1FEA"/>
    <w:rsid w:val="00FC239C"/>
    <w:rsid w:val="00FC27D5"/>
    <w:rsid w:val="00FC344C"/>
    <w:rsid w:val="00FC38EA"/>
    <w:rsid w:val="00FC4F6B"/>
    <w:rsid w:val="00FC5D93"/>
    <w:rsid w:val="00FC6043"/>
    <w:rsid w:val="00FC6056"/>
    <w:rsid w:val="00FC6160"/>
    <w:rsid w:val="00FC64B2"/>
    <w:rsid w:val="00FD072E"/>
    <w:rsid w:val="00FD0EFF"/>
    <w:rsid w:val="00FD22F0"/>
    <w:rsid w:val="00FD298B"/>
    <w:rsid w:val="00FD4ADE"/>
    <w:rsid w:val="00FD5766"/>
    <w:rsid w:val="00FD74AE"/>
    <w:rsid w:val="00FD7FD3"/>
    <w:rsid w:val="00FE05B7"/>
    <w:rsid w:val="00FE0EB4"/>
    <w:rsid w:val="00FE1A60"/>
    <w:rsid w:val="00FE1C95"/>
    <w:rsid w:val="00FE24C4"/>
    <w:rsid w:val="00FE2E9B"/>
    <w:rsid w:val="00FE3A46"/>
    <w:rsid w:val="00FE6328"/>
    <w:rsid w:val="00FE6385"/>
    <w:rsid w:val="00FE77C0"/>
    <w:rsid w:val="00FE7FE4"/>
    <w:rsid w:val="00FF0158"/>
    <w:rsid w:val="00FF0F14"/>
    <w:rsid w:val="00FF2654"/>
    <w:rsid w:val="00FF2A5C"/>
    <w:rsid w:val="00FF2DEA"/>
    <w:rsid w:val="00FF390A"/>
    <w:rsid w:val="00FF4CE1"/>
    <w:rsid w:val="00FF51EB"/>
    <w:rsid w:val="00FF5831"/>
    <w:rsid w:val="00FF6BC0"/>
    <w:rsid w:val="00FF76A6"/>
  </w:rsids>
  <m:mathPr>
    <m:mathFont m:val="Cambria Math"/>
    <m:brkBin m:val="before"/>
    <m:brkBinSub m:val="--"/>
    <m:smallFrac/>
    <m:dispDef/>
    <m:lMargin m:val="0"/>
    <m:rMargin m:val="0"/>
    <m:defJc m:val="centerGroup"/>
    <m:wrapIndent m:val="1440"/>
    <m:intLim m:val="subSup"/>
    <m:naryLim m:val="undOvr"/>
  </m:mathPr>
  <w:themeFontLang w:val="en-AU" w:bidi="bn-BD"/>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7410"/>
    <o:shapelayout v:ext="edit">
      <o:idmap v:ext="edit" data="1"/>
      <o:rules v:ext="edit">
        <o:r id="V:Rule41" type="connector" idref="#Straight Arrow Connector 56"/>
        <o:r id="V:Rule42" type="connector" idref="#Straight Arrow Connector 165"/>
        <o:r id="V:Rule43" type="connector" idref="#Straight Arrow Connector 158"/>
        <o:r id="V:Rule44" type="connector" idref="#Straight Arrow Connector 161"/>
        <o:r id="V:Rule45" type="connector" idref="#Straight Arrow Connector 53"/>
        <o:r id="V:Rule46" type="connector" idref="#Straight Arrow Connector 170"/>
        <o:r id="V:Rule47" type="connector" idref="#Straight Arrow Connector 180"/>
        <o:r id="V:Rule48" type="connector" idref="#Straight Arrow Connector 1"/>
        <o:r id="V:Rule49" type="connector" idref="#Straight Arrow Connector 177"/>
        <o:r id="V:Rule50" type="connector" idref="#Straight Arrow Connector 176"/>
        <o:r id="V:Rule51" type="connector" idref="#Straight Arrow Connector 62"/>
        <o:r id="V:Rule52" type="connector" idref="#Straight Arrow Connector 40"/>
        <o:r id="V:Rule53" type="connector" idref="#Straight Arrow Connector 159"/>
        <o:r id="V:Rule54" type="connector" idref="#Straight Arrow Connector 52"/>
        <o:r id="V:Rule55" type="connector" idref="#Straight Arrow Connector 156"/>
        <o:r id="V:Rule56" type="connector" idref="#Straight Arrow Connector 169"/>
        <o:r id="V:Rule57" type="connector" idref="#Straight Arrow Connector 918"/>
        <o:r id="V:Rule58" type="connector" idref="#Straight Arrow Connector 171"/>
        <o:r id="V:Rule59" type="connector" idref="#Straight Arrow Connector 173"/>
        <o:r id="V:Rule60" type="connector" idref="#Straight Arrow Connector 163"/>
        <o:r id="V:Rule61" type="connector" idref="#AutoShape 125"/>
        <o:r id="V:Rule62" type="connector" idref="#Straight Arrow Connector 162"/>
        <o:r id="V:Rule63" type="connector" idref="#Straight Arrow Connector 58"/>
        <o:r id="V:Rule64" type="connector" idref="#Straight Arrow Connector 181"/>
        <o:r id="V:Rule66" type="connector" idref="#Straight Arrow Connector 174"/>
        <o:r id="V:Rule67" type="connector" idref="#Straight Arrow Connector 166"/>
        <o:r id="V:Rule68" type="connector" idref="#Straight Arrow Connector 160"/>
        <o:r id="V:Rule69" type="connector" idref="#Straight Arrow Connector 2"/>
        <o:r id="V:Rule70" type="connector" idref="#Straight Arrow Connector 167"/>
        <o:r id="V:Rule71" type="connector" idref="#Straight Arrow Connector 41"/>
        <o:r id="V:Rule72" type="connector" idref="#Straight Arrow Connector 175"/>
        <o:r id="V:Rule73" type="connector" idref="#Straight Arrow Connector 164"/>
        <o:r id="V:Rule74" type="connector" idref="#Straight Arrow Connector 57"/>
        <o:r id="V:Rule75" type="connector" idref="#Straight Arrow Connector 37"/>
        <o:r id="V:Rule76" type="connector" idref="#Straight Arrow Connector 172"/>
        <o:r id="V:Rule77" type="connector" idref="#Straight Arrow Connector 36"/>
        <o:r id="V:Rule78" type="connector" idref="#Straight Arrow Connector 157"/>
        <o:r id="V:Rule79" type="connector" idref="#Straight Arrow Connector 168"/>
        <o:r id="V:Rule80" type="connector" idref="#Straight Arrow Connector 179"/>
        <o:r id="V:Rule81" type="connector" idref="#AutoShape 15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 w:hAnsi="Times New Roman" w:cstheme="minorBidi"/>
        <w:sz w:val="24"/>
        <w:szCs w:val="22"/>
        <w:lang w:val="en-US" w:eastAsia="en-US" w:bidi="ar-SA"/>
      </w:rPr>
    </w:rPrDefault>
    <w:pPrDefault>
      <w:pPr>
        <w:spacing w:after="24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lsdException w:name="toc 8" w:uiPriority="39"/>
    <w:lsdException w:name="toc 9" w:uiPriority="39"/>
    <w:lsdException w:name="footnote text" w:qFormat="1"/>
    <w:lsdException w:name="caption" w:uiPriority="35" w:qFormat="1"/>
    <w:lsdException w:name="table of figures" w:qFormat="1"/>
    <w:lsdException w:name="endnote reference" w:uiPriority="0"/>
    <w:lsdException w:name="endnote text" w:uiPriority="0"/>
    <w:lsdException w:name="List Bullet" w:uiPriority="0"/>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2E14"/>
  </w:style>
  <w:style w:type="paragraph" w:styleId="Heading1">
    <w:name w:val="heading 1"/>
    <w:aliases w:val="Heading 1 Char Char Char,Head1,Chapter Heading,SZRptH1,h1,No numbers,69%,Attribute Heading 1,Para1,h11,h12,L1,Section Heading,Heading apps,PIM 1,1m,H1"/>
    <w:basedOn w:val="Normal"/>
    <w:next w:val="Normal"/>
    <w:link w:val="Heading1Char"/>
    <w:autoRedefine/>
    <w:uiPriority w:val="9"/>
    <w:qFormat/>
    <w:rsid w:val="008C0601"/>
    <w:pPr>
      <w:jc w:val="center"/>
      <w:outlineLvl w:val="0"/>
    </w:pPr>
    <w:rPr>
      <w:rFonts w:eastAsia="Calibri" w:cs="Times New Roman"/>
      <w:b/>
      <w:bCs/>
      <w:color w:val="1F497D" w:themeColor="text2"/>
      <w:sz w:val="32"/>
      <w:szCs w:val="32"/>
    </w:rPr>
  </w:style>
  <w:style w:type="paragraph" w:styleId="Heading2">
    <w:name w:val="heading 2"/>
    <w:aliases w:val="Head2,h2,Major Heading,H2,Heading 2 Hidden,PIM2,2,l2,list 2,list 2,heading 2TOC,Head 2,List level 2,Header 2,body,Attribute Heading 2,test,Para2,h21,h22,Bold 14,L2,h2 main heading,B Sub/Bold,B Sub/Bold1,B Sub/Bold2,B Sub/Bold11,paragraaf,A"/>
    <w:basedOn w:val="ListParagraph"/>
    <w:next w:val="Normal"/>
    <w:link w:val="Heading2Char"/>
    <w:autoRedefine/>
    <w:uiPriority w:val="9"/>
    <w:unhideWhenUsed/>
    <w:qFormat/>
    <w:rsid w:val="0001495A"/>
    <w:pPr>
      <w:numPr>
        <w:ilvl w:val="1"/>
        <w:numId w:val="231"/>
      </w:numPr>
      <w:spacing w:line="276" w:lineRule="auto"/>
      <w:contextualSpacing w:val="0"/>
      <w:jc w:val="both"/>
      <w:outlineLvl w:val="1"/>
    </w:pPr>
    <w:rPr>
      <w:rFonts w:cs="Times New Roman"/>
      <w:b/>
      <w:szCs w:val="24"/>
    </w:rPr>
  </w:style>
  <w:style w:type="paragraph" w:styleId="Heading3">
    <w:name w:val="heading 3"/>
    <w:aliases w:val="Head3,Sub-heading,Heading 4a,Sottoparagrafo,标题 3-4,H3,h3,h31,h32,h33,h34,h35,h36,h37,h38,h39,h310,h311,h321,h331,h341,h351,h361,h371,h381,h312,h322,h332,h342,h352,h362,h372,h382,h313,h323,h333,h343,h353,h363,h373,h383,h314,h324,h334,h344,h354"/>
    <w:basedOn w:val="Normal"/>
    <w:next w:val="Normal"/>
    <w:link w:val="Heading3Char"/>
    <w:autoRedefine/>
    <w:uiPriority w:val="9"/>
    <w:unhideWhenUsed/>
    <w:qFormat/>
    <w:rsid w:val="00E93D14"/>
    <w:pPr>
      <w:numPr>
        <w:ilvl w:val="2"/>
        <w:numId w:val="134"/>
      </w:numPr>
      <w:spacing w:line="276" w:lineRule="auto"/>
      <w:outlineLvl w:val="2"/>
    </w:pPr>
    <w:rPr>
      <w:b/>
    </w:rPr>
  </w:style>
  <w:style w:type="paragraph" w:styleId="Heading4">
    <w:name w:val="heading 4"/>
    <w:aliases w:val="Head4,Minor Heading"/>
    <w:basedOn w:val="ListParagraph"/>
    <w:next w:val="Normal"/>
    <w:link w:val="Heading4Char"/>
    <w:uiPriority w:val="9"/>
    <w:unhideWhenUsed/>
    <w:qFormat/>
    <w:rsid w:val="00B77ABC"/>
    <w:pPr>
      <w:spacing w:after="120" w:line="276" w:lineRule="auto"/>
      <w:ind w:left="0"/>
      <w:jc w:val="center"/>
      <w:outlineLvl w:val="3"/>
    </w:pPr>
    <w:rPr>
      <w:rFonts w:cs="Times New Roman"/>
      <w:b/>
      <w:bCs/>
      <w:szCs w:val="24"/>
    </w:rPr>
  </w:style>
  <w:style w:type="paragraph" w:styleId="Heading5">
    <w:name w:val="heading 5"/>
    <w:aliases w:val="Further Points"/>
    <w:basedOn w:val="Normal"/>
    <w:next w:val="Normal"/>
    <w:link w:val="Heading5Char"/>
    <w:uiPriority w:val="9"/>
    <w:unhideWhenUsed/>
    <w:qFormat/>
    <w:rsid w:val="004402F1"/>
    <w:pPr>
      <w:spacing w:after="120"/>
      <w:jc w:val="center"/>
      <w:outlineLvl w:val="4"/>
    </w:pPr>
    <w:rPr>
      <w:b/>
      <w:szCs w:val="24"/>
    </w:rPr>
  </w:style>
  <w:style w:type="paragraph" w:styleId="Heading6">
    <w:name w:val="heading 6"/>
    <w:aliases w:val="Points in Text"/>
    <w:basedOn w:val="Figures"/>
    <w:next w:val="Normal"/>
    <w:link w:val="Heading6Char"/>
    <w:unhideWhenUsed/>
    <w:qFormat/>
    <w:rsid w:val="00AF6F1C"/>
    <w:pPr>
      <w:tabs>
        <w:tab w:val="clear" w:pos="1080"/>
      </w:tabs>
      <w:spacing w:before="0" w:line="276" w:lineRule="auto"/>
      <w:jc w:val="center"/>
      <w:outlineLvl w:val="5"/>
    </w:pPr>
    <w:rPr>
      <w:rFonts w:ascii="Times New Roman" w:hAnsi="Times New Roman"/>
      <w:szCs w:val="24"/>
    </w:rPr>
  </w:style>
  <w:style w:type="paragraph" w:styleId="Heading7">
    <w:name w:val="heading 7"/>
    <w:basedOn w:val="Normal"/>
    <w:next w:val="Normal"/>
    <w:link w:val="Heading7Char"/>
    <w:uiPriority w:val="9"/>
    <w:unhideWhenUsed/>
    <w:qFormat/>
    <w:rsid w:val="00944687"/>
    <w:pPr>
      <w:spacing w:after="120"/>
      <w:jc w:val="center"/>
      <w:outlineLvl w:val="6"/>
    </w:pPr>
    <w:rPr>
      <w:rFonts w:eastAsiaTheme="minorHAnsi" w:cs="Times New Roman"/>
      <w:b/>
      <w:szCs w:val="24"/>
    </w:rPr>
  </w:style>
  <w:style w:type="paragraph" w:styleId="Heading8">
    <w:name w:val="heading 8"/>
    <w:basedOn w:val="Normal"/>
    <w:next w:val="Normal"/>
    <w:link w:val="Heading8Char"/>
    <w:unhideWhenUsed/>
    <w:qFormat/>
    <w:rsid w:val="00D13FC2"/>
    <w:pPr>
      <w:spacing w:after="0"/>
      <w:jc w:val="center"/>
      <w:outlineLvl w:val="7"/>
    </w:pPr>
    <w:rPr>
      <w:rFonts w:cs="Times New Roman"/>
      <w:b/>
    </w:rPr>
  </w:style>
  <w:style w:type="paragraph" w:styleId="Heading9">
    <w:name w:val="heading 9"/>
    <w:basedOn w:val="Normal"/>
    <w:next w:val="Normal"/>
    <w:link w:val="Heading9Char"/>
    <w:unhideWhenUsed/>
    <w:qFormat/>
    <w:rsid w:val="00A356FA"/>
    <w:pPr>
      <w:keepNext/>
      <w:keepLines/>
      <w:spacing w:before="200" w:after="0" w:line="276" w:lineRule="auto"/>
      <w:ind w:left="1584" w:hanging="1584"/>
      <w:outlineLvl w:val="8"/>
    </w:pPr>
    <w:rPr>
      <w:rFonts w:ascii="Cambria" w:eastAsia="Times New Roman" w:hAnsi="Cambria" w:cs="Vrinda"/>
      <w:i/>
      <w:iCs/>
      <w:color w:val="404040"/>
      <w:sz w:val="20"/>
      <w:szCs w:val="20"/>
      <w:lang w:bidi="bn-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 Char,Head1 Char,Chapter Heading Char,SZRptH1 Char,h1 Char,No numbers Char,69% Char,Attribute Heading 1 Char,Para1 Char,h11 Char,h12 Char,L1 Char,Section Heading Char,Heading apps Char,PIM 1 Char,1m Char,H1 Char"/>
    <w:basedOn w:val="DefaultParagraphFont"/>
    <w:link w:val="Heading1"/>
    <w:uiPriority w:val="9"/>
    <w:rsid w:val="008C0601"/>
    <w:rPr>
      <w:rFonts w:eastAsia="Calibri" w:cs="Times New Roman"/>
      <w:b/>
      <w:bCs/>
      <w:color w:val="1F497D" w:themeColor="text2"/>
      <w:sz w:val="32"/>
      <w:szCs w:val="32"/>
    </w:rPr>
  </w:style>
  <w:style w:type="character" w:customStyle="1" w:styleId="Heading2Char">
    <w:name w:val="Heading 2 Char"/>
    <w:aliases w:val="Head2 Char,h2 Char,Major Heading Char,H2 Char,Heading 2 Hidden Char,PIM2 Char,2 Char,l2 Char,list 2 Char,list 2 Char,heading 2TOC Char,Head 2 Char,List level 2 Char,Header 2 Char,body Char,Attribute Heading 2 Char,test Char,Para2 Char"/>
    <w:basedOn w:val="DefaultParagraphFont"/>
    <w:link w:val="Heading2"/>
    <w:uiPriority w:val="9"/>
    <w:rsid w:val="0001495A"/>
    <w:rPr>
      <w:rFonts w:cs="Times New Roman"/>
      <w:b/>
      <w:szCs w:val="24"/>
    </w:rPr>
  </w:style>
  <w:style w:type="paragraph" w:customStyle="1" w:styleId="ADBParagraph">
    <w:name w:val="ADB Paragraph"/>
    <w:basedOn w:val="Normal"/>
    <w:autoRedefine/>
    <w:qFormat/>
    <w:rsid w:val="0071087B"/>
    <w:pPr>
      <w:spacing w:before="120" w:after="120"/>
      <w:jc w:val="both"/>
    </w:pPr>
    <w:rPr>
      <w:rFonts w:eastAsia="Times New Roman" w:cs="Arial"/>
      <w:szCs w:val="20"/>
    </w:rPr>
  </w:style>
  <w:style w:type="character" w:customStyle="1" w:styleId="Heading3Char">
    <w:name w:val="Heading 3 Char"/>
    <w:aliases w:val="Head3 Char,Sub-heading Char,Heading 4a Char,Sottoparagrafo Char,标题 3-4 Char,H3 Char,h3 Char,h31 Char,h32 Char,h33 Char,h34 Char,h35 Char,h36 Char,h37 Char,h38 Char,h39 Char,h310 Char,h311 Char,h321 Char,h331 Char,h341 Char,h351 Char"/>
    <w:basedOn w:val="DefaultParagraphFont"/>
    <w:link w:val="Heading3"/>
    <w:uiPriority w:val="9"/>
    <w:rsid w:val="00E93D14"/>
    <w:rPr>
      <w:b/>
    </w:rPr>
  </w:style>
  <w:style w:type="paragraph" w:customStyle="1" w:styleId="Table">
    <w:name w:val="Table"/>
    <w:basedOn w:val="Normal"/>
    <w:link w:val="TableChar"/>
    <w:autoRedefine/>
    <w:qFormat/>
    <w:rsid w:val="0071087B"/>
  </w:style>
  <w:style w:type="paragraph" w:styleId="TableofFigures">
    <w:name w:val="table of figures"/>
    <w:basedOn w:val="Normal"/>
    <w:next w:val="Normal"/>
    <w:autoRedefine/>
    <w:uiPriority w:val="99"/>
    <w:unhideWhenUsed/>
    <w:qFormat/>
    <w:rsid w:val="00A61E5A"/>
    <w:pPr>
      <w:spacing w:after="120"/>
      <w:jc w:val="center"/>
    </w:pPr>
    <w:rPr>
      <w:rFonts w:cs="Times New Roman"/>
      <w:b/>
      <w:lang w:val="en-GB"/>
    </w:rPr>
  </w:style>
  <w:style w:type="paragraph" w:customStyle="1" w:styleId="Table2">
    <w:name w:val="Table 2"/>
    <w:basedOn w:val="Normal"/>
    <w:qFormat/>
    <w:rsid w:val="0071087B"/>
  </w:style>
  <w:style w:type="paragraph" w:styleId="ListParagraph">
    <w:name w:val="List Paragraph"/>
    <w:aliases w:val="Normal 2,List Paragraph (numbered (a)),References,List_Paragraph,Multilevel para_II,List Paragraph1,Citation List,Resume Title,Bullets,Numbered List Paragraph,123 List Paragraph,Celula,Main numbered paragraph,Liste 1,ANNEX,List Paragraph2"/>
    <w:basedOn w:val="Normal"/>
    <w:link w:val="ListParagraphChar"/>
    <w:uiPriority w:val="34"/>
    <w:qFormat/>
    <w:rsid w:val="00D82E14"/>
    <w:pPr>
      <w:ind w:left="720"/>
      <w:contextualSpacing/>
    </w:pPr>
  </w:style>
  <w:style w:type="paragraph" w:styleId="Title">
    <w:name w:val="Title"/>
    <w:basedOn w:val="Normal"/>
    <w:next w:val="Normal"/>
    <w:link w:val="TitleChar"/>
    <w:uiPriority w:val="10"/>
    <w:qFormat/>
    <w:rsid w:val="0045134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51348"/>
    <w:rPr>
      <w:rFonts w:asciiTheme="majorHAnsi" w:eastAsiaTheme="majorEastAsia" w:hAnsiTheme="majorHAnsi" w:cstheme="majorBidi"/>
      <w:color w:val="17365D" w:themeColor="text2" w:themeShade="BF"/>
      <w:spacing w:val="5"/>
      <w:kern w:val="28"/>
      <w:sz w:val="52"/>
      <w:szCs w:val="52"/>
    </w:rPr>
  </w:style>
  <w:style w:type="paragraph" w:styleId="BodyText">
    <w:name w:val="Body Text"/>
    <w:aliases w:val="BT_NMA,bt,heading3,Body Text - Level 2,Body Text_prop,Body3,body indent,ändrad,Body Text 12"/>
    <w:basedOn w:val="Normal"/>
    <w:link w:val="BodyTextChar"/>
    <w:uiPriority w:val="1"/>
    <w:unhideWhenUsed/>
    <w:qFormat/>
    <w:rsid w:val="00DE0D58"/>
    <w:pPr>
      <w:spacing w:after="120"/>
    </w:pPr>
  </w:style>
  <w:style w:type="character" w:customStyle="1" w:styleId="BodyTextChar">
    <w:name w:val="Body Text Char"/>
    <w:aliases w:val="BT_NMA Char,bt Char,heading3 Char,Body Text - Level 2 Char,Body Text_prop Char,Body3 Char,body indent Char,ändrad Char,Body Text 12 Char"/>
    <w:basedOn w:val="DefaultParagraphFont"/>
    <w:link w:val="BodyText"/>
    <w:uiPriority w:val="1"/>
    <w:rsid w:val="00DE0D58"/>
    <w:rPr>
      <w:rFonts w:asciiTheme="minorHAnsi" w:eastAsiaTheme="minorHAnsi" w:hAnsiTheme="minorHAnsi"/>
      <w:sz w:val="22"/>
      <w:szCs w:val="22"/>
    </w:rPr>
  </w:style>
  <w:style w:type="paragraph" w:styleId="Footer">
    <w:name w:val="footer"/>
    <w:basedOn w:val="Normal"/>
    <w:link w:val="FooterChar"/>
    <w:uiPriority w:val="99"/>
    <w:unhideWhenUsed/>
    <w:rsid w:val="009667AD"/>
    <w:pPr>
      <w:tabs>
        <w:tab w:val="center" w:pos="4320"/>
        <w:tab w:val="right" w:pos="8640"/>
      </w:tabs>
      <w:spacing w:after="0" w:line="240" w:lineRule="auto"/>
    </w:pPr>
  </w:style>
  <w:style w:type="character" w:customStyle="1" w:styleId="FooterChar">
    <w:name w:val="Footer Char"/>
    <w:basedOn w:val="DefaultParagraphFont"/>
    <w:link w:val="Footer"/>
    <w:uiPriority w:val="99"/>
    <w:rsid w:val="009667AD"/>
    <w:rPr>
      <w:rFonts w:asciiTheme="minorHAnsi" w:eastAsiaTheme="minorHAnsi" w:hAnsiTheme="minorHAnsi"/>
      <w:sz w:val="22"/>
      <w:szCs w:val="22"/>
    </w:rPr>
  </w:style>
  <w:style w:type="character" w:styleId="PageNumber">
    <w:name w:val="page number"/>
    <w:basedOn w:val="DefaultParagraphFont"/>
    <w:uiPriority w:val="99"/>
    <w:semiHidden/>
    <w:unhideWhenUsed/>
    <w:rsid w:val="009667AD"/>
  </w:style>
  <w:style w:type="paragraph" w:styleId="BalloonText">
    <w:name w:val="Balloon Text"/>
    <w:basedOn w:val="Normal"/>
    <w:link w:val="BalloonTextChar"/>
    <w:uiPriority w:val="99"/>
    <w:unhideWhenUsed/>
    <w:rsid w:val="009E717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E717F"/>
    <w:rPr>
      <w:rFonts w:ascii="Lucida Grande" w:eastAsiaTheme="minorHAnsi" w:hAnsi="Lucida Grande" w:cs="Lucida Grande"/>
      <w:sz w:val="18"/>
      <w:szCs w:val="18"/>
    </w:rPr>
  </w:style>
  <w:style w:type="character" w:styleId="CommentReference">
    <w:name w:val="annotation reference"/>
    <w:basedOn w:val="DefaultParagraphFont"/>
    <w:uiPriority w:val="99"/>
    <w:semiHidden/>
    <w:unhideWhenUsed/>
    <w:rsid w:val="00F54C6B"/>
    <w:rPr>
      <w:sz w:val="16"/>
      <w:szCs w:val="16"/>
    </w:rPr>
  </w:style>
  <w:style w:type="paragraph" w:styleId="CommentText">
    <w:name w:val="annotation text"/>
    <w:basedOn w:val="Normal"/>
    <w:link w:val="CommentTextChar"/>
    <w:uiPriority w:val="99"/>
    <w:semiHidden/>
    <w:unhideWhenUsed/>
    <w:rsid w:val="00F54C6B"/>
    <w:pPr>
      <w:spacing w:after="0" w:line="240" w:lineRule="auto"/>
    </w:pPr>
    <w:rPr>
      <w:rFonts w:ascii="Arial" w:hAnsi="Arial" w:cs="Times New Roman"/>
      <w:sz w:val="20"/>
      <w:szCs w:val="20"/>
    </w:rPr>
  </w:style>
  <w:style w:type="character" w:customStyle="1" w:styleId="CommentTextChar">
    <w:name w:val="Comment Text Char"/>
    <w:basedOn w:val="DefaultParagraphFont"/>
    <w:link w:val="CommentText"/>
    <w:uiPriority w:val="99"/>
    <w:semiHidden/>
    <w:rsid w:val="00F54C6B"/>
    <w:rPr>
      <w:rFonts w:cs="Times New Roman"/>
      <w:sz w:val="20"/>
      <w:szCs w:val="20"/>
    </w:rPr>
  </w:style>
  <w:style w:type="paragraph" w:styleId="FootnoteText">
    <w:name w:val="footnote text"/>
    <w:aliases w:val="FOOTNOTES,fn,single space,Footnote Text1,Fodnotetekst Tegn,footnote text Char,Fodnotetekst Tegn Char,single space Char,footnote text Char Char Char,Fodnotetekst Tegn Char1,single space Char1,footnote text Char Char1,f,Geneva 9,Font: Geneva"/>
    <w:basedOn w:val="Normal"/>
    <w:link w:val="FootnoteTextChar"/>
    <w:uiPriority w:val="99"/>
    <w:unhideWhenUsed/>
    <w:qFormat/>
    <w:rsid w:val="00F54C6B"/>
    <w:pPr>
      <w:spacing w:after="0" w:line="240" w:lineRule="auto"/>
    </w:pPr>
    <w:rPr>
      <w:szCs w:val="24"/>
    </w:rPr>
  </w:style>
  <w:style w:type="character" w:customStyle="1" w:styleId="FootnoteTextChar">
    <w:name w:val="Footnote Text Char"/>
    <w:aliases w:val="FOOTNOTES Char,fn Char,single space Char2,Footnote Text1 Char,Fodnotetekst Tegn Char2,footnote text Char Char,Fodnotetekst Tegn Char Char,single space Char Char,footnote text Char Char Char Char,Fodnotetekst Tegn Char1 Char,f Char"/>
    <w:basedOn w:val="DefaultParagraphFont"/>
    <w:link w:val="FootnoteText"/>
    <w:uiPriority w:val="99"/>
    <w:rsid w:val="00F54C6B"/>
    <w:rPr>
      <w:rFonts w:asciiTheme="minorHAnsi" w:eastAsiaTheme="minorHAnsi" w:hAnsiTheme="minorHAnsi"/>
    </w:rPr>
  </w:style>
  <w:style w:type="character" w:styleId="FootnoteReference">
    <w:name w:val="footnote reference"/>
    <w:aliases w:val="ftref,fr,Footnote Ref in FtNote,16 Point,Superscript 6 Point,Знак сноски-FN,BVI fnr,Знак сноски 1,(NECG) Footnote Reference,Footnote + Arial,10 pt,Black,Fußnotenzeichen DISS,Superscript 6 Point + 11 pt,FnR-ANZDEC,de nota al pie,Ref"/>
    <w:basedOn w:val="DefaultParagraphFont"/>
    <w:uiPriority w:val="99"/>
    <w:unhideWhenUsed/>
    <w:rsid w:val="00F54C6B"/>
    <w:rPr>
      <w:vertAlign w:val="superscript"/>
    </w:rPr>
  </w:style>
  <w:style w:type="table" w:styleId="TableGrid">
    <w:name w:val="Table Grid"/>
    <w:aliases w:val="Table Grid (Appendix list),CV"/>
    <w:basedOn w:val="TableNormal"/>
    <w:uiPriority w:val="59"/>
    <w:rsid w:val="00F54C6B"/>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sandFigures">
    <w:name w:val="Tables and Figures"/>
    <w:basedOn w:val="Table"/>
    <w:rsid w:val="00F54C6B"/>
    <w:pPr>
      <w:spacing w:after="0" w:line="240" w:lineRule="auto"/>
    </w:pPr>
    <w:rPr>
      <w:rFonts w:ascii="Arial" w:hAnsi="Arial" w:cs="Times New Roman"/>
    </w:rPr>
  </w:style>
  <w:style w:type="character" w:customStyle="1" w:styleId="ListParagraphChar">
    <w:name w:val="List Paragraph Char"/>
    <w:aliases w:val="Normal 2 Char,List Paragraph (numbered (a)) Char,References Char,List_Paragraph Char,Multilevel para_II Char,List Paragraph1 Char,Citation List Char,Resume Title Char,Bullets Char,Numbered List Paragraph Char,123 List Paragraph Char"/>
    <w:basedOn w:val="DefaultParagraphFont"/>
    <w:link w:val="ListParagraph"/>
    <w:uiPriority w:val="34"/>
    <w:rsid w:val="00094D54"/>
    <w:rPr>
      <w:rFonts w:asciiTheme="minorHAnsi" w:eastAsiaTheme="minorHAnsi" w:hAnsiTheme="minorHAnsi"/>
      <w:sz w:val="22"/>
      <w:szCs w:val="22"/>
    </w:rPr>
  </w:style>
  <w:style w:type="character" w:styleId="Hyperlink">
    <w:name w:val="Hyperlink"/>
    <w:basedOn w:val="DefaultParagraphFont"/>
    <w:uiPriority w:val="99"/>
    <w:unhideWhenUsed/>
    <w:rsid w:val="003449F5"/>
    <w:rPr>
      <w:color w:val="0000FF"/>
      <w:u w:val="single"/>
    </w:rPr>
  </w:style>
  <w:style w:type="paragraph" w:customStyle="1" w:styleId="TableandFigures">
    <w:name w:val="Table and Figures"/>
    <w:basedOn w:val="Caption"/>
    <w:rsid w:val="00666C73"/>
    <w:rPr>
      <w:rFonts w:ascii="Segoe UI" w:hAnsi="Segoe UI" w:cs="Arial"/>
      <w:b w:val="0"/>
      <w:bCs w:val="0"/>
      <w:i/>
      <w:iCs/>
      <w:color w:val="1F497D" w:themeColor="text2"/>
      <w:lang w:val="en-GB"/>
    </w:rPr>
  </w:style>
  <w:style w:type="paragraph" w:styleId="Caption">
    <w:name w:val="caption"/>
    <w:aliases w:val="Caption_ICFWM,FIGURE_CC,~Caption,Caption Char1,Caption Char Char,Caption Char2 Char Char,Caption Char1 Char Char Char,Caption Char Char Char Char Char,Caption Char2 Char Char Char Char Char,Caption Char1 Char1 Char Char Char Char Char,HBP"/>
    <w:basedOn w:val="Normal"/>
    <w:next w:val="Normal"/>
    <w:link w:val="CaptionChar"/>
    <w:uiPriority w:val="35"/>
    <w:unhideWhenUsed/>
    <w:qFormat/>
    <w:rsid w:val="00666C73"/>
    <w:pPr>
      <w:spacing w:after="200" w:line="240" w:lineRule="auto"/>
    </w:pPr>
    <w:rPr>
      <w:b/>
      <w:bCs/>
      <w:color w:val="4F81BD" w:themeColor="accent1"/>
      <w:sz w:val="18"/>
      <w:szCs w:val="18"/>
    </w:rPr>
  </w:style>
  <w:style w:type="paragraph" w:styleId="NormalWeb">
    <w:name w:val="Normal (Web)"/>
    <w:aliases w:val="Char, Char"/>
    <w:basedOn w:val="Normal"/>
    <w:link w:val="NormalWebChar"/>
    <w:uiPriority w:val="99"/>
    <w:unhideWhenUsed/>
    <w:qFormat/>
    <w:rsid w:val="00D461EC"/>
    <w:pPr>
      <w:spacing w:before="100" w:beforeAutospacing="1" w:after="100" w:afterAutospacing="1" w:line="240" w:lineRule="auto"/>
      <w:jc w:val="both"/>
    </w:pPr>
    <w:rPr>
      <w:rFonts w:eastAsia="Times New Roman" w:cs="Times New Roman"/>
      <w:szCs w:val="24"/>
      <w:lang w:val="en-GB" w:eastAsia="zh-CN"/>
    </w:rPr>
  </w:style>
  <w:style w:type="paragraph" w:customStyle="1" w:styleId="Source">
    <w:name w:val="Source"/>
    <w:basedOn w:val="Normal"/>
    <w:link w:val="SourceChar"/>
    <w:qFormat/>
    <w:rsid w:val="00C97154"/>
    <w:pPr>
      <w:spacing w:line="264" w:lineRule="auto"/>
    </w:pPr>
    <w:rPr>
      <w:rFonts w:ascii="Arial" w:eastAsia="MS Mincho" w:hAnsi="Arial" w:cs="Times New Roman"/>
      <w:i/>
      <w:iCs/>
      <w:sz w:val="20"/>
      <w:szCs w:val="20"/>
      <w:lang w:eastAsia="ja-JP"/>
    </w:rPr>
  </w:style>
  <w:style w:type="character" w:customStyle="1" w:styleId="SourceChar">
    <w:name w:val="Source Char"/>
    <w:link w:val="Source"/>
    <w:rsid w:val="00C97154"/>
    <w:rPr>
      <w:rFonts w:eastAsia="MS Mincho" w:cs="Times New Roman"/>
      <w:i/>
      <w:iCs/>
      <w:sz w:val="20"/>
      <w:szCs w:val="20"/>
      <w:lang w:eastAsia="ja-JP"/>
    </w:rPr>
  </w:style>
  <w:style w:type="paragraph" w:styleId="CommentSubject">
    <w:name w:val="annotation subject"/>
    <w:basedOn w:val="CommentText"/>
    <w:next w:val="CommentText"/>
    <w:link w:val="CommentSubjectChar"/>
    <w:uiPriority w:val="99"/>
    <w:semiHidden/>
    <w:unhideWhenUsed/>
    <w:rsid w:val="00804BE8"/>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804BE8"/>
    <w:rPr>
      <w:rFonts w:asciiTheme="minorHAnsi" w:eastAsiaTheme="minorHAnsi" w:hAnsiTheme="minorHAnsi" w:cs="Times New Roman"/>
      <w:b/>
      <w:bCs/>
      <w:sz w:val="20"/>
      <w:szCs w:val="20"/>
    </w:rPr>
  </w:style>
  <w:style w:type="paragraph" w:styleId="Bibliography">
    <w:name w:val="Bibliography"/>
    <w:basedOn w:val="Normal"/>
    <w:next w:val="Normal"/>
    <w:uiPriority w:val="37"/>
    <w:unhideWhenUsed/>
    <w:rsid w:val="005B2F03"/>
    <w:pPr>
      <w:spacing w:before="120" w:after="120" w:line="264" w:lineRule="auto"/>
      <w:jc w:val="both"/>
    </w:pPr>
    <w:rPr>
      <w:rFonts w:ascii="Segoe UI" w:eastAsia="Calibri" w:hAnsi="Segoe UI" w:cs="Arial"/>
      <w:sz w:val="19"/>
      <w:lang w:val="en-GB"/>
    </w:rPr>
  </w:style>
  <w:style w:type="paragraph" w:customStyle="1" w:styleId="Default">
    <w:name w:val="Default"/>
    <w:link w:val="DefaultChar"/>
    <w:rsid w:val="000E704F"/>
    <w:pPr>
      <w:widowControl w:val="0"/>
      <w:autoSpaceDE w:val="0"/>
      <w:autoSpaceDN w:val="0"/>
      <w:adjustRightInd w:val="0"/>
    </w:pPr>
    <w:rPr>
      <w:rFonts w:ascii="Segoe UI" w:hAnsi="Segoe UI" w:cs="Segoe UI"/>
      <w:color w:val="000000"/>
    </w:rPr>
  </w:style>
  <w:style w:type="paragraph" w:customStyle="1" w:styleId="TableParagraph">
    <w:name w:val="Table Paragraph"/>
    <w:basedOn w:val="Normal"/>
    <w:uiPriority w:val="1"/>
    <w:qFormat/>
    <w:rsid w:val="005E66A1"/>
    <w:pPr>
      <w:widowControl w:val="0"/>
      <w:spacing w:after="0" w:line="240" w:lineRule="auto"/>
    </w:pPr>
  </w:style>
  <w:style w:type="paragraph" w:styleId="Header">
    <w:name w:val="header"/>
    <w:basedOn w:val="Normal"/>
    <w:link w:val="HeaderChar"/>
    <w:uiPriority w:val="99"/>
    <w:unhideWhenUsed/>
    <w:rsid w:val="004D57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57CA"/>
    <w:rPr>
      <w:rFonts w:asciiTheme="minorHAnsi" w:eastAsiaTheme="minorHAnsi" w:hAnsiTheme="minorHAnsi"/>
      <w:sz w:val="22"/>
      <w:szCs w:val="22"/>
    </w:rPr>
  </w:style>
  <w:style w:type="character" w:customStyle="1" w:styleId="Heading4Char">
    <w:name w:val="Heading 4 Char"/>
    <w:aliases w:val="Head4 Char,Minor Heading Char"/>
    <w:basedOn w:val="DefaultParagraphFont"/>
    <w:link w:val="Heading4"/>
    <w:uiPriority w:val="9"/>
    <w:rsid w:val="00B77ABC"/>
    <w:rPr>
      <w:rFonts w:cs="Times New Roman"/>
      <w:b/>
      <w:bCs/>
      <w:szCs w:val="24"/>
    </w:rPr>
  </w:style>
  <w:style w:type="character" w:customStyle="1" w:styleId="Heading5Char">
    <w:name w:val="Heading 5 Char"/>
    <w:aliases w:val="Further Points Char"/>
    <w:basedOn w:val="DefaultParagraphFont"/>
    <w:link w:val="Heading5"/>
    <w:uiPriority w:val="9"/>
    <w:rsid w:val="004402F1"/>
    <w:rPr>
      <w:b/>
      <w:szCs w:val="24"/>
    </w:rPr>
  </w:style>
  <w:style w:type="character" w:styleId="Strong">
    <w:name w:val="Strong"/>
    <w:basedOn w:val="DefaultParagraphFont"/>
    <w:uiPriority w:val="22"/>
    <w:qFormat/>
    <w:rsid w:val="00A356FA"/>
    <w:rPr>
      <w:b/>
      <w:bCs/>
    </w:rPr>
  </w:style>
  <w:style w:type="character" w:styleId="Emphasis">
    <w:name w:val="Emphasis"/>
    <w:basedOn w:val="DefaultParagraphFont"/>
    <w:uiPriority w:val="20"/>
    <w:qFormat/>
    <w:rsid w:val="00A356FA"/>
    <w:rPr>
      <w:i/>
      <w:iCs/>
    </w:rPr>
  </w:style>
  <w:style w:type="paragraph" w:styleId="TOCHeading">
    <w:name w:val="TOC Heading"/>
    <w:basedOn w:val="Heading1"/>
    <w:next w:val="Normal"/>
    <w:uiPriority w:val="39"/>
    <w:unhideWhenUsed/>
    <w:qFormat/>
    <w:rsid w:val="00A356FA"/>
    <w:pPr>
      <w:jc w:val="left"/>
      <w:outlineLvl w:val="9"/>
    </w:pPr>
    <w:rPr>
      <w:rFonts w:asciiTheme="majorHAnsi" w:hAnsiTheme="majorHAnsi" w:cstheme="majorBidi"/>
      <w:color w:val="365F91" w:themeColor="accent1" w:themeShade="BF"/>
      <w:sz w:val="28"/>
      <w:szCs w:val="28"/>
    </w:rPr>
  </w:style>
  <w:style w:type="numbering" w:customStyle="1" w:styleId="Style1">
    <w:name w:val="Style1"/>
    <w:uiPriority w:val="99"/>
    <w:rsid w:val="00A356FA"/>
    <w:pPr>
      <w:numPr>
        <w:numId w:val="2"/>
      </w:numPr>
    </w:pPr>
  </w:style>
  <w:style w:type="paragraph" w:styleId="TOC1">
    <w:name w:val="toc 1"/>
    <w:basedOn w:val="Normal"/>
    <w:next w:val="Normal"/>
    <w:autoRedefine/>
    <w:uiPriority w:val="39"/>
    <w:unhideWhenUsed/>
    <w:qFormat/>
    <w:rsid w:val="00B01045"/>
    <w:pPr>
      <w:tabs>
        <w:tab w:val="left" w:pos="540"/>
        <w:tab w:val="right" w:leader="dot" w:pos="9350"/>
      </w:tabs>
      <w:spacing w:before="120" w:after="120" w:line="240" w:lineRule="auto"/>
      <w:jc w:val="both"/>
    </w:pPr>
    <w:rPr>
      <w:rFonts w:cs="Times New Roman"/>
      <w:b/>
      <w:noProof/>
      <w:szCs w:val="24"/>
    </w:rPr>
  </w:style>
  <w:style w:type="paragraph" w:styleId="NoSpacing">
    <w:name w:val="No Spacing"/>
    <w:link w:val="NoSpacingChar"/>
    <w:uiPriority w:val="1"/>
    <w:qFormat/>
    <w:rsid w:val="00A356FA"/>
    <w:rPr>
      <w:rFonts w:asciiTheme="minorHAnsi" w:eastAsiaTheme="minorEastAsia" w:hAnsiTheme="minorHAnsi"/>
      <w:sz w:val="22"/>
    </w:rPr>
  </w:style>
  <w:style w:type="character" w:customStyle="1" w:styleId="NoSpacingChar">
    <w:name w:val="No Spacing Char"/>
    <w:basedOn w:val="DefaultParagraphFont"/>
    <w:link w:val="NoSpacing"/>
    <w:uiPriority w:val="1"/>
    <w:rsid w:val="00A356FA"/>
    <w:rPr>
      <w:rFonts w:asciiTheme="minorHAnsi" w:eastAsiaTheme="minorEastAsia" w:hAnsiTheme="minorHAnsi"/>
      <w:sz w:val="22"/>
      <w:szCs w:val="22"/>
    </w:rPr>
  </w:style>
  <w:style w:type="paragraph" w:styleId="IntenseQuote">
    <w:name w:val="Intense Quote"/>
    <w:basedOn w:val="Normal"/>
    <w:next w:val="Normal"/>
    <w:link w:val="IntenseQuoteChar"/>
    <w:uiPriority w:val="30"/>
    <w:qFormat/>
    <w:rsid w:val="00A356FA"/>
    <w:pPr>
      <w:pBdr>
        <w:bottom w:val="single" w:sz="4" w:space="4" w:color="4F81BD" w:themeColor="accent1"/>
      </w:pBdr>
      <w:spacing w:before="200" w:after="280" w:line="240" w:lineRule="auto"/>
      <w:ind w:left="936" w:right="936"/>
    </w:pPr>
    <w:rPr>
      <w:b/>
      <w:bCs/>
      <w:i/>
      <w:iCs/>
      <w:color w:val="4F81BD" w:themeColor="accent1"/>
      <w:szCs w:val="24"/>
      <w:lang w:val="en-GB"/>
    </w:rPr>
  </w:style>
  <w:style w:type="character" w:customStyle="1" w:styleId="IntenseQuoteChar">
    <w:name w:val="Intense Quote Char"/>
    <w:basedOn w:val="DefaultParagraphFont"/>
    <w:link w:val="IntenseQuote"/>
    <w:uiPriority w:val="30"/>
    <w:rsid w:val="00A356FA"/>
    <w:rPr>
      <w:rFonts w:ascii="Times New Roman" w:eastAsiaTheme="minorHAnsi" w:hAnsi="Times New Roman"/>
      <w:b/>
      <w:bCs/>
      <w:i/>
      <w:iCs/>
      <w:color w:val="4F81BD" w:themeColor="accent1"/>
      <w:lang w:val="en-GB"/>
    </w:rPr>
  </w:style>
  <w:style w:type="paragraph" w:styleId="TOC2">
    <w:name w:val="toc 2"/>
    <w:basedOn w:val="Normal"/>
    <w:next w:val="Normal"/>
    <w:autoRedefine/>
    <w:uiPriority w:val="39"/>
    <w:unhideWhenUsed/>
    <w:qFormat/>
    <w:rsid w:val="00CD19C5"/>
    <w:pPr>
      <w:tabs>
        <w:tab w:val="left" w:pos="990"/>
        <w:tab w:val="right" w:leader="dot" w:pos="9350"/>
      </w:tabs>
      <w:spacing w:after="0" w:line="240" w:lineRule="auto"/>
      <w:ind w:left="1530" w:hanging="983"/>
      <w:jc w:val="both"/>
    </w:pPr>
    <w:rPr>
      <w:sz w:val="22"/>
      <w:szCs w:val="24"/>
      <w:lang w:val="en-GB"/>
    </w:rPr>
  </w:style>
  <w:style w:type="paragraph" w:styleId="TOC3">
    <w:name w:val="toc 3"/>
    <w:basedOn w:val="Normal"/>
    <w:next w:val="Normal"/>
    <w:autoRedefine/>
    <w:uiPriority w:val="39"/>
    <w:unhideWhenUsed/>
    <w:qFormat/>
    <w:rsid w:val="00B01045"/>
    <w:pPr>
      <w:tabs>
        <w:tab w:val="left" w:pos="1800"/>
        <w:tab w:val="right" w:leader="dot" w:pos="9350"/>
      </w:tabs>
      <w:spacing w:after="0" w:line="240" w:lineRule="auto"/>
      <w:ind w:left="990"/>
      <w:jc w:val="both"/>
    </w:pPr>
    <w:rPr>
      <w:i/>
      <w:sz w:val="20"/>
      <w:szCs w:val="24"/>
      <w:lang w:val="en-GB"/>
    </w:rPr>
  </w:style>
  <w:style w:type="character" w:styleId="FollowedHyperlink">
    <w:name w:val="FollowedHyperlink"/>
    <w:basedOn w:val="DefaultParagraphFont"/>
    <w:uiPriority w:val="99"/>
    <w:semiHidden/>
    <w:unhideWhenUsed/>
    <w:rsid w:val="00A356FA"/>
    <w:rPr>
      <w:color w:val="800080"/>
      <w:u w:val="single"/>
    </w:rPr>
  </w:style>
  <w:style w:type="paragraph" w:customStyle="1" w:styleId="xl64">
    <w:name w:val="xl64"/>
    <w:basedOn w:val="Normal"/>
    <w:rsid w:val="00A356FA"/>
    <w:pPr>
      <w:spacing w:before="100" w:beforeAutospacing="1" w:after="100" w:afterAutospacing="1" w:line="240" w:lineRule="auto"/>
    </w:pPr>
    <w:rPr>
      <w:rFonts w:ascii="Calibri" w:eastAsia="Times New Roman" w:hAnsi="Calibri" w:cs="Calibri"/>
      <w:b/>
      <w:bCs/>
      <w:sz w:val="16"/>
      <w:szCs w:val="16"/>
    </w:rPr>
  </w:style>
  <w:style w:type="paragraph" w:customStyle="1" w:styleId="xl65">
    <w:name w:val="xl65"/>
    <w:basedOn w:val="Normal"/>
    <w:rsid w:val="00A356FA"/>
    <w:pPr>
      <w:spacing w:before="100" w:beforeAutospacing="1" w:after="100" w:afterAutospacing="1" w:line="240" w:lineRule="auto"/>
      <w:jc w:val="center"/>
    </w:pPr>
    <w:rPr>
      <w:rFonts w:ascii="Calibri" w:eastAsia="Times New Roman" w:hAnsi="Calibri" w:cs="Calibri"/>
      <w:b/>
      <w:bCs/>
      <w:sz w:val="16"/>
      <w:szCs w:val="16"/>
    </w:rPr>
  </w:style>
  <w:style w:type="paragraph" w:customStyle="1" w:styleId="xl66">
    <w:name w:val="xl66"/>
    <w:basedOn w:val="Normal"/>
    <w:rsid w:val="00A356FA"/>
    <w:pPr>
      <w:spacing w:before="100" w:beforeAutospacing="1" w:after="100" w:afterAutospacing="1" w:line="240" w:lineRule="auto"/>
    </w:pPr>
    <w:rPr>
      <w:rFonts w:ascii="Calibri" w:eastAsia="Times New Roman" w:hAnsi="Calibri" w:cs="Calibri"/>
      <w:sz w:val="16"/>
      <w:szCs w:val="16"/>
    </w:rPr>
  </w:style>
  <w:style w:type="paragraph" w:customStyle="1" w:styleId="xl67">
    <w:name w:val="xl67"/>
    <w:basedOn w:val="Normal"/>
    <w:rsid w:val="00A356FA"/>
    <w:pPr>
      <w:spacing w:before="100" w:beforeAutospacing="1" w:after="100" w:afterAutospacing="1" w:line="240" w:lineRule="auto"/>
    </w:pPr>
    <w:rPr>
      <w:rFonts w:ascii="Calibri" w:eastAsia="Times New Roman" w:hAnsi="Calibri" w:cs="Calibri"/>
      <w:sz w:val="16"/>
      <w:szCs w:val="16"/>
    </w:rPr>
  </w:style>
  <w:style w:type="paragraph" w:customStyle="1" w:styleId="xl68">
    <w:name w:val="xl68"/>
    <w:basedOn w:val="Normal"/>
    <w:rsid w:val="00A356FA"/>
    <w:pPr>
      <w:shd w:val="clear" w:color="000000" w:fill="DBEEF3"/>
      <w:spacing w:before="100" w:beforeAutospacing="1" w:after="100" w:afterAutospacing="1" w:line="240" w:lineRule="auto"/>
    </w:pPr>
    <w:rPr>
      <w:rFonts w:ascii="Calibri" w:eastAsia="Times New Roman" w:hAnsi="Calibri" w:cs="Calibri"/>
      <w:b/>
      <w:bCs/>
      <w:color w:val="002060"/>
      <w:sz w:val="16"/>
      <w:szCs w:val="16"/>
    </w:rPr>
  </w:style>
  <w:style w:type="paragraph" w:customStyle="1" w:styleId="xl69">
    <w:name w:val="xl69"/>
    <w:basedOn w:val="Normal"/>
    <w:rsid w:val="00A356FA"/>
    <w:pPr>
      <w:spacing w:before="100" w:beforeAutospacing="1" w:after="100" w:afterAutospacing="1" w:line="240" w:lineRule="auto"/>
      <w:jc w:val="center"/>
    </w:pPr>
    <w:rPr>
      <w:rFonts w:ascii="Calibri" w:eastAsia="Times New Roman" w:hAnsi="Calibri" w:cs="Calibri"/>
      <w:sz w:val="16"/>
      <w:szCs w:val="16"/>
    </w:rPr>
  </w:style>
  <w:style w:type="paragraph" w:customStyle="1" w:styleId="xl70">
    <w:name w:val="xl70"/>
    <w:basedOn w:val="Normal"/>
    <w:rsid w:val="00A356FA"/>
    <w:pPr>
      <w:spacing w:before="100" w:beforeAutospacing="1" w:after="100" w:afterAutospacing="1" w:line="240" w:lineRule="auto"/>
    </w:pPr>
    <w:rPr>
      <w:rFonts w:ascii="Calibri" w:eastAsia="Times New Roman" w:hAnsi="Calibri" w:cs="Calibri"/>
      <w:sz w:val="16"/>
      <w:szCs w:val="16"/>
    </w:rPr>
  </w:style>
  <w:style w:type="paragraph" w:customStyle="1" w:styleId="xl71">
    <w:name w:val="xl71"/>
    <w:basedOn w:val="Normal"/>
    <w:rsid w:val="00A356FA"/>
    <w:pPr>
      <w:shd w:val="clear" w:color="000000" w:fill="FDE9D9"/>
      <w:spacing w:before="100" w:beforeAutospacing="1" w:after="100" w:afterAutospacing="1" w:line="240" w:lineRule="auto"/>
    </w:pPr>
    <w:rPr>
      <w:rFonts w:ascii="Calibri" w:eastAsia="Times New Roman" w:hAnsi="Calibri" w:cs="Calibri"/>
      <w:b/>
      <w:bCs/>
      <w:color w:val="C00000"/>
      <w:sz w:val="16"/>
      <w:szCs w:val="16"/>
    </w:rPr>
  </w:style>
  <w:style w:type="paragraph" w:customStyle="1" w:styleId="xl72">
    <w:name w:val="xl72"/>
    <w:basedOn w:val="Normal"/>
    <w:rsid w:val="00A356FA"/>
    <w:pPr>
      <w:shd w:val="clear" w:color="000000" w:fill="F2F2F2"/>
      <w:spacing w:before="100" w:beforeAutospacing="1" w:after="100" w:afterAutospacing="1" w:line="240" w:lineRule="auto"/>
    </w:pPr>
    <w:rPr>
      <w:rFonts w:ascii="Calibri" w:eastAsia="Times New Roman" w:hAnsi="Calibri" w:cs="Calibri"/>
      <w:b/>
      <w:bCs/>
      <w:color w:val="000000"/>
      <w:sz w:val="16"/>
      <w:szCs w:val="16"/>
    </w:rPr>
  </w:style>
  <w:style w:type="paragraph" w:customStyle="1" w:styleId="xl73">
    <w:name w:val="xl73"/>
    <w:basedOn w:val="Normal"/>
    <w:rsid w:val="00A356FA"/>
    <w:pPr>
      <w:shd w:val="clear" w:color="000000" w:fill="F2DDDC"/>
      <w:spacing w:before="100" w:beforeAutospacing="1" w:after="100" w:afterAutospacing="1" w:line="240" w:lineRule="auto"/>
    </w:pPr>
    <w:rPr>
      <w:rFonts w:ascii="Calibri" w:eastAsia="Times New Roman" w:hAnsi="Calibri" w:cs="Calibri"/>
      <w:b/>
      <w:bCs/>
      <w:color w:val="632523"/>
      <w:sz w:val="16"/>
      <w:szCs w:val="16"/>
    </w:rPr>
  </w:style>
  <w:style w:type="paragraph" w:customStyle="1" w:styleId="xl74">
    <w:name w:val="xl74"/>
    <w:basedOn w:val="Normal"/>
    <w:rsid w:val="00A356FA"/>
    <w:pPr>
      <w:shd w:val="clear" w:color="000000" w:fill="FFFFCC"/>
      <w:spacing w:before="100" w:beforeAutospacing="1" w:after="100" w:afterAutospacing="1" w:line="240" w:lineRule="auto"/>
    </w:pPr>
    <w:rPr>
      <w:rFonts w:ascii="Calibri" w:eastAsia="Times New Roman" w:hAnsi="Calibri" w:cs="Calibri"/>
      <w:b/>
      <w:bCs/>
      <w:color w:val="974807"/>
      <w:sz w:val="16"/>
      <w:szCs w:val="16"/>
    </w:rPr>
  </w:style>
  <w:style w:type="paragraph" w:customStyle="1" w:styleId="xl75">
    <w:name w:val="xl75"/>
    <w:basedOn w:val="Normal"/>
    <w:rsid w:val="00A356FA"/>
    <w:pPr>
      <w:shd w:val="clear" w:color="000000" w:fill="EAF1DD"/>
      <w:spacing w:before="100" w:beforeAutospacing="1" w:after="100" w:afterAutospacing="1" w:line="240" w:lineRule="auto"/>
    </w:pPr>
    <w:rPr>
      <w:rFonts w:ascii="Calibri" w:eastAsia="Times New Roman" w:hAnsi="Calibri" w:cs="Calibri"/>
      <w:b/>
      <w:bCs/>
      <w:color w:val="00B050"/>
      <w:sz w:val="16"/>
      <w:szCs w:val="16"/>
    </w:rPr>
  </w:style>
  <w:style w:type="paragraph" w:customStyle="1" w:styleId="xl76">
    <w:name w:val="xl76"/>
    <w:basedOn w:val="Normal"/>
    <w:rsid w:val="00A356FA"/>
    <w:pPr>
      <w:shd w:val="clear" w:color="000000" w:fill="CCC0DA"/>
      <w:spacing w:before="100" w:beforeAutospacing="1" w:after="100" w:afterAutospacing="1" w:line="240" w:lineRule="auto"/>
    </w:pPr>
    <w:rPr>
      <w:rFonts w:ascii="Calibri" w:eastAsia="Times New Roman" w:hAnsi="Calibri" w:cs="Calibri"/>
      <w:b/>
      <w:bCs/>
      <w:color w:val="3F3151"/>
      <w:sz w:val="16"/>
      <w:szCs w:val="16"/>
    </w:rPr>
  </w:style>
  <w:style w:type="paragraph" w:customStyle="1" w:styleId="xl77">
    <w:name w:val="xl77"/>
    <w:basedOn w:val="Normal"/>
    <w:rsid w:val="00A356FA"/>
    <w:pPr>
      <w:shd w:val="clear" w:color="000000" w:fill="EEECE1"/>
      <w:spacing w:before="100" w:beforeAutospacing="1" w:after="100" w:afterAutospacing="1" w:line="240" w:lineRule="auto"/>
      <w:jc w:val="center"/>
    </w:pPr>
    <w:rPr>
      <w:rFonts w:ascii="Calibri" w:eastAsia="Times New Roman" w:hAnsi="Calibri" w:cs="Calibri"/>
      <w:sz w:val="16"/>
      <w:szCs w:val="16"/>
    </w:rPr>
  </w:style>
  <w:style w:type="paragraph" w:customStyle="1" w:styleId="xl78">
    <w:name w:val="xl78"/>
    <w:basedOn w:val="Normal"/>
    <w:rsid w:val="00A356FA"/>
    <w:pPr>
      <w:shd w:val="clear" w:color="000000" w:fill="EAF1DD"/>
      <w:spacing w:before="100" w:beforeAutospacing="1" w:after="100" w:afterAutospacing="1" w:line="240" w:lineRule="auto"/>
    </w:pPr>
    <w:rPr>
      <w:rFonts w:ascii="Calibri" w:eastAsia="Times New Roman" w:hAnsi="Calibri" w:cs="Calibri"/>
      <w:b/>
      <w:bCs/>
      <w:color w:val="00B050"/>
      <w:sz w:val="16"/>
      <w:szCs w:val="16"/>
    </w:rPr>
  </w:style>
  <w:style w:type="paragraph" w:customStyle="1" w:styleId="xl79">
    <w:name w:val="xl79"/>
    <w:basedOn w:val="Normal"/>
    <w:rsid w:val="00A356FA"/>
    <w:pPr>
      <w:shd w:val="clear" w:color="000000" w:fill="CCC0DA"/>
      <w:spacing w:before="100" w:beforeAutospacing="1" w:after="100" w:afterAutospacing="1" w:line="240" w:lineRule="auto"/>
    </w:pPr>
    <w:rPr>
      <w:rFonts w:ascii="Calibri" w:eastAsia="Times New Roman" w:hAnsi="Calibri" w:cs="Calibri"/>
      <w:b/>
      <w:bCs/>
      <w:color w:val="3F3151"/>
      <w:sz w:val="16"/>
      <w:szCs w:val="16"/>
    </w:rPr>
  </w:style>
  <w:style w:type="paragraph" w:customStyle="1" w:styleId="xl80">
    <w:name w:val="xl80"/>
    <w:basedOn w:val="Normal"/>
    <w:rsid w:val="00A356FA"/>
    <w:pPr>
      <w:shd w:val="clear" w:color="000000" w:fill="EEECE1"/>
      <w:spacing w:before="100" w:beforeAutospacing="1" w:after="100" w:afterAutospacing="1" w:line="240" w:lineRule="auto"/>
      <w:jc w:val="center"/>
    </w:pPr>
    <w:rPr>
      <w:rFonts w:ascii="Calibri" w:eastAsia="Times New Roman" w:hAnsi="Calibri" w:cs="Calibri"/>
      <w:sz w:val="18"/>
      <w:szCs w:val="18"/>
    </w:rPr>
  </w:style>
  <w:style w:type="paragraph" w:customStyle="1" w:styleId="subtitle-frontpage">
    <w:name w:val="subtitle-frontpage"/>
    <w:basedOn w:val="Normal"/>
    <w:next w:val="Normal"/>
    <w:uiPriority w:val="99"/>
    <w:rsid w:val="00A356FA"/>
    <w:pPr>
      <w:spacing w:after="0" w:line="720" w:lineRule="atLeast"/>
    </w:pPr>
    <w:rPr>
      <w:rFonts w:ascii="Arial" w:eastAsia="Times New Roman" w:hAnsi="Arial" w:cs="Times New Roman"/>
      <w:color w:val="A0A5A5"/>
      <w:sz w:val="44"/>
      <w:szCs w:val="24"/>
      <w:lang w:val="en-GB" w:eastAsia="nl-NL"/>
    </w:rPr>
  </w:style>
  <w:style w:type="paragraph" w:customStyle="1" w:styleId="title-frontpage">
    <w:name w:val="title-frontpage"/>
    <w:basedOn w:val="Normal"/>
    <w:next w:val="subtitle-frontpage"/>
    <w:uiPriority w:val="99"/>
    <w:rsid w:val="00A356FA"/>
    <w:pPr>
      <w:spacing w:after="0" w:line="720" w:lineRule="atLeast"/>
    </w:pPr>
    <w:rPr>
      <w:rFonts w:ascii="Arial" w:eastAsia="Times New Roman" w:hAnsi="Arial" w:cs="Times New Roman"/>
      <w:b/>
      <w:color w:val="003C64"/>
      <w:sz w:val="52"/>
      <w:szCs w:val="24"/>
      <w:lang w:val="en-GB" w:eastAsia="nl-NL"/>
    </w:rPr>
  </w:style>
  <w:style w:type="paragraph" w:styleId="Revision">
    <w:name w:val="Revision"/>
    <w:hidden/>
    <w:rsid w:val="00A356FA"/>
    <w:rPr>
      <w:rFonts w:eastAsiaTheme="minorHAnsi"/>
      <w:lang w:val="en-GB"/>
    </w:rPr>
  </w:style>
  <w:style w:type="character" w:customStyle="1" w:styleId="Heading6Char">
    <w:name w:val="Heading 6 Char"/>
    <w:aliases w:val="Points in Text Char"/>
    <w:basedOn w:val="DefaultParagraphFont"/>
    <w:link w:val="Heading6"/>
    <w:rsid w:val="00AF6F1C"/>
    <w:rPr>
      <w:rFonts w:eastAsia="Times New Roman" w:cs="Times New Roman"/>
      <w:b/>
      <w:szCs w:val="24"/>
      <w:lang w:val="en-GB"/>
    </w:rPr>
  </w:style>
  <w:style w:type="character" w:customStyle="1" w:styleId="Heading7Char">
    <w:name w:val="Heading 7 Char"/>
    <w:basedOn w:val="DefaultParagraphFont"/>
    <w:link w:val="Heading7"/>
    <w:uiPriority w:val="9"/>
    <w:rsid w:val="00944687"/>
    <w:rPr>
      <w:rFonts w:eastAsiaTheme="minorHAnsi" w:cs="Times New Roman"/>
      <w:b/>
      <w:szCs w:val="24"/>
    </w:rPr>
  </w:style>
  <w:style w:type="character" w:customStyle="1" w:styleId="Heading8Char">
    <w:name w:val="Heading 8 Char"/>
    <w:basedOn w:val="DefaultParagraphFont"/>
    <w:link w:val="Heading8"/>
    <w:rsid w:val="00D13FC2"/>
    <w:rPr>
      <w:rFonts w:cs="Times New Roman"/>
      <w:b/>
    </w:rPr>
  </w:style>
  <w:style w:type="character" w:customStyle="1" w:styleId="Heading9Char">
    <w:name w:val="Heading 9 Char"/>
    <w:basedOn w:val="DefaultParagraphFont"/>
    <w:link w:val="Heading9"/>
    <w:rsid w:val="00A356FA"/>
    <w:rPr>
      <w:rFonts w:ascii="Cambria" w:eastAsia="Times New Roman" w:hAnsi="Cambria" w:cs="Vrinda"/>
      <w:i/>
      <w:iCs/>
      <w:color w:val="404040"/>
      <w:sz w:val="20"/>
      <w:szCs w:val="20"/>
      <w:lang w:bidi="bn-BD"/>
    </w:rPr>
  </w:style>
  <w:style w:type="paragraph" w:customStyle="1" w:styleId="Body">
    <w:name w:val="Body"/>
    <w:basedOn w:val="Normal"/>
    <w:link w:val="BodyChar"/>
    <w:autoRedefine/>
    <w:qFormat/>
    <w:rsid w:val="00A356FA"/>
    <w:pPr>
      <w:tabs>
        <w:tab w:val="left" w:pos="630"/>
      </w:tabs>
      <w:suppressAutoHyphens/>
      <w:spacing w:before="120" w:after="200" w:line="276" w:lineRule="auto"/>
      <w:jc w:val="both"/>
    </w:pPr>
    <w:rPr>
      <w:rFonts w:ascii="Arial" w:eastAsia="Times New Roman" w:hAnsi="Arial" w:cs="Vrinda"/>
      <w:bCs/>
      <w:color w:val="000000"/>
      <w:spacing w:val="5"/>
      <w:lang w:bidi="bn-BD"/>
    </w:rPr>
  </w:style>
  <w:style w:type="character" w:customStyle="1" w:styleId="BodyChar">
    <w:name w:val="Body Char"/>
    <w:link w:val="Body"/>
    <w:rsid w:val="00A356FA"/>
    <w:rPr>
      <w:rFonts w:eastAsia="Times New Roman" w:cs="Vrinda"/>
      <w:bCs/>
      <w:color w:val="000000"/>
      <w:spacing w:val="5"/>
      <w:sz w:val="22"/>
      <w:szCs w:val="22"/>
      <w:lang w:bidi="bn-BD"/>
    </w:rPr>
  </w:style>
  <w:style w:type="paragraph" w:customStyle="1" w:styleId="Tablesscs">
    <w:name w:val="Tables_scs"/>
    <w:basedOn w:val="Normal"/>
    <w:qFormat/>
    <w:rsid w:val="00A356FA"/>
    <w:pPr>
      <w:keepNext/>
      <w:tabs>
        <w:tab w:val="left" w:pos="1080"/>
      </w:tabs>
      <w:spacing w:before="240" w:after="120" w:line="264" w:lineRule="auto"/>
      <w:jc w:val="center"/>
    </w:pPr>
    <w:rPr>
      <w:rFonts w:ascii="Arial" w:eastAsia="Calibri" w:hAnsi="Arial" w:cs="Arial"/>
      <w:b/>
      <w:bCs/>
      <w:szCs w:val="20"/>
      <w:lang w:bidi="hi-IN"/>
    </w:rPr>
  </w:style>
  <w:style w:type="table" w:customStyle="1" w:styleId="LightShading1">
    <w:name w:val="Light Shading1"/>
    <w:basedOn w:val="TableNormal"/>
    <w:uiPriority w:val="60"/>
    <w:rsid w:val="00A356FA"/>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Figures">
    <w:name w:val="Figures"/>
    <w:basedOn w:val="Normal"/>
    <w:link w:val="FiguresChar"/>
    <w:qFormat/>
    <w:rsid w:val="00A356FA"/>
    <w:pPr>
      <w:tabs>
        <w:tab w:val="left" w:pos="1080"/>
        <w:tab w:val="right" w:leader="dot" w:pos="9360"/>
      </w:tabs>
      <w:spacing w:before="120" w:after="120" w:line="264" w:lineRule="auto"/>
      <w:jc w:val="both"/>
    </w:pPr>
    <w:rPr>
      <w:rFonts w:ascii="Times New Roman Bold" w:eastAsia="Times New Roman" w:hAnsi="Times New Roman Bold" w:cs="Times New Roman"/>
      <w:b/>
      <w:szCs w:val="20"/>
      <w:lang w:val="en-GB"/>
    </w:rPr>
  </w:style>
  <w:style w:type="paragraph" w:customStyle="1" w:styleId="Heading2-ADB">
    <w:name w:val="Heading2-ADB"/>
    <w:basedOn w:val="Heading2"/>
    <w:rsid w:val="00A356FA"/>
    <w:pPr>
      <w:keepNext/>
      <w:numPr>
        <w:numId w:val="7"/>
      </w:numPr>
      <w:spacing w:before="360"/>
    </w:pPr>
    <w:rPr>
      <w:rFonts w:ascii="Tahoma" w:hAnsi="Tahoma"/>
      <w:bCs/>
      <w:color w:val="1F497D"/>
    </w:rPr>
  </w:style>
  <w:style w:type="paragraph" w:customStyle="1" w:styleId="buletscs">
    <w:name w:val="bulet_scs"/>
    <w:basedOn w:val="Normal"/>
    <w:qFormat/>
    <w:rsid w:val="00A356FA"/>
    <w:pPr>
      <w:numPr>
        <w:numId w:val="8"/>
      </w:numPr>
      <w:tabs>
        <w:tab w:val="center" w:pos="720"/>
      </w:tabs>
      <w:autoSpaceDE w:val="0"/>
      <w:autoSpaceDN w:val="0"/>
      <w:adjustRightInd w:val="0"/>
      <w:spacing w:before="120" w:after="120" w:line="264" w:lineRule="auto"/>
      <w:ind w:left="720"/>
      <w:jc w:val="both"/>
    </w:pPr>
    <w:rPr>
      <w:rFonts w:ascii="Arial" w:eastAsia="Calibri" w:hAnsi="Arial" w:cs="Times New Roman"/>
    </w:rPr>
  </w:style>
  <w:style w:type="paragraph" w:customStyle="1" w:styleId="Mapscs">
    <w:name w:val="Map_scs"/>
    <w:basedOn w:val="Normal"/>
    <w:qFormat/>
    <w:rsid w:val="00A356FA"/>
    <w:pPr>
      <w:spacing w:before="120" w:after="120" w:line="264" w:lineRule="auto"/>
      <w:jc w:val="center"/>
    </w:pPr>
    <w:rPr>
      <w:rFonts w:ascii="Arial" w:eastAsia="Calibri" w:hAnsi="Arial" w:cs="Arial"/>
      <w:b/>
    </w:rPr>
  </w:style>
  <w:style w:type="paragraph" w:customStyle="1" w:styleId="Tables">
    <w:name w:val="Tables"/>
    <w:basedOn w:val="Normal"/>
    <w:rsid w:val="00A356FA"/>
    <w:pPr>
      <w:tabs>
        <w:tab w:val="left" w:pos="1080"/>
      </w:tabs>
      <w:spacing w:before="240" w:line="264" w:lineRule="auto"/>
      <w:jc w:val="both"/>
    </w:pPr>
    <w:rPr>
      <w:rFonts w:ascii="Times New Roman Bold" w:eastAsia="Times New Roman" w:hAnsi="Times New Roman Bold" w:cs="Times New Roman"/>
      <w:b/>
      <w:bCs/>
      <w:szCs w:val="20"/>
    </w:rPr>
  </w:style>
  <w:style w:type="paragraph" w:customStyle="1" w:styleId="style67">
    <w:name w:val="style67"/>
    <w:basedOn w:val="Normal"/>
    <w:rsid w:val="00A356FA"/>
    <w:pPr>
      <w:spacing w:before="100" w:beforeAutospacing="1" w:after="100" w:afterAutospacing="1" w:line="240" w:lineRule="auto"/>
    </w:pPr>
    <w:rPr>
      <w:rFonts w:eastAsia="Times New Roman" w:cs="Times New Roman"/>
      <w:szCs w:val="24"/>
    </w:rPr>
  </w:style>
  <w:style w:type="paragraph" w:customStyle="1" w:styleId="BodyText1">
    <w:name w:val="Body Text 1"/>
    <w:basedOn w:val="BodyText"/>
    <w:rsid w:val="00A356FA"/>
    <w:pPr>
      <w:spacing w:before="120" w:after="60" w:line="264" w:lineRule="auto"/>
      <w:ind w:left="720" w:hanging="360"/>
      <w:jc w:val="both"/>
    </w:pPr>
    <w:rPr>
      <w:rFonts w:eastAsia="Times New Roman" w:cs="Vrinda"/>
      <w:color w:val="000000"/>
      <w:szCs w:val="24"/>
      <w:lang w:bidi="bn-BD"/>
    </w:rPr>
  </w:style>
  <w:style w:type="table" w:styleId="LightShading-Accent5">
    <w:name w:val="Light Shading Accent 5"/>
    <w:basedOn w:val="TableNormal"/>
    <w:uiPriority w:val="60"/>
    <w:rsid w:val="00A356FA"/>
    <w:rPr>
      <w:rFonts w:asciiTheme="minorHAnsi" w:eastAsiaTheme="minorEastAsia" w:hAnsiTheme="minorHAnsi"/>
      <w:color w:val="31849B" w:themeColor="accent5" w:themeShade="BF"/>
      <w:sz w:val="22"/>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apple-converted-space">
    <w:name w:val="apple-converted-space"/>
    <w:basedOn w:val="DefaultParagraphFont"/>
    <w:rsid w:val="00A356FA"/>
  </w:style>
  <w:style w:type="table" w:customStyle="1" w:styleId="LightShading-Accent11">
    <w:name w:val="Light Shading - Accent 11"/>
    <w:basedOn w:val="TableNormal"/>
    <w:uiPriority w:val="60"/>
    <w:rsid w:val="00A356FA"/>
    <w:rPr>
      <w:rFonts w:asciiTheme="minorHAnsi" w:eastAsiaTheme="minorHAnsi" w:hAnsiTheme="minorHAnsi"/>
      <w:color w:val="365F91" w:themeColor="accent1" w:themeShade="BF"/>
      <w:sz w:val="22"/>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5">
    <w:name w:val="Light Grid Accent 5"/>
    <w:basedOn w:val="TableNormal"/>
    <w:uiPriority w:val="62"/>
    <w:rsid w:val="00A356FA"/>
    <w:rPr>
      <w:rFonts w:asciiTheme="minorHAnsi" w:eastAsiaTheme="minorHAnsi" w:hAnsiTheme="minorHAnsi"/>
      <w:sz w:val="22"/>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PlainTable11">
    <w:name w:val="Plain Table 11"/>
    <w:basedOn w:val="TableNormal"/>
    <w:uiPriority w:val="41"/>
    <w:rsid w:val="00A356FA"/>
    <w:rPr>
      <w:rFonts w:asciiTheme="minorHAnsi" w:eastAsiaTheme="minorHAnsi" w:hAnsiTheme="minorHAnsi"/>
      <w:sz w:val="22"/>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aptionChar">
    <w:name w:val="Caption Char"/>
    <w:aliases w:val="Caption_ICFWM Char,FIGURE_CC Char,~Caption Char,Caption Char1 Char,Caption Char Char Char,Caption Char2 Char Char Char,Caption Char1 Char Char Char Char,Caption Char Char Char Char Char Char,Caption Char2 Char Char Char Char Char Char"/>
    <w:link w:val="Caption"/>
    <w:uiPriority w:val="35"/>
    <w:rsid w:val="00A356FA"/>
    <w:rPr>
      <w:rFonts w:asciiTheme="minorHAnsi" w:eastAsiaTheme="minorHAnsi" w:hAnsiTheme="minorHAnsi"/>
      <w:b/>
      <w:bCs/>
      <w:color w:val="4F81BD" w:themeColor="accent1"/>
      <w:sz w:val="18"/>
      <w:szCs w:val="18"/>
    </w:rPr>
  </w:style>
  <w:style w:type="paragraph" w:customStyle="1" w:styleId="Pa2">
    <w:name w:val="Pa2"/>
    <w:basedOn w:val="Default"/>
    <w:next w:val="Default"/>
    <w:uiPriority w:val="99"/>
    <w:rsid w:val="00A356FA"/>
    <w:pPr>
      <w:widowControl/>
      <w:spacing w:line="191" w:lineRule="atLeast"/>
    </w:pPr>
    <w:rPr>
      <w:rFonts w:eastAsia="Calibri"/>
      <w:color w:val="auto"/>
    </w:rPr>
  </w:style>
  <w:style w:type="paragraph" w:customStyle="1" w:styleId="Heading40">
    <w:name w:val="Heading4"/>
    <w:basedOn w:val="Heading4"/>
    <w:autoRedefine/>
    <w:rsid w:val="00A356FA"/>
    <w:pPr>
      <w:keepNext/>
      <w:spacing w:before="120"/>
    </w:pPr>
    <w:rPr>
      <w:rFonts w:ascii="Segoe UI" w:eastAsia="Times New Roman" w:hAnsi="Segoe UI" w:cs="Segoe UI"/>
      <w:i/>
      <w:sz w:val="19"/>
      <w:szCs w:val="19"/>
      <w:lang w:eastAsia="sv-SE"/>
    </w:rPr>
  </w:style>
  <w:style w:type="paragraph" w:customStyle="1" w:styleId="ListBulletDot">
    <w:name w:val="ListBulletDot"/>
    <w:basedOn w:val="Normal"/>
    <w:autoRedefine/>
    <w:rsid w:val="00A356FA"/>
    <w:pPr>
      <w:spacing w:after="0" w:line="276" w:lineRule="auto"/>
      <w:jc w:val="both"/>
    </w:pPr>
    <w:rPr>
      <w:rFonts w:eastAsia="MS Mincho" w:cs="Times New Roman"/>
      <w:color w:val="FF0000"/>
      <w:lang w:val="en-GB" w:eastAsia="sv-SE"/>
    </w:rPr>
  </w:style>
  <w:style w:type="character" w:customStyle="1" w:styleId="field-content">
    <w:name w:val="field-content"/>
    <w:basedOn w:val="DefaultParagraphFont"/>
    <w:rsid w:val="00A356FA"/>
  </w:style>
  <w:style w:type="paragraph" w:customStyle="1" w:styleId="Pa1">
    <w:name w:val="Pa1"/>
    <w:basedOn w:val="Default"/>
    <w:next w:val="Default"/>
    <w:uiPriority w:val="99"/>
    <w:rsid w:val="00A356FA"/>
    <w:pPr>
      <w:widowControl/>
      <w:spacing w:line="241" w:lineRule="atLeast"/>
    </w:pPr>
    <w:rPr>
      <w:rFonts w:eastAsia="Calibri"/>
      <w:color w:val="auto"/>
    </w:rPr>
  </w:style>
  <w:style w:type="character" w:customStyle="1" w:styleId="A3">
    <w:name w:val="A3"/>
    <w:uiPriority w:val="99"/>
    <w:rsid w:val="00A356FA"/>
    <w:rPr>
      <w:color w:val="000000"/>
      <w:sz w:val="19"/>
      <w:szCs w:val="19"/>
    </w:rPr>
  </w:style>
  <w:style w:type="paragraph" w:customStyle="1" w:styleId="bodytext0">
    <w:name w:val="bodytext"/>
    <w:basedOn w:val="Normal"/>
    <w:rsid w:val="007F2F9C"/>
    <w:pPr>
      <w:spacing w:before="240" w:line="240" w:lineRule="auto"/>
    </w:pPr>
    <w:rPr>
      <w:rFonts w:eastAsia="Times New Roman" w:cs="Times New Roman"/>
      <w:szCs w:val="24"/>
    </w:rPr>
  </w:style>
  <w:style w:type="paragraph" w:styleId="TOC4">
    <w:name w:val="toc 4"/>
    <w:basedOn w:val="Normal"/>
    <w:uiPriority w:val="39"/>
    <w:qFormat/>
    <w:rsid w:val="007F2F9C"/>
    <w:pPr>
      <w:widowControl w:val="0"/>
      <w:spacing w:before="13" w:after="0" w:line="240" w:lineRule="auto"/>
      <w:ind w:left="1370" w:hanging="284"/>
    </w:pPr>
    <w:rPr>
      <w:rFonts w:ascii="Calibri" w:eastAsia="Calibri" w:hAnsi="Calibri"/>
      <w:sz w:val="21"/>
      <w:szCs w:val="21"/>
    </w:rPr>
  </w:style>
  <w:style w:type="paragraph" w:styleId="TOC5">
    <w:name w:val="toc 5"/>
    <w:basedOn w:val="Normal"/>
    <w:uiPriority w:val="39"/>
    <w:qFormat/>
    <w:rsid w:val="007F2F9C"/>
    <w:pPr>
      <w:widowControl w:val="0"/>
      <w:spacing w:before="13" w:after="0" w:line="240" w:lineRule="auto"/>
      <w:ind w:left="1653"/>
    </w:pPr>
    <w:rPr>
      <w:rFonts w:ascii="Calibri" w:eastAsia="Calibri" w:hAnsi="Calibri"/>
      <w:sz w:val="21"/>
      <w:szCs w:val="21"/>
    </w:rPr>
  </w:style>
  <w:style w:type="paragraph" w:styleId="TOC6">
    <w:name w:val="toc 6"/>
    <w:basedOn w:val="Normal"/>
    <w:uiPriority w:val="39"/>
    <w:qFormat/>
    <w:rsid w:val="007F2F9C"/>
    <w:pPr>
      <w:widowControl w:val="0"/>
      <w:spacing w:before="13" w:after="0" w:line="240" w:lineRule="auto"/>
      <w:ind w:left="2220"/>
    </w:pPr>
    <w:rPr>
      <w:rFonts w:ascii="Calibri" w:eastAsia="Calibri" w:hAnsi="Calibri"/>
      <w:sz w:val="21"/>
      <w:szCs w:val="21"/>
    </w:rPr>
  </w:style>
  <w:style w:type="paragraph" w:customStyle="1" w:styleId="refdata-frontpage">
    <w:name w:val="refdata-frontpage"/>
    <w:basedOn w:val="Normal"/>
    <w:uiPriority w:val="99"/>
    <w:rsid w:val="007F2F9C"/>
    <w:pPr>
      <w:spacing w:after="0" w:line="560" w:lineRule="atLeast"/>
    </w:pPr>
    <w:rPr>
      <w:rFonts w:ascii="Arial" w:eastAsia="Times New Roman" w:hAnsi="Arial" w:cs="Times New Roman"/>
      <w:color w:val="003C64"/>
      <w:szCs w:val="24"/>
      <w:lang w:val="en-GB" w:eastAsia="nl-NL"/>
    </w:rPr>
  </w:style>
  <w:style w:type="paragraph" w:customStyle="1" w:styleId="front-inbetween">
    <w:name w:val="front-inbetween"/>
    <w:basedOn w:val="Normal"/>
    <w:next w:val="refdata-frontpage"/>
    <w:rsid w:val="007F2F9C"/>
    <w:pPr>
      <w:spacing w:after="0" w:line="320" w:lineRule="atLeast"/>
    </w:pPr>
    <w:rPr>
      <w:rFonts w:ascii="Arial" w:eastAsia="Times New Roman" w:hAnsi="Arial" w:cs="Times New Roman"/>
      <w:sz w:val="18"/>
      <w:szCs w:val="24"/>
      <w:lang w:val="en-GB" w:eastAsia="nl-NL"/>
    </w:rPr>
  </w:style>
  <w:style w:type="paragraph" w:customStyle="1" w:styleId="AuthorandDate">
    <w:name w:val="Author and Date"/>
    <w:basedOn w:val="Normal"/>
    <w:link w:val="AuthorandDateChar"/>
    <w:qFormat/>
    <w:rsid w:val="007F2F9C"/>
    <w:pPr>
      <w:spacing w:after="40" w:line="276" w:lineRule="auto"/>
    </w:pPr>
    <w:rPr>
      <w:rFonts w:ascii="Segoe UI" w:hAnsi="Segoe UI" w:cs="Segoe UI"/>
      <w:color w:val="059973"/>
      <w:sz w:val="19"/>
      <w:szCs w:val="19"/>
    </w:rPr>
  </w:style>
  <w:style w:type="character" w:customStyle="1" w:styleId="AuthorandDateChar">
    <w:name w:val="Author and Date Char"/>
    <w:basedOn w:val="DefaultParagraphFont"/>
    <w:link w:val="AuthorandDate"/>
    <w:rsid w:val="007F2F9C"/>
    <w:rPr>
      <w:rFonts w:ascii="Segoe UI" w:eastAsiaTheme="minorHAnsi" w:hAnsi="Segoe UI" w:cs="Segoe UI"/>
      <w:color w:val="059973"/>
      <w:sz w:val="19"/>
      <w:szCs w:val="19"/>
    </w:rPr>
  </w:style>
  <w:style w:type="character" w:styleId="HTMLCite">
    <w:name w:val="HTML Cite"/>
    <w:basedOn w:val="DefaultParagraphFont"/>
    <w:uiPriority w:val="99"/>
    <w:semiHidden/>
    <w:unhideWhenUsed/>
    <w:rsid w:val="007F2F9C"/>
    <w:rPr>
      <w:i/>
      <w:iCs/>
    </w:rPr>
  </w:style>
  <w:style w:type="table" w:customStyle="1" w:styleId="TableGridAppendixlist1">
    <w:name w:val="Table Grid (Appendix list)1"/>
    <w:basedOn w:val="TableNormal"/>
    <w:next w:val="TableGrid"/>
    <w:uiPriority w:val="59"/>
    <w:rsid w:val="007F2F9C"/>
    <w:rPr>
      <w:rFonts w:asciiTheme="minorHAnsi" w:eastAsia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qFormat/>
    <w:rsid w:val="007F2F9C"/>
    <w:pPr>
      <w:spacing w:after="40" w:line="360" w:lineRule="auto"/>
    </w:pPr>
    <w:rPr>
      <w:rFonts w:ascii="Arial" w:eastAsia="Calibri" w:hAnsi="Arial" w:cs="Arial"/>
      <w:color w:val="404040"/>
      <w:sz w:val="20"/>
    </w:rPr>
  </w:style>
  <w:style w:type="character" w:customStyle="1" w:styleId="SubtitleChar">
    <w:name w:val="Subtitle Char"/>
    <w:basedOn w:val="DefaultParagraphFont"/>
    <w:link w:val="Subtitle"/>
    <w:rsid w:val="007F2F9C"/>
    <w:rPr>
      <w:rFonts w:eastAsia="Calibri" w:cs="Arial"/>
      <w:color w:val="404040"/>
      <w:sz w:val="20"/>
      <w:szCs w:val="22"/>
    </w:rPr>
  </w:style>
  <w:style w:type="character" w:styleId="SubtleEmphasis">
    <w:name w:val="Subtle Emphasis"/>
    <w:uiPriority w:val="19"/>
    <w:qFormat/>
    <w:rsid w:val="007F2F9C"/>
    <w:rPr>
      <w:i/>
      <w:color w:val="404040"/>
    </w:rPr>
  </w:style>
  <w:style w:type="character" w:styleId="IntenseEmphasis">
    <w:name w:val="Intense Emphasis"/>
    <w:uiPriority w:val="21"/>
    <w:qFormat/>
    <w:rsid w:val="007F2F9C"/>
    <w:rPr>
      <w:i/>
      <w:color w:val="059973"/>
    </w:rPr>
  </w:style>
  <w:style w:type="paragraph" w:styleId="Quote">
    <w:name w:val="Quote"/>
    <w:basedOn w:val="Normal"/>
    <w:next w:val="Normal"/>
    <w:link w:val="QuoteChar"/>
    <w:uiPriority w:val="29"/>
    <w:qFormat/>
    <w:rsid w:val="007F2F9C"/>
    <w:pPr>
      <w:spacing w:after="40" w:line="360" w:lineRule="auto"/>
      <w:jc w:val="center"/>
    </w:pPr>
    <w:rPr>
      <w:rFonts w:ascii="Arial" w:eastAsia="Calibri" w:hAnsi="Arial" w:cs="Arial"/>
      <w:i/>
    </w:rPr>
  </w:style>
  <w:style w:type="character" w:customStyle="1" w:styleId="QuoteChar">
    <w:name w:val="Quote Char"/>
    <w:basedOn w:val="DefaultParagraphFont"/>
    <w:link w:val="Quote"/>
    <w:uiPriority w:val="29"/>
    <w:rsid w:val="007F2F9C"/>
    <w:rPr>
      <w:rFonts w:eastAsia="Calibri" w:cs="Arial"/>
      <w:i/>
      <w:szCs w:val="22"/>
    </w:rPr>
  </w:style>
  <w:style w:type="table" w:customStyle="1" w:styleId="NoSuchTabel">
    <w:name w:val="NoSuchTabel"/>
    <w:basedOn w:val="TableNormal"/>
    <w:uiPriority w:val="99"/>
    <w:rsid w:val="007F2F9C"/>
    <w:rPr>
      <w:rFonts w:ascii="Calibri" w:eastAsia="Times New Roman" w:hAnsi="Calibri" w:cs="Arial"/>
      <w:sz w:val="20"/>
      <w:szCs w:val="20"/>
      <w:lang w:eastAsia="nl-NL"/>
    </w:rPr>
    <w:tblPr>
      <w:tblStyleRowBandSize w:val="1"/>
      <w:tblStyleColBandSize w:val="1"/>
      <w:tblInd w:w="0" w:type="dxa"/>
      <w:tblBorders>
        <w:insideH w:val="dotted" w:sz="2" w:space="0" w:color="auto"/>
      </w:tblBorders>
      <w:tblCellMar>
        <w:top w:w="0" w:type="dxa"/>
        <w:left w:w="108" w:type="dxa"/>
        <w:bottom w:w="0" w:type="dxa"/>
        <w:right w:w="108" w:type="dxa"/>
      </w:tblCellMar>
    </w:tblPr>
    <w:tblStylePr w:type="firstRow">
      <w:rPr>
        <w:b/>
        <w:color w:val="404040"/>
      </w:rPr>
      <w:tblPr/>
      <w:trPr>
        <w:tblHeader/>
      </w:trPr>
      <w:tcPr>
        <w:tcBorders>
          <w:bottom w:val="single" w:sz="8" w:space="0" w:color="059973"/>
        </w:tcBorders>
        <w:shd w:val="clear" w:color="auto" w:fill="FFFFFF"/>
      </w:tcPr>
    </w:tblStylePr>
    <w:tblStylePr w:type="lastRow">
      <w:rPr>
        <w:b/>
      </w:rPr>
      <w:tblPr/>
      <w:tcPr>
        <w:tcBorders>
          <w:top w:val="single" w:sz="8" w:space="0" w:color="auto"/>
        </w:tcBorders>
      </w:tcPr>
    </w:tblStylePr>
    <w:tblStylePr w:type="lastCol">
      <w:rPr>
        <w:b/>
      </w:rPr>
    </w:tblStylePr>
    <w:tblStylePr w:type="band1Vert">
      <w:tblPr/>
      <w:tcPr>
        <w:shd w:val="clear" w:color="auto" w:fill="FFFFFF"/>
      </w:tcPr>
    </w:tblStylePr>
    <w:tblStylePr w:type="band2Horz">
      <w:tblPr/>
      <w:tcPr>
        <w:shd w:val="clear" w:color="auto" w:fill="FFFFFF"/>
      </w:tcPr>
    </w:tblStylePr>
    <w:tblStylePr w:type="neCell">
      <w:rPr>
        <w:b w:val="0"/>
      </w:rPr>
    </w:tblStylePr>
    <w:tblStylePr w:type="seCell">
      <w:rPr>
        <w:b w:val="0"/>
      </w:rPr>
    </w:tblStylePr>
  </w:style>
  <w:style w:type="paragraph" w:customStyle="1" w:styleId="Figure">
    <w:name w:val="Figure"/>
    <w:basedOn w:val="NoSpacing"/>
    <w:link w:val="FigureChar"/>
    <w:qFormat/>
    <w:rsid w:val="007F2F9C"/>
    <w:pPr>
      <w:jc w:val="center"/>
    </w:pPr>
    <w:rPr>
      <w:rFonts w:ascii="Arial" w:eastAsia="Calibri" w:hAnsi="Arial" w:cs="Arial"/>
      <w:sz w:val="18"/>
      <w:lang w:val="nl-NL"/>
    </w:rPr>
  </w:style>
  <w:style w:type="character" w:customStyle="1" w:styleId="FigureChar">
    <w:name w:val="Figure Char"/>
    <w:link w:val="Figure"/>
    <w:rsid w:val="007F2F9C"/>
    <w:rPr>
      <w:rFonts w:eastAsia="Calibri" w:cs="Arial"/>
      <w:sz w:val="18"/>
      <w:szCs w:val="22"/>
      <w:lang w:val="nl-NL"/>
    </w:rPr>
  </w:style>
  <w:style w:type="character" w:customStyle="1" w:styleId="TableChar">
    <w:name w:val="Table Char"/>
    <w:link w:val="Table"/>
    <w:rsid w:val="007F2F9C"/>
    <w:rPr>
      <w:rFonts w:asciiTheme="minorHAnsi" w:eastAsiaTheme="minorHAnsi" w:hAnsiTheme="minorHAnsi"/>
      <w:sz w:val="22"/>
      <w:szCs w:val="22"/>
    </w:rPr>
  </w:style>
  <w:style w:type="table" w:customStyle="1" w:styleId="LightGrid-Accent11">
    <w:name w:val="Light Grid - Accent 11"/>
    <w:basedOn w:val="TableNormal"/>
    <w:uiPriority w:val="62"/>
    <w:rsid w:val="007F2F9C"/>
    <w:rPr>
      <w:rFonts w:ascii="Calibri" w:eastAsia="Calibri" w:hAnsi="Calibri" w:cs="Arial"/>
      <w:sz w:val="20"/>
      <w:szCs w:val="20"/>
    </w:rPr>
    <w:tblPr>
      <w:tblStyleRowBandSize w:val="1"/>
      <w:tblStyleColBandSize w:val="1"/>
      <w:tblInd w:w="0" w:type="dxa"/>
      <w:tblBorders>
        <w:top w:val="single" w:sz="8" w:space="0" w:color="059973"/>
        <w:left w:val="single" w:sz="8" w:space="0" w:color="059973"/>
        <w:bottom w:val="single" w:sz="8" w:space="0" w:color="059973"/>
        <w:right w:val="single" w:sz="8" w:space="0" w:color="059973"/>
        <w:insideH w:val="single" w:sz="8" w:space="0" w:color="059973"/>
        <w:insideV w:val="single" w:sz="8" w:space="0" w:color="059973"/>
      </w:tblBorders>
      <w:tblCellMar>
        <w:top w:w="0" w:type="dxa"/>
        <w:left w:w="108" w:type="dxa"/>
        <w:bottom w:w="0" w:type="dxa"/>
        <w:right w:w="108" w:type="dxa"/>
      </w:tblCellMar>
    </w:tblPr>
    <w:tblStylePr w:type="firstRow">
      <w:pPr>
        <w:spacing w:before="0" w:after="0" w:line="240" w:lineRule="auto"/>
      </w:pPr>
      <w:rPr>
        <w:rFonts w:ascii="BatangChe" w:eastAsia="Times New Roman" w:hAnsi="BatangChe" w:cs="Times New Roman"/>
        <w:b/>
        <w:bCs/>
      </w:rPr>
      <w:tblPr/>
      <w:tcPr>
        <w:tcBorders>
          <w:top w:val="single" w:sz="8" w:space="0" w:color="059973"/>
          <w:left w:val="single" w:sz="8" w:space="0" w:color="059973"/>
          <w:bottom w:val="single" w:sz="18" w:space="0" w:color="059973"/>
          <w:right w:val="single" w:sz="8" w:space="0" w:color="059973"/>
          <w:insideH w:val="nil"/>
          <w:insideV w:val="single" w:sz="8" w:space="0" w:color="059973"/>
        </w:tcBorders>
      </w:tcPr>
    </w:tblStylePr>
    <w:tblStylePr w:type="lastRow">
      <w:pPr>
        <w:spacing w:before="0" w:after="0" w:line="240" w:lineRule="auto"/>
      </w:pPr>
      <w:rPr>
        <w:rFonts w:ascii="BatangChe" w:eastAsia="Times New Roman" w:hAnsi="BatangChe" w:cs="Times New Roman"/>
        <w:b/>
        <w:bCs/>
      </w:rPr>
      <w:tblPr/>
      <w:tcPr>
        <w:tcBorders>
          <w:top w:val="double" w:sz="6" w:space="0" w:color="059973"/>
          <w:left w:val="single" w:sz="8" w:space="0" w:color="059973"/>
          <w:bottom w:val="single" w:sz="8" w:space="0" w:color="059973"/>
          <w:right w:val="single" w:sz="8" w:space="0" w:color="059973"/>
          <w:insideH w:val="nil"/>
          <w:insideV w:val="single" w:sz="8" w:space="0" w:color="059973"/>
        </w:tcBorders>
      </w:tcPr>
    </w:tblStylePr>
    <w:tblStylePr w:type="firstCol">
      <w:rPr>
        <w:rFonts w:ascii="BatangChe" w:eastAsia="Times New Roman" w:hAnsi="BatangChe" w:cs="Times New Roman"/>
        <w:b/>
        <w:bCs/>
      </w:rPr>
    </w:tblStylePr>
    <w:tblStylePr w:type="lastCol">
      <w:rPr>
        <w:rFonts w:ascii="BatangChe" w:eastAsia="Times New Roman" w:hAnsi="BatangChe" w:cs="Times New Roman"/>
        <w:b/>
        <w:bCs/>
      </w:rPr>
      <w:tblPr/>
      <w:tcPr>
        <w:tcBorders>
          <w:top w:val="single" w:sz="8" w:space="0" w:color="059973"/>
          <w:left w:val="single" w:sz="8" w:space="0" w:color="059973"/>
          <w:bottom w:val="single" w:sz="8" w:space="0" w:color="059973"/>
          <w:right w:val="single" w:sz="8" w:space="0" w:color="059973"/>
        </w:tcBorders>
      </w:tcPr>
    </w:tblStylePr>
    <w:tblStylePr w:type="band1Vert">
      <w:tblPr/>
      <w:tcPr>
        <w:tcBorders>
          <w:top w:val="single" w:sz="8" w:space="0" w:color="059973"/>
          <w:left w:val="single" w:sz="8" w:space="0" w:color="059973"/>
          <w:bottom w:val="single" w:sz="8" w:space="0" w:color="059973"/>
          <w:right w:val="single" w:sz="8" w:space="0" w:color="059973"/>
        </w:tcBorders>
        <w:shd w:val="clear" w:color="auto" w:fill="AAFCE7"/>
      </w:tcPr>
    </w:tblStylePr>
    <w:tblStylePr w:type="band1Horz">
      <w:tblPr/>
      <w:tcPr>
        <w:tcBorders>
          <w:top w:val="single" w:sz="8" w:space="0" w:color="059973"/>
          <w:left w:val="single" w:sz="8" w:space="0" w:color="059973"/>
          <w:bottom w:val="single" w:sz="8" w:space="0" w:color="059973"/>
          <w:right w:val="single" w:sz="8" w:space="0" w:color="059973"/>
          <w:insideV w:val="single" w:sz="8" w:space="0" w:color="059973"/>
        </w:tcBorders>
        <w:shd w:val="clear" w:color="auto" w:fill="AAFCE7"/>
      </w:tcPr>
    </w:tblStylePr>
    <w:tblStylePr w:type="band2Horz">
      <w:tblPr/>
      <w:tcPr>
        <w:tcBorders>
          <w:top w:val="single" w:sz="8" w:space="0" w:color="059973"/>
          <w:left w:val="single" w:sz="8" w:space="0" w:color="059973"/>
          <w:bottom w:val="single" w:sz="8" w:space="0" w:color="059973"/>
          <w:right w:val="single" w:sz="8" w:space="0" w:color="059973"/>
          <w:insideV w:val="single" w:sz="8" w:space="0" w:color="059973"/>
        </w:tcBorders>
      </w:tcPr>
    </w:tblStylePr>
  </w:style>
  <w:style w:type="table" w:customStyle="1" w:styleId="LightGrid-Accent12">
    <w:name w:val="Light Grid - Accent 12"/>
    <w:basedOn w:val="TableNormal"/>
    <w:uiPriority w:val="62"/>
    <w:rsid w:val="007F2F9C"/>
    <w:rPr>
      <w:rFonts w:ascii="Calibri" w:eastAsia="Calibri" w:hAnsi="Calibri" w:cs="Arial"/>
      <w:sz w:val="20"/>
      <w:szCs w:val="20"/>
    </w:rPr>
    <w:tblPr>
      <w:tblStyleRowBandSize w:val="1"/>
      <w:tblStyleColBandSize w:val="1"/>
      <w:tblInd w:w="0" w:type="dxa"/>
      <w:tblBorders>
        <w:top w:val="single" w:sz="8" w:space="0" w:color="059973"/>
        <w:left w:val="single" w:sz="8" w:space="0" w:color="059973"/>
        <w:bottom w:val="single" w:sz="8" w:space="0" w:color="059973"/>
        <w:right w:val="single" w:sz="8" w:space="0" w:color="059973"/>
        <w:insideH w:val="single" w:sz="8" w:space="0" w:color="059973"/>
        <w:insideV w:val="single" w:sz="8" w:space="0" w:color="059973"/>
      </w:tblBorders>
      <w:tblCellMar>
        <w:top w:w="0" w:type="dxa"/>
        <w:left w:w="108" w:type="dxa"/>
        <w:bottom w:w="0" w:type="dxa"/>
        <w:right w:w="108" w:type="dxa"/>
      </w:tblCellMar>
    </w:tblPr>
    <w:tblStylePr w:type="firstRow">
      <w:pPr>
        <w:spacing w:before="0" w:after="0" w:line="240" w:lineRule="auto"/>
      </w:pPr>
      <w:rPr>
        <w:rFonts w:ascii="BatangChe" w:eastAsia="Times New Roman" w:hAnsi="BatangChe" w:cs="Times New Roman"/>
        <w:b/>
        <w:bCs/>
      </w:rPr>
      <w:tblPr/>
      <w:tcPr>
        <w:tcBorders>
          <w:top w:val="single" w:sz="8" w:space="0" w:color="059973"/>
          <w:left w:val="single" w:sz="8" w:space="0" w:color="059973"/>
          <w:bottom w:val="single" w:sz="18" w:space="0" w:color="059973"/>
          <w:right w:val="single" w:sz="8" w:space="0" w:color="059973"/>
          <w:insideH w:val="nil"/>
          <w:insideV w:val="single" w:sz="8" w:space="0" w:color="059973"/>
        </w:tcBorders>
      </w:tcPr>
    </w:tblStylePr>
    <w:tblStylePr w:type="lastRow">
      <w:pPr>
        <w:spacing w:before="0" w:after="0" w:line="240" w:lineRule="auto"/>
      </w:pPr>
      <w:rPr>
        <w:rFonts w:ascii="BatangChe" w:eastAsia="Times New Roman" w:hAnsi="BatangChe" w:cs="Times New Roman"/>
        <w:b/>
        <w:bCs/>
      </w:rPr>
      <w:tblPr/>
      <w:tcPr>
        <w:tcBorders>
          <w:top w:val="double" w:sz="6" w:space="0" w:color="059973"/>
          <w:left w:val="single" w:sz="8" w:space="0" w:color="059973"/>
          <w:bottom w:val="single" w:sz="8" w:space="0" w:color="059973"/>
          <w:right w:val="single" w:sz="8" w:space="0" w:color="059973"/>
          <w:insideH w:val="nil"/>
          <w:insideV w:val="single" w:sz="8" w:space="0" w:color="059973"/>
        </w:tcBorders>
      </w:tcPr>
    </w:tblStylePr>
    <w:tblStylePr w:type="firstCol">
      <w:rPr>
        <w:rFonts w:ascii="BatangChe" w:eastAsia="Times New Roman" w:hAnsi="BatangChe" w:cs="Times New Roman"/>
        <w:b/>
        <w:bCs/>
      </w:rPr>
    </w:tblStylePr>
    <w:tblStylePr w:type="lastCol">
      <w:rPr>
        <w:rFonts w:ascii="BatangChe" w:eastAsia="Times New Roman" w:hAnsi="BatangChe" w:cs="Times New Roman"/>
        <w:b/>
        <w:bCs/>
      </w:rPr>
      <w:tblPr/>
      <w:tcPr>
        <w:tcBorders>
          <w:top w:val="single" w:sz="8" w:space="0" w:color="059973"/>
          <w:left w:val="single" w:sz="8" w:space="0" w:color="059973"/>
          <w:bottom w:val="single" w:sz="8" w:space="0" w:color="059973"/>
          <w:right w:val="single" w:sz="8" w:space="0" w:color="059973"/>
        </w:tcBorders>
      </w:tcPr>
    </w:tblStylePr>
    <w:tblStylePr w:type="band1Vert">
      <w:tblPr/>
      <w:tcPr>
        <w:tcBorders>
          <w:top w:val="single" w:sz="8" w:space="0" w:color="059973"/>
          <w:left w:val="single" w:sz="8" w:space="0" w:color="059973"/>
          <w:bottom w:val="single" w:sz="8" w:space="0" w:color="059973"/>
          <w:right w:val="single" w:sz="8" w:space="0" w:color="059973"/>
        </w:tcBorders>
        <w:shd w:val="clear" w:color="auto" w:fill="AAFCE7"/>
      </w:tcPr>
    </w:tblStylePr>
    <w:tblStylePr w:type="band1Horz">
      <w:tblPr/>
      <w:tcPr>
        <w:tcBorders>
          <w:top w:val="single" w:sz="8" w:space="0" w:color="059973"/>
          <w:left w:val="single" w:sz="8" w:space="0" w:color="059973"/>
          <w:bottom w:val="single" w:sz="8" w:space="0" w:color="059973"/>
          <w:right w:val="single" w:sz="8" w:space="0" w:color="059973"/>
          <w:insideV w:val="single" w:sz="8" w:space="0" w:color="059973"/>
        </w:tcBorders>
        <w:shd w:val="clear" w:color="auto" w:fill="AAFCE7"/>
      </w:tcPr>
    </w:tblStylePr>
    <w:tblStylePr w:type="band2Horz">
      <w:tblPr/>
      <w:tcPr>
        <w:tcBorders>
          <w:top w:val="single" w:sz="8" w:space="0" w:color="059973"/>
          <w:left w:val="single" w:sz="8" w:space="0" w:color="059973"/>
          <w:bottom w:val="single" w:sz="8" w:space="0" w:color="059973"/>
          <w:right w:val="single" w:sz="8" w:space="0" w:color="059973"/>
          <w:insideV w:val="single" w:sz="8" w:space="0" w:color="059973"/>
        </w:tcBorders>
      </w:tcPr>
    </w:tblStylePr>
  </w:style>
  <w:style w:type="paragraph" w:styleId="BodyText2">
    <w:name w:val="Body Text 2"/>
    <w:basedOn w:val="Normal"/>
    <w:link w:val="BodyText2Char"/>
    <w:uiPriority w:val="99"/>
    <w:rsid w:val="007F2F9C"/>
    <w:pPr>
      <w:spacing w:after="0" w:line="240" w:lineRule="auto"/>
      <w:jc w:val="both"/>
    </w:pPr>
    <w:rPr>
      <w:rFonts w:eastAsia="Times New Roman" w:cs="Times New Roman"/>
      <w:b/>
      <w:bCs/>
      <w:szCs w:val="24"/>
    </w:rPr>
  </w:style>
  <w:style w:type="character" w:customStyle="1" w:styleId="BodyText2Char">
    <w:name w:val="Body Text 2 Char"/>
    <w:basedOn w:val="DefaultParagraphFont"/>
    <w:link w:val="BodyText2"/>
    <w:rsid w:val="007F2F9C"/>
    <w:rPr>
      <w:rFonts w:ascii="Times New Roman" w:eastAsia="Times New Roman" w:hAnsi="Times New Roman" w:cs="Times New Roman"/>
      <w:b/>
      <w:bCs/>
    </w:rPr>
  </w:style>
  <w:style w:type="numbering" w:customStyle="1" w:styleId="NoList1">
    <w:name w:val="No List1"/>
    <w:next w:val="NoList"/>
    <w:uiPriority w:val="99"/>
    <w:semiHidden/>
    <w:unhideWhenUsed/>
    <w:rsid w:val="007F2F9C"/>
  </w:style>
  <w:style w:type="paragraph" w:styleId="TOC7">
    <w:name w:val="toc 7"/>
    <w:basedOn w:val="Normal"/>
    <w:next w:val="Normal"/>
    <w:autoRedefine/>
    <w:uiPriority w:val="39"/>
    <w:unhideWhenUsed/>
    <w:rsid w:val="007F2F9C"/>
    <w:pPr>
      <w:spacing w:after="100" w:line="276" w:lineRule="auto"/>
      <w:ind w:left="1320"/>
    </w:pPr>
    <w:rPr>
      <w:rFonts w:ascii="Calibri" w:eastAsia="Times New Roman" w:hAnsi="Calibri" w:cs="Arial"/>
    </w:rPr>
  </w:style>
  <w:style w:type="paragraph" w:styleId="TOC8">
    <w:name w:val="toc 8"/>
    <w:basedOn w:val="Normal"/>
    <w:next w:val="Normal"/>
    <w:autoRedefine/>
    <w:uiPriority w:val="39"/>
    <w:unhideWhenUsed/>
    <w:rsid w:val="007F2F9C"/>
    <w:pPr>
      <w:spacing w:after="100" w:line="276" w:lineRule="auto"/>
      <w:ind w:left="1540"/>
    </w:pPr>
    <w:rPr>
      <w:rFonts w:ascii="Calibri" w:eastAsia="Times New Roman" w:hAnsi="Calibri" w:cs="Arial"/>
    </w:rPr>
  </w:style>
  <w:style w:type="paragraph" w:styleId="TOC9">
    <w:name w:val="toc 9"/>
    <w:basedOn w:val="Normal"/>
    <w:next w:val="Normal"/>
    <w:autoRedefine/>
    <w:uiPriority w:val="39"/>
    <w:unhideWhenUsed/>
    <w:rsid w:val="007F2F9C"/>
    <w:pPr>
      <w:spacing w:after="100" w:line="276" w:lineRule="auto"/>
      <w:ind w:left="1760"/>
    </w:pPr>
    <w:rPr>
      <w:rFonts w:ascii="Calibri" w:eastAsia="Times New Roman" w:hAnsi="Calibri" w:cs="Arial"/>
    </w:rPr>
  </w:style>
  <w:style w:type="table" w:customStyle="1" w:styleId="LightList-Accent11">
    <w:name w:val="Light List - Accent 11"/>
    <w:basedOn w:val="TableNormal"/>
    <w:uiPriority w:val="61"/>
    <w:rsid w:val="007F2F9C"/>
    <w:rPr>
      <w:rFonts w:ascii="Calibri" w:eastAsia="Calibri" w:hAnsi="Calibri" w:cs="Arial"/>
      <w:sz w:val="20"/>
      <w:szCs w:val="20"/>
    </w:rPr>
    <w:tblPr>
      <w:tblStyleRowBandSize w:val="1"/>
      <w:tblStyleColBandSize w:val="1"/>
      <w:tblInd w:w="0" w:type="dxa"/>
      <w:tblBorders>
        <w:top w:val="single" w:sz="8" w:space="0" w:color="059973"/>
        <w:left w:val="single" w:sz="8" w:space="0" w:color="059973"/>
        <w:bottom w:val="single" w:sz="8" w:space="0" w:color="059973"/>
        <w:right w:val="single" w:sz="8" w:space="0" w:color="059973"/>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59973"/>
      </w:tcPr>
    </w:tblStylePr>
    <w:tblStylePr w:type="lastRow">
      <w:pPr>
        <w:spacing w:before="0" w:after="0" w:line="240" w:lineRule="auto"/>
      </w:pPr>
      <w:rPr>
        <w:b/>
        <w:bCs/>
      </w:rPr>
      <w:tblPr/>
      <w:tcPr>
        <w:tcBorders>
          <w:top w:val="double" w:sz="6" w:space="0" w:color="059973"/>
          <w:left w:val="single" w:sz="8" w:space="0" w:color="059973"/>
          <w:bottom w:val="single" w:sz="8" w:space="0" w:color="059973"/>
          <w:right w:val="single" w:sz="8" w:space="0" w:color="059973"/>
        </w:tcBorders>
      </w:tcPr>
    </w:tblStylePr>
    <w:tblStylePr w:type="firstCol">
      <w:rPr>
        <w:b/>
        <w:bCs/>
      </w:rPr>
    </w:tblStylePr>
    <w:tblStylePr w:type="lastCol">
      <w:rPr>
        <w:b/>
        <w:bCs/>
      </w:rPr>
    </w:tblStylePr>
    <w:tblStylePr w:type="band1Vert">
      <w:tblPr/>
      <w:tcPr>
        <w:tcBorders>
          <w:top w:val="single" w:sz="8" w:space="0" w:color="059973"/>
          <w:left w:val="single" w:sz="8" w:space="0" w:color="059973"/>
          <w:bottom w:val="single" w:sz="8" w:space="0" w:color="059973"/>
          <w:right w:val="single" w:sz="8" w:space="0" w:color="059973"/>
        </w:tcBorders>
      </w:tcPr>
    </w:tblStylePr>
    <w:tblStylePr w:type="band1Horz">
      <w:tblPr/>
      <w:tcPr>
        <w:tcBorders>
          <w:top w:val="single" w:sz="8" w:space="0" w:color="059973"/>
          <w:left w:val="single" w:sz="8" w:space="0" w:color="059973"/>
          <w:bottom w:val="single" w:sz="8" w:space="0" w:color="059973"/>
          <w:right w:val="single" w:sz="8" w:space="0" w:color="059973"/>
        </w:tcBorders>
      </w:tcPr>
    </w:tblStylePr>
  </w:style>
  <w:style w:type="table" w:customStyle="1" w:styleId="LightGrid-Accent13">
    <w:name w:val="Light Grid - Accent 13"/>
    <w:basedOn w:val="TableNormal"/>
    <w:uiPriority w:val="62"/>
    <w:rsid w:val="007F2F9C"/>
    <w:rPr>
      <w:rFonts w:ascii="Calibri" w:eastAsia="Calibri" w:hAnsi="Calibri" w:cs="Arial"/>
      <w:sz w:val="20"/>
      <w:szCs w:val="20"/>
    </w:rPr>
    <w:tblPr>
      <w:tblStyleRowBandSize w:val="1"/>
      <w:tblStyleColBandSize w:val="1"/>
      <w:tblInd w:w="0" w:type="dxa"/>
      <w:tblBorders>
        <w:top w:val="single" w:sz="8" w:space="0" w:color="059973"/>
        <w:left w:val="single" w:sz="8" w:space="0" w:color="059973"/>
        <w:bottom w:val="single" w:sz="8" w:space="0" w:color="059973"/>
        <w:right w:val="single" w:sz="8" w:space="0" w:color="059973"/>
        <w:insideH w:val="single" w:sz="8" w:space="0" w:color="059973"/>
        <w:insideV w:val="single" w:sz="8" w:space="0" w:color="059973"/>
      </w:tblBorders>
      <w:tblCellMar>
        <w:top w:w="0" w:type="dxa"/>
        <w:left w:w="108" w:type="dxa"/>
        <w:bottom w:w="0" w:type="dxa"/>
        <w:right w:w="108" w:type="dxa"/>
      </w:tblCellMar>
    </w:tblPr>
    <w:tblStylePr w:type="firstRow">
      <w:pPr>
        <w:spacing w:before="0" w:after="0" w:line="240" w:lineRule="auto"/>
      </w:pPr>
      <w:rPr>
        <w:rFonts w:ascii="BatangChe" w:eastAsia="Times New Roman" w:hAnsi="BatangChe" w:cs="Times New Roman"/>
        <w:b/>
        <w:bCs/>
      </w:rPr>
      <w:tblPr/>
      <w:tcPr>
        <w:tcBorders>
          <w:top w:val="single" w:sz="8" w:space="0" w:color="059973"/>
          <w:left w:val="single" w:sz="8" w:space="0" w:color="059973"/>
          <w:bottom w:val="single" w:sz="18" w:space="0" w:color="059973"/>
          <w:right w:val="single" w:sz="8" w:space="0" w:color="059973"/>
          <w:insideH w:val="nil"/>
          <w:insideV w:val="single" w:sz="8" w:space="0" w:color="059973"/>
        </w:tcBorders>
      </w:tcPr>
    </w:tblStylePr>
    <w:tblStylePr w:type="lastRow">
      <w:pPr>
        <w:spacing w:before="0" w:after="0" w:line="240" w:lineRule="auto"/>
      </w:pPr>
      <w:rPr>
        <w:rFonts w:ascii="BatangChe" w:eastAsia="Times New Roman" w:hAnsi="BatangChe" w:cs="Times New Roman"/>
        <w:b/>
        <w:bCs/>
      </w:rPr>
      <w:tblPr/>
      <w:tcPr>
        <w:tcBorders>
          <w:top w:val="double" w:sz="6" w:space="0" w:color="059973"/>
          <w:left w:val="single" w:sz="8" w:space="0" w:color="059973"/>
          <w:bottom w:val="single" w:sz="8" w:space="0" w:color="059973"/>
          <w:right w:val="single" w:sz="8" w:space="0" w:color="059973"/>
          <w:insideH w:val="nil"/>
          <w:insideV w:val="single" w:sz="8" w:space="0" w:color="059973"/>
        </w:tcBorders>
      </w:tcPr>
    </w:tblStylePr>
    <w:tblStylePr w:type="firstCol">
      <w:rPr>
        <w:rFonts w:ascii="BatangChe" w:eastAsia="Times New Roman" w:hAnsi="BatangChe" w:cs="Times New Roman"/>
        <w:b/>
        <w:bCs/>
      </w:rPr>
    </w:tblStylePr>
    <w:tblStylePr w:type="lastCol">
      <w:rPr>
        <w:rFonts w:ascii="BatangChe" w:eastAsia="Times New Roman" w:hAnsi="BatangChe" w:cs="Times New Roman"/>
        <w:b/>
        <w:bCs/>
      </w:rPr>
      <w:tblPr/>
      <w:tcPr>
        <w:tcBorders>
          <w:top w:val="single" w:sz="8" w:space="0" w:color="059973"/>
          <w:left w:val="single" w:sz="8" w:space="0" w:color="059973"/>
          <w:bottom w:val="single" w:sz="8" w:space="0" w:color="059973"/>
          <w:right w:val="single" w:sz="8" w:space="0" w:color="059973"/>
        </w:tcBorders>
      </w:tcPr>
    </w:tblStylePr>
    <w:tblStylePr w:type="band1Vert">
      <w:tblPr/>
      <w:tcPr>
        <w:tcBorders>
          <w:top w:val="single" w:sz="8" w:space="0" w:color="059973"/>
          <w:left w:val="single" w:sz="8" w:space="0" w:color="059973"/>
          <w:bottom w:val="single" w:sz="8" w:space="0" w:color="059973"/>
          <w:right w:val="single" w:sz="8" w:space="0" w:color="059973"/>
        </w:tcBorders>
        <w:shd w:val="clear" w:color="auto" w:fill="AAFCE7"/>
      </w:tcPr>
    </w:tblStylePr>
    <w:tblStylePr w:type="band1Horz">
      <w:tblPr/>
      <w:tcPr>
        <w:tcBorders>
          <w:top w:val="single" w:sz="8" w:space="0" w:color="059973"/>
          <w:left w:val="single" w:sz="8" w:space="0" w:color="059973"/>
          <w:bottom w:val="single" w:sz="8" w:space="0" w:color="059973"/>
          <w:right w:val="single" w:sz="8" w:space="0" w:color="059973"/>
          <w:insideV w:val="single" w:sz="8" w:space="0" w:color="059973"/>
        </w:tcBorders>
        <w:shd w:val="clear" w:color="auto" w:fill="AAFCE7"/>
      </w:tcPr>
    </w:tblStylePr>
    <w:tblStylePr w:type="band2Horz">
      <w:tblPr/>
      <w:tcPr>
        <w:tcBorders>
          <w:top w:val="single" w:sz="8" w:space="0" w:color="059973"/>
          <w:left w:val="single" w:sz="8" w:space="0" w:color="059973"/>
          <w:bottom w:val="single" w:sz="8" w:space="0" w:color="059973"/>
          <w:right w:val="single" w:sz="8" w:space="0" w:color="059973"/>
          <w:insideV w:val="single" w:sz="8" w:space="0" w:color="059973"/>
        </w:tcBorders>
      </w:tcPr>
    </w:tblStylePr>
  </w:style>
  <w:style w:type="table" w:styleId="MediumGrid3-Accent1">
    <w:name w:val="Medium Grid 3 Accent 1"/>
    <w:basedOn w:val="TableNormal"/>
    <w:uiPriority w:val="69"/>
    <w:rsid w:val="007F2F9C"/>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AAFCE7"/>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59973"/>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59973"/>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59973"/>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59973"/>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55F9C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55F9CE"/>
      </w:tcPr>
    </w:tblStylePr>
  </w:style>
  <w:style w:type="table" w:customStyle="1" w:styleId="MediumShading2-Accent11">
    <w:name w:val="Medium Shading 2 - Accent 11"/>
    <w:basedOn w:val="TableNormal"/>
    <w:uiPriority w:val="64"/>
    <w:rsid w:val="007F2F9C"/>
    <w:rPr>
      <w:rFonts w:ascii="Calibri" w:eastAsia="Calibri" w:hAnsi="Calibri" w:cs="Arial"/>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5997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59973"/>
      </w:tcPr>
    </w:tblStylePr>
    <w:tblStylePr w:type="lastCol">
      <w:rPr>
        <w:b/>
        <w:bCs/>
        <w:color w:val="FFFFFF"/>
      </w:rPr>
      <w:tblPr/>
      <w:tcPr>
        <w:tcBorders>
          <w:left w:val="nil"/>
          <w:right w:val="nil"/>
          <w:insideH w:val="nil"/>
          <w:insideV w:val="nil"/>
        </w:tcBorders>
        <w:shd w:val="clear" w:color="auto" w:fill="059973"/>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BodyTextIndent2">
    <w:name w:val="Body Text Indent 2"/>
    <w:basedOn w:val="Normal"/>
    <w:link w:val="BodyTextIndent2Char"/>
    <w:uiPriority w:val="99"/>
    <w:semiHidden/>
    <w:unhideWhenUsed/>
    <w:rsid w:val="007F2F9C"/>
    <w:pPr>
      <w:spacing w:after="120" w:line="480" w:lineRule="auto"/>
      <w:ind w:left="360"/>
    </w:pPr>
    <w:rPr>
      <w:rFonts w:ascii="Arial" w:eastAsia="Calibri" w:hAnsi="Arial" w:cs="Arial"/>
      <w:sz w:val="20"/>
    </w:rPr>
  </w:style>
  <w:style w:type="character" w:customStyle="1" w:styleId="BodyTextIndent2Char">
    <w:name w:val="Body Text Indent 2 Char"/>
    <w:basedOn w:val="DefaultParagraphFont"/>
    <w:link w:val="BodyTextIndent2"/>
    <w:uiPriority w:val="99"/>
    <w:semiHidden/>
    <w:rsid w:val="007F2F9C"/>
    <w:rPr>
      <w:rFonts w:eastAsia="Calibri" w:cs="Arial"/>
      <w:sz w:val="20"/>
      <w:szCs w:val="22"/>
    </w:rPr>
  </w:style>
  <w:style w:type="paragraph" w:customStyle="1" w:styleId="CM51">
    <w:name w:val="CM51"/>
    <w:basedOn w:val="Normal"/>
    <w:next w:val="Normal"/>
    <w:rsid w:val="007F2F9C"/>
    <w:pPr>
      <w:widowControl w:val="0"/>
      <w:autoSpaceDE w:val="0"/>
      <w:autoSpaceDN w:val="0"/>
      <w:adjustRightInd w:val="0"/>
      <w:spacing w:after="165" w:line="240" w:lineRule="auto"/>
    </w:pPr>
    <w:rPr>
      <w:rFonts w:ascii="Times" w:eastAsia="Times New Roman" w:hAnsi="Times" w:cs="Times New Roman"/>
      <w:szCs w:val="24"/>
    </w:rPr>
  </w:style>
  <w:style w:type="table" w:customStyle="1" w:styleId="TableGrid1">
    <w:name w:val="Table Grid1"/>
    <w:basedOn w:val="TableNormal"/>
    <w:next w:val="TableGrid"/>
    <w:uiPriority w:val="59"/>
    <w:rsid w:val="007F2F9C"/>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1">
    <w:name w:val="Heading 11"/>
    <w:basedOn w:val="Normal"/>
    <w:next w:val="Normal"/>
    <w:uiPriority w:val="9"/>
    <w:qFormat/>
    <w:rsid w:val="007F2F9C"/>
    <w:pPr>
      <w:spacing w:after="40" w:line="360" w:lineRule="auto"/>
      <w:ind w:left="432" w:hanging="432"/>
      <w:outlineLvl w:val="0"/>
    </w:pPr>
    <w:rPr>
      <w:rFonts w:ascii="Arial" w:eastAsia="Calibri" w:hAnsi="Arial" w:cs="Arial"/>
      <w:b/>
      <w:color w:val="059973"/>
      <w:sz w:val="36"/>
    </w:rPr>
  </w:style>
  <w:style w:type="paragraph" w:customStyle="1" w:styleId="Heading21">
    <w:name w:val="Heading 21"/>
    <w:basedOn w:val="Heading1"/>
    <w:next w:val="Normal"/>
    <w:uiPriority w:val="9"/>
    <w:unhideWhenUsed/>
    <w:qFormat/>
    <w:rsid w:val="007F2F9C"/>
    <w:pPr>
      <w:spacing w:after="40" w:line="360" w:lineRule="auto"/>
      <w:ind w:left="576" w:hanging="576"/>
      <w:jc w:val="left"/>
      <w:outlineLvl w:val="1"/>
    </w:pPr>
    <w:rPr>
      <w:rFonts w:ascii="Segoe UI" w:hAnsi="Segoe UI" w:cs="Arial"/>
      <w:b w:val="0"/>
      <w:bCs w:val="0"/>
      <w:color w:val="059973"/>
      <w:sz w:val="28"/>
      <w:szCs w:val="22"/>
    </w:rPr>
  </w:style>
  <w:style w:type="paragraph" w:customStyle="1" w:styleId="Heading31">
    <w:name w:val="Heading 31"/>
    <w:basedOn w:val="Normal"/>
    <w:next w:val="Normal"/>
    <w:uiPriority w:val="9"/>
    <w:unhideWhenUsed/>
    <w:qFormat/>
    <w:rsid w:val="007F2F9C"/>
    <w:pPr>
      <w:spacing w:after="40" w:line="360" w:lineRule="auto"/>
      <w:ind w:left="720" w:hanging="720"/>
      <w:outlineLvl w:val="2"/>
    </w:pPr>
    <w:rPr>
      <w:rFonts w:ascii="Arial" w:eastAsia="Calibri" w:hAnsi="Arial" w:cs="Arial"/>
      <w:b/>
      <w:color w:val="059973"/>
      <w:sz w:val="20"/>
    </w:rPr>
  </w:style>
  <w:style w:type="paragraph" w:customStyle="1" w:styleId="Heading41">
    <w:name w:val="Heading 41"/>
    <w:basedOn w:val="Normal"/>
    <w:next w:val="Normal"/>
    <w:uiPriority w:val="9"/>
    <w:unhideWhenUsed/>
    <w:qFormat/>
    <w:rsid w:val="007F2F9C"/>
    <w:pPr>
      <w:keepNext/>
      <w:keepLines/>
      <w:spacing w:before="200" w:after="0" w:line="360" w:lineRule="auto"/>
      <w:ind w:left="864" w:hanging="864"/>
      <w:outlineLvl w:val="3"/>
    </w:pPr>
    <w:rPr>
      <w:rFonts w:ascii="Calibri Light" w:eastAsia="MS Gothic" w:hAnsi="Calibri Light" w:cs="Times New Roman"/>
      <w:b/>
      <w:bCs/>
      <w:i/>
      <w:iCs/>
      <w:color w:val="059973"/>
      <w:sz w:val="20"/>
    </w:rPr>
  </w:style>
  <w:style w:type="paragraph" w:customStyle="1" w:styleId="Heading51">
    <w:name w:val="Heading 51"/>
    <w:basedOn w:val="Normal"/>
    <w:next w:val="Normal"/>
    <w:uiPriority w:val="9"/>
    <w:unhideWhenUsed/>
    <w:qFormat/>
    <w:rsid w:val="007F2F9C"/>
    <w:pPr>
      <w:keepNext/>
      <w:keepLines/>
      <w:spacing w:before="200" w:after="0" w:line="360" w:lineRule="auto"/>
      <w:ind w:left="1008" w:hanging="1008"/>
      <w:outlineLvl w:val="4"/>
    </w:pPr>
    <w:rPr>
      <w:rFonts w:ascii="Calibri Light" w:eastAsia="MS Gothic" w:hAnsi="Calibri Light" w:cs="Times New Roman"/>
      <w:color w:val="024C39"/>
      <w:sz w:val="20"/>
    </w:rPr>
  </w:style>
  <w:style w:type="paragraph" w:customStyle="1" w:styleId="Heading61">
    <w:name w:val="Heading 61"/>
    <w:basedOn w:val="Normal"/>
    <w:next w:val="Normal"/>
    <w:uiPriority w:val="9"/>
    <w:unhideWhenUsed/>
    <w:qFormat/>
    <w:rsid w:val="007F2F9C"/>
    <w:pPr>
      <w:keepNext/>
      <w:keepLines/>
      <w:spacing w:before="200" w:after="0" w:line="360" w:lineRule="auto"/>
      <w:ind w:left="1152" w:hanging="1152"/>
      <w:outlineLvl w:val="5"/>
    </w:pPr>
    <w:rPr>
      <w:rFonts w:ascii="Calibri Light" w:eastAsia="MS Gothic" w:hAnsi="Calibri Light" w:cs="Times New Roman"/>
      <w:i/>
      <w:iCs/>
      <w:color w:val="024C39"/>
      <w:sz w:val="20"/>
    </w:rPr>
  </w:style>
  <w:style w:type="paragraph" w:customStyle="1" w:styleId="Heading71">
    <w:name w:val="Heading 71"/>
    <w:basedOn w:val="Normal"/>
    <w:next w:val="Normal"/>
    <w:uiPriority w:val="9"/>
    <w:semiHidden/>
    <w:unhideWhenUsed/>
    <w:qFormat/>
    <w:rsid w:val="007F2F9C"/>
    <w:pPr>
      <w:keepNext/>
      <w:keepLines/>
      <w:spacing w:before="200" w:after="0" w:line="360" w:lineRule="auto"/>
      <w:ind w:left="1296" w:hanging="1296"/>
      <w:outlineLvl w:val="6"/>
    </w:pPr>
    <w:rPr>
      <w:rFonts w:ascii="Calibri Light" w:eastAsia="MS Gothic" w:hAnsi="Calibri Light" w:cs="Times New Roman"/>
      <w:i/>
      <w:iCs/>
      <w:color w:val="404040"/>
      <w:sz w:val="20"/>
    </w:rPr>
  </w:style>
  <w:style w:type="paragraph" w:customStyle="1" w:styleId="Heading81">
    <w:name w:val="Heading 81"/>
    <w:basedOn w:val="Normal"/>
    <w:next w:val="Normal"/>
    <w:uiPriority w:val="9"/>
    <w:semiHidden/>
    <w:unhideWhenUsed/>
    <w:qFormat/>
    <w:rsid w:val="007F2F9C"/>
    <w:pPr>
      <w:keepNext/>
      <w:keepLines/>
      <w:spacing w:before="200" w:after="0" w:line="360" w:lineRule="auto"/>
      <w:ind w:left="1440" w:hanging="1440"/>
      <w:outlineLvl w:val="7"/>
    </w:pPr>
    <w:rPr>
      <w:rFonts w:ascii="Calibri Light" w:eastAsia="MS Gothic" w:hAnsi="Calibri Light" w:cs="Times New Roman"/>
      <w:color w:val="404040"/>
      <w:sz w:val="20"/>
      <w:szCs w:val="20"/>
    </w:rPr>
  </w:style>
  <w:style w:type="paragraph" w:customStyle="1" w:styleId="Heading91">
    <w:name w:val="Heading 91"/>
    <w:basedOn w:val="Normal"/>
    <w:next w:val="Normal"/>
    <w:uiPriority w:val="9"/>
    <w:semiHidden/>
    <w:unhideWhenUsed/>
    <w:qFormat/>
    <w:rsid w:val="007F2F9C"/>
    <w:pPr>
      <w:keepNext/>
      <w:keepLines/>
      <w:spacing w:before="200" w:after="0" w:line="360" w:lineRule="auto"/>
      <w:ind w:left="1584" w:hanging="1584"/>
      <w:outlineLvl w:val="8"/>
    </w:pPr>
    <w:rPr>
      <w:rFonts w:ascii="Calibri Light" w:eastAsia="MS Gothic" w:hAnsi="Calibri Light" w:cs="Times New Roman"/>
      <w:i/>
      <w:iCs/>
      <w:color w:val="404040"/>
      <w:sz w:val="20"/>
      <w:szCs w:val="20"/>
    </w:rPr>
  </w:style>
  <w:style w:type="character" w:customStyle="1" w:styleId="FootnoteTextChar1">
    <w:name w:val="Footnote Text Char1"/>
    <w:uiPriority w:val="99"/>
    <w:semiHidden/>
    <w:rsid w:val="007F2F9C"/>
    <w:rPr>
      <w:sz w:val="20"/>
      <w:szCs w:val="20"/>
    </w:rPr>
  </w:style>
  <w:style w:type="paragraph" w:customStyle="1" w:styleId="NoSpacing1">
    <w:name w:val="No Spacing1"/>
    <w:next w:val="NoSpacing"/>
    <w:uiPriority w:val="1"/>
    <w:qFormat/>
    <w:rsid w:val="007F2F9C"/>
    <w:rPr>
      <w:rFonts w:eastAsia="Calibri" w:cs="Arial"/>
      <w:sz w:val="22"/>
      <w:lang w:val="nl-NL"/>
    </w:rPr>
  </w:style>
  <w:style w:type="paragraph" w:customStyle="1" w:styleId="Title1">
    <w:name w:val="Title1"/>
    <w:basedOn w:val="Normal"/>
    <w:next w:val="Normal"/>
    <w:uiPriority w:val="10"/>
    <w:qFormat/>
    <w:rsid w:val="007F2F9C"/>
    <w:pPr>
      <w:spacing w:after="0" w:line="360" w:lineRule="auto"/>
    </w:pPr>
    <w:rPr>
      <w:rFonts w:ascii="Arial" w:eastAsia="Calibri" w:hAnsi="Arial" w:cs="Arial"/>
      <w:sz w:val="40"/>
    </w:rPr>
  </w:style>
  <w:style w:type="paragraph" w:customStyle="1" w:styleId="Subtitle1">
    <w:name w:val="Subtitle1"/>
    <w:basedOn w:val="Normal"/>
    <w:next w:val="Normal"/>
    <w:qFormat/>
    <w:rsid w:val="007F2F9C"/>
    <w:pPr>
      <w:spacing w:after="40" w:line="360" w:lineRule="auto"/>
    </w:pPr>
    <w:rPr>
      <w:rFonts w:ascii="Arial" w:eastAsia="Calibri" w:hAnsi="Arial" w:cs="Arial"/>
      <w:color w:val="404040"/>
      <w:sz w:val="20"/>
    </w:rPr>
  </w:style>
  <w:style w:type="character" w:customStyle="1" w:styleId="SubtleEmphasis1">
    <w:name w:val="Subtle Emphasis1"/>
    <w:uiPriority w:val="19"/>
    <w:qFormat/>
    <w:rsid w:val="007F2F9C"/>
    <w:rPr>
      <w:i/>
      <w:color w:val="404040"/>
    </w:rPr>
  </w:style>
  <w:style w:type="character" w:customStyle="1" w:styleId="IntenseEmphasis1">
    <w:name w:val="Intense Emphasis1"/>
    <w:uiPriority w:val="21"/>
    <w:qFormat/>
    <w:rsid w:val="007F2F9C"/>
    <w:rPr>
      <w:i/>
      <w:color w:val="059973"/>
    </w:rPr>
  </w:style>
  <w:style w:type="paragraph" w:customStyle="1" w:styleId="Quote1">
    <w:name w:val="Quote1"/>
    <w:basedOn w:val="Normal"/>
    <w:next w:val="Normal"/>
    <w:uiPriority w:val="29"/>
    <w:qFormat/>
    <w:rsid w:val="007F2F9C"/>
    <w:pPr>
      <w:spacing w:after="40" w:line="360" w:lineRule="auto"/>
      <w:jc w:val="center"/>
    </w:pPr>
    <w:rPr>
      <w:rFonts w:ascii="Arial" w:eastAsia="Calibri" w:hAnsi="Arial" w:cs="Arial"/>
      <w:i/>
    </w:rPr>
  </w:style>
  <w:style w:type="paragraph" w:customStyle="1" w:styleId="IntenseQuote1">
    <w:name w:val="Intense Quote1"/>
    <w:basedOn w:val="Normal"/>
    <w:next w:val="Normal"/>
    <w:uiPriority w:val="30"/>
    <w:qFormat/>
    <w:rsid w:val="007F2F9C"/>
    <w:pPr>
      <w:spacing w:after="40" w:line="360" w:lineRule="auto"/>
      <w:jc w:val="center"/>
    </w:pPr>
    <w:rPr>
      <w:rFonts w:ascii="Arial" w:eastAsia="Calibri" w:hAnsi="Arial" w:cs="Arial"/>
      <w:i/>
      <w:color w:val="F04E3E"/>
    </w:rPr>
  </w:style>
  <w:style w:type="paragraph" w:customStyle="1" w:styleId="BalloonText1">
    <w:name w:val="Balloon Text1"/>
    <w:basedOn w:val="Normal"/>
    <w:next w:val="BalloonText"/>
    <w:uiPriority w:val="99"/>
    <w:unhideWhenUsed/>
    <w:rsid w:val="007F2F9C"/>
    <w:pPr>
      <w:spacing w:after="0" w:line="240" w:lineRule="auto"/>
    </w:pPr>
    <w:rPr>
      <w:rFonts w:ascii="Tahoma" w:eastAsia="Calibri" w:hAnsi="Tahoma" w:cs="Tahoma"/>
      <w:sz w:val="16"/>
      <w:szCs w:val="16"/>
    </w:rPr>
  </w:style>
  <w:style w:type="paragraph" w:customStyle="1" w:styleId="Header1">
    <w:name w:val="Header1"/>
    <w:basedOn w:val="Normal"/>
    <w:next w:val="Header"/>
    <w:uiPriority w:val="99"/>
    <w:unhideWhenUsed/>
    <w:rsid w:val="007F2F9C"/>
    <w:pPr>
      <w:tabs>
        <w:tab w:val="center" w:pos="4536"/>
        <w:tab w:val="right" w:pos="9072"/>
      </w:tabs>
      <w:spacing w:after="0" w:line="240" w:lineRule="auto"/>
    </w:pPr>
    <w:rPr>
      <w:rFonts w:ascii="Arial" w:eastAsia="Calibri" w:hAnsi="Arial" w:cs="Arial"/>
      <w:sz w:val="20"/>
    </w:rPr>
  </w:style>
  <w:style w:type="paragraph" w:customStyle="1" w:styleId="Footer1">
    <w:name w:val="Footer1"/>
    <w:basedOn w:val="Normal"/>
    <w:next w:val="Footer"/>
    <w:uiPriority w:val="99"/>
    <w:unhideWhenUsed/>
    <w:rsid w:val="007F2F9C"/>
    <w:pPr>
      <w:tabs>
        <w:tab w:val="center" w:pos="4536"/>
        <w:tab w:val="right" w:pos="9072"/>
      </w:tabs>
      <w:spacing w:after="0" w:line="240" w:lineRule="auto"/>
    </w:pPr>
    <w:rPr>
      <w:rFonts w:ascii="Arial" w:eastAsia="Calibri" w:hAnsi="Arial" w:cs="Arial"/>
      <w:sz w:val="20"/>
    </w:rPr>
  </w:style>
  <w:style w:type="paragraph" w:customStyle="1" w:styleId="SubParagraph1">
    <w:name w:val="Sub Paragraph1"/>
    <w:basedOn w:val="Normal"/>
    <w:next w:val="ListParagraph"/>
    <w:uiPriority w:val="34"/>
    <w:qFormat/>
    <w:rsid w:val="007F2F9C"/>
    <w:pPr>
      <w:spacing w:after="40" w:line="360" w:lineRule="auto"/>
      <w:ind w:left="720"/>
      <w:contextualSpacing/>
    </w:pPr>
    <w:rPr>
      <w:rFonts w:ascii="Arial" w:eastAsia="Calibri" w:hAnsi="Arial" w:cs="Arial"/>
      <w:sz w:val="20"/>
    </w:rPr>
  </w:style>
  <w:style w:type="paragraph" w:customStyle="1" w:styleId="TOCHeading1">
    <w:name w:val="TOC Heading1"/>
    <w:basedOn w:val="Heading1"/>
    <w:next w:val="Normal"/>
    <w:uiPriority w:val="39"/>
    <w:unhideWhenUsed/>
    <w:qFormat/>
    <w:rsid w:val="007F2F9C"/>
    <w:pPr>
      <w:ind w:left="432" w:hanging="432"/>
      <w:jc w:val="left"/>
      <w:outlineLvl w:val="9"/>
    </w:pPr>
    <w:rPr>
      <w:rFonts w:ascii="Calibri Light" w:eastAsia="Times New Roman" w:hAnsi="Calibri Light"/>
      <w:b w:val="0"/>
      <w:color w:val="037255"/>
      <w:sz w:val="28"/>
      <w:szCs w:val="28"/>
      <w:lang w:eastAsia="nl-NL"/>
    </w:rPr>
  </w:style>
  <w:style w:type="paragraph" w:customStyle="1" w:styleId="TOC11">
    <w:name w:val="TOC 11"/>
    <w:basedOn w:val="Normal"/>
    <w:next w:val="Normal"/>
    <w:autoRedefine/>
    <w:uiPriority w:val="39"/>
    <w:unhideWhenUsed/>
    <w:rsid w:val="007F2F9C"/>
    <w:pPr>
      <w:spacing w:after="100" w:line="360" w:lineRule="auto"/>
    </w:pPr>
    <w:rPr>
      <w:rFonts w:ascii="Arial" w:eastAsia="Calibri" w:hAnsi="Arial" w:cs="Arial"/>
      <w:sz w:val="20"/>
    </w:rPr>
  </w:style>
  <w:style w:type="paragraph" w:customStyle="1" w:styleId="TOC21">
    <w:name w:val="TOC 21"/>
    <w:basedOn w:val="Normal"/>
    <w:next w:val="Normal"/>
    <w:autoRedefine/>
    <w:uiPriority w:val="39"/>
    <w:unhideWhenUsed/>
    <w:rsid w:val="007F2F9C"/>
    <w:pPr>
      <w:spacing w:after="100" w:line="360" w:lineRule="auto"/>
      <w:ind w:left="180"/>
    </w:pPr>
    <w:rPr>
      <w:rFonts w:ascii="Arial" w:eastAsia="Calibri" w:hAnsi="Arial" w:cs="Arial"/>
      <w:sz w:val="20"/>
    </w:rPr>
  </w:style>
  <w:style w:type="paragraph" w:customStyle="1" w:styleId="TOC31">
    <w:name w:val="TOC 31"/>
    <w:basedOn w:val="Normal"/>
    <w:next w:val="Normal"/>
    <w:autoRedefine/>
    <w:uiPriority w:val="39"/>
    <w:unhideWhenUsed/>
    <w:rsid w:val="007F2F9C"/>
    <w:pPr>
      <w:spacing w:after="100" w:line="360" w:lineRule="auto"/>
      <w:ind w:left="360"/>
    </w:pPr>
    <w:rPr>
      <w:rFonts w:ascii="Arial" w:eastAsia="Calibri" w:hAnsi="Arial" w:cs="Arial"/>
      <w:sz w:val="20"/>
    </w:rPr>
  </w:style>
  <w:style w:type="character" w:customStyle="1" w:styleId="Hyperlink1">
    <w:name w:val="Hyperlink1"/>
    <w:uiPriority w:val="99"/>
    <w:unhideWhenUsed/>
    <w:rsid w:val="007F2F9C"/>
    <w:rPr>
      <w:color w:val="0000FF"/>
      <w:u w:val="single"/>
    </w:rPr>
  </w:style>
  <w:style w:type="paragraph" w:customStyle="1" w:styleId="CommentText1">
    <w:name w:val="Comment Text1"/>
    <w:basedOn w:val="Normal"/>
    <w:next w:val="CommentText"/>
    <w:uiPriority w:val="99"/>
    <w:semiHidden/>
    <w:unhideWhenUsed/>
    <w:rsid w:val="007F2F9C"/>
    <w:pPr>
      <w:spacing w:after="40" w:line="240" w:lineRule="auto"/>
    </w:pPr>
    <w:rPr>
      <w:rFonts w:ascii="Arial" w:eastAsia="Calibri" w:hAnsi="Arial" w:cs="Arial"/>
      <w:sz w:val="20"/>
      <w:szCs w:val="20"/>
    </w:rPr>
  </w:style>
  <w:style w:type="paragraph" w:customStyle="1" w:styleId="CommentSubject1">
    <w:name w:val="Comment Subject1"/>
    <w:basedOn w:val="CommentText"/>
    <w:next w:val="CommentText"/>
    <w:uiPriority w:val="99"/>
    <w:semiHidden/>
    <w:unhideWhenUsed/>
    <w:rsid w:val="007F2F9C"/>
    <w:pPr>
      <w:spacing w:after="40"/>
    </w:pPr>
    <w:rPr>
      <w:rFonts w:eastAsia="Calibri" w:cs="Arial"/>
      <w:b/>
      <w:bCs/>
    </w:rPr>
  </w:style>
  <w:style w:type="paragraph" w:customStyle="1" w:styleId="Revision1">
    <w:name w:val="Revision1"/>
    <w:next w:val="Revision"/>
    <w:hidden/>
    <w:uiPriority w:val="99"/>
    <w:semiHidden/>
    <w:rsid w:val="007F2F9C"/>
    <w:rPr>
      <w:rFonts w:eastAsia="Calibri" w:cs="Arial"/>
      <w:sz w:val="18"/>
    </w:rPr>
  </w:style>
  <w:style w:type="numbering" w:customStyle="1" w:styleId="NoList11">
    <w:name w:val="No List11"/>
    <w:next w:val="NoList"/>
    <w:uiPriority w:val="99"/>
    <w:semiHidden/>
    <w:unhideWhenUsed/>
    <w:rsid w:val="007F2F9C"/>
  </w:style>
  <w:style w:type="paragraph" w:customStyle="1" w:styleId="TOC41">
    <w:name w:val="TOC 41"/>
    <w:basedOn w:val="Normal"/>
    <w:next w:val="Normal"/>
    <w:autoRedefine/>
    <w:uiPriority w:val="39"/>
    <w:unhideWhenUsed/>
    <w:rsid w:val="007F2F9C"/>
    <w:pPr>
      <w:spacing w:after="100" w:line="276" w:lineRule="auto"/>
      <w:ind w:left="660"/>
    </w:pPr>
    <w:rPr>
      <w:rFonts w:ascii="Calibri" w:eastAsia="MS Mincho" w:hAnsi="Calibri" w:cs="Arial"/>
    </w:rPr>
  </w:style>
  <w:style w:type="paragraph" w:customStyle="1" w:styleId="TOC51">
    <w:name w:val="TOC 51"/>
    <w:basedOn w:val="Normal"/>
    <w:next w:val="Normal"/>
    <w:autoRedefine/>
    <w:uiPriority w:val="39"/>
    <w:unhideWhenUsed/>
    <w:rsid w:val="007F2F9C"/>
    <w:pPr>
      <w:spacing w:after="100" w:line="276" w:lineRule="auto"/>
      <w:ind w:left="880"/>
    </w:pPr>
    <w:rPr>
      <w:rFonts w:ascii="Calibri" w:eastAsia="MS Mincho" w:hAnsi="Calibri" w:cs="Arial"/>
    </w:rPr>
  </w:style>
  <w:style w:type="paragraph" w:customStyle="1" w:styleId="TOC61">
    <w:name w:val="TOC 61"/>
    <w:basedOn w:val="Normal"/>
    <w:next w:val="Normal"/>
    <w:autoRedefine/>
    <w:uiPriority w:val="39"/>
    <w:unhideWhenUsed/>
    <w:rsid w:val="007F2F9C"/>
    <w:pPr>
      <w:spacing w:after="100" w:line="276" w:lineRule="auto"/>
      <w:ind w:left="1100"/>
    </w:pPr>
    <w:rPr>
      <w:rFonts w:ascii="Calibri" w:eastAsia="MS Mincho" w:hAnsi="Calibri" w:cs="Arial"/>
    </w:rPr>
  </w:style>
  <w:style w:type="paragraph" w:customStyle="1" w:styleId="TOC71">
    <w:name w:val="TOC 71"/>
    <w:basedOn w:val="Normal"/>
    <w:next w:val="Normal"/>
    <w:autoRedefine/>
    <w:uiPriority w:val="39"/>
    <w:unhideWhenUsed/>
    <w:rsid w:val="007F2F9C"/>
    <w:pPr>
      <w:spacing w:after="100" w:line="276" w:lineRule="auto"/>
      <w:ind w:left="1320"/>
    </w:pPr>
    <w:rPr>
      <w:rFonts w:ascii="Calibri" w:eastAsia="MS Mincho" w:hAnsi="Calibri" w:cs="Arial"/>
    </w:rPr>
  </w:style>
  <w:style w:type="paragraph" w:customStyle="1" w:styleId="TOC81">
    <w:name w:val="TOC 81"/>
    <w:basedOn w:val="Normal"/>
    <w:next w:val="Normal"/>
    <w:autoRedefine/>
    <w:uiPriority w:val="39"/>
    <w:unhideWhenUsed/>
    <w:rsid w:val="007F2F9C"/>
    <w:pPr>
      <w:spacing w:after="100" w:line="276" w:lineRule="auto"/>
      <w:ind w:left="1540"/>
    </w:pPr>
    <w:rPr>
      <w:rFonts w:ascii="Calibri" w:eastAsia="MS Mincho" w:hAnsi="Calibri" w:cs="Arial"/>
    </w:rPr>
  </w:style>
  <w:style w:type="paragraph" w:customStyle="1" w:styleId="TOC91">
    <w:name w:val="TOC 91"/>
    <w:basedOn w:val="Normal"/>
    <w:next w:val="Normal"/>
    <w:autoRedefine/>
    <w:uiPriority w:val="39"/>
    <w:unhideWhenUsed/>
    <w:rsid w:val="007F2F9C"/>
    <w:pPr>
      <w:spacing w:after="100" w:line="276" w:lineRule="auto"/>
      <w:ind w:left="1760"/>
    </w:pPr>
    <w:rPr>
      <w:rFonts w:ascii="Calibri" w:eastAsia="MS Mincho" w:hAnsi="Calibri" w:cs="Arial"/>
    </w:rPr>
  </w:style>
  <w:style w:type="table" w:customStyle="1" w:styleId="MediumGrid3-Accent11">
    <w:name w:val="Medium Grid 3 - Accent 11"/>
    <w:basedOn w:val="TableNormal"/>
    <w:next w:val="MediumGrid3-Accent1"/>
    <w:uiPriority w:val="69"/>
    <w:rsid w:val="007F2F9C"/>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AAFCE7"/>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59973"/>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59973"/>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59973"/>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59973"/>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55F9C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55F9CE"/>
      </w:tcPr>
    </w:tblStylePr>
  </w:style>
  <w:style w:type="paragraph" w:customStyle="1" w:styleId="BodyTextIndent21">
    <w:name w:val="Body Text Indent 21"/>
    <w:basedOn w:val="Normal"/>
    <w:next w:val="BodyTextIndent2"/>
    <w:uiPriority w:val="99"/>
    <w:semiHidden/>
    <w:unhideWhenUsed/>
    <w:rsid w:val="007F2F9C"/>
    <w:pPr>
      <w:spacing w:after="120" w:line="480" w:lineRule="auto"/>
      <w:ind w:left="360"/>
    </w:pPr>
    <w:rPr>
      <w:rFonts w:ascii="Arial" w:eastAsia="Calibri" w:hAnsi="Arial" w:cs="Arial"/>
      <w:sz w:val="20"/>
    </w:rPr>
  </w:style>
  <w:style w:type="paragraph" w:customStyle="1" w:styleId="Bibliography1">
    <w:name w:val="Bibliography1"/>
    <w:basedOn w:val="Normal"/>
    <w:next w:val="Normal"/>
    <w:uiPriority w:val="37"/>
    <w:unhideWhenUsed/>
    <w:rsid w:val="007F2F9C"/>
    <w:pPr>
      <w:spacing w:after="40" w:line="360" w:lineRule="auto"/>
    </w:pPr>
    <w:rPr>
      <w:rFonts w:ascii="Arial" w:eastAsia="Calibri" w:hAnsi="Arial" w:cs="Arial"/>
      <w:sz w:val="20"/>
    </w:rPr>
  </w:style>
  <w:style w:type="character" w:customStyle="1" w:styleId="Heading1Char1">
    <w:name w:val="Heading 1 Char1"/>
    <w:uiPriority w:val="9"/>
    <w:rsid w:val="007F2F9C"/>
    <w:rPr>
      <w:rFonts w:ascii="Calibri Light" w:eastAsia="Times New Roman" w:hAnsi="Calibri Light" w:cs="Times New Roman"/>
      <w:b/>
      <w:bCs/>
      <w:color w:val="037255"/>
      <w:sz w:val="28"/>
      <w:szCs w:val="28"/>
    </w:rPr>
  </w:style>
  <w:style w:type="character" w:customStyle="1" w:styleId="Heading2Char1">
    <w:name w:val="Heading 2 Char1"/>
    <w:uiPriority w:val="9"/>
    <w:semiHidden/>
    <w:rsid w:val="007F2F9C"/>
    <w:rPr>
      <w:rFonts w:ascii="Calibri Light" w:eastAsia="Times New Roman" w:hAnsi="Calibri Light" w:cs="Times New Roman"/>
      <w:b/>
      <w:bCs/>
      <w:color w:val="059973"/>
      <w:sz w:val="26"/>
      <w:szCs w:val="26"/>
    </w:rPr>
  </w:style>
  <w:style w:type="character" w:customStyle="1" w:styleId="Heading3Char1">
    <w:name w:val="Heading 3 Char1"/>
    <w:uiPriority w:val="9"/>
    <w:semiHidden/>
    <w:rsid w:val="007F2F9C"/>
    <w:rPr>
      <w:rFonts w:ascii="Calibri Light" w:eastAsia="Times New Roman" w:hAnsi="Calibri Light" w:cs="Times New Roman"/>
      <w:b/>
      <w:bCs/>
      <w:color w:val="059973"/>
    </w:rPr>
  </w:style>
  <w:style w:type="character" w:customStyle="1" w:styleId="Heading4Char1">
    <w:name w:val="Heading 4 Char1"/>
    <w:uiPriority w:val="9"/>
    <w:semiHidden/>
    <w:rsid w:val="007F2F9C"/>
    <w:rPr>
      <w:rFonts w:ascii="Calibri Light" w:eastAsia="Times New Roman" w:hAnsi="Calibri Light" w:cs="Times New Roman"/>
      <w:b/>
      <w:bCs/>
      <w:i/>
      <w:iCs/>
      <w:color w:val="059973"/>
    </w:rPr>
  </w:style>
  <w:style w:type="character" w:customStyle="1" w:styleId="Heading5Char1">
    <w:name w:val="Heading 5 Char1"/>
    <w:uiPriority w:val="9"/>
    <w:semiHidden/>
    <w:rsid w:val="007F2F9C"/>
    <w:rPr>
      <w:rFonts w:ascii="Calibri Light" w:eastAsia="Times New Roman" w:hAnsi="Calibri Light" w:cs="Times New Roman"/>
      <w:color w:val="024C39"/>
    </w:rPr>
  </w:style>
  <w:style w:type="character" w:customStyle="1" w:styleId="Heading6Char1">
    <w:name w:val="Heading 6 Char1"/>
    <w:uiPriority w:val="9"/>
    <w:semiHidden/>
    <w:rsid w:val="007F2F9C"/>
    <w:rPr>
      <w:rFonts w:ascii="Calibri Light" w:eastAsia="Times New Roman" w:hAnsi="Calibri Light" w:cs="Times New Roman"/>
      <w:i/>
      <w:iCs/>
      <w:color w:val="024C39"/>
    </w:rPr>
  </w:style>
  <w:style w:type="character" w:customStyle="1" w:styleId="Heading7Char1">
    <w:name w:val="Heading 7 Char1"/>
    <w:uiPriority w:val="9"/>
    <w:semiHidden/>
    <w:rsid w:val="007F2F9C"/>
    <w:rPr>
      <w:rFonts w:ascii="Calibri Light" w:eastAsia="Times New Roman" w:hAnsi="Calibri Light" w:cs="Times New Roman"/>
      <w:i/>
      <w:iCs/>
      <w:color w:val="404040"/>
    </w:rPr>
  </w:style>
  <w:style w:type="character" w:customStyle="1" w:styleId="Heading8Char1">
    <w:name w:val="Heading 8 Char1"/>
    <w:uiPriority w:val="9"/>
    <w:semiHidden/>
    <w:rsid w:val="007F2F9C"/>
    <w:rPr>
      <w:rFonts w:ascii="Calibri Light" w:eastAsia="Times New Roman" w:hAnsi="Calibri Light" w:cs="Times New Roman"/>
      <w:color w:val="404040"/>
      <w:sz w:val="20"/>
      <w:szCs w:val="20"/>
    </w:rPr>
  </w:style>
  <w:style w:type="character" w:customStyle="1" w:styleId="Heading9Char1">
    <w:name w:val="Heading 9 Char1"/>
    <w:uiPriority w:val="9"/>
    <w:semiHidden/>
    <w:rsid w:val="007F2F9C"/>
    <w:rPr>
      <w:rFonts w:ascii="Calibri Light" w:eastAsia="Times New Roman" w:hAnsi="Calibri Light" w:cs="Times New Roman"/>
      <w:i/>
      <w:iCs/>
      <w:color w:val="404040"/>
      <w:sz w:val="20"/>
      <w:szCs w:val="20"/>
    </w:rPr>
  </w:style>
  <w:style w:type="character" w:customStyle="1" w:styleId="TitleChar1">
    <w:name w:val="Title Char1"/>
    <w:uiPriority w:val="10"/>
    <w:rsid w:val="007F2F9C"/>
    <w:rPr>
      <w:rFonts w:ascii="Calibri Light" w:eastAsia="Times New Roman" w:hAnsi="Calibri Light" w:cs="Times New Roman"/>
      <w:color w:val="2F2F2F"/>
      <w:spacing w:val="5"/>
      <w:kern w:val="28"/>
      <w:sz w:val="52"/>
      <w:szCs w:val="52"/>
    </w:rPr>
  </w:style>
  <w:style w:type="character" w:customStyle="1" w:styleId="SubtitleChar1">
    <w:name w:val="Subtitle Char1"/>
    <w:uiPriority w:val="11"/>
    <w:rsid w:val="007F2F9C"/>
    <w:rPr>
      <w:rFonts w:ascii="Calibri Light" w:eastAsia="Times New Roman" w:hAnsi="Calibri Light" w:cs="Times New Roman"/>
      <w:i/>
      <w:iCs/>
      <w:color w:val="059973"/>
      <w:spacing w:val="15"/>
      <w:sz w:val="24"/>
      <w:szCs w:val="24"/>
    </w:rPr>
  </w:style>
  <w:style w:type="character" w:customStyle="1" w:styleId="QuoteChar1">
    <w:name w:val="Quote Char1"/>
    <w:uiPriority w:val="29"/>
    <w:rsid w:val="007F2F9C"/>
    <w:rPr>
      <w:i/>
      <w:iCs/>
      <w:color w:val="000000"/>
    </w:rPr>
  </w:style>
  <w:style w:type="character" w:customStyle="1" w:styleId="IntenseQuoteChar1">
    <w:name w:val="Intense Quote Char1"/>
    <w:uiPriority w:val="30"/>
    <w:rsid w:val="007F2F9C"/>
    <w:rPr>
      <w:b/>
      <w:bCs/>
      <w:i/>
      <w:iCs/>
      <w:color w:val="059973"/>
    </w:rPr>
  </w:style>
  <w:style w:type="character" w:customStyle="1" w:styleId="BalloonTextChar1">
    <w:name w:val="Balloon Text Char1"/>
    <w:uiPriority w:val="99"/>
    <w:semiHidden/>
    <w:rsid w:val="007F2F9C"/>
    <w:rPr>
      <w:rFonts w:ascii="Tahoma" w:hAnsi="Tahoma" w:cs="Tahoma"/>
      <w:sz w:val="16"/>
      <w:szCs w:val="16"/>
    </w:rPr>
  </w:style>
  <w:style w:type="character" w:customStyle="1" w:styleId="HeaderChar1">
    <w:name w:val="Header Char1"/>
    <w:basedOn w:val="DefaultParagraphFont"/>
    <w:uiPriority w:val="99"/>
    <w:rsid w:val="007F2F9C"/>
  </w:style>
  <w:style w:type="character" w:customStyle="1" w:styleId="FooterChar1">
    <w:name w:val="Footer Char1"/>
    <w:basedOn w:val="DefaultParagraphFont"/>
    <w:uiPriority w:val="99"/>
    <w:rsid w:val="007F2F9C"/>
  </w:style>
  <w:style w:type="character" w:customStyle="1" w:styleId="CommentTextChar1">
    <w:name w:val="Comment Text Char1"/>
    <w:uiPriority w:val="99"/>
    <w:semiHidden/>
    <w:rsid w:val="007F2F9C"/>
    <w:rPr>
      <w:sz w:val="20"/>
      <w:szCs w:val="20"/>
    </w:rPr>
  </w:style>
  <w:style w:type="character" w:customStyle="1" w:styleId="CommentSubjectChar1">
    <w:name w:val="Comment Subject Char1"/>
    <w:uiPriority w:val="99"/>
    <w:semiHidden/>
    <w:rsid w:val="007F2F9C"/>
    <w:rPr>
      <w:b/>
      <w:bCs/>
      <w:sz w:val="20"/>
      <w:szCs w:val="20"/>
    </w:rPr>
  </w:style>
  <w:style w:type="character" w:customStyle="1" w:styleId="BodyTextIndent2Char1">
    <w:name w:val="Body Text Indent 2 Char1"/>
    <w:basedOn w:val="DefaultParagraphFont"/>
    <w:uiPriority w:val="99"/>
    <w:semiHidden/>
    <w:rsid w:val="007F2F9C"/>
  </w:style>
  <w:style w:type="character" w:customStyle="1" w:styleId="eventhighlightsdatetime">
    <w:name w:val="event_highlights_date_time"/>
    <w:basedOn w:val="DefaultParagraphFont"/>
    <w:rsid w:val="007F2F9C"/>
  </w:style>
  <w:style w:type="paragraph" w:customStyle="1" w:styleId="Title-v2">
    <w:name w:val="Title - v2"/>
    <w:basedOn w:val="NoSpacing"/>
    <w:link w:val="Title-v2Char"/>
    <w:qFormat/>
    <w:rsid w:val="007F2F9C"/>
    <w:rPr>
      <w:rFonts w:ascii="Calibri Light" w:eastAsia="Times New Roman" w:hAnsi="Calibri Light" w:cs="Times New Roman"/>
      <w:color w:val="059973"/>
      <w:sz w:val="80"/>
      <w:szCs w:val="80"/>
      <w:lang w:val="nl-NL"/>
    </w:rPr>
  </w:style>
  <w:style w:type="paragraph" w:customStyle="1" w:styleId="Subtitle-v2">
    <w:name w:val="Subtitle - v2"/>
    <w:basedOn w:val="Normal"/>
    <w:link w:val="Subtitle-v2Char"/>
    <w:qFormat/>
    <w:rsid w:val="007F2F9C"/>
    <w:pPr>
      <w:spacing w:after="40" w:line="276" w:lineRule="auto"/>
    </w:pPr>
    <w:rPr>
      <w:rFonts w:ascii="Calibri Light" w:eastAsia="Times New Roman" w:hAnsi="Calibri Light" w:cs="Times New Roman"/>
      <w:sz w:val="32"/>
      <w:szCs w:val="40"/>
    </w:rPr>
  </w:style>
  <w:style w:type="character" w:customStyle="1" w:styleId="Title-v2Char">
    <w:name w:val="Title - v2 Char"/>
    <w:link w:val="Title-v2"/>
    <w:rsid w:val="007F2F9C"/>
    <w:rPr>
      <w:rFonts w:ascii="Calibri Light" w:eastAsia="Times New Roman" w:hAnsi="Calibri Light" w:cs="Times New Roman"/>
      <w:color w:val="059973"/>
      <w:sz w:val="80"/>
      <w:szCs w:val="80"/>
      <w:lang w:val="nl-NL"/>
    </w:rPr>
  </w:style>
  <w:style w:type="character" w:customStyle="1" w:styleId="Subtitle-v2Char">
    <w:name w:val="Subtitle - v2 Char"/>
    <w:link w:val="Subtitle-v2"/>
    <w:rsid w:val="007F2F9C"/>
    <w:rPr>
      <w:rFonts w:ascii="Calibri Light" w:eastAsia="Times New Roman" w:hAnsi="Calibri Light" w:cs="Times New Roman"/>
      <w:sz w:val="32"/>
      <w:szCs w:val="40"/>
    </w:rPr>
  </w:style>
  <w:style w:type="paragraph" w:customStyle="1" w:styleId="DefaultText">
    <w:name w:val="Default Text"/>
    <w:basedOn w:val="Normal"/>
    <w:link w:val="DefaultTextChar"/>
    <w:rsid w:val="007F2F9C"/>
    <w:pPr>
      <w:spacing w:after="0" w:line="280" w:lineRule="atLeast"/>
    </w:pPr>
    <w:rPr>
      <w:rFonts w:ascii="Arial" w:eastAsia="Times New Roman" w:hAnsi="Arial" w:cs="Times New Roman"/>
      <w:sz w:val="20"/>
      <w:szCs w:val="24"/>
      <w:lang w:val="nl-NL" w:eastAsia="nl-NL"/>
    </w:rPr>
  </w:style>
  <w:style w:type="character" w:customStyle="1" w:styleId="DefaultTextChar">
    <w:name w:val="Default Text Char"/>
    <w:link w:val="DefaultText"/>
    <w:rsid w:val="007F2F9C"/>
    <w:rPr>
      <w:rFonts w:eastAsia="Times New Roman" w:cs="Times New Roman"/>
      <w:sz w:val="20"/>
      <w:lang w:val="nl-NL" w:eastAsia="nl-NL"/>
    </w:rPr>
  </w:style>
  <w:style w:type="table" w:customStyle="1" w:styleId="TableGrid2">
    <w:name w:val="Table Grid2"/>
    <w:basedOn w:val="TableNormal"/>
    <w:next w:val="TableGrid"/>
    <w:uiPriority w:val="59"/>
    <w:rsid w:val="007F2F9C"/>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7F2F9C"/>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unhideWhenUsed/>
    <w:rsid w:val="007F2F9C"/>
    <w:pPr>
      <w:spacing w:after="0" w:line="240" w:lineRule="auto"/>
    </w:pPr>
    <w:rPr>
      <w:rFonts w:ascii="Tahoma" w:eastAsia="Calibri" w:hAnsi="Tahoma" w:cs="Tahoma"/>
      <w:sz w:val="16"/>
      <w:szCs w:val="16"/>
    </w:rPr>
  </w:style>
  <w:style w:type="character" w:customStyle="1" w:styleId="DocumentMapChar">
    <w:name w:val="Document Map Char"/>
    <w:basedOn w:val="DefaultParagraphFont"/>
    <w:link w:val="DocumentMap"/>
    <w:uiPriority w:val="99"/>
    <w:semiHidden/>
    <w:rsid w:val="007F2F9C"/>
    <w:rPr>
      <w:rFonts w:ascii="Tahoma" w:eastAsia="Calibri" w:hAnsi="Tahoma" w:cs="Tahoma"/>
      <w:sz w:val="16"/>
      <w:szCs w:val="16"/>
    </w:rPr>
  </w:style>
  <w:style w:type="paragraph" w:customStyle="1" w:styleId="Appendix-Heading2">
    <w:name w:val="Appendix - Heading 2"/>
    <w:basedOn w:val="Heading2"/>
    <w:link w:val="Appendix-Heading2Char"/>
    <w:qFormat/>
    <w:rsid w:val="007F2F9C"/>
    <w:pPr>
      <w:spacing w:before="240" w:after="160"/>
    </w:pPr>
    <w:rPr>
      <w:rFonts w:ascii="Segoe UI" w:eastAsia="Times New Roman" w:hAnsi="Segoe UI" w:cs="Arial"/>
      <w:bCs/>
      <w:i/>
      <w:iCs/>
      <w:color w:val="4F81BD"/>
      <w:lang w:val="en-GB"/>
    </w:rPr>
  </w:style>
  <w:style w:type="character" w:customStyle="1" w:styleId="Appendix-Heading2Char">
    <w:name w:val="Appendix - Heading 2 Char"/>
    <w:link w:val="Appendix-Heading2"/>
    <w:rsid w:val="007F2F9C"/>
    <w:rPr>
      <w:rFonts w:ascii="Segoe UI" w:eastAsia="Times New Roman" w:hAnsi="Segoe UI" w:cs="Arial"/>
      <w:b/>
      <w:bCs/>
      <w:i/>
      <w:iCs/>
      <w:color w:val="4F81BD"/>
      <w:szCs w:val="24"/>
      <w:lang w:val="en-GB"/>
    </w:rPr>
  </w:style>
  <w:style w:type="character" w:customStyle="1" w:styleId="FiguresChar">
    <w:name w:val="Figures Char"/>
    <w:link w:val="Figures"/>
    <w:rsid w:val="007F2F9C"/>
    <w:rPr>
      <w:rFonts w:ascii="Times New Roman Bold" w:eastAsia="Times New Roman" w:hAnsi="Times New Roman Bold" w:cs="Times New Roman"/>
      <w:b/>
      <w:sz w:val="22"/>
      <w:szCs w:val="20"/>
      <w:lang w:val="en-GB"/>
    </w:rPr>
  </w:style>
  <w:style w:type="paragraph" w:styleId="ListBullet">
    <w:name w:val="List Bullet"/>
    <w:basedOn w:val="Normal"/>
    <w:autoRedefine/>
    <w:rsid w:val="007F2F9C"/>
    <w:pPr>
      <w:keepLines/>
      <w:numPr>
        <w:numId w:val="73"/>
      </w:numPr>
      <w:spacing w:before="120" w:after="0" w:line="240" w:lineRule="auto"/>
      <w:jc w:val="both"/>
    </w:pPr>
    <w:rPr>
      <w:rFonts w:eastAsia="Times New Roman" w:cs="Times New Roman"/>
      <w:szCs w:val="20"/>
      <w:lang w:val="en-GB"/>
    </w:rPr>
  </w:style>
  <w:style w:type="paragraph" w:customStyle="1" w:styleId="xmsonormal">
    <w:name w:val="xmsonormal"/>
    <w:basedOn w:val="Normal"/>
    <w:rsid w:val="007F2F9C"/>
    <w:pPr>
      <w:spacing w:before="100" w:beforeAutospacing="1" w:after="100" w:afterAutospacing="1" w:line="240" w:lineRule="auto"/>
    </w:pPr>
    <w:rPr>
      <w:rFonts w:eastAsia="Times New Roman" w:cs="Times New Roman"/>
      <w:szCs w:val="24"/>
      <w:lang w:bidi="bn-BD"/>
    </w:rPr>
  </w:style>
  <w:style w:type="table" w:styleId="LightList-Accent5">
    <w:name w:val="Light List Accent 5"/>
    <w:basedOn w:val="TableNormal"/>
    <w:uiPriority w:val="61"/>
    <w:rsid w:val="007F2F9C"/>
    <w:rPr>
      <w:rFonts w:eastAsiaTheme="minorHAnsi" w:cs="Times New Roman"/>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bold">
    <w:name w:val="bold"/>
    <w:basedOn w:val="DefaultParagraphFont"/>
    <w:rsid w:val="007F2F9C"/>
  </w:style>
  <w:style w:type="paragraph" w:customStyle="1" w:styleId="figuretext">
    <w:name w:val="figure text"/>
    <w:qFormat/>
    <w:rsid w:val="007F2F9C"/>
    <w:pPr>
      <w:jc w:val="center"/>
    </w:pPr>
    <w:rPr>
      <w:rFonts w:ascii="Tahoma" w:eastAsia="Times New Roman" w:hAnsi="Tahoma" w:cs="Times New Roman"/>
      <w:color w:val="404040"/>
      <w:sz w:val="19"/>
      <w:szCs w:val="20"/>
      <w:lang w:bidi="en-US"/>
    </w:rPr>
  </w:style>
  <w:style w:type="paragraph" w:customStyle="1" w:styleId="TableHeadings2">
    <w:name w:val="Table Headings2"/>
    <w:basedOn w:val="Normal"/>
    <w:next w:val="Normal"/>
    <w:qFormat/>
    <w:rsid w:val="007F2F9C"/>
    <w:pPr>
      <w:keepNext/>
      <w:spacing w:after="200" w:line="240" w:lineRule="auto"/>
      <w:ind w:left="360"/>
    </w:pPr>
    <w:rPr>
      <w:rFonts w:ascii="Tahoma" w:eastAsia="Times New Roman" w:hAnsi="Tahoma" w:cs="Times New Roman"/>
      <w:b/>
      <w:color w:val="262626"/>
      <w:spacing w:val="6"/>
      <w:sz w:val="19"/>
      <w:szCs w:val="20"/>
      <w:lang w:bidi="en-US"/>
    </w:rPr>
  </w:style>
  <w:style w:type="paragraph" w:customStyle="1" w:styleId="Tabletext">
    <w:name w:val="Table text"/>
    <w:basedOn w:val="Normal"/>
    <w:qFormat/>
    <w:rsid w:val="007F2F9C"/>
    <w:pPr>
      <w:spacing w:after="200" w:line="288" w:lineRule="auto"/>
      <w:ind w:left="360"/>
    </w:pPr>
    <w:rPr>
      <w:rFonts w:ascii="Tahoma" w:eastAsia="Times New Roman" w:hAnsi="Tahoma" w:cs="Times New Roman"/>
      <w:color w:val="595959"/>
      <w:spacing w:val="6"/>
      <w:sz w:val="19"/>
      <w:szCs w:val="20"/>
      <w:lang w:bidi="en-US"/>
    </w:rPr>
  </w:style>
  <w:style w:type="paragraph" w:customStyle="1" w:styleId="Bulletedlistintable">
    <w:name w:val="Bulleted list in table"/>
    <w:basedOn w:val="Normal"/>
    <w:qFormat/>
    <w:rsid w:val="007F2F9C"/>
    <w:pPr>
      <w:numPr>
        <w:numId w:val="94"/>
      </w:numPr>
      <w:spacing w:after="120" w:line="240" w:lineRule="auto"/>
      <w:ind w:left="357" w:hanging="357"/>
    </w:pPr>
    <w:rPr>
      <w:rFonts w:ascii="Tahoma" w:eastAsia="Times New Roman" w:hAnsi="Tahoma" w:cs="Times New Roman"/>
      <w:color w:val="595959"/>
      <w:spacing w:val="6"/>
      <w:sz w:val="19"/>
      <w:szCs w:val="20"/>
      <w:lang w:bidi="en-US"/>
    </w:rPr>
  </w:style>
  <w:style w:type="paragraph" w:customStyle="1" w:styleId="Letteredlist">
    <w:name w:val="Lettered list"/>
    <w:basedOn w:val="Bulletedindent"/>
    <w:qFormat/>
    <w:rsid w:val="007F2F9C"/>
    <w:pPr>
      <w:tabs>
        <w:tab w:val="num" w:pos="360"/>
      </w:tabs>
      <w:spacing w:before="120" w:line="264" w:lineRule="auto"/>
      <w:ind w:left="1077"/>
    </w:pPr>
  </w:style>
  <w:style w:type="paragraph" w:customStyle="1" w:styleId="Bulletedindent">
    <w:name w:val="Bulleted indent"/>
    <w:basedOn w:val="Normal"/>
    <w:qFormat/>
    <w:rsid w:val="007F2F9C"/>
    <w:pPr>
      <w:spacing w:after="120" w:line="312" w:lineRule="auto"/>
      <w:ind w:left="1071" w:hanging="357"/>
      <w:outlineLvl w:val="1"/>
    </w:pPr>
    <w:rPr>
      <w:rFonts w:ascii="Tahoma" w:eastAsia="Times New Roman" w:hAnsi="Tahoma" w:cs="Times New Roman"/>
      <w:color w:val="595959"/>
      <w:spacing w:val="6"/>
      <w:sz w:val="19"/>
      <w:szCs w:val="20"/>
      <w:lang w:bidi="en-US"/>
    </w:rPr>
  </w:style>
  <w:style w:type="paragraph" w:customStyle="1" w:styleId="NumberedList">
    <w:name w:val="Numbered List"/>
    <w:next w:val="Normal"/>
    <w:qFormat/>
    <w:rsid w:val="007F2F9C"/>
    <w:pPr>
      <w:numPr>
        <w:numId w:val="95"/>
      </w:numPr>
      <w:spacing w:before="60" w:after="120" w:line="336" w:lineRule="auto"/>
    </w:pPr>
    <w:rPr>
      <w:rFonts w:ascii="Tahoma" w:eastAsia="Times New Roman" w:hAnsi="Tahoma" w:cs="Times New Roman"/>
      <w:color w:val="595959"/>
      <w:spacing w:val="6"/>
      <w:sz w:val="19"/>
      <w:szCs w:val="20"/>
      <w:lang w:bidi="en-US"/>
    </w:rPr>
  </w:style>
  <w:style w:type="table" w:customStyle="1" w:styleId="LightList1">
    <w:name w:val="Light List1"/>
    <w:basedOn w:val="TableNormal"/>
    <w:uiPriority w:val="61"/>
    <w:rsid w:val="007F2F9C"/>
    <w:rPr>
      <w:rFonts w:asciiTheme="minorHAnsi" w:eastAsiaTheme="minorHAnsi" w:hAnsiTheme="minorHAnsi"/>
      <w:sz w:val="22"/>
      <w:lang w:val="en-GB"/>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itlenotnumbered">
    <w:name w:val="Title not numbered"/>
    <w:qFormat/>
    <w:rsid w:val="007F2F9C"/>
    <w:rPr>
      <w:rFonts w:ascii="Verdana" w:eastAsia="Times New Roman" w:hAnsi="Verdana" w:cs="Times New Roman"/>
      <w:bCs/>
      <w:smallCaps/>
      <w:color w:val="008638"/>
      <w:spacing w:val="6"/>
      <w:sz w:val="28"/>
      <w:lang w:bidi="en-US"/>
    </w:rPr>
  </w:style>
  <w:style w:type="paragraph" w:styleId="PlainText">
    <w:name w:val="Plain Text"/>
    <w:basedOn w:val="Normal"/>
    <w:link w:val="PlainTextChar"/>
    <w:uiPriority w:val="99"/>
    <w:semiHidden/>
    <w:unhideWhenUsed/>
    <w:rsid w:val="007F2F9C"/>
    <w:pPr>
      <w:spacing w:after="0" w:line="240" w:lineRule="auto"/>
      <w:ind w:left="360"/>
    </w:pPr>
    <w:rPr>
      <w:rFonts w:ascii="Calibri" w:eastAsia="Times New Roman" w:hAnsi="Calibri" w:cs="Microsoft Sans Serif"/>
      <w:color w:val="663333"/>
      <w:szCs w:val="26"/>
      <w:lang w:bidi="th-TH"/>
    </w:rPr>
  </w:style>
  <w:style w:type="character" w:customStyle="1" w:styleId="PlainTextChar">
    <w:name w:val="Plain Text Char"/>
    <w:basedOn w:val="DefaultParagraphFont"/>
    <w:link w:val="PlainText"/>
    <w:uiPriority w:val="99"/>
    <w:semiHidden/>
    <w:rsid w:val="007F2F9C"/>
    <w:rPr>
      <w:rFonts w:ascii="Calibri" w:eastAsia="Times New Roman" w:hAnsi="Calibri" w:cs="Microsoft Sans Serif"/>
      <w:color w:val="663333"/>
      <w:szCs w:val="26"/>
      <w:lang w:bidi="th-TH"/>
    </w:rPr>
  </w:style>
  <w:style w:type="paragraph" w:customStyle="1" w:styleId="CarcterCarcter1">
    <w:name w:val="Carácter Carácter1"/>
    <w:basedOn w:val="Normal"/>
    <w:rsid w:val="007F2F9C"/>
    <w:pPr>
      <w:spacing w:line="240" w:lineRule="exact"/>
      <w:ind w:left="360"/>
    </w:pPr>
    <w:rPr>
      <w:rFonts w:ascii="Arial" w:eastAsia="Times New Roman" w:hAnsi="Arial" w:cs="Arial"/>
      <w:sz w:val="20"/>
      <w:szCs w:val="20"/>
      <w:lang w:val="en-GB" w:bidi="en-US"/>
    </w:rPr>
  </w:style>
  <w:style w:type="paragraph" w:customStyle="1" w:styleId="Processboxtitle">
    <w:name w:val="Process box title"/>
    <w:basedOn w:val="Normal"/>
    <w:next w:val="Normal"/>
    <w:qFormat/>
    <w:rsid w:val="007F2F9C"/>
    <w:pPr>
      <w:spacing w:line="360" w:lineRule="auto"/>
      <w:jc w:val="center"/>
    </w:pPr>
    <w:rPr>
      <w:rFonts w:ascii="Tahoma" w:eastAsia="Times New Roman" w:hAnsi="Tahoma" w:cs="Times New Roman"/>
      <w:b/>
      <w:smallCaps/>
      <w:color w:val="000000"/>
      <w:spacing w:val="8"/>
      <w:szCs w:val="20"/>
      <w:lang w:bidi="en-US"/>
    </w:rPr>
  </w:style>
  <w:style w:type="paragraph" w:customStyle="1" w:styleId="ProcessSubheadings">
    <w:name w:val="Process Sub headings"/>
    <w:basedOn w:val="Normal"/>
    <w:qFormat/>
    <w:rsid w:val="007F2F9C"/>
    <w:pPr>
      <w:keepNext/>
      <w:spacing w:before="180" w:after="60" w:line="312" w:lineRule="auto"/>
      <w:jc w:val="both"/>
    </w:pPr>
    <w:rPr>
      <w:rFonts w:ascii="Tahoma" w:eastAsia="Times New Roman" w:hAnsi="Tahoma" w:cs="Calibri"/>
      <w:b/>
      <w:color w:val="595959"/>
      <w:spacing w:val="6"/>
      <w:sz w:val="19"/>
      <w:szCs w:val="20"/>
      <w:lang w:bidi="en-US"/>
    </w:rPr>
  </w:style>
  <w:style w:type="paragraph" w:customStyle="1" w:styleId="Bulletedlist-ProcessBox">
    <w:name w:val="Bulleted list - Process Box"/>
    <w:basedOn w:val="Normal"/>
    <w:qFormat/>
    <w:rsid w:val="007F2F9C"/>
    <w:pPr>
      <w:spacing w:after="80" w:line="288" w:lineRule="auto"/>
      <w:ind w:left="714" w:hanging="357"/>
    </w:pPr>
    <w:rPr>
      <w:rFonts w:ascii="Tahoma" w:eastAsia="Times New Roman" w:hAnsi="Tahoma" w:cs="Times New Roman"/>
      <w:color w:val="595959"/>
      <w:spacing w:val="6"/>
      <w:sz w:val="19"/>
      <w:szCs w:val="20"/>
      <w:lang w:bidi="en-US"/>
    </w:rPr>
  </w:style>
  <w:style w:type="paragraph" w:customStyle="1" w:styleId="TableHeadings">
    <w:name w:val="Table Headings"/>
    <w:basedOn w:val="Normal"/>
    <w:qFormat/>
    <w:rsid w:val="007F2F9C"/>
    <w:pPr>
      <w:keepNext/>
      <w:spacing w:before="60" w:line="288" w:lineRule="auto"/>
    </w:pPr>
    <w:rPr>
      <w:rFonts w:ascii="Tahoma" w:eastAsia="Times New Roman" w:hAnsi="Tahoma" w:cs="Times New Roman"/>
      <w:b/>
      <w:color w:val="262626"/>
      <w:spacing w:val="6"/>
      <w:sz w:val="19"/>
      <w:szCs w:val="20"/>
      <w:lang w:bidi="en-US"/>
    </w:rPr>
  </w:style>
  <w:style w:type="paragraph" w:customStyle="1" w:styleId="Bulletedlist">
    <w:name w:val="Bulleted list"/>
    <w:basedOn w:val="Normal"/>
    <w:next w:val="Normal"/>
    <w:qFormat/>
    <w:rsid w:val="007F2F9C"/>
    <w:pPr>
      <w:spacing w:after="120" w:line="360" w:lineRule="auto"/>
      <w:ind w:left="714" w:hanging="357"/>
    </w:pPr>
    <w:rPr>
      <w:rFonts w:ascii="Tahoma" w:eastAsia="Times New Roman" w:hAnsi="Tahoma" w:cs="Times New Roman"/>
      <w:color w:val="595959"/>
      <w:spacing w:val="6"/>
      <w:sz w:val="19"/>
      <w:szCs w:val="20"/>
      <w:lang w:bidi="en-US"/>
    </w:rPr>
  </w:style>
  <w:style w:type="character" w:customStyle="1" w:styleId="xdtextbox1">
    <w:name w:val="xdtextbox1"/>
    <w:basedOn w:val="DefaultParagraphFont"/>
    <w:rsid w:val="007F2F9C"/>
    <w:rPr>
      <w:color w:val="auto"/>
      <w:bdr w:val="single" w:sz="8" w:space="1" w:color="DCDCDC" w:frame="1"/>
      <w:shd w:val="clear" w:color="auto" w:fill="FFFFFF"/>
    </w:rPr>
  </w:style>
  <w:style w:type="paragraph" w:styleId="EndnoteText">
    <w:name w:val="endnote text"/>
    <w:basedOn w:val="Normal"/>
    <w:link w:val="EndnoteTextChar"/>
    <w:rsid w:val="007F2F9C"/>
    <w:pPr>
      <w:spacing w:after="0" w:line="240" w:lineRule="auto"/>
      <w:ind w:left="360"/>
      <w:jc w:val="both"/>
    </w:pPr>
    <w:rPr>
      <w:sz w:val="20"/>
      <w:szCs w:val="20"/>
      <w:lang w:val="en-GB" w:bidi="en-US"/>
    </w:rPr>
  </w:style>
  <w:style w:type="character" w:customStyle="1" w:styleId="EndnoteTextChar">
    <w:name w:val="Endnote Text Char"/>
    <w:basedOn w:val="DefaultParagraphFont"/>
    <w:link w:val="EndnoteText"/>
    <w:rsid w:val="007F2F9C"/>
    <w:rPr>
      <w:rFonts w:asciiTheme="minorHAnsi" w:eastAsiaTheme="minorHAnsi" w:hAnsiTheme="minorHAnsi"/>
      <w:sz w:val="20"/>
      <w:szCs w:val="20"/>
      <w:lang w:val="en-GB" w:bidi="en-US"/>
    </w:rPr>
  </w:style>
  <w:style w:type="character" w:styleId="EndnoteReference">
    <w:name w:val="endnote reference"/>
    <w:basedOn w:val="DefaultParagraphFont"/>
    <w:rsid w:val="007F2F9C"/>
    <w:rPr>
      <w:vertAlign w:val="superscript"/>
    </w:rPr>
  </w:style>
  <w:style w:type="paragraph" w:customStyle="1" w:styleId="bodyscs">
    <w:name w:val="body_scs"/>
    <w:basedOn w:val="Normal"/>
    <w:link w:val="bodyscsChar"/>
    <w:qFormat/>
    <w:rsid w:val="007F2F9C"/>
    <w:pPr>
      <w:spacing w:after="200" w:line="300" w:lineRule="auto"/>
      <w:jc w:val="both"/>
    </w:pPr>
    <w:rPr>
      <w:rFonts w:ascii="Segoe UI" w:eastAsia="Calibri" w:hAnsi="Segoe UI" w:cs="Times New Roman"/>
      <w:sz w:val="20"/>
      <w:lang w:val="en-GB"/>
    </w:rPr>
  </w:style>
  <w:style w:type="character" w:customStyle="1" w:styleId="bodyscsChar">
    <w:name w:val="body_scs Char"/>
    <w:link w:val="bodyscs"/>
    <w:rsid w:val="007F2F9C"/>
    <w:rPr>
      <w:rFonts w:ascii="Segoe UI" w:eastAsia="Calibri" w:hAnsi="Segoe UI" w:cs="Times New Roman"/>
      <w:sz w:val="20"/>
      <w:szCs w:val="22"/>
      <w:lang w:val="en-GB"/>
    </w:rPr>
  </w:style>
  <w:style w:type="paragraph" w:customStyle="1" w:styleId="list123scs">
    <w:name w:val="list 123_scs"/>
    <w:basedOn w:val="ListParagraph"/>
    <w:link w:val="list123scsChar"/>
    <w:qFormat/>
    <w:rsid w:val="007F2F9C"/>
    <w:pPr>
      <w:numPr>
        <w:numId w:val="103"/>
      </w:numPr>
      <w:spacing w:after="120" w:line="264" w:lineRule="auto"/>
      <w:contextualSpacing w:val="0"/>
      <w:jc w:val="both"/>
    </w:pPr>
    <w:rPr>
      <w:rFonts w:ascii="Arial" w:eastAsia="Calibri" w:hAnsi="Arial" w:cs="Times New Roman"/>
      <w:lang w:val="en-GB"/>
    </w:rPr>
  </w:style>
  <w:style w:type="character" w:customStyle="1" w:styleId="list123scsChar">
    <w:name w:val="list 123_scs Char"/>
    <w:link w:val="list123scs"/>
    <w:rsid w:val="007F2F9C"/>
    <w:rPr>
      <w:rFonts w:ascii="Arial" w:eastAsia="Calibri" w:hAnsi="Arial" w:cs="Times New Roman"/>
      <w:lang w:val="en-GB"/>
    </w:rPr>
  </w:style>
  <w:style w:type="paragraph" w:customStyle="1" w:styleId="heading2scs">
    <w:name w:val="heading 2 scs"/>
    <w:basedOn w:val="Heading2"/>
    <w:qFormat/>
    <w:rsid w:val="007F2F9C"/>
    <w:pPr>
      <w:keepNext/>
      <w:spacing w:before="480" w:after="0" w:line="264" w:lineRule="auto"/>
      <w:ind w:left="792" w:hanging="432"/>
    </w:pPr>
    <w:rPr>
      <w:rFonts w:ascii="Arial" w:eastAsia="Times New Roman" w:hAnsi="Arial"/>
      <w:bCs/>
      <w:iCs/>
      <w:sz w:val="22"/>
      <w:szCs w:val="20"/>
    </w:rPr>
  </w:style>
  <w:style w:type="paragraph" w:customStyle="1" w:styleId="Heading3scs">
    <w:name w:val="Heading 3 scs"/>
    <w:basedOn w:val="heading2scs"/>
    <w:link w:val="Heading3scsChar"/>
    <w:qFormat/>
    <w:rsid w:val="007F2F9C"/>
    <w:pPr>
      <w:spacing w:before="120" w:after="120"/>
      <w:ind w:left="1224" w:hanging="504"/>
    </w:pPr>
    <w:rPr>
      <w:rFonts w:ascii="Segoe UI" w:hAnsi="Segoe UI"/>
      <w:b w:val="0"/>
      <w:color w:val="059973"/>
      <w:sz w:val="20"/>
    </w:rPr>
  </w:style>
  <w:style w:type="paragraph" w:customStyle="1" w:styleId="h4scs1">
    <w:name w:val="h4_scs1"/>
    <w:basedOn w:val="Heading3scs"/>
    <w:link w:val="h4scs1Char"/>
    <w:qFormat/>
    <w:rsid w:val="007F2F9C"/>
    <w:pPr>
      <w:ind w:left="1728" w:hanging="648"/>
    </w:pPr>
    <w:rPr>
      <w:i/>
    </w:rPr>
  </w:style>
  <w:style w:type="character" w:customStyle="1" w:styleId="h4scs1Char">
    <w:name w:val="h4_scs1 Char"/>
    <w:link w:val="h4scs1"/>
    <w:rsid w:val="007F2F9C"/>
    <w:rPr>
      <w:rFonts w:ascii="Segoe UI" w:eastAsia="Times New Roman" w:hAnsi="Segoe UI" w:cs="Times New Roman"/>
      <w:bCs/>
      <w:i/>
      <w:iCs/>
      <w:color w:val="059973"/>
      <w:sz w:val="20"/>
      <w:szCs w:val="20"/>
    </w:rPr>
  </w:style>
  <w:style w:type="character" w:customStyle="1" w:styleId="Heading3scsChar">
    <w:name w:val="Heading 3 scs Char"/>
    <w:link w:val="Heading3scs"/>
    <w:rsid w:val="007F2F9C"/>
    <w:rPr>
      <w:rFonts w:ascii="Segoe UI" w:eastAsia="Times New Roman" w:hAnsi="Segoe UI" w:cs="Times New Roman"/>
      <w:bCs/>
      <w:iCs/>
      <w:color w:val="059973"/>
      <w:sz w:val="20"/>
      <w:szCs w:val="20"/>
    </w:rPr>
  </w:style>
  <w:style w:type="paragraph" w:customStyle="1" w:styleId="h2SCS">
    <w:name w:val="h2_SCS"/>
    <w:basedOn w:val="heading2scs"/>
    <w:link w:val="h2SCSChar"/>
    <w:qFormat/>
    <w:rsid w:val="007F2F9C"/>
    <w:pPr>
      <w:spacing w:before="240" w:after="120"/>
      <w:ind w:left="720" w:hanging="706"/>
    </w:pPr>
    <w:rPr>
      <w:rFonts w:ascii="Segoe UI" w:hAnsi="Segoe UI"/>
      <w:color w:val="059973"/>
      <w:sz w:val="20"/>
      <w:szCs w:val="24"/>
      <w:lang w:eastAsia="zh-CN"/>
    </w:rPr>
  </w:style>
  <w:style w:type="character" w:customStyle="1" w:styleId="h2SCSChar">
    <w:name w:val="h2_SCS Char"/>
    <w:link w:val="h2SCS"/>
    <w:rsid w:val="007F2F9C"/>
    <w:rPr>
      <w:rFonts w:ascii="Segoe UI" w:eastAsia="Times New Roman" w:hAnsi="Segoe UI" w:cs="Times New Roman"/>
      <w:b/>
      <w:bCs/>
      <w:iCs/>
      <w:color w:val="059973"/>
      <w:sz w:val="20"/>
      <w:szCs w:val="24"/>
      <w:lang w:eastAsia="zh-CN"/>
    </w:rPr>
  </w:style>
  <w:style w:type="paragraph" w:customStyle="1" w:styleId="TblesandFigures">
    <w:name w:val="Tbles and Figures"/>
    <w:basedOn w:val="Normal"/>
    <w:rsid w:val="007F2F9C"/>
    <w:pPr>
      <w:spacing w:after="0" w:line="240" w:lineRule="auto"/>
    </w:pPr>
    <w:rPr>
      <w:rFonts w:cs="Times New Roman"/>
      <w:szCs w:val="24"/>
    </w:rPr>
  </w:style>
  <w:style w:type="paragraph" w:customStyle="1" w:styleId="ColorfulList-Accent11">
    <w:name w:val="Colorful List - Accent 11"/>
    <w:basedOn w:val="Normal"/>
    <w:uiPriority w:val="34"/>
    <w:qFormat/>
    <w:rsid w:val="00985A09"/>
    <w:pPr>
      <w:spacing w:after="200" w:line="276" w:lineRule="auto"/>
      <w:ind w:left="720"/>
      <w:contextualSpacing/>
    </w:pPr>
    <w:rPr>
      <w:rFonts w:ascii="Georgia" w:eastAsia="Georgia" w:hAnsi="Georgia" w:cs="Times New Roman"/>
      <w:sz w:val="22"/>
      <w:lang w:val="de-CH"/>
    </w:rPr>
  </w:style>
  <w:style w:type="table" w:customStyle="1" w:styleId="PlainTable12">
    <w:name w:val="Plain Table 12"/>
    <w:basedOn w:val="TableNormal"/>
    <w:uiPriority w:val="41"/>
    <w:rsid w:val="0069119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style-blauw-070-none">
    <w:name w:val="table-style-blauw-070-none"/>
    <w:basedOn w:val="TableNormal"/>
    <w:rsid w:val="00021F7B"/>
    <w:pPr>
      <w:spacing w:after="0" w:line="280" w:lineRule="atLeast"/>
    </w:pPr>
    <w:rPr>
      <w:rFonts w:ascii="Arial" w:eastAsia="Times New Roman" w:hAnsi="Arial" w:cs="Times New Roman"/>
      <w:color w:val="000000"/>
      <w:sz w:val="16"/>
      <w:szCs w:val="20"/>
      <w:lang w:val="nl-NL" w:eastAsia="nl-NL"/>
    </w:rPr>
    <w:tblPr>
      <w:tblStyleRowBandSize w:val="1"/>
      <w:tblInd w:w="0" w:type="dxa"/>
      <w:tblBorders>
        <w:top w:val="single" w:sz="6" w:space="0" w:color="006DB6"/>
        <w:left w:val="single" w:sz="6" w:space="0" w:color="006DB6"/>
        <w:bottom w:val="single" w:sz="6" w:space="0" w:color="006DB6"/>
        <w:right w:val="single" w:sz="6" w:space="0" w:color="006DB6"/>
        <w:insideV w:val="single" w:sz="6" w:space="0" w:color="006DB6"/>
      </w:tblBorders>
      <w:tblCellMar>
        <w:top w:w="0" w:type="dxa"/>
        <w:left w:w="108" w:type="dxa"/>
        <w:bottom w:w="0" w:type="dxa"/>
        <w:right w:w="108" w:type="dxa"/>
      </w:tblCellMar>
    </w:tblPr>
    <w:tblStylePr w:type="firstRow">
      <w:pPr>
        <w:keepNext/>
        <w:keepLines/>
        <w:wordWrap/>
      </w:pPr>
      <w:rPr>
        <w:rFonts w:ascii="Arial" w:hAnsi="Arial"/>
        <w:b/>
        <w:i w:val="0"/>
        <w:color w:val="FFFFFF"/>
        <w:sz w:val="16"/>
      </w:rPr>
      <w:tblPr/>
      <w:tcPr>
        <w:tcBorders>
          <w:top w:val="nil"/>
          <w:left w:val="nil"/>
          <w:bottom w:val="nil"/>
          <w:right w:val="nil"/>
          <w:insideH w:val="nil"/>
          <w:insideV w:val="nil"/>
          <w:tl2br w:val="nil"/>
          <w:tr2bl w:val="nil"/>
        </w:tcBorders>
        <w:shd w:val="pct70" w:color="4E93CA" w:fill="4E93CA"/>
      </w:tcPr>
    </w:tblStylePr>
    <w:tblStylePr w:type="band1Horz">
      <w:tblPr/>
      <w:tcPr>
        <w:tcBorders>
          <w:top w:val="single" w:sz="6" w:space="0" w:color="A6A6A6" w:themeColor="background1" w:themeShade="A6"/>
        </w:tcBorders>
      </w:tcPr>
    </w:tblStylePr>
    <w:tblStylePr w:type="band2Horz">
      <w:tblPr/>
      <w:tcPr>
        <w:tcBorders>
          <w:top w:val="single" w:sz="6" w:space="0" w:color="A6A6A6" w:themeColor="background1" w:themeShade="A6"/>
        </w:tcBorders>
      </w:tcPr>
    </w:tblStylePr>
  </w:style>
  <w:style w:type="table" w:customStyle="1" w:styleId="LightShading10">
    <w:name w:val="Light Shading1"/>
    <w:basedOn w:val="TableNormal"/>
    <w:uiPriority w:val="60"/>
    <w:rsid w:val="00453DFC"/>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
    <w:name w:val="Table Grid4"/>
    <w:basedOn w:val="TableNormal"/>
    <w:next w:val="TableGrid"/>
    <w:uiPriority w:val="59"/>
    <w:rsid w:val="00453DFC"/>
    <w:pPr>
      <w:spacing w:after="0" w:line="240" w:lineRule="auto"/>
    </w:pPr>
    <w:rPr>
      <w:rFonts w:ascii="Calibri" w:eastAsia="Calibri" w:hAnsi="Calibr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PlainTable120">
    <w:name w:val="Plain Table 12"/>
    <w:basedOn w:val="TableNormal"/>
    <w:uiPriority w:val="41"/>
    <w:rsid w:val="00B360AB"/>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7Colorful1">
    <w:name w:val="List Table 7 Colorful1"/>
    <w:basedOn w:val="TableNormal"/>
    <w:uiPriority w:val="52"/>
    <w:rsid w:val="006B433D"/>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1">
    <w:name w:val="Table Grid Light1"/>
    <w:basedOn w:val="TableNormal"/>
    <w:uiPriority w:val="40"/>
    <w:rsid w:val="00240ED3"/>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DefaultChar">
    <w:name w:val="Default Char"/>
    <w:link w:val="Default"/>
    <w:rsid w:val="00B025E0"/>
    <w:rPr>
      <w:rFonts w:ascii="Segoe UI" w:hAnsi="Segoe UI" w:cs="Segoe UI"/>
      <w:color w:val="000000"/>
    </w:rPr>
  </w:style>
  <w:style w:type="character" w:customStyle="1" w:styleId="NormalWebChar">
    <w:name w:val="Normal (Web) Char"/>
    <w:aliases w:val="Char Char, Char Char"/>
    <w:link w:val="NormalWeb"/>
    <w:locked/>
    <w:rsid w:val="00630139"/>
    <w:rPr>
      <w:rFonts w:eastAsia="Times New Roman" w:cs="Times New Roman"/>
      <w:szCs w:val="24"/>
      <w:lang w:val="en-GB" w:eastAsia="zh-CN"/>
    </w:rPr>
  </w:style>
  <w:style w:type="paragraph" w:customStyle="1" w:styleId="rtecenter">
    <w:name w:val="rtecenter"/>
    <w:basedOn w:val="Normal"/>
    <w:rsid w:val="00630139"/>
    <w:pPr>
      <w:spacing w:before="100" w:beforeAutospacing="1" w:after="100" w:afterAutospacing="1" w:line="240" w:lineRule="auto"/>
    </w:pPr>
    <w:rPr>
      <w:rFonts w:eastAsia="Times New Roman" w:cs="Times New Roman"/>
      <w:szCs w:val="24"/>
      <w:lang w:val="en-AU" w:eastAsia="en-AU"/>
    </w:rPr>
  </w:style>
  <w:style w:type="table" w:customStyle="1" w:styleId="MediumShading1-Accent11">
    <w:name w:val="Medium Shading 1 - Accent 11"/>
    <w:basedOn w:val="TableNormal"/>
    <w:uiPriority w:val="63"/>
    <w:unhideWhenUsed/>
    <w:rsid w:val="003F0F39"/>
    <w:pPr>
      <w:spacing w:after="0" w:line="240" w:lineRule="auto"/>
    </w:pPr>
    <w:rPr>
      <w:rFonts w:asciiTheme="minorHAnsi" w:eastAsiaTheme="minorHAnsi" w:hAnsiTheme="minorHAnsi"/>
      <w:sz w:val="22"/>
      <w:lang w:val="nl-NL"/>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Goal">
    <w:name w:val="Goal"/>
    <w:basedOn w:val="Normal"/>
    <w:qFormat/>
    <w:rsid w:val="00DC02C7"/>
    <w:rPr>
      <w:b/>
      <w:u w:val="single"/>
    </w:rPr>
  </w:style>
  <w:style w:type="table" w:styleId="LightShading">
    <w:name w:val="Light Shading"/>
    <w:basedOn w:val="TableNormal"/>
    <w:uiPriority w:val="60"/>
    <w:rsid w:val="0048464B"/>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Opsomming">
    <w:name w:val="Opsomming"/>
    <w:basedOn w:val="NoList"/>
    <w:rsid w:val="0048464B"/>
    <w:pPr>
      <w:numPr>
        <w:numId w:val="26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3749843">
      <w:bodyDiv w:val="1"/>
      <w:marLeft w:val="0"/>
      <w:marRight w:val="0"/>
      <w:marTop w:val="0"/>
      <w:marBottom w:val="0"/>
      <w:divBdr>
        <w:top w:val="none" w:sz="0" w:space="0" w:color="auto"/>
        <w:left w:val="none" w:sz="0" w:space="0" w:color="auto"/>
        <w:bottom w:val="none" w:sz="0" w:space="0" w:color="auto"/>
        <w:right w:val="none" w:sz="0" w:space="0" w:color="auto"/>
      </w:divBdr>
      <w:divsChild>
        <w:div w:id="977422331">
          <w:marLeft w:val="0"/>
          <w:marRight w:val="0"/>
          <w:marTop w:val="0"/>
          <w:marBottom w:val="0"/>
          <w:divBdr>
            <w:top w:val="none" w:sz="0" w:space="0" w:color="auto"/>
            <w:left w:val="none" w:sz="0" w:space="0" w:color="auto"/>
            <w:bottom w:val="none" w:sz="0" w:space="0" w:color="auto"/>
            <w:right w:val="none" w:sz="0" w:space="0" w:color="auto"/>
          </w:divBdr>
          <w:divsChild>
            <w:div w:id="1705712657">
              <w:marLeft w:val="0"/>
              <w:marRight w:val="0"/>
              <w:marTop w:val="0"/>
              <w:marBottom w:val="0"/>
              <w:divBdr>
                <w:top w:val="none" w:sz="0" w:space="0" w:color="auto"/>
                <w:left w:val="none" w:sz="0" w:space="0" w:color="auto"/>
                <w:bottom w:val="none" w:sz="0" w:space="0" w:color="auto"/>
                <w:right w:val="none" w:sz="0" w:space="0" w:color="auto"/>
              </w:divBdr>
              <w:divsChild>
                <w:div w:id="188293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57454">
      <w:bodyDiv w:val="1"/>
      <w:marLeft w:val="0"/>
      <w:marRight w:val="0"/>
      <w:marTop w:val="0"/>
      <w:marBottom w:val="0"/>
      <w:divBdr>
        <w:top w:val="none" w:sz="0" w:space="0" w:color="auto"/>
        <w:left w:val="none" w:sz="0" w:space="0" w:color="auto"/>
        <w:bottom w:val="none" w:sz="0" w:space="0" w:color="auto"/>
        <w:right w:val="none" w:sz="0" w:space="0" w:color="auto"/>
      </w:divBdr>
    </w:div>
    <w:div w:id="107819549">
      <w:bodyDiv w:val="1"/>
      <w:marLeft w:val="0"/>
      <w:marRight w:val="0"/>
      <w:marTop w:val="0"/>
      <w:marBottom w:val="0"/>
      <w:divBdr>
        <w:top w:val="none" w:sz="0" w:space="0" w:color="auto"/>
        <w:left w:val="none" w:sz="0" w:space="0" w:color="auto"/>
        <w:bottom w:val="none" w:sz="0" w:space="0" w:color="auto"/>
        <w:right w:val="none" w:sz="0" w:space="0" w:color="auto"/>
      </w:divBdr>
    </w:div>
    <w:div w:id="109280018">
      <w:bodyDiv w:val="1"/>
      <w:marLeft w:val="0"/>
      <w:marRight w:val="0"/>
      <w:marTop w:val="0"/>
      <w:marBottom w:val="0"/>
      <w:divBdr>
        <w:top w:val="none" w:sz="0" w:space="0" w:color="auto"/>
        <w:left w:val="none" w:sz="0" w:space="0" w:color="auto"/>
        <w:bottom w:val="none" w:sz="0" w:space="0" w:color="auto"/>
        <w:right w:val="none" w:sz="0" w:space="0" w:color="auto"/>
      </w:divBdr>
    </w:div>
    <w:div w:id="148523466">
      <w:bodyDiv w:val="1"/>
      <w:marLeft w:val="0"/>
      <w:marRight w:val="0"/>
      <w:marTop w:val="0"/>
      <w:marBottom w:val="0"/>
      <w:divBdr>
        <w:top w:val="none" w:sz="0" w:space="0" w:color="auto"/>
        <w:left w:val="none" w:sz="0" w:space="0" w:color="auto"/>
        <w:bottom w:val="none" w:sz="0" w:space="0" w:color="auto"/>
        <w:right w:val="none" w:sz="0" w:space="0" w:color="auto"/>
      </w:divBdr>
    </w:div>
    <w:div w:id="225266263">
      <w:bodyDiv w:val="1"/>
      <w:marLeft w:val="0"/>
      <w:marRight w:val="0"/>
      <w:marTop w:val="0"/>
      <w:marBottom w:val="0"/>
      <w:divBdr>
        <w:top w:val="none" w:sz="0" w:space="0" w:color="auto"/>
        <w:left w:val="none" w:sz="0" w:space="0" w:color="auto"/>
        <w:bottom w:val="none" w:sz="0" w:space="0" w:color="auto"/>
        <w:right w:val="none" w:sz="0" w:space="0" w:color="auto"/>
      </w:divBdr>
    </w:div>
    <w:div w:id="234315332">
      <w:bodyDiv w:val="1"/>
      <w:marLeft w:val="0"/>
      <w:marRight w:val="0"/>
      <w:marTop w:val="0"/>
      <w:marBottom w:val="0"/>
      <w:divBdr>
        <w:top w:val="none" w:sz="0" w:space="0" w:color="auto"/>
        <w:left w:val="none" w:sz="0" w:space="0" w:color="auto"/>
        <w:bottom w:val="none" w:sz="0" w:space="0" w:color="auto"/>
        <w:right w:val="none" w:sz="0" w:space="0" w:color="auto"/>
      </w:divBdr>
    </w:div>
    <w:div w:id="258023333">
      <w:bodyDiv w:val="1"/>
      <w:marLeft w:val="0"/>
      <w:marRight w:val="0"/>
      <w:marTop w:val="0"/>
      <w:marBottom w:val="0"/>
      <w:divBdr>
        <w:top w:val="none" w:sz="0" w:space="0" w:color="auto"/>
        <w:left w:val="none" w:sz="0" w:space="0" w:color="auto"/>
        <w:bottom w:val="none" w:sz="0" w:space="0" w:color="auto"/>
        <w:right w:val="none" w:sz="0" w:space="0" w:color="auto"/>
      </w:divBdr>
    </w:div>
    <w:div w:id="335882687">
      <w:bodyDiv w:val="1"/>
      <w:marLeft w:val="0"/>
      <w:marRight w:val="0"/>
      <w:marTop w:val="0"/>
      <w:marBottom w:val="0"/>
      <w:divBdr>
        <w:top w:val="none" w:sz="0" w:space="0" w:color="auto"/>
        <w:left w:val="none" w:sz="0" w:space="0" w:color="auto"/>
        <w:bottom w:val="none" w:sz="0" w:space="0" w:color="auto"/>
        <w:right w:val="none" w:sz="0" w:space="0" w:color="auto"/>
      </w:divBdr>
    </w:div>
    <w:div w:id="392700673">
      <w:bodyDiv w:val="1"/>
      <w:marLeft w:val="0"/>
      <w:marRight w:val="0"/>
      <w:marTop w:val="0"/>
      <w:marBottom w:val="0"/>
      <w:divBdr>
        <w:top w:val="none" w:sz="0" w:space="0" w:color="auto"/>
        <w:left w:val="none" w:sz="0" w:space="0" w:color="auto"/>
        <w:bottom w:val="none" w:sz="0" w:space="0" w:color="auto"/>
        <w:right w:val="none" w:sz="0" w:space="0" w:color="auto"/>
      </w:divBdr>
    </w:div>
    <w:div w:id="395399152">
      <w:bodyDiv w:val="1"/>
      <w:marLeft w:val="0"/>
      <w:marRight w:val="0"/>
      <w:marTop w:val="0"/>
      <w:marBottom w:val="0"/>
      <w:divBdr>
        <w:top w:val="none" w:sz="0" w:space="0" w:color="auto"/>
        <w:left w:val="none" w:sz="0" w:space="0" w:color="auto"/>
        <w:bottom w:val="none" w:sz="0" w:space="0" w:color="auto"/>
        <w:right w:val="none" w:sz="0" w:space="0" w:color="auto"/>
      </w:divBdr>
    </w:div>
    <w:div w:id="401488892">
      <w:bodyDiv w:val="1"/>
      <w:marLeft w:val="0"/>
      <w:marRight w:val="0"/>
      <w:marTop w:val="0"/>
      <w:marBottom w:val="0"/>
      <w:divBdr>
        <w:top w:val="none" w:sz="0" w:space="0" w:color="auto"/>
        <w:left w:val="none" w:sz="0" w:space="0" w:color="auto"/>
        <w:bottom w:val="none" w:sz="0" w:space="0" w:color="auto"/>
        <w:right w:val="none" w:sz="0" w:space="0" w:color="auto"/>
      </w:divBdr>
    </w:div>
    <w:div w:id="440491231">
      <w:bodyDiv w:val="1"/>
      <w:marLeft w:val="0"/>
      <w:marRight w:val="0"/>
      <w:marTop w:val="0"/>
      <w:marBottom w:val="0"/>
      <w:divBdr>
        <w:top w:val="none" w:sz="0" w:space="0" w:color="auto"/>
        <w:left w:val="none" w:sz="0" w:space="0" w:color="auto"/>
        <w:bottom w:val="none" w:sz="0" w:space="0" w:color="auto"/>
        <w:right w:val="none" w:sz="0" w:space="0" w:color="auto"/>
      </w:divBdr>
    </w:div>
    <w:div w:id="463083099">
      <w:bodyDiv w:val="1"/>
      <w:marLeft w:val="0"/>
      <w:marRight w:val="0"/>
      <w:marTop w:val="0"/>
      <w:marBottom w:val="0"/>
      <w:divBdr>
        <w:top w:val="none" w:sz="0" w:space="0" w:color="auto"/>
        <w:left w:val="none" w:sz="0" w:space="0" w:color="auto"/>
        <w:bottom w:val="none" w:sz="0" w:space="0" w:color="auto"/>
        <w:right w:val="none" w:sz="0" w:space="0" w:color="auto"/>
      </w:divBdr>
    </w:div>
    <w:div w:id="473565494">
      <w:bodyDiv w:val="1"/>
      <w:marLeft w:val="0"/>
      <w:marRight w:val="0"/>
      <w:marTop w:val="0"/>
      <w:marBottom w:val="0"/>
      <w:divBdr>
        <w:top w:val="none" w:sz="0" w:space="0" w:color="auto"/>
        <w:left w:val="none" w:sz="0" w:space="0" w:color="auto"/>
        <w:bottom w:val="none" w:sz="0" w:space="0" w:color="auto"/>
        <w:right w:val="none" w:sz="0" w:space="0" w:color="auto"/>
      </w:divBdr>
    </w:div>
    <w:div w:id="494420614">
      <w:bodyDiv w:val="1"/>
      <w:marLeft w:val="0"/>
      <w:marRight w:val="0"/>
      <w:marTop w:val="0"/>
      <w:marBottom w:val="0"/>
      <w:divBdr>
        <w:top w:val="none" w:sz="0" w:space="0" w:color="auto"/>
        <w:left w:val="none" w:sz="0" w:space="0" w:color="auto"/>
        <w:bottom w:val="none" w:sz="0" w:space="0" w:color="auto"/>
        <w:right w:val="none" w:sz="0" w:space="0" w:color="auto"/>
      </w:divBdr>
    </w:div>
    <w:div w:id="533806055">
      <w:bodyDiv w:val="1"/>
      <w:marLeft w:val="0"/>
      <w:marRight w:val="0"/>
      <w:marTop w:val="0"/>
      <w:marBottom w:val="0"/>
      <w:divBdr>
        <w:top w:val="none" w:sz="0" w:space="0" w:color="auto"/>
        <w:left w:val="none" w:sz="0" w:space="0" w:color="auto"/>
        <w:bottom w:val="none" w:sz="0" w:space="0" w:color="auto"/>
        <w:right w:val="none" w:sz="0" w:space="0" w:color="auto"/>
      </w:divBdr>
    </w:div>
    <w:div w:id="549456670">
      <w:bodyDiv w:val="1"/>
      <w:marLeft w:val="0"/>
      <w:marRight w:val="0"/>
      <w:marTop w:val="0"/>
      <w:marBottom w:val="0"/>
      <w:divBdr>
        <w:top w:val="none" w:sz="0" w:space="0" w:color="auto"/>
        <w:left w:val="none" w:sz="0" w:space="0" w:color="auto"/>
        <w:bottom w:val="none" w:sz="0" w:space="0" w:color="auto"/>
        <w:right w:val="none" w:sz="0" w:space="0" w:color="auto"/>
      </w:divBdr>
      <w:divsChild>
        <w:div w:id="2007441921">
          <w:marLeft w:val="0"/>
          <w:marRight w:val="0"/>
          <w:marTop w:val="0"/>
          <w:marBottom w:val="0"/>
          <w:divBdr>
            <w:top w:val="none" w:sz="0" w:space="0" w:color="auto"/>
            <w:left w:val="none" w:sz="0" w:space="0" w:color="auto"/>
            <w:bottom w:val="none" w:sz="0" w:space="0" w:color="auto"/>
            <w:right w:val="none" w:sz="0" w:space="0" w:color="auto"/>
          </w:divBdr>
          <w:divsChild>
            <w:div w:id="336806870">
              <w:marLeft w:val="0"/>
              <w:marRight w:val="0"/>
              <w:marTop w:val="0"/>
              <w:marBottom w:val="0"/>
              <w:divBdr>
                <w:top w:val="none" w:sz="0" w:space="0" w:color="auto"/>
                <w:left w:val="none" w:sz="0" w:space="0" w:color="auto"/>
                <w:bottom w:val="none" w:sz="0" w:space="0" w:color="auto"/>
                <w:right w:val="none" w:sz="0" w:space="0" w:color="auto"/>
              </w:divBdr>
              <w:divsChild>
                <w:div w:id="1870340159">
                  <w:marLeft w:val="0"/>
                  <w:marRight w:val="0"/>
                  <w:marTop w:val="0"/>
                  <w:marBottom w:val="0"/>
                  <w:divBdr>
                    <w:top w:val="none" w:sz="0" w:space="0" w:color="auto"/>
                    <w:left w:val="none" w:sz="0" w:space="0" w:color="auto"/>
                    <w:bottom w:val="none" w:sz="0" w:space="0" w:color="auto"/>
                    <w:right w:val="none" w:sz="0" w:space="0" w:color="auto"/>
                  </w:divBdr>
                  <w:divsChild>
                    <w:div w:id="44034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949771">
      <w:bodyDiv w:val="1"/>
      <w:marLeft w:val="0"/>
      <w:marRight w:val="0"/>
      <w:marTop w:val="0"/>
      <w:marBottom w:val="0"/>
      <w:divBdr>
        <w:top w:val="none" w:sz="0" w:space="0" w:color="auto"/>
        <w:left w:val="none" w:sz="0" w:space="0" w:color="auto"/>
        <w:bottom w:val="none" w:sz="0" w:space="0" w:color="auto"/>
        <w:right w:val="none" w:sz="0" w:space="0" w:color="auto"/>
      </w:divBdr>
    </w:div>
    <w:div w:id="593437485">
      <w:bodyDiv w:val="1"/>
      <w:marLeft w:val="0"/>
      <w:marRight w:val="0"/>
      <w:marTop w:val="0"/>
      <w:marBottom w:val="0"/>
      <w:divBdr>
        <w:top w:val="none" w:sz="0" w:space="0" w:color="auto"/>
        <w:left w:val="none" w:sz="0" w:space="0" w:color="auto"/>
        <w:bottom w:val="none" w:sz="0" w:space="0" w:color="auto"/>
        <w:right w:val="none" w:sz="0" w:space="0" w:color="auto"/>
      </w:divBdr>
    </w:div>
    <w:div w:id="682513243">
      <w:bodyDiv w:val="1"/>
      <w:marLeft w:val="0"/>
      <w:marRight w:val="0"/>
      <w:marTop w:val="0"/>
      <w:marBottom w:val="0"/>
      <w:divBdr>
        <w:top w:val="none" w:sz="0" w:space="0" w:color="auto"/>
        <w:left w:val="none" w:sz="0" w:space="0" w:color="auto"/>
        <w:bottom w:val="none" w:sz="0" w:space="0" w:color="auto"/>
        <w:right w:val="none" w:sz="0" w:space="0" w:color="auto"/>
      </w:divBdr>
    </w:div>
    <w:div w:id="835000947">
      <w:bodyDiv w:val="1"/>
      <w:marLeft w:val="0"/>
      <w:marRight w:val="0"/>
      <w:marTop w:val="0"/>
      <w:marBottom w:val="0"/>
      <w:divBdr>
        <w:top w:val="none" w:sz="0" w:space="0" w:color="auto"/>
        <w:left w:val="none" w:sz="0" w:space="0" w:color="auto"/>
        <w:bottom w:val="none" w:sz="0" w:space="0" w:color="auto"/>
        <w:right w:val="none" w:sz="0" w:space="0" w:color="auto"/>
      </w:divBdr>
    </w:div>
    <w:div w:id="866911266">
      <w:bodyDiv w:val="1"/>
      <w:marLeft w:val="0"/>
      <w:marRight w:val="0"/>
      <w:marTop w:val="0"/>
      <w:marBottom w:val="0"/>
      <w:divBdr>
        <w:top w:val="none" w:sz="0" w:space="0" w:color="auto"/>
        <w:left w:val="none" w:sz="0" w:space="0" w:color="auto"/>
        <w:bottom w:val="none" w:sz="0" w:space="0" w:color="auto"/>
        <w:right w:val="none" w:sz="0" w:space="0" w:color="auto"/>
      </w:divBdr>
    </w:div>
    <w:div w:id="868571355">
      <w:bodyDiv w:val="1"/>
      <w:marLeft w:val="0"/>
      <w:marRight w:val="0"/>
      <w:marTop w:val="0"/>
      <w:marBottom w:val="0"/>
      <w:divBdr>
        <w:top w:val="none" w:sz="0" w:space="0" w:color="auto"/>
        <w:left w:val="none" w:sz="0" w:space="0" w:color="auto"/>
        <w:bottom w:val="none" w:sz="0" w:space="0" w:color="auto"/>
        <w:right w:val="none" w:sz="0" w:space="0" w:color="auto"/>
      </w:divBdr>
    </w:div>
    <w:div w:id="885141156">
      <w:bodyDiv w:val="1"/>
      <w:marLeft w:val="0"/>
      <w:marRight w:val="0"/>
      <w:marTop w:val="0"/>
      <w:marBottom w:val="0"/>
      <w:divBdr>
        <w:top w:val="none" w:sz="0" w:space="0" w:color="auto"/>
        <w:left w:val="none" w:sz="0" w:space="0" w:color="auto"/>
        <w:bottom w:val="none" w:sz="0" w:space="0" w:color="auto"/>
        <w:right w:val="none" w:sz="0" w:space="0" w:color="auto"/>
      </w:divBdr>
    </w:div>
    <w:div w:id="908534521">
      <w:bodyDiv w:val="1"/>
      <w:marLeft w:val="0"/>
      <w:marRight w:val="0"/>
      <w:marTop w:val="0"/>
      <w:marBottom w:val="0"/>
      <w:divBdr>
        <w:top w:val="none" w:sz="0" w:space="0" w:color="auto"/>
        <w:left w:val="none" w:sz="0" w:space="0" w:color="auto"/>
        <w:bottom w:val="none" w:sz="0" w:space="0" w:color="auto"/>
        <w:right w:val="none" w:sz="0" w:space="0" w:color="auto"/>
      </w:divBdr>
    </w:div>
    <w:div w:id="921991960">
      <w:bodyDiv w:val="1"/>
      <w:marLeft w:val="0"/>
      <w:marRight w:val="0"/>
      <w:marTop w:val="0"/>
      <w:marBottom w:val="0"/>
      <w:divBdr>
        <w:top w:val="none" w:sz="0" w:space="0" w:color="auto"/>
        <w:left w:val="none" w:sz="0" w:space="0" w:color="auto"/>
        <w:bottom w:val="none" w:sz="0" w:space="0" w:color="auto"/>
        <w:right w:val="none" w:sz="0" w:space="0" w:color="auto"/>
      </w:divBdr>
    </w:div>
    <w:div w:id="953054898">
      <w:bodyDiv w:val="1"/>
      <w:marLeft w:val="0"/>
      <w:marRight w:val="0"/>
      <w:marTop w:val="0"/>
      <w:marBottom w:val="0"/>
      <w:divBdr>
        <w:top w:val="none" w:sz="0" w:space="0" w:color="auto"/>
        <w:left w:val="none" w:sz="0" w:space="0" w:color="auto"/>
        <w:bottom w:val="none" w:sz="0" w:space="0" w:color="auto"/>
        <w:right w:val="none" w:sz="0" w:space="0" w:color="auto"/>
      </w:divBdr>
    </w:div>
    <w:div w:id="961765533">
      <w:bodyDiv w:val="1"/>
      <w:marLeft w:val="0"/>
      <w:marRight w:val="0"/>
      <w:marTop w:val="0"/>
      <w:marBottom w:val="0"/>
      <w:divBdr>
        <w:top w:val="none" w:sz="0" w:space="0" w:color="auto"/>
        <w:left w:val="none" w:sz="0" w:space="0" w:color="auto"/>
        <w:bottom w:val="none" w:sz="0" w:space="0" w:color="auto"/>
        <w:right w:val="none" w:sz="0" w:space="0" w:color="auto"/>
      </w:divBdr>
    </w:div>
    <w:div w:id="1020010309">
      <w:bodyDiv w:val="1"/>
      <w:marLeft w:val="0"/>
      <w:marRight w:val="0"/>
      <w:marTop w:val="0"/>
      <w:marBottom w:val="0"/>
      <w:divBdr>
        <w:top w:val="none" w:sz="0" w:space="0" w:color="auto"/>
        <w:left w:val="none" w:sz="0" w:space="0" w:color="auto"/>
        <w:bottom w:val="none" w:sz="0" w:space="0" w:color="auto"/>
        <w:right w:val="none" w:sz="0" w:space="0" w:color="auto"/>
      </w:divBdr>
    </w:div>
    <w:div w:id="1025130776">
      <w:bodyDiv w:val="1"/>
      <w:marLeft w:val="0"/>
      <w:marRight w:val="0"/>
      <w:marTop w:val="0"/>
      <w:marBottom w:val="0"/>
      <w:divBdr>
        <w:top w:val="none" w:sz="0" w:space="0" w:color="auto"/>
        <w:left w:val="none" w:sz="0" w:space="0" w:color="auto"/>
        <w:bottom w:val="none" w:sz="0" w:space="0" w:color="auto"/>
        <w:right w:val="none" w:sz="0" w:space="0" w:color="auto"/>
      </w:divBdr>
    </w:div>
    <w:div w:id="1029139988">
      <w:bodyDiv w:val="1"/>
      <w:marLeft w:val="0"/>
      <w:marRight w:val="0"/>
      <w:marTop w:val="0"/>
      <w:marBottom w:val="0"/>
      <w:divBdr>
        <w:top w:val="none" w:sz="0" w:space="0" w:color="auto"/>
        <w:left w:val="none" w:sz="0" w:space="0" w:color="auto"/>
        <w:bottom w:val="none" w:sz="0" w:space="0" w:color="auto"/>
        <w:right w:val="none" w:sz="0" w:space="0" w:color="auto"/>
      </w:divBdr>
    </w:div>
    <w:div w:id="1030256100">
      <w:bodyDiv w:val="1"/>
      <w:marLeft w:val="0"/>
      <w:marRight w:val="0"/>
      <w:marTop w:val="0"/>
      <w:marBottom w:val="0"/>
      <w:divBdr>
        <w:top w:val="none" w:sz="0" w:space="0" w:color="auto"/>
        <w:left w:val="none" w:sz="0" w:space="0" w:color="auto"/>
        <w:bottom w:val="none" w:sz="0" w:space="0" w:color="auto"/>
        <w:right w:val="none" w:sz="0" w:space="0" w:color="auto"/>
      </w:divBdr>
    </w:div>
    <w:div w:id="1081440418">
      <w:bodyDiv w:val="1"/>
      <w:marLeft w:val="0"/>
      <w:marRight w:val="0"/>
      <w:marTop w:val="0"/>
      <w:marBottom w:val="0"/>
      <w:divBdr>
        <w:top w:val="none" w:sz="0" w:space="0" w:color="auto"/>
        <w:left w:val="none" w:sz="0" w:space="0" w:color="auto"/>
        <w:bottom w:val="none" w:sz="0" w:space="0" w:color="auto"/>
        <w:right w:val="none" w:sz="0" w:space="0" w:color="auto"/>
      </w:divBdr>
    </w:div>
    <w:div w:id="1133401262">
      <w:bodyDiv w:val="1"/>
      <w:marLeft w:val="0"/>
      <w:marRight w:val="0"/>
      <w:marTop w:val="0"/>
      <w:marBottom w:val="0"/>
      <w:divBdr>
        <w:top w:val="none" w:sz="0" w:space="0" w:color="auto"/>
        <w:left w:val="none" w:sz="0" w:space="0" w:color="auto"/>
        <w:bottom w:val="none" w:sz="0" w:space="0" w:color="auto"/>
        <w:right w:val="none" w:sz="0" w:space="0" w:color="auto"/>
      </w:divBdr>
    </w:div>
    <w:div w:id="1149248388">
      <w:bodyDiv w:val="1"/>
      <w:marLeft w:val="0"/>
      <w:marRight w:val="0"/>
      <w:marTop w:val="0"/>
      <w:marBottom w:val="0"/>
      <w:divBdr>
        <w:top w:val="none" w:sz="0" w:space="0" w:color="auto"/>
        <w:left w:val="none" w:sz="0" w:space="0" w:color="auto"/>
        <w:bottom w:val="none" w:sz="0" w:space="0" w:color="auto"/>
        <w:right w:val="none" w:sz="0" w:space="0" w:color="auto"/>
      </w:divBdr>
    </w:div>
    <w:div w:id="1161695213">
      <w:bodyDiv w:val="1"/>
      <w:marLeft w:val="0"/>
      <w:marRight w:val="0"/>
      <w:marTop w:val="0"/>
      <w:marBottom w:val="0"/>
      <w:divBdr>
        <w:top w:val="none" w:sz="0" w:space="0" w:color="auto"/>
        <w:left w:val="none" w:sz="0" w:space="0" w:color="auto"/>
        <w:bottom w:val="none" w:sz="0" w:space="0" w:color="auto"/>
        <w:right w:val="none" w:sz="0" w:space="0" w:color="auto"/>
      </w:divBdr>
    </w:div>
    <w:div w:id="1248272166">
      <w:bodyDiv w:val="1"/>
      <w:marLeft w:val="0"/>
      <w:marRight w:val="0"/>
      <w:marTop w:val="0"/>
      <w:marBottom w:val="0"/>
      <w:divBdr>
        <w:top w:val="none" w:sz="0" w:space="0" w:color="auto"/>
        <w:left w:val="none" w:sz="0" w:space="0" w:color="auto"/>
        <w:bottom w:val="none" w:sz="0" w:space="0" w:color="auto"/>
        <w:right w:val="none" w:sz="0" w:space="0" w:color="auto"/>
      </w:divBdr>
    </w:div>
    <w:div w:id="1248492085">
      <w:bodyDiv w:val="1"/>
      <w:marLeft w:val="0"/>
      <w:marRight w:val="0"/>
      <w:marTop w:val="0"/>
      <w:marBottom w:val="0"/>
      <w:divBdr>
        <w:top w:val="none" w:sz="0" w:space="0" w:color="auto"/>
        <w:left w:val="none" w:sz="0" w:space="0" w:color="auto"/>
        <w:bottom w:val="none" w:sz="0" w:space="0" w:color="auto"/>
        <w:right w:val="none" w:sz="0" w:space="0" w:color="auto"/>
      </w:divBdr>
    </w:div>
    <w:div w:id="1295722663">
      <w:bodyDiv w:val="1"/>
      <w:marLeft w:val="0"/>
      <w:marRight w:val="0"/>
      <w:marTop w:val="0"/>
      <w:marBottom w:val="0"/>
      <w:divBdr>
        <w:top w:val="none" w:sz="0" w:space="0" w:color="auto"/>
        <w:left w:val="none" w:sz="0" w:space="0" w:color="auto"/>
        <w:bottom w:val="none" w:sz="0" w:space="0" w:color="auto"/>
        <w:right w:val="none" w:sz="0" w:space="0" w:color="auto"/>
      </w:divBdr>
    </w:div>
    <w:div w:id="1397052439">
      <w:bodyDiv w:val="1"/>
      <w:marLeft w:val="0"/>
      <w:marRight w:val="0"/>
      <w:marTop w:val="0"/>
      <w:marBottom w:val="0"/>
      <w:divBdr>
        <w:top w:val="none" w:sz="0" w:space="0" w:color="auto"/>
        <w:left w:val="none" w:sz="0" w:space="0" w:color="auto"/>
        <w:bottom w:val="none" w:sz="0" w:space="0" w:color="auto"/>
        <w:right w:val="none" w:sz="0" w:space="0" w:color="auto"/>
      </w:divBdr>
    </w:div>
    <w:div w:id="1419328438">
      <w:bodyDiv w:val="1"/>
      <w:marLeft w:val="0"/>
      <w:marRight w:val="0"/>
      <w:marTop w:val="0"/>
      <w:marBottom w:val="0"/>
      <w:divBdr>
        <w:top w:val="none" w:sz="0" w:space="0" w:color="auto"/>
        <w:left w:val="none" w:sz="0" w:space="0" w:color="auto"/>
        <w:bottom w:val="none" w:sz="0" w:space="0" w:color="auto"/>
        <w:right w:val="none" w:sz="0" w:space="0" w:color="auto"/>
      </w:divBdr>
    </w:div>
    <w:div w:id="1466387908">
      <w:bodyDiv w:val="1"/>
      <w:marLeft w:val="0"/>
      <w:marRight w:val="0"/>
      <w:marTop w:val="0"/>
      <w:marBottom w:val="0"/>
      <w:divBdr>
        <w:top w:val="none" w:sz="0" w:space="0" w:color="auto"/>
        <w:left w:val="none" w:sz="0" w:space="0" w:color="auto"/>
        <w:bottom w:val="none" w:sz="0" w:space="0" w:color="auto"/>
        <w:right w:val="none" w:sz="0" w:space="0" w:color="auto"/>
      </w:divBdr>
    </w:div>
    <w:div w:id="1505323059">
      <w:bodyDiv w:val="1"/>
      <w:marLeft w:val="0"/>
      <w:marRight w:val="0"/>
      <w:marTop w:val="0"/>
      <w:marBottom w:val="0"/>
      <w:divBdr>
        <w:top w:val="none" w:sz="0" w:space="0" w:color="auto"/>
        <w:left w:val="none" w:sz="0" w:space="0" w:color="auto"/>
        <w:bottom w:val="none" w:sz="0" w:space="0" w:color="auto"/>
        <w:right w:val="none" w:sz="0" w:space="0" w:color="auto"/>
      </w:divBdr>
    </w:div>
    <w:div w:id="1576358247">
      <w:bodyDiv w:val="1"/>
      <w:marLeft w:val="0"/>
      <w:marRight w:val="0"/>
      <w:marTop w:val="0"/>
      <w:marBottom w:val="0"/>
      <w:divBdr>
        <w:top w:val="none" w:sz="0" w:space="0" w:color="auto"/>
        <w:left w:val="none" w:sz="0" w:space="0" w:color="auto"/>
        <w:bottom w:val="none" w:sz="0" w:space="0" w:color="auto"/>
        <w:right w:val="none" w:sz="0" w:space="0" w:color="auto"/>
      </w:divBdr>
    </w:div>
    <w:div w:id="1643848181">
      <w:bodyDiv w:val="1"/>
      <w:marLeft w:val="0"/>
      <w:marRight w:val="0"/>
      <w:marTop w:val="0"/>
      <w:marBottom w:val="0"/>
      <w:divBdr>
        <w:top w:val="none" w:sz="0" w:space="0" w:color="auto"/>
        <w:left w:val="none" w:sz="0" w:space="0" w:color="auto"/>
        <w:bottom w:val="none" w:sz="0" w:space="0" w:color="auto"/>
        <w:right w:val="none" w:sz="0" w:space="0" w:color="auto"/>
      </w:divBdr>
    </w:div>
    <w:div w:id="1654486407">
      <w:bodyDiv w:val="1"/>
      <w:marLeft w:val="0"/>
      <w:marRight w:val="0"/>
      <w:marTop w:val="0"/>
      <w:marBottom w:val="0"/>
      <w:divBdr>
        <w:top w:val="none" w:sz="0" w:space="0" w:color="auto"/>
        <w:left w:val="none" w:sz="0" w:space="0" w:color="auto"/>
        <w:bottom w:val="none" w:sz="0" w:space="0" w:color="auto"/>
        <w:right w:val="none" w:sz="0" w:space="0" w:color="auto"/>
      </w:divBdr>
    </w:div>
    <w:div w:id="1753120051">
      <w:bodyDiv w:val="1"/>
      <w:marLeft w:val="0"/>
      <w:marRight w:val="0"/>
      <w:marTop w:val="0"/>
      <w:marBottom w:val="0"/>
      <w:divBdr>
        <w:top w:val="none" w:sz="0" w:space="0" w:color="auto"/>
        <w:left w:val="none" w:sz="0" w:space="0" w:color="auto"/>
        <w:bottom w:val="none" w:sz="0" w:space="0" w:color="auto"/>
        <w:right w:val="none" w:sz="0" w:space="0" w:color="auto"/>
      </w:divBdr>
    </w:div>
    <w:div w:id="1759059600">
      <w:bodyDiv w:val="1"/>
      <w:marLeft w:val="0"/>
      <w:marRight w:val="0"/>
      <w:marTop w:val="0"/>
      <w:marBottom w:val="0"/>
      <w:divBdr>
        <w:top w:val="none" w:sz="0" w:space="0" w:color="auto"/>
        <w:left w:val="none" w:sz="0" w:space="0" w:color="auto"/>
        <w:bottom w:val="none" w:sz="0" w:space="0" w:color="auto"/>
        <w:right w:val="none" w:sz="0" w:space="0" w:color="auto"/>
      </w:divBdr>
    </w:div>
    <w:div w:id="1786801629">
      <w:bodyDiv w:val="1"/>
      <w:marLeft w:val="0"/>
      <w:marRight w:val="0"/>
      <w:marTop w:val="0"/>
      <w:marBottom w:val="0"/>
      <w:divBdr>
        <w:top w:val="none" w:sz="0" w:space="0" w:color="auto"/>
        <w:left w:val="none" w:sz="0" w:space="0" w:color="auto"/>
        <w:bottom w:val="none" w:sz="0" w:space="0" w:color="auto"/>
        <w:right w:val="none" w:sz="0" w:space="0" w:color="auto"/>
      </w:divBdr>
    </w:div>
    <w:div w:id="1816292352">
      <w:bodyDiv w:val="1"/>
      <w:marLeft w:val="0"/>
      <w:marRight w:val="0"/>
      <w:marTop w:val="0"/>
      <w:marBottom w:val="0"/>
      <w:divBdr>
        <w:top w:val="none" w:sz="0" w:space="0" w:color="auto"/>
        <w:left w:val="none" w:sz="0" w:space="0" w:color="auto"/>
        <w:bottom w:val="none" w:sz="0" w:space="0" w:color="auto"/>
        <w:right w:val="none" w:sz="0" w:space="0" w:color="auto"/>
      </w:divBdr>
      <w:divsChild>
        <w:div w:id="1079714271">
          <w:marLeft w:val="0"/>
          <w:marRight w:val="0"/>
          <w:marTop w:val="0"/>
          <w:marBottom w:val="0"/>
          <w:divBdr>
            <w:top w:val="none" w:sz="0" w:space="0" w:color="auto"/>
            <w:left w:val="none" w:sz="0" w:space="0" w:color="auto"/>
            <w:bottom w:val="none" w:sz="0" w:space="0" w:color="auto"/>
            <w:right w:val="none" w:sz="0" w:space="0" w:color="auto"/>
          </w:divBdr>
          <w:divsChild>
            <w:div w:id="487207044">
              <w:marLeft w:val="0"/>
              <w:marRight w:val="0"/>
              <w:marTop w:val="0"/>
              <w:marBottom w:val="0"/>
              <w:divBdr>
                <w:top w:val="none" w:sz="0" w:space="0" w:color="auto"/>
                <w:left w:val="none" w:sz="0" w:space="0" w:color="auto"/>
                <w:bottom w:val="none" w:sz="0" w:space="0" w:color="auto"/>
                <w:right w:val="none" w:sz="0" w:space="0" w:color="auto"/>
              </w:divBdr>
              <w:divsChild>
                <w:div w:id="1560094210">
                  <w:marLeft w:val="0"/>
                  <w:marRight w:val="0"/>
                  <w:marTop w:val="0"/>
                  <w:marBottom w:val="0"/>
                  <w:divBdr>
                    <w:top w:val="none" w:sz="0" w:space="0" w:color="auto"/>
                    <w:left w:val="none" w:sz="0" w:space="0" w:color="auto"/>
                    <w:bottom w:val="none" w:sz="0" w:space="0" w:color="auto"/>
                    <w:right w:val="none" w:sz="0" w:space="0" w:color="auto"/>
                  </w:divBdr>
                  <w:divsChild>
                    <w:div w:id="31661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2454478">
      <w:bodyDiv w:val="1"/>
      <w:marLeft w:val="0"/>
      <w:marRight w:val="0"/>
      <w:marTop w:val="0"/>
      <w:marBottom w:val="0"/>
      <w:divBdr>
        <w:top w:val="none" w:sz="0" w:space="0" w:color="auto"/>
        <w:left w:val="none" w:sz="0" w:space="0" w:color="auto"/>
        <w:bottom w:val="none" w:sz="0" w:space="0" w:color="auto"/>
        <w:right w:val="none" w:sz="0" w:space="0" w:color="auto"/>
      </w:divBdr>
    </w:div>
    <w:div w:id="1859733020">
      <w:bodyDiv w:val="1"/>
      <w:marLeft w:val="0"/>
      <w:marRight w:val="0"/>
      <w:marTop w:val="0"/>
      <w:marBottom w:val="0"/>
      <w:divBdr>
        <w:top w:val="none" w:sz="0" w:space="0" w:color="auto"/>
        <w:left w:val="none" w:sz="0" w:space="0" w:color="auto"/>
        <w:bottom w:val="none" w:sz="0" w:space="0" w:color="auto"/>
        <w:right w:val="none" w:sz="0" w:space="0" w:color="auto"/>
      </w:divBdr>
    </w:div>
    <w:div w:id="1896500965">
      <w:bodyDiv w:val="1"/>
      <w:marLeft w:val="0"/>
      <w:marRight w:val="0"/>
      <w:marTop w:val="0"/>
      <w:marBottom w:val="0"/>
      <w:divBdr>
        <w:top w:val="none" w:sz="0" w:space="0" w:color="auto"/>
        <w:left w:val="none" w:sz="0" w:space="0" w:color="auto"/>
        <w:bottom w:val="none" w:sz="0" w:space="0" w:color="auto"/>
        <w:right w:val="none" w:sz="0" w:space="0" w:color="auto"/>
      </w:divBdr>
    </w:div>
    <w:div w:id="1933468593">
      <w:bodyDiv w:val="1"/>
      <w:marLeft w:val="0"/>
      <w:marRight w:val="0"/>
      <w:marTop w:val="0"/>
      <w:marBottom w:val="0"/>
      <w:divBdr>
        <w:top w:val="none" w:sz="0" w:space="0" w:color="auto"/>
        <w:left w:val="none" w:sz="0" w:space="0" w:color="auto"/>
        <w:bottom w:val="none" w:sz="0" w:space="0" w:color="auto"/>
        <w:right w:val="none" w:sz="0" w:space="0" w:color="auto"/>
      </w:divBdr>
    </w:div>
    <w:div w:id="1938706954">
      <w:bodyDiv w:val="1"/>
      <w:marLeft w:val="0"/>
      <w:marRight w:val="0"/>
      <w:marTop w:val="0"/>
      <w:marBottom w:val="0"/>
      <w:divBdr>
        <w:top w:val="none" w:sz="0" w:space="0" w:color="auto"/>
        <w:left w:val="none" w:sz="0" w:space="0" w:color="auto"/>
        <w:bottom w:val="none" w:sz="0" w:space="0" w:color="auto"/>
        <w:right w:val="none" w:sz="0" w:space="0" w:color="auto"/>
      </w:divBdr>
    </w:div>
    <w:div w:id="2007780866">
      <w:bodyDiv w:val="1"/>
      <w:marLeft w:val="0"/>
      <w:marRight w:val="0"/>
      <w:marTop w:val="0"/>
      <w:marBottom w:val="0"/>
      <w:divBdr>
        <w:top w:val="none" w:sz="0" w:space="0" w:color="auto"/>
        <w:left w:val="none" w:sz="0" w:space="0" w:color="auto"/>
        <w:bottom w:val="none" w:sz="0" w:space="0" w:color="auto"/>
        <w:right w:val="none" w:sz="0" w:space="0" w:color="auto"/>
      </w:divBdr>
    </w:div>
    <w:div w:id="2071071818">
      <w:bodyDiv w:val="1"/>
      <w:marLeft w:val="0"/>
      <w:marRight w:val="0"/>
      <w:marTop w:val="0"/>
      <w:marBottom w:val="0"/>
      <w:divBdr>
        <w:top w:val="none" w:sz="0" w:space="0" w:color="auto"/>
        <w:left w:val="none" w:sz="0" w:space="0" w:color="auto"/>
        <w:bottom w:val="none" w:sz="0" w:space="0" w:color="auto"/>
        <w:right w:val="none" w:sz="0" w:space="0" w:color="auto"/>
      </w:divBdr>
    </w:div>
    <w:div w:id="21329004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27.xml"/><Relationship Id="rId21" Type="http://schemas.openxmlformats.org/officeDocument/2006/relationships/image" Target="media/image2.jpeg"/><Relationship Id="rId42" Type="http://schemas.openxmlformats.org/officeDocument/2006/relationships/image" Target="media/image23.jpeg"/><Relationship Id="rId63" Type="http://schemas.openxmlformats.org/officeDocument/2006/relationships/image" Target="media/image37.jpeg"/><Relationship Id="rId84" Type="http://schemas.openxmlformats.org/officeDocument/2006/relationships/header" Target="header8.xml"/><Relationship Id="rId138" Type="http://schemas.openxmlformats.org/officeDocument/2006/relationships/footer" Target="footer9.xml"/><Relationship Id="rId159" Type="http://schemas.openxmlformats.org/officeDocument/2006/relationships/image" Target="media/image73.png"/><Relationship Id="rId170" Type="http://schemas.openxmlformats.org/officeDocument/2006/relationships/image" Target="media/image76.emf"/><Relationship Id="rId191" Type="http://schemas.openxmlformats.org/officeDocument/2006/relationships/image" Target="media/image93.emf"/><Relationship Id="rId205" Type="http://schemas.openxmlformats.org/officeDocument/2006/relationships/hyperlink" Target="https://en.wikipedia.org/wiki/C%C3%B4te_d%27Ivoire" TargetMode="External"/><Relationship Id="rId226" Type="http://schemas.openxmlformats.org/officeDocument/2006/relationships/diagramLayout" Target="diagrams/layout2.xml"/><Relationship Id="rId107" Type="http://schemas.openxmlformats.org/officeDocument/2006/relationships/chart" Target="charts/chart22.xml"/><Relationship Id="rId11" Type="http://schemas.openxmlformats.org/officeDocument/2006/relationships/hyperlink" Target="file:///C:\Users\Sadiq%20Ahmed\Documents\BDP2100%20Main%20Report%20Revised%20%20Clean%20Draft%20(February%2011,%202017).docx" TargetMode="External"/><Relationship Id="rId32" Type="http://schemas.openxmlformats.org/officeDocument/2006/relationships/image" Target="media/image13.jpeg"/><Relationship Id="rId53" Type="http://schemas.openxmlformats.org/officeDocument/2006/relationships/chart" Target="charts/chart3.xml"/><Relationship Id="rId74" Type="http://schemas.openxmlformats.org/officeDocument/2006/relationships/image" Target="media/image42.jpeg"/><Relationship Id="rId128" Type="http://schemas.openxmlformats.org/officeDocument/2006/relationships/image" Target="media/image63.emf"/><Relationship Id="rId149" Type="http://schemas.openxmlformats.org/officeDocument/2006/relationships/header" Target="header17.xml"/><Relationship Id="rId5" Type="http://schemas.openxmlformats.org/officeDocument/2006/relationships/settings" Target="settings.xml"/><Relationship Id="rId95" Type="http://schemas.openxmlformats.org/officeDocument/2006/relationships/chart" Target="charts/chart10.xml"/><Relationship Id="rId160" Type="http://schemas.openxmlformats.org/officeDocument/2006/relationships/image" Target="media/image74.jpeg"/><Relationship Id="rId181" Type="http://schemas.openxmlformats.org/officeDocument/2006/relationships/image" Target="media/image83.emf"/><Relationship Id="rId216" Type="http://schemas.openxmlformats.org/officeDocument/2006/relationships/header" Target="header29.xml"/><Relationship Id="rId237" Type="http://schemas.openxmlformats.org/officeDocument/2006/relationships/header" Target="header33.xml"/><Relationship Id="rId22" Type="http://schemas.openxmlformats.org/officeDocument/2006/relationships/image" Target="media/image3.jpeg"/><Relationship Id="rId43" Type="http://schemas.openxmlformats.org/officeDocument/2006/relationships/image" Target="media/image24.jpeg"/><Relationship Id="rId64" Type="http://schemas.openxmlformats.org/officeDocument/2006/relationships/image" Target="media/image38.jpeg"/><Relationship Id="rId118" Type="http://schemas.openxmlformats.org/officeDocument/2006/relationships/image" Target="media/image53.emf"/><Relationship Id="rId139" Type="http://schemas.openxmlformats.org/officeDocument/2006/relationships/header" Target="header15.xml"/><Relationship Id="rId85" Type="http://schemas.openxmlformats.org/officeDocument/2006/relationships/footer" Target="footer6.xml"/><Relationship Id="rId150" Type="http://schemas.openxmlformats.org/officeDocument/2006/relationships/footer" Target="footer10.xml"/><Relationship Id="rId171" Type="http://schemas.openxmlformats.org/officeDocument/2006/relationships/chart" Target="charts/chart39.xml"/><Relationship Id="rId192" Type="http://schemas.openxmlformats.org/officeDocument/2006/relationships/hyperlink" Target="https://en.wikipedia.org/wiki/Egypt" TargetMode="External"/><Relationship Id="rId206" Type="http://schemas.openxmlformats.org/officeDocument/2006/relationships/hyperlink" Target="https://en.wikipedia.org/wiki/Guinea" TargetMode="External"/><Relationship Id="rId227" Type="http://schemas.openxmlformats.org/officeDocument/2006/relationships/diagramQuickStyle" Target="diagrams/quickStyle2.xml"/><Relationship Id="rId201" Type="http://schemas.openxmlformats.org/officeDocument/2006/relationships/hyperlink" Target="https://en.wikipedia.org/wiki/Benin" TargetMode="External"/><Relationship Id="rId222" Type="http://schemas.openxmlformats.org/officeDocument/2006/relationships/hyperlink" Target="http://www.businessdictionary.com/definition/internalization.html" TargetMode="External"/><Relationship Id="rId243" Type="http://schemas.openxmlformats.org/officeDocument/2006/relationships/footer" Target="footer19.xml"/><Relationship Id="rId12" Type="http://schemas.openxmlformats.org/officeDocument/2006/relationships/hyperlink" Target="file:///C:\Users\Sadiq%20Ahmed\Documents\BDP2100%20Main%20Report%20Revised%20%20Clean%20Draft%20(February%2011,%202017).docx" TargetMode="External"/><Relationship Id="rId17" Type="http://schemas.openxmlformats.org/officeDocument/2006/relationships/footer" Target="footer2.xml"/><Relationship Id="rId33" Type="http://schemas.openxmlformats.org/officeDocument/2006/relationships/image" Target="media/image14.emf"/><Relationship Id="rId38" Type="http://schemas.openxmlformats.org/officeDocument/2006/relationships/image" Target="media/image19.png"/><Relationship Id="rId59" Type="http://schemas.openxmlformats.org/officeDocument/2006/relationships/image" Target="media/image33.png"/><Relationship Id="rId103" Type="http://schemas.openxmlformats.org/officeDocument/2006/relationships/chart" Target="charts/chart18.xml"/><Relationship Id="rId108" Type="http://schemas.openxmlformats.org/officeDocument/2006/relationships/chart" Target="charts/chart23.xml"/><Relationship Id="rId124" Type="http://schemas.openxmlformats.org/officeDocument/2006/relationships/image" Target="media/image59.emf"/><Relationship Id="rId129" Type="http://schemas.openxmlformats.org/officeDocument/2006/relationships/image" Target="media/image64.emf"/><Relationship Id="rId54" Type="http://schemas.openxmlformats.org/officeDocument/2006/relationships/chart" Target="charts/chart4.xml"/><Relationship Id="rId70" Type="http://schemas.openxmlformats.org/officeDocument/2006/relationships/image" Target="media/image39.png"/><Relationship Id="rId75" Type="http://schemas.openxmlformats.org/officeDocument/2006/relationships/image" Target="media/image43.jpeg"/><Relationship Id="rId91" Type="http://schemas.openxmlformats.org/officeDocument/2006/relationships/image" Target="media/image50.emf"/><Relationship Id="rId96" Type="http://schemas.openxmlformats.org/officeDocument/2006/relationships/chart" Target="charts/chart11.xml"/><Relationship Id="rId140" Type="http://schemas.openxmlformats.org/officeDocument/2006/relationships/image" Target="media/image69.png"/><Relationship Id="rId145" Type="http://schemas.openxmlformats.org/officeDocument/2006/relationships/chart" Target="charts/chart32.xml"/><Relationship Id="rId161" Type="http://schemas.openxmlformats.org/officeDocument/2006/relationships/image" Target="media/image75.png"/><Relationship Id="rId166" Type="http://schemas.openxmlformats.org/officeDocument/2006/relationships/header" Target="header22.xml"/><Relationship Id="rId182" Type="http://schemas.openxmlformats.org/officeDocument/2006/relationships/image" Target="media/image84.png"/><Relationship Id="rId187" Type="http://schemas.openxmlformats.org/officeDocument/2006/relationships/image" Target="media/image89.png"/><Relationship Id="rId217" Type="http://schemas.openxmlformats.org/officeDocument/2006/relationships/footer" Target="footer15.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14.xml"/><Relationship Id="rId233" Type="http://schemas.openxmlformats.org/officeDocument/2006/relationships/header" Target="header31.xml"/><Relationship Id="rId238" Type="http://schemas.openxmlformats.org/officeDocument/2006/relationships/hyperlink" Target="http://www.pep-net.org/programs/mpia/pep-standard-cge-models/pep-1-t-single-country-recursive-dynamic-version" TargetMode="External"/><Relationship Id="rId23" Type="http://schemas.openxmlformats.org/officeDocument/2006/relationships/image" Target="media/image4.png"/><Relationship Id="rId28" Type="http://schemas.openxmlformats.org/officeDocument/2006/relationships/image" Target="media/image9.jpeg"/><Relationship Id="rId49" Type="http://schemas.openxmlformats.org/officeDocument/2006/relationships/image" Target="media/image30.png"/><Relationship Id="rId114" Type="http://schemas.openxmlformats.org/officeDocument/2006/relationships/header" Target="header11.xml"/><Relationship Id="rId119" Type="http://schemas.openxmlformats.org/officeDocument/2006/relationships/image" Target="media/image54.wmf"/><Relationship Id="rId44" Type="http://schemas.openxmlformats.org/officeDocument/2006/relationships/image" Target="media/image25.jpeg"/><Relationship Id="rId60" Type="http://schemas.openxmlformats.org/officeDocument/2006/relationships/image" Target="media/image34.jpeg"/><Relationship Id="rId65" Type="http://schemas.openxmlformats.org/officeDocument/2006/relationships/header" Target="header4.xml"/><Relationship Id="rId81" Type="http://schemas.openxmlformats.org/officeDocument/2006/relationships/image" Target="media/image44.jpeg"/><Relationship Id="rId86" Type="http://schemas.openxmlformats.org/officeDocument/2006/relationships/header" Target="header9.xml"/><Relationship Id="rId130" Type="http://schemas.openxmlformats.org/officeDocument/2006/relationships/image" Target="media/image65.emf"/><Relationship Id="rId135" Type="http://schemas.openxmlformats.org/officeDocument/2006/relationships/header" Target="header13.xml"/><Relationship Id="rId151" Type="http://schemas.openxmlformats.org/officeDocument/2006/relationships/header" Target="header18.xml"/><Relationship Id="rId156" Type="http://schemas.openxmlformats.org/officeDocument/2006/relationships/chart" Target="charts/chart38.xml"/><Relationship Id="rId177" Type="http://schemas.openxmlformats.org/officeDocument/2006/relationships/chart" Target="charts/chart40.xml"/><Relationship Id="rId198" Type="http://schemas.openxmlformats.org/officeDocument/2006/relationships/hyperlink" Target="https://en.wikipedia.org/wiki/Burundi" TargetMode="External"/><Relationship Id="rId172" Type="http://schemas.openxmlformats.org/officeDocument/2006/relationships/image" Target="media/image77.png"/><Relationship Id="rId193" Type="http://schemas.openxmlformats.org/officeDocument/2006/relationships/hyperlink" Target="https://en.wikipedia.org/wiki/Sudan" TargetMode="External"/><Relationship Id="rId202" Type="http://schemas.openxmlformats.org/officeDocument/2006/relationships/hyperlink" Target="https://en.wikipedia.org/wiki/Burkina_Faso" TargetMode="External"/><Relationship Id="rId207" Type="http://schemas.openxmlformats.org/officeDocument/2006/relationships/hyperlink" Target="https://en.wikipedia.org/wiki/Mali" TargetMode="External"/><Relationship Id="rId223" Type="http://schemas.openxmlformats.org/officeDocument/2006/relationships/image" Target="media/image94.gif"/><Relationship Id="rId228" Type="http://schemas.openxmlformats.org/officeDocument/2006/relationships/diagramColors" Target="diagrams/colors2.xml"/><Relationship Id="rId244" Type="http://schemas.openxmlformats.org/officeDocument/2006/relationships/fontTable" Target="fontTable.xml"/><Relationship Id="rId13" Type="http://schemas.openxmlformats.org/officeDocument/2006/relationships/hyperlink" Target="file:///C:\Users\Sadiq%20Ahmed\Documents\BDP2100%20Main%20Report%20Revised%20%20Clean%20Draft%20(February%2011,%202017).docx" TargetMode="External"/><Relationship Id="rId18" Type="http://schemas.openxmlformats.org/officeDocument/2006/relationships/header" Target="header3.xml"/><Relationship Id="rId39" Type="http://schemas.openxmlformats.org/officeDocument/2006/relationships/image" Target="media/image20.emf"/><Relationship Id="rId109" Type="http://schemas.openxmlformats.org/officeDocument/2006/relationships/chart" Target="charts/chart24.xml"/><Relationship Id="rId34" Type="http://schemas.openxmlformats.org/officeDocument/2006/relationships/image" Target="media/image15.jpeg"/><Relationship Id="rId50" Type="http://schemas.openxmlformats.org/officeDocument/2006/relationships/image" Target="media/image31.png"/><Relationship Id="rId55" Type="http://schemas.openxmlformats.org/officeDocument/2006/relationships/chart" Target="charts/chart5.xml"/><Relationship Id="rId76" Type="http://schemas.openxmlformats.org/officeDocument/2006/relationships/diagramData" Target="diagrams/data1.xml"/><Relationship Id="rId97" Type="http://schemas.openxmlformats.org/officeDocument/2006/relationships/chart" Target="charts/chart12.xml"/><Relationship Id="rId104" Type="http://schemas.openxmlformats.org/officeDocument/2006/relationships/chart" Target="charts/chart19.xml"/><Relationship Id="rId120" Type="http://schemas.openxmlformats.org/officeDocument/2006/relationships/image" Target="media/image55.wmf"/><Relationship Id="rId125" Type="http://schemas.openxmlformats.org/officeDocument/2006/relationships/image" Target="media/image60.jpeg"/><Relationship Id="rId141" Type="http://schemas.openxmlformats.org/officeDocument/2006/relationships/chart" Target="charts/chart29.xml"/><Relationship Id="rId146" Type="http://schemas.openxmlformats.org/officeDocument/2006/relationships/chart" Target="charts/chart33.xml"/><Relationship Id="rId167" Type="http://schemas.openxmlformats.org/officeDocument/2006/relationships/header" Target="header23.xml"/><Relationship Id="rId188" Type="http://schemas.openxmlformats.org/officeDocument/2006/relationships/image" Target="media/image90.emf"/><Relationship Id="rId7" Type="http://schemas.openxmlformats.org/officeDocument/2006/relationships/footnotes" Target="footnotes.xml"/><Relationship Id="rId71" Type="http://schemas.openxmlformats.org/officeDocument/2006/relationships/chart" Target="charts/chart8.xml"/><Relationship Id="rId92" Type="http://schemas.openxmlformats.org/officeDocument/2006/relationships/oleObject" Target="embeddings/oleObject1.bin"/><Relationship Id="rId162" Type="http://schemas.openxmlformats.org/officeDocument/2006/relationships/header" Target="header19.xml"/><Relationship Id="rId183" Type="http://schemas.openxmlformats.org/officeDocument/2006/relationships/image" Target="media/image85.png"/><Relationship Id="rId213" Type="http://schemas.openxmlformats.org/officeDocument/2006/relationships/header" Target="header27.xml"/><Relationship Id="rId218" Type="http://schemas.openxmlformats.org/officeDocument/2006/relationships/header" Target="header30.xml"/><Relationship Id="rId234" Type="http://schemas.openxmlformats.org/officeDocument/2006/relationships/header" Target="header32.xml"/><Relationship Id="rId239" Type="http://schemas.openxmlformats.org/officeDocument/2006/relationships/header" Target="header34.xml"/><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image" Target="media/image5.pn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header" Target="header5.xml"/><Relationship Id="rId87" Type="http://schemas.openxmlformats.org/officeDocument/2006/relationships/image" Target="media/image46.jpeg"/><Relationship Id="rId110" Type="http://schemas.openxmlformats.org/officeDocument/2006/relationships/chart" Target="charts/chart25.xml"/><Relationship Id="rId115" Type="http://schemas.openxmlformats.org/officeDocument/2006/relationships/footer" Target="footer7.xml"/><Relationship Id="rId131" Type="http://schemas.openxmlformats.org/officeDocument/2006/relationships/image" Target="media/image66.emf"/><Relationship Id="rId136" Type="http://schemas.openxmlformats.org/officeDocument/2006/relationships/header" Target="header14.xml"/><Relationship Id="rId157" Type="http://schemas.openxmlformats.org/officeDocument/2006/relationships/image" Target="media/image71.png"/><Relationship Id="rId178" Type="http://schemas.openxmlformats.org/officeDocument/2006/relationships/chart" Target="charts/chart41.xml"/><Relationship Id="rId61" Type="http://schemas.openxmlformats.org/officeDocument/2006/relationships/image" Target="media/image35.jpeg"/><Relationship Id="rId82" Type="http://schemas.openxmlformats.org/officeDocument/2006/relationships/image" Target="media/image45.jpeg"/><Relationship Id="rId152" Type="http://schemas.openxmlformats.org/officeDocument/2006/relationships/chart" Target="charts/chart35.xml"/><Relationship Id="rId173" Type="http://schemas.openxmlformats.org/officeDocument/2006/relationships/image" Target="media/image78.png"/><Relationship Id="rId194" Type="http://schemas.openxmlformats.org/officeDocument/2006/relationships/hyperlink" Target="https://en.wikipedia.org/wiki/Ethiopia" TargetMode="External"/><Relationship Id="rId199" Type="http://schemas.openxmlformats.org/officeDocument/2006/relationships/hyperlink" Target="https://en.wikipedia.org/wiki/Rwanda" TargetMode="External"/><Relationship Id="rId203" Type="http://schemas.openxmlformats.org/officeDocument/2006/relationships/hyperlink" Target="https://en.wikipedia.org/wiki/Cameroon" TargetMode="External"/><Relationship Id="rId208" Type="http://schemas.openxmlformats.org/officeDocument/2006/relationships/hyperlink" Target="https://en.wikipedia.org/wiki/Niger" TargetMode="External"/><Relationship Id="rId229" Type="http://schemas.microsoft.com/office/2007/relationships/diagramDrawing" Target="diagrams/drawing2.xml"/><Relationship Id="rId19" Type="http://schemas.openxmlformats.org/officeDocument/2006/relationships/footer" Target="footer3.xml"/><Relationship Id="rId224" Type="http://schemas.openxmlformats.org/officeDocument/2006/relationships/image" Target="media/image95.png"/><Relationship Id="rId240" Type="http://schemas.openxmlformats.org/officeDocument/2006/relationships/header" Target="header35.xml"/><Relationship Id="rId245" Type="http://schemas.openxmlformats.org/officeDocument/2006/relationships/theme" Target="theme/theme1.xml"/><Relationship Id="rId14" Type="http://schemas.openxmlformats.org/officeDocument/2006/relationships/header" Target="header1.xml"/><Relationship Id="rId30" Type="http://schemas.openxmlformats.org/officeDocument/2006/relationships/image" Target="media/image11.jpeg"/><Relationship Id="rId35" Type="http://schemas.openxmlformats.org/officeDocument/2006/relationships/image" Target="media/image16.png"/><Relationship Id="rId56" Type="http://schemas.openxmlformats.org/officeDocument/2006/relationships/image" Target="media/image32.jpeg"/><Relationship Id="rId77" Type="http://schemas.openxmlformats.org/officeDocument/2006/relationships/diagramLayout" Target="diagrams/layout1.xml"/><Relationship Id="rId100" Type="http://schemas.openxmlformats.org/officeDocument/2006/relationships/chart" Target="charts/chart15.xml"/><Relationship Id="rId105" Type="http://schemas.openxmlformats.org/officeDocument/2006/relationships/chart" Target="charts/chart20.xml"/><Relationship Id="rId126" Type="http://schemas.openxmlformats.org/officeDocument/2006/relationships/image" Target="media/image61.emf"/><Relationship Id="rId147" Type="http://schemas.openxmlformats.org/officeDocument/2006/relationships/chart" Target="charts/chart34.xml"/><Relationship Id="rId168" Type="http://schemas.openxmlformats.org/officeDocument/2006/relationships/footer" Target="footer12.xml"/><Relationship Id="rId8" Type="http://schemas.openxmlformats.org/officeDocument/2006/relationships/endnotes" Target="endnotes.xml"/><Relationship Id="rId51" Type="http://schemas.openxmlformats.org/officeDocument/2006/relationships/chart" Target="charts/chart1.xml"/><Relationship Id="rId72" Type="http://schemas.openxmlformats.org/officeDocument/2006/relationships/image" Target="media/image40.jpeg"/><Relationship Id="rId93" Type="http://schemas.openxmlformats.org/officeDocument/2006/relationships/image" Target="media/image51.png"/><Relationship Id="rId98" Type="http://schemas.openxmlformats.org/officeDocument/2006/relationships/chart" Target="charts/chart13.xml"/><Relationship Id="rId121" Type="http://schemas.openxmlformats.org/officeDocument/2006/relationships/image" Target="media/image56.emf"/><Relationship Id="rId142" Type="http://schemas.openxmlformats.org/officeDocument/2006/relationships/image" Target="media/image70.png"/><Relationship Id="rId163" Type="http://schemas.openxmlformats.org/officeDocument/2006/relationships/header" Target="header20.xml"/><Relationship Id="rId184" Type="http://schemas.openxmlformats.org/officeDocument/2006/relationships/image" Target="media/image86.emf"/><Relationship Id="rId189" Type="http://schemas.openxmlformats.org/officeDocument/2006/relationships/image" Target="media/image91.emf"/><Relationship Id="rId219" Type="http://schemas.openxmlformats.org/officeDocument/2006/relationships/hyperlink" Target="http://www.businessdictionary.com/definition/idea.html" TargetMode="External"/><Relationship Id="rId3" Type="http://schemas.openxmlformats.org/officeDocument/2006/relationships/numbering" Target="numbering.xml"/><Relationship Id="rId214" Type="http://schemas.openxmlformats.org/officeDocument/2006/relationships/hyperlink" Target="https://en.wikipedia.org/wiki/Ministry_of_Defence_(Bangladesh)" TargetMode="External"/><Relationship Id="rId230" Type="http://schemas.openxmlformats.org/officeDocument/2006/relationships/image" Target="media/image96.jpeg"/><Relationship Id="rId235" Type="http://schemas.openxmlformats.org/officeDocument/2006/relationships/footer" Target="footer16.xml"/><Relationship Id="rId25" Type="http://schemas.openxmlformats.org/officeDocument/2006/relationships/image" Target="media/image6.jpeg"/><Relationship Id="rId46" Type="http://schemas.openxmlformats.org/officeDocument/2006/relationships/image" Target="media/image27.png"/><Relationship Id="rId67" Type="http://schemas.openxmlformats.org/officeDocument/2006/relationships/footer" Target="footer4.xml"/><Relationship Id="rId116" Type="http://schemas.openxmlformats.org/officeDocument/2006/relationships/header" Target="header12.xml"/><Relationship Id="rId137" Type="http://schemas.openxmlformats.org/officeDocument/2006/relationships/footer" Target="footer8.xml"/><Relationship Id="rId158" Type="http://schemas.openxmlformats.org/officeDocument/2006/relationships/image" Target="media/image72.png"/><Relationship Id="rId20" Type="http://schemas.openxmlformats.org/officeDocument/2006/relationships/image" Target="media/image1.jpeg"/><Relationship Id="rId41" Type="http://schemas.openxmlformats.org/officeDocument/2006/relationships/image" Target="media/image22.png"/><Relationship Id="rId62" Type="http://schemas.openxmlformats.org/officeDocument/2006/relationships/image" Target="media/image36.jpeg"/><Relationship Id="rId83" Type="http://schemas.openxmlformats.org/officeDocument/2006/relationships/header" Target="header7.xml"/><Relationship Id="rId88" Type="http://schemas.openxmlformats.org/officeDocument/2006/relationships/image" Target="media/image47.png"/><Relationship Id="rId111" Type="http://schemas.openxmlformats.org/officeDocument/2006/relationships/chart" Target="charts/chart26.xml"/><Relationship Id="rId132" Type="http://schemas.openxmlformats.org/officeDocument/2006/relationships/image" Target="media/image67.emf"/><Relationship Id="rId153" Type="http://schemas.openxmlformats.org/officeDocument/2006/relationships/chart" Target="charts/chart36.xml"/><Relationship Id="rId174" Type="http://schemas.openxmlformats.org/officeDocument/2006/relationships/image" Target="media/image79.emf"/><Relationship Id="rId179" Type="http://schemas.openxmlformats.org/officeDocument/2006/relationships/image" Target="media/image81.png"/><Relationship Id="rId195" Type="http://schemas.openxmlformats.org/officeDocument/2006/relationships/hyperlink" Target="https://en.wikipedia.org/wiki/Uganda" TargetMode="External"/><Relationship Id="rId209" Type="http://schemas.openxmlformats.org/officeDocument/2006/relationships/hyperlink" Target="https://en.wikipedia.org/wiki/Nigeria" TargetMode="External"/><Relationship Id="rId190" Type="http://schemas.openxmlformats.org/officeDocument/2006/relationships/image" Target="media/image92.emf"/><Relationship Id="rId204" Type="http://schemas.openxmlformats.org/officeDocument/2006/relationships/hyperlink" Target="https://en.wikipedia.org/wiki/Chad" TargetMode="External"/><Relationship Id="rId220" Type="http://schemas.openxmlformats.org/officeDocument/2006/relationships/hyperlink" Target="http://www.businessdictionary.com/definition/socialization.html" TargetMode="External"/><Relationship Id="rId225" Type="http://schemas.openxmlformats.org/officeDocument/2006/relationships/diagramData" Target="diagrams/data2.xml"/><Relationship Id="rId241" Type="http://schemas.openxmlformats.org/officeDocument/2006/relationships/footer" Target="footer18.xml"/><Relationship Id="rId246" Type="http://schemas.microsoft.com/office/2007/relationships/stylesWithEffects" Target="stylesWithEffects.xml"/><Relationship Id="rId15" Type="http://schemas.openxmlformats.org/officeDocument/2006/relationships/header" Target="header2.xml"/><Relationship Id="rId36" Type="http://schemas.openxmlformats.org/officeDocument/2006/relationships/image" Target="media/image17.jpeg"/><Relationship Id="rId57" Type="http://schemas.openxmlformats.org/officeDocument/2006/relationships/chart" Target="charts/chart6.xml"/><Relationship Id="rId106" Type="http://schemas.openxmlformats.org/officeDocument/2006/relationships/chart" Target="charts/chart21.xml"/><Relationship Id="rId127" Type="http://schemas.openxmlformats.org/officeDocument/2006/relationships/image" Target="media/image62.emf"/><Relationship Id="rId10" Type="http://schemas.openxmlformats.org/officeDocument/2006/relationships/hyperlink" Target="file:///C:\Users\Sadiq%20Ahmed\Documents\BDP2100%20Main%20Report%20Revised%20%20Clean%20Draft%20(February%2011,%202017).docx" TargetMode="External"/><Relationship Id="rId31" Type="http://schemas.openxmlformats.org/officeDocument/2006/relationships/image" Target="media/image12.emf"/><Relationship Id="rId52" Type="http://schemas.openxmlformats.org/officeDocument/2006/relationships/chart" Target="charts/chart2.xml"/><Relationship Id="rId73" Type="http://schemas.openxmlformats.org/officeDocument/2006/relationships/image" Target="media/image41.jpeg"/><Relationship Id="rId78" Type="http://schemas.openxmlformats.org/officeDocument/2006/relationships/diagramQuickStyle" Target="diagrams/quickStyle1.xml"/><Relationship Id="rId94" Type="http://schemas.openxmlformats.org/officeDocument/2006/relationships/chart" Target="charts/chart9.xml"/><Relationship Id="rId99" Type="http://schemas.openxmlformats.org/officeDocument/2006/relationships/chart" Target="charts/chart14.xml"/><Relationship Id="rId101" Type="http://schemas.openxmlformats.org/officeDocument/2006/relationships/chart" Target="charts/chart16.xml"/><Relationship Id="rId122" Type="http://schemas.openxmlformats.org/officeDocument/2006/relationships/image" Target="media/image57.emf"/><Relationship Id="rId143" Type="http://schemas.openxmlformats.org/officeDocument/2006/relationships/chart" Target="charts/chart30.xml"/><Relationship Id="rId148" Type="http://schemas.openxmlformats.org/officeDocument/2006/relationships/header" Target="header16.xml"/><Relationship Id="rId164" Type="http://schemas.openxmlformats.org/officeDocument/2006/relationships/footer" Target="footer11.xml"/><Relationship Id="rId169" Type="http://schemas.openxmlformats.org/officeDocument/2006/relationships/header" Target="header24.xml"/><Relationship Id="rId185" Type="http://schemas.openxmlformats.org/officeDocument/2006/relationships/image" Target="media/image87.png"/><Relationship Id="rId4" Type="http://schemas.openxmlformats.org/officeDocument/2006/relationships/styles" Target="styles.xml"/><Relationship Id="rId9" Type="http://schemas.openxmlformats.org/officeDocument/2006/relationships/hyperlink" Target="file:///C:\Users\Sadiq%20Ahmed\Documents\BDP2100%20Main%20Report%20Revised%20%20Clean%20Draft%20(February%2011,%202017).docx" TargetMode="External"/><Relationship Id="rId180" Type="http://schemas.openxmlformats.org/officeDocument/2006/relationships/image" Target="media/image82.png"/><Relationship Id="rId210" Type="http://schemas.openxmlformats.org/officeDocument/2006/relationships/header" Target="header25.xml"/><Relationship Id="rId215" Type="http://schemas.openxmlformats.org/officeDocument/2006/relationships/header" Target="header28.xml"/><Relationship Id="rId236" Type="http://schemas.openxmlformats.org/officeDocument/2006/relationships/footer" Target="footer17.xml"/><Relationship Id="rId26" Type="http://schemas.openxmlformats.org/officeDocument/2006/relationships/image" Target="media/image7.jpeg"/><Relationship Id="rId231" Type="http://schemas.openxmlformats.org/officeDocument/2006/relationships/image" Target="media/image97.jpeg"/><Relationship Id="rId47" Type="http://schemas.openxmlformats.org/officeDocument/2006/relationships/image" Target="media/image28.jpeg"/><Relationship Id="rId68" Type="http://schemas.openxmlformats.org/officeDocument/2006/relationships/header" Target="header6.xml"/><Relationship Id="rId89" Type="http://schemas.openxmlformats.org/officeDocument/2006/relationships/image" Target="media/image48.png"/><Relationship Id="rId112" Type="http://schemas.openxmlformats.org/officeDocument/2006/relationships/image" Target="media/image52.jpeg"/><Relationship Id="rId133" Type="http://schemas.openxmlformats.org/officeDocument/2006/relationships/chart" Target="charts/chart28.xml"/><Relationship Id="rId154" Type="http://schemas.openxmlformats.org/officeDocument/2006/relationships/hyperlink" Target="http://www.wwinn.org/the-rhine" TargetMode="External"/><Relationship Id="rId175" Type="http://schemas.openxmlformats.org/officeDocument/2006/relationships/image" Target="media/image80.png"/><Relationship Id="rId196" Type="http://schemas.openxmlformats.org/officeDocument/2006/relationships/hyperlink" Target="https://en.wikipedia.org/wiki/Kenya" TargetMode="External"/><Relationship Id="rId200" Type="http://schemas.openxmlformats.org/officeDocument/2006/relationships/hyperlink" Target="https://en.wikipedia.org/wiki/Democratic_Republic_of_Congo" TargetMode="External"/><Relationship Id="rId16" Type="http://schemas.openxmlformats.org/officeDocument/2006/relationships/footer" Target="footer1.xml"/><Relationship Id="rId221" Type="http://schemas.openxmlformats.org/officeDocument/2006/relationships/hyperlink" Target="http://www.businessdictionary.com/definition/combination.html" TargetMode="External"/><Relationship Id="rId242" Type="http://schemas.openxmlformats.org/officeDocument/2006/relationships/header" Target="header36.xml"/><Relationship Id="rId37" Type="http://schemas.openxmlformats.org/officeDocument/2006/relationships/image" Target="media/image18.jpeg"/><Relationship Id="rId58" Type="http://schemas.openxmlformats.org/officeDocument/2006/relationships/chart" Target="charts/chart7.xml"/><Relationship Id="rId79" Type="http://schemas.openxmlformats.org/officeDocument/2006/relationships/diagramColors" Target="diagrams/colors1.xml"/><Relationship Id="rId102" Type="http://schemas.openxmlformats.org/officeDocument/2006/relationships/chart" Target="charts/chart17.xml"/><Relationship Id="rId123" Type="http://schemas.openxmlformats.org/officeDocument/2006/relationships/image" Target="media/image58.emf"/><Relationship Id="rId144" Type="http://schemas.openxmlformats.org/officeDocument/2006/relationships/chart" Target="charts/chart31.xml"/><Relationship Id="rId90" Type="http://schemas.openxmlformats.org/officeDocument/2006/relationships/image" Target="media/image49.png"/><Relationship Id="rId165" Type="http://schemas.openxmlformats.org/officeDocument/2006/relationships/header" Target="header21.xml"/><Relationship Id="rId186" Type="http://schemas.openxmlformats.org/officeDocument/2006/relationships/image" Target="media/image88.png"/><Relationship Id="rId211" Type="http://schemas.openxmlformats.org/officeDocument/2006/relationships/header" Target="header26.xml"/><Relationship Id="rId232" Type="http://schemas.openxmlformats.org/officeDocument/2006/relationships/image" Target="media/image98.png"/><Relationship Id="rId27" Type="http://schemas.openxmlformats.org/officeDocument/2006/relationships/image" Target="media/image8.jpeg"/><Relationship Id="rId48" Type="http://schemas.openxmlformats.org/officeDocument/2006/relationships/image" Target="media/image29.png"/><Relationship Id="rId69" Type="http://schemas.openxmlformats.org/officeDocument/2006/relationships/footer" Target="footer5.xml"/><Relationship Id="rId113" Type="http://schemas.openxmlformats.org/officeDocument/2006/relationships/header" Target="header10.xml"/><Relationship Id="rId134" Type="http://schemas.openxmlformats.org/officeDocument/2006/relationships/image" Target="media/image68.png"/><Relationship Id="rId80" Type="http://schemas.microsoft.com/office/2007/relationships/diagramDrawing" Target="diagrams/drawing1.xml"/><Relationship Id="rId155" Type="http://schemas.openxmlformats.org/officeDocument/2006/relationships/chart" Target="charts/chart37.xml"/><Relationship Id="rId176" Type="http://schemas.openxmlformats.org/officeDocument/2006/relationships/footer" Target="footer13.xml"/><Relationship Id="rId197" Type="http://schemas.openxmlformats.org/officeDocument/2006/relationships/hyperlink" Target="https://en.wikipedia.org/wiki/Tanzania"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nature.com/ngeo/journal/v2/n10/abs/ngeo629.html" TargetMode="External"/><Relationship Id="rId7" Type="http://schemas.openxmlformats.org/officeDocument/2006/relationships/hyperlink" Target="https://environmentalmigration.iom.int/" TargetMode="External"/><Relationship Id="rId2" Type="http://schemas.openxmlformats.org/officeDocument/2006/relationships/hyperlink" Target="http://www.ciwn.mpwt.gov.kh/index.php?option=com_content&amp;view=category&amp;id=28&amp;layout=blog&amp;Itemid=40&amp;lang=en" TargetMode="External"/><Relationship Id="rId1" Type="http://schemas.openxmlformats.org/officeDocument/2006/relationships/hyperlink" Target="http://www.mrcmekong.org/assets/Publications/policies/agreement-waterway-trans-btw-Cam-n-VN-Eng.pdf" TargetMode="External"/><Relationship Id="rId6" Type="http://schemas.openxmlformats.org/officeDocument/2006/relationships/hyperlink" Target="http://www.dutchwatersector.com/solutions/projects/230-towards-a-mekong-delta-portal.html" TargetMode="External"/><Relationship Id="rId5" Type="http://schemas.openxmlformats.org/officeDocument/2006/relationships/hyperlink" Target="http://www.dupad.hku.hk/hkprd/info/english/set_wholeprd.htm" TargetMode="External"/><Relationship Id="rId4" Type="http://schemas.openxmlformats.org/officeDocument/2006/relationships/hyperlink" Target="http://www.climatechangepost.com/netherland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Sadik\Documents\BDP2100%20Hotspot%20Mapping%20by%20Upzillas%202016.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DeltaScenariosFinal%20october%201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Desktop\DeltaBaselineScenario%20october%204.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Desktop\DeltaBaselineScenario%20october%20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adik\Documents\BDP2100%20Hotspot%20Mapping%20by%20Upzillas%202016.xls"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Admin\Downloads\DeltaBaselineScenario%20october%202.xlsx" TargetMode="External"/></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1.xml"/></Relationships>
</file>

<file path=word/charts/_rels/chart29.xml.rels><?xml version="1.0" encoding="UTF-8" standalone="yes"?>
<Relationships xmlns="http://schemas.openxmlformats.org/package/2006/relationships"><Relationship Id="rId1" Type="http://schemas.openxmlformats.org/officeDocument/2006/relationships/oleObject" Target="file:///C:\Users\USER\Documents\Global%20Rice%20Productivity%20Comparis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HK\Downloads\Revised_Summary_Table.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USER\Documents\Rice%20Yields%20for%20selected%20countries%20and%20region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Sadiq%20Ahmed\Documents\BDP2100%20District%20level%20data%20on%20agriculture%20GDP%201995-96%20to%202005-06.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Sadiq%20Ahmed\Documents\BDP2100%20District%20level%20data%20on%20agriculture%20GDP%201995-96%20to%202005-06.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Sadiq%20Ahmed\Documents\BDP2100%20District%20level%20data%20on%20agriculture%20GDP%201995-96%20to%202005-06.xlsx" TargetMode="External"/></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35.xml.rels><?xml version="1.0" encoding="UTF-8" standalone="yes"?>
<Relationships xmlns="http://schemas.openxmlformats.org/package/2006/relationships"><Relationship Id="rId1" Type="http://schemas.openxmlformats.org/officeDocument/2006/relationships/oleObject" Target="file:///C:\Users\USER\Documents\Tables%20and%20Charts%20for%20River%20Transport%20Sector.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USER\Documents\Tables%20and%20Charts%20for%20River%20Transport%20Sector.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USER\Documents\Bangladesh%20Transport%20and%20Communication%20Sector%20Development%202016.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USER\Documents\Bangladesh%20Transport%20and%20Communication%20Sector%20Development%202016.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BHK\Desktop\HIES_Tables_2000_2010.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User\Downloads\Expenditure%20Share.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User\Downloads\Expenditure%20Shar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BHK\Desktop\HIES_Tables_2000_201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adik\Documents\BDP2100%20Hotspots%20and%20Socio-economic%20charecteristics%20201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adik\Documents\Bangladesh%20District%20Level%20Poverty%20Data%20201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adiq%20Ahmed\Documents\Rice%20Data%20by%20Hotspots%202016.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dmin\Desktop\DeltaBaselineScenario%20october%20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style val="29"/>
  <c:chart>
    <c:autoTitleDeleted val="1"/>
    <c:plotArea>
      <c:layout/>
      <c:barChart>
        <c:barDir val="col"/>
        <c:grouping val="clustered"/>
        <c:ser>
          <c:idx val="0"/>
          <c:order val="0"/>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'Distribution_Administrative Uni'!$A$2:$A$7</c:f>
              <c:strCache>
                <c:ptCount val="6"/>
                <c:pt idx="0">
                  <c:v>Haor Region</c:v>
                </c:pt>
                <c:pt idx="1">
                  <c:v>Coastal Region</c:v>
                </c:pt>
                <c:pt idx="2">
                  <c:v>Rivers &amp; Estuary Region</c:v>
                </c:pt>
                <c:pt idx="3">
                  <c:v>Drought Prone Region</c:v>
                </c:pt>
                <c:pt idx="4">
                  <c:v>Urban Region</c:v>
                </c:pt>
                <c:pt idx="5">
                  <c:v>Chittagong Hill Tracts</c:v>
                </c:pt>
              </c:strCache>
            </c:strRef>
          </c:cat>
          <c:val>
            <c:numRef>
              <c:f>'Distribution_Administrative Uni'!$B$2:$B$7</c:f>
              <c:numCache>
                <c:formatCode>General</c:formatCode>
                <c:ptCount val="6"/>
                <c:pt idx="0">
                  <c:v>58</c:v>
                </c:pt>
                <c:pt idx="1">
                  <c:v>110</c:v>
                </c:pt>
                <c:pt idx="2">
                  <c:v>144</c:v>
                </c:pt>
                <c:pt idx="3">
                  <c:v>82</c:v>
                </c:pt>
                <c:pt idx="4">
                  <c:v>99</c:v>
                </c:pt>
                <c:pt idx="5">
                  <c:v>25</c:v>
                </c:pt>
              </c:numCache>
            </c:numRef>
          </c:val>
          <c:extLst xmlns:c16r2="http://schemas.microsoft.com/office/drawing/2015/06/chart">
            <c:ext xmlns:c16="http://schemas.microsoft.com/office/drawing/2014/chart" uri="{C3380CC4-5D6E-409C-BE32-E72D297353CC}">
              <c16:uniqueId val="{00000000-D7AE-4CFE-A11F-B12720DD35C2}"/>
            </c:ext>
          </c:extLst>
        </c:ser>
        <c:axId val="343388160"/>
        <c:axId val="343389696"/>
      </c:barChart>
      <c:catAx>
        <c:axId val="343388160"/>
        <c:scaling>
          <c:orientation val="minMax"/>
        </c:scaling>
        <c:axPos val="b"/>
        <c:numFmt formatCode="General" sourceLinked="1"/>
        <c:tickLblPos val="nextTo"/>
        <c:crossAx val="343389696"/>
        <c:crosses val="autoZero"/>
        <c:auto val="1"/>
        <c:lblAlgn val="ctr"/>
        <c:lblOffset val="100"/>
      </c:catAx>
      <c:valAx>
        <c:axId val="343389696"/>
        <c:scaling>
          <c:orientation val="minMax"/>
        </c:scaling>
        <c:axPos val="l"/>
        <c:title>
          <c:tx>
            <c:rich>
              <a:bodyPr rot="-5400000" vert="horz"/>
              <a:lstStyle/>
              <a:p>
                <a:pPr>
                  <a:defRPr/>
                </a:pPr>
                <a:r>
                  <a:rPr lang="en-US"/>
                  <a:t>Number</a:t>
                </a:r>
                <a:r>
                  <a:rPr lang="en-US" baseline="0"/>
                  <a:t> of Upzillas</a:t>
                </a:r>
                <a:endParaRPr lang="en-US"/>
              </a:p>
            </c:rich>
          </c:tx>
        </c:title>
        <c:numFmt formatCode="General" sourceLinked="1"/>
        <c:tickLblPos val="nextTo"/>
        <c:crossAx val="343388160"/>
        <c:crosses val="autoZero"/>
        <c:crossBetween val="between"/>
      </c:valAx>
    </c:plotArea>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manualLayout>
          <c:layoutTarget val="inner"/>
          <c:xMode val="edge"/>
          <c:yMode val="edge"/>
          <c:x val="0.10996000127604394"/>
          <c:y val="0.12092694779671721"/>
          <c:w val="0.82009489045034456"/>
          <c:h val="0.6854178301787337"/>
        </c:manualLayout>
      </c:layout>
      <c:barChart>
        <c:barDir val="col"/>
        <c:grouping val="clustered"/>
        <c:ser>
          <c:idx val="0"/>
          <c:order val="0"/>
          <c:tx>
            <c:strRef>
              <c:f>'Comp.graph'!$B$22</c:f>
              <c:strCache>
                <c:ptCount val="1"/>
                <c:pt idx="0">
                  <c:v>GNI (at  planned 8% growth)</c:v>
                </c:pt>
              </c:strCache>
            </c:strRef>
          </c:tx>
          <c:cat>
            <c:strRef>
              <c:f>'Comp.graph'!$C$21:$AB$21</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'Comp.graph'!$C$22:$AB$22</c:f>
            </c:numRef>
          </c:val>
          <c:extLst xmlns:c16r2="http://schemas.microsoft.com/office/drawing/2015/06/chart">
            <c:ext xmlns:c16="http://schemas.microsoft.com/office/drawing/2014/chart" uri="{C3380CC4-5D6E-409C-BE32-E72D297353CC}">
              <c16:uniqueId val="{00000000-8ED1-4284-B34B-EC36BCF37A2F}"/>
            </c:ext>
          </c:extLst>
        </c:ser>
        <c:ser>
          <c:idx val="1"/>
          <c:order val="1"/>
          <c:tx>
            <c:strRef>
              <c:f>'Comp.graph'!$B$23</c:f>
              <c:strCache>
                <c:ptCount val="1"/>
                <c:pt idx="0">
                  <c:v>GNI  (at BAU Scenario)</c:v>
                </c:pt>
              </c:strCache>
            </c:strRef>
          </c:tx>
          <c:cat>
            <c:strRef>
              <c:f>'Comp.graph'!$C$21:$AB$21</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'Comp.graph'!$C$23:$AB$23</c:f>
            </c:numRef>
          </c:val>
          <c:extLst xmlns:c16r2="http://schemas.microsoft.com/office/drawing/2015/06/chart">
            <c:ext xmlns:c16="http://schemas.microsoft.com/office/drawing/2014/chart" uri="{C3380CC4-5D6E-409C-BE32-E72D297353CC}">
              <c16:uniqueId val="{00000001-8ED1-4284-B34B-EC36BCF37A2F}"/>
            </c:ext>
          </c:extLst>
        </c:ser>
        <c:ser>
          <c:idx val="2"/>
          <c:order val="2"/>
          <c:tx>
            <c:strRef>
              <c:f>'Comp.graph'!$B$24</c:f>
              <c:strCache>
                <c:ptCount val="1"/>
                <c:pt idx="0">
                  <c:v>Loss (billion Taka)</c:v>
                </c:pt>
              </c:strCache>
            </c:strRef>
          </c:tx>
          <c:cat>
            <c:strRef>
              <c:f>'Comp.graph'!$C$21:$AB$21</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'Comp.graph'!$C$24:$AB$24</c:f>
            </c:numRef>
          </c:val>
          <c:extLst xmlns:c16r2="http://schemas.microsoft.com/office/drawing/2015/06/chart">
            <c:ext xmlns:c16="http://schemas.microsoft.com/office/drawing/2014/chart" uri="{C3380CC4-5D6E-409C-BE32-E72D297353CC}">
              <c16:uniqueId val="{00000002-8ED1-4284-B34B-EC36BCF37A2F}"/>
            </c:ext>
          </c:extLst>
        </c:ser>
        <c:ser>
          <c:idx val="3"/>
          <c:order val="3"/>
          <c:tx>
            <c:strRef>
              <c:f>'Comp.graph'!$B$25</c:f>
              <c:strCache>
                <c:ptCount val="1"/>
                <c:pt idx="0">
                  <c:v>Income Gap (bn, USD)</c:v>
                </c:pt>
              </c:strCache>
            </c:strRef>
          </c:tx>
          <c:spPr>
            <a:solidFill>
              <a:srgbClr val="4BACC6"/>
            </a:solidFill>
          </c:spPr>
          <c:dLbls>
            <c:dLbl>
              <c:idx val="25"/>
              <c:layout>
                <c:manualLayout>
                  <c:x val="-8.3248737175652208E-3"/>
                  <c:y val="2.2642989587790676E-2"/>
                </c:manualLayout>
              </c:layout>
              <c:showVal val="1"/>
              <c:extLst xmlns:c16r2="http://schemas.microsoft.com/office/drawing/2015/06/chart">
                <c:ext xmlns:c16="http://schemas.microsoft.com/office/drawing/2014/chart" uri="{C3380CC4-5D6E-409C-BE32-E72D297353CC}">
                  <c16:uniqueId val="{00000003-8ED1-4284-B34B-EC36BCF37A2F}"/>
                </c:ext>
                <c:ext xmlns:c15="http://schemas.microsoft.com/office/drawing/2012/chart" uri="{CE6537A1-D6FC-4f65-9D91-7224C49458BB}">
                  <c15:layout/>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'Comp.graph'!$C$21:$AB$21</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'Comp.graph'!$C$25:$AB$25</c:f>
              <c:numCache>
                <c:formatCode>General</c:formatCode>
                <c:ptCount val="26"/>
                <c:pt idx="0" formatCode="0">
                  <c:v>0</c:v>
                </c:pt>
                <c:pt idx="2" formatCode="0">
                  <c:v>2.8045914050214185</c:v>
                </c:pt>
                <c:pt idx="3" formatCode="0">
                  <c:v>4.7909104535246874</c:v>
                </c:pt>
                <c:pt idx="4" formatCode="0">
                  <c:v>7.2822245598266795</c:v>
                </c:pt>
                <c:pt idx="5" formatCode="0">
                  <c:v>10.373097704104786</c:v>
                </c:pt>
                <c:pt idx="6" formatCode="0">
                  <c:v>14.190815674295262</c:v>
                </c:pt>
                <c:pt idx="7" formatCode="0">
                  <c:v>18.881000287492867</c:v>
                </c:pt>
                <c:pt idx="8" formatCode="0">
                  <c:v>24.61643241625513</c:v>
                </c:pt>
                <c:pt idx="9" formatCode="0">
                  <c:v>31.602090842610302</c:v>
                </c:pt>
                <c:pt idx="10" formatCode="0">
                  <c:v>40.080624845031046</c:v>
                </c:pt>
                <c:pt idx="11" formatCode="0">
                  <c:v>50.339415444828937</c:v>
                </c:pt>
                <c:pt idx="12" formatCode="0">
                  <c:v>62.718144475980047</c:v>
                </c:pt>
                <c:pt idx="13" formatCode="0">
                  <c:v>77.618523917478583</c:v>
                </c:pt>
                <c:pt idx="14" formatCode="0">
                  <c:v>95.514752152604913</c:v>
                </c:pt>
                <c:pt idx="15" formatCode="0">
                  <c:v>116.85268828100534</c:v>
                </c:pt>
                <c:pt idx="16" formatCode="0">
                  <c:v>142.35739701882724</c:v>
                </c:pt>
                <c:pt idx="17" formatCode="0">
                  <c:v>172.79312971182554</c:v>
                </c:pt>
                <c:pt idx="18" formatCode="0">
                  <c:v>209.06013752773043</c:v>
                </c:pt>
                <c:pt idx="19" formatCode="0">
                  <c:v>252.2179282224796</c:v>
                </c:pt>
                <c:pt idx="20" formatCode="0">
                  <c:v>303.51291023668699</c:v>
                </c:pt>
                <c:pt idx="21" formatCode="0">
                  <c:v>364.41077768853393</c:v>
                </c:pt>
                <c:pt idx="22" formatCode="0">
                  <c:v>436.63444279915558</c:v>
                </c:pt>
                <c:pt idx="23" formatCode="0">
                  <c:v>522.20845873799055</c:v>
                </c:pt>
                <c:pt idx="24" formatCode="0">
                  <c:v>623.51103532159073</c:v>
                </c:pt>
                <c:pt idx="25" formatCode="0">
                  <c:v>742.58708194247254</c:v>
                </c:pt>
              </c:numCache>
            </c:numRef>
          </c:val>
          <c:extLst xmlns:c16r2="http://schemas.microsoft.com/office/drawing/2015/06/chart">
            <c:ext xmlns:c16="http://schemas.microsoft.com/office/drawing/2014/chart" uri="{C3380CC4-5D6E-409C-BE32-E72D297353CC}">
              <c16:uniqueId val="{00000004-8ED1-4284-B34B-EC36BCF37A2F}"/>
            </c:ext>
          </c:extLst>
        </c:ser>
        <c:gapWidth val="75"/>
        <c:overlap val="-25"/>
        <c:axId val="350240128"/>
        <c:axId val="350282880"/>
      </c:barChart>
      <c:lineChart>
        <c:grouping val="standard"/>
        <c:ser>
          <c:idx val="4"/>
          <c:order val="4"/>
          <c:tx>
            <c:strRef>
              <c:f>'Comp.graph'!$B$26</c:f>
              <c:strCache>
                <c:ptCount val="1"/>
                <c:pt idx="0">
                  <c:v>Income Gap (% of GNI with planned 8% growth)</c:v>
                </c:pt>
              </c:strCache>
            </c:strRef>
          </c:tx>
          <c:spPr>
            <a:ln>
              <a:solidFill>
                <a:srgbClr val="C00000"/>
              </a:solidFill>
            </a:ln>
          </c:spPr>
          <c:marker>
            <c:symbol val="none"/>
          </c:marker>
          <c:dLbls>
            <c:dLbl>
              <c:idx val="25"/>
              <c:layout>
                <c:manualLayout>
                  <c:x val="-6.6598989740521822E-2"/>
                  <c:y val="-4.6327691447361173E-3"/>
                </c:manualLayout>
              </c:layout>
              <c:showVal val="1"/>
              <c:extLst xmlns:c16r2="http://schemas.microsoft.com/office/drawing/2015/06/chart">
                <c:ext xmlns:c16="http://schemas.microsoft.com/office/drawing/2014/chart" uri="{C3380CC4-5D6E-409C-BE32-E72D297353CC}">
                  <c16:uniqueId val="{00000005-8ED1-4284-B34B-EC36BCF37A2F}"/>
                </c:ext>
                <c:ext xmlns:c15="http://schemas.microsoft.com/office/drawing/2012/chart" uri="{CE6537A1-D6FC-4f65-9D91-7224C49458BB}">
                  <c15:layout/>
                </c:ext>
              </c:extLst>
            </c:dLbl>
            <c:delete val="1"/>
            <c:spPr>
              <a:noFill/>
              <a:ln>
                <a:noFill/>
              </a:ln>
              <a:effectLst/>
            </c:spPr>
            <c:txPr>
              <a:bodyPr/>
              <a:lstStyle/>
              <a:p>
                <a:pPr>
                  <a:defRPr sz="800"/>
                </a:pPr>
                <a:endParaRPr lang="en-US"/>
              </a:p>
            </c:txPr>
            <c:extLst xmlns:c16r2="http://schemas.microsoft.com/office/drawing/2015/06/chart">
              <c:ext xmlns:c15="http://schemas.microsoft.com/office/drawing/2012/chart" uri="{CE6537A1-D6FC-4f65-9D91-7224C49458BB}">
                <c15:showLeaderLines val="0"/>
              </c:ext>
            </c:extLst>
          </c:dLbls>
          <c:cat>
            <c:strRef>
              <c:f>'Comp.graph'!$C$21:$AB$21</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'Comp.graph'!$C$26:$AB$26</c:f>
              <c:numCache>
                <c:formatCode>0</c:formatCode>
                <c:ptCount val="26"/>
                <c:pt idx="0">
                  <c:v>0</c:v>
                </c:pt>
                <c:pt idx="1">
                  <c:v>0.49540393608301042</c:v>
                </c:pt>
                <c:pt idx="2">
                  <c:v>1.0194909085827424</c:v>
                </c:pt>
                <c:pt idx="3">
                  <c:v>1.574244731367292</c:v>
                </c:pt>
                <c:pt idx="4">
                  <c:v>2.1585624151812439</c:v>
                </c:pt>
                <c:pt idx="5">
                  <c:v>2.7634506100968266</c:v>
                </c:pt>
                <c:pt idx="6">
                  <c:v>3.4203476303512637</c:v>
                </c:pt>
                <c:pt idx="7">
                  <c:v>4.1164943877233551</c:v>
                </c:pt>
                <c:pt idx="8">
                  <c:v>4.8538604373821403</c:v>
                </c:pt>
                <c:pt idx="9">
                  <c:v>5.6345294588077053</c:v>
                </c:pt>
                <c:pt idx="10">
                  <c:v>6.4606471056688166</c:v>
                </c:pt>
                <c:pt idx="11">
                  <c:v>7.3344821312282775</c:v>
                </c:pt>
                <c:pt idx="12">
                  <c:v>8.2583694022657639</c:v>
                </c:pt>
                <c:pt idx="13">
                  <c:v>9.2347763701237007</c:v>
                </c:pt>
                <c:pt idx="14">
                  <c:v>10.266240973186704</c:v>
                </c:pt>
                <c:pt idx="15">
                  <c:v>11.355444593822259</c:v>
                </c:pt>
                <c:pt idx="16">
                  <c:v>12.505182535232304</c:v>
                </c:pt>
                <c:pt idx="17">
                  <c:v>13.71832775884349</c:v>
                </c:pt>
                <c:pt idx="18">
                  <c:v>14.997912056664672</c:v>
                </c:pt>
                <c:pt idx="19">
                  <c:v>16.347094281667328</c:v>
                </c:pt>
                <c:pt idx="20">
                  <c:v>17.769164831154907</c:v>
                </c:pt>
                <c:pt idx="21">
                  <c:v>19.267550248068577</c:v>
                </c:pt>
                <c:pt idx="22">
                  <c:v>20.845817941404917</c:v>
                </c:pt>
                <c:pt idx="23">
                  <c:v>22.507681026826507</c:v>
                </c:pt>
                <c:pt idx="24">
                  <c:v>24.257003288448491</c:v>
                </c:pt>
                <c:pt idx="25">
                  <c:v>26.237489936677427</c:v>
                </c:pt>
              </c:numCache>
            </c:numRef>
          </c:val>
          <c:extLst xmlns:c16r2="http://schemas.microsoft.com/office/drawing/2015/06/chart">
            <c:ext xmlns:c16="http://schemas.microsoft.com/office/drawing/2014/chart" uri="{C3380CC4-5D6E-409C-BE32-E72D297353CC}">
              <c16:uniqueId val="{00000006-8ED1-4284-B34B-EC36BCF37A2F}"/>
            </c:ext>
          </c:extLst>
        </c:ser>
        <c:marker val="1"/>
        <c:axId val="350291072"/>
        <c:axId val="350284800"/>
      </c:lineChart>
      <c:catAx>
        <c:axId val="350240128"/>
        <c:scaling>
          <c:orientation val="minMax"/>
        </c:scaling>
        <c:axPos val="b"/>
        <c:numFmt formatCode="General" sourceLinked="0"/>
        <c:majorTickMark val="none"/>
        <c:tickLblPos val="nextTo"/>
        <c:txPr>
          <a:bodyPr/>
          <a:lstStyle/>
          <a:p>
            <a:pPr>
              <a:defRPr sz="800"/>
            </a:pPr>
            <a:endParaRPr lang="en-US"/>
          </a:p>
        </c:txPr>
        <c:crossAx val="350282880"/>
        <c:crosses val="autoZero"/>
        <c:auto val="1"/>
        <c:lblAlgn val="ctr"/>
        <c:lblOffset val="100"/>
      </c:catAx>
      <c:valAx>
        <c:axId val="350282880"/>
        <c:scaling>
          <c:orientation val="minMax"/>
        </c:scaling>
        <c:axPos val="l"/>
        <c:majorGridlines/>
        <c:title>
          <c:tx>
            <c:rich>
              <a:bodyPr rot="0" vert="horz"/>
              <a:lstStyle/>
              <a:p>
                <a:pPr>
                  <a:defRPr/>
                </a:pPr>
                <a:r>
                  <a:rPr lang="en-US"/>
                  <a:t>bn,</a:t>
                </a:r>
                <a:r>
                  <a:rPr lang="en-US" baseline="0"/>
                  <a:t> $</a:t>
                </a:r>
                <a:endParaRPr lang="en-US"/>
              </a:p>
            </c:rich>
          </c:tx>
          <c:layout>
            <c:manualLayout>
              <c:xMode val="edge"/>
              <c:yMode val="edge"/>
              <c:x val="6.1049073928811634E-2"/>
              <c:y val="5.9507014361873813E-2"/>
            </c:manualLayout>
          </c:layout>
        </c:title>
        <c:numFmt formatCode="0" sourceLinked="1"/>
        <c:majorTickMark val="none"/>
        <c:tickLblPos val="nextTo"/>
        <c:spPr>
          <a:ln w="9525">
            <a:noFill/>
          </a:ln>
        </c:spPr>
        <c:txPr>
          <a:bodyPr/>
          <a:lstStyle/>
          <a:p>
            <a:pPr>
              <a:defRPr sz="900"/>
            </a:pPr>
            <a:endParaRPr lang="en-US"/>
          </a:p>
        </c:txPr>
        <c:crossAx val="350240128"/>
        <c:crosses val="autoZero"/>
        <c:crossBetween val="between"/>
      </c:valAx>
      <c:valAx>
        <c:axId val="350284800"/>
        <c:scaling>
          <c:orientation val="minMax"/>
        </c:scaling>
        <c:axPos val="r"/>
        <c:title>
          <c:tx>
            <c:rich>
              <a:bodyPr rot="0" vert="horz"/>
              <a:lstStyle/>
              <a:p>
                <a:pPr>
                  <a:defRPr/>
                </a:pPr>
                <a:r>
                  <a:rPr lang="en-US"/>
                  <a:t>%</a:t>
                </a:r>
              </a:p>
            </c:rich>
          </c:tx>
          <c:layout>
            <c:manualLayout>
              <c:xMode val="edge"/>
              <c:yMode val="edge"/>
              <c:x val="0.90762165131408812"/>
              <c:y val="5.1680535607447377E-2"/>
            </c:manualLayout>
          </c:layout>
        </c:title>
        <c:numFmt formatCode="0" sourceLinked="1"/>
        <c:tickLblPos val="nextTo"/>
        <c:txPr>
          <a:bodyPr/>
          <a:lstStyle/>
          <a:p>
            <a:pPr>
              <a:defRPr sz="900"/>
            </a:pPr>
            <a:endParaRPr lang="en-US"/>
          </a:p>
        </c:txPr>
        <c:crossAx val="350291072"/>
        <c:crosses val="max"/>
        <c:crossBetween val="between"/>
      </c:valAx>
      <c:catAx>
        <c:axId val="350291072"/>
        <c:scaling>
          <c:orientation val="minMax"/>
        </c:scaling>
        <c:delete val="1"/>
        <c:axPos val="b"/>
        <c:numFmt formatCode="General" sourceLinked="1"/>
        <c:tickLblPos val="none"/>
        <c:crossAx val="350284800"/>
        <c:crosses val="autoZero"/>
        <c:auto val="1"/>
        <c:lblAlgn val="ctr"/>
        <c:lblOffset val="100"/>
      </c:catAx>
      <c:spPr>
        <a:noFill/>
        <a:ln>
          <a:solidFill>
            <a:srgbClr val="C00000"/>
          </a:solidFill>
        </a:ln>
      </c:spPr>
    </c:plotArea>
    <c:legend>
      <c:legendPos val="b"/>
      <c:txPr>
        <a:bodyPr/>
        <a:lstStyle/>
        <a:p>
          <a:pPr>
            <a:defRPr sz="700"/>
          </a:pPr>
          <a:endParaRPr lang="en-US"/>
        </a:p>
      </c:txP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manualLayout>
          <c:layoutTarget val="inner"/>
          <c:xMode val="edge"/>
          <c:yMode val="edge"/>
          <c:x val="0.11651960428023422"/>
          <c:y val="0.10057987518448865"/>
          <c:w val="0.79006501110438165"/>
          <c:h val="0.59725720536122195"/>
        </c:manualLayout>
      </c:layout>
      <c:barChart>
        <c:barDir val="col"/>
        <c:grouping val="clustered"/>
        <c:ser>
          <c:idx val="0"/>
          <c:order val="0"/>
          <c:tx>
            <c:strRef>
              <c:f>Comp.graph!$B$87</c:f>
              <c:strCache>
                <c:ptCount val="1"/>
                <c:pt idx="0">
                  <c:v>Environmental Unemployment, in million</c:v>
                </c:pt>
              </c:strCache>
            </c:strRef>
          </c:tx>
          <c:dLbls>
            <c:dLbl>
              <c:idx val="15"/>
              <c:showVal val="1"/>
              <c:extLst xmlns:c16r2="http://schemas.microsoft.com/office/drawing/2015/06/chart">
                <c:ext xmlns:c16="http://schemas.microsoft.com/office/drawing/2014/chart" uri="{C3380CC4-5D6E-409C-BE32-E72D297353CC}">
                  <c16:uniqueId val="{00000000-2146-4E2E-9685-BBC67C3CDD11}"/>
                </c:ext>
                <c:ext xmlns:c15="http://schemas.microsoft.com/office/drawing/2012/chart" uri="{CE6537A1-D6FC-4f65-9D91-7224C49458BB}">
                  <c15:layout/>
                </c:ext>
              </c:extLst>
            </c:dLbl>
            <c:dLbl>
              <c:idx val="25"/>
              <c:layout>
                <c:manualLayout>
                  <c:x val="0"/>
                  <c:y val="2.9112081513828238E-2"/>
                </c:manualLayout>
              </c:layout>
              <c:showVal val="1"/>
              <c:extLst xmlns:c16r2="http://schemas.microsoft.com/office/drawing/2015/06/chart">
                <c:ext xmlns:c16="http://schemas.microsoft.com/office/drawing/2014/chart" uri="{C3380CC4-5D6E-409C-BE32-E72D297353CC}">
                  <c16:uniqueId val="{00000001-2146-4E2E-9685-BBC67C3CDD11}"/>
                </c:ext>
                <c:ext xmlns:c15="http://schemas.microsoft.com/office/drawing/2012/chart" uri="{CE6537A1-D6FC-4f65-9D91-7224C49458BB}">
                  <c15:layout/>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Comp.graph!$C$86:$AB$86</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Comp.graph!$C$87:$AB$87</c:f>
              <c:numCache>
                <c:formatCode>0.0</c:formatCode>
                <c:ptCount val="26"/>
                <c:pt idx="0">
                  <c:v>0</c:v>
                </c:pt>
                <c:pt idx="1">
                  <c:v>0.10441247146948122</c:v>
                </c:pt>
                <c:pt idx="2">
                  <c:v>0.22110980852874507</c:v>
                </c:pt>
                <c:pt idx="3">
                  <c:v>0.34993955274893629</c:v>
                </c:pt>
                <c:pt idx="4">
                  <c:v>0.49098768135847837</c:v>
                </c:pt>
                <c:pt idx="5">
                  <c:v>0.64727912450730363</c:v>
                </c:pt>
                <c:pt idx="6">
                  <c:v>0.81720009889474809</c:v>
                </c:pt>
                <c:pt idx="7">
                  <c:v>1.0024934196751738</c:v>
                </c:pt>
                <c:pt idx="8">
                  <c:v>1.2041420893915569</c:v>
                </c:pt>
                <c:pt idx="9">
                  <c:v>1.4232309158652658</c:v>
                </c:pt>
                <c:pt idx="10">
                  <c:v>1.6626974359476101</c:v>
                </c:pt>
                <c:pt idx="11">
                  <c:v>1.9201076099995475</c:v>
                </c:pt>
                <c:pt idx="12">
                  <c:v>2.1981207428284435</c:v>
                </c:pt>
                <c:pt idx="13">
                  <c:v>2.4980290734156667</c:v>
                </c:pt>
                <c:pt idx="14">
                  <c:v>2.8211613026428992</c:v>
                </c:pt>
                <c:pt idx="15">
                  <c:v>3.1794066198245794</c:v>
                </c:pt>
                <c:pt idx="16">
                  <c:v>3.5566397084816712</c:v>
                </c:pt>
                <c:pt idx="17">
                  <c:v>3.9616247956194841</c:v>
                </c:pt>
                <c:pt idx="18">
                  <c:v>4.3955904538701835</c:v>
                </c:pt>
                <c:pt idx="19">
                  <c:v>4.8598453236380905</c:v>
                </c:pt>
                <c:pt idx="20">
                  <c:v>5.3566386084342232</c:v>
                </c:pt>
                <c:pt idx="21">
                  <c:v>5.8854125650098545</c:v>
                </c:pt>
                <c:pt idx="22">
                  <c:v>6.4487215313603938</c:v>
                </c:pt>
                <c:pt idx="23">
                  <c:v>7.0481588436033187</c:v>
                </c:pt>
                <c:pt idx="24">
                  <c:v>7.6853720514453405</c:v>
                </c:pt>
                <c:pt idx="25">
                  <c:v>8.3680994600906455</c:v>
                </c:pt>
              </c:numCache>
            </c:numRef>
          </c:val>
          <c:extLst xmlns:c16r2="http://schemas.microsoft.com/office/drawing/2015/06/chart">
            <c:ext xmlns:c16="http://schemas.microsoft.com/office/drawing/2014/chart" uri="{C3380CC4-5D6E-409C-BE32-E72D297353CC}">
              <c16:uniqueId val="{00000002-2146-4E2E-9685-BBC67C3CDD11}"/>
            </c:ext>
          </c:extLst>
        </c:ser>
        <c:gapWidth val="75"/>
        <c:overlap val="-25"/>
        <c:axId val="350327168"/>
        <c:axId val="350328704"/>
      </c:barChart>
      <c:lineChart>
        <c:grouping val="standard"/>
        <c:ser>
          <c:idx val="1"/>
          <c:order val="1"/>
          <c:tx>
            <c:strRef>
              <c:f>Comp.graph!$B$88</c:f>
              <c:strCache>
                <c:ptCount val="1"/>
                <c:pt idx="0">
                  <c:v>Environmental Unemployment-Labour Force Ratio (%)</c:v>
                </c:pt>
              </c:strCache>
            </c:strRef>
          </c:tx>
          <c:marker>
            <c:symbol val="none"/>
          </c:marker>
          <c:cat>
            <c:strRef>
              <c:f>Comp.graph!$C$86:$AB$86</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Comp.graph!$C$88:$AB$88</c:f>
              <c:numCache>
                <c:formatCode>0.0</c:formatCode>
                <c:ptCount val="26"/>
                <c:pt idx="0">
                  <c:v>0</c:v>
                </c:pt>
                <c:pt idx="1">
                  <c:v>0.15530606691090604</c:v>
                </c:pt>
                <c:pt idx="2">
                  <c:v>0.3209279007610995</c:v>
                </c:pt>
                <c:pt idx="3">
                  <c:v>0.49598954952177632</c:v>
                </c:pt>
                <c:pt idx="4">
                  <c:v>0.6801740462971666</c:v>
                </c:pt>
                <c:pt idx="5">
                  <c:v>0.87570880199674161</c:v>
                </c:pt>
                <c:pt idx="6">
                  <c:v>1.0814711799843446</c:v>
                </c:pt>
                <c:pt idx="7">
                  <c:v>1.298689027499657</c:v>
                </c:pt>
                <c:pt idx="8">
                  <c:v>1.5278977468142294</c:v>
                </c:pt>
                <c:pt idx="9">
                  <c:v>1.769663293363293</c:v>
                </c:pt>
                <c:pt idx="10">
                  <c:v>2.026683837477897</c:v>
                </c:pt>
                <c:pt idx="11">
                  <c:v>2.2956137953808398</c:v>
                </c:pt>
                <c:pt idx="12">
                  <c:v>2.5789314723342192</c:v>
                </c:pt>
                <c:pt idx="13">
                  <c:v>2.8772977688220069</c:v>
                </c:pt>
                <c:pt idx="14">
                  <c:v>3.1913879342829552</c:v>
                </c:pt>
                <c:pt idx="15">
                  <c:v>3.5255979449157619</c:v>
                </c:pt>
                <c:pt idx="16">
                  <c:v>3.8736655426858437</c:v>
                </c:pt>
                <c:pt idx="17">
                  <c:v>4.2396847326958724</c:v>
                </c:pt>
                <c:pt idx="18">
                  <c:v>4.6244531919083158</c:v>
                </c:pt>
                <c:pt idx="19">
                  <c:v>5.0287989191379285</c:v>
                </c:pt>
                <c:pt idx="20">
                  <c:v>5.4547794564607575</c:v>
                </c:pt>
                <c:pt idx="21">
                  <c:v>5.9009962498549848</c:v>
                </c:pt>
                <c:pt idx="22">
                  <c:v>6.3694718107964716</c:v>
                </c:pt>
                <c:pt idx="23">
                  <c:v>6.8611651126431434</c:v>
                </c:pt>
                <c:pt idx="24">
                  <c:v>7.3770702324944288</c:v>
                </c:pt>
                <c:pt idx="25">
                  <c:v>7.9189373344789855</c:v>
                </c:pt>
              </c:numCache>
            </c:numRef>
          </c:val>
          <c:extLst xmlns:c16r2="http://schemas.microsoft.com/office/drawing/2015/06/chart">
            <c:ext xmlns:c16="http://schemas.microsoft.com/office/drawing/2014/chart" uri="{C3380CC4-5D6E-409C-BE32-E72D297353CC}">
              <c16:uniqueId val="{00000003-2146-4E2E-9685-BBC67C3CDD11}"/>
            </c:ext>
          </c:extLst>
        </c:ser>
        <c:marker val="1"/>
        <c:axId val="350343168"/>
        <c:axId val="350344704"/>
      </c:lineChart>
      <c:catAx>
        <c:axId val="350327168"/>
        <c:scaling>
          <c:orientation val="minMax"/>
        </c:scaling>
        <c:axPos val="b"/>
        <c:numFmt formatCode="General" sourceLinked="1"/>
        <c:majorTickMark val="none"/>
        <c:tickLblPos val="nextTo"/>
        <c:crossAx val="350328704"/>
        <c:crosses val="autoZero"/>
        <c:auto val="1"/>
        <c:lblAlgn val="ctr"/>
        <c:lblOffset val="100"/>
        <c:tickMarkSkip val="2"/>
      </c:catAx>
      <c:valAx>
        <c:axId val="350328704"/>
        <c:scaling>
          <c:orientation val="minMax"/>
        </c:scaling>
        <c:axPos val="l"/>
        <c:majorGridlines/>
        <c:title>
          <c:tx>
            <c:rich>
              <a:bodyPr rot="0" vert="horz"/>
              <a:lstStyle/>
              <a:p>
                <a:pPr>
                  <a:defRPr/>
                </a:pPr>
                <a:r>
                  <a:rPr lang="en-US"/>
                  <a:t>In million</a:t>
                </a:r>
              </a:p>
            </c:rich>
          </c:tx>
          <c:layout>
            <c:manualLayout>
              <c:xMode val="edge"/>
              <c:yMode val="edge"/>
              <c:x val="0"/>
              <c:y val="1.8589419441834848E-4"/>
            </c:manualLayout>
          </c:layout>
        </c:title>
        <c:numFmt formatCode="0.0" sourceLinked="1"/>
        <c:majorTickMark val="none"/>
        <c:tickLblPos val="nextTo"/>
        <c:spPr>
          <a:ln w="9525">
            <a:noFill/>
          </a:ln>
        </c:spPr>
        <c:crossAx val="350327168"/>
        <c:crosses val="autoZero"/>
        <c:crossBetween val="between"/>
        <c:majorUnit val="2"/>
      </c:valAx>
      <c:catAx>
        <c:axId val="350343168"/>
        <c:scaling>
          <c:orientation val="minMax"/>
        </c:scaling>
        <c:delete val="1"/>
        <c:axPos val="b"/>
        <c:numFmt formatCode="General" sourceLinked="1"/>
        <c:tickLblPos val="none"/>
        <c:crossAx val="350344704"/>
        <c:crosses val="autoZero"/>
        <c:auto val="1"/>
        <c:lblAlgn val="ctr"/>
        <c:lblOffset val="100"/>
      </c:catAx>
      <c:valAx>
        <c:axId val="350344704"/>
        <c:scaling>
          <c:orientation val="minMax"/>
        </c:scaling>
        <c:axPos val="r"/>
        <c:title>
          <c:tx>
            <c:rich>
              <a:bodyPr rot="0" vert="horz"/>
              <a:lstStyle/>
              <a:p>
                <a:pPr>
                  <a:defRPr/>
                </a:pPr>
                <a:r>
                  <a:rPr lang="en-US"/>
                  <a:t>%</a:t>
                </a:r>
              </a:p>
            </c:rich>
          </c:tx>
          <c:layout>
            <c:manualLayout>
              <c:xMode val="edge"/>
              <c:yMode val="edge"/>
              <c:x val="0.84737591772185061"/>
              <c:y val="2.7241552938346882E-3"/>
            </c:manualLayout>
          </c:layout>
        </c:title>
        <c:numFmt formatCode="0.0" sourceLinked="1"/>
        <c:tickLblPos val="nextTo"/>
        <c:crossAx val="350343168"/>
        <c:crosses val="max"/>
        <c:crossBetween val="between"/>
        <c:majorUnit val="2"/>
      </c:valAx>
    </c:plotArea>
    <c:legend>
      <c:legendPos val="b"/>
      <c:layout>
        <c:manualLayout>
          <c:xMode val="edge"/>
          <c:yMode val="edge"/>
          <c:x val="3.7287696374909751E-2"/>
          <c:y val="0.84797418281801362"/>
          <c:w val="0.91505287382555434"/>
          <c:h val="0.11532848355896518"/>
        </c:manualLayout>
      </c:layout>
    </c:legend>
    <c:plotVisOnly val="1"/>
    <c:dispBlanksAs val="gap"/>
  </c:chart>
  <c:txPr>
    <a:bodyPr/>
    <a:lstStyle/>
    <a:p>
      <a:pPr>
        <a:defRPr sz="1000"/>
      </a:pPr>
      <a:endParaRPr lang="en-U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manualLayout>
          <c:layoutTarget val="inner"/>
          <c:xMode val="edge"/>
          <c:yMode val="edge"/>
          <c:x val="0.1126374859708197"/>
          <c:y val="3.2343751790851472E-2"/>
          <c:w val="0.83505748650105605"/>
          <c:h val="0.71457421988918191"/>
        </c:manualLayout>
      </c:layout>
      <c:barChart>
        <c:barDir val="col"/>
        <c:grouping val="clustered"/>
        <c:ser>
          <c:idx val="0"/>
          <c:order val="0"/>
          <c:tx>
            <c:strRef>
              <c:f>Comp.Graph2!$A$102</c:f>
              <c:strCache>
                <c:ptCount val="1"/>
                <c:pt idx="0">
                  <c:v>Haor</c:v>
                </c:pt>
              </c:strCache>
            </c:strRef>
          </c:tx>
          <c:cat>
            <c:strRef>
              <c:f>Comp.Graph2!$B$101:$AA$101</c:f>
              <c:strCache>
                <c:ptCount val="4"/>
                <c:pt idx="0">
                  <c:v>FY16</c:v>
                </c:pt>
                <c:pt idx="1">
                  <c:v>FY21</c:v>
                </c:pt>
                <c:pt idx="2">
                  <c:v>FY31</c:v>
                </c:pt>
                <c:pt idx="3">
                  <c:v>FY41</c:v>
                </c:pt>
              </c:strCache>
            </c:strRef>
          </c:cat>
          <c:val>
            <c:numRef>
              <c:f>Comp.Graph2!$B$102:$AA$102</c:f>
              <c:numCache>
                <c:formatCode>0.00</c:formatCode>
                <c:ptCount val="4"/>
                <c:pt idx="0">
                  <c:v>0</c:v>
                </c:pt>
                <c:pt idx="1">
                  <c:v>6.3808033285568722E-2</c:v>
                </c:pt>
                <c:pt idx="2">
                  <c:v>0.32274246448406307</c:v>
                </c:pt>
                <c:pt idx="3">
                  <c:v>0.87384832495835363</c:v>
                </c:pt>
              </c:numCache>
            </c:numRef>
          </c:val>
          <c:extLst xmlns:c16r2="http://schemas.microsoft.com/office/drawing/2015/06/chart">
            <c:ext xmlns:c16="http://schemas.microsoft.com/office/drawing/2014/chart" uri="{C3380CC4-5D6E-409C-BE32-E72D297353CC}">
              <c16:uniqueId val="{00000000-7DB1-4483-B027-D572C4CFA8D1}"/>
            </c:ext>
          </c:extLst>
        </c:ser>
        <c:ser>
          <c:idx val="1"/>
          <c:order val="1"/>
          <c:tx>
            <c:strRef>
              <c:f>Comp.Graph2!$A$103</c:f>
              <c:strCache>
                <c:ptCount val="1"/>
                <c:pt idx="0">
                  <c:v>Coastal</c:v>
                </c:pt>
              </c:strCache>
            </c:strRef>
          </c:tx>
          <c:cat>
            <c:strRef>
              <c:f>Comp.Graph2!$B$101:$AA$101</c:f>
              <c:strCache>
                <c:ptCount val="4"/>
                <c:pt idx="0">
                  <c:v>FY16</c:v>
                </c:pt>
                <c:pt idx="1">
                  <c:v>FY21</c:v>
                </c:pt>
                <c:pt idx="2">
                  <c:v>FY31</c:v>
                </c:pt>
                <c:pt idx="3">
                  <c:v>FY41</c:v>
                </c:pt>
              </c:strCache>
            </c:strRef>
          </c:cat>
          <c:val>
            <c:numRef>
              <c:f>Comp.Graph2!$B$103:$AA$103</c:f>
              <c:numCache>
                <c:formatCode>0.00</c:formatCode>
                <c:ptCount val="4"/>
                <c:pt idx="0">
                  <c:v>0</c:v>
                </c:pt>
                <c:pt idx="1">
                  <c:v>0.1701102017401849</c:v>
                </c:pt>
                <c:pt idx="2">
                  <c:v>0.80027553801692708</c:v>
                </c:pt>
                <c:pt idx="3">
                  <c:v>2.0078683504469992</c:v>
                </c:pt>
              </c:numCache>
            </c:numRef>
          </c:val>
          <c:extLst xmlns:c16r2="http://schemas.microsoft.com/office/drawing/2015/06/chart">
            <c:ext xmlns:c16="http://schemas.microsoft.com/office/drawing/2014/chart" uri="{C3380CC4-5D6E-409C-BE32-E72D297353CC}">
              <c16:uniqueId val="{00000001-7DB1-4483-B027-D572C4CFA8D1}"/>
            </c:ext>
          </c:extLst>
        </c:ser>
        <c:ser>
          <c:idx val="2"/>
          <c:order val="2"/>
          <c:tx>
            <c:strRef>
              <c:f>Comp.Graph2!$A$104</c:f>
              <c:strCache>
                <c:ptCount val="1"/>
                <c:pt idx="0">
                  <c:v>River Estuary</c:v>
                </c:pt>
              </c:strCache>
            </c:strRef>
          </c:tx>
          <c:cat>
            <c:strRef>
              <c:f>Comp.Graph2!$B$101:$AA$101</c:f>
              <c:strCache>
                <c:ptCount val="4"/>
                <c:pt idx="0">
                  <c:v>FY16</c:v>
                </c:pt>
                <c:pt idx="1">
                  <c:v>FY21</c:v>
                </c:pt>
                <c:pt idx="2">
                  <c:v>FY31</c:v>
                </c:pt>
                <c:pt idx="3">
                  <c:v>FY41</c:v>
                </c:pt>
              </c:strCache>
            </c:strRef>
          </c:cat>
          <c:val>
            <c:numRef>
              <c:f>Comp.Graph2!$B$104:$AA$104</c:f>
              <c:numCache>
                <c:formatCode>0.00</c:formatCode>
                <c:ptCount val="4"/>
                <c:pt idx="0">
                  <c:v>0</c:v>
                </c:pt>
                <c:pt idx="1">
                  <c:v>0.22057041533631838</c:v>
                </c:pt>
                <c:pt idx="2">
                  <c:v>1.0670326278749398</c:v>
                </c:pt>
                <c:pt idx="3">
                  <c:v>2.7653385853265666</c:v>
                </c:pt>
              </c:numCache>
            </c:numRef>
          </c:val>
          <c:extLst xmlns:c16r2="http://schemas.microsoft.com/office/drawing/2015/06/chart">
            <c:ext xmlns:c16="http://schemas.microsoft.com/office/drawing/2014/chart" uri="{C3380CC4-5D6E-409C-BE32-E72D297353CC}">
              <c16:uniqueId val="{00000002-7DB1-4483-B027-D572C4CFA8D1}"/>
            </c:ext>
          </c:extLst>
        </c:ser>
        <c:ser>
          <c:idx val="3"/>
          <c:order val="3"/>
          <c:tx>
            <c:strRef>
              <c:f>Comp.Graph2!$A$105</c:f>
              <c:strCache>
                <c:ptCount val="1"/>
                <c:pt idx="0">
                  <c:v>Drought</c:v>
                </c:pt>
              </c:strCache>
            </c:strRef>
          </c:tx>
          <c:cat>
            <c:strRef>
              <c:f>Comp.Graph2!$B$101:$AA$101</c:f>
              <c:strCache>
                <c:ptCount val="4"/>
                <c:pt idx="0">
                  <c:v>FY16</c:v>
                </c:pt>
                <c:pt idx="1">
                  <c:v>FY21</c:v>
                </c:pt>
                <c:pt idx="2">
                  <c:v>FY31</c:v>
                </c:pt>
                <c:pt idx="3">
                  <c:v>FY41</c:v>
                </c:pt>
              </c:strCache>
            </c:strRef>
          </c:cat>
          <c:val>
            <c:numRef>
              <c:f>Comp.Graph2!$B$105:$AA$105</c:f>
              <c:numCache>
                <c:formatCode>0.00</c:formatCode>
                <c:ptCount val="4"/>
                <c:pt idx="0">
                  <c:v>0</c:v>
                </c:pt>
                <c:pt idx="1">
                  <c:v>6.2919463121083111E-2</c:v>
                </c:pt>
                <c:pt idx="2">
                  <c:v>0.30560953250906991</c:v>
                </c:pt>
                <c:pt idx="3">
                  <c:v>0.79532064441628481</c:v>
                </c:pt>
              </c:numCache>
            </c:numRef>
          </c:val>
          <c:extLst xmlns:c16r2="http://schemas.microsoft.com/office/drawing/2015/06/chart">
            <c:ext xmlns:c16="http://schemas.microsoft.com/office/drawing/2014/chart" uri="{C3380CC4-5D6E-409C-BE32-E72D297353CC}">
              <c16:uniqueId val="{00000003-7DB1-4483-B027-D572C4CFA8D1}"/>
            </c:ext>
          </c:extLst>
        </c:ser>
        <c:ser>
          <c:idx val="4"/>
          <c:order val="4"/>
          <c:tx>
            <c:strRef>
              <c:f>Comp.Graph2!$A$106</c:f>
              <c:strCache>
                <c:ptCount val="1"/>
                <c:pt idx="0">
                  <c:v>Chittagong Hill Tract</c:v>
                </c:pt>
              </c:strCache>
            </c:strRef>
          </c:tx>
          <c:cat>
            <c:strRef>
              <c:f>Comp.Graph2!$B$101:$AA$101</c:f>
              <c:strCache>
                <c:ptCount val="4"/>
                <c:pt idx="0">
                  <c:v>FY16</c:v>
                </c:pt>
                <c:pt idx="1">
                  <c:v>FY21</c:v>
                </c:pt>
                <c:pt idx="2">
                  <c:v>FY31</c:v>
                </c:pt>
                <c:pt idx="3">
                  <c:v>FY41</c:v>
                </c:pt>
              </c:strCache>
            </c:strRef>
          </c:cat>
          <c:val>
            <c:numRef>
              <c:f>Comp.Graph2!$B$106:$AA$106</c:f>
              <c:numCache>
                <c:formatCode>0.00</c:formatCode>
                <c:ptCount val="4"/>
                <c:pt idx="0">
                  <c:v>0</c:v>
                </c:pt>
                <c:pt idx="1">
                  <c:v>8.2876734065322789E-3</c:v>
                </c:pt>
                <c:pt idx="2">
                  <c:v>4.4331260208114183E-2</c:v>
                </c:pt>
                <c:pt idx="3">
                  <c:v>0.12613791742202071</c:v>
                </c:pt>
              </c:numCache>
            </c:numRef>
          </c:val>
          <c:extLst xmlns:c16r2="http://schemas.microsoft.com/office/drawing/2015/06/chart">
            <c:ext xmlns:c16="http://schemas.microsoft.com/office/drawing/2014/chart" uri="{C3380CC4-5D6E-409C-BE32-E72D297353CC}">
              <c16:uniqueId val="{00000004-7DB1-4483-B027-D572C4CFA8D1}"/>
            </c:ext>
          </c:extLst>
        </c:ser>
        <c:ser>
          <c:idx val="5"/>
          <c:order val="5"/>
          <c:tx>
            <c:strRef>
              <c:f>Comp.Graph2!$A$107</c:f>
              <c:strCache>
                <c:ptCount val="1"/>
                <c:pt idx="0">
                  <c:v>Urban</c:v>
                </c:pt>
              </c:strCache>
            </c:strRef>
          </c:tx>
          <c:cat>
            <c:strRef>
              <c:f>Comp.Graph2!$B$101:$AA$101</c:f>
              <c:strCache>
                <c:ptCount val="4"/>
                <c:pt idx="0">
                  <c:v>FY16</c:v>
                </c:pt>
                <c:pt idx="1">
                  <c:v>FY21</c:v>
                </c:pt>
                <c:pt idx="2">
                  <c:v>FY31</c:v>
                </c:pt>
                <c:pt idx="3">
                  <c:v>FY41</c:v>
                </c:pt>
              </c:strCache>
            </c:strRef>
          </c:cat>
          <c:val>
            <c:numRef>
              <c:f>Comp.Graph2!$B$107:$AA$107</c:f>
              <c:numCache>
                <c:formatCode>0.00</c:formatCode>
                <c:ptCount val="4"/>
                <c:pt idx="0">
                  <c:v>0</c:v>
                </c:pt>
                <c:pt idx="1">
                  <c:v>8.1767883451268966E-2</c:v>
                </c:pt>
                <c:pt idx="2">
                  <c:v>0.43321155710684467</c:v>
                </c:pt>
                <c:pt idx="3">
                  <c:v>1.2274388997415513</c:v>
                </c:pt>
              </c:numCache>
            </c:numRef>
          </c:val>
          <c:extLst xmlns:c16r2="http://schemas.microsoft.com/office/drawing/2015/06/chart">
            <c:ext xmlns:c16="http://schemas.microsoft.com/office/drawing/2014/chart" uri="{C3380CC4-5D6E-409C-BE32-E72D297353CC}">
              <c16:uniqueId val="{00000005-7DB1-4483-B027-D572C4CFA8D1}"/>
            </c:ext>
          </c:extLst>
        </c:ser>
        <c:ser>
          <c:idx val="6"/>
          <c:order val="6"/>
          <c:tx>
            <c:strRef>
              <c:f>Comp.Graph2!$A$108</c:f>
              <c:strCache>
                <c:ptCount val="1"/>
                <c:pt idx="0">
                  <c:v>Less Disaster Prone Region</c:v>
                </c:pt>
              </c:strCache>
            </c:strRef>
          </c:tx>
          <c:cat>
            <c:strRef>
              <c:f>Comp.Graph2!$B$101:$AA$101</c:f>
              <c:strCache>
                <c:ptCount val="4"/>
                <c:pt idx="0">
                  <c:v>FY16</c:v>
                </c:pt>
                <c:pt idx="1">
                  <c:v>FY21</c:v>
                </c:pt>
                <c:pt idx="2">
                  <c:v>FY31</c:v>
                </c:pt>
                <c:pt idx="3">
                  <c:v>FY41</c:v>
                </c:pt>
              </c:strCache>
            </c:strRef>
          </c:cat>
          <c:val>
            <c:numRef>
              <c:f>Comp.Graph2!$B$108:$AA$108</c:f>
              <c:numCache>
                <c:formatCode>0.00</c:formatCode>
                <c:ptCount val="4"/>
                <c:pt idx="0">
                  <c:v>0</c:v>
                </c:pt>
                <c:pt idx="1">
                  <c:v>3.9815454166347346E-2</c:v>
                </c:pt>
                <c:pt idx="2">
                  <c:v>0.20620363962463639</c:v>
                </c:pt>
                <c:pt idx="3">
                  <c:v>0.57214673777889002</c:v>
                </c:pt>
              </c:numCache>
            </c:numRef>
          </c:val>
          <c:extLst xmlns:c16r2="http://schemas.microsoft.com/office/drawing/2015/06/chart">
            <c:ext xmlns:c16="http://schemas.microsoft.com/office/drawing/2014/chart" uri="{C3380CC4-5D6E-409C-BE32-E72D297353CC}">
              <c16:uniqueId val="{00000006-7DB1-4483-B027-D572C4CFA8D1}"/>
            </c:ext>
          </c:extLst>
        </c:ser>
        <c:gapWidth val="75"/>
        <c:overlap val="-25"/>
        <c:axId val="350401280"/>
        <c:axId val="350402816"/>
      </c:barChart>
      <c:catAx>
        <c:axId val="350401280"/>
        <c:scaling>
          <c:orientation val="minMax"/>
        </c:scaling>
        <c:axPos val="b"/>
        <c:numFmt formatCode="General" sourceLinked="0"/>
        <c:majorTickMark val="none"/>
        <c:tickLblPos val="nextTo"/>
        <c:txPr>
          <a:bodyPr/>
          <a:lstStyle/>
          <a:p>
            <a:pPr>
              <a:defRPr sz="900"/>
            </a:pPr>
            <a:endParaRPr lang="en-US"/>
          </a:p>
        </c:txPr>
        <c:crossAx val="350402816"/>
        <c:crosses val="autoZero"/>
        <c:auto val="1"/>
        <c:lblAlgn val="ctr"/>
        <c:lblOffset val="100"/>
      </c:catAx>
      <c:valAx>
        <c:axId val="350402816"/>
        <c:scaling>
          <c:orientation val="minMax"/>
        </c:scaling>
        <c:axPos val="l"/>
        <c:majorGridlines/>
        <c:numFmt formatCode="0.00" sourceLinked="1"/>
        <c:majorTickMark val="none"/>
        <c:tickLblPos val="nextTo"/>
        <c:spPr>
          <a:ln w="9525">
            <a:noFill/>
          </a:ln>
        </c:spPr>
        <c:txPr>
          <a:bodyPr/>
          <a:lstStyle/>
          <a:p>
            <a:pPr>
              <a:defRPr sz="900"/>
            </a:pPr>
            <a:endParaRPr lang="en-US"/>
          </a:p>
        </c:txPr>
        <c:crossAx val="350401280"/>
        <c:crosses val="autoZero"/>
        <c:crossBetween val="between"/>
      </c:valAx>
      <c:spPr>
        <a:ln>
          <a:solidFill>
            <a:sysClr val="windowText" lastClr="000000"/>
          </a:solidFill>
        </a:ln>
      </c:spPr>
    </c:plotArea>
    <c:legend>
      <c:legendPos val="b"/>
      <c:layout>
        <c:manualLayout>
          <c:xMode val="edge"/>
          <c:yMode val="edge"/>
          <c:x val="5.9101654846335921E-2"/>
          <c:y val="0.82376057159521732"/>
          <c:w val="0.9024243312671022"/>
          <c:h val="0.17522269943529814"/>
        </c:manualLayout>
      </c:layout>
      <c:txPr>
        <a:bodyPr/>
        <a:lstStyle/>
        <a:p>
          <a:pPr>
            <a:defRPr lang="en-US" sz="800">
              <a:latin typeface="Arial" panose="020B0604020202020204" pitchFamily="34" charset="0"/>
              <a:cs typeface="Arial" panose="020B0604020202020204" pitchFamily="34" charset="0"/>
            </a:defRPr>
          </a:pPr>
          <a:endParaRPr lang="en-US"/>
        </a:p>
      </c:txPr>
    </c:legend>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en-AU"/>
  <c:style val="3"/>
  <c:chart>
    <c:autoTitleDeleted val="1"/>
    <c:plotArea>
      <c:layout>
        <c:manualLayout>
          <c:layoutTarget val="inner"/>
          <c:xMode val="edge"/>
          <c:yMode val="edge"/>
          <c:x val="0.14345161854768154"/>
          <c:y val="9.6466750067456516E-2"/>
          <c:w val="0.7266890638670167"/>
          <c:h val="0.5643535212304065"/>
        </c:manualLayout>
      </c:layout>
      <c:barChart>
        <c:barDir val="col"/>
        <c:grouping val="clustered"/>
        <c:ser>
          <c:idx val="1"/>
          <c:order val="1"/>
          <c:tx>
            <c:strRef>
              <c:f>Comp.graph!$B$127</c:f>
              <c:strCache>
                <c:ptCount val="1"/>
                <c:pt idx="0">
                  <c:v>Population under upper poverty line, in million</c:v>
                </c:pt>
              </c:strCache>
            </c:strRef>
          </c:tx>
          <c:dLbls>
            <c:dLbl>
              <c:idx val="0"/>
              <c:showVal val="1"/>
              <c:extLst xmlns:c16r2="http://schemas.microsoft.com/office/drawing/2015/06/chart">
                <c:ext xmlns:c16="http://schemas.microsoft.com/office/drawing/2014/chart" uri="{C3380CC4-5D6E-409C-BE32-E72D297353CC}">
                  <c16:uniqueId val="{00000000-A7EE-4AA9-981D-D92B7D80992F}"/>
                </c:ext>
                <c:ext xmlns:c15="http://schemas.microsoft.com/office/drawing/2012/chart" uri="{CE6537A1-D6FC-4f65-9D91-7224C49458BB}">
                  <c15:layout/>
                </c:ext>
              </c:extLst>
            </c:dLbl>
            <c:dLbl>
              <c:idx val="15"/>
              <c:layout>
                <c:manualLayout>
                  <c:x val="0"/>
                  <c:y val="1.2461059190031164E-2"/>
                </c:manualLayout>
              </c:layout>
              <c:showVal val="1"/>
              <c:extLst xmlns:c16r2="http://schemas.microsoft.com/office/drawing/2015/06/chart">
                <c:ext xmlns:c16="http://schemas.microsoft.com/office/drawing/2014/chart" uri="{C3380CC4-5D6E-409C-BE32-E72D297353CC}">
                  <c16:uniqueId val="{00000001-A7EE-4AA9-981D-D92B7D80992F}"/>
                </c:ext>
                <c:ext xmlns:c15="http://schemas.microsoft.com/office/drawing/2012/chart" uri="{CE6537A1-D6FC-4f65-9D91-7224C49458BB}">
                  <c15:layout/>
                </c:ext>
              </c:extLst>
            </c:dLbl>
            <c:dLbl>
              <c:idx val="25"/>
              <c:layout>
                <c:manualLayout>
                  <c:x val="-4.4444444444444514E-3"/>
                  <c:y val="2.4922118380062312E-2"/>
                </c:manualLayout>
              </c:layout>
              <c:showVal val="1"/>
              <c:extLst xmlns:c16r2="http://schemas.microsoft.com/office/drawing/2015/06/chart">
                <c:ext xmlns:c16="http://schemas.microsoft.com/office/drawing/2014/chart" uri="{C3380CC4-5D6E-409C-BE32-E72D297353CC}">
                  <c16:uniqueId val="{00000002-A7EE-4AA9-981D-D92B7D80992F}"/>
                </c:ext>
                <c:ext xmlns:c15="http://schemas.microsoft.com/office/drawing/2012/chart" uri="{CE6537A1-D6FC-4f65-9D91-7224C49458BB}">
                  <c15:layout/>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Comp.graph!$C$125:$AB$125</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Comp.graph!$C$127:$AB$127</c:f>
              <c:numCache>
                <c:formatCode>0.0</c:formatCode>
                <c:ptCount val="26"/>
                <c:pt idx="0">
                  <c:v>33.7225488480004</c:v>
                </c:pt>
                <c:pt idx="1">
                  <c:v>33.024481369352891</c:v>
                </c:pt>
                <c:pt idx="2">
                  <c:v>32.309235686806723</c:v>
                </c:pt>
                <c:pt idx="3">
                  <c:v>31.62161145400119</c:v>
                </c:pt>
                <c:pt idx="4">
                  <c:v>30.887379446563248</c:v>
                </c:pt>
                <c:pt idx="5">
                  <c:v>30.157314085473928</c:v>
                </c:pt>
                <c:pt idx="6">
                  <c:v>29.43228973358173</c:v>
                </c:pt>
                <c:pt idx="7">
                  <c:v>28.805119414071886</c:v>
                </c:pt>
                <c:pt idx="8">
                  <c:v>28.18121334389787</c:v>
                </c:pt>
                <c:pt idx="9">
                  <c:v>27.561774813958827</c:v>
                </c:pt>
                <c:pt idx="10">
                  <c:v>26.947428364827829</c:v>
                </c:pt>
                <c:pt idx="11">
                  <c:v>26.506135238514009</c:v>
                </c:pt>
                <c:pt idx="12">
                  <c:v>26.064356987934186</c:v>
                </c:pt>
                <c:pt idx="13">
                  <c:v>25.623016454975673</c:v>
                </c:pt>
                <c:pt idx="14">
                  <c:v>25.183029078686289</c:v>
                </c:pt>
                <c:pt idx="15">
                  <c:v>24.899256262183229</c:v>
                </c:pt>
                <c:pt idx="16">
                  <c:v>24.613126520329228</c:v>
                </c:pt>
                <c:pt idx="17">
                  <c:v>24.325476070096919</c:v>
                </c:pt>
                <c:pt idx="18">
                  <c:v>24.037191683710535</c:v>
                </c:pt>
                <c:pt idx="19">
                  <c:v>23.8201241278209</c:v>
                </c:pt>
                <c:pt idx="20">
                  <c:v>23.601784532869729</c:v>
                </c:pt>
                <c:pt idx="21">
                  <c:v>23.383010868582026</c:v>
                </c:pt>
                <c:pt idx="22">
                  <c:v>23.164797972153789</c:v>
                </c:pt>
                <c:pt idx="23">
                  <c:v>23.012176221067289</c:v>
                </c:pt>
                <c:pt idx="24">
                  <c:v>22.859749740441124</c:v>
                </c:pt>
                <c:pt idx="25">
                  <c:v>22.708428481784679</c:v>
                </c:pt>
              </c:numCache>
            </c:numRef>
          </c:val>
          <c:extLst xmlns:c16r2="http://schemas.microsoft.com/office/drawing/2015/06/chart">
            <c:ext xmlns:c16="http://schemas.microsoft.com/office/drawing/2014/chart" uri="{C3380CC4-5D6E-409C-BE32-E72D297353CC}">
              <c16:uniqueId val="{00000003-A7EE-4AA9-981D-D92B7D80992F}"/>
            </c:ext>
          </c:extLst>
        </c:ser>
        <c:gapWidth val="75"/>
        <c:axId val="350435200"/>
        <c:axId val="350436736"/>
      </c:barChart>
      <c:lineChart>
        <c:grouping val="standard"/>
        <c:ser>
          <c:idx val="0"/>
          <c:order val="0"/>
          <c:tx>
            <c:strRef>
              <c:f>Comp.graph!$B$126</c:f>
              <c:strCache>
                <c:ptCount val="1"/>
                <c:pt idx="0">
                  <c:v>Headcount Poverty Ratio (BAU)</c:v>
                </c:pt>
              </c:strCache>
            </c:strRef>
          </c:tx>
          <c:marker>
            <c:symbol val="none"/>
          </c:marker>
          <c:cat>
            <c:strRef>
              <c:f>Comp.graph!$C$125:$AB$125</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Comp.graph!$C$126:$AB$126</c:f>
              <c:numCache>
                <c:formatCode>0.0</c:formatCode>
                <c:ptCount val="26"/>
                <c:pt idx="0">
                  <c:v>20.7</c:v>
                </c:pt>
                <c:pt idx="1">
                  <c:v>20.035757195493733</c:v>
                </c:pt>
                <c:pt idx="2">
                  <c:v>19.37762890611754</c:v>
                </c:pt>
                <c:pt idx="3">
                  <c:v>18.753391809226017</c:v>
                </c:pt>
                <c:pt idx="4">
                  <c:v>18.119295198852068</c:v>
                </c:pt>
                <c:pt idx="5">
                  <c:v>17.505390765118744</c:v>
                </c:pt>
                <c:pt idx="6">
                  <c:v>16.911332858291029</c:v>
                </c:pt>
                <c:pt idx="7">
                  <c:v>16.38904140895438</c:v>
                </c:pt>
                <c:pt idx="8">
                  <c:v>15.882703128869942</c:v>
                </c:pt>
                <c:pt idx="9">
                  <c:v>15.392189951719025</c:v>
                </c:pt>
                <c:pt idx="10">
                  <c:v>14.917261203838358</c:v>
                </c:pt>
                <c:pt idx="11">
                  <c:v>14.549582038691376</c:v>
                </c:pt>
                <c:pt idx="12">
                  <c:v>14.191772469589848</c:v>
                </c:pt>
                <c:pt idx="13">
                  <c:v>13.8438588321154</c:v>
                </c:pt>
                <c:pt idx="14">
                  <c:v>13.505868668676246</c:v>
                </c:pt>
                <c:pt idx="15">
                  <c:v>13.259838542735382</c:v>
                </c:pt>
                <c:pt idx="16">
                  <c:v>13.019813856567282</c:v>
                </c:pt>
                <c:pt idx="17">
                  <c:v>12.785932168352581</c:v>
                </c:pt>
                <c:pt idx="18">
                  <c:v>12.558348052695168</c:v>
                </c:pt>
                <c:pt idx="19">
                  <c:v>12.374083063701494</c:v>
                </c:pt>
                <c:pt idx="20">
                  <c:v>12.194819760923098</c:v>
                </c:pt>
                <c:pt idx="21">
                  <c:v>12.02076655142015</c:v>
                </c:pt>
                <c:pt idx="22">
                  <c:v>11.852167716248353</c:v>
                </c:pt>
                <c:pt idx="23">
                  <c:v>11.721873202458731</c:v>
                </c:pt>
                <c:pt idx="24">
                  <c:v>11.596057212387691</c:v>
                </c:pt>
                <c:pt idx="25">
                  <c:v>11.475278428311018</c:v>
                </c:pt>
              </c:numCache>
            </c:numRef>
          </c:val>
          <c:extLst xmlns:c16r2="http://schemas.microsoft.com/office/drawing/2015/06/chart">
            <c:ext xmlns:c16="http://schemas.microsoft.com/office/drawing/2014/chart" uri="{C3380CC4-5D6E-409C-BE32-E72D297353CC}">
              <c16:uniqueId val="{00000004-A7EE-4AA9-981D-D92B7D80992F}"/>
            </c:ext>
          </c:extLst>
        </c:ser>
        <c:marker val="1"/>
        <c:axId val="350449024"/>
        <c:axId val="350447104"/>
      </c:lineChart>
      <c:catAx>
        <c:axId val="350435200"/>
        <c:scaling>
          <c:orientation val="minMax"/>
        </c:scaling>
        <c:axPos val="b"/>
        <c:numFmt formatCode="General" sourceLinked="0"/>
        <c:majorTickMark val="none"/>
        <c:tickLblPos val="nextTo"/>
        <c:txPr>
          <a:bodyPr/>
          <a:lstStyle/>
          <a:p>
            <a:pPr>
              <a:defRPr sz="500" b="1">
                <a:latin typeface="+mj-lt"/>
              </a:defRPr>
            </a:pPr>
            <a:endParaRPr lang="en-US"/>
          </a:p>
        </c:txPr>
        <c:crossAx val="350436736"/>
        <c:crosses val="autoZero"/>
        <c:auto val="1"/>
        <c:lblAlgn val="ctr"/>
        <c:lblOffset val="100"/>
        <c:tickLblSkip val="2"/>
      </c:catAx>
      <c:valAx>
        <c:axId val="350436736"/>
        <c:scaling>
          <c:orientation val="minMax"/>
        </c:scaling>
        <c:axPos val="l"/>
        <c:majorGridlines/>
        <c:title>
          <c:tx>
            <c:rich>
              <a:bodyPr rot="0" vert="horz"/>
              <a:lstStyle/>
              <a:p>
                <a:pPr>
                  <a:defRPr sz="700"/>
                </a:pPr>
                <a:r>
                  <a:rPr lang="en-US" sz="700"/>
                  <a:t>In</a:t>
                </a:r>
                <a:r>
                  <a:rPr lang="en-US" sz="700" baseline="0"/>
                  <a:t> m</a:t>
                </a:r>
                <a:r>
                  <a:rPr lang="en-US" sz="700"/>
                  <a:t>illion</a:t>
                </a:r>
              </a:p>
            </c:rich>
          </c:tx>
          <c:layout>
            <c:manualLayout>
              <c:xMode val="edge"/>
              <c:yMode val="edge"/>
              <c:x val="3.1111111111111225E-2"/>
              <c:y val="3.4410184708219891E-3"/>
            </c:manualLayout>
          </c:layout>
        </c:title>
        <c:numFmt formatCode="0" sourceLinked="0"/>
        <c:majorTickMark val="none"/>
        <c:tickLblPos val="nextTo"/>
        <c:spPr>
          <a:ln w="9525">
            <a:noFill/>
          </a:ln>
        </c:spPr>
        <c:txPr>
          <a:bodyPr/>
          <a:lstStyle/>
          <a:p>
            <a:pPr>
              <a:defRPr sz="700"/>
            </a:pPr>
            <a:endParaRPr lang="en-US"/>
          </a:p>
        </c:txPr>
        <c:crossAx val="350435200"/>
        <c:crosses val="autoZero"/>
        <c:crossBetween val="between"/>
        <c:majorUnit val="10"/>
      </c:valAx>
      <c:valAx>
        <c:axId val="350447104"/>
        <c:scaling>
          <c:orientation val="minMax"/>
        </c:scaling>
        <c:axPos val="r"/>
        <c:title>
          <c:tx>
            <c:rich>
              <a:bodyPr rot="0" vert="horz"/>
              <a:lstStyle/>
              <a:p>
                <a:pPr>
                  <a:defRPr sz="800"/>
                </a:pPr>
                <a:r>
                  <a:rPr lang="en-US" sz="800"/>
                  <a:t>Percent</a:t>
                </a:r>
              </a:p>
            </c:rich>
          </c:tx>
          <c:layout>
            <c:manualLayout>
              <c:xMode val="edge"/>
              <c:yMode val="edge"/>
              <c:x val="0.80553315835520556"/>
              <c:y val="4.8863050997130326E-3"/>
            </c:manualLayout>
          </c:layout>
        </c:title>
        <c:numFmt formatCode="0" sourceLinked="0"/>
        <c:tickLblPos val="nextTo"/>
        <c:txPr>
          <a:bodyPr/>
          <a:lstStyle/>
          <a:p>
            <a:pPr>
              <a:defRPr sz="800"/>
            </a:pPr>
            <a:endParaRPr lang="en-US"/>
          </a:p>
        </c:txPr>
        <c:crossAx val="350449024"/>
        <c:crosses val="max"/>
        <c:crossBetween val="between"/>
        <c:majorUnit val="10"/>
      </c:valAx>
      <c:catAx>
        <c:axId val="350449024"/>
        <c:scaling>
          <c:orientation val="minMax"/>
        </c:scaling>
        <c:delete val="1"/>
        <c:axPos val="b"/>
        <c:numFmt formatCode="General" sourceLinked="1"/>
        <c:tickLblPos val="none"/>
        <c:crossAx val="350447104"/>
        <c:crosses val="autoZero"/>
        <c:auto val="1"/>
        <c:lblAlgn val="ctr"/>
        <c:lblOffset val="100"/>
      </c:catAx>
    </c:plotArea>
    <c:legend>
      <c:legendPos val="b"/>
      <c:layout>
        <c:manualLayout>
          <c:xMode val="edge"/>
          <c:yMode val="edge"/>
          <c:x val="8.9077515310586247E-2"/>
          <c:y val="0.8064650329923716"/>
          <c:w val="0.82184461942257736"/>
          <c:h val="0.15615178943753541"/>
        </c:manualLayout>
      </c:layout>
      <c:txPr>
        <a:bodyPr/>
        <a:lstStyle/>
        <a:p>
          <a:pPr>
            <a:defRPr sz="700"/>
          </a:pPr>
          <a:endParaRPr lang="en-US"/>
        </a:p>
      </c:txPr>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en-AU"/>
  <c:style val="3"/>
  <c:chart>
    <c:autoTitleDeleted val="1"/>
    <c:plotArea>
      <c:layout>
        <c:manualLayout>
          <c:layoutTarget val="inner"/>
          <c:xMode val="edge"/>
          <c:yMode val="edge"/>
          <c:x val="0.13520007025144171"/>
          <c:y val="0.1394580243756614"/>
          <c:w val="0.74043809579564557"/>
          <c:h val="0.56314816152568081"/>
        </c:manualLayout>
      </c:layout>
      <c:barChart>
        <c:barDir val="col"/>
        <c:grouping val="clustered"/>
        <c:ser>
          <c:idx val="1"/>
          <c:order val="1"/>
          <c:tx>
            <c:strRef>
              <c:f>Comp.graph!$B$133</c:f>
              <c:strCache>
                <c:ptCount val="1"/>
                <c:pt idx="0">
                  <c:v>Population under lower poverty line, in million</c:v>
                </c:pt>
              </c:strCache>
            </c:strRef>
          </c:tx>
          <c:cat>
            <c:strRef>
              <c:f>Comp.graph!$C$131:$AB$131</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Comp.graph!$C$133:$AB$133</c:f>
              <c:numCache>
                <c:formatCode>0.0</c:formatCode>
                <c:ptCount val="26"/>
                <c:pt idx="0">
                  <c:v>19.712214543999888</c:v>
                </c:pt>
                <c:pt idx="1">
                  <c:v>18.877506478207142</c:v>
                </c:pt>
                <c:pt idx="2">
                  <c:v>18.050485547207142</c:v>
                </c:pt>
                <c:pt idx="3">
                  <c:v>17.18519075898352</c:v>
                </c:pt>
                <c:pt idx="4">
                  <c:v>16.305527499556813</c:v>
                </c:pt>
                <c:pt idx="5">
                  <c:v>15.463325013567674</c:v>
                </c:pt>
                <c:pt idx="6">
                  <c:v>14.657819317094274</c:v>
                </c:pt>
                <c:pt idx="7">
                  <c:v>13.888310555727855</c:v>
                </c:pt>
                <c:pt idx="8">
                  <c:v>13.154328522170706</c:v>
                </c:pt>
                <c:pt idx="9">
                  <c:v>12.455205605943124</c:v>
                </c:pt>
                <c:pt idx="10">
                  <c:v>11.789877447893398</c:v>
                </c:pt>
                <c:pt idx="11">
                  <c:v>11.157215186377618</c:v>
                </c:pt>
                <c:pt idx="12">
                  <c:v>10.556338994762589</c:v>
                </c:pt>
                <c:pt idx="13">
                  <c:v>9.9863884851688809</c:v>
                </c:pt>
                <c:pt idx="14">
                  <c:v>9.4464731571223037</c:v>
                </c:pt>
                <c:pt idx="15">
                  <c:v>8.9356600917899609</c:v>
                </c:pt>
                <c:pt idx="16">
                  <c:v>8.4530185210813205</c:v>
                </c:pt>
                <c:pt idx="17">
                  <c:v>7.9976573780414855</c:v>
                </c:pt>
                <c:pt idx="18">
                  <c:v>7.5687030733300986</c:v>
                </c:pt>
                <c:pt idx="19">
                  <c:v>7.165286102865366</c:v>
                </c:pt>
                <c:pt idx="20">
                  <c:v>6.7865160390261945</c:v>
                </c:pt>
                <c:pt idx="21">
                  <c:v>6.4315482933985741</c:v>
                </c:pt>
                <c:pt idx="22">
                  <c:v>6.0996205647883484</c:v>
                </c:pt>
                <c:pt idx="23">
                  <c:v>5.7900185078262298</c:v>
                </c:pt>
                <c:pt idx="24">
                  <c:v>5.5020470736215117</c:v>
                </c:pt>
                <c:pt idx="25">
                  <c:v>5.2355203258426553</c:v>
                </c:pt>
              </c:numCache>
            </c:numRef>
          </c:val>
          <c:extLst xmlns:c16r2="http://schemas.microsoft.com/office/drawing/2015/06/chart">
            <c:ext xmlns:c16="http://schemas.microsoft.com/office/drawing/2014/chart" uri="{C3380CC4-5D6E-409C-BE32-E72D297353CC}">
              <c16:uniqueId val="{00000000-506D-416E-A8E3-0E0185FBF401}"/>
            </c:ext>
          </c:extLst>
        </c:ser>
        <c:gapWidth val="75"/>
        <c:axId val="350492160"/>
        <c:axId val="350493696"/>
      </c:barChart>
      <c:lineChart>
        <c:grouping val="standard"/>
        <c:ser>
          <c:idx val="0"/>
          <c:order val="0"/>
          <c:tx>
            <c:strRef>
              <c:f>Comp.graph!$B$132</c:f>
              <c:strCache>
                <c:ptCount val="1"/>
                <c:pt idx="0">
                  <c:v>Headcount Poverty Ratio (BAU)</c:v>
                </c:pt>
              </c:strCache>
            </c:strRef>
          </c:tx>
          <c:marker>
            <c:symbol val="none"/>
          </c:marker>
          <c:cat>
            <c:strRef>
              <c:f>Comp.graph!$C$131:$AB$131</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Comp.graph!$C$132:$AB$132</c:f>
              <c:numCache>
                <c:formatCode>0.0</c:formatCode>
                <c:ptCount val="26"/>
                <c:pt idx="0">
                  <c:v>12.1</c:v>
                </c:pt>
                <c:pt idx="1">
                  <c:v>11.45287134182562</c:v>
                </c:pt>
                <c:pt idx="2">
                  <c:v>10.825870778857412</c:v>
                </c:pt>
                <c:pt idx="3">
                  <c:v>10.191783429137319</c:v>
                </c:pt>
                <c:pt idx="4">
                  <c:v>9.5652228007429727</c:v>
                </c:pt>
                <c:pt idx="5">
                  <c:v>8.9759832763397522</c:v>
                </c:pt>
                <c:pt idx="6">
                  <c:v>8.4221534814954389</c:v>
                </c:pt>
                <c:pt idx="7">
                  <c:v>7.9019320672229876</c:v>
                </c:pt>
                <c:pt idx="8">
                  <c:v>7.4136727978216843</c:v>
                </c:pt>
                <c:pt idx="9">
                  <c:v>6.9557527361154055</c:v>
                </c:pt>
                <c:pt idx="10">
                  <c:v>6.5265107701713276</c:v>
                </c:pt>
                <c:pt idx="11">
                  <c:v>6.1243488051649644</c:v>
                </c:pt>
                <c:pt idx="12">
                  <c:v>5.7478172661186617</c:v>
                </c:pt>
                <c:pt idx="13">
                  <c:v>5.3955455507851919</c:v>
                </c:pt>
                <c:pt idx="14">
                  <c:v>5.0662223930102828</c:v>
                </c:pt>
                <c:pt idx="15">
                  <c:v>4.7585923387540197</c:v>
                </c:pt>
                <c:pt idx="16">
                  <c:v>4.4714647519360113</c:v>
                </c:pt>
                <c:pt idx="17">
                  <c:v>4.2037205950952536</c:v>
                </c:pt>
                <c:pt idx="18">
                  <c:v>3.9543058420920691</c:v>
                </c:pt>
                <c:pt idx="19">
                  <c:v>3.7222243232765684</c:v>
                </c:pt>
                <c:pt idx="20">
                  <c:v>3.5065289145945577</c:v>
                </c:pt>
                <c:pt idx="21">
                  <c:v>3.3063381372758367</c:v>
                </c:pt>
                <c:pt idx="22">
                  <c:v>3.1208442234744247</c:v>
                </c:pt>
                <c:pt idx="23">
                  <c:v>2.9493022362002934</c:v>
                </c:pt>
                <c:pt idx="24">
                  <c:v>2.791021484285658</c:v>
                </c:pt>
                <c:pt idx="25">
                  <c:v>2.6456720025481983</c:v>
                </c:pt>
              </c:numCache>
            </c:numRef>
          </c:val>
          <c:extLst xmlns:c16r2="http://schemas.microsoft.com/office/drawing/2015/06/chart">
            <c:ext xmlns:c16="http://schemas.microsoft.com/office/drawing/2014/chart" uri="{C3380CC4-5D6E-409C-BE32-E72D297353CC}">
              <c16:uniqueId val="{00000001-506D-416E-A8E3-0E0185FBF401}"/>
            </c:ext>
          </c:extLst>
        </c:ser>
        <c:marker val="1"/>
        <c:axId val="350510080"/>
        <c:axId val="350508160"/>
      </c:lineChart>
      <c:catAx>
        <c:axId val="350492160"/>
        <c:scaling>
          <c:orientation val="minMax"/>
        </c:scaling>
        <c:axPos val="b"/>
        <c:numFmt formatCode="General" sourceLinked="0"/>
        <c:majorTickMark val="none"/>
        <c:tickLblPos val="nextTo"/>
        <c:txPr>
          <a:bodyPr/>
          <a:lstStyle/>
          <a:p>
            <a:pPr>
              <a:defRPr sz="600" b="1">
                <a:latin typeface="+mj-lt"/>
              </a:defRPr>
            </a:pPr>
            <a:endParaRPr lang="en-US"/>
          </a:p>
        </c:txPr>
        <c:crossAx val="350493696"/>
        <c:crosses val="autoZero"/>
        <c:auto val="1"/>
        <c:lblAlgn val="ctr"/>
        <c:lblOffset val="100"/>
        <c:tickLblSkip val="2"/>
      </c:catAx>
      <c:valAx>
        <c:axId val="350493696"/>
        <c:scaling>
          <c:orientation val="minMax"/>
        </c:scaling>
        <c:axPos val="l"/>
        <c:majorGridlines/>
        <c:title>
          <c:tx>
            <c:rich>
              <a:bodyPr rot="0" vert="horz"/>
              <a:lstStyle/>
              <a:p>
                <a:pPr>
                  <a:defRPr sz="700"/>
                </a:pPr>
                <a:r>
                  <a:rPr lang="en-US" sz="700"/>
                  <a:t>In</a:t>
                </a:r>
                <a:r>
                  <a:rPr lang="en-US" sz="700" baseline="0"/>
                  <a:t> million</a:t>
                </a:r>
                <a:endParaRPr lang="en-US" sz="700"/>
              </a:p>
            </c:rich>
          </c:tx>
          <c:layout>
            <c:manualLayout>
              <c:xMode val="edge"/>
              <c:yMode val="edge"/>
              <c:x val="1.1677350740079361E-3"/>
              <c:y val="2.1488598328878613E-2"/>
            </c:manualLayout>
          </c:layout>
        </c:title>
        <c:numFmt formatCode="0.0" sourceLinked="1"/>
        <c:majorTickMark val="none"/>
        <c:tickLblPos val="nextTo"/>
        <c:txPr>
          <a:bodyPr/>
          <a:lstStyle/>
          <a:p>
            <a:pPr>
              <a:defRPr sz="700"/>
            </a:pPr>
            <a:endParaRPr lang="en-US"/>
          </a:p>
        </c:txPr>
        <c:crossAx val="350492160"/>
        <c:crosses val="autoZero"/>
        <c:crossBetween val="between"/>
      </c:valAx>
      <c:valAx>
        <c:axId val="350508160"/>
        <c:scaling>
          <c:orientation val="minMax"/>
        </c:scaling>
        <c:axPos val="r"/>
        <c:title>
          <c:tx>
            <c:rich>
              <a:bodyPr rot="0" vert="horz"/>
              <a:lstStyle/>
              <a:p>
                <a:pPr>
                  <a:defRPr sz="700"/>
                </a:pPr>
                <a:r>
                  <a:rPr lang="en-US" sz="700"/>
                  <a:t>Percent</a:t>
                </a:r>
              </a:p>
            </c:rich>
          </c:tx>
          <c:layout>
            <c:manualLayout>
              <c:xMode val="edge"/>
              <c:yMode val="edge"/>
              <c:x val="0.84627033145020469"/>
              <c:y val="1.8521515085843699E-2"/>
            </c:manualLayout>
          </c:layout>
        </c:title>
        <c:numFmt formatCode="0.0" sourceLinked="1"/>
        <c:tickLblPos val="nextTo"/>
        <c:txPr>
          <a:bodyPr/>
          <a:lstStyle/>
          <a:p>
            <a:pPr>
              <a:defRPr sz="600"/>
            </a:pPr>
            <a:endParaRPr lang="en-US"/>
          </a:p>
        </c:txPr>
        <c:crossAx val="350510080"/>
        <c:crosses val="max"/>
        <c:crossBetween val="between"/>
      </c:valAx>
      <c:catAx>
        <c:axId val="350510080"/>
        <c:scaling>
          <c:orientation val="minMax"/>
        </c:scaling>
        <c:delete val="1"/>
        <c:axPos val="b"/>
        <c:numFmt formatCode="General" sourceLinked="1"/>
        <c:tickLblPos val="none"/>
        <c:crossAx val="350508160"/>
        <c:crosses val="autoZero"/>
        <c:auto val="1"/>
        <c:lblAlgn val="ctr"/>
        <c:lblOffset val="100"/>
      </c:catAx>
    </c:plotArea>
    <c:legend>
      <c:legendPos val="b"/>
      <c:layout>
        <c:manualLayout>
          <c:xMode val="edge"/>
          <c:yMode val="edge"/>
          <c:x val="7.1355560108889729E-2"/>
          <c:y val="0.83906619470730937"/>
          <c:w val="0.83594297924655325"/>
          <c:h val="0.12265645693370941"/>
        </c:manualLayout>
      </c:layout>
      <c:txPr>
        <a:bodyPr/>
        <a:lstStyle/>
        <a:p>
          <a:pPr>
            <a:defRPr sz="700"/>
          </a:pPr>
          <a:endParaRPr lang="en-US"/>
        </a:p>
      </c:txPr>
    </c:legend>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en-AU"/>
  <c:chart>
    <c:autoTitleDeleted val="1"/>
    <c:plotArea>
      <c:layout>
        <c:manualLayout>
          <c:layoutTarget val="inner"/>
          <c:xMode val="edge"/>
          <c:yMode val="edge"/>
          <c:x val="0.12291474929270206"/>
          <c:y val="0.10824108241082422"/>
          <c:w val="0.82946620308825036"/>
          <c:h val="0.54334272791546756"/>
        </c:manualLayout>
      </c:layout>
      <c:barChart>
        <c:barDir val="col"/>
        <c:grouping val="clustered"/>
        <c:ser>
          <c:idx val="0"/>
          <c:order val="0"/>
          <c:tx>
            <c:strRef>
              <c:f>Comp.Graph2!$A$74</c:f>
              <c:strCache>
                <c:ptCount val="1"/>
                <c:pt idx="0">
                  <c:v>Haor</c:v>
                </c:pt>
              </c:strCache>
            </c:strRef>
          </c:tx>
          <c:cat>
            <c:strRef>
              <c:f>Comp.Graph2!$B$73:$AA$73</c:f>
              <c:strCache>
                <c:ptCount val="4"/>
                <c:pt idx="0">
                  <c:v>FY16</c:v>
                </c:pt>
                <c:pt idx="1">
                  <c:v>FY21</c:v>
                </c:pt>
                <c:pt idx="2">
                  <c:v>FY31</c:v>
                </c:pt>
                <c:pt idx="3">
                  <c:v>FY41</c:v>
                </c:pt>
              </c:strCache>
            </c:strRef>
          </c:cat>
          <c:val>
            <c:numRef>
              <c:f>Comp.Graph2!$B$74:$AA$74</c:f>
              <c:numCache>
                <c:formatCode>General</c:formatCode>
                <c:ptCount val="4"/>
                <c:pt idx="0">
                  <c:v>2.9842278247185274</c:v>
                </c:pt>
                <c:pt idx="1">
                  <c:v>2.6806007946627202</c:v>
                </c:pt>
                <c:pt idx="2">
                  <c:v>2.2317988786458605</c:v>
                </c:pt>
                <c:pt idx="3">
                  <c:v>2.0506365280570402</c:v>
                </c:pt>
              </c:numCache>
            </c:numRef>
          </c:val>
          <c:extLst xmlns:c16r2="http://schemas.microsoft.com/office/drawing/2015/06/chart">
            <c:ext xmlns:c16="http://schemas.microsoft.com/office/drawing/2014/chart" uri="{C3380CC4-5D6E-409C-BE32-E72D297353CC}">
              <c16:uniqueId val="{00000000-EC76-4784-9FCB-6E01BB44661F}"/>
            </c:ext>
          </c:extLst>
        </c:ser>
        <c:ser>
          <c:idx val="1"/>
          <c:order val="1"/>
          <c:tx>
            <c:strRef>
              <c:f>Comp.Graph2!$A$75</c:f>
              <c:strCache>
                <c:ptCount val="1"/>
                <c:pt idx="0">
                  <c:v>Coastal</c:v>
                </c:pt>
              </c:strCache>
            </c:strRef>
          </c:tx>
          <c:cat>
            <c:strRef>
              <c:f>Comp.Graph2!$B$73:$AA$73</c:f>
              <c:strCache>
                <c:ptCount val="4"/>
                <c:pt idx="0">
                  <c:v>FY16</c:v>
                </c:pt>
                <c:pt idx="1">
                  <c:v>FY21</c:v>
                </c:pt>
                <c:pt idx="2">
                  <c:v>FY31</c:v>
                </c:pt>
                <c:pt idx="3">
                  <c:v>FY41</c:v>
                </c:pt>
              </c:strCache>
            </c:strRef>
          </c:cat>
          <c:val>
            <c:numRef>
              <c:f>Comp.Graph2!$B$75:$AA$75</c:f>
              <c:numCache>
                <c:formatCode>General</c:formatCode>
                <c:ptCount val="4"/>
                <c:pt idx="0">
                  <c:v>6.2582974725031608</c:v>
                </c:pt>
                <c:pt idx="1">
                  <c:v>5.1191394035772078</c:v>
                </c:pt>
                <c:pt idx="2">
                  <c:v>3.5669148104818391</c:v>
                </c:pt>
                <c:pt idx="3">
                  <c:v>2.7951141083404702</c:v>
                </c:pt>
              </c:numCache>
            </c:numRef>
          </c:val>
          <c:extLst xmlns:c16r2="http://schemas.microsoft.com/office/drawing/2015/06/chart">
            <c:ext xmlns:c16="http://schemas.microsoft.com/office/drawing/2014/chart" uri="{C3380CC4-5D6E-409C-BE32-E72D297353CC}">
              <c16:uniqueId val="{00000001-EC76-4784-9FCB-6E01BB44661F}"/>
            </c:ext>
          </c:extLst>
        </c:ser>
        <c:ser>
          <c:idx val="2"/>
          <c:order val="2"/>
          <c:tx>
            <c:strRef>
              <c:f>Comp.Graph2!$A$76</c:f>
              <c:strCache>
                <c:ptCount val="1"/>
                <c:pt idx="0">
                  <c:v>Cittagong Hill tract</c:v>
                </c:pt>
              </c:strCache>
            </c:strRef>
          </c:tx>
          <c:cat>
            <c:strRef>
              <c:f>Comp.Graph2!$B$73:$AA$73</c:f>
              <c:strCache>
                <c:ptCount val="4"/>
                <c:pt idx="0">
                  <c:v>FY16</c:v>
                </c:pt>
                <c:pt idx="1">
                  <c:v>FY21</c:v>
                </c:pt>
                <c:pt idx="2">
                  <c:v>FY31</c:v>
                </c:pt>
                <c:pt idx="3">
                  <c:v>FY41</c:v>
                </c:pt>
              </c:strCache>
            </c:strRef>
          </c:cat>
          <c:val>
            <c:numRef>
              <c:f>Comp.Graph2!$B$76:$AA$76</c:f>
              <c:numCache>
                <c:formatCode>General</c:formatCode>
                <c:ptCount val="4"/>
                <c:pt idx="0">
                  <c:v>0.38505084378025539</c:v>
                </c:pt>
                <c:pt idx="1">
                  <c:v>0.35021353819159923</c:v>
                </c:pt>
                <c:pt idx="2">
                  <c:v>0.29964715488694527</c:v>
                </c:pt>
                <c:pt idx="3">
                  <c:v>0.28374327625624002</c:v>
                </c:pt>
              </c:numCache>
            </c:numRef>
          </c:val>
          <c:extLst xmlns:c16r2="http://schemas.microsoft.com/office/drawing/2015/06/chart">
            <c:ext xmlns:c16="http://schemas.microsoft.com/office/drawing/2014/chart" uri="{C3380CC4-5D6E-409C-BE32-E72D297353CC}">
              <c16:uniqueId val="{00000002-EC76-4784-9FCB-6E01BB44661F}"/>
            </c:ext>
          </c:extLst>
        </c:ser>
        <c:ser>
          <c:idx val="3"/>
          <c:order val="3"/>
          <c:tx>
            <c:strRef>
              <c:f>Comp.Graph2!$A$77</c:f>
              <c:strCache>
                <c:ptCount val="1"/>
                <c:pt idx="0">
                  <c:v>Urban </c:v>
                </c:pt>
              </c:strCache>
            </c:strRef>
          </c:tx>
          <c:cat>
            <c:strRef>
              <c:f>Comp.Graph2!$B$73:$AA$73</c:f>
              <c:strCache>
                <c:ptCount val="4"/>
                <c:pt idx="0">
                  <c:v>FY16</c:v>
                </c:pt>
                <c:pt idx="1">
                  <c:v>FY21</c:v>
                </c:pt>
                <c:pt idx="2">
                  <c:v>FY31</c:v>
                </c:pt>
                <c:pt idx="3">
                  <c:v>FY41</c:v>
                </c:pt>
              </c:strCache>
            </c:strRef>
          </c:cat>
          <c:val>
            <c:numRef>
              <c:f>Comp.Graph2!$B$77:$AA$77</c:f>
              <c:numCache>
                <c:formatCode>General</c:formatCode>
                <c:ptCount val="4"/>
                <c:pt idx="0">
                  <c:v>3.9540263561955298</c:v>
                </c:pt>
                <c:pt idx="1">
                  <c:v>4.1093980765909066</c:v>
                </c:pt>
                <c:pt idx="2">
                  <c:v>4.2941485086363045</c:v>
                </c:pt>
                <c:pt idx="3">
                  <c:v>4.6175521794393353</c:v>
                </c:pt>
              </c:numCache>
            </c:numRef>
          </c:val>
          <c:extLst xmlns:c16r2="http://schemas.microsoft.com/office/drawing/2015/06/chart">
            <c:ext xmlns:c16="http://schemas.microsoft.com/office/drawing/2014/chart" uri="{C3380CC4-5D6E-409C-BE32-E72D297353CC}">
              <c16:uniqueId val="{00000003-EC76-4784-9FCB-6E01BB44661F}"/>
            </c:ext>
          </c:extLst>
        </c:ser>
        <c:ser>
          <c:idx val="4"/>
          <c:order val="4"/>
          <c:tx>
            <c:strRef>
              <c:f>Comp.Graph2!$A$78</c:f>
              <c:strCache>
                <c:ptCount val="1"/>
                <c:pt idx="0">
                  <c:v>Drought Prone</c:v>
                </c:pt>
              </c:strCache>
            </c:strRef>
          </c:tx>
          <c:cat>
            <c:strRef>
              <c:f>Comp.Graph2!$B$73:$AA$73</c:f>
              <c:strCache>
                <c:ptCount val="4"/>
                <c:pt idx="0">
                  <c:v>FY16</c:v>
                </c:pt>
                <c:pt idx="1">
                  <c:v>FY21</c:v>
                </c:pt>
                <c:pt idx="2">
                  <c:v>FY31</c:v>
                </c:pt>
                <c:pt idx="3">
                  <c:v>FY41</c:v>
                </c:pt>
              </c:strCache>
            </c:strRef>
          </c:cat>
          <c:val>
            <c:numRef>
              <c:f>Comp.Graph2!$B$78:$AA$78</c:f>
              <c:numCache>
                <c:formatCode>General</c:formatCode>
                <c:ptCount val="4"/>
                <c:pt idx="0">
                  <c:v>3.4028322926024952</c:v>
                </c:pt>
                <c:pt idx="1">
                  <c:v>2.9184119744968187</c:v>
                </c:pt>
                <c:pt idx="2">
                  <c:v>2.2162890141568568</c:v>
                </c:pt>
                <c:pt idx="3">
                  <c:v>1.8666599249982194</c:v>
                </c:pt>
              </c:numCache>
            </c:numRef>
          </c:val>
          <c:extLst xmlns:c16r2="http://schemas.microsoft.com/office/drawing/2015/06/chart">
            <c:ext xmlns:c16="http://schemas.microsoft.com/office/drawing/2014/chart" uri="{C3380CC4-5D6E-409C-BE32-E72D297353CC}">
              <c16:uniqueId val="{00000004-EC76-4784-9FCB-6E01BB44661F}"/>
            </c:ext>
          </c:extLst>
        </c:ser>
        <c:ser>
          <c:idx val="5"/>
          <c:order val="5"/>
          <c:tx>
            <c:strRef>
              <c:f>Comp.Graph2!$A$79</c:f>
              <c:strCache>
                <c:ptCount val="1"/>
                <c:pt idx="0">
                  <c:v>Rivers &amp; Estuaries</c:v>
                </c:pt>
              </c:strCache>
            </c:strRef>
          </c:tx>
          <c:cat>
            <c:strRef>
              <c:f>Comp.Graph2!$B$73:$AA$73</c:f>
              <c:strCache>
                <c:ptCount val="4"/>
                <c:pt idx="0">
                  <c:v>FY16</c:v>
                </c:pt>
                <c:pt idx="1">
                  <c:v>FY21</c:v>
                </c:pt>
                <c:pt idx="2">
                  <c:v>FY31</c:v>
                </c:pt>
                <c:pt idx="3">
                  <c:v>FY41</c:v>
                </c:pt>
              </c:strCache>
            </c:strRef>
          </c:cat>
          <c:val>
            <c:numRef>
              <c:f>Comp.Graph2!$B$79:$AA$79</c:f>
              <c:numCache>
                <c:formatCode>General</c:formatCode>
                <c:ptCount val="4"/>
                <c:pt idx="0">
                  <c:v>12.993615466140785</c:v>
                </c:pt>
                <c:pt idx="1">
                  <c:v>11.207028647013471</c:v>
                </c:pt>
                <c:pt idx="2">
                  <c:v>8.6752504536270525</c:v>
                </c:pt>
                <c:pt idx="3">
                  <c:v>7.5099182618671065</c:v>
                </c:pt>
              </c:numCache>
            </c:numRef>
          </c:val>
          <c:extLst xmlns:c16r2="http://schemas.microsoft.com/office/drawing/2015/06/chart">
            <c:ext xmlns:c16="http://schemas.microsoft.com/office/drawing/2014/chart" uri="{C3380CC4-5D6E-409C-BE32-E72D297353CC}">
              <c16:uniqueId val="{00000005-EC76-4784-9FCB-6E01BB44661F}"/>
            </c:ext>
          </c:extLst>
        </c:ser>
        <c:ser>
          <c:idx val="6"/>
          <c:order val="6"/>
          <c:tx>
            <c:strRef>
              <c:f>Comp.Graph2!$A$80</c:f>
              <c:strCache>
                <c:ptCount val="1"/>
                <c:pt idx="0">
                  <c:v>Less Risky Region</c:v>
                </c:pt>
              </c:strCache>
            </c:strRef>
          </c:tx>
          <c:cat>
            <c:strRef>
              <c:f>Comp.Graph2!$B$73:$AA$73</c:f>
              <c:strCache>
                <c:ptCount val="4"/>
                <c:pt idx="0">
                  <c:v>FY16</c:v>
                </c:pt>
                <c:pt idx="1">
                  <c:v>FY21</c:v>
                </c:pt>
                <c:pt idx="2">
                  <c:v>FY31</c:v>
                </c:pt>
                <c:pt idx="3">
                  <c:v>FY41</c:v>
                </c:pt>
              </c:strCache>
            </c:strRef>
          </c:cat>
          <c:val>
            <c:numRef>
              <c:f>Comp.Graph2!$B$80:$AA$80</c:f>
              <c:numCache>
                <c:formatCode>General</c:formatCode>
                <c:ptCount val="4"/>
                <c:pt idx="0">
                  <c:v>4.9106322364156689</c:v>
                </c:pt>
                <c:pt idx="1">
                  <c:v>4.4315311112998934</c:v>
                </c:pt>
                <c:pt idx="2">
                  <c:v>3.6950856272117107</c:v>
                </c:pt>
                <c:pt idx="3">
                  <c:v>3.3735166277105098</c:v>
                </c:pt>
              </c:numCache>
            </c:numRef>
          </c:val>
          <c:extLst xmlns:c16r2="http://schemas.microsoft.com/office/drawing/2015/06/chart">
            <c:ext xmlns:c16="http://schemas.microsoft.com/office/drawing/2014/chart" uri="{C3380CC4-5D6E-409C-BE32-E72D297353CC}">
              <c16:uniqueId val="{00000006-EC76-4784-9FCB-6E01BB44661F}"/>
            </c:ext>
          </c:extLst>
        </c:ser>
        <c:gapWidth val="75"/>
        <c:overlap val="-25"/>
        <c:axId val="350545792"/>
        <c:axId val="350547328"/>
      </c:barChart>
      <c:catAx>
        <c:axId val="350545792"/>
        <c:scaling>
          <c:orientation val="minMax"/>
        </c:scaling>
        <c:axPos val="b"/>
        <c:numFmt formatCode="General" sourceLinked="0"/>
        <c:majorTickMark val="none"/>
        <c:tickLblPos val="nextTo"/>
        <c:txPr>
          <a:bodyPr/>
          <a:lstStyle/>
          <a:p>
            <a:pPr>
              <a:defRPr sz="800"/>
            </a:pPr>
            <a:endParaRPr lang="en-US"/>
          </a:p>
        </c:txPr>
        <c:crossAx val="350547328"/>
        <c:crosses val="autoZero"/>
        <c:auto val="1"/>
        <c:lblAlgn val="ctr"/>
        <c:lblOffset val="100"/>
      </c:catAx>
      <c:valAx>
        <c:axId val="350547328"/>
        <c:scaling>
          <c:orientation val="minMax"/>
        </c:scaling>
        <c:axPos val="l"/>
        <c:majorGridlines/>
        <c:title>
          <c:tx>
            <c:rich>
              <a:bodyPr rot="0" vert="horz"/>
              <a:lstStyle/>
              <a:p>
                <a:pPr>
                  <a:defRPr sz="800"/>
                </a:pPr>
                <a:r>
                  <a:rPr lang="en-US" sz="800"/>
                  <a:t>Percent</a:t>
                </a:r>
              </a:p>
            </c:rich>
          </c:tx>
          <c:layout>
            <c:manualLayout>
              <c:xMode val="edge"/>
              <c:yMode val="edge"/>
              <c:x val="0"/>
              <c:y val="2.4460780040871273E-3"/>
            </c:manualLayout>
          </c:layout>
        </c:title>
        <c:numFmt formatCode="General" sourceLinked="1"/>
        <c:majorTickMark val="none"/>
        <c:tickLblPos val="nextTo"/>
        <c:spPr>
          <a:ln w="9525">
            <a:noFill/>
          </a:ln>
        </c:spPr>
        <c:txPr>
          <a:bodyPr/>
          <a:lstStyle/>
          <a:p>
            <a:pPr>
              <a:defRPr sz="800"/>
            </a:pPr>
            <a:endParaRPr lang="en-US"/>
          </a:p>
        </c:txPr>
        <c:crossAx val="350545792"/>
        <c:crosses val="autoZero"/>
        <c:crossBetween val="between"/>
        <c:majorUnit val="4"/>
      </c:valAx>
    </c:plotArea>
    <c:legend>
      <c:legendPos val="b"/>
      <c:txPr>
        <a:bodyPr/>
        <a:lstStyle/>
        <a:p>
          <a:pPr>
            <a:defRPr sz="700"/>
          </a:pPr>
          <a:endParaRPr lang="en-US"/>
        </a:p>
      </c:txPr>
    </c:legend>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en-AU"/>
  <c:chart>
    <c:autoTitleDeleted val="1"/>
    <c:plotArea>
      <c:layout>
        <c:manualLayout>
          <c:layoutTarget val="inner"/>
          <c:xMode val="edge"/>
          <c:yMode val="edge"/>
          <c:x val="0.1230235439900873"/>
          <c:y val="0.1066666666666671"/>
          <c:w val="0.85714993804213402"/>
          <c:h val="0.53554454784061056"/>
        </c:manualLayout>
      </c:layout>
      <c:barChart>
        <c:barDir val="col"/>
        <c:grouping val="clustered"/>
        <c:ser>
          <c:idx val="0"/>
          <c:order val="0"/>
          <c:tx>
            <c:strRef>
              <c:f>Comp.Graph2!$A$85</c:f>
              <c:strCache>
                <c:ptCount val="1"/>
                <c:pt idx="0">
                  <c:v>Haor</c:v>
                </c:pt>
              </c:strCache>
            </c:strRef>
          </c:tx>
          <c:cat>
            <c:strRef>
              <c:f>Comp.Graph2!$B$84:$AA$84</c:f>
              <c:strCache>
                <c:ptCount val="4"/>
                <c:pt idx="0">
                  <c:v>FY16</c:v>
                </c:pt>
                <c:pt idx="1">
                  <c:v>FY21</c:v>
                </c:pt>
                <c:pt idx="2">
                  <c:v>FY31</c:v>
                </c:pt>
                <c:pt idx="3">
                  <c:v>FY41</c:v>
                </c:pt>
              </c:strCache>
            </c:strRef>
          </c:cat>
          <c:val>
            <c:numRef>
              <c:f>Comp.Graph2!$B$85:$AA$85</c:f>
              <c:numCache>
                <c:formatCode>General</c:formatCode>
                <c:ptCount val="4"/>
                <c:pt idx="0">
                  <c:v>2.8995426924316177</c:v>
                </c:pt>
                <c:pt idx="1">
                  <c:v>2.2877258633072612</c:v>
                </c:pt>
                <c:pt idx="2">
                  <c:v>1.3381496740060821</c:v>
                </c:pt>
                <c:pt idx="3">
                  <c:v>0.79487818664873133</c:v>
                </c:pt>
              </c:numCache>
            </c:numRef>
          </c:val>
          <c:extLst xmlns:c16r2="http://schemas.microsoft.com/office/drawing/2015/06/chart">
            <c:ext xmlns:c16="http://schemas.microsoft.com/office/drawing/2014/chart" uri="{C3380CC4-5D6E-409C-BE32-E72D297353CC}">
              <c16:uniqueId val="{00000000-A963-4F06-A408-E73AE70AFA6A}"/>
            </c:ext>
          </c:extLst>
        </c:ser>
        <c:ser>
          <c:idx val="1"/>
          <c:order val="1"/>
          <c:tx>
            <c:strRef>
              <c:f>Comp.Graph2!$A$86</c:f>
              <c:strCache>
                <c:ptCount val="1"/>
                <c:pt idx="0">
                  <c:v>Coastal</c:v>
                </c:pt>
              </c:strCache>
            </c:strRef>
          </c:tx>
          <c:cat>
            <c:strRef>
              <c:f>Comp.Graph2!$B$84:$AA$84</c:f>
              <c:strCache>
                <c:ptCount val="4"/>
                <c:pt idx="0">
                  <c:v>FY16</c:v>
                </c:pt>
                <c:pt idx="1">
                  <c:v>FY21</c:v>
                </c:pt>
                <c:pt idx="2">
                  <c:v>FY31</c:v>
                </c:pt>
                <c:pt idx="3">
                  <c:v>FY41</c:v>
                </c:pt>
              </c:strCache>
            </c:strRef>
          </c:cat>
          <c:val>
            <c:numRef>
              <c:f>Comp.Graph2!$B$86:$AA$86</c:f>
              <c:numCache>
                <c:formatCode>General</c:formatCode>
                <c:ptCount val="4"/>
                <c:pt idx="0">
                  <c:v>6.0558120743993475</c:v>
                </c:pt>
                <c:pt idx="1">
                  <c:v>4.2531371659881598</c:v>
                </c:pt>
                <c:pt idx="2">
                  <c:v>1.9934245344789945</c:v>
                </c:pt>
                <c:pt idx="3">
                  <c:v>1.0406695190987529</c:v>
                </c:pt>
              </c:numCache>
            </c:numRef>
          </c:val>
          <c:extLst xmlns:c16r2="http://schemas.microsoft.com/office/drawing/2015/06/chart">
            <c:ext xmlns:c16="http://schemas.microsoft.com/office/drawing/2014/chart" uri="{C3380CC4-5D6E-409C-BE32-E72D297353CC}">
              <c16:uniqueId val="{00000001-A963-4F06-A408-E73AE70AFA6A}"/>
            </c:ext>
          </c:extLst>
        </c:ser>
        <c:ser>
          <c:idx val="2"/>
          <c:order val="2"/>
          <c:tx>
            <c:strRef>
              <c:f>Comp.Graph2!$A$87</c:f>
              <c:strCache>
                <c:ptCount val="1"/>
                <c:pt idx="0">
                  <c:v>Cittagong Hill tract</c:v>
                </c:pt>
              </c:strCache>
            </c:strRef>
          </c:tx>
          <c:cat>
            <c:strRef>
              <c:f>Comp.Graph2!$B$84:$AA$84</c:f>
              <c:strCache>
                <c:ptCount val="4"/>
                <c:pt idx="0">
                  <c:v>FY16</c:v>
                </c:pt>
                <c:pt idx="1">
                  <c:v>FY21</c:v>
                </c:pt>
                <c:pt idx="2">
                  <c:v>FY31</c:v>
                </c:pt>
                <c:pt idx="3">
                  <c:v>FY41</c:v>
                </c:pt>
              </c:strCache>
            </c:strRef>
          </c:cat>
          <c:val>
            <c:numRef>
              <c:f>Comp.Graph2!$B$87:$AA$87</c:f>
              <c:numCache>
                <c:formatCode>General</c:formatCode>
                <c:ptCount val="4"/>
                <c:pt idx="0">
                  <c:v>0.37463460439793306</c:v>
                </c:pt>
                <c:pt idx="1">
                  <c:v>0.30085860900677514</c:v>
                </c:pt>
                <c:pt idx="2">
                  <c:v>0.18480321332681279</c:v>
                </c:pt>
                <c:pt idx="3">
                  <c:v>0.12035507640208126</c:v>
                </c:pt>
              </c:numCache>
            </c:numRef>
          </c:val>
          <c:extLst xmlns:c16r2="http://schemas.microsoft.com/office/drawing/2015/06/chart">
            <c:ext xmlns:c16="http://schemas.microsoft.com/office/drawing/2014/chart" uri="{C3380CC4-5D6E-409C-BE32-E72D297353CC}">
              <c16:uniqueId val="{00000002-A963-4F06-A408-E73AE70AFA6A}"/>
            </c:ext>
          </c:extLst>
        </c:ser>
        <c:ser>
          <c:idx val="3"/>
          <c:order val="3"/>
          <c:tx>
            <c:strRef>
              <c:f>Comp.Graph2!$A$88</c:f>
              <c:strCache>
                <c:ptCount val="1"/>
                <c:pt idx="0">
                  <c:v>Urban </c:v>
                </c:pt>
              </c:strCache>
            </c:strRef>
          </c:tx>
          <c:cat>
            <c:strRef>
              <c:f>Comp.Graph2!$B$84:$AA$84</c:f>
              <c:strCache>
                <c:ptCount val="4"/>
                <c:pt idx="0">
                  <c:v>FY16</c:v>
                </c:pt>
                <c:pt idx="1">
                  <c:v>FY21</c:v>
                </c:pt>
                <c:pt idx="2">
                  <c:v>FY31</c:v>
                </c:pt>
                <c:pt idx="3">
                  <c:v>FY41</c:v>
                </c:pt>
              </c:strCache>
            </c:strRef>
          </c:cat>
          <c:val>
            <c:numRef>
              <c:f>Comp.Graph2!$B$88:$AA$88</c:f>
              <c:numCache>
                <c:formatCode>General</c:formatCode>
                <c:ptCount val="4"/>
                <c:pt idx="0">
                  <c:v>3.8558777461691993</c:v>
                </c:pt>
                <c:pt idx="1">
                  <c:v>3.66756502566014</c:v>
                </c:pt>
                <c:pt idx="2">
                  <c:v>2.9201652621230059</c:v>
                </c:pt>
                <c:pt idx="3">
                  <c:v>2.1418138288268742</c:v>
                </c:pt>
              </c:numCache>
            </c:numRef>
          </c:val>
          <c:extLst xmlns:c16r2="http://schemas.microsoft.com/office/drawing/2015/06/chart">
            <c:ext xmlns:c16="http://schemas.microsoft.com/office/drawing/2014/chart" uri="{C3380CC4-5D6E-409C-BE32-E72D297353CC}">
              <c16:uniqueId val="{00000003-A963-4F06-A408-E73AE70AFA6A}"/>
            </c:ext>
          </c:extLst>
        </c:ser>
        <c:ser>
          <c:idx val="4"/>
          <c:order val="4"/>
          <c:tx>
            <c:strRef>
              <c:f>Comp.Graph2!$A$89</c:f>
              <c:strCache>
                <c:ptCount val="1"/>
                <c:pt idx="0">
                  <c:v>Drought Prone</c:v>
                </c:pt>
              </c:strCache>
            </c:strRef>
          </c:tx>
          <c:cat>
            <c:strRef>
              <c:f>Comp.Graph2!$B$84:$AA$84</c:f>
              <c:strCache>
                <c:ptCount val="4"/>
                <c:pt idx="0">
                  <c:v>FY16</c:v>
                </c:pt>
                <c:pt idx="1">
                  <c:v>FY21</c:v>
                </c:pt>
                <c:pt idx="2">
                  <c:v>FY31</c:v>
                </c:pt>
                <c:pt idx="3">
                  <c:v>FY41</c:v>
                </c:pt>
              </c:strCache>
            </c:strRef>
          </c:cat>
          <c:val>
            <c:numRef>
              <c:f>Comp.Graph2!$B$89:$AA$89</c:f>
              <c:numCache>
                <c:formatCode>General</c:formatCode>
                <c:ptCount val="4"/>
                <c:pt idx="0">
                  <c:v>3.3001131907910417</c:v>
                </c:pt>
                <c:pt idx="1">
                  <c:v>2.4430182968895546</c:v>
                </c:pt>
                <c:pt idx="2">
                  <c:v>1.2319089752998058</c:v>
                </c:pt>
                <c:pt idx="3">
                  <c:v>0.59931783497553237</c:v>
                </c:pt>
              </c:numCache>
            </c:numRef>
          </c:val>
          <c:extLst xmlns:c16r2="http://schemas.microsoft.com/office/drawing/2015/06/chart">
            <c:ext xmlns:c16="http://schemas.microsoft.com/office/drawing/2014/chart" uri="{C3380CC4-5D6E-409C-BE32-E72D297353CC}">
              <c16:uniqueId val="{00000004-A963-4F06-A408-E73AE70AFA6A}"/>
            </c:ext>
          </c:extLst>
        </c:ser>
        <c:ser>
          <c:idx val="5"/>
          <c:order val="5"/>
          <c:tx>
            <c:strRef>
              <c:f>Comp.Graph2!$A$90</c:f>
              <c:strCache>
                <c:ptCount val="1"/>
                <c:pt idx="0">
                  <c:v>Rivers &amp; Estuaries</c:v>
                </c:pt>
              </c:strCache>
            </c:strRef>
          </c:tx>
          <c:cat>
            <c:strRef>
              <c:f>Comp.Graph2!$B$84:$AA$84</c:f>
              <c:strCache>
                <c:ptCount val="4"/>
                <c:pt idx="0">
                  <c:v>FY16</c:v>
                </c:pt>
                <c:pt idx="1">
                  <c:v>FY21</c:v>
                </c:pt>
                <c:pt idx="2">
                  <c:v>FY31</c:v>
                </c:pt>
                <c:pt idx="3">
                  <c:v>FY41</c:v>
                </c:pt>
              </c:strCache>
            </c:strRef>
          </c:cat>
          <c:val>
            <c:numRef>
              <c:f>Comp.Graph2!$B$90:$AA$90</c:f>
              <c:numCache>
                <c:formatCode>General</c:formatCode>
                <c:ptCount val="4"/>
                <c:pt idx="0">
                  <c:v>12.598593048203583</c:v>
                </c:pt>
                <c:pt idx="1">
                  <c:v>9.4531618159540276</c:v>
                </c:pt>
                <c:pt idx="2">
                  <c:v>5.0543775128387045</c:v>
                </c:pt>
                <c:pt idx="3">
                  <c:v>2.8616820038239377</c:v>
                </c:pt>
              </c:numCache>
            </c:numRef>
          </c:val>
          <c:extLst xmlns:c16r2="http://schemas.microsoft.com/office/drawing/2015/06/chart">
            <c:ext xmlns:c16="http://schemas.microsoft.com/office/drawing/2014/chart" uri="{C3380CC4-5D6E-409C-BE32-E72D297353CC}">
              <c16:uniqueId val="{00000005-A963-4F06-A408-E73AE70AFA6A}"/>
            </c:ext>
          </c:extLst>
        </c:ser>
        <c:ser>
          <c:idx val="6"/>
          <c:order val="6"/>
          <c:tx>
            <c:strRef>
              <c:f>Comp.Graph2!$A$91</c:f>
              <c:strCache>
                <c:ptCount val="1"/>
                <c:pt idx="0">
                  <c:v>Less Risky Region</c:v>
                </c:pt>
              </c:strCache>
            </c:strRef>
          </c:tx>
          <c:cat>
            <c:strRef>
              <c:f>Comp.Graph2!$B$84:$AA$84</c:f>
              <c:strCache>
                <c:ptCount val="4"/>
                <c:pt idx="0">
                  <c:v>FY16</c:v>
                </c:pt>
                <c:pt idx="1">
                  <c:v>FY21</c:v>
                </c:pt>
                <c:pt idx="2">
                  <c:v>FY31</c:v>
                </c:pt>
                <c:pt idx="3">
                  <c:v>FY41</c:v>
                </c:pt>
              </c:strCache>
            </c:strRef>
          </c:cat>
          <c:val>
            <c:numRef>
              <c:f>Comp.Graph2!$B$91:$AA$91</c:f>
              <c:numCache>
                <c:formatCode>General</c:formatCode>
                <c:ptCount val="4"/>
                <c:pt idx="0">
                  <c:v>4.7799701063073394</c:v>
                </c:pt>
                <c:pt idx="1">
                  <c:v>3.7785447909057202</c:v>
                </c:pt>
                <c:pt idx="2">
                  <c:v>2.1685002448905277</c:v>
                </c:pt>
                <c:pt idx="3">
                  <c:v>1.1899562963305619</c:v>
                </c:pt>
              </c:numCache>
            </c:numRef>
          </c:val>
          <c:extLst xmlns:c16r2="http://schemas.microsoft.com/office/drawing/2015/06/chart">
            <c:ext xmlns:c16="http://schemas.microsoft.com/office/drawing/2014/chart" uri="{C3380CC4-5D6E-409C-BE32-E72D297353CC}">
              <c16:uniqueId val="{00000006-A963-4F06-A408-E73AE70AFA6A}"/>
            </c:ext>
          </c:extLst>
        </c:ser>
        <c:gapWidth val="75"/>
        <c:overlap val="-25"/>
        <c:axId val="359373440"/>
        <c:axId val="359395712"/>
      </c:barChart>
      <c:catAx>
        <c:axId val="359373440"/>
        <c:scaling>
          <c:orientation val="minMax"/>
        </c:scaling>
        <c:axPos val="b"/>
        <c:numFmt formatCode="General" sourceLinked="0"/>
        <c:majorTickMark val="none"/>
        <c:tickLblPos val="nextTo"/>
        <c:txPr>
          <a:bodyPr/>
          <a:lstStyle/>
          <a:p>
            <a:pPr>
              <a:defRPr sz="800"/>
            </a:pPr>
            <a:endParaRPr lang="en-US"/>
          </a:p>
        </c:txPr>
        <c:crossAx val="359395712"/>
        <c:crosses val="autoZero"/>
        <c:auto val="1"/>
        <c:lblAlgn val="ctr"/>
        <c:lblOffset val="100"/>
      </c:catAx>
      <c:valAx>
        <c:axId val="359395712"/>
        <c:scaling>
          <c:orientation val="minMax"/>
        </c:scaling>
        <c:axPos val="l"/>
        <c:majorGridlines/>
        <c:title>
          <c:tx>
            <c:rich>
              <a:bodyPr rot="0" vert="horz"/>
              <a:lstStyle/>
              <a:p>
                <a:pPr>
                  <a:defRPr sz="800"/>
                </a:pPr>
                <a:r>
                  <a:rPr lang="en-US" sz="800"/>
                  <a:t>Percent</a:t>
                </a:r>
              </a:p>
            </c:rich>
          </c:tx>
          <c:layout>
            <c:manualLayout>
              <c:xMode val="edge"/>
              <c:yMode val="edge"/>
              <c:x val="2.4783147459727609E-2"/>
              <c:y val="3.8940586972110155E-5"/>
            </c:manualLayout>
          </c:layout>
        </c:title>
        <c:numFmt formatCode="General" sourceLinked="1"/>
        <c:majorTickMark val="none"/>
        <c:tickLblPos val="nextTo"/>
        <c:spPr>
          <a:ln w="9525">
            <a:noFill/>
          </a:ln>
        </c:spPr>
        <c:txPr>
          <a:bodyPr/>
          <a:lstStyle/>
          <a:p>
            <a:pPr>
              <a:defRPr sz="800"/>
            </a:pPr>
            <a:endParaRPr lang="en-US"/>
          </a:p>
        </c:txPr>
        <c:crossAx val="359373440"/>
        <c:crosses val="autoZero"/>
        <c:crossBetween val="between"/>
        <c:majorUnit val="4"/>
      </c:valAx>
    </c:plotArea>
    <c:legend>
      <c:legendPos val="b"/>
      <c:txPr>
        <a:bodyPr/>
        <a:lstStyle/>
        <a:p>
          <a:pPr>
            <a:defRPr sz="600"/>
          </a:pPr>
          <a:endParaRPr lang="en-US"/>
        </a:p>
      </c:txPr>
    </c:legend>
    <c:plotVisOnly val="1"/>
    <c:dispBlanksAs val="gap"/>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en-AU"/>
  <c:chart>
    <c:autoTitleDeleted val="1"/>
    <c:plotArea>
      <c:layout>
        <c:manualLayout>
          <c:layoutTarget val="inner"/>
          <c:xMode val="edge"/>
          <c:yMode val="edge"/>
          <c:x val="0.12136165609327072"/>
          <c:y val="0.10655365145975999"/>
          <c:w val="0.8507342453199741"/>
          <c:h val="0.55967770529908678"/>
        </c:manualLayout>
      </c:layout>
      <c:lineChart>
        <c:grouping val="standard"/>
        <c:ser>
          <c:idx val="0"/>
          <c:order val="0"/>
          <c:tx>
            <c:strRef>
              <c:f>Comp.graph!$AL$139</c:f>
              <c:strCache>
                <c:ptCount val="1"/>
                <c:pt idx="0">
                  <c:v>Per Capita Nominal GDP (USD, BAU)</c:v>
                </c:pt>
              </c:strCache>
            </c:strRef>
          </c:tx>
          <c:marker>
            <c:symbol val="none"/>
          </c:marker>
          <c:dLbls>
            <c:dLbl>
              <c:idx val="15"/>
              <c:layout>
                <c:manualLayout>
                  <c:x val="-4.5661252232877175E-2"/>
                  <c:y val="2.779660472863291E-2"/>
                </c:manualLayout>
              </c:layout>
              <c:showVal val="1"/>
              <c:extLst xmlns:c16r2="http://schemas.microsoft.com/office/drawing/2015/06/chart">
                <c:ext xmlns:c16="http://schemas.microsoft.com/office/drawing/2014/chart" uri="{C3380CC4-5D6E-409C-BE32-E72D297353CC}">
                  <c16:uniqueId val="{00000000-C647-46EA-B8AF-080064F1DBA8}"/>
                </c:ext>
                <c:ext xmlns:c15="http://schemas.microsoft.com/office/drawing/2012/chart" uri="{CE6537A1-D6FC-4f65-9D91-7224C49458BB}">
                  <c15:layout/>
                </c:ext>
              </c:extLst>
            </c:dLbl>
            <c:dLbl>
              <c:idx val="25"/>
              <c:layout>
                <c:manualLayout>
                  <c:x val="0"/>
                  <c:y val="-2.779660472863291E-2"/>
                </c:manualLayout>
              </c:layout>
              <c:showVal val="1"/>
              <c:extLst xmlns:c16r2="http://schemas.microsoft.com/office/drawing/2015/06/chart">
                <c:ext xmlns:c16="http://schemas.microsoft.com/office/drawing/2014/chart" uri="{C3380CC4-5D6E-409C-BE32-E72D297353CC}">
                  <c16:uniqueId val="{00000001-C647-46EA-B8AF-080064F1DBA8}"/>
                </c:ext>
                <c:ext xmlns:c15="http://schemas.microsoft.com/office/drawing/2012/chart" uri="{CE6537A1-D6FC-4f65-9D91-7224C49458BB}">
                  <c15:layout/>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Comp.graph!$AM$137:$BL$138</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Comp.graph!$AM$139:$BL$139</c:f>
              <c:numCache>
                <c:formatCode>0</c:formatCode>
                <c:ptCount val="26"/>
                <c:pt idx="0">
                  <c:v>1312.7054943312601</c:v>
                </c:pt>
                <c:pt idx="1">
                  <c:v>1417.4840059666362</c:v>
                </c:pt>
                <c:pt idx="2">
                  <c:v>1532.4629366571178</c:v>
                </c:pt>
                <c:pt idx="3">
                  <c:v>1662.7771088894849</c:v>
                </c:pt>
                <c:pt idx="4">
                  <c:v>1809.1247085976138</c:v>
                </c:pt>
                <c:pt idx="5">
                  <c:v>1966.6646157121675</c:v>
                </c:pt>
                <c:pt idx="6">
                  <c:v>2138.1226188235141</c:v>
                </c:pt>
                <c:pt idx="7">
                  <c:v>2324.6752188016276</c:v>
                </c:pt>
                <c:pt idx="8">
                  <c:v>2527.5561708826312</c:v>
                </c:pt>
                <c:pt idx="9">
                  <c:v>2748.0838576156548</c:v>
                </c:pt>
                <c:pt idx="10">
                  <c:v>2987.6931442528762</c:v>
                </c:pt>
                <c:pt idx="11">
                  <c:v>3247.9171074466262</c:v>
                </c:pt>
                <c:pt idx="12">
                  <c:v>3530.3449987687259</c:v>
                </c:pt>
                <c:pt idx="13">
                  <c:v>3836.6335695411162</c:v>
                </c:pt>
                <c:pt idx="14">
                  <c:v>4168.506153830509</c:v>
                </c:pt>
                <c:pt idx="15">
                  <c:v>4523.3226592534493</c:v>
                </c:pt>
                <c:pt idx="16">
                  <c:v>4906.5682144452121</c:v>
                </c:pt>
                <c:pt idx="17">
                  <c:v>5319.9740810589274</c:v>
                </c:pt>
                <c:pt idx="18">
                  <c:v>5765.2375008292975</c:v>
                </c:pt>
                <c:pt idx="19">
                  <c:v>6243.9870086982291</c:v>
                </c:pt>
                <c:pt idx="20">
                  <c:v>6757.7472003083085</c:v>
                </c:pt>
                <c:pt idx="21">
                  <c:v>7307.8545652276844</c:v>
                </c:pt>
                <c:pt idx="22">
                  <c:v>7895.354053314526</c:v>
                </c:pt>
                <c:pt idx="23">
                  <c:v>8520.9089818747016</c:v>
                </c:pt>
                <c:pt idx="24">
                  <c:v>9184.7008401356288</c:v>
                </c:pt>
                <c:pt idx="25">
                  <c:v>9875.3344821727751</c:v>
                </c:pt>
              </c:numCache>
            </c:numRef>
          </c:val>
          <c:extLst xmlns:c16r2="http://schemas.microsoft.com/office/drawing/2015/06/chart">
            <c:ext xmlns:c16="http://schemas.microsoft.com/office/drawing/2014/chart" uri="{C3380CC4-5D6E-409C-BE32-E72D297353CC}">
              <c16:uniqueId val="{00000002-C647-46EA-B8AF-080064F1DBA8}"/>
            </c:ext>
          </c:extLst>
        </c:ser>
        <c:ser>
          <c:idx val="1"/>
          <c:order val="1"/>
          <c:tx>
            <c:strRef>
              <c:f>Comp.graph!$AL$140</c:f>
              <c:strCache>
                <c:ptCount val="1"/>
                <c:pt idx="0">
                  <c:v>Per Capita Nominal GDP (USD, Delta Plan)</c:v>
                </c:pt>
              </c:strCache>
            </c:strRef>
          </c:tx>
          <c:marker>
            <c:symbol val="none"/>
          </c:marker>
          <c:dLbls>
            <c:dLbl>
              <c:idx val="15"/>
              <c:layout>
                <c:manualLayout>
                  <c:x val="-6.3418405878996123E-2"/>
                  <c:y val="-6.949151182158278E-2"/>
                </c:manualLayout>
              </c:layout>
              <c:showVal val="1"/>
              <c:extLst xmlns:c16r2="http://schemas.microsoft.com/office/drawing/2015/06/chart">
                <c:ext xmlns:c16="http://schemas.microsoft.com/office/drawing/2014/chart" uri="{C3380CC4-5D6E-409C-BE32-E72D297353CC}">
                  <c16:uniqueId val="{00000003-C647-46EA-B8AF-080064F1DBA8}"/>
                </c:ext>
                <c:ext xmlns:c15="http://schemas.microsoft.com/office/drawing/2012/chart" uri="{CE6537A1-D6FC-4f65-9D91-7224C49458BB}">
                  <c15:layout/>
                </c:ext>
              </c:extLst>
            </c:dLbl>
            <c:dLbl>
              <c:idx val="25"/>
              <c:layout>
                <c:manualLayout>
                  <c:x val="-2.0293889881278792E-2"/>
                  <c:y val="-5.5593209457265834E-2"/>
                </c:manualLayout>
              </c:layout>
              <c:showVal val="1"/>
              <c:extLst xmlns:c16r2="http://schemas.microsoft.com/office/drawing/2015/06/chart">
                <c:ext xmlns:c16="http://schemas.microsoft.com/office/drawing/2014/chart" uri="{C3380CC4-5D6E-409C-BE32-E72D297353CC}">
                  <c16:uniqueId val="{00000004-C647-46EA-B8AF-080064F1DBA8}"/>
                </c:ext>
                <c:ext xmlns:c15="http://schemas.microsoft.com/office/drawing/2012/chart" uri="{CE6537A1-D6FC-4f65-9D91-7224C49458BB}">
                  <c15:layout/>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Comp.graph!$AM$137:$BL$138</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Comp.graph!$AM$140:$BL$140</c:f>
              <c:numCache>
                <c:formatCode>0</c:formatCode>
                <c:ptCount val="26"/>
                <c:pt idx="0">
                  <c:v>1312.7054943312603</c:v>
                </c:pt>
                <c:pt idx="1">
                  <c:v>1424.9615464159324</c:v>
                </c:pt>
                <c:pt idx="2">
                  <c:v>1549.2836166653378</c:v>
                </c:pt>
                <c:pt idx="3">
                  <c:v>1691.189898980389</c:v>
                </c:pt>
                <c:pt idx="4">
                  <c:v>1851.844025958967</c:v>
                </c:pt>
                <c:pt idx="5">
                  <c:v>2026.877248786999</c:v>
                </c:pt>
                <c:pt idx="6">
                  <c:v>2219.6608238259037</c:v>
                </c:pt>
                <c:pt idx="7">
                  <c:v>2432.1010867891882</c:v>
                </c:pt>
                <c:pt idx="8">
                  <c:v>2666.2923861719305</c:v>
                </c:pt>
                <c:pt idx="9">
                  <c:v>2924.5693664061055</c:v>
                </c:pt>
                <c:pt idx="10">
                  <c:v>3209.567061842266</c:v>
                </c:pt>
                <c:pt idx="11">
                  <c:v>3524.2370794846747</c:v>
                </c:pt>
                <c:pt idx="12">
                  <c:v>3871.8388006415466</c:v>
                </c:pt>
                <c:pt idx="13">
                  <c:v>4255.9986703515224</c:v>
                </c:pt>
                <c:pt idx="14">
                  <c:v>4680.7597411426195</c:v>
                </c:pt>
                <c:pt idx="15">
                  <c:v>5145.6094310249982</c:v>
                </c:pt>
                <c:pt idx="16">
                  <c:v>5659.6081863316012</c:v>
                </c:pt>
                <c:pt idx="17">
                  <c:v>6228.207584603243</c:v>
                </c:pt>
                <c:pt idx="18">
                  <c:v>6857.4823876547389</c:v>
                </c:pt>
                <c:pt idx="19">
                  <c:v>7554.209229721263</c:v>
                </c:pt>
                <c:pt idx="20">
                  <c:v>8325.969819362781</c:v>
                </c:pt>
                <c:pt idx="21">
                  <c:v>9181.2219053169756</c:v>
                </c:pt>
                <c:pt idx="22">
                  <c:v>10129.375111027568</c:v>
                </c:pt>
                <c:pt idx="23">
                  <c:v>11180.918743565227</c:v>
                </c:pt>
                <c:pt idx="24">
                  <c:v>12347.583076485313</c:v>
                </c:pt>
                <c:pt idx="25">
                  <c:v>13627.859025820493</c:v>
                </c:pt>
              </c:numCache>
            </c:numRef>
          </c:val>
          <c:extLst xmlns:c16r2="http://schemas.microsoft.com/office/drawing/2015/06/chart">
            <c:ext xmlns:c16="http://schemas.microsoft.com/office/drawing/2014/chart" uri="{C3380CC4-5D6E-409C-BE32-E72D297353CC}">
              <c16:uniqueId val="{00000005-C647-46EA-B8AF-080064F1DBA8}"/>
            </c:ext>
          </c:extLst>
        </c:ser>
        <c:marker val="1"/>
        <c:axId val="359419904"/>
        <c:axId val="359421440"/>
      </c:lineChart>
      <c:catAx>
        <c:axId val="359419904"/>
        <c:scaling>
          <c:orientation val="minMax"/>
        </c:scaling>
        <c:axPos val="b"/>
        <c:majorGridlines>
          <c:spPr>
            <a:ln>
              <a:solidFill>
                <a:schemeClr val="bg1"/>
              </a:solidFill>
            </a:ln>
          </c:spPr>
        </c:majorGridlines>
        <c:numFmt formatCode="General" sourceLinked="0"/>
        <c:majorTickMark val="none"/>
        <c:tickLblPos val="nextTo"/>
        <c:txPr>
          <a:bodyPr/>
          <a:lstStyle/>
          <a:p>
            <a:pPr>
              <a:defRPr sz="700" b="1"/>
            </a:pPr>
            <a:endParaRPr lang="en-US"/>
          </a:p>
        </c:txPr>
        <c:crossAx val="359421440"/>
        <c:crosses val="autoZero"/>
        <c:auto val="1"/>
        <c:lblAlgn val="ctr"/>
        <c:lblOffset val="100"/>
      </c:catAx>
      <c:valAx>
        <c:axId val="359421440"/>
        <c:scaling>
          <c:orientation val="minMax"/>
        </c:scaling>
        <c:axPos val="l"/>
        <c:majorGridlines/>
        <c:numFmt formatCode="0" sourceLinked="1"/>
        <c:majorTickMark val="none"/>
        <c:tickLblPos val="nextTo"/>
        <c:spPr>
          <a:ln w="9525">
            <a:noFill/>
          </a:ln>
        </c:spPr>
        <c:txPr>
          <a:bodyPr/>
          <a:lstStyle/>
          <a:p>
            <a:pPr>
              <a:defRPr sz="800" b="0"/>
            </a:pPr>
            <a:endParaRPr lang="en-US"/>
          </a:p>
        </c:txPr>
        <c:crossAx val="359419904"/>
        <c:crosses val="autoZero"/>
        <c:crossBetween val="between"/>
      </c:valAx>
    </c:plotArea>
    <c:legend>
      <c:legendPos val="b"/>
      <c:layout>
        <c:manualLayout>
          <c:xMode val="edge"/>
          <c:yMode val="edge"/>
          <c:x val="0.23116885160005818"/>
          <c:y val="0.83438440004931891"/>
          <c:w val="0.6014861101339275"/>
          <c:h val="0.13781899522204821"/>
        </c:manualLayout>
      </c:layout>
      <c:txPr>
        <a:bodyPr/>
        <a:lstStyle/>
        <a:p>
          <a:pPr>
            <a:defRPr sz="900"/>
          </a:pPr>
          <a:endParaRPr lang="en-US"/>
        </a:p>
      </c:txPr>
    </c:legend>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AU"/>
  <c:style val="3"/>
  <c:chart>
    <c:autoTitleDeleted val="1"/>
    <c:plotArea>
      <c:layout/>
      <c:barChart>
        <c:barDir val="col"/>
        <c:grouping val="clustered"/>
        <c:ser>
          <c:idx val="0"/>
          <c:order val="0"/>
          <c:tx>
            <c:strRef>
              <c:f>Comp.Graph2!$A$125</c:f>
              <c:strCache>
                <c:ptCount val="1"/>
                <c:pt idx="0">
                  <c:v>Male Participation(%)</c:v>
                </c:pt>
              </c:strCache>
            </c:strRef>
          </c:tx>
          <c:dLbls>
            <c:spPr>
              <a:noFill/>
              <a:ln>
                <a:noFill/>
              </a:ln>
              <a:effectLst/>
            </c:spPr>
            <c:txPr>
              <a:bodyPr/>
              <a:lstStyle/>
              <a:p>
                <a:pPr>
                  <a:defRPr sz="800"/>
                </a:pPr>
                <a:endParaRPr lang="en-US"/>
              </a:p>
            </c:txPr>
            <c:dLblPos val="outEnd"/>
            <c:showVal val="1"/>
            <c:extLst xmlns:c16r2="http://schemas.microsoft.com/office/drawing/2015/06/chart">
              <c:ext xmlns:c15="http://schemas.microsoft.com/office/drawing/2012/chart" uri="{CE6537A1-D6FC-4f65-9D91-7224C49458BB}">
                <c15:layout/>
                <c15:showLeaderLines val="0"/>
              </c:ext>
            </c:extLst>
          </c:dLbls>
          <c:cat>
            <c:strRef>
              <c:f>Comp.Graph2!$B$124:$AA$124</c:f>
              <c:strCache>
                <c:ptCount val="4"/>
                <c:pt idx="0">
                  <c:v>FY16</c:v>
                </c:pt>
                <c:pt idx="1">
                  <c:v>FY21</c:v>
                </c:pt>
                <c:pt idx="2">
                  <c:v>FY31</c:v>
                </c:pt>
                <c:pt idx="3">
                  <c:v>FY41</c:v>
                </c:pt>
              </c:strCache>
            </c:strRef>
          </c:cat>
          <c:val>
            <c:numRef>
              <c:f>Comp.Graph2!$B$125:$AA$125</c:f>
              <c:numCache>
                <c:formatCode>General</c:formatCode>
                <c:ptCount val="4"/>
                <c:pt idx="0">
                  <c:v>81.900000000000006</c:v>
                </c:pt>
                <c:pt idx="1">
                  <c:v>82</c:v>
                </c:pt>
                <c:pt idx="2">
                  <c:v>82.2</c:v>
                </c:pt>
                <c:pt idx="3">
                  <c:v>82.2</c:v>
                </c:pt>
              </c:numCache>
            </c:numRef>
          </c:val>
          <c:extLst xmlns:c16r2="http://schemas.microsoft.com/office/drawing/2015/06/chart">
            <c:ext xmlns:c16="http://schemas.microsoft.com/office/drawing/2014/chart" uri="{C3380CC4-5D6E-409C-BE32-E72D297353CC}">
              <c16:uniqueId val="{00000000-A302-4955-ACA9-ACAF769E021E}"/>
            </c:ext>
          </c:extLst>
        </c:ser>
        <c:ser>
          <c:idx val="1"/>
          <c:order val="1"/>
          <c:tx>
            <c:strRef>
              <c:f>Comp.Graph2!$A$126</c:f>
              <c:strCache>
                <c:ptCount val="1"/>
                <c:pt idx="0">
                  <c:v>Female Participation(%)</c:v>
                </c:pt>
              </c:strCache>
            </c:strRef>
          </c:tx>
          <c:spPr>
            <a:solidFill>
              <a:srgbClr val="7030A0"/>
            </a:solidFill>
          </c:spPr>
          <c:dLbls>
            <c:spPr>
              <a:noFill/>
              <a:ln>
                <a:noFill/>
              </a:ln>
              <a:effectLst/>
            </c:spPr>
            <c:txPr>
              <a:bodyPr/>
              <a:lstStyle/>
              <a:p>
                <a:pPr>
                  <a:defRPr sz="700"/>
                </a:pPr>
                <a:endParaRPr lang="en-US"/>
              </a:p>
            </c:txPr>
            <c:showVal val="1"/>
            <c:extLst xmlns:c16r2="http://schemas.microsoft.com/office/drawing/2015/06/chart">
              <c:ext xmlns:c15="http://schemas.microsoft.com/office/drawing/2012/chart" uri="{CE6537A1-D6FC-4f65-9D91-7224C49458BB}">
                <c15:layout/>
                <c15:showLeaderLines val="0"/>
              </c:ext>
            </c:extLst>
          </c:dLbls>
          <c:cat>
            <c:strRef>
              <c:f>Comp.Graph2!$B$124:$AA$124</c:f>
              <c:strCache>
                <c:ptCount val="4"/>
                <c:pt idx="0">
                  <c:v>FY16</c:v>
                </c:pt>
                <c:pt idx="1">
                  <c:v>FY21</c:v>
                </c:pt>
                <c:pt idx="2">
                  <c:v>FY31</c:v>
                </c:pt>
                <c:pt idx="3">
                  <c:v>FY41</c:v>
                </c:pt>
              </c:strCache>
            </c:strRef>
          </c:cat>
          <c:val>
            <c:numRef>
              <c:f>Comp.Graph2!$B$126:$AA$126</c:f>
              <c:numCache>
                <c:formatCode>General</c:formatCode>
                <c:ptCount val="4"/>
                <c:pt idx="0">
                  <c:v>35.500000000000007</c:v>
                </c:pt>
                <c:pt idx="1">
                  <c:v>38.600000000000016</c:v>
                </c:pt>
                <c:pt idx="2">
                  <c:v>45.700000000000038</c:v>
                </c:pt>
                <c:pt idx="3">
                  <c:v>53.70000000000001</c:v>
                </c:pt>
              </c:numCache>
            </c:numRef>
          </c:val>
          <c:extLst xmlns:c16r2="http://schemas.microsoft.com/office/drawing/2015/06/chart">
            <c:ext xmlns:c16="http://schemas.microsoft.com/office/drawing/2014/chart" uri="{C3380CC4-5D6E-409C-BE32-E72D297353CC}">
              <c16:uniqueId val="{00000001-A302-4955-ACA9-ACAF769E021E}"/>
            </c:ext>
          </c:extLst>
        </c:ser>
        <c:ser>
          <c:idx val="2"/>
          <c:order val="2"/>
          <c:tx>
            <c:strRef>
              <c:f>Comp.Graph2!$A$127</c:f>
              <c:strCache>
                <c:ptCount val="1"/>
                <c:pt idx="0">
                  <c:v>Total Participation(%)</c:v>
                </c:pt>
              </c:strCache>
            </c:strRef>
          </c:tx>
          <c:spPr>
            <a:solidFill>
              <a:srgbClr val="002060"/>
            </a:solidFill>
          </c:spPr>
          <c:dLbls>
            <c:spPr>
              <a:noFill/>
              <a:ln>
                <a:noFill/>
              </a:ln>
              <a:effectLst/>
            </c:spPr>
            <c:txPr>
              <a:bodyPr/>
              <a:lstStyle/>
              <a:p>
                <a:pPr>
                  <a:defRPr sz="800"/>
                </a:pPr>
                <a:endParaRPr lang="en-US"/>
              </a:p>
            </c:txPr>
            <c:showVal val="1"/>
            <c:extLst xmlns:c16r2="http://schemas.microsoft.com/office/drawing/2015/06/chart">
              <c:ext xmlns:c15="http://schemas.microsoft.com/office/drawing/2012/chart" uri="{CE6537A1-D6FC-4f65-9D91-7224C49458BB}">
                <c15:layout/>
                <c15:showLeaderLines val="0"/>
              </c:ext>
            </c:extLst>
          </c:dLbls>
          <c:cat>
            <c:strRef>
              <c:f>Comp.Graph2!$B$124:$AA$124</c:f>
              <c:strCache>
                <c:ptCount val="4"/>
                <c:pt idx="0">
                  <c:v>FY16</c:v>
                </c:pt>
                <c:pt idx="1">
                  <c:v>FY21</c:v>
                </c:pt>
                <c:pt idx="2">
                  <c:v>FY31</c:v>
                </c:pt>
                <c:pt idx="3">
                  <c:v>FY41</c:v>
                </c:pt>
              </c:strCache>
            </c:strRef>
          </c:cat>
          <c:val>
            <c:numRef>
              <c:f>Comp.Graph2!$B$127:$AA$127</c:f>
              <c:numCache>
                <c:formatCode>0.0</c:formatCode>
                <c:ptCount val="4"/>
                <c:pt idx="0">
                  <c:v>58.919157450420244</c:v>
                </c:pt>
                <c:pt idx="1">
                  <c:v>60.473270669326944</c:v>
                </c:pt>
                <c:pt idx="2">
                  <c:v>64.038782344500774</c:v>
                </c:pt>
                <c:pt idx="3">
                  <c:v>68</c:v>
                </c:pt>
              </c:numCache>
            </c:numRef>
          </c:val>
          <c:extLst xmlns:c16r2="http://schemas.microsoft.com/office/drawing/2015/06/chart">
            <c:ext xmlns:c16="http://schemas.microsoft.com/office/drawing/2014/chart" uri="{C3380CC4-5D6E-409C-BE32-E72D297353CC}">
              <c16:uniqueId val="{00000002-A302-4955-ACA9-ACAF769E021E}"/>
            </c:ext>
          </c:extLst>
        </c:ser>
        <c:gapWidth val="149"/>
        <c:overlap val="-4"/>
        <c:axId val="359475072"/>
        <c:axId val="359476608"/>
      </c:barChart>
      <c:catAx>
        <c:axId val="359475072"/>
        <c:scaling>
          <c:orientation val="minMax"/>
        </c:scaling>
        <c:axPos val="b"/>
        <c:numFmt formatCode="General" sourceLinked="0"/>
        <c:majorTickMark val="none"/>
        <c:tickLblPos val="nextTo"/>
        <c:txPr>
          <a:bodyPr/>
          <a:lstStyle/>
          <a:p>
            <a:pPr>
              <a:defRPr sz="700"/>
            </a:pPr>
            <a:endParaRPr lang="en-US"/>
          </a:p>
        </c:txPr>
        <c:crossAx val="359476608"/>
        <c:crosses val="autoZero"/>
        <c:auto val="1"/>
        <c:lblAlgn val="ctr"/>
        <c:lblOffset val="100"/>
      </c:catAx>
      <c:valAx>
        <c:axId val="359476608"/>
        <c:scaling>
          <c:orientation val="minMax"/>
        </c:scaling>
        <c:axPos val="l"/>
        <c:majorGridlines/>
        <c:numFmt formatCode="General" sourceLinked="1"/>
        <c:majorTickMark val="none"/>
        <c:tickLblPos val="nextTo"/>
        <c:spPr>
          <a:ln w="9525">
            <a:noFill/>
          </a:ln>
        </c:spPr>
        <c:crossAx val="359475072"/>
        <c:crosses val="autoZero"/>
        <c:crossBetween val="between"/>
      </c:valAx>
    </c:plotArea>
    <c:legend>
      <c:legendPos val="b"/>
      <c:txPr>
        <a:bodyPr/>
        <a:lstStyle/>
        <a:p>
          <a:pPr>
            <a:defRPr sz="800"/>
          </a:pPr>
          <a:endParaRPr lang="en-US"/>
        </a:p>
      </c:txPr>
    </c:legend>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lang val="en-AU"/>
  <c:chart>
    <c:autoTitleDeleted val="1"/>
    <c:plotArea>
      <c:layout>
        <c:manualLayout>
          <c:layoutTarget val="inner"/>
          <c:xMode val="edge"/>
          <c:yMode val="edge"/>
          <c:x val="0.13330700919022373"/>
          <c:y val="0.12037037037037036"/>
          <c:w val="0.79634868650268364"/>
          <c:h val="0.51738334791484086"/>
        </c:manualLayout>
      </c:layout>
      <c:lineChart>
        <c:grouping val="standard"/>
        <c:ser>
          <c:idx val="0"/>
          <c:order val="0"/>
          <c:tx>
            <c:strRef>
              <c:f>Comp.Graph2!$A$26</c:f>
              <c:strCache>
                <c:ptCount val="1"/>
                <c:pt idx="0">
                  <c:v>Haor</c:v>
                </c:pt>
              </c:strCache>
            </c:strRef>
          </c:tx>
          <c:marker>
            <c:symbol val="none"/>
          </c:marker>
          <c:cat>
            <c:strRef>
              <c:f>Comp.Graph2!$B$25:$AA$25</c:f>
              <c:strCache>
                <c:ptCount val="4"/>
                <c:pt idx="0">
                  <c:v>FY16</c:v>
                </c:pt>
                <c:pt idx="1">
                  <c:v>FY21</c:v>
                </c:pt>
                <c:pt idx="2">
                  <c:v>FY31</c:v>
                </c:pt>
                <c:pt idx="3">
                  <c:v>FY41</c:v>
                </c:pt>
              </c:strCache>
            </c:strRef>
          </c:cat>
          <c:val>
            <c:numRef>
              <c:f>Comp.Graph2!$B$26:$AA$26</c:f>
              <c:numCache>
                <c:formatCode>0.00</c:formatCode>
                <c:ptCount val="4"/>
                <c:pt idx="0">
                  <c:v>6.3330827515693162</c:v>
                </c:pt>
                <c:pt idx="1">
                  <c:v>7.1849693906992895</c:v>
                </c:pt>
                <c:pt idx="2">
                  <c:v>8.8815568939710747</c:v>
                </c:pt>
                <c:pt idx="3">
                  <c:v>10.521091973633798</c:v>
                </c:pt>
              </c:numCache>
            </c:numRef>
          </c:val>
          <c:extLst xmlns:c16r2="http://schemas.microsoft.com/office/drawing/2015/06/chart">
            <c:ext xmlns:c16="http://schemas.microsoft.com/office/drawing/2014/chart" uri="{C3380CC4-5D6E-409C-BE32-E72D297353CC}">
              <c16:uniqueId val="{00000000-6433-4C8A-AB8D-B34AE07937E3}"/>
            </c:ext>
          </c:extLst>
        </c:ser>
        <c:ser>
          <c:idx val="1"/>
          <c:order val="1"/>
          <c:tx>
            <c:strRef>
              <c:f>Comp.Graph2!$A$27</c:f>
              <c:strCache>
                <c:ptCount val="1"/>
                <c:pt idx="0">
                  <c:v>Coastal</c:v>
                </c:pt>
              </c:strCache>
            </c:strRef>
          </c:tx>
          <c:marker>
            <c:symbol val="none"/>
          </c:marker>
          <c:cat>
            <c:strRef>
              <c:f>Comp.Graph2!$B$25:$AA$25</c:f>
              <c:strCache>
                <c:ptCount val="4"/>
                <c:pt idx="0">
                  <c:v>FY16</c:v>
                </c:pt>
                <c:pt idx="1">
                  <c:v>FY21</c:v>
                </c:pt>
                <c:pt idx="2">
                  <c:v>FY31</c:v>
                </c:pt>
                <c:pt idx="3">
                  <c:v>FY41</c:v>
                </c:pt>
              </c:strCache>
            </c:strRef>
          </c:cat>
          <c:val>
            <c:numRef>
              <c:f>Comp.Graph2!$B$27:$AA$27</c:f>
              <c:numCache>
                <c:formatCode>0.00</c:formatCode>
                <c:ptCount val="4"/>
                <c:pt idx="0">
                  <c:v>10.572983850828154</c:v>
                </c:pt>
                <c:pt idx="1">
                  <c:v>11.567348838798122</c:v>
                </c:pt>
                <c:pt idx="2">
                  <c:v>13.258356426807881</c:v>
                </c:pt>
                <c:pt idx="3">
                  <c:v>14.500073143746965</c:v>
                </c:pt>
              </c:numCache>
            </c:numRef>
          </c:val>
          <c:extLst xmlns:c16r2="http://schemas.microsoft.com/office/drawing/2015/06/chart">
            <c:ext xmlns:c16="http://schemas.microsoft.com/office/drawing/2014/chart" uri="{C3380CC4-5D6E-409C-BE32-E72D297353CC}">
              <c16:uniqueId val="{00000001-6433-4C8A-AB8D-B34AE07937E3}"/>
            </c:ext>
          </c:extLst>
        </c:ser>
        <c:ser>
          <c:idx val="2"/>
          <c:order val="2"/>
          <c:tx>
            <c:strRef>
              <c:f>Comp.Graph2!$A$28</c:f>
              <c:strCache>
                <c:ptCount val="1"/>
                <c:pt idx="0">
                  <c:v>River Estuary</c:v>
                </c:pt>
              </c:strCache>
            </c:strRef>
          </c:tx>
          <c:marker>
            <c:symbol val="none"/>
          </c:marker>
          <c:cat>
            <c:strRef>
              <c:f>Comp.Graph2!$B$25:$AA$25</c:f>
              <c:strCache>
                <c:ptCount val="4"/>
                <c:pt idx="0">
                  <c:v>FY16</c:v>
                </c:pt>
                <c:pt idx="1">
                  <c:v>FY21</c:v>
                </c:pt>
                <c:pt idx="2">
                  <c:v>FY31</c:v>
                </c:pt>
                <c:pt idx="3">
                  <c:v>FY41</c:v>
                </c:pt>
              </c:strCache>
            </c:strRef>
          </c:cat>
          <c:val>
            <c:numRef>
              <c:f>Comp.Graph2!$B$28:$AA$28</c:f>
              <c:numCache>
                <c:formatCode>0.00</c:formatCode>
                <c:ptCount val="4"/>
                <c:pt idx="0">
                  <c:v>17.082400145670789</c:v>
                </c:pt>
                <c:pt idx="1">
                  <c:v>19.027510667919717</c:v>
                </c:pt>
                <c:pt idx="2">
                  <c:v>22.662803442989286</c:v>
                </c:pt>
                <c:pt idx="3">
                  <c:v>25.852342369038418</c:v>
                </c:pt>
              </c:numCache>
            </c:numRef>
          </c:val>
          <c:extLst xmlns:c16r2="http://schemas.microsoft.com/office/drawing/2015/06/chart">
            <c:ext xmlns:c16="http://schemas.microsoft.com/office/drawing/2014/chart" uri="{C3380CC4-5D6E-409C-BE32-E72D297353CC}">
              <c16:uniqueId val="{00000002-6433-4C8A-AB8D-B34AE07937E3}"/>
            </c:ext>
          </c:extLst>
        </c:ser>
        <c:ser>
          <c:idx val="3"/>
          <c:order val="3"/>
          <c:tx>
            <c:strRef>
              <c:f>Comp.Graph2!$A$29</c:f>
              <c:strCache>
                <c:ptCount val="1"/>
                <c:pt idx="0">
                  <c:v>Drought</c:v>
                </c:pt>
              </c:strCache>
            </c:strRef>
          </c:tx>
          <c:marker>
            <c:symbol val="none"/>
          </c:marker>
          <c:cat>
            <c:strRef>
              <c:f>Comp.Graph2!$B$25:$AA$25</c:f>
              <c:strCache>
                <c:ptCount val="4"/>
                <c:pt idx="0">
                  <c:v>FY16</c:v>
                </c:pt>
                <c:pt idx="1">
                  <c:v>FY21</c:v>
                </c:pt>
                <c:pt idx="2">
                  <c:v>FY31</c:v>
                </c:pt>
                <c:pt idx="3">
                  <c:v>FY41</c:v>
                </c:pt>
              </c:strCache>
            </c:strRef>
          </c:cat>
          <c:val>
            <c:numRef>
              <c:f>Comp.Graph2!$B$29:$AA$29</c:f>
              <c:numCache>
                <c:formatCode>0.00</c:formatCode>
                <c:ptCount val="4"/>
                <c:pt idx="0">
                  <c:v>9.4600703047384282</c:v>
                </c:pt>
                <c:pt idx="1">
                  <c:v>10.557944329478024</c:v>
                </c:pt>
                <c:pt idx="2">
                  <c:v>12.626333038826786</c:v>
                </c:pt>
                <c:pt idx="3">
                  <c:v>14.46498877902215</c:v>
                </c:pt>
              </c:numCache>
            </c:numRef>
          </c:val>
          <c:extLst xmlns:c16r2="http://schemas.microsoft.com/office/drawing/2015/06/chart">
            <c:ext xmlns:c16="http://schemas.microsoft.com/office/drawing/2014/chart" uri="{C3380CC4-5D6E-409C-BE32-E72D297353CC}">
              <c16:uniqueId val="{00000003-6433-4C8A-AB8D-B34AE07937E3}"/>
            </c:ext>
          </c:extLst>
        </c:ser>
        <c:ser>
          <c:idx val="4"/>
          <c:order val="4"/>
          <c:tx>
            <c:strRef>
              <c:f>Comp.Graph2!$A$30</c:f>
              <c:strCache>
                <c:ptCount val="1"/>
                <c:pt idx="0">
                  <c:v>Chittagong Hill Tract</c:v>
                </c:pt>
              </c:strCache>
            </c:strRef>
          </c:tx>
          <c:marker>
            <c:symbol val="none"/>
          </c:marker>
          <c:cat>
            <c:strRef>
              <c:f>Comp.Graph2!$B$25:$AA$25</c:f>
              <c:strCache>
                <c:ptCount val="4"/>
                <c:pt idx="0">
                  <c:v>FY16</c:v>
                </c:pt>
                <c:pt idx="1">
                  <c:v>FY21</c:v>
                </c:pt>
                <c:pt idx="2">
                  <c:v>FY31</c:v>
                </c:pt>
                <c:pt idx="3">
                  <c:v>FY41</c:v>
                </c:pt>
              </c:strCache>
            </c:strRef>
          </c:cat>
          <c:val>
            <c:numRef>
              <c:f>Comp.Graph2!$B$30:$AA$30</c:f>
              <c:numCache>
                <c:formatCode>0.00</c:formatCode>
                <c:ptCount val="4"/>
                <c:pt idx="0">
                  <c:v>0.70948585466568581</c:v>
                </c:pt>
                <c:pt idx="1">
                  <c:v>0.81456555407592957</c:v>
                </c:pt>
                <c:pt idx="2">
                  <c:v>1.0303604970419897</c:v>
                </c:pt>
                <c:pt idx="3">
                  <c:v>1.247744430714423</c:v>
                </c:pt>
              </c:numCache>
            </c:numRef>
          </c:val>
          <c:extLst xmlns:c16r2="http://schemas.microsoft.com/office/drawing/2015/06/chart">
            <c:ext xmlns:c16="http://schemas.microsoft.com/office/drawing/2014/chart" uri="{C3380CC4-5D6E-409C-BE32-E72D297353CC}">
              <c16:uniqueId val="{00000004-6433-4C8A-AB8D-B34AE07937E3}"/>
            </c:ext>
          </c:extLst>
        </c:ser>
        <c:ser>
          <c:idx val="5"/>
          <c:order val="5"/>
          <c:tx>
            <c:strRef>
              <c:f>Comp.Graph2!$A$31</c:f>
              <c:strCache>
                <c:ptCount val="1"/>
                <c:pt idx="0">
                  <c:v>Urban</c:v>
                </c:pt>
              </c:strCache>
            </c:strRef>
          </c:tx>
          <c:marker>
            <c:symbol val="none"/>
          </c:marker>
          <c:cat>
            <c:strRef>
              <c:f>Comp.Graph2!$B$25:$AA$25</c:f>
              <c:strCache>
                <c:ptCount val="4"/>
                <c:pt idx="0">
                  <c:v>FY16</c:v>
                </c:pt>
                <c:pt idx="1">
                  <c:v>FY21</c:v>
                </c:pt>
                <c:pt idx="2">
                  <c:v>FY31</c:v>
                </c:pt>
                <c:pt idx="3">
                  <c:v>FY41</c:v>
                </c:pt>
              </c:strCache>
            </c:strRef>
          </c:cat>
          <c:val>
            <c:numRef>
              <c:f>Comp.Graph2!$B$31:$AA$31</c:f>
              <c:numCache>
                <c:formatCode>0.00</c:formatCode>
                <c:ptCount val="4"/>
                <c:pt idx="0">
                  <c:v>11.38604965998406</c:v>
                </c:pt>
                <c:pt idx="1">
                  <c:v>13.334210780222998</c:v>
                </c:pt>
                <c:pt idx="2">
                  <c:v>17.495893646435889</c:v>
                </c:pt>
                <c:pt idx="3">
                  <c:v>21.922198909744719</c:v>
                </c:pt>
              </c:numCache>
            </c:numRef>
          </c:val>
          <c:extLst xmlns:c16r2="http://schemas.microsoft.com/office/drawing/2015/06/chart">
            <c:ext xmlns:c16="http://schemas.microsoft.com/office/drawing/2014/chart" uri="{C3380CC4-5D6E-409C-BE32-E72D297353CC}">
              <c16:uniqueId val="{00000005-6433-4C8A-AB8D-B34AE07937E3}"/>
            </c:ext>
          </c:extLst>
        </c:ser>
        <c:ser>
          <c:idx val="6"/>
          <c:order val="6"/>
          <c:tx>
            <c:strRef>
              <c:f>Comp.Graph2!$A$32</c:f>
              <c:strCache>
                <c:ptCount val="1"/>
                <c:pt idx="0">
                  <c:v>Less Disaster Prone Region</c:v>
                </c:pt>
              </c:strCache>
            </c:strRef>
          </c:tx>
          <c:marker>
            <c:symbol val="none"/>
          </c:marker>
          <c:cat>
            <c:strRef>
              <c:f>Comp.Graph2!$B$25:$AA$25</c:f>
              <c:strCache>
                <c:ptCount val="4"/>
                <c:pt idx="0">
                  <c:v>FY16</c:v>
                </c:pt>
                <c:pt idx="1">
                  <c:v>FY21</c:v>
                </c:pt>
                <c:pt idx="2">
                  <c:v>FY31</c:v>
                </c:pt>
                <c:pt idx="3">
                  <c:v>FY41</c:v>
                </c:pt>
              </c:strCache>
            </c:strRef>
          </c:cat>
          <c:val>
            <c:numRef>
              <c:f>Comp.Graph2!$B$32:$AA$32</c:f>
              <c:numCache>
                <c:formatCode>0.00</c:formatCode>
                <c:ptCount val="4"/>
                <c:pt idx="0">
                  <c:v>6.9747851523626094</c:v>
                </c:pt>
                <c:pt idx="1">
                  <c:v>8.0395955194691382</c:v>
                </c:pt>
                <c:pt idx="2">
                  <c:v>10.245852748814148</c:v>
                </c:pt>
                <c:pt idx="3">
                  <c:v>12.50705763723389</c:v>
                </c:pt>
              </c:numCache>
            </c:numRef>
          </c:val>
          <c:extLst xmlns:c16r2="http://schemas.microsoft.com/office/drawing/2015/06/chart">
            <c:ext xmlns:c16="http://schemas.microsoft.com/office/drawing/2014/chart" uri="{C3380CC4-5D6E-409C-BE32-E72D297353CC}">
              <c16:uniqueId val="{00000006-6433-4C8A-AB8D-B34AE07937E3}"/>
            </c:ext>
          </c:extLst>
        </c:ser>
        <c:marker val="1"/>
        <c:axId val="358762752"/>
        <c:axId val="358772736"/>
      </c:lineChart>
      <c:catAx>
        <c:axId val="358762752"/>
        <c:scaling>
          <c:orientation val="minMax"/>
        </c:scaling>
        <c:axPos val="b"/>
        <c:numFmt formatCode="General" sourceLinked="0"/>
        <c:majorTickMark val="none"/>
        <c:tickLblPos val="nextTo"/>
        <c:txPr>
          <a:bodyPr/>
          <a:lstStyle/>
          <a:p>
            <a:pPr>
              <a:defRPr sz="700"/>
            </a:pPr>
            <a:endParaRPr lang="en-US"/>
          </a:p>
        </c:txPr>
        <c:crossAx val="358772736"/>
        <c:crosses val="autoZero"/>
        <c:auto val="1"/>
        <c:lblAlgn val="ctr"/>
        <c:lblOffset val="100"/>
      </c:catAx>
      <c:valAx>
        <c:axId val="358772736"/>
        <c:scaling>
          <c:orientation val="minMax"/>
        </c:scaling>
        <c:axPos val="l"/>
        <c:majorGridlines/>
        <c:title>
          <c:tx>
            <c:rich>
              <a:bodyPr rot="0" vert="horz"/>
              <a:lstStyle/>
              <a:p>
                <a:pPr>
                  <a:defRPr sz="800"/>
                </a:pPr>
                <a:r>
                  <a:rPr lang="en-US" sz="800"/>
                  <a:t>In</a:t>
                </a:r>
                <a:r>
                  <a:rPr lang="en-US" sz="800" baseline="0"/>
                  <a:t> million</a:t>
                </a:r>
                <a:endParaRPr lang="en-US" sz="800"/>
              </a:p>
            </c:rich>
          </c:tx>
          <c:layout>
            <c:manualLayout>
              <c:xMode val="edge"/>
              <c:yMode val="edge"/>
              <c:x val="1.179941002949852E-2"/>
              <c:y val="2.9443715368912375E-2"/>
            </c:manualLayout>
          </c:layout>
        </c:title>
        <c:numFmt formatCode="0.00" sourceLinked="1"/>
        <c:majorTickMark val="none"/>
        <c:tickLblPos val="nextTo"/>
        <c:spPr>
          <a:ln w="9525">
            <a:noFill/>
          </a:ln>
        </c:spPr>
        <c:txPr>
          <a:bodyPr/>
          <a:lstStyle/>
          <a:p>
            <a:pPr>
              <a:defRPr sz="800"/>
            </a:pPr>
            <a:endParaRPr lang="en-US"/>
          </a:p>
        </c:txPr>
        <c:crossAx val="358762752"/>
        <c:crosses val="autoZero"/>
        <c:crossBetween val="between"/>
      </c:valAx>
    </c:plotArea>
    <c:legend>
      <c:legendPos val="b"/>
      <c:layout>
        <c:manualLayout>
          <c:xMode val="edge"/>
          <c:yMode val="edge"/>
          <c:x val="3.752181419800401E-2"/>
          <c:y val="0.73908063575386462"/>
          <c:w val="0.88169155846669922"/>
          <c:h val="0.23314158646835811"/>
        </c:manualLayout>
      </c:layout>
      <c:txPr>
        <a:bodyPr/>
        <a:lstStyle/>
        <a:p>
          <a:pPr>
            <a:defRPr sz="600"/>
          </a:pPr>
          <a:endParaRPr lang="en-US"/>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manualLayout>
          <c:layoutTarget val="inner"/>
          <c:xMode val="edge"/>
          <c:yMode val="edge"/>
          <c:x val="0.23272630568755995"/>
          <c:y val="0.18136768618208701"/>
          <c:w val="0.72361742227156356"/>
          <c:h val="0.64338805688504663"/>
        </c:manualLayout>
      </c:layout>
      <c:barChart>
        <c:barDir val="bar"/>
        <c:grouping val="clustered"/>
        <c:ser>
          <c:idx val="0"/>
          <c:order val="0"/>
          <c:spPr>
            <a:solidFill>
              <a:srgbClr val="7030A0"/>
            </a:solidFill>
          </c:spPr>
          <c:dLbls>
            <c:spPr>
              <a:noFill/>
              <a:ln>
                <a:noFill/>
              </a:ln>
              <a:effectLst/>
            </c:spPr>
            <c:txPr>
              <a:bodyPr/>
              <a:lstStyle/>
              <a:p>
                <a:pPr>
                  <a:defRPr sz="900" baseline="0"/>
                </a:pPr>
                <a:endParaRPr lang="en-US"/>
              </a:p>
            </c:txPr>
            <c:dLblPos val="outEnd"/>
            <c:showVal val="1"/>
            <c:extLst xmlns:c16r2="http://schemas.microsoft.com/office/drawing/2015/06/chart">
              <c:ext xmlns:c15="http://schemas.microsoft.com/office/drawing/2012/chart" uri="{CE6537A1-D6FC-4f65-9D91-7224C49458BB}">
                <c15:showLeaderLines val="0"/>
              </c:ext>
            </c:extLst>
          </c:dLbls>
          <c:cat>
            <c:strRef>
              <c:f>'Distribution_Administrative Uni'!$A$30:$A$37</c:f>
              <c:strCache>
                <c:ptCount val="8"/>
                <c:pt idx="0">
                  <c:v>Haor</c:v>
                </c:pt>
                <c:pt idx="1">
                  <c:v>Coastal</c:v>
                </c:pt>
                <c:pt idx="2">
                  <c:v>CTG Hill (CHT)</c:v>
                </c:pt>
                <c:pt idx="3">
                  <c:v>Urban </c:v>
                </c:pt>
                <c:pt idx="4">
                  <c:v>Drought Prone</c:v>
                </c:pt>
                <c:pt idx="5">
                  <c:v>Rivers &amp; Estuaries</c:v>
                </c:pt>
                <c:pt idx="6">
                  <c:v>Non-Delta</c:v>
                </c:pt>
                <c:pt idx="7">
                  <c:v>Bangladesh</c:v>
                </c:pt>
              </c:strCache>
            </c:strRef>
          </c:cat>
          <c:val>
            <c:numRef>
              <c:f>'Distribution_Administrative Uni'!$D$30:$D$37</c:f>
              <c:numCache>
                <c:formatCode>0.00</c:formatCode>
                <c:ptCount val="8"/>
                <c:pt idx="0">
                  <c:v>1.5196600664751037</c:v>
                </c:pt>
                <c:pt idx="1">
                  <c:v>0.76173351576350479</c:v>
                </c:pt>
                <c:pt idx="2">
                  <c:v>1.9605310013415436</c:v>
                </c:pt>
                <c:pt idx="3">
                  <c:v>2.3334321302613787</c:v>
                </c:pt>
                <c:pt idx="4">
                  <c:v>1.1184649191012821</c:v>
                </c:pt>
                <c:pt idx="5">
                  <c:v>1.1055119902093919</c:v>
                </c:pt>
                <c:pt idx="6">
                  <c:v>1.9026278307005373</c:v>
                </c:pt>
                <c:pt idx="7">
                  <c:v>1.3888343720676766</c:v>
                </c:pt>
              </c:numCache>
            </c:numRef>
          </c:val>
          <c:extLst xmlns:c16r2="http://schemas.microsoft.com/office/drawing/2015/06/chart">
            <c:ext xmlns:c16="http://schemas.microsoft.com/office/drawing/2014/chart" uri="{C3380CC4-5D6E-409C-BE32-E72D297353CC}">
              <c16:uniqueId val="{00000000-92DC-4836-987B-C323DBAA8008}"/>
            </c:ext>
          </c:extLst>
        </c:ser>
        <c:dLbls>
          <c:showVal val="1"/>
        </c:dLbls>
        <c:axId val="343419520"/>
        <c:axId val="343433600"/>
      </c:barChart>
      <c:catAx>
        <c:axId val="343419520"/>
        <c:scaling>
          <c:orientation val="minMax"/>
        </c:scaling>
        <c:axPos val="l"/>
        <c:numFmt formatCode="General" sourceLinked="0"/>
        <c:tickLblPos val="nextTo"/>
        <c:txPr>
          <a:bodyPr/>
          <a:lstStyle/>
          <a:p>
            <a:pPr>
              <a:defRPr sz="800" b="1" i="0" baseline="0"/>
            </a:pPr>
            <a:endParaRPr lang="en-US"/>
          </a:p>
        </c:txPr>
        <c:crossAx val="343433600"/>
        <c:crosses val="autoZero"/>
        <c:auto val="1"/>
        <c:lblAlgn val="ctr"/>
        <c:lblOffset val="100"/>
      </c:catAx>
      <c:valAx>
        <c:axId val="343433600"/>
        <c:scaling>
          <c:orientation val="minMax"/>
        </c:scaling>
        <c:axPos val="b"/>
        <c:title>
          <c:tx>
            <c:rich>
              <a:bodyPr/>
              <a:lstStyle/>
              <a:p>
                <a:pPr>
                  <a:defRPr/>
                </a:pPr>
                <a:r>
                  <a:rPr lang="en-US"/>
                  <a:t>Growth</a:t>
                </a:r>
                <a:r>
                  <a:rPr lang="en-US" baseline="0"/>
                  <a:t> rate of population (%)</a:t>
                </a:r>
                <a:endParaRPr lang="en-US"/>
              </a:p>
            </c:rich>
          </c:tx>
          <c:layout>
            <c:manualLayout>
              <c:xMode val="edge"/>
              <c:yMode val="edge"/>
              <c:x val="0.24448349723534932"/>
              <c:y val="5.9487678078777403E-2"/>
            </c:manualLayout>
          </c:layout>
        </c:title>
        <c:numFmt formatCode="0.00" sourceLinked="1"/>
        <c:tickLblPos val="nextTo"/>
        <c:txPr>
          <a:bodyPr/>
          <a:lstStyle/>
          <a:p>
            <a:pPr>
              <a:defRPr sz="900" baseline="0"/>
            </a:pPr>
            <a:endParaRPr lang="en-US"/>
          </a:p>
        </c:txPr>
        <c:crossAx val="343419520"/>
        <c:crosses val="autoZero"/>
        <c:crossBetween val="between"/>
      </c:valAx>
    </c:plotArea>
    <c:plotVisOnly val="1"/>
    <c:dispBlanksAs val="gap"/>
  </c:chart>
  <c:spPr>
    <a:noFill/>
    <a:ln>
      <a:solidFill>
        <a:schemeClr val="accent1"/>
      </a:solidFill>
    </a:ln>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en-AU"/>
  <c:chart>
    <c:autoTitleDeleted val="1"/>
    <c:plotArea>
      <c:layout>
        <c:manualLayout>
          <c:layoutTarget val="inner"/>
          <c:xMode val="edge"/>
          <c:yMode val="edge"/>
          <c:x val="9.2949633531944451E-2"/>
          <c:y val="0.12012293624587263"/>
          <c:w val="0.83461167532949465"/>
          <c:h val="0.68776936753873563"/>
        </c:manualLayout>
      </c:layout>
      <c:barChart>
        <c:barDir val="col"/>
        <c:grouping val="clustered"/>
        <c:ser>
          <c:idx val="0"/>
          <c:order val="0"/>
          <c:tx>
            <c:strRef>
              <c:f>Comp.graph!$AL$29</c:f>
              <c:strCache>
                <c:ptCount val="1"/>
                <c:pt idx="0">
                  <c:v>Real capital stock (in billion USD)</c:v>
                </c:pt>
              </c:strCache>
            </c:strRef>
          </c:tx>
          <c:cat>
            <c:strRef>
              <c:f>Comp.graph!$AM$27:$BL$27</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Comp.graph!$AM$29:$BL$29</c:f>
              <c:numCache>
                <c:formatCode>0</c:formatCode>
                <c:ptCount val="26"/>
                <c:pt idx="0">
                  <c:v>200.71219507815388</c:v>
                </c:pt>
                <c:pt idx="1">
                  <c:v>223.7057422532834</c:v>
                </c:pt>
                <c:pt idx="2">
                  <c:v>248.24519427314397</c:v>
                </c:pt>
                <c:pt idx="3">
                  <c:v>275.03795396808994</c:v>
                </c:pt>
                <c:pt idx="4">
                  <c:v>305.11547282932543</c:v>
                </c:pt>
                <c:pt idx="5">
                  <c:v>336.86146403222</c:v>
                </c:pt>
                <c:pt idx="6">
                  <c:v>370.27902608295926</c:v>
                </c:pt>
                <c:pt idx="7">
                  <c:v>405.55816834156025</c:v>
                </c:pt>
                <c:pt idx="8">
                  <c:v>442.90447906639366</c:v>
                </c:pt>
                <c:pt idx="9">
                  <c:v>482.08146381717683</c:v>
                </c:pt>
                <c:pt idx="10">
                  <c:v>523.7110147538591</c:v>
                </c:pt>
                <c:pt idx="11">
                  <c:v>567.50819145852802</c:v>
                </c:pt>
                <c:pt idx="12">
                  <c:v>614.20425580719893</c:v>
                </c:pt>
                <c:pt idx="13">
                  <c:v>663.46224397173137</c:v>
                </c:pt>
                <c:pt idx="14">
                  <c:v>716.13856578019659</c:v>
                </c:pt>
                <c:pt idx="15">
                  <c:v>771.82352662848541</c:v>
                </c:pt>
                <c:pt idx="16">
                  <c:v>830.73724326339823</c:v>
                </c:pt>
                <c:pt idx="17">
                  <c:v>893.95426873447366</c:v>
                </c:pt>
                <c:pt idx="18">
                  <c:v>960.98220650754752</c:v>
                </c:pt>
                <c:pt idx="19">
                  <c:v>1032.0836393854559</c:v>
                </c:pt>
                <c:pt idx="20">
                  <c:v>1107.5394946425988</c:v>
                </c:pt>
                <c:pt idx="21">
                  <c:v>1187.6503838444348</c:v>
                </c:pt>
                <c:pt idx="22">
                  <c:v>1272.7380436190958</c:v>
                </c:pt>
                <c:pt idx="23">
                  <c:v>1363.1468852286989</c:v>
                </c:pt>
                <c:pt idx="24">
                  <c:v>1459.2456614155362</c:v>
                </c:pt>
                <c:pt idx="25">
                  <c:v>1561.1863919235855</c:v>
                </c:pt>
              </c:numCache>
            </c:numRef>
          </c:val>
          <c:extLst xmlns:c16r2="http://schemas.microsoft.com/office/drawing/2015/06/chart">
            <c:ext xmlns:c16="http://schemas.microsoft.com/office/drawing/2014/chart" uri="{C3380CC4-5D6E-409C-BE32-E72D297353CC}">
              <c16:uniqueId val="{00000000-D7B7-482D-A69B-211A8FC6C3CB}"/>
            </c:ext>
          </c:extLst>
        </c:ser>
        <c:axId val="358807808"/>
        <c:axId val="358821888"/>
      </c:barChart>
      <c:lineChart>
        <c:grouping val="standard"/>
        <c:ser>
          <c:idx val="1"/>
          <c:order val="1"/>
          <c:tx>
            <c:strRef>
              <c:f>Comp.graph!$AL$30</c:f>
              <c:strCache>
                <c:ptCount val="1"/>
                <c:pt idx="0">
                  <c:v>Investment-GDP ratio (%)</c:v>
                </c:pt>
              </c:strCache>
            </c:strRef>
          </c:tx>
          <c:marker>
            <c:symbol val="none"/>
          </c:marker>
          <c:cat>
            <c:strRef>
              <c:f>Comp.graph!$AM$27:$BL$27</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Comp.graph!$AM$30:$BL$30</c:f>
              <c:numCache>
                <c:formatCode>General</c:formatCode>
                <c:ptCount val="26"/>
                <c:pt idx="0">
                  <c:v>30.100036656594771</c:v>
                </c:pt>
                <c:pt idx="1">
                  <c:v>30.912588589387489</c:v>
                </c:pt>
                <c:pt idx="2">
                  <c:v>31.681760625345312</c:v>
                </c:pt>
                <c:pt idx="3">
                  <c:v>32.54722166985794</c:v>
                </c:pt>
                <c:pt idx="4">
                  <c:v>34.237634348190063</c:v>
                </c:pt>
                <c:pt idx="5">
                  <c:v>34.486000000000004</c:v>
                </c:pt>
                <c:pt idx="6">
                  <c:v>34.572000000000003</c:v>
                </c:pt>
                <c:pt idx="7">
                  <c:v>34.658000000000008</c:v>
                </c:pt>
                <c:pt idx="8">
                  <c:v>34.744</c:v>
                </c:pt>
                <c:pt idx="9">
                  <c:v>34.83</c:v>
                </c:pt>
                <c:pt idx="10">
                  <c:v>34.916000000000004</c:v>
                </c:pt>
                <c:pt idx="11">
                  <c:v>35.002000000000002</c:v>
                </c:pt>
                <c:pt idx="12">
                  <c:v>35.088000000000001</c:v>
                </c:pt>
                <c:pt idx="13">
                  <c:v>35.174000000000007</c:v>
                </c:pt>
                <c:pt idx="14">
                  <c:v>35.260000000000012</c:v>
                </c:pt>
                <c:pt idx="15">
                  <c:v>35.346000000000004</c:v>
                </c:pt>
                <c:pt idx="16">
                  <c:v>35.431999999999952</c:v>
                </c:pt>
                <c:pt idx="17">
                  <c:v>35.517999999999958</c:v>
                </c:pt>
                <c:pt idx="18">
                  <c:v>35.604000000000006</c:v>
                </c:pt>
                <c:pt idx="19">
                  <c:v>35.689999999999962</c:v>
                </c:pt>
                <c:pt idx="20">
                  <c:v>35.77600000000001</c:v>
                </c:pt>
                <c:pt idx="21">
                  <c:v>35.861999999999952</c:v>
                </c:pt>
                <c:pt idx="22">
                  <c:v>35.947999999999951</c:v>
                </c:pt>
                <c:pt idx="23">
                  <c:v>36.033999999999963</c:v>
                </c:pt>
                <c:pt idx="24">
                  <c:v>36.119999999999862</c:v>
                </c:pt>
                <c:pt idx="25">
                  <c:v>36.163000000000011</c:v>
                </c:pt>
              </c:numCache>
            </c:numRef>
          </c:val>
          <c:extLst xmlns:c16r2="http://schemas.microsoft.com/office/drawing/2015/06/chart">
            <c:ext xmlns:c16="http://schemas.microsoft.com/office/drawing/2014/chart" uri="{C3380CC4-5D6E-409C-BE32-E72D297353CC}">
              <c16:uniqueId val="{00000001-D7B7-482D-A69B-211A8FC6C3CB}"/>
            </c:ext>
          </c:extLst>
        </c:ser>
        <c:marker val="1"/>
        <c:axId val="358825984"/>
        <c:axId val="358823808"/>
      </c:lineChart>
      <c:catAx>
        <c:axId val="358807808"/>
        <c:scaling>
          <c:orientation val="minMax"/>
        </c:scaling>
        <c:axPos val="b"/>
        <c:numFmt formatCode="General" sourceLinked="0"/>
        <c:majorTickMark val="none"/>
        <c:tickLblPos val="nextTo"/>
        <c:crossAx val="358821888"/>
        <c:crosses val="autoZero"/>
        <c:auto val="1"/>
        <c:lblAlgn val="ctr"/>
        <c:lblOffset val="100"/>
        <c:tickLblSkip val="1"/>
      </c:catAx>
      <c:valAx>
        <c:axId val="358821888"/>
        <c:scaling>
          <c:orientation val="minMax"/>
        </c:scaling>
        <c:axPos val="l"/>
        <c:majorGridlines/>
        <c:title>
          <c:tx>
            <c:rich>
              <a:bodyPr rot="0" vert="horz"/>
              <a:lstStyle/>
              <a:p>
                <a:pPr>
                  <a:defRPr/>
                </a:pPr>
                <a:r>
                  <a:rPr lang="en-US"/>
                  <a:t>bn, $</a:t>
                </a:r>
              </a:p>
            </c:rich>
          </c:tx>
          <c:layout>
            <c:manualLayout>
              <c:xMode val="edge"/>
              <c:yMode val="edge"/>
              <c:x val="7.5045333107958995E-2"/>
              <c:y val="3.2123952247904493E-2"/>
            </c:manualLayout>
          </c:layout>
        </c:title>
        <c:numFmt formatCode="0" sourceLinked="1"/>
        <c:tickLblPos val="nextTo"/>
        <c:crossAx val="358807808"/>
        <c:crosses val="autoZero"/>
        <c:crossBetween val="between"/>
        <c:majorUnit val="400"/>
      </c:valAx>
      <c:valAx>
        <c:axId val="358823808"/>
        <c:scaling>
          <c:orientation val="minMax"/>
        </c:scaling>
        <c:axPos val="r"/>
        <c:title>
          <c:tx>
            <c:rich>
              <a:bodyPr rot="0" vert="horz"/>
              <a:lstStyle/>
              <a:p>
                <a:pPr>
                  <a:defRPr/>
                </a:pPr>
                <a:r>
                  <a:rPr lang="en-US"/>
                  <a:t>%</a:t>
                </a:r>
              </a:p>
            </c:rich>
          </c:tx>
          <c:layout>
            <c:manualLayout>
              <c:xMode val="edge"/>
              <c:yMode val="edge"/>
              <c:x val="0.89928622070720332"/>
              <c:y val="2.4810092286851246E-2"/>
            </c:manualLayout>
          </c:layout>
        </c:title>
        <c:numFmt formatCode="General" sourceLinked="1"/>
        <c:tickLblPos val="nextTo"/>
        <c:crossAx val="358825984"/>
        <c:crosses val="max"/>
        <c:crossBetween val="between"/>
        <c:majorUnit val="10"/>
      </c:valAx>
      <c:catAx>
        <c:axId val="358825984"/>
        <c:scaling>
          <c:orientation val="minMax"/>
        </c:scaling>
        <c:delete val="1"/>
        <c:axPos val="b"/>
        <c:numFmt formatCode="General" sourceLinked="1"/>
        <c:tickLblPos val="none"/>
        <c:crossAx val="358823808"/>
        <c:crosses val="autoZero"/>
        <c:auto val="1"/>
        <c:lblAlgn val="ctr"/>
        <c:lblOffset val="100"/>
      </c:catAx>
    </c:plotArea>
    <c:legend>
      <c:legendPos val="r"/>
      <c:layout>
        <c:manualLayout>
          <c:xMode val="edge"/>
          <c:yMode val="edge"/>
          <c:x val="0.11908704614069945"/>
          <c:y val="0.92318076369486068"/>
          <c:w val="0.78877692166833369"/>
          <c:h val="7.4513250359834207E-2"/>
        </c:manualLayout>
      </c:layout>
    </c:legend>
    <c:plotVisOnly val="1"/>
    <c:dispBlanksAs val="gap"/>
  </c:chart>
  <c:txPr>
    <a:bodyPr/>
    <a:lstStyle/>
    <a:p>
      <a:pPr>
        <a:defRPr sz="900">
          <a:latin typeface="Segoe UI" panose="020B0502040204020203" pitchFamily="34" charset="0"/>
          <a:cs typeface="Segoe UI" panose="020B0502040204020203" pitchFamily="34" charset="0"/>
        </a:defRPr>
      </a:pPr>
      <a:endParaRPr lang="en-U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AU"/>
  <c:style val="3"/>
  <c:chart>
    <c:autoTitleDeleted val="1"/>
    <c:plotArea>
      <c:layout>
        <c:manualLayout>
          <c:layoutTarget val="inner"/>
          <c:xMode val="edge"/>
          <c:yMode val="edge"/>
          <c:x val="0.14348127427815038"/>
          <c:y val="0.11166136877485551"/>
          <c:w val="0.72424790335551836"/>
          <c:h val="0.6013850632307326"/>
        </c:manualLayout>
      </c:layout>
      <c:barChart>
        <c:barDir val="col"/>
        <c:grouping val="clustered"/>
        <c:ser>
          <c:idx val="1"/>
          <c:order val="1"/>
          <c:tx>
            <c:strRef>
              <c:f>Comp.graph!$B$107</c:f>
              <c:strCache>
                <c:ptCount val="1"/>
                <c:pt idx="0">
                  <c:v>Population under upper poverty line, in million</c:v>
                </c:pt>
              </c:strCache>
            </c:strRef>
          </c:tx>
          <c:dLbls>
            <c:dLbl>
              <c:idx val="0"/>
              <c:layout>
                <c:manualLayout>
                  <c:x val="2.6936026936026935E-2"/>
                  <c:y val="1.4545072774994032E-2"/>
                </c:manualLayout>
              </c:layout>
              <c:spPr/>
              <c:txPr>
                <a:bodyPr/>
                <a:lstStyle/>
                <a:p>
                  <a:pPr>
                    <a:defRPr sz="500" b="1"/>
                  </a:pPr>
                  <a:endParaRPr lang="en-US"/>
                </a:p>
              </c:txPr>
              <c:showVal val="1"/>
              <c:extLst xmlns:c16r2="http://schemas.microsoft.com/office/drawing/2015/06/chart">
                <c:ext xmlns:c16="http://schemas.microsoft.com/office/drawing/2014/chart" uri="{C3380CC4-5D6E-409C-BE32-E72D297353CC}">
                  <c16:uniqueId val="{00000000-43E8-4794-B6B4-FDE461A8996F}"/>
                </c:ext>
                <c:ext xmlns:c15="http://schemas.microsoft.com/office/drawing/2012/chart" uri="{CE6537A1-D6FC-4f65-9D91-7224C49458BB}">
                  <c15:layout/>
                </c:ext>
              </c:extLst>
            </c:dLbl>
            <c:dLbl>
              <c:idx val="25"/>
              <c:layout>
                <c:manualLayout>
                  <c:x val="-1.3468013468013467E-2"/>
                  <c:y val="9.6969696969697247E-3"/>
                </c:manualLayout>
              </c:layout>
              <c:spPr/>
              <c:txPr>
                <a:bodyPr/>
                <a:lstStyle/>
                <a:p>
                  <a:pPr>
                    <a:defRPr sz="500" b="1"/>
                  </a:pPr>
                  <a:endParaRPr lang="en-US"/>
                </a:p>
              </c:txPr>
              <c:showVal val="1"/>
              <c:extLst xmlns:c16r2="http://schemas.microsoft.com/office/drawing/2015/06/chart">
                <c:ext xmlns:c16="http://schemas.microsoft.com/office/drawing/2014/chart" uri="{C3380CC4-5D6E-409C-BE32-E72D297353CC}">
                  <c16:uniqueId val="{00000001-43E8-4794-B6B4-FDE461A8996F}"/>
                </c:ext>
                <c:ext xmlns:c15="http://schemas.microsoft.com/office/drawing/2012/chart" uri="{CE6537A1-D6FC-4f65-9D91-7224C49458BB}">
                  <c15:layout/>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Comp.graph!$C$105:$AB$105</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Comp.graph!$C$107:$AB$107</c:f>
              <c:numCache>
                <c:formatCode>0.0</c:formatCode>
                <c:ptCount val="26"/>
                <c:pt idx="0">
                  <c:v>33.7225488480004</c:v>
                </c:pt>
                <c:pt idx="1">
                  <c:v>32.689132466111282</c:v>
                </c:pt>
                <c:pt idx="2">
                  <c:v>31.641581538147729</c:v>
                </c:pt>
                <c:pt idx="3">
                  <c:v>30.522908897742585</c:v>
                </c:pt>
                <c:pt idx="4">
                  <c:v>29.361452600432326</c:v>
                </c:pt>
                <c:pt idx="5">
                  <c:v>28.221967901854807</c:v>
                </c:pt>
                <c:pt idx="6">
                  <c:v>27.10521315809153</c:v>
                </c:pt>
                <c:pt idx="7">
                  <c:v>26.012042866942231</c:v>
                </c:pt>
                <c:pt idx="8">
                  <c:v>24.943675012316543</c:v>
                </c:pt>
                <c:pt idx="9">
                  <c:v>23.901008695128226</c:v>
                </c:pt>
                <c:pt idx="10">
                  <c:v>22.884286378979777</c:v>
                </c:pt>
                <c:pt idx="11">
                  <c:v>21.893586041216984</c:v>
                </c:pt>
                <c:pt idx="12">
                  <c:v>20.929351857838117</c:v>
                </c:pt>
                <c:pt idx="13">
                  <c:v>19.992006277467077</c:v>
                </c:pt>
                <c:pt idx="14">
                  <c:v>19.081875616954537</c:v>
                </c:pt>
                <c:pt idx="15">
                  <c:v>18.199143030462526</c:v>
                </c:pt>
                <c:pt idx="16">
                  <c:v>17.343923560209433</c:v>
                </c:pt>
                <c:pt idx="17">
                  <c:v>16.516330486804495</c:v>
                </c:pt>
                <c:pt idx="18">
                  <c:v>15.716414378059564</c:v>
                </c:pt>
                <c:pt idx="19">
                  <c:v>14.944139206522106</c:v>
                </c:pt>
                <c:pt idx="20">
                  <c:v>14.199328422724546</c:v>
                </c:pt>
                <c:pt idx="21">
                  <c:v>13.48177395619739</c:v>
                </c:pt>
                <c:pt idx="22">
                  <c:v>12.791292577211893</c:v>
                </c:pt>
                <c:pt idx="23">
                  <c:v>12.127653557901844</c:v>
                </c:pt>
                <c:pt idx="24">
                  <c:v>11.49051327255405</c:v>
                </c:pt>
                <c:pt idx="25">
                  <c:v>10.879774121111252</c:v>
                </c:pt>
              </c:numCache>
            </c:numRef>
          </c:val>
          <c:extLst xmlns:c16r2="http://schemas.microsoft.com/office/drawing/2015/06/chart">
            <c:ext xmlns:c16="http://schemas.microsoft.com/office/drawing/2014/chart" uri="{C3380CC4-5D6E-409C-BE32-E72D297353CC}">
              <c16:uniqueId val="{00000002-43E8-4794-B6B4-FDE461A8996F}"/>
            </c:ext>
          </c:extLst>
        </c:ser>
        <c:gapWidth val="75"/>
        <c:axId val="358887424"/>
        <c:axId val="358888960"/>
      </c:barChart>
      <c:lineChart>
        <c:grouping val="standard"/>
        <c:ser>
          <c:idx val="0"/>
          <c:order val="0"/>
          <c:tx>
            <c:strRef>
              <c:f>Comp.graph!$B$106</c:f>
              <c:strCache>
                <c:ptCount val="1"/>
                <c:pt idx="0">
                  <c:v>Headcount Poverty Ratio (DP)</c:v>
                </c:pt>
              </c:strCache>
            </c:strRef>
          </c:tx>
          <c:marker>
            <c:symbol val="none"/>
          </c:marker>
          <c:cat>
            <c:strRef>
              <c:f>Comp.graph!$C$105:$AB$105</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Comp.graph!$C$106:$AB$106</c:f>
              <c:numCache>
                <c:formatCode>0.0</c:formatCode>
                <c:ptCount val="26"/>
                <c:pt idx="0">
                  <c:v>20.7</c:v>
                </c:pt>
                <c:pt idx="1">
                  <c:v>19.83230300264869</c:v>
                </c:pt>
                <c:pt idx="2">
                  <c:v>18.977199924888911</c:v>
                </c:pt>
                <c:pt idx="3">
                  <c:v>18.101799478161791</c:v>
                </c:pt>
                <c:pt idx="4">
                  <c:v>17.224149042968488</c:v>
                </c:pt>
                <c:pt idx="5">
                  <c:v>16.381981992241531</c:v>
                </c:pt>
                <c:pt idx="6">
                  <c:v>15.574231093152246</c:v>
                </c:pt>
                <c:pt idx="7">
                  <c:v>14.799884754845074</c:v>
                </c:pt>
                <c:pt idx="8">
                  <c:v>14.058052800250262</c:v>
                </c:pt>
                <c:pt idx="9">
                  <c:v>13.347793034241787</c:v>
                </c:pt>
                <c:pt idx="10">
                  <c:v>12.668031722991618</c:v>
                </c:pt>
                <c:pt idx="11">
                  <c:v>12.017690370981922</c:v>
                </c:pt>
                <c:pt idx="12">
                  <c:v>11.3958153519738</c:v>
                </c:pt>
                <c:pt idx="13">
                  <c:v>10.801480503372877</c:v>
                </c:pt>
                <c:pt idx="14">
                  <c:v>10.233769147839343</c:v>
                </c:pt>
                <c:pt idx="15">
                  <c:v>9.6917633064643809</c:v>
                </c:pt>
                <c:pt idx="16">
                  <c:v>9.1745620415165359</c:v>
                </c:pt>
                <c:pt idx="17">
                  <c:v>8.6812969524560906</c:v>
                </c:pt>
                <c:pt idx="18">
                  <c:v>8.2111173591801183</c:v>
                </c:pt>
                <c:pt idx="19">
                  <c:v>7.7631845604466454</c:v>
                </c:pt>
                <c:pt idx="20">
                  <c:v>7.3366592513428524</c:v>
                </c:pt>
                <c:pt idx="21">
                  <c:v>6.9307266860237524</c:v>
                </c:pt>
                <c:pt idx="22">
                  <c:v>6.5446089845013802</c:v>
                </c:pt>
                <c:pt idx="23">
                  <c:v>6.177547741831094</c:v>
                </c:pt>
                <c:pt idx="24">
                  <c:v>5.8287886272224645</c:v>
                </c:pt>
                <c:pt idx="25">
                  <c:v>5.4978897979237233</c:v>
                </c:pt>
              </c:numCache>
            </c:numRef>
          </c:val>
          <c:extLst xmlns:c16r2="http://schemas.microsoft.com/office/drawing/2015/06/chart">
            <c:ext xmlns:c16="http://schemas.microsoft.com/office/drawing/2014/chart" uri="{C3380CC4-5D6E-409C-BE32-E72D297353CC}">
              <c16:uniqueId val="{00000003-43E8-4794-B6B4-FDE461A8996F}"/>
            </c:ext>
          </c:extLst>
        </c:ser>
        <c:marker val="1"/>
        <c:axId val="358897152"/>
        <c:axId val="358890880"/>
      </c:lineChart>
      <c:catAx>
        <c:axId val="358887424"/>
        <c:scaling>
          <c:orientation val="minMax"/>
        </c:scaling>
        <c:axPos val="b"/>
        <c:numFmt formatCode="General" sourceLinked="0"/>
        <c:majorTickMark val="none"/>
        <c:tickLblPos val="nextTo"/>
        <c:txPr>
          <a:bodyPr/>
          <a:lstStyle/>
          <a:p>
            <a:pPr>
              <a:defRPr sz="600"/>
            </a:pPr>
            <a:endParaRPr lang="en-US"/>
          </a:p>
        </c:txPr>
        <c:crossAx val="358888960"/>
        <c:crosses val="autoZero"/>
        <c:auto val="1"/>
        <c:lblAlgn val="ctr"/>
        <c:lblOffset val="100"/>
        <c:tickLblSkip val="2"/>
      </c:catAx>
      <c:valAx>
        <c:axId val="358888960"/>
        <c:scaling>
          <c:orientation val="minMax"/>
        </c:scaling>
        <c:axPos val="l"/>
        <c:majorGridlines/>
        <c:title>
          <c:tx>
            <c:rich>
              <a:bodyPr rot="0" vert="horz"/>
              <a:lstStyle/>
              <a:p>
                <a:pPr>
                  <a:defRPr sz="700"/>
                </a:pPr>
                <a:r>
                  <a:rPr lang="en-US" sz="700"/>
                  <a:t>In million</a:t>
                </a:r>
              </a:p>
            </c:rich>
          </c:tx>
          <c:layout>
            <c:manualLayout>
              <c:xMode val="edge"/>
              <c:yMode val="edge"/>
              <c:x val="5.2724200211246956E-2"/>
              <c:y val="2.1514280232090663E-2"/>
            </c:manualLayout>
          </c:layout>
        </c:title>
        <c:numFmt formatCode="0.0" sourceLinked="1"/>
        <c:majorTickMark val="none"/>
        <c:tickLblPos val="nextTo"/>
        <c:txPr>
          <a:bodyPr/>
          <a:lstStyle/>
          <a:p>
            <a:pPr>
              <a:defRPr sz="800"/>
            </a:pPr>
            <a:endParaRPr lang="en-US"/>
          </a:p>
        </c:txPr>
        <c:crossAx val="358887424"/>
        <c:crosses val="autoZero"/>
        <c:crossBetween val="between"/>
        <c:majorUnit val="10"/>
      </c:valAx>
      <c:valAx>
        <c:axId val="358890880"/>
        <c:scaling>
          <c:orientation val="minMax"/>
        </c:scaling>
        <c:axPos val="r"/>
        <c:title>
          <c:tx>
            <c:rich>
              <a:bodyPr rot="0" vert="horz"/>
              <a:lstStyle/>
              <a:p>
                <a:pPr>
                  <a:defRPr/>
                </a:pPr>
                <a:r>
                  <a:rPr lang="en-US"/>
                  <a:t>%</a:t>
                </a:r>
              </a:p>
            </c:rich>
          </c:tx>
          <c:layout>
            <c:manualLayout>
              <c:xMode val="edge"/>
              <c:yMode val="edge"/>
              <c:x val="0.8743221564438286"/>
              <c:y val="1.6881512777318676E-2"/>
            </c:manualLayout>
          </c:layout>
        </c:title>
        <c:numFmt formatCode="0.0" sourceLinked="1"/>
        <c:tickLblPos val="nextTo"/>
        <c:txPr>
          <a:bodyPr/>
          <a:lstStyle/>
          <a:p>
            <a:pPr>
              <a:defRPr sz="800"/>
            </a:pPr>
            <a:endParaRPr lang="en-US"/>
          </a:p>
        </c:txPr>
        <c:crossAx val="358897152"/>
        <c:crosses val="max"/>
        <c:crossBetween val="between"/>
        <c:majorUnit val="10"/>
      </c:valAx>
      <c:catAx>
        <c:axId val="358897152"/>
        <c:scaling>
          <c:orientation val="minMax"/>
        </c:scaling>
        <c:delete val="1"/>
        <c:axPos val="b"/>
        <c:numFmt formatCode="General" sourceLinked="1"/>
        <c:tickLblPos val="none"/>
        <c:crossAx val="358890880"/>
        <c:crosses val="autoZero"/>
        <c:auto val="1"/>
        <c:lblAlgn val="ctr"/>
        <c:lblOffset val="100"/>
      </c:catAx>
    </c:plotArea>
    <c:legend>
      <c:legendPos val="b"/>
      <c:layout>
        <c:manualLayout>
          <c:xMode val="edge"/>
          <c:yMode val="edge"/>
          <c:x val="4.9999911627208599E-2"/>
          <c:y val="0.86112488666190046"/>
          <c:w val="0.89999982325442063"/>
          <c:h val="0.10978420424719697"/>
        </c:manualLayout>
      </c:layout>
      <c:txPr>
        <a:bodyPr/>
        <a:lstStyle/>
        <a:p>
          <a:pPr>
            <a:defRPr sz="700"/>
          </a:pPr>
          <a:endParaRPr lang="en-US"/>
        </a:p>
      </c:txPr>
    </c:legend>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en-AU"/>
  <c:style val="3"/>
  <c:chart>
    <c:autoTitleDeleted val="1"/>
    <c:plotArea>
      <c:layout>
        <c:manualLayout>
          <c:layoutTarget val="inner"/>
          <c:xMode val="edge"/>
          <c:yMode val="edge"/>
          <c:x val="0.24637671342725656"/>
          <c:y val="0.13945797350348843"/>
          <c:w val="0.72309874960833764"/>
          <c:h val="0.60077794873341983"/>
        </c:manualLayout>
      </c:layout>
      <c:barChart>
        <c:barDir val="col"/>
        <c:grouping val="clustered"/>
        <c:ser>
          <c:idx val="1"/>
          <c:order val="1"/>
          <c:tx>
            <c:strRef>
              <c:f>Comp.graph!$B$121</c:f>
              <c:strCache>
                <c:ptCount val="1"/>
                <c:pt idx="0">
                  <c:v>Population under lower poverty line, in million</c:v>
                </c:pt>
              </c:strCache>
            </c:strRef>
          </c:tx>
          <c:cat>
            <c:strRef>
              <c:f>Comp.graph!$C$118:$AB$119</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Comp.graph!$C$121:$AB$121</c:f>
              <c:numCache>
                <c:formatCode>0.0</c:formatCode>
                <c:ptCount val="26"/>
                <c:pt idx="0">
                  <c:v>19.712214543999888</c:v>
                </c:pt>
                <c:pt idx="1">
                  <c:v>18.460704415999896</c:v>
                </c:pt>
                <c:pt idx="2">
                  <c:v>17.340411088000003</c:v>
                </c:pt>
                <c:pt idx="3">
                  <c:v>16.355954923999995</c:v>
                </c:pt>
                <c:pt idx="4">
                  <c:v>15.171543598000024</c:v>
                </c:pt>
                <c:pt idx="5">
                  <c:v>11.425683510429554</c:v>
                </c:pt>
                <c:pt idx="6">
                  <c:v>8.5767667623291217</c:v>
                </c:pt>
                <c:pt idx="7">
                  <c:v>6.4172875844349022</c:v>
                </c:pt>
                <c:pt idx="8">
                  <c:v>4.7862058909082998</c:v>
                </c:pt>
                <c:pt idx="9">
                  <c:v>3.5584351987363232</c:v>
                </c:pt>
                <c:pt idx="10">
                  <c:v>2.6371526414734459</c:v>
                </c:pt>
                <c:pt idx="11">
                  <c:v>1.9480120225919191</c:v>
                </c:pt>
                <c:pt idx="12">
                  <c:v>1.4342600465924882</c:v>
                </c:pt>
                <c:pt idx="13">
                  <c:v>1.0525648533999317</c:v>
                </c:pt>
                <c:pt idx="14">
                  <c:v>0.76994428115738756</c:v>
                </c:pt>
                <c:pt idx="15">
                  <c:v>0.56138337874568056</c:v>
                </c:pt>
                <c:pt idx="16">
                  <c:v>0.40799118810122426</c:v>
                </c:pt>
                <c:pt idx="17">
                  <c:v>0.29555692331842737</c:v>
                </c:pt>
                <c:pt idx="18">
                  <c:v>0.21342293325313241</c:v>
                </c:pt>
                <c:pt idx="19">
                  <c:v>0.15362467316350917</c:v>
                </c:pt>
                <c:pt idx="20">
                  <c:v>0.11023114799736483</c:v>
                </c:pt>
                <c:pt idx="21">
                  <c:v>7.8845719437136322E-2</c:v>
                </c:pt>
                <c:pt idx="22">
                  <c:v>5.6221203201473217E-2</c:v>
                </c:pt>
                <c:pt idx="23">
                  <c:v>3.9966113592797205E-2</c:v>
                </c:pt>
                <c:pt idx="24">
                  <c:v>2.8324991386061277E-2</c:v>
                </c:pt>
                <c:pt idx="25">
                  <c:v>2.0021768388387106E-2</c:v>
                </c:pt>
              </c:numCache>
            </c:numRef>
          </c:val>
          <c:extLst xmlns:c16r2="http://schemas.microsoft.com/office/drawing/2015/06/chart">
            <c:ext xmlns:c16="http://schemas.microsoft.com/office/drawing/2014/chart" uri="{C3380CC4-5D6E-409C-BE32-E72D297353CC}">
              <c16:uniqueId val="{00000000-257C-4A4F-9CF1-73A1281FEC5A}"/>
            </c:ext>
          </c:extLst>
        </c:ser>
        <c:gapWidth val="75"/>
        <c:axId val="358919552"/>
        <c:axId val="358921344"/>
      </c:barChart>
      <c:lineChart>
        <c:grouping val="standard"/>
        <c:ser>
          <c:idx val="0"/>
          <c:order val="0"/>
          <c:tx>
            <c:strRef>
              <c:f>Comp.graph!$B$120</c:f>
              <c:strCache>
                <c:ptCount val="1"/>
                <c:pt idx="0">
                  <c:v>Headcount Poverty Ratio (DP)</c:v>
                </c:pt>
              </c:strCache>
            </c:strRef>
          </c:tx>
          <c:marker>
            <c:symbol val="none"/>
          </c:marker>
          <c:cat>
            <c:strRef>
              <c:f>Comp.graph!$C$118:$AB$119</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Comp.graph!$C$120:$AB$120</c:f>
              <c:numCache>
                <c:formatCode>0.0</c:formatCode>
                <c:ptCount val="26"/>
                <c:pt idx="0">
                  <c:v>12.1</c:v>
                </c:pt>
                <c:pt idx="1">
                  <c:v>11.2</c:v>
                </c:pt>
                <c:pt idx="2">
                  <c:v>10.4</c:v>
                </c:pt>
                <c:pt idx="3">
                  <c:v>9.7000000000000011</c:v>
                </c:pt>
                <c:pt idx="4">
                  <c:v>8.9</c:v>
                </c:pt>
                <c:pt idx="5">
                  <c:v>6.632256905961742</c:v>
                </c:pt>
                <c:pt idx="6">
                  <c:v>4.9280758948285674</c:v>
                </c:pt>
                <c:pt idx="7">
                  <c:v>3.6511979152946403</c:v>
                </c:pt>
                <c:pt idx="8">
                  <c:v>2.6974667964537797</c:v>
                </c:pt>
                <c:pt idx="9">
                  <c:v>1.9872490389150341</c:v>
                </c:pt>
                <c:pt idx="10">
                  <c:v>1.459845973228288</c:v>
                </c:pt>
                <c:pt idx="11">
                  <c:v>1.0692905804643758</c:v>
                </c:pt>
                <c:pt idx="12">
                  <c:v>0.78093974284064127</c:v>
                </c:pt>
                <c:pt idx="13">
                  <c:v>0.56869023472392288</c:v>
                </c:pt>
                <c:pt idx="14">
                  <c:v>0.41292754382398711</c:v>
                </c:pt>
                <c:pt idx="15">
                  <c:v>0.29895884778087617</c:v>
                </c:pt>
                <c:pt idx="16">
                  <c:v>0.21581855193448121</c:v>
                </c:pt>
                <c:pt idx="17">
                  <c:v>0.15535033158433692</c:v>
                </c:pt>
                <c:pt idx="18">
                  <c:v>0.11150385259174495</c:v>
                </c:pt>
                <c:pt idx="19">
                  <c:v>7.980497734430457E-2</c:v>
                </c:pt>
                <c:pt idx="20">
                  <c:v>5.6955395893704353E-2</c:v>
                </c:pt>
                <c:pt idx="21">
                  <c:v>4.0533102954934314E-2</c:v>
                </c:pt>
                <c:pt idx="22">
                  <c:v>2.8765333086614452E-2</c:v>
                </c:pt>
                <c:pt idx="23">
                  <c:v>2.0357818896804252E-2</c:v>
                </c:pt>
                <c:pt idx="24">
                  <c:v>1.4368408420153319E-2</c:v>
                </c:pt>
                <c:pt idx="25">
                  <c:v>1.0117625139414377E-2</c:v>
                </c:pt>
              </c:numCache>
            </c:numRef>
          </c:val>
          <c:extLst xmlns:c16r2="http://schemas.microsoft.com/office/drawing/2015/06/chart">
            <c:ext xmlns:c16="http://schemas.microsoft.com/office/drawing/2014/chart" uri="{C3380CC4-5D6E-409C-BE32-E72D297353CC}">
              <c16:uniqueId val="{00000001-257C-4A4F-9CF1-73A1281FEC5A}"/>
            </c:ext>
          </c:extLst>
        </c:ser>
        <c:marker val="1"/>
        <c:axId val="358929536"/>
        <c:axId val="358923264"/>
      </c:lineChart>
      <c:catAx>
        <c:axId val="358919552"/>
        <c:scaling>
          <c:orientation val="minMax"/>
        </c:scaling>
        <c:axPos val="b"/>
        <c:numFmt formatCode="General" sourceLinked="0"/>
        <c:majorTickMark val="none"/>
        <c:tickLblPos val="nextTo"/>
        <c:txPr>
          <a:bodyPr/>
          <a:lstStyle/>
          <a:p>
            <a:pPr>
              <a:defRPr sz="600"/>
            </a:pPr>
            <a:endParaRPr lang="en-US"/>
          </a:p>
        </c:txPr>
        <c:crossAx val="358921344"/>
        <c:crosses val="autoZero"/>
        <c:auto val="1"/>
        <c:lblAlgn val="ctr"/>
        <c:lblOffset val="100"/>
        <c:tickLblSkip val="2"/>
      </c:catAx>
      <c:valAx>
        <c:axId val="358921344"/>
        <c:scaling>
          <c:orientation val="minMax"/>
        </c:scaling>
        <c:axPos val="l"/>
        <c:majorGridlines/>
        <c:title>
          <c:tx>
            <c:rich>
              <a:bodyPr rot="0" vert="horz"/>
              <a:lstStyle/>
              <a:p>
                <a:pPr>
                  <a:defRPr sz="800"/>
                </a:pPr>
                <a:r>
                  <a:rPr lang="en-US" sz="800"/>
                  <a:t>In</a:t>
                </a:r>
                <a:r>
                  <a:rPr lang="en-US" sz="800" baseline="0"/>
                  <a:t> million</a:t>
                </a:r>
                <a:endParaRPr lang="en-US" sz="800"/>
              </a:p>
            </c:rich>
          </c:tx>
          <c:layout>
            <c:manualLayout>
              <c:xMode val="edge"/>
              <c:yMode val="edge"/>
              <c:x val="8.3248737175652246E-2"/>
              <c:y val="3.8462183850099703E-2"/>
            </c:manualLayout>
          </c:layout>
        </c:title>
        <c:numFmt formatCode="0.0" sourceLinked="1"/>
        <c:majorTickMark val="none"/>
        <c:tickLblPos val="nextTo"/>
        <c:spPr>
          <a:ln w="9525">
            <a:noFill/>
          </a:ln>
        </c:spPr>
        <c:txPr>
          <a:bodyPr/>
          <a:lstStyle/>
          <a:p>
            <a:pPr>
              <a:defRPr sz="800"/>
            </a:pPr>
            <a:endParaRPr lang="en-US"/>
          </a:p>
        </c:txPr>
        <c:crossAx val="358919552"/>
        <c:crosses val="autoZero"/>
        <c:crossBetween val="between"/>
      </c:valAx>
      <c:valAx>
        <c:axId val="358923264"/>
        <c:scaling>
          <c:orientation val="minMax"/>
        </c:scaling>
        <c:axPos val="r"/>
        <c:title>
          <c:tx>
            <c:rich>
              <a:bodyPr rot="0" vert="horz"/>
              <a:lstStyle/>
              <a:p>
                <a:pPr>
                  <a:defRPr/>
                </a:pPr>
                <a:r>
                  <a:rPr lang="en-US"/>
                  <a:t>%</a:t>
                </a:r>
              </a:p>
            </c:rich>
          </c:tx>
          <c:layout>
            <c:manualLayout>
              <c:xMode val="edge"/>
              <c:yMode val="edge"/>
              <c:x val="0.93972791428483282"/>
              <c:y val="3.8462183850099703E-2"/>
            </c:manualLayout>
          </c:layout>
        </c:title>
        <c:numFmt formatCode="0.0" sourceLinked="1"/>
        <c:tickLblPos val="nextTo"/>
        <c:txPr>
          <a:bodyPr/>
          <a:lstStyle/>
          <a:p>
            <a:pPr>
              <a:defRPr sz="800"/>
            </a:pPr>
            <a:endParaRPr lang="en-US"/>
          </a:p>
        </c:txPr>
        <c:crossAx val="358929536"/>
        <c:crosses val="max"/>
        <c:crossBetween val="between"/>
        <c:majorUnit val="3"/>
      </c:valAx>
      <c:catAx>
        <c:axId val="358929536"/>
        <c:scaling>
          <c:orientation val="minMax"/>
        </c:scaling>
        <c:delete val="1"/>
        <c:axPos val="b"/>
        <c:numFmt formatCode="General" sourceLinked="1"/>
        <c:tickLblPos val="none"/>
        <c:crossAx val="358923264"/>
        <c:crosses val="autoZero"/>
        <c:auto val="1"/>
        <c:lblAlgn val="ctr"/>
        <c:lblOffset val="100"/>
      </c:catAx>
    </c:plotArea>
    <c:legend>
      <c:legendPos val="b"/>
      <c:layout>
        <c:manualLayout>
          <c:xMode val="edge"/>
          <c:yMode val="edge"/>
          <c:x val="0.1132389193400295"/>
          <c:y val="0.90612790685114952"/>
          <c:w val="0.82534746760895172"/>
          <c:h val="9.0655564606148528E-2"/>
        </c:manualLayout>
      </c:layout>
      <c:txPr>
        <a:bodyPr/>
        <a:lstStyle/>
        <a:p>
          <a:pPr>
            <a:defRPr sz="700"/>
          </a:pPr>
          <a:endParaRPr lang="en-US"/>
        </a:p>
      </c:txPr>
    </c:legend>
    <c:plotVisOnly val="1"/>
    <c:dispBlanksAs val="gap"/>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lang val="en-AU"/>
  <c:style val="3"/>
  <c:chart>
    <c:autoTitleDeleted val="1"/>
    <c:plotArea>
      <c:layout>
        <c:manualLayout>
          <c:layoutTarget val="inner"/>
          <c:xMode val="edge"/>
          <c:yMode val="edge"/>
          <c:x val="0.16142953061099921"/>
          <c:y val="5.4120541205412064E-2"/>
          <c:w val="0.78172292416936251"/>
          <c:h val="0.60558793619432261"/>
        </c:manualLayout>
      </c:layout>
      <c:barChart>
        <c:barDir val="col"/>
        <c:grouping val="clustered"/>
        <c:ser>
          <c:idx val="0"/>
          <c:order val="0"/>
          <c:tx>
            <c:strRef>
              <c:f>Comp.Graph2!$A$40</c:f>
              <c:strCache>
                <c:ptCount val="1"/>
                <c:pt idx="0">
                  <c:v>Haor</c:v>
                </c:pt>
              </c:strCache>
            </c:strRef>
          </c:tx>
          <c:cat>
            <c:strRef>
              <c:f>Comp.Graph2!$B$39:$AA$39</c:f>
              <c:strCache>
                <c:ptCount val="4"/>
                <c:pt idx="0">
                  <c:v>FY16</c:v>
                </c:pt>
                <c:pt idx="1">
                  <c:v>FY21</c:v>
                </c:pt>
                <c:pt idx="2">
                  <c:v>FY31</c:v>
                </c:pt>
                <c:pt idx="3">
                  <c:v>FY41</c:v>
                </c:pt>
              </c:strCache>
            </c:strRef>
          </c:cat>
          <c:val>
            <c:numRef>
              <c:f>Comp.Graph2!$B$40:$AA$40</c:f>
              <c:numCache>
                <c:formatCode>General</c:formatCode>
                <c:ptCount val="4"/>
                <c:pt idx="0">
                  <c:v>2.9842278247185274</c:v>
                </c:pt>
                <c:pt idx="1">
                  <c:v>2.5223920123403412</c:v>
                </c:pt>
                <c:pt idx="2">
                  <c:v>1.6591337600309717</c:v>
                </c:pt>
                <c:pt idx="3">
                  <c:v>1.0115741587553759</c:v>
                </c:pt>
              </c:numCache>
            </c:numRef>
          </c:val>
          <c:extLst xmlns:c16r2="http://schemas.microsoft.com/office/drawing/2015/06/chart">
            <c:ext xmlns:c16="http://schemas.microsoft.com/office/drawing/2014/chart" uri="{C3380CC4-5D6E-409C-BE32-E72D297353CC}">
              <c16:uniqueId val="{00000000-597F-4B28-AA4D-90A8EB3AEB5A}"/>
            </c:ext>
          </c:extLst>
        </c:ser>
        <c:ser>
          <c:idx val="1"/>
          <c:order val="1"/>
          <c:tx>
            <c:strRef>
              <c:f>Comp.Graph2!$A$41</c:f>
              <c:strCache>
                <c:ptCount val="1"/>
                <c:pt idx="0">
                  <c:v>Coastal</c:v>
                </c:pt>
              </c:strCache>
            </c:strRef>
          </c:tx>
          <c:cat>
            <c:strRef>
              <c:f>Comp.Graph2!$B$39:$AA$39</c:f>
              <c:strCache>
                <c:ptCount val="4"/>
                <c:pt idx="0">
                  <c:v>FY16</c:v>
                </c:pt>
                <c:pt idx="1">
                  <c:v>FY21</c:v>
                </c:pt>
                <c:pt idx="2">
                  <c:v>FY31</c:v>
                </c:pt>
                <c:pt idx="3">
                  <c:v>FY41</c:v>
                </c:pt>
              </c:strCache>
            </c:strRef>
          </c:cat>
          <c:val>
            <c:numRef>
              <c:f>Comp.Graph2!$B$41:$AA$41</c:f>
              <c:numCache>
                <c:formatCode>General</c:formatCode>
                <c:ptCount val="4"/>
                <c:pt idx="0">
                  <c:v>6.258297472503159</c:v>
                </c:pt>
                <c:pt idx="1">
                  <c:v>4.9558092550207862</c:v>
                </c:pt>
                <c:pt idx="2">
                  <c:v>2.8439943319605212</c:v>
                </c:pt>
                <c:pt idx="3">
                  <c:v>1.5000747288132563</c:v>
                </c:pt>
              </c:numCache>
            </c:numRef>
          </c:val>
          <c:extLst xmlns:c16r2="http://schemas.microsoft.com/office/drawing/2015/06/chart">
            <c:ext xmlns:c16="http://schemas.microsoft.com/office/drawing/2014/chart" uri="{C3380CC4-5D6E-409C-BE32-E72D297353CC}">
              <c16:uniqueId val="{00000001-597F-4B28-AA4D-90A8EB3AEB5A}"/>
            </c:ext>
          </c:extLst>
        </c:ser>
        <c:ser>
          <c:idx val="2"/>
          <c:order val="2"/>
          <c:tx>
            <c:strRef>
              <c:f>Comp.Graph2!$A$42</c:f>
              <c:strCache>
                <c:ptCount val="1"/>
                <c:pt idx="0">
                  <c:v>Cittagong Hill tract</c:v>
                </c:pt>
              </c:strCache>
            </c:strRef>
          </c:tx>
          <c:cat>
            <c:strRef>
              <c:f>Comp.Graph2!$B$39:$AA$39</c:f>
              <c:strCache>
                <c:ptCount val="4"/>
                <c:pt idx="0">
                  <c:v>FY16</c:v>
                </c:pt>
                <c:pt idx="1">
                  <c:v>FY21</c:v>
                </c:pt>
                <c:pt idx="2">
                  <c:v>FY31</c:v>
                </c:pt>
                <c:pt idx="3">
                  <c:v>FY41</c:v>
                </c:pt>
              </c:strCache>
            </c:strRef>
          </c:cat>
          <c:val>
            <c:numRef>
              <c:f>Comp.Graph2!$B$42:$AA$42</c:f>
              <c:numCache>
                <c:formatCode>General</c:formatCode>
                <c:ptCount val="4"/>
                <c:pt idx="0">
                  <c:v>0.38505084378025511</c:v>
                </c:pt>
                <c:pt idx="1">
                  <c:v>0.33246847190244805</c:v>
                </c:pt>
                <c:pt idx="2">
                  <c:v>0.22793252405228495</c:v>
                </c:pt>
                <c:pt idx="3">
                  <c:v>0.14461105171955482</c:v>
                </c:pt>
              </c:numCache>
            </c:numRef>
          </c:val>
          <c:extLst xmlns:c16r2="http://schemas.microsoft.com/office/drawing/2015/06/chart">
            <c:ext xmlns:c16="http://schemas.microsoft.com/office/drawing/2014/chart" uri="{C3380CC4-5D6E-409C-BE32-E72D297353CC}">
              <c16:uniqueId val="{00000002-597F-4B28-AA4D-90A8EB3AEB5A}"/>
            </c:ext>
          </c:extLst>
        </c:ser>
        <c:ser>
          <c:idx val="3"/>
          <c:order val="3"/>
          <c:tx>
            <c:strRef>
              <c:f>Comp.Graph2!$A$43</c:f>
              <c:strCache>
                <c:ptCount val="1"/>
                <c:pt idx="0">
                  <c:v>Urban </c:v>
                </c:pt>
              </c:strCache>
            </c:strRef>
          </c:tx>
          <c:cat>
            <c:strRef>
              <c:f>Comp.Graph2!$B$39:$AA$39</c:f>
              <c:strCache>
                <c:ptCount val="4"/>
                <c:pt idx="0">
                  <c:v>FY16</c:v>
                </c:pt>
                <c:pt idx="1">
                  <c:v>FY21</c:v>
                </c:pt>
                <c:pt idx="2">
                  <c:v>FY31</c:v>
                </c:pt>
                <c:pt idx="3">
                  <c:v>FY41</c:v>
                </c:pt>
              </c:strCache>
            </c:strRef>
          </c:cat>
          <c:val>
            <c:numRef>
              <c:f>Comp.Graph2!$B$43:$AA$43</c:f>
              <c:numCache>
                <c:formatCode>General</c:formatCode>
                <c:ptCount val="4"/>
                <c:pt idx="0">
                  <c:v>3.9540263561955298</c:v>
                </c:pt>
                <c:pt idx="1">
                  <c:v>3.536873608001907</c:v>
                </c:pt>
                <c:pt idx="2">
                  <c:v>2.5893139876698261</c:v>
                </c:pt>
                <c:pt idx="3">
                  <c:v>1.7435933020250654</c:v>
                </c:pt>
              </c:numCache>
            </c:numRef>
          </c:val>
          <c:extLst xmlns:c16r2="http://schemas.microsoft.com/office/drawing/2015/06/chart">
            <c:ext xmlns:c16="http://schemas.microsoft.com/office/drawing/2014/chart" uri="{C3380CC4-5D6E-409C-BE32-E72D297353CC}">
              <c16:uniqueId val="{00000003-597F-4B28-AA4D-90A8EB3AEB5A}"/>
            </c:ext>
          </c:extLst>
        </c:ser>
        <c:ser>
          <c:idx val="4"/>
          <c:order val="4"/>
          <c:tx>
            <c:strRef>
              <c:f>Comp.Graph2!$A$44</c:f>
              <c:strCache>
                <c:ptCount val="1"/>
                <c:pt idx="0">
                  <c:v>Drought Prone</c:v>
                </c:pt>
              </c:strCache>
            </c:strRef>
          </c:tx>
          <c:cat>
            <c:strRef>
              <c:f>Comp.Graph2!$B$39:$AA$39</c:f>
              <c:strCache>
                <c:ptCount val="4"/>
                <c:pt idx="0">
                  <c:v>FY16</c:v>
                </c:pt>
                <c:pt idx="1">
                  <c:v>FY21</c:v>
                </c:pt>
                <c:pt idx="2">
                  <c:v>FY31</c:v>
                </c:pt>
                <c:pt idx="3">
                  <c:v>FY41</c:v>
                </c:pt>
              </c:strCache>
            </c:strRef>
          </c:cat>
          <c:val>
            <c:numRef>
              <c:f>Comp.Graph2!$B$44:$AA$44</c:f>
              <c:numCache>
                <c:formatCode>General</c:formatCode>
                <c:ptCount val="4"/>
                <c:pt idx="0">
                  <c:v>3.4028322926024952</c:v>
                </c:pt>
                <c:pt idx="1">
                  <c:v>2.7928570813819902</c:v>
                </c:pt>
                <c:pt idx="2">
                  <c:v>1.7306750642252875</c:v>
                </c:pt>
                <c:pt idx="3">
                  <c:v>0.99316668919716555</c:v>
                </c:pt>
              </c:numCache>
            </c:numRef>
          </c:val>
          <c:extLst xmlns:c16r2="http://schemas.microsoft.com/office/drawing/2015/06/chart">
            <c:ext xmlns:c16="http://schemas.microsoft.com/office/drawing/2014/chart" uri="{C3380CC4-5D6E-409C-BE32-E72D297353CC}">
              <c16:uniqueId val="{00000004-597F-4B28-AA4D-90A8EB3AEB5A}"/>
            </c:ext>
          </c:extLst>
        </c:ser>
        <c:ser>
          <c:idx val="5"/>
          <c:order val="5"/>
          <c:tx>
            <c:strRef>
              <c:f>Comp.Graph2!$A$45</c:f>
              <c:strCache>
                <c:ptCount val="1"/>
                <c:pt idx="0">
                  <c:v>Rivers &amp; Estuaries</c:v>
                </c:pt>
              </c:strCache>
            </c:strRef>
          </c:tx>
          <c:cat>
            <c:strRef>
              <c:f>Comp.Graph2!$B$39:$AA$39</c:f>
              <c:strCache>
                <c:ptCount val="4"/>
                <c:pt idx="0">
                  <c:v>FY16</c:v>
                </c:pt>
                <c:pt idx="1">
                  <c:v>FY21</c:v>
                </c:pt>
                <c:pt idx="2">
                  <c:v>FY31</c:v>
                </c:pt>
                <c:pt idx="3">
                  <c:v>FY41</c:v>
                </c:pt>
              </c:strCache>
            </c:strRef>
          </c:cat>
          <c:val>
            <c:numRef>
              <c:f>Comp.Graph2!$B$45:$AA$45</c:f>
              <c:numCache>
                <c:formatCode>General</c:formatCode>
                <c:ptCount val="4"/>
                <c:pt idx="0">
                  <c:v>12.993615466140785</c:v>
                </c:pt>
                <c:pt idx="1">
                  <c:v>10.626951577226162</c:v>
                </c:pt>
                <c:pt idx="2">
                  <c:v>6.5371175869494973</c:v>
                </c:pt>
                <c:pt idx="3">
                  <c:v>3.722457691420626</c:v>
                </c:pt>
              </c:numCache>
            </c:numRef>
          </c:val>
          <c:extLst xmlns:c16r2="http://schemas.microsoft.com/office/drawing/2015/06/chart">
            <c:ext xmlns:c16="http://schemas.microsoft.com/office/drawing/2014/chart" uri="{C3380CC4-5D6E-409C-BE32-E72D297353CC}">
              <c16:uniqueId val="{00000005-597F-4B28-AA4D-90A8EB3AEB5A}"/>
            </c:ext>
          </c:extLst>
        </c:ser>
        <c:ser>
          <c:idx val="6"/>
          <c:order val="6"/>
          <c:tx>
            <c:strRef>
              <c:f>Comp.Graph2!$A$46</c:f>
              <c:strCache>
                <c:ptCount val="1"/>
                <c:pt idx="0">
                  <c:v>Less Risky Region</c:v>
                </c:pt>
              </c:strCache>
            </c:strRef>
          </c:tx>
          <c:cat>
            <c:strRef>
              <c:f>Comp.Graph2!$B$39:$AA$39</c:f>
              <c:strCache>
                <c:ptCount val="4"/>
                <c:pt idx="0">
                  <c:v>FY16</c:v>
                </c:pt>
                <c:pt idx="1">
                  <c:v>FY21</c:v>
                </c:pt>
                <c:pt idx="2">
                  <c:v>FY31</c:v>
                </c:pt>
                <c:pt idx="3">
                  <c:v>FY41</c:v>
                </c:pt>
              </c:strCache>
            </c:strRef>
          </c:cat>
          <c:val>
            <c:numRef>
              <c:f>Comp.Graph2!$B$46:$AA$46</c:f>
              <c:numCache>
                <c:formatCode>General</c:formatCode>
                <c:ptCount val="4"/>
                <c:pt idx="0">
                  <c:v>4.9106322364156689</c:v>
                </c:pt>
                <c:pt idx="1">
                  <c:v>4.2701611766545184</c:v>
                </c:pt>
                <c:pt idx="2">
                  <c:v>2.9671578354882238</c:v>
                </c:pt>
                <c:pt idx="3">
                  <c:v>1.9062607213845761</c:v>
                </c:pt>
              </c:numCache>
            </c:numRef>
          </c:val>
          <c:extLst xmlns:c16r2="http://schemas.microsoft.com/office/drawing/2015/06/chart">
            <c:ext xmlns:c16="http://schemas.microsoft.com/office/drawing/2014/chart" uri="{C3380CC4-5D6E-409C-BE32-E72D297353CC}">
              <c16:uniqueId val="{00000006-597F-4B28-AA4D-90A8EB3AEB5A}"/>
            </c:ext>
          </c:extLst>
        </c:ser>
        <c:gapWidth val="75"/>
        <c:overlap val="-25"/>
        <c:axId val="358973440"/>
        <c:axId val="358974976"/>
      </c:barChart>
      <c:catAx>
        <c:axId val="358973440"/>
        <c:scaling>
          <c:orientation val="minMax"/>
        </c:scaling>
        <c:axPos val="b"/>
        <c:numFmt formatCode="General" sourceLinked="0"/>
        <c:majorTickMark val="none"/>
        <c:tickLblPos val="nextTo"/>
        <c:crossAx val="358974976"/>
        <c:crosses val="autoZero"/>
        <c:auto val="1"/>
        <c:lblAlgn val="ctr"/>
        <c:lblOffset val="100"/>
      </c:catAx>
      <c:valAx>
        <c:axId val="358974976"/>
        <c:scaling>
          <c:orientation val="minMax"/>
        </c:scaling>
        <c:axPos val="l"/>
        <c:majorGridlines/>
        <c:numFmt formatCode="General" sourceLinked="1"/>
        <c:majorTickMark val="none"/>
        <c:tickLblPos val="nextTo"/>
        <c:crossAx val="358973440"/>
        <c:crosses val="autoZero"/>
        <c:crossBetween val="between"/>
        <c:majorUnit val="4"/>
      </c:valAx>
    </c:plotArea>
    <c:legend>
      <c:legendPos val="b"/>
      <c:layout>
        <c:manualLayout>
          <c:xMode val="edge"/>
          <c:yMode val="edge"/>
          <c:x val="2.1157917760280052E-2"/>
          <c:y val="0.8229155730533686"/>
          <c:w val="0.95490638670165751"/>
          <c:h val="0.14930664916885389"/>
        </c:manualLayout>
      </c:layout>
      <c:txPr>
        <a:bodyPr/>
        <a:lstStyle/>
        <a:p>
          <a:pPr>
            <a:defRPr sz="700"/>
          </a:pPr>
          <a:endParaRPr lang="en-US"/>
        </a:p>
      </c:txPr>
    </c:legend>
    <c:plotVisOnly val="1"/>
    <c:dispBlanksAs val="gap"/>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lang val="en-AU"/>
  <c:style val="3"/>
  <c:chart>
    <c:autoTitleDeleted val="1"/>
    <c:plotArea>
      <c:layout/>
      <c:barChart>
        <c:barDir val="col"/>
        <c:grouping val="clustered"/>
        <c:ser>
          <c:idx val="0"/>
          <c:order val="0"/>
          <c:tx>
            <c:strRef>
              <c:f>Comp.Graph2!$A$51</c:f>
              <c:strCache>
                <c:ptCount val="1"/>
                <c:pt idx="0">
                  <c:v>Haor</c:v>
                </c:pt>
              </c:strCache>
            </c:strRef>
          </c:tx>
          <c:cat>
            <c:strRef>
              <c:f>Comp.Graph2!$B$50:$AA$50</c:f>
              <c:strCache>
                <c:ptCount val="4"/>
                <c:pt idx="0">
                  <c:v>FY16</c:v>
                </c:pt>
                <c:pt idx="1">
                  <c:v>FY21</c:v>
                </c:pt>
                <c:pt idx="2">
                  <c:v>FY31</c:v>
                </c:pt>
                <c:pt idx="3">
                  <c:v>FY41</c:v>
                </c:pt>
              </c:strCache>
            </c:strRef>
          </c:cat>
          <c:val>
            <c:numRef>
              <c:f>Comp.Graph2!$B$51:$AA$51</c:f>
              <c:numCache>
                <c:formatCode>General</c:formatCode>
                <c:ptCount val="4"/>
                <c:pt idx="0">
                  <c:v>2.8995426924316177</c:v>
                </c:pt>
                <c:pt idx="1">
                  <c:v>1.7001523242342644</c:v>
                </c:pt>
                <c:pt idx="2">
                  <c:v>8.9615835198616031E-2</c:v>
                </c:pt>
                <c:pt idx="3">
                  <c:v>3.4331341735578612E-3</c:v>
                </c:pt>
              </c:numCache>
            </c:numRef>
          </c:val>
          <c:extLst xmlns:c16r2="http://schemas.microsoft.com/office/drawing/2015/06/chart">
            <c:ext xmlns:c16="http://schemas.microsoft.com/office/drawing/2014/chart" uri="{C3380CC4-5D6E-409C-BE32-E72D297353CC}">
              <c16:uniqueId val="{00000000-A1EE-4322-952A-BCF2193F5F68}"/>
            </c:ext>
          </c:extLst>
        </c:ser>
        <c:ser>
          <c:idx val="1"/>
          <c:order val="1"/>
          <c:tx>
            <c:strRef>
              <c:f>Comp.Graph2!$A$52</c:f>
              <c:strCache>
                <c:ptCount val="1"/>
                <c:pt idx="0">
                  <c:v>Coastal</c:v>
                </c:pt>
              </c:strCache>
            </c:strRef>
          </c:tx>
          <c:cat>
            <c:strRef>
              <c:f>Comp.Graph2!$B$50:$AA$50</c:f>
              <c:strCache>
                <c:ptCount val="4"/>
                <c:pt idx="0">
                  <c:v>FY16</c:v>
                </c:pt>
                <c:pt idx="1">
                  <c:v>FY21</c:v>
                </c:pt>
                <c:pt idx="2">
                  <c:v>FY31</c:v>
                </c:pt>
                <c:pt idx="3">
                  <c:v>FY41</c:v>
                </c:pt>
              </c:strCache>
            </c:strRef>
          </c:cat>
          <c:val>
            <c:numRef>
              <c:f>Comp.Graph2!$B$52:$AA$52</c:f>
              <c:numCache>
                <c:formatCode>General</c:formatCode>
                <c:ptCount val="4"/>
                <c:pt idx="0">
                  <c:v>6.0558120743993475</c:v>
                </c:pt>
                <c:pt idx="1">
                  <c:v>3.1625530275933942</c:v>
                </c:pt>
                <c:pt idx="2">
                  <c:v>0.10198694283299919</c:v>
                </c:pt>
                <c:pt idx="3">
                  <c:v>2.2867733876496062E-3</c:v>
                </c:pt>
              </c:numCache>
            </c:numRef>
          </c:val>
          <c:extLst xmlns:c16r2="http://schemas.microsoft.com/office/drawing/2015/06/chart">
            <c:ext xmlns:c16="http://schemas.microsoft.com/office/drawing/2014/chart" uri="{C3380CC4-5D6E-409C-BE32-E72D297353CC}">
              <c16:uniqueId val="{00000001-A1EE-4322-952A-BCF2193F5F68}"/>
            </c:ext>
          </c:extLst>
        </c:ser>
        <c:ser>
          <c:idx val="2"/>
          <c:order val="2"/>
          <c:tx>
            <c:strRef>
              <c:f>Comp.Graph2!$A$53</c:f>
              <c:strCache>
                <c:ptCount val="1"/>
                <c:pt idx="0">
                  <c:v>Cittagong Hill tract</c:v>
                </c:pt>
              </c:strCache>
            </c:strRef>
          </c:tx>
          <c:cat>
            <c:strRef>
              <c:f>Comp.Graph2!$B$50:$AA$50</c:f>
              <c:strCache>
                <c:ptCount val="4"/>
                <c:pt idx="0">
                  <c:v>FY16</c:v>
                </c:pt>
                <c:pt idx="1">
                  <c:v>FY21</c:v>
                </c:pt>
                <c:pt idx="2">
                  <c:v>FY31</c:v>
                </c:pt>
                <c:pt idx="3">
                  <c:v>FY41</c:v>
                </c:pt>
              </c:strCache>
            </c:strRef>
          </c:cat>
          <c:val>
            <c:numRef>
              <c:f>Comp.Graph2!$B$53:$AA$53</c:f>
              <c:numCache>
                <c:formatCode>General</c:formatCode>
                <c:ptCount val="4"/>
                <c:pt idx="0">
                  <c:v>0.37463460439793295</c:v>
                </c:pt>
                <c:pt idx="1">
                  <c:v>0.2280055272123227</c:v>
                </c:pt>
                <c:pt idx="2">
                  <c:v>1.3903989422162632E-2</c:v>
                </c:pt>
                <c:pt idx="3">
                  <c:v>6.1482277949973375E-4</c:v>
                </c:pt>
              </c:numCache>
            </c:numRef>
          </c:val>
          <c:extLst xmlns:c16r2="http://schemas.microsoft.com/office/drawing/2015/06/chart">
            <c:ext xmlns:c16="http://schemas.microsoft.com/office/drawing/2014/chart" uri="{C3380CC4-5D6E-409C-BE32-E72D297353CC}">
              <c16:uniqueId val="{00000002-A1EE-4322-952A-BCF2193F5F68}"/>
            </c:ext>
          </c:extLst>
        </c:ser>
        <c:ser>
          <c:idx val="3"/>
          <c:order val="3"/>
          <c:tx>
            <c:strRef>
              <c:f>Comp.Graph2!$A$54</c:f>
              <c:strCache>
                <c:ptCount val="1"/>
                <c:pt idx="0">
                  <c:v>Urban </c:v>
                </c:pt>
              </c:strCache>
            </c:strRef>
          </c:tx>
          <c:cat>
            <c:strRef>
              <c:f>Comp.Graph2!$B$50:$AA$50</c:f>
              <c:strCache>
                <c:ptCount val="4"/>
                <c:pt idx="0">
                  <c:v>FY16</c:v>
                </c:pt>
                <c:pt idx="1">
                  <c:v>FY21</c:v>
                </c:pt>
                <c:pt idx="2">
                  <c:v>FY31</c:v>
                </c:pt>
                <c:pt idx="3">
                  <c:v>FY41</c:v>
                </c:pt>
              </c:strCache>
            </c:strRef>
          </c:cat>
          <c:val>
            <c:numRef>
              <c:f>Comp.Graph2!$B$54:$AA$54</c:f>
              <c:numCache>
                <c:formatCode>General</c:formatCode>
                <c:ptCount val="4"/>
                <c:pt idx="0">
                  <c:v>3.8558777461691993</c:v>
                </c:pt>
                <c:pt idx="1">
                  <c:v>2.4948562019261269</c:v>
                </c:pt>
                <c:pt idx="2">
                  <c:v>0.19108359304515468</c:v>
                </c:pt>
                <c:pt idx="3">
                  <c:v>1.0444840549331941E-2</c:v>
                </c:pt>
              </c:numCache>
            </c:numRef>
          </c:val>
          <c:extLst xmlns:c16r2="http://schemas.microsoft.com/office/drawing/2015/06/chart">
            <c:ext xmlns:c16="http://schemas.microsoft.com/office/drawing/2014/chart" uri="{C3380CC4-5D6E-409C-BE32-E72D297353CC}">
              <c16:uniqueId val="{00000003-A1EE-4322-952A-BCF2193F5F68}"/>
            </c:ext>
          </c:extLst>
        </c:ser>
        <c:ser>
          <c:idx val="4"/>
          <c:order val="4"/>
          <c:tx>
            <c:strRef>
              <c:f>Comp.Graph2!$A$55</c:f>
              <c:strCache>
                <c:ptCount val="1"/>
                <c:pt idx="0">
                  <c:v>Drought Prone</c:v>
                </c:pt>
              </c:strCache>
            </c:strRef>
          </c:tx>
          <c:cat>
            <c:strRef>
              <c:f>Comp.Graph2!$B$50:$AA$50</c:f>
              <c:strCache>
                <c:ptCount val="4"/>
                <c:pt idx="0">
                  <c:v>FY16</c:v>
                </c:pt>
                <c:pt idx="1">
                  <c:v>FY21</c:v>
                </c:pt>
                <c:pt idx="2">
                  <c:v>FY31</c:v>
                </c:pt>
                <c:pt idx="3">
                  <c:v>FY41</c:v>
                </c:pt>
              </c:strCache>
            </c:strRef>
          </c:cat>
          <c:val>
            <c:numRef>
              <c:f>Comp.Graph2!$B$55:$AA$55</c:f>
              <c:numCache>
                <c:formatCode>General</c:formatCode>
                <c:ptCount val="4"/>
                <c:pt idx="0">
                  <c:v>3.3001131907910417</c:v>
                </c:pt>
                <c:pt idx="1">
                  <c:v>1.8371856841357941</c:v>
                </c:pt>
                <c:pt idx="2">
                  <c:v>7.8290612217975578E-2</c:v>
                </c:pt>
                <c:pt idx="3">
                  <c:v>2.4036720626081742E-3</c:v>
                </c:pt>
              </c:numCache>
            </c:numRef>
          </c:val>
          <c:extLst xmlns:c16r2="http://schemas.microsoft.com/office/drawing/2015/06/chart">
            <c:ext xmlns:c16="http://schemas.microsoft.com/office/drawing/2014/chart" uri="{C3380CC4-5D6E-409C-BE32-E72D297353CC}">
              <c16:uniqueId val="{00000004-A1EE-4322-952A-BCF2193F5F68}"/>
            </c:ext>
          </c:extLst>
        </c:ser>
        <c:ser>
          <c:idx val="5"/>
          <c:order val="5"/>
          <c:tx>
            <c:strRef>
              <c:f>Comp.Graph2!$A$56</c:f>
              <c:strCache>
                <c:ptCount val="1"/>
                <c:pt idx="0">
                  <c:v>Rivers &amp; Estuaries</c:v>
                </c:pt>
              </c:strCache>
            </c:strRef>
          </c:tx>
          <c:cat>
            <c:strRef>
              <c:f>Comp.Graph2!$B$50:$AA$50</c:f>
              <c:strCache>
                <c:ptCount val="4"/>
                <c:pt idx="0">
                  <c:v>FY16</c:v>
                </c:pt>
                <c:pt idx="1">
                  <c:v>FY21</c:v>
                </c:pt>
                <c:pt idx="2">
                  <c:v>FY31</c:v>
                </c:pt>
                <c:pt idx="3">
                  <c:v>FY41</c:v>
                </c:pt>
              </c:strCache>
            </c:strRef>
          </c:cat>
          <c:val>
            <c:numRef>
              <c:f>Comp.Graph2!$B$56:$AA$56</c:f>
              <c:numCache>
                <c:formatCode>General</c:formatCode>
                <c:ptCount val="4"/>
                <c:pt idx="0">
                  <c:v>12.598593048203583</c:v>
                </c:pt>
                <c:pt idx="1">
                  <c:v>6.9699874946713924</c:v>
                </c:pt>
                <c:pt idx="2">
                  <c:v>0.28928089029648768</c:v>
                </c:pt>
                <c:pt idx="3">
                  <c:v>8.6314242434701316E-3</c:v>
                </c:pt>
              </c:numCache>
            </c:numRef>
          </c:val>
          <c:extLst xmlns:c16r2="http://schemas.microsoft.com/office/drawing/2015/06/chart">
            <c:ext xmlns:c16="http://schemas.microsoft.com/office/drawing/2014/chart" uri="{C3380CC4-5D6E-409C-BE32-E72D297353CC}">
              <c16:uniqueId val="{00000005-A1EE-4322-952A-BCF2193F5F68}"/>
            </c:ext>
          </c:extLst>
        </c:ser>
        <c:ser>
          <c:idx val="6"/>
          <c:order val="6"/>
          <c:tx>
            <c:strRef>
              <c:f>Comp.Graph2!$A$57</c:f>
              <c:strCache>
                <c:ptCount val="1"/>
                <c:pt idx="0">
                  <c:v>Less Risky Region</c:v>
                </c:pt>
              </c:strCache>
            </c:strRef>
          </c:tx>
          <c:cat>
            <c:strRef>
              <c:f>Comp.Graph2!$B$50:$AA$50</c:f>
              <c:strCache>
                <c:ptCount val="4"/>
                <c:pt idx="0">
                  <c:v>FY16</c:v>
                </c:pt>
                <c:pt idx="1">
                  <c:v>FY21</c:v>
                </c:pt>
                <c:pt idx="2">
                  <c:v>FY31</c:v>
                </c:pt>
                <c:pt idx="3">
                  <c:v>FY41</c:v>
                </c:pt>
              </c:strCache>
            </c:strRef>
          </c:cat>
          <c:val>
            <c:numRef>
              <c:f>Comp.Graph2!$B$57:$AA$57</c:f>
              <c:numCache>
                <c:formatCode>General</c:formatCode>
                <c:ptCount val="4"/>
                <c:pt idx="0">
                  <c:v>4.7799701063073394</c:v>
                </c:pt>
                <c:pt idx="1">
                  <c:v>2.9451896725320612</c:v>
                </c:pt>
                <c:pt idx="2">
                  <c:v>0.18824270824962094</c:v>
                </c:pt>
                <c:pt idx="3">
                  <c:v>8.7062986793454006E-3</c:v>
                </c:pt>
              </c:numCache>
            </c:numRef>
          </c:val>
          <c:extLst xmlns:c16r2="http://schemas.microsoft.com/office/drawing/2015/06/chart">
            <c:ext xmlns:c16="http://schemas.microsoft.com/office/drawing/2014/chart" uri="{C3380CC4-5D6E-409C-BE32-E72D297353CC}">
              <c16:uniqueId val="{00000006-A1EE-4322-952A-BCF2193F5F68}"/>
            </c:ext>
          </c:extLst>
        </c:ser>
        <c:gapWidth val="75"/>
        <c:overlap val="-25"/>
        <c:axId val="359096704"/>
        <c:axId val="359098240"/>
      </c:barChart>
      <c:catAx>
        <c:axId val="359096704"/>
        <c:scaling>
          <c:orientation val="minMax"/>
        </c:scaling>
        <c:axPos val="b"/>
        <c:numFmt formatCode="General" sourceLinked="0"/>
        <c:majorTickMark val="none"/>
        <c:tickLblPos val="nextTo"/>
        <c:crossAx val="359098240"/>
        <c:crosses val="autoZero"/>
        <c:auto val="1"/>
        <c:lblAlgn val="ctr"/>
        <c:lblOffset val="100"/>
      </c:catAx>
      <c:valAx>
        <c:axId val="359098240"/>
        <c:scaling>
          <c:orientation val="minMax"/>
        </c:scaling>
        <c:axPos val="l"/>
        <c:majorGridlines/>
        <c:numFmt formatCode="General" sourceLinked="1"/>
        <c:majorTickMark val="none"/>
        <c:tickLblPos val="nextTo"/>
        <c:crossAx val="359096704"/>
        <c:crosses val="autoZero"/>
        <c:crossBetween val="between"/>
        <c:majorUnit val="4"/>
      </c:valAx>
    </c:plotArea>
    <c:legend>
      <c:legendPos val="b"/>
      <c:layout>
        <c:manualLayout>
          <c:xMode val="edge"/>
          <c:yMode val="edge"/>
          <c:x val="1.7134733158355193E-3"/>
          <c:y val="0.8229155730533686"/>
          <c:w val="0.99657305336832891"/>
          <c:h val="0.14930664916885389"/>
        </c:manualLayout>
      </c:layout>
      <c:txPr>
        <a:bodyPr/>
        <a:lstStyle/>
        <a:p>
          <a:pPr>
            <a:defRPr sz="700"/>
          </a:pPr>
          <a:endParaRPr lang="en-US"/>
        </a:p>
      </c:txPr>
    </c:legend>
    <c:plotVisOnly val="1"/>
    <c:dispBlanksAs val="gap"/>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lang val="en-AU"/>
  <c:chart>
    <c:autoTitleDeleted val="1"/>
    <c:plotArea>
      <c:layout>
        <c:manualLayout>
          <c:layoutTarget val="inner"/>
          <c:xMode val="edge"/>
          <c:yMode val="edge"/>
          <c:x val="0.15876569939541307"/>
          <c:y val="8.3448219877710839E-2"/>
          <c:w val="0.65952710698278394"/>
          <c:h val="0.63505050880292258"/>
        </c:manualLayout>
      </c:layout>
      <c:barChart>
        <c:barDir val="col"/>
        <c:grouping val="clustered"/>
        <c:ser>
          <c:idx val="0"/>
          <c:order val="0"/>
          <c:tx>
            <c:strRef>
              <c:f>Comp.graph!$B$168</c:f>
              <c:strCache>
                <c:ptCount val="1"/>
                <c:pt idx="0">
                  <c:v> Resource Requirement (bn $)</c:v>
                </c:pt>
              </c:strCache>
            </c:strRef>
          </c:tx>
          <c:cat>
            <c:strRef>
              <c:f>Comp.graph!$C$167:$AB$167</c:f>
              <c:strCache>
                <c:ptCount val="23"/>
                <c:pt idx="0">
                  <c:v>FY19</c:v>
                </c:pt>
                <c:pt idx="1">
                  <c:v>FY20</c:v>
                </c:pt>
                <c:pt idx="2">
                  <c:v>FY21</c:v>
                </c:pt>
                <c:pt idx="3">
                  <c:v>FY22</c:v>
                </c:pt>
                <c:pt idx="4">
                  <c:v>FY23</c:v>
                </c:pt>
                <c:pt idx="5">
                  <c:v>FY24</c:v>
                </c:pt>
                <c:pt idx="6">
                  <c:v>FY25</c:v>
                </c:pt>
                <c:pt idx="7">
                  <c:v>FY26</c:v>
                </c:pt>
                <c:pt idx="8">
                  <c:v>FY27</c:v>
                </c:pt>
                <c:pt idx="9">
                  <c:v>FY28</c:v>
                </c:pt>
                <c:pt idx="10">
                  <c:v>FY29</c:v>
                </c:pt>
                <c:pt idx="11">
                  <c:v>FY30</c:v>
                </c:pt>
                <c:pt idx="12">
                  <c:v>FY31</c:v>
                </c:pt>
                <c:pt idx="13">
                  <c:v>FY32</c:v>
                </c:pt>
                <c:pt idx="14">
                  <c:v>FY33</c:v>
                </c:pt>
                <c:pt idx="15">
                  <c:v>FY34</c:v>
                </c:pt>
                <c:pt idx="16">
                  <c:v>FY35</c:v>
                </c:pt>
                <c:pt idx="17">
                  <c:v>FY36</c:v>
                </c:pt>
                <c:pt idx="18">
                  <c:v>FY37</c:v>
                </c:pt>
                <c:pt idx="19">
                  <c:v>FY38</c:v>
                </c:pt>
                <c:pt idx="20">
                  <c:v>FY39</c:v>
                </c:pt>
                <c:pt idx="21">
                  <c:v>FY40</c:v>
                </c:pt>
                <c:pt idx="22">
                  <c:v>FY41</c:v>
                </c:pt>
              </c:strCache>
            </c:strRef>
          </c:cat>
          <c:val>
            <c:numRef>
              <c:f>Comp.graph!$C$168:$AB$168</c:f>
              <c:numCache>
                <c:formatCode>0.0</c:formatCode>
                <c:ptCount val="23"/>
                <c:pt idx="0">
                  <c:v>2.5977723672264612</c:v>
                </c:pt>
                <c:pt idx="1">
                  <c:v>2.7393635277364012</c:v>
                </c:pt>
                <c:pt idx="2">
                  <c:v>2.9643193202164402</c:v>
                </c:pt>
                <c:pt idx="3">
                  <c:v>3.3624634920576635</c:v>
                </c:pt>
                <c:pt idx="4">
                  <c:v>3.5986476323882752</c:v>
                </c:pt>
                <c:pt idx="5">
                  <c:v>3.8126117425166952</c:v>
                </c:pt>
                <c:pt idx="6">
                  <c:v>4.0857961851828275</c:v>
                </c:pt>
                <c:pt idx="7">
                  <c:v>4.3349563571700855</c:v>
                </c:pt>
                <c:pt idx="8">
                  <c:v>4.6005528194383869</c:v>
                </c:pt>
                <c:pt idx="9">
                  <c:v>4.8880878669511914</c:v>
                </c:pt>
                <c:pt idx="10">
                  <c:v>5.194980488878679</c:v>
                </c:pt>
                <c:pt idx="11">
                  <c:v>5.5275097046143804</c:v>
                </c:pt>
                <c:pt idx="12">
                  <c:v>5.8827563275634605</c:v>
                </c:pt>
                <c:pt idx="13">
                  <c:v>6.3320695331575854</c:v>
                </c:pt>
                <c:pt idx="14">
                  <c:v>6.7485193167678457</c:v>
                </c:pt>
                <c:pt idx="15">
                  <c:v>7.1942257523320725</c:v>
                </c:pt>
                <c:pt idx="16">
                  <c:v>7.6713613912896275</c:v>
                </c:pt>
                <c:pt idx="17">
                  <c:v>8.2721829950508017</c:v>
                </c:pt>
                <c:pt idx="18">
                  <c:v>9.113183069076781</c:v>
                </c:pt>
                <c:pt idx="19">
                  <c:v>9.7251710994770182</c:v>
                </c:pt>
                <c:pt idx="20">
                  <c:v>10.380957582675022</c:v>
                </c:pt>
                <c:pt idx="21">
                  <c:v>11.083849500367684</c:v>
                </c:pt>
                <c:pt idx="22">
                  <c:v>11.836124444190919</c:v>
                </c:pt>
              </c:numCache>
            </c:numRef>
          </c:val>
          <c:extLst xmlns:c16r2="http://schemas.microsoft.com/office/drawing/2015/06/chart">
            <c:ext xmlns:c16="http://schemas.microsoft.com/office/drawing/2014/chart" uri="{C3380CC4-5D6E-409C-BE32-E72D297353CC}">
              <c16:uniqueId val="{00000000-2956-4884-B904-B9FD691EA117}"/>
            </c:ext>
          </c:extLst>
        </c:ser>
        <c:gapWidth val="75"/>
        <c:overlap val="-25"/>
        <c:axId val="359142144"/>
        <c:axId val="359143680"/>
      </c:barChart>
      <c:lineChart>
        <c:grouping val="standard"/>
        <c:ser>
          <c:idx val="1"/>
          <c:order val="1"/>
          <c:tx>
            <c:strRef>
              <c:f>Comp.graph!$B$169</c:f>
              <c:strCache>
                <c:ptCount val="1"/>
                <c:pt idx="0">
                  <c:v> Resource Requirement (% of baseline GDP)</c:v>
                </c:pt>
              </c:strCache>
            </c:strRef>
          </c:tx>
          <c:marker>
            <c:symbol val="none"/>
          </c:marker>
          <c:cat>
            <c:strRef>
              <c:f>Comp.graph!$C$167:$AB$167</c:f>
              <c:strCache>
                <c:ptCount val="23"/>
                <c:pt idx="0">
                  <c:v>FY19</c:v>
                </c:pt>
                <c:pt idx="1">
                  <c:v>FY20</c:v>
                </c:pt>
                <c:pt idx="2">
                  <c:v>FY21</c:v>
                </c:pt>
                <c:pt idx="3">
                  <c:v>FY22</c:v>
                </c:pt>
                <c:pt idx="4">
                  <c:v>FY23</c:v>
                </c:pt>
                <c:pt idx="5">
                  <c:v>FY24</c:v>
                </c:pt>
                <c:pt idx="6">
                  <c:v>FY25</c:v>
                </c:pt>
                <c:pt idx="7">
                  <c:v>FY26</c:v>
                </c:pt>
                <c:pt idx="8">
                  <c:v>FY27</c:v>
                </c:pt>
                <c:pt idx="9">
                  <c:v>FY28</c:v>
                </c:pt>
                <c:pt idx="10">
                  <c:v>FY29</c:v>
                </c:pt>
                <c:pt idx="11">
                  <c:v>FY30</c:v>
                </c:pt>
                <c:pt idx="12">
                  <c:v>FY31</c:v>
                </c:pt>
                <c:pt idx="13">
                  <c:v>FY32</c:v>
                </c:pt>
                <c:pt idx="14">
                  <c:v>FY33</c:v>
                </c:pt>
                <c:pt idx="15">
                  <c:v>FY34</c:v>
                </c:pt>
                <c:pt idx="16">
                  <c:v>FY35</c:v>
                </c:pt>
                <c:pt idx="17">
                  <c:v>FY36</c:v>
                </c:pt>
                <c:pt idx="18">
                  <c:v>FY37</c:v>
                </c:pt>
                <c:pt idx="19">
                  <c:v>FY38</c:v>
                </c:pt>
                <c:pt idx="20">
                  <c:v>FY39</c:v>
                </c:pt>
                <c:pt idx="21">
                  <c:v>FY40</c:v>
                </c:pt>
                <c:pt idx="22">
                  <c:v>FY41</c:v>
                </c:pt>
              </c:strCache>
            </c:strRef>
          </c:cat>
          <c:val>
            <c:numRef>
              <c:f>Comp.graph!$C$169:$AB$169</c:f>
              <c:numCache>
                <c:formatCode>0.0</c:formatCode>
                <c:ptCount val="23"/>
                <c:pt idx="0">
                  <c:v>2.1</c:v>
                </c:pt>
                <c:pt idx="1">
                  <c:v>2.1</c:v>
                </c:pt>
                <c:pt idx="2">
                  <c:v>2.2000000000000002</c:v>
                </c:pt>
                <c:pt idx="3">
                  <c:v>2.4</c:v>
                </c:pt>
                <c:pt idx="4">
                  <c:v>2.4</c:v>
                </c:pt>
                <c:pt idx="5">
                  <c:v>2.4</c:v>
                </c:pt>
                <c:pt idx="6">
                  <c:v>2.5</c:v>
                </c:pt>
                <c:pt idx="7">
                  <c:v>2.5</c:v>
                </c:pt>
                <c:pt idx="8">
                  <c:v>2.5</c:v>
                </c:pt>
                <c:pt idx="9">
                  <c:v>2.5</c:v>
                </c:pt>
                <c:pt idx="10">
                  <c:v>2.5</c:v>
                </c:pt>
                <c:pt idx="11">
                  <c:v>2.5</c:v>
                </c:pt>
                <c:pt idx="12">
                  <c:v>2.5</c:v>
                </c:pt>
                <c:pt idx="13">
                  <c:v>2.5579999999999998</c:v>
                </c:pt>
                <c:pt idx="14">
                  <c:v>2.629</c:v>
                </c:pt>
                <c:pt idx="15">
                  <c:v>2.6440000000000001</c:v>
                </c:pt>
                <c:pt idx="16">
                  <c:v>2.6019999999999999</c:v>
                </c:pt>
                <c:pt idx="17">
                  <c:v>2.6749999999999998</c:v>
                </c:pt>
                <c:pt idx="18">
                  <c:v>2.75</c:v>
                </c:pt>
                <c:pt idx="19">
                  <c:v>2.8</c:v>
                </c:pt>
                <c:pt idx="20">
                  <c:v>2.8</c:v>
                </c:pt>
                <c:pt idx="21">
                  <c:v>2.8</c:v>
                </c:pt>
                <c:pt idx="22">
                  <c:v>2.8</c:v>
                </c:pt>
              </c:numCache>
            </c:numRef>
          </c:val>
          <c:extLst xmlns:c16r2="http://schemas.microsoft.com/office/drawing/2015/06/chart">
            <c:ext xmlns:c16="http://schemas.microsoft.com/office/drawing/2014/chart" uri="{C3380CC4-5D6E-409C-BE32-E72D297353CC}">
              <c16:uniqueId val="{00000001-2956-4884-B904-B9FD691EA117}"/>
            </c:ext>
          </c:extLst>
        </c:ser>
        <c:marker val="1"/>
        <c:axId val="359145856"/>
        <c:axId val="359147392"/>
      </c:lineChart>
      <c:catAx>
        <c:axId val="359142144"/>
        <c:scaling>
          <c:orientation val="minMax"/>
        </c:scaling>
        <c:axPos val="b"/>
        <c:numFmt formatCode="General" sourceLinked="1"/>
        <c:majorTickMark val="none"/>
        <c:tickLblPos val="nextTo"/>
        <c:txPr>
          <a:bodyPr/>
          <a:lstStyle/>
          <a:p>
            <a:pPr>
              <a:defRPr sz="300"/>
            </a:pPr>
            <a:endParaRPr lang="en-US"/>
          </a:p>
        </c:txPr>
        <c:crossAx val="359143680"/>
        <c:crosses val="autoZero"/>
        <c:auto val="1"/>
        <c:lblAlgn val="ctr"/>
        <c:lblOffset val="100"/>
      </c:catAx>
      <c:valAx>
        <c:axId val="359143680"/>
        <c:scaling>
          <c:orientation val="minMax"/>
        </c:scaling>
        <c:axPos val="l"/>
        <c:majorGridlines/>
        <c:title>
          <c:tx>
            <c:rich>
              <a:bodyPr rot="0" vert="horz"/>
              <a:lstStyle/>
              <a:p>
                <a:pPr>
                  <a:defRPr sz="800"/>
                </a:pPr>
                <a:r>
                  <a:rPr lang="en-US" sz="800"/>
                  <a:t>%</a:t>
                </a:r>
              </a:p>
            </c:rich>
          </c:tx>
          <c:layout>
            <c:manualLayout>
              <c:xMode val="edge"/>
              <c:yMode val="edge"/>
              <c:x val="0.85254992248775963"/>
              <c:y val="3.6258882273862226E-3"/>
            </c:manualLayout>
          </c:layout>
        </c:title>
        <c:numFmt formatCode="0.0" sourceLinked="1"/>
        <c:majorTickMark val="none"/>
        <c:tickLblPos val="nextTo"/>
        <c:spPr>
          <a:ln w="9525">
            <a:noFill/>
          </a:ln>
        </c:spPr>
        <c:crossAx val="359142144"/>
        <c:crosses val="autoZero"/>
        <c:crossBetween val="between"/>
      </c:valAx>
      <c:catAx>
        <c:axId val="359145856"/>
        <c:scaling>
          <c:orientation val="minMax"/>
        </c:scaling>
        <c:delete val="1"/>
        <c:axPos val="b"/>
        <c:numFmt formatCode="General" sourceLinked="1"/>
        <c:tickLblPos val="none"/>
        <c:crossAx val="359147392"/>
        <c:crosses val="autoZero"/>
        <c:auto val="1"/>
        <c:lblAlgn val="ctr"/>
        <c:lblOffset val="100"/>
      </c:catAx>
      <c:valAx>
        <c:axId val="359147392"/>
        <c:scaling>
          <c:orientation val="minMax"/>
        </c:scaling>
        <c:axPos val="r"/>
        <c:title>
          <c:tx>
            <c:rich>
              <a:bodyPr rot="0" vert="horz"/>
              <a:lstStyle/>
              <a:p>
                <a:pPr>
                  <a:defRPr sz="800"/>
                </a:pPr>
                <a:r>
                  <a:rPr lang="en-US" sz="800"/>
                  <a:t>bn,</a:t>
                </a:r>
                <a:r>
                  <a:rPr lang="en-US" sz="800" baseline="0"/>
                  <a:t> $</a:t>
                </a:r>
              </a:p>
            </c:rich>
          </c:tx>
          <c:layout>
            <c:manualLayout>
              <c:xMode val="edge"/>
              <c:yMode val="edge"/>
              <c:x val="4.9994320885328188E-2"/>
              <c:y val="3.2994046475897944E-3"/>
            </c:manualLayout>
          </c:layout>
        </c:title>
        <c:numFmt formatCode="0.0" sourceLinked="1"/>
        <c:tickLblPos val="nextTo"/>
        <c:crossAx val="359145856"/>
        <c:crosses val="max"/>
        <c:crossBetween val="between"/>
      </c:valAx>
    </c:plotArea>
    <c:legend>
      <c:legendPos val="b"/>
      <c:txPr>
        <a:bodyPr/>
        <a:lstStyle/>
        <a:p>
          <a:pPr>
            <a:defRPr sz="800"/>
          </a:pPr>
          <a:endParaRPr lang="en-US"/>
        </a:p>
      </c:txPr>
    </c:legend>
    <c:plotVisOnly val="1"/>
    <c:dispBlanksAs val="gap"/>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lang val="en-AU"/>
  <c:chart>
    <c:autoTitleDeleted val="1"/>
    <c:plotArea>
      <c:layout>
        <c:manualLayout>
          <c:layoutTarget val="inner"/>
          <c:xMode val="edge"/>
          <c:yMode val="edge"/>
          <c:x val="0.13375240594925633"/>
          <c:y val="0.15027275900015619"/>
          <c:w val="0.83569203849520324"/>
          <c:h val="0.44248168536333882"/>
        </c:manualLayout>
      </c:layout>
      <c:barChart>
        <c:barDir val="col"/>
        <c:grouping val="clustered"/>
        <c:ser>
          <c:idx val="0"/>
          <c:order val="0"/>
          <c:tx>
            <c:strRef>
              <c:f>Comp.graph!$J$185</c:f>
              <c:strCache>
                <c:ptCount val="1"/>
                <c:pt idx="0">
                  <c:v>Region wise Resource Requirement (in billion USD)</c:v>
                </c:pt>
              </c:strCache>
            </c:strRef>
          </c:tx>
          <c:dLbls>
            <c:dLbl>
              <c:idx val="0"/>
              <c:layout>
                <c:manualLayout>
                  <c:x val="0"/>
                  <c:y val="8.2489092116608403E-3"/>
                </c:manualLayout>
              </c:layout>
              <c:spPr/>
              <c:txPr>
                <a:bodyPr/>
                <a:lstStyle/>
                <a:p>
                  <a:pPr>
                    <a:defRPr/>
                  </a:pPr>
                  <a:endParaRPr lang="en-US"/>
                </a:p>
              </c:txPr>
              <c:dLblPos val="outEnd"/>
              <c:showVal val="1"/>
              <c:extLst xmlns:c16r2="http://schemas.microsoft.com/office/drawing/2015/06/chart">
                <c:ext xmlns:c16="http://schemas.microsoft.com/office/drawing/2014/chart" uri="{C3380CC4-5D6E-409C-BE32-E72D297353CC}">
                  <c16:uniqueId val="{00000000-0DBF-4B32-8EA9-722FDBB439AF}"/>
                </c:ext>
                <c:ext xmlns:c15="http://schemas.microsoft.com/office/drawing/2012/chart" uri="{CE6537A1-D6FC-4f65-9D91-7224C49458BB}">
                  <c15:layout/>
                </c:ext>
              </c:extLst>
            </c:dLbl>
            <c:dLbl>
              <c:idx val="1"/>
              <c:layout>
                <c:manualLayout>
                  <c:x val="2.6418820684646891E-3"/>
                  <c:y val="8.2489092116608403E-3"/>
                </c:manualLayout>
              </c:layout>
              <c:spPr/>
              <c:txPr>
                <a:bodyPr/>
                <a:lstStyle/>
                <a:p>
                  <a:pPr>
                    <a:defRPr/>
                  </a:pPr>
                  <a:endParaRPr lang="en-US"/>
                </a:p>
              </c:txPr>
              <c:dLblPos val="outEnd"/>
              <c:showVal val="1"/>
              <c:extLst xmlns:c16r2="http://schemas.microsoft.com/office/drawing/2015/06/chart">
                <c:ext xmlns:c16="http://schemas.microsoft.com/office/drawing/2014/chart" uri="{C3380CC4-5D6E-409C-BE32-E72D297353CC}">
                  <c16:uniqueId val="{00000001-0DBF-4B32-8EA9-722FDBB439AF}"/>
                </c:ext>
                <c:ext xmlns:c15="http://schemas.microsoft.com/office/drawing/2012/chart" uri="{CE6537A1-D6FC-4f65-9D91-7224C49458BB}">
                  <c15:layout/>
                </c:ext>
              </c:extLst>
            </c:dLbl>
            <c:dLbl>
              <c:idx val="2"/>
              <c:layout>
                <c:manualLayout>
                  <c:x val="0"/>
                  <c:y val="1.2373363817491254E-2"/>
                </c:manualLayout>
              </c:layout>
              <c:spPr/>
              <c:txPr>
                <a:bodyPr/>
                <a:lstStyle/>
                <a:p>
                  <a:pPr>
                    <a:defRPr/>
                  </a:pPr>
                  <a:endParaRPr lang="en-US"/>
                </a:p>
              </c:txPr>
              <c:dLblPos val="outEnd"/>
              <c:showVal val="1"/>
              <c:extLst xmlns:c16r2="http://schemas.microsoft.com/office/drawing/2015/06/chart">
                <c:ext xmlns:c16="http://schemas.microsoft.com/office/drawing/2014/chart" uri="{C3380CC4-5D6E-409C-BE32-E72D297353CC}">
                  <c16:uniqueId val="{00000002-0DBF-4B32-8EA9-722FDBB439AF}"/>
                </c:ext>
                <c:ext xmlns:c15="http://schemas.microsoft.com/office/drawing/2012/chart" uri="{CE6537A1-D6FC-4f65-9D91-7224C49458BB}">
                  <c15:layout/>
                </c:ext>
              </c:extLst>
            </c:dLbl>
            <c:dLbl>
              <c:idx val="3"/>
              <c:layout>
                <c:manualLayout>
                  <c:x val="0"/>
                  <c:y val="1.2373363817491254E-2"/>
                </c:manualLayout>
              </c:layout>
              <c:spPr/>
              <c:txPr>
                <a:bodyPr/>
                <a:lstStyle/>
                <a:p>
                  <a:pPr>
                    <a:defRPr/>
                  </a:pPr>
                  <a:endParaRPr lang="en-US"/>
                </a:p>
              </c:txPr>
              <c:dLblPos val="outEnd"/>
              <c:showVal val="1"/>
              <c:extLst xmlns:c16r2="http://schemas.microsoft.com/office/drawing/2015/06/chart">
                <c:ext xmlns:c16="http://schemas.microsoft.com/office/drawing/2014/chart" uri="{C3380CC4-5D6E-409C-BE32-E72D297353CC}">
                  <c16:uniqueId val="{00000003-0DBF-4B32-8EA9-722FDBB439AF}"/>
                </c:ext>
                <c:ext xmlns:c15="http://schemas.microsoft.com/office/drawing/2012/chart" uri="{CE6537A1-D6FC-4f65-9D91-7224C49458BB}">
                  <c15:layout/>
                </c:ext>
              </c:extLst>
            </c:dLbl>
            <c:dLbl>
              <c:idx val="4"/>
              <c:layout>
                <c:manualLayout>
                  <c:x val="0"/>
                  <c:y val="1.6497818423321681E-2"/>
                </c:manualLayout>
              </c:layout>
              <c:spPr/>
              <c:txPr>
                <a:bodyPr/>
                <a:lstStyle/>
                <a:p>
                  <a:pPr>
                    <a:defRPr/>
                  </a:pPr>
                  <a:endParaRPr lang="en-US"/>
                </a:p>
              </c:txPr>
              <c:dLblPos val="outEnd"/>
              <c:showVal val="1"/>
              <c:extLst xmlns:c16r2="http://schemas.microsoft.com/office/drawing/2015/06/chart">
                <c:ext xmlns:c16="http://schemas.microsoft.com/office/drawing/2014/chart" uri="{C3380CC4-5D6E-409C-BE32-E72D297353CC}">
                  <c16:uniqueId val="{00000004-0DBF-4B32-8EA9-722FDBB439AF}"/>
                </c:ext>
                <c:ext xmlns:c15="http://schemas.microsoft.com/office/drawing/2012/chart" uri="{CE6537A1-D6FC-4f65-9D91-7224C49458BB}">
                  <c15:layout/>
                </c:ext>
              </c:extLst>
            </c:dLbl>
            <c:dLbl>
              <c:idx val="5"/>
              <c:layout>
                <c:manualLayout>
                  <c:x val="0"/>
                  <c:y val="1.6497818423321681E-2"/>
                </c:manualLayout>
              </c:layout>
              <c:spPr/>
              <c:txPr>
                <a:bodyPr/>
                <a:lstStyle/>
                <a:p>
                  <a:pPr>
                    <a:defRPr/>
                  </a:pPr>
                  <a:endParaRPr lang="en-US"/>
                </a:p>
              </c:txPr>
              <c:dLblPos val="outEnd"/>
              <c:showVal val="1"/>
              <c:extLst xmlns:c16r2="http://schemas.microsoft.com/office/drawing/2015/06/chart">
                <c:ext xmlns:c16="http://schemas.microsoft.com/office/drawing/2014/chart" uri="{C3380CC4-5D6E-409C-BE32-E72D297353CC}">
                  <c16:uniqueId val="{00000005-0DBF-4B32-8EA9-722FDBB439AF}"/>
                </c:ext>
                <c:ext xmlns:c15="http://schemas.microsoft.com/office/drawing/2012/chart" uri="{CE6537A1-D6FC-4f65-9D91-7224C49458BB}">
                  <c15:layout/>
                </c:ext>
              </c:extLst>
            </c:dLbl>
            <c:dLbl>
              <c:idx val="6"/>
              <c:layout>
                <c:manualLayout>
                  <c:x val="0"/>
                  <c:y val="1.2373363817491254E-2"/>
                </c:manualLayout>
              </c:layout>
              <c:spPr/>
              <c:txPr>
                <a:bodyPr/>
                <a:lstStyle/>
                <a:p>
                  <a:pPr>
                    <a:defRPr/>
                  </a:pPr>
                  <a:endParaRPr lang="en-US"/>
                </a:p>
              </c:txPr>
              <c:dLblPos val="outEnd"/>
              <c:showVal val="1"/>
              <c:extLst xmlns:c16r2="http://schemas.microsoft.com/office/drawing/2015/06/chart">
                <c:ext xmlns:c16="http://schemas.microsoft.com/office/drawing/2014/chart" uri="{C3380CC4-5D6E-409C-BE32-E72D297353CC}">
                  <c16:uniqueId val="{00000006-0DBF-4B32-8EA9-722FDBB439AF}"/>
                </c:ext>
                <c:ext xmlns:c15="http://schemas.microsoft.com/office/drawing/2012/chart" uri="{CE6537A1-D6FC-4f65-9D91-7224C49458BB}">
                  <c15:layout/>
                </c:ext>
              </c:extLst>
            </c:dLbl>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Comp.graph!$I$186:$I$192</c:f>
              <c:strCache>
                <c:ptCount val="7"/>
                <c:pt idx="0">
                  <c:v>Haor</c:v>
                </c:pt>
                <c:pt idx="1">
                  <c:v>Coastal</c:v>
                </c:pt>
                <c:pt idx="2">
                  <c:v>River Estuary</c:v>
                </c:pt>
                <c:pt idx="3">
                  <c:v>Drought</c:v>
                </c:pt>
                <c:pt idx="4">
                  <c:v>Chittagong Hill Tract</c:v>
                </c:pt>
                <c:pt idx="5">
                  <c:v>Urban</c:v>
                </c:pt>
                <c:pt idx="6">
                  <c:v>Less Disaster Prone Region</c:v>
                </c:pt>
              </c:strCache>
            </c:strRef>
          </c:cat>
          <c:val>
            <c:numRef>
              <c:f>Comp.graph!$J$186:$J$192</c:f>
              <c:numCache>
                <c:formatCode>0.0</c:formatCode>
                <c:ptCount val="7"/>
                <c:pt idx="0">
                  <c:v>8.9771334055827676</c:v>
                </c:pt>
                <c:pt idx="1">
                  <c:v>34.574204872818946</c:v>
                </c:pt>
                <c:pt idx="2">
                  <c:v>52.437923511462209</c:v>
                </c:pt>
                <c:pt idx="3">
                  <c:v>12.153828855988166</c:v>
                </c:pt>
                <c:pt idx="4">
                  <c:v>1.6188359012419917</c:v>
                </c:pt>
                <c:pt idx="5">
                  <c:v>24.901587527836988</c:v>
                </c:pt>
                <c:pt idx="6">
                  <c:v>9.9976940865694264</c:v>
                </c:pt>
              </c:numCache>
            </c:numRef>
          </c:val>
          <c:extLst xmlns:c16r2="http://schemas.microsoft.com/office/drawing/2015/06/chart">
            <c:ext xmlns:c16="http://schemas.microsoft.com/office/drawing/2014/chart" uri="{C3380CC4-5D6E-409C-BE32-E72D297353CC}">
              <c16:uniqueId val="{00000007-0DBF-4B32-8EA9-722FDBB439AF}"/>
            </c:ext>
          </c:extLst>
        </c:ser>
        <c:dLbls>
          <c:showVal val="1"/>
        </c:dLbls>
        <c:gapWidth val="75"/>
        <c:overlap val="-25"/>
        <c:axId val="359177216"/>
        <c:axId val="359195392"/>
      </c:barChart>
      <c:catAx>
        <c:axId val="359177216"/>
        <c:scaling>
          <c:orientation val="minMax"/>
        </c:scaling>
        <c:axPos val="b"/>
        <c:numFmt formatCode="General" sourceLinked="1"/>
        <c:majorTickMark val="none"/>
        <c:tickLblPos val="nextTo"/>
        <c:txPr>
          <a:bodyPr/>
          <a:lstStyle/>
          <a:p>
            <a:pPr>
              <a:defRPr sz="600"/>
            </a:pPr>
            <a:endParaRPr lang="en-US"/>
          </a:p>
        </c:txPr>
        <c:crossAx val="359195392"/>
        <c:crosses val="autoZero"/>
        <c:auto val="1"/>
        <c:lblAlgn val="ctr"/>
        <c:lblOffset val="100"/>
      </c:catAx>
      <c:valAx>
        <c:axId val="359195392"/>
        <c:scaling>
          <c:orientation val="minMax"/>
        </c:scaling>
        <c:axPos val="l"/>
        <c:numFmt formatCode="0.0" sourceLinked="1"/>
        <c:tickLblPos val="nextTo"/>
        <c:spPr>
          <a:ln w="9525">
            <a:noFill/>
          </a:ln>
        </c:spPr>
        <c:txPr>
          <a:bodyPr/>
          <a:lstStyle/>
          <a:p>
            <a:pPr>
              <a:defRPr sz="700"/>
            </a:pPr>
            <a:endParaRPr lang="en-US"/>
          </a:p>
        </c:txPr>
        <c:crossAx val="359177216"/>
        <c:crosses val="autoZero"/>
        <c:crossBetween val="between"/>
      </c:valAx>
      <c:spPr>
        <a:ln>
          <a:solidFill>
            <a:schemeClr val="bg1"/>
          </a:solidFill>
        </a:ln>
      </c:spPr>
    </c:plotArea>
    <c:legend>
      <c:legendPos val="b"/>
    </c:legend>
    <c:plotVisOnly val="1"/>
    <c:dispBlanksAs val="gap"/>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AU"/>
  <c:style val="18"/>
  <c:chart>
    <c:autoTitleDeleted val="1"/>
    <c:plotArea>
      <c:layout>
        <c:manualLayout>
          <c:layoutTarget val="inner"/>
          <c:xMode val="edge"/>
          <c:yMode val="edge"/>
          <c:x val="0.26516967293982108"/>
          <c:y val="9.767121078777069E-2"/>
          <c:w val="0.42237951639024157"/>
          <c:h val="0.88165080401219365"/>
        </c:manualLayout>
      </c:layout>
      <c:pieChart>
        <c:varyColors val="1"/>
        <c:ser>
          <c:idx val="0"/>
          <c:order val="0"/>
          <c:tx>
            <c:strRef>
              <c:f>Sheet1!$B$1</c:f>
              <c:strCache>
                <c:ptCount val="1"/>
                <c:pt idx="0">
                  <c:v>Sales</c:v>
                </c:pt>
              </c:strCache>
            </c:strRef>
          </c:tx>
          <c:dPt>
            <c:idx val="0"/>
            <c:explosion val="1"/>
            <c:extLst xmlns:c16r2="http://schemas.microsoft.com/office/drawing/2015/06/chart">
              <c:ext xmlns:c16="http://schemas.microsoft.com/office/drawing/2014/chart" uri="{C3380CC4-5D6E-409C-BE32-E72D297353CC}">
                <c16:uniqueId val="{00000000-A95C-4A43-A16B-48F655A67F12}"/>
              </c:ext>
            </c:extLst>
          </c:dPt>
          <c:dLbls>
            <c:dLbl>
              <c:idx val="3"/>
              <c:delete val="1"/>
              <c:extLst xmlns:c16r2="http://schemas.microsoft.com/office/drawing/2015/06/chart">
                <c:ext xmlns:c16="http://schemas.microsoft.com/office/drawing/2014/chart" uri="{C3380CC4-5D6E-409C-BE32-E72D297353CC}">
                  <c16:uniqueId val="{00000001-A95C-4A43-A16B-48F655A67F12}"/>
                </c:ext>
                <c:ext xmlns:c15="http://schemas.microsoft.com/office/drawing/2012/chart" uri="{CE6537A1-D6FC-4f65-9D91-7224C49458BB}"/>
              </c:extLst>
            </c:dLbl>
            <c:spPr>
              <a:noFill/>
              <a:ln>
                <a:noFill/>
              </a:ln>
              <a:effectLst/>
            </c:spPr>
            <c:showPercent val="1"/>
            <c:showLeaderLines val="1"/>
            <c:extLst xmlns:c16r2="http://schemas.microsoft.com/office/drawing/2015/06/chart">
              <c:ext xmlns:c15="http://schemas.microsoft.com/office/drawing/2012/chart" uri="{CE6537A1-D6FC-4f65-9D91-7224C49458BB}"/>
            </c:extLst>
          </c:dLbls>
          <c:cat>
            <c:strRef>
              <c:f>Sheet1!$A$2:$A$5</c:f>
              <c:strCache>
                <c:ptCount val="3"/>
                <c:pt idx="0">
                  <c:v>Flood Plain</c:v>
                </c:pt>
                <c:pt idx="1">
                  <c:v>Hilly</c:v>
                </c:pt>
                <c:pt idx="2">
                  <c:v>Uplifted Blocks(Terraces)</c:v>
                </c:pt>
              </c:strCache>
            </c:strRef>
          </c:cat>
          <c:val>
            <c:numRef>
              <c:f>Sheet1!$B$2:$B$5</c:f>
              <c:numCache>
                <c:formatCode>General</c:formatCode>
                <c:ptCount val="4"/>
                <c:pt idx="0">
                  <c:v>80</c:v>
                </c:pt>
                <c:pt idx="1">
                  <c:v>12</c:v>
                </c:pt>
                <c:pt idx="2">
                  <c:v>8</c:v>
                </c:pt>
              </c:numCache>
            </c:numRef>
          </c:val>
          <c:extLst xmlns:c16r2="http://schemas.microsoft.com/office/drawing/2015/06/chart">
            <c:ext xmlns:c16="http://schemas.microsoft.com/office/drawing/2014/chart" uri="{C3380CC4-5D6E-409C-BE32-E72D297353CC}">
              <c16:uniqueId val="{00000002-A95C-4A43-A16B-48F655A67F12}"/>
            </c:ext>
          </c:extLst>
        </c:ser>
        <c:dLbls>
          <c:showPercent val="1"/>
        </c:dLbls>
        <c:firstSliceAng val="0"/>
      </c:pieChart>
    </c:plotArea>
    <c:legend>
      <c:legendPos val="t"/>
      <c:legendEntry>
        <c:idx val="3"/>
        <c:delete val="1"/>
      </c:legendEntry>
    </c:legend>
    <c:plotVisOnly val="1"/>
    <c:dispBlanksAs val="zero"/>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n-US"/>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AU"/>
  <c:clrMapOvr bg1="lt1" tx1="dk1" bg2="lt2" tx2="dk2" accent1="accent1" accent2="accent2" accent3="accent3" accent4="accent4" accent5="accent5" accent6="accent6" hlink="hlink" folHlink="folHlink"/>
  <c:chart>
    <c:view3D>
      <c:depthPercent val="100"/>
      <c:rAngAx val="1"/>
    </c:view3D>
    <c:plotArea>
      <c:layout>
        <c:manualLayout>
          <c:layoutTarget val="inner"/>
          <c:xMode val="edge"/>
          <c:yMode val="edge"/>
          <c:x val="0.13903691783052721"/>
          <c:y val="0.107718689010028"/>
          <c:w val="0.83399122554936667"/>
          <c:h val="0.80513116629652104"/>
        </c:manualLayout>
      </c:layout>
      <c:bar3DChart>
        <c:barDir val="col"/>
        <c:grouping val="clustered"/>
        <c:ser>
          <c:idx val="0"/>
          <c:order val="0"/>
          <c:tx>
            <c:strRef>
              <c:f>Sheet1!$B$1</c:f>
              <c:strCache>
                <c:ptCount val="1"/>
                <c:pt idx="0">
                  <c:v>Accretion </c:v>
                </c:pt>
              </c:strCache>
            </c:strRef>
          </c:tx>
          <c:cat>
            <c:strRef>
              <c:f>Sheet1!$A$2:$A$8</c:f>
              <c:strCache>
                <c:ptCount val="7"/>
                <c:pt idx="0">
                  <c:v>1973-1984</c:v>
                </c:pt>
                <c:pt idx="1">
                  <c:v>1984-1996</c:v>
                </c:pt>
                <c:pt idx="2">
                  <c:v>1996-2001</c:v>
                </c:pt>
                <c:pt idx="3">
                  <c:v>2001-2003</c:v>
                </c:pt>
                <c:pt idx="4">
                  <c:v>2003-2005</c:v>
                </c:pt>
                <c:pt idx="5">
                  <c:v>2005-2008</c:v>
                </c:pt>
                <c:pt idx="6">
                  <c:v>2008-2010</c:v>
                </c:pt>
              </c:strCache>
            </c:strRef>
          </c:cat>
          <c:val>
            <c:numRef>
              <c:f>Sheet1!$B$2:$B$8</c:f>
              <c:numCache>
                <c:formatCode>General</c:formatCode>
                <c:ptCount val="7"/>
                <c:pt idx="0">
                  <c:v>702.38</c:v>
                </c:pt>
                <c:pt idx="1">
                  <c:v>931.24</c:v>
                </c:pt>
                <c:pt idx="2">
                  <c:v>369.02</c:v>
                </c:pt>
                <c:pt idx="3">
                  <c:v>368.38</c:v>
                </c:pt>
                <c:pt idx="4">
                  <c:v>260.02</c:v>
                </c:pt>
                <c:pt idx="5" formatCode="0.00">
                  <c:v>293.20999999999924</c:v>
                </c:pt>
                <c:pt idx="6">
                  <c:v>295.25</c:v>
                </c:pt>
              </c:numCache>
            </c:numRef>
          </c:val>
          <c:extLst xmlns:c16r2="http://schemas.microsoft.com/office/drawing/2015/06/chart">
            <c:ext xmlns:c16="http://schemas.microsoft.com/office/drawing/2014/chart" uri="{C3380CC4-5D6E-409C-BE32-E72D297353CC}">
              <c16:uniqueId val="{00000000-7596-41B4-BD0B-1C91A9457836}"/>
            </c:ext>
          </c:extLst>
        </c:ser>
        <c:ser>
          <c:idx val="1"/>
          <c:order val="1"/>
          <c:tx>
            <c:strRef>
              <c:f>Sheet1!$C$1</c:f>
              <c:strCache>
                <c:ptCount val="1"/>
                <c:pt idx="0">
                  <c:v>Erosion</c:v>
                </c:pt>
              </c:strCache>
            </c:strRef>
          </c:tx>
          <c:cat>
            <c:strRef>
              <c:f>Sheet1!$A$2:$A$8</c:f>
              <c:strCache>
                <c:ptCount val="7"/>
                <c:pt idx="0">
                  <c:v>1973-1984</c:v>
                </c:pt>
                <c:pt idx="1">
                  <c:v>1984-1996</c:v>
                </c:pt>
                <c:pt idx="2">
                  <c:v>1996-2001</c:v>
                </c:pt>
                <c:pt idx="3">
                  <c:v>2001-2003</c:v>
                </c:pt>
                <c:pt idx="4">
                  <c:v>2003-2005</c:v>
                </c:pt>
                <c:pt idx="5">
                  <c:v>2005-2008</c:v>
                </c:pt>
                <c:pt idx="6">
                  <c:v>2008-2010</c:v>
                </c:pt>
              </c:strCache>
            </c:strRef>
          </c:cat>
          <c:val>
            <c:numRef>
              <c:f>Sheet1!$C$2:$C$8</c:f>
              <c:numCache>
                <c:formatCode>General</c:formatCode>
                <c:ptCount val="7"/>
                <c:pt idx="0">
                  <c:v>803.05999999999938</c:v>
                </c:pt>
                <c:pt idx="1">
                  <c:v>576.67000000000053</c:v>
                </c:pt>
                <c:pt idx="2">
                  <c:v>421.96999999999929</c:v>
                </c:pt>
                <c:pt idx="3">
                  <c:v>178.30200000000067</c:v>
                </c:pt>
                <c:pt idx="4">
                  <c:v>294.75</c:v>
                </c:pt>
                <c:pt idx="5">
                  <c:v>271.42999999999864</c:v>
                </c:pt>
                <c:pt idx="6">
                  <c:v>188.18</c:v>
                </c:pt>
              </c:numCache>
            </c:numRef>
          </c:val>
          <c:extLst xmlns:c16r2="http://schemas.microsoft.com/office/drawing/2015/06/chart">
            <c:ext xmlns:c16="http://schemas.microsoft.com/office/drawing/2014/chart" uri="{C3380CC4-5D6E-409C-BE32-E72D297353CC}">
              <c16:uniqueId val="{00000001-7596-41B4-BD0B-1C91A9457836}"/>
            </c:ext>
          </c:extLst>
        </c:ser>
        <c:ser>
          <c:idx val="2"/>
          <c:order val="2"/>
          <c:tx>
            <c:strRef>
              <c:f>Sheet1!$D$1</c:f>
              <c:strCache>
                <c:ptCount val="1"/>
                <c:pt idx="0">
                  <c:v>Net Accretion</c:v>
                </c:pt>
              </c:strCache>
            </c:strRef>
          </c:tx>
          <c:cat>
            <c:strRef>
              <c:f>Sheet1!$A$2:$A$8</c:f>
              <c:strCache>
                <c:ptCount val="7"/>
                <c:pt idx="0">
                  <c:v>1973-1984</c:v>
                </c:pt>
                <c:pt idx="1">
                  <c:v>1984-1996</c:v>
                </c:pt>
                <c:pt idx="2">
                  <c:v>1996-2001</c:v>
                </c:pt>
                <c:pt idx="3">
                  <c:v>2001-2003</c:v>
                </c:pt>
                <c:pt idx="4">
                  <c:v>2003-2005</c:v>
                </c:pt>
                <c:pt idx="5">
                  <c:v>2005-2008</c:v>
                </c:pt>
                <c:pt idx="6">
                  <c:v>2008-2010</c:v>
                </c:pt>
              </c:strCache>
            </c:strRef>
          </c:cat>
          <c:val>
            <c:numRef>
              <c:f>Sheet1!$D$2:$D$8</c:f>
              <c:numCache>
                <c:formatCode>General</c:formatCode>
                <c:ptCount val="7"/>
                <c:pt idx="0">
                  <c:v>-100.67999999999988</c:v>
                </c:pt>
                <c:pt idx="1">
                  <c:v>354.57000000000011</c:v>
                </c:pt>
                <c:pt idx="2">
                  <c:v>-52.950000000000045</c:v>
                </c:pt>
                <c:pt idx="3">
                  <c:v>190.078</c:v>
                </c:pt>
                <c:pt idx="4">
                  <c:v>-34.730000000000032</c:v>
                </c:pt>
                <c:pt idx="5">
                  <c:v>21.779999999999969</c:v>
                </c:pt>
                <c:pt idx="6">
                  <c:v>107.07</c:v>
                </c:pt>
              </c:numCache>
            </c:numRef>
          </c:val>
          <c:extLst xmlns:c16r2="http://schemas.microsoft.com/office/drawing/2015/06/chart">
            <c:ext xmlns:c16="http://schemas.microsoft.com/office/drawing/2014/chart" uri="{C3380CC4-5D6E-409C-BE32-E72D297353CC}">
              <c16:uniqueId val="{00000002-7596-41B4-BD0B-1C91A9457836}"/>
            </c:ext>
          </c:extLst>
        </c:ser>
        <c:shape val="box"/>
        <c:axId val="359323904"/>
        <c:axId val="359604224"/>
        <c:axId val="0"/>
      </c:bar3DChart>
      <c:catAx>
        <c:axId val="359323904"/>
        <c:scaling>
          <c:orientation val="minMax"/>
        </c:scaling>
        <c:axPos val="b"/>
        <c:majorGridlines/>
        <c:numFmt formatCode="General" sourceLinked="1"/>
        <c:tickLblPos val="low"/>
        <c:txPr>
          <a:bodyPr/>
          <a:lstStyle/>
          <a:p>
            <a:pPr>
              <a:defRPr lang="en-IN" sz="900" baseline="0">
                <a:latin typeface="Times New Roman" pitchFamily="18" charset="0"/>
                <a:cs typeface="Times New Roman" pitchFamily="18" charset="0"/>
              </a:defRPr>
            </a:pPr>
            <a:endParaRPr lang="en-US"/>
          </a:p>
        </c:txPr>
        <c:crossAx val="359604224"/>
        <c:crosses val="autoZero"/>
        <c:auto val="1"/>
        <c:lblAlgn val="ctr"/>
        <c:lblOffset val="100"/>
      </c:catAx>
      <c:valAx>
        <c:axId val="359604224"/>
        <c:scaling>
          <c:orientation val="minMax"/>
        </c:scaling>
        <c:axPos val="l"/>
        <c:majorGridlines/>
        <c:title>
          <c:tx>
            <c:rich>
              <a:bodyPr/>
              <a:lstStyle/>
              <a:p>
                <a:pPr>
                  <a:defRPr sz="900" b="1" i="0" u="none" strike="noStrike" baseline="0">
                    <a:solidFill>
                      <a:srgbClr val="000000"/>
                    </a:solidFill>
                    <a:latin typeface="Times New Roman"/>
                    <a:ea typeface="Times New Roman"/>
                    <a:cs typeface="Times New Roman"/>
                  </a:defRPr>
                </a:pPr>
                <a:r>
                  <a:rPr lang="en-US" sz="900" baseline="0"/>
                  <a:t>Accretion/Erosion/Net Accretion in Sq.Km.</a:t>
                </a:r>
              </a:p>
            </c:rich>
          </c:tx>
          <c:layout>
            <c:manualLayout>
              <c:xMode val="edge"/>
              <c:yMode val="edge"/>
              <c:x val="2.3069141904707203E-2"/>
              <c:y val="0.20256710731002128"/>
            </c:manualLayout>
          </c:layout>
        </c:title>
        <c:numFmt formatCode="General" sourceLinked="1"/>
        <c:tickLblPos val="nextTo"/>
        <c:txPr>
          <a:bodyPr/>
          <a:lstStyle/>
          <a:p>
            <a:pPr>
              <a:defRPr lang="en-IN" sz="900" baseline="0">
                <a:latin typeface="Times New Roman" pitchFamily="18" charset="0"/>
                <a:cs typeface="Times New Roman" pitchFamily="18" charset="0"/>
              </a:defRPr>
            </a:pPr>
            <a:endParaRPr lang="en-US"/>
          </a:p>
        </c:txPr>
        <c:crossAx val="359323904"/>
        <c:crosses val="autoZero"/>
        <c:crossBetween val="between"/>
      </c:valAx>
      <c:spPr>
        <a:noFill/>
        <a:ln w="25391">
          <a:noFill/>
        </a:ln>
      </c:spPr>
    </c:plotArea>
    <c:legend>
      <c:legendPos val="t"/>
      <c:spPr>
        <a:solidFill>
          <a:schemeClr val="bg1">
            <a:lumMod val="85000"/>
          </a:schemeClr>
        </a:solidFill>
        <a:ln>
          <a:solidFill>
            <a:schemeClr val="tx1"/>
          </a:solidFill>
        </a:ln>
      </c:spPr>
      <c:txPr>
        <a:bodyPr/>
        <a:lstStyle/>
        <a:p>
          <a:pPr>
            <a:defRPr lang="en-IN" sz="1000" b="0">
              <a:latin typeface="Times New Roman" pitchFamily="18" charset="0"/>
              <a:cs typeface="Times New Roman" pitchFamily="18" charset="0"/>
            </a:defRPr>
          </a:pPr>
          <a:endParaRPr lang="en-US"/>
        </a:p>
      </c:txPr>
    </c:legend>
    <c:plotVisOnly val="1"/>
    <c:dispBlanksAs val="gap"/>
  </c:chart>
  <c:externalData r:id="rId2"/>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AU"/>
  <c:style val="12"/>
  <c:chart>
    <c:autoTitleDeleted val="1"/>
    <c:plotArea>
      <c:layout/>
      <c:lineChart>
        <c:grouping val="standard"/>
        <c:ser>
          <c:idx val="0"/>
          <c:order val="0"/>
          <c:marker>
            <c:symbol val="none"/>
          </c:marker>
          <c:cat>
            <c:numRef>
              <c:f>Sheet1!$A$20:$A$25</c:f>
              <c:numCache>
                <c:formatCode>General</c:formatCode>
                <c:ptCount val="6"/>
                <c:pt idx="0">
                  <c:v>1974</c:v>
                </c:pt>
                <c:pt idx="1">
                  <c:v>1983</c:v>
                </c:pt>
                <c:pt idx="2">
                  <c:v>1990</c:v>
                </c:pt>
                <c:pt idx="3">
                  <c:v>2000</c:v>
                </c:pt>
                <c:pt idx="4">
                  <c:v>2010</c:v>
                </c:pt>
                <c:pt idx="5">
                  <c:v>2014</c:v>
                </c:pt>
              </c:numCache>
            </c:numRef>
          </c:cat>
          <c:val>
            <c:numRef>
              <c:f>Sheet1!$D$20:$D$25</c:f>
              <c:numCache>
                <c:formatCode>General</c:formatCode>
                <c:ptCount val="6"/>
                <c:pt idx="0">
                  <c:v>0.48017206063089146</c:v>
                </c:pt>
                <c:pt idx="1">
                  <c:v>0.54346662588882555</c:v>
                </c:pt>
                <c:pt idx="2">
                  <c:v>0.68964585022980229</c:v>
                </c:pt>
                <c:pt idx="3">
                  <c:v>0.87170281913688252</c:v>
                </c:pt>
                <c:pt idx="4">
                  <c:v>1.1396849158825206</c:v>
                </c:pt>
                <c:pt idx="5">
                  <c:v>1.2226255293405941</c:v>
                </c:pt>
              </c:numCache>
            </c:numRef>
          </c:val>
          <c:extLst xmlns:c16r2="http://schemas.microsoft.com/office/drawing/2015/06/chart">
            <c:ext xmlns:c16="http://schemas.microsoft.com/office/drawing/2014/chart" uri="{C3380CC4-5D6E-409C-BE32-E72D297353CC}">
              <c16:uniqueId val="{00000000-66C0-490E-8A20-9EF81F61B2DF}"/>
            </c:ext>
          </c:extLst>
        </c:ser>
        <c:marker val="1"/>
        <c:axId val="359307904"/>
        <c:axId val="359596416"/>
      </c:lineChart>
      <c:catAx>
        <c:axId val="359307904"/>
        <c:scaling>
          <c:orientation val="minMax"/>
        </c:scaling>
        <c:axPos val="b"/>
        <c:numFmt formatCode="General" sourceLinked="1"/>
        <c:tickLblPos val="nextTo"/>
        <c:crossAx val="359596416"/>
        <c:crosses val="autoZero"/>
        <c:auto val="1"/>
        <c:lblAlgn val="ctr"/>
        <c:lblOffset val="100"/>
      </c:catAx>
      <c:valAx>
        <c:axId val="359596416"/>
        <c:scaling>
          <c:orientation val="minMax"/>
        </c:scaling>
        <c:axPos val="l"/>
        <c:majorGridlines/>
        <c:numFmt formatCode="General" sourceLinked="1"/>
        <c:tickLblPos val="nextTo"/>
        <c:crossAx val="359307904"/>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AU"/>
  <c:style val="26"/>
  <c:chart>
    <c:autoTitleDeleted val="1"/>
    <c:plotArea>
      <c:layout>
        <c:manualLayout>
          <c:layoutTarget val="inner"/>
          <c:xMode val="edge"/>
          <c:yMode val="edge"/>
          <c:x val="8.4818061459131733E-2"/>
          <c:y val="0.14528155167044798"/>
          <c:w val="0.88922323647598089"/>
          <c:h val="0.62924756439343565"/>
        </c:manualLayout>
      </c:layout>
      <c:barChart>
        <c:barDir val="col"/>
        <c:grouping val="clustered"/>
        <c:ser>
          <c:idx val="0"/>
          <c:order val="0"/>
          <c:tx>
            <c:strRef>
              <c:f>'2011'!$C$27</c:f>
              <c:strCache>
                <c:ptCount val="1"/>
                <c:pt idx="0">
                  <c:v>2001</c:v>
                </c:pt>
              </c:strCache>
            </c:strRef>
          </c:tx>
          <c:spPr>
            <a:solidFill>
              <a:srgbClr val="002060"/>
            </a:solidFill>
          </c:spPr>
          <c:dLbls>
            <c:spPr>
              <a:noFill/>
              <a:ln>
                <a:noFill/>
              </a:ln>
              <a:effectLst/>
            </c:spPr>
            <c:txPr>
              <a:bodyPr/>
              <a:lstStyle/>
              <a:p>
                <a:pPr>
                  <a:defRPr b="1">
                    <a:solidFill>
                      <a:srgbClr val="FFC000"/>
                    </a:solidFill>
                  </a:defRPr>
                </a:pPr>
                <a:endParaRPr lang="en-US"/>
              </a:p>
            </c:txPr>
            <c:dLblPos val="inEnd"/>
            <c:showVal val="1"/>
            <c:extLst xmlns:c16r2="http://schemas.microsoft.com/office/drawing/2015/06/chart">
              <c:ext xmlns:c15="http://schemas.microsoft.com/office/drawing/2012/chart" uri="{CE6537A1-D6FC-4f65-9D91-7224C49458BB}">
                <c15:showLeaderLines val="0"/>
              </c:ext>
            </c:extLst>
          </c:dLbls>
          <c:cat>
            <c:strRef>
              <c:f>'2011'!$B$28:$B$35</c:f>
              <c:strCache>
                <c:ptCount val="8"/>
                <c:pt idx="0">
                  <c:v>Haor</c:v>
                </c:pt>
                <c:pt idx="1">
                  <c:v>Coastal</c:v>
                </c:pt>
                <c:pt idx="2">
                  <c:v>CTG Hill</c:v>
                </c:pt>
                <c:pt idx="3">
                  <c:v>Urban </c:v>
                </c:pt>
                <c:pt idx="4">
                  <c:v>Drought Prone</c:v>
                </c:pt>
                <c:pt idx="5">
                  <c:v>Rivers &amp; Estuaries</c:v>
                </c:pt>
                <c:pt idx="6">
                  <c:v>Non-Delta</c:v>
                </c:pt>
                <c:pt idx="7">
                  <c:v>Bangladesh</c:v>
                </c:pt>
              </c:strCache>
            </c:strRef>
          </c:cat>
          <c:val>
            <c:numRef>
              <c:f>'2011'!$C$28:$C$35</c:f>
              <c:numCache>
                <c:formatCode>0.0</c:formatCode>
                <c:ptCount val="8"/>
                <c:pt idx="0">
                  <c:v>37.746158032247401</c:v>
                </c:pt>
                <c:pt idx="1">
                  <c:v>49.640534272571749</c:v>
                </c:pt>
                <c:pt idx="2">
                  <c:v>40.223000146513662</c:v>
                </c:pt>
                <c:pt idx="3">
                  <c:v>57.367072360682954</c:v>
                </c:pt>
                <c:pt idx="4">
                  <c:v>42.174610539927535</c:v>
                </c:pt>
                <c:pt idx="5">
                  <c:v>43.352882805089997</c:v>
                </c:pt>
                <c:pt idx="6">
                  <c:v>42.419814368738145</c:v>
                </c:pt>
                <c:pt idx="7">
                  <c:v>44.703438932253263</c:v>
                </c:pt>
              </c:numCache>
            </c:numRef>
          </c:val>
          <c:extLst xmlns:c16r2="http://schemas.microsoft.com/office/drawing/2015/06/chart">
            <c:ext xmlns:c16="http://schemas.microsoft.com/office/drawing/2014/chart" uri="{C3380CC4-5D6E-409C-BE32-E72D297353CC}">
              <c16:uniqueId val="{00000000-AE64-4FDA-8FB3-7F9DD8D324FA}"/>
            </c:ext>
          </c:extLst>
        </c:ser>
        <c:ser>
          <c:idx val="1"/>
          <c:order val="1"/>
          <c:tx>
            <c:strRef>
              <c:f>'2011'!$D$27</c:f>
              <c:strCache>
                <c:ptCount val="1"/>
                <c:pt idx="0">
                  <c:v>2011</c:v>
                </c:pt>
              </c:strCache>
            </c:strRef>
          </c:tx>
          <c:spPr>
            <a:solidFill>
              <a:schemeClr val="accent5">
                <a:lumMod val="60000"/>
                <a:lumOff val="40000"/>
              </a:schemeClr>
            </a:solidFill>
          </c:spPr>
          <c:dLbls>
            <c:spPr>
              <a:noFill/>
              <a:ln>
                <a:noFill/>
              </a:ln>
              <a:effectLst/>
            </c:spPr>
            <c:txPr>
              <a:bodyPr/>
              <a:lstStyle/>
              <a:p>
                <a:pPr>
                  <a:defRPr>
                    <a:solidFill>
                      <a:srgbClr val="002060"/>
                    </a:solidFill>
                  </a:defRPr>
                </a:pPr>
                <a:endParaRPr lang="en-US"/>
              </a:p>
            </c:txPr>
            <c:dLblPos val="inEnd"/>
            <c:showVal val="1"/>
            <c:extLst xmlns:c16r2="http://schemas.microsoft.com/office/drawing/2015/06/chart">
              <c:ext xmlns:c15="http://schemas.microsoft.com/office/drawing/2012/chart" uri="{CE6537A1-D6FC-4f65-9D91-7224C49458BB}">
                <c15:showLeaderLines val="0"/>
              </c:ext>
            </c:extLst>
          </c:dLbls>
          <c:cat>
            <c:strRef>
              <c:f>'2011'!$B$28:$B$35</c:f>
              <c:strCache>
                <c:ptCount val="8"/>
                <c:pt idx="0">
                  <c:v>Haor</c:v>
                </c:pt>
                <c:pt idx="1">
                  <c:v>Coastal</c:v>
                </c:pt>
                <c:pt idx="2">
                  <c:v>CTG Hill</c:v>
                </c:pt>
                <c:pt idx="3">
                  <c:v>Urban </c:v>
                </c:pt>
                <c:pt idx="4">
                  <c:v>Drought Prone</c:v>
                </c:pt>
                <c:pt idx="5">
                  <c:v>Rivers &amp; Estuaries</c:v>
                </c:pt>
                <c:pt idx="6">
                  <c:v>Non-Delta</c:v>
                </c:pt>
                <c:pt idx="7">
                  <c:v>Bangladesh</c:v>
                </c:pt>
              </c:strCache>
            </c:strRef>
          </c:cat>
          <c:val>
            <c:numRef>
              <c:f>'2011'!$D$28:$D$35</c:f>
              <c:numCache>
                <c:formatCode>0.0</c:formatCode>
                <c:ptCount val="8"/>
                <c:pt idx="0">
                  <c:v>41.822251655021041</c:v>
                </c:pt>
                <c:pt idx="1">
                  <c:v>53.909954793445998</c:v>
                </c:pt>
                <c:pt idx="2">
                  <c:v>44.964301251627795</c:v>
                </c:pt>
                <c:pt idx="3">
                  <c:v>62.713318382150725</c:v>
                </c:pt>
                <c:pt idx="4">
                  <c:v>47.898742475224765</c:v>
                </c:pt>
                <c:pt idx="5">
                  <c:v>48.141752080028212</c:v>
                </c:pt>
                <c:pt idx="6">
                  <c:v>43.432953572259585</c:v>
                </c:pt>
                <c:pt idx="7">
                  <c:v>48.983324887108196</c:v>
                </c:pt>
              </c:numCache>
            </c:numRef>
          </c:val>
          <c:extLst xmlns:c16r2="http://schemas.microsoft.com/office/drawing/2015/06/chart">
            <c:ext xmlns:c16="http://schemas.microsoft.com/office/drawing/2014/chart" uri="{C3380CC4-5D6E-409C-BE32-E72D297353CC}">
              <c16:uniqueId val="{00000001-AE64-4FDA-8FB3-7F9DD8D324FA}"/>
            </c:ext>
          </c:extLst>
        </c:ser>
        <c:gapWidth val="40"/>
        <c:axId val="343455616"/>
        <c:axId val="343457152"/>
      </c:barChart>
      <c:catAx>
        <c:axId val="343455616"/>
        <c:scaling>
          <c:orientation val="minMax"/>
        </c:scaling>
        <c:axPos val="b"/>
        <c:numFmt formatCode="General" sourceLinked="0"/>
        <c:tickLblPos val="nextTo"/>
        <c:txPr>
          <a:bodyPr/>
          <a:lstStyle/>
          <a:p>
            <a:pPr>
              <a:defRPr sz="800" baseline="0"/>
            </a:pPr>
            <a:endParaRPr lang="en-US"/>
          </a:p>
        </c:txPr>
        <c:crossAx val="343457152"/>
        <c:crosses val="autoZero"/>
        <c:auto val="1"/>
        <c:lblAlgn val="ctr"/>
        <c:lblOffset val="100"/>
      </c:catAx>
      <c:valAx>
        <c:axId val="343457152"/>
        <c:scaling>
          <c:orientation val="minMax"/>
        </c:scaling>
        <c:axPos val="l"/>
        <c:numFmt formatCode="0.0" sourceLinked="1"/>
        <c:tickLblPos val="nextTo"/>
        <c:crossAx val="343455616"/>
        <c:crosses val="autoZero"/>
        <c:crossBetween val="between"/>
      </c:valAx>
      <c:spPr>
        <a:noFill/>
        <a:ln w="25400">
          <a:noFill/>
        </a:ln>
      </c:spPr>
    </c:plotArea>
    <c:legend>
      <c:legendPos val="t"/>
      <c:layout>
        <c:manualLayout>
          <c:xMode val="edge"/>
          <c:yMode val="edge"/>
          <c:x val="0.41411752920197958"/>
          <c:y val="5.1810133902753734E-2"/>
          <c:w val="0.1717649415960443"/>
          <c:h val="8.2315761377285468E-2"/>
        </c:manualLayout>
      </c:layout>
    </c:legend>
    <c:plotVisOnly val="1"/>
    <c:dispBlanksAs val="gap"/>
  </c:chart>
  <c:spPr>
    <a:ln w="12700">
      <a:solidFill>
        <a:schemeClr val="tx1"/>
      </a:solidFill>
    </a:ln>
  </c:spPr>
  <c:txPr>
    <a:bodyPr/>
    <a:lstStyle/>
    <a:p>
      <a:pPr>
        <a:defRPr sz="900" b="1"/>
      </a:pPr>
      <a:endParaRPr lang="en-US"/>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manualLayout>
          <c:layoutTarget val="inner"/>
          <c:xMode val="edge"/>
          <c:yMode val="edge"/>
          <c:x val="0.13952318460192606"/>
          <c:y val="3.6242473367299681E-2"/>
          <c:w val="0.77105575745340527"/>
          <c:h val="0.82633681698879002"/>
        </c:manualLayout>
      </c:layout>
      <c:barChart>
        <c:barDir val="bar"/>
        <c:grouping val="clustered"/>
        <c:ser>
          <c:idx val="0"/>
          <c:order val="0"/>
          <c:tx>
            <c:strRef>
              <c:f>Sheet2!$B$14</c:f>
              <c:strCache>
                <c:ptCount val="1"/>
                <c:pt idx="0">
                  <c:v>70s</c:v>
                </c:pt>
              </c:strCache>
            </c:strRef>
          </c:tx>
          <c:cat>
            <c:strRef>
              <c:f>Sheet2!$A$15:$A$24</c:f>
              <c:strCache>
                <c:ptCount val="10"/>
                <c:pt idx="0">
                  <c:v>North Africa</c:v>
                </c:pt>
                <c:pt idx="1">
                  <c:v>North America</c:v>
                </c:pt>
                <c:pt idx="2">
                  <c:v>EU</c:v>
                </c:pt>
                <c:pt idx="3">
                  <c:v>East Asia and Pacific</c:v>
                </c:pt>
                <c:pt idx="4">
                  <c:v>Afghanistan</c:v>
                </c:pt>
                <c:pt idx="5">
                  <c:v>Bangladesh</c:v>
                </c:pt>
                <c:pt idx="6">
                  <c:v>India</c:v>
                </c:pt>
                <c:pt idx="7">
                  <c:v>Nepal</c:v>
                </c:pt>
                <c:pt idx="8">
                  <c:v>Pakistan</c:v>
                </c:pt>
                <c:pt idx="9">
                  <c:v>Sri Lanka</c:v>
                </c:pt>
              </c:strCache>
            </c:strRef>
          </c:cat>
          <c:val>
            <c:numRef>
              <c:f>Sheet2!$B$15:$B$24</c:f>
              <c:numCache>
                <c:formatCode>0.00</c:formatCode>
                <c:ptCount val="10"/>
                <c:pt idx="0">
                  <c:v>3.23</c:v>
                </c:pt>
                <c:pt idx="1">
                  <c:v>2.67</c:v>
                </c:pt>
                <c:pt idx="2">
                  <c:v>2.96</c:v>
                </c:pt>
                <c:pt idx="3">
                  <c:v>2.96</c:v>
                </c:pt>
                <c:pt idx="4" formatCode="General">
                  <c:v>1.75</c:v>
                </c:pt>
                <c:pt idx="5" formatCode="General">
                  <c:v>1.61</c:v>
                </c:pt>
                <c:pt idx="6" formatCode="General">
                  <c:v>1.71</c:v>
                </c:pt>
                <c:pt idx="7" formatCode="General">
                  <c:v>2.06</c:v>
                </c:pt>
                <c:pt idx="8" formatCode="General">
                  <c:v>2.29</c:v>
                </c:pt>
                <c:pt idx="9" formatCode="General">
                  <c:v>2.02</c:v>
                </c:pt>
              </c:numCache>
            </c:numRef>
          </c:val>
          <c:extLst xmlns:c16r2="http://schemas.microsoft.com/office/drawing/2015/06/chart">
            <c:ext xmlns:c16="http://schemas.microsoft.com/office/drawing/2014/chart" uri="{C3380CC4-5D6E-409C-BE32-E72D297353CC}">
              <c16:uniqueId val="{00000000-4F29-479A-A75C-AAA9D0B7996F}"/>
            </c:ext>
          </c:extLst>
        </c:ser>
        <c:ser>
          <c:idx val="1"/>
          <c:order val="1"/>
          <c:tx>
            <c:strRef>
              <c:f>Sheet2!$C$14</c:f>
              <c:strCache>
                <c:ptCount val="1"/>
                <c:pt idx="0">
                  <c:v>80s</c:v>
                </c:pt>
              </c:strCache>
            </c:strRef>
          </c:tx>
          <c:cat>
            <c:strRef>
              <c:f>Sheet2!$A$15:$A$24</c:f>
              <c:strCache>
                <c:ptCount val="10"/>
                <c:pt idx="0">
                  <c:v>North Africa</c:v>
                </c:pt>
                <c:pt idx="1">
                  <c:v>North America</c:v>
                </c:pt>
                <c:pt idx="2">
                  <c:v>EU</c:v>
                </c:pt>
                <c:pt idx="3">
                  <c:v>East Asia and Pacific</c:v>
                </c:pt>
                <c:pt idx="4">
                  <c:v>Afghanistan</c:v>
                </c:pt>
                <c:pt idx="5">
                  <c:v>Bangladesh</c:v>
                </c:pt>
                <c:pt idx="6">
                  <c:v>India</c:v>
                </c:pt>
                <c:pt idx="7">
                  <c:v>Nepal</c:v>
                </c:pt>
                <c:pt idx="8">
                  <c:v>Pakistan</c:v>
                </c:pt>
                <c:pt idx="9">
                  <c:v>Sri Lanka</c:v>
                </c:pt>
              </c:strCache>
            </c:strRef>
          </c:cat>
          <c:val>
            <c:numRef>
              <c:f>Sheet2!$C$15:$C$24</c:f>
              <c:numCache>
                <c:formatCode>0.00</c:formatCode>
                <c:ptCount val="10"/>
                <c:pt idx="0">
                  <c:v>3.2800000000000002</c:v>
                </c:pt>
                <c:pt idx="1">
                  <c:v>2.88</c:v>
                </c:pt>
                <c:pt idx="2">
                  <c:v>3.07</c:v>
                </c:pt>
                <c:pt idx="3">
                  <c:v>3.13</c:v>
                </c:pt>
                <c:pt idx="4" formatCode="General">
                  <c:v>2.13</c:v>
                </c:pt>
                <c:pt idx="5" formatCode="General">
                  <c:v>1.9000000000000001</c:v>
                </c:pt>
                <c:pt idx="6" formatCode="General">
                  <c:v>1.61</c:v>
                </c:pt>
                <c:pt idx="7" formatCode="General">
                  <c:v>1.6400000000000001</c:v>
                </c:pt>
                <c:pt idx="8" formatCode="General">
                  <c:v>2.3699999999999997</c:v>
                </c:pt>
                <c:pt idx="9" formatCode="General">
                  <c:v>2.42</c:v>
                </c:pt>
              </c:numCache>
            </c:numRef>
          </c:val>
          <c:extLst xmlns:c16r2="http://schemas.microsoft.com/office/drawing/2015/06/chart">
            <c:ext xmlns:c16="http://schemas.microsoft.com/office/drawing/2014/chart" uri="{C3380CC4-5D6E-409C-BE32-E72D297353CC}">
              <c16:uniqueId val="{00000001-4F29-479A-A75C-AAA9D0B7996F}"/>
            </c:ext>
          </c:extLst>
        </c:ser>
        <c:ser>
          <c:idx val="2"/>
          <c:order val="2"/>
          <c:tx>
            <c:strRef>
              <c:f>Sheet2!$D$14</c:f>
              <c:strCache>
                <c:ptCount val="1"/>
                <c:pt idx="0">
                  <c:v>90s</c:v>
                </c:pt>
              </c:strCache>
            </c:strRef>
          </c:tx>
          <c:cat>
            <c:strRef>
              <c:f>Sheet2!$A$15:$A$24</c:f>
              <c:strCache>
                <c:ptCount val="10"/>
                <c:pt idx="0">
                  <c:v>North Africa</c:v>
                </c:pt>
                <c:pt idx="1">
                  <c:v>North America</c:v>
                </c:pt>
                <c:pt idx="2">
                  <c:v>EU</c:v>
                </c:pt>
                <c:pt idx="3">
                  <c:v>East Asia and Pacific</c:v>
                </c:pt>
                <c:pt idx="4">
                  <c:v>Afghanistan</c:v>
                </c:pt>
                <c:pt idx="5">
                  <c:v>Bangladesh</c:v>
                </c:pt>
                <c:pt idx="6">
                  <c:v>India</c:v>
                </c:pt>
                <c:pt idx="7">
                  <c:v>Nepal</c:v>
                </c:pt>
                <c:pt idx="8">
                  <c:v>Pakistan</c:v>
                </c:pt>
                <c:pt idx="9">
                  <c:v>Sri Lanka</c:v>
                </c:pt>
              </c:strCache>
            </c:strRef>
          </c:cat>
          <c:val>
            <c:numRef>
              <c:f>Sheet2!$D$15:$D$24</c:f>
              <c:numCache>
                <c:formatCode>0.00</c:formatCode>
                <c:ptCount val="10"/>
                <c:pt idx="0">
                  <c:v>3.3699999999999997</c:v>
                </c:pt>
                <c:pt idx="1">
                  <c:v>3.42</c:v>
                </c:pt>
                <c:pt idx="2">
                  <c:v>2.3099999999999987</c:v>
                </c:pt>
                <c:pt idx="3">
                  <c:v>3.8299999999999987</c:v>
                </c:pt>
                <c:pt idx="4" formatCode="General">
                  <c:v>1.8800000000000001</c:v>
                </c:pt>
                <c:pt idx="5" formatCode="General">
                  <c:v>2.56</c:v>
                </c:pt>
                <c:pt idx="6" formatCode="General">
                  <c:v>2.62</c:v>
                </c:pt>
                <c:pt idx="7" formatCode="General">
                  <c:v>2.3699999999999997</c:v>
                </c:pt>
                <c:pt idx="8" formatCode="General">
                  <c:v>2.29</c:v>
                </c:pt>
                <c:pt idx="9" formatCode="General">
                  <c:v>3.4699999999999998</c:v>
                </c:pt>
              </c:numCache>
            </c:numRef>
          </c:val>
          <c:extLst xmlns:c16r2="http://schemas.microsoft.com/office/drawing/2015/06/chart">
            <c:ext xmlns:c16="http://schemas.microsoft.com/office/drawing/2014/chart" uri="{C3380CC4-5D6E-409C-BE32-E72D297353CC}">
              <c16:uniqueId val="{00000002-4F29-479A-A75C-AAA9D0B7996F}"/>
            </c:ext>
          </c:extLst>
        </c:ser>
        <c:ser>
          <c:idx val="3"/>
          <c:order val="3"/>
          <c:tx>
            <c:strRef>
              <c:f>Sheet2!$E$14</c:f>
              <c:strCache>
                <c:ptCount val="1"/>
                <c:pt idx="0">
                  <c:v>00s</c:v>
                </c:pt>
              </c:strCache>
            </c:strRef>
          </c:tx>
          <c:cat>
            <c:strRef>
              <c:f>Sheet2!$A$15:$A$24</c:f>
              <c:strCache>
                <c:ptCount val="10"/>
                <c:pt idx="0">
                  <c:v>North Africa</c:v>
                </c:pt>
                <c:pt idx="1">
                  <c:v>North America</c:v>
                </c:pt>
                <c:pt idx="2">
                  <c:v>EU</c:v>
                </c:pt>
                <c:pt idx="3">
                  <c:v>East Asia and Pacific</c:v>
                </c:pt>
                <c:pt idx="4">
                  <c:v>Afghanistan</c:v>
                </c:pt>
                <c:pt idx="5">
                  <c:v>Bangladesh</c:v>
                </c:pt>
                <c:pt idx="6">
                  <c:v>India</c:v>
                </c:pt>
                <c:pt idx="7">
                  <c:v>Nepal</c:v>
                </c:pt>
                <c:pt idx="8">
                  <c:v>Pakistan</c:v>
                </c:pt>
                <c:pt idx="9">
                  <c:v>Sri Lanka</c:v>
                </c:pt>
              </c:strCache>
            </c:strRef>
          </c:cat>
          <c:val>
            <c:numRef>
              <c:f>Sheet2!$E$15:$E$24</c:f>
              <c:numCache>
                <c:formatCode>0.00</c:formatCode>
                <c:ptCount val="10"/>
                <c:pt idx="0">
                  <c:v>4.4400000000000004</c:v>
                </c:pt>
                <c:pt idx="1">
                  <c:v>3.71</c:v>
                </c:pt>
                <c:pt idx="2">
                  <c:v>6.72</c:v>
                </c:pt>
                <c:pt idx="3">
                  <c:v>4.07</c:v>
                </c:pt>
                <c:pt idx="4">
                  <c:v>2</c:v>
                </c:pt>
                <c:pt idx="5">
                  <c:v>3.23</c:v>
                </c:pt>
                <c:pt idx="6">
                  <c:v>2.98</c:v>
                </c:pt>
                <c:pt idx="7">
                  <c:v>2.6</c:v>
                </c:pt>
                <c:pt idx="8">
                  <c:v>3.08</c:v>
                </c:pt>
                <c:pt idx="9">
                  <c:v>3.98</c:v>
                </c:pt>
              </c:numCache>
            </c:numRef>
          </c:val>
          <c:extLst xmlns:c16r2="http://schemas.microsoft.com/office/drawing/2015/06/chart">
            <c:ext xmlns:c16="http://schemas.microsoft.com/office/drawing/2014/chart" uri="{C3380CC4-5D6E-409C-BE32-E72D297353CC}">
              <c16:uniqueId val="{00000003-4F29-479A-A75C-AAA9D0B7996F}"/>
            </c:ext>
          </c:extLst>
        </c:ser>
        <c:ser>
          <c:idx val="4"/>
          <c:order val="4"/>
          <c:tx>
            <c:strRef>
              <c:f>Sheet2!$F$14</c:f>
              <c:strCache>
                <c:ptCount val="1"/>
                <c:pt idx="0">
                  <c:v>2010</c:v>
                </c:pt>
              </c:strCache>
            </c:strRef>
          </c:tx>
          <c:cat>
            <c:strRef>
              <c:f>Sheet2!$A$15:$A$24</c:f>
              <c:strCache>
                <c:ptCount val="10"/>
                <c:pt idx="0">
                  <c:v>North Africa</c:v>
                </c:pt>
                <c:pt idx="1">
                  <c:v>North America</c:v>
                </c:pt>
                <c:pt idx="2">
                  <c:v>EU</c:v>
                </c:pt>
                <c:pt idx="3">
                  <c:v>East Asia and Pacific</c:v>
                </c:pt>
                <c:pt idx="4">
                  <c:v>Afghanistan</c:v>
                </c:pt>
                <c:pt idx="5">
                  <c:v>Bangladesh</c:v>
                </c:pt>
                <c:pt idx="6">
                  <c:v>India</c:v>
                </c:pt>
                <c:pt idx="7">
                  <c:v>Nepal</c:v>
                </c:pt>
                <c:pt idx="8">
                  <c:v>Pakistan</c:v>
                </c:pt>
                <c:pt idx="9">
                  <c:v>Sri Lanka</c:v>
                </c:pt>
              </c:strCache>
            </c:strRef>
          </c:cat>
          <c:val>
            <c:numRef>
              <c:f>Sheet2!$F$15:$F$24</c:f>
              <c:numCache>
                <c:formatCode>0.00</c:formatCode>
                <c:ptCount val="10"/>
                <c:pt idx="0">
                  <c:v>5.24</c:v>
                </c:pt>
                <c:pt idx="1">
                  <c:v>3.9299999999999997</c:v>
                </c:pt>
                <c:pt idx="2">
                  <c:v>6.87</c:v>
                </c:pt>
                <c:pt idx="3">
                  <c:v>4.5199999999999996</c:v>
                </c:pt>
                <c:pt idx="4" formatCode="General">
                  <c:v>2.63</c:v>
                </c:pt>
                <c:pt idx="5" formatCode="General">
                  <c:v>4.01</c:v>
                </c:pt>
                <c:pt idx="6" formatCode="General">
                  <c:v>3.19</c:v>
                </c:pt>
                <c:pt idx="7" formatCode="General">
                  <c:v>2.72</c:v>
                </c:pt>
                <c:pt idx="8" formatCode="General">
                  <c:v>3.58</c:v>
                </c:pt>
                <c:pt idx="9" formatCode="General">
                  <c:v>3.9299999999999997</c:v>
                </c:pt>
              </c:numCache>
            </c:numRef>
          </c:val>
          <c:extLst xmlns:c16r2="http://schemas.microsoft.com/office/drawing/2015/06/chart">
            <c:ext xmlns:c16="http://schemas.microsoft.com/office/drawing/2014/chart" uri="{C3380CC4-5D6E-409C-BE32-E72D297353CC}">
              <c16:uniqueId val="{00000004-4F29-479A-A75C-AAA9D0B7996F}"/>
            </c:ext>
          </c:extLst>
        </c:ser>
        <c:ser>
          <c:idx val="5"/>
          <c:order val="5"/>
          <c:tx>
            <c:strRef>
              <c:f>Sheet2!$G$14</c:f>
              <c:strCache>
                <c:ptCount val="1"/>
                <c:pt idx="0">
                  <c:v>2015</c:v>
                </c:pt>
              </c:strCache>
            </c:strRef>
          </c:tx>
          <c:cat>
            <c:strRef>
              <c:f>Sheet2!$A$15:$A$24</c:f>
              <c:strCache>
                <c:ptCount val="10"/>
                <c:pt idx="0">
                  <c:v>North Africa</c:v>
                </c:pt>
                <c:pt idx="1">
                  <c:v>North America</c:v>
                </c:pt>
                <c:pt idx="2">
                  <c:v>EU</c:v>
                </c:pt>
                <c:pt idx="3">
                  <c:v>East Asia and Pacific</c:v>
                </c:pt>
                <c:pt idx="4">
                  <c:v>Afghanistan</c:v>
                </c:pt>
                <c:pt idx="5">
                  <c:v>Bangladesh</c:v>
                </c:pt>
                <c:pt idx="6">
                  <c:v>India</c:v>
                </c:pt>
                <c:pt idx="7">
                  <c:v>Nepal</c:v>
                </c:pt>
                <c:pt idx="8">
                  <c:v>Pakistan</c:v>
                </c:pt>
                <c:pt idx="9">
                  <c:v>Sri Lanka</c:v>
                </c:pt>
              </c:strCache>
            </c:strRef>
          </c:cat>
          <c:val>
            <c:numRef>
              <c:f>Sheet2!$G$15:$G$24</c:f>
              <c:numCache>
                <c:formatCode>0.00</c:formatCode>
                <c:ptCount val="10"/>
                <c:pt idx="0">
                  <c:v>2.5299999999999998</c:v>
                </c:pt>
                <c:pt idx="1">
                  <c:v>4.05</c:v>
                </c:pt>
                <c:pt idx="2">
                  <c:v>6.7</c:v>
                </c:pt>
                <c:pt idx="3">
                  <c:v>4.71</c:v>
                </c:pt>
                <c:pt idx="4" formatCode="General">
                  <c:v>3.67</c:v>
                </c:pt>
                <c:pt idx="5" formatCode="General">
                  <c:v>4.3899999999999997</c:v>
                </c:pt>
                <c:pt idx="6" formatCode="General">
                  <c:v>3.62</c:v>
                </c:pt>
                <c:pt idx="7" formatCode="General">
                  <c:v>2.98</c:v>
                </c:pt>
                <c:pt idx="8" formatCode="General">
                  <c:v>3.63</c:v>
                </c:pt>
                <c:pt idx="9" formatCode="General">
                  <c:v>3.64</c:v>
                </c:pt>
              </c:numCache>
            </c:numRef>
          </c:val>
          <c:extLst xmlns:c16r2="http://schemas.microsoft.com/office/drawing/2015/06/chart">
            <c:ext xmlns:c16="http://schemas.microsoft.com/office/drawing/2014/chart" uri="{C3380CC4-5D6E-409C-BE32-E72D297353CC}">
              <c16:uniqueId val="{00000005-4F29-479A-A75C-AAA9D0B7996F}"/>
            </c:ext>
          </c:extLst>
        </c:ser>
        <c:axId val="359680640"/>
        <c:axId val="359686528"/>
      </c:barChart>
      <c:catAx>
        <c:axId val="359680640"/>
        <c:scaling>
          <c:orientation val="minMax"/>
        </c:scaling>
        <c:axPos val="l"/>
        <c:numFmt formatCode="General" sourceLinked="1"/>
        <c:tickLblPos val="nextTo"/>
        <c:txPr>
          <a:bodyPr/>
          <a:lstStyle/>
          <a:p>
            <a:pPr>
              <a:defRPr sz="800" b="1" i="0" baseline="0"/>
            </a:pPr>
            <a:endParaRPr lang="en-US"/>
          </a:p>
        </c:txPr>
        <c:crossAx val="359686528"/>
        <c:crosses val="autoZero"/>
        <c:auto val="1"/>
        <c:lblAlgn val="ctr"/>
        <c:lblOffset val="100"/>
      </c:catAx>
      <c:valAx>
        <c:axId val="359686528"/>
        <c:scaling>
          <c:orientation val="minMax"/>
        </c:scaling>
        <c:axPos val="b"/>
        <c:majorGridlines>
          <c:spPr>
            <a:ln>
              <a:solidFill>
                <a:schemeClr val="bg1"/>
              </a:solidFill>
            </a:ln>
          </c:spPr>
        </c:majorGridlines>
        <c:title>
          <c:tx>
            <c:rich>
              <a:bodyPr/>
              <a:lstStyle/>
              <a:p>
                <a:pPr>
                  <a:defRPr/>
                </a:pPr>
                <a:r>
                  <a:rPr lang="en-US"/>
                  <a:t>MT/Hectare</a:t>
                </a:r>
              </a:p>
            </c:rich>
          </c:tx>
        </c:title>
        <c:numFmt formatCode="0.0" sourceLinked="0"/>
        <c:tickLblPos val="nextTo"/>
        <c:txPr>
          <a:bodyPr/>
          <a:lstStyle/>
          <a:p>
            <a:pPr>
              <a:defRPr sz="800" b="1" i="0" baseline="0"/>
            </a:pPr>
            <a:endParaRPr lang="en-US"/>
          </a:p>
        </c:txPr>
        <c:crossAx val="359680640"/>
        <c:crosses val="autoZero"/>
        <c:crossBetween val="between"/>
      </c:valAx>
    </c:plotArea>
    <c:legend>
      <c:legendPos val="r"/>
      <c:layout>
        <c:manualLayout>
          <c:xMode val="edge"/>
          <c:yMode val="edge"/>
          <c:x val="0.90221387622599802"/>
          <c:y val="0.32401053036523092"/>
          <c:w val="7.7639522033430039E-2"/>
          <c:h val="0.35197893926955504"/>
        </c:manualLayout>
      </c:layout>
      <c:txPr>
        <a:bodyPr/>
        <a:lstStyle/>
        <a:p>
          <a:pPr>
            <a:defRPr sz="800" b="1" i="0" baseline="0"/>
          </a:pPr>
          <a:endParaRPr lang="en-US"/>
        </a:p>
      </c:txPr>
    </c:legend>
    <c:plotVisOnly val="1"/>
    <c:dispBlanksAs val="gap"/>
  </c:chart>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n-AU"/>
  <c:style val="4"/>
  <c:chart>
    <c:autoTitleDeleted val="1"/>
    <c:plotArea>
      <c:layout/>
      <c:barChart>
        <c:barDir val="col"/>
        <c:grouping val="clustered"/>
        <c:ser>
          <c:idx val="0"/>
          <c:order val="0"/>
          <c:dLbls>
            <c:spPr>
              <a:noFill/>
              <a:ln>
                <a:noFill/>
              </a:ln>
              <a:effectLst/>
            </c:spPr>
            <c:txPr>
              <a:bodyPr/>
              <a:lstStyle/>
              <a:p>
                <a:pPr>
                  <a:defRPr sz="900">
                    <a:latin typeface="Times New Roman" panose="02020603050405020304" pitchFamily="18" charset="0"/>
                    <a:cs typeface="Times New Roman" panose="02020603050405020304" pitchFamily="18" charset="0"/>
                  </a:defRPr>
                </a:pPr>
                <a:endParaRPr lang="en-US"/>
              </a:p>
            </c:txPr>
            <c:dLblPos val="outEnd"/>
            <c:showVal val="1"/>
            <c:extLst xmlns:c16r2="http://schemas.microsoft.com/office/drawing/2015/06/chart">
              <c:ext xmlns:c15="http://schemas.microsoft.com/office/drawing/2012/chart" uri="{CE6537A1-D6FC-4f65-9D91-7224C49458BB}">
                <c15:showLeaderLines val="0"/>
              </c:ext>
            </c:extLst>
          </c:dLbls>
          <c:cat>
            <c:strRef>
              <c:f>'TRENDS IN AGRICULTURE GDP'!$G$191:$G$197</c:f>
              <c:strCache>
                <c:ptCount val="7"/>
                <c:pt idx="0">
                  <c:v>Habiganj</c:v>
                </c:pt>
                <c:pt idx="1">
                  <c:v>Moulvibazar</c:v>
                </c:pt>
                <c:pt idx="2">
                  <c:v>Sunamganj</c:v>
                </c:pt>
                <c:pt idx="3">
                  <c:v>Sylhet</c:v>
                </c:pt>
                <c:pt idx="4">
                  <c:v>Kishoreganj</c:v>
                </c:pt>
                <c:pt idx="5">
                  <c:v>Netrokona</c:v>
                </c:pt>
                <c:pt idx="6">
                  <c:v>Brahmanbaria</c:v>
                </c:pt>
              </c:strCache>
            </c:strRef>
          </c:cat>
          <c:val>
            <c:numRef>
              <c:f>'TRENDS IN AGRICULTURE GDP'!$H$191:$H$197</c:f>
              <c:numCache>
                <c:formatCode>0.00</c:formatCode>
                <c:ptCount val="7"/>
                <c:pt idx="0">
                  <c:v>1.1456556402382105</c:v>
                </c:pt>
                <c:pt idx="1">
                  <c:v>1.2220332035173318</c:v>
                </c:pt>
                <c:pt idx="2">
                  <c:v>1.0774192786053798</c:v>
                </c:pt>
                <c:pt idx="3">
                  <c:v>0.90954409262998503</c:v>
                </c:pt>
                <c:pt idx="4">
                  <c:v>1.4985191736259311</c:v>
                </c:pt>
                <c:pt idx="5">
                  <c:v>1.2978028982672158</c:v>
                </c:pt>
                <c:pt idx="6">
                  <c:v>1.3497351985225492</c:v>
                </c:pt>
              </c:numCache>
            </c:numRef>
          </c:val>
          <c:extLst xmlns:c16r2="http://schemas.microsoft.com/office/drawing/2015/06/chart">
            <c:ext xmlns:c16="http://schemas.microsoft.com/office/drawing/2014/chart" uri="{C3380CC4-5D6E-409C-BE32-E72D297353CC}">
              <c16:uniqueId val="{00000000-C2FA-40C5-A44D-980FD25C1A8A}"/>
            </c:ext>
          </c:extLst>
        </c:ser>
        <c:dLbls>
          <c:showVal val="1"/>
        </c:dLbls>
        <c:axId val="359707392"/>
        <c:axId val="359708928"/>
      </c:barChart>
      <c:catAx>
        <c:axId val="359707392"/>
        <c:scaling>
          <c:orientation val="minMax"/>
        </c:scaling>
        <c:axPos val="b"/>
        <c:numFmt formatCode="General" sourceLinked="0"/>
        <c:tickLblPos val="nextTo"/>
        <c:txPr>
          <a:bodyPr/>
          <a:lstStyle/>
          <a:p>
            <a:pPr>
              <a:defRPr sz="800" b="1" i="0" baseline="0"/>
            </a:pPr>
            <a:endParaRPr lang="en-US"/>
          </a:p>
        </c:txPr>
        <c:crossAx val="359708928"/>
        <c:crosses val="autoZero"/>
        <c:auto val="1"/>
        <c:lblAlgn val="ctr"/>
        <c:lblOffset val="100"/>
      </c:catAx>
      <c:valAx>
        <c:axId val="359708928"/>
        <c:scaling>
          <c:orientation val="minMax"/>
        </c:scaling>
        <c:axPos val="l"/>
        <c:numFmt formatCode="0.00" sourceLinked="1"/>
        <c:tickLblPos val="nextTo"/>
        <c:crossAx val="359707392"/>
        <c:crosses val="autoZero"/>
        <c:crossBetween val="between"/>
      </c:valAx>
    </c:plotArea>
    <c:plotVisOnly val="1"/>
    <c:dispBlanksAs val="gap"/>
  </c:chart>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n-AU"/>
  <c:style val="5"/>
  <c:chart>
    <c:autoTitleDeleted val="1"/>
    <c:plotArea>
      <c:layout/>
      <c:barChart>
        <c:barDir val="col"/>
        <c:grouping val="clustered"/>
        <c:ser>
          <c:idx val="0"/>
          <c:order val="0"/>
          <c:dLbls>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'TRENDS IN AGRICULTURE GDP'!$Y$110:$Z$110</c:f>
              <c:strCache>
                <c:ptCount val="2"/>
                <c:pt idx="0">
                  <c:v>1977-78</c:v>
                </c:pt>
                <c:pt idx="1">
                  <c:v>2013-14</c:v>
                </c:pt>
              </c:strCache>
            </c:strRef>
          </c:cat>
          <c:val>
            <c:numRef>
              <c:f>'TRENDS IN AGRICULTURE GDP'!$Y$111:$Z$111</c:f>
              <c:numCache>
                <c:formatCode>General</c:formatCode>
                <c:ptCount val="2"/>
                <c:pt idx="0">
                  <c:v>21.7</c:v>
                </c:pt>
                <c:pt idx="1">
                  <c:v>16.3</c:v>
                </c:pt>
              </c:numCache>
            </c:numRef>
          </c:val>
          <c:extLst xmlns:c16r2="http://schemas.microsoft.com/office/drawing/2015/06/chart">
            <c:ext xmlns:c16="http://schemas.microsoft.com/office/drawing/2014/chart" uri="{C3380CC4-5D6E-409C-BE32-E72D297353CC}">
              <c16:uniqueId val="{00000000-A0D5-4FDD-A98A-7A7574B39D81}"/>
            </c:ext>
          </c:extLst>
        </c:ser>
        <c:dLbls>
          <c:showVal val="1"/>
        </c:dLbls>
        <c:axId val="367993600"/>
        <c:axId val="367995136"/>
      </c:barChart>
      <c:catAx>
        <c:axId val="367993600"/>
        <c:scaling>
          <c:orientation val="minMax"/>
        </c:scaling>
        <c:axPos val="b"/>
        <c:numFmt formatCode="General" sourceLinked="0"/>
        <c:tickLblPos val="nextTo"/>
        <c:crossAx val="367995136"/>
        <c:crosses val="autoZero"/>
        <c:auto val="1"/>
        <c:lblAlgn val="ctr"/>
        <c:lblOffset val="100"/>
      </c:catAx>
      <c:valAx>
        <c:axId val="367995136"/>
        <c:scaling>
          <c:orientation val="minMax"/>
        </c:scaling>
        <c:axPos val="l"/>
        <c:numFmt formatCode="General" sourceLinked="1"/>
        <c:tickLblPos val="nextTo"/>
        <c:crossAx val="367993600"/>
        <c:crosses val="autoZero"/>
        <c:crossBetween val="between"/>
      </c:valAx>
    </c:plotArea>
    <c:plotVisOnly val="1"/>
    <c:dispBlanksAs val="gap"/>
  </c:chart>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n-AU"/>
  <c:style val="8"/>
  <c:chart>
    <c:autoTitleDeleted val="1"/>
    <c:plotArea>
      <c:layout>
        <c:manualLayout>
          <c:layoutTarget val="inner"/>
          <c:xMode val="edge"/>
          <c:yMode val="edge"/>
          <c:x val="0.12630652068321557"/>
          <c:y val="4.9717514124294399E-2"/>
          <c:w val="0.82767767781150048"/>
          <c:h val="0.78633569108946122"/>
        </c:manualLayout>
      </c:layout>
      <c:barChart>
        <c:barDir val="bar"/>
        <c:grouping val="clustered"/>
        <c:ser>
          <c:idx val="0"/>
          <c:order val="0"/>
          <c:dLbls>
            <c:spPr>
              <a:noFill/>
              <a:ln>
                <a:noFill/>
              </a:ln>
              <a:effectLst/>
            </c:spPr>
            <c:txPr>
              <a:bodyPr/>
              <a:lstStyle/>
              <a:p>
                <a:pPr>
                  <a:defRPr sz="800" b="1" i="0" baseline="0"/>
                </a:pPr>
                <a:endParaRPr lang="en-US"/>
              </a:p>
            </c:txPr>
            <c:dLblPos val="outEnd"/>
            <c:showVal val="1"/>
            <c:extLst xmlns:c16r2="http://schemas.microsoft.com/office/drawing/2015/06/chart">
              <c:ext xmlns:c15="http://schemas.microsoft.com/office/drawing/2012/chart" uri="{CE6537A1-D6FC-4f65-9D91-7224C49458BB}">
                <c15:showLeaderLines val="0"/>
              </c:ext>
            </c:extLst>
          </c:dLbls>
          <c:cat>
            <c:strRef>
              <c:f>'TRENDS IN AGRICULTURE GDP'!$I$191:$I$207</c:f>
              <c:strCache>
                <c:ptCount val="16"/>
                <c:pt idx="0">
                  <c:v>Barguna</c:v>
                </c:pt>
                <c:pt idx="1">
                  <c:v>Barisal</c:v>
                </c:pt>
                <c:pt idx="2">
                  <c:v>Bhola</c:v>
                </c:pt>
                <c:pt idx="3">
                  <c:v>Jhalkathi</c:v>
                </c:pt>
                <c:pt idx="4">
                  <c:v>Patuakhali</c:v>
                </c:pt>
                <c:pt idx="5">
                  <c:v>Pirojpur</c:v>
                </c:pt>
                <c:pt idx="6">
                  <c:v>Satkhira</c:v>
                </c:pt>
                <c:pt idx="7">
                  <c:v>Chittagong</c:v>
                </c:pt>
                <c:pt idx="8">
                  <c:v>Jessore</c:v>
                </c:pt>
                <c:pt idx="9">
                  <c:v>Cox's Bazar</c:v>
                </c:pt>
                <c:pt idx="10">
                  <c:v>Feni</c:v>
                </c:pt>
                <c:pt idx="11">
                  <c:v>Khulna</c:v>
                </c:pt>
                <c:pt idx="12">
                  <c:v>Laxmipur</c:v>
                </c:pt>
                <c:pt idx="13">
                  <c:v>Noakhali</c:v>
                </c:pt>
                <c:pt idx="14">
                  <c:v>Bagerhat</c:v>
                </c:pt>
                <c:pt idx="15">
                  <c:v>Narail</c:v>
                </c:pt>
              </c:strCache>
            </c:strRef>
          </c:cat>
          <c:val>
            <c:numRef>
              <c:f>'TRENDS IN AGRICULTURE GDP'!$J$191:$J$207</c:f>
              <c:numCache>
                <c:formatCode>0.00</c:formatCode>
                <c:ptCount val="17"/>
                <c:pt idx="0">
                  <c:v>0.81477291213671554</c:v>
                </c:pt>
                <c:pt idx="1">
                  <c:v>0.97941010577742416</c:v>
                </c:pt>
                <c:pt idx="2">
                  <c:v>1.0452417369664087</c:v>
                </c:pt>
                <c:pt idx="3">
                  <c:v>0.95905352223664253</c:v>
                </c:pt>
                <c:pt idx="4">
                  <c:v>0.72187518605772671</c:v>
                </c:pt>
                <c:pt idx="5">
                  <c:v>1.0998574316222343</c:v>
                </c:pt>
                <c:pt idx="6">
                  <c:v>1.195289605214958</c:v>
                </c:pt>
                <c:pt idx="7">
                  <c:v>1.1418112215070464</c:v>
                </c:pt>
                <c:pt idx="8">
                  <c:v>1.2958852369080289</c:v>
                </c:pt>
                <c:pt idx="9">
                  <c:v>1.4647261943478298</c:v>
                </c:pt>
                <c:pt idx="10">
                  <c:v>1.2465884432214027</c:v>
                </c:pt>
                <c:pt idx="11">
                  <c:v>1.1529593607409505</c:v>
                </c:pt>
                <c:pt idx="12">
                  <c:v>1.0158246838700506</c:v>
                </c:pt>
                <c:pt idx="13">
                  <c:v>0.91953010004938251</c:v>
                </c:pt>
                <c:pt idx="14">
                  <c:v>0.96620616582704</c:v>
                </c:pt>
                <c:pt idx="15">
                  <c:v>1.0062518307127541</c:v>
                </c:pt>
              </c:numCache>
            </c:numRef>
          </c:val>
          <c:extLst xmlns:c16r2="http://schemas.microsoft.com/office/drawing/2015/06/chart">
            <c:ext xmlns:c16="http://schemas.microsoft.com/office/drawing/2014/chart" uri="{C3380CC4-5D6E-409C-BE32-E72D297353CC}">
              <c16:uniqueId val="{00000000-EB92-4610-9C39-A205ED1E82FA}"/>
            </c:ext>
          </c:extLst>
        </c:ser>
        <c:axId val="368020480"/>
        <c:axId val="368030464"/>
      </c:barChart>
      <c:catAx>
        <c:axId val="368020480"/>
        <c:scaling>
          <c:orientation val="minMax"/>
        </c:scaling>
        <c:axPos val="l"/>
        <c:numFmt formatCode="General" sourceLinked="0"/>
        <c:tickLblPos val="nextTo"/>
        <c:txPr>
          <a:bodyPr/>
          <a:lstStyle/>
          <a:p>
            <a:pPr>
              <a:defRPr sz="800" b="1" i="0" baseline="0"/>
            </a:pPr>
            <a:endParaRPr lang="en-US"/>
          </a:p>
        </c:txPr>
        <c:crossAx val="368030464"/>
        <c:crosses val="autoZero"/>
        <c:auto val="1"/>
        <c:lblAlgn val="ctr"/>
        <c:lblOffset val="100"/>
      </c:catAx>
      <c:valAx>
        <c:axId val="368030464"/>
        <c:scaling>
          <c:orientation val="minMax"/>
        </c:scaling>
        <c:axPos val="b"/>
        <c:majorGridlines/>
        <c:title>
          <c:tx>
            <c:rich>
              <a:bodyPr/>
              <a:lstStyle/>
              <a:p>
                <a:pPr>
                  <a:defRPr/>
                </a:pPr>
                <a:r>
                  <a:rPr lang="en-US"/>
                  <a:t>MT/acre</a:t>
                </a:r>
              </a:p>
            </c:rich>
          </c:tx>
        </c:title>
        <c:numFmt formatCode="0.00" sourceLinked="1"/>
        <c:tickLblPos val="nextTo"/>
        <c:crossAx val="368020480"/>
        <c:crosses val="autoZero"/>
        <c:crossBetween val="between"/>
      </c:valAx>
    </c:plotArea>
    <c:plotVisOnly val="1"/>
    <c:dispBlanksAs val="gap"/>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barChart>
        <c:barDir val="col"/>
        <c:grouping val="clustered"/>
        <c:ser>
          <c:idx val="0"/>
          <c:order val="0"/>
          <c:spPr>
            <a:solidFill>
              <a:schemeClr val="accent3">
                <a:lumMod val="50000"/>
              </a:schemeClr>
            </a:solidFill>
          </c:spPr>
          <c:dLbls>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'TRENDS IN AGRICULTURE GDP'!$R$98:$S$98</c:f>
              <c:strCache>
                <c:ptCount val="2"/>
                <c:pt idx="0">
                  <c:v>1978/79</c:v>
                </c:pt>
                <c:pt idx="1">
                  <c:v>2013/14</c:v>
                </c:pt>
              </c:strCache>
            </c:strRef>
          </c:cat>
          <c:val>
            <c:numRef>
              <c:f>'TRENDS IN AGRICULTURE GDP'!$R$99:$S$99</c:f>
              <c:numCache>
                <c:formatCode>General</c:formatCode>
                <c:ptCount val="2"/>
                <c:pt idx="0">
                  <c:v>21.2</c:v>
                </c:pt>
                <c:pt idx="1">
                  <c:v>24.8</c:v>
                </c:pt>
              </c:numCache>
            </c:numRef>
          </c:val>
          <c:extLst xmlns:c16r2="http://schemas.microsoft.com/office/drawing/2015/06/chart">
            <c:ext xmlns:c16="http://schemas.microsoft.com/office/drawing/2014/chart" uri="{C3380CC4-5D6E-409C-BE32-E72D297353CC}">
              <c16:uniqueId val="{00000000-2900-450F-9315-597EEB37F86C}"/>
            </c:ext>
          </c:extLst>
        </c:ser>
        <c:dLbls>
          <c:showVal val="1"/>
        </c:dLbls>
        <c:axId val="368049536"/>
        <c:axId val="368063616"/>
      </c:barChart>
      <c:catAx>
        <c:axId val="368049536"/>
        <c:scaling>
          <c:orientation val="minMax"/>
        </c:scaling>
        <c:axPos val="b"/>
        <c:numFmt formatCode="General" sourceLinked="0"/>
        <c:tickLblPos val="nextTo"/>
        <c:crossAx val="368063616"/>
        <c:crosses val="autoZero"/>
        <c:auto val="1"/>
        <c:lblAlgn val="ctr"/>
        <c:lblOffset val="100"/>
      </c:catAx>
      <c:valAx>
        <c:axId val="368063616"/>
        <c:scaling>
          <c:orientation val="minMax"/>
        </c:scaling>
        <c:axPos val="l"/>
        <c:numFmt formatCode="General" sourceLinked="1"/>
        <c:tickLblPos val="nextTo"/>
        <c:crossAx val="368049536"/>
        <c:crosses val="autoZero"/>
        <c:crossBetween val="between"/>
      </c:valAx>
    </c:plotArea>
    <c:plotVisOnly val="1"/>
    <c:dispBlanksAs val="gap"/>
  </c:chart>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n-AU"/>
  <c:chart>
    <c:title>
      <c:tx>
        <c:rich>
          <a:bodyPr/>
          <a:lstStyle/>
          <a:p>
            <a:pPr>
              <a:defRPr/>
            </a:pPr>
            <a:r>
              <a:rPr lang="en-US" sz="1050">
                <a:latin typeface="Times New Roman" pitchFamily="18" charset="0"/>
                <a:cs typeface="Times New Roman" pitchFamily="18" charset="0"/>
              </a:rPr>
              <a:t>Passenger Traffic (% modal share)</a:t>
            </a:r>
          </a:p>
        </c:rich>
      </c:tx>
    </c:title>
    <c:plotArea>
      <c:layout>
        <c:manualLayout>
          <c:layoutTarget val="inner"/>
          <c:xMode val="edge"/>
          <c:yMode val="edge"/>
          <c:x val="0.13232069395580867"/>
          <c:y val="0.17390341751322719"/>
          <c:w val="0.67322760186891561"/>
          <c:h val="0.68757047856064635"/>
        </c:manualLayout>
      </c:layout>
      <c:barChart>
        <c:barDir val="col"/>
        <c:grouping val="clustered"/>
        <c:ser>
          <c:idx val="0"/>
          <c:order val="0"/>
          <c:tx>
            <c:strRef>
              <c:f>'Figure 1'!$B$3</c:f>
              <c:strCache>
                <c:ptCount val="1"/>
                <c:pt idx="0">
                  <c:v>1975</c:v>
                </c:pt>
              </c:strCache>
            </c:strRef>
          </c:tx>
          <c:dLbls>
            <c:dLbl>
              <c:idx val="2"/>
              <c:layout>
                <c:manualLayout>
                  <c:x val="-1.4184397163120564E-2"/>
                  <c:y val="-2.072538860103627E-2"/>
                </c:manualLayout>
              </c:layout>
              <c:showVal val="1"/>
              <c:extLst xmlns:c16r2="http://schemas.microsoft.com/office/drawing/2015/06/chart">
                <c:ext xmlns:c16="http://schemas.microsoft.com/office/drawing/2014/chart" uri="{C3380CC4-5D6E-409C-BE32-E72D297353CC}">
                  <c16:uniqueId val="{00000000-F70A-4F07-82B4-4DEC9821D18C}"/>
                </c:ext>
                <c:ext xmlns:c15="http://schemas.microsoft.com/office/drawing/2012/chart" uri="{CE6537A1-D6FC-4f65-9D91-7224C49458BB}"/>
              </c:extLst>
            </c:dLbl>
            <c:spPr>
              <a:noFill/>
              <a:ln>
                <a:noFill/>
              </a:ln>
              <a:effectLst/>
            </c:spPr>
            <c:txPr>
              <a:bodyPr/>
              <a:lstStyle/>
              <a:p>
                <a:pPr>
                  <a:defRPr sz="900" baseline="0"/>
                </a:pPr>
                <a:endParaRPr lang="en-US"/>
              </a:p>
            </c:txPr>
            <c:showVal val="1"/>
            <c:extLst xmlns:c16r2="http://schemas.microsoft.com/office/drawing/2015/06/chart">
              <c:ext xmlns:c15="http://schemas.microsoft.com/office/drawing/2012/chart" uri="{CE6537A1-D6FC-4f65-9D91-7224C49458BB}">
                <c15:showLeaderLines val="0"/>
              </c:ext>
            </c:extLst>
          </c:dLbls>
          <c:cat>
            <c:strRef>
              <c:f>'Figure 1'!$A$4:$A$6</c:f>
              <c:strCache>
                <c:ptCount val="3"/>
                <c:pt idx="0">
                  <c:v>Road</c:v>
                </c:pt>
                <c:pt idx="1">
                  <c:v>Rail</c:v>
                </c:pt>
                <c:pt idx="2">
                  <c:v>IWT</c:v>
                </c:pt>
              </c:strCache>
            </c:strRef>
          </c:cat>
          <c:val>
            <c:numRef>
              <c:f>'Figure 1'!$B$4:$B$6</c:f>
              <c:numCache>
                <c:formatCode>General</c:formatCode>
                <c:ptCount val="3"/>
                <c:pt idx="0">
                  <c:v>54</c:v>
                </c:pt>
                <c:pt idx="1">
                  <c:v>30</c:v>
                </c:pt>
                <c:pt idx="2">
                  <c:v>16</c:v>
                </c:pt>
              </c:numCache>
            </c:numRef>
          </c:val>
          <c:extLst xmlns:c16r2="http://schemas.microsoft.com/office/drawing/2015/06/chart">
            <c:ext xmlns:c16="http://schemas.microsoft.com/office/drawing/2014/chart" uri="{C3380CC4-5D6E-409C-BE32-E72D297353CC}">
              <c16:uniqueId val="{00000001-F70A-4F07-82B4-4DEC9821D18C}"/>
            </c:ext>
          </c:extLst>
        </c:ser>
        <c:ser>
          <c:idx val="1"/>
          <c:order val="1"/>
          <c:tx>
            <c:strRef>
              <c:f>'Figure 1'!$C$3</c:f>
              <c:strCache>
                <c:ptCount val="1"/>
                <c:pt idx="0">
                  <c:v>1996</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'Figure 1'!$A$4:$A$6</c:f>
              <c:strCache>
                <c:ptCount val="3"/>
                <c:pt idx="0">
                  <c:v>Road</c:v>
                </c:pt>
                <c:pt idx="1">
                  <c:v>Rail</c:v>
                </c:pt>
                <c:pt idx="2">
                  <c:v>IWT</c:v>
                </c:pt>
              </c:strCache>
            </c:strRef>
          </c:cat>
          <c:val>
            <c:numRef>
              <c:f>'Figure 1'!$C$4:$C$6</c:f>
              <c:numCache>
                <c:formatCode>General</c:formatCode>
                <c:ptCount val="3"/>
                <c:pt idx="0">
                  <c:v>79</c:v>
                </c:pt>
                <c:pt idx="1">
                  <c:v>6</c:v>
                </c:pt>
                <c:pt idx="2">
                  <c:v>15</c:v>
                </c:pt>
              </c:numCache>
            </c:numRef>
          </c:val>
          <c:extLst xmlns:c16r2="http://schemas.microsoft.com/office/drawing/2015/06/chart">
            <c:ext xmlns:c16="http://schemas.microsoft.com/office/drawing/2014/chart" uri="{C3380CC4-5D6E-409C-BE32-E72D297353CC}">
              <c16:uniqueId val="{00000002-F70A-4F07-82B4-4DEC9821D18C}"/>
            </c:ext>
          </c:extLst>
        </c:ser>
        <c:ser>
          <c:idx val="2"/>
          <c:order val="2"/>
          <c:tx>
            <c:strRef>
              <c:f>'Figure 1'!$D$3</c:f>
              <c:strCache>
                <c:ptCount val="1"/>
                <c:pt idx="0">
                  <c:v>2005</c:v>
                </c:pt>
              </c:strCache>
            </c:strRef>
          </c:tx>
          <c:dLbls>
            <c:spPr>
              <a:noFill/>
              <a:ln>
                <a:noFill/>
              </a:ln>
              <a:effectLst/>
            </c:spPr>
            <c:txPr>
              <a:bodyPr/>
              <a:lstStyle/>
              <a:p>
                <a:pPr>
                  <a:defRPr sz="900" baseline="0"/>
                </a:pPr>
                <a:endParaRPr lang="en-US"/>
              </a:p>
            </c:txPr>
            <c:showVal val="1"/>
            <c:extLst xmlns:c16r2="http://schemas.microsoft.com/office/drawing/2015/06/chart">
              <c:ext xmlns:c15="http://schemas.microsoft.com/office/drawing/2012/chart" uri="{CE6537A1-D6FC-4f65-9D91-7224C49458BB}">
                <c15:showLeaderLines val="0"/>
              </c:ext>
            </c:extLst>
          </c:dLbls>
          <c:cat>
            <c:strRef>
              <c:f>'Figure 1'!$A$4:$A$6</c:f>
              <c:strCache>
                <c:ptCount val="3"/>
                <c:pt idx="0">
                  <c:v>Road</c:v>
                </c:pt>
                <c:pt idx="1">
                  <c:v>Rail</c:v>
                </c:pt>
                <c:pt idx="2">
                  <c:v>IWT</c:v>
                </c:pt>
              </c:strCache>
            </c:strRef>
          </c:cat>
          <c:val>
            <c:numRef>
              <c:f>'Figure 1'!$D$4:$D$6</c:f>
              <c:numCache>
                <c:formatCode>General</c:formatCode>
                <c:ptCount val="3"/>
                <c:pt idx="0">
                  <c:v>88</c:v>
                </c:pt>
                <c:pt idx="1">
                  <c:v>4</c:v>
                </c:pt>
                <c:pt idx="2">
                  <c:v>8</c:v>
                </c:pt>
              </c:numCache>
            </c:numRef>
          </c:val>
          <c:extLst xmlns:c16r2="http://schemas.microsoft.com/office/drawing/2015/06/chart">
            <c:ext xmlns:c16="http://schemas.microsoft.com/office/drawing/2014/chart" uri="{C3380CC4-5D6E-409C-BE32-E72D297353CC}">
              <c16:uniqueId val="{00000003-F70A-4F07-82B4-4DEC9821D18C}"/>
            </c:ext>
          </c:extLst>
        </c:ser>
        <c:dLbls>
          <c:showVal val="1"/>
        </c:dLbls>
        <c:axId val="368408064"/>
        <c:axId val="368409600"/>
      </c:barChart>
      <c:catAx>
        <c:axId val="368408064"/>
        <c:scaling>
          <c:orientation val="minMax"/>
        </c:scaling>
        <c:axPos val="b"/>
        <c:numFmt formatCode="General" sourceLinked="1"/>
        <c:tickLblPos val="nextTo"/>
        <c:crossAx val="368409600"/>
        <c:crosses val="autoZero"/>
        <c:auto val="1"/>
        <c:lblAlgn val="ctr"/>
        <c:lblOffset val="100"/>
      </c:catAx>
      <c:valAx>
        <c:axId val="368409600"/>
        <c:scaling>
          <c:orientation val="minMax"/>
        </c:scaling>
        <c:axPos val="l"/>
        <c:majorGridlines/>
        <c:numFmt formatCode="General" sourceLinked="1"/>
        <c:tickLblPos val="nextTo"/>
        <c:crossAx val="368408064"/>
        <c:crosses val="autoZero"/>
        <c:crossBetween val="between"/>
      </c:valAx>
    </c:plotArea>
    <c:legend>
      <c:legendPos val="r"/>
      <c:layout>
        <c:manualLayout>
          <c:xMode val="edge"/>
          <c:yMode val="edge"/>
          <c:x val="0.82446082537555143"/>
          <c:y val="0.39790896604246334"/>
          <c:w val="0.14717038029820739"/>
          <c:h val="0.3497433805230285"/>
        </c:manualLayout>
      </c:layout>
      <c:txPr>
        <a:bodyPr/>
        <a:lstStyle/>
        <a:p>
          <a:pPr>
            <a:defRPr sz="900" baseline="0"/>
          </a:pPr>
          <a:endParaRPr lang="en-US"/>
        </a:p>
      </c:txP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n-US"/>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n-AU"/>
  <c:chart>
    <c:title>
      <c:tx>
        <c:rich>
          <a:bodyPr/>
          <a:lstStyle/>
          <a:p>
            <a:pPr>
              <a:defRPr/>
            </a:pPr>
            <a:r>
              <a:rPr lang="en-US" sz="1200">
                <a:latin typeface="Times New Roman" pitchFamily="18" charset="0"/>
                <a:cs typeface="Times New Roman" pitchFamily="18" charset="0"/>
              </a:rPr>
              <a:t>Cargo Traffic (% modal share)</a:t>
            </a:r>
          </a:p>
        </c:rich>
      </c:tx>
    </c:title>
    <c:plotArea>
      <c:layout>
        <c:manualLayout>
          <c:layoutTarget val="inner"/>
          <c:xMode val="edge"/>
          <c:yMode val="edge"/>
          <c:x val="0.14598740528458679"/>
          <c:y val="0.20658044687419444"/>
          <c:w val="0.66024799903545661"/>
          <c:h val="0.62725959773163054"/>
        </c:manualLayout>
      </c:layout>
      <c:barChart>
        <c:barDir val="col"/>
        <c:grouping val="clustered"/>
        <c:ser>
          <c:idx val="0"/>
          <c:order val="0"/>
          <c:tx>
            <c:strRef>
              <c:f>'Figure 1'!$B$21</c:f>
              <c:strCache>
                <c:ptCount val="1"/>
                <c:pt idx="0">
                  <c:v>1975</c:v>
                </c:pt>
              </c:strCache>
            </c:strRef>
          </c:tx>
          <c:dLbls>
            <c:spPr>
              <a:noFill/>
              <a:ln>
                <a:noFill/>
              </a:ln>
              <a:effectLst/>
            </c:spPr>
            <c:txPr>
              <a:bodyPr/>
              <a:lstStyle/>
              <a:p>
                <a:pPr>
                  <a:defRPr sz="900" baseline="0"/>
                </a:pPr>
                <a:endParaRPr lang="en-US"/>
              </a:p>
            </c:txPr>
            <c:showVal val="1"/>
            <c:extLst xmlns:c16r2="http://schemas.microsoft.com/office/drawing/2015/06/chart">
              <c:ext xmlns:c15="http://schemas.microsoft.com/office/drawing/2012/chart" uri="{CE6537A1-D6FC-4f65-9D91-7224C49458BB}">
                <c15:showLeaderLines val="0"/>
              </c:ext>
            </c:extLst>
          </c:dLbls>
          <c:cat>
            <c:strRef>
              <c:f>'Figure 1'!$A$22:$A$24</c:f>
              <c:strCache>
                <c:ptCount val="3"/>
                <c:pt idx="0">
                  <c:v>Road</c:v>
                </c:pt>
                <c:pt idx="1">
                  <c:v>Rail</c:v>
                </c:pt>
                <c:pt idx="2">
                  <c:v>IWT</c:v>
                </c:pt>
              </c:strCache>
            </c:strRef>
          </c:cat>
          <c:val>
            <c:numRef>
              <c:f>'Figure 1'!$B$22:$B$24</c:f>
              <c:numCache>
                <c:formatCode>General</c:formatCode>
                <c:ptCount val="3"/>
                <c:pt idx="0">
                  <c:v>35</c:v>
                </c:pt>
                <c:pt idx="1">
                  <c:v>28</c:v>
                </c:pt>
                <c:pt idx="2">
                  <c:v>37</c:v>
                </c:pt>
              </c:numCache>
            </c:numRef>
          </c:val>
          <c:extLst xmlns:c16r2="http://schemas.microsoft.com/office/drawing/2015/06/chart">
            <c:ext xmlns:c16="http://schemas.microsoft.com/office/drawing/2014/chart" uri="{C3380CC4-5D6E-409C-BE32-E72D297353CC}">
              <c16:uniqueId val="{00000000-B944-4440-8669-EE51BED5FAEB}"/>
            </c:ext>
          </c:extLst>
        </c:ser>
        <c:ser>
          <c:idx val="1"/>
          <c:order val="1"/>
          <c:tx>
            <c:strRef>
              <c:f>'Figure 1'!$C$21</c:f>
              <c:strCache>
                <c:ptCount val="1"/>
                <c:pt idx="0">
                  <c:v>1996</c:v>
                </c:pt>
              </c:strCache>
            </c:strRef>
          </c:tx>
          <c:dLbls>
            <c:dLbl>
              <c:idx val="2"/>
              <c:layout>
                <c:manualLayout>
                  <c:x val="9.4228504122498054E-3"/>
                  <c:y val="0"/>
                </c:manualLayout>
              </c:layout>
              <c:showVal val="1"/>
              <c:extLst xmlns:c16r2="http://schemas.microsoft.com/office/drawing/2015/06/chart">
                <c:ext xmlns:c16="http://schemas.microsoft.com/office/drawing/2014/chart" uri="{C3380CC4-5D6E-409C-BE32-E72D297353CC}">
                  <c16:uniqueId val="{00000001-B944-4440-8669-EE51BED5FAEB}"/>
                </c:ext>
                <c:ext xmlns:c15="http://schemas.microsoft.com/office/drawing/2012/chart" uri="{CE6537A1-D6FC-4f65-9D91-7224C49458BB}"/>
              </c:extLst>
            </c:dLbl>
            <c:spPr>
              <a:noFill/>
              <a:ln>
                <a:noFill/>
              </a:ln>
              <a:effectLst/>
            </c:spPr>
            <c:txPr>
              <a:bodyPr/>
              <a:lstStyle/>
              <a:p>
                <a:pPr>
                  <a:defRPr sz="900" baseline="0"/>
                </a:pPr>
                <a:endParaRPr lang="en-US"/>
              </a:p>
            </c:txPr>
            <c:showVal val="1"/>
            <c:extLst xmlns:c16r2="http://schemas.microsoft.com/office/drawing/2015/06/chart">
              <c:ext xmlns:c15="http://schemas.microsoft.com/office/drawing/2012/chart" uri="{CE6537A1-D6FC-4f65-9D91-7224C49458BB}">
                <c15:showLeaderLines val="0"/>
              </c:ext>
            </c:extLst>
          </c:dLbls>
          <c:cat>
            <c:strRef>
              <c:f>'Figure 1'!$A$22:$A$24</c:f>
              <c:strCache>
                <c:ptCount val="3"/>
                <c:pt idx="0">
                  <c:v>Road</c:v>
                </c:pt>
                <c:pt idx="1">
                  <c:v>Rail</c:v>
                </c:pt>
                <c:pt idx="2">
                  <c:v>IWT</c:v>
                </c:pt>
              </c:strCache>
            </c:strRef>
          </c:cat>
          <c:val>
            <c:numRef>
              <c:f>'Figure 1'!$C$22:$C$24</c:f>
              <c:numCache>
                <c:formatCode>General</c:formatCode>
                <c:ptCount val="3"/>
                <c:pt idx="0">
                  <c:v>63</c:v>
                </c:pt>
                <c:pt idx="1">
                  <c:v>7</c:v>
                </c:pt>
                <c:pt idx="2">
                  <c:v>30</c:v>
                </c:pt>
              </c:numCache>
            </c:numRef>
          </c:val>
          <c:extLst xmlns:c16r2="http://schemas.microsoft.com/office/drawing/2015/06/chart">
            <c:ext xmlns:c16="http://schemas.microsoft.com/office/drawing/2014/chart" uri="{C3380CC4-5D6E-409C-BE32-E72D297353CC}">
              <c16:uniqueId val="{00000002-B944-4440-8669-EE51BED5FAEB}"/>
            </c:ext>
          </c:extLst>
        </c:ser>
        <c:ser>
          <c:idx val="2"/>
          <c:order val="2"/>
          <c:tx>
            <c:strRef>
              <c:f>'Figure 1'!$D$21</c:f>
              <c:strCache>
                <c:ptCount val="1"/>
                <c:pt idx="0">
                  <c:v>2005</c:v>
                </c:pt>
              </c:strCache>
            </c:strRef>
          </c:tx>
          <c:dLbls>
            <c:spPr>
              <a:noFill/>
              <a:ln>
                <a:noFill/>
              </a:ln>
              <a:effectLst/>
            </c:spPr>
            <c:txPr>
              <a:bodyPr/>
              <a:lstStyle/>
              <a:p>
                <a:pPr>
                  <a:defRPr sz="900" baseline="0"/>
                </a:pPr>
                <a:endParaRPr lang="en-US"/>
              </a:p>
            </c:txPr>
            <c:showVal val="1"/>
            <c:extLst xmlns:c16r2="http://schemas.microsoft.com/office/drawing/2015/06/chart">
              <c:ext xmlns:c15="http://schemas.microsoft.com/office/drawing/2012/chart" uri="{CE6537A1-D6FC-4f65-9D91-7224C49458BB}">
                <c15:showLeaderLines val="0"/>
              </c:ext>
            </c:extLst>
          </c:dLbls>
          <c:cat>
            <c:strRef>
              <c:f>'Figure 1'!$A$22:$A$24</c:f>
              <c:strCache>
                <c:ptCount val="3"/>
                <c:pt idx="0">
                  <c:v>Road</c:v>
                </c:pt>
                <c:pt idx="1">
                  <c:v>Rail</c:v>
                </c:pt>
                <c:pt idx="2">
                  <c:v>IWT</c:v>
                </c:pt>
              </c:strCache>
            </c:strRef>
          </c:cat>
          <c:val>
            <c:numRef>
              <c:f>'Figure 1'!$D$22:$D$24</c:f>
              <c:numCache>
                <c:formatCode>General</c:formatCode>
                <c:ptCount val="3"/>
                <c:pt idx="0">
                  <c:v>80</c:v>
                </c:pt>
                <c:pt idx="1">
                  <c:v>4</c:v>
                </c:pt>
                <c:pt idx="2">
                  <c:v>16</c:v>
                </c:pt>
              </c:numCache>
            </c:numRef>
          </c:val>
          <c:extLst xmlns:c16r2="http://schemas.microsoft.com/office/drawing/2015/06/chart">
            <c:ext xmlns:c16="http://schemas.microsoft.com/office/drawing/2014/chart" uri="{C3380CC4-5D6E-409C-BE32-E72D297353CC}">
              <c16:uniqueId val="{00000003-B944-4440-8669-EE51BED5FAEB}"/>
            </c:ext>
          </c:extLst>
        </c:ser>
        <c:dLbls>
          <c:showVal val="1"/>
        </c:dLbls>
        <c:axId val="368258048"/>
        <c:axId val="368272128"/>
      </c:barChart>
      <c:catAx>
        <c:axId val="368258048"/>
        <c:scaling>
          <c:orientation val="minMax"/>
        </c:scaling>
        <c:axPos val="b"/>
        <c:numFmt formatCode="General" sourceLinked="1"/>
        <c:tickLblPos val="nextTo"/>
        <c:crossAx val="368272128"/>
        <c:crosses val="autoZero"/>
        <c:auto val="1"/>
        <c:lblAlgn val="ctr"/>
        <c:lblOffset val="100"/>
      </c:catAx>
      <c:valAx>
        <c:axId val="368272128"/>
        <c:scaling>
          <c:orientation val="minMax"/>
        </c:scaling>
        <c:axPos val="l"/>
        <c:majorGridlines/>
        <c:numFmt formatCode="General" sourceLinked="1"/>
        <c:tickLblPos val="nextTo"/>
        <c:crossAx val="368258048"/>
        <c:crosses val="autoZero"/>
        <c:crossBetween val="between"/>
      </c:valAx>
    </c:plotArea>
    <c:legend>
      <c:legendPos val="r"/>
      <c:txPr>
        <a:bodyPr/>
        <a:lstStyle/>
        <a:p>
          <a:pPr>
            <a:defRPr sz="900" baseline="0"/>
          </a:pPr>
          <a:endParaRPr lang="en-US"/>
        </a:p>
      </c:txP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n-US"/>
    </a:p>
  </c:tx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barChart>
        <c:barDir val="col"/>
        <c:grouping val="clustered"/>
        <c:ser>
          <c:idx val="0"/>
          <c:order val="0"/>
          <c:tx>
            <c:v>FY92-98</c:v>
          </c:tx>
          <c:cat>
            <c:strRef>
              <c:f>'Constant Price'!$A$35:$A$39</c:f>
              <c:strCache>
                <c:ptCount val="5"/>
                <c:pt idx="0">
                  <c:v>Road Transport</c:v>
                </c:pt>
                <c:pt idx="1">
                  <c:v>Railways</c:v>
                </c:pt>
                <c:pt idx="2">
                  <c:v>Inland Water Transport</c:v>
                </c:pt>
                <c:pt idx="3">
                  <c:v>Air Transport</c:v>
                </c:pt>
                <c:pt idx="4">
                  <c:v>Total Transport</c:v>
                </c:pt>
              </c:strCache>
            </c:strRef>
          </c:cat>
          <c:val>
            <c:numRef>
              <c:f>'Constant Price'!$B$35:$B$39</c:f>
              <c:numCache>
                <c:formatCode>General</c:formatCode>
                <c:ptCount val="5"/>
                <c:pt idx="0">
                  <c:v>7.2</c:v>
                </c:pt>
                <c:pt idx="1">
                  <c:v>5.7</c:v>
                </c:pt>
                <c:pt idx="2" formatCode="0.0">
                  <c:v>15.897036835916408</c:v>
                </c:pt>
                <c:pt idx="3" formatCode="0.0">
                  <c:v>6.1041692403739845</c:v>
                </c:pt>
                <c:pt idx="4" formatCode="0.0">
                  <c:v>6.0086392941854028</c:v>
                </c:pt>
              </c:numCache>
            </c:numRef>
          </c:val>
          <c:extLst xmlns:c16r2="http://schemas.microsoft.com/office/drawing/2015/06/chart">
            <c:ext xmlns:c16="http://schemas.microsoft.com/office/drawing/2014/chart" uri="{C3380CC4-5D6E-409C-BE32-E72D297353CC}">
              <c16:uniqueId val="{00000000-6FF6-495C-91F7-92CDD7315D81}"/>
            </c:ext>
          </c:extLst>
        </c:ser>
        <c:ser>
          <c:idx val="1"/>
          <c:order val="1"/>
          <c:tx>
            <c:v>FY99-05</c:v>
          </c:tx>
          <c:cat>
            <c:strRef>
              <c:f>'Constant Price'!$A$35:$A$39</c:f>
              <c:strCache>
                <c:ptCount val="5"/>
                <c:pt idx="0">
                  <c:v>Road Transport</c:v>
                </c:pt>
                <c:pt idx="1">
                  <c:v>Railways</c:v>
                </c:pt>
                <c:pt idx="2">
                  <c:v>Inland Water Transport</c:v>
                </c:pt>
                <c:pt idx="3">
                  <c:v>Air Transport</c:v>
                </c:pt>
                <c:pt idx="4">
                  <c:v>Total Transport</c:v>
                </c:pt>
              </c:strCache>
            </c:strRef>
          </c:cat>
          <c:val>
            <c:numRef>
              <c:f>'Constant Price'!$C$35:$C$39</c:f>
              <c:numCache>
                <c:formatCode>General</c:formatCode>
                <c:ptCount val="5"/>
                <c:pt idx="0">
                  <c:v>6.3</c:v>
                </c:pt>
                <c:pt idx="1">
                  <c:v>2.7</c:v>
                </c:pt>
                <c:pt idx="2" formatCode="0.0">
                  <c:v>0.81072441378902671</c:v>
                </c:pt>
                <c:pt idx="3" formatCode="0.0">
                  <c:v>0.59470932527356801</c:v>
                </c:pt>
                <c:pt idx="4" formatCode="0.0">
                  <c:v>5.2318987888355828</c:v>
                </c:pt>
              </c:numCache>
            </c:numRef>
          </c:val>
          <c:extLst xmlns:c16r2="http://schemas.microsoft.com/office/drawing/2015/06/chart">
            <c:ext xmlns:c16="http://schemas.microsoft.com/office/drawing/2014/chart" uri="{C3380CC4-5D6E-409C-BE32-E72D297353CC}">
              <c16:uniqueId val="{00000001-6FF6-495C-91F7-92CDD7315D81}"/>
            </c:ext>
          </c:extLst>
        </c:ser>
        <c:ser>
          <c:idx val="2"/>
          <c:order val="2"/>
          <c:tx>
            <c:v>FY06-14</c:v>
          </c:tx>
          <c:cat>
            <c:strRef>
              <c:f>'Constant Price'!$A$35:$A$39</c:f>
              <c:strCache>
                <c:ptCount val="5"/>
                <c:pt idx="0">
                  <c:v>Road Transport</c:v>
                </c:pt>
                <c:pt idx="1">
                  <c:v>Railways</c:v>
                </c:pt>
                <c:pt idx="2">
                  <c:v>Inland Water Transport</c:v>
                </c:pt>
                <c:pt idx="3">
                  <c:v>Air Transport</c:v>
                </c:pt>
                <c:pt idx="4">
                  <c:v>Total Transport</c:v>
                </c:pt>
              </c:strCache>
            </c:strRef>
          </c:cat>
          <c:val>
            <c:numRef>
              <c:f>'Constant Price'!$D$35:$D$39</c:f>
              <c:numCache>
                <c:formatCode>General</c:formatCode>
                <c:ptCount val="5"/>
                <c:pt idx="0">
                  <c:v>6.5</c:v>
                </c:pt>
                <c:pt idx="1">
                  <c:v>5.8</c:v>
                </c:pt>
                <c:pt idx="2" formatCode="0.0">
                  <c:v>3.1799113536647994</c:v>
                </c:pt>
                <c:pt idx="3" formatCode="0.0">
                  <c:v>6.6164128698498788</c:v>
                </c:pt>
                <c:pt idx="4" formatCode="0.0">
                  <c:v>6.1254008860289604</c:v>
                </c:pt>
              </c:numCache>
            </c:numRef>
          </c:val>
          <c:extLst xmlns:c16r2="http://schemas.microsoft.com/office/drawing/2015/06/chart">
            <c:ext xmlns:c16="http://schemas.microsoft.com/office/drawing/2014/chart" uri="{C3380CC4-5D6E-409C-BE32-E72D297353CC}">
              <c16:uniqueId val="{00000002-6FF6-495C-91F7-92CDD7315D81}"/>
            </c:ext>
          </c:extLst>
        </c:ser>
        <c:axId val="368290816"/>
        <c:axId val="368308992"/>
      </c:barChart>
      <c:catAx>
        <c:axId val="368290816"/>
        <c:scaling>
          <c:orientation val="minMax"/>
        </c:scaling>
        <c:axPos val="b"/>
        <c:numFmt formatCode="General" sourceLinked="0"/>
        <c:tickLblPos val="nextTo"/>
        <c:crossAx val="368308992"/>
        <c:crosses val="autoZero"/>
        <c:auto val="1"/>
        <c:lblAlgn val="ctr"/>
        <c:lblOffset val="100"/>
      </c:catAx>
      <c:valAx>
        <c:axId val="368308992"/>
        <c:scaling>
          <c:orientation val="minMax"/>
        </c:scaling>
        <c:axPos val="l"/>
        <c:majorGridlines/>
        <c:numFmt formatCode="General" sourceLinked="1"/>
        <c:tickLblPos val="nextTo"/>
        <c:crossAx val="368290816"/>
        <c:crosses val="autoZero"/>
        <c:crossBetween val="between"/>
      </c:valAx>
    </c:plotArea>
    <c:legend>
      <c:legendPos val="r"/>
    </c:legend>
    <c:plotVisOnly val="1"/>
    <c:dispBlanksAs val="gap"/>
  </c:chart>
  <c:txPr>
    <a:bodyPr/>
    <a:lstStyle/>
    <a:p>
      <a:pPr>
        <a:defRPr lang="en-US">
          <a:latin typeface="Times New Roman" panose="02020603050405020304" pitchFamily="18" charset="0"/>
          <a:cs typeface="Times New Roman" panose="02020603050405020304" pitchFamily="18" charset="0"/>
        </a:defRPr>
      </a:pPr>
      <a:endParaRPr lang="en-US"/>
    </a:p>
  </c:tx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lang val="en-AU"/>
  <c:chart>
    <c:autoTitleDeleted val="1"/>
    <c:plotArea>
      <c:layout/>
      <c:barChart>
        <c:barDir val="col"/>
        <c:grouping val="clustered"/>
        <c:ser>
          <c:idx val="0"/>
          <c:order val="0"/>
          <c:tx>
            <c:v>Road</c:v>
          </c:tx>
          <c:cat>
            <c:strRef>
              <c:f>'Current Price'!$H$21:$K$21</c:f>
              <c:strCache>
                <c:ptCount val="4"/>
                <c:pt idx="0">
                  <c:v>FY92</c:v>
                </c:pt>
                <c:pt idx="1">
                  <c:v>FY98</c:v>
                </c:pt>
                <c:pt idx="2">
                  <c:v>FY2005</c:v>
                </c:pt>
                <c:pt idx="3">
                  <c:v>FY2014</c:v>
                </c:pt>
              </c:strCache>
            </c:strRef>
          </c:cat>
          <c:val>
            <c:numRef>
              <c:f>'Current Price'!$H$22:$K$22</c:f>
              <c:numCache>
                <c:formatCode>0</c:formatCode>
                <c:ptCount val="4"/>
                <c:pt idx="0">
                  <c:v>59.412072068585161</c:v>
                </c:pt>
                <c:pt idx="1">
                  <c:v>62.71748924451439</c:v>
                </c:pt>
                <c:pt idx="2">
                  <c:v>88.961017599649125</c:v>
                </c:pt>
                <c:pt idx="3">
                  <c:v>90.597574119377967</c:v>
                </c:pt>
              </c:numCache>
            </c:numRef>
          </c:val>
          <c:extLst xmlns:c16r2="http://schemas.microsoft.com/office/drawing/2015/06/chart">
            <c:ext xmlns:c16="http://schemas.microsoft.com/office/drawing/2014/chart" uri="{C3380CC4-5D6E-409C-BE32-E72D297353CC}">
              <c16:uniqueId val="{00000000-8D71-47C7-9DFB-ED15EAAEF6B2}"/>
            </c:ext>
          </c:extLst>
        </c:ser>
        <c:ser>
          <c:idx val="1"/>
          <c:order val="1"/>
          <c:tx>
            <c:v>Railways</c:v>
          </c:tx>
          <c:cat>
            <c:strRef>
              <c:f>'Current Price'!$H$21:$K$21</c:f>
              <c:strCache>
                <c:ptCount val="4"/>
                <c:pt idx="0">
                  <c:v>FY92</c:v>
                </c:pt>
                <c:pt idx="1">
                  <c:v>FY98</c:v>
                </c:pt>
                <c:pt idx="2">
                  <c:v>FY2005</c:v>
                </c:pt>
                <c:pt idx="3">
                  <c:v>FY2014</c:v>
                </c:pt>
              </c:strCache>
            </c:strRef>
          </c:cat>
          <c:val>
            <c:numRef>
              <c:f>'Current Price'!$H$23:$K$23</c:f>
              <c:numCache>
                <c:formatCode>0</c:formatCode>
                <c:ptCount val="4"/>
                <c:pt idx="0">
                  <c:v>1.6894703229926655</c:v>
                </c:pt>
                <c:pt idx="1">
                  <c:v>1.621254616292489</c:v>
                </c:pt>
                <c:pt idx="2">
                  <c:v>1.067766873183837</c:v>
                </c:pt>
                <c:pt idx="3">
                  <c:v>0.96397735652665661</c:v>
                </c:pt>
              </c:numCache>
            </c:numRef>
          </c:val>
          <c:extLst xmlns:c16r2="http://schemas.microsoft.com/office/drawing/2015/06/chart">
            <c:ext xmlns:c16="http://schemas.microsoft.com/office/drawing/2014/chart" uri="{C3380CC4-5D6E-409C-BE32-E72D297353CC}">
              <c16:uniqueId val="{00000001-8D71-47C7-9DFB-ED15EAAEF6B2}"/>
            </c:ext>
          </c:extLst>
        </c:ser>
        <c:ser>
          <c:idx val="2"/>
          <c:order val="2"/>
          <c:tx>
            <c:v>IWT</c:v>
          </c:tx>
          <c:cat>
            <c:strRef>
              <c:f>'Current Price'!$H$21:$K$21</c:f>
              <c:strCache>
                <c:ptCount val="4"/>
                <c:pt idx="0">
                  <c:v>FY92</c:v>
                </c:pt>
                <c:pt idx="1">
                  <c:v>FY98</c:v>
                </c:pt>
                <c:pt idx="2">
                  <c:v>FY2005</c:v>
                </c:pt>
                <c:pt idx="3">
                  <c:v>FY2014</c:v>
                </c:pt>
              </c:strCache>
            </c:strRef>
          </c:cat>
          <c:val>
            <c:numRef>
              <c:f>'Current Price'!$H$24:$K$24</c:f>
              <c:numCache>
                <c:formatCode>0</c:formatCode>
                <c:ptCount val="4"/>
                <c:pt idx="0">
                  <c:v>37.449925493004045</c:v>
                </c:pt>
                <c:pt idx="1">
                  <c:v>33.814104597890228</c:v>
                </c:pt>
                <c:pt idx="2">
                  <c:v>8.5997039311365739</c:v>
                </c:pt>
                <c:pt idx="3">
                  <c:v>7.3283348655284284</c:v>
                </c:pt>
              </c:numCache>
            </c:numRef>
          </c:val>
          <c:extLst xmlns:c16r2="http://schemas.microsoft.com/office/drawing/2015/06/chart">
            <c:ext xmlns:c16="http://schemas.microsoft.com/office/drawing/2014/chart" uri="{C3380CC4-5D6E-409C-BE32-E72D297353CC}">
              <c16:uniqueId val="{00000002-8D71-47C7-9DFB-ED15EAAEF6B2}"/>
            </c:ext>
          </c:extLst>
        </c:ser>
        <c:ser>
          <c:idx val="3"/>
          <c:order val="3"/>
          <c:tx>
            <c:v>Air</c:v>
          </c:tx>
          <c:cat>
            <c:strRef>
              <c:f>'Current Price'!$H$21:$K$21</c:f>
              <c:strCache>
                <c:ptCount val="4"/>
                <c:pt idx="0">
                  <c:v>FY92</c:v>
                </c:pt>
                <c:pt idx="1">
                  <c:v>FY98</c:v>
                </c:pt>
                <c:pt idx="2">
                  <c:v>FY2005</c:v>
                </c:pt>
                <c:pt idx="3">
                  <c:v>FY2014</c:v>
                </c:pt>
              </c:strCache>
            </c:strRef>
          </c:cat>
          <c:val>
            <c:numRef>
              <c:f>'Current Price'!$H$25:$K$25</c:f>
              <c:numCache>
                <c:formatCode>0</c:formatCode>
                <c:ptCount val="4"/>
                <c:pt idx="0">
                  <c:v>1.4485321154181099</c:v>
                </c:pt>
                <c:pt idx="1">
                  <c:v>1.8471515413023341</c:v>
                </c:pt>
                <c:pt idx="2">
                  <c:v>1.3715115960304838</c:v>
                </c:pt>
                <c:pt idx="3">
                  <c:v>1.110113658566892</c:v>
                </c:pt>
              </c:numCache>
            </c:numRef>
          </c:val>
          <c:extLst xmlns:c16r2="http://schemas.microsoft.com/office/drawing/2015/06/chart">
            <c:ext xmlns:c16="http://schemas.microsoft.com/office/drawing/2014/chart" uri="{C3380CC4-5D6E-409C-BE32-E72D297353CC}">
              <c16:uniqueId val="{00000003-8D71-47C7-9DFB-ED15EAAEF6B2}"/>
            </c:ext>
          </c:extLst>
        </c:ser>
        <c:axId val="368323200"/>
        <c:axId val="368337280"/>
      </c:barChart>
      <c:catAx>
        <c:axId val="368323200"/>
        <c:scaling>
          <c:orientation val="minMax"/>
        </c:scaling>
        <c:axPos val="b"/>
        <c:numFmt formatCode="General" sourceLinked="0"/>
        <c:tickLblPos val="nextTo"/>
        <c:crossAx val="368337280"/>
        <c:crosses val="autoZero"/>
        <c:auto val="1"/>
        <c:lblAlgn val="ctr"/>
        <c:lblOffset val="100"/>
      </c:catAx>
      <c:valAx>
        <c:axId val="368337280"/>
        <c:scaling>
          <c:orientation val="minMax"/>
        </c:scaling>
        <c:axPos val="l"/>
        <c:majorGridlines/>
        <c:numFmt formatCode="0" sourceLinked="1"/>
        <c:tickLblPos val="nextTo"/>
        <c:crossAx val="368323200"/>
        <c:crosses val="autoZero"/>
        <c:crossBetween val="between"/>
      </c:valAx>
    </c:plotArea>
    <c:legend>
      <c:legendPos val="r"/>
    </c:legend>
    <c:plotVisOnly val="1"/>
    <c:dispBlanksAs val="gap"/>
  </c:chart>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barChart>
        <c:barDir val="col"/>
        <c:grouping val="clustered"/>
        <c:ser>
          <c:idx val="0"/>
          <c:order val="0"/>
          <c:tx>
            <c:strRef>
              <c:f>'[Chart in Microsoft Office Word]Sheet1'!$B$1</c:f>
              <c:strCache>
                <c:ptCount val="1"/>
                <c:pt idx="0">
                  <c:v>Percent of People Covered</c:v>
                </c:pt>
              </c:strCache>
            </c:strRef>
          </c:tx>
          <c:dLbls>
            <c:spPr>
              <a:noFill/>
              <a:ln>
                <a:noFill/>
              </a:ln>
              <a:effectLst/>
            </c:spPr>
            <c:showVal val="1"/>
            <c:extLst>
              <c:ext xmlns:c15="http://schemas.microsoft.com/office/drawing/2012/chart" uri="{CE6537A1-D6FC-4f65-9D91-7224C49458BB}">
                <c15:layout/>
                <c15:showLeaderLines val="0"/>
              </c:ext>
            </c:extLst>
          </c:dLbls>
          <c:cat>
            <c:strRef>
              <c:f>'[Chart in Microsoft Office Word]Sheet1'!$A$2:$A$6</c:f>
              <c:strCache>
                <c:ptCount val="5"/>
                <c:pt idx="0">
                  <c:v>Separate Sewerage</c:v>
                </c:pt>
                <c:pt idx="1">
                  <c:v>Combined Sewerage</c:v>
                </c:pt>
                <c:pt idx="2">
                  <c:v>Small Bore System</c:v>
                </c:pt>
                <c:pt idx="3">
                  <c:v>Improved On-Site Sanitation</c:v>
                </c:pt>
                <c:pt idx="4">
                  <c:v>Unhygienic Sanitation</c:v>
                </c:pt>
              </c:strCache>
            </c:strRef>
          </c:cat>
          <c:val>
            <c:numRef>
              <c:f>'[Chart in Microsoft Office Word]Sheet1'!$B$2:$B$6</c:f>
              <c:numCache>
                <c:formatCode>General</c:formatCode>
                <c:ptCount val="5"/>
                <c:pt idx="0">
                  <c:v>20</c:v>
                </c:pt>
                <c:pt idx="1">
                  <c:v>30</c:v>
                </c:pt>
                <c:pt idx="2">
                  <c:v>3</c:v>
                </c:pt>
                <c:pt idx="3">
                  <c:v>25</c:v>
                </c:pt>
                <c:pt idx="4">
                  <c:v>22</c:v>
                </c:pt>
              </c:numCache>
            </c:numRef>
          </c:val>
        </c:ser>
        <c:axId val="368361856"/>
        <c:axId val="368363392"/>
      </c:barChart>
      <c:catAx>
        <c:axId val="368361856"/>
        <c:scaling>
          <c:orientation val="minMax"/>
        </c:scaling>
        <c:axPos val="b"/>
        <c:numFmt formatCode="General" sourceLinked="0"/>
        <c:tickLblPos val="nextTo"/>
        <c:crossAx val="368363392"/>
        <c:crosses val="autoZero"/>
        <c:auto val="1"/>
        <c:lblAlgn val="ctr"/>
        <c:lblOffset val="100"/>
      </c:catAx>
      <c:valAx>
        <c:axId val="368363392"/>
        <c:scaling>
          <c:orientation val="minMax"/>
        </c:scaling>
        <c:axPos val="l"/>
        <c:majorGridlines/>
        <c:numFmt formatCode="General" sourceLinked="1"/>
        <c:tickLblPos val="nextTo"/>
        <c:crossAx val="368361856"/>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6.7974806143926314E-2"/>
          <c:y val="4.3137241581830604E-2"/>
          <c:w val="0.9135636545812964"/>
          <c:h val="0.62856179448454763"/>
        </c:manualLayout>
      </c:layout>
      <c:barChart>
        <c:barDir val="col"/>
        <c:grouping val="clustered"/>
        <c:ser>
          <c:idx val="0"/>
          <c:order val="0"/>
          <c:tx>
            <c:strRef>
              <c:f>Poverty!$C$248</c:f>
              <c:strCache>
                <c:ptCount val="1"/>
                <c:pt idx="0">
                  <c:v>Haor Region</c:v>
                </c:pt>
              </c:strCache>
            </c:strRef>
          </c:tx>
          <c:cat>
            <c:strRef>
              <c:f>Poverty!$D$247:$H$247</c:f>
              <c:strCache>
                <c:ptCount val="5"/>
                <c:pt idx="0">
                  <c:v> 1st</c:v>
                </c:pt>
                <c:pt idx="1">
                  <c:v>2nd</c:v>
                </c:pt>
                <c:pt idx="2">
                  <c:v>3rd</c:v>
                </c:pt>
                <c:pt idx="3">
                  <c:v>4th</c:v>
                </c:pt>
                <c:pt idx="4">
                  <c:v>5th</c:v>
                </c:pt>
              </c:strCache>
            </c:strRef>
          </c:cat>
          <c:val>
            <c:numRef>
              <c:f>Poverty!$D$248:$H$248</c:f>
              <c:numCache>
                <c:formatCode>0.0</c:formatCode>
                <c:ptCount val="5"/>
                <c:pt idx="0">
                  <c:v>8.69631848249184</c:v>
                </c:pt>
                <c:pt idx="1">
                  <c:v>12.05878829405477</c:v>
                </c:pt>
                <c:pt idx="2">
                  <c:v>15.312010711473473</c:v>
                </c:pt>
                <c:pt idx="3">
                  <c:v>21.32123845536568</c:v>
                </c:pt>
                <c:pt idx="4">
                  <c:v>42.611644056612128</c:v>
                </c:pt>
              </c:numCache>
            </c:numRef>
          </c:val>
          <c:extLst xmlns:c16r2="http://schemas.microsoft.com/office/drawing/2015/06/chart">
            <c:ext xmlns:c16="http://schemas.microsoft.com/office/drawing/2014/chart" uri="{C3380CC4-5D6E-409C-BE32-E72D297353CC}">
              <c16:uniqueId val="{00000000-254E-4BE6-AF0D-52F759216043}"/>
            </c:ext>
          </c:extLst>
        </c:ser>
        <c:ser>
          <c:idx val="1"/>
          <c:order val="1"/>
          <c:tx>
            <c:strRef>
              <c:f>Poverty!$C$249</c:f>
              <c:strCache>
                <c:ptCount val="1"/>
                <c:pt idx="0">
                  <c:v>Coastal Zone</c:v>
                </c:pt>
              </c:strCache>
            </c:strRef>
          </c:tx>
          <c:cat>
            <c:strRef>
              <c:f>Poverty!$D$247:$H$247</c:f>
              <c:strCache>
                <c:ptCount val="5"/>
                <c:pt idx="0">
                  <c:v> 1st</c:v>
                </c:pt>
                <c:pt idx="1">
                  <c:v>2nd</c:v>
                </c:pt>
                <c:pt idx="2">
                  <c:v>3rd</c:v>
                </c:pt>
                <c:pt idx="3">
                  <c:v>4th</c:v>
                </c:pt>
                <c:pt idx="4">
                  <c:v>5th</c:v>
                </c:pt>
              </c:strCache>
            </c:strRef>
          </c:cat>
          <c:val>
            <c:numRef>
              <c:f>Poverty!$D$249:$H$249</c:f>
              <c:numCache>
                <c:formatCode>0.0</c:formatCode>
                <c:ptCount val="5"/>
                <c:pt idx="0">
                  <c:v>9.5559796447835357</c:v>
                </c:pt>
                <c:pt idx="1">
                  <c:v>13.156613335862026</c:v>
                </c:pt>
                <c:pt idx="2">
                  <c:v>16.204251265451095</c:v>
                </c:pt>
                <c:pt idx="3">
                  <c:v>21.154214703227385</c:v>
                </c:pt>
                <c:pt idx="4">
                  <c:v>39.928941050676094</c:v>
                </c:pt>
              </c:numCache>
            </c:numRef>
          </c:val>
          <c:extLst xmlns:c16r2="http://schemas.microsoft.com/office/drawing/2015/06/chart">
            <c:ext xmlns:c16="http://schemas.microsoft.com/office/drawing/2014/chart" uri="{C3380CC4-5D6E-409C-BE32-E72D297353CC}">
              <c16:uniqueId val="{00000001-254E-4BE6-AF0D-52F759216043}"/>
            </c:ext>
          </c:extLst>
        </c:ser>
        <c:ser>
          <c:idx val="2"/>
          <c:order val="2"/>
          <c:tx>
            <c:strRef>
              <c:f>Poverty!$C$250</c:f>
              <c:strCache>
                <c:ptCount val="1"/>
                <c:pt idx="0">
                  <c:v>Chittagong Hill Tracts</c:v>
                </c:pt>
              </c:strCache>
            </c:strRef>
          </c:tx>
          <c:cat>
            <c:strRef>
              <c:f>Poverty!$D$247:$H$247</c:f>
              <c:strCache>
                <c:ptCount val="5"/>
                <c:pt idx="0">
                  <c:v> 1st</c:v>
                </c:pt>
                <c:pt idx="1">
                  <c:v>2nd</c:v>
                </c:pt>
                <c:pt idx="2">
                  <c:v>3rd</c:v>
                </c:pt>
                <c:pt idx="3">
                  <c:v>4th</c:v>
                </c:pt>
                <c:pt idx="4">
                  <c:v>5th</c:v>
                </c:pt>
              </c:strCache>
            </c:strRef>
          </c:cat>
          <c:val>
            <c:numRef>
              <c:f>Poverty!$D$250:$H$250</c:f>
              <c:numCache>
                <c:formatCode>0.0</c:formatCode>
                <c:ptCount val="5"/>
                <c:pt idx="0">
                  <c:v>8.8987621633841485</c:v>
                </c:pt>
                <c:pt idx="1">
                  <c:v>12.299254994082569</c:v>
                </c:pt>
                <c:pt idx="2">
                  <c:v>15.80621620097477</c:v>
                </c:pt>
                <c:pt idx="3">
                  <c:v>21.195215911284595</c:v>
                </c:pt>
                <c:pt idx="4">
                  <c:v>41.800550730273962</c:v>
                </c:pt>
              </c:numCache>
            </c:numRef>
          </c:val>
          <c:extLst xmlns:c16r2="http://schemas.microsoft.com/office/drawing/2015/06/chart">
            <c:ext xmlns:c16="http://schemas.microsoft.com/office/drawing/2014/chart" uri="{C3380CC4-5D6E-409C-BE32-E72D297353CC}">
              <c16:uniqueId val="{00000002-254E-4BE6-AF0D-52F759216043}"/>
            </c:ext>
          </c:extLst>
        </c:ser>
        <c:ser>
          <c:idx val="3"/>
          <c:order val="3"/>
          <c:tx>
            <c:strRef>
              <c:f>Poverty!$C$251</c:f>
              <c:strCache>
                <c:ptCount val="1"/>
                <c:pt idx="0">
                  <c:v>Urban Areas</c:v>
                </c:pt>
              </c:strCache>
            </c:strRef>
          </c:tx>
          <c:cat>
            <c:strRef>
              <c:f>Poverty!$D$247:$H$247</c:f>
              <c:strCache>
                <c:ptCount val="5"/>
                <c:pt idx="0">
                  <c:v> 1st</c:v>
                </c:pt>
                <c:pt idx="1">
                  <c:v>2nd</c:v>
                </c:pt>
                <c:pt idx="2">
                  <c:v>3rd</c:v>
                </c:pt>
                <c:pt idx="3">
                  <c:v>4th</c:v>
                </c:pt>
                <c:pt idx="4">
                  <c:v>5th</c:v>
                </c:pt>
              </c:strCache>
            </c:strRef>
          </c:cat>
          <c:val>
            <c:numRef>
              <c:f>Poverty!$D$251:$H$251</c:f>
              <c:numCache>
                <c:formatCode>0.0</c:formatCode>
                <c:ptCount val="5"/>
                <c:pt idx="0">
                  <c:v>8.1246155437129683</c:v>
                </c:pt>
                <c:pt idx="1">
                  <c:v>10.848760694186851</c:v>
                </c:pt>
                <c:pt idx="2">
                  <c:v>15.155907841918626</c:v>
                </c:pt>
                <c:pt idx="3">
                  <c:v>21.520165351367027</c:v>
                </c:pt>
                <c:pt idx="4">
                  <c:v>44.350550568813944</c:v>
                </c:pt>
              </c:numCache>
            </c:numRef>
          </c:val>
          <c:extLst xmlns:c16r2="http://schemas.microsoft.com/office/drawing/2015/06/chart">
            <c:ext xmlns:c16="http://schemas.microsoft.com/office/drawing/2014/chart" uri="{C3380CC4-5D6E-409C-BE32-E72D297353CC}">
              <c16:uniqueId val="{00000003-254E-4BE6-AF0D-52F759216043}"/>
            </c:ext>
          </c:extLst>
        </c:ser>
        <c:ser>
          <c:idx val="4"/>
          <c:order val="4"/>
          <c:tx>
            <c:strRef>
              <c:f>Poverty!$C$252</c:f>
              <c:strCache>
                <c:ptCount val="1"/>
                <c:pt idx="0">
                  <c:v>Drought Prone</c:v>
                </c:pt>
              </c:strCache>
            </c:strRef>
          </c:tx>
          <c:cat>
            <c:strRef>
              <c:f>Poverty!$D$247:$H$247</c:f>
              <c:strCache>
                <c:ptCount val="5"/>
                <c:pt idx="0">
                  <c:v> 1st</c:v>
                </c:pt>
                <c:pt idx="1">
                  <c:v>2nd</c:v>
                </c:pt>
                <c:pt idx="2">
                  <c:v>3rd</c:v>
                </c:pt>
                <c:pt idx="3">
                  <c:v>4th</c:v>
                </c:pt>
                <c:pt idx="4">
                  <c:v>5th</c:v>
                </c:pt>
              </c:strCache>
            </c:strRef>
          </c:cat>
          <c:val>
            <c:numRef>
              <c:f>Poverty!$D$252:$H$252</c:f>
              <c:numCache>
                <c:formatCode>0.0</c:formatCode>
                <c:ptCount val="5"/>
                <c:pt idx="0">
                  <c:v>7.4653489859732911</c:v>
                </c:pt>
                <c:pt idx="1">
                  <c:v>11.004888468414253</c:v>
                </c:pt>
                <c:pt idx="2">
                  <c:v>14.483207436552407</c:v>
                </c:pt>
                <c:pt idx="3">
                  <c:v>20.844988006522893</c:v>
                </c:pt>
                <c:pt idx="4">
                  <c:v>46.201567102537275</c:v>
                </c:pt>
              </c:numCache>
            </c:numRef>
          </c:val>
          <c:extLst xmlns:c16r2="http://schemas.microsoft.com/office/drawing/2015/06/chart">
            <c:ext xmlns:c16="http://schemas.microsoft.com/office/drawing/2014/chart" uri="{C3380CC4-5D6E-409C-BE32-E72D297353CC}">
              <c16:uniqueId val="{00000004-254E-4BE6-AF0D-52F759216043}"/>
            </c:ext>
          </c:extLst>
        </c:ser>
        <c:ser>
          <c:idx val="5"/>
          <c:order val="5"/>
          <c:tx>
            <c:strRef>
              <c:f>Poverty!$C$253</c:f>
              <c:strCache>
                <c:ptCount val="1"/>
                <c:pt idx="0">
                  <c:v>Rivers and Estuary</c:v>
                </c:pt>
              </c:strCache>
            </c:strRef>
          </c:tx>
          <c:cat>
            <c:strRef>
              <c:f>Poverty!$D$247:$H$247</c:f>
              <c:strCache>
                <c:ptCount val="5"/>
                <c:pt idx="0">
                  <c:v> 1st</c:v>
                </c:pt>
                <c:pt idx="1">
                  <c:v>2nd</c:v>
                </c:pt>
                <c:pt idx="2">
                  <c:v>3rd</c:v>
                </c:pt>
                <c:pt idx="3">
                  <c:v>4th</c:v>
                </c:pt>
                <c:pt idx="4">
                  <c:v>5th</c:v>
                </c:pt>
              </c:strCache>
            </c:strRef>
          </c:cat>
          <c:val>
            <c:numRef>
              <c:f>Poverty!$D$253:$H$253</c:f>
              <c:numCache>
                <c:formatCode>0.0</c:formatCode>
                <c:ptCount val="5"/>
                <c:pt idx="0">
                  <c:v>9.5132255846061682</c:v>
                </c:pt>
                <c:pt idx="1">
                  <c:v>13.246667949833798</c:v>
                </c:pt>
                <c:pt idx="2">
                  <c:v>16.735416607399529</c:v>
                </c:pt>
                <c:pt idx="3">
                  <c:v>21.808900944377406</c:v>
                </c:pt>
                <c:pt idx="4">
                  <c:v>38.695788913783062</c:v>
                </c:pt>
              </c:numCache>
            </c:numRef>
          </c:val>
          <c:extLst xmlns:c16r2="http://schemas.microsoft.com/office/drawing/2015/06/chart">
            <c:ext xmlns:c16="http://schemas.microsoft.com/office/drawing/2014/chart" uri="{C3380CC4-5D6E-409C-BE32-E72D297353CC}">
              <c16:uniqueId val="{00000005-254E-4BE6-AF0D-52F759216043}"/>
            </c:ext>
          </c:extLst>
        </c:ser>
        <c:ser>
          <c:idx val="6"/>
          <c:order val="6"/>
          <c:tx>
            <c:strRef>
              <c:f>Poverty!$C$254</c:f>
              <c:strCache>
                <c:ptCount val="1"/>
                <c:pt idx="0">
                  <c:v>Non Delta</c:v>
                </c:pt>
              </c:strCache>
            </c:strRef>
          </c:tx>
          <c:cat>
            <c:strRef>
              <c:f>Poverty!$D$247:$H$247</c:f>
              <c:strCache>
                <c:ptCount val="5"/>
                <c:pt idx="0">
                  <c:v> 1st</c:v>
                </c:pt>
                <c:pt idx="1">
                  <c:v>2nd</c:v>
                </c:pt>
                <c:pt idx="2">
                  <c:v>3rd</c:v>
                </c:pt>
                <c:pt idx="3">
                  <c:v>4th</c:v>
                </c:pt>
                <c:pt idx="4">
                  <c:v>5th</c:v>
                </c:pt>
              </c:strCache>
            </c:strRef>
          </c:cat>
          <c:val>
            <c:numRef>
              <c:f>Poverty!$D$254:$H$254</c:f>
              <c:numCache>
                <c:formatCode>0.0</c:formatCode>
                <c:ptCount val="5"/>
                <c:pt idx="0">
                  <c:v>8.5849059739362126</c:v>
                </c:pt>
                <c:pt idx="1">
                  <c:v>12.099754131354825</c:v>
                </c:pt>
                <c:pt idx="2">
                  <c:v>15.758208881988381</c:v>
                </c:pt>
                <c:pt idx="3">
                  <c:v>21.472538686139405</c:v>
                </c:pt>
                <c:pt idx="4">
                  <c:v>42.084592326580619</c:v>
                </c:pt>
              </c:numCache>
            </c:numRef>
          </c:val>
          <c:extLst xmlns:c16r2="http://schemas.microsoft.com/office/drawing/2015/06/chart">
            <c:ext xmlns:c16="http://schemas.microsoft.com/office/drawing/2014/chart" uri="{C3380CC4-5D6E-409C-BE32-E72D297353CC}">
              <c16:uniqueId val="{00000006-254E-4BE6-AF0D-52F759216043}"/>
            </c:ext>
          </c:extLst>
        </c:ser>
        <c:ser>
          <c:idx val="7"/>
          <c:order val="7"/>
          <c:tx>
            <c:strRef>
              <c:f>Poverty!$C$255</c:f>
              <c:strCache>
                <c:ptCount val="1"/>
                <c:pt idx="0">
                  <c:v>Bangladesh</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Poverty!$D$247:$H$247</c:f>
              <c:strCache>
                <c:ptCount val="5"/>
                <c:pt idx="0">
                  <c:v> 1st</c:v>
                </c:pt>
                <c:pt idx="1">
                  <c:v>2nd</c:v>
                </c:pt>
                <c:pt idx="2">
                  <c:v>3rd</c:v>
                </c:pt>
                <c:pt idx="3">
                  <c:v>4th</c:v>
                </c:pt>
                <c:pt idx="4">
                  <c:v>5th</c:v>
                </c:pt>
              </c:strCache>
            </c:strRef>
          </c:cat>
          <c:val>
            <c:numRef>
              <c:f>Poverty!$D$255:$H$255</c:f>
              <c:numCache>
                <c:formatCode>0.0</c:formatCode>
                <c:ptCount val="5"/>
                <c:pt idx="0">
                  <c:v>8.6913080541269085</c:v>
                </c:pt>
                <c:pt idx="1">
                  <c:v>12.102103981112718</c:v>
                </c:pt>
                <c:pt idx="2">
                  <c:v>15.636459849394036</c:v>
                </c:pt>
                <c:pt idx="3">
                  <c:v>21.331037436897848</c:v>
                </c:pt>
                <c:pt idx="4">
                  <c:v>42.239090678468486</c:v>
                </c:pt>
              </c:numCache>
            </c:numRef>
          </c:val>
          <c:extLst xmlns:c16r2="http://schemas.microsoft.com/office/drawing/2015/06/chart">
            <c:ext xmlns:c16="http://schemas.microsoft.com/office/drawing/2014/chart" uri="{C3380CC4-5D6E-409C-BE32-E72D297353CC}">
              <c16:uniqueId val="{00000007-254E-4BE6-AF0D-52F759216043}"/>
            </c:ext>
          </c:extLst>
        </c:ser>
        <c:axId val="343523328"/>
        <c:axId val="343524864"/>
      </c:barChart>
      <c:catAx>
        <c:axId val="343523328"/>
        <c:scaling>
          <c:orientation val="minMax"/>
        </c:scaling>
        <c:axPos val="b"/>
        <c:numFmt formatCode="General" sourceLinked="0"/>
        <c:tickLblPos val="nextTo"/>
        <c:crossAx val="343524864"/>
        <c:crosses val="autoZero"/>
        <c:auto val="1"/>
        <c:lblAlgn val="ctr"/>
        <c:lblOffset val="100"/>
      </c:catAx>
      <c:valAx>
        <c:axId val="343524864"/>
        <c:scaling>
          <c:orientation val="minMax"/>
        </c:scaling>
        <c:axPos val="l"/>
        <c:majorGridlines/>
        <c:numFmt formatCode="0.0" sourceLinked="1"/>
        <c:tickLblPos val="nextTo"/>
        <c:crossAx val="343523328"/>
        <c:crosses val="autoZero"/>
        <c:crossBetween val="between"/>
      </c:valAx>
    </c:plotArea>
    <c:legend>
      <c:legendPos val="b"/>
      <c:layout>
        <c:manualLayout>
          <c:xMode val="edge"/>
          <c:yMode val="edge"/>
          <c:x val="0.13895103304668391"/>
          <c:y val="0.81225449675636952"/>
          <c:w val="0.72713276701207052"/>
          <c:h val="0.16421609874445295"/>
        </c:manualLayout>
      </c:layout>
      <c:txPr>
        <a:bodyPr/>
        <a:lstStyle/>
        <a:p>
          <a:pPr>
            <a:defRPr sz="800"/>
          </a:pPr>
          <a:endParaRPr lang="en-US"/>
        </a:p>
      </c:txPr>
    </c:legend>
    <c:plotVisOnly val="1"/>
    <c:dispBlanksAs val="gap"/>
  </c:chart>
  <c:spPr>
    <a:noFill/>
    <a:ln>
      <a:noFill/>
    </a:ln>
  </c:spPr>
  <c:txPr>
    <a:bodyPr/>
    <a:lstStyle/>
    <a:p>
      <a:pPr>
        <a:defRPr sz="900" b="1"/>
      </a:pPr>
      <a:endParaRPr lang="en-US"/>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lang val="en-AU"/>
  <c:chart>
    <c:title>
      <c:tx>
        <c:rich>
          <a:bodyPr/>
          <a:lstStyle/>
          <a:p>
            <a:pPr>
              <a:defRPr sz="900"/>
            </a:pPr>
            <a:r>
              <a:rPr lang="en-US" sz="900"/>
              <a:t>(In Billion</a:t>
            </a:r>
            <a:r>
              <a:rPr lang="en-US" sz="900" baseline="0"/>
              <a:t> of </a:t>
            </a:r>
            <a:r>
              <a:rPr lang="en-US" sz="900"/>
              <a:t>Taka)</a:t>
            </a:r>
          </a:p>
          <a:p>
            <a:pPr>
              <a:defRPr sz="900"/>
            </a:pPr>
            <a:endParaRPr lang="en-US" sz="900"/>
          </a:p>
        </c:rich>
      </c:tx>
      <c:layout>
        <c:manualLayout>
          <c:xMode val="edge"/>
          <c:yMode val="edge"/>
          <c:x val="0.38798884514436349"/>
          <c:y val="2.3148148148148147E-2"/>
        </c:manualLayout>
      </c:layout>
    </c:title>
    <c:plotArea>
      <c:layout>
        <c:manualLayout>
          <c:layoutTarget val="inner"/>
          <c:xMode val="edge"/>
          <c:yMode val="edge"/>
          <c:x val="0.1144186612435035"/>
          <c:y val="0.14413573303337091"/>
          <c:w val="0.8370162173437008"/>
          <c:h val="0.58118193559138442"/>
        </c:manualLayout>
      </c:layout>
      <c:barChart>
        <c:barDir val="col"/>
        <c:grouping val="clustered"/>
        <c:ser>
          <c:idx val="0"/>
          <c:order val="0"/>
          <c:tx>
            <c:strRef>
              <c:f>'Water Ex.'!$A$8</c:f>
              <c:strCache>
                <c:ptCount val="1"/>
                <c:pt idx="0">
                  <c:v> Water Resource( Irrigation, FCD, etc)</c:v>
                </c:pt>
              </c:strCache>
            </c:strRef>
          </c:tx>
          <c:cat>
            <c:strRef>
              <c:f>'Water Ex.'!$B$2:$G$4</c:f>
              <c:strCache>
                <c:ptCount val="6"/>
                <c:pt idx="0">
                  <c:v>FY12</c:v>
                </c:pt>
                <c:pt idx="1">
                  <c:v>FY13</c:v>
                </c:pt>
                <c:pt idx="2">
                  <c:v>FY14</c:v>
                </c:pt>
                <c:pt idx="3">
                  <c:v>FY15</c:v>
                </c:pt>
                <c:pt idx="4">
                  <c:v>FY16R</c:v>
                </c:pt>
                <c:pt idx="5">
                  <c:v>FY17B</c:v>
                </c:pt>
              </c:strCache>
            </c:strRef>
          </c:cat>
          <c:val>
            <c:numRef>
              <c:f>'Water Ex.'!$B$8:$G$8</c:f>
              <c:numCache>
                <c:formatCode>0</c:formatCode>
                <c:ptCount val="6"/>
                <c:pt idx="0">
                  <c:v>21.34</c:v>
                </c:pt>
                <c:pt idx="1">
                  <c:v>24.810000000000031</c:v>
                </c:pt>
                <c:pt idx="2">
                  <c:v>27.43</c:v>
                </c:pt>
                <c:pt idx="3">
                  <c:v>28.419999999999987</c:v>
                </c:pt>
                <c:pt idx="4">
                  <c:v>37.910000000000004</c:v>
                </c:pt>
                <c:pt idx="5">
                  <c:v>47.13</c:v>
                </c:pt>
              </c:numCache>
            </c:numRef>
          </c:val>
          <c:extLst xmlns:c16r2="http://schemas.microsoft.com/office/drawing/2015/06/chart">
            <c:ext xmlns:c16="http://schemas.microsoft.com/office/drawing/2014/chart" uri="{C3380CC4-5D6E-409C-BE32-E72D297353CC}">
              <c16:uniqueId val="{00000000-7A6F-4265-886F-7CD5E0084E25}"/>
            </c:ext>
          </c:extLst>
        </c:ser>
        <c:ser>
          <c:idx val="1"/>
          <c:order val="1"/>
          <c:tx>
            <c:strRef>
              <c:f>'Water Ex.'!$A$9</c:f>
              <c:strCache>
                <c:ptCount val="1"/>
                <c:pt idx="0">
                  <c:v>Transport and communication</c:v>
                </c:pt>
              </c:strCache>
            </c:strRef>
          </c:tx>
          <c:cat>
            <c:strRef>
              <c:f>'Water Ex.'!$B$2:$G$4</c:f>
              <c:strCache>
                <c:ptCount val="6"/>
                <c:pt idx="0">
                  <c:v>FY12</c:v>
                </c:pt>
                <c:pt idx="1">
                  <c:v>FY13</c:v>
                </c:pt>
                <c:pt idx="2">
                  <c:v>FY14</c:v>
                </c:pt>
                <c:pt idx="3">
                  <c:v>FY15</c:v>
                </c:pt>
                <c:pt idx="4">
                  <c:v>FY16R</c:v>
                </c:pt>
                <c:pt idx="5">
                  <c:v>FY17B</c:v>
                </c:pt>
              </c:strCache>
            </c:strRef>
          </c:cat>
          <c:val>
            <c:numRef>
              <c:f>'Water Ex.'!$B$9:$G$9</c:f>
            </c:numRef>
          </c:val>
          <c:extLst xmlns:c16r2="http://schemas.microsoft.com/office/drawing/2015/06/chart">
            <c:ext xmlns:c16="http://schemas.microsoft.com/office/drawing/2014/chart" uri="{C3380CC4-5D6E-409C-BE32-E72D297353CC}">
              <c16:uniqueId val="{00000001-7A6F-4265-886F-7CD5E0084E25}"/>
            </c:ext>
          </c:extLst>
        </c:ser>
        <c:ser>
          <c:idx val="2"/>
          <c:order val="2"/>
          <c:tx>
            <c:strRef>
              <c:f>'Water Ex.'!$A$10</c:f>
              <c:strCache>
                <c:ptCount val="1"/>
                <c:pt idx="0">
                  <c:v> Inland Water Transport</c:v>
                </c:pt>
              </c:strCache>
            </c:strRef>
          </c:tx>
          <c:cat>
            <c:strRef>
              <c:f>'Water Ex.'!$B$2:$G$4</c:f>
              <c:strCache>
                <c:ptCount val="6"/>
                <c:pt idx="0">
                  <c:v>FY12</c:v>
                </c:pt>
                <c:pt idx="1">
                  <c:v>FY13</c:v>
                </c:pt>
                <c:pt idx="2">
                  <c:v>FY14</c:v>
                </c:pt>
                <c:pt idx="3">
                  <c:v>FY15</c:v>
                </c:pt>
                <c:pt idx="4">
                  <c:v>FY16R</c:v>
                </c:pt>
                <c:pt idx="5">
                  <c:v>FY17B</c:v>
                </c:pt>
              </c:strCache>
            </c:strRef>
          </c:cat>
          <c:val>
            <c:numRef>
              <c:f>'Water Ex.'!$B$10:$G$10</c:f>
              <c:numCache>
                <c:formatCode>0.0</c:formatCode>
                <c:ptCount val="6"/>
                <c:pt idx="0">
                  <c:v>11.2</c:v>
                </c:pt>
                <c:pt idx="1">
                  <c:v>16.5</c:v>
                </c:pt>
                <c:pt idx="2">
                  <c:v>24.8</c:v>
                </c:pt>
                <c:pt idx="3">
                  <c:v>28.8</c:v>
                </c:pt>
                <c:pt idx="4">
                  <c:v>34.5</c:v>
                </c:pt>
                <c:pt idx="5">
                  <c:v>42.4</c:v>
                </c:pt>
              </c:numCache>
            </c:numRef>
          </c:val>
          <c:extLst xmlns:c16r2="http://schemas.microsoft.com/office/drawing/2015/06/chart">
            <c:ext xmlns:c16="http://schemas.microsoft.com/office/drawing/2014/chart" uri="{C3380CC4-5D6E-409C-BE32-E72D297353CC}">
              <c16:uniqueId val="{00000002-7A6F-4265-886F-7CD5E0084E25}"/>
            </c:ext>
          </c:extLst>
        </c:ser>
        <c:ser>
          <c:idx val="3"/>
          <c:order val="3"/>
          <c:tx>
            <c:strRef>
              <c:f>'Water Ex.'!$A$11</c:f>
              <c:strCache>
                <c:ptCount val="1"/>
                <c:pt idx="0">
                  <c:v>Local government and rural development</c:v>
                </c:pt>
              </c:strCache>
            </c:strRef>
          </c:tx>
          <c:cat>
            <c:strRef>
              <c:f>'Water Ex.'!$B$2:$G$4</c:f>
              <c:strCache>
                <c:ptCount val="6"/>
                <c:pt idx="0">
                  <c:v>FY12</c:v>
                </c:pt>
                <c:pt idx="1">
                  <c:v>FY13</c:v>
                </c:pt>
                <c:pt idx="2">
                  <c:v>FY14</c:v>
                </c:pt>
                <c:pt idx="3">
                  <c:v>FY15</c:v>
                </c:pt>
                <c:pt idx="4">
                  <c:v>FY16R</c:v>
                </c:pt>
                <c:pt idx="5">
                  <c:v>FY17B</c:v>
                </c:pt>
              </c:strCache>
            </c:strRef>
          </c:cat>
          <c:val>
            <c:numRef>
              <c:f>'Water Ex.'!$B$11:$G$11</c:f>
            </c:numRef>
          </c:val>
          <c:extLst xmlns:c16r2="http://schemas.microsoft.com/office/drawing/2015/06/chart">
            <c:ext xmlns:c16="http://schemas.microsoft.com/office/drawing/2014/chart" uri="{C3380CC4-5D6E-409C-BE32-E72D297353CC}">
              <c16:uniqueId val="{00000003-7A6F-4265-886F-7CD5E0084E25}"/>
            </c:ext>
          </c:extLst>
        </c:ser>
        <c:ser>
          <c:idx val="4"/>
          <c:order val="4"/>
          <c:tx>
            <c:strRef>
              <c:f>'Water Ex.'!$A$12</c:f>
              <c:strCache>
                <c:ptCount val="1"/>
                <c:pt idx="0">
                  <c:v> Water supply and sanitation</c:v>
                </c:pt>
              </c:strCache>
            </c:strRef>
          </c:tx>
          <c:cat>
            <c:strRef>
              <c:f>'Water Ex.'!$B$2:$G$4</c:f>
              <c:strCache>
                <c:ptCount val="6"/>
                <c:pt idx="0">
                  <c:v>FY12</c:v>
                </c:pt>
                <c:pt idx="1">
                  <c:v>FY13</c:v>
                </c:pt>
                <c:pt idx="2">
                  <c:v>FY14</c:v>
                </c:pt>
                <c:pt idx="3">
                  <c:v>FY15</c:v>
                </c:pt>
                <c:pt idx="4">
                  <c:v>FY16R</c:v>
                </c:pt>
                <c:pt idx="5">
                  <c:v>FY17B</c:v>
                </c:pt>
              </c:strCache>
            </c:strRef>
          </c:cat>
          <c:val>
            <c:numRef>
              <c:f>'Water Ex.'!$B$12:$G$12</c:f>
              <c:numCache>
                <c:formatCode>0.0</c:formatCode>
                <c:ptCount val="6"/>
                <c:pt idx="0">
                  <c:v>24.806855000000301</c:v>
                </c:pt>
                <c:pt idx="1">
                  <c:v>27.652529999999889</c:v>
                </c:pt>
                <c:pt idx="2">
                  <c:v>29.681899999999999</c:v>
                </c:pt>
                <c:pt idx="3">
                  <c:v>38.083600000000004</c:v>
                </c:pt>
                <c:pt idx="4">
                  <c:v>58.2</c:v>
                </c:pt>
                <c:pt idx="5">
                  <c:v>68.5</c:v>
                </c:pt>
              </c:numCache>
            </c:numRef>
          </c:val>
          <c:extLst xmlns:c16r2="http://schemas.microsoft.com/office/drawing/2015/06/chart">
            <c:ext xmlns:c16="http://schemas.microsoft.com/office/drawing/2014/chart" uri="{C3380CC4-5D6E-409C-BE32-E72D297353CC}">
              <c16:uniqueId val="{00000004-7A6F-4265-886F-7CD5E0084E25}"/>
            </c:ext>
          </c:extLst>
        </c:ser>
        <c:gapWidth val="75"/>
        <c:overlap val="-25"/>
        <c:axId val="368483328"/>
        <c:axId val="368489216"/>
      </c:barChart>
      <c:catAx>
        <c:axId val="368483328"/>
        <c:scaling>
          <c:orientation val="minMax"/>
        </c:scaling>
        <c:axPos val="b"/>
        <c:numFmt formatCode="General" sourceLinked="0"/>
        <c:majorTickMark val="none"/>
        <c:tickLblPos val="nextTo"/>
        <c:crossAx val="368489216"/>
        <c:crosses val="autoZero"/>
        <c:auto val="1"/>
        <c:lblAlgn val="ctr"/>
        <c:lblOffset val="100"/>
      </c:catAx>
      <c:valAx>
        <c:axId val="368489216"/>
        <c:scaling>
          <c:orientation val="minMax"/>
        </c:scaling>
        <c:axPos val="l"/>
        <c:majorGridlines/>
        <c:numFmt formatCode="0" sourceLinked="1"/>
        <c:majorTickMark val="none"/>
        <c:tickLblPos val="nextTo"/>
        <c:spPr>
          <a:ln w="9525">
            <a:noFill/>
          </a:ln>
        </c:spPr>
        <c:crossAx val="368483328"/>
        <c:crosses val="autoZero"/>
        <c:crossBetween val="between"/>
      </c:valAx>
    </c:plotArea>
    <c:legend>
      <c:legendPos val="b"/>
      <c:layout>
        <c:manualLayout>
          <c:xMode val="edge"/>
          <c:yMode val="edge"/>
          <c:x val="8.5539622116771866E-2"/>
          <c:y val="0.83856024604853963"/>
          <c:w val="0.9128056178408247"/>
          <c:h val="0.11143963254593175"/>
        </c:manualLayout>
      </c:layout>
    </c:legend>
    <c:plotVisOnly val="1"/>
    <c:dispBlanksAs val="gap"/>
  </c:chart>
  <c:spPr>
    <a:ln w="15875">
      <a:solidFill>
        <a:schemeClr val="tx1"/>
      </a:solidFill>
    </a:ln>
  </c:spPr>
  <c:txPr>
    <a:bodyPr/>
    <a:lstStyle/>
    <a:p>
      <a:pPr>
        <a:defRPr sz="700" b="1"/>
      </a:pPr>
      <a:endParaRPr lang="en-US"/>
    </a:p>
  </c:tx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lang val="en-AU"/>
  <c:chart>
    <c:autoTitleDeleted val="1"/>
    <c:plotArea>
      <c:layout>
        <c:manualLayout>
          <c:layoutTarget val="inner"/>
          <c:xMode val="edge"/>
          <c:yMode val="edge"/>
          <c:x val="0.13020059377823673"/>
          <c:y val="0.1307936507936508"/>
          <c:w val="0.82171197452778066"/>
          <c:h val="0.51044786068408265"/>
        </c:manualLayout>
      </c:layout>
      <c:lineChart>
        <c:grouping val="standard"/>
        <c:ser>
          <c:idx val="0"/>
          <c:order val="0"/>
          <c:tx>
            <c:strRef>
              <c:f>'Water Ex.'!$A$15</c:f>
              <c:strCache>
                <c:ptCount val="1"/>
                <c:pt idx="0">
                  <c:v>Total expenditure</c:v>
                </c:pt>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Ex.'!$B$15:$G$15</c:f>
            </c:numRef>
          </c:val>
          <c:extLst xmlns:c16r2="http://schemas.microsoft.com/office/drawing/2015/06/chart">
            <c:ext xmlns:c16="http://schemas.microsoft.com/office/drawing/2014/chart" uri="{C3380CC4-5D6E-409C-BE32-E72D297353CC}">
              <c16:uniqueId val="{00000000-897D-4A0B-85FE-79F377CBEE41}"/>
            </c:ext>
          </c:extLst>
        </c:ser>
        <c:ser>
          <c:idx val="1"/>
          <c:order val="1"/>
          <c:tx>
            <c:strRef>
              <c:f>'Water Ex.'!$A$16</c:f>
              <c:strCache>
                <c:ptCount val="1"/>
                <c:pt idx="0">
                  <c:v>  WATER Related Expenditures (% of GDP)</c:v>
                </c:pt>
              </c:strCache>
            </c:strRef>
          </c:tx>
          <c:marker>
            <c:symbol val="none"/>
          </c:marker>
          <c:dLbls>
            <c:dLbl>
              <c:idx val="0"/>
              <c:layout>
                <c:manualLayout>
                  <c:x val="-4.6427780044930922E-2"/>
                  <c:y val="-4.9741598271968987E-2"/>
                </c:manualLayout>
              </c:layout>
              <c:dLblPos val="r"/>
              <c:showVal val="1"/>
              <c:extLst xmlns:c16r2="http://schemas.microsoft.com/office/drawing/2015/06/chart">
                <c:ext xmlns:c16="http://schemas.microsoft.com/office/drawing/2014/chart" uri="{C3380CC4-5D6E-409C-BE32-E72D297353CC}">
                  <c16:uniqueId val="{00000001-897D-4A0B-85FE-79F377CBEE41}"/>
                </c:ext>
                <c:ext xmlns:c15="http://schemas.microsoft.com/office/drawing/2012/chart" uri="{CE6537A1-D6FC-4f65-9D91-7224C49458BB}"/>
              </c:extLst>
            </c:dLbl>
            <c:dLbl>
              <c:idx val="1"/>
              <c:layout>
                <c:manualLayout>
                  <c:x val="-5.445676785193436E-2"/>
                  <c:y val="-4.9741598271968987E-2"/>
                </c:manualLayout>
              </c:layout>
              <c:dLblPos val="r"/>
              <c:showVal val="1"/>
              <c:extLst xmlns:c16r2="http://schemas.microsoft.com/office/drawing/2015/06/chart">
                <c:ext xmlns:c16="http://schemas.microsoft.com/office/drawing/2014/chart" uri="{C3380CC4-5D6E-409C-BE32-E72D297353CC}">
                  <c16:uniqueId val="{00000002-897D-4A0B-85FE-79F377CBEE41}"/>
                </c:ext>
                <c:ext xmlns:c15="http://schemas.microsoft.com/office/drawing/2012/chart" uri="{CE6537A1-D6FC-4f65-9D91-7224C49458BB}"/>
              </c:extLst>
            </c:dLbl>
            <c:dLbl>
              <c:idx val="2"/>
              <c:layout>
                <c:manualLayout>
                  <c:x val="-4.2413286141430813E-2"/>
                  <c:y val="-4.9741598271968987E-2"/>
                </c:manualLayout>
              </c:layout>
              <c:dLblPos val="r"/>
              <c:showVal val="1"/>
              <c:extLst xmlns:c16r2="http://schemas.microsoft.com/office/drawing/2015/06/chart">
                <c:ext xmlns:c16="http://schemas.microsoft.com/office/drawing/2014/chart" uri="{C3380CC4-5D6E-409C-BE32-E72D297353CC}">
                  <c16:uniqueId val="{00000003-897D-4A0B-85FE-79F377CBEE41}"/>
                </c:ext>
                <c:ext xmlns:c15="http://schemas.microsoft.com/office/drawing/2012/chart" uri="{CE6537A1-D6FC-4f65-9D91-7224C49458BB}"/>
              </c:extLst>
            </c:dLbl>
            <c:dLbl>
              <c:idx val="3"/>
              <c:layout>
                <c:manualLayout>
                  <c:x val="-5.445676785193436E-2"/>
                  <c:y val="-5.5959298055965181E-2"/>
                </c:manualLayout>
              </c:layout>
              <c:dLblPos val="r"/>
              <c:showVal val="1"/>
              <c:extLst xmlns:c16r2="http://schemas.microsoft.com/office/drawing/2015/06/chart">
                <c:ext xmlns:c16="http://schemas.microsoft.com/office/drawing/2014/chart" uri="{C3380CC4-5D6E-409C-BE32-E72D297353CC}">
                  <c16:uniqueId val="{00000004-897D-4A0B-85FE-79F377CBEE41}"/>
                </c:ext>
                <c:ext xmlns:c15="http://schemas.microsoft.com/office/drawing/2012/chart" uri="{CE6537A1-D6FC-4f65-9D91-7224C49458BB}"/>
              </c:extLst>
            </c:dLbl>
            <c:dLbl>
              <c:idx val="4"/>
              <c:layout>
                <c:manualLayout>
                  <c:x val="-5.445676785193436E-2"/>
                  <c:y val="-4.3523898487972675E-2"/>
                </c:manualLayout>
              </c:layout>
              <c:dLblPos val="r"/>
              <c:showVal val="1"/>
              <c:extLst xmlns:c16r2="http://schemas.microsoft.com/office/drawing/2015/06/chart">
                <c:ext xmlns:c16="http://schemas.microsoft.com/office/drawing/2014/chart" uri="{C3380CC4-5D6E-409C-BE32-E72D297353CC}">
                  <c16:uniqueId val="{00000005-897D-4A0B-85FE-79F377CBEE41}"/>
                </c:ext>
                <c:ext xmlns:c15="http://schemas.microsoft.com/office/drawing/2012/chart" uri="{CE6537A1-D6FC-4f65-9D91-7224C49458BB}"/>
              </c:extLst>
            </c:dLbl>
            <c:dLbl>
              <c:idx val="5"/>
              <c:layout>
                <c:manualLayout>
                  <c:x val="-5.445676785193436E-2"/>
                  <c:y val="-4.3523898487972675E-2"/>
                </c:manualLayout>
              </c:layout>
              <c:dLblPos val="r"/>
              <c:showVal val="1"/>
              <c:extLst xmlns:c16r2="http://schemas.microsoft.com/office/drawing/2015/06/chart">
                <c:ext xmlns:c16="http://schemas.microsoft.com/office/drawing/2014/chart" uri="{C3380CC4-5D6E-409C-BE32-E72D297353CC}">
                  <c16:uniqueId val="{00000006-897D-4A0B-85FE-79F377CBEE41}"/>
                </c:ext>
                <c:ext xmlns:c15="http://schemas.microsoft.com/office/drawing/2012/chart" uri="{CE6537A1-D6FC-4f65-9D91-7224C49458BB}"/>
              </c:extLst>
            </c:dLbl>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Ex.'!$B$16:$G$16</c:f>
              <c:numCache>
                <c:formatCode>0.0</c:formatCode>
                <c:ptCount val="6"/>
                <c:pt idx="0">
                  <c:v>0.54346699234998808</c:v>
                </c:pt>
                <c:pt idx="1">
                  <c:v>0.57520390835352264</c:v>
                </c:pt>
                <c:pt idx="2">
                  <c:v>0.60961322348493363</c:v>
                </c:pt>
                <c:pt idx="3">
                  <c:v>0.62873383199124944</c:v>
                </c:pt>
                <c:pt idx="4">
                  <c:v>0.75516054316516412</c:v>
                </c:pt>
                <c:pt idx="5">
                  <c:v>0.80295716681062956</c:v>
                </c:pt>
              </c:numCache>
            </c:numRef>
          </c:val>
          <c:extLst xmlns:c16r2="http://schemas.microsoft.com/office/drawing/2015/06/chart">
            <c:ext xmlns:c16="http://schemas.microsoft.com/office/drawing/2014/chart" uri="{C3380CC4-5D6E-409C-BE32-E72D297353CC}">
              <c16:uniqueId val="{00000007-897D-4A0B-85FE-79F377CBEE41}"/>
            </c:ext>
          </c:extLst>
        </c:ser>
        <c:ser>
          <c:idx val="2"/>
          <c:order val="2"/>
          <c:tx>
            <c:strRef>
              <c:f>'Water Ex.'!$A$17</c:f>
              <c:strCache>
                <c:ptCount val="1"/>
                <c:pt idx="0">
                  <c:v>Agriculture</c:v>
                </c:pt>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Ex.'!$B$17:$G$17</c:f>
            </c:numRef>
          </c:val>
          <c:extLst xmlns:c16r2="http://schemas.microsoft.com/office/drawing/2015/06/chart">
            <c:ext xmlns:c16="http://schemas.microsoft.com/office/drawing/2014/chart" uri="{C3380CC4-5D6E-409C-BE32-E72D297353CC}">
              <c16:uniqueId val="{00000008-897D-4A0B-85FE-79F377CBEE41}"/>
            </c:ext>
          </c:extLst>
        </c:ser>
        <c:ser>
          <c:idx val="3"/>
          <c:order val="3"/>
          <c:tx>
            <c:strRef>
              <c:f>'Water Ex.'!$A$18</c:f>
              <c:strCache>
                <c:ptCount val="1"/>
                <c:pt idx="0">
                  <c:v> Water Resource( Irrigation, FCD, etc)</c:v>
                </c:pt>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Ex.'!$B$18:$G$18</c:f>
            </c:numRef>
          </c:val>
          <c:extLst xmlns:c16r2="http://schemas.microsoft.com/office/drawing/2015/06/chart">
            <c:ext xmlns:c16="http://schemas.microsoft.com/office/drawing/2014/chart" uri="{C3380CC4-5D6E-409C-BE32-E72D297353CC}">
              <c16:uniqueId val="{00000009-897D-4A0B-85FE-79F377CBEE41}"/>
            </c:ext>
          </c:extLst>
        </c:ser>
        <c:ser>
          <c:idx val="4"/>
          <c:order val="4"/>
          <c:tx>
            <c:strRef>
              <c:f>'Water Ex.'!$A$19</c:f>
              <c:strCache>
                <c:ptCount val="1"/>
                <c:pt idx="0">
                  <c:v>Transport and communication</c:v>
                </c:pt>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Ex.'!$B$19:$G$19</c:f>
            </c:numRef>
          </c:val>
          <c:extLst xmlns:c16r2="http://schemas.microsoft.com/office/drawing/2015/06/chart">
            <c:ext xmlns:c16="http://schemas.microsoft.com/office/drawing/2014/chart" uri="{C3380CC4-5D6E-409C-BE32-E72D297353CC}">
              <c16:uniqueId val="{0000000A-897D-4A0B-85FE-79F377CBEE41}"/>
            </c:ext>
          </c:extLst>
        </c:ser>
        <c:ser>
          <c:idx val="5"/>
          <c:order val="5"/>
          <c:tx>
            <c:strRef>
              <c:f>'Water Ex.'!$A$20</c:f>
              <c:strCache>
                <c:ptCount val="1"/>
                <c:pt idx="0">
                  <c:v> Inland Water Transport</c:v>
                </c:pt>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Ex.'!$B$20:$G$20</c:f>
            </c:numRef>
          </c:val>
          <c:extLst xmlns:c16r2="http://schemas.microsoft.com/office/drawing/2015/06/chart">
            <c:ext xmlns:c16="http://schemas.microsoft.com/office/drawing/2014/chart" uri="{C3380CC4-5D6E-409C-BE32-E72D297353CC}">
              <c16:uniqueId val="{0000000B-897D-4A0B-85FE-79F377CBEE41}"/>
            </c:ext>
          </c:extLst>
        </c:ser>
        <c:ser>
          <c:idx val="6"/>
          <c:order val="6"/>
          <c:tx>
            <c:strRef>
              <c:f>'Water Ex.'!$A$21</c:f>
              <c:strCache>
                <c:ptCount val="1"/>
                <c:pt idx="0">
                  <c:v>Local government and rural development</c:v>
                </c:pt>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Ex.'!$B$21:$G$21</c:f>
            </c:numRef>
          </c:val>
          <c:extLst xmlns:c16r2="http://schemas.microsoft.com/office/drawing/2015/06/chart">
            <c:ext xmlns:c16="http://schemas.microsoft.com/office/drawing/2014/chart" uri="{C3380CC4-5D6E-409C-BE32-E72D297353CC}">
              <c16:uniqueId val="{0000000C-897D-4A0B-85FE-79F377CBEE41}"/>
            </c:ext>
          </c:extLst>
        </c:ser>
        <c:ser>
          <c:idx val="7"/>
          <c:order val="7"/>
          <c:tx>
            <c:strRef>
              <c:f>'Water Ex.'!$A$22</c:f>
              <c:strCache>
                <c:ptCount val="1"/>
                <c:pt idx="0">
                  <c:v> Water supply and sanitation</c:v>
                </c:pt>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Ex.'!$B$22:$G$22</c:f>
            </c:numRef>
          </c:val>
          <c:extLst xmlns:c16r2="http://schemas.microsoft.com/office/drawing/2015/06/chart">
            <c:ext xmlns:c16="http://schemas.microsoft.com/office/drawing/2014/chart" uri="{C3380CC4-5D6E-409C-BE32-E72D297353CC}">
              <c16:uniqueId val="{0000000D-897D-4A0B-85FE-79F377CBEE41}"/>
            </c:ext>
          </c:extLst>
        </c:ser>
        <c:ser>
          <c:idx val="8"/>
          <c:order val="8"/>
          <c:tx>
            <c:strRef>
              <c:f>'Water Ex.'!$A$23</c:f>
              <c:strCache>
                <c:ptCount val="1"/>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Ex.'!$B$23:$G$23</c:f>
            </c:numRef>
          </c:val>
          <c:extLst xmlns:c16r2="http://schemas.microsoft.com/office/drawing/2015/06/chart">
            <c:ext xmlns:c16="http://schemas.microsoft.com/office/drawing/2014/chart" uri="{C3380CC4-5D6E-409C-BE32-E72D297353CC}">
              <c16:uniqueId val="{0000000E-897D-4A0B-85FE-79F377CBEE41}"/>
            </c:ext>
          </c:extLst>
        </c:ser>
        <c:ser>
          <c:idx val="9"/>
          <c:order val="9"/>
          <c:tx>
            <c:strRef>
              <c:f>'Water Ex.'!$A$24</c:f>
              <c:strCache>
                <c:ptCount val="1"/>
                <c:pt idx="0">
                  <c:v>Total expenditure</c:v>
                </c:pt>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Ex.'!$B$24:$G$24</c:f>
            </c:numRef>
          </c:val>
          <c:extLst xmlns:c16r2="http://schemas.microsoft.com/office/drawing/2015/06/chart">
            <c:ext xmlns:c16="http://schemas.microsoft.com/office/drawing/2014/chart" uri="{C3380CC4-5D6E-409C-BE32-E72D297353CC}">
              <c16:uniqueId val="{0000000F-897D-4A0B-85FE-79F377CBEE41}"/>
            </c:ext>
          </c:extLst>
        </c:ser>
        <c:ser>
          <c:idx val="10"/>
          <c:order val="10"/>
          <c:tx>
            <c:strRef>
              <c:f>'Water Ex.'!$A$25</c:f>
              <c:strCache>
                <c:ptCount val="1"/>
                <c:pt idx="0">
                  <c:v>  WATER Related Expenditures (% of Total Expenditure)</c:v>
                </c:pt>
              </c:strCache>
            </c:strRef>
          </c:tx>
          <c:marker>
            <c:symbol val="none"/>
          </c:marker>
          <c:dLbls>
            <c:spPr>
              <a:noFill/>
              <a:ln>
                <a:noFill/>
              </a:ln>
              <a:effectLst/>
            </c:spPr>
            <c:dLblPos val="ctr"/>
            <c:showVal val="1"/>
            <c:extLst xmlns:c16r2="http://schemas.microsoft.com/office/drawing/2015/06/chart">
              <c:ext xmlns:c15="http://schemas.microsoft.com/office/drawing/2012/chart" uri="{CE6537A1-D6FC-4f65-9D91-7224C49458BB}">
                <c15:showLeaderLines val="0"/>
              </c:ext>
            </c:extLst>
          </c:dLbls>
          <c:cat>
            <c:strRef>
              <c:f>'Water Ex.'!$B$14:$G$14</c:f>
              <c:strCache>
                <c:ptCount val="6"/>
                <c:pt idx="0">
                  <c:v>FY12</c:v>
                </c:pt>
                <c:pt idx="1">
                  <c:v>FY13</c:v>
                </c:pt>
                <c:pt idx="2">
                  <c:v>FY14</c:v>
                </c:pt>
                <c:pt idx="3">
                  <c:v>FY15</c:v>
                </c:pt>
                <c:pt idx="4">
                  <c:v>FY16R</c:v>
                </c:pt>
                <c:pt idx="5">
                  <c:v>FY17B</c:v>
                </c:pt>
              </c:strCache>
            </c:strRef>
          </c:cat>
          <c:val>
            <c:numRef>
              <c:f>'Water Ex.'!$B$25:$G$25</c:f>
              <c:numCache>
                <c:formatCode>0.0</c:formatCode>
                <c:ptCount val="6"/>
                <c:pt idx="0">
                  <c:v>3.7624232384201552</c:v>
                </c:pt>
                <c:pt idx="1">
                  <c:v>3.9631132514611647</c:v>
                </c:pt>
                <c:pt idx="2">
                  <c:v>4.3522701309742038</c:v>
                </c:pt>
                <c:pt idx="3">
                  <c:v>4.6630590077306975</c:v>
                </c:pt>
                <c:pt idx="4">
                  <c:v>4.9367830211857324</c:v>
                </c:pt>
                <c:pt idx="5">
                  <c:v>4.6396852659238714</c:v>
                </c:pt>
              </c:numCache>
            </c:numRef>
          </c:val>
          <c:extLst xmlns:c16r2="http://schemas.microsoft.com/office/drawing/2015/06/chart">
            <c:ext xmlns:c16="http://schemas.microsoft.com/office/drawing/2014/chart" uri="{C3380CC4-5D6E-409C-BE32-E72D297353CC}">
              <c16:uniqueId val="{00000010-897D-4A0B-85FE-79F377CBEE41}"/>
            </c:ext>
          </c:extLst>
        </c:ser>
        <c:dLbls>
          <c:showVal val="1"/>
        </c:dLbls>
        <c:marker val="1"/>
        <c:axId val="360795520"/>
        <c:axId val="360850560"/>
      </c:lineChart>
      <c:catAx>
        <c:axId val="360795520"/>
        <c:scaling>
          <c:orientation val="minMax"/>
        </c:scaling>
        <c:axPos val="b"/>
        <c:numFmt formatCode="General" sourceLinked="0"/>
        <c:majorTickMark val="none"/>
        <c:tickLblPos val="nextTo"/>
        <c:crossAx val="360850560"/>
        <c:crosses val="autoZero"/>
        <c:auto val="1"/>
        <c:lblAlgn val="ctr"/>
        <c:lblOffset val="100"/>
      </c:catAx>
      <c:valAx>
        <c:axId val="360850560"/>
        <c:scaling>
          <c:orientation val="minMax"/>
        </c:scaling>
        <c:axPos val="l"/>
        <c:majorGridlines/>
        <c:numFmt formatCode="0.0" sourceLinked="1"/>
        <c:majorTickMark val="none"/>
        <c:tickLblPos val="nextTo"/>
        <c:spPr>
          <a:ln w="9525">
            <a:noFill/>
          </a:ln>
        </c:spPr>
        <c:crossAx val="360795520"/>
        <c:crosses val="autoZero"/>
        <c:crossBetween val="between"/>
      </c:valAx>
    </c:plotArea>
    <c:legend>
      <c:legendPos val="b"/>
      <c:layout>
        <c:manualLayout>
          <c:xMode val="edge"/>
          <c:yMode val="edge"/>
          <c:x val="4.0890151026203914E-2"/>
          <c:y val="0.76744073657460821"/>
          <c:w val="0.91302577341766711"/>
          <c:h val="0.19731700204141314"/>
        </c:manualLayout>
      </c:layout>
    </c:legend>
    <c:plotVisOnly val="1"/>
    <c:dispBlanksAs val="gap"/>
  </c:chart>
  <c:spPr>
    <a:ln w="15875">
      <a:solidFill>
        <a:sysClr val="windowText" lastClr="000000"/>
      </a:solidFill>
    </a:ln>
  </c:spPr>
  <c:txPr>
    <a:bodyPr/>
    <a:lstStyle/>
    <a:p>
      <a:pPr>
        <a:defRPr sz="800" b="1"/>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7.4849916487711804E-2"/>
          <c:y val="4.6421679999815633E-2"/>
          <c:w val="0.85695723130762502"/>
          <c:h val="0.64773226725208655"/>
        </c:manualLayout>
      </c:layout>
      <c:barChart>
        <c:barDir val="col"/>
        <c:grouping val="clustered"/>
        <c:ser>
          <c:idx val="0"/>
          <c:order val="0"/>
          <c:tx>
            <c:strRef>
              <c:f>Poverty!$C$237</c:f>
              <c:strCache>
                <c:ptCount val="1"/>
                <c:pt idx="0">
                  <c:v>Haor Region</c:v>
                </c:pt>
              </c:strCache>
            </c:strRef>
          </c:tx>
          <c:cat>
            <c:strRef>
              <c:f>Poverty!$D$236:$H$236</c:f>
              <c:strCache>
                <c:ptCount val="5"/>
                <c:pt idx="0">
                  <c:v> 1st</c:v>
                </c:pt>
                <c:pt idx="1">
                  <c:v>2nd</c:v>
                </c:pt>
                <c:pt idx="2">
                  <c:v>3rd</c:v>
                </c:pt>
                <c:pt idx="3">
                  <c:v>4th</c:v>
                </c:pt>
                <c:pt idx="4">
                  <c:v>5th</c:v>
                </c:pt>
              </c:strCache>
            </c:strRef>
          </c:cat>
          <c:val>
            <c:numRef>
              <c:f>Poverty!$D$237:$H$237</c:f>
              <c:numCache>
                <c:formatCode>0.0</c:formatCode>
                <c:ptCount val="5"/>
                <c:pt idx="0">
                  <c:v>8.2887758537901419</c:v>
                </c:pt>
                <c:pt idx="1">
                  <c:v>11.182739713621819</c:v>
                </c:pt>
                <c:pt idx="2">
                  <c:v>14.15157088297668</c:v>
                </c:pt>
                <c:pt idx="3">
                  <c:v>19.405478349055127</c:v>
                </c:pt>
                <c:pt idx="4">
                  <c:v>46.971435200556421</c:v>
                </c:pt>
              </c:numCache>
            </c:numRef>
          </c:val>
          <c:extLst xmlns:c16r2="http://schemas.microsoft.com/office/drawing/2015/06/chart">
            <c:ext xmlns:c16="http://schemas.microsoft.com/office/drawing/2014/chart" uri="{C3380CC4-5D6E-409C-BE32-E72D297353CC}">
              <c16:uniqueId val="{00000000-B0A3-4D87-9809-8E22CA194456}"/>
            </c:ext>
          </c:extLst>
        </c:ser>
        <c:ser>
          <c:idx val="1"/>
          <c:order val="1"/>
          <c:tx>
            <c:strRef>
              <c:f>Poverty!$C$238</c:f>
              <c:strCache>
                <c:ptCount val="1"/>
                <c:pt idx="0">
                  <c:v>Coastal Zone</c:v>
                </c:pt>
              </c:strCache>
            </c:strRef>
          </c:tx>
          <c:cat>
            <c:strRef>
              <c:f>Poverty!$D$236:$H$236</c:f>
              <c:strCache>
                <c:ptCount val="5"/>
                <c:pt idx="0">
                  <c:v> 1st</c:v>
                </c:pt>
                <c:pt idx="1">
                  <c:v>2nd</c:v>
                </c:pt>
                <c:pt idx="2">
                  <c:v>3rd</c:v>
                </c:pt>
                <c:pt idx="3">
                  <c:v>4th</c:v>
                </c:pt>
                <c:pt idx="4">
                  <c:v>5th</c:v>
                </c:pt>
              </c:strCache>
            </c:strRef>
          </c:cat>
          <c:val>
            <c:numRef>
              <c:f>Poverty!$D$238:$H$238</c:f>
              <c:numCache>
                <c:formatCode>0.0</c:formatCode>
                <c:ptCount val="5"/>
                <c:pt idx="0">
                  <c:v>9.4978377966394163</c:v>
                </c:pt>
                <c:pt idx="1">
                  <c:v>12.937766200835155</c:v>
                </c:pt>
                <c:pt idx="2">
                  <c:v>16.450093383051129</c:v>
                </c:pt>
                <c:pt idx="3">
                  <c:v>21.423783620328489</c:v>
                </c:pt>
                <c:pt idx="4">
                  <c:v>39.690518999146263</c:v>
                </c:pt>
              </c:numCache>
            </c:numRef>
          </c:val>
          <c:extLst xmlns:c16r2="http://schemas.microsoft.com/office/drawing/2015/06/chart">
            <c:ext xmlns:c16="http://schemas.microsoft.com/office/drawing/2014/chart" uri="{C3380CC4-5D6E-409C-BE32-E72D297353CC}">
              <c16:uniqueId val="{00000001-B0A3-4D87-9809-8E22CA194456}"/>
            </c:ext>
          </c:extLst>
        </c:ser>
        <c:ser>
          <c:idx val="2"/>
          <c:order val="2"/>
          <c:tx>
            <c:strRef>
              <c:f>Poverty!$C$239</c:f>
              <c:strCache>
                <c:ptCount val="1"/>
                <c:pt idx="0">
                  <c:v>Chittagong Hill Tracts</c:v>
                </c:pt>
              </c:strCache>
            </c:strRef>
          </c:tx>
          <c:cat>
            <c:strRef>
              <c:f>Poverty!$D$236:$H$236</c:f>
              <c:strCache>
                <c:ptCount val="5"/>
                <c:pt idx="0">
                  <c:v> 1st</c:v>
                </c:pt>
                <c:pt idx="1">
                  <c:v>2nd</c:v>
                </c:pt>
                <c:pt idx="2">
                  <c:v>3rd</c:v>
                </c:pt>
                <c:pt idx="3">
                  <c:v>4th</c:v>
                </c:pt>
                <c:pt idx="4">
                  <c:v>5th</c:v>
                </c:pt>
              </c:strCache>
            </c:strRef>
          </c:cat>
          <c:val>
            <c:numRef>
              <c:f>Poverty!$D$239:$H$239</c:f>
              <c:numCache>
                <c:formatCode>0.0</c:formatCode>
                <c:ptCount val="5"/>
                <c:pt idx="0">
                  <c:v>8.5531940054048068</c:v>
                </c:pt>
                <c:pt idx="1">
                  <c:v>12.292901254453561</c:v>
                </c:pt>
                <c:pt idx="2">
                  <c:v>15.808481060867082</c:v>
                </c:pt>
                <c:pt idx="3">
                  <c:v>21.148520267281089</c:v>
                </c:pt>
                <c:pt idx="4">
                  <c:v>42.196903411993446</c:v>
                </c:pt>
              </c:numCache>
            </c:numRef>
          </c:val>
          <c:extLst xmlns:c16r2="http://schemas.microsoft.com/office/drawing/2015/06/chart">
            <c:ext xmlns:c16="http://schemas.microsoft.com/office/drawing/2014/chart" uri="{C3380CC4-5D6E-409C-BE32-E72D297353CC}">
              <c16:uniqueId val="{00000002-B0A3-4D87-9809-8E22CA194456}"/>
            </c:ext>
          </c:extLst>
        </c:ser>
        <c:ser>
          <c:idx val="3"/>
          <c:order val="3"/>
          <c:tx>
            <c:strRef>
              <c:f>Poverty!$C$240</c:f>
              <c:strCache>
                <c:ptCount val="1"/>
                <c:pt idx="0">
                  <c:v>Urban Areas</c:v>
                </c:pt>
              </c:strCache>
            </c:strRef>
          </c:tx>
          <c:cat>
            <c:strRef>
              <c:f>Poverty!$D$236:$H$236</c:f>
              <c:strCache>
                <c:ptCount val="5"/>
                <c:pt idx="0">
                  <c:v> 1st</c:v>
                </c:pt>
                <c:pt idx="1">
                  <c:v>2nd</c:v>
                </c:pt>
                <c:pt idx="2">
                  <c:v>3rd</c:v>
                </c:pt>
                <c:pt idx="3">
                  <c:v>4th</c:v>
                </c:pt>
                <c:pt idx="4">
                  <c:v>5th</c:v>
                </c:pt>
              </c:strCache>
            </c:strRef>
          </c:cat>
          <c:val>
            <c:numRef>
              <c:f>Poverty!$D$240:$H$240</c:f>
              <c:numCache>
                <c:formatCode>0.0</c:formatCode>
                <c:ptCount val="5"/>
                <c:pt idx="0">
                  <c:v>11.079428734123272</c:v>
                </c:pt>
                <c:pt idx="1">
                  <c:v>14.314142912858452</c:v>
                </c:pt>
                <c:pt idx="2">
                  <c:v>17.109760039059537</c:v>
                </c:pt>
                <c:pt idx="3">
                  <c:v>21.766782881789336</c:v>
                </c:pt>
                <c:pt idx="4">
                  <c:v>35.729885432168913</c:v>
                </c:pt>
              </c:numCache>
            </c:numRef>
          </c:val>
          <c:extLst xmlns:c16r2="http://schemas.microsoft.com/office/drawing/2015/06/chart">
            <c:ext xmlns:c16="http://schemas.microsoft.com/office/drawing/2014/chart" uri="{C3380CC4-5D6E-409C-BE32-E72D297353CC}">
              <c16:uniqueId val="{00000003-B0A3-4D87-9809-8E22CA194456}"/>
            </c:ext>
          </c:extLst>
        </c:ser>
        <c:ser>
          <c:idx val="4"/>
          <c:order val="4"/>
          <c:tx>
            <c:strRef>
              <c:f>Poverty!$C$241</c:f>
              <c:strCache>
                <c:ptCount val="1"/>
                <c:pt idx="0">
                  <c:v>Drought Prone</c:v>
                </c:pt>
              </c:strCache>
            </c:strRef>
          </c:tx>
          <c:cat>
            <c:strRef>
              <c:f>Poverty!$D$236:$H$236</c:f>
              <c:strCache>
                <c:ptCount val="5"/>
                <c:pt idx="0">
                  <c:v> 1st</c:v>
                </c:pt>
                <c:pt idx="1">
                  <c:v>2nd</c:v>
                </c:pt>
                <c:pt idx="2">
                  <c:v>3rd</c:v>
                </c:pt>
                <c:pt idx="3">
                  <c:v>4th</c:v>
                </c:pt>
                <c:pt idx="4">
                  <c:v>5th</c:v>
                </c:pt>
              </c:strCache>
            </c:strRef>
          </c:cat>
          <c:val>
            <c:numRef>
              <c:f>Poverty!$D$241:$H$241</c:f>
              <c:numCache>
                <c:formatCode>0.0</c:formatCode>
                <c:ptCount val="5"/>
                <c:pt idx="0">
                  <c:v>8.1863343924751817</c:v>
                </c:pt>
                <c:pt idx="1">
                  <c:v>11.733473588006921</c:v>
                </c:pt>
                <c:pt idx="2">
                  <c:v>15.388485384034873</c:v>
                </c:pt>
                <c:pt idx="3">
                  <c:v>21.531169974017836</c:v>
                </c:pt>
                <c:pt idx="4">
                  <c:v>43.160536661465201</c:v>
                </c:pt>
              </c:numCache>
            </c:numRef>
          </c:val>
          <c:extLst xmlns:c16r2="http://schemas.microsoft.com/office/drawing/2015/06/chart">
            <c:ext xmlns:c16="http://schemas.microsoft.com/office/drawing/2014/chart" uri="{C3380CC4-5D6E-409C-BE32-E72D297353CC}">
              <c16:uniqueId val="{00000004-B0A3-4D87-9809-8E22CA194456}"/>
            </c:ext>
          </c:extLst>
        </c:ser>
        <c:ser>
          <c:idx val="5"/>
          <c:order val="5"/>
          <c:tx>
            <c:strRef>
              <c:f>Poverty!$C$242</c:f>
              <c:strCache>
                <c:ptCount val="1"/>
                <c:pt idx="0">
                  <c:v>Rivers and Estuary</c:v>
                </c:pt>
              </c:strCache>
            </c:strRef>
          </c:tx>
          <c:cat>
            <c:strRef>
              <c:f>Poverty!$D$236:$H$236</c:f>
              <c:strCache>
                <c:ptCount val="5"/>
                <c:pt idx="0">
                  <c:v> 1st</c:v>
                </c:pt>
                <c:pt idx="1">
                  <c:v>2nd</c:v>
                </c:pt>
                <c:pt idx="2">
                  <c:v>3rd</c:v>
                </c:pt>
                <c:pt idx="3">
                  <c:v>4th</c:v>
                </c:pt>
                <c:pt idx="4">
                  <c:v>5th</c:v>
                </c:pt>
              </c:strCache>
            </c:strRef>
          </c:cat>
          <c:val>
            <c:numRef>
              <c:f>Poverty!$D$242:$H$242</c:f>
              <c:numCache>
                <c:formatCode>0.0</c:formatCode>
                <c:ptCount val="5"/>
                <c:pt idx="0">
                  <c:v>8.5939703914037331</c:v>
                </c:pt>
                <c:pt idx="1">
                  <c:v>12.216865736545031</c:v>
                </c:pt>
                <c:pt idx="2">
                  <c:v>15.661338230288544</c:v>
                </c:pt>
                <c:pt idx="3">
                  <c:v>20.827862707936937</c:v>
                </c:pt>
                <c:pt idx="4">
                  <c:v>42.699962933826313</c:v>
                </c:pt>
              </c:numCache>
            </c:numRef>
          </c:val>
          <c:extLst xmlns:c16r2="http://schemas.microsoft.com/office/drawing/2015/06/chart">
            <c:ext xmlns:c16="http://schemas.microsoft.com/office/drawing/2014/chart" uri="{C3380CC4-5D6E-409C-BE32-E72D297353CC}">
              <c16:uniqueId val="{00000005-B0A3-4D87-9809-8E22CA194456}"/>
            </c:ext>
          </c:extLst>
        </c:ser>
        <c:ser>
          <c:idx val="6"/>
          <c:order val="6"/>
          <c:tx>
            <c:strRef>
              <c:f>Poverty!$C$243</c:f>
              <c:strCache>
                <c:ptCount val="1"/>
                <c:pt idx="0">
                  <c:v>Non Delta</c:v>
                </c:pt>
              </c:strCache>
            </c:strRef>
          </c:tx>
          <c:cat>
            <c:strRef>
              <c:f>Poverty!$D$236:$H$236</c:f>
              <c:strCache>
                <c:ptCount val="5"/>
                <c:pt idx="0">
                  <c:v> 1st</c:v>
                </c:pt>
                <c:pt idx="1">
                  <c:v>2nd</c:v>
                </c:pt>
                <c:pt idx="2">
                  <c:v>3rd</c:v>
                </c:pt>
                <c:pt idx="3">
                  <c:v>4th</c:v>
                </c:pt>
                <c:pt idx="4">
                  <c:v>5th</c:v>
                </c:pt>
              </c:strCache>
            </c:strRef>
          </c:cat>
          <c:val>
            <c:numRef>
              <c:f>Poverty!$D$243:$H$243</c:f>
              <c:numCache>
                <c:formatCode>0.0</c:formatCode>
                <c:ptCount val="5"/>
                <c:pt idx="0">
                  <c:v>9.2010487821254419</c:v>
                </c:pt>
                <c:pt idx="1">
                  <c:v>12.846340850446676</c:v>
                </c:pt>
                <c:pt idx="2">
                  <c:v>16.253678556282431</c:v>
                </c:pt>
                <c:pt idx="3">
                  <c:v>21.189998530749829</c:v>
                </c:pt>
                <c:pt idx="4">
                  <c:v>40.508933280395581</c:v>
                </c:pt>
              </c:numCache>
            </c:numRef>
          </c:val>
          <c:extLst xmlns:c16r2="http://schemas.microsoft.com/office/drawing/2015/06/chart">
            <c:ext xmlns:c16="http://schemas.microsoft.com/office/drawing/2014/chart" uri="{C3380CC4-5D6E-409C-BE32-E72D297353CC}">
              <c16:uniqueId val="{00000006-B0A3-4D87-9809-8E22CA194456}"/>
            </c:ext>
          </c:extLst>
        </c:ser>
        <c:ser>
          <c:idx val="7"/>
          <c:order val="7"/>
          <c:tx>
            <c:strRef>
              <c:f>Poverty!$C$244</c:f>
              <c:strCache>
                <c:ptCount val="1"/>
                <c:pt idx="0">
                  <c:v>Bangladesh</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Poverty!$D$236:$H$236</c:f>
              <c:strCache>
                <c:ptCount val="5"/>
                <c:pt idx="0">
                  <c:v> 1st</c:v>
                </c:pt>
                <c:pt idx="1">
                  <c:v>2nd</c:v>
                </c:pt>
                <c:pt idx="2">
                  <c:v>3rd</c:v>
                </c:pt>
                <c:pt idx="3">
                  <c:v>4th</c:v>
                </c:pt>
                <c:pt idx="4">
                  <c:v>5th</c:v>
                </c:pt>
              </c:strCache>
            </c:strRef>
          </c:cat>
          <c:val>
            <c:numRef>
              <c:f>Poverty!$D$244:$H$244</c:f>
              <c:numCache>
                <c:formatCode>0.0</c:formatCode>
                <c:ptCount val="5"/>
                <c:pt idx="0">
                  <c:v>9.0572271365660146</c:v>
                </c:pt>
                <c:pt idx="1">
                  <c:v>12.503461465252448</c:v>
                </c:pt>
                <c:pt idx="2">
                  <c:v>15.831915362365748</c:v>
                </c:pt>
                <c:pt idx="3">
                  <c:v>21.041942333022689</c:v>
                </c:pt>
                <c:pt idx="4">
                  <c:v>41.565453702792979</c:v>
                </c:pt>
              </c:numCache>
            </c:numRef>
          </c:val>
          <c:extLst xmlns:c16r2="http://schemas.microsoft.com/office/drawing/2015/06/chart">
            <c:ext xmlns:c16="http://schemas.microsoft.com/office/drawing/2014/chart" uri="{C3380CC4-5D6E-409C-BE32-E72D297353CC}">
              <c16:uniqueId val="{00000007-B0A3-4D87-9809-8E22CA194456}"/>
            </c:ext>
          </c:extLst>
        </c:ser>
        <c:axId val="343566208"/>
        <c:axId val="343567744"/>
      </c:barChart>
      <c:catAx>
        <c:axId val="343566208"/>
        <c:scaling>
          <c:orientation val="minMax"/>
        </c:scaling>
        <c:axPos val="b"/>
        <c:numFmt formatCode="General" sourceLinked="0"/>
        <c:tickLblPos val="nextTo"/>
        <c:txPr>
          <a:bodyPr/>
          <a:lstStyle/>
          <a:p>
            <a:pPr>
              <a:defRPr sz="900"/>
            </a:pPr>
            <a:endParaRPr lang="en-US"/>
          </a:p>
        </c:txPr>
        <c:crossAx val="343567744"/>
        <c:crosses val="autoZero"/>
        <c:auto val="1"/>
        <c:lblAlgn val="ctr"/>
        <c:lblOffset val="100"/>
      </c:catAx>
      <c:valAx>
        <c:axId val="343567744"/>
        <c:scaling>
          <c:orientation val="minMax"/>
        </c:scaling>
        <c:axPos val="l"/>
        <c:majorGridlines/>
        <c:numFmt formatCode="0.0" sourceLinked="1"/>
        <c:tickLblPos val="nextTo"/>
        <c:txPr>
          <a:bodyPr/>
          <a:lstStyle/>
          <a:p>
            <a:pPr>
              <a:defRPr sz="900"/>
            </a:pPr>
            <a:endParaRPr lang="en-US"/>
          </a:p>
        </c:txPr>
        <c:crossAx val="343566208"/>
        <c:crosses val="autoZero"/>
        <c:crossBetween val="between"/>
      </c:valAx>
    </c:plotArea>
    <c:legend>
      <c:legendPos val="b"/>
      <c:layout>
        <c:manualLayout>
          <c:xMode val="edge"/>
          <c:yMode val="edge"/>
          <c:x val="0.12619040801717971"/>
          <c:y val="0.79651295821416657"/>
          <c:w val="0.70432900432901679"/>
          <c:h val="0.17839993652501804"/>
        </c:manualLayout>
      </c:layout>
      <c:txPr>
        <a:bodyPr/>
        <a:lstStyle/>
        <a:p>
          <a:pPr>
            <a:defRPr sz="800"/>
          </a:pPr>
          <a:endParaRPr lang="en-US"/>
        </a:p>
      </c:txPr>
    </c:legend>
    <c:plotVisOnly val="1"/>
    <c:dispBlanksAs val="gap"/>
  </c:chart>
  <c:spPr>
    <a:ln>
      <a:noFill/>
    </a:ln>
  </c:spPr>
  <c:txPr>
    <a:bodyPr/>
    <a:lstStyle/>
    <a:p>
      <a:pPr>
        <a:defRPr b="1"/>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AU"/>
  <c:style val="28"/>
  <c:chart>
    <c:autoTitleDeleted val="1"/>
    <c:plotArea>
      <c:layout>
        <c:manualLayout>
          <c:layoutTarget val="inner"/>
          <c:xMode val="edge"/>
          <c:yMode val="edge"/>
          <c:x val="0.10813905500119859"/>
          <c:y val="5.8439993658510922E-2"/>
          <c:w val="0.85919576311314105"/>
          <c:h val="0.68609170497983063"/>
        </c:manualLayout>
      </c:layout>
      <c:barChart>
        <c:barDir val="col"/>
        <c:grouping val="clustered"/>
        <c:ser>
          <c:idx val="0"/>
          <c:order val="0"/>
          <c:cat>
            <c:strRef>
              <c:f>'Total 2001'!$I$183:$I$197</c:f>
              <c:strCache>
                <c:ptCount val="15"/>
                <c:pt idx="0">
                  <c:v>Kurigram</c:v>
                </c:pt>
                <c:pt idx="1">
                  <c:v>Barisal</c:v>
                </c:pt>
                <c:pt idx="2">
                  <c:v>Shariatpur</c:v>
                </c:pt>
                <c:pt idx="3">
                  <c:v>Jamalpur</c:v>
                </c:pt>
                <c:pt idx="4">
                  <c:v>Chandpur</c:v>
                </c:pt>
                <c:pt idx="5">
                  <c:v>Mymensingh</c:v>
                </c:pt>
                <c:pt idx="6">
                  <c:v>Tangail</c:v>
                </c:pt>
                <c:pt idx="7">
                  <c:v>Sherpur</c:v>
                </c:pt>
                <c:pt idx="8">
                  <c:v>Gaibandha</c:v>
                </c:pt>
                <c:pt idx="9">
                  <c:v>Satkhira</c:v>
                </c:pt>
                <c:pt idx="10">
                  <c:v>Rangpur</c:v>
                </c:pt>
                <c:pt idx="11">
                  <c:v>Magura</c:v>
                </c:pt>
                <c:pt idx="12">
                  <c:v>Pirojpur</c:v>
                </c:pt>
                <c:pt idx="13">
                  <c:v>Rajbari</c:v>
                </c:pt>
                <c:pt idx="14">
                  <c:v>Bagerhat</c:v>
                </c:pt>
              </c:strCache>
            </c:strRef>
          </c:cat>
          <c:val>
            <c:numRef>
              <c:f>'Total 2001'!$J$183:$J$197</c:f>
              <c:numCache>
                <c:formatCode>General</c:formatCode>
                <c:ptCount val="15"/>
                <c:pt idx="0">
                  <c:v>63.7</c:v>
                </c:pt>
                <c:pt idx="1">
                  <c:v>54.8</c:v>
                </c:pt>
                <c:pt idx="2">
                  <c:v>52.6</c:v>
                </c:pt>
                <c:pt idx="3">
                  <c:v>51.1</c:v>
                </c:pt>
                <c:pt idx="4">
                  <c:v>51</c:v>
                </c:pt>
                <c:pt idx="5">
                  <c:v>50.5</c:v>
                </c:pt>
                <c:pt idx="6">
                  <c:v>49.1</c:v>
                </c:pt>
                <c:pt idx="7">
                  <c:v>48.4</c:v>
                </c:pt>
                <c:pt idx="8">
                  <c:v>48</c:v>
                </c:pt>
                <c:pt idx="9">
                  <c:v>46.3</c:v>
                </c:pt>
                <c:pt idx="10">
                  <c:v>46</c:v>
                </c:pt>
                <c:pt idx="11">
                  <c:v>45.4</c:v>
                </c:pt>
                <c:pt idx="12">
                  <c:v>44.1</c:v>
                </c:pt>
                <c:pt idx="13">
                  <c:v>43.4</c:v>
                </c:pt>
                <c:pt idx="14">
                  <c:v>42.2</c:v>
                </c:pt>
              </c:numCache>
            </c:numRef>
          </c:val>
          <c:extLst xmlns:c16r2="http://schemas.microsoft.com/office/drawing/2015/06/chart">
            <c:ext xmlns:c16="http://schemas.microsoft.com/office/drawing/2014/chart" uri="{C3380CC4-5D6E-409C-BE32-E72D297353CC}">
              <c16:uniqueId val="{00000000-0759-41E3-AFF1-C3B8E33BC9C6}"/>
            </c:ext>
          </c:extLst>
        </c:ser>
        <c:axId val="343579648"/>
        <c:axId val="343589632"/>
      </c:barChart>
      <c:catAx>
        <c:axId val="343579648"/>
        <c:scaling>
          <c:orientation val="minMax"/>
        </c:scaling>
        <c:axPos val="b"/>
        <c:numFmt formatCode="General" sourceLinked="0"/>
        <c:tickLblPos val="nextTo"/>
        <c:txPr>
          <a:bodyPr/>
          <a:lstStyle/>
          <a:p>
            <a:pPr>
              <a:defRPr sz="800" b="1" i="0" baseline="0"/>
            </a:pPr>
            <a:endParaRPr lang="en-US"/>
          </a:p>
        </c:txPr>
        <c:crossAx val="343589632"/>
        <c:crosses val="autoZero"/>
        <c:auto val="1"/>
        <c:lblAlgn val="ctr"/>
        <c:lblOffset val="100"/>
      </c:catAx>
      <c:valAx>
        <c:axId val="343589632"/>
        <c:scaling>
          <c:orientation val="minMax"/>
        </c:scaling>
        <c:axPos val="l"/>
        <c:title>
          <c:tx>
            <c:rich>
              <a:bodyPr rot="-5400000" vert="horz"/>
              <a:lstStyle/>
              <a:p>
                <a:pPr>
                  <a:defRPr/>
                </a:pPr>
                <a:r>
                  <a:rPr lang="en-US"/>
                  <a:t>HCI</a:t>
                </a:r>
                <a:r>
                  <a:rPr lang="en-US" baseline="0"/>
                  <a:t> (%)</a:t>
                </a:r>
                <a:endParaRPr lang="en-US"/>
              </a:p>
            </c:rich>
          </c:tx>
        </c:title>
        <c:numFmt formatCode="General" sourceLinked="1"/>
        <c:tickLblPos val="nextTo"/>
        <c:crossAx val="343579648"/>
        <c:crosses val="autoZero"/>
        <c:crossBetween val="between"/>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AU"/>
  <c:style val="29"/>
  <c:chart>
    <c:autoTitleDeleted val="1"/>
    <c:plotArea>
      <c:layout>
        <c:manualLayout>
          <c:layoutTarget val="inner"/>
          <c:xMode val="edge"/>
          <c:yMode val="edge"/>
          <c:x val="0.20091553616039334"/>
          <c:y val="7.7211359815978084E-2"/>
          <c:w val="0.75430885425036165"/>
          <c:h val="0.72014863310625565"/>
        </c:manualLayout>
      </c:layout>
      <c:barChart>
        <c:barDir val="bar"/>
        <c:grouping val="clustered"/>
        <c:ser>
          <c:idx val="0"/>
          <c:order val="0"/>
          <c:cat>
            <c:strRef>
              <c:f>Sheet2!$W$7:$W$21</c:f>
              <c:strCache>
                <c:ptCount val="15"/>
                <c:pt idx="0">
                  <c:v>MHENDIGANJ</c:v>
                </c:pt>
                <c:pt idx="1">
                  <c:v>HIZLA</c:v>
                </c:pt>
                <c:pt idx="2">
                  <c:v>PHULBARI</c:v>
                </c:pt>
                <c:pt idx="3">
                  <c:v>CHAR RAJIBPUR</c:v>
                </c:pt>
                <c:pt idx="4">
                  <c:v>RAJARHAT</c:v>
                </c:pt>
                <c:pt idx="5">
                  <c:v>GOWAINGHAT</c:v>
                </c:pt>
                <c:pt idx="6">
                  <c:v>ULIPUR</c:v>
                </c:pt>
                <c:pt idx="7">
                  <c:v>NAGESHWARI</c:v>
                </c:pt>
                <c:pt idx="8">
                  <c:v>BHURUNGAMARI</c:v>
                </c:pt>
                <c:pt idx="9">
                  <c:v>MULADI</c:v>
                </c:pt>
                <c:pt idx="10">
                  <c:v>BAKERGANJ</c:v>
                </c:pt>
                <c:pt idx="11">
                  <c:v>CHILMARI</c:v>
                </c:pt>
                <c:pt idx="12">
                  <c:v>NANDAIL</c:v>
                </c:pt>
                <c:pt idx="13">
                  <c:v>DEWANGANJ</c:v>
                </c:pt>
                <c:pt idx="14">
                  <c:v>HAIM CHAR</c:v>
                </c:pt>
              </c:strCache>
            </c:strRef>
          </c:cat>
          <c:val>
            <c:numRef>
              <c:f>Sheet2!$X$7:$X$21</c:f>
              <c:numCache>
                <c:formatCode>0.0</c:formatCode>
                <c:ptCount val="15"/>
                <c:pt idx="0">
                  <c:v>49.969520000000003</c:v>
                </c:pt>
                <c:pt idx="1">
                  <c:v>49.545850000000002</c:v>
                </c:pt>
                <c:pt idx="2">
                  <c:v>48.7627000000005</c:v>
                </c:pt>
                <c:pt idx="3">
                  <c:v>48.672300000000163</c:v>
                </c:pt>
                <c:pt idx="4">
                  <c:v>48.634400000000007</c:v>
                </c:pt>
                <c:pt idx="5">
                  <c:v>46.532470000000011</c:v>
                </c:pt>
                <c:pt idx="6">
                  <c:v>46.229880000000001</c:v>
                </c:pt>
                <c:pt idx="7">
                  <c:v>45.4467</c:v>
                </c:pt>
                <c:pt idx="8">
                  <c:v>44.695440000000012</c:v>
                </c:pt>
                <c:pt idx="9">
                  <c:v>44.143450000000001</c:v>
                </c:pt>
                <c:pt idx="10">
                  <c:v>42.178460000000001</c:v>
                </c:pt>
                <c:pt idx="11">
                  <c:v>42.135060000000003</c:v>
                </c:pt>
                <c:pt idx="12">
                  <c:v>41.752830000000003</c:v>
                </c:pt>
                <c:pt idx="13">
                  <c:v>41.58681</c:v>
                </c:pt>
                <c:pt idx="14">
                  <c:v>41.028920000000063</c:v>
                </c:pt>
              </c:numCache>
            </c:numRef>
          </c:val>
          <c:extLst xmlns:c16r2="http://schemas.microsoft.com/office/drawing/2015/06/chart">
            <c:ext xmlns:c16="http://schemas.microsoft.com/office/drawing/2014/chart" uri="{C3380CC4-5D6E-409C-BE32-E72D297353CC}">
              <c16:uniqueId val="{00000000-E6E2-4213-AC08-6576B0B60C5E}"/>
            </c:ext>
          </c:extLst>
        </c:ser>
        <c:axId val="343613824"/>
        <c:axId val="343615360"/>
      </c:barChart>
      <c:catAx>
        <c:axId val="343613824"/>
        <c:scaling>
          <c:orientation val="minMax"/>
        </c:scaling>
        <c:axPos val="l"/>
        <c:numFmt formatCode="General" sourceLinked="0"/>
        <c:tickLblPos val="nextTo"/>
        <c:txPr>
          <a:bodyPr/>
          <a:lstStyle/>
          <a:p>
            <a:pPr>
              <a:defRPr sz="700" b="1" i="0" baseline="0"/>
            </a:pPr>
            <a:endParaRPr lang="en-US"/>
          </a:p>
        </c:txPr>
        <c:crossAx val="343615360"/>
        <c:crosses val="autoZero"/>
        <c:auto val="1"/>
        <c:lblAlgn val="ctr"/>
        <c:lblOffset val="100"/>
      </c:catAx>
      <c:valAx>
        <c:axId val="343615360"/>
        <c:scaling>
          <c:orientation val="minMax"/>
        </c:scaling>
        <c:axPos val="b"/>
        <c:majorGridlines/>
        <c:title>
          <c:tx>
            <c:rich>
              <a:bodyPr/>
              <a:lstStyle/>
              <a:p>
                <a:pPr>
                  <a:defRPr/>
                </a:pPr>
                <a:r>
                  <a:rPr lang="en-US"/>
                  <a:t>Incidence of LPL (%)</a:t>
                </a:r>
              </a:p>
            </c:rich>
          </c:tx>
          <c:layout>
            <c:manualLayout>
              <c:xMode val="edge"/>
              <c:yMode val="edge"/>
              <c:x val="0.42673876608797789"/>
              <c:y val="0.89412073490813671"/>
            </c:manualLayout>
          </c:layout>
        </c:title>
        <c:numFmt formatCode="0.0" sourceLinked="1"/>
        <c:tickLblPos val="nextTo"/>
        <c:crossAx val="343613824"/>
        <c:crosses val="autoZero"/>
        <c:crossBetween val="between"/>
      </c:valAx>
    </c:plotArea>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AU"/>
  <c:style val="32"/>
  <c:chart>
    <c:autoTitleDeleted val="1"/>
    <c:plotArea>
      <c:layout>
        <c:manualLayout>
          <c:layoutTarget val="inner"/>
          <c:xMode val="edge"/>
          <c:yMode val="edge"/>
          <c:x val="0.19055796150481188"/>
          <c:y val="6.4814814814815436E-2"/>
          <c:w val="0.77869203849519852"/>
          <c:h val="0.81920530766988098"/>
        </c:manualLayout>
      </c:layout>
      <c:barChart>
        <c:barDir val="bar"/>
        <c:grouping val="clustered"/>
        <c:ser>
          <c:idx val="0"/>
          <c:order val="0"/>
          <c:dLbls>
            <c:spPr>
              <a:noFill/>
              <a:ln>
                <a:noFill/>
              </a:ln>
              <a:effectLst/>
            </c:spPr>
            <c:dLblPos val="outEnd"/>
            <c:showVal val="1"/>
            <c:extLst xmlns:c16r2="http://schemas.microsoft.com/office/drawing/2015/06/chart">
              <c:ext xmlns:c15="http://schemas.microsoft.com/office/drawing/2012/chart" uri="{CE6537A1-D6FC-4f65-9D91-7224C49458BB}">
                <c15:showLeaderLines val="0"/>
              </c:ext>
            </c:extLst>
          </c:dLbls>
          <c:cat>
            <c:strRef>
              <c:f>'Summary Table'!$A$66:$A$69</c:f>
              <c:strCache>
                <c:ptCount val="4"/>
                <c:pt idx="0">
                  <c:v>As &gt;50 μg/L</c:v>
                </c:pt>
                <c:pt idx="1">
                  <c:v>As 10-50 μg/L</c:v>
                </c:pt>
                <c:pt idx="2">
                  <c:v>As &lt;10 μg/L</c:v>
                </c:pt>
                <c:pt idx="3">
                  <c:v>Not Surveyed</c:v>
                </c:pt>
              </c:strCache>
            </c:strRef>
          </c:cat>
          <c:val>
            <c:numRef>
              <c:f>'Summary Table'!$B$66:$B$69</c:f>
              <c:numCache>
                <c:formatCode>General</c:formatCode>
                <c:ptCount val="4"/>
                <c:pt idx="0">
                  <c:v>41</c:v>
                </c:pt>
                <c:pt idx="1">
                  <c:v>11</c:v>
                </c:pt>
                <c:pt idx="2">
                  <c:v>8</c:v>
                </c:pt>
                <c:pt idx="3">
                  <c:v>4</c:v>
                </c:pt>
              </c:numCache>
            </c:numRef>
          </c:val>
          <c:extLst xmlns:c16r2="http://schemas.microsoft.com/office/drawing/2015/06/chart">
            <c:ext xmlns:c16="http://schemas.microsoft.com/office/drawing/2014/chart" uri="{C3380CC4-5D6E-409C-BE32-E72D297353CC}">
              <c16:uniqueId val="{00000000-2E71-41B8-8A8B-21D6A8CF6AA1}"/>
            </c:ext>
          </c:extLst>
        </c:ser>
        <c:dLbls>
          <c:showVal val="1"/>
        </c:dLbls>
        <c:axId val="343626496"/>
        <c:axId val="343628032"/>
      </c:barChart>
      <c:catAx>
        <c:axId val="343626496"/>
        <c:scaling>
          <c:orientation val="minMax"/>
        </c:scaling>
        <c:axPos val="l"/>
        <c:numFmt formatCode="General" sourceLinked="0"/>
        <c:tickLblPos val="nextTo"/>
        <c:crossAx val="343628032"/>
        <c:crosses val="autoZero"/>
        <c:auto val="1"/>
        <c:lblAlgn val="ctr"/>
        <c:lblOffset val="100"/>
      </c:catAx>
      <c:valAx>
        <c:axId val="343628032"/>
        <c:scaling>
          <c:orientation val="minMax"/>
        </c:scaling>
        <c:axPos val="b"/>
        <c:numFmt formatCode="General" sourceLinked="1"/>
        <c:tickLblPos val="nextTo"/>
        <c:crossAx val="343626496"/>
        <c:crosses val="autoZero"/>
        <c:crossBetween val="between"/>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lineChart>
        <c:grouping val="standard"/>
        <c:ser>
          <c:idx val="0"/>
          <c:order val="0"/>
          <c:tx>
            <c:strRef>
              <c:f>Comp.graph!$B$51</c:f>
              <c:strCache>
                <c:ptCount val="1"/>
                <c:pt idx="0">
                  <c:v>Minimum Per Capita GNI ( UMIC, in USD)</c:v>
                </c:pt>
              </c:strCache>
            </c:strRef>
          </c:tx>
          <c:marker>
            <c:symbol val="none"/>
          </c:marker>
          <c:dLbls>
            <c:dLbl>
              <c:idx val="15"/>
              <c:layout>
                <c:manualLayout>
                  <c:x val="-0.11991727299910299"/>
                  <c:y val="-4.7420643848090686E-2"/>
                </c:manualLayout>
              </c:layout>
              <c:showVal val="1"/>
              <c:extLst xmlns:c16r2="http://schemas.microsoft.com/office/drawing/2015/06/chart">
                <c:ext xmlns:c16="http://schemas.microsoft.com/office/drawing/2014/chart" uri="{C3380CC4-5D6E-409C-BE32-E72D297353CC}">
                  <c16:uniqueId val="{00000000-4AA8-489C-84D5-5C68F9AA1597}"/>
                </c:ext>
                <c:ext xmlns:c15="http://schemas.microsoft.com/office/drawing/2012/chart" uri="{CE6537A1-D6FC-4f65-9D91-7224C49458BB}">
                  <c15:layout/>
                </c:ext>
              </c:extLst>
            </c:dLbl>
            <c:dLbl>
              <c:idx val="25"/>
              <c:layout>
                <c:manualLayout>
                  <c:x val="0"/>
                  <c:y val="5.9863945578231534E-2"/>
                </c:manualLayout>
              </c:layout>
              <c:tx>
                <c:rich>
                  <a:bodyPr/>
                  <a:lstStyle/>
                  <a:p>
                    <a:r>
                      <a:rPr lang="en-US" sz="700"/>
                      <a:t>6423</a:t>
                    </a:r>
                    <a:endParaRPr lang="en-US" sz="900"/>
                  </a:p>
                </c:rich>
              </c:tx>
              <c:showVal val="1"/>
              <c:extLst xmlns:c16r2="http://schemas.microsoft.com/office/drawing/2015/06/chart">
                <c:ext xmlns:c16="http://schemas.microsoft.com/office/drawing/2014/chart" uri="{C3380CC4-5D6E-409C-BE32-E72D297353CC}">
                  <c16:uniqueId val="{00000001-4AA8-489C-84D5-5C68F9AA1597}"/>
                </c:ext>
                <c:ext xmlns:c15="http://schemas.microsoft.com/office/drawing/2012/chart" uri="{CE6537A1-D6FC-4f65-9D91-7224C49458BB}">
                  <c15:layout/>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Comp.graph!$C$50:$AB$50</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Comp.graph!$C$51:$AB$51</c:f>
              <c:numCache>
                <c:formatCode>0</c:formatCode>
                <c:ptCount val="26"/>
                <c:pt idx="0">
                  <c:v>4145</c:v>
                </c:pt>
                <c:pt idx="1">
                  <c:v>4183</c:v>
                </c:pt>
                <c:pt idx="2">
                  <c:v>4258</c:v>
                </c:pt>
                <c:pt idx="3">
                  <c:v>4335</c:v>
                </c:pt>
                <c:pt idx="4">
                  <c:v>4413</c:v>
                </c:pt>
                <c:pt idx="5">
                  <c:v>4493</c:v>
                </c:pt>
                <c:pt idx="6">
                  <c:v>4574</c:v>
                </c:pt>
                <c:pt idx="7">
                  <c:v>4656</c:v>
                </c:pt>
                <c:pt idx="8">
                  <c:v>4740</c:v>
                </c:pt>
                <c:pt idx="9">
                  <c:v>4826</c:v>
                </c:pt>
                <c:pt idx="10">
                  <c:v>4913</c:v>
                </c:pt>
                <c:pt idx="11">
                  <c:v>5001</c:v>
                </c:pt>
                <c:pt idx="12">
                  <c:v>5091</c:v>
                </c:pt>
                <c:pt idx="13">
                  <c:v>5183</c:v>
                </c:pt>
                <c:pt idx="14">
                  <c:v>5277</c:v>
                </c:pt>
                <c:pt idx="15">
                  <c:v>5372</c:v>
                </c:pt>
                <c:pt idx="16">
                  <c:v>5469</c:v>
                </c:pt>
                <c:pt idx="17">
                  <c:v>5567</c:v>
                </c:pt>
                <c:pt idx="18">
                  <c:v>5668</c:v>
                </c:pt>
                <c:pt idx="19">
                  <c:v>5770</c:v>
                </c:pt>
                <c:pt idx="20">
                  <c:v>5874</c:v>
                </c:pt>
                <c:pt idx="21">
                  <c:v>5980</c:v>
                </c:pt>
                <c:pt idx="22">
                  <c:v>6088</c:v>
                </c:pt>
                <c:pt idx="23">
                  <c:v>6197</c:v>
                </c:pt>
                <c:pt idx="24">
                  <c:v>6309</c:v>
                </c:pt>
                <c:pt idx="25">
                  <c:v>6423</c:v>
                </c:pt>
              </c:numCache>
            </c:numRef>
          </c:val>
          <c:extLst xmlns:c16r2="http://schemas.microsoft.com/office/drawing/2015/06/chart">
            <c:ext xmlns:c16="http://schemas.microsoft.com/office/drawing/2014/chart" uri="{C3380CC4-5D6E-409C-BE32-E72D297353CC}">
              <c16:uniqueId val="{00000002-4AA8-489C-84D5-5C68F9AA1597}"/>
            </c:ext>
          </c:extLst>
        </c:ser>
        <c:ser>
          <c:idx val="1"/>
          <c:order val="1"/>
          <c:tx>
            <c:strRef>
              <c:f>Comp.graph!$B$52</c:f>
              <c:strCache>
                <c:ptCount val="1"/>
                <c:pt idx="0">
                  <c:v>Per Capita GNI ( BAU, in USD)</c:v>
                </c:pt>
              </c:strCache>
            </c:strRef>
          </c:tx>
          <c:marker>
            <c:symbol val="none"/>
          </c:marker>
          <c:dLbls>
            <c:dLbl>
              <c:idx val="15"/>
              <c:layout>
                <c:manualLayout>
                  <c:x val="-2.1097046413502255E-2"/>
                  <c:y val="2.7210884353741478E-2"/>
                </c:manualLayout>
              </c:layout>
              <c:tx>
                <c:rich>
                  <a:bodyPr/>
                  <a:lstStyle/>
                  <a:p>
                    <a:r>
                      <a:rPr lang="en-US" sz="700"/>
                      <a:t>4857.8</a:t>
                    </a:r>
                  </a:p>
                </c:rich>
              </c:tx>
              <c:showVal val="1"/>
              <c:extLst xmlns:c16r2="http://schemas.microsoft.com/office/drawing/2015/06/chart">
                <c:ext xmlns:c16="http://schemas.microsoft.com/office/drawing/2014/chart" uri="{C3380CC4-5D6E-409C-BE32-E72D297353CC}">
                  <c16:uniqueId val="{00000003-4AA8-489C-84D5-5C68F9AA1597}"/>
                </c:ext>
                <c:ext xmlns:c15="http://schemas.microsoft.com/office/drawing/2012/chart" uri="{CE6537A1-D6FC-4f65-9D91-7224C49458BB}">
                  <c15:layout/>
                </c:ext>
              </c:extLst>
            </c:dLbl>
            <c:dLbl>
              <c:idx val="25"/>
              <c:layout>
                <c:manualLayout>
                  <c:x val="0"/>
                  <c:y val="-4.3537414965986627E-2"/>
                </c:manualLayout>
              </c:layout>
              <c:showVal val="1"/>
              <c:extLst xmlns:c16r2="http://schemas.microsoft.com/office/drawing/2015/06/chart">
                <c:ext xmlns:c16="http://schemas.microsoft.com/office/drawing/2014/chart" uri="{C3380CC4-5D6E-409C-BE32-E72D297353CC}">
                  <c16:uniqueId val="{00000004-4AA8-489C-84D5-5C68F9AA1597}"/>
                </c:ext>
                <c:ext xmlns:c15="http://schemas.microsoft.com/office/drawing/2012/chart" uri="{CE6537A1-D6FC-4f65-9D91-7224C49458BB}">
                  <c15:layout/>
                </c:ext>
              </c:extLst>
            </c:dLbl>
            <c:delete val="1"/>
            <c:spPr>
              <a:noFill/>
              <a:ln>
                <a:noFill/>
              </a:ln>
              <a:effectLst/>
            </c:spPr>
            <c:extLst xmlns:c16r2="http://schemas.microsoft.com/office/drawing/2015/06/chart">
              <c:ext xmlns:c15="http://schemas.microsoft.com/office/drawing/2012/chart" uri="{CE6537A1-D6FC-4f65-9D91-7224C49458BB}">
                <c15:showLeaderLines val="0"/>
              </c:ext>
            </c:extLst>
          </c:dLbls>
          <c:cat>
            <c:strRef>
              <c:f>Comp.graph!$C$50:$AB$50</c:f>
              <c:strCache>
                <c:ptCount val="26"/>
                <c:pt idx="0">
                  <c:v>FY16</c:v>
                </c:pt>
                <c:pt idx="1">
                  <c:v>FY17</c:v>
                </c:pt>
                <c:pt idx="2">
                  <c:v>FY18</c:v>
                </c:pt>
                <c:pt idx="3">
                  <c:v>FY19</c:v>
                </c:pt>
                <c:pt idx="4">
                  <c:v>FY20</c:v>
                </c:pt>
                <c:pt idx="5">
                  <c:v>FY21</c:v>
                </c:pt>
                <c:pt idx="6">
                  <c:v>FY22</c:v>
                </c:pt>
                <c:pt idx="7">
                  <c:v>FY23</c:v>
                </c:pt>
                <c:pt idx="8">
                  <c:v>FY24</c:v>
                </c:pt>
                <c:pt idx="9">
                  <c:v>FY25</c:v>
                </c:pt>
                <c:pt idx="10">
                  <c:v>FY26</c:v>
                </c:pt>
                <c:pt idx="11">
                  <c:v>FY27</c:v>
                </c:pt>
                <c:pt idx="12">
                  <c:v>FY28</c:v>
                </c:pt>
                <c:pt idx="13">
                  <c:v>FY29</c:v>
                </c:pt>
                <c:pt idx="14">
                  <c:v>FY30</c:v>
                </c:pt>
                <c:pt idx="15">
                  <c:v>FY31</c:v>
                </c:pt>
                <c:pt idx="16">
                  <c:v>FY32</c:v>
                </c:pt>
                <c:pt idx="17">
                  <c:v>FY33</c:v>
                </c:pt>
                <c:pt idx="18">
                  <c:v>FY34</c:v>
                </c:pt>
                <c:pt idx="19">
                  <c:v>FY35</c:v>
                </c:pt>
                <c:pt idx="20">
                  <c:v>FY36</c:v>
                </c:pt>
                <c:pt idx="21">
                  <c:v>FY37</c:v>
                </c:pt>
                <c:pt idx="22">
                  <c:v>FY38</c:v>
                </c:pt>
                <c:pt idx="23">
                  <c:v>FY39</c:v>
                </c:pt>
                <c:pt idx="24">
                  <c:v>FY40</c:v>
                </c:pt>
                <c:pt idx="25">
                  <c:v>FY41</c:v>
                </c:pt>
              </c:strCache>
            </c:strRef>
          </c:cat>
          <c:val>
            <c:numRef>
              <c:f>Comp.graph!$C$52:$AB$52</c:f>
              <c:numCache>
                <c:formatCode>0.0</c:formatCode>
                <c:ptCount val="26"/>
                <c:pt idx="0">
                  <c:v>1390.0455263811261</c:v>
                </c:pt>
                <c:pt idx="1">
                  <c:v>1501.9049865485147</c:v>
                </c:pt>
                <c:pt idx="2">
                  <c:v>1633.0890805018398</c:v>
                </c:pt>
                <c:pt idx="3">
                  <c:v>1776.4393732843612</c:v>
                </c:pt>
                <c:pt idx="4">
                  <c:v>1936.3440194644477</c:v>
                </c:pt>
                <c:pt idx="5">
                  <c:v>2118.6804093711917</c:v>
                </c:pt>
                <c:pt idx="6">
                  <c:v>2302.3775197866316</c:v>
                </c:pt>
                <c:pt idx="7">
                  <c:v>2502.2185981372381</c:v>
                </c:pt>
                <c:pt idx="8">
                  <c:v>2719.5292226870101</c:v>
                </c:pt>
                <c:pt idx="9">
                  <c:v>2955.7282826304877</c:v>
                </c:pt>
                <c:pt idx="10">
                  <c:v>3212.3628385818342</c:v>
                </c:pt>
                <c:pt idx="11">
                  <c:v>3491.0894659310657</c:v>
                </c:pt>
                <c:pt idx="12">
                  <c:v>3793.6300372123751</c:v>
                </c:pt>
                <c:pt idx="13">
                  <c:v>4121.7854804546714</c:v>
                </c:pt>
                <c:pt idx="14">
                  <c:v>4477.4362967459201</c:v>
                </c:pt>
                <c:pt idx="15">
                  <c:v>4857.7872722700195</c:v>
                </c:pt>
                <c:pt idx="16">
                  <c:v>5268.783138370406</c:v>
                </c:pt>
                <c:pt idx="17">
                  <c:v>5552</c:v>
                </c:pt>
                <c:pt idx="18">
                  <c:v>6190.4014088639024</c:v>
                </c:pt>
                <c:pt idx="19">
                  <c:v>6704.7937717112491</c:v>
                </c:pt>
                <c:pt idx="20">
                  <c:v>7257.3053894700752</c:v>
                </c:pt>
                <c:pt idx="21">
                  <c:v>7849.5466576413828</c:v>
                </c:pt>
                <c:pt idx="22">
                  <c:v>8482.8578097540612</c:v>
                </c:pt>
                <c:pt idx="23">
                  <c:v>9158.2213502579289</c:v>
                </c:pt>
                <c:pt idx="24">
                  <c:v>9876.1654924187515</c:v>
                </c:pt>
                <c:pt idx="25">
                  <c:v>10549.623080626934</c:v>
                </c:pt>
              </c:numCache>
            </c:numRef>
          </c:val>
          <c:extLst xmlns:c16r2="http://schemas.microsoft.com/office/drawing/2015/06/chart">
            <c:ext xmlns:c16="http://schemas.microsoft.com/office/drawing/2014/chart" uri="{C3380CC4-5D6E-409C-BE32-E72D297353CC}">
              <c16:uniqueId val="{00000005-4AA8-489C-84D5-5C68F9AA1597}"/>
            </c:ext>
          </c:extLst>
        </c:ser>
        <c:marker val="1"/>
        <c:axId val="343837312"/>
        <c:axId val="343851392"/>
      </c:lineChart>
      <c:catAx>
        <c:axId val="343837312"/>
        <c:scaling>
          <c:orientation val="minMax"/>
        </c:scaling>
        <c:axPos val="b"/>
        <c:numFmt formatCode="General" sourceLinked="1"/>
        <c:majorTickMark val="none"/>
        <c:tickLblPos val="nextTo"/>
        <c:txPr>
          <a:bodyPr/>
          <a:lstStyle/>
          <a:p>
            <a:pPr>
              <a:defRPr sz="600"/>
            </a:pPr>
            <a:endParaRPr lang="en-US"/>
          </a:p>
        </c:txPr>
        <c:crossAx val="343851392"/>
        <c:crosses val="autoZero"/>
        <c:auto val="1"/>
        <c:lblAlgn val="ctr"/>
        <c:lblOffset val="100"/>
        <c:tickLblSkip val="1"/>
      </c:catAx>
      <c:valAx>
        <c:axId val="343851392"/>
        <c:scaling>
          <c:orientation val="minMax"/>
        </c:scaling>
        <c:axPos val="l"/>
        <c:majorGridlines/>
        <c:numFmt formatCode="0" sourceLinked="1"/>
        <c:majorTickMark val="none"/>
        <c:tickLblPos val="nextTo"/>
        <c:spPr>
          <a:ln w="9525">
            <a:noFill/>
          </a:ln>
        </c:spPr>
        <c:txPr>
          <a:bodyPr/>
          <a:lstStyle/>
          <a:p>
            <a:pPr>
              <a:defRPr sz="800"/>
            </a:pPr>
            <a:endParaRPr lang="en-US"/>
          </a:p>
        </c:txPr>
        <c:crossAx val="343837312"/>
        <c:crosses val="autoZero"/>
        <c:crossBetween val="between"/>
      </c:valAx>
    </c:plotArea>
    <c:legend>
      <c:legendPos val="b"/>
      <c:txPr>
        <a:bodyPr/>
        <a:lstStyle/>
        <a:p>
          <a:pPr>
            <a:defRPr sz="800"/>
          </a:pPr>
          <a:endParaRPr lang="en-US"/>
        </a:p>
      </c:txPr>
    </c:legend>
    <c:plotVisOnly val="1"/>
    <c:dispBlanksAs val="gap"/>
  </c:chart>
  <c:externalData r:id="rId1"/>
  <c:userShapes r:id="rId2"/>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8695CCB-A5BE-4C74-9B01-6D076AE49F11}" type="doc">
      <dgm:prSet loTypeId="urn:microsoft.com/office/officeart/2005/8/layout/gear1" loCatId="process" qsTypeId="urn:microsoft.com/office/officeart/2005/8/quickstyle/simple1" qsCatId="simple" csTypeId="urn:microsoft.com/office/officeart/2005/8/colors/colorful4" csCatId="colorful" phldr="1"/>
      <dgm:spPr/>
      <dgm:t>
        <a:bodyPr/>
        <a:lstStyle/>
        <a:p>
          <a:endParaRPr lang="en-US"/>
        </a:p>
      </dgm:t>
    </dgm:pt>
    <dgm:pt modelId="{AFE6C8BA-7733-4EF2-BA9A-ABC2DE62052B}">
      <dgm:prSet phldrT="[Text]" custT="1"/>
      <dgm:spPr>
        <a:xfrm>
          <a:off x="1300734" y="1152143"/>
          <a:ext cx="1408176" cy="1408176"/>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900" b="1">
              <a:solidFill>
                <a:sysClr val="windowText" lastClr="000000"/>
              </a:solidFill>
              <a:latin typeface="Cambria"/>
              <a:ea typeface="+mn-ea"/>
              <a:cs typeface="+mn-cs"/>
            </a:rPr>
            <a:t>Water </a:t>
          </a:r>
          <a:r>
            <a:rPr lang="en-US" sz="1000" b="1">
              <a:solidFill>
                <a:sysClr val="windowText" lastClr="000000"/>
              </a:solidFill>
              <a:latin typeface="Cambria"/>
              <a:ea typeface="+mn-ea"/>
              <a:cs typeface="+mn-cs"/>
            </a:rPr>
            <a:t>Related</a:t>
          </a:r>
          <a:r>
            <a:rPr lang="en-US" sz="900" b="1">
              <a:solidFill>
                <a:sysClr val="windowText" lastClr="000000"/>
              </a:solidFill>
              <a:latin typeface="Cambria"/>
              <a:ea typeface="+mn-ea"/>
              <a:cs typeface="+mn-cs"/>
            </a:rPr>
            <a:t> Problems</a:t>
          </a:r>
        </a:p>
      </dgm:t>
    </dgm:pt>
    <dgm:pt modelId="{0F97C89B-E93E-4A95-827E-C6E36A4CC920}" type="parTrans" cxnId="{12103A8C-82BA-4C91-9EDE-7B44DE12F292}">
      <dgm:prSet/>
      <dgm:spPr/>
      <dgm:t>
        <a:bodyPr/>
        <a:lstStyle/>
        <a:p>
          <a:endParaRPr lang="en-US" b="1">
            <a:solidFill>
              <a:schemeClr val="tx1"/>
            </a:solidFill>
          </a:endParaRPr>
        </a:p>
      </dgm:t>
    </dgm:pt>
    <dgm:pt modelId="{641D014E-7DD8-4492-B258-C873C896CDBC}" type="sibTrans" cxnId="{12103A8C-82BA-4C91-9EDE-7B44DE12F292}">
      <dgm:prSet/>
      <dgm:spPr>
        <a:xfrm>
          <a:off x="1175477" y="949131"/>
          <a:ext cx="1802465" cy="1802465"/>
        </a:xfrm>
        <a:solidFill>
          <a:srgbClr val="8064A2">
            <a:hueOff val="0"/>
            <a:satOff val="0"/>
            <a:lumOff val="0"/>
            <a:alphaOff val="0"/>
          </a:srgbClr>
        </a:solidFill>
        <a:ln>
          <a:noFill/>
        </a:ln>
        <a:effectLst/>
      </dgm:spPr>
      <dgm:t>
        <a:bodyPr/>
        <a:lstStyle/>
        <a:p>
          <a:endParaRPr lang="en-US" b="1">
            <a:solidFill>
              <a:schemeClr val="tx1"/>
            </a:solidFill>
          </a:endParaRPr>
        </a:p>
      </dgm:t>
    </dgm:pt>
    <dgm:pt modelId="{7168C962-C9DD-4242-91CF-6E008F8495FE}">
      <dgm:prSet phldrT="[Text]" custT="1"/>
      <dgm:spPr>
        <a:xfrm>
          <a:off x="481431" y="819302"/>
          <a:ext cx="1024128" cy="1024128"/>
        </a:xfrm>
        <a:solidFill>
          <a:srgbClr val="8064A2">
            <a:hueOff val="-2232385"/>
            <a:satOff val="13449"/>
            <a:lumOff val="1078"/>
            <a:alphaOff val="0"/>
          </a:srgbClr>
        </a:solidFill>
        <a:ln w="25400" cap="flat" cmpd="sng" algn="ctr">
          <a:solidFill>
            <a:sysClr val="window" lastClr="FFFFFF">
              <a:hueOff val="0"/>
              <a:satOff val="0"/>
              <a:lumOff val="0"/>
              <a:alphaOff val="0"/>
            </a:sysClr>
          </a:solidFill>
          <a:prstDash val="solid"/>
        </a:ln>
        <a:effectLst/>
      </dgm:spPr>
      <dgm:t>
        <a:bodyPr/>
        <a:lstStyle/>
        <a:p>
          <a:r>
            <a:rPr lang="en-US" sz="800" b="1">
              <a:solidFill>
                <a:sysClr val="windowText" lastClr="000000"/>
              </a:solidFill>
              <a:latin typeface="Cambria"/>
              <a:ea typeface="+mn-ea"/>
              <a:cs typeface="+mn-cs"/>
            </a:rPr>
            <a:t>Institutional Capacity and Coordination</a:t>
          </a:r>
        </a:p>
      </dgm:t>
    </dgm:pt>
    <dgm:pt modelId="{D0275918-EA6C-4B9D-8091-765C08D6750F}" type="parTrans" cxnId="{07B2B280-291C-4DFE-9E22-AF585F3476DC}">
      <dgm:prSet/>
      <dgm:spPr/>
      <dgm:t>
        <a:bodyPr/>
        <a:lstStyle/>
        <a:p>
          <a:endParaRPr lang="en-US" b="1">
            <a:solidFill>
              <a:schemeClr val="tx1"/>
            </a:solidFill>
          </a:endParaRPr>
        </a:p>
      </dgm:t>
    </dgm:pt>
    <dgm:pt modelId="{41833C58-6FF2-40D7-AC58-E0ABF8883510}" type="sibTrans" cxnId="{07B2B280-291C-4DFE-9E22-AF585F3476DC}">
      <dgm:prSet/>
      <dgm:spPr>
        <a:xfrm>
          <a:off x="300060" y="599713"/>
          <a:ext cx="1309603" cy="1309603"/>
        </a:xfrm>
        <a:solidFill>
          <a:srgbClr val="8064A2">
            <a:hueOff val="-2232385"/>
            <a:satOff val="13449"/>
            <a:lumOff val="1078"/>
            <a:alphaOff val="0"/>
          </a:srgbClr>
        </a:solidFill>
        <a:ln>
          <a:noFill/>
        </a:ln>
        <a:effectLst/>
      </dgm:spPr>
      <dgm:t>
        <a:bodyPr/>
        <a:lstStyle/>
        <a:p>
          <a:endParaRPr lang="en-US" b="1">
            <a:solidFill>
              <a:schemeClr val="tx1"/>
            </a:solidFill>
          </a:endParaRPr>
        </a:p>
      </dgm:t>
    </dgm:pt>
    <dgm:pt modelId="{D54FF74E-2C85-45C9-80ED-A1D85D3DD152}">
      <dgm:prSet phldrT="[Text]" custT="1"/>
      <dgm:spPr>
        <a:xfrm rot="20700000">
          <a:off x="1055047" y="112758"/>
          <a:ext cx="1003436" cy="1003436"/>
        </a:xfrm>
        <a:solidFill>
          <a:srgbClr val="8064A2">
            <a:hueOff val="-4464770"/>
            <a:satOff val="26899"/>
            <a:lumOff val="2156"/>
            <a:alphaOff val="0"/>
          </a:srgbClr>
        </a:solidFill>
        <a:ln w="25400" cap="flat" cmpd="sng" algn="ctr">
          <a:solidFill>
            <a:sysClr val="window" lastClr="FFFFFF">
              <a:hueOff val="0"/>
              <a:satOff val="0"/>
              <a:lumOff val="0"/>
              <a:alphaOff val="0"/>
            </a:sysClr>
          </a:solidFill>
          <a:prstDash val="solid"/>
        </a:ln>
        <a:effectLst/>
      </dgm:spPr>
      <dgm:t>
        <a:bodyPr/>
        <a:lstStyle/>
        <a:p>
          <a:r>
            <a:rPr lang="en-US" sz="800" b="1">
              <a:solidFill>
                <a:sysClr val="windowText" lastClr="000000"/>
              </a:solidFill>
              <a:latin typeface="Cambria"/>
              <a:ea typeface="+mn-ea"/>
              <a:cs typeface="+mn-cs"/>
            </a:rPr>
            <a:t>Knowledge management</a:t>
          </a:r>
        </a:p>
      </dgm:t>
    </dgm:pt>
    <dgm:pt modelId="{21DFB902-6D76-4049-A4FB-AF5E993F082C}" type="parTrans" cxnId="{DB47E5F2-349E-473D-8270-8D01455BCF9C}">
      <dgm:prSet/>
      <dgm:spPr/>
      <dgm:t>
        <a:bodyPr/>
        <a:lstStyle/>
        <a:p>
          <a:endParaRPr lang="en-US" b="1">
            <a:solidFill>
              <a:schemeClr val="tx1"/>
            </a:solidFill>
          </a:endParaRPr>
        </a:p>
      </dgm:t>
    </dgm:pt>
    <dgm:pt modelId="{3E27CE7F-BC5B-4126-ADE3-428832132921}" type="sibTrans" cxnId="{DB47E5F2-349E-473D-8270-8D01455BCF9C}">
      <dgm:prSet/>
      <dgm:spPr>
        <a:xfrm>
          <a:off x="822942" y="-100019"/>
          <a:ext cx="1412016" cy="1412016"/>
        </a:xfrm>
        <a:solidFill>
          <a:srgbClr val="8064A2">
            <a:hueOff val="-4464770"/>
            <a:satOff val="26899"/>
            <a:lumOff val="2156"/>
            <a:alphaOff val="0"/>
          </a:srgbClr>
        </a:solidFill>
        <a:ln>
          <a:noFill/>
        </a:ln>
        <a:effectLst/>
      </dgm:spPr>
      <dgm:t>
        <a:bodyPr/>
        <a:lstStyle/>
        <a:p>
          <a:endParaRPr lang="en-US" b="1">
            <a:solidFill>
              <a:schemeClr val="tx1"/>
            </a:solidFill>
          </a:endParaRPr>
        </a:p>
      </dgm:t>
    </dgm:pt>
    <dgm:pt modelId="{4F92C6C0-2C5B-4912-BBF5-D511AE0540B1}">
      <dgm:prSet phldrT="[Text]"/>
      <dgm:spPr/>
      <dgm:t>
        <a:bodyPr/>
        <a:lstStyle/>
        <a:p>
          <a:endParaRPr lang="en-US"/>
        </a:p>
      </dgm:t>
    </dgm:pt>
    <dgm:pt modelId="{1B470E3E-992D-4C7F-82B4-F0576CFB657E}" type="parTrans" cxnId="{D26636F0-15F4-4733-8E17-0C9E25B12425}">
      <dgm:prSet/>
      <dgm:spPr/>
      <dgm:t>
        <a:bodyPr/>
        <a:lstStyle/>
        <a:p>
          <a:endParaRPr lang="en-US" b="1">
            <a:solidFill>
              <a:schemeClr val="tx1"/>
            </a:solidFill>
          </a:endParaRPr>
        </a:p>
      </dgm:t>
    </dgm:pt>
    <dgm:pt modelId="{4474F2BE-53C0-472F-8907-26CB6AC68959}" type="sibTrans" cxnId="{D26636F0-15F4-4733-8E17-0C9E25B12425}">
      <dgm:prSet/>
      <dgm:spPr/>
      <dgm:t>
        <a:bodyPr/>
        <a:lstStyle/>
        <a:p>
          <a:endParaRPr lang="en-US" b="1">
            <a:solidFill>
              <a:schemeClr val="tx1"/>
            </a:solidFill>
          </a:endParaRPr>
        </a:p>
      </dgm:t>
    </dgm:pt>
    <dgm:pt modelId="{3188AB09-FB03-41B7-86E2-BA295B20CA19}" type="pres">
      <dgm:prSet presAssocID="{E8695CCB-A5BE-4C74-9B01-6D076AE49F11}" presName="composite" presStyleCnt="0">
        <dgm:presLayoutVars>
          <dgm:chMax val="3"/>
          <dgm:animLvl val="lvl"/>
          <dgm:resizeHandles val="exact"/>
        </dgm:presLayoutVars>
      </dgm:prSet>
      <dgm:spPr/>
      <dgm:t>
        <a:bodyPr/>
        <a:lstStyle/>
        <a:p>
          <a:endParaRPr lang="en-US"/>
        </a:p>
      </dgm:t>
    </dgm:pt>
    <dgm:pt modelId="{77BA4439-879F-4323-89E9-4650154F3187}" type="pres">
      <dgm:prSet presAssocID="{AFE6C8BA-7733-4EF2-BA9A-ABC2DE62052B}" presName="gear1" presStyleLbl="node1" presStyleIdx="0" presStyleCnt="3" custLinFactNeighborY="0">
        <dgm:presLayoutVars>
          <dgm:chMax val="1"/>
          <dgm:bulletEnabled val="1"/>
        </dgm:presLayoutVars>
      </dgm:prSet>
      <dgm:spPr>
        <a:prstGeom prst="gear9">
          <a:avLst/>
        </a:prstGeom>
      </dgm:spPr>
      <dgm:t>
        <a:bodyPr/>
        <a:lstStyle/>
        <a:p>
          <a:endParaRPr lang="en-US"/>
        </a:p>
      </dgm:t>
    </dgm:pt>
    <dgm:pt modelId="{35A905C1-F848-47F4-AE5F-5A8DB37E920D}" type="pres">
      <dgm:prSet presAssocID="{AFE6C8BA-7733-4EF2-BA9A-ABC2DE62052B}" presName="gear1srcNode" presStyleLbl="node1" presStyleIdx="0" presStyleCnt="3"/>
      <dgm:spPr/>
      <dgm:t>
        <a:bodyPr/>
        <a:lstStyle/>
        <a:p>
          <a:endParaRPr lang="en-US"/>
        </a:p>
      </dgm:t>
    </dgm:pt>
    <dgm:pt modelId="{243171D5-1727-4D8F-B89C-CDD00836FE65}" type="pres">
      <dgm:prSet presAssocID="{AFE6C8BA-7733-4EF2-BA9A-ABC2DE62052B}" presName="gear1dstNode" presStyleLbl="node1" presStyleIdx="0" presStyleCnt="3"/>
      <dgm:spPr/>
      <dgm:t>
        <a:bodyPr/>
        <a:lstStyle/>
        <a:p>
          <a:endParaRPr lang="en-US"/>
        </a:p>
      </dgm:t>
    </dgm:pt>
    <dgm:pt modelId="{2013896A-4CDC-4279-8B2B-5AFFE340A6FB}" type="pres">
      <dgm:prSet presAssocID="{7168C962-C9DD-4242-91CF-6E008F8495FE}" presName="gear2" presStyleLbl="node1" presStyleIdx="1" presStyleCnt="3" custScaleX="124752" custScaleY="130169">
        <dgm:presLayoutVars>
          <dgm:chMax val="1"/>
          <dgm:bulletEnabled val="1"/>
        </dgm:presLayoutVars>
      </dgm:prSet>
      <dgm:spPr>
        <a:prstGeom prst="gear6">
          <a:avLst/>
        </a:prstGeom>
      </dgm:spPr>
      <dgm:t>
        <a:bodyPr/>
        <a:lstStyle/>
        <a:p>
          <a:endParaRPr lang="en-US"/>
        </a:p>
      </dgm:t>
    </dgm:pt>
    <dgm:pt modelId="{C129D9F3-A43F-45F5-9AA5-B233CEBBD0AE}" type="pres">
      <dgm:prSet presAssocID="{7168C962-C9DD-4242-91CF-6E008F8495FE}" presName="gear2srcNode" presStyleLbl="node1" presStyleIdx="1" presStyleCnt="3"/>
      <dgm:spPr/>
      <dgm:t>
        <a:bodyPr/>
        <a:lstStyle/>
        <a:p>
          <a:endParaRPr lang="en-US"/>
        </a:p>
      </dgm:t>
    </dgm:pt>
    <dgm:pt modelId="{381E2842-8792-404D-A491-CB8B8C62DB9B}" type="pres">
      <dgm:prSet presAssocID="{7168C962-C9DD-4242-91CF-6E008F8495FE}" presName="gear2dstNode" presStyleLbl="node1" presStyleIdx="1" presStyleCnt="3"/>
      <dgm:spPr/>
      <dgm:t>
        <a:bodyPr/>
        <a:lstStyle/>
        <a:p>
          <a:endParaRPr lang="en-US"/>
        </a:p>
      </dgm:t>
    </dgm:pt>
    <dgm:pt modelId="{D980306C-8014-4317-BFC9-6C3FE939BD80}" type="pres">
      <dgm:prSet presAssocID="{D54FF74E-2C85-45C9-80ED-A1D85D3DD152}" presName="gear3" presStyleLbl="node1" presStyleIdx="2" presStyleCnt="3" custScaleX="111507" custScaleY="107614" custLinFactNeighborX="645" custLinFactNeighborY="-2580"/>
      <dgm:spPr>
        <a:prstGeom prst="gear6">
          <a:avLst/>
        </a:prstGeom>
      </dgm:spPr>
      <dgm:t>
        <a:bodyPr/>
        <a:lstStyle/>
        <a:p>
          <a:endParaRPr lang="en-US"/>
        </a:p>
      </dgm:t>
    </dgm:pt>
    <dgm:pt modelId="{64535D22-C8CE-45D2-8BC2-B69750F1BBB0}" type="pres">
      <dgm:prSet presAssocID="{D54FF74E-2C85-45C9-80ED-A1D85D3DD152}" presName="gear3tx" presStyleLbl="node1" presStyleIdx="2" presStyleCnt="3">
        <dgm:presLayoutVars>
          <dgm:chMax val="1"/>
          <dgm:bulletEnabled val="1"/>
        </dgm:presLayoutVars>
      </dgm:prSet>
      <dgm:spPr/>
      <dgm:t>
        <a:bodyPr/>
        <a:lstStyle/>
        <a:p>
          <a:endParaRPr lang="en-US"/>
        </a:p>
      </dgm:t>
    </dgm:pt>
    <dgm:pt modelId="{E29DC463-8190-4C10-9C58-599FAF8975B5}" type="pres">
      <dgm:prSet presAssocID="{D54FF74E-2C85-45C9-80ED-A1D85D3DD152}" presName="gear3srcNode" presStyleLbl="node1" presStyleIdx="2" presStyleCnt="3"/>
      <dgm:spPr/>
      <dgm:t>
        <a:bodyPr/>
        <a:lstStyle/>
        <a:p>
          <a:endParaRPr lang="en-US"/>
        </a:p>
      </dgm:t>
    </dgm:pt>
    <dgm:pt modelId="{15BF0F06-5269-47FA-B2A4-7D0777129083}" type="pres">
      <dgm:prSet presAssocID="{D54FF74E-2C85-45C9-80ED-A1D85D3DD152}" presName="gear3dstNode" presStyleLbl="node1" presStyleIdx="2" presStyleCnt="3"/>
      <dgm:spPr/>
      <dgm:t>
        <a:bodyPr/>
        <a:lstStyle/>
        <a:p>
          <a:endParaRPr lang="en-US"/>
        </a:p>
      </dgm:t>
    </dgm:pt>
    <dgm:pt modelId="{947FA6FC-CF78-4CDB-807E-8B57242BBAFF}" type="pres">
      <dgm:prSet presAssocID="{641D014E-7DD8-4492-B258-C873C896CDBC}" presName="connector1" presStyleLbl="sibTrans2D1" presStyleIdx="0" presStyleCnt="3"/>
      <dgm:spPr>
        <a:prstGeom prst="circularArrow">
          <a:avLst>
            <a:gd name="adj1" fmla="val 4688"/>
            <a:gd name="adj2" fmla="val 299029"/>
            <a:gd name="adj3" fmla="val 2457854"/>
            <a:gd name="adj4" fmla="val 15993154"/>
            <a:gd name="adj5" fmla="val 5469"/>
          </a:avLst>
        </a:prstGeom>
      </dgm:spPr>
      <dgm:t>
        <a:bodyPr/>
        <a:lstStyle/>
        <a:p>
          <a:endParaRPr lang="en-US"/>
        </a:p>
      </dgm:t>
    </dgm:pt>
    <dgm:pt modelId="{A63E2AD0-8EFF-471E-8064-50A38B7335D9}" type="pres">
      <dgm:prSet presAssocID="{41833C58-6FF2-40D7-AC58-E0ABF8883510}" presName="connector2" presStyleLbl="sibTrans2D1" presStyleIdx="1" presStyleCnt="3"/>
      <dgm:spPr>
        <a:prstGeom prst="leftCircularArrow">
          <a:avLst>
            <a:gd name="adj1" fmla="val 6452"/>
            <a:gd name="adj2" fmla="val 429999"/>
            <a:gd name="adj3" fmla="val 10489124"/>
            <a:gd name="adj4" fmla="val 14837806"/>
            <a:gd name="adj5" fmla="val 7527"/>
          </a:avLst>
        </a:prstGeom>
      </dgm:spPr>
      <dgm:t>
        <a:bodyPr/>
        <a:lstStyle/>
        <a:p>
          <a:endParaRPr lang="en-US"/>
        </a:p>
      </dgm:t>
    </dgm:pt>
    <dgm:pt modelId="{55E3654D-0DB6-4680-A093-8FA5EC5FFCEF}" type="pres">
      <dgm:prSet presAssocID="{3E27CE7F-BC5B-4126-ADE3-428832132921}" presName="connector3" presStyleLbl="sibTrans2D1" presStyleIdx="2" presStyleCnt="3" custScaleY="83309"/>
      <dgm:spPr>
        <a:prstGeom prst="circularArrow">
          <a:avLst>
            <a:gd name="adj1" fmla="val 5984"/>
            <a:gd name="adj2" fmla="val 394124"/>
            <a:gd name="adj3" fmla="val 13313824"/>
            <a:gd name="adj4" fmla="val 10508221"/>
            <a:gd name="adj5" fmla="val 6981"/>
          </a:avLst>
        </a:prstGeom>
      </dgm:spPr>
      <dgm:t>
        <a:bodyPr/>
        <a:lstStyle/>
        <a:p>
          <a:endParaRPr lang="en-US"/>
        </a:p>
      </dgm:t>
    </dgm:pt>
  </dgm:ptLst>
  <dgm:cxnLst>
    <dgm:cxn modelId="{DDA86CBF-FB89-48CD-9432-79C941FBC970}" type="presOf" srcId="{7168C962-C9DD-4242-91CF-6E008F8495FE}" destId="{C129D9F3-A43F-45F5-9AA5-B233CEBBD0AE}" srcOrd="1" destOrd="0" presId="urn:microsoft.com/office/officeart/2005/8/layout/gear1"/>
    <dgm:cxn modelId="{8229B62C-B74C-4BF8-9A1F-37F55903D383}" type="presOf" srcId="{7168C962-C9DD-4242-91CF-6E008F8495FE}" destId="{2013896A-4CDC-4279-8B2B-5AFFE340A6FB}" srcOrd="0" destOrd="0" presId="urn:microsoft.com/office/officeart/2005/8/layout/gear1"/>
    <dgm:cxn modelId="{BF31B435-214B-4F51-87B9-81CB23F210FB}" type="presOf" srcId="{41833C58-6FF2-40D7-AC58-E0ABF8883510}" destId="{A63E2AD0-8EFF-471E-8064-50A38B7335D9}" srcOrd="0" destOrd="0" presId="urn:microsoft.com/office/officeart/2005/8/layout/gear1"/>
    <dgm:cxn modelId="{28E64337-B2D0-4DBC-95C0-27F378CB80D8}" type="presOf" srcId="{E8695CCB-A5BE-4C74-9B01-6D076AE49F11}" destId="{3188AB09-FB03-41B7-86E2-BA295B20CA19}" srcOrd="0" destOrd="0" presId="urn:microsoft.com/office/officeart/2005/8/layout/gear1"/>
    <dgm:cxn modelId="{D4CB8B6B-5A48-44AB-AA81-38655EF834B1}" type="presOf" srcId="{641D014E-7DD8-4492-B258-C873C896CDBC}" destId="{947FA6FC-CF78-4CDB-807E-8B57242BBAFF}" srcOrd="0" destOrd="0" presId="urn:microsoft.com/office/officeart/2005/8/layout/gear1"/>
    <dgm:cxn modelId="{E82FAFE2-E584-442D-898A-DB7ED2063A6F}" type="presOf" srcId="{D54FF74E-2C85-45C9-80ED-A1D85D3DD152}" destId="{D980306C-8014-4317-BFC9-6C3FE939BD80}" srcOrd="0" destOrd="0" presId="urn:microsoft.com/office/officeart/2005/8/layout/gear1"/>
    <dgm:cxn modelId="{DB47E5F2-349E-473D-8270-8D01455BCF9C}" srcId="{E8695CCB-A5BE-4C74-9B01-6D076AE49F11}" destId="{D54FF74E-2C85-45C9-80ED-A1D85D3DD152}" srcOrd="2" destOrd="0" parTransId="{21DFB902-6D76-4049-A4FB-AF5E993F082C}" sibTransId="{3E27CE7F-BC5B-4126-ADE3-428832132921}"/>
    <dgm:cxn modelId="{945C7428-9C5E-4D0E-9132-35F186A0F82E}" type="presOf" srcId="{AFE6C8BA-7733-4EF2-BA9A-ABC2DE62052B}" destId="{243171D5-1727-4D8F-B89C-CDD00836FE65}" srcOrd="2" destOrd="0" presId="urn:microsoft.com/office/officeart/2005/8/layout/gear1"/>
    <dgm:cxn modelId="{07B2B280-291C-4DFE-9E22-AF585F3476DC}" srcId="{E8695CCB-A5BE-4C74-9B01-6D076AE49F11}" destId="{7168C962-C9DD-4242-91CF-6E008F8495FE}" srcOrd="1" destOrd="0" parTransId="{D0275918-EA6C-4B9D-8091-765C08D6750F}" sibTransId="{41833C58-6FF2-40D7-AC58-E0ABF8883510}"/>
    <dgm:cxn modelId="{EE48D45C-A786-4178-B9F8-F55C485F5235}" type="presOf" srcId="{AFE6C8BA-7733-4EF2-BA9A-ABC2DE62052B}" destId="{35A905C1-F848-47F4-AE5F-5A8DB37E920D}" srcOrd="1" destOrd="0" presId="urn:microsoft.com/office/officeart/2005/8/layout/gear1"/>
    <dgm:cxn modelId="{F1885082-2DF9-440B-B1A8-3A72278584BC}" type="presOf" srcId="{3E27CE7F-BC5B-4126-ADE3-428832132921}" destId="{55E3654D-0DB6-4680-A093-8FA5EC5FFCEF}" srcOrd="0" destOrd="0" presId="urn:microsoft.com/office/officeart/2005/8/layout/gear1"/>
    <dgm:cxn modelId="{08E31D6B-23B3-439A-B15F-C2D4EC6094CF}" type="presOf" srcId="{7168C962-C9DD-4242-91CF-6E008F8495FE}" destId="{381E2842-8792-404D-A491-CB8B8C62DB9B}" srcOrd="2" destOrd="0" presId="urn:microsoft.com/office/officeart/2005/8/layout/gear1"/>
    <dgm:cxn modelId="{F14F8606-89A8-45D3-A283-77DF0CBF89C2}" type="presOf" srcId="{D54FF74E-2C85-45C9-80ED-A1D85D3DD152}" destId="{64535D22-C8CE-45D2-8BC2-B69750F1BBB0}" srcOrd="1" destOrd="0" presId="urn:microsoft.com/office/officeart/2005/8/layout/gear1"/>
    <dgm:cxn modelId="{248407C8-4A4C-4B36-85FE-48362DBBF41E}" type="presOf" srcId="{D54FF74E-2C85-45C9-80ED-A1D85D3DD152}" destId="{E29DC463-8190-4C10-9C58-599FAF8975B5}" srcOrd="2" destOrd="0" presId="urn:microsoft.com/office/officeart/2005/8/layout/gear1"/>
    <dgm:cxn modelId="{12103A8C-82BA-4C91-9EDE-7B44DE12F292}" srcId="{E8695CCB-A5BE-4C74-9B01-6D076AE49F11}" destId="{AFE6C8BA-7733-4EF2-BA9A-ABC2DE62052B}" srcOrd="0" destOrd="0" parTransId="{0F97C89B-E93E-4A95-827E-C6E36A4CC920}" sibTransId="{641D014E-7DD8-4492-B258-C873C896CDBC}"/>
    <dgm:cxn modelId="{199B7C1C-7E9C-4B89-8F03-45874A230333}" type="presOf" srcId="{D54FF74E-2C85-45C9-80ED-A1D85D3DD152}" destId="{15BF0F06-5269-47FA-B2A4-7D0777129083}" srcOrd="3" destOrd="0" presId="urn:microsoft.com/office/officeart/2005/8/layout/gear1"/>
    <dgm:cxn modelId="{D26636F0-15F4-4733-8E17-0C9E25B12425}" srcId="{E8695CCB-A5BE-4C74-9B01-6D076AE49F11}" destId="{4F92C6C0-2C5B-4912-BBF5-D511AE0540B1}" srcOrd="3" destOrd="0" parTransId="{1B470E3E-992D-4C7F-82B4-F0576CFB657E}" sibTransId="{4474F2BE-53C0-472F-8907-26CB6AC68959}"/>
    <dgm:cxn modelId="{B557345E-1D6B-46F5-8D33-161CF5A19FEB}" type="presOf" srcId="{AFE6C8BA-7733-4EF2-BA9A-ABC2DE62052B}" destId="{77BA4439-879F-4323-89E9-4650154F3187}" srcOrd="0" destOrd="0" presId="urn:microsoft.com/office/officeart/2005/8/layout/gear1"/>
    <dgm:cxn modelId="{9574EAA9-88D0-4E2E-8F9E-1888BC21CE42}" type="presParOf" srcId="{3188AB09-FB03-41B7-86E2-BA295B20CA19}" destId="{77BA4439-879F-4323-89E9-4650154F3187}" srcOrd="0" destOrd="0" presId="urn:microsoft.com/office/officeart/2005/8/layout/gear1"/>
    <dgm:cxn modelId="{33722656-56FB-4913-8D3C-394D978AABAC}" type="presParOf" srcId="{3188AB09-FB03-41B7-86E2-BA295B20CA19}" destId="{35A905C1-F848-47F4-AE5F-5A8DB37E920D}" srcOrd="1" destOrd="0" presId="urn:microsoft.com/office/officeart/2005/8/layout/gear1"/>
    <dgm:cxn modelId="{93AFCCA3-6A6F-4212-9841-5733EE15A774}" type="presParOf" srcId="{3188AB09-FB03-41B7-86E2-BA295B20CA19}" destId="{243171D5-1727-4D8F-B89C-CDD00836FE65}" srcOrd="2" destOrd="0" presId="urn:microsoft.com/office/officeart/2005/8/layout/gear1"/>
    <dgm:cxn modelId="{B94D48BE-8724-495D-A1A8-34E57399E052}" type="presParOf" srcId="{3188AB09-FB03-41B7-86E2-BA295B20CA19}" destId="{2013896A-4CDC-4279-8B2B-5AFFE340A6FB}" srcOrd="3" destOrd="0" presId="urn:microsoft.com/office/officeart/2005/8/layout/gear1"/>
    <dgm:cxn modelId="{1B37D2D2-FD69-49CD-AB4B-53CD1618F040}" type="presParOf" srcId="{3188AB09-FB03-41B7-86E2-BA295B20CA19}" destId="{C129D9F3-A43F-45F5-9AA5-B233CEBBD0AE}" srcOrd="4" destOrd="0" presId="urn:microsoft.com/office/officeart/2005/8/layout/gear1"/>
    <dgm:cxn modelId="{F1E64E8E-3E6A-4857-A0E2-C088327FE1B9}" type="presParOf" srcId="{3188AB09-FB03-41B7-86E2-BA295B20CA19}" destId="{381E2842-8792-404D-A491-CB8B8C62DB9B}" srcOrd="5" destOrd="0" presId="urn:microsoft.com/office/officeart/2005/8/layout/gear1"/>
    <dgm:cxn modelId="{DC25FD67-EB09-43B3-9DB7-132256C62F1B}" type="presParOf" srcId="{3188AB09-FB03-41B7-86E2-BA295B20CA19}" destId="{D980306C-8014-4317-BFC9-6C3FE939BD80}" srcOrd="6" destOrd="0" presId="urn:microsoft.com/office/officeart/2005/8/layout/gear1"/>
    <dgm:cxn modelId="{C4387E20-E897-4C6E-AD9F-A9A152E9E200}" type="presParOf" srcId="{3188AB09-FB03-41B7-86E2-BA295B20CA19}" destId="{64535D22-C8CE-45D2-8BC2-B69750F1BBB0}" srcOrd="7" destOrd="0" presId="urn:microsoft.com/office/officeart/2005/8/layout/gear1"/>
    <dgm:cxn modelId="{C42A150E-9902-491A-8212-52C5568CB6B4}" type="presParOf" srcId="{3188AB09-FB03-41B7-86E2-BA295B20CA19}" destId="{E29DC463-8190-4C10-9C58-599FAF8975B5}" srcOrd="8" destOrd="0" presId="urn:microsoft.com/office/officeart/2005/8/layout/gear1"/>
    <dgm:cxn modelId="{9B68E988-D405-4002-82DF-608B7F6A2319}" type="presParOf" srcId="{3188AB09-FB03-41B7-86E2-BA295B20CA19}" destId="{15BF0F06-5269-47FA-B2A4-7D0777129083}" srcOrd="9" destOrd="0" presId="urn:microsoft.com/office/officeart/2005/8/layout/gear1"/>
    <dgm:cxn modelId="{04A8ADF0-8CBD-4C18-A5C0-9F58D6B44C2A}" type="presParOf" srcId="{3188AB09-FB03-41B7-86E2-BA295B20CA19}" destId="{947FA6FC-CF78-4CDB-807E-8B57242BBAFF}" srcOrd="10" destOrd="0" presId="urn:microsoft.com/office/officeart/2005/8/layout/gear1"/>
    <dgm:cxn modelId="{29C60616-91DC-438A-9DB1-B26AC6BE1014}" type="presParOf" srcId="{3188AB09-FB03-41B7-86E2-BA295B20CA19}" destId="{A63E2AD0-8EFF-471E-8064-50A38B7335D9}" srcOrd="11" destOrd="0" presId="urn:microsoft.com/office/officeart/2005/8/layout/gear1"/>
    <dgm:cxn modelId="{68654503-55B0-4F99-B6B3-857B9BCDD832}" type="presParOf" srcId="{3188AB09-FB03-41B7-86E2-BA295B20CA19}" destId="{55E3654D-0DB6-4680-A093-8FA5EC5FFCEF}" srcOrd="12" destOrd="0" presId="urn:microsoft.com/office/officeart/2005/8/layout/gear1"/>
  </dgm:cxnLst>
  <dgm:bg/>
  <dgm:whole/>
  <dgm:extLst>
    <a:ext uri="http://schemas.microsoft.com/office/drawing/2008/diagram">
      <dsp:dataModelExt xmlns:dsp="http://schemas.microsoft.com/office/drawing/2008/diagram" xmlns="" relId="rId8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61CA47E-545C-4CB1-ACA7-B26D8BE0A192}" type="doc">
      <dgm:prSet loTypeId="urn:microsoft.com/office/officeart/2005/8/layout/target3" loCatId="relationship" qsTypeId="urn:microsoft.com/office/officeart/2005/8/quickstyle/simple1" qsCatId="simple" csTypeId="urn:microsoft.com/office/officeart/2005/8/colors/colorful4" csCatId="colorful" phldr="1"/>
      <dgm:spPr/>
      <dgm:t>
        <a:bodyPr/>
        <a:lstStyle/>
        <a:p>
          <a:endParaRPr lang="nl-NL"/>
        </a:p>
      </dgm:t>
    </dgm:pt>
    <dgm:pt modelId="{84EC7AE1-6E34-4E6F-8163-6918C49A499B}">
      <dgm:prSet phldrT="[Text]" custT="1"/>
      <dgm:spPr/>
      <dgm:t>
        <a:bodyPr/>
        <a:lstStyle/>
        <a:p>
          <a:r>
            <a:rPr lang="nl-NL" sz="1000"/>
            <a:t>free access and use</a:t>
          </a:r>
        </a:p>
      </dgm:t>
    </dgm:pt>
    <dgm:pt modelId="{07575142-8DA3-4B21-960B-C4ED75A22F3E}" type="parTrans" cxnId="{7E082FC8-BB99-4227-AECB-D10F7DD9A674}">
      <dgm:prSet/>
      <dgm:spPr/>
      <dgm:t>
        <a:bodyPr/>
        <a:lstStyle/>
        <a:p>
          <a:endParaRPr lang="nl-NL"/>
        </a:p>
      </dgm:t>
    </dgm:pt>
    <dgm:pt modelId="{6AE776DF-12E5-4E87-A33C-33D7A55A140F}" type="sibTrans" cxnId="{7E082FC8-BB99-4227-AECB-D10F7DD9A674}">
      <dgm:prSet/>
      <dgm:spPr/>
      <dgm:t>
        <a:bodyPr/>
        <a:lstStyle/>
        <a:p>
          <a:endParaRPr lang="nl-NL"/>
        </a:p>
      </dgm:t>
    </dgm:pt>
    <dgm:pt modelId="{CB7C68FC-8623-4F3E-8EDF-6D208A0938E9}">
      <dgm:prSet phldrT="[Text]" custT="1"/>
      <dgm:spPr/>
      <dgm:t>
        <a:bodyPr/>
        <a:lstStyle/>
        <a:p>
          <a:r>
            <a:rPr lang="nl-NL" sz="1000"/>
            <a:t>no validation</a:t>
          </a:r>
        </a:p>
      </dgm:t>
    </dgm:pt>
    <dgm:pt modelId="{EDC52F93-BF71-4440-B57D-0580B3029770}" type="parTrans" cxnId="{35B62853-4480-4146-8D80-745396528DFD}">
      <dgm:prSet/>
      <dgm:spPr/>
      <dgm:t>
        <a:bodyPr/>
        <a:lstStyle/>
        <a:p>
          <a:endParaRPr lang="nl-NL"/>
        </a:p>
      </dgm:t>
    </dgm:pt>
    <dgm:pt modelId="{0668ACE5-3D83-4D13-A81B-645A90F0FB3C}" type="sibTrans" cxnId="{35B62853-4480-4146-8D80-745396528DFD}">
      <dgm:prSet/>
      <dgm:spPr/>
      <dgm:t>
        <a:bodyPr/>
        <a:lstStyle/>
        <a:p>
          <a:endParaRPr lang="nl-NL"/>
        </a:p>
      </dgm:t>
    </dgm:pt>
    <dgm:pt modelId="{A51D0D8C-3316-45AA-A19B-0B3B8951D38B}">
      <dgm:prSet phldrT="[Text]"/>
      <dgm:spPr>
        <a:ln>
          <a:solidFill>
            <a:srgbClr val="BEC531"/>
          </a:solidFill>
        </a:ln>
      </dgm:spPr>
      <dgm:t>
        <a:bodyPr/>
        <a:lstStyle/>
        <a:p>
          <a:r>
            <a:rPr lang="nl-NL"/>
            <a:t>Free Data</a:t>
          </a:r>
        </a:p>
      </dgm:t>
    </dgm:pt>
    <dgm:pt modelId="{6B038BF1-F3B3-4707-BBC8-BC0A2E324937}" type="parTrans" cxnId="{01DB4A5C-259E-4CB0-9834-3AC6633E1DF5}">
      <dgm:prSet/>
      <dgm:spPr/>
      <dgm:t>
        <a:bodyPr/>
        <a:lstStyle/>
        <a:p>
          <a:endParaRPr lang="nl-NL"/>
        </a:p>
      </dgm:t>
    </dgm:pt>
    <dgm:pt modelId="{A0A11A2C-15B5-4585-91A8-133E0230F5A6}" type="sibTrans" cxnId="{01DB4A5C-259E-4CB0-9834-3AC6633E1DF5}">
      <dgm:prSet/>
      <dgm:spPr/>
      <dgm:t>
        <a:bodyPr/>
        <a:lstStyle/>
        <a:p>
          <a:endParaRPr lang="nl-NL"/>
        </a:p>
      </dgm:t>
    </dgm:pt>
    <dgm:pt modelId="{1C77156F-F4BB-43F6-AE38-33883347E0BC}">
      <dgm:prSet phldrT="[Text]" custT="1"/>
      <dgm:spPr/>
      <dgm:t>
        <a:bodyPr/>
        <a:lstStyle/>
        <a:p>
          <a:r>
            <a:rPr lang="nl-NL" sz="1000"/>
            <a:t>validated data</a:t>
          </a:r>
        </a:p>
      </dgm:t>
    </dgm:pt>
    <dgm:pt modelId="{3A7BB7C0-1BBB-4078-8AB9-02A1AF6D9515}" type="parTrans" cxnId="{4E7F4B0A-2AB2-4947-83B0-23DAD48C917A}">
      <dgm:prSet/>
      <dgm:spPr/>
      <dgm:t>
        <a:bodyPr/>
        <a:lstStyle/>
        <a:p>
          <a:endParaRPr lang="nl-NL"/>
        </a:p>
      </dgm:t>
    </dgm:pt>
    <dgm:pt modelId="{6AE370AC-AB96-471D-8679-91E716B896B1}" type="sibTrans" cxnId="{4E7F4B0A-2AB2-4947-83B0-23DAD48C917A}">
      <dgm:prSet/>
      <dgm:spPr/>
      <dgm:t>
        <a:bodyPr/>
        <a:lstStyle/>
        <a:p>
          <a:endParaRPr lang="nl-NL"/>
        </a:p>
      </dgm:t>
    </dgm:pt>
    <dgm:pt modelId="{D481494C-5E2F-4C18-8635-4A634ADD928C}">
      <dgm:prSet phldrT="[Text]" custT="1"/>
      <dgm:spPr/>
      <dgm:t>
        <a:bodyPr/>
        <a:lstStyle/>
        <a:p>
          <a:r>
            <a:rPr lang="nl-NL" sz="1000"/>
            <a:t>free access and use</a:t>
          </a:r>
        </a:p>
      </dgm:t>
    </dgm:pt>
    <dgm:pt modelId="{E55FD527-5D78-4EDE-9B0D-D784FDFD3B4A}" type="parTrans" cxnId="{AA30BB47-300B-48A8-8A37-50BF284D67B9}">
      <dgm:prSet/>
      <dgm:spPr/>
      <dgm:t>
        <a:bodyPr/>
        <a:lstStyle/>
        <a:p>
          <a:endParaRPr lang="nl-NL"/>
        </a:p>
      </dgm:t>
    </dgm:pt>
    <dgm:pt modelId="{B7D7328B-CD3F-4215-997F-8E2E45F8BE17}" type="sibTrans" cxnId="{AA30BB47-300B-48A8-8A37-50BF284D67B9}">
      <dgm:prSet/>
      <dgm:spPr/>
      <dgm:t>
        <a:bodyPr/>
        <a:lstStyle/>
        <a:p>
          <a:endParaRPr lang="nl-NL"/>
        </a:p>
      </dgm:t>
    </dgm:pt>
    <dgm:pt modelId="{6F63D32B-4C2D-4344-9BC9-EC098BAF8C84}">
      <dgm:prSet phldrT="[Text]"/>
      <dgm:spPr>
        <a:ln>
          <a:solidFill>
            <a:srgbClr val="F89A3A"/>
          </a:solidFill>
        </a:ln>
      </dgm:spPr>
      <dgm:t>
        <a:bodyPr/>
        <a:lstStyle/>
        <a:p>
          <a:r>
            <a:rPr lang="nl-NL"/>
            <a:t>Restricted data</a:t>
          </a:r>
        </a:p>
      </dgm:t>
    </dgm:pt>
    <dgm:pt modelId="{777C8D65-3D15-4ADB-9A85-7310B85FB436}" type="parTrans" cxnId="{1E10924B-B9F4-40F9-9C5E-D312D269A4BB}">
      <dgm:prSet/>
      <dgm:spPr/>
      <dgm:t>
        <a:bodyPr/>
        <a:lstStyle/>
        <a:p>
          <a:endParaRPr lang="nl-NL"/>
        </a:p>
      </dgm:t>
    </dgm:pt>
    <dgm:pt modelId="{6B14AB94-5FB3-480A-9241-BEDDB4F51079}" type="sibTrans" cxnId="{1E10924B-B9F4-40F9-9C5E-D312D269A4BB}">
      <dgm:prSet/>
      <dgm:spPr/>
      <dgm:t>
        <a:bodyPr/>
        <a:lstStyle/>
        <a:p>
          <a:endParaRPr lang="nl-NL"/>
        </a:p>
      </dgm:t>
    </dgm:pt>
    <dgm:pt modelId="{0A1095D4-2F00-43F9-ACF1-7067D29CC3AC}">
      <dgm:prSet phldrT="[Text]" custT="1"/>
      <dgm:spPr/>
      <dgm:t>
        <a:bodyPr/>
        <a:lstStyle/>
        <a:p>
          <a:r>
            <a:rPr lang="nl-NL" sz="900"/>
            <a:t>validated data</a:t>
          </a:r>
        </a:p>
      </dgm:t>
    </dgm:pt>
    <dgm:pt modelId="{56A97F89-51B0-416E-9683-46391C1A3868}" type="parTrans" cxnId="{E39DA8AE-1A72-4C07-AA81-E9EE5B647BFD}">
      <dgm:prSet/>
      <dgm:spPr/>
      <dgm:t>
        <a:bodyPr/>
        <a:lstStyle/>
        <a:p>
          <a:endParaRPr lang="nl-NL"/>
        </a:p>
      </dgm:t>
    </dgm:pt>
    <dgm:pt modelId="{243ED6EF-2DCF-44BD-A6A7-D4474F04DA4C}" type="sibTrans" cxnId="{E39DA8AE-1A72-4C07-AA81-E9EE5B647BFD}">
      <dgm:prSet/>
      <dgm:spPr/>
      <dgm:t>
        <a:bodyPr/>
        <a:lstStyle/>
        <a:p>
          <a:endParaRPr lang="nl-NL"/>
        </a:p>
      </dgm:t>
    </dgm:pt>
    <dgm:pt modelId="{A5A4B827-9F6E-4E62-9298-F99E567BE9E1}">
      <dgm:prSet phldrT="[Text]" custT="1"/>
      <dgm:spPr/>
      <dgm:t>
        <a:bodyPr/>
        <a:lstStyle/>
        <a:p>
          <a:r>
            <a:rPr lang="nl-NL" sz="900"/>
            <a:t>copy-protected</a:t>
          </a:r>
        </a:p>
      </dgm:t>
    </dgm:pt>
    <dgm:pt modelId="{EF21EA15-3205-43B5-BC88-84AA7F828902}" type="parTrans" cxnId="{E9D532ED-83B7-4737-AF16-7D72F28305E4}">
      <dgm:prSet/>
      <dgm:spPr/>
      <dgm:t>
        <a:bodyPr/>
        <a:lstStyle/>
        <a:p>
          <a:endParaRPr lang="nl-NL"/>
        </a:p>
      </dgm:t>
    </dgm:pt>
    <dgm:pt modelId="{6D6FACC8-B6E2-474D-8AEF-E05C59EE2C99}" type="sibTrans" cxnId="{E9D532ED-83B7-4737-AF16-7D72F28305E4}">
      <dgm:prSet/>
      <dgm:spPr/>
      <dgm:t>
        <a:bodyPr/>
        <a:lstStyle/>
        <a:p>
          <a:endParaRPr lang="nl-NL"/>
        </a:p>
      </dgm:t>
    </dgm:pt>
    <dgm:pt modelId="{64E5E63B-2F47-4483-A306-D03D770111F1}">
      <dgm:prSet phldrT="[Text]" custT="1"/>
      <dgm:spPr/>
      <dgm:t>
        <a:bodyPr/>
        <a:lstStyle/>
        <a:p>
          <a:r>
            <a:rPr lang="nl-NL" sz="900"/>
            <a:t>pay for use</a:t>
          </a:r>
        </a:p>
      </dgm:t>
    </dgm:pt>
    <dgm:pt modelId="{3029707F-AC9D-4647-A424-E471476703BE}" type="parTrans" cxnId="{1BCAAF02-926F-44E6-945A-3334DD39C489}">
      <dgm:prSet/>
      <dgm:spPr/>
      <dgm:t>
        <a:bodyPr/>
        <a:lstStyle/>
        <a:p>
          <a:endParaRPr lang="nl-NL"/>
        </a:p>
      </dgm:t>
    </dgm:pt>
    <dgm:pt modelId="{95FE32AB-E8CB-46FE-A1BF-BD71A33738FF}" type="sibTrans" cxnId="{1BCAAF02-926F-44E6-945A-3334DD39C489}">
      <dgm:prSet/>
      <dgm:spPr/>
      <dgm:t>
        <a:bodyPr/>
        <a:lstStyle/>
        <a:p>
          <a:endParaRPr lang="nl-NL"/>
        </a:p>
      </dgm:t>
    </dgm:pt>
    <dgm:pt modelId="{86B00A3D-20B9-4758-A756-E6224BFA76A0}">
      <dgm:prSet phldrT="[Text]" custT="1"/>
      <dgm:spPr/>
      <dgm:t>
        <a:bodyPr/>
        <a:lstStyle/>
        <a:p>
          <a:endParaRPr lang="nl-NL" sz="900"/>
        </a:p>
      </dgm:t>
    </dgm:pt>
    <dgm:pt modelId="{3A6DA1B0-A71A-4A65-BD0C-5AE1677D8B0C}" type="parTrans" cxnId="{72C1043B-DA31-443D-880F-CCD55011BF61}">
      <dgm:prSet/>
      <dgm:spPr/>
      <dgm:t>
        <a:bodyPr/>
        <a:lstStyle/>
        <a:p>
          <a:endParaRPr lang="nl-NL"/>
        </a:p>
      </dgm:t>
    </dgm:pt>
    <dgm:pt modelId="{DD20BF59-A17E-4F9E-A741-A2C566261007}" type="sibTrans" cxnId="{72C1043B-DA31-443D-880F-CCD55011BF61}">
      <dgm:prSet/>
      <dgm:spPr/>
      <dgm:t>
        <a:bodyPr/>
        <a:lstStyle/>
        <a:p>
          <a:endParaRPr lang="nl-NL"/>
        </a:p>
      </dgm:t>
    </dgm:pt>
    <dgm:pt modelId="{BF591CAF-5E81-694D-B33F-DC3AC86C080F}">
      <dgm:prSet phldrT="[Text]" custT="1"/>
      <dgm:spPr/>
      <dgm:t>
        <a:bodyPr/>
        <a:lstStyle/>
        <a:p>
          <a:r>
            <a:rPr lang="nl-NL" sz="900"/>
            <a:t>Authenticated access</a:t>
          </a:r>
        </a:p>
      </dgm:t>
    </dgm:pt>
    <dgm:pt modelId="{B7A53870-82FA-9145-B008-FE1E49FAAD21}" type="parTrans" cxnId="{1A572B10-6C0F-7940-8AD6-C1388A318DBF}">
      <dgm:prSet/>
      <dgm:spPr/>
      <dgm:t>
        <a:bodyPr/>
        <a:lstStyle/>
        <a:p>
          <a:endParaRPr lang="en-US"/>
        </a:p>
      </dgm:t>
    </dgm:pt>
    <dgm:pt modelId="{54A0D95B-567A-204C-A8C9-84ED5902DD0B}" type="sibTrans" cxnId="{1A572B10-6C0F-7940-8AD6-C1388A318DBF}">
      <dgm:prSet/>
      <dgm:spPr/>
      <dgm:t>
        <a:bodyPr/>
        <a:lstStyle/>
        <a:p>
          <a:endParaRPr lang="en-US"/>
        </a:p>
      </dgm:t>
    </dgm:pt>
    <dgm:pt modelId="{679515C3-9B8C-472E-B737-DB47A12FA908}">
      <dgm:prSet phldrT="[Text]"/>
      <dgm:spPr>
        <a:ln>
          <a:solidFill>
            <a:srgbClr val="059973"/>
          </a:solidFill>
        </a:ln>
      </dgm:spPr>
      <dgm:t>
        <a:bodyPr/>
        <a:lstStyle/>
        <a:p>
          <a:pPr algn="ctr"/>
          <a:r>
            <a:rPr lang="nl-NL"/>
            <a:t>Open data</a:t>
          </a:r>
        </a:p>
      </dgm:t>
    </dgm:pt>
    <dgm:pt modelId="{FD6D6426-5120-4B58-BF17-B5B051175D15}" type="sibTrans" cxnId="{D9576C7C-57B4-4E43-9BDE-81B6D1418E1A}">
      <dgm:prSet/>
      <dgm:spPr/>
      <dgm:t>
        <a:bodyPr/>
        <a:lstStyle/>
        <a:p>
          <a:endParaRPr lang="nl-NL"/>
        </a:p>
      </dgm:t>
    </dgm:pt>
    <dgm:pt modelId="{08DA926D-DED4-4918-A2B4-AFAACD1ED608}" type="parTrans" cxnId="{D9576C7C-57B4-4E43-9BDE-81B6D1418E1A}">
      <dgm:prSet/>
      <dgm:spPr/>
      <dgm:t>
        <a:bodyPr/>
        <a:lstStyle/>
        <a:p>
          <a:endParaRPr lang="nl-NL"/>
        </a:p>
      </dgm:t>
    </dgm:pt>
    <dgm:pt modelId="{0E1A3F12-F4AA-49DC-9F47-81FD87EA04C4}" type="pres">
      <dgm:prSet presAssocID="{A61CA47E-545C-4CB1-ACA7-B26D8BE0A192}" presName="Name0" presStyleCnt="0">
        <dgm:presLayoutVars>
          <dgm:chMax val="7"/>
          <dgm:dir/>
          <dgm:animLvl val="lvl"/>
          <dgm:resizeHandles val="exact"/>
        </dgm:presLayoutVars>
      </dgm:prSet>
      <dgm:spPr/>
      <dgm:t>
        <a:bodyPr/>
        <a:lstStyle/>
        <a:p>
          <a:endParaRPr lang="en-US"/>
        </a:p>
      </dgm:t>
    </dgm:pt>
    <dgm:pt modelId="{6D1CCE1E-5A69-4C3F-908A-FC7156ED57F1}" type="pres">
      <dgm:prSet presAssocID="{679515C3-9B8C-472E-B737-DB47A12FA908}" presName="circle1" presStyleLbl="node1" presStyleIdx="0" presStyleCnt="3"/>
      <dgm:spPr>
        <a:solidFill>
          <a:srgbClr val="059973"/>
        </a:solidFill>
      </dgm:spPr>
    </dgm:pt>
    <dgm:pt modelId="{6DC3D27A-6534-4EA2-8B50-EF97EB139020}" type="pres">
      <dgm:prSet presAssocID="{679515C3-9B8C-472E-B737-DB47A12FA908}" presName="space" presStyleCnt="0"/>
      <dgm:spPr/>
    </dgm:pt>
    <dgm:pt modelId="{0E63EE1F-71AC-403E-BE23-44B5026716F2}" type="pres">
      <dgm:prSet presAssocID="{679515C3-9B8C-472E-B737-DB47A12FA908}" presName="rect1" presStyleLbl="alignAcc1" presStyleIdx="0" presStyleCnt="3"/>
      <dgm:spPr/>
      <dgm:t>
        <a:bodyPr/>
        <a:lstStyle/>
        <a:p>
          <a:endParaRPr lang="en-US"/>
        </a:p>
      </dgm:t>
    </dgm:pt>
    <dgm:pt modelId="{7E154400-7823-4E2A-B24A-FAA5459789AD}" type="pres">
      <dgm:prSet presAssocID="{A51D0D8C-3316-45AA-A19B-0B3B8951D38B}" presName="vertSpace2" presStyleLbl="node1" presStyleIdx="0" presStyleCnt="3"/>
      <dgm:spPr/>
    </dgm:pt>
    <dgm:pt modelId="{2507622E-6132-42EB-ABAF-0A0C6C7D755B}" type="pres">
      <dgm:prSet presAssocID="{A51D0D8C-3316-45AA-A19B-0B3B8951D38B}" presName="circle2" presStyleLbl="node1" presStyleIdx="1" presStyleCnt="3"/>
      <dgm:spPr>
        <a:solidFill>
          <a:srgbClr val="BEC531"/>
        </a:solidFill>
      </dgm:spPr>
    </dgm:pt>
    <dgm:pt modelId="{700EA949-AA36-49F2-AE05-D9322E6E5EE2}" type="pres">
      <dgm:prSet presAssocID="{A51D0D8C-3316-45AA-A19B-0B3B8951D38B}" presName="rect2" presStyleLbl="alignAcc1" presStyleIdx="1" presStyleCnt="3"/>
      <dgm:spPr/>
      <dgm:t>
        <a:bodyPr/>
        <a:lstStyle/>
        <a:p>
          <a:endParaRPr lang="en-US"/>
        </a:p>
      </dgm:t>
    </dgm:pt>
    <dgm:pt modelId="{79488E92-269A-46D5-9AAF-6DEFF8002BB7}" type="pres">
      <dgm:prSet presAssocID="{6F63D32B-4C2D-4344-9BC9-EC098BAF8C84}" presName="vertSpace3" presStyleLbl="node1" presStyleIdx="1" presStyleCnt="3"/>
      <dgm:spPr/>
    </dgm:pt>
    <dgm:pt modelId="{55B4D71C-3605-46FB-867D-723A7D53191D}" type="pres">
      <dgm:prSet presAssocID="{6F63D32B-4C2D-4344-9BC9-EC098BAF8C84}" presName="circle3" presStyleLbl="node1" presStyleIdx="2" presStyleCnt="3"/>
      <dgm:spPr>
        <a:solidFill>
          <a:srgbClr val="F89A3A"/>
        </a:solidFill>
      </dgm:spPr>
    </dgm:pt>
    <dgm:pt modelId="{7CF53126-64CC-46CB-B792-A25D5525FF73}" type="pres">
      <dgm:prSet presAssocID="{6F63D32B-4C2D-4344-9BC9-EC098BAF8C84}" presName="rect3" presStyleLbl="alignAcc1" presStyleIdx="2" presStyleCnt="3"/>
      <dgm:spPr/>
      <dgm:t>
        <a:bodyPr/>
        <a:lstStyle/>
        <a:p>
          <a:endParaRPr lang="en-US"/>
        </a:p>
      </dgm:t>
    </dgm:pt>
    <dgm:pt modelId="{CEFB935F-DCD6-4356-A480-7960499BD97B}" type="pres">
      <dgm:prSet presAssocID="{679515C3-9B8C-472E-B737-DB47A12FA908}" presName="rect1ParTx" presStyleLbl="alignAcc1" presStyleIdx="2" presStyleCnt="3">
        <dgm:presLayoutVars>
          <dgm:chMax val="1"/>
          <dgm:bulletEnabled val="1"/>
        </dgm:presLayoutVars>
      </dgm:prSet>
      <dgm:spPr/>
      <dgm:t>
        <a:bodyPr/>
        <a:lstStyle/>
        <a:p>
          <a:endParaRPr lang="en-US"/>
        </a:p>
      </dgm:t>
    </dgm:pt>
    <dgm:pt modelId="{2848AA99-F700-4472-8F46-DC7407311A90}" type="pres">
      <dgm:prSet presAssocID="{679515C3-9B8C-472E-B737-DB47A12FA908}" presName="rect1ChTx" presStyleLbl="alignAcc1" presStyleIdx="2" presStyleCnt="3">
        <dgm:presLayoutVars>
          <dgm:bulletEnabled val="1"/>
        </dgm:presLayoutVars>
      </dgm:prSet>
      <dgm:spPr/>
      <dgm:t>
        <a:bodyPr/>
        <a:lstStyle/>
        <a:p>
          <a:endParaRPr lang="en-US"/>
        </a:p>
      </dgm:t>
    </dgm:pt>
    <dgm:pt modelId="{E9E0370F-52DE-4439-9021-F82C904F9921}" type="pres">
      <dgm:prSet presAssocID="{A51D0D8C-3316-45AA-A19B-0B3B8951D38B}" presName="rect2ParTx" presStyleLbl="alignAcc1" presStyleIdx="2" presStyleCnt="3">
        <dgm:presLayoutVars>
          <dgm:chMax val="1"/>
          <dgm:bulletEnabled val="1"/>
        </dgm:presLayoutVars>
      </dgm:prSet>
      <dgm:spPr/>
      <dgm:t>
        <a:bodyPr/>
        <a:lstStyle/>
        <a:p>
          <a:endParaRPr lang="en-US"/>
        </a:p>
      </dgm:t>
    </dgm:pt>
    <dgm:pt modelId="{1967753B-4AEB-45F2-A9DF-8BD485537E15}" type="pres">
      <dgm:prSet presAssocID="{A51D0D8C-3316-45AA-A19B-0B3B8951D38B}" presName="rect2ChTx" presStyleLbl="alignAcc1" presStyleIdx="2" presStyleCnt="3">
        <dgm:presLayoutVars>
          <dgm:bulletEnabled val="1"/>
        </dgm:presLayoutVars>
      </dgm:prSet>
      <dgm:spPr/>
      <dgm:t>
        <a:bodyPr/>
        <a:lstStyle/>
        <a:p>
          <a:endParaRPr lang="en-US"/>
        </a:p>
      </dgm:t>
    </dgm:pt>
    <dgm:pt modelId="{B7D2C401-BEE4-4164-B9A1-E1836E0515C4}" type="pres">
      <dgm:prSet presAssocID="{6F63D32B-4C2D-4344-9BC9-EC098BAF8C84}" presName="rect3ParTx" presStyleLbl="alignAcc1" presStyleIdx="2" presStyleCnt="3">
        <dgm:presLayoutVars>
          <dgm:chMax val="1"/>
          <dgm:bulletEnabled val="1"/>
        </dgm:presLayoutVars>
      </dgm:prSet>
      <dgm:spPr/>
      <dgm:t>
        <a:bodyPr/>
        <a:lstStyle/>
        <a:p>
          <a:endParaRPr lang="en-US"/>
        </a:p>
      </dgm:t>
    </dgm:pt>
    <dgm:pt modelId="{468E3F59-9257-48D1-A719-4C0FEF6564C7}" type="pres">
      <dgm:prSet presAssocID="{6F63D32B-4C2D-4344-9BC9-EC098BAF8C84}" presName="rect3ChTx" presStyleLbl="alignAcc1" presStyleIdx="2" presStyleCnt="3">
        <dgm:presLayoutVars>
          <dgm:bulletEnabled val="1"/>
        </dgm:presLayoutVars>
      </dgm:prSet>
      <dgm:spPr/>
      <dgm:t>
        <a:bodyPr/>
        <a:lstStyle/>
        <a:p>
          <a:endParaRPr lang="en-US"/>
        </a:p>
      </dgm:t>
    </dgm:pt>
  </dgm:ptLst>
  <dgm:cxnLst>
    <dgm:cxn modelId="{7E082FC8-BB99-4227-AECB-D10F7DD9A674}" srcId="{679515C3-9B8C-472E-B737-DB47A12FA908}" destId="{84EC7AE1-6E34-4E6F-8163-6918C49A499B}" srcOrd="0" destOrd="0" parTransId="{07575142-8DA3-4B21-960B-C4ED75A22F3E}" sibTransId="{6AE776DF-12E5-4E87-A33C-33D7A55A140F}"/>
    <dgm:cxn modelId="{D524DE53-291D-49A2-B0FC-C97D04F3C5AD}" type="presOf" srcId="{84EC7AE1-6E34-4E6F-8163-6918C49A499B}" destId="{2848AA99-F700-4472-8F46-DC7407311A90}" srcOrd="0" destOrd="0" presId="urn:microsoft.com/office/officeart/2005/8/layout/target3"/>
    <dgm:cxn modelId="{1E10924B-B9F4-40F9-9C5E-D312D269A4BB}" srcId="{A61CA47E-545C-4CB1-ACA7-B26D8BE0A192}" destId="{6F63D32B-4C2D-4344-9BC9-EC098BAF8C84}" srcOrd="2" destOrd="0" parTransId="{777C8D65-3D15-4ADB-9A85-7310B85FB436}" sibTransId="{6B14AB94-5FB3-480A-9241-BEDDB4F51079}"/>
    <dgm:cxn modelId="{3C8883A8-9E93-4EEA-9285-47782F21DB69}" type="presOf" srcId="{64E5E63B-2F47-4483-A306-D03D770111F1}" destId="{468E3F59-9257-48D1-A719-4C0FEF6564C7}" srcOrd="0" destOrd="2" presId="urn:microsoft.com/office/officeart/2005/8/layout/target3"/>
    <dgm:cxn modelId="{99C838F6-3E98-4AA5-B8B0-B0C2B4373FD9}" type="presOf" srcId="{D481494C-5E2F-4C18-8635-4A634ADD928C}" destId="{1967753B-4AEB-45F2-A9DF-8BD485537E15}" srcOrd="0" destOrd="1" presId="urn:microsoft.com/office/officeart/2005/8/layout/target3"/>
    <dgm:cxn modelId="{1A572B10-6C0F-7940-8AD6-C1388A318DBF}" srcId="{6F63D32B-4C2D-4344-9BC9-EC098BAF8C84}" destId="{BF591CAF-5E81-694D-B33F-DC3AC86C080F}" srcOrd="3" destOrd="0" parTransId="{B7A53870-82FA-9145-B008-FE1E49FAAD21}" sibTransId="{54A0D95B-567A-204C-A8C9-84ED5902DD0B}"/>
    <dgm:cxn modelId="{D9576C7C-57B4-4E43-9BDE-81B6D1418E1A}" srcId="{A61CA47E-545C-4CB1-ACA7-B26D8BE0A192}" destId="{679515C3-9B8C-472E-B737-DB47A12FA908}" srcOrd="0" destOrd="0" parTransId="{08DA926D-DED4-4918-A2B4-AFAACD1ED608}" sibTransId="{FD6D6426-5120-4B58-BF17-B5B051175D15}"/>
    <dgm:cxn modelId="{4D6591E1-6981-49F4-9F85-982691B4B52B}" type="presOf" srcId="{A5A4B827-9F6E-4E62-9298-F99E567BE9E1}" destId="{468E3F59-9257-48D1-A719-4C0FEF6564C7}" srcOrd="0" destOrd="1" presId="urn:microsoft.com/office/officeart/2005/8/layout/target3"/>
    <dgm:cxn modelId="{361349F9-A414-4C62-B0E2-F677B60CFD18}" type="presOf" srcId="{679515C3-9B8C-472E-B737-DB47A12FA908}" destId="{0E63EE1F-71AC-403E-BE23-44B5026716F2}" srcOrd="0" destOrd="0" presId="urn:microsoft.com/office/officeart/2005/8/layout/target3"/>
    <dgm:cxn modelId="{F5CD0684-B35C-40FC-8C73-586865FB0E47}" type="presOf" srcId="{A51D0D8C-3316-45AA-A19B-0B3B8951D38B}" destId="{E9E0370F-52DE-4439-9021-F82C904F9921}" srcOrd="1" destOrd="0" presId="urn:microsoft.com/office/officeart/2005/8/layout/target3"/>
    <dgm:cxn modelId="{50AB36EF-6843-48D9-8016-1229644BE03D}" type="presOf" srcId="{6F63D32B-4C2D-4344-9BC9-EC098BAF8C84}" destId="{7CF53126-64CC-46CB-B792-A25D5525FF73}" srcOrd="0" destOrd="0" presId="urn:microsoft.com/office/officeart/2005/8/layout/target3"/>
    <dgm:cxn modelId="{D1800C43-69A8-4C06-B9FB-B40ABCFBA9F3}" type="presOf" srcId="{6F63D32B-4C2D-4344-9BC9-EC098BAF8C84}" destId="{B7D2C401-BEE4-4164-B9A1-E1836E0515C4}" srcOrd="1" destOrd="0" presId="urn:microsoft.com/office/officeart/2005/8/layout/target3"/>
    <dgm:cxn modelId="{35B62853-4480-4146-8D80-745396528DFD}" srcId="{679515C3-9B8C-472E-B737-DB47A12FA908}" destId="{CB7C68FC-8623-4F3E-8EDF-6D208A0938E9}" srcOrd="1" destOrd="0" parTransId="{EDC52F93-BF71-4440-B57D-0580B3029770}" sibTransId="{0668ACE5-3D83-4D13-A81B-645A90F0FB3C}"/>
    <dgm:cxn modelId="{E9D532ED-83B7-4737-AF16-7D72F28305E4}" srcId="{6F63D32B-4C2D-4344-9BC9-EC098BAF8C84}" destId="{A5A4B827-9F6E-4E62-9298-F99E567BE9E1}" srcOrd="1" destOrd="0" parTransId="{EF21EA15-3205-43B5-BC88-84AA7F828902}" sibTransId="{6D6FACC8-B6E2-474D-8AEF-E05C59EE2C99}"/>
    <dgm:cxn modelId="{55C1ED48-6F4A-4774-B2C9-4F308301AA7B}" type="presOf" srcId="{A61CA47E-545C-4CB1-ACA7-B26D8BE0A192}" destId="{0E1A3F12-F4AA-49DC-9F47-81FD87EA04C4}" srcOrd="0" destOrd="0" presId="urn:microsoft.com/office/officeart/2005/8/layout/target3"/>
    <dgm:cxn modelId="{0DC53956-4E49-400C-A193-6921FC2D99D6}" type="presOf" srcId="{BF591CAF-5E81-694D-B33F-DC3AC86C080F}" destId="{468E3F59-9257-48D1-A719-4C0FEF6564C7}" srcOrd="0" destOrd="3" presId="urn:microsoft.com/office/officeart/2005/8/layout/target3"/>
    <dgm:cxn modelId="{72C1043B-DA31-443D-880F-CCD55011BF61}" srcId="{A51D0D8C-3316-45AA-A19B-0B3B8951D38B}" destId="{86B00A3D-20B9-4758-A756-E6224BFA76A0}" srcOrd="2" destOrd="0" parTransId="{3A6DA1B0-A71A-4A65-BD0C-5AE1677D8B0C}" sibTransId="{DD20BF59-A17E-4F9E-A741-A2C566261007}"/>
    <dgm:cxn modelId="{A967EE12-4C86-4598-8D4B-76F7891DCCEA}" type="presOf" srcId="{679515C3-9B8C-472E-B737-DB47A12FA908}" destId="{CEFB935F-DCD6-4356-A480-7960499BD97B}" srcOrd="1" destOrd="0" presId="urn:microsoft.com/office/officeart/2005/8/layout/target3"/>
    <dgm:cxn modelId="{FA9DF163-7730-4940-B0CF-3EA913886F9F}" type="presOf" srcId="{A51D0D8C-3316-45AA-A19B-0B3B8951D38B}" destId="{700EA949-AA36-49F2-AE05-D9322E6E5EE2}" srcOrd="0" destOrd="0" presId="urn:microsoft.com/office/officeart/2005/8/layout/target3"/>
    <dgm:cxn modelId="{DB8A0139-C8F2-4E34-B94C-6557AB63952A}" type="presOf" srcId="{CB7C68FC-8623-4F3E-8EDF-6D208A0938E9}" destId="{2848AA99-F700-4472-8F46-DC7407311A90}" srcOrd="0" destOrd="1" presId="urn:microsoft.com/office/officeart/2005/8/layout/target3"/>
    <dgm:cxn modelId="{031894C9-D9BE-4028-9A9E-5F73E10CE969}" type="presOf" srcId="{86B00A3D-20B9-4758-A756-E6224BFA76A0}" destId="{1967753B-4AEB-45F2-A9DF-8BD485537E15}" srcOrd="0" destOrd="2" presId="urn:microsoft.com/office/officeart/2005/8/layout/target3"/>
    <dgm:cxn modelId="{E39DA8AE-1A72-4C07-AA81-E9EE5B647BFD}" srcId="{6F63D32B-4C2D-4344-9BC9-EC098BAF8C84}" destId="{0A1095D4-2F00-43F9-ACF1-7067D29CC3AC}" srcOrd="0" destOrd="0" parTransId="{56A97F89-51B0-416E-9683-46391C1A3868}" sibTransId="{243ED6EF-2DCF-44BD-A6A7-D4474F04DA4C}"/>
    <dgm:cxn modelId="{4E7F4B0A-2AB2-4947-83B0-23DAD48C917A}" srcId="{A51D0D8C-3316-45AA-A19B-0B3B8951D38B}" destId="{1C77156F-F4BB-43F6-AE38-33883347E0BC}" srcOrd="0" destOrd="0" parTransId="{3A7BB7C0-1BBB-4078-8AB9-02A1AF6D9515}" sibTransId="{6AE370AC-AB96-471D-8679-91E716B896B1}"/>
    <dgm:cxn modelId="{AA30BB47-300B-48A8-8A37-50BF284D67B9}" srcId="{A51D0D8C-3316-45AA-A19B-0B3B8951D38B}" destId="{D481494C-5E2F-4C18-8635-4A634ADD928C}" srcOrd="1" destOrd="0" parTransId="{E55FD527-5D78-4EDE-9B0D-D784FDFD3B4A}" sibTransId="{B7D7328B-CD3F-4215-997F-8E2E45F8BE17}"/>
    <dgm:cxn modelId="{01DB4A5C-259E-4CB0-9834-3AC6633E1DF5}" srcId="{A61CA47E-545C-4CB1-ACA7-B26D8BE0A192}" destId="{A51D0D8C-3316-45AA-A19B-0B3B8951D38B}" srcOrd="1" destOrd="0" parTransId="{6B038BF1-F3B3-4707-BBC8-BC0A2E324937}" sibTransId="{A0A11A2C-15B5-4585-91A8-133E0230F5A6}"/>
    <dgm:cxn modelId="{58046ECD-7BDB-4A47-BF75-EE014574CCFB}" type="presOf" srcId="{1C77156F-F4BB-43F6-AE38-33883347E0BC}" destId="{1967753B-4AEB-45F2-A9DF-8BD485537E15}" srcOrd="0" destOrd="0" presId="urn:microsoft.com/office/officeart/2005/8/layout/target3"/>
    <dgm:cxn modelId="{1BCAAF02-926F-44E6-945A-3334DD39C489}" srcId="{6F63D32B-4C2D-4344-9BC9-EC098BAF8C84}" destId="{64E5E63B-2F47-4483-A306-D03D770111F1}" srcOrd="2" destOrd="0" parTransId="{3029707F-AC9D-4647-A424-E471476703BE}" sibTransId="{95FE32AB-E8CB-46FE-A1BF-BD71A33738FF}"/>
    <dgm:cxn modelId="{3D939721-742C-4E12-A77B-92A257BBA3BA}" type="presOf" srcId="{0A1095D4-2F00-43F9-ACF1-7067D29CC3AC}" destId="{468E3F59-9257-48D1-A719-4C0FEF6564C7}" srcOrd="0" destOrd="0" presId="urn:microsoft.com/office/officeart/2005/8/layout/target3"/>
    <dgm:cxn modelId="{1C45E4E6-9124-4A4C-B9CF-644935E893BE}" type="presParOf" srcId="{0E1A3F12-F4AA-49DC-9F47-81FD87EA04C4}" destId="{6D1CCE1E-5A69-4C3F-908A-FC7156ED57F1}" srcOrd="0" destOrd="0" presId="urn:microsoft.com/office/officeart/2005/8/layout/target3"/>
    <dgm:cxn modelId="{E4A5C878-5272-416A-B904-05A6F9995A2B}" type="presParOf" srcId="{0E1A3F12-F4AA-49DC-9F47-81FD87EA04C4}" destId="{6DC3D27A-6534-4EA2-8B50-EF97EB139020}" srcOrd="1" destOrd="0" presId="urn:microsoft.com/office/officeart/2005/8/layout/target3"/>
    <dgm:cxn modelId="{89094845-A67B-4786-B767-FAD37F5DB9B2}" type="presParOf" srcId="{0E1A3F12-F4AA-49DC-9F47-81FD87EA04C4}" destId="{0E63EE1F-71AC-403E-BE23-44B5026716F2}" srcOrd="2" destOrd="0" presId="urn:microsoft.com/office/officeart/2005/8/layout/target3"/>
    <dgm:cxn modelId="{9E4FE266-ECE9-4C22-AB69-B5D434512535}" type="presParOf" srcId="{0E1A3F12-F4AA-49DC-9F47-81FD87EA04C4}" destId="{7E154400-7823-4E2A-B24A-FAA5459789AD}" srcOrd="3" destOrd="0" presId="urn:microsoft.com/office/officeart/2005/8/layout/target3"/>
    <dgm:cxn modelId="{D638A151-ED8D-4B88-BD02-009C0B3D92FA}" type="presParOf" srcId="{0E1A3F12-F4AA-49DC-9F47-81FD87EA04C4}" destId="{2507622E-6132-42EB-ABAF-0A0C6C7D755B}" srcOrd="4" destOrd="0" presId="urn:microsoft.com/office/officeart/2005/8/layout/target3"/>
    <dgm:cxn modelId="{CB53FCA4-F8BD-4128-93B3-CCAB1A378C7E}" type="presParOf" srcId="{0E1A3F12-F4AA-49DC-9F47-81FD87EA04C4}" destId="{700EA949-AA36-49F2-AE05-D9322E6E5EE2}" srcOrd="5" destOrd="0" presId="urn:microsoft.com/office/officeart/2005/8/layout/target3"/>
    <dgm:cxn modelId="{0E8CDA52-B3EA-43D0-B592-766965776EF7}" type="presParOf" srcId="{0E1A3F12-F4AA-49DC-9F47-81FD87EA04C4}" destId="{79488E92-269A-46D5-9AAF-6DEFF8002BB7}" srcOrd="6" destOrd="0" presId="urn:microsoft.com/office/officeart/2005/8/layout/target3"/>
    <dgm:cxn modelId="{2D3ADF18-5CC6-4768-AD41-4CBCBA76D829}" type="presParOf" srcId="{0E1A3F12-F4AA-49DC-9F47-81FD87EA04C4}" destId="{55B4D71C-3605-46FB-867D-723A7D53191D}" srcOrd="7" destOrd="0" presId="urn:microsoft.com/office/officeart/2005/8/layout/target3"/>
    <dgm:cxn modelId="{1430B3E0-E7B3-4C8A-A190-1F1310F1CD03}" type="presParOf" srcId="{0E1A3F12-F4AA-49DC-9F47-81FD87EA04C4}" destId="{7CF53126-64CC-46CB-B792-A25D5525FF73}" srcOrd="8" destOrd="0" presId="urn:microsoft.com/office/officeart/2005/8/layout/target3"/>
    <dgm:cxn modelId="{AD637CE4-7679-467E-9D54-1EF067584C3B}" type="presParOf" srcId="{0E1A3F12-F4AA-49DC-9F47-81FD87EA04C4}" destId="{CEFB935F-DCD6-4356-A480-7960499BD97B}" srcOrd="9" destOrd="0" presId="urn:microsoft.com/office/officeart/2005/8/layout/target3"/>
    <dgm:cxn modelId="{8FBD05CA-A85B-4D5D-9BC9-CCD4D4373991}" type="presParOf" srcId="{0E1A3F12-F4AA-49DC-9F47-81FD87EA04C4}" destId="{2848AA99-F700-4472-8F46-DC7407311A90}" srcOrd="10" destOrd="0" presId="urn:microsoft.com/office/officeart/2005/8/layout/target3"/>
    <dgm:cxn modelId="{6F4FC3F6-1334-4E28-A75A-469C95E6FDE9}" type="presParOf" srcId="{0E1A3F12-F4AA-49DC-9F47-81FD87EA04C4}" destId="{E9E0370F-52DE-4439-9021-F82C904F9921}" srcOrd="11" destOrd="0" presId="urn:microsoft.com/office/officeart/2005/8/layout/target3"/>
    <dgm:cxn modelId="{B2ED6202-21E2-42FE-BB31-07F89A2F8336}" type="presParOf" srcId="{0E1A3F12-F4AA-49DC-9F47-81FD87EA04C4}" destId="{1967753B-4AEB-45F2-A9DF-8BD485537E15}" srcOrd="12" destOrd="0" presId="urn:microsoft.com/office/officeart/2005/8/layout/target3"/>
    <dgm:cxn modelId="{31CCDEA5-A8ED-4341-A8EC-AD0B85612107}" type="presParOf" srcId="{0E1A3F12-F4AA-49DC-9F47-81FD87EA04C4}" destId="{B7D2C401-BEE4-4164-B9A1-E1836E0515C4}" srcOrd="13" destOrd="0" presId="urn:microsoft.com/office/officeart/2005/8/layout/target3"/>
    <dgm:cxn modelId="{995C92B5-D058-4304-B339-A0ED98085FE0}" type="presParOf" srcId="{0E1A3F12-F4AA-49DC-9F47-81FD87EA04C4}" destId="{468E3F59-9257-48D1-A719-4C0FEF6564C7}" srcOrd="14" destOrd="0" presId="urn:microsoft.com/office/officeart/2005/8/layout/target3"/>
  </dgm:cxnLst>
  <dgm:bg/>
  <dgm:whole/>
  <dgm:extLst>
    <a:ext uri="http://schemas.microsoft.com/office/drawing/2008/diagram">
      <dsp:dataModelExt xmlns:dsp="http://schemas.microsoft.com/office/drawing/2008/diagram" xmlns="" relId="rId22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7BA4439-879F-4323-89E9-4650154F3187}">
      <dsp:nvSpPr>
        <dsp:cNvPr id="0" name=""/>
        <dsp:cNvSpPr/>
      </dsp:nvSpPr>
      <dsp:spPr>
        <a:xfrm>
          <a:off x="1290161" y="1411606"/>
          <a:ext cx="1576863" cy="1576863"/>
        </a:xfrm>
        <a:prstGeom prst="gear9">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b="1" kern="1200">
              <a:solidFill>
                <a:sysClr val="windowText" lastClr="000000"/>
              </a:solidFill>
              <a:latin typeface="Cambria"/>
              <a:ea typeface="+mn-ea"/>
              <a:cs typeface="+mn-cs"/>
            </a:rPr>
            <a:t>Water </a:t>
          </a:r>
          <a:r>
            <a:rPr lang="en-US" sz="1000" b="1" kern="1200">
              <a:solidFill>
                <a:sysClr val="windowText" lastClr="000000"/>
              </a:solidFill>
              <a:latin typeface="Cambria"/>
              <a:ea typeface="+mn-ea"/>
              <a:cs typeface="+mn-cs"/>
            </a:rPr>
            <a:t>Related</a:t>
          </a:r>
          <a:r>
            <a:rPr lang="en-US" sz="900" b="1" kern="1200">
              <a:solidFill>
                <a:sysClr val="windowText" lastClr="000000"/>
              </a:solidFill>
              <a:latin typeface="Cambria"/>
              <a:ea typeface="+mn-ea"/>
              <a:cs typeface="+mn-cs"/>
            </a:rPr>
            <a:t> Problems</a:t>
          </a:r>
        </a:p>
      </dsp:txBody>
      <dsp:txXfrm>
        <a:off x="1290161" y="1411606"/>
        <a:ext cx="1576863" cy="1576863"/>
      </dsp:txXfrm>
    </dsp:sp>
    <dsp:sp modelId="{2013896A-4CDC-4279-8B2B-5AFFE340A6FB}">
      <dsp:nvSpPr>
        <dsp:cNvPr id="0" name=""/>
        <dsp:cNvSpPr/>
      </dsp:nvSpPr>
      <dsp:spPr>
        <a:xfrm>
          <a:off x="230784" y="865902"/>
          <a:ext cx="1430668" cy="1492791"/>
        </a:xfrm>
        <a:prstGeom prst="gear6">
          <a:avLst/>
        </a:prstGeom>
        <a:solidFill>
          <a:srgbClr val="8064A2">
            <a:hueOff val="-2232385"/>
            <a:satOff val="13449"/>
            <a:lumOff val="1078"/>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b="1" kern="1200">
              <a:solidFill>
                <a:sysClr val="windowText" lastClr="000000"/>
              </a:solidFill>
              <a:latin typeface="Cambria"/>
              <a:ea typeface="+mn-ea"/>
              <a:cs typeface="+mn-cs"/>
            </a:rPr>
            <a:t>Institutional Capacity and Coordination</a:t>
          </a:r>
        </a:p>
      </dsp:txBody>
      <dsp:txXfrm>
        <a:off x="230784" y="865902"/>
        <a:ext cx="1430668" cy="1492791"/>
      </dsp:txXfrm>
    </dsp:sp>
    <dsp:sp modelId="{D980306C-8014-4317-BFC9-6C3FE939BD80}">
      <dsp:nvSpPr>
        <dsp:cNvPr id="0" name=""/>
        <dsp:cNvSpPr/>
      </dsp:nvSpPr>
      <dsp:spPr>
        <a:xfrm rot="20700000">
          <a:off x="951266" y="177434"/>
          <a:ext cx="1268948" cy="1193182"/>
        </a:xfrm>
        <a:prstGeom prst="gear6">
          <a:avLst/>
        </a:prstGeom>
        <a:solidFill>
          <a:srgbClr val="8064A2">
            <a:hueOff val="-4464770"/>
            <a:satOff val="26899"/>
            <a:lumOff val="215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b="1" kern="1200">
              <a:solidFill>
                <a:sysClr val="windowText" lastClr="000000"/>
              </a:solidFill>
              <a:latin typeface="Cambria"/>
              <a:ea typeface="+mn-ea"/>
              <a:cs typeface="+mn-cs"/>
            </a:rPr>
            <a:t>Knowledge management</a:t>
          </a:r>
        </a:p>
      </dsp:txBody>
      <dsp:txXfrm>
        <a:off x="1234077" y="434640"/>
        <a:ext cx="703325" cy="678770"/>
      </dsp:txXfrm>
    </dsp:sp>
    <dsp:sp modelId="{947FA6FC-CF78-4CDB-807E-8B57242BBAFF}">
      <dsp:nvSpPr>
        <dsp:cNvPr id="0" name=""/>
        <dsp:cNvSpPr/>
      </dsp:nvSpPr>
      <dsp:spPr>
        <a:xfrm>
          <a:off x="1154929" y="1181507"/>
          <a:ext cx="2018385" cy="2018385"/>
        </a:xfrm>
        <a:prstGeom prst="circularArrow">
          <a:avLst>
            <a:gd name="adj1" fmla="val 4688"/>
            <a:gd name="adj2" fmla="val 299029"/>
            <a:gd name="adj3" fmla="val 2457854"/>
            <a:gd name="adj4" fmla="val 15993154"/>
            <a:gd name="adj5" fmla="val 5469"/>
          </a:avLst>
        </a:prstGeom>
        <a:solidFill>
          <a:srgbClr val="8064A2">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63E2AD0-8EFF-471E-8064-50A38B7335D9}">
      <dsp:nvSpPr>
        <dsp:cNvPr id="0" name=""/>
        <dsp:cNvSpPr/>
      </dsp:nvSpPr>
      <dsp:spPr>
        <a:xfrm>
          <a:off x="169615" y="790843"/>
          <a:ext cx="1466483" cy="1466483"/>
        </a:xfrm>
        <a:prstGeom prst="leftCircularArrow">
          <a:avLst>
            <a:gd name="adj1" fmla="val 6452"/>
            <a:gd name="adj2" fmla="val 429999"/>
            <a:gd name="adj3" fmla="val 10489124"/>
            <a:gd name="adj4" fmla="val 14837806"/>
            <a:gd name="adj5" fmla="val 7527"/>
          </a:avLst>
        </a:prstGeom>
        <a:solidFill>
          <a:srgbClr val="8064A2">
            <a:hueOff val="-2232385"/>
            <a:satOff val="13449"/>
            <a:lumOff val="1078"/>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5E3654D-0DB6-4680-A093-8FA5EC5FFCEF}">
      <dsp:nvSpPr>
        <dsp:cNvPr id="0" name=""/>
        <dsp:cNvSpPr/>
      </dsp:nvSpPr>
      <dsp:spPr>
        <a:xfrm>
          <a:off x="755134" y="139244"/>
          <a:ext cx="1581164" cy="1317252"/>
        </a:xfrm>
        <a:prstGeom prst="circularArrow">
          <a:avLst>
            <a:gd name="adj1" fmla="val 5984"/>
            <a:gd name="adj2" fmla="val 394124"/>
            <a:gd name="adj3" fmla="val 13313824"/>
            <a:gd name="adj4" fmla="val 10508221"/>
            <a:gd name="adj5" fmla="val 6981"/>
          </a:avLst>
        </a:prstGeom>
        <a:solidFill>
          <a:srgbClr val="8064A2">
            <a:hueOff val="-4464770"/>
            <a:satOff val="26899"/>
            <a:lumOff val="2156"/>
            <a:alphaOff val="0"/>
          </a:srgb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D1CCE1E-5A69-4C3F-908A-FC7156ED57F1}">
      <dsp:nvSpPr>
        <dsp:cNvPr id="0" name=""/>
        <dsp:cNvSpPr/>
      </dsp:nvSpPr>
      <dsp:spPr>
        <a:xfrm>
          <a:off x="0" y="2031"/>
          <a:ext cx="2718816" cy="2718816"/>
        </a:xfrm>
        <a:prstGeom prst="pie">
          <a:avLst>
            <a:gd name="adj1" fmla="val 5400000"/>
            <a:gd name="adj2" fmla="val 16200000"/>
          </a:avLst>
        </a:prstGeom>
        <a:solidFill>
          <a:srgbClr val="05997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E63EE1F-71AC-403E-BE23-44B5026716F2}">
      <dsp:nvSpPr>
        <dsp:cNvPr id="0" name=""/>
        <dsp:cNvSpPr/>
      </dsp:nvSpPr>
      <dsp:spPr>
        <a:xfrm>
          <a:off x="1359408" y="2031"/>
          <a:ext cx="3171951" cy="2718816"/>
        </a:xfrm>
        <a:prstGeom prst="rect">
          <a:avLst/>
        </a:prstGeom>
        <a:solidFill>
          <a:schemeClr val="lt1">
            <a:alpha val="90000"/>
            <a:hueOff val="0"/>
            <a:satOff val="0"/>
            <a:lumOff val="0"/>
            <a:alphaOff val="0"/>
          </a:schemeClr>
        </a:solidFill>
        <a:ln w="25400" cap="flat" cmpd="sng" algn="ctr">
          <a:solidFill>
            <a:srgbClr val="059973"/>
          </a:solidFill>
          <a:prstDash val="solid"/>
        </a:ln>
        <a:effectLst/>
      </dsp:spPr>
      <dsp:style>
        <a:lnRef idx="2">
          <a:scrgbClr r="0" g="0" b="0"/>
        </a:lnRef>
        <a:fillRef idx="1">
          <a:scrgbClr r="0" g="0" b="0"/>
        </a:fillRef>
        <a:effectRef idx="0">
          <a:scrgbClr r="0" g="0" b="0"/>
        </a:effectRef>
        <a:fontRef idx="minor"/>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nl-NL" sz="2300" kern="1200"/>
            <a:t>Open data</a:t>
          </a:r>
        </a:p>
      </dsp:txBody>
      <dsp:txXfrm>
        <a:off x="1359408" y="2031"/>
        <a:ext cx="1585975" cy="815646"/>
      </dsp:txXfrm>
    </dsp:sp>
    <dsp:sp modelId="{2507622E-6132-42EB-ABAF-0A0C6C7D755B}">
      <dsp:nvSpPr>
        <dsp:cNvPr id="0" name=""/>
        <dsp:cNvSpPr/>
      </dsp:nvSpPr>
      <dsp:spPr>
        <a:xfrm>
          <a:off x="475793" y="817678"/>
          <a:ext cx="1767228" cy="1767228"/>
        </a:xfrm>
        <a:prstGeom prst="pie">
          <a:avLst>
            <a:gd name="adj1" fmla="val 5400000"/>
            <a:gd name="adj2" fmla="val 16200000"/>
          </a:avLst>
        </a:prstGeom>
        <a:solidFill>
          <a:srgbClr val="BEC53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0EA949-AA36-49F2-AE05-D9322E6E5EE2}">
      <dsp:nvSpPr>
        <dsp:cNvPr id="0" name=""/>
        <dsp:cNvSpPr/>
      </dsp:nvSpPr>
      <dsp:spPr>
        <a:xfrm>
          <a:off x="1359408" y="817678"/>
          <a:ext cx="3171951" cy="1767228"/>
        </a:xfrm>
        <a:prstGeom prst="rect">
          <a:avLst/>
        </a:prstGeom>
        <a:solidFill>
          <a:schemeClr val="lt1">
            <a:alpha val="90000"/>
            <a:hueOff val="0"/>
            <a:satOff val="0"/>
            <a:lumOff val="0"/>
            <a:alphaOff val="0"/>
          </a:schemeClr>
        </a:solidFill>
        <a:ln w="25400" cap="flat" cmpd="sng" algn="ctr">
          <a:solidFill>
            <a:srgbClr val="BEC531"/>
          </a:solidFill>
          <a:prstDash val="solid"/>
        </a:ln>
        <a:effectLst/>
      </dsp:spPr>
      <dsp:style>
        <a:lnRef idx="2">
          <a:scrgbClr r="0" g="0" b="0"/>
        </a:lnRef>
        <a:fillRef idx="1">
          <a:scrgbClr r="0" g="0" b="0"/>
        </a:fillRef>
        <a:effectRef idx="0">
          <a:scrgbClr r="0" g="0" b="0"/>
        </a:effectRef>
        <a:fontRef idx="minor"/>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nl-NL" sz="2300" kern="1200"/>
            <a:t>Free Data</a:t>
          </a:r>
        </a:p>
      </dsp:txBody>
      <dsp:txXfrm>
        <a:off x="1359408" y="817678"/>
        <a:ext cx="1585975" cy="815643"/>
      </dsp:txXfrm>
    </dsp:sp>
    <dsp:sp modelId="{55B4D71C-3605-46FB-867D-723A7D53191D}">
      <dsp:nvSpPr>
        <dsp:cNvPr id="0" name=""/>
        <dsp:cNvSpPr/>
      </dsp:nvSpPr>
      <dsp:spPr>
        <a:xfrm>
          <a:off x="951586" y="1633322"/>
          <a:ext cx="815643" cy="815643"/>
        </a:xfrm>
        <a:prstGeom prst="pie">
          <a:avLst>
            <a:gd name="adj1" fmla="val 5400000"/>
            <a:gd name="adj2" fmla="val 16200000"/>
          </a:avLst>
        </a:prstGeom>
        <a:solidFill>
          <a:srgbClr val="F89A3A"/>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CF53126-64CC-46CB-B792-A25D5525FF73}">
      <dsp:nvSpPr>
        <dsp:cNvPr id="0" name=""/>
        <dsp:cNvSpPr/>
      </dsp:nvSpPr>
      <dsp:spPr>
        <a:xfrm>
          <a:off x="1359408" y="1633322"/>
          <a:ext cx="3171951" cy="815643"/>
        </a:xfrm>
        <a:prstGeom prst="rect">
          <a:avLst/>
        </a:prstGeom>
        <a:solidFill>
          <a:schemeClr val="lt1">
            <a:alpha val="90000"/>
            <a:hueOff val="0"/>
            <a:satOff val="0"/>
            <a:lumOff val="0"/>
            <a:alphaOff val="0"/>
          </a:schemeClr>
        </a:solidFill>
        <a:ln w="25400" cap="flat" cmpd="sng" algn="ctr">
          <a:solidFill>
            <a:srgbClr val="F89A3A"/>
          </a:solidFill>
          <a:prstDash val="solid"/>
        </a:ln>
        <a:effectLst/>
      </dsp:spPr>
      <dsp:style>
        <a:lnRef idx="2">
          <a:scrgbClr r="0" g="0" b="0"/>
        </a:lnRef>
        <a:fillRef idx="1">
          <a:scrgbClr r="0" g="0" b="0"/>
        </a:fillRef>
        <a:effectRef idx="0">
          <a:scrgbClr r="0" g="0" b="0"/>
        </a:effectRef>
        <a:fontRef idx="minor"/>
      </dsp:style>
      <dsp:txBody>
        <a:bodyPr spcFirstLastPara="0" vert="horz" wrap="square" lIns="87630" tIns="87630" rIns="87630" bIns="87630" numCol="1" spcCol="1270" anchor="ctr" anchorCtr="0">
          <a:noAutofit/>
        </a:bodyPr>
        <a:lstStyle/>
        <a:p>
          <a:pPr lvl="0" algn="ctr" defTabSz="1022350">
            <a:lnSpc>
              <a:spcPct val="90000"/>
            </a:lnSpc>
            <a:spcBef>
              <a:spcPct val="0"/>
            </a:spcBef>
            <a:spcAft>
              <a:spcPct val="35000"/>
            </a:spcAft>
          </a:pPr>
          <a:r>
            <a:rPr lang="nl-NL" sz="2300" kern="1200"/>
            <a:t>Restricted data</a:t>
          </a:r>
        </a:p>
      </dsp:txBody>
      <dsp:txXfrm>
        <a:off x="1359408" y="1633322"/>
        <a:ext cx="1585975" cy="815643"/>
      </dsp:txXfrm>
    </dsp:sp>
    <dsp:sp modelId="{2848AA99-F700-4472-8F46-DC7407311A90}">
      <dsp:nvSpPr>
        <dsp:cNvPr id="0" name=""/>
        <dsp:cNvSpPr/>
      </dsp:nvSpPr>
      <dsp:spPr>
        <a:xfrm>
          <a:off x="2945384" y="2031"/>
          <a:ext cx="1585975" cy="815646"/>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57150" lvl="1" indent="-57150" algn="l" defTabSz="444500">
            <a:lnSpc>
              <a:spcPct val="90000"/>
            </a:lnSpc>
            <a:spcBef>
              <a:spcPct val="0"/>
            </a:spcBef>
            <a:spcAft>
              <a:spcPct val="15000"/>
            </a:spcAft>
            <a:buChar char="••"/>
          </a:pPr>
          <a:r>
            <a:rPr lang="nl-NL" sz="1000" kern="1200"/>
            <a:t>free access and use</a:t>
          </a:r>
        </a:p>
        <a:p>
          <a:pPr marL="57150" lvl="1" indent="-57150" algn="l" defTabSz="444500">
            <a:lnSpc>
              <a:spcPct val="90000"/>
            </a:lnSpc>
            <a:spcBef>
              <a:spcPct val="0"/>
            </a:spcBef>
            <a:spcAft>
              <a:spcPct val="15000"/>
            </a:spcAft>
            <a:buChar char="••"/>
          </a:pPr>
          <a:r>
            <a:rPr lang="nl-NL" sz="1000" kern="1200"/>
            <a:t>no validation</a:t>
          </a:r>
        </a:p>
      </dsp:txBody>
      <dsp:txXfrm>
        <a:off x="2945384" y="2031"/>
        <a:ext cx="1585975" cy="815646"/>
      </dsp:txXfrm>
    </dsp:sp>
    <dsp:sp modelId="{1967753B-4AEB-45F2-A9DF-8BD485537E15}">
      <dsp:nvSpPr>
        <dsp:cNvPr id="0" name=""/>
        <dsp:cNvSpPr/>
      </dsp:nvSpPr>
      <dsp:spPr>
        <a:xfrm>
          <a:off x="2945384" y="817678"/>
          <a:ext cx="1585975" cy="815643"/>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57150" lvl="1" indent="-57150" algn="l" defTabSz="444500">
            <a:lnSpc>
              <a:spcPct val="90000"/>
            </a:lnSpc>
            <a:spcBef>
              <a:spcPct val="0"/>
            </a:spcBef>
            <a:spcAft>
              <a:spcPct val="15000"/>
            </a:spcAft>
            <a:buChar char="••"/>
          </a:pPr>
          <a:r>
            <a:rPr lang="nl-NL" sz="1000" kern="1200"/>
            <a:t>validated data</a:t>
          </a:r>
        </a:p>
        <a:p>
          <a:pPr marL="57150" lvl="1" indent="-57150" algn="l" defTabSz="444500">
            <a:lnSpc>
              <a:spcPct val="90000"/>
            </a:lnSpc>
            <a:spcBef>
              <a:spcPct val="0"/>
            </a:spcBef>
            <a:spcAft>
              <a:spcPct val="15000"/>
            </a:spcAft>
            <a:buChar char="••"/>
          </a:pPr>
          <a:r>
            <a:rPr lang="nl-NL" sz="1000" kern="1200"/>
            <a:t>free access and use</a:t>
          </a:r>
        </a:p>
        <a:p>
          <a:pPr marL="57150" lvl="1" indent="-57150" algn="l" defTabSz="400050">
            <a:lnSpc>
              <a:spcPct val="90000"/>
            </a:lnSpc>
            <a:spcBef>
              <a:spcPct val="0"/>
            </a:spcBef>
            <a:spcAft>
              <a:spcPct val="15000"/>
            </a:spcAft>
            <a:buChar char="••"/>
          </a:pPr>
          <a:endParaRPr lang="nl-NL" sz="900" kern="1200"/>
        </a:p>
      </dsp:txBody>
      <dsp:txXfrm>
        <a:off x="2945384" y="817678"/>
        <a:ext cx="1585975" cy="815643"/>
      </dsp:txXfrm>
    </dsp:sp>
    <dsp:sp modelId="{468E3F59-9257-48D1-A719-4C0FEF6564C7}">
      <dsp:nvSpPr>
        <dsp:cNvPr id="0" name=""/>
        <dsp:cNvSpPr/>
      </dsp:nvSpPr>
      <dsp:spPr>
        <a:xfrm>
          <a:off x="2945384" y="1633322"/>
          <a:ext cx="1585975" cy="815643"/>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57150" lvl="1" indent="-57150" algn="l" defTabSz="400050">
            <a:lnSpc>
              <a:spcPct val="90000"/>
            </a:lnSpc>
            <a:spcBef>
              <a:spcPct val="0"/>
            </a:spcBef>
            <a:spcAft>
              <a:spcPct val="15000"/>
            </a:spcAft>
            <a:buChar char="••"/>
          </a:pPr>
          <a:r>
            <a:rPr lang="nl-NL" sz="900" kern="1200"/>
            <a:t>validated data</a:t>
          </a:r>
        </a:p>
        <a:p>
          <a:pPr marL="57150" lvl="1" indent="-57150" algn="l" defTabSz="400050">
            <a:lnSpc>
              <a:spcPct val="90000"/>
            </a:lnSpc>
            <a:spcBef>
              <a:spcPct val="0"/>
            </a:spcBef>
            <a:spcAft>
              <a:spcPct val="15000"/>
            </a:spcAft>
            <a:buChar char="••"/>
          </a:pPr>
          <a:r>
            <a:rPr lang="nl-NL" sz="900" kern="1200"/>
            <a:t>copy-protected</a:t>
          </a:r>
        </a:p>
        <a:p>
          <a:pPr marL="57150" lvl="1" indent="-57150" algn="l" defTabSz="400050">
            <a:lnSpc>
              <a:spcPct val="90000"/>
            </a:lnSpc>
            <a:spcBef>
              <a:spcPct val="0"/>
            </a:spcBef>
            <a:spcAft>
              <a:spcPct val="15000"/>
            </a:spcAft>
            <a:buChar char="••"/>
          </a:pPr>
          <a:r>
            <a:rPr lang="nl-NL" sz="900" kern="1200"/>
            <a:t>pay for use</a:t>
          </a:r>
        </a:p>
        <a:p>
          <a:pPr marL="57150" lvl="1" indent="-57150" algn="l" defTabSz="400050">
            <a:lnSpc>
              <a:spcPct val="90000"/>
            </a:lnSpc>
            <a:spcBef>
              <a:spcPct val="0"/>
            </a:spcBef>
            <a:spcAft>
              <a:spcPct val="15000"/>
            </a:spcAft>
            <a:buChar char="••"/>
          </a:pPr>
          <a:r>
            <a:rPr lang="nl-NL" sz="900" kern="1200"/>
            <a:t>Authenticated access</a:t>
          </a:r>
        </a:p>
      </dsp:txBody>
      <dsp:txXfrm>
        <a:off x="2945384" y="1633322"/>
        <a:ext cx="1585975" cy="815643"/>
      </dsp:txXfrm>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0.63861</cdr:x>
      <cdr:y>0.05714</cdr:y>
    </cdr:from>
    <cdr:to>
      <cdr:x>0.63861</cdr:x>
      <cdr:y>0.63673</cdr:y>
    </cdr:to>
    <cdr:sp macro="" textlink="">
      <cdr:nvSpPr>
        <cdr:cNvPr id="3" name="Straight Connector 2"/>
        <cdr:cNvSpPr/>
      </cdr:nvSpPr>
      <cdr:spPr>
        <a:xfrm xmlns:a="http://schemas.openxmlformats.org/drawingml/2006/main" flipH="1">
          <a:off x="1922143" y="133350"/>
          <a:ext cx="0" cy="1352549"/>
        </a:xfrm>
        <a:prstGeom xmlns:a="http://schemas.openxmlformats.org/drawingml/2006/main" prst="line">
          <a:avLst/>
        </a:prstGeom>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2017-02-06T00:00:00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Ahm041</b:Tag>
    <b:SourceType>ConferenceProceedings</b:SourceType>
    <b:Guid>{D323F0A5-F969-4E20-A6EB-2E23108535E8}</b:Guid>
    <b:Author>
      <b:Author>
        <b:NameList>
          <b:Person>
            <b:Last>Ahmed</b:Last>
            <b:First>Abu</b:First>
            <b:Middle>Musa Md. Motaher</b:Middle>
          </b:Person>
          <b:Person>
            <b:Last>Roy</b:Last>
            <b:First>Kingshuk</b:First>
          </b:Person>
        </b:NameList>
      </b:Author>
    </b:Author>
    <b:Title>Utilization and Conservation of Water Resources in Bangladesh</b:Title>
    <b:Year>after 2004</b:Year>
    <b:URL>https://www.google.com/url?sa=t&amp;rct=j&amp;q=&amp;esrc=s&amp;source=web&amp;cd=1&amp;cad=rja&amp;uact=8&amp;sqi=2&amp;ved=0ahUKEwiNvPfJpPnLAhVQT44KHelIAeIQFggnMAA&amp;url=http%3A%2F%2Fwww.nourin.tsukuba.ac.jp%2F~tasae%2F2006%2FBangladesh.pdf&amp;usg=AFQjCNHjO7YiC8PuYg-Fujn81QmgyU7RBg&amp;bvm=bv.1184</b:URL>
    <b:RefOrder>2</b:RefOrder>
  </b:Source>
  <b:Source>
    <b:Tag>Byo08</b:Tag>
    <b:SourceType>JournalArticle</b:SourceType>
    <b:Guid>{8233DE73-57A5-4206-8180-4DFF980CC9EB}</b:Guid>
    <b:Author>
      <b:Author>
        <b:NameList>
          <b:Person>
            <b:Last>Byomkesh</b:Last>
            <b:First>Talukder</b:First>
          </b:Person>
          <b:Person>
            <b:Last>Nakagoshi</b:Last>
            <b:First>Nobukazu</b:First>
          </b:Person>
          <b:Person>
            <b:Last>Rashid</b:Last>
            <b:First>Shahedur</b:First>
            <b:Middle>Md</b:Middle>
          </b:Person>
        </b:NameList>
      </b:Author>
    </b:Author>
    <b:Title>State and management of wetlands in Bangladesh</b:Title>
    <b:JournalName>ResearchGate -Article in Landscape and Ecological Engineering</b:JournalName>
    <b:Year>2008</b:Year>
    <b:RefOrder>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27574E4-24DC-4AE1-865A-219EEE85A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1358</TotalTime>
  <Pages>1</Pages>
  <Words>273101</Words>
  <Characters>1556677</Characters>
  <Application>Microsoft Office Word</Application>
  <DocSecurity>0</DocSecurity>
  <Lines>12972</Lines>
  <Paragraphs>3652</Paragraphs>
  <ScaleCrop>false</ScaleCrop>
  <HeadingPairs>
    <vt:vector size="2" baseType="variant">
      <vt:variant>
        <vt:lpstr>Title</vt:lpstr>
      </vt:variant>
      <vt:variant>
        <vt:i4>1</vt:i4>
      </vt:variant>
    </vt:vector>
  </HeadingPairs>
  <TitlesOfParts>
    <vt:vector size="1" baseType="lpstr">
      <vt:lpstr>Bangladesh Delta Plan 2100</vt:lpstr>
    </vt:vector>
  </TitlesOfParts>
  <Company>Policy Research Institute of Bangladesh</Company>
  <LinksUpToDate>false</LinksUpToDate>
  <CharactersWithSpaces>1826126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Bangladesh Delta Plan 2100</dc:title>
  <dc:creator>Hasan Moinuddin</dc:creator>
  <cp:lastModifiedBy>Murtuza Noman</cp:lastModifiedBy>
  <cp:revision>41</cp:revision>
  <cp:lastPrinted>2017-04-17T12:07:00Z</cp:lastPrinted>
  <dcterms:created xsi:type="dcterms:W3CDTF">2017-02-12T08:26:00Z</dcterms:created>
  <dcterms:modified xsi:type="dcterms:W3CDTF">2017-04-20T12:46:00Z</dcterms:modified>
</cp:coreProperties>
</file>